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6.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1A1D" w:rsidRDefault="007C1A1D">
      <w:bookmarkStart w:id="0" w:name="_GoBack"/>
      <w:bookmarkEnd w:id="0"/>
    </w:p>
    <w:p w:rsidR="005D6C2A" w:rsidRPr="00E827E2" w:rsidRDefault="005D6C2A" w:rsidP="005D6C2A">
      <w:pPr>
        <w:jc w:val="center"/>
        <w:rPr>
          <w:sz w:val="56"/>
        </w:rPr>
      </w:pPr>
      <w:r>
        <w:rPr>
          <w:sz w:val="72"/>
        </w:rPr>
        <w:t>Dispensing Dispensationalism:</w:t>
      </w:r>
    </w:p>
    <w:p w:rsidR="005D6C2A" w:rsidRPr="00E827E2" w:rsidRDefault="005D6C2A" w:rsidP="005D6C2A">
      <w:pPr>
        <w:jc w:val="center"/>
        <w:rPr>
          <w:sz w:val="56"/>
        </w:rPr>
      </w:pPr>
      <w:r w:rsidRPr="00E827E2">
        <w:rPr>
          <w:sz w:val="56"/>
        </w:rPr>
        <w:t xml:space="preserve">A Critical Analysis of the </w:t>
      </w:r>
    </w:p>
    <w:p w:rsidR="005D6C2A" w:rsidRPr="00E827E2" w:rsidRDefault="005D6C2A" w:rsidP="005D6C2A">
      <w:pPr>
        <w:jc w:val="center"/>
        <w:rPr>
          <w:sz w:val="56"/>
        </w:rPr>
      </w:pPr>
      <w:r w:rsidRPr="00E827E2">
        <w:rPr>
          <w:sz w:val="56"/>
        </w:rPr>
        <w:t xml:space="preserve">1917 Scofield Reference Bible </w:t>
      </w:r>
    </w:p>
    <w:p w:rsidR="005D6C2A" w:rsidRPr="007C1A1D" w:rsidRDefault="005D6C2A" w:rsidP="005D6C2A">
      <w:pPr>
        <w:jc w:val="center"/>
        <w:rPr>
          <w:sz w:val="4"/>
        </w:rPr>
      </w:pPr>
    </w:p>
    <w:p w:rsidR="005D6C2A" w:rsidRDefault="00D17FEB" w:rsidP="005D6C2A">
      <w:pPr>
        <w:spacing w:after="240" w:line="240" w:lineRule="auto"/>
        <w:jc w:val="center"/>
        <w:rPr>
          <w:sz w:val="72"/>
        </w:rPr>
      </w:pPr>
      <w:r>
        <w:rPr>
          <w:sz w:val="72"/>
        </w:rPr>
        <w:t>Hilary Margaret</w:t>
      </w:r>
      <w:r w:rsidR="005D6C2A" w:rsidRPr="009514F5">
        <w:rPr>
          <w:sz w:val="72"/>
        </w:rPr>
        <w:t xml:space="preserve"> P</w:t>
      </w:r>
      <w:r w:rsidR="005D6C2A">
        <w:rPr>
          <w:sz w:val="72"/>
        </w:rPr>
        <w:t>erry</w:t>
      </w:r>
    </w:p>
    <w:p w:rsidR="005D6C2A" w:rsidRPr="00C36189" w:rsidRDefault="005D6C2A" w:rsidP="005D6C2A">
      <w:pPr>
        <w:jc w:val="center"/>
        <w:rPr>
          <w:sz w:val="52"/>
        </w:rPr>
      </w:pPr>
      <w:r w:rsidRPr="00C36189">
        <w:rPr>
          <w:sz w:val="56"/>
        </w:rPr>
        <w:t>Volume 1</w:t>
      </w:r>
    </w:p>
    <w:p w:rsidR="005D6C2A" w:rsidRPr="00C36189" w:rsidRDefault="005D6C2A" w:rsidP="005D6C2A">
      <w:pPr>
        <w:spacing w:after="240" w:line="240" w:lineRule="auto"/>
        <w:jc w:val="center"/>
        <w:rPr>
          <w:sz w:val="2"/>
        </w:rPr>
      </w:pPr>
    </w:p>
    <w:p w:rsidR="005D6C2A" w:rsidRPr="007C1A1D" w:rsidRDefault="005D6C2A" w:rsidP="005D6C2A">
      <w:pPr>
        <w:spacing w:after="240" w:line="240" w:lineRule="auto"/>
        <w:jc w:val="center"/>
        <w:rPr>
          <w:sz w:val="4"/>
        </w:rPr>
      </w:pPr>
    </w:p>
    <w:p w:rsidR="005D6C2A" w:rsidRPr="00C36189" w:rsidRDefault="005D6C2A" w:rsidP="005D6C2A">
      <w:pPr>
        <w:jc w:val="center"/>
        <w:rPr>
          <w:sz w:val="52"/>
        </w:rPr>
      </w:pPr>
      <w:r w:rsidRPr="00C36189">
        <w:rPr>
          <w:sz w:val="52"/>
        </w:rPr>
        <w:t>Thesis Submitted for the Degree of</w:t>
      </w:r>
    </w:p>
    <w:p w:rsidR="005D6C2A" w:rsidRDefault="005D6C2A" w:rsidP="005D6C2A">
      <w:pPr>
        <w:jc w:val="center"/>
        <w:rPr>
          <w:sz w:val="52"/>
        </w:rPr>
      </w:pPr>
      <w:r w:rsidRPr="00C36189">
        <w:rPr>
          <w:sz w:val="52"/>
        </w:rPr>
        <w:t>Doctor of Philosophy</w:t>
      </w:r>
    </w:p>
    <w:p w:rsidR="005D6C2A" w:rsidRPr="00C36189" w:rsidRDefault="005D6C2A" w:rsidP="005D6C2A">
      <w:pPr>
        <w:jc w:val="center"/>
        <w:rPr>
          <w:sz w:val="52"/>
        </w:rPr>
      </w:pPr>
    </w:p>
    <w:p w:rsidR="005D6C2A" w:rsidRPr="007C1A1D" w:rsidRDefault="005D6C2A" w:rsidP="005D6C2A">
      <w:pPr>
        <w:jc w:val="center"/>
        <w:rPr>
          <w:sz w:val="4"/>
        </w:rPr>
      </w:pPr>
    </w:p>
    <w:p w:rsidR="005D6C2A" w:rsidRPr="005D6C2A" w:rsidRDefault="005D6C2A" w:rsidP="005D6C2A">
      <w:pPr>
        <w:spacing w:after="240" w:line="240" w:lineRule="auto"/>
        <w:jc w:val="center"/>
        <w:rPr>
          <w:sz w:val="52"/>
        </w:rPr>
      </w:pPr>
      <w:r w:rsidRPr="005D6C2A">
        <w:rPr>
          <w:sz w:val="52"/>
        </w:rPr>
        <w:t xml:space="preserve">Sheffield Institute of </w:t>
      </w:r>
    </w:p>
    <w:p w:rsidR="005D6C2A" w:rsidRPr="005D6C2A" w:rsidRDefault="005D6C2A" w:rsidP="005D6C2A">
      <w:pPr>
        <w:spacing w:after="240" w:line="240" w:lineRule="auto"/>
        <w:jc w:val="center"/>
        <w:rPr>
          <w:sz w:val="52"/>
        </w:rPr>
      </w:pPr>
      <w:r w:rsidRPr="005D6C2A">
        <w:rPr>
          <w:sz w:val="52"/>
        </w:rPr>
        <w:t>Interdisciplinary Biblical Studies:</w:t>
      </w:r>
    </w:p>
    <w:p w:rsidR="005D6C2A" w:rsidRPr="005D6C2A" w:rsidRDefault="005D6C2A" w:rsidP="005D6C2A">
      <w:pPr>
        <w:jc w:val="center"/>
        <w:rPr>
          <w:sz w:val="52"/>
        </w:rPr>
      </w:pPr>
      <w:r w:rsidRPr="005D6C2A">
        <w:rPr>
          <w:sz w:val="52"/>
        </w:rPr>
        <w:t>Department of History</w:t>
      </w:r>
    </w:p>
    <w:p w:rsidR="005D6C2A" w:rsidRPr="005D6C2A" w:rsidRDefault="005D6C2A" w:rsidP="005D6C2A">
      <w:pPr>
        <w:jc w:val="center"/>
        <w:rPr>
          <w:sz w:val="12"/>
        </w:rPr>
      </w:pPr>
    </w:p>
    <w:p w:rsidR="007C1A1D" w:rsidRPr="005D6C2A" w:rsidRDefault="005D6C2A" w:rsidP="005D6C2A">
      <w:pPr>
        <w:jc w:val="center"/>
        <w:rPr>
          <w:sz w:val="52"/>
          <w:szCs w:val="48"/>
        </w:rPr>
      </w:pPr>
      <w:r w:rsidRPr="005D6C2A">
        <w:rPr>
          <w:sz w:val="52"/>
          <w:szCs w:val="48"/>
        </w:rPr>
        <w:t>July 2018</w:t>
      </w:r>
    </w:p>
    <w:p w:rsidR="005D6C2A" w:rsidRDefault="005D6C2A" w:rsidP="005D6C2A">
      <w:pPr>
        <w:jc w:val="center"/>
        <w:rPr>
          <w:sz w:val="48"/>
          <w:szCs w:val="48"/>
        </w:rPr>
      </w:pPr>
    </w:p>
    <w:p w:rsidR="00F81942" w:rsidRDefault="00F81942" w:rsidP="00F81942">
      <w:pPr>
        <w:autoSpaceDE w:val="0"/>
        <w:autoSpaceDN w:val="0"/>
        <w:adjustRightInd w:val="0"/>
        <w:spacing w:after="0" w:line="240" w:lineRule="auto"/>
        <w:jc w:val="center"/>
        <w:rPr>
          <w:rFonts w:cs="Symbol"/>
          <w:sz w:val="40"/>
        </w:rPr>
      </w:pPr>
      <w:r w:rsidRPr="005941BA">
        <w:rPr>
          <w:rFonts w:ascii="Symbol" w:hAnsi="Symbol" w:cs="Symbol"/>
          <w:sz w:val="56"/>
          <w:szCs w:val="23"/>
        </w:rPr>
        <w:lastRenderedPageBreak/>
        <w:t></w:t>
      </w:r>
      <w:r w:rsidRPr="005941BA">
        <w:rPr>
          <w:rFonts w:cs="Symbol"/>
          <w:sz w:val="40"/>
        </w:rPr>
        <w:t>201</w:t>
      </w:r>
      <w:r>
        <w:rPr>
          <w:rFonts w:cs="Symbol"/>
          <w:sz w:val="40"/>
        </w:rPr>
        <w:t>8</w:t>
      </w:r>
    </w:p>
    <w:p w:rsidR="00F81942" w:rsidRDefault="00F81942" w:rsidP="00F81942">
      <w:pPr>
        <w:autoSpaceDE w:val="0"/>
        <w:autoSpaceDN w:val="0"/>
        <w:adjustRightInd w:val="0"/>
        <w:spacing w:after="0" w:line="240" w:lineRule="auto"/>
        <w:jc w:val="center"/>
        <w:rPr>
          <w:rFonts w:cs="Symbol"/>
          <w:sz w:val="40"/>
        </w:rPr>
      </w:pPr>
      <w:r>
        <w:rPr>
          <w:rFonts w:cs="Symbol"/>
          <w:sz w:val="40"/>
        </w:rPr>
        <w:t>Hilary Margaret Perry</w:t>
      </w:r>
    </w:p>
    <w:p w:rsidR="00F81942" w:rsidRDefault="00F81942" w:rsidP="00F81942">
      <w:pPr>
        <w:autoSpaceDE w:val="0"/>
        <w:autoSpaceDN w:val="0"/>
        <w:adjustRightInd w:val="0"/>
        <w:spacing w:after="0" w:line="240" w:lineRule="auto"/>
        <w:jc w:val="center"/>
        <w:rPr>
          <w:rFonts w:cs="Symbol"/>
          <w:sz w:val="40"/>
        </w:rPr>
      </w:pPr>
      <w:r>
        <w:rPr>
          <w:rFonts w:cs="Symbol"/>
          <w:sz w:val="40"/>
        </w:rPr>
        <w:t>ALL RIGHTS RESERVED</w:t>
      </w:r>
    </w:p>
    <w:p w:rsidR="00454403" w:rsidRDefault="00454403" w:rsidP="00F81942">
      <w:pPr>
        <w:autoSpaceDE w:val="0"/>
        <w:autoSpaceDN w:val="0"/>
        <w:adjustRightInd w:val="0"/>
        <w:spacing w:after="0" w:line="240" w:lineRule="auto"/>
        <w:jc w:val="center"/>
        <w:rPr>
          <w:rFonts w:cs="MS Shell Dlg 2"/>
        </w:rPr>
        <w:sectPr w:rsidR="00454403" w:rsidSect="00454403">
          <w:footnotePr>
            <w:numFmt w:val="lowerRoman"/>
            <w:numRestart w:val="eachSect"/>
          </w:footnotePr>
          <w:pgSz w:w="11906" w:h="16838" w:code="9"/>
          <w:pgMar w:top="1440" w:right="1134" w:bottom="1440" w:left="2268" w:header="709" w:footer="709" w:gutter="0"/>
          <w:cols w:space="708"/>
          <w:vAlign w:val="center"/>
          <w:docGrid w:linePitch="360"/>
        </w:sectPr>
      </w:pPr>
    </w:p>
    <w:p w:rsidR="00F81942" w:rsidRPr="00D71112" w:rsidRDefault="00F81942" w:rsidP="00F81942">
      <w:pPr>
        <w:jc w:val="center"/>
        <w:rPr>
          <w:b/>
          <w:sz w:val="24"/>
        </w:rPr>
      </w:pPr>
      <w:r w:rsidRPr="00D71112">
        <w:rPr>
          <w:b/>
          <w:sz w:val="24"/>
        </w:rPr>
        <w:lastRenderedPageBreak/>
        <w:t>Acknowledgements</w:t>
      </w:r>
    </w:p>
    <w:p w:rsidR="00A83374" w:rsidRDefault="00A83374" w:rsidP="00A83374">
      <w:pPr>
        <w:spacing w:after="120" w:line="360" w:lineRule="auto"/>
        <w:jc w:val="both"/>
      </w:pPr>
      <w:r>
        <w:t xml:space="preserve">I would like to thank the Department of Biblical Studies at the University of Sheffield, and latterly Sheffield Institute of Interdisciplinary Biblical Studies, </w:t>
      </w:r>
      <w:r w:rsidRPr="00CA1839">
        <w:t xml:space="preserve">for </w:t>
      </w:r>
      <w:r>
        <w:t xml:space="preserve">excellent teaching during my time as an undergraduate and continuing support while studying as a postgraduate.  </w:t>
      </w:r>
      <w:r w:rsidRPr="00CA1839">
        <w:t xml:space="preserve">I especially thank </w:t>
      </w:r>
      <w:r>
        <w:t xml:space="preserve">my supervisor, Mark Finney, for working with me for many years on </w:t>
      </w:r>
      <w:r w:rsidRPr="00D71112">
        <w:rPr>
          <w:i/>
        </w:rPr>
        <w:t>Dispensing Dispensationalism</w:t>
      </w:r>
      <w:r>
        <w:t xml:space="preserve">.  Mark’s encouragement has been invaluable.  Thank you to the friends who have accompanied me on my postgraduate journey, especially Philippe Guillaume, Iona Hine, Alan Saxby and Marlene Wilkinson.  Thank you to the many people who have listened to my papers at conferences and asked pertinent questions. </w:t>
      </w:r>
    </w:p>
    <w:p w:rsidR="00A83374" w:rsidRDefault="00A83374" w:rsidP="00A83374">
      <w:pPr>
        <w:spacing w:after="120" w:line="360" w:lineRule="auto"/>
        <w:ind w:firstLine="567"/>
        <w:jc w:val="both"/>
      </w:pPr>
      <w:r>
        <w:t xml:space="preserve">I am also grateful to many biblical scholars who have assisted me, especially Larry Crutchfield, Charles Dyer, Arnold Fruchtenbaum, Edward Hindson, Todd Mangum and Diarmaid MacCulloch.  Thanks also to Mark Cannon, who has helped me many times with my questions about </w:t>
      </w:r>
      <w:r w:rsidRPr="005B6708">
        <w:rPr>
          <w:i/>
        </w:rPr>
        <w:t>Bibleworks</w:t>
      </w:r>
      <w:r>
        <w:t xml:space="preserve">, and to Donald Kraus at </w:t>
      </w:r>
      <w:r w:rsidRPr="005B6708">
        <w:rPr>
          <w:i/>
        </w:rPr>
        <w:t>OUP</w:t>
      </w:r>
      <w:r>
        <w:rPr>
          <w:i/>
        </w:rPr>
        <w:t xml:space="preserve"> </w:t>
      </w:r>
      <w:r w:rsidRPr="005B6708">
        <w:t>in New York,</w:t>
      </w:r>
      <w:r>
        <w:t xml:space="preserve"> who told me that the 1917 Scofield Reference Bible was still the best-selling Bible at </w:t>
      </w:r>
      <w:r w:rsidRPr="005B6708">
        <w:rPr>
          <w:i/>
        </w:rPr>
        <w:t>OUP</w:t>
      </w:r>
      <w:r>
        <w:t xml:space="preserve"> for evangelical Protestant customers, thus reassuring me that my research was relevant.  </w:t>
      </w:r>
    </w:p>
    <w:p w:rsidR="00454403" w:rsidRDefault="00A83374" w:rsidP="00A83374">
      <w:pPr>
        <w:spacing w:after="120" w:line="360" w:lineRule="auto"/>
        <w:ind w:firstLine="567"/>
        <w:sectPr w:rsidR="00454403" w:rsidSect="00454403">
          <w:headerReference w:type="default" r:id="rId9"/>
          <w:footnotePr>
            <w:numFmt w:val="lowerRoman"/>
            <w:numRestart w:val="eachSect"/>
          </w:footnotePr>
          <w:pgSz w:w="11906" w:h="16838" w:code="9"/>
          <w:pgMar w:top="1440" w:right="1134" w:bottom="1440" w:left="2268" w:header="709" w:footer="709" w:gutter="0"/>
          <w:cols w:space="708"/>
          <w:docGrid w:linePitch="360"/>
        </w:sectPr>
      </w:pPr>
      <w:r>
        <w:t>Finally, thank you to my family for their encouragement and especially to my husband Richard, for his unstinting support in looking after me while I worked and for his meticulous proof-reading</w:t>
      </w:r>
      <w:r w:rsidR="00F81942">
        <w:t>.</w:t>
      </w:r>
    </w:p>
    <w:p w:rsidR="00F81942" w:rsidRDefault="00454403" w:rsidP="00454403">
      <w:pPr>
        <w:spacing w:after="120" w:line="360" w:lineRule="auto"/>
        <w:ind w:firstLine="567"/>
        <w:jc w:val="center"/>
      </w:pPr>
      <w:r>
        <w:lastRenderedPageBreak/>
        <w:t>Page intentionally left blank</w:t>
      </w:r>
    </w:p>
    <w:p w:rsidR="00454403" w:rsidRDefault="00454403" w:rsidP="00454403">
      <w:pPr>
        <w:spacing w:after="120" w:line="360" w:lineRule="auto"/>
        <w:ind w:firstLine="567"/>
        <w:jc w:val="center"/>
        <w:sectPr w:rsidR="00454403" w:rsidSect="00454403">
          <w:footnotePr>
            <w:numFmt w:val="lowerRoman"/>
            <w:numRestart w:val="eachSect"/>
          </w:footnotePr>
          <w:pgSz w:w="11906" w:h="16838" w:code="9"/>
          <w:pgMar w:top="1440" w:right="1134" w:bottom="1440" w:left="2268" w:header="709" w:footer="709" w:gutter="0"/>
          <w:cols w:space="708"/>
          <w:vAlign w:val="center"/>
          <w:docGrid w:linePitch="360"/>
        </w:sectPr>
      </w:pPr>
    </w:p>
    <w:tbl>
      <w:tblPr>
        <w:tblW w:w="0" w:type="auto"/>
        <w:tblLook w:val="04A0" w:firstRow="1" w:lastRow="0" w:firstColumn="1" w:lastColumn="0" w:noHBand="0" w:noVBand="1"/>
      </w:tblPr>
      <w:tblGrid>
        <w:gridCol w:w="639"/>
        <w:gridCol w:w="9"/>
        <w:gridCol w:w="721"/>
        <w:gridCol w:w="390"/>
        <w:gridCol w:w="160"/>
        <w:gridCol w:w="364"/>
        <w:gridCol w:w="377"/>
        <w:gridCol w:w="1197"/>
        <w:gridCol w:w="294"/>
        <w:gridCol w:w="345"/>
        <w:gridCol w:w="432"/>
        <w:gridCol w:w="546"/>
        <w:gridCol w:w="196"/>
        <w:gridCol w:w="1206"/>
        <w:gridCol w:w="1047"/>
        <w:gridCol w:w="797"/>
      </w:tblGrid>
      <w:tr w:rsidR="00CD49BB" w:rsidRPr="00E743FC" w:rsidTr="007710E7">
        <w:tc>
          <w:tcPr>
            <w:tcW w:w="8720" w:type="dxa"/>
            <w:gridSpan w:val="16"/>
            <w:vAlign w:val="center"/>
          </w:tcPr>
          <w:p w:rsidR="00CD49BB" w:rsidRPr="00E743FC" w:rsidRDefault="00CD49BB" w:rsidP="00DB2906">
            <w:pPr>
              <w:spacing w:after="240" w:line="240" w:lineRule="auto"/>
              <w:ind w:right="74"/>
              <w:jc w:val="center"/>
              <w:rPr>
                <w:b/>
                <w:sz w:val="40"/>
                <w:szCs w:val="40"/>
              </w:rPr>
            </w:pPr>
            <w:r w:rsidRPr="00C404EE">
              <w:rPr>
                <w:b/>
                <w:sz w:val="2"/>
                <w:szCs w:val="40"/>
              </w:rPr>
              <w:lastRenderedPageBreak/>
              <w:t xml:space="preserve"> </w:t>
            </w:r>
            <w:r w:rsidRPr="00E743FC">
              <w:rPr>
                <w:b/>
                <w:sz w:val="40"/>
                <w:szCs w:val="40"/>
              </w:rPr>
              <w:t>CONTENTS</w:t>
            </w:r>
          </w:p>
        </w:tc>
      </w:tr>
      <w:tr w:rsidR="00CD49BB" w:rsidRPr="00E743FC" w:rsidTr="007710E7">
        <w:tc>
          <w:tcPr>
            <w:tcW w:w="8720" w:type="dxa"/>
            <w:gridSpan w:val="16"/>
          </w:tcPr>
          <w:p w:rsidR="00CD49BB" w:rsidRPr="00E743FC" w:rsidRDefault="00CD49BB" w:rsidP="00DB2906">
            <w:pPr>
              <w:spacing w:after="240" w:line="240" w:lineRule="auto"/>
              <w:ind w:right="74"/>
              <w:jc w:val="center"/>
              <w:rPr>
                <w:b/>
                <w:sz w:val="40"/>
                <w:szCs w:val="40"/>
              </w:rPr>
            </w:pPr>
            <w:r w:rsidRPr="00E743FC">
              <w:rPr>
                <w:b/>
                <w:sz w:val="32"/>
                <w:szCs w:val="32"/>
              </w:rPr>
              <w:t>VOLUME 1</w:t>
            </w:r>
          </w:p>
        </w:tc>
      </w:tr>
      <w:tr w:rsidR="00CD49BB" w:rsidRPr="00E743FC" w:rsidTr="007710E7">
        <w:tc>
          <w:tcPr>
            <w:tcW w:w="7923" w:type="dxa"/>
            <w:gridSpan w:val="15"/>
            <w:vAlign w:val="center"/>
          </w:tcPr>
          <w:p w:rsidR="00CD49BB" w:rsidRPr="00FB11C9" w:rsidRDefault="00CD49BB" w:rsidP="00CD49BB">
            <w:pPr>
              <w:spacing w:after="0" w:line="360" w:lineRule="auto"/>
              <w:ind w:right="74"/>
              <w:rPr>
                <w:sz w:val="24"/>
                <w:szCs w:val="24"/>
              </w:rPr>
            </w:pPr>
            <w:r w:rsidRPr="00FB11C9">
              <w:rPr>
                <w:sz w:val="24"/>
                <w:szCs w:val="24"/>
              </w:rPr>
              <w:t>Abstract</w:t>
            </w:r>
          </w:p>
        </w:tc>
        <w:tc>
          <w:tcPr>
            <w:tcW w:w="797" w:type="dxa"/>
            <w:vAlign w:val="center"/>
          </w:tcPr>
          <w:p w:rsidR="00CD49BB" w:rsidRPr="00E743FC" w:rsidRDefault="00CD49BB" w:rsidP="00A91054">
            <w:pPr>
              <w:ind w:right="74"/>
              <w:jc w:val="right"/>
            </w:pPr>
            <w:r>
              <w:t>1</w:t>
            </w:r>
          </w:p>
        </w:tc>
      </w:tr>
      <w:tr w:rsidR="00CD49BB" w:rsidRPr="00E743FC" w:rsidTr="007710E7">
        <w:tc>
          <w:tcPr>
            <w:tcW w:w="7923" w:type="dxa"/>
            <w:gridSpan w:val="15"/>
            <w:vAlign w:val="center"/>
          </w:tcPr>
          <w:p w:rsidR="00CD49BB" w:rsidRPr="00E743FC" w:rsidRDefault="00CD49BB" w:rsidP="00CD49BB">
            <w:pPr>
              <w:spacing w:after="0" w:line="360" w:lineRule="auto"/>
              <w:ind w:right="74"/>
            </w:pPr>
            <w:r w:rsidRPr="00FB11C9">
              <w:t>List of Abbreviations</w:t>
            </w:r>
          </w:p>
        </w:tc>
        <w:tc>
          <w:tcPr>
            <w:tcW w:w="797" w:type="dxa"/>
            <w:vAlign w:val="center"/>
          </w:tcPr>
          <w:p w:rsidR="00CD49BB" w:rsidRPr="00E743FC" w:rsidRDefault="00CD49BB" w:rsidP="00A91054">
            <w:pPr>
              <w:ind w:right="74"/>
              <w:jc w:val="right"/>
            </w:pPr>
            <w:r>
              <w:t>3</w:t>
            </w:r>
          </w:p>
        </w:tc>
      </w:tr>
      <w:tr w:rsidR="00CD49BB" w:rsidRPr="00E743FC" w:rsidTr="007710E7">
        <w:tc>
          <w:tcPr>
            <w:tcW w:w="4151" w:type="dxa"/>
            <w:gridSpan w:val="9"/>
          </w:tcPr>
          <w:p w:rsidR="00CD49BB" w:rsidRDefault="00CD49BB" w:rsidP="00DB2906">
            <w:pPr>
              <w:spacing w:after="0" w:line="240" w:lineRule="auto"/>
              <w:ind w:right="74"/>
              <w:rPr>
                <w:b/>
                <w:sz w:val="24"/>
              </w:rPr>
            </w:pPr>
            <w:r>
              <w:rPr>
                <w:b/>
                <w:sz w:val="24"/>
              </w:rPr>
              <w:t xml:space="preserve">PREFACE: </w:t>
            </w:r>
          </w:p>
          <w:p w:rsidR="00CD49BB" w:rsidRDefault="00CD49BB" w:rsidP="00DB2906">
            <w:pPr>
              <w:spacing w:after="0" w:line="240" w:lineRule="auto"/>
              <w:ind w:right="74"/>
              <w:rPr>
                <w:b/>
                <w:sz w:val="24"/>
              </w:rPr>
            </w:pPr>
            <w:r w:rsidRPr="00D6796B">
              <w:rPr>
                <w:b/>
                <w:sz w:val="24"/>
              </w:rPr>
              <w:t>What is Dispensationalism?</w:t>
            </w:r>
          </w:p>
          <w:p w:rsidR="00CD49BB" w:rsidRPr="006D4BCF" w:rsidRDefault="00CD49BB" w:rsidP="00DB2906">
            <w:pPr>
              <w:spacing w:after="240" w:line="240" w:lineRule="auto"/>
              <w:ind w:right="74"/>
              <w:rPr>
                <w:b/>
                <w:sz w:val="24"/>
              </w:rPr>
            </w:pPr>
            <w:r>
              <w:rPr>
                <w:b/>
                <w:sz w:val="24"/>
              </w:rPr>
              <w:t>Definitions and Origins</w:t>
            </w:r>
          </w:p>
        </w:tc>
        <w:tc>
          <w:tcPr>
            <w:tcW w:w="1519" w:type="dxa"/>
            <w:gridSpan w:val="4"/>
          </w:tcPr>
          <w:p w:rsidR="00CD49BB" w:rsidRPr="00E743FC" w:rsidRDefault="00CD49BB" w:rsidP="00DB2906">
            <w:pPr>
              <w:spacing w:after="120" w:line="360" w:lineRule="auto"/>
              <w:ind w:right="74"/>
            </w:pPr>
          </w:p>
        </w:tc>
        <w:tc>
          <w:tcPr>
            <w:tcW w:w="2253" w:type="dxa"/>
            <w:gridSpan w:val="2"/>
          </w:tcPr>
          <w:p w:rsidR="00CD49BB" w:rsidRPr="00E743FC" w:rsidRDefault="00CD49BB" w:rsidP="00DB2906">
            <w:pPr>
              <w:spacing w:after="120" w:line="360" w:lineRule="auto"/>
              <w:ind w:right="74"/>
            </w:pPr>
          </w:p>
        </w:tc>
        <w:tc>
          <w:tcPr>
            <w:tcW w:w="797" w:type="dxa"/>
            <w:vAlign w:val="center"/>
          </w:tcPr>
          <w:p w:rsidR="00CD49BB" w:rsidRPr="00E743FC" w:rsidRDefault="00CD49BB" w:rsidP="00A91054">
            <w:pPr>
              <w:spacing w:after="120"/>
              <w:ind w:right="74"/>
              <w:jc w:val="right"/>
            </w:pPr>
            <w:r>
              <w:t>5</w:t>
            </w:r>
          </w:p>
        </w:tc>
      </w:tr>
      <w:tr w:rsidR="00CD49BB" w:rsidRPr="00E743FC" w:rsidTr="007710E7">
        <w:tc>
          <w:tcPr>
            <w:tcW w:w="639" w:type="dxa"/>
          </w:tcPr>
          <w:p w:rsidR="00CD49BB" w:rsidRPr="00E743FC" w:rsidRDefault="00CD49BB" w:rsidP="00DB2906">
            <w:pPr>
              <w:spacing w:after="120" w:line="240" w:lineRule="auto"/>
              <w:ind w:right="74"/>
            </w:pPr>
          </w:p>
        </w:tc>
        <w:tc>
          <w:tcPr>
            <w:tcW w:w="5031" w:type="dxa"/>
            <w:gridSpan w:val="12"/>
          </w:tcPr>
          <w:p w:rsidR="00CD49BB" w:rsidRDefault="00CD49BB" w:rsidP="00DB2906">
            <w:pPr>
              <w:spacing w:after="120" w:line="240" w:lineRule="auto"/>
              <w:ind w:right="74"/>
            </w:pPr>
            <w:r>
              <w:t>Definitions of Dispensationalism</w:t>
            </w:r>
          </w:p>
        </w:tc>
        <w:tc>
          <w:tcPr>
            <w:tcW w:w="2253" w:type="dxa"/>
            <w:gridSpan w:val="2"/>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5</w:t>
            </w:r>
          </w:p>
        </w:tc>
      </w:tr>
      <w:tr w:rsidR="00CD49BB" w:rsidRPr="00E743FC" w:rsidTr="007710E7">
        <w:tc>
          <w:tcPr>
            <w:tcW w:w="639" w:type="dxa"/>
          </w:tcPr>
          <w:p w:rsidR="00CD49BB" w:rsidRPr="00E743FC" w:rsidRDefault="00CD49BB" w:rsidP="00DB2906">
            <w:pPr>
              <w:spacing w:after="120" w:line="240" w:lineRule="auto"/>
              <w:ind w:right="74"/>
            </w:pPr>
          </w:p>
        </w:tc>
        <w:tc>
          <w:tcPr>
            <w:tcW w:w="1120" w:type="dxa"/>
            <w:gridSpan w:val="3"/>
          </w:tcPr>
          <w:p w:rsidR="00CD49BB" w:rsidRPr="00E743FC" w:rsidRDefault="00CD49BB" w:rsidP="00DB2906">
            <w:pPr>
              <w:spacing w:after="120" w:line="240" w:lineRule="auto"/>
              <w:ind w:right="74"/>
            </w:pPr>
          </w:p>
        </w:tc>
        <w:tc>
          <w:tcPr>
            <w:tcW w:w="6164" w:type="dxa"/>
            <w:gridSpan w:val="11"/>
          </w:tcPr>
          <w:p w:rsidR="00CD49BB" w:rsidRPr="00E743FC" w:rsidRDefault="00CD49BB" w:rsidP="00DB2906">
            <w:pPr>
              <w:spacing w:after="120" w:line="240" w:lineRule="auto"/>
              <w:ind w:right="74"/>
            </w:pPr>
            <w:r>
              <w:t>1  Dictionary Definitions</w:t>
            </w:r>
          </w:p>
        </w:tc>
        <w:tc>
          <w:tcPr>
            <w:tcW w:w="797" w:type="dxa"/>
          </w:tcPr>
          <w:p w:rsidR="00CD49BB" w:rsidRPr="00E743FC" w:rsidRDefault="00CD49BB" w:rsidP="00A91054">
            <w:pPr>
              <w:spacing w:after="120" w:line="240" w:lineRule="auto"/>
              <w:ind w:right="74"/>
              <w:jc w:val="right"/>
            </w:pPr>
            <w:r>
              <w:t>6</w:t>
            </w:r>
          </w:p>
        </w:tc>
      </w:tr>
      <w:tr w:rsidR="00CD49BB" w:rsidRPr="00E743FC" w:rsidTr="007710E7">
        <w:tc>
          <w:tcPr>
            <w:tcW w:w="639" w:type="dxa"/>
          </w:tcPr>
          <w:p w:rsidR="00CD49BB" w:rsidRPr="00E743FC" w:rsidRDefault="00CD49BB" w:rsidP="00DB2906">
            <w:pPr>
              <w:spacing w:after="120" w:line="240" w:lineRule="auto"/>
              <w:ind w:right="74"/>
            </w:pPr>
          </w:p>
        </w:tc>
        <w:tc>
          <w:tcPr>
            <w:tcW w:w="1120" w:type="dxa"/>
            <w:gridSpan w:val="3"/>
          </w:tcPr>
          <w:p w:rsidR="00CD49BB" w:rsidRPr="00E743FC" w:rsidRDefault="00CD49BB" w:rsidP="00DB2906">
            <w:pPr>
              <w:spacing w:after="120" w:line="240" w:lineRule="auto"/>
              <w:ind w:right="74"/>
            </w:pPr>
          </w:p>
        </w:tc>
        <w:tc>
          <w:tcPr>
            <w:tcW w:w="6164" w:type="dxa"/>
            <w:gridSpan w:val="11"/>
          </w:tcPr>
          <w:p w:rsidR="00CD49BB" w:rsidRPr="00E743FC" w:rsidRDefault="00CD49BB" w:rsidP="00DB2906">
            <w:pPr>
              <w:spacing w:after="120" w:line="240" w:lineRule="auto"/>
              <w:ind w:right="74"/>
            </w:pPr>
            <w:r>
              <w:t>2  Scholarly Definitions</w:t>
            </w:r>
          </w:p>
        </w:tc>
        <w:tc>
          <w:tcPr>
            <w:tcW w:w="797" w:type="dxa"/>
          </w:tcPr>
          <w:p w:rsidR="00CD49BB" w:rsidRPr="00E743FC" w:rsidRDefault="00CD49BB" w:rsidP="00A91054">
            <w:pPr>
              <w:spacing w:after="120" w:line="240" w:lineRule="auto"/>
              <w:ind w:right="74"/>
              <w:jc w:val="right"/>
            </w:pPr>
            <w:r>
              <w:t>8</w:t>
            </w:r>
          </w:p>
        </w:tc>
      </w:tr>
      <w:tr w:rsidR="00CD49BB" w:rsidRPr="00E743FC" w:rsidTr="007710E7">
        <w:tc>
          <w:tcPr>
            <w:tcW w:w="639" w:type="dxa"/>
          </w:tcPr>
          <w:p w:rsidR="00CD49BB" w:rsidRPr="00E743FC" w:rsidRDefault="00CD49BB" w:rsidP="00DB2906">
            <w:pPr>
              <w:spacing w:after="120" w:line="240" w:lineRule="auto"/>
              <w:ind w:right="74"/>
            </w:pPr>
          </w:p>
        </w:tc>
        <w:tc>
          <w:tcPr>
            <w:tcW w:w="1644" w:type="dxa"/>
            <w:gridSpan w:val="5"/>
          </w:tcPr>
          <w:p w:rsidR="00CD49BB" w:rsidRPr="00E743FC" w:rsidRDefault="00CD49BB" w:rsidP="00DB2906">
            <w:pPr>
              <w:spacing w:after="120" w:line="240" w:lineRule="auto"/>
              <w:ind w:right="74"/>
            </w:pPr>
          </w:p>
        </w:tc>
        <w:tc>
          <w:tcPr>
            <w:tcW w:w="2213" w:type="dxa"/>
            <w:gridSpan w:val="4"/>
          </w:tcPr>
          <w:p w:rsidR="00CD49BB" w:rsidRDefault="00CD49BB" w:rsidP="00DB2906">
            <w:pPr>
              <w:spacing w:after="120" w:line="240" w:lineRule="auto"/>
              <w:ind w:right="74"/>
            </w:pPr>
            <w:r>
              <w:rPr>
                <w:i/>
              </w:rPr>
              <w:t>a)  A Theological System</w:t>
            </w:r>
          </w:p>
        </w:tc>
        <w:tc>
          <w:tcPr>
            <w:tcW w:w="3427" w:type="dxa"/>
            <w:gridSpan w:val="5"/>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8</w:t>
            </w:r>
          </w:p>
        </w:tc>
      </w:tr>
      <w:tr w:rsidR="00CD49BB" w:rsidRPr="00E743FC" w:rsidTr="007710E7">
        <w:tc>
          <w:tcPr>
            <w:tcW w:w="639" w:type="dxa"/>
          </w:tcPr>
          <w:p w:rsidR="00CD49BB" w:rsidRPr="00E743FC" w:rsidRDefault="00CD49BB" w:rsidP="00DB2906">
            <w:pPr>
              <w:spacing w:after="120" w:line="240" w:lineRule="auto"/>
              <w:ind w:right="74"/>
            </w:pPr>
          </w:p>
        </w:tc>
        <w:tc>
          <w:tcPr>
            <w:tcW w:w="1644" w:type="dxa"/>
            <w:gridSpan w:val="5"/>
          </w:tcPr>
          <w:p w:rsidR="00CD49BB" w:rsidRPr="00E743FC" w:rsidRDefault="00CD49BB" w:rsidP="00DB2906">
            <w:pPr>
              <w:spacing w:after="120" w:line="240" w:lineRule="auto"/>
              <w:ind w:right="74"/>
            </w:pPr>
          </w:p>
        </w:tc>
        <w:tc>
          <w:tcPr>
            <w:tcW w:w="4593" w:type="dxa"/>
            <w:gridSpan w:val="8"/>
          </w:tcPr>
          <w:p w:rsidR="00CD49BB" w:rsidRDefault="00CD49BB" w:rsidP="00DB2906">
            <w:pPr>
              <w:spacing w:after="120" w:line="240" w:lineRule="auto"/>
              <w:ind w:right="74"/>
            </w:pPr>
            <w:r>
              <w:rPr>
                <w:i/>
              </w:rPr>
              <w:t>b)  A Method of Biblical Interpretation</w:t>
            </w:r>
          </w:p>
        </w:tc>
        <w:tc>
          <w:tcPr>
            <w:tcW w:w="1047" w:type="dxa"/>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8</w:t>
            </w:r>
          </w:p>
        </w:tc>
      </w:tr>
      <w:tr w:rsidR="00CD49BB" w:rsidRPr="00E743FC" w:rsidTr="007710E7">
        <w:tc>
          <w:tcPr>
            <w:tcW w:w="639" w:type="dxa"/>
          </w:tcPr>
          <w:p w:rsidR="00CD49BB" w:rsidRPr="00E743FC" w:rsidRDefault="00CD49BB" w:rsidP="00DB2906">
            <w:pPr>
              <w:spacing w:after="120" w:line="240" w:lineRule="auto"/>
              <w:ind w:right="74"/>
            </w:pPr>
          </w:p>
        </w:tc>
        <w:tc>
          <w:tcPr>
            <w:tcW w:w="1644" w:type="dxa"/>
            <w:gridSpan w:val="5"/>
          </w:tcPr>
          <w:p w:rsidR="00CD49BB" w:rsidRPr="00E743FC" w:rsidRDefault="00CD49BB" w:rsidP="00DB2906">
            <w:pPr>
              <w:spacing w:after="120" w:line="240" w:lineRule="auto"/>
              <w:ind w:right="74"/>
            </w:pPr>
          </w:p>
        </w:tc>
        <w:tc>
          <w:tcPr>
            <w:tcW w:w="4593" w:type="dxa"/>
            <w:gridSpan w:val="8"/>
          </w:tcPr>
          <w:p w:rsidR="00CD49BB" w:rsidRDefault="00CD49BB" w:rsidP="00DB2906">
            <w:pPr>
              <w:spacing w:after="120" w:line="240" w:lineRule="auto"/>
              <w:ind w:right="74"/>
            </w:pPr>
            <w:r>
              <w:rPr>
                <w:i/>
              </w:rPr>
              <w:t>c)  A Concept of Divine Purpose for the World</w:t>
            </w:r>
          </w:p>
        </w:tc>
        <w:tc>
          <w:tcPr>
            <w:tcW w:w="1047" w:type="dxa"/>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9</w:t>
            </w:r>
          </w:p>
        </w:tc>
      </w:tr>
      <w:tr w:rsidR="00CD49BB" w:rsidRPr="00E743FC" w:rsidTr="007710E7">
        <w:tc>
          <w:tcPr>
            <w:tcW w:w="639" w:type="dxa"/>
          </w:tcPr>
          <w:p w:rsidR="00CD49BB" w:rsidRPr="00E743FC" w:rsidRDefault="00CD49BB" w:rsidP="00DB2906">
            <w:pPr>
              <w:spacing w:after="120" w:line="240" w:lineRule="auto"/>
              <w:ind w:right="74"/>
            </w:pPr>
          </w:p>
        </w:tc>
        <w:tc>
          <w:tcPr>
            <w:tcW w:w="1644" w:type="dxa"/>
            <w:gridSpan w:val="5"/>
          </w:tcPr>
          <w:p w:rsidR="00CD49BB" w:rsidRPr="00E743FC" w:rsidRDefault="00CD49BB" w:rsidP="00DB2906">
            <w:pPr>
              <w:spacing w:after="120" w:line="240" w:lineRule="auto"/>
              <w:ind w:right="74"/>
            </w:pPr>
          </w:p>
        </w:tc>
        <w:tc>
          <w:tcPr>
            <w:tcW w:w="4593" w:type="dxa"/>
            <w:gridSpan w:val="8"/>
          </w:tcPr>
          <w:p w:rsidR="00CD49BB" w:rsidRDefault="00CD49BB" w:rsidP="00DB2906">
            <w:pPr>
              <w:spacing w:after="120" w:line="240" w:lineRule="auto"/>
              <w:ind w:right="74"/>
            </w:pPr>
            <w:r>
              <w:rPr>
                <w:i/>
              </w:rPr>
              <w:t>d)  An Eschatological System</w:t>
            </w:r>
          </w:p>
        </w:tc>
        <w:tc>
          <w:tcPr>
            <w:tcW w:w="1047" w:type="dxa"/>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9</w:t>
            </w:r>
          </w:p>
        </w:tc>
      </w:tr>
      <w:tr w:rsidR="00CD49BB" w:rsidRPr="00E743FC" w:rsidTr="007710E7">
        <w:tc>
          <w:tcPr>
            <w:tcW w:w="639" w:type="dxa"/>
          </w:tcPr>
          <w:p w:rsidR="00CD49BB" w:rsidRPr="00E743FC" w:rsidRDefault="00CD49BB" w:rsidP="00DB2906">
            <w:pPr>
              <w:spacing w:after="120" w:line="240" w:lineRule="auto"/>
              <w:ind w:right="74"/>
            </w:pPr>
          </w:p>
        </w:tc>
        <w:tc>
          <w:tcPr>
            <w:tcW w:w="1120" w:type="dxa"/>
            <w:gridSpan w:val="3"/>
          </w:tcPr>
          <w:p w:rsidR="00CD49BB" w:rsidRPr="00E743FC" w:rsidRDefault="00CD49BB" w:rsidP="00DB2906">
            <w:pPr>
              <w:spacing w:after="120" w:line="240" w:lineRule="auto"/>
              <w:ind w:right="74"/>
            </w:pPr>
          </w:p>
        </w:tc>
        <w:tc>
          <w:tcPr>
            <w:tcW w:w="6164" w:type="dxa"/>
            <w:gridSpan w:val="11"/>
          </w:tcPr>
          <w:p w:rsidR="00CD49BB" w:rsidRPr="00E743FC" w:rsidRDefault="00CD49BB" w:rsidP="00DB2906">
            <w:pPr>
              <w:spacing w:after="120" w:line="240" w:lineRule="auto"/>
              <w:ind w:right="74"/>
            </w:pPr>
            <w:r>
              <w:t>3 Conclusion</w:t>
            </w:r>
          </w:p>
        </w:tc>
        <w:tc>
          <w:tcPr>
            <w:tcW w:w="797" w:type="dxa"/>
          </w:tcPr>
          <w:p w:rsidR="00CD49BB" w:rsidRPr="00E743FC" w:rsidRDefault="00CD49BB" w:rsidP="00A91054">
            <w:pPr>
              <w:spacing w:after="120" w:line="240" w:lineRule="auto"/>
              <w:ind w:right="74"/>
              <w:jc w:val="right"/>
            </w:pPr>
            <w:r>
              <w:t>10</w:t>
            </w:r>
          </w:p>
        </w:tc>
      </w:tr>
      <w:tr w:rsidR="00CD49BB" w:rsidRPr="00E743FC" w:rsidTr="007710E7">
        <w:tc>
          <w:tcPr>
            <w:tcW w:w="639" w:type="dxa"/>
          </w:tcPr>
          <w:p w:rsidR="00CD49BB" w:rsidRPr="00E743FC" w:rsidRDefault="00CD49BB" w:rsidP="00DB2906">
            <w:pPr>
              <w:spacing w:after="120" w:line="240" w:lineRule="auto"/>
              <w:ind w:right="74"/>
            </w:pPr>
          </w:p>
        </w:tc>
        <w:tc>
          <w:tcPr>
            <w:tcW w:w="4289" w:type="dxa"/>
            <w:gridSpan w:val="10"/>
          </w:tcPr>
          <w:p w:rsidR="00CD49BB" w:rsidRDefault="00CD49BB" w:rsidP="00DB2906">
            <w:pPr>
              <w:spacing w:after="120" w:line="240" w:lineRule="auto"/>
              <w:ind w:right="74"/>
            </w:pPr>
            <w:r>
              <w:t>Origins of Dispensationalism</w:t>
            </w:r>
          </w:p>
        </w:tc>
        <w:tc>
          <w:tcPr>
            <w:tcW w:w="2995" w:type="dxa"/>
            <w:gridSpan w:val="4"/>
          </w:tcPr>
          <w:p w:rsidR="00CD49BB" w:rsidRPr="00E743FC" w:rsidRDefault="00CD49BB" w:rsidP="00DB2906">
            <w:pPr>
              <w:spacing w:after="120" w:line="240" w:lineRule="auto"/>
              <w:ind w:right="74"/>
            </w:pPr>
          </w:p>
        </w:tc>
        <w:tc>
          <w:tcPr>
            <w:tcW w:w="797" w:type="dxa"/>
          </w:tcPr>
          <w:p w:rsidR="00CD49BB" w:rsidRPr="00E743FC" w:rsidRDefault="00CD49BB" w:rsidP="00A91054">
            <w:pPr>
              <w:spacing w:after="120" w:line="240" w:lineRule="auto"/>
              <w:ind w:right="74"/>
              <w:jc w:val="right"/>
            </w:pPr>
            <w:r>
              <w:t>11</w:t>
            </w:r>
          </w:p>
        </w:tc>
      </w:tr>
      <w:tr w:rsidR="00CD49BB" w:rsidRPr="00E743FC" w:rsidTr="007710E7">
        <w:tc>
          <w:tcPr>
            <w:tcW w:w="639" w:type="dxa"/>
          </w:tcPr>
          <w:p w:rsidR="00CD49BB" w:rsidRPr="00E743FC" w:rsidRDefault="00CD49BB" w:rsidP="00DB2906">
            <w:pPr>
              <w:spacing w:after="120" w:line="240" w:lineRule="auto"/>
              <w:ind w:right="74"/>
            </w:pPr>
          </w:p>
        </w:tc>
        <w:tc>
          <w:tcPr>
            <w:tcW w:w="1120" w:type="dxa"/>
            <w:gridSpan w:val="3"/>
          </w:tcPr>
          <w:p w:rsidR="00CD49BB" w:rsidRPr="00E743FC" w:rsidRDefault="00CD49BB" w:rsidP="00DB2906">
            <w:pPr>
              <w:spacing w:after="120" w:line="240" w:lineRule="auto"/>
              <w:ind w:right="74"/>
            </w:pPr>
          </w:p>
        </w:tc>
        <w:tc>
          <w:tcPr>
            <w:tcW w:w="6164" w:type="dxa"/>
            <w:gridSpan w:val="11"/>
          </w:tcPr>
          <w:p w:rsidR="00CD49BB" w:rsidRPr="00E743FC" w:rsidRDefault="00CD49BB" w:rsidP="00CD49BB">
            <w:pPr>
              <w:spacing w:after="120" w:line="240" w:lineRule="auto"/>
              <w:ind w:right="74"/>
            </w:pPr>
            <w:r>
              <w:t>Conclusion</w:t>
            </w:r>
          </w:p>
        </w:tc>
        <w:tc>
          <w:tcPr>
            <w:tcW w:w="797" w:type="dxa"/>
          </w:tcPr>
          <w:p w:rsidR="00CD49BB" w:rsidRPr="00E743FC" w:rsidRDefault="00CD49BB" w:rsidP="00A91054">
            <w:pPr>
              <w:spacing w:after="120" w:line="240" w:lineRule="auto"/>
              <w:ind w:right="74"/>
              <w:jc w:val="right"/>
            </w:pPr>
            <w:r>
              <w:t>14</w:t>
            </w:r>
          </w:p>
        </w:tc>
      </w:tr>
      <w:tr w:rsidR="00CD49BB" w:rsidRPr="00E743FC" w:rsidTr="007710E7">
        <w:tc>
          <w:tcPr>
            <w:tcW w:w="648" w:type="dxa"/>
            <w:gridSpan w:val="2"/>
          </w:tcPr>
          <w:p w:rsidR="00CD49BB" w:rsidRDefault="00CD49BB" w:rsidP="00DB2906">
            <w:pPr>
              <w:spacing w:after="120" w:line="240" w:lineRule="auto"/>
              <w:ind w:right="74"/>
            </w:pPr>
          </w:p>
        </w:tc>
        <w:tc>
          <w:tcPr>
            <w:tcW w:w="7275" w:type="dxa"/>
            <w:gridSpan w:val="13"/>
          </w:tcPr>
          <w:p w:rsidR="00CD49BB" w:rsidRPr="005D5DDE" w:rsidRDefault="00CD49BB" w:rsidP="00DB2906">
            <w:pPr>
              <w:spacing w:after="120" w:line="240" w:lineRule="auto"/>
              <w:ind w:right="74"/>
              <w:rPr>
                <w:i/>
              </w:rPr>
            </w:pPr>
            <w:r w:rsidRPr="005D5DDE">
              <w:rPr>
                <w:i/>
              </w:rPr>
              <w:t xml:space="preserve">Endnotes, </w:t>
            </w:r>
            <w:r>
              <w:rPr>
                <w:i/>
              </w:rPr>
              <w:t>Preface</w:t>
            </w:r>
          </w:p>
        </w:tc>
        <w:tc>
          <w:tcPr>
            <w:tcW w:w="797" w:type="dxa"/>
          </w:tcPr>
          <w:p w:rsidR="00CD49BB" w:rsidRPr="00E743FC" w:rsidRDefault="00CD49BB" w:rsidP="00A91054">
            <w:pPr>
              <w:spacing w:after="120" w:line="240" w:lineRule="auto"/>
              <w:ind w:right="74"/>
              <w:jc w:val="right"/>
            </w:pPr>
            <w:r>
              <w:t>15</w:t>
            </w:r>
          </w:p>
        </w:tc>
      </w:tr>
      <w:tr w:rsidR="00CD49BB" w:rsidRPr="00E743FC" w:rsidTr="007710E7">
        <w:tc>
          <w:tcPr>
            <w:tcW w:w="648" w:type="dxa"/>
            <w:gridSpan w:val="2"/>
          </w:tcPr>
          <w:p w:rsidR="00CD49BB" w:rsidRDefault="00CD49BB" w:rsidP="00DB2906">
            <w:pPr>
              <w:spacing w:after="120" w:line="240" w:lineRule="auto"/>
              <w:ind w:right="74"/>
            </w:pPr>
          </w:p>
        </w:tc>
        <w:tc>
          <w:tcPr>
            <w:tcW w:w="7275" w:type="dxa"/>
            <w:gridSpan w:val="13"/>
          </w:tcPr>
          <w:p w:rsidR="00CD49BB" w:rsidRPr="005D5DDE" w:rsidRDefault="00CD49BB" w:rsidP="00DB2906">
            <w:pPr>
              <w:spacing w:after="120" w:line="240" w:lineRule="auto"/>
              <w:ind w:right="74"/>
              <w:rPr>
                <w:i/>
              </w:rPr>
            </w:pPr>
          </w:p>
        </w:tc>
        <w:tc>
          <w:tcPr>
            <w:tcW w:w="797" w:type="dxa"/>
          </w:tcPr>
          <w:p w:rsidR="00CD49BB" w:rsidRPr="00E743FC" w:rsidRDefault="00CD49BB" w:rsidP="00DB2906">
            <w:pPr>
              <w:spacing w:after="120" w:line="240" w:lineRule="auto"/>
              <w:ind w:right="74"/>
            </w:pPr>
          </w:p>
        </w:tc>
      </w:tr>
      <w:tr w:rsidR="00CD49BB" w:rsidRPr="00E743FC" w:rsidTr="007710E7">
        <w:tc>
          <w:tcPr>
            <w:tcW w:w="3857" w:type="dxa"/>
            <w:gridSpan w:val="8"/>
          </w:tcPr>
          <w:p w:rsidR="00CD49BB" w:rsidRDefault="00CD49BB" w:rsidP="00DB2906">
            <w:pPr>
              <w:spacing w:after="0" w:line="240" w:lineRule="auto"/>
              <w:ind w:right="74"/>
              <w:rPr>
                <w:b/>
                <w:sz w:val="24"/>
              </w:rPr>
            </w:pPr>
            <w:r w:rsidRPr="006D4BCF">
              <w:rPr>
                <w:b/>
                <w:sz w:val="24"/>
              </w:rPr>
              <w:t>INTRODUCTION</w:t>
            </w:r>
          </w:p>
          <w:p w:rsidR="00CD49BB" w:rsidRPr="00E743FC" w:rsidRDefault="00CD49BB" w:rsidP="00DB2906">
            <w:pPr>
              <w:spacing w:after="120" w:line="240" w:lineRule="auto"/>
              <w:ind w:right="74"/>
            </w:pPr>
            <w:r>
              <w:rPr>
                <w:b/>
                <w:sz w:val="24"/>
              </w:rPr>
              <w:t>The Scofield Reference Bible 1917</w:t>
            </w:r>
          </w:p>
        </w:tc>
        <w:tc>
          <w:tcPr>
            <w:tcW w:w="1617" w:type="dxa"/>
            <w:gridSpan w:val="4"/>
          </w:tcPr>
          <w:p w:rsidR="00CD49BB" w:rsidRPr="00E743FC" w:rsidRDefault="00CD49BB" w:rsidP="00DB2906">
            <w:pPr>
              <w:spacing w:after="120" w:line="360" w:lineRule="auto"/>
              <w:ind w:right="74"/>
            </w:pPr>
          </w:p>
        </w:tc>
        <w:tc>
          <w:tcPr>
            <w:tcW w:w="2449" w:type="dxa"/>
            <w:gridSpan w:val="3"/>
          </w:tcPr>
          <w:p w:rsidR="00CD49BB" w:rsidRPr="00E743FC" w:rsidRDefault="00CD49BB" w:rsidP="00DB2906">
            <w:pPr>
              <w:spacing w:after="120" w:line="360" w:lineRule="auto"/>
              <w:ind w:right="74"/>
            </w:pPr>
          </w:p>
        </w:tc>
        <w:tc>
          <w:tcPr>
            <w:tcW w:w="797" w:type="dxa"/>
            <w:vAlign w:val="center"/>
          </w:tcPr>
          <w:p w:rsidR="00CD49BB" w:rsidRPr="00E743FC" w:rsidRDefault="009E053D" w:rsidP="00A91054">
            <w:pPr>
              <w:spacing w:after="120"/>
              <w:ind w:right="74"/>
              <w:jc w:val="right"/>
            </w:pPr>
            <w:r>
              <w:t>19</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4826" w:type="dxa"/>
            <w:gridSpan w:val="10"/>
          </w:tcPr>
          <w:p w:rsidR="00CD49BB" w:rsidRPr="00AE073E" w:rsidRDefault="00CD49BB" w:rsidP="00DB2906">
            <w:pPr>
              <w:spacing w:after="120" w:line="240" w:lineRule="auto"/>
              <w:ind w:right="74"/>
            </w:pPr>
            <w:r>
              <w:t xml:space="preserve">1  </w:t>
            </w:r>
            <w:r w:rsidRPr="00AE073E">
              <w:t xml:space="preserve">Research Questions </w:t>
            </w:r>
          </w:p>
        </w:tc>
        <w:tc>
          <w:tcPr>
            <w:tcW w:w="2449" w:type="dxa"/>
            <w:gridSpan w:val="3"/>
          </w:tcPr>
          <w:p w:rsidR="00CD49BB" w:rsidRPr="00E743FC" w:rsidRDefault="00CD49BB" w:rsidP="00DB2906">
            <w:pPr>
              <w:spacing w:after="120" w:line="240" w:lineRule="auto"/>
              <w:ind w:right="74"/>
            </w:pPr>
          </w:p>
        </w:tc>
        <w:tc>
          <w:tcPr>
            <w:tcW w:w="797" w:type="dxa"/>
          </w:tcPr>
          <w:p w:rsidR="00CD49BB" w:rsidRPr="00E743FC" w:rsidRDefault="009E053D" w:rsidP="00A91054">
            <w:pPr>
              <w:spacing w:after="120" w:line="240" w:lineRule="auto"/>
              <w:ind w:right="74"/>
              <w:jc w:val="right"/>
            </w:pPr>
            <w:r>
              <w:t>19</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4826" w:type="dxa"/>
            <w:gridSpan w:val="10"/>
          </w:tcPr>
          <w:p w:rsidR="00CD49BB" w:rsidRDefault="00CD49BB" w:rsidP="00DB2906">
            <w:pPr>
              <w:spacing w:after="120" w:line="240" w:lineRule="auto"/>
              <w:ind w:right="74"/>
            </w:pPr>
            <w:r>
              <w:t xml:space="preserve">2  </w:t>
            </w:r>
            <w:r w:rsidRPr="00AE073E">
              <w:t>Methodology</w:t>
            </w:r>
          </w:p>
        </w:tc>
        <w:tc>
          <w:tcPr>
            <w:tcW w:w="2449" w:type="dxa"/>
            <w:gridSpan w:val="3"/>
          </w:tcPr>
          <w:p w:rsidR="00CD49BB" w:rsidRPr="00E743FC" w:rsidRDefault="00CD49BB" w:rsidP="00DB2906">
            <w:pPr>
              <w:spacing w:after="120" w:line="240" w:lineRule="auto"/>
              <w:ind w:right="74"/>
            </w:pPr>
          </w:p>
        </w:tc>
        <w:tc>
          <w:tcPr>
            <w:tcW w:w="797" w:type="dxa"/>
          </w:tcPr>
          <w:p w:rsidR="00CD49BB" w:rsidRPr="00E743FC" w:rsidRDefault="009E053D" w:rsidP="00A91054">
            <w:pPr>
              <w:spacing w:after="120" w:line="240" w:lineRule="auto"/>
              <w:ind w:right="74"/>
              <w:jc w:val="right"/>
            </w:pPr>
            <w:r>
              <w:t>20</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721" w:type="dxa"/>
          </w:tcPr>
          <w:p w:rsidR="00CD49BB" w:rsidRPr="00E743FC" w:rsidRDefault="00CD49BB" w:rsidP="00DB2906">
            <w:pPr>
              <w:spacing w:after="120" w:line="240" w:lineRule="auto"/>
              <w:ind w:right="74"/>
            </w:pPr>
          </w:p>
        </w:tc>
        <w:tc>
          <w:tcPr>
            <w:tcW w:w="6554" w:type="dxa"/>
            <w:gridSpan w:val="12"/>
          </w:tcPr>
          <w:p w:rsidR="00CD49BB" w:rsidRPr="00A174AF" w:rsidRDefault="00CD49BB" w:rsidP="00DB2906">
            <w:pPr>
              <w:spacing w:after="120" w:line="240" w:lineRule="auto"/>
              <w:ind w:right="74"/>
              <w:rPr>
                <w:i/>
              </w:rPr>
            </w:pPr>
            <w:r w:rsidRPr="00A174AF">
              <w:rPr>
                <w:i/>
              </w:rPr>
              <w:t>Six Elements of Dispensationalism</w:t>
            </w:r>
          </w:p>
        </w:tc>
        <w:tc>
          <w:tcPr>
            <w:tcW w:w="797" w:type="dxa"/>
          </w:tcPr>
          <w:p w:rsidR="00CD49BB" w:rsidRPr="00E743FC" w:rsidRDefault="009E053D" w:rsidP="00A91054">
            <w:pPr>
              <w:spacing w:after="120" w:line="240" w:lineRule="auto"/>
              <w:ind w:right="74"/>
              <w:jc w:val="right"/>
            </w:pPr>
            <w:r>
              <w:t>20</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721" w:type="dxa"/>
          </w:tcPr>
          <w:p w:rsidR="00CD49BB" w:rsidRPr="00E743FC" w:rsidRDefault="00CD49BB" w:rsidP="00DB2906">
            <w:pPr>
              <w:spacing w:after="120" w:line="240" w:lineRule="auto"/>
              <w:ind w:right="74"/>
            </w:pPr>
          </w:p>
        </w:tc>
        <w:tc>
          <w:tcPr>
            <w:tcW w:w="6554" w:type="dxa"/>
            <w:gridSpan w:val="12"/>
          </w:tcPr>
          <w:p w:rsidR="00CD49BB" w:rsidRPr="00B953C6" w:rsidRDefault="00CD49BB" w:rsidP="00DB2906">
            <w:pPr>
              <w:spacing w:after="120" w:line="240" w:lineRule="auto"/>
              <w:ind w:right="74"/>
            </w:pPr>
            <w:r>
              <w:t>Introduction to the Content of the Scofield Reference Bible, 1917</w:t>
            </w:r>
          </w:p>
        </w:tc>
        <w:tc>
          <w:tcPr>
            <w:tcW w:w="797" w:type="dxa"/>
          </w:tcPr>
          <w:p w:rsidR="00CD49BB" w:rsidRPr="00E743FC" w:rsidRDefault="009E053D" w:rsidP="00A91054">
            <w:pPr>
              <w:spacing w:after="120" w:line="240" w:lineRule="auto"/>
              <w:ind w:right="74"/>
              <w:jc w:val="right"/>
            </w:pPr>
            <w:r>
              <w:t>21</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1271" w:type="dxa"/>
            <w:gridSpan w:val="3"/>
          </w:tcPr>
          <w:p w:rsidR="00CD49BB" w:rsidRPr="00E743FC" w:rsidRDefault="00CD49BB" w:rsidP="00DB2906">
            <w:pPr>
              <w:spacing w:after="120" w:line="240" w:lineRule="auto"/>
              <w:ind w:right="74"/>
            </w:pPr>
          </w:p>
        </w:tc>
        <w:tc>
          <w:tcPr>
            <w:tcW w:w="6004" w:type="dxa"/>
            <w:gridSpan w:val="10"/>
          </w:tcPr>
          <w:p w:rsidR="00CD49BB" w:rsidRPr="00A174AF" w:rsidRDefault="00CD49BB" w:rsidP="00DB2906">
            <w:pPr>
              <w:spacing w:after="120" w:line="240" w:lineRule="auto"/>
              <w:ind w:right="74"/>
            </w:pPr>
            <w:r w:rsidRPr="00A174AF">
              <w:t>a)  Comparison of Content of SRB with that of Other Reference Bibles</w:t>
            </w:r>
          </w:p>
        </w:tc>
        <w:tc>
          <w:tcPr>
            <w:tcW w:w="797" w:type="dxa"/>
          </w:tcPr>
          <w:p w:rsidR="00CD49BB" w:rsidRPr="00E743FC" w:rsidRDefault="009E053D" w:rsidP="00A91054">
            <w:pPr>
              <w:spacing w:after="120" w:line="240" w:lineRule="auto"/>
              <w:ind w:right="74"/>
              <w:jc w:val="right"/>
            </w:pPr>
            <w:r>
              <w:t>21</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1271" w:type="dxa"/>
            <w:gridSpan w:val="3"/>
          </w:tcPr>
          <w:p w:rsidR="00CD49BB" w:rsidRPr="00E743FC" w:rsidRDefault="00CD49BB" w:rsidP="00DB2906">
            <w:pPr>
              <w:spacing w:after="120" w:line="240" w:lineRule="auto"/>
              <w:ind w:right="74"/>
            </w:pPr>
          </w:p>
        </w:tc>
        <w:tc>
          <w:tcPr>
            <w:tcW w:w="6004" w:type="dxa"/>
            <w:gridSpan w:val="10"/>
          </w:tcPr>
          <w:p w:rsidR="00CD49BB" w:rsidRPr="00A174AF" w:rsidRDefault="00CD49BB" w:rsidP="00DB2906">
            <w:pPr>
              <w:spacing w:after="120" w:line="240" w:lineRule="auto"/>
              <w:ind w:right="74"/>
            </w:pPr>
            <w:r w:rsidRPr="00A174AF">
              <w:t xml:space="preserve">b)  Uneven Distribution of Notes between Books in </w:t>
            </w:r>
            <w:r w:rsidRPr="00A174AF">
              <w:rPr>
                <w:i/>
              </w:rPr>
              <w:t>SRB</w:t>
            </w:r>
          </w:p>
        </w:tc>
        <w:tc>
          <w:tcPr>
            <w:tcW w:w="797" w:type="dxa"/>
          </w:tcPr>
          <w:p w:rsidR="00CD49BB" w:rsidRPr="00E743FC" w:rsidRDefault="009E053D" w:rsidP="00A91054">
            <w:pPr>
              <w:spacing w:after="120" w:line="240" w:lineRule="auto"/>
              <w:ind w:right="74"/>
              <w:jc w:val="right"/>
            </w:pPr>
            <w:r>
              <w:t>26</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2012" w:type="dxa"/>
            <w:gridSpan w:val="5"/>
          </w:tcPr>
          <w:p w:rsidR="00CD49BB" w:rsidRPr="00E743FC" w:rsidRDefault="00CD49BB" w:rsidP="00DB2906">
            <w:pPr>
              <w:spacing w:after="120" w:line="240" w:lineRule="auto"/>
              <w:ind w:right="74"/>
            </w:pPr>
          </w:p>
        </w:tc>
        <w:tc>
          <w:tcPr>
            <w:tcW w:w="5263" w:type="dxa"/>
            <w:gridSpan w:val="8"/>
          </w:tcPr>
          <w:p w:rsidR="00CD49BB" w:rsidRDefault="00CD49BB" w:rsidP="00DB2906">
            <w:pPr>
              <w:spacing w:after="120" w:line="240" w:lineRule="auto"/>
              <w:ind w:right="74"/>
              <w:rPr>
                <w:i/>
              </w:rPr>
            </w:pPr>
            <w:r>
              <w:rPr>
                <w:i/>
              </w:rPr>
              <w:t>Methodology for Counting Words in SRB Notes</w:t>
            </w:r>
          </w:p>
        </w:tc>
        <w:tc>
          <w:tcPr>
            <w:tcW w:w="797" w:type="dxa"/>
          </w:tcPr>
          <w:p w:rsidR="00CD49BB" w:rsidRPr="00E743FC" w:rsidRDefault="009E053D" w:rsidP="00A91054">
            <w:pPr>
              <w:spacing w:after="120" w:line="240" w:lineRule="auto"/>
              <w:ind w:right="74"/>
              <w:jc w:val="right"/>
            </w:pPr>
            <w:r>
              <w:t>26</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1271" w:type="dxa"/>
            <w:gridSpan w:val="3"/>
          </w:tcPr>
          <w:p w:rsidR="00CD49BB" w:rsidRPr="00E743FC" w:rsidRDefault="00CD49BB" w:rsidP="00DB2906">
            <w:pPr>
              <w:spacing w:after="120" w:line="240" w:lineRule="auto"/>
              <w:ind w:right="74"/>
            </w:pPr>
          </w:p>
        </w:tc>
        <w:tc>
          <w:tcPr>
            <w:tcW w:w="6004" w:type="dxa"/>
            <w:gridSpan w:val="10"/>
          </w:tcPr>
          <w:p w:rsidR="00CD49BB" w:rsidRPr="00A174AF" w:rsidRDefault="00CD49BB" w:rsidP="00DB2906">
            <w:pPr>
              <w:spacing w:after="120" w:line="240" w:lineRule="auto"/>
              <w:ind w:right="74"/>
            </w:pPr>
            <w:r w:rsidRPr="00A174AF">
              <w:t xml:space="preserve">c)  Uneven Distribution of Notes </w:t>
            </w:r>
            <w:r>
              <w:t>within</w:t>
            </w:r>
            <w:r w:rsidRPr="00A174AF">
              <w:t xml:space="preserve"> Books in </w:t>
            </w:r>
            <w:r w:rsidRPr="00A174AF">
              <w:rPr>
                <w:i/>
              </w:rPr>
              <w:t>SRB</w:t>
            </w:r>
          </w:p>
        </w:tc>
        <w:tc>
          <w:tcPr>
            <w:tcW w:w="797" w:type="dxa"/>
          </w:tcPr>
          <w:p w:rsidR="00CD49BB" w:rsidRPr="00E743FC" w:rsidRDefault="00347052" w:rsidP="00A91054">
            <w:pPr>
              <w:spacing w:after="120" w:line="240" w:lineRule="auto"/>
              <w:ind w:right="74"/>
              <w:jc w:val="right"/>
            </w:pPr>
            <w:r>
              <w:t>33</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1271" w:type="dxa"/>
            <w:gridSpan w:val="3"/>
          </w:tcPr>
          <w:p w:rsidR="00CD49BB" w:rsidRPr="00E743FC" w:rsidRDefault="00CD49BB" w:rsidP="00DB2906">
            <w:pPr>
              <w:spacing w:after="120" w:line="240" w:lineRule="auto"/>
              <w:ind w:right="74"/>
            </w:pPr>
          </w:p>
        </w:tc>
        <w:tc>
          <w:tcPr>
            <w:tcW w:w="6004" w:type="dxa"/>
            <w:gridSpan w:val="10"/>
          </w:tcPr>
          <w:p w:rsidR="00CD49BB" w:rsidRPr="00A174AF" w:rsidRDefault="00CD49BB" w:rsidP="00DB2906">
            <w:pPr>
              <w:spacing w:after="120" w:line="240" w:lineRule="auto"/>
              <w:ind w:right="74"/>
            </w:pPr>
            <w:r>
              <w:t>d</w:t>
            </w:r>
            <w:r w:rsidRPr="00A174AF">
              <w:t xml:space="preserve">)  </w:t>
            </w:r>
            <w:r>
              <w:t>Themes in Notes</w:t>
            </w:r>
            <w:r w:rsidRPr="00A174AF">
              <w:t xml:space="preserve"> in </w:t>
            </w:r>
            <w:r w:rsidRPr="000952E3">
              <w:rPr>
                <w:i/>
              </w:rPr>
              <w:t>SRB</w:t>
            </w:r>
          </w:p>
        </w:tc>
        <w:tc>
          <w:tcPr>
            <w:tcW w:w="797" w:type="dxa"/>
          </w:tcPr>
          <w:p w:rsidR="00CD49BB" w:rsidRPr="00E743FC" w:rsidRDefault="00347052" w:rsidP="00A91054">
            <w:pPr>
              <w:spacing w:after="120" w:line="240" w:lineRule="auto"/>
              <w:ind w:right="74"/>
              <w:jc w:val="right"/>
            </w:pPr>
            <w:r>
              <w:t>33</w:t>
            </w:r>
          </w:p>
        </w:tc>
      </w:tr>
      <w:tr w:rsidR="00CD49BB" w:rsidRPr="00E743FC" w:rsidTr="007710E7">
        <w:tc>
          <w:tcPr>
            <w:tcW w:w="648" w:type="dxa"/>
            <w:gridSpan w:val="2"/>
          </w:tcPr>
          <w:p w:rsidR="00CD49BB" w:rsidRPr="00E743FC" w:rsidRDefault="00CD49BB" w:rsidP="00DB2906">
            <w:pPr>
              <w:spacing w:after="120" w:line="240" w:lineRule="auto"/>
              <w:ind w:right="74"/>
            </w:pPr>
          </w:p>
        </w:tc>
        <w:tc>
          <w:tcPr>
            <w:tcW w:w="1271" w:type="dxa"/>
            <w:gridSpan w:val="3"/>
          </w:tcPr>
          <w:p w:rsidR="00CD49BB" w:rsidRPr="00E743FC" w:rsidRDefault="00CD49BB" w:rsidP="00DB2906">
            <w:pPr>
              <w:spacing w:after="120" w:line="240" w:lineRule="auto"/>
              <w:ind w:right="74"/>
            </w:pPr>
          </w:p>
        </w:tc>
        <w:tc>
          <w:tcPr>
            <w:tcW w:w="6004" w:type="dxa"/>
            <w:gridSpan w:val="10"/>
          </w:tcPr>
          <w:p w:rsidR="00CD49BB" w:rsidRDefault="00CD49BB" w:rsidP="00DB2906">
            <w:pPr>
              <w:spacing w:after="120" w:line="240" w:lineRule="auto"/>
              <w:ind w:right="74"/>
            </w:pPr>
            <w:r>
              <w:t xml:space="preserve">e)  Themes in Subheads in </w:t>
            </w:r>
            <w:r w:rsidRPr="00224DE6">
              <w:rPr>
                <w:i/>
              </w:rPr>
              <w:t>SRB</w:t>
            </w:r>
          </w:p>
        </w:tc>
        <w:tc>
          <w:tcPr>
            <w:tcW w:w="797" w:type="dxa"/>
          </w:tcPr>
          <w:p w:rsidR="00CD49BB" w:rsidRPr="00E743FC" w:rsidRDefault="00347052" w:rsidP="00A91054">
            <w:pPr>
              <w:spacing w:after="120" w:line="240" w:lineRule="auto"/>
              <w:ind w:right="74"/>
              <w:jc w:val="right"/>
            </w:pPr>
            <w:r>
              <w:t>57</w:t>
            </w:r>
          </w:p>
        </w:tc>
      </w:tr>
      <w:tr w:rsidR="00CD49BB" w:rsidRPr="00E743FC" w:rsidTr="007710E7">
        <w:tc>
          <w:tcPr>
            <w:tcW w:w="648" w:type="dxa"/>
            <w:gridSpan w:val="2"/>
          </w:tcPr>
          <w:p w:rsidR="00CD49BB" w:rsidRDefault="00CD49BB" w:rsidP="00DB2906">
            <w:pPr>
              <w:spacing w:after="120" w:line="240" w:lineRule="auto"/>
              <w:ind w:right="74"/>
            </w:pPr>
          </w:p>
        </w:tc>
        <w:tc>
          <w:tcPr>
            <w:tcW w:w="7275" w:type="dxa"/>
            <w:gridSpan w:val="13"/>
          </w:tcPr>
          <w:p w:rsidR="00CD49BB" w:rsidRPr="005D5DDE" w:rsidRDefault="00CD49BB" w:rsidP="00DB2906">
            <w:pPr>
              <w:spacing w:after="120" w:line="240" w:lineRule="auto"/>
              <w:ind w:right="74"/>
              <w:rPr>
                <w:i/>
              </w:rPr>
            </w:pPr>
            <w:r w:rsidRPr="005D5DDE">
              <w:rPr>
                <w:i/>
              </w:rPr>
              <w:t xml:space="preserve">Endnotes, </w:t>
            </w:r>
            <w:r>
              <w:rPr>
                <w:i/>
              </w:rPr>
              <w:t>Introduction</w:t>
            </w:r>
          </w:p>
        </w:tc>
        <w:tc>
          <w:tcPr>
            <w:tcW w:w="797" w:type="dxa"/>
          </w:tcPr>
          <w:p w:rsidR="00CD49BB" w:rsidRPr="00E743FC" w:rsidRDefault="00370B99" w:rsidP="00A91054">
            <w:pPr>
              <w:spacing w:after="120" w:line="240" w:lineRule="auto"/>
              <w:ind w:right="74"/>
              <w:jc w:val="right"/>
            </w:pPr>
            <w:r>
              <w:t>66</w:t>
            </w:r>
          </w:p>
        </w:tc>
      </w:tr>
    </w:tbl>
    <w:p w:rsidR="00CD49BB" w:rsidRDefault="00CD49BB"/>
    <w:p w:rsidR="00CD49BB" w:rsidRDefault="00CD49BB"/>
    <w:tbl>
      <w:tblPr>
        <w:tblW w:w="0" w:type="auto"/>
        <w:tblLook w:val="04A0" w:firstRow="1" w:lastRow="0" w:firstColumn="1" w:lastColumn="0" w:noHBand="0" w:noVBand="1"/>
      </w:tblPr>
      <w:tblGrid>
        <w:gridCol w:w="648"/>
        <w:gridCol w:w="9"/>
        <w:gridCol w:w="712"/>
        <w:gridCol w:w="9"/>
        <w:gridCol w:w="542"/>
        <w:gridCol w:w="1308"/>
        <w:gridCol w:w="848"/>
        <w:gridCol w:w="1398"/>
        <w:gridCol w:w="2449"/>
        <w:gridCol w:w="797"/>
      </w:tblGrid>
      <w:tr w:rsidR="00412818" w:rsidRPr="00E743FC" w:rsidTr="007710E7">
        <w:tc>
          <w:tcPr>
            <w:tcW w:w="7923" w:type="dxa"/>
            <w:gridSpan w:val="9"/>
          </w:tcPr>
          <w:p w:rsidR="00412818" w:rsidRDefault="00412818" w:rsidP="00761B63">
            <w:pPr>
              <w:spacing w:after="0" w:line="240" w:lineRule="auto"/>
              <w:ind w:right="74"/>
              <w:rPr>
                <w:b/>
                <w:sz w:val="24"/>
              </w:rPr>
            </w:pPr>
            <w:r>
              <w:rPr>
                <w:b/>
                <w:sz w:val="24"/>
              </w:rPr>
              <w:lastRenderedPageBreak/>
              <w:t>CHAPTER 1</w:t>
            </w:r>
            <w:r w:rsidRPr="00AF177B">
              <w:rPr>
                <w:b/>
                <w:sz w:val="24"/>
              </w:rPr>
              <w:t xml:space="preserve">  </w:t>
            </w:r>
          </w:p>
          <w:p w:rsidR="00412818" w:rsidRPr="004A6B7A" w:rsidRDefault="00412818" w:rsidP="00761B63">
            <w:pPr>
              <w:spacing w:after="120" w:line="240" w:lineRule="auto"/>
              <w:ind w:right="74"/>
            </w:pPr>
            <w:r>
              <w:rPr>
                <w:b/>
                <w:sz w:val="24"/>
              </w:rPr>
              <w:t>Dispensational Hermeneutics</w:t>
            </w:r>
          </w:p>
        </w:tc>
        <w:tc>
          <w:tcPr>
            <w:tcW w:w="797" w:type="dxa"/>
            <w:vAlign w:val="center"/>
          </w:tcPr>
          <w:p w:rsidR="00412818" w:rsidRPr="00E743FC" w:rsidRDefault="00370B99" w:rsidP="00A91054">
            <w:pPr>
              <w:ind w:right="74"/>
              <w:jc w:val="right"/>
            </w:pPr>
            <w:r>
              <w:t>71</w:t>
            </w:r>
          </w:p>
        </w:tc>
      </w:tr>
      <w:tr w:rsidR="00412818" w:rsidRPr="00E743FC" w:rsidTr="007710E7">
        <w:tc>
          <w:tcPr>
            <w:tcW w:w="648" w:type="dxa"/>
          </w:tcPr>
          <w:p w:rsidR="00412818" w:rsidRPr="00E743FC" w:rsidRDefault="00412818" w:rsidP="00761B63">
            <w:pPr>
              <w:spacing w:after="120" w:line="240" w:lineRule="auto"/>
              <w:ind w:right="74"/>
            </w:pPr>
          </w:p>
        </w:tc>
        <w:tc>
          <w:tcPr>
            <w:tcW w:w="4826" w:type="dxa"/>
            <w:gridSpan w:val="7"/>
          </w:tcPr>
          <w:p w:rsidR="00412818" w:rsidRPr="00F95891" w:rsidRDefault="00412818" w:rsidP="00761B63">
            <w:pPr>
              <w:spacing w:after="120" w:line="240" w:lineRule="auto"/>
              <w:ind w:right="74"/>
              <w:rPr>
                <w:i/>
              </w:rPr>
            </w:pPr>
            <w:r w:rsidRPr="00F95891">
              <w:rPr>
                <w:i/>
              </w:rPr>
              <w:t>What is Hermeneutics?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370B99" w:rsidP="00A91054">
            <w:pPr>
              <w:spacing w:after="120" w:line="240" w:lineRule="auto"/>
              <w:ind w:right="74"/>
              <w:jc w:val="right"/>
            </w:pPr>
            <w:r>
              <w:t>71</w:t>
            </w:r>
          </w:p>
        </w:tc>
      </w:tr>
      <w:tr w:rsidR="00412818" w:rsidRPr="00E743FC" w:rsidTr="007710E7">
        <w:tc>
          <w:tcPr>
            <w:tcW w:w="648" w:type="dxa"/>
          </w:tcPr>
          <w:p w:rsidR="00412818" w:rsidRPr="00E743FC" w:rsidRDefault="00412818" w:rsidP="00761B63">
            <w:pPr>
              <w:spacing w:after="120" w:line="240" w:lineRule="auto"/>
              <w:ind w:right="74"/>
            </w:pPr>
          </w:p>
        </w:tc>
        <w:tc>
          <w:tcPr>
            <w:tcW w:w="4826" w:type="dxa"/>
            <w:gridSpan w:val="7"/>
          </w:tcPr>
          <w:p w:rsidR="00412818" w:rsidRPr="00F95891" w:rsidRDefault="00412818" w:rsidP="00761B63">
            <w:pPr>
              <w:spacing w:after="120" w:line="240" w:lineRule="auto"/>
              <w:ind w:right="74"/>
              <w:rPr>
                <w:i/>
              </w:rPr>
            </w:pPr>
            <w:r w:rsidRPr="00F95891">
              <w:rPr>
                <w:i/>
              </w:rPr>
              <w:t>The Biblical Basis for Dispensational Hermeneutics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370B99" w:rsidP="00A91054">
            <w:pPr>
              <w:spacing w:after="120" w:line="240" w:lineRule="auto"/>
              <w:ind w:right="74"/>
              <w:jc w:val="right"/>
            </w:pPr>
            <w:r>
              <w:t>72</w:t>
            </w:r>
          </w:p>
        </w:tc>
      </w:tr>
      <w:tr w:rsidR="00412818" w:rsidRPr="00E743FC" w:rsidTr="007710E7">
        <w:tc>
          <w:tcPr>
            <w:tcW w:w="648" w:type="dxa"/>
          </w:tcPr>
          <w:p w:rsidR="00412818" w:rsidRPr="00E743FC" w:rsidRDefault="00412818" w:rsidP="00761B63">
            <w:pPr>
              <w:spacing w:after="120" w:line="240" w:lineRule="auto"/>
              <w:ind w:right="74"/>
            </w:pPr>
            <w:r>
              <w:t>1.1</w:t>
            </w:r>
          </w:p>
        </w:tc>
        <w:tc>
          <w:tcPr>
            <w:tcW w:w="7275" w:type="dxa"/>
            <w:gridSpan w:val="8"/>
          </w:tcPr>
          <w:p w:rsidR="00412818" w:rsidRPr="00E743FC" w:rsidRDefault="00412818" w:rsidP="00761B63">
            <w:pPr>
              <w:spacing w:after="120" w:line="240" w:lineRule="auto"/>
              <w:ind w:right="74"/>
            </w:pPr>
            <w:r>
              <w:t>Consistent Literal Interpretation</w:t>
            </w:r>
          </w:p>
        </w:tc>
        <w:tc>
          <w:tcPr>
            <w:tcW w:w="797" w:type="dxa"/>
          </w:tcPr>
          <w:p w:rsidR="00412818" w:rsidRPr="00E743FC" w:rsidRDefault="00370B99" w:rsidP="00A91054">
            <w:pPr>
              <w:spacing w:after="120" w:line="240" w:lineRule="auto"/>
              <w:ind w:right="74"/>
              <w:jc w:val="right"/>
            </w:pPr>
            <w:r>
              <w:t>73</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1.1.1</w:t>
            </w:r>
          </w:p>
        </w:tc>
        <w:tc>
          <w:tcPr>
            <w:tcW w:w="6554" w:type="dxa"/>
            <w:gridSpan w:val="6"/>
          </w:tcPr>
          <w:p w:rsidR="00412818" w:rsidRPr="00E743FC" w:rsidRDefault="00412818" w:rsidP="00761B63">
            <w:pPr>
              <w:spacing w:after="120" w:line="240" w:lineRule="auto"/>
              <w:ind w:right="74"/>
            </w:pPr>
            <w:r>
              <w:t>Elements in the Practice of Literal Interpretation</w:t>
            </w:r>
          </w:p>
        </w:tc>
        <w:tc>
          <w:tcPr>
            <w:tcW w:w="797" w:type="dxa"/>
          </w:tcPr>
          <w:p w:rsidR="00412818" w:rsidRPr="00E743FC" w:rsidRDefault="00A604C6" w:rsidP="00A91054">
            <w:pPr>
              <w:spacing w:after="120" w:line="240" w:lineRule="auto"/>
              <w:ind w:right="74"/>
              <w:jc w:val="right"/>
            </w:pPr>
            <w:r>
              <w:t>74</w:t>
            </w:r>
          </w:p>
        </w:tc>
      </w:tr>
      <w:tr w:rsidR="00412818" w:rsidRPr="00E743FC" w:rsidTr="007710E7">
        <w:tc>
          <w:tcPr>
            <w:tcW w:w="648" w:type="dxa"/>
          </w:tcPr>
          <w:p w:rsidR="00412818" w:rsidRPr="00E743FC" w:rsidRDefault="00412818" w:rsidP="00761B63">
            <w:pPr>
              <w:spacing w:after="120" w:line="240" w:lineRule="auto"/>
              <w:ind w:right="74"/>
            </w:pPr>
          </w:p>
        </w:tc>
        <w:tc>
          <w:tcPr>
            <w:tcW w:w="1272" w:type="dxa"/>
            <w:gridSpan w:val="4"/>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a) Words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A604C6" w:rsidP="00A91054">
            <w:pPr>
              <w:spacing w:after="120" w:line="240" w:lineRule="auto"/>
              <w:ind w:right="74"/>
              <w:jc w:val="right"/>
            </w:pPr>
            <w:r>
              <w:t>75</w:t>
            </w:r>
          </w:p>
        </w:tc>
      </w:tr>
      <w:tr w:rsidR="00412818" w:rsidRPr="00E743FC" w:rsidTr="007710E7">
        <w:tc>
          <w:tcPr>
            <w:tcW w:w="648" w:type="dxa"/>
          </w:tcPr>
          <w:p w:rsidR="00412818" w:rsidRPr="00E743FC" w:rsidRDefault="00412818" w:rsidP="00761B63">
            <w:pPr>
              <w:spacing w:after="120" w:line="240" w:lineRule="auto"/>
              <w:ind w:right="74"/>
            </w:pPr>
          </w:p>
        </w:tc>
        <w:tc>
          <w:tcPr>
            <w:tcW w:w="1272" w:type="dxa"/>
            <w:gridSpan w:val="4"/>
          </w:tcPr>
          <w:p w:rsidR="00412818" w:rsidRPr="00E743FC" w:rsidRDefault="00412818" w:rsidP="00761B63">
            <w:pPr>
              <w:spacing w:after="120" w:line="240" w:lineRule="auto"/>
              <w:ind w:right="74"/>
            </w:pPr>
          </w:p>
        </w:tc>
        <w:tc>
          <w:tcPr>
            <w:tcW w:w="1308" w:type="dxa"/>
          </w:tcPr>
          <w:p w:rsidR="00412818" w:rsidRDefault="00412818" w:rsidP="00761B63">
            <w:pPr>
              <w:spacing w:after="120" w:line="240" w:lineRule="auto"/>
              <w:ind w:right="74"/>
            </w:pPr>
          </w:p>
        </w:tc>
        <w:tc>
          <w:tcPr>
            <w:tcW w:w="4695" w:type="dxa"/>
            <w:gridSpan w:val="3"/>
          </w:tcPr>
          <w:p w:rsidR="00412818" w:rsidRPr="00E743FC" w:rsidRDefault="00412818" w:rsidP="004A579B">
            <w:pPr>
              <w:spacing w:after="120" w:line="240" w:lineRule="auto"/>
              <w:ind w:right="74"/>
            </w:pPr>
            <w:r w:rsidRPr="00F95891">
              <w:rPr>
                <w:i/>
              </w:rPr>
              <w:t>Poythress’ Cu</w:t>
            </w:r>
            <w:r w:rsidR="004A579B">
              <w:rPr>
                <w:i/>
              </w:rPr>
              <w:t>mul</w:t>
            </w:r>
            <w:r w:rsidRPr="00F95891">
              <w:rPr>
                <w:i/>
              </w:rPr>
              <w:t>ative Analysis</w:t>
            </w:r>
          </w:p>
        </w:tc>
        <w:tc>
          <w:tcPr>
            <w:tcW w:w="797" w:type="dxa"/>
          </w:tcPr>
          <w:p w:rsidR="00412818" w:rsidRPr="00E743FC" w:rsidRDefault="00A604C6" w:rsidP="00A91054">
            <w:pPr>
              <w:spacing w:after="120" w:line="240" w:lineRule="auto"/>
              <w:ind w:right="74"/>
              <w:jc w:val="right"/>
            </w:pPr>
            <w:r>
              <w:t>76</w:t>
            </w:r>
          </w:p>
        </w:tc>
      </w:tr>
      <w:tr w:rsidR="00412818" w:rsidRPr="00E743FC" w:rsidTr="007710E7">
        <w:tc>
          <w:tcPr>
            <w:tcW w:w="648" w:type="dxa"/>
          </w:tcPr>
          <w:p w:rsidR="00412818" w:rsidRPr="00E743FC" w:rsidRDefault="00412818" w:rsidP="00761B63">
            <w:pPr>
              <w:spacing w:after="120" w:line="240" w:lineRule="auto"/>
              <w:ind w:right="74"/>
            </w:pPr>
          </w:p>
        </w:tc>
        <w:tc>
          <w:tcPr>
            <w:tcW w:w="1272" w:type="dxa"/>
            <w:gridSpan w:val="4"/>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b)  Grammar</w:t>
            </w:r>
          </w:p>
        </w:tc>
        <w:tc>
          <w:tcPr>
            <w:tcW w:w="2449" w:type="dxa"/>
          </w:tcPr>
          <w:p w:rsidR="00412818" w:rsidRPr="00E743FC" w:rsidRDefault="00412818" w:rsidP="00761B63">
            <w:pPr>
              <w:spacing w:after="120" w:line="240" w:lineRule="auto"/>
              <w:ind w:right="74"/>
            </w:pPr>
          </w:p>
        </w:tc>
        <w:tc>
          <w:tcPr>
            <w:tcW w:w="797" w:type="dxa"/>
          </w:tcPr>
          <w:p w:rsidR="00412818" w:rsidRDefault="00A604C6" w:rsidP="003D3CED">
            <w:pPr>
              <w:spacing w:after="120" w:line="240" w:lineRule="auto"/>
              <w:ind w:right="74"/>
              <w:jc w:val="right"/>
            </w:pPr>
            <w:r>
              <w:t>77</w:t>
            </w:r>
          </w:p>
        </w:tc>
      </w:tr>
      <w:tr w:rsidR="00412818" w:rsidRPr="00E743FC" w:rsidTr="007710E7">
        <w:tc>
          <w:tcPr>
            <w:tcW w:w="648" w:type="dxa"/>
          </w:tcPr>
          <w:p w:rsidR="00412818" w:rsidRPr="00E743FC" w:rsidRDefault="00412818" w:rsidP="00761B63">
            <w:pPr>
              <w:spacing w:after="120" w:line="240" w:lineRule="auto"/>
              <w:ind w:right="74"/>
            </w:pPr>
          </w:p>
        </w:tc>
        <w:tc>
          <w:tcPr>
            <w:tcW w:w="1272" w:type="dxa"/>
            <w:gridSpan w:val="4"/>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c)  Genre</w:t>
            </w:r>
          </w:p>
        </w:tc>
        <w:tc>
          <w:tcPr>
            <w:tcW w:w="2449" w:type="dxa"/>
          </w:tcPr>
          <w:p w:rsidR="00412818" w:rsidRPr="00E743FC" w:rsidRDefault="00412818" w:rsidP="00761B63">
            <w:pPr>
              <w:spacing w:after="120" w:line="240" w:lineRule="auto"/>
              <w:ind w:right="74"/>
            </w:pPr>
          </w:p>
        </w:tc>
        <w:tc>
          <w:tcPr>
            <w:tcW w:w="797" w:type="dxa"/>
          </w:tcPr>
          <w:p w:rsidR="00412818" w:rsidRDefault="00A604C6" w:rsidP="003D3CED">
            <w:pPr>
              <w:spacing w:after="120" w:line="240" w:lineRule="auto"/>
              <w:ind w:right="74"/>
              <w:jc w:val="right"/>
            </w:pPr>
            <w:r>
              <w:t>77</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1.1.2</w:t>
            </w:r>
          </w:p>
        </w:tc>
        <w:tc>
          <w:tcPr>
            <w:tcW w:w="6554" w:type="dxa"/>
            <w:gridSpan w:val="6"/>
          </w:tcPr>
          <w:p w:rsidR="00412818" w:rsidRPr="00E743FC" w:rsidRDefault="00412818" w:rsidP="00761B63">
            <w:pPr>
              <w:spacing w:after="120" w:line="240" w:lineRule="auto"/>
              <w:ind w:right="74"/>
            </w:pPr>
            <w:r>
              <w:t>Context</w:t>
            </w:r>
          </w:p>
        </w:tc>
        <w:tc>
          <w:tcPr>
            <w:tcW w:w="797" w:type="dxa"/>
          </w:tcPr>
          <w:p w:rsidR="00412818" w:rsidRPr="00E743FC" w:rsidRDefault="00A604C6" w:rsidP="003D3CED">
            <w:pPr>
              <w:spacing w:after="120" w:line="240" w:lineRule="auto"/>
              <w:ind w:right="74"/>
              <w:jc w:val="right"/>
            </w:pPr>
            <w:r>
              <w:t>79</w:t>
            </w:r>
          </w:p>
        </w:tc>
      </w:tr>
      <w:tr w:rsidR="00412818" w:rsidRPr="00E743FC" w:rsidTr="007710E7">
        <w:tc>
          <w:tcPr>
            <w:tcW w:w="648" w:type="dxa"/>
          </w:tcPr>
          <w:p w:rsidR="00412818" w:rsidRPr="00E743FC" w:rsidRDefault="00412818" w:rsidP="00761B63">
            <w:pPr>
              <w:spacing w:after="120" w:line="240" w:lineRule="auto"/>
              <w:ind w:right="74"/>
            </w:pPr>
          </w:p>
        </w:tc>
        <w:tc>
          <w:tcPr>
            <w:tcW w:w="1272" w:type="dxa"/>
            <w:gridSpan w:val="4"/>
          </w:tcPr>
          <w:p w:rsidR="00412818" w:rsidRPr="00E743FC" w:rsidRDefault="00412818" w:rsidP="00761B63">
            <w:pPr>
              <w:spacing w:after="120" w:line="240" w:lineRule="auto"/>
              <w:ind w:right="74"/>
            </w:pPr>
          </w:p>
        </w:tc>
        <w:tc>
          <w:tcPr>
            <w:tcW w:w="6003" w:type="dxa"/>
            <w:gridSpan w:val="4"/>
          </w:tcPr>
          <w:p w:rsidR="00412818" w:rsidRPr="00E743FC" w:rsidRDefault="00412818" w:rsidP="00761B63">
            <w:pPr>
              <w:spacing w:after="120" w:line="240" w:lineRule="auto"/>
              <w:ind w:right="74"/>
            </w:pPr>
            <w:r w:rsidRPr="00F95891">
              <w:rPr>
                <w:i/>
              </w:rPr>
              <w:t>Grammatical-Historical and Literary-Theological Inte</w:t>
            </w:r>
            <w:r w:rsidR="00A604C6">
              <w:rPr>
                <w:i/>
              </w:rPr>
              <w:t>r</w:t>
            </w:r>
            <w:r w:rsidRPr="00F95891">
              <w:rPr>
                <w:i/>
              </w:rPr>
              <w:t xml:space="preserve">pretation </w:t>
            </w:r>
          </w:p>
        </w:tc>
        <w:tc>
          <w:tcPr>
            <w:tcW w:w="797" w:type="dxa"/>
          </w:tcPr>
          <w:p w:rsidR="00412818" w:rsidRDefault="00A604C6" w:rsidP="003D3CED">
            <w:pPr>
              <w:spacing w:after="120" w:line="240" w:lineRule="auto"/>
              <w:ind w:right="74"/>
              <w:jc w:val="right"/>
            </w:pPr>
            <w:r>
              <w:t>80</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1.1.3</w:t>
            </w:r>
          </w:p>
        </w:tc>
        <w:tc>
          <w:tcPr>
            <w:tcW w:w="6554" w:type="dxa"/>
            <w:gridSpan w:val="6"/>
          </w:tcPr>
          <w:p w:rsidR="00412818" w:rsidRPr="00E743FC" w:rsidRDefault="00412818" w:rsidP="003D3CED">
            <w:pPr>
              <w:spacing w:after="120" w:line="240" w:lineRule="auto"/>
              <w:ind w:right="74"/>
            </w:pPr>
            <w:r>
              <w:t>Progressive Dispensationalism: Complementary Hermeneutics: A Challenge to “Normative</w:t>
            </w:r>
            <w:r w:rsidR="00A604C6">
              <w:t xml:space="preserve"> </w:t>
            </w:r>
            <w:r>
              <w:t>Dispensationalism</w:t>
            </w:r>
            <w:r w:rsidR="003D3CED">
              <w:t>”</w:t>
            </w:r>
          </w:p>
        </w:tc>
        <w:tc>
          <w:tcPr>
            <w:tcW w:w="797" w:type="dxa"/>
            <w:vAlign w:val="center"/>
          </w:tcPr>
          <w:p w:rsidR="00412818" w:rsidRPr="00E743FC" w:rsidRDefault="00A604C6" w:rsidP="003D3CED">
            <w:pPr>
              <w:spacing w:after="120" w:line="240" w:lineRule="auto"/>
              <w:ind w:right="74"/>
              <w:jc w:val="right"/>
            </w:pPr>
            <w:r>
              <w:t>81</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1.1.4</w:t>
            </w:r>
          </w:p>
        </w:tc>
        <w:tc>
          <w:tcPr>
            <w:tcW w:w="6554" w:type="dxa"/>
            <w:gridSpan w:val="6"/>
          </w:tcPr>
          <w:p w:rsidR="00412818" w:rsidRDefault="00412818" w:rsidP="003D3CED">
            <w:pPr>
              <w:spacing w:after="120" w:line="240" w:lineRule="auto"/>
              <w:ind w:right="74"/>
            </w:pPr>
            <w:r>
              <w:t>Figurative Language</w:t>
            </w:r>
          </w:p>
        </w:tc>
        <w:tc>
          <w:tcPr>
            <w:tcW w:w="797" w:type="dxa"/>
          </w:tcPr>
          <w:p w:rsidR="00412818" w:rsidRPr="00E743FC" w:rsidRDefault="00F64711" w:rsidP="003D3CED">
            <w:pPr>
              <w:spacing w:after="120" w:line="240" w:lineRule="auto"/>
              <w:ind w:right="74"/>
              <w:jc w:val="right"/>
            </w:pPr>
            <w:r>
              <w:t>83</w:t>
            </w:r>
          </w:p>
        </w:tc>
      </w:tr>
      <w:tr w:rsidR="00412818" w:rsidRPr="00E743FC" w:rsidTr="007710E7">
        <w:tc>
          <w:tcPr>
            <w:tcW w:w="648" w:type="dxa"/>
          </w:tcPr>
          <w:p w:rsidR="00412818" w:rsidRPr="00E743FC" w:rsidRDefault="00412818" w:rsidP="00761B63">
            <w:pPr>
              <w:spacing w:after="120" w:line="240" w:lineRule="auto"/>
              <w:ind w:right="74"/>
            </w:pPr>
            <w:r>
              <w:t>1.2</w:t>
            </w:r>
          </w:p>
        </w:tc>
        <w:tc>
          <w:tcPr>
            <w:tcW w:w="7275" w:type="dxa"/>
            <w:gridSpan w:val="8"/>
          </w:tcPr>
          <w:p w:rsidR="00412818" w:rsidRPr="00E743FC" w:rsidRDefault="00412818" w:rsidP="00761B63">
            <w:pPr>
              <w:spacing w:after="120" w:line="240" w:lineRule="auto"/>
              <w:ind w:right="74"/>
            </w:pPr>
            <w:r>
              <w:t xml:space="preserve">The Interpretation of Prophecy </w:t>
            </w:r>
          </w:p>
        </w:tc>
        <w:tc>
          <w:tcPr>
            <w:tcW w:w="797" w:type="dxa"/>
          </w:tcPr>
          <w:p w:rsidR="00412818" w:rsidRPr="00E743FC" w:rsidRDefault="005C2162" w:rsidP="003D3CED">
            <w:pPr>
              <w:spacing w:after="120" w:line="240" w:lineRule="auto"/>
              <w:ind w:right="74"/>
              <w:jc w:val="right"/>
            </w:pPr>
            <w:r>
              <w:t>85</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1.2.1</w:t>
            </w:r>
          </w:p>
        </w:tc>
        <w:tc>
          <w:tcPr>
            <w:tcW w:w="6554" w:type="dxa"/>
            <w:gridSpan w:val="6"/>
          </w:tcPr>
          <w:p w:rsidR="00412818" w:rsidRPr="00E743FC" w:rsidRDefault="00412818" w:rsidP="00761B63">
            <w:pPr>
              <w:spacing w:after="120" w:line="240" w:lineRule="auto"/>
              <w:ind w:right="74"/>
            </w:pPr>
            <w:r>
              <w:t>Symbolism in Prophecy</w:t>
            </w:r>
          </w:p>
        </w:tc>
        <w:tc>
          <w:tcPr>
            <w:tcW w:w="797" w:type="dxa"/>
          </w:tcPr>
          <w:p w:rsidR="00412818" w:rsidRPr="00E743FC" w:rsidRDefault="005C2162" w:rsidP="003D3CED">
            <w:pPr>
              <w:spacing w:after="120" w:line="240" w:lineRule="auto"/>
              <w:ind w:right="74"/>
              <w:jc w:val="right"/>
            </w:pPr>
            <w:r>
              <w:t>87</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1.2.2</w:t>
            </w:r>
          </w:p>
        </w:tc>
        <w:tc>
          <w:tcPr>
            <w:tcW w:w="6554" w:type="dxa"/>
            <w:gridSpan w:val="6"/>
          </w:tcPr>
          <w:p w:rsidR="00412818" w:rsidRDefault="00412818" w:rsidP="00761B63">
            <w:pPr>
              <w:spacing w:after="120" w:line="240" w:lineRule="auto"/>
              <w:ind w:right="74"/>
            </w:pPr>
            <w:r>
              <w:t>Numerical Symbolism</w:t>
            </w:r>
          </w:p>
        </w:tc>
        <w:tc>
          <w:tcPr>
            <w:tcW w:w="797" w:type="dxa"/>
          </w:tcPr>
          <w:p w:rsidR="00412818" w:rsidRPr="00E743FC" w:rsidRDefault="005C2162" w:rsidP="003D3CED">
            <w:pPr>
              <w:spacing w:after="120" w:line="240" w:lineRule="auto"/>
              <w:ind w:right="74"/>
              <w:jc w:val="right"/>
            </w:pPr>
            <w:r>
              <w:t>87</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1.2.3</w:t>
            </w:r>
          </w:p>
        </w:tc>
        <w:tc>
          <w:tcPr>
            <w:tcW w:w="6554" w:type="dxa"/>
            <w:gridSpan w:val="6"/>
          </w:tcPr>
          <w:p w:rsidR="00412818" w:rsidRDefault="00412818" w:rsidP="00761B63">
            <w:pPr>
              <w:spacing w:after="120" w:line="240" w:lineRule="auto"/>
              <w:ind w:right="74"/>
            </w:pPr>
            <w:r>
              <w:t xml:space="preserve">“Foreshortening” in Prophecy </w:t>
            </w:r>
          </w:p>
        </w:tc>
        <w:tc>
          <w:tcPr>
            <w:tcW w:w="797" w:type="dxa"/>
          </w:tcPr>
          <w:p w:rsidR="00412818" w:rsidRPr="00E743FC" w:rsidRDefault="005C2162" w:rsidP="003D3CED">
            <w:pPr>
              <w:spacing w:after="120" w:line="240" w:lineRule="auto"/>
              <w:ind w:right="74"/>
              <w:jc w:val="right"/>
            </w:pPr>
            <w:r>
              <w:t>89</w:t>
            </w:r>
          </w:p>
        </w:tc>
      </w:tr>
      <w:tr w:rsidR="00412818" w:rsidRPr="00E743FC" w:rsidTr="007710E7">
        <w:tc>
          <w:tcPr>
            <w:tcW w:w="648" w:type="dxa"/>
          </w:tcPr>
          <w:p w:rsidR="00412818" w:rsidRPr="00E743FC" w:rsidRDefault="00412818" w:rsidP="00761B63">
            <w:pPr>
              <w:spacing w:after="120" w:line="240" w:lineRule="auto"/>
              <w:ind w:right="74"/>
            </w:pPr>
            <w:r>
              <w:t>1.3</w:t>
            </w:r>
          </w:p>
        </w:tc>
        <w:tc>
          <w:tcPr>
            <w:tcW w:w="7275" w:type="dxa"/>
            <w:gridSpan w:val="8"/>
          </w:tcPr>
          <w:p w:rsidR="00412818" w:rsidRPr="00E743FC" w:rsidRDefault="00412818" w:rsidP="00761B63">
            <w:pPr>
              <w:spacing w:after="120" w:line="240" w:lineRule="auto"/>
              <w:ind w:right="74"/>
            </w:pPr>
            <w:r>
              <w:t xml:space="preserve">Typology </w:t>
            </w:r>
          </w:p>
        </w:tc>
        <w:tc>
          <w:tcPr>
            <w:tcW w:w="797" w:type="dxa"/>
          </w:tcPr>
          <w:p w:rsidR="00412818" w:rsidRPr="00E743FC" w:rsidRDefault="008D61EC" w:rsidP="003D3CED">
            <w:pPr>
              <w:spacing w:after="120" w:line="240" w:lineRule="auto"/>
              <w:ind w:right="74"/>
              <w:jc w:val="right"/>
            </w:pPr>
            <w:r>
              <w:t>89</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1.3.1</w:t>
            </w:r>
          </w:p>
        </w:tc>
        <w:tc>
          <w:tcPr>
            <w:tcW w:w="6554" w:type="dxa"/>
            <w:gridSpan w:val="6"/>
          </w:tcPr>
          <w:p w:rsidR="00412818" w:rsidRDefault="00412818" w:rsidP="00761B63">
            <w:pPr>
              <w:spacing w:after="120" w:line="240" w:lineRule="auto"/>
              <w:ind w:right="74"/>
            </w:pPr>
            <w:r>
              <w:t>Types and Prophecy</w:t>
            </w:r>
          </w:p>
        </w:tc>
        <w:tc>
          <w:tcPr>
            <w:tcW w:w="797" w:type="dxa"/>
          </w:tcPr>
          <w:p w:rsidR="00412818" w:rsidRPr="00E743FC" w:rsidRDefault="008D61EC" w:rsidP="003D3CED">
            <w:pPr>
              <w:spacing w:after="120" w:line="240" w:lineRule="auto"/>
              <w:ind w:right="74"/>
              <w:jc w:val="right"/>
            </w:pPr>
            <w:r>
              <w:t>91</w:t>
            </w:r>
          </w:p>
        </w:tc>
      </w:tr>
      <w:tr w:rsidR="00412818" w:rsidRPr="00E743FC" w:rsidTr="007710E7">
        <w:tc>
          <w:tcPr>
            <w:tcW w:w="648" w:type="dxa"/>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1.3.2</w:t>
            </w:r>
          </w:p>
        </w:tc>
        <w:tc>
          <w:tcPr>
            <w:tcW w:w="6554" w:type="dxa"/>
            <w:gridSpan w:val="6"/>
          </w:tcPr>
          <w:p w:rsidR="00412818" w:rsidRDefault="00412818" w:rsidP="00761B63">
            <w:pPr>
              <w:spacing w:after="120" w:line="240" w:lineRule="auto"/>
              <w:ind w:right="74"/>
            </w:pPr>
            <w:r>
              <w:t>Types, Symbols and Allegories</w:t>
            </w:r>
          </w:p>
        </w:tc>
        <w:tc>
          <w:tcPr>
            <w:tcW w:w="797" w:type="dxa"/>
          </w:tcPr>
          <w:p w:rsidR="00412818" w:rsidRPr="00E743FC" w:rsidRDefault="008D61EC" w:rsidP="003D3CED">
            <w:pPr>
              <w:spacing w:after="120" w:line="240" w:lineRule="auto"/>
              <w:ind w:right="74"/>
              <w:jc w:val="right"/>
            </w:pPr>
            <w:r>
              <w:t>91</w:t>
            </w:r>
          </w:p>
        </w:tc>
      </w:tr>
      <w:tr w:rsidR="00412818" w:rsidRPr="00E743FC" w:rsidTr="007710E7">
        <w:tc>
          <w:tcPr>
            <w:tcW w:w="648" w:type="dxa"/>
          </w:tcPr>
          <w:p w:rsidR="00412818" w:rsidRPr="00E743FC" w:rsidRDefault="00412818" w:rsidP="00761B63">
            <w:pPr>
              <w:spacing w:after="120" w:line="240" w:lineRule="auto"/>
              <w:ind w:right="74"/>
            </w:pPr>
            <w:r>
              <w:t>1.4</w:t>
            </w:r>
          </w:p>
        </w:tc>
        <w:tc>
          <w:tcPr>
            <w:tcW w:w="7275" w:type="dxa"/>
            <w:gridSpan w:val="8"/>
          </w:tcPr>
          <w:p w:rsidR="00412818" w:rsidRPr="00E743FC" w:rsidRDefault="00412818" w:rsidP="00761B63">
            <w:pPr>
              <w:spacing w:after="120" w:line="240" w:lineRule="auto"/>
              <w:ind w:right="74"/>
            </w:pPr>
            <w:r>
              <w:t>Conclusion</w:t>
            </w:r>
          </w:p>
        </w:tc>
        <w:tc>
          <w:tcPr>
            <w:tcW w:w="797" w:type="dxa"/>
          </w:tcPr>
          <w:p w:rsidR="00412818" w:rsidRPr="00E743FC" w:rsidRDefault="008D61EC" w:rsidP="003D3CED">
            <w:pPr>
              <w:spacing w:after="120" w:line="240" w:lineRule="auto"/>
              <w:ind w:right="74"/>
              <w:jc w:val="right"/>
            </w:pPr>
            <w:r>
              <w:t>92</w:t>
            </w:r>
          </w:p>
        </w:tc>
      </w:tr>
      <w:tr w:rsidR="00412818" w:rsidRPr="00E743FC" w:rsidTr="007710E7">
        <w:tc>
          <w:tcPr>
            <w:tcW w:w="648" w:type="dxa"/>
          </w:tcPr>
          <w:p w:rsidR="00412818" w:rsidRDefault="00412818" w:rsidP="00761B63">
            <w:pPr>
              <w:spacing w:after="120" w:line="240" w:lineRule="auto"/>
              <w:ind w:right="74"/>
            </w:pPr>
          </w:p>
        </w:tc>
        <w:tc>
          <w:tcPr>
            <w:tcW w:w="7275" w:type="dxa"/>
            <w:gridSpan w:val="8"/>
          </w:tcPr>
          <w:p w:rsidR="00412818" w:rsidRPr="005D5DDE" w:rsidRDefault="00412818" w:rsidP="00761B63">
            <w:pPr>
              <w:spacing w:after="120" w:line="240" w:lineRule="auto"/>
              <w:ind w:right="74"/>
              <w:rPr>
                <w:i/>
              </w:rPr>
            </w:pPr>
            <w:r w:rsidRPr="005D5DDE">
              <w:rPr>
                <w:i/>
              </w:rPr>
              <w:t>Endnotes, Chapter 1</w:t>
            </w:r>
          </w:p>
        </w:tc>
        <w:tc>
          <w:tcPr>
            <w:tcW w:w="797" w:type="dxa"/>
          </w:tcPr>
          <w:p w:rsidR="00412818" w:rsidRPr="00E743FC" w:rsidRDefault="008D61EC" w:rsidP="003D3CED">
            <w:pPr>
              <w:spacing w:after="120" w:line="240" w:lineRule="auto"/>
              <w:ind w:right="74"/>
              <w:jc w:val="right"/>
            </w:pPr>
            <w:r>
              <w:t>93</w:t>
            </w:r>
          </w:p>
        </w:tc>
      </w:tr>
      <w:tr w:rsidR="00686B62" w:rsidRPr="00E743FC" w:rsidTr="007710E7">
        <w:tc>
          <w:tcPr>
            <w:tcW w:w="648" w:type="dxa"/>
          </w:tcPr>
          <w:p w:rsidR="00686B62" w:rsidRDefault="00686B62" w:rsidP="00761B63">
            <w:pPr>
              <w:spacing w:after="120" w:line="240" w:lineRule="auto"/>
              <w:ind w:right="74"/>
            </w:pPr>
          </w:p>
        </w:tc>
        <w:tc>
          <w:tcPr>
            <w:tcW w:w="7275" w:type="dxa"/>
            <w:gridSpan w:val="8"/>
          </w:tcPr>
          <w:p w:rsidR="00686B62" w:rsidRPr="005D5DDE" w:rsidRDefault="00686B62" w:rsidP="00761B63">
            <w:pPr>
              <w:spacing w:after="120" w:line="240" w:lineRule="auto"/>
              <w:ind w:right="74"/>
              <w:rPr>
                <w:i/>
              </w:rPr>
            </w:pPr>
          </w:p>
        </w:tc>
        <w:tc>
          <w:tcPr>
            <w:tcW w:w="797" w:type="dxa"/>
          </w:tcPr>
          <w:p w:rsidR="00686B62" w:rsidRDefault="00686B62" w:rsidP="00761B63">
            <w:pPr>
              <w:spacing w:after="120" w:line="240" w:lineRule="auto"/>
              <w:ind w:right="74"/>
            </w:pPr>
          </w:p>
        </w:tc>
      </w:tr>
      <w:tr w:rsidR="00412818" w:rsidRPr="00E743FC" w:rsidTr="007710E7">
        <w:tc>
          <w:tcPr>
            <w:tcW w:w="7923" w:type="dxa"/>
            <w:gridSpan w:val="9"/>
          </w:tcPr>
          <w:p w:rsidR="00412818" w:rsidRDefault="00412818" w:rsidP="00761B63">
            <w:pPr>
              <w:spacing w:after="0" w:line="240" w:lineRule="auto"/>
              <w:ind w:right="74"/>
              <w:rPr>
                <w:b/>
                <w:sz w:val="24"/>
              </w:rPr>
            </w:pPr>
            <w:r w:rsidRPr="00AF177B">
              <w:rPr>
                <w:b/>
                <w:sz w:val="24"/>
              </w:rPr>
              <w:t xml:space="preserve">CHAPTER </w:t>
            </w:r>
            <w:r>
              <w:rPr>
                <w:b/>
                <w:sz w:val="24"/>
              </w:rPr>
              <w:t>2</w:t>
            </w:r>
            <w:r w:rsidRPr="00AF177B">
              <w:rPr>
                <w:b/>
                <w:sz w:val="24"/>
              </w:rPr>
              <w:t xml:space="preserve">  </w:t>
            </w:r>
          </w:p>
          <w:p w:rsidR="00412818" w:rsidRDefault="00412818" w:rsidP="00761B63">
            <w:pPr>
              <w:spacing w:after="0" w:line="240" w:lineRule="auto"/>
              <w:ind w:right="74"/>
              <w:rPr>
                <w:b/>
                <w:sz w:val="24"/>
              </w:rPr>
            </w:pPr>
            <w:r>
              <w:rPr>
                <w:b/>
                <w:sz w:val="24"/>
              </w:rPr>
              <w:t xml:space="preserve">Scofield’s Hermeneutics, with Elements of Dispensationalism: </w:t>
            </w:r>
          </w:p>
          <w:p w:rsidR="00412818" w:rsidRPr="004A6B7A" w:rsidRDefault="00412818" w:rsidP="00761B63">
            <w:pPr>
              <w:spacing w:after="120" w:line="240" w:lineRule="auto"/>
              <w:ind w:right="74"/>
            </w:pPr>
            <w:r>
              <w:rPr>
                <w:b/>
                <w:sz w:val="24"/>
              </w:rPr>
              <w:t>Element 1: Commitment to a Literal Biblical Hermeneutic</w:t>
            </w:r>
          </w:p>
        </w:tc>
        <w:tc>
          <w:tcPr>
            <w:tcW w:w="797" w:type="dxa"/>
          </w:tcPr>
          <w:p w:rsidR="00412818" w:rsidRDefault="00412818" w:rsidP="00761B63">
            <w:pPr>
              <w:ind w:right="74"/>
            </w:pPr>
          </w:p>
          <w:p w:rsidR="008D61EC" w:rsidRPr="00E743FC" w:rsidRDefault="008D61EC" w:rsidP="003D3CED">
            <w:pPr>
              <w:ind w:right="74"/>
              <w:jc w:val="right"/>
            </w:pPr>
            <w:r>
              <w:t>99</w:t>
            </w:r>
          </w:p>
        </w:tc>
      </w:tr>
      <w:tr w:rsidR="00412818" w:rsidRPr="00E743FC" w:rsidTr="007710E7">
        <w:tc>
          <w:tcPr>
            <w:tcW w:w="657" w:type="dxa"/>
            <w:gridSpan w:val="2"/>
          </w:tcPr>
          <w:p w:rsidR="00412818" w:rsidRPr="00E743FC" w:rsidRDefault="00412818" w:rsidP="00761B63">
            <w:pPr>
              <w:spacing w:after="120" w:line="240" w:lineRule="auto"/>
              <w:ind w:right="74"/>
            </w:pPr>
            <w:r>
              <w:t>2.1</w:t>
            </w:r>
          </w:p>
        </w:tc>
        <w:tc>
          <w:tcPr>
            <w:tcW w:w="7266" w:type="dxa"/>
            <w:gridSpan w:val="7"/>
          </w:tcPr>
          <w:p w:rsidR="00412818" w:rsidRPr="00E743FC" w:rsidRDefault="00412818" w:rsidP="00761B63">
            <w:pPr>
              <w:spacing w:after="120" w:line="240" w:lineRule="auto"/>
              <w:ind w:right="74"/>
            </w:pPr>
            <w:r>
              <w:t>Biblical Literality, Inspiration and Historicity</w:t>
            </w:r>
          </w:p>
        </w:tc>
        <w:tc>
          <w:tcPr>
            <w:tcW w:w="797" w:type="dxa"/>
          </w:tcPr>
          <w:p w:rsidR="00412818" w:rsidRPr="00E743FC" w:rsidRDefault="008D61EC" w:rsidP="00A91054">
            <w:pPr>
              <w:spacing w:after="120" w:line="240" w:lineRule="auto"/>
              <w:ind w:right="74"/>
              <w:jc w:val="right"/>
            </w:pPr>
            <w:r>
              <w:t>99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2.1.1</w:t>
            </w:r>
          </w:p>
        </w:tc>
        <w:tc>
          <w:tcPr>
            <w:tcW w:w="6545" w:type="dxa"/>
            <w:gridSpan w:val="5"/>
          </w:tcPr>
          <w:p w:rsidR="00412818" w:rsidRDefault="00412818" w:rsidP="00761B63">
            <w:pPr>
              <w:spacing w:after="120" w:line="240" w:lineRule="auto"/>
              <w:ind w:right="74"/>
            </w:pPr>
            <w:r>
              <w:t>Solutions to Perceived Discrepancies or Contradictions in the Biblical Text</w:t>
            </w:r>
          </w:p>
        </w:tc>
        <w:tc>
          <w:tcPr>
            <w:tcW w:w="797" w:type="dxa"/>
          </w:tcPr>
          <w:p w:rsidR="00412818" w:rsidRPr="00E743FC" w:rsidRDefault="008D61EC" w:rsidP="00A91054">
            <w:pPr>
              <w:spacing w:after="120" w:line="240" w:lineRule="auto"/>
              <w:ind w:right="74"/>
              <w:jc w:val="right"/>
            </w:pPr>
            <w:r>
              <w:t>104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a) Numerical Discrepancies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2F1268" w:rsidP="003D3CED">
            <w:pPr>
              <w:spacing w:after="120" w:line="240" w:lineRule="auto"/>
              <w:ind w:right="74"/>
              <w:jc w:val="right"/>
            </w:pPr>
            <w:r>
              <w:t>105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b)  Saul</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2F1268" w:rsidP="003D3CED">
            <w:pPr>
              <w:spacing w:after="120" w:line="240" w:lineRule="auto"/>
              <w:ind w:right="74"/>
              <w:jc w:val="right"/>
            </w:pPr>
            <w:r>
              <w:t>106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c)  Purchase of Areas of Land</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2F1268" w:rsidP="003D3CED">
            <w:pPr>
              <w:spacing w:after="120" w:line="240" w:lineRule="auto"/>
              <w:ind w:right="74"/>
              <w:jc w:val="right"/>
            </w:pPr>
            <w:r>
              <w:t>108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d)  New Testament Examples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2F1268" w:rsidP="003D3CED">
            <w:pPr>
              <w:spacing w:after="120" w:line="240" w:lineRule="auto"/>
              <w:ind w:right="74"/>
              <w:jc w:val="right"/>
            </w:pPr>
            <w:r>
              <w:t>109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2.1.2</w:t>
            </w:r>
          </w:p>
        </w:tc>
        <w:tc>
          <w:tcPr>
            <w:tcW w:w="6545" w:type="dxa"/>
            <w:gridSpan w:val="5"/>
          </w:tcPr>
          <w:p w:rsidR="00412818" w:rsidRDefault="00412818" w:rsidP="00761B63">
            <w:pPr>
              <w:spacing w:after="120" w:line="240" w:lineRule="auto"/>
              <w:ind w:right="74"/>
            </w:pPr>
            <w:r>
              <w:t>Harmonisation</w:t>
            </w:r>
          </w:p>
        </w:tc>
        <w:tc>
          <w:tcPr>
            <w:tcW w:w="797" w:type="dxa"/>
          </w:tcPr>
          <w:p w:rsidR="00412818" w:rsidRPr="00E743FC" w:rsidRDefault="002F1268" w:rsidP="003D3CED">
            <w:pPr>
              <w:spacing w:after="120" w:line="240" w:lineRule="auto"/>
              <w:ind w:right="74"/>
              <w:jc w:val="right"/>
            </w:pPr>
            <w:r>
              <w:t>112</w:t>
            </w:r>
          </w:p>
        </w:tc>
      </w:tr>
      <w:tr w:rsidR="00412818" w:rsidRPr="00E743FC" w:rsidTr="007710E7">
        <w:tc>
          <w:tcPr>
            <w:tcW w:w="657" w:type="dxa"/>
            <w:gridSpan w:val="2"/>
          </w:tcPr>
          <w:p w:rsidR="00412818" w:rsidRPr="00E743FC" w:rsidRDefault="00412818" w:rsidP="00761B63">
            <w:pPr>
              <w:spacing w:after="0" w:line="240" w:lineRule="auto"/>
              <w:ind w:right="74"/>
            </w:pPr>
            <w:r>
              <w:t>2.2</w:t>
            </w:r>
          </w:p>
        </w:tc>
        <w:tc>
          <w:tcPr>
            <w:tcW w:w="7266" w:type="dxa"/>
            <w:gridSpan w:val="7"/>
          </w:tcPr>
          <w:p w:rsidR="00412818" w:rsidRPr="00E743FC" w:rsidRDefault="00412818" w:rsidP="00761B63">
            <w:pPr>
              <w:spacing w:after="120" w:line="240" w:lineRule="auto"/>
              <w:ind w:right="74"/>
            </w:pPr>
            <w:r>
              <w:t>Scofield’s Interpretation of Prophecy</w:t>
            </w:r>
          </w:p>
        </w:tc>
        <w:tc>
          <w:tcPr>
            <w:tcW w:w="797" w:type="dxa"/>
          </w:tcPr>
          <w:p w:rsidR="00412818" w:rsidRPr="00E743FC" w:rsidRDefault="002F1268" w:rsidP="003D3CED">
            <w:pPr>
              <w:spacing w:after="0" w:line="240" w:lineRule="auto"/>
              <w:ind w:right="74"/>
              <w:jc w:val="right"/>
            </w:pPr>
            <w:r>
              <w:t>118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rsidRPr="00E743FC">
              <w:t xml:space="preserve">2.2.1  </w:t>
            </w:r>
          </w:p>
        </w:tc>
        <w:tc>
          <w:tcPr>
            <w:tcW w:w="6545" w:type="dxa"/>
            <w:gridSpan w:val="5"/>
          </w:tcPr>
          <w:p w:rsidR="00412818" w:rsidRPr="00E743FC" w:rsidRDefault="00412818" w:rsidP="00761B63">
            <w:pPr>
              <w:spacing w:after="120" w:line="240" w:lineRule="auto"/>
              <w:ind w:right="74"/>
            </w:pPr>
            <w:r>
              <w:t>‘Near’ and ‘Far’ Prophecy</w:t>
            </w:r>
          </w:p>
        </w:tc>
        <w:tc>
          <w:tcPr>
            <w:tcW w:w="797" w:type="dxa"/>
          </w:tcPr>
          <w:p w:rsidR="00412818" w:rsidRPr="00E743FC" w:rsidRDefault="002F1268" w:rsidP="003D3CED">
            <w:pPr>
              <w:spacing w:after="120" w:line="240" w:lineRule="auto"/>
              <w:ind w:right="74"/>
              <w:jc w:val="right"/>
            </w:pPr>
            <w:r>
              <w:t>119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rsidRPr="00E743FC">
              <w:t xml:space="preserve">2.2.2  </w:t>
            </w:r>
          </w:p>
        </w:tc>
        <w:tc>
          <w:tcPr>
            <w:tcW w:w="6545" w:type="dxa"/>
            <w:gridSpan w:val="5"/>
          </w:tcPr>
          <w:p w:rsidR="00412818" w:rsidRPr="00E743FC" w:rsidRDefault="00412818" w:rsidP="00761B63">
            <w:pPr>
              <w:spacing w:after="120" w:line="240" w:lineRule="auto"/>
              <w:ind w:right="74"/>
            </w:pPr>
            <w:r>
              <w:t>Fulfilled Prophecy</w:t>
            </w:r>
          </w:p>
        </w:tc>
        <w:tc>
          <w:tcPr>
            <w:tcW w:w="797" w:type="dxa"/>
          </w:tcPr>
          <w:p w:rsidR="00412818" w:rsidRPr="00E743FC" w:rsidRDefault="002F1268" w:rsidP="003D3CED">
            <w:pPr>
              <w:spacing w:after="120" w:line="240" w:lineRule="auto"/>
              <w:ind w:right="74"/>
              <w:jc w:val="right"/>
            </w:pPr>
            <w:r>
              <w:t>120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2.2.3</w:t>
            </w:r>
          </w:p>
        </w:tc>
        <w:tc>
          <w:tcPr>
            <w:tcW w:w="6545" w:type="dxa"/>
            <w:gridSpan w:val="5"/>
          </w:tcPr>
          <w:p w:rsidR="00412818" w:rsidRPr="00E743FC" w:rsidRDefault="00412818" w:rsidP="00761B63">
            <w:pPr>
              <w:spacing w:after="120" w:line="240" w:lineRule="auto"/>
              <w:ind w:right="74"/>
            </w:pPr>
            <w:r>
              <w:t>Partially Fulfilled Prophecy</w:t>
            </w:r>
          </w:p>
        </w:tc>
        <w:tc>
          <w:tcPr>
            <w:tcW w:w="797" w:type="dxa"/>
          </w:tcPr>
          <w:p w:rsidR="00412818" w:rsidRPr="00E743FC" w:rsidRDefault="002F1268" w:rsidP="003D3CED">
            <w:pPr>
              <w:spacing w:after="120" w:line="240" w:lineRule="auto"/>
              <w:ind w:right="74"/>
              <w:jc w:val="right"/>
            </w:pPr>
            <w:r>
              <w:t>122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2.2.4</w:t>
            </w:r>
          </w:p>
        </w:tc>
        <w:tc>
          <w:tcPr>
            <w:tcW w:w="6545" w:type="dxa"/>
            <w:gridSpan w:val="5"/>
          </w:tcPr>
          <w:p w:rsidR="00412818" w:rsidRPr="00E743FC" w:rsidRDefault="00412818" w:rsidP="00761B63">
            <w:pPr>
              <w:spacing w:after="120" w:line="240" w:lineRule="auto"/>
              <w:ind w:right="74"/>
            </w:pPr>
            <w:r>
              <w:t>As Yet Unfulfilled Prophecy</w:t>
            </w:r>
          </w:p>
        </w:tc>
        <w:tc>
          <w:tcPr>
            <w:tcW w:w="797" w:type="dxa"/>
          </w:tcPr>
          <w:p w:rsidR="00412818" w:rsidRPr="00E743FC" w:rsidRDefault="002F1268" w:rsidP="003D3CED">
            <w:pPr>
              <w:spacing w:after="120" w:line="240" w:lineRule="auto"/>
              <w:ind w:right="74"/>
              <w:jc w:val="right"/>
            </w:pPr>
            <w:r>
              <w:t>123</w:t>
            </w:r>
          </w:p>
        </w:tc>
      </w:tr>
      <w:tr w:rsidR="00412818" w:rsidRPr="00E743FC" w:rsidTr="007710E7">
        <w:tc>
          <w:tcPr>
            <w:tcW w:w="657" w:type="dxa"/>
            <w:gridSpan w:val="2"/>
          </w:tcPr>
          <w:p w:rsidR="00412818" w:rsidRPr="00E743FC" w:rsidRDefault="00412818" w:rsidP="00761B63">
            <w:pPr>
              <w:spacing w:after="0" w:line="240" w:lineRule="auto"/>
              <w:ind w:right="74"/>
            </w:pPr>
            <w:r>
              <w:t>2.3</w:t>
            </w:r>
          </w:p>
        </w:tc>
        <w:tc>
          <w:tcPr>
            <w:tcW w:w="7266" w:type="dxa"/>
            <w:gridSpan w:val="7"/>
          </w:tcPr>
          <w:p w:rsidR="00412818" w:rsidRPr="00E743FC" w:rsidRDefault="00412818" w:rsidP="00761B63">
            <w:pPr>
              <w:spacing w:after="120" w:line="240" w:lineRule="auto"/>
              <w:ind w:right="74"/>
            </w:pPr>
            <w:r>
              <w:t>Typology</w:t>
            </w:r>
          </w:p>
        </w:tc>
        <w:tc>
          <w:tcPr>
            <w:tcW w:w="797" w:type="dxa"/>
          </w:tcPr>
          <w:p w:rsidR="00412818" w:rsidRPr="00E743FC" w:rsidRDefault="002F1268" w:rsidP="003D3CED">
            <w:pPr>
              <w:spacing w:after="0" w:line="240" w:lineRule="auto"/>
              <w:ind w:right="74"/>
              <w:jc w:val="right"/>
            </w:pPr>
            <w:r>
              <w:t>123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2.3.1</w:t>
            </w:r>
          </w:p>
        </w:tc>
        <w:tc>
          <w:tcPr>
            <w:tcW w:w="6545" w:type="dxa"/>
            <w:gridSpan w:val="5"/>
          </w:tcPr>
          <w:p w:rsidR="00412818" w:rsidRPr="00E743FC" w:rsidRDefault="00412818" w:rsidP="00761B63">
            <w:pPr>
              <w:spacing w:after="120" w:line="240" w:lineRule="auto"/>
              <w:ind w:right="74"/>
            </w:pPr>
            <w:r>
              <w:t>Typological Assertions and Non-Typological Representations</w:t>
            </w:r>
          </w:p>
        </w:tc>
        <w:tc>
          <w:tcPr>
            <w:tcW w:w="797" w:type="dxa"/>
          </w:tcPr>
          <w:p w:rsidR="00412818" w:rsidRPr="00E743FC" w:rsidRDefault="002F1268" w:rsidP="003D3CED">
            <w:pPr>
              <w:spacing w:after="120" w:line="240" w:lineRule="auto"/>
              <w:ind w:right="74"/>
              <w:jc w:val="right"/>
            </w:pPr>
            <w:r>
              <w:t>124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a)  Christ and the Cross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2F1268" w:rsidP="003D3CED">
            <w:pPr>
              <w:spacing w:after="120" w:line="240" w:lineRule="auto"/>
              <w:ind w:right="74"/>
              <w:jc w:val="right"/>
            </w:pPr>
            <w:r>
              <w:t>125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308" w:type="dxa"/>
          </w:tcPr>
          <w:p w:rsidR="00412818" w:rsidRDefault="00412818" w:rsidP="00761B63">
            <w:pPr>
              <w:spacing w:after="120" w:line="240" w:lineRule="auto"/>
              <w:ind w:right="74"/>
            </w:pPr>
          </w:p>
        </w:tc>
        <w:tc>
          <w:tcPr>
            <w:tcW w:w="4695" w:type="dxa"/>
            <w:gridSpan w:val="3"/>
          </w:tcPr>
          <w:p w:rsidR="00412818" w:rsidRPr="005A2D1D" w:rsidRDefault="00412818" w:rsidP="00761B63">
            <w:pPr>
              <w:spacing w:after="120" w:line="240" w:lineRule="auto"/>
              <w:ind w:right="74"/>
              <w:rPr>
                <w:i/>
              </w:rPr>
            </w:pPr>
            <w:r w:rsidRPr="005A2D1D">
              <w:rPr>
                <w:i/>
              </w:rPr>
              <w:t>i)  Typological Assertions Concerning Christ and the Cross</w:t>
            </w:r>
          </w:p>
        </w:tc>
        <w:tc>
          <w:tcPr>
            <w:tcW w:w="797" w:type="dxa"/>
          </w:tcPr>
          <w:p w:rsidR="00412818" w:rsidRPr="00E743FC" w:rsidRDefault="002F1268" w:rsidP="003D3CED">
            <w:pPr>
              <w:spacing w:after="120" w:line="240" w:lineRule="auto"/>
              <w:ind w:right="74"/>
              <w:jc w:val="right"/>
            </w:pPr>
            <w:r>
              <w:t>125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Genesis</w:t>
            </w:r>
          </w:p>
        </w:tc>
        <w:tc>
          <w:tcPr>
            <w:tcW w:w="797" w:type="dxa"/>
          </w:tcPr>
          <w:p w:rsidR="00412818" w:rsidRPr="00E743FC" w:rsidRDefault="002F1268" w:rsidP="003D3CED">
            <w:pPr>
              <w:spacing w:after="120" w:line="240" w:lineRule="auto"/>
              <w:ind w:right="74"/>
              <w:jc w:val="right"/>
            </w:pPr>
            <w:r>
              <w:t>125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Exodus</w:t>
            </w:r>
          </w:p>
        </w:tc>
        <w:tc>
          <w:tcPr>
            <w:tcW w:w="797" w:type="dxa"/>
          </w:tcPr>
          <w:p w:rsidR="00412818" w:rsidRDefault="002F1268" w:rsidP="003D3CED">
            <w:pPr>
              <w:spacing w:after="120" w:line="240" w:lineRule="auto"/>
              <w:ind w:right="74"/>
              <w:jc w:val="right"/>
            </w:pPr>
            <w:r>
              <w:t>128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Leviticus</w:t>
            </w:r>
          </w:p>
        </w:tc>
        <w:tc>
          <w:tcPr>
            <w:tcW w:w="797" w:type="dxa"/>
          </w:tcPr>
          <w:p w:rsidR="00412818" w:rsidRDefault="002F1268" w:rsidP="003D3CED">
            <w:pPr>
              <w:spacing w:after="120" w:line="240" w:lineRule="auto"/>
              <w:ind w:right="74"/>
              <w:jc w:val="right"/>
            </w:pPr>
            <w:r>
              <w:t>131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Numbers</w:t>
            </w:r>
          </w:p>
        </w:tc>
        <w:tc>
          <w:tcPr>
            <w:tcW w:w="797" w:type="dxa"/>
          </w:tcPr>
          <w:p w:rsidR="00412818" w:rsidRDefault="00D167A9" w:rsidP="003D3CED">
            <w:pPr>
              <w:spacing w:after="120" w:line="240" w:lineRule="auto"/>
              <w:ind w:right="74"/>
              <w:jc w:val="right"/>
            </w:pPr>
            <w:r>
              <w:t>135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D167A9">
            <w:pPr>
              <w:spacing w:after="120" w:line="240" w:lineRule="auto"/>
              <w:ind w:right="74"/>
              <w:rPr>
                <w:i/>
              </w:rPr>
            </w:pPr>
            <w:r w:rsidRPr="005A2D1D">
              <w:rPr>
                <w:i/>
              </w:rPr>
              <w:t>The ‘Historical Books</w:t>
            </w:r>
            <w:r w:rsidR="00D167A9">
              <w:rPr>
                <w:i/>
              </w:rPr>
              <w:t>’</w:t>
            </w:r>
          </w:p>
        </w:tc>
        <w:tc>
          <w:tcPr>
            <w:tcW w:w="797" w:type="dxa"/>
          </w:tcPr>
          <w:p w:rsidR="00412818" w:rsidRDefault="00D167A9" w:rsidP="003D3CED">
            <w:pPr>
              <w:spacing w:after="120" w:line="240" w:lineRule="auto"/>
              <w:ind w:right="74"/>
              <w:jc w:val="right"/>
            </w:pPr>
            <w:r>
              <w:t>136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The Prophets</w:t>
            </w:r>
          </w:p>
        </w:tc>
        <w:tc>
          <w:tcPr>
            <w:tcW w:w="797" w:type="dxa"/>
          </w:tcPr>
          <w:p w:rsidR="00412818" w:rsidRDefault="00D167A9" w:rsidP="003D3CED">
            <w:pPr>
              <w:spacing w:after="120" w:line="240" w:lineRule="auto"/>
              <w:ind w:right="74"/>
              <w:jc w:val="right"/>
            </w:pPr>
            <w:r>
              <w:t>137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The New Testament</w:t>
            </w:r>
          </w:p>
        </w:tc>
        <w:tc>
          <w:tcPr>
            <w:tcW w:w="797" w:type="dxa"/>
          </w:tcPr>
          <w:p w:rsidR="00412818" w:rsidRDefault="002C1E23" w:rsidP="003D3CED">
            <w:pPr>
              <w:spacing w:after="120" w:line="240" w:lineRule="auto"/>
              <w:ind w:right="74"/>
              <w:jc w:val="right"/>
            </w:pPr>
            <w:r>
              <w:t>138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308" w:type="dxa"/>
          </w:tcPr>
          <w:p w:rsidR="00412818" w:rsidRDefault="00412818" w:rsidP="00761B63">
            <w:pPr>
              <w:spacing w:after="120" w:line="240" w:lineRule="auto"/>
              <w:ind w:right="74"/>
            </w:pPr>
          </w:p>
        </w:tc>
        <w:tc>
          <w:tcPr>
            <w:tcW w:w="4695" w:type="dxa"/>
            <w:gridSpan w:val="3"/>
          </w:tcPr>
          <w:p w:rsidR="00412818" w:rsidRPr="005A2D1D" w:rsidRDefault="00412818" w:rsidP="00761B63">
            <w:pPr>
              <w:spacing w:after="120" w:line="240" w:lineRule="auto"/>
              <w:ind w:right="74"/>
              <w:rPr>
                <w:i/>
              </w:rPr>
            </w:pPr>
            <w:r w:rsidRPr="005A2D1D">
              <w:rPr>
                <w:i/>
              </w:rPr>
              <w:t>ii)  Non-Typological Assertions Concerning Christ and the Cross</w:t>
            </w:r>
          </w:p>
        </w:tc>
        <w:tc>
          <w:tcPr>
            <w:tcW w:w="797" w:type="dxa"/>
          </w:tcPr>
          <w:p w:rsidR="00412818" w:rsidRPr="00E743FC" w:rsidRDefault="002C1E23" w:rsidP="003D3CED">
            <w:pPr>
              <w:spacing w:after="120" w:line="240" w:lineRule="auto"/>
              <w:ind w:right="74"/>
              <w:jc w:val="right"/>
            </w:pPr>
            <w:r>
              <w:t>140</w:t>
            </w:r>
          </w:p>
        </w:tc>
      </w:tr>
      <w:tr w:rsidR="00C164DC" w:rsidRPr="00E743FC" w:rsidTr="007710E7">
        <w:tc>
          <w:tcPr>
            <w:tcW w:w="657" w:type="dxa"/>
            <w:gridSpan w:val="2"/>
          </w:tcPr>
          <w:p w:rsidR="00C164DC" w:rsidRPr="00E743FC" w:rsidRDefault="00C164DC" w:rsidP="00761B63">
            <w:pPr>
              <w:spacing w:after="120" w:line="240" w:lineRule="auto"/>
              <w:ind w:right="74"/>
            </w:pPr>
          </w:p>
        </w:tc>
        <w:tc>
          <w:tcPr>
            <w:tcW w:w="1263" w:type="dxa"/>
            <w:gridSpan w:val="3"/>
          </w:tcPr>
          <w:p w:rsidR="00C164DC" w:rsidRPr="00E743FC" w:rsidRDefault="00C164DC" w:rsidP="00761B63">
            <w:pPr>
              <w:spacing w:after="120" w:line="240" w:lineRule="auto"/>
              <w:ind w:right="74"/>
            </w:pPr>
          </w:p>
        </w:tc>
        <w:tc>
          <w:tcPr>
            <w:tcW w:w="6003" w:type="dxa"/>
            <w:gridSpan w:val="4"/>
          </w:tcPr>
          <w:p w:rsidR="00C164DC" w:rsidRPr="005A2D1D" w:rsidRDefault="00C164DC" w:rsidP="00761B63">
            <w:pPr>
              <w:spacing w:after="120" w:line="240" w:lineRule="auto"/>
              <w:ind w:right="74"/>
              <w:rPr>
                <w:i/>
              </w:rPr>
            </w:pPr>
            <w:r w:rsidRPr="005A2D1D">
              <w:rPr>
                <w:i/>
              </w:rPr>
              <w:t>b)  Typological Assertions – God the Father and the Holy Spirit</w:t>
            </w:r>
          </w:p>
        </w:tc>
        <w:tc>
          <w:tcPr>
            <w:tcW w:w="797" w:type="dxa"/>
          </w:tcPr>
          <w:p w:rsidR="00C164DC" w:rsidRPr="00E743FC" w:rsidRDefault="00C164DC" w:rsidP="00AA549C">
            <w:pPr>
              <w:spacing w:after="120" w:line="240" w:lineRule="auto"/>
              <w:ind w:right="74"/>
              <w:jc w:val="right"/>
            </w:pPr>
            <w:r>
              <w:t>143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c)  The Church and Believers</w:t>
            </w:r>
          </w:p>
        </w:tc>
        <w:tc>
          <w:tcPr>
            <w:tcW w:w="2449" w:type="dxa"/>
          </w:tcPr>
          <w:p w:rsidR="00412818" w:rsidRPr="005A2D1D" w:rsidRDefault="00412818" w:rsidP="00761B63">
            <w:pPr>
              <w:spacing w:after="120" w:line="240" w:lineRule="auto"/>
              <w:ind w:right="74"/>
              <w:rPr>
                <w:i/>
              </w:rPr>
            </w:pPr>
          </w:p>
        </w:tc>
        <w:tc>
          <w:tcPr>
            <w:tcW w:w="797" w:type="dxa"/>
          </w:tcPr>
          <w:p w:rsidR="00412818" w:rsidRPr="00E743FC" w:rsidRDefault="00C164DC" w:rsidP="00AA549C">
            <w:pPr>
              <w:spacing w:after="120" w:line="240" w:lineRule="auto"/>
              <w:ind w:right="74"/>
              <w:jc w:val="right"/>
            </w:pPr>
            <w:r>
              <w:t>144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308" w:type="dxa"/>
          </w:tcPr>
          <w:p w:rsidR="00412818" w:rsidRPr="005A2D1D" w:rsidRDefault="00412818" w:rsidP="00761B63">
            <w:pPr>
              <w:spacing w:after="120" w:line="240" w:lineRule="auto"/>
              <w:ind w:right="74"/>
              <w:rPr>
                <w:i/>
              </w:rPr>
            </w:pPr>
          </w:p>
        </w:tc>
        <w:tc>
          <w:tcPr>
            <w:tcW w:w="4695" w:type="dxa"/>
            <w:gridSpan w:val="3"/>
          </w:tcPr>
          <w:p w:rsidR="00412818" w:rsidRPr="005A2D1D" w:rsidRDefault="00412818" w:rsidP="00761B63">
            <w:pPr>
              <w:spacing w:after="120" w:line="240" w:lineRule="auto"/>
              <w:ind w:right="74"/>
              <w:rPr>
                <w:i/>
              </w:rPr>
            </w:pPr>
            <w:r w:rsidRPr="005A2D1D">
              <w:rPr>
                <w:i/>
              </w:rPr>
              <w:t>i)  Typological and</w:t>
            </w:r>
            <w:r w:rsidR="00C164DC">
              <w:rPr>
                <w:i/>
              </w:rPr>
              <w:t xml:space="preserve"> </w:t>
            </w:r>
            <w:r w:rsidRPr="005A2D1D">
              <w:rPr>
                <w:i/>
              </w:rPr>
              <w:t>Non-Typological Assertions  - The Church</w:t>
            </w:r>
          </w:p>
        </w:tc>
        <w:tc>
          <w:tcPr>
            <w:tcW w:w="797" w:type="dxa"/>
          </w:tcPr>
          <w:p w:rsidR="00412818" w:rsidRPr="00E743FC" w:rsidRDefault="00C164DC" w:rsidP="00AA549C">
            <w:pPr>
              <w:spacing w:after="120" w:line="240" w:lineRule="auto"/>
              <w:ind w:right="74"/>
              <w:jc w:val="right"/>
            </w:pPr>
            <w:r>
              <w:t>144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308" w:type="dxa"/>
          </w:tcPr>
          <w:p w:rsidR="00412818" w:rsidRPr="005A2D1D" w:rsidRDefault="00412818" w:rsidP="00761B63">
            <w:pPr>
              <w:spacing w:after="120" w:line="240" w:lineRule="auto"/>
              <w:ind w:right="74"/>
              <w:rPr>
                <w:i/>
              </w:rPr>
            </w:pPr>
          </w:p>
        </w:tc>
        <w:tc>
          <w:tcPr>
            <w:tcW w:w="4695" w:type="dxa"/>
            <w:gridSpan w:val="3"/>
          </w:tcPr>
          <w:p w:rsidR="00412818" w:rsidRPr="005A2D1D" w:rsidRDefault="00412818" w:rsidP="00761B63">
            <w:pPr>
              <w:spacing w:after="120" w:line="240" w:lineRule="auto"/>
              <w:ind w:right="74"/>
              <w:rPr>
                <w:i/>
              </w:rPr>
            </w:pPr>
            <w:r w:rsidRPr="005A2D1D">
              <w:rPr>
                <w:i/>
              </w:rPr>
              <w:t>ii)  Typological and Non-Typological Assertions  - Believers</w:t>
            </w:r>
          </w:p>
        </w:tc>
        <w:tc>
          <w:tcPr>
            <w:tcW w:w="797" w:type="dxa"/>
          </w:tcPr>
          <w:p w:rsidR="00412818" w:rsidRPr="00E743FC" w:rsidRDefault="00C164DC" w:rsidP="00AA549C">
            <w:pPr>
              <w:spacing w:after="120" w:line="240" w:lineRule="auto"/>
              <w:ind w:right="74"/>
              <w:jc w:val="right"/>
            </w:pPr>
            <w:r>
              <w:t>146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Typological Assertions</w:t>
            </w:r>
          </w:p>
        </w:tc>
        <w:tc>
          <w:tcPr>
            <w:tcW w:w="797" w:type="dxa"/>
          </w:tcPr>
          <w:p w:rsidR="00412818" w:rsidRDefault="00C164DC" w:rsidP="00AA549C">
            <w:pPr>
              <w:spacing w:after="120" w:line="240" w:lineRule="auto"/>
              <w:ind w:right="74"/>
              <w:jc w:val="right"/>
            </w:pPr>
            <w:r>
              <w:t>146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2156" w:type="dxa"/>
            <w:gridSpan w:val="2"/>
          </w:tcPr>
          <w:p w:rsidR="00412818" w:rsidRPr="00E743FC" w:rsidRDefault="00412818" w:rsidP="00761B63">
            <w:pPr>
              <w:spacing w:after="120" w:line="240" w:lineRule="auto"/>
              <w:ind w:right="74"/>
            </w:pPr>
          </w:p>
        </w:tc>
        <w:tc>
          <w:tcPr>
            <w:tcW w:w="3847" w:type="dxa"/>
            <w:gridSpan w:val="2"/>
          </w:tcPr>
          <w:p w:rsidR="00412818" w:rsidRPr="005A2D1D" w:rsidRDefault="00412818" w:rsidP="00761B63">
            <w:pPr>
              <w:spacing w:after="120" w:line="240" w:lineRule="auto"/>
              <w:ind w:right="74"/>
              <w:rPr>
                <w:i/>
              </w:rPr>
            </w:pPr>
            <w:r w:rsidRPr="005A2D1D">
              <w:rPr>
                <w:i/>
              </w:rPr>
              <w:t>Non-Typological Assertions</w:t>
            </w:r>
          </w:p>
        </w:tc>
        <w:tc>
          <w:tcPr>
            <w:tcW w:w="797" w:type="dxa"/>
          </w:tcPr>
          <w:p w:rsidR="00412818" w:rsidRDefault="00C164DC" w:rsidP="00AA549C">
            <w:pPr>
              <w:spacing w:after="120" w:line="240" w:lineRule="auto"/>
              <w:ind w:right="74"/>
              <w:jc w:val="right"/>
            </w:pPr>
            <w:r>
              <w:t>147</w:t>
            </w:r>
          </w:p>
        </w:tc>
      </w:tr>
      <w:tr w:rsidR="00C164DC" w:rsidRPr="00E743FC" w:rsidTr="007710E7">
        <w:tc>
          <w:tcPr>
            <w:tcW w:w="657" w:type="dxa"/>
            <w:gridSpan w:val="2"/>
          </w:tcPr>
          <w:p w:rsidR="00C164DC" w:rsidRPr="00E743FC" w:rsidRDefault="00C164DC" w:rsidP="00761B63">
            <w:pPr>
              <w:spacing w:after="120" w:line="240" w:lineRule="auto"/>
              <w:ind w:right="74"/>
            </w:pPr>
          </w:p>
        </w:tc>
        <w:tc>
          <w:tcPr>
            <w:tcW w:w="1263" w:type="dxa"/>
            <w:gridSpan w:val="3"/>
          </w:tcPr>
          <w:p w:rsidR="00C164DC" w:rsidRPr="00E743FC" w:rsidRDefault="00C164DC" w:rsidP="00761B63">
            <w:pPr>
              <w:spacing w:after="120" w:line="240" w:lineRule="auto"/>
              <w:ind w:right="74"/>
            </w:pPr>
          </w:p>
        </w:tc>
        <w:tc>
          <w:tcPr>
            <w:tcW w:w="6003" w:type="dxa"/>
            <w:gridSpan w:val="4"/>
          </w:tcPr>
          <w:p w:rsidR="00C164DC" w:rsidRPr="00E743FC" w:rsidRDefault="00C164DC" w:rsidP="00AA549C">
            <w:pPr>
              <w:spacing w:after="120" w:line="240" w:lineRule="auto"/>
              <w:ind w:right="74"/>
            </w:pPr>
            <w:r w:rsidRPr="005A2D1D">
              <w:rPr>
                <w:i/>
              </w:rPr>
              <w:t xml:space="preserve">d)  Typological and Non-Typological </w:t>
            </w:r>
            <w:r w:rsidR="00AA549C">
              <w:rPr>
                <w:i/>
              </w:rPr>
              <w:t xml:space="preserve">References </w:t>
            </w:r>
            <w:r w:rsidRPr="005A2D1D">
              <w:rPr>
                <w:i/>
              </w:rPr>
              <w:t>- Israel</w:t>
            </w:r>
          </w:p>
        </w:tc>
        <w:tc>
          <w:tcPr>
            <w:tcW w:w="797" w:type="dxa"/>
          </w:tcPr>
          <w:p w:rsidR="00C164DC" w:rsidRPr="00E743FC" w:rsidRDefault="00E6109F" w:rsidP="00AA549C">
            <w:pPr>
              <w:spacing w:after="120" w:line="240" w:lineRule="auto"/>
              <w:ind w:right="74"/>
              <w:jc w:val="right"/>
            </w:pPr>
            <w:r>
              <w:t>148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54" w:type="dxa"/>
            <w:gridSpan w:val="3"/>
          </w:tcPr>
          <w:p w:rsidR="00412818" w:rsidRPr="005A2D1D" w:rsidRDefault="00412818" w:rsidP="00761B63">
            <w:pPr>
              <w:spacing w:after="120" w:line="240" w:lineRule="auto"/>
              <w:ind w:right="74"/>
              <w:rPr>
                <w:i/>
              </w:rPr>
            </w:pPr>
            <w:r w:rsidRPr="005A2D1D">
              <w:rPr>
                <w:i/>
              </w:rPr>
              <w:t>e)  Further Types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E6109F" w:rsidP="00AA549C">
            <w:pPr>
              <w:spacing w:after="120" w:line="240" w:lineRule="auto"/>
              <w:ind w:right="74"/>
              <w:jc w:val="right"/>
            </w:pPr>
            <w:r>
              <w:t>150</w:t>
            </w:r>
          </w:p>
        </w:tc>
      </w:tr>
      <w:tr w:rsidR="00412818" w:rsidRPr="00E743FC" w:rsidTr="007710E7">
        <w:tc>
          <w:tcPr>
            <w:tcW w:w="657" w:type="dxa"/>
            <w:gridSpan w:val="2"/>
          </w:tcPr>
          <w:p w:rsidR="00412818" w:rsidRPr="00E743FC" w:rsidRDefault="00412818" w:rsidP="00761B63">
            <w:pPr>
              <w:spacing w:after="0" w:line="240" w:lineRule="auto"/>
              <w:ind w:right="74"/>
            </w:pPr>
            <w:r>
              <w:t>2.4</w:t>
            </w:r>
          </w:p>
        </w:tc>
        <w:tc>
          <w:tcPr>
            <w:tcW w:w="7266" w:type="dxa"/>
            <w:gridSpan w:val="7"/>
          </w:tcPr>
          <w:p w:rsidR="00412818" w:rsidRPr="00E743FC" w:rsidRDefault="00412818" w:rsidP="00761B63">
            <w:pPr>
              <w:spacing w:after="120" w:line="240" w:lineRule="auto"/>
              <w:ind w:right="74"/>
            </w:pPr>
            <w:r>
              <w:t>The Bible Readings Method</w:t>
            </w:r>
          </w:p>
        </w:tc>
        <w:tc>
          <w:tcPr>
            <w:tcW w:w="797" w:type="dxa"/>
          </w:tcPr>
          <w:p w:rsidR="00412818" w:rsidRPr="00E743FC" w:rsidRDefault="0061211E" w:rsidP="00AA549C">
            <w:pPr>
              <w:spacing w:after="0" w:line="240" w:lineRule="auto"/>
              <w:ind w:right="74"/>
              <w:jc w:val="right"/>
            </w:pPr>
            <w:r>
              <w:t>152</w:t>
            </w:r>
          </w:p>
        </w:tc>
      </w:tr>
      <w:tr w:rsidR="00412818" w:rsidRPr="00E743FC" w:rsidTr="007710E7">
        <w:tc>
          <w:tcPr>
            <w:tcW w:w="657" w:type="dxa"/>
            <w:gridSpan w:val="2"/>
          </w:tcPr>
          <w:p w:rsidR="00412818" w:rsidRPr="00E743FC" w:rsidRDefault="00412818" w:rsidP="00761B63">
            <w:pPr>
              <w:spacing w:after="0" w:line="240" w:lineRule="auto"/>
              <w:ind w:right="74"/>
            </w:pPr>
            <w:r>
              <w:t>2.5</w:t>
            </w:r>
          </w:p>
        </w:tc>
        <w:tc>
          <w:tcPr>
            <w:tcW w:w="7266" w:type="dxa"/>
            <w:gridSpan w:val="7"/>
          </w:tcPr>
          <w:p w:rsidR="00412818" w:rsidRPr="00E743FC" w:rsidRDefault="00412818" w:rsidP="00761B63">
            <w:pPr>
              <w:spacing w:after="120" w:line="240" w:lineRule="auto"/>
              <w:ind w:right="74"/>
            </w:pPr>
            <w:r>
              <w:t>Conclusion</w:t>
            </w:r>
          </w:p>
        </w:tc>
        <w:tc>
          <w:tcPr>
            <w:tcW w:w="797" w:type="dxa"/>
          </w:tcPr>
          <w:p w:rsidR="00412818" w:rsidRPr="00E743FC" w:rsidRDefault="0061211E" w:rsidP="00AA549C">
            <w:pPr>
              <w:spacing w:after="0" w:line="240" w:lineRule="auto"/>
              <w:ind w:right="74"/>
              <w:jc w:val="right"/>
            </w:pPr>
            <w:r>
              <w:t>153</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7"/>
          </w:tcPr>
          <w:p w:rsidR="00412818" w:rsidRPr="005D5DDE" w:rsidRDefault="00412818" w:rsidP="00761B63">
            <w:pPr>
              <w:spacing w:after="120" w:line="240" w:lineRule="auto"/>
              <w:ind w:right="74"/>
              <w:rPr>
                <w:i/>
              </w:rPr>
            </w:pPr>
            <w:r w:rsidRPr="005D5DDE">
              <w:rPr>
                <w:i/>
              </w:rPr>
              <w:t xml:space="preserve">Endnotes, Chapter </w:t>
            </w:r>
            <w:r>
              <w:rPr>
                <w:i/>
              </w:rPr>
              <w:t>2</w:t>
            </w:r>
          </w:p>
        </w:tc>
        <w:tc>
          <w:tcPr>
            <w:tcW w:w="797" w:type="dxa"/>
          </w:tcPr>
          <w:p w:rsidR="00412818" w:rsidRPr="00E743FC" w:rsidRDefault="0061211E" w:rsidP="00AA549C">
            <w:pPr>
              <w:spacing w:after="120" w:line="240" w:lineRule="auto"/>
              <w:ind w:right="74"/>
              <w:jc w:val="right"/>
            </w:pPr>
            <w:r>
              <w:t>154</w:t>
            </w:r>
          </w:p>
        </w:tc>
      </w:tr>
      <w:tr w:rsidR="00412818" w:rsidRPr="00E743FC" w:rsidTr="007710E7">
        <w:tc>
          <w:tcPr>
            <w:tcW w:w="657" w:type="dxa"/>
            <w:gridSpan w:val="2"/>
          </w:tcPr>
          <w:p w:rsidR="00412818" w:rsidRDefault="00412818" w:rsidP="00761B63">
            <w:pPr>
              <w:spacing w:after="0" w:line="240" w:lineRule="auto"/>
              <w:ind w:right="74"/>
            </w:pPr>
          </w:p>
        </w:tc>
        <w:tc>
          <w:tcPr>
            <w:tcW w:w="7266" w:type="dxa"/>
            <w:gridSpan w:val="7"/>
          </w:tcPr>
          <w:p w:rsidR="00412818" w:rsidRDefault="00412818" w:rsidP="00761B63">
            <w:pPr>
              <w:spacing w:after="120" w:line="240" w:lineRule="auto"/>
              <w:ind w:right="74"/>
            </w:pPr>
          </w:p>
        </w:tc>
        <w:tc>
          <w:tcPr>
            <w:tcW w:w="797" w:type="dxa"/>
          </w:tcPr>
          <w:p w:rsidR="00412818" w:rsidRPr="00E743FC" w:rsidRDefault="00412818" w:rsidP="00AA549C">
            <w:pPr>
              <w:spacing w:after="0" w:line="240" w:lineRule="auto"/>
              <w:ind w:right="74"/>
              <w:jc w:val="right"/>
            </w:pPr>
          </w:p>
        </w:tc>
      </w:tr>
      <w:tr w:rsidR="00412818" w:rsidRPr="00E743FC" w:rsidTr="007710E7">
        <w:tc>
          <w:tcPr>
            <w:tcW w:w="7923" w:type="dxa"/>
            <w:gridSpan w:val="9"/>
          </w:tcPr>
          <w:p w:rsidR="00412818" w:rsidRDefault="00412818" w:rsidP="00761B63">
            <w:pPr>
              <w:spacing w:after="0" w:line="240" w:lineRule="auto"/>
              <w:ind w:right="74"/>
              <w:rPr>
                <w:b/>
                <w:sz w:val="24"/>
              </w:rPr>
            </w:pPr>
            <w:r w:rsidRPr="00AF177B">
              <w:rPr>
                <w:b/>
                <w:sz w:val="24"/>
              </w:rPr>
              <w:t xml:space="preserve">CHAPTER </w:t>
            </w:r>
            <w:r>
              <w:rPr>
                <w:b/>
                <w:sz w:val="24"/>
              </w:rPr>
              <w:t>3</w:t>
            </w:r>
            <w:r w:rsidRPr="00AF177B">
              <w:rPr>
                <w:b/>
                <w:sz w:val="24"/>
              </w:rPr>
              <w:t xml:space="preserve">  </w:t>
            </w:r>
          </w:p>
          <w:p w:rsidR="00412818" w:rsidRDefault="00412818" w:rsidP="00761B63">
            <w:pPr>
              <w:spacing w:after="0" w:line="240" w:lineRule="auto"/>
              <w:ind w:right="74"/>
              <w:rPr>
                <w:b/>
                <w:sz w:val="24"/>
              </w:rPr>
            </w:pPr>
            <w:r>
              <w:rPr>
                <w:b/>
                <w:sz w:val="24"/>
              </w:rPr>
              <w:t xml:space="preserve">Elements of Dispensationalism: Element 2: </w:t>
            </w:r>
          </w:p>
          <w:p w:rsidR="00412818" w:rsidRPr="004A6B7A" w:rsidRDefault="00412818" w:rsidP="00761B63">
            <w:pPr>
              <w:spacing w:after="120" w:line="240" w:lineRule="auto"/>
              <w:ind w:right="74"/>
            </w:pPr>
            <w:r>
              <w:rPr>
                <w:b/>
                <w:sz w:val="24"/>
              </w:rPr>
              <w:t>Commitment to Evangelical Doctrine</w:t>
            </w:r>
          </w:p>
        </w:tc>
        <w:tc>
          <w:tcPr>
            <w:tcW w:w="797" w:type="dxa"/>
            <w:vAlign w:val="center"/>
          </w:tcPr>
          <w:p w:rsidR="00412818" w:rsidRPr="00E743FC" w:rsidRDefault="0061211E" w:rsidP="00AA549C">
            <w:pPr>
              <w:ind w:right="74"/>
              <w:jc w:val="right"/>
            </w:pPr>
            <w:r>
              <w:t>169</w:t>
            </w:r>
          </w:p>
        </w:tc>
      </w:tr>
      <w:tr w:rsidR="00412818" w:rsidRPr="00E743FC" w:rsidTr="007710E7">
        <w:tc>
          <w:tcPr>
            <w:tcW w:w="657" w:type="dxa"/>
            <w:gridSpan w:val="2"/>
          </w:tcPr>
          <w:p w:rsidR="00412818" w:rsidRPr="00E743FC" w:rsidRDefault="00412818" w:rsidP="00761B63">
            <w:pPr>
              <w:spacing w:after="0" w:line="240" w:lineRule="auto"/>
              <w:ind w:right="74"/>
            </w:pPr>
            <w:r>
              <w:t>3.1</w:t>
            </w:r>
          </w:p>
        </w:tc>
        <w:tc>
          <w:tcPr>
            <w:tcW w:w="7266" w:type="dxa"/>
            <w:gridSpan w:val="7"/>
          </w:tcPr>
          <w:p w:rsidR="00412818" w:rsidRPr="00E743FC" w:rsidRDefault="00412818" w:rsidP="00761B63">
            <w:pPr>
              <w:spacing w:after="120" w:line="240" w:lineRule="auto"/>
              <w:ind w:right="74"/>
            </w:pPr>
            <w:r>
              <w:t>Conversionism and Activism</w:t>
            </w:r>
          </w:p>
        </w:tc>
        <w:tc>
          <w:tcPr>
            <w:tcW w:w="797" w:type="dxa"/>
          </w:tcPr>
          <w:p w:rsidR="00412818" w:rsidRPr="00E743FC" w:rsidRDefault="0061211E" w:rsidP="00AA549C">
            <w:pPr>
              <w:spacing w:after="0" w:line="240" w:lineRule="auto"/>
              <w:ind w:right="74"/>
              <w:jc w:val="right"/>
            </w:pPr>
            <w:r>
              <w:t>170</w:t>
            </w:r>
          </w:p>
        </w:tc>
      </w:tr>
      <w:tr w:rsidR="00412818" w:rsidRPr="00B406EB" w:rsidTr="007710E7">
        <w:tc>
          <w:tcPr>
            <w:tcW w:w="657" w:type="dxa"/>
            <w:gridSpan w:val="2"/>
          </w:tcPr>
          <w:p w:rsidR="00412818" w:rsidRPr="00B406EB" w:rsidRDefault="00412818" w:rsidP="00761B63">
            <w:pPr>
              <w:spacing w:after="0" w:line="240" w:lineRule="auto"/>
              <w:ind w:right="74"/>
            </w:pPr>
            <w:r w:rsidRPr="00B406EB">
              <w:t xml:space="preserve">3.2  </w:t>
            </w:r>
          </w:p>
        </w:tc>
        <w:tc>
          <w:tcPr>
            <w:tcW w:w="7266" w:type="dxa"/>
            <w:gridSpan w:val="7"/>
          </w:tcPr>
          <w:p w:rsidR="00412818" w:rsidRPr="00B406EB" w:rsidRDefault="00412818" w:rsidP="00761B63">
            <w:r w:rsidRPr="00B406EB">
              <w:t>Biblicism</w:t>
            </w:r>
          </w:p>
        </w:tc>
        <w:tc>
          <w:tcPr>
            <w:tcW w:w="797" w:type="dxa"/>
          </w:tcPr>
          <w:p w:rsidR="00412818" w:rsidRPr="00B406EB" w:rsidRDefault="0061211E" w:rsidP="00AA549C">
            <w:pPr>
              <w:spacing w:after="0" w:line="240" w:lineRule="auto"/>
              <w:ind w:right="74"/>
              <w:jc w:val="right"/>
            </w:pPr>
            <w:r>
              <w:t>171</w:t>
            </w:r>
          </w:p>
        </w:tc>
      </w:tr>
      <w:tr w:rsidR="00412818" w:rsidRPr="00B406EB" w:rsidTr="007710E7">
        <w:tc>
          <w:tcPr>
            <w:tcW w:w="657" w:type="dxa"/>
            <w:gridSpan w:val="2"/>
          </w:tcPr>
          <w:p w:rsidR="00412818" w:rsidRPr="00B406EB" w:rsidRDefault="00412818" w:rsidP="00761B63">
            <w:pPr>
              <w:spacing w:after="0" w:line="240" w:lineRule="auto"/>
              <w:ind w:right="74"/>
            </w:pPr>
            <w:r w:rsidRPr="00B406EB">
              <w:t>3.3</w:t>
            </w:r>
          </w:p>
        </w:tc>
        <w:tc>
          <w:tcPr>
            <w:tcW w:w="7266" w:type="dxa"/>
            <w:gridSpan w:val="7"/>
          </w:tcPr>
          <w:p w:rsidR="00412818" w:rsidRPr="00B406EB" w:rsidRDefault="00412818" w:rsidP="00761B63">
            <w:r w:rsidRPr="00B406EB">
              <w:t>Crucicentrism</w:t>
            </w:r>
          </w:p>
        </w:tc>
        <w:tc>
          <w:tcPr>
            <w:tcW w:w="797" w:type="dxa"/>
          </w:tcPr>
          <w:p w:rsidR="00412818" w:rsidRPr="00B406EB" w:rsidRDefault="0061211E" w:rsidP="00AA549C">
            <w:pPr>
              <w:spacing w:after="0" w:line="240" w:lineRule="auto"/>
              <w:ind w:right="74"/>
              <w:jc w:val="right"/>
            </w:pPr>
            <w:r>
              <w:t>177</w:t>
            </w:r>
          </w:p>
        </w:tc>
      </w:tr>
      <w:tr w:rsidR="00412818" w:rsidRPr="00B406EB" w:rsidTr="007710E7">
        <w:tc>
          <w:tcPr>
            <w:tcW w:w="657" w:type="dxa"/>
            <w:gridSpan w:val="2"/>
          </w:tcPr>
          <w:p w:rsidR="00412818" w:rsidRPr="00B406EB" w:rsidRDefault="00412818" w:rsidP="00761B63">
            <w:pPr>
              <w:spacing w:after="0" w:line="240" w:lineRule="auto"/>
              <w:ind w:right="74"/>
            </w:pPr>
            <w:r w:rsidRPr="00B406EB">
              <w:t xml:space="preserve">3.4  </w:t>
            </w:r>
          </w:p>
        </w:tc>
        <w:tc>
          <w:tcPr>
            <w:tcW w:w="7266" w:type="dxa"/>
            <w:gridSpan w:val="7"/>
          </w:tcPr>
          <w:p w:rsidR="00412818" w:rsidRPr="00B406EB" w:rsidRDefault="00412818" w:rsidP="00761B63">
            <w:pPr>
              <w:spacing w:after="120" w:line="240" w:lineRule="auto"/>
              <w:ind w:right="74"/>
            </w:pPr>
            <w:r w:rsidRPr="00B406EB">
              <w:t>Christocentrism</w:t>
            </w:r>
          </w:p>
        </w:tc>
        <w:tc>
          <w:tcPr>
            <w:tcW w:w="797" w:type="dxa"/>
          </w:tcPr>
          <w:p w:rsidR="00412818" w:rsidRPr="00B406EB" w:rsidRDefault="0061211E" w:rsidP="00AA549C">
            <w:pPr>
              <w:spacing w:after="0" w:line="240" w:lineRule="auto"/>
              <w:ind w:right="74"/>
              <w:jc w:val="right"/>
            </w:pPr>
            <w:r>
              <w:t>178</w:t>
            </w:r>
          </w:p>
        </w:tc>
      </w:tr>
      <w:tr w:rsidR="00412818" w:rsidRPr="00B406EB" w:rsidTr="007710E7">
        <w:tc>
          <w:tcPr>
            <w:tcW w:w="657" w:type="dxa"/>
            <w:gridSpan w:val="2"/>
          </w:tcPr>
          <w:p w:rsidR="00412818" w:rsidRPr="00B406EB" w:rsidRDefault="00412818" w:rsidP="00761B63">
            <w:pPr>
              <w:spacing w:after="0" w:line="240" w:lineRule="auto"/>
              <w:ind w:right="74"/>
            </w:pPr>
            <w:r w:rsidRPr="00B406EB">
              <w:t xml:space="preserve">3.5  </w:t>
            </w:r>
          </w:p>
        </w:tc>
        <w:tc>
          <w:tcPr>
            <w:tcW w:w="7266" w:type="dxa"/>
            <w:gridSpan w:val="7"/>
          </w:tcPr>
          <w:p w:rsidR="00412818" w:rsidRPr="00B406EB" w:rsidRDefault="00412818" w:rsidP="00761B63">
            <w:pPr>
              <w:spacing w:after="120" w:line="240" w:lineRule="auto"/>
              <w:ind w:right="74"/>
            </w:pPr>
            <w:r w:rsidRPr="00B406EB">
              <w:t>Conclusion</w:t>
            </w:r>
          </w:p>
        </w:tc>
        <w:tc>
          <w:tcPr>
            <w:tcW w:w="797" w:type="dxa"/>
          </w:tcPr>
          <w:p w:rsidR="00412818" w:rsidRPr="00B406EB" w:rsidRDefault="0061211E" w:rsidP="00AA549C">
            <w:pPr>
              <w:spacing w:after="0" w:line="240" w:lineRule="auto"/>
              <w:ind w:right="74"/>
              <w:jc w:val="right"/>
            </w:pPr>
            <w:r>
              <w:t>179</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7"/>
          </w:tcPr>
          <w:p w:rsidR="00412818" w:rsidRPr="005D5DDE" w:rsidRDefault="00412818" w:rsidP="00761B63">
            <w:pPr>
              <w:spacing w:after="120" w:line="240" w:lineRule="auto"/>
              <w:ind w:right="74"/>
              <w:rPr>
                <w:i/>
              </w:rPr>
            </w:pPr>
            <w:r w:rsidRPr="005D5DDE">
              <w:rPr>
                <w:i/>
              </w:rPr>
              <w:t xml:space="preserve">Endnotes, Chapter </w:t>
            </w:r>
            <w:r>
              <w:rPr>
                <w:i/>
              </w:rPr>
              <w:t>3</w:t>
            </w:r>
          </w:p>
        </w:tc>
        <w:tc>
          <w:tcPr>
            <w:tcW w:w="797" w:type="dxa"/>
          </w:tcPr>
          <w:p w:rsidR="00412818" w:rsidRPr="00E743FC" w:rsidRDefault="0061211E" w:rsidP="007D34C5">
            <w:pPr>
              <w:spacing w:after="120" w:line="240" w:lineRule="auto"/>
              <w:ind w:right="74"/>
              <w:jc w:val="right"/>
            </w:pPr>
            <w:r>
              <w:t>179</w:t>
            </w:r>
          </w:p>
        </w:tc>
      </w:tr>
      <w:tr w:rsidR="00412818" w:rsidRPr="00E743FC" w:rsidTr="007710E7">
        <w:tc>
          <w:tcPr>
            <w:tcW w:w="657" w:type="dxa"/>
            <w:gridSpan w:val="2"/>
          </w:tcPr>
          <w:p w:rsidR="00412818" w:rsidRDefault="00412818" w:rsidP="00761B63">
            <w:pPr>
              <w:spacing w:after="0" w:line="240" w:lineRule="auto"/>
              <w:ind w:right="74"/>
            </w:pPr>
          </w:p>
        </w:tc>
        <w:tc>
          <w:tcPr>
            <w:tcW w:w="7266" w:type="dxa"/>
            <w:gridSpan w:val="7"/>
          </w:tcPr>
          <w:p w:rsidR="00412818" w:rsidRDefault="00412818" w:rsidP="00761B63">
            <w:pPr>
              <w:spacing w:after="120" w:line="240" w:lineRule="auto"/>
              <w:ind w:right="74"/>
            </w:pPr>
          </w:p>
        </w:tc>
        <w:tc>
          <w:tcPr>
            <w:tcW w:w="797" w:type="dxa"/>
          </w:tcPr>
          <w:p w:rsidR="00412818" w:rsidRPr="00E743FC" w:rsidRDefault="00412818" w:rsidP="007D34C5">
            <w:pPr>
              <w:spacing w:after="0" w:line="240" w:lineRule="auto"/>
              <w:ind w:right="74"/>
              <w:jc w:val="right"/>
            </w:pPr>
          </w:p>
        </w:tc>
      </w:tr>
      <w:tr w:rsidR="00412818" w:rsidRPr="00E743FC" w:rsidTr="007710E7">
        <w:tc>
          <w:tcPr>
            <w:tcW w:w="7923" w:type="dxa"/>
            <w:gridSpan w:val="9"/>
          </w:tcPr>
          <w:p w:rsidR="00412818" w:rsidRDefault="00412818" w:rsidP="00761B63">
            <w:pPr>
              <w:spacing w:after="0" w:line="240" w:lineRule="auto"/>
              <w:ind w:right="74"/>
              <w:rPr>
                <w:b/>
                <w:sz w:val="24"/>
              </w:rPr>
            </w:pPr>
            <w:r w:rsidRPr="00AF177B">
              <w:rPr>
                <w:b/>
                <w:sz w:val="24"/>
              </w:rPr>
              <w:lastRenderedPageBreak/>
              <w:t xml:space="preserve">CHAPTER </w:t>
            </w:r>
            <w:r>
              <w:rPr>
                <w:b/>
                <w:sz w:val="24"/>
              </w:rPr>
              <w:t>4</w:t>
            </w:r>
            <w:r w:rsidRPr="00AF177B">
              <w:rPr>
                <w:b/>
                <w:sz w:val="24"/>
              </w:rPr>
              <w:t xml:space="preserve">  </w:t>
            </w:r>
          </w:p>
          <w:p w:rsidR="00412818" w:rsidRDefault="00412818" w:rsidP="00761B63">
            <w:pPr>
              <w:spacing w:after="0" w:line="240" w:lineRule="auto"/>
              <w:ind w:right="74"/>
              <w:rPr>
                <w:b/>
                <w:sz w:val="24"/>
              </w:rPr>
            </w:pPr>
            <w:r>
              <w:rPr>
                <w:b/>
                <w:sz w:val="24"/>
              </w:rPr>
              <w:t xml:space="preserve">Elements of Dispensationalism: Element 3: </w:t>
            </w:r>
          </w:p>
          <w:p w:rsidR="00412818" w:rsidRDefault="00412818" w:rsidP="00761B63">
            <w:pPr>
              <w:spacing w:after="0" w:line="240" w:lineRule="auto"/>
              <w:rPr>
                <w:b/>
              </w:rPr>
            </w:pPr>
            <w:r w:rsidRPr="00B406EB">
              <w:rPr>
                <w:b/>
              </w:rPr>
              <w:t xml:space="preserve">Dualism – </w:t>
            </w:r>
          </w:p>
          <w:p w:rsidR="00412818" w:rsidRPr="004A6B7A" w:rsidRDefault="00412818" w:rsidP="00761B63">
            <w:r w:rsidRPr="00B406EB">
              <w:rPr>
                <w:b/>
              </w:rPr>
              <w:t>The Eternal Distinction Between Israel and the Church in the Divine Plan</w:t>
            </w:r>
          </w:p>
        </w:tc>
        <w:tc>
          <w:tcPr>
            <w:tcW w:w="797" w:type="dxa"/>
            <w:vAlign w:val="center"/>
          </w:tcPr>
          <w:p w:rsidR="00412818" w:rsidRPr="00E743FC" w:rsidRDefault="005448BD" w:rsidP="007D34C5">
            <w:pPr>
              <w:ind w:right="74"/>
              <w:jc w:val="right"/>
            </w:pPr>
            <w:r>
              <w:t>183</w:t>
            </w:r>
          </w:p>
        </w:tc>
      </w:tr>
      <w:tr w:rsidR="00412818" w:rsidRPr="00B406EB" w:rsidTr="007710E7">
        <w:tc>
          <w:tcPr>
            <w:tcW w:w="657" w:type="dxa"/>
            <w:gridSpan w:val="2"/>
          </w:tcPr>
          <w:p w:rsidR="00412818" w:rsidRPr="00B406EB" w:rsidRDefault="00412818" w:rsidP="00761B63">
            <w:pPr>
              <w:spacing w:after="0" w:line="240" w:lineRule="auto"/>
              <w:ind w:right="74"/>
            </w:pPr>
            <w:r w:rsidRPr="00A11EE6">
              <w:t xml:space="preserve">4.1  </w:t>
            </w:r>
          </w:p>
        </w:tc>
        <w:tc>
          <w:tcPr>
            <w:tcW w:w="7266" w:type="dxa"/>
            <w:gridSpan w:val="7"/>
          </w:tcPr>
          <w:p w:rsidR="00412818" w:rsidRPr="00B406EB" w:rsidRDefault="00412818" w:rsidP="00761B63">
            <w:pPr>
              <w:spacing w:after="120" w:line="240" w:lineRule="auto"/>
              <w:ind w:right="74"/>
            </w:pPr>
            <w:r w:rsidRPr="00A11EE6">
              <w:t xml:space="preserve">Dualism in the </w:t>
            </w:r>
            <w:r w:rsidRPr="00B406EB">
              <w:rPr>
                <w:i/>
              </w:rPr>
              <w:t>Scofield Reference Bible</w:t>
            </w:r>
          </w:p>
        </w:tc>
        <w:tc>
          <w:tcPr>
            <w:tcW w:w="797" w:type="dxa"/>
          </w:tcPr>
          <w:p w:rsidR="00412818" w:rsidRPr="00B406EB" w:rsidRDefault="005448BD" w:rsidP="007D34C5">
            <w:pPr>
              <w:spacing w:after="0" w:line="240" w:lineRule="auto"/>
              <w:ind w:right="74"/>
              <w:jc w:val="right"/>
            </w:pPr>
            <w:r>
              <w:t>187</w:t>
            </w:r>
          </w:p>
        </w:tc>
      </w:tr>
      <w:tr w:rsidR="00412818" w:rsidRPr="00B406EB" w:rsidTr="007710E7">
        <w:tc>
          <w:tcPr>
            <w:tcW w:w="657" w:type="dxa"/>
            <w:gridSpan w:val="2"/>
          </w:tcPr>
          <w:p w:rsidR="00412818" w:rsidRPr="00B406EB" w:rsidRDefault="00412818" w:rsidP="00761B63">
            <w:pPr>
              <w:spacing w:after="0" w:line="240" w:lineRule="auto"/>
              <w:ind w:right="74"/>
            </w:pPr>
            <w:r>
              <w:t>4.2</w:t>
            </w:r>
            <w:r w:rsidRPr="00B406EB">
              <w:t xml:space="preserve">  </w:t>
            </w:r>
          </w:p>
        </w:tc>
        <w:tc>
          <w:tcPr>
            <w:tcW w:w="7266" w:type="dxa"/>
            <w:gridSpan w:val="7"/>
          </w:tcPr>
          <w:p w:rsidR="00412818" w:rsidRPr="00B406EB" w:rsidRDefault="00412818" w:rsidP="00761B63">
            <w:pPr>
              <w:spacing w:after="120" w:line="240" w:lineRule="auto"/>
              <w:ind w:right="74"/>
            </w:pPr>
            <w:r w:rsidRPr="00B406EB">
              <w:t>Conclusion</w:t>
            </w:r>
          </w:p>
        </w:tc>
        <w:tc>
          <w:tcPr>
            <w:tcW w:w="797" w:type="dxa"/>
          </w:tcPr>
          <w:p w:rsidR="00412818" w:rsidRPr="00B406EB" w:rsidRDefault="00774539" w:rsidP="007D34C5">
            <w:pPr>
              <w:spacing w:after="0" w:line="240" w:lineRule="auto"/>
              <w:ind w:right="74"/>
              <w:jc w:val="right"/>
            </w:pPr>
            <w:r>
              <w:t>193</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7"/>
          </w:tcPr>
          <w:p w:rsidR="00412818" w:rsidRPr="005D5DDE" w:rsidRDefault="00412818" w:rsidP="00761B63">
            <w:pPr>
              <w:spacing w:after="120" w:line="240" w:lineRule="auto"/>
              <w:ind w:right="74"/>
              <w:rPr>
                <w:i/>
              </w:rPr>
            </w:pPr>
            <w:r w:rsidRPr="005D5DDE">
              <w:rPr>
                <w:i/>
              </w:rPr>
              <w:t xml:space="preserve">Endnotes, Chapter </w:t>
            </w:r>
            <w:r>
              <w:rPr>
                <w:i/>
              </w:rPr>
              <w:t>4</w:t>
            </w:r>
          </w:p>
        </w:tc>
        <w:tc>
          <w:tcPr>
            <w:tcW w:w="797" w:type="dxa"/>
          </w:tcPr>
          <w:p w:rsidR="00412818" w:rsidRPr="00E743FC" w:rsidRDefault="00774539" w:rsidP="007D34C5">
            <w:pPr>
              <w:spacing w:after="120" w:line="240" w:lineRule="auto"/>
              <w:ind w:right="74"/>
              <w:jc w:val="right"/>
            </w:pPr>
            <w:r>
              <w:t>194</w:t>
            </w:r>
          </w:p>
        </w:tc>
      </w:tr>
      <w:tr w:rsidR="00412818" w:rsidRPr="00B406EB" w:rsidTr="007710E7">
        <w:tc>
          <w:tcPr>
            <w:tcW w:w="657" w:type="dxa"/>
            <w:gridSpan w:val="2"/>
          </w:tcPr>
          <w:p w:rsidR="00412818" w:rsidRDefault="00412818" w:rsidP="00761B63">
            <w:pPr>
              <w:spacing w:after="0" w:line="240" w:lineRule="auto"/>
              <w:ind w:right="74"/>
            </w:pPr>
          </w:p>
        </w:tc>
        <w:tc>
          <w:tcPr>
            <w:tcW w:w="7266" w:type="dxa"/>
            <w:gridSpan w:val="7"/>
          </w:tcPr>
          <w:p w:rsidR="00412818" w:rsidRPr="00B406EB" w:rsidRDefault="00412818" w:rsidP="00761B63">
            <w:pPr>
              <w:spacing w:after="120" w:line="240" w:lineRule="auto"/>
              <w:ind w:right="74"/>
            </w:pPr>
          </w:p>
        </w:tc>
        <w:tc>
          <w:tcPr>
            <w:tcW w:w="797" w:type="dxa"/>
          </w:tcPr>
          <w:p w:rsidR="00412818" w:rsidRPr="00B406EB" w:rsidRDefault="00412818" w:rsidP="00761B63">
            <w:pPr>
              <w:spacing w:after="0" w:line="240" w:lineRule="auto"/>
              <w:ind w:right="74"/>
            </w:pPr>
          </w:p>
        </w:tc>
      </w:tr>
      <w:tr w:rsidR="00412818" w:rsidRPr="00E743FC" w:rsidTr="007710E7">
        <w:tc>
          <w:tcPr>
            <w:tcW w:w="7923" w:type="dxa"/>
            <w:gridSpan w:val="9"/>
          </w:tcPr>
          <w:p w:rsidR="00412818" w:rsidRDefault="00412818" w:rsidP="00761B63">
            <w:pPr>
              <w:spacing w:after="0" w:line="240" w:lineRule="auto"/>
              <w:ind w:right="74"/>
              <w:rPr>
                <w:b/>
                <w:sz w:val="24"/>
              </w:rPr>
            </w:pPr>
            <w:r w:rsidRPr="00AF177B">
              <w:rPr>
                <w:b/>
                <w:sz w:val="24"/>
              </w:rPr>
              <w:t xml:space="preserve">CHAPTER </w:t>
            </w:r>
            <w:r>
              <w:rPr>
                <w:b/>
                <w:sz w:val="24"/>
              </w:rPr>
              <w:t>5</w:t>
            </w:r>
            <w:r w:rsidRPr="00AF177B">
              <w:rPr>
                <w:b/>
                <w:sz w:val="24"/>
              </w:rPr>
              <w:t xml:space="preserve">  </w:t>
            </w:r>
          </w:p>
          <w:p w:rsidR="00412818" w:rsidRDefault="00412818" w:rsidP="00761B63">
            <w:pPr>
              <w:spacing w:after="0" w:line="240" w:lineRule="auto"/>
              <w:ind w:right="74"/>
              <w:rPr>
                <w:b/>
                <w:sz w:val="24"/>
              </w:rPr>
            </w:pPr>
            <w:r>
              <w:rPr>
                <w:b/>
                <w:sz w:val="24"/>
              </w:rPr>
              <w:t xml:space="preserve">Elements of Dispensationalism: Element 4: </w:t>
            </w:r>
          </w:p>
          <w:p w:rsidR="00412818" w:rsidRPr="004A6B7A" w:rsidRDefault="00412818" w:rsidP="00761B63">
            <w:r>
              <w:rPr>
                <w:b/>
              </w:rPr>
              <w:t>Dispensations, Together with Covenants</w:t>
            </w:r>
          </w:p>
        </w:tc>
        <w:tc>
          <w:tcPr>
            <w:tcW w:w="797" w:type="dxa"/>
            <w:vAlign w:val="center"/>
          </w:tcPr>
          <w:p w:rsidR="00412818" w:rsidRPr="00E743FC" w:rsidRDefault="000D45C2" w:rsidP="00886213">
            <w:pPr>
              <w:ind w:right="74"/>
              <w:jc w:val="right"/>
            </w:pPr>
            <w:r>
              <w:t>197</w:t>
            </w:r>
          </w:p>
        </w:tc>
      </w:tr>
      <w:tr w:rsidR="00412818" w:rsidRPr="00B406EB" w:rsidTr="007710E7">
        <w:tc>
          <w:tcPr>
            <w:tcW w:w="657" w:type="dxa"/>
            <w:gridSpan w:val="2"/>
          </w:tcPr>
          <w:p w:rsidR="00412818" w:rsidRPr="00B406EB" w:rsidRDefault="00412818" w:rsidP="00761B63">
            <w:pPr>
              <w:spacing w:after="0" w:line="240" w:lineRule="auto"/>
              <w:ind w:right="74"/>
            </w:pPr>
            <w:r>
              <w:t>5</w:t>
            </w:r>
            <w:r w:rsidRPr="00A11EE6">
              <w:t xml:space="preserve">.1  </w:t>
            </w:r>
          </w:p>
        </w:tc>
        <w:tc>
          <w:tcPr>
            <w:tcW w:w="7266" w:type="dxa"/>
            <w:gridSpan w:val="7"/>
          </w:tcPr>
          <w:p w:rsidR="00412818" w:rsidRPr="00B406EB" w:rsidRDefault="00412818" w:rsidP="00761B63">
            <w:pPr>
              <w:spacing w:after="120" w:line="240" w:lineRule="auto"/>
              <w:ind w:right="74"/>
            </w:pPr>
            <w:r>
              <w:t>Introduction to Dispensations and Covenants</w:t>
            </w:r>
          </w:p>
        </w:tc>
        <w:tc>
          <w:tcPr>
            <w:tcW w:w="797" w:type="dxa"/>
          </w:tcPr>
          <w:p w:rsidR="00412818" w:rsidRPr="00B406EB" w:rsidRDefault="000D45C2" w:rsidP="00886213">
            <w:pPr>
              <w:spacing w:after="0" w:line="240" w:lineRule="auto"/>
              <w:ind w:right="74"/>
              <w:jc w:val="right"/>
            </w:pPr>
            <w:r>
              <w:t>197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r>
              <w:t>5.1.1</w:t>
            </w:r>
          </w:p>
        </w:tc>
        <w:tc>
          <w:tcPr>
            <w:tcW w:w="3554" w:type="dxa"/>
            <w:gridSpan w:val="3"/>
          </w:tcPr>
          <w:p w:rsidR="00412818" w:rsidRPr="005A2D1D" w:rsidRDefault="00412818" w:rsidP="00761B63">
            <w:pPr>
              <w:spacing w:after="120" w:line="240" w:lineRule="auto"/>
              <w:ind w:right="74"/>
              <w:rPr>
                <w:i/>
              </w:rPr>
            </w:pPr>
            <w:r>
              <w:rPr>
                <w:i/>
              </w:rPr>
              <w:t>Dispensations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0D45C2" w:rsidP="00886213">
            <w:pPr>
              <w:spacing w:after="120" w:line="240" w:lineRule="auto"/>
              <w:ind w:right="74"/>
              <w:jc w:val="right"/>
            </w:pPr>
            <w:r>
              <w:t>197</w:t>
            </w:r>
          </w:p>
        </w:tc>
      </w:tr>
      <w:tr w:rsidR="00412818" w:rsidRPr="003C79DD" w:rsidTr="007710E7">
        <w:tc>
          <w:tcPr>
            <w:tcW w:w="657" w:type="dxa"/>
            <w:gridSpan w:val="2"/>
          </w:tcPr>
          <w:p w:rsidR="00412818" w:rsidRPr="003C79DD" w:rsidRDefault="00412818" w:rsidP="00761B63">
            <w:pPr>
              <w:spacing w:after="120" w:line="240" w:lineRule="auto"/>
              <w:ind w:right="74"/>
            </w:pPr>
          </w:p>
        </w:tc>
        <w:tc>
          <w:tcPr>
            <w:tcW w:w="1263" w:type="dxa"/>
            <w:gridSpan w:val="3"/>
          </w:tcPr>
          <w:p w:rsidR="00412818" w:rsidRPr="003C79DD" w:rsidRDefault="00412818" w:rsidP="00761B63">
            <w:pPr>
              <w:spacing w:after="120" w:line="240" w:lineRule="auto"/>
              <w:ind w:right="74"/>
            </w:pPr>
            <w:r w:rsidRPr="003C79DD">
              <w:t>5.1.2</w:t>
            </w:r>
          </w:p>
        </w:tc>
        <w:tc>
          <w:tcPr>
            <w:tcW w:w="3554" w:type="dxa"/>
            <w:gridSpan w:val="3"/>
          </w:tcPr>
          <w:p w:rsidR="00412818" w:rsidRPr="003C79DD" w:rsidRDefault="00412818" w:rsidP="00761B63">
            <w:pPr>
              <w:spacing w:after="120" w:line="240" w:lineRule="auto"/>
              <w:ind w:right="74"/>
              <w:rPr>
                <w:i/>
              </w:rPr>
            </w:pPr>
            <w:r w:rsidRPr="003C79DD">
              <w:rPr>
                <w:i/>
              </w:rPr>
              <w:t>Covenants</w:t>
            </w:r>
          </w:p>
        </w:tc>
        <w:tc>
          <w:tcPr>
            <w:tcW w:w="2449" w:type="dxa"/>
          </w:tcPr>
          <w:p w:rsidR="00412818" w:rsidRPr="003C79DD" w:rsidRDefault="00412818" w:rsidP="00761B63">
            <w:pPr>
              <w:spacing w:after="120" w:line="240" w:lineRule="auto"/>
              <w:ind w:right="74"/>
            </w:pPr>
          </w:p>
        </w:tc>
        <w:tc>
          <w:tcPr>
            <w:tcW w:w="797" w:type="dxa"/>
          </w:tcPr>
          <w:p w:rsidR="00412818" w:rsidRPr="003C79DD" w:rsidRDefault="00960ABA" w:rsidP="003C66B0">
            <w:pPr>
              <w:spacing w:after="120" w:line="240" w:lineRule="auto"/>
              <w:ind w:right="74"/>
              <w:jc w:val="right"/>
            </w:pPr>
            <w:r>
              <w:t>200</w:t>
            </w:r>
          </w:p>
        </w:tc>
      </w:tr>
      <w:tr w:rsidR="00412818" w:rsidRPr="00B406EB" w:rsidTr="007710E7">
        <w:tc>
          <w:tcPr>
            <w:tcW w:w="657" w:type="dxa"/>
            <w:gridSpan w:val="2"/>
          </w:tcPr>
          <w:p w:rsidR="00412818" w:rsidRPr="00B406EB" w:rsidRDefault="00412818" w:rsidP="00761B63">
            <w:pPr>
              <w:spacing w:after="0" w:line="240" w:lineRule="auto"/>
              <w:ind w:right="74"/>
            </w:pPr>
            <w:r>
              <w:t>5</w:t>
            </w:r>
            <w:r w:rsidRPr="00A11EE6">
              <w:t>.</w:t>
            </w:r>
            <w:r>
              <w:t>2</w:t>
            </w:r>
            <w:r w:rsidRPr="00A11EE6">
              <w:t xml:space="preserve"> </w:t>
            </w:r>
          </w:p>
        </w:tc>
        <w:tc>
          <w:tcPr>
            <w:tcW w:w="7266" w:type="dxa"/>
            <w:gridSpan w:val="7"/>
          </w:tcPr>
          <w:p w:rsidR="00412818" w:rsidRPr="00B406EB" w:rsidRDefault="00412818" w:rsidP="00960ABA">
            <w:pPr>
              <w:spacing w:after="120" w:line="240" w:lineRule="auto"/>
              <w:ind w:right="74"/>
            </w:pPr>
            <w:r>
              <w:t>Dispensations and Covenants in</w:t>
            </w:r>
            <w:r w:rsidR="00960ABA">
              <w:t xml:space="preserve"> the </w:t>
            </w:r>
            <w:r w:rsidR="00960ABA" w:rsidRPr="00EA0548">
              <w:rPr>
                <w:i/>
              </w:rPr>
              <w:t>Scofield Reference Bible</w:t>
            </w:r>
            <w:r>
              <w:t xml:space="preserve"> </w:t>
            </w:r>
          </w:p>
        </w:tc>
        <w:tc>
          <w:tcPr>
            <w:tcW w:w="797" w:type="dxa"/>
          </w:tcPr>
          <w:p w:rsidR="00412818" w:rsidRPr="00B406EB" w:rsidRDefault="00960ABA" w:rsidP="003C66B0">
            <w:pPr>
              <w:spacing w:after="0" w:line="240" w:lineRule="auto"/>
              <w:ind w:right="74"/>
              <w:jc w:val="right"/>
            </w:pPr>
            <w:r>
              <w:t>203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r>
              <w:t>5.2.1</w:t>
            </w:r>
          </w:p>
        </w:tc>
        <w:tc>
          <w:tcPr>
            <w:tcW w:w="3554" w:type="dxa"/>
            <w:gridSpan w:val="3"/>
          </w:tcPr>
          <w:p w:rsidR="00412818" w:rsidRPr="005A2D1D" w:rsidRDefault="00412818" w:rsidP="00761B63">
            <w:pPr>
              <w:spacing w:after="120" w:line="240" w:lineRule="auto"/>
              <w:ind w:right="74"/>
              <w:rPr>
                <w:i/>
              </w:rPr>
            </w:pPr>
            <w:r>
              <w:rPr>
                <w:i/>
              </w:rPr>
              <w:t>Dispensations</w:t>
            </w:r>
          </w:p>
        </w:tc>
        <w:tc>
          <w:tcPr>
            <w:tcW w:w="2449" w:type="dxa"/>
          </w:tcPr>
          <w:p w:rsidR="00412818" w:rsidRPr="00E743FC" w:rsidRDefault="00412818" w:rsidP="00761B63">
            <w:pPr>
              <w:spacing w:after="120" w:line="240" w:lineRule="auto"/>
              <w:ind w:right="74"/>
            </w:pPr>
          </w:p>
        </w:tc>
        <w:tc>
          <w:tcPr>
            <w:tcW w:w="797" w:type="dxa"/>
          </w:tcPr>
          <w:p w:rsidR="00412818" w:rsidRPr="00E743FC" w:rsidRDefault="00960ABA" w:rsidP="003C66B0">
            <w:pPr>
              <w:spacing w:after="120" w:line="240" w:lineRule="auto"/>
              <w:ind w:right="74"/>
              <w:jc w:val="right"/>
            </w:pPr>
            <w:r>
              <w:t>203</w:t>
            </w:r>
          </w:p>
        </w:tc>
      </w:tr>
      <w:tr w:rsidR="00412818" w:rsidRPr="003C79DD" w:rsidTr="007710E7">
        <w:tc>
          <w:tcPr>
            <w:tcW w:w="657" w:type="dxa"/>
            <w:gridSpan w:val="2"/>
          </w:tcPr>
          <w:p w:rsidR="00412818" w:rsidRPr="003C79DD" w:rsidRDefault="00412818" w:rsidP="00761B63">
            <w:pPr>
              <w:spacing w:after="120" w:line="240" w:lineRule="auto"/>
              <w:ind w:right="74"/>
            </w:pPr>
          </w:p>
        </w:tc>
        <w:tc>
          <w:tcPr>
            <w:tcW w:w="1263" w:type="dxa"/>
            <w:gridSpan w:val="3"/>
          </w:tcPr>
          <w:p w:rsidR="00412818" w:rsidRPr="003C79DD" w:rsidRDefault="00412818" w:rsidP="00761B63">
            <w:pPr>
              <w:spacing w:after="120" w:line="240" w:lineRule="auto"/>
              <w:ind w:right="74"/>
            </w:pPr>
            <w:r w:rsidRPr="003C79DD">
              <w:t>5.</w:t>
            </w:r>
            <w:r>
              <w:t>2</w:t>
            </w:r>
            <w:r w:rsidRPr="003C79DD">
              <w:t>.2</w:t>
            </w:r>
          </w:p>
        </w:tc>
        <w:tc>
          <w:tcPr>
            <w:tcW w:w="3554" w:type="dxa"/>
            <w:gridSpan w:val="3"/>
          </w:tcPr>
          <w:p w:rsidR="00412818" w:rsidRPr="003C79DD" w:rsidRDefault="00412818" w:rsidP="00761B63">
            <w:pPr>
              <w:spacing w:after="120" w:line="240" w:lineRule="auto"/>
              <w:ind w:right="74"/>
              <w:rPr>
                <w:i/>
              </w:rPr>
            </w:pPr>
            <w:r w:rsidRPr="003C79DD">
              <w:rPr>
                <w:i/>
              </w:rPr>
              <w:t>Covenants</w:t>
            </w:r>
          </w:p>
        </w:tc>
        <w:tc>
          <w:tcPr>
            <w:tcW w:w="2449" w:type="dxa"/>
          </w:tcPr>
          <w:p w:rsidR="00412818" w:rsidRPr="003C79DD" w:rsidRDefault="00412818" w:rsidP="00761B63">
            <w:pPr>
              <w:spacing w:after="120" w:line="240" w:lineRule="auto"/>
              <w:ind w:right="74"/>
            </w:pPr>
          </w:p>
        </w:tc>
        <w:tc>
          <w:tcPr>
            <w:tcW w:w="797" w:type="dxa"/>
          </w:tcPr>
          <w:p w:rsidR="00412818" w:rsidRPr="003C79DD" w:rsidRDefault="006B2410" w:rsidP="003C66B0">
            <w:pPr>
              <w:spacing w:after="120" w:line="240" w:lineRule="auto"/>
              <w:ind w:right="74"/>
              <w:jc w:val="right"/>
            </w:pPr>
            <w:r>
              <w:t>205</w:t>
            </w:r>
          </w:p>
        </w:tc>
      </w:tr>
      <w:tr w:rsidR="00412818" w:rsidRPr="00B406EB" w:rsidTr="007710E7">
        <w:tc>
          <w:tcPr>
            <w:tcW w:w="657" w:type="dxa"/>
            <w:gridSpan w:val="2"/>
          </w:tcPr>
          <w:p w:rsidR="00412818" w:rsidRPr="00B406EB" w:rsidRDefault="00412818" w:rsidP="00761B63">
            <w:pPr>
              <w:spacing w:after="0" w:line="240" w:lineRule="auto"/>
              <w:ind w:right="74"/>
            </w:pPr>
            <w:r>
              <w:t>5</w:t>
            </w:r>
            <w:r w:rsidRPr="00A11EE6">
              <w:t>.</w:t>
            </w:r>
            <w:r>
              <w:t>3</w:t>
            </w:r>
            <w:r w:rsidRPr="00A11EE6">
              <w:t xml:space="preserve">  </w:t>
            </w:r>
          </w:p>
        </w:tc>
        <w:tc>
          <w:tcPr>
            <w:tcW w:w="7266" w:type="dxa"/>
            <w:gridSpan w:val="7"/>
          </w:tcPr>
          <w:p w:rsidR="00412818" w:rsidRPr="00B406EB" w:rsidRDefault="00412818" w:rsidP="00761B63">
            <w:pPr>
              <w:spacing w:after="120" w:line="240" w:lineRule="auto"/>
              <w:ind w:right="74"/>
            </w:pPr>
            <w:r>
              <w:t>Distribution and Content of Dispensations</w:t>
            </w:r>
          </w:p>
        </w:tc>
        <w:tc>
          <w:tcPr>
            <w:tcW w:w="797" w:type="dxa"/>
          </w:tcPr>
          <w:p w:rsidR="00412818" w:rsidRPr="00B406EB" w:rsidRDefault="0055207F" w:rsidP="003C66B0">
            <w:pPr>
              <w:spacing w:after="0" w:line="240" w:lineRule="auto"/>
              <w:ind w:right="74"/>
              <w:jc w:val="right"/>
            </w:pPr>
            <w:r>
              <w:t>209</w:t>
            </w:r>
          </w:p>
        </w:tc>
      </w:tr>
      <w:tr w:rsidR="00412818" w:rsidRPr="00B406EB" w:rsidTr="007710E7">
        <w:tc>
          <w:tcPr>
            <w:tcW w:w="657" w:type="dxa"/>
            <w:gridSpan w:val="2"/>
          </w:tcPr>
          <w:p w:rsidR="00412818" w:rsidRDefault="00412818" w:rsidP="00761B63">
            <w:pPr>
              <w:spacing w:after="0" w:line="240" w:lineRule="auto"/>
              <w:ind w:right="74"/>
            </w:pPr>
            <w:r>
              <w:t>5.4</w:t>
            </w:r>
          </w:p>
        </w:tc>
        <w:tc>
          <w:tcPr>
            <w:tcW w:w="7266" w:type="dxa"/>
            <w:gridSpan w:val="7"/>
          </w:tcPr>
          <w:p w:rsidR="00412818" w:rsidRPr="00B406EB" w:rsidRDefault="00412818" w:rsidP="00761B63">
            <w:pPr>
              <w:spacing w:after="120" w:line="240" w:lineRule="auto"/>
              <w:ind w:right="74"/>
            </w:pPr>
            <w:r>
              <w:t>The First Five Dispensations and First Five Covenants</w:t>
            </w:r>
          </w:p>
        </w:tc>
        <w:tc>
          <w:tcPr>
            <w:tcW w:w="797" w:type="dxa"/>
          </w:tcPr>
          <w:p w:rsidR="00412818" w:rsidRPr="00B406EB" w:rsidRDefault="0055207F" w:rsidP="003C66B0">
            <w:pPr>
              <w:spacing w:after="0" w:line="240" w:lineRule="auto"/>
              <w:ind w:right="74"/>
              <w:jc w:val="right"/>
            </w:pPr>
            <w:r>
              <w:t>212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5.4.1</w:t>
            </w:r>
          </w:p>
        </w:tc>
        <w:tc>
          <w:tcPr>
            <w:tcW w:w="6545" w:type="dxa"/>
            <w:gridSpan w:val="5"/>
          </w:tcPr>
          <w:p w:rsidR="00412818" w:rsidRPr="00E743FC" w:rsidRDefault="00412818" w:rsidP="00761B63">
            <w:pPr>
              <w:spacing w:after="120" w:line="240" w:lineRule="auto"/>
              <w:ind w:right="74"/>
            </w:pPr>
            <w:r>
              <w:t>The First Dispensation and First Covenant</w:t>
            </w:r>
          </w:p>
        </w:tc>
        <w:tc>
          <w:tcPr>
            <w:tcW w:w="797" w:type="dxa"/>
          </w:tcPr>
          <w:p w:rsidR="00412818" w:rsidRPr="00E743FC" w:rsidRDefault="0055207F" w:rsidP="003C66B0">
            <w:pPr>
              <w:spacing w:after="120" w:line="240" w:lineRule="auto"/>
              <w:ind w:right="74"/>
              <w:jc w:val="right"/>
            </w:pPr>
            <w:r>
              <w:t>212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5.4.2</w:t>
            </w:r>
          </w:p>
        </w:tc>
        <w:tc>
          <w:tcPr>
            <w:tcW w:w="6545" w:type="dxa"/>
            <w:gridSpan w:val="5"/>
          </w:tcPr>
          <w:p w:rsidR="00412818" w:rsidRPr="00E743FC" w:rsidRDefault="00412818" w:rsidP="00761B63">
            <w:pPr>
              <w:spacing w:after="120" w:line="240" w:lineRule="auto"/>
              <w:ind w:right="74"/>
            </w:pPr>
            <w:r>
              <w:t>The Second Dispensation and Second Covenant</w:t>
            </w:r>
          </w:p>
        </w:tc>
        <w:tc>
          <w:tcPr>
            <w:tcW w:w="797" w:type="dxa"/>
          </w:tcPr>
          <w:p w:rsidR="00412818" w:rsidRPr="00E743FC" w:rsidRDefault="0055207F" w:rsidP="003C66B0">
            <w:pPr>
              <w:spacing w:after="120" w:line="240" w:lineRule="auto"/>
              <w:ind w:right="74"/>
              <w:jc w:val="right"/>
            </w:pPr>
            <w:r>
              <w:t>212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5.4.3</w:t>
            </w:r>
          </w:p>
        </w:tc>
        <w:tc>
          <w:tcPr>
            <w:tcW w:w="6545" w:type="dxa"/>
            <w:gridSpan w:val="5"/>
          </w:tcPr>
          <w:p w:rsidR="00412818" w:rsidRPr="00E743FC" w:rsidRDefault="00412818" w:rsidP="00761B63">
            <w:pPr>
              <w:spacing w:after="120" w:line="240" w:lineRule="auto"/>
              <w:ind w:right="74"/>
            </w:pPr>
            <w:r>
              <w:t>The Third Dispensation and Third Covenant</w:t>
            </w:r>
          </w:p>
        </w:tc>
        <w:tc>
          <w:tcPr>
            <w:tcW w:w="797" w:type="dxa"/>
          </w:tcPr>
          <w:p w:rsidR="00412818" w:rsidRPr="00E743FC" w:rsidRDefault="0055207F" w:rsidP="003C66B0">
            <w:pPr>
              <w:spacing w:after="120" w:line="240" w:lineRule="auto"/>
              <w:ind w:right="74"/>
              <w:jc w:val="right"/>
            </w:pPr>
            <w:r>
              <w:t>213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5.4.4</w:t>
            </w:r>
          </w:p>
        </w:tc>
        <w:tc>
          <w:tcPr>
            <w:tcW w:w="6545" w:type="dxa"/>
            <w:gridSpan w:val="5"/>
          </w:tcPr>
          <w:p w:rsidR="00412818" w:rsidRPr="00E743FC" w:rsidRDefault="00412818" w:rsidP="00761B63">
            <w:pPr>
              <w:spacing w:after="120" w:line="240" w:lineRule="auto"/>
              <w:ind w:right="74"/>
            </w:pPr>
            <w:r>
              <w:t>The Fourth Dispensation and Fourth Covenant</w:t>
            </w:r>
          </w:p>
        </w:tc>
        <w:tc>
          <w:tcPr>
            <w:tcW w:w="797" w:type="dxa"/>
          </w:tcPr>
          <w:p w:rsidR="00412818" w:rsidRPr="00E743FC" w:rsidRDefault="0055207F" w:rsidP="003C66B0">
            <w:pPr>
              <w:spacing w:after="120" w:line="240" w:lineRule="auto"/>
              <w:ind w:right="74"/>
              <w:jc w:val="right"/>
            </w:pPr>
            <w:r>
              <w:t>215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5.4.5</w:t>
            </w:r>
          </w:p>
        </w:tc>
        <w:tc>
          <w:tcPr>
            <w:tcW w:w="6545" w:type="dxa"/>
            <w:gridSpan w:val="5"/>
          </w:tcPr>
          <w:p w:rsidR="00412818" w:rsidRPr="00E743FC" w:rsidRDefault="00412818" w:rsidP="00761B63">
            <w:pPr>
              <w:spacing w:after="120" w:line="240" w:lineRule="auto"/>
              <w:ind w:right="74"/>
            </w:pPr>
            <w:r>
              <w:t>The Fifth Dispensation and Fifth Covenant</w:t>
            </w:r>
          </w:p>
        </w:tc>
        <w:tc>
          <w:tcPr>
            <w:tcW w:w="797" w:type="dxa"/>
          </w:tcPr>
          <w:p w:rsidR="00412818" w:rsidRPr="00E743FC" w:rsidRDefault="0055207F" w:rsidP="003C66B0">
            <w:pPr>
              <w:spacing w:after="120" w:line="240" w:lineRule="auto"/>
              <w:ind w:right="74"/>
              <w:jc w:val="right"/>
            </w:pPr>
            <w:r>
              <w:t>217</w:t>
            </w:r>
          </w:p>
        </w:tc>
      </w:tr>
      <w:tr w:rsidR="00412818" w:rsidRPr="00B406EB" w:rsidTr="007710E7">
        <w:tc>
          <w:tcPr>
            <w:tcW w:w="657" w:type="dxa"/>
            <w:gridSpan w:val="2"/>
          </w:tcPr>
          <w:p w:rsidR="00412818" w:rsidRDefault="00412818" w:rsidP="00761B63">
            <w:pPr>
              <w:spacing w:after="0" w:line="240" w:lineRule="auto"/>
              <w:ind w:right="74"/>
            </w:pPr>
            <w:r>
              <w:t>5.5</w:t>
            </w:r>
          </w:p>
        </w:tc>
        <w:tc>
          <w:tcPr>
            <w:tcW w:w="7266" w:type="dxa"/>
            <w:gridSpan w:val="7"/>
          </w:tcPr>
          <w:p w:rsidR="00412818" w:rsidRPr="00B406EB" w:rsidRDefault="00412818" w:rsidP="00761B63">
            <w:pPr>
              <w:spacing w:after="120" w:line="240" w:lineRule="auto"/>
              <w:ind w:right="74"/>
            </w:pPr>
            <w:r>
              <w:t>The Sixth, Seventh and Eighth Covenants</w:t>
            </w:r>
          </w:p>
        </w:tc>
        <w:tc>
          <w:tcPr>
            <w:tcW w:w="797" w:type="dxa"/>
          </w:tcPr>
          <w:p w:rsidR="00412818" w:rsidRPr="00B406EB" w:rsidRDefault="0055207F" w:rsidP="003C66B0">
            <w:pPr>
              <w:spacing w:after="0" w:line="240" w:lineRule="auto"/>
              <w:ind w:right="74"/>
              <w:jc w:val="right"/>
            </w:pPr>
            <w:r>
              <w:t>218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Pr="00E743FC" w:rsidRDefault="00412818" w:rsidP="00761B63">
            <w:pPr>
              <w:spacing w:after="120" w:line="240" w:lineRule="auto"/>
              <w:ind w:right="74"/>
            </w:pPr>
            <w:r>
              <w:t>5.5.1</w:t>
            </w:r>
          </w:p>
        </w:tc>
        <w:tc>
          <w:tcPr>
            <w:tcW w:w="6545" w:type="dxa"/>
            <w:gridSpan w:val="5"/>
          </w:tcPr>
          <w:p w:rsidR="00412818" w:rsidRPr="00E743FC" w:rsidRDefault="00412818" w:rsidP="00761B63">
            <w:pPr>
              <w:spacing w:after="120" w:line="240" w:lineRule="auto"/>
              <w:ind w:right="74"/>
            </w:pPr>
            <w:r>
              <w:t>The Sixth Covenant</w:t>
            </w:r>
          </w:p>
        </w:tc>
        <w:tc>
          <w:tcPr>
            <w:tcW w:w="797" w:type="dxa"/>
          </w:tcPr>
          <w:p w:rsidR="00412818" w:rsidRPr="00E743FC" w:rsidRDefault="0055207F" w:rsidP="003C66B0">
            <w:pPr>
              <w:spacing w:after="120" w:line="240" w:lineRule="auto"/>
              <w:ind w:right="74"/>
              <w:jc w:val="right"/>
            </w:pPr>
            <w:r>
              <w:t>218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5.5.2</w:t>
            </w:r>
          </w:p>
        </w:tc>
        <w:tc>
          <w:tcPr>
            <w:tcW w:w="6545" w:type="dxa"/>
            <w:gridSpan w:val="5"/>
          </w:tcPr>
          <w:p w:rsidR="00412818" w:rsidRDefault="00412818" w:rsidP="00761B63">
            <w:pPr>
              <w:spacing w:after="120" w:line="240" w:lineRule="auto"/>
              <w:ind w:right="74"/>
            </w:pPr>
            <w:r>
              <w:t>The Seventh Covenant</w:t>
            </w:r>
          </w:p>
        </w:tc>
        <w:tc>
          <w:tcPr>
            <w:tcW w:w="797" w:type="dxa"/>
          </w:tcPr>
          <w:p w:rsidR="00412818" w:rsidRPr="00E743FC" w:rsidRDefault="00B07C98" w:rsidP="003C66B0">
            <w:pPr>
              <w:spacing w:after="120" w:line="240" w:lineRule="auto"/>
              <w:ind w:right="74"/>
              <w:jc w:val="right"/>
            </w:pPr>
            <w:r>
              <w:t>224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5.5.3</w:t>
            </w:r>
          </w:p>
        </w:tc>
        <w:tc>
          <w:tcPr>
            <w:tcW w:w="6545" w:type="dxa"/>
            <w:gridSpan w:val="5"/>
          </w:tcPr>
          <w:p w:rsidR="00412818" w:rsidRDefault="00412818" w:rsidP="00761B63">
            <w:pPr>
              <w:spacing w:after="120" w:line="240" w:lineRule="auto"/>
              <w:ind w:right="74"/>
            </w:pPr>
            <w:r>
              <w:t>The Eighth Covenant</w:t>
            </w:r>
          </w:p>
        </w:tc>
        <w:tc>
          <w:tcPr>
            <w:tcW w:w="797" w:type="dxa"/>
          </w:tcPr>
          <w:p w:rsidR="00412818" w:rsidRPr="00E743FC" w:rsidRDefault="00B07C98" w:rsidP="003C66B0">
            <w:pPr>
              <w:spacing w:after="120" w:line="240" w:lineRule="auto"/>
              <w:ind w:right="74"/>
              <w:jc w:val="right"/>
            </w:pPr>
            <w:r>
              <w:t>225</w:t>
            </w:r>
          </w:p>
        </w:tc>
      </w:tr>
      <w:tr w:rsidR="00412818" w:rsidRPr="00B406EB" w:rsidTr="007710E7">
        <w:tc>
          <w:tcPr>
            <w:tcW w:w="657" w:type="dxa"/>
            <w:gridSpan w:val="2"/>
          </w:tcPr>
          <w:p w:rsidR="00412818" w:rsidRDefault="00412818" w:rsidP="00761B63">
            <w:pPr>
              <w:spacing w:after="0" w:line="240" w:lineRule="auto"/>
              <w:ind w:right="74"/>
            </w:pPr>
            <w:r>
              <w:t>5.6</w:t>
            </w:r>
          </w:p>
        </w:tc>
        <w:tc>
          <w:tcPr>
            <w:tcW w:w="7266" w:type="dxa"/>
            <w:gridSpan w:val="7"/>
          </w:tcPr>
          <w:p w:rsidR="00412818" w:rsidRPr="00B406EB" w:rsidRDefault="00412818" w:rsidP="00761B63">
            <w:pPr>
              <w:spacing w:after="120" w:line="240" w:lineRule="auto"/>
              <w:ind w:right="74"/>
            </w:pPr>
            <w:r>
              <w:t>The Sixth and Seventh Dispensations</w:t>
            </w:r>
          </w:p>
        </w:tc>
        <w:tc>
          <w:tcPr>
            <w:tcW w:w="797" w:type="dxa"/>
          </w:tcPr>
          <w:p w:rsidR="00412818" w:rsidRPr="00B406EB" w:rsidRDefault="00B07C98" w:rsidP="003C66B0">
            <w:pPr>
              <w:spacing w:after="0" w:line="240" w:lineRule="auto"/>
              <w:ind w:right="74"/>
              <w:jc w:val="right"/>
            </w:pPr>
            <w:r>
              <w:t>226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5.6.1</w:t>
            </w:r>
          </w:p>
        </w:tc>
        <w:tc>
          <w:tcPr>
            <w:tcW w:w="6545" w:type="dxa"/>
            <w:gridSpan w:val="5"/>
          </w:tcPr>
          <w:p w:rsidR="00412818" w:rsidRDefault="00412818" w:rsidP="00761B63">
            <w:pPr>
              <w:spacing w:after="120" w:line="240" w:lineRule="auto"/>
              <w:ind w:right="74"/>
            </w:pPr>
            <w:r>
              <w:t>The Sixth Dispensation</w:t>
            </w:r>
          </w:p>
        </w:tc>
        <w:tc>
          <w:tcPr>
            <w:tcW w:w="797" w:type="dxa"/>
          </w:tcPr>
          <w:p w:rsidR="00412818" w:rsidRPr="00E743FC" w:rsidRDefault="00B07C98" w:rsidP="003C66B0">
            <w:pPr>
              <w:spacing w:after="120" w:line="240" w:lineRule="auto"/>
              <w:ind w:right="74"/>
              <w:jc w:val="right"/>
            </w:pPr>
            <w:r>
              <w:t>226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gridSpan w:val="2"/>
          </w:tcPr>
          <w:p w:rsidR="00412818" w:rsidRDefault="00412818" w:rsidP="00761B63">
            <w:pPr>
              <w:spacing w:after="120" w:line="240" w:lineRule="auto"/>
              <w:ind w:right="74"/>
            </w:pPr>
            <w:r>
              <w:t>5.6.2</w:t>
            </w:r>
          </w:p>
        </w:tc>
        <w:tc>
          <w:tcPr>
            <w:tcW w:w="6545" w:type="dxa"/>
            <w:gridSpan w:val="5"/>
          </w:tcPr>
          <w:p w:rsidR="00412818" w:rsidRDefault="00412818" w:rsidP="00761B63">
            <w:pPr>
              <w:spacing w:after="120" w:line="240" w:lineRule="auto"/>
              <w:ind w:right="74"/>
            </w:pPr>
            <w:r>
              <w:t>The Seventh Dispensation</w:t>
            </w:r>
          </w:p>
        </w:tc>
        <w:tc>
          <w:tcPr>
            <w:tcW w:w="797" w:type="dxa"/>
          </w:tcPr>
          <w:p w:rsidR="00412818" w:rsidRPr="00E743FC" w:rsidRDefault="00B07C98" w:rsidP="003C66B0">
            <w:pPr>
              <w:spacing w:after="120" w:line="240" w:lineRule="auto"/>
              <w:ind w:right="74"/>
              <w:jc w:val="right"/>
            </w:pPr>
            <w:r>
              <w:t>230</w:t>
            </w:r>
          </w:p>
        </w:tc>
      </w:tr>
      <w:tr w:rsidR="00412818" w:rsidRPr="00B406EB" w:rsidTr="007710E7">
        <w:tc>
          <w:tcPr>
            <w:tcW w:w="657" w:type="dxa"/>
            <w:gridSpan w:val="2"/>
          </w:tcPr>
          <w:p w:rsidR="00412818" w:rsidRDefault="00412818" w:rsidP="00761B63">
            <w:pPr>
              <w:spacing w:after="0" w:line="240" w:lineRule="auto"/>
              <w:ind w:right="74"/>
            </w:pPr>
            <w:r>
              <w:t>5.7</w:t>
            </w:r>
          </w:p>
        </w:tc>
        <w:tc>
          <w:tcPr>
            <w:tcW w:w="7266" w:type="dxa"/>
            <w:gridSpan w:val="7"/>
          </w:tcPr>
          <w:p w:rsidR="00412818" w:rsidRPr="00B406EB" w:rsidRDefault="00412818" w:rsidP="00761B63">
            <w:pPr>
              <w:spacing w:after="120" w:line="240" w:lineRule="auto"/>
              <w:ind w:right="74"/>
            </w:pPr>
            <w:r>
              <w:t>Conclusion</w:t>
            </w:r>
          </w:p>
        </w:tc>
        <w:tc>
          <w:tcPr>
            <w:tcW w:w="797" w:type="dxa"/>
          </w:tcPr>
          <w:p w:rsidR="00412818" w:rsidRPr="00B406EB" w:rsidRDefault="00B07C98" w:rsidP="003C66B0">
            <w:pPr>
              <w:spacing w:after="0" w:line="240" w:lineRule="auto"/>
              <w:ind w:right="74"/>
              <w:jc w:val="right"/>
            </w:pPr>
            <w:r>
              <w:t>231</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7"/>
          </w:tcPr>
          <w:p w:rsidR="00412818" w:rsidRPr="005D5DDE" w:rsidRDefault="00412818" w:rsidP="00761B63">
            <w:pPr>
              <w:spacing w:after="120" w:line="240" w:lineRule="auto"/>
              <w:ind w:right="74"/>
              <w:rPr>
                <w:i/>
              </w:rPr>
            </w:pPr>
            <w:r w:rsidRPr="005D5DDE">
              <w:rPr>
                <w:i/>
              </w:rPr>
              <w:t xml:space="preserve">Endnotes, Chapter </w:t>
            </w:r>
            <w:r>
              <w:rPr>
                <w:i/>
              </w:rPr>
              <w:t>5</w:t>
            </w:r>
          </w:p>
        </w:tc>
        <w:tc>
          <w:tcPr>
            <w:tcW w:w="797" w:type="dxa"/>
          </w:tcPr>
          <w:p w:rsidR="00412818" w:rsidRPr="00E743FC" w:rsidRDefault="00B07C98" w:rsidP="003C66B0">
            <w:pPr>
              <w:spacing w:after="120" w:line="240" w:lineRule="auto"/>
              <w:ind w:right="74"/>
              <w:jc w:val="right"/>
            </w:pPr>
            <w:r>
              <w:t>232</w:t>
            </w:r>
          </w:p>
        </w:tc>
      </w:tr>
      <w:tr w:rsidR="00412818" w:rsidRPr="00B406EB" w:rsidTr="007710E7">
        <w:tc>
          <w:tcPr>
            <w:tcW w:w="657" w:type="dxa"/>
            <w:gridSpan w:val="2"/>
          </w:tcPr>
          <w:p w:rsidR="00412818" w:rsidRDefault="00412818" w:rsidP="00761B63">
            <w:pPr>
              <w:spacing w:after="0" w:line="240" w:lineRule="auto"/>
              <w:ind w:right="74"/>
            </w:pPr>
          </w:p>
        </w:tc>
        <w:tc>
          <w:tcPr>
            <w:tcW w:w="7266" w:type="dxa"/>
            <w:gridSpan w:val="7"/>
          </w:tcPr>
          <w:p w:rsidR="00412818" w:rsidRDefault="00412818" w:rsidP="00761B63">
            <w:pPr>
              <w:spacing w:after="120" w:line="240" w:lineRule="auto"/>
              <w:ind w:right="74"/>
            </w:pPr>
          </w:p>
        </w:tc>
        <w:tc>
          <w:tcPr>
            <w:tcW w:w="797" w:type="dxa"/>
          </w:tcPr>
          <w:p w:rsidR="00412818" w:rsidRPr="00B406EB" w:rsidRDefault="00412818" w:rsidP="003C66B0">
            <w:pPr>
              <w:spacing w:after="0" w:line="240" w:lineRule="auto"/>
              <w:ind w:right="74"/>
              <w:jc w:val="right"/>
            </w:pPr>
          </w:p>
        </w:tc>
      </w:tr>
    </w:tbl>
    <w:p w:rsidR="003C66B0" w:rsidRDefault="003C66B0"/>
    <w:p w:rsidR="007710E7" w:rsidRDefault="007710E7"/>
    <w:p w:rsidR="007710E7" w:rsidRDefault="007710E7"/>
    <w:tbl>
      <w:tblPr>
        <w:tblW w:w="0" w:type="auto"/>
        <w:tblLook w:val="04A0" w:firstRow="1" w:lastRow="0" w:firstColumn="1" w:lastColumn="0" w:noHBand="0" w:noVBand="1"/>
      </w:tblPr>
      <w:tblGrid>
        <w:gridCol w:w="648"/>
        <w:gridCol w:w="9"/>
        <w:gridCol w:w="721"/>
        <w:gridCol w:w="89"/>
        <w:gridCol w:w="453"/>
        <w:gridCol w:w="1166"/>
        <w:gridCol w:w="566"/>
        <w:gridCol w:w="1822"/>
        <w:gridCol w:w="35"/>
        <w:gridCol w:w="2414"/>
        <w:gridCol w:w="797"/>
      </w:tblGrid>
      <w:tr w:rsidR="00412818" w:rsidRPr="00E743FC" w:rsidTr="007710E7">
        <w:tc>
          <w:tcPr>
            <w:tcW w:w="7923" w:type="dxa"/>
            <w:gridSpan w:val="10"/>
          </w:tcPr>
          <w:p w:rsidR="00412818" w:rsidRDefault="00412818" w:rsidP="00761B63">
            <w:pPr>
              <w:spacing w:after="0" w:line="240" w:lineRule="auto"/>
              <w:ind w:right="74"/>
              <w:rPr>
                <w:b/>
                <w:sz w:val="24"/>
              </w:rPr>
            </w:pPr>
            <w:r w:rsidRPr="00AF177B">
              <w:rPr>
                <w:b/>
                <w:sz w:val="24"/>
              </w:rPr>
              <w:lastRenderedPageBreak/>
              <w:t xml:space="preserve">CHAPTER </w:t>
            </w:r>
            <w:r>
              <w:rPr>
                <w:b/>
                <w:sz w:val="24"/>
              </w:rPr>
              <w:t>6</w:t>
            </w:r>
            <w:r w:rsidRPr="00AF177B">
              <w:rPr>
                <w:b/>
                <w:sz w:val="24"/>
              </w:rPr>
              <w:t xml:space="preserve">  </w:t>
            </w:r>
          </w:p>
          <w:p w:rsidR="00412818" w:rsidRDefault="00412818" w:rsidP="00761B63">
            <w:pPr>
              <w:spacing w:after="0" w:line="240" w:lineRule="auto"/>
              <w:ind w:right="74"/>
              <w:rPr>
                <w:b/>
                <w:sz w:val="24"/>
              </w:rPr>
            </w:pPr>
            <w:r>
              <w:rPr>
                <w:b/>
                <w:sz w:val="24"/>
              </w:rPr>
              <w:t xml:space="preserve">Elements of Dispensationalism: Element 5: </w:t>
            </w:r>
          </w:p>
          <w:p w:rsidR="00412818" w:rsidRPr="00A31134" w:rsidRDefault="00412818" w:rsidP="00761B63">
            <w:pPr>
              <w:rPr>
                <w:b/>
              </w:rPr>
            </w:pPr>
            <w:r w:rsidRPr="00A31134">
              <w:rPr>
                <w:b/>
                <w:sz w:val="24"/>
              </w:rPr>
              <w:t>Expectation of Christ’s Imminent Return in the Pretribulation Rapture</w:t>
            </w:r>
          </w:p>
        </w:tc>
        <w:tc>
          <w:tcPr>
            <w:tcW w:w="797" w:type="dxa"/>
            <w:vAlign w:val="center"/>
          </w:tcPr>
          <w:p w:rsidR="00412818" w:rsidRPr="00E743FC" w:rsidRDefault="00581564" w:rsidP="00581564">
            <w:pPr>
              <w:ind w:right="74"/>
              <w:jc w:val="right"/>
            </w:pPr>
            <w:r>
              <w:t>241</w:t>
            </w:r>
          </w:p>
        </w:tc>
      </w:tr>
      <w:tr w:rsidR="00412818" w:rsidRPr="00B406EB" w:rsidTr="007710E7">
        <w:tc>
          <w:tcPr>
            <w:tcW w:w="657" w:type="dxa"/>
            <w:gridSpan w:val="2"/>
          </w:tcPr>
          <w:p w:rsidR="00412818" w:rsidRDefault="00412818" w:rsidP="00761B63">
            <w:pPr>
              <w:spacing w:after="0" w:line="240" w:lineRule="auto"/>
              <w:ind w:right="74"/>
            </w:pPr>
            <w:r>
              <w:t>6.1</w:t>
            </w:r>
          </w:p>
        </w:tc>
        <w:tc>
          <w:tcPr>
            <w:tcW w:w="7266" w:type="dxa"/>
            <w:gridSpan w:val="8"/>
          </w:tcPr>
          <w:p w:rsidR="00412818" w:rsidRPr="00B406EB" w:rsidRDefault="00412818" w:rsidP="00581564">
            <w:pPr>
              <w:spacing w:after="120" w:line="240" w:lineRule="auto"/>
              <w:ind w:right="74"/>
            </w:pPr>
            <w:r w:rsidRPr="00A11EE6">
              <w:t xml:space="preserve">The Pretribulational Removal of the True Church in </w:t>
            </w:r>
            <w:r w:rsidR="00581564">
              <w:t xml:space="preserve">the </w:t>
            </w:r>
            <w:r w:rsidR="00581564" w:rsidRPr="00581564">
              <w:rPr>
                <w:i/>
              </w:rPr>
              <w:t>Scofield Reference Bible</w:t>
            </w:r>
          </w:p>
        </w:tc>
        <w:tc>
          <w:tcPr>
            <w:tcW w:w="797" w:type="dxa"/>
          </w:tcPr>
          <w:p w:rsidR="00412818" w:rsidRPr="00B406EB" w:rsidRDefault="00581564" w:rsidP="003C66B0">
            <w:pPr>
              <w:spacing w:after="0" w:line="240" w:lineRule="auto"/>
              <w:ind w:right="74"/>
              <w:jc w:val="right"/>
            </w:pPr>
            <w:r>
              <w:t>246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6.1.1</w:t>
            </w:r>
          </w:p>
        </w:tc>
        <w:tc>
          <w:tcPr>
            <w:tcW w:w="6545" w:type="dxa"/>
            <w:gridSpan w:val="7"/>
          </w:tcPr>
          <w:p w:rsidR="00412818" w:rsidRDefault="00412818" w:rsidP="00761B63">
            <w:pPr>
              <w:spacing w:after="120" w:line="240" w:lineRule="auto"/>
              <w:ind w:right="74"/>
            </w:pPr>
            <w:r>
              <w:t>Translation</w:t>
            </w:r>
          </w:p>
        </w:tc>
        <w:tc>
          <w:tcPr>
            <w:tcW w:w="797" w:type="dxa"/>
          </w:tcPr>
          <w:p w:rsidR="00412818" w:rsidRPr="00E743FC" w:rsidRDefault="003073D9" w:rsidP="003C66B0">
            <w:pPr>
              <w:spacing w:after="120" w:line="240" w:lineRule="auto"/>
              <w:ind w:right="74"/>
              <w:jc w:val="right"/>
            </w:pPr>
            <w:r>
              <w:t>250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6.1.2</w:t>
            </w:r>
          </w:p>
        </w:tc>
        <w:tc>
          <w:tcPr>
            <w:tcW w:w="6545" w:type="dxa"/>
            <w:gridSpan w:val="7"/>
          </w:tcPr>
          <w:p w:rsidR="00412818" w:rsidRDefault="00412818" w:rsidP="00761B63">
            <w:pPr>
              <w:spacing w:after="120" w:line="240" w:lineRule="auto"/>
              <w:ind w:right="74"/>
            </w:pPr>
            <w:r>
              <w:t>Rapture</w:t>
            </w:r>
          </w:p>
        </w:tc>
        <w:tc>
          <w:tcPr>
            <w:tcW w:w="797" w:type="dxa"/>
          </w:tcPr>
          <w:p w:rsidR="00412818" w:rsidRPr="00E743FC" w:rsidRDefault="003073D9" w:rsidP="003C66B0">
            <w:pPr>
              <w:spacing w:after="120" w:line="240" w:lineRule="auto"/>
              <w:ind w:right="74"/>
              <w:jc w:val="right"/>
            </w:pPr>
            <w:r>
              <w:t>250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6.1.3</w:t>
            </w:r>
          </w:p>
        </w:tc>
        <w:tc>
          <w:tcPr>
            <w:tcW w:w="6545" w:type="dxa"/>
            <w:gridSpan w:val="7"/>
          </w:tcPr>
          <w:p w:rsidR="00412818" w:rsidRDefault="00412818" w:rsidP="00761B63">
            <w:pPr>
              <w:spacing w:after="120" w:line="240" w:lineRule="auto"/>
              <w:ind w:right="74"/>
            </w:pPr>
            <w:r>
              <w:t>Other Expressions</w:t>
            </w:r>
          </w:p>
        </w:tc>
        <w:tc>
          <w:tcPr>
            <w:tcW w:w="797" w:type="dxa"/>
          </w:tcPr>
          <w:p w:rsidR="00412818" w:rsidRPr="00E743FC" w:rsidRDefault="003073D9" w:rsidP="003C66B0">
            <w:pPr>
              <w:spacing w:after="120" w:line="240" w:lineRule="auto"/>
              <w:ind w:right="74"/>
              <w:jc w:val="right"/>
            </w:pPr>
            <w:r>
              <w:t>252</w:t>
            </w:r>
          </w:p>
        </w:tc>
      </w:tr>
      <w:tr w:rsidR="00412818" w:rsidRPr="00B406EB" w:rsidTr="007710E7">
        <w:tc>
          <w:tcPr>
            <w:tcW w:w="657" w:type="dxa"/>
            <w:gridSpan w:val="2"/>
          </w:tcPr>
          <w:p w:rsidR="00412818" w:rsidRDefault="00412818" w:rsidP="00761B63">
            <w:pPr>
              <w:spacing w:after="0" w:line="240" w:lineRule="auto"/>
              <w:ind w:right="74"/>
            </w:pPr>
            <w:r>
              <w:t>6.2</w:t>
            </w:r>
          </w:p>
        </w:tc>
        <w:tc>
          <w:tcPr>
            <w:tcW w:w="7266" w:type="dxa"/>
            <w:gridSpan w:val="8"/>
          </w:tcPr>
          <w:p w:rsidR="00412818" w:rsidRPr="00B406EB" w:rsidRDefault="00412818" w:rsidP="00761B63">
            <w:pPr>
              <w:spacing w:after="120" w:line="240" w:lineRule="auto"/>
              <w:ind w:right="74"/>
            </w:pPr>
            <w:r>
              <w:t>Conclusion</w:t>
            </w:r>
          </w:p>
        </w:tc>
        <w:tc>
          <w:tcPr>
            <w:tcW w:w="797" w:type="dxa"/>
          </w:tcPr>
          <w:p w:rsidR="00412818" w:rsidRPr="00B406EB" w:rsidRDefault="003073D9" w:rsidP="003C66B0">
            <w:pPr>
              <w:spacing w:after="0" w:line="240" w:lineRule="auto"/>
              <w:ind w:right="74"/>
              <w:jc w:val="right"/>
            </w:pPr>
            <w:r>
              <w:t>254</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8"/>
          </w:tcPr>
          <w:p w:rsidR="00412818" w:rsidRPr="005D5DDE" w:rsidRDefault="00412818" w:rsidP="00761B63">
            <w:pPr>
              <w:spacing w:after="120" w:line="240" w:lineRule="auto"/>
              <w:ind w:right="74"/>
              <w:rPr>
                <w:i/>
              </w:rPr>
            </w:pPr>
            <w:r w:rsidRPr="005D5DDE">
              <w:rPr>
                <w:i/>
              </w:rPr>
              <w:t xml:space="preserve">Endnotes, Chapter </w:t>
            </w:r>
            <w:r>
              <w:rPr>
                <w:i/>
              </w:rPr>
              <w:t>6</w:t>
            </w:r>
          </w:p>
        </w:tc>
        <w:tc>
          <w:tcPr>
            <w:tcW w:w="797" w:type="dxa"/>
          </w:tcPr>
          <w:p w:rsidR="00412818" w:rsidRPr="00E743FC" w:rsidRDefault="003073D9" w:rsidP="003C66B0">
            <w:pPr>
              <w:spacing w:after="120" w:line="240" w:lineRule="auto"/>
              <w:ind w:right="74"/>
              <w:jc w:val="right"/>
            </w:pPr>
            <w:r>
              <w:t>254</w:t>
            </w:r>
          </w:p>
        </w:tc>
      </w:tr>
      <w:tr w:rsidR="00412818" w:rsidRPr="00B406EB" w:rsidTr="007710E7">
        <w:tc>
          <w:tcPr>
            <w:tcW w:w="657" w:type="dxa"/>
            <w:gridSpan w:val="2"/>
          </w:tcPr>
          <w:p w:rsidR="00412818" w:rsidRDefault="00412818" w:rsidP="00761B63">
            <w:pPr>
              <w:spacing w:after="0" w:line="240" w:lineRule="auto"/>
              <w:ind w:right="74"/>
            </w:pPr>
          </w:p>
        </w:tc>
        <w:tc>
          <w:tcPr>
            <w:tcW w:w="7266" w:type="dxa"/>
            <w:gridSpan w:val="8"/>
          </w:tcPr>
          <w:p w:rsidR="00412818" w:rsidRDefault="00412818" w:rsidP="00761B63">
            <w:pPr>
              <w:spacing w:after="120" w:line="240" w:lineRule="auto"/>
              <w:ind w:right="74"/>
            </w:pPr>
          </w:p>
        </w:tc>
        <w:tc>
          <w:tcPr>
            <w:tcW w:w="797" w:type="dxa"/>
          </w:tcPr>
          <w:p w:rsidR="00412818" w:rsidRPr="00B406EB" w:rsidRDefault="00412818" w:rsidP="003C66B0">
            <w:pPr>
              <w:spacing w:after="0" w:line="240" w:lineRule="auto"/>
              <w:ind w:right="74"/>
              <w:jc w:val="right"/>
            </w:pPr>
          </w:p>
        </w:tc>
      </w:tr>
      <w:tr w:rsidR="00412818" w:rsidRPr="00E743FC" w:rsidTr="007710E7">
        <w:tc>
          <w:tcPr>
            <w:tcW w:w="7923" w:type="dxa"/>
            <w:gridSpan w:val="10"/>
          </w:tcPr>
          <w:p w:rsidR="00412818" w:rsidRDefault="00412818" w:rsidP="00761B63">
            <w:pPr>
              <w:spacing w:after="0" w:line="240" w:lineRule="auto"/>
              <w:ind w:right="74"/>
              <w:rPr>
                <w:b/>
                <w:sz w:val="24"/>
              </w:rPr>
            </w:pPr>
            <w:r w:rsidRPr="00AF177B">
              <w:rPr>
                <w:b/>
                <w:sz w:val="24"/>
              </w:rPr>
              <w:t xml:space="preserve">CHAPTER </w:t>
            </w:r>
            <w:r>
              <w:rPr>
                <w:b/>
                <w:sz w:val="24"/>
              </w:rPr>
              <w:t>7</w:t>
            </w:r>
            <w:r w:rsidRPr="00AF177B">
              <w:rPr>
                <w:b/>
                <w:sz w:val="24"/>
              </w:rPr>
              <w:t xml:space="preserve">  </w:t>
            </w:r>
          </w:p>
          <w:p w:rsidR="00412818" w:rsidRDefault="00412818" w:rsidP="00761B63">
            <w:pPr>
              <w:spacing w:after="0" w:line="240" w:lineRule="auto"/>
              <w:ind w:right="74"/>
              <w:rPr>
                <w:b/>
                <w:sz w:val="24"/>
              </w:rPr>
            </w:pPr>
            <w:r>
              <w:rPr>
                <w:b/>
                <w:sz w:val="24"/>
              </w:rPr>
              <w:t xml:space="preserve">Elements of Dispensationalism: Element 6: </w:t>
            </w:r>
          </w:p>
          <w:p w:rsidR="00412818" w:rsidRPr="00A31134" w:rsidRDefault="00412818" w:rsidP="00761B63">
            <w:pPr>
              <w:rPr>
                <w:b/>
                <w:sz w:val="24"/>
                <w:szCs w:val="24"/>
              </w:rPr>
            </w:pPr>
            <w:r w:rsidRPr="00A31134">
              <w:rPr>
                <w:b/>
                <w:sz w:val="24"/>
                <w:szCs w:val="24"/>
              </w:rPr>
              <w:t>Emphasis on Apocalyptic and Millennial Expectations</w:t>
            </w:r>
          </w:p>
        </w:tc>
        <w:tc>
          <w:tcPr>
            <w:tcW w:w="797" w:type="dxa"/>
            <w:vAlign w:val="center"/>
          </w:tcPr>
          <w:p w:rsidR="00412818" w:rsidRPr="00E743FC" w:rsidRDefault="003073D9" w:rsidP="007710E7">
            <w:pPr>
              <w:ind w:right="74"/>
              <w:jc w:val="right"/>
            </w:pPr>
            <w:r>
              <w:t>259</w:t>
            </w:r>
          </w:p>
        </w:tc>
      </w:tr>
      <w:tr w:rsidR="00412818" w:rsidRPr="00B406EB" w:rsidTr="007710E7">
        <w:tc>
          <w:tcPr>
            <w:tcW w:w="657" w:type="dxa"/>
            <w:gridSpan w:val="2"/>
          </w:tcPr>
          <w:p w:rsidR="00412818" w:rsidRDefault="00412818" w:rsidP="00761B63">
            <w:pPr>
              <w:spacing w:after="0" w:line="240" w:lineRule="auto"/>
              <w:ind w:right="74"/>
            </w:pPr>
            <w:r>
              <w:t>7.1</w:t>
            </w:r>
          </w:p>
        </w:tc>
        <w:tc>
          <w:tcPr>
            <w:tcW w:w="7266" w:type="dxa"/>
            <w:gridSpan w:val="8"/>
          </w:tcPr>
          <w:p w:rsidR="00412818" w:rsidRPr="00B406EB" w:rsidRDefault="00412818" w:rsidP="00761B63">
            <w:pPr>
              <w:spacing w:after="120" w:line="240" w:lineRule="auto"/>
              <w:ind w:right="74"/>
            </w:pPr>
            <w:r>
              <w:t>Apocalyptic Expectation</w:t>
            </w:r>
          </w:p>
        </w:tc>
        <w:tc>
          <w:tcPr>
            <w:tcW w:w="797" w:type="dxa"/>
          </w:tcPr>
          <w:p w:rsidR="00412818" w:rsidRPr="00B406EB" w:rsidRDefault="003073D9" w:rsidP="003C66B0">
            <w:pPr>
              <w:spacing w:after="0" w:line="240" w:lineRule="auto"/>
              <w:ind w:right="74"/>
              <w:jc w:val="right"/>
            </w:pPr>
            <w:r>
              <w:t>259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7.1.1</w:t>
            </w:r>
          </w:p>
        </w:tc>
        <w:tc>
          <w:tcPr>
            <w:tcW w:w="6545" w:type="dxa"/>
            <w:gridSpan w:val="7"/>
          </w:tcPr>
          <w:p w:rsidR="00412818" w:rsidRDefault="00412818" w:rsidP="00761B63">
            <w:pPr>
              <w:spacing w:after="120" w:line="240" w:lineRule="auto"/>
              <w:ind w:right="74"/>
            </w:pPr>
            <w:r>
              <w:t>Historicism and Futurism</w:t>
            </w:r>
          </w:p>
        </w:tc>
        <w:tc>
          <w:tcPr>
            <w:tcW w:w="797" w:type="dxa"/>
          </w:tcPr>
          <w:p w:rsidR="00412818" w:rsidRPr="00E743FC" w:rsidRDefault="003073D9" w:rsidP="003C66B0">
            <w:pPr>
              <w:spacing w:after="120" w:line="240" w:lineRule="auto"/>
              <w:ind w:right="74"/>
              <w:jc w:val="right"/>
            </w:pPr>
            <w:r>
              <w:t>259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7.1.2</w:t>
            </w:r>
          </w:p>
        </w:tc>
        <w:tc>
          <w:tcPr>
            <w:tcW w:w="6545" w:type="dxa"/>
            <w:gridSpan w:val="7"/>
          </w:tcPr>
          <w:p w:rsidR="00412818" w:rsidRDefault="00412818" w:rsidP="00761B63">
            <w:pPr>
              <w:spacing w:after="120" w:line="240" w:lineRule="auto"/>
              <w:ind w:right="74"/>
            </w:pPr>
            <w:r>
              <w:t>Daniel’s Seventy Weeks, the Times of the Gentiles and the Great Tribulation</w:t>
            </w:r>
          </w:p>
        </w:tc>
        <w:tc>
          <w:tcPr>
            <w:tcW w:w="797" w:type="dxa"/>
          </w:tcPr>
          <w:p w:rsidR="00412818" w:rsidRPr="00E743FC" w:rsidRDefault="003073D9" w:rsidP="003C66B0">
            <w:pPr>
              <w:spacing w:after="120" w:line="240" w:lineRule="auto"/>
              <w:ind w:right="74"/>
              <w:jc w:val="right"/>
            </w:pPr>
            <w:r>
              <w:t>262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166" w:type="dxa"/>
          </w:tcPr>
          <w:p w:rsidR="00412818" w:rsidRPr="00C47BA1" w:rsidRDefault="00412818" w:rsidP="00761B63">
            <w:pPr>
              <w:spacing w:after="120" w:line="240" w:lineRule="auto"/>
              <w:ind w:right="74"/>
            </w:pPr>
            <w:r w:rsidRPr="00C47BA1">
              <w:t>7.1.2.1</w:t>
            </w:r>
          </w:p>
        </w:tc>
        <w:tc>
          <w:tcPr>
            <w:tcW w:w="4837" w:type="dxa"/>
            <w:gridSpan w:val="4"/>
          </w:tcPr>
          <w:p w:rsidR="00412818" w:rsidRPr="00E743FC" w:rsidRDefault="00412818" w:rsidP="00761B63">
            <w:pPr>
              <w:spacing w:after="120" w:line="240" w:lineRule="auto"/>
              <w:ind w:right="74"/>
            </w:pPr>
            <w:r>
              <w:t>Daniel’s Seventy Weeks</w:t>
            </w:r>
          </w:p>
        </w:tc>
        <w:tc>
          <w:tcPr>
            <w:tcW w:w="797" w:type="dxa"/>
          </w:tcPr>
          <w:p w:rsidR="00412818" w:rsidRPr="00E743FC" w:rsidRDefault="003073D9" w:rsidP="003C66B0">
            <w:pPr>
              <w:spacing w:after="120" w:line="240" w:lineRule="auto"/>
              <w:ind w:right="74"/>
              <w:jc w:val="right"/>
            </w:pPr>
            <w:r>
              <w:t>262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Default="00412818" w:rsidP="00761B63">
            <w:pPr>
              <w:spacing w:after="120" w:line="240" w:lineRule="auto"/>
              <w:ind w:right="74"/>
            </w:pPr>
            <w:r w:rsidRPr="00C47BA1">
              <w:rPr>
                <w:i/>
              </w:rPr>
              <w:t>Alternative Interpretations of the Seventy Week</w:t>
            </w:r>
            <w:r>
              <w:t>s</w:t>
            </w:r>
          </w:p>
        </w:tc>
        <w:tc>
          <w:tcPr>
            <w:tcW w:w="797" w:type="dxa"/>
          </w:tcPr>
          <w:p w:rsidR="00412818" w:rsidRPr="00E743FC" w:rsidRDefault="003073D9" w:rsidP="003C66B0">
            <w:pPr>
              <w:spacing w:after="120" w:line="240" w:lineRule="auto"/>
              <w:ind w:right="74"/>
              <w:jc w:val="right"/>
            </w:pPr>
            <w:r>
              <w:t>265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166" w:type="dxa"/>
          </w:tcPr>
          <w:p w:rsidR="00412818" w:rsidRPr="00C47BA1" w:rsidRDefault="00412818" w:rsidP="00761B63">
            <w:pPr>
              <w:spacing w:after="120" w:line="240" w:lineRule="auto"/>
              <w:ind w:right="74"/>
            </w:pPr>
            <w:r w:rsidRPr="00C47BA1">
              <w:t>7.1.2.</w:t>
            </w:r>
            <w:r>
              <w:t>2</w:t>
            </w:r>
          </w:p>
        </w:tc>
        <w:tc>
          <w:tcPr>
            <w:tcW w:w="4837" w:type="dxa"/>
            <w:gridSpan w:val="4"/>
          </w:tcPr>
          <w:p w:rsidR="00412818" w:rsidRPr="00E743FC" w:rsidRDefault="00412818" w:rsidP="00761B63">
            <w:pPr>
              <w:spacing w:after="120" w:line="240" w:lineRule="auto"/>
              <w:ind w:right="74"/>
            </w:pPr>
            <w:r>
              <w:t>The Times of the Gentiles</w:t>
            </w:r>
          </w:p>
        </w:tc>
        <w:tc>
          <w:tcPr>
            <w:tcW w:w="797" w:type="dxa"/>
          </w:tcPr>
          <w:p w:rsidR="00412818" w:rsidRPr="00E743FC" w:rsidRDefault="003073D9" w:rsidP="003C66B0">
            <w:pPr>
              <w:spacing w:after="120" w:line="240" w:lineRule="auto"/>
              <w:ind w:right="74"/>
              <w:jc w:val="right"/>
            </w:pPr>
            <w:r>
              <w:t>266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166" w:type="dxa"/>
          </w:tcPr>
          <w:p w:rsidR="00412818" w:rsidRPr="00C47BA1" w:rsidRDefault="00412818" w:rsidP="00761B63">
            <w:pPr>
              <w:spacing w:after="120" w:line="240" w:lineRule="auto"/>
              <w:ind w:right="74"/>
            </w:pPr>
            <w:r>
              <w:t>7.1.2.3</w:t>
            </w:r>
          </w:p>
        </w:tc>
        <w:tc>
          <w:tcPr>
            <w:tcW w:w="4837" w:type="dxa"/>
            <w:gridSpan w:val="4"/>
          </w:tcPr>
          <w:p w:rsidR="00412818" w:rsidRDefault="00412818" w:rsidP="00761B63">
            <w:pPr>
              <w:spacing w:after="120" w:line="240" w:lineRule="auto"/>
              <w:ind w:right="74"/>
            </w:pPr>
            <w:r>
              <w:t>The Great Tribulation</w:t>
            </w:r>
          </w:p>
        </w:tc>
        <w:tc>
          <w:tcPr>
            <w:tcW w:w="797" w:type="dxa"/>
          </w:tcPr>
          <w:p w:rsidR="00412818" w:rsidRPr="00E743FC" w:rsidRDefault="003073D9" w:rsidP="003C66B0">
            <w:pPr>
              <w:spacing w:after="120" w:line="240" w:lineRule="auto"/>
              <w:ind w:right="74"/>
              <w:jc w:val="right"/>
            </w:pPr>
            <w:r>
              <w:t>270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Default="00412818" w:rsidP="00761B63">
            <w:pPr>
              <w:spacing w:after="120" w:line="240" w:lineRule="auto"/>
            </w:pPr>
            <w:r w:rsidRPr="00A11EE6">
              <w:rPr>
                <w:i/>
              </w:rPr>
              <w:t>The Importance of Intertestamental Links in Scofield’s Interpretation</w:t>
            </w:r>
          </w:p>
        </w:tc>
        <w:tc>
          <w:tcPr>
            <w:tcW w:w="797" w:type="dxa"/>
          </w:tcPr>
          <w:p w:rsidR="00412818" w:rsidRPr="00E743FC" w:rsidRDefault="003073D9" w:rsidP="003C66B0">
            <w:pPr>
              <w:spacing w:after="120" w:line="240" w:lineRule="auto"/>
              <w:ind w:right="74"/>
              <w:jc w:val="right"/>
            </w:pPr>
            <w:r>
              <w:t>275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Pr="00C47BA1" w:rsidRDefault="00412818" w:rsidP="00761B63">
            <w:pPr>
              <w:spacing w:after="120" w:line="240" w:lineRule="auto"/>
              <w:rPr>
                <w:i/>
              </w:rPr>
            </w:pPr>
            <w:r w:rsidRPr="00A11EE6">
              <w:rPr>
                <w:i/>
              </w:rPr>
              <w:t>Scofield’s Intertestamental Equation of Eschatological Characters</w:t>
            </w:r>
          </w:p>
        </w:tc>
        <w:tc>
          <w:tcPr>
            <w:tcW w:w="797" w:type="dxa"/>
          </w:tcPr>
          <w:p w:rsidR="00412818" w:rsidRPr="00E743FC" w:rsidRDefault="003073D9" w:rsidP="003C66B0">
            <w:pPr>
              <w:spacing w:after="120" w:line="240" w:lineRule="auto"/>
              <w:ind w:right="74"/>
              <w:jc w:val="right"/>
            </w:pPr>
            <w:r>
              <w:t>278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Pr="00C47BA1" w:rsidRDefault="00412818" w:rsidP="00761B63">
            <w:pPr>
              <w:spacing w:after="120" w:line="240" w:lineRule="auto"/>
              <w:rPr>
                <w:i/>
              </w:rPr>
            </w:pPr>
            <w:r w:rsidRPr="00A11EE6">
              <w:rPr>
                <w:i/>
              </w:rPr>
              <w:t>Scofield’s Intertestamental Equation of Eschatological Events</w:t>
            </w:r>
          </w:p>
        </w:tc>
        <w:tc>
          <w:tcPr>
            <w:tcW w:w="797" w:type="dxa"/>
          </w:tcPr>
          <w:p w:rsidR="00412818" w:rsidRPr="00E743FC" w:rsidRDefault="003073D9" w:rsidP="003C66B0">
            <w:pPr>
              <w:spacing w:after="120" w:line="240" w:lineRule="auto"/>
              <w:ind w:right="74"/>
              <w:jc w:val="right"/>
            </w:pPr>
            <w:r>
              <w:t>280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Pr="00C47BA1" w:rsidRDefault="00412818" w:rsidP="00761B63">
            <w:pPr>
              <w:spacing w:after="120" w:line="240" w:lineRule="auto"/>
              <w:rPr>
                <w:i/>
              </w:rPr>
            </w:pPr>
            <w:r w:rsidRPr="00A11EE6">
              <w:rPr>
                <w:i/>
              </w:rPr>
              <w:t>The Importance of the Beast in Scofield’s Interpretation of the Tribulation</w:t>
            </w:r>
          </w:p>
        </w:tc>
        <w:tc>
          <w:tcPr>
            <w:tcW w:w="797" w:type="dxa"/>
          </w:tcPr>
          <w:p w:rsidR="00412818" w:rsidRPr="00E743FC" w:rsidRDefault="003073D9" w:rsidP="003C66B0">
            <w:pPr>
              <w:spacing w:after="120" w:line="240" w:lineRule="auto"/>
              <w:ind w:right="74"/>
              <w:jc w:val="right"/>
            </w:pPr>
            <w:r>
              <w:t>282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1732" w:type="dxa"/>
            <w:gridSpan w:val="2"/>
          </w:tcPr>
          <w:p w:rsidR="00412818" w:rsidRPr="00C47BA1" w:rsidRDefault="00412818" w:rsidP="00761B63">
            <w:pPr>
              <w:spacing w:after="120" w:line="240" w:lineRule="auto"/>
              <w:ind w:right="74"/>
            </w:pPr>
          </w:p>
        </w:tc>
        <w:tc>
          <w:tcPr>
            <w:tcW w:w="4271" w:type="dxa"/>
            <w:gridSpan w:val="3"/>
          </w:tcPr>
          <w:p w:rsidR="00412818" w:rsidRPr="00C47BA1" w:rsidRDefault="00412818" w:rsidP="00761B63">
            <w:pPr>
              <w:spacing w:after="120" w:line="240" w:lineRule="auto"/>
              <w:ind w:right="74"/>
              <w:rPr>
                <w:i/>
              </w:rPr>
            </w:pPr>
            <w:r w:rsidRPr="00A11EE6">
              <w:rPr>
                <w:i/>
              </w:rPr>
              <w:t>The Dispensational Status of the Tribulation</w:t>
            </w:r>
          </w:p>
        </w:tc>
        <w:tc>
          <w:tcPr>
            <w:tcW w:w="797" w:type="dxa"/>
          </w:tcPr>
          <w:p w:rsidR="00412818" w:rsidRPr="00E743FC" w:rsidRDefault="003073D9" w:rsidP="003C66B0">
            <w:pPr>
              <w:spacing w:after="120" w:line="240" w:lineRule="auto"/>
              <w:ind w:right="74"/>
              <w:jc w:val="right"/>
            </w:pPr>
            <w:r>
              <w:t>284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7.1.3</w:t>
            </w:r>
          </w:p>
        </w:tc>
        <w:tc>
          <w:tcPr>
            <w:tcW w:w="6545" w:type="dxa"/>
            <w:gridSpan w:val="7"/>
          </w:tcPr>
          <w:p w:rsidR="00412818" w:rsidRDefault="00412818" w:rsidP="00761B63">
            <w:pPr>
              <w:spacing w:after="120" w:line="240" w:lineRule="auto"/>
              <w:ind w:right="74"/>
            </w:pPr>
            <w:r>
              <w:t>The Second Coming of Christ</w:t>
            </w:r>
          </w:p>
        </w:tc>
        <w:tc>
          <w:tcPr>
            <w:tcW w:w="797" w:type="dxa"/>
          </w:tcPr>
          <w:p w:rsidR="00412818" w:rsidRPr="00E743FC" w:rsidRDefault="003073D9" w:rsidP="003C66B0">
            <w:pPr>
              <w:spacing w:after="120" w:line="240" w:lineRule="auto"/>
              <w:ind w:right="74"/>
              <w:jc w:val="right"/>
            </w:pPr>
            <w:r>
              <w:t>285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721" w:type="dxa"/>
          </w:tcPr>
          <w:p w:rsidR="00412818" w:rsidRDefault="00412818" w:rsidP="00761B63">
            <w:pPr>
              <w:spacing w:after="120" w:line="240" w:lineRule="auto"/>
              <w:ind w:right="74"/>
            </w:pPr>
            <w:r>
              <w:t>7.1.4</w:t>
            </w:r>
          </w:p>
        </w:tc>
        <w:tc>
          <w:tcPr>
            <w:tcW w:w="6545" w:type="dxa"/>
            <w:gridSpan w:val="7"/>
          </w:tcPr>
          <w:p w:rsidR="00412818" w:rsidRDefault="00412818" w:rsidP="00761B63">
            <w:pPr>
              <w:spacing w:after="120" w:line="240" w:lineRule="auto"/>
              <w:ind w:right="74"/>
            </w:pPr>
            <w:r>
              <w:t>Armageddon</w:t>
            </w:r>
          </w:p>
        </w:tc>
        <w:tc>
          <w:tcPr>
            <w:tcW w:w="797" w:type="dxa"/>
          </w:tcPr>
          <w:p w:rsidR="00412818" w:rsidRPr="00E743FC" w:rsidRDefault="003073D9" w:rsidP="003C66B0">
            <w:pPr>
              <w:spacing w:after="120" w:line="240" w:lineRule="auto"/>
              <w:ind w:right="74"/>
              <w:jc w:val="right"/>
            </w:pPr>
            <w:r>
              <w:t>289</w:t>
            </w:r>
          </w:p>
        </w:tc>
      </w:tr>
      <w:tr w:rsidR="00412818" w:rsidRPr="00B406EB" w:rsidTr="007710E7">
        <w:tc>
          <w:tcPr>
            <w:tcW w:w="657" w:type="dxa"/>
            <w:gridSpan w:val="2"/>
          </w:tcPr>
          <w:p w:rsidR="00412818" w:rsidRDefault="00412818" w:rsidP="00761B63">
            <w:pPr>
              <w:spacing w:after="0" w:line="240" w:lineRule="auto"/>
              <w:ind w:right="74"/>
            </w:pPr>
            <w:r>
              <w:t>7.2</w:t>
            </w:r>
          </w:p>
        </w:tc>
        <w:tc>
          <w:tcPr>
            <w:tcW w:w="7266" w:type="dxa"/>
            <w:gridSpan w:val="8"/>
          </w:tcPr>
          <w:p w:rsidR="00412818" w:rsidRPr="00B406EB" w:rsidRDefault="00412818" w:rsidP="00761B63">
            <w:pPr>
              <w:spacing w:after="120" w:line="240" w:lineRule="auto"/>
              <w:ind w:right="74"/>
            </w:pPr>
            <w:r>
              <w:t>Millennial Expectations</w:t>
            </w:r>
          </w:p>
        </w:tc>
        <w:tc>
          <w:tcPr>
            <w:tcW w:w="797" w:type="dxa"/>
          </w:tcPr>
          <w:p w:rsidR="00412818" w:rsidRPr="00B406EB" w:rsidRDefault="003073D9" w:rsidP="003C66B0">
            <w:pPr>
              <w:spacing w:after="0" w:line="240" w:lineRule="auto"/>
              <w:ind w:right="74"/>
              <w:jc w:val="right"/>
            </w:pPr>
            <w:r>
              <w:t>290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7.2.1</w:t>
            </w:r>
          </w:p>
        </w:tc>
        <w:tc>
          <w:tcPr>
            <w:tcW w:w="6456" w:type="dxa"/>
            <w:gridSpan w:val="6"/>
          </w:tcPr>
          <w:p w:rsidR="00412818" w:rsidRDefault="00412818" w:rsidP="00761B63">
            <w:pPr>
              <w:spacing w:after="120" w:line="240" w:lineRule="auto"/>
              <w:ind w:right="74"/>
            </w:pPr>
            <w:r w:rsidRPr="00A11EE6">
              <w:t>Scofield’s Old and New Testament Kingdom Summaries</w:t>
            </w:r>
          </w:p>
        </w:tc>
        <w:tc>
          <w:tcPr>
            <w:tcW w:w="797" w:type="dxa"/>
          </w:tcPr>
          <w:p w:rsidR="00412818" w:rsidRPr="00E743FC" w:rsidRDefault="003073D9" w:rsidP="003C66B0">
            <w:pPr>
              <w:spacing w:after="120" w:line="240" w:lineRule="auto"/>
              <w:ind w:right="74"/>
              <w:jc w:val="right"/>
            </w:pPr>
            <w:r>
              <w:t>292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7.2.2</w:t>
            </w:r>
          </w:p>
        </w:tc>
        <w:tc>
          <w:tcPr>
            <w:tcW w:w="6456" w:type="dxa"/>
            <w:gridSpan w:val="6"/>
          </w:tcPr>
          <w:p w:rsidR="00412818" w:rsidRDefault="00412818" w:rsidP="00761B63">
            <w:pPr>
              <w:spacing w:after="120" w:line="240" w:lineRule="auto"/>
              <w:ind w:right="74"/>
            </w:pPr>
            <w:r w:rsidRPr="00A11EE6">
              <w:t>The Davidic Nature of the Kingdom</w:t>
            </w:r>
          </w:p>
        </w:tc>
        <w:tc>
          <w:tcPr>
            <w:tcW w:w="797" w:type="dxa"/>
          </w:tcPr>
          <w:p w:rsidR="00412818" w:rsidRPr="00E743FC" w:rsidRDefault="003073D9" w:rsidP="003C66B0">
            <w:pPr>
              <w:spacing w:after="120" w:line="240" w:lineRule="auto"/>
              <w:ind w:right="74"/>
              <w:jc w:val="right"/>
            </w:pPr>
            <w:r>
              <w:t>293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7.2.3</w:t>
            </w:r>
          </w:p>
        </w:tc>
        <w:tc>
          <w:tcPr>
            <w:tcW w:w="6456" w:type="dxa"/>
            <w:gridSpan w:val="6"/>
          </w:tcPr>
          <w:p w:rsidR="00412818" w:rsidRDefault="00412818" w:rsidP="00761B63">
            <w:pPr>
              <w:spacing w:after="120" w:line="240" w:lineRule="auto"/>
              <w:ind w:right="74"/>
            </w:pPr>
            <w:r w:rsidRPr="00A11EE6">
              <w:t>The Messianic Nature of the Kingdom</w:t>
            </w:r>
          </w:p>
        </w:tc>
        <w:tc>
          <w:tcPr>
            <w:tcW w:w="797" w:type="dxa"/>
          </w:tcPr>
          <w:p w:rsidR="00412818" w:rsidRPr="00E743FC" w:rsidRDefault="003073D9" w:rsidP="003C66B0">
            <w:pPr>
              <w:spacing w:after="120" w:line="240" w:lineRule="auto"/>
              <w:ind w:right="74"/>
              <w:jc w:val="right"/>
            </w:pPr>
            <w:r>
              <w:t>298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7.2.4</w:t>
            </w:r>
          </w:p>
        </w:tc>
        <w:tc>
          <w:tcPr>
            <w:tcW w:w="6456" w:type="dxa"/>
            <w:gridSpan w:val="6"/>
          </w:tcPr>
          <w:p w:rsidR="00412818" w:rsidRDefault="00412818" w:rsidP="00761B63">
            <w:pPr>
              <w:spacing w:after="120" w:line="240" w:lineRule="auto"/>
              <w:ind w:right="74"/>
            </w:pPr>
            <w:r w:rsidRPr="00A11EE6">
              <w:t>The Kingdom of Heaven and the Kingdom of God</w:t>
            </w:r>
          </w:p>
        </w:tc>
        <w:tc>
          <w:tcPr>
            <w:tcW w:w="797" w:type="dxa"/>
          </w:tcPr>
          <w:p w:rsidR="00412818" w:rsidRPr="00E743FC" w:rsidRDefault="003073D9" w:rsidP="003C66B0">
            <w:pPr>
              <w:spacing w:after="120" w:line="240" w:lineRule="auto"/>
              <w:ind w:right="74"/>
              <w:jc w:val="right"/>
            </w:pPr>
            <w:r>
              <w:t>300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6003" w:type="dxa"/>
            <w:gridSpan w:val="5"/>
          </w:tcPr>
          <w:p w:rsidR="00412818" w:rsidRPr="00E743FC" w:rsidRDefault="00412818" w:rsidP="00761B63">
            <w:pPr>
              <w:spacing w:after="120" w:line="240" w:lineRule="auto"/>
              <w:ind w:right="74"/>
            </w:pPr>
            <w:r w:rsidRPr="00A11EE6">
              <w:rPr>
                <w:i/>
              </w:rPr>
              <w:t>The Mystery Form of the Kingdom of Heaven in This Age</w:t>
            </w:r>
          </w:p>
        </w:tc>
        <w:tc>
          <w:tcPr>
            <w:tcW w:w="797" w:type="dxa"/>
          </w:tcPr>
          <w:p w:rsidR="00412818" w:rsidRPr="00E743FC" w:rsidRDefault="003073D9" w:rsidP="003C66B0">
            <w:pPr>
              <w:spacing w:after="120" w:line="240" w:lineRule="auto"/>
              <w:ind w:right="74"/>
              <w:jc w:val="right"/>
            </w:pPr>
            <w:r>
              <w:t>303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6003" w:type="dxa"/>
            <w:gridSpan w:val="5"/>
          </w:tcPr>
          <w:p w:rsidR="00412818" w:rsidRPr="00A11EE6" w:rsidRDefault="00412818" w:rsidP="00761B63">
            <w:pPr>
              <w:spacing w:after="120" w:line="240" w:lineRule="auto"/>
              <w:ind w:right="74"/>
              <w:rPr>
                <w:i/>
              </w:rPr>
            </w:pPr>
            <w:r w:rsidRPr="00A11EE6">
              <w:rPr>
                <w:i/>
              </w:rPr>
              <w:t>The Kingdom in Some Revised and Progressive Dispensationalist Writing</w:t>
            </w:r>
            <w:r w:rsidR="003073D9">
              <w:rPr>
                <w:i/>
              </w:rPr>
              <w:t>s</w:t>
            </w:r>
          </w:p>
        </w:tc>
        <w:tc>
          <w:tcPr>
            <w:tcW w:w="797" w:type="dxa"/>
          </w:tcPr>
          <w:p w:rsidR="00412818" w:rsidRPr="00E743FC" w:rsidRDefault="003073D9" w:rsidP="003C66B0">
            <w:pPr>
              <w:spacing w:after="120" w:line="240" w:lineRule="auto"/>
              <w:ind w:right="74"/>
              <w:jc w:val="right"/>
            </w:pPr>
            <w:r>
              <w:t>305</w:t>
            </w:r>
          </w:p>
        </w:tc>
      </w:tr>
      <w:tr w:rsidR="00412818" w:rsidRPr="00B406EB" w:rsidTr="007710E7">
        <w:tc>
          <w:tcPr>
            <w:tcW w:w="657" w:type="dxa"/>
            <w:gridSpan w:val="2"/>
          </w:tcPr>
          <w:p w:rsidR="00412818" w:rsidRDefault="00412818" w:rsidP="00761B63">
            <w:pPr>
              <w:spacing w:after="0" w:line="240" w:lineRule="auto"/>
              <w:ind w:right="74"/>
            </w:pPr>
            <w:r>
              <w:t>7.3</w:t>
            </w:r>
          </w:p>
        </w:tc>
        <w:tc>
          <w:tcPr>
            <w:tcW w:w="7266" w:type="dxa"/>
            <w:gridSpan w:val="8"/>
          </w:tcPr>
          <w:p w:rsidR="00412818" w:rsidRPr="00B406EB" w:rsidRDefault="00412818" w:rsidP="00761B63">
            <w:pPr>
              <w:spacing w:after="120" w:line="240" w:lineRule="auto"/>
              <w:ind w:right="74"/>
            </w:pPr>
            <w:r>
              <w:t>Conclusion</w:t>
            </w:r>
          </w:p>
        </w:tc>
        <w:tc>
          <w:tcPr>
            <w:tcW w:w="797" w:type="dxa"/>
          </w:tcPr>
          <w:p w:rsidR="00412818" w:rsidRPr="00B406EB" w:rsidRDefault="003073D9" w:rsidP="003C66B0">
            <w:pPr>
              <w:spacing w:after="0" w:line="240" w:lineRule="auto"/>
              <w:ind w:right="74"/>
              <w:jc w:val="right"/>
            </w:pPr>
            <w:r>
              <w:t>307</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8"/>
          </w:tcPr>
          <w:p w:rsidR="00412818" w:rsidRPr="005D5DDE" w:rsidRDefault="00412818" w:rsidP="00761B63">
            <w:pPr>
              <w:spacing w:after="120" w:line="240" w:lineRule="auto"/>
              <w:ind w:right="74"/>
              <w:rPr>
                <w:i/>
              </w:rPr>
            </w:pPr>
            <w:r w:rsidRPr="005D5DDE">
              <w:rPr>
                <w:i/>
              </w:rPr>
              <w:t xml:space="preserve">Endnotes, Chapter </w:t>
            </w:r>
            <w:r>
              <w:rPr>
                <w:i/>
              </w:rPr>
              <w:t>7</w:t>
            </w:r>
          </w:p>
        </w:tc>
        <w:tc>
          <w:tcPr>
            <w:tcW w:w="797" w:type="dxa"/>
          </w:tcPr>
          <w:p w:rsidR="00412818" w:rsidRPr="00E743FC" w:rsidRDefault="003073D9" w:rsidP="003C66B0">
            <w:pPr>
              <w:spacing w:after="120" w:line="240" w:lineRule="auto"/>
              <w:ind w:right="74"/>
              <w:jc w:val="right"/>
            </w:pPr>
            <w:r>
              <w:t>309</w:t>
            </w:r>
          </w:p>
        </w:tc>
      </w:tr>
      <w:tr w:rsidR="00412818" w:rsidRPr="00B406EB" w:rsidTr="007710E7">
        <w:tc>
          <w:tcPr>
            <w:tcW w:w="657" w:type="dxa"/>
            <w:gridSpan w:val="2"/>
          </w:tcPr>
          <w:p w:rsidR="00412818" w:rsidRDefault="00412818" w:rsidP="00761B63">
            <w:pPr>
              <w:spacing w:after="0" w:line="240" w:lineRule="auto"/>
              <w:ind w:right="74"/>
            </w:pPr>
          </w:p>
        </w:tc>
        <w:tc>
          <w:tcPr>
            <w:tcW w:w="7266" w:type="dxa"/>
            <w:gridSpan w:val="8"/>
          </w:tcPr>
          <w:p w:rsidR="00412818" w:rsidRDefault="00412818" w:rsidP="00761B63">
            <w:pPr>
              <w:spacing w:after="120" w:line="240" w:lineRule="auto"/>
              <w:ind w:right="74"/>
            </w:pPr>
          </w:p>
        </w:tc>
        <w:tc>
          <w:tcPr>
            <w:tcW w:w="797" w:type="dxa"/>
          </w:tcPr>
          <w:p w:rsidR="00412818" w:rsidRPr="00B406EB" w:rsidRDefault="00412818" w:rsidP="003C66B0">
            <w:pPr>
              <w:spacing w:after="0" w:line="240" w:lineRule="auto"/>
              <w:ind w:right="74"/>
              <w:jc w:val="right"/>
            </w:pPr>
          </w:p>
        </w:tc>
      </w:tr>
      <w:tr w:rsidR="00412818" w:rsidRPr="00E743FC" w:rsidTr="007710E7">
        <w:tc>
          <w:tcPr>
            <w:tcW w:w="7923" w:type="dxa"/>
            <w:gridSpan w:val="10"/>
          </w:tcPr>
          <w:p w:rsidR="00412818" w:rsidRDefault="00412818" w:rsidP="00761B63">
            <w:pPr>
              <w:spacing w:after="0" w:line="240" w:lineRule="auto"/>
              <w:ind w:right="74"/>
              <w:rPr>
                <w:b/>
                <w:sz w:val="24"/>
              </w:rPr>
            </w:pPr>
            <w:r w:rsidRPr="00AF177B">
              <w:rPr>
                <w:b/>
                <w:sz w:val="24"/>
              </w:rPr>
              <w:t xml:space="preserve">CHAPTER </w:t>
            </w:r>
            <w:r>
              <w:rPr>
                <w:b/>
                <w:sz w:val="24"/>
              </w:rPr>
              <w:t>8</w:t>
            </w:r>
            <w:r w:rsidRPr="00AF177B">
              <w:rPr>
                <w:b/>
                <w:sz w:val="24"/>
              </w:rPr>
              <w:t xml:space="preserve">  </w:t>
            </w:r>
          </w:p>
          <w:p w:rsidR="00412818" w:rsidRPr="00A661BF" w:rsidRDefault="00412818" w:rsidP="00761B63">
            <w:pPr>
              <w:spacing w:after="0" w:line="240" w:lineRule="auto"/>
              <w:rPr>
                <w:b/>
              </w:rPr>
            </w:pPr>
            <w:r w:rsidRPr="00A661BF">
              <w:rPr>
                <w:b/>
              </w:rPr>
              <w:t xml:space="preserve">Analysis of the Content of </w:t>
            </w:r>
            <w:r w:rsidRPr="000525C4">
              <w:rPr>
                <w:b/>
                <w:i/>
              </w:rPr>
              <w:t>SRB</w:t>
            </w:r>
            <w:r w:rsidRPr="00A661BF">
              <w:rPr>
                <w:b/>
              </w:rPr>
              <w:t xml:space="preserve"> Commentary: Scofield’s Use of the Text</w:t>
            </w:r>
          </w:p>
          <w:p w:rsidR="00412818" w:rsidRPr="00A31134" w:rsidRDefault="00412818" w:rsidP="00761B63">
            <w:pPr>
              <w:rPr>
                <w:b/>
                <w:sz w:val="24"/>
                <w:szCs w:val="24"/>
              </w:rPr>
            </w:pPr>
            <w:r w:rsidRPr="00A661BF">
              <w:rPr>
                <w:b/>
              </w:rPr>
              <w:t>Part 1: The Old Testament</w:t>
            </w:r>
          </w:p>
        </w:tc>
        <w:tc>
          <w:tcPr>
            <w:tcW w:w="797" w:type="dxa"/>
            <w:vAlign w:val="center"/>
          </w:tcPr>
          <w:p w:rsidR="00412818" w:rsidRPr="00E743FC" w:rsidRDefault="000525C4" w:rsidP="00E576C8">
            <w:pPr>
              <w:ind w:right="74"/>
              <w:jc w:val="right"/>
            </w:pPr>
            <w:r>
              <w:t>327</w:t>
            </w:r>
          </w:p>
        </w:tc>
      </w:tr>
      <w:tr w:rsidR="00412818" w:rsidRPr="00B406EB" w:rsidTr="007710E7">
        <w:tc>
          <w:tcPr>
            <w:tcW w:w="657" w:type="dxa"/>
            <w:gridSpan w:val="2"/>
          </w:tcPr>
          <w:p w:rsidR="00412818" w:rsidRDefault="00412818" w:rsidP="00761B63">
            <w:pPr>
              <w:spacing w:after="0" w:line="240" w:lineRule="auto"/>
              <w:ind w:right="74"/>
            </w:pPr>
            <w:r>
              <w:t>8.1</w:t>
            </w:r>
          </w:p>
        </w:tc>
        <w:tc>
          <w:tcPr>
            <w:tcW w:w="7266" w:type="dxa"/>
            <w:gridSpan w:val="8"/>
          </w:tcPr>
          <w:p w:rsidR="00412818" w:rsidRPr="00B406EB" w:rsidRDefault="00412818" w:rsidP="00761B63">
            <w:pPr>
              <w:spacing w:after="120" w:line="240" w:lineRule="auto"/>
              <w:ind w:right="74"/>
            </w:pPr>
            <w:r>
              <w:t>The Pentateuch</w:t>
            </w:r>
          </w:p>
        </w:tc>
        <w:tc>
          <w:tcPr>
            <w:tcW w:w="797" w:type="dxa"/>
          </w:tcPr>
          <w:p w:rsidR="00412818" w:rsidRPr="00B406EB" w:rsidRDefault="000525C4" w:rsidP="003C66B0">
            <w:pPr>
              <w:spacing w:after="0" w:line="240" w:lineRule="auto"/>
              <w:ind w:right="74"/>
              <w:jc w:val="right"/>
            </w:pPr>
            <w:r>
              <w:t>328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8.1.1</w:t>
            </w:r>
          </w:p>
        </w:tc>
        <w:tc>
          <w:tcPr>
            <w:tcW w:w="6456" w:type="dxa"/>
            <w:gridSpan w:val="6"/>
          </w:tcPr>
          <w:p w:rsidR="00412818" w:rsidRDefault="00412818" w:rsidP="00761B63">
            <w:pPr>
              <w:spacing w:after="120" w:line="240" w:lineRule="auto"/>
              <w:ind w:right="74"/>
            </w:pPr>
            <w:r>
              <w:t>Genesis</w:t>
            </w:r>
          </w:p>
        </w:tc>
        <w:tc>
          <w:tcPr>
            <w:tcW w:w="797" w:type="dxa"/>
          </w:tcPr>
          <w:p w:rsidR="00412818" w:rsidRPr="00E743FC" w:rsidRDefault="000525C4" w:rsidP="003C66B0">
            <w:pPr>
              <w:spacing w:after="120" w:line="240" w:lineRule="auto"/>
              <w:ind w:right="74"/>
              <w:jc w:val="right"/>
            </w:pPr>
            <w:r>
              <w:t>328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8.1.2</w:t>
            </w:r>
          </w:p>
        </w:tc>
        <w:tc>
          <w:tcPr>
            <w:tcW w:w="6456" w:type="dxa"/>
            <w:gridSpan w:val="6"/>
          </w:tcPr>
          <w:p w:rsidR="00412818" w:rsidRDefault="00412818" w:rsidP="00761B63">
            <w:pPr>
              <w:spacing w:after="120" w:line="240" w:lineRule="auto"/>
              <w:ind w:right="74"/>
            </w:pPr>
            <w:r>
              <w:t>Exodus</w:t>
            </w:r>
          </w:p>
        </w:tc>
        <w:tc>
          <w:tcPr>
            <w:tcW w:w="797" w:type="dxa"/>
          </w:tcPr>
          <w:p w:rsidR="00412818" w:rsidRPr="00E743FC" w:rsidRDefault="000525C4" w:rsidP="003C66B0">
            <w:pPr>
              <w:spacing w:after="120" w:line="240" w:lineRule="auto"/>
              <w:ind w:right="74"/>
              <w:jc w:val="right"/>
            </w:pPr>
            <w:r>
              <w:t>330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8.1.3</w:t>
            </w:r>
          </w:p>
        </w:tc>
        <w:tc>
          <w:tcPr>
            <w:tcW w:w="6456" w:type="dxa"/>
            <w:gridSpan w:val="6"/>
          </w:tcPr>
          <w:p w:rsidR="00412818" w:rsidRDefault="00412818" w:rsidP="00761B63">
            <w:pPr>
              <w:spacing w:after="120" w:line="240" w:lineRule="auto"/>
              <w:ind w:right="74"/>
            </w:pPr>
            <w:r>
              <w:t>Leviticus</w:t>
            </w:r>
          </w:p>
        </w:tc>
        <w:tc>
          <w:tcPr>
            <w:tcW w:w="797" w:type="dxa"/>
          </w:tcPr>
          <w:p w:rsidR="00412818" w:rsidRPr="00E743FC" w:rsidRDefault="000525C4" w:rsidP="003C66B0">
            <w:pPr>
              <w:spacing w:after="120" w:line="240" w:lineRule="auto"/>
              <w:ind w:right="74"/>
              <w:jc w:val="right"/>
            </w:pPr>
            <w:r>
              <w:t>332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8.1.4</w:t>
            </w:r>
          </w:p>
        </w:tc>
        <w:tc>
          <w:tcPr>
            <w:tcW w:w="6456" w:type="dxa"/>
            <w:gridSpan w:val="6"/>
          </w:tcPr>
          <w:p w:rsidR="00412818" w:rsidRDefault="00412818" w:rsidP="00761B63">
            <w:pPr>
              <w:spacing w:after="120" w:line="240" w:lineRule="auto"/>
              <w:ind w:right="74"/>
            </w:pPr>
            <w:r>
              <w:t>Numbers</w:t>
            </w:r>
          </w:p>
        </w:tc>
        <w:tc>
          <w:tcPr>
            <w:tcW w:w="797" w:type="dxa"/>
          </w:tcPr>
          <w:p w:rsidR="00412818" w:rsidRPr="00E743FC" w:rsidRDefault="000525C4" w:rsidP="00C21115">
            <w:pPr>
              <w:spacing w:after="120" w:line="240" w:lineRule="auto"/>
              <w:ind w:right="74"/>
              <w:jc w:val="right"/>
            </w:pPr>
            <w:r>
              <w:t>33</w:t>
            </w:r>
            <w:r w:rsidR="00C21115">
              <w:t>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8.1.5</w:t>
            </w:r>
          </w:p>
        </w:tc>
        <w:tc>
          <w:tcPr>
            <w:tcW w:w="6456" w:type="dxa"/>
            <w:gridSpan w:val="6"/>
          </w:tcPr>
          <w:p w:rsidR="00412818" w:rsidRDefault="00412818" w:rsidP="00761B63">
            <w:pPr>
              <w:spacing w:after="120" w:line="240" w:lineRule="auto"/>
              <w:ind w:right="74"/>
            </w:pPr>
            <w:r>
              <w:t>Deuteronomy</w:t>
            </w:r>
          </w:p>
        </w:tc>
        <w:tc>
          <w:tcPr>
            <w:tcW w:w="797" w:type="dxa"/>
          </w:tcPr>
          <w:p w:rsidR="00412818" w:rsidRPr="00E743FC" w:rsidRDefault="00C21115" w:rsidP="003C66B0">
            <w:pPr>
              <w:spacing w:after="120" w:line="240" w:lineRule="auto"/>
              <w:ind w:right="74"/>
              <w:jc w:val="right"/>
            </w:pPr>
            <w:r>
              <w:t>335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8.1.6</w:t>
            </w:r>
          </w:p>
        </w:tc>
        <w:tc>
          <w:tcPr>
            <w:tcW w:w="6456" w:type="dxa"/>
            <w:gridSpan w:val="6"/>
          </w:tcPr>
          <w:p w:rsidR="00412818" w:rsidRDefault="00412818" w:rsidP="00761B63">
            <w:pPr>
              <w:spacing w:after="120" w:line="240" w:lineRule="auto"/>
              <w:ind w:right="74"/>
            </w:pPr>
            <w:r>
              <w:t>Conclusion: Notes on the Pentateuch</w:t>
            </w:r>
          </w:p>
        </w:tc>
        <w:tc>
          <w:tcPr>
            <w:tcW w:w="797" w:type="dxa"/>
          </w:tcPr>
          <w:p w:rsidR="00412818" w:rsidRPr="00E743FC" w:rsidRDefault="00C14141" w:rsidP="003C66B0">
            <w:pPr>
              <w:spacing w:after="120" w:line="240" w:lineRule="auto"/>
              <w:ind w:right="74"/>
              <w:jc w:val="right"/>
            </w:pPr>
            <w:r>
              <w:t>336</w:t>
            </w:r>
          </w:p>
        </w:tc>
      </w:tr>
      <w:tr w:rsidR="00412818" w:rsidRPr="00B406EB" w:rsidTr="007710E7">
        <w:tc>
          <w:tcPr>
            <w:tcW w:w="657" w:type="dxa"/>
            <w:gridSpan w:val="2"/>
          </w:tcPr>
          <w:p w:rsidR="00412818" w:rsidRDefault="00412818" w:rsidP="00761B63">
            <w:pPr>
              <w:spacing w:after="0" w:line="240" w:lineRule="auto"/>
              <w:ind w:right="74"/>
            </w:pPr>
            <w:r>
              <w:t>8.2</w:t>
            </w:r>
          </w:p>
        </w:tc>
        <w:tc>
          <w:tcPr>
            <w:tcW w:w="7266" w:type="dxa"/>
            <w:gridSpan w:val="8"/>
          </w:tcPr>
          <w:p w:rsidR="00412818" w:rsidRPr="00B406EB" w:rsidRDefault="00412818" w:rsidP="00761B63">
            <w:pPr>
              <w:spacing w:after="120" w:line="240" w:lineRule="auto"/>
              <w:ind w:right="74"/>
            </w:pPr>
            <w:r>
              <w:t>The ‘Historical Books’</w:t>
            </w:r>
          </w:p>
        </w:tc>
        <w:tc>
          <w:tcPr>
            <w:tcW w:w="797" w:type="dxa"/>
          </w:tcPr>
          <w:p w:rsidR="00412818" w:rsidRPr="00B406EB" w:rsidRDefault="00C14141" w:rsidP="003C66B0">
            <w:pPr>
              <w:spacing w:after="0" w:line="240" w:lineRule="auto"/>
              <w:ind w:right="74"/>
              <w:jc w:val="right"/>
            </w:pPr>
            <w:r>
              <w:t>336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8.2.1</w:t>
            </w:r>
          </w:p>
        </w:tc>
        <w:tc>
          <w:tcPr>
            <w:tcW w:w="6456" w:type="dxa"/>
            <w:gridSpan w:val="6"/>
          </w:tcPr>
          <w:p w:rsidR="00412818" w:rsidRDefault="00412818" w:rsidP="00761B63">
            <w:pPr>
              <w:spacing w:after="120" w:line="240" w:lineRule="auto"/>
              <w:ind w:right="74"/>
            </w:pPr>
            <w:r>
              <w:t>Conclusion: Notes on the ‘Historical Books’</w:t>
            </w:r>
          </w:p>
        </w:tc>
        <w:tc>
          <w:tcPr>
            <w:tcW w:w="797" w:type="dxa"/>
          </w:tcPr>
          <w:p w:rsidR="00412818" w:rsidRPr="00E743FC" w:rsidRDefault="00C14141" w:rsidP="003C66B0">
            <w:pPr>
              <w:spacing w:after="120" w:line="240" w:lineRule="auto"/>
              <w:ind w:right="74"/>
              <w:jc w:val="right"/>
            </w:pPr>
            <w:r>
              <w:t>341</w:t>
            </w:r>
          </w:p>
        </w:tc>
      </w:tr>
      <w:tr w:rsidR="00412818" w:rsidRPr="00B406EB" w:rsidTr="007710E7">
        <w:tc>
          <w:tcPr>
            <w:tcW w:w="657" w:type="dxa"/>
            <w:gridSpan w:val="2"/>
          </w:tcPr>
          <w:p w:rsidR="00412818" w:rsidRDefault="00412818" w:rsidP="00761B63">
            <w:pPr>
              <w:spacing w:after="0" w:line="240" w:lineRule="auto"/>
              <w:ind w:right="74"/>
            </w:pPr>
            <w:r>
              <w:t>8.3</w:t>
            </w:r>
          </w:p>
        </w:tc>
        <w:tc>
          <w:tcPr>
            <w:tcW w:w="7266" w:type="dxa"/>
            <w:gridSpan w:val="8"/>
          </w:tcPr>
          <w:p w:rsidR="00412818" w:rsidRPr="00B406EB" w:rsidRDefault="00412818" w:rsidP="00761B63">
            <w:pPr>
              <w:spacing w:after="120" w:line="240" w:lineRule="auto"/>
              <w:ind w:right="74"/>
            </w:pPr>
            <w:r>
              <w:t>The ‘Poetical Books’</w:t>
            </w:r>
          </w:p>
        </w:tc>
        <w:tc>
          <w:tcPr>
            <w:tcW w:w="797" w:type="dxa"/>
          </w:tcPr>
          <w:p w:rsidR="00412818" w:rsidRPr="00B406EB" w:rsidRDefault="00C14141" w:rsidP="003C66B0">
            <w:pPr>
              <w:spacing w:after="0" w:line="240" w:lineRule="auto"/>
              <w:ind w:right="74"/>
              <w:jc w:val="right"/>
            </w:pPr>
            <w:r>
              <w:t>342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8.3.1</w:t>
            </w:r>
          </w:p>
        </w:tc>
        <w:tc>
          <w:tcPr>
            <w:tcW w:w="6456" w:type="dxa"/>
            <w:gridSpan w:val="6"/>
          </w:tcPr>
          <w:p w:rsidR="00412818" w:rsidRDefault="00412818" w:rsidP="00761B63">
            <w:pPr>
              <w:spacing w:after="120" w:line="240" w:lineRule="auto"/>
              <w:ind w:right="74"/>
            </w:pPr>
            <w:r>
              <w:t>Psalms</w:t>
            </w:r>
          </w:p>
        </w:tc>
        <w:tc>
          <w:tcPr>
            <w:tcW w:w="797" w:type="dxa"/>
          </w:tcPr>
          <w:p w:rsidR="00412818" w:rsidRPr="00E743FC" w:rsidRDefault="00C14141" w:rsidP="003C66B0">
            <w:pPr>
              <w:spacing w:after="120" w:line="240" w:lineRule="auto"/>
              <w:ind w:right="74"/>
              <w:jc w:val="right"/>
            </w:pPr>
            <w:r>
              <w:t>342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8.3.2</w:t>
            </w:r>
          </w:p>
        </w:tc>
        <w:tc>
          <w:tcPr>
            <w:tcW w:w="6456" w:type="dxa"/>
            <w:gridSpan w:val="6"/>
          </w:tcPr>
          <w:p w:rsidR="00412818" w:rsidRDefault="00412818" w:rsidP="00761B63">
            <w:pPr>
              <w:spacing w:after="120" w:line="240" w:lineRule="auto"/>
              <w:ind w:right="74"/>
            </w:pPr>
            <w:r>
              <w:t>Conclusion: Notes on the ‘Poetical Books’</w:t>
            </w:r>
          </w:p>
        </w:tc>
        <w:tc>
          <w:tcPr>
            <w:tcW w:w="797" w:type="dxa"/>
          </w:tcPr>
          <w:p w:rsidR="00412818" w:rsidRPr="00E743FC" w:rsidRDefault="00C14141" w:rsidP="003C66B0">
            <w:pPr>
              <w:spacing w:after="120" w:line="240" w:lineRule="auto"/>
              <w:ind w:right="74"/>
              <w:jc w:val="right"/>
            </w:pPr>
            <w:r>
              <w:t>345</w:t>
            </w:r>
          </w:p>
        </w:tc>
      </w:tr>
      <w:tr w:rsidR="00412818" w:rsidRPr="00B406EB" w:rsidTr="007710E7">
        <w:tc>
          <w:tcPr>
            <w:tcW w:w="657" w:type="dxa"/>
            <w:gridSpan w:val="2"/>
          </w:tcPr>
          <w:p w:rsidR="00412818" w:rsidRDefault="00412818" w:rsidP="00761B63">
            <w:pPr>
              <w:spacing w:after="0" w:line="240" w:lineRule="auto"/>
              <w:ind w:right="74"/>
            </w:pPr>
            <w:r>
              <w:t>8.4</w:t>
            </w:r>
          </w:p>
        </w:tc>
        <w:tc>
          <w:tcPr>
            <w:tcW w:w="7266" w:type="dxa"/>
            <w:gridSpan w:val="8"/>
          </w:tcPr>
          <w:p w:rsidR="00412818" w:rsidRPr="00B406EB" w:rsidRDefault="00412818" w:rsidP="00761B63">
            <w:pPr>
              <w:spacing w:after="120" w:line="240" w:lineRule="auto"/>
              <w:ind w:right="74"/>
            </w:pPr>
            <w:r>
              <w:t>The ‘Prophetical Books’</w:t>
            </w:r>
          </w:p>
        </w:tc>
        <w:tc>
          <w:tcPr>
            <w:tcW w:w="797" w:type="dxa"/>
          </w:tcPr>
          <w:p w:rsidR="00412818" w:rsidRPr="00B406EB" w:rsidRDefault="00C14141" w:rsidP="003C66B0">
            <w:pPr>
              <w:spacing w:after="0" w:line="240" w:lineRule="auto"/>
              <w:ind w:right="74"/>
              <w:jc w:val="right"/>
            </w:pPr>
            <w:r>
              <w:t>345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8.4.1</w:t>
            </w:r>
          </w:p>
        </w:tc>
        <w:tc>
          <w:tcPr>
            <w:tcW w:w="6456" w:type="dxa"/>
            <w:gridSpan w:val="6"/>
          </w:tcPr>
          <w:p w:rsidR="00412818" w:rsidRPr="00A11EE6" w:rsidRDefault="00412818" w:rsidP="00761B63">
            <w:pPr>
              <w:spacing w:after="120" w:line="240" w:lineRule="auto"/>
              <w:ind w:right="74"/>
            </w:pPr>
            <w:r>
              <w:t>Isaiah</w:t>
            </w:r>
          </w:p>
        </w:tc>
        <w:tc>
          <w:tcPr>
            <w:tcW w:w="797" w:type="dxa"/>
          </w:tcPr>
          <w:p w:rsidR="00412818" w:rsidRPr="00E743FC" w:rsidRDefault="00751AD4" w:rsidP="003C66B0">
            <w:pPr>
              <w:spacing w:after="120" w:line="240" w:lineRule="auto"/>
              <w:ind w:right="74"/>
              <w:jc w:val="right"/>
            </w:pPr>
            <w:r>
              <w:t>347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8.4.2</w:t>
            </w:r>
          </w:p>
        </w:tc>
        <w:tc>
          <w:tcPr>
            <w:tcW w:w="6456" w:type="dxa"/>
            <w:gridSpan w:val="6"/>
          </w:tcPr>
          <w:p w:rsidR="00412818" w:rsidRPr="00A11EE6" w:rsidRDefault="00412818" w:rsidP="00761B63">
            <w:pPr>
              <w:spacing w:after="120" w:line="240" w:lineRule="auto"/>
              <w:ind w:right="74"/>
            </w:pPr>
            <w:r>
              <w:t>Jeremiah</w:t>
            </w:r>
          </w:p>
        </w:tc>
        <w:tc>
          <w:tcPr>
            <w:tcW w:w="797" w:type="dxa"/>
          </w:tcPr>
          <w:p w:rsidR="00412818" w:rsidRPr="00E743FC" w:rsidRDefault="0064743A" w:rsidP="003C66B0">
            <w:pPr>
              <w:spacing w:after="120" w:line="240" w:lineRule="auto"/>
              <w:ind w:right="74"/>
              <w:jc w:val="right"/>
            </w:pPr>
            <w:r>
              <w:t>351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1263" w:type="dxa"/>
            <w:gridSpan w:val="3"/>
          </w:tcPr>
          <w:p w:rsidR="00412818" w:rsidRPr="00E743FC" w:rsidRDefault="00412818" w:rsidP="00761B63">
            <w:pPr>
              <w:spacing w:after="120" w:line="240" w:lineRule="auto"/>
              <w:ind w:right="74"/>
            </w:pPr>
          </w:p>
        </w:tc>
        <w:tc>
          <w:tcPr>
            <w:tcW w:w="3589" w:type="dxa"/>
            <w:gridSpan w:val="4"/>
          </w:tcPr>
          <w:p w:rsidR="00412818" w:rsidRPr="005A2D1D" w:rsidRDefault="00412818" w:rsidP="00761B63">
            <w:pPr>
              <w:spacing w:after="120" w:line="240" w:lineRule="auto"/>
              <w:ind w:right="74"/>
              <w:rPr>
                <w:i/>
              </w:rPr>
            </w:pPr>
            <w:r>
              <w:rPr>
                <w:i/>
              </w:rPr>
              <w:t>Lamentations</w:t>
            </w:r>
          </w:p>
        </w:tc>
        <w:tc>
          <w:tcPr>
            <w:tcW w:w="2414" w:type="dxa"/>
          </w:tcPr>
          <w:p w:rsidR="00412818" w:rsidRPr="00E743FC" w:rsidRDefault="00412818" w:rsidP="00761B63">
            <w:pPr>
              <w:spacing w:after="120" w:line="240" w:lineRule="auto"/>
              <w:ind w:right="74"/>
            </w:pPr>
          </w:p>
        </w:tc>
        <w:tc>
          <w:tcPr>
            <w:tcW w:w="797" w:type="dxa"/>
          </w:tcPr>
          <w:p w:rsidR="00412818" w:rsidRPr="00E743FC" w:rsidRDefault="0064743A" w:rsidP="003C66B0">
            <w:pPr>
              <w:spacing w:after="120" w:line="240" w:lineRule="auto"/>
              <w:ind w:right="74"/>
              <w:jc w:val="right"/>
            </w:pPr>
            <w:r>
              <w:t>355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8.4.3</w:t>
            </w:r>
          </w:p>
        </w:tc>
        <w:tc>
          <w:tcPr>
            <w:tcW w:w="6456" w:type="dxa"/>
            <w:gridSpan w:val="6"/>
          </w:tcPr>
          <w:p w:rsidR="00412818" w:rsidRPr="00A11EE6" w:rsidRDefault="00412818" w:rsidP="00761B63">
            <w:pPr>
              <w:spacing w:after="120" w:line="240" w:lineRule="auto"/>
              <w:ind w:right="74"/>
            </w:pPr>
            <w:r>
              <w:t>Ezekiel</w:t>
            </w:r>
          </w:p>
        </w:tc>
        <w:tc>
          <w:tcPr>
            <w:tcW w:w="797" w:type="dxa"/>
          </w:tcPr>
          <w:p w:rsidR="00412818" w:rsidRPr="00E743FC" w:rsidRDefault="0064743A" w:rsidP="003C66B0">
            <w:pPr>
              <w:spacing w:after="120" w:line="240" w:lineRule="auto"/>
              <w:ind w:right="74"/>
              <w:jc w:val="right"/>
            </w:pPr>
            <w:r>
              <w:t>355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8.4.4</w:t>
            </w:r>
          </w:p>
        </w:tc>
        <w:tc>
          <w:tcPr>
            <w:tcW w:w="6456" w:type="dxa"/>
            <w:gridSpan w:val="6"/>
          </w:tcPr>
          <w:p w:rsidR="00412818" w:rsidRPr="00A11EE6" w:rsidRDefault="00412818" w:rsidP="00761B63">
            <w:pPr>
              <w:spacing w:after="120" w:line="240" w:lineRule="auto"/>
              <w:ind w:right="74"/>
            </w:pPr>
            <w:r>
              <w:t>Daniel</w:t>
            </w:r>
          </w:p>
        </w:tc>
        <w:tc>
          <w:tcPr>
            <w:tcW w:w="797" w:type="dxa"/>
          </w:tcPr>
          <w:p w:rsidR="00412818" w:rsidRPr="00E743FC" w:rsidRDefault="0064743A" w:rsidP="003C66B0">
            <w:pPr>
              <w:spacing w:after="120" w:line="240" w:lineRule="auto"/>
              <w:ind w:right="74"/>
              <w:jc w:val="right"/>
            </w:pPr>
            <w:r>
              <w:t>358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8.4.5</w:t>
            </w:r>
          </w:p>
        </w:tc>
        <w:tc>
          <w:tcPr>
            <w:tcW w:w="6456" w:type="dxa"/>
            <w:gridSpan w:val="6"/>
          </w:tcPr>
          <w:p w:rsidR="00412818" w:rsidRPr="00A11EE6" w:rsidRDefault="00412818" w:rsidP="00761B63">
            <w:pPr>
              <w:spacing w:after="120" w:line="240" w:lineRule="auto"/>
              <w:ind w:right="74"/>
            </w:pPr>
            <w:r>
              <w:t>Hosea</w:t>
            </w:r>
          </w:p>
        </w:tc>
        <w:tc>
          <w:tcPr>
            <w:tcW w:w="797" w:type="dxa"/>
          </w:tcPr>
          <w:p w:rsidR="00412818" w:rsidRPr="00E743FC" w:rsidRDefault="0064743A" w:rsidP="003C66B0">
            <w:pPr>
              <w:spacing w:after="120" w:line="240" w:lineRule="auto"/>
              <w:ind w:right="74"/>
              <w:jc w:val="right"/>
            </w:pPr>
            <w:r>
              <w:t>361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8.4.6</w:t>
            </w:r>
          </w:p>
        </w:tc>
        <w:tc>
          <w:tcPr>
            <w:tcW w:w="6456" w:type="dxa"/>
            <w:gridSpan w:val="6"/>
          </w:tcPr>
          <w:p w:rsidR="00412818" w:rsidRPr="00A11EE6" w:rsidRDefault="00412818" w:rsidP="00761B63">
            <w:pPr>
              <w:spacing w:after="120" w:line="240" w:lineRule="auto"/>
              <w:ind w:right="74"/>
            </w:pPr>
            <w:r>
              <w:t>Joel</w:t>
            </w:r>
          </w:p>
        </w:tc>
        <w:tc>
          <w:tcPr>
            <w:tcW w:w="797" w:type="dxa"/>
          </w:tcPr>
          <w:p w:rsidR="00412818" w:rsidRPr="00E743FC" w:rsidRDefault="0064743A" w:rsidP="003C66B0">
            <w:pPr>
              <w:spacing w:after="120" w:line="240" w:lineRule="auto"/>
              <w:ind w:right="74"/>
              <w:jc w:val="right"/>
            </w:pPr>
            <w:r>
              <w:t>361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8.4.7</w:t>
            </w:r>
          </w:p>
        </w:tc>
        <w:tc>
          <w:tcPr>
            <w:tcW w:w="6456" w:type="dxa"/>
            <w:gridSpan w:val="6"/>
          </w:tcPr>
          <w:p w:rsidR="00412818" w:rsidRPr="00A11EE6" w:rsidRDefault="00412818" w:rsidP="00761B63">
            <w:pPr>
              <w:spacing w:after="120" w:line="240" w:lineRule="auto"/>
              <w:ind w:right="74"/>
            </w:pPr>
            <w:r>
              <w:t>Amos</w:t>
            </w:r>
          </w:p>
        </w:tc>
        <w:tc>
          <w:tcPr>
            <w:tcW w:w="797" w:type="dxa"/>
          </w:tcPr>
          <w:p w:rsidR="00412818" w:rsidRPr="00E743FC" w:rsidRDefault="0064743A" w:rsidP="003C66B0">
            <w:pPr>
              <w:spacing w:after="120" w:line="240" w:lineRule="auto"/>
              <w:ind w:right="74"/>
              <w:jc w:val="right"/>
            </w:pPr>
            <w:r>
              <w:t>364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8.4.8</w:t>
            </w:r>
          </w:p>
        </w:tc>
        <w:tc>
          <w:tcPr>
            <w:tcW w:w="6456" w:type="dxa"/>
            <w:gridSpan w:val="6"/>
          </w:tcPr>
          <w:p w:rsidR="00412818" w:rsidRPr="00A11EE6" w:rsidRDefault="00412818" w:rsidP="00761B63">
            <w:pPr>
              <w:spacing w:after="120" w:line="240" w:lineRule="auto"/>
              <w:ind w:right="74"/>
            </w:pPr>
            <w:r>
              <w:t>Obadiah</w:t>
            </w:r>
          </w:p>
        </w:tc>
        <w:tc>
          <w:tcPr>
            <w:tcW w:w="797" w:type="dxa"/>
          </w:tcPr>
          <w:p w:rsidR="00412818" w:rsidRPr="00E743FC" w:rsidRDefault="0064743A" w:rsidP="003C66B0">
            <w:pPr>
              <w:spacing w:after="120" w:line="240" w:lineRule="auto"/>
              <w:ind w:right="74"/>
              <w:jc w:val="right"/>
            </w:pPr>
            <w:r>
              <w:t>364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8.4.9</w:t>
            </w:r>
          </w:p>
        </w:tc>
        <w:tc>
          <w:tcPr>
            <w:tcW w:w="6456" w:type="dxa"/>
            <w:gridSpan w:val="6"/>
          </w:tcPr>
          <w:p w:rsidR="00412818" w:rsidRPr="00A11EE6" w:rsidRDefault="00412818" w:rsidP="00761B63">
            <w:pPr>
              <w:spacing w:after="120" w:line="240" w:lineRule="auto"/>
              <w:ind w:right="74"/>
            </w:pPr>
            <w:r>
              <w:t>Jonah</w:t>
            </w:r>
          </w:p>
        </w:tc>
        <w:tc>
          <w:tcPr>
            <w:tcW w:w="797" w:type="dxa"/>
          </w:tcPr>
          <w:p w:rsidR="00412818" w:rsidRPr="00E743FC" w:rsidRDefault="0064743A" w:rsidP="003C66B0">
            <w:pPr>
              <w:spacing w:after="120" w:line="240" w:lineRule="auto"/>
              <w:ind w:right="74"/>
              <w:jc w:val="right"/>
            </w:pPr>
            <w:r>
              <w:t>365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Pr="000113A5" w:rsidRDefault="00412818" w:rsidP="00761B63">
            <w:pPr>
              <w:spacing w:after="120" w:line="240" w:lineRule="auto"/>
              <w:ind w:right="74"/>
              <w:rPr>
                <w:spacing w:val="-2"/>
              </w:rPr>
            </w:pPr>
            <w:r w:rsidRPr="000113A5">
              <w:rPr>
                <w:spacing w:val="-2"/>
              </w:rPr>
              <w:t>8.4.10</w:t>
            </w:r>
          </w:p>
        </w:tc>
        <w:tc>
          <w:tcPr>
            <w:tcW w:w="6456" w:type="dxa"/>
            <w:gridSpan w:val="6"/>
          </w:tcPr>
          <w:p w:rsidR="00412818" w:rsidRPr="00A11EE6" w:rsidRDefault="00412818" w:rsidP="00761B63">
            <w:pPr>
              <w:spacing w:after="120" w:line="240" w:lineRule="auto"/>
              <w:ind w:right="74"/>
            </w:pPr>
            <w:r>
              <w:t>Micah</w:t>
            </w:r>
          </w:p>
        </w:tc>
        <w:tc>
          <w:tcPr>
            <w:tcW w:w="797" w:type="dxa"/>
          </w:tcPr>
          <w:p w:rsidR="00412818" w:rsidRPr="00E743FC" w:rsidRDefault="0064743A" w:rsidP="003C66B0">
            <w:pPr>
              <w:spacing w:after="120" w:line="240" w:lineRule="auto"/>
              <w:ind w:right="74"/>
              <w:jc w:val="right"/>
            </w:pPr>
            <w:r>
              <w:t>365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1</w:t>
            </w:r>
          </w:p>
        </w:tc>
        <w:tc>
          <w:tcPr>
            <w:tcW w:w="6456" w:type="dxa"/>
            <w:gridSpan w:val="6"/>
          </w:tcPr>
          <w:p w:rsidR="00412818" w:rsidRPr="00A11EE6" w:rsidRDefault="00412818" w:rsidP="00761B63">
            <w:pPr>
              <w:spacing w:after="120" w:line="240" w:lineRule="auto"/>
              <w:ind w:right="74"/>
            </w:pPr>
            <w:r>
              <w:t>Nahum</w:t>
            </w:r>
          </w:p>
        </w:tc>
        <w:tc>
          <w:tcPr>
            <w:tcW w:w="797" w:type="dxa"/>
          </w:tcPr>
          <w:p w:rsidR="00412818" w:rsidRPr="00E743FC" w:rsidRDefault="0064743A" w:rsidP="003C66B0">
            <w:pPr>
              <w:spacing w:after="120" w:line="240" w:lineRule="auto"/>
              <w:ind w:right="74"/>
              <w:jc w:val="right"/>
            </w:pPr>
            <w:r>
              <w:t>366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2</w:t>
            </w:r>
          </w:p>
        </w:tc>
        <w:tc>
          <w:tcPr>
            <w:tcW w:w="6456" w:type="dxa"/>
            <w:gridSpan w:val="6"/>
          </w:tcPr>
          <w:p w:rsidR="00412818" w:rsidRPr="00A11EE6" w:rsidRDefault="00412818" w:rsidP="00761B63">
            <w:pPr>
              <w:spacing w:after="120" w:line="240" w:lineRule="auto"/>
              <w:ind w:right="74"/>
            </w:pPr>
            <w:r>
              <w:t>Habakkuk</w:t>
            </w:r>
          </w:p>
        </w:tc>
        <w:tc>
          <w:tcPr>
            <w:tcW w:w="797" w:type="dxa"/>
          </w:tcPr>
          <w:p w:rsidR="00412818" w:rsidRPr="00E743FC" w:rsidRDefault="0064743A" w:rsidP="003C66B0">
            <w:pPr>
              <w:spacing w:after="120" w:line="240" w:lineRule="auto"/>
              <w:ind w:right="74"/>
              <w:jc w:val="right"/>
            </w:pPr>
            <w:r>
              <w:t>366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3</w:t>
            </w:r>
          </w:p>
        </w:tc>
        <w:tc>
          <w:tcPr>
            <w:tcW w:w="6456" w:type="dxa"/>
            <w:gridSpan w:val="6"/>
          </w:tcPr>
          <w:p w:rsidR="00412818" w:rsidRPr="00A11EE6" w:rsidRDefault="00412818" w:rsidP="00761B63">
            <w:pPr>
              <w:spacing w:after="120" w:line="240" w:lineRule="auto"/>
              <w:ind w:right="74"/>
            </w:pPr>
            <w:r>
              <w:t>Zephaniah</w:t>
            </w:r>
          </w:p>
        </w:tc>
        <w:tc>
          <w:tcPr>
            <w:tcW w:w="797" w:type="dxa"/>
          </w:tcPr>
          <w:p w:rsidR="00412818" w:rsidRPr="00E743FC" w:rsidRDefault="0064743A" w:rsidP="003C66B0">
            <w:pPr>
              <w:spacing w:after="120" w:line="240" w:lineRule="auto"/>
              <w:ind w:right="74"/>
              <w:jc w:val="right"/>
            </w:pPr>
            <w:r>
              <w:t>367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64743A">
            <w:pPr>
              <w:spacing w:after="120" w:line="240" w:lineRule="auto"/>
              <w:ind w:right="74"/>
            </w:pPr>
            <w:r w:rsidRPr="000113A5">
              <w:rPr>
                <w:spacing w:val="-2"/>
              </w:rPr>
              <w:t>8.4.1</w:t>
            </w:r>
            <w:r w:rsidR="0064743A">
              <w:rPr>
                <w:spacing w:val="-2"/>
              </w:rPr>
              <w:t>4</w:t>
            </w:r>
          </w:p>
        </w:tc>
        <w:tc>
          <w:tcPr>
            <w:tcW w:w="6456" w:type="dxa"/>
            <w:gridSpan w:val="6"/>
          </w:tcPr>
          <w:p w:rsidR="00412818" w:rsidRPr="00A11EE6" w:rsidRDefault="00412818" w:rsidP="00761B63">
            <w:pPr>
              <w:spacing w:after="120" w:line="240" w:lineRule="auto"/>
              <w:ind w:right="74"/>
            </w:pPr>
            <w:r>
              <w:t>Haggai</w:t>
            </w:r>
          </w:p>
        </w:tc>
        <w:tc>
          <w:tcPr>
            <w:tcW w:w="797" w:type="dxa"/>
          </w:tcPr>
          <w:p w:rsidR="00412818" w:rsidRPr="00E743FC" w:rsidRDefault="0064743A" w:rsidP="003C66B0">
            <w:pPr>
              <w:spacing w:after="120" w:line="240" w:lineRule="auto"/>
              <w:ind w:right="74"/>
              <w:jc w:val="right"/>
            </w:pPr>
            <w:r>
              <w:t>367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5</w:t>
            </w:r>
          </w:p>
        </w:tc>
        <w:tc>
          <w:tcPr>
            <w:tcW w:w="6456" w:type="dxa"/>
            <w:gridSpan w:val="6"/>
          </w:tcPr>
          <w:p w:rsidR="00412818" w:rsidRPr="00A11EE6" w:rsidRDefault="00412818" w:rsidP="00761B63">
            <w:pPr>
              <w:spacing w:after="120" w:line="240" w:lineRule="auto"/>
              <w:ind w:right="74"/>
            </w:pPr>
            <w:r>
              <w:t>Zechariah</w:t>
            </w:r>
          </w:p>
        </w:tc>
        <w:tc>
          <w:tcPr>
            <w:tcW w:w="797" w:type="dxa"/>
          </w:tcPr>
          <w:p w:rsidR="00412818" w:rsidRPr="00E743FC" w:rsidRDefault="0064743A" w:rsidP="003C66B0">
            <w:pPr>
              <w:spacing w:after="120" w:line="240" w:lineRule="auto"/>
              <w:ind w:right="74"/>
              <w:jc w:val="right"/>
            </w:pPr>
            <w:r>
              <w:t>368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6</w:t>
            </w:r>
          </w:p>
        </w:tc>
        <w:tc>
          <w:tcPr>
            <w:tcW w:w="6456" w:type="dxa"/>
            <w:gridSpan w:val="6"/>
          </w:tcPr>
          <w:p w:rsidR="00412818" w:rsidRPr="00A11EE6" w:rsidRDefault="00412818" w:rsidP="00761B63">
            <w:pPr>
              <w:spacing w:after="120" w:line="240" w:lineRule="auto"/>
              <w:ind w:right="74"/>
            </w:pPr>
            <w:r>
              <w:t>Malachi</w:t>
            </w:r>
          </w:p>
        </w:tc>
        <w:tc>
          <w:tcPr>
            <w:tcW w:w="797" w:type="dxa"/>
          </w:tcPr>
          <w:p w:rsidR="00412818" w:rsidRPr="00E743FC" w:rsidRDefault="0064743A" w:rsidP="003C66B0">
            <w:pPr>
              <w:spacing w:after="120" w:line="240" w:lineRule="auto"/>
              <w:ind w:right="74"/>
              <w:jc w:val="right"/>
            </w:pPr>
            <w:r>
              <w:t>373</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113A5">
              <w:rPr>
                <w:spacing w:val="-2"/>
              </w:rPr>
              <w:t>8.4.1</w:t>
            </w:r>
            <w:r>
              <w:rPr>
                <w:spacing w:val="-2"/>
              </w:rPr>
              <w:t>7</w:t>
            </w:r>
          </w:p>
        </w:tc>
        <w:tc>
          <w:tcPr>
            <w:tcW w:w="6456" w:type="dxa"/>
            <w:gridSpan w:val="6"/>
          </w:tcPr>
          <w:p w:rsidR="00412818" w:rsidRPr="00A11EE6" w:rsidRDefault="00412818" w:rsidP="00761B63">
            <w:pPr>
              <w:spacing w:after="120" w:line="240" w:lineRule="auto"/>
              <w:ind w:right="74"/>
            </w:pPr>
            <w:r>
              <w:t>Conclusion: Notes on the ‘Prophetical Books’</w:t>
            </w:r>
          </w:p>
        </w:tc>
        <w:tc>
          <w:tcPr>
            <w:tcW w:w="797" w:type="dxa"/>
          </w:tcPr>
          <w:p w:rsidR="00412818" w:rsidRPr="00E743FC" w:rsidRDefault="0064743A" w:rsidP="003C66B0">
            <w:pPr>
              <w:spacing w:after="120" w:line="240" w:lineRule="auto"/>
              <w:ind w:right="74"/>
              <w:jc w:val="right"/>
            </w:pPr>
            <w:r>
              <w:t>374</w:t>
            </w:r>
          </w:p>
        </w:tc>
      </w:tr>
      <w:tr w:rsidR="00412818" w:rsidRPr="00B406EB" w:rsidTr="007710E7">
        <w:tc>
          <w:tcPr>
            <w:tcW w:w="657" w:type="dxa"/>
            <w:gridSpan w:val="2"/>
          </w:tcPr>
          <w:p w:rsidR="00412818" w:rsidRDefault="00412818" w:rsidP="00761B63">
            <w:pPr>
              <w:spacing w:after="0" w:line="240" w:lineRule="auto"/>
              <w:ind w:right="74"/>
            </w:pPr>
            <w:r>
              <w:t>8.5</w:t>
            </w:r>
          </w:p>
        </w:tc>
        <w:tc>
          <w:tcPr>
            <w:tcW w:w="7266" w:type="dxa"/>
            <w:gridSpan w:val="8"/>
          </w:tcPr>
          <w:p w:rsidR="00412818" w:rsidRPr="00B406EB" w:rsidRDefault="00412818" w:rsidP="00761B63">
            <w:pPr>
              <w:spacing w:after="120" w:line="240" w:lineRule="auto"/>
              <w:ind w:right="74"/>
            </w:pPr>
            <w:r>
              <w:t>Conclusion: Scofield’s Use of the Old Testament</w:t>
            </w:r>
          </w:p>
        </w:tc>
        <w:tc>
          <w:tcPr>
            <w:tcW w:w="797" w:type="dxa"/>
          </w:tcPr>
          <w:p w:rsidR="00412818" w:rsidRPr="00B406EB" w:rsidRDefault="0064743A" w:rsidP="003C66B0">
            <w:pPr>
              <w:spacing w:after="0" w:line="240" w:lineRule="auto"/>
              <w:ind w:right="74"/>
              <w:jc w:val="right"/>
            </w:pPr>
            <w:r>
              <w:t>375</w:t>
            </w:r>
          </w:p>
        </w:tc>
      </w:tr>
      <w:tr w:rsidR="00412818" w:rsidRPr="00E743FC" w:rsidTr="007710E7">
        <w:tc>
          <w:tcPr>
            <w:tcW w:w="657" w:type="dxa"/>
            <w:gridSpan w:val="2"/>
          </w:tcPr>
          <w:p w:rsidR="00412818" w:rsidRDefault="00412818" w:rsidP="00761B63">
            <w:pPr>
              <w:spacing w:after="120" w:line="240" w:lineRule="auto"/>
              <w:ind w:right="74"/>
            </w:pPr>
          </w:p>
        </w:tc>
        <w:tc>
          <w:tcPr>
            <w:tcW w:w="7266" w:type="dxa"/>
            <w:gridSpan w:val="8"/>
          </w:tcPr>
          <w:p w:rsidR="00412818" w:rsidRPr="005D5DDE" w:rsidRDefault="00412818" w:rsidP="00761B63">
            <w:pPr>
              <w:spacing w:after="120" w:line="240" w:lineRule="auto"/>
              <w:ind w:right="74"/>
              <w:rPr>
                <w:i/>
              </w:rPr>
            </w:pPr>
            <w:r w:rsidRPr="005D5DDE">
              <w:rPr>
                <w:i/>
              </w:rPr>
              <w:t xml:space="preserve">Endnotes, Chapter </w:t>
            </w:r>
            <w:r>
              <w:rPr>
                <w:i/>
              </w:rPr>
              <w:t>8, Part 1</w:t>
            </w:r>
          </w:p>
        </w:tc>
        <w:tc>
          <w:tcPr>
            <w:tcW w:w="797" w:type="dxa"/>
          </w:tcPr>
          <w:p w:rsidR="00412818" w:rsidRPr="00E743FC" w:rsidRDefault="0064743A" w:rsidP="003C66B0">
            <w:pPr>
              <w:spacing w:after="120" w:line="240" w:lineRule="auto"/>
              <w:ind w:right="74"/>
              <w:jc w:val="right"/>
            </w:pPr>
            <w:r>
              <w:t>375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p>
        </w:tc>
        <w:tc>
          <w:tcPr>
            <w:tcW w:w="6456" w:type="dxa"/>
            <w:gridSpan w:val="6"/>
          </w:tcPr>
          <w:p w:rsidR="00412818" w:rsidRPr="00A11EE6" w:rsidRDefault="00412818" w:rsidP="00761B63">
            <w:pPr>
              <w:spacing w:after="120" w:line="240" w:lineRule="auto"/>
              <w:ind w:right="74"/>
            </w:pPr>
          </w:p>
        </w:tc>
        <w:tc>
          <w:tcPr>
            <w:tcW w:w="797" w:type="dxa"/>
          </w:tcPr>
          <w:p w:rsidR="00412818" w:rsidRPr="00E743FC" w:rsidRDefault="00412818" w:rsidP="003C66B0">
            <w:pPr>
              <w:spacing w:after="120" w:line="240" w:lineRule="auto"/>
              <w:ind w:right="74"/>
              <w:jc w:val="right"/>
            </w:pPr>
          </w:p>
        </w:tc>
      </w:tr>
      <w:tr w:rsidR="00412818" w:rsidRPr="00E743FC" w:rsidTr="007710E7">
        <w:tc>
          <w:tcPr>
            <w:tcW w:w="7923" w:type="dxa"/>
            <w:gridSpan w:val="10"/>
          </w:tcPr>
          <w:p w:rsidR="00412818" w:rsidRDefault="00412818" w:rsidP="00761B63">
            <w:pPr>
              <w:spacing w:after="0" w:line="240" w:lineRule="auto"/>
              <w:ind w:right="74"/>
              <w:rPr>
                <w:b/>
                <w:sz w:val="24"/>
              </w:rPr>
            </w:pPr>
            <w:r w:rsidRPr="00AF177B">
              <w:rPr>
                <w:b/>
                <w:sz w:val="24"/>
              </w:rPr>
              <w:t xml:space="preserve">CHAPTER </w:t>
            </w:r>
            <w:r>
              <w:rPr>
                <w:b/>
                <w:sz w:val="24"/>
              </w:rPr>
              <w:t>8</w:t>
            </w:r>
            <w:r w:rsidRPr="00AF177B">
              <w:rPr>
                <w:b/>
                <w:sz w:val="24"/>
              </w:rPr>
              <w:t xml:space="preserve">  </w:t>
            </w:r>
          </w:p>
          <w:p w:rsidR="00412818" w:rsidRPr="00A661BF" w:rsidRDefault="00412818" w:rsidP="00761B63">
            <w:pPr>
              <w:spacing w:after="0" w:line="240" w:lineRule="auto"/>
              <w:rPr>
                <w:b/>
              </w:rPr>
            </w:pPr>
            <w:r w:rsidRPr="00A661BF">
              <w:rPr>
                <w:b/>
              </w:rPr>
              <w:t xml:space="preserve">Analysis of the Content of </w:t>
            </w:r>
            <w:r w:rsidRPr="00732128">
              <w:rPr>
                <w:b/>
                <w:i/>
              </w:rPr>
              <w:t>SRB</w:t>
            </w:r>
            <w:r w:rsidRPr="00A661BF">
              <w:rPr>
                <w:b/>
              </w:rPr>
              <w:t xml:space="preserve"> Commentary: Scofield’s Use of the Text</w:t>
            </w:r>
          </w:p>
          <w:p w:rsidR="00412818" w:rsidRPr="00A31134" w:rsidRDefault="00412818" w:rsidP="00761B63">
            <w:pPr>
              <w:rPr>
                <w:b/>
                <w:sz w:val="24"/>
                <w:szCs w:val="24"/>
              </w:rPr>
            </w:pPr>
            <w:r w:rsidRPr="00A661BF">
              <w:rPr>
                <w:b/>
              </w:rPr>
              <w:t xml:space="preserve">Part </w:t>
            </w:r>
            <w:r>
              <w:rPr>
                <w:b/>
              </w:rPr>
              <w:t>2</w:t>
            </w:r>
            <w:r w:rsidRPr="00A661BF">
              <w:rPr>
                <w:b/>
              </w:rPr>
              <w:t xml:space="preserve">: The </w:t>
            </w:r>
            <w:r>
              <w:rPr>
                <w:b/>
              </w:rPr>
              <w:t>New</w:t>
            </w:r>
            <w:r w:rsidRPr="00A661BF">
              <w:rPr>
                <w:b/>
              </w:rPr>
              <w:t xml:space="preserve"> Testament</w:t>
            </w:r>
          </w:p>
        </w:tc>
        <w:tc>
          <w:tcPr>
            <w:tcW w:w="797" w:type="dxa"/>
            <w:vAlign w:val="center"/>
          </w:tcPr>
          <w:p w:rsidR="00412818" w:rsidRPr="00E743FC" w:rsidRDefault="00732128" w:rsidP="007710E7">
            <w:pPr>
              <w:ind w:right="74"/>
              <w:jc w:val="right"/>
            </w:pPr>
            <w:r>
              <w:t>387</w:t>
            </w:r>
          </w:p>
        </w:tc>
      </w:tr>
      <w:tr w:rsidR="00412818" w:rsidRPr="00B406EB" w:rsidTr="007710E7">
        <w:tc>
          <w:tcPr>
            <w:tcW w:w="657" w:type="dxa"/>
            <w:gridSpan w:val="2"/>
          </w:tcPr>
          <w:p w:rsidR="00412818" w:rsidRDefault="00412818" w:rsidP="00761B63">
            <w:pPr>
              <w:spacing w:after="0" w:line="240" w:lineRule="auto"/>
              <w:ind w:right="74"/>
            </w:pPr>
            <w:r>
              <w:t>8.6</w:t>
            </w:r>
          </w:p>
        </w:tc>
        <w:tc>
          <w:tcPr>
            <w:tcW w:w="7266" w:type="dxa"/>
            <w:gridSpan w:val="8"/>
          </w:tcPr>
          <w:p w:rsidR="00412818" w:rsidRPr="00B406EB" w:rsidRDefault="00412818" w:rsidP="00761B63">
            <w:pPr>
              <w:spacing w:after="120" w:line="240" w:lineRule="auto"/>
              <w:ind w:right="74"/>
            </w:pPr>
            <w:r>
              <w:t>The Gospels and Acts</w:t>
            </w:r>
          </w:p>
        </w:tc>
        <w:tc>
          <w:tcPr>
            <w:tcW w:w="797" w:type="dxa"/>
          </w:tcPr>
          <w:p w:rsidR="00412818" w:rsidRPr="00B406EB" w:rsidRDefault="00732128" w:rsidP="003C66B0">
            <w:pPr>
              <w:spacing w:after="0" w:line="240" w:lineRule="auto"/>
              <w:ind w:right="74"/>
              <w:jc w:val="right"/>
            </w:pPr>
            <w:r>
              <w:t>387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8.6.1</w:t>
            </w:r>
          </w:p>
        </w:tc>
        <w:tc>
          <w:tcPr>
            <w:tcW w:w="6456" w:type="dxa"/>
            <w:gridSpan w:val="6"/>
          </w:tcPr>
          <w:p w:rsidR="00412818" w:rsidRPr="00A11EE6" w:rsidRDefault="00412818" w:rsidP="00761B63">
            <w:pPr>
              <w:spacing w:after="120" w:line="240" w:lineRule="auto"/>
              <w:ind w:right="74"/>
            </w:pPr>
            <w:r>
              <w:t>Matthew</w:t>
            </w:r>
          </w:p>
        </w:tc>
        <w:tc>
          <w:tcPr>
            <w:tcW w:w="797" w:type="dxa"/>
          </w:tcPr>
          <w:p w:rsidR="00412818" w:rsidRPr="00E743FC" w:rsidRDefault="00732128" w:rsidP="003C66B0">
            <w:pPr>
              <w:spacing w:after="120" w:line="240" w:lineRule="auto"/>
              <w:ind w:right="74"/>
              <w:jc w:val="right"/>
            </w:pPr>
            <w:r>
              <w:t>388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8.6.2</w:t>
            </w:r>
          </w:p>
        </w:tc>
        <w:tc>
          <w:tcPr>
            <w:tcW w:w="6456" w:type="dxa"/>
            <w:gridSpan w:val="6"/>
          </w:tcPr>
          <w:p w:rsidR="00412818" w:rsidRPr="00A11EE6" w:rsidRDefault="00412818" w:rsidP="00761B63">
            <w:pPr>
              <w:spacing w:after="120" w:line="240" w:lineRule="auto"/>
              <w:ind w:right="74"/>
            </w:pPr>
            <w:r>
              <w:t>Mark</w:t>
            </w:r>
          </w:p>
        </w:tc>
        <w:tc>
          <w:tcPr>
            <w:tcW w:w="797" w:type="dxa"/>
          </w:tcPr>
          <w:p w:rsidR="00412818" w:rsidRPr="00E743FC" w:rsidRDefault="00732128" w:rsidP="003C66B0">
            <w:pPr>
              <w:spacing w:after="120" w:line="240" w:lineRule="auto"/>
              <w:ind w:right="74"/>
              <w:jc w:val="right"/>
            </w:pPr>
            <w:r>
              <w:t>397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8.6.3</w:t>
            </w:r>
          </w:p>
        </w:tc>
        <w:tc>
          <w:tcPr>
            <w:tcW w:w="6456" w:type="dxa"/>
            <w:gridSpan w:val="6"/>
          </w:tcPr>
          <w:p w:rsidR="00412818" w:rsidRPr="00A11EE6" w:rsidRDefault="00412818" w:rsidP="00761B63">
            <w:pPr>
              <w:spacing w:after="120" w:line="240" w:lineRule="auto"/>
              <w:ind w:right="74"/>
            </w:pPr>
            <w:r>
              <w:t>Luke</w:t>
            </w:r>
          </w:p>
        </w:tc>
        <w:tc>
          <w:tcPr>
            <w:tcW w:w="797" w:type="dxa"/>
          </w:tcPr>
          <w:p w:rsidR="00412818" w:rsidRPr="00E743FC" w:rsidRDefault="00732128" w:rsidP="003C66B0">
            <w:pPr>
              <w:spacing w:after="120" w:line="240" w:lineRule="auto"/>
              <w:ind w:right="74"/>
              <w:jc w:val="right"/>
            </w:pPr>
            <w:r>
              <w:t>398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8.6.4</w:t>
            </w:r>
          </w:p>
        </w:tc>
        <w:tc>
          <w:tcPr>
            <w:tcW w:w="6456" w:type="dxa"/>
            <w:gridSpan w:val="6"/>
          </w:tcPr>
          <w:p w:rsidR="00412818" w:rsidRPr="00A11EE6" w:rsidRDefault="00412818" w:rsidP="00761B63">
            <w:pPr>
              <w:spacing w:after="120" w:line="240" w:lineRule="auto"/>
              <w:ind w:right="74"/>
            </w:pPr>
            <w:r>
              <w:t>John</w:t>
            </w:r>
          </w:p>
        </w:tc>
        <w:tc>
          <w:tcPr>
            <w:tcW w:w="797" w:type="dxa"/>
          </w:tcPr>
          <w:p w:rsidR="00412818" w:rsidRPr="00E743FC" w:rsidRDefault="00311CB4" w:rsidP="003C66B0">
            <w:pPr>
              <w:spacing w:after="120" w:line="240" w:lineRule="auto"/>
              <w:ind w:right="74"/>
              <w:jc w:val="right"/>
            </w:pPr>
            <w:r>
              <w:t>401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8.6.5</w:t>
            </w:r>
          </w:p>
        </w:tc>
        <w:tc>
          <w:tcPr>
            <w:tcW w:w="6456" w:type="dxa"/>
            <w:gridSpan w:val="6"/>
          </w:tcPr>
          <w:p w:rsidR="00412818" w:rsidRPr="00A11EE6" w:rsidRDefault="00412818" w:rsidP="00761B63">
            <w:pPr>
              <w:spacing w:after="120" w:line="240" w:lineRule="auto"/>
              <w:ind w:right="74"/>
            </w:pPr>
            <w:r>
              <w:t>Acts</w:t>
            </w:r>
          </w:p>
        </w:tc>
        <w:tc>
          <w:tcPr>
            <w:tcW w:w="797" w:type="dxa"/>
          </w:tcPr>
          <w:p w:rsidR="00412818" w:rsidRPr="00E743FC" w:rsidRDefault="00DC6E29" w:rsidP="003C66B0">
            <w:pPr>
              <w:spacing w:after="120" w:line="240" w:lineRule="auto"/>
              <w:ind w:right="74"/>
              <w:jc w:val="right"/>
            </w:pPr>
            <w:r>
              <w:t>407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8.6.6</w:t>
            </w:r>
          </w:p>
        </w:tc>
        <w:tc>
          <w:tcPr>
            <w:tcW w:w="6456" w:type="dxa"/>
            <w:gridSpan w:val="6"/>
          </w:tcPr>
          <w:p w:rsidR="00412818" w:rsidRPr="00A11EE6" w:rsidRDefault="00412818" w:rsidP="00761B63">
            <w:pPr>
              <w:spacing w:after="120" w:line="240" w:lineRule="auto"/>
              <w:ind w:right="74"/>
            </w:pPr>
            <w:r>
              <w:t>Conclusion: the Gospels and Acts</w:t>
            </w:r>
          </w:p>
        </w:tc>
        <w:tc>
          <w:tcPr>
            <w:tcW w:w="797" w:type="dxa"/>
          </w:tcPr>
          <w:p w:rsidR="00412818" w:rsidRPr="00E743FC" w:rsidRDefault="005722EC" w:rsidP="003C66B0">
            <w:pPr>
              <w:spacing w:after="120" w:line="240" w:lineRule="auto"/>
              <w:ind w:right="74"/>
              <w:jc w:val="right"/>
            </w:pPr>
            <w:r>
              <w:t>411</w:t>
            </w:r>
          </w:p>
        </w:tc>
      </w:tr>
      <w:tr w:rsidR="00412818" w:rsidRPr="00B406EB" w:rsidTr="007710E7">
        <w:tc>
          <w:tcPr>
            <w:tcW w:w="657" w:type="dxa"/>
            <w:gridSpan w:val="2"/>
          </w:tcPr>
          <w:p w:rsidR="00412818" w:rsidRDefault="00412818" w:rsidP="00761B63">
            <w:pPr>
              <w:spacing w:after="0" w:line="240" w:lineRule="auto"/>
              <w:ind w:right="74"/>
            </w:pPr>
            <w:r>
              <w:t>8.7</w:t>
            </w:r>
          </w:p>
        </w:tc>
        <w:tc>
          <w:tcPr>
            <w:tcW w:w="7266" w:type="dxa"/>
            <w:gridSpan w:val="8"/>
          </w:tcPr>
          <w:p w:rsidR="00412818" w:rsidRPr="00B406EB" w:rsidRDefault="00412818" w:rsidP="00761B63">
            <w:pPr>
              <w:spacing w:after="120" w:line="240" w:lineRule="auto"/>
              <w:ind w:right="74"/>
            </w:pPr>
            <w:r>
              <w:t>The Epistles of Paul</w:t>
            </w:r>
          </w:p>
        </w:tc>
        <w:tc>
          <w:tcPr>
            <w:tcW w:w="797" w:type="dxa"/>
          </w:tcPr>
          <w:p w:rsidR="00412818" w:rsidRPr="00B406EB" w:rsidRDefault="005722EC" w:rsidP="003C66B0">
            <w:pPr>
              <w:spacing w:after="0" w:line="240" w:lineRule="auto"/>
              <w:ind w:right="74"/>
              <w:jc w:val="right"/>
            </w:pPr>
            <w:r>
              <w:t>411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8.7.1</w:t>
            </w:r>
          </w:p>
        </w:tc>
        <w:tc>
          <w:tcPr>
            <w:tcW w:w="6456" w:type="dxa"/>
            <w:gridSpan w:val="6"/>
          </w:tcPr>
          <w:p w:rsidR="00412818" w:rsidRPr="00A11EE6" w:rsidRDefault="00412818" w:rsidP="00761B63">
            <w:pPr>
              <w:spacing w:after="120" w:line="240" w:lineRule="auto"/>
              <w:ind w:right="74"/>
            </w:pPr>
            <w:r>
              <w:t>Romans</w:t>
            </w:r>
          </w:p>
        </w:tc>
        <w:tc>
          <w:tcPr>
            <w:tcW w:w="797" w:type="dxa"/>
          </w:tcPr>
          <w:p w:rsidR="00412818" w:rsidRPr="00E743FC" w:rsidRDefault="005722EC" w:rsidP="003C66B0">
            <w:pPr>
              <w:spacing w:after="120" w:line="240" w:lineRule="auto"/>
              <w:ind w:right="74"/>
              <w:jc w:val="right"/>
            </w:pPr>
            <w:r>
              <w:t>412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8.7.2</w:t>
            </w:r>
          </w:p>
        </w:tc>
        <w:tc>
          <w:tcPr>
            <w:tcW w:w="6456" w:type="dxa"/>
            <w:gridSpan w:val="6"/>
          </w:tcPr>
          <w:p w:rsidR="00412818" w:rsidRPr="00A11EE6" w:rsidRDefault="00412818" w:rsidP="00761B63">
            <w:pPr>
              <w:spacing w:after="120" w:line="240" w:lineRule="auto"/>
              <w:ind w:right="74"/>
            </w:pPr>
            <w:r>
              <w:t>1 Corinthians</w:t>
            </w:r>
          </w:p>
        </w:tc>
        <w:tc>
          <w:tcPr>
            <w:tcW w:w="797" w:type="dxa"/>
          </w:tcPr>
          <w:p w:rsidR="00412818" w:rsidRPr="00E743FC" w:rsidRDefault="005722EC" w:rsidP="003C66B0">
            <w:pPr>
              <w:spacing w:after="120" w:line="240" w:lineRule="auto"/>
              <w:ind w:right="74"/>
              <w:jc w:val="right"/>
            </w:pPr>
            <w:r>
              <w:t>415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8.7.3</w:t>
            </w:r>
          </w:p>
        </w:tc>
        <w:tc>
          <w:tcPr>
            <w:tcW w:w="6456" w:type="dxa"/>
            <w:gridSpan w:val="6"/>
          </w:tcPr>
          <w:p w:rsidR="00412818" w:rsidRPr="00A11EE6" w:rsidRDefault="00412818" w:rsidP="00761B63">
            <w:pPr>
              <w:spacing w:after="120" w:line="240" w:lineRule="auto"/>
              <w:ind w:right="74"/>
            </w:pPr>
            <w:r>
              <w:t>2 Corinthians</w:t>
            </w:r>
          </w:p>
        </w:tc>
        <w:tc>
          <w:tcPr>
            <w:tcW w:w="797" w:type="dxa"/>
          </w:tcPr>
          <w:p w:rsidR="00412818" w:rsidRPr="00E743FC" w:rsidRDefault="005722EC" w:rsidP="003C66B0">
            <w:pPr>
              <w:spacing w:after="120" w:line="240" w:lineRule="auto"/>
              <w:ind w:right="74"/>
              <w:jc w:val="right"/>
            </w:pPr>
            <w:r>
              <w:t>418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8.7.4</w:t>
            </w:r>
          </w:p>
        </w:tc>
        <w:tc>
          <w:tcPr>
            <w:tcW w:w="6456" w:type="dxa"/>
            <w:gridSpan w:val="6"/>
          </w:tcPr>
          <w:p w:rsidR="00412818" w:rsidRPr="00A11EE6" w:rsidRDefault="00412818" w:rsidP="00761B63">
            <w:pPr>
              <w:spacing w:after="120" w:line="240" w:lineRule="auto"/>
              <w:ind w:right="74"/>
            </w:pPr>
            <w:r>
              <w:t>Galatians</w:t>
            </w:r>
          </w:p>
        </w:tc>
        <w:tc>
          <w:tcPr>
            <w:tcW w:w="797" w:type="dxa"/>
          </w:tcPr>
          <w:p w:rsidR="00412818" w:rsidRPr="00E743FC" w:rsidRDefault="005722EC" w:rsidP="003C66B0">
            <w:pPr>
              <w:spacing w:after="120" w:line="240" w:lineRule="auto"/>
              <w:ind w:right="74"/>
              <w:jc w:val="right"/>
            </w:pPr>
            <w:r>
              <w:t>420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8.7.5</w:t>
            </w:r>
          </w:p>
        </w:tc>
        <w:tc>
          <w:tcPr>
            <w:tcW w:w="6456" w:type="dxa"/>
            <w:gridSpan w:val="6"/>
          </w:tcPr>
          <w:p w:rsidR="00412818" w:rsidRPr="00A11EE6" w:rsidRDefault="00412818" w:rsidP="00761B63">
            <w:pPr>
              <w:spacing w:after="120" w:line="240" w:lineRule="auto"/>
              <w:ind w:right="74"/>
            </w:pPr>
            <w:r>
              <w:t>Ephesians</w:t>
            </w:r>
          </w:p>
        </w:tc>
        <w:tc>
          <w:tcPr>
            <w:tcW w:w="797" w:type="dxa"/>
          </w:tcPr>
          <w:p w:rsidR="00412818" w:rsidRPr="00E743FC" w:rsidRDefault="005722EC" w:rsidP="003C66B0">
            <w:pPr>
              <w:spacing w:after="120" w:line="240" w:lineRule="auto"/>
              <w:ind w:right="74"/>
              <w:jc w:val="right"/>
            </w:pPr>
            <w:r>
              <w:t>422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8.7.6</w:t>
            </w:r>
          </w:p>
        </w:tc>
        <w:tc>
          <w:tcPr>
            <w:tcW w:w="6456" w:type="dxa"/>
            <w:gridSpan w:val="6"/>
          </w:tcPr>
          <w:p w:rsidR="00412818" w:rsidRPr="00A11EE6" w:rsidRDefault="00412818" w:rsidP="00761B63">
            <w:pPr>
              <w:spacing w:after="120" w:line="240" w:lineRule="auto"/>
              <w:ind w:right="74"/>
            </w:pPr>
            <w:r>
              <w:t>Philippians</w:t>
            </w:r>
          </w:p>
        </w:tc>
        <w:tc>
          <w:tcPr>
            <w:tcW w:w="797" w:type="dxa"/>
          </w:tcPr>
          <w:p w:rsidR="00412818" w:rsidRPr="00E743FC" w:rsidRDefault="00BC32F5" w:rsidP="003C66B0">
            <w:pPr>
              <w:spacing w:after="120" w:line="240" w:lineRule="auto"/>
              <w:ind w:right="74"/>
              <w:jc w:val="right"/>
            </w:pPr>
            <w:r>
              <w:t>424</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8.7.7</w:t>
            </w:r>
          </w:p>
        </w:tc>
        <w:tc>
          <w:tcPr>
            <w:tcW w:w="6456" w:type="dxa"/>
            <w:gridSpan w:val="6"/>
          </w:tcPr>
          <w:p w:rsidR="00412818" w:rsidRPr="00A11EE6" w:rsidRDefault="00412818" w:rsidP="00761B63">
            <w:pPr>
              <w:spacing w:after="120" w:line="240" w:lineRule="auto"/>
              <w:ind w:right="74"/>
            </w:pPr>
            <w:r>
              <w:t>Colossians</w:t>
            </w:r>
          </w:p>
        </w:tc>
        <w:tc>
          <w:tcPr>
            <w:tcW w:w="797" w:type="dxa"/>
          </w:tcPr>
          <w:p w:rsidR="00412818" w:rsidRPr="00E743FC" w:rsidRDefault="00BC32F5" w:rsidP="003C66B0">
            <w:pPr>
              <w:spacing w:after="120" w:line="240" w:lineRule="auto"/>
              <w:ind w:right="74"/>
              <w:jc w:val="right"/>
            </w:pPr>
            <w:r>
              <w:t>425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8.7.8</w:t>
            </w:r>
          </w:p>
        </w:tc>
        <w:tc>
          <w:tcPr>
            <w:tcW w:w="6456" w:type="dxa"/>
            <w:gridSpan w:val="6"/>
          </w:tcPr>
          <w:p w:rsidR="00412818" w:rsidRPr="00A11EE6" w:rsidRDefault="00412818" w:rsidP="00761B63">
            <w:pPr>
              <w:spacing w:after="120" w:line="240" w:lineRule="auto"/>
              <w:ind w:right="74"/>
            </w:pPr>
            <w:r>
              <w:t>1 Thessalonians</w:t>
            </w:r>
          </w:p>
        </w:tc>
        <w:tc>
          <w:tcPr>
            <w:tcW w:w="797" w:type="dxa"/>
          </w:tcPr>
          <w:p w:rsidR="00412818" w:rsidRPr="00E743FC" w:rsidRDefault="00BC32F5" w:rsidP="003C66B0">
            <w:pPr>
              <w:spacing w:after="120" w:line="240" w:lineRule="auto"/>
              <w:ind w:right="74"/>
              <w:jc w:val="right"/>
            </w:pPr>
            <w:r>
              <w:t>425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8.7.9</w:t>
            </w:r>
          </w:p>
        </w:tc>
        <w:tc>
          <w:tcPr>
            <w:tcW w:w="6456" w:type="dxa"/>
            <w:gridSpan w:val="6"/>
          </w:tcPr>
          <w:p w:rsidR="00412818" w:rsidRPr="00A11EE6" w:rsidRDefault="00412818" w:rsidP="00761B63">
            <w:pPr>
              <w:spacing w:after="120" w:line="240" w:lineRule="auto"/>
              <w:ind w:right="74"/>
            </w:pPr>
            <w:r>
              <w:t>2 Thessalonians</w:t>
            </w:r>
          </w:p>
        </w:tc>
        <w:tc>
          <w:tcPr>
            <w:tcW w:w="797" w:type="dxa"/>
          </w:tcPr>
          <w:p w:rsidR="00412818" w:rsidRPr="00E743FC" w:rsidRDefault="00BC32F5" w:rsidP="003C66B0">
            <w:pPr>
              <w:spacing w:after="120" w:line="240" w:lineRule="auto"/>
              <w:ind w:right="74"/>
              <w:jc w:val="right"/>
            </w:pPr>
            <w:r>
              <w:t>426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Pr="000001D7" w:rsidRDefault="00412818" w:rsidP="00761B63">
            <w:pPr>
              <w:spacing w:after="120" w:line="240" w:lineRule="auto"/>
              <w:ind w:right="74"/>
              <w:rPr>
                <w:spacing w:val="-2"/>
              </w:rPr>
            </w:pPr>
            <w:r w:rsidRPr="000001D7">
              <w:rPr>
                <w:spacing w:val="-2"/>
              </w:rPr>
              <w:t>8.7.10</w:t>
            </w:r>
          </w:p>
        </w:tc>
        <w:tc>
          <w:tcPr>
            <w:tcW w:w="6456" w:type="dxa"/>
            <w:gridSpan w:val="6"/>
          </w:tcPr>
          <w:p w:rsidR="00412818" w:rsidRPr="00A11EE6" w:rsidRDefault="00412818" w:rsidP="00761B63">
            <w:pPr>
              <w:spacing w:after="120" w:line="240" w:lineRule="auto"/>
              <w:ind w:right="74"/>
            </w:pPr>
            <w:r>
              <w:t>1 Timothy</w:t>
            </w:r>
          </w:p>
        </w:tc>
        <w:tc>
          <w:tcPr>
            <w:tcW w:w="797" w:type="dxa"/>
          </w:tcPr>
          <w:p w:rsidR="00412818" w:rsidRPr="00E743FC" w:rsidRDefault="00BC32F5" w:rsidP="003C66B0">
            <w:pPr>
              <w:spacing w:after="120" w:line="240" w:lineRule="auto"/>
              <w:ind w:right="74"/>
              <w:jc w:val="right"/>
            </w:pPr>
            <w:r>
              <w:t>426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001D7">
              <w:rPr>
                <w:spacing w:val="-2"/>
              </w:rPr>
              <w:t>8.7.1</w:t>
            </w:r>
            <w:r>
              <w:rPr>
                <w:spacing w:val="-2"/>
              </w:rPr>
              <w:t>1</w:t>
            </w:r>
          </w:p>
        </w:tc>
        <w:tc>
          <w:tcPr>
            <w:tcW w:w="6456" w:type="dxa"/>
            <w:gridSpan w:val="6"/>
          </w:tcPr>
          <w:p w:rsidR="00412818" w:rsidRPr="00A11EE6" w:rsidRDefault="00412818" w:rsidP="00761B63">
            <w:pPr>
              <w:spacing w:after="120" w:line="240" w:lineRule="auto"/>
              <w:ind w:right="74"/>
            </w:pPr>
            <w:r>
              <w:t>2 Timothy</w:t>
            </w:r>
          </w:p>
        </w:tc>
        <w:tc>
          <w:tcPr>
            <w:tcW w:w="797" w:type="dxa"/>
          </w:tcPr>
          <w:p w:rsidR="00412818" w:rsidRPr="00E743FC" w:rsidRDefault="00BC32F5" w:rsidP="003C66B0">
            <w:pPr>
              <w:spacing w:after="120" w:line="240" w:lineRule="auto"/>
              <w:ind w:right="74"/>
              <w:jc w:val="right"/>
            </w:pPr>
            <w:r>
              <w:t>428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001D7">
              <w:rPr>
                <w:spacing w:val="-2"/>
              </w:rPr>
              <w:t>8.7.1</w:t>
            </w:r>
            <w:r>
              <w:rPr>
                <w:spacing w:val="-2"/>
              </w:rPr>
              <w:t>2</w:t>
            </w:r>
          </w:p>
        </w:tc>
        <w:tc>
          <w:tcPr>
            <w:tcW w:w="6456" w:type="dxa"/>
            <w:gridSpan w:val="6"/>
          </w:tcPr>
          <w:p w:rsidR="00412818" w:rsidRPr="00A11EE6" w:rsidRDefault="00412818" w:rsidP="00761B63">
            <w:pPr>
              <w:spacing w:after="120" w:line="240" w:lineRule="auto"/>
              <w:ind w:right="74"/>
            </w:pPr>
            <w:r>
              <w:t>Titus</w:t>
            </w:r>
          </w:p>
        </w:tc>
        <w:tc>
          <w:tcPr>
            <w:tcW w:w="797" w:type="dxa"/>
          </w:tcPr>
          <w:p w:rsidR="00412818" w:rsidRPr="00E743FC" w:rsidRDefault="00BC32F5" w:rsidP="003C66B0">
            <w:pPr>
              <w:spacing w:after="120" w:line="240" w:lineRule="auto"/>
              <w:ind w:right="74"/>
              <w:jc w:val="right"/>
            </w:pPr>
            <w:r>
              <w:t>429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rsidRPr="000001D7">
              <w:rPr>
                <w:spacing w:val="-2"/>
              </w:rPr>
              <w:t>8.7.1</w:t>
            </w:r>
            <w:r>
              <w:rPr>
                <w:spacing w:val="-2"/>
              </w:rPr>
              <w:t>3</w:t>
            </w:r>
          </w:p>
        </w:tc>
        <w:tc>
          <w:tcPr>
            <w:tcW w:w="6456" w:type="dxa"/>
            <w:gridSpan w:val="6"/>
          </w:tcPr>
          <w:p w:rsidR="00412818" w:rsidRPr="00A11EE6" w:rsidRDefault="00412818" w:rsidP="00761B63">
            <w:pPr>
              <w:spacing w:after="120" w:line="240" w:lineRule="auto"/>
              <w:ind w:right="74"/>
            </w:pPr>
            <w:r>
              <w:t>Philemon</w:t>
            </w:r>
          </w:p>
        </w:tc>
        <w:tc>
          <w:tcPr>
            <w:tcW w:w="797" w:type="dxa"/>
          </w:tcPr>
          <w:p w:rsidR="00412818" w:rsidRPr="00E743FC" w:rsidRDefault="00BC32F5" w:rsidP="003C66B0">
            <w:pPr>
              <w:spacing w:after="120" w:line="240" w:lineRule="auto"/>
              <w:ind w:right="74"/>
              <w:jc w:val="right"/>
            </w:pPr>
            <w:r>
              <w:t>429</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Pr="000001D7" w:rsidRDefault="00412818" w:rsidP="00761B63">
            <w:pPr>
              <w:spacing w:after="120" w:line="240" w:lineRule="auto"/>
              <w:ind w:right="74"/>
              <w:rPr>
                <w:spacing w:val="-2"/>
              </w:rPr>
            </w:pPr>
            <w:r w:rsidRPr="000001D7">
              <w:rPr>
                <w:spacing w:val="-2"/>
              </w:rPr>
              <w:t>8.7.1</w:t>
            </w:r>
            <w:r>
              <w:rPr>
                <w:spacing w:val="-2"/>
              </w:rPr>
              <w:t>4</w:t>
            </w:r>
          </w:p>
        </w:tc>
        <w:tc>
          <w:tcPr>
            <w:tcW w:w="6456" w:type="dxa"/>
            <w:gridSpan w:val="6"/>
          </w:tcPr>
          <w:p w:rsidR="00412818" w:rsidRPr="00A11EE6" w:rsidRDefault="00412818" w:rsidP="00761B63">
            <w:pPr>
              <w:spacing w:after="120" w:line="240" w:lineRule="auto"/>
              <w:ind w:right="74"/>
            </w:pPr>
            <w:r>
              <w:t>Conclusion: The Pauline Epistles</w:t>
            </w:r>
          </w:p>
        </w:tc>
        <w:tc>
          <w:tcPr>
            <w:tcW w:w="797" w:type="dxa"/>
          </w:tcPr>
          <w:p w:rsidR="00412818" w:rsidRPr="00E743FC" w:rsidRDefault="00BC32F5" w:rsidP="003C66B0">
            <w:pPr>
              <w:spacing w:after="120" w:line="240" w:lineRule="auto"/>
              <w:ind w:right="74"/>
              <w:jc w:val="right"/>
            </w:pPr>
            <w:r>
              <w:t>430</w:t>
            </w:r>
          </w:p>
        </w:tc>
      </w:tr>
      <w:tr w:rsidR="00412818" w:rsidRPr="00B406EB" w:rsidTr="007710E7">
        <w:tc>
          <w:tcPr>
            <w:tcW w:w="657" w:type="dxa"/>
            <w:gridSpan w:val="2"/>
          </w:tcPr>
          <w:p w:rsidR="00412818" w:rsidRDefault="00412818" w:rsidP="00761B63">
            <w:pPr>
              <w:spacing w:after="0" w:line="240" w:lineRule="auto"/>
              <w:ind w:right="74"/>
            </w:pPr>
            <w:r>
              <w:t>8.8</w:t>
            </w:r>
          </w:p>
        </w:tc>
        <w:tc>
          <w:tcPr>
            <w:tcW w:w="7266" w:type="dxa"/>
            <w:gridSpan w:val="8"/>
          </w:tcPr>
          <w:p w:rsidR="00412818" w:rsidRPr="00B406EB" w:rsidRDefault="00412818" w:rsidP="00761B63">
            <w:pPr>
              <w:spacing w:after="120" w:line="240" w:lineRule="auto"/>
              <w:ind w:right="74"/>
            </w:pPr>
            <w:r>
              <w:t xml:space="preserve">The ‘Jewish-Christian’ Epistles </w:t>
            </w:r>
          </w:p>
        </w:tc>
        <w:tc>
          <w:tcPr>
            <w:tcW w:w="797" w:type="dxa"/>
          </w:tcPr>
          <w:p w:rsidR="00412818" w:rsidRPr="00B406EB" w:rsidRDefault="00BC32F5" w:rsidP="003C66B0">
            <w:pPr>
              <w:spacing w:after="0" w:line="240" w:lineRule="auto"/>
              <w:ind w:right="74"/>
              <w:jc w:val="right"/>
            </w:pPr>
            <w:r>
              <w:t>430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8.8.1</w:t>
            </w:r>
          </w:p>
        </w:tc>
        <w:tc>
          <w:tcPr>
            <w:tcW w:w="6456" w:type="dxa"/>
            <w:gridSpan w:val="6"/>
          </w:tcPr>
          <w:p w:rsidR="00412818" w:rsidRPr="00A11EE6" w:rsidRDefault="00412818" w:rsidP="00761B63">
            <w:pPr>
              <w:spacing w:after="120" w:line="240" w:lineRule="auto"/>
              <w:ind w:right="74"/>
            </w:pPr>
            <w:r>
              <w:t>Hebrews</w:t>
            </w:r>
          </w:p>
        </w:tc>
        <w:tc>
          <w:tcPr>
            <w:tcW w:w="797" w:type="dxa"/>
          </w:tcPr>
          <w:p w:rsidR="00412818" w:rsidRPr="00E743FC" w:rsidRDefault="00BC32F5" w:rsidP="003C66B0">
            <w:pPr>
              <w:spacing w:after="120" w:line="240" w:lineRule="auto"/>
              <w:ind w:right="74"/>
              <w:jc w:val="right"/>
            </w:pPr>
            <w:r>
              <w:t>431</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8.8.2</w:t>
            </w:r>
          </w:p>
        </w:tc>
        <w:tc>
          <w:tcPr>
            <w:tcW w:w="6456" w:type="dxa"/>
            <w:gridSpan w:val="6"/>
          </w:tcPr>
          <w:p w:rsidR="00412818" w:rsidRPr="00A11EE6" w:rsidRDefault="00412818" w:rsidP="00761B63">
            <w:pPr>
              <w:spacing w:after="120" w:line="240" w:lineRule="auto"/>
              <w:ind w:right="74"/>
            </w:pPr>
            <w:r>
              <w:t>James</w:t>
            </w:r>
          </w:p>
        </w:tc>
        <w:tc>
          <w:tcPr>
            <w:tcW w:w="797" w:type="dxa"/>
          </w:tcPr>
          <w:p w:rsidR="00412818" w:rsidRPr="00E743FC" w:rsidRDefault="00232E17" w:rsidP="003C66B0">
            <w:pPr>
              <w:spacing w:after="120" w:line="240" w:lineRule="auto"/>
              <w:ind w:right="74"/>
              <w:jc w:val="right"/>
            </w:pPr>
            <w:r>
              <w:t>435</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8.8.3</w:t>
            </w:r>
          </w:p>
        </w:tc>
        <w:tc>
          <w:tcPr>
            <w:tcW w:w="6456" w:type="dxa"/>
            <w:gridSpan w:val="6"/>
          </w:tcPr>
          <w:p w:rsidR="00412818" w:rsidRPr="00A11EE6" w:rsidRDefault="00412818" w:rsidP="00761B63">
            <w:pPr>
              <w:spacing w:after="120" w:line="240" w:lineRule="auto"/>
              <w:ind w:right="74"/>
            </w:pPr>
            <w:r>
              <w:t>1 Peter</w:t>
            </w:r>
          </w:p>
        </w:tc>
        <w:tc>
          <w:tcPr>
            <w:tcW w:w="797" w:type="dxa"/>
          </w:tcPr>
          <w:p w:rsidR="00412818" w:rsidRPr="00E743FC" w:rsidRDefault="00232E17" w:rsidP="003C66B0">
            <w:pPr>
              <w:spacing w:after="120" w:line="240" w:lineRule="auto"/>
              <w:ind w:right="74"/>
              <w:jc w:val="right"/>
            </w:pPr>
            <w:r>
              <w:t>436</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8.8.4</w:t>
            </w:r>
          </w:p>
        </w:tc>
        <w:tc>
          <w:tcPr>
            <w:tcW w:w="6456" w:type="dxa"/>
            <w:gridSpan w:val="6"/>
          </w:tcPr>
          <w:p w:rsidR="00412818" w:rsidRPr="00A11EE6" w:rsidRDefault="00412818" w:rsidP="00761B63">
            <w:pPr>
              <w:spacing w:after="120" w:line="240" w:lineRule="auto"/>
              <w:ind w:right="74"/>
            </w:pPr>
            <w:r>
              <w:t>2 Peter</w:t>
            </w:r>
          </w:p>
        </w:tc>
        <w:tc>
          <w:tcPr>
            <w:tcW w:w="797" w:type="dxa"/>
          </w:tcPr>
          <w:p w:rsidR="00412818" w:rsidRPr="00E743FC" w:rsidRDefault="00232E17" w:rsidP="003C66B0">
            <w:pPr>
              <w:spacing w:after="120" w:line="240" w:lineRule="auto"/>
              <w:ind w:right="74"/>
              <w:jc w:val="right"/>
            </w:pPr>
            <w:r>
              <w:t>437</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8.8.5</w:t>
            </w:r>
          </w:p>
        </w:tc>
        <w:tc>
          <w:tcPr>
            <w:tcW w:w="6456" w:type="dxa"/>
            <w:gridSpan w:val="6"/>
          </w:tcPr>
          <w:p w:rsidR="00412818" w:rsidRPr="00A11EE6" w:rsidRDefault="00412818" w:rsidP="00761B63">
            <w:pPr>
              <w:spacing w:after="120" w:line="240" w:lineRule="auto"/>
              <w:ind w:right="74"/>
            </w:pPr>
            <w:r>
              <w:t>1 John</w:t>
            </w:r>
          </w:p>
        </w:tc>
        <w:tc>
          <w:tcPr>
            <w:tcW w:w="797" w:type="dxa"/>
          </w:tcPr>
          <w:p w:rsidR="00412818" w:rsidRPr="00E743FC" w:rsidRDefault="00232E17" w:rsidP="003C66B0">
            <w:pPr>
              <w:spacing w:after="120" w:line="240" w:lineRule="auto"/>
              <w:ind w:right="74"/>
              <w:jc w:val="right"/>
            </w:pPr>
            <w:r>
              <w:t>438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8.8.6</w:t>
            </w:r>
          </w:p>
        </w:tc>
        <w:tc>
          <w:tcPr>
            <w:tcW w:w="6456" w:type="dxa"/>
            <w:gridSpan w:val="6"/>
          </w:tcPr>
          <w:p w:rsidR="00412818" w:rsidRPr="00B50E31" w:rsidRDefault="00412818" w:rsidP="00761B63">
            <w:pPr>
              <w:spacing w:after="120" w:line="240" w:lineRule="auto"/>
              <w:ind w:right="74"/>
              <w:rPr>
                <w:b/>
              </w:rPr>
            </w:pPr>
            <w:r>
              <w:t>2 John</w:t>
            </w:r>
          </w:p>
        </w:tc>
        <w:tc>
          <w:tcPr>
            <w:tcW w:w="797" w:type="dxa"/>
          </w:tcPr>
          <w:p w:rsidR="00412818" w:rsidRPr="00E743FC" w:rsidRDefault="00232E17" w:rsidP="003C66B0">
            <w:pPr>
              <w:spacing w:after="120" w:line="240" w:lineRule="auto"/>
              <w:ind w:right="74"/>
              <w:jc w:val="right"/>
            </w:pPr>
            <w:r>
              <w:t>438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8.8.7</w:t>
            </w:r>
          </w:p>
        </w:tc>
        <w:tc>
          <w:tcPr>
            <w:tcW w:w="6456" w:type="dxa"/>
            <w:gridSpan w:val="6"/>
          </w:tcPr>
          <w:p w:rsidR="00412818" w:rsidRPr="00B50E31" w:rsidRDefault="00412818" w:rsidP="00761B63">
            <w:pPr>
              <w:spacing w:after="120" w:line="240" w:lineRule="auto"/>
              <w:ind w:right="74"/>
              <w:rPr>
                <w:b/>
              </w:rPr>
            </w:pPr>
            <w:r>
              <w:t>3 John</w:t>
            </w:r>
          </w:p>
        </w:tc>
        <w:tc>
          <w:tcPr>
            <w:tcW w:w="797" w:type="dxa"/>
          </w:tcPr>
          <w:p w:rsidR="00412818" w:rsidRPr="00E743FC" w:rsidRDefault="00232E17" w:rsidP="003C66B0">
            <w:pPr>
              <w:spacing w:after="120" w:line="240" w:lineRule="auto"/>
              <w:ind w:right="74"/>
              <w:jc w:val="right"/>
            </w:pPr>
            <w:r>
              <w:t>438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8.8.8</w:t>
            </w:r>
          </w:p>
        </w:tc>
        <w:tc>
          <w:tcPr>
            <w:tcW w:w="6456" w:type="dxa"/>
            <w:gridSpan w:val="6"/>
          </w:tcPr>
          <w:p w:rsidR="00412818" w:rsidRPr="00B50E31" w:rsidRDefault="00412818" w:rsidP="00761B63">
            <w:pPr>
              <w:spacing w:after="120" w:line="240" w:lineRule="auto"/>
              <w:ind w:right="74"/>
              <w:rPr>
                <w:b/>
              </w:rPr>
            </w:pPr>
            <w:r>
              <w:t>Jude</w:t>
            </w:r>
          </w:p>
        </w:tc>
        <w:tc>
          <w:tcPr>
            <w:tcW w:w="797" w:type="dxa"/>
          </w:tcPr>
          <w:p w:rsidR="00412818" w:rsidRPr="00E743FC" w:rsidRDefault="00232E17" w:rsidP="003C66B0">
            <w:pPr>
              <w:spacing w:after="120" w:line="240" w:lineRule="auto"/>
              <w:ind w:right="74"/>
              <w:jc w:val="right"/>
            </w:pPr>
            <w:r>
              <w:t>440</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8.8.9</w:t>
            </w:r>
          </w:p>
        </w:tc>
        <w:tc>
          <w:tcPr>
            <w:tcW w:w="6456" w:type="dxa"/>
            <w:gridSpan w:val="6"/>
          </w:tcPr>
          <w:p w:rsidR="00412818" w:rsidRPr="00B50E31" w:rsidRDefault="00412818" w:rsidP="00761B63">
            <w:pPr>
              <w:spacing w:after="120" w:line="240" w:lineRule="auto"/>
              <w:ind w:right="74"/>
              <w:rPr>
                <w:b/>
              </w:rPr>
            </w:pPr>
            <w:r>
              <w:t>Conclusion: the ‘Jewish-Christian’ Epistles</w:t>
            </w:r>
          </w:p>
        </w:tc>
        <w:tc>
          <w:tcPr>
            <w:tcW w:w="797" w:type="dxa"/>
          </w:tcPr>
          <w:p w:rsidR="00412818" w:rsidRPr="00E743FC" w:rsidRDefault="001E20DE" w:rsidP="003C66B0">
            <w:pPr>
              <w:spacing w:after="120" w:line="240" w:lineRule="auto"/>
              <w:ind w:right="74"/>
              <w:jc w:val="right"/>
            </w:pPr>
            <w:r>
              <w:t>442</w:t>
            </w:r>
          </w:p>
        </w:tc>
      </w:tr>
      <w:tr w:rsidR="00412818" w:rsidRPr="00B406EB" w:rsidTr="007710E7">
        <w:tc>
          <w:tcPr>
            <w:tcW w:w="657" w:type="dxa"/>
            <w:gridSpan w:val="2"/>
          </w:tcPr>
          <w:p w:rsidR="00412818" w:rsidRDefault="00412818" w:rsidP="00761B63">
            <w:pPr>
              <w:spacing w:after="0" w:line="240" w:lineRule="auto"/>
              <w:ind w:right="74"/>
            </w:pPr>
            <w:r>
              <w:lastRenderedPageBreak/>
              <w:t>8.9</w:t>
            </w:r>
          </w:p>
        </w:tc>
        <w:tc>
          <w:tcPr>
            <w:tcW w:w="7266" w:type="dxa"/>
            <w:gridSpan w:val="8"/>
          </w:tcPr>
          <w:p w:rsidR="00412818" w:rsidRPr="00B406EB" w:rsidRDefault="00412818" w:rsidP="00761B63">
            <w:pPr>
              <w:spacing w:after="120" w:line="240" w:lineRule="auto"/>
              <w:ind w:right="74"/>
            </w:pPr>
            <w:r>
              <w:t xml:space="preserve">Revelation </w:t>
            </w:r>
          </w:p>
        </w:tc>
        <w:tc>
          <w:tcPr>
            <w:tcW w:w="797" w:type="dxa"/>
          </w:tcPr>
          <w:p w:rsidR="00412818" w:rsidRPr="00B406EB" w:rsidRDefault="001E20DE" w:rsidP="003C66B0">
            <w:pPr>
              <w:spacing w:after="0" w:line="240" w:lineRule="auto"/>
              <w:ind w:right="74"/>
              <w:jc w:val="right"/>
            </w:pPr>
            <w:r>
              <w:t>442</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r>
              <w:t>8.9.1</w:t>
            </w:r>
          </w:p>
        </w:tc>
        <w:tc>
          <w:tcPr>
            <w:tcW w:w="6456" w:type="dxa"/>
            <w:gridSpan w:val="6"/>
          </w:tcPr>
          <w:p w:rsidR="00412818" w:rsidRPr="00B50E31" w:rsidRDefault="00412818" w:rsidP="00761B63">
            <w:pPr>
              <w:spacing w:after="120" w:line="240" w:lineRule="auto"/>
              <w:ind w:right="74"/>
              <w:rPr>
                <w:b/>
              </w:rPr>
            </w:pPr>
            <w:r>
              <w:t>Conclusion: Notes on Revelation</w:t>
            </w:r>
          </w:p>
        </w:tc>
        <w:tc>
          <w:tcPr>
            <w:tcW w:w="797" w:type="dxa"/>
          </w:tcPr>
          <w:p w:rsidR="00412818" w:rsidRPr="00E743FC" w:rsidRDefault="001E20DE" w:rsidP="003C66B0">
            <w:pPr>
              <w:spacing w:after="120" w:line="240" w:lineRule="auto"/>
              <w:ind w:right="74"/>
              <w:jc w:val="right"/>
            </w:pPr>
            <w:r>
              <w:t>447</w:t>
            </w:r>
          </w:p>
        </w:tc>
      </w:tr>
      <w:tr w:rsidR="00412818" w:rsidRPr="00B406EB" w:rsidTr="007710E7">
        <w:tc>
          <w:tcPr>
            <w:tcW w:w="657" w:type="dxa"/>
            <w:gridSpan w:val="2"/>
          </w:tcPr>
          <w:p w:rsidR="00412818" w:rsidRDefault="00412818" w:rsidP="00761B63">
            <w:pPr>
              <w:spacing w:after="0" w:line="240" w:lineRule="auto"/>
              <w:ind w:right="74"/>
            </w:pPr>
            <w:r>
              <w:t>8.10</w:t>
            </w:r>
          </w:p>
        </w:tc>
        <w:tc>
          <w:tcPr>
            <w:tcW w:w="7266" w:type="dxa"/>
            <w:gridSpan w:val="8"/>
          </w:tcPr>
          <w:p w:rsidR="00412818" w:rsidRPr="00B406EB" w:rsidRDefault="00412818" w:rsidP="00761B63">
            <w:pPr>
              <w:spacing w:after="120" w:line="240" w:lineRule="auto"/>
              <w:ind w:right="74"/>
            </w:pPr>
            <w:r>
              <w:t>Conclusion: Scofield’s Use of the New Testament</w:t>
            </w:r>
          </w:p>
        </w:tc>
        <w:tc>
          <w:tcPr>
            <w:tcW w:w="797" w:type="dxa"/>
          </w:tcPr>
          <w:p w:rsidR="00412818" w:rsidRPr="00B406EB" w:rsidRDefault="001E20DE" w:rsidP="003C66B0">
            <w:pPr>
              <w:spacing w:after="0" w:line="240" w:lineRule="auto"/>
              <w:ind w:right="74"/>
              <w:jc w:val="right"/>
            </w:pPr>
            <w:r>
              <w:t>448</w:t>
            </w:r>
          </w:p>
        </w:tc>
      </w:tr>
      <w:tr w:rsidR="00412818" w:rsidRPr="00E743FC" w:rsidTr="007710E7">
        <w:tc>
          <w:tcPr>
            <w:tcW w:w="657" w:type="dxa"/>
            <w:gridSpan w:val="2"/>
          </w:tcPr>
          <w:p w:rsidR="00412818" w:rsidRDefault="00412818" w:rsidP="00761B63">
            <w:pPr>
              <w:spacing w:after="0" w:line="240" w:lineRule="auto"/>
              <w:ind w:right="74"/>
            </w:pPr>
          </w:p>
        </w:tc>
        <w:tc>
          <w:tcPr>
            <w:tcW w:w="7266" w:type="dxa"/>
            <w:gridSpan w:val="8"/>
          </w:tcPr>
          <w:p w:rsidR="00412818" w:rsidRPr="004903B1" w:rsidRDefault="00412818" w:rsidP="00761B63">
            <w:pPr>
              <w:spacing w:after="120" w:line="240" w:lineRule="auto"/>
              <w:ind w:right="74"/>
              <w:rPr>
                <w:i/>
              </w:rPr>
            </w:pPr>
            <w:r w:rsidRPr="004903B1">
              <w:rPr>
                <w:i/>
              </w:rPr>
              <w:t xml:space="preserve">Endnotes, Chapter 8, Part </w:t>
            </w:r>
            <w:r>
              <w:rPr>
                <w:i/>
              </w:rPr>
              <w:t>2</w:t>
            </w:r>
          </w:p>
        </w:tc>
        <w:tc>
          <w:tcPr>
            <w:tcW w:w="797" w:type="dxa"/>
          </w:tcPr>
          <w:p w:rsidR="00412818" w:rsidRPr="00E743FC" w:rsidRDefault="001E20DE" w:rsidP="003C66B0">
            <w:pPr>
              <w:spacing w:after="0" w:line="240" w:lineRule="auto"/>
              <w:ind w:right="74"/>
              <w:jc w:val="right"/>
            </w:pPr>
            <w:r>
              <w:t>448</w:t>
            </w:r>
          </w:p>
        </w:tc>
      </w:tr>
      <w:tr w:rsidR="00412818" w:rsidRPr="00E743FC" w:rsidTr="007710E7">
        <w:tc>
          <w:tcPr>
            <w:tcW w:w="657" w:type="dxa"/>
            <w:gridSpan w:val="2"/>
          </w:tcPr>
          <w:p w:rsidR="00412818" w:rsidRPr="00E743FC" w:rsidRDefault="00412818" w:rsidP="00761B63">
            <w:pPr>
              <w:spacing w:after="120" w:line="240" w:lineRule="auto"/>
              <w:ind w:right="74"/>
            </w:pPr>
          </w:p>
        </w:tc>
        <w:tc>
          <w:tcPr>
            <w:tcW w:w="810" w:type="dxa"/>
            <w:gridSpan w:val="2"/>
          </w:tcPr>
          <w:p w:rsidR="00412818" w:rsidRDefault="00412818" w:rsidP="00761B63">
            <w:pPr>
              <w:spacing w:after="120" w:line="240" w:lineRule="auto"/>
              <w:ind w:right="74"/>
            </w:pPr>
          </w:p>
        </w:tc>
        <w:tc>
          <w:tcPr>
            <w:tcW w:w="6456" w:type="dxa"/>
            <w:gridSpan w:val="6"/>
          </w:tcPr>
          <w:p w:rsidR="00412818" w:rsidRPr="00A11EE6" w:rsidRDefault="00412818" w:rsidP="00761B63">
            <w:pPr>
              <w:spacing w:after="120" w:line="240" w:lineRule="auto"/>
              <w:ind w:right="74"/>
            </w:pPr>
          </w:p>
        </w:tc>
        <w:tc>
          <w:tcPr>
            <w:tcW w:w="797" w:type="dxa"/>
          </w:tcPr>
          <w:p w:rsidR="00412818" w:rsidRPr="00E743FC" w:rsidRDefault="00412818" w:rsidP="003C66B0">
            <w:pPr>
              <w:spacing w:after="120" w:line="240" w:lineRule="auto"/>
              <w:ind w:right="74"/>
              <w:jc w:val="right"/>
            </w:pPr>
          </w:p>
        </w:tc>
      </w:tr>
      <w:tr w:rsidR="00412818" w:rsidRPr="00E743FC" w:rsidTr="007710E7">
        <w:trPr>
          <w:trHeight w:val="291"/>
        </w:trPr>
        <w:tc>
          <w:tcPr>
            <w:tcW w:w="7923" w:type="dxa"/>
            <w:gridSpan w:val="10"/>
          </w:tcPr>
          <w:p w:rsidR="00412818" w:rsidRPr="004A6B7A" w:rsidRDefault="00412818" w:rsidP="00761B63">
            <w:pPr>
              <w:spacing w:after="0" w:line="240" w:lineRule="auto"/>
              <w:ind w:right="74"/>
            </w:pPr>
            <w:r>
              <w:rPr>
                <w:b/>
                <w:sz w:val="24"/>
              </w:rPr>
              <w:t>CONCLUSION</w:t>
            </w:r>
            <w:r w:rsidRPr="00AF177B">
              <w:rPr>
                <w:b/>
                <w:sz w:val="24"/>
              </w:rPr>
              <w:t xml:space="preserve">  </w:t>
            </w:r>
          </w:p>
        </w:tc>
        <w:tc>
          <w:tcPr>
            <w:tcW w:w="797" w:type="dxa"/>
          </w:tcPr>
          <w:p w:rsidR="00412818" w:rsidRPr="00E743FC" w:rsidRDefault="0027121A" w:rsidP="003C66B0">
            <w:pPr>
              <w:ind w:right="74"/>
              <w:jc w:val="right"/>
            </w:pPr>
            <w:r>
              <w:t>467</w:t>
            </w:r>
          </w:p>
        </w:tc>
      </w:tr>
      <w:tr w:rsidR="00412818" w:rsidRPr="00E743FC" w:rsidTr="007710E7">
        <w:tc>
          <w:tcPr>
            <w:tcW w:w="648" w:type="dxa"/>
          </w:tcPr>
          <w:p w:rsidR="00412818" w:rsidRPr="00E743FC" w:rsidRDefault="00412818" w:rsidP="00761B63">
            <w:pPr>
              <w:spacing w:after="120" w:line="240" w:lineRule="auto"/>
              <w:ind w:right="74"/>
            </w:pPr>
          </w:p>
        </w:tc>
        <w:tc>
          <w:tcPr>
            <w:tcW w:w="4826" w:type="dxa"/>
            <w:gridSpan w:val="7"/>
          </w:tcPr>
          <w:p w:rsidR="00412818" w:rsidRPr="00536705" w:rsidRDefault="00412818" w:rsidP="00761B63">
            <w:pPr>
              <w:spacing w:after="120" w:line="240" w:lineRule="auto"/>
              <w:ind w:right="74"/>
            </w:pPr>
            <w:r w:rsidRPr="00536705">
              <w:t>Research Questions</w:t>
            </w:r>
          </w:p>
        </w:tc>
        <w:tc>
          <w:tcPr>
            <w:tcW w:w="2449" w:type="dxa"/>
            <w:gridSpan w:val="2"/>
          </w:tcPr>
          <w:p w:rsidR="00412818" w:rsidRPr="00E743FC" w:rsidRDefault="00412818" w:rsidP="00761B63">
            <w:pPr>
              <w:spacing w:after="120" w:line="240" w:lineRule="auto"/>
              <w:ind w:right="74"/>
            </w:pPr>
          </w:p>
        </w:tc>
        <w:tc>
          <w:tcPr>
            <w:tcW w:w="797" w:type="dxa"/>
          </w:tcPr>
          <w:p w:rsidR="00412818" w:rsidRPr="00E743FC" w:rsidRDefault="0027121A" w:rsidP="003C66B0">
            <w:pPr>
              <w:spacing w:after="120" w:line="240" w:lineRule="auto"/>
              <w:ind w:right="74"/>
              <w:jc w:val="right"/>
            </w:pPr>
            <w:r>
              <w:t>467</w:t>
            </w:r>
          </w:p>
        </w:tc>
      </w:tr>
      <w:tr w:rsidR="00412818" w:rsidRPr="00E743FC" w:rsidTr="007710E7">
        <w:tc>
          <w:tcPr>
            <w:tcW w:w="648" w:type="dxa"/>
          </w:tcPr>
          <w:p w:rsidR="00412818" w:rsidRPr="00E743FC" w:rsidRDefault="00412818" w:rsidP="00761B63">
            <w:pPr>
              <w:spacing w:after="120" w:line="240" w:lineRule="auto"/>
              <w:ind w:right="74"/>
            </w:pPr>
          </w:p>
        </w:tc>
        <w:tc>
          <w:tcPr>
            <w:tcW w:w="4826" w:type="dxa"/>
            <w:gridSpan w:val="7"/>
          </w:tcPr>
          <w:p w:rsidR="00412818" w:rsidRPr="00536705" w:rsidRDefault="00412818" w:rsidP="00761B63">
            <w:pPr>
              <w:spacing w:after="120" w:line="240" w:lineRule="auto"/>
              <w:ind w:right="74"/>
            </w:pPr>
            <w:r w:rsidRPr="00536705">
              <w:t>Summary</w:t>
            </w:r>
          </w:p>
        </w:tc>
        <w:tc>
          <w:tcPr>
            <w:tcW w:w="2449" w:type="dxa"/>
            <w:gridSpan w:val="2"/>
          </w:tcPr>
          <w:p w:rsidR="00412818" w:rsidRPr="00E743FC" w:rsidRDefault="00412818" w:rsidP="00761B63">
            <w:pPr>
              <w:spacing w:after="120" w:line="240" w:lineRule="auto"/>
              <w:ind w:right="74"/>
            </w:pPr>
          </w:p>
        </w:tc>
        <w:tc>
          <w:tcPr>
            <w:tcW w:w="797" w:type="dxa"/>
          </w:tcPr>
          <w:p w:rsidR="00412818" w:rsidRPr="00E743FC" w:rsidRDefault="0027121A" w:rsidP="003C66B0">
            <w:pPr>
              <w:spacing w:after="120" w:line="240" w:lineRule="auto"/>
              <w:ind w:right="74"/>
              <w:jc w:val="right"/>
            </w:pPr>
            <w:r>
              <w:t>472</w:t>
            </w:r>
          </w:p>
        </w:tc>
      </w:tr>
      <w:tr w:rsidR="00412818" w:rsidRPr="00E743FC" w:rsidTr="007710E7">
        <w:tc>
          <w:tcPr>
            <w:tcW w:w="648" w:type="dxa"/>
          </w:tcPr>
          <w:p w:rsidR="00412818" w:rsidRPr="00E743FC" w:rsidRDefault="00412818" w:rsidP="00761B63">
            <w:pPr>
              <w:spacing w:after="120" w:line="240" w:lineRule="auto"/>
              <w:ind w:right="74"/>
            </w:pPr>
          </w:p>
        </w:tc>
        <w:tc>
          <w:tcPr>
            <w:tcW w:w="4826" w:type="dxa"/>
            <w:gridSpan w:val="7"/>
          </w:tcPr>
          <w:p w:rsidR="00412818" w:rsidRPr="00536705" w:rsidRDefault="00412818" w:rsidP="00ED6C86">
            <w:pPr>
              <w:spacing w:after="120" w:line="240" w:lineRule="auto"/>
              <w:ind w:right="74"/>
            </w:pPr>
            <w:r w:rsidRPr="00536705">
              <w:t xml:space="preserve">Contribution to </w:t>
            </w:r>
            <w:r w:rsidR="00ED6C86">
              <w:t>Research</w:t>
            </w:r>
          </w:p>
        </w:tc>
        <w:tc>
          <w:tcPr>
            <w:tcW w:w="2449" w:type="dxa"/>
            <w:gridSpan w:val="2"/>
          </w:tcPr>
          <w:p w:rsidR="00412818" w:rsidRPr="00E743FC" w:rsidRDefault="00412818" w:rsidP="00761B63">
            <w:pPr>
              <w:spacing w:after="120" w:line="240" w:lineRule="auto"/>
              <w:ind w:right="74"/>
            </w:pPr>
          </w:p>
        </w:tc>
        <w:tc>
          <w:tcPr>
            <w:tcW w:w="797" w:type="dxa"/>
          </w:tcPr>
          <w:p w:rsidR="00412818" w:rsidRPr="00E743FC" w:rsidRDefault="0027121A" w:rsidP="003C66B0">
            <w:pPr>
              <w:spacing w:after="120" w:line="240" w:lineRule="auto"/>
              <w:ind w:right="74"/>
              <w:jc w:val="right"/>
            </w:pPr>
            <w:r>
              <w:t>472</w:t>
            </w:r>
          </w:p>
        </w:tc>
      </w:tr>
      <w:tr w:rsidR="00412818" w:rsidRPr="00E743FC" w:rsidTr="007710E7">
        <w:tc>
          <w:tcPr>
            <w:tcW w:w="657" w:type="dxa"/>
            <w:gridSpan w:val="2"/>
          </w:tcPr>
          <w:p w:rsidR="00412818" w:rsidRDefault="00412818" w:rsidP="00761B63">
            <w:pPr>
              <w:spacing w:after="0" w:line="240" w:lineRule="auto"/>
              <w:ind w:right="74"/>
            </w:pPr>
          </w:p>
        </w:tc>
        <w:tc>
          <w:tcPr>
            <w:tcW w:w="7266" w:type="dxa"/>
            <w:gridSpan w:val="8"/>
          </w:tcPr>
          <w:p w:rsidR="00412818" w:rsidRPr="004903B1" w:rsidRDefault="00412818" w:rsidP="00761B63">
            <w:pPr>
              <w:spacing w:after="120" w:line="240" w:lineRule="auto"/>
              <w:ind w:right="74"/>
              <w:rPr>
                <w:i/>
              </w:rPr>
            </w:pPr>
            <w:r w:rsidRPr="004903B1">
              <w:rPr>
                <w:i/>
              </w:rPr>
              <w:t xml:space="preserve">Endnotes, </w:t>
            </w:r>
            <w:r>
              <w:rPr>
                <w:i/>
              </w:rPr>
              <w:t>Conclusion</w:t>
            </w:r>
          </w:p>
        </w:tc>
        <w:tc>
          <w:tcPr>
            <w:tcW w:w="797" w:type="dxa"/>
          </w:tcPr>
          <w:p w:rsidR="00412818" w:rsidRPr="00E743FC" w:rsidRDefault="0027121A" w:rsidP="003C66B0">
            <w:pPr>
              <w:spacing w:after="0" w:line="240" w:lineRule="auto"/>
              <w:ind w:right="74"/>
              <w:jc w:val="right"/>
            </w:pPr>
            <w:r>
              <w:t>472</w:t>
            </w:r>
          </w:p>
        </w:tc>
      </w:tr>
    </w:tbl>
    <w:p w:rsidR="00412818" w:rsidRDefault="00412818" w:rsidP="00412818"/>
    <w:tbl>
      <w:tblPr>
        <w:tblW w:w="8722" w:type="dxa"/>
        <w:tblLayout w:type="fixed"/>
        <w:tblLook w:val="04A0" w:firstRow="1" w:lastRow="0" w:firstColumn="1" w:lastColumn="0" w:noHBand="0" w:noVBand="1"/>
      </w:tblPr>
      <w:tblGrid>
        <w:gridCol w:w="657"/>
        <w:gridCol w:w="713"/>
        <w:gridCol w:w="552"/>
        <w:gridCol w:w="1308"/>
        <w:gridCol w:w="624"/>
        <w:gridCol w:w="1619"/>
        <w:gridCol w:w="39"/>
        <w:gridCol w:w="2413"/>
        <w:gridCol w:w="797"/>
      </w:tblGrid>
      <w:tr w:rsidR="00412818" w:rsidRPr="00E743FC" w:rsidTr="007710E7">
        <w:tc>
          <w:tcPr>
            <w:tcW w:w="8722" w:type="dxa"/>
            <w:gridSpan w:val="9"/>
            <w:vAlign w:val="center"/>
          </w:tcPr>
          <w:p w:rsidR="00412818" w:rsidRPr="00C404EE" w:rsidRDefault="00412818" w:rsidP="00761B63">
            <w:pPr>
              <w:spacing w:after="240" w:line="240" w:lineRule="auto"/>
              <w:ind w:right="74"/>
              <w:jc w:val="center"/>
              <w:rPr>
                <w:b/>
                <w:sz w:val="2"/>
                <w:szCs w:val="32"/>
              </w:rPr>
            </w:pPr>
          </w:p>
          <w:p w:rsidR="00412818" w:rsidRPr="00E743FC" w:rsidRDefault="00412818" w:rsidP="00761B63">
            <w:pPr>
              <w:spacing w:after="240" w:line="240" w:lineRule="auto"/>
              <w:ind w:right="74"/>
              <w:jc w:val="center"/>
              <w:rPr>
                <w:b/>
                <w:sz w:val="40"/>
                <w:szCs w:val="40"/>
              </w:rPr>
            </w:pPr>
            <w:r w:rsidRPr="00E743FC">
              <w:rPr>
                <w:b/>
                <w:sz w:val="32"/>
                <w:szCs w:val="32"/>
              </w:rPr>
              <w:t xml:space="preserve">VOLUME </w:t>
            </w:r>
            <w:r>
              <w:rPr>
                <w:b/>
                <w:sz w:val="32"/>
                <w:szCs w:val="32"/>
              </w:rPr>
              <w:t>2</w:t>
            </w:r>
          </w:p>
        </w:tc>
      </w:tr>
      <w:tr w:rsidR="00412818" w:rsidRPr="00E743FC" w:rsidTr="007710E7">
        <w:tc>
          <w:tcPr>
            <w:tcW w:w="3854" w:type="dxa"/>
            <w:gridSpan w:val="5"/>
          </w:tcPr>
          <w:p w:rsidR="00412818" w:rsidRDefault="00412818" w:rsidP="00761B63">
            <w:pPr>
              <w:spacing w:after="0" w:line="240" w:lineRule="auto"/>
              <w:ind w:right="74"/>
              <w:rPr>
                <w:b/>
                <w:sz w:val="24"/>
              </w:rPr>
            </w:pPr>
            <w:r>
              <w:rPr>
                <w:b/>
                <w:sz w:val="24"/>
              </w:rPr>
              <w:t>CASE STUDIES:</w:t>
            </w:r>
          </w:p>
          <w:p w:rsidR="00412818" w:rsidRPr="00E743FC" w:rsidRDefault="00412818" w:rsidP="00761B63">
            <w:pPr>
              <w:spacing w:after="240" w:line="240" w:lineRule="auto"/>
              <w:ind w:right="74"/>
            </w:pPr>
            <w:r>
              <w:rPr>
                <w:b/>
                <w:sz w:val="24"/>
              </w:rPr>
              <w:t>Some Scholarly Interpretations of Key Texts Used by Scofield Concerning The Kingdom</w:t>
            </w:r>
          </w:p>
        </w:tc>
        <w:tc>
          <w:tcPr>
            <w:tcW w:w="1619" w:type="dxa"/>
          </w:tcPr>
          <w:p w:rsidR="00412818" w:rsidRPr="00E743FC" w:rsidRDefault="00412818" w:rsidP="00761B63">
            <w:pPr>
              <w:spacing w:after="120" w:line="360" w:lineRule="auto"/>
              <w:ind w:right="74"/>
            </w:pPr>
          </w:p>
        </w:tc>
        <w:tc>
          <w:tcPr>
            <w:tcW w:w="2452" w:type="dxa"/>
            <w:gridSpan w:val="2"/>
          </w:tcPr>
          <w:p w:rsidR="00412818" w:rsidRPr="00E743FC" w:rsidRDefault="00412818" w:rsidP="00761B63">
            <w:pPr>
              <w:spacing w:after="120" w:line="360" w:lineRule="auto"/>
              <w:ind w:right="74"/>
            </w:pPr>
          </w:p>
        </w:tc>
        <w:tc>
          <w:tcPr>
            <w:tcW w:w="797" w:type="dxa"/>
            <w:vAlign w:val="center"/>
          </w:tcPr>
          <w:p w:rsidR="00412818" w:rsidRPr="00E743FC" w:rsidRDefault="00F91838" w:rsidP="00F91838">
            <w:pPr>
              <w:spacing w:after="120"/>
              <w:ind w:right="74"/>
              <w:jc w:val="right"/>
            </w:pPr>
            <w:r>
              <w:t>475</w:t>
            </w:r>
          </w:p>
        </w:tc>
      </w:tr>
      <w:tr w:rsidR="00412818" w:rsidRPr="000529DC" w:rsidTr="007710E7">
        <w:tc>
          <w:tcPr>
            <w:tcW w:w="657" w:type="dxa"/>
          </w:tcPr>
          <w:p w:rsidR="00412818" w:rsidRPr="000529DC" w:rsidRDefault="00412818" w:rsidP="00761B63">
            <w:pPr>
              <w:spacing w:after="120" w:line="240" w:lineRule="auto"/>
              <w:ind w:right="74"/>
            </w:pPr>
          </w:p>
        </w:tc>
        <w:tc>
          <w:tcPr>
            <w:tcW w:w="4816" w:type="dxa"/>
            <w:gridSpan w:val="5"/>
          </w:tcPr>
          <w:p w:rsidR="00412818" w:rsidRPr="000529DC" w:rsidRDefault="00412818" w:rsidP="00761B63">
            <w:pPr>
              <w:spacing w:after="120" w:line="240" w:lineRule="auto"/>
              <w:ind w:right="74"/>
            </w:pPr>
            <w:r w:rsidRPr="000529DC">
              <w:t>1  Zechariah 12</w:t>
            </w:r>
          </w:p>
        </w:tc>
        <w:tc>
          <w:tcPr>
            <w:tcW w:w="2452" w:type="dxa"/>
            <w:gridSpan w:val="2"/>
          </w:tcPr>
          <w:p w:rsidR="00412818" w:rsidRPr="000529DC" w:rsidRDefault="00412818" w:rsidP="00761B63">
            <w:pPr>
              <w:spacing w:after="120" w:line="240" w:lineRule="auto"/>
              <w:ind w:right="74"/>
            </w:pPr>
          </w:p>
        </w:tc>
        <w:tc>
          <w:tcPr>
            <w:tcW w:w="797" w:type="dxa"/>
          </w:tcPr>
          <w:p w:rsidR="00412818" w:rsidRPr="000529DC" w:rsidRDefault="00F91838" w:rsidP="00F91838">
            <w:pPr>
              <w:spacing w:after="120" w:line="240" w:lineRule="auto"/>
              <w:ind w:right="74"/>
              <w:jc w:val="right"/>
            </w:pPr>
            <w:r>
              <w:t>475</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1  The Structure and Authorship of Deutero-Zechariah</w:t>
            </w:r>
          </w:p>
        </w:tc>
        <w:tc>
          <w:tcPr>
            <w:tcW w:w="797" w:type="dxa"/>
          </w:tcPr>
          <w:p w:rsidR="00412818" w:rsidRPr="000529DC" w:rsidRDefault="00F91838" w:rsidP="00F91838">
            <w:pPr>
              <w:spacing w:after="120" w:line="240" w:lineRule="auto"/>
              <w:ind w:right="74"/>
              <w:jc w:val="right"/>
            </w:pPr>
            <w:r>
              <w:t>475</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2  The Historical Context of Deutero-Zechariah</w:t>
            </w:r>
          </w:p>
        </w:tc>
        <w:tc>
          <w:tcPr>
            <w:tcW w:w="797" w:type="dxa"/>
          </w:tcPr>
          <w:p w:rsidR="00412818" w:rsidRPr="000529DC" w:rsidRDefault="00F91838" w:rsidP="00F91838">
            <w:pPr>
              <w:spacing w:after="120" w:line="240" w:lineRule="auto"/>
              <w:ind w:right="74"/>
              <w:jc w:val="right"/>
            </w:pPr>
            <w:r>
              <w:t>476</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3  The Genre of Deutero-Zechariah</w:t>
            </w:r>
          </w:p>
        </w:tc>
        <w:tc>
          <w:tcPr>
            <w:tcW w:w="797" w:type="dxa"/>
          </w:tcPr>
          <w:p w:rsidR="00412818" w:rsidRPr="000529DC" w:rsidRDefault="00F91838" w:rsidP="00F91838">
            <w:pPr>
              <w:spacing w:after="120" w:line="240" w:lineRule="auto"/>
              <w:ind w:right="74"/>
              <w:jc w:val="right"/>
            </w:pPr>
            <w:r>
              <w:t>477</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4  Scholarly Exegesis of Zechariah 12</w:t>
            </w:r>
          </w:p>
        </w:tc>
        <w:tc>
          <w:tcPr>
            <w:tcW w:w="797" w:type="dxa"/>
          </w:tcPr>
          <w:p w:rsidR="00412818" w:rsidRPr="000529DC" w:rsidRDefault="00F91838" w:rsidP="00F91838">
            <w:pPr>
              <w:spacing w:after="120" w:line="240" w:lineRule="auto"/>
              <w:ind w:right="74"/>
              <w:jc w:val="right"/>
            </w:pPr>
            <w:r>
              <w:t>478</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761B63">
            <w:pPr>
              <w:spacing w:after="120" w:line="240" w:lineRule="auto"/>
              <w:ind w:right="74"/>
            </w:pPr>
            <w:r w:rsidRPr="000529DC">
              <w:t>A  Commentary on Zechariah 12:2-4, 6-7, 9 and 11-14</w:t>
            </w:r>
          </w:p>
        </w:tc>
        <w:tc>
          <w:tcPr>
            <w:tcW w:w="797" w:type="dxa"/>
          </w:tcPr>
          <w:p w:rsidR="00412818" w:rsidRPr="000529DC" w:rsidRDefault="00F91838" w:rsidP="00F91838">
            <w:pPr>
              <w:spacing w:after="120" w:line="240" w:lineRule="auto"/>
              <w:ind w:right="74"/>
              <w:jc w:val="right"/>
            </w:pPr>
            <w:r>
              <w:t>478</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12:2</w:t>
            </w:r>
          </w:p>
        </w:tc>
        <w:tc>
          <w:tcPr>
            <w:tcW w:w="797" w:type="dxa"/>
          </w:tcPr>
          <w:p w:rsidR="00412818" w:rsidRPr="000529DC" w:rsidRDefault="00F91838" w:rsidP="00F91838">
            <w:pPr>
              <w:spacing w:after="120" w:line="240" w:lineRule="auto"/>
              <w:ind w:right="74"/>
              <w:jc w:val="right"/>
            </w:pPr>
            <w:r>
              <w:t>478</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12:3</w:t>
            </w:r>
          </w:p>
        </w:tc>
        <w:tc>
          <w:tcPr>
            <w:tcW w:w="797" w:type="dxa"/>
          </w:tcPr>
          <w:p w:rsidR="00412818" w:rsidRPr="000529DC" w:rsidRDefault="00F91838" w:rsidP="00F91838">
            <w:pPr>
              <w:spacing w:after="120" w:line="240" w:lineRule="auto"/>
              <w:ind w:right="74"/>
              <w:jc w:val="right"/>
            </w:pPr>
            <w:r>
              <w:t>479</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12:4</w:t>
            </w:r>
          </w:p>
        </w:tc>
        <w:tc>
          <w:tcPr>
            <w:tcW w:w="797" w:type="dxa"/>
          </w:tcPr>
          <w:p w:rsidR="00412818" w:rsidRPr="000529DC" w:rsidRDefault="00F91838" w:rsidP="00F91838">
            <w:pPr>
              <w:spacing w:after="120" w:line="240" w:lineRule="auto"/>
              <w:ind w:right="74"/>
              <w:jc w:val="right"/>
            </w:pPr>
            <w:r>
              <w:t>479</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12:6</w:t>
            </w:r>
          </w:p>
        </w:tc>
        <w:tc>
          <w:tcPr>
            <w:tcW w:w="797" w:type="dxa"/>
          </w:tcPr>
          <w:p w:rsidR="00412818" w:rsidRPr="000529DC" w:rsidRDefault="00F91838" w:rsidP="00F91838">
            <w:pPr>
              <w:spacing w:after="120" w:line="240" w:lineRule="auto"/>
              <w:ind w:right="74"/>
              <w:jc w:val="right"/>
            </w:pPr>
            <w:r>
              <w:t>479</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12:7, 9 and 11</w:t>
            </w:r>
          </w:p>
        </w:tc>
        <w:tc>
          <w:tcPr>
            <w:tcW w:w="797" w:type="dxa"/>
          </w:tcPr>
          <w:p w:rsidR="00412818" w:rsidRPr="000529DC" w:rsidRDefault="00F91838" w:rsidP="00F91838">
            <w:pPr>
              <w:spacing w:after="120" w:line="240" w:lineRule="auto"/>
              <w:ind w:right="74"/>
              <w:jc w:val="right"/>
            </w:pPr>
            <w:r>
              <w:t>479</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12:12-14</w:t>
            </w:r>
          </w:p>
        </w:tc>
        <w:tc>
          <w:tcPr>
            <w:tcW w:w="797" w:type="dxa"/>
          </w:tcPr>
          <w:p w:rsidR="00412818" w:rsidRPr="000529DC" w:rsidRDefault="00F91838" w:rsidP="00F91838">
            <w:pPr>
              <w:spacing w:after="120" w:line="240" w:lineRule="auto"/>
              <w:ind w:right="74"/>
              <w:jc w:val="right"/>
            </w:pPr>
            <w:r>
              <w:t>480</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761B63">
            <w:pPr>
              <w:spacing w:after="120" w:line="240" w:lineRule="auto"/>
              <w:ind w:right="74"/>
            </w:pPr>
            <w:r w:rsidRPr="000529DC">
              <w:t>B  Commentary on Problematic Verses</w:t>
            </w:r>
          </w:p>
        </w:tc>
        <w:tc>
          <w:tcPr>
            <w:tcW w:w="797" w:type="dxa"/>
          </w:tcPr>
          <w:p w:rsidR="00412818" w:rsidRPr="000529DC" w:rsidRDefault="00F91838" w:rsidP="00F91838">
            <w:pPr>
              <w:spacing w:after="120" w:line="240" w:lineRule="auto"/>
              <w:ind w:right="74"/>
              <w:jc w:val="right"/>
            </w:pPr>
            <w:r>
              <w:t>480</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12:1</w:t>
            </w:r>
          </w:p>
        </w:tc>
        <w:tc>
          <w:tcPr>
            <w:tcW w:w="797" w:type="dxa"/>
          </w:tcPr>
          <w:p w:rsidR="00412818" w:rsidRPr="000529DC" w:rsidRDefault="00F91838" w:rsidP="00F91838">
            <w:pPr>
              <w:spacing w:after="120" w:line="240" w:lineRule="auto"/>
              <w:ind w:right="74"/>
              <w:jc w:val="right"/>
            </w:pPr>
            <w:r>
              <w:t>480</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12:5</w:t>
            </w:r>
          </w:p>
        </w:tc>
        <w:tc>
          <w:tcPr>
            <w:tcW w:w="797" w:type="dxa"/>
          </w:tcPr>
          <w:p w:rsidR="00412818" w:rsidRPr="000529DC" w:rsidRDefault="00F91838" w:rsidP="00F91838">
            <w:pPr>
              <w:spacing w:after="120" w:line="240" w:lineRule="auto"/>
              <w:ind w:right="74"/>
              <w:jc w:val="right"/>
            </w:pPr>
            <w:r>
              <w:t>480</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1308" w:type="dxa"/>
          </w:tcPr>
          <w:p w:rsidR="00412818" w:rsidRPr="000529DC" w:rsidRDefault="00412818" w:rsidP="00761B63">
            <w:pPr>
              <w:spacing w:after="120" w:line="240" w:lineRule="auto"/>
              <w:ind w:right="74"/>
            </w:pPr>
          </w:p>
        </w:tc>
        <w:tc>
          <w:tcPr>
            <w:tcW w:w="4695" w:type="dxa"/>
            <w:gridSpan w:val="4"/>
          </w:tcPr>
          <w:p w:rsidR="00412818" w:rsidRPr="000529DC" w:rsidRDefault="00412818" w:rsidP="00761B63">
            <w:pPr>
              <w:spacing w:after="120" w:line="240" w:lineRule="auto"/>
              <w:ind w:right="74"/>
            </w:pPr>
            <w:r w:rsidRPr="000529DC">
              <w:t>Zechariah 12:10</w:t>
            </w:r>
          </w:p>
        </w:tc>
        <w:tc>
          <w:tcPr>
            <w:tcW w:w="797" w:type="dxa"/>
          </w:tcPr>
          <w:p w:rsidR="00412818" w:rsidRPr="000529DC" w:rsidRDefault="00F91838" w:rsidP="00F91838">
            <w:pPr>
              <w:spacing w:after="120" w:line="240" w:lineRule="auto"/>
              <w:ind w:right="74"/>
              <w:jc w:val="right"/>
            </w:pPr>
            <w:r>
              <w:t>481</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761B63">
            <w:pPr>
              <w:spacing w:after="120" w:line="240" w:lineRule="auto"/>
              <w:ind w:right="74"/>
            </w:pPr>
            <w:r w:rsidRPr="000529DC">
              <w:t>C  Commentaries on Zechariah 12:8</w:t>
            </w:r>
          </w:p>
        </w:tc>
        <w:tc>
          <w:tcPr>
            <w:tcW w:w="797" w:type="dxa"/>
          </w:tcPr>
          <w:p w:rsidR="00412818" w:rsidRPr="000529DC" w:rsidRDefault="00F91838" w:rsidP="00F91838">
            <w:pPr>
              <w:spacing w:after="120" w:line="240" w:lineRule="auto"/>
              <w:ind w:right="74"/>
              <w:jc w:val="right"/>
            </w:pPr>
            <w:r>
              <w:t>482</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5  The Role of the House of David and Possible Messianic References: Points Emerging from Scholarly Exegesis of Zechariah 12</w:t>
            </w:r>
          </w:p>
        </w:tc>
        <w:tc>
          <w:tcPr>
            <w:tcW w:w="797" w:type="dxa"/>
            <w:vAlign w:val="center"/>
          </w:tcPr>
          <w:p w:rsidR="00412818" w:rsidRPr="000529DC" w:rsidRDefault="00F91838" w:rsidP="00F91838">
            <w:pPr>
              <w:spacing w:after="120" w:line="240" w:lineRule="auto"/>
              <w:ind w:right="74"/>
              <w:jc w:val="right"/>
            </w:pPr>
            <w:r>
              <w:t>484</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E576C8">
            <w:pPr>
              <w:spacing w:after="120" w:line="240" w:lineRule="auto"/>
              <w:ind w:right="74"/>
            </w:pPr>
            <w:r w:rsidRPr="000529DC">
              <w:t>A  The Relationship between Jerusalem and Judah</w:t>
            </w:r>
          </w:p>
        </w:tc>
        <w:tc>
          <w:tcPr>
            <w:tcW w:w="797" w:type="dxa"/>
          </w:tcPr>
          <w:p w:rsidR="00412818" w:rsidRPr="000529DC" w:rsidRDefault="00F91838" w:rsidP="00F91838">
            <w:pPr>
              <w:spacing w:after="120" w:line="240" w:lineRule="auto"/>
              <w:ind w:right="74"/>
              <w:jc w:val="right"/>
            </w:pPr>
            <w:r>
              <w:t>484</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E576C8">
            <w:pPr>
              <w:spacing w:after="120" w:line="240" w:lineRule="auto"/>
              <w:ind w:right="74"/>
            </w:pPr>
            <w:r w:rsidRPr="000529DC">
              <w:t>B  The Need for Repentance and Cleansing</w:t>
            </w:r>
          </w:p>
        </w:tc>
        <w:tc>
          <w:tcPr>
            <w:tcW w:w="797" w:type="dxa"/>
          </w:tcPr>
          <w:p w:rsidR="00412818" w:rsidRPr="000529DC" w:rsidRDefault="00F91838" w:rsidP="00F91838">
            <w:pPr>
              <w:spacing w:after="120" w:line="240" w:lineRule="auto"/>
              <w:ind w:right="74"/>
              <w:jc w:val="right"/>
            </w:pPr>
            <w:r>
              <w:t>486</w:t>
            </w:r>
          </w:p>
        </w:tc>
      </w:tr>
      <w:tr w:rsidR="00412818" w:rsidRPr="000529DC" w:rsidTr="007710E7">
        <w:tc>
          <w:tcPr>
            <w:tcW w:w="657" w:type="dxa"/>
          </w:tcPr>
          <w:p w:rsidR="00412818" w:rsidRPr="000529DC" w:rsidRDefault="00412818" w:rsidP="00761B63">
            <w:pPr>
              <w:spacing w:after="120" w:line="240" w:lineRule="auto"/>
              <w:ind w:right="74"/>
            </w:pPr>
          </w:p>
        </w:tc>
        <w:tc>
          <w:tcPr>
            <w:tcW w:w="1265" w:type="dxa"/>
            <w:gridSpan w:val="2"/>
          </w:tcPr>
          <w:p w:rsidR="00412818" w:rsidRPr="000529DC" w:rsidRDefault="00412818" w:rsidP="00761B63">
            <w:pPr>
              <w:spacing w:after="120" w:line="240" w:lineRule="auto"/>
              <w:ind w:right="74"/>
            </w:pPr>
          </w:p>
        </w:tc>
        <w:tc>
          <w:tcPr>
            <w:tcW w:w="6003" w:type="dxa"/>
            <w:gridSpan w:val="5"/>
          </w:tcPr>
          <w:p w:rsidR="00412818" w:rsidRPr="000529DC" w:rsidRDefault="00412818" w:rsidP="00E576C8">
            <w:pPr>
              <w:spacing w:after="120" w:line="240" w:lineRule="auto"/>
              <w:ind w:right="74"/>
            </w:pPr>
            <w:r w:rsidRPr="000529DC">
              <w:t>C  The Messianic Pretensions</w:t>
            </w:r>
          </w:p>
        </w:tc>
        <w:tc>
          <w:tcPr>
            <w:tcW w:w="797" w:type="dxa"/>
          </w:tcPr>
          <w:p w:rsidR="00412818" w:rsidRPr="000529DC" w:rsidRDefault="00F91838" w:rsidP="00F91838">
            <w:pPr>
              <w:spacing w:after="120" w:line="240" w:lineRule="auto"/>
              <w:ind w:right="74"/>
              <w:jc w:val="right"/>
            </w:pPr>
            <w:r>
              <w:t>486</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6  Conclusion Concerning Scofield’s Note on Zechariah 12:8</w:t>
            </w:r>
          </w:p>
        </w:tc>
        <w:tc>
          <w:tcPr>
            <w:tcW w:w="797" w:type="dxa"/>
          </w:tcPr>
          <w:p w:rsidR="00412818" w:rsidRPr="000529DC" w:rsidRDefault="00F91838" w:rsidP="00F91838">
            <w:pPr>
              <w:spacing w:after="120" w:line="240" w:lineRule="auto"/>
              <w:ind w:right="74"/>
              <w:jc w:val="right"/>
            </w:pPr>
            <w:r>
              <w:t>487</w:t>
            </w:r>
          </w:p>
        </w:tc>
      </w:tr>
      <w:tr w:rsidR="00412818" w:rsidRPr="000529DC" w:rsidTr="007710E7">
        <w:tc>
          <w:tcPr>
            <w:tcW w:w="657" w:type="dxa"/>
          </w:tcPr>
          <w:p w:rsidR="00412818" w:rsidRPr="000529DC" w:rsidRDefault="00412818" w:rsidP="00761B63">
            <w:pPr>
              <w:spacing w:after="120" w:line="240" w:lineRule="auto"/>
              <w:ind w:right="74"/>
            </w:pPr>
          </w:p>
        </w:tc>
        <w:tc>
          <w:tcPr>
            <w:tcW w:w="7268" w:type="dxa"/>
            <w:gridSpan w:val="7"/>
          </w:tcPr>
          <w:p w:rsidR="00412818" w:rsidRPr="000529DC" w:rsidRDefault="00412818" w:rsidP="00761B63">
            <w:pPr>
              <w:spacing w:after="120" w:line="240" w:lineRule="auto"/>
              <w:ind w:right="74"/>
              <w:rPr>
                <w:i/>
              </w:rPr>
            </w:pPr>
            <w:r w:rsidRPr="000529DC">
              <w:rPr>
                <w:i/>
              </w:rPr>
              <w:t>Endnotes: Case Study1: Zechariah 12:8</w:t>
            </w:r>
          </w:p>
        </w:tc>
        <w:tc>
          <w:tcPr>
            <w:tcW w:w="797" w:type="dxa"/>
          </w:tcPr>
          <w:p w:rsidR="00412818" w:rsidRPr="000529DC" w:rsidRDefault="00F91838" w:rsidP="00F91838">
            <w:pPr>
              <w:spacing w:after="120" w:line="240" w:lineRule="auto"/>
              <w:ind w:right="74"/>
              <w:jc w:val="right"/>
            </w:pPr>
            <w:r>
              <w:t>487</w:t>
            </w:r>
          </w:p>
        </w:tc>
      </w:tr>
      <w:tr w:rsidR="00412818" w:rsidRPr="000529DC" w:rsidTr="007710E7">
        <w:tc>
          <w:tcPr>
            <w:tcW w:w="657" w:type="dxa"/>
          </w:tcPr>
          <w:p w:rsidR="00412818" w:rsidRPr="000529DC" w:rsidRDefault="00412818" w:rsidP="00761B63">
            <w:pPr>
              <w:spacing w:after="120" w:line="240" w:lineRule="auto"/>
              <w:ind w:right="74"/>
            </w:pPr>
          </w:p>
        </w:tc>
        <w:tc>
          <w:tcPr>
            <w:tcW w:w="4816" w:type="dxa"/>
            <w:gridSpan w:val="5"/>
          </w:tcPr>
          <w:p w:rsidR="00412818" w:rsidRPr="000529DC" w:rsidRDefault="00412818" w:rsidP="00761B63">
            <w:pPr>
              <w:spacing w:after="120" w:line="240" w:lineRule="auto"/>
              <w:ind w:right="74"/>
            </w:pPr>
            <w:r w:rsidRPr="000529DC">
              <w:t>2  Matthew</w:t>
            </w:r>
          </w:p>
        </w:tc>
        <w:tc>
          <w:tcPr>
            <w:tcW w:w="2452" w:type="dxa"/>
            <w:gridSpan w:val="2"/>
          </w:tcPr>
          <w:p w:rsidR="00412818" w:rsidRPr="000529DC" w:rsidRDefault="00412818" w:rsidP="00761B63">
            <w:pPr>
              <w:spacing w:after="120" w:line="240" w:lineRule="auto"/>
              <w:ind w:right="74"/>
            </w:pPr>
          </w:p>
        </w:tc>
        <w:tc>
          <w:tcPr>
            <w:tcW w:w="797" w:type="dxa"/>
          </w:tcPr>
          <w:p w:rsidR="00412818" w:rsidRPr="000529DC" w:rsidRDefault="00F91838" w:rsidP="00F91838">
            <w:pPr>
              <w:spacing w:after="120" w:line="240" w:lineRule="auto"/>
              <w:ind w:right="74"/>
              <w:jc w:val="right"/>
            </w:pPr>
            <w:r>
              <w:t>493</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John the Baptist and the Kingdom in Matthew</w:t>
            </w:r>
          </w:p>
        </w:tc>
        <w:tc>
          <w:tcPr>
            <w:tcW w:w="797" w:type="dxa"/>
          </w:tcPr>
          <w:p w:rsidR="00412818" w:rsidRPr="000529DC" w:rsidRDefault="00F91838" w:rsidP="00F91838">
            <w:pPr>
              <w:spacing w:after="120" w:line="240" w:lineRule="auto"/>
              <w:ind w:right="74"/>
              <w:jc w:val="right"/>
            </w:pPr>
            <w:r>
              <w:t>493</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The Kingdom of Heaven and the Kingdom of God in Matthew</w:t>
            </w:r>
          </w:p>
        </w:tc>
        <w:tc>
          <w:tcPr>
            <w:tcW w:w="797" w:type="dxa"/>
          </w:tcPr>
          <w:p w:rsidR="00412818" w:rsidRPr="000529DC" w:rsidRDefault="00F91838" w:rsidP="00F91838">
            <w:pPr>
              <w:spacing w:after="120" w:line="240" w:lineRule="auto"/>
              <w:ind w:right="74"/>
              <w:jc w:val="right"/>
            </w:pPr>
            <w:r>
              <w:t>493</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 xml:space="preserve">The Kingdom in </w:t>
            </w:r>
            <w:r w:rsidRPr="000529DC">
              <w:rPr>
                <w:i/>
              </w:rPr>
              <w:t>SRB</w:t>
            </w:r>
            <w:r w:rsidRPr="000529DC">
              <w:t xml:space="preserve"> Notes on Parables in Matthew</w:t>
            </w:r>
          </w:p>
        </w:tc>
        <w:tc>
          <w:tcPr>
            <w:tcW w:w="797" w:type="dxa"/>
          </w:tcPr>
          <w:p w:rsidR="00412818" w:rsidRPr="000529DC" w:rsidRDefault="00F91838" w:rsidP="00F91838">
            <w:pPr>
              <w:spacing w:after="120" w:line="240" w:lineRule="auto"/>
              <w:ind w:right="74"/>
              <w:jc w:val="right"/>
            </w:pPr>
            <w:r>
              <w:t>496</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The Transfiguration in Matthew</w:t>
            </w:r>
          </w:p>
        </w:tc>
        <w:tc>
          <w:tcPr>
            <w:tcW w:w="797" w:type="dxa"/>
          </w:tcPr>
          <w:p w:rsidR="00412818" w:rsidRPr="000529DC" w:rsidRDefault="00F91838" w:rsidP="00F91838">
            <w:pPr>
              <w:spacing w:after="120" w:line="240" w:lineRule="auto"/>
              <w:ind w:right="74"/>
              <w:jc w:val="right"/>
            </w:pPr>
            <w:r>
              <w:t>497</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 xml:space="preserve">Conclusion Concerning the Kingdom in </w:t>
            </w:r>
            <w:r w:rsidRPr="000529DC">
              <w:rPr>
                <w:i/>
              </w:rPr>
              <w:t>SRB</w:t>
            </w:r>
            <w:r w:rsidRPr="000529DC">
              <w:t xml:space="preserve"> notes on Matthew</w:t>
            </w:r>
          </w:p>
        </w:tc>
        <w:tc>
          <w:tcPr>
            <w:tcW w:w="797" w:type="dxa"/>
          </w:tcPr>
          <w:p w:rsidR="00412818" w:rsidRPr="000529DC" w:rsidRDefault="00F91838" w:rsidP="00F91838">
            <w:pPr>
              <w:spacing w:after="120" w:line="240" w:lineRule="auto"/>
              <w:ind w:right="74"/>
              <w:jc w:val="right"/>
            </w:pPr>
            <w:r>
              <w:t>498</w:t>
            </w:r>
          </w:p>
        </w:tc>
      </w:tr>
      <w:tr w:rsidR="00412818" w:rsidRPr="000529DC" w:rsidTr="007710E7">
        <w:tc>
          <w:tcPr>
            <w:tcW w:w="657" w:type="dxa"/>
          </w:tcPr>
          <w:p w:rsidR="00412818" w:rsidRPr="000529DC" w:rsidRDefault="00412818" w:rsidP="00761B63">
            <w:pPr>
              <w:spacing w:after="120" w:line="240" w:lineRule="auto"/>
              <w:ind w:right="74"/>
            </w:pPr>
          </w:p>
        </w:tc>
        <w:tc>
          <w:tcPr>
            <w:tcW w:w="7268" w:type="dxa"/>
            <w:gridSpan w:val="7"/>
          </w:tcPr>
          <w:p w:rsidR="00412818" w:rsidRPr="000529DC" w:rsidRDefault="00412818" w:rsidP="00761B63">
            <w:pPr>
              <w:spacing w:after="120" w:line="240" w:lineRule="auto"/>
              <w:ind w:right="74"/>
              <w:rPr>
                <w:i/>
              </w:rPr>
            </w:pPr>
            <w:r w:rsidRPr="000529DC">
              <w:rPr>
                <w:i/>
              </w:rPr>
              <w:t>Endnotes: Case Study 2: Matthew</w:t>
            </w:r>
          </w:p>
        </w:tc>
        <w:tc>
          <w:tcPr>
            <w:tcW w:w="797" w:type="dxa"/>
          </w:tcPr>
          <w:p w:rsidR="00412818" w:rsidRPr="000529DC" w:rsidRDefault="00F91838" w:rsidP="00F91838">
            <w:pPr>
              <w:spacing w:after="120" w:line="240" w:lineRule="auto"/>
              <w:ind w:right="74"/>
              <w:jc w:val="right"/>
            </w:pPr>
            <w:r>
              <w:t>499</w:t>
            </w:r>
          </w:p>
        </w:tc>
      </w:tr>
      <w:tr w:rsidR="00412818" w:rsidRPr="000529DC" w:rsidTr="007710E7">
        <w:tc>
          <w:tcPr>
            <w:tcW w:w="657" w:type="dxa"/>
          </w:tcPr>
          <w:p w:rsidR="00412818" w:rsidRPr="000529DC" w:rsidRDefault="00412818" w:rsidP="00761B63">
            <w:pPr>
              <w:spacing w:after="120" w:line="240" w:lineRule="auto"/>
              <w:ind w:right="74"/>
            </w:pPr>
          </w:p>
        </w:tc>
        <w:tc>
          <w:tcPr>
            <w:tcW w:w="4816" w:type="dxa"/>
            <w:gridSpan w:val="5"/>
          </w:tcPr>
          <w:p w:rsidR="00412818" w:rsidRPr="000529DC" w:rsidRDefault="00412818" w:rsidP="00761B63">
            <w:pPr>
              <w:spacing w:after="120" w:line="240" w:lineRule="auto"/>
              <w:ind w:right="74"/>
            </w:pPr>
            <w:r w:rsidRPr="000529DC">
              <w:t>3  1 Corinthians 15:24</w:t>
            </w:r>
          </w:p>
        </w:tc>
        <w:tc>
          <w:tcPr>
            <w:tcW w:w="2452" w:type="dxa"/>
            <w:gridSpan w:val="2"/>
          </w:tcPr>
          <w:p w:rsidR="00412818" w:rsidRPr="000529DC" w:rsidRDefault="00412818" w:rsidP="00761B63">
            <w:pPr>
              <w:spacing w:after="120" w:line="240" w:lineRule="auto"/>
              <w:ind w:right="74"/>
            </w:pPr>
          </w:p>
        </w:tc>
        <w:tc>
          <w:tcPr>
            <w:tcW w:w="797" w:type="dxa"/>
          </w:tcPr>
          <w:p w:rsidR="00412818" w:rsidRPr="000529DC" w:rsidRDefault="00024CA8" w:rsidP="00F91838">
            <w:pPr>
              <w:spacing w:after="120" w:line="240" w:lineRule="auto"/>
              <w:ind w:right="74"/>
              <w:jc w:val="right"/>
            </w:pPr>
            <w:r>
              <w:t>503</w:t>
            </w:r>
          </w:p>
        </w:tc>
      </w:tr>
      <w:tr w:rsidR="00412818" w:rsidRPr="000529DC" w:rsidTr="007710E7">
        <w:tc>
          <w:tcPr>
            <w:tcW w:w="657" w:type="dxa"/>
          </w:tcPr>
          <w:p w:rsidR="00412818" w:rsidRPr="000529DC" w:rsidRDefault="00412818" w:rsidP="00761B63">
            <w:pPr>
              <w:spacing w:after="120" w:line="240" w:lineRule="auto"/>
              <w:ind w:right="74"/>
            </w:pPr>
          </w:p>
        </w:tc>
        <w:tc>
          <w:tcPr>
            <w:tcW w:w="713" w:type="dxa"/>
          </w:tcPr>
          <w:p w:rsidR="00412818" w:rsidRPr="000529DC" w:rsidRDefault="00412818" w:rsidP="00761B63">
            <w:pPr>
              <w:spacing w:after="120" w:line="240" w:lineRule="auto"/>
              <w:ind w:right="74"/>
            </w:pPr>
          </w:p>
        </w:tc>
        <w:tc>
          <w:tcPr>
            <w:tcW w:w="6555" w:type="dxa"/>
            <w:gridSpan w:val="6"/>
          </w:tcPr>
          <w:p w:rsidR="00412818" w:rsidRPr="000529DC" w:rsidRDefault="00412818" w:rsidP="00761B63">
            <w:pPr>
              <w:spacing w:after="120" w:line="240" w:lineRule="auto"/>
              <w:ind w:right="74"/>
            </w:pPr>
            <w:r w:rsidRPr="000529DC">
              <w:t>Conclusion Concerning Scofield’s Note on 1 Corinthians 15:24</w:t>
            </w:r>
          </w:p>
        </w:tc>
        <w:tc>
          <w:tcPr>
            <w:tcW w:w="797" w:type="dxa"/>
          </w:tcPr>
          <w:p w:rsidR="00412818" w:rsidRPr="000529DC" w:rsidRDefault="00024CA8" w:rsidP="00F91838">
            <w:pPr>
              <w:spacing w:after="120" w:line="240" w:lineRule="auto"/>
              <w:ind w:right="74"/>
              <w:jc w:val="right"/>
            </w:pPr>
            <w:r>
              <w:t>507</w:t>
            </w:r>
          </w:p>
        </w:tc>
      </w:tr>
      <w:tr w:rsidR="00412818" w:rsidRPr="000529DC" w:rsidTr="007710E7">
        <w:tc>
          <w:tcPr>
            <w:tcW w:w="657" w:type="dxa"/>
          </w:tcPr>
          <w:p w:rsidR="00412818" w:rsidRPr="000529DC" w:rsidRDefault="00412818" w:rsidP="00761B63">
            <w:pPr>
              <w:spacing w:after="120" w:line="240" w:lineRule="auto"/>
              <w:ind w:right="74"/>
            </w:pPr>
          </w:p>
        </w:tc>
        <w:tc>
          <w:tcPr>
            <w:tcW w:w="7268" w:type="dxa"/>
            <w:gridSpan w:val="7"/>
          </w:tcPr>
          <w:p w:rsidR="00412818" w:rsidRPr="000529DC" w:rsidRDefault="00412818" w:rsidP="00761B63">
            <w:pPr>
              <w:spacing w:after="120" w:line="240" w:lineRule="auto"/>
              <w:ind w:right="74"/>
              <w:rPr>
                <w:i/>
              </w:rPr>
            </w:pPr>
            <w:r w:rsidRPr="000529DC">
              <w:rPr>
                <w:i/>
              </w:rPr>
              <w:t>Endnotes: Case Study 3: 1 Corinthians 15:24</w:t>
            </w:r>
          </w:p>
        </w:tc>
        <w:tc>
          <w:tcPr>
            <w:tcW w:w="797" w:type="dxa"/>
          </w:tcPr>
          <w:p w:rsidR="00412818" w:rsidRPr="000529DC" w:rsidRDefault="00024CA8" w:rsidP="00F91838">
            <w:pPr>
              <w:spacing w:after="120" w:line="240" w:lineRule="auto"/>
              <w:ind w:right="74"/>
              <w:jc w:val="right"/>
            </w:pPr>
            <w:r>
              <w:t>508</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1308" w:type="dxa"/>
          </w:tcPr>
          <w:p w:rsidR="00412818" w:rsidRDefault="00412818" w:rsidP="00761B63">
            <w:pPr>
              <w:spacing w:after="120" w:line="240" w:lineRule="auto"/>
              <w:ind w:right="74"/>
            </w:pPr>
          </w:p>
        </w:tc>
        <w:tc>
          <w:tcPr>
            <w:tcW w:w="4695" w:type="dxa"/>
            <w:gridSpan w:val="4"/>
          </w:tcPr>
          <w:p w:rsidR="00412818" w:rsidRPr="008F256E" w:rsidRDefault="00412818" w:rsidP="00761B63">
            <w:pPr>
              <w:spacing w:after="120" w:line="240" w:lineRule="auto"/>
              <w:ind w:right="74"/>
            </w:pPr>
          </w:p>
        </w:tc>
        <w:tc>
          <w:tcPr>
            <w:tcW w:w="797" w:type="dxa"/>
          </w:tcPr>
          <w:p w:rsidR="00412818" w:rsidRPr="00E743FC" w:rsidRDefault="00412818" w:rsidP="00F91838">
            <w:pPr>
              <w:spacing w:after="120" w:line="240" w:lineRule="auto"/>
              <w:ind w:right="74"/>
              <w:jc w:val="right"/>
            </w:pPr>
          </w:p>
        </w:tc>
      </w:tr>
      <w:tr w:rsidR="00412818" w:rsidRPr="00E743FC" w:rsidTr="007710E7">
        <w:tc>
          <w:tcPr>
            <w:tcW w:w="3854" w:type="dxa"/>
            <w:gridSpan w:val="5"/>
            <w:vAlign w:val="center"/>
          </w:tcPr>
          <w:p w:rsidR="00412818" w:rsidRPr="00E743FC" w:rsidRDefault="00412818" w:rsidP="00761B63">
            <w:pPr>
              <w:spacing w:after="0" w:line="240" w:lineRule="auto"/>
              <w:ind w:right="74"/>
            </w:pPr>
            <w:r>
              <w:rPr>
                <w:b/>
                <w:sz w:val="24"/>
              </w:rPr>
              <w:t>TABLES</w:t>
            </w:r>
          </w:p>
        </w:tc>
        <w:tc>
          <w:tcPr>
            <w:tcW w:w="1619" w:type="dxa"/>
          </w:tcPr>
          <w:p w:rsidR="00412818" w:rsidRPr="00E743FC" w:rsidRDefault="00412818" w:rsidP="00761B63">
            <w:pPr>
              <w:spacing w:after="120" w:line="360" w:lineRule="auto"/>
              <w:ind w:right="74"/>
            </w:pPr>
          </w:p>
        </w:tc>
        <w:tc>
          <w:tcPr>
            <w:tcW w:w="2452" w:type="dxa"/>
            <w:gridSpan w:val="2"/>
          </w:tcPr>
          <w:p w:rsidR="00412818" w:rsidRPr="00E743FC" w:rsidRDefault="00412818" w:rsidP="00761B63">
            <w:pPr>
              <w:spacing w:after="120" w:line="360" w:lineRule="auto"/>
              <w:ind w:right="74"/>
            </w:pPr>
          </w:p>
        </w:tc>
        <w:tc>
          <w:tcPr>
            <w:tcW w:w="797" w:type="dxa"/>
            <w:vAlign w:val="center"/>
          </w:tcPr>
          <w:p w:rsidR="00412818" w:rsidRPr="00E743FC" w:rsidRDefault="00024CA8" w:rsidP="00024CA8">
            <w:pPr>
              <w:spacing w:after="120"/>
              <w:ind w:right="74"/>
              <w:jc w:val="right"/>
            </w:pPr>
            <w:r>
              <w:t>511</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Pr="00536705" w:rsidRDefault="00412818" w:rsidP="00761B63">
            <w:pPr>
              <w:spacing w:after="120" w:line="240" w:lineRule="auto"/>
              <w:ind w:right="74"/>
            </w:pPr>
            <w:r>
              <w:t>‘Near’ and ‘Far’ Prophecy</w:t>
            </w: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024CA8" w:rsidP="00F91838">
            <w:pPr>
              <w:spacing w:after="120" w:line="240" w:lineRule="auto"/>
              <w:ind w:right="74"/>
              <w:jc w:val="right"/>
            </w:pPr>
            <w:r>
              <w:t>511</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Pr="00536705" w:rsidRDefault="00412818" w:rsidP="00761B63">
            <w:pPr>
              <w:spacing w:after="120" w:line="240" w:lineRule="auto"/>
              <w:ind w:right="74"/>
            </w:pPr>
            <w:r>
              <w:t>As Yet Unfulfilled Prophecy</w:t>
            </w: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024CA8" w:rsidP="00F91838">
            <w:pPr>
              <w:spacing w:after="120" w:line="240" w:lineRule="auto"/>
              <w:ind w:right="74"/>
              <w:jc w:val="right"/>
            </w:pPr>
            <w:r>
              <w:t>515</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Default="00412818" w:rsidP="00761B63">
            <w:pPr>
              <w:spacing w:after="120" w:line="240" w:lineRule="auto"/>
              <w:ind w:right="74"/>
            </w:pP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412818" w:rsidP="00F91838">
            <w:pPr>
              <w:spacing w:after="120" w:line="240" w:lineRule="auto"/>
              <w:ind w:right="74"/>
              <w:jc w:val="right"/>
            </w:pPr>
          </w:p>
        </w:tc>
      </w:tr>
      <w:tr w:rsidR="00024CA8" w:rsidRPr="00E743FC" w:rsidTr="007710E7">
        <w:tc>
          <w:tcPr>
            <w:tcW w:w="7925" w:type="dxa"/>
            <w:gridSpan w:val="8"/>
            <w:vAlign w:val="center"/>
          </w:tcPr>
          <w:p w:rsidR="00024CA8" w:rsidRPr="00E743FC" w:rsidRDefault="00024CA8" w:rsidP="00BA6C26">
            <w:pPr>
              <w:spacing w:after="120" w:line="360" w:lineRule="auto"/>
              <w:ind w:right="74"/>
            </w:pPr>
            <w:r w:rsidRPr="00024CA8">
              <w:rPr>
                <w:b/>
                <w:sz w:val="24"/>
              </w:rPr>
              <w:t>TABLES ON WHICH THE GRAPHS IN CHAPTER 8 ARE BASED</w:t>
            </w:r>
          </w:p>
        </w:tc>
        <w:tc>
          <w:tcPr>
            <w:tcW w:w="797" w:type="dxa"/>
          </w:tcPr>
          <w:p w:rsidR="00024CA8" w:rsidRPr="00E743FC" w:rsidRDefault="00024CA8" w:rsidP="00F91838">
            <w:pPr>
              <w:spacing w:after="120"/>
              <w:ind w:right="74"/>
              <w:jc w:val="right"/>
            </w:pPr>
            <w:r>
              <w:t>539</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1308" w:type="dxa"/>
          </w:tcPr>
          <w:p w:rsidR="00412818" w:rsidRDefault="00412818" w:rsidP="00761B63">
            <w:pPr>
              <w:spacing w:after="120" w:line="240" w:lineRule="auto"/>
              <w:ind w:right="74"/>
            </w:pPr>
          </w:p>
        </w:tc>
        <w:tc>
          <w:tcPr>
            <w:tcW w:w="4695" w:type="dxa"/>
            <w:gridSpan w:val="4"/>
          </w:tcPr>
          <w:p w:rsidR="00412818" w:rsidRPr="008F256E" w:rsidRDefault="00412818" w:rsidP="00761B63">
            <w:pPr>
              <w:spacing w:after="120" w:line="240" w:lineRule="auto"/>
              <w:ind w:right="74"/>
            </w:pPr>
          </w:p>
        </w:tc>
        <w:tc>
          <w:tcPr>
            <w:tcW w:w="797" w:type="dxa"/>
          </w:tcPr>
          <w:p w:rsidR="00412818" w:rsidRPr="00E743FC" w:rsidRDefault="00412818" w:rsidP="00F91838">
            <w:pPr>
              <w:spacing w:after="120" w:line="240" w:lineRule="auto"/>
              <w:ind w:right="74"/>
              <w:jc w:val="right"/>
            </w:pPr>
          </w:p>
        </w:tc>
      </w:tr>
      <w:tr w:rsidR="00412818" w:rsidRPr="00E743FC" w:rsidTr="007710E7">
        <w:tc>
          <w:tcPr>
            <w:tcW w:w="3854" w:type="dxa"/>
            <w:gridSpan w:val="5"/>
            <w:vAlign w:val="center"/>
          </w:tcPr>
          <w:p w:rsidR="00412818" w:rsidRDefault="00412818" w:rsidP="00761B63">
            <w:pPr>
              <w:spacing w:after="0" w:line="240" w:lineRule="auto"/>
              <w:ind w:right="74"/>
              <w:rPr>
                <w:b/>
                <w:sz w:val="24"/>
              </w:rPr>
            </w:pPr>
            <w:r>
              <w:rPr>
                <w:b/>
                <w:sz w:val="24"/>
              </w:rPr>
              <w:t>BIBLIOGRAPHY</w:t>
            </w:r>
          </w:p>
        </w:tc>
        <w:tc>
          <w:tcPr>
            <w:tcW w:w="1619" w:type="dxa"/>
          </w:tcPr>
          <w:p w:rsidR="00412818" w:rsidRPr="00E743FC" w:rsidRDefault="00412818" w:rsidP="00761B63">
            <w:pPr>
              <w:spacing w:after="120" w:line="360" w:lineRule="auto"/>
              <w:ind w:right="74"/>
            </w:pPr>
          </w:p>
        </w:tc>
        <w:tc>
          <w:tcPr>
            <w:tcW w:w="2452" w:type="dxa"/>
            <w:gridSpan w:val="2"/>
          </w:tcPr>
          <w:p w:rsidR="00412818" w:rsidRPr="00E743FC" w:rsidRDefault="00412818" w:rsidP="00761B63">
            <w:pPr>
              <w:spacing w:after="120" w:line="360" w:lineRule="auto"/>
              <w:ind w:right="74"/>
            </w:pPr>
          </w:p>
        </w:tc>
        <w:tc>
          <w:tcPr>
            <w:tcW w:w="797" w:type="dxa"/>
            <w:vAlign w:val="center"/>
          </w:tcPr>
          <w:p w:rsidR="00412818" w:rsidRPr="00E743FC" w:rsidRDefault="00826C22" w:rsidP="005D1C17">
            <w:pPr>
              <w:spacing w:after="120"/>
              <w:ind w:right="74"/>
              <w:jc w:val="right"/>
            </w:pPr>
            <w:r>
              <w:t>561</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Pr="00536705" w:rsidRDefault="00412818" w:rsidP="00761B63">
            <w:pPr>
              <w:spacing w:after="120" w:line="240" w:lineRule="auto"/>
              <w:ind w:right="74"/>
            </w:pPr>
            <w:r>
              <w:t>Works Cited</w:t>
            </w: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561</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Pr="00536705" w:rsidRDefault="00412818" w:rsidP="00761B63">
            <w:pPr>
              <w:spacing w:after="120" w:line="240" w:lineRule="auto"/>
              <w:ind w:right="74"/>
            </w:pPr>
            <w:r>
              <w:t>Relevant Works Not Cited</w:t>
            </w: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575</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Postmillennialism and Amillennialism</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577</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The Two Covenant Theory</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577</w:t>
            </w:r>
          </w:p>
        </w:tc>
      </w:tr>
      <w:tr w:rsidR="00412818" w:rsidRPr="00E743FC" w:rsidTr="007710E7">
        <w:tc>
          <w:tcPr>
            <w:tcW w:w="657" w:type="dxa"/>
          </w:tcPr>
          <w:p w:rsidR="00412818" w:rsidRPr="00E743FC" w:rsidRDefault="00412818" w:rsidP="00761B63">
            <w:pPr>
              <w:spacing w:after="120" w:line="240" w:lineRule="auto"/>
              <w:ind w:right="74"/>
            </w:pPr>
          </w:p>
        </w:tc>
        <w:tc>
          <w:tcPr>
            <w:tcW w:w="4816" w:type="dxa"/>
            <w:gridSpan w:val="5"/>
          </w:tcPr>
          <w:p w:rsidR="00412818" w:rsidRPr="00536705" w:rsidRDefault="00412818" w:rsidP="00761B63">
            <w:pPr>
              <w:spacing w:after="120" w:line="240" w:lineRule="auto"/>
              <w:ind w:right="74"/>
            </w:pPr>
            <w:r>
              <w:t>Reference Books</w:t>
            </w:r>
          </w:p>
        </w:tc>
        <w:tc>
          <w:tcPr>
            <w:tcW w:w="2452" w:type="dxa"/>
            <w:gridSpan w:val="2"/>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579</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Bibles</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579</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Electronic Resources</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579</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Bible Commentaries</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580</w:t>
            </w:r>
          </w:p>
        </w:tc>
      </w:tr>
      <w:tr w:rsidR="00412818" w:rsidRPr="00E743FC" w:rsidTr="007710E7">
        <w:tc>
          <w:tcPr>
            <w:tcW w:w="657" w:type="dxa"/>
          </w:tcPr>
          <w:p w:rsidR="00412818" w:rsidRPr="00E743FC" w:rsidRDefault="00412818" w:rsidP="00761B63">
            <w:pPr>
              <w:spacing w:after="120" w:line="240" w:lineRule="auto"/>
              <w:ind w:right="74"/>
            </w:pPr>
          </w:p>
        </w:tc>
        <w:tc>
          <w:tcPr>
            <w:tcW w:w="1265" w:type="dxa"/>
            <w:gridSpan w:val="2"/>
          </w:tcPr>
          <w:p w:rsidR="00412818" w:rsidRPr="00E743FC" w:rsidRDefault="00412818" w:rsidP="00761B63">
            <w:pPr>
              <w:spacing w:after="120" w:line="240" w:lineRule="auto"/>
              <w:ind w:right="74"/>
            </w:pPr>
          </w:p>
        </w:tc>
        <w:tc>
          <w:tcPr>
            <w:tcW w:w="3590" w:type="dxa"/>
            <w:gridSpan w:val="4"/>
          </w:tcPr>
          <w:p w:rsidR="00412818" w:rsidRPr="00BE1B88" w:rsidRDefault="00412818" w:rsidP="00761B63">
            <w:pPr>
              <w:spacing w:after="120" w:line="240" w:lineRule="auto"/>
              <w:ind w:right="74"/>
            </w:pPr>
            <w:r>
              <w:t>Dictionaries</w:t>
            </w:r>
          </w:p>
        </w:tc>
        <w:tc>
          <w:tcPr>
            <w:tcW w:w="2413" w:type="dxa"/>
          </w:tcPr>
          <w:p w:rsidR="00412818" w:rsidRPr="00E743FC" w:rsidRDefault="00412818" w:rsidP="00761B63">
            <w:pPr>
              <w:spacing w:after="120" w:line="240" w:lineRule="auto"/>
              <w:ind w:right="74"/>
            </w:pPr>
          </w:p>
        </w:tc>
        <w:tc>
          <w:tcPr>
            <w:tcW w:w="797" w:type="dxa"/>
          </w:tcPr>
          <w:p w:rsidR="00412818" w:rsidRPr="00E743FC" w:rsidRDefault="005D1C17" w:rsidP="00024CA8">
            <w:pPr>
              <w:spacing w:after="120" w:line="240" w:lineRule="auto"/>
              <w:ind w:right="74"/>
              <w:jc w:val="right"/>
            </w:pPr>
            <w:r>
              <w:t>580</w:t>
            </w:r>
          </w:p>
        </w:tc>
      </w:tr>
    </w:tbl>
    <w:p w:rsidR="00B31BD3" w:rsidRDefault="00B31BD3" w:rsidP="00454403">
      <w:pPr>
        <w:spacing w:after="120" w:line="360" w:lineRule="auto"/>
        <w:ind w:firstLine="567"/>
        <w:jc w:val="both"/>
      </w:pPr>
    </w:p>
    <w:p w:rsidR="001D3C58" w:rsidRDefault="001D3C58" w:rsidP="00454403">
      <w:pPr>
        <w:spacing w:after="120" w:line="360" w:lineRule="auto"/>
        <w:ind w:firstLine="567"/>
        <w:jc w:val="both"/>
      </w:pPr>
      <w:bookmarkStart w:id="1" w:name="TablesGraphsDiag"/>
      <w:bookmarkEnd w:id="1"/>
    </w:p>
    <w:p w:rsidR="007710E7" w:rsidRDefault="007710E7" w:rsidP="00454403">
      <w:pPr>
        <w:spacing w:after="120" w:line="360" w:lineRule="auto"/>
        <w:ind w:firstLine="567"/>
        <w:jc w:val="both"/>
      </w:pPr>
    </w:p>
    <w:p w:rsidR="007710E7" w:rsidRDefault="007710E7" w:rsidP="00454403">
      <w:pPr>
        <w:spacing w:after="120" w:line="360" w:lineRule="auto"/>
        <w:ind w:firstLine="567"/>
        <w:jc w:val="both"/>
      </w:pPr>
    </w:p>
    <w:tbl>
      <w:tblPr>
        <w:tblW w:w="8722" w:type="dxa"/>
        <w:tblLook w:val="04A0" w:firstRow="1" w:lastRow="0" w:firstColumn="1" w:lastColumn="0" w:noHBand="0" w:noVBand="1"/>
      </w:tblPr>
      <w:tblGrid>
        <w:gridCol w:w="648"/>
        <w:gridCol w:w="9"/>
        <w:gridCol w:w="1265"/>
        <w:gridCol w:w="3590"/>
        <w:gridCol w:w="2413"/>
        <w:gridCol w:w="797"/>
      </w:tblGrid>
      <w:tr w:rsidR="001D3C58" w:rsidRPr="00E743FC" w:rsidTr="007710E7">
        <w:tc>
          <w:tcPr>
            <w:tcW w:w="8722" w:type="dxa"/>
            <w:gridSpan w:val="6"/>
          </w:tcPr>
          <w:p w:rsidR="001D3C58" w:rsidRPr="00EC48A8" w:rsidRDefault="001D3C58" w:rsidP="001349B7">
            <w:pPr>
              <w:spacing w:after="0" w:line="240" w:lineRule="auto"/>
              <w:ind w:right="74"/>
              <w:jc w:val="center"/>
              <w:rPr>
                <w:b/>
                <w:sz w:val="24"/>
                <w:szCs w:val="24"/>
              </w:rPr>
            </w:pPr>
            <w:r w:rsidRPr="00EC48A8">
              <w:rPr>
                <w:b/>
                <w:sz w:val="24"/>
                <w:szCs w:val="24"/>
              </w:rPr>
              <w:lastRenderedPageBreak/>
              <w:t>Tables</w:t>
            </w:r>
            <w:r>
              <w:rPr>
                <w:b/>
                <w:sz w:val="24"/>
                <w:szCs w:val="24"/>
              </w:rPr>
              <w:t>, Graphs</w:t>
            </w:r>
            <w:r w:rsidRPr="00EC48A8">
              <w:rPr>
                <w:b/>
                <w:sz w:val="24"/>
                <w:szCs w:val="24"/>
              </w:rPr>
              <w:t xml:space="preserve"> </w:t>
            </w:r>
            <w:r>
              <w:rPr>
                <w:b/>
                <w:sz w:val="24"/>
                <w:szCs w:val="24"/>
              </w:rPr>
              <w:t>and Diagrams</w:t>
            </w:r>
          </w:p>
        </w:tc>
      </w:tr>
      <w:tr w:rsidR="001D3C58" w:rsidRPr="00E743FC" w:rsidTr="007710E7">
        <w:tc>
          <w:tcPr>
            <w:tcW w:w="7925" w:type="dxa"/>
            <w:gridSpan w:val="5"/>
          </w:tcPr>
          <w:p w:rsidR="001D3C58" w:rsidRDefault="001D3C58" w:rsidP="001349B7">
            <w:pPr>
              <w:spacing w:after="120" w:line="240" w:lineRule="auto"/>
              <w:ind w:right="74"/>
            </w:pPr>
            <w:r>
              <w:t>INTRODUCTION:</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Pr="005D5DDE" w:rsidRDefault="001D3C58" w:rsidP="001349B7">
            <w:pPr>
              <w:spacing w:after="120" w:line="240" w:lineRule="auto"/>
              <w:ind w:right="74"/>
              <w:rPr>
                <w:i/>
              </w:rPr>
            </w:pPr>
            <w:r>
              <w:t>A Comparison of the Content of Five Study Bibles</w:t>
            </w:r>
          </w:p>
        </w:tc>
        <w:tc>
          <w:tcPr>
            <w:tcW w:w="797" w:type="dxa"/>
          </w:tcPr>
          <w:p w:rsidR="001D3C58" w:rsidRPr="00E743FC" w:rsidRDefault="004A7258" w:rsidP="004A7258">
            <w:pPr>
              <w:spacing w:after="120" w:line="240" w:lineRule="auto"/>
              <w:ind w:right="74"/>
              <w:jc w:val="right"/>
            </w:pPr>
            <w:r>
              <w:t>22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Pages Without Footnotes in </w:t>
            </w:r>
            <w:r w:rsidRPr="000A28EB">
              <w:rPr>
                <w:i/>
              </w:rPr>
              <w:t xml:space="preserve">SRB </w:t>
            </w:r>
            <w:r>
              <w:t>– Old Testament</w:t>
            </w:r>
          </w:p>
        </w:tc>
        <w:tc>
          <w:tcPr>
            <w:tcW w:w="797" w:type="dxa"/>
          </w:tcPr>
          <w:p w:rsidR="001D3C58" w:rsidRPr="00E743FC" w:rsidRDefault="004A7258" w:rsidP="004A7258">
            <w:pPr>
              <w:spacing w:after="120" w:line="240" w:lineRule="auto"/>
              <w:ind w:right="74"/>
              <w:jc w:val="right"/>
            </w:pPr>
            <w:r>
              <w:t>24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Pages Without Footnotes in </w:t>
            </w:r>
            <w:r w:rsidRPr="000A28EB">
              <w:rPr>
                <w:i/>
              </w:rPr>
              <w:t xml:space="preserve">SRB </w:t>
            </w:r>
            <w:r>
              <w:t xml:space="preserve">– New Testament and Entire </w:t>
            </w:r>
            <w:r w:rsidRPr="000A28EB">
              <w:rPr>
                <w:i/>
              </w:rPr>
              <w:t>SRB</w:t>
            </w:r>
          </w:p>
        </w:tc>
        <w:tc>
          <w:tcPr>
            <w:tcW w:w="797" w:type="dxa"/>
          </w:tcPr>
          <w:p w:rsidR="001D3C58" w:rsidRPr="00E743FC" w:rsidRDefault="004A7258" w:rsidP="004A7258">
            <w:pPr>
              <w:spacing w:after="120" w:line="240" w:lineRule="auto"/>
              <w:ind w:right="74"/>
              <w:jc w:val="right"/>
            </w:pPr>
            <w:r>
              <w:t>25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Numbers of Words in Sample Sections of </w:t>
            </w:r>
            <w:r w:rsidRPr="001160BA">
              <w:rPr>
                <w:i/>
              </w:rPr>
              <w:t>SRB</w:t>
            </w:r>
            <w:r>
              <w:t xml:space="preserve"> Notes</w:t>
            </w:r>
          </w:p>
        </w:tc>
        <w:tc>
          <w:tcPr>
            <w:tcW w:w="797" w:type="dxa"/>
          </w:tcPr>
          <w:p w:rsidR="001D3C58" w:rsidRPr="00E743FC" w:rsidRDefault="004A7258" w:rsidP="004A7258">
            <w:pPr>
              <w:spacing w:after="120" w:line="240" w:lineRule="auto"/>
              <w:ind w:right="74"/>
              <w:jc w:val="right"/>
            </w:pPr>
            <w:r>
              <w:t>27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Numbers of Words in Biblical Books in </w:t>
            </w:r>
            <w:r w:rsidRPr="001160BA">
              <w:rPr>
                <w:i/>
              </w:rPr>
              <w:t>KJV</w:t>
            </w:r>
            <w:r>
              <w:t xml:space="preserve"> Compared with Estimated Numbers of Words in Commensurate </w:t>
            </w:r>
            <w:r w:rsidRPr="001160BA">
              <w:rPr>
                <w:i/>
              </w:rPr>
              <w:t>SRB</w:t>
            </w:r>
            <w:r>
              <w:t xml:space="preserve"> Notes</w:t>
            </w:r>
          </w:p>
        </w:tc>
        <w:tc>
          <w:tcPr>
            <w:tcW w:w="797" w:type="dxa"/>
          </w:tcPr>
          <w:p w:rsidR="001D3C58" w:rsidRPr="00E743FC" w:rsidRDefault="00082497" w:rsidP="004A7258">
            <w:pPr>
              <w:spacing w:after="120" w:line="240" w:lineRule="auto"/>
              <w:ind w:right="74"/>
              <w:jc w:val="right"/>
            </w:pPr>
            <w:r>
              <w:t>28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Figure 1 (Graph): Percentage of the Number of Words in KJV in Each Book of the Old Testament Compared with Percentage of Estimated Number of Words in </w:t>
            </w:r>
            <w:r w:rsidRPr="001160BA">
              <w:rPr>
                <w:i/>
              </w:rPr>
              <w:t xml:space="preserve">SRB </w:t>
            </w:r>
            <w:r>
              <w:t>Notes on Each Book of the Old Testament</w:t>
            </w:r>
          </w:p>
        </w:tc>
        <w:tc>
          <w:tcPr>
            <w:tcW w:w="797" w:type="dxa"/>
          </w:tcPr>
          <w:p w:rsidR="001D3C58" w:rsidRPr="00E743FC" w:rsidRDefault="00082497" w:rsidP="004A7258">
            <w:pPr>
              <w:spacing w:after="120" w:line="240" w:lineRule="auto"/>
              <w:ind w:right="74"/>
              <w:jc w:val="right"/>
            </w:pPr>
            <w:r>
              <w:t>30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Figure 2 (Graph): Percentage of the Number of Words in KJV in Each Book of the New Testament Compared with Percentage of Estimated Number of Words in </w:t>
            </w:r>
            <w:r w:rsidRPr="001160BA">
              <w:rPr>
                <w:i/>
              </w:rPr>
              <w:t xml:space="preserve">SRB </w:t>
            </w:r>
            <w:r>
              <w:t>Notes on Each Book of the New Testament</w:t>
            </w:r>
          </w:p>
        </w:tc>
        <w:tc>
          <w:tcPr>
            <w:tcW w:w="797" w:type="dxa"/>
          </w:tcPr>
          <w:p w:rsidR="001D3C58" w:rsidRPr="00E743FC" w:rsidRDefault="00082497" w:rsidP="004A7258">
            <w:pPr>
              <w:spacing w:after="120" w:line="240" w:lineRule="auto"/>
              <w:ind w:right="74"/>
              <w:jc w:val="right"/>
            </w:pPr>
            <w:r>
              <w:t>31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Key to Colours in Tables Showing Notes and Subheads</w:t>
            </w:r>
          </w:p>
        </w:tc>
        <w:tc>
          <w:tcPr>
            <w:tcW w:w="797" w:type="dxa"/>
          </w:tcPr>
          <w:p w:rsidR="001D3C58" w:rsidRPr="00E743FC" w:rsidRDefault="00082497" w:rsidP="004A7258">
            <w:pPr>
              <w:spacing w:after="120" w:line="240" w:lineRule="auto"/>
              <w:ind w:right="74"/>
              <w:jc w:val="right"/>
            </w:pPr>
            <w:r>
              <w:t>33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1160BA">
              <w:rPr>
                <w:i/>
              </w:rPr>
              <w:t>SRB</w:t>
            </w:r>
            <w:r>
              <w:t xml:space="preserve"> Notes </w:t>
            </w:r>
          </w:p>
        </w:tc>
        <w:tc>
          <w:tcPr>
            <w:tcW w:w="797" w:type="dxa"/>
          </w:tcPr>
          <w:p w:rsidR="001D3C58" w:rsidRPr="00E743FC" w:rsidRDefault="006B7250" w:rsidP="004A7258">
            <w:pPr>
              <w:spacing w:after="120" w:line="240" w:lineRule="auto"/>
              <w:ind w:right="74"/>
              <w:jc w:val="right"/>
            </w:pPr>
            <w:r>
              <w:t>34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1160BA">
              <w:rPr>
                <w:i/>
              </w:rPr>
              <w:t>SRB</w:t>
            </w:r>
            <w:r>
              <w:t xml:space="preserve"> Subheads</w:t>
            </w:r>
          </w:p>
        </w:tc>
        <w:tc>
          <w:tcPr>
            <w:tcW w:w="797" w:type="dxa"/>
          </w:tcPr>
          <w:p w:rsidR="001D3C58" w:rsidRPr="00E743FC" w:rsidRDefault="00670E58" w:rsidP="004A7258">
            <w:pPr>
              <w:spacing w:after="120" w:line="240" w:lineRule="auto"/>
              <w:ind w:right="74"/>
              <w:jc w:val="right"/>
            </w:pPr>
            <w:r>
              <w:t>60</w:t>
            </w:r>
          </w:p>
        </w:tc>
      </w:tr>
      <w:tr w:rsidR="001D3C58" w:rsidRPr="00E743FC" w:rsidTr="007710E7">
        <w:tc>
          <w:tcPr>
            <w:tcW w:w="7925" w:type="dxa"/>
            <w:gridSpan w:val="5"/>
          </w:tcPr>
          <w:p w:rsidR="001D3C58" w:rsidRDefault="001D3C58" w:rsidP="001349B7">
            <w:pPr>
              <w:spacing w:after="120" w:line="240" w:lineRule="auto"/>
              <w:ind w:right="74"/>
            </w:pPr>
            <w:r>
              <w:t>CHAPTER 1:</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Poythress’ Cumulative Analysis</w:t>
            </w:r>
          </w:p>
        </w:tc>
        <w:tc>
          <w:tcPr>
            <w:tcW w:w="797" w:type="dxa"/>
          </w:tcPr>
          <w:p w:rsidR="001D3C58" w:rsidRPr="00E743FC" w:rsidRDefault="00670E58" w:rsidP="004A7258">
            <w:pPr>
              <w:spacing w:after="120" w:line="240" w:lineRule="auto"/>
              <w:ind w:right="74"/>
              <w:jc w:val="right"/>
            </w:pPr>
            <w:r>
              <w:t>76</w:t>
            </w:r>
          </w:p>
        </w:tc>
      </w:tr>
      <w:tr w:rsidR="001D3C58" w:rsidRPr="00E743FC" w:rsidTr="007710E7">
        <w:tc>
          <w:tcPr>
            <w:tcW w:w="7925" w:type="dxa"/>
            <w:gridSpan w:val="5"/>
          </w:tcPr>
          <w:p w:rsidR="001D3C58" w:rsidRDefault="001D3C58" w:rsidP="001349B7">
            <w:pPr>
              <w:spacing w:after="120" w:line="240" w:lineRule="auto"/>
              <w:ind w:right="74"/>
            </w:pPr>
            <w:r>
              <w:t>CHAPTER 2:</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Periods in ‘the History of Israel’ from the Introduction to the Historical Books</w:t>
            </w:r>
          </w:p>
        </w:tc>
        <w:tc>
          <w:tcPr>
            <w:tcW w:w="797" w:type="dxa"/>
          </w:tcPr>
          <w:p w:rsidR="001D3C58" w:rsidRPr="00E743FC" w:rsidRDefault="00670E58" w:rsidP="004A7258">
            <w:pPr>
              <w:spacing w:after="120" w:line="240" w:lineRule="auto"/>
              <w:ind w:right="74"/>
              <w:jc w:val="right"/>
            </w:pPr>
            <w:r>
              <w:t>102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‘Historical’ Ordering</w:t>
            </w:r>
          </w:p>
        </w:tc>
        <w:tc>
          <w:tcPr>
            <w:tcW w:w="797" w:type="dxa"/>
          </w:tcPr>
          <w:p w:rsidR="001D3C58" w:rsidRPr="00E743FC" w:rsidRDefault="00670E58" w:rsidP="004A7258">
            <w:pPr>
              <w:spacing w:after="120" w:line="240" w:lineRule="auto"/>
              <w:ind w:right="74"/>
              <w:jc w:val="right"/>
            </w:pPr>
            <w:r>
              <w:t>103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Numerical Discrepancies in the Biblical Text</w:t>
            </w:r>
          </w:p>
        </w:tc>
        <w:tc>
          <w:tcPr>
            <w:tcW w:w="797" w:type="dxa"/>
          </w:tcPr>
          <w:p w:rsidR="001D3C58" w:rsidRPr="00E743FC" w:rsidRDefault="003068DC" w:rsidP="004A7258">
            <w:pPr>
              <w:spacing w:after="120" w:line="240" w:lineRule="auto"/>
              <w:ind w:right="74"/>
              <w:jc w:val="right"/>
            </w:pPr>
            <w:r>
              <w:t>105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Discrepancies Concerning Saul</w:t>
            </w:r>
          </w:p>
        </w:tc>
        <w:tc>
          <w:tcPr>
            <w:tcW w:w="797" w:type="dxa"/>
          </w:tcPr>
          <w:p w:rsidR="001D3C58" w:rsidRPr="00E743FC" w:rsidRDefault="003068DC" w:rsidP="004A7258">
            <w:pPr>
              <w:spacing w:after="120" w:line="240" w:lineRule="auto"/>
              <w:ind w:right="74"/>
              <w:jc w:val="right"/>
            </w:pPr>
            <w:r>
              <w:t>106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Discrepancies Concerning Purchases of Areas of Land</w:t>
            </w:r>
          </w:p>
        </w:tc>
        <w:tc>
          <w:tcPr>
            <w:tcW w:w="797" w:type="dxa"/>
          </w:tcPr>
          <w:p w:rsidR="001D3C58" w:rsidRPr="00E743FC" w:rsidRDefault="003068DC" w:rsidP="004A7258">
            <w:pPr>
              <w:spacing w:after="120" w:line="240" w:lineRule="auto"/>
              <w:ind w:right="74"/>
              <w:jc w:val="right"/>
            </w:pPr>
            <w:r>
              <w:t>108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Perceived Discrepancies: New Testament Examples</w:t>
            </w:r>
          </w:p>
        </w:tc>
        <w:tc>
          <w:tcPr>
            <w:tcW w:w="797" w:type="dxa"/>
          </w:tcPr>
          <w:p w:rsidR="001D3C58" w:rsidRPr="00E743FC" w:rsidRDefault="008E614C" w:rsidP="004A7258">
            <w:pPr>
              <w:spacing w:after="120" w:line="240" w:lineRule="auto"/>
              <w:ind w:right="74"/>
              <w:jc w:val="right"/>
            </w:pPr>
            <w:r>
              <w:t>109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8E614C" w:rsidP="008E614C">
            <w:pPr>
              <w:spacing w:after="120" w:line="240" w:lineRule="auto"/>
              <w:ind w:right="74"/>
            </w:pPr>
            <w:r>
              <w:t>The Last Supper: Alleged Order of Events</w:t>
            </w:r>
            <w:r w:rsidR="001D3C58">
              <w:t xml:space="preserve"> </w:t>
            </w:r>
          </w:p>
        </w:tc>
        <w:tc>
          <w:tcPr>
            <w:tcW w:w="797" w:type="dxa"/>
          </w:tcPr>
          <w:p w:rsidR="001D3C58" w:rsidRPr="00E743FC" w:rsidRDefault="008E614C" w:rsidP="004A7258">
            <w:pPr>
              <w:spacing w:after="120" w:line="240" w:lineRule="auto"/>
              <w:ind w:right="74"/>
              <w:jc w:val="right"/>
            </w:pPr>
            <w:r>
              <w:t>113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8E614C" w:rsidP="008E614C">
            <w:pPr>
              <w:spacing w:after="120" w:line="240" w:lineRule="auto"/>
              <w:ind w:right="74"/>
            </w:pPr>
            <w:r>
              <w:t xml:space="preserve">‘Crucifixion Day’: </w:t>
            </w:r>
            <w:r w:rsidR="001D3C58">
              <w:t xml:space="preserve">Alleged Order of Events </w:t>
            </w:r>
          </w:p>
        </w:tc>
        <w:tc>
          <w:tcPr>
            <w:tcW w:w="797" w:type="dxa"/>
          </w:tcPr>
          <w:p w:rsidR="001D3C58" w:rsidRPr="00E743FC" w:rsidRDefault="008E614C" w:rsidP="004A7258">
            <w:pPr>
              <w:spacing w:after="120" w:line="240" w:lineRule="auto"/>
              <w:ind w:right="74"/>
              <w:jc w:val="right"/>
            </w:pPr>
            <w:r>
              <w:t>114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8E614C" w:rsidP="008E614C">
            <w:pPr>
              <w:spacing w:after="120" w:line="240" w:lineRule="auto"/>
              <w:ind w:right="74"/>
            </w:pPr>
            <w:r>
              <w:t>The Crucifixion: Alleged Order of Events</w:t>
            </w:r>
            <w:r w:rsidR="001D3C58">
              <w:t xml:space="preserve"> </w:t>
            </w:r>
          </w:p>
        </w:tc>
        <w:tc>
          <w:tcPr>
            <w:tcW w:w="797" w:type="dxa"/>
          </w:tcPr>
          <w:p w:rsidR="001D3C58" w:rsidRPr="00E743FC" w:rsidRDefault="008E614C" w:rsidP="004A7258">
            <w:pPr>
              <w:spacing w:after="120" w:line="240" w:lineRule="auto"/>
              <w:ind w:right="74"/>
              <w:jc w:val="right"/>
            </w:pPr>
            <w:r>
              <w:t>115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8E614C" w:rsidP="008E614C">
            <w:pPr>
              <w:spacing w:after="120" w:line="240" w:lineRule="auto"/>
              <w:ind w:right="74"/>
            </w:pPr>
            <w:r>
              <w:t xml:space="preserve">‘Resurrection Morning’: </w:t>
            </w:r>
            <w:r w:rsidR="001D3C58">
              <w:t xml:space="preserve">Alleged Order of Events </w:t>
            </w:r>
          </w:p>
        </w:tc>
        <w:tc>
          <w:tcPr>
            <w:tcW w:w="797" w:type="dxa"/>
          </w:tcPr>
          <w:p w:rsidR="001D3C58" w:rsidRPr="00E743FC" w:rsidRDefault="008E614C" w:rsidP="004A7258">
            <w:pPr>
              <w:spacing w:after="120" w:line="240" w:lineRule="auto"/>
              <w:ind w:right="74"/>
              <w:jc w:val="right"/>
            </w:pPr>
            <w:r>
              <w:t>116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8E614C" w:rsidP="008E614C">
            <w:pPr>
              <w:spacing w:after="120" w:line="240" w:lineRule="auto"/>
              <w:ind w:right="74"/>
            </w:pPr>
            <w:r>
              <w:t xml:space="preserve">Jesus’ Post-Resurrection Appearances: </w:t>
            </w:r>
            <w:r w:rsidR="001D3C58">
              <w:t xml:space="preserve">Alleged Order of Events </w:t>
            </w:r>
          </w:p>
        </w:tc>
        <w:tc>
          <w:tcPr>
            <w:tcW w:w="797" w:type="dxa"/>
          </w:tcPr>
          <w:p w:rsidR="001D3C58" w:rsidRPr="00E743FC" w:rsidRDefault="008E614C" w:rsidP="004A7258">
            <w:pPr>
              <w:spacing w:after="120" w:line="240" w:lineRule="auto"/>
              <w:ind w:right="74"/>
              <w:jc w:val="right"/>
            </w:pPr>
            <w:r>
              <w:t>117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Important Passages from Jeremiah, Ezekiel and Daniel Not Annotated in </w:t>
            </w:r>
            <w:r w:rsidRPr="00F55EA9">
              <w:rPr>
                <w:i/>
              </w:rPr>
              <w:t>SRB</w:t>
            </w:r>
          </w:p>
        </w:tc>
        <w:tc>
          <w:tcPr>
            <w:tcW w:w="797" w:type="dxa"/>
          </w:tcPr>
          <w:p w:rsidR="001D3C58" w:rsidRPr="00E743FC" w:rsidRDefault="008E614C" w:rsidP="004A7258">
            <w:pPr>
              <w:spacing w:after="120" w:line="240" w:lineRule="auto"/>
              <w:ind w:right="74"/>
              <w:jc w:val="right"/>
            </w:pPr>
            <w:r>
              <w:t>119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Occurrences of Typological Language in </w:t>
            </w:r>
            <w:r w:rsidRPr="00F55EA9">
              <w:rPr>
                <w:i/>
              </w:rPr>
              <w:t>SRB</w:t>
            </w:r>
          </w:p>
        </w:tc>
        <w:tc>
          <w:tcPr>
            <w:tcW w:w="797" w:type="dxa"/>
          </w:tcPr>
          <w:p w:rsidR="001D3C58" w:rsidRPr="00E743FC" w:rsidRDefault="007933C9" w:rsidP="004A7258">
            <w:pPr>
              <w:spacing w:after="120" w:line="240" w:lineRule="auto"/>
              <w:ind w:right="74"/>
              <w:jc w:val="right"/>
            </w:pPr>
            <w:r>
              <w:t>124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Occurrences of Other Comparative but Non-Typological Language in </w:t>
            </w:r>
            <w:r w:rsidRPr="00F55EA9">
              <w:rPr>
                <w:i/>
              </w:rPr>
              <w:t>SRB</w:t>
            </w:r>
          </w:p>
        </w:tc>
        <w:tc>
          <w:tcPr>
            <w:tcW w:w="797" w:type="dxa"/>
          </w:tcPr>
          <w:p w:rsidR="001D3C58" w:rsidRPr="00E743FC" w:rsidRDefault="007933C9" w:rsidP="004A7258">
            <w:pPr>
              <w:spacing w:after="120" w:line="240" w:lineRule="auto"/>
              <w:ind w:right="74"/>
              <w:jc w:val="right"/>
            </w:pPr>
            <w:r>
              <w:t>124</w:t>
            </w:r>
          </w:p>
        </w:tc>
      </w:tr>
      <w:tr w:rsidR="00C25268" w:rsidRPr="00E743FC" w:rsidTr="007710E7">
        <w:tc>
          <w:tcPr>
            <w:tcW w:w="648" w:type="dxa"/>
          </w:tcPr>
          <w:p w:rsidR="00C25268" w:rsidRDefault="00C25268" w:rsidP="001349B7">
            <w:pPr>
              <w:spacing w:after="120" w:line="240" w:lineRule="auto"/>
              <w:ind w:right="74"/>
            </w:pPr>
          </w:p>
        </w:tc>
        <w:tc>
          <w:tcPr>
            <w:tcW w:w="7277" w:type="dxa"/>
            <w:gridSpan w:val="4"/>
          </w:tcPr>
          <w:p w:rsidR="00C25268" w:rsidRDefault="00C25268" w:rsidP="001349B7">
            <w:pPr>
              <w:spacing w:after="120" w:line="240" w:lineRule="auto"/>
              <w:ind w:right="74"/>
            </w:pPr>
            <w:r>
              <w:t xml:space="preserve">Typological Assertions </w:t>
            </w:r>
            <w:r w:rsidR="0091506C">
              <w:t>Concerning Christ and the Cross</w:t>
            </w:r>
          </w:p>
        </w:tc>
        <w:tc>
          <w:tcPr>
            <w:tcW w:w="797" w:type="dxa"/>
          </w:tcPr>
          <w:p w:rsidR="00C25268" w:rsidRDefault="00C25268" w:rsidP="004A7258">
            <w:pPr>
              <w:spacing w:after="120" w:line="240" w:lineRule="auto"/>
              <w:ind w:right="74"/>
              <w:jc w:val="right"/>
            </w:pPr>
            <w:r>
              <w:t>125</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Pr="00BE1B88" w:rsidRDefault="00C25268" w:rsidP="007710E7">
            <w:pPr>
              <w:spacing w:after="120" w:line="240" w:lineRule="auto"/>
              <w:ind w:right="74"/>
            </w:pPr>
            <w:r>
              <w:t>Genesis</w:t>
            </w:r>
          </w:p>
        </w:tc>
        <w:tc>
          <w:tcPr>
            <w:tcW w:w="2413" w:type="dxa"/>
          </w:tcPr>
          <w:p w:rsidR="00C25268" w:rsidRPr="00E743FC" w:rsidRDefault="00C25268" w:rsidP="007710E7">
            <w:pPr>
              <w:spacing w:after="120" w:line="240" w:lineRule="auto"/>
              <w:ind w:right="74"/>
            </w:pPr>
          </w:p>
        </w:tc>
        <w:tc>
          <w:tcPr>
            <w:tcW w:w="797" w:type="dxa"/>
          </w:tcPr>
          <w:p w:rsidR="00C25268" w:rsidRPr="00E743FC" w:rsidRDefault="00C25268" w:rsidP="007710E7">
            <w:pPr>
              <w:spacing w:after="120" w:line="240" w:lineRule="auto"/>
              <w:ind w:right="74"/>
              <w:jc w:val="right"/>
            </w:pPr>
            <w:r>
              <w:t>125</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C25268" w:rsidP="007710E7">
            <w:pPr>
              <w:spacing w:after="120" w:line="240" w:lineRule="auto"/>
              <w:ind w:right="74"/>
            </w:pPr>
            <w:r>
              <w:t>Exodus</w:t>
            </w:r>
          </w:p>
        </w:tc>
        <w:tc>
          <w:tcPr>
            <w:tcW w:w="2413" w:type="dxa"/>
          </w:tcPr>
          <w:p w:rsidR="00C25268" w:rsidRPr="00E743FC" w:rsidRDefault="00C25268" w:rsidP="007710E7">
            <w:pPr>
              <w:spacing w:after="120" w:line="240" w:lineRule="auto"/>
              <w:ind w:right="74"/>
            </w:pPr>
          </w:p>
        </w:tc>
        <w:tc>
          <w:tcPr>
            <w:tcW w:w="797" w:type="dxa"/>
          </w:tcPr>
          <w:p w:rsidR="00C25268" w:rsidRDefault="00C25268" w:rsidP="007710E7">
            <w:pPr>
              <w:spacing w:after="120" w:line="240" w:lineRule="auto"/>
              <w:ind w:right="74"/>
              <w:jc w:val="right"/>
            </w:pPr>
            <w:r>
              <w:t>128</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C25268" w:rsidP="007710E7">
            <w:pPr>
              <w:spacing w:after="120" w:line="240" w:lineRule="auto"/>
              <w:ind w:right="74"/>
            </w:pPr>
            <w:r>
              <w:t>Leviticus</w:t>
            </w:r>
          </w:p>
        </w:tc>
        <w:tc>
          <w:tcPr>
            <w:tcW w:w="2413" w:type="dxa"/>
          </w:tcPr>
          <w:p w:rsidR="00C25268" w:rsidRPr="00E743FC" w:rsidRDefault="00C25268" w:rsidP="007710E7">
            <w:pPr>
              <w:spacing w:after="120" w:line="240" w:lineRule="auto"/>
              <w:ind w:right="74"/>
            </w:pPr>
          </w:p>
        </w:tc>
        <w:tc>
          <w:tcPr>
            <w:tcW w:w="797" w:type="dxa"/>
          </w:tcPr>
          <w:p w:rsidR="00C25268" w:rsidRDefault="0091506C" w:rsidP="007710E7">
            <w:pPr>
              <w:spacing w:after="120" w:line="240" w:lineRule="auto"/>
              <w:ind w:right="74"/>
              <w:jc w:val="right"/>
            </w:pPr>
            <w:r>
              <w:t>132</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91506C" w:rsidP="007710E7">
            <w:pPr>
              <w:spacing w:after="120" w:line="240" w:lineRule="auto"/>
              <w:ind w:right="74"/>
            </w:pPr>
            <w:r>
              <w:t>Numbers</w:t>
            </w:r>
          </w:p>
        </w:tc>
        <w:tc>
          <w:tcPr>
            <w:tcW w:w="2413" w:type="dxa"/>
          </w:tcPr>
          <w:p w:rsidR="00C25268" w:rsidRPr="00E743FC" w:rsidRDefault="00C25268" w:rsidP="007710E7">
            <w:pPr>
              <w:spacing w:after="120" w:line="240" w:lineRule="auto"/>
              <w:ind w:right="74"/>
            </w:pPr>
          </w:p>
        </w:tc>
        <w:tc>
          <w:tcPr>
            <w:tcW w:w="797" w:type="dxa"/>
          </w:tcPr>
          <w:p w:rsidR="00C25268" w:rsidRDefault="0091506C" w:rsidP="007710E7">
            <w:pPr>
              <w:spacing w:after="120" w:line="240" w:lineRule="auto"/>
              <w:ind w:right="74"/>
              <w:jc w:val="right"/>
            </w:pPr>
            <w:r>
              <w:t>135</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91506C" w:rsidP="007710E7">
            <w:pPr>
              <w:spacing w:after="120" w:line="240" w:lineRule="auto"/>
              <w:ind w:right="74"/>
            </w:pPr>
            <w:r>
              <w:t>The ‘Historical’ Books</w:t>
            </w:r>
          </w:p>
        </w:tc>
        <w:tc>
          <w:tcPr>
            <w:tcW w:w="2413" w:type="dxa"/>
          </w:tcPr>
          <w:p w:rsidR="00C25268" w:rsidRPr="00E743FC" w:rsidRDefault="00C25268" w:rsidP="007710E7">
            <w:pPr>
              <w:spacing w:after="120" w:line="240" w:lineRule="auto"/>
              <w:ind w:right="74"/>
            </w:pPr>
          </w:p>
        </w:tc>
        <w:tc>
          <w:tcPr>
            <w:tcW w:w="797" w:type="dxa"/>
          </w:tcPr>
          <w:p w:rsidR="00C25268" w:rsidRDefault="0091506C" w:rsidP="007710E7">
            <w:pPr>
              <w:spacing w:after="120" w:line="240" w:lineRule="auto"/>
              <w:ind w:right="74"/>
              <w:jc w:val="right"/>
            </w:pPr>
            <w:r>
              <w:t>136</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91506C" w:rsidP="007710E7">
            <w:pPr>
              <w:spacing w:after="120" w:line="240" w:lineRule="auto"/>
              <w:ind w:right="74"/>
            </w:pPr>
            <w:r>
              <w:t>The Prophets</w:t>
            </w:r>
          </w:p>
        </w:tc>
        <w:tc>
          <w:tcPr>
            <w:tcW w:w="2413" w:type="dxa"/>
          </w:tcPr>
          <w:p w:rsidR="00C25268" w:rsidRPr="00E743FC" w:rsidRDefault="00C25268" w:rsidP="007710E7">
            <w:pPr>
              <w:spacing w:after="120" w:line="240" w:lineRule="auto"/>
              <w:ind w:right="74"/>
            </w:pPr>
          </w:p>
        </w:tc>
        <w:tc>
          <w:tcPr>
            <w:tcW w:w="797" w:type="dxa"/>
          </w:tcPr>
          <w:p w:rsidR="00C25268" w:rsidRDefault="0091506C" w:rsidP="007710E7">
            <w:pPr>
              <w:spacing w:after="120" w:line="240" w:lineRule="auto"/>
              <w:ind w:right="74"/>
              <w:jc w:val="right"/>
            </w:pPr>
            <w:r>
              <w:t>137</w:t>
            </w:r>
          </w:p>
        </w:tc>
      </w:tr>
      <w:tr w:rsidR="00C25268" w:rsidRPr="00E743FC" w:rsidTr="007710E7">
        <w:tc>
          <w:tcPr>
            <w:tcW w:w="657" w:type="dxa"/>
            <w:gridSpan w:val="2"/>
          </w:tcPr>
          <w:p w:rsidR="00C25268" w:rsidRPr="00E743FC" w:rsidRDefault="00C25268" w:rsidP="007710E7">
            <w:pPr>
              <w:spacing w:after="120" w:line="240" w:lineRule="auto"/>
              <w:ind w:right="74"/>
            </w:pPr>
          </w:p>
        </w:tc>
        <w:tc>
          <w:tcPr>
            <w:tcW w:w="1265" w:type="dxa"/>
          </w:tcPr>
          <w:p w:rsidR="00C25268" w:rsidRPr="00E743FC" w:rsidRDefault="00C25268" w:rsidP="007710E7">
            <w:pPr>
              <w:spacing w:after="120" w:line="240" w:lineRule="auto"/>
              <w:ind w:right="74"/>
            </w:pPr>
          </w:p>
        </w:tc>
        <w:tc>
          <w:tcPr>
            <w:tcW w:w="3590" w:type="dxa"/>
          </w:tcPr>
          <w:p w:rsidR="00C25268" w:rsidRDefault="0091506C" w:rsidP="007710E7">
            <w:pPr>
              <w:spacing w:after="120" w:line="240" w:lineRule="auto"/>
              <w:ind w:right="74"/>
            </w:pPr>
            <w:r>
              <w:t>The New Testament</w:t>
            </w:r>
          </w:p>
        </w:tc>
        <w:tc>
          <w:tcPr>
            <w:tcW w:w="2413" w:type="dxa"/>
          </w:tcPr>
          <w:p w:rsidR="00C25268" w:rsidRPr="00E743FC" w:rsidRDefault="00C25268" w:rsidP="007710E7">
            <w:pPr>
              <w:spacing w:after="120" w:line="240" w:lineRule="auto"/>
              <w:ind w:right="74"/>
            </w:pPr>
          </w:p>
        </w:tc>
        <w:tc>
          <w:tcPr>
            <w:tcW w:w="797" w:type="dxa"/>
          </w:tcPr>
          <w:p w:rsidR="00C25268" w:rsidRDefault="0091506C" w:rsidP="007710E7">
            <w:pPr>
              <w:spacing w:after="120" w:line="240" w:lineRule="auto"/>
              <w:ind w:right="74"/>
              <w:jc w:val="right"/>
            </w:pPr>
            <w:r>
              <w:t>138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Non-Typological Comparisons Concerning Christ and the Cross</w:t>
            </w:r>
          </w:p>
        </w:tc>
        <w:tc>
          <w:tcPr>
            <w:tcW w:w="797" w:type="dxa"/>
          </w:tcPr>
          <w:p w:rsidR="001D3C58" w:rsidRPr="00E743FC" w:rsidRDefault="0091506C" w:rsidP="0091506C">
            <w:pPr>
              <w:spacing w:after="120" w:line="240" w:lineRule="auto"/>
              <w:ind w:right="74"/>
              <w:jc w:val="right"/>
            </w:pPr>
            <w:r>
              <w:t>141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Typological Assertions – God the Father and the Holy Spirit</w:t>
            </w:r>
          </w:p>
        </w:tc>
        <w:tc>
          <w:tcPr>
            <w:tcW w:w="797" w:type="dxa"/>
          </w:tcPr>
          <w:p w:rsidR="001D3C58" w:rsidRPr="00E743FC" w:rsidRDefault="0091506C" w:rsidP="004A7258">
            <w:pPr>
              <w:spacing w:after="120" w:line="240" w:lineRule="auto"/>
              <w:ind w:right="74"/>
              <w:jc w:val="right"/>
            </w:pPr>
            <w:r>
              <w:t>143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Typological and Non-Typological Comparisons – The Church</w:t>
            </w:r>
          </w:p>
        </w:tc>
        <w:tc>
          <w:tcPr>
            <w:tcW w:w="797" w:type="dxa"/>
          </w:tcPr>
          <w:p w:rsidR="001D3C58" w:rsidRPr="00E743FC" w:rsidRDefault="0091506C" w:rsidP="004A7258">
            <w:pPr>
              <w:spacing w:after="120" w:line="240" w:lineRule="auto"/>
              <w:ind w:right="74"/>
              <w:jc w:val="right"/>
            </w:pPr>
            <w:r>
              <w:t>144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Typological Assertions </w:t>
            </w:r>
            <w:r w:rsidR="0091506C">
              <w:t>–</w:t>
            </w:r>
            <w:r>
              <w:t xml:space="preserve"> Believers</w:t>
            </w:r>
          </w:p>
        </w:tc>
        <w:tc>
          <w:tcPr>
            <w:tcW w:w="797" w:type="dxa"/>
          </w:tcPr>
          <w:p w:rsidR="001D3C58" w:rsidRPr="00E743FC" w:rsidRDefault="0091506C" w:rsidP="004A7258">
            <w:pPr>
              <w:spacing w:after="120" w:line="240" w:lineRule="auto"/>
              <w:ind w:right="74"/>
              <w:jc w:val="right"/>
            </w:pPr>
            <w:r>
              <w:t>146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Non-Typological Assertions - Believers</w:t>
            </w:r>
          </w:p>
        </w:tc>
        <w:tc>
          <w:tcPr>
            <w:tcW w:w="797" w:type="dxa"/>
          </w:tcPr>
          <w:p w:rsidR="001D3C58" w:rsidRPr="00E743FC" w:rsidRDefault="0091506C" w:rsidP="004A7258">
            <w:pPr>
              <w:spacing w:after="120" w:line="240" w:lineRule="auto"/>
              <w:ind w:right="74"/>
              <w:jc w:val="right"/>
            </w:pPr>
            <w:r>
              <w:t>147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Typological and Non-Typological References – Israel</w:t>
            </w:r>
          </w:p>
        </w:tc>
        <w:tc>
          <w:tcPr>
            <w:tcW w:w="797" w:type="dxa"/>
          </w:tcPr>
          <w:p w:rsidR="001D3C58" w:rsidRPr="00E743FC" w:rsidRDefault="0091506C" w:rsidP="004A7258">
            <w:pPr>
              <w:spacing w:after="120" w:line="240" w:lineRule="auto"/>
              <w:ind w:right="74"/>
              <w:jc w:val="right"/>
            </w:pPr>
            <w:r>
              <w:t>148</w:t>
            </w:r>
          </w:p>
        </w:tc>
      </w:tr>
      <w:tr w:rsidR="001D3C58" w:rsidRPr="00E743FC" w:rsidTr="007710E7">
        <w:tc>
          <w:tcPr>
            <w:tcW w:w="7925" w:type="dxa"/>
            <w:gridSpan w:val="5"/>
          </w:tcPr>
          <w:p w:rsidR="001D3C58" w:rsidRDefault="001D3C58" w:rsidP="001349B7">
            <w:pPr>
              <w:spacing w:after="120" w:line="240" w:lineRule="auto"/>
              <w:ind w:right="74"/>
            </w:pPr>
            <w:r>
              <w:t>CHAPTER 3:</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Comparison: The Niagara Creed, 1878, the Doctrinal Statement of Dallas Theological Seminary and the Cairn University Statement of Faith</w:t>
            </w:r>
          </w:p>
        </w:tc>
        <w:tc>
          <w:tcPr>
            <w:tcW w:w="797" w:type="dxa"/>
          </w:tcPr>
          <w:p w:rsidR="001D3C58" w:rsidRPr="00E743FC" w:rsidRDefault="00133CB4" w:rsidP="004A7258">
            <w:pPr>
              <w:spacing w:after="120" w:line="240" w:lineRule="auto"/>
              <w:ind w:right="74"/>
              <w:jc w:val="right"/>
            </w:pPr>
            <w:r>
              <w:t>172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Names of God, </w:t>
            </w:r>
            <w:r w:rsidRPr="002B5DD6">
              <w:rPr>
                <w:i/>
              </w:rPr>
              <w:t>SRB</w:t>
            </w:r>
            <w:r>
              <w:t xml:space="preserve"> Notes on Genesis</w:t>
            </w:r>
          </w:p>
        </w:tc>
        <w:tc>
          <w:tcPr>
            <w:tcW w:w="797" w:type="dxa"/>
          </w:tcPr>
          <w:p w:rsidR="001D3C58" w:rsidRPr="00E743FC" w:rsidRDefault="00133CB4" w:rsidP="004A7258">
            <w:pPr>
              <w:spacing w:after="120" w:line="240" w:lineRule="auto"/>
              <w:ind w:right="74"/>
              <w:jc w:val="right"/>
            </w:pPr>
            <w:r>
              <w:t>175</w:t>
            </w:r>
          </w:p>
        </w:tc>
      </w:tr>
      <w:tr w:rsidR="001D3C58" w:rsidRPr="00E743FC" w:rsidTr="007710E7">
        <w:tc>
          <w:tcPr>
            <w:tcW w:w="7925" w:type="dxa"/>
            <w:gridSpan w:val="5"/>
          </w:tcPr>
          <w:p w:rsidR="001D3C58" w:rsidRDefault="001D3C58" w:rsidP="001349B7">
            <w:pPr>
              <w:spacing w:after="120" w:line="240" w:lineRule="auto"/>
              <w:ind w:right="74"/>
            </w:pPr>
            <w:r>
              <w:t>CHAPTER 5</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Dispensations in </w:t>
            </w:r>
            <w:r w:rsidRPr="002B5DD6">
              <w:rPr>
                <w:i/>
              </w:rPr>
              <w:t>SRB</w:t>
            </w:r>
          </w:p>
        </w:tc>
        <w:tc>
          <w:tcPr>
            <w:tcW w:w="797" w:type="dxa"/>
          </w:tcPr>
          <w:p w:rsidR="001D3C58" w:rsidRPr="00E743FC" w:rsidRDefault="00133CB4" w:rsidP="004A7258">
            <w:pPr>
              <w:spacing w:after="120" w:line="240" w:lineRule="auto"/>
              <w:ind w:right="74"/>
              <w:jc w:val="right"/>
            </w:pPr>
            <w:r>
              <w:t>204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Covenants in </w:t>
            </w:r>
            <w:r w:rsidRPr="007F1379">
              <w:rPr>
                <w:i/>
              </w:rPr>
              <w:t>SRB</w:t>
            </w:r>
          </w:p>
        </w:tc>
        <w:tc>
          <w:tcPr>
            <w:tcW w:w="797" w:type="dxa"/>
          </w:tcPr>
          <w:p w:rsidR="001D3C58" w:rsidRPr="00E743FC" w:rsidRDefault="00133CB4" w:rsidP="004A7258">
            <w:pPr>
              <w:spacing w:after="120" w:line="240" w:lineRule="auto"/>
              <w:ind w:right="74"/>
              <w:jc w:val="right"/>
            </w:pPr>
            <w:r>
              <w:t>205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Distribution of Dispensations: </w:t>
            </w:r>
            <w:r w:rsidRPr="007F1379">
              <w:rPr>
                <w:i/>
              </w:rPr>
              <w:t>SRB</w:t>
            </w:r>
            <w:r>
              <w:t xml:space="preserve"> Compared to the 1967 and 2003 Editions</w:t>
            </w:r>
          </w:p>
        </w:tc>
        <w:tc>
          <w:tcPr>
            <w:tcW w:w="797" w:type="dxa"/>
          </w:tcPr>
          <w:p w:rsidR="001D3C58" w:rsidRPr="00E743FC" w:rsidRDefault="00133CB4" w:rsidP="004A7258">
            <w:pPr>
              <w:spacing w:after="120" w:line="240" w:lineRule="auto"/>
              <w:ind w:right="74"/>
              <w:jc w:val="right"/>
            </w:pPr>
            <w:r>
              <w:t>211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Occurrences of ‘</w:t>
            </w:r>
            <w:r w:rsidRPr="00F9241C">
              <w:rPr>
                <w:rFonts w:ascii="Bwhebb" w:hAnsi="Bwhebb" w:cs="Bwhebb"/>
                <w:sz w:val="36"/>
                <w:szCs w:val="36"/>
                <w:lang w:bidi="he-IL"/>
              </w:rPr>
              <w:t>tv,l,P</w:t>
            </w:r>
            <w:r>
              <w:t xml:space="preserve">’ in the Masoretic Text compared with the Septuagint and with translations in the Complete Jewish Bible, </w:t>
            </w:r>
            <w:r w:rsidRPr="00313CBE">
              <w:rPr>
                <w:i/>
              </w:rPr>
              <w:t>NRSV</w:t>
            </w:r>
            <w:r>
              <w:t xml:space="preserve">, </w:t>
            </w:r>
            <w:r w:rsidRPr="00313CBE">
              <w:rPr>
                <w:i/>
              </w:rPr>
              <w:t>NIV</w:t>
            </w:r>
            <w:r>
              <w:t xml:space="preserve">, </w:t>
            </w:r>
            <w:r w:rsidRPr="00313CBE">
              <w:rPr>
                <w:i/>
              </w:rPr>
              <w:t>KJV</w:t>
            </w:r>
            <w:r>
              <w:t>, Geneva Bible, Luther 1545 German Bible, Modern German Revidierte Elberfelder and Bible en Fran</w:t>
            </w:r>
            <w:r w:rsidRPr="00A01541">
              <w:rPr>
                <w:rFonts w:cs="Humnst777 Lt BT"/>
                <w:szCs w:val="24"/>
                <w:lang w:val="en-US"/>
              </w:rPr>
              <w:t>ç</w:t>
            </w:r>
            <w:r>
              <w:t xml:space="preserve">ais Courant </w:t>
            </w:r>
          </w:p>
        </w:tc>
        <w:tc>
          <w:tcPr>
            <w:tcW w:w="797" w:type="dxa"/>
          </w:tcPr>
          <w:p w:rsidR="001D3C58" w:rsidRPr="00E743FC" w:rsidRDefault="00133CB4" w:rsidP="004A7258">
            <w:pPr>
              <w:spacing w:after="120" w:line="240" w:lineRule="auto"/>
              <w:ind w:right="74"/>
              <w:jc w:val="right"/>
            </w:pPr>
            <w:r>
              <w:t>220</w:t>
            </w:r>
          </w:p>
        </w:tc>
      </w:tr>
      <w:tr w:rsidR="001D3C58" w:rsidRPr="00E743FC" w:rsidTr="007710E7">
        <w:tc>
          <w:tcPr>
            <w:tcW w:w="7925" w:type="dxa"/>
            <w:gridSpan w:val="5"/>
          </w:tcPr>
          <w:p w:rsidR="001D3C58" w:rsidRDefault="001D3C58" w:rsidP="001349B7">
            <w:pPr>
              <w:spacing w:after="120" w:line="240" w:lineRule="auto"/>
              <w:ind w:right="74"/>
            </w:pPr>
            <w:r>
              <w:t>CHAPTER 6</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Pretribulational References in </w:t>
            </w:r>
            <w:r w:rsidRPr="00FA5978">
              <w:rPr>
                <w:i/>
              </w:rPr>
              <w:t>SRB</w:t>
            </w:r>
            <w:r>
              <w:t xml:space="preserve"> and the 1967 and 2003 Editions</w:t>
            </w:r>
          </w:p>
        </w:tc>
        <w:tc>
          <w:tcPr>
            <w:tcW w:w="797" w:type="dxa"/>
          </w:tcPr>
          <w:p w:rsidR="001D3C58" w:rsidRPr="00E743FC" w:rsidRDefault="00133CB4" w:rsidP="004A7258">
            <w:pPr>
              <w:spacing w:after="120" w:line="240" w:lineRule="auto"/>
              <w:ind w:right="74"/>
              <w:jc w:val="right"/>
            </w:pPr>
            <w:r>
              <w:t>248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Compos</w:t>
            </w:r>
            <w:r w:rsidR="00133CB4">
              <w:t>i</w:t>
            </w:r>
            <w:r>
              <w:t>tion of Pretribu</w:t>
            </w:r>
            <w:r w:rsidR="00133CB4">
              <w:t>l</w:t>
            </w:r>
            <w:r>
              <w:t>ational Removal References in Each Edition</w:t>
            </w:r>
          </w:p>
        </w:tc>
        <w:tc>
          <w:tcPr>
            <w:tcW w:w="797" w:type="dxa"/>
          </w:tcPr>
          <w:p w:rsidR="001D3C58" w:rsidRPr="00E743FC" w:rsidRDefault="00133CB4" w:rsidP="004A7258">
            <w:pPr>
              <w:spacing w:after="120" w:line="240" w:lineRule="auto"/>
              <w:ind w:right="74"/>
              <w:jc w:val="right"/>
            </w:pPr>
            <w:r>
              <w:t>249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Translation</w:t>
            </w:r>
          </w:p>
        </w:tc>
        <w:tc>
          <w:tcPr>
            <w:tcW w:w="797" w:type="dxa"/>
          </w:tcPr>
          <w:p w:rsidR="001D3C58" w:rsidRPr="00E743FC" w:rsidRDefault="00133CB4" w:rsidP="004A7258">
            <w:pPr>
              <w:spacing w:after="120" w:line="240" w:lineRule="auto"/>
              <w:ind w:right="74"/>
              <w:jc w:val="right"/>
            </w:pPr>
            <w:r>
              <w:t>250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Rapture</w:t>
            </w:r>
          </w:p>
        </w:tc>
        <w:tc>
          <w:tcPr>
            <w:tcW w:w="797" w:type="dxa"/>
          </w:tcPr>
          <w:p w:rsidR="001D3C58" w:rsidRPr="00E743FC" w:rsidRDefault="00133CB4" w:rsidP="004A7258">
            <w:pPr>
              <w:spacing w:after="120" w:line="240" w:lineRule="auto"/>
              <w:ind w:right="74"/>
              <w:jc w:val="right"/>
            </w:pPr>
            <w:r>
              <w:t>251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Occurrences of Other Expressions</w:t>
            </w:r>
          </w:p>
        </w:tc>
        <w:tc>
          <w:tcPr>
            <w:tcW w:w="797" w:type="dxa"/>
          </w:tcPr>
          <w:p w:rsidR="001D3C58" w:rsidRPr="00E743FC" w:rsidRDefault="00133CB4" w:rsidP="004A7258">
            <w:pPr>
              <w:spacing w:after="120" w:line="240" w:lineRule="auto"/>
              <w:ind w:right="74"/>
              <w:jc w:val="right"/>
            </w:pPr>
            <w:r>
              <w:t>252</w:t>
            </w:r>
          </w:p>
        </w:tc>
      </w:tr>
      <w:tr w:rsidR="001D3C58" w:rsidRPr="00E743FC" w:rsidTr="007710E7">
        <w:tc>
          <w:tcPr>
            <w:tcW w:w="7925" w:type="dxa"/>
            <w:gridSpan w:val="5"/>
          </w:tcPr>
          <w:p w:rsidR="001D3C58" w:rsidRDefault="001D3C58" w:rsidP="001349B7">
            <w:pPr>
              <w:spacing w:after="120" w:line="240" w:lineRule="auto"/>
              <w:ind w:right="74"/>
            </w:pPr>
            <w:r>
              <w:t>CHAPTER 7</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The Seven Churches of Revelation 2 – 3 </w:t>
            </w:r>
          </w:p>
        </w:tc>
        <w:tc>
          <w:tcPr>
            <w:tcW w:w="797" w:type="dxa"/>
          </w:tcPr>
          <w:p w:rsidR="001D3C58" w:rsidRPr="00E743FC" w:rsidRDefault="00133CB4" w:rsidP="004A7258">
            <w:pPr>
              <w:spacing w:after="120" w:line="240" w:lineRule="auto"/>
              <w:ind w:right="74"/>
              <w:jc w:val="right"/>
            </w:pPr>
            <w:r>
              <w:t>261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Texts from the Old Testament Linked in </w:t>
            </w:r>
            <w:r w:rsidRPr="00133CB4">
              <w:rPr>
                <w:i/>
              </w:rPr>
              <w:t>SRB</w:t>
            </w:r>
            <w:r>
              <w:t xml:space="preserve"> with Texts from Revelation</w:t>
            </w:r>
          </w:p>
        </w:tc>
        <w:tc>
          <w:tcPr>
            <w:tcW w:w="797" w:type="dxa"/>
          </w:tcPr>
          <w:p w:rsidR="001D3C58" w:rsidRPr="00E743FC" w:rsidRDefault="00133CB4" w:rsidP="004A7258">
            <w:pPr>
              <w:spacing w:after="120" w:line="240" w:lineRule="auto"/>
              <w:ind w:right="74"/>
              <w:jc w:val="right"/>
            </w:pPr>
            <w:r>
              <w:t>275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Links from Revelation to Old Testament Passages</w:t>
            </w:r>
          </w:p>
        </w:tc>
        <w:tc>
          <w:tcPr>
            <w:tcW w:w="797" w:type="dxa"/>
          </w:tcPr>
          <w:p w:rsidR="001D3C58" w:rsidRPr="00E743FC" w:rsidRDefault="00133CB4" w:rsidP="004A7258">
            <w:pPr>
              <w:spacing w:after="120" w:line="240" w:lineRule="auto"/>
              <w:ind w:right="74"/>
              <w:jc w:val="right"/>
            </w:pPr>
            <w:r>
              <w:t>277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Other Apocalyptic Links between the Testaments</w:t>
            </w:r>
          </w:p>
        </w:tc>
        <w:tc>
          <w:tcPr>
            <w:tcW w:w="797" w:type="dxa"/>
          </w:tcPr>
          <w:p w:rsidR="001D3C58" w:rsidRPr="00E743FC" w:rsidRDefault="00133CB4" w:rsidP="004A7258">
            <w:pPr>
              <w:spacing w:after="120" w:line="240" w:lineRule="auto"/>
              <w:ind w:right="74"/>
              <w:jc w:val="right"/>
            </w:pPr>
            <w:r>
              <w:t>277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Pr="00133CB4" w:rsidRDefault="001D3C58" w:rsidP="00133CB4">
            <w:pPr>
              <w:spacing w:after="120" w:line="240" w:lineRule="auto"/>
              <w:ind w:right="74"/>
              <w:rPr>
                <w:spacing w:val="-2"/>
              </w:rPr>
            </w:pPr>
            <w:r w:rsidRPr="00133CB4">
              <w:rPr>
                <w:spacing w:val="-2"/>
              </w:rPr>
              <w:t xml:space="preserve">Equivalences made in </w:t>
            </w:r>
            <w:r w:rsidRPr="00133CB4">
              <w:rPr>
                <w:i/>
                <w:spacing w:val="-2"/>
              </w:rPr>
              <w:t xml:space="preserve">SRB </w:t>
            </w:r>
            <w:r w:rsidRPr="00133CB4">
              <w:rPr>
                <w:spacing w:val="-2"/>
              </w:rPr>
              <w:t xml:space="preserve">between Different Figures </w:t>
            </w:r>
            <w:r w:rsidR="00133CB4" w:rsidRPr="00133CB4">
              <w:rPr>
                <w:spacing w:val="-2"/>
              </w:rPr>
              <w:t>W</w:t>
            </w:r>
            <w:r w:rsidRPr="00133CB4">
              <w:rPr>
                <w:spacing w:val="-2"/>
              </w:rPr>
              <w:t xml:space="preserve">ithin and </w:t>
            </w:r>
            <w:r w:rsidR="00133CB4" w:rsidRPr="00133CB4">
              <w:rPr>
                <w:spacing w:val="-2"/>
              </w:rPr>
              <w:t>B</w:t>
            </w:r>
            <w:r w:rsidRPr="00133CB4">
              <w:rPr>
                <w:spacing w:val="-2"/>
              </w:rPr>
              <w:t>etween Biblical Books</w:t>
            </w:r>
          </w:p>
        </w:tc>
        <w:tc>
          <w:tcPr>
            <w:tcW w:w="797" w:type="dxa"/>
          </w:tcPr>
          <w:p w:rsidR="001D3C58" w:rsidRPr="00E743FC" w:rsidRDefault="00133CB4" w:rsidP="004A7258">
            <w:pPr>
              <w:spacing w:after="120" w:line="240" w:lineRule="auto"/>
              <w:ind w:right="74"/>
              <w:jc w:val="right"/>
            </w:pPr>
            <w:r>
              <w:t>278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Eschatological Personages, Events and Institutions</w:t>
            </w:r>
          </w:p>
        </w:tc>
        <w:tc>
          <w:tcPr>
            <w:tcW w:w="797" w:type="dxa"/>
          </w:tcPr>
          <w:p w:rsidR="001D3C58" w:rsidRPr="00E743FC" w:rsidRDefault="00133CB4" w:rsidP="004A7258">
            <w:pPr>
              <w:spacing w:after="120" w:line="240" w:lineRule="auto"/>
              <w:ind w:right="74"/>
              <w:jc w:val="right"/>
            </w:pPr>
            <w:r>
              <w:t>280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Old Testament References to the Davidic Nature of the Kingdom</w:t>
            </w:r>
          </w:p>
        </w:tc>
        <w:tc>
          <w:tcPr>
            <w:tcW w:w="797" w:type="dxa"/>
          </w:tcPr>
          <w:p w:rsidR="001D3C58" w:rsidRPr="00E743FC" w:rsidRDefault="007F0BEE" w:rsidP="004A7258">
            <w:pPr>
              <w:spacing w:after="120" w:line="240" w:lineRule="auto"/>
              <w:ind w:right="74"/>
              <w:jc w:val="right"/>
            </w:pPr>
            <w:r>
              <w:t>295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New Testament References to the Davidic Nature of the Kingdom</w:t>
            </w:r>
          </w:p>
        </w:tc>
        <w:tc>
          <w:tcPr>
            <w:tcW w:w="797" w:type="dxa"/>
          </w:tcPr>
          <w:p w:rsidR="001D3C58" w:rsidRPr="00E743FC" w:rsidRDefault="007F0BEE" w:rsidP="004A7258">
            <w:pPr>
              <w:spacing w:after="120" w:line="240" w:lineRule="auto"/>
              <w:ind w:right="74"/>
              <w:jc w:val="right"/>
            </w:pPr>
            <w:r>
              <w:t>296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Old Testament References to the Messianic Nature of the Kingdom</w:t>
            </w:r>
          </w:p>
        </w:tc>
        <w:tc>
          <w:tcPr>
            <w:tcW w:w="797" w:type="dxa"/>
          </w:tcPr>
          <w:p w:rsidR="001D3C58" w:rsidRPr="00E743FC" w:rsidRDefault="007F0BEE" w:rsidP="004A7258">
            <w:pPr>
              <w:spacing w:after="120" w:line="240" w:lineRule="auto"/>
              <w:ind w:right="74"/>
              <w:jc w:val="right"/>
            </w:pPr>
            <w:r>
              <w:t>299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New Testament References to the Messianic Nature of the Kingdom</w:t>
            </w:r>
          </w:p>
        </w:tc>
        <w:tc>
          <w:tcPr>
            <w:tcW w:w="797" w:type="dxa"/>
          </w:tcPr>
          <w:p w:rsidR="001D3C58" w:rsidRPr="00E743FC" w:rsidRDefault="007F0BEE" w:rsidP="004A7258">
            <w:pPr>
              <w:spacing w:after="120" w:line="240" w:lineRule="auto"/>
              <w:ind w:right="74"/>
              <w:jc w:val="right"/>
            </w:pPr>
            <w:r>
              <w:t>300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Differences Between the Kingdom of God and Kingdom of Heaven</w:t>
            </w:r>
          </w:p>
        </w:tc>
        <w:tc>
          <w:tcPr>
            <w:tcW w:w="797" w:type="dxa"/>
          </w:tcPr>
          <w:p w:rsidR="001D3C58" w:rsidRPr="00E743FC" w:rsidRDefault="007F0BEE" w:rsidP="004A7258">
            <w:pPr>
              <w:spacing w:after="120" w:line="240" w:lineRule="auto"/>
              <w:ind w:right="74"/>
              <w:jc w:val="right"/>
            </w:pPr>
            <w:r>
              <w:t>302</w:t>
            </w:r>
          </w:p>
        </w:tc>
      </w:tr>
      <w:tr w:rsidR="001D3C58" w:rsidRPr="00E743FC" w:rsidTr="007710E7">
        <w:tc>
          <w:tcPr>
            <w:tcW w:w="7925" w:type="dxa"/>
            <w:gridSpan w:val="5"/>
          </w:tcPr>
          <w:p w:rsidR="001D3C58" w:rsidRDefault="001D3C58" w:rsidP="001349B7">
            <w:pPr>
              <w:spacing w:after="120" w:line="240" w:lineRule="auto"/>
              <w:ind w:right="74"/>
            </w:pPr>
            <w:r>
              <w:lastRenderedPageBreak/>
              <w:t>CHAPTER 8, PART 1</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F15086">
            <w:pPr>
              <w:spacing w:after="120" w:line="240" w:lineRule="auto"/>
              <w:ind w:right="74"/>
            </w:pPr>
            <w:r>
              <w:t xml:space="preserve">Key to Colours in </w:t>
            </w:r>
            <w:r w:rsidR="00F15086">
              <w:t xml:space="preserve">Headings in </w:t>
            </w:r>
            <w:r>
              <w:t xml:space="preserve">Tables </w:t>
            </w:r>
          </w:p>
        </w:tc>
        <w:tc>
          <w:tcPr>
            <w:tcW w:w="797" w:type="dxa"/>
          </w:tcPr>
          <w:p w:rsidR="001D3C58" w:rsidRPr="00E743FC" w:rsidRDefault="00F15086" w:rsidP="004A7258">
            <w:pPr>
              <w:spacing w:after="120" w:line="240" w:lineRule="auto"/>
              <w:ind w:right="74"/>
              <w:jc w:val="right"/>
            </w:pPr>
            <w:r>
              <w:t>327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Genesis</w:t>
            </w:r>
          </w:p>
        </w:tc>
        <w:tc>
          <w:tcPr>
            <w:tcW w:w="797" w:type="dxa"/>
          </w:tcPr>
          <w:p w:rsidR="001D3C58" w:rsidRPr="00E743FC" w:rsidRDefault="00F15086" w:rsidP="004A7258">
            <w:pPr>
              <w:spacing w:after="120" w:line="240" w:lineRule="auto"/>
              <w:ind w:right="74"/>
              <w:jc w:val="right"/>
            </w:pPr>
            <w:r>
              <w:t>328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Genesis</w:t>
            </w:r>
          </w:p>
        </w:tc>
        <w:tc>
          <w:tcPr>
            <w:tcW w:w="797" w:type="dxa"/>
          </w:tcPr>
          <w:p w:rsidR="001D3C58" w:rsidRPr="00E743FC" w:rsidRDefault="00F15086" w:rsidP="004A7258">
            <w:pPr>
              <w:spacing w:after="120" w:line="240" w:lineRule="auto"/>
              <w:ind w:right="74"/>
              <w:jc w:val="right"/>
            </w:pPr>
            <w:r>
              <w:t>329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Exodus</w:t>
            </w:r>
          </w:p>
        </w:tc>
        <w:tc>
          <w:tcPr>
            <w:tcW w:w="797" w:type="dxa"/>
          </w:tcPr>
          <w:p w:rsidR="001D3C58" w:rsidRPr="00E743FC" w:rsidRDefault="00F15086" w:rsidP="004A7258">
            <w:pPr>
              <w:spacing w:after="120" w:line="240" w:lineRule="auto"/>
              <w:ind w:right="74"/>
              <w:jc w:val="right"/>
            </w:pPr>
            <w:r>
              <w:t>330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Exodus</w:t>
            </w:r>
          </w:p>
        </w:tc>
        <w:tc>
          <w:tcPr>
            <w:tcW w:w="797" w:type="dxa"/>
          </w:tcPr>
          <w:p w:rsidR="001D3C58" w:rsidRPr="00E743FC" w:rsidRDefault="00F15086" w:rsidP="004A7258">
            <w:pPr>
              <w:spacing w:after="120" w:line="240" w:lineRule="auto"/>
              <w:ind w:right="74"/>
              <w:jc w:val="right"/>
            </w:pPr>
            <w:r>
              <w:t>331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Leviticus</w:t>
            </w:r>
          </w:p>
        </w:tc>
        <w:tc>
          <w:tcPr>
            <w:tcW w:w="797" w:type="dxa"/>
          </w:tcPr>
          <w:p w:rsidR="001D3C58" w:rsidRPr="00E743FC" w:rsidRDefault="00F15086" w:rsidP="004A7258">
            <w:pPr>
              <w:spacing w:after="120" w:line="240" w:lineRule="auto"/>
              <w:ind w:right="74"/>
              <w:jc w:val="right"/>
            </w:pPr>
            <w:r>
              <w:t>332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Leviticus</w:t>
            </w:r>
          </w:p>
        </w:tc>
        <w:tc>
          <w:tcPr>
            <w:tcW w:w="797" w:type="dxa"/>
          </w:tcPr>
          <w:p w:rsidR="001D3C58" w:rsidRPr="00E743FC" w:rsidRDefault="00F15086" w:rsidP="004A7258">
            <w:pPr>
              <w:spacing w:after="120" w:line="240" w:lineRule="auto"/>
              <w:ind w:right="74"/>
              <w:jc w:val="right"/>
            </w:pPr>
            <w:r>
              <w:t>332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Numbers</w:t>
            </w:r>
          </w:p>
        </w:tc>
        <w:tc>
          <w:tcPr>
            <w:tcW w:w="797" w:type="dxa"/>
          </w:tcPr>
          <w:p w:rsidR="001D3C58" w:rsidRPr="00E743FC" w:rsidRDefault="00F15086" w:rsidP="004A7258">
            <w:pPr>
              <w:spacing w:after="120" w:line="240" w:lineRule="auto"/>
              <w:ind w:right="74"/>
              <w:jc w:val="right"/>
            </w:pPr>
            <w:r>
              <w:t>334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Numbers</w:t>
            </w:r>
          </w:p>
        </w:tc>
        <w:tc>
          <w:tcPr>
            <w:tcW w:w="797" w:type="dxa"/>
          </w:tcPr>
          <w:p w:rsidR="001D3C58" w:rsidRPr="00E743FC" w:rsidRDefault="00580C63" w:rsidP="004A7258">
            <w:pPr>
              <w:spacing w:after="120" w:line="240" w:lineRule="auto"/>
              <w:ind w:right="74"/>
              <w:jc w:val="right"/>
            </w:pPr>
            <w:r>
              <w:t>334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Deuteronomy</w:t>
            </w:r>
          </w:p>
        </w:tc>
        <w:tc>
          <w:tcPr>
            <w:tcW w:w="797" w:type="dxa"/>
          </w:tcPr>
          <w:p w:rsidR="001D3C58" w:rsidRPr="00E743FC" w:rsidRDefault="00580C63" w:rsidP="004A7258">
            <w:pPr>
              <w:spacing w:after="120" w:line="240" w:lineRule="auto"/>
              <w:ind w:right="74"/>
              <w:jc w:val="right"/>
            </w:pPr>
            <w:r>
              <w:t>335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Introductions to the Historical Books</w:t>
            </w:r>
          </w:p>
        </w:tc>
        <w:tc>
          <w:tcPr>
            <w:tcW w:w="797" w:type="dxa"/>
          </w:tcPr>
          <w:p w:rsidR="001D3C58" w:rsidRPr="00E743FC" w:rsidRDefault="00580C63" w:rsidP="004A7258">
            <w:pPr>
              <w:spacing w:after="120" w:line="240" w:lineRule="auto"/>
              <w:ind w:right="74"/>
              <w:jc w:val="right"/>
            </w:pPr>
            <w:r>
              <w:t>337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the Historical Books</w:t>
            </w:r>
          </w:p>
        </w:tc>
        <w:tc>
          <w:tcPr>
            <w:tcW w:w="797" w:type="dxa"/>
          </w:tcPr>
          <w:p w:rsidR="001D3C58" w:rsidRPr="00E743FC" w:rsidRDefault="00580C63" w:rsidP="004A7258">
            <w:pPr>
              <w:spacing w:after="120" w:line="240" w:lineRule="auto"/>
              <w:ind w:right="74"/>
              <w:jc w:val="right"/>
            </w:pPr>
            <w:r>
              <w:t>339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580C63">
            <w:pPr>
              <w:spacing w:after="120" w:line="240" w:lineRule="auto"/>
              <w:ind w:right="74"/>
            </w:pPr>
            <w:r>
              <w:t xml:space="preserve">Chapters in Historical Books </w:t>
            </w:r>
            <w:r w:rsidR="00580C63">
              <w:t>W</w:t>
            </w:r>
            <w:r>
              <w:t xml:space="preserve">ith and </w:t>
            </w:r>
            <w:r w:rsidR="00580C63">
              <w:t>W</w:t>
            </w:r>
            <w:r>
              <w:t>ithout Notes</w:t>
            </w:r>
          </w:p>
        </w:tc>
        <w:tc>
          <w:tcPr>
            <w:tcW w:w="797" w:type="dxa"/>
          </w:tcPr>
          <w:p w:rsidR="001D3C58" w:rsidRPr="00E743FC" w:rsidRDefault="000524B0" w:rsidP="004A7258">
            <w:pPr>
              <w:spacing w:after="120" w:line="240" w:lineRule="auto"/>
              <w:ind w:right="74"/>
              <w:jc w:val="right"/>
            </w:pPr>
            <w:r>
              <w:t>340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Subheads in Historical Books</w:t>
            </w:r>
          </w:p>
        </w:tc>
        <w:tc>
          <w:tcPr>
            <w:tcW w:w="797" w:type="dxa"/>
          </w:tcPr>
          <w:p w:rsidR="001D3C58" w:rsidRPr="00E743FC" w:rsidRDefault="000524B0" w:rsidP="004A7258">
            <w:pPr>
              <w:spacing w:after="120" w:line="240" w:lineRule="auto"/>
              <w:ind w:right="74"/>
              <w:jc w:val="right"/>
            </w:pPr>
            <w:r>
              <w:t>341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Psalms</w:t>
            </w:r>
          </w:p>
        </w:tc>
        <w:tc>
          <w:tcPr>
            <w:tcW w:w="797" w:type="dxa"/>
          </w:tcPr>
          <w:p w:rsidR="001D3C58" w:rsidRPr="00E743FC" w:rsidRDefault="000524B0" w:rsidP="004A7258">
            <w:pPr>
              <w:spacing w:after="120" w:line="240" w:lineRule="auto"/>
              <w:ind w:right="74"/>
              <w:jc w:val="right"/>
            </w:pPr>
            <w:r>
              <w:t>343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Psalms</w:t>
            </w:r>
          </w:p>
        </w:tc>
        <w:tc>
          <w:tcPr>
            <w:tcW w:w="797" w:type="dxa"/>
          </w:tcPr>
          <w:p w:rsidR="001D3C58" w:rsidRPr="00E743FC" w:rsidRDefault="000524B0" w:rsidP="004A7258">
            <w:pPr>
              <w:spacing w:after="120" w:line="240" w:lineRule="auto"/>
              <w:ind w:right="74"/>
              <w:jc w:val="right"/>
            </w:pPr>
            <w:r>
              <w:t>344</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Isaiah</w:t>
            </w:r>
          </w:p>
        </w:tc>
        <w:tc>
          <w:tcPr>
            <w:tcW w:w="797" w:type="dxa"/>
          </w:tcPr>
          <w:p w:rsidR="001D3C58" w:rsidRPr="00E743FC" w:rsidRDefault="000524B0" w:rsidP="004A7258">
            <w:pPr>
              <w:spacing w:after="120" w:line="240" w:lineRule="auto"/>
              <w:ind w:right="74"/>
              <w:jc w:val="right"/>
            </w:pPr>
            <w:r>
              <w:t>347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Isaiah</w:t>
            </w:r>
          </w:p>
        </w:tc>
        <w:tc>
          <w:tcPr>
            <w:tcW w:w="797" w:type="dxa"/>
          </w:tcPr>
          <w:p w:rsidR="001D3C58" w:rsidRPr="00E743FC" w:rsidRDefault="000524B0" w:rsidP="004A7258">
            <w:pPr>
              <w:spacing w:after="120" w:line="240" w:lineRule="auto"/>
              <w:ind w:right="74"/>
              <w:jc w:val="right"/>
            </w:pPr>
            <w:r>
              <w:t>348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Jeremiah</w:t>
            </w:r>
          </w:p>
        </w:tc>
        <w:tc>
          <w:tcPr>
            <w:tcW w:w="797" w:type="dxa"/>
          </w:tcPr>
          <w:p w:rsidR="001D3C58" w:rsidRPr="00E743FC" w:rsidRDefault="000524B0" w:rsidP="004A7258">
            <w:pPr>
              <w:spacing w:after="120" w:line="240" w:lineRule="auto"/>
              <w:ind w:right="74"/>
              <w:jc w:val="right"/>
            </w:pPr>
            <w:r>
              <w:t>351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Jeremiah</w:t>
            </w:r>
          </w:p>
        </w:tc>
        <w:tc>
          <w:tcPr>
            <w:tcW w:w="797" w:type="dxa"/>
          </w:tcPr>
          <w:p w:rsidR="001D3C58" w:rsidRPr="00E743FC" w:rsidRDefault="000524B0" w:rsidP="004A7258">
            <w:pPr>
              <w:spacing w:after="120" w:line="240" w:lineRule="auto"/>
              <w:ind w:right="74"/>
              <w:jc w:val="right"/>
            </w:pPr>
            <w:r>
              <w:t>352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Ezekiel</w:t>
            </w:r>
          </w:p>
        </w:tc>
        <w:tc>
          <w:tcPr>
            <w:tcW w:w="797" w:type="dxa"/>
          </w:tcPr>
          <w:p w:rsidR="001D3C58" w:rsidRPr="00E743FC" w:rsidRDefault="00774B0E" w:rsidP="004A7258">
            <w:pPr>
              <w:spacing w:after="120" w:line="240" w:lineRule="auto"/>
              <w:ind w:right="74"/>
              <w:jc w:val="right"/>
            </w:pPr>
            <w:r>
              <w:t>355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Ezekiel</w:t>
            </w:r>
          </w:p>
        </w:tc>
        <w:tc>
          <w:tcPr>
            <w:tcW w:w="797" w:type="dxa"/>
          </w:tcPr>
          <w:p w:rsidR="001D3C58" w:rsidRPr="00E743FC" w:rsidRDefault="00774B0E" w:rsidP="004A7258">
            <w:pPr>
              <w:spacing w:after="120" w:line="240" w:lineRule="auto"/>
              <w:ind w:right="74"/>
              <w:jc w:val="right"/>
            </w:pPr>
            <w:r>
              <w:t>356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Daniel</w:t>
            </w:r>
          </w:p>
        </w:tc>
        <w:tc>
          <w:tcPr>
            <w:tcW w:w="797" w:type="dxa"/>
          </w:tcPr>
          <w:p w:rsidR="001D3C58" w:rsidRPr="00E743FC" w:rsidRDefault="00774B0E" w:rsidP="004A7258">
            <w:pPr>
              <w:spacing w:after="120" w:line="240" w:lineRule="auto"/>
              <w:ind w:right="74"/>
              <w:jc w:val="right"/>
            </w:pPr>
            <w:r>
              <w:t>358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Daniel</w:t>
            </w:r>
          </w:p>
        </w:tc>
        <w:tc>
          <w:tcPr>
            <w:tcW w:w="797" w:type="dxa"/>
          </w:tcPr>
          <w:p w:rsidR="001D3C58" w:rsidRPr="00E743FC" w:rsidRDefault="00774B0E" w:rsidP="004A7258">
            <w:pPr>
              <w:spacing w:after="120" w:line="240" w:lineRule="auto"/>
              <w:ind w:right="74"/>
              <w:jc w:val="right"/>
            </w:pPr>
            <w:r>
              <w:t>359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Hosea, Joel, Amos, Jonah, Nahum, Zephaniah and Haggai</w:t>
            </w:r>
          </w:p>
        </w:tc>
        <w:tc>
          <w:tcPr>
            <w:tcW w:w="797" w:type="dxa"/>
          </w:tcPr>
          <w:p w:rsidR="001D3C58" w:rsidRPr="00E743FC" w:rsidRDefault="00774B0E" w:rsidP="004A7258">
            <w:pPr>
              <w:spacing w:after="120" w:line="240" w:lineRule="auto"/>
              <w:ind w:right="74"/>
              <w:jc w:val="right"/>
            </w:pPr>
            <w:r>
              <w:t>362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Micah, Habakkuk and Malachi</w:t>
            </w:r>
          </w:p>
        </w:tc>
        <w:tc>
          <w:tcPr>
            <w:tcW w:w="797" w:type="dxa"/>
          </w:tcPr>
          <w:p w:rsidR="001D3C58" w:rsidRPr="00E743FC" w:rsidRDefault="00774B0E" w:rsidP="004A7258">
            <w:pPr>
              <w:spacing w:after="120" w:line="240" w:lineRule="auto"/>
              <w:ind w:right="74"/>
              <w:jc w:val="right"/>
            </w:pPr>
            <w:r>
              <w:t>363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Zechariah</w:t>
            </w:r>
          </w:p>
        </w:tc>
        <w:tc>
          <w:tcPr>
            <w:tcW w:w="797" w:type="dxa"/>
          </w:tcPr>
          <w:p w:rsidR="001D3C58" w:rsidRPr="00E743FC" w:rsidRDefault="00774B0E" w:rsidP="004A7258">
            <w:pPr>
              <w:spacing w:after="120" w:line="240" w:lineRule="auto"/>
              <w:ind w:right="74"/>
              <w:jc w:val="right"/>
            </w:pPr>
            <w:r>
              <w:t>368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Zechariah</w:t>
            </w:r>
          </w:p>
        </w:tc>
        <w:tc>
          <w:tcPr>
            <w:tcW w:w="797" w:type="dxa"/>
          </w:tcPr>
          <w:p w:rsidR="001D3C58" w:rsidRPr="00E743FC" w:rsidRDefault="00774B0E" w:rsidP="004A7258">
            <w:pPr>
              <w:spacing w:after="120" w:line="240" w:lineRule="auto"/>
              <w:ind w:right="74"/>
              <w:jc w:val="right"/>
            </w:pPr>
            <w:r>
              <w:t>369</w:t>
            </w:r>
          </w:p>
        </w:tc>
      </w:tr>
      <w:tr w:rsidR="001D3C58" w:rsidRPr="00E743FC" w:rsidTr="007710E7">
        <w:tc>
          <w:tcPr>
            <w:tcW w:w="7925" w:type="dxa"/>
            <w:gridSpan w:val="5"/>
          </w:tcPr>
          <w:p w:rsidR="001D3C58" w:rsidRDefault="001D3C58" w:rsidP="001349B7">
            <w:pPr>
              <w:spacing w:after="120" w:line="240" w:lineRule="auto"/>
              <w:ind w:right="74"/>
            </w:pPr>
            <w:r>
              <w:t>CHAPTER 8, PART 2</w:t>
            </w:r>
          </w:p>
        </w:tc>
        <w:tc>
          <w:tcPr>
            <w:tcW w:w="797" w:type="dxa"/>
          </w:tcPr>
          <w:p w:rsidR="001D3C58" w:rsidRPr="00E743FC" w:rsidRDefault="001D3C58"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Themes in </w:t>
            </w:r>
            <w:r w:rsidRPr="00431437">
              <w:rPr>
                <w:i/>
              </w:rPr>
              <w:t>SRB</w:t>
            </w:r>
            <w:r>
              <w:t xml:space="preserve"> Introduction to the Four Gospels</w:t>
            </w:r>
          </w:p>
        </w:tc>
        <w:tc>
          <w:tcPr>
            <w:tcW w:w="797" w:type="dxa"/>
          </w:tcPr>
          <w:p w:rsidR="001D3C58" w:rsidRPr="00E743FC" w:rsidRDefault="00877898" w:rsidP="004A7258">
            <w:pPr>
              <w:spacing w:after="120" w:line="240" w:lineRule="auto"/>
              <w:ind w:right="74"/>
              <w:jc w:val="right"/>
            </w:pPr>
            <w:r>
              <w:t>387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Matthew and Mark</w:t>
            </w:r>
          </w:p>
        </w:tc>
        <w:tc>
          <w:tcPr>
            <w:tcW w:w="797" w:type="dxa"/>
          </w:tcPr>
          <w:p w:rsidR="001D3C58" w:rsidRPr="00E743FC" w:rsidRDefault="001706F8" w:rsidP="004A7258">
            <w:pPr>
              <w:spacing w:after="120" w:line="240" w:lineRule="auto"/>
              <w:ind w:right="74"/>
              <w:jc w:val="right"/>
            </w:pPr>
            <w:r>
              <w:t>389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Matthew</w:t>
            </w:r>
          </w:p>
        </w:tc>
        <w:tc>
          <w:tcPr>
            <w:tcW w:w="797" w:type="dxa"/>
          </w:tcPr>
          <w:p w:rsidR="001D3C58" w:rsidRPr="00E743FC" w:rsidRDefault="001706F8" w:rsidP="004A7258">
            <w:pPr>
              <w:spacing w:after="120" w:line="240" w:lineRule="auto"/>
              <w:ind w:right="74"/>
              <w:jc w:val="right"/>
            </w:pPr>
            <w:r>
              <w:t>390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2C2F3E" w:rsidP="001349B7">
            <w:pPr>
              <w:spacing w:after="120" w:line="240" w:lineRule="auto"/>
              <w:ind w:right="74"/>
            </w:pPr>
            <w:r>
              <w:t>Graph: Luke</w:t>
            </w:r>
          </w:p>
        </w:tc>
        <w:tc>
          <w:tcPr>
            <w:tcW w:w="797" w:type="dxa"/>
          </w:tcPr>
          <w:p w:rsidR="001D3C58" w:rsidRPr="00E743FC" w:rsidRDefault="0038364A" w:rsidP="004A7258">
            <w:pPr>
              <w:spacing w:after="120" w:line="240" w:lineRule="auto"/>
              <w:ind w:right="74"/>
              <w:jc w:val="right"/>
            </w:pPr>
            <w:r>
              <w:t>398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Luke</w:t>
            </w:r>
          </w:p>
        </w:tc>
        <w:tc>
          <w:tcPr>
            <w:tcW w:w="797" w:type="dxa"/>
          </w:tcPr>
          <w:p w:rsidR="001D3C58" w:rsidRPr="00E743FC" w:rsidRDefault="0038364A" w:rsidP="004A7258">
            <w:pPr>
              <w:spacing w:after="120" w:line="240" w:lineRule="auto"/>
              <w:ind w:right="74"/>
              <w:jc w:val="right"/>
            </w:pPr>
            <w:r>
              <w:t>399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38364A" w:rsidP="001349B7">
            <w:pPr>
              <w:spacing w:after="120" w:line="240" w:lineRule="auto"/>
              <w:ind w:right="74"/>
            </w:pPr>
            <w:r>
              <w:t xml:space="preserve">Graph: </w:t>
            </w:r>
            <w:r w:rsidR="001D3C58">
              <w:t xml:space="preserve">John </w:t>
            </w:r>
          </w:p>
        </w:tc>
        <w:tc>
          <w:tcPr>
            <w:tcW w:w="797" w:type="dxa"/>
          </w:tcPr>
          <w:p w:rsidR="001D3C58" w:rsidRPr="00E743FC" w:rsidRDefault="0038364A" w:rsidP="004A7258">
            <w:pPr>
              <w:spacing w:after="120" w:line="240" w:lineRule="auto"/>
              <w:ind w:right="74"/>
              <w:jc w:val="right"/>
            </w:pPr>
            <w:r>
              <w:t>402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38364A" w:rsidP="0038364A">
            <w:pPr>
              <w:spacing w:after="120" w:line="240" w:lineRule="auto"/>
              <w:ind w:right="74"/>
            </w:pPr>
            <w:r>
              <w:t xml:space="preserve">Main Themes in </w:t>
            </w:r>
            <w:r w:rsidRPr="0038364A">
              <w:rPr>
                <w:i/>
              </w:rPr>
              <w:t>SRB</w:t>
            </w:r>
            <w:r>
              <w:t xml:space="preserve"> notes on </w:t>
            </w:r>
            <w:r w:rsidR="001D3C58">
              <w:t>John</w:t>
            </w:r>
          </w:p>
        </w:tc>
        <w:tc>
          <w:tcPr>
            <w:tcW w:w="797" w:type="dxa"/>
          </w:tcPr>
          <w:p w:rsidR="001D3C58" w:rsidRPr="00E743FC" w:rsidRDefault="0038364A" w:rsidP="004A7258">
            <w:pPr>
              <w:spacing w:after="120" w:line="240" w:lineRule="auto"/>
              <w:ind w:right="74"/>
              <w:jc w:val="right"/>
            </w:pPr>
            <w:r>
              <w:t>402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Acts</w:t>
            </w:r>
          </w:p>
        </w:tc>
        <w:tc>
          <w:tcPr>
            <w:tcW w:w="797" w:type="dxa"/>
          </w:tcPr>
          <w:p w:rsidR="001D3C58" w:rsidRPr="00E743FC" w:rsidRDefault="0038364A" w:rsidP="004A7258">
            <w:pPr>
              <w:spacing w:after="120" w:line="240" w:lineRule="auto"/>
              <w:ind w:right="74"/>
              <w:jc w:val="right"/>
            </w:pPr>
            <w:r>
              <w:t>407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Acts</w:t>
            </w:r>
          </w:p>
        </w:tc>
        <w:tc>
          <w:tcPr>
            <w:tcW w:w="797" w:type="dxa"/>
          </w:tcPr>
          <w:p w:rsidR="001D3C58" w:rsidRPr="00E743FC" w:rsidRDefault="0038364A" w:rsidP="004A7258">
            <w:pPr>
              <w:spacing w:after="120" w:line="240" w:lineRule="auto"/>
              <w:ind w:right="74"/>
              <w:jc w:val="right"/>
            </w:pPr>
            <w:r>
              <w:t>408</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Romans</w:t>
            </w:r>
          </w:p>
        </w:tc>
        <w:tc>
          <w:tcPr>
            <w:tcW w:w="797" w:type="dxa"/>
          </w:tcPr>
          <w:p w:rsidR="001D3C58" w:rsidRPr="00E743FC" w:rsidRDefault="00D43F4D" w:rsidP="004A7258">
            <w:pPr>
              <w:spacing w:after="120" w:line="240" w:lineRule="auto"/>
              <w:ind w:right="74"/>
              <w:jc w:val="right"/>
            </w:pPr>
            <w:r>
              <w:t>412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Romans</w:t>
            </w:r>
          </w:p>
        </w:tc>
        <w:tc>
          <w:tcPr>
            <w:tcW w:w="797" w:type="dxa"/>
          </w:tcPr>
          <w:p w:rsidR="001D3C58" w:rsidRPr="00E743FC" w:rsidRDefault="00D43F4D" w:rsidP="004A7258">
            <w:pPr>
              <w:spacing w:after="120" w:line="240" w:lineRule="auto"/>
              <w:ind w:right="74"/>
              <w:jc w:val="right"/>
            </w:pPr>
            <w:r>
              <w:t>413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1 Corinthians</w:t>
            </w:r>
          </w:p>
        </w:tc>
        <w:tc>
          <w:tcPr>
            <w:tcW w:w="797" w:type="dxa"/>
          </w:tcPr>
          <w:p w:rsidR="001D3C58" w:rsidRPr="00E743FC" w:rsidRDefault="00F319E0" w:rsidP="004A7258">
            <w:pPr>
              <w:spacing w:after="120" w:line="240" w:lineRule="auto"/>
              <w:ind w:right="74"/>
              <w:jc w:val="right"/>
            </w:pPr>
            <w:r>
              <w:t>416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1 Corinthians</w:t>
            </w:r>
          </w:p>
        </w:tc>
        <w:tc>
          <w:tcPr>
            <w:tcW w:w="797" w:type="dxa"/>
          </w:tcPr>
          <w:p w:rsidR="001D3C58" w:rsidRPr="00E743FC" w:rsidRDefault="00F319E0" w:rsidP="004A7258">
            <w:pPr>
              <w:spacing w:after="120" w:line="240" w:lineRule="auto"/>
              <w:ind w:right="74"/>
              <w:jc w:val="right"/>
            </w:pPr>
            <w:r>
              <w:t>416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2 Corinthians, Galatians, Ephesians and Philippians</w:t>
            </w:r>
          </w:p>
        </w:tc>
        <w:tc>
          <w:tcPr>
            <w:tcW w:w="797" w:type="dxa"/>
          </w:tcPr>
          <w:p w:rsidR="001D3C58" w:rsidRPr="00E743FC" w:rsidRDefault="00F319E0" w:rsidP="004A7258">
            <w:pPr>
              <w:spacing w:after="120" w:line="240" w:lineRule="auto"/>
              <w:ind w:right="74"/>
              <w:jc w:val="right"/>
            </w:pPr>
            <w:r>
              <w:t>419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Galatians</w:t>
            </w:r>
          </w:p>
        </w:tc>
        <w:tc>
          <w:tcPr>
            <w:tcW w:w="797" w:type="dxa"/>
          </w:tcPr>
          <w:p w:rsidR="001D3C58" w:rsidRPr="00E743FC" w:rsidRDefault="00F319E0" w:rsidP="004A7258">
            <w:pPr>
              <w:spacing w:after="120" w:line="240" w:lineRule="auto"/>
              <w:ind w:right="74"/>
              <w:jc w:val="right"/>
            </w:pPr>
            <w:r>
              <w:t>420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Ephesians</w:t>
            </w:r>
          </w:p>
        </w:tc>
        <w:tc>
          <w:tcPr>
            <w:tcW w:w="797" w:type="dxa"/>
          </w:tcPr>
          <w:p w:rsidR="001D3C58" w:rsidRPr="00E743FC" w:rsidRDefault="000F1F57" w:rsidP="004A7258">
            <w:pPr>
              <w:spacing w:after="120" w:line="240" w:lineRule="auto"/>
              <w:ind w:right="74"/>
              <w:jc w:val="right"/>
            </w:pPr>
            <w:r>
              <w:t>423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Colossians, 1 and 2 Thessalonians, and 1 and 2 Timothy</w:t>
            </w:r>
          </w:p>
        </w:tc>
        <w:tc>
          <w:tcPr>
            <w:tcW w:w="797" w:type="dxa"/>
          </w:tcPr>
          <w:p w:rsidR="001D3C58" w:rsidRPr="00E743FC" w:rsidRDefault="000F1F57" w:rsidP="004A7258">
            <w:pPr>
              <w:spacing w:after="120" w:line="240" w:lineRule="auto"/>
              <w:ind w:right="74"/>
              <w:jc w:val="right"/>
            </w:pPr>
            <w:r>
              <w:t>427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Graphs: Titus and Philemon</w:t>
            </w:r>
          </w:p>
        </w:tc>
        <w:tc>
          <w:tcPr>
            <w:tcW w:w="797" w:type="dxa"/>
          </w:tcPr>
          <w:p w:rsidR="001D3C58" w:rsidRPr="00E743FC" w:rsidRDefault="000F1F57" w:rsidP="004A7258">
            <w:pPr>
              <w:spacing w:after="120" w:line="240" w:lineRule="auto"/>
              <w:ind w:right="74"/>
              <w:jc w:val="right"/>
            </w:pPr>
            <w:r>
              <w:t>429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Hebrews</w:t>
            </w:r>
          </w:p>
        </w:tc>
        <w:tc>
          <w:tcPr>
            <w:tcW w:w="797" w:type="dxa"/>
          </w:tcPr>
          <w:p w:rsidR="001D3C58" w:rsidRPr="00E743FC" w:rsidRDefault="000F1F57" w:rsidP="004A7258">
            <w:pPr>
              <w:spacing w:after="120" w:line="240" w:lineRule="auto"/>
              <w:ind w:right="74"/>
              <w:jc w:val="right"/>
            </w:pPr>
            <w:r>
              <w:t>431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Hebrews</w:t>
            </w:r>
          </w:p>
        </w:tc>
        <w:tc>
          <w:tcPr>
            <w:tcW w:w="797" w:type="dxa"/>
          </w:tcPr>
          <w:p w:rsidR="001D3C58" w:rsidRPr="00E743FC" w:rsidRDefault="000F1F57" w:rsidP="004A7258">
            <w:pPr>
              <w:spacing w:after="120" w:line="240" w:lineRule="auto"/>
              <w:ind w:right="74"/>
              <w:jc w:val="right"/>
            </w:pPr>
            <w:r>
              <w:t>432</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1 Peter</w:t>
            </w:r>
          </w:p>
        </w:tc>
        <w:tc>
          <w:tcPr>
            <w:tcW w:w="797" w:type="dxa"/>
          </w:tcPr>
          <w:p w:rsidR="001D3C58" w:rsidRPr="00E743FC" w:rsidRDefault="00A46480" w:rsidP="004A7258">
            <w:pPr>
              <w:spacing w:after="120" w:line="240" w:lineRule="auto"/>
              <w:ind w:right="74"/>
              <w:jc w:val="right"/>
            </w:pPr>
            <w:r>
              <w:t>436</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2 Peter</w:t>
            </w:r>
          </w:p>
        </w:tc>
        <w:tc>
          <w:tcPr>
            <w:tcW w:w="797" w:type="dxa"/>
          </w:tcPr>
          <w:p w:rsidR="001D3C58" w:rsidRPr="00E743FC" w:rsidRDefault="00A46480" w:rsidP="004A7258">
            <w:pPr>
              <w:spacing w:after="120" w:line="240" w:lineRule="auto"/>
              <w:ind w:right="74"/>
              <w:jc w:val="right"/>
            </w:pPr>
            <w:r>
              <w:t>437</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1 John</w:t>
            </w:r>
          </w:p>
        </w:tc>
        <w:tc>
          <w:tcPr>
            <w:tcW w:w="797" w:type="dxa"/>
          </w:tcPr>
          <w:p w:rsidR="001D3C58" w:rsidRPr="00E743FC" w:rsidRDefault="0059379F" w:rsidP="004A7258">
            <w:pPr>
              <w:spacing w:after="120" w:line="240" w:lineRule="auto"/>
              <w:ind w:right="74"/>
              <w:jc w:val="right"/>
            </w:pPr>
            <w:r>
              <w:t>438</w:t>
            </w:r>
          </w:p>
        </w:tc>
      </w:tr>
      <w:tr w:rsidR="0059379F" w:rsidRPr="00E743FC" w:rsidTr="007710E7">
        <w:tc>
          <w:tcPr>
            <w:tcW w:w="648" w:type="dxa"/>
          </w:tcPr>
          <w:p w:rsidR="0059379F" w:rsidRDefault="0059379F" w:rsidP="007710E7">
            <w:pPr>
              <w:spacing w:after="120" w:line="240" w:lineRule="auto"/>
              <w:ind w:right="74"/>
            </w:pPr>
          </w:p>
        </w:tc>
        <w:tc>
          <w:tcPr>
            <w:tcW w:w="7277" w:type="dxa"/>
            <w:gridSpan w:val="4"/>
          </w:tcPr>
          <w:p w:rsidR="0059379F" w:rsidRDefault="0059379F" w:rsidP="007710E7">
            <w:pPr>
              <w:spacing w:after="120" w:line="240" w:lineRule="auto"/>
              <w:ind w:right="74"/>
            </w:pPr>
            <w:r>
              <w:t>Graphs: James, 1 and 2 Peter, and 1 and 2 John</w:t>
            </w:r>
          </w:p>
        </w:tc>
        <w:tc>
          <w:tcPr>
            <w:tcW w:w="797" w:type="dxa"/>
          </w:tcPr>
          <w:p w:rsidR="0059379F" w:rsidRPr="00E743FC" w:rsidRDefault="0059379F" w:rsidP="007710E7">
            <w:pPr>
              <w:spacing w:after="120" w:line="240" w:lineRule="auto"/>
              <w:ind w:right="74"/>
              <w:jc w:val="right"/>
            </w:pPr>
            <w:r>
              <w:t>439</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Jude</w:t>
            </w:r>
          </w:p>
        </w:tc>
        <w:tc>
          <w:tcPr>
            <w:tcW w:w="797" w:type="dxa"/>
          </w:tcPr>
          <w:p w:rsidR="001D3C58" w:rsidRPr="00E743FC" w:rsidRDefault="0059379F" w:rsidP="004A7258">
            <w:pPr>
              <w:spacing w:after="120" w:line="240" w:lineRule="auto"/>
              <w:ind w:right="74"/>
              <w:jc w:val="right"/>
            </w:pPr>
            <w:r>
              <w:t>440</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Graph: Revelation</w:t>
            </w:r>
          </w:p>
        </w:tc>
        <w:tc>
          <w:tcPr>
            <w:tcW w:w="797" w:type="dxa"/>
          </w:tcPr>
          <w:p w:rsidR="001D3C58" w:rsidRPr="00E743FC" w:rsidRDefault="0059379F" w:rsidP="004A7258">
            <w:pPr>
              <w:spacing w:after="120" w:line="240" w:lineRule="auto"/>
              <w:ind w:right="74"/>
              <w:jc w:val="right"/>
            </w:pPr>
            <w:r>
              <w:t>443</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 xml:space="preserve">Main Themes in </w:t>
            </w:r>
            <w:r w:rsidRPr="00A8091B">
              <w:rPr>
                <w:i/>
              </w:rPr>
              <w:t>SRB</w:t>
            </w:r>
            <w:r>
              <w:t xml:space="preserve"> notes on Revelation</w:t>
            </w:r>
          </w:p>
        </w:tc>
        <w:tc>
          <w:tcPr>
            <w:tcW w:w="797" w:type="dxa"/>
          </w:tcPr>
          <w:p w:rsidR="001D3C58" w:rsidRPr="00E743FC" w:rsidRDefault="0059379F" w:rsidP="004A7258">
            <w:pPr>
              <w:spacing w:after="120" w:line="240" w:lineRule="auto"/>
              <w:ind w:right="74"/>
              <w:jc w:val="right"/>
            </w:pPr>
            <w:r>
              <w:t>444</w:t>
            </w:r>
          </w:p>
        </w:tc>
      </w:tr>
      <w:tr w:rsidR="00840276" w:rsidRPr="00E743FC" w:rsidTr="007710E7">
        <w:tc>
          <w:tcPr>
            <w:tcW w:w="7925" w:type="dxa"/>
            <w:gridSpan w:val="5"/>
          </w:tcPr>
          <w:p w:rsidR="00840276" w:rsidRDefault="00840276" w:rsidP="001349B7">
            <w:pPr>
              <w:spacing w:after="120" w:line="240" w:lineRule="auto"/>
              <w:ind w:right="74"/>
            </w:pPr>
            <w:r>
              <w:t>TABLES IN VO</w:t>
            </w:r>
            <w:r w:rsidR="0059379F">
              <w:t>L</w:t>
            </w:r>
            <w:r>
              <w:t>UME 2</w:t>
            </w:r>
          </w:p>
        </w:tc>
        <w:tc>
          <w:tcPr>
            <w:tcW w:w="797" w:type="dxa"/>
          </w:tcPr>
          <w:p w:rsidR="00840276" w:rsidRPr="00E743FC" w:rsidRDefault="00840276" w:rsidP="004A7258">
            <w:pPr>
              <w:spacing w:after="120" w:line="240" w:lineRule="auto"/>
              <w:ind w:right="74"/>
              <w:jc w:val="right"/>
            </w:pP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‘Near’ and ‘Far’ Prophecy Tables</w:t>
            </w:r>
          </w:p>
        </w:tc>
        <w:tc>
          <w:tcPr>
            <w:tcW w:w="797" w:type="dxa"/>
          </w:tcPr>
          <w:p w:rsidR="001D3C58" w:rsidRPr="00E743FC" w:rsidRDefault="004939E6" w:rsidP="004A7258">
            <w:pPr>
              <w:spacing w:after="120" w:line="240" w:lineRule="auto"/>
              <w:ind w:right="74"/>
              <w:jc w:val="right"/>
            </w:pPr>
            <w:r>
              <w:t>511</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1349B7">
            <w:pPr>
              <w:spacing w:after="120" w:line="240" w:lineRule="auto"/>
              <w:ind w:right="74"/>
            </w:pPr>
            <w:r>
              <w:t>As Yet Unfulfilled Prophecy Tables</w:t>
            </w:r>
          </w:p>
        </w:tc>
        <w:tc>
          <w:tcPr>
            <w:tcW w:w="797" w:type="dxa"/>
          </w:tcPr>
          <w:p w:rsidR="001D3C58" w:rsidRPr="00E743FC" w:rsidRDefault="004939E6" w:rsidP="004A7258">
            <w:pPr>
              <w:spacing w:after="120" w:line="240" w:lineRule="auto"/>
              <w:ind w:right="74"/>
              <w:jc w:val="right"/>
            </w:pPr>
            <w:r>
              <w:t>515</w:t>
            </w:r>
          </w:p>
        </w:tc>
      </w:tr>
      <w:tr w:rsidR="001D3C58" w:rsidRPr="00E743FC" w:rsidTr="007710E7">
        <w:tc>
          <w:tcPr>
            <w:tcW w:w="648" w:type="dxa"/>
          </w:tcPr>
          <w:p w:rsidR="001D3C58" w:rsidRDefault="001D3C58" w:rsidP="001349B7">
            <w:pPr>
              <w:spacing w:after="120" w:line="240" w:lineRule="auto"/>
              <w:ind w:right="74"/>
            </w:pPr>
          </w:p>
        </w:tc>
        <w:tc>
          <w:tcPr>
            <w:tcW w:w="7277" w:type="dxa"/>
            <w:gridSpan w:val="4"/>
          </w:tcPr>
          <w:p w:rsidR="001D3C58" w:rsidRDefault="001D3C58" w:rsidP="004939E6">
            <w:pPr>
              <w:spacing w:after="120" w:line="240" w:lineRule="auto"/>
              <w:ind w:right="74"/>
            </w:pPr>
            <w:r>
              <w:t xml:space="preserve">Tables </w:t>
            </w:r>
            <w:r w:rsidR="004939E6">
              <w:t>on which the Graphs in Chapter 8 are Based</w:t>
            </w:r>
          </w:p>
        </w:tc>
        <w:tc>
          <w:tcPr>
            <w:tcW w:w="797" w:type="dxa"/>
          </w:tcPr>
          <w:p w:rsidR="001D3C58" w:rsidRPr="00E743FC" w:rsidRDefault="004939E6" w:rsidP="004A7258">
            <w:pPr>
              <w:spacing w:after="120" w:line="240" w:lineRule="auto"/>
              <w:ind w:right="74"/>
              <w:jc w:val="right"/>
            </w:pPr>
            <w:r>
              <w:t>539</w:t>
            </w:r>
          </w:p>
        </w:tc>
      </w:tr>
    </w:tbl>
    <w:p w:rsidR="001D3C58" w:rsidRDefault="001D3C58" w:rsidP="00454403">
      <w:pPr>
        <w:spacing w:after="120" w:line="360" w:lineRule="auto"/>
        <w:ind w:firstLine="567"/>
        <w:jc w:val="both"/>
      </w:pPr>
    </w:p>
    <w:p w:rsidR="001D3C58" w:rsidRDefault="001D3C58" w:rsidP="00454403">
      <w:pPr>
        <w:spacing w:after="120" w:line="360" w:lineRule="auto"/>
        <w:ind w:firstLine="567"/>
        <w:jc w:val="both"/>
      </w:pPr>
    </w:p>
    <w:p w:rsidR="001D3C58" w:rsidRDefault="001D3C58" w:rsidP="00454403">
      <w:pPr>
        <w:spacing w:after="120" w:line="360" w:lineRule="auto"/>
        <w:ind w:firstLine="567"/>
        <w:jc w:val="both"/>
      </w:pPr>
    </w:p>
    <w:p w:rsidR="001D3C58" w:rsidRDefault="001D3C58" w:rsidP="00454403">
      <w:pPr>
        <w:spacing w:after="120" w:line="360" w:lineRule="auto"/>
        <w:ind w:firstLine="567"/>
        <w:jc w:val="both"/>
      </w:pPr>
    </w:p>
    <w:p w:rsidR="001D3C58" w:rsidRDefault="001D3C58" w:rsidP="00454403">
      <w:pPr>
        <w:spacing w:after="120" w:line="360" w:lineRule="auto"/>
        <w:ind w:firstLine="567"/>
        <w:jc w:val="both"/>
        <w:sectPr w:rsidR="001D3C58" w:rsidSect="00454403">
          <w:footnotePr>
            <w:numFmt w:val="lowerRoman"/>
            <w:numRestart w:val="eachSect"/>
          </w:footnotePr>
          <w:pgSz w:w="11906" w:h="16838" w:code="9"/>
          <w:pgMar w:top="1440" w:right="1134" w:bottom="1440" w:left="2268" w:header="709" w:footer="709" w:gutter="0"/>
          <w:cols w:space="708"/>
          <w:docGrid w:linePitch="360"/>
        </w:sectPr>
      </w:pPr>
    </w:p>
    <w:p w:rsidR="00B31BD3" w:rsidRPr="002B7C43" w:rsidRDefault="00AE6725" w:rsidP="00B31BD3">
      <w:pPr>
        <w:spacing w:after="120" w:line="360" w:lineRule="auto"/>
        <w:jc w:val="center"/>
        <w:rPr>
          <w:b/>
          <w:sz w:val="28"/>
        </w:rPr>
      </w:pPr>
      <w:r w:rsidRPr="002B7C43">
        <w:rPr>
          <w:b/>
          <w:sz w:val="28"/>
        </w:rPr>
        <w:lastRenderedPageBreak/>
        <w:t>ABSTRACT</w:t>
      </w:r>
    </w:p>
    <w:p w:rsidR="00390712" w:rsidRDefault="00390712" w:rsidP="00390712">
      <w:pPr>
        <w:spacing w:after="120" w:line="360" w:lineRule="auto"/>
        <w:jc w:val="both"/>
      </w:pPr>
      <w:r w:rsidRPr="00826420">
        <w:rPr>
          <w:i/>
        </w:rPr>
        <w:t>Dispensing Dispensationalism</w:t>
      </w:r>
      <w:r w:rsidRPr="00826420">
        <w:t xml:space="preserve"> explores the hermeneutic of Cyrus Ingerson Scofield as </w:t>
      </w:r>
      <w:r>
        <w:t>found</w:t>
      </w:r>
      <w:r w:rsidRPr="00826420">
        <w:t xml:space="preserve"> in the</w:t>
      </w:r>
      <w:r>
        <w:t xml:space="preserve"> second edition of the</w:t>
      </w:r>
      <w:r w:rsidRPr="00826420">
        <w:t xml:space="preserve"> </w:t>
      </w:r>
      <w:r w:rsidRPr="00DF4BFC">
        <w:rPr>
          <w:i/>
        </w:rPr>
        <w:t>Scofield Reference Bible</w:t>
      </w:r>
      <w:r w:rsidRPr="00826420">
        <w:t xml:space="preserve">, </w:t>
      </w:r>
      <w:r>
        <w:t xml:space="preserve">published in </w:t>
      </w:r>
      <w:r w:rsidRPr="00826420">
        <w:t xml:space="preserve">1917.  </w:t>
      </w:r>
      <w:r>
        <w:t xml:space="preserve">It seeks to prove that this is no ordinary reference Bible but is a volume which employs the annotation of selected texts to promote a classical dispensationalist interpretation.  It also aims to contextualise Scofield in succession to John Nelson Darby and as predecessor to later dispensationalists such as Lewis Sperry Chafer, Charles Ryrie, Craig Blaising, Darrell Bock and Robert Saucy.  The works of these and other authors are considered alongside the </w:t>
      </w:r>
      <w:r w:rsidRPr="00EF582A">
        <w:rPr>
          <w:i/>
        </w:rPr>
        <w:t>Scofield Reference Bible</w:t>
      </w:r>
      <w:r>
        <w:t xml:space="preserve"> and case studies giving scholarly analyses of three important sections of the annotation are included at the end of the thesis.  Tables and graphs are provided throughout the thesis for illustration and clarification.</w:t>
      </w:r>
    </w:p>
    <w:p w:rsidR="00390712" w:rsidRDefault="00390712" w:rsidP="00390712">
      <w:pPr>
        <w:spacing w:after="120" w:line="360" w:lineRule="auto"/>
        <w:ind w:firstLine="567"/>
        <w:jc w:val="both"/>
      </w:pPr>
      <w:r w:rsidRPr="00185549">
        <w:rPr>
          <w:i/>
        </w:rPr>
        <w:t>Dispensing Dispensationalism</w:t>
      </w:r>
      <w:r>
        <w:t xml:space="preserve"> analyses the </w:t>
      </w:r>
      <w:r w:rsidRPr="00185549">
        <w:rPr>
          <w:i/>
        </w:rPr>
        <w:t>Scofield Reference Bible</w:t>
      </w:r>
      <w:r>
        <w:t xml:space="preserve"> in relation to a general dispensational hermeneutic and to six elements which are essential to dispensationalism: its commitment to a literal interpretation of the biblical text and to evangelical doctrine, its employment of a dualistic interpretation of the text which sees Israel and the Church as eternally separate entities, its use of the concepts of dispensations and covenants, its expectation of the imminent pretribulational rapture of the true Church, and its focus on apocalyptic and millennial expectations.  This study reveals that the </w:t>
      </w:r>
      <w:r w:rsidRPr="00F90B1A">
        <w:rPr>
          <w:i/>
        </w:rPr>
        <w:t>Scofield Reference Bible</w:t>
      </w:r>
      <w:r>
        <w:t xml:space="preserve"> fulfils each of these criteria and continues to propagate a form of dispensationalism which was extant at the turn of the twentieth century.  This may be termed ‘classical dispensationalism’.  Since the </w:t>
      </w:r>
      <w:r w:rsidRPr="00F90B1A">
        <w:rPr>
          <w:i/>
        </w:rPr>
        <w:t>Scofield Reference Bible</w:t>
      </w:r>
      <w:r>
        <w:t xml:space="preserve"> is still a best-selling Bible today,</w:t>
      </w:r>
      <w:r>
        <w:rPr>
          <w:rStyle w:val="FootnoteReference"/>
        </w:rPr>
        <w:footnoteReference w:id="1"/>
      </w:r>
      <w:r>
        <w:t xml:space="preserve"> it acts as a time-capsule, promoting older ideas at a time when dispensationalism in its progressive form has developed and changed. </w:t>
      </w:r>
    </w:p>
    <w:p w:rsidR="00B31BD3" w:rsidRDefault="00B31BD3" w:rsidP="00B31BD3">
      <w:pPr>
        <w:spacing w:after="120" w:line="360" w:lineRule="auto"/>
        <w:ind w:firstLine="567"/>
        <w:jc w:val="both"/>
      </w:pPr>
      <w:r>
        <w:t xml:space="preserve"> </w:t>
      </w:r>
    </w:p>
    <w:p w:rsidR="00B31BD3" w:rsidRDefault="00B31BD3" w:rsidP="00B31BD3">
      <w:pPr>
        <w:spacing w:after="120" w:line="360" w:lineRule="auto"/>
        <w:ind w:firstLine="567"/>
        <w:jc w:val="both"/>
        <w:sectPr w:rsidR="00B31BD3" w:rsidSect="00123305">
          <w:headerReference w:type="default" r:id="rId10"/>
          <w:footerReference w:type="default" r:id="rId11"/>
          <w:footnotePr>
            <w:numFmt w:val="lowerRoman"/>
            <w:numRestart w:val="eachSect"/>
          </w:footnotePr>
          <w:pgSz w:w="11906" w:h="16838" w:code="9"/>
          <w:pgMar w:top="1440" w:right="1134" w:bottom="1440" w:left="2268" w:header="709" w:footer="709" w:gutter="0"/>
          <w:pgNumType w:start="1"/>
          <w:cols w:space="708"/>
          <w:docGrid w:linePitch="360"/>
        </w:sectPr>
      </w:pPr>
    </w:p>
    <w:p w:rsidR="00B31BD3" w:rsidRDefault="00B31BD3" w:rsidP="00B31BD3">
      <w:pPr>
        <w:spacing w:after="120" w:line="360" w:lineRule="auto"/>
        <w:ind w:firstLine="567"/>
        <w:jc w:val="center"/>
        <w:sectPr w:rsidR="00B31BD3" w:rsidSect="00123305">
          <w:headerReference w:type="default" r:id="rId12"/>
          <w:footnotePr>
            <w:numFmt w:val="lowerRoman"/>
            <w:numRestart w:val="eachSect"/>
          </w:footnotePr>
          <w:pgSz w:w="11906" w:h="16838" w:code="9"/>
          <w:pgMar w:top="1440" w:right="1134" w:bottom="1440" w:left="2268" w:header="709" w:footer="709" w:gutter="0"/>
          <w:cols w:space="708"/>
          <w:vAlign w:val="center"/>
          <w:docGrid w:linePitch="360"/>
        </w:sectPr>
      </w:pPr>
      <w:r>
        <w:lastRenderedPageBreak/>
        <w:t>Page intentionally left blank</w:t>
      </w:r>
    </w:p>
    <w:p w:rsidR="00B31BD3" w:rsidRPr="00606B97" w:rsidRDefault="00AE6725" w:rsidP="00B31BD3">
      <w:pPr>
        <w:jc w:val="center"/>
        <w:rPr>
          <w:b/>
          <w:sz w:val="24"/>
        </w:rPr>
      </w:pPr>
      <w:r w:rsidRPr="00AE6725">
        <w:rPr>
          <w:b/>
          <w:sz w:val="28"/>
        </w:rPr>
        <w:lastRenderedPageBreak/>
        <w:t>LIST OF ABBREVIATIONS</w:t>
      </w:r>
    </w:p>
    <w:p w:rsidR="00B31BD3" w:rsidRDefault="00B31BD3" w:rsidP="00B31BD3">
      <w:pPr>
        <w:pStyle w:val="FootnoteText"/>
        <w:rPr>
          <w:rFonts w:ascii="Perpetua" w:hAnsi="Perpetua"/>
          <w:i/>
          <w:color w:val="000000"/>
          <w:sz w:val="22"/>
          <w:szCs w:val="22"/>
        </w:rPr>
      </w:pPr>
      <w:r w:rsidRPr="00606B97">
        <w:rPr>
          <w:rFonts w:ascii="Perpetua" w:hAnsi="Perpetua"/>
          <w:i/>
          <w:sz w:val="22"/>
          <w:szCs w:val="22"/>
        </w:rPr>
        <w:t>SRB</w:t>
      </w:r>
      <w:r>
        <w:rPr>
          <w:rFonts w:ascii="Perpetua" w:hAnsi="Perpetua"/>
          <w:sz w:val="22"/>
          <w:szCs w:val="22"/>
        </w:rPr>
        <w:tab/>
      </w:r>
      <w:r>
        <w:rPr>
          <w:rFonts w:ascii="Perpetua" w:hAnsi="Perpetua"/>
          <w:sz w:val="22"/>
          <w:szCs w:val="22"/>
        </w:rPr>
        <w:tab/>
      </w:r>
      <w:r>
        <w:rPr>
          <w:rFonts w:ascii="Perpetua" w:hAnsi="Perpetua"/>
          <w:sz w:val="22"/>
          <w:szCs w:val="22"/>
        </w:rPr>
        <w:tab/>
      </w:r>
      <w:r w:rsidRPr="007B709A">
        <w:rPr>
          <w:rFonts w:ascii="Perpetua" w:hAnsi="Perpetua"/>
          <w:i/>
          <w:color w:val="000000"/>
          <w:sz w:val="22"/>
          <w:szCs w:val="22"/>
        </w:rPr>
        <w:t xml:space="preserve">The Scofield Reference Bible: the Holy Bible, containing the Old and New </w:t>
      </w:r>
    </w:p>
    <w:p w:rsidR="00B31BD3" w:rsidRPr="007B709A" w:rsidRDefault="00B31BD3" w:rsidP="00B31BD3">
      <w:pPr>
        <w:pStyle w:val="FootnoteText"/>
        <w:spacing w:after="120"/>
        <w:ind w:left="2160"/>
        <w:rPr>
          <w:rFonts w:ascii="Perpetua" w:hAnsi="Perpetua"/>
          <w:color w:val="000000"/>
          <w:sz w:val="22"/>
          <w:szCs w:val="22"/>
        </w:rPr>
      </w:pPr>
      <w:proofErr w:type="gramStart"/>
      <w:r w:rsidRPr="007B709A">
        <w:rPr>
          <w:rFonts w:ascii="Perpetua" w:hAnsi="Perpetua"/>
          <w:i/>
          <w:color w:val="000000"/>
          <w:sz w:val="22"/>
          <w:szCs w:val="22"/>
        </w:rPr>
        <w:t>Testaments, edited by Rev. C. I. Scofield, D.D.</w:t>
      </w:r>
      <w:r w:rsidRPr="007B709A">
        <w:rPr>
          <w:rFonts w:ascii="Perpetua" w:hAnsi="Perpetua"/>
          <w:color w:val="000000"/>
          <w:sz w:val="22"/>
          <w:szCs w:val="22"/>
        </w:rPr>
        <w:t xml:space="preserve"> (Revised edition, London: Oxford University Press, 1917).</w:t>
      </w:r>
      <w:proofErr w:type="gramEnd"/>
    </w:p>
    <w:p w:rsidR="00B31BD3" w:rsidRPr="007B709A" w:rsidRDefault="00B31BD3" w:rsidP="00B31BD3">
      <w:pPr>
        <w:pStyle w:val="FootnoteText"/>
        <w:spacing w:after="120"/>
        <w:ind w:left="2160" w:hanging="2160"/>
        <w:rPr>
          <w:rFonts w:ascii="Perpetua" w:hAnsi="Perpetua"/>
          <w:color w:val="000000"/>
          <w:sz w:val="22"/>
          <w:szCs w:val="22"/>
        </w:rPr>
      </w:pPr>
      <w:r w:rsidRPr="008F0F48">
        <w:rPr>
          <w:rFonts w:ascii="Perpetua" w:hAnsi="Perpetua"/>
          <w:i/>
          <w:sz w:val="22"/>
          <w:szCs w:val="22"/>
        </w:rPr>
        <w:t>196</w:t>
      </w:r>
      <w:r w:rsidRPr="00606B97">
        <w:rPr>
          <w:rFonts w:ascii="Perpetua" w:hAnsi="Perpetua"/>
          <w:sz w:val="22"/>
          <w:szCs w:val="22"/>
        </w:rPr>
        <w:t>7</w:t>
      </w:r>
      <w:r>
        <w:rPr>
          <w:rFonts w:ascii="Perpetua" w:hAnsi="Perpetua"/>
          <w:color w:val="000000"/>
          <w:sz w:val="22"/>
          <w:szCs w:val="22"/>
        </w:rPr>
        <w:tab/>
      </w:r>
      <w:r w:rsidRPr="007B709A">
        <w:rPr>
          <w:rFonts w:ascii="Perpetua" w:hAnsi="Perpetua"/>
          <w:i/>
          <w:color w:val="000000"/>
          <w:sz w:val="22"/>
          <w:szCs w:val="22"/>
        </w:rPr>
        <w:t>Holy Bible, Concordance, New Scofield Reference Edition</w:t>
      </w:r>
      <w:r w:rsidRPr="007B709A">
        <w:rPr>
          <w:rFonts w:ascii="Perpetua" w:hAnsi="Perpetua"/>
          <w:color w:val="000000"/>
          <w:sz w:val="22"/>
          <w:szCs w:val="22"/>
        </w:rPr>
        <w:t>, ed. C. I. Scofield, Editorial Committee of the new edition: E. Schuyler English, chairman (New York, Oxford University Press, 1967).</w:t>
      </w:r>
    </w:p>
    <w:p w:rsidR="00B31BD3" w:rsidRPr="007B709A" w:rsidRDefault="00B31BD3" w:rsidP="00B31BD3">
      <w:pPr>
        <w:pStyle w:val="FootnoteText"/>
        <w:spacing w:after="120"/>
        <w:ind w:left="2160" w:hanging="2160"/>
        <w:rPr>
          <w:rFonts w:ascii="Perpetua" w:hAnsi="Perpetua"/>
          <w:color w:val="000000"/>
          <w:sz w:val="22"/>
          <w:szCs w:val="22"/>
        </w:rPr>
      </w:pPr>
      <w:r w:rsidRPr="008F0F48">
        <w:rPr>
          <w:rFonts w:ascii="Perpetua" w:hAnsi="Perpetua"/>
          <w:i/>
          <w:sz w:val="22"/>
          <w:szCs w:val="22"/>
        </w:rPr>
        <w:t>2003</w:t>
      </w:r>
      <w:r>
        <w:rPr>
          <w:rFonts w:ascii="Perpetua" w:hAnsi="Perpetua"/>
          <w:sz w:val="22"/>
          <w:szCs w:val="22"/>
        </w:rPr>
        <w:tab/>
      </w:r>
      <w:r w:rsidRPr="007B709A">
        <w:rPr>
          <w:rFonts w:ascii="Perpetua" w:hAnsi="Perpetua"/>
          <w:i/>
          <w:sz w:val="22"/>
          <w:szCs w:val="22"/>
        </w:rPr>
        <w:t>The Scofield Study Bible III, King James Version</w:t>
      </w:r>
      <w:r w:rsidRPr="007B709A">
        <w:rPr>
          <w:rFonts w:ascii="Perpetua" w:hAnsi="Perpetua"/>
          <w:sz w:val="22"/>
          <w:szCs w:val="22"/>
        </w:rPr>
        <w:t>, ed. C. I. Scofield, Editorial Committee of the new edition: E. Schuyler English, chairman, contributing ed., 2003 edition, Doris W. Rikkers (</w:t>
      </w:r>
      <w:r w:rsidRPr="007B709A">
        <w:rPr>
          <w:rFonts w:ascii="Perpetua" w:hAnsi="Perpetua"/>
          <w:color w:val="000000"/>
          <w:sz w:val="22"/>
          <w:szCs w:val="22"/>
        </w:rPr>
        <w:t>New York, Oxford University Press, 2003).</w:t>
      </w:r>
      <w:r>
        <w:rPr>
          <w:rStyle w:val="FootnoteReference"/>
          <w:rFonts w:ascii="Perpetua" w:hAnsi="Perpetua"/>
          <w:color w:val="000000"/>
          <w:sz w:val="22"/>
          <w:szCs w:val="22"/>
        </w:rPr>
        <w:footnoteReference w:id="2"/>
      </w:r>
    </w:p>
    <w:p w:rsidR="00B31BD3" w:rsidRPr="00F0389F" w:rsidRDefault="00B31BD3" w:rsidP="00B31BD3">
      <w:pPr>
        <w:rPr>
          <w:b/>
        </w:rPr>
      </w:pPr>
      <w:r w:rsidRPr="00F0389F">
        <w:rPr>
          <w:b/>
        </w:rPr>
        <w:t>English Bible Versions</w:t>
      </w:r>
    </w:p>
    <w:p w:rsidR="00B31BD3" w:rsidRDefault="00B31BD3" w:rsidP="00B31BD3">
      <w:r w:rsidRPr="00F0389F">
        <w:rPr>
          <w:i/>
        </w:rPr>
        <w:t>KJV</w:t>
      </w:r>
      <w:r>
        <w:tab/>
      </w:r>
      <w:r>
        <w:tab/>
      </w:r>
      <w:r>
        <w:tab/>
        <w:t>King James Version</w:t>
      </w:r>
    </w:p>
    <w:p w:rsidR="00B31BD3" w:rsidRDefault="00B31BD3" w:rsidP="00B31BD3">
      <w:r w:rsidRPr="00F0389F">
        <w:rPr>
          <w:i/>
        </w:rPr>
        <w:t>ESV</w:t>
      </w:r>
      <w:r w:rsidRPr="00606B97">
        <w:t xml:space="preserve"> </w:t>
      </w:r>
      <w:r>
        <w:tab/>
      </w:r>
      <w:r>
        <w:tab/>
      </w:r>
      <w:r>
        <w:tab/>
        <w:t>English Standard Version</w:t>
      </w:r>
    </w:p>
    <w:p w:rsidR="00B31BD3" w:rsidRPr="00606B97" w:rsidRDefault="00B31BD3" w:rsidP="00B31BD3">
      <w:r w:rsidRPr="00F0389F">
        <w:rPr>
          <w:i/>
        </w:rPr>
        <w:t>HCSB</w:t>
      </w:r>
      <w:r w:rsidRPr="00606B97">
        <w:t xml:space="preserve"> </w:t>
      </w:r>
      <w:r>
        <w:tab/>
      </w:r>
      <w:r>
        <w:tab/>
      </w:r>
      <w:r>
        <w:tab/>
      </w:r>
      <w:r w:rsidRPr="00606B97">
        <w:t>Holman Christian Standard Bible</w:t>
      </w:r>
    </w:p>
    <w:p w:rsidR="00B31BD3" w:rsidRDefault="00B31BD3" w:rsidP="00B31BD3">
      <w:r w:rsidRPr="00F0389F">
        <w:rPr>
          <w:i/>
        </w:rPr>
        <w:t>NAB</w:t>
      </w:r>
      <w:r w:rsidRPr="00606B97">
        <w:t xml:space="preserve">  </w:t>
      </w:r>
      <w:r>
        <w:tab/>
      </w:r>
      <w:r>
        <w:tab/>
      </w:r>
      <w:r>
        <w:tab/>
      </w:r>
      <w:r w:rsidRPr="00606B97">
        <w:t>New American Bible (2011)</w:t>
      </w:r>
    </w:p>
    <w:p w:rsidR="00B31BD3" w:rsidRPr="00606B97" w:rsidRDefault="00B31BD3" w:rsidP="00B31BD3">
      <w:r w:rsidRPr="00F0389F">
        <w:rPr>
          <w:i/>
        </w:rPr>
        <w:t>NASV</w:t>
      </w:r>
      <w:r>
        <w:tab/>
      </w:r>
      <w:r>
        <w:tab/>
      </w:r>
      <w:r>
        <w:tab/>
        <w:t>New American Standard Version</w:t>
      </w:r>
    </w:p>
    <w:p w:rsidR="00B31BD3" w:rsidRPr="00606B97" w:rsidRDefault="00B31BD3" w:rsidP="00B31BD3">
      <w:r w:rsidRPr="00F0389F">
        <w:rPr>
          <w:i/>
        </w:rPr>
        <w:t>NEB</w:t>
      </w:r>
      <w:r>
        <w:tab/>
      </w:r>
      <w:r>
        <w:tab/>
      </w:r>
      <w:r>
        <w:tab/>
        <w:t>New English Bible</w:t>
      </w:r>
    </w:p>
    <w:p w:rsidR="00B31BD3" w:rsidRPr="00606B97" w:rsidRDefault="00B31BD3" w:rsidP="00B31BD3">
      <w:r w:rsidRPr="00606B97">
        <w:t>NIV</w:t>
      </w:r>
      <w:r>
        <w:tab/>
      </w:r>
      <w:r>
        <w:tab/>
      </w:r>
      <w:r>
        <w:tab/>
        <w:t>New International Version</w:t>
      </w:r>
    </w:p>
    <w:p w:rsidR="00B31BD3" w:rsidRDefault="00B31BD3" w:rsidP="00B31BD3">
      <w:r w:rsidRPr="00F0389F">
        <w:rPr>
          <w:i/>
        </w:rPr>
        <w:t>NKJV</w:t>
      </w:r>
      <w:r>
        <w:tab/>
      </w:r>
      <w:r>
        <w:tab/>
      </w:r>
      <w:r>
        <w:tab/>
        <w:t>New King James Version</w:t>
      </w:r>
    </w:p>
    <w:p w:rsidR="0080321E" w:rsidRPr="00606B97" w:rsidRDefault="0080321E" w:rsidP="00B31BD3">
      <w:r w:rsidRPr="0080321E">
        <w:rPr>
          <w:i/>
        </w:rPr>
        <w:t>RSV</w:t>
      </w:r>
      <w:r>
        <w:tab/>
      </w:r>
      <w:r>
        <w:tab/>
      </w:r>
      <w:r>
        <w:tab/>
        <w:t>Revised Standard Version</w:t>
      </w:r>
    </w:p>
    <w:p w:rsidR="00B31BD3" w:rsidRDefault="00B31BD3" w:rsidP="00B31BD3">
      <w:r w:rsidRPr="00F0389F">
        <w:rPr>
          <w:i/>
        </w:rPr>
        <w:t>NRSV</w:t>
      </w:r>
      <w:r>
        <w:tab/>
      </w:r>
      <w:r>
        <w:tab/>
      </w:r>
      <w:r>
        <w:tab/>
        <w:t>New Revised Standard Version</w:t>
      </w:r>
    </w:p>
    <w:p w:rsidR="00B31BD3" w:rsidRPr="00606B97" w:rsidRDefault="00B31BD3" w:rsidP="00B31BD3"/>
    <w:p w:rsidR="00B31BD3" w:rsidRPr="00606B97" w:rsidRDefault="00B31BD3" w:rsidP="00B31BD3">
      <w:pPr>
        <w:jc w:val="both"/>
      </w:pPr>
      <w:r w:rsidRPr="00F0389F">
        <w:rPr>
          <w:i/>
        </w:rPr>
        <w:t>LXX</w:t>
      </w:r>
      <w:r>
        <w:tab/>
      </w:r>
      <w:r>
        <w:tab/>
      </w:r>
      <w:r>
        <w:tab/>
      </w:r>
      <w:proofErr w:type="gramStart"/>
      <w:r>
        <w:t>The</w:t>
      </w:r>
      <w:proofErr w:type="gramEnd"/>
      <w:r>
        <w:t xml:space="preserve"> Septuagint</w:t>
      </w:r>
    </w:p>
    <w:p w:rsidR="00B31BD3" w:rsidRDefault="00B31BD3" w:rsidP="00B31BD3">
      <w:pPr>
        <w:spacing w:after="120" w:line="360" w:lineRule="auto"/>
        <w:ind w:firstLine="567"/>
        <w:jc w:val="both"/>
        <w:sectPr w:rsidR="00B31BD3" w:rsidSect="00123305">
          <w:headerReference w:type="default" r:id="rId13"/>
          <w:footnotePr>
            <w:numFmt w:val="lowerRoman"/>
            <w:numRestart w:val="eachSect"/>
          </w:footnotePr>
          <w:pgSz w:w="11906" w:h="16838" w:code="9"/>
          <w:pgMar w:top="1440" w:right="1134" w:bottom="1440" w:left="2268" w:header="709" w:footer="709" w:gutter="0"/>
          <w:cols w:space="708"/>
          <w:docGrid w:linePitch="360"/>
        </w:sectPr>
      </w:pPr>
    </w:p>
    <w:p w:rsidR="00B31BD3" w:rsidRDefault="00B31BD3" w:rsidP="00B31BD3">
      <w:pPr>
        <w:spacing w:after="120" w:line="360" w:lineRule="auto"/>
        <w:ind w:firstLine="567"/>
        <w:jc w:val="center"/>
        <w:sectPr w:rsidR="00B31BD3" w:rsidSect="00123305">
          <w:headerReference w:type="default" r:id="rId14"/>
          <w:footnotePr>
            <w:numFmt w:val="lowerRoman"/>
            <w:numRestart w:val="eachSect"/>
          </w:footnotePr>
          <w:pgSz w:w="11906" w:h="16838" w:code="9"/>
          <w:pgMar w:top="1440" w:right="1134" w:bottom="1440" w:left="2268" w:header="709" w:footer="709" w:gutter="0"/>
          <w:cols w:space="708"/>
          <w:vAlign w:val="center"/>
          <w:docGrid w:linePitch="360"/>
        </w:sectPr>
      </w:pPr>
      <w:r>
        <w:lastRenderedPageBreak/>
        <w:t>Page intentionally left blank</w:t>
      </w:r>
    </w:p>
    <w:p w:rsidR="00E535FE" w:rsidRDefault="00E535FE" w:rsidP="00B31BD3">
      <w:pPr>
        <w:spacing w:after="120" w:line="360" w:lineRule="auto"/>
        <w:jc w:val="both"/>
        <w:sectPr w:rsidR="00E535FE" w:rsidSect="00123305">
          <w:headerReference w:type="default" r:id="rId15"/>
          <w:footnotePr>
            <w:numFmt w:val="lowerRoman"/>
            <w:numRestart w:val="eachSect"/>
          </w:footnotePr>
          <w:pgSz w:w="11906" w:h="16838" w:code="9"/>
          <w:pgMar w:top="1440" w:right="1134" w:bottom="1440" w:left="2268" w:header="709" w:footer="709" w:gutter="0"/>
          <w:cols w:space="708"/>
          <w:docGrid w:linePitch="360"/>
        </w:sectPr>
      </w:pPr>
    </w:p>
    <w:p w:rsidR="00935C95" w:rsidRDefault="00935C95" w:rsidP="00935C95">
      <w:pPr>
        <w:spacing w:after="120" w:line="360" w:lineRule="auto"/>
        <w:ind w:firstLine="567"/>
        <w:jc w:val="center"/>
        <w:rPr>
          <w:b/>
          <w:sz w:val="28"/>
        </w:rPr>
      </w:pPr>
      <w:bookmarkStart w:id="2" w:name="Preface"/>
      <w:bookmarkEnd w:id="2"/>
      <w:r>
        <w:rPr>
          <w:b/>
          <w:sz w:val="28"/>
        </w:rPr>
        <w:lastRenderedPageBreak/>
        <w:t>PREFACE</w:t>
      </w:r>
    </w:p>
    <w:p w:rsidR="00935C95" w:rsidRPr="00313C89" w:rsidRDefault="00935C95" w:rsidP="00935C95">
      <w:pPr>
        <w:spacing w:after="120" w:line="360" w:lineRule="auto"/>
        <w:ind w:firstLine="567"/>
        <w:jc w:val="center"/>
        <w:rPr>
          <w:b/>
          <w:sz w:val="28"/>
        </w:rPr>
      </w:pPr>
      <w:r w:rsidRPr="00313C89">
        <w:rPr>
          <w:b/>
          <w:sz w:val="28"/>
        </w:rPr>
        <w:t>What is Dispensationalism?</w:t>
      </w:r>
    </w:p>
    <w:p w:rsidR="00935C95" w:rsidRPr="00313C89" w:rsidRDefault="00935C95" w:rsidP="00935C95">
      <w:pPr>
        <w:spacing w:after="120" w:line="360" w:lineRule="auto"/>
        <w:ind w:firstLine="567"/>
        <w:jc w:val="center"/>
        <w:rPr>
          <w:b/>
          <w:sz w:val="28"/>
        </w:rPr>
      </w:pPr>
      <w:r w:rsidRPr="00313C89">
        <w:rPr>
          <w:b/>
          <w:sz w:val="28"/>
        </w:rPr>
        <w:t>Definitions and Origins</w:t>
      </w:r>
    </w:p>
    <w:p w:rsidR="00935C95" w:rsidRDefault="00935C95" w:rsidP="00935C95">
      <w:pPr>
        <w:spacing w:after="120" w:line="360" w:lineRule="auto"/>
        <w:jc w:val="both"/>
      </w:pPr>
      <w:r w:rsidRPr="00252D23">
        <w:t xml:space="preserve">Cyrus Ingerson Scofield, author of the </w:t>
      </w:r>
      <w:r w:rsidRPr="00252D23">
        <w:rPr>
          <w:i/>
        </w:rPr>
        <w:t>Scofield Reference Bible</w:t>
      </w:r>
      <w:r w:rsidRPr="00252D23">
        <w:t xml:space="preserve">, </w:t>
      </w:r>
      <w:r>
        <w:t>(</w:t>
      </w:r>
      <w:r w:rsidRPr="007F0CA1">
        <w:rPr>
          <w:i/>
        </w:rPr>
        <w:t>SRB</w:t>
      </w:r>
      <w:r>
        <w:t>)</w:t>
      </w:r>
      <w:r>
        <w:rPr>
          <w:rStyle w:val="FootnoteReference"/>
        </w:rPr>
        <w:footnoteReference w:id="3"/>
      </w:r>
      <w:r>
        <w:t xml:space="preserve"> </w:t>
      </w:r>
      <w:r w:rsidRPr="00252D23">
        <w:t xml:space="preserve">has been described as being </w:t>
      </w:r>
      <w:r>
        <w:t xml:space="preserve">like </w:t>
      </w:r>
      <w:r w:rsidRPr="00252D23">
        <w:t>a salesman who promoted the ideas of John Nelson Darby</w:t>
      </w:r>
      <w:r>
        <w:t>,</w:t>
      </w:r>
      <w:r w:rsidRPr="00252D23">
        <w:t xml:space="preserve"> ‘the primary inventor’ of dispensationalism.</w:t>
      </w:r>
      <w:r>
        <w:rPr>
          <w:rStyle w:val="EndnoteReference"/>
        </w:rPr>
        <w:endnoteReference w:id="1"/>
      </w:r>
      <w:r w:rsidRPr="00252D23">
        <w:t xml:space="preserve">  This description of Scofield begs several questions: what is </w:t>
      </w:r>
      <w:r>
        <w:t>d</w:t>
      </w:r>
      <w:r w:rsidRPr="00252D23">
        <w:t xml:space="preserve">ispensationalism, </w:t>
      </w:r>
      <w:r>
        <w:t xml:space="preserve">did it originate with Darby, </w:t>
      </w:r>
      <w:r w:rsidRPr="00252D23">
        <w:t xml:space="preserve">and </w:t>
      </w:r>
      <w:r>
        <w:t>which of Darby’s ideas did Scofield “sell”?</w:t>
      </w:r>
      <w:r w:rsidRPr="00252D23">
        <w:t xml:space="preserve">  Subsidiary questions are those of change in the dispensationalist system since Scofield and of its current status, especially in view of continuing high sales of </w:t>
      </w:r>
      <w:r w:rsidRPr="00252D23">
        <w:rPr>
          <w:i/>
        </w:rPr>
        <w:t>SRB</w:t>
      </w:r>
      <w:r w:rsidRPr="00252D23">
        <w:t xml:space="preserve">, </w:t>
      </w:r>
      <w:r>
        <w:t xml:space="preserve">second edition, 1917, </w:t>
      </w:r>
      <w:r w:rsidRPr="00252D23">
        <w:t xml:space="preserve">which is </w:t>
      </w:r>
      <w:r>
        <w:t>more than one hundred years old.</w:t>
      </w:r>
    </w:p>
    <w:p w:rsidR="00F24B30" w:rsidRPr="00F24B30" w:rsidRDefault="00F24B30" w:rsidP="00F24B30">
      <w:pPr>
        <w:spacing w:after="120" w:line="360" w:lineRule="auto"/>
        <w:jc w:val="both"/>
        <w:rPr>
          <w:b/>
          <w:sz w:val="24"/>
        </w:rPr>
      </w:pPr>
      <w:r w:rsidRPr="00F24B30">
        <w:rPr>
          <w:b/>
          <w:sz w:val="24"/>
        </w:rPr>
        <w:t>Definitions of Dispensationalism</w:t>
      </w:r>
    </w:p>
    <w:p w:rsidR="00935C95" w:rsidRDefault="00935C95" w:rsidP="00F24B30">
      <w:pPr>
        <w:spacing w:after="120" w:line="360" w:lineRule="auto"/>
        <w:jc w:val="both"/>
      </w:pPr>
      <w:r>
        <w:t xml:space="preserve">Dispensationalism is notoriously difficult to define.  Larry Crutchfield states: </w:t>
      </w:r>
    </w:p>
    <w:p w:rsidR="00935C95" w:rsidRDefault="00935C95" w:rsidP="00935C95">
      <w:pPr>
        <w:tabs>
          <w:tab w:val="left" w:pos="9498"/>
        </w:tabs>
        <w:spacing w:after="240" w:line="240" w:lineRule="auto"/>
        <w:ind w:left="1134" w:right="1841"/>
        <w:jc w:val="both"/>
      </w:pPr>
      <w:r>
        <w:t>One of the chief problems in dispensationalism is that of definition.  While there is no lack of definitions, there is lack of agreement upon those proposed.  We suspect that the primary reason for this is the desire to formulate a simple, succinct definition for a complex theological system that refuses to be so reduced.</w:t>
      </w:r>
      <w:r>
        <w:rPr>
          <w:rStyle w:val="EndnoteReference"/>
        </w:rPr>
        <w:endnoteReference w:id="2"/>
      </w:r>
      <w:r>
        <w:t xml:space="preserve"> </w:t>
      </w:r>
    </w:p>
    <w:p w:rsidR="00935C95" w:rsidRDefault="00935C95" w:rsidP="00935C95">
      <w:pPr>
        <w:spacing w:after="120" w:line="360" w:lineRule="auto"/>
        <w:jc w:val="both"/>
      </w:pPr>
      <w:r w:rsidRPr="00252D23">
        <w:t xml:space="preserve">Matthew Stamper </w:t>
      </w:r>
      <w:r>
        <w:t>agrees</w:t>
      </w:r>
      <w:r w:rsidRPr="00252D23">
        <w:t xml:space="preserve"> that ‘dispensationalism tends to be a difficult theology to pin down’; it is hard to ‘identify exactly what it is’ or to define ‘what would qualify a person as a Dispensationalist’.</w:t>
      </w:r>
      <w:r>
        <w:rPr>
          <w:rStyle w:val="EndnoteReference"/>
        </w:rPr>
        <w:endnoteReference w:id="3"/>
      </w:r>
      <w:r w:rsidRPr="00252D23">
        <w:t xml:space="preserve">  </w:t>
      </w:r>
      <w:r>
        <w:t>Charles Ryrie states that ‘there is no more primary problem in the whole matter of dispensationalism than that of definition … not simply arriving at a single sentence definition of the word, but rather a complete definition and description of the concept’.</w:t>
      </w:r>
      <w:r>
        <w:rPr>
          <w:rStyle w:val="EndnoteReference"/>
        </w:rPr>
        <w:endnoteReference w:id="4"/>
      </w:r>
      <w:r>
        <w:t xml:space="preserve"> </w:t>
      </w:r>
    </w:p>
    <w:p w:rsidR="00935C95" w:rsidRDefault="00935C95" w:rsidP="00935C95">
      <w:pPr>
        <w:spacing w:after="120" w:line="360" w:lineRule="auto"/>
        <w:ind w:firstLine="567"/>
        <w:jc w:val="both"/>
      </w:pPr>
      <w:r>
        <w:t xml:space="preserve">One of the particular difficulties in establishing a satisfactory definition for ‘dispensationalism’ is that it is not, as Michael Williams suggests, </w:t>
      </w:r>
      <w:r w:rsidRPr="00252D23">
        <w:t>‘an essentially monolithic system of theology’</w:t>
      </w:r>
      <w:r>
        <w:t>.</w:t>
      </w:r>
      <w:r>
        <w:rPr>
          <w:rStyle w:val="EndnoteReference"/>
        </w:rPr>
        <w:endnoteReference w:id="5"/>
      </w:r>
      <w:r>
        <w:t xml:space="preserve">  On the contrary, Mark Sweetnam observes that ‘Dispensationalism is very far from being a monolithic system of belief’.</w:t>
      </w:r>
      <w:r>
        <w:rPr>
          <w:rStyle w:val="EndnoteReference"/>
        </w:rPr>
        <w:endnoteReference w:id="6"/>
      </w:r>
      <w:r>
        <w:t xml:space="preserve">  </w:t>
      </w:r>
      <w:r w:rsidRPr="001A2D2C">
        <w:rPr>
          <w:rStyle w:val="ind"/>
        </w:rPr>
        <w:t xml:space="preserve">He states that, in order to arrive at a definition of </w:t>
      </w:r>
      <w:r>
        <w:rPr>
          <w:rStyle w:val="ind"/>
        </w:rPr>
        <w:t>d</w:t>
      </w:r>
      <w:r w:rsidRPr="001A2D2C">
        <w:rPr>
          <w:rStyle w:val="ind"/>
        </w:rPr>
        <w:t>ispensationalism which ‘accurately identifies the key determinants</w:t>
      </w:r>
      <w:r>
        <w:rPr>
          <w:rStyle w:val="ind"/>
        </w:rPr>
        <w:t xml:space="preserve"> of the Dispensational </w:t>
      </w:r>
      <w:proofErr w:type="gramStart"/>
      <w:r>
        <w:rPr>
          <w:rStyle w:val="ind"/>
        </w:rPr>
        <w:t>identity’</w:t>
      </w:r>
      <w:r w:rsidRPr="001A2D2C">
        <w:rPr>
          <w:rStyle w:val="ind"/>
        </w:rPr>
        <w:t>,</w:t>
      </w:r>
      <w:proofErr w:type="gramEnd"/>
      <w:r w:rsidRPr="001A2D2C">
        <w:rPr>
          <w:rStyle w:val="ind"/>
        </w:rPr>
        <w:t xml:space="preserve"> it is necessary to find a definition which is ‘sufficiently flexible to encompass a wide range of instantiations of Dispensational theology, with their varying stresses and emphases’.</w:t>
      </w:r>
      <w:r>
        <w:rPr>
          <w:rStyle w:val="EndnoteReference"/>
        </w:rPr>
        <w:endnoteReference w:id="7"/>
      </w:r>
      <w:r w:rsidRPr="001A2D2C">
        <w:rPr>
          <w:rStyle w:val="ind"/>
        </w:rPr>
        <w:t xml:space="preserve">  </w:t>
      </w:r>
      <w:r w:rsidRPr="003B357C">
        <w:t>Craig Blaising calls for ‘a new approach to defining dispensationalism, … noting the emphases, values, and beliefs that together as a pattern form an abiding identity in the dispensational tradition’</w:t>
      </w:r>
      <w:r w:rsidRPr="00252D23">
        <w:t>.</w:t>
      </w:r>
      <w:r>
        <w:rPr>
          <w:rStyle w:val="EndnoteReference"/>
        </w:rPr>
        <w:endnoteReference w:id="8"/>
      </w:r>
      <w:r>
        <w:t xml:space="preserve">  Glenn Kreider describes dispensationalism as ‘a diverse and developing tradition’.</w:t>
      </w:r>
      <w:r>
        <w:rPr>
          <w:rStyle w:val="EndnoteReference"/>
        </w:rPr>
        <w:endnoteReference w:id="9"/>
      </w:r>
      <w:r>
        <w:t xml:space="preserve">  </w:t>
      </w:r>
      <w:r w:rsidRPr="00252D23">
        <w:t xml:space="preserve">Blaising </w:t>
      </w:r>
      <w:r>
        <w:lastRenderedPageBreak/>
        <w:t>emphasises that</w:t>
      </w:r>
      <w:r w:rsidRPr="00252D23">
        <w:t xml:space="preserve"> </w:t>
      </w:r>
      <w:r>
        <w:t>it</w:t>
      </w:r>
      <w:r w:rsidRPr="00252D23">
        <w:t xml:space="preserve"> is ‘a living tradition … which may reformulate previous views or … may in fact adopt new features … and even bring them into the central pattern by which it defines itself’.</w:t>
      </w:r>
      <w:r>
        <w:rPr>
          <w:rStyle w:val="EndnoteReference"/>
        </w:rPr>
        <w:endnoteReference w:id="10"/>
      </w:r>
      <w:r w:rsidRPr="00252D23">
        <w:t xml:space="preserve">  </w:t>
      </w:r>
      <w:r>
        <w:t>He</w:t>
      </w:r>
      <w:r w:rsidRPr="00252D23">
        <w:t xml:space="preserve"> </w:t>
      </w:r>
      <w:r>
        <w:t>also states that</w:t>
      </w:r>
      <w:r w:rsidRPr="00252D23">
        <w:t xml:space="preserve"> ‘diversity exists today on a number of matters of interpretation’.</w:t>
      </w:r>
      <w:r>
        <w:rPr>
          <w:rStyle w:val="EndnoteReference"/>
        </w:rPr>
        <w:endnoteReference w:id="11"/>
      </w:r>
      <w:r>
        <w:t xml:space="preserve">  </w:t>
      </w:r>
      <w:r w:rsidRPr="00252D23">
        <w:t xml:space="preserve">However, </w:t>
      </w:r>
      <w:r>
        <w:t>he</w:t>
      </w:r>
      <w:r w:rsidRPr="00252D23">
        <w:t xml:space="preserve"> also </w:t>
      </w:r>
      <w:r>
        <w:t>allows</w:t>
      </w:r>
      <w:r w:rsidRPr="00252D23">
        <w:t xml:space="preserve"> that ‘there are some broad features which unite these diverse elements into a common tradition’</w:t>
      </w:r>
      <w:r>
        <w:rPr>
          <w:rStyle w:val="EndnoteReference"/>
        </w:rPr>
        <w:endnoteReference w:id="12"/>
      </w:r>
      <w:r w:rsidRPr="00252D23">
        <w:t xml:space="preserve"> and, as Clarence Bass states, ‘the line of continuity from Darby to the present can be traced unbroken’, at least until 1960 when Bass produced his book, </w:t>
      </w:r>
      <w:r w:rsidRPr="00252D23">
        <w:rPr>
          <w:i/>
        </w:rPr>
        <w:t>Backgrounds to Dispensationalism</w:t>
      </w:r>
      <w:r w:rsidRPr="00252D23">
        <w:t>.</w:t>
      </w:r>
      <w:r>
        <w:rPr>
          <w:rStyle w:val="EndnoteReference"/>
        </w:rPr>
        <w:endnoteReference w:id="13"/>
      </w:r>
      <w:r>
        <w:t xml:space="preserve"> </w:t>
      </w:r>
    </w:p>
    <w:p w:rsidR="00935C95" w:rsidRPr="00C61BC4" w:rsidRDefault="00935C95" w:rsidP="00935C95">
      <w:pPr>
        <w:spacing w:after="120" w:line="360" w:lineRule="auto"/>
        <w:ind w:firstLine="567"/>
        <w:jc w:val="both"/>
      </w:pPr>
      <w:r w:rsidRPr="00C61BC4">
        <w:t xml:space="preserve">In this </w:t>
      </w:r>
      <w:r w:rsidRPr="00D41234">
        <w:t>preface</w:t>
      </w:r>
      <w:r w:rsidRPr="00C61BC4">
        <w:t>, I shall establish the definition for dispensationalism which I intend to apply throughout my study by examining dictionary and scholarly definitions and by identifying the broad features which occur in all formulations of dispensationalism, hoping to arrive at Ryrie’s ‘complete definition and description of the concept’.</w:t>
      </w:r>
      <w:r>
        <w:rPr>
          <w:rStyle w:val="EndnoteReference"/>
        </w:rPr>
        <w:endnoteReference w:id="14"/>
      </w:r>
      <w:r w:rsidRPr="00C61BC4">
        <w:t xml:space="preserve">  I shall also discuss views upon the origins of dispensationalism as a composite system; the previous occurrence of individual </w:t>
      </w:r>
      <w:r>
        <w:t>constituents</w:t>
      </w:r>
      <w:r w:rsidRPr="00C61BC4">
        <w:t xml:space="preserve"> will not be sufficient as attestation for the whole system.  </w:t>
      </w:r>
      <w:r>
        <w:t xml:space="preserve">In my study, </w:t>
      </w:r>
      <w:r w:rsidRPr="00C61BC4">
        <w:t xml:space="preserve">I shall examine especially Darby’s contribution to dispensational beliefs and any connections between Darby and Scofield.  </w:t>
      </w:r>
    </w:p>
    <w:p w:rsidR="00935C95" w:rsidRPr="00284448" w:rsidRDefault="00935C95" w:rsidP="00935C95">
      <w:pPr>
        <w:spacing w:after="120" w:line="360" w:lineRule="auto"/>
        <w:jc w:val="both"/>
        <w:rPr>
          <w:b/>
          <w:sz w:val="24"/>
        </w:rPr>
      </w:pPr>
      <w:proofErr w:type="gramStart"/>
      <w:r w:rsidRPr="00284448">
        <w:rPr>
          <w:b/>
          <w:sz w:val="24"/>
        </w:rPr>
        <w:t>1  Dictionary</w:t>
      </w:r>
      <w:proofErr w:type="gramEnd"/>
      <w:r w:rsidRPr="00284448">
        <w:rPr>
          <w:b/>
          <w:sz w:val="24"/>
        </w:rPr>
        <w:t xml:space="preserve"> Definitions</w:t>
      </w:r>
    </w:p>
    <w:p w:rsidR="00935C95" w:rsidRPr="00A470DB" w:rsidRDefault="00935C95" w:rsidP="00935C95">
      <w:pPr>
        <w:spacing w:after="120" w:line="360" w:lineRule="auto"/>
        <w:jc w:val="both"/>
        <w:rPr>
          <w:lang w:val="en-US"/>
        </w:rPr>
      </w:pPr>
      <w:r w:rsidRPr="00900478">
        <w:rPr>
          <w:rStyle w:val="ind"/>
        </w:rPr>
        <w:t>John Feinberg remarks that much confusion has been caused by the past tendency of dispensationalists to define dispensationalism by ‘defining a dispensation’.  Defining a ‘system of thought’ like dispensationalism is quite different from defining a word like ‘dispensation’.  The latter ‘involves giving an analysis of the ways in which the word is used in various contexts’, whereas ‘defining a concept involves delineating the fundamental qualities that make it what it is’.</w:t>
      </w:r>
      <w:r>
        <w:rPr>
          <w:rStyle w:val="EndnoteReference"/>
        </w:rPr>
        <w:endnoteReference w:id="15"/>
      </w:r>
      <w:r w:rsidRPr="00900478">
        <w:rPr>
          <w:rStyle w:val="ind"/>
        </w:rPr>
        <w:t xml:space="preserve">  Most dictionaries seem to follow the tendency criticised by Feinberg</w:t>
      </w:r>
      <w:r>
        <w:rPr>
          <w:rStyle w:val="ind"/>
        </w:rPr>
        <w:t>, rarely listing</w:t>
      </w:r>
      <w:r>
        <w:t xml:space="preserve"> the</w:t>
      </w:r>
      <w:r w:rsidRPr="00252D23">
        <w:t xml:space="preserve"> word, ‘dispensationalism’, </w:t>
      </w:r>
      <w:r>
        <w:t>but</w:t>
      </w:r>
      <w:r w:rsidRPr="00252D23">
        <w:t xml:space="preserve"> many </w:t>
      </w:r>
      <w:r>
        <w:t>d</w:t>
      </w:r>
      <w:r w:rsidRPr="00252D23">
        <w:t>efin</w:t>
      </w:r>
      <w:r>
        <w:t>ing</w:t>
      </w:r>
      <w:r w:rsidRPr="00252D23">
        <w:t xml:space="preserve"> its cognat</w:t>
      </w:r>
      <w:r>
        <w:t>e</w:t>
      </w:r>
      <w:r w:rsidRPr="00252D23">
        <w:t>, ‘dispensation’, which has several different meanings.</w:t>
      </w:r>
      <w:r>
        <w:rPr>
          <w:rStyle w:val="EndnoteReference"/>
        </w:rPr>
        <w:endnoteReference w:id="16"/>
      </w:r>
      <w:r w:rsidRPr="00252D23">
        <w:t xml:space="preserve">  The basic meaning </w:t>
      </w:r>
      <w:r>
        <w:t>given for</w:t>
      </w:r>
      <w:r w:rsidRPr="00252D23">
        <w:t xml:space="preserve"> ‘dispensation’ is secular: ‘the act of dispensing,</w:t>
      </w:r>
      <w:r>
        <w:rPr>
          <w:rStyle w:val="EndnoteReference"/>
        </w:rPr>
        <w:endnoteReference w:id="17"/>
      </w:r>
      <w:r w:rsidRPr="00252D23">
        <w:t xml:space="preserve"> distributing,</w:t>
      </w:r>
      <w:r>
        <w:rPr>
          <w:rStyle w:val="EndnoteReference"/>
        </w:rPr>
        <w:endnoteReference w:id="18"/>
      </w:r>
      <w:r>
        <w:t xml:space="preserve"> </w:t>
      </w:r>
      <w:r w:rsidRPr="00252D23">
        <w:t>dealing out,</w:t>
      </w:r>
      <w:r>
        <w:rPr>
          <w:rStyle w:val="EndnoteReference"/>
        </w:rPr>
        <w:endnoteReference w:id="19"/>
      </w:r>
      <w:r w:rsidRPr="00252D23">
        <w:t xml:space="preserve"> or supplying</w:t>
      </w:r>
      <w:r>
        <w:t>,</w:t>
      </w:r>
      <w:r>
        <w:rPr>
          <w:rStyle w:val="EndnoteReference"/>
        </w:rPr>
        <w:endnoteReference w:id="20"/>
      </w:r>
      <w:r w:rsidRPr="00252D23">
        <w:t xml:space="preserve"> ‘something administered or dispensed’,</w:t>
      </w:r>
      <w:r>
        <w:t xml:space="preserve"> </w:t>
      </w:r>
      <w:r w:rsidRPr="00252D23">
        <w:t>‘a system or plan of administering or dispensing’</w:t>
      </w:r>
      <w:r>
        <w:rPr>
          <w:rStyle w:val="EndnoteReference"/>
        </w:rPr>
        <w:endnoteReference w:id="21"/>
      </w:r>
      <w:r w:rsidRPr="00252D23">
        <w:t xml:space="preserve"> ‘an administration (of justice, etc.)’,</w:t>
      </w:r>
      <w:r>
        <w:rPr>
          <w:rStyle w:val="EndnoteReference"/>
        </w:rPr>
        <w:endnoteReference w:id="22"/>
      </w:r>
      <w:r w:rsidRPr="00252D23">
        <w:t xml:space="preserve"> ‘distribution, as the dispensation of royal favours’ and ‘management; stewardship; an act or action as manager or steward</w:t>
      </w:r>
      <w:r>
        <w:t>’</w:t>
      </w:r>
      <w:r w:rsidRPr="00252D23">
        <w:t>.</w:t>
      </w:r>
      <w:r>
        <w:rPr>
          <w:rStyle w:val="EndnoteReference"/>
        </w:rPr>
        <w:endnoteReference w:id="23"/>
      </w:r>
      <w:r w:rsidRPr="00252D23">
        <w:t xml:space="preserve">  None of these definitions has a specifically religious connotation but such definitions are used by scholars </w:t>
      </w:r>
      <w:r>
        <w:t>like</w:t>
      </w:r>
      <w:r w:rsidRPr="00252D23">
        <w:t xml:space="preserve"> </w:t>
      </w:r>
      <w:r>
        <w:t xml:space="preserve">Lewis Sperry Chafer when </w:t>
      </w:r>
      <w:r w:rsidRPr="00252D23">
        <w:t>tracing the origins of dispensationalist terminology.</w:t>
      </w:r>
      <w:r>
        <w:rPr>
          <w:rStyle w:val="EndnoteReference"/>
        </w:rPr>
        <w:endnoteReference w:id="24"/>
      </w:r>
      <w:r w:rsidRPr="00252D23">
        <w:t xml:space="preserve"> </w:t>
      </w:r>
      <w:r>
        <w:t xml:space="preserve"> </w:t>
      </w:r>
    </w:p>
    <w:p w:rsidR="00935C95" w:rsidRDefault="00935C95" w:rsidP="00935C95">
      <w:pPr>
        <w:spacing w:after="120" w:line="360" w:lineRule="auto"/>
        <w:ind w:firstLine="567"/>
        <w:jc w:val="both"/>
      </w:pPr>
      <w:r>
        <w:t xml:space="preserve">Definitions of a dispensation with a more religious content are </w:t>
      </w:r>
      <w:r w:rsidRPr="00252D23">
        <w:t>‘a political, religious, or social system prevailing at a particular time’ and ‘(in Christian theology) a divinely ordained system prevailing at a particular period of history</w:t>
      </w:r>
      <w:r>
        <w:t>’</w:t>
      </w:r>
      <w:r w:rsidRPr="00252D23">
        <w:t>.</w:t>
      </w:r>
      <w:r>
        <w:rPr>
          <w:rStyle w:val="EndnoteReference"/>
        </w:rPr>
        <w:endnoteReference w:id="25"/>
      </w:r>
      <w:r w:rsidRPr="00252D23">
        <w:t xml:space="preserve">  Chambers’ definition: ‘religious or political system specific to a community or period’</w:t>
      </w:r>
      <w:r>
        <w:t xml:space="preserve"> also contains religious and temporal elements</w:t>
      </w:r>
      <w:r w:rsidRPr="00252D23">
        <w:t xml:space="preserve">.  The temporal </w:t>
      </w:r>
      <w:r>
        <w:t>aspect</w:t>
      </w:r>
      <w:r w:rsidRPr="00252D23">
        <w:t xml:space="preserve"> is important in the definition of a dispensation given by some writers</w:t>
      </w:r>
      <w:r>
        <w:t>.</w:t>
      </w:r>
      <w:r>
        <w:rPr>
          <w:rStyle w:val="EndnoteReference"/>
        </w:rPr>
        <w:endnoteReference w:id="26"/>
      </w:r>
      <w:r>
        <w:t xml:space="preserve"> </w:t>
      </w:r>
      <w:r w:rsidRPr="00252D23">
        <w:t xml:space="preserve"> </w:t>
      </w:r>
    </w:p>
    <w:p w:rsidR="00935C95" w:rsidRDefault="00935C95" w:rsidP="00935C95">
      <w:pPr>
        <w:spacing w:after="120" w:line="360" w:lineRule="auto"/>
        <w:ind w:firstLine="567"/>
        <w:jc w:val="both"/>
      </w:pPr>
      <w:r>
        <w:t>Further definitions speak of ‘the ordering of life and events by God’, ‘a divine decree affecting an individual or group’ and ‘a religious system or code of prescriptions for life and conduct regarded as of divine origin’.</w:t>
      </w:r>
      <w:r>
        <w:rPr>
          <w:rStyle w:val="EndnoteReference"/>
        </w:rPr>
        <w:endnoteReference w:id="27"/>
      </w:r>
      <w:r>
        <w:t xml:space="preserve">  This definition includes an element of ordinance, which is absent in ‘regulation or ordering of events by God, Providence or nature’,</w:t>
      </w:r>
      <w:r>
        <w:rPr>
          <w:rStyle w:val="EndnoteReference"/>
        </w:rPr>
        <w:endnoteReference w:id="28"/>
      </w:r>
      <w:r>
        <w:t xml:space="preserve"> ‘act of divine providence’</w:t>
      </w:r>
      <w:r>
        <w:rPr>
          <w:rStyle w:val="EndnoteReference"/>
        </w:rPr>
        <w:endnoteReference w:id="29"/>
      </w:r>
      <w:r>
        <w:t xml:space="preserve"> and ‘particular </w:t>
      </w:r>
      <w:r>
        <w:lastRenderedPageBreak/>
        <w:t>distribution of blessing or affliction dispensed by God to a person, family, community, or nation, in the course of his dealing with his creatures; that which is dispensed or dealt out by God’.</w:t>
      </w:r>
      <w:r>
        <w:rPr>
          <w:rStyle w:val="EndnoteReference"/>
        </w:rPr>
        <w:endnoteReference w:id="30"/>
      </w:r>
      <w:r>
        <w:t xml:space="preserve">  Nevertheless, all imply divine intervention in human life.</w:t>
      </w:r>
    </w:p>
    <w:p w:rsidR="00935C95" w:rsidRDefault="00935C95" w:rsidP="00935C95">
      <w:pPr>
        <w:spacing w:after="120" w:line="360" w:lineRule="auto"/>
        <w:ind w:firstLine="567"/>
        <w:jc w:val="both"/>
      </w:pPr>
      <w:r>
        <w:t>A fourth group of definitions of ‘dispensation’ concerns exemption</w:t>
      </w:r>
      <w:r>
        <w:rPr>
          <w:rStyle w:val="EndnoteReference"/>
        </w:rPr>
        <w:endnoteReference w:id="31"/>
      </w:r>
      <w:r>
        <w:t xml:space="preserve"> from a rule,</w:t>
      </w:r>
      <w:r>
        <w:rPr>
          <w:rStyle w:val="EndnoteReference"/>
        </w:rPr>
        <w:endnoteReference w:id="32"/>
      </w:r>
      <w:r>
        <w:t xml:space="preserve"> obligation,</w:t>
      </w:r>
      <w:r>
        <w:rPr>
          <w:rStyle w:val="EndnoteReference"/>
        </w:rPr>
        <w:endnoteReference w:id="33"/>
      </w:r>
      <w:r>
        <w:t xml:space="preserve"> usual requirement,</w:t>
      </w:r>
      <w:r>
        <w:rPr>
          <w:rStyle w:val="EndnoteReference"/>
        </w:rPr>
        <w:endnoteReference w:id="34"/>
      </w:r>
      <w:r>
        <w:t xml:space="preserve"> law or regulation.</w:t>
      </w:r>
      <w:r>
        <w:rPr>
          <w:rStyle w:val="EndnoteReference"/>
        </w:rPr>
        <w:endnoteReference w:id="35"/>
      </w:r>
      <w:r>
        <w:t xml:space="preserve">  Two of the dictionaries relate this directly to the Roman Catholic Church.</w:t>
      </w:r>
      <w:r>
        <w:rPr>
          <w:rStyle w:val="EndnoteReference"/>
        </w:rPr>
        <w:endnoteReference w:id="36"/>
      </w:r>
      <w:r>
        <w:t xml:space="preserve"> </w:t>
      </w:r>
    </w:p>
    <w:p w:rsidR="00935C95" w:rsidRDefault="00935C95" w:rsidP="00935C95">
      <w:pPr>
        <w:spacing w:after="120" w:line="360" w:lineRule="auto"/>
        <w:ind w:firstLine="567"/>
        <w:jc w:val="both"/>
      </w:pPr>
      <w:r>
        <w:t>The Century Dictionary, which is quoted by Chafer,</w:t>
      </w:r>
      <w:r>
        <w:rPr>
          <w:rStyle w:val="EndnoteReference"/>
        </w:rPr>
        <w:endnoteReference w:id="37"/>
      </w:r>
      <w:r>
        <w:t xml:space="preserve"> gives the most detailed definition of the word, ‘dispensation’ in the sense generally understood in relation to dispensationalism, though it should be noted that is only the third definition of five given and it is preceded by the words, ‘in theology’: </w:t>
      </w:r>
    </w:p>
    <w:p w:rsidR="00935C95" w:rsidRPr="00874383" w:rsidRDefault="00935C95" w:rsidP="00935C95">
      <w:pPr>
        <w:tabs>
          <w:tab w:val="left" w:pos="8931"/>
        </w:tabs>
        <w:spacing w:before="100" w:beforeAutospacing="1" w:after="120" w:line="240" w:lineRule="auto"/>
        <w:ind w:left="1134" w:right="1700"/>
        <w:jc w:val="both"/>
        <w:outlineLvl w:val="1"/>
        <w:rPr>
          <w:rFonts w:eastAsia="Times New Roman" w:cs="Times New Roman"/>
          <w:bCs/>
          <w:kern w:val="36"/>
          <w:szCs w:val="20"/>
          <w:lang w:eastAsia="en-GB"/>
        </w:rPr>
      </w:pPr>
      <w:r w:rsidRPr="00874383">
        <w:rPr>
          <w:rFonts w:eastAsia="Times New Roman" w:cs="Times New Roman"/>
          <w:bCs/>
          <w:kern w:val="36"/>
          <w:szCs w:val="20"/>
          <w:lang w:eastAsia="en-GB"/>
        </w:rPr>
        <w:t xml:space="preserve">(a) The method or scheme by which God has at different times developed his purpose, and revealed himself to man; or the body of privileges bestowed, and duties and responsibilities enjoined, in connection with that scheme or method of revelation: as the Old or Jewish dispensation; the New Gospel dispensation. </w:t>
      </w:r>
    </w:p>
    <w:p w:rsidR="00935C95" w:rsidRPr="00874383" w:rsidRDefault="00935C95" w:rsidP="00935C95">
      <w:pPr>
        <w:tabs>
          <w:tab w:val="left" w:pos="8931"/>
        </w:tabs>
        <w:spacing w:after="240" w:line="240" w:lineRule="auto"/>
        <w:ind w:left="1134" w:right="1700"/>
        <w:jc w:val="both"/>
        <w:outlineLvl w:val="1"/>
        <w:rPr>
          <w:rFonts w:eastAsia="Times New Roman" w:cs="Times New Roman"/>
          <w:bCs/>
          <w:kern w:val="36"/>
          <w:szCs w:val="20"/>
          <w:lang w:eastAsia="en-GB"/>
        </w:rPr>
      </w:pPr>
      <w:r w:rsidRPr="00874383">
        <w:rPr>
          <w:rFonts w:eastAsia="Times New Roman" w:cs="Times New Roman"/>
          <w:bCs/>
          <w:kern w:val="36"/>
          <w:szCs w:val="20"/>
          <w:lang w:eastAsia="en-GB"/>
        </w:rPr>
        <w:t>(b) A period marked by a particular development of the divine purpose and revelation: as the patriarchal dispensation (lasting from Adam to Moses); the Mosaic dispensation (from Moses to Christ); the Christian dispensation.</w:t>
      </w:r>
      <w:r w:rsidRPr="00874383">
        <w:rPr>
          <w:rStyle w:val="EndnoteReference"/>
          <w:bCs/>
          <w:kern w:val="36"/>
          <w:lang w:eastAsia="en-GB"/>
        </w:rPr>
        <w:endnoteReference w:id="38"/>
      </w:r>
      <w:r w:rsidRPr="00874383">
        <w:rPr>
          <w:rFonts w:eastAsia="Times New Roman" w:cs="Times New Roman"/>
          <w:bCs/>
          <w:kern w:val="36"/>
          <w:szCs w:val="20"/>
          <w:lang w:eastAsia="en-GB"/>
        </w:rPr>
        <w:t xml:space="preserve"> </w:t>
      </w:r>
    </w:p>
    <w:p w:rsidR="00935C95" w:rsidRPr="00DE77FC" w:rsidRDefault="00935C95" w:rsidP="00935C95">
      <w:pPr>
        <w:spacing w:before="100" w:beforeAutospacing="1" w:after="120" w:line="360" w:lineRule="auto"/>
        <w:jc w:val="both"/>
        <w:outlineLvl w:val="1"/>
        <w:rPr>
          <w:rFonts w:eastAsia="Times New Roman" w:cs="Times New Roman"/>
          <w:bCs/>
          <w:kern w:val="36"/>
          <w:szCs w:val="20"/>
          <w:lang w:eastAsia="en-GB"/>
        </w:rPr>
      </w:pPr>
      <w:r>
        <w:rPr>
          <w:rFonts w:eastAsia="Times New Roman" w:cs="Times New Roman"/>
          <w:bCs/>
          <w:kern w:val="36"/>
          <w:szCs w:val="20"/>
          <w:lang w:eastAsia="en-GB"/>
        </w:rPr>
        <w:t xml:space="preserve">Having quoted this in full, </w:t>
      </w:r>
      <w:r w:rsidRPr="00DE77FC">
        <w:rPr>
          <w:rFonts w:eastAsia="Times New Roman" w:cs="Times New Roman"/>
          <w:bCs/>
          <w:kern w:val="36"/>
          <w:szCs w:val="20"/>
          <w:lang w:eastAsia="en-GB"/>
        </w:rPr>
        <w:t>Chafer notes that</w:t>
      </w:r>
      <w:r>
        <w:rPr>
          <w:rFonts w:eastAsia="Times New Roman" w:cs="Times New Roman"/>
          <w:bCs/>
          <w:kern w:val="36"/>
          <w:szCs w:val="20"/>
          <w:lang w:eastAsia="en-GB"/>
        </w:rPr>
        <w:t xml:space="preserve"> ‘the Century Dictionary Online </w:t>
      </w:r>
      <w:r w:rsidRPr="00B74D7B">
        <w:rPr>
          <w:rFonts w:eastAsia="Times New Roman" w:cs="Times New Roman"/>
          <w:bCs/>
          <w:kern w:val="36"/>
          <w:szCs w:val="20"/>
          <w:lang w:eastAsia="en-GB"/>
        </w:rPr>
        <w:t xml:space="preserve">also quotes one pertinent sentence from </w:t>
      </w:r>
      <w:r w:rsidRPr="00813AFD">
        <w:rPr>
          <w:rFonts w:eastAsia="Times New Roman" w:cs="Times New Roman"/>
          <w:bCs/>
          <w:i/>
          <w:kern w:val="36"/>
          <w:szCs w:val="20"/>
          <w:lang w:eastAsia="en-GB"/>
        </w:rPr>
        <w:t>Bibliotheca Sacra</w:t>
      </w:r>
      <w:r>
        <w:rPr>
          <w:rFonts w:eastAsia="Times New Roman" w:cs="Times New Roman"/>
          <w:bCs/>
          <w:kern w:val="36"/>
          <w:szCs w:val="20"/>
          <w:lang w:eastAsia="en-GB"/>
        </w:rPr>
        <w:t xml:space="preserve">: </w:t>
      </w:r>
      <w:r w:rsidRPr="00B74D7B">
        <w:rPr>
          <w:rFonts w:eastAsia="Times New Roman" w:cs="Times New Roman"/>
          <w:bCs/>
          <w:kern w:val="36"/>
          <w:szCs w:val="20"/>
          <w:lang w:eastAsia="en-GB"/>
        </w:rPr>
        <w:t>"</w:t>
      </w:r>
      <w:r w:rsidRPr="00DE77FC">
        <w:rPr>
          <w:rFonts w:eastAsia="Times New Roman" w:cs="Times New Roman"/>
          <w:bCs/>
          <w:kern w:val="36"/>
          <w:szCs w:val="20"/>
          <w:lang w:eastAsia="en-GB"/>
        </w:rPr>
        <w:t>The limits of certain dispensational periods were revealed in Scripture"</w:t>
      </w:r>
      <w:r>
        <w:rPr>
          <w:rFonts w:eastAsia="Times New Roman" w:cs="Times New Roman"/>
          <w:bCs/>
          <w:kern w:val="36"/>
          <w:szCs w:val="20"/>
          <w:lang w:eastAsia="en-GB"/>
        </w:rPr>
        <w:t>’</w:t>
      </w:r>
      <w:r w:rsidRPr="00DE77FC">
        <w:rPr>
          <w:rFonts w:eastAsia="Times New Roman" w:cs="Times New Roman"/>
          <w:bCs/>
          <w:kern w:val="36"/>
          <w:szCs w:val="20"/>
          <w:lang w:eastAsia="en-GB"/>
        </w:rPr>
        <w:t>.</w:t>
      </w:r>
      <w:r>
        <w:rPr>
          <w:rStyle w:val="EndnoteReference"/>
          <w:bCs/>
          <w:kern w:val="36"/>
          <w:lang w:eastAsia="en-GB"/>
        </w:rPr>
        <w:endnoteReference w:id="39"/>
      </w:r>
      <w:r>
        <w:rPr>
          <w:rFonts w:eastAsia="Times New Roman" w:cs="Times New Roman"/>
          <w:bCs/>
          <w:kern w:val="36"/>
          <w:szCs w:val="20"/>
          <w:lang w:eastAsia="en-GB"/>
        </w:rPr>
        <w:t xml:space="preserve"> </w:t>
      </w:r>
    </w:p>
    <w:p w:rsidR="00935C95" w:rsidRDefault="00935C95" w:rsidP="00935C95">
      <w:pPr>
        <w:spacing w:after="120" w:line="360" w:lineRule="auto"/>
        <w:ind w:firstLine="567"/>
        <w:jc w:val="both"/>
        <w:rPr>
          <w:rStyle w:val="ind"/>
        </w:rPr>
      </w:pPr>
      <w:r>
        <w:t xml:space="preserve">The Oxford Dictionary Online defines ‘dispensationalism’ itself as </w:t>
      </w:r>
      <w:r w:rsidRPr="00252D23">
        <w:t>‘</w:t>
      </w:r>
      <w:r w:rsidRPr="00252D23">
        <w:rPr>
          <w:rStyle w:val="ind"/>
        </w:rPr>
        <w:t>belief in a system of historical progression, as revealed in the Bible, consisting of a series of stages in God's self-revelation and plan of salvation’.</w:t>
      </w:r>
      <w:r>
        <w:rPr>
          <w:rStyle w:val="EndnoteReference"/>
        </w:rPr>
        <w:endnoteReference w:id="40"/>
      </w:r>
      <w:r w:rsidRPr="00252D23">
        <w:rPr>
          <w:rStyle w:val="ind"/>
        </w:rPr>
        <w:t xml:space="preserve">  </w:t>
      </w:r>
      <w:r>
        <w:rPr>
          <w:rStyle w:val="ind"/>
        </w:rPr>
        <w:t>This definition bears a closer affinity to progressive dispensationalist tenets than to classical dispensationalist tenets.  Blaising describes the ‘major distinctive’ of Progressive Dispensationalism as being ‘its conception of the progressive accomplishment and revelation of a holistic and unified redemption … revealed in  a succession of dispensations which vary in how they stress the aspects of redemption, but all [pointing] to a final culmination in which all aspects are redeemed together’.</w:t>
      </w:r>
      <w:r>
        <w:rPr>
          <w:rStyle w:val="EndnoteReference"/>
        </w:rPr>
        <w:endnoteReference w:id="41"/>
      </w:r>
      <w:r>
        <w:rPr>
          <w:rStyle w:val="ind"/>
        </w:rPr>
        <w:t xml:space="preserve">  </w:t>
      </w:r>
      <w:r w:rsidRPr="001C0F1C">
        <w:rPr>
          <w:rStyle w:val="ind"/>
        </w:rPr>
        <w:t>Conversely, Norman</w:t>
      </w:r>
      <w:r>
        <w:rPr>
          <w:rStyle w:val="ind"/>
        </w:rPr>
        <w:t xml:space="preserve"> Kraus states that traditional dispensationalism employed ‘a concept of historically independent dispensations’, which were ‘progressive only in the sense that each new one presupposed knowledge of those which have preceded it’, there being ‘progression but no progress in the historical sense’.</w:t>
      </w:r>
      <w:r>
        <w:rPr>
          <w:rStyle w:val="EndnoteReference"/>
        </w:rPr>
        <w:endnoteReference w:id="42"/>
      </w:r>
      <w:r>
        <w:rPr>
          <w:rStyle w:val="ind"/>
        </w:rPr>
        <w:t xml:space="preserve"> </w:t>
      </w:r>
    </w:p>
    <w:p w:rsidR="00935C95" w:rsidRDefault="00935C95" w:rsidP="00935C95">
      <w:pPr>
        <w:spacing w:after="120" w:line="360" w:lineRule="auto"/>
        <w:ind w:firstLine="567"/>
        <w:jc w:val="both"/>
        <w:rPr>
          <w:rStyle w:val="ind"/>
        </w:rPr>
      </w:pPr>
      <w:r>
        <w:rPr>
          <w:rStyle w:val="ind"/>
        </w:rPr>
        <w:t xml:space="preserve">All these dictionary definitions of ‘dispensation’ or ‘dispensationalism’ are insufficient, however.  Scholarly definitions must also be considered.  </w:t>
      </w:r>
    </w:p>
    <w:p w:rsidR="00BB4442" w:rsidRDefault="00BB4442" w:rsidP="00935C95">
      <w:pPr>
        <w:spacing w:after="120" w:line="360" w:lineRule="auto"/>
        <w:ind w:firstLine="567"/>
        <w:jc w:val="both"/>
        <w:rPr>
          <w:rStyle w:val="ind"/>
        </w:rPr>
      </w:pPr>
    </w:p>
    <w:p w:rsidR="00BB4442" w:rsidRDefault="00BB4442" w:rsidP="00935C95">
      <w:pPr>
        <w:spacing w:after="120" w:line="360" w:lineRule="auto"/>
        <w:ind w:firstLine="567"/>
        <w:jc w:val="both"/>
        <w:rPr>
          <w:rStyle w:val="ind"/>
        </w:rPr>
      </w:pPr>
    </w:p>
    <w:p w:rsidR="00935C95" w:rsidRPr="00284448" w:rsidRDefault="00935C95" w:rsidP="00935C95">
      <w:pPr>
        <w:spacing w:after="120" w:line="360" w:lineRule="auto"/>
        <w:jc w:val="both"/>
        <w:rPr>
          <w:rStyle w:val="ind"/>
          <w:b/>
          <w:sz w:val="24"/>
        </w:rPr>
      </w:pPr>
      <w:bookmarkStart w:id="3" w:name="Scholarly"/>
      <w:bookmarkEnd w:id="3"/>
      <w:proofErr w:type="gramStart"/>
      <w:r>
        <w:rPr>
          <w:rStyle w:val="ind"/>
          <w:b/>
          <w:sz w:val="24"/>
        </w:rPr>
        <w:lastRenderedPageBreak/>
        <w:t xml:space="preserve">2  </w:t>
      </w:r>
      <w:r w:rsidRPr="00284448">
        <w:rPr>
          <w:rStyle w:val="ind"/>
          <w:b/>
          <w:sz w:val="24"/>
        </w:rPr>
        <w:t>Scholarly</w:t>
      </w:r>
      <w:proofErr w:type="gramEnd"/>
      <w:r w:rsidRPr="00284448">
        <w:rPr>
          <w:rStyle w:val="ind"/>
          <w:b/>
          <w:sz w:val="24"/>
        </w:rPr>
        <w:t xml:space="preserve"> Definitions</w:t>
      </w:r>
    </w:p>
    <w:p w:rsidR="00935C95" w:rsidRDefault="00935C95" w:rsidP="00935C95">
      <w:pPr>
        <w:spacing w:after="120" w:line="360" w:lineRule="auto"/>
        <w:jc w:val="both"/>
      </w:pPr>
      <w:r>
        <w:rPr>
          <w:rStyle w:val="ind"/>
        </w:rPr>
        <w:t>Despite academic interest in dispensationalism, it is, according to Kreider, ‘not an academic tradition’ but ‘a grass-roots and populist movement’.</w:t>
      </w:r>
      <w:r>
        <w:rPr>
          <w:rStyle w:val="EndnoteReference"/>
        </w:rPr>
        <w:endnoteReference w:id="43"/>
      </w:r>
      <w:r>
        <w:rPr>
          <w:rStyle w:val="ind"/>
        </w:rPr>
        <w:t xml:space="preserve">  This is currently exemplified by books like the </w:t>
      </w:r>
      <w:r w:rsidRPr="00E23C8C">
        <w:rPr>
          <w:rStyle w:val="ind"/>
          <w:i/>
        </w:rPr>
        <w:t xml:space="preserve">Left </w:t>
      </w:r>
      <w:proofErr w:type="gramStart"/>
      <w:r w:rsidRPr="00E23C8C">
        <w:rPr>
          <w:rStyle w:val="ind"/>
          <w:i/>
        </w:rPr>
        <w:t>Behind</w:t>
      </w:r>
      <w:proofErr w:type="gramEnd"/>
      <w:r>
        <w:rPr>
          <w:rStyle w:val="ind"/>
        </w:rPr>
        <w:t xml:space="preserve"> Series</w:t>
      </w:r>
      <w:r>
        <w:rPr>
          <w:rStyle w:val="EndnoteReference"/>
        </w:rPr>
        <w:endnoteReference w:id="44"/>
      </w:r>
      <w:r>
        <w:rPr>
          <w:rStyle w:val="ind"/>
        </w:rPr>
        <w:t xml:space="preserve">  and Hal Lindsey’s </w:t>
      </w:r>
      <w:r w:rsidRPr="00E23C8C">
        <w:rPr>
          <w:rStyle w:val="ind"/>
          <w:i/>
        </w:rPr>
        <w:t>Late Great Planet Earth</w:t>
      </w:r>
      <w:r w:rsidRPr="009F2403">
        <w:rPr>
          <w:rStyle w:val="EndnoteReference"/>
        </w:rPr>
        <w:endnoteReference w:id="45"/>
      </w:r>
      <w:r>
        <w:rPr>
          <w:rStyle w:val="ind"/>
          <w:i/>
        </w:rPr>
        <w:t xml:space="preserve"> </w:t>
      </w:r>
      <w:r>
        <w:rPr>
          <w:rStyle w:val="ind"/>
        </w:rPr>
        <w:t xml:space="preserve">and </w:t>
      </w:r>
      <w:r w:rsidRPr="00E23C8C">
        <w:rPr>
          <w:rStyle w:val="ind"/>
          <w:i/>
        </w:rPr>
        <w:t>Planet Earth 2000</w:t>
      </w:r>
      <w:r>
        <w:rPr>
          <w:rStyle w:val="ind"/>
        </w:rPr>
        <w:t>.</w:t>
      </w:r>
      <w:r>
        <w:rPr>
          <w:rStyle w:val="EndnoteReference"/>
        </w:rPr>
        <w:endnoteReference w:id="46"/>
      </w:r>
      <w:r>
        <w:rPr>
          <w:rStyle w:val="ind"/>
        </w:rPr>
        <w:t xml:space="preserve">  There are, however, many academic books and articles on the subject.</w:t>
      </w:r>
      <w:r>
        <w:rPr>
          <w:rStyle w:val="EndnoteReference"/>
        </w:rPr>
        <w:endnoteReference w:id="47"/>
      </w:r>
      <w:r>
        <w:rPr>
          <w:rStyle w:val="ind"/>
        </w:rPr>
        <w:t xml:space="preserve">  </w:t>
      </w:r>
      <w:r>
        <w:t>There appear to be four scholarly definitions.</w:t>
      </w:r>
    </w:p>
    <w:p w:rsidR="00935C95" w:rsidRPr="00AC214B" w:rsidRDefault="00935C95" w:rsidP="00935C95">
      <w:pPr>
        <w:spacing w:after="120" w:line="360" w:lineRule="auto"/>
        <w:jc w:val="both"/>
        <w:rPr>
          <w:b/>
          <w:i/>
        </w:rPr>
      </w:pPr>
      <w:r>
        <w:rPr>
          <w:b/>
          <w:i/>
        </w:rPr>
        <w:t xml:space="preserve">a)  </w:t>
      </w:r>
      <w:r w:rsidRPr="00AC214B">
        <w:rPr>
          <w:b/>
          <w:i/>
        </w:rPr>
        <w:t>A Theological System</w:t>
      </w:r>
    </w:p>
    <w:p w:rsidR="00935C95" w:rsidRDefault="00935C95" w:rsidP="00935C95">
      <w:pPr>
        <w:spacing w:after="120" w:line="360" w:lineRule="auto"/>
        <w:jc w:val="both"/>
      </w:pPr>
      <w:r>
        <w:rPr>
          <w:rStyle w:val="ind"/>
        </w:rPr>
        <w:t xml:space="preserve">Charles Ryrie, Larry Crutchfield, Johan Tangelder, Vern Poythress, Paul Wilkinson, Ronald Henzel, Norman Kraus and Robert Saucy have all described dispensationalism as ‘a system of theology’.  Ryrie states, </w:t>
      </w:r>
      <w:r>
        <w:t xml:space="preserve">‘Dispensationalists recognize that as a </w:t>
      </w:r>
      <w:r w:rsidRPr="00FF7300">
        <w:rPr>
          <w:i/>
        </w:rPr>
        <w:t xml:space="preserve">system </w:t>
      </w:r>
      <w:r>
        <w:t>of theology it is recent in origin.’</w:t>
      </w:r>
      <w:r>
        <w:rPr>
          <w:rStyle w:val="EndnoteReference"/>
        </w:rPr>
        <w:endnoteReference w:id="48"/>
      </w:r>
      <w:r>
        <w:t xml:space="preserve">  </w:t>
      </w:r>
      <w:r>
        <w:rPr>
          <w:rStyle w:val="ind"/>
        </w:rPr>
        <w:t>Crutchfield and Tangelder both refer to dispensationalism as ‘a complex theological system’, Tangelder adding that it has</w:t>
      </w:r>
      <w:r w:rsidRPr="004B3FA9">
        <w:rPr>
          <w:rFonts w:eastAsia="Times New Roman" w:cs="Arial"/>
          <w:lang w:eastAsia="en-GB"/>
        </w:rPr>
        <w:t xml:space="preserve"> </w:t>
      </w:r>
      <w:r>
        <w:rPr>
          <w:rFonts w:eastAsia="Times New Roman" w:cs="Arial"/>
          <w:lang w:eastAsia="en-GB"/>
        </w:rPr>
        <w:t>‘</w:t>
      </w:r>
      <w:r w:rsidRPr="004B3FA9">
        <w:rPr>
          <w:rFonts w:eastAsia="Times New Roman" w:cs="Arial"/>
          <w:lang w:eastAsia="en-GB"/>
        </w:rPr>
        <w:t xml:space="preserve">numerous shades of </w:t>
      </w:r>
      <w:r>
        <w:rPr>
          <w:rFonts w:eastAsia="Times New Roman" w:cs="Arial"/>
          <w:lang w:eastAsia="en-GB"/>
        </w:rPr>
        <w:t>interpretation’.</w:t>
      </w:r>
      <w:r>
        <w:rPr>
          <w:rStyle w:val="EndnoteReference"/>
          <w:rFonts w:cs="Arial"/>
          <w:lang w:eastAsia="en-GB"/>
        </w:rPr>
        <w:endnoteReference w:id="49"/>
      </w:r>
      <w:r>
        <w:rPr>
          <w:rStyle w:val="ind"/>
        </w:rPr>
        <w:t xml:space="preserve">  Poythress describes </w:t>
      </w:r>
      <w:r>
        <w:t>‘classic dispensationalism’ as ‘a whole system of theology’</w:t>
      </w:r>
      <w:r>
        <w:rPr>
          <w:rStyle w:val="EndnoteReference"/>
        </w:rPr>
        <w:endnoteReference w:id="50"/>
      </w:r>
      <w:r>
        <w:t xml:space="preserve"> and</w:t>
      </w:r>
      <w:r>
        <w:rPr>
          <w:rStyle w:val="ind"/>
        </w:rPr>
        <w:t xml:space="preserve"> ‘a complex spectrum of beliefs’.</w:t>
      </w:r>
      <w:r>
        <w:rPr>
          <w:rStyle w:val="EndnoteReference"/>
        </w:rPr>
        <w:endnoteReference w:id="51"/>
      </w:r>
      <w:r>
        <w:rPr>
          <w:rStyle w:val="ind"/>
        </w:rPr>
        <w:t xml:space="preserve">  Wilkinson states that ‘</w:t>
      </w:r>
      <w:r>
        <w:t>John Nelson Darby’s eschatology laid the foundations for a system of theology known as dispensationalism.’</w:t>
      </w:r>
      <w:r>
        <w:rPr>
          <w:rStyle w:val="EndnoteReference"/>
        </w:rPr>
        <w:endnoteReference w:id="52"/>
      </w:r>
      <w:r>
        <w:t xml:space="preserve">  Henzel concurs: ‘Darby bequeathed to his followers an impressive theological system …’</w:t>
      </w:r>
      <w:r>
        <w:rPr>
          <w:rStyle w:val="EndnoteReference"/>
        </w:rPr>
        <w:endnoteReference w:id="53"/>
      </w:r>
      <w:r>
        <w:t xml:space="preserve">  Kraus states, ‘</w:t>
      </w:r>
      <w:proofErr w:type="gramStart"/>
      <w:r>
        <w:t>The</w:t>
      </w:r>
      <w:proofErr w:type="gramEnd"/>
      <w:r>
        <w:t xml:space="preserve"> unique method of interpretation and the theological system which was developed … within the … the Bible and prophetic conference movements has come to be known as </w:t>
      </w:r>
      <w:r w:rsidRPr="004774A0">
        <w:rPr>
          <w:i/>
        </w:rPr>
        <w:t>dispensationalism</w:t>
      </w:r>
      <w:r>
        <w:t>.’</w:t>
      </w:r>
      <w:r>
        <w:rPr>
          <w:rStyle w:val="EndnoteReference"/>
        </w:rPr>
        <w:endnoteReference w:id="54"/>
      </w:r>
      <w:r>
        <w:t xml:space="preserve">  He further calls dispensationalism ‘a philosophy of history, an attempt to interpret history according to a theological norm’.</w:t>
      </w:r>
      <w:r>
        <w:rPr>
          <w:rStyle w:val="EndnoteReference"/>
        </w:rPr>
        <w:endnoteReference w:id="55"/>
      </w:r>
      <w:r>
        <w:t xml:space="preserve">  Saucy states, ‘Over the past several decades the system of theological interpretation commonly known as dispensationalism has undergone considerable development and refinement.’</w:t>
      </w:r>
      <w:r>
        <w:rPr>
          <w:rStyle w:val="EndnoteReference"/>
        </w:rPr>
        <w:endnoteReference w:id="56"/>
      </w:r>
      <w:r>
        <w:t xml:space="preserve"> </w:t>
      </w:r>
    </w:p>
    <w:p w:rsidR="00935C95" w:rsidRDefault="00935C95" w:rsidP="00935C95">
      <w:pPr>
        <w:spacing w:after="120" w:line="360" w:lineRule="auto"/>
        <w:ind w:firstLine="567"/>
        <w:jc w:val="both"/>
        <w:rPr>
          <w:rStyle w:val="ind"/>
        </w:rPr>
      </w:pPr>
      <w:r>
        <w:rPr>
          <w:rStyle w:val="ind"/>
        </w:rPr>
        <w:t>Kreider, however, claims that ‘dispensationalism is not a theological system … in the same way that Calvinism, Lutheranism, Arminianism and other theological traditions are systematic’.</w:t>
      </w:r>
      <w:r>
        <w:rPr>
          <w:rStyle w:val="EndnoteReference"/>
        </w:rPr>
        <w:endnoteReference w:id="57"/>
      </w:r>
      <w:r>
        <w:rPr>
          <w:rStyle w:val="ind"/>
        </w:rPr>
        <w:t xml:space="preserve">  Blaising and Darrell Bock, who, like Kreider, are progressive dispensationalists, view dispensationalism as ‘a tradition within American Evangelicalism, sharing common features of evangelical orthodoxy’.  They recognise that, although the dispensationalist tradition began in Darbyite dispensationalism and Plymouth Brethrenism outside the United States, ‘much of its tradition has taken shape as a North American theology’.</w:t>
      </w:r>
      <w:r>
        <w:rPr>
          <w:rStyle w:val="EndnoteReference"/>
        </w:rPr>
        <w:endnoteReference w:id="58"/>
      </w:r>
      <w:r>
        <w:rPr>
          <w:rStyle w:val="ind"/>
        </w:rPr>
        <w:t xml:space="preserve">  George Marsden lists dispensational premillennialism as one of four ‘important emphases’ which ‘came to characterise fundamentalism’ by the end of the 1870s.</w:t>
      </w:r>
      <w:r>
        <w:rPr>
          <w:rStyle w:val="EndnoteReference"/>
        </w:rPr>
        <w:endnoteReference w:id="59"/>
      </w:r>
      <w:r>
        <w:rPr>
          <w:rStyle w:val="ind"/>
        </w:rPr>
        <w:t xml:space="preserve">  Sweetnam regards dispensationalism as ‘a subset of Evangelicalism, sharing its roots, values and most characteristic features’.  For him, it is thus ‘important to make Evangelicalism fundamental to our definition of Dispensationalism’.</w:t>
      </w:r>
      <w:r>
        <w:rPr>
          <w:rStyle w:val="EndnoteReference"/>
        </w:rPr>
        <w:endnoteReference w:id="60"/>
      </w:r>
    </w:p>
    <w:p w:rsidR="00935C95" w:rsidRPr="00AC214B" w:rsidRDefault="00935C95" w:rsidP="00935C95">
      <w:pPr>
        <w:spacing w:after="120" w:line="360" w:lineRule="auto"/>
        <w:jc w:val="both"/>
        <w:rPr>
          <w:rStyle w:val="ind"/>
          <w:b/>
          <w:i/>
        </w:rPr>
      </w:pPr>
      <w:r>
        <w:rPr>
          <w:rStyle w:val="ind"/>
          <w:b/>
          <w:i/>
        </w:rPr>
        <w:t xml:space="preserve">b) </w:t>
      </w:r>
      <w:r w:rsidRPr="00AC214B">
        <w:rPr>
          <w:rStyle w:val="ind"/>
          <w:b/>
          <w:i/>
        </w:rPr>
        <w:t xml:space="preserve"> A Method of Biblical Interpretation</w:t>
      </w:r>
    </w:p>
    <w:p w:rsidR="00935C95" w:rsidRDefault="00935C95" w:rsidP="00935C95">
      <w:pPr>
        <w:spacing w:after="120" w:line="360" w:lineRule="auto"/>
        <w:jc w:val="both"/>
        <w:rPr>
          <w:rStyle w:val="ind"/>
        </w:rPr>
      </w:pPr>
      <w:r>
        <w:rPr>
          <w:rStyle w:val="ind"/>
        </w:rPr>
        <w:t>Dispensationalism is also sometimes defined as a method of biblical interpretation, particularly of prophetic material.  Weber describes it as ‘a particular approach to interpreting the Bible which first appeared in Great Britain in the 1830s’.</w:t>
      </w:r>
      <w:r>
        <w:rPr>
          <w:rStyle w:val="EndnoteReference"/>
        </w:rPr>
        <w:endnoteReference w:id="61"/>
      </w:r>
      <w:r>
        <w:rPr>
          <w:rStyle w:val="ind"/>
        </w:rPr>
        <w:t xml:space="preserve">  Ryrie calls it ‘a system of interpretation’.</w:t>
      </w:r>
      <w:r>
        <w:rPr>
          <w:rStyle w:val="EndnoteReference"/>
        </w:rPr>
        <w:endnoteReference w:id="62"/>
      </w:r>
      <w:r>
        <w:rPr>
          <w:rStyle w:val="ind"/>
        </w:rPr>
        <w:t xml:space="preserve">  Karleen states that ‘for some, dispensationalism is foolishness.  But for others, it is a tremendous help in understanding the Bible.’  It is ‘really an approach to the Bible rather than a system of theology’.  Working on the basis of the tenets of </w:t>
      </w:r>
      <w:r>
        <w:rPr>
          <w:rStyle w:val="ind"/>
        </w:rPr>
        <w:lastRenderedPageBreak/>
        <w:t>historic and orthodox faith, it ‘attempts to allow the Bible to open itself to the readers’.</w:t>
      </w:r>
      <w:r>
        <w:rPr>
          <w:rStyle w:val="EndnoteReference"/>
        </w:rPr>
        <w:endnoteReference w:id="63"/>
      </w:r>
      <w:r>
        <w:rPr>
          <w:rStyle w:val="ind"/>
        </w:rPr>
        <w:t xml:space="preserve">  Williams terms it ‘a hermeneutical methodology’</w:t>
      </w:r>
      <w:r>
        <w:rPr>
          <w:rStyle w:val="EndnoteReference"/>
        </w:rPr>
        <w:endnoteReference w:id="64"/>
      </w:r>
      <w:r>
        <w:rPr>
          <w:rStyle w:val="ind"/>
        </w:rPr>
        <w:t xml:space="preserve"> but Kreider emphasises that dispensationalism is not ‘a hermeneutical approach which is imposed upon the Scriptures’ but ‘a way of reading the Bible that can be supported by the Bible itself’.</w:t>
      </w:r>
      <w:r>
        <w:rPr>
          <w:rStyle w:val="EndnoteReference"/>
        </w:rPr>
        <w:endnoteReference w:id="65"/>
      </w:r>
      <w:r>
        <w:rPr>
          <w:rStyle w:val="ind"/>
        </w:rPr>
        <w:t xml:space="preserve">  Kraus states that ‘dispensationalists claim … to be Biblicists’ and ‘are confident that their teaching are evident even on the surface of the Scripture’.</w:t>
      </w:r>
      <w:r>
        <w:rPr>
          <w:rStyle w:val="EndnoteReference"/>
        </w:rPr>
        <w:endnoteReference w:id="66"/>
      </w:r>
      <w:r>
        <w:rPr>
          <w:rStyle w:val="ind"/>
        </w:rPr>
        <w:t xml:space="preserve">  According to Blaising, dispensationalism has been known as ‘a Bible exposition movement’ since its early days in the Brethren movement, through its exposition in the </w:t>
      </w:r>
      <w:r w:rsidRPr="00BC58EA">
        <w:rPr>
          <w:rStyle w:val="ind"/>
          <w:i/>
        </w:rPr>
        <w:t>Scofield Reference Bible</w:t>
      </w:r>
      <w:r>
        <w:rPr>
          <w:rStyle w:val="ind"/>
        </w:rPr>
        <w:t>, and its promulgation by Bible conferences and Bible institutes, colleges and seminaries, and currently in churches and parachurch movements.</w:t>
      </w:r>
      <w:r>
        <w:rPr>
          <w:rStyle w:val="EndnoteReference"/>
        </w:rPr>
        <w:endnoteReference w:id="67"/>
      </w:r>
      <w:r>
        <w:rPr>
          <w:rStyle w:val="ind"/>
        </w:rPr>
        <w:t xml:space="preserve">  Kreider asserts that dispensationalism is ‘a biblical theology’, which is ‘rooted in the teaching of the Scriptures and claims to be a way of reading the Scripture that is taught therein’.</w:t>
      </w:r>
      <w:r>
        <w:rPr>
          <w:rStyle w:val="EndnoteReference"/>
        </w:rPr>
        <w:endnoteReference w:id="68"/>
      </w:r>
    </w:p>
    <w:p w:rsidR="00935C95" w:rsidRPr="00AC214B" w:rsidRDefault="00935C95" w:rsidP="00935C95">
      <w:pPr>
        <w:spacing w:after="120" w:line="360" w:lineRule="auto"/>
        <w:jc w:val="both"/>
        <w:rPr>
          <w:rStyle w:val="ind"/>
          <w:b/>
          <w:i/>
        </w:rPr>
      </w:pPr>
      <w:r>
        <w:rPr>
          <w:rStyle w:val="ind"/>
          <w:b/>
          <w:i/>
        </w:rPr>
        <w:t>c)</w:t>
      </w:r>
      <w:r w:rsidRPr="00AC214B">
        <w:rPr>
          <w:rStyle w:val="ind"/>
          <w:b/>
          <w:i/>
        </w:rPr>
        <w:t xml:space="preserve">  A Concept of the Divine Purpose for the World</w:t>
      </w:r>
    </w:p>
    <w:p w:rsidR="00935C95" w:rsidRDefault="00935C95" w:rsidP="00935C95">
      <w:pPr>
        <w:spacing w:after="120" w:line="360" w:lineRule="auto"/>
        <w:jc w:val="both"/>
        <w:rPr>
          <w:rStyle w:val="ind"/>
        </w:rPr>
      </w:pPr>
      <w:r>
        <w:rPr>
          <w:rStyle w:val="ind"/>
        </w:rPr>
        <w:t>D</w:t>
      </w:r>
      <w:r w:rsidRPr="0008148B">
        <w:rPr>
          <w:rStyle w:val="ind"/>
        </w:rPr>
        <w:t xml:space="preserve">ispensationalism </w:t>
      </w:r>
      <w:r>
        <w:rPr>
          <w:rStyle w:val="ind"/>
        </w:rPr>
        <w:t>also includes a concept regarding</w:t>
      </w:r>
      <w:r w:rsidRPr="0008148B">
        <w:rPr>
          <w:rStyle w:val="ind"/>
        </w:rPr>
        <w:t xml:space="preserve"> God’s purpose for the world.  Williams </w:t>
      </w:r>
      <w:r>
        <w:rPr>
          <w:rStyle w:val="ind"/>
        </w:rPr>
        <w:t xml:space="preserve">refers to it as </w:t>
      </w:r>
      <w:r w:rsidRPr="0008148B">
        <w:rPr>
          <w:rStyle w:val="ind"/>
        </w:rPr>
        <w:t>‘</w:t>
      </w:r>
      <w:r>
        <w:rPr>
          <w:rStyle w:val="ind"/>
        </w:rPr>
        <w:t>a philosophy of history, a way of understanding how God relates to and manifests his will in human affairs’.</w:t>
      </w:r>
      <w:r>
        <w:rPr>
          <w:rStyle w:val="EndnoteReference"/>
        </w:rPr>
        <w:endnoteReference w:id="69"/>
      </w:r>
      <w:r>
        <w:rPr>
          <w:rStyle w:val="ind"/>
        </w:rPr>
        <w:t xml:space="preserve"> </w:t>
      </w:r>
      <w:r w:rsidRPr="0008148B">
        <w:rPr>
          <w:rStyle w:val="ind"/>
        </w:rPr>
        <w:t xml:space="preserve"> Weber calls it ‘an intricate system that tried to explain the stages in God’s redemptive plan for the universe’.</w:t>
      </w:r>
      <w:r>
        <w:rPr>
          <w:rStyle w:val="EndnoteReference"/>
        </w:rPr>
        <w:endnoteReference w:id="70"/>
      </w:r>
      <w:r>
        <w:rPr>
          <w:rStyle w:val="ind"/>
        </w:rPr>
        <w:t xml:space="preserve">  Blaising states that dispensationalism ‘refers to a distinctive way in which God manages or arranges the relationship of human beings to </w:t>
      </w:r>
      <w:proofErr w:type="gramStart"/>
      <w:r>
        <w:rPr>
          <w:rStyle w:val="ind"/>
        </w:rPr>
        <w:t>Himself</w:t>
      </w:r>
      <w:proofErr w:type="gramEnd"/>
      <w:r>
        <w:rPr>
          <w:rStyle w:val="ind"/>
        </w:rPr>
        <w:t>’.  Dispensationalists hold that dispensations are ‘revealed in Scripture, in biblical history and in prophecy’.</w:t>
      </w:r>
      <w:r>
        <w:rPr>
          <w:rStyle w:val="EndnoteReference"/>
        </w:rPr>
        <w:endnoteReference w:id="71"/>
      </w:r>
      <w:r>
        <w:rPr>
          <w:rStyle w:val="ind"/>
        </w:rPr>
        <w:t xml:space="preserve">  Wilkinson states that Darby understood God’s dealings with humankind in ‘clearly defined time periods’ known as ‘dispensations or economies’.</w:t>
      </w:r>
      <w:r>
        <w:rPr>
          <w:rStyle w:val="EndnoteReference"/>
        </w:rPr>
        <w:endnoteReference w:id="72"/>
      </w:r>
      <w:r>
        <w:rPr>
          <w:rStyle w:val="ind"/>
        </w:rPr>
        <w:t xml:space="preserve">  Kraus describes dispensations as periods of time which can be clearly distinguished from other periods by the different methods which God uses with humankind.  These are ‘stages in God’s developing plan of the ages’.</w:t>
      </w:r>
      <w:r>
        <w:rPr>
          <w:rStyle w:val="EndnoteReference"/>
        </w:rPr>
        <w:endnoteReference w:id="73"/>
      </w:r>
      <w:r>
        <w:rPr>
          <w:rStyle w:val="ind"/>
        </w:rPr>
        <w:t xml:space="preserve">  Kraus also notes that Chafer, the first to have written a Systematic Theology in which ‘dispensational distinctions have been employed as a unique structural and interpretative principle’, assumed that ‘his dispensational framework [was] identical with the Biblical structure and that the message of the Bible, therefore, [could not] be properly understood unless … viewed dispensationally’.</w:t>
      </w:r>
      <w:r>
        <w:rPr>
          <w:rStyle w:val="EndnoteReference"/>
        </w:rPr>
        <w:endnoteReference w:id="74"/>
      </w:r>
    </w:p>
    <w:p w:rsidR="00935C95" w:rsidRPr="00AC214B" w:rsidRDefault="00935C95" w:rsidP="00935C95">
      <w:pPr>
        <w:spacing w:after="120" w:line="360" w:lineRule="auto"/>
        <w:jc w:val="both"/>
        <w:rPr>
          <w:rStyle w:val="ind"/>
          <w:b/>
          <w:i/>
        </w:rPr>
      </w:pPr>
      <w:r>
        <w:rPr>
          <w:rStyle w:val="ind"/>
          <w:b/>
          <w:i/>
        </w:rPr>
        <w:t>d)</w:t>
      </w:r>
      <w:r w:rsidRPr="00AC214B">
        <w:rPr>
          <w:rStyle w:val="ind"/>
          <w:b/>
          <w:i/>
        </w:rPr>
        <w:t xml:space="preserve">  An Eschatological System</w:t>
      </w:r>
    </w:p>
    <w:p w:rsidR="00935C95" w:rsidRDefault="00935C95" w:rsidP="00935C95">
      <w:pPr>
        <w:spacing w:after="120" w:line="360" w:lineRule="auto"/>
        <w:jc w:val="both"/>
        <w:rPr>
          <w:rStyle w:val="ind"/>
        </w:rPr>
      </w:pPr>
      <w:r>
        <w:rPr>
          <w:rStyle w:val="ind"/>
        </w:rPr>
        <w:t>Several authors refer to dispensationalism in terms of its eschatological aspects.  Weber gives one definition of dispensationalism as ‘one version of Christian eschatology, the study of last things’</w:t>
      </w:r>
      <w:r>
        <w:rPr>
          <w:rStyle w:val="EndnoteReference"/>
        </w:rPr>
        <w:endnoteReference w:id="75"/>
      </w:r>
      <w:r>
        <w:rPr>
          <w:rStyle w:val="ind"/>
        </w:rPr>
        <w:t xml:space="preserve"> and William Watson places it under the heading, ‘Schools of Eschatology’.</w:t>
      </w:r>
      <w:r>
        <w:rPr>
          <w:rStyle w:val="EndnoteReference"/>
        </w:rPr>
        <w:endnoteReference w:id="76"/>
      </w:r>
      <w:r>
        <w:rPr>
          <w:rStyle w:val="ind"/>
        </w:rPr>
        <w:t xml:space="preserve">  Ryrie claims that dispensationalism’s ‘primary distinctions have to do with eschatology’.</w:t>
      </w:r>
      <w:r>
        <w:rPr>
          <w:rStyle w:val="EndnoteReference"/>
        </w:rPr>
        <w:endnoteReference w:id="77"/>
      </w:r>
      <w:r>
        <w:rPr>
          <w:rStyle w:val="ind"/>
        </w:rPr>
        <w:t xml:space="preserve">  However, he also states that ‘dispensational premillennialism not only includes a description of the future, but also involves the meaning and significance of the whole Bible’.</w:t>
      </w:r>
      <w:r>
        <w:rPr>
          <w:rStyle w:val="EndnoteReference"/>
        </w:rPr>
        <w:endnoteReference w:id="78"/>
      </w:r>
      <w:r>
        <w:rPr>
          <w:rStyle w:val="ind"/>
        </w:rPr>
        <w:t xml:space="preserve">  This is echoed by Crutchfield, who asserts that dispensationalism is ‘intimately involved in the study of eschatology’, but that this does not merely concern Revelation 20; it concerns interpretation of the whole Bible.</w:t>
      </w:r>
      <w:r>
        <w:rPr>
          <w:rStyle w:val="EndnoteReference"/>
        </w:rPr>
        <w:endnoteReference w:id="79"/>
      </w:r>
      <w:r>
        <w:rPr>
          <w:rStyle w:val="ind"/>
        </w:rPr>
        <w:t xml:space="preserve">    </w:t>
      </w:r>
    </w:p>
    <w:p w:rsidR="00935C95" w:rsidRDefault="00935C95" w:rsidP="00935C95">
      <w:pPr>
        <w:spacing w:after="120" w:line="360" w:lineRule="auto"/>
        <w:ind w:firstLine="567"/>
        <w:jc w:val="both"/>
        <w:rPr>
          <w:rStyle w:val="ind"/>
        </w:rPr>
      </w:pPr>
      <w:r>
        <w:rPr>
          <w:rStyle w:val="ind"/>
        </w:rPr>
        <w:lastRenderedPageBreak/>
        <w:t>Kreider states that ‘dispensationalism is not primarily an eschatological position’.  He allows that dispensationalism is ‘rooted in premillennial eschatology’ but states that, since some premillennialists are not dispensational, it is inaccurate to equate the two systems.  Furthermore, ‘there is much more to dispensationalism than a view on the end times’.</w:t>
      </w:r>
      <w:r>
        <w:rPr>
          <w:rStyle w:val="EndnoteReference"/>
        </w:rPr>
        <w:endnoteReference w:id="80"/>
      </w:r>
      <w:r>
        <w:rPr>
          <w:rStyle w:val="ind"/>
        </w:rPr>
        <w:t xml:space="preserve">  Although </w:t>
      </w:r>
      <w:r w:rsidRPr="009F5C2F">
        <w:rPr>
          <w:rStyle w:val="ind"/>
        </w:rPr>
        <w:t>Blaising states that ‘the dispensations do not simply follow or replace one another but actually progress forward to a future eschatological goal’,</w:t>
      </w:r>
      <w:r>
        <w:rPr>
          <w:rStyle w:val="EndnoteReference"/>
        </w:rPr>
        <w:endnoteReference w:id="81"/>
      </w:r>
      <w:r w:rsidRPr="009F5C2F">
        <w:rPr>
          <w:rStyle w:val="ind"/>
        </w:rPr>
        <w:t xml:space="preserve"> he </w:t>
      </w:r>
      <w:r>
        <w:rPr>
          <w:rStyle w:val="ind"/>
        </w:rPr>
        <w:t>and Bock note that one of the features of Progressive Dispensationalism is ‘a proclivity for testing and altering traditional forms of theology for a more accurate conformity with Scripture (primarily in areas of dispensations and eschatology)’.</w:t>
      </w:r>
      <w:r>
        <w:rPr>
          <w:rStyle w:val="EndnoteReference"/>
        </w:rPr>
        <w:endnoteReference w:id="82"/>
      </w:r>
      <w:r>
        <w:rPr>
          <w:rStyle w:val="ind"/>
        </w:rPr>
        <w:t xml:space="preserve">  It is notable again in this context that Kreider, Blaising and Bock are all dispensationalists, but from the progressive tradition.</w:t>
      </w:r>
    </w:p>
    <w:p w:rsidR="00935C95" w:rsidRPr="00284448" w:rsidRDefault="00935C95" w:rsidP="00935C95">
      <w:pPr>
        <w:spacing w:after="120" w:line="360" w:lineRule="auto"/>
        <w:jc w:val="both"/>
        <w:rPr>
          <w:rStyle w:val="ind"/>
          <w:b/>
          <w:sz w:val="24"/>
        </w:rPr>
      </w:pPr>
      <w:proofErr w:type="gramStart"/>
      <w:r w:rsidRPr="00284448">
        <w:rPr>
          <w:rStyle w:val="ind"/>
          <w:b/>
          <w:sz w:val="24"/>
        </w:rPr>
        <w:t>3  Conclusion</w:t>
      </w:r>
      <w:proofErr w:type="gramEnd"/>
    </w:p>
    <w:p w:rsidR="00935C95" w:rsidRDefault="00935C95" w:rsidP="00935C95">
      <w:pPr>
        <w:spacing w:after="120" w:line="360" w:lineRule="auto"/>
        <w:jc w:val="both"/>
        <w:rPr>
          <w:rStyle w:val="ind"/>
        </w:rPr>
      </w:pPr>
      <w:r>
        <w:rPr>
          <w:rStyle w:val="ind"/>
        </w:rPr>
        <w:t>Dispensationalism contains characteristics of all four elements named above but it does not consist solely of any one of them.  In one sense it is a system of theology, though Kreider is justified in his opinion that it is not a theological system in the same sense as Calvinism, Lutheranism or Arianism and, since it is interdenominational, not a cult or sect.</w:t>
      </w:r>
      <w:r>
        <w:rPr>
          <w:rStyle w:val="EndnoteReference"/>
        </w:rPr>
        <w:endnoteReference w:id="83"/>
      </w:r>
      <w:r>
        <w:rPr>
          <w:rStyle w:val="ind"/>
        </w:rPr>
        <w:t xml:space="preserve">  Ernest Sandeen states that Darby believed that the Church could not be identified with any denominational and bureaucratic structures and must be a purely spiritual fellowship.  Having found it necessary, like the Plymouth Brethren, to disassociate himself from the established church, Darby did not appreciate that the disestablished American church had not shared that experience.</w:t>
      </w:r>
      <w:r>
        <w:rPr>
          <w:rStyle w:val="EndnoteReference"/>
        </w:rPr>
        <w:endnoteReference w:id="84"/>
      </w:r>
      <w:r>
        <w:rPr>
          <w:rStyle w:val="ind"/>
        </w:rPr>
        <w:t xml:space="preserve">  The tenth tenet of the 1878 “Niagara Creed”, product of the Prophecy and Bible Conferences,</w:t>
      </w:r>
      <w:r>
        <w:rPr>
          <w:rStyle w:val="EndnoteReference"/>
        </w:rPr>
        <w:endnoteReference w:id="85"/>
      </w:r>
      <w:r>
        <w:rPr>
          <w:rStyle w:val="ind"/>
        </w:rPr>
        <w:t xml:space="preserve"> as quoted by Walter Unger and by Sandeen,</w:t>
      </w:r>
      <w:r w:rsidRPr="009F1837">
        <w:rPr>
          <w:rStyle w:val="FootnoteReference"/>
        </w:rPr>
        <w:t xml:space="preserve"> </w:t>
      </w:r>
      <w:r>
        <w:rPr>
          <w:rStyle w:val="ind"/>
        </w:rPr>
        <w:t>states that adherents believed that the Church, ‘as members one of another’ was ‘responsible to keep the unity of the Spirit in the bond of peace, rising above all sectarian prejudices and denominational bigotry’.</w:t>
      </w:r>
      <w:r>
        <w:rPr>
          <w:rStyle w:val="EndnoteReference"/>
        </w:rPr>
        <w:endnoteReference w:id="86"/>
      </w:r>
      <w:r>
        <w:rPr>
          <w:rStyle w:val="ind"/>
        </w:rPr>
        <w:t xml:space="preserve">  Kraus notes that the leaders of the prophecy and Bible conferences of the 1870s – </w:t>
      </w:r>
      <w:r w:rsidRPr="003F695C">
        <w:rPr>
          <w:rStyle w:val="ind"/>
        </w:rPr>
        <w:t xml:space="preserve">1890s </w:t>
      </w:r>
      <w:r>
        <w:rPr>
          <w:rStyle w:val="ind"/>
        </w:rPr>
        <w:t xml:space="preserve">were generally unwilling to break away from their denominations and ‘tried to adapt Darby’s dispensationalism - which had </w:t>
      </w:r>
      <w:r w:rsidRPr="007A162A">
        <w:rPr>
          <w:rStyle w:val="ind"/>
          <w:i/>
        </w:rPr>
        <w:t>anti</w:t>
      </w:r>
      <w:r>
        <w:rPr>
          <w:rStyle w:val="ind"/>
        </w:rPr>
        <w:t xml:space="preserve">denominationalism as a point of departure – to a </w:t>
      </w:r>
      <w:r w:rsidRPr="00C421A8">
        <w:rPr>
          <w:rStyle w:val="ind"/>
          <w:i/>
        </w:rPr>
        <w:t>non</w:t>
      </w:r>
      <w:r>
        <w:rPr>
          <w:rStyle w:val="ind"/>
        </w:rPr>
        <w:t xml:space="preserve">denominational or </w:t>
      </w:r>
      <w:r w:rsidRPr="00C421A8">
        <w:rPr>
          <w:rStyle w:val="ind"/>
          <w:i/>
        </w:rPr>
        <w:t>inter</w:t>
      </w:r>
      <w:r>
        <w:rPr>
          <w:rStyle w:val="ind"/>
        </w:rPr>
        <w:t>denominational philosophy’.</w:t>
      </w:r>
      <w:r>
        <w:rPr>
          <w:rStyle w:val="EndnoteReference"/>
        </w:rPr>
        <w:endnoteReference w:id="87"/>
      </w:r>
      <w:r>
        <w:rPr>
          <w:rStyle w:val="ind"/>
        </w:rPr>
        <w:t xml:space="preserve">  N</w:t>
      </w:r>
      <w:r w:rsidRPr="00C91448">
        <w:rPr>
          <w:rStyle w:val="ind"/>
        </w:rPr>
        <w:t xml:space="preserve">evertheless, dispensationalism </w:t>
      </w:r>
      <w:r>
        <w:rPr>
          <w:rStyle w:val="ind"/>
        </w:rPr>
        <w:t>does have</w:t>
      </w:r>
      <w:r w:rsidRPr="00C91448">
        <w:rPr>
          <w:rStyle w:val="ind"/>
        </w:rPr>
        <w:t xml:space="preserve"> its own set of tenets</w:t>
      </w:r>
      <w:r>
        <w:rPr>
          <w:rStyle w:val="ind"/>
        </w:rPr>
        <w:t>,</w:t>
      </w:r>
      <w:r w:rsidRPr="00C91448">
        <w:rPr>
          <w:rStyle w:val="ind"/>
        </w:rPr>
        <w:t xml:space="preserve"> some of which are not shared by all evangelicals.  These could be said to constitute a distinct system of theology because dispensationalism combines belief</w:t>
      </w:r>
      <w:r>
        <w:rPr>
          <w:rStyle w:val="ind"/>
        </w:rPr>
        <w:t>s which are shared by many evangelical Christians</w:t>
      </w:r>
      <w:r w:rsidRPr="00C91448">
        <w:rPr>
          <w:rStyle w:val="ind"/>
        </w:rPr>
        <w:t xml:space="preserve"> with its own particular tenets to create something unique.  </w:t>
      </w:r>
    </w:p>
    <w:p w:rsidR="00935C95" w:rsidRPr="00E9285E" w:rsidRDefault="00935C95" w:rsidP="00935C95">
      <w:pPr>
        <w:spacing w:after="120" w:line="360" w:lineRule="auto"/>
        <w:ind w:firstLine="567"/>
        <w:jc w:val="both"/>
        <w:rPr>
          <w:rStyle w:val="ind"/>
        </w:rPr>
      </w:pPr>
      <w:r>
        <w:rPr>
          <w:rStyle w:val="ind"/>
        </w:rPr>
        <w:t>It is also true that biblical interpretation is at the heart of dispensationalism as it is central to all systems of Christian belief.  Ryrie gives the hermeneutic of literal interpretation of the Bible as the second ‘</w:t>
      </w:r>
      <w:r w:rsidRPr="002B6348">
        <w:rPr>
          <w:rStyle w:val="ind"/>
          <w:i/>
        </w:rPr>
        <w:t>sine qua non</w:t>
      </w:r>
      <w:r>
        <w:rPr>
          <w:rStyle w:val="ind"/>
        </w:rPr>
        <w:t>’ of dispensationalism, making ‘literal’ synonymous with ‘normal’ or ‘plain’.</w:t>
      </w:r>
      <w:r>
        <w:rPr>
          <w:rStyle w:val="EndnoteReference"/>
        </w:rPr>
        <w:endnoteReference w:id="88"/>
      </w:r>
      <w:r>
        <w:rPr>
          <w:rStyle w:val="ind"/>
        </w:rPr>
        <w:t xml:space="preserve">  </w:t>
      </w:r>
      <w:r w:rsidRPr="00E9285E">
        <w:rPr>
          <w:rStyle w:val="ind"/>
        </w:rPr>
        <w:t xml:space="preserve">This is discussed </w:t>
      </w:r>
      <w:r>
        <w:rPr>
          <w:rStyle w:val="ind"/>
        </w:rPr>
        <w:t>in C</w:t>
      </w:r>
      <w:r w:rsidRPr="00E9285E">
        <w:rPr>
          <w:rStyle w:val="ind"/>
        </w:rPr>
        <w:t>hapter 1.</w:t>
      </w:r>
    </w:p>
    <w:p w:rsidR="00935C95" w:rsidRDefault="00935C95" w:rsidP="00935C95">
      <w:pPr>
        <w:spacing w:after="120" w:line="360" w:lineRule="auto"/>
        <w:ind w:firstLine="567"/>
        <w:jc w:val="both"/>
        <w:rPr>
          <w:rStyle w:val="ind"/>
        </w:rPr>
      </w:pPr>
      <w:r>
        <w:rPr>
          <w:rStyle w:val="ind"/>
        </w:rPr>
        <w:t xml:space="preserve">Eschatology clearly plays a major role in dispensationalism.  Literal interpretation supports the concept of the eternal separation of Israel and the Church, which is at the heart of dispensationalism and its view of the future.  This includes the premillennial return of Christ in two stages: the secret rapture of the </w:t>
      </w:r>
      <w:r>
        <w:rPr>
          <w:rStyle w:val="ind"/>
        </w:rPr>
        <w:lastRenderedPageBreak/>
        <w:t>Church, followed by the great tribulation, the visible second coming of Christ and the establishment of the millennial kingdom.</w:t>
      </w:r>
      <w:r>
        <w:rPr>
          <w:rStyle w:val="EndnoteReference"/>
        </w:rPr>
        <w:endnoteReference w:id="89"/>
      </w:r>
      <w:r>
        <w:rPr>
          <w:rStyle w:val="ind"/>
        </w:rPr>
        <w:t xml:space="preserve">  </w:t>
      </w:r>
    </w:p>
    <w:p w:rsidR="00935C95" w:rsidRDefault="00935C95" w:rsidP="00935C95">
      <w:pPr>
        <w:spacing w:after="120" w:line="360" w:lineRule="auto"/>
        <w:ind w:firstLine="567"/>
        <w:jc w:val="both"/>
        <w:rPr>
          <w:rStyle w:val="ind"/>
        </w:rPr>
      </w:pPr>
      <w:r>
        <w:rPr>
          <w:rStyle w:val="ind"/>
        </w:rPr>
        <w:t>In summary, dispensationalism,</w:t>
      </w:r>
      <w:r w:rsidRPr="00B75143">
        <w:rPr>
          <w:rStyle w:val="ind"/>
        </w:rPr>
        <w:t xml:space="preserve"> </w:t>
      </w:r>
      <w:r>
        <w:rPr>
          <w:rStyle w:val="ind"/>
        </w:rPr>
        <w:t>as defined by various scholars, embraces a mixture of the four components discussed above but it is much more than any single one of them.  Probably ‘system of theology’ best covers all these characteristics but any definition of dispensationalism is unsatisfactory without reference to its constituent elements, which are part of the definition.  The treatment of these will be discussed in the Introduction.</w:t>
      </w:r>
    </w:p>
    <w:p w:rsidR="00935C95" w:rsidRDefault="00935C95" w:rsidP="00935C95">
      <w:pPr>
        <w:spacing w:after="120" w:line="360" w:lineRule="auto"/>
        <w:ind w:firstLine="567"/>
        <w:jc w:val="both"/>
        <w:rPr>
          <w:rStyle w:val="ind"/>
        </w:rPr>
      </w:pPr>
      <w:r>
        <w:rPr>
          <w:rStyle w:val="ind"/>
        </w:rPr>
        <w:t>I now examine theories concerning the origins of dispensationalism.</w:t>
      </w:r>
    </w:p>
    <w:p w:rsidR="00935C95" w:rsidRPr="00284448" w:rsidRDefault="00935C95" w:rsidP="00935C95">
      <w:pPr>
        <w:spacing w:after="120" w:line="360" w:lineRule="auto"/>
        <w:ind w:right="-45"/>
        <w:jc w:val="both"/>
        <w:rPr>
          <w:rStyle w:val="ind"/>
          <w:b/>
          <w:sz w:val="24"/>
        </w:rPr>
      </w:pPr>
      <w:bookmarkStart w:id="4" w:name="Origins"/>
      <w:bookmarkEnd w:id="4"/>
      <w:r w:rsidRPr="00284448">
        <w:rPr>
          <w:rStyle w:val="ind"/>
          <w:b/>
          <w:sz w:val="24"/>
        </w:rPr>
        <w:t>Origins of Dispensationalism</w:t>
      </w:r>
    </w:p>
    <w:p w:rsidR="00935C95" w:rsidRDefault="00935C95" w:rsidP="00935C95">
      <w:pPr>
        <w:spacing w:after="120" w:line="360" w:lineRule="auto"/>
        <w:jc w:val="both"/>
        <w:rPr>
          <w:rStyle w:val="ind"/>
        </w:rPr>
      </w:pPr>
      <w:r>
        <w:rPr>
          <w:rStyle w:val="ind"/>
        </w:rPr>
        <w:t>Scholars differ as to whether dispensationalism originated with Darby.  Again the argument depends upon the definition of dispensationalism which is adopted.  Daniel Fuller suggests that confusion is caused because the term, ‘dispensationalism’ is used in two ways; he asserts that ‘Darby did largely formulate the system of dispensationalism that is based on the complete distinction between Israel and the Church.  But he did not originate the “system” of dispensationalism that has to do simply with dividing redemptive history into several periods.’</w:t>
      </w:r>
      <w:r>
        <w:rPr>
          <w:rStyle w:val="EndnoteReference"/>
        </w:rPr>
        <w:endnoteReference w:id="90"/>
      </w:r>
      <w:r>
        <w:rPr>
          <w:rStyle w:val="ind"/>
        </w:rPr>
        <w:t xml:space="preserve">  As stated above, John Feinberg remarks upon the confusion caused by defining dispensationalism purely in terms of dispensations.</w:t>
      </w:r>
      <w:r>
        <w:rPr>
          <w:rStyle w:val="EndnoteReference"/>
        </w:rPr>
        <w:endnoteReference w:id="91"/>
      </w:r>
      <w:r>
        <w:rPr>
          <w:rStyle w:val="ind"/>
        </w:rPr>
        <w:t xml:space="preserve">  Henzel asserts that ‘a shell game is being played with the word “dispensation”: sometimes it’s made to function as Dispensationalism’s essence, other times it isn’t’.  For instance, Arnold Ehlert ‘included authors from centuries prior to Darby who clearly didn’t hold to any of the essentials of Dispensationalism as listed by Ryrie’.</w:t>
      </w:r>
      <w:r>
        <w:rPr>
          <w:rStyle w:val="EndnoteReference"/>
        </w:rPr>
        <w:endnoteReference w:id="92"/>
      </w:r>
      <w:r>
        <w:rPr>
          <w:rStyle w:val="ind"/>
        </w:rPr>
        <w:t xml:space="preserve">  Henzel consequently finds Ryrie’s reference to Ehlert’s work as “excellent” rather puzzling.</w:t>
      </w:r>
      <w:r>
        <w:rPr>
          <w:rStyle w:val="EndnoteReference"/>
        </w:rPr>
        <w:endnoteReference w:id="93"/>
      </w:r>
      <w:r>
        <w:rPr>
          <w:rStyle w:val="ind"/>
        </w:rPr>
        <w:t xml:space="preserve">  John Gerstner comments that ‘unfortunately, Ehlert views anyone who used the term dispensation as a dispensationalist’; this renders his work ‘almost worthless as a prior bibliography of Dispensationalism’.</w:t>
      </w:r>
      <w:r>
        <w:rPr>
          <w:rStyle w:val="EndnoteReference"/>
        </w:rPr>
        <w:endnoteReference w:id="94"/>
      </w:r>
      <w:r>
        <w:rPr>
          <w:rStyle w:val="ind"/>
        </w:rPr>
        <w:t xml:space="preserve">  As Poythress states, ‘virtually all ages of the church and all branches of the church have believed that there are distinctive dispensations in God’s government of the world.  The recognition of distinction between epochs is by no means unique to D-theologians’.</w:t>
      </w:r>
      <w:r>
        <w:rPr>
          <w:rStyle w:val="EndnoteReference"/>
        </w:rPr>
        <w:endnoteReference w:id="95"/>
      </w:r>
      <w:r>
        <w:rPr>
          <w:rStyle w:val="ind"/>
        </w:rPr>
        <w:t xml:space="preserve">  David MacLeod declares that </w:t>
      </w:r>
    </w:p>
    <w:p w:rsidR="00935C95" w:rsidRDefault="00935C95" w:rsidP="00935C95">
      <w:pPr>
        <w:spacing w:after="120" w:line="240" w:lineRule="auto"/>
        <w:ind w:left="1134" w:right="1701"/>
        <w:jc w:val="both"/>
        <w:rPr>
          <w:rStyle w:val="ind"/>
        </w:rPr>
      </w:pPr>
      <w:r>
        <w:rPr>
          <w:rStyle w:val="ind"/>
        </w:rPr>
        <w:t>A dispensationalist’, “classic”, “essentialist” or “progressive”, holds certain core views that set him apart from other theologians (viz., premillennialism, the futurity of Daniel’s 70</w:t>
      </w:r>
      <w:r w:rsidRPr="00284448">
        <w:rPr>
          <w:rStyle w:val="ind"/>
          <w:vertAlign w:val="superscript"/>
        </w:rPr>
        <w:t>th</w:t>
      </w:r>
      <w:r>
        <w:rPr>
          <w:rStyle w:val="ind"/>
        </w:rPr>
        <w:t xml:space="preserve"> week, the abrogation of the Law at the Cross, the distinction between Israel and the church, and the future salvation of ethnic Israel).  This package of distinctives originated with Darby, and dispensationalists must concede this point to their opponents.</w:t>
      </w:r>
      <w:r w:rsidRPr="00284448">
        <w:rPr>
          <w:rStyle w:val="EndnoteReference"/>
          <w:rFonts w:cs="Arial"/>
          <w:w w:val="115"/>
        </w:rPr>
        <w:t xml:space="preserve"> </w:t>
      </w:r>
      <w:r>
        <w:rPr>
          <w:rStyle w:val="EndnoteReference"/>
          <w:rFonts w:cs="Arial"/>
          <w:w w:val="115"/>
        </w:rPr>
        <w:endnoteReference w:id="96"/>
      </w:r>
    </w:p>
    <w:p w:rsidR="00935C95" w:rsidRDefault="00935C95" w:rsidP="00935C95">
      <w:pPr>
        <w:spacing w:after="120" w:line="360" w:lineRule="auto"/>
        <w:ind w:firstLine="567"/>
        <w:jc w:val="both"/>
        <w:rPr>
          <w:rStyle w:val="ind"/>
        </w:rPr>
      </w:pPr>
      <w:r w:rsidRPr="009A6B07">
        <w:rPr>
          <w:rStyle w:val="ind"/>
          <w:rFonts w:cs="Arial"/>
        </w:rPr>
        <w:t>Ehlert</w:t>
      </w:r>
      <w:r>
        <w:rPr>
          <w:rStyle w:val="ind"/>
        </w:rPr>
        <w:t xml:space="preserve"> himself speaks of ‘modern dispensationalism’, stating that there are two possible inferences from this: ‘either … the doctrine of dispensationalism as such is modern, or … the particular type of dispensationalism styled “modern”: is quite different from ancient dispensationalism’.</w:t>
      </w:r>
      <w:r>
        <w:rPr>
          <w:rStyle w:val="EndnoteReference"/>
        </w:rPr>
        <w:endnoteReference w:id="97"/>
      </w:r>
      <w:r>
        <w:rPr>
          <w:rStyle w:val="ind"/>
        </w:rPr>
        <w:t xml:space="preserve">  The latter option would imply that ‘ancient dispensationalism’ did exist; several scholars hold to this view.  However, Ehlert </w:t>
      </w:r>
      <w:r>
        <w:rPr>
          <w:rStyle w:val="ind"/>
        </w:rPr>
        <w:lastRenderedPageBreak/>
        <w:t xml:space="preserve">comments that ‘so-called “modern dispensationalism” is usually dated from … Darby … and the Plymouth Brethren of </w:t>
      </w:r>
      <w:proofErr w:type="gramStart"/>
      <w:r>
        <w:rPr>
          <w:rStyle w:val="ind"/>
        </w:rPr>
        <w:t>England,</w:t>
      </w:r>
      <w:proofErr w:type="gramEnd"/>
      <w:r>
        <w:rPr>
          <w:rStyle w:val="ind"/>
        </w:rPr>
        <w:t xml:space="preserve"> or from … Scofield …, who popularized the doctrine in his preaching, teaching and Bible notes’.</w:t>
      </w:r>
      <w:r>
        <w:rPr>
          <w:rStyle w:val="EndnoteReference"/>
        </w:rPr>
        <w:endnoteReference w:id="98"/>
      </w:r>
      <w:r>
        <w:rPr>
          <w:rStyle w:val="ind"/>
        </w:rPr>
        <w:t xml:space="preserve">  </w:t>
      </w:r>
    </w:p>
    <w:p w:rsidR="00935C95" w:rsidRDefault="00935C95" w:rsidP="00935C95">
      <w:pPr>
        <w:spacing w:after="120" w:line="360" w:lineRule="auto"/>
        <w:ind w:firstLine="567"/>
        <w:jc w:val="both"/>
        <w:rPr>
          <w:rFonts w:cs="Times New Roman"/>
          <w:bCs/>
          <w:lang w:bidi="he-IL"/>
        </w:rPr>
      </w:pPr>
      <w:r>
        <w:rPr>
          <w:rFonts w:cs="Times New Roman"/>
          <w:bCs/>
          <w:lang w:bidi="he-IL"/>
        </w:rPr>
        <w:t>In their effort to prove the antiquity of the dispensational concept, some writers even attribute cognisance of the system of dispensations to a maxim from Augustine of Hippo (354-430 CE), whom Crutchfield dubs ‘the father of millennialism’.</w:t>
      </w:r>
      <w:r>
        <w:rPr>
          <w:rStyle w:val="EndnoteReference"/>
          <w:bCs/>
          <w:lang w:bidi="he-IL"/>
        </w:rPr>
        <w:endnoteReference w:id="99"/>
      </w:r>
      <w:r>
        <w:rPr>
          <w:rFonts w:cs="Times New Roman"/>
          <w:bCs/>
          <w:lang w:bidi="he-IL"/>
        </w:rPr>
        <w:t xml:space="preserve">  In his introduction to the 1909 edition of his </w:t>
      </w:r>
      <w:r w:rsidRPr="00A46DB0">
        <w:rPr>
          <w:rFonts w:cs="Times New Roman"/>
          <w:bCs/>
          <w:i/>
          <w:lang w:bidi="he-IL"/>
        </w:rPr>
        <w:t>Reference Bible</w:t>
      </w:r>
      <w:r>
        <w:rPr>
          <w:rFonts w:cs="Times New Roman"/>
          <w:bCs/>
          <w:lang w:bidi="he-IL"/>
        </w:rPr>
        <w:t xml:space="preserve">, repeated in </w:t>
      </w:r>
      <w:r w:rsidRPr="0016516F">
        <w:rPr>
          <w:rFonts w:cs="Times New Roman"/>
          <w:bCs/>
          <w:i/>
          <w:lang w:bidi="he-IL"/>
        </w:rPr>
        <w:t>SRB</w:t>
      </w:r>
      <w:r>
        <w:rPr>
          <w:rFonts w:cs="Times New Roman"/>
          <w:bCs/>
          <w:lang w:bidi="he-IL"/>
        </w:rPr>
        <w:t xml:space="preserve">, point x, Scofield writes, </w:t>
      </w:r>
      <w:r w:rsidRPr="00A46DB0">
        <w:t xml:space="preserve">‘The Dispensations are distinguished, exhibiting the majestic progressive order of the divine dealings of God with humanity, “the increasing purpose” which runs through and links together the ages from the beginning of the life of man to the end in eternity.  </w:t>
      </w:r>
      <w:r w:rsidRPr="001560F2">
        <w:rPr>
          <w:i/>
        </w:rPr>
        <w:t>Augustine said, “Distinguish the ages and the Scriptures harmonize</w:t>
      </w:r>
      <w:r w:rsidRPr="00A46DB0">
        <w:t>.’</w:t>
      </w:r>
      <w:r>
        <w:rPr>
          <w:rStyle w:val="EndnoteReference"/>
        </w:rPr>
        <w:endnoteReference w:id="100"/>
      </w:r>
      <w:r>
        <w:t xml:space="preserve"> </w:t>
      </w:r>
      <w:r>
        <w:rPr>
          <w:sz w:val="20"/>
        </w:rPr>
        <w:t xml:space="preserve"> </w:t>
      </w:r>
      <w:r>
        <w:rPr>
          <w:rFonts w:cs="Times New Roman"/>
          <w:bCs/>
          <w:lang w:bidi="he-IL"/>
        </w:rPr>
        <w:t xml:space="preserve">Scofield thus enlists Augustine for the cause of an early incidence of the more modern concept of dispensations.  Scofield’s quotation is a translation of the Latin, </w:t>
      </w:r>
      <w:r w:rsidRPr="004548AB">
        <w:rPr>
          <w:rFonts w:cs="Times New Roman"/>
          <w:bCs/>
          <w:i/>
          <w:lang w:bidi="he-IL"/>
        </w:rPr>
        <w:t>’distribuite tempora, et concordat scriptura</w:t>
      </w:r>
      <w:r>
        <w:rPr>
          <w:rFonts w:cs="Times New Roman"/>
          <w:bCs/>
          <w:lang w:bidi="he-IL"/>
        </w:rPr>
        <w:t>’</w:t>
      </w:r>
      <w:r w:rsidRPr="00C5188B">
        <w:rPr>
          <w:rFonts w:cs="Times New Roman"/>
          <w:bCs/>
          <w:lang w:bidi="he-IL"/>
        </w:rPr>
        <w:t xml:space="preserve">.  </w:t>
      </w:r>
      <w:r>
        <w:rPr>
          <w:rFonts w:cs="Times New Roman"/>
          <w:bCs/>
          <w:lang w:bidi="he-IL"/>
        </w:rPr>
        <w:t>Harry Ironside preceded Scofield by attributing ‘Distinguish the ages and the Scriptures are plain’ to Augustine in ‘</w:t>
      </w:r>
      <w:r w:rsidRPr="00A46DB0">
        <w:rPr>
          <w:rFonts w:cs="Times New Roman"/>
          <w:bCs/>
          <w:i/>
          <w:lang w:bidi="he-IL"/>
        </w:rPr>
        <w:t>The Mysteries of God</w:t>
      </w:r>
      <w:r>
        <w:rPr>
          <w:rFonts w:cs="Times New Roman"/>
          <w:bCs/>
          <w:lang w:bidi="he-IL"/>
        </w:rPr>
        <w:t>’,</w:t>
      </w:r>
      <w:r>
        <w:rPr>
          <w:rStyle w:val="EndnoteReference"/>
          <w:bCs/>
          <w:lang w:bidi="he-IL"/>
        </w:rPr>
        <w:endnoteReference w:id="101"/>
      </w:r>
      <w:r>
        <w:rPr>
          <w:rFonts w:cs="Times New Roman"/>
          <w:bCs/>
          <w:lang w:bidi="he-IL"/>
        </w:rPr>
        <w:t xml:space="preserve"> which was published three years earlier than the original </w:t>
      </w:r>
      <w:r w:rsidRPr="005241EA">
        <w:rPr>
          <w:rFonts w:cs="Times New Roman"/>
          <w:bCs/>
          <w:i/>
          <w:lang w:bidi="he-IL"/>
        </w:rPr>
        <w:t>Scofield Bible</w:t>
      </w:r>
      <w:r>
        <w:rPr>
          <w:rFonts w:cs="Times New Roman"/>
          <w:bCs/>
          <w:lang w:bidi="he-IL"/>
        </w:rPr>
        <w:t xml:space="preserve"> but Scofield was certainly followed by </w:t>
      </w:r>
      <w:r w:rsidRPr="00721D95">
        <w:rPr>
          <w:rFonts w:cs="Times New Roman"/>
          <w:bCs/>
          <w:lang w:bidi="he-IL"/>
        </w:rPr>
        <w:t>Chafer,</w:t>
      </w:r>
      <w:r>
        <w:rPr>
          <w:rStyle w:val="EndnoteReference"/>
          <w:bCs/>
          <w:lang w:bidi="he-IL"/>
        </w:rPr>
        <w:endnoteReference w:id="102"/>
      </w:r>
      <w:r w:rsidRPr="00721D95">
        <w:rPr>
          <w:rFonts w:cs="Times New Roman"/>
          <w:bCs/>
          <w:lang w:bidi="he-IL"/>
        </w:rPr>
        <w:t xml:space="preserve"> Warren Wiersbe</w:t>
      </w:r>
      <w:r>
        <w:rPr>
          <w:rStyle w:val="EndnoteReference"/>
          <w:bCs/>
          <w:lang w:bidi="he-IL"/>
        </w:rPr>
        <w:endnoteReference w:id="103"/>
      </w:r>
      <w:r>
        <w:rPr>
          <w:rFonts w:cs="Times New Roman"/>
          <w:bCs/>
          <w:lang w:bidi="he-IL"/>
        </w:rPr>
        <w:t xml:space="preserve"> </w:t>
      </w:r>
      <w:r w:rsidRPr="00721D95">
        <w:rPr>
          <w:rFonts w:cs="Times New Roman"/>
          <w:bCs/>
          <w:lang w:bidi="he-IL"/>
        </w:rPr>
        <w:t>and a modern website called ‘Faithful Generations’</w:t>
      </w:r>
      <w:r>
        <w:rPr>
          <w:rFonts w:cs="Times New Roman"/>
          <w:bCs/>
          <w:lang w:bidi="he-IL"/>
        </w:rPr>
        <w:t>.</w:t>
      </w:r>
      <w:r>
        <w:rPr>
          <w:rStyle w:val="EndnoteReference"/>
          <w:bCs/>
          <w:lang w:bidi="he-IL"/>
        </w:rPr>
        <w:endnoteReference w:id="104"/>
      </w:r>
      <w:r>
        <w:rPr>
          <w:rFonts w:cs="Times New Roman"/>
          <w:bCs/>
          <w:lang w:bidi="he-IL"/>
        </w:rPr>
        <w:t xml:space="preserve">  None identifies the source of this passage but each glibly quotes it.  Stamper cites Wiersbe’s use of the quotation without comment.</w:t>
      </w:r>
      <w:r>
        <w:rPr>
          <w:rStyle w:val="EndnoteReference"/>
          <w:bCs/>
          <w:lang w:bidi="he-IL"/>
        </w:rPr>
        <w:endnoteReference w:id="105"/>
      </w:r>
      <w:r>
        <w:rPr>
          <w:rFonts w:cs="Times New Roman"/>
          <w:bCs/>
          <w:lang w:bidi="he-IL"/>
        </w:rPr>
        <w:t xml:space="preserve">  </w:t>
      </w:r>
    </w:p>
    <w:p w:rsidR="00935C95" w:rsidRDefault="00935C95" w:rsidP="00935C95">
      <w:pPr>
        <w:spacing w:after="120" w:line="360" w:lineRule="auto"/>
        <w:ind w:firstLine="567"/>
        <w:jc w:val="both"/>
        <w:rPr>
          <w:rFonts w:cs="Times New Roman"/>
          <w:bCs/>
          <w:lang w:bidi="he-IL"/>
        </w:rPr>
      </w:pPr>
      <w:r>
        <w:rPr>
          <w:rFonts w:cs="Times New Roman"/>
          <w:bCs/>
          <w:lang w:bidi="he-IL"/>
        </w:rPr>
        <w:t xml:space="preserve">The passage comes from Augustine’s Sermon on Matthew 18:15, and does not concern dispensational ages.  It is part of a homily on how to treat those who sin against you.  In context it reads, </w:t>
      </w:r>
    </w:p>
    <w:p w:rsidR="00935C95" w:rsidRDefault="00935C95" w:rsidP="00935C95">
      <w:pPr>
        <w:spacing w:after="240" w:line="240" w:lineRule="auto"/>
        <w:ind w:left="1134" w:right="1700"/>
        <w:jc w:val="both"/>
        <w:rPr>
          <w:rFonts w:cs="Times New Roman"/>
          <w:bCs/>
          <w:lang w:bidi="he-IL"/>
        </w:rPr>
      </w:pPr>
      <w:r>
        <w:rPr>
          <w:rFonts w:cs="Times New Roman"/>
          <w:bCs/>
          <w:lang w:bidi="he-IL"/>
        </w:rPr>
        <w:t>‘</w:t>
      </w:r>
      <w:r w:rsidRPr="002B4789">
        <w:rPr>
          <w:rFonts w:eastAsia="Times New Roman" w:cs="Times New Roman"/>
          <w:lang w:eastAsia="en-GB"/>
        </w:rPr>
        <w:t xml:space="preserve">Therefore those </w:t>
      </w:r>
      <w:hyperlink r:id="rId16" w:history="1">
        <w:r w:rsidRPr="002B4789">
          <w:rPr>
            <w:rFonts w:eastAsia="Times New Roman" w:cs="Times New Roman"/>
            <w:lang w:eastAsia="en-GB"/>
          </w:rPr>
          <w:t>sins</w:t>
        </w:r>
      </w:hyperlink>
      <w:r w:rsidRPr="002B4789">
        <w:rPr>
          <w:rFonts w:eastAsia="Times New Roman" w:cs="Times New Roman"/>
          <w:lang w:eastAsia="en-GB"/>
        </w:rPr>
        <w:t xml:space="preserve"> are to be reproved before all, which are committed before all; they are to be reproved with more secresy, </w:t>
      </w:r>
      <w:r>
        <w:rPr>
          <w:rFonts w:eastAsia="Times New Roman" w:cs="Times New Roman"/>
          <w:lang w:eastAsia="en-GB"/>
        </w:rPr>
        <w:t>[</w:t>
      </w:r>
      <w:r w:rsidRPr="002B4789">
        <w:rPr>
          <w:rFonts w:eastAsia="Times New Roman" w:cs="Times New Roman"/>
          <w:i/>
          <w:lang w:eastAsia="en-GB"/>
        </w:rPr>
        <w:t>sic</w:t>
      </w:r>
      <w:r>
        <w:rPr>
          <w:rFonts w:eastAsia="Times New Roman" w:cs="Times New Roman"/>
          <w:lang w:eastAsia="en-GB"/>
        </w:rPr>
        <w:t xml:space="preserve">] </w:t>
      </w:r>
      <w:r w:rsidRPr="002B4789">
        <w:rPr>
          <w:rFonts w:eastAsia="Times New Roman" w:cs="Times New Roman"/>
          <w:lang w:eastAsia="en-GB"/>
        </w:rPr>
        <w:t>which are committed more secretly. Distinguish times, and Scripture is in harmony with itself.</w:t>
      </w:r>
      <w:r>
        <w:rPr>
          <w:rFonts w:cs="Times New Roman"/>
          <w:bCs/>
          <w:lang w:bidi="he-IL"/>
        </w:rPr>
        <w:t>’</w:t>
      </w:r>
      <w:r w:rsidRPr="002B4789">
        <w:rPr>
          <w:rStyle w:val="FootnoteReference"/>
          <w:lang w:bidi="he-IL"/>
        </w:rPr>
        <w:t xml:space="preserve"> </w:t>
      </w:r>
      <w:r>
        <w:rPr>
          <w:rFonts w:cs="Times New Roman"/>
          <w:bCs/>
          <w:lang w:bidi="he-IL"/>
        </w:rPr>
        <w:t xml:space="preserve"> ‘</w:t>
      </w:r>
      <w:proofErr w:type="gramStart"/>
      <w:r w:rsidRPr="004C7693">
        <w:rPr>
          <w:rFonts w:eastAsia="Times New Roman" w:cs="Times New Roman"/>
          <w:i/>
          <w:szCs w:val="24"/>
          <w:lang w:eastAsia="en-GB"/>
        </w:rPr>
        <w:t>ergo</w:t>
      </w:r>
      <w:proofErr w:type="gramEnd"/>
      <w:r w:rsidRPr="004C7693">
        <w:rPr>
          <w:rFonts w:eastAsia="Times New Roman" w:cs="Times New Roman"/>
          <w:i/>
          <w:szCs w:val="24"/>
          <w:lang w:eastAsia="en-GB"/>
        </w:rPr>
        <w:t xml:space="preserve"> ipsa corripienda sunt coram omnibus, quae peccantur coram omnibus: ipsa corripienda sunt secretius, quae peccantur secretius. </w:t>
      </w:r>
      <w:proofErr w:type="gramStart"/>
      <w:r w:rsidRPr="004C7693">
        <w:rPr>
          <w:rFonts w:eastAsia="Times New Roman" w:cs="Times New Roman"/>
          <w:i/>
          <w:szCs w:val="24"/>
          <w:lang w:eastAsia="en-GB"/>
        </w:rPr>
        <w:t>distribuite</w:t>
      </w:r>
      <w:proofErr w:type="gramEnd"/>
      <w:r w:rsidRPr="002B4789">
        <w:rPr>
          <w:rFonts w:eastAsia="Times New Roman" w:cs="Times New Roman"/>
          <w:szCs w:val="24"/>
          <w:lang w:eastAsia="en-GB"/>
        </w:rPr>
        <w:t xml:space="preserve"> </w:t>
      </w:r>
      <w:r w:rsidRPr="004C7693">
        <w:rPr>
          <w:rFonts w:eastAsia="Times New Roman" w:cs="Times New Roman"/>
          <w:i/>
          <w:szCs w:val="24"/>
          <w:lang w:eastAsia="en-GB"/>
        </w:rPr>
        <w:t>tempora, et concordat</w:t>
      </w:r>
      <w:r w:rsidRPr="002B4789">
        <w:rPr>
          <w:rFonts w:eastAsia="Times New Roman" w:cs="Times New Roman"/>
          <w:szCs w:val="24"/>
          <w:lang w:eastAsia="en-GB"/>
        </w:rPr>
        <w:t xml:space="preserve"> </w:t>
      </w:r>
      <w:r w:rsidRPr="004C7693">
        <w:rPr>
          <w:rFonts w:eastAsia="Times New Roman" w:cs="Times New Roman"/>
          <w:i/>
          <w:szCs w:val="24"/>
          <w:lang w:eastAsia="en-GB"/>
        </w:rPr>
        <w:t>scriptura</w:t>
      </w:r>
      <w:r w:rsidRPr="002B4789">
        <w:rPr>
          <w:rFonts w:eastAsia="Times New Roman" w:cs="Times New Roman"/>
          <w:szCs w:val="24"/>
          <w:lang w:eastAsia="en-GB"/>
        </w:rPr>
        <w:t>.</w:t>
      </w:r>
      <w:r>
        <w:rPr>
          <w:rFonts w:cs="Times New Roman"/>
          <w:bCs/>
          <w:lang w:bidi="he-IL"/>
        </w:rPr>
        <w:t>’</w:t>
      </w:r>
      <w:r>
        <w:rPr>
          <w:rStyle w:val="EndnoteReference"/>
          <w:bCs/>
          <w:lang w:bidi="he-IL"/>
        </w:rPr>
        <w:endnoteReference w:id="106"/>
      </w:r>
      <w:r>
        <w:rPr>
          <w:rFonts w:cs="Times New Roman"/>
          <w:bCs/>
          <w:lang w:bidi="he-IL"/>
        </w:rPr>
        <w:t xml:space="preserve"> </w:t>
      </w:r>
    </w:p>
    <w:p w:rsidR="00935C95" w:rsidRPr="00802023" w:rsidRDefault="00935C95" w:rsidP="00935C95">
      <w:pPr>
        <w:spacing w:after="120" w:line="360" w:lineRule="auto"/>
        <w:ind w:firstLine="567"/>
        <w:jc w:val="both"/>
        <w:rPr>
          <w:rFonts w:cs="Times New Roman"/>
          <w:bCs/>
          <w:lang w:bidi="he-IL"/>
        </w:rPr>
      </w:pPr>
      <w:r>
        <w:rPr>
          <w:rFonts w:cs="Times New Roman"/>
          <w:bCs/>
          <w:lang w:bidi="he-IL"/>
        </w:rPr>
        <w:t xml:space="preserve">Henzel states that ‘Augustine was trying to reconcile Christ’s directive that reproofs should be private with the Septuagint rendering of Proverbs 10:10b, which reads “he that reproveth openly, maketh peace”’.  The Latin words, </w:t>
      </w:r>
      <w:r w:rsidRPr="00EC1ABE">
        <w:rPr>
          <w:rFonts w:cs="Times New Roman"/>
          <w:bCs/>
          <w:lang w:bidi="he-IL"/>
        </w:rPr>
        <w:t>‘</w:t>
      </w:r>
      <w:r w:rsidRPr="004548AB">
        <w:rPr>
          <w:rFonts w:cs="Times New Roman"/>
          <w:bCs/>
          <w:i/>
          <w:lang w:bidi="he-IL"/>
        </w:rPr>
        <w:t xml:space="preserve">distribuite tempora, </w:t>
      </w:r>
      <w:proofErr w:type="gramStart"/>
      <w:r w:rsidRPr="004548AB">
        <w:rPr>
          <w:rFonts w:cs="Times New Roman"/>
          <w:bCs/>
          <w:i/>
          <w:lang w:bidi="he-IL"/>
        </w:rPr>
        <w:t>et</w:t>
      </w:r>
      <w:proofErr w:type="gramEnd"/>
      <w:r w:rsidRPr="004548AB">
        <w:rPr>
          <w:rFonts w:cs="Times New Roman"/>
          <w:bCs/>
          <w:i/>
          <w:lang w:bidi="he-IL"/>
        </w:rPr>
        <w:t xml:space="preserve"> concordat scriptura</w:t>
      </w:r>
      <w:r>
        <w:rPr>
          <w:rFonts w:cs="Times New Roman"/>
          <w:bCs/>
          <w:lang w:bidi="he-IL"/>
        </w:rPr>
        <w:t>’ would be better translated ‘distinguish times and Scripture is in harmony with itself’.  The solution to the problem of apparently conflicting texts was ‘distinguishing times’, that is, ‘observing the occasion to ascertain which Scripture was most suited to the circumstance’.</w:t>
      </w:r>
      <w:r>
        <w:rPr>
          <w:rStyle w:val="EndnoteReference"/>
          <w:bCs/>
          <w:lang w:bidi="he-IL"/>
        </w:rPr>
        <w:endnoteReference w:id="107"/>
      </w:r>
      <w:r>
        <w:rPr>
          <w:rFonts w:cs="Times New Roman"/>
          <w:bCs/>
          <w:lang w:bidi="he-IL"/>
        </w:rPr>
        <w:t xml:space="preserve">  </w:t>
      </w:r>
      <w:r w:rsidRPr="00EC1ABE">
        <w:rPr>
          <w:rFonts w:cs="Times New Roman"/>
          <w:bCs/>
          <w:lang w:bidi="he-IL"/>
        </w:rPr>
        <w:t xml:space="preserve">Bernard Ramm does not remark upon this context but states that ‘if we are aware of the progressive character of revelation we shall not make Scripture conflict’.  He asserts that ‘the dispensational interpretation … is only possible by taking </w:t>
      </w:r>
      <w:r w:rsidRPr="00EC1ABE">
        <w:rPr>
          <w:rFonts w:cs="Times New Roman"/>
          <w:bCs/>
          <w:i/>
          <w:lang w:bidi="he-IL"/>
        </w:rPr>
        <w:t>tempora</w:t>
      </w:r>
      <w:r w:rsidRPr="00EC1ABE">
        <w:rPr>
          <w:rFonts w:cs="Times New Roman"/>
          <w:bCs/>
          <w:lang w:bidi="he-IL"/>
        </w:rPr>
        <w:t xml:space="preserve"> as if it meant </w:t>
      </w:r>
      <w:r w:rsidRPr="00EC1ABE">
        <w:rPr>
          <w:rFonts w:cs="Times New Roman"/>
          <w:bCs/>
          <w:i/>
          <w:lang w:bidi="he-IL"/>
        </w:rPr>
        <w:t>saeculae</w:t>
      </w:r>
      <w:r w:rsidRPr="00EC1ABE">
        <w:rPr>
          <w:rFonts w:cs="Times New Roman"/>
          <w:bCs/>
          <w:lang w:bidi="he-IL"/>
        </w:rPr>
        <w:t>’.</w:t>
      </w:r>
      <w:r>
        <w:rPr>
          <w:rStyle w:val="EndnoteReference"/>
          <w:bCs/>
          <w:lang w:bidi="he-IL"/>
        </w:rPr>
        <w:endnoteReference w:id="108"/>
      </w:r>
      <w:r w:rsidRPr="00EC1ABE">
        <w:rPr>
          <w:rStyle w:val="FootnoteReference"/>
          <w:rFonts w:cs="Times New Roman"/>
          <w:bCs/>
          <w:lang w:bidi="he-IL"/>
        </w:rPr>
        <w:t xml:space="preserve"> </w:t>
      </w:r>
      <w:r>
        <w:rPr>
          <w:rFonts w:cs="Times New Roman"/>
          <w:bCs/>
          <w:lang w:bidi="he-IL"/>
        </w:rPr>
        <w:t xml:space="preserve">  </w:t>
      </w:r>
      <w:r w:rsidRPr="00EC1ABE">
        <w:rPr>
          <w:rFonts w:cs="Times New Roman"/>
          <w:bCs/>
          <w:i/>
          <w:lang w:bidi="he-IL"/>
        </w:rPr>
        <w:t>Tempora</w:t>
      </w:r>
      <w:r w:rsidRPr="00EC1ABE">
        <w:rPr>
          <w:rFonts w:cs="Times New Roman"/>
          <w:bCs/>
          <w:lang w:bidi="he-IL"/>
        </w:rPr>
        <w:t xml:space="preserve"> means ‘times’ rather than ‘ages’.</w:t>
      </w:r>
    </w:p>
    <w:p w:rsidR="00935C95" w:rsidRDefault="00935C95" w:rsidP="00935C95">
      <w:pPr>
        <w:spacing w:after="120" w:line="360" w:lineRule="auto"/>
        <w:ind w:firstLine="567"/>
        <w:jc w:val="both"/>
        <w:rPr>
          <w:rFonts w:cs="Times New Roman"/>
          <w:bCs/>
          <w:lang w:bidi="he-IL"/>
        </w:rPr>
      </w:pPr>
      <w:r>
        <w:rPr>
          <w:rFonts w:cs="Times New Roman"/>
          <w:bCs/>
          <w:lang w:bidi="he-IL"/>
        </w:rPr>
        <w:t>To be fair, Ehlert, dismissing the passage above as having been used in an ‘unfortunate’ way, states that ‘Augustine does … have some significant statements that could probably have been used more advantageously’.</w:t>
      </w:r>
      <w:r>
        <w:rPr>
          <w:rStyle w:val="EndnoteReference"/>
          <w:bCs/>
          <w:lang w:bidi="he-IL"/>
        </w:rPr>
        <w:endnoteReference w:id="109"/>
      </w:r>
      <w:r>
        <w:rPr>
          <w:rFonts w:cs="Times New Roman"/>
          <w:bCs/>
          <w:lang w:bidi="he-IL"/>
        </w:rPr>
        <w:t xml:space="preserve">  Ehlert,</w:t>
      </w:r>
      <w:r>
        <w:rPr>
          <w:rStyle w:val="EndnoteReference"/>
          <w:bCs/>
          <w:lang w:bidi="he-IL"/>
        </w:rPr>
        <w:endnoteReference w:id="110"/>
      </w:r>
      <w:r>
        <w:rPr>
          <w:rFonts w:cs="Times New Roman"/>
          <w:bCs/>
          <w:lang w:bidi="he-IL"/>
        </w:rPr>
        <w:t xml:space="preserve"> Crutchfield,</w:t>
      </w:r>
      <w:r>
        <w:rPr>
          <w:rStyle w:val="EndnoteReference"/>
          <w:bCs/>
          <w:lang w:bidi="he-IL"/>
        </w:rPr>
        <w:endnoteReference w:id="111"/>
      </w:r>
      <w:r>
        <w:rPr>
          <w:rFonts w:cs="Times New Roman"/>
          <w:bCs/>
          <w:lang w:bidi="he-IL"/>
        </w:rPr>
        <w:t xml:space="preserve"> Ryrie</w:t>
      </w:r>
      <w:r>
        <w:rPr>
          <w:rStyle w:val="EndnoteReference"/>
          <w:bCs/>
          <w:lang w:bidi="he-IL"/>
        </w:rPr>
        <w:endnoteReference w:id="112"/>
      </w:r>
      <w:r>
        <w:rPr>
          <w:rFonts w:cs="Times New Roman"/>
          <w:bCs/>
          <w:lang w:bidi="he-IL"/>
        </w:rPr>
        <w:t xml:space="preserve"> and Watson</w:t>
      </w:r>
      <w:r>
        <w:rPr>
          <w:rStyle w:val="EndnoteReference"/>
          <w:bCs/>
          <w:lang w:bidi="he-IL"/>
        </w:rPr>
        <w:endnoteReference w:id="113"/>
      </w:r>
      <w:r>
        <w:rPr>
          <w:rFonts w:cs="Times New Roman"/>
          <w:bCs/>
          <w:lang w:bidi="he-IL"/>
        </w:rPr>
        <w:t xml:space="preserve"> all quote Augustine’s letter to </w:t>
      </w:r>
      <w:r>
        <w:rPr>
          <w:rFonts w:cs="Times New Roman"/>
          <w:bCs/>
          <w:lang w:bidi="he-IL"/>
        </w:rPr>
        <w:lastRenderedPageBreak/>
        <w:t>Marcellinus as an indication that Augustine used the term, ‘dispensations’.  Augustine certainly uses the word, ‘dispensation’ several times in the passage quoted below:</w:t>
      </w:r>
    </w:p>
    <w:p w:rsidR="00935C95" w:rsidRPr="0055200F" w:rsidRDefault="00935C95" w:rsidP="00935C95">
      <w:pPr>
        <w:spacing w:after="240" w:line="240" w:lineRule="auto"/>
        <w:ind w:left="1134" w:right="1700"/>
        <w:jc w:val="both"/>
        <w:rPr>
          <w:rFonts w:cs="Times New Roman"/>
          <w:bCs/>
          <w:lang w:bidi="he-IL"/>
        </w:rPr>
      </w:pPr>
      <w:r w:rsidRPr="0055200F">
        <w:rPr>
          <w:rFonts w:eastAsia="Times New Roman" w:cs="Times New Roman"/>
          <w:lang w:eastAsia="en-GB"/>
        </w:rPr>
        <w:t>The divine institution of</w:t>
      </w:r>
      <w:r>
        <w:rPr>
          <w:rFonts w:eastAsia="Times New Roman" w:cs="Times New Roman"/>
          <w:lang w:eastAsia="en-GB"/>
        </w:rPr>
        <w:t xml:space="preserve"> sacrifice w</w:t>
      </w:r>
      <w:r w:rsidRPr="0055200F">
        <w:rPr>
          <w:rFonts w:eastAsia="Times New Roman" w:cs="Times New Roman"/>
          <w:lang w:eastAsia="en-GB"/>
        </w:rPr>
        <w:t>as suitable in the former dispensation, but is not suitable now. For the change suitable to the present age has been enjoined by</w:t>
      </w:r>
      <w:r>
        <w:rPr>
          <w:rFonts w:eastAsia="Times New Roman" w:cs="Times New Roman"/>
          <w:lang w:eastAsia="en-GB"/>
        </w:rPr>
        <w:t xml:space="preserve"> God</w:t>
      </w:r>
      <w:r w:rsidRPr="0055200F">
        <w:rPr>
          <w:rFonts w:eastAsia="Times New Roman" w:cs="Times New Roman"/>
          <w:lang w:eastAsia="en-GB"/>
        </w:rPr>
        <w:t xml:space="preserve">, </w:t>
      </w:r>
      <w:r>
        <w:rPr>
          <w:rFonts w:eastAsia="Times New Roman" w:cs="Times New Roman"/>
          <w:lang w:eastAsia="en-GB"/>
        </w:rPr>
        <w:t>…</w:t>
      </w:r>
      <w:r w:rsidRPr="0055200F">
        <w:rPr>
          <w:rFonts w:eastAsia="Times New Roman" w:cs="Times New Roman"/>
          <w:lang w:eastAsia="en-GB"/>
        </w:rPr>
        <w:t xml:space="preserve"> who is, </w:t>
      </w:r>
      <w:r>
        <w:rPr>
          <w:rFonts w:eastAsia="Times New Roman" w:cs="Times New Roman"/>
          <w:lang w:eastAsia="en-GB"/>
        </w:rPr>
        <w:t>…</w:t>
      </w:r>
      <w:r w:rsidRPr="0055200F">
        <w:rPr>
          <w:rFonts w:eastAsia="Times New Roman" w:cs="Times New Roman"/>
          <w:lang w:eastAsia="en-GB"/>
        </w:rPr>
        <w:t xml:space="preserve"> the unchangeable Governor</w:t>
      </w:r>
      <w:r>
        <w:rPr>
          <w:rFonts w:eastAsia="Times New Roman" w:cs="Times New Roman"/>
          <w:lang w:eastAsia="en-GB"/>
        </w:rPr>
        <w:t>, …</w:t>
      </w:r>
      <w:r w:rsidRPr="0055200F">
        <w:rPr>
          <w:rFonts w:eastAsia="Times New Roman" w:cs="Times New Roman"/>
          <w:lang w:eastAsia="en-GB"/>
        </w:rPr>
        <w:t xml:space="preserve"> ordering all events in His</w:t>
      </w:r>
      <w:r>
        <w:rPr>
          <w:rFonts w:eastAsia="Times New Roman" w:cs="Times New Roman"/>
          <w:lang w:eastAsia="en-GB"/>
        </w:rPr>
        <w:t xml:space="preserve"> providence</w:t>
      </w:r>
      <w:r w:rsidRPr="0055200F">
        <w:rPr>
          <w:rFonts w:eastAsia="Times New Roman" w:cs="Times New Roman"/>
          <w:lang w:eastAsia="en-GB"/>
        </w:rPr>
        <w:t xml:space="preserve"> until the beauty of the completed course of time, the component parts of which are the dispensations adapted to each successive age</w:t>
      </w:r>
      <w:r>
        <w:rPr>
          <w:rFonts w:eastAsia="Times New Roman" w:cs="Times New Roman"/>
          <w:lang w:eastAsia="en-GB"/>
        </w:rPr>
        <w:t xml:space="preserve"> …</w:t>
      </w:r>
      <w:r w:rsidRPr="0055200F">
        <w:rPr>
          <w:rFonts w:eastAsia="Times New Roman" w:cs="Times New Roman"/>
          <w:lang w:eastAsia="en-GB"/>
        </w:rPr>
        <w:t>.</w:t>
      </w:r>
      <w:r>
        <w:rPr>
          <w:rStyle w:val="EndnoteReference"/>
          <w:lang w:eastAsia="en-GB"/>
        </w:rPr>
        <w:endnoteReference w:id="114"/>
      </w:r>
      <w:r>
        <w:rPr>
          <w:rFonts w:eastAsia="Times New Roman" w:cs="Times New Roman"/>
          <w:lang w:eastAsia="en-GB"/>
        </w:rPr>
        <w:t xml:space="preserve"> </w:t>
      </w:r>
    </w:p>
    <w:p w:rsidR="00935C95" w:rsidRDefault="00935C95" w:rsidP="00935C95">
      <w:pPr>
        <w:spacing w:after="120" w:line="360" w:lineRule="auto"/>
        <w:jc w:val="both"/>
        <w:rPr>
          <w:rStyle w:val="ind"/>
        </w:rPr>
      </w:pPr>
      <w:r>
        <w:rPr>
          <w:rFonts w:cs="Times New Roman"/>
          <w:bCs/>
          <w:lang w:bidi="he-IL"/>
        </w:rPr>
        <w:t xml:space="preserve">However, it is questionable whether Augustine understood ‘dispensation’ in the same way as modern dispensationalists.  No-one would dispute that ancient theologians were aware of changes in divine dealings, which they call ‘dispensations’ or ‘ages’ but they do not seem to employ the full modern system.  </w:t>
      </w:r>
    </w:p>
    <w:p w:rsidR="00935C95" w:rsidRDefault="00935C95" w:rsidP="00935C95">
      <w:pPr>
        <w:spacing w:after="120" w:line="360" w:lineRule="auto"/>
        <w:ind w:firstLine="567"/>
        <w:jc w:val="both"/>
        <w:rPr>
          <w:rStyle w:val="ind"/>
        </w:rPr>
      </w:pPr>
      <w:r>
        <w:rPr>
          <w:rStyle w:val="ind"/>
        </w:rPr>
        <w:t>Several other scholars attribute the origin of dispensationalism unequivocally to Darby.  Bass states that ‘</w:t>
      </w:r>
      <w:r w:rsidRPr="00951136">
        <w:rPr>
          <w:rStyle w:val="ind"/>
          <w:i/>
        </w:rPr>
        <w:t>as a system of thought</w:t>
      </w:r>
      <w:r>
        <w:rPr>
          <w:rStyle w:val="ind"/>
        </w:rPr>
        <w:t>, dispensationalism can be traced to the theology and practice of John Nelson Darby’.</w:t>
      </w:r>
      <w:r>
        <w:rPr>
          <w:rStyle w:val="EndnoteReference"/>
        </w:rPr>
        <w:endnoteReference w:id="115"/>
      </w:r>
      <w:r>
        <w:rPr>
          <w:rStyle w:val="ind"/>
        </w:rPr>
        <w:t xml:space="preserve">  He admits that the word ‘dispensation’ appears in the Bible and that it was used in theology before C19 but argues that ‘both its use and meaning … have become significantly different since that time’.</w:t>
      </w:r>
      <w:r>
        <w:rPr>
          <w:rStyle w:val="EndnoteReference"/>
        </w:rPr>
        <w:endnoteReference w:id="116"/>
      </w:r>
      <w:r>
        <w:rPr>
          <w:rStyle w:val="ind"/>
        </w:rPr>
        <w:t xml:space="preserve">  Henzel calls dispensationalism ‘John Nelson Darby’s Dispensationalism’; he states that this was a ‘new system of biblical hermeneutics with a distinct </w:t>
      </w:r>
      <w:r w:rsidRPr="00951136">
        <w:rPr>
          <w:rStyle w:val="ind"/>
          <w:i/>
        </w:rPr>
        <w:t>Heilsgeschichte</w:t>
      </w:r>
      <w:r>
        <w:rPr>
          <w:rStyle w:val="ind"/>
        </w:rPr>
        <w:t xml:space="preserve"> and its own unique ecclesiology and eschatology’.</w:t>
      </w:r>
      <w:r>
        <w:rPr>
          <w:rStyle w:val="EndnoteReference"/>
        </w:rPr>
        <w:endnoteReference w:id="117"/>
      </w:r>
      <w:r>
        <w:rPr>
          <w:rStyle w:val="ind"/>
        </w:rPr>
        <w:t xml:space="preserve">  Blaising notes that acknowledging a distinction between different dispensations in Scripture, for example the dispensations of Israel and of the church today, ‘has been quite common in the history of biblical interpretation’ but that ‘dispensationalists … had some distinctive views which differed from [those of] most other interpreters of Scripture’.</w:t>
      </w:r>
      <w:r>
        <w:rPr>
          <w:rStyle w:val="EndnoteReference"/>
        </w:rPr>
        <w:endnoteReference w:id="118"/>
      </w:r>
      <w:r>
        <w:rPr>
          <w:rStyle w:val="ind"/>
        </w:rPr>
        <w:t xml:space="preserve">  </w:t>
      </w:r>
    </w:p>
    <w:p w:rsidR="00935C95" w:rsidRDefault="00935C95" w:rsidP="00935C95">
      <w:pPr>
        <w:spacing w:after="120" w:line="360" w:lineRule="auto"/>
        <w:ind w:firstLine="567"/>
        <w:jc w:val="both"/>
        <w:rPr>
          <w:rStyle w:val="ind"/>
        </w:rPr>
      </w:pPr>
      <w:r w:rsidRPr="00AD37BC">
        <w:rPr>
          <w:rStyle w:val="ind"/>
        </w:rPr>
        <w:t xml:space="preserve">Crutchfield refutes claims like that made by Bass that ‘no </w:t>
      </w:r>
      <w:r w:rsidRPr="00AD37BC">
        <w:t>dispensational</w:t>
      </w:r>
      <w:r w:rsidRPr="00AD37BC">
        <w:rPr>
          <w:spacing w:val="14"/>
        </w:rPr>
        <w:t xml:space="preserve"> </w:t>
      </w:r>
      <w:r w:rsidRPr="00AD37BC">
        <w:t>writer</w:t>
      </w:r>
      <w:r w:rsidRPr="00AD37BC">
        <w:rPr>
          <w:spacing w:val="15"/>
        </w:rPr>
        <w:t xml:space="preserve"> </w:t>
      </w:r>
      <w:r w:rsidRPr="00AD37BC">
        <w:t>has</w:t>
      </w:r>
      <w:r w:rsidRPr="00AD37BC">
        <w:rPr>
          <w:spacing w:val="15"/>
        </w:rPr>
        <w:t xml:space="preserve"> </w:t>
      </w:r>
      <w:r w:rsidRPr="00AD37BC">
        <w:t>ever</w:t>
      </w:r>
      <w:r w:rsidRPr="00AD37BC">
        <w:rPr>
          <w:spacing w:val="15"/>
        </w:rPr>
        <w:t xml:space="preserve"> </w:t>
      </w:r>
      <w:r w:rsidRPr="00AD37BC">
        <w:t>been</w:t>
      </w:r>
      <w:r w:rsidRPr="00AD37BC">
        <w:rPr>
          <w:spacing w:val="15"/>
        </w:rPr>
        <w:t xml:space="preserve"> </w:t>
      </w:r>
      <w:r w:rsidRPr="00AD37BC">
        <w:t>able</w:t>
      </w:r>
      <w:r w:rsidRPr="00AD37BC">
        <w:rPr>
          <w:spacing w:val="15"/>
        </w:rPr>
        <w:t xml:space="preserve"> </w:t>
      </w:r>
      <w:r w:rsidRPr="00AD37BC">
        <w:t>to offer</w:t>
      </w:r>
      <w:r w:rsidRPr="00AD37BC">
        <w:rPr>
          <w:spacing w:val="15"/>
        </w:rPr>
        <w:t xml:space="preserve"> </w:t>
      </w:r>
      <w:r w:rsidRPr="00AD37BC">
        <w:t>…</w:t>
      </w:r>
      <w:r w:rsidRPr="00AD37BC">
        <w:rPr>
          <w:spacing w:val="16"/>
        </w:rPr>
        <w:t xml:space="preserve"> </w:t>
      </w:r>
      <w:r w:rsidRPr="00AD37BC">
        <w:t>a</w:t>
      </w:r>
      <w:r w:rsidRPr="00AD37BC">
        <w:rPr>
          <w:spacing w:val="15"/>
        </w:rPr>
        <w:t xml:space="preserve"> </w:t>
      </w:r>
      <w:r w:rsidRPr="00AD37BC">
        <w:t>single</w:t>
      </w:r>
      <w:r w:rsidRPr="00AD37BC">
        <w:rPr>
          <w:spacing w:val="15"/>
        </w:rPr>
        <w:t xml:space="preserve"> </w:t>
      </w:r>
      <w:r w:rsidRPr="00AD37BC">
        <w:t>point</w:t>
      </w:r>
      <w:r w:rsidRPr="00AD37BC">
        <w:rPr>
          <w:spacing w:val="15"/>
        </w:rPr>
        <w:t xml:space="preserve"> </w:t>
      </w:r>
      <w:r w:rsidRPr="00AD37BC">
        <w:t>of</w:t>
      </w:r>
      <w:r w:rsidRPr="00AD37BC">
        <w:rPr>
          <w:spacing w:val="15"/>
        </w:rPr>
        <w:t xml:space="preserve"> </w:t>
      </w:r>
      <w:r w:rsidRPr="00AD37BC">
        <w:t>continuity</w:t>
      </w:r>
      <w:r w:rsidRPr="00AD37BC">
        <w:rPr>
          <w:spacing w:val="15"/>
        </w:rPr>
        <w:t xml:space="preserve"> </w:t>
      </w:r>
      <w:r w:rsidRPr="00AD37BC">
        <w:t>between</w:t>
      </w:r>
      <w:r w:rsidRPr="00AD37BC">
        <w:rPr>
          <w:spacing w:val="14"/>
        </w:rPr>
        <w:t xml:space="preserve"> </w:t>
      </w:r>
      <w:r w:rsidRPr="00AD37BC">
        <w:t>what</w:t>
      </w:r>
      <w:r w:rsidRPr="00AD37BC">
        <w:rPr>
          <w:spacing w:val="15"/>
        </w:rPr>
        <w:t xml:space="preserve"> </w:t>
      </w:r>
      <w:r w:rsidRPr="00AD37BC">
        <w:t>is</w:t>
      </w:r>
      <w:r w:rsidRPr="00AD37BC">
        <w:rPr>
          <w:spacing w:val="48"/>
        </w:rPr>
        <w:t xml:space="preserve"> </w:t>
      </w:r>
      <w:r w:rsidRPr="00AD37BC">
        <w:t>today</w:t>
      </w:r>
      <w:r w:rsidRPr="00AD37BC">
        <w:rPr>
          <w:spacing w:val="9"/>
        </w:rPr>
        <w:t xml:space="preserve"> </w:t>
      </w:r>
      <w:r w:rsidRPr="00AD37BC">
        <w:t>known</w:t>
      </w:r>
      <w:r w:rsidRPr="00AD37BC">
        <w:rPr>
          <w:spacing w:val="10"/>
        </w:rPr>
        <w:t xml:space="preserve"> </w:t>
      </w:r>
      <w:r w:rsidRPr="00AD37BC">
        <w:t>as</w:t>
      </w:r>
      <w:r w:rsidRPr="00AD37BC">
        <w:rPr>
          <w:spacing w:val="9"/>
        </w:rPr>
        <w:t xml:space="preserve"> </w:t>
      </w:r>
      <w:r w:rsidRPr="00AD37BC">
        <w:t>dispensationalism</w:t>
      </w:r>
      <w:r w:rsidRPr="00AD37BC">
        <w:rPr>
          <w:spacing w:val="11"/>
        </w:rPr>
        <w:t xml:space="preserve"> </w:t>
      </w:r>
      <w:r w:rsidRPr="00AD37BC">
        <w:t>and</w:t>
      </w:r>
      <w:r w:rsidRPr="00AD37BC">
        <w:rPr>
          <w:spacing w:val="10"/>
        </w:rPr>
        <w:t xml:space="preserve"> </w:t>
      </w:r>
      <w:r w:rsidRPr="00AD37BC">
        <w:t>the</w:t>
      </w:r>
      <w:r w:rsidRPr="00AD37BC">
        <w:rPr>
          <w:spacing w:val="9"/>
        </w:rPr>
        <w:t xml:space="preserve"> </w:t>
      </w:r>
      <w:r w:rsidRPr="00AD37BC">
        <w:t>historic</w:t>
      </w:r>
      <w:r w:rsidRPr="00AD37BC">
        <w:rPr>
          <w:spacing w:val="10"/>
        </w:rPr>
        <w:t xml:space="preserve"> </w:t>
      </w:r>
      <w:r w:rsidRPr="00AD37BC">
        <w:t>premillennial</w:t>
      </w:r>
      <w:r w:rsidRPr="00AD37BC">
        <w:rPr>
          <w:spacing w:val="8"/>
        </w:rPr>
        <w:t xml:space="preserve"> </w:t>
      </w:r>
      <w:r w:rsidRPr="00AD37BC">
        <w:t>view’,</w:t>
      </w:r>
      <w:r w:rsidRPr="00AD37BC">
        <w:rPr>
          <w:rStyle w:val="EndnoteReference"/>
        </w:rPr>
        <w:endnoteReference w:id="119"/>
      </w:r>
      <w:r w:rsidRPr="00AD37BC">
        <w:t xml:space="preserve"> while emphasising that he</w:t>
      </w:r>
      <w:r w:rsidRPr="00AD37BC">
        <w:rPr>
          <w:rStyle w:val="ind"/>
        </w:rPr>
        <w:t xml:space="preserve"> is ‘not suggesting that in the church’s early history her leaders were dispensationalists in the modern sense of the word’.</w:t>
      </w:r>
      <w:r>
        <w:rPr>
          <w:rStyle w:val="ind"/>
        </w:rPr>
        <w:t xml:space="preserve">  He holds that four ‘elementary elements of dispensationalism’ appear in early patristic writings.  These are the year-day tradition, and belief in ‘God’s dispensational arrangements with mankind throughout salvation history’, Christ’s premillennial return and Christ’s imminent return.</w:t>
      </w:r>
      <w:r>
        <w:rPr>
          <w:rStyle w:val="EndnoteReference"/>
        </w:rPr>
        <w:endnoteReference w:id="120"/>
      </w:r>
      <w:r>
        <w:rPr>
          <w:rStyle w:val="ind"/>
        </w:rPr>
        <w:t xml:space="preserve">  Among other early church fathers, Crutchfield attributes dispensational language to Justin Martyr in his </w:t>
      </w:r>
      <w:r w:rsidRPr="0048204F">
        <w:rPr>
          <w:rStyle w:val="ind"/>
          <w:i/>
        </w:rPr>
        <w:t>Dialogue with Trypho</w:t>
      </w:r>
      <w:r>
        <w:rPr>
          <w:rStyle w:val="ind"/>
        </w:rPr>
        <w:t>.</w:t>
      </w:r>
      <w:r>
        <w:rPr>
          <w:rStyle w:val="EndnoteReference"/>
        </w:rPr>
        <w:endnoteReference w:id="121"/>
      </w:r>
      <w:r>
        <w:rPr>
          <w:rStyle w:val="ind"/>
        </w:rPr>
        <w:t xml:space="preserve">  </w:t>
      </w:r>
      <w:r w:rsidRPr="00285729">
        <w:rPr>
          <w:szCs w:val="20"/>
        </w:rPr>
        <w:t xml:space="preserve">Chafer asserts that there is </w:t>
      </w:r>
      <w:r>
        <w:rPr>
          <w:szCs w:val="20"/>
        </w:rPr>
        <w:t xml:space="preserve">‘abundant </w:t>
      </w:r>
      <w:r w:rsidRPr="00285729">
        <w:rPr>
          <w:szCs w:val="20"/>
        </w:rPr>
        <w:t>evidence</w:t>
      </w:r>
      <w:r>
        <w:rPr>
          <w:szCs w:val="20"/>
        </w:rPr>
        <w:t xml:space="preserve"> …</w:t>
      </w:r>
      <w:r w:rsidRPr="00285729">
        <w:rPr>
          <w:szCs w:val="20"/>
        </w:rPr>
        <w:t xml:space="preserve"> from the works of the early fathers, even going back to the Didache, which … establishes the fact that Chiliasm, with those dispensational divisions which belong to it, was the orthodox faith of the early church’.</w:t>
      </w:r>
      <w:r>
        <w:rPr>
          <w:rStyle w:val="EndnoteReference"/>
        </w:rPr>
        <w:endnoteReference w:id="122"/>
      </w:r>
      <w:r w:rsidRPr="00285729">
        <w:rPr>
          <w:szCs w:val="20"/>
        </w:rPr>
        <w:t xml:space="preserve"> </w:t>
      </w:r>
      <w:r w:rsidRPr="00285729">
        <w:rPr>
          <w:rStyle w:val="ind"/>
        </w:rPr>
        <w:t xml:space="preserve"> However,</w:t>
      </w:r>
      <w:r>
        <w:rPr>
          <w:rStyle w:val="ind"/>
        </w:rPr>
        <w:t xml:space="preserve"> Crutchfield states that dispensationalists like Ryrie and Ehlert ‘rightly maintain that “features” or rudimentary concepts of dispensational theology were held by the fathers of the early church and later by certain individuals after the Reformation’, even though they also ‘readily acknowledge that modern, systematized dispensationalism must be traced to Darby’.</w:t>
      </w:r>
      <w:r>
        <w:rPr>
          <w:rStyle w:val="EndnoteReference"/>
        </w:rPr>
        <w:endnoteReference w:id="123"/>
      </w:r>
      <w:r>
        <w:rPr>
          <w:rStyle w:val="ind"/>
        </w:rPr>
        <w:t xml:space="preserve">  Ryrie himself states that ‘neither Darby nor the Plymouth Brethren originated the concepts of the system </w:t>
      </w:r>
      <w:r>
        <w:rPr>
          <w:rStyle w:val="ind"/>
        </w:rPr>
        <w:lastRenderedPageBreak/>
        <w:t>[dispensationalism], and even if they had that would not make them wrong if they can be shown to be Biblical’.</w:t>
      </w:r>
      <w:r>
        <w:rPr>
          <w:rStyle w:val="EndnoteReference"/>
        </w:rPr>
        <w:endnoteReference w:id="124"/>
      </w:r>
      <w:r>
        <w:rPr>
          <w:rStyle w:val="ind"/>
        </w:rPr>
        <w:t xml:space="preserve">  </w:t>
      </w:r>
    </w:p>
    <w:p w:rsidR="00935C95" w:rsidRPr="00C53A5B" w:rsidRDefault="00935C95" w:rsidP="00935C95">
      <w:pPr>
        <w:spacing w:after="120" w:line="360" w:lineRule="auto"/>
        <w:jc w:val="both"/>
        <w:rPr>
          <w:rStyle w:val="ind"/>
          <w:b/>
        </w:rPr>
      </w:pPr>
      <w:r w:rsidRPr="00C53A5B">
        <w:rPr>
          <w:rStyle w:val="ind"/>
          <w:b/>
        </w:rPr>
        <w:t>Conclusion</w:t>
      </w:r>
    </w:p>
    <w:p w:rsidR="00935C95" w:rsidRDefault="00935C95" w:rsidP="00935C95">
      <w:pPr>
        <w:spacing w:after="120" w:line="360" w:lineRule="auto"/>
        <w:jc w:val="both"/>
        <w:rPr>
          <w:rStyle w:val="ind"/>
        </w:rPr>
      </w:pPr>
      <w:r>
        <w:rPr>
          <w:rStyle w:val="ind"/>
        </w:rPr>
        <w:t xml:space="preserve">My definition of dispensationalism is that it is a theological system which has changed over time since its inception in the teaching and writings of John Nelson Darby during the nineteenth century.  Despite changes, dispensationalism contains certain characteristic elements by which it may be identified and has its own characteristic hermeneutic to which I turn in Chapter 1.  Dispensationalism is committed to evangelical doctrine; it employs a literal biblical hermeneutic; it puts forward a system of dispensations by which God has governed and governs the world; it maintains an eternal distinction between Israel and the Church in the divine plan; it expects Christ’s imminent return in the pretribulation rapture and it emphasises an apocalyptic and millennial expectation.  Although characteristics such as dispensations and expectation of the restoration of the Jews to their own land did exist before Darby, it was only in Darby that all the characteristics of dispensationalism came together and so Darby will be regarded for the purposes of this study as the founder of dispensationalism.  </w:t>
      </w:r>
    </w:p>
    <w:p w:rsidR="00935C95" w:rsidRDefault="00935C95" w:rsidP="00935C95">
      <w:pPr>
        <w:spacing w:after="120" w:line="360" w:lineRule="auto"/>
        <w:ind w:firstLine="567"/>
        <w:jc w:val="both"/>
        <w:rPr>
          <w:rStyle w:val="ind"/>
        </w:rPr>
      </w:pPr>
      <w:r>
        <w:rPr>
          <w:rStyle w:val="ind"/>
        </w:rPr>
        <w:t xml:space="preserve">However, dispensationalism has gone through various phases since the time of Darby.  Blaising identifies three stages in its development: classical, revised and progressive.  He states that ‘the interpretative notes of the </w:t>
      </w:r>
      <w:r>
        <w:rPr>
          <w:rStyle w:val="ind"/>
          <w:i/>
        </w:rPr>
        <w:t xml:space="preserve">Scofield </w:t>
      </w:r>
      <w:r w:rsidRPr="00BB305B">
        <w:rPr>
          <w:rStyle w:val="ind"/>
          <w:i/>
        </w:rPr>
        <w:t>R</w:t>
      </w:r>
      <w:r>
        <w:rPr>
          <w:rStyle w:val="ind"/>
          <w:i/>
        </w:rPr>
        <w:t xml:space="preserve">eference </w:t>
      </w:r>
      <w:r w:rsidRPr="00BB305B">
        <w:rPr>
          <w:rStyle w:val="ind"/>
          <w:i/>
        </w:rPr>
        <w:t>B</w:t>
      </w:r>
      <w:r>
        <w:rPr>
          <w:rStyle w:val="ind"/>
          <w:i/>
        </w:rPr>
        <w:t>ible</w:t>
      </w:r>
      <w:r>
        <w:rPr>
          <w:rStyle w:val="ind"/>
        </w:rPr>
        <w:t xml:space="preserve"> might be considered a key representative of classical dispensationalism, although there are various points at which different dispensationalists of that period would differ with it.  The designation dispensationalism was first applied to the interpretations offered in the </w:t>
      </w:r>
      <w:r w:rsidRPr="00BB305B">
        <w:rPr>
          <w:rStyle w:val="ind"/>
          <w:i/>
        </w:rPr>
        <w:t>Scofield Reference Bible</w:t>
      </w:r>
      <w:r>
        <w:rPr>
          <w:rStyle w:val="ind"/>
        </w:rPr>
        <w:t>.  And it has functioned as a reference point for the future development of the tradition.’</w:t>
      </w:r>
      <w:r>
        <w:rPr>
          <w:rStyle w:val="EndnoteReference"/>
        </w:rPr>
        <w:endnoteReference w:id="125"/>
      </w:r>
      <w:r>
        <w:rPr>
          <w:rStyle w:val="ind"/>
        </w:rPr>
        <w:t xml:space="preserve">  I would go further than this and claim that </w:t>
      </w:r>
      <w:r w:rsidRPr="00BB305B">
        <w:rPr>
          <w:rStyle w:val="ind"/>
          <w:i/>
        </w:rPr>
        <w:t>SRB 1917</w:t>
      </w:r>
      <w:r>
        <w:rPr>
          <w:rStyle w:val="ind"/>
        </w:rPr>
        <w:t xml:space="preserve"> still promotes the classical tradition through its continuing popularity with readers.  </w:t>
      </w:r>
    </w:p>
    <w:p w:rsidR="00935C95" w:rsidRDefault="00935C95" w:rsidP="00935C95">
      <w:pPr>
        <w:spacing w:after="120" w:line="360" w:lineRule="auto"/>
        <w:ind w:firstLine="567"/>
        <w:jc w:val="both"/>
        <w:rPr>
          <w:rStyle w:val="ind"/>
        </w:rPr>
      </w:pPr>
      <w:r>
        <w:rPr>
          <w:rStyle w:val="ind"/>
        </w:rPr>
        <w:t xml:space="preserve">Blaising states that “revised” dispensationalism developed ‘between the late 1950s and the late 1970s, although it also applies to some publications in the 1990s as well’.  He claims that the term, ‘revised’ comes from the 1967 revision of </w:t>
      </w:r>
      <w:r w:rsidRPr="00B33F6B">
        <w:rPr>
          <w:rStyle w:val="ind"/>
          <w:i/>
        </w:rPr>
        <w:t>SRB</w:t>
      </w:r>
      <w:r>
        <w:rPr>
          <w:rStyle w:val="ind"/>
        </w:rPr>
        <w:t>,</w:t>
      </w:r>
      <w:r>
        <w:rPr>
          <w:rStyle w:val="EndnoteReference"/>
        </w:rPr>
        <w:endnoteReference w:id="126"/>
      </w:r>
      <w:r>
        <w:rPr>
          <w:rStyle w:val="ind"/>
        </w:rPr>
        <w:t xml:space="preserve"> whose views are ‘much more compatible to writers of this second period’.  Blaising lists John Walvoord and Ryrie amongst exponents of ‘revised dispensationalism.</w:t>
      </w:r>
      <w:r>
        <w:rPr>
          <w:rStyle w:val="EndnoteReference"/>
        </w:rPr>
        <w:endnoteReference w:id="127"/>
      </w:r>
      <w:r>
        <w:rPr>
          <w:rStyle w:val="ind"/>
        </w:rPr>
        <w:t xml:space="preserve">  The 1967 edition, together with a </w:t>
      </w:r>
      <w:r w:rsidRPr="00640DFF">
        <w:rPr>
          <w:rStyle w:val="ind"/>
        </w:rPr>
        <w:t>2003</w:t>
      </w:r>
      <w:r>
        <w:rPr>
          <w:rStyle w:val="ind"/>
        </w:rPr>
        <w:t xml:space="preserve"> edition of </w:t>
      </w:r>
      <w:r w:rsidRPr="00B33F6B">
        <w:rPr>
          <w:rStyle w:val="ind"/>
          <w:i/>
        </w:rPr>
        <w:t>SRB</w:t>
      </w:r>
      <w:r>
        <w:rPr>
          <w:rStyle w:val="ind"/>
        </w:rPr>
        <w:t xml:space="preserve">, also based on </w:t>
      </w:r>
      <w:r w:rsidRPr="00B33F6B">
        <w:rPr>
          <w:rStyle w:val="ind"/>
          <w:i/>
        </w:rPr>
        <w:t>KJV</w:t>
      </w:r>
      <w:r>
        <w:rPr>
          <w:rStyle w:val="ind"/>
        </w:rPr>
        <w:t>,</w:t>
      </w:r>
      <w:r>
        <w:rPr>
          <w:rStyle w:val="EndnoteReference"/>
        </w:rPr>
        <w:endnoteReference w:id="128"/>
      </w:r>
      <w:r>
        <w:rPr>
          <w:rStyle w:val="ind"/>
        </w:rPr>
        <w:t xml:space="preserve"> will sometimes be mentioned in this study, though space will not permit detailed analyses of the content of these editions.  </w:t>
      </w:r>
    </w:p>
    <w:p w:rsidR="00935C95" w:rsidRDefault="00935C95" w:rsidP="00935C95">
      <w:pPr>
        <w:spacing w:after="120" w:line="360" w:lineRule="auto"/>
        <w:ind w:firstLine="567"/>
        <w:jc w:val="both"/>
        <w:rPr>
          <w:rStyle w:val="ind"/>
        </w:rPr>
      </w:pPr>
      <w:r>
        <w:rPr>
          <w:rStyle w:val="ind"/>
        </w:rPr>
        <w:t xml:space="preserve">Blaising, along with scholars like Bock and Saucy, subscribes to the third, progressive, stage of dispensationalism.  He states that this form ‘offers a number of modifications to classical and revised dispensationalism which brings dispensationalism closer to contemporary evangelical biblical interpretation’.  </w:t>
      </w:r>
    </w:p>
    <w:p w:rsidR="00935C95" w:rsidRDefault="00935C95" w:rsidP="00935C95">
      <w:pPr>
        <w:spacing w:after="120" w:line="360" w:lineRule="auto"/>
        <w:ind w:firstLine="567"/>
        <w:jc w:val="both"/>
        <w:rPr>
          <w:rStyle w:val="ind"/>
        </w:rPr>
      </w:pPr>
      <w:r>
        <w:rPr>
          <w:rStyle w:val="ind"/>
        </w:rPr>
        <w:t xml:space="preserve">Examples from earlier classical </w:t>
      </w:r>
      <w:proofErr w:type="gramStart"/>
      <w:r>
        <w:rPr>
          <w:rStyle w:val="ind"/>
        </w:rPr>
        <w:t>dispensationalism,</w:t>
      </w:r>
      <w:proofErr w:type="gramEnd"/>
      <w:r>
        <w:rPr>
          <w:rStyle w:val="ind"/>
        </w:rPr>
        <w:t xml:space="preserve"> and revised and progressive versions of dispensationalism will be discussed in this study as appropriate.</w:t>
      </w:r>
    </w:p>
    <w:p w:rsidR="00396A1B" w:rsidRDefault="00396A1B" w:rsidP="00935C95">
      <w:pPr>
        <w:spacing w:after="120" w:line="360" w:lineRule="auto"/>
        <w:ind w:firstLine="567"/>
        <w:jc w:val="both"/>
        <w:rPr>
          <w:rStyle w:val="ind"/>
        </w:rPr>
      </w:pPr>
    </w:p>
    <w:p w:rsidR="00396A1B" w:rsidRDefault="00396A1B" w:rsidP="00935C95">
      <w:pPr>
        <w:spacing w:after="120" w:line="360" w:lineRule="auto"/>
        <w:ind w:firstLine="567"/>
        <w:jc w:val="both"/>
        <w:rPr>
          <w:rStyle w:val="ind"/>
        </w:rPr>
        <w:sectPr w:rsidR="00396A1B" w:rsidSect="005336C3">
          <w:headerReference w:type="even" r:id="rId17"/>
          <w:footnotePr>
            <w:numFmt w:val="lowerRoman"/>
            <w:numRestart w:val="eachSect"/>
          </w:footnotePr>
          <w:endnotePr>
            <w:numFmt w:val="decimal"/>
            <w:numRestart w:val="eachSect"/>
          </w:endnotePr>
          <w:type w:val="continuous"/>
          <w:pgSz w:w="11906" w:h="16838" w:code="9"/>
          <w:pgMar w:top="1440" w:right="1134" w:bottom="1440" w:left="2268" w:header="709" w:footer="709" w:gutter="0"/>
          <w:cols w:space="708"/>
          <w:docGrid w:linePitch="360"/>
        </w:sectPr>
      </w:pPr>
    </w:p>
    <w:p w:rsidR="00F1470F" w:rsidRDefault="00F1470F" w:rsidP="00F1470F">
      <w:pPr>
        <w:spacing w:after="120" w:line="360" w:lineRule="auto"/>
        <w:ind w:firstLine="567"/>
        <w:jc w:val="center"/>
        <w:rPr>
          <w:b/>
          <w:sz w:val="28"/>
        </w:rPr>
      </w:pPr>
      <w:bookmarkStart w:id="5" w:name="INTRODUCTION18"/>
      <w:bookmarkEnd w:id="5"/>
      <w:r>
        <w:rPr>
          <w:b/>
          <w:sz w:val="28"/>
        </w:rPr>
        <w:lastRenderedPageBreak/>
        <w:t>INTRODUCTION</w:t>
      </w:r>
    </w:p>
    <w:p w:rsidR="00F1470F" w:rsidRPr="00313C89" w:rsidRDefault="00F1470F" w:rsidP="00F1470F">
      <w:pPr>
        <w:spacing w:after="120" w:line="360" w:lineRule="auto"/>
        <w:ind w:firstLine="567"/>
        <w:jc w:val="center"/>
        <w:rPr>
          <w:b/>
          <w:sz w:val="28"/>
        </w:rPr>
      </w:pPr>
      <w:r>
        <w:rPr>
          <w:b/>
          <w:sz w:val="28"/>
        </w:rPr>
        <w:t>The Scofield Reference Bible, 1917</w:t>
      </w:r>
    </w:p>
    <w:p w:rsidR="00F1470F" w:rsidRDefault="00F1470F" w:rsidP="00F1470F">
      <w:pPr>
        <w:spacing w:after="120" w:line="360" w:lineRule="auto"/>
        <w:ind w:right="74"/>
        <w:jc w:val="both"/>
        <w:rPr>
          <w:rFonts w:cs="Perpetua"/>
          <w:spacing w:val="6"/>
          <w:position w:val="9"/>
        </w:rPr>
      </w:pPr>
      <w:r w:rsidRPr="00826420">
        <w:rPr>
          <w:i/>
        </w:rPr>
        <w:t>Dispensing Dispensationalism</w:t>
      </w:r>
      <w:r w:rsidRPr="00826420">
        <w:t xml:space="preserve"> explores the hermeneutic of Cyrus Ingerson Scofield as displayed in the </w:t>
      </w:r>
      <w:r w:rsidRPr="00DF4BFC">
        <w:rPr>
          <w:i/>
        </w:rPr>
        <w:t>Scofield Reference Bible</w:t>
      </w:r>
      <w:r w:rsidRPr="00826420">
        <w:t xml:space="preserve">, 1917.  </w:t>
      </w:r>
      <w:r>
        <w:t xml:space="preserve">Donald Kraus, Executive Editor of Bibles at Oxford University Press, USA, stated in 2013 that ‘the 1917 Scofield edition [of the </w:t>
      </w:r>
      <w:r w:rsidRPr="002D37B2">
        <w:rPr>
          <w:i/>
        </w:rPr>
        <w:t>Scofield Reference Bible</w:t>
      </w:r>
      <w:r>
        <w:t xml:space="preserve">] currently accounts for more than half of all </w:t>
      </w:r>
      <w:r w:rsidRPr="003F33D2">
        <w:rPr>
          <w:i/>
        </w:rPr>
        <w:t>OUP</w:t>
      </w:r>
      <w:r>
        <w:t xml:space="preserve">’s Bible sales to evangelical Protestant customers.  It is still the best-selling Bible at </w:t>
      </w:r>
      <w:r w:rsidRPr="003F33D2">
        <w:rPr>
          <w:i/>
        </w:rPr>
        <w:t>OUP</w:t>
      </w:r>
      <w:r>
        <w:t xml:space="preserve"> for those readers.’</w:t>
      </w:r>
      <w:r>
        <w:rPr>
          <w:rStyle w:val="EndnoteReference"/>
        </w:rPr>
        <w:endnoteReference w:id="129"/>
      </w:r>
      <w:r>
        <w:t xml:space="preserve">  Mark </w:t>
      </w:r>
      <w:r w:rsidRPr="00875885">
        <w:rPr>
          <w:rFonts w:cs="Perpetua"/>
        </w:rPr>
        <w:t>Sweetnam</w:t>
      </w:r>
      <w:r w:rsidRPr="00875885">
        <w:rPr>
          <w:rFonts w:cs="Perpetua"/>
          <w:spacing w:val="-3"/>
        </w:rPr>
        <w:t xml:space="preserve"> </w:t>
      </w:r>
      <w:r w:rsidRPr="00875885">
        <w:rPr>
          <w:rFonts w:cs="Perpetua"/>
        </w:rPr>
        <w:t>states</w:t>
      </w:r>
      <w:r w:rsidRPr="00875885">
        <w:rPr>
          <w:rFonts w:cs="Perpetua"/>
          <w:spacing w:val="-2"/>
        </w:rPr>
        <w:t xml:space="preserve"> </w:t>
      </w:r>
      <w:r w:rsidRPr="00875885">
        <w:rPr>
          <w:rFonts w:cs="Perpetua"/>
        </w:rPr>
        <w:t>that</w:t>
      </w:r>
      <w:r w:rsidRPr="00875885">
        <w:rPr>
          <w:rFonts w:cs="Perpetua"/>
          <w:spacing w:val="-3"/>
        </w:rPr>
        <w:t xml:space="preserve"> </w:t>
      </w:r>
      <w:r w:rsidRPr="00875885">
        <w:rPr>
          <w:rFonts w:cs="Perpetua"/>
        </w:rPr>
        <w:t>the</w:t>
      </w:r>
      <w:r w:rsidRPr="00875885">
        <w:rPr>
          <w:rFonts w:cs="Perpetua"/>
          <w:spacing w:val="-4"/>
        </w:rPr>
        <w:t xml:space="preserve"> </w:t>
      </w:r>
      <w:r w:rsidRPr="00875885">
        <w:rPr>
          <w:rFonts w:cs="Perpetua"/>
        </w:rPr>
        <w:t>1917</w:t>
      </w:r>
      <w:r w:rsidRPr="00875885">
        <w:rPr>
          <w:rFonts w:cs="Perpetua"/>
          <w:spacing w:val="-4"/>
        </w:rPr>
        <w:t xml:space="preserve"> </w:t>
      </w:r>
      <w:r w:rsidRPr="00875885">
        <w:rPr>
          <w:rFonts w:cs="Perpetua"/>
        </w:rPr>
        <w:t>edition</w:t>
      </w:r>
      <w:r w:rsidRPr="00875885">
        <w:rPr>
          <w:rFonts w:cs="Perpetua"/>
          <w:spacing w:val="-3"/>
        </w:rPr>
        <w:t xml:space="preserve"> </w:t>
      </w:r>
      <w:r w:rsidRPr="00875885">
        <w:rPr>
          <w:rFonts w:cs="Perpetua"/>
        </w:rPr>
        <w:t>has</w:t>
      </w:r>
      <w:r w:rsidRPr="00875885">
        <w:rPr>
          <w:rFonts w:cs="Perpetua"/>
          <w:spacing w:val="-4"/>
        </w:rPr>
        <w:t xml:space="preserve"> </w:t>
      </w:r>
      <w:r w:rsidRPr="00875885">
        <w:rPr>
          <w:rFonts w:cs="Perpetua"/>
        </w:rPr>
        <w:t>been</w:t>
      </w:r>
      <w:r w:rsidRPr="00875885">
        <w:rPr>
          <w:rFonts w:cs="Perpetua"/>
          <w:spacing w:val="-2"/>
        </w:rPr>
        <w:t xml:space="preserve"> </w:t>
      </w:r>
      <w:r w:rsidRPr="00875885">
        <w:rPr>
          <w:rFonts w:cs="Perpetua"/>
        </w:rPr>
        <w:t>‘the</w:t>
      </w:r>
      <w:r w:rsidRPr="00875885">
        <w:rPr>
          <w:rFonts w:cs="Perpetua"/>
          <w:spacing w:val="-4"/>
        </w:rPr>
        <w:t xml:space="preserve"> </w:t>
      </w:r>
      <w:r w:rsidRPr="00875885">
        <w:rPr>
          <w:rFonts w:cs="Perpetua"/>
        </w:rPr>
        <w:t>most influential</w:t>
      </w:r>
      <w:r w:rsidRPr="00875885">
        <w:rPr>
          <w:rFonts w:cs="Perpetua"/>
          <w:spacing w:val="-2"/>
        </w:rPr>
        <w:t xml:space="preserve"> </w:t>
      </w:r>
      <w:r w:rsidRPr="00875885">
        <w:rPr>
          <w:rFonts w:cs="Perpetua"/>
        </w:rPr>
        <w:t>edition</w:t>
      </w:r>
      <w:r w:rsidRPr="00875885">
        <w:rPr>
          <w:rFonts w:cs="Perpetua"/>
          <w:spacing w:val="-2"/>
        </w:rPr>
        <w:t xml:space="preserve"> </w:t>
      </w:r>
      <w:r w:rsidRPr="00875885">
        <w:rPr>
          <w:rFonts w:cs="Perpetua"/>
        </w:rPr>
        <w:t>of</w:t>
      </w:r>
      <w:r w:rsidRPr="00875885">
        <w:rPr>
          <w:rFonts w:cs="Perpetua"/>
          <w:spacing w:val="-1"/>
        </w:rPr>
        <w:t xml:space="preserve"> </w:t>
      </w:r>
      <w:r w:rsidRPr="00875885">
        <w:rPr>
          <w:rFonts w:cs="Perpetua"/>
        </w:rPr>
        <w:t>this</w:t>
      </w:r>
      <w:r w:rsidRPr="00875885">
        <w:rPr>
          <w:rFonts w:cs="Perpetua"/>
          <w:spacing w:val="-1"/>
        </w:rPr>
        <w:t xml:space="preserve"> </w:t>
      </w:r>
      <w:r w:rsidRPr="00875885">
        <w:rPr>
          <w:rFonts w:cs="Perpetua"/>
        </w:rPr>
        <w:t>influential Bible’.</w:t>
      </w:r>
      <w:r>
        <w:rPr>
          <w:rStyle w:val="EndnoteReference"/>
          <w:rFonts w:cs="Perpetua"/>
        </w:rPr>
        <w:endnoteReference w:id="130"/>
      </w:r>
      <w:r w:rsidRPr="00875885">
        <w:rPr>
          <w:rFonts w:cs="Perpetua"/>
          <w:spacing w:val="10"/>
          <w:position w:val="9"/>
        </w:rPr>
        <w:t xml:space="preserve"> </w:t>
      </w:r>
      <w:r w:rsidRPr="00875885">
        <w:rPr>
          <w:rFonts w:cs="Perpetua"/>
        </w:rPr>
        <w:t>‘Scofield</w:t>
      </w:r>
      <w:r w:rsidRPr="00875885">
        <w:rPr>
          <w:rFonts w:cs="Perpetua"/>
          <w:spacing w:val="-1"/>
        </w:rPr>
        <w:t xml:space="preserve"> </w:t>
      </w:r>
      <w:r w:rsidRPr="00875885">
        <w:rPr>
          <w:rFonts w:cs="Perpetua"/>
        </w:rPr>
        <w:t>and his</w:t>
      </w:r>
      <w:r w:rsidRPr="00875885">
        <w:rPr>
          <w:rFonts w:cs="Perpetua"/>
          <w:spacing w:val="-1"/>
        </w:rPr>
        <w:t xml:space="preserve"> </w:t>
      </w:r>
      <w:r w:rsidRPr="00875885">
        <w:rPr>
          <w:rFonts w:cs="Perpetua"/>
        </w:rPr>
        <w:t>notes have</w:t>
      </w:r>
      <w:r w:rsidRPr="00875885">
        <w:rPr>
          <w:rFonts w:cs="Perpetua"/>
          <w:spacing w:val="-1"/>
        </w:rPr>
        <w:t xml:space="preserve"> </w:t>
      </w:r>
      <w:r w:rsidRPr="00875885">
        <w:rPr>
          <w:rFonts w:cs="Perpetua"/>
        </w:rPr>
        <w:t>shaped</w:t>
      </w:r>
      <w:r w:rsidRPr="00875885">
        <w:rPr>
          <w:rFonts w:cs="Perpetua"/>
          <w:spacing w:val="-1"/>
        </w:rPr>
        <w:t xml:space="preserve"> </w:t>
      </w:r>
      <w:r w:rsidRPr="00875885">
        <w:rPr>
          <w:rFonts w:cs="Perpetua"/>
        </w:rPr>
        <w:t>the</w:t>
      </w:r>
      <w:r w:rsidRPr="00875885">
        <w:rPr>
          <w:rFonts w:cs="Perpetua"/>
          <w:spacing w:val="-1"/>
        </w:rPr>
        <w:t xml:space="preserve"> </w:t>
      </w:r>
      <w:r w:rsidRPr="00875885">
        <w:rPr>
          <w:rFonts w:cs="Perpetua"/>
        </w:rPr>
        <w:t>doctrinal</w:t>
      </w:r>
      <w:r w:rsidRPr="00875885">
        <w:rPr>
          <w:rFonts w:cs="Perpetua"/>
          <w:spacing w:val="-2"/>
        </w:rPr>
        <w:t xml:space="preserve"> </w:t>
      </w:r>
      <w:r w:rsidRPr="00875885">
        <w:rPr>
          <w:rFonts w:cs="Perpetua"/>
        </w:rPr>
        <w:t>basis</w:t>
      </w:r>
      <w:r w:rsidRPr="00875885">
        <w:rPr>
          <w:rFonts w:cs="Perpetua"/>
          <w:spacing w:val="-2"/>
        </w:rPr>
        <w:t xml:space="preserve"> </w:t>
      </w:r>
      <w:r w:rsidRPr="00875885">
        <w:rPr>
          <w:rFonts w:cs="Perpetua"/>
        </w:rPr>
        <w:t>of</w:t>
      </w:r>
      <w:r w:rsidRPr="00875885">
        <w:rPr>
          <w:rFonts w:cs="Perpetua"/>
          <w:spacing w:val="-1"/>
        </w:rPr>
        <w:t xml:space="preserve"> </w:t>
      </w:r>
      <w:r w:rsidRPr="00875885">
        <w:rPr>
          <w:rFonts w:cs="Perpetua"/>
        </w:rPr>
        <w:t>large</w:t>
      </w:r>
      <w:r w:rsidRPr="00875885">
        <w:rPr>
          <w:rFonts w:cs="Perpetua"/>
          <w:spacing w:val="21"/>
          <w:w w:val="99"/>
        </w:rPr>
        <w:t xml:space="preserve"> </w:t>
      </w:r>
      <w:r w:rsidRPr="00875885">
        <w:rPr>
          <w:rFonts w:cs="Perpetua"/>
          <w:spacing w:val="-1"/>
        </w:rPr>
        <w:t>swathes</w:t>
      </w:r>
      <w:r w:rsidRPr="00875885">
        <w:rPr>
          <w:rFonts w:cs="Perpetua"/>
          <w:spacing w:val="41"/>
        </w:rPr>
        <w:t xml:space="preserve"> </w:t>
      </w:r>
      <w:r w:rsidRPr="00875885">
        <w:rPr>
          <w:rFonts w:cs="Perpetua"/>
          <w:spacing w:val="-1"/>
        </w:rPr>
        <w:t>of</w:t>
      </w:r>
      <w:r w:rsidRPr="00875885">
        <w:rPr>
          <w:rFonts w:cs="Perpetua"/>
          <w:spacing w:val="43"/>
        </w:rPr>
        <w:t xml:space="preserve"> </w:t>
      </w:r>
      <w:r w:rsidRPr="00875885">
        <w:rPr>
          <w:rFonts w:cs="Perpetua"/>
          <w:spacing w:val="-1"/>
        </w:rPr>
        <w:t>evangelicalism.’</w:t>
      </w:r>
      <w:r>
        <w:rPr>
          <w:rStyle w:val="EndnoteReference"/>
          <w:rFonts w:cs="Perpetua"/>
          <w:spacing w:val="-1"/>
        </w:rPr>
        <w:endnoteReference w:id="131"/>
      </w:r>
      <w:r w:rsidRPr="00875885">
        <w:rPr>
          <w:rFonts w:cs="Perpetua"/>
          <w:spacing w:val="6"/>
          <w:position w:val="9"/>
        </w:rPr>
        <w:t xml:space="preserve"> </w:t>
      </w:r>
    </w:p>
    <w:p w:rsidR="00F1470F" w:rsidRDefault="00F1470F" w:rsidP="00F1470F">
      <w:pPr>
        <w:spacing w:after="120" w:line="360" w:lineRule="auto"/>
        <w:ind w:right="74" w:firstLine="567"/>
        <w:jc w:val="both"/>
      </w:pPr>
      <w:r w:rsidRPr="002C3651">
        <w:t xml:space="preserve">The first edition of the </w:t>
      </w:r>
      <w:r w:rsidRPr="002C3651">
        <w:rPr>
          <w:i/>
        </w:rPr>
        <w:t>Scofield Reference Bible</w:t>
      </w:r>
      <w:r w:rsidRPr="002C3651">
        <w:t>, edited by Scofield, was published by Oxford University Press in 1909 but copies of this edition are now virtually unobtainable.  The second edition, (</w:t>
      </w:r>
      <w:r w:rsidRPr="002C3651">
        <w:rPr>
          <w:i/>
        </w:rPr>
        <w:t>SRB</w:t>
      </w:r>
      <w:r w:rsidRPr="002C3651">
        <w:t xml:space="preserve">) published by </w:t>
      </w:r>
      <w:r w:rsidRPr="002C3651">
        <w:rPr>
          <w:i/>
        </w:rPr>
        <w:t>OUP</w:t>
      </w:r>
      <w:r w:rsidRPr="002C3651">
        <w:t xml:space="preserve"> in 1917,</w:t>
      </w:r>
      <w:r w:rsidRPr="002C3651">
        <w:rPr>
          <w:rStyle w:val="FootnoteReference"/>
        </w:rPr>
        <w:footnoteReference w:id="4"/>
      </w:r>
      <w:r w:rsidRPr="002C3651">
        <w:t xml:space="preserve"> is almost identical.  There are three small differences between the 1909 and 1917 editions.  Firstly, the 1917 edition incorporates dating attributed to Ussher; secondly, it includes an introductory section entitled ‘A Panoramic View of the Bible’; thirdly, it uses Arabic, rather than Roman, numerals in its chapter references.</w:t>
      </w:r>
      <w:r w:rsidRPr="002C3651">
        <w:rPr>
          <w:rStyle w:val="EndnoteReference"/>
        </w:rPr>
        <w:endnoteReference w:id="132"/>
      </w:r>
      <w:r w:rsidRPr="002C3651">
        <w:t xml:space="preserve">  </w:t>
      </w:r>
    </w:p>
    <w:p w:rsidR="00F1470F" w:rsidRPr="002C3651" w:rsidRDefault="00F1470F" w:rsidP="00F1470F">
      <w:pPr>
        <w:spacing w:after="120" w:line="360" w:lineRule="auto"/>
        <w:ind w:right="74" w:firstLine="567"/>
        <w:jc w:val="both"/>
      </w:pPr>
      <w:r w:rsidRPr="002C3651">
        <w:rPr>
          <w:i/>
        </w:rPr>
        <w:t>SRB</w:t>
      </w:r>
      <w:r w:rsidRPr="002C3651">
        <w:t xml:space="preserve"> is a standard King James Version but contains extensive footnotes, cross-references, chapter-headings, sub-headings and introductions to each biblical book and group of books.  It also contains an index of its ‘introduction, analyses, notes, definitions, summaries and subject references’, an ‘Indexed Atlas to the Holy Bible’ and twelve coloured maps.  In this study I refer to the 1917 edition as ‘</w:t>
      </w:r>
      <w:r w:rsidRPr="002C3651">
        <w:rPr>
          <w:i/>
        </w:rPr>
        <w:t>SRB</w:t>
      </w:r>
      <w:r w:rsidRPr="002C3651">
        <w:t>’ and identify the 1909 edition and other, later editions individually when they are quoted.</w:t>
      </w:r>
    </w:p>
    <w:p w:rsidR="00F1470F" w:rsidRPr="00875885" w:rsidRDefault="00F1470F" w:rsidP="00F1470F">
      <w:pPr>
        <w:spacing w:after="120" w:line="360" w:lineRule="auto"/>
        <w:ind w:right="74"/>
        <w:jc w:val="both"/>
        <w:rPr>
          <w:b/>
        </w:rPr>
      </w:pPr>
      <w:proofErr w:type="gramStart"/>
      <w:r>
        <w:rPr>
          <w:b/>
        </w:rPr>
        <w:t xml:space="preserve">1  </w:t>
      </w:r>
      <w:r w:rsidRPr="00875885">
        <w:rPr>
          <w:b/>
        </w:rPr>
        <w:t>Research</w:t>
      </w:r>
      <w:proofErr w:type="gramEnd"/>
      <w:r w:rsidRPr="00875885">
        <w:rPr>
          <w:b/>
        </w:rPr>
        <w:t xml:space="preserve"> </w:t>
      </w:r>
      <w:r>
        <w:rPr>
          <w:b/>
        </w:rPr>
        <w:t>Questions</w:t>
      </w:r>
    </w:p>
    <w:p w:rsidR="00041C36" w:rsidRDefault="00041C36" w:rsidP="00041C36">
      <w:pPr>
        <w:spacing w:after="120" w:line="360" w:lineRule="auto"/>
        <w:ind w:right="74"/>
        <w:jc w:val="both"/>
      </w:pPr>
      <w:r>
        <w:t xml:space="preserve">My hypothesis is that the </w:t>
      </w:r>
      <w:r w:rsidRPr="001E4681">
        <w:rPr>
          <w:i/>
        </w:rPr>
        <w:t>Scofield Reference Bible</w:t>
      </w:r>
      <w:r>
        <w:t xml:space="preserve"> 1917 propagates a classical form of dispensationalism.  </w:t>
      </w:r>
      <w:r w:rsidRPr="002C3651">
        <w:t>S</w:t>
      </w:r>
      <w:r>
        <w:t xml:space="preserve">cofield’s hermeneutic and use of Scripture form the essential backdrop to my consideration of three issues.  </w:t>
      </w:r>
    </w:p>
    <w:p w:rsidR="00F1470F" w:rsidRPr="00CD4EEC" w:rsidRDefault="00041C36" w:rsidP="00041C36">
      <w:pPr>
        <w:spacing w:after="120" w:line="360" w:lineRule="auto"/>
        <w:ind w:right="74" w:firstLine="567"/>
        <w:jc w:val="both"/>
        <w:rPr>
          <w:rFonts w:cs="Perpetua"/>
          <w:spacing w:val="-1"/>
          <w:position w:val="9"/>
          <w:sz w:val="13"/>
          <w:szCs w:val="13"/>
        </w:rPr>
      </w:pPr>
      <w:r>
        <w:t xml:space="preserve">My first objective is to demonstrate that the </w:t>
      </w:r>
      <w:r>
        <w:rPr>
          <w:i/>
        </w:rPr>
        <w:t>SRB</w:t>
      </w:r>
      <w:r>
        <w:t xml:space="preserve"> 1917 is no ordinary reference Bible but ‘dispenses dispensationalism’ to a modern readership.  </w:t>
      </w:r>
      <w:r w:rsidR="00F1470F" w:rsidRPr="00CD4EEC">
        <w:t>As indicated in the Preface, I define dispensationalism as a theological system, essentially formulated by John Nelson Darby.</w:t>
      </w:r>
    </w:p>
    <w:p w:rsidR="00F1470F" w:rsidRDefault="00F1470F" w:rsidP="00F1470F">
      <w:pPr>
        <w:spacing w:after="120" w:line="360" w:lineRule="auto"/>
        <w:ind w:right="74" w:firstLine="567"/>
        <w:jc w:val="both"/>
      </w:pPr>
      <w:r>
        <w:t xml:space="preserve">Secondly, I seek to establish that the dispensationalism propagated by </w:t>
      </w:r>
      <w:r w:rsidRPr="007760A3">
        <w:rPr>
          <w:i/>
        </w:rPr>
        <w:t xml:space="preserve">SRB </w:t>
      </w:r>
      <w:r>
        <w:t>represents a view which is characteristic of what Craig Blaising terms ‘classical dispensationalism’.</w:t>
      </w:r>
      <w:r>
        <w:rPr>
          <w:rStyle w:val="EndnoteReference"/>
        </w:rPr>
        <w:endnoteReference w:id="133"/>
      </w:r>
      <w:r>
        <w:t xml:space="preserve">  It thus creates a time-capsule which enables an earlier version of dispensationalism to continue to flourish amidst a system which has moved on, at least in academic circles.  </w:t>
      </w:r>
    </w:p>
    <w:p w:rsidR="000428B8" w:rsidRDefault="000428B8" w:rsidP="000428B8">
      <w:pPr>
        <w:spacing w:after="120" w:line="360" w:lineRule="auto"/>
        <w:ind w:right="74" w:firstLine="567"/>
        <w:jc w:val="both"/>
      </w:pPr>
      <w:r>
        <w:lastRenderedPageBreak/>
        <w:t xml:space="preserve">Thirdly, I seek to determine whether Scofield was a typical dispensationalist by comparing the hermeneutic displayed in </w:t>
      </w:r>
      <w:r w:rsidRPr="006329CB">
        <w:rPr>
          <w:i/>
        </w:rPr>
        <w:t>SRB</w:t>
      </w:r>
      <w:r>
        <w:t xml:space="preserve"> with that in the works of his contemporaries, predecessor Darby, and successors such as Lewis Sperry Chafer, Charles Ryrie and Blaising.</w:t>
      </w:r>
    </w:p>
    <w:p w:rsidR="00F1470F" w:rsidRPr="00BE5F62" w:rsidRDefault="00761B63" w:rsidP="00F1470F">
      <w:pPr>
        <w:spacing w:after="120" w:line="360" w:lineRule="auto"/>
        <w:ind w:right="74"/>
        <w:jc w:val="both"/>
        <w:rPr>
          <w:b/>
        </w:rPr>
      </w:pPr>
      <w:bookmarkStart w:id="6" w:name="Methodology"/>
      <w:bookmarkEnd w:id="6"/>
      <w:proofErr w:type="gramStart"/>
      <w:r>
        <w:rPr>
          <w:b/>
        </w:rPr>
        <w:t xml:space="preserve">2  </w:t>
      </w:r>
      <w:r w:rsidR="00A064AC">
        <w:rPr>
          <w:b/>
        </w:rPr>
        <w:t>Methodology</w:t>
      </w:r>
      <w:proofErr w:type="gramEnd"/>
    </w:p>
    <w:p w:rsidR="00F1470F" w:rsidRDefault="00F1470F" w:rsidP="00F1470F">
      <w:pPr>
        <w:spacing w:after="120" w:line="360" w:lineRule="auto"/>
        <w:ind w:right="74"/>
        <w:jc w:val="both"/>
      </w:pPr>
      <w:r w:rsidRPr="009A534D">
        <w:rPr>
          <w:i/>
        </w:rPr>
        <w:t>Dispensing Dispensationalism</w:t>
      </w:r>
      <w:r>
        <w:t xml:space="preserve"> consists of eight chapters.  It opens with a broad discussion of dispensational hermeneutics,</w:t>
      </w:r>
      <w:r w:rsidRPr="00E0620D">
        <w:t xml:space="preserve"> </w:t>
      </w:r>
      <w:r>
        <w:t xml:space="preserve">which constitutes a consistent literal interpretation of the biblical text but allows for the use of figurative language, including symbolism and typology.  This is followed in </w:t>
      </w:r>
      <w:r w:rsidRPr="00F03EC6">
        <w:t>Chapter 2</w:t>
      </w:r>
      <w:r>
        <w:t xml:space="preserve"> by an </w:t>
      </w:r>
      <w:r w:rsidRPr="009A534D">
        <w:rPr>
          <w:spacing w:val="-2"/>
        </w:rPr>
        <w:t>exploration of Scofield’s hermeneutics as related to the dispensational hermeneutics discussed in Chapter 1</w:t>
      </w:r>
      <w:r>
        <w:t>.  Scofield’s attitudes to biblical literality, inspiration and historicity, his concern about perceived discrepancies in the biblical text, his attempts to harmonise the gospels, his interpretations of prophetic content and his typological assertions are discussed.</w:t>
      </w:r>
    </w:p>
    <w:p w:rsidR="00F1470F" w:rsidRPr="00BE5F62" w:rsidRDefault="00F1470F" w:rsidP="00F1470F">
      <w:pPr>
        <w:spacing w:after="120" w:line="360" w:lineRule="auto"/>
        <w:ind w:right="74"/>
        <w:jc w:val="both"/>
        <w:rPr>
          <w:b/>
          <w:i/>
        </w:rPr>
      </w:pPr>
      <w:r w:rsidRPr="00BE5F62">
        <w:rPr>
          <w:b/>
          <w:i/>
        </w:rPr>
        <w:t>Six elements of Dispensationalism</w:t>
      </w:r>
    </w:p>
    <w:p w:rsidR="00F1470F" w:rsidRDefault="00F1470F" w:rsidP="00F1470F">
      <w:pPr>
        <w:spacing w:after="120" w:line="360" w:lineRule="auto"/>
        <w:ind w:right="74"/>
        <w:jc w:val="both"/>
        <w:rPr>
          <w:rStyle w:val="ind"/>
        </w:rPr>
      </w:pPr>
      <w:r>
        <w:t xml:space="preserve">I regard dispensationalism as containing six essential elements, all of which are present in </w:t>
      </w:r>
      <w:r w:rsidRPr="00916C3C">
        <w:rPr>
          <w:i/>
        </w:rPr>
        <w:t>SRB</w:t>
      </w:r>
      <w:r>
        <w:t xml:space="preserve">.  </w:t>
      </w:r>
      <w:r w:rsidRPr="00916C3C">
        <w:rPr>
          <w:rStyle w:val="ind"/>
        </w:rPr>
        <w:t xml:space="preserve">These six elements </w:t>
      </w:r>
      <w:r>
        <w:rPr>
          <w:rStyle w:val="ind"/>
        </w:rPr>
        <w:t>reflect</w:t>
      </w:r>
      <w:r w:rsidRPr="00916C3C">
        <w:rPr>
          <w:rStyle w:val="ind"/>
        </w:rPr>
        <w:t xml:space="preserve"> the five ‘stresses’ which Sweetnam advances in his paper, ‘Defining Dispensationalism’.</w:t>
      </w:r>
      <w:r w:rsidRPr="00916C3C">
        <w:rPr>
          <w:rStyle w:val="EndnoteReference"/>
        </w:rPr>
        <w:endnoteReference w:id="134"/>
      </w:r>
      <w:r w:rsidRPr="00916C3C">
        <w:rPr>
          <w:rStyle w:val="ind"/>
        </w:rPr>
        <w:t xml:space="preserve">  </w:t>
      </w:r>
      <w:r>
        <w:rPr>
          <w:rStyle w:val="ind"/>
        </w:rPr>
        <w:t xml:space="preserve">The first element I discuss is a commitment to a literal biblical hermeneutic; this subject is covered in Chapter 2. </w:t>
      </w:r>
    </w:p>
    <w:p w:rsidR="00F1470F" w:rsidRDefault="00F1470F" w:rsidP="00F1470F">
      <w:pPr>
        <w:spacing w:after="120" w:line="360" w:lineRule="auto"/>
        <w:ind w:right="74" w:firstLine="567"/>
        <w:jc w:val="both"/>
        <w:rPr>
          <w:rStyle w:val="ind"/>
        </w:rPr>
      </w:pPr>
      <w:r>
        <w:rPr>
          <w:rStyle w:val="ind"/>
        </w:rPr>
        <w:t>In Chapter 3, I turn to the second essential element, commitment to evangelical doctrine.  I treat this under the headings, ‘Conversionism and Activism’, ‘Biblicism’, ‘Crucicentrism’ and ‘Christocentrism’.  The first four of these principles are based upon a study by David Bebbington and form what Bebbington calls ‘a quadrilateral of priorities’.</w:t>
      </w:r>
      <w:r>
        <w:rPr>
          <w:rStyle w:val="EndnoteReference"/>
        </w:rPr>
        <w:endnoteReference w:id="135"/>
      </w:r>
      <w:r>
        <w:rPr>
          <w:rStyle w:val="ind"/>
        </w:rPr>
        <w:t xml:space="preserve">  The fifth element, ‘Christocentrism’ comes from in an article by David Hilborn.</w:t>
      </w:r>
      <w:r>
        <w:rPr>
          <w:rStyle w:val="EndnoteReference"/>
        </w:rPr>
        <w:endnoteReference w:id="136"/>
      </w:r>
    </w:p>
    <w:p w:rsidR="00F1470F" w:rsidRDefault="00F1470F" w:rsidP="00F1470F">
      <w:pPr>
        <w:spacing w:after="120" w:line="360" w:lineRule="auto"/>
        <w:ind w:right="74" w:firstLine="567"/>
        <w:jc w:val="both"/>
        <w:rPr>
          <w:rStyle w:val="ind"/>
        </w:rPr>
      </w:pPr>
      <w:r>
        <w:rPr>
          <w:rStyle w:val="ind"/>
        </w:rPr>
        <w:t xml:space="preserve">I term the third element of dispensationalism ‘dualism’.  </w:t>
      </w:r>
      <w:r>
        <w:t xml:space="preserve">I contend that the dispenationalist system is founded upon this apprehension that Israel and the Church, as God’s earthly and heavenly peoples, are eternally separate entities.  This concept is grounded in a literal interpretation of the biblical text.  </w:t>
      </w:r>
      <w:r>
        <w:rPr>
          <w:rStyle w:val="ind"/>
        </w:rPr>
        <w:t>M</w:t>
      </w:r>
      <w:r w:rsidRPr="005B2DF9">
        <w:rPr>
          <w:rStyle w:val="ind"/>
        </w:rPr>
        <w:t xml:space="preserve">y discussion of </w:t>
      </w:r>
      <w:r>
        <w:rPr>
          <w:rStyle w:val="ind"/>
        </w:rPr>
        <w:t>dualism in Chapter 4</w:t>
      </w:r>
      <w:r w:rsidRPr="005B2DF9">
        <w:rPr>
          <w:rStyle w:val="ind"/>
        </w:rPr>
        <w:t xml:space="preserve"> answers to the second part of Sweetnam’s third stress.</w:t>
      </w:r>
      <w:r w:rsidRPr="005B2DF9">
        <w:rPr>
          <w:rStyle w:val="EndnoteReference"/>
        </w:rPr>
        <w:endnoteReference w:id="137"/>
      </w:r>
      <w:r w:rsidRPr="005B2DF9">
        <w:rPr>
          <w:rStyle w:val="ind"/>
        </w:rPr>
        <w:t xml:space="preserve">  </w:t>
      </w:r>
    </w:p>
    <w:p w:rsidR="00F1470F" w:rsidRPr="005B2DF9" w:rsidRDefault="00F1470F" w:rsidP="00F1470F">
      <w:pPr>
        <w:spacing w:after="120" w:line="360" w:lineRule="auto"/>
        <w:ind w:right="74" w:firstLine="567"/>
        <w:jc w:val="both"/>
        <w:rPr>
          <w:rStyle w:val="ind"/>
        </w:rPr>
      </w:pPr>
      <w:r w:rsidRPr="005B2DF9">
        <w:rPr>
          <w:rStyle w:val="ind"/>
        </w:rPr>
        <w:t xml:space="preserve">In Chapter 5, I examine </w:t>
      </w:r>
      <w:r>
        <w:rPr>
          <w:rStyle w:val="ind"/>
        </w:rPr>
        <w:t xml:space="preserve">the fourth element of dispensationalism, Scofield’s exposition of </w:t>
      </w:r>
      <w:r w:rsidRPr="005B2DF9">
        <w:rPr>
          <w:rStyle w:val="ind"/>
        </w:rPr>
        <w:t xml:space="preserve">dispensations themselves as </w:t>
      </w:r>
      <w:r>
        <w:rPr>
          <w:rStyle w:val="ind"/>
        </w:rPr>
        <w:t xml:space="preserve">reflecting </w:t>
      </w:r>
      <w:r w:rsidRPr="005B2DF9">
        <w:rPr>
          <w:rStyle w:val="ind"/>
        </w:rPr>
        <w:t xml:space="preserve">a concept of the means of divine interaction with humankind, and I relate this to </w:t>
      </w:r>
      <w:r>
        <w:rPr>
          <w:rStyle w:val="ind"/>
        </w:rPr>
        <w:t xml:space="preserve">his presentation of biblical </w:t>
      </w:r>
      <w:r w:rsidRPr="005B2DF9">
        <w:rPr>
          <w:rStyle w:val="ind"/>
        </w:rPr>
        <w:t>covenants.  This answers to the first part of Sweetnam’s third stress.</w:t>
      </w:r>
      <w:r w:rsidRPr="005B2DF9">
        <w:rPr>
          <w:rStyle w:val="EndnoteReference"/>
        </w:rPr>
        <w:endnoteReference w:id="138"/>
      </w:r>
    </w:p>
    <w:p w:rsidR="00F1470F" w:rsidRDefault="00F1470F" w:rsidP="00F1470F">
      <w:pPr>
        <w:spacing w:after="120" w:line="360" w:lineRule="auto"/>
        <w:ind w:right="74" w:firstLine="567"/>
        <w:jc w:val="both"/>
      </w:pPr>
      <w:r w:rsidRPr="002969AC">
        <w:rPr>
          <w:rStyle w:val="ind"/>
        </w:rPr>
        <w:t xml:space="preserve">In the next two chapters, I turn to eschatological issues; Chapter 6 concerns </w:t>
      </w:r>
      <w:r>
        <w:rPr>
          <w:rStyle w:val="ind"/>
        </w:rPr>
        <w:t xml:space="preserve">the fifth element of dispensationalism, </w:t>
      </w:r>
      <w:r w:rsidRPr="002969AC">
        <w:rPr>
          <w:rStyle w:val="ind"/>
        </w:rPr>
        <w:t xml:space="preserve">the concept of the imminent pretribulational rapture of the Church and Chapter 7 </w:t>
      </w:r>
      <w:r>
        <w:rPr>
          <w:rStyle w:val="ind"/>
        </w:rPr>
        <w:t xml:space="preserve">explores apocalyptic interpretations and the </w:t>
      </w:r>
      <w:r w:rsidRPr="002969AC">
        <w:rPr>
          <w:rStyle w:val="ind"/>
        </w:rPr>
        <w:t>expectation of the establishment of the millennial kingdom on earth at Christ’s return</w:t>
      </w:r>
      <w:r w:rsidR="00866E34">
        <w:rPr>
          <w:rStyle w:val="ind"/>
        </w:rPr>
        <w:t>,</w:t>
      </w:r>
      <w:r>
        <w:rPr>
          <w:rStyle w:val="ind"/>
        </w:rPr>
        <w:t xml:space="preserve"> which is the sixth element</w:t>
      </w:r>
      <w:r w:rsidRPr="002969AC">
        <w:rPr>
          <w:rStyle w:val="ind"/>
        </w:rPr>
        <w:t xml:space="preserve">.  </w:t>
      </w:r>
      <w:r>
        <w:t xml:space="preserve">In discussing each of the six elements of dispensationalism, I seek to demonstrate how the perceptions expressed in </w:t>
      </w:r>
      <w:r w:rsidRPr="00173B49">
        <w:rPr>
          <w:i/>
        </w:rPr>
        <w:t>SRB</w:t>
      </w:r>
      <w:r>
        <w:t xml:space="preserve"> fit into an historical </w:t>
      </w:r>
      <w:r>
        <w:lastRenderedPageBreak/>
        <w:t xml:space="preserve">continuum which begins with Darby, moves through the works of Ryrie and Chafer, and ends with the progressive form of dispensationalism expounded by Blaising, Bock and Saucy.  </w:t>
      </w:r>
      <w:r w:rsidRPr="00C91993">
        <w:rPr>
          <w:rFonts w:cs="Times New Roman"/>
          <w:szCs w:val="24"/>
        </w:rPr>
        <w:t xml:space="preserve">Comparisons are made between Scofield’s exposition of dispensationalist theology in </w:t>
      </w:r>
      <w:r w:rsidRPr="00C91993">
        <w:rPr>
          <w:rFonts w:cs="Times New Roman"/>
          <w:i/>
          <w:szCs w:val="24"/>
        </w:rPr>
        <w:t>SRB</w:t>
      </w:r>
      <w:r w:rsidRPr="00C91993">
        <w:rPr>
          <w:rFonts w:cs="Times New Roman"/>
          <w:szCs w:val="24"/>
        </w:rPr>
        <w:t xml:space="preserve"> and that of traditional and progressive dispensationalists, in an attempt to place Scofield in his context, coming after Darby but relatively early now in dispensational history.  I explore whether Scofield was a typical dispensationalist for his time and whether, as I believe, his Bible is an anachronism amidst a dispensationalism which has moved on.</w:t>
      </w:r>
    </w:p>
    <w:p w:rsidR="00F1470F" w:rsidRDefault="00F1470F" w:rsidP="00F1470F">
      <w:pPr>
        <w:spacing w:after="120" w:line="360" w:lineRule="auto"/>
        <w:ind w:right="74" w:firstLine="567"/>
        <w:jc w:val="both"/>
      </w:pPr>
      <w:r>
        <w:t xml:space="preserve">In Chapter 8, I explore the content of </w:t>
      </w:r>
      <w:r w:rsidRPr="00630319">
        <w:rPr>
          <w:i/>
        </w:rPr>
        <w:t>SRB</w:t>
      </w:r>
      <w:r>
        <w:t xml:space="preserve"> book by book in order to formulate conclusions about Scofield’s general use of Scripture, considering introductions, annotation and omissions.  </w:t>
      </w:r>
      <w:r w:rsidRPr="008A6A4B">
        <w:t>For convenience and accessibility this material has been divided into Old and New Testament sections</w:t>
      </w:r>
      <w:r>
        <w:t xml:space="preserve"> and a key-point format has generally been employed.  </w:t>
      </w:r>
      <w:r w:rsidRPr="00AB6D50">
        <w:t xml:space="preserve">This chapter includes some topics which have not been addressed under the headings of the six elements and it provides further evidence of the uneven annotation of </w:t>
      </w:r>
      <w:r w:rsidRPr="00AB6D50">
        <w:rPr>
          <w:i/>
        </w:rPr>
        <w:t>SRB</w:t>
      </w:r>
      <w:r w:rsidRPr="00AB6D50">
        <w:t>.</w:t>
      </w:r>
      <w:r w:rsidRPr="00AB6D50">
        <w:rPr>
          <w:b/>
          <w:i/>
        </w:rPr>
        <w:t xml:space="preserve">  </w:t>
      </w:r>
      <w:r>
        <w:t>It contains graphs which indicate the distribution of notes on individual chapters and tables showing the themes covered in each book.  The books are divided into sections according to the divisions provided by Scofield</w:t>
      </w:r>
      <w:r>
        <w:rPr>
          <w:rStyle w:val="EndnoteReference"/>
        </w:rPr>
        <w:endnoteReference w:id="139"/>
      </w:r>
      <w:r>
        <w:t xml:space="preserve"> and each section ends with my conclusion about Scofield’s annotation of the texts concerned.  </w:t>
      </w:r>
    </w:p>
    <w:p w:rsidR="00851A6C" w:rsidRDefault="00851A6C" w:rsidP="00851A6C">
      <w:pPr>
        <w:spacing w:after="120" w:line="360" w:lineRule="auto"/>
        <w:ind w:right="74" w:firstLine="567"/>
        <w:jc w:val="both"/>
      </w:pPr>
      <w:r>
        <w:t xml:space="preserve">Chapter 8 is followed by three case studies; these encapsulate discussions of scholarly interpretations of passages which are prominent in </w:t>
      </w:r>
      <w:r w:rsidRPr="00AB6D50">
        <w:rPr>
          <w:i/>
        </w:rPr>
        <w:t>SRB</w:t>
      </w:r>
      <w:r>
        <w:t xml:space="preserve">: Zechariah 12:8 (Summary of the Kingdom, Old Testament); verses in Matthew concerning the kingdom and 1 Cor. 15:24 (Summary of the Kingdom, New Testament).  </w:t>
      </w:r>
    </w:p>
    <w:p w:rsidR="00F1470F" w:rsidRPr="00875885" w:rsidRDefault="00F1470F" w:rsidP="00F1470F">
      <w:pPr>
        <w:spacing w:after="120" w:line="360" w:lineRule="auto"/>
        <w:ind w:right="74"/>
        <w:jc w:val="both"/>
        <w:rPr>
          <w:b/>
        </w:rPr>
      </w:pPr>
      <w:r>
        <w:rPr>
          <w:b/>
        </w:rPr>
        <w:t>Introduction to t</w:t>
      </w:r>
      <w:r w:rsidRPr="00875885">
        <w:rPr>
          <w:b/>
        </w:rPr>
        <w:t xml:space="preserve">he Content of the </w:t>
      </w:r>
      <w:r w:rsidRPr="00875885">
        <w:rPr>
          <w:b/>
          <w:i/>
        </w:rPr>
        <w:t>Scofield Reference Bible</w:t>
      </w:r>
      <w:r w:rsidRPr="00875885">
        <w:rPr>
          <w:b/>
        </w:rPr>
        <w:t>, 1917</w:t>
      </w:r>
    </w:p>
    <w:p w:rsidR="00F1470F" w:rsidRPr="00B66FBE" w:rsidRDefault="00F1470F" w:rsidP="00F1470F">
      <w:pPr>
        <w:spacing w:after="120" w:line="360" w:lineRule="auto"/>
        <w:ind w:right="74"/>
        <w:jc w:val="both"/>
        <w:rPr>
          <w:b/>
          <w:i/>
        </w:rPr>
      </w:pPr>
      <w:r>
        <w:rPr>
          <w:b/>
          <w:i/>
        </w:rPr>
        <w:t xml:space="preserve">a)  </w:t>
      </w:r>
      <w:r w:rsidRPr="00B66FBE">
        <w:rPr>
          <w:b/>
          <w:i/>
        </w:rPr>
        <w:t>Comparison of Content of SRB with that of Other Reference Bibles</w:t>
      </w:r>
    </w:p>
    <w:p w:rsidR="00DB2906" w:rsidRDefault="00F1470F" w:rsidP="00F1470F">
      <w:pPr>
        <w:spacing w:after="120" w:line="360" w:lineRule="auto"/>
        <w:ind w:right="74"/>
        <w:jc w:val="both"/>
      </w:pPr>
      <w:r>
        <w:t xml:space="preserve">I begin with a comparison between the content of the </w:t>
      </w:r>
      <w:r w:rsidRPr="00B66FBE">
        <w:rPr>
          <w:i/>
        </w:rPr>
        <w:t>Scofield Reference Bible</w:t>
      </w:r>
      <w:r>
        <w:t xml:space="preserve"> and other reference Bibles, examining its coverage of the biblical text.  </w:t>
      </w:r>
      <w:r w:rsidRPr="007B5BAC">
        <w:rPr>
          <w:i/>
        </w:rPr>
        <w:t>SRB</w:t>
      </w:r>
      <w:r>
        <w:t xml:space="preserve"> was not the first Bible in the English language to be annotated - that honour probably goes to the </w:t>
      </w:r>
      <w:r w:rsidRPr="00866E34">
        <w:rPr>
          <w:i/>
        </w:rPr>
        <w:t>Geneva Bible</w:t>
      </w:r>
      <w:r>
        <w:t xml:space="preserve"> of 1560 - but </w:t>
      </w:r>
      <w:r w:rsidRPr="00815C62">
        <w:rPr>
          <w:i/>
        </w:rPr>
        <w:t>SRB</w:t>
      </w:r>
      <w:r>
        <w:t xml:space="preserve"> was the first reference Bible after Geneva to contain commentary in the same volume as the biblical text.  The table below compares the annotative scheme of </w:t>
      </w:r>
      <w:r w:rsidRPr="004004CA">
        <w:rPr>
          <w:i/>
        </w:rPr>
        <w:t>SRB</w:t>
      </w:r>
      <w:r>
        <w:t xml:space="preserve"> with those of the </w:t>
      </w:r>
      <w:r w:rsidRPr="00866E34">
        <w:rPr>
          <w:i/>
        </w:rPr>
        <w:t>Geneva Bible</w:t>
      </w:r>
      <w:r>
        <w:t>,</w:t>
      </w:r>
      <w:r>
        <w:rPr>
          <w:rStyle w:val="EndnoteReference"/>
        </w:rPr>
        <w:endnoteReference w:id="140"/>
      </w:r>
      <w:r>
        <w:t xml:space="preserve"> of </w:t>
      </w:r>
      <w:r w:rsidRPr="00320C6D">
        <w:t xml:space="preserve">the </w:t>
      </w:r>
      <w:r w:rsidRPr="0053457C">
        <w:rPr>
          <w:i/>
        </w:rPr>
        <w:t>Ryrie Study Bible</w:t>
      </w:r>
      <w:r>
        <w:rPr>
          <w:rStyle w:val="EndnoteReference"/>
        </w:rPr>
        <w:endnoteReference w:id="141"/>
      </w:r>
      <w:r>
        <w:t xml:space="preserve"> (1976/1978) and of two other study Bibles which were published after </w:t>
      </w:r>
      <w:r w:rsidRPr="00A63762">
        <w:rPr>
          <w:i/>
        </w:rPr>
        <w:t>SRB</w:t>
      </w:r>
      <w:r w:rsidRPr="000D570D">
        <w:t xml:space="preserve"> -</w:t>
      </w:r>
      <w:r>
        <w:rPr>
          <w:i/>
        </w:rPr>
        <w:t xml:space="preserve"> </w:t>
      </w:r>
      <w:r>
        <w:t xml:space="preserve">the </w:t>
      </w:r>
      <w:r w:rsidRPr="004004CA">
        <w:rPr>
          <w:i/>
        </w:rPr>
        <w:t>NIV Study Bible</w:t>
      </w:r>
      <w:r>
        <w:rPr>
          <w:rStyle w:val="EndnoteReference"/>
          <w:i/>
        </w:rPr>
        <w:endnoteReference w:id="142"/>
      </w:r>
      <w:r>
        <w:t xml:space="preserve"> of 1987/1993 and </w:t>
      </w:r>
      <w:r w:rsidRPr="00CC6C3C">
        <w:rPr>
          <w:i/>
        </w:rPr>
        <w:t>The Cambridge Annotated Study Bible: New Revised Standard Version</w:t>
      </w:r>
      <w:r>
        <w:t xml:space="preserve"> of 1989.</w:t>
      </w:r>
      <w:r>
        <w:rPr>
          <w:rStyle w:val="EndnoteReference"/>
        </w:rPr>
        <w:endnoteReference w:id="143"/>
      </w:r>
      <w:r w:rsidR="00DB2906">
        <w:t xml:space="preserve">  </w:t>
      </w:r>
    </w:p>
    <w:p w:rsidR="00F1470F" w:rsidRDefault="00F1470F" w:rsidP="00F1470F">
      <w:pPr>
        <w:spacing w:after="120" w:line="360" w:lineRule="auto"/>
        <w:ind w:right="74"/>
        <w:jc w:val="both"/>
      </w:pPr>
      <w:r w:rsidRPr="00385E46">
        <w:rPr>
          <w:b/>
          <w:i/>
        </w:rPr>
        <w:t>Continued overleaf</w:t>
      </w:r>
    </w:p>
    <w:p w:rsidR="00F1470F" w:rsidRDefault="00F1470F" w:rsidP="00F1470F">
      <w:pPr>
        <w:spacing w:after="120" w:line="360" w:lineRule="auto"/>
        <w:ind w:right="74"/>
        <w:jc w:val="center"/>
        <w:rPr>
          <w:b/>
          <w:sz w:val="24"/>
        </w:rPr>
      </w:pPr>
      <w:r>
        <w:rPr>
          <w:b/>
          <w:noProof/>
          <w:sz w:val="24"/>
          <w:lang w:eastAsia="en-GB"/>
        </w:rPr>
        <w:lastRenderedPageBreak/>
        <w:drawing>
          <wp:inline distT="0" distB="0" distL="0" distR="0" wp14:anchorId="360B1E62" wp14:editId="63995A02">
            <wp:extent cx="5340985" cy="88633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of Five Study Bibles 8.12.17 rev 14.5.18 crop.jpg"/>
                    <pic:cNvPicPr/>
                  </pic:nvPicPr>
                  <pic:blipFill>
                    <a:blip r:embed="rId18">
                      <a:extLst>
                        <a:ext uri="{28A0092B-C50C-407E-A947-70E740481C1C}">
                          <a14:useLocalDpi xmlns:a14="http://schemas.microsoft.com/office/drawing/2010/main" val="0"/>
                        </a:ext>
                      </a:extLst>
                    </a:blip>
                    <a:stretch>
                      <a:fillRect/>
                    </a:stretch>
                  </pic:blipFill>
                  <pic:spPr>
                    <a:xfrm>
                      <a:off x="0" y="0"/>
                      <a:ext cx="5340985" cy="8863330"/>
                    </a:xfrm>
                    <a:prstGeom prst="rect">
                      <a:avLst/>
                    </a:prstGeom>
                  </pic:spPr>
                </pic:pic>
              </a:graphicData>
            </a:graphic>
          </wp:inline>
        </w:drawing>
      </w:r>
    </w:p>
    <w:p w:rsidR="00F1470F" w:rsidRPr="00253E12" w:rsidRDefault="00F1470F" w:rsidP="00F1470F">
      <w:pPr>
        <w:spacing w:after="120" w:line="360" w:lineRule="auto"/>
        <w:ind w:right="74" w:firstLine="567"/>
        <w:jc w:val="both"/>
      </w:pPr>
      <w:r w:rsidRPr="00253E12">
        <w:lastRenderedPageBreak/>
        <w:t xml:space="preserve">Comparing </w:t>
      </w:r>
      <w:r w:rsidRPr="00253E12">
        <w:rPr>
          <w:i/>
        </w:rPr>
        <w:t>SRB</w:t>
      </w:r>
      <w:r w:rsidRPr="00253E12">
        <w:t xml:space="preserve"> with the </w:t>
      </w:r>
      <w:r w:rsidRPr="00866E34">
        <w:rPr>
          <w:i/>
        </w:rPr>
        <w:t>Geneva Bible</w:t>
      </w:r>
      <w:r w:rsidRPr="00253E12">
        <w:t xml:space="preserve">, the biggest innovations are </w:t>
      </w:r>
      <w:r w:rsidRPr="00253E12">
        <w:rPr>
          <w:i/>
        </w:rPr>
        <w:t>SRB</w:t>
      </w:r>
      <w:r w:rsidRPr="00253E12">
        <w:t xml:space="preserve">’s addition of introductions to groups of books, such as the Pentateuch and the Gospels, a feature which is not repeated in the later </w:t>
      </w:r>
      <w:r>
        <w:t xml:space="preserve">reference </w:t>
      </w:r>
      <w:r w:rsidRPr="00253E12">
        <w:t xml:space="preserve">Bibles, and especially its insertion of subheads, an innovation which is maintained by the later study Bibles.  </w:t>
      </w:r>
      <w:r>
        <w:t xml:space="preserve">Scofield’s introduction of block capital headings in Jeremiah and Ezekiel is replicated by Ryrie throughout his study Bible in a complex series of divisions and sub-divisions but this system is not adopted by the later study Bibles.  </w:t>
      </w:r>
      <w:r w:rsidRPr="00253E12">
        <w:t xml:space="preserve">All the study Bibles </w:t>
      </w:r>
      <w:proofErr w:type="gramStart"/>
      <w:r w:rsidRPr="00253E12">
        <w:t>include</w:t>
      </w:r>
      <w:proofErr w:type="gramEnd"/>
      <w:r w:rsidRPr="00253E12">
        <w:t xml:space="preserve"> references to the original languages, though </w:t>
      </w:r>
      <w:r w:rsidRPr="00253E12">
        <w:rPr>
          <w:i/>
        </w:rPr>
        <w:t>SRB</w:t>
      </w:r>
      <w:r w:rsidRPr="00253E12">
        <w:t xml:space="preserve">’s references are not extensive, and all contain cross-references, including intertestamental references.  All include indices and maps but only </w:t>
      </w:r>
      <w:r>
        <w:t xml:space="preserve">the </w:t>
      </w:r>
      <w:r w:rsidRPr="00320C6D">
        <w:rPr>
          <w:i/>
        </w:rPr>
        <w:t>Ryrie Study Bible</w:t>
      </w:r>
      <w:r>
        <w:t xml:space="preserve"> </w:t>
      </w:r>
      <w:r w:rsidRPr="00253E12">
        <w:t xml:space="preserve">and </w:t>
      </w:r>
      <w:r w:rsidRPr="00253E12">
        <w:rPr>
          <w:i/>
        </w:rPr>
        <w:t>NIV</w:t>
      </w:r>
      <w:r w:rsidRPr="00253E12">
        <w:t xml:space="preserve"> include a concordance. </w:t>
      </w:r>
    </w:p>
    <w:p w:rsidR="00F1470F" w:rsidRDefault="00F1470F" w:rsidP="00F1470F">
      <w:pPr>
        <w:spacing w:after="120" w:line="360" w:lineRule="auto"/>
        <w:ind w:right="74" w:firstLine="567"/>
        <w:jc w:val="both"/>
      </w:pPr>
      <w:r>
        <w:t xml:space="preserve">What is most striking when comparing all five Bibles is that all versions except </w:t>
      </w:r>
      <w:r w:rsidRPr="005229A7">
        <w:rPr>
          <w:i/>
        </w:rPr>
        <w:t>SRB</w:t>
      </w:r>
      <w:r>
        <w:t xml:space="preserve"> contain notes on almost every page, whereas Scofield’s footnotes are sporadic, despite his claim in his introduction to </w:t>
      </w:r>
      <w:r w:rsidRPr="005229A7">
        <w:rPr>
          <w:i/>
        </w:rPr>
        <w:t>SRB</w:t>
      </w:r>
      <w:r>
        <w:t xml:space="preserve"> that </w:t>
      </w:r>
      <w:r w:rsidRPr="002F1EC0">
        <w:t>‘by a new system of connected topical references, all the greater truths of divine revelation are traced through the entire Bible’;</w:t>
      </w:r>
      <w:r w:rsidRPr="002F1EC0">
        <w:rPr>
          <w:rStyle w:val="EndnoteReference"/>
        </w:rPr>
        <w:endnoteReference w:id="144"/>
      </w:r>
      <w:r w:rsidRPr="002F1EC0">
        <w:t xml:space="preserve"> ‘helps have been provided, available for reference on the very page where help is needed’ and ‘obscure and difficult passages, alleged discrepancies or contradictions, and every important type or symbol are elucidated by new references or made the subject of an explanatory footnote’.</w:t>
      </w:r>
      <w:r w:rsidRPr="002F1EC0">
        <w:rPr>
          <w:rStyle w:val="EndnoteReference"/>
        </w:rPr>
        <w:endnoteReference w:id="145"/>
      </w:r>
      <w:r w:rsidRPr="002F1EC0">
        <w:t xml:space="preserve">  Scofield also asserts that he provides ‘analytic summaries of the whole teaching of Scripture’ on a subject to avoid proof-texting</w:t>
      </w:r>
      <w:r w:rsidRPr="002F1EC0">
        <w:rPr>
          <w:rStyle w:val="EndnoteReference"/>
        </w:rPr>
        <w:endnoteReference w:id="146"/>
      </w:r>
      <w:r w:rsidRPr="002F1EC0">
        <w:t xml:space="preserve"> </w:t>
      </w:r>
      <w:r>
        <w:t xml:space="preserve">but </w:t>
      </w:r>
      <w:r>
        <w:rPr>
          <w:rFonts w:cs="Times New Roman"/>
          <w:szCs w:val="28"/>
        </w:rPr>
        <w:t>annotation in the Scofield Bible is extremely uneven, both between biblical books and between chapters within them.</w:t>
      </w:r>
      <w:r w:rsidRPr="002F1EC0">
        <w:t xml:space="preserve"> </w:t>
      </w:r>
      <w:r>
        <w:t xml:space="preserve"> </w:t>
      </w:r>
      <w:r w:rsidRPr="0014758D">
        <w:t>Examination</w:t>
      </w:r>
      <w:r>
        <w:t xml:space="preserve"> of </w:t>
      </w:r>
      <w:r w:rsidRPr="003103FF">
        <w:rPr>
          <w:i/>
        </w:rPr>
        <w:t>SRB</w:t>
      </w:r>
      <w:r>
        <w:t xml:space="preserve"> reveals large swathes of biblical text entirely without footnotes;</w:t>
      </w:r>
      <w:r>
        <w:rPr>
          <w:rStyle w:val="EndnoteReference"/>
        </w:rPr>
        <w:endnoteReference w:id="147"/>
      </w:r>
      <w:r>
        <w:t xml:space="preserve"> in my copy, </w:t>
      </w:r>
      <w:r w:rsidRPr="00F1017A">
        <w:t>797</w:t>
      </w:r>
      <w:r>
        <w:t xml:space="preserve"> pages out of </w:t>
      </w:r>
      <w:r w:rsidRPr="00F1017A">
        <w:t>1336</w:t>
      </w:r>
      <w:r>
        <w:t xml:space="preserve">, approximately 60%, bear no footnotes.  Approximately 67% of Old Testament pages and 41% of New Testament pages have no footnotes.  It is scarcely credible that Scofield should have regarded such a large percentage of pages as without difficulty or need of explanation, especially when editors of earlier and later annotated Bibles took the opposite view.  To be fair to Scofield, some material is included in the introductions to each book and group of books, and he does sometimes include brief notes as well as cross-references in his centre columns, which do not form part of this study.  </w:t>
      </w:r>
    </w:p>
    <w:p w:rsidR="00F1470F" w:rsidRPr="00190F3C" w:rsidRDefault="00F1470F" w:rsidP="00F1470F">
      <w:pPr>
        <w:spacing w:after="120" w:line="360" w:lineRule="auto"/>
        <w:ind w:right="74" w:firstLine="567"/>
        <w:jc w:val="both"/>
        <w:rPr>
          <w:rFonts w:cs="Times New Roman"/>
          <w:szCs w:val="28"/>
        </w:rPr>
      </w:pPr>
      <w:r>
        <w:t>Tables</w:t>
      </w:r>
      <w:r w:rsidRPr="001D04BC">
        <w:rPr>
          <w:color w:val="FF0000"/>
        </w:rPr>
        <w:t xml:space="preserve"> </w:t>
      </w:r>
      <w:r>
        <w:t xml:space="preserve">showing the numbers and percentages of pages without </w:t>
      </w:r>
      <w:r w:rsidRPr="001D04BC">
        <w:rPr>
          <w:i/>
        </w:rPr>
        <w:t>SRB</w:t>
      </w:r>
      <w:r>
        <w:t xml:space="preserve"> footnotes appear below.  </w:t>
      </w:r>
    </w:p>
    <w:p w:rsidR="00F1470F" w:rsidRDefault="00F1470F" w:rsidP="00F1470F">
      <w:pPr>
        <w:rPr>
          <w:b/>
        </w:rPr>
      </w:pPr>
      <w:r>
        <w:rPr>
          <w:b/>
        </w:rPr>
        <w:br w:type="page"/>
      </w:r>
    </w:p>
    <w:p w:rsidR="00F1470F" w:rsidRDefault="00F1470F" w:rsidP="00F1470F">
      <w:pPr>
        <w:jc w:val="center"/>
        <w:rPr>
          <w:b/>
        </w:rPr>
      </w:pPr>
      <w:r>
        <w:rPr>
          <w:b/>
          <w:noProof/>
          <w:lang w:eastAsia="en-GB"/>
        </w:rPr>
        <w:lastRenderedPageBreak/>
        <w:drawing>
          <wp:inline distT="0" distB="0" distL="0" distR="0" wp14:anchorId="0D1EF8B7" wp14:editId="78382CDD">
            <wp:extent cx="4293870" cy="88633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without notes revised 14.5.18_Page_1 crop.jpg"/>
                    <pic:cNvPicPr/>
                  </pic:nvPicPr>
                  <pic:blipFill>
                    <a:blip r:embed="rId19">
                      <a:extLst>
                        <a:ext uri="{28A0092B-C50C-407E-A947-70E740481C1C}">
                          <a14:useLocalDpi xmlns:a14="http://schemas.microsoft.com/office/drawing/2010/main" val="0"/>
                        </a:ext>
                      </a:extLst>
                    </a:blip>
                    <a:stretch>
                      <a:fillRect/>
                    </a:stretch>
                  </pic:blipFill>
                  <pic:spPr>
                    <a:xfrm>
                      <a:off x="0" y="0"/>
                      <a:ext cx="4293870" cy="8863330"/>
                    </a:xfrm>
                    <a:prstGeom prst="rect">
                      <a:avLst/>
                    </a:prstGeom>
                  </pic:spPr>
                </pic:pic>
              </a:graphicData>
            </a:graphic>
          </wp:inline>
        </w:drawing>
      </w:r>
    </w:p>
    <w:p w:rsidR="00F1470F" w:rsidRDefault="00F1470F" w:rsidP="00F1470F">
      <w:pPr>
        <w:jc w:val="center"/>
        <w:rPr>
          <w:b/>
        </w:rPr>
      </w:pPr>
      <w:r>
        <w:rPr>
          <w:b/>
          <w:noProof/>
          <w:lang w:eastAsia="en-GB"/>
        </w:rPr>
        <w:lastRenderedPageBreak/>
        <w:drawing>
          <wp:inline distT="0" distB="0" distL="0" distR="0" wp14:anchorId="1E1E16D2" wp14:editId="035E2593">
            <wp:extent cx="4147053" cy="6929792"/>
            <wp:effectExtent l="0" t="0" r="635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without notes revised 14.5.18_Page_2 crop.jpg"/>
                    <pic:cNvPicPr/>
                  </pic:nvPicPr>
                  <pic:blipFill>
                    <a:blip r:embed="rId20">
                      <a:extLst>
                        <a:ext uri="{28A0092B-C50C-407E-A947-70E740481C1C}">
                          <a14:useLocalDpi xmlns:a14="http://schemas.microsoft.com/office/drawing/2010/main" val="0"/>
                        </a:ext>
                      </a:extLst>
                    </a:blip>
                    <a:stretch>
                      <a:fillRect/>
                    </a:stretch>
                  </pic:blipFill>
                  <pic:spPr>
                    <a:xfrm>
                      <a:off x="0" y="0"/>
                      <a:ext cx="4147200" cy="6930037"/>
                    </a:xfrm>
                    <a:prstGeom prst="rect">
                      <a:avLst/>
                    </a:prstGeom>
                  </pic:spPr>
                </pic:pic>
              </a:graphicData>
            </a:graphic>
          </wp:inline>
        </w:drawing>
      </w:r>
    </w:p>
    <w:p w:rsidR="00F1470F" w:rsidRDefault="00F1470F" w:rsidP="00F1470F">
      <w:pPr>
        <w:jc w:val="center"/>
        <w:rPr>
          <w:b/>
        </w:rPr>
      </w:pPr>
    </w:p>
    <w:p w:rsidR="00F1470F" w:rsidRDefault="00F1470F" w:rsidP="00F1470F">
      <w:pPr>
        <w:spacing w:after="120" w:line="360" w:lineRule="auto"/>
        <w:jc w:val="both"/>
        <w:rPr>
          <w:b/>
        </w:rPr>
      </w:pPr>
      <w:r w:rsidRPr="001A3CD5">
        <w:t xml:space="preserve">However, merely counting numbers of pages without annotation is a crude method of illuminating the uneven annotation of </w:t>
      </w:r>
      <w:r w:rsidRPr="001A3CD5">
        <w:rPr>
          <w:i/>
        </w:rPr>
        <w:t>SRB</w:t>
      </w:r>
      <w:r w:rsidRPr="001A3CD5">
        <w:t xml:space="preserve"> compared with the more effective method which I have devised and which is outlined below.  Using this method, </w:t>
      </w:r>
      <w:r w:rsidRPr="001A3CD5">
        <w:rPr>
          <w:rFonts w:cs="Times New Roman"/>
          <w:szCs w:val="28"/>
        </w:rPr>
        <w:t>I analyse the distribution of commentary between and within biblical books.  Tables, g</w:t>
      </w:r>
      <w:r w:rsidRPr="001A3CD5">
        <w:t>raphs and analysis showing the uneven distribution of annotation between biblical books appear below</w:t>
      </w:r>
      <w:r>
        <w:t xml:space="preserve"> the section on methodology</w:t>
      </w:r>
      <w:r w:rsidRPr="001A3CD5">
        <w:t xml:space="preserve">. </w:t>
      </w:r>
      <w:r>
        <w:rPr>
          <w:b/>
        </w:rPr>
        <w:br w:type="page"/>
      </w:r>
    </w:p>
    <w:p w:rsidR="00F1470F" w:rsidRPr="0078322B" w:rsidRDefault="00F1470F" w:rsidP="00F1470F">
      <w:pPr>
        <w:spacing w:after="120" w:line="360" w:lineRule="auto"/>
        <w:ind w:right="74"/>
        <w:jc w:val="both"/>
        <w:rPr>
          <w:b/>
        </w:rPr>
      </w:pPr>
      <w:r>
        <w:rPr>
          <w:b/>
        </w:rPr>
        <w:lastRenderedPageBreak/>
        <w:t>b)</w:t>
      </w:r>
      <w:r w:rsidRPr="0078322B">
        <w:rPr>
          <w:b/>
        </w:rPr>
        <w:t xml:space="preserve">  Uneven Distribution of Notes between Books</w:t>
      </w:r>
      <w:r>
        <w:rPr>
          <w:b/>
        </w:rPr>
        <w:t xml:space="preserve"> in </w:t>
      </w:r>
      <w:r w:rsidRPr="00B66FBE">
        <w:rPr>
          <w:b/>
          <w:i/>
        </w:rPr>
        <w:t>SRB</w:t>
      </w:r>
    </w:p>
    <w:p w:rsidR="00F1470F" w:rsidRPr="00291495" w:rsidRDefault="00F1470F" w:rsidP="00F1470F">
      <w:pPr>
        <w:spacing w:after="120" w:line="360" w:lineRule="auto"/>
        <w:ind w:right="74"/>
        <w:jc w:val="both"/>
        <w:rPr>
          <w:b/>
          <w:i/>
        </w:rPr>
      </w:pPr>
      <w:r w:rsidRPr="00291495">
        <w:rPr>
          <w:b/>
          <w:i/>
        </w:rPr>
        <w:t>Methodology for Counting Words in SRB Notes</w:t>
      </w:r>
    </w:p>
    <w:p w:rsidR="00F1470F" w:rsidRDefault="00F1470F" w:rsidP="00F1470F">
      <w:pPr>
        <w:spacing w:after="120" w:line="360" w:lineRule="auto"/>
        <w:ind w:right="74"/>
        <w:jc w:val="both"/>
      </w:pPr>
      <w:r>
        <w:t xml:space="preserve">The </w:t>
      </w:r>
      <w:r w:rsidR="00866E34">
        <w:t xml:space="preserve">tables and the </w:t>
      </w:r>
      <w:r>
        <w:t>graphs in Figures 1</w:t>
      </w:r>
      <w:r>
        <w:rPr>
          <w:rStyle w:val="EndnoteReference"/>
        </w:rPr>
        <w:endnoteReference w:id="148"/>
      </w:r>
      <w:r>
        <w:t xml:space="preserve"> and 2</w:t>
      </w:r>
      <w:r>
        <w:rPr>
          <w:rStyle w:val="EndnoteReference"/>
        </w:rPr>
        <w:endnoteReference w:id="149"/>
      </w:r>
      <w:r>
        <w:t xml:space="preserve"> below </w:t>
      </w:r>
      <w:r w:rsidRPr="0078322B">
        <w:t xml:space="preserve">indicate the percentage of the total </w:t>
      </w:r>
      <w:r w:rsidRPr="0078322B">
        <w:rPr>
          <w:i/>
        </w:rPr>
        <w:t>KJV</w:t>
      </w:r>
      <w:r w:rsidRPr="0078322B">
        <w:t xml:space="preserve"> text represented by each biblical book compared with the</w:t>
      </w:r>
      <w:r w:rsidRPr="00E87765">
        <w:rPr>
          <w:color w:val="FF0000"/>
        </w:rPr>
        <w:t xml:space="preserve"> </w:t>
      </w:r>
      <w:r w:rsidRPr="0078322B">
        <w:t xml:space="preserve">percentage of </w:t>
      </w:r>
      <w:r w:rsidRPr="0078322B">
        <w:rPr>
          <w:i/>
        </w:rPr>
        <w:t>SRB</w:t>
      </w:r>
      <w:r w:rsidRPr="0078322B">
        <w:t xml:space="preserve"> </w:t>
      </w:r>
      <w:r>
        <w:t>foot</w:t>
      </w:r>
      <w:r w:rsidRPr="0078322B">
        <w:t>notes devoted to each book.</w:t>
      </w:r>
      <w:r>
        <w:t xml:space="preserve">  A</w:t>
      </w:r>
      <w:r w:rsidRPr="00F40C6A">
        <w:t xml:space="preserve">ll </w:t>
      </w:r>
      <w:r w:rsidRPr="005C34C1">
        <w:t xml:space="preserve">figures and derived percentages with regard to </w:t>
      </w:r>
      <w:r>
        <w:t xml:space="preserve">the word count of </w:t>
      </w:r>
      <w:r w:rsidRPr="005C34C1">
        <w:t xml:space="preserve">the </w:t>
      </w:r>
      <w:r w:rsidRPr="005C34C1">
        <w:rPr>
          <w:i/>
        </w:rPr>
        <w:t>KJV</w:t>
      </w:r>
      <w:r w:rsidRPr="005C34C1">
        <w:t xml:space="preserve"> text </w:t>
      </w:r>
      <w:r>
        <w:t>we</w:t>
      </w:r>
      <w:r w:rsidRPr="005C34C1">
        <w:t xml:space="preserve">re obtained from </w:t>
      </w:r>
      <w:r w:rsidRPr="005C34C1">
        <w:rPr>
          <w:i/>
        </w:rPr>
        <w:t>Bibleworks7</w:t>
      </w:r>
      <w:r w:rsidRPr="007135A1">
        <w:t>;</w:t>
      </w:r>
      <w:r w:rsidRPr="00C70B13">
        <w:rPr>
          <w:rStyle w:val="FootnoteReference"/>
        </w:rPr>
        <w:footnoteReference w:id="5"/>
      </w:r>
      <w:r w:rsidRPr="00C70B13">
        <w:t xml:space="preserve"> </w:t>
      </w:r>
      <w:r>
        <w:rPr>
          <w:color w:val="000000"/>
        </w:rPr>
        <w:t xml:space="preserve">however, since no parallel electronic version of </w:t>
      </w:r>
      <w:r w:rsidRPr="0050729E">
        <w:rPr>
          <w:i/>
          <w:color w:val="000000"/>
        </w:rPr>
        <w:t>SRB</w:t>
      </w:r>
      <w:r>
        <w:rPr>
          <w:color w:val="000000"/>
        </w:rPr>
        <w:t xml:space="preserve"> was obtainable,</w:t>
      </w:r>
      <w:r>
        <w:rPr>
          <w:rStyle w:val="EndnoteReference"/>
          <w:color w:val="000000"/>
        </w:rPr>
        <w:endnoteReference w:id="150"/>
      </w:r>
      <w:r>
        <w:rPr>
          <w:color w:val="000000"/>
        </w:rPr>
        <w:t xml:space="preserve"> </w:t>
      </w:r>
      <w:r>
        <w:t xml:space="preserve">a clear methodology was devised to provide a robust estimate of the word count of the </w:t>
      </w:r>
      <w:r w:rsidRPr="00C50507">
        <w:rPr>
          <w:i/>
        </w:rPr>
        <w:t>SRB</w:t>
      </w:r>
      <w:r>
        <w:t xml:space="preserve"> footnotes.</w:t>
      </w:r>
    </w:p>
    <w:p w:rsidR="00F1470F" w:rsidRDefault="00F1470F" w:rsidP="00F1470F">
      <w:pPr>
        <w:spacing w:after="120" w:line="360" w:lineRule="auto"/>
        <w:ind w:right="74"/>
        <w:jc w:val="both"/>
      </w:pPr>
      <w:proofErr w:type="gramStart"/>
      <w:r>
        <w:t>1  Three</w:t>
      </w:r>
      <w:proofErr w:type="gramEnd"/>
      <w:r>
        <w:t xml:space="preserve"> sections of Scofield’s notes were sampled.  Each section contained the notes pertaining to three biblical chapters where notes are extensive, covering Old Testament and New Testament text.</w:t>
      </w:r>
    </w:p>
    <w:p w:rsidR="00F1470F" w:rsidRDefault="00F1470F" w:rsidP="00F1470F">
      <w:pPr>
        <w:spacing w:after="120" w:line="360" w:lineRule="auto"/>
        <w:ind w:right="74" w:firstLine="567"/>
        <w:jc w:val="both"/>
      </w:pPr>
      <w:r>
        <w:t>The chapter sections were Genesis 1 – 3; Matthew 12 – 14 and Revelation 20 – 22.</w:t>
      </w:r>
    </w:p>
    <w:p w:rsidR="00F1470F" w:rsidRDefault="00F1470F" w:rsidP="00F1470F">
      <w:pPr>
        <w:spacing w:after="120" w:line="360" w:lineRule="auto"/>
        <w:ind w:right="74"/>
        <w:jc w:val="both"/>
      </w:pPr>
      <w:proofErr w:type="gramStart"/>
      <w:r>
        <w:t>2  The</w:t>
      </w:r>
      <w:proofErr w:type="gramEnd"/>
      <w:r>
        <w:t xml:space="preserve"> number of words in each sampled section was counted.</w:t>
      </w:r>
    </w:p>
    <w:p w:rsidR="00F1470F" w:rsidRDefault="00F1470F" w:rsidP="00F1470F">
      <w:pPr>
        <w:spacing w:after="120" w:line="360" w:lineRule="auto"/>
        <w:ind w:left="567" w:right="74"/>
        <w:jc w:val="both"/>
      </w:pPr>
      <w:r>
        <w:t xml:space="preserve">Since definitions of what counts as a word may vary, it was necessary to establish my own definition of a word for my word count.  Following common digital convention, words were defined as being separated by a space, with hyphenated words counted as one.  The same conventions are used by the </w:t>
      </w:r>
      <w:r w:rsidRPr="00DC2836">
        <w:rPr>
          <w:i/>
        </w:rPr>
        <w:t>Bibleworks7</w:t>
      </w:r>
      <w:r>
        <w:t xml:space="preserve"> software and by Microsoft Word.</w:t>
      </w:r>
      <w:r>
        <w:rPr>
          <w:rStyle w:val="FootnoteReference"/>
        </w:rPr>
        <w:footnoteReference w:id="6"/>
      </w:r>
    </w:p>
    <w:p w:rsidR="00F1470F" w:rsidRDefault="00F1470F" w:rsidP="00F1470F">
      <w:pPr>
        <w:spacing w:after="120" w:line="360" w:lineRule="auto"/>
        <w:ind w:left="567" w:right="74"/>
        <w:jc w:val="both"/>
      </w:pPr>
      <w:r>
        <w:t>Biblical references were treated systematically, applying the same blank space rule, that is, counting chapter and verse(s) separated by a colon as one word, and the book title as one word, unless preceded by a number (e.g. Luke</w:t>
      </w:r>
      <w:r w:rsidRPr="00A21C7B">
        <w:rPr>
          <w:b/>
          <w:color w:val="FF0000"/>
        </w:rPr>
        <w:t>_</w:t>
      </w:r>
      <w:r>
        <w:t>21:20 = 2 words [one space]; 1</w:t>
      </w:r>
      <w:r w:rsidRPr="00A21C7B">
        <w:rPr>
          <w:b/>
          <w:color w:val="FF0000"/>
        </w:rPr>
        <w:t>_</w:t>
      </w:r>
      <w:r>
        <w:t>John</w:t>
      </w:r>
      <w:r w:rsidRPr="00A21C7B">
        <w:rPr>
          <w:b/>
          <w:color w:val="FF0000"/>
        </w:rPr>
        <w:t>_</w:t>
      </w:r>
      <w:r>
        <w:t>3:17 = 3 words [2 spaces]).</w:t>
      </w:r>
    </w:p>
    <w:p w:rsidR="00F1470F" w:rsidRDefault="00F1470F" w:rsidP="00F1470F">
      <w:pPr>
        <w:spacing w:after="120" w:line="360" w:lineRule="auto"/>
        <w:ind w:right="74"/>
        <w:jc w:val="both"/>
      </w:pPr>
      <w:proofErr w:type="gramStart"/>
      <w:r>
        <w:t>3  The</w:t>
      </w:r>
      <w:proofErr w:type="gramEnd"/>
      <w:r>
        <w:t xml:space="preserve"> number of lines in each sampled section was counted.</w:t>
      </w:r>
    </w:p>
    <w:p w:rsidR="00F1470F" w:rsidRDefault="00F1470F" w:rsidP="00F1470F">
      <w:pPr>
        <w:spacing w:after="120" w:line="360" w:lineRule="auto"/>
        <w:ind w:left="567" w:right="74"/>
        <w:jc w:val="both"/>
      </w:pPr>
      <w:r>
        <w:t>A line was defined as filling more than 50% of the width of the page; any lines filling less than 50% of the page width were discounted.</w:t>
      </w:r>
    </w:p>
    <w:p w:rsidR="00F1470F" w:rsidRDefault="00F1470F" w:rsidP="00F1470F">
      <w:pPr>
        <w:spacing w:after="120" w:line="360" w:lineRule="auto"/>
        <w:ind w:right="74"/>
        <w:jc w:val="both"/>
      </w:pPr>
      <w:proofErr w:type="gramStart"/>
      <w:r>
        <w:t>4  The</w:t>
      </w:r>
      <w:proofErr w:type="gramEnd"/>
      <w:r>
        <w:t xml:space="preserve"> number of words in each section (from Step 2) was divided by the number of lines in that section (from Step 3), rounding to two decimal places.</w:t>
      </w:r>
    </w:p>
    <w:p w:rsidR="00F1470F" w:rsidRDefault="00F1470F" w:rsidP="00F1470F">
      <w:pPr>
        <w:spacing w:after="120" w:line="360" w:lineRule="auto"/>
        <w:ind w:right="74"/>
        <w:jc w:val="both"/>
      </w:pPr>
    </w:p>
    <w:p w:rsidR="002B07CD" w:rsidRDefault="002B07CD" w:rsidP="00F1470F">
      <w:pPr>
        <w:spacing w:after="120" w:line="360" w:lineRule="auto"/>
        <w:ind w:right="74"/>
        <w:jc w:val="both"/>
      </w:pPr>
    </w:p>
    <w:p w:rsidR="002B07CD" w:rsidRDefault="002B07CD" w:rsidP="00F1470F">
      <w:pPr>
        <w:spacing w:after="120" w:line="360" w:lineRule="auto"/>
        <w:ind w:right="74"/>
        <w:jc w:val="both"/>
      </w:pPr>
    </w:p>
    <w:p w:rsidR="002B07CD" w:rsidRPr="002E0E7F" w:rsidRDefault="002B07CD" w:rsidP="002E0E7F">
      <w:pPr>
        <w:spacing w:after="0" w:line="360" w:lineRule="auto"/>
        <w:ind w:right="74"/>
        <w:jc w:val="center"/>
        <w:rPr>
          <w:b/>
        </w:rPr>
      </w:pPr>
      <w:r w:rsidRPr="002E0E7F">
        <w:rPr>
          <w:b/>
        </w:rPr>
        <w:lastRenderedPageBreak/>
        <w:t xml:space="preserve">Numbers of Words in Sample Sections of </w:t>
      </w:r>
      <w:r w:rsidRPr="002E0E7F">
        <w:rPr>
          <w:b/>
          <w:i/>
        </w:rPr>
        <w:t>SRB</w:t>
      </w:r>
      <w:r w:rsidRPr="002E0E7F">
        <w:rPr>
          <w:b/>
        </w:rPr>
        <w:t xml:space="preserve"> Notes</w:t>
      </w:r>
    </w:p>
    <w:p w:rsidR="00F1470F" w:rsidRDefault="005D7D27" w:rsidP="00F1470F">
      <w:pPr>
        <w:spacing w:after="120" w:line="360" w:lineRule="auto"/>
        <w:ind w:right="74"/>
        <w:jc w:val="center"/>
      </w:pPr>
      <w:r>
        <w:rPr>
          <w:noProof/>
          <w:lang w:eastAsia="en-GB"/>
        </w:rPr>
        <w:drawing>
          <wp:inline distT="0" distB="0" distL="0" distR="0">
            <wp:extent cx="5400040" cy="26873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s of wds in sample sections 28.6.18 crop.jpg"/>
                    <pic:cNvPicPr/>
                  </pic:nvPicPr>
                  <pic:blipFill>
                    <a:blip r:embed="rId21">
                      <a:extLst>
                        <a:ext uri="{28A0092B-C50C-407E-A947-70E740481C1C}">
                          <a14:useLocalDpi xmlns:a14="http://schemas.microsoft.com/office/drawing/2010/main" val="0"/>
                        </a:ext>
                      </a:extLst>
                    </a:blip>
                    <a:stretch>
                      <a:fillRect/>
                    </a:stretch>
                  </pic:blipFill>
                  <pic:spPr>
                    <a:xfrm>
                      <a:off x="0" y="0"/>
                      <a:ext cx="5400040" cy="2687320"/>
                    </a:xfrm>
                    <a:prstGeom prst="rect">
                      <a:avLst/>
                    </a:prstGeom>
                  </pic:spPr>
                </pic:pic>
              </a:graphicData>
            </a:graphic>
          </wp:inline>
        </w:drawing>
      </w:r>
    </w:p>
    <w:p w:rsidR="00F1470F" w:rsidRDefault="00F1470F" w:rsidP="00F1470F">
      <w:pPr>
        <w:spacing w:after="120" w:line="360" w:lineRule="auto"/>
        <w:ind w:left="567" w:right="74"/>
        <w:jc w:val="both"/>
      </w:pPr>
      <w:r>
        <w:t>This gave an overall average of 13.41 words per line.  This was rounded down to achieve a standardised and conservative estimate of 13 words per line.</w:t>
      </w:r>
    </w:p>
    <w:p w:rsidR="00F1470F" w:rsidRDefault="00F1470F" w:rsidP="00F1470F">
      <w:pPr>
        <w:spacing w:after="120" w:line="360" w:lineRule="auto"/>
        <w:ind w:right="74"/>
        <w:jc w:val="both"/>
      </w:pPr>
      <w:proofErr w:type="gramStart"/>
      <w:r>
        <w:t xml:space="preserve">5  </w:t>
      </w:r>
      <w:r w:rsidRPr="000F3EEC">
        <w:rPr>
          <w:spacing w:val="-4"/>
        </w:rPr>
        <w:t>This</w:t>
      </w:r>
      <w:proofErr w:type="gramEnd"/>
      <w:r w:rsidRPr="000F3EEC">
        <w:rPr>
          <w:spacing w:val="-4"/>
        </w:rPr>
        <w:t xml:space="preserve"> estimate of 13 words per line was then applied as follows to every Scofield note in every biblical book.</w:t>
      </w:r>
    </w:p>
    <w:p w:rsidR="00F1470F" w:rsidRDefault="00F1470F" w:rsidP="00F1470F">
      <w:pPr>
        <w:spacing w:after="120" w:line="360" w:lineRule="auto"/>
        <w:ind w:left="567" w:right="74"/>
        <w:jc w:val="both"/>
      </w:pPr>
      <w:proofErr w:type="gramStart"/>
      <w:r>
        <w:t>A  The</w:t>
      </w:r>
      <w:proofErr w:type="gramEnd"/>
      <w:r>
        <w:t xml:space="preserve"> number of lines in the notes for each book and each chapter were counted, applying the same 50% rule as in Step 3 above.</w:t>
      </w:r>
    </w:p>
    <w:p w:rsidR="00F1470F" w:rsidRDefault="00F1470F" w:rsidP="00F1470F">
      <w:pPr>
        <w:spacing w:after="120" w:line="360" w:lineRule="auto"/>
        <w:ind w:left="567" w:right="74"/>
        <w:jc w:val="both"/>
      </w:pPr>
      <w:r>
        <w:t>B  The number of lines was multiplied by 13 to give an estimated number of words in notes on each book and also on each chapter.</w:t>
      </w:r>
    </w:p>
    <w:p w:rsidR="00F1470F" w:rsidRDefault="00F1470F" w:rsidP="00F1470F">
      <w:pPr>
        <w:spacing w:after="120" w:line="360" w:lineRule="auto"/>
        <w:ind w:left="567" w:right="74" w:hanging="567"/>
        <w:jc w:val="both"/>
      </w:pPr>
      <w:proofErr w:type="gramStart"/>
      <w:r>
        <w:t>6  The</w:t>
      </w:r>
      <w:proofErr w:type="gramEnd"/>
      <w:r>
        <w:t xml:space="preserve"> results for each book appear in the </w:t>
      </w:r>
      <w:r w:rsidRPr="005C2EB0">
        <w:t>table below</w:t>
      </w:r>
      <w:r>
        <w:t xml:space="preserve">.  This table shows the number of words in each book in </w:t>
      </w:r>
      <w:r w:rsidRPr="00647AEB">
        <w:rPr>
          <w:i/>
        </w:rPr>
        <w:t>KJV</w:t>
      </w:r>
      <w:r w:rsidRPr="00647AEB">
        <w:t>,</w:t>
      </w:r>
      <w:r>
        <w:t xml:space="preserve"> together with the percentage of </w:t>
      </w:r>
      <w:r w:rsidRPr="00647AEB">
        <w:rPr>
          <w:i/>
        </w:rPr>
        <w:t>KJV</w:t>
      </w:r>
      <w:r>
        <w:t xml:space="preserve"> content represented by each book, compared with the estimated number of words in </w:t>
      </w:r>
      <w:r w:rsidRPr="00647AEB">
        <w:rPr>
          <w:i/>
        </w:rPr>
        <w:t>SRB</w:t>
      </w:r>
      <w:r>
        <w:t xml:space="preserve"> notes for each book and the percentage of </w:t>
      </w:r>
      <w:r w:rsidRPr="00647AEB">
        <w:rPr>
          <w:i/>
        </w:rPr>
        <w:t>SRB</w:t>
      </w:r>
      <w:r>
        <w:t xml:space="preserve"> notes devoted to each book.  These results, rounded to two decimal places, are rounded to one decimal place to form the basis for the graphs below.  N.B., where percentages fall below 0.1 in the table, they are counted as 0.1 in order to register in the graphs.</w:t>
      </w:r>
      <w:r>
        <w:rPr>
          <w:rStyle w:val="EndnoteReference"/>
        </w:rPr>
        <w:endnoteReference w:id="151"/>
      </w:r>
      <w:r>
        <w:t xml:space="preserve"> </w:t>
      </w:r>
    </w:p>
    <w:p w:rsidR="00F1470F" w:rsidRDefault="00F1470F" w:rsidP="00F1470F">
      <w:pPr>
        <w:spacing w:after="120" w:line="360" w:lineRule="auto"/>
        <w:ind w:left="567" w:right="74" w:hanging="567"/>
        <w:jc w:val="both"/>
      </w:pPr>
      <w:proofErr w:type="gramStart"/>
      <w:r>
        <w:t>7  Because</w:t>
      </w:r>
      <w:proofErr w:type="gramEnd"/>
      <w:r>
        <w:t xml:space="preserve"> the graphs indicate both the size of each biblical book within </w:t>
      </w:r>
      <w:r w:rsidRPr="001308A9">
        <w:rPr>
          <w:i/>
        </w:rPr>
        <w:t>KJV</w:t>
      </w:r>
      <w:r>
        <w:t xml:space="preserve"> and the volume of </w:t>
      </w:r>
      <w:r w:rsidRPr="001308A9">
        <w:rPr>
          <w:i/>
        </w:rPr>
        <w:t>SRB</w:t>
      </w:r>
      <w:r>
        <w:t xml:space="preserve"> notes for each book, they provide a visual illustration of Scofield’s uneven treatment of biblical books.  This important comparison is not illustrated by graphs such as that provided by Todd Mangum, which merely shows the number of lines in </w:t>
      </w:r>
      <w:r w:rsidRPr="001308A9">
        <w:rPr>
          <w:i/>
        </w:rPr>
        <w:t>SRB</w:t>
      </w:r>
      <w:r>
        <w:t xml:space="preserve"> notes devoted to each biblical book,</w:t>
      </w:r>
      <w:r>
        <w:rPr>
          <w:rStyle w:val="EndnoteReference"/>
        </w:rPr>
        <w:endnoteReference w:id="152"/>
      </w:r>
      <w:r>
        <w:t xml:space="preserve"> or by Stephen Sizer’s count of pages in </w:t>
      </w:r>
      <w:r w:rsidRPr="0047241B">
        <w:rPr>
          <w:i/>
        </w:rPr>
        <w:t>SRB</w:t>
      </w:r>
      <w:r>
        <w:t xml:space="preserve"> which lack notes.</w:t>
      </w:r>
      <w:r>
        <w:rPr>
          <w:rStyle w:val="EndnoteReference"/>
        </w:rPr>
        <w:endnoteReference w:id="153"/>
      </w:r>
      <w:r>
        <w:t xml:space="preserve">  </w:t>
      </w:r>
    </w:p>
    <w:p w:rsidR="00F1470F" w:rsidRDefault="00F1470F" w:rsidP="00F1470F">
      <w:pPr>
        <w:spacing w:after="120" w:line="360" w:lineRule="auto"/>
        <w:ind w:left="567" w:right="74" w:hanging="567"/>
        <w:jc w:val="both"/>
      </w:pPr>
      <w:r>
        <w:t xml:space="preserve">  </w:t>
      </w:r>
    </w:p>
    <w:p w:rsidR="005D7D27" w:rsidRDefault="005D7D27" w:rsidP="00F1470F">
      <w:pPr>
        <w:spacing w:after="120" w:line="360" w:lineRule="auto"/>
        <w:ind w:left="567" w:right="74" w:hanging="567"/>
        <w:jc w:val="both"/>
      </w:pPr>
    </w:p>
    <w:p w:rsidR="00F1470F" w:rsidRPr="00402053" w:rsidRDefault="00F1470F" w:rsidP="00F1470F">
      <w:pPr>
        <w:spacing w:after="0" w:line="240" w:lineRule="auto"/>
        <w:ind w:left="567" w:right="74" w:hanging="567"/>
        <w:jc w:val="center"/>
        <w:rPr>
          <w:b/>
          <w:i/>
          <w:sz w:val="28"/>
        </w:rPr>
      </w:pPr>
      <w:r w:rsidRPr="00402053">
        <w:rPr>
          <w:b/>
          <w:i/>
          <w:sz w:val="28"/>
        </w:rPr>
        <w:lastRenderedPageBreak/>
        <w:t>Table and Graphs Based Upon Statistics Obtained by Methodology Above</w:t>
      </w:r>
    </w:p>
    <w:p w:rsidR="00F1470F" w:rsidRPr="0010588C" w:rsidRDefault="00F1470F" w:rsidP="00F1470F">
      <w:pPr>
        <w:spacing w:after="120" w:line="360" w:lineRule="auto"/>
        <w:ind w:left="567" w:right="74" w:hanging="567"/>
        <w:jc w:val="center"/>
        <w:rPr>
          <w:b/>
          <w:i/>
        </w:rPr>
      </w:pPr>
      <w:r w:rsidRPr="00402053">
        <w:rPr>
          <w:i/>
        </w:rPr>
        <w:t>Green on the table and graphs represents KJV text; red on the table and graphs represents SRB annotation</w:t>
      </w:r>
      <w:r>
        <w:t>.</w:t>
      </w:r>
    </w:p>
    <w:p w:rsidR="00F1470F" w:rsidRDefault="00F1470F" w:rsidP="00F1470F">
      <w:pPr>
        <w:spacing w:after="120" w:line="360" w:lineRule="auto"/>
        <w:ind w:left="567" w:right="74" w:hanging="567"/>
        <w:jc w:val="center"/>
      </w:pPr>
      <w:r>
        <w:rPr>
          <w:noProof/>
          <w:lang w:eastAsia="en-GB"/>
        </w:rPr>
        <w:drawing>
          <wp:inline distT="0" distB="0" distL="0" distR="0" wp14:anchorId="5B7FA112" wp14:editId="4A53270D">
            <wp:extent cx="4925686" cy="8222043"/>
            <wp:effectExtent l="0" t="0" r="889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V &amp; SRB Words and Percentages rev 14.5.18_Page_1 crop.jpg"/>
                    <pic:cNvPicPr/>
                  </pic:nvPicPr>
                  <pic:blipFill>
                    <a:blip r:embed="rId22">
                      <a:extLst>
                        <a:ext uri="{28A0092B-C50C-407E-A947-70E740481C1C}">
                          <a14:useLocalDpi xmlns:a14="http://schemas.microsoft.com/office/drawing/2010/main" val="0"/>
                        </a:ext>
                      </a:extLst>
                    </a:blip>
                    <a:stretch>
                      <a:fillRect/>
                    </a:stretch>
                  </pic:blipFill>
                  <pic:spPr>
                    <a:xfrm>
                      <a:off x="0" y="0"/>
                      <a:ext cx="4930179" cy="8229543"/>
                    </a:xfrm>
                    <a:prstGeom prst="rect">
                      <a:avLst/>
                    </a:prstGeom>
                  </pic:spPr>
                </pic:pic>
              </a:graphicData>
            </a:graphic>
          </wp:inline>
        </w:drawing>
      </w:r>
    </w:p>
    <w:p w:rsidR="00F1470F" w:rsidRDefault="00F1470F" w:rsidP="00F1470F">
      <w:r>
        <w:rPr>
          <w:noProof/>
          <w:lang w:eastAsia="en-GB"/>
        </w:rPr>
        <w:lastRenderedPageBreak/>
        <w:drawing>
          <wp:inline distT="0" distB="0" distL="0" distR="0" wp14:anchorId="730DECB2" wp14:editId="783E53BC">
            <wp:extent cx="5000513" cy="8342955"/>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V &amp; SRB Words and Percentages rev 14.5.18_Page_2 crop.jpg"/>
                    <pic:cNvPicPr/>
                  </pic:nvPicPr>
                  <pic:blipFill>
                    <a:blip r:embed="rId23">
                      <a:extLst>
                        <a:ext uri="{28A0092B-C50C-407E-A947-70E740481C1C}">
                          <a14:useLocalDpi xmlns:a14="http://schemas.microsoft.com/office/drawing/2010/main" val="0"/>
                        </a:ext>
                      </a:extLst>
                    </a:blip>
                    <a:stretch>
                      <a:fillRect/>
                    </a:stretch>
                  </pic:blipFill>
                  <pic:spPr>
                    <a:xfrm>
                      <a:off x="0" y="0"/>
                      <a:ext cx="5000345" cy="8342675"/>
                    </a:xfrm>
                    <a:prstGeom prst="rect">
                      <a:avLst/>
                    </a:prstGeom>
                  </pic:spPr>
                </pic:pic>
              </a:graphicData>
            </a:graphic>
          </wp:inline>
        </w:drawing>
      </w:r>
      <w:r>
        <w:br w:type="page"/>
      </w:r>
    </w:p>
    <w:p w:rsidR="00F1470F" w:rsidRPr="007945A7" w:rsidRDefault="00F1470F" w:rsidP="00F1470F">
      <w:pPr>
        <w:spacing w:after="120" w:line="360" w:lineRule="auto"/>
        <w:jc w:val="center"/>
        <w:rPr>
          <w:i/>
        </w:rPr>
      </w:pPr>
      <w:r w:rsidRPr="007945A7">
        <w:rPr>
          <w:i/>
        </w:rPr>
        <w:lastRenderedPageBreak/>
        <w:t>Figure 1</w:t>
      </w:r>
    </w:p>
    <w:p w:rsidR="00F1470F" w:rsidRDefault="00F1470F" w:rsidP="00F1470F">
      <w:pPr>
        <w:spacing w:after="120" w:line="360" w:lineRule="auto"/>
        <w:jc w:val="center"/>
      </w:pPr>
      <w:r>
        <w:rPr>
          <w:noProof/>
          <w:lang w:eastAsia="en-GB"/>
        </w:rPr>
        <w:drawing>
          <wp:inline distT="0" distB="0" distL="0" distR="0" wp14:anchorId="0A1F42DE" wp14:editId="6C5503F4">
            <wp:extent cx="8244844" cy="5888897"/>
            <wp:effectExtent l="0" t="2858" r="953" b="95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 graph rev 12.3.18_crop.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8258955" cy="5898976"/>
                    </a:xfrm>
                    <a:prstGeom prst="rect">
                      <a:avLst/>
                    </a:prstGeom>
                  </pic:spPr>
                </pic:pic>
              </a:graphicData>
            </a:graphic>
          </wp:inline>
        </w:drawing>
      </w:r>
      <w:r>
        <w:br w:type="page"/>
      </w:r>
    </w:p>
    <w:p w:rsidR="00F1470F" w:rsidRDefault="00F1470F" w:rsidP="00F1470F">
      <w:pPr>
        <w:spacing w:after="120" w:line="360" w:lineRule="auto"/>
        <w:jc w:val="center"/>
        <w:rPr>
          <w:i/>
        </w:rPr>
      </w:pPr>
      <w:r w:rsidRPr="009D2E9E">
        <w:rPr>
          <w:i/>
        </w:rPr>
        <w:lastRenderedPageBreak/>
        <w:t xml:space="preserve">Figure </w:t>
      </w:r>
      <w:r>
        <w:rPr>
          <w:i/>
        </w:rPr>
        <w:t>2</w:t>
      </w:r>
    </w:p>
    <w:p w:rsidR="00F1470F" w:rsidRDefault="00F1470F" w:rsidP="00F1470F">
      <w:pPr>
        <w:spacing w:after="120" w:line="360" w:lineRule="auto"/>
        <w:jc w:val="center"/>
        <w:rPr>
          <w:i/>
        </w:rPr>
      </w:pPr>
    </w:p>
    <w:p w:rsidR="00F1470F" w:rsidRDefault="00F1470F" w:rsidP="00F1470F">
      <w:pPr>
        <w:spacing w:after="120" w:line="360" w:lineRule="auto"/>
        <w:jc w:val="center"/>
        <w:rPr>
          <w:i/>
        </w:rPr>
      </w:pPr>
    </w:p>
    <w:p w:rsidR="00F1470F" w:rsidRPr="009D2E9E" w:rsidRDefault="00F1470F" w:rsidP="00F1470F">
      <w:pPr>
        <w:spacing w:after="120" w:line="360" w:lineRule="auto"/>
        <w:jc w:val="center"/>
        <w:rPr>
          <w:i/>
        </w:rPr>
      </w:pPr>
      <w:r>
        <w:rPr>
          <w:i/>
          <w:noProof/>
          <w:lang w:eastAsia="en-GB"/>
        </w:rPr>
        <w:drawing>
          <wp:inline distT="0" distB="0" distL="0" distR="0" wp14:anchorId="1485A885" wp14:editId="669EB9FA">
            <wp:extent cx="6154923" cy="5777117"/>
            <wp:effectExtent l="0" t="1588"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 graph rev 12.3.18_crop.jpg"/>
                    <pic:cNvPicPr/>
                  </pic:nvPicPr>
                  <pic:blipFill>
                    <a:blip r:embed="rId25">
                      <a:extLst>
                        <a:ext uri="{28A0092B-C50C-407E-A947-70E740481C1C}">
                          <a14:useLocalDpi xmlns:a14="http://schemas.microsoft.com/office/drawing/2010/main" val="0"/>
                        </a:ext>
                      </a:extLst>
                    </a:blip>
                    <a:stretch>
                      <a:fillRect/>
                    </a:stretch>
                  </pic:blipFill>
                  <pic:spPr>
                    <a:xfrm rot="5400000">
                      <a:off x="0" y="0"/>
                      <a:ext cx="6171781" cy="5792941"/>
                    </a:xfrm>
                    <a:prstGeom prst="rect">
                      <a:avLst/>
                    </a:prstGeom>
                  </pic:spPr>
                </pic:pic>
              </a:graphicData>
            </a:graphic>
          </wp:inline>
        </w:drawing>
      </w:r>
    </w:p>
    <w:p w:rsidR="00F1470F" w:rsidRDefault="00F1470F" w:rsidP="00F1470F">
      <w:pPr>
        <w:spacing w:after="120" w:line="360" w:lineRule="auto"/>
        <w:jc w:val="both"/>
      </w:pPr>
    </w:p>
    <w:p w:rsidR="00F1470F" w:rsidRDefault="00F1470F" w:rsidP="00F1470F">
      <w:pPr>
        <w:spacing w:after="120" w:line="360" w:lineRule="auto"/>
        <w:jc w:val="center"/>
        <w:rPr>
          <w:i/>
        </w:rPr>
      </w:pPr>
    </w:p>
    <w:p w:rsidR="00F1470F" w:rsidRDefault="00F1470F" w:rsidP="00F1470F">
      <w:pPr>
        <w:spacing w:after="120" w:line="360" w:lineRule="auto"/>
        <w:jc w:val="center"/>
        <w:rPr>
          <w:i/>
        </w:rPr>
      </w:pPr>
    </w:p>
    <w:p w:rsidR="00F1470F" w:rsidRDefault="00F1470F" w:rsidP="00F1470F">
      <w:pPr>
        <w:spacing w:after="120" w:line="360" w:lineRule="auto"/>
        <w:jc w:val="center"/>
        <w:rPr>
          <w:i/>
        </w:rPr>
      </w:pPr>
    </w:p>
    <w:p w:rsidR="00F1470F" w:rsidRPr="009D2E9E" w:rsidRDefault="00F1470F" w:rsidP="00F1470F">
      <w:pPr>
        <w:spacing w:after="120" w:line="360" w:lineRule="auto"/>
        <w:jc w:val="center"/>
        <w:rPr>
          <w:i/>
        </w:rPr>
      </w:pPr>
    </w:p>
    <w:p w:rsidR="00F1470F" w:rsidRDefault="00F1470F" w:rsidP="00F1470F">
      <w:pPr>
        <w:spacing w:after="120" w:line="360" w:lineRule="auto"/>
        <w:ind w:right="74" w:firstLine="567"/>
        <w:jc w:val="both"/>
      </w:pPr>
      <w:r>
        <w:lastRenderedPageBreak/>
        <w:t>My analysis indicates</w:t>
      </w:r>
      <w:r w:rsidRPr="0078322B">
        <w:t xml:space="preserve"> that Scofield does not attach the same importance to all biblical books.  In the Old Testament,</w:t>
      </w:r>
      <w:r>
        <w:t xml:space="preserve"> the percentages of </w:t>
      </w:r>
      <w:r w:rsidRPr="007B686A">
        <w:rPr>
          <w:i/>
        </w:rPr>
        <w:t>SRB</w:t>
      </w:r>
      <w:r>
        <w:t xml:space="preserve"> notes devoted to Genesis, Daniel, Habakkuk, Zechariah and Malachi far exceed the percentages of words in </w:t>
      </w:r>
      <w:r w:rsidRPr="007B686A">
        <w:rPr>
          <w:i/>
        </w:rPr>
        <w:t>KJV</w:t>
      </w:r>
      <w:r>
        <w:t xml:space="preserve"> in each of these books;</w:t>
      </w:r>
      <w:r>
        <w:rPr>
          <w:rStyle w:val="EndnoteReference"/>
        </w:rPr>
        <w:endnoteReference w:id="154"/>
      </w:r>
      <w:r>
        <w:t xml:space="preserve"> percentages of notes on eight other books marginally exceed the percentages of </w:t>
      </w:r>
      <w:r w:rsidRPr="000E3A75">
        <w:rPr>
          <w:i/>
        </w:rPr>
        <w:t>KJV</w:t>
      </w:r>
      <w:r>
        <w:t xml:space="preserve"> text.</w:t>
      </w:r>
      <w:r>
        <w:rPr>
          <w:rStyle w:val="EndnoteReference"/>
        </w:rPr>
        <w:endnoteReference w:id="155"/>
      </w:r>
      <w:r>
        <w:t xml:space="preserve">  Conversely, the ‘historical books’ in </w:t>
      </w:r>
      <w:r w:rsidRPr="000834F2">
        <w:rPr>
          <w:i/>
        </w:rPr>
        <w:t>SRB</w:t>
      </w:r>
      <w:r>
        <w:t xml:space="preserve"> notes contain far smaller percentages of material than the </w:t>
      </w:r>
      <w:r w:rsidRPr="007B686A">
        <w:rPr>
          <w:i/>
        </w:rPr>
        <w:t>KJV</w:t>
      </w:r>
      <w:r>
        <w:t xml:space="preserve"> text.</w:t>
      </w:r>
      <w:r>
        <w:rPr>
          <w:rStyle w:val="EndnoteReference"/>
        </w:rPr>
        <w:endnoteReference w:id="156"/>
      </w:r>
      <w:r>
        <w:t xml:space="preserve">  </w:t>
      </w:r>
      <w:proofErr w:type="gramStart"/>
      <w:r>
        <w:t>The majority of the Psalms</w:t>
      </w:r>
      <w:r>
        <w:rPr>
          <w:rStyle w:val="EndnoteReference"/>
        </w:rPr>
        <w:endnoteReference w:id="157"/>
      </w:r>
      <w:r>
        <w:t xml:space="preserve"> and other ‘poetic books’,</w:t>
      </w:r>
      <w:r>
        <w:rPr>
          <w:rStyle w:val="EndnoteReference"/>
        </w:rPr>
        <w:endnoteReference w:id="158"/>
      </w:r>
      <w:r>
        <w:t xml:space="preserve"> and many of the remaining prophets, particularly Jeremiah and Ezekiel,</w:t>
      </w:r>
      <w:r>
        <w:rPr>
          <w:rStyle w:val="EndnoteReference"/>
        </w:rPr>
        <w:endnoteReference w:id="159"/>
      </w:r>
      <w:r>
        <w:t xml:space="preserve"> are also neglected in </w:t>
      </w:r>
      <w:r w:rsidRPr="00D97DF0">
        <w:rPr>
          <w:i/>
        </w:rPr>
        <w:t>SRB</w:t>
      </w:r>
      <w:r>
        <w:t xml:space="preserve"> notes in comparison with their volume in </w:t>
      </w:r>
      <w:r w:rsidRPr="007B686A">
        <w:rPr>
          <w:i/>
        </w:rPr>
        <w:t>KJV</w:t>
      </w:r>
      <w:r w:rsidRPr="00196B6B">
        <w:t>.</w:t>
      </w:r>
      <w:proofErr w:type="gramEnd"/>
      <w:r w:rsidRPr="00196B6B">
        <w:t xml:space="preserve"> </w:t>
      </w:r>
      <w:r>
        <w:t xml:space="preserve"> The notes on four books have a slightly lower percentage than that of </w:t>
      </w:r>
      <w:r w:rsidRPr="000834F2">
        <w:rPr>
          <w:i/>
        </w:rPr>
        <w:t>KJV</w:t>
      </w:r>
      <w:r>
        <w:t xml:space="preserve"> text.</w:t>
      </w:r>
      <w:r>
        <w:rPr>
          <w:rStyle w:val="EndnoteReference"/>
        </w:rPr>
        <w:endnoteReference w:id="160"/>
      </w:r>
      <w:r>
        <w:t xml:space="preserve">  Ruth, Esther and Obadiah bear no notes.  </w:t>
      </w:r>
    </w:p>
    <w:p w:rsidR="00F1470F" w:rsidRDefault="00F1470F" w:rsidP="00F1470F">
      <w:pPr>
        <w:spacing w:after="120" w:line="360" w:lineRule="auto"/>
        <w:ind w:right="74" w:firstLine="567"/>
        <w:jc w:val="both"/>
      </w:pPr>
      <w:r w:rsidRPr="0078322B">
        <w:t>In the New Testament, Scofield’s major interests are Matthew, which takes pride of place by a wide margin,</w:t>
      </w:r>
      <w:r>
        <w:rPr>
          <w:rStyle w:val="EndnoteReference"/>
        </w:rPr>
        <w:endnoteReference w:id="161"/>
      </w:r>
      <w:r>
        <w:t xml:space="preserve"> </w:t>
      </w:r>
      <w:r w:rsidRPr="0078322B">
        <w:t>followed by Revelation.</w:t>
      </w:r>
      <w:r>
        <w:rPr>
          <w:rStyle w:val="EndnoteReference"/>
        </w:rPr>
        <w:endnoteReference w:id="162"/>
      </w:r>
      <w:r>
        <w:t xml:space="preserve"> </w:t>
      </w:r>
      <w:r w:rsidRPr="0078322B">
        <w:t>Matthew is the book to which Scofield devotes proportionally the most attention in the whole Bible</w:t>
      </w:r>
      <w:r>
        <w:t xml:space="preserve">; 13.3% of </w:t>
      </w:r>
      <w:r w:rsidRPr="006D4A5A">
        <w:rPr>
          <w:i/>
        </w:rPr>
        <w:t>SRB</w:t>
      </w:r>
      <w:r>
        <w:t xml:space="preserve"> notes are taken up by commentary on Matthew, compared with 3% of </w:t>
      </w:r>
      <w:r w:rsidRPr="004F29FC">
        <w:rPr>
          <w:i/>
        </w:rPr>
        <w:t>KJV</w:t>
      </w:r>
      <w:r>
        <w:t xml:space="preserve"> text taken by this book</w:t>
      </w:r>
      <w:r w:rsidRPr="0078322B">
        <w:t xml:space="preserve">.  Of the other New Testament books, the </w:t>
      </w:r>
      <w:r>
        <w:t xml:space="preserve">estimated </w:t>
      </w:r>
      <w:r w:rsidRPr="0078322B">
        <w:t xml:space="preserve">volume of Scofield’s notes exceeds by 1% that of </w:t>
      </w:r>
      <w:r w:rsidRPr="0078322B">
        <w:rPr>
          <w:i/>
        </w:rPr>
        <w:t>KJV</w:t>
      </w:r>
      <w:r w:rsidRPr="0078322B">
        <w:t xml:space="preserve"> text only on Romans, 1 Corinthians, Galatians, Ephesians and Hebrews.</w:t>
      </w:r>
      <w:r>
        <w:rPr>
          <w:rStyle w:val="EndnoteReference"/>
        </w:rPr>
        <w:endnoteReference w:id="163"/>
      </w:r>
      <w:r w:rsidRPr="0078322B">
        <w:t xml:space="preserve">  In ten other books, it exceeds that of the </w:t>
      </w:r>
      <w:r w:rsidRPr="000C01E0">
        <w:rPr>
          <w:i/>
        </w:rPr>
        <w:t>KJV</w:t>
      </w:r>
      <w:r w:rsidRPr="0078322B">
        <w:t xml:space="preserve"> text by </w:t>
      </w:r>
      <w:r>
        <w:t>less than 1%.</w:t>
      </w:r>
      <w:r>
        <w:rPr>
          <w:rStyle w:val="EndnoteReference"/>
        </w:rPr>
        <w:endnoteReference w:id="164"/>
      </w:r>
      <w:r>
        <w:t xml:space="preserve"> </w:t>
      </w:r>
      <w:r w:rsidRPr="0078322B">
        <w:t xml:space="preserve"> </w:t>
      </w:r>
      <w:r>
        <w:t xml:space="preserve">The percentages of notes on Philippians, Philemon and 1 John are slightly lower than the percentage of </w:t>
      </w:r>
      <w:r w:rsidRPr="00D7734B">
        <w:rPr>
          <w:i/>
        </w:rPr>
        <w:t>KJV</w:t>
      </w:r>
      <w:r>
        <w:t xml:space="preserve"> text </w:t>
      </w:r>
      <w:r w:rsidRPr="00EF68D7">
        <w:t>for these</w:t>
      </w:r>
      <w:r>
        <w:t xml:space="preserve"> books.</w:t>
      </w:r>
      <w:r>
        <w:rPr>
          <w:rStyle w:val="EndnoteReference"/>
        </w:rPr>
        <w:endnoteReference w:id="165"/>
      </w:r>
      <w:r>
        <w:t xml:space="preserve">  Excluding Matthew, the gospels,</w:t>
      </w:r>
      <w:r>
        <w:rPr>
          <w:rStyle w:val="EndnoteReference"/>
        </w:rPr>
        <w:endnoteReference w:id="166"/>
      </w:r>
      <w:r>
        <w:t xml:space="preserve"> together with 2 Corinthians, </w:t>
      </w:r>
      <w:proofErr w:type="gramStart"/>
      <w:r>
        <w:t>1 Timothy</w:t>
      </w:r>
      <w:proofErr w:type="gramEnd"/>
      <w:r>
        <w:t xml:space="preserve"> and James,</w:t>
      </w:r>
      <w:r>
        <w:rPr>
          <w:rStyle w:val="EndnoteReference"/>
        </w:rPr>
        <w:endnoteReference w:id="167"/>
      </w:r>
      <w:r>
        <w:t xml:space="preserve"> receive lower percentages of </w:t>
      </w:r>
      <w:r w:rsidRPr="00BD089A">
        <w:rPr>
          <w:i/>
        </w:rPr>
        <w:t>SRB</w:t>
      </w:r>
      <w:r>
        <w:t xml:space="preserve"> notes than the corresponding percentages of </w:t>
      </w:r>
      <w:r w:rsidRPr="00F67CDD">
        <w:rPr>
          <w:i/>
        </w:rPr>
        <w:t>KJV</w:t>
      </w:r>
      <w:r>
        <w:t xml:space="preserve"> text.  Apart from the single-page 3 John, which has no note,</w:t>
      </w:r>
      <w:r w:rsidRPr="0078322B">
        <w:t xml:space="preserve"> </w:t>
      </w:r>
      <w:r>
        <w:t>Mark’s Gospel</w:t>
      </w:r>
      <w:r w:rsidRPr="0078322B">
        <w:t xml:space="preserve"> </w:t>
      </w:r>
      <w:r>
        <w:t xml:space="preserve">receives the lowest percentage of </w:t>
      </w:r>
      <w:r w:rsidRPr="00F67CDD">
        <w:rPr>
          <w:i/>
        </w:rPr>
        <w:t>SRB</w:t>
      </w:r>
      <w:r>
        <w:t xml:space="preserve"> notes compared with its percentage in </w:t>
      </w:r>
      <w:r w:rsidRPr="00F67CDD">
        <w:rPr>
          <w:i/>
        </w:rPr>
        <w:t>KJV</w:t>
      </w:r>
      <w:r>
        <w:rPr>
          <w:i/>
        </w:rPr>
        <w:t>.</w:t>
      </w:r>
      <w:r>
        <w:rPr>
          <w:rStyle w:val="EndnoteReference"/>
          <w:i/>
        </w:rPr>
        <w:endnoteReference w:id="168"/>
      </w:r>
      <w:r w:rsidRPr="0078322B">
        <w:t xml:space="preserve"> </w:t>
      </w:r>
      <w:r>
        <w:t xml:space="preserve"> It</w:t>
      </w:r>
      <w:r w:rsidRPr="0078322B">
        <w:t xml:space="preserve"> is extraordinary</w:t>
      </w:r>
      <w:r>
        <w:t xml:space="preserve"> that this foundational gospel </w:t>
      </w:r>
      <w:r w:rsidRPr="0078322B">
        <w:t>should rate proportionally</w:t>
      </w:r>
      <w:r>
        <w:t xml:space="preserve"> so low </w:t>
      </w:r>
      <w:r w:rsidRPr="0078322B">
        <w:t>in Scofield’s estimation</w:t>
      </w:r>
      <w:r>
        <w:t>.</w:t>
      </w:r>
      <w:r w:rsidRPr="0078322B">
        <w:t xml:space="preserve">  Scofield comments on only five verses in the entire book.  </w:t>
      </w:r>
    </w:p>
    <w:p w:rsidR="00F1470F" w:rsidRPr="0078322B" w:rsidRDefault="00F1470F" w:rsidP="00F1470F">
      <w:pPr>
        <w:spacing w:after="120" w:line="360" w:lineRule="auto"/>
        <w:ind w:right="74" w:firstLine="540"/>
        <w:jc w:val="both"/>
      </w:pPr>
      <w:r w:rsidRPr="00F53033">
        <w:rPr>
          <w:color w:val="000000"/>
        </w:rPr>
        <w:t xml:space="preserve">The percentage of </w:t>
      </w:r>
      <w:r w:rsidRPr="00F53033">
        <w:rPr>
          <w:i/>
          <w:color w:val="000000"/>
        </w:rPr>
        <w:t>SRB</w:t>
      </w:r>
      <w:r w:rsidRPr="0078322B">
        <w:rPr>
          <w:color w:val="000000"/>
        </w:rPr>
        <w:t xml:space="preserve"> notes for thirteen books </w:t>
      </w:r>
      <w:r>
        <w:rPr>
          <w:color w:val="000000"/>
        </w:rPr>
        <w:t xml:space="preserve">in the entire Bible </w:t>
      </w:r>
      <w:r w:rsidRPr="0078322B">
        <w:rPr>
          <w:color w:val="000000"/>
        </w:rPr>
        <w:t>exceeds by 1%</w:t>
      </w:r>
      <w:r>
        <w:rPr>
          <w:color w:val="000000"/>
        </w:rPr>
        <w:t xml:space="preserve"> </w:t>
      </w:r>
      <w:r w:rsidRPr="00012B96">
        <w:rPr>
          <w:sz w:val="16"/>
          <w:szCs w:val="24"/>
        </w:rPr>
        <w:t>—</w:t>
      </w:r>
      <w:r>
        <w:rPr>
          <w:color w:val="000000"/>
        </w:rPr>
        <w:t xml:space="preserve"> </w:t>
      </w:r>
      <w:r w:rsidRPr="0078322B">
        <w:rPr>
          <w:color w:val="000000"/>
        </w:rPr>
        <w:t xml:space="preserve">10.3% that represented by these books in the </w:t>
      </w:r>
      <w:r w:rsidRPr="0078322B">
        <w:rPr>
          <w:i/>
          <w:color w:val="000000"/>
        </w:rPr>
        <w:t>KJV</w:t>
      </w:r>
      <w:r w:rsidRPr="0078322B">
        <w:rPr>
          <w:color w:val="000000"/>
        </w:rPr>
        <w:t xml:space="preserve"> text.</w:t>
      </w:r>
      <w:r>
        <w:rPr>
          <w:rStyle w:val="EndnoteReference"/>
          <w:color w:val="000000"/>
        </w:rPr>
        <w:endnoteReference w:id="169"/>
      </w:r>
      <w:r w:rsidRPr="0078322B">
        <w:rPr>
          <w:color w:val="000000"/>
        </w:rPr>
        <w:t xml:space="preserve">  For seventeen books the </w:t>
      </w:r>
      <w:r>
        <w:rPr>
          <w:color w:val="000000"/>
        </w:rPr>
        <w:t xml:space="preserve">estimated </w:t>
      </w:r>
      <w:r w:rsidRPr="0078322B">
        <w:rPr>
          <w:color w:val="000000"/>
        </w:rPr>
        <w:t xml:space="preserve">percentage of notes is slightly higher than that in the </w:t>
      </w:r>
      <w:r w:rsidRPr="0078322B">
        <w:rPr>
          <w:i/>
          <w:color w:val="000000"/>
        </w:rPr>
        <w:t>KJV</w:t>
      </w:r>
      <w:r w:rsidRPr="0078322B">
        <w:rPr>
          <w:color w:val="FF0000"/>
        </w:rPr>
        <w:t xml:space="preserve"> </w:t>
      </w:r>
      <w:r w:rsidRPr="0078322B">
        <w:rPr>
          <w:color w:val="000000"/>
        </w:rPr>
        <w:t>text.</w:t>
      </w:r>
      <w:r>
        <w:rPr>
          <w:rStyle w:val="EndnoteReference"/>
          <w:color w:val="000000"/>
        </w:rPr>
        <w:endnoteReference w:id="170"/>
      </w:r>
      <w:r>
        <w:rPr>
          <w:color w:val="000000"/>
        </w:rPr>
        <w:t xml:space="preserve">  </w:t>
      </w:r>
      <w:r w:rsidRPr="0078322B">
        <w:rPr>
          <w:color w:val="000000"/>
        </w:rPr>
        <w:t xml:space="preserve">For five books, the </w:t>
      </w:r>
      <w:r>
        <w:rPr>
          <w:color w:val="000000"/>
        </w:rPr>
        <w:t xml:space="preserve">estimated </w:t>
      </w:r>
      <w:r w:rsidRPr="0078322B">
        <w:rPr>
          <w:color w:val="000000"/>
        </w:rPr>
        <w:t xml:space="preserve">percentage of notes is almost equal to that in the </w:t>
      </w:r>
      <w:r w:rsidRPr="0078322B">
        <w:rPr>
          <w:i/>
          <w:color w:val="000000"/>
        </w:rPr>
        <w:t>KJV</w:t>
      </w:r>
      <w:r w:rsidRPr="0078322B">
        <w:rPr>
          <w:color w:val="000000"/>
        </w:rPr>
        <w:t xml:space="preserve"> text.</w:t>
      </w:r>
      <w:r>
        <w:rPr>
          <w:rStyle w:val="EndnoteReference"/>
          <w:color w:val="000000"/>
        </w:rPr>
        <w:endnoteReference w:id="171"/>
      </w:r>
      <w:r w:rsidRPr="0078322B">
        <w:rPr>
          <w:color w:val="000000"/>
        </w:rPr>
        <w:t xml:space="preserve">  To the remaining books, thirty-one out of the sixty-six in </w:t>
      </w:r>
      <w:r w:rsidRPr="00F53033">
        <w:rPr>
          <w:i/>
          <w:color w:val="000000"/>
        </w:rPr>
        <w:t>KJV</w:t>
      </w:r>
      <w:r w:rsidRPr="0078322B">
        <w:rPr>
          <w:color w:val="000000"/>
        </w:rPr>
        <w:t>, Scofield apportions a percentage of notes lower than the percentage of words accorded each book in the text.</w:t>
      </w:r>
      <w:r>
        <w:rPr>
          <w:rStyle w:val="EndnoteReference"/>
          <w:color w:val="000000"/>
        </w:rPr>
        <w:endnoteReference w:id="172"/>
      </w:r>
      <w:r w:rsidRPr="0078322B">
        <w:rPr>
          <w:color w:val="000000"/>
        </w:rPr>
        <w:t xml:space="preserve">  </w:t>
      </w:r>
      <w:r w:rsidRPr="0078322B">
        <w:t xml:space="preserve">It seems Scofield attaches less importance to these thirty-one books.  </w:t>
      </w:r>
    </w:p>
    <w:p w:rsidR="00F1470F" w:rsidRDefault="00F1470F" w:rsidP="00F1470F">
      <w:pPr>
        <w:spacing w:after="120" w:line="360" w:lineRule="auto"/>
        <w:ind w:right="74" w:firstLine="539"/>
        <w:jc w:val="both"/>
      </w:pPr>
      <w:r w:rsidRPr="0078322B">
        <w:t xml:space="preserve">It is also noteworthy that, while Scofield claims in </w:t>
      </w:r>
      <w:r w:rsidRPr="0078322B">
        <w:rPr>
          <w:i/>
        </w:rPr>
        <w:t>Prophecy Made Plain</w:t>
      </w:r>
      <w:r w:rsidRPr="0078322B">
        <w:t xml:space="preserve"> that ‘it is peculiarly the prophetic part of Scripture which brings us into intimacy with God’,</w:t>
      </w:r>
      <w:r>
        <w:rPr>
          <w:rStyle w:val="EndnoteReference"/>
        </w:rPr>
        <w:endnoteReference w:id="173"/>
      </w:r>
      <w:r>
        <w:t xml:space="preserve"> </w:t>
      </w:r>
      <w:r w:rsidRPr="0078322B">
        <w:t xml:space="preserve">the </w:t>
      </w:r>
      <w:r>
        <w:t xml:space="preserve">estimated </w:t>
      </w:r>
      <w:r w:rsidRPr="0078322B">
        <w:t xml:space="preserve">percentage of his annotation on three out of four of the major prophets does not reach equality with the percentage of </w:t>
      </w:r>
      <w:r w:rsidRPr="0078322B">
        <w:rPr>
          <w:i/>
        </w:rPr>
        <w:t>KJV</w:t>
      </w:r>
      <w:r w:rsidRPr="0078322B">
        <w:t xml:space="preserve"> text.  The notes on Isaiah come nearest to parity in volume with the </w:t>
      </w:r>
      <w:r w:rsidRPr="0078322B">
        <w:rPr>
          <w:i/>
        </w:rPr>
        <w:t>KJV</w:t>
      </w:r>
      <w:r w:rsidRPr="0078322B">
        <w:t xml:space="preserve"> text</w:t>
      </w:r>
      <w:r>
        <w:rPr>
          <w:rStyle w:val="EndnoteReference"/>
        </w:rPr>
        <w:endnoteReference w:id="174"/>
      </w:r>
      <w:r>
        <w:t xml:space="preserve"> </w:t>
      </w:r>
      <w:r w:rsidRPr="0078322B">
        <w:t>but those on Jeremiah and Ezekiel show far lower percentages.</w:t>
      </w:r>
      <w:r>
        <w:rPr>
          <w:rStyle w:val="EndnoteReference"/>
        </w:rPr>
        <w:endnoteReference w:id="175"/>
      </w:r>
      <w:r w:rsidRPr="0078322B">
        <w:t xml:space="preserve">  Conversely, the percentages of </w:t>
      </w:r>
      <w:r w:rsidRPr="0078322B">
        <w:rPr>
          <w:i/>
        </w:rPr>
        <w:t>SRB</w:t>
      </w:r>
      <w:r w:rsidRPr="0078322B">
        <w:t xml:space="preserve"> notes on Daniel and on Zechariah far exceed the percentages of </w:t>
      </w:r>
      <w:r w:rsidRPr="0078322B">
        <w:rPr>
          <w:i/>
        </w:rPr>
        <w:t>KJV</w:t>
      </w:r>
      <w:r w:rsidRPr="0078322B">
        <w:t xml:space="preserve"> text.</w:t>
      </w:r>
      <w:r>
        <w:rPr>
          <w:rStyle w:val="EndnoteReference"/>
        </w:rPr>
        <w:endnoteReference w:id="176"/>
      </w:r>
      <w:r>
        <w:t xml:space="preserve">  </w:t>
      </w:r>
      <w:r w:rsidRPr="0078322B">
        <w:t xml:space="preserve">Scofield’s notes on the major and minor prophets do account for </w:t>
      </w:r>
      <w:r>
        <w:t>an estimated</w:t>
      </w:r>
      <w:r w:rsidRPr="0078322B">
        <w:t xml:space="preserve"> 22% of his total text, while the prophetic books account for 19% of the </w:t>
      </w:r>
      <w:r w:rsidRPr="0078322B">
        <w:rPr>
          <w:i/>
        </w:rPr>
        <w:t>KJV</w:t>
      </w:r>
      <w:r w:rsidRPr="0078322B">
        <w:t xml:space="preserve"> text, but it can hardly be true, as Scofield claims, that ‘the general reader’, to whom these books were formerly closed by ‘fanciful and allegorical schemes of interpretation’, is now given ‘ready access … to </w:t>
      </w:r>
      <w:r w:rsidRPr="0078322B">
        <w:lastRenderedPageBreak/>
        <w:t>the amazing literary riches of the Prophetical Books’.</w:t>
      </w:r>
      <w:r>
        <w:rPr>
          <w:rStyle w:val="EndnoteReference"/>
        </w:rPr>
        <w:endnoteReference w:id="177"/>
      </w:r>
      <w:r w:rsidRPr="0078322B">
        <w:t xml:space="preserve">  More than half the chapters in the prophetic books, 132 chapters out of 245, receive no annotation.  </w:t>
      </w:r>
    </w:p>
    <w:p w:rsidR="00F1470F" w:rsidRPr="0078322B" w:rsidRDefault="00F1470F" w:rsidP="00F1470F">
      <w:pPr>
        <w:spacing w:after="120" w:line="360" w:lineRule="auto"/>
        <w:ind w:right="74"/>
        <w:jc w:val="both"/>
        <w:rPr>
          <w:b/>
        </w:rPr>
      </w:pPr>
      <w:r>
        <w:rPr>
          <w:b/>
        </w:rPr>
        <w:t>c)</w:t>
      </w:r>
      <w:r w:rsidRPr="0078322B">
        <w:rPr>
          <w:b/>
        </w:rPr>
        <w:t xml:space="preserve">  Uneven Distribution of Notes </w:t>
      </w:r>
      <w:r w:rsidR="006355DD">
        <w:rPr>
          <w:b/>
        </w:rPr>
        <w:t>w</w:t>
      </w:r>
      <w:r w:rsidRPr="0078322B">
        <w:rPr>
          <w:b/>
        </w:rPr>
        <w:t>ithin Books</w:t>
      </w:r>
      <w:r w:rsidR="00B91AD8">
        <w:rPr>
          <w:b/>
        </w:rPr>
        <w:t xml:space="preserve"> in </w:t>
      </w:r>
      <w:r w:rsidR="00B91AD8" w:rsidRPr="00B91AD8">
        <w:rPr>
          <w:b/>
          <w:i/>
        </w:rPr>
        <w:t>SRB</w:t>
      </w:r>
    </w:p>
    <w:p w:rsidR="00F1470F" w:rsidRPr="00250713" w:rsidRDefault="00F1470F" w:rsidP="00F1470F">
      <w:pPr>
        <w:spacing w:after="120" w:line="360" w:lineRule="auto"/>
        <w:ind w:right="74"/>
        <w:jc w:val="both"/>
      </w:pPr>
      <w:r>
        <w:rPr>
          <w:color w:val="000000"/>
        </w:rPr>
        <w:t xml:space="preserve">The same methodology as that described above was applied to the chapters in each biblical book.  The results demonstrate that </w:t>
      </w:r>
      <w:r w:rsidRPr="00250713">
        <w:t xml:space="preserve">the distribution of </w:t>
      </w:r>
      <w:r w:rsidRPr="00250713">
        <w:rPr>
          <w:i/>
        </w:rPr>
        <w:t>SRB</w:t>
      </w:r>
      <w:r w:rsidRPr="00250713">
        <w:t xml:space="preserve"> notes within books is also uneven and, in many cases Scofield selects for comment only a few verses or even a single verse within a chapter.  </w:t>
      </w:r>
      <w:r>
        <w:t>Results</w:t>
      </w:r>
      <w:r w:rsidRPr="00250713">
        <w:t xml:space="preserve"> appear in </w:t>
      </w:r>
      <w:r w:rsidRPr="0010588C">
        <w:t>Chapter 8.</w:t>
      </w:r>
      <w:r w:rsidRPr="00250713">
        <w:t xml:space="preserve">  </w:t>
      </w:r>
    </w:p>
    <w:p w:rsidR="00F1470F" w:rsidRDefault="00F1470F" w:rsidP="00F1470F">
      <w:pPr>
        <w:spacing w:after="120" w:line="360" w:lineRule="auto"/>
        <w:ind w:right="74"/>
        <w:jc w:val="both"/>
        <w:rPr>
          <w:b/>
          <w:color w:val="000000"/>
        </w:rPr>
      </w:pPr>
      <w:r>
        <w:rPr>
          <w:b/>
          <w:color w:val="000000"/>
        </w:rPr>
        <w:t>d</w:t>
      </w:r>
      <w:r w:rsidRPr="00AD0DBC">
        <w:rPr>
          <w:b/>
          <w:color w:val="000000"/>
        </w:rPr>
        <w:t xml:space="preserve">)  Themes </w:t>
      </w:r>
      <w:r>
        <w:rPr>
          <w:b/>
          <w:color w:val="000000"/>
        </w:rPr>
        <w:t xml:space="preserve">in Notes </w:t>
      </w:r>
      <w:r w:rsidRPr="00AD0DBC">
        <w:rPr>
          <w:b/>
          <w:color w:val="000000"/>
        </w:rPr>
        <w:t xml:space="preserve">in </w:t>
      </w:r>
      <w:r w:rsidRPr="008775FC">
        <w:rPr>
          <w:b/>
          <w:i/>
          <w:color w:val="000000"/>
        </w:rPr>
        <w:t>S</w:t>
      </w:r>
      <w:r w:rsidR="006355DD">
        <w:rPr>
          <w:b/>
          <w:i/>
          <w:color w:val="000000"/>
        </w:rPr>
        <w:t>RB</w:t>
      </w:r>
    </w:p>
    <w:p w:rsidR="00F1470F" w:rsidRDefault="00F1470F" w:rsidP="00F1470F">
      <w:pPr>
        <w:spacing w:after="120" w:line="360" w:lineRule="auto"/>
        <w:ind w:right="74"/>
        <w:jc w:val="both"/>
      </w:pPr>
      <w:r w:rsidRPr="009A33D3">
        <w:t xml:space="preserve">The tables below provide </w:t>
      </w:r>
      <w:r>
        <w:t>a summary</w:t>
      </w:r>
      <w:r w:rsidRPr="009A33D3">
        <w:t xml:space="preserve"> of themes to be found in </w:t>
      </w:r>
      <w:r w:rsidRPr="009A33D3">
        <w:rPr>
          <w:i/>
        </w:rPr>
        <w:t>SRB</w:t>
      </w:r>
      <w:r>
        <w:rPr>
          <w:i/>
        </w:rPr>
        <w:t xml:space="preserve"> </w:t>
      </w:r>
      <w:r>
        <w:t>footnotes.</w:t>
      </w:r>
      <w:r w:rsidRPr="009A33D3">
        <w:t xml:space="preserve">  The categories selected for separate treatment reflect subject matter which occurs prominently in my thesis.  </w:t>
      </w:r>
      <w:r>
        <w:t xml:space="preserve">Headings are given distinctive colours according to theme; these are repeated in Chapter 8 for the headings of tables showing material found in individual books.  This provides unity of references and facilitates accessibility to information.  </w:t>
      </w:r>
    </w:p>
    <w:p w:rsidR="00F1470F" w:rsidRDefault="00F1470F" w:rsidP="00F1470F">
      <w:pPr>
        <w:spacing w:after="120" w:line="360" w:lineRule="auto"/>
        <w:ind w:right="74"/>
        <w:jc w:val="center"/>
        <w:rPr>
          <w:b/>
          <w:color w:val="000000"/>
          <w:sz w:val="24"/>
        </w:rPr>
      </w:pPr>
      <w:r w:rsidRPr="00C92B97">
        <w:rPr>
          <w:b/>
        </w:rPr>
        <w:t>Key to Colours</w:t>
      </w:r>
      <w:r>
        <w:rPr>
          <w:b/>
        </w:rPr>
        <w:t xml:space="preserve"> in Headings in Tables</w:t>
      </w:r>
      <w:r w:rsidR="00082497">
        <w:rPr>
          <w:b/>
        </w:rPr>
        <w:t xml:space="preserve"> </w:t>
      </w:r>
      <w:r w:rsidR="00082497" w:rsidRPr="00082497">
        <w:rPr>
          <w:b/>
        </w:rPr>
        <w:t>Showing Notes and Subhead</w:t>
      </w:r>
      <w:r w:rsidR="00082497">
        <w:rPr>
          <w:b/>
        </w:rPr>
        <w:t>s</w:t>
      </w:r>
    </w:p>
    <w:p w:rsidR="00F1470F" w:rsidRDefault="00F1470F" w:rsidP="00F1470F">
      <w:pPr>
        <w:spacing w:after="120" w:line="360" w:lineRule="auto"/>
        <w:ind w:right="74"/>
        <w:jc w:val="both"/>
      </w:pPr>
      <w:r>
        <w:rPr>
          <w:b/>
          <w:noProof/>
          <w:color w:val="000000"/>
          <w:sz w:val="24"/>
          <w:lang w:eastAsia="en-GB"/>
        </w:rPr>
        <w:drawing>
          <wp:inline distT="0" distB="0" distL="0" distR="0" wp14:anchorId="1C0FD7A1" wp14:editId="26D00AC4">
            <wp:extent cx="5400040" cy="3124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s to books 8.12.17 Rationalised 29.4.18 crop.jpg"/>
                    <pic:cNvPicPr/>
                  </pic:nvPicPr>
                  <pic:blipFill>
                    <a:blip r:embed="rId26">
                      <a:extLst>
                        <a:ext uri="{28A0092B-C50C-407E-A947-70E740481C1C}">
                          <a14:useLocalDpi xmlns:a14="http://schemas.microsoft.com/office/drawing/2010/main" val="0"/>
                        </a:ext>
                      </a:extLst>
                    </a:blip>
                    <a:stretch>
                      <a:fillRect/>
                    </a:stretch>
                  </pic:blipFill>
                  <pic:spPr>
                    <a:xfrm>
                      <a:off x="0" y="0"/>
                      <a:ext cx="5400040" cy="3124200"/>
                    </a:xfrm>
                    <a:prstGeom prst="rect">
                      <a:avLst/>
                    </a:prstGeom>
                  </pic:spPr>
                </pic:pic>
              </a:graphicData>
            </a:graphic>
          </wp:inline>
        </w:drawing>
      </w:r>
    </w:p>
    <w:p w:rsidR="00F1470F" w:rsidRDefault="00F1470F" w:rsidP="00F1470F">
      <w:pPr>
        <w:spacing w:after="120" w:line="360" w:lineRule="auto"/>
        <w:ind w:right="74"/>
        <w:jc w:val="center"/>
        <w:rPr>
          <w:b/>
          <w:color w:val="000000"/>
          <w:sz w:val="24"/>
        </w:rPr>
      </w:pPr>
    </w:p>
    <w:p w:rsidR="00F1470F" w:rsidRDefault="00F1470F" w:rsidP="00F1470F">
      <w:pPr>
        <w:spacing w:after="120" w:line="360" w:lineRule="auto"/>
        <w:ind w:right="74"/>
        <w:jc w:val="center"/>
        <w:rPr>
          <w:b/>
          <w:color w:val="000000"/>
          <w:sz w:val="24"/>
        </w:rPr>
      </w:pPr>
    </w:p>
    <w:p w:rsidR="00F1470F" w:rsidRDefault="00F1470F" w:rsidP="00F1470F">
      <w:pPr>
        <w:spacing w:after="120" w:line="360" w:lineRule="auto"/>
        <w:ind w:right="74"/>
        <w:jc w:val="center"/>
        <w:rPr>
          <w:b/>
          <w:color w:val="000000"/>
          <w:sz w:val="24"/>
        </w:rPr>
      </w:pPr>
    </w:p>
    <w:p w:rsidR="00F1470F" w:rsidRDefault="00F1470F" w:rsidP="00F1470F">
      <w:pPr>
        <w:spacing w:after="120" w:line="360" w:lineRule="auto"/>
        <w:ind w:right="74"/>
        <w:jc w:val="center"/>
        <w:rPr>
          <w:b/>
          <w:color w:val="000000"/>
          <w:sz w:val="24"/>
        </w:rPr>
      </w:pPr>
    </w:p>
    <w:p w:rsidR="00F1470F" w:rsidRDefault="00F1470F" w:rsidP="00F1470F">
      <w:pPr>
        <w:spacing w:after="120" w:line="360" w:lineRule="auto"/>
        <w:ind w:right="74"/>
        <w:jc w:val="center"/>
        <w:rPr>
          <w:b/>
          <w:color w:val="000000"/>
          <w:sz w:val="24"/>
        </w:rPr>
      </w:pPr>
    </w:p>
    <w:p w:rsidR="00F1470F" w:rsidRDefault="00F1470F" w:rsidP="00F1470F">
      <w:pPr>
        <w:spacing w:after="120" w:line="360" w:lineRule="auto"/>
        <w:ind w:right="74"/>
        <w:jc w:val="center"/>
        <w:rPr>
          <w:b/>
          <w:color w:val="000000"/>
          <w:sz w:val="24"/>
        </w:rPr>
      </w:pPr>
      <w:r w:rsidRPr="008A6F7C">
        <w:rPr>
          <w:b/>
          <w:color w:val="000000"/>
          <w:sz w:val="24"/>
        </w:rPr>
        <w:lastRenderedPageBreak/>
        <w:t xml:space="preserve">Main Themes in </w:t>
      </w:r>
      <w:r w:rsidRPr="008A6F7C">
        <w:rPr>
          <w:b/>
          <w:i/>
          <w:color w:val="000000"/>
          <w:sz w:val="24"/>
        </w:rPr>
        <w:t>SRB</w:t>
      </w:r>
      <w:r w:rsidRPr="008A6F7C">
        <w:rPr>
          <w:b/>
          <w:color w:val="000000"/>
          <w:sz w:val="24"/>
        </w:rPr>
        <w:t xml:space="preserve"> Notes</w:t>
      </w:r>
    </w:p>
    <w:p w:rsidR="00F1470F" w:rsidRPr="008A6F7C" w:rsidRDefault="00F1470F" w:rsidP="00F1470F">
      <w:pPr>
        <w:spacing w:after="120" w:line="360" w:lineRule="auto"/>
        <w:ind w:right="74"/>
        <w:jc w:val="center"/>
        <w:rPr>
          <w:b/>
          <w:color w:val="000000"/>
          <w:sz w:val="24"/>
        </w:rPr>
      </w:pPr>
      <w:r>
        <w:rPr>
          <w:b/>
          <w:noProof/>
          <w:color w:val="000000"/>
          <w:sz w:val="24"/>
          <w:lang w:eastAsia="en-GB"/>
        </w:rPr>
        <w:drawing>
          <wp:inline distT="0" distB="0" distL="0" distR="0" wp14:anchorId="1639BB6D" wp14:editId="3FD7FD3E">
            <wp:extent cx="5400040" cy="74371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Page 1 crop FOR P 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7437120"/>
                    </a:xfrm>
                    <a:prstGeom prst="rect">
                      <a:avLst/>
                    </a:prstGeom>
                  </pic:spPr>
                </pic:pic>
              </a:graphicData>
            </a:graphic>
          </wp:inline>
        </w:drawing>
      </w:r>
    </w:p>
    <w:p w:rsidR="00F1470F" w:rsidRDefault="00F1470F" w:rsidP="00F1470F">
      <w:pPr>
        <w:spacing w:after="120" w:line="360" w:lineRule="auto"/>
        <w:ind w:right="74"/>
        <w:jc w:val="both"/>
        <w:rPr>
          <w:color w:val="000000"/>
        </w:rPr>
      </w:pPr>
    </w:p>
    <w:p w:rsidR="00F1470F" w:rsidRDefault="00F1470F" w:rsidP="00F1470F">
      <w:pPr>
        <w:spacing w:after="120" w:line="360" w:lineRule="auto"/>
        <w:ind w:right="74"/>
        <w:jc w:val="both"/>
        <w:rPr>
          <w:color w:val="000000"/>
        </w:rPr>
      </w:pPr>
    </w:p>
    <w:p w:rsidR="00F1470F" w:rsidRDefault="00F1470F" w:rsidP="00F1470F">
      <w:pPr>
        <w:spacing w:after="120" w:line="360" w:lineRule="auto"/>
        <w:ind w:right="74"/>
        <w:jc w:val="both"/>
        <w:rPr>
          <w:color w:val="000000"/>
        </w:rPr>
      </w:pPr>
    </w:p>
    <w:p w:rsidR="00F1470F" w:rsidRDefault="00F1470F" w:rsidP="00F1470F">
      <w:pPr>
        <w:spacing w:after="120" w:line="360" w:lineRule="auto"/>
        <w:ind w:right="74"/>
        <w:jc w:val="both"/>
        <w:rPr>
          <w:color w:val="000000"/>
        </w:rPr>
      </w:pPr>
      <w:r>
        <w:rPr>
          <w:noProof/>
          <w:color w:val="000000"/>
          <w:lang w:eastAsia="en-GB"/>
        </w:rPr>
        <w:lastRenderedPageBreak/>
        <w:drawing>
          <wp:inline distT="0" distB="0" distL="0" distR="0" wp14:anchorId="5C1B19A6" wp14:editId="16B3E540">
            <wp:extent cx="5400040" cy="72942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OT &amp; NT REV 29.4.18_Page_02 crop.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7294245"/>
                    </a:xfrm>
                    <a:prstGeom prst="rect">
                      <a:avLst/>
                    </a:prstGeom>
                  </pic:spPr>
                </pic:pic>
              </a:graphicData>
            </a:graphic>
          </wp:inline>
        </w:drawing>
      </w:r>
      <w:r>
        <w:rPr>
          <w:color w:val="000000"/>
        </w:rPr>
        <w:br w:type="page"/>
      </w:r>
    </w:p>
    <w:p w:rsidR="00F1470F" w:rsidRDefault="00F1470F" w:rsidP="00F1470F">
      <w:pPr>
        <w:rPr>
          <w:color w:val="000000"/>
        </w:rPr>
      </w:pPr>
      <w:r>
        <w:rPr>
          <w:noProof/>
          <w:color w:val="000000"/>
          <w:lang w:eastAsia="en-GB"/>
        </w:rPr>
        <w:lastRenderedPageBreak/>
        <w:drawing>
          <wp:inline distT="0" distB="0" distL="0" distR="0" wp14:anchorId="0E6E89F7" wp14:editId="41AF87AC">
            <wp:extent cx="5400040" cy="79521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OT &amp; NT REV 29.4.18_Page_03 crop.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7952105"/>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r>
        <w:rPr>
          <w:noProof/>
          <w:color w:val="000000"/>
          <w:lang w:eastAsia="en-GB"/>
        </w:rPr>
        <w:lastRenderedPageBreak/>
        <w:drawing>
          <wp:inline distT="0" distB="0" distL="0" distR="0" wp14:anchorId="05F49B25" wp14:editId="13F07CC3">
            <wp:extent cx="5400040" cy="713867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OT &amp; NT REV 29.4.18_Page_04 cro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7138670"/>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r>
        <w:rPr>
          <w:noProof/>
          <w:color w:val="000000"/>
          <w:lang w:eastAsia="en-GB"/>
        </w:rPr>
        <w:drawing>
          <wp:inline distT="0" distB="0" distL="0" distR="0" wp14:anchorId="0BEEFFA9" wp14:editId="6AD2C06C">
            <wp:extent cx="5400040" cy="8007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Page 5 crop FOR P 2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800798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322CDAC2" wp14:editId="7DD11120">
            <wp:extent cx="5400040" cy="7705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page 6 crop FOR P 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7705725"/>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r>
        <w:rPr>
          <w:noProof/>
          <w:color w:val="000000"/>
          <w:lang w:eastAsia="en-GB"/>
        </w:rPr>
        <w:lastRenderedPageBreak/>
        <w:drawing>
          <wp:inline distT="0" distB="0" distL="0" distR="0" wp14:anchorId="588AF1DC" wp14:editId="656D5ADD">
            <wp:extent cx="5400040" cy="81368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Books page 7 FOR PAGE 23 ONLY crop.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8136890"/>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2F43B73D" wp14:editId="53D968AA">
            <wp:extent cx="5400040" cy="805688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4 15.5.18 crop.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8056880"/>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jc w:val="center"/>
        <w:rPr>
          <w:noProof/>
          <w:color w:val="000000"/>
          <w:lang w:eastAsia="en-GB"/>
        </w:rPr>
      </w:pPr>
      <w:r>
        <w:rPr>
          <w:noProof/>
          <w:color w:val="000000"/>
          <w:lang w:eastAsia="en-GB"/>
        </w:rPr>
        <w:lastRenderedPageBreak/>
        <w:drawing>
          <wp:inline distT="0" distB="0" distL="0" distR="0" wp14:anchorId="569122DD" wp14:editId="18F361B6">
            <wp:extent cx="5400040" cy="6400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5 15.5.18 crop.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6400800"/>
                    </a:xfrm>
                    <a:prstGeom prst="rect">
                      <a:avLst/>
                    </a:prstGeom>
                  </pic:spPr>
                </pic:pic>
              </a:graphicData>
            </a:graphic>
          </wp:inline>
        </w:drawing>
      </w:r>
    </w:p>
    <w:p w:rsidR="00F1470F" w:rsidRDefault="00F1470F" w:rsidP="00F1470F">
      <w:pPr>
        <w:rPr>
          <w:noProof/>
          <w:color w:val="000000"/>
          <w:lang w:eastAsia="en-GB"/>
        </w:rPr>
      </w:pPr>
      <w:r>
        <w:rPr>
          <w:noProof/>
          <w:color w:val="000000"/>
          <w:lang w:eastAsia="en-GB"/>
        </w:rPr>
        <w:br w:type="page"/>
      </w:r>
    </w:p>
    <w:p w:rsidR="00F1470F" w:rsidRDefault="00F1470F" w:rsidP="00F1470F">
      <w:pPr>
        <w:jc w:val="center"/>
        <w:rPr>
          <w:color w:val="000000"/>
        </w:rPr>
      </w:pPr>
      <w:r>
        <w:rPr>
          <w:noProof/>
          <w:color w:val="000000"/>
          <w:lang w:eastAsia="en-GB"/>
        </w:rPr>
        <w:lastRenderedPageBreak/>
        <w:drawing>
          <wp:inline distT="0" distB="0" distL="0" distR="0" wp14:anchorId="4BF84C66" wp14:editId="0F97B143">
            <wp:extent cx="5400040" cy="7947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6 15.5.18 cro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7947660"/>
                    </a:xfrm>
                    <a:prstGeom prst="rect">
                      <a:avLst/>
                    </a:prstGeom>
                  </pic:spPr>
                </pic:pic>
              </a:graphicData>
            </a:graphic>
          </wp:inline>
        </w:drawing>
      </w:r>
    </w:p>
    <w:p w:rsidR="00F1470F" w:rsidRPr="00CA066E" w:rsidRDefault="00F1470F" w:rsidP="00F1470F">
      <w:pPr>
        <w:rPr>
          <w:b/>
          <w:i/>
          <w:color w:val="000000"/>
        </w:rPr>
      </w:pPr>
      <w:r w:rsidRPr="00CA066E">
        <w:rPr>
          <w:b/>
          <w:i/>
          <w:color w:val="000000"/>
        </w:rPr>
        <w:t>Continued overleaf</w:t>
      </w:r>
    </w:p>
    <w:p w:rsidR="00F1470F" w:rsidRDefault="00F1470F" w:rsidP="00F1470F">
      <w:pPr>
        <w:rPr>
          <w:color w:val="000000"/>
        </w:rPr>
      </w:pPr>
    </w:p>
    <w:p w:rsidR="00F1470F" w:rsidRDefault="00F1470F" w:rsidP="00F1470F">
      <w:pPr>
        <w:jc w:val="center"/>
        <w:rPr>
          <w:color w:val="000000"/>
        </w:rPr>
      </w:pPr>
      <w:r>
        <w:rPr>
          <w:noProof/>
          <w:color w:val="000000"/>
          <w:lang w:eastAsia="en-GB"/>
        </w:rPr>
        <w:lastRenderedPageBreak/>
        <w:drawing>
          <wp:inline distT="0" distB="0" distL="0" distR="0" wp14:anchorId="49780066" wp14:editId="1BB43794">
            <wp:extent cx="5400040" cy="68173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7 15.5.18 cro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6817360"/>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p>
    <w:p w:rsidR="00F1470F" w:rsidRDefault="00F1470F" w:rsidP="00F1470F">
      <w:pPr>
        <w:rPr>
          <w:color w:val="000000"/>
        </w:rPr>
      </w:pPr>
    </w:p>
    <w:p w:rsidR="00F1470F" w:rsidRDefault="00F1470F" w:rsidP="00F1470F">
      <w:pPr>
        <w:jc w:val="center"/>
        <w:rPr>
          <w:color w:val="000000"/>
        </w:rPr>
      </w:pPr>
      <w:r>
        <w:rPr>
          <w:noProof/>
          <w:color w:val="000000"/>
          <w:lang w:eastAsia="en-GB"/>
        </w:rPr>
        <w:lastRenderedPageBreak/>
        <w:drawing>
          <wp:inline distT="0" distB="0" distL="0" distR="0" wp14:anchorId="6BC4D92B" wp14:editId="79CC2D7F">
            <wp:extent cx="5400040" cy="77108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8 15.5.18 crop.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771080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28FA4A1D" wp14:editId="24FA0072">
            <wp:extent cx="5400040" cy="63474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9 15.5.18 cro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40" cy="6347460"/>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25EFDAF3" wp14:editId="7DAF6554">
            <wp:extent cx="5400040" cy="801306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0 15.5.18 crop.jpg"/>
                    <pic:cNvPicPr/>
                  </pic:nvPicPr>
                  <pic:blipFill>
                    <a:blip r:embed="rId40">
                      <a:extLst>
                        <a:ext uri="{28A0092B-C50C-407E-A947-70E740481C1C}">
                          <a14:useLocalDpi xmlns:a14="http://schemas.microsoft.com/office/drawing/2010/main" val="0"/>
                        </a:ext>
                      </a:extLst>
                    </a:blip>
                    <a:stretch>
                      <a:fillRect/>
                    </a:stretch>
                  </pic:blipFill>
                  <pic:spPr>
                    <a:xfrm>
                      <a:off x="0" y="0"/>
                      <a:ext cx="5400040" cy="801306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4CCF4B8A" wp14:editId="4791C912">
            <wp:extent cx="5400040" cy="73837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1 15.5.18 crop.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7383780"/>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3EDB8C82" wp14:editId="07AA3052">
            <wp:extent cx="5400040" cy="63576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2 15.5.18 crop.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6357620"/>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270C6C25" wp14:editId="229D7D51">
            <wp:extent cx="5400040" cy="771461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3 15.5.18 crop.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771461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0EDD56E8" wp14:editId="5C5BCAE3">
            <wp:extent cx="5400040" cy="47110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4 15.5.18 crop.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471106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color w:val="000000"/>
        </w:rPr>
        <w:lastRenderedPageBreak/>
        <w:t>Highlighting below indicates annotation reflecting Christian doctrine.</w:t>
      </w:r>
    </w:p>
    <w:p w:rsidR="00F1470F" w:rsidRDefault="00F1470F" w:rsidP="00F1470F">
      <w:pPr>
        <w:jc w:val="center"/>
        <w:rPr>
          <w:color w:val="000000"/>
        </w:rPr>
      </w:pPr>
      <w:r>
        <w:rPr>
          <w:noProof/>
          <w:color w:val="000000"/>
          <w:lang w:eastAsia="en-GB"/>
        </w:rPr>
        <w:drawing>
          <wp:inline distT="0" distB="0" distL="0" distR="0" wp14:anchorId="488340AE" wp14:editId="6E55215C">
            <wp:extent cx="5400040" cy="81064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5 15.5.18 crop.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8106410"/>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52EDB192" wp14:editId="03C1FE4B">
            <wp:extent cx="5400040" cy="68630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6 15.5.18 crop.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6863080"/>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r>
        <w:rPr>
          <w:noProof/>
          <w:color w:val="000000"/>
          <w:lang w:eastAsia="en-GB"/>
        </w:rPr>
        <w:drawing>
          <wp:inline distT="0" distB="0" distL="0" distR="0" wp14:anchorId="444524F7" wp14:editId="2BA7E788">
            <wp:extent cx="5400040" cy="80816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7 15.5.18 crop.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8081645"/>
                    </a:xfrm>
                    <a:prstGeom prst="rect">
                      <a:avLst/>
                    </a:prstGeom>
                  </pic:spPr>
                </pic:pic>
              </a:graphicData>
            </a:graphic>
          </wp:inline>
        </w:drawing>
      </w:r>
    </w:p>
    <w:p w:rsidR="00F1470F" w:rsidRDefault="00F1470F" w:rsidP="00F1470F">
      <w:pPr>
        <w:rPr>
          <w:color w:val="000000"/>
        </w:rPr>
      </w:pPr>
    </w:p>
    <w:p w:rsidR="00F1470F" w:rsidRDefault="00F1470F" w:rsidP="00F1470F">
      <w:pPr>
        <w:rPr>
          <w:color w:val="000000"/>
        </w:rPr>
      </w:pPr>
    </w:p>
    <w:p w:rsidR="00F1470F" w:rsidRDefault="00F1470F" w:rsidP="00F1470F">
      <w:pPr>
        <w:jc w:val="center"/>
        <w:rPr>
          <w:color w:val="000000"/>
        </w:rPr>
      </w:pPr>
      <w:r>
        <w:rPr>
          <w:noProof/>
          <w:color w:val="000000"/>
          <w:lang w:eastAsia="en-GB"/>
        </w:rPr>
        <w:drawing>
          <wp:inline distT="0" distB="0" distL="0" distR="0" wp14:anchorId="636A110A" wp14:editId="771C9528">
            <wp:extent cx="5400040" cy="363283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8 15.5.18 crop.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632835"/>
                    </a:xfrm>
                    <a:prstGeom prst="rect">
                      <a:avLst/>
                    </a:prstGeom>
                  </pic:spPr>
                </pic:pic>
              </a:graphicData>
            </a:graphic>
          </wp:inline>
        </w:drawing>
      </w:r>
    </w:p>
    <w:p w:rsidR="00F1470F" w:rsidRDefault="00F1470F" w:rsidP="00F1470F">
      <w:pPr>
        <w:rPr>
          <w:color w:val="000000"/>
        </w:rPr>
      </w:pPr>
      <w:r>
        <w:rPr>
          <w:color w:val="000000"/>
        </w:rPr>
        <w:br w:type="page"/>
      </w:r>
    </w:p>
    <w:p w:rsidR="00F1470F" w:rsidRDefault="00F1470F" w:rsidP="00F1470F">
      <w:pPr>
        <w:jc w:val="center"/>
        <w:rPr>
          <w:color w:val="000000"/>
        </w:rPr>
      </w:pPr>
      <w:r>
        <w:rPr>
          <w:noProof/>
          <w:color w:val="000000"/>
          <w:lang w:eastAsia="en-GB"/>
        </w:rPr>
        <w:lastRenderedPageBreak/>
        <w:drawing>
          <wp:inline distT="0" distB="0" distL="0" distR="0" wp14:anchorId="1E930849" wp14:editId="09B1899A">
            <wp:extent cx="5400040" cy="74891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9 15.5.18 crop.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7489190"/>
                    </a:xfrm>
                    <a:prstGeom prst="rect">
                      <a:avLst/>
                    </a:prstGeom>
                  </pic:spPr>
                </pic:pic>
              </a:graphicData>
            </a:graphic>
          </wp:inline>
        </w:drawing>
      </w:r>
    </w:p>
    <w:p w:rsidR="00F1470F" w:rsidRDefault="00F1470F" w:rsidP="00F1470F">
      <w:pPr>
        <w:spacing w:after="120" w:line="360" w:lineRule="auto"/>
        <w:ind w:right="74" w:firstLine="567"/>
        <w:jc w:val="both"/>
      </w:pPr>
      <w:r w:rsidRPr="009A33D3">
        <w:t xml:space="preserve">It is noticeable that eschatological and typological statements </w:t>
      </w:r>
      <w:r>
        <w:t xml:space="preserve">in the notes </w:t>
      </w:r>
      <w:r w:rsidRPr="009A33D3">
        <w:t xml:space="preserve">are found predominantly in Old Testament </w:t>
      </w:r>
      <w:r>
        <w:t>commentary</w:t>
      </w:r>
      <w:r w:rsidRPr="009A33D3">
        <w:t xml:space="preserve">, whereas Christological statements occur almost equally in Old and New Testament </w:t>
      </w:r>
      <w:r>
        <w:t>annotation</w:t>
      </w:r>
      <w:r w:rsidRPr="009A33D3">
        <w:t>.  Subjects covered under the headings, ‘Discourses’ and ‘</w:t>
      </w:r>
      <w:r w:rsidRPr="009A33D3">
        <w:rPr>
          <w:i/>
        </w:rPr>
        <w:t>Excursi</w:t>
      </w:r>
      <w:r w:rsidRPr="009A33D3">
        <w:t xml:space="preserve">’ indicate that, in addition to dispensational material, Scofield includes themes which might well appear in other reference Bibles.  I define ‘discourse’ as indicating a note which provides hortative material, rather than simply </w:t>
      </w:r>
      <w:r w:rsidRPr="009A33D3">
        <w:lastRenderedPageBreak/>
        <w:t xml:space="preserve">proffering information about a subject; this I term an </w:t>
      </w:r>
      <w:r w:rsidRPr="009A33D3">
        <w:rPr>
          <w:i/>
        </w:rPr>
        <w:t>excursus</w:t>
      </w:r>
      <w:r w:rsidRPr="009A33D3">
        <w:t xml:space="preserve">.  A far greater number of discourses </w:t>
      </w:r>
      <w:proofErr w:type="gramStart"/>
      <w:r w:rsidRPr="009A33D3">
        <w:t>is</w:t>
      </w:r>
      <w:proofErr w:type="gramEnd"/>
      <w:r w:rsidRPr="009A33D3">
        <w:t xml:space="preserve"> found in New Testament commentary than in Old Testament annotation but numbers of </w:t>
      </w:r>
      <w:r w:rsidRPr="009A33D3">
        <w:rPr>
          <w:i/>
        </w:rPr>
        <w:t>excursi</w:t>
      </w:r>
      <w:r w:rsidRPr="009A33D3">
        <w:t xml:space="preserve"> are roughly equal between the Testaments.  Some of the discourses constitute direct explanations of the text but others explain Christian doctrine.  These passages occur mainly in New Testament annotation, particularly in commentary on the epistles and especially Romans.  The subjects of these discourses are highlighted in the Table of Discourses.  The juxtaposition of uniquely dispensationalist and other types of commentary disguises differences between dispensationalist and other forms of evangelical theology.    </w:t>
      </w:r>
    </w:p>
    <w:p w:rsidR="00F1470F" w:rsidRPr="009A33D3" w:rsidRDefault="00F1470F" w:rsidP="00F1470F">
      <w:pPr>
        <w:spacing w:after="120" w:line="360" w:lineRule="auto"/>
        <w:ind w:right="74" w:firstLine="567"/>
        <w:jc w:val="both"/>
      </w:pPr>
      <w:r w:rsidRPr="009A33D3">
        <w:t xml:space="preserve">In some cases it seems reasonable that particular annotation should be attached to one or other of the Testaments.  For example, the majority of references to dispensations and covenants appear in Old Testament commentary; five of seven dispensations are asserted within Old Testament text and six of eight covenants.  References to ‘Israel’ as an entity, whether denoting the concepts of Israel as a people, in </w:t>
      </w:r>
      <w:r>
        <w:t>historical</w:t>
      </w:r>
      <w:r w:rsidRPr="009A33D3">
        <w:t xml:space="preserve"> and eschatological senses, or as the northern kingdom, and references regarding the Jews, Judah, the land, the remnant and the temple, would seem naturally to pertain to the Old Testament, as would references to the law.  Also to be expected is that most references to creation are found in annotation of Genesis and those to ‘near and far’ prophecy</w:t>
      </w:r>
      <w:r w:rsidRPr="009A33D3">
        <w:rPr>
          <w:rStyle w:val="EndnoteReference"/>
        </w:rPr>
        <w:endnoteReference w:id="178"/>
      </w:r>
      <w:r w:rsidRPr="009A33D3">
        <w:t xml:space="preserve"> in commentary on the Old Testament prophetic books.  It seems consistent that notes on believers and unbelievers, the true Church, ecclesiology and the rapture should be found in New Testament commentary.  However, other eschatological subjects such as Armageddon, the beast, the last days, and the tribulation are treated more frequently in Old Testament notes.  </w:t>
      </w:r>
    </w:p>
    <w:p w:rsidR="00F1470F" w:rsidRDefault="00F1470F" w:rsidP="00F1470F">
      <w:pPr>
        <w:spacing w:after="120" w:line="360" w:lineRule="auto"/>
        <w:ind w:right="74" w:firstLine="567"/>
        <w:jc w:val="both"/>
      </w:pPr>
      <w:r w:rsidRPr="009A33D3">
        <w:t xml:space="preserve">In other instances, there is an unexpected dominance of Old Testament references, for instance in notes on divine identity, and in eschatological references to the apostate Church, to the Gentiles and to the ‘Times of the Gentiles’.  Most typological assertions are found in Old Testament commentary and very few of these assertions are fulfilled in New Testament notes.  It is significant that comments concerning Christology, the Holy Spirit and Trinity, dualism and the Kingdom occur </w:t>
      </w:r>
      <w:r>
        <w:t>almost</w:t>
      </w:r>
      <w:r w:rsidRPr="009A33D3">
        <w:t xml:space="preserve"> equally in notes on both Testaments.  The reason for this is that Scofield regards the two Testaments as being parts of a single revelation which points to Christ, as he states in his note on Mal. 3:18.</w:t>
      </w:r>
      <w:r w:rsidRPr="009A33D3">
        <w:rPr>
          <w:rStyle w:val="EndnoteReference"/>
        </w:rPr>
        <w:endnoteReference w:id="179"/>
      </w:r>
      <w:r w:rsidRPr="009A33D3">
        <w:t xml:space="preserve">  </w:t>
      </w:r>
    </w:p>
    <w:p w:rsidR="00F1470F" w:rsidRDefault="00F1470F" w:rsidP="00F1470F">
      <w:pPr>
        <w:spacing w:after="120" w:line="360" w:lineRule="auto"/>
        <w:ind w:right="74"/>
        <w:jc w:val="both"/>
        <w:rPr>
          <w:b/>
          <w:color w:val="000000"/>
        </w:rPr>
      </w:pPr>
      <w:r>
        <w:rPr>
          <w:b/>
          <w:color w:val="000000"/>
        </w:rPr>
        <w:t>e</w:t>
      </w:r>
      <w:r w:rsidRPr="00AD0DBC">
        <w:rPr>
          <w:b/>
          <w:color w:val="000000"/>
        </w:rPr>
        <w:t xml:space="preserve">)  Themes </w:t>
      </w:r>
      <w:r>
        <w:rPr>
          <w:b/>
          <w:color w:val="000000"/>
        </w:rPr>
        <w:t xml:space="preserve">in Subheads </w:t>
      </w:r>
      <w:r w:rsidRPr="00AD0DBC">
        <w:rPr>
          <w:b/>
          <w:color w:val="000000"/>
        </w:rPr>
        <w:t xml:space="preserve">in the </w:t>
      </w:r>
      <w:r w:rsidRPr="008775FC">
        <w:rPr>
          <w:b/>
          <w:i/>
          <w:color w:val="000000"/>
        </w:rPr>
        <w:t>Scofield Reference Bible</w:t>
      </w:r>
    </w:p>
    <w:p w:rsidR="00F1470F" w:rsidRDefault="00F1470F" w:rsidP="00F1470F">
      <w:pPr>
        <w:spacing w:after="120" w:line="360" w:lineRule="auto"/>
        <w:ind w:right="74"/>
        <w:jc w:val="both"/>
      </w:pPr>
      <w:r>
        <w:t xml:space="preserve">Subheads also play a significant role in conveying Scofield’s theology.  Many of these subheads may be placed into the same categories outlined above for </w:t>
      </w:r>
      <w:r w:rsidRPr="008775FC">
        <w:rPr>
          <w:i/>
        </w:rPr>
        <w:t>SRB</w:t>
      </w:r>
      <w:r>
        <w:t xml:space="preserve"> notes as shown in the tables below.  The same colours are used for the headings as in the tables of notes above and the tables in Chapter 8.</w:t>
      </w:r>
    </w:p>
    <w:p w:rsidR="00F1470F" w:rsidRDefault="00F1470F" w:rsidP="00F1470F">
      <w:pPr>
        <w:spacing w:after="120" w:line="360" w:lineRule="auto"/>
        <w:ind w:right="74" w:firstLine="567"/>
        <w:jc w:val="both"/>
      </w:pPr>
      <w:r w:rsidRPr="00EE69B6">
        <w:rPr>
          <w:i/>
        </w:rPr>
        <w:t>SRB</w:t>
      </w:r>
      <w:r w:rsidRPr="00D80CF6">
        <w:t xml:space="preserve"> subheads fall into several categories</w:t>
      </w:r>
      <w:r>
        <w:t>; s</w:t>
      </w:r>
      <w:r w:rsidRPr="00D80CF6">
        <w:t>ome merely act as titles for the text that follows.  This form of subhead is particularly prevalent in the ‘historical books</w:t>
      </w:r>
      <w:r w:rsidR="00A74907">
        <w:t>’</w:t>
      </w:r>
      <w:r w:rsidRPr="00D80CF6">
        <w:t>, which also lack annotation.</w:t>
      </w:r>
      <w:r>
        <w:rPr>
          <w:rStyle w:val="EndnoteReference"/>
        </w:rPr>
        <w:endnoteReference w:id="180"/>
      </w:r>
      <w:r w:rsidRPr="00D80CF6">
        <w:t xml:space="preserve">  Such subheads </w:t>
      </w:r>
      <w:r>
        <w:t>fragment</w:t>
      </w:r>
      <w:r w:rsidRPr="00D80CF6">
        <w:t xml:space="preserve"> the text but do not propagate a particular view. </w:t>
      </w:r>
      <w:r>
        <w:t xml:space="preserve"> </w:t>
      </w:r>
      <w:r w:rsidRPr="00E77C5D">
        <w:t xml:space="preserve">Where the subheads do not match the </w:t>
      </w:r>
      <w:r w:rsidRPr="00E77C5D">
        <w:rPr>
          <w:i/>
        </w:rPr>
        <w:lastRenderedPageBreak/>
        <w:t>SRB</w:t>
      </w:r>
      <w:r w:rsidRPr="00E77C5D">
        <w:t xml:space="preserve"> notes, they often play an additional and significant role in </w:t>
      </w:r>
      <w:r>
        <w:t>promoting</w:t>
      </w:r>
      <w:r w:rsidRPr="00E77C5D">
        <w:t xml:space="preserve"> Scofield’s interpretations and views.  </w:t>
      </w:r>
      <w:r>
        <w:t>Other</w:t>
      </w:r>
      <w:r w:rsidRPr="00E77C5D">
        <w:t xml:space="preserve"> </w:t>
      </w:r>
      <w:r>
        <w:t>subheads</w:t>
      </w:r>
      <w:r w:rsidRPr="00E77C5D">
        <w:t xml:space="preserve"> reinforce the notes.  </w:t>
      </w:r>
    </w:p>
    <w:p w:rsidR="00F1470F" w:rsidRDefault="00F1470F" w:rsidP="00F1470F">
      <w:pPr>
        <w:spacing w:after="120" w:line="360" w:lineRule="auto"/>
        <w:ind w:firstLine="567"/>
        <w:jc w:val="both"/>
      </w:pPr>
      <w:r>
        <w:t>Some</w:t>
      </w:r>
      <w:r w:rsidRPr="00D80CF6">
        <w:t xml:space="preserve"> subheads divide the text into </w:t>
      </w:r>
      <w:r w:rsidRPr="00CE132D">
        <w:t>numbered lists</w:t>
      </w:r>
      <w:r w:rsidRPr="00D80CF6">
        <w:t>, some of which are complex</w:t>
      </w:r>
      <w:r>
        <w:t>, for example those in Exodus and Romans.</w:t>
      </w:r>
      <w:r w:rsidRPr="00D80CF6">
        <w:t xml:space="preserve">  </w:t>
      </w:r>
      <w:r>
        <w:t>This corroborates Marsden’s statement that ‘the disposition to divide and classify everything is one of the most striking and characteristic traits of dispensationalism’.</w:t>
      </w:r>
      <w:r>
        <w:rPr>
          <w:rStyle w:val="EndnoteReference"/>
        </w:rPr>
        <w:endnoteReference w:id="181"/>
      </w:r>
      <w:r>
        <w:t xml:space="preserve">  </w:t>
      </w:r>
      <w:r w:rsidRPr="00D80CF6">
        <w:t>The texts of Isaiah, Jeremiah and Ezekiel are physically divided into parts by horizontal lines which traverse the page and contain major headings in bold-print capitals.</w:t>
      </w:r>
      <w:r>
        <w:rPr>
          <w:rStyle w:val="EndnoteReference"/>
        </w:rPr>
        <w:endnoteReference w:id="182"/>
      </w:r>
      <w:r w:rsidRPr="00D80CF6">
        <w:t xml:space="preserve">  Other books are also divided into parts, but less obviously so, since the part numbers are included in the normal, italicised subheads.</w:t>
      </w:r>
      <w:r>
        <w:rPr>
          <w:rStyle w:val="EndnoteReference"/>
        </w:rPr>
        <w:endnoteReference w:id="183"/>
      </w:r>
      <w:r>
        <w:t xml:space="preserve"> </w:t>
      </w:r>
      <w:r w:rsidRPr="00D80CF6">
        <w:t xml:space="preserve">In Romans, almost every subhead belongs to a numbering system.  </w:t>
      </w:r>
      <w:r>
        <w:t>T</w:t>
      </w:r>
      <w:r w:rsidRPr="00D80CF6">
        <w:t xml:space="preserve">hese subheads present a </w:t>
      </w:r>
      <w:r>
        <w:t xml:space="preserve">virtual </w:t>
      </w:r>
      <w:r w:rsidRPr="00D80CF6">
        <w:t>rewriting of Paul’s arguments, but they also contain elements of Scofield’s own interpretation, included as if part of the biblical text.</w:t>
      </w:r>
      <w:r w:rsidRPr="00D80CF6">
        <w:rPr>
          <w:rStyle w:val="FootnoteReference"/>
        </w:rPr>
        <w:footnoteReference w:id="7"/>
      </w:r>
      <w:r w:rsidRPr="00D80CF6">
        <w:t xml:space="preserve"> </w:t>
      </w:r>
      <w:r>
        <w:t xml:space="preserve"> </w:t>
      </w:r>
    </w:p>
    <w:p w:rsidR="00F1470F" w:rsidRDefault="00F1470F" w:rsidP="00F1470F">
      <w:pPr>
        <w:spacing w:after="120" w:line="360" w:lineRule="auto"/>
        <w:ind w:firstLine="567"/>
        <w:jc w:val="both"/>
      </w:pPr>
      <w:r w:rsidRPr="00D80CF6">
        <w:t>The subheads pertaining to Exodus and Romans also include references to ‘</w:t>
      </w:r>
      <w:r w:rsidRPr="00946DB4">
        <w:t>parentheses</w:t>
      </w:r>
      <w:r w:rsidRPr="00D80CF6">
        <w:t>’; even the Passover and Romans 9</w:t>
      </w:r>
      <w:r>
        <w:t xml:space="preserve"> </w:t>
      </w:r>
      <w:r w:rsidRPr="00012B96">
        <w:rPr>
          <w:sz w:val="16"/>
          <w:szCs w:val="24"/>
        </w:rPr>
        <w:t>—</w:t>
      </w:r>
      <w:r>
        <w:t xml:space="preserve"> </w:t>
      </w:r>
      <w:r w:rsidRPr="00D80CF6">
        <w:t>11 are regarded as ‘parenthetical’.</w:t>
      </w:r>
      <w:r>
        <w:rPr>
          <w:rStyle w:val="EndnoteReference"/>
        </w:rPr>
        <w:endnoteReference w:id="184"/>
      </w:r>
      <w:r>
        <w:t xml:space="preserve">  </w:t>
      </w:r>
      <w:r w:rsidRPr="00D80CF6">
        <w:t xml:space="preserve">This might imply that, for Scofield, such passages somehow interfere with the main flow of the text.  This does not honour the importance of the Passover for Judaism or indeed for Christianity.  With regard to </w:t>
      </w:r>
      <w:r>
        <w:t xml:space="preserve">Romans, </w:t>
      </w:r>
      <w:r w:rsidR="00815AAA">
        <w:t>as</w:t>
      </w:r>
      <w:r>
        <w:t xml:space="preserve"> Craig Hill remarks, </w:t>
      </w:r>
      <w:r w:rsidRPr="00D80CF6">
        <w:t>such a labelling might be seen to remove Romans 9</w:t>
      </w:r>
      <w:r>
        <w:t xml:space="preserve"> </w:t>
      </w:r>
      <w:r w:rsidRPr="00012B96">
        <w:rPr>
          <w:sz w:val="16"/>
          <w:szCs w:val="24"/>
        </w:rPr>
        <w:t>—</w:t>
      </w:r>
      <w:r>
        <w:t xml:space="preserve"> 1</w:t>
      </w:r>
      <w:r w:rsidRPr="00D80CF6">
        <w:t>1 from ‘where it properly belongs, at the centre (or, rhetorically, at the climax) of Paul’s argument’.</w:t>
      </w:r>
      <w:r>
        <w:rPr>
          <w:rStyle w:val="EndnoteReference"/>
        </w:rPr>
        <w:endnoteReference w:id="185"/>
      </w:r>
      <w:r w:rsidRPr="00D80CF6">
        <w:t xml:space="preserve"> </w:t>
      </w:r>
      <w:r w:rsidR="00815AAA">
        <w:t xml:space="preserve"> </w:t>
      </w:r>
      <w:r w:rsidRPr="00D80CF6">
        <w:t>Such a separation of Romans 9</w:t>
      </w:r>
      <w:r>
        <w:t xml:space="preserve"> </w:t>
      </w:r>
      <w:r w:rsidRPr="00012B96">
        <w:rPr>
          <w:sz w:val="16"/>
          <w:szCs w:val="24"/>
        </w:rPr>
        <w:t>—</w:t>
      </w:r>
      <w:r>
        <w:t xml:space="preserve"> </w:t>
      </w:r>
      <w:r w:rsidRPr="00D80CF6">
        <w:t xml:space="preserve">11 from the rest of the letter would also reflect Scofield’s insistence on a separate destiny for the Jews.  This separation has already been emphasised in subheads </w:t>
      </w:r>
      <w:r>
        <w:t xml:space="preserve">in Leviticus </w:t>
      </w:r>
      <w:r w:rsidRPr="00D80CF6">
        <w:t>referring to ‘God’s earthly people’.</w:t>
      </w:r>
      <w:r>
        <w:rPr>
          <w:rStyle w:val="EndnoteReference"/>
        </w:rPr>
        <w:endnoteReference w:id="186"/>
      </w:r>
      <w:r>
        <w:t xml:space="preserve"> </w:t>
      </w:r>
    </w:p>
    <w:p w:rsidR="00F1470F" w:rsidRPr="00B8222A" w:rsidRDefault="00F1470F" w:rsidP="00F1470F">
      <w:pPr>
        <w:spacing w:after="120" w:line="360" w:lineRule="auto"/>
        <w:ind w:firstLine="567"/>
        <w:jc w:val="both"/>
        <w:rPr>
          <w:b/>
        </w:rPr>
      </w:pPr>
      <w:r>
        <w:t>Some subheads also contain t</w:t>
      </w:r>
      <w:r w:rsidRPr="00946DB4">
        <w:t>ypological</w:t>
      </w:r>
      <w:r w:rsidRPr="00D80CF6">
        <w:t xml:space="preserve"> references </w:t>
      </w:r>
      <w:r>
        <w:t xml:space="preserve">which </w:t>
      </w:r>
      <w:r w:rsidRPr="00D80CF6">
        <w:t>go beyond the statement of type</w:t>
      </w:r>
      <w:r>
        <w:t>; they</w:t>
      </w:r>
      <w:r w:rsidRPr="00D80CF6">
        <w:t xml:space="preserve"> cross between the Testaments anachronistically, imposing New Testament figures and concepts upon Old Testament text.  These subheads also sometimes promote doctrinal matter.</w:t>
      </w:r>
      <w:r>
        <w:t xml:space="preserve">  </w:t>
      </w:r>
      <w:r w:rsidRPr="00D80CF6">
        <w:t>Scofield appears to contravene his own claim in a letter to Gaebelein that ‘the types will be conservatively treated upon the principle of affirming nothing to be a type which is not elsewhere affirmed to be such’.</w:t>
      </w:r>
      <w:r>
        <w:rPr>
          <w:rStyle w:val="EndnoteReference"/>
        </w:rPr>
        <w:endnoteReference w:id="187"/>
      </w:r>
    </w:p>
    <w:p w:rsidR="00F1470F" w:rsidRDefault="00F1470F" w:rsidP="00F1470F">
      <w:pPr>
        <w:spacing w:after="120" w:line="360" w:lineRule="auto"/>
        <w:ind w:firstLine="567"/>
        <w:jc w:val="both"/>
      </w:pPr>
      <w:r>
        <w:t>Other subheads</w:t>
      </w:r>
      <w:r w:rsidRPr="00A66B5F">
        <w:rPr>
          <w:color w:val="FF0000"/>
        </w:rPr>
        <w:t xml:space="preserve"> </w:t>
      </w:r>
      <w:r>
        <w:t>make non-typological intertestamental claims.</w:t>
      </w:r>
      <w:r>
        <w:rPr>
          <w:rStyle w:val="EndnoteReference"/>
        </w:rPr>
        <w:endnoteReference w:id="188"/>
      </w:r>
      <w:r>
        <w:t xml:space="preserve">  </w:t>
      </w:r>
      <w:r w:rsidRPr="00D80CF6">
        <w:t>The reference to the cross in the subhead to Zech. 1</w:t>
      </w:r>
      <w:r>
        <w:t>3:1</w:t>
      </w:r>
      <w:r>
        <w:rPr>
          <w:rStyle w:val="FootnoteReference"/>
        </w:rPr>
        <w:footnoteReference w:id="8"/>
      </w:r>
      <w:r>
        <w:t xml:space="preserve"> is particularly significant;</w:t>
      </w:r>
      <w:r w:rsidRPr="00D80CF6">
        <w:t xml:space="preserve"> </w:t>
      </w:r>
      <w:r>
        <w:t xml:space="preserve">it begs the question as to how the ‘remnant’ could be turned to a cross which had no significance until several centuries later. </w:t>
      </w:r>
      <w:r w:rsidRPr="00D80CF6">
        <w:t xml:space="preserve"> </w:t>
      </w:r>
      <w:r w:rsidRPr="007916E6">
        <w:t>The subhead to Gen. 4:6</w:t>
      </w:r>
      <w:r>
        <w:t>, asserting an exhortation to Cain to bring a sin-offering,</w:t>
      </w:r>
      <w:r w:rsidRPr="007916E6">
        <w:t xml:space="preserve"> is anachronistic</w:t>
      </w:r>
      <w:r>
        <w:t>;</w:t>
      </w:r>
      <w:r>
        <w:rPr>
          <w:rStyle w:val="EndnoteReference"/>
        </w:rPr>
        <w:endnoteReference w:id="189"/>
      </w:r>
      <w:r>
        <w:t xml:space="preserve"> s</w:t>
      </w:r>
      <w:r w:rsidRPr="007916E6">
        <w:t xml:space="preserve">in-offerings are part of the </w:t>
      </w:r>
      <w:proofErr w:type="gramStart"/>
      <w:r w:rsidRPr="007916E6">
        <w:t>law</w:t>
      </w:r>
      <w:proofErr w:type="gramEnd"/>
      <w:r w:rsidRPr="007916E6">
        <w:t xml:space="preserve"> of Moses and are not mentioned in </w:t>
      </w:r>
      <w:r>
        <w:t>Cain’s</w:t>
      </w:r>
      <w:r w:rsidRPr="007916E6">
        <w:t xml:space="preserve"> context.  According to Scofield’s acceptance of biblical chronology, such offerings were not even in existence</w:t>
      </w:r>
      <w:r>
        <w:t xml:space="preserve"> at that time</w:t>
      </w:r>
      <w:r w:rsidRPr="007916E6">
        <w:t xml:space="preserve">.  </w:t>
      </w:r>
      <w:r w:rsidRPr="00D80CF6">
        <w:t xml:space="preserve">In </w:t>
      </w:r>
      <w:r>
        <w:t>such</w:t>
      </w:r>
      <w:r w:rsidRPr="00D80CF6">
        <w:t xml:space="preserve"> subheads, matters which are purely interpretative are presented as if they actually appeared in the text.  The interpretation of elements of Israelite rituals purely in terms of Christian models denigrates their </w:t>
      </w:r>
      <w:r>
        <w:t>contextual</w:t>
      </w:r>
      <w:r w:rsidRPr="00D80CF6">
        <w:t xml:space="preserve"> meaning.  </w:t>
      </w:r>
    </w:p>
    <w:p w:rsidR="00F1470F" w:rsidRPr="00D80CF6" w:rsidRDefault="00F1470F" w:rsidP="00F1470F">
      <w:pPr>
        <w:spacing w:after="120" w:line="360" w:lineRule="auto"/>
        <w:ind w:firstLine="567"/>
        <w:jc w:val="both"/>
      </w:pPr>
      <w:r w:rsidRPr="00D80CF6">
        <w:lastRenderedPageBreak/>
        <w:t xml:space="preserve">Some subheads contain aphorisms which are not congruent with the text.  </w:t>
      </w:r>
      <w:r>
        <w:t>For example, Scofield’s interpretation of 2 Cor. 9:6</w:t>
      </w:r>
      <w:r>
        <w:rPr>
          <w:rStyle w:val="EndnoteReference"/>
        </w:rPr>
        <w:endnoteReference w:id="190"/>
      </w:r>
      <w:r>
        <w:t xml:space="preserve"> appears to </w:t>
      </w:r>
      <w:r w:rsidRPr="00596679">
        <w:rPr>
          <w:color w:val="000000"/>
        </w:rPr>
        <w:t>negate the thrust of Paul’s argument, which is that believers should give because God has given.</w:t>
      </w:r>
    </w:p>
    <w:p w:rsidR="00F1470F" w:rsidRPr="00946DB4" w:rsidRDefault="00F1470F" w:rsidP="00F1470F">
      <w:pPr>
        <w:spacing w:after="120" w:line="360" w:lineRule="auto"/>
        <w:ind w:firstLine="567"/>
        <w:jc w:val="both"/>
      </w:pPr>
      <w:r>
        <w:t>Dispensations, c</w:t>
      </w:r>
      <w:r w:rsidRPr="00220070">
        <w:t>o</w:t>
      </w:r>
      <w:r>
        <w:t>venants</w:t>
      </w:r>
      <w:r>
        <w:rPr>
          <w:rStyle w:val="EndnoteReference"/>
        </w:rPr>
        <w:endnoteReference w:id="191"/>
      </w:r>
      <w:r>
        <w:t xml:space="preserve"> and eschatological assertions are also enshrined in subheads.  Many concern the king and his two advents, the kingdom, which is described several times as Messianic or Davidic, and the kingdom-age.  Others concern the future for Israel</w:t>
      </w:r>
      <w:r>
        <w:rPr>
          <w:rStyle w:val="EndnoteReference"/>
        </w:rPr>
        <w:endnoteReference w:id="192"/>
      </w:r>
      <w:r w:rsidRPr="00946DB4">
        <w:t xml:space="preserve"> and end-time events</w:t>
      </w:r>
      <w:r>
        <w:t>, such as the tribulation and Armageddon</w:t>
      </w:r>
      <w:r w:rsidRPr="00946DB4">
        <w:t>.  Particularly significant are the statement of an interval between the rejection of the king and his return</w:t>
      </w:r>
      <w:r>
        <w:rPr>
          <w:rStyle w:val="EndnoteReference"/>
        </w:rPr>
        <w:endnoteReference w:id="193"/>
      </w:r>
      <w:r>
        <w:t xml:space="preserve"> </w:t>
      </w:r>
      <w:r w:rsidRPr="00946DB4">
        <w:t>and the two subheads which claim that the king made a public offer of himself as king.</w:t>
      </w:r>
      <w:r>
        <w:rPr>
          <w:rStyle w:val="EndnoteReference"/>
        </w:rPr>
        <w:endnoteReference w:id="194"/>
      </w:r>
      <w:r>
        <w:t xml:space="preserve">  The link made between Jn 14:1 and </w:t>
      </w:r>
      <w:r w:rsidRPr="00946DB4">
        <w:t>1 Thess. 4:14-1</w:t>
      </w:r>
      <w:r>
        <w:t>8 in two subheads</w:t>
      </w:r>
      <w:r>
        <w:rPr>
          <w:rStyle w:val="EndnoteReference"/>
        </w:rPr>
        <w:endnoteReference w:id="195"/>
      </w:r>
      <w:r>
        <w:t xml:space="preserve"> </w:t>
      </w:r>
      <w:r w:rsidRPr="00946DB4">
        <w:t xml:space="preserve">is </w:t>
      </w:r>
      <w:r>
        <w:t>important</w:t>
      </w:r>
      <w:r w:rsidRPr="00946DB4">
        <w:t xml:space="preserve"> because it implies that Jesus’ ‘coming for his own’ will be at the pretribulational removal of the true</w:t>
      </w:r>
      <w:r>
        <w:t xml:space="preserve"> Church</w:t>
      </w:r>
      <w:r w:rsidRPr="00946DB4">
        <w:t>.</w:t>
      </w:r>
      <w:r>
        <w:rPr>
          <w:rStyle w:val="EndnoteReference"/>
        </w:rPr>
        <w:endnoteReference w:id="196"/>
      </w:r>
      <w:r>
        <w:t xml:space="preserve"> </w:t>
      </w:r>
    </w:p>
    <w:p w:rsidR="00F1470F" w:rsidRDefault="00F1470F" w:rsidP="00F1470F">
      <w:pPr>
        <w:spacing w:after="120" w:line="360" w:lineRule="auto"/>
        <w:ind w:firstLine="500"/>
        <w:jc w:val="both"/>
      </w:pPr>
      <w:r w:rsidRPr="00D80CF6">
        <w:t xml:space="preserve">A series of subheads gives the names </w:t>
      </w:r>
      <w:r w:rsidRPr="00946DB4">
        <w:t>of the four world-empires which some, including Scofield, hold to be represented in Daniel 2 and 7.</w:t>
      </w:r>
      <w:r>
        <w:t xml:space="preserve"> </w:t>
      </w:r>
      <w:r w:rsidRPr="00946DB4">
        <w:t xml:space="preserve"> </w:t>
      </w:r>
      <w:r>
        <w:t>S</w:t>
      </w:r>
      <w:r w:rsidRPr="00946DB4">
        <w:t>ubhead</w:t>
      </w:r>
      <w:r>
        <w:t>s</w:t>
      </w:r>
      <w:r w:rsidRPr="00946DB4">
        <w:t xml:space="preserve"> </w:t>
      </w:r>
      <w:r>
        <w:t>to</w:t>
      </w:r>
      <w:r w:rsidRPr="00946DB4">
        <w:t xml:space="preserve"> Dan. 7:</w:t>
      </w:r>
      <w:r>
        <w:t>4 and 7:6</w:t>
      </w:r>
      <w:r w:rsidRPr="00946DB4">
        <w:t xml:space="preserve"> refer specifically to the ‘world-empire of Nebuchadnezzar</w:t>
      </w:r>
      <w:r>
        <w:t>’</w:t>
      </w:r>
      <w:r w:rsidRPr="00946DB4">
        <w:t xml:space="preserve"> </w:t>
      </w:r>
      <w:r>
        <w:t xml:space="preserve">and </w:t>
      </w:r>
      <w:r w:rsidRPr="00946DB4">
        <w:t>‘Greece under Alexander’</w:t>
      </w:r>
      <w:r>
        <w:t>.</w:t>
      </w:r>
      <w:r w:rsidRPr="00946DB4">
        <w:t xml:space="preserve">  The names of the kingdoms are not given in Daniel 2 or Daniel 7, while the names Media, Persia and Grecia appear in Dan. 8:20-21, applied t</w:t>
      </w:r>
      <w:r>
        <w:t>o a different vision.  The name</w:t>
      </w:r>
      <w:r w:rsidRPr="00946DB4">
        <w:t xml:space="preserve"> </w:t>
      </w:r>
      <w:r>
        <w:t>‘</w:t>
      </w:r>
      <w:r w:rsidRPr="00946DB4">
        <w:t>Rome</w:t>
      </w:r>
      <w:r>
        <w:t>’</w:t>
      </w:r>
      <w:r w:rsidRPr="00946DB4">
        <w:t xml:space="preserve"> does not appear in the Old Testament.  The kingdom of heaven is listed as the last of these in the subhead to Dan. 2:44.  The names of the kingdoms are given as if they occur in the text and represent fact.  Similarly Antiochus Epiphanes is named in the subhead to Dan. 11:21.</w:t>
      </w:r>
      <w:r>
        <w:rPr>
          <w:rStyle w:val="EndnoteReference"/>
        </w:rPr>
        <w:endnoteReference w:id="197"/>
      </w:r>
      <w:r>
        <w:t xml:space="preserve">  </w:t>
      </w:r>
    </w:p>
    <w:p w:rsidR="00F1470F" w:rsidRDefault="00F1470F" w:rsidP="00F1470F">
      <w:r>
        <w:br w:type="page"/>
      </w:r>
    </w:p>
    <w:p w:rsidR="00F1470F" w:rsidRDefault="00F1470F" w:rsidP="00F1470F">
      <w:pPr>
        <w:jc w:val="center"/>
        <w:rPr>
          <w:b/>
          <w:color w:val="000000"/>
          <w:sz w:val="24"/>
        </w:rPr>
      </w:pPr>
      <w:r w:rsidRPr="008A6F7C">
        <w:rPr>
          <w:b/>
          <w:color w:val="000000"/>
          <w:sz w:val="24"/>
        </w:rPr>
        <w:lastRenderedPageBreak/>
        <w:t xml:space="preserve">Main Themes in </w:t>
      </w:r>
      <w:r w:rsidRPr="008A6F7C">
        <w:rPr>
          <w:b/>
          <w:i/>
          <w:color w:val="000000"/>
          <w:sz w:val="24"/>
        </w:rPr>
        <w:t>SRB</w:t>
      </w:r>
      <w:r w:rsidRPr="008A6F7C">
        <w:rPr>
          <w:b/>
          <w:color w:val="000000"/>
          <w:sz w:val="24"/>
        </w:rPr>
        <w:t xml:space="preserve"> </w:t>
      </w:r>
      <w:r>
        <w:rPr>
          <w:b/>
          <w:color w:val="000000"/>
          <w:sz w:val="24"/>
        </w:rPr>
        <w:t>Subheads</w:t>
      </w:r>
    </w:p>
    <w:p w:rsidR="00F1470F" w:rsidRDefault="00F1470F" w:rsidP="00F1470F">
      <w:pPr>
        <w:jc w:val="center"/>
        <w:rPr>
          <w:color w:val="000000"/>
        </w:rPr>
      </w:pPr>
      <w:r>
        <w:rPr>
          <w:noProof/>
          <w:color w:val="000000"/>
          <w:lang w:eastAsia="en-GB"/>
        </w:rPr>
        <w:drawing>
          <wp:inline distT="0" distB="0" distL="0" distR="0" wp14:anchorId="7AF88B72" wp14:editId="2C0A7E97">
            <wp:extent cx="5400040" cy="813879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2 15.5.18 crop.jpg"/>
                    <pic:cNvPicPr/>
                  </pic:nvPicPr>
                  <pic:blipFill>
                    <a:blip r:embed="rId50">
                      <a:extLst>
                        <a:ext uri="{28A0092B-C50C-407E-A947-70E740481C1C}">
                          <a14:useLocalDpi xmlns:a14="http://schemas.microsoft.com/office/drawing/2010/main" val="0"/>
                        </a:ext>
                      </a:extLst>
                    </a:blip>
                    <a:stretch>
                      <a:fillRect/>
                    </a:stretch>
                  </pic:blipFill>
                  <pic:spPr>
                    <a:xfrm>
                      <a:off x="0" y="0"/>
                      <a:ext cx="5400040" cy="8138795"/>
                    </a:xfrm>
                    <a:prstGeom prst="rect">
                      <a:avLst/>
                    </a:prstGeom>
                  </pic:spPr>
                </pic:pic>
              </a:graphicData>
            </a:graphic>
          </wp:inline>
        </w:drawing>
      </w:r>
    </w:p>
    <w:p w:rsidR="00F1470F" w:rsidRDefault="00F1470F" w:rsidP="00F1470F">
      <w:pPr>
        <w:jc w:val="center"/>
        <w:rPr>
          <w:noProof/>
          <w:color w:val="000000"/>
          <w:lang w:eastAsia="en-GB"/>
        </w:rPr>
      </w:pPr>
    </w:p>
    <w:p w:rsidR="00F1470F" w:rsidRDefault="00F1470F" w:rsidP="00F1470F">
      <w:pPr>
        <w:jc w:val="center"/>
        <w:rPr>
          <w:noProof/>
          <w:color w:val="000000"/>
          <w:lang w:eastAsia="en-GB"/>
        </w:rPr>
      </w:pPr>
      <w:r>
        <w:rPr>
          <w:noProof/>
          <w:color w:val="000000"/>
          <w:lang w:eastAsia="en-GB"/>
        </w:rPr>
        <w:lastRenderedPageBreak/>
        <w:drawing>
          <wp:inline distT="0" distB="0" distL="0" distR="0" wp14:anchorId="29A7292B" wp14:editId="0CE326F3">
            <wp:extent cx="5400040" cy="84658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3 15.5.18 crop.jpg"/>
                    <pic:cNvPicPr/>
                  </pic:nvPicPr>
                  <pic:blipFill>
                    <a:blip r:embed="rId51">
                      <a:extLst>
                        <a:ext uri="{28A0092B-C50C-407E-A947-70E740481C1C}">
                          <a14:useLocalDpi xmlns:a14="http://schemas.microsoft.com/office/drawing/2010/main" val="0"/>
                        </a:ext>
                      </a:extLst>
                    </a:blip>
                    <a:stretch>
                      <a:fillRect/>
                    </a:stretch>
                  </pic:blipFill>
                  <pic:spPr>
                    <a:xfrm>
                      <a:off x="0" y="0"/>
                      <a:ext cx="5400040" cy="8465820"/>
                    </a:xfrm>
                    <a:prstGeom prst="rect">
                      <a:avLst/>
                    </a:prstGeom>
                  </pic:spPr>
                </pic:pic>
              </a:graphicData>
            </a:graphic>
          </wp:inline>
        </w:drawing>
      </w:r>
    </w:p>
    <w:p w:rsidR="00F1470F" w:rsidRDefault="00F1470F" w:rsidP="00F1470F">
      <w:pPr>
        <w:jc w:val="center"/>
        <w:rPr>
          <w:color w:val="000000"/>
        </w:rPr>
      </w:pPr>
      <w:r>
        <w:rPr>
          <w:noProof/>
          <w:color w:val="000000"/>
          <w:lang w:eastAsia="en-GB"/>
        </w:rPr>
        <w:lastRenderedPageBreak/>
        <w:drawing>
          <wp:inline distT="0" distB="0" distL="0" distR="0" wp14:anchorId="0159E0F8" wp14:editId="70182F68">
            <wp:extent cx="5400040" cy="83146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4 15.5.18 crop.jpg"/>
                    <pic:cNvPicPr/>
                  </pic:nvPicPr>
                  <pic:blipFill>
                    <a:blip r:embed="rId52">
                      <a:extLst>
                        <a:ext uri="{28A0092B-C50C-407E-A947-70E740481C1C}">
                          <a14:useLocalDpi xmlns:a14="http://schemas.microsoft.com/office/drawing/2010/main" val="0"/>
                        </a:ext>
                      </a:extLst>
                    </a:blip>
                    <a:stretch>
                      <a:fillRect/>
                    </a:stretch>
                  </pic:blipFill>
                  <pic:spPr>
                    <a:xfrm>
                      <a:off x="0" y="0"/>
                      <a:ext cx="5400040" cy="8314690"/>
                    </a:xfrm>
                    <a:prstGeom prst="rect">
                      <a:avLst/>
                    </a:prstGeom>
                  </pic:spPr>
                </pic:pic>
              </a:graphicData>
            </a:graphic>
          </wp:inline>
        </w:drawing>
      </w:r>
    </w:p>
    <w:p w:rsidR="00F1470F" w:rsidRDefault="00F1470F" w:rsidP="00F1470F">
      <w:pPr>
        <w:jc w:val="center"/>
        <w:rPr>
          <w:color w:val="000000"/>
        </w:rPr>
      </w:pPr>
    </w:p>
    <w:p w:rsidR="00F1470F" w:rsidRDefault="00F1470F" w:rsidP="00F1470F">
      <w:pPr>
        <w:jc w:val="center"/>
        <w:rPr>
          <w:color w:val="000000"/>
        </w:rPr>
      </w:pPr>
      <w:r>
        <w:rPr>
          <w:noProof/>
          <w:color w:val="000000"/>
          <w:lang w:eastAsia="en-GB"/>
        </w:rPr>
        <w:lastRenderedPageBreak/>
        <w:drawing>
          <wp:inline distT="0" distB="0" distL="0" distR="0" wp14:anchorId="6ADF9427" wp14:editId="1E438CCA">
            <wp:extent cx="5400040" cy="83394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5 15.5.18 crop.jpg"/>
                    <pic:cNvPicPr/>
                  </pic:nvPicPr>
                  <pic:blipFill>
                    <a:blip r:embed="rId53">
                      <a:extLst>
                        <a:ext uri="{28A0092B-C50C-407E-A947-70E740481C1C}">
                          <a14:useLocalDpi xmlns:a14="http://schemas.microsoft.com/office/drawing/2010/main" val="0"/>
                        </a:ext>
                      </a:extLst>
                    </a:blip>
                    <a:stretch>
                      <a:fillRect/>
                    </a:stretch>
                  </pic:blipFill>
                  <pic:spPr>
                    <a:xfrm>
                      <a:off x="0" y="0"/>
                      <a:ext cx="5400040" cy="8339455"/>
                    </a:xfrm>
                    <a:prstGeom prst="rect">
                      <a:avLst/>
                    </a:prstGeom>
                  </pic:spPr>
                </pic:pic>
              </a:graphicData>
            </a:graphic>
          </wp:inline>
        </w:drawing>
      </w:r>
    </w:p>
    <w:p w:rsidR="00F1470F" w:rsidRDefault="00F1470F" w:rsidP="00F1470F">
      <w:pPr>
        <w:jc w:val="center"/>
        <w:rPr>
          <w:color w:val="000000"/>
        </w:rPr>
      </w:pPr>
    </w:p>
    <w:p w:rsidR="00F1470F" w:rsidRDefault="00F1470F" w:rsidP="00F1470F">
      <w:pPr>
        <w:jc w:val="center"/>
        <w:rPr>
          <w:color w:val="000000"/>
        </w:rPr>
      </w:pPr>
      <w:r>
        <w:rPr>
          <w:noProof/>
          <w:color w:val="000000"/>
          <w:lang w:eastAsia="en-GB"/>
        </w:rPr>
        <w:lastRenderedPageBreak/>
        <w:drawing>
          <wp:inline distT="0" distB="0" distL="0" distR="0" wp14:anchorId="207CD529" wp14:editId="700A4D13">
            <wp:extent cx="5400040" cy="8261350"/>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6 15.5.18 crop.jpg"/>
                    <pic:cNvPicPr/>
                  </pic:nvPicPr>
                  <pic:blipFill>
                    <a:blip r:embed="rId54">
                      <a:extLst>
                        <a:ext uri="{28A0092B-C50C-407E-A947-70E740481C1C}">
                          <a14:useLocalDpi xmlns:a14="http://schemas.microsoft.com/office/drawing/2010/main" val="0"/>
                        </a:ext>
                      </a:extLst>
                    </a:blip>
                    <a:stretch>
                      <a:fillRect/>
                    </a:stretch>
                  </pic:blipFill>
                  <pic:spPr>
                    <a:xfrm>
                      <a:off x="0" y="0"/>
                      <a:ext cx="5400040" cy="8261350"/>
                    </a:xfrm>
                    <a:prstGeom prst="rect">
                      <a:avLst/>
                    </a:prstGeom>
                  </pic:spPr>
                </pic:pic>
              </a:graphicData>
            </a:graphic>
          </wp:inline>
        </w:drawing>
      </w:r>
    </w:p>
    <w:p w:rsidR="00F1470F" w:rsidRDefault="00F1470F" w:rsidP="00F1470F">
      <w:pPr>
        <w:jc w:val="center"/>
        <w:rPr>
          <w:color w:val="000000"/>
        </w:rPr>
      </w:pPr>
    </w:p>
    <w:p w:rsidR="00F1470F" w:rsidRDefault="00F1470F" w:rsidP="00F1470F">
      <w:pPr>
        <w:jc w:val="center"/>
      </w:pPr>
      <w:r>
        <w:rPr>
          <w:noProof/>
          <w:lang w:eastAsia="en-GB"/>
        </w:rPr>
        <w:lastRenderedPageBreak/>
        <w:drawing>
          <wp:inline distT="0" distB="0" distL="0" distR="0" wp14:anchorId="563BC12B" wp14:editId="4D6E84C8">
            <wp:extent cx="5400040" cy="815213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heads for page 47 15.5.18 crop.jpg"/>
                    <pic:cNvPicPr/>
                  </pic:nvPicPr>
                  <pic:blipFill>
                    <a:blip r:embed="rId55">
                      <a:extLst>
                        <a:ext uri="{28A0092B-C50C-407E-A947-70E740481C1C}">
                          <a14:useLocalDpi xmlns:a14="http://schemas.microsoft.com/office/drawing/2010/main" val="0"/>
                        </a:ext>
                      </a:extLst>
                    </a:blip>
                    <a:stretch>
                      <a:fillRect/>
                    </a:stretch>
                  </pic:blipFill>
                  <pic:spPr>
                    <a:xfrm>
                      <a:off x="0" y="0"/>
                      <a:ext cx="5400040" cy="8152130"/>
                    </a:xfrm>
                    <a:prstGeom prst="rect">
                      <a:avLst/>
                    </a:prstGeom>
                  </pic:spPr>
                </pic:pic>
              </a:graphicData>
            </a:graphic>
          </wp:inline>
        </w:drawing>
      </w:r>
    </w:p>
    <w:p w:rsidR="00F1470F" w:rsidRDefault="00F1470F" w:rsidP="00F1470F"/>
    <w:p w:rsidR="00F1470F" w:rsidRDefault="00F1470F" w:rsidP="00F1470F">
      <w:pPr>
        <w:jc w:val="center"/>
      </w:pPr>
      <w:r>
        <w:rPr>
          <w:noProof/>
          <w:lang w:eastAsia="en-GB"/>
        </w:rPr>
        <w:lastRenderedPageBreak/>
        <w:drawing>
          <wp:inline distT="0" distB="0" distL="0" distR="0" wp14:anchorId="23E8D7A8" wp14:editId="36A60A32">
            <wp:extent cx="5400040" cy="3808730"/>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heads for page 48 15.5.18 crop.jpg"/>
                    <pic:cNvPicPr/>
                  </pic:nvPicPr>
                  <pic:blipFill>
                    <a:blip r:embed="rId56">
                      <a:extLst>
                        <a:ext uri="{28A0092B-C50C-407E-A947-70E740481C1C}">
                          <a14:useLocalDpi xmlns:a14="http://schemas.microsoft.com/office/drawing/2010/main" val="0"/>
                        </a:ext>
                      </a:extLst>
                    </a:blip>
                    <a:stretch>
                      <a:fillRect/>
                    </a:stretch>
                  </pic:blipFill>
                  <pic:spPr>
                    <a:xfrm>
                      <a:off x="0" y="0"/>
                      <a:ext cx="5400040" cy="3808730"/>
                    </a:xfrm>
                    <a:prstGeom prst="rect">
                      <a:avLst/>
                    </a:prstGeom>
                  </pic:spPr>
                </pic:pic>
              </a:graphicData>
            </a:graphic>
          </wp:inline>
        </w:drawing>
      </w:r>
    </w:p>
    <w:p w:rsidR="00442D33" w:rsidRDefault="00442D33" w:rsidP="00F1470F">
      <w:pPr>
        <w:jc w:val="center"/>
      </w:pPr>
    </w:p>
    <w:p w:rsidR="00396A1B" w:rsidRDefault="00396A1B" w:rsidP="00F1470F">
      <w:pPr>
        <w:jc w:val="center"/>
      </w:pPr>
    </w:p>
    <w:p w:rsidR="00396A1B" w:rsidRDefault="00396A1B" w:rsidP="00F1470F">
      <w:pPr>
        <w:jc w:val="center"/>
      </w:pPr>
    </w:p>
    <w:p w:rsidR="00396A1B" w:rsidRDefault="00396A1B" w:rsidP="00F1470F">
      <w:pPr>
        <w:jc w:val="center"/>
        <w:sectPr w:rsidR="00396A1B" w:rsidSect="00123305">
          <w:headerReference w:type="default" r:id="rId57"/>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Pr="001349B7" w:rsidRDefault="001349B7" w:rsidP="00442D33">
      <w:pPr>
        <w:spacing w:after="120" w:line="360" w:lineRule="auto"/>
        <w:ind w:firstLine="567"/>
        <w:jc w:val="center"/>
      </w:pPr>
      <w:r w:rsidRPr="001349B7">
        <w:t>Page intentionally left blank</w:t>
      </w: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1349B7" w:rsidRDefault="001349B7" w:rsidP="00442D33">
      <w:pPr>
        <w:spacing w:after="120" w:line="360" w:lineRule="auto"/>
        <w:ind w:firstLine="567"/>
        <w:jc w:val="center"/>
        <w:rPr>
          <w:b/>
          <w:sz w:val="28"/>
        </w:rPr>
      </w:pPr>
    </w:p>
    <w:p w:rsidR="00442D33" w:rsidRPr="00C05464" w:rsidRDefault="00442D33" w:rsidP="00442D33">
      <w:pPr>
        <w:spacing w:after="120" w:line="360" w:lineRule="auto"/>
        <w:ind w:firstLine="567"/>
        <w:jc w:val="center"/>
        <w:rPr>
          <w:b/>
          <w:sz w:val="28"/>
        </w:rPr>
      </w:pPr>
      <w:bookmarkStart w:id="7" w:name="Chapter1"/>
      <w:bookmarkEnd w:id="7"/>
      <w:r w:rsidRPr="00C05464">
        <w:rPr>
          <w:b/>
          <w:sz w:val="28"/>
        </w:rPr>
        <w:lastRenderedPageBreak/>
        <w:t>C</w:t>
      </w:r>
      <w:r>
        <w:rPr>
          <w:b/>
          <w:sz w:val="28"/>
        </w:rPr>
        <w:t>HAPTER</w:t>
      </w:r>
      <w:r w:rsidRPr="00C05464">
        <w:rPr>
          <w:b/>
          <w:sz w:val="28"/>
        </w:rPr>
        <w:t xml:space="preserve"> 1</w:t>
      </w:r>
    </w:p>
    <w:p w:rsidR="00442D33" w:rsidRPr="00C05464" w:rsidRDefault="00442D33" w:rsidP="00442D33">
      <w:pPr>
        <w:spacing w:after="120" w:line="360" w:lineRule="auto"/>
        <w:ind w:firstLine="567"/>
        <w:jc w:val="center"/>
        <w:rPr>
          <w:b/>
          <w:sz w:val="28"/>
        </w:rPr>
      </w:pPr>
      <w:r w:rsidRPr="00C05464">
        <w:rPr>
          <w:b/>
          <w:sz w:val="28"/>
        </w:rPr>
        <w:t xml:space="preserve">Dispensational Hermeneutics </w:t>
      </w:r>
    </w:p>
    <w:p w:rsidR="00442D33" w:rsidRPr="006431E4" w:rsidRDefault="00442D33" w:rsidP="00442D33">
      <w:pPr>
        <w:spacing w:after="120" w:line="360" w:lineRule="auto"/>
        <w:jc w:val="both"/>
        <w:rPr>
          <w:b/>
          <w:i/>
        </w:rPr>
      </w:pPr>
      <w:r w:rsidRPr="006431E4">
        <w:rPr>
          <w:b/>
          <w:i/>
        </w:rPr>
        <w:t>What is Hermeneutics?</w:t>
      </w:r>
      <w:r>
        <w:rPr>
          <w:b/>
          <w:i/>
        </w:rPr>
        <w:t xml:space="preserve">  </w:t>
      </w:r>
    </w:p>
    <w:p w:rsidR="00442D33" w:rsidRPr="000D4117" w:rsidRDefault="00442D33" w:rsidP="00442D33">
      <w:pPr>
        <w:spacing w:after="120" w:line="360" w:lineRule="auto"/>
        <w:jc w:val="both"/>
      </w:pPr>
      <w:r>
        <w:t xml:space="preserve">The word ‘hermeneutics’ comes from the Greek </w:t>
      </w:r>
      <w:r w:rsidRPr="0094474B">
        <w:rPr>
          <w:rFonts w:ascii="Times New Roman" w:hAnsi="Times New Roman" w:cs="Times New Roman"/>
          <w:bCs/>
          <w:i/>
          <w:lang w:val="el-GR" w:bidi="he-IL"/>
        </w:rPr>
        <w:t>ἑρμηνεύω</w:t>
      </w:r>
      <w:r>
        <w:t>, meaning ‘to explain’ or ‘to interpret’.</w:t>
      </w:r>
      <w:r>
        <w:rPr>
          <w:rStyle w:val="FootnoteReference"/>
        </w:rPr>
        <w:footnoteReference w:id="9"/>
      </w:r>
      <w:r>
        <w:t xml:space="preserve">  Nathan Holsteen indicates that the three terms, hermeneutics, interpretation and exegesis are often linked.  He does not explore the connection between hermeneutics and exegesis but suggests that ‘the simplest approach is … to say that hermeneutics </w:t>
      </w:r>
      <w:r w:rsidRPr="0094474B">
        <w:rPr>
          <w:i/>
        </w:rPr>
        <w:t>is</w:t>
      </w:r>
      <w:r>
        <w:t xml:space="preserve"> interpretation’.  However, he also states that ‘hermeneutics is not identical to interpretation’; even in ‘the most simplified approaches, hermeneutics is the theory that stands behind the activity of interpretation’.</w:t>
      </w:r>
      <w:r>
        <w:rPr>
          <w:rStyle w:val="EndnoteReference"/>
        </w:rPr>
        <w:endnoteReference w:id="198"/>
      </w:r>
      <w:r>
        <w:t xml:space="preserve">  Anthony Thiselton states that there is ‘a crucial difference between interpretation and hermeneutics.  Interpretation is actually doing interpretation.  Hermeneutics is the theory of how we ought to be interpreting.’</w:t>
      </w:r>
      <w:r>
        <w:rPr>
          <w:rStyle w:val="EndnoteReference"/>
        </w:rPr>
        <w:endnoteReference w:id="199"/>
      </w:r>
      <w:r>
        <w:t xml:space="preserve">  </w:t>
      </w:r>
    </w:p>
    <w:p w:rsidR="00442D33" w:rsidRDefault="00442D33" w:rsidP="00442D33">
      <w:pPr>
        <w:spacing w:after="120" w:line="360" w:lineRule="auto"/>
        <w:ind w:firstLine="567"/>
        <w:jc w:val="both"/>
      </w:pPr>
      <w:r>
        <w:t>Regarding the connection between hermeneutics and exegesis,</w:t>
      </w:r>
      <w:r>
        <w:rPr>
          <w:rStyle w:val="FootnoteReference"/>
        </w:rPr>
        <w:footnoteReference w:id="10"/>
      </w:r>
      <w:r>
        <w:t xml:space="preserve"> Bernard Ramm aptly compares hermeneutics to the rule-book for a game and exegesis to the game governed by it.  He states, ‘The rules are not the game, and the game is meaningless without the rules.  Hermeneutics proper is not exegesis but exegesis is applied hermeneutics.’  Ramm defines hermeneutics as ‘the science of the correct interpretation of the Bible’.  It is both a science and an art, a science because it ‘can determine certain principles for discovering the meaning of a document’, these principles being ‘not a mere list of rules but [bearing] organic connection to each other’, and ‘an art … because principles or rules can never be applied mechanically but involve the skill … of the interpreter’.</w:t>
      </w:r>
      <w:r>
        <w:rPr>
          <w:rStyle w:val="EndnoteReference"/>
        </w:rPr>
        <w:endnoteReference w:id="200"/>
      </w:r>
      <w:r>
        <w:t xml:space="preserve">  Moreover, ‘learning the rules of hermeneutics does not make a student a good interpreter’; an interpreter must have ‘the same Spirit who inspired the Bible as the </w:t>
      </w:r>
      <w:r w:rsidRPr="00343D8D">
        <w:rPr>
          <w:i/>
        </w:rPr>
        <w:t>sine qua non</w:t>
      </w:r>
      <w:r>
        <w:t xml:space="preserve"> for interpreting the Bible’.</w:t>
      </w:r>
      <w:r>
        <w:rPr>
          <w:rStyle w:val="EndnoteReference"/>
        </w:rPr>
        <w:endnoteReference w:id="201"/>
      </w:r>
    </w:p>
    <w:p w:rsidR="00442D33" w:rsidRPr="00A901C7" w:rsidRDefault="00442D33" w:rsidP="00442D33">
      <w:pPr>
        <w:spacing w:after="120" w:line="360" w:lineRule="auto"/>
        <w:ind w:firstLine="567"/>
        <w:jc w:val="both"/>
      </w:pPr>
      <w:r w:rsidRPr="008166F0">
        <w:t xml:space="preserve">In his interview, Thiselton </w:t>
      </w:r>
      <w:r>
        <w:t xml:space="preserve">solely </w:t>
      </w:r>
      <w:r w:rsidRPr="008166F0">
        <w:t>uses the term, ‘hermeneutics’ and does not employ the term, ‘hermeneutic’ as such.</w:t>
      </w:r>
      <w:r>
        <w:rPr>
          <w:rStyle w:val="EndnoteReference"/>
        </w:rPr>
        <w:endnoteReference w:id="202"/>
      </w:r>
      <w:r w:rsidRPr="008166F0">
        <w:t xml:space="preserve">  Holsteen, however, distinguishes between hermeneutic, which he defines as ‘a specific approach to the interpretation of texts’, and ‘hermeneutics’, which he calls ‘the study of various ways of approaching the interpretation of texts’.</w:t>
      </w:r>
      <w:r>
        <w:rPr>
          <w:rStyle w:val="EndnoteReference"/>
        </w:rPr>
        <w:endnoteReference w:id="203"/>
      </w:r>
      <w:r w:rsidRPr="008166F0">
        <w:t xml:space="preserve">  He does not explain this differentiation.  </w:t>
      </w:r>
      <w:r>
        <w:t xml:space="preserve">In this study, I generally maintain the use of the term, ‘hermeneutics’, as employed by Thiselton, though construing it as ‘a specific approach to the interpretation of texts’.  Such a rendering reflects Holsteen’s definition of hermeneutic but this delineation is more relevant to the study of the case of dispensationalism.  </w:t>
      </w:r>
    </w:p>
    <w:p w:rsidR="00442D33" w:rsidRDefault="00442D33" w:rsidP="00442D33">
      <w:pPr>
        <w:spacing w:after="120" w:line="360" w:lineRule="auto"/>
        <w:ind w:firstLine="567"/>
        <w:jc w:val="both"/>
      </w:pPr>
      <w:r>
        <w:lastRenderedPageBreak/>
        <w:t>Ramm advances two reasons for the need for hermeneutics – firstly it provides a means by which God’s Word may be understood and secondly it ‘[bridges] the gap between our minds and the minds of the Biblical writers’.  This task is not easy when ‘the interpreter is separated culturally, historically, and geographically from the writer he seeks to interpret’.</w:t>
      </w:r>
      <w:r>
        <w:rPr>
          <w:rStyle w:val="EndnoteReference"/>
        </w:rPr>
        <w:endnoteReference w:id="204"/>
      </w:r>
      <w:r>
        <w:t xml:space="preserve">  Charles Ryrie calls hermeneutics ‘the science that furnishes the principles of interpretation’.  These principles are basic and should ‘be established before attempting to interpret the Word so that the results are not only correct interpretations but a right system of theology’.</w:t>
      </w:r>
      <w:r>
        <w:rPr>
          <w:rStyle w:val="EndnoteReference"/>
        </w:rPr>
        <w:endnoteReference w:id="205"/>
      </w:r>
      <w:r>
        <w:t xml:space="preserve">  As mentioned in </w:t>
      </w:r>
      <w:r w:rsidRPr="00644497">
        <w:t>the introductory chapter</w:t>
      </w:r>
      <w:r>
        <w:t xml:space="preserve">, biblical interpretation is an essential component of dispensationalism. </w:t>
      </w:r>
    </w:p>
    <w:p w:rsidR="00442D33" w:rsidRPr="001D0675" w:rsidRDefault="00442D33" w:rsidP="00442D33">
      <w:pPr>
        <w:spacing w:after="120" w:line="360" w:lineRule="auto"/>
        <w:jc w:val="both"/>
        <w:rPr>
          <w:b/>
          <w:i/>
        </w:rPr>
      </w:pPr>
      <w:r w:rsidRPr="001D0675">
        <w:rPr>
          <w:b/>
          <w:i/>
        </w:rPr>
        <w:t>The Biblical Basis for Dispensational Hermeneutics</w:t>
      </w:r>
    </w:p>
    <w:p w:rsidR="00442D33" w:rsidRDefault="00442D33" w:rsidP="00442D33">
      <w:pPr>
        <w:spacing w:after="120" w:line="360" w:lineRule="auto"/>
        <w:jc w:val="both"/>
        <w:rPr>
          <w:rFonts w:ascii="Humnst777 Lt BT" w:hAnsi="Humnst777 Lt BT"/>
          <w:sz w:val="20"/>
          <w:szCs w:val="20"/>
        </w:rPr>
      </w:pPr>
      <w:r w:rsidRPr="00DB60CF">
        <w:t xml:space="preserve">Ramm </w:t>
      </w:r>
      <w:r>
        <w:t>avers that ‘the divine inspiration of the Bible is the foundation of historic Protestant hermeneutics and exegesis’.</w:t>
      </w:r>
      <w:r>
        <w:rPr>
          <w:rStyle w:val="EndnoteReference"/>
        </w:rPr>
        <w:endnoteReference w:id="206"/>
      </w:r>
      <w:r>
        <w:t xml:space="preserve">  This view became particularly pertinent to conservative American evangelicalism, including burgeoning dispensationalism, in the years following the Civil War, owing to rapid social change, the rise of evolutionary theory and liberalism, and the development of higher criticism of the Bible.  According to Timothy Weber, doubts were sown even in evangelical minds and many ‘tried to redefine the traditional evangelical faith in terms compatible with modern thought’.</w:t>
      </w:r>
      <w:r>
        <w:rPr>
          <w:rStyle w:val="EndnoteReference"/>
        </w:rPr>
        <w:endnoteReference w:id="207"/>
      </w:r>
      <w:r>
        <w:t xml:space="preserve">  Conservative evangelicals, including dispensationalists, made common cause against liberalism.  The establishment in 1875 of the Believers’ Meeting for Bible Study (later the Niagara Bible Conference), is one example this co-operation.  Premillennialists were prominent at Niagara from the start and became dominant in leadership roles; they also participated in framing the 1878 statement of faith, which included the affirmation of ‘the inspiration and authority of the Bible’.</w:t>
      </w:r>
      <w:r>
        <w:rPr>
          <w:rStyle w:val="EndnoteReference"/>
        </w:rPr>
        <w:endnoteReference w:id="208"/>
      </w:r>
      <w:r>
        <w:t xml:space="preserve">  Premillennialists promulgated biblical inerrancy.</w:t>
      </w:r>
      <w:r>
        <w:rPr>
          <w:rStyle w:val="EndnoteReference"/>
        </w:rPr>
        <w:endnoteReference w:id="209"/>
      </w:r>
      <w:r>
        <w:t xml:space="preserve">  As Kraus remarks, ‘the Bible, being the Word of God, was a priori perfect from start to finish in every sentence, word, and syllable according to the highest standards of human reason.  To suggest that there might be one flaw … would have been equal to suggesting that it was not the Word of God.’</w:t>
      </w:r>
      <w:r>
        <w:rPr>
          <w:rStyle w:val="EndnoteReference"/>
        </w:rPr>
        <w:endnoteReference w:id="210"/>
      </w:r>
      <w:r>
        <w:t xml:space="preserve">  Clarence Bass asserts that ‘one great impetus’ to the growth of dispensationalism ‘has been an insistence that the Bible must be taken literally as the Word of God and its meaning must not be “spiritualized”’.  For many even now, ‘a non-literal interpretation is synonymous with liberalizing tendencies which are equated with denying the validity of the Word’.</w:t>
      </w:r>
      <w:r>
        <w:rPr>
          <w:rStyle w:val="EndnoteReference"/>
        </w:rPr>
        <w:endnoteReference w:id="211"/>
      </w:r>
      <w:r>
        <w:t xml:space="preserve"> </w:t>
      </w:r>
    </w:p>
    <w:p w:rsidR="00442D33" w:rsidRDefault="00442D33" w:rsidP="00442D33">
      <w:pPr>
        <w:spacing w:after="120" w:line="360" w:lineRule="auto"/>
        <w:ind w:firstLine="567"/>
        <w:jc w:val="both"/>
      </w:pPr>
      <w:r>
        <w:t>This belief in the inerrancy of the Scriptures led to a basic assumption that they contained a single system of truth and that no interpretation of a specific passage should contradict ‘the total teaching of Scripture’.  This is sometimes known as ‘the analogy of faith’</w:t>
      </w:r>
      <w:r>
        <w:rPr>
          <w:rStyle w:val="EndnoteReference"/>
        </w:rPr>
        <w:endnoteReference w:id="212"/>
      </w:r>
      <w:r>
        <w:t xml:space="preserve"> or ‘analogy of Scripture’.</w:t>
      </w:r>
      <w:r>
        <w:rPr>
          <w:rStyle w:val="EndnoteReference"/>
        </w:rPr>
        <w:endnoteReference w:id="213"/>
      </w:r>
      <w:r>
        <w:t xml:space="preserve">  Paul Lee Tan calls this the foundational principle that ‘Scripture interprets Scripture’; it is ‘a basic presupposition in Scriptural interpretation’.</w:t>
      </w:r>
      <w:r>
        <w:rPr>
          <w:rStyle w:val="EndnoteReference"/>
        </w:rPr>
        <w:endnoteReference w:id="214"/>
      </w:r>
      <w:r>
        <w:t xml:space="preserve">  Bock describes this as the principle that ‘clear texts should interpret obscure texts’.  He acknowledges that it can be difficult to apply this since ‘clarity is often seen through the eye of the beholder’.</w:t>
      </w:r>
      <w:r>
        <w:rPr>
          <w:rStyle w:val="EndnoteReference"/>
        </w:rPr>
        <w:endnoteReference w:id="215"/>
      </w:r>
      <w:r>
        <w:t xml:space="preserve">  However, even Oswald Allis, who opposes dispensationalism, states that ‘the trustworthiness, perspicuity and plenary inspiration of Scripture cannot be maintained aside from the belief that the Bible is a thoroughly self-</w:t>
      </w:r>
      <w:r w:rsidRPr="00824479">
        <w:t>consistent whole’</w:t>
      </w:r>
      <w:r>
        <w:rPr>
          <w:rStyle w:val="EndnoteReference"/>
        </w:rPr>
        <w:endnoteReference w:id="216"/>
      </w:r>
      <w:r>
        <w:t xml:space="preserve"> and quotes the Westminster Confession, ‘The </w:t>
      </w:r>
      <w:r>
        <w:lastRenderedPageBreak/>
        <w:t>infallible rule of interpretation of Scripture is the Scripture itself.’</w:t>
      </w:r>
      <w:r>
        <w:rPr>
          <w:rStyle w:val="EndnoteReference"/>
        </w:rPr>
        <w:endnoteReference w:id="217"/>
      </w:r>
      <w:r>
        <w:t xml:space="preserve">  On the basis of the conviction by dispensationalists that ‘the words of Scripture can be trusted’, Paul Lee Tan calls their literal approach to interpretation ‘a true and honest method’.</w:t>
      </w:r>
      <w:r>
        <w:rPr>
          <w:rStyle w:val="EndnoteReference"/>
        </w:rPr>
        <w:endnoteReference w:id="218"/>
      </w:r>
      <w:r>
        <w:t xml:space="preserve">  </w:t>
      </w:r>
    </w:p>
    <w:p w:rsidR="00442D33" w:rsidRPr="00B55129" w:rsidRDefault="00442D33" w:rsidP="00442D33">
      <w:pPr>
        <w:spacing w:after="120" w:line="360" w:lineRule="auto"/>
        <w:jc w:val="both"/>
        <w:rPr>
          <w:b/>
          <w:sz w:val="24"/>
        </w:rPr>
      </w:pPr>
      <w:proofErr w:type="gramStart"/>
      <w:r w:rsidRPr="00B55129">
        <w:rPr>
          <w:b/>
          <w:sz w:val="24"/>
        </w:rPr>
        <w:t>1.1  Consistent</w:t>
      </w:r>
      <w:proofErr w:type="gramEnd"/>
      <w:r w:rsidRPr="00B55129">
        <w:rPr>
          <w:b/>
          <w:sz w:val="24"/>
        </w:rPr>
        <w:t xml:space="preserve"> Literal Interpretation</w:t>
      </w:r>
    </w:p>
    <w:p w:rsidR="00442D33" w:rsidRDefault="00442D33" w:rsidP="00442D33">
      <w:pPr>
        <w:spacing w:before="240" w:after="120" w:line="360" w:lineRule="auto"/>
        <w:jc w:val="both"/>
        <w:rPr>
          <w:rStyle w:val="ind"/>
        </w:rPr>
      </w:pPr>
      <w:r>
        <w:t xml:space="preserve">As mentioned above, literal interpretation is Ryrie’s ‘second aspect of the </w:t>
      </w:r>
      <w:r w:rsidRPr="00604A5B">
        <w:rPr>
          <w:i/>
        </w:rPr>
        <w:t>sine</w:t>
      </w:r>
      <w:r>
        <w:t xml:space="preserve"> </w:t>
      </w:r>
      <w:r w:rsidRPr="001C4216">
        <w:rPr>
          <w:i/>
        </w:rPr>
        <w:t>qua non</w:t>
      </w:r>
      <w:r>
        <w:rPr>
          <w:i/>
        </w:rPr>
        <w:t xml:space="preserve"> </w:t>
      </w:r>
      <w:r w:rsidRPr="00E86487">
        <w:t>of dispensationalism</w:t>
      </w:r>
      <w:r>
        <w:t>’</w:t>
      </w:r>
      <w:r w:rsidRPr="00E86487">
        <w:t>.</w:t>
      </w:r>
      <w:r>
        <w:rPr>
          <w:rStyle w:val="EndnoteReference"/>
        </w:rPr>
        <w:endnoteReference w:id="219"/>
      </w:r>
      <w:r>
        <w:t xml:space="preserve">  </w:t>
      </w:r>
      <w:r w:rsidRPr="00824479">
        <w:rPr>
          <w:rStyle w:val="ind"/>
        </w:rPr>
        <w:t>Ryrie states that ‘consistently literal or plain interpretation is indicative of a dispensational approach to the interpretation of the Scriptures’.</w:t>
      </w:r>
      <w:r w:rsidRPr="00824479">
        <w:rPr>
          <w:rStyle w:val="EndnoteReference"/>
        </w:rPr>
        <w:endnoteReference w:id="220"/>
      </w:r>
      <w:r w:rsidRPr="00824479">
        <w:rPr>
          <w:rStyle w:val="ind"/>
        </w:rPr>
        <w:t xml:space="preserve">  </w:t>
      </w:r>
      <w:r w:rsidRPr="002D5CE5">
        <w:rPr>
          <w:rStyle w:val="ind"/>
        </w:rPr>
        <w:t>A literal interpretation is one which ‘gives to every word the same meaning it would have in normal usage, whether employed in writing, speaking or thinking’.</w:t>
      </w:r>
      <w:r>
        <w:rPr>
          <w:rStyle w:val="EndnoteReference"/>
        </w:rPr>
        <w:endnoteReference w:id="221"/>
      </w:r>
      <w:r w:rsidRPr="002D5CE5">
        <w:rPr>
          <w:rStyle w:val="ind"/>
        </w:rPr>
        <w:t xml:space="preserve">  </w:t>
      </w:r>
      <w:r w:rsidRPr="007636C2">
        <w:rPr>
          <w:rStyle w:val="ind"/>
        </w:rPr>
        <w:t>However, it</w:t>
      </w:r>
      <w:r>
        <w:rPr>
          <w:rStyle w:val="ind"/>
        </w:rPr>
        <w:t xml:space="preserve"> is not sufficient simply to state that literal interpretation gives every word a normal or plain meaning.  Perceptions of normality or plainness are subjective; it cannot be assumed that everyone will think of the same concept when hearing or reading a word.  Perceptions are also influenced by context, time and location.  For example, the word ‘silly’ meant ‘rustic, plain or homely’</w:t>
      </w:r>
      <w:r>
        <w:rPr>
          <w:rStyle w:val="FootnoteReference"/>
        </w:rPr>
        <w:footnoteReference w:id="11"/>
      </w:r>
      <w:r>
        <w:rPr>
          <w:rStyle w:val="ind"/>
        </w:rPr>
        <w:t xml:space="preserve"> in the seventeenth century, as used by John Milton in the ‘Ode on the Morning of Christ’s Nativity’, with reference to the shepherds,</w:t>
      </w:r>
      <w:r>
        <w:rPr>
          <w:rStyle w:val="FootnoteReference"/>
        </w:rPr>
        <w:footnoteReference w:id="12"/>
      </w:r>
      <w:r>
        <w:rPr>
          <w:rStyle w:val="ind"/>
        </w:rPr>
        <w:t xml:space="preserve"> rather than ‘foolish’.  Similarly ‘egregious’ originally meant something distinguished or eminent,</w:t>
      </w:r>
      <w:r>
        <w:rPr>
          <w:rStyle w:val="FootnoteReference"/>
        </w:rPr>
        <w:footnoteReference w:id="13"/>
      </w:r>
      <w:r>
        <w:rPr>
          <w:rStyle w:val="ind"/>
        </w:rPr>
        <w:t xml:space="preserve"> coming from the Latin </w:t>
      </w:r>
      <w:r>
        <w:rPr>
          <w:rStyle w:val="ind"/>
          <w:i/>
        </w:rPr>
        <w:t>egregi</w:t>
      </w:r>
      <w:r w:rsidRPr="009B2427">
        <w:rPr>
          <w:rStyle w:val="ind"/>
          <w:i/>
        </w:rPr>
        <w:t>us</w:t>
      </w:r>
      <w:r>
        <w:rPr>
          <w:rStyle w:val="ind"/>
        </w:rPr>
        <w:t>, meaning ‘outstanding, surpassing, distinguished’,</w:t>
      </w:r>
      <w:r>
        <w:rPr>
          <w:rStyle w:val="FootnoteReference"/>
        </w:rPr>
        <w:footnoteReference w:id="14"/>
      </w:r>
      <w:r>
        <w:rPr>
          <w:rStyle w:val="ind"/>
        </w:rPr>
        <w:t xml:space="preserve"> rather than ‘extraordinary in some bad way’.  A biblical instance of change in the meaning of a word occurs in Zech. 1:20-21.  </w:t>
      </w:r>
      <w:r>
        <w:t>Referring to the image of the four carpenters, Scofield states that the word, ‘</w:t>
      </w:r>
      <w:r w:rsidRPr="00101772">
        <w:rPr>
          <w:i/>
        </w:rPr>
        <w:t>charash</w:t>
      </w:r>
      <w:r>
        <w:t>’, translated as ‘carpenter’ means to ‘fray’ or ‘carve away’ and concludes that the passage refers to the ‘diminishing’ or ‘enfeebling’ of the Gentile world-powers.  The modern implication of ‘fray’ is ‘to wear off by rubbing’ or ‘to unravel’,</w:t>
      </w:r>
      <w:r>
        <w:rPr>
          <w:rStyle w:val="EndnoteReference"/>
        </w:rPr>
        <w:endnoteReference w:id="222"/>
      </w:r>
      <w:r>
        <w:t xml:space="preserve"> but in C17, it meant ‘to terrify’, as several translations render it.</w:t>
      </w:r>
      <w:r>
        <w:rPr>
          <w:rStyle w:val="EndnoteReference"/>
        </w:rPr>
        <w:endnoteReference w:id="223"/>
      </w:r>
      <w:r>
        <w:t xml:space="preserve">  In C19, Darby translated the word as ‘affright’.  </w:t>
      </w:r>
      <w:r>
        <w:rPr>
          <w:rStyle w:val="ind"/>
        </w:rPr>
        <w:t xml:space="preserve">Words may also lose some meanings over time while retaining others.  For example, the verb ‘suffer’ in the seventeenth century English of </w:t>
      </w:r>
      <w:r w:rsidRPr="00B97AE6">
        <w:rPr>
          <w:rStyle w:val="ind"/>
          <w:i/>
        </w:rPr>
        <w:t>KJV</w:t>
      </w:r>
      <w:r>
        <w:rPr>
          <w:rStyle w:val="ind"/>
        </w:rPr>
        <w:t xml:space="preserve"> had two different meanings and was a translation of two different Greek verbs, </w:t>
      </w:r>
      <w:r w:rsidRPr="00AD2BD9">
        <w:rPr>
          <w:rFonts w:ascii="Times New Roman" w:hAnsi="Times New Roman" w:cs="Times New Roman"/>
          <w:bCs/>
          <w:i/>
          <w:sz w:val="20"/>
          <w:lang w:val="el-GR" w:bidi="he-IL"/>
        </w:rPr>
        <w:t>ἀφίημι</w:t>
      </w:r>
      <w:r>
        <w:rPr>
          <w:rStyle w:val="ind"/>
        </w:rPr>
        <w:t xml:space="preserve"> and </w:t>
      </w:r>
      <w:r w:rsidRPr="00AD2BD9">
        <w:rPr>
          <w:rFonts w:ascii="Times New Roman" w:hAnsi="Times New Roman" w:cs="Times New Roman"/>
          <w:bCs/>
          <w:i/>
          <w:sz w:val="20"/>
          <w:lang w:val="el-GR" w:bidi="he-IL"/>
        </w:rPr>
        <w:t>πάσχω</w:t>
      </w:r>
      <w:r>
        <w:rPr>
          <w:rStyle w:val="ind"/>
        </w:rPr>
        <w:t>.  The first meaning of the verb, famously enshrined in Jesus’ instruction to ‘suffer the little children to come unto me’,</w:t>
      </w:r>
      <w:r>
        <w:rPr>
          <w:rStyle w:val="EndnoteReference"/>
        </w:rPr>
        <w:endnoteReference w:id="224"/>
      </w:r>
      <w:r>
        <w:rPr>
          <w:rStyle w:val="ind"/>
        </w:rPr>
        <w:t xml:space="preserve"> is no longer current and is translated in modern versions as ‘let’, whereas the second verb, conveying the sense of undergoing pain or distress, is still extant and translated as ‘suffer’ in modern versions, for example, ‘it is written that Christ must suffer’.</w:t>
      </w:r>
      <w:r>
        <w:rPr>
          <w:rStyle w:val="EndnoteReference"/>
        </w:rPr>
        <w:endnoteReference w:id="225"/>
      </w:r>
    </w:p>
    <w:p w:rsidR="00442D33" w:rsidRDefault="00442D33" w:rsidP="00442D33">
      <w:pPr>
        <w:spacing w:before="240" w:after="120" w:line="360" w:lineRule="auto"/>
        <w:ind w:firstLine="567"/>
        <w:jc w:val="both"/>
        <w:rPr>
          <w:rStyle w:val="ind"/>
        </w:rPr>
      </w:pPr>
      <w:r>
        <w:rPr>
          <w:rStyle w:val="ind"/>
        </w:rPr>
        <w:t xml:space="preserve">Ramm states that ‘the word “literal” in the theory of hermeneutics… takes as the primary range of designation [ie the association of certain words with such things as nouns, verbs, adjectives, etc.] the customary, the usual, the socially-acknowledged designations.  Thus the literal meaning of a word is its </w:t>
      </w:r>
      <w:r>
        <w:rPr>
          <w:rStyle w:val="ind"/>
        </w:rPr>
        <w:lastRenderedPageBreak/>
        <w:t>designation in the common stock of the language.’</w:t>
      </w:r>
      <w:r>
        <w:rPr>
          <w:rStyle w:val="EndnoteReference"/>
        </w:rPr>
        <w:endnoteReference w:id="226"/>
      </w:r>
      <w:r>
        <w:rPr>
          <w:rStyle w:val="ind"/>
        </w:rPr>
        <w:t xml:space="preserve">  ‘Spiritual, mystical, allegorical or metaphorical usages of language reflect layers of meaning built on top of the literal meanings of a language.’</w:t>
      </w:r>
      <w:r>
        <w:rPr>
          <w:rStyle w:val="EndnoteReference"/>
        </w:rPr>
        <w:endnoteReference w:id="227"/>
      </w:r>
      <w:r>
        <w:rPr>
          <w:rStyle w:val="ind"/>
        </w:rPr>
        <w:t xml:space="preserve">  Literature is usually interpreted by the literal method and ‘the non-literal is always a secondary meaning’ dependent upon the literal.  Parables, types, allegories, symbols, figures of speech, fables and myths all belong to the non-literal category.</w:t>
      </w:r>
      <w:r>
        <w:rPr>
          <w:rStyle w:val="EndnoteReference"/>
        </w:rPr>
        <w:endnoteReference w:id="228"/>
      </w:r>
      <w:r>
        <w:rPr>
          <w:rStyle w:val="ind"/>
        </w:rPr>
        <w:t xml:space="preserve">  Furthermore, ‘literal interpretation … is … the effective, meaningful, and necessary control for the protection of the right interpretation of Scripture’.</w:t>
      </w:r>
      <w:r>
        <w:rPr>
          <w:rStyle w:val="EndnoteReference"/>
        </w:rPr>
        <w:endnoteReference w:id="229"/>
      </w:r>
      <w:r>
        <w:rPr>
          <w:rStyle w:val="ind"/>
        </w:rPr>
        <w:t xml:space="preserve">  Tan avers that literalists ‘believe that the words of Scripture are adequate in conveying all that God wants man to know’.  All applications of scripture must be based on literal interpretation.</w:t>
      </w:r>
      <w:r>
        <w:rPr>
          <w:rStyle w:val="EndnoteReference"/>
        </w:rPr>
        <w:endnoteReference w:id="230"/>
      </w:r>
      <w:r>
        <w:rPr>
          <w:rStyle w:val="ind"/>
        </w:rPr>
        <w:t xml:space="preserve"> </w:t>
      </w:r>
    </w:p>
    <w:p w:rsidR="00442D33" w:rsidRDefault="00442D33" w:rsidP="00442D33">
      <w:pPr>
        <w:spacing w:before="240" w:after="120" w:line="360" w:lineRule="auto"/>
        <w:ind w:firstLine="567"/>
        <w:jc w:val="both"/>
        <w:rPr>
          <w:rStyle w:val="ind"/>
        </w:rPr>
      </w:pPr>
      <w:r>
        <w:rPr>
          <w:rStyle w:val="ind"/>
        </w:rPr>
        <w:t>Ryrie asserts that it is in the consistent application of literal interpretation that dispensationalism differs from nondispensational evangelicalism.  He</w:t>
      </w:r>
      <w:r w:rsidRPr="00BB75E1">
        <w:rPr>
          <w:rStyle w:val="ind"/>
        </w:rPr>
        <w:t xml:space="preserve"> declares that ‘classic dispensationalism is a result of consistent application of the basic hermeneutical principle of literal, normal, or plain interpretation.  No other system of theology can claim this.’</w:t>
      </w:r>
      <w:r>
        <w:rPr>
          <w:rStyle w:val="EndnoteReference"/>
        </w:rPr>
        <w:endnoteReference w:id="231"/>
      </w:r>
      <w:r>
        <w:rPr>
          <w:rStyle w:val="ind"/>
        </w:rPr>
        <w:t xml:space="preserve">  Ryrie avers that ‘most conservatives’ would agree that language is given by God to communicate with humankind and thus God would ‘expect people to understand it in its literal, normal, and plain sense’.</w:t>
      </w:r>
      <w:r>
        <w:rPr>
          <w:rStyle w:val="EndnoteReference"/>
        </w:rPr>
        <w:endnoteReference w:id="232"/>
      </w:r>
      <w:r>
        <w:rPr>
          <w:rStyle w:val="ind"/>
        </w:rPr>
        <w:t xml:space="preserve">  They would also agree that the Old Testament prophecies about Christ’s first advent were literally fulfilled, thus establishing the reasonab</w:t>
      </w:r>
      <w:r w:rsidR="005C22DF">
        <w:rPr>
          <w:rStyle w:val="ind"/>
        </w:rPr>
        <w:t>leness</w:t>
      </w:r>
      <w:r>
        <w:rPr>
          <w:rStyle w:val="ind"/>
        </w:rPr>
        <w:t xml:space="preserve"> of the literal method.  Thirdly, they would agree that there would be no restraint on ‘the variety of interpretations … if there were no objective standard’, that is, literal interpretation.  Ryrie argues that the difference between ‘the dispensationalist’s use of this hermeneutical principle and the nondispensationalist’s’ is that ‘the dispensationalist claims to use the normal principle of interpretation </w:t>
      </w:r>
      <w:r w:rsidRPr="008D1F6D">
        <w:rPr>
          <w:rStyle w:val="ind"/>
          <w:i/>
        </w:rPr>
        <w:t>consistently</w:t>
      </w:r>
      <w:r>
        <w:rPr>
          <w:rStyle w:val="ind"/>
        </w:rPr>
        <w:t xml:space="preserve"> in </w:t>
      </w:r>
      <w:r w:rsidRPr="008D1F6D">
        <w:rPr>
          <w:rStyle w:val="ind"/>
          <w:i/>
        </w:rPr>
        <w:t>all</w:t>
      </w:r>
      <w:r>
        <w:rPr>
          <w:rStyle w:val="ind"/>
        </w:rPr>
        <w:t xml:space="preserve"> his study of the Bible’.</w:t>
      </w:r>
      <w:r>
        <w:rPr>
          <w:rStyle w:val="EndnoteReference"/>
        </w:rPr>
        <w:endnoteReference w:id="233"/>
      </w:r>
      <w:r>
        <w:rPr>
          <w:rStyle w:val="ind"/>
        </w:rPr>
        <w:t xml:space="preserve">  He asserts that, although ‘the nondispensationalist is a literalist in much of his interpretation of the </w:t>
      </w:r>
      <w:proofErr w:type="gramStart"/>
      <w:r>
        <w:rPr>
          <w:rStyle w:val="ind"/>
        </w:rPr>
        <w:t>Scriptures’,</w:t>
      </w:r>
      <w:proofErr w:type="gramEnd"/>
      <w:r>
        <w:rPr>
          <w:rStyle w:val="ind"/>
        </w:rPr>
        <w:t xml:space="preserve"> he allegorises or spiritualises in the case of prophecy.</w:t>
      </w:r>
      <w:r>
        <w:rPr>
          <w:rStyle w:val="EndnoteReference"/>
        </w:rPr>
        <w:endnoteReference w:id="234"/>
      </w:r>
      <w:r>
        <w:rPr>
          <w:rStyle w:val="ind"/>
        </w:rPr>
        <w:t xml:space="preserve">  </w:t>
      </w:r>
    </w:p>
    <w:p w:rsidR="00442D33" w:rsidRDefault="00442D33" w:rsidP="00442D33">
      <w:pPr>
        <w:spacing w:before="240" w:after="120" w:line="360" w:lineRule="auto"/>
        <w:ind w:firstLine="567"/>
        <w:jc w:val="both"/>
        <w:rPr>
          <w:rStyle w:val="ind"/>
        </w:rPr>
      </w:pPr>
      <w:r>
        <w:rPr>
          <w:rStyle w:val="ind"/>
        </w:rPr>
        <w:t>Charles Feinberg avers that it is only by consistent literal interpretation that ‘the entire Word of God [can] be brought into harmony’.</w:t>
      </w:r>
      <w:r>
        <w:rPr>
          <w:rStyle w:val="EndnoteReference"/>
        </w:rPr>
        <w:endnoteReference w:id="235"/>
      </w:r>
      <w:r>
        <w:rPr>
          <w:rStyle w:val="ind"/>
        </w:rPr>
        <w:t xml:space="preserve">  Holsteen agrees that ‘the unifying factor in dispensationalism is indeed a systematic commitment to literal interpretation.</w:t>
      </w:r>
      <w:r>
        <w:rPr>
          <w:rStyle w:val="EndnoteReference"/>
        </w:rPr>
        <w:endnoteReference w:id="236"/>
      </w:r>
      <w:r>
        <w:rPr>
          <w:rStyle w:val="ind"/>
        </w:rPr>
        <w:t xml:space="preserve">  Tan states that a consistent literal interpreter ‘consistently acknowledges and accepts the </w:t>
      </w:r>
      <w:r w:rsidRPr="00C15040">
        <w:rPr>
          <w:rStyle w:val="ind"/>
          <w:i/>
        </w:rPr>
        <w:t>customary</w:t>
      </w:r>
      <w:r>
        <w:rPr>
          <w:rStyle w:val="ind"/>
        </w:rPr>
        <w:t xml:space="preserve"> uses of Bible language’.</w:t>
      </w:r>
      <w:r>
        <w:rPr>
          <w:rStyle w:val="EndnoteReference"/>
        </w:rPr>
        <w:endnoteReference w:id="237"/>
      </w:r>
      <w:r>
        <w:rPr>
          <w:rStyle w:val="ind"/>
        </w:rPr>
        <w:t xml:space="preserve">  Consistent literal interpretation also applies to figurative language</w:t>
      </w:r>
      <w:r>
        <w:rPr>
          <w:rStyle w:val="EndnoteReference"/>
        </w:rPr>
        <w:endnoteReference w:id="238"/>
      </w:r>
      <w:r>
        <w:rPr>
          <w:rStyle w:val="ind"/>
        </w:rPr>
        <w:t xml:space="preserve"> as long as it is based on ‘the literal sense which the figure and symbol are intended to convey.  Consistent literality also allow for the interpretation of types</w:t>
      </w:r>
      <w:r>
        <w:rPr>
          <w:rStyle w:val="EndnoteReference"/>
        </w:rPr>
        <w:endnoteReference w:id="239"/>
      </w:r>
      <w:r>
        <w:rPr>
          <w:rStyle w:val="ind"/>
        </w:rPr>
        <w:t xml:space="preserve"> – whenever types are properly identified.’</w:t>
      </w:r>
      <w:r>
        <w:rPr>
          <w:rStyle w:val="EndnoteReference"/>
        </w:rPr>
        <w:endnoteReference w:id="240"/>
      </w:r>
    </w:p>
    <w:p w:rsidR="00442D33" w:rsidRPr="00A1156D" w:rsidRDefault="00442D33" w:rsidP="00442D33">
      <w:pPr>
        <w:spacing w:before="240" w:after="120" w:line="360" w:lineRule="auto"/>
        <w:jc w:val="both"/>
        <w:rPr>
          <w:rStyle w:val="ind"/>
          <w:b/>
          <w:lang w:val="en-US"/>
        </w:rPr>
      </w:pPr>
      <w:proofErr w:type="gramStart"/>
      <w:r w:rsidRPr="00A1156D">
        <w:rPr>
          <w:rStyle w:val="ind"/>
          <w:b/>
        </w:rPr>
        <w:t>1.1</w:t>
      </w:r>
      <w:r>
        <w:rPr>
          <w:rStyle w:val="ind"/>
          <w:b/>
        </w:rPr>
        <w:t>.1</w:t>
      </w:r>
      <w:r w:rsidRPr="00A1156D">
        <w:rPr>
          <w:rStyle w:val="ind"/>
          <w:b/>
        </w:rPr>
        <w:t xml:space="preserve">  Elements</w:t>
      </w:r>
      <w:proofErr w:type="gramEnd"/>
      <w:r w:rsidRPr="00A1156D">
        <w:rPr>
          <w:rStyle w:val="ind"/>
          <w:b/>
        </w:rPr>
        <w:t xml:space="preserve"> in the Practice of Literal Interpretation</w:t>
      </w:r>
    </w:p>
    <w:p w:rsidR="00442D33" w:rsidRDefault="00442D33" w:rsidP="00442D33">
      <w:pPr>
        <w:spacing w:after="120" w:line="360" w:lineRule="auto"/>
        <w:jc w:val="both"/>
        <w:rPr>
          <w:rStyle w:val="ind"/>
        </w:rPr>
      </w:pPr>
      <w:r w:rsidRPr="00E04B5D">
        <w:t>Ramm suggests that three elements are involved in ‘the actual way in which literal interpretation is practiced’ – words, grammar and genre.</w:t>
      </w:r>
      <w:r w:rsidRPr="00E04B5D">
        <w:rPr>
          <w:rStyle w:val="EndnoteReference"/>
        </w:rPr>
        <w:endnoteReference w:id="241"/>
      </w:r>
      <w:r>
        <w:t xml:space="preserve">  Ryrie does actually agree with this precept, which modifies his assertion concerning literal interpretation which was quoted above.</w:t>
      </w:r>
      <w:r>
        <w:rPr>
          <w:rStyle w:val="EndnoteReference"/>
        </w:rPr>
        <w:endnoteReference w:id="242"/>
      </w:r>
      <w:r>
        <w:t xml:space="preserve"> </w:t>
      </w:r>
      <w:r>
        <w:rPr>
          <w:rStyle w:val="ind"/>
        </w:rPr>
        <w:t xml:space="preserve"> Ryrie allows that ‘most agree’ that the meaning of words must be ascertained through study of ‘etymology, use, history and resultant meaning’; that grammar, or interrelationship of words must be analysed, and that ‘context, immediate and remote, must be considered’.</w:t>
      </w:r>
      <w:r>
        <w:rPr>
          <w:rStyle w:val="EndnoteReference"/>
        </w:rPr>
        <w:endnoteReference w:id="243"/>
      </w:r>
      <w:r>
        <w:rPr>
          <w:rStyle w:val="ind"/>
        </w:rPr>
        <w:t xml:space="preserve">  </w:t>
      </w:r>
    </w:p>
    <w:p w:rsidR="00442D33" w:rsidRPr="006D27A4" w:rsidRDefault="00442D33" w:rsidP="00442D33">
      <w:pPr>
        <w:spacing w:after="120" w:line="360" w:lineRule="auto"/>
        <w:jc w:val="both"/>
        <w:rPr>
          <w:b/>
          <w:i/>
        </w:rPr>
      </w:pPr>
      <w:r>
        <w:rPr>
          <w:b/>
          <w:i/>
        </w:rPr>
        <w:lastRenderedPageBreak/>
        <w:t xml:space="preserve">a)  </w:t>
      </w:r>
      <w:r w:rsidRPr="009B02E8">
        <w:rPr>
          <w:b/>
          <w:i/>
        </w:rPr>
        <w:t>Words</w:t>
      </w:r>
      <w:r>
        <w:rPr>
          <w:b/>
          <w:i/>
        </w:rPr>
        <w:t xml:space="preserve"> </w:t>
      </w:r>
    </w:p>
    <w:p w:rsidR="00442D33" w:rsidRDefault="00442D33" w:rsidP="00442D33">
      <w:pPr>
        <w:spacing w:after="120" w:line="360" w:lineRule="auto"/>
        <w:jc w:val="both"/>
        <w:rPr>
          <w:rStyle w:val="ind"/>
          <w:lang w:val="en-US"/>
        </w:rPr>
      </w:pPr>
      <w:r>
        <w:t>Ramm describes words as ‘the units of thought in most of our thinking and writing … the bricks of our conceptual formulation’. A word may be studied etymologically (studying its root[s]), comparatively (comparing Greek or Hebrew uses of the word in Scripture), culturally (understanding that a biblical word may not be understood in the same way as when it was written) or in terms of cognates (for example, Arabic and Aramaic).</w:t>
      </w:r>
      <w:r>
        <w:rPr>
          <w:rStyle w:val="EndnoteReference"/>
        </w:rPr>
        <w:endnoteReference w:id="244"/>
      </w:r>
      <w:r>
        <w:t xml:space="preserve">  </w:t>
      </w:r>
      <w:r w:rsidRPr="001414DA">
        <w:t>Tan emphasises the</w:t>
      </w:r>
      <w:r>
        <w:t xml:space="preserve"> need for lexicography or the study of individual words, encompassing etymology, rare words, synonyms and shades of meaning, and including </w:t>
      </w:r>
      <w:r w:rsidRPr="00233767">
        <w:rPr>
          <w:i/>
        </w:rPr>
        <w:t>hapax legomenae</w:t>
      </w:r>
      <w:r>
        <w:t>.  He also notes the need to try to establish words’ contemporary meaning.</w:t>
      </w:r>
      <w:r>
        <w:rPr>
          <w:rStyle w:val="EndnoteReference"/>
        </w:rPr>
        <w:endnoteReference w:id="245"/>
      </w:r>
      <w:r>
        <w:t xml:space="preserve">  Feinberg points out that a word, even used within a close biblical context, may have different meanings.  He </w:t>
      </w:r>
      <w:r>
        <w:rPr>
          <w:rStyle w:val="ind"/>
          <w:lang w:val="en-US"/>
        </w:rPr>
        <w:t>gives the use of the word, ‘law’ in Rom. 2:14, and 20-23 as an example; he asserts that the first three uses in Rom. 2:14</w:t>
      </w:r>
      <w:r>
        <w:rPr>
          <w:rStyle w:val="FootnoteReference"/>
          <w:lang w:val="en-US"/>
        </w:rPr>
        <w:footnoteReference w:id="15"/>
      </w:r>
      <w:r>
        <w:rPr>
          <w:rStyle w:val="ind"/>
          <w:lang w:val="en-US"/>
        </w:rPr>
        <w:t xml:space="preserve">  concern the Mosaic law, whereas the fourth refers to ‘natural or inherent’ law.  The use of ‘law’ in the latter verses refers</w:t>
      </w:r>
      <w:r>
        <w:rPr>
          <w:rStyle w:val="FootnoteReference"/>
          <w:lang w:val="en-US"/>
        </w:rPr>
        <w:footnoteReference w:id="16"/>
      </w:r>
      <w:r>
        <w:rPr>
          <w:rStyle w:val="ind"/>
          <w:lang w:val="en-US"/>
        </w:rPr>
        <w:t xml:space="preserve"> ‘specifically to the Ten Commandments of the Mosaic system’.  Feinberg adds that ‘it would be most unwise, then, to demand that a word should always mean the same wherever found’.</w:t>
      </w:r>
      <w:r>
        <w:rPr>
          <w:rStyle w:val="EndnoteReference"/>
          <w:lang w:val="en-US"/>
        </w:rPr>
        <w:endnoteReference w:id="246"/>
      </w:r>
      <w:r>
        <w:rPr>
          <w:rStyle w:val="ind"/>
          <w:lang w:val="en-US"/>
        </w:rPr>
        <w:t xml:space="preserve">  This is pertinent in light of the dispensationalist claim, that ‘“Israel” always means “Israel” or “the nation state Israel”’ for example by Thomas Ice, </w:t>
      </w:r>
      <w:r>
        <w:t>‘</w:t>
      </w:r>
      <w:r w:rsidRPr="00490CFD">
        <w:rPr>
          <w:rFonts w:cs="Helvetica"/>
        </w:rPr>
        <w:t>Israel always and only refers to national</w:t>
      </w:r>
      <w:r>
        <w:rPr>
          <w:rFonts w:cs="Helvetica"/>
        </w:rPr>
        <w:t xml:space="preserve"> Israel</w:t>
      </w:r>
      <w:r w:rsidRPr="00490CFD">
        <w:t>’</w:t>
      </w:r>
      <w:r>
        <w:rPr>
          <w:rStyle w:val="EndnoteReference"/>
        </w:rPr>
        <w:endnoteReference w:id="247"/>
      </w:r>
      <w:r>
        <w:t xml:space="preserve"> </w:t>
      </w:r>
      <w:r w:rsidRPr="0003016C">
        <w:rPr>
          <w:rStyle w:val="FootnoteReference"/>
          <w:lang w:val="en-US"/>
        </w:rPr>
        <w:t xml:space="preserve"> </w:t>
      </w:r>
      <w:r>
        <w:rPr>
          <w:rStyle w:val="ind"/>
          <w:lang w:val="en-US"/>
        </w:rPr>
        <w:t xml:space="preserve">and Scofield, </w:t>
      </w:r>
      <w:r w:rsidRPr="00490CFD">
        <w:t>‘</w:t>
      </w:r>
      <w:r w:rsidRPr="00490CFD">
        <w:rPr>
          <w:lang w:val="en-US"/>
        </w:rPr>
        <w:t>Jerusalem is always Jerusalem, Israel always Israel, Zion always Zion.</w:t>
      </w:r>
      <w:r w:rsidRPr="00490CFD">
        <w:t>’</w:t>
      </w:r>
      <w:r>
        <w:rPr>
          <w:rStyle w:val="EndnoteReference"/>
        </w:rPr>
        <w:endnoteReference w:id="248"/>
      </w:r>
      <w:r>
        <w:t xml:space="preserve"> </w:t>
      </w:r>
      <w:r>
        <w:rPr>
          <w:rStyle w:val="ind"/>
          <w:lang w:val="en-US"/>
        </w:rPr>
        <w:t xml:space="preserve"> Williams refers to this concept as ‘the </w:t>
      </w:r>
      <w:r w:rsidRPr="002F1274">
        <w:t>principle of terminological absolutism</w:t>
      </w:r>
      <w:r>
        <w:t>’, in which ‘Israel and the Church are static terms’, Israel always indicating ‘the earthly progeny of Abraham, that is to say, the Jewish race’.</w:t>
      </w:r>
      <w:r>
        <w:rPr>
          <w:rStyle w:val="EndnoteReference"/>
        </w:rPr>
        <w:endnoteReference w:id="249"/>
      </w:r>
      <w:r>
        <w:t xml:space="preserve"> </w:t>
      </w:r>
      <w:r w:rsidRPr="002F1274">
        <w:t xml:space="preserve"> </w:t>
      </w:r>
      <w:r>
        <w:rPr>
          <w:rStyle w:val="ind"/>
          <w:lang w:val="en-US"/>
        </w:rPr>
        <w:t>The concept is refuted by Carly Crouch’s comment on Micah 3:</w:t>
      </w:r>
    </w:p>
    <w:p w:rsidR="00442D33" w:rsidRDefault="00442D33" w:rsidP="00442D33">
      <w:pPr>
        <w:tabs>
          <w:tab w:val="left" w:pos="9356"/>
        </w:tabs>
        <w:spacing w:after="120" w:line="240" w:lineRule="auto"/>
        <w:ind w:left="1134" w:right="1865"/>
        <w:jc w:val="both"/>
      </w:pPr>
      <w:r>
        <w:rPr>
          <w:rStyle w:val="ind"/>
          <w:lang w:val="en-US"/>
        </w:rPr>
        <w:t>The biblical “Israel” is an elusive and multivalent entity.  Depending on context … it may serve as an alternative name for the patriarch Jacob (in Genesis); as a collective name for the pre-settlement tribes (in Exodus to Judges); as the name of an ambitious political state ruled by David and Solomon (1 and 2 Samuel, and 1 Kings); as shorthand for the northern kingdom (1 and 2 Kings); or as the name of an idealized cultural or ethnic group, with variable political connotations depending on time and context.</w:t>
      </w:r>
      <w:r>
        <w:rPr>
          <w:rStyle w:val="EndnoteReference"/>
          <w:lang w:val="en-US"/>
        </w:rPr>
        <w:endnoteReference w:id="250"/>
      </w:r>
    </w:p>
    <w:p w:rsidR="00442D33" w:rsidRDefault="00442D33" w:rsidP="00442D33">
      <w:pPr>
        <w:spacing w:after="120" w:line="360" w:lineRule="auto"/>
        <w:jc w:val="both"/>
      </w:pPr>
      <w:r>
        <w:t>The modern state of Israel might well fall within the last definition suggested by Crouch.  In the light of this possibility, the dispensationalist assertion that ‘Israel’ always means ‘Israel’ may have serious political consequences.  Christian Zionists like John Hagee strongly associate biblical and modern uses of the name:</w:t>
      </w:r>
    </w:p>
    <w:p w:rsidR="00442D33" w:rsidRDefault="00442D33" w:rsidP="00442D33">
      <w:pPr>
        <w:tabs>
          <w:tab w:val="left" w:pos="8647"/>
        </w:tabs>
        <w:spacing w:after="120" w:line="240" w:lineRule="auto"/>
        <w:ind w:left="1134" w:right="1723"/>
        <w:jc w:val="both"/>
      </w:pPr>
      <w:r w:rsidRPr="00A1755C">
        <w:t xml:space="preserve">At the conclusion of Ezekiel 37, the nation of Israel had been physically reborn.  Today they have a flag; they have a constitution; they have a Prime Minister and a Knesset.  They have a police force, a powerful military might, and the world’s best intelligence agencies.  They have Jerusalem, the City of God.  They have a nation.  They have </w:t>
      </w:r>
      <w:r w:rsidRPr="00A1755C">
        <w:lastRenderedPageBreak/>
        <w:t>everything but spiritual life.  Like the dry bones of Ezekiel 37, Israel awaits the spiritual awakening of the breath of God and the coming of Messiah.</w:t>
      </w:r>
      <w:r>
        <w:rPr>
          <w:rStyle w:val="EndnoteReference"/>
        </w:rPr>
        <w:endnoteReference w:id="251"/>
      </w:r>
      <w:r>
        <w:t xml:space="preserve"> </w:t>
      </w:r>
    </w:p>
    <w:p w:rsidR="00442D33" w:rsidRDefault="00442D33" w:rsidP="00442D33">
      <w:pPr>
        <w:spacing w:after="120" w:line="360" w:lineRule="auto"/>
        <w:jc w:val="both"/>
        <w:rPr>
          <w:szCs w:val="24"/>
        </w:rPr>
      </w:pPr>
      <w:r>
        <w:rPr>
          <w:szCs w:val="24"/>
        </w:rPr>
        <w:t>This is a further illustration of the fundamental need for consideration of context when interpreting the biblical text.</w:t>
      </w:r>
    </w:p>
    <w:p w:rsidR="00442D33" w:rsidRDefault="00442D33" w:rsidP="00442D33">
      <w:pPr>
        <w:spacing w:after="120" w:line="360" w:lineRule="auto"/>
        <w:ind w:firstLine="567"/>
        <w:jc w:val="both"/>
        <w:rPr>
          <w:szCs w:val="24"/>
        </w:rPr>
      </w:pPr>
      <w:r>
        <w:rPr>
          <w:szCs w:val="24"/>
        </w:rPr>
        <w:t>Poythress analyses in detail the importance of setting single words within their contexts.  Starting with the word, ‘battle’ and gradually adding the words surrounding it, he illustrates the differences made by its verbal context in Isa. 27:2-4.</w:t>
      </w:r>
      <w:r>
        <w:rPr>
          <w:rStyle w:val="EndnoteReference"/>
          <w:szCs w:val="24"/>
        </w:rPr>
        <w:endnoteReference w:id="252"/>
      </w:r>
      <w:r>
        <w:rPr>
          <w:szCs w:val="24"/>
        </w:rPr>
        <w:t xml:space="preserve">  I have illustrated this in the table below, adding italics to each additional word or phrase.  </w:t>
      </w:r>
    </w:p>
    <w:p w:rsidR="00442D33" w:rsidRPr="00E60468" w:rsidRDefault="00442D33" w:rsidP="00442D33">
      <w:pPr>
        <w:spacing w:after="120" w:line="360" w:lineRule="auto"/>
        <w:jc w:val="both"/>
        <w:rPr>
          <w:b/>
          <w:szCs w:val="24"/>
        </w:rPr>
      </w:pPr>
      <w:r w:rsidRPr="00E60468">
        <w:rPr>
          <w:b/>
          <w:i/>
          <w:noProof/>
        </w:rPr>
        <w:t>Poythress' Cu</w:t>
      </w:r>
      <w:r w:rsidR="00E72D33">
        <w:rPr>
          <w:b/>
          <w:i/>
          <w:noProof/>
        </w:rPr>
        <w:t>mul</w:t>
      </w:r>
      <w:r w:rsidRPr="00E60468">
        <w:rPr>
          <w:b/>
          <w:i/>
          <w:noProof/>
        </w:rPr>
        <w:t>ative Analysis</w:t>
      </w:r>
    </w:p>
    <w:p w:rsidR="00442D33" w:rsidRDefault="00442D33" w:rsidP="00442D33">
      <w:pPr>
        <w:spacing w:after="120" w:line="360" w:lineRule="auto"/>
        <w:ind w:firstLine="567"/>
        <w:jc w:val="both"/>
        <w:rPr>
          <w:szCs w:val="24"/>
        </w:rPr>
      </w:pPr>
      <w:r>
        <w:rPr>
          <w:noProof/>
          <w:szCs w:val="24"/>
          <w:lang w:eastAsia="en-GB"/>
        </w:rPr>
        <w:drawing>
          <wp:inline distT="0" distB="0" distL="0" distR="0" wp14:anchorId="1AE1E28E" wp14:editId="66BD1283">
            <wp:extent cx="5504815" cy="4163060"/>
            <wp:effectExtent l="0" t="0" r="635"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ythress battle table revised 27.2.18 crop.jpg"/>
                    <pic:cNvPicPr/>
                  </pic:nvPicPr>
                  <pic:blipFill>
                    <a:blip r:embed="rId58">
                      <a:extLst>
                        <a:ext uri="{28A0092B-C50C-407E-A947-70E740481C1C}">
                          <a14:useLocalDpi xmlns:a14="http://schemas.microsoft.com/office/drawing/2010/main" val="0"/>
                        </a:ext>
                      </a:extLst>
                    </a:blip>
                    <a:stretch>
                      <a:fillRect/>
                    </a:stretch>
                  </pic:blipFill>
                  <pic:spPr>
                    <a:xfrm>
                      <a:off x="0" y="0"/>
                      <a:ext cx="5504815" cy="4163060"/>
                    </a:xfrm>
                    <a:prstGeom prst="rect">
                      <a:avLst/>
                    </a:prstGeom>
                  </pic:spPr>
                </pic:pic>
              </a:graphicData>
            </a:graphic>
          </wp:inline>
        </w:drawing>
      </w:r>
    </w:p>
    <w:p w:rsidR="00442D33" w:rsidRDefault="00442D33" w:rsidP="00442D33">
      <w:pPr>
        <w:spacing w:after="120" w:line="360" w:lineRule="auto"/>
        <w:jc w:val="both"/>
        <w:rPr>
          <w:szCs w:val="24"/>
        </w:rPr>
      </w:pPr>
      <w:r>
        <w:rPr>
          <w:szCs w:val="24"/>
        </w:rPr>
        <w:t xml:space="preserve">Poythress suggests that, within the total context of Isaiah, there is an allusion in Isa. 27:2-4 to Eden, which is used ‘to evoke the comprehensive peace that Israel will experience in the future’.  He concludes that it is possible to say that ‘the literal meaning of a word is the meaning that native speakers are most likely to think of when they are asked about the word in isolation’, the ‘first-thought’ meaning.  It would, however, be ‘artificial or even absurd’ to give each individual word its first-thought meaning.  However, even if the surrounding words are included, it is still possible to produce what Poythress calls a ‘flat interpretation’, which is ‘literal </w:t>
      </w:r>
      <w:r w:rsidRPr="00BF6ABD">
        <w:rPr>
          <w:i/>
          <w:szCs w:val="24"/>
        </w:rPr>
        <w:t>if possible</w:t>
      </w:r>
      <w:r>
        <w:rPr>
          <w:szCs w:val="24"/>
        </w:rPr>
        <w:t xml:space="preserve">’ while ignoring ‘the possibility of poetic overtones, irony, wordplay, or the possibly figurative or allusive character of whole sections’; the interpretation might then be ‘a prediction </w:t>
      </w:r>
      <w:r>
        <w:rPr>
          <w:szCs w:val="24"/>
        </w:rPr>
        <w:lastRenderedPageBreak/>
        <w:t>that the Lord will construct … a perfect vineyard’.  A third method of interpretation is ‘grammatical-historical’, that is, a method where the reader ‘reads passages as organic wholes and tries to understand … each passage … against the background of the original human author and original situation’.</w:t>
      </w:r>
      <w:r>
        <w:rPr>
          <w:rStyle w:val="EndnoteReference"/>
          <w:szCs w:val="24"/>
        </w:rPr>
        <w:endnoteReference w:id="253"/>
      </w:r>
      <w:r>
        <w:rPr>
          <w:szCs w:val="24"/>
        </w:rPr>
        <w:t xml:space="preserve">  This method is discussed below.</w:t>
      </w:r>
      <w:r>
        <w:rPr>
          <w:rStyle w:val="EndnoteReference"/>
          <w:szCs w:val="24"/>
        </w:rPr>
        <w:endnoteReference w:id="254"/>
      </w:r>
    </w:p>
    <w:p w:rsidR="00442D33" w:rsidRPr="009B02E8" w:rsidRDefault="00442D33" w:rsidP="00442D33">
      <w:pPr>
        <w:spacing w:after="120" w:line="360" w:lineRule="auto"/>
        <w:jc w:val="both"/>
        <w:rPr>
          <w:b/>
          <w:i/>
        </w:rPr>
      </w:pPr>
      <w:r>
        <w:rPr>
          <w:b/>
          <w:i/>
        </w:rPr>
        <w:t xml:space="preserve">b)  </w:t>
      </w:r>
      <w:r w:rsidRPr="009B02E8">
        <w:rPr>
          <w:b/>
          <w:i/>
        </w:rPr>
        <w:t>Grammar</w:t>
      </w:r>
    </w:p>
    <w:p w:rsidR="00442D33" w:rsidRDefault="00442D33" w:rsidP="00442D33">
      <w:pPr>
        <w:spacing w:after="120" w:line="360" w:lineRule="auto"/>
        <w:jc w:val="both"/>
      </w:pPr>
      <w:r>
        <w:t>Ramm introduces his second element of literal interpretation by stating, ‘If words are the units of a language then the sentence is the unit of thought.’  Languages are constructed in different ways; they may be analytic, where word order matters, or agglutinative/synthetic where meaning is derived ‘partially from word-order but more by word-endings or case-endings’.</w:t>
      </w:r>
      <w:r>
        <w:rPr>
          <w:rStyle w:val="EndnoteReference"/>
        </w:rPr>
        <w:endnoteReference w:id="255"/>
      </w:r>
      <w:r>
        <w:t xml:space="preserve">  This would appear to refute as too simplistic Ryrie’s claim that ‘the literal meaning of words is the normal approach to their understanding in all languages’.</w:t>
      </w:r>
      <w:r>
        <w:rPr>
          <w:rStyle w:val="EndnoteReference"/>
        </w:rPr>
        <w:endnoteReference w:id="256"/>
      </w:r>
      <w:r>
        <w:t xml:space="preserve">  Ramm also asserts that ‘</w:t>
      </w:r>
      <w:proofErr w:type="gramStart"/>
      <w:r>
        <w:t>a knowledge</w:t>
      </w:r>
      <w:proofErr w:type="gramEnd"/>
      <w:r>
        <w:t xml:space="preserve"> of syntax is essential’; the structure of the sentence must be considered, ‘even if working only in translation’.  Idiom, figures of speech and specialised terms of rhetoric should also be taken into account. Whether a text appears in the Old or New Testament is influential, as is the biblical book in which it appears.  Its context is also affected by the preceding and following books.</w:t>
      </w:r>
      <w:r>
        <w:rPr>
          <w:rStyle w:val="EndnoteReference"/>
        </w:rPr>
        <w:endnoteReference w:id="257"/>
      </w:r>
      <w:r>
        <w:t xml:space="preserve">   </w:t>
      </w:r>
    </w:p>
    <w:p w:rsidR="00442D33" w:rsidRDefault="00442D33" w:rsidP="00442D33">
      <w:pPr>
        <w:spacing w:after="120" w:line="360" w:lineRule="auto"/>
        <w:ind w:firstLine="567"/>
        <w:jc w:val="both"/>
      </w:pPr>
      <w:r>
        <w:t>Feinberg, Tan and Bock, all dispensationalists, agree with many of Ramm’s stipulations.  Feinberg states that ‘there is no more basic rule than that ‘the meaning of a passage must be determined by a study of the words and the relationship sustained in the sentence’.  The construction and form of the sentence and the idioms of the language must be considered.</w:t>
      </w:r>
      <w:r>
        <w:rPr>
          <w:rStyle w:val="EndnoteReference"/>
        </w:rPr>
        <w:endnoteReference w:id="258"/>
      </w:r>
      <w:r>
        <w:t xml:space="preserve">  Tan stresses the importance of the positions of words and clauses in sentences, together with the ‘significance of conjunctions, adverbs and prepositions’, and the use of tense, voice and mood of verbs and cases of nouns.</w:t>
      </w:r>
      <w:r>
        <w:rPr>
          <w:rStyle w:val="EndnoteReference"/>
        </w:rPr>
        <w:endnoteReference w:id="259"/>
      </w:r>
      <w:r>
        <w:t xml:space="preserve">  Bock emphasises the study interrelationship of terms within sentences and paragraphs in a passage and of its historical setting and genre.  He suggests that it is best ‘to take the meaning most appropriate to the context’ and warns against ‘reading too much into a term’, remembering ‘the provisional character to all interpretation’, no matter how careful the interpreter.</w:t>
      </w:r>
      <w:r>
        <w:rPr>
          <w:rStyle w:val="EndnoteReference"/>
        </w:rPr>
        <w:endnoteReference w:id="260"/>
      </w:r>
      <w:r>
        <w:t xml:space="preserve">  As seen below,</w:t>
      </w:r>
      <w:r>
        <w:rPr>
          <w:rStyle w:val="EndnoteReference"/>
        </w:rPr>
        <w:endnoteReference w:id="261"/>
      </w:r>
      <w:r>
        <w:t xml:space="preserve"> Bock, as a progressive dispensationalist, has a more fluid approach to biblical interpretation, which is criticised by some more conservative dispensationalists.</w:t>
      </w:r>
    </w:p>
    <w:p w:rsidR="00442D33" w:rsidRPr="0066737C" w:rsidRDefault="00442D33" w:rsidP="00442D33">
      <w:pPr>
        <w:spacing w:after="120" w:line="360" w:lineRule="auto"/>
        <w:jc w:val="both"/>
        <w:rPr>
          <w:b/>
          <w:i/>
        </w:rPr>
      </w:pPr>
      <w:r>
        <w:rPr>
          <w:b/>
          <w:i/>
        </w:rPr>
        <w:t xml:space="preserve">c)  </w:t>
      </w:r>
      <w:r w:rsidRPr="0066737C">
        <w:rPr>
          <w:b/>
          <w:i/>
        </w:rPr>
        <w:t>Genre</w:t>
      </w:r>
    </w:p>
    <w:p w:rsidR="00442D33" w:rsidRDefault="00442D33" w:rsidP="00442D33">
      <w:pPr>
        <w:spacing w:after="120" w:line="360" w:lineRule="auto"/>
        <w:jc w:val="both"/>
      </w:pPr>
      <w:r>
        <w:t xml:space="preserve">Ramm’s third element in the practice of literal interpretation is awareness of the genre of a passage.  This might well be included in the category of context.  </w:t>
      </w:r>
      <w:r w:rsidRPr="00865602">
        <w:t>Ramm states that genres include figures of speech, especially metaphors, similes and hyperboles, together with ‘larger forms’ such as ‘parables, allegories, fables, myths and riddles’.</w:t>
      </w:r>
      <w:r>
        <w:rPr>
          <w:rStyle w:val="EndnoteReference"/>
        </w:rPr>
        <w:endnoteReference w:id="262"/>
      </w:r>
      <w:r w:rsidRPr="00865602">
        <w:t xml:space="preserve">  He avers that each biblical book belongs to a broad literary genre – historical, dramatic epic, apocalyptic or poetry.  Genre ‘sets the mood or stance from which all the rest of the book is seen.’</w:t>
      </w:r>
      <w:r>
        <w:rPr>
          <w:rStyle w:val="EndnoteReference"/>
        </w:rPr>
        <w:endnoteReference w:id="263"/>
      </w:r>
      <w:r>
        <w:t xml:space="preserve">  Ramm remarks that ‘disagreements about literary genre and … degrees of literalism’ within ‘mainline Reformation scholarship – Anglican, Reformed, Lutheran’ must not be ignored but the tradition </w:t>
      </w:r>
      <w:r>
        <w:lastRenderedPageBreak/>
        <w:t>‘is not in principle forced to a grinding literalism in its Biblical interpretation’.  ‘It recognizes that no book can be intelligently … interpreted without first noting its literary genre.’</w:t>
      </w:r>
      <w:r>
        <w:rPr>
          <w:rStyle w:val="EndnoteReference"/>
        </w:rPr>
        <w:endnoteReference w:id="264"/>
      </w:r>
      <w:r>
        <w:t xml:space="preserve">  </w:t>
      </w:r>
    </w:p>
    <w:p w:rsidR="00442D33" w:rsidRDefault="00442D33" w:rsidP="00442D33">
      <w:pPr>
        <w:spacing w:after="120" w:line="360" w:lineRule="auto"/>
        <w:ind w:firstLine="567"/>
        <w:jc w:val="both"/>
      </w:pPr>
      <w:r>
        <w:t>Ramm cites Song of Songs as a particular example of ‘divergent opinions’, dubbing it ‘the most controversial book in the Scriptures’.  Some see it as an allegory ‘representing some sort of relationship between God and man;</w:t>
      </w:r>
      <w:r>
        <w:rPr>
          <w:rStyle w:val="EndnoteReference"/>
        </w:rPr>
        <w:endnoteReference w:id="265"/>
      </w:r>
      <w:r>
        <w:t xml:space="preserve"> others ‘take it literally as a theological justification and interpretation of human sexuality’.</w:t>
      </w:r>
      <w:r>
        <w:rPr>
          <w:rStyle w:val="EndnoteReference"/>
        </w:rPr>
        <w:endnoteReference w:id="266"/>
      </w:r>
      <w:r>
        <w:t xml:space="preserve">  It is interesting that Scofield, as a dispensationalist, gives two interpretations, both of which are in fact allegorical.  Song of Songs is ‘primarily the expression of pure marital love as ordained of God in creation … The secondary and larger interpretation is of Christ, the Son and His heavenly bride, the Church.’</w:t>
      </w:r>
      <w:r>
        <w:rPr>
          <w:rStyle w:val="EndnoteReference"/>
        </w:rPr>
        <w:endnoteReference w:id="267"/>
      </w:r>
      <w:r>
        <w:t xml:space="preserve"> </w:t>
      </w:r>
    </w:p>
    <w:p w:rsidR="00442D33" w:rsidRDefault="00442D33" w:rsidP="00442D33">
      <w:pPr>
        <w:spacing w:after="120" w:line="360" w:lineRule="auto"/>
        <w:ind w:firstLine="567"/>
        <w:jc w:val="both"/>
        <w:rPr>
          <w:rStyle w:val="ind"/>
        </w:rPr>
      </w:pPr>
      <w:r>
        <w:rPr>
          <w:rStyle w:val="ind"/>
        </w:rPr>
        <w:t>Bock describes six biblical genres</w:t>
      </w:r>
      <w:r w:rsidRPr="00342825">
        <w:rPr>
          <w:rStyle w:val="ind"/>
          <w:i/>
        </w:rPr>
        <w:t xml:space="preserve">.  </w:t>
      </w:r>
      <w:r w:rsidRPr="00342825">
        <w:rPr>
          <w:rStyle w:val="ind"/>
        </w:rPr>
        <w:t>The theological</w:t>
      </w:r>
      <w:r>
        <w:rPr>
          <w:rStyle w:val="ind"/>
          <w:color w:val="7030A0"/>
        </w:rPr>
        <w:t xml:space="preserve"> </w:t>
      </w:r>
      <w:r w:rsidRPr="00342825">
        <w:rPr>
          <w:rStyle w:val="ind"/>
        </w:rPr>
        <w:t>narrative</w:t>
      </w:r>
      <w:r>
        <w:rPr>
          <w:rStyle w:val="ind"/>
        </w:rPr>
        <w:t>, found in the historical books from Genesis to Esther and from Matthew to Acts, discusses events involving God’s interaction with humanity and often focuses on human hopes regarding divine promises.  ‘A theological narrative is more than a collection of past events and facts.  It is the story of people’s lives expressed in terms of hope and disappointment.’  Miracle accounts, parables and discourse material form subgenres.</w:t>
      </w:r>
      <w:r>
        <w:rPr>
          <w:rStyle w:val="EndnoteReference"/>
        </w:rPr>
        <w:endnoteReference w:id="268"/>
      </w:r>
      <w:r>
        <w:rPr>
          <w:rStyle w:val="ind"/>
        </w:rPr>
        <w:t xml:space="preserve">  Bock regards ‘the poetical books and some portions of the prophets’ as ‘theological song … a story from the heart’, with which ‘all God’s people could … identify’.</w:t>
      </w:r>
      <w:r>
        <w:rPr>
          <w:rStyle w:val="EndnoteReference"/>
        </w:rPr>
        <w:endnoteReference w:id="269"/>
      </w:r>
      <w:r>
        <w:rPr>
          <w:rStyle w:val="ind"/>
        </w:rPr>
        <w:t xml:space="preserve">  It is interesting that Bock includes parts of the prophets amongst poetic material though he does not give any detail.  Regarding wisdom literature, Bock states that texts like Proverbs, Ecclesiastes and James consist of ‘short sayings of generalized approaches to life … They are often not designed to be understood as true in every particular moment since some proverbs are internally in tension, [for instance]  Proverbs 26:4-5.’</w:t>
      </w:r>
      <w:r>
        <w:rPr>
          <w:rStyle w:val="EndnoteReference"/>
        </w:rPr>
        <w:endnoteReference w:id="270"/>
      </w:r>
      <w:r>
        <w:rPr>
          <w:rStyle w:val="ind"/>
        </w:rPr>
        <w:t xml:space="preserve">  These two verses contradict each other.</w:t>
      </w:r>
      <w:r>
        <w:rPr>
          <w:rStyle w:val="EndnoteReference"/>
        </w:rPr>
        <w:endnoteReference w:id="271"/>
      </w:r>
      <w:r>
        <w:rPr>
          <w:rStyle w:val="ind"/>
        </w:rPr>
        <w:t xml:space="preserve">  Another genre is ‘epistolary literature’, which provides explanations or teaching discourse.  Here Bock deems it important ‘to stay within the usage of the given human author … before considering how other authors use a term’, for example the use of ‘righteousness’ in Paul’s letters and in Matthew.</w:t>
      </w:r>
      <w:r>
        <w:rPr>
          <w:rStyle w:val="EndnoteReference"/>
        </w:rPr>
        <w:endnoteReference w:id="272"/>
      </w:r>
      <w:r>
        <w:rPr>
          <w:rStyle w:val="ind"/>
        </w:rPr>
        <w:t xml:space="preserve">  </w:t>
      </w:r>
    </w:p>
    <w:p w:rsidR="00442D33" w:rsidRDefault="00442D33" w:rsidP="00442D33">
      <w:pPr>
        <w:spacing w:after="120" w:line="360" w:lineRule="auto"/>
        <w:ind w:firstLine="567"/>
        <w:jc w:val="both"/>
        <w:rPr>
          <w:rStyle w:val="ind"/>
        </w:rPr>
      </w:pPr>
      <w:r>
        <w:rPr>
          <w:rStyle w:val="ind"/>
        </w:rPr>
        <w:t>Bock’s interpretation of the prophets and of apocalyptic literature is significantly different from what might be termed ‘normative’ dispensationalism.  Tan owns that ‘the message of the prophet may be either forth-telling or foretelling.  But when the prophet is said to prophesy, foretelling rather than forthtelling is meant.  Prophecy must technically be thought of in terms of the prognosticative, not the didactic.’</w:t>
      </w:r>
      <w:r>
        <w:rPr>
          <w:rStyle w:val="EndnoteReference"/>
        </w:rPr>
        <w:endnoteReference w:id="273"/>
      </w:r>
      <w:r>
        <w:rPr>
          <w:rStyle w:val="ind"/>
        </w:rPr>
        <w:t xml:space="preserve">  This is very similar to Scofield’s interpretation of prophecy.</w:t>
      </w:r>
      <w:r>
        <w:rPr>
          <w:rStyle w:val="EndnoteReference"/>
        </w:rPr>
        <w:endnoteReference w:id="274"/>
      </w:r>
      <w:r>
        <w:rPr>
          <w:rStyle w:val="ind"/>
        </w:rPr>
        <w:t xml:space="preserve">  However, for Bock, ‘the Old Testament prophets and prophetic sections of other books are not primarily prediction though there is some.  Rather they are </w:t>
      </w:r>
      <w:r w:rsidRPr="00CD02A9">
        <w:rPr>
          <w:rStyle w:val="ind"/>
          <w:i/>
        </w:rPr>
        <w:t>story of confrontation and fresh perspective</w:t>
      </w:r>
      <w:r>
        <w:rPr>
          <w:rStyle w:val="ind"/>
        </w:rPr>
        <w:t xml:space="preserve"> … designed to subvert spiritual complacency and declare accountability to God, while affirming the presence, promise, and judgment of God.’  This includes the reminder that ‘God is in </w:t>
      </w:r>
      <w:proofErr w:type="gramStart"/>
      <w:r>
        <w:rPr>
          <w:rStyle w:val="ind"/>
        </w:rPr>
        <w:t>control, that</w:t>
      </w:r>
      <w:proofErr w:type="gramEnd"/>
      <w:r>
        <w:rPr>
          <w:rStyle w:val="ind"/>
        </w:rPr>
        <w:t xml:space="preserve"> judgment will come to the unrighteous, and that God holds all accountable for how they live and treat others.  In this genre, rebuke and exhortation dominate.’</w:t>
      </w:r>
      <w:r>
        <w:rPr>
          <w:rStyle w:val="EndnoteReference"/>
        </w:rPr>
        <w:endnoteReference w:id="275"/>
      </w:r>
      <w:r>
        <w:rPr>
          <w:rStyle w:val="ind"/>
        </w:rPr>
        <w:t xml:space="preserve">  This interpretation of prophecy is a far cry from that of, for example, Chafer,</w:t>
      </w:r>
      <w:r>
        <w:rPr>
          <w:rStyle w:val="EndnoteReference"/>
        </w:rPr>
        <w:endnoteReference w:id="276"/>
      </w:r>
      <w:r>
        <w:rPr>
          <w:rStyle w:val="ind"/>
        </w:rPr>
        <w:t xml:space="preserve"> Ryrie</w:t>
      </w:r>
      <w:r>
        <w:rPr>
          <w:rStyle w:val="EndnoteReference"/>
        </w:rPr>
        <w:endnoteReference w:id="277"/>
      </w:r>
      <w:r>
        <w:rPr>
          <w:rStyle w:val="ind"/>
        </w:rPr>
        <w:t xml:space="preserve"> and Feinberg,</w:t>
      </w:r>
      <w:r>
        <w:rPr>
          <w:rStyle w:val="EndnoteReference"/>
        </w:rPr>
        <w:endnoteReference w:id="278"/>
      </w:r>
      <w:r>
        <w:rPr>
          <w:rStyle w:val="ind"/>
        </w:rPr>
        <w:t xml:space="preserve"> who concentrate on the predictive elements of prophecy and its fulfilment, as does Scofield.</w:t>
      </w:r>
      <w:r>
        <w:rPr>
          <w:rStyle w:val="EndnoteReference"/>
        </w:rPr>
        <w:endnoteReference w:id="279"/>
      </w:r>
      <w:r>
        <w:rPr>
          <w:rStyle w:val="ind"/>
        </w:rPr>
        <w:t xml:space="preserve">  Conversely, </w:t>
      </w:r>
      <w:r>
        <w:rPr>
          <w:rStyle w:val="ind"/>
        </w:rPr>
        <w:lastRenderedPageBreak/>
        <w:t>Tan does admit that ‘it is necessary to determine whether a passage is predictive or if it deals with moral, ethical, or theological truth’.</w:t>
      </w:r>
      <w:r>
        <w:rPr>
          <w:rStyle w:val="EndnoteReference"/>
        </w:rPr>
        <w:endnoteReference w:id="280"/>
      </w:r>
      <w:r>
        <w:rPr>
          <w:rStyle w:val="ind"/>
        </w:rPr>
        <w:t xml:space="preserve">  </w:t>
      </w:r>
    </w:p>
    <w:p w:rsidR="00442D33" w:rsidRDefault="00442D33" w:rsidP="00442D33">
      <w:pPr>
        <w:spacing w:after="120" w:line="360" w:lineRule="auto"/>
        <w:ind w:firstLine="567"/>
        <w:jc w:val="both"/>
        <w:rPr>
          <w:rStyle w:val="ind"/>
        </w:rPr>
      </w:pPr>
      <w:r>
        <w:rPr>
          <w:rStyle w:val="ind"/>
        </w:rPr>
        <w:t>Bock states that apocalyptic literature concerns ‘the basic conflict between God and the world’ but also offers comfort because it indicates that ‘one day God will restore righteousness and order to the earth’.  He regards the apocalyptic genre in Daniel, Revelation and ‘portions of Zechariah, Isaiah [and] Jesus’ eschatological discourses’ as ‘heavily symbolic’.  However, ‘there is a reality present in the imagery, even though that imagery may seem strange’.</w:t>
      </w:r>
      <w:r>
        <w:rPr>
          <w:rStyle w:val="EndnoteReference"/>
        </w:rPr>
        <w:endnoteReference w:id="281"/>
      </w:r>
      <w:r>
        <w:rPr>
          <w:rStyle w:val="ind"/>
        </w:rPr>
        <w:t xml:space="preserve">  The interpretation of apocalyptic imagery is the subject of much debate.  Literal interpretation may be set up in opposition to ‘figurative quality’ but there is disagreement even as to what ‘literal interpretation’ means in this context.  ‘Imagery can legitimately represent reality in various degrees of detail and by various means’; Bock poses the rhetorical question as to whether it is ‘more literal’ to focus on how images might look to us and explain what the writer meant in different images (such as changing images of locusts in Rev. 9:3 into a modern nuclear conflagration) or to focus on how things appeared to the prophet and took written form in the text.  Some apocalyptic imagery ‘seems to operate at a basic general level without filling in all the details’ and implies ‘a representative approach’.</w:t>
      </w:r>
      <w:r>
        <w:rPr>
          <w:rStyle w:val="EndnoteReference"/>
        </w:rPr>
        <w:endnoteReference w:id="282"/>
      </w:r>
      <w:r>
        <w:rPr>
          <w:rStyle w:val="ind"/>
        </w:rPr>
        <w:t xml:space="preserve">  Conversely, other apocalyptic images have a ‘specific, even Israelite feel’, for example the 144,000.</w:t>
      </w:r>
      <w:r>
        <w:rPr>
          <w:rStyle w:val="EndnoteReference"/>
        </w:rPr>
        <w:endnoteReference w:id="283"/>
      </w:r>
      <w:r>
        <w:rPr>
          <w:rStyle w:val="ind"/>
        </w:rPr>
        <w:t xml:space="preserve">  Some promises have not yet been realised and look forward to fulfilment.  Some details indicate realities in the writer’s world; these may be related to Old Testament images by being given explicit details in their new context.</w:t>
      </w:r>
      <w:r>
        <w:rPr>
          <w:rStyle w:val="EndnoteReference"/>
        </w:rPr>
        <w:endnoteReference w:id="284"/>
      </w:r>
      <w:r>
        <w:rPr>
          <w:rStyle w:val="ind"/>
        </w:rPr>
        <w:t xml:space="preserve">  </w:t>
      </w:r>
      <w:proofErr w:type="gramStart"/>
      <w:r>
        <w:rPr>
          <w:rStyle w:val="ind"/>
        </w:rPr>
        <w:t>The blend of symbolic and descriptive imagery and the use of ‘fresh referents’ in some contexts makes Revelation hard to interpret, ‘though it clearly refers ultimately to future reality’.</w:t>
      </w:r>
      <w:proofErr w:type="gramEnd"/>
      <w:r>
        <w:rPr>
          <w:rStyle w:val="EndnoteReference"/>
        </w:rPr>
        <w:endnoteReference w:id="285"/>
      </w:r>
      <w:r>
        <w:rPr>
          <w:rStyle w:val="ind"/>
        </w:rPr>
        <w:t xml:space="preserve">  Bock’s fluid and questioning attitude towards the apocalyptic in relation to prophecy is a contrast to the more rigid approach of traditional dispensationalism as will be seen below.</w:t>
      </w:r>
    </w:p>
    <w:p w:rsidR="00442D33" w:rsidRPr="00B55129" w:rsidRDefault="00442D33" w:rsidP="00442D33">
      <w:pPr>
        <w:spacing w:after="120" w:line="360" w:lineRule="auto"/>
        <w:jc w:val="both"/>
        <w:rPr>
          <w:rStyle w:val="ind"/>
          <w:b/>
        </w:rPr>
      </w:pPr>
      <w:proofErr w:type="gramStart"/>
      <w:r w:rsidRPr="00B55129">
        <w:rPr>
          <w:rStyle w:val="ind"/>
          <w:b/>
        </w:rPr>
        <w:t>1.1.2  Context</w:t>
      </w:r>
      <w:proofErr w:type="gramEnd"/>
    </w:p>
    <w:p w:rsidR="00442D33" w:rsidRDefault="00442D33" w:rsidP="00442D33">
      <w:pPr>
        <w:spacing w:before="240" w:after="120" w:line="360" w:lineRule="auto"/>
        <w:jc w:val="both"/>
        <w:rPr>
          <w:rStyle w:val="ind"/>
        </w:rPr>
      </w:pPr>
      <w:r w:rsidRPr="00C24926">
        <w:rPr>
          <w:rStyle w:val="ind"/>
        </w:rPr>
        <w:t>Context is extremely important</w:t>
      </w:r>
      <w:r>
        <w:rPr>
          <w:rStyle w:val="ind"/>
        </w:rPr>
        <w:t xml:space="preserve"> in interpreting a biblical passage</w:t>
      </w:r>
      <w:r w:rsidRPr="00C24926">
        <w:rPr>
          <w:rStyle w:val="ind"/>
        </w:rPr>
        <w:t>.  Poythress comments unfavourably on Ryrie’s use of ‘normal’ or ‘plain’ as synonyms for ‘literal’.</w:t>
      </w:r>
      <w:r>
        <w:rPr>
          <w:rStyle w:val="EndnoteReference"/>
        </w:rPr>
        <w:endnoteReference w:id="286"/>
      </w:r>
      <w:r w:rsidRPr="00C24926">
        <w:rPr>
          <w:rStyle w:val="ind"/>
        </w:rPr>
        <w:t xml:space="preserve">  He asserts that ‘our sense of normality’ depends upon ‘our sense of context, including a whole world view’. Moreover, twentieth century readers, when asked for a “plain” meaning, tend to give the meaning of a sentence or paragraph in their own twentieth century context, according to their own tacit knowledge.  ‘The grammatical-historical meaning is not … plain to us because we have to work hard to try to reconstruct and appreciate the differences between then and now.’  Poythress asserts that </w:t>
      </w:r>
      <w:r>
        <w:rPr>
          <w:rStyle w:val="ind"/>
        </w:rPr>
        <w:t>‘</w:t>
      </w:r>
      <w:r w:rsidRPr="00C24926">
        <w:rPr>
          <w:rStyle w:val="ind"/>
        </w:rPr>
        <w:t>plain interpretation reads everything as if it were written directly to oneself in one’s own time and culture’, whereas ‘grammatical-historical interpretation reads everything as if it were written in the time and culture of the original author’.</w:t>
      </w:r>
      <w:r>
        <w:rPr>
          <w:rStyle w:val="EndnoteReference"/>
        </w:rPr>
        <w:endnoteReference w:id="287"/>
      </w:r>
      <w:r w:rsidRPr="00C24926">
        <w:rPr>
          <w:rStyle w:val="ind"/>
        </w:rPr>
        <w:t xml:space="preserve">  Dispensationalist writers agree that consideration of context is vital to interpretation.  Feinberg remarks that a word is often ‘modified or limited by the connection in which it appears’, necessitating a study of context.  Feinberg summarises this by saying that ‘any text taken from its context is but a pretext’.  The broad context of the </w:t>
      </w:r>
      <w:r w:rsidRPr="00C24926">
        <w:rPr>
          <w:rStyle w:val="ind"/>
        </w:rPr>
        <w:lastRenderedPageBreak/>
        <w:t>text within the whole biblical book must also be explored.</w:t>
      </w:r>
      <w:r>
        <w:rPr>
          <w:rStyle w:val="EndnoteReference"/>
        </w:rPr>
        <w:endnoteReference w:id="288"/>
      </w:r>
      <w:r w:rsidRPr="00C24926">
        <w:rPr>
          <w:rStyle w:val="ind"/>
        </w:rPr>
        <w:t xml:space="preserve">  Bock urges that historical, grammatical, literary and theological contexts be considered.</w:t>
      </w:r>
      <w:r>
        <w:rPr>
          <w:rStyle w:val="EndnoteReference"/>
        </w:rPr>
        <w:endnoteReference w:id="289"/>
      </w:r>
    </w:p>
    <w:p w:rsidR="00442D33" w:rsidRPr="00FD710E" w:rsidRDefault="00442D33" w:rsidP="00442D33">
      <w:pPr>
        <w:spacing w:after="120" w:line="360" w:lineRule="auto"/>
        <w:jc w:val="both"/>
        <w:rPr>
          <w:rStyle w:val="ind"/>
          <w:b/>
          <w:i/>
        </w:rPr>
      </w:pPr>
      <w:r w:rsidRPr="00FD710E">
        <w:rPr>
          <w:rStyle w:val="ind"/>
          <w:b/>
          <w:i/>
        </w:rPr>
        <w:t>Grammatical-Historical Interpretation and Literary-Theological Interpretation</w:t>
      </w:r>
    </w:p>
    <w:p w:rsidR="00442D33" w:rsidRDefault="00442D33" w:rsidP="00442D33">
      <w:pPr>
        <w:spacing w:after="120" w:line="360" w:lineRule="auto"/>
        <w:jc w:val="both"/>
        <w:rPr>
          <w:rStyle w:val="ind"/>
        </w:rPr>
      </w:pPr>
      <w:r w:rsidRPr="00C00A96">
        <w:rPr>
          <w:rStyle w:val="ind"/>
        </w:rPr>
        <w:t>In his original volume,</w:t>
      </w:r>
      <w:r w:rsidRPr="00C00A96">
        <w:rPr>
          <w:rStyle w:val="ind"/>
          <w:i/>
        </w:rPr>
        <w:t xml:space="preserve"> Dispensationalism Today</w:t>
      </w:r>
      <w:r w:rsidRPr="00C00A96">
        <w:rPr>
          <w:rStyle w:val="ind"/>
        </w:rPr>
        <w:t>,</w:t>
      </w:r>
      <w:r>
        <w:rPr>
          <w:rStyle w:val="ind"/>
          <w:i/>
        </w:rPr>
        <w:t xml:space="preserve"> </w:t>
      </w:r>
      <w:r>
        <w:rPr>
          <w:rStyle w:val="ind"/>
        </w:rPr>
        <w:t xml:space="preserve">(1965) Ryrie stated that his second </w:t>
      </w:r>
      <w:r w:rsidRPr="00B96398">
        <w:rPr>
          <w:rStyle w:val="ind"/>
          <w:i/>
        </w:rPr>
        <w:t>sine qua non</w:t>
      </w:r>
      <w:r>
        <w:rPr>
          <w:rStyle w:val="ind"/>
        </w:rPr>
        <w:t xml:space="preserve"> was ‘the matter of plain hermeneutics’.</w:t>
      </w:r>
      <w:r>
        <w:rPr>
          <w:rStyle w:val="EndnoteReference"/>
        </w:rPr>
        <w:endnoteReference w:id="290"/>
      </w:r>
      <w:r>
        <w:rPr>
          <w:rStyle w:val="ind"/>
        </w:rPr>
        <w:t xml:space="preserve">  This is modified in </w:t>
      </w:r>
      <w:r w:rsidRPr="00DE0475">
        <w:rPr>
          <w:rStyle w:val="ind"/>
          <w:i/>
        </w:rPr>
        <w:t>Dispensationalism</w:t>
      </w:r>
      <w:r>
        <w:rPr>
          <w:rStyle w:val="ind"/>
        </w:rPr>
        <w:t xml:space="preserve">, (2007); the second </w:t>
      </w:r>
      <w:r w:rsidRPr="00604A5B">
        <w:rPr>
          <w:rStyle w:val="ind"/>
          <w:i/>
        </w:rPr>
        <w:t>sine qua non</w:t>
      </w:r>
      <w:r>
        <w:rPr>
          <w:rStyle w:val="ind"/>
        </w:rPr>
        <w:t xml:space="preserve"> becomes ‘the matter of historical-grammatical hermeneutics’.</w:t>
      </w:r>
      <w:r>
        <w:rPr>
          <w:rStyle w:val="EndnoteReference"/>
        </w:rPr>
        <w:endnoteReference w:id="291"/>
      </w:r>
      <w:r>
        <w:rPr>
          <w:rStyle w:val="ind"/>
        </w:rPr>
        <w:t xml:space="preserve">  This change is significant because it possibly reflects Ryrie’s awareness of </w:t>
      </w:r>
      <w:r w:rsidRPr="008E449F">
        <w:rPr>
          <w:rStyle w:val="ind"/>
        </w:rPr>
        <w:t>criticism of the classical dispensational standpoint by non</w:t>
      </w:r>
      <w:r w:rsidR="0000185F">
        <w:rPr>
          <w:rStyle w:val="ind"/>
        </w:rPr>
        <w:t>-</w:t>
      </w:r>
      <w:r w:rsidRPr="008E449F">
        <w:rPr>
          <w:rStyle w:val="ind"/>
        </w:rPr>
        <w:t>dispensation</w:t>
      </w:r>
      <w:r w:rsidR="0000185F">
        <w:rPr>
          <w:rStyle w:val="ind"/>
        </w:rPr>
        <w:t>al</w:t>
      </w:r>
      <w:r w:rsidRPr="008E449F">
        <w:rPr>
          <w:rStyle w:val="ind"/>
        </w:rPr>
        <w:t>ists and even by progressive dispensationalists</w:t>
      </w:r>
      <w:r>
        <w:rPr>
          <w:rStyle w:val="ind"/>
        </w:rPr>
        <w:t xml:space="preserve">.  </w:t>
      </w:r>
    </w:p>
    <w:p w:rsidR="00442D33" w:rsidRDefault="00442D33" w:rsidP="00442D33">
      <w:pPr>
        <w:spacing w:after="120" w:line="360" w:lineRule="auto"/>
        <w:ind w:firstLine="567"/>
        <w:jc w:val="both"/>
        <w:rPr>
          <w:rStyle w:val="ind"/>
        </w:rPr>
      </w:pPr>
      <w:r>
        <w:rPr>
          <w:rStyle w:val="ind"/>
        </w:rPr>
        <w:t>Ramm’s statement above</w:t>
      </w:r>
      <w:r>
        <w:rPr>
          <w:rStyle w:val="EndnoteReference"/>
        </w:rPr>
        <w:endnoteReference w:id="292"/>
      </w:r>
      <w:r>
        <w:rPr>
          <w:rStyle w:val="ind"/>
        </w:rPr>
        <w:t xml:space="preserve"> regarding the need for bridging the gap between ancient and modern minds actually advocates historical-grammatical interpretation.  This method emphasises the need to place both the original writing of a text and the reader of it into their respective contexts.  For example, William Tolar states, </w:t>
      </w:r>
    </w:p>
    <w:p w:rsidR="00442D33" w:rsidRDefault="00442D33" w:rsidP="00442D33">
      <w:pPr>
        <w:tabs>
          <w:tab w:val="left" w:pos="9639"/>
        </w:tabs>
        <w:spacing w:after="120" w:line="240" w:lineRule="auto"/>
        <w:ind w:left="1134" w:right="1865"/>
        <w:jc w:val="both"/>
        <w:rPr>
          <w:rStyle w:val="ind"/>
        </w:rPr>
      </w:pPr>
      <w:r>
        <w:rPr>
          <w:rStyle w:val="ind"/>
        </w:rPr>
        <w:t xml:space="preserve">No element of interpretation is more important to an accurate understanding of the Bible than is the grammatical-historical method.  It is the </w:t>
      </w:r>
      <w:r w:rsidRPr="000A1137">
        <w:rPr>
          <w:rStyle w:val="ind"/>
          <w:i/>
        </w:rPr>
        <w:t>sine qua non</w:t>
      </w:r>
      <w:r>
        <w:rPr>
          <w:rStyle w:val="ind"/>
        </w:rPr>
        <w:t xml:space="preserve"> for a valid understanding of God’s Word.  Without an honest, careful, intelligent use of grammatical and historical knowledge, this is little or no hope for a correct interpretation of documents written in foreign languages within several different historical contexts.</w:t>
      </w:r>
      <w:r>
        <w:rPr>
          <w:rStyle w:val="EndnoteReference"/>
        </w:rPr>
        <w:endnoteReference w:id="293"/>
      </w:r>
      <w:r>
        <w:rPr>
          <w:rStyle w:val="ind"/>
        </w:rPr>
        <w:t xml:space="preserve">  </w:t>
      </w:r>
    </w:p>
    <w:p w:rsidR="00442D33" w:rsidRDefault="00442D33" w:rsidP="00442D33">
      <w:pPr>
        <w:spacing w:after="120" w:line="360" w:lineRule="auto"/>
        <w:ind w:right="95"/>
        <w:jc w:val="both"/>
        <w:rPr>
          <w:rFonts w:eastAsia="Perpetua" w:cs="Perpetua"/>
          <w:spacing w:val="-1"/>
        </w:rPr>
      </w:pPr>
      <w:r>
        <w:rPr>
          <w:rStyle w:val="ind"/>
        </w:rPr>
        <w:t>Poythress remarks that ‘grammatical-historical interpretation deals with what a passage says against the background of its original time and culture, bearing in mind the purposes of the human author’.</w:t>
      </w:r>
      <w:r>
        <w:rPr>
          <w:rStyle w:val="EndnoteReference"/>
        </w:rPr>
        <w:endnoteReference w:id="294"/>
      </w:r>
      <w:r>
        <w:rPr>
          <w:rStyle w:val="ind"/>
        </w:rPr>
        <w:t xml:space="preserve">  However, Ryrie seems simply to be coining the phrase, making ‘grammatical-historical’ synonymous with ‘normal’; literal interpretation may be called ‘grammatical-historical’ or ‘normal’ ‘since the literal meaning of words is the normal approach to their understanding in all languages’.  However, if Ryrie’s approach was truly grammatical-historical, it would take into account the questions of </w:t>
      </w:r>
      <w:r>
        <w:rPr>
          <w:rFonts w:eastAsia="Perpetua" w:cs="Perpetua"/>
        </w:rPr>
        <w:t>who</w:t>
      </w:r>
      <w:r>
        <w:rPr>
          <w:rFonts w:eastAsia="Perpetua" w:cs="Perpetua"/>
          <w:spacing w:val="37"/>
        </w:rPr>
        <w:t xml:space="preserve"> </w:t>
      </w:r>
      <w:r>
        <w:rPr>
          <w:rFonts w:eastAsia="Perpetua" w:cs="Perpetua"/>
        </w:rPr>
        <w:t>determines</w:t>
      </w:r>
      <w:r>
        <w:rPr>
          <w:rFonts w:eastAsia="Perpetua" w:cs="Perpetua"/>
          <w:spacing w:val="36"/>
        </w:rPr>
        <w:t xml:space="preserve"> </w:t>
      </w:r>
      <w:r>
        <w:rPr>
          <w:rFonts w:eastAsia="Perpetua" w:cs="Perpetua"/>
        </w:rPr>
        <w:t>‘normal</w:t>
      </w:r>
      <w:r>
        <w:rPr>
          <w:rFonts w:eastAsia="Perpetua" w:cs="Perpetua"/>
          <w:spacing w:val="35"/>
        </w:rPr>
        <w:t xml:space="preserve"> </w:t>
      </w:r>
      <w:r>
        <w:rPr>
          <w:rFonts w:eastAsia="Perpetua" w:cs="Perpetua"/>
        </w:rPr>
        <w:t>usage’,</w:t>
      </w:r>
      <w:r>
        <w:rPr>
          <w:rFonts w:eastAsia="Perpetua" w:cs="Perpetua"/>
          <w:spacing w:val="38"/>
        </w:rPr>
        <w:t xml:space="preserve"> </w:t>
      </w:r>
      <w:r>
        <w:rPr>
          <w:rFonts w:eastAsia="Perpetua" w:cs="Perpetua"/>
          <w:spacing w:val="-1"/>
        </w:rPr>
        <w:t>the</w:t>
      </w:r>
      <w:r>
        <w:rPr>
          <w:rFonts w:eastAsia="Perpetua" w:cs="Perpetua"/>
          <w:spacing w:val="36"/>
        </w:rPr>
        <w:t xml:space="preserve"> </w:t>
      </w:r>
      <w:r>
        <w:rPr>
          <w:rFonts w:eastAsia="Perpetua" w:cs="Perpetua"/>
        </w:rPr>
        <w:t>changes</w:t>
      </w:r>
      <w:r>
        <w:rPr>
          <w:rFonts w:eastAsia="Perpetua" w:cs="Perpetua"/>
          <w:spacing w:val="35"/>
        </w:rPr>
        <w:t xml:space="preserve"> </w:t>
      </w:r>
      <w:r>
        <w:rPr>
          <w:rFonts w:eastAsia="Perpetua" w:cs="Perpetua"/>
        </w:rPr>
        <w:t>in</w:t>
      </w:r>
      <w:r>
        <w:rPr>
          <w:rFonts w:eastAsia="Perpetua" w:cs="Perpetua"/>
          <w:spacing w:val="37"/>
        </w:rPr>
        <w:t xml:space="preserve"> </w:t>
      </w:r>
      <w:r>
        <w:rPr>
          <w:rFonts w:eastAsia="Perpetua" w:cs="Perpetua"/>
        </w:rPr>
        <w:t>meaning</w:t>
      </w:r>
      <w:r>
        <w:rPr>
          <w:rFonts w:eastAsia="Perpetua" w:cs="Perpetua"/>
          <w:spacing w:val="36"/>
        </w:rPr>
        <w:t xml:space="preserve"> </w:t>
      </w:r>
      <w:r>
        <w:rPr>
          <w:rFonts w:eastAsia="Perpetua" w:cs="Perpetua"/>
        </w:rPr>
        <w:t>of</w:t>
      </w:r>
      <w:r>
        <w:rPr>
          <w:rFonts w:eastAsia="Perpetua" w:cs="Perpetua"/>
          <w:spacing w:val="36"/>
        </w:rPr>
        <w:t xml:space="preserve"> </w:t>
      </w:r>
      <w:r>
        <w:rPr>
          <w:rFonts w:eastAsia="Perpetua" w:cs="Perpetua"/>
        </w:rPr>
        <w:t>words</w:t>
      </w:r>
      <w:r>
        <w:rPr>
          <w:rFonts w:eastAsia="Perpetua" w:cs="Perpetua"/>
          <w:spacing w:val="37"/>
        </w:rPr>
        <w:t xml:space="preserve"> </w:t>
      </w:r>
      <w:r>
        <w:rPr>
          <w:rFonts w:eastAsia="Perpetua" w:cs="Perpetua"/>
        </w:rPr>
        <w:t>over</w:t>
      </w:r>
      <w:r>
        <w:rPr>
          <w:rFonts w:eastAsia="Perpetua" w:cs="Perpetua"/>
          <w:spacing w:val="37"/>
        </w:rPr>
        <w:t xml:space="preserve"> </w:t>
      </w:r>
      <w:r>
        <w:rPr>
          <w:rFonts w:eastAsia="Perpetua" w:cs="Perpetua"/>
        </w:rPr>
        <w:t>time</w:t>
      </w:r>
      <w:r>
        <w:rPr>
          <w:rFonts w:eastAsia="Perpetua" w:cs="Perpetua"/>
          <w:spacing w:val="36"/>
        </w:rPr>
        <w:t xml:space="preserve"> </w:t>
      </w:r>
      <w:r>
        <w:rPr>
          <w:rFonts w:eastAsia="Perpetua" w:cs="Perpetua"/>
        </w:rPr>
        <w:t>and</w:t>
      </w:r>
      <w:r>
        <w:rPr>
          <w:rFonts w:eastAsia="Perpetua" w:cs="Perpetua"/>
          <w:spacing w:val="37"/>
        </w:rPr>
        <w:t xml:space="preserve"> </w:t>
      </w:r>
      <w:r>
        <w:rPr>
          <w:rFonts w:eastAsia="Perpetua" w:cs="Perpetua"/>
        </w:rPr>
        <w:t>in</w:t>
      </w:r>
      <w:r>
        <w:rPr>
          <w:rFonts w:eastAsia="Perpetua" w:cs="Perpetua"/>
          <w:spacing w:val="25"/>
          <w:w w:val="99"/>
        </w:rPr>
        <w:t xml:space="preserve"> </w:t>
      </w:r>
      <w:r>
        <w:rPr>
          <w:rFonts w:eastAsia="Perpetua" w:cs="Perpetua"/>
        </w:rPr>
        <w:t>different</w:t>
      </w:r>
      <w:r>
        <w:rPr>
          <w:rFonts w:eastAsia="Perpetua" w:cs="Perpetua"/>
          <w:spacing w:val="-1"/>
        </w:rPr>
        <w:t xml:space="preserve"> </w:t>
      </w:r>
      <w:r>
        <w:rPr>
          <w:rFonts w:eastAsia="Perpetua" w:cs="Perpetua"/>
        </w:rPr>
        <w:t>contexts</w:t>
      </w:r>
      <w:r>
        <w:rPr>
          <w:rFonts w:eastAsia="Perpetua" w:cs="Perpetua"/>
          <w:spacing w:val="-2"/>
        </w:rPr>
        <w:t xml:space="preserve"> </w:t>
      </w:r>
      <w:r>
        <w:rPr>
          <w:rFonts w:eastAsia="Perpetua" w:cs="Perpetua"/>
          <w:spacing w:val="-1"/>
        </w:rPr>
        <w:t>and</w:t>
      </w:r>
      <w:r>
        <w:rPr>
          <w:rFonts w:eastAsia="Perpetua" w:cs="Perpetua"/>
        </w:rPr>
        <w:t xml:space="preserve"> cultures,</w:t>
      </w:r>
      <w:r>
        <w:rPr>
          <w:rFonts w:eastAsia="Perpetua" w:cs="Perpetua"/>
          <w:spacing w:val="-2"/>
        </w:rPr>
        <w:t xml:space="preserve"> </w:t>
      </w:r>
      <w:r>
        <w:rPr>
          <w:rFonts w:eastAsia="Perpetua" w:cs="Perpetua"/>
        </w:rPr>
        <w:t>the influence</w:t>
      </w:r>
      <w:r>
        <w:rPr>
          <w:rFonts w:eastAsia="Perpetua" w:cs="Perpetua"/>
          <w:spacing w:val="-1"/>
        </w:rPr>
        <w:t xml:space="preserve"> </w:t>
      </w:r>
      <w:r>
        <w:rPr>
          <w:rFonts w:eastAsia="Perpetua" w:cs="Perpetua"/>
        </w:rPr>
        <w:t>of</w:t>
      </w:r>
      <w:r>
        <w:rPr>
          <w:rFonts w:eastAsia="Perpetua" w:cs="Perpetua"/>
          <w:spacing w:val="-1"/>
        </w:rPr>
        <w:t xml:space="preserve"> </w:t>
      </w:r>
      <w:r>
        <w:rPr>
          <w:rFonts w:eastAsia="Perpetua" w:cs="Perpetua"/>
        </w:rPr>
        <w:t>translation and,</w:t>
      </w:r>
      <w:r>
        <w:rPr>
          <w:rFonts w:eastAsia="Perpetua" w:cs="Perpetua"/>
          <w:spacing w:val="-1"/>
        </w:rPr>
        <w:t xml:space="preserve"> </w:t>
      </w:r>
      <w:r>
        <w:rPr>
          <w:rFonts w:eastAsia="Perpetua" w:cs="Perpetua"/>
        </w:rPr>
        <w:t>above all,</w:t>
      </w:r>
      <w:r>
        <w:rPr>
          <w:rFonts w:eastAsia="Perpetua" w:cs="Perpetua"/>
          <w:spacing w:val="-1"/>
        </w:rPr>
        <w:t xml:space="preserve"> </w:t>
      </w:r>
      <w:r>
        <w:rPr>
          <w:rFonts w:eastAsia="Perpetua" w:cs="Perpetua"/>
        </w:rPr>
        <w:t>the</w:t>
      </w:r>
      <w:r>
        <w:rPr>
          <w:rFonts w:eastAsia="Perpetua" w:cs="Perpetua"/>
          <w:spacing w:val="-1"/>
        </w:rPr>
        <w:t xml:space="preserve"> </w:t>
      </w:r>
      <w:r>
        <w:rPr>
          <w:rFonts w:eastAsia="Perpetua" w:cs="Perpetua"/>
        </w:rPr>
        <w:t>impossibility of</w:t>
      </w:r>
      <w:r>
        <w:rPr>
          <w:rFonts w:eastAsia="Perpetua" w:cs="Perpetua"/>
          <w:spacing w:val="-1"/>
        </w:rPr>
        <w:t xml:space="preserve"> achieving</w:t>
      </w:r>
      <w:r>
        <w:rPr>
          <w:rFonts w:eastAsia="Perpetua" w:cs="Perpetua"/>
        </w:rPr>
        <w:t xml:space="preserve"> an</w:t>
      </w:r>
      <w:r>
        <w:rPr>
          <w:rFonts w:eastAsia="Perpetua" w:cs="Perpetua"/>
          <w:spacing w:val="24"/>
          <w:w w:val="99"/>
        </w:rPr>
        <w:t xml:space="preserve"> </w:t>
      </w:r>
      <w:r>
        <w:rPr>
          <w:rFonts w:eastAsia="Perpetua" w:cs="Perpetua"/>
          <w:spacing w:val="-1"/>
        </w:rPr>
        <w:t>objective</w:t>
      </w:r>
      <w:r>
        <w:rPr>
          <w:rFonts w:eastAsia="Perpetua" w:cs="Perpetua"/>
          <w:spacing w:val="8"/>
        </w:rPr>
        <w:t xml:space="preserve"> </w:t>
      </w:r>
      <w:r>
        <w:rPr>
          <w:rFonts w:eastAsia="Perpetua" w:cs="Perpetua"/>
          <w:spacing w:val="-1"/>
        </w:rPr>
        <w:t xml:space="preserve">interpretation.  </w:t>
      </w:r>
    </w:p>
    <w:p w:rsidR="00442D33" w:rsidRDefault="00442D33" w:rsidP="00442D33">
      <w:pPr>
        <w:spacing w:after="120" w:line="360" w:lineRule="auto"/>
        <w:ind w:firstLine="567"/>
        <w:jc w:val="both"/>
        <w:rPr>
          <w:rFonts w:eastAsia="Perpetua" w:cs="Perpetua"/>
          <w:spacing w:val="-1"/>
        </w:rPr>
      </w:pPr>
      <w:r w:rsidRPr="00306C19">
        <w:rPr>
          <w:rFonts w:eastAsia="Perpetua" w:cs="Perpetua"/>
          <w:spacing w:val="-1"/>
        </w:rPr>
        <w:t xml:space="preserve">Tan </w:t>
      </w:r>
      <w:r>
        <w:rPr>
          <w:rFonts w:eastAsia="Perpetua" w:cs="Perpetua"/>
          <w:spacing w:val="-1"/>
        </w:rPr>
        <w:t>claims the title ‘grammatical-historical interpretation’ as being synonymous with ‘literal interpretation’.  He argues that ‘to interpret is to explain the original sense of a speaker or writer’; interpreting any text literally, including the biblical text, means explaining this original sense ‘according to the normal, customary, and proper usages of its words and language’.  To achieve this, ‘it is necessary to consider the accepted rules of grammar and rhetoric, as well as the factual history and cultural data of Bible times’.  Tan concludes from this that ‘the literal method of interpretation is also called the Grammatico-Historical Method’. He also holds that ‘literal interpreters believe that Scriptural revelation is given to be understood by men’, meaning that ‘one must assume that the speaker or writer is using words normally and without multiple meanings’.</w:t>
      </w:r>
      <w:r>
        <w:rPr>
          <w:rStyle w:val="EndnoteReference"/>
          <w:rFonts w:eastAsia="Perpetua" w:cs="Perpetua"/>
          <w:spacing w:val="-1"/>
        </w:rPr>
        <w:endnoteReference w:id="295"/>
      </w:r>
      <w:r>
        <w:rPr>
          <w:rFonts w:eastAsia="Perpetua" w:cs="Perpetua"/>
          <w:spacing w:val="-1"/>
        </w:rPr>
        <w:t xml:space="preserve">  Tan’s analysis raises several questions.  Firstly it must be remembered that a word in the original language may be translated in different ways, for example the Hebrew </w:t>
      </w:r>
      <w:r w:rsidRPr="00A47C18">
        <w:rPr>
          <w:rFonts w:ascii="Bwhebb" w:hAnsi="Bwhebb" w:cs="SBL Hebrew"/>
          <w:sz w:val="28"/>
          <w:szCs w:val="28"/>
          <w:rtl/>
          <w:lang w:val="en-US" w:bidi="he-IL"/>
        </w:rPr>
        <w:t>אֶרֶץ</w:t>
      </w:r>
      <w:r>
        <w:rPr>
          <w:rFonts w:eastAsia="Perpetua" w:cs="Perpetua"/>
          <w:spacing w:val="-1"/>
        </w:rPr>
        <w:t xml:space="preserve"> may be </w:t>
      </w:r>
      <w:r>
        <w:rPr>
          <w:rFonts w:eastAsia="Perpetua" w:cs="Perpetua"/>
          <w:spacing w:val="-1"/>
        </w:rPr>
        <w:lastRenderedPageBreak/>
        <w:t>translated as ‘earth’ or ‘land’ thus it cannot be assumed that a single meaning was intended by the original author.  Secondly, how does Tan define ‘Bible times’?  If a Mosaic date is accepted for the Pentateuch, a period more than three thousand years separates the writing of the earliest and latest biblical books.  It cannot be assumed that the entire Bible is governed by the same ‘normal, customary, and proper usages of its words and language’ especially in translation.  Tan in fact answers these questions later in his book, noting the vast time-span of composition and the need to allow for different customs, habits, linguistic expressions and scenes.  He also avers that Scripture contains many ‘doctrinal teachings and spiritual truths which are ageless’.</w:t>
      </w:r>
      <w:r w:rsidRPr="002C772B">
        <w:rPr>
          <w:rStyle w:val="FootnoteReference"/>
          <w:rFonts w:eastAsia="Perpetua" w:cs="Perpetua"/>
          <w:spacing w:val="-1"/>
        </w:rPr>
        <w:t xml:space="preserve"> </w:t>
      </w:r>
      <w:r>
        <w:rPr>
          <w:rStyle w:val="EndnoteReference"/>
          <w:rFonts w:eastAsia="Perpetua" w:cs="Perpetua"/>
          <w:spacing w:val="-1"/>
        </w:rPr>
        <w:endnoteReference w:id="296"/>
      </w:r>
      <w:r>
        <w:rPr>
          <w:rFonts w:eastAsia="Perpetua" w:cs="Perpetua"/>
          <w:spacing w:val="-1"/>
        </w:rPr>
        <w:t xml:space="preserve">  A third question regarding his original statement is to ask how can ‘the original sense’ of the biblical text be determined, when thousands of years separate its human writers from its </w:t>
      </w:r>
      <w:proofErr w:type="gramStart"/>
      <w:r>
        <w:rPr>
          <w:rFonts w:eastAsia="Perpetua" w:cs="Perpetua"/>
          <w:spacing w:val="-1"/>
        </w:rPr>
        <w:t>readers?</w:t>
      </w:r>
      <w:proofErr w:type="gramEnd"/>
      <w:r>
        <w:rPr>
          <w:rFonts w:eastAsia="Perpetua" w:cs="Perpetua"/>
          <w:spacing w:val="-1"/>
        </w:rPr>
        <w:t xml:space="preserve">  Fourthly, the assumption that words in the Bible were not intended to bear multiple meanings eliminates the use of puns and plays on words which are abundant, for instance in Hebrew poetry and biblical names.  </w:t>
      </w:r>
    </w:p>
    <w:p w:rsidR="00442D33" w:rsidRDefault="00442D33" w:rsidP="00442D33">
      <w:pPr>
        <w:spacing w:after="120" w:line="360" w:lineRule="auto"/>
        <w:ind w:firstLine="567"/>
        <w:jc w:val="both"/>
        <w:rPr>
          <w:rStyle w:val="ind"/>
        </w:rPr>
      </w:pPr>
      <w:r>
        <w:rPr>
          <w:rStyle w:val="ind"/>
        </w:rPr>
        <w:t xml:space="preserve">Ramm states that ‘the historical and grammatical principle is inseparable from the literal principle.  The interpreter must attend to </w:t>
      </w:r>
      <w:r w:rsidRPr="00A8438B">
        <w:rPr>
          <w:rStyle w:val="ind"/>
          <w:i/>
        </w:rPr>
        <w:t>grammar</w:t>
      </w:r>
      <w:r>
        <w:rPr>
          <w:rStyle w:val="ind"/>
        </w:rPr>
        <w:t xml:space="preserve">; to the </w:t>
      </w:r>
      <w:r w:rsidRPr="00A8438B">
        <w:rPr>
          <w:rStyle w:val="ind"/>
          <w:i/>
        </w:rPr>
        <w:t>times</w:t>
      </w:r>
      <w:r>
        <w:rPr>
          <w:rStyle w:val="ind"/>
        </w:rPr>
        <w:t xml:space="preserve">, </w:t>
      </w:r>
      <w:r w:rsidRPr="00A8438B">
        <w:rPr>
          <w:rStyle w:val="ind"/>
          <w:i/>
        </w:rPr>
        <w:t>circumstances</w:t>
      </w:r>
      <w:r>
        <w:rPr>
          <w:rStyle w:val="ind"/>
        </w:rPr>
        <w:t xml:space="preserve">, and </w:t>
      </w:r>
      <w:r w:rsidRPr="00A8438B">
        <w:rPr>
          <w:rStyle w:val="ind"/>
          <w:i/>
        </w:rPr>
        <w:t>conditions</w:t>
      </w:r>
      <w:r>
        <w:rPr>
          <w:rStyle w:val="ind"/>
        </w:rPr>
        <w:t xml:space="preserve"> of the writer of the Biblical book; and to the </w:t>
      </w:r>
      <w:r w:rsidRPr="00A8438B">
        <w:rPr>
          <w:rStyle w:val="ind"/>
          <w:i/>
        </w:rPr>
        <w:t>context</w:t>
      </w:r>
      <w:r>
        <w:rPr>
          <w:rStyle w:val="ind"/>
        </w:rPr>
        <w:t xml:space="preserve"> of the passage.’</w:t>
      </w:r>
      <w:r>
        <w:rPr>
          <w:rStyle w:val="EndnoteReference"/>
        </w:rPr>
        <w:endnoteReference w:id="297"/>
      </w:r>
      <w:r>
        <w:rPr>
          <w:rStyle w:val="ind"/>
        </w:rPr>
        <w:t xml:space="preserve">  Thiselton regards the biblical context as extremely important and also stresses the seriousness of ‘situatedness or how a person approaches things’; this ‘makes an enormous difference to how they understand’.  This mirrors Bock’s emphasis upon the role of readers’ presuppositions and preunderstandings in the grammatical-historical method.  Bock defines a presupposition as ‘an element in one’s thinking’ which is non-negotiable except ‘under extreme duress’; conversely, ‘preunderstandings are beliefs or perceptions that are fluid in that they are open to adjustment, refinement, or development by further interaction and reflection’.  Bock describes the combination of ‘our limitations of knowledge and understanding’ and ‘grid for understanding’ as ‘a prism through which we interpret reality and through which we read texts’.</w:t>
      </w:r>
      <w:r>
        <w:rPr>
          <w:rStyle w:val="EndnoteReference"/>
        </w:rPr>
        <w:endnoteReference w:id="298"/>
      </w:r>
      <w:r>
        <w:rPr>
          <w:rStyle w:val="ind"/>
        </w:rPr>
        <w:t xml:space="preserve">  He emphasises ‘the mediation of authorship’, that is ‘the communication of the divine will through human authors’, and ‘the mediation of the message’, that is observing that the speaker of the message is not always the same person as the author of the text.  Texts may also have several human authors, for example ‘the sons of Korah’ to whom several Psalms are attributed.  God’s activity in history is also mediated through human authors.</w:t>
      </w:r>
      <w:r>
        <w:rPr>
          <w:rStyle w:val="EndnoteReference"/>
        </w:rPr>
        <w:endnoteReference w:id="299"/>
      </w:r>
    </w:p>
    <w:p w:rsidR="00442D33" w:rsidRPr="008A71D1" w:rsidRDefault="00442D33" w:rsidP="00442D33">
      <w:pPr>
        <w:spacing w:after="120" w:line="360" w:lineRule="auto"/>
        <w:ind w:firstLine="567"/>
        <w:jc w:val="both"/>
        <w:rPr>
          <w:rStyle w:val="ind"/>
        </w:rPr>
      </w:pPr>
      <w:r>
        <w:rPr>
          <w:rStyle w:val="ind"/>
        </w:rPr>
        <w:t>Bock adds the need for ‘literary-theological’ interpretation to that for grammatical-historical.  He states that interpreters should be sensitive to four levels of context – historical, grammatical, literary and theological.  Interaction between these contexts results in different ways to read text and how to relate different passages to each other.</w:t>
      </w:r>
      <w:r>
        <w:rPr>
          <w:rStyle w:val="EndnoteReference"/>
        </w:rPr>
        <w:endnoteReference w:id="300"/>
      </w:r>
      <w:r>
        <w:rPr>
          <w:rStyle w:val="ind"/>
        </w:rPr>
        <w:t xml:space="preserve">  Bock’s comments about the literary and theological categories are found above under ‘Genre’. </w:t>
      </w:r>
    </w:p>
    <w:p w:rsidR="00442D33" w:rsidRPr="00B96398" w:rsidRDefault="00442D33" w:rsidP="00442D33">
      <w:pPr>
        <w:spacing w:after="120" w:line="360" w:lineRule="auto"/>
        <w:jc w:val="both"/>
        <w:rPr>
          <w:rStyle w:val="ind"/>
          <w:b/>
          <w:i/>
        </w:rPr>
      </w:pPr>
      <w:proofErr w:type="gramStart"/>
      <w:r w:rsidRPr="008E449F">
        <w:rPr>
          <w:rStyle w:val="ind"/>
          <w:b/>
        </w:rPr>
        <w:t>1.1.3</w:t>
      </w:r>
      <w:r>
        <w:rPr>
          <w:rStyle w:val="ind"/>
          <w:b/>
          <w:i/>
        </w:rPr>
        <w:t xml:space="preserve">  </w:t>
      </w:r>
      <w:r w:rsidRPr="008E449F">
        <w:rPr>
          <w:rStyle w:val="ind"/>
          <w:b/>
        </w:rPr>
        <w:t>Progressive</w:t>
      </w:r>
      <w:proofErr w:type="gramEnd"/>
      <w:r w:rsidRPr="008E449F">
        <w:rPr>
          <w:rStyle w:val="ind"/>
          <w:b/>
        </w:rPr>
        <w:t xml:space="preserve"> Dispensationalism: Complementary Hermeneutics: A Challenge to “Normative Dispensationalism”</w:t>
      </w:r>
    </w:p>
    <w:p w:rsidR="00442D33" w:rsidRDefault="00442D33" w:rsidP="00442D33">
      <w:pPr>
        <w:spacing w:after="120" w:line="360" w:lineRule="auto"/>
        <w:jc w:val="both"/>
        <w:rPr>
          <w:rStyle w:val="ind"/>
        </w:rPr>
      </w:pPr>
      <w:r w:rsidRPr="000A0A37">
        <w:rPr>
          <w:rStyle w:val="ind"/>
        </w:rPr>
        <w:t xml:space="preserve">Bock’s </w:t>
      </w:r>
      <w:r>
        <w:rPr>
          <w:rStyle w:val="ind"/>
        </w:rPr>
        <w:t xml:space="preserve">contribution to the argument, outlined above, is indicative of changes in perceptions of literal interpretation, particularly amongst progressive dispensationalists.  Bock states that ‘a biblical text can be </w:t>
      </w:r>
      <w:r>
        <w:rPr>
          <w:rStyle w:val="ind"/>
        </w:rPr>
        <w:lastRenderedPageBreak/>
        <w:t>read at a variety of levels’ or ‘two complementary ways’, looking at the event itself and/or reading it in light of following events.  The reading is ‘not at the expense of the original reading but is a complementary one’.  Bock avers that ‘the concept of a multilayered reading should not be surprising’ since ‘this is done constantly in reading Christological or kingdom truths in the Old Testament.  Subsequent revelation can always expand upon previous revelation.’  Later texts ‘add detail to the concept without replacing concepts already presented, unless a cancellation is explicitly noted’.  Themes develop as revelation progresses.  Bock states that this may be called ‘a complementary hermeneutic, an approach that functions naturally as a result of the progress of revelation within a historical-grammatical-literary reading of the text’.</w:t>
      </w:r>
      <w:r>
        <w:rPr>
          <w:rStyle w:val="EndnoteReference"/>
        </w:rPr>
        <w:endnoteReference w:id="301"/>
      </w:r>
      <w:r>
        <w:rPr>
          <w:rStyle w:val="ind"/>
        </w:rPr>
        <w:t xml:space="preserve">  Blaising states that ‘the actual practice of historical-grammatical exegesis by dispensational scholars … is proving [the] fixed-interpretation view of dispensationalism inadequate.  … </w:t>
      </w:r>
      <w:proofErr w:type="gramStart"/>
      <w:r>
        <w:rPr>
          <w:rStyle w:val="ind"/>
        </w:rPr>
        <w:t>hermeneutical</w:t>
      </w:r>
      <w:proofErr w:type="gramEnd"/>
      <w:r>
        <w:rPr>
          <w:rStyle w:val="ind"/>
        </w:rPr>
        <w:t xml:space="preserve"> developments are inevitable, including distinctions of various levels of hermeneutical certainty and the exploration and testing of multiple hermeneutical options.’</w:t>
      </w:r>
      <w:r>
        <w:rPr>
          <w:rStyle w:val="EndnoteReference"/>
        </w:rPr>
        <w:endnoteReference w:id="302"/>
      </w:r>
      <w:r>
        <w:rPr>
          <w:rStyle w:val="ind"/>
        </w:rPr>
        <w:t xml:space="preserve"> </w:t>
      </w:r>
    </w:p>
    <w:p w:rsidR="00442D33" w:rsidRDefault="00442D33" w:rsidP="00442D33">
      <w:pPr>
        <w:spacing w:after="120" w:line="360" w:lineRule="auto"/>
        <w:ind w:firstLine="567"/>
        <w:jc w:val="both"/>
        <w:rPr>
          <w:rStyle w:val="ind"/>
        </w:rPr>
      </w:pPr>
      <w:r>
        <w:rPr>
          <w:rStyle w:val="ind"/>
        </w:rPr>
        <w:t xml:space="preserve">Ryrie and Ice are critical of this progressive dispensationalist approach, including its complementary hermeneutics.  Each expresses the view that developments in progressive dispensationalism are diluting commitment to consistent literalism.  Ice states that progressive dispensationalism ‘denies that consistent literal interpretation is a defining essential’, emphasising Blaising’s comment about the inadequacy of ‘consistently literal exegesis … to describe the essential distinctive of dispensationalism’.  As can be seen in the previous paragraph, Ice is not quoting Blaising entirely accurately since Blaising refers to the ‘fixed-interpretation view of dispensationalism, rather than to ‘consistently literal exegesis’, but Ice accuses both Blaising and Bock of ‘not even [attempting] to delineate essentials’ in </w:t>
      </w:r>
      <w:r w:rsidRPr="00411853">
        <w:rPr>
          <w:rStyle w:val="ind"/>
          <w:i/>
        </w:rPr>
        <w:t>Dispensationalism, Israel and the Church</w:t>
      </w:r>
      <w:r>
        <w:rPr>
          <w:rStyle w:val="ind"/>
        </w:rPr>
        <w:t xml:space="preserve">.  Ice asserts that ‘instead of recognizing clear essentials Blaising appears to think one can only say that there are patterns characteristic of the phases of the dispensational tradition’.  Ice’s concern is that, ‘if there are no essential guidelines, [like those provided in Ryrie’s three </w:t>
      </w:r>
      <w:r w:rsidRPr="001F412B">
        <w:rPr>
          <w:rStyle w:val="ind"/>
          <w:i/>
        </w:rPr>
        <w:t>sine qua non</w:t>
      </w:r>
      <w:r>
        <w:rPr>
          <w:rStyle w:val="ind"/>
        </w:rPr>
        <w:t xml:space="preserve"> items] or proposed guidelines are vague and fluid’, how is one to determine who is a dispensationalist?  ‘It seems that with the pattern approach one simply observes the different forms dispensationalism has taken in the past, while at the same time allowing for virtually any new “developments,” resulting in no meaningful definition.’</w:t>
      </w:r>
      <w:r>
        <w:rPr>
          <w:rStyle w:val="EndnoteReference"/>
        </w:rPr>
        <w:endnoteReference w:id="303"/>
      </w:r>
    </w:p>
    <w:p w:rsidR="00442D33" w:rsidRDefault="00442D33" w:rsidP="00442D33">
      <w:pPr>
        <w:spacing w:after="120" w:line="360" w:lineRule="auto"/>
        <w:ind w:firstLine="567"/>
        <w:jc w:val="both"/>
        <w:rPr>
          <w:rStyle w:val="ind"/>
        </w:rPr>
      </w:pPr>
      <w:r>
        <w:rPr>
          <w:rStyle w:val="ind"/>
        </w:rPr>
        <w:t xml:space="preserve">Although Ryrie’s revised book, </w:t>
      </w:r>
      <w:r w:rsidRPr="006630CE">
        <w:rPr>
          <w:rStyle w:val="ind"/>
          <w:i/>
        </w:rPr>
        <w:t>Dispensationalism</w:t>
      </w:r>
      <w:r>
        <w:rPr>
          <w:rStyle w:val="ind"/>
        </w:rPr>
        <w:t>,</w:t>
      </w:r>
      <w:r>
        <w:rPr>
          <w:rStyle w:val="EndnoteReference"/>
        </w:rPr>
        <w:endnoteReference w:id="304"/>
      </w:r>
      <w:r>
        <w:rPr>
          <w:rStyle w:val="ind"/>
        </w:rPr>
        <w:t xml:space="preserve"> contains much repetition of his analysis in </w:t>
      </w:r>
      <w:r w:rsidRPr="006630CE">
        <w:rPr>
          <w:rStyle w:val="ind"/>
          <w:i/>
        </w:rPr>
        <w:t>Dispensationalism Today</w:t>
      </w:r>
      <w:r>
        <w:rPr>
          <w:rStyle w:val="ind"/>
        </w:rPr>
        <w:t>,</w:t>
      </w:r>
      <w:r>
        <w:rPr>
          <w:rStyle w:val="EndnoteReference"/>
        </w:rPr>
        <w:endnoteReference w:id="305"/>
      </w:r>
      <w:r>
        <w:rPr>
          <w:rStyle w:val="ind"/>
        </w:rPr>
        <w:t xml:space="preserve"> some of its value lies in its inclusion of Ryrie’s critique of progressive dispensationalism.  Ryrie includes three ‘different viewpoints’ under separate headings – ‘The Dispensational Position’,</w:t>
      </w:r>
      <w:r>
        <w:rPr>
          <w:rStyle w:val="EndnoteReference"/>
        </w:rPr>
        <w:endnoteReference w:id="306"/>
      </w:r>
      <w:r>
        <w:rPr>
          <w:rStyle w:val="ind"/>
        </w:rPr>
        <w:t xml:space="preserve"> ‘The Nondispensational Position’</w:t>
      </w:r>
      <w:r>
        <w:rPr>
          <w:rStyle w:val="EndnoteReference"/>
        </w:rPr>
        <w:endnoteReference w:id="307"/>
      </w:r>
      <w:r>
        <w:rPr>
          <w:rStyle w:val="ind"/>
        </w:rPr>
        <w:t xml:space="preserve"> and ‘The Progressive Dispensational Position’.</w:t>
      </w:r>
      <w:r>
        <w:rPr>
          <w:rStyle w:val="EndnoteReference"/>
        </w:rPr>
        <w:endnoteReference w:id="308"/>
      </w:r>
      <w:r>
        <w:rPr>
          <w:rStyle w:val="ind"/>
        </w:rPr>
        <w:t xml:space="preserve">  These titles effectively set up progressive dispensationalism in opposition to what Ryrie terms ‘normative dispensationalism’.  Ryrie avers that ‘progressive dispensationalists are distancing themselves from the consistent literal hermeneutics of normative dispensationalism by introducing “complementary hermeneutics”’.  He asserts that, in their intimation concerning the application of ‘the hermeneutic that we share’ in </w:t>
      </w:r>
      <w:r w:rsidRPr="00F15482">
        <w:rPr>
          <w:rStyle w:val="ind"/>
          <w:i/>
        </w:rPr>
        <w:t>Dispensationalism, Israel and the Church</w:t>
      </w:r>
      <w:r>
        <w:rPr>
          <w:rStyle w:val="ind"/>
        </w:rPr>
        <w:t>,</w:t>
      </w:r>
      <w:r>
        <w:rPr>
          <w:rStyle w:val="EndnoteReference"/>
        </w:rPr>
        <w:endnoteReference w:id="309"/>
      </w:r>
      <w:r>
        <w:rPr>
          <w:rStyle w:val="ind"/>
        </w:rPr>
        <w:t xml:space="preserve"> Blaising and Bock allude to ‘sharing … between </w:t>
      </w:r>
      <w:r>
        <w:rPr>
          <w:rStyle w:val="ind"/>
        </w:rPr>
        <w:lastRenderedPageBreak/>
        <w:t>covenantalists and progressives, not progressives and normative dispensationalists, further demonstrating the distance progressives wish to have between themselves and classic dispensationalists’.</w:t>
      </w:r>
      <w:r>
        <w:rPr>
          <w:rStyle w:val="EndnoteReference"/>
        </w:rPr>
        <w:endnoteReference w:id="310"/>
      </w:r>
      <w:r>
        <w:rPr>
          <w:rStyle w:val="ind"/>
        </w:rPr>
        <w:t xml:space="preserve">  </w:t>
      </w:r>
    </w:p>
    <w:p w:rsidR="00442D33" w:rsidRDefault="00442D33" w:rsidP="00442D33">
      <w:pPr>
        <w:spacing w:after="120" w:line="360" w:lineRule="auto"/>
        <w:ind w:firstLine="567"/>
        <w:jc w:val="both"/>
        <w:rPr>
          <w:rStyle w:val="ind"/>
        </w:rPr>
      </w:pPr>
      <w:r>
        <w:rPr>
          <w:rStyle w:val="ind"/>
        </w:rPr>
        <w:t>According to Ryrie, the term, ‘complementary hermeneutics’ has been introduced by progressive dispensationalists to provide a hermeneutical basis for ‘certain interpretations … (e.g., Christ is now on the throne of David in heaven, and the somewhat indistinctiveness of Israel and the church)’.  Ryrie quotes Blaising and Bock’s claim that the New Testament introduces ‘change and advance’, not merely repeating Old Testament revelation, but ‘making complementary additions’ which do not ‘jettison old promises’.</w:t>
      </w:r>
      <w:r>
        <w:rPr>
          <w:rStyle w:val="EndnoteReference"/>
        </w:rPr>
        <w:endnoteReference w:id="311"/>
      </w:r>
      <w:r>
        <w:rPr>
          <w:rStyle w:val="ind"/>
        </w:rPr>
        <w:t xml:space="preserve">  He asserts that the first part this statement ‘opens the door for their already/not yet view of the Davidic kingdom’ but that the latter part ‘[keeps] them from becoming amillen</w:t>
      </w:r>
      <w:r w:rsidR="00BC4D08">
        <w:rPr>
          <w:rStyle w:val="ind"/>
        </w:rPr>
        <w:t>n</w:t>
      </w:r>
      <w:r>
        <w:rPr>
          <w:rStyle w:val="ind"/>
        </w:rPr>
        <w:t>ialists’.</w:t>
      </w:r>
      <w:r>
        <w:rPr>
          <w:rStyle w:val="EndnoteReference"/>
        </w:rPr>
        <w:endnoteReference w:id="312"/>
      </w:r>
      <w:r>
        <w:rPr>
          <w:rStyle w:val="ind"/>
        </w:rPr>
        <w:t xml:space="preserve">  Ryrie has already quoted Bruce Waltke’s response to </w:t>
      </w:r>
      <w:r w:rsidRPr="001C74FA">
        <w:rPr>
          <w:rStyle w:val="ind"/>
          <w:i/>
        </w:rPr>
        <w:t>Dispensationalism, Israel and the Church</w:t>
      </w:r>
      <w:r>
        <w:rPr>
          <w:rStyle w:val="ind"/>
        </w:rPr>
        <w:t xml:space="preserve"> as alleging that ‘this already/not yet model …, entailing a less than one-for-one correspondence between Old Testament covenants and prophecies and the partial fulfillment in the church, shakes the very foundations of [normative] dispensational hermeneutics, which includes a consistent literalistic interpretation of the Old Testament, another </w:t>
      </w:r>
      <w:r w:rsidRPr="002F7F55">
        <w:rPr>
          <w:rStyle w:val="ind"/>
          <w:i/>
        </w:rPr>
        <w:t>sine qua non</w:t>
      </w:r>
      <w:r>
        <w:rPr>
          <w:rStyle w:val="ind"/>
        </w:rPr>
        <w:t xml:space="preserve"> of the system’.</w:t>
      </w:r>
      <w:r>
        <w:rPr>
          <w:rStyle w:val="EndnoteReference"/>
        </w:rPr>
        <w:endnoteReference w:id="313"/>
      </w:r>
      <w:r>
        <w:rPr>
          <w:rStyle w:val="ind"/>
        </w:rPr>
        <w:t xml:space="preserve">  </w:t>
      </w:r>
    </w:p>
    <w:p w:rsidR="00442D33" w:rsidRDefault="00442D33" w:rsidP="00442D33">
      <w:pPr>
        <w:spacing w:after="120" w:line="360" w:lineRule="auto"/>
        <w:ind w:firstLine="567"/>
        <w:jc w:val="both"/>
        <w:rPr>
          <w:rStyle w:val="ind"/>
        </w:rPr>
      </w:pPr>
      <w:r>
        <w:rPr>
          <w:rStyle w:val="ind"/>
        </w:rPr>
        <w:t>Ryrie also quotes Blaising as contending that ‘literary interpretation has developed so that some things which earlier interpreters thought they “clearly” saw in Scripture are not “clearly seen today at all”’.  For Blaising, this raises ‘a question both about the meaning of “literal” interpretation and the claim that its consistent practice is the essence of dispensationalism’.  Blaising argues that the term, literal, ‘is often used to mean the system and tradition of revised dispensationalism but traditional interpretation must always be tested by ongoing historical-literary interpretation as that interpretation develops in its understanding, methods, and procedures’, if ‘one remains committed to Scripture as the primary authority in theology’.</w:t>
      </w:r>
      <w:r>
        <w:rPr>
          <w:rStyle w:val="EndnoteReference"/>
        </w:rPr>
        <w:endnoteReference w:id="314"/>
      </w:r>
      <w:r>
        <w:rPr>
          <w:rStyle w:val="ind"/>
        </w:rPr>
        <w:t xml:space="preserve">  For Blaising, then, interpretation must be allowed to progress in the light of developments in knowledge; this might be said to lie at the heart of progressive dispensationalism.</w:t>
      </w:r>
    </w:p>
    <w:p w:rsidR="00442D33" w:rsidRDefault="00442D33" w:rsidP="00442D33">
      <w:pPr>
        <w:spacing w:after="120" w:line="360" w:lineRule="auto"/>
        <w:ind w:firstLine="567"/>
        <w:jc w:val="both"/>
        <w:rPr>
          <w:rStyle w:val="ind"/>
        </w:rPr>
      </w:pPr>
      <w:r>
        <w:rPr>
          <w:rStyle w:val="ind"/>
        </w:rPr>
        <w:t>For Ryrie, however, other questions are raised concerning progressive dispensationalists.  He asks whether ‘the umbrella of literalism’ is ‘large enough to cover their expanded historical-grammatical hermeneutic’, and whether it is actually progress to see things in Scripture less clearly.  Indeed, he questions whether progressive dispensationalists may ‘proclaim honestly their continuity with the dispensationalist tradition’ in light of their ‘modification or redefinition of literalism’.  Finally, Ryrie expresses what appears to amount to a fear for the future of other characteristic dispensational teachings in ‘the ongoing work of the progressives’ if ‘the literal hermeneutic of normative dispensationalism is not adequate to interpret all of Scripture, especially the prophetic and apocalyptic parts’.</w:t>
      </w:r>
      <w:r>
        <w:rPr>
          <w:rStyle w:val="EndnoteReference"/>
        </w:rPr>
        <w:endnoteReference w:id="315"/>
      </w:r>
    </w:p>
    <w:p w:rsidR="00442D33" w:rsidRPr="007E5B32" w:rsidRDefault="00442D33" w:rsidP="00442D33">
      <w:pPr>
        <w:spacing w:after="120" w:line="360" w:lineRule="auto"/>
        <w:jc w:val="both"/>
        <w:rPr>
          <w:rStyle w:val="ind"/>
          <w:b/>
        </w:rPr>
      </w:pPr>
      <w:proofErr w:type="gramStart"/>
      <w:r w:rsidRPr="007E5B32">
        <w:rPr>
          <w:rStyle w:val="ind"/>
          <w:b/>
        </w:rPr>
        <w:t>1.1.</w:t>
      </w:r>
      <w:r>
        <w:rPr>
          <w:rStyle w:val="ind"/>
          <w:b/>
        </w:rPr>
        <w:t>4</w:t>
      </w:r>
      <w:r w:rsidRPr="007E5B32">
        <w:rPr>
          <w:rStyle w:val="ind"/>
          <w:b/>
        </w:rPr>
        <w:t xml:space="preserve">  Figurative</w:t>
      </w:r>
      <w:proofErr w:type="gramEnd"/>
      <w:r w:rsidRPr="007E5B32">
        <w:rPr>
          <w:rStyle w:val="ind"/>
          <w:b/>
        </w:rPr>
        <w:t xml:space="preserve"> </w:t>
      </w:r>
      <w:r>
        <w:rPr>
          <w:rStyle w:val="ind"/>
          <w:b/>
        </w:rPr>
        <w:t>Language</w:t>
      </w:r>
    </w:p>
    <w:p w:rsidR="00442D33" w:rsidRDefault="00442D33" w:rsidP="00442D33">
      <w:pPr>
        <w:spacing w:after="120" w:line="360" w:lineRule="auto"/>
        <w:jc w:val="both"/>
        <w:rPr>
          <w:rStyle w:val="ind"/>
        </w:rPr>
      </w:pPr>
      <w:r w:rsidRPr="002218BD">
        <w:rPr>
          <w:rStyle w:val="ind"/>
        </w:rPr>
        <w:t>Ryrie’s claim that ‘literal’ means ‘normal’ or ‘plain’ does not preclude the use of figures of speech; Ryrie includes these in ‘plain interpretation’;</w:t>
      </w:r>
      <w:r w:rsidRPr="002218BD">
        <w:rPr>
          <w:rStyle w:val="ind"/>
          <w:i/>
        </w:rPr>
        <w:t xml:space="preserve"> </w:t>
      </w:r>
      <w:r w:rsidRPr="00320D3B">
        <w:rPr>
          <w:rStyle w:val="ind"/>
        </w:rPr>
        <w:t>he states,</w:t>
      </w:r>
      <w:r w:rsidRPr="00320D3B">
        <w:rPr>
          <w:rStyle w:val="ind"/>
          <w:i/>
        </w:rPr>
        <w:t xml:space="preserve"> </w:t>
      </w:r>
      <w:r>
        <w:rPr>
          <w:rStyle w:val="ind"/>
        </w:rPr>
        <w:t xml:space="preserve">‘Symbols, figures of speech, and types are all interpreted </w:t>
      </w:r>
      <w:r>
        <w:rPr>
          <w:rStyle w:val="ind"/>
        </w:rPr>
        <w:lastRenderedPageBreak/>
        <w:t>plainly in this method, and they are in no way contrary to literal interpretation.’  ‘Figures often make the meaning plainer, but it is the literal, normal or plain meaning that they convey to the reader.’</w:t>
      </w:r>
      <w:r>
        <w:rPr>
          <w:rStyle w:val="EndnoteReference"/>
        </w:rPr>
        <w:endnoteReference w:id="316"/>
      </w:r>
      <w:r>
        <w:rPr>
          <w:rStyle w:val="ind"/>
        </w:rPr>
        <w:t xml:space="preserve">  </w:t>
      </w:r>
    </w:p>
    <w:p w:rsidR="00442D33" w:rsidRDefault="00442D33" w:rsidP="00442D33">
      <w:pPr>
        <w:spacing w:after="120" w:line="360" w:lineRule="auto"/>
        <w:ind w:firstLine="567"/>
        <w:jc w:val="both"/>
        <w:rPr>
          <w:rStyle w:val="ind"/>
        </w:rPr>
      </w:pPr>
      <w:r>
        <w:rPr>
          <w:rStyle w:val="ind"/>
        </w:rPr>
        <w:t>Tan agrees that ‘a figure is a legitimate grammatical device intended to convey more clearly an original, literal idea.  It is a literary concept made more graphic.’</w:t>
      </w:r>
      <w:r>
        <w:rPr>
          <w:rStyle w:val="EndnoteReference"/>
        </w:rPr>
        <w:endnoteReference w:id="317"/>
      </w:r>
      <w:r>
        <w:rPr>
          <w:rStyle w:val="ind"/>
        </w:rPr>
        <w:t xml:space="preserve">  He states that the Bible contains both figurative and non-figurative language.</w:t>
      </w:r>
      <w:r>
        <w:rPr>
          <w:rStyle w:val="EndnoteReference"/>
        </w:rPr>
        <w:endnoteReference w:id="318"/>
      </w:r>
      <w:r>
        <w:rPr>
          <w:rStyle w:val="ind"/>
        </w:rPr>
        <w:t xml:space="preserve">  The meaning intended behind figurative language often appears in the text or context and it is common for the Bible to offer its own interpretations of figures.</w:t>
      </w:r>
      <w:r>
        <w:rPr>
          <w:rStyle w:val="EndnoteReference"/>
        </w:rPr>
        <w:endnoteReference w:id="319"/>
      </w:r>
      <w:r>
        <w:rPr>
          <w:rStyle w:val="ind"/>
        </w:rPr>
        <w:t xml:space="preserve">  Figurative language includes similes, metaphors, metonymy, synecdoche, personification, apostrophe, hyperbole, irony, allegory, parable (extended simile) and fable.</w:t>
      </w:r>
      <w:r>
        <w:rPr>
          <w:rStyle w:val="EndnoteReference"/>
        </w:rPr>
        <w:endnoteReference w:id="320"/>
      </w:r>
      <w:r>
        <w:rPr>
          <w:rStyle w:val="ind"/>
        </w:rPr>
        <w:t xml:space="preserve">  According to Tan, ‘the only case of an Old Testament event seen by the New Testament as an allegory’ is found in Galatians 4, where ‘Paul assumes the literal existence of Hagar, Sarah, Mount Sinai, Jerusalem, etc.’ and ‘cites them as allegories only for the purpose of illustration’; Paul uses the term, ‘allegory’ in Gal. 4:24.</w:t>
      </w:r>
      <w:r>
        <w:rPr>
          <w:rStyle w:val="EndnoteReference"/>
        </w:rPr>
        <w:endnoteReference w:id="321"/>
      </w:r>
      <w:r>
        <w:rPr>
          <w:rStyle w:val="ind"/>
        </w:rPr>
        <w:t xml:space="preserve">  Tan agrees that ‘the presence of figures does not militate against literal interpretation’, which ‘accepts that which is normal and customary in language’; this includes the figurative.  However, interpreters must make sure that they do not mistake actual items for figurative, especially regarding prophecy.</w:t>
      </w:r>
      <w:r>
        <w:rPr>
          <w:rStyle w:val="EndnoteReference"/>
        </w:rPr>
        <w:endnoteReference w:id="322"/>
      </w:r>
      <w:r>
        <w:rPr>
          <w:rStyle w:val="ind"/>
        </w:rPr>
        <w:t xml:space="preserve">  Tan suggests that the literal and the figurative may be distinguished by studying whether ‘a word or act, taken in the literal sense, fails to harmonize with either the flow of thought in the text of context, or with the analogy of Scripture’; if it does so, ‘it is to be understood as figurative.  Otherwise, it is nonfigurative.’</w:t>
      </w:r>
      <w:r>
        <w:rPr>
          <w:rStyle w:val="EndnoteReference"/>
        </w:rPr>
        <w:endnoteReference w:id="323"/>
      </w:r>
      <w:r>
        <w:rPr>
          <w:rStyle w:val="ind"/>
        </w:rPr>
        <w:t xml:space="preserve">  John Lange states that </w:t>
      </w:r>
    </w:p>
    <w:p w:rsidR="00442D33" w:rsidRDefault="00442D33" w:rsidP="00442D33">
      <w:pPr>
        <w:spacing w:after="120" w:line="240" w:lineRule="auto"/>
        <w:ind w:left="1134" w:right="1865"/>
        <w:jc w:val="both"/>
        <w:rPr>
          <w:rStyle w:val="ind"/>
        </w:rPr>
      </w:pPr>
      <w:r>
        <w:rPr>
          <w:rStyle w:val="ind"/>
        </w:rPr>
        <w:t xml:space="preserve">The </w:t>
      </w:r>
      <w:r w:rsidRPr="000C1800">
        <w:rPr>
          <w:rStyle w:val="ind"/>
          <w:i/>
        </w:rPr>
        <w:t>Literalist</w:t>
      </w:r>
      <w:r>
        <w:rPr>
          <w:rStyle w:val="ind"/>
        </w:rPr>
        <w:t xml:space="preserve"> (so called) is not one who denies that </w:t>
      </w:r>
      <w:r w:rsidRPr="009A2017">
        <w:rPr>
          <w:rStyle w:val="ind"/>
          <w:i/>
        </w:rPr>
        <w:t>figurative</w:t>
      </w:r>
      <w:r>
        <w:rPr>
          <w:rStyle w:val="ind"/>
        </w:rPr>
        <w:t xml:space="preserve"> language, that </w:t>
      </w:r>
      <w:r w:rsidRPr="009A2017">
        <w:rPr>
          <w:rStyle w:val="ind"/>
          <w:i/>
        </w:rPr>
        <w:t>symbols</w:t>
      </w:r>
      <w:r w:rsidRPr="0060507D">
        <w:rPr>
          <w:rStyle w:val="ind"/>
        </w:rPr>
        <w:t xml:space="preserve">, </w:t>
      </w:r>
      <w:r>
        <w:rPr>
          <w:rStyle w:val="ind"/>
        </w:rPr>
        <w:t xml:space="preserve">are used in prophecy, nor does he deny that great </w:t>
      </w:r>
      <w:r w:rsidRPr="009A2017">
        <w:rPr>
          <w:rStyle w:val="ind"/>
          <w:i/>
        </w:rPr>
        <w:t>spiritual</w:t>
      </w:r>
      <w:r>
        <w:rPr>
          <w:rStyle w:val="ind"/>
        </w:rPr>
        <w:t xml:space="preserve"> truths are set forth therein; his position is, simply, that the prophecies are to be normally interpreted (i.e., according to the received laws of language) as any other utterances are interpreted – that which is manifestly figurative being so regarded.</w:t>
      </w:r>
      <w:r>
        <w:rPr>
          <w:rStyle w:val="EndnoteReference"/>
        </w:rPr>
        <w:endnoteReference w:id="324"/>
      </w:r>
      <w:r>
        <w:rPr>
          <w:rStyle w:val="ind"/>
        </w:rPr>
        <w:t xml:space="preserve"> </w:t>
      </w:r>
    </w:p>
    <w:p w:rsidR="00442D33" w:rsidRDefault="00442D33" w:rsidP="00442D33">
      <w:pPr>
        <w:spacing w:after="120" w:line="360" w:lineRule="auto"/>
        <w:ind w:right="-46"/>
        <w:jc w:val="both"/>
        <w:rPr>
          <w:rStyle w:val="ind"/>
        </w:rPr>
      </w:pPr>
      <w:r>
        <w:rPr>
          <w:rStyle w:val="ind"/>
        </w:rPr>
        <w:t>The major problem with Lange’s statement is the question of how manifest figurativeness is to be determined; similarly the application of Tan’s suggestion is also open to subjectivity.  This dilemma is explored in Bock’s comments on Revelation.</w:t>
      </w:r>
      <w:r>
        <w:rPr>
          <w:rStyle w:val="EndnoteReference"/>
        </w:rPr>
        <w:endnoteReference w:id="325"/>
      </w:r>
      <w:r>
        <w:rPr>
          <w:rStyle w:val="ind"/>
        </w:rPr>
        <w:t xml:space="preserve">  Opinions vary.</w:t>
      </w:r>
    </w:p>
    <w:p w:rsidR="00442D33" w:rsidRDefault="00442D33" w:rsidP="00442D33">
      <w:pPr>
        <w:tabs>
          <w:tab w:val="left" w:pos="-426"/>
        </w:tabs>
        <w:autoSpaceDE w:val="0"/>
        <w:autoSpaceDN w:val="0"/>
        <w:adjustRightInd w:val="0"/>
        <w:spacing w:after="120" w:line="360" w:lineRule="auto"/>
        <w:ind w:firstLine="567"/>
        <w:jc w:val="both"/>
        <w:rPr>
          <w:rFonts w:cs="Times New Roman"/>
          <w:szCs w:val="24"/>
        </w:rPr>
      </w:pPr>
      <w:r>
        <w:rPr>
          <w:rStyle w:val="ind"/>
        </w:rPr>
        <w:t>Clinton Lockhart defines literal language as ‘that which should be interpreted word for word in its primitive or most fundamental current sense’ but figurative language as ‘a deflection or departure from the literal’.  He emphasises that figurative language is frequently used in most literature and interpreters must distinguish between this and literal language since ‘its meaning is different from that of literal speech’.  Lockhart admits that this can be difficult to achieve and attempts to set out some ground rules for identifying figurative language.</w:t>
      </w:r>
      <w:r>
        <w:rPr>
          <w:rStyle w:val="EndnoteReference"/>
        </w:rPr>
        <w:endnoteReference w:id="326"/>
      </w:r>
      <w:r>
        <w:rPr>
          <w:rStyle w:val="ind"/>
        </w:rPr>
        <w:t xml:space="preserve">  From discussion of Jesus’ statement, ‘I am the vine’,</w:t>
      </w:r>
      <w:r>
        <w:rPr>
          <w:rStyle w:val="EndnoteReference"/>
        </w:rPr>
        <w:endnoteReference w:id="327"/>
      </w:r>
      <w:r>
        <w:rPr>
          <w:rStyle w:val="ind"/>
        </w:rPr>
        <w:t xml:space="preserve"> Lockhart draws the principle, ‘</w:t>
      </w:r>
      <w:r w:rsidRPr="00542F89">
        <w:rPr>
          <w:rFonts w:cs="Times New Roman"/>
          <w:szCs w:val="24"/>
        </w:rPr>
        <w:t>If the literal meaning of any</w:t>
      </w:r>
      <w:r>
        <w:rPr>
          <w:rFonts w:cs="Times New Roman"/>
          <w:szCs w:val="24"/>
        </w:rPr>
        <w:t xml:space="preserve"> </w:t>
      </w:r>
      <w:r w:rsidRPr="00542F89">
        <w:rPr>
          <w:rFonts w:cs="Times New Roman"/>
          <w:szCs w:val="24"/>
        </w:rPr>
        <w:t>word or expression makes good sense in its connections, it is literal; but if the literal meaning does not make good</w:t>
      </w:r>
      <w:r>
        <w:rPr>
          <w:rFonts w:cs="Times New Roman"/>
          <w:szCs w:val="24"/>
        </w:rPr>
        <w:t xml:space="preserve"> </w:t>
      </w:r>
      <w:r w:rsidRPr="00542F89">
        <w:rPr>
          <w:rFonts w:cs="Times New Roman"/>
          <w:szCs w:val="24"/>
        </w:rPr>
        <w:t>sense, it is figurative.</w:t>
      </w:r>
      <w:r>
        <w:rPr>
          <w:rFonts w:cs="Times New Roman"/>
          <w:szCs w:val="24"/>
        </w:rPr>
        <w:t xml:space="preserve">’  This solution naturally brings its own problems because the perception of ‘good sense’ is subjective; it may make good sense to some readers to read events described in Revelation as a literal forecast of the future, but for others, these occurrences can only be understood in terms of apocalyptic imagery.  Lockhart’s </w:t>
      </w:r>
      <w:proofErr w:type="gramStart"/>
      <w:r>
        <w:rPr>
          <w:rFonts w:cs="Times New Roman"/>
          <w:szCs w:val="24"/>
        </w:rPr>
        <w:t xml:space="preserve">examples of ‘fox’ as </w:t>
      </w:r>
      <w:r>
        <w:rPr>
          <w:rFonts w:cs="Times New Roman"/>
          <w:szCs w:val="24"/>
        </w:rPr>
        <w:lastRenderedPageBreak/>
        <w:t>applied metaphorically to Herod</w:t>
      </w:r>
      <w:r>
        <w:rPr>
          <w:rStyle w:val="FootnoteReference"/>
          <w:rFonts w:cs="Times New Roman"/>
          <w:szCs w:val="24"/>
        </w:rPr>
        <w:footnoteReference w:id="17"/>
      </w:r>
      <w:r>
        <w:rPr>
          <w:rFonts w:cs="Times New Roman"/>
          <w:szCs w:val="24"/>
        </w:rPr>
        <w:t xml:space="preserve"> and literally to Christ’s homelessness</w:t>
      </w:r>
      <w:r>
        <w:rPr>
          <w:rStyle w:val="FootnoteReference"/>
          <w:rFonts w:cs="Times New Roman"/>
          <w:szCs w:val="24"/>
        </w:rPr>
        <w:footnoteReference w:id="18"/>
      </w:r>
      <w:r>
        <w:rPr>
          <w:rFonts w:cs="Times New Roman"/>
          <w:szCs w:val="24"/>
        </w:rPr>
        <w:t xml:space="preserve"> does</w:t>
      </w:r>
      <w:proofErr w:type="gramEnd"/>
      <w:r>
        <w:rPr>
          <w:rFonts w:cs="Times New Roman"/>
          <w:szCs w:val="24"/>
        </w:rPr>
        <w:t xml:space="preserve"> not really address the issue.  Lockhart’s second rule is that an interpreter should seek other biblical instances of an expression for comparison.</w:t>
      </w:r>
      <w:r>
        <w:rPr>
          <w:rStyle w:val="EndnoteReference"/>
          <w:rFonts w:cs="Times New Roman"/>
          <w:szCs w:val="24"/>
        </w:rPr>
        <w:endnoteReference w:id="328"/>
      </w:r>
      <w:r>
        <w:rPr>
          <w:rFonts w:cs="Times New Roman"/>
          <w:szCs w:val="24"/>
        </w:rPr>
        <w:t xml:space="preserve">  This is also flawed as the example of the fox indicates; expressions may be literal in one context and figurative in another.</w:t>
      </w:r>
    </w:p>
    <w:p w:rsidR="00442D33" w:rsidRPr="00713C7D" w:rsidRDefault="00442D33" w:rsidP="00442D33">
      <w:pPr>
        <w:autoSpaceDE w:val="0"/>
        <w:autoSpaceDN w:val="0"/>
        <w:adjustRightInd w:val="0"/>
        <w:spacing w:after="120" w:line="360" w:lineRule="auto"/>
        <w:jc w:val="both"/>
        <w:rPr>
          <w:rFonts w:cs="Times New Roman"/>
          <w:b/>
          <w:szCs w:val="24"/>
        </w:rPr>
      </w:pPr>
      <w:proofErr w:type="gramStart"/>
      <w:r w:rsidRPr="00713C7D">
        <w:rPr>
          <w:rFonts w:cs="Times New Roman"/>
          <w:b/>
          <w:szCs w:val="24"/>
        </w:rPr>
        <w:t>1.</w:t>
      </w:r>
      <w:r>
        <w:rPr>
          <w:rFonts w:cs="Times New Roman"/>
          <w:b/>
          <w:szCs w:val="24"/>
        </w:rPr>
        <w:t>2</w:t>
      </w:r>
      <w:r w:rsidRPr="00713C7D">
        <w:rPr>
          <w:rFonts w:cs="Times New Roman"/>
          <w:b/>
          <w:szCs w:val="24"/>
        </w:rPr>
        <w:t xml:space="preserve">  </w:t>
      </w:r>
      <w:r>
        <w:rPr>
          <w:rFonts w:cs="Times New Roman"/>
          <w:b/>
          <w:szCs w:val="24"/>
        </w:rPr>
        <w:t>The</w:t>
      </w:r>
      <w:proofErr w:type="gramEnd"/>
      <w:r>
        <w:rPr>
          <w:rFonts w:cs="Times New Roman"/>
          <w:b/>
          <w:szCs w:val="24"/>
        </w:rPr>
        <w:t xml:space="preserve"> Interpretation of </w:t>
      </w:r>
      <w:r w:rsidRPr="00713C7D">
        <w:rPr>
          <w:rFonts w:cs="Times New Roman"/>
          <w:b/>
          <w:szCs w:val="24"/>
        </w:rPr>
        <w:t>Prophecy</w:t>
      </w:r>
    </w:p>
    <w:p w:rsidR="00442D33" w:rsidRDefault="00442D33" w:rsidP="00442D33">
      <w:pPr>
        <w:autoSpaceDE w:val="0"/>
        <w:autoSpaceDN w:val="0"/>
        <w:adjustRightInd w:val="0"/>
        <w:spacing w:after="120" w:line="360" w:lineRule="auto"/>
        <w:jc w:val="both"/>
        <w:rPr>
          <w:rFonts w:cs="Times New Roman"/>
          <w:szCs w:val="24"/>
        </w:rPr>
      </w:pPr>
      <w:r>
        <w:rPr>
          <w:rFonts w:cs="Times New Roman"/>
          <w:szCs w:val="24"/>
        </w:rPr>
        <w:t>As stated above, dispensationalists like Ryrie hold that it is the consistency of their literal interpretation which separates them from their non-dispensationalist, evangelical counterparts; it is generally the interpretation of prophecy upon which the two systems differ.  Feinberg advances several reasons why prophecy should be interpreted literally.  He argues that prophecies which have already been fulfilled should act as a ‘pattern’ for those as yet unfulfilled.  Since all the prophecies concerning Messiah’s suffering at his first advent were literally fulfilled, ‘there is no reason to believe that the predictions of a glorified and reigning Messiah’ will be fulfilled in any other manner.</w:t>
      </w:r>
      <w:r>
        <w:rPr>
          <w:rStyle w:val="EndnoteReference"/>
          <w:rFonts w:cs="Times New Roman"/>
          <w:szCs w:val="24"/>
        </w:rPr>
        <w:endnoteReference w:id="329"/>
      </w:r>
      <w:r>
        <w:rPr>
          <w:rFonts w:cs="Times New Roman"/>
          <w:szCs w:val="24"/>
        </w:rPr>
        <w:t xml:space="preserve">  Tan makes a similar point.  </w:t>
      </w:r>
      <w:r>
        <w:t>‘The manner of past prophetic fulfillment indicates the manner of future prophetic fulfillment.’</w:t>
      </w:r>
      <w:r>
        <w:rPr>
          <w:rStyle w:val="EndnoteReference"/>
        </w:rPr>
        <w:endnoteReference w:id="330"/>
      </w:r>
      <w:r>
        <w:rPr>
          <w:rFonts w:cs="Times New Roman"/>
          <w:szCs w:val="24"/>
        </w:rPr>
        <w:t xml:space="preserve">  </w:t>
      </w:r>
    </w:p>
    <w:p w:rsidR="00442D33" w:rsidRDefault="00442D33" w:rsidP="00442D33">
      <w:pPr>
        <w:spacing w:after="120" w:line="360" w:lineRule="auto"/>
        <w:ind w:firstLine="567"/>
        <w:jc w:val="both"/>
        <w:rPr>
          <w:rStyle w:val="ind"/>
        </w:rPr>
      </w:pPr>
      <w:r w:rsidRPr="00A40CF4">
        <w:rPr>
          <w:rFonts w:cs="Times New Roman"/>
          <w:szCs w:val="24"/>
        </w:rPr>
        <w:t xml:space="preserve">Blaising classifies dispensationalism </w:t>
      </w:r>
      <w:r>
        <w:rPr>
          <w:rFonts w:cs="Times New Roman"/>
          <w:szCs w:val="24"/>
        </w:rPr>
        <w:t xml:space="preserve">as </w:t>
      </w:r>
      <w:r w:rsidRPr="00A40CF4">
        <w:rPr>
          <w:rFonts w:cs="Times New Roman"/>
          <w:szCs w:val="24"/>
        </w:rPr>
        <w:t>‘a futuristic premillennialism’;</w:t>
      </w:r>
      <w:r w:rsidRPr="00A40CF4">
        <w:rPr>
          <w:rStyle w:val="EndnoteReference"/>
          <w:rFonts w:cs="Times New Roman"/>
          <w:szCs w:val="24"/>
        </w:rPr>
        <w:endnoteReference w:id="331"/>
      </w:r>
      <w:r w:rsidRPr="00A40CF4">
        <w:rPr>
          <w:rFonts w:cs="Times New Roman"/>
          <w:szCs w:val="24"/>
        </w:rPr>
        <w:t xml:space="preserve"> this is to be distinguished from ‘historicist premillennialism’.  Weber states that ‘most millennialists … divide into two major camps’: historicists believe that ‘Revelation presents a prophetic overview of the entire sweep of church history’, whereas futurists hold that ‘the prophecies in Revelation refer to events that will occur at the very end of the present age, just before Christ’s return’.</w:t>
      </w:r>
      <w:r>
        <w:rPr>
          <w:rStyle w:val="EndnoteReference"/>
          <w:rFonts w:cs="Times New Roman"/>
          <w:szCs w:val="24"/>
        </w:rPr>
        <w:endnoteReference w:id="332"/>
      </w:r>
      <w:r w:rsidRPr="00A40CF4">
        <w:rPr>
          <w:rFonts w:cs="Times New Roman"/>
          <w:szCs w:val="24"/>
        </w:rPr>
        <w:t xml:space="preserve">  Blaising suggests that the very reception of dispensationalism in late nineteenth-century American Christianity was </w:t>
      </w:r>
      <w:r>
        <w:rPr>
          <w:rFonts w:cs="Times New Roman"/>
          <w:szCs w:val="24"/>
        </w:rPr>
        <w:t>‘</w:t>
      </w:r>
      <w:r w:rsidRPr="00A40CF4">
        <w:rPr>
          <w:rFonts w:cs="Times New Roman"/>
          <w:szCs w:val="24"/>
        </w:rPr>
        <w:t>due in no small part to its distinction from the date-setting tendencies of historicist premillennialism’.</w:t>
      </w:r>
      <w:r>
        <w:rPr>
          <w:rStyle w:val="EndnoteReference"/>
          <w:rFonts w:cs="Times New Roman"/>
          <w:szCs w:val="24"/>
        </w:rPr>
        <w:endnoteReference w:id="333"/>
      </w:r>
      <w:r w:rsidRPr="00A40CF4">
        <w:rPr>
          <w:rFonts w:cs="Times New Roman"/>
          <w:szCs w:val="24"/>
        </w:rPr>
        <w:t xml:space="preserve">  Date-setting, like that promulgated by the Millerites, had attracted disrepute.  </w:t>
      </w:r>
      <w:r w:rsidRPr="00A40CF4">
        <w:rPr>
          <w:rStyle w:val="ind"/>
        </w:rPr>
        <w:t xml:space="preserve">Weber </w:t>
      </w:r>
      <w:r>
        <w:rPr>
          <w:rStyle w:val="ind"/>
        </w:rPr>
        <w:t>compares futurist premillennialists with</w:t>
      </w:r>
      <w:r w:rsidRPr="00A40CF4">
        <w:rPr>
          <w:rStyle w:val="ind"/>
        </w:rPr>
        <w:t xml:space="preserve"> amillennialists, postmillennialists, preterists and historicist premillennialists,</w:t>
      </w:r>
      <w:r>
        <w:rPr>
          <w:rStyle w:val="ind"/>
        </w:rPr>
        <w:t xml:space="preserve"> and states,</w:t>
      </w:r>
      <w:r w:rsidRPr="00A40CF4">
        <w:rPr>
          <w:rStyle w:val="ind"/>
        </w:rPr>
        <w:t xml:space="preserve"> </w:t>
      </w:r>
    </w:p>
    <w:p w:rsidR="00442D33" w:rsidRPr="00A40CF4" w:rsidRDefault="00442D33" w:rsidP="00442D33">
      <w:pPr>
        <w:spacing w:after="120" w:line="240" w:lineRule="auto"/>
        <w:ind w:left="992" w:right="1865"/>
        <w:jc w:val="both"/>
        <w:rPr>
          <w:rStyle w:val="ind"/>
        </w:rPr>
      </w:pPr>
      <w:r>
        <w:rPr>
          <w:rStyle w:val="ind"/>
        </w:rPr>
        <w:t>F</w:t>
      </w:r>
      <w:r w:rsidRPr="00A40CF4">
        <w:rPr>
          <w:rStyle w:val="ind"/>
        </w:rPr>
        <w:t>uturist premillennialists have been most interested in developin</w:t>
      </w:r>
      <w:r>
        <w:rPr>
          <w:rStyle w:val="ind"/>
        </w:rPr>
        <w:t>g elaborate end-time scenarios that contain …</w:t>
      </w:r>
      <w:r w:rsidRPr="00A40CF4">
        <w:rPr>
          <w:rStyle w:val="ind"/>
        </w:rPr>
        <w:t xml:space="preserve"> ‘a crescendo of natural disasters, an increase in persecution of and apostasy among God’s people, the rise of the Antichrist and the accompanying great tribulation, wars and rumors of wars that culminate in the battle of Armageddon, and the dramatic return of Jesus to defeat Satan and establish his millennial kingdom.</w:t>
      </w:r>
      <w:r>
        <w:rPr>
          <w:rStyle w:val="EndnoteReference"/>
        </w:rPr>
        <w:endnoteReference w:id="334"/>
      </w:r>
    </w:p>
    <w:p w:rsidR="00442D33" w:rsidRPr="00A40CF4" w:rsidRDefault="00442D33" w:rsidP="00442D33">
      <w:pPr>
        <w:autoSpaceDE w:val="0"/>
        <w:autoSpaceDN w:val="0"/>
        <w:adjustRightInd w:val="0"/>
        <w:spacing w:after="120" w:line="360" w:lineRule="auto"/>
        <w:jc w:val="both"/>
        <w:rPr>
          <w:rFonts w:cs="Times New Roman"/>
          <w:szCs w:val="24"/>
        </w:rPr>
      </w:pPr>
      <w:r w:rsidRPr="00A40CF4">
        <w:rPr>
          <w:rFonts w:cs="Times New Roman"/>
          <w:szCs w:val="24"/>
        </w:rPr>
        <w:t>However, Blaising criticises sensational apocalypticism, such as that propagated by Hal Lindsey, as ‘compromising the futurism that has always been central to dispensational eschatology’; he emphasises that ‘such extremes should not be taken as the defining types of the tradition to which they are related’.</w:t>
      </w:r>
      <w:r w:rsidRPr="00A40CF4">
        <w:rPr>
          <w:rStyle w:val="EndnoteReference"/>
          <w:rFonts w:cs="Times New Roman"/>
          <w:szCs w:val="24"/>
        </w:rPr>
        <w:endnoteReference w:id="335"/>
      </w:r>
      <w:r w:rsidRPr="00A40CF4">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Feinberg argues that God intended prophecy to be as comprehensible as any other part of scripture;</w:t>
      </w:r>
      <w:r>
        <w:rPr>
          <w:rStyle w:val="EndnoteReference"/>
          <w:rFonts w:cs="Times New Roman"/>
          <w:szCs w:val="24"/>
        </w:rPr>
        <w:endnoteReference w:id="336"/>
      </w:r>
      <w:r>
        <w:rPr>
          <w:rFonts w:cs="Times New Roman"/>
          <w:szCs w:val="24"/>
        </w:rPr>
        <w:t xml:space="preserve"> Tan endorses this, adding that language was originated by God.</w:t>
      </w:r>
      <w:r>
        <w:rPr>
          <w:rStyle w:val="EndnoteReference"/>
          <w:rFonts w:cs="Times New Roman"/>
          <w:szCs w:val="24"/>
        </w:rPr>
        <w:endnoteReference w:id="337"/>
      </w:r>
      <w:r>
        <w:rPr>
          <w:rFonts w:cs="Times New Roman"/>
          <w:szCs w:val="24"/>
        </w:rPr>
        <w:t xml:space="preserve">  Feinberg also indicates that figures of speech must be interpreted in context.  He asserts that God often emphasises the literal </w:t>
      </w:r>
      <w:r>
        <w:rPr>
          <w:rFonts w:cs="Times New Roman"/>
          <w:szCs w:val="24"/>
        </w:rPr>
        <w:lastRenderedPageBreak/>
        <w:t>fulfilment of predictions; especially in Matthew.</w:t>
      </w:r>
      <w:r>
        <w:rPr>
          <w:rStyle w:val="EndnoteReference"/>
          <w:rFonts w:cs="Times New Roman"/>
          <w:szCs w:val="24"/>
        </w:rPr>
        <w:endnoteReference w:id="338"/>
      </w:r>
      <w:r>
        <w:rPr>
          <w:rFonts w:cs="Times New Roman"/>
          <w:szCs w:val="24"/>
        </w:rPr>
        <w:t xml:space="preserve">  Similarly, Tan states that ‘instances of actual fulfilment are usually introduced in the New Testament by the formula </w:t>
      </w:r>
      <w:r w:rsidRPr="002072C8">
        <w:rPr>
          <w:rFonts w:ascii="Times New Roman" w:hAnsi="Times New Roman" w:cs="Times New Roman"/>
          <w:lang w:val="el-GR" w:bidi="he-IL"/>
        </w:rPr>
        <w:t>ἵνα</w:t>
      </w:r>
      <w:r w:rsidRPr="002072C8">
        <w:rPr>
          <w:rFonts w:ascii="Bwgrki" w:hAnsi="Bwgrki" w:cs="SBL Greek"/>
          <w:lang w:val="el-GR" w:bidi="he-IL"/>
        </w:rPr>
        <w:t xml:space="preserve"> </w:t>
      </w:r>
      <w:r w:rsidRPr="002072C8">
        <w:rPr>
          <w:rFonts w:ascii="Times New Roman" w:hAnsi="Times New Roman" w:cs="Times New Roman"/>
          <w:lang w:val="el-GR" w:bidi="he-IL"/>
        </w:rPr>
        <w:t>πληρωθῇ</w:t>
      </w:r>
      <w:r>
        <w:rPr>
          <w:rFonts w:cs="Times New Roman"/>
          <w:szCs w:val="24"/>
        </w:rPr>
        <w:t xml:space="preserve"> (that it might be fulfilled);</w:t>
      </w:r>
      <w:r>
        <w:rPr>
          <w:rStyle w:val="EndnoteReference"/>
          <w:rFonts w:cs="Times New Roman"/>
          <w:szCs w:val="24"/>
        </w:rPr>
        <w:endnoteReference w:id="339"/>
      </w:r>
      <w:r>
        <w:rPr>
          <w:rFonts w:cs="Times New Roman"/>
          <w:szCs w:val="24"/>
        </w:rPr>
        <w:t xml:space="preserve"> however Poythress comments, rather unfairly, that Tan thus limits the interpreter almost entirely to Matthew because only Matthew ‘uses the word “fulfil” regularly in citing the Old Testament’.</w:t>
      </w:r>
      <w:r>
        <w:rPr>
          <w:rStyle w:val="EndnoteReference"/>
          <w:rFonts w:cs="Times New Roman"/>
          <w:szCs w:val="24"/>
        </w:rPr>
        <w:endnoteReference w:id="340"/>
      </w:r>
      <w:r>
        <w:rPr>
          <w:rFonts w:cs="Times New Roman"/>
          <w:szCs w:val="24"/>
        </w:rPr>
        <w:t xml:space="preserve">  Tan does own that ‘we find different formulas used by different writers to introduce … the same passage’.</w:t>
      </w:r>
      <w:r>
        <w:rPr>
          <w:rStyle w:val="EndnoteReference"/>
          <w:rFonts w:cs="Times New Roman"/>
          <w:szCs w:val="24"/>
        </w:rPr>
        <w:endnoteReference w:id="341"/>
      </w:r>
      <w:r>
        <w:rPr>
          <w:rFonts w:cs="Times New Roman"/>
          <w:szCs w:val="24"/>
        </w:rPr>
        <w:t xml:space="preserve">  Feinberg also argues that literal interpretation does justice to Old Testament revelation, and does not regard later revelation as superior, as he accuses ‘spiritualizers’ of doing.  Furthermore, he states that premillennialists do not ‘require every single passage to be interpreted literally without exception’; each kind of language, symbolic, figurative, typical or literal, must be interpreted by its own laws.</w:t>
      </w:r>
      <w:r>
        <w:rPr>
          <w:rStyle w:val="EndnoteReference"/>
          <w:rFonts w:cs="Times New Roman"/>
          <w:szCs w:val="24"/>
        </w:rPr>
        <w:endnoteReference w:id="342"/>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Ramm states that careful attention must be paid to the particular language used in any prophetic passage.  He avers that there is no definitive method for interpreting prophecy, partly because the language is ambiguous.  Prophetic language is visionary because it paints the future in verbal pictures and it also occurs in a wide variety of contexts throughout the Bible from Genesis to Revelation.  Ramm warns that interpreters must not assume they know the meaning of a term simply because it is familiar; terms may be used in different ways from the way in which modern people use it, for example ‘Arabia’.</w:t>
      </w:r>
      <w:r>
        <w:rPr>
          <w:rStyle w:val="EndnoteReference"/>
          <w:rFonts w:cs="Times New Roman"/>
          <w:szCs w:val="24"/>
        </w:rPr>
        <w:endnoteReference w:id="343"/>
      </w:r>
      <w:r>
        <w:rPr>
          <w:rFonts w:cs="Times New Roman"/>
          <w:szCs w:val="24"/>
        </w:rPr>
        <w:t xml:space="preserve">  Terms may be used literally in one context and figuratively in another.  For example, the lions in Daniel 6 are literal lions, whereas the Lion of the tribe of Judah</w:t>
      </w:r>
      <w:r>
        <w:rPr>
          <w:rStyle w:val="EndnoteReference"/>
          <w:rFonts w:cs="Times New Roman"/>
          <w:szCs w:val="24"/>
        </w:rPr>
        <w:endnoteReference w:id="344"/>
      </w:r>
      <w:r>
        <w:rPr>
          <w:rFonts w:cs="Times New Roman"/>
          <w:szCs w:val="24"/>
        </w:rPr>
        <w:t xml:space="preserve"> is figurative.  The description of the devil as a lion</w:t>
      </w:r>
      <w:r>
        <w:rPr>
          <w:rStyle w:val="EndnoteReference"/>
          <w:rFonts w:cs="Times New Roman"/>
          <w:szCs w:val="24"/>
        </w:rPr>
        <w:endnoteReference w:id="345"/>
      </w:r>
      <w:r>
        <w:rPr>
          <w:rFonts w:cs="Times New Roman"/>
          <w:szCs w:val="24"/>
        </w:rPr>
        <w:t xml:space="preserve"> demonstrates that different figurative meanings may be attached to the same word.  Ramm states that context and flow of argument must be considered, together with the determination of the passage’s predictive or didactic nature and the prophecy’s conditional or unconditional, fulfilled or unfulfilled character.</w:t>
      </w:r>
      <w:r>
        <w:rPr>
          <w:rStyle w:val="EndnoteReference"/>
          <w:rFonts w:cs="Times New Roman"/>
          <w:szCs w:val="24"/>
        </w:rPr>
        <w:endnoteReference w:id="346"/>
      </w:r>
      <w:r>
        <w:rPr>
          <w:rFonts w:cs="Times New Roman"/>
          <w:szCs w:val="24"/>
        </w:rPr>
        <w:t xml:space="preserve">  If a prophecy is considered to have been fulfilled, the texts indicating that fulfilment must be studied; also the possibility of multiple fulfilments must be examined.</w:t>
      </w:r>
      <w:r>
        <w:rPr>
          <w:rStyle w:val="EndnoteReference"/>
          <w:rFonts w:cs="Times New Roman"/>
          <w:szCs w:val="24"/>
        </w:rPr>
        <w:endnoteReference w:id="347"/>
      </w:r>
      <w:r>
        <w:rPr>
          <w:rFonts w:cs="Times New Roman"/>
          <w:szCs w:val="24"/>
        </w:rPr>
        <w:t xml:space="preserve">  Christ must be kept central to all prophetic interpretation.</w:t>
      </w:r>
      <w:r>
        <w:rPr>
          <w:rStyle w:val="EndnoteReference"/>
          <w:rFonts w:cs="Times New Roman"/>
          <w:szCs w:val="24"/>
        </w:rPr>
        <w:endnoteReference w:id="348"/>
      </w:r>
      <w:r>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Ramm claims that the apocalypse is one kind of prophetic interpretation, apocalyptic language being prophetic, historical and symbolic.  Interpretation can be difficult and Ramm asserts that ‘in the interpretation of apocalyptic imagery a complete literalistic method is impossible.  Those who claim to be complete literalists with reference to Revelation cannot consistently follow their program out.’</w:t>
      </w:r>
      <w:r>
        <w:rPr>
          <w:rStyle w:val="EndnoteReference"/>
          <w:rFonts w:cs="Times New Roman"/>
          <w:szCs w:val="24"/>
        </w:rPr>
        <w:endnoteReference w:id="349"/>
      </w:r>
      <w:r>
        <w:rPr>
          <w:rFonts w:cs="Times New Roman"/>
          <w:szCs w:val="24"/>
        </w:rPr>
        <w:t xml:space="preserve">  Ramm suggests that the issue is not between spiritualisation and literalism but ‘between lesser and greater degrees of spiritualization’.  If strict literalism were applied here a woman would be literally sitting on seven hills</w:t>
      </w:r>
      <w:r>
        <w:rPr>
          <w:rStyle w:val="EndnoteReference"/>
          <w:rFonts w:cs="Times New Roman"/>
          <w:szCs w:val="24"/>
        </w:rPr>
        <w:endnoteReference w:id="350"/>
      </w:r>
      <w:r>
        <w:rPr>
          <w:rFonts w:cs="Times New Roman"/>
          <w:szCs w:val="24"/>
        </w:rPr>
        <w:t xml:space="preserve">  and Christ would have a literal sword in his mouth.</w:t>
      </w:r>
      <w:r>
        <w:rPr>
          <w:rStyle w:val="EndnoteReference"/>
          <w:rFonts w:cs="Times New Roman"/>
          <w:szCs w:val="24"/>
        </w:rPr>
        <w:endnoteReference w:id="351"/>
      </w:r>
      <w:r>
        <w:rPr>
          <w:rFonts w:cs="Times New Roman"/>
          <w:szCs w:val="24"/>
        </w:rPr>
        <w:t xml:space="preserve">  However, Tan disputes this as an incorrect assumption.</w:t>
      </w:r>
      <w:r>
        <w:rPr>
          <w:rStyle w:val="EndnoteReference"/>
          <w:rFonts w:cs="Times New Roman"/>
          <w:szCs w:val="24"/>
        </w:rPr>
        <w:endnoteReference w:id="352"/>
      </w:r>
      <w:r>
        <w:rPr>
          <w:rFonts w:cs="Times New Roman"/>
          <w:szCs w:val="24"/>
        </w:rPr>
        <w:t xml:space="preserve">  Ramm asserts that ‘to be realistic in interpretation really means that the symbols of Revelation pertain to real, visible occurrences here on earth in contrast to some sort of gradual or historical fulfillment of the symbols in a thinner form’.  It is important to try to ascertain what meaning the symbol had in the writer’s culture and whether meaning is revealed in the passage.  The Old Testament and inter-biblical apocalyptic literature should be searched for clues to Revelation symbols.  It should also be ascertained whether fulfilment has already happened.</w:t>
      </w:r>
      <w:r>
        <w:rPr>
          <w:rStyle w:val="EndnoteReference"/>
          <w:rFonts w:cs="Times New Roman"/>
          <w:szCs w:val="24"/>
        </w:rPr>
        <w:endnoteReference w:id="353"/>
      </w:r>
      <w:r>
        <w:rPr>
          <w:rFonts w:cs="Times New Roman"/>
          <w:szCs w:val="24"/>
        </w:rPr>
        <w:t xml:space="preserve">  </w:t>
      </w:r>
    </w:p>
    <w:p w:rsidR="00442D33" w:rsidRPr="000640D2" w:rsidRDefault="00442D33" w:rsidP="00442D33">
      <w:pPr>
        <w:autoSpaceDE w:val="0"/>
        <w:autoSpaceDN w:val="0"/>
        <w:adjustRightInd w:val="0"/>
        <w:spacing w:after="120" w:line="360" w:lineRule="auto"/>
        <w:jc w:val="both"/>
        <w:rPr>
          <w:rFonts w:cs="Times New Roman"/>
          <w:b/>
          <w:szCs w:val="24"/>
        </w:rPr>
      </w:pPr>
      <w:proofErr w:type="gramStart"/>
      <w:r w:rsidRPr="000640D2">
        <w:rPr>
          <w:rFonts w:cs="Times New Roman"/>
          <w:b/>
          <w:szCs w:val="24"/>
        </w:rPr>
        <w:lastRenderedPageBreak/>
        <w:t>1.2.1  Symbolism</w:t>
      </w:r>
      <w:proofErr w:type="gramEnd"/>
      <w:r w:rsidRPr="000640D2">
        <w:rPr>
          <w:rFonts w:cs="Times New Roman"/>
          <w:b/>
          <w:szCs w:val="24"/>
        </w:rPr>
        <w:t xml:space="preserve"> in Prophecy</w:t>
      </w:r>
    </w:p>
    <w:p w:rsidR="00442D33" w:rsidRDefault="00442D33" w:rsidP="00442D33">
      <w:pPr>
        <w:autoSpaceDE w:val="0"/>
        <w:autoSpaceDN w:val="0"/>
        <w:adjustRightInd w:val="0"/>
        <w:spacing w:after="120" w:line="360" w:lineRule="auto"/>
        <w:jc w:val="both"/>
        <w:rPr>
          <w:rFonts w:cs="Times New Roman"/>
          <w:szCs w:val="24"/>
        </w:rPr>
      </w:pPr>
      <w:r>
        <w:rPr>
          <w:rFonts w:cs="Times New Roman"/>
          <w:szCs w:val="24"/>
        </w:rPr>
        <w:t>Tan classes two kinds of prophecy as ‘so unique that they demand special consideration … symbolical and typical prophecies.</w:t>
      </w:r>
      <w:r>
        <w:rPr>
          <w:rStyle w:val="EndnoteReference"/>
          <w:rFonts w:cs="Times New Roman"/>
          <w:szCs w:val="24"/>
        </w:rPr>
        <w:endnoteReference w:id="354"/>
      </w:r>
      <w:r>
        <w:rPr>
          <w:rFonts w:cs="Times New Roman"/>
          <w:szCs w:val="24"/>
        </w:rPr>
        <w:t xml:space="preserve">  Ramm states that many symbols are used in the Hebrew Scriptures</w:t>
      </w:r>
      <w:r w:rsidR="0008585B">
        <w:rPr>
          <w:rFonts w:cs="Times New Roman"/>
          <w:szCs w:val="24"/>
        </w:rPr>
        <w:t>; he</w:t>
      </w:r>
      <w:r>
        <w:rPr>
          <w:rFonts w:cs="Times New Roman"/>
          <w:szCs w:val="24"/>
        </w:rPr>
        <w:t xml:space="preserve"> attributes this to a human tendency to ‘represent the abstract by the concrete and pictorial’ and also to the mode of Semitic and Oriental thinking.  Thus a symbol consists of the concept and the image which represents it; it is sometimes difficult to discover the concepts represented when cultures have disappeared and the only remnant is the limited range of their literature.  Ramm suggests it is best to interpret symbols by Scripture if possible and, if not, to investigate their context within the biblical book and other uses of the same expressions.  Studies of archaeology and Semitic culture may be helpful.  Ramm warns that some symbols may have double meanings, such as the lion symbol mentioned above, and that some objects or persons may be represented by several different symbols, particularly those representing Christ.  Ramm states that ‘in general, care and good taste should govern one’s interpretation of uninterpreted symbols.  An uncritical association of cross references in determining the meaning of symbols may be more harmful than helpful.’</w:t>
      </w:r>
      <w:r>
        <w:rPr>
          <w:rStyle w:val="EndnoteReference"/>
          <w:rFonts w:cs="Times New Roman"/>
          <w:szCs w:val="24"/>
        </w:rPr>
        <w:endnoteReference w:id="355"/>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Tan states that a symbol has representative meaning, being a ‘graphic delineation of an actual event, truth, or object’.  Symbolic words describe objects seen in prophetic visions, such as ‘trees, figures, candlesticks, beasts, horses and riders, and people … their meanings will be found in other than that which the literal objects connote’.  Symbolic actions comprise prophetic acts which ‘convey specific messages to [the prophet’s] contemporaries’.  Tan states that literalists admit that symbols exist in prophecy but that symbolic language is the exception rather than the rule.</w:t>
      </w:r>
      <w:r>
        <w:rPr>
          <w:rStyle w:val="EndnoteReference"/>
          <w:rFonts w:cs="Times New Roman"/>
          <w:szCs w:val="24"/>
        </w:rPr>
        <w:endnoteReference w:id="356"/>
      </w:r>
      <w:r>
        <w:rPr>
          <w:rFonts w:cs="Times New Roman"/>
          <w:szCs w:val="24"/>
        </w:rPr>
        <w:t xml:space="preserve">  Conversely, Ryrie states that ‘although much of prophecy is given in plain terms, much of it is in figurative language, and this constitutes a problem of interpretation’.  In general, however, ‘the use of figurative language does not compromise or nullify the literal sense of the thing to which is it applied’.</w:t>
      </w:r>
      <w:r>
        <w:rPr>
          <w:rStyle w:val="EndnoteReference"/>
          <w:rFonts w:cs="Times New Roman"/>
          <w:szCs w:val="24"/>
        </w:rPr>
        <w:endnoteReference w:id="357"/>
      </w:r>
      <w:r>
        <w:rPr>
          <w:rFonts w:cs="Times New Roman"/>
          <w:szCs w:val="24"/>
        </w:rPr>
        <w:t xml:space="preserve">  </w:t>
      </w:r>
      <w:proofErr w:type="gramStart"/>
      <w:r>
        <w:rPr>
          <w:rFonts w:cs="Times New Roman"/>
          <w:szCs w:val="24"/>
        </w:rPr>
        <w:t>This points</w:t>
      </w:r>
      <w:proofErr w:type="gramEnd"/>
      <w:r>
        <w:rPr>
          <w:rFonts w:cs="Times New Roman"/>
          <w:szCs w:val="24"/>
        </w:rPr>
        <w:t xml:space="preserve"> to a difference of opinion even between dispensationalist writers.</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Tan states that interpreters should accept as symbols ‘those which are so designated in context’, like the statue and beasts in Daniel 2 and 7 and the woman in the ephah,</w:t>
      </w:r>
      <w:r>
        <w:rPr>
          <w:rStyle w:val="EndnoteReference"/>
          <w:rFonts w:cs="Times New Roman"/>
          <w:szCs w:val="24"/>
        </w:rPr>
        <w:endnoteReference w:id="358"/>
      </w:r>
      <w:r>
        <w:rPr>
          <w:rFonts w:cs="Times New Roman"/>
          <w:szCs w:val="24"/>
        </w:rPr>
        <w:t xml:space="preserve"> and also ‘elements which are truly impossible in the realm of reality’, noting that ‘eschatological times are real times’.</w:t>
      </w:r>
      <w:r>
        <w:rPr>
          <w:rStyle w:val="EndnoteReference"/>
          <w:rFonts w:cs="Times New Roman"/>
          <w:szCs w:val="24"/>
        </w:rPr>
        <w:endnoteReference w:id="359"/>
      </w:r>
      <w:r>
        <w:rPr>
          <w:rFonts w:cs="Times New Roman"/>
          <w:szCs w:val="24"/>
        </w:rPr>
        <w:t xml:space="preserve">  Tan gives the examples of the woman clad with the sun,</w:t>
      </w:r>
      <w:r>
        <w:rPr>
          <w:rStyle w:val="EndnoteReference"/>
          <w:rFonts w:cs="Times New Roman"/>
          <w:szCs w:val="24"/>
        </w:rPr>
        <w:endnoteReference w:id="360"/>
      </w:r>
      <w:r>
        <w:rPr>
          <w:rFonts w:cs="Times New Roman"/>
          <w:szCs w:val="24"/>
        </w:rPr>
        <w:t xml:space="preserve"> the beast with seven heads and ten horns,</w:t>
      </w:r>
      <w:r>
        <w:rPr>
          <w:rStyle w:val="EndnoteReference"/>
          <w:rFonts w:cs="Times New Roman"/>
          <w:szCs w:val="24"/>
        </w:rPr>
        <w:endnoteReference w:id="361"/>
      </w:r>
      <w:r>
        <w:rPr>
          <w:rFonts w:cs="Times New Roman"/>
          <w:szCs w:val="24"/>
        </w:rPr>
        <w:t xml:space="preserve"> and Ezekiel being lifted to Jerusalem by his hair.</w:t>
      </w:r>
      <w:r>
        <w:rPr>
          <w:rStyle w:val="EndnoteReference"/>
          <w:rFonts w:cs="Times New Roman"/>
          <w:szCs w:val="24"/>
        </w:rPr>
        <w:endnoteReference w:id="362"/>
      </w:r>
      <w:r>
        <w:rPr>
          <w:rFonts w:cs="Times New Roman"/>
          <w:szCs w:val="24"/>
        </w:rPr>
        <w:t xml:space="preserve">  It is difficult to see why these examples should be regarded differently from others which are accepted as literal,</w:t>
      </w:r>
      <w:r>
        <w:rPr>
          <w:rStyle w:val="EndnoteReference"/>
          <w:rFonts w:cs="Times New Roman"/>
          <w:szCs w:val="24"/>
        </w:rPr>
        <w:endnoteReference w:id="363"/>
      </w:r>
      <w:r>
        <w:rPr>
          <w:rFonts w:cs="Times New Roman"/>
          <w:szCs w:val="24"/>
        </w:rPr>
        <w:t xml:space="preserve"> for example lions eating straw,</w:t>
      </w:r>
      <w:r>
        <w:rPr>
          <w:rStyle w:val="EndnoteReference"/>
          <w:rFonts w:cs="Times New Roman"/>
          <w:szCs w:val="24"/>
        </w:rPr>
        <w:endnoteReference w:id="364"/>
      </w:r>
      <w:r>
        <w:rPr>
          <w:rFonts w:cs="Times New Roman"/>
          <w:szCs w:val="24"/>
        </w:rPr>
        <w:t xml:space="preserve"> there being a pearl large enough to become a gate for the New Jerusalem</w:t>
      </w:r>
      <w:r>
        <w:rPr>
          <w:rStyle w:val="EndnoteReference"/>
          <w:rFonts w:cs="Times New Roman"/>
          <w:szCs w:val="24"/>
        </w:rPr>
        <w:endnoteReference w:id="365"/>
      </w:r>
      <w:r>
        <w:rPr>
          <w:rFonts w:cs="Times New Roman"/>
          <w:szCs w:val="24"/>
        </w:rPr>
        <w:t xml:space="preserve"> or the existence of an army of 200 million.</w:t>
      </w:r>
      <w:r>
        <w:rPr>
          <w:rStyle w:val="EndnoteReference"/>
          <w:rFonts w:cs="Times New Roman"/>
          <w:szCs w:val="24"/>
        </w:rPr>
        <w:endnoteReference w:id="366"/>
      </w:r>
    </w:p>
    <w:p w:rsidR="00442D33" w:rsidRPr="000640D2" w:rsidRDefault="00442D33" w:rsidP="00442D33">
      <w:pPr>
        <w:autoSpaceDE w:val="0"/>
        <w:autoSpaceDN w:val="0"/>
        <w:adjustRightInd w:val="0"/>
        <w:spacing w:after="120" w:line="360" w:lineRule="auto"/>
        <w:jc w:val="both"/>
        <w:rPr>
          <w:rFonts w:cs="Times New Roman"/>
          <w:b/>
          <w:szCs w:val="24"/>
        </w:rPr>
      </w:pPr>
      <w:proofErr w:type="gramStart"/>
      <w:r w:rsidRPr="000640D2">
        <w:rPr>
          <w:rFonts w:cs="Times New Roman"/>
          <w:b/>
          <w:szCs w:val="24"/>
        </w:rPr>
        <w:t>1.2.2  Numerical</w:t>
      </w:r>
      <w:proofErr w:type="gramEnd"/>
      <w:r w:rsidRPr="000640D2">
        <w:rPr>
          <w:rFonts w:cs="Times New Roman"/>
          <w:b/>
          <w:szCs w:val="24"/>
        </w:rPr>
        <w:t xml:space="preserve"> Symbolism</w:t>
      </w:r>
    </w:p>
    <w:p w:rsidR="00442D33" w:rsidRDefault="00442D33" w:rsidP="00442D33">
      <w:pPr>
        <w:autoSpaceDE w:val="0"/>
        <w:autoSpaceDN w:val="0"/>
        <w:adjustRightInd w:val="0"/>
        <w:spacing w:after="120" w:line="360" w:lineRule="auto"/>
        <w:jc w:val="both"/>
        <w:rPr>
          <w:rFonts w:cs="Times New Roman"/>
          <w:szCs w:val="24"/>
        </w:rPr>
      </w:pPr>
      <w:r w:rsidRPr="005B6250">
        <w:rPr>
          <w:rFonts w:cs="Times New Roman"/>
          <w:szCs w:val="24"/>
        </w:rPr>
        <w:t>Ramm</w:t>
      </w:r>
      <w:r>
        <w:rPr>
          <w:rFonts w:cs="Times New Roman"/>
          <w:color w:val="7030A0"/>
          <w:szCs w:val="24"/>
        </w:rPr>
        <w:t xml:space="preserve"> </w:t>
      </w:r>
      <w:r w:rsidRPr="005B6250">
        <w:rPr>
          <w:rFonts w:cs="Times New Roman"/>
          <w:szCs w:val="24"/>
        </w:rPr>
        <w:t xml:space="preserve">states that there is ‘a basic symbolism of numbers in the Bible’, especially in Daniel and Revelation, but warns that ‘apart from a few basic agreements on some of the numbers, fancy characterizes most </w:t>
      </w:r>
      <w:r w:rsidRPr="005B6250">
        <w:rPr>
          <w:rFonts w:cs="Times New Roman"/>
          <w:szCs w:val="24"/>
        </w:rPr>
        <w:lastRenderedPageBreak/>
        <w:t>studies on the subject</w:t>
      </w:r>
      <w:r>
        <w:rPr>
          <w:rFonts w:cs="Times New Roman"/>
          <w:szCs w:val="24"/>
        </w:rPr>
        <w:t>’.</w:t>
      </w:r>
      <w:r>
        <w:rPr>
          <w:rStyle w:val="EndnoteReference"/>
          <w:rFonts w:cs="Times New Roman"/>
          <w:szCs w:val="24"/>
        </w:rPr>
        <w:endnoteReference w:id="367"/>
      </w:r>
      <w:r>
        <w:rPr>
          <w:rFonts w:cs="Times New Roman"/>
          <w:szCs w:val="24"/>
        </w:rPr>
        <w:t xml:space="preserve">  Tan states that ‘prophetic numbers are to be accepted as actual and literal’.  He cites the army of 200 million in Revelation as not being ‘preposterous’, as some might claim on the grounds that the world population at the time of John was less than that figure and that such an army has never existed.  Tan merely comments, ‘It is … safe to accept the size of this eschatological army, even though its number may be phenomenal.’  He also notes that actual numbers may have symbolic significance, for example the number 7, as in Joshua’s seven priests blowing seven trumpets for seven days at Jericho, and the seven churches, seals, trumpet woes and bowls of Revelation.</w:t>
      </w:r>
      <w:r>
        <w:rPr>
          <w:rStyle w:val="EndnoteReference"/>
          <w:rFonts w:cs="Times New Roman"/>
          <w:szCs w:val="24"/>
        </w:rPr>
        <w:endnoteReference w:id="368"/>
      </w:r>
      <w:r>
        <w:rPr>
          <w:rFonts w:cs="Times New Roman"/>
          <w:szCs w:val="24"/>
        </w:rPr>
        <w:t xml:space="preserve">  Feinberg argues that ‘prophetic numbers are symbolic just because and only because they are literal</w:t>
      </w:r>
      <w:r w:rsidR="00D80326">
        <w:rPr>
          <w:rFonts w:cs="Times New Roman"/>
          <w:szCs w:val="24"/>
        </w:rPr>
        <w:t>’</w:t>
      </w:r>
      <w:r>
        <w:rPr>
          <w:rFonts w:cs="Times New Roman"/>
          <w:szCs w:val="24"/>
        </w:rPr>
        <w:t>.  Referring to Revelation 1, he states that there are literally seven lampstands ‘and the symbolic significance is derivable from the literalness of the number’.  On this basis, Feinberg includes the literal and symbolic meaning of the thousand years.</w:t>
      </w:r>
      <w:r>
        <w:rPr>
          <w:rStyle w:val="EndnoteReference"/>
          <w:rFonts w:cs="Times New Roman"/>
          <w:szCs w:val="24"/>
        </w:rPr>
        <w:endnoteReference w:id="369"/>
      </w:r>
      <w:r>
        <w:rPr>
          <w:rFonts w:cs="Times New Roman"/>
          <w:szCs w:val="24"/>
        </w:rPr>
        <w:t xml:space="preserve">  He also cites previous literal fulfilment of prophetic numbers, such as the seventy years of the Babylonian exile.</w:t>
      </w:r>
      <w:r>
        <w:rPr>
          <w:rStyle w:val="EndnoteReference"/>
          <w:rFonts w:cs="Times New Roman"/>
          <w:szCs w:val="24"/>
        </w:rPr>
        <w:endnoteReference w:id="370"/>
      </w:r>
      <w:r>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 xml:space="preserve">Lockhart states that ‘it is reasonable to expect prophetic writers … to use numbers both literally and figuratively’.  For instance, the four hundred years of exile predicted in Gen. 15:13 </w:t>
      </w:r>
      <w:r w:rsidR="00D80326">
        <w:rPr>
          <w:rFonts w:cs="Times New Roman"/>
          <w:szCs w:val="24"/>
        </w:rPr>
        <w:t>are</w:t>
      </w:r>
      <w:r>
        <w:rPr>
          <w:rFonts w:cs="Times New Roman"/>
          <w:szCs w:val="24"/>
        </w:rPr>
        <w:t xml:space="preserve"> literal, as was Isaiah’s prediction concerning the destruction of Ephraim within sixty-five years.</w:t>
      </w:r>
      <w:r>
        <w:rPr>
          <w:rStyle w:val="EndnoteReference"/>
          <w:rFonts w:cs="Times New Roman"/>
          <w:szCs w:val="24"/>
        </w:rPr>
        <w:endnoteReference w:id="371"/>
      </w:r>
      <w:r>
        <w:rPr>
          <w:rFonts w:cs="Times New Roman"/>
          <w:szCs w:val="24"/>
        </w:rPr>
        <w:t xml:space="preserve">  Lockhart points to the frequent non-literal interpretation of Dan. 9:2, which he refutes, linking the seventy years predicted “for the accomplishment of the desolation of Jerusalem” with ‘the length of the Babylonian exile’; Lockhart asserts that ‘Daniel interpreted the number literally, for he began immediately to prepare for the return.</w:t>
      </w:r>
      <w:r w:rsidR="00D80326">
        <w:rPr>
          <w:rFonts w:cs="Times New Roman"/>
          <w:szCs w:val="24"/>
        </w:rPr>
        <w:t xml:space="preserve"> </w:t>
      </w:r>
      <w:r>
        <w:rPr>
          <w:rFonts w:cs="Times New Roman"/>
          <w:szCs w:val="24"/>
        </w:rPr>
        <w:t xml:space="preserve"> It would be most extravagant to understand that the Exile was to continue three hundred and sixty times seventy years; and it is an historical fact that the Exile lasted, in round numbers, the period that Jeremiah had prophesied in literal terms.’  Lockhart offers no proof for his statement about Daniel’s preparations and Dan. 9:3-19 contains an account of Daniel’s fasting and prayer.  If what Lockhart says about Daniel’s preparations were true, it would shed an interesting light on dispensational interpretations concerning Daniel’s seventy weeks and the postponed kingdom.</w:t>
      </w:r>
      <w:r>
        <w:rPr>
          <w:rStyle w:val="EndnoteReference"/>
          <w:rFonts w:cs="Times New Roman"/>
          <w:szCs w:val="24"/>
        </w:rPr>
        <w:endnoteReference w:id="372"/>
      </w:r>
      <w:r>
        <w:rPr>
          <w:rFonts w:cs="Times New Roman"/>
          <w:szCs w:val="24"/>
        </w:rPr>
        <w:t xml:space="preserve">  Lockhart also asserts that the ‘year-day theory’ by which the time, times and half a time,</w:t>
      </w:r>
      <w:r>
        <w:rPr>
          <w:rStyle w:val="EndnoteReference"/>
          <w:rFonts w:cs="Times New Roman"/>
          <w:szCs w:val="24"/>
        </w:rPr>
        <w:endnoteReference w:id="373"/>
      </w:r>
      <w:r>
        <w:rPr>
          <w:rFonts w:cs="Times New Roman"/>
          <w:szCs w:val="24"/>
        </w:rPr>
        <w:t xml:space="preserve"> the 1260 days,</w:t>
      </w:r>
      <w:r>
        <w:rPr>
          <w:rStyle w:val="EndnoteReference"/>
          <w:rFonts w:cs="Times New Roman"/>
          <w:szCs w:val="24"/>
        </w:rPr>
        <w:endnoteReference w:id="374"/>
      </w:r>
      <w:r>
        <w:rPr>
          <w:rFonts w:cs="Times New Roman"/>
          <w:szCs w:val="24"/>
        </w:rPr>
        <w:t xml:space="preserve"> the 2300 days,</w:t>
      </w:r>
      <w:r>
        <w:rPr>
          <w:rStyle w:val="EndnoteReference"/>
          <w:rFonts w:cs="Times New Roman"/>
          <w:szCs w:val="24"/>
        </w:rPr>
        <w:endnoteReference w:id="375"/>
      </w:r>
      <w:r>
        <w:rPr>
          <w:rFonts w:cs="Times New Roman"/>
          <w:szCs w:val="24"/>
        </w:rPr>
        <w:t xml:space="preserve"> the 1290 and 1335 days,</w:t>
      </w:r>
      <w:r>
        <w:rPr>
          <w:rStyle w:val="EndnoteReference"/>
          <w:rFonts w:cs="Times New Roman"/>
          <w:szCs w:val="24"/>
        </w:rPr>
        <w:endnoteReference w:id="376"/>
      </w:r>
      <w:r>
        <w:rPr>
          <w:rFonts w:cs="Times New Roman"/>
          <w:szCs w:val="24"/>
        </w:rPr>
        <w:t xml:space="preserve"> and the 42 months</w:t>
      </w:r>
      <w:r>
        <w:rPr>
          <w:rStyle w:val="EndnoteReference"/>
          <w:rFonts w:cs="Times New Roman"/>
          <w:szCs w:val="24"/>
        </w:rPr>
        <w:endnoteReference w:id="377"/>
      </w:r>
      <w:r>
        <w:rPr>
          <w:rFonts w:cs="Times New Roman"/>
          <w:szCs w:val="24"/>
        </w:rPr>
        <w:t xml:space="preserve"> </w:t>
      </w:r>
      <w:r w:rsidRPr="00841F45">
        <w:rPr>
          <w:rFonts w:cs="Times New Roman"/>
          <w:spacing w:val="-2"/>
          <w:szCs w:val="24"/>
        </w:rPr>
        <w:t>are often interpreted, ‘rests on very unsubstantial proof’, which he delineates as coming from Num. 14:33-4</w:t>
      </w:r>
      <w:r w:rsidRPr="00841F45">
        <w:rPr>
          <w:rStyle w:val="FootnoteReference"/>
          <w:rFonts w:cs="Times New Roman"/>
          <w:spacing w:val="-2"/>
          <w:szCs w:val="24"/>
        </w:rPr>
        <w:footnoteReference w:id="19"/>
      </w:r>
      <w:r>
        <w:rPr>
          <w:rFonts w:cs="Times New Roman"/>
          <w:szCs w:val="24"/>
        </w:rPr>
        <w:t xml:space="preserve"> and Ezek. 4:5-6,</w:t>
      </w:r>
      <w:r>
        <w:rPr>
          <w:rStyle w:val="FootnoteReference"/>
          <w:rFonts w:cs="Times New Roman"/>
          <w:szCs w:val="24"/>
        </w:rPr>
        <w:footnoteReference w:id="20"/>
      </w:r>
      <w:r>
        <w:rPr>
          <w:rFonts w:cs="Times New Roman"/>
          <w:szCs w:val="24"/>
        </w:rPr>
        <w:t xml:space="preserve"> where days represent years.  Lockhart argues that there is no indication that either of these passages sets out a general rule for prophetic interpretation.</w:t>
      </w:r>
      <w:r>
        <w:rPr>
          <w:rStyle w:val="EndnoteReference"/>
          <w:rFonts w:cs="Times New Roman"/>
          <w:szCs w:val="24"/>
        </w:rPr>
        <w:endnoteReference w:id="378"/>
      </w:r>
      <w:r>
        <w:rPr>
          <w:rFonts w:cs="Times New Roman"/>
          <w:szCs w:val="24"/>
        </w:rPr>
        <w:t xml:space="preserve"> </w:t>
      </w:r>
    </w:p>
    <w:p w:rsidR="001349B7" w:rsidRDefault="001349B7" w:rsidP="00442D33">
      <w:pPr>
        <w:autoSpaceDE w:val="0"/>
        <w:autoSpaceDN w:val="0"/>
        <w:adjustRightInd w:val="0"/>
        <w:spacing w:after="120" w:line="360" w:lineRule="auto"/>
        <w:ind w:firstLine="567"/>
        <w:jc w:val="both"/>
        <w:rPr>
          <w:rFonts w:cs="Times New Roman"/>
          <w:szCs w:val="24"/>
        </w:rPr>
      </w:pPr>
    </w:p>
    <w:p w:rsidR="001349B7" w:rsidRDefault="001349B7" w:rsidP="00442D33">
      <w:pPr>
        <w:autoSpaceDE w:val="0"/>
        <w:autoSpaceDN w:val="0"/>
        <w:adjustRightInd w:val="0"/>
        <w:spacing w:after="120" w:line="360" w:lineRule="auto"/>
        <w:ind w:firstLine="567"/>
        <w:jc w:val="both"/>
        <w:rPr>
          <w:rFonts w:cs="Times New Roman"/>
          <w:szCs w:val="24"/>
        </w:rPr>
      </w:pPr>
    </w:p>
    <w:p w:rsidR="00442D33" w:rsidRPr="000640D2" w:rsidRDefault="00442D33" w:rsidP="00442D33">
      <w:pPr>
        <w:autoSpaceDE w:val="0"/>
        <w:autoSpaceDN w:val="0"/>
        <w:adjustRightInd w:val="0"/>
        <w:spacing w:after="120" w:line="360" w:lineRule="auto"/>
        <w:jc w:val="both"/>
        <w:rPr>
          <w:rFonts w:cs="Times New Roman"/>
          <w:b/>
          <w:szCs w:val="24"/>
        </w:rPr>
      </w:pPr>
      <w:proofErr w:type="gramStart"/>
      <w:r>
        <w:rPr>
          <w:rFonts w:cs="Times New Roman"/>
          <w:b/>
          <w:szCs w:val="24"/>
        </w:rPr>
        <w:lastRenderedPageBreak/>
        <w:t>1.2.3</w:t>
      </w:r>
      <w:r w:rsidRPr="000640D2">
        <w:rPr>
          <w:rFonts w:cs="Times New Roman"/>
          <w:b/>
          <w:szCs w:val="24"/>
        </w:rPr>
        <w:t xml:space="preserve">  “</w:t>
      </w:r>
      <w:proofErr w:type="gramEnd"/>
      <w:r w:rsidRPr="000640D2">
        <w:rPr>
          <w:rFonts w:cs="Times New Roman"/>
          <w:b/>
          <w:szCs w:val="24"/>
        </w:rPr>
        <w:t>Foreshortening” in Prophecy</w:t>
      </w:r>
    </w:p>
    <w:p w:rsidR="00442D33" w:rsidRDefault="00442D33" w:rsidP="00442D33">
      <w:pPr>
        <w:autoSpaceDE w:val="0"/>
        <w:autoSpaceDN w:val="0"/>
        <w:adjustRightInd w:val="0"/>
        <w:spacing w:after="120" w:line="360" w:lineRule="auto"/>
        <w:jc w:val="both"/>
        <w:rPr>
          <w:rFonts w:cs="Times New Roman"/>
          <w:szCs w:val="24"/>
        </w:rPr>
      </w:pPr>
      <w:r>
        <w:rPr>
          <w:rFonts w:cs="Times New Roman"/>
          <w:szCs w:val="24"/>
        </w:rPr>
        <w:t>Ramm states that ‘the prophets were not systematic in their presentation of sequences’.  Predicted events might lie in the immediate or distant future and events predicted for different times might be amalgamated, as was the case with Messianic suffering and glory; ‘only in the … New Testament are these two pictures properly related in terms of two advents of the Messiah’.</w:t>
      </w:r>
      <w:r>
        <w:rPr>
          <w:rStyle w:val="EndnoteReference"/>
          <w:rFonts w:cs="Times New Roman"/>
          <w:szCs w:val="24"/>
        </w:rPr>
        <w:endnoteReference w:id="379"/>
      </w:r>
      <w:r>
        <w:rPr>
          <w:rFonts w:cs="Times New Roman"/>
          <w:szCs w:val="24"/>
        </w:rPr>
        <w:t xml:space="preserve">  Tan calls this ‘the perspective of prophecy’, which means </w:t>
      </w:r>
      <w:proofErr w:type="gramStart"/>
      <w:r>
        <w:rPr>
          <w:rFonts w:cs="Times New Roman"/>
          <w:szCs w:val="24"/>
        </w:rPr>
        <w:t>that ‘two or more future events, widely separated in time, may been</w:t>
      </w:r>
      <w:proofErr w:type="gramEnd"/>
      <w:r>
        <w:rPr>
          <w:rFonts w:cs="Times New Roman"/>
          <w:szCs w:val="24"/>
        </w:rPr>
        <w:t xml:space="preserve"> seen by the prophet in a single profile side by side’.  He likens this to a view where ranges of mountains appear close together and the intervening valleys are obscured, or to an earthly observer’s view of the constellations.</w:t>
      </w:r>
      <w:r>
        <w:rPr>
          <w:rStyle w:val="EndnoteReference"/>
          <w:rFonts w:cs="Times New Roman"/>
          <w:szCs w:val="24"/>
        </w:rPr>
        <w:endnoteReference w:id="380"/>
      </w:r>
      <w:r>
        <w:rPr>
          <w:rFonts w:cs="Times New Roman"/>
          <w:szCs w:val="24"/>
        </w:rPr>
        <w:t xml:space="preserve">  Feinberg cites the example of Rachel grieving for her children,</w:t>
      </w:r>
      <w:r>
        <w:rPr>
          <w:rStyle w:val="EndnoteReference"/>
          <w:rFonts w:cs="Times New Roman"/>
          <w:szCs w:val="24"/>
        </w:rPr>
        <w:endnoteReference w:id="381"/>
      </w:r>
      <w:r>
        <w:rPr>
          <w:rFonts w:cs="Times New Roman"/>
          <w:szCs w:val="24"/>
        </w:rPr>
        <w:t xml:space="preserve"> which initially applied to the Babylonian captivity, but subsequently to Herod’s slaughter of the innocents.</w:t>
      </w:r>
      <w:r>
        <w:rPr>
          <w:rStyle w:val="EndnoteReference"/>
          <w:rFonts w:cs="Times New Roman"/>
          <w:szCs w:val="24"/>
        </w:rPr>
        <w:endnoteReference w:id="382"/>
      </w:r>
      <w:r>
        <w:rPr>
          <w:rFonts w:cs="Times New Roman"/>
          <w:szCs w:val="24"/>
        </w:rPr>
        <w:t xml:space="preserve">  Tan states that tenses may be future, present or past because the prophets ‘[stand] above all conceptions of time’, and some parts of prophecies may have ‘reverse time sequences’ meaning that events may occur in a different order from that prophesied.</w:t>
      </w:r>
      <w:r>
        <w:rPr>
          <w:rStyle w:val="EndnoteReference"/>
          <w:rFonts w:cs="Times New Roman"/>
          <w:szCs w:val="24"/>
        </w:rPr>
        <w:endnoteReference w:id="383"/>
      </w:r>
    </w:p>
    <w:p w:rsidR="00442D33" w:rsidRPr="00CF5BC5" w:rsidRDefault="00442D33" w:rsidP="00442D33">
      <w:pPr>
        <w:autoSpaceDE w:val="0"/>
        <w:autoSpaceDN w:val="0"/>
        <w:adjustRightInd w:val="0"/>
        <w:spacing w:after="120" w:line="360" w:lineRule="auto"/>
        <w:jc w:val="both"/>
        <w:rPr>
          <w:rFonts w:cs="Times New Roman"/>
          <w:b/>
          <w:sz w:val="24"/>
          <w:szCs w:val="24"/>
        </w:rPr>
      </w:pPr>
      <w:proofErr w:type="gramStart"/>
      <w:r w:rsidRPr="00CF5BC5">
        <w:rPr>
          <w:rFonts w:cs="Times New Roman"/>
          <w:b/>
          <w:sz w:val="24"/>
          <w:szCs w:val="24"/>
        </w:rPr>
        <w:t>1.</w:t>
      </w:r>
      <w:r>
        <w:rPr>
          <w:rFonts w:cs="Times New Roman"/>
          <w:b/>
          <w:sz w:val="24"/>
          <w:szCs w:val="24"/>
        </w:rPr>
        <w:t>3</w:t>
      </w:r>
      <w:r w:rsidRPr="00CF5BC5">
        <w:rPr>
          <w:rFonts w:cs="Times New Roman"/>
          <w:b/>
          <w:sz w:val="24"/>
          <w:szCs w:val="24"/>
        </w:rPr>
        <w:t xml:space="preserve">  Typology</w:t>
      </w:r>
      <w:proofErr w:type="gramEnd"/>
    </w:p>
    <w:p w:rsidR="00442D33" w:rsidRDefault="00442D33" w:rsidP="00442D33">
      <w:pPr>
        <w:autoSpaceDE w:val="0"/>
        <w:autoSpaceDN w:val="0"/>
        <w:adjustRightInd w:val="0"/>
        <w:spacing w:after="120" w:line="360" w:lineRule="auto"/>
        <w:jc w:val="both"/>
        <w:rPr>
          <w:rFonts w:cs="Times New Roman"/>
          <w:szCs w:val="24"/>
        </w:rPr>
      </w:pPr>
      <w:r w:rsidRPr="00C21C0E">
        <w:rPr>
          <w:rFonts w:cs="Times New Roman"/>
          <w:szCs w:val="24"/>
        </w:rPr>
        <w:t>The word, ‘type’ is a translation of the Greek ‘</w:t>
      </w:r>
      <w:r w:rsidRPr="00C21C0E">
        <w:rPr>
          <w:rFonts w:ascii="Times New Roman" w:hAnsi="Times New Roman" w:cs="Times New Roman"/>
          <w:bCs/>
          <w:lang w:val="el-GR" w:bidi="he-IL"/>
        </w:rPr>
        <w:t>τύπος</w:t>
      </w:r>
      <w:r w:rsidRPr="00C21C0E">
        <w:rPr>
          <w:rFonts w:cs="Times New Roman"/>
          <w:szCs w:val="24"/>
        </w:rPr>
        <w:t xml:space="preserve">’, </w:t>
      </w:r>
      <w:r>
        <w:rPr>
          <w:rFonts w:cs="Times New Roman"/>
          <w:szCs w:val="24"/>
        </w:rPr>
        <w:t xml:space="preserve">one of whose </w:t>
      </w:r>
      <w:proofErr w:type="gramStart"/>
      <w:r>
        <w:rPr>
          <w:rFonts w:cs="Times New Roman"/>
          <w:szCs w:val="24"/>
        </w:rPr>
        <w:t>meanings is</w:t>
      </w:r>
      <w:proofErr w:type="gramEnd"/>
      <w:r>
        <w:rPr>
          <w:rFonts w:cs="Times New Roman"/>
          <w:szCs w:val="24"/>
        </w:rPr>
        <w:t xml:space="preserve"> ‘pattern’.  Types play an important role in the study of the relationship between the Old and New Testaments.  Typology is an approach to biblical content which regards certain Old Testament people, events or objects as patterns for commensurate elements in the New Testament; these are known as ‘antitypes’.  David Baker suggests that ‘a type is a biblical event, person or institution which serves as an example or pattern for other events, persons or institutions; typology is the study of types and historical and theological correspondences between them’.</w:t>
      </w:r>
      <w:r>
        <w:rPr>
          <w:rStyle w:val="EndnoteReference"/>
          <w:rFonts w:cs="Times New Roman"/>
          <w:szCs w:val="24"/>
        </w:rPr>
        <w:endnoteReference w:id="384"/>
      </w:r>
      <w:r>
        <w:rPr>
          <w:rFonts w:cs="Times New Roman"/>
          <w:szCs w:val="24"/>
        </w:rPr>
        <w:t xml:space="preserve">  Donald </w:t>
      </w:r>
      <w:r w:rsidRPr="00C21C0E">
        <w:rPr>
          <w:rFonts w:cs="Times New Roman"/>
          <w:szCs w:val="24"/>
        </w:rPr>
        <w:t>Campbell defines a type as ‘</w:t>
      </w:r>
      <w:r w:rsidRPr="00C21C0E">
        <w:rPr>
          <w:rFonts w:eastAsia="Times New Roman" w:cs="Times New Roman"/>
          <w:szCs w:val="24"/>
          <w:lang w:eastAsia="en-GB"/>
        </w:rPr>
        <w:t>an Old Testament institution, event, person, object, or ceremony which has reality and purpose in Biblical history, but which also by divine design foreshadows something yet to be revealed’</w:t>
      </w:r>
      <w:r w:rsidRPr="00C21C0E">
        <w:rPr>
          <w:rFonts w:ascii="Times New Roman" w:eastAsia="Times New Roman" w:hAnsi="Times New Roman" w:cs="Times New Roman"/>
          <w:sz w:val="24"/>
          <w:szCs w:val="24"/>
          <w:lang w:eastAsia="en-GB"/>
        </w:rPr>
        <w:t>.</w:t>
      </w:r>
      <w:r w:rsidRPr="000F051A">
        <w:rPr>
          <w:rStyle w:val="EndnoteReference"/>
          <w:rFonts w:eastAsia="Times New Roman" w:cs="Times New Roman"/>
          <w:szCs w:val="24"/>
          <w:lang w:eastAsia="en-GB"/>
        </w:rPr>
        <w:endnoteReference w:id="385"/>
      </w:r>
      <w:r>
        <w:rPr>
          <w:rFonts w:cs="Times New Roman"/>
          <w:szCs w:val="24"/>
        </w:rPr>
        <w:t xml:space="preserve">  However, Baker emphasises that ‘it is only in retrospect that an event, person or institution may be seen as typical’; a typological meaning would not have been apparent at the time of writing.</w:t>
      </w:r>
      <w:r>
        <w:rPr>
          <w:rStyle w:val="EndnoteReference"/>
          <w:rFonts w:cs="Times New Roman"/>
          <w:szCs w:val="24"/>
        </w:rPr>
        <w:endnoteReference w:id="386"/>
      </w:r>
    </w:p>
    <w:p w:rsidR="00442D33" w:rsidRPr="00A822ED"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 xml:space="preserve">Both dispensationalists and non-dispensationalists employ typological methods but </w:t>
      </w:r>
      <w:r w:rsidRPr="0026092F">
        <w:rPr>
          <w:rFonts w:cs="Times New Roman"/>
          <w:szCs w:val="24"/>
        </w:rPr>
        <w:t>John Feinberg</w:t>
      </w:r>
      <w:r>
        <w:rPr>
          <w:rFonts w:cs="Times New Roman"/>
          <w:szCs w:val="24"/>
        </w:rPr>
        <w:t xml:space="preserve"> states that these groups ‘differ in their understanding of typology and its implications for the relation of the Testaments’.  Non-dispensational systems emphasise that ‘the type is shadow and the antitype is reality’, thus implying that the type is superseded by its antitype, which ‘cancels the meaning of the type in its own context’.</w:t>
      </w:r>
      <w:r>
        <w:rPr>
          <w:rStyle w:val="EndnoteReference"/>
          <w:rFonts w:cs="Times New Roman"/>
          <w:szCs w:val="24"/>
        </w:rPr>
        <w:endnoteReference w:id="387"/>
      </w:r>
      <w:r>
        <w:rPr>
          <w:rFonts w:cs="Times New Roman"/>
          <w:szCs w:val="24"/>
        </w:rPr>
        <w:t xml:space="preserve">  However, Scofield avers that in God’s view the Old Testament sacrifices were ‘the shadows (Heb. 10:1) of which Christ was the reality’, thus placing himself alongside non-dispensationalists in Feinberg’s r</w:t>
      </w:r>
      <w:r w:rsidRPr="005F25B5">
        <w:rPr>
          <w:rFonts w:cs="Times New Roman"/>
          <w:szCs w:val="24"/>
        </w:rPr>
        <w:t>eckoning</w:t>
      </w:r>
      <w:r>
        <w:rPr>
          <w:rFonts w:cs="Times New Roman"/>
          <w:szCs w:val="24"/>
        </w:rPr>
        <w:t>.</w:t>
      </w:r>
      <w:r>
        <w:rPr>
          <w:rStyle w:val="EndnoteReference"/>
          <w:rFonts w:cs="Times New Roman"/>
          <w:szCs w:val="24"/>
        </w:rPr>
        <w:endnoteReference w:id="388"/>
      </w:r>
      <w:r>
        <w:rPr>
          <w:rFonts w:cs="Times New Roman"/>
          <w:szCs w:val="24"/>
        </w:rPr>
        <w:t xml:space="preserve">  </w:t>
      </w:r>
      <w:r w:rsidRPr="008B2AC4">
        <w:rPr>
          <w:rFonts w:cs="Times New Roman"/>
          <w:szCs w:val="24"/>
        </w:rPr>
        <w:t xml:space="preserve">Campbell states that ‘by their very nature types are only signs and </w:t>
      </w:r>
      <w:proofErr w:type="gramStart"/>
      <w:r w:rsidRPr="008B2AC4">
        <w:rPr>
          <w:rFonts w:cs="Times New Roman"/>
          <w:szCs w:val="24"/>
        </w:rPr>
        <w:t>shadows,</w:t>
      </w:r>
      <w:proofErr w:type="gramEnd"/>
      <w:r w:rsidRPr="008B2AC4">
        <w:rPr>
          <w:rFonts w:cs="Times New Roman"/>
          <w:szCs w:val="24"/>
        </w:rPr>
        <w:t xml:space="preserve"> consequently details should not generally be pressed for typical meaning’.</w:t>
      </w:r>
      <w:r>
        <w:rPr>
          <w:rStyle w:val="EndnoteReference"/>
          <w:rFonts w:cs="Times New Roman"/>
          <w:szCs w:val="24"/>
        </w:rPr>
        <w:endnoteReference w:id="389"/>
      </w:r>
      <w:r w:rsidRPr="0026092F">
        <w:rPr>
          <w:rFonts w:cs="Times New Roman"/>
          <w:szCs w:val="24"/>
        </w:rPr>
        <w:t xml:space="preserve">  </w:t>
      </w:r>
      <w:r>
        <w:rPr>
          <w:rFonts w:cs="Times New Roman"/>
          <w:szCs w:val="24"/>
        </w:rPr>
        <w:t xml:space="preserve">Feinberg states, ‘Dispensationalists do not think types necessarily are shadows, and they demand that both type and </w:t>
      </w:r>
      <w:r>
        <w:rPr>
          <w:rFonts w:cs="Times New Roman"/>
          <w:szCs w:val="24"/>
        </w:rPr>
        <w:lastRenderedPageBreak/>
        <w:t>antitype be given their due meanings in their own contexts while maintaining a typological relation to one another.’</w:t>
      </w:r>
      <w:r>
        <w:rPr>
          <w:rStyle w:val="EndnoteReference"/>
          <w:rFonts w:cs="Times New Roman"/>
          <w:szCs w:val="24"/>
        </w:rPr>
        <w:endnoteReference w:id="390"/>
      </w:r>
      <w:r>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The typological approach might be seen as undermining commitment to literal interpretation but Tan refutes any antithesis between literal interpretation and typological; typological interpretation is ‘the unfolding of the literal basis of the type not the allegorization of that which is typified.  Typological interpretation is the literal interpretation of types.’  However, a type is never the equal of its antitype, for instance, ‘the Old Testament sacrificial lamb typifies – but does not equal – Christ’.</w:t>
      </w:r>
      <w:r>
        <w:rPr>
          <w:rStyle w:val="EndnoteReference"/>
          <w:rFonts w:cs="Times New Roman"/>
          <w:szCs w:val="24"/>
        </w:rPr>
        <w:endnoteReference w:id="391"/>
      </w:r>
      <w:r>
        <w:rPr>
          <w:rFonts w:cs="Times New Roman"/>
          <w:szCs w:val="24"/>
        </w:rPr>
        <w:t xml:space="preserve">  Ryrie states, ‘It is one thing to say that Israel typifies the Church, as premillennialists rightly do; it is quite another thing to say that Israel is the Church, as amillennialists wrongly teach.’</w:t>
      </w:r>
      <w:r>
        <w:rPr>
          <w:rStyle w:val="EndnoteReference"/>
          <w:rFonts w:cs="Times New Roman"/>
          <w:szCs w:val="24"/>
        </w:rPr>
        <w:endnoteReference w:id="392"/>
      </w:r>
      <w:r>
        <w:rPr>
          <w:rFonts w:cs="Times New Roman"/>
          <w:szCs w:val="24"/>
        </w:rPr>
        <w:t xml:space="preserve">  Baker states that ‘the biblical text has only one meaning, its literal meaning … to be found by means of grammatical-historical study’.  He avers that biblical writers make typological significance clear in the text and, if interpreters see such significance which was ‘not perceived by the original author, it must be consistent with the literal meaning’.</w:t>
      </w:r>
      <w:r>
        <w:rPr>
          <w:rStyle w:val="EndnoteReference"/>
          <w:rFonts w:cs="Times New Roman"/>
          <w:szCs w:val="24"/>
        </w:rPr>
        <w:endnoteReference w:id="393"/>
      </w:r>
      <w:r>
        <w:rPr>
          <w:rFonts w:cs="Times New Roman"/>
          <w:szCs w:val="24"/>
        </w:rPr>
        <w:t xml:space="preserve">  It can thus be seen that the dispensationalist writers regard the use of typology as entirely compatible with literal interpretation.</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 xml:space="preserve">This leads to the question of which Old Testament material may be legitimately regarded as a type.  </w:t>
      </w:r>
      <w:r w:rsidRPr="00367CE2">
        <w:rPr>
          <w:rFonts w:cs="Times New Roman"/>
          <w:szCs w:val="24"/>
        </w:rPr>
        <w:t xml:space="preserve">At one extreme, exemplified by Bishop Marsh, </w:t>
      </w:r>
      <w:r>
        <w:rPr>
          <w:rFonts w:cs="Times New Roman"/>
          <w:szCs w:val="24"/>
        </w:rPr>
        <w:t>‘</w:t>
      </w:r>
      <w:r w:rsidRPr="00367CE2">
        <w:rPr>
          <w:rFonts w:cs="Times New Roman"/>
          <w:szCs w:val="24"/>
        </w:rPr>
        <w:t>a type is a type only if the New Testament so designates it to be such’.</w:t>
      </w:r>
      <w:r>
        <w:rPr>
          <w:rStyle w:val="EndnoteReference"/>
          <w:rFonts w:cs="Times New Roman"/>
          <w:szCs w:val="24"/>
        </w:rPr>
        <w:endnoteReference w:id="394"/>
      </w:r>
      <w:r w:rsidRPr="00367CE2">
        <w:rPr>
          <w:rFonts w:cs="Times New Roman"/>
          <w:szCs w:val="24"/>
        </w:rPr>
        <w:t xml:space="preserve">  </w:t>
      </w:r>
      <w:r>
        <w:rPr>
          <w:rFonts w:cs="Times New Roman"/>
          <w:szCs w:val="24"/>
        </w:rPr>
        <w:t>Ramm remarks that ‘many Protestant exegetes</w:t>
      </w:r>
      <w:r w:rsidR="00D80326">
        <w:rPr>
          <w:rFonts w:cs="Times New Roman"/>
          <w:szCs w:val="24"/>
        </w:rPr>
        <w:t>,</w:t>
      </w:r>
      <w:r>
        <w:rPr>
          <w:rFonts w:cs="Times New Roman"/>
          <w:szCs w:val="24"/>
        </w:rPr>
        <w:t xml:space="preserve"> if not adhering to the very letter of Marsh’s principle</w:t>
      </w:r>
      <w:r w:rsidR="00D80326">
        <w:rPr>
          <w:rFonts w:cs="Times New Roman"/>
          <w:szCs w:val="24"/>
        </w:rPr>
        <w:t>,</w:t>
      </w:r>
      <w:r>
        <w:rPr>
          <w:rFonts w:cs="Times New Roman"/>
          <w:szCs w:val="24"/>
        </w:rPr>
        <w:t xml:space="preserve"> certainly follow it very closely.</w:t>
      </w:r>
      <w:r>
        <w:rPr>
          <w:rStyle w:val="EndnoteReference"/>
          <w:rFonts w:cs="Times New Roman"/>
          <w:szCs w:val="24"/>
        </w:rPr>
        <w:endnoteReference w:id="395"/>
      </w:r>
      <w:r>
        <w:rPr>
          <w:rFonts w:cs="Times New Roman"/>
          <w:szCs w:val="24"/>
        </w:rPr>
        <w:t xml:space="preserve">  Scofield’s strictures concerning typology, which are similar to those of Marsh, are discussed in Chapter 2.</w:t>
      </w:r>
      <w:r>
        <w:rPr>
          <w:rStyle w:val="EndnoteReference"/>
          <w:rFonts w:cs="Times New Roman"/>
          <w:szCs w:val="24"/>
        </w:rPr>
        <w:endnoteReference w:id="396"/>
      </w:r>
      <w:r>
        <w:rPr>
          <w:rFonts w:cs="Times New Roman"/>
          <w:szCs w:val="24"/>
        </w:rPr>
        <w:t xml:space="preserve">  </w:t>
      </w:r>
      <w:r w:rsidRPr="001E65E3">
        <w:rPr>
          <w:rFonts w:cs="Times New Roman"/>
          <w:szCs w:val="24"/>
        </w:rPr>
        <w:t>At the other extreme is what Campbell describes as ‘a fanciful typology that knows no bounds and admits of no regulation’.</w:t>
      </w:r>
      <w:r>
        <w:rPr>
          <w:rStyle w:val="EndnoteReference"/>
          <w:rFonts w:cs="Times New Roman"/>
          <w:szCs w:val="24"/>
        </w:rPr>
        <w:endnoteReference w:id="397"/>
      </w:r>
      <w:r>
        <w:rPr>
          <w:rFonts w:cs="Times New Roman"/>
          <w:szCs w:val="24"/>
        </w:rPr>
        <w:t xml:space="preserve">  Milton Terry regards Marsh’s analysis as ‘altogether too restrictive for an adequate exposition of the Old Testament types’.  Interpreters should ‘look to the Scriptures themselves for narrow general principles and guidance, but not with the expectation that every type, designed to prefigure Gospel truths, must be formally announced as such’.</w:t>
      </w:r>
      <w:r>
        <w:rPr>
          <w:rStyle w:val="EndnoteReference"/>
          <w:rFonts w:cs="Times New Roman"/>
          <w:szCs w:val="24"/>
        </w:rPr>
        <w:endnoteReference w:id="398"/>
      </w:r>
      <w:r>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Tan concludes that it is permissible to regard something as a type when ‘Scripture expressly states it’, ‘an interchange of name exists’ or there is ‘evident and manifest analogy’.  Types must be based on explicit or implicit scriptural teachings and no imagination must be employed.  Tan urges that good sense should prevail, so that the interpreter will ‘refrain from poking into every nook and corner of the tabernacle or every facet of the patriarchs’ lives in search of types’.  Interpretation must be based on clear analogy.</w:t>
      </w:r>
      <w:r>
        <w:rPr>
          <w:rStyle w:val="EndnoteReference"/>
          <w:rFonts w:cs="Times New Roman"/>
          <w:szCs w:val="24"/>
        </w:rPr>
        <w:endnoteReference w:id="399"/>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Ramm suggests rules for interpreting typological elements.  He urges that a typology should be derived from ‘an empirical investigation of the Scriptures’ in order to avoid ‘extravagances’.</w:t>
      </w:r>
      <w:r>
        <w:rPr>
          <w:rStyle w:val="EndnoteReference"/>
          <w:rFonts w:cs="Times New Roman"/>
          <w:szCs w:val="24"/>
        </w:rPr>
        <w:endnoteReference w:id="400"/>
      </w:r>
      <w:r>
        <w:rPr>
          <w:rFonts w:cs="Times New Roman"/>
          <w:szCs w:val="24"/>
        </w:rPr>
        <w:t xml:space="preserve">  The interpreter should examine the way in which the New Testament writer treats the subject, noting that ‘the New Testament deals with the great facts of Christ and redemption; with the great moral and spiritual truths of Christian experience when it touches on typology.  It does not deal with minutiae, and with incidentals.’  This should be reflected in typological interpretation.  Most typical material is drawn from </w:t>
      </w:r>
      <w:r>
        <w:rPr>
          <w:rFonts w:cs="Times New Roman"/>
          <w:szCs w:val="24"/>
        </w:rPr>
        <w:lastRenderedPageBreak/>
        <w:t xml:space="preserve">‘the </w:t>
      </w:r>
      <w:r w:rsidRPr="00214F04">
        <w:rPr>
          <w:rFonts w:cs="Times New Roman"/>
          <w:i/>
          <w:szCs w:val="24"/>
        </w:rPr>
        <w:t>Tabernacle</w:t>
      </w:r>
      <w:r>
        <w:rPr>
          <w:rFonts w:cs="Times New Roman"/>
          <w:szCs w:val="24"/>
        </w:rPr>
        <w:t xml:space="preserve"> with its priesthood and offerings, and the </w:t>
      </w:r>
      <w:r w:rsidRPr="00214F04">
        <w:rPr>
          <w:rFonts w:cs="Times New Roman"/>
          <w:i/>
          <w:szCs w:val="24"/>
        </w:rPr>
        <w:t>Wilderness Wanderings</w:t>
      </w:r>
      <w:r>
        <w:rPr>
          <w:rFonts w:cs="Times New Roman"/>
          <w:szCs w:val="24"/>
        </w:rPr>
        <w:t xml:space="preserve">’.  These ‘wholes … have typical parts’ but typology is not restricted to these elements.  Ramm warns that ‘much about the Tabernacle has no typical significance and this ought to be clearly apprehended.  Not all the actions of the priests, </w:t>
      </w:r>
      <w:proofErr w:type="gramStart"/>
      <w:r>
        <w:rPr>
          <w:rFonts w:cs="Times New Roman"/>
          <w:szCs w:val="24"/>
        </w:rPr>
        <w:t>nor</w:t>
      </w:r>
      <w:proofErr w:type="gramEnd"/>
      <w:r>
        <w:rPr>
          <w:rFonts w:cs="Times New Roman"/>
          <w:szCs w:val="24"/>
        </w:rPr>
        <w:t xml:space="preserve"> all the elements of the sacrifices have precise New Testament counterparts.</w:t>
      </w:r>
      <w:r>
        <w:rPr>
          <w:rStyle w:val="EndnoteReference"/>
          <w:rFonts w:cs="Times New Roman"/>
          <w:szCs w:val="24"/>
        </w:rPr>
        <w:endnoteReference w:id="401"/>
      </w:r>
      <w:r>
        <w:rPr>
          <w:rFonts w:cs="Times New Roman"/>
          <w:szCs w:val="24"/>
        </w:rPr>
        <w:t xml:space="preserve">  This last point will be significant below when Scofield’s typological assertions are considered.</w:t>
      </w:r>
      <w:r>
        <w:rPr>
          <w:rStyle w:val="EndnoteReference"/>
          <w:rFonts w:cs="Times New Roman"/>
          <w:szCs w:val="24"/>
        </w:rPr>
        <w:endnoteReference w:id="402"/>
      </w:r>
      <w:r>
        <w:rPr>
          <w:rFonts w:cs="Times New Roman"/>
          <w:szCs w:val="24"/>
        </w:rPr>
        <w:t xml:space="preserve">  Ramm also states that interpreters should not ‘prove doctrine from types unless there is clear New Testament authority’ and should ‘be humble in spirit’ to avoid the risk of obscuring God’s word.</w:t>
      </w:r>
      <w:r>
        <w:rPr>
          <w:rStyle w:val="EndnoteReference"/>
          <w:rFonts w:cs="Times New Roman"/>
          <w:szCs w:val="24"/>
        </w:rPr>
        <w:endnoteReference w:id="403"/>
      </w:r>
      <w:r>
        <w:rPr>
          <w:rFonts w:cs="Times New Roman"/>
          <w:szCs w:val="24"/>
        </w:rPr>
        <w:t xml:space="preserve"> </w:t>
      </w:r>
    </w:p>
    <w:p w:rsidR="00442D33" w:rsidRPr="00CF5BC5" w:rsidRDefault="00442D33" w:rsidP="00442D33">
      <w:pPr>
        <w:autoSpaceDE w:val="0"/>
        <w:autoSpaceDN w:val="0"/>
        <w:adjustRightInd w:val="0"/>
        <w:spacing w:after="120" w:line="360" w:lineRule="auto"/>
        <w:jc w:val="both"/>
        <w:rPr>
          <w:rFonts w:cs="Times New Roman"/>
          <w:szCs w:val="24"/>
        </w:rPr>
      </w:pPr>
      <w:proofErr w:type="gramStart"/>
      <w:r w:rsidRPr="00CF5BC5">
        <w:rPr>
          <w:rFonts w:cs="Times New Roman"/>
          <w:b/>
          <w:szCs w:val="24"/>
        </w:rPr>
        <w:t>1.</w:t>
      </w:r>
      <w:r>
        <w:rPr>
          <w:rFonts w:cs="Times New Roman"/>
          <w:b/>
          <w:szCs w:val="24"/>
        </w:rPr>
        <w:t>3</w:t>
      </w:r>
      <w:r w:rsidRPr="00CF5BC5">
        <w:rPr>
          <w:rFonts w:cs="Times New Roman"/>
          <w:b/>
          <w:szCs w:val="24"/>
        </w:rPr>
        <w:t>.1  Types</w:t>
      </w:r>
      <w:proofErr w:type="gramEnd"/>
      <w:r w:rsidRPr="00CF5BC5">
        <w:rPr>
          <w:rFonts w:cs="Times New Roman"/>
          <w:b/>
          <w:szCs w:val="24"/>
        </w:rPr>
        <w:t xml:space="preserve"> and Prophecy</w:t>
      </w:r>
      <w:r w:rsidRPr="00CF5BC5">
        <w:rPr>
          <w:rFonts w:cs="Times New Roman"/>
          <w:szCs w:val="24"/>
        </w:rPr>
        <w:t xml:space="preserve">  </w:t>
      </w:r>
    </w:p>
    <w:p w:rsidR="00442D33" w:rsidRDefault="00442D33" w:rsidP="00442D33">
      <w:pPr>
        <w:autoSpaceDE w:val="0"/>
        <w:autoSpaceDN w:val="0"/>
        <w:adjustRightInd w:val="0"/>
        <w:spacing w:after="120" w:line="360" w:lineRule="auto"/>
        <w:jc w:val="both"/>
        <w:rPr>
          <w:rFonts w:cs="Times New Roman"/>
          <w:szCs w:val="24"/>
        </w:rPr>
      </w:pPr>
      <w:r>
        <w:rPr>
          <w:rFonts w:cs="Times New Roman"/>
          <w:szCs w:val="24"/>
        </w:rPr>
        <w:t xml:space="preserve">There is some disagreement amongst scholars as to whether typology is a form of prophecy.  </w:t>
      </w:r>
      <w:r w:rsidRPr="00C60EED">
        <w:rPr>
          <w:rFonts w:cs="Times New Roman"/>
          <w:szCs w:val="24"/>
        </w:rPr>
        <w:t xml:space="preserve">Ramm </w:t>
      </w:r>
      <w:r>
        <w:rPr>
          <w:rFonts w:cs="Times New Roman"/>
          <w:szCs w:val="24"/>
        </w:rPr>
        <w:t xml:space="preserve">links typology with prophecy, </w:t>
      </w:r>
      <w:r w:rsidRPr="00C60EED">
        <w:rPr>
          <w:rFonts w:cs="Times New Roman"/>
          <w:szCs w:val="24"/>
        </w:rPr>
        <w:t>assert</w:t>
      </w:r>
      <w:r>
        <w:rPr>
          <w:rFonts w:cs="Times New Roman"/>
          <w:szCs w:val="24"/>
        </w:rPr>
        <w:t>ing</w:t>
      </w:r>
      <w:r w:rsidRPr="00C60EED">
        <w:rPr>
          <w:rFonts w:cs="Times New Roman"/>
          <w:szCs w:val="24"/>
        </w:rPr>
        <w:t xml:space="preserve"> that typology constitutes a valid method of interpretation through its role in prophecy</w:t>
      </w:r>
      <w:r>
        <w:rPr>
          <w:rFonts w:cs="Times New Roman"/>
          <w:szCs w:val="24"/>
        </w:rPr>
        <w:t>;</w:t>
      </w:r>
      <w:r w:rsidRPr="00C60EED">
        <w:rPr>
          <w:rFonts w:cs="Times New Roman"/>
          <w:szCs w:val="24"/>
        </w:rPr>
        <w:t xml:space="preserve"> </w:t>
      </w:r>
      <w:r>
        <w:rPr>
          <w:rFonts w:cs="Times New Roman"/>
          <w:szCs w:val="24"/>
        </w:rPr>
        <w:t>prophecy</w:t>
      </w:r>
      <w:r w:rsidRPr="00C60EED">
        <w:rPr>
          <w:rFonts w:cs="Times New Roman"/>
          <w:szCs w:val="24"/>
        </w:rPr>
        <w:t xml:space="preserve"> may be verbal or typological, and establishes ‘a nexus between the two Testaments’</w:t>
      </w:r>
      <w:r>
        <w:rPr>
          <w:rFonts w:cs="Times New Roman"/>
          <w:szCs w:val="24"/>
        </w:rPr>
        <w:t xml:space="preserve">. </w:t>
      </w:r>
      <w:r w:rsidRPr="00C60EED">
        <w:rPr>
          <w:rFonts w:cs="Times New Roman"/>
          <w:szCs w:val="24"/>
        </w:rPr>
        <w:t xml:space="preserve"> </w:t>
      </w:r>
      <w:r>
        <w:rPr>
          <w:rFonts w:cs="Times New Roman"/>
          <w:szCs w:val="24"/>
        </w:rPr>
        <w:t>P</w:t>
      </w:r>
      <w:r w:rsidRPr="00C60EED">
        <w:rPr>
          <w:rFonts w:cs="Times New Roman"/>
          <w:szCs w:val="24"/>
        </w:rPr>
        <w:t>rophecy may be ‘typically predictive’.  ‘It is this profound similarity of the two Testaments which makes predictive prophecy and typology a possibility.’</w:t>
      </w:r>
      <w:r>
        <w:rPr>
          <w:rStyle w:val="EndnoteReference"/>
          <w:rFonts w:cs="Times New Roman"/>
          <w:szCs w:val="24"/>
        </w:rPr>
        <w:endnoteReference w:id="404"/>
      </w:r>
      <w:r w:rsidRPr="00C60EED">
        <w:rPr>
          <w:rFonts w:cs="Times New Roman"/>
          <w:szCs w:val="24"/>
        </w:rPr>
        <w:t xml:space="preserve">  However, Tan asserts that, while prophecy and types are both predictive, ‘a type prefigures coming reality; a prophecy verbally delineates the future’.</w:t>
      </w:r>
      <w:r>
        <w:rPr>
          <w:rStyle w:val="EndnoteReference"/>
          <w:rFonts w:cs="Times New Roman"/>
          <w:szCs w:val="24"/>
        </w:rPr>
        <w:endnoteReference w:id="405"/>
      </w:r>
      <w:r w:rsidRPr="00C60EED">
        <w:rPr>
          <w:rFonts w:cs="Times New Roman"/>
          <w:szCs w:val="24"/>
        </w:rPr>
        <w:t xml:space="preserve">  Nevertheless, he also avers that a large proportion of Messianic prophecies come in typical form.  In the many cases where actual fulfilments are indicated, as in predictions concerning Messiah’s birth, ministry, death and resurrection, ‘the New Testament writers always approach Old Testament prophecy literally’.</w:t>
      </w:r>
      <w:r>
        <w:rPr>
          <w:rStyle w:val="EndnoteReference"/>
          <w:rFonts w:cs="Times New Roman"/>
          <w:szCs w:val="24"/>
        </w:rPr>
        <w:endnoteReference w:id="406"/>
      </w:r>
      <w:r w:rsidRPr="00C60EED">
        <w:rPr>
          <w:rFonts w:cs="Times New Roman"/>
          <w:szCs w:val="24"/>
        </w:rPr>
        <w:t xml:space="preserve">  </w:t>
      </w:r>
      <w:r>
        <w:rPr>
          <w:rFonts w:cs="Times New Roman"/>
          <w:szCs w:val="24"/>
        </w:rPr>
        <w:t xml:space="preserve">Baker states definitively that ‘typology is not prophecy … typology is retrospective whereas prophecy is prospective.’  ‘[The] recognition of prophetic fulfilment is retrospective but this is concerned with the fulfilment of words in the Old Testament whereas typology discerns a relationship between the </w:t>
      </w:r>
      <w:r w:rsidRPr="008958B0">
        <w:rPr>
          <w:rFonts w:cs="Times New Roman"/>
          <w:i/>
          <w:szCs w:val="24"/>
        </w:rPr>
        <w:t>events</w:t>
      </w:r>
      <w:r>
        <w:rPr>
          <w:rFonts w:cs="Times New Roman"/>
          <w:szCs w:val="24"/>
        </w:rPr>
        <w:t xml:space="preserve">, </w:t>
      </w:r>
      <w:r w:rsidRPr="008958B0">
        <w:rPr>
          <w:rFonts w:cs="Times New Roman"/>
          <w:i/>
          <w:szCs w:val="24"/>
        </w:rPr>
        <w:t>persons</w:t>
      </w:r>
      <w:r>
        <w:rPr>
          <w:rFonts w:cs="Times New Roman"/>
          <w:szCs w:val="24"/>
        </w:rPr>
        <w:t xml:space="preserve"> and </w:t>
      </w:r>
      <w:r w:rsidRPr="008958B0">
        <w:rPr>
          <w:rFonts w:cs="Times New Roman"/>
          <w:i/>
          <w:szCs w:val="24"/>
        </w:rPr>
        <w:t>institutions</w:t>
      </w:r>
      <w:r>
        <w:rPr>
          <w:rFonts w:cs="Times New Roman"/>
          <w:szCs w:val="24"/>
        </w:rPr>
        <w:t xml:space="preserve"> recorded in the Bible.’</w:t>
      </w:r>
      <w:r>
        <w:rPr>
          <w:rStyle w:val="EndnoteReference"/>
          <w:rFonts w:cs="Times New Roman"/>
          <w:szCs w:val="24"/>
        </w:rPr>
        <w:endnoteReference w:id="407"/>
      </w:r>
      <w:r>
        <w:rPr>
          <w:rFonts w:cs="Times New Roman"/>
          <w:szCs w:val="24"/>
        </w:rPr>
        <w:t xml:space="preserve"> </w:t>
      </w:r>
    </w:p>
    <w:p w:rsidR="00442D33" w:rsidRPr="00CF5BC5" w:rsidRDefault="00442D33" w:rsidP="00442D33">
      <w:pPr>
        <w:autoSpaceDE w:val="0"/>
        <w:autoSpaceDN w:val="0"/>
        <w:adjustRightInd w:val="0"/>
        <w:spacing w:after="120" w:line="360" w:lineRule="auto"/>
        <w:jc w:val="both"/>
        <w:rPr>
          <w:rFonts w:cs="Times New Roman"/>
          <w:b/>
          <w:szCs w:val="24"/>
        </w:rPr>
      </w:pPr>
      <w:proofErr w:type="gramStart"/>
      <w:r w:rsidRPr="00CF5BC5">
        <w:rPr>
          <w:rFonts w:cs="Times New Roman"/>
          <w:b/>
          <w:szCs w:val="24"/>
        </w:rPr>
        <w:t>1.</w:t>
      </w:r>
      <w:r>
        <w:rPr>
          <w:rFonts w:cs="Times New Roman"/>
          <w:b/>
          <w:szCs w:val="24"/>
        </w:rPr>
        <w:t>3</w:t>
      </w:r>
      <w:r w:rsidRPr="00CF5BC5">
        <w:rPr>
          <w:rFonts w:cs="Times New Roman"/>
          <w:b/>
          <w:szCs w:val="24"/>
        </w:rPr>
        <w:t>.2  Types</w:t>
      </w:r>
      <w:proofErr w:type="gramEnd"/>
      <w:r w:rsidRPr="00CF5BC5">
        <w:rPr>
          <w:rFonts w:cs="Times New Roman"/>
          <w:b/>
          <w:szCs w:val="24"/>
        </w:rPr>
        <w:t xml:space="preserve">, Symbols and Allegories </w:t>
      </w:r>
    </w:p>
    <w:p w:rsidR="00442D33" w:rsidRPr="00A822ED" w:rsidRDefault="00442D33" w:rsidP="00442D33">
      <w:pPr>
        <w:autoSpaceDE w:val="0"/>
        <w:autoSpaceDN w:val="0"/>
        <w:adjustRightInd w:val="0"/>
        <w:spacing w:after="120" w:line="360" w:lineRule="auto"/>
        <w:jc w:val="both"/>
        <w:rPr>
          <w:rFonts w:cs="Times New Roman"/>
          <w:szCs w:val="24"/>
        </w:rPr>
      </w:pPr>
      <w:r>
        <w:rPr>
          <w:rFonts w:cs="Times New Roman"/>
          <w:szCs w:val="24"/>
        </w:rPr>
        <w:t>Baker states that typology is not symbolism or an allegory.  ‘Symbolic interpretation involves understanding objects as expressions of a general truth but typical interpretation is concerned to see relationships between historical facts.’  ‘Allegory is not so much concerned in facts as in their assembly, from which it draws out useful and hidden doctrine.’  ‘Allegory can find “spiritual” significance in unimportant details or words.</w:t>
      </w:r>
      <w:r w:rsidRPr="00A822ED">
        <w:rPr>
          <w:rFonts w:cs="Times New Roman"/>
          <w:szCs w:val="24"/>
        </w:rPr>
        <w:t>’</w:t>
      </w:r>
      <w:r>
        <w:rPr>
          <w:rStyle w:val="EndnoteReference"/>
          <w:rFonts w:cs="Times New Roman"/>
          <w:szCs w:val="24"/>
        </w:rPr>
        <w:endnoteReference w:id="408"/>
      </w:r>
      <w:r w:rsidRPr="00A822ED">
        <w:rPr>
          <w:rFonts w:cs="Times New Roman"/>
          <w:szCs w:val="24"/>
        </w:rPr>
        <w:t xml:space="preserve">  </w:t>
      </w:r>
    </w:p>
    <w:p w:rsidR="00442D33" w:rsidRDefault="00442D33" w:rsidP="00442D33">
      <w:pPr>
        <w:autoSpaceDE w:val="0"/>
        <w:autoSpaceDN w:val="0"/>
        <w:adjustRightInd w:val="0"/>
        <w:spacing w:after="120" w:line="360" w:lineRule="auto"/>
        <w:ind w:firstLine="567"/>
        <w:jc w:val="both"/>
        <w:rPr>
          <w:rFonts w:cs="Times New Roman"/>
          <w:szCs w:val="24"/>
        </w:rPr>
      </w:pPr>
      <w:r>
        <w:rPr>
          <w:rFonts w:cs="Times New Roman"/>
          <w:szCs w:val="24"/>
        </w:rPr>
        <w:t>On the surface, symbols and types are similar in that, as Terry states, they ‘resemble each other in being sensible representations of moral and religious truth, and may be defined, in general, as figures of thought in which material objects are made to convey vivid spiritual conceptions to the mind’.</w:t>
      </w:r>
      <w:r>
        <w:rPr>
          <w:rStyle w:val="EndnoteReference"/>
          <w:rFonts w:cs="Times New Roman"/>
          <w:szCs w:val="24"/>
        </w:rPr>
        <w:endnoteReference w:id="409"/>
      </w:r>
      <w:r>
        <w:rPr>
          <w:rFonts w:cs="Times New Roman"/>
          <w:szCs w:val="24"/>
        </w:rPr>
        <w:t xml:space="preserve">  However, a symbol represents ‘a thing either past present or future’ and a type is ‘essentially a prefiguring of something future from itself’.  Thus ‘a type is a figure or adumbration of that which is to come.  It is a person, institution, office, action, or event, by means of which some truth of the Gospel was divinely foreshadowed under the Old Testament dispensations’.  It is something ‘real’.  Conversely, a symbol ‘has </w:t>
      </w:r>
      <w:r>
        <w:rPr>
          <w:rFonts w:cs="Times New Roman"/>
          <w:szCs w:val="24"/>
        </w:rPr>
        <w:lastRenderedPageBreak/>
        <w:t>in itself no essential reference to time’.</w:t>
      </w:r>
      <w:r>
        <w:rPr>
          <w:rStyle w:val="EndnoteReference"/>
          <w:rFonts w:cs="Times New Roman"/>
          <w:szCs w:val="24"/>
        </w:rPr>
        <w:endnoteReference w:id="410"/>
      </w:r>
      <w:r>
        <w:rPr>
          <w:rFonts w:cs="Times New Roman"/>
          <w:szCs w:val="24"/>
        </w:rPr>
        <w:t xml:space="preserve">  Campbell disagrees, stating that symbols may ‘point to the past, present, or future’ but that types always focus on the future and have ‘an obvious predictive message’.</w:t>
      </w:r>
      <w:r>
        <w:rPr>
          <w:rStyle w:val="EndnoteReference"/>
          <w:rFonts w:cs="Times New Roman"/>
          <w:szCs w:val="24"/>
        </w:rPr>
        <w:endnoteReference w:id="411"/>
      </w:r>
      <w:r>
        <w:rPr>
          <w:rFonts w:cs="Times New Roman"/>
          <w:szCs w:val="24"/>
        </w:rPr>
        <w:t xml:space="preserve">  Williams regards as symbol as having ‘a purely abstract correspondence’ whereas ‘typology deals with the principle of historical fulfilment by way of the repetition of situations and relationships’.  ‘In the progressive narrative of Scripture earlier events, persons, and places in the drama of redemption become patterns by which later events and persons are to be interpreted.’</w:t>
      </w:r>
      <w:r>
        <w:rPr>
          <w:rStyle w:val="EndnoteReference"/>
          <w:rFonts w:cs="Times New Roman"/>
          <w:szCs w:val="24"/>
        </w:rPr>
        <w:endnoteReference w:id="412"/>
      </w:r>
      <w:r>
        <w:rPr>
          <w:rFonts w:cs="Times New Roman"/>
          <w:szCs w:val="24"/>
        </w:rPr>
        <w:t xml:space="preserve">  This echoes the progressive dispensationalist concept expressed by Blaising: ‘… typology in historical-literary hermeneutics refers to patterns of resemblance between persons and events in earlier history to persons and events in later history.’</w:t>
      </w:r>
      <w:r>
        <w:rPr>
          <w:rStyle w:val="EndnoteReference"/>
          <w:rFonts w:cs="Times New Roman"/>
          <w:szCs w:val="24"/>
        </w:rPr>
        <w:endnoteReference w:id="413"/>
      </w:r>
    </w:p>
    <w:p w:rsidR="00442D33" w:rsidRDefault="00442D33" w:rsidP="00442D33">
      <w:pPr>
        <w:autoSpaceDE w:val="0"/>
        <w:autoSpaceDN w:val="0"/>
        <w:adjustRightInd w:val="0"/>
        <w:spacing w:after="120" w:line="360" w:lineRule="auto"/>
        <w:ind w:firstLine="567"/>
        <w:jc w:val="both"/>
        <w:rPr>
          <w:rFonts w:cs="Times New Roman"/>
          <w:szCs w:val="24"/>
        </w:rPr>
      </w:pPr>
      <w:r w:rsidRPr="0087283A">
        <w:rPr>
          <w:rFonts w:cs="Times New Roman"/>
          <w:szCs w:val="24"/>
        </w:rPr>
        <w:t>Types must also be distinguished from allegories</w:t>
      </w:r>
      <w:r>
        <w:rPr>
          <w:rFonts w:cs="Times New Roman"/>
          <w:szCs w:val="24"/>
        </w:rPr>
        <w:t>.  Ramm states that, in allegorical interpretations, ‘something foreign, peculiar, or hidden is introduced into the meaning … giving it a proposed deeper or real meaning’; typological interpretation is ‘the interpretation of the Old Testament, where something in the Old shadows, prefigures, adumbrates something in the New.’</w:t>
      </w:r>
      <w:r>
        <w:rPr>
          <w:rStyle w:val="EndnoteReference"/>
          <w:rFonts w:cs="Times New Roman"/>
          <w:szCs w:val="24"/>
        </w:rPr>
        <w:endnoteReference w:id="414"/>
      </w:r>
      <w:r>
        <w:rPr>
          <w:rFonts w:cs="Times New Roman"/>
          <w:szCs w:val="24"/>
        </w:rPr>
        <w:t xml:space="preserve">  Campbell asserts that ‘a type is based upon a recognition of the literal meaning of a given text of Scripture’; that literal meaning foreshadows someone or something yet to come, whereas ‘the allegory minimizes and often destroys the literal and historical…’</w:t>
      </w:r>
      <w:r>
        <w:rPr>
          <w:rStyle w:val="EndnoteReference"/>
          <w:rFonts w:cs="Times New Roman"/>
          <w:szCs w:val="24"/>
        </w:rPr>
        <w:endnoteReference w:id="415"/>
      </w:r>
      <w:r>
        <w:rPr>
          <w:rFonts w:cs="Times New Roman"/>
          <w:szCs w:val="24"/>
        </w:rPr>
        <w:t xml:space="preserve">  Ramm claims that dispensationalists are keen to maintain the distinction between allegory and type because they criticise amillennialism for its incorrect use of allegory, while wishing to ‘retain the typological method as valid’.</w:t>
      </w:r>
      <w:r>
        <w:rPr>
          <w:rStyle w:val="EndnoteReference"/>
          <w:rFonts w:cs="Times New Roman"/>
          <w:szCs w:val="24"/>
        </w:rPr>
        <w:endnoteReference w:id="416"/>
      </w:r>
    </w:p>
    <w:p w:rsidR="00442D33" w:rsidRPr="00CF5BC5" w:rsidRDefault="00442D33" w:rsidP="00442D33">
      <w:pPr>
        <w:autoSpaceDE w:val="0"/>
        <w:autoSpaceDN w:val="0"/>
        <w:adjustRightInd w:val="0"/>
        <w:spacing w:after="120" w:line="360" w:lineRule="auto"/>
        <w:jc w:val="both"/>
        <w:rPr>
          <w:rFonts w:cs="Times New Roman"/>
          <w:b/>
          <w:sz w:val="24"/>
          <w:szCs w:val="24"/>
        </w:rPr>
      </w:pPr>
      <w:proofErr w:type="gramStart"/>
      <w:r w:rsidRPr="000640D2">
        <w:rPr>
          <w:rFonts w:cs="Times New Roman"/>
          <w:b/>
          <w:sz w:val="24"/>
          <w:szCs w:val="24"/>
        </w:rPr>
        <w:t xml:space="preserve">1.4  </w:t>
      </w:r>
      <w:r w:rsidRPr="00CF5BC5">
        <w:rPr>
          <w:rFonts w:cs="Times New Roman"/>
          <w:b/>
          <w:sz w:val="24"/>
          <w:szCs w:val="24"/>
        </w:rPr>
        <w:t>Conclusion</w:t>
      </w:r>
      <w:proofErr w:type="gramEnd"/>
    </w:p>
    <w:p w:rsidR="00442D33" w:rsidRDefault="00442D33" w:rsidP="00442D33">
      <w:pPr>
        <w:spacing w:before="240" w:after="120" w:line="360" w:lineRule="auto"/>
        <w:jc w:val="both"/>
        <w:rPr>
          <w:rFonts w:cs="Times New Roman"/>
          <w:szCs w:val="24"/>
        </w:rPr>
      </w:pPr>
      <w:r>
        <w:rPr>
          <w:rFonts w:cs="Times New Roman"/>
          <w:szCs w:val="24"/>
        </w:rPr>
        <w:t xml:space="preserve">Having established the meaning of hermeneutics in general as ‘a specific approach to the interpretation of texts’, my study of dispensational hermeneutics in particular has revealed that consistent literal interpretation of the biblical text is the defining dispensational hermeneutic, that figurative language and typology are compatible with this and that literal interpretation may also be applied to prophecy.  This conclusion is borne out by the writing of several authors studied in this chapter.  Ryrie, Tan and Charles Feinberg represent a more traditional form of dispensationalism, and Blaising and Bock are progressive dispensationalists.  Ramm presents a traditional Protestant, though not dispensational, view.  All these writers except Blaising and Bock, and including Ramm, hold to literal interpretation.  It is the progressive dispensationalist, Bock, who steps radically outside a traditional literal interpretation, especially with regard to prophecy and apocalyptic literature and is criticised for his ‘complementary hermeneutics’ by Ryrie and Ice.  Blaising, too, expresses reservations about what he terms ‘the fixed-interpretation view of dispensationalism’.  This would furnish proof that literal interpretation has traditionally been the main dispensational hermeneutic, which is being challenged by its progressive counterpart.  </w:t>
      </w:r>
    </w:p>
    <w:p w:rsidR="00B44C12" w:rsidRDefault="00442D33" w:rsidP="00442D33">
      <w:pPr>
        <w:spacing w:before="240" w:after="120" w:line="360" w:lineRule="auto"/>
        <w:ind w:firstLine="567"/>
        <w:jc w:val="both"/>
        <w:rPr>
          <w:rFonts w:cs="Times New Roman"/>
          <w:szCs w:val="24"/>
        </w:rPr>
      </w:pPr>
      <w:r w:rsidRPr="00FF1DBA">
        <w:rPr>
          <w:rFonts w:cs="Times New Roman"/>
          <w:szCs w:val="24"/>
        </w:rPr>
        <w:t xml:space="preserve">As I will prove in considering the </w:t>
      </w:r>
      <w:r w:rsidRPr="00FF1DBA">
        <w:rPr>
          <w:rFonts w:cs="Times New Roman"/>
          <w:i/>
          <w:szCs w:val="24"/>
        </w:rPr>
        <w:t>Scofield Reference Bible</w:t>
      </w:r>
      <w:r w:rsidRPr="00FF1DBA">
        <w:rPr>
          <w:rFonts w:cs="Times New Roman"/>
          <w:szCs w:val="24"/>
        </w:rPr>
        <w:t xml:space="preserve">, 1917, this publication, which was still </w:t>
      </w:r>
      <w:r w:rsidRPr="00FF1DBA">
        <w:rPr>
          <w:rFonts w:cs="Times New Roman"/>
          <w:i/>
          <w:szCs w:val="24"/>
        </w:rPr>
        <w:t>OUP</w:t>
      </w:r>
      <w:r w:rsidRPr="00FF1DBA">
        <w:rPr>
          <w:rFonts w:cs="Times New Roman"/>
          <w:szCs w:val="24"/>
        </w:rPr>
        <w:t xml:space="preserve">’s best-selling Bible in 2013, continues to promote traditional dispensationalist views despite advances </w:t>
      </w:r>
      <w:r w:rsidRPr="00FF1DBA">
        <w:rPr>
          <w:rFonts w:cs="Times New Roman"/>
          <w:szCs w:val="24"/>
        </w:rPr>
        <w:lastRenderedPageBreak/>
        <w:t>in dispensational hermeneutics, admittedly mainly in the academic field.  It is to Scofield’s hermeneutics that I now turn.</w:t>
      </w:r>
    </w:p>
    <w:p w:rsidR="00B44C12" w:rsidRDefault="00B44C12" w:rsidP="00442D33">
      <w:pPr>
        <w:spacing w:before="240" w:after="120" w:line="360" w:lineRule="auto"/>
        <w:ind w:firstLine="567"/>
        <w:jc w:val="both"/>
        <w:rPr>
          <w:rFonts w:cs="Times New Roman"/>
          <w:szCs w:val="24"/>
        </w:rPr>
      </w:pPr>
    </w:p>
    <w:p w:rsidR="00442D33" w:rsidRDefault="00442D33" w:rsidP="00442D33">
      <w:pPr>
        <w:spacing w:before="240" w:after="120" w:line="360" w:lineRule="auto"/>
        <w:ind w:firstLine="567"/>
        <w:jc w:val="both"/>
        <w:rPr>
          <w:rFonts w:cs="Times New Roman"/>
          <w:szCs w:val="24"/>
        </w:rPr>
        <w:sectPr w:rsidR="00442D33" w:rsidSect="00123305">
          <w:headerReference w:type="default" r:id="rId59"/>
          <w:footerReference w:type="even" r:id="rId60"/>
          <w:footerReference w:type="default" r:id="rId61"/>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r w:rsidRPr="00FF1DBA">
        <w:rPr>
          <w:rFonts w:cs="Times New Roman"/>
          <w:szCs w:val="24"/>
        </w:rPr>
        <w:t xml:space="preserve"> </w:t>
      </w:r>
    </w:p>
    <w:p w:rsidR="0096195D" w:rsidRDefault="0096195D" w:rsidP="00241984">
      <w:pPr>
        <w:spacing w:after="120" w:line="360" w:lineRule="auto"/>
        <w:ind w:right="15"/>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F37517" w:rsidP="00442D33">
      <w:pPr>
        <w:spacing w:after="120" w:line="360" w:lineRule="auto"/>
        <w:ind w:right="15"/>
        <w:jc w:val="center"/>
        <w:rPr>
          <w:b/>
          <w:sz w:val="28"/>
          <w:szCs w:val="28"/>
        </w:rPr>
      </w:pPr>
      <w:r w:rsidRPr="001349B7">
        <w:rPr>
          <w:sz w:val="20"/>
          <w:szCs w:val="28"/>
        </w:rPr>
        <w:t>Page intentionally left blank</w:t>
      </w:r>
    </w:p>
    <w:p w:rsidR="001349B7" w:rsidRPr="001349B7" w:rsidRDefault="001349B7" w:rsidP="00442D33">
      <w:pPr>
        <w:spacing w:after="120" w:line="360" w:lineRule="auto"/>
        <w:ind w:right="15"/>
        <w:jc w:val="center"/>
        <w:rPr>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1349B7" w:rsidRDefault="001349B7" w:rsidP="00442D33">
      <w:pPr>
        <w:spacing w:after="120" w:line="360" w:lineRule="auto"/>
        <w:ind w:right="15"/>
        <w:jc w:val="center"/>
        <w:rPr>
          <w:b/>
          <w:sz w:val="28"/>
          <w:szCs w:val="28"/>
        </w:rPr>
      </w:pPr>
    </w:p>
    <w:p w:rsidR="00442D33" w:rsidRPr="00DB1EBE" w:rsidRDefault="00442D33" w:rsidP="00442D33">
      <w:pPr>
        <w:spacing w:after="120" w:line="360" w:lineRule="auto"/>
        <w:ind w:right="15"/>
        <w:jc w:val="center"/>
        <w:rPr>
          <w:b/>
          <w:sz w:val="28"/>
          <w:szCs w:val="28"/>
        </w:rPr>
      </w:pPr>
      <w:bookmarkStart w:id="8" w:name="Chapter2"/>
      <w:bookmarkEnd w:id="8"/>
      <w:r w:rsidRPr="00DB1EBE">
        <w:rPr>
          <w:b/>
          <w:sz w:val="28"/>
          <w:szCs w:val="28"/>
        </w:rPr>
        <w:lastRenderedPageBreak/>
        <w:t>CHAPTER 2</w:t>
      </w:r>
    </w:p>
    <w:p w:rsidR="00442D33" w:rsidRPr="00DB1EBE" w:rsidRDefault="00442D33" w:rsidP="00442D33">
      <w:pPr>
        <w:spacing w:after="120" w:line="360" w:lineRule="auto"/>
        <w:ind w:right="15"/>
        <w:jc w:val="center"/>
        <w:rPr>
          <w:b/>
          <w:sz w:val="28"/>
          <w:szCs w:val="28"/>
        </w:rPr>
      </w:pPr>
      <w:r w:rsidRPr="00DB1EBE">
        <w:rPr>
          <w:b/>
          <w:sz w:val="28"/>
          <w:szCs w:val="28"/>
        </w:rPr>
        <w:t xml:space="preserve">Scofield’s Hermeneutics </w:t>
      </w:r>
    </w:p>
    <w:p w:rsidR="00442D33" w:rsidRPr="00BF121E" w:rsidRDefault="00442D33" w:rsidP="00442D33">
      <w:pPr>
        <w:spacing w:after="120" w:line="360" w:lineRule="auto"/>
        <w:ind w:right="15"/>
        <w:jc w:val="center"/>
        <w:rPr>
          <w:b/>
          <w:i/>
          <w:szCs w:val="28"/>
        </w:rPr>
      </w:pPr>
      <w:proofErr w:type="gramStart"/>
      <w:r w:rsidRPr="00BF121E">
        <w:rPr>
          <w:b/>
          <w:i/>
          <w:szCs w:val="28"/>
        </w:rPr>
        <w:t>with</w:t>
      </w:r>
      <w:proofErr w:type="gramEnd"/>
    </w:p>
    <w:p w:rsidR="00442D33" w:rsidRPr="00DB6CB6" w:rsidRDefault="00442D33" w:rsidP="00442D33">
      <w:pPr>
        <w:spacing w:after="120" w:line="360" w:lineRule="auto"/>
        <w:jc w:val="center"/>
        <w:rPr>
          <w:rStyle w:val="ind"/>
          <w:b/>
          <w:sz w:val="28"/>
        </w:rPr>
      </w:pPr>
      <w:r w:rsidRPr="00DB6CB6">
        <w:rPr>
          <w:rStyle w:val="ind"/>
          <w:b/>
          <w:sz w:val="28"/>
        </w:rPr>
        <w:t>Elements</w:t>
      </w:r>
      <w:r>
        <w:rPr>
          <w:rStyle w:val="ind"/>
          <w:b/>
          <w:sz w:val="28"/>
        </w:rPr>
        <w:t xml:space="preserve"> of Dispensationalism: Element </w:t>
      </w:r>
      <w:r w:rsidRPr="00602A06">
        <w:rPr>
          <w:rStyle w:val="ind"/>
          <w:b/>
          <w:sz w:val="28"/>
        </w:rPr>
        <w:t>1</w:t>
      </w:r>
      <w:r w:rsidRPr="00DB6CB6">
        <w:rPr>
          <w:rStyle w:val="ind"/>
          <w:b/>
          <w:sz w:val="28"/>
        </w:rPr>
        <w:t>:</w:t>
      </w:r>
    </w:p>
    <w:p w:rsidR="00442D33" w:rsidRPr="008850D1" w:rsidRDefault="00442D33" w:rsidP="00442D33">
      <w:pPr>
        <w:tabs>
          <w:tab w:val="left" w:pos="8647"/>
        </w:tabs>
        <w:spacing w:after="120" w:line="360" w:lineRule="auto"/>
        <w:ind w:right="19"/>
        <w:jc w:val="center"/>
        <w:rPr>
          <w:b/>
          <w:sz w:val="32"/>
          <w:szCs w:val="24"/>
        </w:rPr>
      </w:pPr>
      <w:r w:rsidRPr="008850D1">
        <w:rPr>
          <w:rStyle w:val="ind"/>
          <w:b/>
          <w:sz w:val="28"/>
        </w:rPr>
        <w:t>Commitment to a Literal Biblical Hermeneuti</w:t>
      </w:r>
      <w:r>
        <w:rPr>
          <w:rStyle w:val="ind"/>
          <w:b/>
          <w:sz w:val="28"/>
        </w:rPr>
        <w:t>c</w:t>
      </w:r>
    </w:p>
    <w:p w:rsidR="00442D33" w:rsidRPr="00F677E3" w:rsidRDefault="00442D33" w:rsidP="00442D33">
      <w:pPr>
        <w:tabs>
          <w:tab w:val="left" w:pos="8647"/>
        </w:tabs>
        <w:spacing w:after="120" w:line="360" w:lineRule="auto"/>
        <w:ind w:right="19"/>
        <w:jc w:val="both"/>
        <w:rPr>
          <w:szCs w:val="24"/>
          <w:lang w:val="en-US"/>
        </w:rPr>
      </w:pPr>
      <w:r w:rsidRPr="00F677E3">
        <w:rPr>
          <w:szCs w:val="24"/>
        </w:rPr>
        <w:t xml:space="preserve">Chapter 1 contained a discussion of general Dispensational Hermeneutics, encompassing dispensationalists’ commitment to biblical inerrancy, literal interpretation of the biblical text, and their use of typology within this setting; this chapter seeks to reveal the extent to which Scofield conforms to these tenets in his Reference Bible.  </w:t>
      </w:r>
      <w:r>
        <w:rPr>
          <w:szCs w:val="24"/>
        </w:rPr>
        <w:t>It also covers Scofield’s commitment to a literal biblical hermeneutic, which is the first element of dispensationalism, as outlined in the Introduction.</w:t>
      </w:r>
    </w:p>
    <w:p w:rsidR="00442D33" w:rsidRPr="00986413" w:rsidRDefault="00442D33" w:rsidP="00442D33">
      <w:pPr>
        <w:spacing w:after="120" w:line="360" w:lineRule="auto"/>
        <w:ind w:right="2364"/>
        <w:jc w:val="both"/>
        <w:rPr>
          <w:b/>
          <w:sz w:val="24"/>
          <w:szCs w:val="24"/>
        </w:rPr>
      </w:pPr>
      <w:proofErr w:type="gramStart"/>
      <w:r>
        <w:rPr>
          <w:b/>
          <w:sz w:val="24"/>
          <w:szCs w:val="24"/>
        </w:rPr>
        <w:t>2.1</w:t>
      </w:r>
      <w:r w:rsidRPr="00986413">
        <w:rPr>
          <w:b/>
          <w:sz w:val="24"/>
          <w:szCs w:val="24"/>
        </w:rPr>
        <w:t xml:space="preserve">  </w:t>
      </w:r>
      <w:r>
        <w:rPr>
          <w:b/>
          <w:sz w:val="24"/>
          <w:szCs w:val="24"/>
        </w:rPr>
        <w:t>Biblical</w:t>
      </w:r>
      <w:proofErr w:type="gramEnd"/>
      <w:r>
        <w:rPr>
          <w:b/>
          <w:sz w:val="24"/>
          <w:szCs w:val="24"/>
        </w:rPr>
        <w:t xml:space="preserve"> Literality, </w:t>
      </w:r>
      <w:r w:rsidRPr="00986413">
        <w:rPr>
          <w:b/>
          <w:sz w:val="24"/>
          <w:szCs w:val="24"/>
        </w:rPr>
        <w:t>Inspiration and Historicity</w:t>
      </w:r>
      <w:r>
        <w:rPr>
          <w:b/>
          <w:sz w:val="24"/>
          <w:szCs w:val="24"/>
        </w:rPr>
        <w:t xml:space="preserve"> </w:t>
      </w:r>
    </w:p>
    <w:p w:rsidR="00442D33" w:rsidRPr="00A90287" w:rsidRDefault="00442D33" w:rsidP="00442D33">
      <w:pPr>
        <w:spacing w:after="120" w:line="360" w:lineRule="auto"/>
        <w:ind w:right="74"/>
        <w:jc w:val="both"/>
      </w:pPr>
      <w:r>
        <w:t>Like the Niagara premillennialists,</w:t>
      </w:r>
      <w:r>
        <w:rPr>
          <w:rStyle w:val="EndnoteReference"/>
        </w:rPr>
        <w:endnoteReference w:id="417"/>
      </w:r>
      <w:r>
        <w:t xml:space="preserve"> Ramm,</w:t>
      </w:r>
      <w:r>
        <w:rPr>
          <w:rStyle w:val="EndnoteReference"/>
        </w:rPr>
        <w:endnoteReference w:id="418"/>
      </w:r>
      <w:r>
        <w:t xml:space="preserve"> Tan</w:t>
      </w:r>
      <w:r>
        <w:rPr>
          <w:rStyle w:val="EndnoteReference"/>
        </w:rPr>
        <w:endnoteReference w:id="419"/>
      </w:r>
      <w:r>
        <w:t xml:space="preserve">  and other writers, Scofield holds the inspiration of Scripture in high regard.  He states </w:t>
      </w:r>
      <w:r w:rsidRPr="00986413">
        <w:t>that the</w:t>
      </w:r>
      <w:r w:rsidRPr="00986413">
        <w:rPr>
          <w:b/>
        </w:rPr>
        <w:t xml:space="preserve"> </w:t>
      </w:r>
      <w:r w:rsidRPr="00986413">
        <w:t xml:space="preserve">Bible is one book; bearing witness to one God, one continuous story of humanity in relation to God and </w:t>
      </w:r>
      <w:proofErr w:type="gramStart"/>
      <w:r w:rsidRPr="00986413">
        <w:t>one redemption</w:t>
      </w:r>
      <w:proofErr w:type="gramEnd"/>
      <w:r w:rsidRPr="00986413">
        <w:t>.</w:t>
      </w:r>
      <w:r>
        <w:rPr>
          <w:rStyle w:val="EndnoteReference"/>
        </w:rPr>
        <w:endnoteReference w:id="420"/>
      </w:r>
      <w:r w:rsidRPr="00986413">
        <w:t xml:space="preserve">  It makes radical predictions concerning the future and records their fulfilment at ‘the appointed time’.  It unfolds truth progressively.</w:t>
      </w:r>
      <w:r>
        <w:rPr>
          <w:rStyle w:val="EndnoteReference"/>
        </w:rPr>
        <w:endnoteReference w:id="421"/>
      </w:r>
      <w:r w:rsidRPr="00986413">
        <w:t xml:space="preserve">  </w:t>
      </w:r>
      <w:r w:rsidRPr="005261B0">
        <w:t>Scofield</w:t>
      </w:r>
      <w:r>
        <w:rPr>
          <w:i/>
        </w:rPr>
        <w:t xml:space="preserve"> </w:t>
      </w:r>
      <w:r w:rsidRPr="00986413">
        <w:t>regard</w:t>
      </w:r>
      <w:r>
        <w:t>s</w:t>
      </w:r>
      <w:r w:rsidRPr="00986413">
        <w:t xml:space="preserve"> the varied authorship over time as ‘the unanswerable proof of the d</w:t>
      </w:r>
      <w:r>
        <w:t>ivine inspiration of the Bible’.</w:t>
      </w:r>
      <w:r w:rsidRPr="00986413">
        <w:rPr>
          <w:rStyle w:val="EndnoteReference"/>
        </w:rPr>
        <w:endnoteReference w:id="422"/>
      </w:r>
      <w:r w:rsidRPr="00986413">
        <w:t xml:space="preserve">  </w:t>
      </w:r>
      <w:r>
        <w:t>He also</w:t>
      </w:r>
      <w:r w:rsidRPr="00986413">
        <w:t xml:space="preserve"> avers that the Bible t</w:t>
      </w:r>
      <w:r>
        <w:t>estifies to its own inspiration.</w:t>
      </w:r>
      <w:r>
        <w:rPr>
          <w:rStyle w:val="EndnoteReference"/>
        </w:rPr>
        <w:endnoteReference w:id="423"/>
      </w:r>
      <w:r>
        <w:t xml:space="preserve">  Like Ramm,</w:t>
      </w:r>
      <w:r>
        <w:rPr>
          <w:rStyle w:val="EndnoteReference"/>
        </w:rPr>
        <w:endnoteReference w:id="424"/>
      </w:r>
      <w:r>
        <w:t xml:space="preserve"> Bock,</w:t>
      </w:r>
      <w:r>
        <w:rPr>
          <w:rStyle w:val="EndnoteReference"/>
        </w:rPr>
        <w:endnoteReference w:id="425"/>
      </w:r>
      <w:r>
        <w:t xml:space="preserve"> Tan</w:t>
      </w:r>
      <w:r>
        <w:rPr>
          <w:rStyle w:val="EndnoteReference"/>
        </w:rPr>
        <w:endnoteReference w:id="426"/>
      </w:r>
      <w:r>
        <w:t xml:space="preserve"> and even Allis,</w:t>
      </w:r>
      <w:r>
        <w:rPr>
          <w:rStyle w:val="EndnoteReference"/>
        </w:rPr>
        <w:endnoteReference w:id="427"/>
      </w:r>
      <w:r>
        <w:t xml:space="preserve"> </w:t>
      </w:r>
      <w:r w:rsidRPr="00AF688B">
        <w:t xml:space="preserve">Scofield asserts ‘the testimony of the Bible to itself’.  He states that the writers, if they mention it, affirm that they speak by divine authority and that ‘the </w:t>
      </w:r>
      <w:proofErr w:type="gramStart"/>
      <w:r w:rsidRPr="00AF688B">
        <w:t>words,</w:t>
      </w:r>
      <w:proofErr w:type="gramEnd"/>
      <w:r w:rsidRPr="00AF688B">
        <w:t xml:space="preserve"> and not the ideas merely, are inspired’</w:t>
      </w:r>
      <w:r>
        <w:t>.</w:t>
      </w:r>
      <w:r>
        <w:rPr>
          <w:rStyle w:val="EndnoteReference"/>
        </w:rPr>
        <w:endnoteReference w:id="428"/>
      </w:r>
      <w:r w:rsidRPr="00AF688B">
        <w:t xml:space="preserve">  </w:t>
      </w:r>
      <w:r w:rsidRPr="00A90287">
        <w:t>Like his dispensationalist counterparts, Scofield does not appear to allow for redaction and translation in these statements.  He stresses Christ’s own attitude towards the Old Testament and his specific ascription of the Pentateuch to Moses.</w:t>
      </w:r>
      <w:r w:rsidRPr="00A90287">
        <w:rPr>
          <w:rStyle w:val="EndnoteReference"/>
        </w:rPr>
        <w:endnoteReference w:id="429"/>
      </w:r>
      <w:r w:rsidRPr="00A90287">
        <w:t xml:space="preserve">  He also asserts that the historicity of Jonah was confirmed by Christ;</w:t>
      </w:r>
      <w:r w:rsidRPr="00A90287">
        <w:rPr>
          <w:rStyle w:val="EndnoteReference"/>
        </w:rPr>
        <w:endnoteReference w:id="430"/>
      </w:r>
      <w:r w:rsidRPr="00A90287">
        <w:t xml:space="preserve"> Jonah’s ‘preservation in the great fish’ was ‘a “sign” or type of our Lord’s own entombment and resurrection’.  Scofield claims that ‘both are miraculous and both are equally credible’.  Anyone who doubts the veracity of the story argues with Christ himself.</w:t>
      </w:r>
      <w:r w:rsidRPr="00A90287">
        <w:rPr>
          <w:rStyle w:val="EndnoteReference"/>
        </w:rPr>
        <w:endnoteReference w:id="431"/>
      </w:r>
      <w:r w:rsidRPr="00A90287">
        <w:t xml:space="preserve">  This is ‘a miracle … what might be expected of divine love, interposing for good in a physically and morally disordered universe’.</w:t>
      </w:r>
      <w:r w:rsidRPr="00A90287">
        <w:rPr>
          <w:rStyle w:val="EndnoteReference"/>
        </w:rPr>
        <w:endnoteReference w:id="432"/>
      </w:r>
      <w:r w:rsidRPr="00A90287">
        <w:t xml:space="preserve">  </w:t>
      </w:r>
    </w:p>
    <w:p w:rsidR="00442D33" w:rsidRDefault="00442D33" w:rsidP="00442D33">
      <w:pPr>
        <w:spacing w:after="120" w:line="360" w:lineRule="auto"/>
        <w:ind w:firstLine="567"/>
        <w:jc w:val="both"/>
      </w:pPr>
      <w:r w:rsidRPr="00F04290">
        <w:rPr>
          <w:spacing w:val="2"/>
        </w:rPr>
        <w:t>Scofield states that ‘in promising subsequent revelations after the predicted advent of the Spirit (Jn</w:t>
      </w:r>
      <w:r w:rsidRPr="00AF688B">
        <w:t xml:space="preserve"> 16:12-15), our Lord prepared the way for the New Testament’.  He does not state to what form, version or canonical content of the New Testament Christ allegedly ascribes this recommendation.  Finally</w:t>
      </w:r>
      <w:r>
        <w:t>,</w:t>
      </w:r>
      <w:r w:rsidRPr="00AF688B">
        <w:t xml:space="preserve"> Scofield states that the New Testamen</w:t>
      </w:r>
      <w:r>
        <w:t xml:space="preserve">t writers invariably treat the </w:t>
      </w:r>
      <w:r w:rsidRPr="00AF688B">
        <w:t>Old Testament as authoritative and inspired</w:t>
      </w:r>
      <w:r>
        <w:t xml:space="preserve">, </w:t>
      </w:r>
      <w:r w:rsidRPr="00AF688B">
        <w:t>and</w:t>
      </w:r>
      <w:r>
        <w:t xml:space="preserve"> asserts</w:t>
      </w:r>
      <w:r w:rsidRPr="00986413">
        <w:t xml:space="preserve"> that the scriptural writers ‘affirm … that the words of their writings are divinely taught’, at least in ‘the original documents’, though ‘some of our English translations’ have ‘a remarkable </w:t>
      </w:r>
      <w:r w:rsidRPr="00986413">
        <w:lastRenderedPageBreak/>
        <w:t>degree of reliability, so that no essential truth of Scripture is ever under any question’.</w:t>
      </w:r>
      <w:r>
        <w:rPr>
          <w:rStyle w:val="EndnoteReference"/>
        </w:rPr>
        <w:endnoteReference w:id="433"/>
      </w:r>
      <w:r w:rsidRPr="00986413">
        <w:t xml:space="preserve">  </w:t>
      </w:r>
      <w:r>
        <w:t>Strangely, Scofield does not comment upon 2 Tim. 3:16, which would have supported his view of the inspiration of all Scripture.</w:t>
      </w:r>
      <w:r>
        <w:rPr>
          <w:rStyle w:val="FootnoteReference"/>
        </w:rPr>
        <w:footnoteReference w:id="21"/>
      </w:r>
    </w:p>
    <w:p w:rsidR="00442D33" w:rsidRPr="00986413" w:rsidRDefault="00442D33" w:rsidP="00442D33">
      <w:pPr>
        <w:spacing w:after="120" w:line="360" w:lineRule="auto"/>
        <w:ind w:firstLine="567"/>
        <w:jc w:val="both"/>
      </w:pPr>
      <w:r w:rsidRPr="00986413">
        <w:t xml:space="preserve">In the light of these claims, it is interesting to observe how </w:t>
      </w:r>
      <w:r>
        <w:t>Scofield</w:t>
      </w:r>
      <w:r w:rsidRPr="00986413">
        <w:t xml:space="preserve"> </w:t>
      </w:r>
      <w:r>
        <w:t>deals</w:t>
      </w:r>
      <w:r w:rsidRPr="00986413">
        <w:t xml:space="preserve"> with Ecclesiastes.  In his int</w:t>
      </w:r>
      <w:r>
        <w:t>rod</w:t>
      </w:r>
      <w:r w:rsidRPr="00986413">
        <w:t xml:space="preserve">uction to </w:t>
      </w:r>
      <w:r>
        <w:t>this book</w:t>
      </w:r>
      <w:r w:rsidRPr="00986413">
        <w:t xml:space="preserve">, </w:t>
      </w:r>
      <w:r>
        <w:t>he</w:t>
      </w:r>
      <w:r w:rsidRPr="00986413">
        <w:t xml:space="preserve"> abandons his insistence on the inspiration of all scripture, that is, the ‘words, and not the ideas merely’.</w:t>
      </w:r>
      <w:r w:rsidRPr="00986413">
        <w:rPr>
          <w:rStyle w:val="EndnoteReference"/>
        </w:rPr>
        <w:endnoteReference w:id="434"/>
      </w:r>
      <w:r w:rsidRPr="00986413">
        <w:t xml:space="preserve">  He states that ‘inspiration sets down accurately what passes, but the conclusions and reasoning are, after all, man’s’.</w:t>
      </w:r>
      <w:r w:rsidRPr="00986413">
        <w:rPr>
          <w:rStyle w:val="EndnoteReference"/>
        </w:rPr>
        <w:endnoteReference w:id="435"/>
      </w:r>
      <w:r w:rsidRPr="00986413">
        <w:t xml:space="preserve">  </w:t>
      </w:r>
      <w:r>
        <w:t>He</w:t>
      </w:r>
      <w:r w:rsidRPr="00986413">
        <w:t xml:space="preserve"> asserts that ‘the “conclusion” …</w:t>
      </w:r>
      <w:r w:rsidRPr="00986413">
        <w:rPr>
          <w:rStyle w:val="FootnoteReference"/>
        </w:rPr>
        <w:footnoteReference w:id="22"/>
      </w:r>
      <w:r w:rsidRPr="00986413">
        <w:t xml:space="preserve"> is </w:t>
      </w:r>
      <w:proofErr w:type="gramStart"/>
      <w:r w:rsidRPr="00986413">
        <w:t>legal,</w:t>
      </w:r>
      <w:proofErr w:type="gramEnd"/>
      <w:r w:rsidRPr="00986413">
        <w:t xml:space="preserve"> the best that man apart from redemption can do, and does not anticipate the Gospel’.</w:t>
      </w:r>
      <w:r w:rsidRPr="00986413">
        <w:rPr>
          <w:rStyle w:val="EndnoteReference"/>
        </w:rPr>
        <w:endnoteReference w:id="436"/>
      </w:r>
      <w:r w:rsidRPr="00986413">
        <w:t xml:space="preserve">  </w:t>
      </w:r>
      <w:r>
        <w:t>He owns</w:t>
      </w:r>
      <w:r w:rsidRPr="00986413">
        <w:t xml:space="preserve"> that ‘no-one would quote Ecc. </w:t>
      </w:r>
      <w:proofErr w:type="gramStart"/>
      <w:r w:rsidRPr="00986413">
        <w:t>9:2</w:t>
      </w:r>
      <w:r w:rsidRPr="00986413">
        <w:rPr>
          <w:rStyle w:val="FootnoteReference"/>
        </w:rPr>
        <w:footnoteReference w:id="23"/>
      </w:r>
      <w:r w:rsidRPr="00986413">
        <w:t xml:space="preserve"> as a divine revelation</w:t>
      </w:r>
      <w:r>
        <w:t>’</w:t>
      </w:r>
      <w:r w:rsidRPr="00986413">
        <w:t>.</w:t>
      </w:r>
      <w:proofErr w:type="gramEnd"/>
      <w:r w:rsidRPr="00986413">
        <w:rPr>
          <w:rStyle w:val="EndnoteReference"/>
        </w:rPr>
        <w:endnoteReference w:id="437"/>
      </w:r>
      <w:r w:rsidRPr="00986413">
        <w:t xml:space="preserve">  </w:t>
      </w:r>
      <w:proofErr w:type="gramStart"/>
      <w:r>
        <w:rPr>
          <w:lang w:eastAsia="en-GB"/>
        </w:rPr>
        <w:t>In his note on Ecc.</w:t>
      </w:r>
      <w:proofErr w:type="gramEnd"/>
      <w:r>
        <w:rPr>
          <w:lang w:eastAsia="en-GB"/>
        </w:rPr>
        <w:t xml:space="preserve"> 9:10, Scofield dismisses the pessimistic reference to ‘the grave’ as ‘no more a divine revelation concerning the state of the dead that any other conclusion of “the Preacher” … is such a revelation’.  It is interesting that Scofield here compares these human reasonings with ‘the words of Satan’; both are ‘set down by inspiration’.  Scofield concludes that Scripture affirms directly that ‘life and consciousness continue between death and resurrection’.</w:t>
      </w:r>
      <w:r>
        <w:rPr>
          <w:rStyle w:val="EndnoteReference"/>
          <w:lang w:eastAsia="en-GB"/>
        </w:rPr>
        <w:endnoteReference w:id="438"/>
      </w:r>
    </w:p>
    <w:p w:rsidR="00442D33" w:rsidRDefault="00442D33" w:rsidP="00442D33">
      <w:pPr>
        <w:spacing w:after="120" w:line="360" w:lineRule="auto"/>
        <w:ind w:firstLine="567"/>
        <w:jc w:val="both"/>
      </w:pPr>
      <w:r w:rsidRPr="00986413">
        <w:t xml:space="preserve">Dismissing superficial similarities to the biblical accounts which are to be found in Babylonian and Assyrian records, as ‘grotesque’, </w:t>
      </w:r>
      <w:r>
        <w:t>‘</w:t>
      </w:r>
      <w:r w:rsidRPr="00986413">
        <w:t xml:space="preserve">incongruous’ and ‘mythological’, an ‘often </w:t>
      </w:r>
      <w:r>
        <w:t>absurd and childish tradition’, Scofield</w:t>
      </w:r>
      <w:r w:rsidRPr="00986413">
        <w:t xml:space="preserve"> </w:t>
      </w:r>
      <w:r>
        <w:t xml:space="preserve">regards </w:t>
      </w:r>
      <w:r w:rsidRPr="00986413">
        <w:t xml:space="preserve">the Bible as a ‘revelation of the true history … and in an order which, rightly understood, is absolutely scientific’.  </w:t>
      </w:r>
    </w:p>
    <w:p w:rsidR="00442D33" w:rsidRPr="000C3616" w:rsidRDefault="00442D33" w:rsidP="00442D33">
      <w:pPr>
        <w:spacing w:after="120" w:line="360" w:lineRule="auto"/>
        <w:ind w:firstLine="567"/>
        <w:jc w:val="both"/>
      </w:pPr>
      <w:r>
        <w:t>Scofield’s addition, in the 1917 edition, of dates such as a date of 4004 B.C. on the first page of Genesis</w:t>
      </w:r>
      <w:r w:rsidRPr="000C3616">
        <w:t>,</w:t>
      </w:r>
      <w:r w:rsidRPr="000C3616">
        <w:rPr>
          <w:rStyle w:val="EndnoteReference"/>
        </w:rPr>
        <w:endnoteReference w:id="439"/>
      </w:r>
      <w:r w:rsidRPr="000C3616">
        <w:t xml:space="preserve"> supports his belief in the historical accuracy of the biblical text.  The inclusion of these dates is one of the items which </w:t>
      </w:r>
      <w:proofErr w:type="gramStart"/>
      <w:r w:rsidRPr="000C3616">
        <w:t>differentiates</w:t>
      </w:r>
      <w:proofErr w:type="gramEnd"/>
      <w:r w:rsidRPr="000C3616">
        <w:t xml:space="preserve"> the 1917 edition from that of 1909.</w:t>
      </w:r>
      <w:r w:rsidRPr="000C3616">
        <w:rPr>
          <w:rStyle w:val="FootnoteReference"/>
        </w:rPr>
        <w:footnoteReference w:id="24"/>
      </w:r>
      <w:r w:rsidRPr="000C3616">
        <w:t xml:space="preserve">  The dates probably come from “Ussher” whom Scofield quotes in some of his introductions to biblical books; these are mainly the earlier Old Testament books but also include Matthew.</w:t>
      </w:r>
      <w:r w:rsidRPr="000C3616">
        <w:rPr>
          <w:rStyle w:val="EndnoteReference"/>
        </w:rPr>
        <w:endnoteReference w:id="440"/>
      </w:r>
      <w:r w:rsidRPr="000C3616">
        <w:t xml:space="preserve">  According to G. Y. Craig and E. J. Jones, James Ussher (1581-1656), Archbishop of Armagh, ‘established the first day of creation as Sunday 23 October 4004 B.C’.</w:t>
      </w:r>
      <w:r>
        <w:rPr>
          <w:rStyle w:val="EndnoteReference"/>
        </w:rPr>
        <w:endnoteReference w:id="441"/>
      </w:r>
      <w:r w:rsidRPr="000C3616">
        <w:t xml:space="preserve">  Craig and Jones state that Ussher’s ‘treatise on chronology … was incorporated into an authorized version of the Bible printed in 1701,</w:t>
      </w:r>
      <w:r w:rsidRPr="000C3616">
        <w:rPr>
          <w:rStyle w:val="EndnoteReference"/>
        </w:rPr>
        <w:endnoteReference w:id="442"/>
      </w:r>
      <w:r w:rsidRPr="000C3616">
        <w:t xml:space="preserve"> and thus came to be regarded with almost as much unquestioning reverence as the Bible itself’.</w:t>
      </w:r>
      <w:r w:rsidRPr="000C3616">
        <w:rPr>
          <w:rStyle w:val="EndnoteReference"/>
        </w:rPr>
        <w:endnoteReference w:id="443"/>
      </w:r>
    </w:p>
    <w:p w:rsidR="00442D33" w:rsidRDefault="00442D33" w:rsidP="00442D33">
      <w:pPr>
        <w:spacing w:after="120" w:line="360" w:lineRule="auto"/>
        <w:ind w:firstLine="567"/>
        <w:jc w:val="both"/>
      </w:pPr>
      <w:r>
        <w:t>R</w:t>
      </w:r>
      <w:r w:rsidRPr="00986413">
        <w:t xml:space="preserve">emarks in </w:t>
      </w:r>
      <w:r w:rsidRPr="001C0E47">
        <w:rPr>
          <w:i/>
        </w:rPr>
        <w:t>SRB</w:t>
      </w:r>
      <w:r>
        <w:t xml:space="preserve"> </w:t>
      </w:r>
      <w:r w:rsidRPr="00986413">
        <w:t>introduction</w:t>
      </w:r>
      <w:r>
        <w:t>s</w:t>
      </w:r>
      <w:r w:rsidRPr="00986413">
        <w:t xml:space="preserve"> to </w:t>
      </w:r>
      <w:r>
        <w:t xml:space="preserve">what Scofield calls </w:t>
      </w:r>
      <w:r w:rsidRPr="00986413">
        <w:t>the ‘historical books’</w:t>
      </w:r>
      <w:r>
        <w:rPr>
          <w:rStyle w:val="EndnoteReference"/>
        </w:rPr>
        <w:endnoteReference w:id="444"/>
      </w:r>
      <w:r>
        <w:t xml:space="preserve"> </w:t>
      </w:r>
      <w:r w:rsidRPr="00986413">
        <w:t xml:space="preserve">well illustrate </w:t>
      </w:r>
      <w:r>
        <w:t>his</w:t>
      </w:r>
      <w:r w:rsidRPr="00986413">
        <w:t xml:space="preserve"> acceptance of the Bible as accurate history</w:t>
      </w:r>
      <w:r>
        <w:t>; Here he is in agreement with, for example, Ramm,</w:t>
      </w:r>
      <w:r>
        <w:rPr>
          <w:rStyle w:val="EndnoteReference"/>
        </w:rPr>
        <w:endnoteReference w:id="445"/>
      </w:r>
      <w:r>
        <w:t xml:space="preserve"> and Campbell</w:t>
      </w:r>
      <w:r>
        <w:rPr>
          <w:rStyle w:val="EndnoteReference"/>
        </w:rPr>
        <w:endnoteReference w:id="446"/>
      </w:r>
      <w:r>
        <w:t xml:space="preserve"> who refer to ‘biblical history’; R. B. Girdlestone who refers to ‘Old Testament history’;</w:t>
      </w:r>
      <w:r>
        <w:rPr>
          <w:rStyle w:val="EndnoteReference"/>
        </w:rPr>
        <w:endnoteReference w:id="447"/>
      </w:r>
      <w:r>
        <w:t xml:space="preserve"> and </w:t>
      </w:r>
      <w:r>
        <w:lastRenderedPageBreak/>
        <w:t>Terry who refers to ‘the history of the Israelites’.</w:t>
      </w:r>
      <w:r>
        <w:rPr>
          <w:rStyle w:val="EndnoteReference"/>
        </w:rPr>
        <w:endnoteReference w:id="448"/>
      </w:r>
      <w:r>
        <w:t xml:space="preserve">  Scofield</w:t>
      </w:r>
      <w:r w:rsidRPr="00986413">
        <w:t xml:space="preserve"> treat</w:t>
      </w:r>
      <w:r>
        <w:t>s</w:t>
      </w:r>
      <w:r w:rsidRPr="00986413">
        <w:t xml:space="preserve"> the Bible in exactly the same way as later history, as if it were one single fabric</w:t>
      </w:r>
      <w:r>
        <w:t>, asserting</w:t>
      </w:r>
      <w:r w:rsidRPr="00986413">
        <w:t xml:space="preserve"> that ‘the entire Old Testament is filled with historical material’</w:t>
      </w:r>
      <w:r w:rsidRPr="00986413">
        <w:rPr>
          <w:rStyle w:val="EndnoteReference"/>
        </w:rPr>
        <w:endnoteReference w:id="449"/>
      </w:r>
      <w:r w:rsidRPr="00986413">
        <w:t xml:space="preserve"> </w:t>
      </w:r>
      <w:r>
        <w:t>and that archaeology endorses this claim</w:t>
      </w:r>
      <w:r w:rsidRPr="00986413">
        <w:t>.</w:t>
      </w:r>
      <w:r>
        <w:rPr>
          <w:rStyle w:val="EndnoteReference"/>
        </w:rPr>
        <w:endnoteReference w:id="450"/>
      </w:r>
      <w:r w:rsidRPr="00986413">
        <w:t xml:space="preserve">  </w:t>
      </w:r>
      <w:r>
        <w:t>Ramm, too, avers that ‘the archaeological researches have shown that much more is sober history in the Old Testament than was previously believed’.</w:t>
      </w:r>
      <w:r>
        <w:rPr>
          <w:rStyle w:val="EndnoteReference"/>
        </w:rPr>
        <w:endnoteReference w:id="451"/>
      </w:r>
      <w:r>
        <w:t xml:space="preserve">  Like Scofield, Ramm offers no evidence for this remark.  Both Scofield’s and Ramm’s claims are simplistic.  Scholarly works, filling entire books, admittedly written long after </w:t>
      </w:r>
      <w:r w:rsidRPr="00350940">
        <w:rPr>
          <w:i/>
        </w:rPr>
        <w:t>SRB</w:t>
      </w:r>
      <w:r>
        <w:t xml:space="preserve"> and after Ramm, provide detailed analyses of archaeological findings and offer different views on the role of archaeology in providing concrete evidence for the historical veracity of the biblical text.  For example, Israel Finkelstein and Neil Asher Silberman state that ‘the finds [of recent discoveries of archaeology] have revolutionized the study of early Israel and have cast serious doubt on the historical basis of such famous biblical stories as the wanderings of the patriarchs, the Exodus from Egypt and conquest of Canaan, and the glorious empire of David and Solomon’</w:t>
      </w:r>
      <w:r w:rsidRPr="00FB407E">
        <w:t>.</w:t>
      </w:r>
      <w:r>
        <w:rPr>
          <w:rStyle w:val="EndnoteReference"/>
        </w:rPr>
        <w:endnoteReference w:id="452"/>
      </w:r>
      <w:r w:rsidRPr="00FB407E">
        <w:t xml:space="preserve">  </w:t>
      </w:r>
      <w:r>
        <w:t>They further suggest that ‘archaeology has helped us to reconstruct the history behind the Bible …</w:t>
      </w:r>
      <w:proofErr w:type="gramStart"/>
      <w:r>
        <w:t>’;</w:t>
      </w:r>
      <w:proofErr w:type="gramEnd"/>
      <w:r>
        <w:t xml:space="preserve"> this helps partially to meet the need for the </w:t>
      </w:r>
      <w:r w:rsidRPr="00BF121E">
        <w:t>establishment of context</w:t>
      </w:r>
      <w:r>
        <w:t>.</w:t>
      </w:r>
      <w:r>
        <w:rPr>
          <w:rStyle w:val="EndnoteReference"/>
        </w:rPr>
        <w:endnoteReference w:id="453"/>
      </w:r>
      <w:r>
        <w:t xml:space="preserve">  </w:t>
      </w:r>
    </w:p>
    <w:p w:rsidR="00442D33" w:rsidRPr="00930632" w:rsidRDefault="00442D33" w:rsidP="00442D33">
      <w:pPr>
        <w:spacing w:after="120" w:line="360" w:lineRule="auto"/>
        <w:ind w:firstLine="567"/>
        <w:jc w:val="both"/>
      </w:pPr>
      <w:r w:rsidRPr="00930632">
        <w:t>Scofield states that the ‘historical books’ present ‘the story of the rise and fall of the Commonwealth of Israel …</w:t>
      </w:r>
      <w:proofErr w:type="gramStart"/>
      <w:r w:rsidRPr="00930632">
        <w:t>’.</w:t>
      </w:r>
      <w:proofErr w:type="gramEnd"/>
      <w:r w:rsidRPr="00930632">
        <w:rPr>
          <w:rStyle w:val="EndnoteReference"/>
        </w:rPr>
        <w:endnoteReference w:id="454"/>
      </w:r>
      <w:r w:rsidRPr="00930632">
        <w:t xml:space="preserve">  He lists seven periods in ‘the history of Israel’, as shown in the table </w:t>
      </w:r>
      <w:r>
        <w:t>below</w:t>
      </w:r>
      <w:r w:rsidRPr="00930632">
        <w:t>.  In his intertestamental section, ‘From Malachi to Matthew’, he mingles facts of ancient history with references to Daniel and Matthew.</w:t>
      </w:r>
      <w:r w:rsidRPr="00930632">
        <w:rPr>
          <w:rStyle w:val="EndnoteReference"/>
        </w:rPr>
        <w:endnoteReference w:id="455"/>
      </w:r>
      <w:r w:rsidRPr="00930632">
        <w:t xml:space="preserve">  References to historical figures like Antiochus Epiphanes,</w:t>
      </w:r>
      <w:r w:rsidRPr="00930632">
        <w:rPr>
          <w:rStyle w:val="EndnoteReference"/>
        </w:rPr>
        <w:endnoteReference w:id="456"/>
      </w:r>
      <w:r w:rsidRPr="00930632">
        <w:t xml:space="preserve"> Alexander the Great,</w:t>
      </w:r>
      <w:r w:rsidRPr="00930632">
        <w:rPr>
          <w:rStyle w:val="EndnoteReference"/>
        </w:rPr>
        <w:endnoteReference w:id="457"/>
      </w:r>
      <w:r w:rsidRPr="00930632">
        <w:t xml:space="preserve"> and the Babylonian, Persian and Macedonian Empires</w:t>
      </w:r>
      <w:r w:rsidRPr="00930632">
        <w:rPr>
          <w:rStyle w:val="EndnoteReference"/>
        </w:rPr>
        <w:endnoteReference w:id="458"/>
      </w:r>
      <w:r w:rsidRPr="00930632">
        <w:t xml:space="preserve"> add to the impression of historicity in Scofield’s commentary.  Scofield states that ‘the inspired history’ of the time between the return from exile and 70 CE appears in Ezra, Nehemiah, Haggai, Zechariah and Malachi and he includes New Testament ‘historical and biographical material’ in this.</w:t>
      </w:r>
      <w:r w:rsidRPr="00930632">
        <w:rPr>
          <w:rStyle w:val="EndnoteReference"/>
        </w:rPr>
        <w:endnoteReference w:id="459"/>
      </w:r>
      <w:r w:rsidRPr="00930632">
        <w:t xml:space="preserve">  Christ’s Davidic identity is stressed in the </w:t>
      </w:r>
      <w:r w:rsidRPr="00930632">
        <w:rPr>
          <w:i/>
        </w:rPr>
        <w:t>SRB</w:t>
      </w:r>
      <w:r w:rsidRPr="00930632">
        <w:t xml:space="preserve"> ‘Introduction to the Historical Books’: ‘Christ, the promised King of the Davidic Covenant, and the Seed of the Adamic and Abrahamic Covenants, appeared, was rejected as king, was crucified, rose again from the dead, and ascended to heaven.’.</w:t>
      </w:r>
      <w:r w:rsidRPr="00930632">
        <w:rPr>
          <w:rStyle w:val="EndnoteReference"/>
        </w:rPr>
        <w:endnoteReference w:id="460"/>
      </w:r>
      <w:r w:rsidRPr="00930632">
        <w:t xml:space="preserve">  Surprisingly, Scofield does not mention the foundational role of Abraham in the establishment of Israel, concentrating on the ascription of the book of Job to this time.  </w:t>
      </w:r>
    </w:p>
    <w:p w:rsidR="00442D33" w:rsidRDefault="00442D33" w:rsidP="00442D33">
      <w:pPr>
        <w:spacing w:after="120" w:line="360" w:lineRule="auto"/>
        <w:ind w:firstLine="567"/>
        <w:jc w:val="both"/>
      </w:pPr>
      <w:r>
        <w:rPr>
          <w:noProof/>
          <w:lang w:eastAsia="en-GB"/>
        </w:rPr>
        <w:lastRenderedPageBreak/>
        <w:drawing>
          <wp:inline distT="0" distB="0" distL="0" distR="0" wp14:anchorId="7E7C1CE1" wp14:editId="7A6CD627">
            <wp:extent cx="5400040" cy="67983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ods in Israel's History rev 28.2.18 crop.jpg"/>
                    <pic:cNvPicPr/>
                  </pic:nvPicPr>
                  <pic:blipFill>
                    <a:blip r:embed="rId62">
                      <a:extLst>
                        <a:ext uri="{28A0092B-C50C-407E-A947-70E740481C1C}">
                          <a14:useLocalDpi xmlns:a14="http://schemas.microsoft.com/office/drawing/2010/main" val="0"/>
                        </a:ext>
                      </a:extLst>
                    </a:blip>
                    <a:stretch>
                      <a:fillRect/>
                    </a:stretch>
                  </pic:blipFill>
                  <pic:spPr>
                    <a:xfrm>
                      <a:off x="0" y="0"/>
                      <a:ext cx="5400040" cy="6798310"/>
                    </a:xfrm>
                    <a:prstGeom prst="rect">
                      <a:avLst/>
                    </a:prstGeom>
                  </pic:spPr>
                </pic:pic>
              </a:graphicData>
            </a:graphic>
          </wp:inline>
        </w:drawing>
      </w:r>
    </w:p>
    <w:p w:rsidR="00442D33" w:rsidRDefault="00442D33" w:rsidP="00442D33">
      <w:pPr>
        <w:spacing w:after="120" w:line="360" w:lineRule="auto"/>
        <w:ind w:firstLine="567"/>
        <w:jc w:val="center"/>
      </w:pPr>
    </w:p>
    <w:p w:rsidR="00442D33" w:rsidRPr="005A4949" w:rsidRDefault="00442D33" w:rsidP="00442D33">
      <w:pPr>
        <w:spacing w:after="120" w:line="360" w:lineRule="auto"/>
        <w:jc w:val="center"/>
      </w:pPr>
      <w:r>
        <w:rPr>
          <w:noProof/>
          <w:lang w:eastAsia="en-GB"/>
        </w:rPr>
        <w:lastRenderedPageBreak/>
        <w:drawing>
          <wp:inline distT="0" distB="0" distL="0" distR="0" wp14:anchorId="3C607E18" wp14:editId="5CD23629">
            <wp:extent cx="5400040" cy="47669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cal Ordering rev 12.3.18_Page_1 crop.jpg"/>
                    <pic:cNvPicPr/>
                  </pic:nvPicPr>
                  <pic:blipFill>
                    <a:blip r:embed="rId63">
                      <a:extLst>
                        <a:ext uri="{28A0092B-C50C-407E-A947-70E740481C1C}">
                          <a14:useLocalDpi xmlns:a14="http://schemas.microsoft.com/office/drawing/2010/main" val="0"/>
                        </a:ext>
                      </a:extLst>
                    </a:blip>
                    <a:stretch>
                      <a:fillRect/>
                    </a:stretch>
                  </pic:blipFill>
                  <pic:spPr>
                    <a:xfrm>
                      <a:off x="0" y="0"/>
                      <a:ext cx="5400040" cy="4766945"/>
                    </a:xfrm>
                    <a:prstGeom prst="rect">
                      <a:avLst/>
                    </a:prstGeom>
                  </pic:spPr>
                </pic:pic>
              </a:graphicData>
            </a:graphic>
          </wp:inline>
        </w:drawing>
      </w:r>
    </w:p>
    <w:p w:rsidR="00442D33" w:rsidRPr="00562935" w:rsidRDefault="00442D33" w:rsidP="00442D33">
      <w:pPr>
        <w:spacing w:after="120" w:line="360" w:lineRule="auto"/>
        <w:ind w:firstLine="567"/>
        <w:jc w:val="both"/>
      </w:pPr>
      <w:r>
        <w:t xml:space="preserve">Another characteristic of Scofield’s interpretation is his enthusiasm for setting ‘biblical history’ in order.  </w:t>
      </w:r>
      <w:r w:rsidRPr="00562935">
        <w:t>In his note on Ezra 2:1,</w:t>
      </w:r>
      <w:r w:rsidRPr="00562935">
        <w:rPr>
          <w:rStyle w:val="EndnoteReference"/>
        </w:rPr>
        <w:endnoteReference w:id="461"/>
      </w:r>
      <w:r w:rsidRPr="00562935">
        <w:t xml:space="preserve"> Scofield provides definite dates for events as if these were axiomatic.  However, Daniel Smith-Christopher indicates difficulties with dating the events described, some of which stem from uncertainties as to whether Artaxerxes I or II is intended.  If Nehemiah served under Artaxerxes I, as is generally recognised, the seventh year of Artaxerxes’ reign</w:t>
      </w:r>
      <w:r>
        <w:rPr>
          <w:rStyle w:val="EndnoteReference"/>
        </w:rPr>
        <w:endnoteReference w:id="462"/>
      </w:r>
      <w:r>
        <w:t xml:space="preserve"> </w:t>
      </w:r>
      <w:r w:rsidRPr="00562935">
        <w:t>would be 458 BCE, the date traditionally ascribed to Ezra; this date would be ‘before the date of Nehemiah’s opening memoirs, which would be 446 BCE’.  However, if the king was Artaxerxes II, this suggests that ‘Ezra arrived in Jerusalem years after Nehemiah, in 398 BCE’.  Smith-Christopher states that ‘more recent trends have accepted that Nehemiah’s actions make more sense following the precedent of Ezra’s legal reforms’.</w:t>
      </w:r>
      <w:r>
        <w:rPr>
          <w:rStyle w:val="EndnoteReference"/>
        </w:rPr>
        <w:endnoteReference w:id="463"/>
      </w:r>
      <w:r>
        <w:t xml:space="preserve"> </w:t>
      </w:r>
    </w:p>
    <w:p w:rsidR="00442D33" w:rsidRPr="00DF3813" w:rsidRDefault="00442D33" w:rsidP="00442D33">
      <w:pPr>
        <w:spacing w:after="120" w:line="360" w:lineRule="auto"/>
        <w:ind w:firstLine="567"/>
        <w:jc w:val="both"/>
      </w:pPr>
      <w:r w:rsidRPr="00DF3813">
        <w:t>In his note on Dan. 5:31, Scofield lists the ‘biblical order of the monarchs of Daniel’s time and of the period of the captivity and restoration of Judah’.</w:t>
      </w:r>
      <w:r>
        <w:rPr>
          <w:rStyle w:val="EndnoteReference"/>
        </w:rPr>
        <w:endnoteReference w:id="464"/>
      </w:r>
      <w:r w:rsidRPr="00DF3813">
        <w:t xml:space="preserve">  This note contains a mixture of historically viable dates and figures, and tenets from Scofield’s eschatological interpretations of the Book of Daniel. </w:t>
      </w:r>
    </w:p>
    <w:p w:rsidR="00442D33" w:rsidRPr="000304A6" w:rsidRDefault="00442D33" w:rsidP="00442D33">
      <w:pPr>
        <w:spacing w:after="120" w:line="360" w:lineRule="auto"/>
        <w:ind w:firstLine="567"/>
        <w:jc w:val="center"/>
      </w:pPr>
      <w:r>
        <w:rPr>
          <w:noProof/>
          <w:color w:val="FF0000"/>
          <w:lang w:eastAsia="en-GB"/>
        </w:rPr>
        <w:lastRenderedPageBreak/>
        <w:drawing>
          <wp:inline distT="0" distB="0" distL="0" distR="0" wp14:anchorId="07749BC3" wp14:editId="1F884BA7">
            <wp:extent cx="5400040" cy="44811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cal Ordering rev 12.3.18_Page_2 crop.jpg"/>
                    <pic:cNvPicPr/>
                  </pic:nvPicPr>
                  <pic:blipFill>
                    <a:blip r:embed="rId64">
                      <a:extLst>
                        <a:ext uri="{28A0092B-C50C-407E-A947-70E740481C1C}">
                          <a14:useLocalDpi xmlns:a14="http://schemas.microsoft.com/office/drawing/2010/main" val="0"/>
                        </a:ext>
                      </a:extLst>
                    </a:blip>
                    <a:stretch>
                      <a:fillRect/>
                    </a:stretch>
                  </pic:blipFill>
                  <pic:spPr>
                    <a:xfrm>
                      <a:off x="0" y="0"/>
                      <a:ext cx="5400040" cy="4481195"/>
                    </a:xfrm>
                    <a:prstGeom prst="rect">
                      <a:avLst/>
                    </a:prstGeom>
                  </pic:spPr>
                </pic:pic>
              </a:graphicData>
            </a:graphic>
          </wp:inline>
        </w:drawing>
      </w:r>
    </w:p>
    <w:p w:rsidR="00442D33" w:rsidRPr="00DF3813" w:rsidRDefault="00442D33" w:rsidP="00442D33">
      <w:pPr>
        <w:spacing w:after="120" w:line="360" w:lineRule="auto"/>
        <w:ind w:firstLine="567"/>
        <w:jc w:val="both"/>
      </w:pPr>
      <w:r w:rsidRPr="00DF3813">
        <w:t xml:space="preserve">The note on Zech. 12:8 encapsulates Scofield’s concept of the ‘history’ of Israel and is another good example of his conflation of ‘historical’ and eschatological material.  Putative past combines with predictive future in the section on the Davidic kingdom.  The most notable characteristic is its </w:t>
      </w:r>
      <w:r>
        <w:t>movement</w:t>
      </w:r>
      <w:r w:rsidRPr="00DF3813">
        <w:t xml:space="preserve"> from references to the Davidic kingdom past to visions for the David</w:t>
      </w:r>
      <w:r>
        <w:t>ic</w:t>
      </w:r>
      <w:r w:rsidRPr="00DF3813">
        <w:t xml:space="preserve"> kingdom in the future.  The implication is continuity.  </w:t>
      </w:r>
      <w:r>
        <w:t xml:space="preserve">This is a single kingdom.  One significant point is Scofield’s reference to Jerusalem’s still being ‘under the overlordship of the Gentiles’, as it was at the time when </w:t>
      </w:r>
      <w:r w:rsidRPr="00DF3813">
        <w:rPr>
          <w:i/>
        </w:rPr>
        <w:t>SRB</w:t>
      </w:r>
      <w:r>
        <w:t xml:space="preserve"> was written.</w:t>
      </w:r>
      <w:r>
        <w:rPr>
          <w:rStyle w:val="EndnoteReference"/>
        </w:rPr>
        <w:endnoteReference w:id="465"/>
      </w:r>
      <w:r w:rsidRPr="00DF3813">
        <w:t xml:space="preserve">  </w:t>
      </w:r>
    </w:p>
    <w:p w:rsidR="00442D33" w:rsidRDefault="00442D33" w:rsidP="00442D33">
      <w:pPr>
        <w:spacing w:after="120" w:line="360" w:lineRule="auto"/>
        <w:ind w:firstLine="567"/>
        <w:jc w:val="both"/>
      </w:pPr>
      <w:r w:rsidRPr="00FF17E7">
        <w:t xml:space="preserve">One result of Scofield’s acceptance of the principle of biblical inspiration is his attempt to eliminate any notion of discrepancies or contradictions in the biblical text, as outlined in his 1909 Introduction to </w:t>
      </w:r>
      <w:r w:rsidRPr="00FF17E7">
        <w:rPr>
          <w:i/>
        </w:rPr>
        <w:t>SRB</w:t>
      </w:r>
      <w:r w:rsidRPr="00FF17E7">
        <w:t>,</w:t>
      </w:r>
      <w:r>
        <w:rPr>
          <w:rStyle w:val="EndnoteReference"/>
        </w:rPr>
        <w:endnoteReference w:id="466"/>
      </w:r>
      <w:r w:rsidRPr="00FF17E7">
        <w:t xml:space="preserve"> and also to harmonise the gospels.</w:t>
      </w:r>
    </w:p>
    <w:p w:rsidR="00CE2C2A" w:rsidRPr="001615D8" w:rsidRDefault="00CE2C2A" w:rsidP="00CE2C2A">
      <w:pPr>
        <w:spacing w:after="120" w:line="360" w:lineRule="auto"/>
        <w:ind w:right="-28"/>
        <w:rPr>
          <w:b/>
          <w:szCs w:val="24"/>
        </w:rPr>
      </w:pPr>
      <w:proofErr w:type="gramStart"/>
      <w:r w:rsidRPr="001615D8">
        <w:rPr>
          <w:b/>
          <w:szCs w:val="24"/>
        </w:rPr>
        <w:t>2.1.1  Solutions</w:t>
      </w:r>
      <w:proofErr w:type="gramEnd"/>
      <w:r w:rsidRPr="001615D8">
        <w:rPr>
          <w:b/>
          <w:szCs w:val="24"/>
        </w:rPr>
        <w:t xml:space="preserve"> to Perceived Discrepancies or </w:t>
      </w:r>
      <w:r w:rsidRPr="003134EF">
        <w:rPr>
          <w:b/>
          <w:szCs w:val="24"/>
        </w:rPr>
        <w:t>Contradictions in the Biblical Text</w:t>
      </w:r>
    </w:p>
    <w:p w:rsidR="00442D33" w:rsidRDefault="00442D33" w:rsidP="00442D33">
      <w:pPr>
        <w:spacing w:after="120" w:line="360" w:lineRule="auto"/>
        <w:ind w:right="-28"/>
        <w:jc w:val="both"/>
      </w:pPr>
      <w:r w:rsidRPr="00011B81">
        <w:t>Scofield is often at pains to justify and obviate perceived inconsistencies in the biblical text.  This is important if he is to defend his statement concerning the inspiration of both ideas and words.</w:t>
      </w:r>
      <w:r w:rsidRPr="00011B81">
        <w:rPr>
          <w:rStyle w:val="EndnoteReference"/>
        </w:rPr>
        <w:endnoteReference w:id="467"/>
      </w:r>
      <w:r w:rsidRPr="00011B81">
        <w:t xml:space="preserve">  Often accounts appear irreconcilable and the discrepancies seem insoluble</w:t>
      </w:r>
      <w:r>
        <w:t>.</w:t>
      </w:r>
      <w:r w:rsidRPr="00011B81">
        <w:t xml:space="preserve">  Sometimes </w:t>
      </w:r>
      <w:r>
        <w:t>Scofield’s</w:t>
      </w:r>
      <w:r w:rsidRPr="00011B81">
        <w:t xml:space="preserve"> solution is to harmonise texts.</w:t>
      </w:r>
      <w:r>
        <w:rPr>
          <w:rStyle w:val="EndnoteReference"/>
        </w:rPr>
        <w:endnoteReference w:id="468"/>
      </w:r>
      <w:r w:rsidRPr="00011B81">
        <w:t xml:space="preserve">  </w:t>
      </w:r>
    </w:p>
    <w:p w:rsidR="00442D33" w:rsidRDefault="00442D33" w:rsidP="00442D33">
      <w:pPr>
        <w:spacing w:after="120" w:line="360" w:lineRule="auto"/>
        <w:ind w:right="-28"/>
        <w:jc w:val="both"/>
      </w:pPr>
    </w:p>
    <w:p w:rsidR="00442D33" w:rsidRPr="009773BC" w:rsidRDefault="00442D33" w:rsidP="00442D33">
      <w:pPr>
        <w:spacing w:after="120" w:line="360" w:lineRule="auto"/>
        <w:ind w:right="-28"/>
        <w:jc w:val="both"/>
        <w:rPr>
          <w:b/>
          <w:i/>
        </w:rPr>
      </w:pPr>
      <w:r>
        <w:rPr>
          <w:b/>
          <w:i/>
        </w:rPr>
        <w:lastRenderedPageBreak/>
        <w:t xml:space="preserve">a)  </w:t>
      </w:r>
      <w:r w:rsidRPr="009773BC">
        <w:rPr>
          <w:b/>
          <w:i/>
        </w:rPr>
        <w:t>Numerical Discrepancies</w:t>
      </w:r>
      <w:r>
        <w:rPr>
          <w:b/>
          <w:i/>
        </w:rPr>
        <w:t xml:space="preserve"> </w:t>
      </w:r>
      <w:r w:rsidR="00841D16">
        <w:rPr>
          <w:b/>
          <w:i/>
        </w:rPr>
        <w:t>in the Biblical Text</w:t>
      </w:r>
    </w:p>
    <w:p w:rsidR="00442D33" w:rsidRPr="00011B81" w:rsidRDefault="00442D33" w:rsidP="00442D33">
      <w:pPr>
        <w:spacing w:after="120" w:line="360" w:lineRule="auto"/>
        <w:ind w:right="-28"/>
        <w:jc w:val="center"/>
        <w:rPr>
          <w:rFonts w:ascii="Times New Roman" w:hAnsi="Times New Roman"/>
        </w:rPr>
      </w:pPr>
      <w:r>
        <w:rPr>
          <w:rFonts w:ascii="Times New Roman" w:hAnsi="Times New Roman"/>
          <w:noProof/>
          <w:lang w:eastAsia="en-GB"/>
        </w:rPr>
        <w:drawing>
          <wp:inline distT="0" distB="0" distL="0" distR="0" wp14:anchorId="4ACB07E7" wp14:editId="69FB18A2">
            <wp:extent cx="5400040" cy="43770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ical revised 28.2.18 crop.jpg"/>
                    <pic:cNvPicPr/>
                  </pic:nvPicPr>
                  <pic:blipFill>
                    <a:blip r:embed="rId65">
                      <a:extLst>
                        <a:ext uri="{28A0092B-C50C-407E-A947-70E740481C1C}">
                          <a14:useLocalDpi xmlns:a14="http://schemas.microsoft.com/office/drawing/2010/main" val="0"/>
                        </a:ext>
                      </a:extLst>
                    </a:blip>
                    <a:stretch>
                      <a:fillRect/>
                    </a:stretch>
                  </pic:blipFill>
                  <pic:spPr>
                    <a:xfrm>
                      <a:off x="0" y="0"/>
                      <a:ext cx="5400040" cy="4377055"/>
                    </a:xfrm>
                    <a:prstGeom prst="rect">
                      <a:avLst/>
                    </a:prstGeom>
                  </pic:spPr>
                </pic:pic>
              </a:graphicData>
            </a:graphic>
          </wp:inline>
        </w:drawing>
      </w:r>
    </w:p>
    <w:p w:rsidR="00442D33" w:rsidRDefault="00442D33" w:rsidP="00442D33">
      <w:pPr>
        <w:spacing w:after="120" w:line="360" w:lineRule="auto"/>
        <w:ind w:right="-28"/>
        <w:jc w:val="both"/>
      </w:pPr>
      <w:r>
        <w:t>The above n</w:t>
      </w:r>
      <w:r w:rsidRPr="00011B81">
        <w:t xml:space="preserve">otes on Genesis, Acts and 1 Corinthians all concern numerical discrepancies </w:t>
      </w:r>
      <w:r>
        <w:t xml:space="preserve">about which Scofield is concerned. </w:t>
      </w:r>
      <w:r w:rsidRPr="00011B81">
        <w:t xml:space="preserve"> </w:t>
      </w:r>
      <w:r>
        <w:t xml:space="preserve">A total of seventy people are recorded in Gen. 46:27 as going to Egypt to join Joseph whereas Stephen refers to seventy-five people in his speech in Acts 7:14.  Scofield identifies </w:t>
      </w:r>
      <w:r w:rsidRPr="00011B81">
        <w:t>the additional five people as ‘wives of Jacob’s sons’</w:t>
      </w:r>
      <w:r>
        <w:t>;</w:t>
      </w:r>
      <w:r w:rsidRPr="00011B81">
        <w:rPr>
          <w:rStyle w:val="EndnoteReference"/>
        </w:rPr>
        <w:endnoteReference w:id="469"/>
      </w:r>
      <w:r w:rsidRPr="00011B81">
        <w:t xml:space="preserve"> </w:t>
      </w:r>
      <w:r>
        <w:t xml:space="preserve">there is no justification for this conjecture and </w:t>
      </w:r>
      <w:r w:rsidRPr="00011B81">
        <w:t>Scofield does not explain how he knows that only five of the twelve sons were married, assuming that, unlike Jacob, they were monogamous.  It seems odd that this insignificant detail is the only matter in Stephen’s entire speech on which Scofield chooses to comment, apart from a brief reference to Israel in the wilderness as ‘the church’</w:t>
      </w:r>
      <w:r>
        <w:t>.</w:t>
      </w:r>
      <w:r w:rsidRPr="00294D4A">
        <w:rPr>
          <w:rStyle w:val="EndnoteReference"/>
        </w:rPr>
        <w:endnoteReference w:id="470"/>
      </w:r>
      <w:r w:rsidRPr="00011B81">
        <w:t xml:space="preserve">  In his note on 1 Cor. 10:8, Scofield ignores the content of the passage, which concerns not committing fornication,</w:t>
      </w:r>
      <w:r w:rsidRPr="00011B81">
        <w:rPr>
          <w:rStyle w:val="FootnoteReference"/>
        </w:rPr>
        <w:footnoteReference w:id="25"/>
      </w:r>
      <w:r w:rsidRPr="00011B81">
        <w:t xml:space="preserve"> and instead analyse</w:t>
      </w:r>
      <w:r>
        <w:t>s</w:t>
      </w:r>
      <w:r w:rsidRPr="00011B81">
        <w:t xml:space="preserve"> an ‘imagined [numerical] discrepancy’</w:t>
      </w:r>
      <w:r>
        <w:t xml:space="preserve"> of one thousand</w:t>
      </w:r>
      <w:r w:rsidRPr="00011B81">
        <w:t>.</w:t>
      </w:r>
      <w:r>
        <w:rPr>
          <w:rStyle w:val="EndnoteReference"/>
        </w:rPr>
        <w:endnoteReference w:id="471"/>
      </w:r>
      <w:r w:rsidRPr="00011B81">
        <w:t xml:space="preserve">  </w:t>
      </w:r>
      <w:r w:rsidRPr="00D138B7">
        <w:t>He is forced to admit some inaccuracy in received texts</w:t>
      </w:r>
      <w:r>
        <w:t>, however.</w:t>
      </w:r>
      <w:r>
        <w:rPr>
          <w:rStyle w:val="EndnoteReference"/>
        </w:rPr>
        <w:endnoteReference w:id="472"/>
      </w:r>
      <w:r>
        <w:t xml:space="preserve">  </w:t>
      </w:r>
    </w:p>
    <w:p w:rsidR="00442D33" w:rsidRDefault="00442D33" w:rsidP="00442D33">
      <w:pPr>
        <w:spacing w:after="120" w:line="360" w:lineRule="auto"/>
        <w:ind w:right="-28"/>
        <w:jc w:val="both"/>
      </w:pPr>
    </w:p>
    <w:p w:rsidR="00442D33" w:rsidRDefault="00442D33" w:rsidP="00442D33">
      <w:pPr>
        <w:spacing w:after="120" w:line="360" w:lineRule="auto"/>
        <w:ind w:right="-28"/>
        <w:jc w:val="both"/>
      </w:pPr>
    </w:p>
    <w:p w:rsidR="00442D33" w:rsidRDefault="00442D33" w:rsidP="00442D33">
      <w:pPr>
        <w:spacing w:after="120" w:line="360" w:lineRule="auto"/>
        <w:ind w:right="-28"/>
        <w:jc w:val="both"/>
      </w:pPr>
    </w:p>
    <w:p w:rsidR="00442D33" w:rsidRPr="009773BC" w:rsidRDefault="00442D33" w:rsidP="00442D33">
      <w:pPr>
        <w:spacing w:after="120" w:line="360" w:lineRule="auto"/>
        <w:ind w:right="-28"/>
        <w:jc w:val="both"/>
        <w:rPr>
          <w:b/>
          <w:i/>
        </w:rPr>
      </w:pPr>
      <w:r>
        <w:rPr>
          <w:b/>
          <w:i/>
        </w:rPr>
        <w:lastRenderedPageBreak/>
        <w:t xml:space="preserve">b)  </w:t>
      </w:r>
      <w:r w:rsidR="00841D16">
        <w:rPr>
          <w:b/>
          <w:i/>
        </w:rPr>
        <w:t xml:space="preserve">Discrepancies Concerning </w:t>
      </w:r>
      <w:r w:rsidRPr="009773BC">
        <w:rPr>
          <w:b/>
          <w:i/>
        </w:rPr>
        <w:t>Saul</w:t>
      </w:r>
      <w:r>
        <w:rPr>
          <w:b/>
          <w:i/>
        </w:rPr>
        <w:t xml:space="preserve">  </w:t>
      </w:r>
    </w:p>
    <w:p w:rsidR="00442D33" w:rsidRDefault="00442D33" w:rsidP="00442D33">
      <w:pPr>
        <w:spacing w:after="120" w:line="360" w:lineRule="auto"/>
        <w:ind w:right="-28"/>
        <w:jc w:val="center"/>
      </w:pPr>
      <w:r>
        <w:rPr>
          <w:noProof/>
          <w:lang w:eastAsia="en-GB"/>
        </w:rPr>
        <w:drawing>
          <wp:inline distT="0" distB="0" distL="0" distR="0" wp14:anchorId="60ECF862" wp14:editId="7E01B944">
            <wp:extent cx="5400040" cy="46780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 rev 12.3.18 p 1 only crop.jpg"/>
                    <pic:cNvPicPr/>
                  </pic:nvPicPr>
                  <pic:blipFill>
                    <a:blip r:embed="rId66">
                      <a:extLst>
                        <a:ext uri="{28A0092B-C50C-407E-A947-70E740481C1C}">
                          <a14:useLocalDpi xmlns:a14="http://schemas.microsoft.com/office/drawing/2010/main" val="0"/>
                        </a:ext>
                      </a:extLst>
                    </a:blip>
                    <a:stretch>
                      <a:fillRect/>
                    </a:stretch>
                  </pic:blipFill>
                  <pic:spPr>
                    <a:xfrm>
                      <a:off x="0" y="0"/>
                      <a:ext cx="5400040" cy="4678045"/>
                    </a:xfrm>
                    <a:prstGeom prst="rect">
                      <a:avLst/>
                    </a:prstGeom>
                  </pic:spPr>
                </pic:pic>
              </a:graphicData>
            </a:graphic>
          </wp:inline>
        </w:drawing>
      </w:r>
    </w:p>
    <w:p w:rsidR="00442D33" w:rsidRDefault="00442D33" w:rsidP="00442D33">
      <w:pPr>
        <w:spacing w:after="120" w:line="360" w:lineRule="auto"/>
        <w:ind w:right="-28"/>
        <w:jc w:val="both"/>
      </w:pPr>
      <w:r>
        <w:t xml:space="preserve">In 1 Samuel, Saul appears to have an aberration about David’s identity when he does not seem to recognise someone who has played the harp for him and to whom he has given his own armour.  </w:t>
      </w:r>
      <w:r w:rsidRPr="00011B81">
        <w:t>Scofield’s attempt to dissipate the apparent discrepancies in 1 Samuel 16 and 17</w:t>
      </w:r>
      <w:r>
        <w:rPr>
          <w:rStyle w:val="EndnoteReference"/>
        </w:rPr>
        <w:endnoteReference w:id="473"/>
      </w:r>
      <w:r w:rsidRPr="00011B81">
        <w:t xml:space="preserve"> ignores 1 Sam. 16:22, where Saul requests David’s presence from Jesse</w:t>
      </w:r>
      <w:r>
        <w:t>,</w:t>
      </w:r>
      <w:r w:rsidRPr="00011B81">
        <w:t xml:space="preserve"> </w:t>
      </w:r>
      <w:r>
        <w:t xml:space="preserve">and does not allow for </w:t>
      </w:r>
      <w:r w:rsidRPr="00011B81">
        <w:t>conf</w:t>
      </w:r>
      <w:r>
        <w:t>licting traditions or redaction of the text.  Because he believes that the received biblical text must be true in every detail, Scofield turns the identity question upon David’s father rather than David himself.</w:t>
      </w:r>
    </w:p>
    <w:p w:rsidR="001349B7" w:rsidRPr="001349B7" w:rsidRDefault="001349B7" w:rsidP="00442D33">
      <w:pPr>
        <w:spacing w:after="120" w:line="360" w:lineRule="auto"/>
        <w:ind w:right="-28"/>
        <w:jc w:val="both"/>
        <w:rPr>
          <w:b/>
          <w:i/>
        </w:rPr>
      </w:pPr>
      <w:r w:rsidRPr="001349B7">
        <w:rPr>
          <w:b/>
          <w:i/>
        </w:rPr>
        <w:t>Continued overleaf</w:t>
      </w:r>
    </w:p>
    <w:p w:rsidR="00442D33" w:rsidRPr="00011B81" w:rsidRDefault="00442D33" w:rsidP="00442D33">
      <w:pPr>
        <w:spacing w:after="120" w:line="360" w:lineRule="auto"/>
        <w:ind w:right="-28"/>
        <w:jc w:val="center"/>
      </w:pPr>
      <w:r>
        <w:rPr>
          <w:noProof/>
          <w:lang w:eastAsia="en-GB"/>
        </w:rPr>
        <w:lastRenderedPageBreak/>
        <w:drawing>
          <wp:inline distT="0" distB="0" distL="0" distR="0" wp14:anchorId="232D5499" wp14:editId="1D1344D4">
            <wp:extent cx="5400040" cy="4258310"/>
            <wp:effectExtent l="0" t="0" r="0" b="88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 Rev. 12.3.18 p 2 only crop.jpg"/>
                    <pic:cNvPicPr/>
                  </pic:nvPicPr>
                  <pic:blipFill>
                    <a:blip r:embed="rId67">
                      <a:extLst>
                        <a:ext uri="{28A0092B-C50C-407E-A947-70E740481C1C}">
                          <a14:useLocalDpi xmlns:a14="http://schemas.microsoft.com/office/drawing/2010/main" val="0"/>
                        </a:ext>
                      </a:extLst>
                    </a:blip>
                    <a:stretch>
                      <a:fillRect/>
                    </a:stretch>
                  </pic:blipFill>
                  <pic:spPr>
                    <a:xfrm>
                      <a:off x="0" y="0"/>
                      <a:ext cx="5400040" cy="4258310"/>
                    </a:xfrm>
                    <a:prstGeom prst="rect">
                      <a:avLst/>
                    </a:prstGeom>
                  </pic:spPr>
                </pic:pic>
              </a:graphicData>
            </a:graphic>
          </wp:inline>
        </w:drawing>
      </w:r>
    </w:p>
    <w:p w:rsidR="00442D33" w:rsidRDefault="00442D33" w:rsidP="00442D33">
      <w:pPr>
        <w:spacing w:after="120" w:line="360" w:lineRule="auto"/>
        <w:ind w:right="-28"/>
        <w:jc w:val="both"/>
      </w:pPr>
      <w:r>
        <w:t xml:space="preserve">There are different accounts of Saul’s death in 1 Sam. 31:3-5 and 2 Sam. 21:12; in the former, Saul commits suicide, whereas in </w:t>
      </w:r>
      <w:r>
        <w:rPr>
          <w:lang w:val="en-US"/>
        </w:rPr>
        <w:t xml:space="preserve">the latter Saul is killed by an Amalekite.  </w:t>
      </w:r>
      <w:r>
        <w:t>Sc</w:t>
      </w:r>
      <w:r w:rsidRPr="00011B81">
        <w:t xml:space="preserve">ofield </w:t>
      </w:r>
      <w:r>
        <w:t xml:space="preserve">utilises </w:t>
      </w:r>
      <w:r w:rsidRPr="00011B81">
        <w:t>an</w:t>
      </w:r>
      <w:r>
        <w:t xml:space="preserve"> order</w:t>
      </w:r>
      <w:r w:rsidRPr="00011B81">
        <w:t xml:space="preserve"> to encompass both versions of Saul’s death.</w:t>
      </w:r>
      <w:r>
        <w:rPr>
          <w:rStyle w:val="EndnoteReference"/>
        </w:rPr>
        <w:endnoteReference w:id="474"/>
      </w:r>
      <w:r w:rsidRPr="00011B81">
        <w:t xml:space="preserve">  By </w:t>
      </w:r>
      <w:r>
        <w:t>asserting</w:t>
      </w:r>
      <w:r w:rsidRPr="00011B81">
        <w:t xml:space="preserve"> this “order”, which is very creative since it incorporates </w:t>
      </w:r>
      <w:r>
        <w:t>a fake</w:t>
      </w:r>
      <w:r w:rsidRPr="00011B81">
        <w:t xml:space="preserve"> death which is not mentioned in either text</w:t>
      </w:r>
      <w:r>
        <w:t>,</w:t>
      </w:r>
      <w:r>
        <w:rPr>
          <w:rStyle w:val="EndnoteReference"/>
        </w:rPr>
        <w:endnoteReference w:id="475"/>
      </w:r>
      <w:r>
        <w:t xml:space="preserve"> </w:t>
      </w:r>
      <w:r w:rsidRPr="00011B81">
        <w:t xml:space="preserve">Scofield makes a very neat analysis of the two texts, telling his story as if it were axiomatic and constituted the only possible interpretation.  </w:t>
      </w:r>
      <w:r>
        <w:t xml:space="preserve">Scofield does not appear to notice the similar discrepancy between the accounts of the death of Judas in Mt. 27:5 and Acts 1:16-20. </w:t>
      </w:r>
    </w:p>
    <w:p w:rsidR="00442D33" w:rsidRDefault="00442D33" w:rsidP="00442D33">
      <w:r>
        <w:br w:type="page"/>
      </w:r>
    </w:p>
    <w:p w:rsidR="00442D33" w:rsidRPr="009773BC" w:rsidRDefault="00442D33" w:rsidP="00442D33">
      <w:pPr>
        <w:spacing w:after="120" w:line="360" w:lineRule="auto"/>
        <w:ind w:right="-28"/>
        <w:jc w:val="both"/>
        <w:rPr>
          <w:b/>
          <w:i/>
        </w:rPr>
      </w:pPr>
      <w:r>
        <w:rPr>
          <w:b/>
          <w:i/>
        </w:rPr>
        <w:lastRenderedPageBreak/>
        <w:t xml:space="preserve">c)  </w:t>
      </w:r>
      <w:r w:rsidR="00A65D7B" w:rsidRPr="00A65D7B">
        <w:rPr>
          <w:b/>
          <w:i/>
        </w:rPr>
        <w:t>Discrepancies Concerning</w:t>
      </w:r>
      <w:r w:rsidR="00A65D7B">
        <w:t xml:space="preserve"> </w:t>
      </w:r>
      <w:r w:rsidRPr="009773BC">
        <w:rPr>
          <w:b/>
          <w:i/>
        </w:rPr>
        <w:t>Purchases of Areas of Land</w:t>
      </w:r>
    </w:p>
    <w:p w:rsidR="00442D33" w:rsidRDefault="00442D33" w:rsidP="00442D33">
      <w:pPr>
        <w:spacing w:after="120" w:line="360" w:lineRule="auto"/>
        <w:ind w:right="-28"/>
        <w:jc w:val="center"/>
      </w:pPr>
      <w:r>
        <w:rPr>
          <w:noProof/>
          <w:lang w:eastAsia="en-GB"/>
        </w:rPr>
        <w:drawing>
          <wp:inline distT="0" distB="0" distL="0" distR="0" wp14:anchorId="07444B4A" wp14:editId="62091A4A">
            <wp:extent cx="5400040" cy="38074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chases rev 12.3.18_Page_1 crop.jpg"/>
                    <pic:cNvPicPr/>
                  </pic:nvPicPr>
                  <pic:blipFill>
                    <a:blip r:embed="rId68">
                      <a:extLst>
                        <a:ext uri="{28A0092B-C50C-407E-A947-70E740481C1C}">
                          <a14:useLocalDpi xmlns:a14="http://schemas.microsoft.com/office/drawing/2010/main" val="0"/>
                        </a:ext>
                      </a:extLst>
                    </a:blip>
                    <a:stretch>
                      <a:fillRect/>
                    </a:stretch>
                  </pic:blipFill>
                  <pic:spPr>
                    <a:xfrm>
                      <a:off x="0" y="0"/>
                      <a:ext cx="5400040" cy="3807460"/>
                    </a:xfrm>
                    <a:prstGeom prst="rect">
                      <a:avLst/>
                    </a:prstGeom>
                  </pic:spPr>
                </pic:pic>
              </a:graphicData>
            </a:graphic>
          </wp:inline>
        </w:drawing>
      </w:r>
    </w:p>
    <w:p w:rsidR="00442D33" w:rsidRDefault="00442D33" w:rsidP="00442D33">
      <w:pPr>
        <w:spacing w:after="120" w:line="360" w:lineRule="auto"/>
        <w:ind w:right="-28"/>
        <w:jc w:val="both"/>
      </w:pPr>
      <w:r>
        <w:t xml:space="preserve">Two of the apparent discrepancies to which Scofield draws attention concern the purchase of areas of land.  </w:t>
      </w:r>
      <w:r w:rsidRPr="00011B81">
        <w:t xml:space="preserve">In a note on Gen. 23:4, Scofield rationalises the apparent double purchase of </w:t>
      </w:r>
      <w:r>
        <w:t xml:space="preserve">what he believes to be the </w:t>
      </w:r>
      <w:r w:rsidRPr="00011B81">
        <w:t>same piece of land for a burying place by Abraham and for an altar by Jacob.</w:t>
      </w:r>
      <w:r>
        <w:rPr>
          <w:rStyle w:val="EndnoteReference"/>
        </w:rPr>
        <w:endnoteReference w:id="476"/>
      </w:r>
      <w:r w:rsidRPr="00011B81">
        <w:t xml:space="preserve">  </w:t>
      </w:r>
      <w:r>
        <w:t xml:space="preserve">The text does not imply that it is necessarily the same piece of land but </w:t>
      </w:r>
      <w:r w:rsidRPr="00011B81">
        <w:t xml:space="preserve">Scofield states that it is ‘a natural supposition’ that, during the eighty-year interval between the two purchases, ‘the descendants of Hamor … had resumed possession of the land’ and that, ‘instead of asserting the ancient title by inheritance, Jacob repurchased the field’.  This supposition that </w:t>
      </w:r>
      <w:r>
        <w:t xml:space="preserve">Jacob was purchasing the identical piece of land as the one Abraham had purchased for Sarah’s tomb and that </w:t>
      </w:r>
      <w:r w:rsidRPr="00011B81">
        <w:t>Hamor’s descendants had repossessed th</w:t>
      </w:r>
      <w:r>
        <w:t>at</w:t>
      </w:r>
      <w:r w:rsidRPr="00011B81">
        <w:t xml:space="preserve"> land is conjectural.</w:t>
      </w:r>
      <w:r>
        <w:t xml:space="preserve">  There is no reason why Hamor’s descendants should not have possessed two pieces of land; moreover, the expression for ‘piece of land’ in Gen. 23:15 is ‘</w:t>
      </w:r>
      <w:r w:rsidRPr="001F14AA">
        <w:rPr>
          <w:rFonts w:ascii="SBL Hebrew" w:hAnsi="SBL Hebrew" w:cs="SBL Hebrew"/>
          <w:sz w:val="32"/>
          <w:szCs w:val="32"/>
          <w:rtl/>
          <w:lang w:val="en-US" w:bidi="he-IL"/>
        </w:rPr>
        <w:t>א</w:t>
      </w:r>
      <w:r w:rsidRPr="001F14AA">
        <w:rPr>
          <w:rFonts w:ascii="Bwhebb" w:hAnsi="Bwhebb" w:cs="SBL Hebrew"/>
          <w:sz w:val="32"/>
          <w:szCs w:val="32"/>
          <w:rtl/>
          <w:lang w:val="en-US" w:bidi="he-IL"/>
        </w:rPr>
        <w:t>ֶרֶץ</w:t>
      </w:r>
      <w:r>
        <w:t>’ whereas that in Gen. 33:19 is</w:t>
      </w:r>
      <w:r>
        <w:rPr>
          <w:rFonts w:ascii="SBL Hebrew" w:hAnsi="SBL Hebrew" w:cs="SBL Hebrew"/>
          <w:sz w:val="28"/>
          <w:szCs w:val="28"/>
          <w:rtl/>
          <w:lang w:val="en-US" w:bidi="he-IL"/>
        </w:rPr>
        <w:t xml:space="preserve"> </w:t>
      </w:r>
      <w:r w:rsidRPr="001F14AA">
        <w:rPr>
          <w:rFonts w:ascii="Bwhebl" w:hAnsi="Bwhebl" w:cs="SBL Hebrew"/>
          <w:sz w:val="32"/>
          <w:szCs w:val="32"/>
          <w:rtl/>
          <w:lang w:val="en-US" w:bidi="he-IL"/>
        </w:rPr>
        <w:t>חֶלְקַ֣ת הַשָּׂדֶ֗ה</w:t>
      </w:r>
      <w:r w:rsidRPr="001F14AA">
        <w:rPr>
          <w:rFonts w:ascii="Bwhebl" w:hAnsi="Bwhebl" w:cs="Arial"/>
          <w:sz w:val="32"/>
          <w:szCs w:val="32"/>
          <w:rtl/>
          <w:lang w:val="en-US" w:bidi="he-IL"/>
        </w:rPr>
        <w:t xml:space="preserve"> </w:t>
      </w:r>
      <w:r w:rsidRPr="001F14AA">
        <w:rPr>
          <w:rFonts w:cs="Arial"/>
          <w:lang w:val="en-US" w:bidi="he-IL"/>
        </w:rPr>
        <w:t>(a portion of land)</w:t>
      </w:r>
      <w:r>
        <w:t xml:space="preserve">. </w:t>
      </w:r>
    </w:p>
    <w:p w:rsidR="001349B7" w:rsidRPr="001349B7" w:rsidRDefault="001349B7" w:rsidP="00442D33">
      <w:pPr>
        <w:spacing w:after="120" w:line="360" w:lineRule="auto"/>
        <w:ind w:right="-28"/>
        <w:jc w:val="both"/>
        <w:rPr>
          <w:b/>
          <w:i/>
        </w:rPr>
      </w:pPr>
      <w:r w:rsidRPr="001349B7">
        <w:rPr>
          <w:b/>
          <w:i/>
        </w:rPr>
        <w:t>Continued overleaf</w:t>
      </w:r>
    </w:p>
    <w:p w:rsidR="00442D33" w:rsidRPr="00D50762" w:rsidRDefault="00442D33" w:rsidP="00442D33">
      <w:pPr>
        <w:spacing w:after="120" w:line="360" w:lineRule="auto"/>
        <w:ind w:right="-28"/>
        <w:jc w:val="both"/>
      </w:pPr>
      <w:r>
        <w:rPr>
          <w:noProof/>
          <w:lang w:eastAsia="en-GB"/>
        </w:rPr>
        <w:lastRenderedPageBreak/>
        <w:drawing>
          <wp:inline distT="0" distB="0" distL="0" distR="0" wp14:anchorId="124282DF" wp14:editId="1CA34D67">
            <wp:extent cx="5400040" cy="18605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chases rev 12.3.18_Page_2 crop.jpg"/>
                    <pic:cNvPicPr/>
                  </pic:nvPicPr>
                  <pic:blipFill>
                    <a:blip r:embed="rId69">
                      <a:extLst>
                        <a:ext uri="{28A0092B-C50C-407E-A947-70E740481C1C}">
                          <a14:useLocalDpi xmlns:a14="http://schemas.microsoft.com/office/drawing/2010/main" val="0"/>
                        </a:ext>
                      </a:extLst>
                    </a:blip>
                    <a:stretch>
                      <a:fillRect/>
                    </a:stretch>
                  </pic:blipFill>
                  <pic:spPr>
                    <a:xfrm>
                      <a:off x="0" y="0"/>
                      <a:ext cx="5400040" cy="1860550"/>
                    </a:xfrm>
                    <a:prstGeom prst="rect">
                      <a:avLst/>
                    </a:prstGeom>
                  </pic:spPr>
                </pic:pic>
              </a:graphicData>
            </a:graphic>
          </wp:inline>
        </w:drawing>
      </w:r>
    </w:p>
    <w:p w:rsidR="00442D33" w:rsidRDefault="00442D33" w:rsidP="00442D33">
      <w:pPr>
        <w:spacing w:after="120" w:line="360" w:lineRule="auto"/>
        <w:ind w:right="-28"/>
        <w:jc w:val="both"/>
      </w:pPr>
      <w:r w:rsidRPr="00011B81">
        <w:t>Scofield correctly avers that David’s purchases, a threshing-floor</w:t>
      </w:r>
      <w:r w:rsidRPr="00011B81">
        <w:rPr>
          <w:rFonts w:ascii="Times New Roman" w:hAnsi="Times New Roman"/>
        </w:rPr>
        <w:t xml:space="preserve"> </w:t>
      </w:r>
      <w:r w:rsidRPr="00011B81">
        <w:t>(</w:t>
      </w:r>
      <w:proofErr w:type="gramStart"/>
      <w:r w:rsidRPr="00011B81">
        <w:rPr>
          <w:rFonts w:ascii="Bwhebb" w:hAnsi="Bwhebb"/>
          <w:sz w:val="36"/>
          <w:szCs w:val="24"/>
          <w:lang w:val="en-US" w:bidi="he-IL"/>
        </w:rPr>
        <w:t>!r,GO</w:t>
      </w:r>
      <w:proofErr w:type="gramEnd"/>
      <w:r w:rsidRPr="00011B81">
        <w:t>) in 2 Sam. 24:24 and a ‘place’ (</w:t>
      </w:r>
      <w:r w:rsidRPr="00011B81">
        <w:rPr>
          <w:rFonts w:ascii="Bwhebb" w:hAnsi="Bwhebb" w:cs="Bwhebb"/>
          <w:sz w:val="36"/>
          <w:szCs w:val="24"/>
          <w:lang w:val="en-US" w:bidi="he-IL"/>
        </w:rPr>
        <w:t>~Aqm'</w:t>
      </w:r>
      <w:r w:rsidRPr="00011B81">
        <w:t>) in 1 Chron. 21:25 were different objects and the price differential between them is thus acceptable.</w:t>
      </w:r>
      <w:r>
        <w:rPr>
          <w:rStyle w:val="EndnoteReference"/>
        </w:rPr>
        <w:endnoteReference w:id="477"/>
      </w:r>
      <w:r w:rsidRPr="00011B81">
        <w:t xml:space="preserve">  However, in </w:t>
      </w:r>
      <w:proofErr w:type="gramStart"/>
      <w:r w:rsidRPr="00011B81">
        <w:t xml:space="preserve">contrasting </w:t>
      </w:r>
      <w:r w:rsidRPr="00011B81">
        <w:rPr>
          <w:rFonts w:ascii="Bwhebb" w:hAnsi="Bwhebb"/>
          <w:sz w:val="36"/>
          <w:szCs w:val="24"/>
          <w:lang w:bidi="he-IL"/>
        </w:rPr>
        <w:t>!</w:t>
      </w:r>
      <w:proofErr w:type="gramEnd"/>
      <w:r w:rsidRPr="00011B81">
        <w:rPr>
          <w:rFonts w:ascii="Bwhebb" w:hAnsi="Bwhebb"/>
          <w:sz w:val="36"/>
          <w:szCs w:val="24"/>
          <w:lang w:bidi="he-IL"/>
        </w:rPr>
        <w:t>r,G</w:t>
      </w:r>
      <w:r w:rsidRPr="00011B81">
        <w:t xml:space="preserve"> </w:t>
      </w:r>
      <w:r>
        <w:t xml:space="preserve">(goren) </w:t>
      </w:r>
      <w:r w:rsidRPr="00011B81">
        <w:t xml:space="preserve">with </w:t>
      </w:r>
      <w:r w:rsidRPr="00011B81">
        <w:rPr>
          <w:rFonts w:ascii="Bwhebb" w:hAnsi="Bwhebb" w:cs="Bwhebb"/>
          <w:sz w:val="36"/>
          <w:szCs w:val="24"/>
          <w:lang w:bidi="he-IL"/>
        </w:rPr>
        <w:t>~Aqm'</w:t>
      </w:r>
      <w:r w:rsidRPr="00011B81">
        <w:t xml:space="preserve">, </w:t>
      </w:r>
      <w:r>
        <w:t xml:space="preserve">(maqom) </w:t>
      </w:r>
      <w:r w:rsidRPr="00011B81">
        <w:t>he incorrectly transliterates the Hebrew of the latter as ‘</w:t>
      </w:r>
      <w:r w:rsidRPr="00011B81">
        <w:rPr>
          <w:i/>
        </w:rPr>
        <w:t>magom</w:t>
      </w:r>
      <w:r w:rsidRPr="00011B81">
        <w:t>’, and asserts that it means ‘home’.</w:t>
      </w:r>
      <w:r w:rsidRPr="00011B81">
        <w:rPr>
          <w:rStyle w:val="FootnoteReference"/>
        </w:rPr>
        <w:footnoteReference w:id="26"/>
      </w:r>
      <w:r w:rsidRPr="00011B81">
        <w:t xml:space="preserve">  </w:t>
      </w:r>
      <w:r>
        <w:t xml:space="preserve">It is true that </w:t>
      </w:r>
      <w:r w:rsidRPr="00011B81">
        <w:rPr>
          <w:rFonts w:ascii="Bwhebb" w:hAnsi="Bwhebb" w:cs="Bwhebb"/>
          <w:sz w:val="36"/>
          <w:szCs w:val="24"/>
          <w:lang w:bidi="he-IL"/>
        </w:rPr>
        <w:t>~Aqm'</w:t>
      </w:r>
      <w:r>
        <w:t xml:space="preserve"> also appears in 1 Sam. 2:20, as Scofield asserts, and that several versions translate this as ‘home’ in this verse, but </w:t>
      </w:r>
      <w:r w:rsidRPr="00C23EA8">
        <w:rPr>
          <w:i/>
        </w:rPr>
        <w:t>The Geneva Bible</w:t>
      </w:r>
      <w:r>
        <w:t xml:space="preserve"> and </w:t>
      </w:r>
      <w:r w:rsidRPr="00C23EA8">
        <w:rPr>
          <w:i/>
        </w:rPr>
        <w:t>Young’s Literal Translation</w:t>
      </w:r>
      <w:r>
        <w:t xml:space="preserve"> have the word, ‘place’.</w:t>
      </w:r>
    </w:p>
    <w:p w:rsidR="00442D33" w:rsidRPr="00C23EA8" w:rsidRDefault="00442D33" w:rsidP="00442D33">
      <w:pPr>
        <w:spacing w:after="120" w:line="360" w:lineRule="auto"/>
        <w:ind w:right="-28"/>
        <w:jc w:val="both"/>
        <w:rPr>
          <w:rFonts w:ascii="Times New Roman" w:hAnsi="Times New Roman"/>
          <w:b/>
          <w:i/>
        </w:rPr>
      </w:pPr>
      <w:proofErr w:type="gramStart"/>
      <w:r>
        <w:rPr>
          <w:b/>
          <w:i/>
        </w:rPr>
        <w:t>d</w:t>
      </w:r>
      <w:proofErr w:type="gramEnd"/>
      <w:r>
        <w:rPr>
          <w:b/>
          <w:i/>
        </w:rPr>
        <w:t xml:space="preserve">)  </w:t>
      </w:r>
      <w:r w:rsidR="00A65D7B" w:rsidRPr="00A65D7B">
        <w:rPr>
          <w:b/>
          <w:i/>
        </w:rPr>
        <w:t>Perceived Discrepancies:</w:t>
      </w:r>
      <w:r w:rsidR="00A65D7B">
        <w:t xml:space="preserve"> </w:t>
      </w:r>
      <w:r w:rsidRPr="00C23EA8">
        <w:rPr>
          <w:b/>
          <w:i/>
        </w:rPr>
        <w:t>New Testament Examples</w:t>
      </w:r>
      <w:r>
        <w:rPr>
          <w:b/>
          <w:i/>
        </w:rPr>
        <w:t xml:space="preserve"> </w:t>
      </w:r>
    </w:p>
    <w:p w:rsidR="00442D33" w:rsidRDefault="00442D33" w:rsidP="00442D33">
      <w:pPr>
        <w:spacing w:after="120" w:line="360" w:lineRule="auto"/>
        <w:ind w:right="-28"/>
        <w:jc w:val="center"/>
      </w:pPr>
      <w:r>
        <w:rPr>
          <w:noProof/>
          <w:lang w:eastAsia="en-GB"/>
        </w:rPr>
        <w:drawing>
          <wp:inline distT="0" distB="0" distL="0" distR="0" wp14:anchorId="3FDD1839" wp14:editId="1FF71834">
            <wp:extent cx="5400040" cy="36861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Testament examples rev 12.3.18 p 1 only_CROP.jpg"/>
                    <pic:cNvPicPr/>
                  </pic:nvPicPr>
                  <pic:blipFill>
                    <a:blip r:embed="rId70">
                      <a:extLst>
                        <a:ext uri="{28A0092B-C50C-407E-A947-70E740481C1C}">
                          <a14:useLocalDpi xmlns:a14="http://schemas.microsoft.com/office/drawing/2010/main" val="0"/>
                        </a:ext>
                      </a:extLst>
                    </a:blip>
                    <a:stretch>
                      <a:fillRect/>
                    </a:stretch>
                  </pic:blipFill>
                  <pic:spPr>
                    <a:xfrm>
                      <a:off x="0" y="0"/>
                      <a:ext cx="5400040" cy="3686175"/>
                    </a:xfrm>
                    <a:prstGeom prst="rect">
                      <a:avLst/>
                    </a:prstGeom>
                  </pic:spPr>
                </pic:pic>
              </a:graphicData>
            </a:graphic>
          </wp:inline>
        </w:drawing>
      </w:r>
    </w:p>
    <w:p w:rsidR="00442D33" w:rsidRDefault="00442D33" w:rsidP="00442D33">
      <w:pPr>
        <w:spacing w:after="120" w:line="360" w:lineRule="auto"/>
        <w:ind w:right="-28"/>
        <w:jc w:val="both"/>
        <w:rPr>
          <w:rFonts w:cs="Perpetua"/>
        </w:rPr>
      </w:pPr>
      <w:r w:rsidRPr="00011B81">
        <w:lastRenderedPageBreak/>
        <w:t>In his note on Mt. 20:20, Scofield notes a p</w:t>
      </w:r>
      <w:r w:rsidRPr="00011B81">
        <w:rPr>
          <w:rFonts w:cs="Perpetua"/>
        </w:rPr>
        <w:t xml:space="preserve">erceived discrepancy between </w:t>
      </w:r>
      <w:r>
        <w:rPr>
          <w:rFonts w:cs="Perpetua"/>
        </w:rPr>
        <w:t>this</w:t>
      </w:r>
      <w:r w:rsidRPr="00011B81">
        <w:rPr>
          <w:rFonts w:cs="Perpetua"/>
        </w:rPr>
        <w:t xml:space="preserve">, Mk 10:46 and Lk. 18:35, over the timing and the numbers of blind men healed by Jesus on a visit to Jericho.  </w:t>
      </w:r>
      <w:r>
        <w:rPr>
          <w:rFonts w:cs="Perpetua"/>
        </w:rPr>
        <w:t>A synopsis, showing the differences, has been included in the above table.  I</w:t>
      </w:r>
      <w:r w:rsidRPr="00011B81">
        <w:rPr>
          <w:rFonts w:cs="Perpetua"/>
        </w:rPr>
        <w:t>n Matthew and Mark, Jesus performs healing as he leaves Jericho;</w:t>
      </w:r>
      <w:r>
        <w:rPr>
          <w:rStyle w:val="EndnoteReference"/>
          <w:rFonts w:cs="Perpetua"/>
        </w:rPr>
        <w:endnoteReference w:id="478"/>
      </w:r>
      <w:r w:rsidRPr="00011B81">
        <w:rPr>
          <w:rFonts w:cs="Perpetua"/>
        </w:rPr>
        <w:t xml:space="preserve"> in Luke, he performs it as he arrives.</w:t>
      </w:r>
      <w:r>
        <w:rPr>
          <w:rStyle w:val="EndnoteReference"/>
          <w:rFonts w:cs="Perpetua"/>
        </w:rPr>
        <w:endnoteReference w:id="479"/>
      </w:r>
      <w:r>
        <w:rPr>
          <w:rFonts w:cs="Perpetua"/>
        </w:rPr>
        <w:t xml:space="preserve"> </w:t>
      </w:r>
      <w:r w:rsidRPr="00011B81">
        <w:rPr>
          <w:rFonts w:cs="Perpetua"/>
        </w:rPr>
        <w:t xml:space="preserve"> In Matthew there are two blind men, who are not named; in Mark and Luke, there is only one, also unnamed. In Mark, the single blind man is named as Bartimaeus.  Scofield attempts to solve th</w:t>
      </w:r>
      <w:r>
        <w:rPr>
          <w:rFonts w:cs="Perpetua"/>
        </w:rPr>
        <w:t>ese</w:t>
      </w:r>
      <w:r w:rsidRPr="00011B81">
        <w:rPr>
          <w:rFonts w:cs="Perpetua"/>
        </w:rPr>
        <w:t xml:space="preserve"> </w:t>
      </w:r>
      <w:r>
        <w:rPr>
          <w:rFonts w:cs="Perpetua"/>
        </w:rPr>
        <w:t xml:space="preserve">discrepancies </w:t>
      </w:r>
      <w:r w:rsidRPr="00011B81">
        <w:rPr>
          <w:rFonts w:cs="Perpetua"/>
        </w:rPr>
        <w:t>by stating that ‘the active one of the two [in Matthew], the one who cried out’, is Bartimaeus, specifically named by Mark.  This cannot be justified by the text of Matthew but Scofield asserts that the texts supplement each other and do not contradict.</w:t>
      </w:r>
      <w:r w:rsidRPr="00011B81">
        <w:rPr>
          <w:rStyle w:val="EndnoteReference"/>
          <w:rFonts w:cs="Perpetua"/>
        </w:rPr>
        <w:endnoteReference w:id="480"/>
      </w:r>
      <w:r w:rsidRPr="00011B81">
        <w:rPr>
          <w:rFonts w:cs="Perpetua"/>
        </w:rPr>
        <w:t xml:space="preserve">  His explanation involves speculations which cannot be justified within any of the texts.</w:t>
      </w:r>
    </w:p>
    <w:p w:rsidR="00442D33" w:rsidRDefault="00442D33" w:rsidP="00442D33">
      <w:pPr>
        <w:spacing w:after="120" w:line="360" w:lineRule="auto"/>
        <w:ind w:right="-28"/>
        <w:jc w:val="center"/>
        <w:rPr>
          <w:rFonts w:cs="Perpetua"/>
        </w:rPr>
      </w:pPr>
      <w:r>
        <w:rPr>
          <w:rFonts w:cs="Perpetua"/>
          <w:noProof/>
          <w:lang w:eastAsia="en-GB"/>
        </w:rPr>
        <w:drawing>
          <wp:inline distT="0" distB="0" distL="0" distR="0" wp14:anchorId="65684008" wp14:editId="6B6D5523">
            <wp:extent cx="5400040" cy="229044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Testament examples rev 18.3.18 p 2 ONLY crop.jpg"/>
                    <pic:cNvPicPr/>
                  </pic:nvPicPr>
                  <pic:blipFill>
                    <a:blip r:embed="rId71">
                      <a:extLst>
                        <a:ext uri="{28A0092B-C50C-407E-A947-70E740481C1C}">
                          <a14:useLocalDpi xmlns:a14="http://schemas.microsoft.com/office/drawing/2010/main" val="0"/>
                        </a:ext>
                      </a:extLst>
                    </a:blip>
                    <a:stretch>
                      <a:fillRect/>
                    </a:stretch>
                  </pic:blipFill>
                  <pic:spPr>
                    <a:xfrm>
                      <a:off x="0" y="0"/>
                      <a:ext cx="5400040" cy="2290445"/>
                    </a:xfrm>
                    <a:prstGeom prst="rect">
                      <a:avLst/>
                    </a:prstGeom>
                  </pic:spPr>
                </pic:pic>
              </a:graphicData>
            </a:graphic>
          </wp:inline>
        </w:drawing>
      </w:r>
    </w:p>
    <w:p w:rsidR="00442D33" w:rsidRDefault="00442D33" w:rsidP="00442D33">
      <w:pPr>
        <w:spacing w:after="120" w:line="360" w:lineRule="auto"/>
        <w:ind w:right="-28"/>
        <w:jc w:val="both"/>
        <w:rPr>
          <w:rFonts w:cs="Perpetua"/>
        </w:rPr>
      </w:pPr>
      <w:r>
        <w:rPr>
          <w:rFonts w:cs="Perpetua"/>
        </w:rPr>
        <w:t xml:space="preserve">In his note on Mt. 26:7, Scofield attempts to ‘explain’ an apparent discrepancy between Mt. 28:9 and Jn 20:17.  Apart from the fact that Mary is not named in Mt. 26:6-7, despite Scofield’s subhead to Mt. 26:6, ‘Jesus anointed by Mary of Bethany’, it cannot be assumed that ‘the woman’ in this passage is she, it stretches credence to accept Scofield’s explanation that anointing feet with pure nard, worth a year’s wages (Jn 12:5), constituted ordinary hospitality.  Furthermore, all three evangelists, Matthew, John and Luke, to whom Scofield </w:t>
      </w:r>
      <w:proofErr w:type="gramStart"/>
      <w:r>
        <w:rPr>
          <w:rFonts w:cs="Perpetua"/>
        </w:rPr>
        <w:t>refers</w:t>
      </w:r>
      <w:proofErr w:type="gramEnd"/>
      <w:r>
        <w:rPr>
          <w:rStyle w:val="EndnoteReference"/>
          <w:rFonts w:cs="Perpetua"/>
        </w:rPr>
        <w:endnoteReference w:id="481"/>
      </w:r>
      <w:r>
        <w:rPr>
          <w:rFonts w:cs="Perpetua"/>
        </w:rPr>
        <w:t xml:space="preserve"> establish different locations for the anointing(s).  Matthew and John both place them at Bethany</w:t>
      </w:r>
      <w:r>
        <w:rPr>
          <w:rStyle w:val="EndnoteReference"/>
          <w:rFonts w:cs="Perpetua"/>
        </w:rPr>
        <w:endnoteReference w:id="482"/>
      </w:r>
      <w:r>
        <w:rPr>
          <w:rFonts w:cs="Perpetua"/>
        </w:rPr>
        <w:t xml:space="preserve"> but Matthew names the house of Simon the leper,</w:t>
      </w:r>
      <w:r>
        <w:rPr>
          <w:rStyle w:val="EndnoteReference"/>
          <w:rFonts w:cs="Perpetua"/>
        </w:rPr>
        <w:endnoteReference w:id="483"/>
      </w:r>
      <w:r>
        <w:rPr>
          <w:rFonts w:cs="Perpetua"/>
        </w:rPr>
        <w:t xml:space="preserve"> whereas John implies that the location is the house of Lazarus, Martha and Mary.</w:t>
      </w:r>
      <w:r>
        <w:rPr>
          <w:rStyle w:val="EndnoteReference"/>
          <w:rFonts w:cs="Perpetua"/>
        </w:rPr>
        <w:endnoteReference w:id="484"/>
      </w:r>
      <w:r>
        <w:rPr>
          <w:rFonts w:cs="Perpetua"/>
        </w:rPr>
        <w:t xml:space="preserve">  Luke names the house of a Pharisee called Simon, without giving a location,</w:t>
      </w:r>
      <w:r>
        <w:rPr>
          <w:rStyle w:val="EndnoteReference"/>
          <w:rFonts w:cs="Perpetua"/>
        </w:rPr>
        <w:endnoteReference w:id="485"/>
      </w:r>
      <w:r>
        <w:rPr>
          <w:rFonts w:cs="Perpetua"/>
        </w:rPr>
        <w:t xml:space="preserve"> and the anointing of the head, quoted by Scofield, is with oil, not with nard (Lk. 7:46).  </w:t>
      </w:r>
    </w:p>
    <w:p w:rsidR="001349B7" w:rsidRPr="001349B7" w:rsidRDefault="001349B7" w:rsidP="00442D33">
      <w:pPr>
        <w:spacing w:after="120" w:line="360" w:lineRule="auto"/>
        <w:ind w:right="-28"/>
        <w:jc w:val="both"/>
        <w:rPr>
          <w:rFonts w:cs="Perpetua"/>
          <w:b/>
          <w:i/>
        </w:rPr>
      </w:pPr>
      <w:r w:rsidRPr="001349B7">
        <w:rPr>
          <w:rFonts w:cs="Perpetua"/>
          <w:b/>
          <w:i/>
        </w:rPr>
        <w:t>Continued overleaf</w:t>
      </w:r>
    </w:p>
    <w:p w:rsidR="00442D33" w:rsidRDefault="00442D33" w:rsidP="00442D33">
      <w:pPr>
        <w:autoSpaceDE w:val="0"/>
        <w:autoSpaceDN w:val="0"/>
        <w:adjustRightInd w:val="0"/>
        <w:spacing w:after="120" w:line="360" w:lineRule="auto"/>
        <w:jc w:val="both"/>
      </w:pPr>
      <w:r>
        <w:rPr>
          <w:noProof/>
          <w:lang w:eastAsia="en-GB"/>
        </w:rPr>
        <w:lastRenderedPageBreak/>
        <w:drawing>
          <wp:inline distT="0" distB="0" distL="0" distR="0" wp14:anchorId="5C67FE93" wp14:editId="1C9E25BF">
            <wp:extent cx="5400040" cy="28098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Testament examples rev 12.3.18_Page_3 CROP.jpg"/>
                    <pic:cNvPicPr/>
                  </pic:nvPicPr>
                  <pic:blipFill>
                    <a:blip r:embed="rId72">
                      <a:extLst>
                        <a:ext uri="{28A0092B-C50C-407E-A947-70E740481C1C}">
                          <a14:useLocalDpi xmlns:a14="http://schemas.microsoft.com/office/drawing/2010/main" val="0"/>
                        </a:ext>
                      </a:extLst>
                    </a:blip>
                    <a:stretch>
                      <a:fillRect/>
                    </a:stretch>
                  </pic:blipFill>
                  <pic:spPr>
                    <a:xfrm>
                      <a:off x="0" y="0"/>
                      <a:ext cx="5400040" cy="2809875"/>
                    </a:xfrm>
                    <a:prstGeom prst="rect">
                      <a:avLst/>
                    </a:prstGeom>
                  </pic:spPr>
                </pic:pic>
              </a:graphicData>
            </a:graphic>
          </wp:inline>
        </w:drawing>
      </w:r>
    </w:p>
    <w:p w:rsidR="00442D33" w:rsidRDefault="00442D33" w:rsidP="00442D33">
      <w:pPr>
        <w:autoSpaceDE w:val="0"/>
        <w:autoSpaceDN w:val="0"/>
        <w:adjustRightInd w:val="0"/>
        <w:spacing w:after="120" w:line="360" w:lineRule="auto"/>
        <w:ind w:firstLine="567"/>
        <w:jc w:val="both"/>
      </w:pPr>
      <w:r w:rsidRPr="00011B81">
        <w:t>Scofield also tries to expl</w:t>
      </w:r>
      <w:r>
        <w:t>ain</w:t>
      </w:r>
      <w:r w:rsidRPr="00011B81">
        <w:t xml:space="preserve"> an ‘imagined discrepancy’ when ‘another maid saw Peter in the porch’.</w:t>
      </w:r>
      <w:r>
        <w:rPr>
          <w:rStyle w:val="EndnoteReference"/>
        </w:rPr>
        <w:endnoteReference w:id="486"/>
      </w:r>
      <w:r w:rsidRPr="00011B81">
        <w:t xml:space="preserve">  His explanation that </w:t>
      </w:r>
      <w:r w:rsidRPr="00011B81">
        <w:rPr>
          <w:rFonts w:cs="Perpetua"/>
        </w:rPr>
        <w:t>‘Peter was interrogated in two places</w:t>
      </w:r>
      <w:r>
        <w:rPr>
          <w:rFonts w:cs="Perpetua"/>
        </w:rPr>
        <w:t>’</w:t>
      </w:r>
      <w:r>
        <w:rPr>
          <w:rStyle w:val="EndnoteReference"/>
          <w:rFonts w:cs="Perpetua"/>
        </w:rPr>
        <w:endnoteReference w:id="487"/>
      </w:r>
      <w:r>
        <w:rPr>
          <w:rFonts w:cs="Perpetua"/>
        </w:rPr>
        <w:t xml:space="preserve"> </w:t>
      </w:r>
      <w:r w:rsidRPr="00011B81">
        <w:t>does not really seem convincing.  Matthew speaks of two girls and the crowd;</w:t>
      </w:r>
      <w:r>
        <w:rPr>
          <w:rStyle w:val="EndnoteReference"/>
        </w:rPr>
        <w:endnoteReference w:id="488"/>
      </w:r>
      <w:r w:rsidRPr="00011B81">
        <w:t xml:space="preserve"> Mark, one girl twice and the crowd,</w:t>
      </w:r>
      <w:r>
        <w:rPr>
          <w:rStyle w:val="EndnoteReference"/>
        </w:rPr>
        <w:endnoteReference w:id="489"/>
      </w:r>
      <w:r w:rsidRPr="00011B81">
        <w:t xml:space="preserve"> Luke, two girls and a man,</w:t>
      </w:r>
      <w:r>
        <w:rPr>
          <w:rStyle w:val="EndnoteReference"/>
        </w:rPr>
        <w:endnoteReference w:id="490"/>
      </w:r>
      <w:r w:rsidRPr="00011B81">
        <w:t xml:space="preserve"> John, a ‘damsel’, an unnamed ‘they’ and a relative of the man whose ear was cut off.</w:t>
      </w:r>
      <w:r>
        <w:rPr>
          <w:rStyle w:val="EndnoteReference"/>
        </w:rPr>
        <w:endnoteReference w:id="491"/>
      </w:r>
      <w:r w:rsidRPr="00011B81">
        <w:t xml:space="preserve">  Scofield does not address these true discrepancies, which are surely the result of oral transmission and no cause for concern.</w:t>
      </w:r>
    </w:p>
    <w:p w:rsidR="00442D33" w:rsidRDefault="00442D33" w:rsidP="00442D33">
      <w:pPr>
        <w:autoSpaceDE w:val="0"/>
        <w:autoSpaceDN w:val="0"/>
        <w:adjustRightInd w:val="0"/>
        <w:spacing w:after="120" w:line="360" w:lineRule="auto"/>
        <w:jc w:val="both"/>
      </w:pPr>
      <w:r>
        <w:rPr>
          <w:noProof/>
          <w:lang w:eastAsia="en-GB"/>
        </w:rPr>
        <w:drawing>
          <wp:inline distT="0" distB="0" distL="0" distR="0" wp14:anchorId="7A1AC9C7" wp14:editId="70BBDCBD">
            <wp:extent cx="5400040" cy="28282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Testament examples rev 12.3.18_Page_4 CROP.jpg"/>
                    <pic:cNvPicPr/>
                  </pic:nvPicPr>
                  <pic:blipFill>
                    <a:blip r:embed="rId73">
                      <a:extLst>
                        <a:ext uri="{28A0092B-C50C-407E-A947-70E740481C1C}">
                          <a14:useLocalDpi xmlns:a14="http://schemas.microsoft.com/office/drawing/2010/main" val="0"/>
                        </a:ext>
                      </a:extLst>
                    </a:blip>
                    <a:stretch>
                      <a:fillRect/>
                    </a:stretch>
                  </pic:blipFill>
                  <pic:spPr>
                    <a:xfrm>
                      <a:off x="0" y="0"/>
                      <a:ext cx="5400040" cy="2828290"/>
                    </a:xfrm>
                    <a:prstGeom prst="rect">
                      <a:avLst/>
                    </a:prstGeom>
                  </pic:spPr>
                </pic:pic>
              </a:graphicData>
            </a:graphic>
          </wp:inline>
        </w:drawing>
      </w:r>
    </w:p>
    <w:p w:rsidR="00442D33" w:rsidRDefault="00442D33" w:rsidP="00442D33">
      <w:pPr>
        <w:pStyle w:val="TableParagraph"/>
        <w:tabs>
          <w:tab w:val="left" w:pos="8647"/>
        </w:tabs>
        <w:spacing w:after="120" w:line="360" w:lineRule="auto"/>
        <w:ind w:right="19"/>
        <w:jc w:val="both"/>
      </w:pPr>
      <w:r w:rsidRPr="00011B81">
        <w:t xml:space="preserve">The same is true of </w:t>
      </w:r>
      <w:r>
        <w:t>Scofield’s</w:t>
      </w:r>
      <w:r w:rsidRPr="00011B81">
        <w:t xml:space="preserve"> attempt to ‘explain’ the apparent </w:t>
      </w:r>
      <w:r>
        <w:t>contradiction</w:t>
      </w:r>
      <w:r w:rsidRPr="00011B81">
        <w:t xml:space="preserve"> </w:t>
      </w:r>
      <w:r>
        <w:t xml:space="preserve">he says has been supposed between Mt. 28:9 and Jn 20:17.  Presumably this is the discrepancy between the disciples’ touching Jesus feet in Matthew and </w:t>
      </w:r>
      <w:proofErr w:type="gramStart"/>
      <w:r>
        <w:t>Mary’s being</w:t>
      </w:r>
      <w:proofErr w:type="gramEnd"/>
      <w:r>
        <w:t xml:space="preserve"> forbidden to touch Jesus in John.  Scofield suggests three explanations, none of which is justified from either text, though his second and third options seem far more plausible </w:t>
      </w:r>
      <w:r>
        <w:lastRenderedPageBreak/>
        <w:t xml:space="preserve">than the first.  </w:t>
      </w:r>
      <w:r w:rsidRPr="00011B81">
        <w:t xml:space="preserve">  </w:t>
      </w:r>
    </w:p>
    <w:p w:rsidR="00442D33" w:rsidRPr="001615D8" w:rsidRDefault="00442D33" w:rsidP="00442D33">
      <w:pPr>
        <w:spacing w:after="120" w:line="360" w:lineRule="auto"/>
        <w:ind w:right="-28"/>
        <w:rPr>
          <w:b/>
          <w:szCs w:val="24"/>
        </w:rPr>
      </w:pPr>
      <w:proofErr w:type="gramStart"/>
      <w:r w:rsidRPr="001615D8">
        <w:rPr>
          <w:b/>
          <w:szCs w:val="24"/>
        </w:rPr>
        <w:t>2.1.2  Harmonisation</w:t>
      </w:r>
      <w:proofErr w:type="gramEnd"/>
    </w:p>
    <w:p w:rsidR="00442D33" w:rsidRDefault="00442D33" w:rsidP="00442D33">
      <w:pPr>
        <w:spacing w:after="120" w:line="360" w:lineRule="auto"/>
        <w:ind w:right="-28"/>
        <w:jc w:val="both"/>
      </w:pPr>
      <w:r>
        <w:t xml:space="preserve">The occurrence of harmonisation in the </w:t>
      </w:r>
      <w:r w:rsidRPr="00DE0EF1">
        <w:rPr>
          <w:i/>
        </w:rPr>
        <w:t>SRB</w:t>
      </w:r>
      <w:r>
        <w:t xml:space="preserve"> notes is another indication of Scofield’s desire to prove the inerrancy of the biblical text.  However, harmonisation also militates against strict literal interpretation because disparate, even if related, passages are juxtaposed within Scofield’s notes.  </w:t>
      </w:r>
      <w:r w:rsidRPr="00011B81">
        <w:t xml:space="preserve">Most of Scofield’s harmonisations occur in </w:t>
      </w:r>
      <w:r>
        <w:t>his</w:t>
      </w:r>
      <w:r w:rsidRPr="00011B81">
        <w:t xml:space="preserve"> notes on the gospels, especially Matthew.  By synchronisation, he tries to eliminate differences between the accounts, sometimes going to excessive lengths.  Orders of events in Mark, Luke and John are mainly seen in relation to Matthew.  </w:t>
      </w:r>
    </w:p>
    <w:p w:rsidR="00442D33" w:rsidRPr="00011B81" w:rsidRDefault="00442D33" w:rsidP="00442D33">
      <w:pPr>
        <w:pStyle w:val="FootnoteText"/>
        <w:spacing w:after="120" w:line="360" w:lineRule="auto"/>
        <w:ind w:firstLine="425"/>
        <w:jc w:val="both"/>
      </w:pPr>
      <w:r w:rsidRPr="00011B81">
        <w:rPr>
          <w:rFonts w:ascii="Perpetua" w:hAnsi="Perpetua"/>
          <w:sz w:val="22"/>
          <w:szCs w:val="22"/>
        </w:rPr>
        <w:t>Because John puts Jesus’ cleansing of the temple at the beginning of his ministry, Scofield dubs this ‘the first purification’,</w:t>
      </w:r>
      <w:r>
        <w:rPr>
          <w:rStyle w:val="EndnoteReference"/>
          <w:rFonts w:ascii="Perpetua" w:hAnsi="Perpetua"/>
          <w:sz w:val="22"/>
          <w:szCs w:val="22"/>
        </w:rPr>
        <w:endnoteReference w:id="492"/>
      </w:r>
      <w:r w:rsidRPr="00011B81">
        <w:rPr>
          <w:rFonts w:ascii="Perpetua" w:hAnsi="Perpetua"/>
          <w:sz w:val="22"/>
          <w:szCs w:val="22"/>
        </w:rPr>
        <w:t xml:space="preserve"> the </w:t>
      </w:r>
      <w:r>
        <w:rPr>
          <w:rFonts w:ascii="Perpetua" w:hAnsi="Perpetua"/>
          <w:sz w:val="22"/>
          <w:szCs w:val="22"/>
        </w:rPr>
        <w:t>operation</w:t>
      </w:r>
      <w:r w:rsidRPr="00011B81">
        <w:rPr>
          <w:rFonts w:ascii="Perpetua" w:hAnsi="Perpetua"/>
          <w:sz w:val="22"/>
          <w:szCs w:val="22"/>
        </w:rPr>
        <w:t xml:space="preserve"> described in Matthew and Luke a</w:t>
      </w:r>
      <w:r>
        <w:rPr>
          <w:rFonts w:ascii="Perpetua" w:hAnsi="Perpetua"/>
          <w:sz w:val="22"/>
          <w:szCs w:val="22"/>
        </w:rPr>
        <w:t>s ‘the second purification’,</w:t>
      </w:r>
      <w:r w:rsidRPr="00011B81">
        <w:rPr>
          <w:rStyle w:val="EndnoteReference"/>
          <w:rFonts w:ascii="Perpetua" w:hAnsi="Perpetua"/>
          <w:sz w:val="22"/>
          <w:szCs w:val="22"/>
        </w:rPr>
        <w:endnoteReference w:id="493"/>
      </w:r>
      <w:r>
        <w:rPr>
          <w:rFonts w:ascii="Perpetua" w:hAnsi="Perpetua"/>
          <w:sz w:val="22"/>
          <w:szCs w:val="22"/>
        </w:rPr>
        <w:t xml:space="preserve"> indicating that he believes Christ took this action both at the beginning and at the end of his earthly ministry.</w:t>
      </w:r>
      <w:r w:rsidRPr="00011B81">
        <w:rPr>
          <w:rFonts w:ascii="Perpetua" w:hAnsi="Perpetua"/>
          <w:sz w:val="22"/>
          <w:szCs w:val="22"/>
        </w:rPr>
        <w:t xml:space="preserve">  </w:t>
      </w:r>
      <w:r>
        <w:rPr>
          <w:rFonts w:ascii="Perpetua" w:hAnsi="Perpetua"/>
          <w:sz w:val="22"/>
          <w:szCs w:val="22"/>
        </w:rPr>
        <w:t xml:space="preserve">Richard </w:t>
      </w:r>
      <w:r w:rsidRPr="00011B81">
        <w:rPr>
          <w:rFonts w:ascii="Perpetua" w:hAnsi="Perpetua"/>
          <w:sz w:val="22"/>
          <w:szCs w:val="22"/>
        </w:rPr>
        <w:t xml:space="preserve">Burridge states that ‘since it is unlikely that Jesus could have done [his action in the temple] twice, we must assume that John places it here at the start for theological rather than chronological reasons’.  </w:t>
      </w:r>
      <w:r w:rsidRPr="00011B81">
        <w:rPr>
          <w:rFonts w:ascii="Perpetua" w:hAnsi="Perpetua"/>
          <w:sz w:val="22"/>
        </w:rPr>
        <w:t>Burridge also acknowledges that it makes good historical sense, as in the synoptic gospels, for Christ’s ‘clean-out’ of the temple to have occurred at the end of his ministry, precipitating the events of Holy Week which culminated in his arrest and death.  He relates Christ’s action to the prophecy of Mal. 3:1-4 that the Lord’s messenger would suddenly come to the temple like a refiner’s fire.</w:t>
      </w:r>
      <w:r>
        <w:rPr>
          <w:rStyle w:val="EndnoteReference"/>
          <w:rFonts w:ascii="Perpetua" w:hAnsi="Perpetua"/>
          <w:sz w:val="22"/>
        </w:rPr>
        <w:endnoteReference w:id="494"/>
      </w:r>
      <w:r w:rsidRPr="00011B81">
        <w:rPr>
          <w:rFonts w:ascii="Perpetua" w:hAnsi="Perpetua"/>
        </w:rPr>
        <w:t xml:space="preserve">  </w:t>
      </w:r>
      <w:r w:rsidRPr="00011B81">
        <w:rPr>
          <w:rFonts w:ascii="Perpetua" w:hAnsi="Perpetua"/>
          <w:sz w:val="22"/>
          <w:szCs w:val="22"/>
        </w:rPr>
        <w:t xml:space="preserve">However, Craig Blomberg, while allowing that a double cleansing is ‘seldom taken seriously today except in a few conservative circles’, advances six factors which could support this view.  </w:t>
      </w:r>
      <w:r>
        <w:rPr>
          <w:rFonts w:ascii="Perpetua" w:hAnsi="Perpetua"/>
          <w:sz w:val="22"/>
        </w:rPr>
        <w:t>F</w:t>
      </w:r>
      <w:r w:rsidRPr="00011B81">
        <w:rPr>
          <w:rFonts w:ascii="Perpetua" w:hAnsi="Perpetua"/>
          <w:sz w:val="22"/>
        </w:rPr>
        <w:t>irstly</w:t>
      </w:r>
      <w:r>
        <w:rPr>
          <w:rFonts w:ascii="Perpetua" w:hAnsi="Perpetua"/>
          <w:sz w:val="22"/>
        </w:rPr>
        <w:t>,</w:t>
      </w:r>
      <w:r w:rsidRPr="00011B81">
        <w:rPr>
          <w:rFonts w:ascii="Perpetua" w:hAnsi="Perpetua"/>
          <w:sz w:val="22"/>
        </w:rPr>
        <w:t xml:space="preserve"> details of the cleansing in all versions differ; secondly Jesus may have felt so strongly about ‘temple corruption’ that he did take action twice, especially if the execrable situation had resumed in the meantime; thirdly, Jesus’ initial action may have been regarded by some Jews as ‘an overtly Messianic act’, but the repetition probably ‘sealed his fate’; fourthly, Jesus’ accusers, in their inconsistent statements (Mk 14:58-9) when they alleged that Jesus had threatened to destroy the temple and rebuild it in three days, may have been referring to the earlier cleansing rather than to a later action which they would have remembered better; fifthly, Jesus’ language is increasingly severe in the action described as taking place at the end of his ministry in comparison to that used in John; and finally the reference to the rebuilding of the temple which had begun 46 years earlier (Jn 2:20) would place the cleansing at 27 or 28 CE.</w:t>
      </w:r>
      <w:r>
        <w:rPr>
          <w:rStyle w:val="EndnoteReference"/>
          <w:rFonts w:ascii="Perpetua" w:hAnsi="Perpetua"/>
          <w:sz w:val="22"/>
        </w:rPr>
        <w:endnoteReference w:id="495"/>
      </w:r>
      <w:r w:rsidRPr="00011B81">
        <w:rPr>
          <w:rFonts w:ascii="Perpetua" w:hAnsi="Perpetua"/>
          <w:sz w:val="22"/>
        </w:rPr>
        <w:t xml:space="preserve">  </w:t>
      </w:r>
      <w:r w:rsidRPr="00011B81">
        <w:rPr>
          <w:rFonts w:ascii="Perpetua" w:hAnsi="Perpetua"/>
          <w:sz w:val="22"/>
          <w:szCs w:val="22"/>
        </w:rPr>
        <w:t>Providing that the dates are accurate, this final last reason, concerning the possible dating of 27 or 28 CE advanced for the Jews’ reference to Herod’s temple renewal, is the most convincing since this would place the temple cleansing at least two years before the putative date of the crucifixion, but the other reasons proposed are debatable.  Two performances of Jesus’ action are, as Blomberg claims, possible, but, as Burridge avers, unlikely.  The details of the cleansing, including Jesus’ language, could have varied for reasons other than that two different events were being described.  The witnesses’ lack of consensus about Jesus’ statement about rebuilding of the temple in three days might also have been caused by factors other than poor memory of a more distant event.</w:t>
      </w:r>
    </w:p>
    <w:p w:rsidR="00442D33" w:rsidRDefault="00442D33" w:rsidP="00442D33">
      <w:pPr>
        <w:spacing w:after="120" w:line="360" w:lineRule="auto"/>
        <w:ind w:firstLine="567"/>
        <w:jc w:val="both"/>
      </w:pPr>
      <w:r w:rsidRPr="00103AC6">
        <w:lastRenderedPageBreak/>
        <w:t xml:space="preserve">Scofield </w:t>
      </w:r>
      <w:r>
        <w:t xml:space="preserve">provides timetables or ‘orderings’ in notes on Matthew’s gospel for all the significant events during Holy Week and extending up to Christ’s post-resurrection appearance to John on Patmos.   </w:t>
      </w:r>
    </w:p>
    <w:p w:rsidR="00442D33" w:rsidRDefault="00442D33" w:rsidP="00442D33">
      <w:pPr>
        <w:spacing w:after="120" w:line="360" w:lineRule="auto"/>
        <w:ind w:firstLine="567"/>
        <w:jc w:val="center"/>
      </w:pPr>
      <w:r>
        <w:rPr>
          <w:noProof/>
          <w:lang w:eastAsia="en-GB"/>
        </w:rPr>
        <w:drawing>
          <wp:inline distT="0" distB="0" distL="0" distR="0" wp14:anchorId="72102BD4" wp14:editId="716E56E1">
            <wp:extent cx="5400040" cy="3084195"/>
            <wp:effectExtent l="0" t="0" r="0"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sation tables rev 9.5.18_Page_1 crop.jpg"/>
                    <pic:cNvPicPr/>
                  </pic:nvPicPr>
                  <pic:blipFill>
                    <a:blip r:embed="rId74">
                      <a:extLst>
                        <a:ext uri="{28A0092B-C50C-407E-A947-70E740481C1C}">
                          <a14:useLocalDpi xmlns:a14="http://schemas.microsoft.com/office/drawing/2010/main" val="0"/>
                        </a:ext>
                      </a:extLst>
                    </a:blip>
                    <a:stretch>
                      <a:fillRect/>
                    </a:stretch>
                  </pic:blipFill>
                  <pic:spPr>
                    <a:xfrm>
                      <a:off x="0" y="0"/>
                      <a:ext cx="5400040" cy="3084195"/>
                    </a:xfrm>
                    <a:prstGeom prst="rect">
                      <a:avLst/>
                    </a:prstGeom>
                  </pic:spPr>
                </pic:pic>
              </a:graphicData>
            </a:graphic>
          </wp:inline>
        </w:drawing>
      </w:r>
    </w:p>
    <w:p w:rsidR="00442D33" w:rsidRDefault="00442D33" w:rsidP="00442D33">
      <w:pPr>
        <w:spacing w:after="120" w:line="360" w:lineRule="auto"/>
        <w:ind w:firstLine="567"/>
        <w:jc w:val="both"/>
      </w:pPr>
      <w:r>
        <w:t>N</w:t>
      </w:r>
      <w:r w:rsidRPr="00011B81">
        <w:t>ot all gospel accounts fit with the order for events at the Last Supper based on Matthew.  For example, in Luke, Jesus ordains Communion (Lk. 22:17-20) before betrayal is mentioned (Lk. 22:21) and in John, Judas partakes of the ‘sop’ (</w:t>
      </w:r>
      <w:r w:rsidRPr="00011B81">
        <w:rPr>
          <w:i/>
        </w:rPr>
        <w:t>KJV</w:t>
      </w:r>
      <w:r w:rsidRPr="00011B81">
        <w:t xml:space="preserve">) before he leaves.  Judas’ departure is not recorded in the other gospels.  In Luke, the strife over greatness occurs after Jesus’ establishment of Communion and statement about betrayal (Lk. 22:24).  </w:t>
      </w:r>
      <w:r>
        <w:t xml:space="preserve">In this note, Scofield does not offer textual references for the elements he asserts.  </w:t>
      </w:r>
      <w:r w:rsidRPr="00335373">
        <w:t xml:space="preserve">Moreover, </w:t>
      </w:r>
      <w:r>
        <w:t>he</w:t>
      </w:r>
      <w:r w:rsidRPr="00335373">
        <w:t xml:space="preserve"> ignore</w:t>
      </w:r>
      <w:r>
        <w:t>s</w:t>
      </w:r>
      <w:r w:rsidRPr="00011B81">
        <w:t xml:space="preserve"> the one glaring discrepancy between John and the synoptic gospels, where John gives a different date for the meal.  </w:t>
      </w:r>
      <w:r>
        <w:t>The three synoptic gospels state that the Last Supper took place on ‘the first day of unleavened bread’</w:t>
      </w:r>
      <w:r>
        <w:rPr>
          <w:rStyle w:val="EndnoteReference"/>
        </w:rPr>
        <w:endnoteReference w:id="496"/>
      </w:r>
      <w:r>
        <w:t xml:space="preserve"> but John’s gospel makes it clear that the Jews had not yet eaten the Passover meal when Jesus was taken before Pilate.  Besides its being recorded in Jn 13:1 that preparations took place ‘just before the Passover feast’, Jn 18:28 </w:t>
      </w:r>
      <w:proofErr w:type="gramStart"/>
      <w:r>
        <w:t>records</w:t>
      </w:r>
      <w:proofErr w:type="gramEnd"/>
      <w:r>
        <w:t xml:space="preserve"> the reluctance of ‘the Jews’ to enter Pilate’s palace because they wanted to be able to eat the Passover and did not wish to be contaminated.  Moreover, Jn 19:14 states that Jesus was crucified on the ‘preparation of the Passover’.  As with the cleansing of the temple, by attempting to synchronise all four gospels, Scofield misses the theological significance of John’s dating of the crucifixion, which places it at the time of the slaughter of the Passover lambs.  </w:t>
      </w:r>
    </w:p>
    <w:p w:rsidR="00442D33" w:rsidRPr="003C189F" w:rsidRDefault="00442D33" w:rsidP="00442D33">
      <w:pPr>
        <w:spacing w:after="120" w:line="360" w:lineRule="auto"/>
        <w:jc w:val="center"/>
        <w:rPr>
          <w:lang w:val="en-US"/>
        </w:rPr>
      </w:pPr>
      <w:r>
        <w:rPr>
          <w:noProof/>
          <w:lang w:eastAsia="en-GB"/>
        </w:rPr>
        <w:lastRenderedPageBreak/>
        <w:drawing>
          <wp:inline distT="0" distB="0" distL="0" distR="0" wp14:anchorId="3107E11D" wp14:editId="1653D441">
            <wp:extent cx="5400040" cy="2393950"/>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sation tables rev 9.5.18_Page_2 crop.jpg"/>
                    <pic:cNvPicPr/>
                  </pic:nvPicPr>
                  <pic:blipFill>
                    <a:blip r:embed="rId75">
                      <a:extLst>
                        <a:ext uri="{28A0092B-C50C-407E-A947-70E740481C1C}">
                          <a14:useLocalDpi xmlns:a14="http://schemas.microsoft.com/office/drawing/2010/main" val="0"/>
                        </a:ext>
                      </a:extLst>
                    </a:blip>
                    <a:stretch>
                      <a:fillRect/>
                    </a:stretch>
                  </pic:blipFill>
                  <pic:spPr>
                    <a:xfrm>
                      <a:off x="0" y="0"/>
                      <a:ext cx="5400040" cy="2393950"/>
                    </a:xfrm>
                    <a:prstGeom prst="rect">
                      <a:avLst/>
                    </a:prstGeom>
                  </pic:spPr>
                </pic:pic>
              </a:graphicData>
            </a:graphic>
          </wp:inline>
        </w:drawing>
      </w:r>
    </w:p>
    <w:p w:rsidR="00442D33" w:rsidRDefault="00442D33" w:rsidP="00442D33">
      <w:pPr>
        <w:spacing w:after="120" w:line="360" w:lineRule="auto"/>
        <w:ind w:right="-28" w:firstLine="567"/>
        <w:jc w:val="both"/>
      </w:pPr>
      <w:r w:rsidRPr="00011B81">
        <w:t>Scofield</w:t>
      </w:r>
      <w:r>
        <w:t xml:space="preserve">’s next </w:t>
      </w:r>
      <w:r w:rsidRPr="00011B81">
        <w:t>schedule of events</w:t>
      </w:r>
      <w:r>
        <w:t xml:space="preserve"> outlines occurrences</w:t>
      </w:r>
      <w:r w:rsidRPr="007C433D">
        <w:t xml:space="preserve"> </w:t>
      </w:r>
      <w:r w:rsidRPr="00011B81">
        <w:t>after Jesus’ arrest.  This is based on a ‘comparison of narratives’.</w:t>
      </w:r>
      <w:r>
        <w:rPr>
          <w:rStyle w:val="EndnoteReference"/>
        </w:rPr>
        <w:endnoteReference w:id="497"/>
      </w:r>
      <w:r w:rsidRPr="00011B81">
        <w:t xml:space="preserve">  </w:t>
      </w:r>
      <w:r>
        <w:t xml:space="preserve">In this note, Scofield does include all the references for his comments except those to Simon of Cyrene in Matthew, Mark and Luke.  It is very apparent that not all the events occur in every gospel, for instance Pilate sends Jesus to Herod only in Luke and John.  It is only in Matthew, Mark and John that Jesus is crowned with thorns, and only in Matthew that Judas commits suicide.  </w:t>
      </w:r>
      <w:r w:rsidRPr="00011B81">
        <w:t>It is noteworthy that, in a lengthy list of events, including two references to Pilate, Scofield fails to mention Jesus’ statement that his kingdom ‘is not of this world’ (Jn. 18:36).  This is crucial to John’s account of Jesus’ conversation with Pilate and it militates against Scofield’s notion of an earthly kingdom.</w:t>
      </w:r>
      <w:r>
        <w:rPr>
          <w:rStyle w:val="EndnoteReference"/>
        </w:rPr>
        <w:endnoteReference w:id="498"/>
      </w:r>
      <w:r w:rsidRPr="00011B81">
        <w:t xml:space="preserve">  </w:t>
      </w:r>
    </w:p>
    <w:p w:rsidR="00442D33" w:rsidRDefault="00442D33" w:rsidP="00C9216B">
      <w:pPr>
        <w:pStyle w:val="FootnoteText"/>
        <w:spacing w:after="120" w:line="360" w:lineRule="auto"/>
        <w:ind w:firstLine="567"/>
        <w:jc w:val="both"/>
        <w:rPr>
          <w:rFonts w:ascii="Perpetua" w:hAnsi="Perpetua"/>
          <w:sz w:val="22"/>
        </w:rPr>
      </w:pPr>
      <w:r w:rsidRPr="00011B81">
        <w:rPr>
          <w:rFonts w:ascii="Perpetua" w:hAnsi="Perpetua"/>
          <w:sz w:val="22"/>
          <w:szCs w:val="22"/>
        </w:rPr>
        <w:t xml:space="preserve">Probably the most extreme example </w:t>
      </w:r>
      <w:r>
        <w:rPr>
          <w:rFonts w:ascii="Perpetua" w:hAnsi="Perpetua"/>
          <w:sz w:val="22"/>
          <w:szCs w:val="22"/>
        </w:rPr>
        <w:t xml:space="preserve">of harmonisation </w:t>
      </w:r>
      <w:r w:rsidRPr="00011B81">
        <w:rPr>
          <w:rFonts w:ascii="Perpetua" w:hAnsi="Perpetua"/>
          <w:sz w:val="22"/>
          <w:szCs w:val="22"/>
        </w:rPr>
        <w:t xml:space="preserve">is </w:t>
      </w:r>
      <w:r>
        <w:rPr>
          <w:rFonts w:ascii="Perpetua" w:hAnsi="Perpetua"/>
          <w:sz w:val="22"/>
          <w:szCs w:val="22"/>
        </w:rPr>
        <w:t>Scofield’s</w:t>
      </w:r>
      <w:r w:rsidRPr="00011B81">
        <w:rPr>
          <w:rFonts w:ascii="Perpetua" w:hAnsi="Perpetua"/>
          <w:sz w:val="22"/>
          <w:szCs w:val="22"/>
        </w:rPr>
        <w:t xml:space="preserve"> attempt to synchronise the four accounts of the inscription on Jesus’ cross, declaring without explanation </w:t>
      </w:r>
      <w:r>
        <w:rPr>
          <w:rFonts w:ascii="Perpetua" w:hAnsi="Perpetua"/>
          <w:sz w:val="22"/>
          <w:szCs w:val="22"/>
        </w:rPr>
        <w:t xml:space="preserve">and without justification </w:t>
      </w:r>
      <w:r w:rsidRPr="00011B81">
        <w:rPr>
          <w:rFonts w:ascii="Perpetua" w:hAnsi="Perpetua"/>
          <w:sz w:val="22"/>
          <w:szCs w:val="22"/>
        </w:rPr>
        <w:t>that ‘no one of the Evangelists quotes the entire inscription’.</w:t>
      </w:r>
      <w:r w:rsidRPr="00011B81">
        <w:rPr>
          <w:rStyle w:val="EndnoteReference"/>
          <w:rFonts w:ascii="Perpetua" w:hAnsi="Perpetua"/>
          <w:sz w:val="22"/>
        </w:rPr>
        <w:t xml:space="preserve"> </w:t>
      </w:r>
      <w:r w:rsidRPr="00011B81">
        <w:rPr>
          <w:rStyle w:val="EndnoteReference"/>
          <w:rFonts w:ascii="Perpetua" w:hAnsi="Perpetua"/>
          <w:sz w:val="22"/>
        </w:rPr>
        <w:endnoteReference w:id="499"/>
      </w:r>
      <w:r w:rsidRPr="00011B81">
        <w:rPr>
          <w:rFonts w:ascii="Perpetua" w:hAnsi="Perpetua"/>
          <w:sz w:val="22"/>
          <w:szCs w:val="22"/>
        </w:rPr>
        <w:t xml:space="preserve">  </w:t>
      </w:r>
      <w:r w:rsidRPr="00011B81">
        <w:rPr>
          <w:rFonts w:ascii="Perpetua" w:hAnsi="Perpetua"/>
          <w:sz w:val="22"/>
        </w:rPr>
        <w:t xml:space="preserve">Here Scofield tries to piece together </w:t>
      </w:r>
      <w:r>
        <w:rPr>
          <w:rFonts w:ascii="Perpetua" w:hAnsi="Perpetua"/>
          <w:sz w:val="22"/>
        </w:rPr>
        <w:t xml:space="preserve">Mt. 27:37, </w:t>
      </w:r>
      <w:r w:rsidRPr="00011B81">
        <w:rPr>
          <w:rFonts w:ascii="Perpetua" w:hAnsi="Perpetua"/>
          <w:sz w:val="22"/>
        </w:rPr>
        <w:t>Mk 15:26; Lk. 23:38 and Jn 19:19, to form ‘the entire inscription’ on Jesus’ cross: “this is [Matthew; Luke] Jesus [Matthew, John] of Nazareth [John], the King of the Jews” [all.]’</w:t>
      </w:r>
      <w:r w:rsidRPr="00011B81">
        <w:rPr>
          <w:rStyle w:val="EndnoteReference"/>
          <w:rFonts w:ascii="Perpetua" w:hAnsi="Perpetua"/>
          <w:sz w:val="22"/>
        </w:rPr>
        <w:endnoteReference w:id="500"/>
      </w:r>
      <w:r w:rsidRPr="00011B81">
        <w:rPr>
          <w:rFonts w:ascii="Perpetua" w:hAnsi="Perpetua"/>
          <w:sz w:val="22"/>
        </w:rPr>
        <w:t xml:space="preserve">  </w:t>
      </w:r>
      <w:r>
        <w:rPr>
          <w:rFonts w:ascii="Perpetua" w:hAnsi="Perpetua"/>
          <w:sz w:val="22"/>
        </w:rPr>
        <w:t xml:space="preserve">No allowance is made for individual expression and intention by the evangelists or </w:t>
      </w:r>
      <w:r w:rsidRPr="000C6BE2">
        <w:rPr>
          <w:rFonts w:ascii="Perpetua" w:hAnsi="Perpetua"/>
          <w:sz w:val="22"/>
        </w:rPr>
        <w:t xml:space="preserve">for centuries of scribal copying the text.  </w:t>
      </w:r>
      <w:r>
        <w:rPr>
          <w:rFonts w:ascii="Perpetua" w:hAnsi="Perpetua"/>
          <w:sz w:val="22"/>
        </w:rPr>
        <w:t>Scofield’s analysis</w:t>
      </w:r>
      <w:r w:rsidRPr="000C6BE2">
        <w:rPr>
          <w:rFonts w:ascii="Perpetua" w:hAnsi="Perpetua"/>
          <w:sz w:val="22"/>
        </w:rPr>
        <w:t xml:space="preserve"> also </w:t>
      </w:r>
      <w:r w:rsidRPr="00D048E3">
        <w:rPr>
          <w:rFonts w:ascii="Perpetua" w:hAnsi="Perpetua"/>
          <w:sz w:val="22"/>
        </w:rPr>
        <w:t>abrogates</w:t>
      </w:r>
      <w:r>
        <w:rPr>
          <w:rFonts w:ascii="Perpetua" w:hAnsi="Perpetua"/>
          <w:sz w:val="22"/>
        </w:rPr>
        <w:t xml:space="preserve"> </w:t>
      </w:r>
      <w:r w:rsidRPr="000C6BE2">
        <w:rPr>
          <w:rFonts w:ascii="Perpetua" w:hAnsi="Perpetua"/>
          <w:sz w:val="22"/>
        </w:rPr>
        <w:t>the principle of literal interpretation.</w:t>
      </w:r>
    </w:p>
    <w:p w:rsidR="001349B7" w:rsidRPr="001349B7" w:rsidRDefault="001349B7" w:rsidP="001349B7">
      <w:pPr>
        <w:pStyle w:val="FootnoteText"/>
        <w:spacing w:after="120" w:line="360" w:lineRule="auto"/>
        <w:jc w:val="both"/>
        <w:rPr>
          <w:rFonts w:ascii="Perpetua" w:hAnsi="Perpetua"/>
          <w:b/>
          <w:i/>
          <w:sz w:val="22"/>
        </w:rPr>
      </w:pPr>
      <w:r w:rsidRPr="001349B7">
        <w:rPr>
          <w:rFonts w:ascii="Perpetua" w:hAnsi="Perpetua"/>
          <w:b/>
          <w:i/>
          <w:sz w:val="22"/>
        </w:rPr>
        <w:t>Continued overleaf</w:t>
      </w:r>
    </w:p>
    <w:p w:rsidR="00442D33" w:rsidRDefault="00442D33" w:rsidP="00442D33">
      <w:pPr>
        <w:pStyle w:val="FootnoteText"/>
        <w:spacing w:after="120" w:line="360" w:lineRule="auto"/>
        <w:ind w:firstLine="425"/>
        <w:jc w:val="center"/>
        <w:rPr>
          <w:rFonts w:ascii="Perpetua" w:hAnsi="Perpetua"/>
          <w:sz w:val="22"/>
        </w:rPr>
      </w:pPr>
      <w:r>
        <w:rPr>
          <w:rFonts w:ascii="Perpetua" w:hAnsi="Perpetua"/>
          <w:noProof/>
          <w:sz w:val="22"/>
          <w:lang w:eastAsia="en-GB"/>
        </w:rPr>
        <w:lastRenderedPageBreak/>
        <w:drawing>
          <wp:inline distT="0" distB="0" distL="0" distR="0" wp14:anchorId="2902765D" wp14:editId="5E83A2D4">
            <wp:extent cx="5400040" cy="31857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sation tables p 3 rev 9.5.18 expt crop.jpg"/>
                    <pic:cNvPicPr/>
                  </pic:nvPicPr>
                  <pic:blipFill>
                    <a:blip r:embed="rId76">
                      <a:extLst>
                        <a:ext uri="{28A0092B-C50C-407E-A947-70E740481C1C}">
                          <a14:useLocalDpi xmlns:a14="http://schemas.microsoft.com/office/drawing/2010/main" val="0"/>
                        </a:ext>
                      </a:extLst>
                    </a:blip>
                    <a:stretch>
                      <a:fillRect/>
                    </a:stretch>
                  </pic:blipFill>
                  <pic:spPr>
                    <a:xfrm>
                      <a:off x="0" y="0"/>
                      <a:ext cx="5400040" cy="3185795"/>
                    </a:xfrm>
                    <a:prstGeom prst="rect">
                      <a:avLst/>
                    </a:prstGeom>
                  </pic:spPr>
                </pic:pic>
              </a:graphicData>
            </a:graphic>
          </wp:inline>
        </w:drawing>
      </w:r>
    </w:p>
    <w:p w:rsidR="00442D33" w:rsidRDefault="00442D33" w:rsidP="00442D33">
      <w:pPr>
        <w:spacing w:after="120" w:line="360" w:lineRule="auto"/>
        <w:ind w:right="-28" w:firstLine="567"/>
        <w:jc w:val="both"/>
      </w:pPr>
      <w:r w:rsidRPr="00011B81">
        <w:t>Scofield’s attempt to harmonise the gospel accounts of the crucifixion and produce an ‘order of events’ causes him to invalidate the text.  In order to accommodate the difference between Luke’s account concerning the statements by the two thieves and those of the other synoptic gospels, Scofield is forced to say that ‘the thieves rail on Him, but one repents and believes’.</w:t>
      </w:r>
      <w:r>
        <w:rPr>
          <w:rStyle w:val="EndnoteReference"/>
        </w:rPr>
        <w:endnoteReference w:id="501"/>
      </w:r>
      <w:r w:rsidRPr="00011B81">
        <w:t xml:space="preserve">  Matthew and Mark state that both thieves insulted Jesus,</w:t>
      </w:r>
      <w:r w:rsidRPr="00011B81">
        <w:rPr>
          <w:rStyle w:val="EndnoteReference"/>
        </w:rPr>
        <w:endnoteReference w:id="502"/>
      </w:r>
      <w:r w:rsidRPr="00011B81">
        <w:t xml:space="preserve"> whereas </w:t>
      </w:r>
      <w:r>
        <w:t xml:space="preserve">in </w:t>
      </w:r>
      <w:r w:rsidRPr="00011B81">
        <w:t>Luke one insult</w:t>
      </w:r>
      <w:r>
        <w:t>s</w:t>
      </w:r>
      <w:r w:rsidRPr="00011B81">
        <w:t xml:space="preserve"> Jesus </w:t>
      </w:r>
      <w:r>
        <w:t>while</w:t>
      </w:r>
      <w:r w:rsidRPr="00011B81">
        <w:t xml:space="preserve"> the other rebuk</w:t>
      </w:r>
      <w:r>
        <w:t>es</w:t>
      </w:r>
      <w:r w:rsidRPr="00011B81">
        <w:t xml:space="preserve"> him for his attitude;</w:t>
      </w:r>
      <w:r w:rsidRPr="00011B81">
        <w:rPr>
          <w:rStyle w:val="EndnoteReference"/>
        </w:rPr>
        <w:endnoteReference w:id="503"/>
      </w:r>
      <w:r w:rsidRPr="00011B81">
        <w:t xml:space="preserve"> Luke says nothing about the second thief uttering insults and then repenting.  Similarly, in incorporating John’s ‘It is finished’, with Luke’s ‘Father, into your hands I commend my spirit’, Scofield reduces the impact of the dramatic final statement of John’s Jesus.  These things also stem from a desire to prove that Scripture cannot conflict with itself.</w:t>
      </w:r>
    </w:p>
    <w:p w:rsidR="00A83A83" w:rsidRDefault="001349B7" w:rsidP="001349B7">
      <w:pPr>
        <w:spacing w:after="120" w:line="360" w:lineRule="auto"/>
        <w:ind w:right="-28"/>
        <w:jc w:val="both"/>
      </w:pPr>
      <w:r w:rsidRPr="001349B7">
        <w:rPr>
          <w:b/>
          <w:i/>
        </w:rPr>
        <w:t>Continued overleaf</w:t>
      </w:r>
    </w:p>
    <w:p w:rsidR="00442D33" w:rsidRDefault="00442D33" w:rsidP="00442D33">
      <w:pPr>
        <w:spacing w:after="120" w:line="360" w:lineRule="auto"/>
        <w:ind w:right="-28"/>
        <w:jc w:val="center"/>
      </w:pPr>
      <w:r>
        <w:rPr>
          <w:noProof/>
          <w:lang w:eastAsia="en-GB"/>
        </w:rPr>
        <w:lastRenderedPageBreak/>
        <w:drawing>
          <wp:inline distT="0" distB="0" distL="0" distR="0" wp14:anchorId="7B0A7F12" wp14:editId="5CB9D07F">
            <wp:extent cx="5400040" cy="30765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sation tables rev 9.5.18_Page_4 crop.jpg"/>
                    <pic:cNvPicPr/>
                  </pic:nvPicPr>
                  <pic:blipFill>
                    <a:blip r:embed="rId77">
                      <a:extLst>
                        <a:ext uri="{28A0092B-C50C-407E-A947-70E740481C1C}">
                          <a14:useLocalDpi xmlns:a14="http://schemas.microsoft.com/office/drawing/2010/main" val="0"/>
                        </a:ext>
                      </a:extLst>
                    </a:blip>
                    <a:stretch>
                      <a:fillRect/>
                    </a:stretch>
                  </pic:blipFill>
                  <pic:spPr>
                    <a:xfrm>
                      <a:off x="0" y="0"/>
                      <a:ext cx="5400040" cy="3076575"/>
                    </a:xfrm>
                    <a:prstGeom prst="rect">
                      <a:avLst/>
                    </a:prstGeom>
                  </pic:spPr>
                </pic:pic>
              </a:graphicData>
            </a:graphic>
          </wp:inline>
        </w:drawing>
      </w:r>
    </w:p>
    <w:p w:rsidR="00442D33" w:rsidRDefault="00442D33" w:rsidP="00442D33">
      <w:pPr>
        <w:spacing w:after="120" w:line="360" w:lineRule="auto"/>
        <w:ind w:right="-28" w:firstLine="567"/>
        <w:jc w:val="both"/>
      </w:pPr>
      <w:r w:rsidRPr="00011B81">
        <w:t xml:space="preserve">In his note on Mt. 28:1, attempting to homogenise the </w:t>
      </w:r>
      <w:r w:rsidR="005F18ED">
        <w:t>G</w:t>
      </w:r>
      <w:r w:rsidRPr="00011B81">
        <w:t>ospel resurrection accounts,</w:t>
      </w:r>
      <w:r>
        <w:rPr>
          <w:rStyle w:val="EndnoteReference"/>
        </w:rPr>
        <w:endnoteReference w:id="504"/>
      </w:r>
      <w:r w:rsidRPr="00011B81">
        <w:t xml:space="preserve"> Scofield invents a group of ‘women bearing spices’, who follow those mentioned in the </w:t>
      </w:r>
      <w:r w:rsidR="005F18ED">
        <w:t>G</w:t>
      </w:r>
      <w:r w:rsidRPr="00011B81">
        <w:t>ospels.  To Matthew’s story of the visits of women to Jesus’ tomb, he adds the name of Salome to those of Mary Magdalene and the ‘other Mary’, whom Scofield identifies as ‘the mother of James and Joses’.</w:t>
      </w:r>
      <w:r>
        <w:rPr>
          <w:rStyle w:val="EndnoteReference"/>
        </w:rPr>
        <w:endnoteReference w:id="505"/>
      </w:r>
      <w:r w:rsidRPr="00011B81">
        <w:t xml:space="preserve">  The identification of this woman as mother of Joses as well as James does not appear in the resurrection accounts of any of the </w:t>
      </w:r>
      <w:r w:rsidR="005F18ED">
        <w:t>G</w:t>
      </w:r>
      <w:r w:rsidRPr="00011B81">
        <w:t>ospels.  Scofield is assuming that this is the same woman who watched the crucifixion from a distance (Mt. 27:56; Mk 15:40) and saw where Jesus was laid (Mk 15:47); the</w:t>
      </w:r>
      <w:r w:rsidRPr="00011B81">
        <w:rPr>
          <w:rFonts w:ascii="Times New Roman" w:hAnsi="Times New Roman"/>
          <w:szCs w:val="18"/>
        </w:rPr>
        <w:t xml:space="preserve"> </w:t>
      </w:r>
      <w:r w:rsidRPr="00011B81">
        <w:t>inclusion of ‘Joses’ is inaccurate.  The name of Salome appears in Mk 16:1, as does the identification of Mary as ‘the mother of James’ in Mk 16:1 and Lk. 24:10, but these names do not appear in Matthew; Luke adds the name of Joanna</w:t>
      </w:r>
      <w:r>
        <w:rPr>
          <w:rStyle w:val="EndnoteReference"/>
        </w:rPr>
        <w:endnoteReference w:id="506"/>
      </w:r>
      <w:r w:rsidRPr="00011B81">
        <w:t xml:space="preserve"> and states that she, Mary Magdalene, Mary the mother of James and other women that were </w:t>
      </w:r>
      <w:r w:rsidRPr="00011B81">
        <w:rPr>
          <w:i/>
        </w:rPr>
        <w:t xml:space="preserve">with </w:t>
      </w:r>
      <w:r w:rsidRPr="00011B81">
        <w:t xml:space="preserve">them, not </w:t>
      </w:r>
      <w:r w:rsidRPr="00011B81">
        <w:rPr>
          <w:i/>
        </w:rPr>
        <w:t>following</w:t>
      </w:r>
      <w:r w:rsidRPr="00011B81">
        <w:t xml:space="preserve"> them, were ‘telling these things to the apostles’.</w:t>
      </w:r>
      <w:r>
        <w:rPr>
          <w:rStyle w:val="EndnoteReference"/>
        </w:rPr>
        <w:endnoteReference w:id="507"/>
      </w:r>
      <w:r w:rsidRPr="00011B81">
        <w:t xml:space="preserve">  Scofield ignores Joanna, describing only three women as setting out for the sepulchre.</w:t>
      </w:r>
      <w:r w:rsidRPr="00011B81">
        <w:rPr>
          <w:rStyle w:val="FootnoteReference"/>
        </w:rPr>
        <w:footnoteReference w:id="27"/>
      </w:r>
      <w:r w:rsidRPr="00011B81">
        <w:t xml:space="preserve">  </w:t>
      </w:r>
      <w:r w:rsidR="005F18ED">
        <w:t>He</w:t>
      </w:r>
      <w:r w:rsidRPr="00011B81">
        <w:t xml:space="preserve"> has them being followed by ‘other women bearing spices’.  The only ‘following’</w:t>
      </w:r>
      <w:r w:rsidRPr="00011B81">
        <w:rPr>
          <w:rStyle w:val="FootnoteReference"/>
        </w:rPr>
        <w:footnoteReference w:id="28"/>
      </w:r>
      <w:r w:rsidRPr="00011B81">
        <w:t xml:space="preserve"> is by the women who ‘came with Jesus from Galilee’, following Joseph of Arimathea to the sepulchre after the crucifixion.</w:t>
      </w:r>
      <w:r>
        <w:rPr>
          <w:rStyle w:val="EndnoteReference"/>
        </w:rPr>
        <w:endnoteReference w:id="508"/>
      </w:r>
      <w:r w:rsidRPr="00011B81">
        <w:t xml:space="preserve">  The ‘they’ in Lk. 24:1 logically refers back to these women and these are the ones bearing spices; they are not said to be following anyone and are accompanied by ‘certain </w:t>
      </w:r>
      <w:r w:rsidRPr="00011B81">
        <w:rPr>
          <w:i/>
        </w:rPr>
        <w:t>others</w:t>
      </w:r>
      <w:r w:rsidRPr="00011B81">
        <w:t>’.</w:t>
      </w:r>
      <w:r>
        <w:rPr>
          <w:rStyle w:val="EndnoteReference"/>
        </w:rPr>
        <w:endnoteReference w:id="509"/>
      </w:r>
      <w:r w:rsidRPr="00011B81">
        <w:t xml:space="preserve">  The implication in Lk. 24:10 </w:t>
      </w:r>
      <w:proofErr w:type="gramStart"/>
      <w:r w:rsidRPr="00011B81">
        <w:t>is</w:t>
      </w:r>
      <w:proofErr w:type="gramEnd"/>
      <w:r w:rsidRPr="00011B81">
        <w:t xml:space="preserve"> that these women included Mary Magdalene, Joanna, and Mary the mother of James.</w:t>
      </w:r>
      <w:r>
        <w:rPr>
          <w:rStyle w:val="EndnoteReference"/>
        </w:rPr>
        <w:endnoteReference w:id="510"/>
      </w:r>
      <w:r w:rsidRPr="00011B81">
        <w:t xml:space="preserve">  Scofield’s ‘other women following and bearing spices’ do not appear in any of the </w:t>
      </w:r>
      <w:r w:rsidR="005F18ED">
        <w:t>G</w:t>
      </w:r>
      <w:r w:rsidRPr="00011B81">
        <w:t>ospels, despite which he has ‘Mary, the mother of James and Joses’ going from the sepulchre and meeting these spice-bearing women.</w:t>
      </w:r>
      <w:r>
        <w:rPr>
          <w:rStyle w:val="EndnoteReference"/>
        </w:rPr>
        <w:endnoteReference w:id="511"/>
      </w:r>
      <w:r w:rsidRPr="00011B81">
        <w:t xml:space="preserve">  By this, it may be that Scofield hopes to account for the mention of one angel in </w:t>
      </w:r>
      <w:r w:rsidRPr="00011B81">
        <w:lastRenderedPageBreak/>
        <w:t>Mark and Matthew, and two in Luke and John, the two visits of Mary the mother of James, who witnessed these phenomena, being divided by the meeting with these women</w:t>
      </w:r>
      <w:r>
        <w:t xml:space="preserve"> of doubtful existence</w:t>
      </w:r>
      <w:r w:rsidRPr="00011B81">
        <w:t xml:space="preserve">.  Full harmonisation of these accounts would be very difficult, if not impossible, yet Scofield seems to feel compelled to try to reconcile them in the interests of biblical literality.  </w:t>
      </w:r>
    </w:p>
    <w:p w:rsidR="00442D33" w:rsidRDefault="00442D33" w:rsidP="00442D33">
      <w:pPr>
        <w:spacing w:after="120" w:line="360" w:lineRule="auto"/>
        <w:ind w:right="-28"/>
        <w:jc w:val="center"/>
      </w:pPr>
      <w:r>
        <w:rPr>
          <w:noProof/>
          <w:lang w:eastAsia="en-GB"/>
        </w:rPr>
        <w:drawing>
          <wp:inline distT="0" distB="0" distL="0" distR="0" wp14:anchorId="5F8074D2" wp14:editId="5E0E9094">
            <wp:extent cx="5400040" cy="39204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sation tables rev 9.5.18_Page_5 crop.jpg"/>
                    <pic:cNvPicPr/>
                  </pic:nvPicPr>
                  <pic:blipFill>
                    <a:blip r:embed="rId78">
                      <a:extLst>
                        <a:ext uri="{28A0092B-C50C-407E-A947-70E740481C1C}">
                          <a14:useLocalDpi xmlns:a14="http://schemas.microsoft.com/office/drawing/2010/main" val="0"/>
                        </a:ext>
                      </a:extLst>
                    </a:blip>
                    <a:stretch>
                      <a:fillRect/>
                    </a:stretch>
                  </pic:blipFill>
                  <pic:spPr>
                    <a:xfrm>
                      <a:off x="0" y="0"/>
                      <a:ext cx="5400040" cy="3920490"/>
                    </a:xfrm>
                    <a:prstGeom prst="rect">
                      <a:avLst/>
                    </a:prstGeom>
                  </pic:spPr>
                </pic:pic>
              </a:graphicData>
            </a:graphic>
          </wp:inline>
        </w:drawing>
      </w:r>
    </w:p>
    <w:p w:rsidR="00442D33" w:rsidRDefault="00442D33" w:rsidP="00442D33">
      <w:pPr>
        <w:spacing w:after="120" w:line="360" w:lineRule="auto"/>
        <w:ind w:firstLine="567"/>
        <w:jc w:val="both"/>
      </w:pPr>
      <w:r>
        <w:t xml:space="preserve">Scofield’s ‘ordering’ concerning Christ’s post-resurrection appearances is of a different kind from the putative ‘orderings’ advanced above because the cross-references move outside the limits of the four gospels and their interrelationships as seen by Scofield.  </w:t>
      </w:r>
      <w:r w:rsidRPr="00011B81">
        <w:t>Scofield does not differentiate between the kinds of Jesus’ resurrection appearances before and after his ascension.</w:t>
      </w:r>
      <w:r>
        <w:rPr>
          <w:rStyle w:val="EndnoteReference"/>
        </w:rPr>
        <w:endnoteReference w:id="512"/>
      </w:r>
      <w:r w:rsidRPr="00011B81">
        <w:t xml:space="preserve">  He treats his pre-ascension, physical appearances</w:t>
      </w:r>
      <w:r w:rsidRPr="00011B81">
        <w:rPr>
          <w:rStyle w:val="EndnoteReference"/>
        </w:rPr>
        <w:endnoteReference w:id="513"/>
      </w:r>
      <w:r w:rsidRPr="00011B81">
        <w:t xml:space="preserve"> in the same way as his post-ascension, visionary appearances to Paul,</w:t>
      </w:r>
      <w:r w:rsidRPr="00011B81">
        <w:rPr>
          <w:rStyle w:val="EndnoteReference"/>
        </w:rPr>
        <w:endnoteReference w:id="514"/>
      </w:r>
      <w:r w:rsidRPr="00011B81">
        <w:t xml:space="preserve"> Stephen</w:t>
      </w:r>
      <w:r w:rsidRPr="00011B81">
        <w:rPr>
          <w:rStyle w:val="EndnoteReference"/>
        </w:rPr>
        <w:endnoteReference w:id="515"/>
      </w:r>
      <w:r w:rsidRPr="00011B81">
        <w:t xml:space="preserve"> and John.</w:t>
      </w:r>
      <w:r w:rsidRPr="00011B81">
        <w:rPr>
          <w:rStyle w:val="EndnoteReference"/>
        </w:rPr>
        <w:endnoteReference w:id="516"/>
      </w:r>
      <w:r w:rsidRPr="00011B81">
        <w:t xml:space="preserve">  </w:t>
      </w:r>
      <w:r>
        <w:t xml:space="preserve">It is very interesting that Scofield supports this with references to four sequential verses, 1 Cor. 15:5-8; here Paul puts his vision of Jesus, while an unworthy persecutor of the </w:t>
      </w:r>
      <w:r w:rsidRPr="00254ADC">
        <w:t xml:space="preserve">believers, on a par with </w:t>
      </w:r>
      <w:r>
        <w:t>Peter/Cephas, the twelve, five hundred brothers, James and all the apostles.  Paul clearly regards his visionary experience as equal to theirs and this may justify the inclusion of post-ascension appearances in Scofield’s list.  However, Scofield</w:t>
      </w:r>
      <w:r w:rsidRPr="00011B81">
        <w:t xml:space="preserve"> also includes an unwarranted statement concerning the timing of Jesus’ resurrection appearance to Peter, conjecturing that Jesus’ appearance to Peter on the day of his resurrection was ‘probably in the afternoon’.</w:t>
      </w:r>
    </w:p>
    <w:p w:rsidR="00442D33" w:rsidRDefault="00442D33" w:rsidP="00442D33">
      <w:pPr>
        <w:autoSpaceDE w:val="0"/>
        <w:autoSpaceDN w:val="0"/>
        <w:adjustRightInd w:val="0"/>
        <w:spacing w:after="120" w:line="360" w:lineRule="auto"/>
        <w:ind w:firstLine="567"/>
        <w:jc w:val="both"/>
      </w:pPr>
      <w:r>
        <w:t xml:space="preserve">From all these examples, it is clear that Scofield believed that every word in the Bible must be taken literally and that no passage could conflict in any way with another.  He felt the need to defend biblical </w:t>
      </w:r>
      <w:r>
        <w:lastRenderedPageBreak/>
        <w:t>integrity against any such accusations.  In this, Scofield echoed earlier dispensationalists like the Niagara premillennialists, who had to withstand the challenges of higher criticism and evolutionary theory.  His treatment of Scripture is also reflected in the views of later dispensationalists like Chafer, who held ‘the Scriptures of the Old and New Testaments to be the only infallible rule of faith and practice’,</w:t>
      </w:r>
      <w:r>
        <w:rPr>
          <w:rStyle w:val="EndnoteReference"/>
        </w:rPr>
        <w:endnoteReference w:id="517"/>
      </w:r>
      <w:r>
        <w:t xml:space="preserve"> and Charles Feinberg, who held that the inerrancy and infallibility of the Scriptures ‘in the original languages’ is guaranteed by the inspiration of the Holy Spirit.</w:t>
      </w:r>
      <w:r>
        <w:rPr>
          <w:rStyle w:val="EndnoteReference"/>
        </w:rPr>
        <w:endnoteReference w:id="518"/>
      </w:r>
      <w:r>
        <w:t xml:space="preserve">  As a progressive dispensationalist, Bock is prepared to make more allowance for the mediation of authorship, by which he means ‘the communication of the divine will through human authors’.</w:t>
      </w:r>
      <w:r>
        <w:rPr>
          <w:rStyle w:val="EndnoteReference"/>
        </w:rPr>
        <w:endnoteReference w:id="519"/>
      </w:r>
      <w:r>
        <w:t xml:space="preserve">  Blaising refers to the development of ‘a more critical awareness of how bias (or preunderstanding) conditions our intuitions, or impressions of certainty, and clarity of interpretation’, and to ‘syntactical, rhetorical, and literary study’ as being formative factors in ‘the rise of progressive dispensationalism’.</w:t>
      </w:r>
      <w:r>
        <w:rPr>
          <w:rStyle w:val="EndnoteReference"/>
        </w:rPr>
        <w:endnoteReference w:id="520"/>
      </w:r>
      <w:r>
        <w:t xml:space="preserve">  </w:t>
      </w:r>
      <w:r w:rsidRPr="005F18ED">
        <w:rPr>
          <w:spacing w:val="-2"/>
        </w:rPr>
        <w:t xml:space="preserve">Blaising also states that ‘the interpretative notes of the </w:t>
      </w:r>
      <w:r w:rsidRPr="005F18ED">
        <w:rPr>
          <w:i/>
          <w:spacing w:val="-2"/>
        </w:rPr>
        <w:t>Scofield Reference Bible</w:t>
      </w:r>
      <w:r w:rsidRPr="005F18ED">
        <w:rPr>
          <w:spacing w:val="-2"/>
        </w:rPr>
        <w:t xml:space="preserve"> might be considered a key representative of classical dispensationalism, although there are various points at which different dispensationalists of that period would differ from it’.  Blaising defines ‘classical dispensationalism’ as ‘the views of British and American dispensationalists from the writings of John Nelson Darby … to the … </w:t>
      </w:r>
      <w:r w:rsidRPr="005F18ED">
        <w:rPr>
          <w:i/>
          <w:spacing w:val="-2"/>
        </w:rPr>
        <w:t>Systematic Theology</w:t>
      </w:r>
      <w:r w:rsidRPr="005F18ED">
        <w:rPr>
          <w:spacing w:val="-2"/>
        </w:rPr>
        <w:t xml:space="preserve"> of Lewis Sperry Chafer …</w:t>
      </w:r>
      <w:proofErr w:type="gramStart"/>
      <w:r w:rsidRPr="005F18ED">
        <w:rPr>
          <w:spacing w:val="-2"/>
        </w:rPr>
        <w:t>’.</w:t>
      </w:r>
      <w:proofErr w:type="gramEnd"/>
      <w:r w:rsidRPr="005F18ED">
        <w:rPr>
          <w:rStyle w:val="EndnoteReference"/>
          <w:spacing w:val="-2"/>
        </w:rPr>
        <w:endnoteReference w:id="521"/>
      </w:r>
      <w:r w:rsidRPr="005F18ED">
        <w:rPr>
          <w:spacing w:val="-2"/>
        </w:rPr>
        <w:t xml:space="preserve">  This statement well illustrates my contention that </w:t>
      </w:r>
      <w:r w:rsidRPr="005F18ED">
        <w:rPr>
          <w:i/>
          <w:spacing w:val="-2"/>
        </w:rPr>
        <w:t>SRB</w:t>
      </w:r>
      <w:r w:rsidRPr="005F18ED">
        <w:rPr>
          <w:spacing w:val="-2"/>
        </w:rPr>
        <w:t xml:space="preserve"> continues to perpetuate views from a previous era.  </w:t>
      </w:r>
      <w:r w:rsidR="005F18ED" w:rsidRPr="005F18ED">
        <w:rPr>
          <w:spacing w:val="-2"/>
        </w:rPr>
        <w:t xml:space="preserve">As stated in the Preface, </w:t>
      </w:r>
      <w:r w:rsidRPr="005F18ED">
        <w:rPr>
          <w:spacing w:val="-2"/>
        </w:rPr>
        <w:t>Blaising also avers that the modifications which progressive dispensationalism has made to both classical dispensationalism and the revised form espoused by dispensationalists like Ryrie, Walvoord and [Dwight] Pentecost have brought dispensationalism ‘closer to contemporary evangelical biblical interpretation’.</w:t>
      </w:r>
      <w:r>
        <w:rPr>
          <w:rStyle w:val="EndnoteReference"/>
        </w:rPr>
        <w:endnoteReference w:id="522"/>
      </w:r>
    </w:p>
    <w:p w:rsidR="00442D33" w:rsidRDefault="00442D33" w:rsidP="00442D33">
      <w:pPr>
        <w:autoSpaceDE w:val="0"/>
        <w:autoSpaceDN w:val="0"/>
        <w:adjustRightInd w:val="0"/>
        <w:spacing w:after="120" w:line="360" w:lineRule="auto"/>
        <w:jc w:val="both"/>
        <w:rPr>
          <w:b/>
          <w:sz w:val="24"/>
        </w:rPr>
      </w:pPr>
      <w:proofErr w:type="gramStart"/>
      <w:r>
        <w:rPr>
          <w:b/>
          <w:sz w:val="24"/>
        </w:rPr>
        <w:t>2.2</w:t>
      </w:r>
      <w:r w:rsidRPr="00093EED">
        <w:rPr>
          <w:b/>
          <w:sz w:val="24"/>
        </w:rPr>
        <w:t xml:space="preserve">  Scofield’s</w:t>
      </w:r>
      <w:proofErr w:type="gramEnd"/>
      <w:r w:rsidRPr="00093EED">
        <w:rPr>
          <w:b/>
          <w:sz w:val="24"/>
        </w:rPr>
        <w:t xml:space="preserve"> Interpretation of Prophecy</w:t>
      </w:r>
    </w:p>
    <w:p w:rsidR="00442D33" w:rsidRPr="00381984" w:rsidRDefault="00442D33" w:rsidP="00442D33">
      <w:pPr>
        <w:spacing w:after="120" w:line="360" w:lineRule="auto"/>
        <w:ind w:right="-28"/>
        <w:jc w:val="both"/>
      </w:pPr>
      <w:r w:rsidRPr="00381984">
        <w:t xml:space="preserve">References to prophecy pervade </w:t>
      </w:r>
      <w:r>
        <w:t xml:space="preserve">Scofield’s </w:t>
      </w:r>
      <w:r w:rsidRPr="00381984">
        <w:t>commentary.</w:t>
      </w:r>
      <w:r w:rsidRPr="00381984">
        <w:rPr>
          <w:rStyle w:val="EndnoteReference"/>
        </w:rPr>
        <w:endnoteReference w:id="523"/>
      </w:r>
      <w:r>
        <w:t xml:space="preserve">  Just as Paul judged the gift of prophecy to be the most desirable Spiritual gift, so it represents the most important gift for Scofield.</w:t>
      </w:r>
      <w:r w:rsidRPr="009E1A6B">
        <w:rPr>
          <w:rStyle w:val="EndnoteReference"/>
        </w:rPr>
        <w:endnoteReference w:id="524"/>
      </w:r>
      <w:r w:rsidRPr="00381984">
        <w:t xml:space="preserve">  </w:t>
      </w:r>
      <w:r>
        <w:t>He avers that t</w:t>
      </w:r>
      <w:r w:rsidRPr="00381984">
        <w:t xml:space="preserve">he keys to the meanings of prophecy are the doctrines of the two advents of Messiah, the remnant, the day of the LORD and the kingdom.  </w:t>
      </w:r>
      <w:r>
        <w:t>T</w:t>
      </w:r>
      <w:r w:rsidRPr="00381984">
        <w:t>he ‘pivotal’ passages for prophecy are Deuteronomy 28</w:t>
      </w:r>
      <w:r>
        <w:t xml:space="preserve"> </w:t>
      </w:r>
      <w:r w:rsidRPr="00012B96">
        <w:rPr>
          <w:sz w:val="16"/>
          <w:szCs w:val="24"/>
        </w:rPr>
        <w:t>—</w:t>
      </w:r>
      <w:r>
        <w:rPr>
          <w:sz w:val="16"/>
          <w:szCs w:val="24"/>
        </w:rPr>
        <w:t xml:space="preserve"> </w:t>
      </w:r>
      <w:r w:rsidRPr="00381984">
        <w:t>30; Psalm 2 and Daniel 2 and 7.</w:t>
      </w:r>
      <w:r>
        <w:rPr>
          <w:rStyle w:val="EndnoteReference"/>
        </w:rPr>
        <w:endnoteReference w:id="525"/>
      </w:r>
      <w:r w:rsidRPr="00381984">
        <w:t xml:space="preserve"> </w:t>
      </w:r>
      <w:r>
        <w:t xml:space="preserve"> </w:t>
      </w:r>
      <w:r w:rsidRPr="00381984">
        <w:t>Scofield asserts that ‘the Palestinian Covenant … is the mould of predictive prophecy in its larger sense’</w:t>
      </w:r>
      <w:r>
        <w:rPr>
          <w:rStyle w:val="EndnoteReference"/>
        </w:rPr>
        <w:endnoteReference w:id="526"/>
      </w:r>
      <w:r>
        <w:t xml:space="preserve"> and </w:t>
      </w:r>
      <w:r w:rsidRPr="005F188D">
        <w:t xml:space="preserve">gives a sequence of events expected </w:t>
      </w:r>
      <w:r>
        <w:t xml:space="preserve">during </w:t>
      </w:r>
      <w:r w:rsidRPr="005F188D">
        <w:t>it</w:t>
      </w:r>
      <w:r w:rsidRPr="00381984">
        <w:t>.</w:t>
      </w:r>
      <w:r>
        <w:rPr>
          <w:rStyle w:val="EndnoteReference"/>
        </w:rPr>
        <w:endnoteReference w:id="527"/>
      </w:r>
      <w:r>
        <w:t xml:space="preserve">  </w:t>
      </w:r>
      <w:r w:rsidRPr="00381984">
        <w:t xml:space="preserve">Echoing Darby, </w:t>
      </w:r>
      <w:r>
        <w:t>he</w:t>
      </w:r>
      <w:r w:rsidRPr="00381984">
        <w:t xml:space="preserve"> emphasises that ‘the Church, corporately, is not in Old Testament prophecy’.</w:t>
      </w:r>
      <w:r>
        <w:rPr>
          <w:rStyle w:val="EndnoteReference"/>
        </w:rPr>
        <w:endnoteReference w:id="528"/>
      </w:r>
      <w:r>
        <w:t xml:space="preserve">  </w:t>
      </w:r>
      <w:r w:rsidRPr="003D2F5F">
        <w:t>He makes a similar observation in his note on Mal. 3:1.</w:t>
      </w:r>
      <w:r>
        <w:rPr>
          <w:rStyle w:val="EndnoteReference"/>
        </w:rPr>
        <w:endnoteReference w:id="529"/>
      </w:r>
    </w:p>
    <w:p w:rsidR="00442D33" w:rsidRDefault="00442D33" w:rsidP="00442D33">
      <w:pPr>
        <w:spacing w:after="120" w:line="360" w:lineRule="auto"/>
        <w:ind w:firstLine="567"/>
        <w:jc w:val="both"/>
      </w:pPr>
      <w:r w:rsidRPr="009E1A6B">
        <w:t>Scofield states that ‘the prophet in any dispensation is God’s messenger to His people, to establish truth and to call them back to truth’; Christ’s ministry differed from that of the Old Testament prophets only in his ‘dignity of person’.</w:t>
      </w:r>
      <w:r w:rsidRPr="009E1A6B">
        <w:rPr>
          <w:rStyle w:val="EndnoteReference"/>
        </w:rPr>
        <w:endnoteReference w:id="530"/>
      </w:r>
      <w:r w:rsidRPr="009E1A6B">
        <w:t xml:space="preserve">  However, he </w:t>
      </w:r>
      <w:r>
        <w:t>concentrates on the futuristic aspects of Old Testament prophecy and tends to ignore ‘</w:t>
      </w:r>
      <w:r w:rsidRPr="00194389">
        <w:t>the great treasure of ethical truth</w:t>
      </w:r>
      <w:r>
        <w:t>’,</w:t>
      </w:r>
      <w:r>
        <w:rPr>
          <w:rStyle w:val="FootnoteReference"/>
        </w:rPr>
        <w:footnoteReference w:id="29"/>
      </w:r>
      <w:r w:rsidRPr="00381984">
        <w:t xml:space="preserve"> which is one of the important roles of prophecy: to admonish, to warn and to </w:t>
      </w:r>
      <w:r>
        <w:t>proclaim</w:t>
      </w:r>
      <w:r w:rsidRPr="00381984">
        <w:t xml:space="preserve"> God’s requirements of humankind</w:t>
      </w:r>
      <w:r>
        <w:t>,</w:t>
      </w:r>
      <w:r w:rsidRPr="00381984">
        <w:rPr>
          <w:rStyle w:val="EndnoteReference"/>
        </w:rPr>
        <w:endnoteReference w:id="531"/>
      </w:r>
      <w:r w:rsidRPr="00381984">
        <w:t xml:space="preserve"> </w:t>
      </w:r>
      <w:r>
        <w:t>as promulgated later by Bock.</w:t>
      </w:r>
      <w:r>
        <w:rPr>
          <w:rStyle w:val="EndnoteReference"/>
        </w:rPr>
        <w:endnoteReference w:id="532"/>
      </w:r>
      <w:r>
        <w:t xml:space="preserve"> </w:t>
      </w:r>
      <w:r w:rsidRPr="00381984">
        <w:t xml:space="preserve"> Interestingly, </w:t>
      </w:r>
      <w:r>
        <w:t>Scofield</w:t>
      </w:r>
      <w:r w:rsidRPr="00381984">
        <w:t xml:space="preserve"> state</w:t>
      </w:r>
      <w:r>
        <w:t>s</w:t>
      </w:r>
      <w:r w:rsidRPr="00381984">
        <w:t xml:space="preserve"> in </w:t>
      </w:r>
      <w:r>
        <w:t>his</w:t>
      </w:r>
      <w:r w:rsidRPr="00381984">
        <w:t xml:space="preserve"> note on 1 Cor. 12:10, that, in the New Testament, </w:t>
      </w:r>
      <w:r w:rsidRPr="00381984">
        <w:lastRenderedPageBreak/>
        <w:t>prophets are usually forth-tellers, speaking for ‘edification, exhortation and comfort’, rather than foretellers.</w:t>
      </w:r>
      <w:r w:rsidRPr="00381984">
        <w:rPr>
          <w:rStyle w:val="EndnoteReference"/>
        </w:rPr>
        <w:endnoteReference w:id="533"/>
      </w:r>
      <w:r w:rsidRPr="00381984">
        <w:t xml:space="preserve">  </w:t>
      </w:r>
      <w:r>
        <w:t>Scofield</w:t>
      </w:r>
      <w:r w:rsidRPr="007E7811">
        <w:t xml:space="preserve"> also often </w:t>
      </w:r>
      <w:r>
        <w:t>disregards</w:t>
      </w:r>
      <w:r w:rsidRPr="007E7811">
        <w:t xml:space="preserve"> the different contexts and messages of the prophetic books</w:t>
      </w:r>
      <w:r>
        <w:t>, ignoring</w:t>
      </w:r>
      <w:r w:rsidRPr="007E7811">
        <w:t xml:space="preserve"> the important narrative elements in Jeremiah and Daniel.  These even include material concerning the exile, which is essential to </w:t>
      </w:r>
      <w:r>
        <w:t>his</w:t>
      </w:r>
      <w:r w:rsidRPr="007E7811">
        <w:t xml:space="preserve"> theology.</w:t>
      </w:r>
      <w:r>
        <w:t xml:space="preserve">  The table below shows some important passages in Jeremiah, Ezekiel and Daniel, which are not annotated in </w:t>
      </w:r>
      <w:r w:rsidRPr="00274CCF">
        <w:rPr>
          <w:i/>
        </w:rPr>
        <w:t>SRB</w:t>
      </w:r>
      <w:r>
        <w:t xml:space="preserve">.  </w:t>
      </w:r>
      <w:r w:rsidRPr="00847EEB">
        <w:t xml:space="preserve">As shown in chapter 8, </w:t>
      </w:r>
      <w:r>
        <w:t xml:space="preserve">Scofield </w:t>
      </w:r>
      <w:r w:rsidRPr="005C6FA9">
        <w:t>is very selective in</w:t>
      </w:r>
      <w:r>
        <w:t xml:space="preserve"> his choice of passages for commentary.</w:t>
      </w:r>
    </w:p>
    <w:p w:rsidR="00442D33" w:rsidRDefault="00442D33" w:rsidP="00442D33">
      <w:pPr>
        <w:autoSpaceDE w:val="0"/>
        <w:autoSpaceDN w:val="0"/>
        <w:adjustRightInd w:val="0"/>
        <w:spacing w:after="120" w:line="360" w:lineRule="auto"/>
        <w:jc w:val="center"/>
        <w:rPr>
          <w:sz w:val="24"/>
        </w:rPr>
      </w:pPr>
      <w:r>
        <w:rPr>
          <w:noProof/>
          <w:sz w:val="24"/>
          <w:lang w:eastAsia="en-GB"/>
        </w:rPr>
        <w:drawing>
          <wp:inline distT="0" distB="0" distL="0" distR="0" wp14:anchorId="6FCD5401" wp14:editId="331CAD30">
            <wp:extent cx="5400040" cy="423799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hecy omissions rev 12.3.18 crop.jpg"/>
                    <pic:cNvPicPr/>
                  </pic:nvPicPr>
                  <pic:blipFill>
                    <a:blip r:embed="rId79">
                      <a:extLst>
                        <a:ext uri="{28A0092B-C50C-407E-A947-70E740481C1C}">
                          <a14:useLocalDpi xmlns:a14="http://schemas.microsoft.com/office/drawing/2010/main" val="0"/>
                        </a:ext>
                      </a:extLst>
                    </a:blip>
                    <a:stretch>
                      <a:fillRect/>
                    </a:stretch>
                  </pic:blipFill>
                  <pic:spPr>
                    <a:xfrm>
                      <a:off x="0" y="0"/>
                      <a:ext cx="5400040" cy="4237990"/>
                    </a:xfrm>
                    <a:prstGeom prst="rect">
                      <a:avLst/>
                    </a:prstGeom>
                  </pic:spPr>
                </pic:pic>
              </a:graphicData>
            </a:graphic>
          </wp:inline>
        </w:drawing>
      </w:r>
    </w:p>
    <w:p w:rsidR="00442D33" w:rsidRPr="001615D8" w:rsidRDefault="00442D33" w:rsidP="00442D33">
      <w:pPr>
        <w:tabs>
          <w:tab w:val="right" w:pos="9100"/>
        </w:tabs>
        <w:spacing w:after="120" w:line="360" w:lineRule="auto"/>
        <w:ind w:right="-28"/>
        <w:jc w:val="both"/>
        <w:rPr>
          <w:b/>
          <w:szCs w:val="24"/>
        </w:rPr>
      </w:pPr>
      <w:proofErr w:type="gramStart"/>
      <w:r w:rsidRPr="001615D8">
        <w:rPr>
          <w:b/>
          <w:szCs w:val="24"/>
        </w:rPr>
        <w:t>2.2.1  ‘Near’</w:t>
      </w:r>
      <w:proofErr w:type="gramEnd"/>
      <w:r w:rsidRPr="001615D8">
        <w:rPr>
          <w:b/>
          <w:szCs w:val="24"/>
        </w:rPr>
        <w:t xml:space="preserve"> and ‘Far’ Prophecy </w:t>
      </w:r>
    </w:p>
    <w:p w:rsidR="00442D33" w:rsidRPr="00A83A83" w:rsidRDefault="00442D33" w:rsidP="00442D33">
      <w:pPr>
        <w:tabs>
          <w:tab w:val="right" w:pos="9100"/>
        </w:tabs>
        <w:spacing w:after="120" w:line="360" w:lineRule="auto"/>
        <w:ind w:right="-28"/>
        <w:jc w:val="both"/>
        <w:rPr>
          <w:rFonts w:ascii="Times New Roman" w:hAnsi="Times New Roman"/>
          <w:sz w:val="16"/>
          <w:szCs w:val="16"/>
        </w:rPr>
      </w:pPr>
      <w:r>
        <w:t>This parallels what Charles Feinberg calls ‘foreshortening’ in prophecy.</w:t>
      </w:r>
      <w:r>
        <w:rPr>
          <w:rStyle w:val="EndnoteReference"/>
        </w:rPr>
        <w:endnoteReference w:id="534"/>
      </w:r>
      <w:r>
        <w:t xml:space="preserve">  Scofield</w:t>
      </w:r>
      <w:r w:rsidRPr="0082547A">
        <w:t xml:space="preserve"> state</w:t>
      </w:r>
      <w:r>
        <w:t>s</w:t>
      </w:r>
      <w:r w:rsidRPr="0082547A">
        <w:t xml:space="preserve"> that the quotation in Mt. 2:15</w:t>
      </w:r>
      <w:r w:rsidRPr="0082547A">
        <w:rPr>
          <w:rStyle w:val="FootnoteReference"/>
        </w:rPr>
        <w:footnoteReference w:id="30"/>
      </w:r>
      <w:r w:rsidRPr="0082547A">
        <w:t xml:space="preserve"> from Hos. 11:1</w:t>
      </w:r>
      <w:r w:rsidRPr="0082547A">
        <w:rPr>
          <w:rStyle w:val="FootnoteReference"/>
        </w:rPr>
        <w:footnoteReference w:id="31"/>
      </w:r>
      <w:r w:rsidRPr="0082547A">
        <w:t xml:space="preserve"> illustrates that </w:t>
      </w:r>
      <w:r>
        <w:t>‘</w:t>
      </w:r>
      <w:r w:rsidRPr="0082547A">
        <w:t>prophetic utterances often have a latent and deeper meaning than first appears’.</w:t>
      </w:r>
      <w:r w:rsidRPr="0082547A">
        <w:rPr>
          <w:rStyle w:val="EndnoteReference"/>
        </w:rPr>
        <w:endnoteReference w:id="535"/>
      </w:r>
      <w:r w:rsidRPr="0082547A">
        <w:t xml:space="preserve">  On several occasions, </w:t>
      </w:r>
      <w:r>
        <w:t>he</w:t>
      </w:r>
      <w:r w:rsidRPr="0082547A">
        <w:t xml:space="preserve"> label</w:t>
      </w:r>
      <w:r>
        <w:t>s</w:t>
      </w:r>
      <w:r w:rsidRPr="0082547A">
        <w:t xml:space="preserve"> </w:t>
      </w:r>
      <w:r>
        <w:t>his</w:t>
      </w:r>
      <w:r w:rsidRPr="0082547A">
        <w:t xml:space="preserve"> interpretations of prophecy as ‘near’ and ‘far’. </w:t>
      </w:r>
      <w:r>
        <w:t xml:space="preserve"> </w:t>
      </w:r>
      <w:r w:rsidRPr="00A83A83">
        <w:t>Tables showing Scofield’s ‘near and far’ interpretations of prophecy appear at the end of the thesis.</w:t>
      </w:r>
    </w:p>
    <w:p w:rsidR="00442D33" w:rsidRPr="008A4237" w:rsidRDefault="00442D33" w:rsidP="00442D33">
      <w:pPr>
        <w:tabs>
          <w:tab w:val="right" w:pos="9100"/>
        </w:tabs>
        <w:spacing w:after="120" w:line="360" w:lineRule="auto"/>
        <w:ind w:right="-29" w:firstLine="567"/>
        <w:jc w:val="both"/>
      </w:pPr>
      <w:r>
        <w:t>Scofield usually espouses characteristic dispensational futuristic premillennialism.</w:t>
      </w:r>
      <w:r>
        <w:rPr>
          <w:rStyle w:val="EndnoteReference"/>
        </w:rPr>
        <w:endnoteReference w:id="536"/>
      </w:r>
      <w:r>
        <w:t xml:space="preserve">  He generally believes that distant prophecy applies to his own future and</w:t>
      </w:r>
      <w:r w:rsidRPr="00000DA8">
        <w:t xml:space="preserve"> aver</w:t>
      </w:r>
      <w:r>
        <w:t>s</w:t>
      </w:r>
      <w:r w:rsidRPr="00000DA8">
        <w:t xml:space="preserve"> that prophetic messages have a dual </w:t>
      </w:r>
      <w:r w:rsidRPr="00000DA8">
        <w:lastRenderedPageBreak/>
        <w:t>character: ‘local and for the prophet’s time’ and ‘predictive of the divine purpose in the future’; the prediction frequently originates in the local situation.</w:t>
      </w:r>
      <w:r w:rsidRPr="00000DA8">
        <w:rPr>
          <w:rStyle w:val="EndnoteReference"/>
        </w:rPr>
        <w:endnoteReference w:id="537"/>
      </w:r>
      <w:r w:rsidRPr="00000DA8">
        <w:t xml:space="preserve">  </w:t>
      </w:r>
      <w:r>
        <w:t>Scofield</w:t>
      </w:r>
      <w:r w:rsidRPr="00000DA8">
        <w:t xml:space="preserve"> describe</w:t>
      </w:r>
      <w:r>
        <w:t>s</w:t>
      </w:r>
      <w:r w:rsidRPr="00000DA8">
        <w:t xml:space="preserve"> this as ‘an intermingling of the near and the far’.</w:t>
      </w:r>
      <w:r w:rsidRPr="00000DA8">
        <w:rPr>
          <w:rStyle w:val="EndnoteReference"/>
        </w:rPr>
        <w:endnoteReference w:id="538"/>
      </w:r>
      <w:r w:rsidRPr="00000DA8">
        <w:t xml:space="preserve">  For example, predictions of a local restoration from Babylonian captivity must be differentiated from predictions of a future restoration from ‘the present world-wide dispersion’.</w:t>
      </w:r>
      <w:r w:rsidRPr="00000DA8">
        <w:rPr>
          <w:rStyle w:val="EndnoteReference"/>
        </w:rPr>
        <w:endnoteReference w:id="539"/>
      </w:r>
      <w:r w:rsidRPr="00000DA8">
        <w:t xml:space="preserve">  </w:t>
      </w:r>
      <w:r>
        <w:t xml:space="preserve">However, </w:t>
      </w:r>
      <w:r w:rsidR="005F18ED">
        <w:t>Scofield</w:t>
      </w:r>
      <w:r>
        <w:t xml:space="preserve"> sometimes tends towards </w:t>
      </w:r>
      <w:proofErr w:type="gramStart"/>
      <w:r>
        <w:t>an</w:t>
      </w:r>
      <w:proofErr w:type="gramEnd"/>
      <w:r>
        <w:t xml:space="preserve"> historicist view, notably in his topical allusions concerning the deterioration of the Roman Empire</w:t>
      </w:r>
      <w:r>
        <w:rPr>
          <w:rStyle w:val="EndnoteReference"/>
        </w:rPr>
        <w:endnoteReference w:id="540"/>
      </w:r>
      <w:r>
        <w:t xml:space="preserve"> and his analysis of the ‘spiritual history’ represented by the seven churches of Revelation 1 </w:t>
      </w:r>
      <w:r w:rsidRPr="00012B96">
        <w:rPr>
          <w:sz w:val="16"/>
          <w:szCs w:val="24"/>
        </w:rPr>
        <w:t>—</w:t>
      </w:r>
      <w:r>
        <w:t xml:space="preserve"> 3.</w:t>
      </w:r>
      <w:r>
        <w:rPr>
          <w:rStyle w:val="EndnoteReference"/>
        </w:rPr>
        <w:endnoteReference w:id="541"/>
      </w:r>
    </w:p>
    <w:p w:rsidR="00442D33" w:rsidRDefault="00442D33" w:rsidP="00442D33">
      <w:pPr>
        <w:tabs>
          <w:tab w:val="right" w:pos="9100"/>
        </w:tabs>
        <w:spacing w:after="120" w:line="360" w:lineRule="auto"/>
        <w:ind w:right="-29" w:firstLine="567"/>
        <w:jc w:val="both"/>
      </w:pPr>
      <w:r>
        <w:t>Scofield</w:t>
      </w:r>
      <w:r w:rsidRPr="00381984">
        <w:t xml:space="preserve"> associate</w:t>
      </w:r>
      <w:r>
        <w:t>s</w:t>
      </w:r>
      <w:r w:rsidRPr="00381984">
        <w:t xml:space="preserve"> prophecies concerning immediate danger to Israel with the threat of end-times invasion.  </w:t>
      </w:r>
      <w:r>
        <w:t>He</w:t>
      </w:r>
      <w:r w:rsidRPr="00381984">
        <w:t xml:space="preserve"> link</w:t>
      </w:r>
      <w:r>
        <w:t>s</w:t>
      </w:r>
      <w:r w:rsidRPr="00381984">
        <w:t xml:space="preserve"> the Assyrian invasion and judgment upon Assyria with the final gathering of the Gentile nations against Jerusalem and the judgment upon all Gentile world-power.</w:t>
      </w:r>
      <w:r w:rsidRPr="00381984">
        <w:rPr>
          <w:rStyle w:val="EndnoteReference"/>
        </w:rPr>
        <w:endnoteReference w:id="542"/>
      </w:r>
      <w:r w:rsidRPr="00381984">
        <w:t xml:space="preserve">  Scofield also</w:t>
      </w:r>
      <w:r>
        <w:t xml:space="preserve"> sees</w:t>
      </w:r>
      <w:r w:rsidRPr="00000DA8">
        <w:t xml:space="preserve"> in Isa. 29:3 a near reference to the Egyptian alliance and a far reference to ‘the stone’, pointing to the end-time and covenant between the Beast and the nations.</w:t>
      </w:r>
      <w:r w:rsidRPr="00000DA8">
        <w:rPr>
          <w:rStyle w:val="EndnoteReference"/>
        </w:rPr>
        <w:endnoteReference w:id="543"/>
      </w:r>
      <w:r w:rsidRPr="00000DA8">
        <w:t xml:space="preserve">  </w:t>
      </w:r>
    </w:p>
    <w:p w:rsidR="00442D33" w:rsidRDefault="00442D33" w:rsidP="00442D33">
      <w:pPr>
        <w:spacing w:after="120" w:line="360" w:lineRule="auto"/>
        <w:ind w:firstLine="567"/>
        <w:jc w:val="both"/>
      </w:pPr>
      <w:r>
        <w:t>Furthermore, Scofield interprets</w:t>
      </w:r>
      <w:r w:rsidRPr="002D66E6">
        <w:t xml:space="preserve"> </w:t>
      </w:r>
      <w:r>
        <w:t xml:space="preserve">Nebuchadnezzar’s invasion and the destruction of </w:t>
      </w:r>
      <w:r w:rsidRPr="002D66E6">
        <w:t>Babylon</w:t>
      </w:r>
      <w:r>
        <w:t xml:space="preserve"> as having ‘near’ and ‘far’ prophetic meanings.</w:t>
      </w:r>
      <w:r>
        <w:rPr>
          <w:rStyle w:val="EndnoteReference"/>
        </w:rPr>
        <w:endnoteReference w:id="544"/>
      </w:r>
      <w:r>
        <w:t xml:space="preserve">  Although Scofield asserts a ‘far’ interpretation of Babylon in Isaiah 13, he</w:t>
      </w:r>
      <w:r w:rsidRPr="00E83DDA">
        <w:rPr>
          <w:i/>
        </w:rPr>
        <w:t xml:space="preserve"> </w:t>
      </w:r>
      <w:r>
        <w:t>denies any connection with physical Babylon.</w:t>
      </w:r>
      <w:r>
        <w:rPr>
          <w:rStyle w:val="EndnoteReference"/>
        </w:rPr>
        <w:endnoteReference w:id="545"/>
      </w:r>
      <w:r>
        <w:t xml:space="preserve">  He links the Babylonian invasion of Egypt with the judgment of nations after Armageddon</w:t>
      </w:r>
      <w:r w:rsidRPr="00CB17EE">
        <w:t>,</w:t>
      </w:r>
      <w:r w:rsidRPr="00CB17EE">
        <w:rPr>
          <w:rStyle w:val="EndnoteReference"/>
        </w:rPr>
        <w:endnoteReference w:id="546"/>
      </w:r>
      <w:r w:rsidRPr="00CB17EE">
        <w:rPr>
          <w:i/>
        </w:rPr>
        <w:t xml:space="preserve"> </w:t>
      </w:r>
      <w:r w:rsidRPr="00CB17EE">
        <w:t>and draws a parallel between Jewish behaviour in Babylon at Zechariah’s time with the apostasy of the church in Babylon of Revelation.</w:t>
      </w:r>
      <w:r w:rsidRPr="00CB17EE">
        <w:rPr>
          <w:rStyle w:val="EndnoteReference"/>
        </w:rPr>
        <w:endnoteReference w:id="547"/>
      </w:r>
      <w:r w:rsidRPr="00CB17EE">
        <w:t xml:space="preserve"> </w:t>
      </w:r>
      <w:r w:rsidRPr="00CB17EE">
        <w:rPr>
          <w:i/>
        </w:rPr>
        <w:t xml:space="preserve"> </w:t>
      </w:r>
      <w:r>
        <w:t>He</w:t>
      </w:r>
      <w:r w:rsidRPr="00CB17EE">
        <w:t xml:space="preserve"> see</w:t>
      </w:r>
      <w:r>
        <w:t>s</w:t>
      </w:r>
      <w:r w:rsidRPr="00CB17EE">
        <w:t xml:space="preserve"> </w:t>
      </w:r>
      <w:r>
        <w:t>‘</w:t>
      </w:r>
      <w:r w:rsidRPr="00CB17EE">
        <w:t>near</w:t>
      </w:r>
      <w:r>
        <w:t>’</w:t>
      </w:r>
      <w:r w:rsidRPr="00CB17EE">
        <w:t xml:space="preserve"> and </w:t>
      </w:r>
      <w:r>
        <w:t>‘</w:t>
      </w:r>
      <w:r w:rsidRPr="00CB17EE">
        <w:t>far</w:t>
      </w:r>
      <w:r>
        <w:t>’</w:t>
      </w:r>
      <w:r w:rsidRPr="00CB17EE">
        <w:t xml:space="preserve"> aspects in Zephaniah’s prophecy of the fall of Jerusalem</w:t>
      </w:r>
      <w:r>
        <w:t>, naming</w:t>
      </w:r>
      <w:r w:rsidRPr="00CB17EE">
        <w:t xml:space="preserve"> Nebuchadnezzar.</w:t>
      </w:r>
      <w:r w:rsidRPr="00CB17EE">
        <w:rPr>
          <w:rStyle w:val="EndnoteReference"/>
        </w:rPr>
        <w:endnoteReference w:id="548"/>
      </w:r>
      <w:r w:rsidRPr="002C76EF">
        <w:t xml:space="preserve">  </w:t>
      </w:r>
      <w:r>
        <w:t>He also refers to Alexander the Great in the context of prophecy of ‘the future last days’.</w:t>
      </w:r>
      <w:r>
        <w:rPr>
          <w:rStyle w:val="EndnoteReference"/>
        </w:rPr>
        <w:endnoteReference w:id="549"/>
      </w:r>
      <w:r>
        <w:t xml:space="preserve">  </w:t>
      </w:r>
    </w:p>
    <w:p w:rsidR="00442D33" w:rsidRDefault="00442D33" w:rsidP="00442D33">
      <w:pPr>
        <w:spacing w:after="120" w:line="360" w:lineRule="auto"/>
        <w:ind w:firstLine="567"/>
        <w:jc w:val="both"/>
      </w:pPr>
      <w:r w:rsidRPr="00000DA8">
        <w:t xml:space="preserve">The concept of multiple fulfilments of prophecy is </w:t>
      </w:r>
      <w:r>
        <w:t>fluid</w:t>
      </w:r>
      <w:r w:rsidRPr="00000DA8">
        <w:t xml:space="preserve">, offering opportunities for </w:t>
      </w:r>
      <w:r>
        <w:t>diverse interpretations of</w:t>
      </w:r>
      <w:r w:rsidRPr="00000DA8">
        <w:t xml:space="preserve"> future fulfilment.  </w:t>
      </w:r>
      <w:r>
        <w:t xml:space="preserve">Paul </w:t>
      </w:r>
      <w:r w:rsidRPr="00000DA8">
        <w:t>Boyer speaks of the persistence and adaptability of the prophetic belief system, describing how ‘outmoded themes are quietly abandoned’ and new themes subtly introduced and altered, while remaining within the general rubric of ‘biblical inerrancy’.</w:t>
      </w:r>
      <w:r>
        <w:rPr>
          <w:rStyle w:val="EndnoteReference"/>
        </w:rPr>
        <w:endnoteReference w:id="550"/>
      </w:r>
      <w:r w:rsidRPr="00000DA8">
        <w:t xml:space="preserve">  This adaptability is particularly fruitful when applied to prophecy concerning Israel.  For example, the prophecies of the exiled Ezekiel, while relating to the return of Judah from the Babylonian exile of the sixth and fifth centuries BCE, can be made to apply equally to ‘the end-times’ of the current age, allowing references to Israel’s ‘third dispersion’ and </w:t>
      </w:r>
      <w:r w:rsidRPr="00C023FF">
        <w:t>subsequent restoration at Christ’s return</w:t>
      </w:r>
      <w:r w:rsidRPr="00000DA8">
        <w:t>.</w:t>
      </w:r>
      <w:r w:rsidRPr="00000DA8">
        <w:rPr>
          <w:rStyle w:val="EndnoteReference"/>
        </w:rPr>
        <w:endnoteReference w:id="551"/>
      </w:r>
      <w:r w:rsidRPr="00000DA8">
        <w:t xml:space="preserve">  This has, of course, been particularly pertinent since 1948 and 1967.  However, Boyer legitimately asks: ‘If the prophecies can be applied with equal validity to </w:t>
      </w:r>
      <w:r w:rsidRPr="00000DA8">
        <w:rPr>
          <w:i/>
        </w:rPr>
        <w:t>any</w:t>
      </w:r>
      <w:r w:rsidRPr="00000DA8">
        <w:t xml:space="preserve"> historical situation, what becomes of their status as a divinely inspired foretelling of specific events?’</w:t>
      </w:r>
      <w:r w:rsidRPr="00000DA8">
        <w:rPr>
          <w:rStyle w:val="EndnoteReference"/>
        </w:rPr>
        <w:endnoteReference w:id="552"/>
      </w:r>
      <w:r w:rsidRPr="00000DA8">
        <w:t xml:space="preserve"> </w:t>
      </w:r>
    </w:p>
    <w:p w:rsidR="00442D33" w:rsidRPr="001615D8" w:rsidRDefault="00442D33" w:rsidP="00442D33">
      <w:pPr>
        <w:spacing w:after="120" w:line="360" w:lineRule="auto"/>
        <w:ind w:right="-28"/>
        <w:jc w:val="both"/>
        <w:rPr>
          <w:b/>
          <w:color w:val="000000"/>
          <w:szCs w:val="24"/>
        </w:rPr>
      </w:pPr>
      <w:proofErr w:type="gramStart"/>
      <w:r w:rsidRPr="001615D8">
        <w:rPr>
          <w:b/>
          <w:color w:val="000000"/>
          <w:szCs w:val="24"/>
        </w:rPr>
        <w:t>2.2.2  Fulfilled</w:t>
      </w:r>
      <w:proofErr w:type="gramEnd"/>
      <w:r w:rsidRPr="001615D8">
        <w:rPr>
          <w:b/>
          <w:color w:val="000000"/>
          <w:szCs w:val="24"/>
        </w:rPr>
        <w:t xml:space="preserve"> Prophecy  </w:t>
      </w:r>
    </w:p>
    <w:p w:rsidR="00442D33" w:rsidRDefault="00442D33" w:rsidP="00442D33">
      <w:pPr>
        <w:spacing w:after="120" w:line="360" w:lineRule="auto"/>
        <w:ind w:right="-28"/>
        <w:jc w:val="both"/>
      </w:pPr>
      <w:r>
        <w:t>F</w:t>
      </w:r>
      <w:r w:rsidRPr="00381984">
        <w:t xml:space="preserve">or </w:t>
      </w:r>
      <w:r>
        <w:t>Scofield</w:t>
      </w:r>
      <w:r w:rsidRPr="00381984">
        <w:t xml:space="preserve">, fulfilled prophecy constitutes proof of the inspiration of Scripture.  </w:t>
      </w:r>
      <w:r>
        <w:t>He</w:t>
      </w:r>
      <w:r w:rsidRPr="00381984">
        <w:t xml:space="preserve"> assert</w:t>
      </w:r>
      <w:r>
        <w:t>s</w:t>
      </w:r>
      <w:r w:rsidRPr="00381984">
        <w:t xml:space="preserve"> that ‘predictions of future events were uttered so long before the events transpired that no merely human sagacity or foresight could have anticipated them, and these predictions are so detailed, minute and specific, as to exclude the possibility that they were mere fortunate guesses’.</w:t>
      </w:r>
      <w:r w:rsidRPr="00381984">
        <w:rPr>
          <w:rStyle w:val="EndnoteReference"/>
        </w:rPr>
        <w:endnoteReference w:id="553"/>
      </w:r>
      <w:r w:rsidRPr="00381984">
        <w:t xml:space="preserve">  These claims of fulfilment </w:t>
      </w:r>
      <w:r w:rsidRPr="00381984">
        <w:lastRenderedPageBreak/>
        <w:t xml:space="preserve">are based on the assumptions that the prophecies antedated their “fulfilment” and that </w:t>
      </w:r>
      <w:r>
        <w:t>his</w:t>
      </w:r>
      <w:r w:rsidRPr="00381984">
        <w:t xml:space="preserve"> interpretations of them and their fulfilments are correct.  In many cases </w:t>
      </w:r>
      <w:r>
        <w:t>Scofield’s</w:t>
      </w:r>
      <w:r w:rsidRPr="00381984">
        <w:t xml:space="preserve"> interpretations mirror and promote </w:t>
      </w:r>
      <w:r>
        <w:t>his</w:t>
      </w:r>
      <w:r w:rsidRPr="00381984">
        <w:t xml:space="preserve"> premillennial, dispensational views.  </w:t>
      </w:r>
    </w:p>
    <w:p w:rsidR="00442D33" w:rsidRDefault="00442D33" w:rsidP="00442D33">
      <w:pPr>
        <w:spacing w:after="120" w:line="360" w:lineRule="auto"/>
        <w:ind w:right="-28" w:firstLine="567"/>
        <w:jc w:val="both"/>
      </w:pPr>
      <w:r>
        <w:t xml:space="preserve">Scofield </w:t>
      </w:r>
      <w:r w:rsidRPr="00381984">
        <w:t>claim</w:t>
      </w:r>
      <w:r>
        <w:t>s</w:t>
      </w:r>
      <w:r w:rsidRPr="00381984">
        <w:t xml:space="preserve"> that hundreds of prophecies concerning Israel, Canaan, Babylon, Assyria and Egypt, and concerning particular people</w:t>
      </w:r>
      <w:r>
        <w:t>,</w:t>
      </w:r>
      <w:r w:rsidRPr="00381984">
        <w:t xml:space="preserve"> have been fulfilled,</w:t>
      </w:r>
      <w:r w:rsidRPr="00381984">
        <w:rPr>
          <w:rStyle w:val="EndnoteReference"/>
        </w:rPr>
        <w:endnoteReference w:id="554"/>
      </w:r>
      <w:r w:rsidRPr="00381984">
        <w:t xml:space="preserve"> but do</w:t>
      </w:r>
      <w:r>
        <w:t>es</w:t>
      </w:r>
      <w:r w:rsidRPr="00381984">
        <w:t xml:space="preserve"> not identify these.  </w:t>
      </w:r>
      <w:r>
        <w:t>He</w:t>
      </w:r>
      <w:r w:rsidRPr="00381984">
        <w:t xml:space="preserve"> cites 2 Kgs 14:25</w:t>
      </w:r>
      <w:r>
        <w:rPr>
          <w:rStyle w:val="EndnoteReference"/>
        </w:rPr>
        <w:endnoteReference w:id="555"/>
      </w:r>
      <w:r w:rsidRPr="00381984">
        <w:t xml:space="preserve"> as recording the fulfilment of a prophecy by Jonah.</w:t>
      </w:r>
      <w:r>
        <w:t xml:space="preserve">  </w:t>
      </w:r>
      <w:r w:rsidRPr="00EC2B3F">
        <w:t>He assumes that the ‘Jonah, son of Amittai of Gath-helper’, mentioned in this verse, is the same as the main character in the book of Jonah, though nothing of this is mentioned in Jonah itself.  Scofield does not say in what way the prophecy in 2 Kgs 14:25 might be considered to have been fulfilled.</w:t>
      </w:r>
      <w:r>
        <w:rPr>
          <w:rStyle w:val="EndnoteReference"/>
        </w:rPr>
        <w:endnoteReference w:id="556"/>
      </w:r>
      <w:r w:rsidRPr="00381984">
        <w:t xml:space="preserve">  </w:t>
      </w:r>
    </w:p>
    <w:p w:rsidR="00442D33" w:rsidRDefault="00442D33" w:rsidP="00442D33">
      <w:pPr>
        <w:spacing w:after="120" w:line="360" w:lineRule="auto"/>
        <w:ind w:right="-28" w:firstLine="567"/>
        <w:jc w:val="both"/>
        <w:rPr>
          <w:lang w:val="en-US"/>
        </w:rPr>
      </w:pPr>
      <w:r>
        <w:t>Scofield</w:t>
      </w:r>
      <w:r w:rsidRPr="00381984">
        <w:t xml:space="preserve"> also claims fulfilment concerning the ‘four world-empires’ of Daniel</w:t>
      </w:r>
      <w:r>
        <w:t>.  His note on Dan. 2:31 asserts that Nebuchadnezzar’s dream, as interpreted by Daniel, ‘gives the course and end of “the times of the Gentiles”’, the four metals in the image representing four empires which, while ‘not necessarily possessing the inhabited earth’, were ‘able to do so’.  According to Scofield, these were fulfilled in ‘</w:t>
      </w:r>
      <w:r w:rsidRPr="008050CE">
        <w:t>Babylon, Media-Persia, Greece (under Alexander), and Rome</w:t>
      </w:r>
      <w:r>
        <w:t>’</w:t>
      </w:r>
      <w:r w:rsidRPr="008050CE">
        <w:t>.</w:t>
      </w:r>
      <w:r>
        <w:rPr>
          <w:rStyle w:val="EndnoteReference"/>
        </w:rPr>
        <w:endnoteReference w:id="557"/>
      </w:r>
      <w:r>
        <w:t xml:space="preserve">  The names of these empires also appear in the </w:t>
      </w:r>
      <w:r w:rsidRPr="00B624FE">
        <w:rPr>
          <w:i/>
        </w:rPr>
        <w:t>SRB</w:t>
      </w:r>
      <w:r>
        <w:t xml:space="preserve"> subheads</w:t>
      </w:r>
      <w:r>
        <w:rPr>
          <w:rStyle w:val="EndnoteReference"/>
        </w:rPr>
        <w:endnoteReference w:id="558"/>
      </w:r>
      <w:r>
        <w:t xml:space="preserve"> to Dan. 2:37,</w:t>
      </w:r>
      <w:r>
        <w:rPr>
          <w:rStyle w:val="EndnoteReference"/>
        </w:rPr>
        <w:endnoteReference w:id="559"/>
      </w:r>
      <w:r>
        <w:t xml:space="preserve"> 39</w:t>
      </w:r>
      <w:r>
        <w:rPr>
          <w:rStyle w:val="EndnoteReference"/>
        </w:rPr>
        <w:endnoteReference w:id="560"/>
      </w:r>
      <w:r>
        <w:t xml:space="preserve"> and 40</w:t>
      </w:r>
      <w:r>
        <w:rPr>
          <w:rStyle w:val="EndnoteReference"/>
        </w:rPr>
        <w:endnoteReference w:id="561"/>
      </w:r>
      <w:r>
        <w:t xml:space="preserve"> and are virtually identically repeated in the subheads to Dan. 7:4,</w:t>
      </w:r>
      <w:r>
        <w:rPr>
          <w:rStyle w:val="EndnoteReference"/>
        </w:rPr>
        <w:endnoteReference w:id="562"/>
      </w:r>
      <w:r>
        <w:t xml:space="preserve"> 5,</w:t>
      </w:r>
      <w:r>
        <w:rPr>
          <w:rStyle w:val="EndnoteReference"/>
        </w:rPr>
        <w:endnoteReference w:id="563"/>
      </w:r>
      <w:r>
        <w:t xml:space="preserve"> 6</w:t>
      </w:r>
      <w:r>
        <w:rPr>
          <w:rStyle w:val="EndnoteReference"/>
        </w:rPr>
        <w:endnoteReference w:id="564"/>
      </w:r>
      <w:r>
        <w:t xml:space="preserve">  and 7.</w:t>
      </w:r>
      <w:r>
        <w:rPr>
          <w:rStyle w:val="EndnoteReference"/>
        </w:rPr>
        <w:endnoteReference w:id="565"/>
      </w:r>
      <w:r>
        <w:t xml:space="preserve">  </w:t>
      </w:r>
      <w:r w:rsidRPr="000F0DD3">
        <w:rPr>
          <w:lang w:val="en-US"/>
        </w:rPr>
        <w:t>In this context</w:t>
      </w:r>
      <w:r w:rsidRPr="000F0DD3">
        <w:rPr>
          <w:b/>
          <w:lang w:val="en-US"/>
        </w:rPr>
        <w:t xml:space="preserve">, </w:t>
      </w:r>
      <w:r w:rsidRPr="000F0DD3">
        <w:rPr>
          <w:lang w:val="en-US"/>
        </w:rPr>
        <w:t>Scofield also refers to ‘the final world-empire: the kingdom of heaven’</w:t>
      </w:r>
      <w:r>
        <w:rPr>
          <w:lang w:val="en-US"/>
        </w:rPr>
        <w:t>, which is yet to be fulfilled,</w:t>
      </w:r>
      <w:r>
        <w:rPr>
          <w:rStyle w:val="EndnoteReference"/>
          <w:lang w:val="en-US"/>
        </w:rPr>
        <w:endnoteReference w:id="566"/>
      </w:r>
      <w:r>
        <w:rPr>
          <w:lang w:val="en-US"/>
        </w:rPr>
        <w:t xml:space="preserve"> thus according this future kingdom a terrestrial status on a par with that of the physical kingdoms which have already held sway in the past.</w:t>
      </w:r>
    </w:p>
    <w:p w:rsidR="00442D33" w:rsidRDefault="00442D33" w:rsidP="00442D33">
      <w:pPr>
        <w:spacing w:after="120" w:line="360" w:lineRule="auto"/>
        <w:ind w:right="-28" w:firstLine="567"/>
        <w:jc w:val="both"/>
        <w:rPr>
          <w:b/>
          <w:lang w:val="en-US"/>
        </w:rPr>
      </w:pPr>
      <w:r>
        <w:t>Media, Persia, Greece and Rome are not mentioned in Daniel 2 or 7.</w:t>
      </w:r>
      <w:r w:rsidRPr="006D78DD">
        <w:t xml:space="preserve">  </w:t>
      </w:r>
      <w:r w:rsidRPr="000646E1">
        <w:rPr>
          <w:color w:val="000000"/>
          <w:lang w:val="en-US"/>
        </w:rPr>
        <w:t xml:space="preserve">Media, Persia and Grecia are </w:t>
      </w:r>
      <w:r>
        <w:rPr>
          <w:color w:val="000000"/>
          <w:lang w:val="en-US"/>
        </w:rPr>
        <w:t>nam</w:t>
      </w:r>
      <w:r w:rsidRPr="000646E1">
        <w:rPr>
          <w:color w:val="000000"/>
          <w:lang w:val="en-US"/>
        </w:rPr>
        <w:t xml:space="preserve">ed in Daniel 8, but with reference to a two-horned ram (the kings of Media and Persia, Dan. 8:20, </w:t>
      </w:r>
      <w:r w:rsidRPr="000646E1">
        <w:rPr>
          <w:i/>
          <w:color w:val="000000"/>
          <w:lang w:val="en-US"/>
        </w:rPr>
        <w:t>KJV</w:t>
      </w:r>
      <w:r w:rsidRPr="000646E1">
        <w:rPr>
          <w:color w:val="000000"/>
          <w:lang w:val="en-US"/>
        </w:rPr>
        <w:t xml:space="preserve">) and to a shaggy goat (the king of Grecia, Dan. 8:21, </w:t>
      </w:r>
      <w:r w:rsidRPr="000646E1">
        <w:rPr>
          <w:i/>
          <w:color w:val="000000"/>
          <w:lang w:val="en-US"/>
        </w:rPr>
        <w:t>KJV</w:t>
      </w:r>
      <w:r w:rsidRPr="000646E1">
        <w:rPr>
          <w:color w:val="000000"/>
          <w:lang w:val="en-US"/>
        </w:rPr>
        <w:t xml:space="preserve">).  These appeared in Daniel’s vision in Daniel 8, which is separate from Nebuchadnezzar’s dream in Daniel 2, and Daniel’s ‘dream and visions’ in Daniel 7.  </w:t>
      </w:r>
      <w:r>
        <w:rPr>
          <w:color w:val="000000"/>
          <w:lang w:val="en-US"/>
        </w:rPr>
        <w:t>Scofield</w:t>
      </w:r>
      <w:r w:rsidRPr="000646E1">
        <w:rPr>
          <w:color w:val="000000"/>
          <w:lang w:val="en-US"/>
        </w:rPr>
        <w:t xml:space="preserve"> unjustifiably appl</w:t>
      </w:r>
      <w:r>
        <w:rPr>
          <w:color w:val="000000"/>
          <w:lang w:val="en-US"/>
        </w:rPr>
        <w:t>ies</w:t>
      </w:r>
      <w:r w:rsidRPr="000646E1">
        <w:rPr>
          <w:color w:val="000000"/>
          <w:lang w:val="en-US"/>
        </w:rPr>
        <w:t xml:space="preserve"> these names to Daniel 2 and 7, adding that of Rome.  Presumably the assumption that the Median kingdom stood second to Babylon, came from the reference in Dan. 5:31 to Darius the Mede’s taking over the </w:t>
      </w:r>
      <w:r w:rsidRPr="000646E1">
        <w:rPr>
          <w:lang w:val="en-US"/>
        </w:rPr>
        <w:t>kingdom</w:t>
      </w:r>
      <w:r w:rsidRPr="000646E1">
        <w:rPr>
          <w:b/>
          <w:lang w:val="en-US"/>
        </w:rPr>
        <w:t>.</w:t>
      </w:r>
      <w:r w:rsidRPr="007F783B">
        <w:rPr>
          <w:b/>
          <w:lang w:val="en-US"/>
        </w:rPr>
        <w:t xml:space="preserve">  </w:t>
      </w:r>
    </w:p>
    <w:p w:rsidR="00442D33" w:rsidRPr="00604CF6" w:rsidRDefault="00442D33" w:rsidP="00442D33">
      <w:pPr>
        <w:spacing w:after="120" w:line="360" w:lineRule="auto"/>
        <w:ind w:firstLine="425"/>
        <w:jc w:val="both"/>
      </w:pPr>
      <w:r w:rsidRPr="00604CF6">
        <w:t>J. M. Alonso-</w:t>
      </w:r>
      <w:r w:rsidRPr="00604CF6">
        <w:rPr>
          <w:lang w:eastAsia="en-GB"/>
        </w:rPr>
        <w:t>Núñez</w:t>
      </w:r>
      <w:r w:rsidRPr="00604CF6">
        <w:t xml:space="preserve"> and Joseph Ward Swain claim that the theory of successive world-empires antedated the book of Daniel.</w:t>
      </w:r>
      <w:r>
        <w:rPr>
          <w:rStyle w:val="EndnoteReference"/>
        </w:rPr>
        <w:endnoteReference w:id="567"/>
      </w:r>
      <w:r w:rsidRPr="00604CF6">
        <w:t xml:space="preserve">  </w:t>
      </w:r>
      <w:r w:rsidRPr="00604CF6">
        <w:rPr>
          <w:color w:val="000000"/>
          <w:lang w:val="en-US"/>
        </w:rPr>
        <w:t>According to</w:t>
      </w:r>
      <w:r w:rsidRPr="00604CF6">
        <w:rPr>
          <w:lang w:eastAsia="en-GB"/>
        </w:rPr>
        <w:t xml:space="preserve"> Alonso-Núñez, a lost work by Aemilius Sura, named </w:t>
      </w:r>
      <w:r w:rsidRPr="00604CF6">
        <w:rPr>
          <w:i/>
          <w:lang w:eastAsia="en-GB"/>
        </w:rPr>
        <w:t>De annis populi Romani</w:t>
      </w:r>
      <w:r w:rsidRPr="00604CF6">
        <w:rPr>
          <w:lang w:eastAsia="en-GB"/>
        </w:rPr>
        <w:t xml:space="preserve">, a fragment of which is preserved in Velleius Paterculus’ </w:t>
      </w:r>
      <w:r w:rsidRPr="00604CF6">
        <w:rPr>
          <w:i/>
          <w:lang w:eastAsia="en-GB"/>
        </w:rPr>
        <w:t>Historiae Romanae</w:t>
      </w:r>
      <w:r w:rsidRPr="00604CF6">
        <w:rPr>
          <w:lang w:eastAsia="en-GB"/>
        </w:rPr>
        <w:t xml:space="preserve"> 1, 6, 6, contains the statement that the Assyrians were first of all races to hold power, then the Medes, after them the Persians, and then the Macedonians.  Alonso-Núñez dates </w:t>
      </w:r>
      <w:r w:rsidRPr="00604CF6">
        <w:rPr>
          <w:i/>
          <w:lang w:eastAsia="en-GB"/>
        </w:rPr>
        <w:t>De annis populi Romani</w:t>
      </w:r>
      <w:r w:rsidRPr="00604CF6">
        <w:rPr>
          <w:lang w:eastAsia="en-GB"/>
        </w:rPr>
        <w:t xml:space="preserve"> as between 190/89 and 168 BCE and states that ‘in the fragment of Aemilius Sura we find formulated for the first time in Roman historiography the theory of the succession of world empires and it is also the first evidence that we have for Rome as one of the series’.  However, ‘the first Greek source to enunciate a succession of world powers was Herodotus</w:t>
      </w:r>
      <w:r>
        <w:rPr>
          <w:rStyle w:val="EndnoteReference"/>
          <w:lang w:eastAsia="en-GB"/>
        </w:rPr>
        <w:endnoteReference w:id="568"/>
      </w:r>
      <w:r w:rsidRPr="00604CF6">
        <w:rPr>
          <w:lang w:eastAsia="en-GB"/>
        </w:rPr>
        <w:t xml:space="preserve"> 1, 95 and 1, 130, when he speaks of the successive taking over of the world rule </w:t>
      </w:r>
      <w:r w:rsidRPr="00604CF6">
        <w:rPr>
          <w:lang w:eastAsia="en-GB"/>
        </w:rPr>
        <w:lastRenderedPageBreak/>
        <w:t>by Assyrians, Medians and Persians’.</w:t>
      </w:r>
      <w:r>
        <w:rPr>
          <w:rStyle w:val="EndnoteReference"/>
          <w:lang w:eastAsia="en-GB"/>
        </w:rPr>
        <w:endnoteReference w:id="569"/>
      </w:r>
      <w:r w:rsidRPr="00604CF6">
        <w:rPr>
          <w:lang w:eastAsia="en-GB"/>
        </w:rPr>
        <w:t xml:space="preserve">  </w:t>
      </w:r>
      <w:r w:rsidRPr="00604CF6">
        <w:t xml:space="preserve">Swain avers that the Book of Daniel ‘reached its present form between 168 and 165 B.C.’ and that ‘the essential idea of the prophecies – an eternal fifth empire to follow the impending destruction of the fourth – was widely current in the Seleucid empire long before the composition of the Book of Daniel’.  He also asserts that the introduction of the theory of four empires and a fifth into Christian historiography was mainly the work of Jerome, when translating Eusebius’ </w:t>
      </w:r>
      <w:r w:rsidRPr="00604CF6">
        <w:rPr>
          <w:i/>
        </w:rPr>
        <w:t>Chronicle</w:t>
      </w:r>
      <w:r w:rsidRPr="00604CF6">
        <w:t xml:space="preserve"> into Latin, listing Assyrians, Persians, Greeks and Romans.</w:t>
      </w:r>
      <w:r>
        <w:rPr>
          <w:rStyle w:val="EndnoteReference"/>
        </w:rPr>
        <w:endnoteReference w:id="570"/>
      </w:r>
      <w:r>
        <w:t xml:space="preserve"> </w:t>
      </w:r>
    </w:p>
    <w:p w:rsidR="00442D33" w:rsidRDefault="00442D33" w:rsidP="00442D33">
      <w:pPr>
        <w:spacing w:after="120" w:line="360" w:lineRule="auto"/>
        <w:ind w:right="-28" w:firstLine="567"/>
        <w:jc w:val="both"/>
      </w:pPr>
      <w:r>
        <w:t xml:space="preserve">In his note on Dan. 2:41, </w:t>
      </w:r>
      <w:r w:rsidRPr="00902462">
        <w:t xml:space="preserve">Scofield </w:t>
      </w:r>
      <w:r>
        <w:t xml:space="preserve">also claims that that the division of the ‘Eastern and Western Empires’ and further divisions, marked deterioration in strength in the fourth kingdom; ‘the </w:t>
      </w:r>
      <w:r w:rsidRPr="00DC6E0D">
        <w:t xml:space="preserve">admixture of the iron of the Roman </w:t>
      </w:r>
      <w:r w:rsidRPr="00DC6E0D">
        <w:rPr>
          <w:i/>
        </w:rPr>
        <w:t>imperium</w:t>
      </w:r>
      <w:r w:rsidRPr="00DC6E0D">
        <w:t xml:space="preserve"> … with the clay of the popular will’ had ‘</w:t>
      </w:r>
      <w:r>
        <w:t xml:space="preserve">precisely … </w:t>
      </w:r>
      <w:r w:rsidRPr="00DC6E0D">
        <w:t>come to pass in</w:t>
      </w:r>
      <w:r>
        <w:t xml:space="preserve"> </w:t>
      </w:r>
      <w:r w:rsidRPr="00E62D47">
        <w:t>the constitutional monarchies which, the Republic of France and the despotism of Turkey, cover the sphere of ancient Roman rule</w:t>
      </w:r>
      <w:r>
        <w:t>’.</w:t>
      </w:r>
      <w:r>
        <w:rPr>
          <w:rStyle w:val="EndnoteReference"/>
        </w:rPr>
        <w:endnoteReference w:id="571"/>
      </w:r>
      <w:r>
        <w:t xml:space="preserve"> </w:t>
      </w:r>
      <w:r w:rsidRPr="00DC6E0D">
        <w:t xml:space="preserve"> </w:t>
      </w:r>
      <w:r>
        <w:t xml:space="preserve">He thus asserts that his interpretation of Dan. 2:41 is vindicated by the fulfilment which he claims. </w:t>
      </w:r>
    </w:p>
    <w:p w:rsidR="00442D33" w:rsidRPr="001615D8" w:rsidRDefault="00442D33" w:rsidP="00442D33">
      <w:pPr>
        <w:spacing w:after="120" w:line="360" w:lineRule="auto"/>
        <w:ind w:right="-28"/>
        <w:jc w:val="both"/>
        <w:rPr>
          <w:b/>
          <w:color w:val="000000"/>
          <w:szCs w:val="24"/>
        </w:rPr>
      </w:pPr>
      <w:proofErr w:type="gramStart"/>
      <w:r w:rsidRPr="001615D8">
        <w:rPr>
          <w:b/>
          <w:color w:val="000000"/>
          <w:szCs w:val="24"/>
        </w:rPr>
        <w:t>2.2.3  Partially</w:t>
      </w:r>
      <w:proofErr w:type="gramEnd"/>
      <w:r w:rsidRPr="001615D8">
        <w:rPr>
          <w:b/>
          <w:color w:val="000000"/>
          <w:szCs w:val="24"/>
        </w:rPr>
        <w:t xml:space="preserve"> Fulfilled Prophecy</w:t>
      </w:r>
    </w:p>
    <w:p w:rsidR="00442D33" w:rsidRPr="00381984" w:rsidRDefault="00442D33" w:rsidP="00442D33">
      <w:pPr>
        <w:spacing w:after="120" w:line="360" w:lineRule="auto"/>
        <w:ind w:right="-28"/>
        <w:jc w:val="both"/>
      </w:pPr>
      <w:r w:rsidRPr="004C4FD4">
        <w:rPr>
          <w:color w:val="000000"/>
        </w:rPr>
        <w:t xml:space="preserve">The vast majority of </w:t>
      </w:r>
      <w:r>
        <w:rPr>
          <w:color w:val="000000"/>
        </w:rPr>
        <w:t xml:space="preserve">Scofield’s </w:t>
      </w:r>
      <w:r w:rsidRPr="004C4FD4">
        <w:rPr>
          <w:color w:val="000000"/>
        </w:rPr>
        <w:t xml:space="preserve">interpretations relate to prophecies which </w:t>
      </w:r>
      <w:r>
        <w:rPr>
          <w:color w:val="000000"/>
        </w:rPr>
        <w:t>he</w:t>
      </w:r>
      <w:r w:rsidRPr="004C4FD4">
        <w:rPr>
          <w:color w:val="000000"/>
        </w:rPr>
        <w:t xml:space="preserve"> consider</w:t>
      </w:r>
      <w:r>
        <w:rPr>
          <w:color w:val="000000"/>
        </w:rPr>
        <w:t>s</w:t>
      </w:r>
      <w:r w:rsidRPr="004C4FD4">
        <w:rPr>
          <w:color w:val="000000"/>
        </w:rPr>
        <w:t xml:space="preserve"> </w:t>
      </w:r>
      <w:r>
        <w:rPr>
          <w:color w:val="000000"/>
        </w:rPr>
        <w:t>‘</w:t>
      </w:r>
      <w:r w:rsidRPr="004C4FD4">
        <w:rPr>
          <w:color w:val="000000"/>
        </w:rPr>
        <w:t>partially fulfilled</w:t>
      </w:r>
      <w:r>
        <w:rPr>
          <w:color w:val="000000"/>
        </w:rPr>
        <w:t>’</w:t>
      </w:r>
      <w:r w:rsidRPr="004C4FD4">
        <w:rPr>
          <w:color w:val="000000"/>
        </w:rPr>
        <w:t xml:space="preserve"> or </w:t>
      </w:r>
      <w:r>
        <w:rPr>
          <w:color w:val="000000"/>
        </w:rPr>
        <w:t>‘</w:t>
      </w:r>
      <w:r w:rsidRPr="004C4FD4">
        <w:rPr>
          <w:color w:val="000000"/>
        </w:rPr>
        <w:t>unfulfilled</w:t>
      </w:r>
      <w:r>
        <w:rPr>
          <w:color w:val="000000"/>
        </w:rPr>
        <w:t>’</w:t>
      </w:r>
      <w:r w:rsidRPr="004C4FD4">
        <w:rPr>
          <w:color w:val="000000"/>
        </w:rPr>
        <w:t xml:space="preserve">.  </w:t>
      </w:r>
      <w:r>
        <w:rPr>
          <w:color w:val="000000"/>
        </w:rPr>
        <w:t>Scofield</w:t>
      </w:r>
      <w:r w:rsidRPr="004C4FD4">
        <w:rPr>
          <w:color w:val="000000"/>
        </w:rPr>
        <w:t xml:space="preserve"> assert</w:t>
      </w:r>
      <w:r>
        <w:rPr>
          <w:color w:val="000000"/>
        </w:rPr>
        <w:t>s</w:t>
      </w:r>
      <w:r w:rsidRPr="004C4FD4">
        <w:rPr>
          <w:color w:val="000000"/>
        </w:rPr>
        <w:t xml:space="preserve"> </w:t>
      </w:r>
      <w:r>
        <w:rPr>
          <w:color w:val="000000"/>
        </w:rPr>
        <w:t>‘</w:t>
      </w:r>
      <w:r w:rsidRPr="004C4FD4">
        <w:rPr>
          <w:color w:val="000000"/>
        </w:rPr>
        <w:t>partial fulfilment</w:t>
      </w:r>
      <w:r>
        <w:rPr>
          <w:color w:val="000000"/>
        </w:rPr>
        <w:t>’</w:t>
      </w:r>
      <w:r w:rsidRPr="004C4FD4">
        <w:rPr>
          <w:color w:val="000000"/>
        </w:rPr>
        <w:t xml:space="preserve"> in relation to prophecies concerning the first advent of Christ.  </w:t>
      </w:r>
      <w:r>
        <w:rPr>
          <w:color w:val="000000"/>
        </w:rPr>
        <w:t>He states that the Old Testament prophets visualised Messiah’s suffering and glory in one, unbroken line.</w:t>
      </w:r>
      <w:r>
        <w:rPr>
          <w:rStyle w:val="EndnoteReference"/>
          <w:color w:val="000000"/>
        </w:rPr>
        <w:endnoteReference w:id="572"/>
      </w:r>
      <w:r>
        <w:rPr>
          <w:color w:val="000000"/>
        </w:rPr>
        <w:t xml:space="preserve">  </w:t>
      </w:r>
      <w:r>
        <w:t>He</w:t>
      </w:r>
      <w:r w:rsidRPr="00381984">
        <w:t xml:space="preserve"> aver</w:t>
      </w:r>
      <w:r>
        <w:t>s</w:t>
      </w:r>
      <w:r w:rsidRPr="00381984">
        <w:t xml:space="preserve"> that the Old Testament prophets were ‘perplexed’ by the seeming antithesis inherent in this</w:t>
      </w:r>
      <w:r w:rsidRPr="00381984">
        <w:rPr>
          <w:rStyle w:val="EndnoteReference"/>
        </w:rPr>
        <w:endnoteReference w:id="573"/>
      </w:r>
      <w:r w:rsidRPr="00381984">
        <w:t xml:space="preserve"> </w:t>
      </w:r>
      <w:r>
        <w:t>but</w:t>
      </w:r>
      <w:r w:rsidRPr="00381984">
        <w:t xml:space="preserve"> provide</w:t>
      </w:r>
      <w:r>
        <w:t>s</w:t>
      </w:r>
      <w:r w:rsidRPr="00381984">
        <w:t xml:space="preserve"> no evidence for this claim.  The solution to this perplexity is two advents, one to suffering and the other to glory.</w:t>
      </w:r>
      <w:r w:rsidRPr="00381984">
        <w:rPr>
          <w:rStyle w:val="EndnoteReference"/>
        </w:rPr>
        <w:endnoteReference w:id="574"/>
      </w:r>
      <w:r w:rsidRPr="00381984">
        <w:t xml:space="preserve">  According to </w:t>
      </w:r>
      <w:r>
        <w:t>Scofield</w:t>
      </w:r>
      <w:r w:rsidRPr="00381984">
        <w:t>, the New Testament shows that Christ’s suffering and glorification are ‘separated by the present church-age’ and anticipate ‘the Lord’s return … when the Davidic Covenant of blessing through power will be fulfilled’.</w:t>
      </w:r>
      <w:r w:rsidRPr="00381984">
        <w:rPr>
          <w:rStyle w:val="EndnoteReference"/>
        </w:rPr>
        <w:endnoteReference w:id="575"/>
      </w:r>
      <w:r w:rsidRPr="00381984">
        <w:t xml:space="preserve">  The Old Testament prophets ‘describe an advent in two forms which could not be contemporaneous’.</w:t>
      </w:r>
      <w:r w:rsidRPr="00381984">
        <w:rPr>
          <w:rStyle w:val="EndnoteReference"/>
        </w:rPr>
        <w:endnoteReference w:id="576"/>
      </w:r>
      <w:r w:rsidRPr="00381984">
        <w:t xml:space="preserve">  </w:t>
      </w:r>
    </w:p>
    <w:p w:rsidR="00442D33" w:rsidRPr="00381984" w:rsidRDefault="00442D33" w:rsidP="00442D33">
      <w:pPr>
        <w:spacing w:after="120" w:line="360" w:lineRule="auto"/>
        <w:ind w:right="-28" w:firstLine="500"/>
        <w:jc w:val="both"/>
        <w:rPr>
          <w:color w:val="000000"/>
        </w:rPr>
      </w:pPr>
      <w:r>
        <w:t>Scofield</w:t>
      </w:r>
      <w:r w:rsidRPr="00381984">
        <w:t xml:space="preserve"> claim</w:t>
      </w:r>
      <w:r>
        <w:t>s</w:t>
      </w:r>
      <w:r w:rsidRPr="00381984">
        <w:t xml:space="preserve"> Gen. 3:15 as ‘the beginning of a chain of references, which include promises and prophecies concerning Christ which are fulfilled at his first advent’.  ‘For the line of unfulfilled promises, see Christ, second advent.’</w:t>
      </w:r>
      <w:r>
        <w:rPr>
          <w:rStyle w:val="EndnoteReference"/>
        </w:rPr>
        <w:endnoteReference w:id="577"/>
      </w:r>
      <w:r w:rsidRPr="00381984">
        <w:t xml:space="preserve"> </w:t>
      </w:r>
      <w:r w:rsidRPr="00381984">
        <w:rPr>
          <w:b/>
        </w:rPr>
        <w:t xml:space="preserve"> </w:t>
      </w:r>
      <w:r w:rsidRPr="00381984">
        <w:t>Having described</w:t>
      </w:r>
      <w:r w:rsidRPr="00381984">
        <w:rPr>
          <w:b/>
        </w:rPr>
        <w:t xml:space="preserve"> </w:t>
      </w:r>
      <w:r w:rsidRPr="00381984">
        <w:t>the distress of the tribulation</w:t>
      </w:r>
      <w:r w:rsidRPr="00381984">
        <w:rPr>
          <w:rStyle w:val="EndnoteReference"/>
        </w:rPr>
        <w:endnoteReference w:id="578"/>
      </w:r>
      <w:r w:rsidRPr="00381984">
        <w:t xml:space="preserve"> and the glorious future </w:t>
      </w:r>
      <w:r w:rsidRPr="00381984">
        <w:rPr>
          <w:color w:val="000000"/>
        </w:rPr>
        <w:t>kingdom-age,</w:t>
      </w:r>
      <w:r w:rsidRPr="00381984">
        <w:rPr>
          <w:rStyle w:val="EndnoteReference"/>
          <w:color w:val="000000"/>
        </w:rPr>
        <w:endnoteReference w:id="579"/>
      </w:r>
      <w:r w:rsidRPr="00381984">
        <w:rPr>
          <w:color w:val="000000"/>
        </w:rPr>
        <w:t xml:space="preserve"> Scofield states that these and other parallel prophecies indicate that these events did not occur during Christ’s first advent.</w:t>
      </w:r>
      <w:r w:rsidRPr="00381984">
        <w:rPr>
          <w:rStyle w:val="EndnoteReference"/>
          <w:color w:val="000000"/>
        </w:rPr>
        <w:endnoteReference w:id="580"/>
      </w:r>
      <w:r w:rsidRPr="00381984">
        <w:rPr>
          <w:color w:val="000000"/>
        </w:rPr>
        <w:t xml:space="preserve"> </w:t>
      </w:r>
      <w:r>
        <w:rPr>
          <w:color w:val="000000"/>
        </w:rPr>
        <w:t xml:space="preserve"> He reiterates this point in his note </w:t>
      </w:r>
      <w:r w:rsidRPr="00381984">
        <w:t>on Zeph. 3:15.</w:t>
      </w:r>
      <w:r w:rsidRPr="00381984">
        <w:rPr>
          <w:rStyle w:val="EndnoteReference"/>
        </w:rPr>
        <w:endnoteReference w:id="581"/>
      </w:r>
    </w:p>
    <w:p w:rsidR="00442D33" w:rsidRDefault="00442D33" w:rsidP="00442D33">
      <w:pPr>
        <w:spacing w:after="120" w:line="360" w:lineRule="auto"/>
        <w:ind w:right="-28" w:firstLine="500"/>
        <w:jc w:val="both"/>
      </w:pPr>
      <w:r w:rsidRPr="00381984">
        <w:rPr>
          <w:color w:val="000000"/>
        </w:rPr>
        <w:t xml:space="preserve">Another example of </w:t>
      </w:r>
      <w:r>
        <w:rPr>
          <w:color w:val="000000"/>
        </w:rPr>
        <w:t>‘</w:t>
      </w:r>
      <w:r w:rsidRPr="00381984">
        <w:rPr>
          <w:color w:val="000000"/>
        </w:rPr>
        <w:t>partial fulfilment</w:t>
      </w:r>
      <w:r>
        <w:rPr>
          <w:color w:val="000000"/>
        </w:rPr>
        <w:t>’</w:t>
      </w:r>
      <w:r w:rsidRPr="00381984">
        <w:rPr>
          <w:color w:val="000000"/>
        </w:rPr>
        <w:t xml:space="preserve"> is </w:t>
      </w:r>
      <w:r>
        <w:rPr>
          <w:color w:val="000000"/>
        </w:rPr>
        <w:t>Scofield’s</w:t>
      </w:r>
      <w:r w:rsidRPr="00381984">
        <w:rPr>
          <w:color w:val="000000"/>
        </w:rPr>
        <w:t xml:space="preserve"> complex construction concerning ‘the seventy weeks’.</w:t>
      </w:r>
      <w:r>
        <w:rPr>
          <w:rStyle w:val="EndnoteReference"/>
          <w:color w:val="000000"/>
        </w:rPr>
        <w:endnoteReference w:id="582"/>
      </w:r>
      <w:r w:rsidRPr="00381984">
        <w:rPr>
          <w:color w:val="000000"/>
        </w:rPr>
        <w:t xml:space="preserve">  </w:t>
      </w:r>
      <w:r w:rsidRPr="00805369">
        <w:t xml:space="preserve">The prophecy is only ‘fulfilled’ up to the sixty-ninth week, the seventieth having already been awaited for two thousand years.  </w:t>
      </w:r>
      <w:r w:rsidRPr="00381984">
        <w:rPr>
          <w:color w:val="000000"/>
        </w:rPr>
        <w:t xml:space="preserve">However, </w:t>
      </w:r>
      <w:r>
        <w:rPr>
          <w:color w:val="000000"/>
        </w:rPr>
        <w:t>Scofield</w:t>
      </w:r>
      <w:r w:rsidRPr="00381984">
        <w:rPr>
          <w:color w:val="000000"/>
        </w:rPr>
        <w:t xml:space="preserve"> warn</w:t>
      </w:r>
      <w:r>
        <w:rPr>
          <w:color w:val="000000"/>
        </w:rPr>
        <w:t>s</w:t>
      </w:r>
      <w:r w:rsidRPr="00381984">
        <w:rPr>
          <w:color w:val="000000"/>
        </w:rPr>
        <w:t xml:space="preserve"> that </w:t>
      </w:r>
      <w:r w:rsidRPr="00381984">
        <w:t>‘prophetic time is invariably so near as to give full warning, so indeterminate as to give no satisfaction to mere curiosity’.</w:t>
      </w:r>
      <w:r w:rsidRPr="00381984">
        <w:rPr>
          <w:rStyle w:val="EndnoteReference"/>
        </w:rPr>
        <w:endnoteReference w:id="583"/>
      </w:r>
      <w:r w:rsidRPr="00381984">
        <w:t xml:space="preserve">  </w:t>
      </w:r>
      <w:r>
        <w:t>Scofield’s interpretation supports the concept of ‘the postponed kingdom’, to which he refers in his subhead to Lk. 19:11 as the meaning of ‘the parable of the ten pounds’.</w:t>
      </w:r>
      <w:r>
        <w:rPr>
          <w:rStyle w:val="EndnoteReference"/>
        </w:rPr>
        <w:endnoteReference w:id="584"/>
      </w:r>
      <w:r>
        <w:t xml:space="preserve">  Bass explains that postponement grows from the concept of the kingdom as ‘a literal restoration of the national kingdom’, ‘the covenanted kingdom with the Davidic throne’, which had not yet appeared and thus ‘must have been postponed’.</w:t>
      </w:r>
      <w:r>
        <w:rPr>
          <w:rStyle w:val="EndnoteReference"/>
        </w:rPr>
        <w:endnoteReference w:id="585"/>
      </w:r>
      <w:r>
        <w:t xml:space="preserve"> </w:t>
      </w:r>
    </w:p>
    <w:p w:rsidR="00442D33" w:rsidRDefault="00442D33" w:rsidP="00442D33">
      <w:pPr>
        <w:spacing w:after="120" w:line="360" w:lineRule="auto"/>
        <w:ind w:right="-28" w:firstLine="500"/>
        <w:jc w:val="both"/>
        <w:rPr>
          <w:color w:val="000000"/>
        </w:rPr>
      </w:pPr>
      <w:r>
        <w:rPr>
          <w:color w:val="000000"/>
        </w:rPr>
        <w:lastRenderedPageBreak/>
        <w:t>Scofield</w:t>
      </w:r>
      <w:r w:rsidRPr="00381984">
        <w:rPr>
          <w:color w:val="000000"/>
        </w:rPr>
        <w:t xml:space="preserve"> also assert</w:t>
      </w:r>
      <w:r>
        <w:rPr>
          <w:color w:val="000000"/>
        </w:rPr>
        <w:t>s</w:t>
      </w:r>
      <w:r w:rsidRPr="00381984">
        <w:rPr>
          <w:color w:val="000000"/>
        </w:rPr>
        <w:t xml:space="preserve"> that ‘the prophecies upon the Gentile powers’ in </w:t>
      </w:r>
      <w:r w:rsidRPr="006213A4">
        <w:rPr>
          <w:color w:val="000000"/>
        </w:rPr>
        <w:t>Ezek. 25:8</w:t>
      </w:r>
      <w:r>
        <w:rPr>
          <w:color w:val="000000"/>
        </w:rPr>
        <w:t xml:space="preserve"> </w:t>
      </w:r>
      <w:r w:rsidRPr="00381984">
        <w:rPr>
          <w:color w:val="000000"/>
        </w:rPr>
        <w:t>‘have doubtless had partial fulfilments’ of which their ‘history and present condition … bear witness but the mention of the day of Jehovah</w:t>
      </w:r>
      <w:r>
        <w:rPr>
          <w:rStyle w:val="EndnoteReference"/>
          <w:color w:val="000000"/>
        </w:rPr>
        <w:endnoteReference w:id="586"/>
      </w:r>
      <w:r w:rsidRPr="00381984">
        <w:rPr>
          <w:color w:val="000000"/>
        </w:rPr>
        <w:t xml:space="preserve"> makes it evident that a fulfilment in the final sense is still future’.</w:t>
      </w:r>
      <w:r w:rsidRPr="00381984">
        <w:rPr>
          <w:rStyle w:val="EndnoteReference"/>
          <w:color w:val="000000"/>
        </w:rPr>
        <w:endnoteReference w:id="587"/>
      </w:r>
      <w:r w:rsidRPr="00381984">
        <w:rPr>
          <w:color w:val="000000"/>
        </w:rPr>
        <w:t xml:space="preserve">  </w:t>
      </w:r>
      <w:r>
        <w:rPr>
          <w:color w:val="000000"/>
        </w:rPr>
        <w:t>He</w:t>
      </w:r>
      <w:r w:rsidRPr="00381984">
        <w:rPr>
          <w:color w:val="000000"/>
        </w:rPr>
        <w:t xml:space="preserve"> also aver</w:t>
      </w:r>
      <w:r>
        <w:rPr>
          <w:color w:val="000000"/>
        </w:rPr>
        <w:t>s</w:t>
      </w:r>
      <w:r w:rsidRPr="00381984">
        <w:rPr>
          <w:color w:val="000000"/>
        </w:rPr>
        <w:t xml:space="preserve"> that Malachi’s prophecy concerning the coming of Elias is only partially fulfilled in the ministry of John the Baptist.  The prophecy is yet to be fulfilled in Elijah.</w:t>
      </w:r>
      <w:r w:rsidRPr="00381984">
        <w:rPr>
          <w:rStyle w:val="EndnoteReference"/>
          <w:color w:val="000000"/>
        </w:rPr>
        <w:endnoteReference w:id="588"/>
      </w:r>
    </w:p>
    <w:p w:rsidR="00442D33" w:rsidRPr="001615D8" w:rsidRDefault="00442D33" w:rsidP="00442D33">
      <w:pPr>
        <w:tabs>
          <w:tab w:val="left" w:pos="3261"/>
        </w:tabs>
        <w:spacing w:after="120" w:line="360" w:lineRule="auto"/>
        <w:ind w:right="-28"/>
        <w:jc w:val="both"/>
        <w:rPr>
          <w:b/>
          <w:color w:val="000000"/>
          <w:szCs w:val="24"/>
        </w:rPr>
      </w:pPr>
      <w:proofErr w:type="gramStart"/>
      <w:r w:rsidRPr="001615D8">
        <w:rPr>
          <w:b/>
          <w:color w:val="000000"/>
          <w:szCs w:val="24"/>
        </w:rPr>
        <w:t>2.2.4  As</w:t>
      </w:r>
      <w:proofErr w:type="gramEnd"/>
      <w:r w:rsidRPr="001615D8">
        <w:rPr>
          <w:b/>
          <w:color w:val="000000"/>
          <w:szCs w:val="24"/>
        </w:rPr>
        <w:t xml:space="preserve"> Yet Unfulfilled Prophecy</w:t>
      </w:r>
    </w:p>
    <w:p w:rsidR="00442D33" w:rsidRPr="0033117D" w:rsidRDefault="00442D33" w:rsidP="00442D33">
      <w:pPr>
        <w:spacing w:after="120" w:line="360" w:lineRule="auto"/>
        <w:jc w:val="both"/>
      </w:pPr>
      <w:proofErr w:type="gramStart"/>
      <w:r>
        <w:t>The prophecies which Scofield classifies as ‘</w:t>
      </w:r>
      <w:r w:rsidRPr="00D41330">
        <w:t>unfulfilled</w:t>
      </w:r>
      <w:r>
        <w:t>’ are mostly given eschatological interpretations.</w:t>
      </w:r>
      <w:proofErr w:type="gramEnd"/>
      <w:r>
        <w:t xml:space="preserve"> Prominent themes are </w:t>
      </w:r>
      <w:r w:rsidRPr="00E76DA5">
        <w:t>Israel, the Times of the Gentiles, Gentile world power, the Beast and Armageddon</w:t>
      </w:r>
      <w:r>
        <w:t>,</w:t>
      </w:r>
      <w:r w:rsidRPr="00E76DA5">
        <w:t xml:space="preserve"> Christ’s return, the kingdom, and the new heavens and earth.</w:t>
      </w:r>
      <w:r>
        <w:t xml:space="preserve">  </w:t>
      </w:r>
      <w:r w:rsidRPr="00D41330">
        <w:t>These passages are often used as springboards into the New Testament, especially the book of Revelation.</w:t>
      </w:r>
      <w:r>
        <w:rPr>
          <w:rStyle w:val="EndnoteReference"/>
        </w:rPr>
        <w:endnoteReference w:id="589"/>
      </w:r>
      <w:r w:rsidRPr="00D41330">
        <w:t xml:space="preserve">  </w:t>
      </w:r>
      <w:r w:rsidRPr="0033117D">
        <w:t xml:space="preserve">Tables of notes regarding prophecy </w:t>
      </w:r>
      <w:r w:rsidR="0033117D">
        <w:t xml:space="preserve">as yet unfulfilled </w:t>
      </w:r>
      <w:r w:rsidRPr="0033117D">
        <w:t xml:space="preserve">appear at the end of the thesis. </w:t>
      </w:r>
    </w:p>
    <w:p w:rsidR="00442D33" w:rsidRPr="00986413" w:rsidRDefault="00442D33" w:rsidP="00442D33">
      <w:pPr>
        <w:spacing w:after="120" w:line="360" w:lineRule="auto"/>
        <w:ind w:right="-28"/>
        <w:jc w:val="both"/>
        <w:rPr>
          <w:b/>
          <w:sz w:val="24"/>
          <w:szCs w:val="24"/>
        </w:rPr>
      </w:pPr>
      <w:proofErr w:type="gramStart"/>
      <w:r>
        <w:rPr>
          <w:b/>
          <w:sz w:val="24"/>
          <w:szCs w:val="24"/>
        </w:rPr>
        <w:t>2.3</w:t>
      </w:r>
      <w:r w:rsidRPr="00986413">
        <w:rPr>
          <w:b/>
          <w:sz w:val="24"/>
          <w:szCs w:val="24"/>
        </w:rPr>
        <w:t xml:space="preserve">  </w:t>
      </w:r>
      <w:r w:rsidR="002A3EBE">
        <w:rPr>
          <w:b/>
          <w:sz w:val="24"/>
          <w:szCs w:val="24"/>
        </w:rPr>
        <w:t>Typology</w:t>
      </w:r>
      <w:proofErr w:type="gramEnd"/>
    </w:p>
    <w:p w:rsidR="00442D33" w:rsidRDefault="00442D33" w:rsidP="00442D33">
      <w:pPr>
        <w:spacing w:after="120" w:line="360" w:lineRule="auto"/>
        <w:jc w:val="both"/>
      </w:pPr>
      <w:proofErr w:type="gramStart"/>
      <w:r w:rsidRPr="00986413">
        <w:t>Sweetnam states that ‘it is almost impossible to be a dispensationalist and not believe in the literal interpretation of Scripture; nevertheless, ‘dispensationalists from Darby forward have been particularly fond of a species of nonliteral interpretation generally known as typology’.</w:t>
      </w:r>
      <w:proofErr w:type="gramEnd"/>
      <w:r>
        <w:rPr>
          <w:rStyle w:val="EndnoteReference"/>
        </w:rPr>
        <w:endnoteReference w:id="590"/>
      </w:r>
      <w:r w:rsidRPr="00986413">
        <w:t xml:space="preserve">  </w:t>
      </w:r>
      <w:r w:rsidRPr="004F4C64">
        <w:t xml:space="preserve">As stated in 1.1.4, </w:t>
      </w:r>
      <w:r w:rsidRPr="00986413">
        <w:t xml:space="preserve">Ryrie </w:t>
      </w:r>
      <w:r>
        <w:t>avers</w:t>
      </w:r>
      <w:r w:rsidRPr="00986413">
        <w:t xml:space="preserve"> that ‘</w:t>
      </w:r>
      <w:r>
        <w:t>…</w:t>
      </w:r>
      <w:r w:rsidRPr="00986413">
        <w:t xml:space="preserve"> types … ar</w:t>
      </w:r>
      <w:r>
        <w:t>e in no way contrary to literal</w:t>
      </w:r>
      <w:r w:rsidRPr="00986413">
        <w:t xml:space="preserve"> interpretation’.</w:t>
      </w:r>
      <w:r>
        <w:rPr>
          <w:rStyle w:val="EndnoteReference"/>
        </w:rPr>
        <w:endnoteReference w:id="591"/>
      </w:r>
      <w:r>
        <w:t xml:space="preserve">  However, Tan</w:t>
      </w:r>
      <w:r>
        <w:rPr>
          <w:rStyle w:val="EndnoteReference"/>
        </w:rPr>
        <w:endnoteReference w:id="592"/>
      </w:r>
      <w:r>
        <w:t xml:space="preserve"> and Baker</w:t>
      </w:r>
      <w:r>
        <w:rPr>
          <w:rStyle w:val="EndnoteReference"/>
        </w:rPr>
        <w:endnoteReference w:id="593"/>
      </w:r>
      <w:r>
        <w:t xml:space="preserve"> both include typology within literal interpretation.</w:t>
      </w:r>
    </w:p>
    <w:p w:rsidR="00442D33" w:rsidRDefault="00442D33" w:rsidP="00442D33">
      <w:pPr>
        <w:spacing w:after="120" w:line="360" w:lineRule="auto"/>
        <w:ind w:right="-28" w:firstLine="567"/>
        <w:jc w:val="both"/>
      </w:pPr>
      <w:r>
        <w:t>Scofield defines a type as</w:t>
      </w:r>
      <w:r w:rsidRPr="00986413">
        <w:t xml:space="preserve"> ‘a divinely purposed illustration of some truth’.</w:t>
      </w:r>
      <w:r w:rsidRPr="00986413">
        <w:rPr>
          <w:rStyle w:val="EndnoteReference"/>
        </w:rPr>
        <w:endnoteReference w:id="594"/>
      </w:r>
      <w:r w:rsidRPr="00986413">
        <w:t xml:space="preserve">  </w:t>
      </w:r>
      <w:proofErr w:type="gramStart"/>
      <w:r w:rsidRPr="00986413">
        <w:t>It may be a person,</w:t>
      </w:r>
      <w:r w:rsidRPr="00986413">
        <w:rPr>
          <w:rStyle w:val="EndnoteReference"/>
        </w:rPr>
        <w:endnoteReference w:id="595"/>
      </w:r>
      <w:r w:rsidRPr="00986413">
        <w:t xml:space="preserve"> event,</w:t>
      </w:r>
      <w:r w:rsidRPr="00986413">
        <w:rPr>
          <w:rStyle w:val="EndnoteReference"/>
        </w:rPr>
        <w:endnoteReference w:id="596"/>
      </w:r>
      <w:r w:rsidRPr="00986413">
        <w:t xml:space="preserve"> thing’</w:t>
      </w:r>
      <w:r w:rsidRPr="00986413">
        <w:rPr>
          <w:rStyle w:val="EndnoteReference"/>
        </w:rPr>
        <w:endnoteReference w:id="597"/>
      </w:r>
      <w:r w:rsidRPr="00986413">
        <w:t xml:space="preserve"> institution</w:t>
      </w:r>
      <w:r w:rsidRPr="00986413">
        <w:rPr>
          <w:rStyle w:val="EndnoteReference"/>
        </w:rPr>
        <w:endnoteReference w:id="598"/>
      </w:r>
      <w:r w:rsidRPr="00986413">
        <w:t xml:space="preserve"> or ceremonial.</w:t>
      </w:r>
      <w:proofErr w:type="gramEnd"/>
      <w:r w:rsidRPr="00986413">
        <w:rPr>
          <w:rStyle w:val="EndnoteReference"/>
        </w:rPr>
        <w:endnoteReference w:id="599"/>
      </w:r>
      <w:r w:rsidRPr="00986413">
        <w:t xml:space="preserve">  Anti-types are usually found in the New Testament.</w:t>
      </w:r>
      <w:r>
        <w:t>’</w:t>
      </w:r>
      <w:r w:rsidRPr="00986413">
        <w:rPr>
          <w:rStyle w:val="EndnoteReference"/>
        </w:rPr>
        <w:endnoteReference w:id="600"/>
      </w:r>
      <w:r w:rsidRPr="00986413">
        <w:t xml:space="preserve">  </w:t>
      </w:r>
      <w:r>
        <w:t xml:space="preserve">In Scofield’s view, </w:t>
      </w:r>
      <w:r w:rsidRPr="00986413">
        <w:t>‘</w:t>
      </w:r>
      <w:r>
        <w:t>t</w:t>
      </w:r>
      <w:r w:rsidRPr="00986413">
        <w:t>he Gospels are woven of Old Testament quotation, allusion and type.’</w:t>
      </w:r>
      <w:r w:rsidRPr="00986413">
        <w:rPr>
          <w:rStyle w:val="EndnoteReference"/>
        </w:rPr>
        <w:endnoteReference w:id="601"/>
      </w:r>
      <w:r w:rsidRPr="00986413">
        <w:t xml:space="preserve">  </w:t>
      </w:r>
      <w:r>
        <w:t>Notably, Scofield uses similar words to those of Bishop Marsh</w:t>
      </w:r>
      <w:r>
        <w:rPr>
          <w:rStyle w:val="EndnoteReference"/>
        </w:rPr>
        <w:endnoteReference w:id="602"/>
      </w:r>
      <w:r>
        <w:t xml:space="preserve">  in his </w:t>
      </w:r>
      <w:r w:rsidRPr="002C40AD">
        <w:rPr>
          <w:i/>
        </w:rPr>
        <w:t>Bible Correspondence Course</w:t>
      </w:r>
      <w:r>
        <w:rPr>
          <w:i/>
        </w:rPr>
        <w:t>, Old Testament,</w:t>
      </w:r>
      <w:r>
        <w:t xml:space="preserve"> and in </w:t>
      </w:r>
      <w:r w:rsidRPr="002C40AD">
        <w:rPr>
          <w:i/>
        </w:rPr>
        <w:t>SRB</w:t>
      </w:r>
      <w:r>
        <w:t xml:space="preserve">.  </w:t>
      </w:r>
      <w:r w:rsidRPr="006C0D4F">
        <w:rPr>
          <w:szCs w:val="24"/>
        </w:rPr>
        <w:t>‘</w:t>
      </w:r>
      <w:r w:rsidRPr="006C0D4F">
        <w:rPr>
          <w:lang w:val="en-US"/>
        </w:rPr>
        <w:t>It cannot be positively affirmed that anything is a type which is not somewhere in Scripture treated as such.’</w:t>
      </w:r>
      <w:r>
        <w:rPr>
          <w:rStyle w:val="EndnoteReference"/>
          <w:lang w:val="en-US"/>
        </w:rPr>
        <w:endnoteReference w:id="603"/>
      </w:r>
      <w:r>
        <w:rPr>
          <w:lang w:val="en-US"/>
        </w:rPr>
        <w:t xml:space="preserve"> </w:t>
      </w:r>
      <w:r w:rsidRPr="006C0D4F">
        <w:rPr>
          <w:lang w:val="en-US"/>
        </w:rPr>
        <w:t xml:space="preserve"> </w:t>
      </w:r>
      <w:r w:rsidRPr="006C0D4F">
        <w:rPr>
          <w:szCs w:val="24"/>
        </w:rPr>
        <w:t>‘Nothing is to be asserted as a type without explicit New Testament authority; all types not so authenticated must be recognized as having the authority of analogy, or spiritual congruity, merely.’</w:t>
      </w:r>
      <w:r>
        <w:rPr>
          <w:rStyle w:val="EndnoteReference"/>
          <w:szCs w:val="24"/>
        </w:rPr>
        <w:endnoteReference w:id="604"/>
      </w:r>
      <w:r>
        <w:rPr>
          <w:szCs w:val="24"/>
        </w:rPr>
        <w:t xml:space="preserve"> </w:t>
      </w:r>
      <w:r w:rsidRPr="006C0D4F">
        <w:rPr>
          <w:i/>
          <w:szCs w:val="24"/>
        </w:rPr>
        <w:t xml:space="preserve"> </w:t>
      </w:r>
      <w:r>
        <w:t>H</w:t>
      </w:r>
      <w:r w:rsidRPr="00986413">
        <w:t xml:space="preserve">owever, </w:t>
      </w:r>
      <w:r>
        <w:t>Scofield</w:t>
      </w:r>
      <w:r w:rsidRPr="00986413">
        <w:t xml:space="preserve"> fail</w:t>
      </w:r>
      <w:r>
        <w:t>s</w:t>
      </w:r>
      <w:r w:rsidRPr="00986413">
        <w:t xml:space="preserve"> to conform to </w:t>
      </w:r>
      <w:r>
        <w:t>his</w:t>
      </w:r>
      <w:r w:rsidRPr="00986413">
        <w:t xml:space="preserve"> own rubric in many </w:t>
      </w:r>
      <w:r>
        <w:t xml:space="preserve">of his </w:t>
      </w:r>
      <w:r w:rsidRPr="00986413">
        <w:t xml:space="preserve">typological assertions.  Conformity to </w:t>
      </w:r>
      <w:r>
        <w:t>his</w:t>
      </w:r>
      <w:r w:rsidRPr="00986413">
        <w:t xml:space="preserve"> own rules may depend upon </w:t>
      </w:r>
      <w:r>
        <w:t>his</w:t>
      </w:r>
      <w:r w:rsidRPr="00986413">
        <w:t xml:space="preserve"> definition of ‘explicit New Testament authority’ but many of the links made fall into the category of connections rather than biblically verified types.  It </w:t>
      </w:r>
      <w:r>
        <w:t>sometimes</w:t>
      </w:r>
      <w:r w:rsidRPr="00986413">
        <w:t xml:space="preserve"> appears that a New Testament situation is taken and Old Testament parallels found for it.</w:t>
      </w:r>
      <w:r>
        <w:t xml:space="preserve">  Bock calls this ‘reading the New Testament back into the Old Testament’.</w:t>
      </w:r>
      <w:r>
        <w:rPr>
          <w:rStyle w:val="EndnoteReference"/>
        </w:rPr>
        <w:endnoteReference w:id="605"/>
      </w:r>
      <w:r>
        <w:t xml:space="preserve">  </w:t>
      </w:r>
    </w:p>
    <w:p w:rsidR="00442D33" w:rsidRPr="00986413" w:rsidRDefault="00442D33" w:rsidP="00442D33">
      <w:pPr>
        <w:spacing w:after="120" w:line="360" w:lineRule="auto"/>
        <w:ind w:firstLine="567"/>
        <w:jc w:val="both"/>
      </w:pPr>
      <w:r>
        <w:t xml:space="preserve">Albertus Pieters is critical of Scofield’s use of types.  He states that </w:t>
      </w:r>
      <w:r w:rsidRPr="00C044A1">
        <w:t xml:space="preserve">Scofield’s definition of a </w:t>
      </w:r>
      <w:r>
        <w:t>‘</w:t>
      </w:r>
      <w:r w:rsidRPr="00C044A1">
        <w:t>type</w:t>
      </w:r>
      <w:r>
        <w:t>’</w:t>
      </w:r>
      <w:r w:rsidRPr="00C044A1">
        <w:t xml:space="preserve"> and his ‘</w:t>
      </w:r>
      <w:r w:rsidRPr="00C044A1">
        <w:rPr>
          <w:rFonts w:cs="Courier New"/>
          <w:lang w:eastAsia="en-GB"/>
        </w:rPr>
        <w:t xml:space="preserve">principle of interpretation to be employed in speaking of types’ are excellent but, </w:t>
      </w:r>
      <w:r w:rsidR="002F44B3">
        <w:rPr>
          <w:rFonts w:cs="Courier New"/>
          <w:lang w:eastAsia="en-GB"/>
        </w:rPr>
        <w:t>‘</w:t>
      </w:r>
      <w:r w:rsidRPr="00C044A1">
        <w:rPr>
          <w:rFonts w:cs="Courier New"/>
          <w:lang w:eastAsia="en-GB"/>
        </w:rPr>
        <w:t xml:space="preserve">if the author had acted according to his own principles, he would, so far as typology is concerned, have written a very different book. </w:t>
      </w:r>
      <w:r>
        <w:rPr>
          <w:rFonts w:cs="Courier New"/>
          <w:lang w:eastAsia="en-GB"/>
        </w:rPr>
        <w:t xml:space="preserve"> </w:t>
      </w:r>
      <w:r w:rsidRPr="00C044A1">
        <w:rPr>
          <w:rFonts w:cs="Courier New"/>
          <w:lang w:eastAsia="en-GB"/>
        </w:rPr>
        <w:t xml:space="preserve">This warning, tucked away on p. 100, is honored more in the breach than in the </w:t>
      </w:r>
      <w:r w:rsidRPr="00C044A1">
        <w:rPr>
          <w:rFonts w:cs="Courier New"/>
          <w:lang w:eastAsia="en-GB"/>
        </w:rPr>
        <w:lastRenderedPageBreak/>
        <w:t xml:space="preserve">observance. </w:t>
      </w:r>
      <w:r>
        <w:rPr>
          <w:rFonts w:cs="Courier New"/>
          <w:lang w:eastAsia="en-GB"/>
        </w:rPr>
        <w:t xml:space="preserve"> </w:t>
      </w:r>
      <w:r w:rsidRPr="00C044A1">
        <w:rPr>
          <w:rFonts w:cs="Courier New"/>
          <w:lang w:eastAsia="en-GB"/>
        </w:rPr>
        <w:t>Constantly he is dogmatically asserting this or that to be a type for which the New Testament offers no sort of explicit authority.’</w:t>
      </w:r>
      <w:r>
        <w:rPr>
          <w:rStyle w:val="EndnoteReference"/>
          <w:rFonts w:cs="Courier New"/>
          <w:lang w:eastAsia="en-GB"/>
        </w:rPr>
        <w:endnoteReference w:id="606"/>
      </w:r>
      <w:r>
        <w:rPr>
          <w:rFonts w:cs="Courier New"/>
          <w:lang w:eastAsia="en-GB"/>
        </w:rPr>
        <w:t xml:space="preserve"> </w:t>
      </w:r>
    </w:p>
    <w:p w:rsidR="00442D33" w:rsidRDefault="00442D33" w:rsidP="00442D33">
      <w:pPr>
        <w:spacing w:after="120" w:line="360" w:lineRule="auto"/>
        <w:ind w:firstLine="500"/>
        <w:jc w:val="both"/>
      </w:pPr>
      <w:r>
        <w:t xml:space="preserve">Todd </w:t>
      </w:r>
      <w:r w:rsidRPr="00986413">
        <w:t xml:space="preserve">Mangum states that traditional typology has seen Old Testament figures, including events, as ‘spiritual, even mystical foreshadowings of New Testament persons and realities, especially concerning Christ’.  He holds that Scofield’s typology reflects this traditional typology but ‘is distinctive … in that it not only advocates a deeper meaning, it suggests an actual dual meaning’, </w:t>
      </w:r>
      <w:r w:rsidRPr="00F258F3">
        <w:t>earthly for Israel, heavenly for the Church</w:t>
      </w:r>
      <w:r w:rsidRPr="00986413">
        <w:t>.  Mangum avers that Scofield’s typology is rooted in his basic division between Israel and the Church.</w:t>
      </w:r>
      <w:r>
        <w:rPr>
          <w:rStyle w:val="EndnoteReference"/>
        </w:rPr>
        <w:endnoteReference w:id="607"/>
      </w:r>
      <w:r w:rsidRPr="00986413">
        <w:t xml:space="preserve">  This is true, though the method employed by </w:t>
      </w:r>
      <w:r>
        <w:t>Scofield</w:t>
      </w:r>
      <w:r w:rsidRPr="00986413">
        <w:t xml:space="preserve"> also </w:t>
      </w:r>
      <w:r>
        <w:t xml:space="preserve">has the effect of </w:t>
      </w:r>
      <w:r w:rsidRPr="00986413">
        <w:t>unify</w:t>
      </w:r>
      <w:r>
        <w:t>ing</w:t>
      </w:r>
      <w:r w:rsidRPr="00986413">
        <w:t xml:space="preserve"> the Testaments.</w:t>
      </w:r>
    </w:p>
    <w:p w:rsidR="00442D33" w:rsidRDefault="00442D33" w:rsidP="00442D33">
      <w:pPr>
        <w:spacing w:after="120" w:line="360" w:lineRule="auto"/>
        <w:ind w:firstLine="500"/>
        <w:jc w:val="both"/>
      </w:pPr>
      <w:r>
        <w:t xml:space="preserve">The two tables below indicate occurrences of typological and comparative, but non-typological language in </w:t>
      </w:r>
      <w:r w:rsidRPr="00A05C71">
        <w:rPr>
          <w:i/>
        </w:rPr>
        <w:t>SRB</w:t>
      </w:r>
      <w:r>
        <w:t xml:space="preserve">.  </w:t>
      </w:r>
    </w:p>
    <w:p w:rsidR="00D07894" w:rsidRPr="00AB3FAE" w:rsidRDefault="00D07894" w:rsidP="00D07894">
      <w:pPr>
        <w:spacing w:after="120" w:line="360" w:lineRule="auto"/>
        <w:ind w:firstLine="500"/>
        <w:jc w:val="center"/>
        <w:rPr>
          <w:b/>
        </w:rPr>
      </w:pPr>
      <w:r>
        <w:rPr>
          <w:b/>
          <w:noProof/>
          <w:lang w:eastAsia="en-GB"/>
        </w:rPr>
        <w:drawing>
          <wp:inline distT="0" distB="0" distL="0" distR="0">
            <wp:extent cx="3314700" cy="1918893"/>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ol lang redone from old thesis 28.6.18_Page_1 crop.jpg"/>
                    <pic:cNvPicPr/>
                  </pic:nvPicPr>
                  <pic:blipFill>
                    <a:blip r:embed="rId80">
                      <a:extLst>
                        <a:ext uri="{28A0092B-C50C-407E-A947-70E740481C1C}">
                          <a14:useLocalDpi xmlns:a14="http://schemas.microsoft.com/office/drawing/2010/main" val="0"/>
                        </a:ext>
                      </a:extLst>
                    </a:blip>
                    <a:stretch>
                      <a:fillRect/>
                    </a:stretch>
                  </pic:blipFill>
                  <pic:spPr>
                    <a:xfrm>
                      <a:off x="0" y="0"/>
                      <a:ext cx="3319881" cy="1921892"/>
                    </a:xfrm>
                    <a:prstGeom prst="rect">
                      <a:avLst/>
                    </a:prstGeom>
                  </pic:spPr>
                </pic:pic>
              </a:graphicData>
            </a:graphic>
          </wp:inline>
        </w:drawing>
      </w:r>
    </w:p>
    <w:p w:rsidR="00442D33" w:rsidRPr="00442651" w:rsidRDefault="00442D33" w:rsidP="00442D33">
      <w:pPr>
        <w:spacing w:after="120" w:line="360" w:lineRule="auto"/>
        <w:ind w:firstLine="500"/>
        <w:jc w:val="center"/>
        <w:rPr>
          <w:sz w:val="2"/>
        </w:rPr>
      </w:pPr>
    </w:p>
    <w:p w:rsidR="00442D33" w:rsidRPr="00792513" w:rsidRDefault="00442D33" w:rsidP="00442D33">
      <w:pPr>
        <w:spacing w:after="120" w:line="360" w:lineRule="auto"/>
        <w:ind w:firstLine="500"/>
        <w:jc w:val="center"/>
        <w:rPr>
          <w:sz w:val="2"/>
        </w:rPr>
      </w:pPr>
    </w:p>
    <w:p w:rsidR="00442D33" w:rsidRPr="00986413" w:rsidRDefault="00D07894" w:rsidP="00442D33">
      <w:pPr>
        <w:spacing w:after="120" w:line="360" w:lineRule="auto"/>
        <w:ind w:firstLine="500"/>
        <w:jc w:val="center"/>
      </w:pPr>
      <w:r>
        <w:rPr>
          <w:noProof/>
          <w:lang w:eastAsia="en-GB"/>
        </w:rPr>
        <w:drawing>
          <wp:inline distT="0" distB="0" distL="0" distR="0">
            <wp:extent cx="3368040" cy="1044790"/>
            <wp:effectExtent l="0" t="0" r="381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ol lang redone from old thesis 28.6.18_Page_2 crop.jpg"/>
                    <pic:cNvPicPr/>
                  </pic:nvPicPr>
                  <pic:blipFill>
                    <a:blip r:embed="rId81">
                      <a:extLst>
                        <a:ext uri="{28A0092B-C50C-407E-A947-70E740481C1C}">
                          <a14:useLocalDpi xmlns:a14="http://schemas.microsoft.com/office/drawing/2010/main" val="0"/>
                        </a:ext>
                      </a:extLst>
                    </a:blip>
                    <a:stretch>
                      <a:fillRect/>
                    </a:stretch>
                  </pic:blipFill>
                  <pic:spPr>
                    <a:xfrm>
                      <a:off x="0" y="0"/>
                      <a:ext cx="3380557" cy="1048673"/>
                    </a:xfrm>
                    <a:prstGeom prst="rect">
                      <a:avLst/>
                    </a:prstGeom>
                  </pic:spPr>
                </pic:pic>
              </a:graphicData>
            </a:graphic>
          </wp:inline>
        </w:drawing>
      </w:r>
    </w:p>
    <w:p w:rsidR="00442D33" w:rsidRDefault="00442D33" w:rsidP="00442D33">
      <w:pPr>
        <w:spacing w:after="120" w:line="360" w:lineRule="auto"/>
        <w:jc w:val="both"/>
      </w:pPr>
      <w:r w:rsidRPr="00986413">
        <w:t xml:space="preserve">The large number of entries from the Pentateuch, especially Genesis, Exodus and Leviticus, verifies </w:t>
      </w:r>
      <w:r>
        <w:t>Scofield’s</w:t>
      </w:r>
      <w:r w:rsidRPr="00986413">
        <w:t xml:space="preserve"> claim that ‘types occur most frequently in the Pentateuch’.</w:t>
      </w:r>
      <w:r w:rsidRPr="00986413">
        <w:rPr>
          <w:rStyle w:val="EndnoteReference"/>
        </w:rPr>
        <w:endnoteReference w:id="608"/>
      </w:r>
      <w:r w:rsidRPr="00986413">
        <w:t xml:space="preserve">  </w:t>
      </w:r>
      <w:r>
        <w:t>T</w:t>
      </w:r>
      <w:r w:rsidRPr="00986413">
        <w:t>he numbers of typological entries generally decline in the biblical books after the Pentateuch, whereas the numbers of non-typological comparisons increase</w:t>
      </w:r>
      <w:r>
        <w:t>.</w:t>
      </w:r>
      <w:r w:rsidRPr="00986413">
        <w:t xml:space="preserve">  In some cases the distinction between typical and non-typical comparisons is not clear and in some cases it is difficult to determine whether or not typological significance is intended, especially when the vocabulary in a single</w:t>
      </w:r>
      <w:r>
        <w:t xml:space="preserve"> note employs mixed terminology.</w:t>
      </w:r>
      <w:r w:rsidRPr="00986413">
        <w:t xml:space="preserve"> </w:t>
      </w:r>
    </w:p>
    <w:p w:rsidR="00442D33" w:rsidRPr="001615D8" w:rsidRDefault="00442D33" w:rsidP="00442D33">
      <w:pPr>
        <w:spacing w:after="120" w:line="360" w:lineRule="auto"/>
        <w:ind w:right="-29"/>
        <w:jc w:val="both"/>
        <w:rPr>
          <w:b/>
        </w:rPr>
      </w:pPr>
      <w:proofErr w:type="gramStart"/>
      <w:r w:rsidRPr="001615D8">
        <w:rPr>
          <w:b/>
        </w:rPr>
        <w:t>2.3.1  Typological</w:t>
      </w:r>
      <w:proofErr w:type="gramEnd"/>
      <w:r w:rsidRPr="001615D8">
        <w:rPr>
          <w:b/>
        </w:rPr>
        <w:t xml:space="preserve"> Assertions and </w:t>
      </w:r>
      <w:r w:rsidR="002A3EBE">
        <w:rPr>
          <w:b/>
        </w:rPr>
        <w:t>Non-Typological</w:t>
      </w:r>
      <w:r w:rsidRPr="001615D8">
        <w:rPr>
          <w:b/>
        </w:rPr>
        <w:t xml:space="preserve"> Representations</w:t>
      </w:r>
    </w:p>
    <w:p w:rsidR="00442D33" w:rsidRPr="00882433" w:rsidRDefault="00442D33" w:rsidP="00442D33">
      <w:pPr>
        <w:spacing w:after="120" w:line="360" w:lineRule="auto"/>
        <w:ind w:right="-29"/>
        <w:jc w:val="both"/>
        <w:rPr>
          <w:rFonts w:ascii="Times New Roman" w:hAnsi="Times New Roman"/>
          <w:i/>
        </w:rPr>
      </w:pPr>
      <w:r>
        <w:t>In some cases Scofield supports his claims of typological significance with valid New Testament references, following his own stated rules and those of Marsh.</w:t>
      </w:r>
      <w:r>
        <w:rPr>
          <w:rStyle w:val="EndnoteReference"/>
        </w:rPr>
        <w:endnoteReference w:id="609"/>
      </w:r>
      <w:r>
        <w:t xml:space="preserve">  In other cases Scofield asserts typological significance in what might be considered ‘evident and manifest analogy’ as suggested by Tan,</w:t>
      </w:r>
      <w:r>
        <w:rPr>
          <w:rStyle w:val="EndnoteReference"/>
        </w:rPr>
        <w:endnoteReference w:id="610"/>
      </w:r>
      <w:r>
        <w:t xml:space="preserve"> but some of his claims </w:t>
      </w:r>
      <w:r>
        <w:lastRenderedPageBreak/>
        <w:t>come near to what Campbell describes as ‘fanciful’.</w:t>
      </w:r>
      <w:r>
        <w:rPr>
          <w:rStyle w:val="EndnoteReference"/>
        </w:rPr>
        <w:endnoteReference w:id="611"/>
      </w:r>
      <w:r>
        <w:t xml:space="preserve">  The </w:t>
      </w:r>
      <w:r w:rsidRPr="00882433">
        <w:t xml:space="preserve">tables below indicate typological assertions and other representations.  </w:t>
      </w:r>
    </w:p>
    <w:p w:rsidR="00442D33" w:rsidRDefault="00442D33" w:rsidP="00442D33">
      <w:pPr>
        <w:spacing w:after="120" w:line="360" w:lineRule="auto"/>
        <w:jc w:val="both"/>
        <w:rPr>
          <w:b/>
          <w:i/>
        </w:rPr>
      </w:pPr>
      <w:r w:rsidRPr="00A16BD4">
        <w:rPr>
          <w:b/>
          <w:i/>
        </w:rPr>
        <w:t>a)  Christ and the Cross</w:t>
      </w:r>
      <w:r>
        <w:rPr>
          <w:b/>
          <w:i/>
        </w:rPr>
        <w:t xml:space="preserve"> </w:t>
      </w:r>
    </w:p>
    <w:p w:rsidR="00442D33" w:rsidRDefault="00442D33" w:rsidP="00442D33">
      <w:pPr>
        <w:spacing w:after="120" w:line="360" w:lineRule="auto"/>
        <w:jc w:val="both"/>
        <w:rPr>
          <w:b/>
        </w:rPr>
      </w:pPr>
      <w:r>
        <w:rPr>
          <w:b/>
          <w:i/>
        </w:rPr>
        <w:t>i)  Typological Assertions Concerning Christ and the Cross</w:t>
      </w:r>
    </w:p>
    <w:p w:rsidR="00442D33" w:rsidRDefault="00442D33" w:rsidP="00442D33">
      <w:pPr>
        <w:spacing w:after="120" w:line="360" w:lineRule="auto"/>
        <w:jc w:val="both"/>
      </w:pPr>
      <w:r w:rsidRPr="00646394">
        <w:t>The greatest number of types and other representations refer</w:t>
      </w:r>
      <w:r>
        <w:t>s</w:t>
      </w:r>
      <w:r w:rsidRPr="00646394">
        <w:t xml:space="preserve"> to Christ as anti-type.  </w:t>
      </w:r>
    </w:p>
    <w:p w:rsidR="00442D33" w:rsidRDefault="00442D33" w:rsidP="00442D33">
      <w:pPr>
        <w:spacing w:after="120" w:line="360" w:lineRule="auto"/>
        <w:ind w:right="-29"/>
        <w:jc w:val="both"/>
        <w:rPr>
          <w:b/>
          <w:i/>
        </w:rPr>
      </w:pPr>
      <w:r w:rsidRPr="009E4D0E">
        <w:rPr>
          <w:b/>
          <w:i/>
        </w:rPr>
        <w:t xml:space="preserve">Genesis  </w:t>
      </w:r>
    </w:p>
    <w:p w:rsidR="00442D33" w:rsidRDefault="00442D33" w:rsidP="00442D33">
      <w:pPr>
        <w:spacing w:after="120" w:line="360" w:lineRule="auto"/>
        <w:ind w:right="-29"/>
        <w:jc w:val="both"/>
        <w:rPr>
          <w:b/>
          <w:i/>
        </w:rPr>
      </w:pPr>
      <w:r>
        <w:rPr>
          <w:b/>
          <w:i/>
          <w:noProof/>
          <w:lang w:eastAsia="en-GB"/>
        </w:rPr>
        <w:drawing>
          <wp:inline distT="0" distB="0" distL="0" distR="0" wp14:anchorId="4B8001A3" wp14:editId="08CBABC6">
            <wp:extent cx="5400040" cy="610743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ypology pages 1 &amp; 2 revised 13.3.18_Page_1 crop.jpg"/>
                    <pic:cNvPicPr/>
                  </pic:nvPicPr>
                  <pic:blipFill>
                    <a:blip r:embed="rId82">
                      <a:extLst>
                        <a:ext uri="{28A0092B-C50C-407E-A947-70E740481C1C}">
                          <a14:useLocalDpi xmlns:a14="http://schemas.microsoft.com/office/drawing/2010/main" val="0"/>
                        </a:ext>
                      </a:extLst>
                    </a:blip>
                    <a:stretch>
                      <a:fillRect/>
                    </a:stretch>
                  </pic:blipFill>
                  <pic:spPr>
                    <a:xfrm>
                      <a:off x="0" y="0"/>
                      <a:ext cx="5400040" cy="6107430"/>
                    </a:xfrm>
                    <a:prstGeom prst="rect">
                      <a:avLst/>
                    </a:prstGeom>
                  </pic:spPr>
                </pic:pic>
              </a:graphicData>
            </a:graphic>
          </wp:inline>
        </w:drawing>
      </w:r>
      <w:r w:rsidR="001349B7" w:rsidRPr="001349B7">
        <w:rPr>
          <w:b/>
          <w:i/>
        </w:rPr>
        <w:t xml:space="preserve"> Continued overleaf</w:t>
      </w:r>
    </w:p>
    <w:p w:rsidR="00442D33" w:rsidRDefault="00442D33" w:rsidP="00442D33">
      <w:pPr>
        <w:spacing w:after="120" w:line="360" w:lineRule="auto"/>
        <w:ind w:right="-29"/>
        <w:jc w:val="center"/>
      </w:pPr>
      <w:r>
        <w:rPr>
          <w:noProof/>
          <w:lang w:eastAsia="en-GB"/>
        </w:rPr>
        <w:lastRenderedPageBreak/>
        <w:drawing>
          <wp:inline distT="0" distB="0" distL="0" distR="0" wp14:anchorId="08899171" wp14:editId="209D4C9B">
            <wp:extent cx="5400040" cy="492061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ypology pages 1 &amp; 2 revised 13.3.18_Page_2 crop.jpg"/>
                    <pic:cNvPicPr/>
                  </pic:nvPicPr>
                  <pic:blipFill>
                    <a:blip r:embed="rId83">
                      <a:extLst>
                        <a:ext uri="{28A0092B-C50C-407E-A947-70E740481C1C}">
                          <a14:useLocalDpi xmlns:a14="http://schemas.microsoft.com/office/drawing/2010/main" val="0"/>
                        </a:ext>
                      </a:extLst>
                    </a:blip>
                    <a:stretch>
                      <a:fillRect/>
                    </a:stretch>
                  </pic:blipFill>
                  <pic:spPr>
                    <a:xfrm>
                      <a:off x="0" y="0"/>
                      <a:ext cx="5400040" cy="4920615"/>
                    </a:xfrm>
                    <a:prstGeom prst="rect">
                      <a:avLst/>
                    </a:prstGeom>
                  </pic:spPr>
                </pic:pic>
              </a:graphicData>
            </a:graphic>
          </wp:inline>
        </w:drawing>
      </w:r>
    </w:p>
    <w:p w:rsidR="00442D33" w:rsidRDefault="00442D33" w:rsidP="00442D33">
      <w:pPr>
        <w:spacing w:after="120" w:line="360" w:lineRule="auto"/>
        <w:ind w:right="-29"/>
        <w:jc w:val="both"/>
      </w:pPr>
      <w:r w:rsidRPr="009E4D0E">
        <w:t xml:space="preserve">Scofield </w:t>
      </w:r>
      <w:r>
        <w:t>lists several types in his commentary on Genesis which are justifiable under his own rubric of New Testament authorisation and would probably have been allowed by Marsh.  Scofield</w:t>
      </w:r>
      <w:r w:rsidRPr="004F7964">
        <w:t xml:space="preserve"> identifies Christ indirectly with the serpent in Genesis 3 by stating that </w:t>
      </w:r>
      <w:r w:rsidRPr="004F7964">
        <w:rPr>
          <w:szCs w:val="18"/>
        </w:rPr>
        <w:t xml:space="preserve">the cursing of the serpent implies ‘the deepest </w:t>
      </w:r>
      <w:r w:rsidRPr="00F04290">
        <w:rPr>
          <w:spacing w:val="-2"/>
          <w:szCs w:val="18"/>
        </w:rPr>
        <w:t>mystery of the atonement’ since ‘Christ, “made sin for us” is typified by the brazen serpent’ of Num. 21:5-</w:t>
      </w:r>
      <w:r w:rsidRPr="004F7964">
        <w:rPr>
          <w:szCs w:val="18"/>
        </w:rPr>
        <w:t>9.  Brass ‘speaks of judgment’.</w:t>
      </w:r>
      <w:r w:rsidRPr="004F7964">
        <w:rPr>
          <w:rStyle w:val="EndnoteReference"/>
        </w:rPr>
        <w:endnoteReference w:id="612"/>
      </w:r>
      <w:r w:rsidRPr="004F7964">
        <w:t xml:space="preserve">  Scofield’s reference to Jn 3:14-1</w:t>
      </w:r>
      <w:r>
        <w:t>6</w:t>
      </w:r>
      <w:r>
        <w:rPr>
          <w:rStyle w:val="EndnoteReference"/>
        </w:rPr>
        <w:endnoteReference w:id="613"/>
      </w:r>
      <w:r>
        <w:t xml:space="preserve"> </w:t>
      </w:r>
      <w:r w:rsidRPr="004F7964">
        <w:t>justifies this interpretation.  Scofield identifies Adam, ‘the natural head of the race’ as a contrasting type of Christ as head of the new creation.</w:t>
      </w:r>
      <w:r w:rsidRPr="004F7964">
        <w:rPr>
          <w:rStyle w:val="EndnoteReference"/>
        </w:rPr>
        <w:endnoteReference w:id="614"/>
      </w:r>
      <w:r w:rsidRPr="004F7964">
        <w:t xml:space="preserve">  His references to Rom. 5:14</w:t>
      </w:r>
      <w:r>
        <w:rPr>
          <w:rStyle w:val="EndnoteReference"/>
        </w:rPr>
        <w:endnoteReference w:id="615"/>
      </w:r>
      <w:r>
        <w:t xml:space="preserve"> </w:t>
      </w:r>
      <w:r w:rsidRPr="004F7964">
        <w:t xml:space="preserve"> and 1 Corinthians 15</w:t>
      </w:r>
      <w:r>
        <w:rPr>
          <w:rStyle w:val="EndnoteReference"/>
        </w:rPr>
        <w:endnoteReference w:id="616"/>
      </w:r>
      <w:r>
        <w:t xml:space="preserve"> </w:t>
      </w:r>
      <w:proofErr w:type="gramStart"/>
      <w:r w:rsidRPr="004F7964">
        <w:t>seem</w:t>
      </w:r>
      <w:proofErr w:type="gramEnd"/>
      <w:r w:rsidRPr="004F7964">
        <w:t xml:space="preserve"> to justify this.  The quotation of Heb. 6:20</w:t>
      </w:r>
      <w:r>
        <w:rPr>
          <w:rStyle w:val="EndnoteReference"/>
        </w:rPr>
        <w:endnoteReference w:id="617"/>
      </w:r>
      <w:r>
        <w:t xml:space="preserve"> </w:t>
      </w:r>
      <w:proofErr w:type="gramStart"/>
      <w:r w:rsidRPr="004F7964">
        <w:t>appears</w:t>
      </w:r>
      <w:proofErr w:type="gramEnd"/>
      <w:r w:rsidRPr="004F7964">
        <w:t xml:space="preserve"> to justify typological assertions with regard to Melchizedek, contrasted with Aaron.</w:t>
      </w:r>
      <w:r>
        <w:rPr>
          <w:rStyle w:val="EndnoteReference"/>
        </w:rPr>
        <w:endnoteReference w:id="618"/>
      </w:r>
      <w:r w:rsidRPr="009017B9">
        <w:t xml:space="preserve">  However, the assertion that the Aaronic priesthood is typical of Christ’s priestly work</w:t>
      </w:r>
      <w:r w:rsidRPr="009017B9">
        <w:rPr>
          <w:rStyle w:val="EndnoteReference"/>
        </w:rPr>
        <w:endnoteReference w:id="619"/>
      </w:r>
      <w:r w:rsidRPr="009017B9">
        <w:t xml:space="preserve"> appears to be contradicted by Heb. 7:11.</w:t>
      </w:r>
      <w:r>
        <w:rPr>
          <w:rStyle w:val="EndnoteReference"/>
        </w:rPr>
        <w:endnoteReference w:id="620"/>
      </w:r>
      <w:r>
        <w:t xml:space="preserve">  </w:t>
      </w:r>
      <w:r w:rsidRPr="004F7964">
        <w:t>Scofield typifies Melchizedek, the High Priest, Aaron and temple practices as representing aspects of Christ’s identity and priestly work.  Some links made between Exodus,</w:t>
      </w:r>
      <w:r w:rsidRPr="004F7964">
        <w:rPr>
          <w:rStyle w:val="EndnoteReference"/>
        </w:rPr>
        <w:endnoteReference w:id="621"/>
      </w:r>
      <w:r w:rsidRPr="004F7964">
        <w:t xml:space="preserve"> Leviticus</w:t>
      </w:r>
      <w:r>
        <w:rPr>
          <w:rStyle w:val="EndnoteReference"/>
        </w:rPr>
        <w:endnoteReference w:id="622"/>
      </w:r>
      <w:r>
        <w:t xml:space="preserve"> </w:t>
      </w:r>
      <w:r w:rsidRPr="004F7964">
        <w:t xml:space="preserve">and </w:t>
      </w:r>
      <w:proofErr w:type="gramStart"/>
      <w:r w:rsidRPr="004F7964">
        <w:t>Hebrews</w:t>
      </w:r>
      <w:proofErr w:type="gramEnd"/>
      <w:r w:rsidRPr="004F7964">
        <w:t xml:space="preserve"> appear legitimate because Hebrews reflects Old Testament sacrificial concepts,</w:t>
      </w:r>
      <w:r w:rsidRPr="00986413">
        <w:t xml:space="preserve"> but that between the washing and anointing of the High Priest and Christ’s baptism seems tenuous.</w:t>
      </w:r>
      <w:r>
        <w:rPr>
          <w:rStyle w:val="EndnoteReference"/>
        </w:rPr>
        <w:endnoteReference w:id="623"/>
      </w:r>
      <w:r>
        <w:t xml:space="preserve"> </w:t>
      </w:r>
    </w:p>
    <w:p w:rsidR="00442D33" w:rsidRPr="00592F95" w:rsidRDefault="00442D33" w:rsidP="00442D33">
      <w:pPr>
        <w:spacing w:after="120" w:line="360" w:lineRule="auto"/>
        <w:ind w:right="-29" w:firstLine="567"/>
        <w:jc w:val="both"/>
      </w:pPr>
      <w:r>
        <w:t xml:space="preserve">However, many more of the types Scofield asserts for Genesis are not supported by New Testament authority.  </w:t>
      </w:r>
      <w:r w:rsidRPr="009017B9">
        <w:t xml:space="preserve">In his note on Gen. 1:16, Scofield typifies the ‘greater light’ as Christ at his second advent, the </w:t>
      </w:r>
      <w:r w:rsidRPr="009017B9">
        <w:lastRenderedPageBreak/>
        <w:t>sun of righteousness</w:t>
      </w:r>
      <w:r>
        <w:t>;</w:t>
      </w:r>
      <w:r>
        <w:rPr>
          <w:rStyle w:val="EndnoteReference"/>
        </w:rPr>
        <w:endnoteReference w:id="624"/>
      </w:r>
      <w:r w:rsidRPr="009017B9">
        <w:t xml:space="preserve"> </w:t>
      </w:r>
      <w:r>
        <w:t xml:space="preserve">he also compares </w:t>
      </w:r>
      <w:r w:rsidRPr="009017B9">
        <w:t>the Church to the moon and individual believers to the stars</w:t>
      </w:r>
      <w:r>
        <w:t xml:space="preserve"> but does not give them typical significance</w:t>
      </w:r>
      <w:r w:rsidRPr="009017B9">
        <w:t>.</w:t>
      </w:r>
      <w:r>
        <w:rPr>
          <w:rStyle w:val="EndnoteReference"/>
        </w:rPr>
        <w:endnoteReference w:id="625"/>
      </w:r>
      <w:r w:rsidRPr="009017B9">
        <w:t xml:space="preserve">  Scofield offers no evidence for this view, which appears </w:t>
      </w:r>
      <w:r>
        <w:t>extravagant</w:t>
      </w:r>
      <w:r w:rsidRPr="009017B9">
        <w:t>.  Scofield states that the skins God provided to cover Adam and E</w:t>
      </w:r>
      <w:r>
        <w:t xml:space="preserve">ve’s nakedness are ‘a type of </w:t>
      </w:r>
      <w:r w:rsidRPr="009017B9">
        <w:t>Christ, made unto us righteousness’</w:t>
      </w:r>
      <w:r>
        <w:rPr>
          <w:rStyle w:val="EndnoteReference"/>
        </w:rPr>
        <w:endnoteReference w:id="626"/>
      </w:r>
      <w:r w:rsidRPr="009017B9">
        <w:t xml:space="preserve"> but his reference to Rev. 19:8</w:t>
      </w:r>
      <w:r>
        <w:rPr>
          <w:rStyle w:val="EndnoteReference"/>
        </w:rPr>
        <w:endnoteReference w:id="627"/>
      </w:r>
      <w:r>
        <w:t xml:space="preserve"> </w:t>
      </w:r>
      <w:r w:rsidRPr="009017B9">
        <w:t>does not make the link required to justify a typological claim under the terms he has laid down.</w:t>
      </w:r>
      <w:r>
        <w:rPr>
          <w:rStyle w:val="EndnoteReference"/>
        </w:rPr>
        <w:endnoteReference w:id="628"/>
      </w:r>
      <w:r w:rsidRPr="009017B9">
        <w:t xml:space="preserve">  </w:t>
      </w:r>
      <w:r w:rsidRPr="00592F95">
        <w:t xml:space="preserve">It seems an exaggeration to claim the fine linen of Rev. 19:8 as an antitype </w:t>
      </w:r>
      <w:r w:rsidRPr="00592F95">
        <w:rPr>
          <w:sz w:val="24"/>
        </w:rPr>
        <w:t>of</w:t>
      </w:r>
      <w:r w:rsidRPr="00592F95">
        <w:t xml:space="preserve"> the skins of Genesis 3.</w:t>
      </w:r>
    </w:p>
    <w:p w:rsidR="00442D33" w:rsidRPr="009017B9" w:rsidRDefault="00442D33" w:rsidP="00442D33">
      <w:pPr>
        <w:spacing w:after="120" w:line="360" w:lineRule="auto"/>
        <w:ind w:firstLine="567"/>
        <w:jc w:val="both"/>
      </w:pPr>
      <w:r w:rsidRPr="009017B9">
        <w:t>Scofield’s statement that the firstlings of Abel’s flock typify Christ as Lamb of God</w:t>
      </w:r>
      <w:r w:rsidRPr="009017B9">
        <w:rPr>
          <w:rStyle w:val="EndnoteReference"/>
        </w:rPr>
        <w:endnoteReference w:id="629"/>
      </w:r>
      <w:r w:rsidRPr="009017B9">
        <w:t xml:space="preserve"> is not supported by </w:t>
      </w:r>
      <w:r>
        <w:t>his</w:t>
      </w:r>
      <w:r w:rsidRPr="009017B9">
        <w:t xml:space="preserve"> reference </w:t>
      </w:r>
      <w:r>
        <w:t>to Jn 1:29</w:t>
      </w:r>
      <w:r w:rsidRPr="009017B9">
        <w:t>;</w:t>
      </w:r>
      <w:r>
        <w:rPr>
          <w:rStyle w:val="EndnoteReference"/>
        </w:rPr>
        <w:endnoteReference w:id="630"/>
      </w:r>
      <w:r>
        <w:t xml:space="preserve"> </w:t>
      </w:r>
      <w:r w:rsidR="004E6B17">
        <w:t>t</w:t>
      </w:r>
      <w:r w:rsidRPr="00DD415D">
        <w:t xml:space="preserve">he connection </w:t>
      </w:r>
      <w:r w:rsidR="002B3508">
        <w:t>he</w:t>
      </w:r>
      <w:r w:rsidRPr="00DD415D">
        <w:t xml:space="preserve"> makes between the blood sacrifices of Abel’s flock and of Christ as Lamb of God is justifiable but not in terms of the typicality he claims.</w:t>
      </w:r>
      <w:r w:rsidRPr="009017B9">
        <w:rPr>
          <w:rStyle w:val="EndnoteReference"/>
        </w:rPr>
        <w:t xml:space="preserve"> </w:t>
      </w:r>
      <w:r w:rsidRPr="009017B9">
        <w:rPr>
          <w:rStyle w:val="EndnoteReference"/>
        </w:rPr>
        <w:endnoteReference w:id="631"/>
      </w:r>
    </w:p>
    <w:p w:rsidR="00442D33" w:rsidRPr="007B7B14" w:rsidRDefault="00442D33" w:rsidP="00442D33">
      <w:pPr>
        <w:spacing w:line="360" w:lineRule="auto"/>
        <w:ind w:firstLine="567"/>
        <w:jc w:val="both"/>
        <w:rPr>
          <w:spacing w:val="-2"/>
        </w:rPr>
      </w:pPr>
      <w:r w:rsidRPr="007B7B14">
        <w:rPr>
          <w:spacing w:val="-2"/>
        </w:rPr>
        <w:t>Scofield’s note on Gen. 6:14 describes the ark as ‘a type of Christ as the refuge of His people from judgment’, and states that ‘in strictness of application this applies to the preservation through the “great tribulation”’.</w:t>
      </w:r>
      <w:r w:rsidRPr="007B7B14">
        <w:rPr>
          <w:rStyle w:val="EndnoteReference"/>
          <w:spacing w:val="-2"/>
        </w:rPr>
        <w:endnoteReference w:id="632"/>
      </w:r>
      <w:r w:rsidRPr="007B7B14">
        <w:rPr>
          <w:spacing w:val="-2"/>
        </w:rPr>
        <w:t xml:space="preserve">  However, there is no directly verified connection between Gen. 6:14 and the texts to which Scofield refers – Mt. 24:21, 22 and Heb. 11:7.  Indeed, the latter refers to Noah, rather than to the ark.  </w:t>
      </w:r>
    </w:p>
    <w:p w:rsidR="00442D33" w:rsidRPr="009017B9" w:rsidRDefault="00442D33" w:rsidP="00442D33">
      <w:pPr>
        <w:spacing w:line="360" w:lineRule="auto"/>
        <w:ind w:firstLine="567"/>
        <w:jc w:val="both"/>
      </w:pPr>
      <w:r>
        <w:t>Scofield’s claim that Melchiz</w:t>
      </w:r>
      <w:r w:rsidRPr="009017B9">
        <w:t xml:space="preserve">edek is a type of Christ as </w:t>
      </w:r>
      <w:r>
        <w:t>K</w:t>
      </w:r>
      <w:r w:rsidRPr="009017B9">
        <w:t>ing-</w:t>
      </w:r>
      <w:r>
        <w:t>P</w:t>
      </w:r>
      <w:r w:rsidRPr="009017B9">
        <w:t>riest</w:t>
      </w:r>
      <w:r>
        <w:t xml:space="preserve"> can be justified by his reference to Heb. 7:23-24 but there is no justification for his assertion that the </w:t>
      </w:r>
      <w:r w:rsidRPr="009017B9">
        <w:t xml:space="preserve">Aaronic priesthood </w:t>
      </w:r>
      <w:r>
        <w:t>‘typifies [Christ’s] priestly work’.</w:t>
      </w:r>
      <w:r w:rsidRPr="009017B9">
        <w:rPr>
          <w:rStyle w:val="EndnoteReference"/>
        </w:rPr>
        <w:endnoteReference w:id="633"/>
      </w:r>
      <w:r w:rsidRPr="009017B9">
        <w:t xml:space="preserve">  </w:t>
      </w:r>
      <w:r>
        <w:t>Hebrews 7:11 specifically states that the priest to come was not according to the order of Aaron;</w:t>
      </w:r>
      <w:r>
        <w:rPr>
          <w:rStyle w:val="FootnoteReference"/>
        </w:rPr>
        <w:footnoteReference w:id="32"/>
      </w:r>
      <w:r>
        <w:t xml:space="preserve"> Hebrews 7:14 further states that </w:t>
      </w:r>
      <w:r>
        <w:rPr>
          <w:lang w:val="en-US"/>
        </w:rPr>
        <w:t>‘</w:t>
      </w:r>
      <w:r w:rsidRPr="00DD415D">
        <w:rPr>
          <w:rFonts w:cs="Arial"/>
          <w:lang w:bidi="he-IL"/>
        </w:rPr>
        <w:t>our Lord was descended from Judah, and in connection with that tribe Moses said nothing about priests</w:t>
      </w:r>
      <w:r>
        <w:rPr>
          <w:lang w:val="en-US"/>
        </w:rPr>
        <w:t>’.</w:t>
      </w:r>
      <w:r>
        <w:rPr>
          <w:rStyle w:val="EndnoteReference"/>
          <w:lang w:val="en-US"/>
        </w:rPr>
        <w:endnoteReference w:id="634"/>
      </w:r>
      <w:r>
        <w:t xml:space="preserve"> </w:t>
      </w:r>
    </w:p>
    <w:p w:rsidR="00442D33" w:rsidRDefault="00442D33" w:rsidP="00442D33">
      <w:pPr>
        <w:spacing w:after="120" w:line="360" w:lineRule="auto"/>
        <w:ind w:right="-29" w:firstLine="567"/>
        <w:jc w:val="both"/>
      </w:pPr>
      <w:r w:rsidRPr="009017B9">
        <w:t>The assertion that Isaac typifies ‘the Son “obedient unto death”’ is not justified by the two New Testament references given;</w:t>
      </w:r>
      <w:r>
        <w:rPr>
          <w:rStyle w:val="EndnoteReference"/>
        </w:rPr>
        <w:endnoteReference w:id="635"/>
      </w:r>
      <w:r>
        <w:t xml:space="preserve"> </w:t>
      </w:r>
      <w:r w:rsidRPr="009017B9">
        <w:t>it would be more accurate to say that Christ’s sacrifice might remind Christians of the Aqedah.  Scofield sees the whole of Genesis 24 as ‘highly typical’.</w:t>
      </w:r>
      <w:r w:rsidRPr="009017B9">
        <w:rPr>
          <w:rStyle w:val="EndnoteReference"/>
        </w:rPr>
        <w:endnoteReference w:id="636"/>
      </w:r>
      <w:r w:rsidRPr="009017B9">
        <w:t xml:space="preserve">  Isaac as Rebekah’s bridegroom is also said to typify Christ</w:t>
      </w:r>
      <w:r>
        <w:t xml:space="preserve"> as ‘the Bridegroom of the called-out bride’,</w:t>
      </w:r>
      <w:r>
        <w:rPr>
          <w:rStyle w:val="EndnoteReference"/>
        </w:rPr>
        <w:endnoteReference w:id="637"/>
      </w:r>
      <w:r>
        <w:t xml:space="preserve"> </w:t>
      </w:r>
      <w:r w:rsidRPr="009017B9">
        <w:t>on the grounds that Rebekah loves him through the servant’s testimony alone</w:t>
      </w:r>
      <w:r>
        <w:rPr>
          <w:rStyle w:val="EndnoteReference"/>
        </w:rPr>
        <w:endnoteReference w:id="638"/>
      </w:r>
      <w:r>
        <w:t xml:space="preserve"> </w:t>
      </w:r>
      <w:r w:rsidRPr="009017B9">
        <w:t>and that Isaac goes out to meet her.</w:t>
      </w:r>
      <w:r>
        <w:rPr>
          <w:rStyle w:val="EndnoteReference"/>
        </w:rPr>
        <w:endnoteReference w:id="639"/>
      </w:r>
      <w:r w:rsidRPr="009017B9">
        <w:t xml:space="preserve">  The biblical text </w:t>
      </w:r>
      <w:r>
        <w:t>contains</w:t>
      </w:r>
      <w:r w:rsidRPr="009017B9">
        <w:t xml:space="preserve"> nothing about these tenuous connections.  In fact the latter claim contradicts an assertion made earlier in the note that Abraham’s servant, (typifying the Holy Spirit), ‘[brings] the bride to meet with the Bridegroom’.</w:t>
      </w:r>
      <w:r>
        <w:rPr>
          <w:rStyle w:val="EndnoteReference"/>
        </w:rPr>
        <w:endnoteReference w:id="640"/>
      </w:r>
      <w:r>
        <w:t xml:space="preserve"> </w:t>
      </w:r>
    </w:p>
    <w:p w:rsidR="00442D33" w:rsidRDefault="00442D33" w:rsidP="00442D33">
      <w:pPr>
        <w:spacing w:after="120" w:line="360" w:lineRule="auto"/>
        <w:ind w:right="-29" w:firstLine="567"/>
        <w:jc w:val="both"/>
      </w:pPr>
      <w:r w:rsidRPr="00DD415D">
        <w:t xml:space="preserve">Scofield asserts </w:t>
      </w:r>
      <w:r>
        <w:t xml:space="preserve">Benjamin’s being a </w:t>
      </w:r>
      <w:r w:rsidRPr="00DD415D">
        <w:t>type three times in his note on Gen. 35:18</w:t>
      </w:r>
      <w:r>
        <w:t>,</w:t>
      </w:r>
      <w:r>
        <w:rPr>
          <w:rStyle w:val="EndnoteReference"/>
        </w:rPr>
        <w:endnoteReference w:id="641"/>
      </w:r>
      <w:r w:rsidRPr="00DD415D">
        <w:t xml:space="preserve"> the loose connection with Christ’s suffering being that ‘a sword pierced his mother’s heart’.</w:t>
      </w:r>
      <w:r>
        <w:rPr>
          <w:rStyle w:val="EndnoteReference"/>
        </w:rPr>
        <w:endnoteReference w:id="642"/>
      </w:r>
      <w:r w:rsidRPr="00DD415D">
        <w:t xml:space="preserve">  Regarding Joseph, Scofield states that he is ‘peculiarly the type of Christ in His first advent, rejection, death</w:t>
      </w:r>
      <w:r>
        <w:t>,</w:t>
      </w:r>
      <w:r w:rsidRPr="00DD415D">
        <w:t xml:space="preserve"> resurrection and present exaltation among the Gentiles, but unrecognized by Israel.</w:t>
      </w:r>
      <w:r w:rsidRPr="00DD415D">
        <w:rPr>
          <w:rStyle w:val="EndnoteReference"/>
        </w:rPr>
        <w:endnoteReference w:id="643"/>
      </w:r>
      <w:r w:rsidRPr="00DD415D">
        <w:t xml:space="preserve">  This declaration of typicality might seem to contradict Scofield’s earlier statement that ‘it is nowhere asserted that Joseph was a type for Christ, [but] the analogies are too numerous to be accidental’.</w:t>
      </w:r>
      <w:r>
        <w:rPr>
          <w:rStyle w:val="EndnoteReference"/>
        </w:rPr>
        <w:endnoteReference w:id="644"/>
      </w:r>
      <w:r>
        <w:t xml:space="preserve"> </w:t>
      </w:r>
    </w:p>
    <w:p w:rsidR="007B7B14" w:rsidRDefault="007B7B14" w:rsidP="00442D33">
      <w:pPr>
        <w:spacing w:after="120" w:line="360" w:lineRule="auto"/>
        <w:ind w:right="-29"/>
        <w:rPr>
          <w:b/>
          <w:i/>
        </w:rPr>
      </w:pPr>
      <w:r>
        <w:rPr>
          <w:b/>
          <w:i/>
        </w:rPr>
        <w:lastRenderedPageBreak/>
        <w:t>Exodus</w:t>
      </w:r>
    </w:p>
    <w:p w:rsidR="00442D33" w:rsidRDefault="00442D33" w:rsidP="00442D33">
      <w:pPr>
        <w:spacing w:after="120" w:line="360" w:lineRule="auto"/>
        <w:ind w:right="-29"/>
        <w:rPr>
          <w:b/>
          <w:i/>
        </w:rPr>
      </w:pPr>
      <w:r>
        <w:rPr>
          <w:b/>
          <w:i/>
          <w:noProof/>
          <w:lang w:eastAsia="en-GB"/>
        </w:rPr>
        <w:drawing>
          <wp:inline distT="0" distB="0" distL="0" distR="0" wp14:anchorId="4D90A4C2" wp14:editId="410D8722">
            <wp:extent cx="5400040" cy="72777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typology rev 13.3.18_Page_1 crop.jpg"/>
                    <pic:cNvPicPr/>
                  </pic:nvPicPr>
                  <pic:blipFill>
                    <a:blip r:embed="rId84">
                      <a:extLst>
                        <a:ext uri="{28A0092B-C50C-407E-A947-70E740481C1C}">
                          <a14:useLocalDpi xmlns:a14="http://schemas.microsoft.com/office/drawing/2010/main" val="0"/>
                        </a:ext>
                      </a:extLst>
                    </a:blip>
                    <a:stretch>
                      <a:fillRect/>
                    </a:stretch>
                  </pic:blipFill>
                  <pic:spPr>
                    <a:xfrm>
                      <a:off x="0" y="0"/>
                      <a:ext cx="5400040" cy="7277735"/>
                    </a:xfrm>
                    <a:prstGeom prst="rect">
                      <a:avLst/>
                    </a:prstGeom>
                  </pic:spPr>
                </pic:pic>
              </a:graphicData>
            </a:graphic>
          </wp:inline>
        </w:drawing>
      </w:r>
    </w:p>
    <w:p w:rsidR="00442D33" w:rsidRDefault="001349B7" w:rsidP="00442D33">
      <w:pPr>
        <w:spacing w:after="120" w:line="360" w:lineRule="auto"/>
        <w:ind w:right="-29"/>
        <w:rPr>
          <w:b/>
          <w:i/>
        </w:rPr>
      </w:pPr>
      <w:r w:rsidRPr="001349B7">
        <w:rPr>
          <w:b/>
          <w:i/>
        </w:rPr>
        <w:t>Continued overleaf</w:t>
      </w:r>
    </w:p>
    <w:p w:rsidR="00442D33" w:rsidRDefault="00442D33" w:rsidP="00442D33">
      <w:pPr>
        <w:spacing w:after="120" w:line="360" w:lineRule="auto"/>
        <w:ind w:right="-29"/>
        <w:rPr>
          <w:b/>
          <w:i/>
        </w:rPr>
      </w:pPr>
      <w:r>
        <w:rPr>
          <w:b/>
          <w:i/>
          <w:noProof/>
          <w:lang w:eastAsia="en-GB"/>
        </w:rPr>
        <w:lastRenderedPageBreak/>
        <w:drawing>
          <wp:inline distT="0" distB="0" distL="0" distR="0" wp14:anchorId="3F060954" wp14:editId="65A0BD85">
            <wp:extent cx="5400040" cy="51288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typology rev 13.3.18_Page_2 crop.jpg"/>
                    <pic:cNvPicPr/>
                  </pic:nvPicPr>
                  <pic:blipFill>
                    <a:blip r:embed="rId85">
                      <a:extLst>
                        <a:ext uri="{28A0092B-C50C-407E-A947-70E740481C1C}">
                          <a14:useLocalDpi xmlns:a14="http://schemas.microsoft.com/office/drawing/2010/main" val="0"/>
                        </a:ext>
                      </a:extLst>
                    </a:blip>
                    <a:stretch>
                      <a:fillRect/>
                    </a:stretch>
                  </pic:blipFill>
                  <pic:spPr>
                    <a:xfrm>
                      <a:off x="0" y="0"/>
                      <a:ext cx="5400040" cy="5128895"/>
                    </a:xfrm>
                    <a:prstGeom prst="rect">
                      <a:avLst/>
                    </a:prstGeom>
                  </pic:spPr>
                </pic:pic>
              </a:graphicData>
            </a:graphic>
          </wp:inline>
        </w:drawing>
      </w:r>
    </w:p>
    <w:p w:rsidR="00442D33" w:rsidRPr="00CF25F3" w:rsidRDefault="00442D33" w:rsidP="00442D33">
      <w:pPr>
        <w:spacing w:after="120" w:line="360" w:lineRule="auto"/>
        <w:ind w:right="-28" w:firstLine="567"/>
        <w:jc w:val="both"/>
      </w:pPr>
      <w:r w:rsidRPr="00CF25F3">
        <w:t>In commentary on Exod. 2:2, Scofield identifies Moses as a type of Christ as divinely chosen Deliverer,</w:t>
      </w:r>
      <w:r w:rsidRPr="00CF25F3">
        <w:rPr>
          <w:rStyle w:val="EndnoteReference"/>
        </w:rPr>
        <w:endnoteReference w:id="645"/>
      </w:r>
      <w:r w:rsidRPr="00CF25F3">
        <w:t xml:space="preserve"> Prophet,</w:t>
      </w:r>
      <w:r w:rsidRPr="00CF25F3">
        <w:rPr>
          <w:rStyle w:val="EndnoteReference"/>
        </w:rPr>
        <w:endnoteReference w:id="646"/>
      </w:r>
      <w:r w:rsidRPr="00CF25F3">
        <w:t xml:space="preserve"> Advocate,</w:t>
      </w:r>
      <w:r w:rsidRPr="00CF25F3">
        <w:rPr>
          <w:rStyle w:val="EndnoteReference"/>
        </w:rPr>
        <w:endnoteReference w:id="647"/>
      </w:r>
      <w:r w:rsidRPr="00CF25F3">
        <w:t xml:space="preserve"> Intercessor</w:t>
      </w:r>
      <w:r w:rsidRPr="00CF25F3">
        <w:rPr>
          <w:rStyle w:val="EndnoteReference"/>
        </w:rPr>
        <w:endnoteReference w:id="648"/>
      </w:r>
      <w:r w:rsidRPr="00CF25F3">
        <w:t xml:space="preserve"> and Leader or King.</w:t>
      </w:r>
      <w:r w:rsidRPr="00CF25F3">
        <w:rPr>
          <w:rStyle w:val="EndnoteReference"/>
        </w:rPr>
        <w:endnoteReference w:id="649"/>
      </w:r>
      <w:r w:rsidRPr="00CF25F3">
        <w:t xml:space="preserve">  Two of Scofield’s assertions of typical significance here are partly justified.  Acts 3:22-3 links Christ with Moses as ‘a Prophet … like unto me’</w:t>
      </w:r>
      <w:r>
        <w:rPr>
          <w:rStyle w:val="EndnoteReference"/>
        </w:rPr>
        <w:endnoteReference w:id="650"/>
      </w:r>
      <w:r>
        <w:t xml:space="preserve"> </w:t>
      </w:r>
      <w:r w:rsidRPr="00CF25F3">
        <w:t>and there is, therefore, a legitimate association between the two, but this does not necessarily imply that Moses is a type of Christ.  The reference, unquoted by Scofield, is Deut. 18:15.</w:t>
      </w:r>
      <w:r w:rsidRPr="00CF25F3">
        <w:rPr>
          <w:rStyle w:val="FootnoteReference"/>
        </w:rPr>
        <w:footnoteReference w:id="33"/>
      </w:r>
      <w:r w:rsidRPr="00CF25F3">
        <w:t xml:space="preserve">   The quotation of Heb. 3:5-6 in Scofield’s note on Exod. 2:2 </w:t>
      </w:r>
      <w:proofErr w:type="gramStart"/>
      <w:r w:rsidRPr="00CF25F3">
        <w:t>is</w:t>
      </w:r>
      <w:proofErr w:type="gramEnd"/>
      <w:r w:rsidRPr="00CF25F3">
        <w:t xml:space="preserve"> apt and justifies the illustration of an important difference between Christ and Moses, Christ being a Son and Moses only a servant.</w:t>
      </w:r>
      <w:r>
        <w:rPr>
          <w:rStyle w:val="EndnoteReference"/>
        </w:rPr>
        <w:endnoteReference w:id="651"/>
      </w:r>
      <w:r w:rsidRPr="00CF25F3">
        <w:t xml:space="preserve">  Again, however, it does not necessarily imply typicality.  </w:t>
      </w:r>
    </w:p>
    <w:p w:rsidR="00442D33" w:rsidRPr="00CF25F3" w:rsidRDefault="00442D33" w:rsidP="00442D33">
      <w:pPr>
        <w:spacing w:after="120" w:line="360" w:lineRule="auto"/>
        <w:ind w:right="-28" w:firstLine="567"/>
        <w:jc w:val="both"/>
        <w:rPr>
          <w:b/>
          <w:sz w:val="24"/>
        </w:rPr>
      </w:pPr>
      <w:r w:rsidRPr="00CF25F3">
        <w:t>Some of the other references Scofield makes in his note on Exod. 2:2 present possible parallels and associations but not types under his own rubric.  Regarding Moses’ typical status as divinely chosen deliverer, Scofield suggests several parallels between his life and that of Christ: both ‘turn to the Gentiles</w:t>
      </w:r>
      <w:r>
        <w:t xml:space="preserve">’ </w:t>
      </w:r>
      <w:r w:rsidRPr="00CF25F3">
        <w:lastRenderedPageBreak/>
        <w:t xml:space="preserve">when </w:t>
      </w:r>
      <w:r>
        <w:t>‘</w:t>
      </w:r>
      <w:r w:rsidRPr="00CF25F3">
        <w:t>rejected by Israel</w:t>
      </w:r>
      <w:r>
        <w:t>’</w:t>
      </w:r>
      <w:r w:rsidRPr="00CF25F3">
        <w:t>,</w:t>
      </w:r>
      <w:r w:rsidRPr="00CF25F3">
        <w:rPr>
          <w:rStyle w:val="EndnoteReference"/>
        </w:rPr>
        <w:endnoteReference w:id="652"/>
      </w:r>
      <w:r w:rsidRPr="00CF25F3">
        <w:t xml:space="preserve"> and gain a bride during the time of rejection;</w:t>
      </w:r>
      <w:r w:rsidRPr="00CF25F3">
        <w:rPr>
          <w:rStyle w:val="EndnoteReference"/>
        </w:rPr>
        <w:endnoteReference w:id="653"/>
      </w:r>
      <w:r w:rsidRPr="00CF25F3">
        <w:t xml:space="preserve"> afterwards Moses again appears as Israel’s deliverer and is accepted.</w:t>
      </w:r>
      <w:r w:rsidRPr="00CF25F3">
        <w:rPr>
          <w:rStyle w:val="EndnoteReference"/>
        </w:rPr>
        <w:endnoteReference w:id="654"/>
      </w:r>
      <w:r w:rsidRPr="00CF25F3">
        <w:t xml:space="preserve">  Jesus quotes Isa. 61:1 in Lk. 4:18-19, but no connection is made with Moses.  2 Corinthians 1:10 and 1 Thess. 1:10 speak of deliverance by Christ but again Moses is not mentioned.  Moses does appear to act as an advocate for the people in Exod. 32:31-5 and Jesus is actually described as an advocate in 1 Jn 2:1-2, but no biblical connection is made.  Exodus 17:1-6 describes Moses as interceding for the people and Heb. 7:25 </w:t>
      </w:r>
      <w:proofErr w:type="gramStart"/>
      <w:r w:rsidRPr="00CF25F3">
        <w:t>describes</w:t>
      </w:r>
      <w:proofErr w:type="gramEnd"/>
      <w:r w:rsidRPr="00CF25F3">
        <w:t xml:space="preserve"> Christ as being an intercessor, but there is no biblical connection.  </w:t>
      </w:r>
    </w:p>
    <w:p w:rsidR="00442D33" w:rsidRPr="00CF25F3" w:rsidRDefault="00442D33" w:rsidP="00442D33">
      <w:pPr>
        <w:spacing w:after="120" w:line="360" w:lineRule="auto"/>
        <w:ind w:right="-28" w:firstLine="567"/>
        <w:jc w:val="both"/>
        <w:rPr>
          <w:sz w:val="28"/>
        </w:rPr>
      </w:pPr>
      <w:r w:rsidRPr="00CF25F3">
        <w:t>Regarding the assertion that Moses typified Christ as a Leader, or even a King, the verse quoted by Scofield, Deut. 33:5,</w:t>
      </w:r>
      <w:r w:rsidRPr="00CF25F3">
        <w:rPr>
          <w:rStyle w:val="FootnoteReference"/>
        </w:rPr>
        <w:footnoteReference w:id="34"/>
      </w:r>
      <w:r w:rsidRPr="00CF25F3">
        <w:t xml:space="preserve"> is an ambiguous verse; the context is Moses’ dying address to Israel, when he is talking about what the LORD has done, and it is not clear whether ‘king’ is meant to apply to Moses or to the LORD.  Indeed some translations insert the words, ‘the LORD’,</w:t>
      </w:r>
      <w:r>
        <w:rPr>
          <w:rStyle w:val="EndnoteReference"/>
        </w:rPr>
        <w:endnoteReference w:id="655"/>
      </w:r>
      <w:r w:rsidRPr="00CF25F3">
        <w:t xml:space="preserve"> ‘le Seigneur’</w:t>
      </w:r>
      <w:r>
        <w:rPr>
          <w:rStyle w:val="EndnoteReference"/>
        </w:rPr>
        <w:endnoteReference w:id="656"/>
      </w:r>
      <w:r w:rsidRPr="00CF25F3">
        <w:t xml:space="preserve"> or ‘der Herr’</w:t>
      </w:r>
      <w:r>
        <w:t>.</w:t>
      </w:r>
      <w:r>
        <w:rPr>
          <w:rStyle w:val="EndnoteReference"/>
        </w:rPr>
        <w:endnoteReference w:id="657"/>
      </w:r>
      <w:r w:rsidRPr="00CF25F3">
        <w:t xml:space="preserve">  Isaiah 55:4 may be referring to Christ as a leader, but does not mention Moses; Heb. 2:10 concerns Christ as captain and also does not mention Moses.</w:t>
      </w:r>
    </w:p>
    <w:p w:rsidR="00442D33" w:rsidRPr="00CF25F3" w:rsidRDefault="00442D33" w:rsidP="00442D33">
      <w:pPr>
        <w:spacing w:after="120" w:line="360" w:lineRule="auto"/>
        <w:ind w:right="-28" w:firstLine="567"/>
        <w:jc w:val="both"/>
      </w:pPr>
      <w:r w:rsidRPr="00CF25F3">
        <w:t xml:space="preserve">Commentary on Exodus </w:t>
      </w:r>
      <w:r>
        <w:t xml:space="preserve">and Leviticus </w:t>
      </w:r>
      <w:r w:rsidRPr="00CF25F3">
        <w:t>also claims Passover as typical of Christ;</w:t>
      </w:r>
      <w:r w:rsidRPr="00CF25F3">
        <w:rPr>
          <w:rStyle w:val="EndnoteReference"/>
        </w:rPr>
        <w:endnoteReference w:id="658"/>
      </w:r>
      <w:r w:rsidRPr="00CF25F3">
        <w:t xml:space="preserve"> </w:t>
      </w:r>
      <w:r>
        <w:t>in the note on Exod. 12:11,</w:t>
      </w:r>
      <w:r w:rsidRPr="00CF25F3">
        <w:t xml:space="preserve"> Scofield’s reference to 1 Cor. 5:7</w:t>
      </w:r>
      <w:r w:rsidRPr="00CF25F3">
        <w:rPr>
          <w:rStyle w:val="FootnoteReference"/>
        </w:rPr>
        <w:footnoteReference w:id="35"/>
      </w:r>
      <w:r w:rsidRPr="00CF25F3">
        <w:t xml:space="preserve"> supports this.  Scofield also holds, with less justification, that manna is typical of Christ in humiliation.</w:t>
      </w:r>
      <w:r w:rsidRPr="00CF25F3">
        <w:rPr>
          <w:rStyle w:val="EndnoteReference"/>
        </w:rPr>
        <w:endnoteReference w:id="659"/>
      </w:r>
      <w:r w:rsidRPr="00CF25F3">
        <w:t xml:space="preserve">  This claim is repeated in his note on Josh. 5:11.</w:t>
      </w:r>
      <w:r w:rsidRPr="00CF25F3">
        <w:rPr>
          <w:rStyle w:val="EndnoteReference"/>
        </w:rPr>
        <w:endnoteReference w:id="660"/>
      </w:r>
      <w:r w:rsidRPr="00CF25F3">
        <w:t xml:space="preserve">  Scofield also asserts that manna is a type of Christ as the giver and sustainer of life,</w:t>
      </w:r>
      <w:r w:rsidRPr="00CF25F3">
        <w:rPr>
          <w:rStyle w:val="EndnoteReference"/>
        </w:rPr>
        <w:endnoteReference w:id="661"/>
      </w:r>
      <w:r w:rsidRPr="00CF25F3">
        <w:t xml:space="preserve"> and the water from the rock a type of Christ the giver of the Spirit.</w:t>
      </w:r>
      <w:r w:rsidRPr="00CF25F3">
        <w:rPr>
          <w:rStyle w:val="EndnoteReference"/>
        </w:rPr>
        <w:endnoteReference w:id="662"/>
      </w:r>
      <w:r w:rsidRPr="00CF25F3">
        <w:t xml:space="preserve">  Scofield’s reference to Jn 6:30-63 includes the passage where Christ contrasts the manna of Moses with himself as ‘the bread of life’.</w:t>
      </w:r>
      <w:r>
        <w:rPr>
          <w:rStyle w:val="EndnoteReference"/>
        </w:rPr>
        <w:endnoteReference w:id="663"/>
      </w:r>
      <w:r w:rsidRPr="00CF25F3">
        <w:t xml:space="preserve">  This is an example of a ‘contrasting type’.</w:t>
      </w:r>
      <w:r w:rsidRPr="00CF25F3">
        <w:rPr>
          <w:rStyle w:val="EndnoteReference"/>
        </w:rPr>
        <w:endnoteReference w:id="664"/>
      </w:r>
      <w:r w:rsidRPr="00CF25F3">
        <w:t xml:space="preserve">  With regard to the water, Jn 7:37-9 describes Jesus as inviting the thirsty to come to him and drink.  No connection is made with Exod. 17:5.  Scofield refers to Jn 6:33-58 in his note on Exod. 25:30 asserting the typicality of the showbread as the life-sustaining </w:t>
      </w:r>
      <w:proofErr w:type="gramStart"/>
      <w:r w:rsidRPr="00CF25F3">
        <w:t>Christ,</w:t>
      </w:r>
      <w:proofErr w:type="gramEnd"/>
      <w:r w:rsidRPr="00CF25F3">
        <w:t xml:space="preserve"> also typified as the ‘corn of wheat’ of Jn 12:24.</w:t>
      </w:r>
      <w:r w:rsidRPr="00CF25F3">
        <w:rPr>
          <w:rStyle w:val="EndnoteReference"/>
        </w:rPr>
        <w:endnoteReference w:id="665"/>
      </w:r>
      <w:r w:rsidRPr="00CF25F3">
        <w:t xml:space="preserve">  These two assertions are unsupported, probably representing associations in Scofield’s own mind</w:t>
      </w:r>
      <w:r>
        <w:t>, as is the allusion to ‘the tree’ as the cross in the note on Exod. 15:25, demonstrated by his reference to Gal. 3:13.</w:t>
      </w:r>
      <w:r>
        <w:rPr>
          <w:rStyle w:val="EndnoteReference"/>
        </w:rPr>
        <w:endnoteReference w:id="666"/>
      </w:r>
      <w:r w:rsidRPr="00CF25F3">
        <w:t xml:space="preserve">  </w:t>
      </w:r>
    </w:p>
    <w:p w:rsidR="00442D33" w:rsidRPr="00CF25F3" w:rsidRDefault="00442D33" w:rsidP="00442D33">
      <w:pPr>
        <w:spacing w:after="120" w:line="360" w:lineRule="auto"/>
        <w:ind w:firstLine="567"/>
        <w:jc w:val="both"/>
      </w:pPr>
      <w:r w:rsidRPr="00CF25F3">
        <w:t>Many of Scofield’s typological interpretations of Exodus 25 onwards, Leviticus and Numbers concern the parts and personnel of the tabernacle and its sacrifices.</w:t>
      </w:r>
      <w:r w:rsidRPr="00CF25F3">
        <w:rPr>
          <w:rStyle w:val="EndnoteReference"/>
        </w:rPr>
        <w:endnoteReference w:id="667"/>
      </w:r>
      <w:r w:rsidRPr="00CF25F3">
        <w:t xml:space="preserve">  Scofield claims that ‘the general authority’ for types in Exodus is to be found in 1 Cor. 10:1-11 and for the tabernacle in Heb. 9:1-24,</w:t>
      </w:r>
      <w:r w:rsidRPr="00CF25F3">
        <w:rPr>
          <w:rStyle w:val="EndnoteReference"/>
        </w:rPr>
        <w:endnoteReference w:id="668"/>
      </w:r>
      <w:r w:rsidRPr="00CF25F3">
        <w:t xml:space="preserve"> but he omits to quote appropriate specific New Testament verses to justify this assertion.  Ironically, he states that ‘to force upon every word of [dietary] legislation a typical meaning is to strain 1 Cor. 10:1-11 and Heb. 9:23, 24 beyond all reasonable interpretation.’</w:t>
      </w:r>
      <w:r w:rsidRPr="00CF25F3">
        <w:rPr>
          <w:rStyle w:val="EndnoteReference"/>
        </w:rPr>
        <w:endnoteReference w:id="669"/>
      </w:r>
      <w:r w:rsidRPr="00CF25F3">
        <w:t xml:space="preserve">  The context is the comment that divine dietary regulations ‘must be regarded as primarily sanitary’, God being concerned with social as well as religious life.  However, Scofield typifies many other points of legislation in Exodus and Leviticus, and </w:t>
      </w:r>
      <w:r w:rsidRPr="00CF25F3">
        <w:lastRenderedPageBreak/>
        <w:t>further asserts that he is assured that everything in the tabernacle is typical, and so the details must also be regarded as typical.</w:t>
      </w:r>
      <w:r w:rsidRPr="00CF25F3">
        <w:rPr>
          <w:rStyle w:val="EndnoteReference"/>
        </w:rPr>
        <w:endnoteReference w:id="670"/>
      </w:r>
      <w:r w:rsidRPr="00CF25F3">
        <w:t xml:space="preserve">  Here Scofield’s interpretation conflicts with what Ramm and Campbell later say about not forcing typological links from detail.  Ramm urges restraint when discussing the tabernacle.  ‘Much about the Tabernacle has no typical significance and this ought to be clearly apprehended.’  Too great a fascination with </w:t>
      </w:r>
      <w:r w:rsidRPr="00EA1265">
        <w:rPr>
          <w:i/>
        </w:rPr>
        <w:t>minutiae</w:t>
      </w:r>
      <w:r w:rsidRPr="00CF25F3">
        <w:t xml:space="preserve"> ‘is already out of step with the spirit of New Testament typology’.</w:t>
      </w:r>
      <w:r w:rsidRPr="00CF25F3">
        <w:rPr>
          <w:rStyle w:val="EndnoteReference"/>
        </w:rPr>
        <w:endnoteReference w:id="671"/>
      </w:r>
      <w:r w:rsidRPr="00CF25F3">
        <w:t xml:space="preserve">  Campbell states, ‘By their very nature types are only signs and shadows, consequently details should generally not be pressed for typical meaning.’</w:t>
      </w:r>
      <w:r w:rsidRPr="00CF25F3">
        <w:rPr>
          <w:rStyle w:val="EndnoteReference"/>
        </w:rPr>
        <w:endnoteReference w:id="672"/>
      </w:r>
      <w:r w:rsidRPr="00CF25F3">
        <w:t xml:space="preserve">  In many cases Scofield’s claims of typological significance appear subjective even when New Testament texts are offered in justification.  One might suspect that Scofield was ‘poking into every nook and corner of the tabernacle … in search of types’, in the words of Tan’s later criticism of excessive typological interpretation.</w:t>
      </w:r>
      <w:r w:rsidRPr="00CF25F3">
        <w:rPr>
          <w:rStyle w:val="EndnoteReference"/>
        </w:rPr>
        <w:endnoteReference w:id="673"/>
      </w:r>
      <w:r w:rsidRPr="00CF25F3">
        <w:t xml:space="preserve"> </w:t>
      </w:r>
    </w:p>
    <w:p w:rsidR="00442D33" w:rsidRDefault="00442D33" w:rsidP="00442D33">
      <w:pPr>
        <w:spacing w:after="120" w:line="360" w:lineRule="auto"/>
        <w:ind w:right="-29" w:firstLine="500"/>
        <w:jc w:val="both"/>
      </w:pPr>
      <w:r w:rsidRPr="00CF25F3">
        <w:t>Scofield states that the materials of the ark typify Christ’s humanity and deity and its contents typify Christ ‘as having God’s law in His heart’, as ‘the wilderness food … of His people’ and as ‘Himself the resurrection’.</w:t>
      </w:r>
      <w:r w:rsidRPr="00CF25F3">
        <w:rPr>
          <w:rStyle w:val="EndnoteReference"/>
        </w:rPr>
        <w:endnoteReference w:id="674"/>
      </w:r>
      <w:r w:rsidRPr="00CF25F3">
        <w:t xml:space="preserve">  The earthen vessel typifies Christ’s humanity.</w:t>
      </w:r>
      <w:r w:rsidRPr="00CF25F3">
        <w:rPr>
          <w:rStyle w:val="EndnoteReference"/>
        </w:rPr>
        <w:endnoteReference w:id="675"/>
      </w:r>
      <w:r w:rsidRPr="00CF25F3">
        <w:t xml:space="preserve">  Scofield assigns typical Christological meaning to the showbread,</w:t>
      </w:r>
      <w:r w:rsidRPr="00CF25F3">
        <w:rPr>
          <w:rStyle w:val="EndnoteReference"/>
        </w:rPr>
        <w:endnoteReference w:id="676"/>
      </w:r>
      <w:r w:rsidRPr="00CF25F3">
        <w:t xml:space="preserve"> candlestick,</w:t>
      </w:r>
      <w:r w:rsidRPr="00CF25F3">
        <w:rPr>
          <w:rStyle w:val="EndnoteReference"/>
        </w:rPr>
        <w:endnoteReference w:id="677"/>
      </w:r>
      <w:r w:rsidRPr="00CF25F3">
        <w:t xml:space="preserve"> acacia wood boards and gold.</w:t>
      </w:r>
      <w:r w:rsidRPr="00CF25F3">
        <w:rPr>
          <w:rStyle w:val="EndnoteReference"/>
        </w:rPr>
        <w:endnoteReference w:id="678"/>
      </w:r>
      <w:r w:rsidRPr="00CF25F3">
        <w:t xml:space="preserve">  Strangely, Scofield does not quote the obvious parallel texts, Jn 8:12 and 9:5, in relation to the candlestick; his references concentrate on ‘the seven-fold Spirit’.</w:t>
      </w:r>
      <w:r w:rsidRPr="00CF25F3">
        <w:rPr>
          <w:rStyle w:val="EndnoteReference"/>
        </w:rPr>
        <w:endnoteReference w:id="679"/>
      </w:r>
      <w:r w:rsidRPr="00CF25F3">
        <w:t xml:space="preserve">  None of the references given refers to light.</w:t>
      </w:r>
      <w:r w:rsidRPr="00CF25F3">
        <w:rPr>
          <w:rStyle w:val="EndnoteReference"/>
        </w:rPr>
        <w:endnoteReference w:id="680"/>
      </w:r>
      <w:r w:rsidRPr="00CF25F3">
        <w:t xml:space="preserve">  Scofield’s claim that the inner veil is a type of Christ’s human body</w:t>
      </w:r>
      <w:r w:rsidRPr="00CF25F3">
        <w:rPr>
          <w:rStyle w:val="EndnoteReference"/>
        </w:rPr>
        <w:endnoteReference w:id="681"/>
      </w:r>
      <w:r w:rsidRPr="00CF25F3">
        <w:t xml:space="preserve"> is justified by Hebrews 10:20, which refers to the curtain as Christ’s body.</w:t>
      </w:r>
      <w:r>
        <w:rPr>
          <w:rStyle w:val="EndnoteReference"/>
        </w:rPr>
        <w:endnoteReference w:id="682"/>
      </w:r>
      <w:r w:rsidRPr="00CF25F3">
        <w:t xml:space="preserve">  Oddly, Scofield does not comment on Heb. 10:20, but refers to this type in his note on 1 Pet. 2:9, which does not refer to the curtain.</w:t>
      </w:r>
      <w:r w:rsidRPr="00CF25F3">
        <w:rPr>
          <w:rStyle w:val="EndnoteReference"/>
        </w:rPr>
        <w:endnoteReference w:id="683"/>
      </w:r>
      <w:r w:rsidRPr="00CF25F3">
        <w:t xml:space="preserve">  Scofield also asserts as types the brazen altar, which he relates to the cross as a place of judgment and atonement,</w:t>
      </w:r>
      <w:r w:rsidRPr="00CF25F3">
        <w:rPr>
          <w:rStyle w:val="EndnoteReference"/>
        </w:rPr>
        <w:endnoteReference w:id="684"/>
      </w:r>
      <w:r w:rsidRPr="00CF25F3">
        <w:t xml:space="preserve"> the altar of incense as a type of Christ as intercessor,</w:t>
      </w:r>
      <w:r w:rsidRPr="00CF25F3">
        <w:rPr>
          <w:rStyle w:val="EndnoteReference"/>
        </w:rPr>
        <w:endnoteReference w:id="685"/>
      </w:r>
      <w:r w:rsidRPr="00CF25F3">
        <w:rPr>
          <w:rStyle w:val="EndnoteReference"/>
        </w:rPr>
        <w:t xml:space="preserve"> </w:t>
      </w:r>
      <w:r w:rsidRPr="00CF25F3">
        <w:t xml:space="preserve"> and the laver as a type of Christ cleansing sinners.</w:t>
      </w:r>
      <w:r w:rsidRPr="00CF25F3">
        <w:rPr>
          <w:rStyle w:val="EndnoteReference"/>
        </w:rPr>
        <w:endnoteReference w:id="686"/>
      </w:r>
      <w:r w:rsidRPr="00CF25F3">
        <w:t xml:space="preserve"> </w:t>
      </w:r>
    </w:p>
    <w:p w:rsidR="007B7B14" w:rsidRPr="007B7B14" w:rsidRDefault="007B7B14" w:rsidP="007B7B14">
      <w:pPr>
        <w:spacing w:after="120" w:line="360" w:lineRule="auto"/>
        <w:ind w:right="-29"/>
        <w:jc w:val="both"/>
        <w:rPr>
          <w:b/>
          <w:i/>
        </w:rPr>
      </w:pPr>
      <w:r w:rsidRPr="007B7B14">
        <w:rPr>
          <w:b/>
          <w:i/>
        </w:rPr>
        <w:t>Leviticus</w:t>
      </w:r>
    </w:p>
    <w:p w:rsidR="00442D33" w:rsidRPr="000F25AC" w:rsidRDefault="00442D33" w:rsidP="007B7B14">
      <w:pPr>
        <w:spacing w:after="120" w:line="360" w:lineRule="auto"/>
        <w:jc w:val="both"/>
      </w:pPr>
      <w:r w:rsidRPr="00CF25F3">
        <w:t xml:space="preserve">The </w:t>
      </w:r>
      <w:r w:rsidRPr="00CF25F3">
        <w:rPr>
          <w:i/>
        </w:rPr>
        <w:t xml:space="preserve">SRB </w:t>
      </w:r>
      <w:r w:rsidRPr="00CF25F3">
        <w:t>note on Lev. 1:3 gives four types and two comparisons for Christ, each concerning animals used for sacrifice.</w:t>
      </w:r>
      <w:r>
        <w:rPr>
          <w:rStyle w:val="EndnoteReference"/>
        </w:rPr>
        <w:endnoteReference w:id="687"/>
      </w:r>
      <w:r w:rsidRPr="00CF25F3">
        <w:t xml:space="preserve">  Notably the dove and pigeon are not awarded typical significance.  Again this kind of comparison would come under Ramm’s later disapproval.  Ramm states specifically that ‘not all actions of the priests, </w:t>
      </w:r>
      <w:proofErr w:type="gramStart"/>
      <w:r w:rsidRPr="00CF25F3">
        <w:t>nor</w:t>
      </w:r>
      <w:proofErr w:type="gramEnd"/>
      <w:r w:rsidRPr="00CF25F3">
        <w:t xml:space="preserve"> all the elements of the sacrifices have precise New Testament counterparts’.</w:t>
      </w:r>
      <w:r w:rsidRPr="00CF25F3">
        <w:rPr>
          <w:rStyle w:val="EndnoteReference"/>
        </w:rPr>
        <w:endnoteReference w:id="688"/>
      </w:r>
      <w:r w:rsidRPr="00CF25F3">
        <w:t xml:space="preserve">  There is no apparent reason for Scofield’s omission of the dove and pigeon as types and it is tempting to conclude that ‘type’ is sometimes merely used synonymously with other symbolic expressions, as will be demonstrated in the non-typological links discussed below.  While the biblical verses referenced for each category present an impressive collection of related quotations,</w:t>
      </w:r>
      <w:r w:rsidRPr="00CF25F3">
        <w:rPr>
          <w:rStyle w:val="EndnoteReference"/>
        </w:rPr>
        <w:endnoteReference w:id="689"/>
      </w:r>
      <w:r w:rsidRPr="00CF25F3">
        <w:t xml:space="preserve"> perhaps reflecting the Bible Readings method</w:t>
      </w:r>
      <w:r>
        <w:t xml:space="preserve"> which is described in 2.4</w:t>
      </w:r>
      <w:r w:rsidRPr="00CF25F3">
        <w:t>, they cannot be said to achieve ‘explicit New Testament authority’ for like-to-like correspondence.  Christ’s perfection is also said to be typified by the perfection of the sacrifices,</w:t>
      </w:r>
      <w:r w:rsidRPr="00CF25F3">
        <w:rPr>
          <w:rStyle w:val="EndnoteReference"/>
        </w:rPr>
        <w:endnoteReference w:id="690"/>
      </w:r>
      <w:r w:rsidRPr="00CF25F3">
        <w:t xml:space="preserve"> the sweet-savour offerings to typify Christ’s perfections and devotion to his Father’s will and the non-sweet </w:t>
      </w:r>
      <w:r w:rsidRPr="000F25AC">
        <w:lastRenderedPageBreak/>
        <w:t>savour offerings his bearing the sinner’s demerit</w:t>
      </w:r>
      <w:r w:rsidRPr="000F25AC">
        <w:rPr>
          <w:rFonts w:ascii="Times New Roman" w:hAnsi="Times New Roman"/>
        </w:rPr>
        <w:t>.</w:t>
      </w:r>
      <w:r w:rsidRPr="000F25AC">
        <w:rPr>
          <w:rStyle w:val="EndnoteReference"/>
          <w:rFonts w:ascii="Times New Roman" w:hAnsi="Times New Roman"/>
        </w:rPr>
        <w:endnoteReference w:id="691"/>
      </w:r>
      <w:r w:rsidRPr="000F25AC">
        <w:rPr>
          <w:rFonts w:ascii="Times New Roman" w:hAnsi="Times New Roman"/>
        </w:rPr>
        <w:t xml:space="preserve">  </w:t>
      </w:r>
      <w:r w:rsidRPr="000F25AC">
        <w:t>The claims of typological significance for the peace offering are also illustrated with related, but not strictly typological New Testament texts.</w:t>
      </w:r>
      <w:r w:rsidRPr="000F25AC">
        <w:rPr>
          <w:rStyle w:val="EndnoteReference"/>
        </w:rPr>
        <w:endnoteReference w:id="692"/>
      </w:r>
    </w:p>
    <w:p w:rsidR="00442D33" w:rsidRPr="000F25AC" w:rsidRDefault="00442D33" w:rsidP="00442D33">
      <w:pPr>
        <w:spacing w:after="120" w:line="360" w:lineRule="auto"/>
        <w:ind w:firstLine="499"/>
        <w:jc w:val="both"/>
        <w:rPr>
          <w:b/>
          <w:i/>
        </w:rPr>
      </w:pPr>
    </w:p>
    <w:p w:rsidR="00442D33" w:rsidRPr="00EE7D29" w:rsidRDefault="00442D33" w:rsidP="00442D33">
      <w:pPr>
        <w:spacing w:after="120" w:line="360" w:lineRule="auto"/>
        <w:ind w:firstLine="499"/>
        <w:jc w:val="both"/>
        <w:rPr>
          <w:b/>
          <w:i/>
        </w:rPr>
      </w:pPr>
      <w:r>
        <w:rPr>
          <w:b/>
          <w:i/>
          <w:noProof/>
          <w:lang w:eastAsia="en-GB"/>
        </w:rPr>
        <w:drawing>
          <wp:inline distT="0" distB="0" distL="0" distR="0" wp14:anchorId="629387A2" wp14:editId="50C73668">
            <wp:extent cx="5400040" cy="6737350"/>
            <wp:effectExtent l="0" t="0" r="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 Typol Christ &amp; Cross from pdf rev 13.3.18_Page_1 crop.jpg"/>
                    <pic:cNvPicPr/>
                  </pic:nvPicPr>
                  <pic:blipFill>
                    <a:blip r:embed="rId86">
                      <a:extLst>
                        <a:ext uri="{28A0092B-C50C-407E-A947-70E740481C1C}">
                          <a14:useLocalDpi xmlns:a14="http://schemas.microsoft.com/office/drawing/2010/main" val="0"/>
                        </a:ext>
                      </a:extLst>
                    </a:blip>
                    <a:stretch>
                      <a:fillRect/>
                    </a:stretch>
                  </pic:blipFill>
                  <pic:spPr>
                    <a:xfrm>
                      <a:off x="0" y="0"/>
                      <a:ext cx="5400040" cy="6737350"/>
                    </a:xfrm>
                    <a:prstGeom prst="rect">
                      <a:avLst/>
                    </a:prstGeom>
                  </pic:spPr>
                </pic:pic>
              </a:graphicData>
            </a:graphic>
          </wp:inline>
        </w:drawing>
      </w:r>
    </w:p>
    <w:p w:rsidR="00442D33" w:rsidRPr="007B7B14" w:rsidRDefault="001349B7" w:rsidP="001349B7">
      <w:r w:rsidRPr="001349B7">
        <w:rPr>
          <w:b/>
          <w:i/>
        </w:rPr>
        <w:t>Continued overleaf</w:t>
      </w:r>
    </w:p>
    <w:p w:rsidR="00442D33" w:rsidRPr="007B7B14" w:rsidRDefault="00442D33" w:rsidP="00442D33">
      <w:pPr>
        <w:rPr>
          <w:b/>
          <w:i/>
        </w:rPr>
      </w:pPr>
      <w:r w:rsidRPr="007B7B14">
        <w:rPr>
          <w:b/>
          <w:i/>
        </w:rPr>
        <w:br w:type="page"/>
      </w:r>
    </w:p>
    <w:p w:rsidR="00442D33" w:rsidRDefault="00442D33" w:rsidP="00442D33">
      <w:pPr>
        <w:spacing w:after="120" w:line="360" w:lineRule="auto"/>
        <w:jc w:val="center"/>
        <w:rPr>
          <w:color w:val="0070C0"/>
        </w:rPr>
      </w:pPr>
      <w:r>
        <w:rPr>
          <w:noProof/>
          <w:color w:val="0070C0"/>
          <w:lang w:eastAsia="en-GB"/>
        </w:rPr>
        <w:lastRenderedPageBreak/>
        <w:drawing>
          <wp:inline distT="0" distB="0" distL="0" distR="0" wp14:anchorId="057F047C" wp14:editId="74DBAE35">
            <wp:extent cx="5400040" cy="576262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 Typol Christ &amp; Cross from pdf rev 13.3.18_Page_2 crop.jpg"/>
                    <pic:cNvPicPr/>
                  </pic:nvPicPr>
                  <pic:blipFill>
                    <a:blip r:embed="rId87">
                      <a:extLst>
                        <a:ext uri="{28A0092B-C50C-407E-A947-70E740481C1C}">
                          <a14:useLocalDpi xmlns:a14="http://schemas.microsoft.com/office/drawing/2010/main" val="0"/>
                        </a:ext>
                      </a:extLst>
                    </a:blip>
                    <a:stretch>
                      <a:fillRect/>
                    </a:stretch>
                  </pic:blipFill>
                  <pic:spPr>
                    <a:xfrm>
                      <a:off x="0" y="0"/>
                      <a:ext cx="5400040" cy="5762625"/>
                    </a:xfrm>
                    <a:prstGeom prst="rect">
                      <a:avLst/>
                    </a:prstGeom>
                  </pic:spPr>
                </pic:pic>
              </a:graphicData>
            </a:graphic>
          </wp:inline>
        </w:drawing>
      </w:r>
    </w:p>
    <w:p w:rsidR="00442D33" w:rsidRPr="00D076B1" w:rsidRDefault="00442D33" w:rsidP="005C35EC">
      <w:pPr>
        <w:spacing w:after="120" w:line="360" w:lineRule="auto"/>
        <w:ind w:right="74" w:firstLine="142"/>
        <w:jc w:val="both"/>
      </w:pPr>
      <w:r w:rsidRPr="00D076B1">
        <w:t xml:space="preserve">The note on Lev. 7:13 refers </w:t>
      </w:r>
      <w:r w:rsidRPr="00392CB1">
        <w:t>to the typological</w:t>
      </w:r>
      <w:r>
        <w:t xml:space="preserve"> </w:t>
      </w:r>
      <w:r w:rsidRPr="00D076B1">
        <w:t>significance of the use of leaven</w:t>
      </w:r>
      <w:r>
        <w:t xml:space="preserve"> in the peace-offering</w:t>
      </w:r>
      <w:r w:rsidRPr="00D076B1">
        <w:t>, distinguishing between Lev. 7:12, where “he” [the priest</w:t>
      </w:r>
      <w:r>
        <w:rPr>
          <w:rStyle w:val="EndnoteReference"/>
        </w:rPr>
        <w:endnoteReference w:id="693"/>
      </w:r>
      <w:r w:rsidRPr="00D076B1">
        <w:t>] is to offer with the sacrifice of thanksgiving unleavened wafers and cakes in the peace-offering,</w:t>
      </w:r>
      <w:r>
        <w:rPr>
          <w:rStyle w:val="EndnoteReference"/>
        </w:rPr>
        <w:endnoteReference w:id="694"/>
      </w:r>
      <w:r>
        <w:t xml:space="preserve"> </w:t>
      </w:r>
      <w:r w:rsidRPr="00D076B1">
        <w:t>and Lev. 7:13, where, additionally, “he” is to offer leavened bread with the sacrifice of his thanksgiving of his peace-offerings’.</w:t>
      </w:r>
      <w:r>
        <w:rPr>
          <w:rStyle w:val="EndnoteReference"/>
        </w:rPr>
        <w:endnoteReference w:id="695"/>
      </w:r>
      <w:r w:rsidRPr="00D076B1">
        <w:t xml:space="preserve">  From these verses, Scofield infers that verse 12 refers to Christ as ‘our peace-offering’ thus leaven is excluded, whereas ‘in verse 13 it is the offerer who gives thanks for his participation in the peace, and so leaven fitly signifies, that though having peace with God through the work of another, there is still evil in him’.  Scofield does not state the basis for this inference and offers no justification for his interpretation of Amos 4:5</w:t>
      </w:r>
      <w:r>
        <w:rPr>
          <w:rStyle w:val="EndnoteReference"/>
        </w:rPr>
        <w:endnoteReference w:id="696"/>
      </w:r>
      <w:r>
        <w:t xml:space="preserve"> </w:t>
      </w:r>
      <w:r w:rsidRPr="00D076B1">
        <w:t xml:space="preserve">as an illustration of leaven representing evil in Israel.  </w:t>
      </w:r>
    </w:p>
    <w:p w:rsidR="00442D33" w:rsidRDefault="00442D33" w:rsidP="00442D33">
      <w:pPr>
        <w:spacing w:after="120" w:line="360" w:lineRule="auto"/>
        <w:ind w:right="74" w:firstLine="567"/>
        <w:jc w:val="both"/>
      </w:pPr>
      <w:r w:rsidRPr="00D076B1">
        <w:lastRenderedPageBreak/>
        <w:t xml:space="preserve">The context of Amos 4:5 is the berating of wealthy women who oppress the poor; the </w:t>
      </w:r>
      <w:r w:rsidRPr="00D076B1">
        <w:rPr>
          <w:i/>
        </w:rPr>
        <w:t>NRSV</w:t>
      </w:r>
      <w:r w:rsidRPr="00D076B1">
        <w:t xml:space="preserve"> commentary states that they are ‘ironically … invited to proceed with the presentation of their vain, idolatrous offerings in the corrupted sanctuaries where once the Lord was honoured’.</w:t>
      </w:r>
      <w:r>
        <w:rPr>
          <w:rStyle w:val="EndnoteReference"/>
        </w:rPr>
        <w:endnoteReference w:id="697"/>
      </w:r>
      <w:r w:rsidRPr="00D076B1">
        <w:t xml:space="preserve">  The </w:t>
      </w:r>
      <w:r w:rsidRPr="00D076B1">
        <w:rPr>
          <w:i/>
        </w:rPr>
        <w:t>NIV</w:t>
      </w:r>
      <w:r w:rsidRPr="00D076B1">
        <w:t xml:space="preserve"> commentary states that Amos was either rebuking the Israelites for ‘wilful transgression of the law (against the burning of leavened bread in sacrifices) or ‘he speaks of burning in a general way for offering inappropriate gifts to the Lord’.  The commentary adds: ‘They loved the forms and rituals of religion but did not love what God loves – goodness, mercy, kindness, justice.’</w:t>
      </w:r>
      <w:r>
        <w:rPr>
          <w:rStyle w:val="EndnoteReference"/>
        </w:rPr>
        <w:endnoteReference w:id="698"/>
      </w:r>
      <w:r>
        <w:t xml:space="preserve"> </w:t>
      </w:r>
      <w:r w:rsidRPr="00D076B1">
        <w:t xml:space="preserve"> </w:t>
      </w:r>
      <w:r>
        <w:t xml:space="preserve">Philip Hyatt states that </w:t>
      </w:r>
      <w:r w:rsidRPr="00D076B1">
        <w:t xml:space="preserve">Amos ironically invites them to come to Bethel and Gilgal to transgress, and to bring a thank offering of leavened bread as they loved to do.  </w:t>
      </w:r>
      <w:proofErr w:type="gramStart"/>
      <w:r w:rsidRPr="00D076B1">
        <w:t>Hyatt refers to Amos’ caustic irony’ in summoning the people to come to Bethel, or to Gilgal, only to transgress against their God’.</w:t>
      </w:r>
      <w:proofErr w:type="gramEnd"/>
      <w:r w:rsidRPr="00D076B1">
        <w:t xml:space="preserve">  This reflected upon their total attitude to God, doing as they pleased and showing their own importance.</w:t>
      </w:r>
      <w:r>
        <w:rPr>
          <w:rStyle w:val="EndnoteReference"/>
        </w:rPr>
        <w:endnoteReference w:id="699"/>
      </w:r>
      <w:r w:rsidRPr="00D076B1">
        <w:t xml:space="preserve">  It is noticeable that none of these commentaries designates leaven itself as evil.  Scofield’s other references pertain to Gen. 19:3, which refers to Lot’s baking unleavened bread for his unexpected visitors, and to Exod. 12:8, 15-20, 34, 39, which all refer to the </w:t>
      </w:r>
      <w:r w:rsidRPr="00637B08">
        <w:t xml:space="preserve">unleavened bread eaten by the Israelites on their exodus from Egypt.  Exodus 12:39 gives the specific reason for this: ‘because they were thrust out of Egypt and could not tarry’.  The case of Lot surely also points to hasty preparation.  These illustrations may well indicate another instance of employment by Scofield of the ‘Bible </w:t>
      </w:r>
      <w:r w:rsidR="006B1B95">
        <w:t>R</w:t>
      </w:r>
      <w:r w:rsidRPr="00637B08">
        <w:t>eadings method’.</w:t>
      </w:r>
      <w:r w:rsidRPr="00637B08">
        <w:rPr>
          <w:rStyle w:val="EndnoteReference"/>
        </w:rPr>
        <w:endnoteReference w:id="700"/>
      </w:r>
      <w:r w:rsidRPr="00637B08">
        <w:t xml:space="preserve">  However, this interpretation of leaven in the note on Lev. 7:13 forms the basis for an important concept which Scofield carries into his interpretation of the parable of the leaven in Matthew 13.</w:t>
      </w:r>
      <w:r w:rsidRPr="00637B08">
        <w:rPr>
          <w:rStyle w:val="EndnoteReference"/>
        </w:rPr>
        <w:endnoteReference w:id="701"/>
      </w:r>
    </w:p>
    <w:p w:rsidR="00442D33" w:rsidRDefault="00442D33" w:rsidP="00442D33">
      <w:pPr>
        <w:spacing w:after="120" w:line="360" w:lineRule="auto"/>
        <w:ind w:firstLine="567"/>
        <w:jc w:val="both"/>
      </w:pPr>
      <w:r w:rsidRPr="00CF25F3">
        <w:t>‘</w:t>
      </w:r>
      <w:r>
        <w:t>T</w:t>
      </w:r>
      <w:r w:rsidRPr="00CF25F3">
        <w:t>he case of Ruth and Boaz’</w:t>
      </w:r>
      <w:r>
        <w:t xml:space="preserve"> is also discussed in terms of its significance as a </w:t>
      </w:r>
      <w:r w:rsidRPr="00DF0522">
        <w:t>‘beautiful type of Christ’ in ‘kinsman-redeemer’ relationship.</w:t>
      </w:r>
      <w:r>
        <w:rPr>
          <w:rStyle w:val="EndnoteReference"/>
        </w:rPr>
        <w:endnoteReference w:id="702"/>
      </w:r>
      <w:r w:rsidRPr="00DF0522">
        <w:t xml:space="preserve">  The claim for a </w:t>
      </w:r>
      <w:r w:rsidRPr="00DF0522">
        <w:rPr>
          <w:i/>
        </w:rPr>
        <w:t>goel</w:t>
      </w:r>
      <w:r w:rsidRPr="00DF0522">
        <w:t xml:space="preserve"> or kinsman-redeemer typology for Christ is repeated in the note on Isa. 59:20</w:t>
      </w:r>
      <w:r>
        <w:t>.</w:t>
      </w:r>
      <w:r>
        <w:rPr>
          <w:rStyle w:val="EndnoteReference"/>
        </w:rPr>
        <w:endnoteReference w:id="703"/>
      </w:r>
      <w:r w:rsidRPr="00CF25F3">
        <w:t>.  Discussing the anointing involved in the assertion of the typical relationship between Aaron and Christ in the role of high priest, Scofield cites Jn 3:34 and Heb. 1:9; each of these texts contains the word ‘anointing’,  but neither appears adequately to demonstrate a real typological link.</w:t>
      </w:r>
      <w:r>
        <w:rPr>
          <w:rStyle w:val="EndnoteReference"/>
        </w:rPr>
        <w:endnoteReference w:id="704"/>
      </w:r>
      <w:r>
        <w:t xml:space="preserve"> </w:t>
      </w:r>
    </w:p>
    <w:p w:rsidR="001349B7" w:rsidRDefault="001349B7" w:rsidP="001349B7">
      <w:pPr>
        <w:spacing w:after="120" w:line="360" w:lineRule="auto"/>
        <w:jc w:val="both"/>
      </w:pPr>
      <w:r w:rsidRPr="001349B7">
        <w:rPr>
          <w:b/>
          <w:i/>
        </w:rPr>
        <w:t>Continued overleaf</w:t>
      </w: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1349B7" w:rsidRDefault="001349B7" w:rsidP="00442D33">
      <w:pPr>
        <w:spacing w:after="120" w:line="360" w:lineRule="auto"/>
        <w:ind w:firstLine="567"/>
        <w:jc w:val="both"/>
      </w:pPr>
    </w:p>
    <w:p w:rsidR="00442D33" w:rsidRPr="00EE7D29" w:rsidRDefault="00442D33" w:rsidP="00442D33">
      <w:pPr>
        <w:spacing w:after="120" w:line="360" w:lineRule="auto"/>
        <w:jc w:val="both"/>
        <w:rPr>
          <w:b/>
          <w:i/>
        </w:rPr>
      </w:pPr>
      <w:r w:rsidRPr="00EE7D29">
        <w:rPr>
          <w:b/>
          <w:i/>
        </w:rPr>
        <w:lastRenderedPageBreak/>
        <w:t>Numbers</w:t>
      </w:r>
      <w:r>
        <w:rPr>
          <w:b/>
          <w:i/>
        </w:rPr>
        <w:t xml:space="preserve"> </w:t>
      </w:r>
    </w:p>
    <w:p w:rsidR="00442D33" w:rsidRDefault="00442D33" w:rsidP="00442D33">
      <w:pPr>
        <w:jc w:val="center"/>
        <w:rPr>
          <w:color w:val="0070C0"/>
        </w:rPr>
      </w:pPr>
      <w:r>
        <w:rPr>
          <w:noProof/>
          <w:color w:val="0070C0"/>
          <w:lang w:eastAsia="en-GB"/>
        </w:rPr>
        <w:drawing>
          <wp:inline distT="0" distB="0" distL="0" distR="0" wp14:anchorId="2AB72B0E" wp14:editId="4FFB7F0B">
            <wp:extent cx="5400040" cy="29914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s Rev 1.3.18 crop.jpg"/>
                    <pic:cNvPicPr/>
                  </pic:nvPicPr>
                  <pic:blipFill>
                    <a:blip r:embed="rId88">
                      <a:extLst>
                        <a:ext uri="{28A0092B-C50C-407E-A947-70E740481C1C}">
                          <a14:useLocalDpi xmlns:a14="http://schemas.microsoft.com/office/drawing/2010/main" val="0"/>
                        </a:ext>
                      </a:extLst>
                    </a:blip>
                    <a:stretch>
                      <a:fillRect/>
                    </a:stretch>
                  </pic:blipFill>
                  <pic:spPr>
                    <a:xfrm>
                      <a:off x="0" y="0"/>
                      <a:ext cx="5400040" cy="2991485"/>
                    </a:xfrm>
                    <a:prstGeom prst="rect">
                      <a:avLst/>
                    </a:prstGeom>
                  </pic:spPr>
                </pic:pic>
              </a:graphicData>
            </a:graphic>
          </wp:inline>
        </w:drawing>
      </w:r>
    </w:p>
    <w:p w:rsidR="00442D33" w:rsidRDefault="00442D33" w:rsidP="00442D33">
      <w:pPr>
        <w:spacing w:after="120" w:line="360" w:lineRule="auto"/>
        <w:jc w:val="both"/>
      </w:pPr>
      <w:r w:rsidRPr="00CF25F3">
        <w:t xml:space="preserve">In notes on Numbers, Scofield claims five representations of Christ and the Cross, some of which display tenuous links and </w:t>
      </w:r>
      <w:proofErr w:type="gramStart"/>
      <w:r w:rsidRPr="00CF25F3">
        <w:t>do</w:t>
      </w:r>
      <w:proofErr w:type="gramEnd"/>
      <w:r w:rsidRPr="00CF25F3">
        <w:t xml:space="preserve"> not provide New Testament justification.  Interestingly, Scofield justifies his assertion of the Nazarite as a type of Christ</w:t>
      </w:r>
      <w:r w:rsidRPr="00CF25F3">
        <w:rPr>
          <w:rStyle w:val="EndnoteReference"/>
        </w:rPr>
        <w:endnoteReference w:id="705"/>
      </w:r>
      <w:r w:rsidRPr="00CF25F3">
        <w:t xml:space="preserve"> by a reference to 1 Cor. 11:14, assuming that the mores of the first century CE </w:t>
      </w:r>
      <w:r w:rsidR="006B1B95">
        <w:t xml:space="preserve">concerning male hair </w:t>
      </w:r>
      <w:r w:rsidRPr="00CF25F3">
        <w:t>were in force in 1490 BCE, the date he ascribes to this section of Numbers.  No New Testament references are given for the assertion concerning Aaron’s budding rod as typifying Christ’s resurrection</w:t>
      </w:r>
      <w:r w:rsidRPr="00CF25F3">
        <w:rPr>
          <w:rStyle w:val="EndnoteReference"/>
        </w:rPr>
        <w:endnoteReference w:id="706"/>
      </w:r>
      <w:r w:rsidRPr="00CF25F3">
        <w:t xml:space="preserve"> but the link to Heb. 9:12:13 concerning the red heifer provides a connection with Christ which may come near to fulfilling the conditions for typicality.</w:t>
      </w:r>
      <w:r>
        <w:rPr>
          <w:rStyle w:val="EndnoteReference"/>
        </w:rPr>
        <w:endnoteReference w:id="707"/>
      </w:r>
      <w:r w:rsidRPr="00CF25F3">
        <w:t xml:space="preserve">  The quotation of Jn 3:14, 15 justifies the assertion that the brass serpent typifies Christ bearing our judgment.  In his note on Num. 35:6, Scofield states that the cities of refuge typify Christ sheltering the sinner from judgment.</w:t>
      </w:r>
      <w:r w:rsidRPr="00CF25F3">
        <w:rPr>
          <w:rStyle w:val="EndnoteReference"/>
        </w:rPr>
        <w:endnoteReference w:id="708"/>
      </w:r>
      <w:r w:rsidRPr="00CF25F3">
        <w:t xml:space="preserve">  Again the references given suggest correspondence but not actual typological significance.  </w:t>
      </w:r>
    </w:p>
    <w:p w:rsidR="001349B7" w:rsidRDefault="001349B7" w:rsidP="00442D33">
      <w:pPr>
        <w:spacing w:after="120" w:line="360" w:lineRule="auto"/>
        <w:jc w:val="both"/>
        <w:rPr>
          <w:b/>
          <w:i/>
        </w:rPr>
      </w:pPr>
      <w:r w:rsidRPr="001349B7">
        <w:rPr>
          <w:b/>
          <w:i/>
        </w:rPr>
        <w:t>Continued overleaf</w:t>
      </w: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Pr="00CF25F3" w:rsidRDefault="001349B7" w:rsidP="00442D33">
      <w:pPr>
        <w:spacing w:after="120" w:line="360" w:lineRule="auto"/>
        <w:jc w:val="both"/>
      </w:pPr>
    </w:p>
    <w:p w:rsidR="00442D33" w:rsidRDefault="00442D33" w:rsidP="00442D33">
      <w:pPr>
        <w:spacing w:after="120" w:line="360" w:lineRule="auto"/>
        <w:jc w:val="both"/>
        <w:rPr>
          <w:b/>
          <w:i/>
        </w:rPr>
      </w:pPr>
      <w:r>
        <w:rPr>
          <w:b/>
          <w:i/>
        </w:rPr>
        <w:lastRenderedPageBreak/>
        <w:t>T</w:t>
      </w:r>
      <w:r w:rsidRPr="002922A9">
        <w:rPr>
          <w:b/>
          <w:i/>
        </w:rPr>
        <w:t>he ‘Historical Books’</w:t>
      </w:r>
      <w:r>
        <w:rPr>
          <w:b/>
          <w:i/>
        </w:rPr>
        <w:t xml:space="preserve"> </w:t>
      </w:r>
    </w:p>
    <w:p w:rsidR="00442D33" w:rsidRDefault="00442D33" w:rsidP="00442D33">
      <w:pPr>
        <w:spacing w:after="120" w:line="360" w:lineRule="auto"/>
        <w:jc w:val="center"/>
        <w:rPr>
          <w:b/>
          <w:i/>
        </w:rPr>
      </w:pPr>
      <w:r>
        <w:rPr>
          <w:b/>
          <w:i/>
          <w:noProof/>
          <w:lang w:eastAsia="en-GB"/>
        </w:rPr>
        <w:drawing>
          <wp:inline distT="0" distB="0" distL="0" distR="0" wp14:anchorId="7E45A35B" wp14:editId="5098DC82">
            <wp:extent cx="5400040" cy="2837180"/>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Bks typol 1.3.18 crop.jpg"/>
                    <pic:cNvPicPr/>
                  </pic:nvPicPr>
                  <pic:blipFill>
                    <a:blip r:embed="rId89">
                      <a:extLst>
                        <a:ext uri="{28A0092B-C50C-407E-A947-70E740481C1C}">
                          <a14:useLocalDpi xmlns:a14="http://schemas.microsoft.com/office/drawing/2010/main" val="0"/>
                        </a:ext>
                      </a:extLst>
                    </a:blip>
                    <a:stretch>
                      <a:fillRect/>
                    </a:stretch>
                  </pic:blipFill>
                  <pic:spPr>
                    <a:xfrm>
                      <a:off x="0" y="0"/>
                      <a:ext cx="5400040" cy="2837180"/>
                    </a:xfrm>
                    <a:prstGeom prst="rect">
                      <a:avLst/>
                    </a:prstGeom>
                  </pic:spPr>
                </pic:pic>
              </a:graphicData>
            </a:graphic>
          </wp:inline>
        </w:drawing>
      </w:r>
    </w:p>
    <w:p w:rsidR="00442D33" w:rsidRDefault="00442D33" w:rsidP="00442D33">
      <w:pPr>
        <w:spacing w:after="120" w:line="360" w:lineRule="auto"/>
        <w:jc w:val="both"/>
      </w:pPr>
      <w:r>
        <w:t>Beyond commentary on the Pentateuch, Scofield’s typological references decline.  His assertion</w:t>
      </w:r>
      <w:r w:rsidRPr="00930F14">
        <w:t xml:space="preserve"> that </w:t>
      </w:r>
      <w:r w:rsidRPr="00BC4F97">
        <w:t>Joshua</w:t>
      </w:r>
      <w:r w:rsidRPr="00930F14">
        <w:t xml:space="preserve"> is a type </w:t>
      </w:r>
      <w:r>
        <w:t>of</w:t>
      </w:r>
      <w:r w:rsidRPr="00930F14">
        <w:t xml:space="preserve"> Christ</w:t>
      </w:r>
      <w:r>
        <w:t xml:space="preserve"> </w:t>
      </w:r>
      <w:r w:rsidRPr="00930F14">
        <w:t xml:space="preserve">is not justified by the reference to Heb. 2:10, 11.  </w:t>
      </w:r>
      <w:r w:rsidRPr="00CC4BB6">
        <w:t xml:space="preserve">Scofield states from Hebrews that Christ is ‘the captain of our salvation’ but </w:t>
      </w:r>
      <w:r>
        <w:t xml:space="preserve">Hebrews </w:t>
      </w:r>
      <w:r w:rsidRPr="00CC4BB6">
        <w:t>does not relate this to Joshua, son of Nun.</w:t>
      </w:r>
      <w:r>
        <w:rPr>
          <w:rStyle w:val="EndnoteReference"/>
        </w:rPr>
        <w:endnoteReference w:id="709"/>
      </w:r>
      <w:r>
        <w:t xml:space="preserve">  </w:t>
      </w:r>
      <w:r w:rsidRPr="006332D5">
        <w:t xml:space="preserve">Commenting upon Solomon’s bringing the </w:t>
      </w:r>
      <w:proofErr w:type="gramStart"/>
      <w:r w:rsidRPr="006332D5">
        <w:t>ark of the covenant</w:t>
      </w:r>
      <w:proofErr w:type="gramEnd"/>
      <w:r w:rsidRPr="006332D5">
        <w:t xml:space="preserve"> into the temple </w:t>
      </w:r>
      <w:r w:rsidRPr="00C3313B">
        <w:t>Scofield states that the ark was ‘the most allusive type of Christ’ among the tabernacle vessels and that, in bringing it into the holy of holies, the priests were typically enthroning Christ.</w:t>
      </w:r>
      <w:r>
        <w:rPr>
          <w:rStyle w:val="EndnoteReference"/>
        </w:rPr>
        <w:endnoteReference w:id="710"/>
      </w:r>
      <w:r w:rsidRPr="00C3313B">
        <w:t xml:space="preserve">  The two New Testament references given by Scofield do not justify th</w:t>
      </w:r>
      <w:r>
        <w:t>ese</w:t>
      </w:r>
      <w:r w:rsidRPr="00C3313B">
        <w:t xml:space="preserve"> claim</w:t>
      </w:r>
      <w:r>
        <w:t>s</w:t>
      </w:r>
      <w:r w:rsidRPr="00C3313B">
        <w:t>.</w:t>
      </w:r>
      <w:r>
        <w:rPr>
          <w:rStyle w:val="EndnoteReference"/>
        </w:rPr>
        <w:endnoteReference w:id="711"/>
      </w:r>
      <w:r w:rsidRPr="00C3313B">
        <w:t xml:space="preserve">  Scofield also identifies David as ‘a type of his Son after the flesh’;</w:t>
      </w:r>
      <w:r w:rsidRPr="00C3313B">
        <w:rPr>
          <w:rStyle w:val="EndnoteReference"/>
        </w:rPr>
        <w:endnoteReference w:id="712"/>
      </w:r>
      <w:r w:rsidRPr="00C3313B">
        <w:t xml:space="preserve"> again the points of comparison are more allusive than typical.  </w:t>
      </w:r>
    </w:p>
    <w:p w:rsidR="001349B7" w:rsidRDefault="001349B7" w:rsidP="00442D33">
      <w:pPr>
        <w:spacing w:after="120" w:line="360" w:lineRule="auto"/>
        <w:jc w:val="both"/>
        <w:rPr>
          <w:b/>
          <w:i/>
        </w:rPr>
      </w:pPr>
      <w:r w:rsidRPr="001349B7">
        <w:rPr>
          <w:b/>
          <w:i/>
        </w:rPr>
        <w:t>Continued overleaf</w:t>
      </w: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1349B7" w:rsidRDefault="001349B7" w:rsidP="00442D33">
      <w:pPr>
        <w:spacing w:after="120" w:line="360" w:lineRule="auto"/>
        <w:jc w:val="both"/>
        <w:rPr>
          <w:b/>
          <w:i/>
        </w:rPr>
      </w:pPr>
    </w:p>
    <w:p w:rsidR="00442D33" w:rsidRPr="002922A9" w:rsidRDefault="00442D33" w:rsidP="00442D33">
      <w:pPr>
        <w:spacing w:after="120" w:line="360" w:lineRule="auto"/>
        <w:jc w:val="both"/>
        <w:rPr>
          <w:b/>
          <w:i/>
        </w:rPr>
      </w:pPr>
      <w:r w:rsidRPr="002922A9">
        <w:rPr>
          <w:b/>
          <w:i/>
        </w:rPr>
        <w:lastRenderedPageBreak/>
        <w:t>The Prophets</w:t>
      </w:r>
      <w:r>
        <w:rPr>
          <w:b/>
          <w:i/>
        </w:rPr>
        <w:t xml:space="preserve">  </w:t>
      </w:r>
    </w:p>
    <w:p w:rsidR="00442D33" w:rsidRPr="000E21BB" w:rsidRDefault="00442D33" w:rsidP="00442D33">
      <w:pPr>
        <w:autoSpaceDE w:val="0"/>
        <w:autoSpaceDN w:val="0"/>
        <w:adjustRightInd w:val="0"/>
        <w:spacing w:after="120" w:line="360" w:lineRule="auto"/>
        <w:jc w:val="center"/>
        <w:rPr>
          <w:b/>
          <w:highlight w:val="yellow"/>
        </w:rPr>
      </w:pPr>
      <w:r>
        <w:rPr>
          <w:b/>
          <w:noProof/>
          <w:lang w:eastAsia="en-GB"/>
        </w:rPr>
        <w:drawing>
          <wp:inline distT="0" distB="0" distL="0" distR="0" wp14:anchorId="13504A36" wp14:editId="0A3BAB13">
            <wp:extent cx="5400040" cy="3978910"/>
            <wp:effectExtent l="0" t="0" r="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hets typology table rev 14.3.18 CROP.jpg"/>
                    <pic:cNvPicPr/>
                  </pic:nvPicPr>
                  <pic:blipFill>
                    <a:blip r:embed="rId90">
                      <a:extLst>
                        <a:ext uri="{28A0092B-C50C-407E-A947-70E740481C1C}">
                          <a14:useLocalDpi xmlns:a14="http://schemas.microsoft.com/office/drawing/2010/main" val="0"/>
                        </a:ext>
                      </a:extLst>
                    </a:blip>
                    <a:stretch>
                      <a:fillRect/>
                    </a:stretch>
                  </pic:blipFill>
                  <pic:spPr>
                    <a:xfrm>
                      <a:off x="0" y="0"/>
                      <a:ext cx="5400040" cy="3978910"/>
                    </a:xfrm>
                    <a:prstGeom prst="rect">
                      <a:avLst/>
                    </a:prstGeom>
                  </pic:spPr>
                </pic:pic>
              </a:graphicData>
            </a:graphic>
          </wp:inline>
        </w:drawing>
      </w:r>
    </w:p>
    <w:p w:rsidR="00442D33" w:rsidRDefault="00442D33" w:rsidP="00442D33">
      <w:pPr>
        <w:autoSpaceDE w:val="0"/>
        <w:autoSpaceDN w:val="0"/>
        <w:adjustRightInd w:val="0"/>
        <w:spacing w:after="120" w:line="360" w:lineRule="auto"/>
        <w:jc w:val="both"/>
      </w:pPr>
      <w:r>
        <w:t>Scofield makes few typological references in commentary on the Prophets.  In commentary on Isaiah, he states</w:t>
      </w:r>
      <w:r w:rsidRPr="00930F14">
        <w:t xml:space="preserve"> that ‘the </w:t>
      </w:r>
      <w:r w:rsidRPr="00930F14">
        <w:rPr>
          <w:i/>
        </w:rPr>
        <w:t>goel</w:t>
      </w:r>
      <w:r w:rsidRPr="00930F14">
        <w:t>’ typifies Christ</w:t>
      </w:r>
      <w:r>
        <w:t>.</w:t>
      </w:r>
      <w:r w:rsidRPr="00930F14">
        <w:rPr>
          <w:rStyle w:val="EndnoteReference"/>
        </w:rPr>
        <w:endnoteReference w:id="713"/>
      </w:r>
      <w:r w:rsidRPr="00930F14">
        <w:t xml:space="preserve"> </w:t>
      </w:r>
      <w:r>
        <w:t xml:space="preserve"> He also identifies Cyrus as ‘a Gentile type of Christ’</w:t>
      </w:r>
      <w:r w:rsidRPr="00954D89">
        <w:rPr>
          <w:rStyle w:val="FootnoteReference"/>
          <w:i/>
          <w:color w:val="FF0000"/>
        </w:rPr>
        <w:t xml:space="preserve"> </w:t>
      </w:r>
      <w:r>
        <w:rPr>
          <w:i/>
        </w:rPr>
        <w:t xml:space="preserve"> </w:t>
      </w:r>
      <w:r w:rsidRPr="00954D89">
        <w:t>since Cyrus and Christ were both ‘irresistible conquerors of Israel’s enemies’</w:t>
      </w:r>
      <w:r>
        <w:t>,</w:t>
      </w:r>
      <w:r>
        <w:rPr>
          <w:rStyle w:val="FootnoteReference"/>
        </w:rPr>
        <w:footnoteReference w:id="36"/>
      </w:r>
      <w:r w:rsidRPr="00954D89">
        <w:t xml:space="preserve"> ‘restorers of the holy city’</w:t>
      </w:r>
      <w:r>
        <w:rPr>
          <w:rStyle w:val="EndnoteReference"/>
        </w:rPr>
        <w:endnoteReference w:id="714"/>
      </w:r>
      <w:r w:rsidRPr="00954D89">
        <w:t xml:space="preserve"> </w:t>
      </w:r>
      <w:r>
        <w:t>and ‘those through whom God’s name is glorified as the one true God’.</w:t>
      </w:r>
      <w:r>
        <w:rPr>
          <w:rStyle w:val="EndnoteReference"/>
        </w:rPr>
        <w:endnoteReference w:id="715"/>
      </w:r>
      <w:r>
        <w:t xml:space="preserve"> </w:t>
      </w:r>
      <w:r w:rsidRPr="00954D89">
        <w:t xml:space="preserve"> In Isa. 44:28, Cyrus is named as ‘my Shepherd’, a Messianic title.</w:t>
      </w:r>
      <w:r>
        <w:rPr>
          <w:rStyle w:val="EndnoteReference"/>
        </w:rPr>
        <w:endnoteReference w:id="716"/>
      </w:r>
      <w:r w:rsidRPr="00954D89">
        <w:t xml:space="preserve">  </w:t>
      </w:r>
      <w:r w:rsidRPr="00185E8C">
        <w:t xml:space="preserve">Reflections may easily be seen in the referenced verses but </w:t>
      </w:r>
      <w:r>
        <w:t>not types</w:t>
      </w:r>
      <w:r w:rsidRPr="00185E8C">
        <w:t xml:space="preserve">.  </w:t>
      </w:r>
      <w:r>
        <w:t xml:space="preserve">Scofield makes typological claims relating to Ezekiel. </w:t>
      </w:r>
      <w:proofErr w:type="gramStart"/>
      <w:r>
        <w:t>Jonah and Zechariah.</w:t>
      </w:r>
      <w:proofErr w:type="gramEnd"/>
      <w:r>
        <w:t xml:space="preserve">  He </w:t>
      </w:r>
      <w:r w:rsidRPr="005B41D4">
        <w:t xml:space="preserve">states that the sprinkled blood of the </w:t>
      </w:r>
      <w:proofErr w:type="gramStart"/>
      <w:r w:rsidRPr="005B41D4">
        <w:t>ark of the covenant</w:t>
      </w:r>
      <w:proofErr w:type="gramEnd"/>
      <w:r w:rsidRPr="005B41D4">
        <w:t xml:space="preserve"> typically ‘spake of the perfect maintenance of the divine righteousness by the sacrifice of Christ’</w:t>
      </w:r>
      <w:r w:rsidRPr="005B41D4">
        <w:rPr>
          <w:rStyle w:val="EndnoteReference"/>
        </w:rPr>
        <w:endnoteReference w:id="717"/>
      </w:r>
      <w:r w:rsidRPr="005B41D4">
        <w:t xml:space="preserve">  and asserts that Jonah typifies Christ as the risen one, bringing salvation to the Gentiles.</w:t>
      </w:r>
      <w:r w:rsidRPr="005B41D4">
        <w:rPr>
          <w:rStyle w:val="EndnoteReference"/>
        </w:rPr>
        <w:endnoteReference w:id="718"/>
      </w:r>
      <w:r w:rsidRPr="005B41D4">
        <w:t xml:space="preserve">  He also states that Zerubbabel is a type of ‘the true “headstone”, Prince Messiah’.</w:t>
      </w:r>
      <w:r w:rsidRPr="005B41D4">
        <w:rPr>
          <w:rStyle w:val="EndnoteReference"/>
        </w:rPr>
        <w:endnoteReference w:id="719"/>
      </w:r>
      <w:r w:rsidRPr="005B41D4">
        <w:t xml:space="preserve">  </w:t>
      </w:r>
    </w:p>
    <w:p w:rsidR="00442D33" w:rsidRDefault="001349B7" w:rsidP="00442D33">
      <w:r w:rsidRPr="001349B7">
        <w:rPr>
          <w:b/>
          <w:i/>
        </w:rPr>
        <w:t>Continued overleaf</w:t>
      </w:r>
      <w:r>
        <w:t xml:space="preserve"> </w:t>
      </w:r>
      <w:r w:rsidR="00442D33">
        <w:br w:type="page"/>
      </w:r>
    </w:p>
    <w:p w:rsidR="00442D33" w:rsidRDefault="00442D33" w:rsidP="00442D33">
      <w:pPr>
        <w:spacing w:after="120" w:line="360" w:lineRule="auto"/>
        <w:jc w:val="both"/>
        <w:rPr>
          <w:b/>
          <w:i/>
        </w:rPr>
      </w:pPr>
      <w:r w:rsidRPr="00185E8C">
        <w:rPr>
          <w:b/>
          <w:i/>
        </w:rPr>
        <w:lastRenderedPageBreak/>
        <w:t>The New Testament</w:t>
      </w:r>
      <w:r>
        <w:rPr>
          <w:b/>
          <w:i/>
        </w:rPr>
        <w:t xml:space="preserve"> </w:t>
      </w:r>
    </w:p>
    <w:p w:rsidR="00442D33" w:rsidRPr="00185E8C" w:rsidRDefault="00442D33" w:rsidP="00442D33">
      <w:pPr>
        <w:spacing w:after="120" w:line="360" w:lineRule="auto"/>
        <w:jc w:val="center"/>
        <w:rPr>
          <w:b/>
          <w:i/>
        </w:rPr>
      </w:pPr>
      <w:r>
        <w:rPr>
          <w:b/>
          <w:i/>
          <w:noProof/>
          <w:lang w:eastAsia="en-GB"/>
        </w:rPr>
        <w:drawing>
          <wp:inline distT="0" distB="0" distL="0" distR="0" wp14:anchorId="2E1EA6E2" wp14:editId="68F501AB">
            <wp:extent cx="5400040" cy="711327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Testament REV 14.3.18 crop.jpg"/>
                    <pic:cNvPicPr/>
                  </pic:nvPicPr>
                  <pic:blipFill>
                    <a:blip r:embed="rId91">
                      <a:extLst>
                        <a:ext uri="{28A0092B-C50C-407E-A947-70E740481C1C}">
                          <a14:useLocalDpi xmlns:a14="http://schemas.microsoft.com/office/drawing/2010/main" val="0"/>
                        </a:ext>
                      </a:extLst>
                    </a:blip>
                    <a:stretch>
                      <a:fillRect/>
                    </a:stretch>
                  </pic:blipFill>
                  <pic:spPr>
                    <a:xfrm>
                      <a:off x="0" y="0"/>
                      <a:ext cx="5400040" cy="7113270"/>
                    </a:xfrm>
                    <a:prstGeom prst="rect">
                      <a:avLst/>
                    </a:prstGeom>
                  </pic:spPr>
                </pic:pic>
              </a:graphicData>
            </a:graphic>
          </wp:inline>
        </w:drawing>
      </w:r>
    </w:p>
    <w:p w:rsidR="00442D33" w:rsidRDefault="00442D33" w:rsidP="00442D33">
      <w:pPr>
        <w:spacing w:after="120" w:line="360" w:lineRule="auto"/>
        <w:jc w:val="both"/>
      </w:pPr>
      <w:r w:rsidRPr="00C3313B">
        <w:t>References to Hebrews 9 and Heb. 10:20 in Scofield’s notes on Mt. 5:17 and 27:51 justify typological assertions</w:t>
      </w:r>
      <w:r>
        <w:t>;</w:t>
      </w:r>
      <w:r>
        <w:rPr>
          <w:rStyle w:val="EndnoteReference"/>
        </w:rPr>
        <w:endnoteReference w:id="720"/>
      </w:r>
      <w:r>
        <w:t xml:space="preserve"> Hebrews 9 provides a detailed discussion on the relationship between Christ’s role and that of the high priest, </w:t>
      </w:r>
      <w:r w:rsidRPr="00930F14">
        <w:t xml:space="preserve">but the reference </w:t>
      </w:r>
      <w:r>
        <w:t xml:space="preserve">back </w:t>
      </w:r>
      <w:r w:rsidRPr="00930F14">
        <w:t xml:space="preserve">to Leviticus 16 </w:t>
      </w:r>
      <w:r>
        <w:t xml:space="preserve">in the note on Jn 20:17 </w:t>
      </w:r>
      <w:r w:rsidRPr="00930F14">
        <w:t xml:space="preserve">regarding Mary Magdalene’s encounter with the risen Jesus </w:t>
      </w:r>
      <w:r>
        <w:t xml:space="preserve">as typical of ‘the High Priest fulfilling the day of atonement, </w:t>
      </w:r>
      <w:r w:rsidRPr="00930F14">
        <w:t>is non-specific and conjectural.</w:t>
      </w:r>
      <w:r w:rsidRPr="00930F14">
        <w:rPr>
          <w:rStyle w:val="EndnoteReference"/>
        </w:rPr>
        <w:endnoteReference w:id="721"/>
      </w:r>
      <w:r>
        <w:t xml:space="preserve">  As discussed above, Exod. 26:31 and Mt. 27:51 do bear a typological relationship.</w:t>
      </w:r>
    </w:p>
    <w:p w:rsidR="00442D33" w:rsidRPr="00986413" w:rsidRDefault="00442D33" w:rsidP="00442D33">
      <w:pPr>
        <w:spacing w:after="120" w:line="360" w:lineRule="auto"/>
        <w:ind w:firstLine="567"/>
        <w:jc w:val="both"/>
      </w:pPr>
      <w:r>
        <w:lastRenderedPageBreak/>
        <w:t>I</w:t>
      </w:r>
      <w:r w:rsidRPr="00986413">
        <w:t xml:space="preserve">n </w:t>
      </w:r>
      <w:r>
        <w:t>his</w:t>
      </w:r>
      <w:r w:rsidRPr="00986413">
        <w:t xml:space="preserve"> note on Rom. 3:24, </w:t>
      </w:r>
      <w:r>
        <w:t>Scofield states</w:t>
      </w:r>
      <w:r w:rsidRPr="00986413">
        <w:t xml:space="preserve"> that Christ’s fulfilment of Old Testament types is demonstrated in three Greek words.</w:t>
      </w:r>
      <w:r w:rsidRPr="00986413">
        <w:rPr>
          <w:rStyle w:val="EndnoteReference"/>
        </w:rPr>
        <w:endnoteReference w:id="722"/>
      </w:r>
      <w:r w:rsidRPr="00986413">
        <w:t xml:space="preserve">  With </w:t>
      </w:r>
      <w:r w:rsidRPr="006B1B95">
        <w:rPr>
          <w:rFonts w:ascii="Bwgrkl" w:hAnsi="Bwgrkl"/>
          <w:szCs w:val="24"/>
        </w:rPr>
        <w:t>avgora</w:t>
      </w:r>
      <w:proofErr w:type="gramStart"/>
      <w:r w:rsidRPr="006B1B95">
        <w:rPr>
          <w:rFonts w:ascii="Bwgrkl" w:hAnsi="Bwgrkl"/>
          <w:szCs w:val="24"/>
        </w:rPr>
        <w:t>,zw</w:t>
      </w:r>
      <w:proofErr w:type="gramEnd"/>
      <w:r w:rsidRPr="00986413">
        <w:t xml:space="preserve">, </w:t>
      </w:r>
      <w:r>
        <w:t xml:space="preserve">Scofield </w:t>
      </w:r>
      <w:r w:rsidRPr="00986413">
        <w:t xml:space="preserve">focuses on redemption achieved by </w:t>
      </w:r>
      <w:r>
        <w:t xml:space="preserve">Christ; he gives no references for </w:t>
      </w:r>
      <w:r w:rsidRPr="006B1B95">
        <w:rPr>
          <w:rFonts w:ascii="Bwgrkl" w:hAnsi="Bwgrkl"/>
          <w:szCs w:val="24"/>
        </w:rPr>
        <w:t>evxagora,zw</w:t>
      </w:r>
      <w:r>
        <w:t xml:space="preserve">.  Scofield’s </w:t>
      </w:r>
      <w:r w:rsidRPr="00986413">
        <w:t xml:space="preserve">references to freedom and liberty </w:t>
      </w:r>
      <w:r>
        <w:t xml:space="preserve">well illustrate </w:t>
      </w:r>
      <w:r w:rsidRPr="006B1B95">
        <w:rPr>
          <w:rFonts w:ascii="Bwgrkl" w:hAnsi="Bwgrkl"/>
          <w:szCs w:val="24"/>
        </w:rPr>
        <w:t>lutro</w:t>
      </w:r>
      <w:proofErr w:type="gramStart"/>
      <w:r w:rsidRPr="006B1B95">
        <w:rPr>
          <w:rFonts w:ascii="Bwgrkl" w:hAnsi="Bwgrkl"/>
          <w:szCs w:val="24"/>
        </w:rPr>
        <w:t>,w</w:t>
      </w:r>
      <w:proofErr w:type="gramEnd"/>
      <w:r>
        <w:t xml:space="preserve">.  </w:t>
      </w:r>
      <w:r w:rsidRPr="00986413">
        <w:t xml:space="preserve">However, </w:t>
      </w:r>
      <w:r>
        <w:t>Scofield does not</w:t>
      </w:r>
      <w:r w:rsidRPr="00986413">
        <w:t xml:space="preserve"> demonstrate which Old Testament types are being fulfilled in these three words.  </w:t>
      </w:r>
    </w:p>
    <w:p w:rsidR="00442D33" w:rsidRDefault="00442D33" w:rsidP="00442D33">
      <w:pPr>
        <w:spacing w:after="120" w:line="360" w:lineRule="auto"/>
        <w:ind w:firstLine="500"/>
        <w:jc w:val="both"/>
      </w:pPr>
      <w:r>
        <w:t>Scofield</w:t>
      </w:r>
      <w:r w:rsidRPr="00B72F46">
        <w:t xml:space="preserve"> amplif</w:t>
      </w:r>
      <w:r>
        <w:t xml:space="preserve">ies Paul’s statement in 1 Cor. 15:22, ‘as in Adam all die, even so in Christ shall all be made alive’, to make Adam </w:t>
      </w:r>
      <w:r w:rsidRPr="00986413">
        <w:t xml:space="preserve">a contrasting type </w:t>
      </w:r>
      <w:r>
        <w:t>of</w:t>
      </w:r>
      <w:r w:rsidRPr="00986413">
        <w:t xml:space="preserve"> Christ.</w:t>
      </w:r>
      <w:r>
        <w:t xml:space="preserve">  He states that </w:t>
      </w:r>
      <w:r w:rsidRPr="00905C75">
        <w:t xml:space="preserve">Adam was a contrasting type </w:t>
      </w:r>
      <w:r w:rsidRPr="00905C75">
        <w:rPr>
          <w:sz w:val="24"/>
        </w:rPr>
        <w:t>of</w:t>
      </w:r>
      <w:r w:rsidRPr="00905C75">
        <w:t xml:space="preserve"> Christ in that Adam derived life from God whereas Christ gave life to others;</w:t>
      </w:r>
      <w:r>
        <w:rPr>
          <w:rStyle w:val="EndnoteReference"/>
        </w:rPr>
        <w:endnoteReference w:id="723"/>
      </w:r>
      <w:r w:rsidRPr="00905C75">
        <w:t xml:space="preserve"> Adam was from the earth, Christ from heaven; and Adam was head of a fleshly creation in which “all die”, whereas, in Christ, all will be made alive</w:t>
      </w:r>
      <w:r>
        <w:t>; ‘the Adamic creation is “flesh”; the new creation “spirit”’</w:t>
      </w:r>
      <w:r w:rsidRPr="00905C75">
        <w:t>.</w:t>
      </w:r>
      <w:r>
        <w:rPr>
          <w:rStyle w:val="EndnoteReference"/>
        </w:rPr>
        <w:endnoteReference w:id="724"/>
      </w:r>
      <w:r w:rsidRPr="00986413">
        <w:t xml:space="preserve">  </w:t>
      </w:r>
      <w:r>
        <w:t>These references provide legitimate cross references within the New Testament but are illustrations rather than proof of type.</w:t>
      </w:r>
    </w:p>
    <w:p w:rsidR="00442D33" w:rsidRDefault="00442D33" w:rsidP="00442D33">
      <w:pPr>
        <w:spacing w:after="120" w:line="360" w:lineRule="auto"/>
        <w:ind w:firstLine="500"/>
        <w:jc w:val="both"/>
      </w:pPr>
      <w:r w:rsidRPr="006F0245">
        <w:t>In his note on Heb. 5:6, Scofield comments upon the suitability of Melchizedek as a type of Christ as High Priest</w:t>
      </w:r>
      <w:r>
        <w:rPr>
          <w:rStyle w:val="EndnoteReference"/>
        </w:rPr>
        <w:endnoteReference w:id="725"/>
      </w:r>
      <w:r>
        <w:t xml:space="preserve"> in terms of being</w:t>
      </w:r>
      <w:r w:rsidRPr="006F0245">
        <w:t xml:space="preserve"> a king-priest;</w:t>
      </w:r>
      <w:r>
        <w:rPr>
          <w:rStyle w:val="EndnoteReference"/>
        </w:rPr>
        <w:endnoteReference w:id="726"/>
      </w:r>
      <w:r w:rsidRPr="006F0245">
        <w:t xml:space="preserve"> king of Salem, (peace);</w:t>
      </w:r>
      <w:r>
        <w:rPr>
          <w:rStyle w:val="EndnoteReference"/>
        </w:rPr>
        <w:endnoteReference w:id="727"/>
      </w:r>
      <w:r w:rsidRPr="006F0245">
        <w:t xml:space="preserve"> with ‘no (recorded) “beginning of days”’</w:t>
      </w:r>
      <w:r>
        <w:rPr>
          <w:rStyle w:val="EndnoteReference"/>
        </w:rPr>
        <w:endnoteReference w:id="728"/>
      </w:r>
      <w:r w:rsidRPr="006F0245">
        <w:t xml:space="preserve"> or ‘“end of life”’</w:t>
      </w:r>
      <w:r>
        <w:rPr>
          <w:rStyle w:val="EndnoteReference"/>
        </w:rPr>
        <w:endnoteReference w:id="729"/>
      </w:r>
      <w:r w:rsidRPr="006F0245">
        <w:t xml:space="preserve"> and not made a high priest by human appointment.</w:t>
      </w:r>
      <w:r>
        <w:rPr>
          <w:rStyle w:val="EndnoteReference"/>
        </w:rPr>
        <w:endnoteReference w:id="730"/>
      </w:r>
      <w:r w:rsidRPr="006F0245">
        <w:t xml:space="preserve">  In this Scofield says little more than the writer of Hebrews said in chapter 7,</w:t>
      </w:r>
      <w:r>
        <w:rPr>
          <w:rStyle w:val="EndnoteReference"/>
        </w:rPr>
        <w:endnoteReference w:id="731"/>
      </w:r>
      <w:r w:rsidRPr="006F0245">
        <w:t xml:space="preserve"> which Scofield does not annotate.  It is in Scofield’s references for the clause concerning Melchizedek’s lack of ‘“beginning of days” or “end of life”’ </w:t>
      </w:r>
      <w:r w:rsidRPr="00F04290">
        <w:rPr>
          <w:spacing w:val="2"/>
        </w:rPr>
        <w:t xml:space="preserve">that there is room for argument.  The verses which Scofield quotes in his note, Jn 1:1, Rom. 6:9 and Heb. </w:t>
      </w:r>
      <w:r w:rsidRPr="006F0245">
        <w:t>7:23-</w:t>
      </w:r>
      <w:proofErr w:type="gramStart"/>
      <w:r w:rsidRPr="006F0245">
        <w:t>5,</w:t>
      </w:r>
      <w:proofErr w:type="gramEnd"/>
      <w:r w:rsidRPr="006F0245">
        <w:t xml:space="preserve"> all refer to Christ’s existence in the beginning, and to his resurrection and living for ever.  It surely cannot be that Scofield is suggesting that a mere man, even without a recorded beginning or end, could compare with the eternal Son of God.  </w:t>
      </w:r>
      <w:r>
        <w:t>It may be that this represents a further instance of Scofield’s use of the ‘Bible Reading</w:t>
      </w:r>
      <w:r w:rsidR="006B1B95">
        <w:t>s</w:t>
      </w:r>
      <w:r>
        <w:t>’ technique and that he has assembled texts reflecting solely Christ’s nature but this is not made clear.  Some comment on the meaning of this comparison would have been helpful.</w:t>
      </w:r>
    </w:p>
    <w:p w:rsidR="00442D33" w:rsidRDefault="00442D33" w:rsidP="00442D33">
      <w:pPr>
        <w:spacing w:after="120" w:line="360" w:lineRule="auto"/>
        <w:ind w:firstLine="499"/>
        <w:jc w:val="both"/>
      </w:pPr>
      <w:r>
        <w:t xml:space="preserve">In discussing Melchizedek, </w:t>
      </w:r>
      <w:r w:rsidRPr="006D16A6">
        <w:t xml:space="preserve">Richard Bauckham focuses on </w:t>
      </w:r>
      <w:r>
        <w:t xml:space="preserve">Hebrews 7 and </w:t>
      </w:r>
      <w:r w:rsidRPr="006D16A6">
        <w:t xml:space="preserve">the link </w:t>
      </w:r>
      <w:r>
        <w:t xml:space="preserve">it makes </w:t>
      </w:r>
      <w:r w:rsidRPr="006D16A6">
        <w:t>to Ps</w:t>
      </w:r>
      <w:r>
        <w:t>.</w:t>
      </w:r>
      <w:r w:rsidRPr="006D16A6">
        <w:t xml:space="preserve"> 110</w:t>
      </w:r>
      <w:r>
        <w:t>:4.</w:t>
      </w:r>
      <w:r>
        <w:rPr>
          <w:rStyle w:val="EndnoteReference"/>
        </w:rPr>
        <w:endnoteReference w:id="732"/>
      </w:r>
      <w:r>
        <w:t xml:space="preserve">  Bauckham regards Ps. 110:4 as being ‘obscure’ and expounded through the only other passage in the Hebrew Bible in which the name Melchizedek appears.</w:t>
      </w:r>
      <w:r>
        <w:rPr>
          <w:rStyle w:val="EndnoteReference"/>
        </w:rPr>
        <w:endnoteReference w:id="733"/>
      </w:r>
      <w:r>
        <w:t xml:space="preserve">  As king and priest in both passages, Melchizedek ‘well serves the christological purpose of Hebrews, which is to develop the high priestly profile of Jesus alongside and in connection with his messianic lordship’.</w:t>
      </w:r>
      <w:r>
        <w:rPr>
          <w:rStyle w:val="EndnoteReference"/>
        </w:rPr>
        <w:endnoteReference w:id="734"/>
      </w:r>
      <w:r>
        <w:t xml:space="preserve">  Bauckham states that ‘what the author of Hebrews says of Melchizedek in 7:3 is precisely what he said of Christ in applying the words of Ps 102 to him in chap. 1’ – ‘the full eternity of the only true God’.</w:t>
      </w:r>
      <w:r>
        <w:rPr>
          <w:rStyle w:val="EndnoteReference"/>
        </w:rPr>
        <w:endnoteReference w:id="735"/>
      </w:r>
      <w:r>
        <w:t xml:space="preserve">  Any comment Scofield might have made on the crucial quotation from Ps. 102:25-7 in Heb. 1:10-12 is lost in his </w:t>
      </w:r>
      <w:r w:rsidRPr="0002265C">
        <w:rPr>
          <w:i/>
        </w:rPr>
        <w:t>excursus</w:t>
      </w:r>
      <w:r>
        <w:t xml:space="preserve"> on angels, which again may be a product of the Bible Readings method.</w:t>
      </w:r>
      <w:r>
        <w:rPr>
          <w:rStyle w:val="EndnoteReference"/>
        </w:rPr>
        <w:endnoteReference w:id="736"/>
      </w:r>
      <w:r>
        <w:t xml:space="preserve">  </w:t>
      </w:r>
    </w:p>
    <w:p w:rsidR="00442D33" w:rsidRDefault="00442D33" w:rsidP="00442D33">
      <w:pPr>
        <w:spacing w:after="120" w:line="360" w:lineRule="auto"/>
        <w:ind w:firstLine="499"/>
        <w:jc w:val="both"/>
        <w:rPr>
          <w:w w:val="105"/>
        </w:rPr>
      </w:pPr>
      <w:r>
        <w:lastRenderedPageBreak/>
        <w:t xml:space="preserve">Jerome Neyrey points out that Melchizedek is described in terms of “negative theology” as </w:t>
      </w:r>
      <w:r w:rsidRPr="00C3010C">
        <w:rPr>
          <w:i/>
        </w:rPr>
        <w:t>apator,</w:t>
      </w:r>
      <w:r w:rsidRPr="00C3010C">
        <w:rPr>
          <w:i/>
          <w:spacing w:val="-20"/>
        </w:rPr>
        <w:t xml:space="preserve"> </w:t>
      </w:r>
      <w:r w:rsidRPr="00C3010C">
        <w:rPr>
          <w:i/>
        </w:rPr>
        <w:t>ametor,</w:t>
      </w:r>
      <w:r w:rsidRPr="00C3010C">
        <w:rPr>
          <w:i/>
          <w:spacing w:val="-16"/>
        </w:rPr>
        <w:t xml:space="preserve"> </w:t>
      </w:r>
      <w:r w:rsidRPr="00C3010C">
        <w:rPr>
          <w:i/>
        </w:rPr>
        <w:t>agenealogetos</w:t>
      </w:r>
      <w:r>
        <w:rPr>
          <w:i/>
        </w:rPr>
        <w:t>,</w:t>
      </w:r>
      <w:r w:rsidRPr="001B18E6">
        <w:rPr>
          <w:rStyle w:val="FootnoteReference"/>
        </w:rPr>
        <w:footnoteReference w:id="37"/>
      </w:r>
      <w:r w:rsidRPr="001B18E6">
        <w:t xml:space="preserve"> </w:t>
      </w:r>
      <w:proofErr w:type="gramStart"/>
      <w:r w:rsidRPr="007318EF">
        <w:t>a</w:t>
      </w:r>
      <w:proofErr w:type="gramEnd"/>
      <w:r w:rsidRPr="007318EF">
        <w:t xml:space="preserve"> Greek ‘alpha privative’ format which is usually used in Greek theology to describe a god.  However, he emphasises that </w:t>
      </w:r>
      <w:r>
        <w:t>‘</w:t>
      </w:r>
      <w:r w:rsidRPr="00C3010C">
        <w:rPr>
          <w:w w:val="105"/>
        </w:rPr>
        <w:t>the</w:t>
      </w:r>
      <w:r w:rsidRPr="00C3010C">
        <w:rPr>
          <w:spacing w:val="-28"/>
          <w:w w:val="105"/>
        </w:rPr>
        <w:t xml:space="preserve"> </w:t>
      </w:r>
      <w:r w:rsidRPr="00C3010C">
        <w:rPr>
          <w:w w:val="105"/>
        </w:rPr>
        <w:t>point</w:t>
      </w:r>
      <w:r w:rsidRPr="00C3010C">
        <w:rPr>
          <w:spacing w:val="-18"/>
          <w:w w:val="105"/>
        </w:rPr>
        <w:t xml:space="preserve"> </w:t>
      </w:r>
      <w:r w:rsidRPr="00C3010C">
        <w:rPr>
          <w:w w:val="105"/>
        </w:rPr>
        <w:t>is</w:t>
      </w:r>
      <w:r w:rsidRPr="00C3010C">
        <w:rPr>
          <w:spacing w:val="-30"/>
          <w:w w:val="105"/>
        </w:rPr>
        <w:t xml:space="preserve"> </w:t>
      </w:r>
      <w:r w:rsidRPr="00C3010C">
        <w:rPr>
          <w:w w:val="105"/>
        </w:rPr>
        <w:t>not</w:t>
      </w:r>
      <w:r w:rsidRPr="00C3010C">
        <w:rPr>
          <w:spacing w:val="-24"/>
          <w:w w:val="105"/>
        </w:rPr>
        <w:t xml:space="preserve"> </w:t>
      </w:r>
      <w:r w:rsidRPr="00C3010C">
        <w:rPr>
          <w:w w:val="105"/>
        </w:rPr>
        <w:t>to</w:t>
      </w:r>
      <w:r w:rsidRPr="00C3010C">
        <w:rPr>
          <w:spacing w:val="-31"/>
          <w:w w:val="105"/>
        </w:rPr>
        <w:t xml:space="preserve"> </w:t>
      </w:r>
      <w:r w:rsidRPr="00C3010C">
        <w:rPr>
          <w:w w:val="105"/>
        </w:rPr>
        <w:t>exalt</w:t>
      </w:r>
      <w:r w:rsidRPr="00C3010C">
        <w:rPr>
          <w:spacing w:val="-21"/>
          <w:w w:val="105"/>
        </w:rPr>
        <w:t xml:space="preserve"> </w:t>
      </w:r>
      <w:r w:rsidRPr="00C3010C">
        <w:rPr>
          <w:w w:val="105"/>
        </w:rPr>
        <w:t>Melchizedek</w:t>
      </w:r>
      <w:r w:rsidRPr="00C3010C">
        <w:rPr>
          <w:spacing w:val="-15"/>
          <w:w w:val="105"/>
        </w:rPr>
        <w:t xml:space="preserve"> </w:t>
      </w:r>
      <w:r w:rsidRPr="00C3010C">
        <w:rPr>
          <w:w w:val="105"/>
        </w:rPr>
        <w:t>for</w:t>
      </w:r>
      <w:r w:rsidRPr="00C3010C">
        <w:rPr>
          <w:spacing w:val="-28"/>
          <w:w w:val="105"/>
        </w:rPr>
        <w:t xml:space="preserve"> </w:t>
      </w:r>
      <w:r w:rsidRPr="00C3010C">
        <w:rPr>
          <w:w w:val="105"/>
        </w:rPr>
        <w:t>his</w:t>
      </w:r>
      <w:r w:rsidRPr="00C3010C">
        <w:rPr>
          <w:spacing w:val="-26"/>
          <w:w w:val="105"/>
        </w:rPr>
        <w:t xml:space="preserve"> </w:t>
      </w:r>
      <w:r w:rsidRPr="00C3010C">
        <w:rPr>
          <w:w w:val="105"/>
        </w:rPr>
        <w:t>own</w:t>
      </w:r>
      <w:r w:rsidRPr="00C3010C">
        <w:rPr>
          <w:spacing w:val="-25"/>
          <w:w w:val="105"/>
        </w:rPr>
        <w:t xml:space="preserve"> </w:t>
      </w:r>
      <w:r w:rsidRPr="00C3010C">
        <w:rPr>
          <w:w w:val="105"/>
        </w:rPr>
        <w:t>sake,</w:t>
      </w:r>
      <w:r w:rsidRPr="00C3010C">
        <w:rPr>
          <w:spacing w:val="-28"/>
          <w:w w:val="105"/>
        </w:rPr>
        <w:t xml:space="preserve"> </w:t>
      </w:r>
      <w:r w:rsidRPr="00C3010C">
        <w:rPr>
          <w:w w:val="105"/>
        </w:rPr>
        <w:t>but</w:t>
      </w:r>
      <w:r w:rsidRPr="00C3010C">
        <w:rPr>
          <w:spacing w:val="-22"/>
          <w:w w:val="105"/>
        </w:rPr>
        <w:t xml:space="preserve"> </w:t>
      </w:r>
      <w:r w:rsidRPr="00C3010C">
        <w:rPr>
          <w:w w:val="105"/>
        </w:rPr>
        <w:t>to</w:t>
      </w:r>
      <w:r w:rsidRPr="00C3010C">
        <w:rPr>
          <w:spacing w:val="-28"/>
          <w:w w:val="105"/>
        </w:rPr>
        <w:t xml:space="preserve"> </w:t>
      </w:r>
      <w:r w:rsidRPr="00C3010C">
        <w:rPr>
          <w:w w:val="105"/>
        </w:rPr>
        <w:t>promote</w:t>
      </w:r>
      <w:r w:rsidRPr="00C3010C">
        <w:rPr>
          <w:w w:val="101"/>
        </w:rPr>
        <w:t xml:space="preserve"> </w:t>
      </w:r>
      <w:r w:rsidRPr="00C3010C">
        <w:rPr>
          <w:w w:val="105"/>
        </w:rPr>
        <w:t>Jesus:</w:t>
      </w:r>
      <w:r w:rsidRPr="00C3010C">
        <w:rPr>
          <w:spacing w:val="-10"/>
          <w:w w:val="105"/>
        </w:rPr>
        <w:t xml:space="preserve"> </w:t>
      </w:r>
      <w:r>
        <w:rPr>
          <w:spacing w:val="-7"/>
          <w:w w:val="105"/>
        </w:rPr>
        <w:t>“</w:t>
      </w:r>
      <w:r w:rsidRPr="00C3010C">
        <w:rPr>
          <w:w w:val="105"/>
        </w:rPr>
        <w:t>resembling</w:t>
      </w:r>
      <w:r w:rsidRPr="00C3010C">
        <w:rPr>
          <w:spacing w:val="-2"/>
          <w:w w:val="105"/>
        </w:rPr>
        <w:t xml:space="preserve"> </w:t>
      </w:r>
      <w:r w:rsidRPr="00C3010C">
        <w:rPr>
          <w:w w:val="105"/>
        </w:rPr>
        <w:t>the</w:t>
      </w:r>
      <w:r w:rsidRPr="00C3010C">
        <w:rPr>
          <w:spacing w:val="-3"/>
          <w:w w:val="105"/>
        </w:rPr>
        <w:t xml:space="preserve"> </w:t>
      </w:r>
      <w:r w:rsidRPr="00C3010C">
        <w:rPr>
          <w:w w:val="105"/>
        </w:rPr>
        <w:t>Son</w:t>
      </w:r>
      <w:r w:rsidRPr="00C3010C">
        <w:rPr>
          <w:spacing w:val="-13"/>
          <w:w w:val="105"/>
        </w:rPr>
        <w:t xml:space="preserve"> </w:t>
      </w:r>
      <w:r w:rsidRPr="00C3010C">
        <w:rPr>
          <w:w w:val="105"/>
        </w:rPr>
        <w:t>of</w:t>
      </w:r>
      <w:r w:rsidRPr="00C3010C">
        <w:rPr>
          <w:spacing w:val="1"/>
          <w:w w:val="105"/>
        </w:rPr>
        <w:t xml:space="preserve"> </w:t>
      </w:r>
      <w:r w:rsidRPr="00C3010C">
        <w:rPr>
          <w:w w:val="105"/>
        </w:rPr>
        <w:t>God</w:t>
      </w:r>
      <w:r>
        <w:rPr>
          <w:w w:val="105"/>
        </w:rPr>
        <w:t>”</w:t>
      </w:r>
      <w:r w:rsidRPr="00C3010C">
        <w:rPr>
          <w:spacing w:val="-24"/>
          <w:w w:val="105"/>
        </w:rPr>
        <w:t xml:space="preserve"> </w:t>
      </w:r>
      <w:r w:rsidRPr="00C3010C">
        <w:rPr>
          <w:w w:val="105"/>
        </w:rPr>
        <w:t>(7:3)</w:t>
      </w:r>
      <w:r>
        <w:rPr>
          <w:w w:val="105"/>
        </w:rPr>
        <w:t>’</w:t>
      </w:r>
      <w:r w:rsidRPr="00C3010C">
        <w:rPr>
          <w:w w:val="105"/>
        </w:rPr>
        <w:t>.</w:t>
      </w:r>
      <w:r w:rsidRPr="00C3010C">
        <w:rPr>
          <w:spacing w:val="-8"/>
          <w:w w:val="105"/>
        </w:rPr>
        <w:t xml:space="preserve"> </w:t>
      </w:r>
      <w:r>
        <w:rPr>
          <w:spacing w:val="-8"/>
          <w:w w:val="105"/>
        </w:rPr>
        <w:t xml:space="preserve"> </w:t>
      </w:r>
      <w:r w:rsidRPr="00764DE7">
        <w:rPr>
          <w:w w:val="105"/>
        </w:rPr>
        <w:t>It represents</w:t>
      </w:r>
      <w:r>
        <w:rPr>
          <w:w w:val="105"/>
        </w:rPr>
        <w:t xml:space="preserve"> ‘t</w:t>
      </w:r>
      <w:r w:rsidRPr="00C3010C">
        <w:rPr>
          <w:w w:val="105"/>
        </w:rPr>
        <w:t>he</w:t>
      </w:r>
      <w:r w:rsidRPr="00C3010C">
        <w:rPr>
          <w:spacing w:val="20"/>
          <w:w w:val="105"/>
        </w:rPr>
        <w:t xml:space="preserve"> </w:t>
      </w:r>
      <w:r w:rsidRPr="00C3010C">
        <w:rPr>
          <w:spacing w:val="-1"/>
          <w:w w:val="105"/>
        </w:rPr>
        <w:t>author's</w:t>
      </w:r>
      <w:r w:rsidRPr="00C3010C">
        <w:rPr>
          <w:spacing w:val="8"/>
          <w:w w:val="105"/>
        </w:rPr>
        <w:t xml:space="preserve"> </w:t>
      </w:r>
      <w:r w:rsidRPr="00C3010C">
        <w:rPr>
          <w:w w:val="105"/>
        </w:rPr>
        <w:t>clear</w:t>
      </w:r>
      <w:r w:rsidRPr="00C3010C">
        <w:rPr>
          <w:spacing w:val="18"/>
          <w:w w:val="105"/>
        </w:rPr>
        <w:t xml:space="preserve"> </w:t>
      </w:r>
      <w:r w:rsidRPr="00C3010C">
        <w:rPr>
          <w:w w:val="105"/>
        </w:rPr>
        <w:t>and</w:t>
      </w:r>
      <w:r w:rsidRPr="00C3010C">
        <w:rPr>
          <w:spacing w:val="24"/>
          <w:w w:val="105"/>
        </w:rPr>
        <w:t xml:space="preserve"> </w:t>
      </w:r>
      <w:r w:rsidRPr="00C3010C">
        <w:rPr>
          <w:w w:val="105"/>
        </w:rPr>
        <w:t>nuanced</w:t>
      </w:r>
      <w:r w:rsidRPr="00C3010C">
        <w:rPr>
          <w:spacing w:val="22"/>
          <w:w w:val="98"/>
        </w:rPr>
        <w:t xml:space="preserve"> </w:t>
      </w:r>
      <w:r w:rsidRPr="00C3010C">
        <w:rPr>
          <w:w w:val="105"/>
        </w:rPr>
        <w:t>acclamation</w:t>
      </w:r>
      <w:r w:rsidRPr="00C3010C">
        <w:rPr>
          <w:spacing w:val="2"/>
          <w:w w:val="105"/>
        </w:rPr>
        <w:t xml:space="preserve"> </w:t>
      </w:r>
      <w:r w:rsidRPr="00C3010C">
        <w:rPr>
          <w:w w:val="105"/>
        </w:rPr>
        <w:t>of</w:t>
      </w:r>
      <w:r w:rsidRPr="00C3010C">
        <w:rPr>
          <w:spacing w:val="-9"/>
          <w:w w:val="105"/>
        </w:rPr>
        <w:t xml:space="preserve"> </w:t>
      </w:r>
      <w:r w:rsidRPr="00C3010C">
        <w:rPr>
          <w:w w:val="105"/>
        </w:rPr>
        <w:t>Jesus</w:t>
      </w:r>
      <w:r w:rsidRPr="00C3010C">
        <w:rPr>
          <w:spacing w:val="-5"/>
          <w:w w:val="105"/>
        </w:rPr>
        <w:t xml:space="preserve"> </w:t>
      </w:r>
      <w:r w:rsidRPr="00C3010C">
        <w:rPr>
          <w:w w:val="105"/>
        </w:rPr>
        <w:t>as</w:t>
      </w:r>
      <w:r w:rsidRPr="00C3010C">
        <w:rPr>
          <w:spacing w:val="-12"/>
          <w:w w:val="105"/>
        </w:rPr>
        <w:t xml:space="preserve"> </w:t>
      </w:r>
      <w:r w:rsidRPr="00C3010C">
        <w:rPr>
          <w:w w:val="105"/>
        </w:rPr>
        <w:t>a</w:t>
      </w:r>
      <w:r w:rsidRPr="00C3010C">
        <w:rPr>
          <w:spacing w:val="-20"/>
          <w:w w:val="105"/>
        </w:rPr>
        <w:t xml:space="preserve"> </w:t>
      </w:r>
      <w:r w:rsidRPr="00C3010C">
        <w:rPr>
          <w:w w:val="105"/>
        </w:rPr>
        <w:t>true</w:t>
      </w:r>
      <w:r w:rsidRPr="00C3010C">
        <w:rPr>
          <w:spacing w:val="-11"/>
          <w:w w:val="105"/>
        </w:rPr>
        <w:t xml:space="preserve"> </w:t>
      </w:r>
      <w:r w:rsidRPr="00C3010C">
        <w:rPr>
          <w:w w:val="105"/>
        </w:rPr>
        <w:t>deity</w:t>
      </w:r>
      <w:r>
        <w:rPr>
          <w:w w:val="105"/>
        </w:rPr>
        <w:t>’</w:t>
      </w:r>
      <w:r w:rsidRPr="00C3010C">
        <w:rPr>
          <w:w w:val="105"/>
        </w:rPr>
        <w:t>.</w:t>
      </w:r>
      <w:r>
        <w:rPr>
          <w:rStyle w:val="EndnoteReference"/>
          <w:w w:val="105"/>
        </w:rPr>
        <w:endnoteReference w:id="737"/>
      </w:r>
      <w:r>
        <w:rPr>
          <w:w w:val="105"/>
        </w:rPr>
        <w:t xml:space="preserve">  Bauckham adds that it is important to stress ‘the ‘Jewishness of this author’s use of Hellenistic philosophical language … When adopted into the context of the Jewish understanding of God, such </w:t>
      </w:r>
      <w:proofErr w:type="gramStart"/>
      <w:r>
        <w:rPr>
          <w:w w:val="105"/>
        </w:rPr>
        <w:t>hellenistic</w:t>
      </w:r>
      <w:proofErr w:type="gramEnd"/>
      <w:r>
        <w:rPr>
          <w:w w:val="105"/>
        </w:rPr>
        <w:t xml:space="preserve"> god-language …it becomes monotheistic language. … Terms which for non-Jewish writers defined </w:t>
      </w:r>
      <w:r w:rsidRPr="00764DE7">
        <w:rPr>
          <w:i/>
          <w:w w:val="105"/>
        </w:rPr>
        <w:t>a</w:t>
      </w:r>
      <w:r>
        <w:rPr>
          <w:w w:val="105"/>
        </w:rPr>
        <w:t xml:space="preserve"> true deity for Jewish writers define </w:t>
      </w:r>
      <w:r w:rsidRPr="00764DE7">
        <w:rPr>
          <w:i/>
          <w:w w:val="105"/>
        </w:rPr>
        <w:t>the one and only</w:t>
      </w:r>
      <w:r>
        <w:rPr>
          <w:w w:val="105"/>
        </w:rPr>
        <w:t xml:space="preserve"> true deity.’</w:t>
      </w:r>
      <w:r>
        <w:rPr>
          <w:rStyle w:val="EndnoteReference"/>
          <w:w w:val="105"/>
        </w:rPr>
        <w:endnoteReference w:id="738"/>
      </w:r>
    </w:p>
    <w:p w:rsidR="00442D33" w:rsidRDefault="00442D33" w:rsidP="00442D33">
      <w:pPr>
        <w:spacing w:after="120" w:line="360" w:lineRule="auto"/>
        <w:ind w:firstLine="499"/>
        <w:jc w:val="both"/>
      </w:pPr>
      <w:r>
        <w:rPr>
          <w:w w:val="105"/>
        </w:rPr>
        <w:t>Scofield makes a further typological Christological assertion in his note on Heb. 10:18.</w:t>
      </w:r>
      <w:r>
        <w:rPr>
          <w:rStyle w:val="EndnoteReference"/>
          <w:w w:val="105"/>
        </w:rPr>
        <w:endnoteReference w:id="739"/>
      </w:r>
      <w:r>
        <w:rPr>
          <w:w w:val="105"/>
        </w:rPr>
        <w:t xml:space="preserve">  The sacrifices offered by priests under the law were ‘shadows, types’ ‘pointing to Christ and fulfilled in Him’; ‘</w:t>
      </w:r>
      <w:proofErr w:type="gramStart"/>
      <w:r>
        <w:rPr>
          <w:w w:val="105"/>
        </w:rPr>
        <w:t>As</w:t>
      </w:r>
      <w:proofErr w:type="gramEnd"/>
      <w:r>
        <w:rPr>
          <w:w w:val="105"/>
        </w:rPr>
        <w:t xml:space="preserve"> foreshadowed by the types and explained by </w:t>
      </w:r>
      <w:r w:rsidRPr="00214760">
        <w:rPr>
          <w:w w:val="105"/>
        </w:rPr>
        <w:t>the New Testament’</w:t>
      </w:r>
      <w:r>
        <w:rPr>
          <w:w w:val="105"/>
        </w:rPr>
        <w:t>,</w:t>
      </w:r>
      <w:r w:rsidRPr="00214760">
        <w:rPr>
          <w:w w:val="105"/>
        </w:rPr>
        <w:t xml:space="preserve"> Christ’s sacrifice is ‘penal,</w:t>
      </w:r>
      <w:r>
        <w:rPr>
          <w:rStyle w:val="EndnoteReference"/>
          <w:w w:val="105"/>
        </w:rPr>
        <w:endnoteReference w:id="740"/>
      </w:r>
      <w:r>
        <w:rPr>
          <w:w w:val="105"/>
        </w:rPr>
        <w:t xml:space="preserve"> substitutional,</w:t>
      </w:r>
      <w:r>
        <w:rPr>
          <w:rStyle w:val="EndnoteReference"/>
          <w:w w:val="105"/>
        </w:rPr>
        <w:endnoteReference w:id="741"/>
      </w:r>
      <w:r>
        <w:rPr>
          <w:w w:val="105"/>
        </w:rPr>
        <w:t xml:space="preserve"> voluntary,</w:t>
      </w:r>
      <w:r>
        <w:rPr>
          <w:rStyle w:val="EndnoteReference"/>
          <w:w w:val="105"/>
        </w:rPr>
        <w:endnoteReference w:id="742"/>
      </w:r>
      <w:r>
        <w:rPr>
          <w:w w:val="105"/>
        </w:rPr>
        <w:t xml:space="preserve"> redemptive,</w:t>
      </w:r>
      <w:r>
        <w:rPr>
          <w:rStyle w:val="EndnoteReference"/>
          <w:w w:val="105"/>
        </w:rPr>
        <w:endnoteReference w:id="743"/>
      </w:r>
      <w:r>
        <w:rPr>
          <w:w w:val="105"/>
        </w:rPr>
        <w:t xml:space="preserve"> reconciling,</w:t>
      </w:r>
      <w:r>
        <w:rPr>
          <w:rStyle w:val="EndnoteReference"/>
          <w:w w:val="105"/>
        </w:rPr>
        <w:endnoteReference w:id="744"/>
      </w:r>
      <w:r>
        <w:rPr>
          <w:w w:val="105"/>
        </w:rPr>
        <w:t xml:space="preserve"> efficacious</w:t>
      </w:r>
      <w:r>
        <w:rPr>
          <w:rStyle w:val="EndnoteReference"/>
          <w:w w:val="105"/>
        </w:rPr>
        <w:endnoteReference w:id="745"/>
      </w:r>
      <w:r>
        <w:rPr>
          <w:w w:val="105"/>
        </w:rPr>
        <w:t xml:space="preserve"> and revelatory.’</w:t>
      </w:r>
      <w:r>
        <w:rPr>
          <w:rStyle w:val="EndnoteReference"/>
          <w:w w:val="105"/>
        </w:rPr>
        <w:endnoteReference w:id="746"/>
      </w:r>
      <w:r>
        <w:rPr>
          <w:w w:val="105"/>
        </w:rPr>
        <w:t xml:space="preserve">  While the references Scofield provides give an impressive coverage of the themes he lists, very few of them illustrate typological significance and there are very limited Old Testament references.  The cross reference between Isa. 53:5-6 and 1 Pet. 2:24 </w:t>
      </w:r>
      <w:proofErr w:type="gramStart"/>
      <w:r>
        <w:rPr>
          <w:w w:val="105"/>
        </w:rPr>
        <w:t>is</w:t>
      </w:r>
      <w:proofErr w:type="gramEnd"/>
      <w:r>
        <w:rPr>
          <w:w w:val="105"/>
        </w:rPr>
        <w:t xml:space="preserve"> legitimate, though not typological.  The reference to the Aqedah (Gen. 22:9) is debatable; it was Abraham who was willing voluntarily to sacrifice his son, Isaac, whereas it is the Son, Christ, who voluntarily sacrifices his own life in Jn 10:18, though the link between the Aqedah and Christ is a commonly held Christian tenet.  </w:t>
      </w:r>
    </w:p>
    <w:p w:rsidR="00442D33" w:rsidRPr="00D5076F" w:rsidRDefault="00442D33" w:rsidP="00442D33">
      <w:pPr>
        <w:spacing w:after="120" w:line="360" w:lineRule="auto"/>
        <w:ind w:right="-28"/>
        <w:jc w:val="both"/>
        <w:rPr>
          <w:b/>
        </w:rPr>
      </w:pPr>
      <w:r w:rsidRPr="00AB29DB">
        <w:rPr>
          <w:b/>
          <w:i/>
        </w:rPr>
        <w:t>ii)  Non-Typological Assertions</w:t>
      </w:r>
      <w:r>
        <w:rPr>
          <w:b/>
        </w:rPr>
        <w:t xml:space="preserve"> </w:t>
      </w:r>
      <w:r>
        <w:rPr>
          <w:b/>
          <w:i/>
        </w:rPr>
        <w:t xml:space="preserve">Concerning Christ and the Cross  </w:t>
      </w:r>
    </w:p>
    <w:p w:rsidR="00442D33" w:rsidRDefault="00442D33" w:rsidP="00442D33">
      <w:pPr>
        <w:spacing w:after="120" w:line="360" w:lineRule="auto"/>
        <w:ind w:right="-29"/>
        <w:jc w:val="both"/>
      </w:pPr>
      <w:r>
        <w:t xml:space="preserve">Scofield often uses other comparative words such as ‘symbolise’, ‘speak of’, ‘seen as’, ‘adumbrate’, ‘is’ or even a colon, which seem in some instances to act as synonyms for ‘typify’.  </w:t>
      </w:r>
      <w:proofErr w:type="gramStart"/>
      <w:r>
        <w:t>These other expressions and representations relate Old and New Testament concepts in much the same way as the instances where Scofield’s use of ‘type’ seems unsupported by New Testament evidence.</w:t>
      </w:r>
      <w:proofErr w:type="gramEnd"/>
      <w:r>
        <w:t xml:space="preserve">  </w:t>
      </w:r>
    </w:p>
    <w:p w:rsidR="005C35EC" w:rsidRDefault="00442D33" w:rsidP="007B7B14">
      <w:pPr>
        <w:spacing w:after="120" w:line="360" w:lineRule="auto"/>
        <w:ind w:right="-29" w:firstLine="567"/>
        <w:jc w:val="both"/>
      </w:pPr>
      <w:r w:rsidRPr="00D10E77">
        <w:t>Most of the non-typological Christological comparisons come from Leviticus and concern elements in tabernacle sacrifice.  There is a single instance of non-typological comparison in Scofield’s note on Exod. 30:34, where he differentiates between incense and frankincense and between their meanings in relation to Christ, as Christ’s perfections and God’s view of Christ’s ‘ineffable’ nature.</w:t>
      </w:r>
      <w:r w:rsidRPr="00D10E77">
        <w:rPr>
          <w:rStyle w:val="EndnoteReference"/>
        </w:rPr>
        <w:endnoteReference w:id="747"/>
      </w:r>
      <w:r w:rsidRPr="00D10E77">
        <w:t xml:space="preserve">  No references are given to explain this.</w:t>
      </w:r>
    </w:p>
    <w:p w:rsidR="001349B7" w:rsidRDefault="001349B7" w:rsidP="001349B7">
      <w:pPr>
        <w:spacing w:after="120" w:line="360" w:lineRule="auto"/>
        <w:ind w:right="-29"/>
        <w:jc w:val="both"/>
      </w:pPr>
      <w:r w:rsidRPr="001349B7">
        <w:rPr>
          <w:b/>
          <w:i/>
        </w:rPr>
        <w:t>Continued overleaf</w:t>
      </w:r>
    </w:p>
    <w:p w:rsidR="007B7B14" w:rsidRDefault="007B7B14" w:rsidP="005C35EC">
      <w:pPr>
        <w:spacing w:after="120" w:line="360" w:lineRule="auto"/>
        <w:ind w:right="-29" w:firstLine="567"/>
        <w:jc w:val="both"/>
      </w:pPr>
    </w:p>
    <w:p w:rsidR="00442D33" w:rsidRDefault="00442D33" w:rsidP="00442D33">
      <w:pPr>
        <w:spacing w:after="120" w:line="360" w:lineRule="auto"/>
        <w:ind w:right="-29"/>
        <w:jc w:val="both"/>
        <w:rPr>
          <w:noProof/>
          <w:lang w:eastAsia="en-GB"/>
        </w:rPr>
      </w:pPr>
    </w:p>
    <w:p w:rsidR="00902BAA" w:rsidRDefault="00902BAA" w:rsidP="00442D33">
      <w:pPr>
        <w:spacing w:after="120" w:line="360" w:lineRule="auto"/>
        <w:ind w:right="-29"/>
        <w:jc w:val="both"/>
        <w:rPr>
          <w:noProof/>
          <w:lang w:eastAsia="en-GB"/>
        </w:rPr>
      </w:pPr>
    </w:p>
    <w:p w:rsidR="00902BAA" w:rsidRDefault="00455168" w:rsidP="00455168">
      <w:pPr>
        <w:spacing w:after="120" w:line="360" w:lineRule="auto"/>
        <w:ind w:right="-29"/>
      </w:pPr>
      <w:r>
        <w:rPr>
          <w:noProof/>
          <w:lang w:eastAsia="en-GB"/>
        </w:rPr>
        <w:lastRenderedPageBreak/>
        <w:drawing>
          <wp:inline distT="0" distB="0" distL="0" distR="0" wp14:anchorId="1A4DE799" wp14:editId="39BA9054">
            <wp:extent cx="5400040" cy="810641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 typolassertions Christ &amp; Cross REV 24.6.18_Page_1 CROP.jpg"/>
                    <pic:cNvPicPr/>
                  </pic:nvPicPr>
                  <pic:blipFill>
                    <a:blip r:embed="rId92">
                      <a:extLst>
                        <a:ext uri="{28A0092B-C50C-407E-A947-70E740481C1C}">
                          <a14:useLocalDpi xmlns:a14="http://schemas.microsoft.com/office/drawing/2010/main" val="0"/>
                        </a:ext>
                      </a:extLst>
                    </a:blip>
                    <a:stretch>
                      <a:fillRect/>
                    </a:stretch>
                  </pic:blipFill>
                  <pic:spPr>
                    <a:xfrm>
                      <a:off x="0" y="0"/>
                      <a:ext cx="5400040" cy="8106410"/>
                    </a:xfrm>
                    <a:prstGeom prst="rect">
                      <a:avLst/>
                    </a:prstGeom>
                  </pic:spPr>
                </pic:pic>
              </a:graphicData>
            </a:graphic>
          </wp:inline>
        </w:drawing>
      </w:r>
      <w:r w:rsidRPr="00455168">
        <w:rPr>
          <w:b/>
          <w:i/>
        </w:rPr>
        <w:t xml:space="preserve"> </w:t>
      </w:r>
      <w:r w:rsidRPr="001349B7">
        <w:rPr>
          <w:b/>
          <w:i/>
        </w:rPr>
        <w:t>Continued overleaf</w:t>
      </w:r>
    </w:p>
    <w:p w:rsidR="00442D33" w:rsidRPr="007270F9" w:rsidRDefault="00442D33" w:rsidP="00442D33">
      <w:pPr>
        <w:spacing w:after="120" w:line="360" w:lineRule="auto"/>
        <w:ind w:right="-29"/>
        <w:jc w:val="center"/>
        <w:rPr>
          <w:sz w:val="2"/>
        </w:rPr>
      </w:pPr>
    </w:p>
    <w:p w:rsidR="00455168" w:rsidRDefault="00455168" w:rsidP="00455168">
      <w:pPr>
        <w:spacing w:after="120" w:line="360" w:lineRule="auto"/>
        <w:ind w:right="-29"/>
        <w:jc w:val="center"/>
      </w:pPr>
      <w:r>
        <w:rPr>
          <w:noProof/>
          <w:lang w:eastAsia="en-GB"/>
        </w:rPr>
        <w:lastRenderedPageBreak/>
        <w:drawing>
          <wp:inline distT="0" distB="0" distL="0" distR="0" wp14:anchorId="453FC5C0" wp14:editId="3A922B6B">
            <wp:extent cx="5400040" cy="269367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 typolassertions Christ &amp; Cross REV 24.6.18_Page_2 CROP.jpg"/>
                    <pic:cNvPicPr/>
                  </pic:nvPicPr>
                  <pic:blipFill>
                    <a:blip r:embed="rId93">
                      <a:extLst>
                        <a:ext uri="{28A0092B-C50C-407E-A947-70E740481C1C}">
                          <a14:useLocalDpi xmlns:a14="http://schemas.microsoft.com/office/drawing/2010/main" val="0"/>
                        </a:ext>
                      </a:extLst>
                    </a:blip>
                    <a:stretch>
                      <a:fillRect/>
                    </a:stretch>
                  </pic:blipFill>
                  <pic:spPr>
                    <a:xfrm>
                      <a:off x="0" y="0"/>
                      <a:ext cx="5400040" cy="2693670"/>
                    </a:xfrm>
                    <a:prstGeom prst="rect">
                      <a:avLst/>
                    </a:prstGeom>
                  </pic:spPr>
                </pic:pic>
              </a:graphicData>
            </a:graphic>
          </wp:inline>
        </w:drawing>
      </w:r>
    </w:p>
    <w:p w:rsidR="00442D33" w:rsidRPr="0074725D" w:rsidRDefault="00442D33" w:rsidP="005C35EC">
      <w:pPr>
        <w:spacing w:after="120" w:line="360" w:lineRule="auto"/>
        <w:ind w:right="-29"/>
        <w:jc w:val="both"/>
      </w:pPr>
      <w:r w:rsidRPr="007318EF">
        <w:t>Scofield’s interpolated subheads to the first five chapters of Leviticus make direct references to Christ without suggesting any alternative interpretation such as Israelite sacrificial law, despite the references given to verses which prescribe the methods for the various sacrifices.</w:t>
      </w:r>
      <w:r w:rsidRPr="007318EF">
        <w:rPr>
          <w:rStyle w:val="EndnoteReference"/>
        </w:rPr>
        <w:endnoteReference w:id="748"/>
      </w:r>
      <w:r w:rsidRPr="007318EF">
        <w:t xml:space="preserve">  The references are</w:t>
      </w:r>
      <w:r w:rsidRPr="007318EF">
        <w:rPr>
          <w:color w:val="FF0000"/>
        </w:rPr>
        <w:t xml:space="preserve"> </w:t>
      </w:r>
      <w:r w:rsidRPr="007318EF">
        <w:t>to</w:t>
      </w:r>
      <w:r w:rsidRPr="00160808">
        <w:t xml:space="preserve"> Christ</w:t>
      </w:r>
      <w:r>
        <w:t xml:space="preserve"> as a spotless offering to God,</w:t>
      </w:r>
      <w:r>
        <w:rPr>
          <w:rStyle w:val="EndnoteReference"/>
        </w:rPr>
        <w:endnoteReference w:id="749"/>
      </w:r>
      <w:r>
        <w:t xml:space="preserve"> Christ’s human perfections tested by suffering,</w:t>
      </w:r>
      <w:r>
        <w:rPr>
          <w:rStyle w:val="EndnoteReference"/>
        </w:rPr>
        <w:endnoteReference w:id="750"/>
      </w:r>
      <w:r>
        <w:t xml:space="preserve"> Christ as ‘our peace’,</w:t>
      </w:r>
      <w:r>
        <w:rPr>
          <w:rStyle w:val="EndnoteReference"/>
        </w:rPr>
        <w:endnoteReference w:id="751"/>
      </w:r>
      <w:r>
        <w:t xml:space="preserve"> </w:t>
      </w:r>
      <w:r w:rsidR="006B1B95">
        <w:t xml:space="preserve">and </w:t>
      </w:r>
      <w:r>
        <w:t>Christ atoning for the guilt of sin</w:t>
      </w:r>
      <w:r>
        <w:rPr>
          <w:rStyle w:val="EndnoteReference"/>
        </w:rPr>
        <w:endnoteReference w:id="752"/>
      </w:r>
      <w:r>
        <w:t xml:space="preserve"> and for the injury of sin.</w:t>
      </w:r>
      <w:r>
        <w:rPr>
          <w:rStyle w:val="EndnoteReference"/>
        </w:rPr>
        <w:endnoteReference w:id="753"/>
      </w:r>
      <w:r>
        <w:t xml:space="preserve">  A particularly detailed note on Lev. 2:1 gives Christological parallels for a range of sacrificial elements.</w:t>
      </w:r>
      <w:r>
        <w:rPr>
          <w:rStyle w:val="EndnoteReference"/>
        </w:rPr>
        <w:endnoteReference w:id="754"/>
      </w:r>
      <w:r>
        <w:t xml:space="preserve">  A further group of parallels refers to what </w:t>
      </w:r>
      <w:r w:rsidRPr="00016942">
        <w:t>Scofield calls ‘the feasts of Jehovah’</w:t>
      </w:r>
      <w:r>
        <w:t xml:space="preserve"> and is given Christological interpretations of ‘Christ our Redeemer’, ‘Memorial feast’ and ‘Christ </w:t>
      </w:r>
      <w:proofErr w:type="gramStart"/>
      <w:r>
        <w:t>risen</w:t>
      </w:r>
      <w:proofErr w:type="gramEnd"/>
      <w:r>
        <w:t>’.</w:t>
      </w:r>
      <w:r>
        <w:rPr>
          <w:rStyle w:val="EndnoteReference"/>
        </w:rPr>
        <w:endnoteReference w:id="755"/>
      </w:r>
      <w:r>
        <w:t xml:space="preserve">  The note on Lev. 23:17 </w:t>
      </w:r>
      <w:proofErr w:type="gramStart"/>
      <w:r>
        <w:t>asserts</w:t>
      </w:r>
      <w:proofErr w:type="gramEnd"/>
      <w:r>
        <w:t xml:space="preserve"> that no leaven was offered with the wave-sheaf ‘for there was no evil in Christ’.</w:t>
      </w:r>
      <w:r>
        <w:rPr>
          <w:rStyle w:val="EndnoteReference"/>
        </w:rPr>
        <w:endnoteReference w:id="756"/>
      </w:r>
      <w:r>
        <w:t xml:space="preserve">  This view is unsubstantiated.  </w:t>
      </w:r>
      <w:r w:rsidRPr="003A7506">
        <w:t>None of the elements is supported by the references given and several unjustified inferences are made concerning the character and thoughts of Christ.  Some of the connections appear fanciful.</w:t>
      </w:r>
      <w:r>
        <w:rPr>
          <w:rStyle w:val="EndnoteReference"/>
        </w:rPr>
        <w:endnoteReference w:id="757"/>
      </w:r>
      <w:r>
        <w:rPr>
          <w:i/>
        </w:rPr>
        <w:t xml:space="preserve">  </w:t>
      </w:r>
      <w:r w:rsidRPr="00160808">
        <w:t>The implication is that these interpretations are axiomatic</w:t>
      </w:r>
      <w:r>
        <w:t xml:space="preserve"> even though they depend upon associations made by Scofield independently.  </w:t>
      </w:r>
    </w:p>
    <w:p w:rsidR="00442D33" w:rsidRDefault="00442D33" w:rsidP="00442D33">
      <w:pPr>
        <w:spacing w:after="120" w:line="360" w:lineRule="auto"/>
        <w:ind w:right="-29" w:firstLine="567"/>
        <w:jc w:val="both"/>
      </w:pPr>
      <w:r w:rsidRPr="00ED238B">
        <w:t>The allusion to Heb. 9:1-14 in the subhead to Lev. 16:1 justifies the assertion that the day of atonement represents ‘Christ as High Priest and sacrifice’</w:t>
      </w:r>
      <w:r>
        <w:rPr>
          <w:rStyle w:val="EndnoteReference"/>
        </w:rPr>
        <w:endnoteReference w:id="758"/>
      </w:r>
      <w:r w:rsidRPr="00160808">
        <w:t xml:space="preserve"> </w:t>
      </w:r>
      <w:r>
        <w:t>but t</w:t>
      </w:r>
      <w:r w:rsidRPr="00160808">
        <w:t>he allusion to Christ risen as the firstfruits in the subhead to Lev. 23:9 would have been better applied to Lev. 23:16, where firstfruits are first mentioned.</w:t>
      </w:r>
      <w:r>
        <w:rPr>
          <w:rStyle w:val="EndnoteReference"/>
        </w:rPr>
        <w:endnoteReference w:id="759"/>
      </w:r>
      <w:r w:rsidRPr="00160808">
        <w:t xml:space="preserve">  The claim</w:t>
      </w:r>
      <w:r w:rsidRPr="00160808">
        <w:rPr>
          <w:rStyle w:val="EndnoteReference"/>
        </w:rPr>
        <w:endnoteReference w:id="760"/>
      </w:r>
      <w:r w:rsidRPr="00160808">
        <w:t xml:space="preserve"> that the Red Sea represents the cross as separating ‘us from Egypt, the world’ is not borne out by the reference to Gal. 6:14</w:t>
      </w:r>
      <w:r>
        <w:t>, where neither Egypt nor Red Sea is mentioned.</w:t>
      </w:r>
      <w:r>
        <w:rPr>
          <w:rStyle w:val="EndnoteReference"/>
        </w:rPr>
        <w:endnoteReference w:id="761"/>
      </w:r>
      <w:r>
        <w:t xml:space="preserve"> </w:t>
      </w:r>
    </w:p>
    <w:p w:rsidR="00455168" w:rsidRDefault="00455168" w:rsidP="00455168">
      <w:pPr>
        <w:spacing w:after="120" w:line="360" w:lineRule="auto"/>
        <w:ind w:right="-29"/>
      </w:pPr>
      <w:r w:rsidRPr="001349B7">
        <w:rPr>
          <w:b/>
          <w:i/>
        </w:rPr>
        <w:t>Continued overleaf</w:t>
      </w:r>
    </w:p>
    <w:p w:rsidR="00455168" w:rsidRDefault="00455168" w:rsidP="00442D33">
      <w:pPr>
        <w:spacing w:after="120" w:line="360" w:lineRule="auto"/>
        <w:ind w:right="-29" w:firstLine="567"/>
        <w:jc w:val="both"/>
      </w:pPr>
    </w:p>
    <w:p w:rsidR="00455168" w:rsidRDefault="00455168" w:rsidP="00442D33">
      <w:pPr>
        <w:spacing w:after="120" w:line="360" w:lineRule="auto"/>
        <w:ind w:right="-29" w:firstLine="567"/>
        <w:jc w:val="both"/>
      </w:pPr>
    </w:p>
    <w:p w:rsidR="00455168" w:rsidRDefault="00455168" w:rsidP="00442D33">
      <w:pPr>
        <w:spacing w:after="120" w:line="360" w:lineRule="auto"/>
        <w:ind w:right="-29" w:firstLine="567"/>
        <w:jc w:val="both"/>
      </w:pPr>
    </w:p>
    <w:p w:rsidR="00455168" w:rsidRDefault="00455168" w:rsidP="00442D33">
      <w:pPr>
        <w:spacing w:after="120" w:line="360" w:lineRule="auto"/>
        <w:ind w:right="-29" w:firstLine="567"/>
        <w:jc w:val="both"/>
      </w:pPr>
    </w:p>
    <w:p w:rsidR="00455168" w:rsidRDefault="00455168" w:rsidP="00442D33">
      <w:pPr>
        <w:spacing w:after="120" w:line="360" w:lineRule="auto"/>
        <w:ind w:right="-29" w:firstLine="567"/>
        <w:jc w:val="both"/>
      </w:pPr>
    </w:p>
    <w:p w:rsidR="00442D33" w:rsidRPr="00076812" w:rsidRDefault="00442D33" w:rsidP="00442D33">
      <w:pPr>
        <w:spacing w:after="120" w:line="360" w:lineRule="auto"/>
        <w:jc w:val="both"/>
        <w:rPr>
          <w:b/>
          <w:i/>
        </w:rPr>
      </w:pPr>
      <w:r w:rsidRPr="00AB29DB">
        <w:rPr>
          <w:b/>
          <w:i/>
        </w:rPr>
        <w:lastRenderedPageBreak/>
        <w:t xml:space="preserve">b)  Typological Assertions </w:t>
      </w:r>
      <w:r>
        <w:rPr>
          <w:b/>
          <w:i/>
        </w:rPr>
        <w:t xml:space="preserve">- </w:t>
      </w:r>
      <w:r w:rsidRPr="00AB29DB">
        <w:rPr>
          <w:b/>
          <w:i/>
        </w:rPr>
        <w:t xml:space="preserve">God the Father and the Holy Spirit </w:t>
      </w:r>
    </w:p>
    <w:p w:rsidR="00442D33" w:rsidRPr="00AB29DB" w:rsidRDefault="00B14CA0" w:rsidP="00442D33">
      <w:pPr>
        <w:spacing w:after="120" w:line="360" w:lineRule="auto"/>
        <w:jc w:val="center"/>
        <w:rPr>
          <w:b/>
          <w:i/>
        </w:rPr>
      </w:pPr>
      <w:r>
        <w:rPr>
          <w:b/>
          <w:i/>
          <w:noProof/>
          <w:lang w:eastAsia="en-GB"/>
        </w:rPr>
        <w:drawing>
          <wp:inline distT="0" distB="0" distL="0" distR="0" wp14:anchorId="14988B74" wp14:editId="3B2AA3FA">
            <wp:extent cx="5400040" cy="5826125"/>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d the Father &amp; Holy Spirit table rev 24.6.18 crop.jpg"/>
                    <pic:cNvPicPr/>
                  </pic:nvPicPr>
                  <pic:blipFill>
                    <a:blip r:embed="rId94">
                      <a:extLst>
                        <a:ext uri="{28A0092B-C50C-407E-A947-70E740481C1C}">
                          <a14:useLocalDpi xmlns:a14="http://schemas.microsoft.com/office/drawing/2010/main" val="0"/>
                        </a:ext>
                      </a:extLst>
                    </a:blip>
                    <a:stretch>
                      <a:fillRect/>
                    </a:stretch>
                  </pic:blipFill>
                  <pic:spPr>
                    <a:xfrm>
                      <a:off x="0" y="0"/>
                      <a:ext cx="5400040" cy="5826125"/>
                    </a:xfrm>
                    <a:prstGeom prst="rect">
                      <a:avLst/>
                    </a:prstGeom>
                  </pic:spPr>
                </pic:pic>
              </a:graphicData>
            </a:graphic>
          </wp:inline>
        </w:drawing>
      </w:r>
    </w:p>
    <w:p w:rsidR="00442D33" w:rsidRPr="00160808" w:rsidRDefault="00442D33" w:rsidP="00442D33">
      <w:pPr>
        <w:spacing w:after="120" w:line="360" w:lineRule="auto"/>
        <w:ind w:right="-28"/>
        <w:jc w:val="both"/>
      </w:pPr>
      <w:r w:rsidRPr="00160808">
        <w:t>John 3:16 and Rom. 8:32,</w:t>
      </w:r>
      <w:r>
        <w:rPr>
          <w:rStyle w:val="EndnoteReference"/>
        </w:rPr>
        <w:endnoteReference w:id="762"/>
      </w:r>
      <w:r w:rsidRPr="00160808">
        <w:t xml:space="preserve"> referenced from the note on Gen. 22:9, encourage comparison with the Aqedah, but these verses </w:t>
      </w:r>
      <w:r>
        <w:t>do not</w:t>
      </w:r>
      <w:r w:rsidRPr="00160808">
        <w:t xml:space="preserve"> mention Abraham, Isaac or the ram and do not meet </w:t>
      </w:r>
      <w:r>
        <w:t>Scofield’s</w:t>
      </w:r>
      <w:r w:rsidRPr="00160808">
        <w:t xml:space="preserve"> own criteria for types.</w:t>
      </w:r>
      <w:r w:rsidRPr="00160808">
        <w:rPr>
          <w:rStyle w:val="EndnoteReference"/>
        </w:rPr>
        <w:endnoteReference w:id="763"/>
      </w:r>
      <w:r w:rsidRPr="00160808">
        <w:t xml:space="preserve">  </w:t>
      </w:r>
      <w:r w:rsidRPr="0077693E">
        <w:t>The qualities allotted</w:t>
      </w:r>
      <w:r w:rsidRPr="00160808">
        <w:t xml:space="preserve"> to </w:t>
      </w:r>
      <w:r>
        <w:t>Abraham’s</w:t>
      </w:r>
      <w:r w:rsidRPr="00160808">
        <w:t xml:space="preserve"> servant as typifying the Holy Spirit </w:t>
      </w:r>
      <w:r>
        <w:t>appear to</w:t>
      </w:r>
      <w:r w:rsidRPr="00160808">
        <w:t xml:space="preserve"> result </w:t>
      </w:r>
      <w:r w:rsidRPr="00F04290">
        <w:rPr>
          <w:spacing w:val="-4"/>
        </w:rPr>
        <w:t>from backward projection from the referenced texts.</w:t>
      </w:r>
      <w:r w:rsidRPr="00F04290">
        <w:rPr>
          <w:rStyle w:val="EndnoteReference"/>
          <w:spacing w:val="-4"/>
        </w:rPr>
        <w:endnoteReference w:id="764"/>
      </w:r>
      <w:r w:rsidRPr="00F04290">
        <w:rPr>
          <w:spacing w:val="-4"/>
        </w:rPr>
        <w:t xml:space="preserve">  The Holy Spirit is not mentioned in 1 Thess. 4:14-16</w:t>
      </w:r>
      <w:r>
        <w:t>, the last of the passages to which Scofield refers</w:t>
      </w:r>
      <w:r w:rsidRPr="00FD3AEE">
        <w:t xml:space="preserve">.  </w:t>
      </w:r>
      <w:r>
        <w:t>Again the references appear to show the influence of ‘Bible Readings’.</w:t>
      </w:r>
      <w:r>
        <w:rPr>
          <w:rStyle w:val="EndnoteReference"/>
        </w:rPr>
        <w:endnoteReference w:id="765"/>
      </w:r>
      <w:r>
        <w:t xml:space="preserve">  </w:t>
      </w:r>
      <w:r w:rsidRPr="00FD3AEE">
        <w:t xml:space="preserve">Additionally, the typing of the Holy Spirit as a mere servant is not true to the Trinitarian role of the Spirit. </w:t>
      </w:r>
      <w:r w:rsidRPr="00160808">
        <w:t>The New Testament references in notes on Exod. 30:31 and Lev. 14:5</w:t>
      </w:r>
      <w:r>
        <w:rPr>
          <w:rStyle w:val="EndnoteReference"/>
        </w:rPr>
        <w:endnoteReference w:id="766"/>
      </w:r>
      <w:r w:rsidRPr="00160808">
        <w:t xml:space="preserve"> quoted to justify the typifying of water and oil as the Holy Spirit, </w:t>
      </w:r>
      <w:r>
        <w:t>again fail to satisfy Scofield’s criteria but t</w:t>
      </w:r>
      <w:r w:rsidRPr="00160808">
        <w:t xml:space="preserve">he typing of </w:t>
      </w:r>
      <w:r w:rsidRPr="00E273C9">
        <w:t>water as the Holy Spirit in the note on Num. 19:2 is borne out by the reference to Jn 7:37-9</w:t>
      </w:r>
      <w:r w:rsidRPr="00160808">
        <w:t>.</w:t>
      </w:r>
      <w:r>
        <w:rPr>
          <w:rStyle w:val="EndnoteReference"/>
        </w:rPr>
        <w:endnoteReference w:id="767"/>
      </w:r>
      <w:r w:rsidRPr="00160808">
        <w:t xml:space="preserve"> </w:t>
      </w:r>
      <w:r>
        <w:t xml:space="preserve"> </w:t>
      </w:r>
      <w:r w:rsidRPr="00160808">
        <w:t xml:space="preserve">Gold and other </w:t>
      </w:r>
      <w:r w:rsidRPr="00160808">
        <w:lastRenderedPageBreak/>
        <w:t>asserted colour types</w:t>
      </w:r>
      <w:r>
        <w:t>,</w:t>
      </w:r>
      <w:r>
        <w:rPr>
          <w:rStyle w:val="EndnoteReference"/>
        </w:rPr>
        <w:endnoteReference w:id="768"/>
      </w:r>
      <w:r w:rsidRPr="00160808">
        <w:t xml:space="preserve"> </w:t>
      </w:r>
      <w:r>
        <w:t xml:space="preserve">including ‘deity in manifestation’, </w:t>
      </w:r>
      <w:r w:rsidRPr="00160808">
        <w:t>are not true types according to the warnings given by Scofield in this very note,</w:t>
      </w:r>
      <w:r>
        <w:rPr>
          <w:rStyle w:val="EndnoteReference"/>
        </w:rPr>
        <w:endnoteReference w:id="769"/>
      </w:r>
      <w:r w:rsidRPr="00160808">
        <w:t xml:space="preserve"> but would be better described as representatives.  </w:t>
      </w:r>
    </w:p>
    <w:p w:rsidR="00442D33" w:rsidRPr="007D2D82" w:rsidRDefault="00442D33" w:rsidP="00442D33">
      <w:pPr>
        <w:spacing w:after="120" w:line="360" w:lineRule="auto"/>
        <w:jc w:val="both"/>
        <w:rPr>
          <w:b/>
          <w:i/>
        </w:rPr>
      </w:pPr>
      <w:r w:rsidRPr="007D2D82">
        <w:rPr>
          <w:b/>
          <w:i/>
        </w:rPr>
        <w:t>c)  The Church and Believers</w:t>
      </w:r>
      <w:r>
        <w:rPr>
          <w:b/>
          <w:i/>
        </w:rPr>
        <w:t xml:space="preserve"> </w:t>
      </w:r>
    </w:p>
    <w:p w:rsidR="00442D33" w:rsidRPr="00AB29DB" w:rsidRDefault="00442D33" w:rsidP="00442D33">
      <w:pPr>
        <w:spacing w:after="120" w:line="360" w:lineRule="auto"/>
        <w:jc w:val="both"/>
        <w:rPr>
          <w:b/>
          <w:i/>
        </w:rPr>
      </w:pPr>
      <w:r w:rsidRPr="00AB29DB">
        <w:rPr>
          <w:b/>
          <w:i/>
        </w:rPr>
        <w:t xml:space="preserve">i)  Typological and Non-Typological Assertions </w:t>
      </w:r>
      <w:r w:rsidRPr="00012B96">
        <w:rPr>
          <w:sz w:val="16"/>
          <w:szCs w:val="24"/>
        </w:rPr>
        <w:t>—</w:t>
      </w:r>
      <w:r>
        <w:rPr>
          <w:b/>
          <w:i/>
        </w:rPr>
        <w:t xml:space="preserve"> </w:t>
      </w:r>
      <w:proofErr w:type="gramStart"/>
      <w:r w:rsidRPr="00AB29DB">
        <w:rPr>
          <w:b/>
          <w:i/>
        </w:rPr>
        <w:t>The</w:t>
      </w:r>
      <w:proofErr w:type="gramEnd"/>
      <w:r w:rsidRPr="00AB29DB">
        <w:rPr>
          <w:b/>
          <w:i/>
        </w:rPr>
        <w:t xml:space="preserve"> Church </w:t>
      </w:r>
    </w:p>
    <w:p w:rsidR="00442D33" w:rsidRDefault="00442D33" w:rsidP="00442D33">
      <w:pPr>
        <w:spacing w:after="120" w:line="360" w:lineRule="auto"/>
        <w:jc w:val="both"/>
      </w:pPr>
      <w:r w:rsidRPr="00063E06">
        <w:rPr>
          <w:spacing w:val="-2"/>
        </w:rPr>
        <w:t>Following his assertion that the sun is a type of Christ, Scofield claims that the Church is the moon.</w:t>
      </w:r>
      <w:r w:rsidRPr="00063E06">
        <w:rPr>
          <w:rStyle w:val="EndnoteReference"/>
          <w:spacing w:val="-2"/>
        </w:rPr>
        <w:endnoteReference w:id="770"/>
      </w:r>
      <w:r w:rsidRPr="00063E06">
        <w:rPr>
          <w:spacing w:val="-2"/>
        </w:rPr>
        <w:t xml:space="preserve">  He refers to Eve as typifying the Church in his subhead to Gen. 2:23 and notes on Gen. 2:23 and Eph. 5:32;</w:t>
      </w:r>
      <w:r w:rsidRPr="00063E06">
        <w:rPr>
          <w:rStyle w:val="EndnoteReference"/>
          <w:spacing w:val="-2"/>
        </w:rPr>
        <w:endnoteReference w:id="771"/>
      </w:r>
      <w:r w:rsidRPr="00063E06">
        <w:rPr>
          <w:spacing w:val="-2"/>
        </w:rPr>
        <w:t xml:space="preserve"> his cross-referenced verses</w:t>
      </w:r>
      <w:r w:rsidRPr="00063E06">
        <w:rPr>
          <w:rStyle w:val="EndnoteReference"/>
          <w:spacing w:val="-2"/>
        </w:rPr>
        <w:endnoteReference w:id="772"/>
      </w:r>
      <w:r w:rsidRPr="00063E06">
        <w:rPr>
          <w:spacing w:val="-2"/>
        </w:rPr>
        <w:t xml:space="preserve"> mention bride and bridegroom but, as Sizer indicates, none mentions Eve.</w:t>
      </w:r>
      <w:r w:rsidRPr="00063E06">
        <w:rPr>
          <w:rStyle w:val="EndnoteReference"/>
          <w:spacing w:val="-2"/>
        </w:rPr>
        <w:endnoteReference w:id="773"/>
      </w:r>
      <w:r w:rsidRPr="00063E06">
        <w:rPr>
          <w:spacing w:val="-2"/>
        </w:rPr>
        <w:t xml:space="preserve">  2 Corinthians 11:3 does mention Eve, but only in the context of a warning that Paul fears the Church might be deceived like her.</w:t>
      </w:r>
      <w:r w:rsidRPr="00063E06">
        <w:rPr>
          <w:i/>
          <w:spacing w:val="-2"/>
        </w:rPr>
        <w:t xml:space="preserve">  </w:t>
      </w:r>
      <w:r w:rsidRPr="00063E06">
        <w:rPr>
          <w:spacing w:val="-2"/>
        </w:rPr>
        <w:t>This does not indicate that Eve is a type of the Church unless, as Sizer alleges, Scofield is paving the way for his thesis that the church-age is bound to culminate in ‘apostasy and failure’.</w:t>
      </w:r>
      <w:r w:rsidRPr="00063E06">
        <w:rPr>
          <w:rStyle w:val="EndnoteReference"/>
          <w:spacing w:val="-2"/>
        </w:rPr>
        <w:endnoteReference w:id="774"/>
      </w:r>
      <w:r w:rsidRPr="00063E06">
        <w:rPr>
          <w:spacing w:val="-2"/>
        </w:rPr>
        <w:t xml:space="preserve">  I doubt that Scofield’s motive was as deep as this.  The comparison appears to be more like a romantic notion on a par with Scofield’s remarks about the male and female characters in Song of Songs.</w:t>
      </w:r>
      <w:r w:rsidRPr="0000123D">
        <w:rPr>
          <w:rStyle w:val="EndnoteReference"/>
        </w:rPr>
        <w:endnoteReference w:id="775"/>
      </w:r>
      <w:r>
        <w:t xml:space="preserve">  </w:t>
      </w:r>
    </w:p>
    <w:p w:rsidR="00B14CA0" w:rsidRDefault="00B14CA0" w:rsidP="00B14CA0">
      <w:pPr>
        <w:spacing w:after="120" w:line="360" w:lineRule="auto"/>
        <w:jc w:val="center"/>
      </w:pPr>
      <w:r>
        <w:rPr>
          <w:noProof/>
          <w:lang w:eastAsia="en-GB"/>
        </w:rPr>
        <w:drawing>
          <wp:inline distT="0" distB="0" distL="0" distR="0" wp14:anchorId="6DE1888E" wp14:editId="0040AE85">
            <wp:extent cx="5400040" cy="501586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typol table rev 24.6.18_Page_1 crop.jpg"/>
                    <pic:cNvPicPr/>
                  </pic:nvPicPr>
                  <pic:blipFill>
                    <a:blip r:embed="rId95">
                      <a:extLst>
                        <a:ext uri="{28A0092B-C50C-407E-A947-70E740481C1C}">
                          <a14:useLocalDpi xmlns:a14="http://schemas.microsoft.com/office/drawing/2010/main" val="0"/>
                        </a:ext>
                      </a:extLst>
                    </a:blip>
                    <a:stretch>
                      <a:fillRect/>
                    </a:stretch>
                  </pic:blipFill>
                  <pic:spPr>
                    <a:xfrm>
                      <a:off x="0" y="0"/>
                      <a:ext cx="5400040" cy="5015865"/>
                    </a:xfrm>
                    <a:prstGeom prst="rect">
                      <a:avLst/>
                    </a:prstGeom>
                  </pic:spPr>
                </pic:pic>
              </a:graphicData>
            </a:graphic>
          </wp:inline>
        </w:drawing>
      </w:r>
    </w:p>
    <w:p w:rsidR="00442D33" w:rsidRPr="00B14CA0" w:rsidRDefault="00B14CA0" w:rsidP="00442D33">
      <w:pPr>
        <w:spacing w:after="120" w:line="360" w:lineRule="auto"/>
        <w:jc w:val="both"/>
        <w:rPr>
          <w:b/>
          <w:i/>
          <w:noProof/>
          <w:lang w:eastAsia="en-GB"/>
        </w:rPr>
      </w:pPr>
      <w:r w:rsidRPr="00B14CA0">
        <w:rPr>
          <w:b/>
          <w:i/>
          <w:noProof/>
          <w:lang w:eastAsia="en-GB"/>
        </w:rPr>
        <w:t>Continued overleaf</w:t>
      </w:r>
    </w:p>
    <w:p w:rsidR="00B14CA0" w:rsidRDefault="00B14CA0" w:rsidP="00442D33">
      <w:pPr>
        <w:spacing w:after="120" w:line="360" w:lineRule="auto"/>
        <w:jc w:val="both"/>
        <w:rPr>
          <w:b/>
        </w:rPr>
      </w:pPr>
    </w:p>
    <w:p w:rsidR="00B14CA0" w:rsidRDefault="00C7790D" w:rsidP="00C7790D">
      <w:pPr>
        <w:spacing w:after="120" w:line="360" w:lineRule="auto"/>
        <w:jc w:val="center"/>
        <w:rPr>
          <w:b/>
        </w:rPr>
      </w:pPr>
      <w:r>
        <w:rPr>
          <w:b/>
          <w:noProof/>
          <w:lang w:eastAsia="en-GB"/>
        </w:rPr>
        <w:lastRenderedPageBreak/>
        <w:drawing>
          <wp:inline distT="0" distB="0" distL="0" distR="0" wp14:anchorId="4C73CC67" wp14:editId="11756C15">
            <wp:extent cx="5400040" cy="36556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typol table rev 24.6.18_Page_2 crop.jpg"/>
                    <pic:cNvPicPr/>
                  </pic:nvPicPr>
                  <pic:blipFill>
                    <a:blip r:embed="rId96">
                      <a:extLst>
                        <a:ext uri="{28A0092B-C50C-407E-A947-70E740481C1C}">
                          <a14:useLocalDpi xmlns:a14="http://schemas.microsoft.com/office/drawing/2010/main" val="0"/>
                        </a:ext>
                      </a:extLst>
                    </a:blip>
                    <a:stretch>
                      <a:fillRect/>
                    </a:stretch>
                  </pic:blipFill>
                  <pic:spPr>
                    <a:xfrm>
                      <a:off x="0" y="0"/>
                      <a:ext cx="5400040" cy="3655695"/>
                    </a:xfrm>
                    <a:prstGeom prst="rect">
                      <a:avLst/>
                    </a:prstGeom>
                  </pic:spPr>
                </pic:pic>
              </a:graphicData>
            </a:graphic>
          </wp:inline>
        </w:drawing>
      </w:r>
    </w:p>
    <w:p w:rsidR="00442D33" w:rsidRPr="00787115" w:rsidRDefault="00442D33" w:rsidP="00442D33">
      <w:pPr>
        <w:spacing w:after="120" w:line="360" w:lineRule="auto"/>
        <w:jc w:val="center"/>
        <w:rPr>
          <w:b/>
          <w:sz w:val="2"/>
        </w:rPr>
      </w:pPr>
    </w:p>
    <w:p w:rsidR="00442D33" w:rsidRDefault="00442D33" w:rsidP="00442D33">
      <w:pPr>
        <w:spacing w:after="120" w:line="360" w:lineRule="auto"/>
        <w:jc w:val="both"/>
        <w:rPr>
          <w:i/>
        </w:rPr>
      </w:pPr>
      <w:r w:rsidRPr="0000123D">
        <w:t>Scofield also avers that Enoch is a type of the Church raptured to heaven</w:t>
      </w:r>
      <w:r w:rsidRPr="0000123D">
        <w:rPr>
          <w:i/>
        </w:rPr>
        <w:t>.</w:t>
      </w:r>
      <w:r w:rsidRPr="0000123D">
        <w:rPr>
          <w:rStyle w:val="EndnoteReference"/>
        </w:rPr>
        <w:endnoteReference w:id="776"/>
      </w:r>
      <w:r w:rsidRPr="0000123D">
        <w:rPr>
          <w:i/>
        </w:rPr>
        <w:t xml:space="preserve">  </w:t>
      </w:r>
      <w:r w:rsidRPr="0000123D">
        <w:t>He holds ‘the history of Babel’</w:t>
      </w:r>
      <w:r>
        <w:t xml:space="preserve"> to parallel that of the professing church, equating Pre-Babel unity with the apostolic church and </w:t>
      </w:r>
      <w:r w:rsidRPr="0042732B">
        <w:t xml:space="preserve">Babel </w:t>
      </w:r>
      <w:r>
        <w:t xml:space="preserve">with </w:t>
      </w:r>
      <w:r w:rsidRPr="0042732B">
        <w:t>the professing church</w:t>
      </w:r>
      <w:r>
        <w:t>.</w:t>
      </w:r>
      <w:r w:rsidRPr="0042732B">
        <w:rPr>
          <w:rStyle w:val="EndnoteReference"/>
        </w:rPr>
        <w:endnoteReference w:id="777"/>
      </w:r>
      <w:r>
        <w:t xml:space="preserve">  This comparison is interesting because in it Scofield criticises both the Roman Catholic and the Protestant churches as being part of the ‘professing church’.</w:t>
      </w:r>
      <w:r>
        <w:rPr>
          <w:rStyle w:val="EndnoteReference"/>
        </w:rPr>
        <w:endnoteReference w:id="778"/>
      </w:r>
      <w:r>
        <w:t xml:space="preserve">  </w:t>
      </w:r>
    </w:p>
    <w:p w:rsidR="00442D33" w:rsidRDefault="00442D33" w:rsidP="00442D33">
      <w:pPr>
        <w:spacing w:after="120" w:line="360" w:lineRule="auto"/>
        <w:ind w:firstLine="567"/>
        <w:jc w:val="both"/>
      </w:pPr>
      <w:r>
        <w:t xml:space="preserve">Scofield’s identification of Isaac as ‘typical … of the Church as spiritual children of Abraham’ is justifiable in relation to Gal. 4:28, to which he refers </w:t>
      </w:r>
      <w:r>
        <w:rPr>
          <w:rStyle w:val="EndnoteReference"/>
        </w:rPr>
        <w:endnoteReference w:id="779"/>
      </w:r>
      <w:r>
        <w:t xml:space="preserve"> but his claim that Rebekah is typical of ‘the Church – the </w:t>
      </w:r>
      <w:r w:rsidRPr="006E7CC8">
        <w:rPr>
          <w:i/>
        </w:rPr>
        <w:t>ecclesia</w:t>
      </w:r>
      <w:r>
        <w:t>, the called out virgin bride of Christ’ is not supported by the texts he quotes.</w:t>
      </w:r>
      <w:r>
        <w:rPr>
          <w:rStyle w:val="EndnoteReference"/>
        </w:rPr>
        <w:endnoteReference w:id="780"/>
      </w:r>
      <w:r>
        <w:t xml:space="preserve">  Scofield also sees Joseph’s wife, Asenath as ‘</w:t>
      </w:r>
      <w:r w:rsidRPr="006A7317">
        <w:rPr>
          <w:color w:val="000000"/>
        </w:rPr>
        <w:t xml:space="preserve">a type </w:t>
      </w:r>
      <w:r>
        <w:t>of</w:t>
      </w:r>
      <w:r w:rsidRPr="006A7317">
        <w:rPr>
          <w:color w:val="000000"/>
        </w:rPr>
        <w:t xml:space="preserve"> the Church called out from the Gentiles as Christ’s bride during his rejection by Israel</w:t>
      </w:r>
      <w:r>
        <w:rPr>
          <w:color w:val="000000"/>
        </w:rPr>
        <w:t>’,</w:t>
      </w:r>
      <w:r w:rsidRPr="006A7317">
        <w:rPr>
          <w:rStyle w:val="EndnoteReference"/>
          <w:color w:val="000000"/>
        </w:rPr>
        <w:endnoteReference w:id="781"/>
      </w:r>
      <w:r>
        <w:t xml:space="preserve">  despite his avowal that Joseph is ‘nowhere declared as a type of Christ’.</w:t>
      </w:r>
      <w:r w:rsidRPr="00787115">
        <w:rPr>
          <w:rStyle w:val="EndnoteReference"/>
        </w:rPr>
        <w:t xml:space="preserve"> </w:t>
      </w:r>
      <w:r w:rsidRPr="00160808">
        <w:rPr>
          <w:rStyle w:val="EndnoteReference"/>
        </w:rPr>
        <w:endnoteReference w:id="782"/>
      </w:r>
      <w:r>
        <w:t xml:space="preserve">  He views the tabernacle as being ‘described as typical in the New Testament of the Church as the habitation of God through the Spirit’.</w:t>
      </w:r>
      <w:r>
        <w:rPr>
          <w:rStyle w:val="EndnoteReference"/>
        </w:rPr>
        <w:endnoteReference w:id="783"/>
      </w:r>
      <w:r>
        <w:t xml:space="preserve">  </w:t>
      </w:r>
      <w:r w:rsidRPr="00EA4FF2">
        <w:t>The whole book of Ruth is held to be typically a foreview of the Church, redeemed by Christ.</w:t>
      </w:r>
      <w:r>
        <w:rPr>
          <w:rStyle w:val="EndnoteReference"/>
        </w:rPr>
        <w:endnoteReference w:id="784"/>
      </w:r>
      <w:r w:rsidRPr="00160808">
        <w:t xml:space="preserve"> </w:t>
      </w:r>
      <w:r>
        <w:t xml:space="preserve"> An association is made in Ephesians 2 between the church, or believers, and the temple but this is not typological.  Scofield asserts that the descent of the Holy Spirit to form the Church is the antitype to the feast of Pentecost</w:t>
      </w:r>
      <w:r>
        <w:rPr>
          <w:rStyle w:val="EndnoteReference"/>
        </w:rPr>
        <w:endnoteReference w:id="785"/>
      </w:r>
      <w:r>
        <w:t xml:space="preserve"> but does not explain its significance in the Jewish calendar as Shavu’ot, a commemoration of the giving of Torah,</w:t>
      </w:r>
      <w:r>
        <w:rPr>
          <w:rStyle w:val="EndnoteReference"/>
        </w:rPr>
        <w:endnoteReference w:id="786"/>
      </w:r>
      <w:r>
        <w:t xml:space="preserve"> which might represent a real parallel.  He also states that the wave-loaves, baked with leaven, typify the Church which still contains evil.</w:t>
      </w:r>
      <w:r>
        <w:rPr>
          <w:rStyle w:val="EndnoteReference"/>
        </w:rPr>
        <w:endnoteReference w:id="787"/>
      </w:r>
      <w:r>
        <w:t xml:space="preserve">  No justification is given for this.</w:t>
      </w:r>
    </w:p>
    <w:p w:rsidR="00C7790D" w:rsidRPr="006653B5" w:rsidRDefault="00C7790D" w:rsidP="00442D33">
      <w:pPr>
        <w:spacing w:after="120" w:line="360" w:lineRule="auto"/>
        <w:ind w:firstLine="567"/>
        <w:jc w:val="both"/>
        <w:rPr>
          <w:b/>
        </w:rPr>
      </w:pPr>
    </w:p>
    <w:p w:rsidR="00442D33" w:rsidRPr="00063E06" w:rsidRDefault="00442D33" w:rsidP="00442D33">
      <w:pPr>
        <w:spacing w:after="120" w:line="360" w:lineRule="auto"/>
        <w:jc w:val="both"/>
        <w:rPr>
          <w:b/>
          <w:i/>
          <w:sz w:val="16"/>
        </w:rPr>
      </w:pPr>
      <w:r w:rsidRPr="00AB29DB">
        <w:rPr>
          <w:b/>
          <w:i/>
        </w:rPr>
        <w:lastRenderedPageBreak/>
        <w:t>ii)  Typological and Non-Typological Asserti</w:t>
      </w:r>
      <w:r>
        <w:rPr>
          <w:b/>
          <w:i/>
        </w:rPr>
        <w:t xml:space="preserve">ons – </w:t>
      </w:r>
      <w:r w:rsidRPr="00AB29DB">
        <w:rPr>
          <w:b/>
          <w:i/>
        </w:rPr>
        <w:t>Believers</w:t>
      </w:r>
      <w:r>
        <w:rPr>
          <w:b/>
          <w:i/>
        </w:rPr>
        <w:t xml:space="preserve">  </w:t>
      </w:r>
    </w:p>
    <w:p w:rsidR="00442D33" w:rsidRDefault="00442D33" w:rsidP="00442D33">
      <w:pPr>
        <w:spacing w:after="120" w:line="360" w:lineRule="auto"/>
        <w:jc w:val="both"/>
        <w:rPr>
          <w:b/>
          <w:i/>
        </w:rPr>
      </w:pPr>
      <w:r>
        <w:rPr>
          <w:b/>
          <w:i/>
        </w:rPr>
        <w:t>Typological Assertions</w:t>
      </w:r>
    </w:p>
    <w:p w:rsidR="00442D33" w:rsidRPr="00F37FA0" w:rsidRDefault="00F37FA0" w:rsidP="00F37FA0">
      <w:pPr>
        <w:spacing w:after="120" w:line="360" w:lineRule="auto"/>
        <w:jc w:val="center"/>
      </w:pPr>
      <w:r>
        <w:rPr>
          <w:noProof/>
          <w:lang w:eastAsia="en-GB"/>
        </w:rPr>
        <w:drawing>
          <wp:inline distT="0" distB="0" distL="0" distR="0" wp14:anchorId="60C00944" wp14:editId="423052EA">
            <wp:extent cx="5400040" cy="629158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ievers table Typol REV 24.6.18_Page_1 crop.jpg"/>
                    <pic:cNvPicPr/>
                  </pic:nvPicPr>
                  <pic:blipFill>
                    <a:blip r:embed="rId97">
                      <a:extLst>
                        <a:ext uri="{28A0092B-C50C-407E-A947-70E740481C1C}">
                          <a14:useLocalDpi xmlns:a14="http://schemas.microsoft.com/office/drawing/2010/main" val="0"/>
                        </a:ext>
                      </a:extLst>
                    </a:blip>
                    <a:stretch>
                      <a:fillRect/>
                    </a:stretch>
                  </pic:blipFill>
                  <pic:spPr>
                    <a:xfrm>
                      <a:off x="0" y="0"/>
                      <a:ext cx="5400040" cy="6291580"/>
                    </a:xfrm>
                    <a:prstGeom prst="rect">
                      <a:avLst/>
                    </a:prstGeom>
                  </pic:spPr>
                </pic:pic>
              </a:graphicData>
            </a:graphic>
          </wp:inline>
        </w:drawing>
      </w:r>
    </w:p>
    <w:p w:rsidR="00442D33" w:rsidRDefault="00442D33" w:rsidP="00442D33">
      <w:pPr>
        <w:spacing w:after="120" w:line="360" w:lineRule="auto"/>
        <w:jc w:val="both"/>
      </w:pPr>
      <w:r>
        <w:t xml:space="preserve">Regarding </w:t>
      </w:r>
      <w:r w:rsidRPr="00877EA0">
        <w:t>believers</w:t>
      </w:r>
      <w:r>
        <w:t>, t</w:t>
      </w:r>
      <w:r w:rsidRPr="00160808">
        <w:t>he references to Gal. 4:29 and 2 Cor. 6:16</w:t>
      </w:r>
      <w:r>
        <w:rPr>
          <w:rStyle w:val="EndnoteReference"/>
        </w:rPr>
        <w:endnoteReference w:id="788"/>
      </w:r>
      <w:r w:rsidRPr="00160808">
        <w:t xml:space="preserve"> justify the typological classifications of Isaac and the tabernacle/te</w:t>
      </w:r>
      <w:r>
        <w:t xml:space="preserve">mple.  The reference to ‘Heb. 3 </w:t>
      </w:r>
      <w:r w:rsidRPr="00012B96">
        <w:rPr>
          <w:sz w:val="16"/>
          <w:szCs w:val="24"/>
        </w:rPr>
        <w:t>—</w:t>
      </w:r>
      <w:r>
        <w:rPr>
          <w:sz w:val="16"/>
          <w:szCs w:val="24"/>
        </w:rPr>
        <w:t xml:space="preserve"> </w:t>
      </w:r>
      <w:r w:rsidRPr="00160808">
        <w:t>4’</w:t>
      </w:r>
      <w:r>
        <w:rPr>
          <w:rStyle w:val="EndnoteReference"/>
        </w:rPr>
        <w:endnoteReference w:id="789"/>
      </w:r>
      <w:r w:rsidRPr="00160808">
        <w:t xml:space="preserve"> is too broad to identify a specific typological claim but Heb. 4:1-11 </w:t>
      </w:r>
      <w:r w:rsidRPr="00CC344C">
        <w:t>concerns God’s</w:t>
      </w:r>
      <w:r w:rsidRPr="00160808">
        <w:t xml:space="preserve"> rest and the need for believers to enter into it.</w:t>
      </w:r>
      <w:r>
        <w:t xml:space="preserve">  Scofield’s </w:t>
      </w:r>
      <w:r w:rsidRPr="00160808">
        <w:t xml:space="preserve">reference to ‘Eph. 1 etc.’, justifying </w:t>
      </w:r>
      <w:r>
        <w:t>his</w:t>
      </w:r>
      <w:r w:rsidRPr="00160808">
        <w:t xml:space="preserve"> typing of God’s Sabbath rest as that of redeemed believers, is even less specific than that to ‘</w:t>
      </w:r>
      <w:r w:rsidRPr="00097056">
        <w:t>Heb. 3</w:t>
      </w:r>
      <w:r w:rsidRPr="00160808">
        <w:t xml:space="preserve"> </w:t>
      </w:r>
      <w:r w:rsidRPr="00012B96">
        <w:rPr>
          <w:sz w:val="16"/>
          <w:szCs w:val="24"/>
        </w:rPr>
        <w:t>—</w:t>
      </w:r>
      <w:r w:rsidRPr="00160808">
        <w:t xml:space="preserve"> 4’;</w:t>
      </w:r>
      <w:r>
        <w:rPr>
          <w:rStyle w:val="EndnoteReference"/>
        </w:rPr>
        <w:endnoteReference w:id="790"/>
      </w:r>
      <w:r w:rsidRPr="00160808">
        <w:t xml:space="preserve"> </w:t>
      </w:r>
      <w:r>
        <w:t>he also</w:t>
      </w:r>
      <w:r w:rsidRPr="00160808">
        <w:t xml:space="preserve"> make</w:t>
      </w:r>
      <w:r>
        <w:t>s</w:t>
      </w:r>
      <w:r w:rsidRPr="00160808">
        <w:t xml:space="preserve"> typological </w:t>
      </w:r>
      <w:r>
        <w:t>statements</w:t>
      </w:r>
      <w:r w:rsidRPr="00160808">
        <w:t xml:space="preserve"> concerning rest and the ark in relation to beli</w:t>
      </w:r>
      <w:r>
        <w:t>evers in commentary on Gen. 2:1</w:t>
      </w:r>
      <w:r w:rsidRPr="00160808">
        <w:t xml:space="preserve"> and Heb. 4:1.</w:t>
      </w:r>
      <w:r w:rsidRPr="00160808">
        <w:rPr>
          <w:rStyle w:val="EndnoteReference"/>
        </w:rPr>
        <w:endnoteReference w:id="791"/>
      </w:r>
      <w:r w:rsidRPr="00160808">
        <w:t xml:space="preserve">  </w:t>
      </w:r>
    </w:p>
    <w:p w:rsidR="00442D33" w:rsidRDefault="00442D33" w:rsidP="00442D33">
      <w:pPr>
        <w:spacing w:after="120" w:line="360" w:lineRule="auto"/>
        <w:ind w:firstLine="567"/>
        <w:jc w:val="both"/>
      </w:pPr>
      <w:r>
        <w:lastRenderedPageBreak/>
        <w:t>Amalek is ‘a type of the flesh in the believer’</w:t>
      </w:r>
      <w:r w:rsidRPr="00160808">
        <w:rPr>
          <w:rStyle w:val="EndnoteReference"/>
        </w:rPr>
        <w:endnoteReference w:id="792"/>
      </w:r>
      <w:r w:rsidRPr="00160808">
        <w:t xml:space="preserve"> </w:t>
      </w:r>
      <w:r>
        <w:t xml:space="preserve">but </w:t>
      </w:r>
      <w:r w:rsidRPr="00160808">
        <w:t>the passage quote</w:t>
      </w:r>
      <w:r>
        <w:t>d in justification, Gal. 4:22-9</w:t>
      </w:r>
      <w:r w:rsidRPr="00160808">
        <w:t xml:space="preserve"> actually concerns Hagar and Ishmael, not Esau.</w:t>
      </w:r>
      <w:r w:rsidRPr="00160808">
        <w:rPr>
          <w:rStyle w:val="EndnoteReference"/>
        </w:rPr>
        <w:endnoteReference w:id="793"/>
      </w:r>
      <w:r w:rsidRPr="00160808">
        <w:t xml:space="preserve">  </w:t>
      </w:r>
      <w:r>
        <w:t xml:space="preserve">Scofield states that the Exodus priesthood typifies </w:t>
      </w:r>
      <w:r w:rsidRPr="00160808">
        <w:t>believers</w:t>
      </w:r>
      <w:r>
        <w:t>.</w:t>
      </w:r>
      <w:r w:rsidRPr="00160808">
        <w:rPr>
          <w:rStyle w:val="EndnoteReference"/>
        </w:rPr>
        <w:endnoteReference w:id="794"/>
      </w:r>
      <w:r w:rsidRPr="00160808">
        <w:t xml:space="preserve">  </w:t>
      </w:r>
      <w:r>
        <w:t xml:space="preserve">Scofield also states that </w:t>
      </w:r>
      <w:r w:rsidRPr="00A200D3">
        <w:t>‘the interpretation of [Balaam’s] prophecies is literal as to Israel, typical as to Christians’</w:t>
      </w:r>
      <w:r>
        <w:t xml:space="preserve"> but does not give New Testament justification</w:t>
      </w:r>
      <w:r w:rsidRPr="00412CC3">
        <w:t>.</w:t>
      </w:r>
      <w:r>
        <w:rPr>
          <w:rStyle w:val="EndnoteReference"/>
        </w:rPr>
        <w:endnoteReference w:id="795"/>
      </w:r>
      <w:r w:rsidRPr="00160808">
        <w:t xml:space="preserve"> </w:t>
      </w:r>
      <w:r>
        <w:t xml:space="preserve"> Scofield sees t</w:t>
      </w:r>
      <w:r w:rsidRPr="00160808">
        <w:t xml:space="preserve">he tribes who </w:t>
      </w:r>
      <w:r w:rsidRPr="00F04290">
        <w:rPr>
          <w:spacing w:val="2"/>
        </w:rPr>
        <w:t>chose an inheritance just outside the land as typical of ‘world-borderers’;</w:t>
      </w:r>
      <w:r w:rsidRPr="00F04290">
        <w:rPr>
          <w:rStyle w:val="EndnoteReference"/>
          <w:spacing w:val="2"/>
        </w:rPr>
        <w:endnoteReference w:id="796"/>
      </w:r>
      <w:r w:rsidRPr="00F04290">
        <w:rPr>
          <w:spacing w:val="2"/>
        </w:rPr>
        <w:t xml:space="preserve"> he includes a reference to Mk</w:t>
      </w:r>
      <w:r>
        <w:t xml:space="preserve"> 5:1-17, which concerns Christ’s healing of the Gaderene man.  </w:t>
      </w:r>
      <w:r w:rsidRPr="00160808">
        <w:t xml:space="preserve">The reference to Gen. 11:1 seems inappropriate because it concerns Abraham’s entering Canaan rather than remaining on its borders.  </w:t>
      </w:r>
      <w:r>
        <w:t>Scofield regards ‘t</w:t>
      </w:r>
      <w:r w:rsidRPr="00160808">
        <w:t xml:space="preserve">he passage of Jordan’ </w:t>
      </w:r>
      <w:r>
        <w:t>a</w:t>
      </w:r>
      <w:r w:rsidRPr="00160808">
        <w:t xml:space="preserve">s a </w:t>
      </w:r>
      <w:r>
        <w:t>type</w:t>
      </w:r>
      <w:r w:rsidRPr="00160808">
        <w:t xml:space="preserve"> of ‘our death with Christ’.</w:t>
      </w:r>
      <w:r>
        <w:rPr>
          <w:rStyle w:val="EndnoteReference"/>
        </w:rPr>
        <w:endnoteReference w:id="797"/>
      </w:r>
      <w:r w:rsidRPr="00160808">
        <w:t xml:space="preserve">  The crossing of Jordan is not mentioned in any of the referenced verses, however.</w:t>
      </w:r>
      <w:r w:rsidRPr="00160808">
        <w:rPr>
          <w:rStyle w:val="EndnoteReference"/>
        </w:rPr>
        <w:endnoteReference w:id="798"/>
      </w:r>
    </w:p>
    <w:p w:rsidR="00442D33" w:rsidRDefault="00442D33" w:rsidP="00442D33">
      <w:pPr>
        <w:spacing w:after="120" w:line="360" w:lineRule="auto"/>
        <w:jc w:val="both"/>
        <w:rPr>
          <w:b/>
          <w:i/>
        </w:rPr>
      </w:pPr>
      <w:r w:rsidRPr="002B3967">
        <w:rPr>
          <w:b/>
          <w:i/>
        </w:rPr>
        <w:t>Non-</w:t>
      </w:r>
      <w:r w:rsidR="00DD0B21">
        <w:rPr>
          <w:b/>
          <w:i/>
        </w:rPr>
        <w:t>T</w:t>
      </w:r>
      <w:r w:rsidRPr="002B3967">
        <w:rPr>
          <w:b/>
          <w:i/>
        </w:rPr>
        <w:t>ypological Assertions</w:t>
      </w:r>
      <w:r>
        <w:rPr>
          <w:b/>
          <w:i/>
        </w:rPr>
        <w:t xml:space="preserve"> </w:t>
      </w:r>
    </w:p>
    <w:p w:rsidR="00442D33" w:rsidRPr="005E1551" w:rsidRDefault="00442D33" w:rsidP="00442D33">
      <w:pPr>
        <w:spacing w:after="120" w:line="360" w:lineRule="auto"/>
        <w:jc w:val="both"/>
        <w:rPr>
          <w:b/>
          <w:i/>
        </w:rPr>
      </w:pPr>
      <w:r>
        <w:rPr>
          <w:b/>
          <w:i/>
          <w:noProof/>
          <w:color w:val="FF0000"/>
          <w:lang w:eastAsia="en-GB"/>
        </w:rPr>
        <w:drawing>
          <wp:inline distT="0" distB="0" distL="0" distR="0" wp14:anchorId="52E9B359" wp14:editId="6A923D17">
            <wp:extent cx="5400040" cy="142113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ievers table REV 14.3.18_Page_3 crop.jpg"/>
                    <pic:cNvPicPr/>
                  </pic:nvPicPr>
                  <pic:blipFill>
                    <a:blip r:embed="rId98">
                      <a:extLst>
                        <a:ext uri="{28A0092B-C50C-407E-A947-70E740481C1C}">
                          <a14:useLocalDpi xmlns:a14="http://schemas.microsoft.com/office/drawing/2010/main" val="0"/>
                        </a:ext>
                      </a:extLst>
                    </a:blip>
                    <a:stretch>
                      <a:fillRect/>
                    </a:stretch>
                  </pic:blipFill>
                  <pic:spPr>
                    <a:xfrm>
                      <a:off x="0" y="0"/>
                      <a:ext cx="5400040" cy="1421130"/>
                    </a:xfrm>
                    <a:prstGeom prst="rect">
                      <a:avLst/>
                    </a:prstGeom>
                  </pic:spPr>
                </pic:pic>
              </a:graphicData>
            </a:graphic>
          </wp:inline>
        </w:drawing>
      </w:r>
    </w:p>
    <w:p w:rsidR="00442D33" w:rsidRDefault="00442D33" w:rsidP="00442D33">
      <w:pPr>
        <w:spacing w:after="120" w:line="360" w:lineRule="auto"/>
        <w:jc w:val="both"/>
      </w:pPr>
      <w:r>
        <w:t>Non-typologically, Scofield</w:t>
      </w:r>
      <w:r w:rsidRPr="00160808">
        <w:t xml:space="preserve"> compares believers to stars</w:t>
      </w:r>
      <w:r>
        <w:t>;</w:t>
      </w:r>
      <w:r>
        <w:rPr>
          <w:rStyle w:val="EndnoteReference"/>
        </w:rPr>
        <w:endnoteReference w:id="799"/>
      </w:r>
      <w:r w:rsidRPr="00160808">
        <w:t xml:space="preserve"> </w:t>
      </w:r>
      <w:r>
        <w:t>p</w:t>
      </w:r>
      <w:r w:rsidRPr="00AF6E0A">
        <w:t>ossibly this claim is related to</w:t>
      </w:r>
      <w:r>
        <w:t xml:space="preserve"> his</w:t>
      </w:r>
      <w:r w:rsidRPr="00AF6E0A">
        <w:t xml:space="preserve"> later assertions concerning Abraham’s spiritual descendants to ‘the stars of the sky’</w:t>
      </w:r>
      <w:r>
        <w:t>.</w:t>
      </w:r>
      <w:r>
        <w:rPr>
          <w:rStyle w:val="EndnoteReference"/>
        </w:rPr>
        <w:endnoteReference w:id="800"/>
      </w:r>
      <w:r>
        <w:t xml:space="preserve">  He </w:t>
      </w:r>
      <w:r w:rsidRPr="00160808">
        <w:t>sees Sarah as mother of those who believe</w:t>
      </w:r>
      <w:r>
        <w:t xml:space="preserve"> in ‘the true Son of promise’.</w:t>
      </w:r>
      <w:r>
        <w:rPr>
          <w:rStyle w:val="EndnoteReference"/>
        </w:rPr>
        <w:endnoteReference w:id="801"/>
      </w:r>
      <w:r>
        <w:t xml:space="preserve">  The comparison of believers to stars and reference to Sarah with regard to the New Testament passages referenced are unjustified.  As with the moon and the Church, the comparison between stars and believers appears romanticised.  John 3:6-8 concerns Christ’s explication of the Spirit to Nicodemus.  Also, while Galatians 4:22 mentions ‘the freewoman’, Sarah is not named in Galatians and it is Jerusalem which is declared to be ‘our mother’ in Gal. 4:26.  Sarah is not mentioned in Hebrews 2 but appears in Hebrews 11 as an example of faith.</w:t>
      </w:r>
      <w:r>
        <w:rPr>
          <w:rStyle w:val="EndnoteReference"/>
        </w:rPr>
        <w:endnoteReference w:id="802"/>
      </w:r>
    </w:p>
    <w:p w:rsidR="00F37FA0" w:rsidRPr="00334385" w:rsidRDefault="00334385" w:rsidP="00442D33">
      <w:pPr>
        <w:spacing w:after="120" w:line="360" w:lineRule="auto"/>
        <w:jc w:val="both"/>
        <w:rPr>
          <w:b/>
          <w:i/>
        </w:rPr>
      </w:pPr>
      <w:r w:rsidRPr="00334385">
        <w:rPr>
          <w:b/>
          <w:i/>
        </w:rPr>
        <w:t>Continued overleaf</w:t>
      </w:r>
    </w:p>
    <w:p w:rsidR="00F37FA0" w:rsidRDefault="00F37FA0" w:rsidP="00442D33">
      <w:pPr>
        <w:spacing w:after="120" w:line="360" w:lineRule="auto"/>
        <w:jc w:val="both"/>
      </w:pPr>
    </w:p>
    <w:p w:rsidR="00F37FA0" w:rsidRDefault="00F37FA0" w:rsidP="00442D33">
      <w:pPr>
        <w:spacing w:after="120" w:line="360" w:lineRule="auto"/>
        <w:jc w:val="both"/>
      </w:pPr>
    </w:p>
    <w:p w:rsidR="00F37FA0" w:rsidRDefault="00F37FA0" w:rsidP="00442D33">
      <w:pPr>
        <w:spacing w:after="120" w:line="360" w:lineRule="auto"/>
        <w:jc w:val="both"/>
      </w:pPr>
    </w:p>
    <w:p w:rsidR="00F37FA0" w:rsidRDefault="00F37FA0" w:rsidP="00442D33">
      <w:pPr>
        <w:spacing w:after="120" w:line="360" w:lineRule="auto"/>
        <w:jc w:val="both"/>
      </w:pPr>
    </w:p>
    <w:p w:rsidR="00F37FA0" w:rsidRDefault="00F37FA0" w:rsidP="00442D33">
      <w:pPr>
        <w:spacing w:after="120" w:line="360" w:lineRule="auto"/>
        <w:jc w:val="both"/>
      </w:pPr>
    </w:p>
    <w:p w:rsidR="00F37FA0" w:rsidRDefault="00F37FA0" w:rsidP="00442D33">
      <w:pPr>
        <w:spacing w:after="120" w:line="360" w:lineRule="auto"/>
        <w:jc w:val="both"/>
      </w:pPr>
    </w:p>
    <w:p w:rsidR="00F37FA0" w:rsidRPr="00160808" w:rsidRDefault="00F37FA0" w:rsidP="00442D33">
      <w:pPr>
        <w:spacing w:after="120" w:line="360" w:lineRule="auto"/>
        <w:jc w:val="both"/>
      </w:pPr>
    </w:p>
    <w:p w:rsidR="00442D33" w:rsidRPr="007D2D82" w:rsidRDefault="00442D33" w:rsidP="00442D33">
      <w:pPr>
        <w:spacing w:after="120" w:line="360" w:lineRule="auto"/>
        <w:jc w:val="both"/>
        <w:rPr>
          <w:b/>
          <w:i/>
        </w:rPr>
      </w:pPr>
      <w:r w:rsidRPr="007D2D82">
        <w:rPr>
          <w:b/>
          <w:i/>
        </w:rPr>
        <w:lastRenderedPageBreak/>
        <w:t xml:space="preserve">d)  </w:t>
      </w:r>
      <w:r w:rsidR="005976AD" w:rsidRPr="00A77859">
        <w:rPr>
          <w:b/>
          <w:i/>
        </w:rPr>
        <w:t xml:space="preserve">Typological </w:t>
      </w:r>
      <w:r w:rsidR="005976AD" w:rsidRPr="0028496A">
        <w:rPr>
          <w:b/>
          <w:i/>
        </w:rPr>
        <w:t>and Non-Typological</w:t>
      </w:r>
      <w:r w:rsidR="005976AD" w:rsidRPr="00A77859">
        <w:rPr>
          <w:b/>
          <w:i/>
        </w:rPr>
        <w:t xml:space="preserve"> References </w:t>
      </w:r>
      <w:r w:rsidR="005976AD">
        <w:rPr>
          <w:b/>
          <w:i/>
        </w:rPr>
        <w:t xml:space="preserve">- </w:t>
      </w:r>
      <w:r w:rsidRPr="007D2D82">
        <w:rPr>
          <w:b/>
          <w:i/>
        </w:rPr>
        <w:t>Israel</w:t>
      </w:r>
      <w:r>
        <w:rPr>
          <w:b/>
          <w:i/>
        </w:rPr>
        <w:t xml:space="preserve"> </w:t>
      </w:r>
    </w:p>
    <w:p w:rsidR="00F37FA0" w:rsidRDefault="00F37FA0" w:rsidP="00F37FA0">
      <w:pPr>
        <w:jc w:val="center"/>
        <w:rPr>
          <w:b/>
          <w:i/>
        </w:rPr>
      </w:pPr>
      <w:r>
        <w:rPr>
          <w:b/>
          <w:i/>
          <w:noProof/>
          <w:lang w:eastAsia="en-GB"/>
        </w:rPr>
        <w:drawing>
          <wp:inline distT="0" distB="0" distL="0" distR="0" wp14:anchorId="073E7A71" wp14:editId="02EC07CA">
            <wp:extent cx="5400040" cy="6487795"/>
            <wp:effectExtent l="0" t="0" r="0"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rael Typol table rev 24.6.18_Page_1 crop.jpg"/>
                    <pic:cNvPicPr/>
                  </pic:nvPicPr>
                  <pic:blipFill>
                    <a:blip r:embed="rId99">
                      <a:extLst>
                        <a:ext uri="{28A0092B-C50C-407E-A947-70E740481C1C}">
                          <a14:useLocalDpi xmlns:a14="http://schemas.microsoft.com/office/drawing/2010/main" val="0"/>
                        </a:ext>
                      </a:extLst>
                    </a:blip>
                    <a:stretch>
                      <a:fillRect/>
                    </a:stretch>
                  </pic:blipFill>
                  <pic:spPr>
                    <a:xfrm>
                      <a:off x="0" y="0"/>
                      <a:ext cx="5400040" cy="6487795"/>
                    </a:xfrm>
                    <a:prstGeom prst="rect">
                      <a:avLst/>
                    </a:prstGeom>
                  </pic:spPr>
                </pic:pic>
              </a:graphicData>
            </a:graphic>
          </wp:inline>
        </w:drawing>
      </w:r>
    </w:p>
    <w:p w:rsidR="00442D33" w:rsidRPr="00F37FA0" w:rsidRDefault="00F37FA0" w:rsidP="00F37FA0">
      <w:pPr>
        <w:rPr>
          <w:b/>
          <w:i/>
        </w:rPr>
      </w:pPr>
      <w:r w:rsidRPr="00F37FA0">
        <w:rPr>
          <w:b/>
          <w:i/>
        </w:rPr>
        <w:t>Continued overleaf</w:t>
      </w:r>
    </w:p>
    <w:p w:rsidR="00F37FA0" w:rsidRDefault="00F37FA0" w:rsidP="00442D33">
      <w:pPr>
        <w:jc w:val="center"/>
      </w:pPr>
    </w:p>
    <w:p w:rsidR="00F37FA0" w:rsidRDefault="00F37FA0" w:rsidP="00442D33">
      <w:pPr>
        <w:jc w:val="center"/>
      </w:pPr>
    </w:p>
    <w:p w:rsidR="00F37FA0" w:rsidRDefault="00F37FA0" w:rsidP="00442D33">
      <w:pPr>
        <w:jc w:val="center"/>
      </w:pPr>
    </w:p>
    <w:p w:rsidR="00442D33" w:rsidRDefault="00442D33" w:rsidP="00442D33">
      <w:pPr>
        <w:jc w:val="center"/>
      </w:pPr>
    </w:p>
    <w:p w:rsidR="00F37FA0" w:rsidRDefault="00F37FA0" w:rsidP="00F37FA0">
      <w:pPr>
        <w:spacing w:after="120" w:line="360" w:lineRule="exact"/>
        <w:jc w:val="center"/>
      </w:pPr>
    </w:p>
    <w:p w:rsidR="009418E6" w:rsidRDefault="009418E6">
      <w:r>
        <w:rPr>
          <w:noProof/>
          <w:lang w:eastAsia="en-GB"/>
        </w:rPr>
        <w:lastRenderedPageBreak/>
        <w:drawing>
          <wp:inline distT="0" distB="0" distL="0" distR="0" wp14:anchorId="33F36F7B" wp14:editId="1D0883C6">
            <wp:extent cx="5400040" cy="33223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rael Typol table rev 24.6.18_Page_2 crop 2.jpg"/>
                    <pic:cNvPicPr/>
                  </pic:nvPicPr>
                  <pic:blipFill>
                    <a:blip r:embed="rId100">
                      <a:extLst>
                        <a:ext uri="{28A0092B-C50C-407E-A947-70E740481C1C}">
                          <a14:useLocalDpi xmlns:a14="http://schemas.microsoft.com/office/drawing/2010/main" val="0"/>
                        </a:ext>
                      </a:extLst>
                    </a:blip>
                    <a:stretch>
                      <a:fillRect/>
                    </a:stretch>
                  </pic:blipFill>
                  <pic:spPr>
                    <a:xfrm>
                      <a:off x="0" y="0"/>
                      <a:ext cx="5400040" cy="3322320"/>
                    </a:xfrm>
                    <a:prstGeom prst="rect">
                      <a:avLst/>
                    </a:prstGeom>
                  </pic:spPr>
                </pic:pic>
              </a:graphicData>
            </a:graphic>
          </wp:inline>
        </w:drawing>
      </w:r>
    </w:p>
    <w:p w:rsidR="00442D33" w:rsidRPr="007C41B4" w:rsidRDefault="00442D33" w:rsidP="00442D33">
      <w:pPr>
        <w:spacing w:after="120" w:line="360" w:lineRule="exact"/>
        <w:jc w:val="both"/>
      </w:pPr>
      <w:r w:rsidRPr="007C41B4">
        <w:t>A virtual complete “history” of Israel occurs in the Israel-typical references in Scofield’s commentary.  Scofield asserts that, unlike Sarah,</w:t>
      </w:r>
      <w:r>
        <w:rPr>
          <w:rStyle w:val="EndnoteReference"/>
        </w:rPr>
        <w:endnoteReference w:id="803"/>
      </w:r>
      <w:r>
        <w:t xml:space="preserve"> </w:t>
      </w:r>
      <w:r w:rsidRPr="007C41B4">
        <w:t>Keturah may well represent ‘the fertility of Israel, the natural seed, Jehovah’s wife … after national restoration under the Palestinian covenant’.</w:t>
      </w:r>
      <w:r w:rsidRPr="007C41B4">
        <w:rPr>
          <w:rStyle w:val="EndnoteReference"/>
        </w:rPr>
        <w:endnoteReference w:id="804"/>
      </w:r>
      <w:r w:rsidRPr="007C41B4">
        <w:t xml:space="preserve">  Jacob in Haran typifies currently dispersed Israel. </w:t>
      </w:r>
      <w:r w:rsidR="00191C8B">
        <w:t xml:space="preserve"> </w:t>
      </w:r>
      <w:r w:rsidRPr="007C41B4">
        <w:t>Like Israel, Jacob was ‘out of the place of blessing; without an altar; he gained an evil name but was under Jehovah’s covenant care and was ultimately brought back’.</w:t>
      </w:r>
      <w:r w:rsidRPr="007C41B4">
        <w:rPr>
          <w:rStyle w:val="EndnoteReference"/>
        </w:rPr>
        <w:endnoteReference w:id="805"/>
      </w:r>
      <w:r w:rsidRPr="007C41B4">
        <w:t xml:space="preserve">  Jonah also ‘foreshadows the nation of Israel out of its own land’.</w:t>
      </w:r>
      <w:r w:rsidRPr="007C41B4">
        <w:rPr>
          <w:rStyle w:val="EndnoteReference"/>
        </w:rPr>
        <w:endnoteReference w:id="806"/>
      </w:r>
      <w:r w:rsidRPr="007C41B4">
        <w:t xml:space="preserve">  Noah, sustained on earth throughout the judgment of the flood, typifies ‘the Jewish people, who will be kept through the apocalyptic judgments … and brought as an earthly people to the new heaven and new earth’.</w:t>
      </w:r>
      <w:r w:rsidRPr="007C41B4">
        <w:rPr>
          <w:rStyle w:val="EndnoteReference"/>
        </w:rPr>
        <w:endnoteReference w:id="807"/>
      </w:r>
      <w:r w:rsidRPr="007C41B4">
        <w:t xml:space="preserve">  Noah also typifies ‘the Israelitish people who will be preserved through the tribulation’.</w:t>
      </w:r>
      <w:r w:rsidRPr="007C41B4">
        <w:rPr>
          <w:rStyle w:val="EndnoteReference"/>
        </w:rPr>
        <w:endnoteReference w:id="808"/>
      </w:r>
      <w:r w:rsidRPr="007C41B4">
        <w:t xml:space="preserve">  </w:t>
      </w:r>
    </w:p>
    <w:p w:rsidR="00442D33" w:rsidRPr="00A336FE" w:rsidRDefault="00442D33" w:rsidP="00442D33">
      <w:pPr>
        <w:spacing w:after="120" w:line="360" w:lineRule="auto"/>
        <w:ind w:firstLine="567"/>
        <w:jc w:val="both"/>
      </w:pPr>
      <w:r>
        <w:t>T</w:t>
      </w:r>
      <w:r w:rsidRPr="00160808">
        <w:t>he bitter waters in Exodus ‘stand for the educatory trials of God’s people’</w:t>
      </w:r>
      <w:r w:rsidRPr="00160808">
        <w:rPr>
          <w:lang w:eastAsia="en-GB"/>
        </w:rPr>
        <w:t>.</w:t>
      </w:r>
      <w:r w:rsidRPr="00160808">
        <w:rPr>
          <w:rStyle w:val="EndnoteReference"/>
        </w:rPr>
        <w:endnoteReference w:id="809"/>
      </w:r>
      <w:r w:rsidRPr="00160808">
        <w:t xml:space="preserve">  According to Scofield, Numbers typically encapsulates the service and walk of the redeemed people, and also indicates that typically, wilderness circumstances occasioned Israel’s failure.</w:t>
      </w:r>
      <w:r w:rsidRPr="00160808">
        <w:rPr>
          <w:rStyle w:val="EndnoteReference"/>
        </w:rPr>
        <w:endnoteReference w:id="810"/>
      </w:r>
      <w:r>
        <w:t xml:space="preserve">  Scofield states </w:t>
      </w:r>
      <w:r w:rsidRPr="00160808">
        <w:t>that 1 and 2 Chronicles probably typify the blessing of God’s earthly people through the Davidic monarchy.</w:t>
      </w:r>
      <w:r w:rsidRPr="00160808">
        <w:rPr>
          <w:rStyle w:val="EndnoteReference"/>
        </w:rPr>
        <w:endnoteReference w:id="811"/>
      </w:r>
      <w:r w:rsidRPr="00160808">
        <w:t xml:space="preserve">  </w:t>
      </w:r>
      <w:r>
        <w:t xml:space="preserve">He also notes </w:t>
      </w:r>
      <w:r w:rsidRPr="00160808">
        <w:t>that ‘the Sabbath given to Israel’ is ‘a type of Israel’s kingdom’; there is no mention of any kingdom in Heb. 4:8-9, given as a reference.</w:t>
      </w:r>
      <w:r>
        <w:rPr>
          <w:rStyle w:val="EndnoteReference"/>
        </w:rPr>
        <w:endnoteReference w:id="812"/>
      </w:r>
      <w:r w:rsidRPr="00160808">
        <w:t xml:space="preserve">  </w:t>
      </w:r>
      <w:r>
        <w:t>Scofield states</w:t>
      </w:r>
      <w:r w:rsidRPr="00160808">
        <w:t xml:space="preserve"> that ‘blessing after deliverance … [is a] type of the blessing in the kingdom after Rev. 19:19-21’</w:t>
      </w:r>
      <w:r>
        <w:t xml:space="preserve">.  </w:t>
      </w:r>
    </w:p>
    <w:p w:rsidR="00442D33" w:rsidRPr="00745F1D" w:rsidRDefault="00442D33" w:rsidP="00442D33">
      <w:pPr>
        <w:spacing w:after="120" w:line="360" w:lineRule="auto"/>
        <w:ind w:right="-28" w:firstLine="499"/>
        <w:jc w:val="both"/>
      </w:pPr>
      <w:r w:rsidRPr="00745F1D">
        <w:t xml:space="preserve">The circumstances described in the Psalms anticipate ‘the analogous conditions through which … the Jewish remnant in the tribulation should pass’ as well </w:t>
      </w:r>
      <w:r>
        <w:t xml:space="preserve">as </w:t>
      </w:r>
      <w:r w:rsidRPr="00745F1D">
        <w:t>Christ’s sufferings and ultimate victory.</w:t>
      </w:r>
      <w:r w:rsidRPr="00745F1D">
        <w:rPr>
          <w:rStyle w:val="EndnoteReference"/>
        </w:rPr>
        <w:endnoteReference w:id="813"/>
      </w:r>
      <w:r w:rsidRPr="00745F1D">
        <w:t xml:space="preserve">  Shadrach Meshach and Abednego typify the Jewish remnant to be faithful in the great tribulation.</w:t>
      </w:r>
      <w:r w:rsidRPr="00745F1D">
        <w:rPr>
          <w:rStyle w:val="EndnoteReference"/>
        </w:rPr>
        <w:endnoteReference w:id="814"/>
      </w:r>
      <w:r w:rsidRPr="00745F1D">
        <w:t xml:space="preserve">  The feast of Trumpets is ‘a prophetical type which refers to the future regathering of long-dispersed Israel’.</w:t>
      </w:r>
      <w:r w:rsidRPr="00745F1D">
        <w:rPr>
          <w:rStyle w:val="EndnoteReference"/>
        </w:rPr>
        <w:endnoteReference w:id="815"/>
      </w:r>
      <w:r w:rsidRPr="00745F1D">
        <w:t xml:space="preserve">  </w:t>
      </w:r>
      <w:r w:rsidRPr="00745F1D">
        <w:lastRenderedPageBreak/>
        <w:t>‘The Sabbath given to Israel’ is ‘a type of Israel’s kingdom’.</w:t>
      </w:r>
      <w:r w:rsidRPr="00745F1D">
        <w:rPr>
          <w:rStyle w:val="EndnoteReference"/>
        </w:rPr>
        <w:endnoteReference w:id="816"/>
      </w:r>
      <w:r w:rsidRPr="00745F1D">
        <w:t xml:space="preserve">  ‘Blessing after deliverance … [is a] type of the blessing in the kingdom after Rev. 19:19-21’.</w:t>
      </w:r>
      <w:r w:rsidRPr="00745F1D">
        <w:rPr>
          <w:rStyle w:val="EndnoteReference"/>
        </w:rPr>
        <w:endnoteReference w:id="817"/>
      </w:r>
      <w:r w:rsidRPr="00745F1D">
        <w:t xml:space="preserve"> </w:t>
      </w:r>
    </w:p>
    <w:p w:rsidR="00442D33" w:rsidRPr="00F30EAE" w:rsidRDefault="00442D33" w:rsidP="00442D33">
      <w:pPr>
        <w:spacing w:after="120" w:line="360" w:lineRule="auto"/>
        <w:ind w:right="-29"/>
        <w:jc w:val="both"/>
        <w:rPr>
          <w:rFonts w:ascii="Times New Roman" w:hAnsi="Times New Roman"/>
          <w:b/>
          <w:i/>
        </w:rPr>
      </w:pPr>
      <w:r w:rsidRPr="00F30EAE">
        <w:rPr>
          <w:rFonts w:ascii="Times New Roman" w:hAnsi="Times New Roman"/>
          <w:b/>
          <w:i/>
        </w:rPr>
        <w:t>e)  Further Types</w:t>
      </w:r>
      <w:r>
        <w:rPr>
          <w:rFonts w:ascii="Times New Roman" w:hAnsi="Times New Roman"/>
          <w:b/>
          <w:i/>
        </w:rPr>
        <w:t xml:space="preserve"> </w:t>
      </w:r>
    </w:p>
    <w:p w:rsidR="00442D33" w:rsidRDefault="00442D33" w:rsidP="00442D33">
      <w:pPr>
        <w:spacing w:after="120" w:line="360" w:lineRule="auto"/>
        <w:ind w:right="-29"/>
        <w:jc w:val="both"/>
        <w:rPr>
          <w:rFonts w:eastAsia="Perpetua" w:cs="Perpetua"/>
          <w:sz w:val="2"/>
          <w:szCs w:val="2"/>
        </w:rPr>
      </w:pPr>
      <w:r>
        <w:rPr>
          <w:rFonts w:eastAsia="Perpetua" w:cs="Perpetua"/>
          <w:spacing w:val="-1"/>
        </w:rPr>
        <w:t>Scofield identifies the whole Pentateuch as ‘in type, an epitome of the divine revelation’.</w:t>
      </w:r>
      <w:r>
        <w:rPr>
          <w:rStyle w:val="EndnoteReference"/>
          <w:rFonts w:eastAsia="Perpetua" w:cs="Perpetua"/>
          <w:spacing w:val="-1"/>
        </w:rPr>
        <w:endnoteReference w:id="818"/>
      </w:r>
      <w:r>
        <w:rPr>
          <w:rFonts w:eastAsia="Perpetua" w:cs="Perpetua"/>
          <w:spacing w:val="-1"/>
        </w:rPr>
        <w:t xml:space="preserve">  He regards </w:t>
      </w:r>
      <w:r w:rsidRPr="00472887">
        <w:rPr>
          <w:rFonts w:eastAsia="Perpetua" w:cs="Perpetua"/>
          <w:b/>
          <w:spacing w:val="-1"/>
        </w:rPr>
        <w:t>Cain and Abel</w:t>
      </w:r>
      <w:r>
        <w:rPr>
          <w:rFonts w:eastAsia="Perpetua" w:cs="Perpetua"/>
          <w:spacing w:val="-1"/>
        </w:rPr>
        <w:t xml:space="preserve"> as types.  Cain</w:t>
      </w:r>
      <w:r>
        <w:rPr>
          <w:rFonts w:eastAsia="Perpetua" w:cs="Perpetua"/>
          <w:spacing w:val="14"/>
        </w:rPr>
        <w:t xml:space="preserve"> </w:t>
      </w:r>
      <w:r>
        <w:rPr>
          <w:rFonts w:eastAsia="Perpetua" w:cs="Perpetua"/>
          <w:spacing w:val="-1"/>
        </w:rPr>
        <w:t>is</w:t>
      </w:r>
      <w:r>
        <w:rPr>
          <w:rFonts w:eastAsia="Perpetua" w:cs="Perpetua"/>
          <w:spacing w:val="14"/>
        </w:rPr>
        <w:t xml:space="preserve"> </w:t>
      </w:r>
      <w:r>
        <w:rPr>
          <w:rFonts w:eastAsia="Perpetua" w:cs="Perpetua"/>
        </w:rPr>
        <w:t>a</w:t>
      </w:r>
      <w:r>
        <w:rPr>
          <w:rFonts w:eastAsia="Perpetua" w:cs="Perpetua"/>
          <w:spacing w:val="14"/>
        </w:rPr>
        <w:t xml:space="preserve"> </w:t>
      </w:r>
      <w:r>
        <w:rPr>
          <w:rFonts w:eastAsia="Perpetua" w:cs="Perpetua"/>
          <w:spacing w:val="-1"/>
        </w:rPr>
        <w:t>type</w:t>
      </w:r>
      <w:r>
        <w:rPr>
          <w:rFonts w:eastAsia="Perpetua" w:cs="Perpetua"/>
          <w:spacing w:val="15"/>
        </w:rPr>
        <w:t xml:space="preserve"> </w:t>
      </w:r>
      <w:r>
        <w:rPr>
          <w:rFonts w:eastAsia="Perpetua" w:cs="Perpetua"/>
        </w:rPr>
        <w:t>for</w:t>
      </w:r>
      <w:r>
        <w:rPr>
          <w:rFonts w:eastAsia="Perpetua" w:cs="Perpetua"/>
          <w:spacing w:val="14"/>
        </w:rPr>
        <w:t xml:space="preserve"> </w:t>
      </w:r>
      <w:r>
        <w:rPr>
          <w:rFonts w:eastAsia="Perpetua" w:cs="Perpetua"/>
          <w:spacing w:val="-1"/>
        </w:rPr>
        <w:t>‘the</w:t>
      </w:r>
      <w:r>
        <w:rPr>
          <w:rFonts w:eastAsia="Perpetua" w:cs="Perpetua"/>
          <w:spacing w:val="14"/>
        </w:rPr>
        <w:t xml:space="preserve"> </w:t>
      </w:r>
      <w:r>
        <w:rPr>
          <w:rFonts w:eastAsia="Perpetua" w:cs="Perpetua"/>
          <w:spacing w:val="-1"/>
        </w:rPr>
        <w:t>mere</w:t>
      </w:r>
      <w:r>
        <w:rPr>
          <w:rFonts w:eastAsia="Perpetua" w:cs="Perpetua"/>
          <w:spacing w:val="16"/>
        </w:rPr>
        <w:t xml:space="preserve"> </w:t>
      </w:r>
      <w:r>
        <w:rPr>
          <w:rFonts w:eastAsia="Perpetua" w:cs="Perpetua"/>
          <w:spacing w:val="-1"/>
        </w:rPr>
        <w:t>man</w:t>
      </w:r>
      <w:r>
        <w:rPr>
          <w:rFonts w:eastAsia="Perpetua" w:cs="Perpetua"/>
          <w:spacing w:val="14"/>
        </w:rPr>
        <w:t xml:space="preserve"> </w:t>
      </w:r>
      <w:r>
        <w:rPr>
          <w:rFonts w:eastAsia="Perpetua" w:cs="Perpetua"/>
          <w:spacing w:val="-1"/>
        </w:rPr>
        <w:t>of</w:t>
      </w:r>
      <w:r>
        <w:rPr>
          <w:rFonts w:eastAsia="Perpetua" w:cs="Perpetua"/>
          <w:spacing w:val="14"/>
        </w:rPr>
        <w:t xml:space="preserve"> </w:t>
      </w:r>
      <w:r>
        <w:rPr>
          <w:rFonts w:eastAsia="Perpetua" w:cs="Perpetua"/>
          <w:spacing w:val="-1"/>
        </w:rPr>
        <w:t>the</w:t>
      </w:r>
      <w:r>
        <w:rPr>
          <w:rFonts w:eastAsia="Perpetua" w:cs="Perpetua"/>
          <w:spacing w:val="15"/>
        </w:rPr>
        <w:t xml:space="preserve"> </w:t>
      </w:r>
      <w:r>
        <w:rPr>
          <w:rFonts w:eastAsia="Perpetua" w:cs="Perpetua"/>
          <w:spacing w:val="-1"/>
        </w:rPr>
        <w:t>earth.</w:t>
      </w:r>
      <w:r>
        <w:rPr>
          <w:rFonts w:eastAsia="Perpetua" w:cs="Perpetua"/>
          <w:spacing w:val="30"/>
        </w:rPr>
        <w:t xml:space="preserve"> </w:t>
      </w:r>
      <w:r>
        <w:rPr>
          <w:rFonts w:eastAsia="Perpetua" w:cs="Perpetua"/>
          <w:spacing w:val="-1"/>
        </w:rPr>
        <w:t>His</w:t>
      </w:r>
      <w:r>
        <w:rPr>
          <w:rFonts w:eastAsia="Perpetua" w:cs="Perpetua"/>
          <w:spacing w:val="14"/>
        </w:rPr>
        <w:t xml:space="preserve"> </w:t>
      </w:r>
      <w:r>
        <w:rPr>
          <w:rFonts w:eastAsia="Perpetua" w:cs="Perpetua"/>
          <w:spacing w:val="-1"/>
        </w:rPr>
        <w:t>religion</w:t>
      </w:r>
      <w:r>
        <w:rPr>
          <w:rFonts w:eastAsia="Perpetua" w:cs="Perpetua"/>
          <w:spacing w:val="14"/>
        </w:rPr>
        <w:t xml:space="preserve"> </w:t>
      </w:r>
      <w:r>
        <w:rPr>
          <w:rFonts w:eastAsia="Perpetua" w:cs="Perpetua"/>
        </w:rPr>
        <w:t>is</w:t>
      </w:r>
      <w:r>
        <w:rPr>
          <w:rFonts w:eastAsia="Perpetua" w:cs="Perpetua"/>
          <w:spacing w:val="15"/>
        </w:rPr>
        <w:t xml:space="preserve"> </w:t>
      </w:r>
      <w:r>
        <w:rPr>
          <w:rFonts w:eastAsia="Perpetua" w:cs="Perpetua"/>
        </w:rPr>
        <w:t>destitute</w:t>
      </w:r>
      <w:r>
        <w:rPr>
          <w:rFonts w:eastAsia="Perpetua" w:cs="Perpetua"/>
          <w:spacing w:val="14"/>
        </w:rPr>
        <w:t xml:space="preserve"> </w:t>
      </w:r>
      <w:r>
        <w:rPr>
          <w:rFonts w:eastAsia="Perpetua" w:cs="Perpetua"/>
        </w:rPr>
        <w:t>of</w:t>
      </w:r>
      <w:r>
        <w:rPr>
          <w:rFonts w:eastAsia="Perpetua" w:cs="Perpetua"/>
          <w:spacing w:val="15"/>
        </w:rPr>
        <w:t xml:space="preserve"> </w:t>
      </w:r>
      <w:r>
        <w:rPr>
          <w:rFonts w:eastAsia="Perpetua" w:cs="Perpetua"/>
          <w:spacing w:val="-1"/>
        </w:rPr>
        <w:t>any</w:t>
      </w:r>
      <w:r>
        <w:rPr>
          <w:rFonts w:eastAsia="Perpetua" w:cs="Perpetua"/>
          <w:spacing w:val="14"/>
        </w:rPr>
        <w:t xml:space="preserve"> </w:t>
      </w:r>
      <w:r>
        <w:rPr>
          <w:rFonts w:eastAsia="Perpetua" w:cs="Perpetua"/>
          <w:spacing w:val="-1"/>
        </w:rPr>
        <w:t>adequate</w:t>
      </w:r>
      <w:r>
        <w:rPr>
          <w:rFonts w:eastAsia="Perpetua" w:cs="Perpetua"/>
          <w:spacing w:val="15"/>
        </w:rPr>
        <w:t xml:space="preserve"> </w:t>
      </w:r>
      <w:r>
        <w:rPr>
          <w:rFonts w:eastAsia="Perpetua" w:cs="Perpetua"/>
        </w:rPr>
        <w:t>sense</w:t>
      </w:r>
      <w:r>
        <w:rPr>
          <w:rFonts w:eastAsia="Perpetua" w:cs="Perpetua"/>
          <w:spacing w:val="14"/>
        </w:rPr>
        <w:t xml:space="preserve"> </w:t>
      </w:r>
      <w:r>
        <w:rPr>
          <w:rFonts w:eastAsia="Perpetua" w:cs="Perpetua"/>
        </w:rPr>
        <w:t>of</w:t>
      </w:r>
      <w:r>
        <w:rPr>
          <w:rFonts w:eastAsia="Perpetua" w:cs="Perpetua"/>
          <w:spacing w:val="14"/>
        </w:rPr>
        <w:t xml:space="preserve"> </w:t>
      </w:r>
      <w:r>
        <w:rPr>
          <w:rFonts w:eastAsia="Perpetua" w:cs="Perpetua"/>
        </w:rPr>
        <w:t>sin,</w:t>
      </w:r>
      <w:r>
        <w:rPr>
          <w:rFonts w:eastAsia="Perpetua" w:cs="Perpetua"/>
          <w:spacing w:val="15"/>
        </w:rPr>
        <w:t xml:space="preserve"> </w:t>
      </w:r>
      <w:r>
        <w:rPr>
          <w:rFonts w:eastAsia="Perpetua" w:cs="Perpetua"/>
        </w:rPr>
        <w:t>or</w:t>
      </w:r>
      <w:r>
        <w:rPr>
          <w:rFonts w:eastAsia="Perpetua" w:cs="Perpetua"/>
          <w:spacing w:val="57"/>
          <w:w w:val="99"/>
        </w:rPr>
        <w:t xml:space="preserve"> </w:t>
      </w:r>
      <w:r>
        <w:rPr>
          <w:rFonts w:eastAsia="Perpetua" w:cs="Perpetua"/>
        </w:rPr>
        <w:t>need</w:t>
      </w:r>
      <w:r>
        <w:rPr>
          <w:rFonts w:eastAsia="Perpetua" w:cs="Perpetua"/>
          <w:spacing w:val="11"/>
        </w:rPr>
        <w:t xml:space="preserve"> </w:t>
      </w:r>
      <w:r>
        <w:rPr>
          <w:rFonts w:eastAsia="Perpetua" w:cs="Perpetua"/>
        </w:rPr>
        <w:t>of</w:t>
      </w:r>
      <w:r>
        <w:rPr>
          <w:rFonts w:eastAsia="Perpetua" w:cs="Perpetua"/>
          <w:spacing w:val="11"/>
        </w:rPr>
        <w:t xml:space="preserve"> </w:t>
      </w:r>
      <w:r>
        <w:rPr>
          <w:rFonts w:eastAsia="Perpetua" w:cs="Perpetua"/>
          <w:spacing w:val="-1"/>
        </w:rPr>
        <w:t>atonement.’</w:t>
      </w:r>
      <w:r>
        <w:rPr>
          <w:rStyle w:val="EndnoteReference"/>
          <w:rFonts w:eastAsia="Perpetua" w:cs="Perpetua"/>
          <w:spacing w:val="-1"/>
        </w:rPr>
        <w:endnoteReference w:id="819"/>
      </w:r>
      <w:r>
        <w:rPr>
          <w:rFonts w:eastAsia="Perpetua" w:cs="Perpetua"/>
          <w:spacing w:val="-1"/>
        </w:rPr>
        <w:t xml:space="preserve">  </w:t>
      </w:r>
      <w:r>
        <w:rPr>
          <w:rFonts w:eastAsia="Perpetua" w:cs="Perpetua"/>
        </w:rPr>
        <w:t>He</w:t>
      </w:r>
      <w:r>
        <w:rPr>
          <w:rFonts w:eastAsia="Perpetua" w:cs="Perpetua"/>
          <w:spacing w:val="11"/>
        </w:rPr>
        <w:t xml:space="preserve"> </w:t>
      </w:r>
      <w:r>
        <w:rPr>
          <w:rFonts w:eastAsia="Perpetua" w:cs="Perpetua"/>
        </w:rPr>
        <w:t>typifies</w:t>
      </w:r>
      <w:r>
        <w:rPr>
          <w:rFonts w:eastAsia="Perpetua" w:cs="Perpetua"/>
          <w:spacing w:val="11"/>
        </w:rPr>
        <w:t xml:space="preserve"> </w:t>
      </w:r>
      <w:r>
        <w:rPr>
          <w:rFonts w:eastAsia="Perpetua" w:cs="Perpetua"/>
        </w:rPr>
        <w:t>‘the</w:t>
      </w:r>
      <w:r>
        <w:rPr>
          <w:rFonts w:eastAsia="Perpetua" w:cs="Perpetua"/>
          <w:spacing w:val="11"/>
        </w:rPr>
        <w:t xml:space="preserve"> </w:t>
      </w:r>
      <w:r>
        <w:rPr>
          <w:rFonts w:eastAsia="Perpetua" w:cs="Perpetua"/>
          <w:spacing w:val="-1"/>
        </w:rPr>
        <w:t>religious</w:t>
      </w:r>
      <w:r>
        <w:rPr>
          <w:rFonts w:eastAsia="Perpetua" w:cs="Perpetua"/>
          <w:spacing w:val="13"/>
        </w:rPr>
        <w:t xml:space="preserve"> </w:t>
      </w:r>
      <w:r>
        <w:rPr>
          <w:rFonts w:eastAsia="Perpetua" w:cs="Perpetua"/>
        </w:rPr>
        <w:t>natural</w:t>
      </w:r>
      <w:r>
        <w:rPr>
          <w:rFonts w:eastAsia="Perpetua" w:cs="Perpetua"/>
          <w:spacing w:val="11"/>
        </w:rPr>
        <w:t xml:space="preserve"> </w:t>
      </w:r>
      <w:r>
        <w:rPr>
          <w:rFonts w:eastAsia="Perpetua" w:cs="Perpetua"/>
          <w:spacing w:val="-1"/>
        </w:rPr>
        <w:t>man,</w:t>
      </w:r>
      <w:r>
        <w:rPr>
          <w:rFonts w:eastAsia="Perpetua" w:cs="Perpetua"/>
          <w:spacing w:val="11"/>
        </w:rPr>
        <w:t xml:space="preserve"> </w:t>
      </w:r>
      <w:r>
        <w:rPr>
          <w:rFonts w:eastAsia="Perpetua" w:cs="Perpetua"/>
        </w:rPr>
        <w:t>who</w:t>
      </w:r>
      <w:r>
        <w:rPr>
          <w:rFonts w:eastAsia="Perpetua" w:cs="Perpetua"/>
          <w:spacing w:val="11"/>
        </w:rPr>
        <w:t xml:space="preserve"> </w:t>
      </w:r>
      <w:r>
        <w:rPr>
          <w:rFonts w:eastAsia="Perpetua" w:cs="Perpetua"/>
        </w:rPr>
        <w:t>believes</w:t>
      </w:r>
      <w:r>
        <w:rPr>
          <w:rFonts w:eastAsia="Perpetua" w:cs="Perpetua"/>
          <w:spacing w:val="11"/>
        </w:rPr>
        <w:t xml:space="preserve"> </w:t>
      </w:r>
      <w:r>
        <w:rPr>
          <w:rFonts w:eastAsia="Perpetua" w:cs="Perpetua"/>
        </w:rPr>
        <w:t>in</w:t>
      </w:r>
      <w:r>
        <w:rPr>
          <w:rFonts w:eastAsia="Perpetua" w:cs="Perpetua"/>
          <w:spacing w:val="11"/>
        </w:rPr>
        <w:t xml:space="preserve"> </w:t>
      </w:r>
      <w:r>
        <w:rPr>
          <w:rFonts w:eastAsia="Perpetua" w:cs="Perpetua"/>
        </w:rPr>
        <w:t>a</w:t>
      </w:r>
      <w:r>
        <w:rPr>
          <w:rFonts w:eastAsia="Perpetua" w:cs="Perpetua"/>
          <w:spacing w:val="11"/>
        </w:rPr>
        <w:t xml:space="preserve"> </w:t>
      </w:r>
      <w:r>
        <w:rPr>
          <w:rFonts w:eastAsia="Perpetua" w:cs="Perpetua"/>
        </w:rPr>
        <w:t>God</w:t>
      </w:r>
      <w:r>
        <w:rPr>
          <w:rFonts w:eastAsia="Perpetua" w:cs="Perpetua"/>
          <w:spacing w:val="11"/>
        </w:rPr>
        <w:t xml:space="preserve"> </w:t>
      </w:r>
      <w:r>
        <w:rPr>
          <w:rFonts w:eastAsia="Perpetua" w:cs="Perpetua"/>
        </w:rPr>
        <w:t>and</w:t>
      </w:r>
      <w:r>
        <w:rPr>
          <w:rFonts w:eastAsia="Perpetua" w:cs="Perpetua"/>
          <w:spacing w:val="10"/>
        </w:rPr>
        <w:t xml:space="preserve"> </w:t>
      </w:r>
      <w:r>
        <w:rPr>
          <w:rFonts w:eastAsia="Perpetua" w:cs="Perpetua"/>
        </w:rPr>
        <w:t>in</w:t>
      </w:r>
      <w:r>
        <w:rPr>
          <w:rFonts w:eastAsia="Perpetua" w:cs="Perpetua"/>
          <w:spacing w:val="11"/>
        </w:rPr>
        <w:t xml:space="preserve"> </w:t>
      </w:r>
      <w:r>
        <w:rPr>
          <w:rFonts w:eastAsia="Perpetua" w:cs="Perpetua"/>
        </w:rPr>
        <w:t>a</w:t>
      </w:r>
      <w:r>
        <w:rPr>
          <w:rFonts w:eastAsia="Perpetua" w:cs="Perpetua"/>
          <w:spacing w:val="10"/>
        </w:rPr>
        <w:t xml:space="preserve"> </w:t>
      </w:r>
      <w:r>
        <w:rPr>
          <w:rFonts w:eastAsia="Perpetua" w:cs="Perpetua"/>
        </w:rPr>
        <w:t>“religion”,</w:t>
      </w:r>
      <w:r>
        <w:rPr>
          <w:rFonts w:eastAsia="Perpetua" w:cs="Perpetua"/>
          <w:spacing w:val="33"/>
          <w:w w:val="99"/>
        </w:rPr>
        <w:t xml:space="preserve"> </w:t>
      </w:r>
      <w:r>
        <w:rPr>
          <w:rFonts w:eastAsia="Perpetua" w:cs="Perpetua"/>
        </w:rPr>
        <w:t>but</w:t>
      </w:r>
      <w:r>
        <w:rPr>
          <w:rFonts w:eastAsia="Perpetua" w:cs="Perpetua"/>
          <w:spacing w:val="1"/>
        </w:rPr>
        <w:t xml:space="preserve"> </w:t>
      </w:r>
      <w:r>
        <w:rPr>
          <w:rFonts w:eastAsia="Perpetua" w:cs="Perpetua"/>
        </w:rPr>
        <w:t>after</w:t>
      </w:r>
      <w:r>
        <w:rPr>
          <w:rFonts w:eastAsia="Perpetua" w:cs="Perpetua"/>
          <w:spacing w:val="2"/>
        </w:rPr>
        <w:t xml:space="preserve"> </w:t>
      </w:r>
      <w:r>
        <w:rPr>
          <w:rFonts w:eastAsia="Perpetua" w:cs="Perpetua"/>
        </w:rPr>
        <w:t>his</w:t>
      </w:r>
      <w:r>
        <w:rPr>
          <w:rFonts w:eastAsia="Perpetua" w:cs="Perpetua"/>
          <w:spacing w:val="2"/>
        </w:rPr>
        <w:t xml:space="preserve"> </w:t>
      </w:r>
      <w:r>
        <w:rPr>
          <w:rFonts w:eastAsia="Perpetua" w:cs="Perpetua"/>
        </w:rPr>
        <w:t>own</w:t>
      </w:r>
      <w:r>
        <w:rPr>
          <w:rFonts w:eastAsia="Perpetua" w:cs="Perpetua"/>
          <w:spacing w:val="1"/>
        </w:rPr>
        <w:t xml:space="preserve"> </w:t>
      </w:r>
      <w:r>
        <w:rPr>
          <w:rFonts w:eastAsia="Perpetua" w:cs="Perpetua"/>
        </w:rPr>
        <w:t>will,</w:t>
      </w:r>
      <w:r>
        <w:rPr>
          <w:rFonts w:eastAsia="Perpetua" w:cs="Perpetua"/>
          <w:spacing w:val="2"/>
        </w:rPr>
        <w:t xml:space="preserve"> </w:t>
      </w:r>
      <w:r>
        <w:rPr>
          <w:rFonts w:eastAsia="Perpetua" w:cs="Perpetua"/>
        </w:rPr>
        <w:t>and</w:t>
      </w:r>
      <w:r>
        <w:rPr>
          <w:rFonts w:eastAsia="Perpetua" w:cs="Perpetua"/>
          <w:spacing w:val="1"/>
        </w:rPr>
        <w:t xml:space="preserve"> </w:t>
      </w:r>
      <w:r>
        <w:rPr>
          <w:rFonts w:eastAsia="Perpetua" w:cs="Perpetua"/>
        </w:rPr>
        <w:t>who</w:t>
      </w:r>
      <w:r>
        <w:rPr>
          <w:rFonts w:eastAsia="Perpetua" w:cs="Perpetua"/>
          <w:spacing w:val="3"/>
        </w:rPr>
        <w:t xml:space="preserve"> </w:t>
      </w:r>
      <w:r>
        <w:rPr>
          <w:rFonts w:eastAsia="Perpetua" w:cs="Perpetua"/>
        </w:rPr>
        <w:t>rejects</w:t>
      </w:r>
      <w:r>
        <w:rPr>
          <w:rFonts w:eastAsia="Perpetua" w:cs="Perpetua"/>
          <w:spacing w:val="3"/>
        </w:rPr>
        <w:t xml:space="preserve"> </w:t>
      </w:r>
      <w:r>
        <w:rPr>
          <w:rFonts w:eastAsia="Perpetua" w:cs="Perpetua"/>
        </w:rPr>
        <w:t>redemption</w:t>
      </w:r>
      <w:r>
        <w:rPr>
          <w:rFonts w:eastAsia="Perpetua" w:cs="Perpetua"/>
          <w:spacing w:val="2"/>
        </w:rPr>
        <w:t xml:space="preserve"> </w:t>
      </w:r>
      <w:r>
        <w:rPr>
          <w:rFonts w:eastAsia="Perpetua" w:cs="Perpetua"/>
        </w:rPr>
        <w:t>by</w:t>
      </w:r>
      <w:r>
        <w:rPr>
          <w:rFonts w:eastAsia="Perpetua" w:cs="Perpetua"/>
          <w:spacing w:val="2"/>
        </w:rPr>
        <w:t xml:space="preserve"> </w:t>
      </w:r>
      <w:r>
        <w:rPr>
          <w:rFonts w:eastAsia="Perpetua" w:cs="Perpetua"/>
        </w:rPr>
        <w:t>blood’.</w:t>
      </w:r>
      <w:r>
        <w:rPr>
          <w:rStyle w:val="EndnoteReference"/>
          <w:rFonts w:eastAsia="Perpetua" w:cs="Perpetua"/>
        </w:rPr>
        <w:endnoteReference w:id="820"/>
      </w:r>
      <w:r>
        <w:rPr>
          <w:rFonts w:eastAsia="Perpetua" w:cs="Perpetua"/>
        </w:rPr>
        <w:t xml:space="preserve">  From</w:t>
      </w:r>
      <w:r>
        <w:rPr>
          <w:rFonts w:eastAsia="Perpetua" w:cs="Perpetua"/>
          <w:spacing w:val="2"/>
        </w:rPr>
        <w:t xml:space="preserve"> </w:t>
      </w:r>
      <w:r>
        <w:rPr>
          <w:rFonts w:eastAsia="Perpetua" w:cs="Perpetua"/>
        </w:rPr>
        <w:t>this,</w:t>
      </w:r>
      <w:r>
        <w:rPr>
          <w:rFonts w:eastAsia="Perpetua" w:cs="Perpetua"/>
          <w:spacing w:val="2"/>
        </w:rPr>
        <w:t xml:space="preserve"> </w:t>
      </w:r>
      <w:r>
        <w:rPr>
          <w:rFonts w:eastAsia="Perpetua" w:cs="Perpetua"/>
        </w:rPr>
        <w:t>Scofield</w:t>
      </w:r>
      <w:r>
        <w:rPr>
          <w:rFonts w:eastAsia="Perpetua" w:cs="Perpetua"/>
          <w:spacing w:val="1"/>
        </w:rPr>
        <w:t xml:space="preserve"> </w:t>
      </w:r>
      <w:r>
        <w:rPr>
          <w:rFonts w:eastAsia="Perpetua" w:cs="Perpetua"/>
        </w:rPr>
        <w:t>opines</w:t>
      </w:r>
      <w:r>
        <w:rPr>
          <w:rFonts w:eastAsia="Perpetua" w:cs="Perpetua"/>
          <w:spacing w:val="2"/>
        </w:rPr>
        <w:t xml:space="preserve"> </w:t>
      </w:r>
      <w:r>
        <w:rPr>
          <w:rFonts w:eastAsia="Perpetua" w:cs="Perpetua"/>
        </w:rPr>
        <w:t>in</w:t>
      </w:r>
      <w:r>
        <w:rPr>
          <w:rFonts w:eastAsia="Perpetua" w:cs="Perpetua"/>
          <w:spacing w:val="3"/>
        </w:rPr>
        <w:t xml:space="preserve"> </w:t>
      </w:r>
      <w:r>
        <w:rPr>
          <w:rFonts w:eastAsia="Perpetua" w:cs="Perpetua"/>
        </w:rPr>
        <w:t>his</w:t>
      </w:r>
      <w:r>
        <w:rPr>
          <w:rFonts w:eastAsia="Perpetua" w:cs="Perpetua"/>
          <w:spacing w:val="1"/>
        </w:rPr>
        <w:t xml:space="preserve"> </w:t>
      </w:r>
      <w:r>
        <w:rPr>
          <w:rFonts w:eastAsia="Perpetua" w:cs="Perpetua"/>
        </w:rPr>
        <w:t>note</w:t>
      </w:r>
      <w:r>
        <w:rPr>
          <w:rFonts w:eastAsia="Perpetua" w:cs="Perpetua"/>
          <w:spacing w:val="2"/>
        </w:rPr>
        <w:t xml:space="preserve"> </w:t>
      </w:r>
      <w:r>
        <w:rPr>
          <w:rFonts w:eastAsia="Perpetua" w:cs="Perpetua"/>
          <w:spacing w:val="1"/>
        </w:rPr>
        <w:t>on</w:t>
      </w:r>
      <w:r>
        <w:rPr>
          <w:rFonts w:eastAsia="Perpetua" w:cs="Perpetua"/>
          <w:spacing w:val="21"/>
          <w:w w:val="99"/>
        </w:rPr>
        <w:t xml:space="preserve"> </w:t>
      </w:r>
      <w:r>
        <w:rPr>
          <w:rFonts w:eastAsia="Perpetua" w:cs="Perpetua"/>
        </w:rPr>
        <w:t>Jude</w:t>
      </w:r>
      <w:r>
        <w:rPr>
          <w:rFonts w:eastAsia="Perpetua" w:cs="Perpetua"/>
          <w:spacing w:val="17"/>
        </w:rPr>
        <w:t xml:space="preserve"> </w:t>
      </w:r>
      <w:r>
        <w:rPr>
          <w:rFonts w:eastAsia="Perpetua" w:cs="Perpetua"/>
        </w:rPr>
        <w:t>11</w:t>
      </w:r>
      <w:r>
        <w:rPr>
          <w:rFonts w:eastAsia="Perpetua" w:cs="Perpetua"/>
          <w:spacing w:val="18"/>
        </w:rPr>
        <w:t xml:space="preserve"> </w:t>
      </w:r>
      <w:r>
        <w:rPr>
          <w:rFonts w:eastAsia="Perpetua" w:cs="Perpetua"/>
        </w:rPr>
        <w:t>that</w:t>
      </w:r>
      <w:r>
        <w:rPr>
          <w:rFonts w:eastAsia="Perpetua" w:cs="Perpetua"/>
          <w:spacing w:val="18"/>
        </w:rPr>
        <w:t xml:space="preserve"> </w:t>
      </w:r>
      <w:r>
        <w:rPr>
          <w:rFonts w:eastAsia="Perpetua" w:cs="Perpetua"/>
        </w:rPr>
        <w:t>apostate</w:t>
      </w:r>
      <w:r>
        <w:rPr>
          <w:rFonts w:eastAsia="Perpetua" w:cs="Perpetua"/>
          <w:spacing w:val="18"/>
        </w:rPr>
        <w:t xml:space="preserve"> </w:t>
      </w:r>
      <w:r>
        <w:rPr>
          <w:rFonts w:eastAsia="Perpetua" w:cs="Perpetua"/>
        </w:rPr>
        <w:t>teachers</w:t>
      </w:r>
      <w:r>
        <w:rPr>
          <w:rFonts w:eastAsia="Perpetua" w:cs="Perpetua"/>
          <w:spacing w:val="18"/>
        </w:rPr>
        <w:t xml:space="preserve"> </w:t>
      </w:r>
      <w:r>
        <w:rPr>
          <w:rFonts w:eastAsia="Perpetua" w:cs="Perpetua"/>
        </w:rPr>
        <w:t>explain</w:t>
      </w:r>
      <w:r>
        <w:rPr>
          <w:rFonts w:eastAsia="Perpetua" w:cs="Perpetua"/>
          <w:spacing w:val="17"/>
        </w:rPr>
        <w:t xml:space="preserve"> </w:t>
      </w:r>
      <w:r>
        <w:rPr>
          <w:rFonts w:eastAsia="Perpetua" w:cs="Perpetua"/>
        </w:rPr>
        <w:t>away</w:t>
      </w:r>
      <w:r>
        <w:rPr>
          <w:rFonts w:eastAsia="Perpetua" w:cs="Perpetua"/>
          <w:spacing w:val="18"/>
        </w:rPr>
        <w:t xml:space="preserve"> </w:t>
      </w:r>
      <w:r>
        <w:rPr>
          <w:rFonts w:eastAsia="Perpetua" w:cs="Perpetua"/>
        </w:rPr>
        <w:t>the</w:t>
      </w:r>
      <w:r>
        <w:rPr>
          <w:rFonts w:eastAsia="Perpetua" w:cs="Perpetua"/>
          <w:spacing w:val="18"/>
        </w:rPr>
        <w:t xml:space="preserve"> </w:t>
      </w:r>
      <w:r>
        <w:rPr>
          <w:rFonts w:eastAsia="Perpetua" w:cs="Perpetua"/>
          <w:spacing w:val="-1"/>
        </w:rPr>
        <w:t>atonement.</w:t>
      </w:r>
      <w:r>
        <w:rPr>
          <w:rStyle w:val="EndnoteReference"/>
          <w:rFonts w:eastAsia="Perpetua" w:cs="Perpetua"/>
          <w:spacing w:val="-1"/>
        </w:rPr>
        <w:endnoteReference w:id="821"/>
      </w:r>
      <w:r>
        <w:rPr>
          <w:rFonts w:eastAsia="Perpetua" w:cs="Perpetua"/>
          <w:spacing w:val="-1"/>
        </w:rPr>
        <w:t xml:space="preserve">  David </w:t>
      </w:r>
      <w:r>
        <w:rPr>
          <w:rFonts w:eastAsia="Perpetua" w:cs="Perpetua"/>
        </w:rPr>
        <w:t>Horrell</w:t>
      </w:r>
      <w:r>
        <w:rPr>
          <w:rFonts w:eastAsia="Perpetua" w:cs="Perpetua"/>
          <w:spacing w:val="19"/>
        </w:rPr>
        <w:t xml:space="preserve"> </w:t>
      </w:r>
      <w:r>
        <w:rPr>
          <w:rFonts w:eastAsia="Perpetua" w:cs="Perpetua"/>
        </w:rPr>
        <w:t>states</w:t>
      </w:r>
      <w:r>
        <w:rPr>
          <w:rFonts w:eastAsia="Perpetua" w:cs="Perpetua"/>
          <w:spacing w:val="18"/>
        </w:rPr>
        <w:t xml:space="preserve"> </w:t>
      </w:r>
      <w:r>
        <w:rPr>
          <w:rFonts w:eastAsia="Perpetua" w:cs="Perpetua"/>
        </w:rPr>
        <w:t>that</w:t>
      </w:r>
      <w:r>
        <w:rPr>
          <w:rFonts w:eastAsia="Perpetua" w:cs="Perpetua"/>
          <w:spacing w:val="18"/>
        </w:rPr>
        <w:t xml:space="preserve"> </w:t>
      </w:r>
      <w:r>
        <w:rPr>
          <w:rFonts w:eastAsia="Perpetua" w:cs="Perpetua"/>
          <w:spacing w:val="-1"/>
        </w:rPr>
        <w:t>Cain</w:t>
      </w:r>
      <w:r>
        <w:rPr>
          <w:rFonts w:eastAsia="Perpetua" w:cs="Perpetua"/>
          <w:spacing w:val="19"/>
        </w:rPr>
        <w:t xml:space="preserve"> </w:t>
      </w:r>
      <w:r>
        <w:rPr>
          <w:rFonts w:eastAsia="Perpetua" w:cs="Perpetua"/>
        </w:rPr>
        <w:t>was</w:t>
      </w:r>
      <w:r>
        <w:rPr>
          <w:rFonts w:eastAsia="Perpetua" w:cs="Perpetua"/>
          <w:spacing w:val="17"/>
        </w:rPr>
        <w:t xml:space="preserve"> </w:t>
      </w:r>
      <w:r>
        <w:rPr>
          <w:rFonts w:eastAsia="Perpetua" w:cs="Perpetua"/>
          <w:spacing w:val="-1"/>
        </w:rPr>
        <w:t>regarded</w:t>
      </w:r>
      <w:r>
        <w:rPr>
          <w:rFonts w:eastAsia="Perpetua" w:cs="Perpetua"/>
          <w:spacing w:val="18"/>
        </w:rPr>
        <w:t xml:space="preserve"> </w:t>
      </w:r>
      <w:r>
        <w:rPr>
          <w:rFonts w:eastAsia="Perpetua" w:cs="Perpetua"/>
        </w:rPr>
        <w:t>in</w:t>
      </w:r>
      <w:r>
        <w:rPr>
          <w:rFonts w:eastAsia="Perpetua" w:cs="Perpetua"/>
          <w:spacing w:val="37"/>
          <w:w w:val="99"/>
        </w:rPr>
        <w:t xml:space="preserve"> </w:t>
      </w:r>
      <w:r>
        <w:rPr>
          <w:rFonts w:eastAsia="Perpetua" w:cs="Perpetua"/>
          <w:spacing w:val="-1"/>
        </w:rPr>
        <w:t>Jewish</w:t>
      </w:r>
      <w:r>
        <w:rPr>
          <w:rFonts w:eastAsia="Perpetua" w:cs="Perpetua"/>
          <w:spacing w:val="43"/>
        </w:rPr>
        <w:t xml:space="preserve"> </w:t>
      </w:r>
      <w:r>
        <w:rPr>
          <w:rFonts w:eastAsia="Perpetua" w:cs="Perpetua"/>
          <w:spacing w:val="-1"/>
        </w:rPr>
        <w:t>tradition</w:t>
      </w:r>
      <w:r>
        <w:rPr>
          <w:rFonts w:eastAsia="Perpetua" w:cs="Perpetua"/>
          <w:spacing w:val="43"/>
        </w:rPr>
        <w:t xml:space="preserve"> </w:t>
      </w:r>
      <w:r>
        <w:rPr>
          <w:rFonts w:eastAsia="Perpetua" w:cs="Perpetua"/>
          <w:spacing w:val="-1"/>
        </w:rPr>
        <w:t>not</w:t>
      </w:r>
      <w:r>
        <w:rPr>
          <w:rFonts w:eastAsia="Perpetua" w:cs="Perpetua"/>
          <w:spacing w:val="44"/>
        </w:rPr>
        <w:t xml:space="preserve"> </w:t>
      </w:r>
      <w:r>
        <w:rPr>
          <w:rFonts w:eastAsia="Perpetua" w:cs="Perpetua"/>
          <w:spacing w:val="-1"/>
        </w:rPr>
        <w:t>just</w:t>
      </w:r>
      <w:r>
        <w:rPr>
          <w:rFonts w:eastAsia="Perpetua" w:cs="Perpetua"/>
          <w:spacing w:val="43"/>
        </w:rPr>
        <w:t xml:space="preserve"> </w:t>
      </w:r>
      <w:r>
        <w:rPr>
          <w:rFonts w:eastAsia="Perpetua" w:cs="Perpetua"/>
        </w:rPr>
        <w:t>as</w:t>
      </w:r>
      <w:r>
        <w:rPr>
          <w:rFonts w:eastAsia="Perpetua" w:cs="Perpetua"/>
          <w:spacing w:val="43"/>
        </w:rPr>
        <w:t xml:space="preserve"> </w:t>
      </w:r>
      <w:r>
        <w:rPr>
          <w:rFonts w:eastAsia="Perpetua" w:cs="Perpetua"/>
        </w:rPr>
        <w:t>a</w:t>
      </w:r>
      <w:r>
        <w:rPr>
          <w:rFonts w:eastAsia="Perpetua" w:cs="Perpetua"/>
          <w:spacing w:val="43"/>
        </w:rPr>
        <w:t xml:space="preserve"> </w:t>
      </w:r>
      <w:r>
        <w:rPr>
          <w:rFonts w:eastAsia="Perpetua" w:cs="Perpetua"/>
          <w:spacing w:val="-1"/>
        </w:rPr>
        <w:t>murderer,</w:t>
      </w:r>
      <w:r>
        <w:rPr>
          <w:rFonts w:eastAsia="Perpetua" w:cs="Perpetua"/>
          <w:spacing w:val="44"/>
        </w:rPr>
        <w:t xml:space="preserve"> </w:t>
      </w:r>
      <w:r>
        <w:rPr>
          <w:rFonts w:eastAsia="Perpetua" w:cs="Perpetua"/>
        </w:rPr>
        <w:t>but</w:t>
      </w:r>
      <w:r>
        <w:rPr>
          <w:rFonts w:eastAsia="Perpetua" w:cs="Perpetua"/>
          <w:spacing w:val="43"/>
        </w:rPr>
        <w:t xml:space="preserve"> </w:t>
      </w:r>
      <w:r>
        <w:rPr>
          <w:rFonts w:eastAsia="Perpetua" w:cs="Perpetua"/>
          <w:spacing w:val="-1"/>
        </w:rPr>
        <w:t>also</w:t>
      </w:r>
      <w:r>
        <w:rPr>
          <w:rFonts w:eastAsia="Perpetua" w:cs="Perpetua"/>
          <w:spacing w:val="45"/>
        </w:rPr>
        <w:t xml:space="preserve"> </w:t>
      </w:r>
      <w:r>
        <w:rPr>
          <w:rFonts w:eastAsia="Perpetua" w:cs="Perpetua"/>
        </w:rPr>
        <w:t>as</w:t>
      </w:r>
      <w:r>
        <w:rPr>
          <w:rFonts w:eastAsia="Perpetua" w:cs="Perpetua"/>
          <w:spacing w:val="43"/>
        </w:rPr>
        <w:t xml:space="preserve"> </w:t>
      </w:r>
      <w:r>
        <w:rPr>
          <w:rFonts w:eastAsia="Perpetua" w:cs="Perpetua"/>
        </w:rPr>
        <w:t>someone</w:t>
      </w:r>
      <w:r>
        <w:rPr>
          <w:rFonts w:eastAsia="Perpetua" w:cs="Perpetua"/>
          <w:spacing w:val="44"/>
        </w:rPr>
        <w:t xml:space="preserve"> </w:t>
      </w:r>
      <w:r>
        <w:rPr>
          <w:rFonts w:eastAsia="Perpetua" w:cs="Perpetua"/>
        </w:rPr>
        <w:t>who</w:t>
      </w:r>
      <w:r>
        <w:rPr>
          <w:rFonts w:eastAsia="Perpetua" w:cs="Perpetua"/>
          <w:spacing w:val="43"/>
        </w:rPr>
        <w:t xml:space="preserve"> </w:t>
      </w:r>
      <w:r>
        <w:rPr>
          <w:rFonts w:eastAsia="Perpetua" w:cs="Perpetua"/>
        </w:rPr>
        <w:t>denied</w:t>
      </w:r>
      <w:r>
        <w:rPr>
          <w:rFonts w:eastAsia="Perpetua" w:cs="Perpetua"/>
          <w:spacing w:val="44"/>
        </w:rPr>
        <w:t xml:space="preserve"> </w:t>
      </w:r>
      <w:r>
        <w:rPr>
          <w:rFonts w:eastAsia="Perpetua" w:cs="Perpetua"/>
        </w:rPr>
        <w:t>God’s</w:t>
      </w:r>
      <w:r>
        <w:rPr>
          <w:rFonts w:eastAsia="Perpetua" w:cs="Perpetua"/>
          <w:spacing w:val="42"/>
        </w:rPr>
        <w:t xml:space="preserve"> </w:t>
      </w:r>
      <w:r>
        <w:rPr>
          <w:rFonts w:eastAsia="Perpetua" w:cs="Perpetua"/>
        </w:rPr>
        <w:t>justice</w:t>
      </w:r>
      <w:r>
        <w:rPr>
          <w:rFonts w:eastAsia="Perpetua" w:cs="Perpetua"/>
          <w:spacing w:val="44"/>
        </w:rPr>
        <w:t xml:space="preserve"> </w:t>
      </w:r>
      <w:r>
        <w:rPr>
          <w:rFonts w:eastAsia="Perpetua" w:cs="Perpetua"/>
        </w:rPr>
        <w:t>and</w:t>
      </w:r>
      <w:r>
        <w:rPr>
          <w:rFonts w:eastAsia="Perpetua" w:cs="Perpetua"/>
          <w:spacing w:val="43"/>
        </w:rPr>
        <w:t xml:space="preserve"> </w:t>
      </w:r>
      <w:r>
        <w:rPr>
          <w:rFonts w:eastAsia="Perpetua" w:cs="Perpetua"/>
        </w:rPr>
        <w:t>future</w:t>
      </w:r>
      <w:r>
        <w:rPr>
          <w:rFonts w:eastAsia="Perpetua" w:cs="Perpetua"/>
          <w:spacing w:val="31"/>
          <w:w w:val="99"/>
        </w:rPr>
        <w:t xml:space="preserve"> </w:t>
      </w:r>
      <w:r>
        <w:rPr>
          <w:rFonts w:eastAsia="Perpetua" w:cs="Perpetua"/>
          <w:spacing w:val="-1"/>
        </w:rPr>
        <w:t>judgment,</w:t>
      </w:r>
      <w:r>
        <w:rPr>
          <w:rFonts w:eastAsia="Perpetua" w:cs="Perpetua"/>
          <w:spacing w:val="-5"/>
        </w:rPr>
        <w:t xml:space="preserve"> </w:t>
      </w:r>
      <w:r>
        <w:rPr>
          <w:rFonts w:eastAsia="Perpetua" w:cs="Perpetua"/>
          <w:spacing w:val="-1"/>
        </w:rPr>
        <w:t>with</w:t>
      </w:r>
      <w:r>
        <w:rPr>
          <w:rFonts w:eastAsia="Perpetua" w:cs="Perpetua"/>
          <w:spacing w:val="-3"/>
        </w:rPr>
        <w:t xml:space="preserve"> </w:t>
      </w:r>
      <w:r>
        <w:rPr>
          <w:rFonts w:eastAsia="Perpetua" w:cs="Perpetua"/>
        </w:rPr>
        <w:t>the</w:t>
      </w:r>
      <w:r>
        <w:rPr>
          <w:rFonts w:eastAsia="Perpetua" w:cs="Perpetua"/>
          <w:spacing w:val="-5"/>
        </w:rPr>
        <w:t xml:space="preserve"> </w:t>
      </w:r>
      <w:r>
        <w:rPr>
          <w:rFonts w:eastAsia="Perpetua" w:cs="Perpetua"/>
          <w:spacing w:val="-1"/>
        </w:rPr>
        <w:t>result</w:t>
      </w:r>
      <w:r>
        <w:rPr>
          <w:rFonts w:eastAsia="Perpetua" w:cs="Perpetua"/>
          <w:spacing w:val="-3"/>
        </w:rPr>
        <w:t xml:space="preserve"> </w:t>
      </w:r>
      <w:r>
        <w:rPr>
          <w:rFonts w:eastAsia="Perpetua" w:cs="Perpetua"/>
          <w:spacing w:val="-1"/>
        </w:rPr>
        <w:t>that</w:t>
      </w:r>
      <w:r>
        <w:rPr>
          <w:rFonts w:eastAsia="Perpetua" w:cs="Perpetua"/>
          <w:spacing w:val="-3"/>
        </w:rPr>
        <w:t xml:space="preserve"> </w:t>
      </w:r>
      <w:r>
        <w:rPr>
          <w:rFonts w:eastAsia="Perpetua" w:cs="Perpetua"/>
          <w:spacing w:val="-1"/>
        </w:rPr>
        <w:t>he</w:t>
      </w:r>
      <w:r>
        <w:rPr>
          <w:rFonts w:eastAsia="Perpetua" w:cs="Perpetua"/>
          <w:spacing w:val="-4"/>
        </w:rPr>
        <w:t xml:space="preserve"> </w:t>
      </w:r>
      <w:r>
        <w:rPr>
          <w:rFonts w:eastAsia="Perpetua" w:cs="Perpetua"/>
        </w:rPr>
        <w:t>was</w:t>
      </w:r>
      <w:r>
        <w:rPr>
          <w:rFonts w:eastAsia="Perpetua" w:cs="Perpetua"/>
          <w:spacing w:val="-4"/>
        </w:rPr>
        <w:t xml:space="preserve"> </w:t>
      </w:r>
      <w:r>
        <w:rPr>
          <w:rFonts w:eastAsia="Perpetua" w:cs="Perpetua"/>
        </w:rPr>
        <w:t>a</w:t>
      </w:r>
      <w:r>
        <w:rPr>
          <w:rFonts w:eastAsia="Perpetua" w:cs="Perpetua"/>
          <w:spacing w:val="-4"/>
        </w:rPr>
        <w:t xml:space="preserve"> </w:t>
      </w:r>
      <w:r>
        <w:rPr>
          <w:rFonts w:eastAsia="Perpetua" w:cs="Perpetua"/>
        </w:rPr>
        <w:t>type</w:t>
      </w:r>
      <w:r>
        <w:rPr>
          <w:rFonts w:eastAsia="Perpetua" w:cs="Perpetua"/>
          <w:spacing w:val="-4"/>
        </w:rPr>
        <w:t xml:space="preserve"> </w:t>
      </w:r>
      <w:r>
        <w:rPr>
          <w:rFonts w:eastAsia="Perpetua" w:cs="Perpetua"/>
        </w:rPr>
        <w:t>for</w:t>
      </w:r>
      <w:r>
        <w:rPr>
          <w:rFonts w:eastAsia="Perpetua" w:cs="Perpetua"/>
          <w:spacing w:val="-5"/>
        </w:rPr>
        <w:t xml:space="preserve"> </w:t>
      </w:r>
      <w:r>
        <w:rPr>
          <w:rFonts w:eastAsia="Perpetua" w:cs="Perpetua"/>
        </w:rPr>
        <w:t>ungodliness</w:t>
      </w:r>
      <w:r>
        <w:rPr>
          <w:rFonts w:eastAsia="Perpetua" w:cs="Perpetua"/>
          <w:spacing w:val="-3"/>
        </w:rPr>
        <w:t xml:space="preserve"> </w:t>
      </w:r>
      <w:r>
        <w:rPr>
          <w:rFonts w:eastAsia="Perpetua" w:cs="Perpetua"/>
          <w:spacing w:val="-1"/>
        </w:rPr>
        <w:t>and</w:t>
      </w:r>
      <w:r>
        <w:rPr>
          <w:rFonts w:eastAsia="Perpetua" w:cs="Perpetua"/>
          <w:spacing w:val="-5"/>
        </w:rPr>
        <w:t xml:space="preserve"> </w:t>
      </w:r>
      <w:r>
        <w:rPr>
          <w:rFonts w:eastAsia="Perpetua" w:cs="Perpetua"/>
        </w:rPr>
        <w:t>false</w:t>
      </w:r>
      <w:r>
        <w:rPr>
          <w:rFonts w:eastAsia="Perpetua" w:cs="Perpetua"/>
          <w:spacing w:val="-3"/>
        </w:rPr>
        <w:t xml:space="preserve"> </w:t>
      </w:r>
      <w:r>
        <w:rPr>
          <w:rFonts w:eastAsia="Perpetua" w:cs="Perpetua"/>
        </w:rPr>
        <w:t>teaching.</w:t>
      </w:r>
      <w:r>
        <w:rPr>
          <w:rFonts w:eastAsia="Perpetua" w:cs="Perpetua"/>
          <w:spacing w:val="42"/>
        </w:rPr>
        <w:t xml:space="preserve"> </w:t>
      </w:r>
      <w:r>
        <w:rPr>
          <w:rFonts w:eastAsia="Perpetua" w:cs="Perpetua"/>
        </w:rPr>
        <w:t>His</w:t>
      </w:r>
      <w:r>
        <w:rPr>
          <w:rFonts w:eastAsia="Perpetua" w:cs="Perpetua"/>
          <w:spacing w:val="-4"/>
        </w:rPr>
        <w:t xml:space="preserve"> </w:t>
      </w:r>
      <w:r>
        <w:rPr>
          <w:rFonts w:eastAsia="Perpetua" w:cs="Perpetua"/>
        </w:rPr>
        <w:t>judgment</w:t>
      </w:r>
      <w:r>
        <w:rPr>
          <w:rFonts w:eastAsia="Perpetua" w:cs="Perpetua"/>
          <w:spacing w:val="-4"/>
        </w:rPr>
        <w:t xml:space="preserve"> </w:t>
      </w:r>
      <w:r>
        <w:rPr>
          <w:rFonts w:eastAsia="Perpetua" w:cs="Perpetua"/>
        </w:rPr>
        <w:t>was</w:t>
      </w:r>
      <w:r>
        <w:rPr>
          <w:rFonts w:eastAsia="Perpetua" w:cs="Perpetua"/>
          <w:spacing w:val="-4"/>
        </w:rPr>
        <w:t xml:space="preserve"> </w:t>
      </w:r>
      <w:r>
        <w:rPr>
          <w:rFonts w:eastAsia="Perpetua" w:cs="Perpetua"/>
        </w:rPr>
        <w:t>a</w:t>
      </w:r>
      <w:r>
        <w:rPr>
          <w:rFonts w:eastAsia="Perpetua" w:cs="Perpetua"/>
          <w:spacing w:val="-3"/>
        </w:rPr>
        <w:t xml:space="preserve"> </w:t>
      </w:r>
      <w:r>
        <w:rPr>
          <w:rFonts w:eastAsia="Perpetua" w:cs="Perpetua"/>
        </w:rPr>
        <w:t>divine</w:t>
      </w:r>
      <w:r>
        <w:rPr>
          <w:rFonts w:eastAsia="Perpetua" w:cs="Perpetua"/>
          <w:spacing w:val="31"/>
          <w:w w:val="99"/>
        </w:rPr>
        <w:t xml:space="preserve"> </w:t>
      </w:r>
      <w:r>
        <w:rPr>
          <w:rFonts w:eastAsia="Perpetua" w:cs="Perpetua"/>
          <w:spacing w:val="-1"/>
        </w:rPr>
        <w:t>curse.</w:t>
      </w:r>
      <w:r>
        <w:rPr>
          <w:rStyle w:val="EndnoteReference"/>
          <w:rFonts w:eastAsia="Perpetua" w:cs="Perpetua"/>
          <w:spacing w:val="-1"/>
        </w:rPr>
        <w:endnoteReference w:id="822"/>
      </w:r>
      <w:r>
        <w:rPr>
          <w:rFonts w:eastAsia="Perpetua" w:cs="Perpetua"/>
          <w:spacing w:val="-1"/>
        </w:rPr>
        <w:t xml:space="preserve">  Scofield holds that Abel</w:t>
      </w:r>
      <w:r>
        <w:rPr>
          <w:rFonts w:eastAsia="Perpetua" w:cs="Perpetua"/>
          <w:spacing w:val="13"/>
        </w:rPr>
        <w:t xml:space="preserve"> </w:t>
      </w:r>
      <w:r>
        <w:rPr>
          <w:rFonts w:eastAsia="Perpetua" w:cs="Perpetua"/>
        </w:rPr>
        <w:t>is</w:t>
      </w:r>
      <w:r>
        <w:rPr>
          <w:rFonts w:eastAsia="Perpetua" w:cs="Perpetua"/>
          <w:spacing w:val="12"/>
        </w:rPr>
        <w:t xml:space="preserve"> </w:t>
      </w:r>
      <w:r>
        <w:rPr>
          <w:rFonts w:eastAsia="Perpetua" w:cs="Perpetua"/>
        </w:rPr>
        <w:t>the</w:t>
      </w:r>
      <w:r>
        <w:rPr>
          <w:rFonts w:eastAsia="Perpetua" w:cs="Perpetua"/>
          <w:spacing w:val="13"/>
        </w:rPr>
        <w:t xml:space="preserve"> </w:t>
      </w:r>
      <w:r>
        <w:rPr>
          <w:rFonts w:eastAsia="Perpetua" w:cs="Perpetua"/>
        </w:rPr>
        <w:t>type</w:t>
      </w:r>
      <w:r>
        <w:rPr>
          <w:rFonts w:eastAsia="Perpetua" w:cs="Perpetua"/>
          <w:spacing w:val="13"/>
        </w:rPr>
        <w:t xml:space="preserve"> </w:t>
      </w:r>
      <w:r>
        <w:rPr>
          <w:rFonts w:eastAsia="Perpetua" w:cs="Perpetua"/>
        </w:rPr>
        <w:t>for</w:t>
      </w:r>
      <w:r>
        <w:rPr>
          <w:rFonts w:eastAsia="Perpetua" w:cs="Perpetua"/>
          <w:spacing w:val="13"/>
        </w:rPr>
        <w:t xml:space="preserve"> </w:t>
      </w:r>
      <w:r>
        <w:rPr>
          <w:rFonts w:eastAsia="Perpetua" w:cs="Perpetua"/>
        </w:rPr>
        <w:t>the</w:t>
      </w:r>
      <w:r>
        <w:rPr>
          <w:rFonts w:eastAsia="Perpetua" w:cs="Perpetua"/>
          <w:spacing w:val="12"/>
        </w:rPr>
        <w:t xml:space="preserve"> </w:t>
      </w:r>
      <w:r>
        <w:rPr>
          <w:rFonts w:eastAsia="Perpetua" w:cs="Perpetua"/>
        </w:rPr>
        <w:t>spiritual</w:t>
      </w:r>
      <w:r>
        <w:rPr>
          <w:rFonts w:eastAsia="Perpetua" w:cs="Perpetua"/>
          <w:spacing w:val="13"/>
        </w:rPr>
        <w:t xml:space="preserve"> </w:t>
      </w:r>
      <w:r>
        <w:rPr>
          <w:rFonts w:eastAsia="Perpetua" w:cs="Perpetua"/>
        </w:rPr>
        <w:t>man;</w:t>
      </w:r>
      <w:r>
        <w:rPr>
          <w:rFonts w:eastAsia="Perpetua" w:cs="Perpetua"/>
          <w:spacing w:val="13"/>
        </w:rPr>
        <w:t xml:space="preserve"> </w:t>
      </w:r>
      <w:r>
        <w:rPr>
          <w:rFonts w:eastAsia="Perpetua" w:cs="Perpetua"/>
          <w:spacing w:val="-1"/>
        </w:rPr>
        <w:t>atoning</w:t>
      </w:r>
      <w:r>
        <w:rPr>
          <w:rFonts w:eastAsia="Perpetua" w:cs="Perpetua"/>
          <w:spacing w:val="14"/>
        </w:rPr>
        <w:t xml:space="preserve"> </w:t>
      </w:r>
      <w:r>
        <w:rPr>
          <w:rFonts w:eastAsia="Perpetua" w:cs="Perpetua"/>
        </w:rPr>
        <w:t>blood</w:t>
      </w:r>
      <w:r>
        <w:rPr>
          <w:rFonts w:eastAsia="Perpetua" w:cs="Perpetua"/>
          <w:spacing w:val="12"/>
        </w:rPr>
        <w:t xml:space="preserve"> </w:t>
      </w:r>
      <w:r>
        <w:rPr>
          <w:rFonts w:eastAsia="Perpetua" w:cs="Perpetua"/>
          <w:spacing w:val="-1"/>
        </w:rPr>
        <w:t>was</w:t>
      </w:r>
      <w:r>
        <w:rPr>
          <w:rFonts w:eastAsia="Perpetua" w:cs="Perpetua"/>
          <w:spacing w:val="13"/>
        </w:rPr>
        <w:t xml:space="preserve"> </w:t>
      </w:r>
      <w:r>
        <w:rPr>
          <w:rFonts w:eastAsia="Perpetua" w:cs="Perpetua"/>
          <w:spacing w:val="-1"/>
        </w:rPr>
        <w:t>shed</w:t>
      </w:r>
      <w:r>
        <w:rPr>
          <w:rFonts w:eastAsia="Perpetua" w:cs="Perpetua"/>
          <w:spacing w:val="13"/>
        </w:rPr>
        <w:t xml:space="preserve"> </w:t>
      </w:r>
      <w:r>
        <w:rPr>
          <w:rFonts w:eastAsia="Perpetua" w:cs="Perpetua"/>
          <w:spacing w:val="-1"/>
        </w:rPr>
        <w:t>in</w:t>
      </w:r>
      <w:r>
        <w:rPr>
          <w:rFonts w:eastAsia="Perpetua" w:cs="Perpetua"/>
          <w:spacing w:val="13"/>
        </w:rPr>
        <w:t xml:space="preserve"> </w:t>
      </w:r>
      <w:r>
        <w:rPr>
          <w:rFonts w:eastAsia="Perpetua" w:cs="Perpetua"/>
          <w:spacing w:val="-1"/>
        </w:rPr>
        <w:t>the</w:t>
      </w:r>
      <w:r>
        <w:rPr>
          <w:rFonts w:eastAsia="Perpetua" w:cs="Perpetua"/>
          <w:spacing w:val="13"/>
        </w:rPr>
        <w:t xml:space="preserve"> </w:t>
      </w:r>
      <w:r>
        <w:rPr>
          <w:rFonts w:eastAsia="Perpetua" w:cs="Perpetua"/>
        </w:rPr>
        <w:t>sacrifice</w:t>
      </w:r>
      <w:r>
        <w:rPr>
          <w:rFonts w:eastAsia="Perpetua" w:cs="Perpetua"/>
          <w:spacing w:val="12"/>
        </w:rPr>
        <w:t xml:space="preserve"> </w:t>
      </w:r>
      <w:r>
        <w:rPr>
          <w:rFonts w:eastAsia="Perpetua" w:cs="Perpetua"/>
        </w:rPr>
        <w:t>he</w:t>
      </w:r>
      <w:r>
        <w:rPr>
          <w:rFonts w:eastAsia="Perpetua" w:cs="Perpetua"/>
          <w:spacing w:val="13"/>
        </w:rPr>
        <w:t xml:space="preserve"> </w:t>
      </w:r>
      <w:r>
        <w:rPr>
          <w:rFonts w:eastAsia="Perpetua" w:cs="Perpetua"/>
          <w:spacing w:val="-1"/>
        </w:rPr>
        <w:t>offered.</w:t>
      </w:r>
      <w:r>
        <w:rPr>
          <w:rFonts w:eastAsia="Perpetua" w:cs="Perpetua"/>
          <w:spacing w:val="26"/>
        </w:rPr>
        <w:t xml:space="preserve"> </w:t>
      </w:r>
      <w:r>
        <w:rPr>
          <w:rFonts w:eastAsia="Perpetua" w:cs="Perpetua"/>
          <w:spacing w:val="-1"/>
        </w:rPr>
        <w:t>This</w:t>
      </w:r>
      <w:r>
        <w:rPr>
          <w:rFonts w:eastAsia="Perpetua" w:cs="Perpetua"/>
          <w:spacing w:val="29"/>
          <w:w w:val="99"/>
        </w:rPr>
        <w:t xml:space="preserve"> </w:t>
      </w:r>
      <w:r>
        <w:rPr>
          <w:rFonts w:eastAsia="Perpetua" w:cs="Perpetua"/>
        </w:rPr>
        <w:t>was</w:t>
      </w:r>
      <w:r>
        <w:rPr>
          <w:rFonts w:eastAsia="Perpetua" w:cs="Perpetua"/>
          <w:spacing w:val="7"/>
        </w:rPr>
        <w:t xml:space="preserve"> </w:t>
      </w:r>
      <w:r>
        <w:rPr>
          <w:rFonts w:eastAsia="Perpetua" w:cs="Perpetua"/>
        </w:rPr>
        <w:t>simultaneously</w:t>
      </w:r>
      <w:r>
        <w:rPr>
          <w:rFonts w:eastAsia="Perpetua" w:cs="Perpetua"/>
          <w:spacing w:val="7"/>
        </w:rPr>
        <w:t xml:space="preserve"> </w:t>
      </w:r>
      <w:r>
        <w:rPr>
          <w:rFonts w:eastAsia="Perpetua" w:cs="Perpetua"/>
        </w:rPr>
        <w:t>his</w:t>
      </w:r>
      <w:r>
        <w:rPr>
          <w:rFonts w:eastAsia="Perpetua" w:cs="Perpetua"/>
          <w:spacing w:val="8"/>
        </w:rPr>
        <w:t xml:space="preserve"> </w:t>
      </w:r>
      <w:r>
        <w:rPr>
          <w:rFonts w:eastAsia="Perpetua" w:cs="Perpetua"/>
        </w:rPr>
        <w:t>confession</w:t>
      </w:r>
      <w:r>
        <w:rPr>
          <w:rFonts w:eastAsia="Perpetua" w:cs="Perpetua"/>
          <w:spacing w:val="6"/>
        </w:rPr>
        <w:t xml:space="preserve"> </w:t>
      </w:r>
      <w:r>
        <w:rPr>
          <w:rFonts w:eastAsia="Perpetua" w:cs="Perpetua"/>
        </w:rPr>
        <w:t>of</w:t>
      </w:r>
      <w:r>
        <w:rPr>
          <w:rFonts w:eastAsia="Perpetua" w:cs="Perpetua"/>
          <w:spacing w:val="7"/>
        </w:rPr>
        <w:t xml:space="preserve"> </w:t>
      </w:r>
      <w:r>
        <w:rPr>
          <w:rFonts w:eastAsia="Perpetua" w:cs="Perpetua"/>
        </w:rPr>
        <w:t>sin</w:t>
      </w:r>
      <w:r>
        <w:rPr>
          <w:rFonts w:eastAsia="Perpetua" w:cs="Perpetua"/>
          <w:spacing w:val="7"/>
        </w:rPr>
        <w:t xml:space="preserve"> </w:t>
      </w:r>
      <w:r>
        <w:rPr>
          <w:rFonts w:eastAsia="Perpetua" w:cs="Perpetua"/>
          <w:spacing w:val="-1"/>
        </w:rPr>
        <w:t>and</w:t>
      </w:r>
      <w:r>
        <w:rPr>
          <w:rFonts w:eastAsia="Perpetua" w:cs="Perpetua"/>
          <w:spacing w:val="9"/>
        </w:rPr>
        <w:t xml:space="preserve"> </w:t>
      </w:r>
      <w:r>
        <w:rPr>
          <w:rFonts w:eastAsia="Perpetua" w:cs="Perpetua"/>
        </w:rPr>
        <w:t>expression</w:t>
      </w:r>
      <w:r>
        <w:rPr>
          <w:rFonts w:eastAsia="Perpetua" w:cs="Perpetua"/>
          <w:spacing w:val="7"/>
        </w:rPr>
        <w:t xml:space="preserve"> </w:t>
      </w:r>
      <w:r>
        <w:rPr>
          <w:rFonts w:eastAsia="Perpetua" w:cs="Perpetua"/>
        </w:rPr>
        <w:t>of</w:t>
      </w:r>
      <w:r>
        <w:rPr>
          <w:rFonts w:eastAsia="Perpetua" w:cs="Perpetua"/>
          <w:spacing w:val="7"/>
        </w:rPr>
        <w:t xml:space="preserve"> </w:t>
      </w:r>
      <w:r>
        <w:rPr>
          <w:rFonts w:eastAsia="Perpetua" w:cs="Perpetua"/>
        </w:rPr>
        <w:t>faith</w:t>
      </w:r>
      <w:r>
        <w:rPr>
          <w:rFonts w:eastAsia="Perpetua" w:cs="Perpetua"/>
          <w:spacing w:val="7"/>
        </w:rPr>
        <w:t xml:space="preserve"> </w:t>
      </w:r>
      <w:r>
        <w:rPr>
          <w:rFonts w:eastAsia="Perpetua" w:cs="Perpetua"/>
        </w:rPr>
        <w:t>in</w:t>
      </w:r>
      <w:r>
        <w:rPr>
          <w:rFonts w:eastAsia="Perpetua" w:cs="Perpetua"/>
          <w:spacing w:val="9"/>
        </w:rPr>
        <w:t xml:space="preserve"> </w:t>
      </w:r>
      <w:r>
        <w:rPr>
          <w:rFonts w:eastAsia="Perpetua" w:cs="Perpetua"/>
        </w:rPr>
        <w:t>the</w:t>
      </w:r>
      <w:r>
        <w:rPr>
          <w:rFonts w:eastAsia="Perpetua" w:cs="Perpetua"/>
          <w:spacing w:val="7"/>
        </w:rPr>
        <w:t xml:space="preserve"> </w:t>
      </w:r>
      <w:r>
        <w:rPr>
          <w:rFonts w:eastAsia="Perpetua" w:cs="Perpetua"/>
        </w:rPr>
        <w:t>interposition</w:t>
      </w:r>
      <w:r>
        <w:rPr>
          <w:rFonts w:eastAsia="Perpetua" w:cs="Perpetua"/>
          <w:spacing w:val="7"/>
        </w:rPr>
        <w:t xml:space="preserve"> </w:t>
      </w:r>
      <w:r>
        <w:rPr>
          <w:rFonts w:eastAsia="Perpetua" w:cs="Perpetua"/>
        </w:rPr>
        <w:t>of</w:t>
      </w:r>
      <w:r>
        <w:rPr>
          <w:rFonts w:eastAsia="Perpetua" w:cs="Perpetua"/>
          <w:spacing w:val="7"/>
        </w:rPr>
        <w:t xml:space="preserve"> </w:t>
      </w:r>
      <w:r>
        <w:rPr>
          <w:rFonts w:eastAsia="Perpetua" w:cs="Perpetua"/>
        </w:rPr>
        <w:t>a</w:t>
      </w:r>
      <w:r>
        <w:rPr>
          <w:rFonts w:eastAsia="Perpetua" w:cs="Perpetua"/>
          <w:spacing w:val="8"/>
        </w:rPr>
        <w:t xml:space="preserve"> </w:t>
      </w:r>
      <w:r>
        <w:rPr>
          <w:rFonts w:eastAsia="Perpetua" w:cs="Perpetua"/>
        </w:rPr>
        <w:t>substitute.</w:t>
      </w:r>
      <w:r>
        <w:rPr>
          <w:rStyle w:val="EndnoteReference"/>
          <w:rFonts w:eastAsia="Perpetua" w:cs="Perpetua"/>
        </w:rPr>
        <w:endnoteReference w:id="823"/>
      </w:r>
      <w:r>
        <w:rPr>
          <w:rFonts w:eastAsia="Perpetua" w:cs="Perpetua"/>
        </w:rPr>
        <w:t xml:space="preserve">  </w:t>
      </w:r>
      <w:r>
        <w:rPr>
          <w:rFonts w:eastAsia="Perpetua" w:cs="Perpetua"/>
          <w:spacing w:val="25"/>
          <w:position w:val="9"/>
          <w:sz w:val="13"/>
          <w:szCs w:val="13"/>
        </w:rPr>
        <w:t xml:space="preserve"> </w:t>
      </w:r>
      <w:r>
        <w:rPr>
          <w:rFonts w:eastAsia="Perpetua" w:cs="Perpetua"/>
        </w:rPr>
        <w:t>No</w:t>
      </w:r>
      <w:r>
        <w:rPr>
          <w:rFonts w:eastAsia="Perpetua" w:cs="Perpetua"/>
          <w:spacing w:val="25"/>
          <w:w w:val="99"/>
        </w:rPr>
        <w:t xml:space="preserve"> </w:t>
      </w:r>
      <w:r>
        <w:rPr>
          <w:rFonts w:eastAsia="Perpetua" w:cs="Perpetua"/>
        </w:rPr>
        <w:t>justification</w:t>
      </w:r>
      <w:r>
        <w:rPr>
          <w:rFonts w:eastAsia="Perpetua" w:cs="Perpetua"/>
          <w:spacing w:val="-5"/>
        </w:rPr>
        <w:t xml:space="preserve"> </w:t>
      </w:r>
      <w:r>
        <w:rPr>
          <w:rFonts w:eastAsia="Perpetua" w:cs="Perpetua"/>
        </w:rPr>
        <w:t>is</w:t>
      </w:r>
      <w:r>
        <w:rPr>
          <w:rFonts w:eastAsia="Perpetua" w:cs="Perpetua"/>
          <w:spacing w:val="-5"/>
        </w:rPr>
        <w:t xml:space="preserve"> </w:t>
      </w:r>
      <w:r>
        <w:rPr>
          <w:rFonts w:eastAsia="Perpetua" w:cs="Perpetua"/>
        </w:rPr>
        <w:t>given</w:t>
      </w:r>
      <w:r>
        <w:rPr>
          <w:rFonts w:eastAsia="Perpetua" w:cs="Perpetua"/>
          <w:spacing w:val="-5"/>
        </w:rPr>
        <w:t xml:space="preserve"> </w:t>
      </w:r>
      <w:r>
        <w:rPr>
          <w:rFonts w:eastAsia="Perpetua" w:cs="Perpetua"/>
        </w:rPr>
        <w:t>for</w:t>
      </w:r>
      <w:r>
        <w:rPr>
          <w:rFonts w:eastAsia="Perpetua" w:cs="Perpetua"/>
          <w:spacing w:val="-5"/>
        </w:rPr>
        <w:t xml:space="preserve"> </w:t>
      </w:r>
      <w:r>
        <w:rPr>
          <w:rFonts w:eastAsia="Perpetua" w:cs="Perpetua"/>
        </w:rPr>
        <w:t>either</w:t>
      </w:r>
      <w:r>
        <w:rPr>
          <w:rFonts w:eastAsia="Perpetua" w:cs="Perpetua"/>
          <w:spacing w:val="-6"/>
        </w:rPr>
        <w:t xml:space="preserve"> </w:t>
      </w:r>
      <w:r>
        <w:rPr>
          <w:rFonts w:eastAsia="Perpetua" w:cs="Perpetua"/>
        </w:rPr>
        <w:t>statement</w:t>
      </w:r>
      <w:r>
        <w:rPr>
          <w:rFonts w:eastAsia="Perpetua" w:cs="Perpetua"/>
          <w:spacing w:val="-6"/>
        </w:rPr>
        <w:t xml:space="preserve"> </w:t>
      </w:r>
      <w:r>
        <w:rPr>
          <w:rFonts w:eastAsia="Perpetua" w:cs="Perpetua"/>
          <w:spacing w:val="-1"/>
        </w:rPr>
        <w:t>and</w:t>
      </w:r>
      <w:r>
        <w:rPr>
          <w:rFonts w:eastAsia="Perpetua" w:cs="Perpetua"/>
          <w:spacing w:val="-4"/>
        </w:rPr>
        <w:t xml:space="preserve"> </w:t>
      </w:r>
      <w:r>
        <w:rPr>
          <w:rFonts w:eastAsia="Perpetua" w:cs="Perpetua"/>
        </w:rPr>
        <w:t>neither</w:t>
      </w:r>
      <w:r>
        <w:rPr>
          <w:rFonts w:eastAsia="Perpetua" w:cs="Perpetua"/>
          <w:spacing w:val="-6"/>
        </w:rPr>
        <w:t xml:space="preserve"> </w:t>
      </w:r>
      <w:r>
        <w:rPr>
          <w:rFonts w:eastAsia="Perpetua" w:cs="Perpetua"/>
        </w:rPr>
        <w:t>atonement</w:t>
      </w:r>
      <w:r>
        <w:rPr>
          <w:rFonts w:eastAsia="Perpetua" w:cs="Perpetua"/>
          <w:spacing w:val="-6"/>
        </w:rPr>
        <w:t xml:space="preserve"> </w:t>
      </w:r>
      <w:r>
        <w:rPr>
          <w:rFonts w:eastAsia="Perpetua" w:cs="Perpetua"/>
        </w:rPr>
        <w:t>nor</w:t>
      </w:r>
      <w:r>
        <w:rPr>
          <w:rFonts w:eastAsia="Perpetua" w:cs="Perpetua"/>
          <w:spacing w:val="-5"/>
        </w:rPr>
        <w:t xml:space="preserve"> </w:t>
      </w:r>
      <w:r>
        <w:rPr>
          <w:rFonts w:eastAsia="Perpetua" w:cs="Perpetua"/>
        </w:rPr>
        <w:t>blood</w:t>
      </w:r>
      <w:r>
        <w:rPr>
          <w:rFonts w:eastAsia="Perpetua" w:cs="Perpetua"/>
          <w:spacing w:val="-7"/>
        </w:rPr>
        <w:t xml:space="preserve"> </w:t>
      </w:r>
      <w:r>
        <w:rPr>
          <w:rFonts w:eastAsia="Perpetua" w:cs="Perpetua"/>
        </w:rPr>
        <w:t>is</w:t>
      </w:r>
      <w:r>
        <w:rPr>
          <w:rFonts w:eastAsia="Perpetua" w:cs="Perpetua"/>
          <w:spacing w:val="-6"/>
        </w:rPr>
        <w:t xml:space="preserve"> </w:t>
      </w:r>
      <w:r>
        <w:rPr>
          <w:rFonts w:eastAsia="Perpetua" w:cs="Perpetua"/>
        </w:rPr>
        <w:t>mentioned</w:t>
      </w:r>
      <w:r>
        <w:rPr>
          <w:rFonts w:eastAsia="Perpetua" w:cs="Perpetua"/>
          <w:spacing w:val="-6"/>
        </w:rPr>
        <w:t xml:space="preserve"> </w:t>
      </w:r>
      <w:r>
        <w:rPr>
          <w:rFonts w:eastAsia="Perpetua" w:cs="Perpetua"/>
        </w:rPr>
        <w:t>in</w:t>
      </w:r>
      <w:r>
        <w:rPr>
          <w:rFonts w:eastAsia="Perpetua" w:cs="Perpetua"/>
          <w:spacing w:val="-4"/>
        </w:rPr>
        <w:t xml:space="preserve"> </w:t>
      </w:r>
      <w:r>
        <w:rPr>
          <w:rFonts w:eastAsia="Perpetua" w:cs="Perpetua"/>
        </w:rPr>
        <w:t xml:space="preserve">Jude.  </w:t>
      </w:r>
    </w:p>
    <w:p w:rsidR="00442D33" w:rsidRPr="00450CAC" w:rsidRDefault="00442D33" w:rsidP="00442D33">
      <w:pPr>
        <w:spacing w:after="120" w:line="360" w:lineRule="auto"/>
        <w:ind w:right="101" w:firstLine="567"/>
        <w:jc w:val="both"/>
        <w:rPr>
          <w:rFonts w:eastAsia="Perpetua" w:cs="Perpetua"/>
          <w:sz w:val="13"/>
          <w:szCs w:val="13"/>
        </w:rPr>
      </w:pPr>
      <w:r>
        <w:rPr>
          <w:rFonts w:eastAsia="Perpetua" w:cs="Perpetua"/>
        </w:rPr>
        <w:t>Blue,</w:t>
      </w:r>
      <w:r>
        <w:rPr>
          <w:rFonts w:eastAsia="Perpetua" w:cs="Perpetua"/>
          <w:spacing w:val="14"/>
        </w:rPr>
        <w:t xml:space="preserve"> </w:t>
      </w:r>
      <w:r>
        <w:rPr>
          <w:rFonts w:eastAsia="Perpetua" w:cs="Perpetua"/>
          <w:spacing w:val="-1"/>
        </w:rPr>
        <w:t>as</w:t>
      </w:r>
      <w:r>
        <w:rPr>
          <w:rFonts w:eastAsia="Perpetua" w:cs="Perpetua"/>
          <w:spacing w:val="14"/>
        </w:rPr>
        <w:t xml:space="preserve"> </w:t>
      </w:r>
      <w:r>
        <w:rPr>
          <w:rFonts w:eastAsia="Perpetua" w:cs="Perpetua"/>
          <w:spacing w:val="-1"/>
        </w:rPr>
        <w:t>used</w:t>
      </w:r>
      <w:r>
        <w:rPr>
          <w:rFonts w:eastAsia="Perpetua" w:cs="Perpetua"/>
          <w:spacing w:val="15"/>
        </w:rPr>
        <w:t xml:space="preserve"> </w:t>
      </w:r>
      <w:r>
        <w:rPr>
          <w:rFonts w:eastAsia="Perpetua" w:cs="Perpetua"/>
          <w:spacing w:val="-1"/>
        </w:rPr>
        <w:t>in</w:t>
      </w:r>
      <w:r>
        <w:rPr>
          <w:rFonts w:eastAsia="Perpetua" w:cs="Perpetua"/>
          <w:spacing w:val="14"/>
        </w:rPr>
        <w:t xml:space="preserve"> </w:t>
      </w:r>
      <w:r w:rsidRPr="00745F1D">
        <w:rPr>
          <w:rFonts w:eastAsia="Perpetua" w:cs="Perpetua"/>
          <w:b/>
          <w:spacing w:val="-1"/>
        </w:rPr>
        <w:t>the</w:t>
      </w:r>
      <w:r w:rsidRPr="00745F1D">
        <w:rPr>
          <w:rFonts w:eastAsia="Perpetua" w:cs="Perpetua"/>
          <w:b/>
          <w:spacing w:val="14"/>
        </w:rPr>
        <w:t xml:space="preserve"> </w:t>
      </w:r>
      <w:r w:rsidRPr="00745F1D">
        <w:rPr>
          <w:rFonts w:eastAsia="Perpetua" w:cs="Perpetua"/>
          <w:b/>
          <w:spacing w:val="-1"/>
        </w:rPr>
        <w:t>tabernacle</w:t>
      </w:r>
      <w:r>
        <w:rPr>
          <w:rFonts w:eastAsia="Perpetua" w:cs="Perpetua"/>
          <w:spacing w:val="-1"/>
        </w:rPr>
        <w:t>,</w:t>
      </w:r>
      <w:r>
        <w:rPr>
          <w:rFonts w:eastAsia="Perpetua" w:cs="Perpetua"/>
          <w:spacing w:val="15"/>
        </w:rPr>
        <w:t xml:space="preserve"> </w:t>
      </w:r>
      <w:r>
        <w:rPr>
          <w:rFonts w:eastAsia="Perpetua" w:cs="Perpetua"/>
          <w:spacing w:val="-1"/>
        </w:rPr>
        <w:t>typifies</w:t>
      </w:r>
      <w:r>
        <w:rPr>
          <w:rFonts w:eastAsia="Perpetua" w:cs="Perpetua"/>
          <w:spacing w:val="14"/>
        </w:rPr>
        <w:t xml:space="preserve"> </w:t>
      </w:r>
      <w:r>
        <w:rPr>
          <w:rFonts w:eastAsia="Perpetua" w:cs="Perpetua"/>
        </w:rPr>
        <w:t>a</w:t>
      </w:r>
      <w:r>
        <w:rPr>
          <w:rFonts w:eastAsia="Perpetua" w:cs="Perpetua"/>
          <w:spacing w:val="14"/>
        </w:rPr>
        <w:t xml:space="preserve"> </w:t>
      </w:r>
      <w:r>
        <w:rPr>
          <w:rFonts w:eastAsia="Perpetua" w:cs="Perpetua"/>
          <w:spacing w:val="-1"/>
        </w:rPr>
        <w:t>heavenly</w:t>
      </w:r>
      <w:r>
        <w:rPr>
          <w:rFonts w:eastAsia="Perpetua" w:cs="Perpetua"/>
          <w:spacing w:val="16"/>
        </w:rPr>
        <w:t xml:space="preserve"> </w:t>
      </w:r>
      <w:r>
        <w:rPr>
          <w:rFonts w:eastAsia="Perpetua" w:cs="Perpetua"/>
          <w:spacing w:val="-1"/>
        </w:rPr>
        <w:t>nature</w:t>
      </w:r>
      <w:r>
        <w:rPr>
          <w:rFonts w:eastAsia="Perpetua" w:cs="Perpetua"/>
          <w:spacing w:val="14"/>
        </w:rPr>
        <w:t xml:space="preserve"> </w:t>
      </w:r>
      <w:r>
        <w:rPr>
          <w:rFonts w:eastAsia="Perpetua" w:cs="Perpetua"/>
          <w:spacing w:val="-1"/>
        </w:rPr>
        <w:t>or</w:t>
      </w:r>
      <w:r>
        <w:rPr>
          <w:rFonts w:eastAsia="Perpetua" w:cs="Perpetua"/>
          <w:spacing w:val="14"/>
        </w:rPr>
        <w:t xml:space="preserve"> </w:t>
      </w:r>
      <w:r>
        <w:rPr>
          <w:rFonts w:eastAsia="Perpetua" w:cs="Perpetua"/>
          <w:spacing w:val="-1"/>
        </w:rPr>
        <w:t>origin.</w:t>
      </w:r>
      <w:r>
        <w:rPr>
          <w:rStyle w:val="EndnoteReference"/>
          <w:rFonts w:eastAsia="Perpetua" w:cs="Perpetua"/>
          <w:spacing w:val="-1"/>
        </w:rPr>
        <w:endnoteReference w:id="824"/>
      </w:r>
      <w:r w:rsidRPr="00745F1D">
        <w:t xml:space="preserve">  </w:t>
      </w:r>
      <w:r>
        <w:rPr>
          <w:rFonts w:eastAsia="Perpetua" w:cs="Perpetua"/>
          <w:spacing w:val="11"/>
          <w:position w:val="9"/>
          <w:sz w:val="13"/>
          <w:szCs w:val="13"/>
        </w:rPr>
        <w:t xml:space="preserve"> </w:t>
      </w:r>
      <w:r>
        <w:rPr>
          <w:rFonts w:eastAsia="Perpetua" w:cs="Perpetua"/>
        </w:rPr>
        <w:t>The</w:t>
      </w:r>
      <w:r>
        <w:rPr>
          <w:rFonts w:eastAsia="Perpetua" w:cs="Perpetua"/>
          <w:spacing w:val="15"/>
        </w:rPr>
        <w:t xml:space="preserve"> </w:t>
      </w:r>
      <w:r>
        <w:rPr>
          <w:rFonts w:eastAsia="Perpetua" w:cs="Perpetua"/>
        </w:rPr>
        <w:t>tabernacle</w:t>
      </w:r>
      <w:r>
        <w:rPr>
          <w:rFonts w:eastAsia="Perpetua" w:cs="Perpetua"/>
          <w:spacing w:val="14"/>
        </w:rPr>
        <w:t xml:space="preserve"> </w:t>
      </w:r>
      <w:r>
        <w:rPr>
          <w:rFonts w:eastAsia="Perpetua" w:cs="Perpetua"/>
        </w:rPr>
        <w:t>is</w:t>
      </w:r>
      <w:r>
        <w:rPr>
          <w:rFonts w:eastAsia="Perpetua" w:cs="Perpetua"/>
          <w:spacing w:val="14"/>
        </w:rPr>
        <w:t xml:space="preserve"> </w:t>
      </w:r>
      <w:r>
        <w:rPr>
          <w:rFonts w:eastAsia="Perpetua" w:cs="Perpetua"/>
        </w:rPr>
        <w:t>‘explained</w:t>
      </w:r>
      <w:r>
        <w:rPr>
          <w:rFonts w:eastAsia="Perpetua" w:cs="Perpetua"/>
          <w:spacing w:val="15"/>
        </w:rPr>
        <w:t xml:space="preserve"> </w:t>
      </w:r>
      <w:r>
        <w:rPr>
          <w:rFonts w:eastAsia="Perpetua" w:cs="Perpetua"/>
        </w:rPr>
        <w:t>in</w:t>
      </w:r>
      <w:r>
        <w:rPr>
          <w:rFonts w:eastAsia="Perpetua" w:cs="Perpetua"/>
          <w:spacing w:val="14"/>
        </w:rPr>
        <w:t xml:space="preserve"> </w:t>
      </w:r>
      <w:r>
        <w:rPr>
          <w:rFonts w:eastAsia="Perpetua" w:cs="Perpetua"/>
        </w:rPr>
        <w:t>the</w:t>
      </w:r>
      <w:r>
        <w:rPr>
          <w:rFonts w:eastAsia="Perpetua" w:cs="Perpetua"/>
          <w:spacing w:val="47"/>
          <w:w w:val="99"/>
        </w:rPr>
        <w:t xml:space="preserve"> </w:t>
      </w:r>
      <w:r>
        <w:rPr>
          <w:rFonts w:eastAsia="Perpetua" w:cs="Perpetua"/>
          <w:spacing w:val="-1"/>
        </w:rPr>
        <w:t>New</w:t>
      </w:r>
      <w:r>
        <w:rPr>
          <w:rFonts w:eastAsia="Perpetua" w:cs="Perpetua"/>
          <w:spacing w:val="37"/>
        </w:rPr>
        <w:t xml:space="preserve"> </w:t>
      </w:r>
      <w:r>
        <w:rPr>
          <w:rFonts w:eastAsia="Perpetua" w:cs="Perpetua"/>
          <w:spacing w:val="-1"/>
        </w:rPr>
        <w:t>Testament’</w:t>
      </w:r>
      <w:r>
        <w:rPr>
          <w:rFonts w:eastAsia="Perpetua" w:cs="Perpetua"/>
          <w:spacing w:val="35"/>
        </w:rPr>
        <w:t xml:space="preserve"> </w:t>
      </w:r>
      <w:r>
        <w:rPr>
          <w:rFonts w:eastAsia="Perpetua" w:cs="Perpetua"/>
        </w:rPr>
        <w:t>as</w:t>
      </w:r>
      <w:r>
        <w:rPr>
          <w:rFonts w:eastAsia="Perpetua" w:cs="Perpetua"/>
          <w:spacing w:val="37"/>
        </w:rPr>
        <w:t xml:space="preserve"> </w:t>
      </w:r>
      <w:r>
        <w:rPr>
          <w:rFonts w:eastAsia="Perpetua" w:cs="Perpetua"/>
          <w:spacing w:val="-1"/>
        </w:rPr>
        <w:t>typifying</w:t>
      </w:r>
      <w:r>
        <w:rPr>
          <w:rFonts w:eastAsia="Perpetua" w:cs="Perpetua"/>
          <w:spacing w:val="35"/>
        </w:rPr>
        <w:t xml:space="preserve"> </w:t>
      </w:r>
      <w:r>
        <w:rPr>
          <w:rFonts w:eastAsia="Perpetua" w:cs="Perpetua"/>
          <w:spacing w:val="-1"/>
        </w:rPr>
        <w:t>‘a</w:t>
      </w:r>
      <w:r>
        <w:rPr>
          <w:rFonts w:eastAsia="Perpetua" w:cs="Perpetua"/>
          <w:spacing w:val="38"/>
        </w:rPr>
        <w:t xml:space="preserve"> </w:t>
      </w:r>
      <w:r>
        <w:rPr>
          <w:rFonts w:eastAsia="Perpetua" w:cs="Perpetua"/>
          <w:spacing w:val="-1"/>
        </w:rPr>
        <w:t>figure</w:t>
      </w:r>
      <w:r>
        <w:rPr>
          <w:rFonts w:eastAsia="Perpetua" w:cs="Perpetua"/>
          <w:spacing w:val="36"/>
        </w:rPr>
        <w:t xml:space="preserve"> </w:t>
      </w:r>
      <w:r>
        <w:rPr>
          <w:rFonts w:eastAsia="Perpetua" w:cs="Perpetua"/>
          <w:spacing w:val="-1"/>
        </w:rPr>
        <w:t>of</w:t>
      </w:r>
      <w:r>
        <w:rPr>
          <w:rFonts w:eastAsia="Perpetua" w:cs="Perpetua"/>
          <w:spacing w:val="38"/>
        </w:rPr>
        <w:t xml:space="preserve"> </w:t>
      </w:r>
      <w:r>
        <w:rPr>
          <w:rFonts w:eastAsia="Perpetua" w:cs="Perpetua"/>
          <w:spacing w:val="-1"/>
        </w:rPr>
        <w:t>things</w:t>
      </w:r>
      <w:r>
        <w:rPr>
          <w:rFonts w:eastAsia="Perpetua" w:cs="Perpetua"/>
          <w:spacing w:val="35"/>
        </w:rPr>
        <w:t xml:space="preserve"> </w:t>
      </w:r>
      <w:r>
        <w:rPr>
          <w:rFonts w:eastAsia="Perpetua" w:cs="Perpetua"/>
          <w:spacing w:val="-1"/>
        </w:rPr>
        <w:t>in</w:t>
      </w:r>
      <w:r>
        <w:rPr>
          <w:rFonts w:eastAsia="Perpetua" w:cs="Perpetua"/>
          <w:spacing w:val="37"/>
        </w:rPr>
        <w:t xml:space="preserve"> </w:t>
      </w:r>
      <w:r>
        <w:rPr>
          <w:rFonts w:eastAsia="Perpetua" w:cs="Perpetua"/>
        </w:rPr>
        <w:t>the</w:t>
      </w:r>
      <w:r>
        <w:rPr>
          <w:rFonts w:eastAsia="Perpetua" w:cs="Perpetua"/>
          <w:spacing w:val="38"/>
        </w:rPr>
        <w:t xml:space="preserve"> </w:t>
      </w:r>
      <w:r>
        <w:rPr>
          <w:rFonts w:eastAsia="Perpetua" w:cs="Perpetua"/>
          <w:spacing w:val="-1"/>
        </w:rPr>
        <w:t>heavens’.</w:t>
      </w:r>
      <w:r>
        <w:rPr>
          <w:rStyle w:val="EndnoteReference"/>
          <w:rFonts w:eastAsia="Perpetua" w:cs="Perpetua"/>
          <w:spacing w:val="-1"/>
        </w:rPr>
        <w:endnoteReference w:id="825"/>
      </w:r>
      <w:r w:rsidRPr="00745F1D">
        <w:t xml:space="preserve">  </w:t>
      </w:r>
      <w:r>
        <w:rPr>
          <w:rFonts w:eastAsia="Perpetua" w:cs="Perpetua"/>
        </w:rPr>
        <w:t>Speaking</w:t>
      </w:r>
      <w:r>
        <w:rPr>
          <w:rFonts w:eastAsia="Perpetua" w:cs="Perpetua"/>
          <w:spacing w:val="36"/>
        </w:rPr>
        <w:t xml:space="preserve"> </w:t>
      </w:r>
      <w:r>
        <w:rPr>
          <w:rFonts w:eastAsia="Perpetua" w:cs="Perpetua"/>
        </w:rPr>
        <w:t>spiritually,</w:t>
      </w:r>
      <w:r>
        <w:rPr>
          <w:rFonts w:eastAsia="Perpetua" w:cs="Perpetua"/>
          <w:spacing w:val="38"/>
        </w:rPr>
        <w:t xml:space="preserve"> </w:t>
      </w:r>
      <w:r>
        <w:rPr>
          <w:rFonts w:eastAsia="Perpetua" w:cs="Perpetua"/>
        </w:rPr>
        <w:t>‘Joshua</w:t>
      </w:r>
      <w:r>
        <w:rPr>
          <w:rFonts w:eastAsia="Perpetua" w:cs="Perpetua"/>
          <w:spacing w:val="36"/>
        </w:rPr>
        <w:t xml:space="preserve"> </w:t>
      </w:r>
      <w:r>
        <w:rPr>
          <w:rFonts w:eastAsia="Perpetua" w:cs="Perpetua"/>
        </w:rPr>
        <w:t>is</w:t>
      </w:r>
      <w:r>
        <w:rPr>
          <w:rFonts w:eastAsia="Perpetua" w:cs="Perpetua"/>
          <w:spacing w:val="37"/>
        </w:rPr>
        <w:t xml:space="preserve"> </w:t>
      </w:r>
      <w:r>
        <w:rPr>
          <w:rFonts w:eastAsia="Perpetua" w:cs="Perpetua"/>
        </w:rPr>
        <w:t>the</w:t>
      </w:r>
      <w:r>
        <w:rPr>
          <w:rFonts w:eastAsia="Perpetua" w:cs="Perpetua"/>
          <w:spacing w:val="45"/>
          <w:w w:val="99"/>
        </w:rPr>
        <w:t xml:space="preserve"> </w:t>
      </w:r>
      <w:r>
        <w:rPr>
          <w:rFonts w:eastAsia="Perpetua" w:cs="Perpetua"/>
        </w:rPr>
        <w:t>Ephesians</w:t>
      </w:r>
      <w:r>
        <w:rPr>
          <w:rFonts w:eastAsia="Perpetua" w:cs="Perpetua"/>
          <w:spacing w:val="11"/>
        </w:rPr>
        <w:t xml:space="preserve"> </w:t>
      </w:r>
      <w:r>
        <w:rPr>
          <w:rFonts w:eastAsia="Perpetua" w:cs="Perpetua"/>
          <w:spacing w:val="-1"/>
        </w:rPr>
        <w:t>of</w:t>
      </w:r>
      <w:r>
        <w:rPr>
          <w:rFonts w:eastAsia="Perpetua" w:cs="Perpetua"/>
          <w:spacing w:val="11"/>
        </w:rPr>
        <w:t xml:space="preserve"> </w:t>
      </w:r>
      <w:r>
        <w:rPr>
          <w:rFonts w:eastAsia="Perpetua" w:cs="Perpetua"/>
        </w:rPr>
        <w:t>the</w:t>
      </w:r>
      <w:r>
        <w:rPr>
          <w:rFonts w:eastAsia="Perpetua" w:cs="Perpetua"/>
          <w:spacing w:val="11"/>
        </w:rPr>
        <w:t xml:space="preserve"> </w:t>
      </w:r>
      <w:r>
        <w:rPr>
          <w:rFonts w:eastAsia="Perpetua" w:cs="Perpetua"/>
          <w:spacing w:val="-1"/>
        </w:rPr>
        <w:t>Old</w:t>
      </w:r>
      <w:r>
        <w:rPr>
          <w:rFonts w:eastAsia="Perpetua" w:cs="Perpetua"/>
          <w:spacing w:val="12"/>
        </w:rPr>
        <w:t xml:space="preserve"> </w:t>
      </w:r>
      <w:r>
        <w:rPr>
          <w:rFonts w:eastAsia="Perpetua" w:cs="Perpetua"/>
        </w:rPr>
        <w:t>Testament</w:t>
      </w:r>
      <w:r>
        <w:rPr>
          <w:rFonts w:eastAsia="Perpetua" w:cs="Perpetua"/>
          <w:spacing w:val="11"/>
        </w:rPr>
        <w:t xml:space="preserve"> </w:t>
      </w:r>
      <w:r>
        <w:rPr>
          <w:rFonts w:eastAsia="Perpetua" w:cs="Perpetua"/>
        </w:rPr>
        <w:t>–</w:t>
      </w:r>
      <w:r>
        <w:rPr>
          <w:rFonts w:eastAsia="Perpetua" w:cs="Perpetua"/>
          <w:spacing w:val="11"/>
        </w:rPr>
        <w:t xml:space="preserve"> </w:t>
      </w:r>
      <w:r>
        <w:rPr>
          <w:rFonts w:eastAsia="Perpetua" w:cs="Perpetua"/>
        </w:rPr>
        <w:t>the</w:t>
      </w:r>
      <w:r>
        <w:rPr>
          <w:rFonts w:eastAsia="Perpetua" w:cs="Perpetua"/>
          <w:spacing w:val="11"/>
        </w:rPr>
        <w:t xml:space="preserve"> </w:t>
      </w:r>
      <w:r>
        <w:rPr>
          <w:rFonts w:eastAsia="Perpetua" w:cs="Perpetua"/>
        </w:rPr>
        <w:t>“heavenly”</w:t>
      </w:r>
      <w:r>
        <w:rPr>
          <w:rFonts w:eastAsia="Perpetua" w:cs="Perpetua"/>
          <w:spacing w:val="12"/>
        </w:rPr>
        <w:t xml:space="preserve"> </w:t>
      </w:r>
      <w:r>
        <w:rPr>
          <w:rFonts w:eastAsia="Perpetua" w:cs="Perpetua"/>
          <w:spacing w:val="-1"/>
        </w:rPr>
        <w:t>of</w:t>
      </w:r>
      <w:r>
        <w:rPr>
          <w:rFonts w:eastAsia="Perpetua" w:cs="Perpetua"/>
          <w:spacing w:val="11"/>
        </w:rPr>
        <w:t xml:space="preserve"> </w:t>
      </w:r>
      <w:r>
        <w:rPr>
          <w:rFonts w:eastAsia="Perpetua" w:cs="Perpetua"/>
          <w:spacing w:val="-1"/>
        </w:rPr>
        <w:t>Ephesians</w:t>
      </w:r>
      <w:r>
        <w:rPr>
          <w:rFonts w:eastAsia="Perpetua" w:cs="Perpetua"/>
          <w:spacing w:val="11"/>
        </w:rPr>
        <w:t xml:space="preserve"> </w:t>
      </w:r>
      <w:r>
        <w:rPr>
          <w:rFonts w:eastAsia="Perpetua" w:cs="Perpetua"/>
          <w:spacing w:val="-1"/>
        </w:rPr>
        <w:t>is</w:t>
      </w:r>
      <w:r>
        <w:rPr>
          <w:rFonts w:eastAsia="Perpetua" w:cs="Perpetua"/>
          <w:spacing w:val="12"/>
        </w:rPr>
        <w:t xml:space="preserve"> </w:t>
      </w:r>
      <w:r>
        <w:rPr>
          <w:rFonts w:eastAsia="Perpetua" w:cs="Perpetua"/>
          <w:spacing w:val="-1"/>
        </w:rPr>
        <w:t>to</w:t>
      </w:r>
      <w:r>
        <w:rPr>
          <w:rFonts w:eastAsia="Perpetua" w:cs="Perpetua"/>
          <w:spacing w:val="11"/>
        </w:rPr>
        <w:t xml:space="preserve"> </w:t>
      </w:r>
      <w:r>
        <w:rPr>
          <w:rFonts w:eastAsia="Perpetua" w:cs="Perpetua"/>
          <w:spacing w:val="-1"/>
        </w:rPr>
        <w:t>the</w:t>
      </w:r>
      <w:r>
        <w:rPr>
          <w:rFonts w:eastAsia="Perpetua" w:cs="Perpetua"/>
          <w:spacing w:val="11"/>
        </w:rPr>
        <w:t xml:space="preserve"> </w:t>
      </w:r>
      <w:r>
        <w:rPr>
          <w:rFonts w:eastAsia="Perpetua" w:cs="Perpetua"/>
          <w:spacing w:val="-1"/>
        </w:rPr>
        <w:t>Christian</w:t>
      </w:r>
      <w:r>
        <w:rPr>
          <w:rFonts w:eastAsia="Perpetua" w:cs="Perpetua"/>
          <w:spacing w:val="11"/>
        </w:rPr>
        <w:t xml:space="preserve"> </w:t>
      </w:r>
      <w:r>
        <w:rPr>
          <w:rFonts w:eastAsia="Perpetua" w:cs="Perpetua"/>
          <w:spacing w:val="-1"/>
        </w:rPr>
        <w:t>what</w:t>
      </w:r>
      <w:r>
        <w:rPr>
          <w:rFonts w:eastAsia="Perpetua" w:cs="Perpetua"/>
          <w:spacing w:val="11"/>
        </w:rPr>
        <w:t xml:space="preserve"> </w:t>
      </w:r>
      <w:r>
        <w:rPr>
          <w:rFonts w:eastAsia="Perpetua" w:cs="Perpetua"/>
          <w:spacing w:val="-1"/>
        </w:rPr>
        <w:t>Canaan</w:t>
      </w:r>
      <w:r>
        <w:rPr>
          <w:rFonts w:eastAsia="Perpetua" w:cs="Perpetua"/>
          <w:spacing w:val="11"/>
        </w:rPr>
        <w:t xml:space="preserve"> </w:t>
      </w:r>
      <w:r>
        <w:rPr>
          <w:rFonts w:eastAsia="Perpetua" w:cs="Perpetua"/>
          <w:spacing w:val="-1"/>
        </w:rPr>
        <w:t>was</w:t>
      </w:r>
      <w:r>
        <w:rPr>
          <w:rFonts w:eastAsia="Perpetua" w:cs="Perpetua"/>
          <w:spacing w:val="11"/>
        </w:rPr>
        <w:t xml:space="preserve"> </w:t>
      </w:r>
      <w:r>
        <w:rPr>
          <w:rFonts w:eastAsia="Perpetua" w:cs="Perpetua"/>
          <w:spacing w:val="-1"/>
        </w:rPr>
        <w:t>to</w:t>
      </w:r>
      <w:r>
        <w:rPr>
          <w:rFonts w:eastAsia="Perpetua" w:cs="Perpetua"/>
          <w:spacing w:val="12"/>
        </w:rPr>
        <w:t xml:space="preserve"> </w:t>
      </w:r>
      <w:r>
        <w:rPr>
          <w:rFonts w:eastAsia="Perpetua" w:cs="Perpetua"/>
        </w:rPr>
        <w:t>the</w:t>
      </w:r>
      <w:r>
        <w:rPr>
          <w:rFonts w:eastAsia="Perpetua" w:cs="Perpetua"/>
          <w:spacing w:val="39"/>
          <w:w w:val="99"/>
        </w:rPr>
        <w:t xml:space="preserve"> </w:t>
      </w:r>
      <w:r>
        <w:rPr>
          <w:rFonts w:eastAsia="Perpetua" w:cs="Perpetua"/>
        </w:rPr>
        <w:t>Israelite</w:t>
      </w:r>
      <w:r>
        <w:rPr>
          <w:rFonts w:eastAsia="Perpetua" w:cs="Perpetua"/>
          <w:spacing w:val="12"/>
        </w:rPr>
        <w:t xml:space="preserve"> </w:t>
      </w:r>
      <w:r>
        <w:rPr>
          <w:rFonts w:eastAsia="Perpetua" w:cs="Perpetua"/>
        </w:rPr>
        <w:t>–</w:t>
      </w:r>
      <w:r>
        <w:rPr>
          <w:rFonts w:eastAsia="Perpetua" w:cs="Perpetua"/>
          <w:spacing w:val="14"/>
        </w:rPr>
        <w:t xml:space="preserve"> </w:t>
      </w:r>
      <w:r>
        <w:rPr>
          <w:rFonts w:eastAsia="Perpetua" w:cs="Perpetua"/>
        </w:rPr>
        <w:t>a</w:t>
      </w:r>
      <w:r>
        <w:rPr>
          <w:rFonts w:eastAsia="Perpetua" w:cs="Perpetua"/>
          <w:spacing w:val="14"/>
        </w:rPr>
        <w:t xml:space="preserve"> </w:t>
      </w:r>
      <w:r>
        <w:rPr>
          <w:rFonts w:eastAsia="Perpetua" w:cs="Perpetua"/>
        </w:rPr>
        <w:t>place</w:t>
      </w:r>
      <w:r>
        <w:rPr>
          <w:rFonts w:eastAsia="Perpetua" w:cs="Perpetua"/>
          <w:spacing w:val="13"/>
        </w:rPr>
        <w:t xml:space="preserve"> </w:t>
      </w:r>
      <w:r>
        <w:rPr>
          <w:rFonts w:eastAsia="Perpetua" w:cs="Perpetua"/>
        </w:rPr>
        <w:t>of</w:t>
      </w:r>
      <w:r>
        <w:rPr>
          <w:rFonts w:eastAsia="Perpetua" w:cs="Perpetua"/>
          <w:spacing w:val="14"/>
        </w:rPr>
        <w:t xml:space="preserve"> </w:t>
      </w:r>
      <w:r>
        <w:rPr>
          <w:rFonts w:eastAsia="Perpetua" w:cs="Perpetua"/>
        </w:rPr>
        <w:t>conflict,</w:t>
      </w:r>
      <w:r>
        <w:rPr>
          <w:rFonts w:eastAsia="Perpetua" w:cs="Perpetua"/>
          <w:spacing w:val="13"/>
        </w:rPr>
        <w:t xml:space="preserve"> </w:t>
      </w:r>
      <w:r>
        <w:rPr>
          <w:rFonts w:eastAsia="Perpetua" w:cs="Perpetua"/>
          <w:spacing w:val="-1"/>
        </w:rPr>
        <w:t>and</w:t>
      </w:r>
      <w:r>
        <w:rPr>
          <w:rFonts w:eastAsia="Perpetua" w:cs="Perpetua"/>
          <w:spacing w:val="13"/>
        </w:rPr>
        <w:t xml:space="preserve"> </w:t>
      </w:r>
      <w:r>
        <w:rPr>
          <w:rFonts w:eastAsia="Perpetua" w:cs="Perpetua"/>
        </w:rPr>
        <w:t>therefore</w:t>
      </w:r>
      <w:r>
        <w:rPr>
          <w:rFonts w:eastAsia="Perpetua" w:cs="Perpetua"/>
          <w:spacing w:val="14"/>
        </w:rPr>
        <w:t xml:space="preserve"> </w:t>
      </w:r>
      <w:r>
        <w:rPr>
          <w:rFonts w:eastAsia="Perpetua" w:cs="Perpetua"/>
        </w:rPr>
        <w:t>not</w:t>
      </w:r>
      <w:r>
        <w:rPr>
          <w:rFonts w:eastAsia="Perpetua" w:cs="Perpetua"/>
          <w:spacing w:val="14"/>
        </w:rPr>
        <w:t xml:space="preserve"> </w:t>
      </w:r>
      <w:r>
        <w:rPr>
          <w:rFonts w:eastAsia="Perpetua" w:cs="Perpetua"/>
        </w:rPr>
        <w:t>a</w:t>
      </w:r>
      <w:r>
        <w:rPr>
          <w:rFonts w:eastAsia="Perpetua" w:cs="Perpetua"/>
          <w:spacing w:val="14"/>
        </w:rPr>
        <w:t xml:space="preserve"> </w:t>
      </w:r>
      <w:r>
        <w:rPr>
          <w:rFonts w:eastAsia="Perpetua" w:cs="Perpetua"/>
        </w:rPr>
        <w:t>type</w:t>
      </w:r>
      <w:r>
        <w:rPr>
          <w:rFonts w:eastAsia="Perpetua" w:cs="Perpetua"/>
          <w:spacing w:val="12"/>
        </w:rPr>
        <w:t xml:space="preserve"> </w:t>
      </w:r>
      <w:r>
        <w:rPr>
          <w:rFonts w:eastAsia="Perpetua" w:cs="Perpetua"/>
          <w:spacing w:val="-1"/>
        </w:rPr>
        <w:t>of</w:t>
      </w:r>
      <w:r>
        <w:rPr>
          <w:rFonts w:eastAsia="Perpetua" w:cs="Perpetua"/>
          <w:spacing w:val="14"/>
        </w:rPr>
        <w:t xml:space="preserve"> </w:t>
      </w:r>
      <w:r>
        <w:rPr>
          <w:rFonts w:eastAsia="Perpetua" w:cs="Perpetua"/>
          <w:spacing w:val="-1"/>
        </w:rPr>
        <w:t>heaven,</w:t>
      </w:r>
      <w:r>
        <w:rPr>
          <w:rFonts w:eastAsia="Perpetua" w:cs="Perpetua"/>
          <w:spacing w:val="14"/>
        </w:rPr>
        <w:t xml:space="preserve"> </w:t>
      </w:r>
      <w:r>
        <w:rPr>
          <w:rFonts w:eastAsia="Perpetua" w:cs="Perpetua"/>
        </w:rPr>
        <w:t>but</w:t>
      </w:r>
      <w:r>
        <w:rPr>
          <w:rFonts w:eastAsia="Perpetua" w:cs="Perpetua"/>
          <w:spacing w:val="13"/>
        </w:rPr>
        <w:t xml:space="preserve"> </w:t>
      </w:r>
      <w:r>
        <w:rPr>
          <w:rFonts w:eastAsia="Perpetua" w:cs="Perpetua"/>
          <w:spacing w:val="-1"/>
        </w:rPr>
        <w:t>also</w:t>
      </w:r>
      <w:r>
        <w:rPr>
          <w:rFonts w:eastAsia="Perpetua" w:cs="Perpetua"/>
          <w:spacing w:val="16"/>
        </w:rPr>
        <w:t xml:space="preserve"> </w:t>
      </w:r>
      <w:r>
        <w:rPr>
          <w:rFonts w:eastAsia="Perpetua" w:cs="Perpetua"/>
        </w:rPr>
        <w:t>a</w:t>
      </w:r>
      <w:r>
        <w:rPr>
          <w:rFonts w:eastAsia="Perpetua" w:cs="Perpetua"/>
          <w:spacing w:val="14"/>
        </w:rPr>
        <w:t xml:space="preserve"> </w:t>
      </w:r>
      <w:r>
        <w:rPr>
          <w:rFonts w:eastAsia="Perpetua" w:cs="Perpetua"/>
          <w:spacing w:val="-1"/>
        </w:rPr>
        <w:t>place</w:t>
      </w:r>
      <w:r>
        <w:rPr>
          <w:rFonts w:eastAsia="Perpetua" w:cs="Perpetua"/>
          <w:spacing w:val="13"/>
        </w:rPr>
        <w:t xml:space="preserve"> </w:t>
      </w:r>
      <w:r>
        <w:rPr>
          <w:rFonts w:eastAsia="Perpetua" w:cs="Perpetua"/>
          <w:spacing w:val="-1"/>
        </w:rPr>
        <w:t>of</w:t>
      </w:r>
      <w:r>
        <w:rPr>
          <w:rFonts w:eastAsia="Perpetua" w:cs="Perpetua"/>
          <w:spacing w:val="14"/>
        </w:rPr>
        <w:t xml:space="preserve"> </w:t>
      </w:r>
      <w:r>
        <w:rPr>
          <w:rFonts w:eastAsia="Perpetua" w:cs="Perpetua"/>
          <w:spacing w:val="-1"/>
        </w:rPr>
        <w:t>victory</w:t>
      </w:r>
      <w:r>
        <w:rPr>
          <w:rFonts w:eastAsia="Perpetua" w:cs="Perpetua"/>
          <w:spacing w:val="14"/>
        </w:rPr>
        <w:t xml:space="preserve"> </w:t>
      </w:r>
      <w:r>
        <w:rPr>
          <w:rFonts w:eastAsia="Perpetua" w:cs="Perpetua"/>
          <w:spacing w:val="-1"/>
        </w:rPr>
        <w:t>and</w:t>
      </w:r>
      <w:r>
        <w:rPr>
          <w:rFonts w:eastAsia="Perpetua" w:cs="Perpetua"/>
          <w:spacing w:val="13"/>
        </w:rPr>
        <w:t xml:space="preserve"> </w:t>
      </w:r>
      <w:r>
        <w:rPr>
          <w:rFonts w:eastAsia="Perpetua" w:cs="Perpetua"/>
          <w:spacing w:val="-1"/>
        </w:rPr>
        <w:t>blessing</w:t>
      </w:r>
      <w:r>
        <w:rPr>
          <w:rFonts w:eastAsia="Perpetua" w:cs="Perpetua"/>
          <w:spacing w:val="27"/>
          <w:w w:val="99"/>
        </w:rPr>
        <w:t xml:space="preserve"> </w:t>
      </w:r>
      <w:r>
        <w:rPr>
          <w:rFonts w:eastAsia="Perpetua" w:cs="Perpetua"/>
        </w:rPr>
        <w:t>through</w:t>
      </w:r>
      <w:r>
        <w:rPr>
          <w:rFonts w:eastAsia="Perpetua" w:cs="Perpetua"/>
          <w:spacing w:val="-10"/>
        </w:rPr>
        <w:t xml:space="preserve"> </w:t>
      </w:r>
      <w:r>
        <w:rPr>
          <w:rFonts w:eastAsia="Perpetua" w:cs="Perpetua"/>
        </w:rPr>
        <w:t>divine</w:t>
      </w:r>
      <w:r>
        <w:rPr>
          <w:rFonts w:eastAsia="Perpetua" w:cs="Perpetua"/>
          <w:spacing w:val="-10"/>
        </w:rPr>
        <w:t xml:space="preserve"> </w:t>
      </w:r>
      <w:r>
        <w:rPr>
          <w:rFonts w:eastAsia="Perpetua" w:cs="Perpetua"/>
          <w:spacing w:val="-1"/>
        </w:rPr>
        <w:t>power.’</w:t>
      </w:r>
      <w:r>
        <w:rPr>
          <w:rStyle w:val="EndnoteReference"/>
          <w:rFonts w:eastAsia="Perpetua" w:cs="Perpetua"/>
          <w:spacing w:val="-1"/>
        </w:rPr>
        <w:endnoteReference w:id="826"/>
      </w:r>
      <w:r>
        <w:rPr>
          <w:rFonts w:eastAsia="Perpetua" w:cs="Perpetua"/>
          <w:spacing w:val="-1"/>
        </w:rPr>
        <w:t xml:space="preserve">  </w:t>
      </w:r>
      <w:r w:rsidRPr="00450CAC">
        <w:rPr>
          <w:rFonts w:eastAsia="Perpetua" w:cs="Perpetua"/>
          <w:spacing w:val="-1"/>
        </w:rPr>
        <w:t>John</w:t>
      </w:r>
      <w:r w:rsidRPr="00450CAC">
        <w:rPr>
          <w:rFonts w:eastAsia="Perpetua" w:cs="Perpetua"/>
          <w:spacing w:val="8"/>
        </w:rPr>
        <w:t xml:space="preserve"> </w:t>
      </w:r>
      <w:r w:rsidRPr="00450CAC">
        <w:rPr>
          <w:rFonts w:eastAsia="Perpetua" w:cs="Perpetua"/>
        </w:rPr>
        <w:t>12</w:t>
      </w:r>
      <w:r w:rsidRPr="00450CAC">
        <w:rPr>
          <w:rFonts w:eastAsia="Perpetua" w:cs="Perpetua"/>
          <w:spacing w:val="7"/>
        </w:rPr>
        <w:t xml:space="preserve"> </w:t>
      </w:r>
      <w:r w:rsidRPr="00012B96">
        <w:rPr>
          <w:sz w:val="16"/>
          <w:szCs w:val="24"/>
        </w:rPr>
        <w:t>—</w:t>
      </w:r>
      <w:r>
        <w:rPr>
          <w:sz w:val="16"/>
          <w:szCs w:val="24"/>
        </w:rPr>
        <w:t xml:space="preserve"> </w:t>
      </w:r>
      <w:r w:rsidRPr="00450CAC">
        <w:rPr>
          <w:rFonts w:eastAsia="Perpetua" w:cs="Perpetua"/>
        </w:rPr>
        <w:t>17</w:t>
      </w:r>
      <w:r w:rsidRPr="00450CAC">
        <w:rPr>
          <w:rFonts w:eastAsia="Perpetua" w:cs="Perpetua"/>
          <w:spacing w:val="8"/>
        </w:rPr>
        <w:t xml:space="preserve"> </w:t>
      </w:r>
      <w:r w:rsidRPr="00450CAC">
        <w:rPr>
          <w:rFonts w:eastAsia="Perpetua" w:cs="Perpetua"/>
          <w:spacing w:val="-1"/>
        </w:rPr>
        <w:t>are</w:t>
      </w:r>
      <w:r w:rsidRPr="00450CAC">
        <w:rPr>
          <w:rFonts w:eastAsia="Perpetua" w:cs="Perpetua"/>
          <w:spacing w:val="7"/>
        </w:rPr>
        <w:t xml:space="preserve"> </w:t>
      </w:r>
      <w:r w:rsidRPr="00450CAC">
        <w:rPr>
          <w:rFonts w:eastAsia="Perpetua" w:cs="Perpetua"/>
        </w:rPr>
        <w:t>held</w:t>
      </w:r>
      <w:r w:rsidRPr="00450CAC">
        <w:rPr>
          <w:rFonts w:eastAsia="Perpetua" w:cs="Perpetua"/>
          <w:spacing w:val="8"/>
        </w:rPr>
        <w:t xml:space="preserve"> </w:t>
      </w:r>
      <w:r w:rsidRPr="00450CAC">
        <w:rPr>
          <w:rFonts w:eastAsia="Perpetua" w:cs="Perpetua"/>
        </w:rPr>
        <w:t>to</w:t>
      </w:r>
      <w:r w:rsidRPr="00450CAC">
        <w:rPr>
          <w:rFonts w:eastAsia="Perpetua" w:cs="Perpetua"/>
          <w:spacing w:val="7"/>
        </w:rPr>
        <w:t xml:space="preserve"> </w:t>
      </w:r>
      <w:r w:rsidRPr="00450CAC">
        <w:rPr>
          <w:rFonts w:eastAsia="Perpetua" w:cs="Perpetua"/>
        </w:rPr>
        <w:t>be</w:t>
      </w:r>
      <w:r w:rsidRPr="00450CAC">
        <w:rPr>
          <w:rFonts w:eastAsia="Perpetua" w:cs="Perpetua"/>
          <w:spacing w:val="8"/>
        </w:rPr>
        <w:t xml:space="preserve"> </w:t>
      </w:r>
      <w:r w:rsidRPr="00450CAC">
        <w:rPr>
          <w:rFonts w:eastAsia="Perpetua" w:cs="Perpetua"/>
        </w:rPr>
        <w:t>‘a</w:t>
      </w:r>
      <w:r w:rsidRPr="00450CAC">
        <w:rPr>
          <w:rFonts w:eastAsia="Perpetua" w:cs="Perpetua"/>
          <w:spacing w:val="9"/>
        </w:rPr>
        <w:t xml:space="preserve"> </w:t>
      </w:r>
      <w:r w:rsidRPr="00450CAC">
        <w:rPr>
          <w:rFonts w:eastAsia="Perpetua" w:cs="Perpetua"/>
        </w:rPr>
        <w:t>progression</w:t>
      </w:r>
      <w:r w:rsidRPr="00450CAC">
        <w:rPr>
          <w:rFonts w:eastAsia="Perpetua" w:cs="Perpetua"/>
          <w:spacing w:val="8"/>
        </w:rPr>
        <w:t xml:space="preserve"> </w:t>
      </w:r>
      <w:r w:rsidRPr="00450CAC">
        <w:rPr>
          <w:rFonts w:eastAsia="Perpetua" w:cs="Perpetua"/>
          <w:spacing w:val="-1"/>
        </w:rPr>
        <w:t>according</w:t>
      </w:r>
      <w:r w:rsidRPr="00450CAC">
        <w:rPr>
          <w:rFonts w:eastAsia="Perpetua" w:cs="Perpetua"/>
          <w:spacing w:val="8"/>
        </w:rPr>
        <w:t xml:space="preserve"> </w:t>
      </w:r>
      <w:r w:rsidRPr="00450CAC">
        <w:rPr>
          <w:rFonts w:eastAsia="Perpetua" w:cs="Perpetua"/>
        </w:rPr>
        <w:t>to</w:t>
      </w:r>
      <w:r w:rsidRPr="00450CAC">
        <w:rPr>
          <w:rFonts w:eastAsia="Perpetua" w:cs="Perpetua"/>
          <w:spacing w:val="10"/>
        </w:rPr>
        <w:t xml:space="preserve"> </w:t>
      </w:r>
      <w:r w:rsidRPr="00450CAC">
        <w:rPr>
          <w:rFonts w:eastAsia="Perpetua" w:cs="Perpetua"/>
        </w:rPr>
        <w:t>the</w:t>
      </w:r>
      <w:r w:rsidRPr="00450CAC">
        <w:rPr>
          <w:rFonts w:eastAsia="Perpetua" w:cs="Perpetua"/>
          <w:spacing w:val="9"/>
        </w:rPr>
        <w:t xml:space="preserve"> </w:t>
      </w:r>
      <w:r w:rsidRPr="00450CAC">
        <w:rPr>
          <w:rFonts w:eastAsia="Perpetua" w:cs="Perpetua"/>
        </w:rPr>
        <w:t>order</w:t>
      </w:r>
      <w:r w:rsidRPr="00450CAC">
        <w:rPr>
          <w:rFonts w:eastAsia="Perpetua" w:cs="Perpetua"/>
          <w:spacing w:val="7"/>
        </w:rPr>
        <w:t xml:space="preserve"> </w:t>
      </w:r>
      <w:r w:rsidRPr="00450CAC">
        <w:rPr>
          <w:rFonts w:eastAsia="Perpetua" w:cs="Perpetua"/>
        </w:rPr>
        <w:t>of</w:t>
      </w:r>
      <w:r w:rsidRPr="00450CAC">
        <w:rPr>
          <w:rFonts w:eastAsia="Perpetua" w:cs="Perpetua"/>
          <w:spacing w:val="8"/>
        </w:rPr>
        <w:t xml:space="preserve"> </w:t>
      </w:r>
      <w:r w:rsidRPr="00450CAC">
        <w:rPr>
          <w:rFonts w:eastAsia="Perpetua" w:cs="Perpetua"/>
          <w:spacing w:val="-1"/>
        </w:rPr>
        <w:t>approach</w:t>
      </w:r>
      <w:r w:rsidRPr="00450CAC">
        <w:rPr>
          <w:rFonts w:eastAsia="Perpetua" w:cs="Perpetua"/>
          <w:spacing w:val="8"/>
        </w:rPr>
        <w:t xml:space="preserve"> </w:t>
      </w:r>
      <w:r w:rsidRPr="00450CAC">
        <w:rPr>
          <w:rFonts w:eastAsia="Perpetua" w:cs="Perpetua"/>
        </w:rPr>
        <w:t>to</w:t>
      </w:r>
      <w:r w:rsidRPr="00450CAC">
        <w:rPr>
          <w:rFonts w:eastAsia="Perpetua" w:cs="Perpetua"/>
          <w:spacing w:val="8"/>
        </w:rPr>
        <w:t xml:space="preserve"> </w:t>
      </w:r>
      <w:r w:rsidRPr="00450CAC">
        <w:rPr>
          <w:rFonts w:eastAsia="Perpetua" w:cs="Perpetua"/>
        </w:rPr>
        <w:t>God</w:t>
      </w:r>
      <w:r w:rsidRPr="00450CAC">
        <w:rPr>
          <w:rFonts w:eastAsia="Perpetua" w:cs="Perpetua"/>
          <w:spacing w:val="7"/>
        </w:rPr>
        <w:t xml:space="preserve"> </w:t>
      </w:r>
      <w:r w:rsidRPr="00450CAC">
        <w:rPr>
          <w:rFonts w:eastAsia="Perpetua" w:cs="Perpetua"/>
        </w:rPr>
        <w:t>in</w:t>
      </w:r>
      <w:r w:rsidRPr="00450CAC">
        <w:rPr>
          <w:rFonts w:eastAsia="Perpetua" w:cs="Perpetua"/>
          <w:spacing w:val="9"/>
        </w:rPr>
        <w:t xml:space="preserve"> </w:t>
      </w:r>
      <w:r w:rsidRPr="00450CAC">
        <w:rPr>
          <w:rFonts w:eastAsia="Perpetua" w:cs="Perpetua"/>
          <w:spacing w:val="-1"/>
        </w:rPr>
        <w:t>tabernacle</w:t>
      </w:r>
      <w:r w:rsidRPr="00450CAC">
        <w:rPr>
          <w:rFonts w:eastAsia="Perpetua" w:cs="Perpetua"/>
          <w:spacing w:val="7"/>
        </w:rPr>
        <w:t xml:space="preserve"> </w:t>
      </w:r>
      <w:r w:rsidRPr="00450CAC">
        <w:rPr>
          <w:rFonts w:eastAsia="Perpetua" w:cs="Perpetua"/>
        </w:rPr>
        <w:t>types’,</w:t>
      </w:r>
      <w:r w:rsidRPr="00450CAC">
        <w:rPr>
          <w:rFonts w:eastAsia="Perpetua" w:cs="Perpetua"/>
          <w:spacing w:val="27"/>
          <w:w w:val="99"/>
        </w:rPr>
        <w:t xml:space="preserve"> </w:t>
      </w:r>
      <w:r w:rsidRPr="00450CAC">
        <w:rPr>
          <w:rFonts w:eastAsia="Perpetua" w:cs="Perpetua"/>
        </w:rPr>
        <w:t>the</w:t>
      </w:r>
      <w:r w:rsidRPr="00450CAC">
        <w:rPr>
          <w:rFonts w:eastAsia="Perpetua" w:cs="Perpetua"/>
          <w:spacing w:val="7"/>
        </w:rPr>
        <w:t xml:space="preserve"> </w:t>
      </w:r>
      <w:r w:rsidRPr="00450CAC">
        <w:rPr>
          <w:rFonts w:eastAsia="Perpetua" w:cs="Perpetua"/>
        </w:rPr>
        <w:t>brazen</w:t>
      </w:r>
      <w:r w:rsidRPr="00450CAC">
        <w:rPr>
          <w:rFonts w:eastAsia="Perpetua" w:cs="Perpetua"/>
          <w:spacing w:val="7"/>
        </w:rPr>
        <w:t xml:space="preserve"> </w:t>
      </w:r>
      <w:r w:rsidRPr="00450CAC">
        <w:rPr>
          <w:rFonts w:eastAsia="Perpetua" w:cs="Perpetua"/>
          <w:spacing w:val="-1"/>
        </w:rPr>
        <w:t>altar</w:t>
      </w:r>
      <w:r w:rsidRPr="00450CAC">
        <w:rPr>
          <w:rFonts w:eastAsia="Perpetua" w:cs="Perpetua"/>
          <w:spacing w:val="7"/>
        </w:rPr>
        <w:t xml:space="preserve"> </w:t>
      </w:r>
      <w:r w:rsidRPr="00450CAC">
        <w:rPr>
          <w:rFonts w:eastAsia="Perpetua" w:cs="Perpetua"/>
        </w:rPr>
        <w:t>typifying</w:t>
      </w:r>
      <w:r w:rsidRPr="00450CAC">
        <w:rPr>
          <w:rFonts w:eastAsia="Perpetua" w:cs="Perpetua"/>
          <w:spacing w:val="7"/>
        </w:rPr>
        <w:t xml:space="preserve"> </w:t>
      </w:r>
      <w:r w:rsidRPr="00450CAC">
        <w:rPr>
          <w:rFonts w:eastAsia="Perpetua" w:cs="Perpetua"/>
        </w:rPr>
        <w:t>the</w:t>
      </w:r>
      <w:r w:rsidRPr="00450CAC">
        <w:rPr>
          <w:rFonts w:eastAsia="Perpetua" w:cs="Perpetua"/>
          <w:spacing w:val="9"/>
        </w:rPr>
        <w:t xml:space="preserve"> </w:t>
      </w:r>
      <w:r w:rsidRPr="00450CAC">
        <w:rPr>
          <w:rFonts w:eastAsia="Perpetua" w:cs="Perpetua"/>
        </w:rPr>
        <w:t>cross</w:t>
      </w:r>
      <w:r w:rsidRPr="00450CAC">
        <w:rPr>
          <w:rFonts w:eastAsia="Perpetua" w:cs="Perpetua"/>
          <w:spacing w:val="7"/>
        </w:rPr>
        <w:t xml:space="preserve"> </w:t>
      </w:r>
      <w:r w:rsidRPr="00450CAC">
        <w:rPr>
          <w:rFonts w:eastAsia="Perpetua" w:cs="Perpetua"/>
        </w:rPr>
        <w:t>in</w:t>
      </w:r>
      <w:r w:rsidRPr="00450CAC">
        <w:rPr>
          <w:rFonts w:eastAsia="Perpetua" w:cs="Perpetua"/>
          <w:spacing w:val="7"/>
        </w:rPr>
        <w:t xml:space="preserve"> </w:t>
      </w:r>
      <w:r w:rsidRPr="00450CAC">
        <w:rPr>
          <w:rFonts w:eastAsia="Perpetua" w:cs="Perpetua"/>
        </w:rPr>
        <w:t>chapter</w:t>
      </w:r>
      <w:r w:rsidRPr="00450CAC">
        <w:rPr>
          <w:rFonts w:eastAsia="Perpetua" w:cs="Perpetua"/>
          <w:spacing w:val="7"/>
        </w:rPr>
        <w:t xml:space="preserve"> </w:t>
      </w:r>
      <w:r w:rsidRPr="00450CAC">
        <w:rPr>
          <w:rFonts w:eastAsia="Perpetua" w:cs="Perpetua"/>
          <w:spacing w:val="-1"/>
        </w:rPr>
        <w:t xml:space="preserve">12.  </w:t>
      </w:r>
      <w:r w:rsidRPr="001B6607">
        <w:rPr>
          <w:rFonts w:eastAsia="Perpetua" w:cs="Perpetua"/>
          <w:spacing w:val="-1"/>
        </w:rPr>
        <w:t>According</w:t>
      </w:r>
      <w:r w:rsidRPr="001B6607">
        <w:rPr>
          <w:rFonts w:eastAsia="Perpetua" w:cs="Perpetua"/>
          <w:spacing w:val="1"/>
        </w:rPr>
        <w:t xml:space="preserve"> </w:t>
      </w:r>
      <w:r w:rsidRPr="001B6607">
        <w:rPr>
          <w:rFonts w:eastAsia="Perpetua" w:cs="Perpetua"/>
          <w:spacing w:val="-1"/>
        </w:rPr>
        <w:t>to Scofield,</w:t>
      </w:r>
      <w:r w:rsidRPr="001B6607">
        <w:rPr>
          <w:rFonts w:eastAsia="Perpetua" w:cs="Perpetua"/>
        </w:rPr>
        <w:t xml:space="preserve"> </w:t>
      </w:r>
      <w:r w:rsidRPr="001B6607">
        <w:rPr>
          <w:rFonts w:eastAsia="Perpetua" w:cs="Perpetua"/>
          <w:spacing w:val="-1"/>
        </w:rPr>
        <w:t>John</w:t>
      </w:r>
      <w:r w:rsidRPr="001B6607">
        <w:rPr>
          <w:rFonts w:eastAsia="Perpetua" w:cs="Perpetua"/>
        </w:rPr>
        <w:t xml:space="preserve"> </w:t>
      </w:r>
      <w:r w:rsidRPr="001B6607">
        <w:rPr>
          <w:rFonts w:eastAsia="Perpetua" w:cs="Perpetua"/>
          <w:spacing w:val="-1"/>
        </w:rPr>
        <w:t>12,</w:t>
      </w:r>
      <w:r w:rsidRPr="001B6607">
        <w:rPr>
          <w:rFonts w:eastAsia="Perpetua" w:cs="Perpetua"/>
        </w:rPr>
        <w:t xml:space="preserve"> </w:t>
      </w:r>
      <w:r w:rsidRPr="001B6607">
        <w:rPr>
          <w:rFonts w:eastAsia="Perpetua" w:cs="Perpetua"/>
          <w:spacing w:val="-1"/>
        </w:rPr>
        <w:t>in</w:t>
      </w:r>
      <w:r w:rsidRPr="001B6607">
        <w:rPr>
          <w:rFonts w:eastAsia="Perpetua" w:cs="Perpetua"/>
          <w:spacing w:val="1"/>
        </w:rPr>
        <w:t xml:space="preserve"> </w:t>
      </w:r>
      <w:r w:rsidRPr="001B6607">
        <w:rPr>
          <w:rFonts w:eastAsia="Perpetua" w:cs="Perpetua"/>
          <w:spacing w:val="-1"/>
        </w:rPr>
        <w:t>which</w:t>
      </w:r>
      <w:r w:rsidRPr="001B6607">
        <w:rPr>
          <w:rFonts w:eastAsia="Perpetua" w:cs="Perpetua"/>
        </w:rPr>
        <w:t xml:space="preserve"> </w:t>
      </w:r>
      <w:r w:rsidRPr="001B6607">
        <w:rPr>
          <w:rFonts w:eastAsia="Perpetua" w:cs="Perpetua"/>
          <w:spacing w:val="-1"/>
        </w:rPr>
        <w:t>Jesus</w:t>
      </w:r>
      <w:r w:rsidRPr="001B6607">
        <w:rPr>
          <w:rFonts w:eastAsia="Perpetua" w:cs="Perpetua"/>
        </w:rPr>
        <w:t xml:space="preserve"> </w:t>
      </w:r>
      <w:r w:rsidRPr="001B6607">
        <w:rPr>
          <w:rFonts w:eastAsia="Perpetua" w:cs="Perpetua"/>
          <w:spacing w:val="-1"/>
        </w:rPr>
        <w:t>speaks</w:t>
      </w:r>
      <w:r w:rsidRPr="001B6607">
        <w:rPr>
          <w:rFonts w:eastAsia="Perpetua" w:cs="Perpetua"/>
        </w:rPr>
        <w:t xml:space="preserve"> </w:t>
      </w:r>
      <w:r w:rsidRPr="001B6607">
        <w:rPr>
          <w:rFonts w:eastAsia="Perpetua" w:cs="Perpetua"/>
          <w:spacing w:val="-1"/>
        </w:rPr>
        <w:t>of his</w:t>
      </w:r>
      <w:r w:rsidRPr="001B6607">
        <w:rPr>
          <w:rFonts w:eastAsia="Perpetua" w:cs="Perpetua"/>
        </w:rPr>
        <w:t xml:space="preserve"> </w:t>
      </w:r>
      <w:r w:rsidRPr="001B6607">
        <w:rPr>
          <w:rFonts w:eastAsia="Perpetua" w:cs="Perpetua"/>
          <w:spacing w:val="-1"/>
        </w:rPr>
        <w:t>death, ‘answers</w:t>
      </w:r>
      <w:r w:rsidRPr="001B6607">
        <w:rPr>
          <w:rFonts w:eastAsia="Perpetua" w:cs="Perpetua"/>
        </w:rPr>
        <w:t xml:space="preserve"> </w:t>
      </w:r>
      <w:r w:rsidRPr="001B6607">
        <w:rPr>
          <w:rFonts w:eastAsia="Perpetua" w:cs="Perpetua"/>
          <w:spacing w:val="-1"/>
        </w:rPr>
        <w:t>to</w:t>
      </w:r>
      <w:r w:rsidRPr="001B6607">
        <w:rPr>
          <w:rFonts w:eastAsia="Perpetua" w:cs="Perpetua"/>
        </w:rPr>
        <w:t xml:space="preserve"> </w:t>
      </w:r>
      <w:r w:rsidRPr="001B6607">
        <w:rPr>
          <w:rFonts w:eastAsia="Perpetua" w:cs="Perpetua"/>
          <w:spacing w:val="-1"/>
        </w:rPr>
        <w:t>the</w:t>
      </w:r>
      <w:r w:rsidRPr="001B6607">
        <w:rPr>
          <w:rFonts w:eastAsia="Perpetua" w:cs="Perpetua"/>
          <w:spacing w:val="42"/>
        </w:rPr>
        <w:t xml:space="preserve"> </w:t>
      </w:r>
      <w:r w:rsidRPr="001B6607">
        <w:rPr>
          <w:rFonts w:eastAsia="Perpetua" w:cs="Perpetua"/>
          <w:spacing w:val="-1"/>
        </w:rPr>
        <w:t>brazen altar</w:t>
      </w:r>
      <w:r w:rsidRPr="001B6607">
        <w:rPr>
          <w:rFonts w:eastAsia="Perpetua" w:cs="Perpetua"/>
        </w:rPr>
        <w:t xml:space="preserve"> </w:t>
      </w:r>
      <w:r w:rsidRPr="001B6607">
        <w:rPr>
          <w:rFonts w:eastAsia="Perpetua" w:cs="Perpetua"/>
          <w:spacing w:val="-1"/>
        </w:rPr>
        <w:t>of burnt offering,</w:t>
      </w:r>
      <w:r w:rsidRPr="001B6607">
        <w:rPr>
          <w:rFonts w:eastAsia="Perpetua" w:cs="Perpetua"/>
        </w:rPr>
        <w:t xml:space="preserve"> </w:t>
      </w:r>
      <w:r w:rsidRPr="001B6607">
        <w:rPr>
          <w:rFonts w:eastAsia="Perpetua" w:cs="Perpetua"/>
          <w:spacing w:val="-1"/>
        </w:rPr>
        <w:t>type</w:t>
      </w:r>
      <w:r w:rsidRPr="001B6607">
        <w:rPr>
          <w:rFonts w:eastAsia="Perpetua" w:cs="Perpetua"/>
        </w:rPr>
        <w:t xml:space="preserve"> </w:t>
      </w:r>
      <w:r w:rsidRPr="001B6607">
        <w:rPr>
          <w:rFonts w:eastAsia="Perpetua" w:cs="Perpetua"/>
          <w:spacing w:val="-1"/>
        </w:rPr>
        <w:t>of</w:t>
      </w:r>
      <w:r w:rsidRPr="001B6607">
        <w:rPr>
          <w:rFonts w:eastAsia="Perpetua" w:cs="Perpetua"/>
        </w:rPr>
        <w:t xml:space="preserve"> </w:t>
      </w:r>
      <w:r w:rsidRPr="001B6607">
        <w:rPr>
          <w:rFonts w:eastAsia="Perpetua" w:cs="Perpetua"/>
          <w:spacing w:val="-1"/>
        </w:rPr>
        <w:t>the</w:t>
      </w:r>
      <w:r w:rsidRPr="001B6607">
        <w:rPr>
          <w:rFonts w:eastAsia="Perpetua" w:cs="Perpetua"/>
        </w:rPr>
        <w:t xml:space="preserve"> </w:t>
      </w:r>
      <w:r w:rsidRPr="001B6607">
        <w:rPr>
          <w:rFonts w:eastAsia="Perpetua" w:cs="Perpetua"/>
          <w:spacing w:val="-1"/>
        </w:rPr>
        <w:t>cross’;</w:t>
      </w:r>
      <w:r w:rsidRPr="001B6607">
        <w:rPr>
          <w:rFonts w:eastAsia="Perpetua" w:cs="Perpetua"/>
          <w:spacing w:val="-2"/>
        </w:rPr>
        <w:t xml:space="preserve"> </w:t>
      </w:r>
      <w:r w:rsidRPr="001B6607">
        <w:rPr>
          <w:rFonts w:eastAsia="Perpetua" w:cs="Perpetua"/>
          <w:spacing w:val="-1"/>
        </w:rPr>
        <w:t>in</w:t>
      </w:r>
      <w:r w:rsidRPr="001B6607">
        <w:rPr>
          <w:rFonts w:eastAsia="Perpetua" w:cs="Perpetua"/>
        </w:rPr>
        <w:t xml:space="preserve"> </w:t>
      </w:r>
      <w:r w:rsidRPr="001B6607">
        <w:rPr>
          <w:rFonts w:eastAsia="Perpetua" w:cs="Perpetua"/>
          <w:spacing w:val="-1"/>
        </w:rPr>
        <w:t>John</w:t>
      </w:r>
      <w:r w:rsidRPr="001B6607">
        <w:rPr>
          <w:rFonts w:eastAsia="Perpetua" w:cs="Perpetua"/>
          <w:spacing w:val="1"/>
        </w:rPr>
        <w:t xml:space="preserve"> </w:t>
      </w:r>
      <w:r w:rsidRPr="001B6607">
        <w:rPr>
          <w:rFonts w:eastAsia="Perpetua" w:cs="Perpetua"/>
          <w:spacing w:val="-1"/>
        </w:rPr>
        <w:t>13,</w:t>
      </w:r>
      <w:r w:rsidRPr="001B6607">
        <w:rPr>
          <w:rFonts w:eastAsia="Perpetua" w:cs="Perpetua"/>
        </w:rPr>
        <w:t xml:space="preserve"> </w:t>
      </w:r>
      <w:r w:rsidRPr="001B6607">
        <w:rPr>
          <w:rFonts w:eastAsia="Perpetua" w:cs="Perpetua"/>
          <w:spacing w:val="-1"/>
        </w:rPr>
        <w:t>‘the</w:t>
      </w:r>
      <w:r w:rsidRPr="001B6607">
        <w:rPr>
          <w:rFonts w:eastAsia="Perpetua" w:cs="Perpetua"/>
        </w:rPr>
        <w:t xml:space="preserve"> </w:t>
      </w:r>
      <w:r w:rsidRPr="001B6607">
        <w:rPr>
          <w:rFonts w:eastAsia="Perpetua" w:cs="Perpetua"/>
          <w:spacing w:val="-1"/>
        </w:rPr>
        <w:t>laver</w:t>
      </w:r>
      <w:r w:rsidRPr="001B6607">
        <w:rPr>
          <w:rFonts w:eastAsia="Perpetua" w:cs="Perpetua"/>
        </w:rPr>
        <w:t xml:space="preserve"> </w:t>
      </w:r>
      <w:r w:rsidRPr="001B6607">
        <w:rPr>
          <w:rFonts w:eastAsia="Perpetua" w:cs="Perpetua"/>
          <w:spacing w:val="-1"/>
        </w:rPr>
        <w:t>is</w:t>
      </w:r>
      <w:r w:rsidRPr="001B6607">
        <w:rPr>
          <w:rFonts w:eastAsia="Perpetua" w:cs="Perpetua"/>
        </w:rPr>
        <w:t xml:space="preserve"> </w:t>
      </w:r>
      <w:r w:rsidRPr="001B6607">
        <w:rPr>
          <w:rFonts w:eastAsia="Perpetua" w:cs="Perpetua"/>
          <w:spacing w:val="-1"/>
        </w:rPr>
        <w:t>next</w:t>
      </w:r>
      <w:r w:rsidRPr="001B6607">
        <w:rPr>
          <w:rFonts w:eastAsia="Perpetua" w:cs="Perpetua"/>
        </w:rPr>
        <w:t xml:space="preserve"> </w:t>
      </w:r>
      <w:r w:rsidRPr="001B6607">
        <w:rPr>
          <w:rFonts w:eastAsia="Perpetua" w:cs="Perpetua"/>
          <w:spacing w:val="-1"/>
        </w:rPr>
        <w:t>reached’;</w:t>
      </w:r>
      <w:r w:rsidRPr="001B6607">
        <w:rPr>
          <w:rFonts w:eastAsia="Perpetua" w:cs="Perpetua"/>
          <w:spacing w:val="1"/>
        </w:rPr>
        <w:t xml:space="preserve"> </w:t>
      </w:r>
      <w:r w:rsidRPr="001B6607">
        <w:rPr>
          <w:rFonts w:eastAsia="Perpetua" w:cs="Perpetua"/>
          <w:spacing w:val="-1"/>
        </w:rPr>
        <w:t>in</w:t>
      </w:r>
      <w:r w:rsidRPr="001B6607">
        <w:rPr>
          <w:rFonts w:eastAsia="Perpetua" w:cs="Perpetua"/>
        </w:rPr>
        <w:t xml:space="preserve"> </w:t>
      </w:r>
      <w:r w:rsidRPr="001B6607">
        <w:rPr>
          <w:rFonts w:eastAsia="Perpetua" w:cs="Perpetua"/>
          <w:spacing w:val="-1"/>
        </w:rPr>
        <w:t>John</w:t>
      </w:r>
      <w:r w:rsidRPr="001B6607">
        <w:rPr>
          <w:rFonts w:eastAsia="Perpetua" w:cs="Perpetua"/>
        </w:rPr>
        <w:t xml:space="preserve"> </w:t>
      </w:r>
      <w:r w:rsidRPr="001B6607">
        <w:rPr>
          <w:rFonts w:eastAsia="Perpetua" w:cs="Perpetua"/>
          <w:spacing w:val="-1"/>
        </w:rPr>
        <w:t>14</w:t>
      </w:r>
      <w:r>
        <w:rPr>
          <w:rFonts w:eastAsia="Perpetua" w:cs="Perpetua"/>
          <w:spacing w:val="-1"/>
        </w:rPr>
        <w:t xml:space="preserve"> </w:t>
      </w:r>
      <w:r w:rsidRPr="00012B96">
        <w:rPr>
          <w:sz w:val="16"/>
          <w:szCs w:val="24"/>
        </w:rPr>
        <w:t>—</w:t>
      </w:r>
      <w:r>
        <w:rPr>
          <w:sz w:val="16"/>
          <w:szCs w:val="24"/>
        </w:rPr>
        <w:t xml:space="preserve"> </w:t>
      </w:r>
      <w:r w:rsidRPr="001B6607">
        <w:rPr>
          <w:rFonts w:eastAsia="Perpetua" w:cs="Perpetua"/>
          <w:spacing w:val="-1"/>
        </w:rPr>
        <w:t>16,</w:t>
      </w:r>
      <w:r w:rsidRPr="001B6607">
        <w:rPr>
          <w:rFonts w:eastAsia="Perpetua" w:cs="Perpetua"/>
        </w:rPr>
        <w:t xml:space="preserve"> </w:t>
      </w:r>
      <w:r w:rsidRPr="001B6607">
        <w:rPr>
          <w:rFonts w:eastAsia="Perpetua" w:cs="Perpetua"/>
          <w:spacing w:val="-1"/>
        </w:rPr>
        <w:t>the</w:t>
      </w:r>
      <w:r w:rsidRPr="001B6607">
        <w:rPr>
          <w:rFonts w:eastAsia="Perpetua" w:cs="Perpetua"/>
        </w:rPr>
        <w:t xml:space="preserve"> </w:t>
      </w:r>
      <w:r w:rsidRPr="001B6607">
        <w:rPr>
          <w:rFonts w:eastAsia="Perpetua" w:cs="Perpetua"/>
          <w:spacing w:val="-1"/>
        </w:rPr>
        <w:t>High</w:t>
      </w:r>
      <w:r w:rsidRPr="001B6607">
        <w:rPr>
          <w:rFonts w:eastAsia="Perpetua" w:cs="Perpetua"/>
          <w:spacing w:val="57"/>
        </w:rPr>
        <w:t xml:space="preserve"> </w:t>
      </w:r>
      <w:r w:rsidRPr="001B6607">
        <w:rPr>
          <w:rFonts w:eastAsia="Perpetua" w:cs="Perpetua"/>
          <w:spacing w:val="-1"/>
        </w:rPr>
        <w:t>Priest</w:t>
      </w:r>
      <w:r w:rsidRPr="001B6607">
        <w:rPr>
          <w:rFonts w:eastAsia="Perpetua" w:cs="Perpetua"/>
        </w:rPr>
        <w:t xml:space="preserve"> </w:t>
      </w:r>
      <w:r w:rsidRPr="001B6607">
        <w:rPr>
          <w:rFonts w:eastAsia="Perpetua" w:cs="Perpetua"/>
          <w:spacing w:val="-1"/>
        </w:rPr>
        <w:t>approaches</w:t>
      </w:r>
      <w:r w:rsidRPr="001B6607">
        <w:rPr>
          <w:rFonts w:eastAsia="Perpetua" w:cs="Perpetua"/>
          <w:spacing w:val="1"/>
        </w:rPr>
        <w:t xml:space="preserve"> </w:t>
      </w:r>
      <w:r w:rsidRPr="001B6607">
        <w:rPr>
          <w:rFonts w:eastAsia="Perpetua" w:cs="Perpetua"/>
          <w:spacing w:val="-1"/>
        </w:rPr>
        <w:t>and</w:t>
      </w:r>
      <w:r w:rsidRPr="001B6607">
        <w:rPr>
          <w:rFonts w:eastAsia="Perpetua" w:cs="Perpetua"/>
        </w:rPr>
        <w:t xml:space="preserve"> </w:t>
      </w:r>
      <w:r w:rsidRPr="001B6607">
        <w:rPr>
          <w:rFonts w:eastAsia="Perpetua" w:cs="Perpetua"/>
          <w:spacing w:val="-1"/>
        </w:rPr>
        <w:t>enters the holy</w:t>
      </w:r>
      <w:r w:rsidRPr="001B6607">
        <w:rPr>
          <w:rFonts w:eastAsia="Perpetua" w:cs="Perpetua"/>
        </w:rPr>
        <w:t xml:space="preserve"> </w:t>
      </w:r>
      <w:r w:rsidRPr="001B6607">
        <w:rPr>
          <w:rFonts w:eastAsia="Perpetua" w:cs="Perpetua"/>
          <w:spacing w:val="-1"/>
        </w:rPr>
        <w:t>place</w:t>
      </w:r>
      <w:r w:rsidRPr="001B6607">
        <w:rPr>
          <w:rFonts w:eastAsia="Perpetua" w:cs="Perpetua"/>
        </w:rPr>
        <w:t xml:space="preserve"> </w:t>
      </w:r>
      <w:r w:rsidRPr="001B6607">
        <w:rPr>
          <w:rFonts w:eastAsia="Perpetua" w:cs="Perpetua"/>
          <w:spacing w:val="-1"/>
        </w:rPr>
        <w:t>with His</w:t>
      </w:r>
      <w:r w:rsidRPr="001B6607">
        <w:rPr>
          <w:rFonts w:eastAsia="Perpetua" w:cs="Perpetua"/>
        </w:rPr>
        <w:t xml:space="preserve"> </w:t>
      </w:r>
      <w:r w:rsidRPr="001B6607">
        <w:rPr>
          <w:rFonts w:eastAsia="Perpetua" w:cs="Perpetua"/>
          <w:spacing w:val="-1"/>
        </w:rPr>
        <w:t>associate</w:t>
      </w:r>
      <w:r w:rsidRPr="001B6607">
        <w:rPr>
          <w:rFonts w:eastAsia="Perpetua" w:cs="Perpetua"/>
          <w:spacing w:val="1"/>
        </w:rPr>
        <w:t xml:space="preserve"> </w:t>
      </w:r>
      <w:r w:rsidRPr="001B6607">
        <w:rPr>
          <w:rFonts w:eastAsia="Perpetua" w:cs="Perpetua"/>
          <w:spacing w:val="-1"/>
        </w:rPr>
        <w:t>priests;</w:t>
      </w:r>
      <w:r w:rsidRPr="001B6607">
        <w:rPr>
          <w:rFonts w:eastAsia="Perpetua" w:cs="Perpetua"/>
        </w:rPr>
        <w:t xml:space="preserve"> </w:t>
      </w:r>
      <w:r w:rsidRPr="001B6607">
        <w:rPr>
          <w:rFonts w:eastAsia="Perpetua" w:cs="Perpetua"/>
          <w:spacing w:val="-1"/>
        </w:rPr>
        <w:t>in</w:t>
      </w:r>
      <w:r w:rsidRPr="001B6607">
        <w:rPr>
          <w:rFonts w:eastAsia="Perpetua" w:cs="Perpetua"/>
        </w:rPr>
        <w:t xml:space="preserve"> </w:t>
      </w:r>
      <w:r w:rsidRPr="001B6607">
        <w:rPr>
          <w:rFonts w:eastAsia="Perpetua" w:cs="Perpetua"/>
          <w:spacing w:val="-1"/>
        </w:rPr>
        <w:t>Jn</w:t>
      </w:r>
      <w:r w:rsidRPr="001B6607">
        <w:rPr>
          <w:rFonts w:eastAsia="Perpetua" w:cs="Perpetua"/>
        </w:rPr>
        <w:t xml:space="preserve"> </w:t>
      </w:r>
      <w:r w:rsidRPr="001B6607">
        <w:rPr>
          <w:rFonts w:eastAsia="Perpetua" w:cs="Perpetua"/>
          <w:spacing w:val="-1"/>
        </w:rPr>
        <w:t>17:1,</w:t>
      </w:r>
      <w:r w:rsidRPr="001B6607">
        <w:rPr>
          <w:rFonts w:eastAsia="Perpetua" w:cs="Perpetua"/>
          <w:spacing w:val="-3"/>
        </w:rPr>
        <w:t xml:space="preserve"> </w:t>
      </w:r>
      <w:r w:rsidRPr="001B6607">
        <w:rPr>
          <w:rFonts w:eastAsia="Perpetua" w:cs="Perpetua"/>
          <w:spacing w:val="-1"/>
        </w:rPr>
        <w:t>the</w:t>
      </w:r>
      <w:r w:rsidRPr="001B6607">
        <w:rPr>
          <w:rFonts w:eastAsia="Perpetua" w:cs="Perpetua"/>
        </w:rPr>
        <w:t xml:space="preserve"> </w:t>
      </w:r>
      <w:r w:rsidRPr="001B6607">
        <w:rPr>
          <w:rFonts w:eastAsia="Perpetua" w:cs="Perpetua"/>
          <w:spacing w:val="-1"/>
        </w:rPr>
        <w:t>High</w:t>
      </w:r>
      <w:r w:rsidRPr="001B6607">
        <w:rPr>
          <w:rFonts w:eastAsia="Perpetua" w:cs="Perpetua"/>
          <w:spacing w:val="-2"/>
        </w:rPr>
        <w:t xml:space="preserve"> </w:t>
      </w:r>
      <w:r w:rsidRPr="001B6607">
        <w:rPr>
          <w:rFonts w:eastAsia="Perpetua" w:cs="Perpetua"/>
          <w:spacing w:val="-1"/>
        </w:rPr>
        <w:t>Priest</w:t>
      </w:r>
      <w:r w:rsidRPr="001B6607">
        <w:rPr>
          <w:rFonts w:eastAsia="Perpetua" w:cs="Perpetua"/>
        </w:rPr>
        <w:t xml:space="preserve"> </w:t>
      </w:r>
      <w:r w:rsidRPr="001B6607">
        <w:rPr>
          <w:rFonts w:eastAsia="Perpetua" w:cs="Perpetua"/>
          <w:spacing w:val="-1"/>
        </w:rPr>
        <w:t>enters the</w:t>
      </w:r>
      <w:r w:rsidRPr="001B6607">
        <w:rPr>
          <w:rFonts w:eastAsia="Perpetua" w:cs="Perpetua"/>
        </w:rPr>
        <w:t xml:space="preserve"> </w:t>
      </w:r>
      <w:r w:rsidRPr="001B6607">
        <w:rPr>
          <w:rFonts w:eastAsia="Perpetua" w:cs="Perpetua"/>
          <w:spacing w:val="-1"/>
        </w:rPr>
        <w:t>holy</w:t>
      </w:r>
      <w:r w:rsidRPr="001B6607">
        <w:rPr>
          <w:rFonts w:eastAsia="Perpetua" w:cs="Perpetua"/>
        </w:rPr>
        <w:t xml:space="preserve"> </w:t>
      </w:r>
      <w:r w:rsidRPr="001B6607">
        <w:rPr>
          <w:rFonts w:eastAsia="Perpetua" w:cs="Perpetua"/>
          <w:spacing w:val="-1"/>
        </w:rPr>
        <w:t>of</w:t>
      </w:r>
      <w:r w:rsidRPr="001B6607">
        <w:rPr>
          <w:rFonts w:eastAsia="Perpetua" w:cs="Perpetua"/>
          <w:spacing w:val="46"/>
        </w:rPr>
        <w:t xml:space="preserve"> </w:t>
      </w:r>
      <w:r w:rsidRPr="001B6607">
        <w:rPr>
          <w:rFonts w:eastAsia="Perpetua" w:cs="Perpetua"/>
          <w:spacing w:val="-1"/>
        </w:rPr>
        <w:t>holies</w:t>
      </w:r>
      <w:r w:rsidRPr="001B6607">
        <w:rPr>
          <w:rFonts w:eastAsia="Perpetua" w:cs="Perpetua"/>
        </w:rPr>
        <w:t xml:space="preserve"> </w:t>
      </w:r>
      <w:r w:rsidRPr="001B6607">
        <w:rPr>
          <w:rFonts w:eastAsia="Perpetua" w:cs="Perpetua"/>
          <w:spacing w:val="-1"/>
        </w:rPr>
        <w:t>and</w:t>
      </w:r>
      <w:r w:rsidRPr="001B6607">
        <w:rPr>
          <w:rFonts w:eastAsia="Perpetua" w:cs="Perpetua"/>
        </w:rPr>
        <w:t xml:space="preserve"> </w:t>
      </w:r>
      <w:r w:rsidRPr="001B6607">
        <w:rPr>
          <w:rFonts w:eastAsia="Perpetua" w:cs="Perpetua"/>
          <w:spacing w:val="-1"/>
        </w:rPr>
        <w:t>intercedes,</w:t>
      </w:r>
      <w:r w:rsidRPr="001B6607">
        <w:rPr>
          <w:rFonts w:eastAsia="Perpetua" w:cs="Perpetua"/>
        </w:rPr>
        <w:t xml:space="preserve"> </w:t>
      </w:r>
      <w:r w:rsidRPr="001B6607">
        <w:rPr>
          <w:rFonts w:eastAsia="Perpetua" w:cs="Perpetua"/>
          <w:spacing w:val="-1"/>
        </w:rPr>
        <w:t>not</w:t>
      </w:r>
      <w:r w:rsidRPr="001B6607">
        <w:rPr>
          <w:rFonts w:eastAsia="Perpetua" w:cs="Perpetua"/>
        </w:rPr>
        <w:t xml:space="preserve"> </w:t>
      </w:r>
      <w:r w:rsidRPr="001B6607">
        <w:rPr>
          <w:rFonts w:eastAsia="Perpetua" w:cs="Perpetua"/>
          <w:spacing w:val="-1"/>
        </w:rPr>
        <w:t>for</w:t>
      </w:r>
      <w:r w:rsidRPr="001B6607">
        <w:rPr>
          <w:rFonts w:eastAsia="Perpetua" w:cs="Perpetua"/>
        </w:rPr>
        <w:t xml:space="preserve"> </w:t>
      </w:r>
      <w:r w:rsidRPr="001B6607">
        <w:rPr>
          <w:rFonts w:eastAsia="Perpetua" w:cs="Perpetua"/>
          <w:spacing w:val="-1"/>
        </w:rPr>
        <w:t>the</w:t>
      </w:r>
      <w:r w:rsidRPr="001B6607">
        <w:rPr>
          <w:rFonts w:eastAsia="Perpetua" w:cs="Perpetua"/>
        </w:rPr>
        <w:t xml:space="preserve"> </w:t>
      </w:r>
      <w:r w:rsidRPr="001B6607">
        <w:rPr>
          <w:rFonts w:eastAsia="Perpetua" w:cs="Perpetua"/>
          <w:spacing w:val="-1"/>
        </w:rPr>
        <w:t>salvation, but</w:t>
      </w:r>
      <w:r w:rsidRPr="001B6607">
        <w:rPr>
          <w:rFonts w:eastAsia="Perpetua" w:cs="Perpetua"/>
        </w:rPr>
        <w:t xml:space="preserve"> </w:t>
      </w:r>
      <w:r w:rsidRPr="001B6607">
        <w:rPr>
          <w:rFonts w:eastAsia="Perpetua" w:cs="Perpetua"/>
          <w:spacing w:val="-1"/>
        </w:rPr>
        <w:t>for</w:t>
      </w:r>
      <w:r w:rsidRPr="001B6607">
        <w:rPr>
          <w:rFonts w:eastAsia="Perpetua" w:cs="Perpetua"/>
        </w:rPr>
        <w:t xml:space="preserve"> the </w:t>
      </w:r>
      <w:r w:rsidRPr="001B6607">
        <w:rPr>
          <w:rFonts w:eastAsia="Perpetua" w:cs="Perpetua"/>
          <w:spacing w:val="-1"/>
        </w:rPr>
        <w:t>keeping</w:t>
      </w:r>
      <w:r w:rsidRPr="001B6607">
        <w:rPr>
          <w:rFonts w:eastAsia="Perpetua" w:cs="Perpetua"/>
        </w:rPr>
        <w:t xml:space="preserve"> </w:t>
      </w:r>
      <w:r w:rsidRPr="001B6607">
        <w:rPr>
          <w:rFonts w:eastAsia="Perpetua" w:cs="Perpetua"/>
          <w:spacing w:val="-1"/>
        </w:rPr>
        <w:t>and</w:t>
      </w:r>
      <w:r w:rsidRPr="001B6607">
        <w:rPr>
          <w:rFonts w:eastAsia="Perpetua" w:cs="Perpetua"/>
        </w:rPr>
        <w:t xml:space="preserve"> blessing</w:t>
      </w:r>
      <w:r w:rsidRPr="001B6607">
        <w:rPr>
          <w:rFonts w:eastAsia="Perpetua" w:cs="Perpetua"/>
          <w:spacing w:val="-1"/>
        </w:rPr>
        <w:t xml:space="preserve"> of</w:t>
      </w:r>
      <w:r w:rsidRPr="001B6607">
        <w:rPr>
          <w:rFonts w:eastAsia="Perpetua" w:cs="Perpetua"/>
        </w:rPr>
        <w:t xml:space="preserve"> </w:t>
      </w:r>
      <w:r w:rsidRPr="001B6607">
        <w:rPr>
          <w:rFonts w:eastAsia="Perpetua" w:cs="Perpetua"/>
          <w:spacing w:val="-1"/>
        </w:rPr>
        <w:t>those</w:t>
      </w:r>
      <w:r w:rsidRPr="001B6607">
        <w:rPr>
          <w:rFonts w:eastAsia="Perpetua" w:cs="Perpetua"/>
        </w:rPr>
        <w:t xml:space="preserve"> </w:t>
      </w:r>
      <w:r w:rsidRPr="001B6607">
        <w:rPr>
          <w:rFonts w:eastAsia="Perpetua" w:cs="Perpetua"/>
          <w:spacing w:val="-1"/>
        </w:rPr>
        <w:t>saved</w:t>
      </w:r>
      <w:r w:rsidRPr="001B6607">
        <w:rPr>
          <w:rFonts w:eastAsia="Perpetua" w:cs="Perpetua"/>
        </w:rPr>
        <w:t xml:space="preserve"> </w:t>
      </w:r>
      <w:r w:rsidRPr="001B6607">
        <w:rPr>
          <w:rFonts w:eastAsia="Perpetua" w:cs="Perpetua"/>
          <w:spacing w:val="-1"/>
        </w:rPr>
        <w:t>by</w:t>
      </w:r>
      <w:r w:rsidRPr="001B6607">
        <w:rPr>
          <w:rFonts w:eastAsia="Perpetua" w:cs="Perpetua"/>
          <w:spacing w:val="1"/>
        </w:rPr>
        <w:t xml:space="preserve"> </w:t>
      </w:r>
      <w:r w:rsidRPr="001B6607">
        <w:rPr>
          <w:rFonts w:eastAsia="Perpetua" w:cs="Perpetua"/>
          <w:spacing w:val="-1"/>
        </w:rPr>
        <w:t>his</w:t>
      </w:r>
      <w:r w:rsidRPr="001B6607">
        <w:rPr>
          <w:rFonts w:eastAsia="Perpetua" w:cs="Perpetua"/>
        </w:rPr>
        <w:t xml:space="preserve"> </w:t>
      </w:r>
      <w:r w:rsidRPr="001B6607">
        <w:rPr>
          <w:rFonts w:eastAsia="Perpetua" w:cs="Perpetua"/>
          <w:spacing w:val="-1"/>
        </w:rPr>
        <w:t>death.</w:t>
      </w:r>
      <w:r>
        <w:rPr>
          <w:rStyle w:val="EndnoteReference"/>
          <w:rFonts w:eastAsia="Perpetua" w:cs="Perpetua"/>
          <w:spacing w:val="-1"/>
        </w:rPr>
        <w:endnoteReference w:id="827"/>
      </w:r>
      <w:r>
        <w:rPr>
          <w:rFonts w:eastAsia="Perpetua" w:cs="Perpetua"/>
          <w:spacing w:val="-1"/>
        </w:rPr>
        <w:t xml:space="preserve">  </w:t>
      </w:r>
      <w:r w:rsidRPr="00450CAC">
        <w:rPr>
          <w:rFonts w:eastAsia="Perpetua" w:cs="Perpetua"/>
        </w:rPr>
        <w:t>‘Typically</w:t>
      </w:r>
      <w:r w:rsidRPr="00450CAC">
        <w:rPr>
          <w:rFonts w:eastAsia="Perpetua" w:cs="Perpetua"/>
          <w:spacing w:val="7"/>
        </w:rPr>
        <w:t xml:space="preserve"> </w:t>
      </w:r>
      <w:r w:rsidRPr="00450CAC">
        <w:rPr>
          <w:rFonts w:eastAsia="Perpetua" w:cs="Perpetua"/>
        </w:rPr>
        <w:t>the</w:t>
      </w:r>
      <w:r w:rsidRPr="00450CAC">
        <w:rPr>
          <w:rFonts w:eastAsia="Perpetua" w:cs="Perpetua"/>
          <w:spacing w:val="7"/>
        </w:rPr>
        <w:t xml:space="preserve"> </w:t>
      </w:r>
      <w:r w:rsidRPr="00450CAC">
        <w:rPr>
          <w:rFonts w:eastAsia="Perpetua" w:cs="Perpetua"/>
        </w:rPr>
        <w:t>order</w:t>
      </w:r>
      <w:r w:rsidRPr="00450CAC">
        <w:rPr>
          <w:rFonts w:eastAsia="Perpetua" w:cs="Perpetua"/>
          <w:spacing w:val="8"/>
        </w:rPr>
        <w:t xml:space="preserve"> </w:t>
      </w:r>
      <w:r w:rsidRPr="00450CAC">
        <w:rPr>
          <w:rFonts w:eastAsia="Perpetua" w:cs="Perpetua"/>
        </w:rPr>
        <w:t>of</w:t>
      </w:r>
      <w:r w:rsidRPr="00450CAC">
        <w:rPr>
          <w:rFonts w:eastAsia="Perpetua" w:cs="Perpetua"/>
          <w:spacing w:val="7"/>
        </w:rPr>
        <w:t xml:space="preserve"> </w:t>
      </w:r>
      <w:r w:rsidRPr="00450CAC">
        <w:rPr>
          <w:rFonts w:eastAsia="Perpetua" w:cs="Perpetua"/>
        </w:rPr>
        <w:t>approach</w:t>
      </w:r>
      <w:r w:rsidRPr="00450CAC">
        <w:rPr>
          <w:rFonts w:eastAsia="Perpetua" w:cs="Perpetua"/>
          <w:spacing w:val="8"/>
        </w:rPr>
        <w:t xml:space="preserve"> </w:t>
      </w:r>
      <w:r w:rsidRPr="00450CAC">
        <w:rPr>
          <w:rFonts w:eastAsia="Perpetua" w:cs="Perpetua"/>
        </w:rPr>
        <w:t>to</w:t>
      </w:r>
      <w:r w:rsidRPr="00450CAC">
        <w:rPr>
          <w:rFonts w:eastAsia="Perpetua" w:cs="Perpetua"/>
          <w:spacing w:val="9"/>
        </w:rPr>
        <w:t xml:space="preserve"> </w:t>
      </w:r>
      <w:r w:rsidRPr="00450CAC">
        <w:rPr>
          <w:rFonts w:eastAsia="Perpetua" w:cs="Perpetua"/>
        </w:rPr>
        <w:t>God’s</w:t>
      </w:r>
      <w:r w:rsidRPr="00450CAC">
        <w:rPr>
          <w:rFonts w:eastAsia="Perpetua" w:cs="Perpetua"/>
          <w:spacing w:val="7"/>
        </w:rPr>
        <w:t xml:space="preserve"> </w:t>
      </w:r>
      <w:r w:rsidRPr="00450CAC">
        <w:rPr>
          <w:rFonts w:eastAsia="Perpetua" w:cs="Perpetua"/>
        </w:rPr>
        <w:t>presence</w:t>
      </w:r>
      <w:r w:rsidRPr="00450CAC">
        <w:rPr>
          <w:rFonts w:eastAsia="Perpetua" w:cs="Perpetua"/>
          <w:spacing w:val="8"/>
        </w:rPr>
        <w:t xml:space="preserve"> </w:t>
      </w:r>
      <w:r w:rsidRPr="00450CAC">
        <w:rPr>
          <w:rFonts w:eastAsia="Perpetua" w:cs="Perpetua"/>
          <w:spacing w:val="1"/>
        </w:rPr>
        <w:t>is</w:t>
      </w:r>
      <w:r w:rsidRPr="00450CAC">
        <w:rPr>
          <w:rFonts w:eastAsia="Perpetua" w:cs="Perpetua"/>
          <w:spacing w:val="30"/>
          <w:w w:val="99"/>
        </w:rPr>
        <w:t xml:space="preserve"> </w:t>
      </w:r>
      <w:r w:rsidRPr="00450CAC">
        <w:rPr>
          <w:rFonts w:eastAsia="Perpetua" w:cs="Perpetua"/>
          <w:spacing w:val="-1"/>
        </w:rPr>
        <w:t>the</w:t>
      </w:r>
      <w:r w:rsidRPr="00450CAC">
        <w:rPr>
          <w:rFonts w:eastAsia="Perpetua" w:cs="Perpetua"/>
          <w:spacing w:val="11"/>
        </w:rPr>
        <w:t xml:space="preserve"> </w:t>
      </w:r>
      <w:r w:rsidRPr="00450CAC">
        <w:rPr>
          <w:rFonts w:eastAsia="Perpetua" w:cs="Perpetua"/>
        </w:rPr>
        <w:t>brazen</w:t>
      </w:r>
      <w:r w:rsidRPr="00450CAC">
        <w:rPr>
          <w:rFonts w:eastAsia="Perpetua" w:cs="Perpetua"/>
          <w:spacing w:val="10"/>
        </w:rPr>
        <w:t xml:space="preserve"> </w:t>
      </w:r>
      <w:r w:rsidRPr="00450CAC">
        <w:rPr>
          <w:rFonts w:eastAsia="Perpetua" w:cs="Perpetua"/>
          <w:spacing w:val="-1"/>
        </w:rPr>
        <w:t>altar</w:t>
      </w:r>
      <w:r w:rsidRPr="00450CAC">
        <w:rPr>
          <w:rFonts w:eastAsia="Perpetua" w:cs="Perpetua"/>
          <w:spacing w:val="11"/>
        </w:rPr>
        <w:t xml:space="preserve"> </w:t>
      </w:r>
      <w:r w:rsidRPr="00450CAC">
        <w:rPr>
          <w:rFonts w:eastAsia="Perpetua" w:cs="Perpetua"/>
          <w:spacing w:val="-1"/>
        </w:rPr>
        <w:t>of</w:t>
      </w:r>
      <w:r w:rsidRPr="00450CAC">
        <w:rPr>
          <w:rFonts w:eastAsia="Perpetua" w:cs="Perpetua"/>
          <w:spacing w:val="11"/>
        </w:rPr>
        <w:t xml:space="preserve"> </w:t>
      </w:r>
      <w:r w:rsidRPr="00450CAC">
        <w:rPr>
          <w:rFonts w:eastAsia="Perpetua" w:cs="Perpetua"/>
          <w:spacing w:val="-1"/>
        </w:rPr>
        <w:t>sacrifice,</w:t>
      </w:r>
      <w:r w:rsidRPr="00450CAC">
        <w:rPr>
          <w:rFonts w:eastAsia="Perpetua" w:cs="Perpetua"/>
          <w:spacing w:val="11"/>
        </w:rPr>
        <w:t xml:space="preserve"> </w:t>
      </w:r>
      <w:r w:rsidRPr="00450CAC">
        <w:rPr>
          <w:rFonts w:eastAsia="Perpetua" w:cs="Perpetua"/>
          <w:spacing w:val="-1"/>
        </w:rPr>
        <w:t>then</w:t>
      </w:r>
      <w:r w:rsidRPr="00450CAC">
        <w:rPr>
          <w:rFonts w:eastAsia="Perpetua" w:cs="Perpetua"/>
          <w:spacing w:val="11"/>
        </w:rPr>
        <w:t xml:space="preserve"> </w:t>
      </w:r>
      <w:r w:rsidRPr="00450CAC">
        <w:rPr>
          <w:rFonts w:eastAsia="Perpetua" w:cs="Perpetua"/>
        </w:rPr>
        <w:t>the</w:t>
      </w:r>
      <w:r w:rsidRPr="00450CAC">
        <w:rPr>
          <w:rFonts w:eastAsia="Perpetua" w:cs="Perpetua"/>
          <w:spacing w:val="12"/>
        </w:rPr>
        <w:t xml:space="preserve"> </w:t>
      </w:r>
      <w:r w:rsidRPr="00450CAC">
        <w:rPr>
          <w:rFonts w:eastAsia="Perpetua" w:cs="Perpetua"/>
          <w:spacing w:val="-1"/>
        </w:rPr>
        <w:t>laver</w:t>
      </w:r>
      <w:r w:rsidRPr="00450CAC">
        <w:rPr>
          <w:rFonts w:eastAsia="Perpetua" w:cs="Perpetua"/>
          <w:spacing w:val="11"/>
        </w:rPr>
        <w:t xml:space="preserve"> </w:t>
      </w:r>
      <w:r w:rsidRPr="00450CAC">
        <w:rPr>
          <w:rFonts w:eastAsia="Perpetua" w:cs="Perpetua"/>
        </w:rPr>
        <w:t>of</w:t>
      </w:r>
      <w:r w:rsidRPr="00450CAC">
        <w:rPr>
          <w:rFonts w:eastAsia="Perpetua" w:cs="Perpetua"/>
          <w:spacing w:val="11"/>
        </w:rPr>
        <w:t xml:space="preserve"> </w:t>
      </w:r>
      <w:r w:rsidRPr="00450CAC">
        <w:rPr>
          <w:rFonts w:eastAsia="Perpetua" w:cs="Perpetua"/>
          <w:spacing w:val="-1"/>
        </w:rPr>
        <w:t>cleansing.’</w:t>
      </w:r>
      <w:r>
        <w:rPr>
          <w:rStyle w:val="EndnoteReference"/>
          <w:rFonts w:eastAsia="Perpetua" w:cs="Perpetua"/>
          <w:spacing w:val="-1"/>
        </w:rPr>
        <w:endnoteReference w:id="828"/>
      </w:r>
      <w:r w:rsidRPr="00450CAC">
        <w:rPr>
          <w:rFonts w:eastAsia="Perpetua" w:cs="Perpetua"/>
          <w:spacing w:val="-1"/>
        </w:rPr>
        <w:t xml:space="preserve">  Scofield</w:t>
      </w:r>
      <w:r w:rsidRPr="00450CAC">
        <w:rPr>
          <w:rFonts w:eastAsia="Perpetua" w:cs="Perpetua"/>
          <w:spacing w:val="11"/>
        </w:rPr>
        <w:t xml:space="preserve"> </w:t>
      </w:r>
      <w:r w:rsidRPr="00450CAC">
        <w:rPr>
          <w:rFonts w:eastAsia="Perpetua" w:cs="Perpetua"/>
          <w:spacing w:val="-1"/>
        </w:rPr>
        <w:t>sees</w:t>
      </w:r>
      <w:r w:rsidRPr="00450CAC">
        <w:rPr>
          <w:rFonts w:eastAsia="Perpetua" w:cs="Perpetua"/>
          <w:spacing w:val="11"/>
        </w:rPr>
        <w:t xml:space="preserve"> </w:t>
      </w:r>
      <w:r w:rsidRPr="00450CAC">
        <w:rPr>
          <w:rFonts w:eastAsia="Perpetua" w:cs="Perpetua"/>
          <w:spacing w:val="-1"/>
        </w:rPr>
        <w:t>this</w:t>
      </w:r>
      <w:r w:rsidRPr="00450CAC">
        <w:rPr>
          <w:rFonts w:eastAsia="Perpetua" w:cs="Perpetua"/>
          <w:spacing w:val="10"/>
        </w:rPr>
        <w:t xml:space="preserve"> </w:t>
      </w:r>
      <w:r w:rsidRPr="00450CAC">
        <w:rPr>
          <w:rFonts w:eastAsia="Perpetua" w:cs="Perpetua"/>
        </w:rPr>
        <w:t>as</w:t>
      </w:r>
      <w:r w:rsidRPr="00450CAC">
        <w:rPr>
          <w:rFonts w:eastAsia="Perpetua" w:cs="Perpetua"/>
          <w:spacing w:val="10"/>
        </w:rPr>
        <w:t xml:space="preserve"> </w:t>
      </w:r>
      <w:r w:rsidRPr="00450CAC">
        <w:rPr>
          <w:rFonts w:eastAsia="Perpetua" w:cs="Perpetua"/>
          <w:spacing w:val="-1"/>
        </w:rPr>
        <w:t>typifying</w:t>
      </w:r>
      <w:r w:rsidRPr="00450CAC">
        <w:rPr>
          <w:rFonts w:eastAsia="Perpetua" w:cs="Perpetua"/>
          <w:spacing w:val="12"/>
        </w:rPr>
        <w:t xml:space="preserve"> </w:t>
      </w:r>
      <w:r w:rsidRPr="00450CAC">
        <w:rPr>
          <w:rFonts w:eastAsia="Perpetua" w:cs="Perpetua"/>
          <w:spacing w:val="-1"/>
        </w:rPr>
        <w:t>Christ’s</w:t>
      </w:r>
      <w:r w:rsidRPr="00450CAC">
        <w:rPr>
          <w:rFonts w:eastAsia="Perpetua" w:cs="Perpetua"/>
          <w:spacing w:val="10"/>
        </w:rPr>
        <w:t xml:space="preserve"> </w:t>
      </w:r>
      <w:r w:rsidRPr="00450CAC">
        <w:rPr>
          <w:rFonts w:eastAsia="Perpetua" w:cs="Perpetua"/>
        </w:rPr>
        <w:t>washing</w:t>
      </w:r>
      <w:r w:rsidRPr="00450CAC">
        <w:rPr>
          <w:rFonts w:eastAsia="Perpetua" w:cs="Perpetua"/>
          <w:spacing w:val="83"/>
          <w:w w:val="99"/>
        </w:rPr>
        <w:t xml:space="preserve"> </w:t>
      </w:r>
      <w:r w:rsidRPr="00450CAC">
        <w:rPr>
          <w:rFonts w:eastAsia="Perpetua" w:cs="Perpetua"/>
          <w:spacing w:val="-1"/>
        </w:rPr>
        <w:t>the</w:t>
      </w:r>
      <w:r w:rsidRPr="00450CAC">
        <w:rPr>
          <w:rFonts w:eastAsia="Perpetua" w:cs="Perpetua"/>
          <w:spacing w:val="45"/>
        </w:rPr>
        <w:t xml:space="preserve"> </w:t>
      </w:r>
      <w:r w:rsidRPr="00450CAC">
        <w:rPr>
          <w:rFonts w:eastAsia="Perpetua" w:cs="Perpetua"/>
          <w:spacing w:val="-1"/>
        </w:rPr>
        <w:t>disciples’</w:t>
      </w:r>
      <w:r w:rsidRPr="00450CAC">
        <w:rPr>
          <w:rFonts w:eastAsia="Perpetua" w:cs="Perpetua"/>
          <w:spacing w:val="46"/>
        </w:rPr>
        <w:t xml:space="preserve"> </w:t>
      </w:r>
      <w:r w:rsidRPr="00450CAC">
        <w:rPr>
          <w:rFonts w:eastAsia="Perpetua" w:cs="Perpetua"/>
          <w:spacing w:val="-1"/>
        </w:rPr>
        <w:t>feet.</w:t>
      </w:r>
      <w:r>
        <w:rPr>
          <w:rStyle w:val="EndnoteReference"/>
          <w:rFonts w:eastAsia="Perpetua" w:cs="Perpetua"/>
          <w:spacing w:val="-1"/>
        </w:rPr>
        <w:endnoteReference w:id="829"/>
      </w:r>
      <w:r w:rsidRPr="00450CAC">
        <w:rPr>
          <w:rFonts w:eastAsia="Perpetua" w:cs="Perpetua"/>
          <w:spacing w:val="-1"/>
        </w:rPr>
        <w:t xml:space="preserve">  </w:t>
      </w:r>
      <w:r w:rsidRPr="00450CAC">
        <w:rPr>
          <w:rFonts w:eastAsia="Perpetua" w:cs="Perpetua"/>
        </w:rPr>
        <w:t>Fine</w:t>
      </w:r>
      <w:r w:rsidRPr="00450CAC">
        <w:rPr>
          <w:rFonts w:eastAsia="Perpetua" w:cs="Perpetua"/>
          <w:spacing w:val="46"/>
        </w:rPr>
        <w:t xml:space="preserve"> </w:t>
      </w:r>
      <w:r w:rsidRPr="00450CAC">
        <w:rPr>
          <w:rFonts w:eastAsia="Perpetua" w:cs="Perpetua"/>
        </w:rPr>
        <w:t>linen</w:t>
      </w:r>
      <w:r w:rsidRPr="00450CAC">
        <w:rPr>
          <w:rFonts w:eastAsia="Perpetua" w:cs="Perpetua"/>
          <w:spacing w:val="46"/>
        </w:rPr>
        <w:t xml:space="preserve"> </w:t>
      </w:r>
      <w:r w:rsidRPr="00450CAC">
        <w:rPr>
          <w:rFonts w:eastAsia="Perpetua" w:cs="Perpetua"/>
        </w:rPr>
        <w:t>usually</w:t>
      </w:r>
      <w:r w:rsidRPr="00450CAC">
        <w:rPr>
          <w:rFonts w:eastAsia="Perpetua" w:cs="Perpetua"/>
          <w:spacing w:val="46"/>
        </w:rPr>
        <w:t xml:space="preserve"> </w:t>
      </w:r>
      <w:r w:rsidRPr="00450CAC">
        <w:rPr>
          <w:rFonts w:eastAsia="Perpetua" w:cs="Perpetua"/>
        </w:rPr>
        <w:t>typifies</w:t>
      </w:r>
      <w:r w:rsidRPr="00450CAC">
        <w:rPr>
          <w:rFonts w:eastAsia="Perpetua" w:cs="Perpetua"/>
          <w:spacing w:val="45"/>
        </w:rPr>
        <w:t xml:space="preserve"> </w:t>
      </w:r>
      <w:r w:rsidRPr="00450CAC">
        <w:rPr>
          <w:rFonts w:eastAsia="Perpetua" w:cs="Perpetua"/>
        </w:rPr>
        <w:t>personal</w:t>
      </w:r>
      <w:r w:rsidRPr="00450CAC">
        <w:rPr>
          <w:rFonts w:eastAsia="Perpetua" w:cs="Perpetua"/>
          <w:spacing w:val="47"/>
        </w:rPr>
        <w:t xml:space="preserve"> </w:t>
      </w:r>
      <w:r>
        <w:rPr>
          <w:rFonts w:eastAsia="Perpetua" w:cs="Perpetua"/>
          <w:spacing w:val="-1"/>
        </w:rPr>
        <w:t>righteousness</w:t>
      </w:r>
      <w:r>
        <w:rPr>
          <w:rStyle w:val="EndnoteReference"/>
          <w:rFonts w:eastAsia="Perpetua" w:cs="Perpetua"/>
          <w:spacing w:val="-1"/>
        </w:rPr>
        <w:endnoteReference w:id="830"/>
      </w:r>
      <w:r w:rsidRPr="00450CAC">
        <w:rPr>
          <w:rFonts w:eastAsia="Perpetua" w:cs="Perpetua"/>
        </w:rPr>
        <w:t xml:space="preserve"> and</w:t>
      </w:r>
      <w:r w:rsidRPr="00450CAC">
        <w:rPr>
          <w:rFonts w:eastAsia="Perpetua" w:cs="Perpetua"/>
          <w:spacing w:val="46"/>
        </w:rPr>
        <w:t xml:space="preserve"> </w:t>
      </w:r>
      <w:r w:rsidRPr="00450CAC">
        <w:rPr>
          <w:rFonts w:eastAsia="Perpetua" w:cs="Perpetua"/>
        </w:rPr>
        <w:t>the</w:t>
      </w:r>
      <w:r w:rsidRPr="00450CAC">
        <w:rPr>
          <w:rFonts w:eastAsia="Perpetua" w:cs="Perpetua"/>
          <w:spacing w:val="46"/>
        </w:rPr>
        <w:t xml:space="preserve"> </w:t>
      </w:r>
      <w:r w:rsidRPr="00450CAC">
        <w:rPr>
          <w:rFonts w:eastAsia="Perpetua" w:cs="Perpetua"/>
        </w:rPr>
        <w:t>priest</w:t>
      </w:r>
      <w:r w:rsidRPr="00450CAC">
        <w:rPr>
          <w:rFonts w:eastAsia="Perpetua" w:cs="Perpetua"/>
          <w:spacing w:val="45"/>
        </w:rPr>
        <w:t xml:space="preserve"> </w:t>
      </w:r>
      <w:r w:rsidRPr="00450CAC">
        <w:rPr>
          <w:rFonts w:eastAsia="Perpetua" w:cs="Perpetua"/>
        </w:rPr>
        <w:t>is</w:t>
      </w:r>
      <w:r w:rsidRPr="00450CAC">
        <w:rPr>
          <w:rFonts w:eastAsia="Perpetua" w:cs="Perpetua"/>
          <w:spacing w:val="46"/>
        </w:rPr>
        <w:t xml:space="preserve"> </w:t>
      </w:r>
      <w:r w:rsidRPr="00450CAC">
        <w:rPr>
          <w:rFonts w:eastAsia="Perpetua" w:cs="Perpetua"/>
        </w:rPr>
        <w:t>a</w:t>
      </w:r>
      <w:r w:rsidRPr="00450CAC">
        <w:rPr>
          <w:rFonts w:eastAsia="Perpetua" w:cs="Perpetua"/>
          <w:spacing w:val="47"/>
        </w:rPr>
        <w:t xml:space="preserve"> </w:t>
      </w:r>
      <w:r w:rsidRPr="00450CAC">
        <w:rPr>
          <w:rFonts w:eastAsia="Perpetua" w:cs="Perpetua"/>
        </w:rPr>
        <w:t>type</w:t>
      </w:r>
      <w:r w:rsidRPr="00450CAC">
        <w:rPr>
          <w:rFonts w:eastAsia="Perpetua" w:cs="Perpetua"/>
          <w:spacing w:val="46"/>
        </w:rPr>
        <w:t xml:space="preserve"> </w:t>
      </w:r>
      <w:r w:rsidRPr="00450CAC">
        <w:rPr>
          <w:rFonts w:eastAsia="Perpetua" w:cs="Perpetua"/>
        </w:rPr>
        <w:t>for</w:t>
      </w:r>
      <w:r w:rsidRPr="00450CAC">
        <w:rPr>
          <w:rFonts w:eastAsia="Perpetua" w:cs="Perpetua"/>
          <w:spacing w:val="53"/>
          <w:w w:val="99"/>
        </w:rPr>
        <w:t xml:space="preserve"> </w:t>
      </w:r>
      <w:r w:rsidRPr="00450CAC">
        <w:rPr>
          <w:rFonts w:eastAsia="Perpetua" w:cs="Perpetua"/>
          <w:spacing w:val="-1"/>
        </w:rPr>
        <w:t>consecration.</w:t>
      </w:r>
      <w:r>
        <w:rPr>
          <w:rStyle w:val="EndnoteReference"/>
          <w:rFonts w:eastAsia="Perpetua" w:cs="Perpetua"/>
          <w:spacing w:val="-1"/>
        </w:rPr>
        <w:endnoteReference w:id="831"/>
      </w:r>
      <w:r w:rsidRPr="00450CAC">
        <w:rPr>
          <w:rFonts w:eastAsia="Perpetua" w:cs="Perpetua"/>
          <w:spacing w:val="-1"/>
        </w:rPr>
        <w:t xml:space="preserve">  </w:t>
      </w:r>
      <w:r w:rsidRPr="00450CAC">
        <w:rPr>
          <w:rFonts w:eastAsia="Perpetua" w:cs="Perpetua"/>
        </w:rPr>
        <w:t>God</w:t>
      </w:r>
      <w:r w:rsidRPr="00450CAC">
        <w:rPr>
          <w:rFonts w:eastAsia="Perpetua" w:cs="Perpetua"/>
          <w:spacing w:val="28"/>
        </w:rPr>
        <w:t xml:space="preserve"> </w:t>
      </w:r>
      <w:r w:rsidRPr="00450CAC">
        <w:rPr>
          <w:rFonts w:eastAsia="Perpetua" w:cs="Perpetua"/>
        </w:rPr>
        <w:t>constituted</w:t>
      </w:r>
      <w:r w:rsidRPr="00450CAC">
        <w:rPr>
          <w:rFonts w:eastAsia="Perpetua" w:cs="Perpetua"/>
          <w:spacing w:val="27"/>
        </w:rPr>
        <w:t xml:space="preserve"> </w:t>
      </w:r>
      <w:r w:rsidRPr="00450CAC">
        <w:rPr>
          <w:rFonts w:eastAsia="Perpetua" w:cs="Perpetua"/>
        </w:rPr>
        <w:t>‘the</w:t>
      </w:r>
      <w:r w:rsidRPr="00450CAC">
        <w:rPr>
          <w:rFonts w:eastAsia="Perpetua" w:cs="Perpetua"/>
          <w:spacing w:val="27"/>
        </w:rPr>
        <w:t xml:space="preserve"> </w:t>
      </w:r>
      <w:r w:rsidRPr="00450CAC">
        <w:rPr>
          <w:rFonts w:eastAsia="Perpetua" w:cs="Perpetua"/>
        </w:rPr>
        <w:t>typical</w:t>
      </w:r>
      <w:r w:rsidRPr="00450CAC">
        <w:rPr>
          <w:rFonts w:eastAsia="Perpetua" w:cs="Perpetua"/>
          <w:spacing w:val="28"/>
        </w:rPr>
        <w:t xml:space="preserve"> </w:t>
      </w:r>
      <w:r w:rsidRPr="00450CAC">
        <w:rPr>
          <w:rFonts w:eastAsia="Perpetua" w:cs="Perpetua"/>
        </w:rPr>
        <w:t>priesthood’,</w:t>
      </w:r>
      <w:r w:rsidRPr="00450CAC">
        <w:rPr>
          <w:rFonts w:eastAsia="Perpetua" w:cs="Perpetua"/>
          <w:spacing w:val="29"/>
        </w:rPr>
        <w:t xml:space="preserve"> </w:t>
      </w:r>
      <w:r w:rsidRPr="00450CAC">
        <w:rPr>
          <w:rFonts w:eastAsia="Perpetua" w:cs="Perpetua"/>
          <w:spacing w:val="-1"/>
        </w:rPr>
        <w:t>the</w:t>
      </w:r>
      <w:r w:rsidRPr="00450CAC">
        <w:rPr>
          <w:rFonts w:eastAsia="Perpetua" w:cs="Perpetua"/>
          <w:spacing w:val="28"/>
        </w:rPr>
        <w:t xml:space="preserve"> </w:t>
      </w:r>
      <w:r w:rsidRPr="00450CAC">
        <w:rPr>
          <w:rFonts w:eastAsia="Perpetua" w:cs="Perpetua"/>
          <w:spacing w:val="-1"/>
        </w:rPr>
        <w:t>Aaronic</w:t>
      </w:r>
      <w:r w:rsidRPr="00450CAC">
        <w:rPr>
          <w:rFonts w:eastAsia="Perpetua" w:cs="Perpetua"/>
          <w:spacing w:val="29"/>
        </w:rPr>
        <w:t xml:space="preserve"> </w:t>
      </w:r>
      <w:r w:rsidRPr="00450CAC">
        <w:rPr>
          <w:rFonts w:eastAsia="Perpetua" w:cs="Perpetua"/>
        </w:rPr>
        <w:t>priesthood,</w:t>
      </w:r>
      <w:r w:rsidRPr="00450CAC">
        <w:rPr>
          <w:rFonts w:eastAsia="Perpetua" w:cs="Perpetua"/>
          <w:spacing w:val="27"/>
        </w:rPr>
        <w:t xml:space="preserve"> </w:t>
      </w:r>
      <w:r w:rsidRPr="00450CAC">
        <w:rPr>
          <w:rFonts w:eastAsia="Perpetua" w:cs="Perpetua"/>
        </w:rPr>
        <w:t>the</w:t>
      </w:r>
      <w:r w:rsidRPr="00450CAC">
        <w:rPr>
          <w:rFonts w:eastAsia="Perpetua" w:cs="Perpetua"/>
          <w:spacing w:val="28"/>
        </w:rPr>
        <w:t xml:space="preserve"> </w:t>
      </w:r>
      <w:r w:rsidRPr="00450CAC">
        <w:rPr>
          <w:rFonts w:eastAsia="Perpetua" w:cs="Perpetua"/>
        </w:rPr>
        <w:t>tribe</w:t>
      </w:r>
      <w:r w:rsidRPr="00450CAC">
        <w:rPr>
          <w:rFonts w:eastAsia="Perpetua" w:cs="Perpetua"/>
          <w:spacing w:val="28"/>
        </w:rPr>
        <w:t xml:space="preserve"> </w:t>
      </w:r>
      <w:r w:rsidRPr="00450CAC">
        <w:rPr>
          <w:rFonts w:eastAsia="Perpetua" w:cs="Perpetua"/>
        </w:rPr>
        <w:t>of</w:t>
      </w:r>
      <w:r w:rsidRPr="00450CAC">
        <w:rPr>
          <w:rFonts w:eastAsia="Perpetua" w:cs="Perpetua"/>
          <w:spacing w:val="28"/>
        </w:rPr>
        <w:t xml:space="preserve"> </w:t>
      </w:r>
      <w:r w:rsidRPr="00450CAC">
        <w:rPr>
          <w:rFonts w:eastAsia="Perpetua" w:cs="Perpetua"/>
        </w:rPr>
        <w:t>Levi,</w:t>
      </w:r>
      <w:r w:rsidRPr="00450CAC">
        <w:rPr>
          <w:rFonts w:eastAsia="Perpetua" w:cs="Perpetua"/>
          <w:spacing w:val="27"/>
        </w:rPr>
        <w:t xml:space="preserve"> </w:t>
      </w:r>
      <w:r w:rsidRPr="00450CAC">
        <w:rPr>
          <w:rFonts w:eastAsia="Perpetua" w:cs="Perpetua"/>
        </w:rPr>
        <w:t>to</w:t>
      </w:r>
      <w:r w:rsidRPr="00450CAC">
        <w:rPr>
          <w:rFonts w:eastAsia="Perpetua" w:cs="Perpetua"/>
          <w:spacing w:val="37"/>
          <w:w w:val="99"/>
        </w:rPr>
        <w:t xml:space="preserve"> </w:t>
      </w:r>
      <w:r w:rsidRPr="00450CAC">
        <w:rPr>
          <w:rFonts w:eastAsia="Perpetua" w:cs="Perpetua"/>
          <w:spacing w:val="-1"/>
        </w:rPr>
        <w:t>minister</w:t>
      </w:r>
      <w:r w:rsidRPr="00450CAC">
        <w:rPr>
          <w:rFonts w:eastAsia="Perpetua" w:cs="Perpetua"/>
          <w:spacing w:val="10"/>
        </w:rPr>
        <w:t xml:space="preserve"> </w:t>
      </w:r>
      <w:r w:rsidRPr="00450CAC">
        <w:rPr>
          <w:rFonts w:eastAsia="Perpetua" w:cs="Perpetua"/>
          <w:spacing w:val="-1"/>
        </w:rPr>
        <w:t>as</w:t>
      </w:r>
      <w:r w:rsidRPr="00450CAC">
        <w:rPr>
          <w:rFonts w:eastAsia="Perpetua" w:cs="Perpetua"/>
          <w:spacing w:val="10"/>
        </w:rPr>
        <w:t xml:space="preserve"> </w:t>
      </w:r>
      <w:r w:rsidRPr="00450CAC">
        <w:rPr>
          <w:rFonts w:eastAsia="Perpetua" w:cs="Perpetua"/>
          <w:spacing w:val="-1"/>
        </w:rPr>
        <w:t>priests</w:t>
      </w:r>
      <w:r w:rsidRPr="00450CAC">
        <w:rPr>
          <w:rFonts w:eastAsia="Perpetua" w:cs="Perpetua"/>
          <w:spacing w:val="10"/>
        </w:rPr>
        <w:t xml:space="preserve"> </w:t>
      </w:r>
      <w:r w:rsidRPr="00450CAC">
        <w:rPr>
          <w:rFonts w:eastAsia="Perpetua" w:cs="Perpetua"/>
          <w:spacing w:val="-1"/>
        </w:rPr>
        <w:t>to</w:t>
      </w:r>
      <w:r w:rsidRPr="00450CAC">
        <w:rPr>
          <w:rFonts w:eastAsia="Perpetua" w:cs="Perpetua"/>
          <w:spacing w:val="10"/>
        </w:rPr>
        <w:t xml:space="preserve"> </w:t>
      </w:r>
      <w:r w:rsidRPr="00450CAC">
        <w:rPr>
          <w:rFonts w:eastAsia="Perpetua" w:cs="Perpetua"/>
        </w:rPr>
        <w:t>Israel</w:t>
      </w:r>
      <w:r w:rsidRPr="00450CAC">
        <w:rPr>
          <w:rFonts w:eastAsia="Perpetua" w:cs="Perpetua"/>
          <w:spacing w:val="9"/>
        </w:rPr>
        <w:t xml:space="preserve"> </w:t>
      </w:r>
      <w:r w:rsidRPr="00450CAC">
        <w:rPr>
          <w:rFonts w:eastAsia="Perpetua" w:cs="Perpetua"/>
          <w:spacing w:val="-1"/>
        </w:rPr>
        <w:t>after</w:t>
      </w:r>
      <w:r w:rsidRPr="00450CAC">
        <w:rPr>
          <w:rFonts w:eastAsia="Perpetua" w:cs="Perpetua"/>
          <w:spacing w:val="10"/>
        </w:rPr>
        <w:t xml:space="preserve"> </w:t>
      </w:r>
      <w:r w:rsidRPr="00450CAC">
        <w:rPr>
          <w:rFonts w:eastAsia="Perpetua" w:cs="Perpetua"/>
        </w:rPr>
        <w:t>Israel</w:t>
      </w:r>
      <w:r w:rsidRPr="00450CAC">
        <w:rPr>
          <w:rFonts w:eastAsia="Perpetua" w:cs="Perpetua"/>
          <w:spacing w:val="9"/>
        </w:rPr>
        <w:t xml:space="preserve"> </w:t>
      </w:r>
      <w:r w:rsidRPr="00450CAC">
        <w:rPr>
          <w:rFonts w:eastAsia="Perpetua" w:cs="Perpetua"/>
          <w:spacing w:val="-1"/>
        </w:rPr>
        <w:t>violated</w:t>
      </w:r>
      <w:r w:rsidRPr="00450CAC">
        <w:rPr>
          <w:rFonts w:eastAsia="Perpetua" w:cs="Perpetua"/>
          <w:spacing w:val="9"/>
        </w:rPr>
        <w:t xml:space="preserve"> </w:t>
      </w:r>
      <w:r w:rsidRPr="00450CAC">
        <w:rPr>
          <w:rFonts w:eastAsia="Perpetua" w:cs="Perpetua"/>
          <w:spacing w:val="-1"/>
        </w:rPr>
        <w:t>the</w:t>
      </w:r>
      <w:r w:rsidRPr="00450CAC">
        <w:rPr>
          <w:rFonts w:eastAsia="Perpetua" w:cs="Perpetua"/>
          <w:spacing w:val="10"/>
        </w:rPr>
        <w:t xml:space="preserve"> </w:t>
      </w:r>
      <w:r w:rsidRPr="00450CAC">
        <w:rPr>
          <w:rFonts w:eastAsia="Perpetua" w:cs="Perpetua"/>
          <w:spacing w:val="-1"/>
        </w:rPr>
        <w:t>law.</w:t>
      </w:r>
      <w:r>
        <w:rPr>
          <w:rStyle w:val="EndnoteReference"/>
          <w:rFonts w:eastAsia="Perpetua" w:cs="Perpetua"/>
          <w:spacing w:val="-1"/>
        </w:rPr>
        <w:endnoteReference w:id="832"/>
      </w:r>
      <w:r w:rsidRPr="00450CAC">
        <w:rPr>
          <w:rFonts w:eastAsia="Perpetua" w:cs="Perpetua"/>
          <w:spacing w:val="-1"/>
        </w:rPr>
        <w:t xml:space="preserve">  </w:t>
      </w:r>
      <w:r w:rsidRPr="00450CAC">
        <w:rPr>
          <w:rFonts w:eastAsia="Perpetua" w:cs="Perpetua"/>
        </w:rPr>
        <w:t>However,</w:t>
      </w:r>
      <w:r w:rsidRPr="00450CAC">
        <w:rPr>
          <w:rFonts w:eastAsia="Perpetua" w:cs="Perpetua"/>
          <w:spacing w:val="10"/>
        </w:rPr>
        <w:t xml:space="preserve"> </w:t>
      </w:r>
      <w:r w:rsidRPr="00450CAC">
        <w:rPr>
          <w:rFonts w:eastAsia="Perpetua" w:cs="Perpetua"/>
        </w:rPr>
        <w:t>‘the</w:t>
      </w:r>
      <w:r w:rsidRPr="00450CAC">
        <w:rPr>
          <w:rFonts w:eastAsia="Perpetua" w:cs="Perpetua"/>
          <w:spacing w:val="10"/>
        </w:rPr>
        <w:t xml:space="preserve"> </w:t>
      </w:r>
      <w:r w:rsidRPr="00450CAC">
        <w:rPr>
          <w:rFonts w:eastAsia="Perpetua" w:cs="Perpetua"/>
        </w:rPr>
        <w:t>ordinances</w:t>
      </w:r>
      <w:r w:rsidRPr="00450CAC">
        <w:rPr>
          <w:rFonts w:eastAsia="Perpetua" w:cs="Perpetua"/>
          <w:spacing w:val="10"/>
        </w:rPr>
        <w:t xml:space="preserve"> </w:t>
      </w:r>
      <w:r w:rsidRPr="00450CAC">
        <w:rPr>
          <w:rFonts w:eastAsia="Perpetua" w:cs="Perpetua"/>
        </w:rPr>
        <w:t>and</w:t>
      </w:r>
      <w:r w:rsidRPr="00450CAC">
        <w:rPr>
          <w:rFonts w:eastAsia="Perpetua" w:cs="Perpetua"/>
          <w:spacing w:val="11"/>
        </w:rPr>
        <w:t xml:space="preserve"> </w:t>
      </w:r>
      <w:r w:rsidRPr="00450CAC">
        <w:rPr>
          <w:rFonts w:eastAsia="Perpetua" w:cs="Perpetua"/>
        </w:rPr>
        <w:t>sanctuary</w:t>
      </w:r>
      <w:r w:rsidRPr="00450CAC">
        <w:rPr>
          <w:rFonts w:eastAsia="Perpetua" w:cs="Perpetua"/>
          <w:spacing w:val="10"/>
        </w:rPr>
        <w:t xml:space="preserve"> </w:t>
      </w:r>
      <w:r w:rsidRPr="00450CAC">
        <w:rPr>
          <w:rFonts w:eastAsia="Perpetua" w:cs="Perpetua"/>
        </w:rPr>
        <w:t>of</w:t>
      </w:r>
      <w:r w:rsidRPr="00450CAC">
        <w:rPr>
          <w:rFonts w:eastAsia="Perpetua" w:cs="Perpetua"/>
          <w:spacing w:val="10"/>
        </w:rPr>
        <w:t xml:space="preserve"> </w:t>
      </w:r>
      <w:r w:rsidRPr="00450CAC">
        <w:rPr>
          <w:rFonts w:eastAsia="Perpetua" w:cs="Perpetua"/>
        </w:rPr>
        <w:t>the</w:t>
      </w:r>
      <w:r w:rsidRPr="00450CAC">
        <w:rPr>
          <w:rFonts w:eastAsia="Perpetua" w:cs="Perpetua"/>
          <w:spacing w:val="41"/>
          <w:w w:val="99"/>
        </w:rPr>
        <w:t xml:space="preserve"> </w:t>
      </w:r>
      <w:r w:rsidRPr="00450CAC">
        <w:rPr>
          <w:rFonts w:eastAsia="Perpetua" w:cs="Perpetua"/>
        </w:rPr>
        <w:t>old</w:t>
      </w:r>
      <w:r w:rsidRPr="00450CAC">
        <w:rPr>
          <w:rFonts w:eastAsia="Perpetua" w:cs="Perpetua"/>
          <w:spacing w:val="-8"/>
        </w:rPr>
        <w:t xml:space="preserve"> </w:t>
      </w:r>
      <w:r w:rsidRPr="00450CAC">
        <w:rPr>
          <w:rFonts w:eastAsia="Perpetua" w:cs="Perpetua"/>
        </w:rPr>
        <w:t>covenant</w:t>
      </w:r>
      <w:r w:rsidRPr="00450CAC">
        <w:rPr>
          <w:rFonts w:eastAsia="Perpetua" w:cs="Perpetua"/>
          <w:spacing w:val="-6"/>
        </w:rPr>
        <w:t xml:space="preserve"> </w:t>
      </w:r>
      <w:r w:rsidRPr="00450CAC">
        <w:rPr>
          <w:rFonts w:eastAsia="Perpetua" w:cs="Perpetua"/>
        </w:rPr>
        <w:t>were</w:t>
      </w:r>
      <w:r w:rsidRPr="00450CAC">
        <w:rPr>
          <w:rFonts w:eastAsia="Perpetua" w:cs="Perpetua"/>
          <w:spacing w:val="-8"/>
        </w:rPr>
        <w:t xml:space="preserve"> </w:t>
      </w:r>
      <w:r w:rsidRPr="00450CAC">
        <w:rPr>
          <w:rFonts w:eastAsia="Perpetua" w:cs="Perpetua"/>
        </w:rPr>
        <w:t>mere</w:t>
      </w:r>
      <w:r w:rsidRPr="00450CAC">
        <w:rPr>
          <w:rFonts w:eastAsia="Perpetua" w:cs="Perpetua"/>
          <w:spacing w:val="-5"/>
        </w:rPr>
        <w:t xml:space="preserve"> </w:t>
      </w:r>
      <w:r w:rsidRPr="00450CAC">
        <w:rPr>
          <w:rFonts w:eastAsia="Perpetua" w:cs="Perpetua"/>
          <w:spacing w:val="-1"/>
        </w:rPr>
        <w:t>types’.</w:t>
      </w:r>
      <w:r>
        <w:rPr>
          <w:rStyle w:val="EndnoteReference"/>
          <w:rFonts w:eastAsia="Perpetua" w:cs="Perpetua"/>
          <w:spacing w:val="-1"/>
        </w:rPr>
        <w:endnoteReference w:id="833"/>
      </w:r>
      <w:r w:rsidRPr="00450CAC">
        <w:rPr>
          <w:rFonts w:eastAsia="Perpetua" w:cs="Perpetua"/>
          <w:spacing w:val="-1"/>
        </w:rPr>
        <w:t xml:space="preserve">  </w:t>
      </w:r>
    </w:p>
    <w:p w:rsidR="00442D33" w:rsidRDefault="00442D33" w:rsidP="00442D33">
      <w:pPr>
        <w:spacing w:after="120" w:line="360" w:lineRule="auto"/>
        <w:ind w:right="101" w:firstLine="567"/>
        <w:jc w:val="both"/>
        <w:rPr>
          <w:rFonts w:eastAsia="Perpetua" w:cs="Perpetua"/>
          <w:sz w:val="13"/>
          <w:szCs w:val="13"/>
        </w:rPr>
      </w:pPr>
      <w:r>
        <w:rPr>
          <w:rFonts w:eastAsia="Perpetua" w:cs="Perpetua"/>
          <w:spacing w:val="-1"/>
        </w:rPr>
        <w:t xml:space="preserve">Other typical assertions concern </w:t>
      </w:r>
      <w:r w:rsidRPr="00B160E2">
        <w:rPr>
          <w:rFonts w:eastAsia="Perpetua" w:cs="Perpetua"/>
          <w:b/>
          <w:spacing w:val="-1"/>
        </w:rPr>
        <w:t>sin and leprosy</w:t>
      </w:r>
      <w:r>
        <w:rPr>
          <w:rFonts w:eastAsia="Perpetua" w:cs="Perpetua"/>
          <w:spacing w:val="-1"/>
        </w:rPr>
        <w:t>.  ‘Strange</w:t>
      </w:r>
      <w:r>
        <w:rPr>
          <w:rFonts w:eastAsia="Perpetua" w:cs="Perpetua"/>
          <w:spacing w:val="-4"/>
        </w:rPr>
        <w:t xml:space="preserve"> </w:t>
      </w:r>
      <w:r>
        <w:rPr>
          <w:rFonts w:eastAsia="Perpetua" w:cs="Perpetua"/>
        </w:rPr>
        <w:t>fire’</w:t>
      </w:r>
      <w:r>
        <w:rPr>
          <w:rFonts w:eastAsia="Perpetua" w:cs="Perpetua"/>
          <w:spacing w:val="-3"/>
        </w:rPr>
        <w:t xml:space="preserve"> </w:t>
      </w:r>
      <w:r>
        <w:rPr>
          <w:rFonts w:eastAsia="Perpetua" w:cs="Perpetua"/>
          <w:spacing w:val="-1"/>
        </w:rPr>
        <w:t>is</w:t>
      </w:r>
      <w:r>
        <w:rPr>
          <w:rFonts w:eastAsia="Perpetua" w:cs="Perpetua"/>
          <w:spacing w:val="-3"/>
        </w:rPr>
        <w:t xml:space="preserve"> </w:t>
      </w:r>
      <w:r>
        <w:rPr>
          <w:rFonts w:eastAsia="Perpetua" w:cs="Perpetua"/>
        </w:rPr>
        <w:t>said</w:t>
      </w:r>
      <w:r>
        <w:rPr>
          <w:rFonts w:eastAsia="Perpetua" w:cs="Perpetua"/>
          <w:spacing w:val="-3"/>
        </w:rPr>
        <w:t xml:space="preserve"> </w:t>
      </w:r>
      <w:r>
        <w:rPr>
          <w:rFonts w:eastAsia="Perpetua" w:cs="Perpetua"/>
        </w:rPr>
        <w:t>to</w:t>
      </w:r>
      <w:r>
        <w:rPr>
          <w:rFonts w:eastAsia="Perpetua" w:cs="Perpetua"/>
          <w:spacing w:val="-4"/>
        </w:rPr>
        <w:t xml:space="preserve"> </w:t>
      </w:r>
      <w:r>
        <w:rPr>
          <w:rFonts w:eastAsia="Perpetua" w:cs="Perpetua"/>
          <w:spacing w:val="-1"/>
        </w:rPr>
        <w:t>typify</w:t>
      </w:r>
      <w:r>
        <w:rPr>
          <w:rFonts w:eastAsia="Perpetua" w:cs="Perpetua"/>
          <w:spacing w:val="-3"/>
        </w:rPr>
        <w:t xml:space="preserve"> </w:t>
      </w:r>
      <w:r>
        <w:rPr>
          <w:rFonts w:eastAsia="Perpetua" w:cs="Perpetua"/>
          <w:spacing w:val="-1"/>
        </w:rPr>
        <w:t>‘any</w:t>
      </w:r>
      <w:r>
        <w:rPr>
          <w:rFonts w:eastAsia="Perpetua" w:cs="Perpetua"/>
          <w:spacing w:val="-4"/>
        </w:rPr>
        <w:t xml:space="preserve"> </w:t>
      </w:r>
      <w:r>
        <w:rPr>
          <w:rFonts w:eastAsia="Perpetua" w:cs="Perpetua"/>
          <w:spacing w:val="-1"/>
        </w:rPr>
        <w:t>use</w:t>
      </w:r>
      <w:r>
        <w:rPr>
          <w:rFonts w:eastAsia="Perpetua" w:cs="Perpetua"/>
          <w:spacing w:val="-4"/>
        </w:rPr>
        <w:t xml:space="preserve"> </w:t>
      </w:r>
      <w:r>
        <w:rPr>
          <w:rFonts w:eastAsia="Perpetua" w:cs="Perpetua"/>
          <w:spacing w:val="-1"/>
        </w:rPr>
        <w:t>of</w:t>
      </w:r>
      <w:r>
        <w:rPr>
          <w:rFonts w:eastAsia="Perpetua" w:cs="Perpetua"/>
          <w:spacing w:val="-3"/>
        </w:rPr>
        <w:t xml:space="preserve"> </w:t>
      </w:r>
      <w:r>
        <w:rPr>
          <w:rFonts w:eastAsia="Perpetua" w:cs="Perpetua"/>
        </w:rPr>
        <w:t>carnal</w:t>
      </w:r>
      <w:r>
        <w:rPr>
          <w:rFonts w:eastAsia="Perpetua" w:cs="Perpetua"/>
          <w:spacing w:val="-4"/>
        </w:rPr>
        <w:t xml:space="preserve"> </w:t>
      </w:r>
      <w:r>
        <w:rPr>
          <w:rFonts w:eastAsia="Perpetua" w:cs="Perpetua"/>
        </w:rPr>
        <w:t>means</w:t>
      </w:r>
      <w:r>
        <w:rPr>
          <w:rFonts w:eastAsia="Perpetua" w:cs="Perpetua"/>
          <w:spacing w:val="-3"/>
        </w:rPr>
        <w:t xml:space="preserve"> </w:t>
      </w:r>
      <w:r>
        <w:rPr>
          <w:rFonts w:eastAsia="Perpetua" w:cs="Perpetua"/>
        </w:rPr>
        <w:t>to</w:t>
      </w:r>
      <w:r>
        <w:rPr>
          <w:rFonts w:eastAsia="Perpetua" w:cs="Perpetua"/>
          <w:spacing w:val="-2"/>
        </w:rPr>
        <w:t xml:space="preserve"> </w:t>
      </w:r>
      <w:r>
        <w:rPr>
          <w:rFonts w:eastAsia="Perpetua" w:cs="Perpetua"/>
        </w:rPr>
        <w:t>kindle</w:t>
      </w:r>
      <w:r>
        <w:rPr>
          <w:rFonts w:eastAsia="Perpetua" w:cs="Perpetua"/>
          <w:spacing w:val="-4"/>
        </w:rPr>
        <w:t xml:space="preserve"> </w:t>
      </w:r>
      <w:r>
        <w:rPr>
          <w:rFonts w:eastAsia="Perpetua" w:cs="Perpetua"/>
        </w:rPr>
        <w:t>the</w:t>
      </w:r>
      <w:r>
        <w:rPr>
          <w:rFonts w:eastAsia="Perpetua" w:cs="Perpetua"/>
          <w:spacing w:val="-5"/>
        </w:rPr>
        <w:t xml:space="preserve"> </w:t>
      </w:r>
      <w:r>
        <w:rPr>
          <w:rFonts w:eastAsia="Perpetua" w:cs="Perpetua"/>
        </w:rPr>
        <w:t>fire</w:t>
      </w:r>
      <w:r>
        <w:rPr>
          <w:rFonts w:eastAsia="Perpetua" w:cs="Perpetua"/>
          <w:spacing w:val="-4"/>
        </w:rPr>
        <w:t xml:space="preserve"> </w:t>
      </w:r>
      <w:r>
        <w:rPr>
          <w:rFonts w:eastAsia="Perpetua" w:cs="Perpetua"/>
        </w:rPr>
        <w:t>of</w:t>
      </w:r>
      <w:r>
        <w:rPr>
          <w:rFonts w:eastAsia="Perpetua" w:cs="Perpetua"/>
          <w:spacing w:val="-4"/>
        </w:rPr>
        <w:t xml:space="preserve"> </w:t>
      </w:r>
      <w:r>
        <w:rPr>
          <w:rFonts w:eastAsia="Perpetua" w:cs="Perpetua"/>
        </w:rPr>
        <w:t>devotion</w:t>
      </w:r>
      <w:r>
        <w:rPr>
          <w:rFonts w:eastAsia="Perpetua" w:cs="Perpetua"/>
          <w:spacing w:val="-2"/>
        </w:rPr>
        <w:t xml:space="preserve"> </w:t>
      </w:r>
      <w:r>
        <w:rPr>
          <w:rFonts w:eastAsia="Perpetua" w:cs="Perpetua"/>
        </w:rPr>
        <w:t>and</w:t>
      </w:r>
      <w:r>
        <w:rPr>
          <w:rFonts w:eastAsia="Perpetua" w:cs="Perpetua"/>
          <w:spacing w:val="-4"/>
        </w:rPr>
        <w:t xml:space="preserve"> </w:t>
      </w:r>
      <w:r>
        <w:rPr>
          <w:rFonts w:eastAsia="Perpetua" w:cs="Perpetua"/>
        </w:rPr>
        <w:t>praise’.</w:t>
      </w:r>
      <w:r>
        <w:rPr>
          <w:rStyle w:val="EndnoteReference"/>
          <w:rFonts w:eastAsia="Perpetua" w:cs="Perpetua"/>
        </w:rPr>
        <w:endnoteReference w:id="834"/>
      </w:r>
      <w:r w:rsidRPr="00745F1D">
        <w:t xml:space="preserve">  </w:t>
      </w:r>
      <w:r>
        <w:rPr>
          <w:rFonts w:eastAsia="Perpetua" w:cs="Perpetua"/>
        </w:rPr>
        <w:t>Leprosy</w:t>
      </w:r>
      <w:r>
        <w:rPr>
          <w:rFonts w:eastAsia="Perpetua" w:cs="Perpetua"/>
          <w:spacing w:val="-2"/>
        </w:rPr>
        <w:t xml:space="preserve"> </w:t>
      </w:r>
      <w:r>
        <w:rPr>
          <w:rFonts w:eastAsia="Perpetua" w:cs="Perpetua"/>
        </w:rPr>
        <w:t>is</w:t>
      </w:r>
      <w:r>
        <w:rPr>
          <w:rFonts w:eastAsia="Perpetua" w:cs="Perpetua"/>
          <w:spacing w:val="25"/>
          <w:w w:val="99"/>
        </w:rPr>
        <w:t xml:space="preserve"> </w:t>
      </w:r>
      <w:r>
        <w:rPr>
          <w:rFonts w:eastAsia="Perpetua" w:cs="Perpetua"/>
        </w:rPr>
        <w:t>‘a</w:t>
      </w:r>
      <w:r>
        <w:rPr>
          <w:rFonts w:eastAsia="Perpetua" w:cs="Perpetua"/>
          <w:spacing w:val="29"/>
        </w:rPr>
        <w:t xml:space="preserve"> </w:t>
      </w:r>
      <w:r>
        <w:rPr>
          <w:rFonts w:eastAsia="Perpetua" w:cs="Perpetua"/>
          <w:spacing w:val="-1"/>
        </w:rPr>
        <w:t>type</w:t>
      </w:r>
      <w:r>
        <w:rPr>
          <w:rFonts w:eastAsia="Perpetua" w:cs="Perpetua"/>
          <w:spacing w:val="29"/>
        </w:rPr>
        <w:t xml:space="preserve"> </w:t>
      </w:r>
      <w:r>
        <w:rPr>
          <w:rFonts w:eastAsia="Perpetua" w:cs="Perpetua"/>
          <w:spacing w:val="-1"/>
        </w:rPr>
        <w:t>of</w:t>
      </w:r>
      <w:r>
        <w:rPr>
          <w:rFonts w:eastAsia="Perpetua" w:cs="Perpetua"/>
          <w:spacing w:val="30"/>
        </w:rPr>
        <w:t xml:space="preserve"> </w:t>
      </w:r>
      <w:r>
        <w:rPr>
          <w:rFonts w:eastAsia="Perpetua" w:cs="Perpetua"/>
        </w:rPr>
        <w:t>sin’,</w:t>
      </w:r>
      <w:r>
        <w:rPr>
          <w:rStyle w:val="EndnoteReference"/>
          <w:rFonts w:eastAsia="Perpetua" w:cs="Perpetua"/>
        </w:rPr>
        <w:endnoteReference w:id="835"/>
      </w:r>
      <w:r>
        <w:rPr>
          <w:rFonts w:eastAsia="Perpetua" w:cs="Perpetua"/>
          <w:spacing w:val="20"/>
          <w:position w:val="9"/>
          <w:sz w:val="13"/>
          <w:szCs w:val="13"/>
        </w:rPr>
        <w:t xml:space="preserve"> </w:t>
      </w:r>
      <w:r>
        <w:rPr>
          <w:rFonts w:eastAsia="Perpetua" w:cs="Perpetua"/>
          <w:spacing w:val="-1"/>
        </w:rPr>
        <w:t xml:space="preserve"> its</w:t>
      </w:r>
      <w:r>
        <w:rPr>
          <w:rFonts w:eastAsia="Perpetua" w:cs="Perpetua"/>
          <w:spacing w:val="29"/>
        </w:rPr>
        <w:t xml:space="preserve"> </w:t>
      </w:r>
      <w:r>
        <w:rPr>
          <w:rFonts w:eastAsia="Perpetua" w:cs="Perpetua"/>
          <w:spacing w:val="-1"/>
        </w:rPr>
        <w:t>anti-types,</w:t>
      </w:r>
      <w:r>
        <w:rPr>
          <w:rFonts w:eastAsia="Perpetua" w:cs="Perpetua"/>
          <w:spacing w:val="31"/>
        </w:rPr>
        <w:t xml:space="preserve"> </w:t>
      </w:r>
      <w:r>
        <w:rPr>
          <w:rFonts w:eastAsia="Perpetua" w:cs="Perpetua"/>
          <w:spacing w:val="-1"/>
        </w:rPr>
        <w:t>as</w:t>
      </w:r>
      <w:r>
        <w:rPr>
          <w:rFonts w:eastAsia="Perpetua" w:cs="Perpetua"/>
          <w:spacing w:val="30"/>
        </w:rPr>
        <w:t xml:space="preserve"> </w:t>
      </w:r>
      <w:r>
        <w:rPr>
          <w:rFonts w:eastAsia="Perpetua" w:cs="Perpetua"/>
          <w:spacing w:val="-1"/>
        </w:rPr>
        <w:t>applied</w:t>
      </w:r>
      <w:r>
        <w:rPr>
          <w:rFonts w:eastAsia="Perpetua" w:cs="Perpetua"/>
          <w:spacing w:val="30"/>
        </w:rPr>
        <w:t xml:space="preserve"> </w:t>
      </w:r>
      <w:r>
        <w:rPr>
          <w:rFonts w:eastAsia="Perpetua" w:cs="Perpetua"/>
          <w:spacing w:val="-1"/>
        </w:rPr>
        <w:t>to</w:t>
      </w:r>
      <w:r>
        <w:rPr>
          <w:rFonts w:eastAsia="Perpetua" w:cs="Perpetua"/>
          <w:spacing w:val="31"/>
        </w:rPr>
        <w:t xml:space="preserve"> </w:t>
      </w:r>
      <w:r>
        <w:rPr>
          <w:rFonts w:eastAsia="Perpetua" w:cs="Perpetua"/>
        </w:rPr>
        <w:t>God’s</w:t>
      </w:r>
      <w:r>
        <w:rPr>
          <w:rFonts w:eastAsia="Perpetua" w:cs="Perpetua"/>
          <w:spacing w:val="29"/>
        </w:rPr>
        <w:t xml:space="preserve"> </w:t>
      </w:r>
      <w:r>
        <w:rPr>
          <w:rFonts w:eastAsia="Perpetua" w:cs="Perpetua"/>
        </w:rPr>
        <w:t>people,</w:t>
      </w:r>
      <w:r>
        <w:rPr>
          <w:rFonts w:eastAsia="Perpetua" w:cs="Perpetua"/>
          <w:spacing w:val="30"/>
        </w:rPr>
        <w:t xml:space="preserve"> </w:t>
      </w:r>
      <w:r>
        <w:rPr>
          <w:rFonts w:eastAsia="Perpetua" w:cs="Perpetua"/>
        </w:rPr>
        <w:t>being</w:t>
      </w:r>
      <w:r>
        <w:rPr>
          <w:rFonts w:eastAsia="Perpetua" w:cs="Perpetua"/>
          <w:spacing w:val="31"/>
        </w:rPr>
        <w:t xml:space="preserve"> </w:t>
      </w:r>
      <w:r>
        <w:rPr>
          <w:rFonts w:eastAsia="Perpetua" w:cs="Perpetua"/>
        </w:rPr>
        <w:t>‘“sin”,</w:t>
      </w:r>
      <w:r>
        <w:rPr>
          <w:rFonts w:eastAsia="Perpetua" w:cs="Perpetua"/>
          <w:spacing w:val="30"/>
        </w:rPr>
        <w:t xml:space="preserve"> </w:t>
      </w:r>
      <w:r>
        <w:rPr>
          <w:rFonts w:eastAsia="Perpetua" w:cs="Perpetua"/>
        </w:rPr>
        <w:t>demanding</w:t>
      </w:r>
      <w:r>
        <w:rPr>
          <w:rFonts w:eastAsia="Perpetua" w:cs="Perpetua"/>
          <w:spacing w:val="30"/>
        </w:rPr>
        <w:t xml:space="preserve"> </w:t>
      </w:r>
      <w:r>
        <w:rPr>
          <w:rFonts w:eastAsia="Perpetua" w:cs="Perpetua"/>
        </w:rPr>
        <w:t>self-judgment</w:t>
      </w:r>
      <w:r>
        <w:rPr>
          <w:rStyle w:val="EndnoteReference"/>
          <w:rFonts w:eastAsia="Perpetua" w:cs="Perpetua"/>
        </w:rPr>
        <w:endnoteReference w:id="836"/>
      </w:r>
      <w:r>
        <w:t xml:space="preserve"> </w:t>
      </w:r>
      <w:r>
        <w:rPr>
          <w:rFonts w:eastAsia="Perpetua" w:cs="Perpetua"/>
          <w:spacing w:val="19"/>
          <w:position w:val="9"/>
          <w:sz w:val="13"/>
          <w:szCs w:val="13"/>
        </w:rPr>
        <w:t xml:space="preserve"> </w:t>
      </w:r>
      <w:r>
        <w:rPr>
          <w:rFonts w:eastAsia="Perpetua" w:cs="Perpetua"/>
        </w:rPr>
        <w:t>and</w:t>
      </w:r>
      <w:r>
        <w:rPr>
          <w:rFonts w:eastAsia="Perpetua" w:cs="Perpetua"/>
          <w:spacing w:val="24"/>
          <w:w w:val="99"/>
        </w:rPr>
        <w:t xml:space="preserve"> </w:t>
      </w:r>
      <w:r>
        <w:rPr>
          <w:rFonts w:eastAsia="Perpetua" w:cs="Perpetua"/>
        </w:rPr>
        <w:t>“sins”,</w:t>
      </w:r>
      <w:r>
        <w:rPr>
          <w:rFonts w:eastAsia="Perpetua" w:cs="Perpetua"/>
          <w:spacing w:val="4"/>
        </w:rPr>
        <w:t xml:space="preserve"> </w:t>
      </w:r>
      <w:r>
        <w:rPr>
          <w:rFonts w:eastAsia="Perpetua" w:cs="Perpetua"/>
        </w:rPr>
        <w:t>demanding</w:t>
      </w:r>
      <w:r>
        <w:rPr>
          <w:rFonts w:eastAsia="Perpetua" w:cs="Perpetua"/>
          <w:spacing w:val="4"/>
        </w:rPr>
        <w:t xml:space="preserve"> </w:t>
      </w:r>
      <w:r>
        <w:rPr>
          <w:rFonts w:eastAsia="Perpetua" w:cs="Perpetua"/>
        </w:rPr>
        <w:t>confession</w:t>
      </w:r>
      <w:r>
        <w:rPr>
          <w:rFonts w:eastAsia="Perpetua" w:cs="Perpetua"/>
          <w:spacing w:val="5"/>
        </w:rPr>
        <w:t xml:space="preserve"> </w:t>
      </w:r>
      <w:r>
        <w:rPr>
          <w:rFonts w:eastAsia="Perpetua" w:cs="Perpetua"/>
          <w:spacing w:val="-1"/>
        </w:rPr>
        <w:t>and</w:t>
      </w:r>
      <w:r>
        <w:rPr>
          <w:rFonts w:eastAsia="Perpetua" w:cs="Perpetua"/>
          <w:spacing w:val="4"/>
        </w:rPr>
        <w:t xml:space="preserve"> </w:t>
      </w:r>
      <w:r>
        <w:rPr>
          <w:rFonts w:eastAsia="Perpetua" w:cs="Perpetua"/>
          <w:spacing w:val="-1"/>
        </w:rPr>
        <w:t>cleansing’.</w:t>
      </w:r>
      <w:r>
        <w:rPr>
          <w:rStyle w:val="EndnoteReference"/>
          <w:rFonts w:eastAsia="Perpetua" w:cs="Perpetua"/>
          <w:spacing w:val="-1"/>
        </w:rPr>
        <w:endnoteReference w:id="837"/>
      </w:r>
      <w:r>
        <w:rPr>
          <w:rFonts w:eastAsia="Perpetua" w:cs="Perpetua"/>
          <w:spacing w:val="-1"/>
        </w:rPr>
        <w:t xml:space="preserve">  </w:t>
      </w:r>
      <w:r>
        <w:rPr>
          <w:rFonts w:eastAsia="Perpetua" w:cs="Perpetua"/>
        </w:rPr>
        <w:t>The</w:t>
      </w:r>
      <w:r>
        <w:rPr>
          <w:rFonts w:eastAsia="Perpetua" w:cs="Perpetua"/>
          <w:spacing w:val="4"/>
        </w:rPr>
        <w:t xml:space="preserve"> </w:t>
      </w:r>
      <w:r>
        <w:rPr>
          <w:rFonts w:eastAsia="Perpetua" w:cs="Perpetua"/>
        </w:rPr>
        <w:t>instructions</w:t>
      </w:r>
      <w:r>
        <w:rPr>
          <w:rFonts w:eastAsia="Perpetua" w:cs="Perpetua"/>
          <w:spacing w:val="5"/>
        </w:rPr>
        <w:t xml:space="preserve"> </w:t>
      </w:r>
      <w:r>
        <w:rPr>
          <w:rFonts w:eastAsia="Perpetua" w:cs="Perpetua"/>
        </w:rPr>
        <w:t>for</w:t>
      </w:r>
      <w:r>
        <w:rPr>
          <w:rFonts w:eastAsia="Perpetua" w:cs="Perpetua"/>
          <w:spacing w:val="4"/>
        </w:rPr>
        <w:t xml:space="preserve"> </w:t>
      </w:r>
      <w:r>
        <w:rPr>
          <w:rFonts w:eastAsia="Perpetua" w:cs="Perpetua"/>
        </w:rPr>
        <w:t>priestly</w:t>
      </w:r>
      <w:r>
        <w:rPr>
          <w:rFonts w:eastAsia="Perpetua" w:cs="Perpetua"/>
          <w:spacing w:val="4"/>
        </w:rPr>
        <w:t xml:space="preserve"> </w:t>
      </w:r>
      <w:r>
        <w:rPr>
          <w:rFonts w:eastAsia="Perpetua" w:cs="Perpetua"/>
          <w:spacing w:val="-1"/>
        </w:rPr>
        <w:t>treatment</w:t>
      </w:r>
      <w:r>
        <w:rPr>
          <w:rFonts w:eastAsia="Perpetua" w:cs="Perpetua"/>
          <w:spacing w:val="5"/>
        </w:rPr>
        <w:t xml:space="preserve"> </w:t>
      </w:r>
      <w:r>
        <w:rPr>
          <w:rFonts w:eastAsia="Perpetua" w:cs="Perpetua"/>
          <w:spacing w:val="-1"/>
        </w:rPr>
        <w:t>of</w:t>
      </w:r>
      <w:r>
        <w:rPr>
          <w:rFonts w:eastAsia="Perpetua" w:cs="Perpetua"/>
          <w:spacing w:val="4"/>
        </w:rPr>
        <w:t xml:space="preserve"> </w:t>
      </w:r>
      <w:r>
        <w:rPr>
          <w:rFonts w:eastAsia="Perpetua" w:cs="Perpetua"/>
          <w:spacing w:val="-1"/>
        </w:rPr>
        <w:t>lepers</w:t>
      </w:r>
      <w:r>
        <w:rPr>
          <w:rFonts w:eastAsia="Perpetua" w:cs="Perpetua"/>
          <w:spacing w:val="5"/>
        </w:rPr>
        <w:t xml:space="preserve"> </w:t>
      </w:r>
      <w:r>
        <w:rPr>
          <w:rFonts w:eastAsia="Perpetua" w:cs="Perpetua"/>
          <w:spacing w:val="-1"/>
        </w:rPr>
        <w:t>are</w:t>
      </w:r>
      <w:r>
        <w:rPr>
          <w:rFonts w:eastAsia="Perpetua" w:cs="Perpetua"/>
          <w:spacing w:val="4"/>
        </w:rPr>
        <w:t xml:space="preserve"> </w:t>
      </w:r>
      <w:r>
        <w:rPr>
          <w:rFonts w:eastAsia="Perpetua" w:cs="Perpetua"/>
          <w:spacing w:val="-1"/>
        </w:rPr>
        <w:t>‘a</w:t>
      </w:r>
      <w:r>
        <w:rPr>
          <w:rFonts w:eastAsia="Perpetua" w:cs="Perpetua"/>
          <w:spacing w:val="5"/>
        </w:rPr>
        <w:t xml:space="preserve"> </w:t>
      </w:r>
      <w:r>
        <w:rPr>
          <w:rFonts w:eastAsia="Perpetua" w:cs="Perpetua"/>
        </w:rPr>
        <w:t>type</w:t>
      </w:r>
      <w:r>
        <w:rPr>
          <w:rFonts w:eastAsia="Perpetua" w:cs="Perpetua"/>
          <w:spacing w:val="43"/>
          <w:w w:val="99"/>
        </w:rPr>
        <w:t xml:space="preserve"> </w:t>
      </w:r>
      <w:r>
        <w:rPr>
          <w:rFonts w:eastAsia="Perpetua" w:cs="Perpetua"/>
        </w:rPr>
        <w:t>for</w:t>
      </w:r>
      <w:r>
        <w:rPr>
          <w:rFonts w:eastAsia="Perpetua" w:cs="Perpetua"/>
          <w:spacing w:val="6"/>
        </w:rPr>
        <w:t xml:space="preserve"> </w:t>
      </w:r>
      <w:r>
        <w:rPr>
          <w:rFonts w:eastAsia="Perpetua" w:cs="Perpetua"/>
        </w:rPr>
        <w:t>Gospel</w:t>
      </w:r>
      <w:r>
        <w:rPr>
          <w:rFonts w:eastAsia="Perpetua" w:cs="Perpetua"/>
          <w:spacing w:val="7"/>
        </w:rPr>
        <w:t xml:space="preserve"> </w:t>
      </w:r>
      <w:r>
        <w:rPr>
          <w:rFonts w:eastAsia="Perpetua" w:cs="Perpetua"/>
          <w:spacing w:val="-1"/>
        </w:rPr>
        <w:t>Salvation’.</w:t>
      </w:r>
      <w:r>
        <w:rPr>
          <w:rStyle w:val="EndnoteReference"/>
          <w:rFonts w:eastAsia="Perpetua" w:cs="Perpetua"/>
          <w:spacing w:val="-1"/>
        </w:rPr>
        <w:endnoteReference w:id="838"/>
      </w:r>
      <w:r>
        <w:rPr>
          <w:rFonts w:eastAsia="Perpetua" w:cs="Perpetua"/>
          <w:spacing w:val="-1"/>
        </w:rPr>
        <w:t xml:space="preserve">  </w:t>
      </w:r>
      <w:r>
        <w:rPr>
          <w:rFonts w:eastAsia="Perpetua" w:cs="Perpetua"/>
          <w:spacing w:val="-1"/>
        </w:rPr>
        <w:lastRenderedPageBreak/>
        <w:t>However,</w:t>
      </w:r>
      <w:r>
        <w:rPr>
          <w:rFonts w:eastAsia="Perpetua" w:cs="Perpetua"/>
          <w:spacing w:val="8"/>
        </w:rPr>
        <w:t xml:space="preserve"> </w:t>
      </w:r>
      <w:r>
        <w:rPr>
          <w:rFonts w:eastAsia="Perpetua" w:cs="Perpetua"/>
          <w:spacing w:val="-1"/>
        </w:rPr>
        <w:t>Scofield</w:t>
      </w:r>
      <w:r>
        <w:rPr>
          <w:rFonts w:eastAsia="Perpetua" w:cs="Perpetua"/>
          <w:spacing w:val="6"/>
        </w:rPr>
        <w:t xml:space="preserve"> </w:t>
      </w:r>
      <w:r>
        <w:rPr>
          <w:rFonts w:eastAsia="Perpetua" w:cs="Perpetua"/>
          <w:spacing w:val="-1"/>
        </w:rPr>
        <w:t>criticises</w:t>
      </w:r>
      <w:r>
        <w:rPr>
          <w:rFonts w:eastAsia="Perpetua" w:cs="Perpetua"/>
          <w:spacing w:val="8"/>
        </w:rPr>
        <w:t xml:space="preserve"> </w:t>
      </w:r>
      <w:r>
        <w:rPr>
          <w:rFonts w:eastAsia="Perpetua" w:cs="Perpetua"/>
          <w:spacing w:val="-1"/>
        </w:rPr>
        <w:t>the</w:t>
      </w:r>
      <w:r>
        <w:rPr>
          <w:rFonts w:eastAsia="Perpetua" w:cs="Perpetua"/>
          <w:spacing w:val="6"/>
        </w:rPr>
        <w:t xml:space="preserve"> </w:t>
      </w:r>
      <w:r>
        <w:rPr>
          <w:rFonts w:eastAsia="Perpetua" w:cs="Perpetua"/>
          <w:spacing w:val="-1"/>
        </w:rPr>
        <w:t>self-righteousness</w:t>
      </w:r>
      <w:r>
        <w:rPr>
          <w:rFonts w:eastAsia="Perpetua" w:cs="Perpetua"/>
          <w:spacing w:val="7"/>
        </w:rPr>
        <w:t xml:space="preserve"> </w:t>
      </w:r>
      <w:r>
        <w:rPr>
          <w:rFonts w:eastAsia="Perpetua" w:cs="Perpetua"/>
        </w:rPr>
        <w:t>and</w:t>
      </w:r>
      <w:r>
        <w:rPr>
          <w:rFonts w:eastAsia="Perpetua" w:cs="Perpetua"/>
          <w:spacing w:val="7"/>
        </w:rPr>
        <w:t xml:space="preserve"> </w:t>
      </w:r>
      <w:r>
        <w:rPr>
          <w:rFonts w:eastAsia="Perpetua" w:cs="Perpetua"/>
        </w:rPr>
        <w:t>cruelty</w:t>
      </w:r>
      <w:r>
        <w:rPr>
          <w:rFonts w:eastAsia="Perpetua" w:cs="Perpetua"/>
          <w:spacing w:val="6"/>
        </w:rPr>
        <w:t xml:space="preserve"> </w:t>
      </w:r>
      <w:r>
        <w:rPr>
          <w:rFonts w:eastAsia="Perpetua" w:cs="Perpetua"/>
        </w:rPr>
        <w:t>of</w:t>
      </w:r>
      <w:r>
        <w:rPr>
          <w:rFonts w:eastAsia="Perpetua" w:cs="Perpetua"/>
          <w:spacing w:val="7"/>
        </w:rPr>
        <w:t xml:space="preserve"> </w:t>
      </w:r>
      <w:r>
        <w:rPr>
          <w:rFonts w:eastAsia="Perpetua" w:cs="Perpetua"/>
        </w:rPr>
        <w:t>applying</w:t>
      </w:r>
      <w:r>
        <w:rPr>
          <w:rFonts w:eastAsia="Perpetua" w:cs="Perpetua"/>
          <w:spacing w:val="73"/>
          <w:w w:val="99"/>
        </w:rPr>
        <w:t xml:space="preserve"> </w:t>
      </w:r>
      <w:r>
        <w:rPr>
          <w:rFonts w:eastAsia="Perpetua" w:cs="Perpetua"/>
          <w:spacing w:val="-1"/>
        </w:rPr>
        <w:t>regulations</w:t>
      </w:r>
      <w:r>
        <w:rPr>
          <w:rFonts w:eastAsia="Perpetua" w:cs="Perpetua"/>
          <w:spacing w:val="-7"/>
        </w:rPr>
        <w:t xml:space="preserve"> </w:t>
      </w:r>
      <w:r>
        <w:rPr>
          <w:rFonts w:eastAsia="Perpetua" w:cs="Perpetua"/>
          <w:spacing w:val="-1"/>
        </w:rPr>
        <w:t>about</w:t>
      </w:r>
      <w:r>
        <w:rPr>
          <w:rFonts w:eastAsia="Perpetua" w:cs="Perpetua"/>
          <w:spacing w:val="-6"/>
        </w:rPr>
        <w:t xml:space="preserve"> </w:t>
      </w:r>
      <w:r>
        <w:rPr>
          <w:rFonts w:eastAsia="Perpetua" w:cs="Perpetua"/>
          <w:spacing w:val="-1"/>
        </w:rPr>
        <w:t>leprosy</w:t>
      </w:r>
      <w:r>
        <w:rPr>
          <w:rFonts w:eastAsia="Perpetua" w:cs="Perpetua"/>
          <w:spacing w:val="-6"/>
        </w:rPr>
        <w:t xml:space="preserve"> </w:t>
      </w:r>
      <w:r>
        <w:rPr>
          <w:rFonts w:eastAsia="Perpetua" w:cs="Perpetua"/>
        </w:rPr>
        <w:t>to</w:t>
      </w:r>
      <w:r>
        <w:rPr>
          <w:rFonts w:eastAsia="Perpetua" w:cs="Perpetua"/>
          <w:spacing w:val="-6"/>
        </w:rPr>
        <w:t xml:space="preserve"> </w:t>
      </w:r>
      <w:r>
        <w:rPr>
          <w:rFonts w:eastAsia="Perpetua" w:cs="Perpetua"/>
        </w:rPr>
        <w:t>discipline</w:t>
      </w:r>
      <w:r>
        <w:rPr>
          <w:rFonts w:eastAsia="Perpetua" w:cs="Perpetua"/>
          <w:spacing w:val="-6"/>
        </w:rPr>
        <w:t xml:space="preserve"> </w:t>
      </w:r>
      <w:r>
        <w:rPr>
          <w:rFonts w:eastAsia="Perpetua" w:cs="Perpetua"/>
        </w:rPr>
        <w:t>in</w:t>
      </w:r>
      <w:r>
        <w:rPr>
          <w:rFonts w:eastAsia="Perpetua" w:cs="Perpetua"/>
          <w:spacing w:val="-7"/>
        </w:rPr>
        <w:t xml:space="preserve"> </w:t>
      </w:r>
      <w:r>
        <w:rPr>
          <w:rFonts w:eastAsia="Perpetua" w:cs="Perpetua"/>
        </w:rPr>
        <w:t>the</w:t>
      </w:r>
      <w:r>
        <w:rPr>
          <w:rFonts w:eastAsia="Perpetua" w:cs="Perpetua"/>
          <w:spacing w:val="-6"/>
        </w:rPr>
        <w:t xml:space="preserve"> </w:t>
      </w:r>
      <w:r>
        <w:rPr>
          <w:rFonts w:eastAsia="Perpetua" w:cs="Perpetua"/>
          <w:spacing w:val="-1"/>
        </w:rPr>
        <w:t>local</w:t>
      </w:r>
      <w:r>
        <w:rPr>
          <w:rFonts w:eastAsia="Perpetua" w:cs="Perpetua"/>
          <w:spacing w:val="-6"/>
        </w:rPr>
        <w:t xml:space="preserve"> </w:t>
      </w:r>
      <w:r>
        <w:rPr>
          <w:rFonts w:eastAsia="Perpetua" w:cs="Perpetua"/>
        </w:rPr>
        <w:t>church.</w:t>
      </w:r>
      <w:r>
        <w:rPr>
          <w:rStyle w:val="EndnoteReference"/>
          <w:rFonts w:eastAsia="Perpetua" w:cs="Perpetua"/>
        </w:rPr>
        <w:endnoteReference w:id="839"/>
      </w:r>
    </w:p>
    <w:p w:rsidR="00442D33" w:rsidRDefault="00442D33" w:rsidP="00442D33">
      <w:pPr>
        <w:spacing w:after="120" w:line="360" w:lineRule="auto"/>
        <w:ind w:right="100" w:firstLine="567"/>
        <w:jc w:val="both"/>
        <w:rPr>
          <w:rFonts w:eastAsia="Perpetua" w:cs="Perpetua"/>
          <w:sz w:val="13"/>
          <w:szCs w:val="13"/>
        </w:rPr>
      </w:pPr>
      <w:r>
        <w:rPr>
          <w:rFonts w:eastAsia="Perpetua" w:cs="Perpetua"/>
        </w:rPr>
        <w:t>Several</w:t>
      </w:r>
      <w:r>
        <w:rPr>
          <w:rFonts w:eastAsia="Perpetua" w:cs="Perpetua"/>
          <w:spacing w:val="22"/>
        </w:rPr>
        <w:t xml:space="preserve"> </w:t>
      </w:r>
      <w:r>
        <w:rPr>
          <w:rFonts w:eastAsia="Perpetua" w:cs="Perpetua"/>
          <w:spacing w:val="-1"/>
        </w:rPr>
        <w:t>points</w:t>
      </w:r>
      <w:r>
        <w:rPr>
          <w:rFonts w:eastAsia="Perpetua" w:cs="Perpetua"/>
          <w:spacing w:val="25"/>
        </w:rPr>
        <w:t xml:space="preserve"> </w:t>
      </w:r>
      <w:r>
        <w:rPr>
          <w:rFonts w:eastAsia="Perpetua" w:cs="Perpetua"/>
          <w:spacing w:val="-1"/>
        </w:rPr>
        <w:t>of</w:t>
      </w:r>
      <w:r>
        <w:rPr>
          <w:rFonts w:eastAsia="Perpetua" w:cs="Perpetua"/>
          <w:spacing w:val="24"/>
        </w:rPr>
        <w:t xml:space="preserve"> </w:t>
      </w:r>
      <w:r>
        <w:rPr>
          <w:rFonts w:eastAsia="Perpetua" w:cs="Perpetua"/>
        </w:rPr>
        <w:t>commentary</w:t>
      </w:r>
      <w:r>
        <w:rPr>
          <w:rFonts w:eastAsia="Perpetua" w:cs="Perpetua"/>
          <w:spacing w:val="22"/>
        </w:rPr>
        <w:t xml:space="preserve"> </w:t>
      </w:r>
      <w:r>
        <w:rPr>
          <w:rFonts w:eastAsia="Perpetua" w:cs="Perpetua"/>
          <w:spacing w:val="-1"/>
        </w:rPr>
        <w:t>refer</w:t>
      </w:r>
      <w:r>
        <w:rPr>
          <w:rFonts w:eastAsia="Perpetua" w:cs="Perpetua"/>
          <w:spacing w:val="23"/>
        </w:rPr>
        <w:t xml:space="preserve"> </w:t>
      </w:r>
      <w:r>
        <w:rPr>
          <w:rFonts w:eastAsia="Perpetua" w:cs="Perpetua"/>
          <w:spacing w:val="-1"/>
        </w:rPr>
        <w:t>to</w:t>
      </w:r>
      <w:r>
        <w:rPr>
          <w:rFonts w:eastAsia="Perpetua" w:cs="Perpetua"/>
          <w:spacing w:val="25"/>
        </w:rPr>
        <w:t xml:space="preserve"> </w:t>
      </w:r>
      <w:r>
        <w:rPr>
          <w:rFonts w:eastAsia="Perpetua" w:cs="Perpetua"/>
        </w:rPr>
        <w:t>types</w:t>
      </w:r>
      <w:r>
        <w:rPr>
          <w:rFonts w:eastAsia="Perpetua" w:cs="Perpetua"/>
          <w:spacing w:val="24"/>
        </w:rPr>
        <w:t xml:space="preserve"> </w:t>
      </w:r>
      <w:r>
        <w:rPr>
          <w:rFonts w:eastAsia="Perpetua" w:cs="Perpetua"/>
        </w:rPr>
        <w:t>of</w:t>
      </w:r>
      <w:r>
        <w:rPr>
          <w:rFonts w:eastAsia="Perpetua" w:cs="Perpetua"/>
          <w:spacing w:val="23"/>
        </w:rPr>
        <w:t xml:space="preserve"> </w:t>
      </w:r>
      <w:r w:rsidRPr="00745F1D">
        <w:rPr>
          <w:rFonts w:eastAsia="Perpetua" w:cs="Perpetua"/>
          <w:b/>
          <w:spacing w:val="-1"/>
        </w:rPr>
        <w:t>redemption</w:t>
      </w:r>
      <w:r w:rsidRPr="00745F1D">
        <w:rPr>
          <w:rFonts w:eastAsia="Perpetua" w:cs="Perpetua"/>
          <w:b/>
          <w:spacing w:val="24"/>
        </w:rPr>
        <w:t xml:space="preserve"> </w:t>
      </w:r>
      <w:r w:rsidRPr="00745F1D">
        <w:rPr>
          <w:rFonts w:eastAsia="Perpetua" w:cs="Perpetua"/>
          <w:b/>
          <w:spacing w:val="-1"/>
        </w:rPr>
        <w:t>and</w:t>
      </w:r>
      <w:r w:rsidRPr="00745F1D">
        <w:rPr>
          <w:rFonts w:eastAsia="Perpetua" w:cs="Perpetua"/>
          <w:b/>
          <w:spacing w:val="24"/>
        </w:rPr>
        <w:t xml:space="preserve"> </w:t>
      </w:r>
      <w:r w:rsidRPr="00745F1D">
        <w:rPr>
          <w:rFonts w:eastAsia="Perpetua" w:cs="Perpetua"/>
          <w:b/>
        </w:rPr>
        <w:t>salvation</w:t>
      </w:r>
      <w:r>
        <w:rPr>
          <w:rFonts w:eastAsia="Perpetua" w:cs="Perpetua"/>
        </w:rPr>
        <w:t>.  The exodus from ‘Egyptian bondage’ sets forth, in type, all redemption’.</w:t>
      </w:r>
      <w:r>
        <w:rPr>
          <w:rStyle w:val="EndnoteReference"/>
          <w:rFonts w:eastAsia="Perpetua" w:cs="Perpetua"/>
        </w:rPr>
        <w:endnoteReference w:id="840"/>
      </w:r>
      <w:r>
        <w:rPr>
          <w:rFonts w:eastAsia="Perpetua" w:cs="Perpetua"/>
        </w:rPr>
        <w:t xml:space="preserve">  The slain and blood-dipped birds are ‘a type for the two aspects of salvation in Rom. 4:25’;</w:t>
      </w:r>
      <w:r>
        <w:rPr>
          <w:rStyle w:val="EndnoteReference"/>
          <w:rFonts w:eastAsia="Perpetua" w:cs="Perpetua"/>
        </w:rPr>
        <w:endnoteReference w:id="841"/>
      </w:r>
      <w:r>
        <w:rPr>
          <w:rFonts w:eastAsia="Perpetua" w:cs="Perpetua"/>
        </w:rPr>
        <w:t xml:space="preserve"> here Scofield probably indicates Christ’s crucifixion for our sin and resurrection for our justification.</w:t>
      </w:r>
      <w:r w:rsidRPr="00745F1D">
        <w:t xml:space="preserve">  </w:t>
      </w:r>
      <w:r>
        <w:rPr>
          <w:rFonts w:eastAsia="Perpetua" w:cs="Perpetua"/>
          <w:spacing w:val="-1"/>
        </w:rPr>
        <w:t>Silver</w:t>
      </w:r>
      <w:r>
        <w:rPr>
          <w:rFonts w:eastAsia="Perpetua" w:cs="Perpetua"/>
          <w:spacing w:val="23"/>
        </w:rPr>
        <w:t xml:space="preserve"> </w:t>
      </w:r>
      <w:r>
        <w:rPr>
          <w:rFonts w:eastAsia="Perpetua" w:cs="Perpetua"/>
          <w:spacing w:val="-1"/>
        </w:rPr>
        <w:t>typifies</w:t>
      </w:r>
      <w:r>
        <w:rPr>
          <w:rFonts w:eastAsia="Perpetua" w:cs="Perpetua"/>
          <w:spacing w:val="24"/>
        </w:rPr>
        <w:t xml:space="preserve"> </w:t>
      </w:r>
      <w:r>
        <w:rPr>
          <w:rFonts w:eastAsia="Perpetua" w:cs="Perpetua"/>
          <w:spacing w:val="-1"/>
        </w:rPr>
        <w:t>redemption.</w:t>
      </w:r>
      <w:r>
        <w:rPr>
          <w:rStyle w:val="EndnoteReference"/>
          <w:rFonts w:eastAsia="Perpetua" w:cs="Perpetua"/>
          <w:spacing w:val="-1"/>
        </w:rPr>
        <w:endnoteReference w:id="842"/>
      </w:r>
      <w:r w:rsidRPr="00745F1D">
        <w:t xml:space="preserve">  </w:t>
      </w:r>
      <w:r>
        <w:rPr>
          <w:rFonts w:eastAsia="Perpetua" w:cs="Perpetua"/>
        </w:rPr>
        <w:t>‘The</w:t>
      </w:r>
      <w:r>
        <w:rPr>
          <w:rFonts w:eastAsia="Perpetua" w:cs="Perpetua"/>
          <w:spacing w:val="-10"/>
        </w:rPr>
        <w:t xml:space="preserve"> </w:t>
      </w:r>
      <w:r>
        <w:rPr>
          <w:rFonts w:eastAsia="Perpetua" w:cs="Perpetua"/>
        </w:rPr>
        <w:t>kinsman-redeemer’</w:t>
      </w:r>
      <w:r>
        <w:rPr>
          <w:rFonts w:eastAsia="Perpetua" w:cs="Perpetua"/>
          <w:spacing w:val="-9"/>
        </w:rPr>
        <w:t xml:space="preserve"> </w:t>
      </w:r>
      <w:r>
        <w:rPr>
          <w:rFonts w:eastAsia="Perpetua" w:cs="Perpetua"/>
        </w:rPr>
        <w:t>indicates</w:t>
      </w:r>
      <w:r>
        <w:rPr>
          <w:rFonts w:eastAsia="Perpetua" w:cs="Perpetua"/>
          <w:spacing w:val="-9"/>
        </w:rPr>
        <w:t xml:space="preserve"> </w:t>
      </w:r>
      <w:r>
        <w:rPr>
          <w:rFonts w:eastAsia="Perpetua" w:cs="Perpetua"/>
          <w:spacing w:val="-1"/>
        </w:rPr>
        <w:t>redemption</w:t>
      </w:r>
      <w:r>
        <w:rPr>
          <w:rFonts w:eastAsia="Perpetua" w:cs="Perpetua"/>
          <w:spacing w:val="-9"/>
        </w:rPr>
        <w:t xml:space="preserve"> </w:t>
      </w:r>
      <w:r>
        <w:rPr>
          <w:rFonts w:eastAsia="Perpetua" w:cs="Perpetua"/>
          <w:spacing w:val="-1"/>
        </w:rPr>
        <w:t>and</w:t>
      </w:r>
      <w:r>
        <w:rPr>
          <w:rFonts w:eastAsia="Perpetua" w:cs="Perpetua"/>
          <w:spacing w:val="-9"/>
        </w:rPr>
        <w:t xml:space="preserve"> </w:t>
      </w:r>
      <w:r>
        <w:rPr>
          <w:rFonts w:eastAsia="Perpetua" w:cs="Perpetua"/>
        </w:rPr>
        <w:t>the</w:t>
      </w:r>
      <w:r>
        <w:rPr>
          <w:rFonts w:eastAsia="Perpetua" w:cs="Perpetua"/>
          <w:spacing w:val="-10"/>
        </w:rPr>
        <w:t xml:space="preserve"> </w:t>
      </w:r>
      <w:r>
        <w:rPr>
          <w:rFonts w:eastAsia="Perpetua" w:cs="Perpetua"/>
          <w:spacing w:val="-1"/>
        </w:rPr>
        <w:t>Redeemer.</w:t>
      </w:r>
      <w:r>
        <w:rPr>
          <w:rStyle w:val="EndnoteReference"/>
          <w:rFonts w:eastAsia="Perpetua" w:cs="Perpetua"/>
          <w:spacing w:val="-1"/>
        </w:rPr>
        <w:endnoteReference w:id="843"/>
      </w:r>
    </w:p>
    <w:p w:rsidR="00442D33" w:rsidRDefault="00442D33" w:rsidP="00442D33">
      <w:pPr>
        <w:spacing w:after="120" w:line="360" w:lineRule="auto"/>
        <w:ind w:right="102" w:firstLine="567"/>
        <w:jc w:val="both"/>
        <w:rPr>
          <w:rFonts w:eastAsia="Perpetua" w:cs="Perpetua"/>
          <w:sz w:val="13"/>
          <w:szCs w:val="13"/>
        </w:rPr>
      </w:pPr>
      <w:r w:rsidRPr="00B73B51">
        <w:t xml:space="preserve">Some asserted types and representations are </w:t>
      </w:r>
      <w:r w:rsidRPr="00B73B51">
        <w:rPr>
          <w:b/>
        </w:rPr>
        <w:t>eschatological</w:t>
      </w:r>
      <w:r w:rsidRPr="00B73B51">
        <w:t>.  Brass is a symbol of judgment</w:t>
      </w:r>
      <w:r w:rsidRPr="00B73B51">
        <w:rPr>
          <w:rStyle w:val="EndnoteReference"/>
        </w:rPr>
        <w:endnoteReference w:id="844"/>
      </w:r>
      <w:r w:rsidRPr="00B73B51">
        <w:t xml:space="preserve"> and speaks of divine judgment, the serpent being the symbol of judged</w:t>
      </w:r>
      <w:r w:rsidRPr="00B73B51">
        <w:rPr>
          <w:w w:val="99"/>
        </w:rPr>
        <w:t xml:space="preserve"> </w:t>
      </w:r>
      <w:r w:rsidRPr="00B73B51">
        <w:t>sin.</w:t>
      </w:r>
      <w:r w:rsidRPr="00B73B51">
        <w:rPr>
          <w:rStyle w:val="EndnoteReference"/>
        </w:rPr>
        <w:endnoteReference w:id="845"/>
      </w:r>
      <w:r w:rsidRPr="00B73B51">
        <w:t xml:space="preserve">  The plague of insects in Joel is a type for the day of the Lord.</w:t>
      </w:r>
      <w:r w:rsidRPr="00B73B51">
        <w:rPr>
          <w:rStyle w:val="EndnoteReference"/>
        </w:rPr>
        <w:endnoteReference w:id="846"/>
      </w:r>
      <w:r w:rsidRPr="00B73B51">
        <w:t xml:space="preserve">  </w:t>
      </w:r>
      <w:r w:rsidRPr="00B73B51">
        <w:rPr>
          <w:position w:val="9"/>
          <w:sz w:val="13"/>
        </w:rPr>
        <w:t xml:space="preserve"> </w:t>
      </w:r>
      <w:r w:rsidRPr="00B73B51">
        <w:t xml:space="preserve">The little horn, the king of fierce </w:t>
      </w:r>
      <w:r w:rsidRPr="00B73B51">
        <w:rPr>
          <w:rFonts w:eastAsia="Perpetua" w:cs="Perpetua"/>
        </w:rPr>
        <w:t>countenance of Dan. 8:23, is typified by ‘that other king of fierce countenance, Antiochus Epiphanes</w:t>
      </w:r>
      <w:r>
        <w:rPr>
          <w:rFonts w:eastAsia="Perpetua" w:cs="Perpetua"/>
        </w:rPr>
        <w:t>’</w:t>
      </w:r>
      <w:r w:rsidRPr="00B73B51">
        <w:rPr>
          <w:rFonts w:eastAsia="Perpetua" w:cs="Perpetua"/>
        </w:rPr>
        <w:t>;</w:t>
      </w:r>
      <w:r>
        <w:rPr>
          <w:rStyle w:val="EndnoteReference"/>
          <w:rFonts w:eastAsia="Perpetua" w:cs="Perpetua"/>
        </w:rPr>
        <w:endnoteReference w:id="847"/>
      </w:r>
      <w:r>
        <w:rPr>
          <w:rFonts w:eastAsia="Perpetua" w:cs="Perpetua"/>
        </w:rPr>
        <w:t xml:space="preserve"> Antiochus</w:t>
      </w:r>
      <w:r>
        <w:rPr>
          <w:rFonts w:eastAsia="Perpetua" w:cs="Perpetua"/>
          <w:spacing w:val="25"/>
          <w:w w:val="99"/>
        </w:rPr>
        <w:t xml:space="preserve"> </w:t>
      </w:r>
      <w:r>
        <w:rPr>
          <w:rFonts w:eastAsia="Perpetua" w:cs="Perpetua"/>
          <w:spacing w:val="-1"/>
        </w:rPr>
        <w:t>significantly</w:t>
      </w:r>
      <w:r>
        <w:rPr>
          <w:rFonts w:eastAsia="Perpetua" w:cs="Perpetua"/>
          <w:spacing w:val="-4"/>
        </w:rPr>
        <w:t xml:space="preserve"> </w:t>
      </w:r>
      <w:r>
        <w:rPr>
          <w:rFonts w:eastAsia="Perpetua" w:cs="Perpetua"/>
          <w:spacing w:val="-1"/>
        </w:rPr>
        <w:t>typifies</w:t>
      </w:r>
      <w:r>
        <w:rPr>
          <w:rFonts w:eastAsia="Perpetua" w:cs="Perpetua"/>
          <w:spacing w:val="-5"/>
        </w:rPr>
        <w:t xml:space="preserve"> </w:t>
      </w:r>
      <w:r>
        <w:rPr>
          <w:rFonts w:eastAsia="Perpetua" w:cs="Perpetua"/>
        </w:rPr>
        <w:t>the</w:t>
      </w:r>
      <w:r>
        <w:rPr>
          <w:rFonts w:eastAsia="Perpetua" w:cs="Perpetua"/>
          <w:spacing w:val="-4"/>
        </w:rPr>
        <w:t xml:space="preserve"> </w:t>
      </w:r>
      <w:r>
        <w:rPr>
          <w:rFonts w:eastAsia="Perpetua" w:cs="Perpetua"/>
        </w:rPr>
        <w:t>Beast,</w:t>
      </w:r>
      <w:r>
        <w:rPr>
          <w:rFonts w:eastAsia="Perpetua" w:cs="Perpetua"/>
          <w:spacing w:val="-6"/>
        </w:rPr>
        <w:t xml:space="preserve"> </w:t>
      </w:r>
      <w:r>
        <w:rPr>
          <w:rFonts w:eastAsia="Perpetua" w:cs="Perpetua"/>
          <w:spacing w:val="-1"/>
        </w:rPr>
        <w:t>‘the</w:t>
      </w:r>
      <w:r>
        <w:rPr>
          <w:rFonts w:eastAsia="Perpetua" w:cs="Perpetua"/>
          <w:spacing w:val="-5"/>
        </w:rPr>
        <w:t xml:space="preserve"> </w:t>
      </w:r>
      <w:r>
        <w:rPr>
          <w:rFonts w:eastAsia="Perpetua" w:cs="Perpetua"/>
        </w:rPr>
        <w:t>terrible</w:t>
      </w:r>
      <w:r>
        <w:rPr>
          <w:rFonts w:eastAsia="Perpetua" w:cs="Perpetua"/>
          <w:spacing w:val="-5"/>
        </w:rPr>
        <w:t xml:space="preserve"> </w:t>
      </w:r>
      <w:r>
        <w:rPr>
          <w:rFonts w:eastAsia="Perpetua" w:cs="Perpetua"/>
          <w:spacing w:val="-1"/>
        </w:rPr>
        <w:t>“little</w:t>
      </w:r>
      <w:r>
        <w:rPr>
          <w:rFonts w:eastAsia="Perpetua" w:cs="Perpetua"/>
          <w:spacing w:val="-6"/>
        </w:rPr>
        <w:t xml:space="preserve"> </w:t>
      </w:r>
      <w:r>
        <w:rPr>
          <w:rFonts w:eastAsia="Perpetua" w:cs="Perpetua"/>
        </w:rPr>
        <w:t>horn”</w:t>
      </w:r>
      <w:r>
        <w:rPr>
          <w:rFonts w:eastAsia="Perpetua" w:cs="Perpetua"/>
          <w:spacing w:val="-5"/>
        </w:rPr>
        <w:t xml:space="preserve"> </w:t>
      </w:r>
      <w:r>
        <w:rPr>
          <w:rFonts w:eastAsia="Perpetua" w:cs="Perpetua"/>
        </w:rPr>
        <w:t>of</w:t>
      </w:r>
      <w:r>
        <w:rPr>
          <w:rFonts w:eastAsia="Perpetua" w:cs="Perpetua"/>
          <w:spacing w:val="-5"/>
        </w:rPr>
        <w:t xml:space="preserve"> </w:t>
      </w:r>
      <w:r>
        <w:rPr>
          <w:rFonts w:eastAsia="Perpetua" w:cs="Perpetua"/>
        </w:rPr>
        <w:t>the</w:t>
      </w:r>
      <w:r>
        <w:rPr>
          <w:rFonts w:eastAsia="Perpetua" w:cs="Perpetua"/>
          <w:spacing w:val="-6"/>
        </w:rPr>
        <w:t xml:space="preserve"> </w:t>
      </w:r>
      <w:r>
        <w:rPr>
          <w:rFonts w:eastAsia="Perpetua" w:cs="Perpetua"/>
        </w:rPr>
        <w:t>last</w:t>
      </w:r>
      <w:r>
        <w:rPr>
          <w:rFonts w:eastAsia="Perpetua" w:cs="Perpetua"/>
          <w:spacing w:val="-5"/>
        </w:rPr>
        <w:t xml:space="preserve"> </w:t>
      </w:r>
      <w:r>
        <w:rPr>
          <w:rFonts w:eastAsia="Perpetua" w:cs="Perpetua"/>
        </w:rPr>
        <w:t>days’;</w:t>
      </w:r>
      <w:r>
        <w:rPr>
          <w:rStyle w:val="EndnoteReference"/>
          <w:rFonts w:eastAsia="Perpetua" w:cs="Perpetua"/>
        </w:rPr>
        <w:endnoteReference w:id="848"/>
      </w:r>
      <w:r>
        <w:rPr>
          <w:rFonts w:eastAsia="Perpetua" w:cs="Perpetua"/>
        </w:rPr>
        <w:t xml:space="preserve"> </w:t>
      </w:r>
      <w:r>
        <w:rPr>
          <w:rFonts w:eastAsia="Perpetua" w:cs="Perpetua"/>
          <w:spacing w:val="15"/>
          <w:position w:val="9"/>
          <w:sz w:val="13"/>
          <w:szCs w:val="13"/>
        </w:rPr>
        <w:t xml:space="preserve"> </w:t>
      </w:r>
      <w:r>
        <w:rPr>
          <w:rFonts w:eastAsia="Perpetua" w:cs="Perpetua"/>
          <w:spacing w:val="-1"/>
        </w:rPr>
        <w:t>‘the</w:t>
      </w:r>
      <w:r>
        <w:rPr>
          <w:rFonts w:eastAsia="Perpetua" w:cs="Perpetua"/>
          <w:spacing w:val="-5"/>
        </w:rPr>
        <w:t xml:space="preserve"> </w:t>
      </w:r>
      <w:r>
        <w:rPr>
          <w:rFonts w:eastAsia="Perpetua" w:cs="Perpetua"/>
          <w:spacing w:val="-1"/>
        </w:rPr>
        <w:t>“Beast</w:t>
      </w:r>
      <w:r>
        <w:rPr>
          <w:rFonts w:eastAsia="Perpetua" w:cs="Perpetua"/>
          <w:spacing w:val="-6"/>
        </w:rPr>
        <w:t xml:space="preserve"> </w:t>
      </w:r>
      <w:r>
        <w:rPr>
          <w:rFonts w:eastAsia="Perpetua" w:cs="Perpetua"/>
        </w:rPr>
        <w:t>out</w:t>
      </w:r>
      <w:r>
        <w:rPr>
          <w:rFonts w:eastAsia="Perpetua" w:cs="Perpetua"/>
          <w:spacing w:val="-5"/>
        </w:rPr>
        <w:t xml:space="preserve"> </w:t>
      </w:r>
      <w:r>
        <w:rPr>
          <w:rFonts w:eastAsia="Perpetua" w:cs="Perpetua"/>
        </w:rPr>
        <w:t>of</w:t>
      </w:r>
      <w:r>
        <w:rPr>
          <w:rFonts w:eastAsia="Perpetua" w:cs="Perpetua"/>
          <w:spacing w:val="-4"/>
        </w:rPr>
        <w:t xml:space="preserve"> </w:t>
      </w:r>
      <w:r>
        <w:rPr>
          <w:rFonts w:eastAsia="Perpetua" w:cs="Perpetua"/>
          <w:spacing w:val="-1"/>
        </w:rPr>
        <w:t>the</w:t>
      </w:r>
      <w:r>
        <w:rPr>
          <w:rFonts w:eastAsia="Perpetua" w:cs="Perpetua"/>
          <w:spacing w:val="-5"/>
        </w:rPr>
        <w:t xml:space="preserve"> </w:t>
      </w:r>
      <w:r>
        <w:rPr>
          <w:rFonts w:eastAsia="Perpetua" w:cs="Perpetua"/>
          <w:spacing w:val="-1"/>
        </w:rPr>
        <w:t>sea”’.</w:t>
      </w:r>
      <w:r>
        <w:rPr>
          <w:rStyle w:val="EndnoteReference"/>
          <w:rFonts w:eastAsia="Perpetua" w:cs="Perpetua"/>
          <w:spacing w:val="-1"/>
        </w:rPr>
        <w:endnoteReference w:id="849"/>
      </w:r>
      <w:r>
        <w:rPr>
          <w:rFonts w:eastAsia="Perpetua" w:cs="Perpetua"/>
          <w:spacing w:val="-1"/>
        </w:rPr>
        <w:t xml:space="preserve">  </w:t>
      </w:r>
      <w:r w:rsidRPr="00B3251C">
        <w:rPr>
          <w:rFonts w:eastAsia="Perpetua" w:cs="Perpetua"/>
          <w:spacing w:val="-1"/>
        </w:rPr>
        <w:t>The destruction of physical Babylon typifies the greater destruction yet to come upon the mystical Babylons.</w:t>
      </w:r>
      <w:r>
        <w:rPr>
          <w:rStyle w:val="EndnoteReference"/>
          <w:rFonts w:eastAsia="Perpetua" w:cs="Perpetua"/>
          <w:spacing w:val="-1"/>
        </w:rPr>
        <w:endnoteReference w:id="850"/>
      </w:r>
      <w:r>
        <w:rPr>
          <w:rFonts w:eastAsia="Perpetua" w:cs="Perpetua"/>
          <w:spacing w:val="-1"/>
        </w:rPr>
        <w:t xml:space="preserve">  Scofield holds Genesis to speak typically of ‘the new creation, where all was chaos and ruin.</w:t>
      </w:r>
      <w:r>
        <w:rPr>
          <w:rStyle w:val="EndnoteReference"/>
          <w:rFonts w:eastAsia="Perpetua" w:cs="Perpetua"/>
          <w:spacing w:val="-1"/>
        </w:rPr>
        <w:endnoteReference w:id="851"/>
      </w:r>
    </w:p>
    <w:p w:rsidR="00442D33" w:rsidRDefault="00442D33" w:rsidP="00442D33">
      <w:pPr>
        <w:spacing w:after="120" w:line="360" w:lineRule="auto"/>
        <w:ind w:right="95" w:firstLine="567"/>
        <w:jc w:val="both"/>
        <w:rPr>
          <w:rFonts w:eastAsia="Perpetua" w:cs="Perpetua"/>
          <w:spacing w:val="-2"/>
        </w:rPr>
      </w:pPr>
      <w:r>
        <w:rPr>
          <w:spacing w:val="-1"/>
        </w:rPr>
        <w:t>Scofield’s interpretation of the relationship alleged between John</w:t>
      </w:r>
      <w:r>
        <w:rPr>
          <w:spacing w:val="2"/>
        </w:rPr>
        <w:t xml:space="preserve"> </w:t>
      </w:r>
      <w:r>
        <w:t>the</w:t>
      </w:r>
      <w:r>
        <w:rPr>
          <w:spacing w:val="4"/>
        </w:rPr>
        <w:t xml:space="preserve"> </w:t>
      </w:r>
      <w:r>
        <w:t xml:space="preserve">Baptist and Elijah is interesting.  </w:t>
      </w:r>
      <w:r w:rsidRPr="00B3251C">
        <w:rPr>
          <w:rFonts w:eastAsia="Perpetua" w:cs="Perpetua"/>
          <w:spacing w:val="-1"/>
        </w:rPr>
        <w:t>Here Scofield</w:t>
      </w:r>
      <w:r w:rsidRPr="00B3251C">
        <w:rPr>
          <w:rFonts w:eastAsia="Perpetua" w:cs="Perpetua"/>
        </w:rPr>
        <w:t xml:space="preserve"> </w:t>
      </w:r>
      <w:r w:rsidRPr="00B3251C">
        <w:rPr>
          <w:rFonts w:eastAsia="Perpetua" w:cs="Perpetua"/>
          <w:spacing w:val="-1"/>
        </w:rPr>
        <w:t>applies</w:t>
      </w:r>
      <w:r w:rsidRPr="00B3251C">
        <w:rPr>
          <w:rFonts w:eastAsia="Perpetua" w:cs="Perpetua"/>
        </w:rPr>
        <w:t xml:space="preserve"> </w:t>
      </w:r>
      <w:r w:rsidRPr="00B3251C">
        <w:rPr>
          <w:rFonts w:eastAsia="Perpetua" w:cs="Perpetua"/>
          <w:spacing w:val="-1"/>
        </w:rPr>
        <w:t>his</w:t>
      </w:r>
      <w:r w:rsidRPr="00B3251C">
        <w:rPr>
          <w:rFonts w:eastAsia="Perpetua" w:cs="Perpetua"/>
        </w:rPr>
        <w:t xml:space="preserve"> </w:t>
      </w:r>
      <w:r w:rsidRPr="00B3251C">
        <w:rPr>
          <w:rFonts w:eastAsia="Perpetua" w:cs="Perpetua"/>
          <w:spacing w:val="-1"/>
        </w:rPr>
        <w:t>principle</w:t>
      </w:r>
      <w:r w:rsidRPr="00B3251C">
        <w:rPr>
          <w:rFonts w:eastAsia="Perpetua" w:cs="Perpetua"/>
        </w:rPr>
        <w:t xml:space="preserve"> </w:t>
      </w:r>
      <w:r w:rsidRPr="00B3251C">
        <w:rPr>
          <w:rFonts w:eastAsia="Perpetua" w:cs="Perpetua"/>
          <w:spacing w:val="-1"/>
        </w:rPr>
        <w:t>of</w:t>
      </w:r>
      <w:r w:rsidRPr="00B3251C">
        <w:rPr>
          <w:rFonts w:eastAsia="Perpetua" w:cs="Perpetua"/>
        </w:rPr>
        <w:t xml:space="preserve"> </w:t>
      </w:r>
      <w:r w:rsidRPr="00B3251C">
        <w:rPr>
          <w:rFonts w:eastAsia="Perpetua" w:cs="Perpetua"/>
          <w:spacing w:val="-1"/>
        </w:rPr>
        <w:t>‘near</w:t>
      </w:r>
      <w:r w:rsidRPr="00B3251C">
        <w:rPr>
          <w:rFonts w:eastAsia="Perpetua" w:cs="Perpetua"/>
        </w:rPr>
        <w:t xml:space="preserve"> </w:t>
      </w:r>
      <w:r w:rsidRPr="00B3251C">
        <w:rPr>
          <w:rFonts w:eastAsia="Perpetua" w:cs="Perpetua"/>
          <w:spacing w:val="-1"/>
        </w:rPr>
        <w:t>and</w:t>
      </w:r>
      <w:r w:rsidRPr="00B3251C">
        <w:rPr>
          <w:rFonts w:eastAsia="Perpetua" w:cs="Perpetua"/>
        </w:rPr>
        <w:t xml:space="preserve"> </w:t>
      </w:r>
      <w:r w:rsidRPr="00B3251C">
        <w:rPr>
          <w:rFonts w:eastAsia="Perpetua" w:cs="Perpetua"/>
          <w:spacing w:val="-1"/>
        </w:rPr>
        <w:t>far</w:t>
      </w:r>
      <w:r w:rsidRPr="00B3251C">
        <w:rPr>
          <w:rFonts w:eastAsia="Perpetua" w:cs="Perpetua"/>
        </w:rPr>
        <w:t xml:space="preserve"> </w:t>
      </w:r>
      <w:r w:rsidRPr="00B3251C">
        <w:rPr>
          <w:rFonts w:eastAsia="Perpetua" w:cs="Perpetua"/>
          <w:spacing w:val="-1"/>
        </w:rPr>
        <w:t>horizons’</w:t>
      </w:r>
      <w:r w:rsidRPr="00B3251C">
        <w:rPr>
          <w:rFonts w:eastAsia="Perpetua" w:cs="Perpetua"/>
        </w:rPr>
        <w:t xml:space="preserve"> </w:t>
      </w:r>
      <w:r w:rsidRPr="00B3251C">
        <w:rPr>
          <w:rFonts w:eastAsia="Perpetua" w:cs="Perpetua"/>
          <w:spacing w:val="-1"/>
        </w:rPr>
        <w:t>in</w:t>
      </w:r>
      <w:r w:rsidRPr="00B3251C">
        <w:rPr>
          <w:rFonts w:eastAsia="Perpetua" w:cs="Perpetua"/>
        </w:rPr>
        <w:t xml:space="preserve"> </w:t>
      </w:r>
      <w:r w:rsidRPr="00B3251C">
        <w:rPr>
          <w:rFonts w:eastAsia="Perpetua" w:cs="Perpetua"/>
          <w:spacing w:val="-1"/>
        </w:rPr>
        <w:t>prophecy,</w:t>
      </w:r>
      <w:r w:rsidRPr="00B3251C">
        <w:rPr>
          <w:rFonts w:eastAsia="Perpetua" w:cs="Perpetua"/>
          <w:spacing w:val="45"/>
        </w:rPr>
        <w:t xml:space="preserve"> </w:t>
      </w:r>
      <w:r w:rsidRPr="00B3251C">
        <w:rPr>
          <w:rFonts w:eastAsia="Perpetua" w:cs="Perpetua"/>
          <w:spacing w:val="-1"/>
        </w:rPr>
        <w:t>stating</w:t>
      </w:r>
      <w:r w:rsidRPr="00B3251C">
        <w:rPr>
          <w:rFonts w:eastAsia="Perpetua" w:cs="Perpetua"/>
        </w:rPr>
        <w:t xml:space="preserve"> </w:t>
      </w:r>
      <w:r w:rsidRPr="00B3251C">
        <w:rPr>
          <w:rFonts w:eastAsia="Perpetua" w:cs="Perpetua"/>
          <w:spacing w:val="-1"/>
        </w:rPr>
        <w:t>that the</w:t>
      </w:r>
      <w:r w:rsidRPr="00B3251C">
        <w:rPr>
          <w:rFonts w:eastAsia="Perpetua" w:cs="Perpetua"/>
        </w:rPr>
        <w:t xml:space="preserve"> </w:t>
      </w:r>
      <w:r w:rsidRPr="00B3251C">
        <w:rPr>
          <w:rFonts w:eastAsia="Perpetua" w:cs="Perpetua"/>
          <w:spacing w:val="-1"/>
        </w:rPr>
        <w:t>prophecy</w:t>
      </w:r>
      <w:r w:rsidRPr="00B3251C">
        <w:rPr>
          <w:rFonts w:eastAsia="Perpetua" w:cs="Perpetua"/>
          <w:spacing w:val="1"/>
        </w:rPr>
        <w:t xml:space="preserve"> </w:t>
      </w:r>
      <w:r w:rsidRPr="00B3251C">
        <w:rPr>
          <w:rFonts w:eastAsia="Perpetua" w:cs="Perpetua"/>
          <w:spacing w:val="-1"/>
        </w:rPr>
        <w:t>of</w:t>
      </w:r>
      <w:r w:rsidRPr="00B3251C">
        <w:rPr>
          <w:rFonts w:eastAsia="Perpetua" w:cs="Perpetua"/>
        </w:rPr>
        <w:t xml:space="preserve"> </w:t>
      </w:r>
      <w:r w:rsidRPr="00B3251C">
        <w:rPr>
          <w:rFonts w:eastAsia="Perpetua" w:cs="Perpetua"/>
          <w:spacing w:val="-1"/>
        </w:rPr>
        <w:t>Mal. 4:5-6,</w:t>
      </w:r>
      <w:r w:rsidRPr="00B3251C">
        <w:rPr>
          <w:rFonts w:eastAsia="Perpetua" w:cs="Perpetua"/>
          <w:spacing w:val="2"/>
        </w:rPr>
        <w:t xml:space="preserve"> </w:t>
      </w:r>
      <w:r w:rsidRPr="00B3251C">
        <w:rPr>
          <w:rFonts w:eastAsia="Perpetua" w:cs="Perpetua"/>
          <w:spacing w:val="-1"/>
        </w:rPr>
        <w:t xml:space="preserve">fulfilled </w:t>
      </w:r>
      <w:r w:rsidRPr="00B3251C">
        <w:rPr>
          <w:rFonts w:eastAsia="Perpetua" w:cs="Perpetua"/>
        </w:rPr>
        <w:t>in</w:t>
      </w:r>
      <w:r w:rsidRPr="00B3251C">
        <w:rPr>
          <w:rFonts w:eastAsia="Perpetua" w:cs="Perpetua"/>
          <w:spacing w:val="-1"/>
        </w:rPr>
        <w:t xml:space="preserve"> John</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Baptist,</w:t>
      </w:r>
      <w:r w:rsidRPr="00B3251C">
        <w:rPr>
          <w:rFonts w:eastAsia="Perpetua" w:cs="Perpetua"/>
        </w:rPr>
        <w:t xml:space="preserve"> </w:t>
      </w:r>
      <w:r w:rsidRPr="00B3251C">
        <w:rPr>
          <w:rFonts w:eastAsia="Perpetua" w:cs="Perpetua"/>
          <w:spacing w:val="-1"/>
        </w:rPr>
        <w:t>must</w:t>
      </w:r>
      <w:r w:rsidRPr="00B3251C">
        <w:rPr>
          <w:rFonts w:eastAsia="Perpetua" w:cs="Perpetua"/>
        </w:rPr>
        <w:t xml:space="preserve"> </w:t>
      </w:r>
      <w:r w:rsidRPr="00B3251C">
        <w:rPr>
          <w:rFonts w:eastAsia="Perpetua" w:cs="Perpetua"/>
          <w:spacing w:val="-1"/>
        </w:rPr>
        <w:t>be</w:t>
      </w:r>
      <w:r w:rsidRPr="00B3251C">
        <w:rPr>
          <w:rFonts w:eastAsia="Perpetua" w:cs="Perpetua"/>
        </w:rPr>
        <w:t xml:space="preserve"> </w:t>
      </w:r>
      <w:r w:rsidRPr="00B3251C">
        <w:rPr>
          <w:rFonts w:eastAsia="Perpetua" w:cs="Perpetua"/>
          <w:spacing w:val="-1"/>
        </w:rPr>
        <w:t>kept distinct</w:t>
      </w:r>
      <w:r w:rsidRPr="00B3251C">
        <w:rPr>
          <w:rFonts w:eastAsia="Perpetua" w:cs="Perpetua"/>
        </w:rPr>
        <w:t xml:space="preserve"> </w:t>
      </w:r>
      <w:r w:rsidRPr="00B3251C">
        <w:rPr>
          <w:rFonts w:eastAsia="Perpetua" w:cs="Perpetua"/>
          <w:spacing w:val="-1"/>
        </w:rPr>
        <w:t>from</w:t>
      </w:r>
      <w:r w:rsidRPr="00B3251C">
        <w:rPr>
          <w:rFonts w:eastAsia="Perpetua" w:cs="Perpetua"/>
        </w:rPr>
        <w:t xml:space="preserve"> </w:t>
      </w:r>
      <w:r w:rsidRPr="00B3251C">
        <w:rPr>
          <w:rFonts w:eastAsia="Perpetua" w:cs="Perpetua"/>
          <w:spacing w:val="-1"/>
        </w:rPr>
        <w:t>‘that</w:t>
      </w:r>
      <w:r w:rsidRPr="00B3251C">
        <w:rPr>
          <w:rFonts w:eastAsia="Perpetua" w:cs="Perpetua"/>
        </w:rPr>
        <w:t xml:space="preserve"> </w:t>
      </w:r>
      <w:r w:rsidRPr="00B3251C">
        <w:rPr>
          <w:rFonts w:eastAsia="Perpetua" w:cs="Perpetua"/>
          <w:spacing w:val="-1"/>
        </w:rPr>
        <w:t>yet</w:t>
      </w:r>
      <w:r w:rsidRPr="00B3251C">
        <w:rPr>
          <w:rFonts w:eastAsia="Perpetua" w:cs="Perpetua"/>
        </w:rPr>
        <w:t xml:space="preserve"> </w:t>
      </w:r>
      <w:r w:rsidRPr="00B3251C">
        <w:rPr>
          <w:rFonts w:eastAsia="Perpetua" w:cs="Perpetua"/>
          <w:spacing w:val="-1"/>
        </w:rPr>
        <w:t>to be fulfilled</w:t>
      </w:r>
      <w:r w:rsidRPr="00B3251C">
        <w:rPr>
          <w:rFonts w:eastAsia="Perpetua" w:cs="Perpetua"/>
          <w:spacing w:val="44"/>
        </w:rPr>
        <w:t xml:space="preserve"> </w:t>
      </w:r>
      <w:r w:rsidRPr="00B3251C">
        <w:rPr>
          <w:rFonts w:eastAsia="Perpetua" w:cs="Perpetua"/>
          <w:spacing w:val="-1"/>
        </w:rPr>
        <w:t>in</w:t>
      </w:r>
      <w:r w:rsidRPr="00B3251C">
        <w:rPr>
          <w:rFonts w:eastAsia="Perpetua" w:cs="Perpetua"/>
        </w:rPr>
        <w:t xml:space="preserve"> </w:t>
      </w:r>
      <w:r w:rsidRPr="00B3251C">
        <w:rPr>
          <w:rFonts w:eastAsia="Perpetua" w:cs="Perpetua"/>
          <w:spacing w:val="-1"/>
        </w:rPr>
        <w:t>Elijah’.</w:t>
      </w:r>
      <w:r w:rsidRPr="00B3251C">
        <w:rPr>
          <w:rFonts w:eastAsia="Perpetua" w:cs="Perpetua"/>
          <w:spacing w:val="44"/>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implication</w:t>
      </w:r>
      <w:r w:rsidRPr="00B3251C">
        <w:rPr>
          <w:rFonts w:eastAsia="Perpetua" w:cs="Perpetua"/>
        </w:rPr>
        <w:t xml:space="preserve"> </w:t>
      </w:r>
      <w:r w:rsidRPr="00B3251C">
        <w:rPr>
          <w:rFonts w:eastAsia="Perpetua" w:cs="Perpetua"/>
          <w:spacing w:val="-1"/>
        </w:rPr>
        <w:t>is</w:t>
      </w:r>
      <w:r w:rsidRPr="00B3251C">
        <w:rPr>
          <w:rFonts w:eastAsia="Perpetua" w:cs="Perpetua"/>
        </w:rPr>
        <w:t xml:space="preserve"> </w:t>
      </w:r>
      <w:r w:rsidRPr="00B3251C">
        <w:rPr>
          <w:rFonts w:eastAsia="Perpetua" w:cs="Perpetua"/>
          <w:spacing w:val="-1"/>
        </w:rPr>
        <w:t>that</w:t>
      </w:r>
      <w:r w:rsidRPr="00B3251C">
        <w:rPr>
          <w:rFonts w:eastAsia="Perpetua" w:cs="Perpetua"/>
        </w:rPr>
        <w:t xml:space="preserve"> </w:t>
      </w:r>
      <w:r w:rsidRPr="00B3251C">
        <w:rPr>
          <w:rFonts w:eastAsia="Perpetua" w:cs="Perpetua"/>
          <w:spacing w:val="-1"/>
        </w:rPr>
        <w:t>Elijah is</w:t>
      </w:r>
      <w:r w:rsidRPr="00B3251C">
        <w:rPr>
          <w:rFonts w:eastAsia="Perpetua" w:cs="Perpetua"/>
        </w:rPr>
        <w:t xml:space="preserve"> </w:t>
      </w:r>
      <w:r w:rsidRPr="00B3251C">
        <w:rPr>
          <w:rFonts w:eastAsia="Perpetua" w:cs="Perpetua"/>
          <w:spacing w:val="-1"/>
        </w:rPr>
        <w:t>still</w:t>
      </w:r>
      <w:r w:rsidRPr="00B3251C">
        <w:rPr>
          <w:rFonts w:eastAsia="Perpetua" w:cs="Perpetua"/>
          <w:spacing w:val="2"/>
        </w:rPr>
        <w:t xml:space="preserve"> </w:t>
      </w:r>
      <w:r w:rsidRPr="00B3251C">
        <w:rPr>
          <w:rFonts w:eastAsia="Perpetua" w:cs="Perpetua"/>
          <w:spacing w:val="-1"/>
        </w:rPr>
        <w:t>to</w:t>
      </w:r>
      <w:r w:rsidRPr="00B3251C">
        <w:rPr>
          <w:rFonts w:eastAsia="Perpetua" w:cs="Perpetua"/>
        </w:rPr>
        <w:t xml:space="preserve"> </w:t>
      </w:r>
      <w:r w:rsidRPr="00B3251C">
        <w:rPr>
          <w:rFonts w:eastAsia="Perpetua" w:cs="Perpetua"/>
          <w:spacing w:val="-1"/>
        </w:rPr>
        <w:t>return,</w:t>
      </w:r>
      <w:r w:rsidRPr="00B3251C">
        <w:rPr>
          <w:rFonts w:eastAsia="Perpetua" w:cs="Perpetua"/>
        </w:rPr>
        <w:t xml:space="preserve"> </w:t>
      </w:r>
      <w:r w:rsidRPr="00B3251C">
        <w:rPr>
          <w:rFonts w:eastAsia="Perpetua" w:cs="Perpetua"/>
          <w:spacing w:val="-1"/>
        </w:rPr>
        <w:t>perhaps</w:t>
      </w:r>
      <w:r w:rsidRPr="00B3251C">
        <w:rPr>
          <w:rFonts w:eastAsia="Perpetua" w:cs="Perpetua"/>
        </w:rPr>
        <w:t xml:space="preserve"> </w:t>
      </w:r>
      <w:r w:rsidRPr="00B3251C">
        <w:rPr>
          <w:rFonts w:eastAsia="Perpetua" w:cs="Perpetua"/>
          <w:spacing w:val="-1"/>
        </w:rPr>
        <w:t>heralding</w:t>
      </w:r>
      <w:r w:rsidRPr="00B3251C">
        <w:rPr>
          <w:rFonts w:eastAsia="Perpetua" w:cs="Perpetua"/>
          <w:spacing w:val="1"/>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kingdom, which</w:t>
      </w:r>
      <w:r w:rsidRPr="00B3251C">
        <w:rPr>
          <w:rFonts w:eastAsia="Perpetua" w:cs="Perpetua"/>
        </w:rPr>
        <w:t xml:space="preserve"> </w:t>
      </w:r>
      <w:r w:rsidRPr="00B3251C">
        <w:rPr>
          <w:rFonts w:eastAsia="Perpetua" w:cs="Perpetua"/>
          <w:spacing w:val="-1"/>
        </w:rPr>
        <w:t>Scofield</w:t>
      </w:r>
      <w:r w:rsidRPr="00B3251C">
        <w:rPr>
          <w:rFonts w:eastAsia="Perpetua" w:cs="Perpetua"/>
        </w:rPr>
        <w:t xml:space="preserve"> </w:t>
      </w:r>
      <w:r w:rsidRPr="00B3251C">
        <w:rPr>
          <w:rFonts w:eastAsia="Perpetua" w:cs="Perpetua"/>
          <w:spacing w:val="-1"/>
        </w:rPr>
        <w:t>has asserted</w:t>
      </w:r>
      <w:r w:rsidRPr="00B3251C">
        <w:rPr>
          <w:rFonts w:eastAsia="Perpetua" w:cs="Perpetua"/>
          <w:spacing w:val="45"/>
        </w:rPr>
        <w:t xml:space="preserve"> </w:t>
      </w:r>
      <w:r w:rsidRPr="00B3251C">
        <w:rPr>
          <w:rFonts w:eastAsia="Perpetua" w:cs="Perpetua"/>
          <w:spacing w:val="-1"/>
        </w:rPr>
        <w:t>will</w:t>
      </w:r>
      <w:r w:rsidRPr="00B3251C">
        <w:rPr>
          <w:rFonts w:eastAsia="Perpetua" w:cs="Perpetua"/>
        </w:rPr>
        <w:t xml:space="preserve"> </w:t>
      </w:r>
      <w:r w:rsidRPr="00B3251C">
        <w:rPr>
          <w:rFonts w:eastAsia="Perpetua" w:cs="Perpetua"/>
          <w:spacing w:val="-1"/>
        </w:rPr>
        <w:t>not</w:t>
      </w:r>
      <w:r w:rsidRPr="00B3251C">
        <w:rPr>
          <w:rFonts w:eastAsia="Perpetua" w:cs="Perpetua"/>
        </w:rPr>
        <w:t xml:space="preserve"> </w:t>
      </w:r>
      <w:r w:rsidRPr="00B3251C">
        <w:rPr>
          <w:rFonts w:eastAsia="Perpetua" w:cs="Perpetua"/>
          <w:spacing w:val="-1"/>
        </w:rPr>
        <w:t>arrive</w:t>
      </w:r>
      <w:r w:rsidRPr="00B3251C">
        <w:rPr>
          <w:rFonts w:eastAsia="Perpetua" w:cs="Perpetua"/>
        </w:rPr>
        <w:t xml:space="preserve"> </w:t>
      </w:r>
      <w:r w:rsidRPr="00B3251C">
        <w:rPr>
          <w:rFonts w:eastAsia="Perpetua" w:cs="Perpetua"/>
          <w:spacing w:val="-1"/>
        </w:rPr>
        <w:t>until</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second</w:t>
      </w:r>
      <w:r w:rsidRPr="00B3251C">
        <w:rPr>
          <w:rFonts w:eastAsia="Perpetua" w:cs="Perpetua"/>
        </w:rPr>
        <w:t xml:space="preserve"> </w:t>
      </w:r>
      <w:r w:rsidRPr="00B3251C">
        <w:rPr>
          <w:rFonts w:eastAsia="Perpetua" w:cs="Perpetua"/>
          <w:spacing w:val="-1"/>
        </w:rPr>
        <w:t>coming.</w:t>
      </w:r>
      <w:r w:rsidRPr="00B3251C">
        <w:rPr>
          <w:rFonts w:eastAsia="Perpetua" w:cs="Perpetua"/>
          <w:spacing w:val="44"/>
        </w:rPr>
        <w:t xml:space="preserve"> </w:t>
      </w:r>
      <w:r w:rsidRPr="00B3251C">
        <w:rPr>
          <w:rFonts w:eastAsia="Perpetua" w:cs="Perpetua"/>
          <w:spacing w:val="-1"/>
        </w:rPr>
        <w:t>From</w:t>
      </w:r>
      <w:r w:rsidRPr="00B3251C">
        <w:rPr>
          <w:rFonts w:eastAsia="Perpetua" w:cs="Perpetua"/>
        </w:rPr>
        <w:t xml:space="preserve"> </w:t>
      </w:r>
      <w:r w:rsidRPr="00B3251C">
        <w:rPr>
          <w:rFonts w:eastAsia="Perpetua" w:cs="Perpetua"/>
          <w:spacing w:val="-1"/>
        </w:rPr>
        <w:t>Mt.</w:t>
      </w:r>
      <w:r w:rsidRPr="00B3251C">
        <w:rPr>
          <w:rFonts w:eastAsia="Perpetua" w:cs="Perpetua"/>
        </w:rPr>
        <w:t xml:space="preserve"> </w:t>
      </w:r>
      <w:r w:rsidRPr="00B3251C">
        <w:rPr>
          <w:rFonts w:eastAsia="Perpetua" w:cs="Perpetua"/>
          <w:spacing w:val="-1"/>
        </w:rPr>
        <w:t>17:11 and</w:t>
      </w:r>
      <w:r w:rsidRPr="00B3251C">
        <w:rPr>
          <w:rFonts w:eastAsia="Perpetua" w:cs="Perpetua"/>
        </w:rPr>
        <w:t xml:space="preserve"> </w:t>
      </w:r>
      <w:r w:rsidRPr="00B3251C">
        <w:rPr>
          <w:rFonts w:eastAsia="Perpetua" w:cs="Perpetua"/>
          <w:spacing w:val="-1"/>
        </w:rPr>
        <w:t>12,</w:t>
      </w:r>
      <w:r w:rsidRPr="00B3251C">
        <w:rPr>
          <w:rFonts w:eastAsia="Perpetua" w:cs="Perpetua"/>
        </w:rPr>
        <w:t xml:space="preserve"> </w:t>
      </w:r>
      <w:r w:rsidRPr="00B3251C">
        <w:rPr>
          <w:rFonts w:eastAsia="Perpetua" w:cs="Perpetua"/>
          <w:spacing w:val="-1"/>
        </w:rPr>
        <w:t>however,</w:t>
      </w:r>
      <w:r w:rsidRPr="00B3251C">
        <w:rPr>
          <w:rFonts w:eastAsia="Perpetua" w:cs="Perpetua"/>
        </w:rPr>
        <w:t xml:space="preserve"> </w:t>
      </w:r>
      <w:r w:rsidRPr="00B3251C">
        <w:rPr>
          <w:rFonts w:eastAsia="Perpetua" w:cs="Perpetua"/>
          <w:spacing w:val="-1"/>
        </w:rPr>
        <w:t>it</w:t>
      </w:r>
      <w:r w:rsidRPr="00B3251C">
        <w:rPr>
          <w:rFonts w:eastAsia="Perpetua" w:cs="Perpetua"/>
          <w:spacing w:val="1"/>
        </w:rPr>
        <w:t xml:space="preserve"> </w:t>
      </w:r>
      <w:r w:rsidRPr="00B3251C">
        <w:rPr>
          <w:rFonts w:eastAsia="Perpetua" w:cs="Perpetua"/>
          <w:spacing w:val="-1"/>
        </w:rPr>
        <w:t>would</w:t>
      </w:r>
      <w:r w:rsidRPr="00B3251C">
        <w:rPr>
          <w:rFonts w:eastAsia="Perpetua" w:cs="Perpetua"/>
        </w:rPr>
        <w:t xml:space="preserve"> </w:t>
      </w:r>
      <w:r w:rsidRPr="00B3251C">
        <w:rPr>
          <w:rFonts w:eastAsia="Perpetua" w:cs="Perpetua"/>
          <w:spacing w:val="-1"/>
        </w:rPr>
        <w:t>appear</w:t>
      </w:r>
      <w:r w:rsidRPr="00B3251C">
        <w:rPr>
          <w:rFonts w:eastAsia="Perpetua" w:cs="Perpetua"/>
        </w:rPr>
        <w:t xml:space="preserve"> </w:t>
      </w:r>
      <w:r w:rsidRPr="00B3251C">
        <w:rPr>
          <w:rFonts w:eastAsia="Perpetua" w:cs="Perpetua"/>
          <w:spacing w:val="-1"/>
        </w:rPr>
        <w:t>that Jesus completely</w:t>
      </w:r>
      <w:r w:rsidRPr="00B3251C">
        <w:rPr>
          <w:rFonts w:eastAsia="Perpetua" w:cs="Perpetua"/>
          <w:spacing w:val="42"/>
        </w:rPr>
        <w:t xml:space="preserve"> </w:t>
      </w:r>
      <w:r w:rsidRPr="00B3251C">
        <w:rPr>
          <w:rFonts w:eastAsia="Perpetua" w:cs="Perpetua"/>
          <w:spacing w:val="-1"/>
        </w:rPr>
        <w:t>identifies</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coming</w:t>
      </w:r>
      <w:r w:rsidRPr="00B3251C">
        <w:rPr>
          <w:rFonts w:eastAsia="Perpetua" w:cs="Perpetua"/>
          <w:spacing w:val="-2"/>
        </w:rPr>
        <w:t xml:space="preserve"> </w:t>
      </w:r>
      <w:r w:rsidRPr="00B3251C">
        <w:rPr>
          <w:rFonts w:eastAsia="Perpetua" w:cs="Perpetua"/>
          <w:spacing w:val="-1"/>
        </w:rPr>
        <w:t>of</w:t>
      </w:r>
      <w:r w:rsidRPr="00B3251C">
        <w:rPr>
          <w:rFonts w:eastAsia="Perpetua" w:cs="Perpetua"/>
        </w:rPr>
        <w:t xml:space="preserve"> </w:t>
      </w:r>
      <w:r w:rsidRPr="00B3251C">
        <w:rPr>
          <w:rFonts w:eastAsia="Perpetua" w:cs="Perpetua"/>
          <w:spacing w:val="-1"/>
        </w:rPr>
        <w:t>John</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Baptist</w:t>
      </w:r>
      <w:r w:rsidRPr="00B3251C">
        <w:rPr>
          <w:rFonts w:eastAsia="Perpetua" w:cs="Perpetua"/>
        </w:rPr>
        <w:t xml:space="preserve"> </w:t>
      </w:r>
      <w:r w:rsidRPr="00B3251C">
        <w:rPr>
          <w:rFonts w:eastAsia="Perpetua" w:cs="Perpetua"/>
          <w:spacing w:val="-1"/>
        </w:rPr>
        <w:t>with</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coming</w:t>
      </w:r>
      <w:r w:rsidRPr="00B3251C">
        <w:rPr>
          <w:rFonts w:eastAsia="Perpetua" w:cs="Perpetua"/>
        </w:rPr>
        <w:t xml:space="preserve"> </w:t>
      </w:r>
      <w:r w:rsidRPr="00B3251C">
        <w:rPr>
          <w:rFonts w:eastAsia="Perpetua" w:cs="Perpetua"/>
          <w:spacing w:val="-1"/>
        </w:rPr>
        <w:t>of</w:t>
      </w:r>
      <w:r w:rsidRPr="00B3251C">
        <w:rPr>
          <w:rFonts w:eastAsia="Perpetua" w:cs="Perpetua"/>
        </w:rPr>
        <w:t xml:space="preserve"> </w:t>
      </w:r>
      <w:r w:rsidRPr="00B3251C">
        <w:rPr>
          <w:rFonts w:eastAsia="Perpetua" w:cs="Perpetua"/>
          <w:spacing w:val="-2"/>
        </w:rPr>
        <w:t>Elijah</w:t>
      </w:r>
      <w:r w:rsidRPr="00B3251C">
        <w:rPr>
          <w:rFonts w:eastAsia="Perpetua" w:cs="Perpetua"/>
        </w:rPr>
        <w:t xml:space="preserve"> </w:t>
      </w:r>
      <w:r w:rsidRPr="00B3251C">
        <w:rPr>
          <w:rFonts w:eastAsia="Perpetua" w:cs="Perpetua"/>
          <w:spacing w:val="-1"/>
        </w:rPr>
        <w:t>predicted</w:t>
      </w:r>
      <w:r w:rsidRPr="00B3251C">
        <w:rPr>
          <w:rFonts w:eastAsia="Perpetua" w:cs="Perpetua"/>
        </w:rPr>
        <w:t xml:space="preserve"> </w:t>
      </w:r>
      <w:r w:rsidRPr="00B3251C">
        <w:rPr>
          <w:rFonts w:eastAsia="Perpetua" w:cs="Perpetua"/>
          <w:spacing w:val="-1"/>
        </w:rPr>
        <w:t>in</w:t>
      </w:r>
      <w:r w:rsidRPr="00B3251C">
        <w:rPr>
          <w:rFonts w:eastAsia="Perpetua" w:cs="Perpetua"/>
        </w:rPr>
        <w:t xml:space="preserve"> </w:t>
      </w:r>
      <w:r w:rsidRPr="00B3251C">
        <w:rPr>
          <w:rFonts w:eastAsia="Perpetua" w:cs="Perpetua"/>
          <w:spacing w:val="-1"/>
        </w:rPr>
        <w:t>Malachi.</w:t>
      </w:r>
      <w:r w:rsidRPr="00B3251C">
        <w:rPr>
          <w:rFonts w:eastAsia="Perpetua" w:cs="Perpetua"/>
        </w:rPr>
        <w:t xml:space="preserve">  </w:t>
      </w:r>
      <w:r w:rsidRPr="00B3251C">
        <w:rPr>
          <w:rFonts w:eastAsia="Perpetua" w:cs="Perpetua"/>
          <w:spacing w:val="-1"/>
        </w:rPr>
        <w:t>Scofield</w:t>
      </w:r>
      <w:r w:rsidRPr="00B3251C">
        <w:rPr>
          <w:rFonts w:eastAsia="Perpetua" w:cs="Perpetua"/>
        </w:rPr>
        <w:t xml:space="preserve"> </w:t>
      </w:r>
      <w:r w:rsidRPr="00B3251C">
        <w:rPr>
          <w:rFonts w:eastAsia="Perpetua" w:cs="Perpetua"/>
          <w:spacing w:val="-1"/>
        </w:rPr>
        <w:t>may be attempting</w:t>
      </w:r>
      <w:r w:rsidRPr="00B3251C">
        <w:rPr>
          <w:rFonts w:eastAsia="Perpetua" w:cs="Perpetua"/>
        </w:rPr>
        <w:t xml:space="preserve"> </w:t>
      </w:r>
      <w:r w:rsidRPr="00B3251C">
        <w:rPr>
          <w:rFonts w:eastAsia="Perpetua" w:cs="Perpetua"/>
          <w:spacing w:val="39"/>
        </w:rPr>
        <w:t xml:space="preserve"> </w:t>
      </w:r>
      <w:r w:rsidRPr="00B3251C">
        <w:rPr>
          <w:rFonts w:eastAsia="Perpetua" w:cs="Perpetua"/>
          <w:spacing w:val="-1"/>
        </w:rPr>
        <w:t xml:space="preserve">to </w:t>
      </w:r>
      <w:r w:rsidRPr="00B3251C">
        <w:rPr>
          <w:rFonts w:eastAsia="Perpetua" w:cs="Perpetua"/>
        </w:rPr>
        <w:t>explain</w:t>
      </w:r>
      <w:r w:rsidRPr="00B3251C">
        <w:rPr>
          <w:rFonts w:eastAsia="Perpetua" w:cs="Perpetua"/>
          <w:spacing w:val="-1"/>
        </w:rPr>
        <w:t xml:space="preserve"> Jesus’</w:t>
      </w:r>
      <w:r w:rsidRPr="00B3251C">
        <w:rPr>
          <w:rFonts w:eastAsia="Perpetua" w:cs="Perpetua"/>
          <w:spacing w:val="1"/>
        </w:rPr>
        <w:t xml:space="preserve"> </w:t>
      </w:r>
      <w:r w:rsidRPr="00B3251C">
        <w:rPr>
          <w:rFonts w:eastAsia="Perpetua" w:cs="Perpetua"/>
          <w:spacing w:val="-1"/>
        </w:rPr>
        <w:t>statement</w:t>
      </w:r>
      <w:r w:rsidRPr="00B3251C">
        <w:rPr>
          <w:rFonts w:eastAsia="Perpetua" w:cs="Perpetua"/>
        </w:rPr>
        <w:t xml:space="preserve"> </w:t>
      </w:r>
      <w:r w:rsidRPr="00B3251C">
        <w:rPr>
          <w:rFonts w:eastAsia="Perpetua" w:cs="Perpetua"/>
          <w:spacing w:val="-1"/>
        </w:rPr>
        <w:t>about</w:t>
      </w:r>
      <w:r w:rsidRPr="00B3251C">
        <w:rPr>
          <w:rFonts w:eastAsia="Perpetua" w:cs="Perpetua"/>
        </w:rPr>
        <w:t xml:space="preserve"> </w:t>
      </w:r>
      <w:r w:rsidRPr="00B3251C">
        <w:rPr>
          <w:rFonts w:eastAsia="Perpetua" w:cs="Perpetua"/>
          <w:spacing w:val="-1"/>
        </w:rPr>
        <w:t>John</w:t>
      </w:r>
      <w:r w:rsidRPr="00B3251C">
        <w:rPr>
          <w:rFonts w:eastAsia="Perpetua" w:cs="Perpetua"/>
        </w:rPr>
        <w:t xml:space="preserve"> </w:t>
      </w:r>
      <w:r w:rsidRPr="00B3251C">
        <w:rPr>
          <w:rFonts w:eastAsia="Perpetua" w:cs="Perpetua"/>
          <w:spacing w:val="-1"/>
        </w:rPr>
        <w:t>by stating that ‘John</w:t>
      </w:r>
      <w:r w:rsidRPr="00B3251C">
        <w:rPr>
          <w:rFonts w:eastAsia="Perpetua" w:cs="Perpetua"/>
        </w:rPr>
        <w:t xml:space="preserve"> </w:t>
      </w:r>
      <w:r w:rsidRPr="00B3251C">
        <w:rPr>
          <w:rFonts w:eastAsia="Perpetua" w:cs="Perpetua"/>
          <w:spacing w:val="-1"/>
        </w:rPr>
        <w:t>the</w:t>
      </w:r>
      <w:r w:rsidRPr="00B3251C">
        <w:rPr>
          <w:rFonts w:eastAsia="Perpetua" w:cs="Perpetua"/>
        </w:rPr>
        <w:t xml:space="preserve"> </w:t>
      </w:r>
      <w:r w:rsidRPr="00B3251C">
        <w:rPr>
          <w:rFonts w:eastAsia="Perpetua" w:cs="Perpetua"/>
          <w:spacing w:val="-1"/>
        </w:rPr>
        <w:t>Baptist had</w:t>
      </w:r>
      <w:r w:rsidRPr="00B3251C">
        <w:rPr>
          <w:rFonts w:eastAsia="Perpetua" w:cs="Perpetua"/>
        </w:rPr>
        <w:t xml:space="preserve"> </w:t>
      </w:r>
      <w:r w:rsidRPr="00B3251C">
        <w:rPr>
          <w:rFonts w:eastAsia="Perpetua" w:cs="Perpetua"/>
          <w:spacing w:val="-1"/>
        </w:rPr>
        <w:t>come</w:t>
      </w:r>
      <w:r w:rsidRPr="00B3251C">
        <w:rPr>
          <w:rFonts w:eastAsia="Perpetua" w:cs="Perpetua"/>
        </w:rPr>
        <w:t xml:space="preserve"> </w:t>
      </w:r>
      <w:r w:rsidRPr="00B3251C">
        <w:rPr>
          <w:rFonts w:eastAsia="Perpetua" w:cs="Perpetua"/>
          <w:spacing w:val="-1"/>
        </w:rPr>
        <w:t>already</w:t>
      </w:r>
      <w:r w:rsidRPr="00B3251C">
        <w:rPr>
          <w:rFonts w:eastAsia="Perpetua" w:cs="Perpetua"/>
          <w:spacing w:val="-2"/>
        </w:rPr>
        <w:t xml:space="preserve"> </w:t>
      </w:r>
      <w:r w:rsidRPr="00B3251C">
        <w:rPr>
          <w:rFonts w:eastAsia="Perpetua" w:cs="Perpetua"/>
          <w:spacing w:val="-1"/>
        </w:rPr>
        <w:t>and</w:t>
      </w:r>
      <w:r w:rsidRPr="00B3251C">
        <w:rPr>
          <w:rFonts w:eastAsia="Perpetua" w:cs="Perpetua"/>
        </w:rPr>
        <w:t xml:space="preserve"> </w:t>
      </w:r>
      <w:r w:rsidRPr="00B3251C">
        <w:rPr>
          <w:rFonts w:eastAsia="Perpetua" w:cs="Perpetua"/>
          <w:spacing w:val="-1"/>
        </w:rPr>
        <w:t>with</w:t>
      </w:r>
      <w:r w:rsidRPr="00B3251C">
        <w:rPr>
          <w:rFonts w:eastAsia="Perpetua" w:cs="Perpetua"/>
        </w:rPr>
        <w:t xml:space="preserve"> a </w:t>
      </w:r>
      <w:r w:rsidRPr="00B3251C">
        <w:rPr>
          <w:rFonts w:eastAsia="Perpetua" w:cs="Perpetua"/>
          <w:spacing w:val="-1"/>
        </w:rPr>
        <w:t>ministry</w:t>
      </w:r>
      <w:r w:rsidRPr="00B3251C">
        <w:rPr>
          <w:rFonts w:eastAsia="Perpetua" w:cs="Perpetua"/>
        </w:rPr>
        <w:t xml:space="preserve"> </w:t>
      </w:r>
      <w:r w:rsidRPr="00B3251C">
        <w:rPr>
          <w:rFonts w:eastAsia="Perpetua" w:cs="Perpetua"/>
          <w:spacing w:val="-1"/>
        </w:rPr>
        <w:t>so</w:t>
      </w:r>
      <w:r w:rsidRPr="00B3251C">
        <w:rPr>
          <w:rFonts w:eastAsia="Perpetua" w:cs="Perpetua"/>
        </w:rPr>
        <w:t xml:space="preserve"> </w:t>
      </w:r>
      <w:r w:rsidRPr="00B3251C">
        <w:rPr>
          <w:rFonts w:eastAsia="Perpetua" w:cs="Perpetua"/>
          <w:spacing w:val="-1"/>
        </w:rPr>
        <w:t>completely in</w:t>
      </w:r>
      <w:r w:rsidRPr="00B3251C">
        <w:rPr>
          <w:rFonts w:eastAsia="Perpetua" w:cs="Perpetua"/>
        </w:rPr>
        <w:t xml:space="preserve"> </w:t>
      </w:r>
      <w:r w:rsidRPr="00B3251C">
        <w:rPr>
          <w:rFonts w:eastAsia="Perpetua" w:cs="Perpetua"/>
          <w:spacing w:val="-1"/>
        </w:rPr>
        <w:t>the spirit</w:t>
      </w:r>
      <w:r w:rsidRPr="00B3251C">
        <w:rPr>
          <w:rFonts w:eastAsia="Perpetua" w:cs="Perpetua"/>
        </w:rPr>
        <w:t xml:space="preserve"> </w:t>
      </w:r>
      <w:r w:rsidRPr="00B3251C">
        <w:rPr>
          <w:rFonts w:eastAsia="Perpetua" w:cs="Perpetua"/>
          <w:spacing w:val="-1"/>
        </w:rPr>
        <w:t>and</w:t>
      </w:r>
      <w:r w:rsidRPr="00B3251C">
        <w:rPr>
          <w:rFonts w:eastAsia="Perpetua" w:cs="Perpetua"/>
        </w:rPr>
        <w:t xml:space="preserve"> </w:t>
      </w:r>
      <w:r w:rsidRPr="00B3251C">
        <w:rPr>
          <w:rFonts w:eastAsia="Perpetua" w:cs="Perpetua"/>
          <w:spacing w:val="-1"/>
        </w:rPr>
        <w:t>power</w:t>
      </w:r>
      <w:r w:rsidRPr="00B3251C">
        <w:rPr>
          <w:rFonts w:eastAsia="Perpetua" w:cs="Perpetua"/>
        </w:rPr>
        <w:t xml:space="preserve"> </w:t>
      </w:r>
      <w:r w:rsidRPr="00B3251C">
        <w:rPr>
          <w:rFonts w:eastAsia="Perpetua" w:cs="Perpetua"/>
          <w:spacing w:val="-1"/>
        </w:rPr>
        <w:t>of</w:t>
      </w:r>
      <w:r w:rsidRPr="00B3251C">
        <w:rPr>
          <w:rFonts w:eastAsia="Perpetua" w:cs="Perpetua"/>
        </w:rPr>
        <w:t xml:space="preserve"> </w:t>
      </w:r>
      <w:r w:rsidRPr="00B3251C">
        <w:rPr>
          <w:rFonts w:eastAsia="Perpetua" w:cs="Perpetua"/>
          <w:spacing w:val="-1"/>
        </w:rPr>
        <w:t xml:space="preserve">Elijah’s </w:t>
      </w:r>
      <w:r w:rsidRPr="00B3251C">
        <w:rPr>
          <w:rFonts w:eastAsia="Perpetua" w:cs="Perpetua"/>
          <w:spacing w:val="-2"/>
        </w:rPr>
        <w:t>future</w:t>
      </w:r>
      <w:r w:rsidRPr="00B3251C">
        <w:rPr>
          <w:rFonts w:eastAsia="Perpetua" w:cs="Perpetua"/>
        </w:rPr>
        <w:t xml:space="preserve"> </w:t>
      </w:r>
      <w:r w:rsidRPr="00B3251C">
        <w:rPr>
          <w:rFonts w:eastAsia="Perpetua" w:cs="Perpetua"/>
          <w:spacing w:val="-1"/>
        </w:rPr>
        <w:t>ministry</w:t>
      </w:r>
      <w:r w:rsidRPr="00B3251C">
        <w:rPr>
          <w:rFonts w:eastAsia="Perpetua" w:cs="Perpetua"/>
          <w:spacing w:val="1"/>
        </w:rPr>
        <w:t xml:space="preserve"> </w:t>
      </w:r>
      <w:r w:rsidRPr="00B3251C">
        <w:rPr>
          <w:rFonts w:eastAsia="Perpetua" w:cs="Perpetua"/>
          <w:spacing w:val="-1"/>
        </w:rPr>
        <w:t>(Lk.</w:t>
      </w:r>
      <w:r w:rsidRPr="00B3251C">
        <w:rPr>
          <w:rFonts w:eastAsia="Perpetua" w:cs="Perpetua"/>
        </w:rPr>
        <w:t xml:space="preserve"> </w:t>
      </w:r>
      <w:r w:rsidRPr="00B3251C">
        <w:rPr>
          <w:rFonts w:eastAsia="Perpetua" w:cs="Perpetua"/>
          <w:spacing w:val="-1"/>
        </w:rPr>
        <w:t>1:17)</w:t>
      </w:r>
      <w:r w:rsidRPr="00B3251C">
        <w:rPr>
          <w:rFonts w:eastAsia="Perpetua" w:cs="Perpetua"/>
        </w:rPr>
        <w:t xml:space="preserve"> </w:t>
      </w:r>
      <w:r w:rsidRPr="00B3251C">
        <w:rPr>
          <w:rFonts w:eastAsia="Perpetua" w:cs="Perpetua"/>
          <w:spacing w:val="-1"/>
        </w:rPr>
        <w:t>that</w:t>
      </w:r>
      <w:r w:rsidRPr="00B3251C">
        <w:rPr>
          <w:rFonts w:eastAsia="Perpetua" w:cs="Perpetua"/>
          <w:spacing w:val="-2"/>
        </w:rPr>
        <w:t xml:space="preserve"> </w:t>
      </w:r>
      <w:r w:rsidRPr="00B3251C">
        <w:rPr>
          <w:rFonts w:eastAsia="Perpetua" w:cs="Perpetua"/>
          <w:spacing w:val="-1"/>
        </w:rPr>
        <w:t>in</w:t>
      </w:r>
      <w:r w:rsidRPr="00B3251C">
        <w:rPr>
          <w:rFonts w:eastAsia="Perpetua" w:cs="Perpetua"/>
        </w:rPr>
        <w:t xml:space="preserve"> </w:t>
      </w:r>
      <w:r w:rsidRPr="00B3251C">
        <w:rPr>
          <w:rFonts w:eastAsia="Perpetua" w:cs="Perpetua"/>
          <w:spacing w:val="-1"/>
        </w:rPr>
        <w:t>an</w:t>
      </w:r>
      <w:r w:rsidRPr="00B3251C">
        <w:rPr>
          <w:rFonts w:eastAsia="Perpetua" w:cs="Perpetua"/>
        </w:rPr>
        <w:t xml:space="preserve"> </w:t>
      </w:r>
      <w:r w:rsidRPr="00B3251C">
        <w:rPr>
          <w:rFonts w:eastAsia="Perpetua" w:cs="Perpetua"/>
          <w:spacing w:val="-1"/>
        </w:rPr>
        <w:t>adumbrative</w:t>
      </w:r>
      <w:r w:rsidRPr="00B3251C">
        <w:rPr>
          <w:rFonts w:eastAsia="Perpetua" w:cs="Perpetua"/>
        </w:rPr>
        <w:t xml:space="preserve"> </w:t>
      </w:r>
      <w:r w:rsidRPr="00B3251C">
        <w:rPr>
          <w:rFonts w:eastAsia="Perpetua" w:cs="Perpetua"/>
          <w:spacing w:val="-1"/>
        </w:rPr>
        <w:t>and</w:t>
      </w:r>
      <w:r w:rsidRPr="00B3251C">
        <w:rPr>
          <w:rFonts w:eastAsia="Perpetua" w:cs="Perpetua"/>
        </w:rPr>
        <w:t xml:space="preserve"> </w:t>
      </w:r>
      <w:r w:rsidRPr="00B3251C">
        <w:rPr>
          <w:rFonts w:eastAsia="Perpetua" w:cs="Perpetua"/>
          <w:spacing w:val="-1"/>
        </w:rPr>
        <w:t>typical</w:t>
      </w:r>
      <w:r w:rsidRPr="00B3251C">
        <w:rPr>
          <w:rFonts w:eastAsia="Perpetua" w:cs="Perpetua"/>
          <w:spacing w:val="45"/>
        </w:rPr>
        <w:t xml:space="preserve"> </w:t>
      </w:r>
      <w:r w:rsidRPr="00B3251C">
        <w:rPr>
          <w:rFonts w:eastAsia="Perpetua" w:cs="Perpetua"/>
          <w:spacing w:val="-1"/>
        </w:rPr>
        <w:t>sense</w:t>
      </w:r>
      <w:r w:rsidRPr="00B3251C">
        <w:rPr>
          <w:rFonts w:eastAsia="Perpetua" w:cs="Perpetua"/>
        </w:rPr>
        <w:t xml:space="preserve"> </w:t>
      </w:r>
      <w:r w:rsidRPr="00B3251C">
        <w:rPr>
          <w:rFonts w:eastAsia="Perpetua" w:cs="Perpetua"/>
          <w:spacing w:val="-1"/>
        </w:rPr>
        <w:t>it</w:t>
      </w:r>
      <w:r w:rsidRPr="00B3251C">
        <w:rPr>
          <w:rFonts w:eastAsia="Perpetua" w:cs="Perpetua"/>
        </w:rPr>
        <w:t xml:space="preserve"> could be </w:t>
      </w:r>
      <w:r w:rsidRPr="00B3251C">
        <w:rPr>
          <w:rFonts w:eastAsia="Perpetua" w:cs="Perpetua"/>
          <w:spacing w:val="-1"/>
        </w:rPr>
        <w:t>said</w:t>
      </w:r>
      <w:r w:rsidRPr="00B3251C">
        <w:rPr>
          <w:rFonts w:eastAsia="Perpetua" w:cs="Perpetua"/>
        </w:rPr>
        <w:t xml:space="preserve"> </w:t>
      </w:r>
      <w:r w:rsidRPr="00B3251C">
        <w:rPr>
          <w:rFonts w:eastAsia="Perpetua" w:cs="Perpetua"/>
          <w:spacing w:val="-1"/>
        </w:rPr>
        <w:t>“Elias</w:t>
      </w:r>
      <w:r w:rsidRPr="00B3251C">
        <w:rPr>
          <w:rFonts w:eastAsia="Perpetua" w:cs="Perpetua"/>
        </w:rPr>
        <w:t xml:space="preserve"> </w:t>
      </w:r>
      <w:r w:rsidRPr="00B3251C">
        <w:rPr>
          <w:rFonts w:eastAsia="Perpetua" w:cs="Perpetua"/>
          <w:spacing w:val="-1"/>
        </w:rPr>
        <w:t>is</w:t>
      </w:r>
      <w:r w:rsidRPr="00B3251C">
        <w:rPr>
          <w:rFonts w:eastAsia="Perpetua" w:cs="Perpetua"/>
        </w:rPr>
        <w:t xml:space="preserve"> come </w:t>
      </w:r>
      <w:r w:rsidRPr="00B3251C">
        <w:rPr>
          <w:rFonts w:eastAsia="Perpetua" w:cs="Perpetua"/>
          <w:spacing w:val="-2"/>
        </w:rPr>
        <w:t>already”’.</w:t>
      </w:r>
      <w:r>
        <w:rPr>
          <w:rStyle w:val="EndnoteReference"/>
          <w:rFonts w:eastAsia="Perpetua" w:cs="Perpetua"/>
          <w:spacing w:val="-2"/>
        </w:rPr>
        <w:endnoteReference w:id="852"/>
      </w:r>
    </w:p>
    <w:p w:rsidR="00442D33" w:rsidRPr="00191C8B" w:rsidRDefault="00442D33" w:rsidP="00442D33">
      <w:pPr>
        <w:spacing w:after="120" w:line="360" w:lineRule="auto"/>
        <w:ind w:right="95" w:firstLine="567"/>
        <w:jc w:val="both"/>
        <w:rPr>
          <w:rFonts w:eastAsia="Perpetua" w:cs="Perpetua"/>
          <w:spacing w:val="-2"/>
        </w:rPr>
      </w:pPr>
      <w:r w:rsidRPr="00191C8B">
        <w:rPr>
          <w:i/>
          <w:spacing w:val="-2"/>
        </w:rPr>
        <w:t xml:space="preserve">SRB </w:t>
      </w:r>
      <w:r w:rsidRPr="00191C8B">
        <w:rPr>
          <w:spacing w:val="-2"/>
        </w:rPr>
        <w:t>also includes types for law and grace, where Hagar is said to typify the Law</w:t>
      </w:r>
      <w:r w:rsidRPr="00191C8B">
        <w:rPr>
          <w:rStyle w:val="EndnoteReference"/>
          <w:spacing w:val="-2"/>
        </w:rPr>
        <w:endnoteReference w:id="853"/>
      </w:r>
      <w:r w:rsidRPr="00191C8B">
        <w:rPr>
          <w:spacing w:val="-2"/>
        </w:rPr>
        <w:t xml:space="preserve"> and Sarah, grace.</w:t>
      </w:r>
      <w:r w:rsidRPr="00191C8B">
        <w:rPr>
          <w:rStyle w:val="EndnoteReference"/>
          <w:spacing w:val="-2"/>
        </w:rPr>
        <w:endnoteReference w:id="854"/>
      </w:r>
      <w:r w:rsidRPr="00191C8B">
        <w:rPr>
          <w:spacing w:val="-2"/>
        </w:rPr>
        <w:t xml:space="preserve">  The feast of firstfruits is typical of resurrection first of Christ and then of </w:t>
      </w:r>
      <w:r w:rsidRPr="00191C8B">
        <w:rPr>
          <w:rFonts w:eastAsia="Perpetua" w:cs="Perpetua"/>
          <w:spacing w:val="-2"/>
        </w:rPr>
        <w:t>‘</w:t>
      </w:r>
      <w:r w:rsidRPr="00191C8B">
        <w:rPr>
          <w:spacing w:val="-2"/>
        </w:rPr>
        <w:t>those who are His at His coming</w:t>
      </w:r>
      <w:r w:rsidRPr="00191C8B">
        <w:rPr>
          <w:rFonts w:eastAsia="Perpetua" w:cs="Perpetua"/>
          <w:spacing w:val="-2"/>
        </w:rPr>
        <w:t>’</w:t>
      </w:r>
      <w:r w:rsidRPr="00191C8B">
        <w:rPr>
          <w:spacing w:val="-2"/>
        </w:rPr>
        <w:t>.</w:t>
      </w:r>
      <w:r w:rsidRPr="00191C8B">
        <w:rPr>
          <w:rStyle w:val="EndnoteReference"/>
          <w:spacing w:val="-2"/>
        </w:rPr>
        <w:endnoteReference w:id="855"/>
      </w:r>
      <w:r w:rsidRPr="00191C8B">
        <w:rPr>
          <w:spacing w:val="-2"/>
        </w:rPr>
        <w:t xml:space="preserve">  Psalm 69:25 is held to typify Judas as a member of his generation, which shared his guilt.</w:t>
      </w:r>
      <w:r w:rsidRPr="00191C8B">
        <w:rPr>
          <w:rStyle w:val="EndnoteReference"/>
          <w:spacing w:val="-2"/>
        </w:rPr>
        <w:endnoteReference w:id="856"/>
      </w:r>
    </w:p>
    <w:p w:rsidR="00442D33" w:rsidRPr="00977404" w:rsidRDefault="00442D33" w:rsidP="00442D33">
      <w:pPr>
        <w:spacing w:after="120" w:line="360" w:lineRule="auto"/>
        <w:ind w:right="-28" w:firstLine="567"/>
        <w:jc w:val="both"/>
        <w:rPr>
          <w:szCs w:val="24"/>
        </w:rPr>
      </w:pPr>
      <w:r>
        <w:t>In conclusion, reflecting upon Scofield’s use of types, it seems that Scofield very rarely keeps to the rule he laid down for himself in his note on Exod. 25:1, where types must necessarily be justified by explicit New Testament references.</w:t>
      </w:r>
      <w:r>
        <w:rPr>
          <w:rStyle w:val="EndnoteReference"/>
        </w:rPr>
        <w:endnoteReference w:id="857"/>
      </w:r>
      <w:r>
        <w:t xml:space="preserve">  The majority of Scofield’s alleged ‘types’ only bear ‘the </w:t>
      </w:r>
      <w:r w:rsidRPr="006C0D4F">
        <w:rPr>
          <w:szCs w:val="24"/>
        </w:rPr>
        <w:t>authority of analogy, or spiritual congruity</w:t>
      </w:r>
      <w:r>
        <w:rPr>
          <w:szCs w:val="24"/>
        </w:rPr>
        <w:t>’</w:t>
      </w:r>
      <w:r w:rsidRPr="006C0D4F">
        <w:rPr>
          <w:szCs w:val="24"/>
        </w:rPr>
        <w:t>,</w:t>
      </w:r>
      <w:r>
        <w:rPr>
          <w:rStyle w:val="EndnoteReference"/>
          <w:szCs w:val="24"/>
        </w:rPr>
        <w:endnoteReference w:id="858"/>
      </w:r>
      <w:r w:rsidRPr="006C0D4F">
        <w:rPr>
          <w:szCs w:val="24"/>
        </w:rPr>
        <w:t xml:space="preserve"> </w:t>
      </w:r>
      <w:r>
        <w:rPr>
          <w:szCs w:val="24"/>
        </w:rPr>
        <w:t>or are even the fruit of Scofield’s own imagination.</w:t>
      </w:r>
      <w:r w:rsidRPr="006C0D4F">
        <w:rPr>
          <w:i/>
          <w:szCs w:val="24"/>
        </w:rPr>
        <w:t xml:space="preserve">  </w:t>
      </w:r>
      <w:r w:rsidRPr="00E03723">
        <w:rPr>
          <w:szCs w:val="24"/>
        </w:rPr>
        <w:t xml:space="preserve">Campbell states that </w:t>
      </w:r>
      <w:r>
        <w:rPr>
          <w:szCs w:val="24"/>
        </w:rPr>
        <w:t xml:space="preserve">continued employment of </w:t>
      </w:r>
      <w:r w:rsidRPr="00E03723">
        <w:rPr>
          <w:szCs w:val="24"/>
        </w:rPr>
        <w:t>‘unrestrained typology</w:t>
      </w:r>
      <w:r>
        <w:rPr>
          <w:szCs w:val="24"/>
        </w:rPr>
        <w:t>’ has meant that ‘the entire subject has been brought into disrepute’.</w:t>
      </w:r>
      <w:r>
        <w:rPr>
          <w:rStyle w:val="EndnoteReference"/>
          <w:szCs w:val="24"/>
        </w:rPr>
        <w:endnoteReference w:id="859"/>
      </w:r>
      <w:r>
        <w:rPr>
          <w:szCs w:val="24"/>
        </w:rPr>
        <w:t xml:space="preserve">  It seems to me that unjustified comparisons between the Church and the moon and Eve, between the stars and believers, and between some of the tabernacle elements and Christ fall into this </w:t>
      </w:r>
      <w:r>
        <w:rPr>
          <w:szCs w:val="24"/>
        </w:rPr>
        <w:lastRenderedPageBreak/>
        <w:t xml:space="preserve">category.  </w:t>
      </w:r>
      <w:r w:rsidRPr="00977404">
        <w:rPr>
          <w:szCs w:val="24"/>
        </w:rPr>
        <w:t>I believe that</w:t>
      </w:r>
      <w:r w:rsidRPr="00977404">
        <w:t xml:space="preserve"> some of Scofield’s loose typological associations </w:t>
      </w:r>
      <w:r w:rsidRPr="00977404">
        <w:rPr>
          <w:szCs w:val="24"/>
        </w:rPr>
        <w:t xml:space="preserve">well reflect </w:t>
      </w:r>
      <w:r>
        <w:rPr>
          <w:szCs w:val="24"/>
        </w:rPr>
        <w:t>the</w:t>
      </w:r>
      <w:r w:rsidRPr="00977404">
        <w:rPr>
          <w:szCs w:val="24"/>
        </w:rPr>
        <w:t xml:space="preserve"> prominent premillennialist method </w:t>
      </w:r>
      <w:r w:rsidRPr="00977404">
        <w:t>known as ‘Bible Readings’, which ‘featured in the Bible conference movement’.</w:t>
      </w:r>
      <w:r w:rsidRPr="00977404">
        <w:rPr>
          <w:rStyle w:val="EndnoteReference"/>
        </w:rPr>
        <w:endnoteReference w:id="860"/>
      </w:r>
      <w:r w:rsidRPr="00977404">
        <w:rPr>
          <w:szCs w:val="24"/>
        </w:rPr>
        <w:t xml:space="preserve"> </w:t>
      </w:r>
    </w:p>
    <w:p w:rsidR="00442D33" w:rsidRPr="00E9164F" w:rsidRDefault="00442D33" w:rsidP="00442D33">
      <w:pPr>
        <w:spacing w:after="120" w:line="360" w:lineRule="auto"/>
        <w:ind w:right="-28"/>
        <w:jc w:val="both"/>
        <w:rPr>
          <w:b/>
        </w:rPr>
      </w:pPr>
      <w:proofErr w:type="gramStart"/>
      <w:r w:rsidRPr="00E9164F">
        <w:rPr>
          <w:b/>
        </w:rPr>
        <w:t>2.4  The</w:t>
      </w:r>
      <w:proofErr w:type="gramEnd"/>
      <w:r w:rsidRPr="00E9164F">
        <w:rPr>
          <w:b/>
        </w:rPr>
        <w:t xml:space="preserve"> Bible Readings Method</w:t>
      </w:r>
    </w:p>
    <w:p w:rsidR="00442D33" w:rsidRPr="00E9164F" w:rsidRDefault="00442D33" w:rsidP="00442D33">
      <w:pPr>
        <w:spacing w:after="120" w:line="360" w:lineRule="auto"/>
        <w:ind w:right="-28"/>
        <w:jc w:val="both"/>
      </w:pPr>
      <w:r w:rsidRPr="00E9164F">
        <w:t>Using the Bible Readings method, a preacher would select a number of verses which he saw as pertaining to a certain subject and use these in his address.  Weber cites James Brookes, who was Scofield’s sole tutor, as urging preachers to ‘select some word, as faith, repentance, love, hope, justification, sanctification, and with the aid of a good Concordance, mark down before the time of the meeting the references to the subject under discussion’.</w:t>
      </w:r>
      <w:r w:rsidRPr="00E9164F">
        <w:rPr>
          <w:rStyle w:val="EndnoteReference"/>
        </w:rPr>
        <w:endnoteReference w:id="861"/>
      </w:r>
      <w:r w:rsidRPr="00E9164F">
        <w:t xml:space="preserve">  Blaising calls this ‘a practice of stringing texts together dealing with a common word, phrase or theme’.</w:t>
      </w:r>
      <w:r w:rsidRPr="00E9164F">
        <w:rPr>
          <w:rStyle w:val="EndnoteReference"/>
        </w:rPr>
        <w:endnoteReference w:id="862"/>
      </w:r>
      <w:r w:rsidRPr="00E9164F">
        <w:t xml:space="preserve">  He also dubs it ‘a kind of concordance organization of biblical passages under doctrinal headings, keying in on thematic terms and phrases’ and specifies Brookes’ journal, </w:t>
      </w:r>
      <w:r w:rsidRPr="00E9164F">
        <w:rPr>
          <w:i/>
        </w:rPr>
        <w:t>Truth</w:t>
      </w:r>
      <w:r w:rsidRPr="00E9164F">
        <w:t>, as an example of this.</w:t>
      </w:r>
      <w:r w:rsidRPr="00E9164F">
        <w:rPr>
          <w:rStyle w:val="EndnoteReference"/>
        </w:rPr>
        <w:endnoteReference w:id="863"/>
      </w:r>
      <w:r w:rsidRPr="00E9164F">
        <w:t xml:space="preserve">  </w:t>
      </w:r>
    </w:p>
    <w:p w:rsidR="00442D33" w:rsidRPr="00E9164F" w:rsidRDefault="00442D33" w:rsidP="00442D33">
      <w:pPr>
        <w:spacing w:after="120" w:line="360" w:lineRule="auto"/>
        <w:ind w:right="-28" w:firstLine="567"/>
        <w:jc w:val="both"/>
        <w:rPr>
          <w:sz w:val="24"/>
        </w:rPr>
      </w:pPr>
      <w:r w:rsidRPr="00E9164F">
        <w:t xml:space="preserve">Brookes himself provides a good example of the technique in his 1877 book, </w:t>
      </w:r>
      <w:r w:rsidRPr="00E9164F">
        <w:rPr>
          <w:i/>
        </w:rPr>
        <w:t>Bible Reading on the Second Coming of Christ</w:t>
      </w:r>
      <w:r w:rsidR="00B73D27">
        <w:rPr>
          <w:i/>
        </w:rPr>
        <w:t xml:space="preserve"> According to the Scriptures</w:t>
      </w:r>
      <w:r w:rsidRPr="00E9164F">
        <w:t>.</w:t>
      </w:r>
      <w:r w:rsidRPr="00E9164F">
        <w:rPr>
          <w:rStyle w:val="EndnoteReference"/>
        </w:rPr>
        <w:endnoteReference w:id="864"/>
      </w:r>
      <w:r w:rsidRPr="00E9164F">
        <w:t xml:space="preserve">  Each of the twelve chapters consists of a brief introduction, which sets forth the point being made; this is followed by a series of biblical texts.  Brookes introduces chapter 1 by stating that the second coming is mentioned 318 times in the 260 chapters of the New Testament.  Fifty-six texts are then listed as examples.  Occasionally a short interpolation by the author interrupts the sequence.  William Blackstone uses a similar technique in </w:t>
      </w:r>
      <w:r w:rsidRPr="00E9164F">
        <w:rPr>
          <w:i/>
        </w:rPr>
        <w:t>Jesus is Coming</w:t>
      </w:r>
      <w:r w:rsidRPr="00E9164F">
        <w:t>, providing more comment but including extensive biblical quotations in his footnotes,</w:t>
      </w:r>
      <w:r w:rsidRPr="00E9164F">
        <w:rPr>
          <w:rStyle w:val="EndnoteReference"/>
        </w:rPr>
        <w:endnoteReference w:id="865"/>
      </w:r>
      <w:r w:rsidRPr="00E9164F">
        <w:t xml:space="preserve"> and Scofield employs a comparable method in </w:t>
      </w:r>
      <w:r w:rsidRPr="00E9164F">
        <w:rPr>
          <w:i/>
        </w:rPr>
        <w:t>Rightly Dividing the Word of Truth</w:t>
      </w:r>
      <w:r w:rsidRPr="00E9164F">
        <w:t>.</w:t>
      </w:r>
      <w:r w:rsidRPr="00E9164F">
        <w:rPr>
          <w:rStyle w:val="EndnoteReference"/>
        </w:rPr>
        <w:endnoteReference w:id="866"/>
      </w:r>
      <w:r w:rsidRPr="00E9164F">
        <w:t xml:space="preserve">  However, here the biblical quotations are interspersed with more text, to which they act as illustrations.  As </w:t>
      </w:r>
      <w:r w:rsidR="00191C8B">
        <w:t xml:space="preserve">has already been indicated and </w:t>
      </w:r>
      <w:r w:rsidRPr="00E9164F">
        <w:t xml:space="preserve">will be shown below, many of the associations made by Scofield in </w:t>
      </w:r>
      <w:r w:rsidRPr="00E9164F">
        <w:rPr>
          <w:i/>
        </w:rPr>
        <w:t>SRB</w:t>
      </w:r>
      <w:r w:rsidRPr="00E9164F">
        <w:t xml:space="preserve"> may fall into the category of ‘Bible Readings’.  Blaising states that, among contemporary dispensationalists, ‘Scofieldian views were thought to be inductive summaries of Scripture, often presented in typical Bible reading format’.</w:t>
      </w:r>
      <w:r w:rsidRPr="00E9164F">
        <w:rPr>
          <w:rStyle w:val="EndnoteReference"/>
        </w:rPr>
        <w:endnoteReference w:id="867"/>
      </w:r>
      <w:r w:rsidRPr="00E9164F">
        <w:t xml:space="preserve">  Scofield was an active participant in the Bible conference movement.  </w:t>
      </w:r>
      <w:r w:rsidRPr="00E9164F">
        <w:rPr>
          <w:rFonts w:cs="Perpetua"/>
        </w:rPr>
        <w:t>He is listed amongst the speakers at the Niagara conferences.</w:t>
      </w:r>
      <w:r w:rsidRPr="00E9164F">
        <w:rPr>
          <w:rStyle w:val="EndnoteReference"/>
          <w:rFonts w:cs="Perpetua"/>
        </w:rPr>
        <w:endnoteReference w:id="868"/>
      </w:r>
      <w:r w:rsidRPr="00E9164F">
        <w:rPr>
          <w:rFonts w:cs="Perpetua"/>
          <w:position w:val="9"/>
          <w:sz w:val="15"/>
          <w:szCs w:val="13"/>
        </w:rPr>
        <w:t xml:space="preserve">  </w:t>
      </w:r>
      <w:r w:rsidRPr="00E9164F">
        <w:rPr>
          <w:rFonts w:cs="Perpetua"/>
        </w:rPr>
        <w:t>When these conferences ceased, he was instrumental in initiating the Northfield and Sea Cliff</w:t>
      </w:r>
      <w:r w:rsidRPr="00E9164F">
        <w:rPr>
          <w:rFonts w:cs="Perpetua"/>
          <w:w w:val="99"/>
        </w:rPr>
        <w:t xml:space="preserve"> </w:t>
      </w:r>
      <w:r w:rsidRPr="00E9164F">
        <w:rPr>
          <w:rFonts w:cs="Perpetua"/>
        </w:rPr>
        <w:t>conferences, based on the principle of the great need at the start of the new century to keep the testimony</w:t>
      </w:r>
      <w:r w:rsidRPr="00E9164F">
        <w:rPr>
          <w:rFonts w:cs="Perpetua"/>
          <w:w w:val="99"/>
        </w:rPr>
        <w:t xml:space="preserve"> </w:t>
      </w:r>
      <w:r w:rsidRPr="00E9164F">
        <w:rPr>
          <w:rFonts w:cs="Perpetua"/>
        </w:rPr>
        <w:t>alive, ‘especially to bear witness to “that blessed hope”’. It was at the first Sea Cliff conference in 1901 that</w:t>
      </w:r>
      <w:r w:rsidRPr="00E9164F">
        <w:rPr>
          <w:rFonts w:cs="Perpetua"/>
          <w:w w:val="99"/>
        </w:rPr>
        <w:t xml:space="preserve"> </w:t>
      </w:r>
      <w:r w:rsidRPr="00E9164F">
        <w:rPr>
          <w:rFonts w:cs="Perpetua"/>
        </w:rPr>
        <w:t>Scofield confided to Arno Gaebelein his dream of producing ‘a Reference Bible’.</w:t>
      </w:r>
      <w:r w:rsidRPr="00E9164F">
        <w:rPr>
          <w:rStyle w:val="EndnoteReference"/>
          <w:rFonts w:cs="Perpetua"/>
        </w:rPr>
        <w:endnoteReference w:id="869"/>
      </w:r>
    </w:p>
    <w:p w:rsidR="00442D33" w:rsidRDefault="00442D33" w:rsidP="00442D33">
      <w:pPr>
        <w:spacing w:after="120" w:line="360" w:lineRule="auto"/>
        <w:ind w:right="-28" w:firstLine="567"/>
        <w:jc w:val="both"/>
      </w:pPr>
      <w:r w:rsidRPr="00E9164F">
        <w:t>Weber notes that ‘conservatives who wanted their beliefs based on the Bible alone were naturally impressed when passage was piled on passage’ according to the ‘Bible Readings’ method.</w:t>
      </w:r>
      <w:r w:rsidRPr="00E9164F">
        <w:rPr>
          <w:rStyle w:val="EndnoteReference"/>
        </w:rPr>
        <w:endnoteReference w:id="870"/>
      </w:r>
      <w:r w:rsidRPr="00E9164F">
        <w:t xml:space="preserve">  In his introduction to </w:t>
      </w:r>
      <w:r w:rsidRPr="00E9164F">
        <w:rPr>
          <w:i/>
        </w:rPr>
        <w:t>Bible Reading on the Second Coming</w:t>
      </w:r>
      <w:r w:rsidR="00CC705D">
        <w:rPr>
          <w:i/>
        </w:rPr>
        <w:t xml:space="preserve"> According to the Scriptures</w:t>
      </w:r>
      <w:r w:rsidRPr="00E9164F">
        <w:t>, George Needham commends Brookes for ‘collating the scriptures bearing on [the church’s] true hope and kindred subjects’.  He avers that ‘little that is human is introduced save the expository paragraphs heading each chapter, with explanatory remarks interwoven throughout …</w:t>
      </w:r>
      <w:proofErr w:type="gramStart"/>
      <w:r w:rsidRPr="00E9164F">
        <w:t>’.</w:t>
      </w:r>
      <w:proofErr w:type="gramEnd"/>
      <w:r w:rsidRPr="00E9164F">
        <w:rPr>
          <w:rStyle w:val="EndnoteReference"/>
        </w:rPr>
        <w:endnoteReference w:id="871"/>
      </w:r>
      <w:r w:rsidRPr="00E9164F">
        <w:t xml:space="preserve">  However, Weber points out that ‘[Needham’s] appraisal obviously ignored the important role of the Bible reader in selecting which passages were read or </w:t>
      </w:r>
      <w:r w:rsidRPr="00E9164F">
        <w:lastRenderedPageBreak/>
        <w:t>the limit of “proof texting” to arrive at theological conclusions’.</w:t>
      </w:r>
      <w:r w:rsidRPr="00E9164F">
        <w:rPr>
          <w:rStyle w:val="EndnoteReference"/>
        </w:rPr>
        <w:endnoteReference w:id="872"/>
      </w:r>
      <w:r w:rsidRPr="00E9164F">
        <w:t xml:space="preserve">  Blaising states that ‘these texts were then read one after the other, sometimes without much regard for context.  Implications were then drawn from the exercise.’</w:t>
      </w:r>
      <w:r w:rsidRPr="00E9164F">
        <w:rPr>
          <w:rStyle w:val="EndnoteReference"/>
        </w:rPr>
        <w:endnoteReference w:id="873"/>
      </w:r>
      <w:r w:rsidRPr="00E9164F">
        <w:t xml:space="preserve">  </w:t>
      </w:r>
      <w:r w:rsidR="0008585B" w:rsidRPr="00EF5AE3">
        <w:rPr>
          <w:spacing w:val="-2"/>
        </w:rPr>
        <w:t xml:space="preserve">Ramm’s caveat with regard to ‘an uncritical association of cross </w:t>
      </w:r>
      <w:proofErr w:type="gramStart"/>
      <w:r w:rsidR="0008585B" w:rsidRPr="00EF5AE3">
        <w:rPr>
          <w:spacing w:val="-2"/>
        </w:rPr>
        <w:t>references</w:t>
      </w:r>
      <w:r w:rsidR="00B21F66" w:rsidRPr="00EF5AE3">
        <w:rPr>
          <w:spacing w:val="-2"/>
        </w:rPr>
        <w:t>’</w:t>
      </w:r>
      <w:proofErr w:type="gramEnd"/>
      <w:r w:rsidR="0008585B" w:rsidRPr="00EF5AE3">
        <w:rPr>
          <w:spacing w:val="-2"/>
        </w:rPr>
        <w:t xml:space="preserve"> was </w:t>
      </w:r>
      <w:r w:rsidR="00191C8B" w:rsidRPr="00EF5AE3">
        <w:rPr>
          <w:spacing w:val="-2"/>
        </w:rPr>
        <w:t>mentioned</w:t>
      </w:r>
      <w:r w:rsidR="0008585B" w:rsidRPr="00EF5AE3">
        <w:rPr>
          <w:spacing w:val="-2"/>
        </w:rPr>
        <w:t xml:space="preserve"> in 1.2.1.</w:t>
      </w:r>
      <w:r w:rsidR="0008585B" w:rsidRPr="00EF5AE3">
        <w:rPr>
          <w:rStyle w:val="EndnoteReference"/>
          <w:rFonts w:cs="Times New Roman"/>
          <w:spacing w:val="-2"/>
          <w:szCs w:val="24"/>
        </w:rPr>
        <w:endnoteReference w:id="874"/>
      </w:r>
      <w:r w:rsidR="0008585B" w:rsidRPr="00EF5AE3">
        <w:rPr>
          <w:spacing w:val="-2"/>
        </w:rPr>
        <w:t xml:space="preserve">  </w:t>
      </w:r>
      <w:r w:rsidRPr="00EF5AE3">
        <w:rPr>
          <w:spacing w:val="-2"/>
        </w:rPr>
        <w:t>Bock emphasises the need for caution; interpreters should check ‘genre and thematic, literary categories before integrating [a passage] with the message of other texts given in other settings’.  He warns, ‘If we’re not careful, we can read a text in a way that dilutes another text’s message.’</w:t>
      </w:r>
      <w:r w:rsidRPr="00EF5AE3">
        <w:rPr>
          <w:rStyle w:val="EndnoteReference"/>
          <w:spacing w:val="-2"/>
        </w:rPr>
        <w:endnoteReference w:id="875"/>
      </w:r>
      <w:r w:rsidRPr="00E9164F">
        <w:t xml:space="preserve">  </w:t>
      </w:r>
    </w:p>
    <w:p w:rsidR="00442D33" w:rsidRPr="001615D8" w:rsidRDefault="00442D33" w:rsidP="00442D33">
      <w:pPr>
        <w:spacing w:after="120" w:line="360" w:lineRule="auto"/>
        <w:ind w:right="-28"/>
        <w:jc w:val="both"/>
        <w:rPr>
          <w:b/>
          <w:sz w:val="24"/>
          <w:szCs w:val="24"/>
        </w:rPr>
      </w:pPr>
      <w:proofErr w:type="gramStart"/>
      <w:r w:rsidRPr="001615D8">
        <w:rPr>
          <w:b/>
          <w:sz w:val="24"/>
          <w:szCs w:val="24"/>
        </w:rPr>
        <w:t>2.</w:t>
      </w:r>
      <w:r>
        <w:rPr>
          <w:b/>
          <w:sz w:val="24"/>
          <w:szCs w:val="24"/>
        </w:rPr>
        <w:t xml:space="preserve">5 </w:t>
      </w:r>
      <w:r w:rsidRPr="001615D8">
        <w:rPr>
          <w:b/>
          <w:sz w:val="24"/>
          <w:szCs w:val="24"/>
        </w:rPr>
        <w:t xml:space="preserve"> Conclusion</w:t>
      </w:r>
      <w:proofErr w:type="gramEnd"/>
    </w:p>
    <w:p w:rsidR="00442D33" w:rsidRPr="00D94565" w:rsidRDefault="00442D33" w:rsidP="00442D33">
      <w:pPr>
        <w:spacing w:after="120" w:line="360" w:lineRule="auto"/>
        <w:ind w:right="-28"/>
        <w:jc w:val="both"/>
      </w:pPr>
      <w:r>
        <w:t xml:space="preserve">Scofield belongs within the evangelical Niagara tradition of the affirmation of the Bible as the inspired Word of God and its insistence that instruction was to be based on Scripture alone.  </w:t>
      </w:r>
      <w:r w:rsidR="009418E6">
        <w:t xml:space="preserve">He also displays evidence of the use of the characteristic Bible Readings method.  </w:t>
      </w:r>
      <w:r>
        <w:t>Scofield claims in his introduction to his original Reference Bible of 1909 and its 1917 successor that his notes are the result of the past fifty years of Bible study; Blaising avers that this ‘meant Niagara as well as other conferences spawned by it and various publications associated with it’.</w:t>
      </w:r>
      <w:r>
        <w:rPr>
          <w:rStyle w:val="EndnoteReference"/>
        </w:rPr>
        <w:endnoteReference w:id="876"/>
      </w:r>
      <w:r>
        <w:t xml:space="preserve">  This is feasible in view of Scofield’s intimate association with Niagara and other similar conferences.  </w:t>
      </w:r>
      <w:r w:rsidRPr="00432E49">
        <w:t>As Blaising also points out, however,</w:t>
      </w:r>
      <w:r>
        <w:t xml:space="preserve"> ‘numerous presentations on the same topics’ were allowable at such conferences and ‘the Scofield Bible gave only one’.  ‘While a typical Niagara perspective can be seen in Scofield’s notes, the singleness of the latter’s presentation masks differences of nuance and reservation in the former.’  It is interesting that Blaising suggests that Scofield would have called his system ‘premillennialism’ rather than ‘dispensationalism’, if he had chosen a name for it.</w:t>
      </w:r>
      <w:r>
        <w:rPr>
          <w:rStyle w:val="EndnoteReference"/>
        </w:rPr>
        <w:endnoteReference w:id="877"/>
      </w:r>
      <w:r>
        <w:t xml:space="preserve">  On the surface, Scofield appears to adhere to literal interpretation but some of his typological assertions take him outside the use of figurative language which would be acceptable, for example, to later writers like Ryrie, Tan and Campbell.  </w:t>
      </w:r>
    </w:p>
    <w:p w:rsidR="00442D33" w:rsidRDefault="00442D33" w:rsidP="00442D33">
      <w:pPr>
        <w:spacing w:after="120" w:line="360" w:lineRule="auto"/>
        <w:ind w:right="-28" w:firstLine="567"/>
        <w:jc w:val="both"/>
      </w:pPr>
      <w:r>
        <w:t xml:space="preserve">Scofield is typical of classic dispensationalism in his views on the inerrancy and historicity of the biblical text and expresses this belief in very particular ways, being especially keen to obviate any sense that the Bible may contain even the smallest discrepancy.  This is shown in his meticulous refutation of any numerical and narrative discrepancies which he considers may be perceptible.  His attempts to harmonise the gospel accounts sometimes go to lengths which cause him to abandon strict literal interpretation.  </w:t>
      </w:r>
    </w:p>
    <w:p w:rsidR="00442D33" w:rsidRDefault="00442D33" w:rsidP="00442D33">
      <w:pPr>
        <w:spacing w:after="120" w:line="360" w:lineRule="auto"/>
        <w:ind w:right="-28" w:firstLine="567"/>
        <w:jc w:val="both"/>
      </w:pPr>
      <w:r>
        <w:t xml:space="preserve">Sweetnam pertinently states that, although ‘literal interpretation of prophecy’ was Scofield’s ‘preferred means of understanding Divine revelation’, in </w:t>
      </w:r>
      <w:r w:rsidRPr="00D51D90">
        <w:rPr>
          <w:i/>
        </w:rPr>
        <w:t>SRB</w:t>
      </w:r>
      <w:r>
        <w:t xml:space="preserve"> ‘he does not engage in any explicit discussion of the importance of literal interpretation – rather it seems a given’.</w:t>
      </w:r>
      <w:r>
        <w:rPr>
          <w:rStyle w:val="EndnoteReference"/>
        </w:rPr>
        <w:endnoteReference w:id="878"/>
      </w:r>
      <w:r>
        <w:t xml:space="preserve">  In his treatment of prophecy Scofield certainly adheres to dispensationalist principles of literal interpretation; as he says in his </w:t>
      </w:r>
      <w:r w:rsidRPr="00C64E27">
        <w:rPr>
          <w:i/>
        </w:rPr>
        <w:t>Bible Correspondence Course</w:t>
      </w:r>
      <w:r>
        <w:t xml:space="preserve">, ‘[in prophecies] we reach the ground of </w:t>
      </w:r>
      <w:r w:rsidRPr="005E7AA6">
        <w:rPr>
          <w:b/>
        </w:rPr>
        <w:t>absolute literalness</w:t>
      </w:r>
      <w:r>
        <w:t>.  Figures are often found in the prophecies, but the figure invariably has a literal fulfilment.’</w:t>
      </w:r>
      <w:r>
        <w:rPr>
          <w:rStyle w:val="EndnoteReference"/>
        </w:rPr>
        <w:endnoteReference w:id="879"/>
      </w:r>
      <w:r>
        <w:t xml:space="preserve">  In this, Scofield partly agrees with and partly differs from Darby.  In ‘Thoughts on Isaiah the Prophet’, Darby might seem to endorse a consistently literal interpretation of prophecy: ‘To understand prophecy one must understand what God </w:t>
      </w:r>
      <w:r>
        <w:lastRenderedPageBreak/>
        <w:t>says as He says it, just believing simply the things as they are said.’</w:t>
      </w:r>
      <w:r>
        <w:rPr>
          <w:rStyle w:val="EndnoteReference"/>
        </w:rPr>
        <w:endnoteReference w:id="880"/>
      </w:r>
      <w:r>
        <w:t xml:space="preserve">  Such a statement could well have been made by Scofield; furthermore Scofield’s statement about the literal fulfilment of figures endorses Darby’s statement that ‘whatever figures the Spirit of God may use in depicting the ways of God or those of the enemy, the subject of the prophecy is never a figure’.</w:t>
      </w:r>
      <w:r>
        <w:rPr>
          <w:rStyle w:val="EndnoteReference"/>
        </w:rPr>
        <w:endnoteReference w:id="881"/>
      </w:r>
      <w:r>
        <w:t xml:space="preserve">  However, Darby also owned that it was impossible to ‘make an exact rule to distinguish between figure and letter’</w:t>
      </w:r>
      <w:r>
        <w:rPr>
          <w:rStyle w:val="EndnoteReference"/>
        </w:rPr>
        <w:endnoteReference w:id="882"/>
      </w:r>
      <w:r>
        <w:t xml:space="preserve"> and he actually referred to the importance of authorial intent, as he writes in ‘Inspiration and Interpretation’: ‘</w:t>
      </w:r>
      <w:r>
        <w:rPr>
          <w:rFonts w:eastAsia="Times New Roman"/>
          <w:szCs w:val="24"/>
          <w:lang w:eastAsia="en-GB"/>
        </w:rPr>
        <w:t>I</w:t>
      </w:r>
      <w:r w:rsidRPr="009E340E">
        <w:rPr>
          <w:rFonts w:eastAsia="Times New Roman"/>
          <w:szCs w:val="24"/>
          <w:lang w:eastAsia="en-GB"/>
        </w:rPr>
        <w:t>f I am</w:t>
      </w:r>
      <w:r>
        <w:rPr>
          <w:rFonts w:eastAsia="Times New Roman"/>
          <w:szCs w:val="24"/>
          <w:lang w:eastAsia="en-GB"/>
        </w:rPr>
        <w:t xml:space="preserve"> reading or hearing a statement, </w:t>
      </w:r>
      <w:r w:rsidRPr="00D117FF">
        <w:rPr>
          <w:rFonts w:eastAsia="Times New Roman"/>
          <w:szCs w:val="24"/>
          <w:lang w:eastAsia="en-GB"/>
        </w:rPr>
        <w:t xml:space="preserve">I do not in any way look to the effect on the hearers. This may be a casual help, but no more. </w:t>
      </w:r>
      <w:r>
        <w:rPr>
          <w:rFonts w:eastAsia="Times New Roman"/>
          <w:szCs w:val="24"/>
          <w:lang w:eastAsia="en-GB"/>
        </w:rPr>
        <w:t>…</w:t>
      </w:r>
      <w:r w:rsidRPr="009E340E">
        <w:rPr>
          <w:rFonts w:eastAsia="Times New Roman"/>
          <w:szCs w:val="24"/>
          <w:lang w:eastAsia="en-GB"/>
        </w:rPr>
        <w:t xml:space="preserve"> If I seek the meaning, I must seek, not the effect on others, but the intention of the speaker or writer</w:t>
      </w:r>
      <w:r>
        <w:rPr>
          <w:rFonts w:eastAsia="Times New Roman"/>
          <w:szCs w:val="24"/>
          <w:lang w:eastAsia="en-GB"/>
        </w:rPr>
        <w:t>.</w:t>
      </w:r>
      <w:r>
        <w:t>’</w:t>
      </w:r>
      <w:r>
        <w:rPr>
          <w:rStyle w:val="EndnoteReference"/>
        </w:rPr>
        <w:endnoteReference w:id="883"/>
      </w:r>
      <w:r>
        <w:t xml:space="preserve">   Here modern dispensational writers like Bock seem to be in tune with the final part of this quotation from Darby, though they are more aware of the importance of reader response and interpretation than he was.  However, Scofield does not seem to have inherited Darby’s awareness of authorial intent. </w:t>
      </w:r>
    </w:p>
    <w:p w:rsidR="00442D33" w:rsidRDefault="00442D33" w:rsidP="00442D33">
      <w:pPr>
        <w:spacing w:after="120" w:line="360" w:lineRule="auto"/>
        <w:ind w:right="-28" w:firstLine="567"/>
        <w:jc w:val="both"/>
      </w:pPr>
      <w:r>
        <w:t xml:space="preserve">An examination of Scofield’s hermeneutics shows him to be within the line of classic dispensationalist hermeneutic but adding to it his own interpretative gloss.  As stated above, </w:t>
      </w:r>
      <w:r w:rsidRPr="0069633F">
        <w:rPr>
          <w:i/>
        </w:rPr>
        <w:t>SRB</w:t>
      </w:r>
      <w:r>
        <w:t xml:space="preserve"> stands as a monument to an earlier version of dispensationalism than is now current among some adherents.  However, as Blaising states, there is ‘diversity within the tradition’, and ‘today under the label of dispensationalism one can find representatives of various stages of the tradition’s history’.  Some dispensationalists might be classified as ‘Scofieldian’ in their adherence to </w:t>
      </w:r>
      <w:r w:rsidRPr="0071265E">
        <w:rPr>
          <w:i/>
        </w:rPr>
        <w:t>SRB</w:t>
      </w:r>
      <w:r>
        <w:t xml:space="preserve"> interpretations, and another group reflect the ‘definitional approach’ of Ryrie with its </w:t>
      </w:r>
      <w:r w:rsidRPr="0071265E">
        <w:rPr>
          <w:i/>
        </w:rPr>
        <w:t>sine qua non</w:t>
      </w:r>
      <w:r>
        <w:t xml:space="preserve"> elements, but ‘many dispensationalists … are reexamining their terminology, seeking dispensational structures that are more accurate biblically’.  ‘Their work … brings a different perspective to traditional themes while maintaining continuity with earlier dispensationalism.’</w:t>
      </w:r>
      <w:r>
        <w:rPr>
          <w:rStyle w:val="EndnoteReference"/>
        </w:rPr>
        <w:endnoteReference w:id="884"/>
      </w:r>
      <w:r>
        <w:t xml:space="preserve">  </w:t>
      </w:r>
    </w:p>
    <w:p w:rsidR="00442D33" w:rsidRDefault="00442D33" w:rsidP="00442D33">
      <w:pPr>
        <w:spacing w:after="120" w:line="360" w:lineRule="auto"/>
        <w:ind w:right="-28" w:firstLine="567"/>
        <w:jc w:val="both"/>
      </w:pPr>
      <w:r>
        <w:t xml:space="preserve">My study now moves to a consideration of how </w:t>
      </w:r>
      <w:r w:rsidRPr="00061BDD">
        <w:rPr>
          <w:i/>
        </w:rPr>
        <w:t>SRB</w:t>
      </w:r>
      <w:r>
        <w:t xml:space="preserve"> fulfils the remaining five elements of dispensationalism outlined in the Introduction, </w:t>
      </w:r>
      <w:r w:rsidR="00EF5AE3">
        <w:t>firstly</w:t>
      </w:r>
      <w:r>
        <w:t>, Scofield’s commitment to evangelical doctrine.</w:t>
      </w:r>
    </w:p>
    <w:p w:rsidR="00442D33" w:rsidRDefault="00442D33" w:rsidP="00442D33">
      <w:pPr>
        <w:spacing w:after="120" w:line="360" w:lineRule="auto"/>
        <w:ind w:firstLine="567"/>
        <w:sectPr w:rsidR="00442D33" w:rsidSect="00BC5F0F">
          <w:headerReference w:type="default" r:id="rId101"/>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442D33" w:rsidRPr="00C05464" w:rsidRDefault="00442D33" w:rsidP="00442D33">
      <w:pPr>
        <w:spacing w:after="120" w:line="360" w:lineRule="auto"/>
        <w:ind w:firstLine="567"/>
        <w:jc w:val="center"/>
        <w:rPr>
          <w:b/>
          <w:sz w:val="28"/>
        </w:rPr>
      </w:pPr>
      <w:bookmarkStart w:id="9" w:name="Chapter3"/>
      <w:bookmarkEnd w:id="9"/>
      <w:r w:rsidRPr="00C05464">
        <w:rPr>
          <w:b/>
          <w:sz w:val="28"/>
        </w:rPr>
        <w:lastRenderedPageBreak/>
        <w:t xml:space="preserve">CHAPTER </w:t>
      </w:r>
      <w:r>
        <w:rPr>
          <w:b/>
          <w:sz w:val="28"/>
        </w:rPr>
        <w:t>3</w:t>
      </w:r>
    </w:p>
    <w:p w:rsidR="00442D33" w:rsidRDefault="00442D33" w:rsidP="00442D33">
      <w:pPr>
        <w:spacing w:after="120" w:line="360" w:lineRule="auto"/>
        <w:ind w:firstLine="567"/>
        <w:jc w:val="center"/>
        <w:rPr>
          <w:b/>
          <w:sz w:val="28"/>
        </w:rPr>
      </w:pPr>
      <w:r>
        <w:rPr>
          <w:b/>
          <w:sz w:val="28"/>
        </w:rPr>
        <w:t>Elements of Dispensationalism: Element 2:</w:t>
      </w:r>
    </w:p>
    <w:p w:rsidR="00442D33" w:rsidRPr="00094ED9" w:rsidRDefault="00442D33" w:rsidP="00442D33">
      <w:pPr>
        <w:spacing w:after="120" w:line="360" w:lineRule="auto"/>
        <w:ind w:firstLine="567"/>
        <w:jc w:val="center"/>
        <w:rPr>
          <w:b/>
          <w:sz w:val="28"/>
          <w:szCs w:val="28"/>
        </w:rPr>
      </w:pPr>
      <w:r w:rsidRPr="00094ED9">
        <w:rPr>
          <w:rStyle w:val="ind"/>
          <w:b/>
          <w:sz w:val="28"/>
          <w:szCs w:val="28"/>
        </w:rPr>
        <w:t>Commitment to Evangelical Doctrine</w:t>
      </w:r>
    </w:p>
    <w:p w:rsidR="00442D33" w:rsidRPr="006A5927" w:rsidRDefault="00442D33" w:rsidP="00442D33">
      <w:pPr>
        <w:spacing w:after="120" w:line="360" w:lineRule="auto"/>
        <w:jc w:val="both"/>
        <w:rPr>
          <w:rStyle w:val="ind"/>
        </w:rPr>
      </w:pPr>
      <w:r w:rsidRPr="006A5927">
        <w:rPr>
          <w:rStyle w:val="ind"/>
        </w:rPr>
        <w:t>Blaising states that dispensationalism has become ‘one of the most common expressions of evangelical Christianity’.</w:t>
      </w:r>
      <w:r w:rsidRPr="006A5927">
        <w:rPr>
          <w:rStyle w:val="EndnoteReference"/>
        </w:rPr>
        <w:endnoteReference w:id="885"/>
      </w:r>
      <w:r w:rsidRPr="006A5927">
        <w:rPr>
          <w:rStyle w:val="ind"/>
        </w:rPr>
        <w:t xml:space="preserve">  The evangelical theologian, Dav</w:t>
      </w:r>
      <w:r>
        <w:rPr>
          <w:rStyle w:val="ind"/>
        </w:rPr>
        <w:t>id Hil</w:t>
      </w:r>
      <w:r w:rsidRPr="006A5927">
        <w:rPr>
          <w:rStyle w:val="ind"/>
        </w:rPr>
        <w:t>born</w:t>
      </w:r>
      <w:r>
        <w:rPr>
          <w:rStyle w:val="EndnoteReference"/>
        </w:rPr>
        <w:endnoteReference w:id="886"/>
      </w:r>
      <w:r>
        <w:rPr>
          <w:rStyle w:val="ind"/>
        </w:rPr>
        <w:t xml:space="preserve"> </w:t>
      </w:r>
      <w:r w:rsidRPr="006A5927">
        <w:rPr>
          <w:rStyle w:val="ind"/>
        </w:rPr>
        <w:t>identifies three Reformation ‘</w:t>
      </w:r>
      <w:r w:rsidRPr="006A5927">
        <w:rPr>
          <w:rStyle w:val="ind"/>
          <w:i/>
        </w:rPr>
        <w:t>solae</w:t>
      </w:r>
      <w:r w:rsidRPr="006A5927">
        <w:rPr>
          <w:rStyle w:val="ind"/>
        </w:rPr>
        <w:t xml:space="preserve">’ which </w:t>
      </w:r>
      <w:r w:rsidRPr="006A5927">
        <w:rPr>
          <w:spacing w:val="4"/>
        </w:rPr>
        <w:t>define</w:t>
      </w:r>
      <w:r w:rsidRPr="006A5927">
        <w:rPr>
          <w:spacing w:val="13"/>
        </w:rPr>
        <w:t xml:space="preserve"> </w:t>
      </w:r>
      <w:r w:rsidRPr="006A5927">
        <w:rPr>
          <w:spacing w:val="3"/>
        </w:rPr>
        <w:t>the</w:t>
      </w:r>
      <w:r w:rsidRPr="006A5927">
        <w:rPr>
          <w:spacing w:val="12"/>
        </w:rPr>
        <w:t xml:space="preserve"> </w:t>
      </w:r>
      <w:r w:rsidRPr="006A5927">
        <w:rPr>
          <w:spacing w:val="4"/>
        </w:rPr>
        <w:t>theological</w:t>
      </w:r>
      <w:r w:rsidRPr="006A5927">
        <w:rPr>
          <w:i/>
          <w:spacing w:val="13"/>
        </w:rPr>
        <w:t xml:space="preserve"> </w:t>
      </w:r>
      <w:r w:rsidRPr="006A5927">
        <w:rPr>
          <w:spacing w:val="4"/>
        </w:rPr>
        <w:t>foundations</w:t>
      </w:r>
      <w:r w:rsidRPr="006A5927">
        <w:rPr>
          <w:spacing w:val="13"/>
        </w:rPr>
        <w:t xml:space="preserve"> </w:t>
      </w:r>
      <w:r w:rsidRPr="006A5927">
        <w:rPr>
          <w:spacing w:val="4"/>
        </w:rPr>
        <w:t>of</w:t>
      </w:r>
      <w:r w:rsidRPr="006A5927">
        <w:rPr>
          <w:spacing w:val="47"/>
          <w:w w:val="101"/>
        </w:rPr>
        <w:t xml:space="preserve"> </w:t>
      </w:r>
      <w:r w:rsidRPr="006A5927">
        <w:rPr>
          <w:spacing w:val="-2"/>
        </w:rPr>
        <w:t>evangelicalism</w:t>
      </w:r>
      <w:r w:rsidRPr="006A5927">
        <w:rPr>
          <w:rStyle w:val="ind"/>
        </w:rPr>
        <w:t xml:space="preserve">: </w:t>
      </w:r>
      <w:r w:rsidRPr="006A5927">
        <w:rPr>
          <w:rStyle w:val="ind"/>
          <w:i/>
        </w:rPr>
        <w:t>sola scriptura</w:t>
      </w:r>
      <w:r w:rsidRPr="006A5927">
        <w:rPr>
          <w:rStyle w:val="ind"/>
        </w:rPr>
        <w:t xml:space="preserve"> (the belief that divine truth was revealed through God’s Word in the Old and New Testaments and that the Bible must ‘take precedence over reason, tradition, ecclesiastical authority and individual experience’); </w:t>
      </w:r>
      <w:r w:rsidRPr="006A5927">
        <w:rPr>
          <w:rStyle w:val="ind"/>
          <w:i/>
        </w:rPr>
        <w:t>sola gratia</w:t>
      </w:r>
      <w:r w:rsidRPr="006A5927">
        <w:rPr>
          <w:rStyle w:val="ind"/>
        </w:rPr>
        <w:t xml:space="preserve"> (the belief that salvation is by God’s grace alone and on divine initiative); and </w:t>
      </w:r>
      <w:r w:rsidRPr="006A5927">
        <w:rPr>
          <w:rStyle w:val="ind"/>
          <w:i/>
        </w:rPr>
        <w:t>sola fide</w:t>
      </w:r>
      <w:r w:rsidRPr="006A5927">
        <w:rPr>
          <w:rStyle w:val="ind"/>
        </w:rPr>
        <w:t xml:space="preserve"> (the belief that, although salvation is a divine gift, human beings must respond and be included in ‘the outworking’ of the divine purpose); hence salvation is by grace through faith.</w:t>
      </w:r>
      <w:r>
        <w:rPr>
          <w:rStyle w:val="EndnoteReference"/>
        </w:rPr>
        <w:endnoteReference w:id="887"/>
      </w:r>
      <w:r w:rsidRPr="006A5927">
        <w:rPr>
          <w:rStyle w:val="ind"/>
        </w:rPr>
        <w:t xml:space="preserve">  These principles are perceptible within dispensationalism.  </w:t>
      </w:r>
    </w:p>
    <w:p w:rsidR="00442D33" w:rsidRPr="006A5927" w:rsidRDefault="00442D33" w:rsidP="00442D33">
      <w:pPr>
        <w:spacing w:after="120" w:line="360" w:lineRule="auto"/>
        <w:ind w:firstLine="567"/>
        <w:jc w:val="both"/>
        <w:rPr>
          <w:rStyle w:val="ind"/>
        </w:rPr>
      </w:pPr>
      <w:r w:rsidRPr="006A5927">
        <w:rPr>
          <w:rStyle w:val="ind"/>
        </w:rPr>
        <w:t>Kreider makes an important distinction when he distances dispensationalism from identification as a ‘system of theology’.</w:t>
      </w:r>
      <w:r w:rsidRPr="006A5927">
        <w:rPr>
          <w:rStyle w:val="EndnoteReference"/>
        </w:rPr>
        <w:endnoteReference w:id="888"/>
      </w:r>
      <w:r w:rsidRPr="006A5927">
        <w:rPr>
          <w:rStyle w:val="ind"/>
        </w:rPr>
        <w:t xml:space="preserve">  This term might imply a departure from orthodox Christian belief.  Kreider emphasises that ‘dispensationalists do not have distinctive views of the Godhead, salvation, Christology or the gospel [and] …affirm the doctrines of evangelical Christian orthodoxy’.  ‘Dispensationalism is not heterodox or heretical … specifically, dispensationalism does not teach multiple ways of salvation’ but, ‘like all Christians, dispensationalists believe that salvation is by grace alone, through faith alone, in Christ alone.’</w:t>
      </w:r>
      <w:r w:rsidRPr="006A5927">
        <w:rPr>
          <w:rStyle w:val="EndnoteReference"/>
        </w:rPr>
        <w:endnoteReference w:id="889"/>
      </w:r>
      <w:r w:rsidRPr="006A5927">
        <w:rPr>
          <w:rStyle w:val="ind"/>
        </w:rPr>
        <w:t xml:space="preserve">  Kreider’s denial of belief in multiple ways of salvation is pertinent since unfortunate and misleading statements were made in the past, for instance by Scofield and by Bass, which led to the understandable accusation that dispensationalists believed in two different ways of salvation.</w:t>
      </w:r>
      <w:r w:rsidRPr="006A5927">
        <w:rPr>
          <w:rStyle w:val="EndnoteReference"/>
        </w:rPr>
        <w:endnoteReference w:id="890"/>
      </w:r>
      <w:r w:rsidRPr="006A5927">
        <w:rPr>
          <w:rStyle w:val="ind"/>
        </w:rPr>
        <w:t xml:space="preserve">  </w:t>
      </w:r>
    </w:p>
    <w:p w:rsidR="00442D33" w:rsidRDefault="00442D33" w:rsidP="00442D33">
      <w:pPr>
        <w:spacing w:after="120" w:line="360" w:lineRule="auto"/>
        <w:ind w:firstLine="567"/>
        <w:jc w:val="both"/>
        <w:rPr>
          <w:rStyle w:val="ind"/>
        </w:rPr>
      </w:pPr>
      <w:r w:rsidRPr="00D17708">
        <w:rPr>
          <w:rStyle w:val="ind"/>
        </w:rPr>
        <w:t>David</w:t>
      </w:r>
      <w:r>
        <w:rPr>
          <w:rStyle w:val="ind"/>
          <w:color w:val="FF0000"/>
        </w:rPr>
        <w:t xml:space="preserve"> </w:t>
      </w:r>
      <w:r w:rsidRPr="006A5927">
        <w:rPr>
          <w:rStyle w:val="ind"/>
        </w:rPr>
        <w:t>Bebbington experienced a similar problem in defining evangelicalism to that which scholars like Crutchfield, Stamper and Ryrie encountered in defining dispensationalism;</w:t>
      </w:r>
      <w:r w:rsidRPr="006A5927">
        <w:rPr>
          <w:rStyle w:val="EndnoteReference"/>
        </w:rPr>
        <w:endnoteReference w:id="891"/>
      </w:r>
      <w:r w:rsidRPr="006A5927">
        <w:rPr>
          <w:rStyle w:val="ind"/>
        </w:rPr>
        <w:t xml:space="preserve"> like dispensationalism, evangelicalism has ‘found expression in a variety of institutional forms’, has ‘changed greatly over time’, and also has ‘common features’ which have lasted over time.</w:t>
      </w:r>
      <w:r w:rsidRPr="006A5927">
        <w:rPr>
          <w:rStyle w:val="EndnoteReference"/>
        </w:rPr>
        <w:endnoteReference w:id="892"/>
      </w:r>
      <w:r w:rsidRPr="006A5927">
        <w:rPr>
          <w:rStyle w:val="ind"/>
        </w:rPr>
        <w:t xml:space="preserve">  Bebbington identifies four common features in evangelicalism </w:t>
      </w:r>
      <w:r w:rsidRPr="009844C6">
        <w:rPr>
          <w:rStyle w:val="ind"/>
        </w:rPr>
        <w:t xml:space="preserve">as Conversionism, Activism, Biblicism and Crucicentrism.  </w:t>
      </w:r>
      <w:r>
        <w:rPr>
          <w:rStyle w:val="ind"/>
        </w:rPr>
        <w:t>As stated in the Introduction, he</w:t>
      </w:r>
      <w:r w:rsidRPr="009844C6">
        <w:rPr>
          <w:rStyle w:val="ind"/>
        </w:rPr>
        <w:t xml:space="preserve"> calls these ‘a quadrilateral of priorities’</w:t>
      </w:r>
      <w:r>
        <w:rPr>
          <w:rStyle w:val="ind"/>
        </w:rPr>
        <w:t>.</w:t>
      </w:r>
      <w:r w:rsidRPr="009844C6">
        <w:rPr>
          <w:rStyle w:val="EndnoteReference"/>
        </w:rPr>
        <w:endnoteReference w:id="893"/>
      </w:r>
      <w:r w:rsidRPr="009844C6">
        <w:rPr>
          <w:rStyle w:val="ind"/>
        </w:rPr>
        <w:t xml:space="preserve">  </w:t>
      </w:r>
      <w:r>
        <w:rPr>
          <w:rStyle w:val="ind"/>
        </w:rPr>
        <w:t>Again as stated in the Introduction, t</w:t>
      </w:r>
      <w:r w:rsidRPr="009844C6">
        <w:rPr>
          <w:rStyle w:val="ind"/>
        </w:rPr>
        <w:t>o these four characteristics, Hilborn adds ‘Christocentricism’, which he defines as God’s eternal Word becoming ‘human in the historical man Jesus of Nazareth, who definitively reveals God to humanity’.</w:t>
      </w:r>
      <w:r w:rsidRPr="009844C6">
        <w:rPr>
          <w:rStyle w:val="EndnoteReference"/>
        </w:rPr>
        <w:endnoteReference w:id="894"/>
      </w:r>
      <w:r w:rsidRPr="009844C6">
        <w:rPr>
          <w:rStyle w:val="ind"/>
        </w:rPr>
        <w:t xml:space="preserve">  Blaising and Bock also refer to ‘Christocentricity’ with reference to dispensationalism.</w:t>
      </w:r>
      <w:r w:rsidRPr="009844C6">
        <w:rPr>
          <w:rStyle w:val="EndnoteReference"/>
        </w:rPr>
        <w:endnoteReference w:id="895"/>
      </w:r>
      <w:r w:rsidRPr="009844C6">
        <w:rPr>
          <w:rStyle w:val="ind"/>
        </w:rPr>
        <w:t xml:space="preserve">  </w:t>
      </w:r>
      <w:r w:rsidRPr="00D17708">
        <w:rPr>
          <w:rStyle w:val="ind"/>
        </w:rPr>
        <w:t xml:space="preserve">In this chapter, I examine </w:t>
      </w:r>
      <w:r>
        <w:rPr>
          <w:rStyle w:val="ind"/>
        </w:rPr>
        <w:t xml:space="preserve">ways in which the views of some dispensationalists, including Scofield, reflect these evangelical elements.  </w:t>
      </w:r>
    </w:p>
    <w:p w:rsidR="00A900B0" w:rsidRDefault="00A900B0" w:rsidP="00442D33">
      <w:pPr>
        <w:spacing w:after="120" w:line="360" w:lineRule="auto"/>
        <w:ind w:firstLine="567"/>
        <w:jc w:val="both"/>
        <w:rPr>
          <w:rStyle w:val="ind"/>
        </w:rPr>
      </w:pPr>
    </w:p>
    <w:p w:rsidR="00A900B0" w:rsidRPr="006A5927" w:rsidRDefault="00A900B0" w:rsidP="00442D33">
      <w:pPr>
        <w:spacing w:after="120" w:line="360" w:lineRule="auto"/>
        <w:ind w:firstLine="567"/>
        <w:jc w:val="both"/>
        <w:rPr>
          <w:rStyle w:val="ind"/>
        </w:rPr>
      </w:pPr>
    </w:p>
    <w:p w:rsidR="00442D33" w:rsidRPr="009844C6" w:rsidRDefault="00442D33" w:rsidP="00442D33">
      <w:pPr>
        <w:spacing w:after="120" w:line="360" w:lineRule="auto"/>
        <w:jc w:val="both"/>
        <w:rPr>
          <w:rStyle w:val="ind"/>
          <w:b/>
        </w:rPr>
      </w:pPr>
      <w:proofErr w:type="gramStart"/>
      <w:r>
        <w:rPr>
          <w:rStyle w:val="ind"/>
          <w:b/>
        </w:rPr>
        <w:lastRenderedPageBreak/>
        <w:t>3</w:t>
      </w:r>
      <w:r w:rsidRPr="009844C6">
        <w:rPr>
          <w:rStyle w:val="ind"/>
          <w:b/>
        </w:rPr>
        <w:t>.1  Conversionism</w:t>
      </w:r>
      <w:proofErr w:type="gramEnd"/>
      <w:r w:rsidRPr="009844C6">
        <w:rPr>
          <w:rStyle w:val="ind"/>
          <w:b/>
        </w:rPr>
        <w:t xml:space="preserve"> and Activism </w:t>
      </w:r>
    </w:p>
    <w:p w:rsidR="00442D33" w:rsidRPr="00683D85" w:rsidRDefault="00442D33" w:rsidP="00442D33">
      <w:pPr>
        <w:spacing w:after="120" w:line="360" w:lineRule="auto"/>
        <w:jc w:val="both"/>
        <w:rPr>
          <w:rStyle w:val="ind"/>
        </w:rPr>
      </w:pPr>
      <w:r w:rsidRPr="009844C6">
        <w:rPr>
          <w:rStyle w:val="ind"/>
        </w:rPr>
        <w:t>Conversionism and activism are so closely related that they will be treated here as a single subject.  Bebbington states that conversionism entails the need for lives to be changed and preachers to urge their congregations to repent of their sins and turn to Christ in faith.</w:t>
      </w:r>
      <w:r w:rsidRPr="009844C6">
        <w:rPr>
          <w:rStyle w:val="EndnoteReference"/>
        </w:rPr>
        <w:endnoteReference w:id="896"/>
      </w:r>
      <w:r w:rsidRPr="009844C6">
        <w:rPr>
          <w:rStyle w:val="ind"/>
        </w:rPr>
        <w:t xml:space="preserve">  He defines activism as related to this in that those converted often desire to convert others.</w:t>
      </w:r>
      <w:r w:rsidRPr="009844C6">
        <w:rPr>
          <w:rStyle w:val="EndnoteReference"/>
        </w:rPr>
        <w:endnoteReference w:id="897"/>
      </w:r>
      <w:r w:rsidRPr="009844C6">
        <w:rPr>
          <w:rStyle w:val="ind"/>
        </w:rPr>
        <w:t xml:space="preserve">  Significantly, for those animated by this desire, learning could be regarded as ‘a dispensable luxury’ and, at the beginning of the nineteenth century ministers were trained only in preaching, not in theology or Greek.</w:t>
      </w:r>
      <w:r w:rsidRPr="009844C6">
        <w:rPr>
          <w:rStyle w:val="EndnoteReference"/>
        </w:rPr>
        <w:endnoteReference w:id="898"/>
      </w:r>
      <w:r w:rsidRPr="009844C6">
        <w:rPr>
          <w:rStyle w:val="ind"/>
        </w:rPr>
        <w:t xml:space="preserve">  </w:t>
      </w:r>
      <w:r w:rsidR="00EE4675">
        <w:rPr>
          <w:rStyle w:val="ind"/>
        </w:rPr>
        <w:t>Even though Bebbington’s book concerns Britain, t</w:t>
      </w:r>
      <w:r w:rsidRPr="009844C6">
        <w:rPr>
          <w:rStyle w:val="ind"/>
        </w:rPr>
        <w:t>his may have significance for Scofield’s situation because it appears that he never received formal training except that from James Brookes.</w:t>
      </w:r>
      <w:r w:rsidRPr="009844C6">
        <w:rPr>
          <w:rStyle w:val="EndnoteReference"/>
        </w:rPr>
        <w:endnoteReference w:id="899"/>
      </w:r>
      <w:r w:rsidRPr="009844C6">
        <w:rPr>
          <w:rStyle w:val="ind"/>
        </w:rPr>
        <w:t xml:space="preserve">  Kraus states that ‘most of the men who shaped the dispensational system in America were not trained theologians.  They ‘distrusted theologians … and gloried in their own simplicity and Biblicism’.</w:t>
      </w:r>
      <w:r w:rsidRPr="009844C6">
        <w:rPr>
          <w:rStyle w:val="EndnoteReference"/>
        </w:rPr>
        <w:endnoteReference w:id="900"/>
      </w:r>
      <w:r w:rsidRPr="009844C6">
        <w:rPr>
          <w:rStyle w:val="ind"/>
        </w:rPr>
        <w:t xml:space="preserve">  </w:t>
      </w:r>
      <w:r w:rsidRPr="00683D85">
        <w:rPr>
          <w:rStyle w:val="ind"/>
        </w:rPr>
        <w:t>Marsden remarks upon the longstanding evangelical belief that sharing ‘the eternal implications of salvation in Christ’ is ‘the kindest thing one can do for one’s neighbour’.</w:t>
      </w:r>
      <w:r w:rsidRPr="00683D85">
        <w:rPr>
          <w:rStyle w:val="EndnoteReference"/>
        </w:rPr>
        <w:endnoteReference w:id="901"/>
      </w:r>
      <w:r w:rsidRPr="00683D85">
        <w:rPr>
          <w:rStyle w:val="ind"/>
        </w:rPr>
        <w:t xml:space="preserve">  This belief is implicit in, for instance, clause 5 of the Niagara Creed, which states: </w:t>
      </w:r>
    </w:p>
    <w:p w:rsidR="00442D33" w:rsidRPr="00683D85" w:rsidRDefault="00442D33" w:rsidP="00442D33">
      <w:pPr>
        <w:tabs>
          <w:tab w:val="left" w:pos="9781"/>
          <w:tab w:val="left" w:pos="10206"/>
        </w:tabs>
        <w:spacing w:after="240" w:line="240" w:lineRule="auto"/>
        <w:ind w:left="1134" w:right="1700"/>
        <w:jc w:val="both"/>
        <w:rPr>
          <w:rStyle w:val="ind"/>
        </w:rPr>
      </w:pPr>
      <w:r w:rsidRPr="00683D85">
        <w:rPr>
          <w:rStyle w:val="ind"/>
        </w:rPr>
        <w:t>We believe that, owing to this universal depravity and death in sin, no one can enter the kingdom of God unless born again, and that no degree of reformation, … no attainment in morality, … no humanitarian and philanthropic schemes and societies, … no baptism or ordinance, … can help the sinner to take even one step toward heaven, but a new nature imparted from above … is absolutely essential to salvation.</w:t>
      </w:r>
      <w:r>
        <w:rPr>
          <w:rStyle w:val="EndnoteReference"/>
        </w:rPr>
        <w:endnoteReference w:id="902"/>
      </w:r>
      <w:r>
        <w:rPr>
          <w:rStyle w:val="ind"/>
        </w:rPr>
        <w:t xml:space="preserve"> </w:t>
      </w:r>
    </w:p>
    <w:p w:rsidR="00442D33" w:rsidRPr="00683D85" w:rsidRDefault="00442D33" w:rsidP="00442D33">
      <w:pPr>
        <w:spacing w:after="120" w:line="360" w:lineRule="auto"/>
        <w:ind w:firstLine="567"/>
        <w:jc w:val="both"/>
        <w:rPr>
          <w:rStyle w:val="ind"/>
        </w:rPr>
      </w:pPr>
      <w:r w:rsidRPr="00683D85">
        <w:rPr>
          <w:rStyle w:val="ind"/>
        </w:rPr>
        <w:t xml:space="preserve">Wilkinson tells how, even before his conversion, Darby, as a curate in the Church of Ireland, ‘labored tirelessly in the Wicklow </w:t>
      </w:r>
      <w:proofErr w:type="gramStart"/>
      <w:r w:rsidRPr="00683D85">
        <w:rPr>
          <w:rStyle w:val="ind"/>
        </w:rPr>
        <w:t>mountains</w:t>
      </w:r>
      <w:proofErr w:type="gramEnd"/>
      <w:r w:rsidRPr="00683D85">
        <w:rPr>
          <w:rStyle w:val="ind"/>
        </w:rPr>
        <w:t>, ministering to the needs of Christ’s flock while preaching the Gospel to the Roman Catholic peasants’.</w:t>
      </w:r>
      <w:r>
        <w:rPr>
          <w:rStyle w:val="EndnoteReference"/>
        </w:rPr>
        <w:endnoteReference w:id="903"/>
      </w:r>
      <w:r w:rsidRPr="00683D85">
        <w:rPr>
          <w:rStyle w:val="ind"/>
        </w:rPr>
        <w:t xml:space="preserve">  In 1827, Darby wrote in ‘Considerations Addressed to the Archbishop of Dublin’ that ‘Roman Catholics were becoming Protestants at the rate of 600 to 800 a week’.</w:t>
      </w:r>
      <w:r>
        <w:rPr>
          <w:rStyle w:val="EndnoteReference"/>
        </w:rPr>
        <w:endnoteReference w:id="904"/>
      </w:r>
      <w:r w:rsidRPr="00683D85">
        <w:rPr>
          <w:rStyle w:val="ind"/>
        </w:rPr>
        <w:t xml:space="preserve">  After his conversion, Darby visited the United States and Canada seven times between 1862 and 1877, living there for nearly seven years, preaching and teaching laymen and ministers from the American denominations.</w:t>
      </w:r>
      <w:r w:rsidRPr="00683D85">
        <w:rPr>
          <w:rStyle w:val="EndnoteReference"/>
        </w:rPr>
        <w:endnoteReference w:id="905"/>
      </w:r>
      <w:r w:rsidRPr="00683D85">
        <w:rPr>
          <w:rStyle w:val="ind"/>
        </w:rPr>
        <w:t xml:space="preserve">  </w:t>
      </w:r>
    </w:p>
    <w:p w:rsidR="00442D33" w:rsidRPr="00683D85" w:rsidRDefault="00442D33" w:rsidP="00442D33">
      <w:pPr>
        <w:spacing w:after="120" w:line="360" w:lineRule="auto"/>
        <w:ind w:firstLine="567"/>
        <w:jc w:val="both"/>
        <w:rPr>
          <w:rStyle w:val="ind"/>
        </w:rPr>
      </w:pPr>
      <w:r w:rsidRPr="00683D85">
        <w:rPr>
          <w:rStyle w:val="ind"/>
        </w:rPr>
        <w:t>Weber describes the numbers of conversions to premillennialism, though not specifically dispensationalism, which took place throughout the churches in the last two decades of the nineteenth century.  He refers to a sermon by Dwight Moody, in which the world was pictured as a wrecked vessel in which Moody alone had a life-boat and a divine instruction to save all he could.</w:t>
      </w:r>
      <w:r w:rsidRPr="00683D85">
        <w:rPr>
          <w:rStyle w:val="EndnoteReference"/>
        </w:rPr>
        <w:endnoteReference w:id="906"/>
      </w:r>
      <w:r w:rsidRPr="00683D85">
        <w:rPr>
          <w:rStyle w:val="ind"/>
        </w:rPr>
        <w:t xml:space="preserve">  According to Weber, Scofield also pertinently used this image when addressing a memorial service in Belfast for </w:t>
      </w:r>
      <w:r w:rsidRPr="00683D85">
        <w:rPr>
          <w:rStyle w:val="ind"/>
          <w:i/>
        </w:rPr>
        <w:t>Titanic</w:t>
      </w:r>
      <w:r w:rsidRPr="00683D85">
        <w:rPr>
          <w:rStyle w:val="ind"/>
        </w:rPr>
        <w:t xml:space="preserve"> victims.</w:t>
      </w:r>
      <w:r w:rsidRPr="00683D85">
        <w:rPr>
          <w:rStyle w:val="EndnoteReference"/>
        </w:rPr>
        <w:endnoteReference w:id="907"/>
      </w:r>
      <w:r w:rsidRPr="00683D85">
        <w:rPr>
          <w:rStyle w:val="ind"/>
        </w:rPr>
        <w:t xml:space="preserve">  Weber additionally asserts that premillennialist speakers used the imminence and unpredictability of the second coming to put pressure on the unconverted.</w:t>
      </w:r>
      <w:r w:rsidRPr="00683D85">
        <w:rPr>
          <w:rStyle w:val="EndnoteReference"/>
        </w:rPr>
        <w:endnoteReference w:id="908"/>
      </w:r>
      <w:r w:rsidRPr="00683D85">
        <w:rPr>
          <w:rStyle w:val="ind"/>
        </w:rPr>
        <w:t xml:space="preserve">  </w:t>
      </w:r>
    </w:p>
    <w:p w:rsidR="00442D33" w:rsidRDefault="00442D33" w:rsidP="00442D33">
      <w:pPr>
        <w:pStyle w:val="FootnoteText"/>
        <w:spacing w:after="120" w:line="360" w:lineRule="auto"/>
        <w:ind w:firstLine="567"/>
        <w:jc w:val="both"/>
        <w:rPr>
          <w:rStyle w:val="ind"/>
          <w:rFonts w:ascii="Perpetua" w:hAnsi="Perpetua"/>
          <w:sz w:val="22"/>
          <w:szCs w:val="22"/>
        </w:rPr>
      </w:pPr>
      <w:r w:rsidRPr="00683D85">
        <w:rPr>
          <w:rStyle w:val="ind"/>
          <w:rFonts w:ascii="Perpetua" w:hAnsi="Perpetua"/>
          <w:sz w:val="22"/>
          <w:szCs w:val="22"/>
        </w:rPr>
        <w:t xml:space="preserve">Unlike postmillennialists, however, premillennialists held that God did not intend to save the world before Christ’s second coming and that the church must not imagine itself ‘commissioned to win the world for Christ’.  The church’s work was ‘evangelization, by which premillennialists meant the dispensing of the </w:t>
      </w:r>
      <w:r w:rsidRPr="00683D85">
        <w:rPr>
          <w:rStyle w:val="ind"/>
          <w:rFonts w:ascii="Perpetua" w:hAnsi="Perpetua"/>
          <w:sz w:val="22"/>
          <w:szCs w:val="22"/>
        </w:rPr>
        <w:lastRenderedPageBreak/>
        <w:t>gospel to non-Christian people’.  Even though conversions might occur, the response would fall far short of that envisaged by postmillennialism.</w:t>
      </w:r>
      <w:r w:rsidRPr="00683D85">
        <w:rPr>
          <w:rStyle w:val="EndnoteReference"/>
          <w:rFonts w:ascii="Perpetua" w:hAnsi="Perpetua"/>
          <w:sz w:val="22"/>
          <w:szCs w:val="22"/>
        </w:rPr>
        <w:endnoteReference w:id="909"/>
      </w:r>
      <w:r w:rsidRPr="00683D85">
        <w:rPr>
          <w:rStyle w:val="ind"/>
          <w:rFonts w:ascii="Perpetua" w:hAnsi="Perpetua"/>
          <w:sz w:val="22"/>
          <w:szCs w:val="22"/>
        </w:rPr>
        <w:t xml:space="preserve">  A. T Pierson, who was, according to Sandeen, ‘a prominent evangelical clergyman … and a vigorous missionary advocate’, and also one of the ‘consulting editors’ for </w:t>
      </w:r>
      <w:r w:rsidRPr="00683D85">
        <w:rPr>
          <w:rStyle w:val="ind"/>
          <w:rFonts w:ascii="Perpetua" w:hAnsi="Perpetua"/>
          <w:i/>
          <w:sz w:val="22"/>
          <w:szCs w:val="22"/>
        </w:rPr>
        <w:t>SRB</w:t>
      </w:r>
      <w:r w:rsidRPr="00683D85">
        <w:rPr>
          <w:rStyle w:val="ind"/>
          <w:rFonts w:ascii="Perpetua" w:hAnsi="Perpetua"/>
          <w:sz w:val="22"/>
          <w:szCs w:val="22"/>
        </w:rPr>
        <w:t>, stated: ‘</w:t>
      </w:r>
      <w:proofErr w:type="gramStart"/>
      <w:r w:rsidRPr="00683D85">
        <w:rPr>
          <w:rStyle w:val="ind"/>
          <w:rFonts w:ascii="Perpetua" w:hAnsi="Perpetua"/>
          <w:sz w:val="22"/>
          <w:szCs w:val="22"/>
        </w:rPr>
        <w:t>We</w:t>
      </w:r>
      <w:proofErr w:type="gramEnd"/>
      <w:r w:rsidRPr="00683D85">
        <w:rPr>
          <w:rStyle w:val="ind"/>
          <w:rFonts w:ascii="Perpetua" w:hAnsi="Perpetua"/>
          <w:sz w:val="22"/>
          <w:szCs w:val="22"/>
        </w:rPr>
        <w:t xml:space="preserve"> are responsible, not for conversion, but for contact.  “Go ye into </w:t>
      </w:r>
      <w:proofErr w:type="gramStart"/>
      <w:r w:rsidRPr="00683D85">
        <w:rPr>
          <w:rStyle w:val="ind"/>
          <w:rFonts w:ascii="Perpetua" w:hAnsi="Perpetua"/>
          <w:sz w:val="22"/>
          <w:szCs w:val="22"/>
        </w:rPr>
        <w:t>all the</w:t>
      </w:r>
      <w:proofErr w:type="gramEnd"/>
      <w:r w:rsidRPr="00683D85">
        <w:rPr>
          <w:rStyle w:val="ind"/>
          <w:rFonts w:ascii="Perpetua" w:hAnsi="Perpetua"/>
          <w:sz w:val="22"/>
          <w:szCs w:val="22"/>
        </w:rPr>
        <w:t xml:space="preserve"> world and preach the gospel to every creature.”  There our commission begins and ends. With results we have nothing to do, and are incapable of tracing or guaging [</w:t>
      </w:r>
      <w:r w:rsidRPr="00683D85">
        <w:rPr>
          <w:rStyle w:val="ind"/>
          <w:rFonts w:ascii="Perpetua" w:hAnsi="Perpetua"/>
          <w:i/>
          <w:sz w:val="22"/>
          <w:szCs w:val="22"/>
        </w:rPr>
        <w:t>sic</w:t>
      </w:r>
      <w:r w:rsidRPr="00683D85">
        <w:rPr>
          <w:rStyle w:val="ind"/>
          <w:rFonts w:ascii="Perpetua" w:hAnsi="Perpetua"/>
          <w:sz w:val="22"/>
          <w:szCs w:val="22"/>
        </w:rPr>
        <w:t>] them.’</w:t>
      </w:r>
      <w:r>
        <w:rPr>
          <w:rStyle w:val="EndnoteReference"/>
          <w:rFonts w:ascii="Perpetua" w:hAnsi="Perpetua"/>
          <w:sz w:val="22"/>
          <w:szCs w:val="22"/>
        </w:rPr>
        <w:endnoteReference w:id="910"/>
      </w:r>
      <w:r w:rsidRPr="00683D85">
        <w:rPr>
          <w:rStyle w:val="ind"/>
          <w:rFonts w:ascii="Perpetua" w:hAnsi="Perpetua"/>
          <w:sz w:val="22"/>
          <w:szCs w:val="22"/>
        </w:rPr>
        <w:t xml:space="preserve">  </w:t>
      </w:r>
    </w:p>
    <w:p w:rsidR="00442D33" w:rsidRDefault="00442D33" w:rsidP="00442D33">
      <w:pPr>
        <w:pStyle w:val="FootnoteText"/>
        <w:spacing w:after="120" w:line="360" w:lineRule="auto"/>
        <w:ind w:firstLine="567"/>
        <w:jc w:val="both"/>
        <w:rPr>
          <w:rStyle w:val="ind"/>
          <w:rFonts w:ascii="Perpetua" w:hAnsi="Perpetua"/>
          <w:sz w:val="22"/>
          <w:szCs w:val="22"/>
        </w:rPr>
      </w:pPr>
      <w:r w:rsidRPr="00683D85">
        <w:rPr>
          <w:rStyle w:val="ind"/>
          <w:rFonts w:ascii="Perpetua" w:hAnsi="Perpetua"/>
          <w:sz w:val="22"/>
          <w:szCs w:val="22"/>
        </w:rPr>
        <w:t>As witness the many missions organised by premillennialists like Hudson Taylor and dispensationalists like Scofield, such strictures did not mean that evangelicals relinquished missionary work.  Weber describes Taylor’s interdenominational and evangelical China Inland Mission as ‘the biggest and in some ways the best faith mission’.  By 1895, the mission comprised 641 missionaries and 462 Chinese helpers, the main aim being ‘the dissemination of the gospel into unevangelized fields’ rather than to win the largest number of converts immediately.</w:t>
      </w:r>
      <w:r w:rsidRPr="00683D85">
        <w:rPr>
          <w:rStyle w:val="EndnoteReference"/>
          <w:rFonts w:ascii="Perpetua" w:hAnsi="Perpetua"/>
          <w:sz w:val="22"/>
          <w:szCs w:val="22"/>
        </w:rPr>
        <w:endnoteReference w:id="911"/>
      </w:r>
      <w:r w:rsidRPr="00683D85">
        <w:rPr>
          <w:rStyle w:val="ind"/>
          <w:rFonts w:ascii="Perpetua" w:hAnsi="Perpetua"/>
          <w:sz w:val="22"/>
          <w:szCs w:val="22"/>
        </w:rPr>
        <w:t xml:space="preserve">  Charles Trumbull relates how Scofield set up the ‘greatly blessed Central American Mission’, based in his home in Dallas, on 14 November 1890.  The mission was interdenominational and evangelistic, its aim being the evangelisation of the world, rather than its civilisation.  In thirty years, ninety-two churches were established.</w:t>
      </w:r>
      <w:r>
        <w:rPr>
          <w:rStyle w:val="EndnoteReference"/>
          <w:rFonts w:ascii="Perpetua" w:hAnsi="Perpetua"/>
          <w:sz w:val="22"/>
          <w:szCs w:val="22"/>
        </w:rPr>
        <w:endnoteReference w:id="912"/>
      </w:r>
      <w:r w:rsidRPr="00683D85">
        <w:rPr>
          <w:rStyle w:val="ind"/>
          <w:rFonts w:ascii="Perpetua" w:hAnsi="Perpetua"/>
          <w:sz w:val="22"/>
          <w:szCs w:val="22"/>
        </w:rPr>
        <w:t xml:space="preserve">  Sandeen emphasises the role of the Student Volunteer Movement in this type of evangelism.</w:t>
      </w:r>
      <w:r w:rsidRPr="00683D85">
        <w:rPr>
          <w:rStyle w:val="EndnoteReference"/>
          <w:rFonts w:ascii="Perpetua" w:hAnsi="Perpetua"/>
          <w:sz w:val="22"/>
          <w:szCs w:val="22"/>
        </w:rPr>
        <w:endnoteReference w:id="913"/>
      </w:r>
      <w:r w:rsidRPr="00683D85">
        <w:rPr>
          <w:rStyle w:val="ind"/>
          <w:rFonts w:ascii="Perpetua" w:hAnsi="Perpetua"/>
          <w:sz w:val="22"/>
          <w:szCs w:val="22"/>
        </w:rPr>
        <w:t xml:space="preserve">  </w:t>
      </w:r>
    </w:p>
    <w:p w:rsidR="00442D33" w:rsidRPr="00683D85" w:rsidRDefault="00442D33" w:rsidP="00442D33">
      <w:pPr>
        <w:pStyle w:val="FootnoteText"/>
        <w:spacing w:after="120" w:line="360" w:lineRule="auto"/>
        <w:ind w:firstLine="567"/>
        <w:jc w:val="both"/>
        <w:rPr>
          <w:rFonts w:ascii="Perpetua" w:hAnsi="Perpetua"/>
          <w:sz w:val="22"/>
          <w:szCs w:val="22"/>
        </w:rPr>
      </w:pPr>
      <w:r w:rsidRPr="00683D85">
        <w:rPr>
          <w:rStyle w:val="ind"/>
          <w:rFonts w:ascii="Perpetua" w:hAnsi="Perpetua"/>
          <w:sz w:val="22"/>
          <w:szCs w:val="22"/>
        </w:rPr>
        <w:t>Apart from foreign missions, the message of dispensationalism was disseminated by the establishment of many colleges and seminaries and also through the Prophecy and Bible Conference Movement, of which Niagara was ‘the earliest, most representative, [and] most influential’.</w:t>
      </w:r>
      <w:r w:rsidRPr="00683D85">
        <w:rPr>
          <w:rStyle w:val="EndnoteReference"/>
          <w:rFonts w:ascii="Perpetua" w:hAnsi="Perpetua"/>
          <w:sz w:val="22"/>
          <w:szCs w:val="22"/>
        </w:rPr>
        <w:endnoteReference w:id="914"/>
      </w:r>
      <w:r w:rsidRPr="00683D85">
        <w:rPr>
          <w:rStyle w:val="ind"/>
          <w:rFonts w:ascii="Perpetua" w:hAnsi="Perpetua"/>
          <w:sz w:val="22"/>
          <w:szCs w:val="22"/>
        </w:rPr>
        <w:t xml:space="preserve">  </w:t>
      </w:r>
      <w:r>
        <w:rPr>
          <w:rStyle w:val="ind"/>
          <w:rFonts w:ascii="Perpetua" w:hAnsi="Perpetua"/>
          <w:sz w:val="22"/>
          <w:szCs w:val="22"/>
        </w:rPr>
        <w:t xml:space="preserve">The Moody Bible Institute was founded as the </w:t>
      </w:r>
      <w:r w:rsidRPr="00D24187">
        <w:rPr>
          <w:rStyle w:val="ind"/>
          <w:rFonts w:ascii="Perpetua" w:hAnsi="Perpetua"/>
          <w:sz w:val="22"/>
          <w:szCs w:val="22"/>
        </w:rPr>
        <w:t>Chicago Evangelization Society following ‘a meeting … to discuss city evangelization’ in January 1886.</w:t>
      </w:r>
      <w:r>
        <w:rPr>
          <w:rStyle w:val="EndnoteReference"/>
          <w:rFonts w:ascii="Perpetua" w:hAnsi="Perpetua"/>
          <w:sz w:val="22"/>
          <w:szCs w:val="22"/>
        </w:rPr>
        <w:endnoteReference w:id="915"/>
      </w:r>
      <w:r w:rsidRPr="00D24187">
        <w:rPr>
          <w:rStyle w:val="ind"/>
          <w:rFonts w:ascii="Perpetua" w:hAnsi="Perpetua"/>
          <w:sz w:val="22"/>
          <w:szCs w:val="22"/>
        </w:rPr>
        <w:t xml:space="preserve">  Moody was </w:t>
      </w:r>
      <w:r>
        <w:rPr>
          <w:rStyle w:val="ind"/>
          <w:rFonts w:ascii="Perpetua" w:hAnsi="Perpetua"/>
          <w:sz w:val="22"/>
          <w:szCs w:val="22"/>
        </w:rPr>
        <w:t>Scofield’s friend and</w:t>
      </w:r>
      <w:r w:rsidRPr="00D24187">
        <w:rPr>
          <w:rStyle w:val="ind"/>
          <w:rFonts w:ascii="Perpetua" w:hAnsi="Perpetua"/>
          <w:sz w:val="22"/>
          <w:szCs w:val="22"/>
        </w:rPr>
        <w:t xml:space="preserve"> associate in the Conference Movement</w:t>
      </w:r>
      <w:r>
        <w:rPr>
          <w:rStyle w:val="ind"/>
          <w:rFonts w:ascii="Perpetua" w:hAnsi="Perpetua"/>
          <w:sz w:val="22"/>
          <w:szCs w:val="22"/>
        </w:rPr>
        <w:t>;</w:t>
      </w:r>
      <w:r w:rsidRPr="00D24187">
        <w:rPr>
          <w:rStyle w:val="ind"/>
          <w:rFonts w:ascii="Perpetua" w:hAnsi="Perpetua"/>
          <w:sz w:val="22"/>
          <w:szCs w:val="22"/>
        </w:rPr>
        <w:t xml:space="preserve"> </w:t>
      </w:r>
      <w:r>
        <w:rPr>
          <w:rStyle w:val="ind"/>
          <w:rFonts w:ascii="Perpetua" w:hAnsi="Perpetua"/>
          <w:sz w:val="22"/>
          <w:szCs w:val="22"/>
        </w:rPr>
        <w:t xml:space="preserve">Scofield also served </w:t>
      </w:r>
      <w:r w:rsidRPr="00D24187">
        <w:rPr>
          <w:rStyle w:val="ind"/>
          <w:rFonts w:ascii="Perpetua" w:hAnsi="Perpetua"/>
          <w:sz w:val="22"/>
          <w:szCs w:val="22"/>
        </w:rPr>
        <w:t>a</w:t>
      </w:r>
      <w:r>
        <w:rPr>
          <w:rStyle w:val="ind"/>
          <w:rFonts w:ascii="Perpetua" w:hAnsi="Perpetua"/>
          <w:sz w:val="22"/>
          <w:szCs w:val="22"/>
        </w:rPr>
        <w:t>s</w:t>
      </w:r>
      <w:r w:rsidRPr="00D24187">
        <w:rPr>
          <w:rStyle w:val="ind"/>
          <w:rFonts w:ascii="Perpetua" w:hAnsi="Perpetua"/>
          <w:sz w:val="22"/>
          <w:szCs w:val="22"/>
        </w:rPr>
        <w:t xml:space="preserve"> </w:t>
      </w:r>
      <w:r>
        <w:rPr>
          <w:rStyle w:val="ind"/>
          <w:rFonts w:ascii="Perpetua" w:hAnsi="Perpetua"/>
          <w:sz w:val="22"/>
          <w:szCs w:val="22"/>
        </w:rPr>
        <w:t xml:space="preserve">pastor of Moody’s church.  In 1914, Scofield was part of a group which </w:t>
      </w:r>
      <w:r w:rsidRPr="00BF029B">
        <w:rPr>
          <w:rFonts w:ascii="Perpetua" w:hAnsi="Perpetua" w:cs="Perpetua"/>
          <w:sz w:val="22"/>
          <w:szCs w:val="22"/>
        </w:rPr>
        <w:t>established</w:t>
      </w:r>
      <w:r w:rsidRPr="00BF029B">
        <w:rPr>
          <w:rFonts w:ascii="Perpetua" w:hAnsi="Perpetua" w:cs="Perpetua"/>
          <w:spacing w:val="11"/>
          <w:sz w:val="22"/>
          <w:szCs w:val="22"/>
        </w:rPr>
        <w:t xml:space="preserve"> </w:t>
      </w:r>
      <w:r w:rsidRPr="00BF029B">
        <w:rPr>
          <w:rFonts w:ascii="Perpetua" w:hAnsi="Perpetua" w:cs="Perpetua"/>
          <w:sz w:val="22"/>
          <w:szCs w:val="22"/>
        </w:rPr>
        <w:t>the</w:t>
      </w:r>
      <w:r w:rsidRPr="00BF029B">
        <w:rPr>
          <w:rFonts w:ascii="Perpetua" w:hAnsi="Perpetua" w:cs="Perpetua"/>
          <w:spacing w:val="20"/>
          <w:w w:val="99"/>
          <w:sz w:val="22"/>
          <w:szCs w:val="22"/>
        </w:rPr>
        <w:t xml:space="preserve"> </w:t>
      </w:r>
      <w:r w:rsidRPr="00BF029B">
        <w:rPr>
          <w:rFonts w:ascii="Perpetua" w:hAnsi="Perpetua" w:cs="Perpetua"/>
          <w:sz w:val="22"/>
          <w:szCs w:val="22"/>
        </w:rPr>
        <w:t>Philadelphia</w:t>
      </w:r>
      <w:r w:rsidRPr="00BF029B">
        <w:rPr>
          <w:rFonts w:ascii="Perpetua" w:hAnsi="Perpetua" w:cs="Perpetua"/>
          <w:spacing w:val="25"/>
          <w:sz w:val="22"/>
          <w:szCs w:val="22"/>
        </w:rPr>
        <w:t xml:space="preserve"> </w:t>
      </w:r>
      <w:r w:rsidRPr="00BF029B">
        <w:rPr>
          <w:rFonts w:ascii="Perpetua" w:hAnsi="Perpetua" w:cs="Perpetua"/>
          <w:sz w:val="22"/>
          <w:szCs w:val="22"/>
        </w:rPr>
        <w:t>School</w:t>
      </w:r>
      <w:r w:rsidRPr="00BF029B">
        <w:rPr>
          <w:rFonts w:ascii="Perpetua" w:hAnsi="Perpetua" w:cs="Perpetua"/>
          <w:spacing w:val="26"/>
          <w:sz w:val="22"/>
          <w:szCs w:val="22"/>
        </w:rPr>
        <w:t xml:space="preserve"> </w:t>
      </w:r>
      <w:r w:rsidRPr="00BF029B">
        <w:rPr>
          <w:rFonts w:ascii="Perpetua" w:hAnsi="Perpetua" w:cs="Perpetua"/>
          <w:sz w:val="22"/>
          <w:szCs w:val="22"/>
        </w:rPr>
        <w:t>of</w:t>
      </w:r>
      <w:r w:rsidRPr="00BF029B">
        <w:rPr>
          <w:rFonts w:ascii="Perpetua" w:hAnsi="Perpetua" w:cs="Perpetua"/>
          <w:spacing w:val="26"/>
          <w:sz w:val="22"/>
          <w:szCs w:val="22"/>
        </w:rPr>
        <w:t xml:space="preserve"> </w:t>
      </w:r>
      <w:r w:rsidRPr="00BF029B">
        <w:rPr>
          <w:rFonts w:ascii="Perpetua" w:hAnsi="Perpetua" w:cs="Perpetua"/>
          <w:sz w:val="22"/>
          <w:szCs w:val="22"/>
        </w:rPr>
        <w:t>the</w:t>
      </w:r>
      <w:r w:rsidRPr="00BF029B">
        <w:rPr>
          <w:rFonts w:ascii="Perpetua" w:hAnsi="Perpetua" w:cs="Perpetua"/>
          <w:spacing w:val="26"/>
          <w:sz w:val="22"/>
          <w:szCs w:val="22"/>
        </w:rPr>
        <w:t xml:space="preserve"> </w:t>
      </w:r>
      <w:r w:rsidRPr="00BF029B">
        <w:rPr>
          <w:rFonts w:ascii="Perpetua" w:hAnsi="Perpetua" w:cs="Perpetua"/>
          <w:sz w:val="22"/>
          <w:szCs w:val="22"/>
        </w:rPr>
        <w:t>Bible</w:t>
      </w:r>
      <w:r>
        <w:rPr>
          <w:rFonts w:ascii="Perpetua" w:hAnsi="Perpetua" w:cs="Perpetua"/>
          <w:sz w:val="22"/>
          <w:szCs w:val="22"/>
        </w:rPr>
        <w:t>, which is now Cairn University</w:t>
      </w:r>
      <w:r w:rsidRPr="002E05C8">
        <w:rPr>
          <w:rFonts w:ascii="Perpetua" w:hAnsi="Perpetua" w:cs="Perpetua"/>
          <w:sz w:val="22"/>
          <w:szCs w:val="22"/>
        </w:rPr>
        <w:t>.</w:t>
      </w:r>
      <w:r w:rsidRPr="002E05C8">
        <w:rPr>
          <w:rStyle w:val="EndnoteReference"/>
          <w:rFonts w:ascii="Perpetua" w:hAnsi="Perpetua" w:cs="Perpetua"/>
          <w:spacing w:val="-1"/>
          <w:sz w:val="22"/>
          <w:szCs w:val="22"/>
        </w:rPr>
        <w:endnoteReference w:id="916"/>
      </w:r>
      <w:r w:rsidRPr="002E05C8">
        <w:rPr>
          <w:rFonts w:ascii="Perpetua" w:hAnsi="Perpetua" w:cs="Perpetua"/>
          <w:sz w:val="22"/>
          <w:szCs w:val="22"/>
        </w:rPr>
        <w:t xml:space="preserve">  </w:t>
      </w:r>
      <w:r w:rsidRPr="002E05C8">
        <w:rPr>
          <w:rFonts w:ascii="Perpetua" w:hAnsi="Perpetua"/>
          <w:sz w:val="22"/>
          <w:szCs w:val="22"/>
        </w:rPr>
        <w:t xml:space="preserve">An article in </w:t>
      </w:r>
      <w:r w:rsidRPr="002E05C8">
        <w:rPr>
          <w:rFonts w:ascii="Perpetua" w:hAnsi="Perpetua"/>
          <w:i/>
          <w:sz w:val="22"/>
          <w:szCs w:val="22"/>
        </w:rPr>
        <w:t>Cairn Magazine Online</w:t>
      </w:r>
      <w:r w:rsidRPr="002E05C8">
        <w:rPr>
          <w:rFonts w:ascii="Perpetua" w:hAnsi="Perpetua"/>
          <w:sz w:val="22"/>
          <w:szCs w:val="22"/>
        </w:rPr>
        <w:t xml:space="preserve"> suggests Scofield’s motive, stating: </w:t>
      </w:r>
      <w:r w:rsidRPr="002E05C8">
        <w:rPr>
          <w:rFonts w:ascii="Perpetua" w:hAnsi="Perpetua" w:cs="Perpetua"/>
          <w:sz w:val="22"/>
          <w:szCs w:val="22"/>
        </w:rPr>
        <w:t>‘</w:t>
      </w:r>
      <w:r w:rsidRPr="002E05C8">
        <w:rPr>
          <w:rFonts w:ascii="Perpetua" w:hAnsi="Perpetua"/>
          <w:sz w:val="22"/>
          <w:szCs w:val="22"/>
        </w:rPr>
        <w:t>Scofield said there were seminaries for ordained pastors, but the work of Christ needed trained laymen and women.’</w:t>
      </w:r>
      <w:r>
        <w:rPr>
          <w:rStyle w:val="EndnoteReference"/>
          <w:rFonts w:ascii="Perpetua" w:hAnsi="Perpetua"/>
        </w:rPr>
        <w:endnoteReference w:id="917"/>
      </w:r>
      <w:r>
        <w:rPr>
          <w:rFonts w:ascii="Perpetua" w:hAnsi="Perpetua"/>
        </w:rPr>
        <w:t xml:space="preserve">  </w:t>
      </w:r>
      <w:r>
        <w:rPr>
          <w:rFonts w:ascii="Perpetua" w:hAnsi="Perpetua" w:cs="Perpetua"/>
          <w:spacing w:val="-1"/>
          <w:sz w:val="22"/>
          <w:szCs w:val="22"/>
        </w:rPr>
        <w:t>Dallas Theological Seminary</w:t>
      </w:r>
      <w:r>
        <w:rPr>
          <w:rStyle w:val="EndnoteReference"/>
          <w:rFonts w:ascii="Perpetua" w:hAnsi="Perpetua" w:cs="Perpetua"/>
          <w:spacing w:val="-1"/>
          <w:sz w:val="22"/>
          <w:szCs w:val="22"/>
        </w:rPr>
        <w:endnoteReference w:id="918"/>
      </w:r>
      <w:r>
        <w:rPr>
          <w:rFonts w:ascii="Perpetua" w:hAnsi="Perpetua" w:cs="Perpetua"/>
          <w:spacing w:val="-1"/>
          <w:sz w:val="22"/>
          <w:szCs w:val="22"/>
        </w:rPr>
        <w:t xml:space="preserve"> was founded in 1924 by Chafer, who was Scofield’s disciple</w:t>
      </w:r>
      <w:r>
        <w:rPr>
          <w:rStyle w:val="EndnoteReference"/>
          <w:rFonts w:ascii="Perpetua" w:hAnsi="Perpetua" w:cs="Perpetua"/>
          <w:spacing w:val="-1"/>
          <w:sz w:val="22"/>
          <w:szCs w:val="22"/>
        </w:rPr>
        <w:endnoteReference w:id="919"/>
      </w:r>
      <w:r>
        <w:rPr>
          <w:rFonts w:ascii="Perpetua" w:hAnsi="Perpetua" w:cs="Perpetua"/>
          <w:spacing w:val="-1"/>
          <w:sz w:val="22"/>
          <w:szCs w:val="22"/>
        </w:rPr>
        <w:t xml:space="preserve"> and successor at </w:t>
      </w:r>
      <w:r w:rsidRPr="00683D85">
        <w:rPr>
          <w:rStyle w:val="ind"/>
          <w:rFonts w:ascii="Perpetua" w:hAnsi="Perpetua"/>
          <w:sz w:val="22"/>
          <w:szCs w:val="22"/>
        </w:rPr>
        <w:t xml:space="preserve">the </w:t>
      </w:r>
      <w:r>
        <w:rPr>
          <w:rStyle w:val="ind"/>
          <w:rFonts w:ascii="Perpetua" w:hAnsi="Perpetua"/>
          <w:sz w:val="22"/>
          <w:szCs w:val="22"/>
        </w:rPr>
        <w:t>First Congregational Church, Dallas.</w:t>
      </w:r>
      <w:r>
        <w:rPr>
          <w:rStyle w:val="EndnoteReference"/>
          <w:rFonts w:ascii="Perpetua" w:hAnsi="Perpetua"/>
          <w:sz w:val="22"/>
          <w:szCs w:val="22"/>
        </w:rPr>
        <w:endnoteReference w:id="920"/>
      </w:r>
      <w:r>
        <w:rPr>
          <w:rStyle w:val="ind"/>
          <w:rFonts w:ascii="Perpetua" w:hAnsi="Perpetua"/>
          <w:sz w:val="22"/>
          <w:szCs w:val="22"/>
        </w:rPr>
        <w:t xml:space="preserve">  </w:t>
      </w:r>
      <w:r w:rsidRPr="00683D85">
        <w:rPr>
          <w:rStyle w:val="ind"/>
          <w:rFonts w:ascii="Perpetua" w:hAnsi="Perpetua"/>
          <w:sz w:val="22"/>
          <w:szCs w:val="22"/>
        </w:rPr>
        <w:t>John Walvoord states that ‘</w:t>
      </w:r>
      <w:r w:rsidRPr="00683D85">
        <w:rPr>
          <w:rFonts w:ascii="Perpetua" w:hAnsi="Perpetua"/>
          <w:sz w:val="22"/>
          <w:szCs w:val="22"/>
        </w:rPr>
        <w:t>The Moody Bible Institute alone has trained ten per cent of the foreign missionaries serving today.  Dispensationalists actually are most aggressive in evangelical witness.’</w:t>
      </w:r>
      <w:r>
        <w:rPr>
          <w:rStyle w:val="EndnoteReference"/>
          <w:rFonts w:ascii="Perpetua" w:hAnsi="Perpetua"/>
          <w:sz w:val="22"/>
          <w:szCs w:val="22"/>
        </w:rPr>
        <w:endnoteReference w:id="921"/>
      </w:r>
      <w:r>
        <w:rPr>
          <w:rFonts w:ascii="Perpetua" w:hAnsi="Perpetua"/>
          <w:sz w:val="22"/>
          <w:szCs w:val="22"/>
        </w:rPr>
        <w:t xml:space="preserve"> </w:t>
      </w:r>
      <w:r w:rsidRPr="00683D85">
        <w:rPr>
          <w:rFonts w:ascii="Perpetua" w:hAnsi="Perpetua"/>
          <w:sz w:val="22"/>
          <w:szCs w:val="22"/>
        </w:rPr>
        <w:t xml:space="preserve"> The latter statement is made in response to Bass’ rhetorical question which suggests that dispensationalism has ‘contributed largely to the default of the church’s mission, and made it a detached, withdrawn, inclusively introverted group, waiting to be raptured away from this evil world’.</w:t>
      </w:r>
      <w:r w:rsidRPr="00683D85">
        <w:rPr>
          <w:rStyle w:val="EndnoteReference"/>
          <w:rFonts w:ascii="Perpetua" w:hAnsi="Perpetua"/>
          <w:sz w:val="22"/>
          <w:szCs w:val="22"/>
        </w:rPr>
        <w:endnoteReference w:id="922"/>
      </w:r>
    </w:p>
    <w:p w:rsidR="00442D33" w:rsidRPr="009844C6" w:rsidRDefault="00442D33" w:rsidP="00442D33">
      <w:pPr>
        <w:pStyle w:val="FootnoteText"/>
        <w:spacing w:after="120" w:line="360" w:lineRule="auto"/>
        <w:jc w:val="both"/>
        <w:rPr>
          <w:rFonts w:ascii="Perpetua" w:hAnsi="Perpetua"/>
          <w:b/>
          <w:sz w:val="22"/>
          <w:szCs w:val="22"/>
        </w:rPr>
      </w:pPr>
      <w:proofErr w:type="gramStart"/>
      <w:r>
        <w:rPr>
          <w:rFonts w:ascii="Perpetua" w:hAnsi="Perpetua"/>
          <w:b/>
          <w:sz w:val="22"/>
          <w:szCs w:val="22"/>
        </w:rPr>
        <w:t>3</w:t>
      </w:r>
      <w:r w:rsidRPr="009844C6">
        <w:rPr>
          <w:rFonts w:ascii="Perpetua" w:hAnsi="Perpetua"/>
          <w:b/>
          <w:sz w:val="22"/>
          <w:szCs w:val="22"/>
        </w:rPr>
        <w:t>.2  Biblicism</w:t>
      </w:r>
      <w:proofErr w:type="gramEnd"/>
    </w:p>
    <w:p w:rsidR="00442D33" w:rsidRDefault="00442D33" w:rsidP="00442D33">
      <w:pPr>
        <w:pStyle w:val="FootnoteText"/>
        <w:spacing w:after="120" w:line="360" w:lineRule="auto"/>
        <w:jc w:val="both"/>
        <w:rPr>
          <w:rStyle w:val="ind"/>
          <w:rFonts w:ascii="Perpetua" w:hAnsi="Perpetua"/>
          <w:sz w:val="22"/>
          <w:szCs w:val="22"/>
        </w:rPr>
      </w:pPr>
      <w:r w:rsidRPr="009844C6">
        <w:rPr>
          <w:rStyle w:val="ind"/>
          <w:rFonts w:ascii="Perpetua" w:hAnsi="Perpetua"/>
          <w:sz w:val="22"/>
          <w:szCs w:val="22"/>
        </w:rPr>
        <w:t xml:space="preserve">Bebbington defines </w:t>
      </w:r>
      <w:r>
        <w:rPr>
          <w:rStyle w:val="ind"/>
          <w:rFonts w:ascii="Perpetua" w:hAnsi="Perpetua"/>
          <w:sz w:val="22"/>
          <w:szCs w:val="22"/>
        </w:rPr>
        <w:t>B</w:t>
      </w:r>
      <w:r w:rsidRPr="009844C6">
        <w:rPr>
          <w:rStyle w:val="ind"/>
          <w:rFonts w:ascii="Perpetua" w:hAnsi="Perpetua"/>
          <w:sz w:val="22"/>
          <w:szCs w:val="22"/>
        </w:rPr>
        <w:t>iblicism as ‘devotion to the Bible’; this derives from the belief that the Bible contains ‘all spiritual truth’.</w:t>
      </w:r>
      <w:r w:rsidRPr="009844C6">
        <w:rPr>
          <w:rStyle w:val="EndnoteReference"/>
          <w:rFonts w:ascii="Perpetua" w:hAnsi="Perpetua"/>
          <w:sz w:val="22"/>
          <w:szCs w:val="22"/>
        </w:rPr>
        <w:endnoteReference w:id="923"/>
      </w:r>
      <w:r w:rsidRPr="009844C6">
        <w:rPr>
          <w:rStyle w:val="ind"/>
          <w:rFonts w:ascii="Perpetua" w:hAnsi="Perpetua"/>
          <w:sz w:val="22"/>
          <w:szCs w:val="22"/>
        </w:rPr>
        <w:t xml:space="preserve">  </w:t>
      </w:r>
      <w:r>
        <w:rPr>
          <w:rStyle w:val="ind"/>
          <w:rFonts w:ascii="Perpetua" w:hAnsi="Perpetua"/>
          <w:sz w:val="22"/>
          <w:szCs w:val="22"/>
        </w:rPr>
        <w:t xml:space="preserve">Darby clearly views the Bible as indispensable, describing it as  </w:t>
      </w:r>
    </w:p>
    <w:p w:rsidR="00442D33" w:rsidRPr="00A26EB6" w:rsidRDefault="00442D33" w:rsidP="00442D33">
      <w:pPr>
        <w:pStyle w:val="FootnoteText"/>
        <w:spacing w:after="120"/>
        <w:ind w:left="1134" w:right="1700"/>
        <w:jc w:val="both"/>
        <w:rPr>
          <w:rStyle w:val="ind"/>
          <w:rFonts w:ascii="Perpetua" w:hAnsi="Perpetua"/>
          <w:szCs w:val="22"/>
        </w:rPr>
      </w:pPr>
      <w:r w:rsidRPr="00A26EB6">
        <w:rPr>
          <w:rFonts w:ascii="Perpetua" w:hAnsi="Perpetua"/>
          <w:sz w:val="22"/>
          <w:szCs w:val="24"/>
          <w:lang w:eastAsia="en-GB"/>
        </w:rPr>
        <w:lastRenderedPageBreak/>
        <w:t xml:space="preserve">a Book which is the harmonious whole of all God's thoughts, of all His ways with regard to man, and of His determinate purpose as to the Christ, and as to man in Him; wherein also is set forth the revelation of what God is, of man's responsibility, and of what God Himself has done for </w:t>
      </w:r>
      <w:r w:rsidRPr="002E05C8">
        <w:rPr>
          <w:rFonts w:ascii="Perpetua" w:hAnsi="Perpetua"/>
          <w:sz w:val="22"/>
          <w:szCs w:val="24"/>
          <w:lang w:eastAsia="en-GB"/>
        </w:rPr>
        <w:t>man</w:t>
      </w:r>
      <w:r w:rsidRPr="00A26EB6">
        <w:rPr>
          <w:rFonts w:ascii="Perpetua" w:hAnsi="Perpetua"/>
          <w:sz w:val="22"/>
          <w:szCs w:val="24"/>
          <w:lang w:eastAsia="en-GB"/>
        </w:rPr>
        <w:t xml:space="preserve">, as well as of the new relationships with God into </w:t>
      </w:r>
      <w:r>
        <w:rPr>
          <w:rFonts w:ascii="Perpetua" w:hAnsi="Perpetua"/>
          <w:sz w:val="22"/>
          <w:szCs w:val="24"/>
          <w:lang w:eastAsia="en-GB"/>
        </w:rPr>
        <w:t>which man enters through Christ …</w:t>
      </w:r>
      <w:r>
        <w:rPr>
          <w:rStyle w:val="EndnoteReference"/>
          <w:rFonts w:ascii="Perpetua" w:hAnsi="Perpetua"/>
          <w:sz w:val="22"/>
          <w:szCs w:val="24"/>
          <w:lang w:eastAsia="en-GB"/>
        </w:rPr>
        <w:endnoteReference w:id="924"/>
      </w:r>
    </w:p>
    <w:p w:rsidR="00442D33" w:rsidRPr="002E67A5" w:rsidRDefault="00442D33" w:rsidP="00442D33">
      <w:pPr>
        <w:pStyle w:val="FootnoteText"/>
        <w:spacing w:after="120" w:line="360" w:lineRule="auto"/>
        <w:jc w:val="both"/>
        <w:rPr>
          <w:rStyle w:val="ind"/>
          <w:rFonts w:ascii="Perpetua" w:hAnsi="Perpetua"/>
          <w:sz w:val="22"/>
          <w:szCs w:val="22"/>
        </w:rPr>
      </w:pPr>
      <w:r w:rsidRPr="002E67A5">
        <w:rPr>
          <w:rStyle w:val="ind"/>
          <w:rFonts w:ascii="Perpetua" w:hAnsi="Perpetua"/>
          <w:sz w:val="22"/>
          <w:szCs w:val="22"/>
        </w:rPr>
        <w:t>Darby also states: ‘</w:t>
      </w:r>
      <w:r w:rsidRPr="002E67A5">
        <w:rPr>
          <w:rFonts w:ascii="Perpetua" w:hAnsi="Perpetua"/>
          <w:sz w:val="22"/>
          <w:szCs w:val="22"/>
        </w:rPr>
        <w:t xml:space="preserve">I say that man has nothing to do in the things of God without the Bible </w:t>
      </w:r>
      <w:r w:rsidRPr="00012B96">
        <w:rPr>
          <w:rFonts w:ascii="Perpetua" w:hAnsi="Perpetua"/>
          <w:sz w:val="16"/>
          <w:szCs w:val="24"/>
        </w:rPr>
        <w:t>—</w:t>
      </w:r>
      <w:r w:rsidRPr="002E67A5">
        <w:rPr>
          <w:rFonts w:ascii="Perpetua" w:hAnsi="Perpetua"/>
          <w:sz w:val="22"/>
          <w:szCs w:val="22"/>
        </w:rPr>
        <w:t xml:space="preserve"> that he has not to act without the Bible any more than without the Holy Ghost.’</w:t>
      </w:r>
      <w:r>
        <w:rPr>
          <w:rStyle w:val="EndnoteReference"/>
          <w:rFonts w:ascii="Perpetua" w:hAnsi="Perpetua"/>
          <w:sz w:val="22"/>
          <w:szCs w:val="22"/>
        </w:rPr>
        <w:endnoteReference w:id="925"/>
      </w:r>
    </w:p>
    <w:p w:rsidR="00442D33" w:rsidRDefault="00442D33" w:rsidP="00442D33">
      <w:pPr>
        <w:pStyle w:val="FootnoteText"/>
        <w:spacing w:after="120" w:line="360" w:lineRule="auto"/>
        <w:ind w:firstLine="567"/>
        <w:jc w:val="both"/>
        <w:rPr>
          <w:rStyle w:val="ind"/>
          <w:rFonts w:ascii="Perpetua" w:hAnsi="Perpetua"/>
          <w:sz w:val="22"/>
          <w:szCs w:val="22"/>
        </w:rPr>
      </w:pPr>
      <w:r w:rsidRPr="009844C6">
        <w:rPr>
          <w:rStyle w:val="ind"/>
          <w:rFonts w:ascii="Perpetua" w:hAnsi="Perpetua"/>
          <w:sz w:val="22"/>
          <w:szCs w:val="22"/>
        </w:rPr>
        <w:t>Blaising notes that, at Niagara, the Bible was affirmed as the inspired Word of God, upon which all instruction was to be based.</w:t>
      </w:r>
      <w:r w:rsidRPr="009844C6">
        <w:rPr>
          <w:rStyle w:val="EndnoteReference"/>
          <w:rFonts w:ascii="Perpetua" w:hAnsi="Perpetua"/>
          <w:sz w:val="22"/>
          <w:szCs w:val="22"/>
        </w:rPr>
        <w:endnoteReference w:id="926"/>
      </w:r>
      <w:r w:rsidRPr="009844C6">
        <w:rPr>
          <w:rStyle w:val="ind"/>
          <w:rFonts w:ascii="Perpetua" w:hAnsi="Perpetua"/>
          <w:sz w:val="22"/>
          <w:szCs w:val="22"/>
        </w:rPr>
        <w:t xml:space="preserve">  In the ‘Call for the Conference’, the organizing committee states that ‘when … some vital doctrine of God’s Word has fallen into neglect or suffers contradiction or reproach, it becomes the serious duty of those who hold it, not only strongly and constantly to re-affirm it, but to seek … to bring back the Lord’s people to its apprehension and acceptance’.</w:t>
      </w:r>
      <w:r>
        <w:rPr>
          <w:rStyle w:val="EndnoteReference"/>
          <w:rFonts w:ascii="Perpetua" w:hAnsi="Perpetua"/>
          <w:sz w:val="22"/>
          <w:szCs w:val="22"/>
        </w:rPr>
        <w:endnoteReference w:id="927"/>
      </w:r>
      <w:r w:rsidRPr="009844C6">
        <w:rPr>
          <w:rStyle w:val="ind"/>
          <w:rFonts w:ascii="Perpetua" w:hAnsi="Perpetua"/>
          <w:sz w:val="22"/>
          <w:szCs w:val="22"/>
        </w:rPr>
        <w:t xml:space="preserve">  E. P. Goodwin refers to his assumption of ‘the absolute, infallible authority of “this book” as the word of God’.</w:t>
      </w:r>
      <w:r>
        <w:rPr>
          <w:rStyle w:val="EndnoteReference"/>
          <w:rFonts w:ascii="Perpetua" w:hAnsi="Perpetua"/>
          <w:sz w:val="22"/>
          <w:szCs w:val="22"/>
        </w:rPr>
        <w:endnoteReference w:id="928"/>
      </w:r>
      <w:r w:rsidRPr="009844C6">
        <w:rPr>
          <w:rStyle w:val="ind"/>
          <w:rFonts w:ascii="Perpetua" w:hAnsi="Perpetua"/>
          <w:sz w:val="22"/>
          <w:szCs w:val="22"/>
        </w:rPr>
        <w:t xml:space="preserve">  </w:t>
      </w:r>
    </w:p>
    <w:p w:rsidR="00442D33" w:rsidRDefault="00442D33" w:rsidP="00442D33">
      <w:pPr>
        <w:spacing w:after="120" w:line="360" w:lineRule="auto"/>
        <w:ind w:firstLine="567"/>
        <w:jc w:val="both"/>
        <w:rPr>
          <w:rStyle w:val="ind"/>
        </w:rPr>
      </w:pPr>
      <w:r w:rsidRPr="0074231B">
        <w:rPr>
          <w:rStyle w:val="ind"/>
        </w:rPr>
        <w:t xml:space="preserve">The dispensationalist perception of the divine inspiration of the Bible has clearly persisted.  </w:t>
      </w:r>
      <w:r>
        <w:rPr>
          <w:rStyle w:val="ind"/>
        </w:rPr>
        <w:t>As shown in the table below, t</w:t>
      </w:r>
      <w:r w:rsidRPr="0074231B">
        <w:rPr>
          <w:rStyle w:val="ind"/>
        </w:rPr>
        <w:t xml:space="preserve">he first clause of the Niagara Creed of 1878 and Article One of the doctrinal statement of Dallas Theological Seminary, one of the foremost modern propagators of dispensationalism, are virtually identical:  </w:t>
      </w:r>
      <w:r>
        <w:rPr>
          <w:rStyle w:val="ind"/>
        </w:rPr>
        <w:t>The Cairn University Statement of Faith contains a shorter version.</w:t>
      </w:r>
    </w:p>
    <w:p w:rsidR="00442D33" w:rsidRPr="00E07F4C" w:rsidRDefault="00442D33" w:rsidP="00442D33">
      <w:pPr>
        <w:spacing w:after="120" w:line="360" w:lineRule="auto"/>
        <w:ind w:firstLine="567"/>
        <w:jc w:val="center"/>
        <w:rPr>
          <w:rStyle w:val="ind"/>
        </w:rPr>
      </w:pPr>
      <w:r>
        <w:rPr>
          <w:noProof/>
          <w:lang w:eastAsia="en-GB"/>
        </w:rPr>
        <w:drawing>
          <wp:inline distT="0" distB="0" distL="0" distR="0" wp14:anchorId="6AB41559" wp14:editId="19A3F00B">
            <wp:extent cx="5400040" cy="386969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agara Creed &amp; DTS with Cairn 3.3.18 crop.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00040" cy="3869690"/>
                    </a:xfrm>
                    <a:prstGeom prst="rect">
                      <a:avLst/>
                    </a:prstGeom>
                  </pic:spPr>
                </pic:pic>
              </a:graphicData>
            </a:graphic>
          </wp:inline>
        </w:drawing>
      </w:r>
    </w:p>
    <w:p w:rsidR="00442D33" w:rsidRPr="00070265" w:rsidRDefault="00442D33" w:rsidP="00442D33">
      <w:pPr>
        <w:spacing w:after="120" w:line="360" w:lineRule="auto"/>
        <w:ind w:firstLine="567"/>
        <w:jc w:val="both"/>
        <w:rPr>
          <w:rStyle w:val="ind"/>
        </w:rPr>
      </w:pPr>
      <w:r w:rsidRPr="00070265">
        <w:rPr>
          <w:rStyle w:val="ind"/>
        </w:rPr>
        <w:t>Chafer moreover, states that, ‘believing the Scriptures of the Old and New Testaments to be the only infallible rule of faith and practice, no appeal is to be made to the creeds, confessions, or doctrinal standards which men have formed’.</w:t>
      </w:r>
      <w:r w:rsidRPr="00070265">
        <w:rPr>
          <w:rStyle w:val="EndnoteReference"/>
        </w:rPr>
        <w:endnoteReference w:id="929"/>
      </w:r>
      <w:r w:rsidRPr="00070265">
        <w:rPr>
          <w:rStyle w:val="ind"/>
        </w:rPr>
        <w:t xml:space="preserve">  Chafer’s prohibition includes specifically the Westminster </w:t>
      </w:r>
      <w:r w:rsidRPr="00070265">
        <w:rPr>
          <w:rStyle w:val="ind"/>
        </w:rPr>
        <w:lastRenderedPageBreak/>
        <w:t>Confession, of which virtually the whole first chapter (nine sections) concerns the necessity for the use of canonical Scripture because it is the Word of God, which should be believed and obeyed.</w:t>
      </w:r>
      <w:r>
        <w:rPr>
          <w:rStyle w:val="EndnoteReference"/>
        </w:rPr>
        <w:endnoteReference w:id="930"/>
      </w:r>
      <w:r w:rsidRPr="00070265">
        <w:rPr>
          <w:rStyle w:val="ind"/>
        </w:rPr>
        <w:t xml:space="preserve">  This echoes the </w:t>
      </w:r>
      <w:r w:rsidRPr="00070265">
        <w:rPr>
          <w:rStyle w:val="ind"/>
          <w:i/>
        </w:rPr>
        <w:t>sola Scriptura</w:t>
      </w:r>
      <w:r w:rsidRPr="00070265">
        <w:rPr>
          <w:rStyle w:val="ind"/>
        </w:rPr>
        <w:t xml:space="preserve"> language of the Reformation.</w:t>
      </w:r>
    </w:p>
    <w:p w:rsidR="00442D33" w:rsidRDefault="00442D33" w:rsidP="00442D33">
      <w:pPr>
        <w:spacing w:after="120" w:line="360" w:lineRule="auto"/>
        <w:ind w:right="74" w:firstLine="567"/>
        <w:jc w:val="both"/>
      </w:pPr>
      <w:r w:rsidRPr="00070265">
        <w:t xml:space="preserve">Scofield’s statements support evangelical claims about the divine inspiration of Scripture and the necessity for a literal interpretation of it.  </w:t>
      </w:r>
      <w:r w:rsidRPr="00070265">
        <w:rPr>
          <w:rStyle w:val="ind"/>
        </w:rPr>
        <w:t xml:space="preserve">His belief in the inspiration and authority of the Bible </w:t>
      </w:r>
      <w:r>
        <w:rPr>
          <w:rStyle w:val="ind"/>
        </w:rPr>
        <w:t>wa</w:t>
      </w:r>
      <w:r w:rsidRPr="00070265">
        <w:rPr>
          <w:rStyle w:val="ind"/>
        </w:rPr>
        <w:t xml:space="preserve">s discussed in </w:t>
      </w:r>
      <w:r w:rsidRPr="009925C4">
        <w:rPr>
          <w:rStyle w:val="ind"/>
        </w:rPr>
        <w:t>Chapter 2</w:t>
      </w:r>
      <w:r w:rsidRPr="00070265">
        <w:rPr>
          <w:rStyle w:val="ind"/>
        </w:rPr>
        <w:t xml:space="preserve">.  His note on 1 Cor. 2:13 summarises his Biblicism.  He asserts that scriptural writers affirm that ‘the </w:t>
      </w:r>
      <w:r w:rsidRPr="00070265">
        <w:rPr>
          <w:rStyle w:val="ind"/>
          <w:i/>
        </w:rPr>
        <w:t>words</w:t>
      </w:r>
      <w:r w:rsidRPr="00070265">
        <w:rPr>
          <w:rStyle w:val="ind"/>
        </w:rPr>
        <w:t xml:space="preserve"> of their writings are divinely taught’ through the Spirit who ‘infallibly guides in the choice of words from the writer’s own vocabulary’; ‘this implies neither mechanical dictation nor the effacement of the writer’s personality’.  Scofield states that this necessarily refers to ‘the original documents’ but, as stated in Chapter 2, he expresses great </w:t>
      </w:r>
      <w:r w:rsidRPr="00070265">
        <w:t>confidence in the competence of English translators.</w:t>
      </w:r>
      <w:r w:rsidRPr="00070265">
        <w:rPr>
          <w:rStyle w:val="ind"/>
        </w:rPr>
        <w:t xml:space="preserve">  </w:t>
      </w:r>
      <w:r w:rsidRPr="00070265">
        <w:t>Finally, only the spiritual among believers may discern ‘their full spiritual content’.</w:t>
      </w:r>
      <w:r w:rsidRPr="00070265">
        <w:rPr>
          <w:rStyle w:val="EndnoteReference"/>
        </w:rPr>
        <w:endnoteReference w:id="931"/>
      </w:r>
      <w:r w:rsidRPr="00070265">
        <w:t xml:space="preserve"> </w:t>
      </w:r>
    </w:p>
    <w:p w:rsidR="00442D33" w:rsidRPr="0035037C" w:rsidRDefault="00442D33" w:rsidP="00442D33">
      <w:pPr>
        <w:spacing w:after="120" w:line="360" w:lineRule="auto"/>
        <w:ind w:right="74" w:firstLine="567"/>
        <w:jc w:val="both"/>
      </w:pPr>
      <w:r w:rsidRPr="0035037C">
        <w:t xml:space="preserve">Scofield sets the scene in </w:t>
      </w:r>
      <w:r w:rsidRPr="0035037C">
        <w:rPr>
          <w:i/>
        </w:rPr>
        <w:t>SRB</w:t>
      </w:r>
      <w:r w:rsidRPr="0035037C">
        <w:t xml:space="preserve"> for his literal interpretation of the biblical text by including Bishop Ussher’s dates.</w:t>
      </w:r>
      <w:r w:rsidRPr="0035037C">
        <w:rPr>
          <w:rStyle w:val="EndnoteReference"/>
        </w:rPr>
        <w:endnoteReference w:id="932"/>
      </w:r>
      <w:r w:rsidRPr="0035037C">
        <w:t xml:space="preserve">  He thus places creation at 4004 B.C.</w:t>
      </w:r>
      <w:r w:rsidRPr="0035037C">
        <w:rPr>
          <w:rStyle w:val="EndnoteReference"/>
        </w:rPr>
        <w:endnoteReference w:id="933"/>
      </w:r>
      <w:r w:rsidRPr="0035037C">
        <w:t xml:space="preserve">  He makes three assertions to prove that there is no conflict between the Genesis account of creation and geological and biological facts.</w:t>
      </w:r>
      <w:r w:rsidRPr="0035037C">
        <w:rPr>
          <w:rStyle w:val="EndnoteReference"/>
        </w:rPr>
        <w:endnoteReference w:id="934"/>
      </w:r>
      <w:r w:rsidRPr="0035037C">
        <w:t xml:space="preserve">  In defence of biblical accuracy, Scofield firstly states that ‘the first creative act [the heavens and earth] refers to the dateless past, and gives scope to all the geologic ages’.  Scofield holds that only three </w:t>
      </w:r>
      <w:r w:rsidRPr="0035037C">
        <w:rPr>
          <w:i/>
        </w:rPr>
        <w:t>creative</w:t>
      </w:r>
      <w:r w:rsidRPr="0035037C">
        <w:t xml:space="preserve"> acts of God are recorded in Genesis 1 – the heavens and earth (v. 1), animal life (v. 21) and human life (vv. 26, 27).</w:t>
      </w:r>
      <w:r w:rsidRPr="0035037C">
        <w:rPr>
          <w:rStyle w:val="EndnoteReference"/>
        </w:rPr>
        <w:endnoteReference w:id="935"/>
      </w:r>
      <w:r w:rsidRPr="0035037C">
        <w:t xml:space="preserve">  Secondly, he declares that the earth bears the marks of ‘a cataclysmic change as the result of a divine judgment’.</w:t>
      </w:r>
      <w:r w:rsidRPr="0035037C">
        <w:rPr>
          <w:rStyle w:val="EndnoteReference"/>
        </w:rPr>
        <w:endnoteReference w:id="936"/>
      </w:r>
      <w:r w:rsidRPr="0035037C">
        <w:t xml:space="preserve">  Thirdly, only animal life perished in this catastrophe and traces of this are to be found in fossilised remains.  ‘Relegate fossils to the primitive creation, and no conflict of science with the Genesis cosmogony remains.’</w:t>
      </w:r>
      <w:r w:rsidRPr="0035037C">
        <w:rPr>
          <w:rStyle w:val="EndnoteReference"/>
        </w:rPr>
        <w:endnoteReference w:id="937"/>
      </w:r>
      <w:r w:rsidRPr="0035037C">
        <w:t xml:space="preserve">  This follows the ‘gap theory’, as described by Jack Sofield.</w:t>
      </w:r>
      <w:r w:rsidRPr="0035037C">
        <w:rPr>
          <w:rStyle w:val="EndnoteReference"/>
        </w:rPr>
        <w:endnoteReference w:id="938"/>
      </w:r>
      <w:r w:rsidRPr="0035037C">
        <w:t xml:space="preserve">  This theory </w:t>
      </w:r>
      <w:r w:rsidRPr="00F40C6A">
        <w:t>was first advanced in the early 19</w:t>
      </w:r>
      <w:r w:rsidRPr="00F40C6A">
        <w:rPr>
          <w:vertAlign w:val="superscript"/>
        </w:rPr>
        <w:t>th</w:t>
      </w:r>
      <w:r w:rsidRPr="00F40C6A">
        <w:t xml:space="preserve"> century in an attempt to reconcile the geological ages and existence of fossils with the creation account of Genesis 1.  According to the theory, a gap, an indefinite interval of time, often taken to be millions of years and to encompass the geological ages, intervened between Gen. 1:1 and Gen. 1:2.  Those who advocate this theory also hold that, during this interval, God pronounced a cataclysmic judgment upon the earth as a result of Lucifer’s fall, thus Gen. 1:2 onwards contains a description of the divine re-creation of the earth from a chaotic state, rather than initial divine creation</w:t>
      </w:r>
      <w:r>
        <w:t xml:space="preserve">.  </w:t>
      </w:r>
      <w:r w:rsidRPr="0035037C">
        <w:t xml:space="preserve">Scofield avers that plants survived in seed form; this might imply that he had never seen any fossilised plants.  Scofield also asserts categorically that ‘man was </w:t>
      </w:r>
      <w:r w:rsidRPr="0035037C">
        <w:rPr>
          <w:i/>
        </w:rPr>
        <w:t>created</w:t>
      </w:r>
      <w:r w:rsidRPr="0035037C">
        <w:t xml:space="preserve">, not </w:t>
      </w:r>
      <w:r w:rsidRPr="0035037C">
        <w:rPr>
          <w:i/>
        </w:rPr>
        <w:t>evolved</w:t>
      </w:r>
      <w:r w:rsidRPr="0035037C">
        <w:t>’ and describes how humankind differs from animals.</w:t>
      </w:r>
      <w:r w:rsidRPr="0035037C">
        <w:rPr>
          <w:rStyle w:val="EndnoteReference"/>
        </w:rPr>
        <w:endnoteReference w:id="939"/>
      </w:r>
      <w:r w:rsidRPr="0035037C">
        <w:t xml:space="preserve">  </w:t>
      </w:r>
    </w:p>
    <w:p w:rsidR="00442D33" w:rsidRPr="0035037C" w:rsidRDefault="00442D33" w:rsidP="00442D33">
      <w:pPr>
        <w:spacing w:after="120" w:line="360" w:lineRule="auto"/>
        <w:ind w:right="74" w:firstLine="567"/>
        <w:jc w:val="both"/>
      </w:pPr>
      <w:r w:rsidRPr="0035037C">
        <w:t xml:space="preserve">Scofield’s assertions must be placed within the context of his life and experience.  Weber remarks that, in the five or six decades following the Civil War, ‘American evangelism was thrown into chaos by immense and unprecedented social and intellectual crises’ through the rise of the city, an influx of immigrants and rapid industrialisation, and challenged by ‘new revolutionary ways of thinking.  The rise </w:t>
      </w:r>
      <w:r w:rsidRPr="0035037C">
        <w:lastRenderedPageBreak/>
        <w:t>of the theory of evolution called into question traditional ways of looking at the universe and the nature of man.’</w:t>
      </w:r>
      <w:r w:rsidRPr="0035037C">
        <w:rPr>
          <w:rStyle w:val="EndnoteReference"/>
        </w:rPr>
        <w:endnoteReference w:id="940"/>
      </w:r>
      <w:r w:rsidRPr="0035037C">
        <w:t xml:space="preserve">  Charles Darwin’s </w:t>
      </w:r>
      <w:r w:rsidRPr="0035037C">
        <w:rPr>
          <w:i/>
        </w:rPr>
        <w:t>On the Origin of Species by Means of Natural Selection</w:t>
      </w:r>
      <w:r w:rsidRPr="0035037C">
        <w:t xml:space="preserve"> was published in 1859, shortly before the outbreak of the Civil War, in which Scofield fought on the Confederate side.  Additionally, ‘biblical higher criticism, comparative religion, and the new social sciences caused many evangelicals to doubt the traditional views of biblical inspiration and authority and the finality of the Christian faith’.</w:t>
      </w:r>
      <w:r w:rsidRPr="0035037C">
        <w:rPr>
          <w:rStyle w:val="EndnoteReference"/>
        </w:rPr>
        <w:endnoteReference w:id="941"/>
      </w:r>
      <w:r w:rsidRPr="0035037C">
        <w:t xml:space="preserve">  One reaction to these challenges was the inauguration of Believers’ Meetings for Bible Study, which became the Bible Confere</w:t>
      </w:r>
      <w:r>
        <w:t>nce movement; as already stated</w:t>
      </w:r>
      <w:proofErr w:type="gramStart"/>
      <w:r>
        <w:t>,</w:t>
      </w:r>
      <w:proofErr w:type="gramEnd"/>
      <w:r w:rsidRPr="0035037C">
        <w:t xml:space="preserve"> Scofield played a key role in this.  </w:t>
      </w:r>
    </w:p>
    <w:p w:rsidR="00442D33" w:rsidRDefault="00442D33" w:rsidP="00442D33">
      <w:pPr>
        <w:spacing w:after="120" w:line="360" w:lineRule="auto"/>
        <w:ind w:right="74" w:firstLine="567"/>
        <w:jc w:val="both"/>
      </w:pPr>
      <w:r w:rsidRPr="0035037C">
        <w:t xml:space="preserve">Scofield’s detailed analyses of divine names in </w:t>
      </w:r>
      <w:r>
        <w:t>six</w:t>
      </w:r>
      <w:r w:rsidRPr="0035037C">
        <w:t xml:space="preserve"> notes in Genesis,</w:t>
      </w:r>
      <w:r w:rsidRPr="0035037C">
        <w:rPr>
          <w:rStyle w:val="EndnoteReference"/>
        </w:rPr>
        <w:endnoteReference w:id="942"/>
      </w:r>
      <w:r w:rsidRPr="0035037C">
        <w:t xml:space="preserve"> his note on 1 Sam. 1:3,</w:t>
      </w:r>
      <w:r w:rsidRPr="0035037C">
        <w:rPr>
          <w:rStyle w:val="EndnoteReference"/>
        </w:rPr>
        <w:endnoteReference w:id="943"/>
      </w:r>
      <w:r w:rsidRPr="0035037C">
        <w:t xml:space="preserve"> and a table within his note on Mal. 3:18,</w:t>
      </w:r>
      <w:r w:rsidRPr="0035037C">
        <w:rPr>
          <w:rStyle w:val="EndnoteReference"/>
        </w:rPr>
        <w:endnoteReference w:id="944"/>
      </w:r>
      <w:r w:rsidRPr="0035037C">
        <w:t xml:space="preserve"> probably also stem from his desire to take a stand against </w:t>
      </w:r>
      <w:r>
        <w:t xml:space="preserve">contemporary </w:t>
      </w:r>
      <w:r w:rsidRPr="0035037C">
        <w:t xml:space="preserve">threats to Christian belief.  In all these notes, he is especially concerned to emphasise the holiness of God, his eternal nature and his redemptive relationship with humankind and particularly regarding Israel.  </w:t>
      </w:r>
      <w:r>
        <w:t>The notes in Genesis concerning names of God are analysed in the table below.</w:t>
      </w:r>
    </w:p>
    <w:p w:rsidR="00442D33" w:rsidRDefault="00442D33" w:rsidP="00442D33">
      <w:pPr>
        <w:spacing w:after="120" w:line="360" w:lineRule="auto"/>
        <w:ind w:right="74" w:firstLine="567"/>
        <w:jc w:val="both"/>
      </w:pPr>
      <w:r>
        <w:t>In his note on 1 Sam. 1:3, Scofield describes ‘Jehovah Sabaoth’ as ‘Jehovah (LORD) of Hosts’.  ‘It is the name … of Jehovah in manifestation of power’, ‘the distinctive name of Deity for Israel’s help and comfort in time of division and failure’.</w:t>
      </w:r>
      <w:r w:rsidRPr="0035037C">
        <w:rPr>
          <w:rStyle w:val="EndnoteReference"/>
        </w:rPr>
        <w:endnoteReference w:id="945"/>
      </w:r>
    </w:p>
    <w:p w:rsidR="00442D33" w:rsidRDefault="00442D33" w:rsidP="00442D33">
      <w:pPr>
        <w:spacing w:after="120" w:line="360" w:lineRule="auto"/>
        <w:ind w:right="74" w:firstLine="567"/>
        <w:jc w:val="both"/>
      </w:pPr>
      <w:r w:rsidRPr="00854D02">
        <w:t xml:space="preserve">The first part of Scofield’s note on Mal. 3:18 comprises a table in which analyses the names of God in English and in Hebrew as found in Gen. 1:1 (El, Elah, or Elohim); 2:4 (Jehovah); 15:2 (Adon or Adonai); 17:1 (El Shaddai); 14:18 (El Elyon); 21:33 (El Olam); 2:4 (now quoted as Jehovah Elohim), 15:2 (now quoted as Adonai Jehovah) and 1 Sam. 1:3 (Jehovah Sabaoth).  It is significant that Scofield gives the English translation first and regards the Hebrew as an ‘equivalent’.  This table constitutes a summary of interpretations which Scofield has already given but also forms the basis for his construction concerning the Trinity.  Scofield counts ‘Jehovah’ </w:t>
      </w:r>
      <w:r w:rsidRPr="00C74AEB">
        <w:t>(</w:t>
      </w:r>
      <w:proofErr w:type="gramStart"/>
      <w:r w:rsidRPr="00C74AEB">
        <w:rPr>
          <w:rFonts w:ascii="Bwhebb" w:hAnsi="Bwhebb" w:cs="Bwhebb"/>
          <w:sz w:val="32"/>
          <w:szCs w:val="32"/>
          <w:lang w:bidi="he-IL"/>
        </w:rPr>
        <w:t>hw"</w:t>
      </w:r>
      <w:proofErr w:type="gramEnd"/>
      <w:r w:rsidRPr="00C74AEB">
        <w:rPr>
          <w:rFonts w:ascii="Bwhebb" w:hAnsi="Bwhebb" w:cs="Bwhebb"/>
          <w:sz w:val="32"/>
          <w:szCs w:val="32"/>
          <w:lang w:bidi="he-IL"/>
        </w:rPr>
        <w:t>ïhy</w:t>
      </w:r>
      <w:r w:rsidRPr="00C74AEB">
        <w:t xml:space="preserve">) </w:t>
      </w:r>
      <w:r w:rsidRPr="00854D02">
        <w:t>and ‘Jehovah Elohim’ (</w:t>
      </w:r>
      <w:r w:rsidRPr="00C74AEB">
        <w:rPr>
          <w:rFonts w:ascii="Bwhebb" w:hAnsi="Bwhebb" w:cs="Bwhebb"/>
          <w:sz w:val="32"/>
          <w:szCs w:val="32"/>
          <w:lang w:bidi="he-IL"/>
        </w:rPr>
        <w:t>~yhiÞl{a/ hw"ïhy</w:t>
      </w:r>
      <w:r w:rsidRPr="00854D02">
        <w:t>), and ‘Adonai’ (</w:t>
      </w:r>
      <w:r w:rsidRPr="00C74AEB">
        <w:rPr>
          <w:rFonts w:ascii="Bwhebb" w:hAnsi="Bwhebb" w:cs="Bwhebb"/>
          <w:sz w:val="32"/>
          <w:szCs w:val="32"/>
          <w:lang w:bidi="he-IL"/>
        </w:rPr>
        <w:t>yn"Üdoa</w:t>
      </w:r>
      <w:r w:rsidRPr="00854D02">
        <w:t>) and ‘Adonai Jehovah’ (</w:t>
      </w:r>
      <w:r w:rsidRPr="00C74AEB">
        <w:rPr>
          <w:rFonts w:ascii="Bwhebb" w:hAnsi="Bwhebb" w:cs="Bwhebb"/>
          <w:sz w:val="32"/>
          <w:szCs w:val="32"/>
          <w:lang w:bidi="he-IL"/>
        </w:rPr>
        <w:t>hwIhy/ yn"Üdoa</w:t>
      </w:r>
      <w:r w:rsidRPr="00C74AEB">
        <w:rPr>
          <w:rFonts w:ascii="Bwhebb" w:hAnsi="Bwhebb" w:cs="Bwhebb"/>
          <w:sz w:val="36"/>
          <w:lang w:bidi="he-IL"/>
        </w:rPr>
        <w:t>]</w:t>
      </w:r>
      <w:r w:rsidRPr="00C74AEB">
        <w:t xml:space="preserve">) </w:t>
      </w:r>
      <w:r w:rsidRPr="00854D02">
        <w:t>as separate names in the repeated references, Gen. 2:4 and 15:2, respectively, thus producing nine names in total.  The nine names are divided by Scofield according to three ‘classes’: ‘Primary’, ‘Compound (with El = God)’ and ‘Compound (with Jehovah = L</w:t>
      </w:r>
      <w:r>
        <w:t>ORD</w:t>
      </w:r>
      <w:r w:rsidRPr="00854D02">
        <w:t>)’.  From this classification, Scofield expostulates that ‘the Trinity is suggested by the three times repeated groups of threes.  This is not an arbitrary arrangement, but inheres in the O.T. itself.’  Since this three-fold classification has been constructed by Scofield, and also includes two double entries, this hypothesis is unconvincing.  Scofield states that the plural name, Elohim</w:t>
      </w:r>
      <w:r>
        <w:t>, as</w:t>
      </w:r>
      <w:r w:rsidRPr="00854D02">
        <w:t xml:space="preserve"> the ‘Supreme Being’ of the Old Testament</w:t>
      </w:r>
      <w:r>
        <w:t>,</w:t>
      </w:r>
      <w:r>
        <w:rPr>
          <w:rStyle w:val="EndnoteReference"/>
        </w:rPr>
        <w:endnoteReference w:id="946"/>
      </w:r>
      <w:r w:rsidRPr="00854D02">
        <w:t xml:space="preserve"> the creator and source of life, is ‘a unity in plurality’.  He asserts that ‘this plurality is really a Trinity’ as intimated in ‘the three primary names of Deity’ and in the ‘three-fold ascription of the Seraphim’ in Isa. 6:3.  He sees the ‘interrelation of Deity’ as being between Father and Son</w:t>
      </w:r>
      <w:r>
        <w:rPr>
          <w:rStyle w:val="EndnoteReference"/>
        </w:rPr>
        <w:endnoteReference w:id="947"/>
      </w:r>
      <w:r w:rsidRPr="00854D02">
        <w:t xml:space="preserve"> and the Spirit ‘distinctly recognised in His personality’ and ascription of ‘all the divine attributes’.  He also sees </w:t>
      </w:r>
      <w:r w:rsidRPr="00854D02">
        <w:lastRenderedPageBreak/>
        <w:t>the Old Testament revelation of God as being in harmony, not in contrast, with the New Testament revelation of God in Christ.</w:t>
      </w:r>
      <w:r w:rsidRPr="0035037C">
        <w:rPr>
          <w:rStyle w:val="EndnoteReference"/>
        </w:rPr>
        <w:endnoteReference w:id="948"/>
      </w:r>
    </w:p>
    <w:p w:rsidR="00442D33" w:rsidRPr="0035037C" w:rsidRDefault="00442D33" w:rsidP="00442D33">
      <w:pPr>
        <w:spacing w:after="120" w:line="360" w:lineRule="auto"/>
        <w:ind w:right="74" w:firstLine="567"/>
        <w:jc w:val="both"/>
      </w:pPr>
      <w:r w:rsidRPr="00C74AEB">
        <w:t xml:space="preserve">It is probably significant that </w:t>
      </w:r>
      <w:r w:rsidR="000549F0">
        <w:t>Scofield’s</w:t>
      </w:r>
      <w:r w:rsidRPr="00C74AEB">
        <w:t xml:space="preserve"> last major note on the Old Testament</w:t>
      </w:r>
      <w:r w:rsidRPr="00C74AEB">
        <w:rPr>
          <w:rStyle w:val="EndnoteReference"/>
        </w:rPr>
        <w:endnoteReference w:id="949"/>
      </w:r>
      <w:r w:rsidRPr="00C74AEB">
        <w:t xml:space="preserve"> concerns divine identity, as </w:t>
      </w:r>
      <w:r>
        <w:t>did the earliest note on Genesis</w:t>
      </w:r>
      <w:r w:rsidRPr="00C74AEB">
        <w:t>.</w:t>
      </w:r>
      <w:r w:rsidRPr="00C74AEB">
        <w:rPr>
          <w:rStyle w:val="EndnoteReference"/>
        </w:rPr>
        <w:endnoteReference w:id="950"/>
      </w:r>
      <w:r w:rsidRPr="00C74AEB">
        <w:t xml:space="preserve">  Essentially, Scofield begins and ends his Old Testament commentary with </w:t>
      </w:r>
      <w:r>
        <w:t xml:space="preserve">statements concerning </w:t>
      </w:r>
      <w:r w:rsidRPr="00C74AEB">
        <w:t>his concept of God.</w:t>
      </w:r>
    </w:p>
    <w:p w:rsidR="00442D33" w:rsidRPr="00854D02" w:rsidRDefault="00442D33" w:rsidP="00442D33">
      <w:pPr>
        <w:spacing w:after="120" w:line="360" w:lineRule="auto"/>
        <w:ind w:right="74" w:firstLine="567"/>
        <w:jc w:val="both"/>
      </w:pPr>
      <w:r>
        <w:rPr>
          <w:noProof/>
          <w:lang w:eastAsia="en-GB"/>
        </w:rPr>
        <w:drawing>
          <wp:inline distT="0" distB="0" distL="0" distR="0" wp14:anchorId="413CA160" wp14:editId="4E07AF60">
            <wp:extent cx="5400040" cy="699389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es of God in Genesis notes 17.3.18_Page_1 crop.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00040" cy="6993890"/>
                    </a:xfrm>
                    <a:prstGeom prst="rect">
                      <a:avLst/>
                    </a:prstGeom>
                  </pic:spPr>
                </pic:pic>
              </a:graphicData>
            </a:graphic>
          </wp:inline>
        </w:drawing>
      </w:r>
      <w:r w:rsidR="00A900B0" w:rsidRPr="00A900B0">
        <w:rPr>
          <w:b/>
          <w:i/>
        </w:rPr>
        <w:t xml:space="preserve"> </w:t>
      </w:r>
      <w:r w:rsidR="00A900B0" w:rsidRPr="00E15B93">
        <w:rPr>
          <w:b/>
          <w:i/>
        </w:rPr>
        <w:t>Continued overleaf</w:t>
      </w:r>
    </w:p>
    <w:p w:rsidR="00442D33" w:rsidRDefault="00442D33" w:rsidP="00442D33">
      <w:pPr>
        <w:spacing w:after="120" w:line="360" w:lineRule="auto"/>
        <w:ind w:right="74" w:firstLine="567"/>
        <w:jc w:val="both"/>
      </w:pPr>
      <w:r>
        <w:rPr>
          <w:noProof/>
          <w:lang w:eastAsia="en-GB"/>
        </w:rPr>
        <w:lastRenderedPageBreak/>
        <w:drawing>
          <wp:inline distT="0" distB="0" distL="0" distR="0" wp14:anchorId="17DFC501" wp14:editId="7E9563A4">
            <wp:extent cx="5400040" cy="3667760"/>
            <wp:effectExtent l="0" t="0" r="0"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es of God in Genesis notes rev 18.3.18 PAGE 2 crop.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00040" cy="3667760"/>
                    </a:xfrm>
                    <a:prstGeom prst="rect">
                      <a:avLst/>
                    </a:prstGeom>
                  </pic:spPr>
                </pic:pic>
              </a:graphicData>
            </a:graphic>
          </wp:inline>
        </w:drawing>
      </w:r>
    </w:p>
    <w:p w:rsidR="00442D33" w:rsidRPr="000C7D53" w:rsidRDefault="00442D33" w:rsidP="003D35A5">
      <w:pPr>
        <w:spacing w:after="120" w:line="360" w:lineRule="auto"/>
        <w:ind w:right="74"/>
        <w:jc w:val="both"/>
      </w:pPr>
      <w:r w:rsidRPr="000C7D53">
        <w:t>Scofield also asserts a literal interpretation regarding the languages and date of writing of Daniel.  He considers, but dismisses, the notion that the book was written ‘after the conquest of Palestine by Alexander (B. C. 332)’.  Arguing on the basis of the use of Aramaic ‘the ancient language of Syria and substantially identical with Chaldaic, the language of ancient Babylonia</w:t>
      </w:r>
      <w:r w:rsidR="000549F0">
        <w:t>’</w:t>
      </w:r>
      <w:r w:rsidRPr="000C7D53">
        <w:t>, from Dan. 2:4 to Dan. 7:28, Scofield claims that this ‘has … seemed with some modern exceptions [unspecified], to the Hebrew and Christian scholarship of the ages an unanswerable proof of the Danielic authorship of the book’.</w:t>
      </w:r>
      <w:r w:rsidRPr="000C7D53">
        <w:rPr>
          <w:rStyle w:val="EndnoteReference"/>
        </w:rPr>
        <w:endnoteReference w:id="951"/>
      </w:r>
      <w:r w:rsidRPr="000C7D53">
        <w:t xml:space="preserve">  Scofield supports this view with two arguments which are cited by John Collins as two of several theories advanced as solutions to the ‘conspicuous problem’ of the existence of two languages in the book of Daniel.</w:t>
      </w:r>
      <w:r w:rsidRPr="000C7D53">
        <w:rPr>
          <w:rStyle w:val="EndnoteReference"/>
        </w:rPr>
        <w:endnoteReference w:id="952"/>
      </w:r>
      <w:r w:rsidRPr="000C7D53">
        <w:t xml:space="preserve">  Firstly, Scofield states that ‘the Aramaic section is precisely that part of Daniel which most concerned the peoples amongst whom he lived, and to whom a prophecy written in Hebrew would have been unintelligible’; Collins puts forward as one possible solution the idea that ‘the entire book was composed in Hebrew.  An Aramaic version was issued almost simultaneously, for the benefit of those who could not read Hebrew.’  Collins states that this view was popular at the end of C19;</w:t>
      </w:r>
      <w:r w:rsidRPr="000C7D53">
        <w:rPr>
          <w:rStyle w:val="EndnoteReference"/>
        </w:rPr>
        <w:endnoteReference w:id="953"/>
      </w:r>
      <w:r w:rsidRPr="000C7D53">
        <w:t xml:space="preserve"> this would fit well with Scofield’s context.  Secondly, Scofield states, ‘The language returns to Hebrew in the predictive portions which have to do with the future of Israel.’</w:t>
      </w:r>
      <w:r w:rsidRPr="000C7D53">
        <w:rPr>
          <w:rStyle w:val="EndnoteReference"/>
        </w:rPr>
        <w:endnoteReference w:id="954"/>
      </w:r>
      <w:r w:rsidRPr="000C7D53">
        <w:t xml:space="preserve">  Collins states that the view that ‘the Aramaic chapters are concerned with gentile, especially Babylonian, history, whereas the Hebrew chapters focus more narrowly on Israel and the final judgment’ is ‘not very convincing’.</w:t>
      </w:r>
      <w:r w:rsidRPr="000C7D53">
        <w:rPr>
          <w:rStyle w:val="EndnoteReference"/>
        </w:rPr>
        <w:endnoteReference w:id="955"/>
      </w:r>
      <w:r w:rsidRPr="000C7D53">
        <w:t xml:space="preserve">  Having discussed the various linguistic conclusions of several scholars</w:t>
      </w:r>
      <w:r w:rsidRPr="000C7D53">
        <w:rPr>
          <w:rStyle w:val="EndnoteReference"/>
        </w:rPr>
        <w:endnoteReference w:id="956"/>
      </w:r>
      <w:r w:rsidRPr="000C7D53">
        <w:t xml:space="preserve"> and the significance of the discovery of various manuscripts,</w:t>
      </w:r>
      <w:r w:rsidRPr="000C7D53">
        <w:rPr>
          <w:rStyle w:val="EndnoteReference"/>
        </w:rPr>
        <w:endnoteReference w:id="957"/>
      </w:r>
      <w:r w:rsidRPr="000C7D53">
        <w:t xml:space="preserve"> Collins concludes that ‘the Aramaic of Daniel appears to be later than that of the Samaria papyri (fourth century),</w:t>
      </w:r>
      <w:r w:rsidRPr="000C7D53">
        <w:rPr>
          <w:rStyle w:val="EndnoteReference"/>
        </w:rPr>
        <w:endnoteReference w:id="958"/>
      </w:r>
      <w:r w:rsidRPr="000C7D53">
        <w:t xml:space="preserve"> while it does not yet attest many of the developments found in the Dead Sea Scrolls.  The </w:t>
      </w:r>
      <w:r w:rsidRPr="000C7D53">
        <w:lastRenderedPageBreak/>
        <w:t>balance of probability, then, favours a date in the early Hellenistic period for the Aramaic portions of Daniel, although a precise dating on linguistic grounds is not possible.’</w:t>
      </w:r>
      <w:r w:rsidRPr="000C7D53">
        <w:rPr>
          <w:rStyle w:val="EndnoteReference"/>
        </w:rPr>
        <w:endnoteReference w:id="959"/>
      </w:r>
    </w:p>
    <w:p w:rsidR="00442D33" w:rsidRPr="00D2099A" w:rsidRDefault="00442D33" w:rsidP="00442D33">
      <w:pPr>
        <w:spacing w:after="120" w:line="360" w:lineRule="auto"/>
        <w:jc w:val="both"/>
        <w:rPr>
          <w:rStyle w:val="ind"/>
          <w:b/>
        </w:rPr>
      </w:pPr>
      <w:proofErr w:type="gramStart"/>
      <w:r>
        <w:rPr>
          <w:rStyle w:val="ind"/>
          <w:b/>
        </w:rPr>
        <w:t>3</w:t>
      </w:r>
      <w:r w:rsidRPr="00D2099A">
        <w:rPr>
          <w:rStyle w:val="ind"/>
          <w:b/>
        </w:rPr>
        <w:t>.3  Crucicentrism</w:t>
      </w:r>
      <w:proofErr w:type="gramEnd"/>
    </w:p>
    <w:p w:rsidR="00442D33" w:rsidRPr="00D2099A" w:rsidRDefault="00442D33" w:rsidP="00442D33">
      <w:pPr>
        <w:spacing w:after="120" w:line="360" w:lineRule="auto"/>
        <w:jc w:val="both"/>
        <w:rPr>
          <w:rStyle w:val="ind"/>
        </w:rPr>
      </w:pPr>
      <w:r w:rsidRPr="00D2099A">
        <w:rPr>
          <w:rStyle w:val="ind"/>
        </w:rPr>
        <w:t xml:space="preserve">For Bebbington, crucicentrism indicates evangelical perception of ‘the doctrine of the </w:t>
      </w:r>
      <w:proofErr w:type="gramStart"/>
      <w:r w:rsidRPr="00D2099A">
        <w:rPr>
          <w:rStyle w:val="ind"/>
        </w:rPr>
        <w:t>cross’</w:t>
      </w:r>
      <w:proofErr w:type="gramEnd"/>
      <w:r w:rsidRPr="00D2099A">
        <w:rPr>
          <w:rStyle w:val="ind"/>
        </w:rPr>
        <w:t xml:space="preserve"> as ‘the focus of the gospel’.</w:t>
      </w:r>
      <w:r w:rsidRPr="00D2099A">
        <w:rPr>
          <w:rStyle w:val="EndnoteReference"/>
        </w:rPr>
        <w:endnoteReference w:id="960"/>
      </w:r>
      <w:r w:rsidRPr="00D2099A">
        <w:rPr>
          <w:rStyle w:val="ind"/>
        </w:rPr>
        <w:t xml:space="preserve">  Dispensationalist theology generally appears to endorse this.  Darby states that ‘whatever shews the connection of the sacrifice of the cross with the entire development of God’s ways with man confirms the faith of the saint …</w:t>
      </w:r>
      <w:proofErr w:type="gramStart"/>
      <w:r w:rsidRPr="00D2099A">
        <w:rPr>
          <w:rStyle w:val="ind"/>
        </w:rPr>
        <w:t>’.</w:t>
      </w:r>
      <w:proofErr w:type="gramEnd"/>
      <w:r>
        <w:rPr>
          <w:rStyle w:val="EndnoteReference"/>
        </w:rPr>
        <w:endnoteReference w:id="961"/>
      </w:r>
      <w:r w:rsidRPr="00D2099A">
        <w:rPr>
          <w:rStyle w:val="ind"/>
        </w:rPr>
        <w:t xml:space="preserve">  In his letter to Professor Tholuck, he calls the cross ‘the divine basis of salvation’.</w:t>
      </w:r>
      <w:r>
        <w:rPr>
          <w:rStyle w:val="EndnoteReference"/>
        </w:rPr>
        <w:endnoteReference w:id="962"/>
      </w:r>
      <w:r w:rsidRPr="00D2099A">
        <w:rPr>
          <w:rStyle w:val="ind"/>
        </w:rPr>
        <w:t xml:space="preserve">  Outlining seven ‘fundamental facts about grace</w:t>
      </w:r>
      <w:r>
        <w:rPr>
          <w:rStyle w:val="ind"/>
        </w:rPr>
        <w:t>’</w:t>
      </w:r>
      <w:r w:rsidRPr="00D2099A">
        <w:rPr>
          <w:rStyle w:val="ind"/>
        </w:rPr>
        <w:t>, Chafer states that ‘Christ … has by His Cross forever disposed of the condemnation of sin [and] … by the Cross created an entirely new relation between GOD and man’.  He also says that those who preach the Gospel should ‘give the cross its true place of vital importance as given to it in the Word of God’</w:t>
      </w:r>
      <w:r>
        <w:rPr>
          <w:rStyle w:val="EndnoteReference"/>
        </w:rPr>
        <w:endnoteReference w:id="963"/>
      </w:r>
      <w:r>
        <w:rPr>
          <w:rStyle w:val="ind"/>
        </w:rPr>
        <w:t xml:space="preserve"> </w:t>
      </w:r>
      <w:r w:rsidRPr="00D2099A">
        <w:rPr>
          <w:rStyle w:val="ind"/>
        </w:rPr>
        <w:t>and that ‘the new revelation of the grace of God … is made possible only by the cross …</w:t>
      </w:r>
      <w:proofErr w:type="gramStart"/>
      <w:r w:rsidRPr="00D2099A">
        <w:rPr>
          <w:rStyle w:val="ind"/>
        </w:rPr>
        <w:t>’.</w:t>
      </w:r>
      <w:proofErr w:type="gramEnd"/>
      <w:r>
        <w:rPr>
          <w:rStyle w:val="EndnoteReference"/>
        </w:rPr>
        <w:endnoteReference w:id="964"/>
      </w:r>
      <w:r w:rsidRPr="00D2099A">
        <w:rPr>
          <w:rStyle w:val="ind"/>
        </w:rPr>
        <w:t xml:space="preserve">  </w:t>
      </w:r>
      <w:r>
        <w:rPr>
          <w:rStyle w:val="ind"/>
        </w:rPr>
        <w:t>However, he also states that Christ’s second coming is ‘the outstanding theme of prophecy’ in both Testaments.</w:t>
      </w:r>
      <w:r>
        <w:rPr>
          <w:rStyle w:val="EndnoteReference"/>
        </w:rPr>
        <w:endnoteReference w:id="965"/>
      </w:r>
      <w:r>
        <w:rPr>
          <w:rStyle w:val="ind"/>
        </w:rPr>
        <w:t xml:space="preserve">  </w:t>
      </w:r>
      <w:r w:rsidRPr="00D2099A">
        <w:rPr>
          <w:rStyle w:val="ind"/>
        </w:rPr>
        <w:t>Roy Aldrich affirms that ‘God never saved any person or group of persons on any other ground than that righteous freedom to do so which the Cross of Christ secured’.</w:t>
      </w:r>
      <w:r>
        <w:rPr>
          <w:rStyle w:val="EndnoteReference"/>
        </w:rPr>
        <w:endnoteReference w:id="966"/>
      </w:r>
      <w:r>
        <w:rPr>
          <w:rStyle w:val="ind"/>
        </w:rPr>
        <w:t xml:space="preserve"> </w:t>
      </w:r>
    </w:p>
    <w:p w:rsidR="00442D33" w:rsidRDefault="00442D33" w:rsidP="00442D33">
      <w:pPr>
        <w:spacing w:after="120" w:line="360" w:lineRule="auto"/>
        <w:ind w:firstLine="567"/>
        <w:jc w:val="both"/>
        <w:rPr>
          <w:bCs/>
          <w:szCs w:val="36"/>
          <w:lang w:eastAsia="en-GB"/>
        </w:rPr>
      </w:pPr>
      <w:r w:rsidRPr="00D2099A">
        <w:rPr>
          <w:rStyle w:val="ind"/>
        </w:rPr>
        <w:t xml:space="preserve">Scofield </w:t>
      </w:r>
      <w:r>
        <w:rPr>
          <w:rStyle w:val="ind"/>
        </w:rPr>
        <w:t>endorses the importance of the cross</w:t>
      </w:r>
      <w:r w:rsidRPr="00D2099A">
        <w:rPr>
          <w:rStyle w:val="ind"/>
        </w:rPr>
        <w:t xml:space="preserve">, for example in </w:t>
      </w:r>
      <w:r>
        <w:rPr>
          <w:rStyle w:val="ind"/>
        </w:rPr>
        <w:t>his many typological assertions concerning it</w:t>
      </w:r>
      <w:r>
        <w:rPr>
          <w:rStyle w:val="EndnoteReference"/>
        </w:rPr>
        <w:endnoteReference w:id="967"/>
      </w:r>
      <w:r>
        <w:rPr>
          <w:rStyle w:val="ind"/>
        </w:rPr>
        <w:t xml:space="preserve"> and in numerous discourses on salvation, especially in New Testament annotation and particularly the epistles.</w:t>
      </w:r>
      <w:r>
        <w:rPr>
          <w:rStyle w:val="EndnoteReference"/>
        </w:rPr>
        <w:endnoteReference w:id="968"/>
      </w:r>
      <w:r>
        <w:rPr>
          <w:rStyle w:val="ind"/>
        </w:rPr>
        <w:t xml:space="preserve">  However, as described in </w:t>
      </w:r>
      <w:r w:rsidRPr="009925C4">
        <w:rPr>
          <w:rStyle w:val="ind"/>
        </w:rPr>
        <w:t>7.1.3</w:t>
      </w:r>
      <w:r>
        <w:rPr>
          <w:rStyle w:val="ind"/>
        </w:rPr>
        <w:t xml:space="preserve">, his notes include many more positive comments about Christ’s second coming than about his first; commentary on Christ’s </w:t>
      </w:r>
      <w:proofErr w:type="gramStart"/>
      <w:r>
        <w:rPr>
          <w:rStyle w:val="ind"/>
        </w:rPr>
        <w:t>second advent</w:t>
      </w:r>
      <w:proofErr w:type="gramEnd"/>
      <w:r>
        <w:rPr>
          <w:rStyle w:val="ind"/>
        </w:rPr>
        <w:t xml:space="preserve"> predominates.</w:t>
      </w:r>
      <w:r w:rsidRPr="003717B2">
        <w:rPr>
          <w:rStyle w:val="ind"/>
          <w:color w:val="FF0000"/>
        </w:rPr>
        <w:t xml:space="preserve">  </w:t>
      </w:r>
      <w:r w:rsidRPr="006730BF">
        <w:rPr>
          <w:rStyle w:val="ind"/>
        </w:rPr>
        <w:t xml:space="preserve">As described in </w:t>
      </w:r>
      <w:r>
        <w:rPr>
          <w:rStyle w:val="ind"/>
        </w:rPr>
        <w:t>4</w:t>
      </w:r>
      <w:r w:rsidRPr="006730BF">
        <w:rPr>
          <w:rStyle w:val="ind"/>
        </w:rPr>
        <w:t>.1, Scofield puts ‘the gospel of the kingdom’ first and ‘the gospel of the grace of God’ only second in his thesis concerning ‘four forms of gospel’ in his note on Rev. 14:6.</w:t>
      </w:r>
      <w:r w:rsidRPr="006730BF">
        <w:rPr>
          <w:rStyle w:val="EndnoteReference"/>
          <w:lang w:val="en-US"/>
        </w:rPr>
        <w:endnoteReference w:id="969"/>
      </w:r>
      <w:r w:rsidRPr="006730BF">
        <w:rPr>
          <w:rStyle w:val="ind"/>
        </w:rPr>
        <w:t xml:space="preserve">  </w:t>
      </w:r>
      <w:r>
        <w:rPr>
          <w:rStyle w:val="ind"/>
        </w:rPr>
        <w:t>The implication is that he regards this gospel as more important, especially since he asserts that it preceded and will succeed the current gospel of grace.</w:t>
      </w:r>
    </w:p>
    <w:p w:rsidR="00442D33" w:rsidRDefault="00442D33" w:rsidP="00442D33">
      <w:pPr>
        <w:spacing w:after="120" w:line="360" w:lineRule="auto"/>
        <w:ind w:firstLine="567"/>
        <w:jc w:val="both"/>
        <w:rPr>
          <w:rStyle w:val="ind"/>
        </w:rPr>
      </w:pPr>
      <w:r w:rsidRPr="006A26C9">
        <w:rPr>
          <w:rStyle w:val="ind"/>
        </w:rPr>
        <w:t>It seem</w:t>
      </w:r>
      <w:r>
        <w:rPr>
          <w:rStyle w:val="ind"/>
        </w:rPr>
        <w:t>s</w:t>
      </w:r>
      <w:r w:rsidRPr="006A26C9">
        <w:rPr>
          <w:rStyle w:val="ind"/>
        </w:rPr>
        <w:t xml:space="preserve"> that the paramount importance of the cross is also sometimes overlooked by other dispensationalist writers.  The fact that Thomas Ice mentions the cross only once in his ‘Short History of Dispensationalism’, and that in terms of a ‘punctuation’, may be indicative of his priorities.  Ice states, ‘</w:t>
      </w:r>
      <w:r w:rsidRPr="006A26C9">
        <w:t>This</w:t>
      </w:r>
      <w:r w:rsidRPr="006A26C9">
        <w:rPr>
          <w:spacing w:val="-2"/>
        </w:rPr>
        <w:t xml:space="preserve"> </w:t>
      </w:r>
      <w:r w:rsidRPr="006A26C9">
        <w:t>linear</w:t>
      </w:r>
      <w:r w:rsidRPr="006A26C9">
        <w:rPr>
          <w:spacing w:val="-2"/>
        </w:rPr>
        <w:t xml:space="preserve"> </w:t>
      </w:r>
      <w:r w:rsidRPr="006A26C9">
        <w:t>progress</w:t>
      </w:r>
      <w:r w:rsidRPr="006A26C9">
        <w:rPr>
          <w:spacing w:val="-3"/>
        </w:rPr>
        <w:t xml:space="preserve"> </w:t>
      </w:r>
      <w:r w:rsidRPr="006A26C9">
        <w:t>of</w:t>
      </w:r>
      <w:r w:rsidRPr="006A26C9">
        <w:rPr>
          <w:w w:val="99"/>
        </w:rPr>
        <w:t xml:space="preserve"> </w:t>
      </w:r>
      <w:r w:rsidRPr="006A26C9">
        <w:t>history</w:t>
      </w:r>
      <w:r w:rsidRPr="006A26C9">
        <w:rPr>
          <w:spacing w:val="-3"/>
        </w:rPr>
        <w:t xml:space="preserve"> </w:t>
      </w:r>
      <w:r w:rsidRPr="006A26C9">
        <w:t>began</w:t>
      </w:r>
      <w:r w:rsidRPr="006A26C9">
        <w:rPr>
          <w:spacing w:val="-1"/>
        </w:rPr>
        <w:t xml:space="preserve"> </w:t>
      </w:r>
      <w:r w:rsidRPr="006A26C9">
        <w:t>in innocence,</w:t>
      </w:r>
      <w:r w:rsidRPr="006A26C9">
        <w:rPr>
          <w:spacing w:val="-3"/>
        </w:rPr>
        <w:t xml:space="preserve"> </w:t>
      </w:r>
      <w:r w:rsidRPr="006A26C9">
        <w:t>continued</w:t>
      </w:r>
      <w:r w:rsidRPr="006A26C9">
        <w:rPr>
          <w:spacing w:val="1"/>
        </w:rPr>
        <w:t xml:space="preserve"> </w:t>
      </w:r>
      <w:r w:rsidRPr="006A26C9">
        <w:t>with</w:t>
      </w:r>
      <w:r w:rsidRPr="006A26C9">
        <w:rPr>
          <w:spacing w:val="-1"/>
        </w:rPr>
        <w:t xml:space="preserve"> </w:t>
      </w:r>
      <w:r w:rsidRPr="006A26C9">
        <w:t>man’s</w:t>
      </w:r>
      <w:r w:rsidRPr="006A26C9">
        <w:rPr>
          <w:spacing w:val="-3"/>
        </w:rPr>
        <w:t xml:space="preserve"> </w:t>
      </w:r>
      <w:r w:rsidRPr="006A26C9">
        <w:t>fall, was</w:t>
      </w:r>
      <w:r w:rsidRPr="006A26C9">
        <w:rPr>
          <w:spacing w:val="-1"/>
        </w:rPr>
        <w:t xml:space="preserve"> </w:t>
      </w:r>
      <w:r w:rsidRPr="006A26C9">
        <w:rPr>
          <w:i/>
        </w:rPr>
        <w:t>punctuated</w:t>
      </w:r>
      <w:r w:rsidRPr="006A26C9">
        <w:rPr>
          <w:spacing w:val="-3"/>
        </w:rPr>
        <w:t xml:space="preserve"> </w:t>
      </w:r>
      <w:r w:rsidRPr="006A26C9">
        <w:t>by</w:t>
      </w:r>
      <w:r w:rsidRPr="006A26C9">
        <w:rPr>
          <w:spacing w:val="-1"/>
        </w:rPr>
        <w:t xml:space="preserve"> </w:t>
      </w:r>
      <w:r w:rsidRPr="006A26C9">
        <w:t>the cross of</w:t>
      </w:r>
      <w:r w:rsidRPr="006A26C9">
        <w:rPr>
          <w:w w:val="99"/>
        </w:rPr>
        <w:t xml:space="preserve"> </w:t>
      </w:r>
      <w:r w:rsidRPr="006A26C9">
        <w:t>Christ,</w:t>
      </w:r>
      <w:r w:rsidRPr="006A26C9">
        <w:rPr>
          <w:spacing w:val="-2"/>
        </w:rPr>
        <w:t xml:space="preserve"> </w:t>
      </w:r>
      <w:r w:rsidRPr="006A26C9">
        <w:t>and</w:t>
      </w:r>
      <w:r w:rsidRPr="006A26C9">
        <w:rPr>
          <w:spacing w:val="-1"/>
        </w:rPr>
        <w:t xml:space="preserve"> </w:t>
      </w:r>
      <w:r w:rsidRPr="006A26C9">
        <w:t>moves</w:t>
      </w:r>
      <w:r w:rsidRPr="006A26C9">
        <w:rPr>
          <w:spacing w:val="-2"/>
        </w:rPr>
        <w:t xml:space="preserve"> </w:t>
      </w:r>
      <w:r w:rsidRPr="006A26C9">
        <w:t>toward the second coming</w:t>
      </w:r>
      <w:r w:rsidRPr="006A26C9">
        <w:rPr>
          <w:spacing w:val="1"/>
        </w:rPr>
        <w:t xml:space="preserve"> </w:t>
      </w:r>
      <w:r w:rsidRPr="006A26C9">
        <w:t>and</w:t>
      </w:r>
      <w:r w:rsidRPr="006A26C9">
        <w:rPr>
          <w:spacing w:val="-1"/>
        </w:rPr>
        <w:t xml:space="preserve"> </w:t>
      </w:r>
      <w:r w:rsidRPr="006A26C9">
        <w:t>the millennium.</w:t>
      </w:r>
      <w:r w:rsidRPr="006A26C9">
        <w:rPr>
          <w:rStyle w:val="ind"/>
        </w:rPr>
        <w:t>’</w:t>
      </w:r>
      <w:r>
        <w:rPr>
          <w:rStyle w:val="EndnoteReference"/>
        </w:rPr>
        <w:endnoteReference w:id="970"/>
      </w:r>
      <w:r>
        <w:rPr>
          <w:rStyle w:val="ind"/>
        </w:rPr>
        <w:t xml:space="preserve"> </w:t>
      </w:r>
      <w:r w:rsidRPr="006A26C9">
        <w:rPr>
          <w:rStyle w:val="ind"/>
        </w:rPr>
        <w:t xml:space="preserve"> This implies that the cross represents but a small intrusion into the general flow of history.  Tangelder may be partially justified in his claim that ‘The rapture is the vital doctrine of dispensationalism.  The centre of interest is not the end of the world, nor the cross, but the rapture, which is believed to be very near.’</w:t>
      </w:r>
      <w:r>
        <w:rPr>
          <w:rStyle w:val="EndnoteReference"/>
        </w:rPr>
        <w:endnoteReference w:id="971"/>
      </w:r>
      <w:r>
        <w:rPr>
          <w:rStyle w:val="ind"/>
        </w:rPr>
        <w:t xml:space="preserve"> </w:t>
      </w:r>
      <w:r w:rsidRPr="006A26C9">
        <w:rPr>
          <w:rStyle w:val="ind"/>
        </w:rPr>
        <w:t xml:space="preserve"> He adds that the rapture is anticipated not only as ‘a means of the true church to meet her Christ, but also for the founding of an earthly Jewish kingdom’.  He admonishes, ‘The hope of the world is not the restoration of Judaism but the </w:t>
      </w:r>
      <w:r w:rsidRPr="006A26C9">
        <w:rPr>
          <w:rStyle w:val="ind"/>
        </w:rPr>
        <w:lastRenderedPageBreak/>
        <w:t>proclamation of the liberating gospel of the cross and resurrection, the physical, visible return of Jesus Christ, and the new heaven and earth of eternal righteousness and justice.’</w:t>
      </w:r>
      <w:r w:rsidRPr="006A26C9">
        <w:rPr>
          <w:rStyle w:val="EndnoteReference"/>
        </w:rPr>
        <w:endnoteReference w:id="972"/>
      </w:r>
    </w:p>
    <w:p w:rsidR="00442D33" w:rsidRDefault="00442D33" w:rsidP="00442D33">
      <w:pPr>
        <w:spacing w:after="120" w:line="360" w:lineRule="auto"/>
        <w:jc w:val="both"/>
        <w:rPr>
          <w:rStyle w:val="ind"/>
          <w:b/>
        </w:rPr>
      </w:pPr>
      <w:proofErr w:type="gramStart"/>
      <w:r>
        <w:rPr>
          <w:rStyle w:val="ind"/>
          <w:b/>
        </w:rPr>
        <w:t>3</w:t>
      </w:r>
      <w:r w:rsidRPr="006A26C9">
        <w:rPr>
          <w:rStyle w:val="ind"/>
          <w:b/>
        </w:rPr>
        <w:t>.4  Christocentrism</w:t>
      </w:r>
      <w:proofErr w:type="gramEnd"/>
      <w:r>
        <w:rPr>
          <w:rStyle w:val="ind"/>
          <w:b/>
        </w:rPr>
        <w:t xml:space="preserve">  </w:t>
      </w:r>
    </w:p>
    <w:p w:rsidR="00442D33" w:rsidRPr="00F60145" w:rsidRDefault="00442D33" w:rsidP="00442D33">
      <w:pPr>
        <w:spacing w:after="120" w:line="360" w:lineRule="auto"/>
        <w:jc w:val="both"/>
      </w:pPr>
      <w:r w:rsidRPr="00C42461">
        <w:rPr>
          <w:rStyle w:val="ind"/>
        </w:rPr>
        <w:t>Darby</w:t>
      </w:r>
      <w:r>
        <w:rPr>
          <w:rStyle w:val="ind"/>
        </w:rPr>
        <w:t xml:space="preserve"> states of believers that </w:t>
      </w:r>
      <w:r w:rsidRPr="00C42461">
        <w:rPr>
          <w:rStyle w:val="ind"/>
        </w:rPr>
        <w:t>‘</w:t>
      </w:r>
      <w:r>
        <w:t>[Christ’s]</w:t>
      </w:r>
      <w:r w:rsidRPr="00C42461">
        <w:t xml:space="preserve"> person is the object of their faith, His life the example which they have to follow in their conduct.</w:t>
      </w:r>
      <w:r w:rsidRPr="00C42461">
        <w:rPr>
          <w:rStyle w:val="ind"/>
        </w:rPr>
        <w:t>’</w:t>
      </w:r>
      <w:r>
        <w:rPr>
          <w:rStyle w:val="EndnoteReference"/>
        </w:rPr>
        <w:endnoteReference w:id="973"/>
      </w:r>
      <w:r>
        <w:rPr>
          <w:rStyle w:val="ind"/>
        </w:rPr>
        <w:t xml:space="preserve">  He also avers that ‘</w:t>
      </w:r>
      <w:r w:rsidRPr="00EB56B3">
        <w:rPr>
          <w:rFonts w:eastAsia="Times New Roman" w:cs="Times New Roman"/>
          <w:szCs w:val="24"/>
          <w:lang w:eastAsia="en-GB"/>
        </w:rPr>
        <w:t>the great object of the Bible is the conflict between Christ, the last Adam, and Satan</w:t>
      </w:r>
      <w:r>
        <w:rPr>
          <w:rFonts w:eastAsia="Times New Roman" w:cs="Times New Roman"/>
          <w:szCs w:val="24"/>
          <w:lang w:eastAsia="en-GB"/>
        </w:rPr>
        <w:t>’</w:t>
      </w:r>
      <w:r w:rsidRPr="00EB56B3">
        <w:rPr>
          <w:rFonts w:eastAsia="Times New Roman" w:cs="Times New Roman"/>
          <w:szCs w:val="24"/>
          <w:lang w:eastAsia="en-GB"/>
        </w:rPr>
        <w:t>.</w:t>
      </w:r>
      <w:r>
        <w:rPr>
          <w:rStyle w:val="EndnoteReference"/>
          <w:rFonts w:eastAsia="Times New Roman" w:cs="Times New Roman"/>
          <w:szCs w:val="24"/>
          <w:lang w:eastAsia="en-GB"/>
        </w:rPr>
        <w:endnoteReference w:id="974"/>
      </w:r>
      <w:r>
        <w:rPr>
          <w:rFonts w:eastAsia="Times New Roman" w:cs="Times New Roman"/>
          <w:szCs w:val="24"/>
          <w:lang w:eastAsia="en-GB"/>
        </w:rPr>
        <w:t xml:space="preserve">  </w:t>
      </w:r>
      <w:r>
        <w:t xml:space="preserve">Ramm stipulates that </w:t>
      </w:r>
      <w:r w:rsidRPr="00F60145">
        <w:t>Christ be kept central to all prophetic interpretation</w:t>
      </w:r>
      <w:r w:rsidRPr="00F60145">
        <w:rPr>
          <w:rStyle w:val="EndnoteReference"/>
        </w:rPr>
        <w:endnoteReference w:id="975"/>
      </w:r>
      <w:r>
        <w:t xml:space="preserve"> and Tan asserts that </w:t>
      </w:r>
      <w:r w:rsidRPr="00F60145">
        <w:t>‘Christ is the central figure and focus of all history and prophecy’.</w:t>
      </w:r>
      <w:r w:rsidRPr="00F60145">
        <w:rPr>
          <w:rStyle w:val="EndnoteReference"/>
        </w:rPr>
        <w:endnoteReference w:id="976"/>
      </w:r>
      <w:r>
        <w:t xml:space="preserve">  Initially </w:t>
      </w:r>
      <w:r w:rsidRPr="00F60145">
        <w:t xml:space="preserve">Scofield </w:t>
      </w:r>
      <w:r>
        <w:t>seems to adhere to these principles in his ‘Panoramic View of the Bible’</w:t>
      </w:r>
      <w:r w:rsidRPr="00F60145">
        <w:t>.</w:t>
      </w:r>
      <w:r>
        <w:rPr>
          <w:rStyle w:val="EndnoteReference"/>
        </w:rPr>
        <w:endnoteReference w:id="977"/>
      </w:r>
      <w:r w:rsidRPr="00F60145">
        <w:t xml:space="preserve">  In a section entitled </w:t>
      </w:r>
      <w:r w:rsidRPr="00F60145">
        <w:rPr>
          <w:rStyle w:val="ind"/>
        </w:rPr>
        <w:t xml:space="preserve">‘The Bible is one book’ he states that ‘from beginning to end the Bible testifies to </w:t>
      </w:r>
      <w:r w:rsidRPr="00F60145">
        <w:rPr>
          <w:rStyle w:val="ind"/>
          <w:i/>
        </w:rPr>
        <w:t>one redemption</w:t>
      </w:r>
      <w:r w:rsidRPr="00F60145">
        <w:rPr>
          <w:rStyle w:val="ind"/>
        </w:rPr>
        <w:t xml:space="preserve"> [and] from beginning to end the Bible has </w:t>
      </w:r>
      <w:r w:rsidRPr="00F60145">
        <w:rPr>
          <w:rStyle w:val="ind"/>
          <w:i/>
        </w:rPr>
        <w:t>one great theme</w:t>
      </w:r>
      <w:r w:rsidRPr="00F60145">
        <w:rPr>
          <w:rStyle w:val="ind"/>
        </w:rPr>
        <w:t xml:space="preserve"> – the person and work of the Christ’.  Explaining that the Bible is also ‘a book of books’, he states: ‘The Old Testament is the </w:t>
      </w:r>
      <w:r w:rsidRPr="00F60145">
        <w:rPr>
          <w:rStyle w:val="ind"/>
          <w:i/>
        </w:rPr>
        <w:t>preparation</w:t>
      </w:r>
      <w:r w:rsidRPr="00F60145">
        <w:rPr>
          <w:rStyle w:val="ind"/>
        </w:rPr>
        <w:t xml:space="preserve"> for Christ; in the Gospels he is </w:t>
      </w:r>
      <w:r w:rsidRPr="00F60145">
        <w:rPr>
          <w:rStyle w:val="ind"/>
          <w:i/>
        </w:rPr>
        <w:t>manifested</w:t>
      </w:r>
      <w:r w:rsidRPr="00F60145">
        <w:rPr>
          <w:rStyle w:val="ind"/>
        </w:rPr>
        <w:t xml:space="preserve"> to the world; in the Acts he is preached and his Gospel is </w:t>
      </w:r>
      <w:r w:rsidRPr="00F60145">
        <w:rPr>
          <w:rStyle w:val="ind"/>
          <w:i/>
        </w:rPr>
        <w:t>propagated</w:t>
      </w:r>
      <w:r w:rsidRPr="00F60145">
        <w:rPr>
          <w:rStyle w:val="ind"/>
        </w:rPr>
        <w:t xml:space="preserve"> in the world; in the Epistles his Gospel is </w:t>
      </w:r>
      <w:r w:rsidRPr="00F60145">
        <w:rPr>
          <w:rStyle w:val="ind"/>
          <w:i/>
        </w:rPr>
        <w:t>explained</w:t>
      </w:r>
      <w:r w:rsidRPr="00F60145">
        <w:rPr>
          <w:rStyle w:val="ind"/>
        </w:rPr>
        <w:t xml:space="preserve">; and in the Revelation all the purposes of God in and through Christ are </w:t>
      </w:r>
      <w:r w:rsidRPr="00F60145">
        <w:rPr>
          <w:rStyle w:val="ind"/>
          <w:i/>
        </w:rPr>
        <w:t>consummated</w:t>
      </w:r>
      <w:r w:rsidRPr="00F60145">
        <w:rPr>
          <w:rStyle w:val="ind"/>
        </w:rPr>
        <w:t>.’</w:t>
      </w:r>
      <w:r w:rsidRPr="00F60145">
        <w:rPr>
          <w:rStyle w:val="EndnoteReference"/>
        </w:rPr>
        <w:endnoteReference w:id="978"/>
      </w:r>
      <w:r w:rsidRPr="00F60145">
        <w:rPr>
          <w:rStyle w:val="ind"/>
        </w:rPr>
        <w:t xml:space="preserve">  </w:t>
      </w:r>
      <w:r w:rsidRPr="00F60145">
        <w:t>It is ‘Christ, the Son of God, Son of man, Son of Abraham and Son of David’, who ‘binds the many books [of the Bible] into one Book’.</w:t>
      </w:r>
      <w:r w:rsidRPr="00F60145">
        <w:rPr>
          <w:rStyle w:val="EndnoteReference"/>
        </w:rPr>
        <w:endnoteReference w:id="979"/>
      </w:r>
      <w:r w:rsidRPr="00F60145">
        <w:t xml:space="preserve">  </w:t>
      </w:r>
    </w:p>
    <w:p w:rsidR="00442D33" w:rsidRPr="00F60145" w:rsidRDefault="00442D33" w:rsidP="00442D33">
      <w:pPr>
        <w:spacing w:after="120" w:line="360" w:lineRule="auto"/>
        <w:ind w:firstLine="567"/>
        <w:jc w:val="both"/>
      </w:pPr>
      <w:r w:rsidRPr="00F60145">
        <w:t>However, Scofield also accentuates differences within Christ’s roles with different groups of people.  As ‘</w:t>
      </w:r>
      <w:r>
        <w:t>S</w:t>
      </w:r>
      <w:r w:rsidRPr="00F60145">
        <w:t>eed of the woman</w:t>
      </w:r>
      <w:r w:rsidRPr="00F60145">
        <w:rPr>
          <w:rStyle w:val="EndnoteReference"/>
        </w:rPr>
        <w:endnoteReference w:id="980"/>
      </w:r>
      <w:r w:rsidRPr="00F60145">
        <w:t xml:space="preserve"> he is the ultimate destroyer of Satan and his works</w:t>
      </w:r>
      <w:r>
        <w:t>’</w:t>
      </w:r>
      <w:r w:rsidRPr="00F60145">
        <w:t xml:space="preserve">; </w:t>
      </w:r>
      <w:r>
        <w:t>as ‘</w:t>
      </w:r>
      <w:r w:rsidRPr="00F60145">
        <w:t>Seed of Abraham he is the world blesser</w:t>
      </w:r>
      <w:r>
        <w:t>’</w:t>
      </w:r>
      <w:r w:rsidRPr="00F60145">
        <w:t xml:space="preserve">; </w:t>
      </w:r>
      <w:r>
        <w:t xml:space="preserve">as </w:t>
      </w:r>
      <w:r w:rsidRPr="00F60145">
        <w:t>Seed of David he is Israel’s King</w:t>
      </w:r>
      <w:r>
        <w:t>’; as</w:t>
      </w:r>
      <w:r w:rsidRPr="00F60145">
        <w:t xml:space="preserve"> </w:t>
      </w:r>
      <w:r>
        <w:t>‘</w:t>
      </w:r>
      <w:r w:rsidRPr="00F60145">
        <w:t>“Desire of all Nations”; exalted to the right hand of God he is “head over all to the Church, which is his body”; while to Israel and the nations the promise of his return forms the one and only rational expectation that humanity will yet fulfil itself.  Meanwhile the church looks momentarily for the fulfilment of his special promise: “I will come again and receive you unto myself” (Jn 14:1-3).’</w:t>
      </w:r>
      <w:r w:rsidRPr="00F60145">
        <w:rPr>
          <w:rStyle w:val="EndnoteReference"/>
        </w:rPr>
        <w:endnoteReference w:id="981"/>
      </w:r>
      <w:r w:rsidRPr="00F60145">
        <w:t xml:space="preserve">  </w:t>
      </w:r>
    </w:p>
    <w:p w:rsidR="00442D33" w:rsidRPr="00F60145" w:rsidRDefault="00442D33" w:rsidP="00442D33">
      <w:pPr>
        <w:spacing w:after="120" w:line="360" w:lineRule="auto"/>
        <w:ind w:firstLine="567"/>
        <w:jc w:val="both"/>
        <w:rPr>
          <w:rStyle w:val="ind"/>
        </w:rPr>
      </w:pPr>
      <w:r w:rsidRPr="00F60145">
        <w:rPr>
          <w:rStyle w:val="ind"/>
        </w:rPr>
        <w:t xml:space="preserve">From Scofield’s own viewpoint, </w:t>
      </w:r>
      <w:r>
        <w:rPr>
          <w:rStyle w:val="ind"/>
        </w:rPr>
        <w:t>his</w:t>
      </w:r>
      <w:r w:rsidRPr="00F60145">
        <w:rPr>
          <w:rStyle w:val="ind"/>
        </w:rPr>
        <w:t xml:space="preserve"> overview of the Bible is Christocentric.  He asserts that ‘the Bible is a progressive unfolding of truth’.  Yet even this seemingly homogeneous account actually encapsulates the dualism, the eternal separation between Israel and the Church, which is foundational to Scofield’s theology.</w:t>
      </w:r>
      <w:r w:rsidRPr="00F60145">
        <w:rPr>
          <w:rStyle w:val="EndnoteReference"/>
        </w:rPr>
        <w:endnoteReference w:id="982"/>
      </w:r>
      <w:r w:rsidRPr="00F60145">
        <w:rPr>
          <w:rStyle w:val="ind"/>
        </w:rPr>
        <w:t xml:space="preserve">  It </w:t>
      </w:r>
      <w:r w:rsidRPr="00F60145">
        <w:t xml:space="preserve">indicates a different notion of Christocentricity from that expressed, for example, by Blaising and Bock. </w:t>
      </w:r>
    </w:p>
    <w:p w:rsidR="00442D33" w:rsidRDefault="00442D33" w:rsidP="00442D33">
      <w:pPr>
        <w:spacing w:after="120" w:line="360" w:lineRule="auto"/>
        <w:ind w:firstLine="567"/>
        <w:jc w:val="both"/>
        <w:rPr>
          <w:rStyle w:val="ind"/>
        </w:rPr>
      </w:pPr>
      <w:r>
        <w:rPr>
          <w:rStyle w:val="ind"/>
        </w:rPr>
        <w:t>By implication, Blaising and Bock deny that Scofield’s approach is Christocentric.  They state that ‘the dispensationalism of [their] book [</w:t>
      </w:r>
      <w:r w:rsidRPr="00CA074A">
        <w:rPr>
          <w:rStyle w:val="ind"/>
          <w:i/>
        </w:rPr>
        <w:t>Dispensationalism, Israel and the Church</w:t>
      </w:r>
      <w:r>
        <w:rPr>
          <w:rStyle w:val="ind"/>
        </w:rPr>
        <w:t xml:space="preserve">] distinguishes itself from the immediately preceding dispensationalism and Scofieldism by the fact that instead of being anthropologically centred on two peoples it is </w:t>
      </w:r>
      <w:proofErr w:type="gramStart"/>
      <w:r>
        <w:rPr>
          <w:rStyle w:val="ind"/>
        </w:rPr>
        <w:t>Christologically</w:t>
      </w:r>
      <w:proofErr w:type="gramEnd"/>
      <w:r>
        <w:rPr>
          <w:rStyle w:val="ind"/>
        </w:rPr>
        <w:t xml:space="preserve"> centred’.  The inference is that </w:t>
      </w:r>
      <w:proofErr w:type="gramStart"/>
      <w:r>
        <w:rPr>
          <w:rStyle w:val="ind"/>
        </w:rPr>
        <w:t>a</w:t>
      </w:r>
      <w:proofErr w:type="gramEnd"/>
      <w:r>
        <w:rPr>
          <w:rStyle w:val="ind"/>
        </w:rPr>
        <w:t xml:space="preserve"> Christological focus is not compatible with dualism.  Blaising and Bock continue: </w:t>
      </w:r>
    </w:p>
    <w:p w:rsidR="00442D33" w:rsidRDefault="00442D33" w:rsidP="00442D33">
      <w:pPr>
        <w:spacing w:after="120" w:line="240" w:lineRule="auto"/>
        <w:ind w:left="1134" w:right="1701"/>
        <w:jc w:val="both"/>
        <w:rPr>
          <w:rStyle w:val="ind"/>
        </w:rPr>
      </w:pPr>
      <w:r>
        <w:rPr>
          <w:rStyle w:val="ind"/>
        </w:rPr>
        <w:t xml:space="preserve">The movement from the past to the present and then to future dispensations is not due to a plan for two different kinds of people but rather is due to the history of Christ’s fulfilling the plan of holistic redemption in progressive phases (dispensations).  The previous </w:t>
      </w:r>
      <w:r>
        <w:rPr>
          <w:rStyle w:val="ind"/>
        </w:rPr>
        <w:lastRenderedPageBreak/>
        <w:t>dispensation anticipated and then witnessed him.  After his ascension to the Father’s right hand, Christ inaugurated the present dispensation of his earnest, the gift of the Holy Spirit.  The future dispensation is the dispensation of his return and consummative rule.</w:t>
      </w:r>
      <w:r>
        <w:rPr>
          <w:rStyle w:val="EndnoteReference"/>
        </w:rPr>
        <w:endnoteReference w:id="983"/>
      </w:r>
    </w:p>
    <w:p w:rsidR="00442D33" w:rsidRDefault="00442D33" w:rsidP="00442D33">
      <w:pPr>
        <w:spacing w:after="120" w:line="360" w:lineRule="auto"/>
        <w:ind w:right="1701"/>
        <w:jc w:val="both"/>
        <w:rPr>
          <w:rStyle w:val="ind"/>
          <w:b/>
        </w:rPr>
      </w:pPr>
      <w:proofErr w:type="gramStart"/>
      <w:r>
        <w:rPr>
          <w:rStyle w:val="ind"/>
          <w:b/>
        </w:rPr>
        <w:t>3</w:t>
      </w:r>
      <w:r w:rsidRPr="00CA074A">
        <w:rPr>
          <w:rStyle w:val="ind"/>
          <w:b/>
        </w:rPr>
        <w:t>.5  Conclusion</w:t>
      </w:r>
      <w:proofErr w:type="gramEnd"/>
    </w:p>
    <w:p w:rsidR="00442D33" w:rsidRDefault="00442D33" w:rsidP="00442D33">
      <w:pPr>
        <w:spacing w:after="120" w:line="360" w:lineRule="auto"/>
        <w:ind w:right="-1"/>
        <w:jc w:val="both"/>
        <w:rPr>
          <w:rStyle w:val="ind"/>
        </w:rPr>
      </w:pPr>
      <w:r w:rsidRPr="006A5927">
        <w:rPr>
          <w:rStyle w:val="ind"/>
        </w:rPr>
        <w:t xml:space="preserve">It is possible to see </w:t>
      </w:r>
      <w:r>
        <w:rPr>
          <w:rStyle w:val="ind"/>
        </w:rPr>
        <w:t xml:space="preserve">some dispensationalists </w:t>
      </w:r>
      <w:r w:rsidRPr="006A5927">
        <w:rPr>
          <w:rStyle w:val="ind"/>
        </w:rPr>
        <w:t>as fulfilling each of Bebbington’s categories for evangelicalism</w:t>
      </w:r>
      <w:r>
        <w:rPr>
          <w:rStyle w:val="ind"/>
        </w:rPr>
        <w:t xml:space="preserve"> but it is apparent that the cross is not a priority for all and a preoccupation with Christ’s second coming may overshadow it, as in the cases of Scofield and Ice.  Scofield reflects the evangelical qualities of conversionism, activism and Biblicism but his prioritising of the gospel of the kingdom over the gospel of the grace of God seems to indicate that he regards the kingdom as more important than the cross.  Scofield’s approach to the Bible is overtly Christocentric but his definition of this term is not the same as that of later, progressive dispensationalists like Blaising and Bock.  Scofield’s form of Christology is integral to his underlying concept of dualism between Israel and the Church.  Nevertheless, apart from his apparent neglect of crucicentrism, Scofield may justly be included within the field of mainstream evangelicalism.</w:t>
      </w:r>
    </w:p>
    <w:p w:rsidR="00442D33" w:rsidRDefault="00442D33" w:rsidP="00F1470F">
      <w:pPr>
        <w:sectPr w:rsidR="00442D33" w:rsidSect="00F1470F">
          <w:headerReference w:type="default" r:id="rId105"/>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Pr="00F37517" w:rsidRDefault="00F37517" w:rsidP="00442D33">
      <w:pPr>
        <w:spacing w:after="120" w:line="360" w:lineRule="auto"/>
        <w:jc w:val="center"/>
        <w:rPr>
          <w:rStyle w:val="ind"/>
        </w:rPr>
      </w:pPr>
      <w:r w:rsidRPr="00F37517">
        <w:rPr>
          <w:rStyle w:val="ind"/>
        </w:rPr>
        <w:t>Page intentionally left blank</w:t>
      </w: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5A0FCF" w:rsidRDefault="005A0FCF" w:rsidP="00442D33">
      <w:pPr>
        <w:spacing w:after="120" w:line="360" w:lineRule="auto"/>
        <w:jc w:val="center"/>
        <w:rPr>
          <w:rStyle w:val="ind"/>
          <w:b/>
          <w:sz w:val="28"/>
        </w:rPr>
      </w:pPr>
    </w:p>
    <w:p w:rsidR="00442D33" w:rsidRPr="00BD6DDC" w:rsidRDefault="00442D33" w:rsidP="00442D33">
      <w:pPr>
        <w:spacing w:after="120" w:line="360" w:lineRule="auto"/>
        <w:jc w:val="center"/>
        <w:rPr>
          <w:rStyle w:val="ind"/>
          <w:b/>
          <w:sz w:val="28"/>
        </w:rPr>
      </w:pPr>
      <w:bookmarkStart w:id="10" w:name="Chapter4"/>
      <w:bookmarkEnd w:id="10"/>
      <w:r w:rsidRPr="00BD6DDC">
        <w:rPr>
          <w:rStyle w:val="ind"/>
          <w:b/>
          <w:sz w:val="28"/>
        </w:rPr>
        <w:lastRenderedPageBreak/>
        <w:t xml:space="preserve">CHAPTER </w:t>
      </w:r>
      <w:r>
        <w:rPr>
          <w:rStyle w:val="ind"/>
          <w:b/>
          <w:sz w:val="28"/>
        </w:rPr>
        <w:t>4</w:t>
      </w:r>
    </w:p>
    <w:p w:rsidR="00442D33" w:rsidRDefault="00442D33" w:rsidP="00442D33">
      <w:pPr>
        <w:spacing w:after="120" w:line="360" w:lineRule="auto"/>
        <w:jc w:val="center"/>
        <w:rPr>
          <w:rStyle w:val="ind"/>
          <w:b/>
          <w:sz w:val="28"/>
        </w:rPr>
      </w:pPr>
      <w:r>
        <w:rPr>
          <w:rStyle w:val="ind"/>
          <w:b/>
          <w:sz w:val="28"/>
        </w:rPr>
        <w:t xml:space="preserve">Elements of Dispensationalism: Element </w:t>
      </w:r>
      <w:r w:rsidRPr="007624D0">
        <w:rPr>
          <w:rStyle w:val="ind"/>
          <w:b/>
          <w:sz w:val="28"/>
        </w:rPr>
        <w:t>3:</w:t>
      </w:r>
    </w:p>
    <w:p w:rsidR="00442D33" w:rsidRDefault="00442D33" w:rsidP="00442D33">
      <w:pPr>
        <w:spacing w:after="120" w:line="360" w:lineRule="auto"/>
        <w:jc w:val="center"/>
        <w:rPr>
          <w:rStyle w:val="ind"/>
          <w:b/>
          <w:sz w:val="28"/>
        </w:rPr>
      </w:pPr>
      <w:r w:rsidRPr="00BD6DDC">
        <w:rPr>
          <w:rStyle w:val="ind"/>
          <w:b/>
          <w:sz w:val="28"/>
        </w:rPr>
        <w:t xml:space="preserve">Dualism – </w:t>
      </w:r>
      <w:r>
        <w:rPr>
          <w:rStyle w:val="ind"/>
          <w:b/>
          <w:sz w:val="28"/>
        </w:rPr>
        <w:t xml:space="preserve">The Eternal Distinction </w:t>
      </w:r>
      <w:proofErr w:type="gramStart"/>
      <w:r>
        <w:rPr>
          <w:rStyle w:val="ind"/>
          <w:b/>
          <w:sz w:val="28"/>
        </w:rPr>
        <w:t>Between</w:t>
      </w:r>
      <w:proofErr w:type="gramEnd"/>
      <w:r>
        <w:rPr>
          <w:rStyle w:val="ind"/>
          <w:b/>
          <w:sz w:val="28"/>
        </w:rPr>
        <w:t xml:space="preserve"> </w:t>
      </w:r>
      <w:r w:rsidRPr="00BD6DDC">
        <w:rPr>
          <w:rStyle w:val="ind"/>
          <w:b/>
          <w:sz w:val="28"/>
        </w:rPr>
        <w:t xml:space="preserve">Israel and the Church </w:t>
      </w:r>
    </w:p>
    <w:p w:rsidR="00442D33" w:rsidRPr="00BD6DDC" w:rsidRDefault="00442D33" w:rsidP="00442D33">
      <w:pPr>
        <w:spacing w:after="120" w:line="360" w:lineRule="auto"/>
        <w:jc w:val="center"/>
        <w:rPr>
          <w:rStyle w:val="ind"/>
          <w:b/>
          <w:sz w:val="28"/>
        </w:rPr>
      </w:pPr>
      <w:proofErr w:type="gramStart"/>
      <w:r w:rsidRPr="00BD6DDC">
        <w:rPr>
          <w:rStyle w:val="ind"/>
          <w:b/>
          <w:sz w:val="28"/>
        </w:rPr>
        <w:t>in</w:t>
      </w:r>
      <w:proofErr w:type="gramEnd"/>
      <w:r w:rsidRPr="00BD6DDC">
        <w:rPr>
          <w:rStyle w:val="ind"/>
          <w:b/>
          <w:sz w:val="28"/>
        </w:rPr>
        <w:t xml:space="preserve"> the Divine Plan</w:t>
      </w:r>
    </w:p>
    <w:p w:rsidR="00442D33" w:rsidRPr="00CB28B5" w:rsidRDefault="00442D33" w:rsidP="00442D33">
      <w:pPr>
        <w:spacing w:after="120" w:line="360" w:lineRule="auto"/>
        <w:jc w:val="both"/>
        <w:rPr>
          <w:rStyle w:val="ind"/>
        </w:rPr>
      </w:pPr>
      <w:r>
        <w:rPr>
          <w:rStyle w:val="ind"/>
        </w:rPr>
        <w:t xml:space="preserve">My contention is that dualism, the eternal distinction between Israel and the Church in the divine plan, is central to dispensationalist theology and is, in fact, its most important tenet, supported by the literal interpretation of Scripture, which has already been discussed in Chapters 1 and 2.  </w:t>
      </w:r>
      <w:r w:rsidRPr="00BC6B71">
        <w:rPr>
          <w:rStyle w:val="ind"/>
        </w:rPr>
        <w:t xml:space="preserve">In </w:t>
      </w:r>
      <w:r>
        <w:rPr>
          <w:rStyle w:val="ind"/>
        </w:rPr>
        <w:t xml:space="preserve">the first part of </w:t>
      </w:r>
      <w:r w:rsidRPr="00BC6B71">
        <w:rPr>
          <w:rStyle w:val="ind"/>
        </w:rPr>
        <w:t xml:space="preserve">this chapter, I shall </w:t>
      </w:r>
      <w:r>
        <w:rPr>
          <w:rStyle w:val="ind"/>
        </w:rPr>
        <w:t>demonstrate the emphasis placed upon this concept in writings by</w:t>
      </w:r>
      <w:r w:rsidRPr="00BC6B71">
        <w:rPr>
          <w:rStyle w:val="ind"/>
        </w:rPr>
        <w:t xml:space="preserve"> Darby, Chafer, Ryrie, Blaising and Bock</w:t>
      </w:r>
      <w:r>
        <w:rPr>
          <w:rStyle w:val="ind"/>
        </w:rPr>
        <w:t>, and in the second part I shall examine in greater detail the evidence to be found</w:t>
      </w:r>
      <w:r w:rsidRPr="00BC6B71">
        <w:rPr>
          <w:rStyle w:val="ind"/>
        </w:rPr>
        <w:t xml:space="preserve"> in </w:t>
      </w:r>
      <w:r w:rsidRPr="00C3001A">
        <w:rPr>
          <w:rStyle w:val="ind"/>
          <w:i/>
        </w:rPr>
        <w:t>SRB</w:t>
      </w:r>
      <w:r w:rsidRPr="00BC6B71">
        <w:rPr>
          <w:rStyle w:val="ind"/>
        </w:rPr>
        <w:t xml:space="preserve">.  </w:t>
      </w:r>
    </w:p>
    <w:p w:rsidR="00442D33" w:rsidRPr="00163274" w:rsidRDefault="00442D33" w:rsidP="00442D33">
      <w:pPr>
        <w:spacing w:after="120" w:line="360" w:lineRule="auto"/>
        <w:ind w:firstLine="567"/>
        <w:jc w:val="both"/>
        <w:rPr>
          <w:rFonts w:eastAsia="Times New Roman" w:cs="Times New Roman"/>
          <w:bCs/>
          <w:kern w:val="36"/>
          <w:szCs w:val="27"/>
          <w:lang w:eastAsia="en-GB"/>
        </w:rPr>
      </w:pPr>
      <w:r w:rsidRPr="00163274">
        <w:rPr>
          <w:rStyle w:val="ind"/>
        </w:rPr>
        <w:t xml:space="preserve">Several scholars hold that the eternal dichotomy between Israel and the Church is the pivotal tenet of dispensationalism.  Williams states that </w:t>
      </w:r>
      <w:r>
        <w:rPr>
          <w:rStyle w:val="ind"/>
        </w:rPr>
        <w:t>the ‘absolute distinction between Israel and the church of Christ’ is the ‘one central, controlling idea [which] informed, conditioned, and directed the theology of C. I. Scofield and Lewis Sperry Chafer’.  ‘The difference between [Israel and the Church] is ‘metaphysical, a difference of nature.’  T</w:t>
      </w:r>
      <w:r w:rsidRPr="00163274">
        <w:rPr>
          <w:rStyle w:val="ind"/>
        </w:rPr>
        <w:t>his is ‘the one indispensable tenet of classical dispensationalist theology, for it is the central tenet from which classical dispensationalism sprang and the one tenet that makes proponents of the system dispensationalists’.</w:t>
      </w:r>
      <w:r>
        <w:rPr>
          <w:rStyle w:val="EndnoteReference"/>
        </w:rPr>
        <w:endnoteReference w:id="984"/>
      </w:r>
      <w:r w:rsidRPr="00163274">
        <w:rPr>
          <w:rStyle w:val="ind"/>
        </w:rPr>
        <w:t xml:space="preserve">  </w:t>
      </w:r>
      <w:r>
        <w:rPr>
          <w:rStyle w:val="ind"/>
        </w:rPr>
        <w:t>F</w:t>
      </w:r>
      <w:r w:rsidRPr="00163274">
        <w:rPr>
          <w:rStyle w:val="ind"/>
        </w:rPr>
        <w:t xml:space="preserve">or </w:t>
      </w:r>
      <w:r>
        <w:rPr>
          <w:rStyle w:val="ind"/>
        </w:rPr>
        <w:t>Ryrie,</w:t>
      </w:r>
      <w:r w:rsidRPr="00163274">
        <w:rPr>
          <w:rStyle w:val="ind"/>
        </w:rPr>
        <w:t xml:space="preserve"> the distinction between Israel and the Church is ‘the essence of dispensationalism’</w:t>
      </w:r>
      <w:r>
        <w:rPr>
          <w:rStyle w:val="EndnoteReference"/>
        </w:rPr>
        <w:endnoteReference w:id="985"/>
      </w:r>
      <w:r w:rsidRPr="00163274">
        <w:rPr>
          <w:rStyle w:val="ind"/>
        </w:rPr>
        <w:t xml:space="preserve"> and the first </w:t>
      </w:r>
      <w:r w:rsidRPr="00163274">
        <w:rPr>
          <w:rStyle w:val="ind"/>
          <w:i/>
        </w:rPr>
        <w:t>sine qua non</w:t>
      </w:r>
      <w:r w:rsidRPr="00163274">
        <w:rPr>
          <w:rStyle w:val="ind"/>
        </w:rPr>
        <w:t xml:space="preserve"> of dispensationalism.</w:t>
      </w:r>
      <w:r>
        <w:rPr>
          <w:rStyle w:val="EndnoteReference"/>
        </w:rPr>
        <w:endnoteReference w:id="986"/>
      </w:r>
      <w:r w:rsidRPr="00163274">
        <w:rPr>
          <w:rStyle w:val="ind"/>
        </w:rPr>
        <w:t xml:space="preserve">  </w:t>
      </w:r>
      <w:r>
        <w:rPr>
          <w:rStyle w:val="ind"/>
        </w:rPr>
        <w:t>Ryrie</w:t>
      </w:r>
      <w:r w:rsidRPr="00163274">
        <w:rPr>
          <w:rStyle w:val="ind"/>
        </w:rPr>
        <w:t xml:space="preserve"> even claims that ‘a man who fails to distinguish Israel and the Church will inevitably not hold to dispensational distinctions; and one who does, will’.</w:t>
      </w:r>
      <w:r>
        <w:rPr>
          <w:rStyle w:val="EndnoteReference"/>
        </w:rPr>
        <w:endnoteReference w:id="987"/>
      </w:r>
      <w:r w:rsidRPr="00163274">
        <w:rPr>
          <w:rStyle w:val="ind"/>
        </w:rPr>
        <w:t xml:space="preserve">  John </w:t>
      </w:r>
      <w:r w:rsidRPr="00163274">
        <w:rPr>
          <w:rFonts w:eastAsia="Times New Roman" w:cs="Times New Roman"/>
          <w:bCs/>
          <w:kern w:val="36"/>
          <w:szCs w:val="27"/>
          <w:lang w:eastAsia="en-GB"/>
        </w:rPr>
        <w:t>Feinberg, however, argues that many non</w:t>
      </w:r>
      <w:r w:rsidR="006D1354">
        <w:rPr>
          <w:rFonts w:eastAsia="Times New Roman" w:cs="Times New Roman"/>
          <w:bCs/>
          <w:kern w:val="36"/>
          <w:szCs w:val="27"/>
          <w:lang w:eastAsia="en-GB"/>
        </w:rPr>
        <w:t>-</w:t>
      </w:r>
      <w:r w:rsidRPr="00163274">
        <w:rPr>
          <w:rFonts w:eastAsia="Times New Roman" w:cs="Times New Roman"/>
          <w:bCs/>
          <w:kern w:val="36"/>
          <w:szCs w:val="27"/>
          <w:lang w:eastAsia="en-GB"/>
        </w:rPr>
        <w:t>dispensationalists also distinguish between the Church and Israel.</w:t>
      </w:r>
      <w:r>
        <w:rPr>
          <w:rStyle w:val="EndnoteReference"/>
          <w:rFonts w:eastAsia="Times New Roman" w:cs="Times New Roman"/>
          <w:bCs/>
          <w:kern w:val="36"/>
          <w:szCs w:val="27"/>
          <w:lang w:eastAsia="en-GB"/>
        </w:rPr>
        <w:endnoteReference w:id="988"/>
      </w:r>
      <w:r w:rsidRPr="00163274">
        <w:rPr>
          <w:rFonts w:eastAsia="Times New Roman" w:cs="Times New Roman"/>
          <w:bCs/>
          <w:kern w:val="36"/>
          <w:szCs w:val="27"/>
          <w:lang w:eastAsia="en-GB"/>
        </w:rPr>
        <w:t xml:space="preserve">  Williams continues, ‘… the two never mix or </w:t>
      </w:r>
      <w:proofErr w:type="gramStart"/>
      <w:r w:rsidRPr="00163274">
        <w:rPr>
          <w:rFonts w:eastAsia="Times New Roman" w:cs="Times New Roman"/>
          <w:bCs/>
          <w:kern w:val="36"/>
          <w:szCs w:val="27"/>
          <w:lang w:eastAsia="en-GB"/>
        </w:rPr>
        <w:t>touch,</w:t>
      </w:r>
      <w:proofErr w:type="gramEnd"/>
      <w:r w:rsidRPr="00163274">
        <w:rPr>
          <w:rFonts w:eastAsia="Times New Roman" w:cs="Times New Roman"/>
          <w:bCs/>
          <w:kern w:val="36"/>
          <w:szCs w:val="27"/>
          <w:lang w:eastAsia="en-GB"/>
        </w:rPr>
        <w:t xml:space="preserve"> and one cannot be confused with the other.  They are always qualitatively distinct peoples.’</w:t>
      </w:r>
      <w:r>
        <w:rPr>
          <w:rStyle w:val="EndnoteReference"/>
          <w:rFonts w:eastAsia="Times New Roman" w:cs="Times New Roman"/>
          <w:bCs/>
          <w:kern w:val="36"/>
          <w:szCs w:val="27"/>
          <w:lang w:eastAsia="en-GB"/>
        </w:rPr>
        <w:endnoteReference w:id="989"/>
      </w:r>
      <w:r w:rsidRPr="00163274">
        <w:rPr>
          <w:rFonts w:eastAsia="Times New Roman" w:cs="Times New Roman"/>
          <w:bCs/>
          <w:kern w:val="36"/>
          <w:szCs w:val="27"/>
          <w:lang w:eastAsia="en-GB"/>
        </w:rPr>
        <w:t xml:space="preserve">  </w:t>
      </w:r>
      <w:r w:rsidRPr="005860A1">
        <w:t>Sweetnam states that ‘one of the most important features of the dispensationalism that developed from Darby and that would be embodied in Scofield’s note</w:t>
      </w:r>
      <w:r>
        <w:t>s</w:t>
      </w:r>
      <w:r w:rsidRPr="005860A1">
        <w:t xml:space="preserve"> is the recognition of a distinction between Israel and the church’.</w:t>
      </w:r>
      <w:r>
        <w:rPr>
          <w:rStyle w:val="EndnoteReference"/>
        </w:rPr>
        <w:endnoteReference w:id="990"/>
      </w:r>
      <w:r w:rsidRPr="005860A1">
        <w:t xml:space="preserve">  </w:t>
      </w:r>
      <w:r w:rsidRPr="00163274">
        <w:rPr>
          <w:rFonts w:eastAsia="Times New Roman" w:cs="Times New Roman"/>
          <w:bCs/>
          <w:kern w:val="36"/>
          <w:szCs w:val="27"/>
          <w:lang w:eastAsia="en-GB"/>
        </w:rPr>
        <w:t>‘</w:t>
      </w:r>
      <w:r>
        <w:rPr>
          <w:rFonts w:eastAsia="Times New Roman" w:cs="Times New Roman"/>
          <w:bCs/>
          <w:kern w:val="36"/>
          <w:szCs w:val="27"/>
          <w:lang w:eastAsia="en-GB"/>
        </w:rPr>
        <w:t>T</w:t>
      </w:r>
      <w:r w:rsidRPr="00163274">
        <w:rPr>
          <w:rFonts w:eastAsia="Times New Roman" w:cs="Times New Roman"/>
          <w:bCs/>
          <w:kern w:val="36"/>
          <w:szCs w:val="27"/>
          <w:lang w:eastAsia="en-GB"/>
        </w:rPr>
        <w:t>he perception of Israel and the Church as distinct peoples of God is … organic to Dispensationalism’.</w:t>
      </w:r>
      <w:r>
        <w:rPr>
          <w:rStyle w:val="EndnoteReference"/>
          <w:rFonts w:eastAsia="Times New Roman" w:cs="Times New Roman"/>
          <w:bCs/>
          <w:kern w:val="36"/>
          <w:szCs w:val="27"/>
          <w:lang w:eastAsia="en-GB"/>
        </w:rPr>
        <w:endnoteReference w:id="991"/>
      </w:r>
    </w:p>
    <w:p w:rsidR="00442D33" w:rsidRPr="00163274"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 xml:space="preserve">The consistent distinction between Israel and the Church is </w:t>
      </w:r>
      <w:r>
        <w:rPr>
          <w:rFonts w:eastAsia="Times New Roman" w:cs="Times New Roman"/>
          <w:bCs/>
          <w:kern w:val="36"/>
          <w:szCs w:val="27"/>
          <w:lang w:eastAsia="en-GB"/>
        </w:rPr>
        <w:t>one</w:t>
      </w:r>
      <w:r w:rsidRPr="00163274">
        <w:rPr>
          <w:rFonts w:eastAsia="Times New Roman" w:cs="Times New Roman"/>
          <w:bCs/>
          <w:kern w:val="36"/>
          <w:szCs w:val="27"/>
          <w:lang w:eastAsia="en-GB"/>
        </w:rPr>
        <w:t xml:space="preserve"> outcome of the dispensationalist practice of literal interpretation.  Ryrie states that it ‘grows out of the dispensationalist’s consistent employment of normal or plain interpretation’.</w:t>
      </w:r>
      <w:r>
        <w:rPr>
          <w:rStyle w:val="EndnoteReference"/>
          <w:rFonts w:eastAsia="Times New Roman" w:cs="Times New Roman"/>
          <w:bCs/>
          <w:kern w:val="36"/>
          <w:szCs w:val="27"/>
          <w:lang w:eastAsia="en-GB"/>
        </w:rPr>
        <w:endnoteReference w:id="992"/>
      </w:r>
      <w:r w:rsidRPr="00163274">
        <w:rPr>
          <w:rFonts w:eastAsia="Times New Roman" w:cs="Times New Roman"/>
          <w:bCs/>
          <w:kern w:val="36"/>
          <w:szCs w:val="27"/>
          <w:lang w:eastAsia="en-GB"/>
        </w:rPr>
        <w:t xml:space="preserve">  The dichotomy leads to the concept of different destinies for the two peoples, earthly for Israel and heavenly for the Church, a concept thoroughly explored by Henzel in his study of Darby’s thought. According to Henzel, Darby’s ‘heavenly/earthly dualism became the most dominant aspect of his thought’ after his conversion, when he felt that he was ‘united to Christ in heaven’ (Letter to Professor Tholuck).</w:t>
      </w:r>
      <w:r>
        <w:rPr>
          <w:rStyle w:val="EndnoteReference"/>
          <w:rFonts w:eastAsia="Times New Roman" w:cs="Times New Roman"/>
          <w:bCs/>
          <w:kern w:val="36"/>
          <w:szCs w:val="27"/>
          <w:lang w:eastAsia="en-GB"/>
        </w:rPr>
        <w:endnoteReference w:id="993"/>
      </w:r>
      <w:r w:rsidRPr="00163274">
        <w:rPr>
          <w:rFonts w:eastAsia="Times New Roman" w:cs="Times New Roman"/>
          <w:bCs/>
          <w:kern w:val="36"/>
          <w:szCs w:val="27"/>
          <w:lang w:eastAsia="en-GB"/>
        </w:rPr>
        <w:t xml:space="preserve">  Henzel holds that the dichotomy as posited by Darby is even deeper than that between Israel and the Church as such.  He argues that ‘something far more essential’ </w:t>
      </w:r>
      <w:r w:rsidRPr="00163274">
        <w:rPr>
          <w:rFonts w:eastAsia="Times New Roman" w:cs="Times New Roman"/>
          <w:bCs/>
          <w:kern w:val="36"/>
          <w:szCs w:val="27"/>
          <w:lang w:eastAsia="en-GB"/>
        </w:rPr>
        <w:lastRenderedPageBreak/>
        <w:t>underlies both Darby’s ‘literalistic starting point and his Church/Israel dichotomy … his all-pervasive heavenly versus earthly dualism’.</w:t>
      </w:r>
      <w:r>
        <w:rPr>
          <w:rStyle w:val="EndnoteReference"/>
          <w:rFonts w:eastAsia="Times New Roman" w:cs="Times New Roman"/>
          <w:bCs/>
          <w:kern w:val="36"/>
          <w:szCs w:val="27"/>
          <w:lang w:eastAsia="en-GB"/>
        </w:rPr>
        <w:endnoteReference w:id="994"/>
      </w:r>
      <w:r w:rsidRPr="00163274">
        <w:rPr>
          <w:rFonts w:eastAsia="Times New Roman" w:cs="Times New Roman"/>
          <w:bCs/>
          <w:kern w:val="36"/>
          <w:szCs w:val="27"/>
          <w:lang w:eastAsia="en-GB"/>
        </w:rPr>
        <w:t xml:space="preserve">  </w:t>
      </w:r>
    </w:p>
    <w:p w:rsidR="00442D33" w:rsidRPr="00163274"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 xml:space="preserve">The concept of the Israel/Church dichotomy leads to belief in the parenthetical nature of the Church.  Darby calls the </w:t>
      </w:r>
      <w:r>
        <w:rPr>
          <w:rFonts w:eastAsia="Times New Roman" w:cs="Times New Roman"/>
          <w:bCs/>
          <w:kern w:val="36"/>
          <w:szCs w:val="27"/>
          <w:lang w:eastAsia="en-GB"/>
        </w:rPr>
        <w:t>C</w:t>
      </w:r>
      <w:r w:rsidRPr="00163274">
        <w:rPr>
          <w:rFonts w:eastAsia="Times New Roman" w:cs="Times New Roman"/>
          <w:bCs/>
          <w:kern w:val="36"/>
          <w:szCs w:val="27"/>
          <w:lang w:eastAsia="en-GB"/>
        </w:rPr>
        <w:t>hurch ‘a heavenly timeless gap in the world’s history’.</w:t>
      </w:r>
      <w:r>
        <w:rPr>
          <w:rStyle w:val="EndnoteReference"/>
          <w:rFonts w:eastAsia="Times New Roman" w:cs="Times New Roman"/>
          <w:bCs/>
          <w:kern w:val="36"/>
          <w:szCs w:val="27"/>
          <w:lang w:eastAsia="en-GB"/>
        </w:rPr>
        <w:endnoteReference w:id="995"/>
      </w:r>
      <w:r w:rsidRPr="00163274">
        <w:rPr>
          <w:rFonts w:eastAsia="Times New Roman" w:cs="Times New Roman"/>
          <w:bCs/>
          <w:kern w:val="36"/>
          <w:szCs w:val="27"/>
          <w:lang w:eastAsia="en-GB"/>
        </w:rPr>
        <w:t xml:space="preserve">  The dispensation of law was suspended at the crucifixion and the Church, unanticipated by the Old Testament prophets, was instituted; this was a development reflected in the posited interval between the sixty-ninth and seventieth of Daniel’s prophesied ‘weeks’.</w:t>
      </w:r>
      <w:r>
        <w:rPr>
          <w:rStyle w:val="EndnoteReference"/>
          <w:rFonts w:eastAsia="Times New Roman" w:cs="Times New Roman"/>
          <w:bCs/>
          <w:kern w:val="36"/>
          <w:szCs w:val="27"/>
          <w:lang w:eastAsia="en-GB"/>
        </w:rPr>
        <w:endnoteReference w:id="996"/>
      </w:r>
      <w:r w:rsidRPr="00163274">
        <w:rPr>
          <w:rFonts w:eastAsia="Times New Roman" w:cs="Times New Roman"/>
          <w:bCs/>
          <w:kern w:val="36"/>
          <w:szCs w:val="27"/>
          <w:lang w:eastAsia="en-GB"/>
        </w:rPr>
        <w:t xml:space="preserve">  Sandeen states that ‘God had broken the continuity of history [and] stopped the prophetic clock …when </w:t>
      </w:r>
      <w:r w:rsidRPr="00A02A21">
        <w:rPr>
          <w:rFonts w:eastAsia="Times New Roman" w:cs="Times New Roman"/>
          <w:bCs/>
          <w:kern w:val="36"/>
          <w:szCs w:val="27"/>
          <w:lang w:eastAsia="en-GB"/>
        </w:rPr>
        <w:t>the church</w:t>
      </w:r>
      <w:r w:rsidRPr="00163274">
        <w:rPr>
          <w:rFonts w:eastAsia="Times New Roman" w:cs="Times New Roman"/>
          <w:bCs/>
          <w:kern w:val="36"/>
          <w:szCs w:val="27"/>
          <w:lang w:eastAsia="en-GB"/>
        </w:rPr>
        <w:t xml:space="preserve"> is raptured out of this world, the clock will start again and God will return to … dealing with the earthly problems of Israel’.</w:t>
      </w:r>
      <w:r>
        <w:rPr>
          <w:rStyle w:val="EndnoteReference"/>
          <w:rFonts w:eastAsia="Times New Roman" w:cs="Times New Roman"/>
          <w:bCs/>
          <w:kern w:val="36"/>
          <w:szCs w:val="27"/>
          <w:lang w:eastAsia="en-GB"/>
        </w:rPr>
        <w:endnoteReference w:id="997"/>
      </w:r>
      <w:r>
        <w:rPr>
          <w:rFonts w:eastAsia="Times New Roman" w:cs="Times New Roman"/>
          <w:bCs/>
          <w:kern w:val="36"/>
          <w:szCs w:val="27"/>
          <w:lang w:eastAsia="en-GB"/>
        </w:rPr>
        <w:t xml:space="preserve">  </w:t>
      </w:r>
      <w:r w:rsidRPr="00163274">
        <w:rPr>
          <w:rFonts w:eastAsia="Times New Roman" w:cs="Times New Roman"/>
          <w:bCs/>
          <w:kern w:val="36"/>
          <w:szCs w:val="27"/>
          <w:lang w:eastAsia="en-GB"/>
        </w:rPr>
        <w:t>The great tribulation is to follow the rapture, mainly affecting Israel, and</w:t>
      </w:r>
      <w:r w:rsidR="003D367B">
        <w:rPr>
          <w:rFonts w:eastAsia="Times New Roman" w:cs="Times New Roman"/>
          <w:bCs/>
          <w:kern w:val="36"/>
          <w:szCs w:val="27"/>
          <w:lang w:eastAsia="en-GB"/>
        </w:rPr>
        <w:t>,</w:t>
      </w:r>
      <w:r w:rsidRPr="00163274">
        <w:rPr>
          <w:rFonts w:eastAsia="Times New Roman" w:cs="Times New Roman"/>
          <w:bCs/>
          <w:kern w:val="36"/>
          <w:szCs w:val="27"/>
          <w:lang w:eastAsia="en-GB"/>
        </w:rPr>
        <w:t xml:space="preserve"> after the second coming of Christ</w:t>
      </w:r>
      <w:r w:rsidR="003D367B">
        <w:rPr>
          <w:rFonts w:eastAsia="Times New Roman" w:cs="Times New Roman"/>
          <w:bCs/>
          <w:kern w:val="36"/>
          <w:szCs w:val="27"/>
          <w:lang w:eastAsia="en-GB"/>
        </w:rPr>
        <w:t>,</w:t>
      </w:r>
      <w:r w:rsidRPr="00163274">
        <w:rPr>
          <w:rFonts w:eastAsia="Times New Roman" w:cs="Times New Roman"/>
          <w:bCs/>
          <w:kern w:val="36"/>
          <w:szCs w:val="27"/>
          <w:lang w:eastAsia="en-GB"/>
        </w:rPr>
        <w:t xml:space="preserve"> the Millennial Kingdom is to be established on earth, centred on Jerusalem.  As Williams says, according to the dispensationalist view, ‘God is not done with his earthly people, Israel.’  God’s plan ‘to bring in the long expected political millennium of the Old Testament prophets’ through Christ was suspended when Israel rejected him but ‘the present …</w:t>
      </w:r>
      <w:r>
        <w:rPr>
          <w:rFonts w:eastAsia="Times New Roman" w:cs="Times New Roman"/>
          <w:bCs/>
          <w:kern w:val="36"/>
          <w:szCs w:val="27"/>
          <w:lang w:eastAsia="en-GB"/>
        </w:rPr>
        <w:t xml:space="preserve"> “</w:t>
      </w:r>
      <w:r w:rsidRPr="00163274">
        <w:rPr>
          <w:rFonts w:eastAsia="Times New Roman" w:cs="Times New Roman"/>
          <w:bCs/>
          <w:kern w:val="36"/>
          <w:szCs w:val="27"/>
          <w:lang w:eastAsia="en-GB"/>
        </w:rPr>
        <w:t>church age” is but a stop-gap … until the second advent and establishment of the kingdom of heaven’.</w:t>
      </w:r>
      <w:r>
        <w:rPr>
          <w:rStyle w:val="EndnoteReference"/>
          <w:rFonts w:eastAsia="Times New Roman" w:cs="Times New Roman"/>
          <w:bCs/>
          <w:kern w:val="36"/>
          <w:szCs w:val="27"/>
          <w:lang w:eastAsia="en-GB"/>
        </w:rPr>
        <w:endnoteReference w:id="998"/>
      </w:r>
      <w:r w:rsidRPr="00163274">
        <w:rPr>
          <w:rFonts w:eastAsia="Times New Roman" w:cs="Times New Roman"/>
          <w:bCs/>
          <w:kern w:val="36"/>
          <w:szCs w:val="27"/>
          <w:lang w:eastAsia="en-GB"/>
        </w:rPr>
        <w:t xml:space="preserve">  </w:t>
      </w:r>
    </w:p>
    <w:p w:rsidR="00442D33"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 xml:space="preserve">The concept of God’s pursuing different plans for Israel and for the Church, and of the terrestrial or heavenly identities of God’s people, can be found in writings by Darby, </w:t>
      </w:r>
      <w:r>
        <w:rPr>
          <w:rFonts w:eastAsia="Times New Roman" w:cs="Times New Roman"/>
          <w:bCs/>
          <w:kern w:val="36"/>
          <w:szCs w:val="27"/>
          <w:lang w:eastAsia="en-GB"/>
        </w:rPr>
        <w:t>who preceded Scofield</w:t>
      </w:r>
      <w:r w:rsidR="003D367B">
        <w:rPr>
          <w:rFonts w:eastAsia="Times New Roman" w:cs="Times New Roman"/>
          <w:bCs/>
          <w:kern w:val="36"/>
          <w:szCs w:val="27"/>
          <w:lang w:eastAsia="en-GB"/>
        </w:rPr>
        <w:t>,</w:t>
      </w:r>
      <w:r>
        <w:rPr>
          <w:rFonts w:eastAsia="Times New Roman" w:cs="Times New Roman"/>
          <w:bCs/>
          <w:kern w:val="36"/>
          <w:szCs w:val="27"/>
          <w:lang w:eastAsia="en-GB"/>
        </w:rPr>
        <w:t xml:space="preserve"> and </w:t>
      </w:r>
      <w:r w:rsidRPr="00163274">
        <w:rPr>
          <w:rFonts w:eastAsia="Times New Roman" w:cs="Times New Roman"/>
          <w:bCs/>
          <w:kern w:val="36"/>
          <w:szCs w:val="27"/>
          <w:lang w:eastAsia="en-GB"/>
        </w:rPr>
        <w:t>Chafer</w:t>
      </w:r>
      <w:r>
        <w:rPr>
          <w:rFonts w:eastAsia="Times New Roman" w:cs="Times New Roman"/>
          <w:bCs/>
          <w:kern w:val="36"/>
          <w:szCs w:val="27"/>
          <w:lang w:eastAsia="en-GB"/>
        </w:rPr>
        <w:t>, who succeeded him</w:t>
      </w:r>
      <w:r w:rsidRPr="00163274">
        <w:rPr>
          <w:rFonts w:eastAsia="Times New Roman" w:cs="Times New Roman"/>
          <w:bCs/>
          <w:kern w:val="36"/>
          <w:szCs w:val="27"/>
          <w:lang w:eastAsia="en-GB"/>
        </w:rPr>
        <w:t xml:space="preserve">.  </w:t>
      </w:r>
      <w:r>
        <w:rPr>
          <w:rFonts w:eastAsia="Times New Roman" w:cs="Times New Roman"/>
          <w:bCs/>
          <w:kern w:val="36"/>
          <w:szCs w:val="27"/>
          <w:lang w:eastAsia="en-GB"/>
        </w:rPr>
        <w:t xml:space="preserve">Both state that Old Testament prophecy does not concern the Church.  </w:t>
      </w:r>
      <w:r w:rsidRPr="00163274">
        <w:rPr>
          <w:rFonts w:eastAsia="Times New Roman" w:cs="Times New Roman"/>
          <w:bCs/>
          <w:kern w:val="36"/>
          <w:szCs w:val="27"/>
          <w:lang w:eastAsia="en-GB"/>
        </w:rPr>
        <w:t>Darby writes:</w:t>
      </w:r>
    </w:p>
    <w:p w:rsidR="00442D33" w:rsidRDefault="00442D33" w:rsidP="00F37517">
      <w:pPr>
        <w:spacing w:after="120" w:line="240" w:lineRule="auto"/>
        <w:ind w:left="1134" w:right="1701"/>
        <w:jc w:val="both"/>
      </w:pPr>
      <w:r w:rsidRPr="00B80B11">
        <w:t>The church, properly speaking, is not the subject of prophecy. As to Old Testament prophecy, the New declares … that it was a mystery hidden in all ages, and now revealed to the apostles and prophets by the Spirit. The church belongs to heaven, is the body of Christ seated there, and while He is so seated. Prophecy relates to earth.</w:t>
      </w:r>
      <w:r w:rsidRPr="00B80B11">
        <w:rPr>
          <w:rStyle w:val="EndnoteReference"/>
        </w:rPr>
        <w:endnoteReference w:id="999"/>
      </w:r>
    </w:p>
    <w:p w:rsidR="00442D33" w:rsidRDefault="00442D33" w:rsidP="00442D33">
      <w:pPr>
        <w:spacing w:after="120" w:line="360" w:lineRule="auto"/>
        <w:jc w:val="both"/>
      </w:pPr>
      <w:r w:rsidRPr="00B80B11">
        <w:t>Like Darby, Scofield holds that ‘the church, corporately, is not in O</w:t>
      </w:r>
      <w:r>
        <w:t>.</w:t>
      </w:r>
      <w:r w:rsidRPr="00B80B11">
        <w:t>T</w:t>
      </w:r>
      <w:r>
        <w:t>.</w:t>
      </w:r>
      <w:r w:rsidRPr="00B80B11">
        <w:t xml:space="preserve"> prophecy</w:t>
      </w:r>
      <w:r>
        <w:t>’</w:t>
      </w:r>
      <w:r w:rsidRPr="00B80B11">
        <w:t>.</w:t>
      </w:r>
      <w:r w:rsidRPr="00B80B11">
        <w:rPr>
          <w:rStyle w:val="EndnoteReference"/>
        </w:rPr>
        <w:endnoteReference w:id="1000"/>
      </w:r>
      <w:r w:rsidRPr="00B80B11">
        <w:t xml:space="preserve">  Scofield avers that the prophets did not know that the Church would be called out after the rejection of the Messiah.</w:t>
      </w:r>
      <w:r w:rsidRPr="00B80B11">
        <w:rPr>
          <w:rStyle w:val="EndnoteReference"/>
        </w:rPr>
        <w:endnoteReference w:id="1001"/>
      </w:r>
      <w:r w:rsidRPr="00B80B11">
        <w:t xml:space="preserve">  The Church does not appear in Isaiah, which </w:t>
      </w:r>
      <w:r>
        <w:t>contains much about the Messiah.</w:t>
      </w:r>
      <w:r w:rsidRPr="00B80B11">
        <w:rPr>
          <w:rStyle w:val="EndnoteReference"/>
        </w:rPr>
        <w:endnoteReference w:id="1002"/>
      </w:r>
      <w:r w:rsidRPr="00B80B11">
        <w:t xml:space="preserve"> </w:t>
      </w:r>
      <w:proofErr w:type="gramStart"/>
      <w:r w:rsidRPr="00B80B11">
        <w:t xml:space="preserve">‘Still less was the </w:t>
      </w:r>
      <w:r>
        <w:t>C</w:t>
      </w:r>
      <w:r w:rsidRPr="00B80B11">
        <w:t>hurch</w:t>
      </w:r>
      <w:r>
        <w:t>-</w:t>
      </w:r>
      <w:r w:rsidRPr="00B80B11">
        <w:t>age in [Malachi’s] vision.’</w:t>
      </w:r>
      <w:proofErr w:type="gramEnd"/>
      <w:r w:rsidRPr="00B80B11">
        <w:rPr>
          <w:rStyle w:val="EndnoteReference"/>
        </w:rPr>
        <w:endnoteReference w:id="1003"/>
      </w:r>
      <w:r w:rsidRPr="00B80B11">
        <w:t xml:space="preserve">  Scofield states, however, that the prophets foretold the blinding of Israel and offer of mercy to the Gentiles;</w:t>
      </w:r>
      <w:r w:rsidRPr="00B80B11">
        <w:rPr>
          <w:rStyle w:val="EndnoteReference"/>
        </w:rPr>
        <w:endnoteReference w:id="1004"/>
      </w:r>
      <w:r w:rsidRPr="00B80B11">
        <w:t xml:space="preserve"> the distinctive work of the </w:t>
      </w:r>
      <w:r>
        <w:t>C</w:t>
      </w:r>
      <w:r w:rsidRPr="00B80B11">
        <w:t>hurch-age is ‘the taking out from among the Gentiles of a people for His name’.</w:t>
      </w:r>
      <w:r w:rsidRPr="00B80B11">
        <w:rPr>
          <w:rStyle w:val="EndnoteReference"/>
        </w:rPr>
        <w:endnoteReference w:id="1005"/>
      </w:r>
      <w:r w:rsidRPr="00B80B11">
        <w:t xml:space="preserve"> ‘The kingdom of God is taken from Israel nationally and given to the Gentiles.’</w:t>
      </w:r>
      <w:r w:rsidRPr="00B80B11">
        <w:rPr>
          <w:rStyle w:val="EndnoteReference"/>
        </w:rPr>
        <w:endnoteReference w:id="1006"/>
      </w:r>
      <w:r w:rsidRPr="00B80B11">
        <w:t xml:space="preserve">  However, Scofield’s subhead to Rom. 11:13 highlights a warning to the Gentiles that Israel’s blindness is only temporary.</w:t>
      </w:r>
      <w:r w:rsidRPr="00B80B11">
        <w:rPr>
          <w:rStyle w:val="EndnoteReference"/>
        </w:rPr>
        <w:endnoteReference w:id="1007"/>
      </w:r>
    </w:p>
    <w:p w:rsidR="00442D33" w:rsidRPr="00B80B11" w:rsidRDefault="00442D33" w:rsidP="00442D33">
      <w:pPr>
        <w:spacing w:after="120" w:line="360" w:lineRule="auto"/>
        <w:ind w:right="-28" w:firstLine="567"/>
        <w:jc w:val="both"/>
      </w:pPr>
      <w:r>
        <w:t xml:space="preserve">On the other hand, </w:t>
      </w:r>
      <w:r w:rsidRPr="00B80B11">
        <w:t>Darby state</w:t>
      </w:r>
      <w:r>
        <w:t>s that millennial prophecy concerns both the Church and Israel [the Jews]:</w:t>
      </w:r>
    </w:p>
    <w:p w:rsidR="00442D33" w:rsidRDefault="00442D33" w:rsidP="00442D33">
      <w:pPr>
        <w:pStyle w:val="NormalWeb"/>
        <w:tabs>
          <w:tab w:val="left" w:pos="6804"/>
          <w:tab w:val="left" w:pos="9072"/>
        </w:tabs>
        <w:spacing w:before="0" w:beforeAutospacing="0" w:after="120" w:afterAutospacing="0"/>
        <w:ind w:left="1134" w:right="1700"/>
        <w:rPr>
          <w:rFonts w:ascii="Perpetua" w:hAnsi="Perpetua"/>
          <w:sz w:val="22"/>
          <w:szCs w:val="20"/>
        </w:rPr>
      </w:pPr>
      <w:r w:rsidRPr="00163274">
        <w:rPr>
          <w:rFonts w:ascii="Perpetua" w:hAnsi="Perpetua"/>
          <w:sz w:val="22"/>
          <w:szCs w:val="20"/>
        </w:rPr>
        <w:t xml:space="preserve">There are two great subjects </w:t>
      </w:r>
      <w:proofErr w:type="gramStart"/>
      <w:r w:rsidRPr="00163274">
        <w:rPr>
          <w:rFonts w:ascii="Perpetua" w:hAnsi="Perpetua"/>
          <w:sz w:val="22"/>
          <w:szCs w:val="20"/>
        </w:rPr>
        <w:t>which</w:t>
      </w:r>
      <w:proofErr w:type="gramEnd"/>
      <w:r w:rsidRPr="00163274">
        <w:rPr>
          <w:rFonts w:ascii="Perpetua" w:hAnsi="Perpetua"/>
          <w:sz w:val="22"/>
          <w:szCs w:val="20"/>
        </w:rPr>
        <w:t xml:space="preserve"> occupy the sphere of millennial prophecy and testimony: the church and its glory in Christ; and the Jews and their glory as a redeemed nation in Christ: the heavenly people and the earthly people; the habitation and scene of the glory of </w:t>
      </w:r>
      <w:r w:rsidRPr="00163274">
        <w:rPr>
          <w:rFonts w:ascii="Perpetua" w:hAnsi="Perpetua"/>
          <w:sz w:val="22"/>
          <w:szCs w:val="20"/>
        </w:rPr>
        <w:lastRenderedPageBreak/>
        <w:t xml:space="preserve">the one being the heavens; of the other, the earth. Christ shall display His glory in the one according to that which is celestial; in the other, according to that which is terrestrial </w:t>
      </w:r>
      <w:r w:rsidRPr="00012B96">
        <w:rPr>
          <w:rFonts w:ascii="Perpetua" w:hAnsi="Perpetua"/>
          <w:sz w:val="16"/>
        </w:rPr>
        <w:t>—</w:t>
      </w:r>
      <w:r w:rsidRPr="00163274">
        <w:rPr>
          <w:rFonts w:ascii="Perpetua" w:hAnsi="Perpetua"/>
          <w:sz w:val="22"/>
          <w:szCs w:val="20"/>
        </w:rPr>
        <w:t xml:space="preserve"> Himself the Son, the image and glory of God, the centre and sun of them both. … Though the church and Israel be, in connection with Christ, the centres respectively of the heavenly and the earthly glory, mutually enhancing the blessing and joy of each other, yet each has its respective sphere, all things in the heavens being subordinate and the scene of the glory </w:t>
      </w:r>
      <w:r w:rsidRPr="00012B96">
        <w:rPr>
          <w:rFonts w:ascii="Perpetua" w:hAnsi="Perpetua"/>
          <w:sz w:val="16"/>
        </w:rPr>
        <w:t>—</w:t>
      </w:r>
      <w:r w:rsidRPr="00163274">
        <w:rPr>
          <w:rFonts w:ascii="Perpetua" w:hAnsi="Perpetua"/>
          <w:sz w:val="22"/>
          <w:szCs w:val="20"/>
        </w:rPr>
        <w:t xml:space="preserve"> angels, principalities, and powers in the one; the nations of the earth in the other.</w:t>
      </w:r>
      <w:r>
        <w:rPr>
          <w:rStyle w:val="EndnoteReference"/>
          <w:rFonts w:ascii="Perpetua" w:hAnsi="Perpetua"/>
          <w:sz w:val="22"/>
          <w:szCs w:val="20"/>
        </w:rPr>
        <w:endnoteReference w:id="1008"/>
      </w:r>
    </w:p>
    <w:p w:rsidR="00442D33" w:rsidRPr="00163274" w:rsidRDefault="00442D33" w:rsidP="00442D33">
      <w:pPr>
        <w:spacing w:after="120" w:line="360" w:lineRule="auto"/>
        <w:ind w:right="-29"/>
        <w:jc w:val="both"/>
        <w:rPr>
          <w:szCs w:val="20"/>
        </w:rPr>
      </w:pPr>
      <w:r>
        <w:rPr>
          <w:color w:val="000000"/>
        </w:rPr>
        <w:t>Scofield claims that Christ intimated that New Testament revelation would include ‘new prophecies’</w:t>
      </w:r>
      <w:r w:rsidRPr="00286E94">
        <w:rPr>
          <w:rStyle w:val="EndnoteReference"/>
        </w:rPr>
        <w:endnoteReference w:id="1009"/>
      </w:r>
      <w:r>
        <w:rPr>
          <w:color w:val="000000"/>
        </w:rPr>
        <w:t xml:space="preserve"> and also that the messages to the seven churches in Revelation have a ‘prophetical aspect’ in their foretelling phases in the Church’s spiritual history.</w:t>
      </w:r>
      <w:r>
        <w:rPr>
          <w:rStyle w:val="EndnoteReference"/>
          <w:color w:val="000000"/>
        </w:rPr>
        <w:endnoteReference w:id="1010"/>
      </w:r>
      <w:r>
        <w:rPr>
          <w:color w:val="000000"/>
        </w:rPr>
        <w:t xml:space="preserve">  Scofield states that</w:t>
      </w:r>
      <w:r w:rsidRPr="003174ED">
        <w:rPr>
          <w:color w:val="000000"/>
        </w:rPr>
        <w:t xml:space="preserve"> the New Testament prophet was ‘an inspired preacher, through whom, until the New Testament was written, new revelations suited to the new dispensation were given’.</w:t>
      </w:r>
      <w:r w:rsidRPr="003174ED">
        <w:rPr>
          <w:rStyle w:val="EndnoteReference"/>
          <w:color w:val="000000"/>
        </w:rPr>
        <w:endnoteReference w:id="1011"/>
      </w:r>
      <w:r>
        <w:rPr>
          <w:color w:val="000000"/>
        </w:rPr>
        <w:t xml:space="preserve"> </w:t>
      </w:r>
      <w:r w:rsidRPr="003174ED">
        <w:rPr>
          <w:color w:val="000000"/>
        </w:rPr>
        <w:t xml:space="preserve"> Scofield bases his assertion that Revelation is prophecy on his rendering of the heavenly voices’ announcement.</w:t>
      </w:r>
      <w:r>
        <w:rPr>
          <w:rStyle w:val="EndnoteReference"/>
          <w:color w:val="000000"/>
        </w:rPr>
        <w:endnoteReference w:id="1012"/>
      </w:r>
    </w:p>
    <w:p w:rsidR="00442D33" w:rsidRDefault="00442D33" w:rsidP="00442D33">
      <w:pPr>
        <w:pStyle w:val="NormalWeb"/>
        <w:spacing w:before="0" w:beforeAutospacing="0" w:after="0" w:afterAutospacing="0" w:line="360" w:lineRule="auto"/>
        <w:ind w:right="-45"/>
        <w:jc w:val="both"/>
        <w:rPr>
          <w:rFonts w:ascii="Perpetua" w:hAnsi="Perpetua"/>
          <w:bCs/>
          <w:kern w:val="36"/>
          <w:sz w:val="22"/>
          <w:szCs w:val="27"/>
        </w:rPr>
      </w:pPr>
      <w:r>
        <w:rPr>
          <w:rFonts w:ascii="Perpetua" w:hAnsi="Perpetua"/>
          <w:bCs/>
          <w:kern w:val="36"/>
          <w:sz w:val="22"/>
          <w:szCs w:val="27"/>
        </w:rPr>
        <w:t>Darby also holds that divine government has different objectives for Christians and for Jews:</w:t>
      </w:r>
    </w:p>
    <w:p w:rsidR="00442D33" w:rsidRDefault="00442D33" w:rsidP="00442D33">
      <w:pPr>
        <w:pStyle w:val="NormalWeb"/>
        <w:spacing w:before="0" w:beforeAutospacing="0" w:after="120" w:afterAutospacing="0"/>
        <w:ind w:left="1134" w:right="1700"/>
        <w:jc w:val="both"/>
        <w:rPr>
          <w:rFonts w:ascii="Perpetua" w:hAnsi="Perpetua"/>
          <w:sz w:val="22"/>
        </w:rPr>
      </w:pPr>
      <w:r w:rsidRPr="001C48FC">
        <w:rPr>
          <w:rFonts w:ascii="Perpetua" w:hAnsi="Perpetua"/>
          <w:sz w:val="22"/>
        </w:rPr>
        <w:t xml:space="preserve">With the Christian, it is to prepare him for heaven; with the Jews, on the contrary, it is to display God's righteousness on the earth: I speak of them as a body or people. Christ and the church suffer for righteousness, and reign. The Jews, as a people, suffer for sin, and the result of their history will be, </w:t>
      </w:r>
      <w:r>
        <w:rPr>
          <w:rFonts w:ascii="Perpetua" w:hAnsi="Perpetua"/>
          <w:sz w:val="22"/>
        </w:rPr>
        <w:t>“</w:t>
      </w:r>
      <w:r w:rsidRPr="001C48FC">
        <w:rPr>
          <w:rFonts w:ascii="Perpetua" w:hAnsi="Perpetua"/>
          <w:sz w:val="22"/>
        </w:rPr>
        <w:t>Verily, there is a reward for the righteous; verily, there is a God that judgeth the earth.</w:t>
      </w:r>
      <w:r>
        <w:rPr>
          <w:rFonts w:ascii="Perpetua" w:hAnsi="Perpetua"/>
          <w:sz w:val="22"/>
        </w:rPr>
        <w:t>”</w:t>
      </w:r>
      <w:r>
        <w:rPr>
          <w:rStyle w:val="EndnoteReference"/>
          <w:rFonts w:ascii="Perpetua" w:hAnsi="Perpetua"/>
          <w:sz w:val="22"/>
        </w:rPr>
        <w:endnoteReference w:id="1013"/>
      </w:r>
    </w:p>
    <w:p w:rsidR="00442D33" w:rsidRPr="00163274" w:rsidRDefault="00442D33" w:rsidP="00442D33">
      <w:pPr>
        <w:pStyle w:val="NormalWeb"/>
        <w:spacing w:before="0" w:beforeAutospacing="0" w:after="120" w:afterAutospacing="0" w:line="360" w:lineRule="auto"/>
        <w:ind w:right="-45"/>
        <w:jc w:val="both"/>
        <w:rPr>
          <w:rFonts w:ascii="Perpetua" w:hAnsi="Perpetua"/>
          <w:sz w:val="20"/>
          <w:szCs w:val="20"/>
        </w:rPr>
      </w:pPr>
      <w:r w:rsidRPr="00163274">
        <w:rPr>
          <w:rFonts w:ascii="Perpetua" w:hAnsi="Perpetua"/>
          <w:bCs/>
          <w:kern w:val="36"/>
          <w:sz w:val="22"/>
          <w:szCs w:val="27"/>
        </w:rPr>
        <w:t xml:space="preserve">Darby </w:t>
      </w:r>
      <w:r>
        <w:rPr>
          <w:rFonts w:ascii="Perpetua" w:hAnsi="Perpetua"/>
          <w:bCs/>
          <w:kern w:val="36"/>
          <w:sz w:val="22"/>
          <w:szCs w:val="27"/>
        </w:rPr>
        <w:t>further</w:t>
      </w:r>
      <w:r w:rsidRPr="00163274">
        <w:rPr>
          <w:rFonts w:ascii="Perpetua" w:hAnsi="Perpetua"/>
          <w:bCs/>
          <w:kern w:val="36"/>
          <w:sz w:val="22"/>
          <w:szCs w:val="27"/>
        </w:rPr>
        <w:t xml:space="preserve"> states that ‘the subject of prophecy divides itself into two parts: the hope of the Church and those of the Jews’ [</w:t>
      </w:r>
      <w:r w:rsidRPr="00163274">
        <w:rPr>
          <w:rFonts w:ascii="Perpetua" w:hAnsi="Perpetua"/>
          <w:bCs/>
          <w:i/>
          <w:kern w:val="36"/>
          <w:sz w:val="22"/>
          <w:szCs w:val="27"/>
        </w:rPr>
        <w:t>sic</w:t>
      </w:r>
      <w:r w:rsidRPr="00163274">
        <w:rPr>
          <w:rFonts w:ascii="Perpetua" w:hAnsi="Perpetua"/>
          <w:bCs/>
          <w:kern w:val="36"/>
          <w:sz w:val="22"/>
          <w:szCs w:val="27"/>
        </w:rPr>
        <w:t>].</w:t>
      </w:r>
      <w:r>
        <w:rPr>
          <w:rStyle w:val="EndnoteReference"/>
          <w:rFonts w:ascii="Perpetua" w:hAnsi="Perpetua"/>
          <w:bCs/>
          <w:kern w:val="36"/>
          <w:sz w:val="22"/>
          <w:szCs w:val="27"/>
        </w:rPr>
        <w:endnoteReference w:id="1014"/>
      </w:r>
      <w:r w:rsidRPr="00163274">
        <w:rPr>
          <w:rFonts w:ascii="Perpetua" w:hAnsi="Perpetua"/>
          <w:bCs/>
          <w:kern w:val="36"/>
          <w:sz w:val="22"/>
          <w:szCs w:val="27"/>
        </w:rPr>
        <w:t xml:space="preserve">  ‘That Israel’s earthly hopes a</w:t>
      </w:r>
      <w:r>
        <w:rPr>
          <w:rFonts w:ascii="Perpetua" w:hAnsi="Perpetua"/>
          <w:bCs/>
          <w:kern w:val="36"/>
          <w:sz w:val="22"/>
          <w:szCs w:val="27"/>
        </w:rPr>
        <w:t>n</w:t>
      </w:r>
      <w:r w:rsidRPr="00163274">
        <w:rPr>
          <w:rFonts w:ascii="Perpetua" w:hAnsi="Perpetua"/>
          <w:bCs/>
          <w:kern w:val="36"/>
          <w:sz w:val="22"/>
          <w:szCs w:val="27"/>
        </w:rPr>
        <w:t>d glory will be accomplished when the church’s heavenly hopes are, and that thus there will be harmony, is true.  All things in heaven and earth will be gathered together in one in Christ.  But they will never be blended.’</w:t>
      </w:r>
      <w:r>
        <w:rPr>
          <w:rStyle w:val="EndnoteReference"/>
          <w:rFonts w:ascii="Perpetua" w:hAnsi="Perpetua"/>
          <w:bCs/>
          <w:kern w:val="36"/>
          <w:sz w:val="22"/>
          <w:szCs w:val="27"/>
        </w:rPr>
        <w:endnoteReference w:id="1015"/>
      </w:r>
      <w:r w:rsidRPr="00163274">
        <w:rPr>
          <w:rFonts w:ascii="Perpetua" w:hAnsi="Perpetua"/>
          <w:bCs/>
          <w:kern w:val="36"/>
          <w:sz w:val="22"/>
          <w:szCs w:val="27"/>
        </w:rPr>
        <w:t xml:space="preserve">  </w:t>
      </w:r>
      <w:r>
        <w:rPr>
          <w:rFonts w:ascii="Perpetua" w:hAnsi="Perpetua"/>
          <w:bCs/>
          <w:kern w:val="36"/>
          <w:sz w:val="22"/>
          <w:szCs w:val="27"/>
        </w:rPr>
        <w:t>Bass asserts that Darby’s summary ‘here reflects again</w:t>
      </w:r>
      <w:r w:rsidRPr="00163274">
        <w:rPr>
          <w:rFonts w:ascii="Perpetua" w:hAnsi="Perpetua"/>
          <w:bCs/>
          <w:kern w:val="36"/>
          <w:sz w:val="22"/>
          <w:szCs w:val="27"/>
        </w:rPr>
        <w:t xml:space="preserve"> </w:t>
      </w:r>
      <w:r>
        <w:rPr>
          <w:rFonts w:ascii="Perpetua" w:hAnsi="Perpetua"/>
          <w:bCs/>
          <w:kern w:val="36"/>
          <w:sz w:val="22"/>
          <w:szCs w:val="27"/>
        </w:rPr>
        <w:t>that there is a different hope for the church and for Israel’.  T</w:t>
      </w:r>
      <w:r w:rsidRPr="00163274">
        <w:rPr>
          <w:rFonts w:ascii="Perpetua" w:hAnsi="Perpetua"/>
          <w:bCs/>
          <w:kern w:val="36"/>
          <w:sz w:val="22"/>
          <w:szCs w:val="27"/>
        </w:rPr>
        <w:t>he hope of the Church is its share in Christ’s heavenly and earthly glory, whereas that of Israel is a kingdom on earth with Christ seated on the throne of David.</w:t>
      </w:r>
      <w:r>
        <w:rPr>
          <w:rStyle w:val="EndnoteReference"/>
          <w:rFonts w:ascii="Perpetua" w:hAnsi="Perpetua"/>
          <w:bCs/>
          <w:kern w:val="36"/>
          <w:sz w:val="22"/>
          <w:szCs w:val="27"/>
        </w:rPr>
        <w:endnoteReference w:id="1016"/>
      </w:r>
      <w:r w:rsidRPr="00163274">
        <w:rPr>
          <w:rFonts w:ascii="Perpetua" w:hAnsi="Perpetua"/>
          <w:bCs/>
          <w:kern w:val="36"/>
          <w:sz w:val="22"/>
          <w:szCs w:val="27"/>
        </w:rPr>
        <w:t xml:space="preserve">  This </w:t>
      </w:r>
      <w:r>
        <w:rPr>
          <w:rFonts w:ascii="Perpetua" w:hAnsi="Perpetua"/>
          <w:bCs/>
          <w:kern w:val="36"/>
          <w:sz w:val="22"/>
          <w:szCs w:val="27"/>
        </w:rPr>
        <w:t>re-asserts</w:t>
      </w:r>
      <w:r w:rsidRPr="00163274">
        <w:rPr>
          <w:rFonts w:ascii="Perpetua" w:hAnsi="Perpetua"/>
          <w:bCs/>
          <w:kern w:val="36"/>
          <w:sz w:val="22"/>
          <w:szCs w:val="27"/>
        </w:rPr>
        <w:t xml:space="preserve"> the </w:t>
      </w:r>
      <w:r>
        <w:rPr>
          <w:rFonts w:ascii="Perpetua" w:hAnsi="Perpetua"/>
          <w:bCs/>
          <w:kern w:val="36"/>
          <w:sz w:val="22"/>
          <w:szCs w:val="27"/>
        </w:rPr>
        <w:t>notion</w:t>
      </w:r>
      <w:r w:rsidRPr="00163274">
        <w:rPr>
          <w:rFonts w:ascii="Perpetua" w:hAnsi="Perpetua"/>
          <w:bCs/>
          <w:kern w:val="36"/>
          <w:sz w:val="22"/>
          <w:szCs w:val="27"/>
        </w:rPr>
        <w:t xml:space="preserve"> of the existence of earthly and heavenly peoples.</w:t>
      </w:r>
      <w:r>
        <w:rPr>
          <w:rFonts w:ascii="Perpetua" w:hAnsi="Perpetua"/>
          <w:bCs/>
          <w:kern w:val="36"/>
          <w:sz w:val="22"/>
          <w:szCs w:val="27"/>
        </w:rPr>
        <w:t xml:space="preserve">  Scofield’s development of this concept is considered below in the second part of this chapter.</w:t>
      </w:r>
    </w:p>
    <w:p w:rsidR="00442D33" w:rsidRPr="006723DA" w:rsidRDefault="00442D33" w:rsidP="00442D33">
      <w:pPr>
        <w:spacing w:after="120" w:line="360" w:lineRule="auto"/>
        <w:ind w:firstLine="567"/>
        <w:jc w:val="both"/>
        <w:rPr>
          <w:rFonts w:eastAsia="Times New Roman" w:cs="Times New Roman"/>
          <w:bCs/>
          <w:kern w:val="36"/>
          <w:szCs w:val="27"/>
          <w:lang w:eastAsia="en-GB"/>
        </w:rPr>
      </w:pPr>
      <w:r w:rsidRPr="00163274">
        <w:rPr>
          <w:rStyle w:val="ind"/>
        </w:rPr>
        <w:t>Chafer</w:t>
      </w:r>
      <w:r>
        <w:rPr>
          <w:rStyle w:val="ind"/>
        </w:rPr>
        <w:t>, whom Williams describes as Scofield’s ‘protégé’,</w:t>
      </w:r>
      <w:r>
        <w:rPr>
          <w:rStyle w:val="EndnoteReference"/>
        </w:rPr>
        <w:endnoteReference w:id="1017"/>
      </w:r>
      <w:r w:rsidRPr="00163274">
        <w:rPr>
          <w:rStyle w:val="ind"/>
        </w:rPr>
        <w:t xml:space="preserve"> </w:t>
      </w:r>
      <w:r>
        <w:rPr>
          <w:rStyle w:val="ind"/>
        </w:rPr>
        <w:t>re</w:t>
      </w:r>
      <w:r w:rsidRPr="00163274">
        <w:rPr>
          <w:rStyle w:val="ind"/>
        </w:rPr>
        <w:t>states</w:t>
      </w:r>
      <w:r>
        <w:rPr>
          <w:rStyle w:val="ind"/>
        </w:rPr>
        <w:t xml:space="preserve"> Scofield’s position very strongly in two publications. </w:t>
      </w:r>
      <w:r w:rsidRPr="00163274">
        <w:rPr>
          <w:rStyle w:val="ind"/>
        </w:rPr>
        <w:t xml:space="preserve"> ‘</w:t>
      </w:r>
      <w:r w:rsidRPr="00163274">
        <w:rPr>
          <w:rFonts w:eastAsia="Times New Roman" w:cs="Times New Roman"/>
          <w:bCs/>
          <w:kern w:val="36"/>
          <w:szCs w:val="27"/>
          <w:lang w:eastAsia="en-GB"/>
        </w:rPr>
        <w:t>The dispensationalist believes that throughout the ages God is pursuing two distinct purposes: one related to the earth with earthly people and earthly objectives involved, which is Judaism; while the other is related to heaven with heavenly people and heavenly objectives involved, which is Christianity.’</w:t>
      </w:r>
      <w:r>
        <w:rPr>
          <w:rStyle w:val="EndnoteReference"/>
          <w:rFonts w:eastAsia="Times New Roman" w:cs="Times New Roman"/>
          <w:bCs/>
          <w:kern w:val="36"/>
          <w:szCs w:val="27"/>
          <w:lang w:eastAsia="en-GB"/>
        </w:rPr>
        <w:endnoteReference w:id="1018"/>
      </w:r>
      <w:r w:rsidRPr="00163274">
        <w:rPr>
          <w:rFonts w:eastAsia="Times New Roman" w:cs="Times New Roman"/>
          <w:bCs/>
          <w:kern w:val="36"/>
          <w:szCs w:val="27"/>
          <w:lang w:eastAsia="en-GB"/>
        </w:rPr>
        <w:t xml:space="preserve">  ‘Israel is set apart as an elect nation’</w:t>
      </w:r>
      <w:r>
        <w:rPr>
          <w:rStyle w:val="EndnoteReference"/>
          <w:rFonts w:eastAsia="Times New Roman" w:cs="Times New Roman"/>
          <w:bCs/>
          <w:kern w:val="36"/>
          <w:szCs w:val="27"/>
          <w:lang w:eastAsia="en-GB"/>
        </w:rPr>
        <w:endnoteReference w:id="1019"/>
      </w:r>
      <w:r w:rsidRPr="00163274">
        <w:rPr>
          <w:rFonts w:eastAsia="Times New Roman" w:cs="Times New Roman"/>
          <w:bCs/>
          <w:kern w:val="36"/>
          <w:szCs w:val="27"/>
          <w:lang w:eastAsia="en-GB"/>
        </w:rPr>
        <w:t xml:space="preserve"> but the Church, as a corporate whole, is also an elect people’.</w:t>
      </w:r>
      <w:r>
        <w:rPr>
          <w:rStyle w:val="EndnoteReference"/>
          <w:rFonts w:eastAsia="Times New Roman" w:cs="Times New Roman"/>
          <w:bCs/>
          <w:kern w:val="36"/>
          <w:szCs w:val="27"/>
          <w:lang w:eastAsia="en-GB"/>
        </w:rPr>
        <w:endnoteReference w:id="1020"/>
      </w:r>
      <w:r w:rsidRPr="00163274">
        <w:rPr>
          <w:rFonts w:eastAsia="Times New Roman" w:cs="Times New Roman"/>
          <w:bCs/>
          <w:kern w:val="36"/>
          <w:szCs w:val="27"/>
          <w:lang w:eastAsia="en-GB"/>
        </w:rPr>
        <w:t xml:space="preserve">  </w:t>
      </w:r>
      <w:r>
        <w:rPr>
          <w:rFonts w:eastAsia="Times New Roman" w:cs="Times New Roman"/>
          <w:bCs/>
          <w:kern w:val="36"/>
          <w:szCs w:val="27"/>
          <w:lang w:eastAsia="en-GB"/>
        </w:rPr>
        <w:t xml:space="preserve">‘This nation … will yet be the dominant, glorified people of the </w:t>
      </w:r>
      <w:r w:rsidRPr="00A02A21">
        <w:rPr>
          <w:rFonts w:eastAsia="Times New Roman" w:cs="Times New Roman"/>
          <w:bCs/>
          <w:kern w:val="36"/>
          <w:szCs w:val="27"/>
          <w:lang w:eastAsia="en-GB"/>
        </w:rPr>
        <w:t>earth i</w:t>
      </w:r>
      <w:r>
        <w:rPr>
          <w:rFonts w:eastAsia="Times New Roman" w:cs="Times New Roman"/>
          <w:bCs/>
          <w:kern w:val="36"/>
          <w:szCs w:val="27"/>
          <w:lang w:eastAsia="en-GB"/>
        </w:rPr>
        <w:t>n the coming kingdom.’</w:t>
      </w:r>
      <w:r>
        <w:rPr>
          <w:rStyle w:val="EndnoteReference"/>
          <w:rFonts w:eastAsia="Times New Roman" w:cs="Times New Roman"/>
          <w:bCs/>
          <w:kern w:val="36"/>
          <w:szCs w:val="27"/>
          <w:lang w:eastAsia="en-GB"/>
        </w:rPr>
        <w:endnoteReference w:id="1021"/>
      </w:r>
      <w:r>
        <w:rPr>
          <w:rFonts w:eastAsia="Times New Roman" w:cs="Times New Roman"/>
          <w:bCs/>
          <w:kern w:val="36"/>
          <w:szCs w:val="27"/>
          <w:lang w:eastAsia="en-GB"/>
        </w:rPr>
        <w:t xml:space="preserve">  </w:t>
      </w:r>
      <w:r w:rsidRPr="00163274">
        <w:rPr>
          <w:rFonts w:eastAsia="Times New Roman" w:cs="Times New Roman"/>
          <w:bCs/>
          <w:kern w:val="36"/>
          <w:szCs w:val="27"/>
          <w:lang w:eastAsia="en-GB"/>
        </w:rPr>
        <w:t>Even though ‘divine favour is offered to the Gentiles, it does not consist in offering them a share in the national blessings of Israel, nor [</w:t>
      </w:r>
      <w:r w:rsidRPr="00163274">
        <w:rPr>
          <w:rFonts w:eastAsia="Times New Roman" w:cs="Times New Roman"/>
          <w:bCs/>
          <w:i/>
          <w:kern w:val="36"/>
          <w:szCs w:val="27"/>
          <w:lang w:eastAsia="en-GB"/>
        </w:rPr>
        <w:t>sic</w:t>
      </w:r>
      <w:r w:rsidRPr="00163274">
        <w:rPr>
          <w:rFonts w:eastAsia="Times New Roman" w:cs="Times New Roman"/>
          <w:bCs/>
          <w:kern w:val="36"/>
          <w:szCs w:val="27"/>
          <w:lang w:eastAsia="en-GB"/>
        </w:rPr>
        <w:t xml:space="preserve">] does it provide a way whereby the Jew may realize the </w:t>
      </w:r>
      <w:r w:rsidRPr="00163274">
        <w:rPr>
          <w:rFonts w:eastAsia="Times New Roman" w:cs="Times New Roman"/>
          <w:bCs/>
          <w:kern w:val="36"/>
          <w:szCs w:val="27"/>
          <w:lang w:eastAsia="en-GB"/>
        </w:rPr>
        <w:lastRenderedPageBreak/>
        <w:t>specific features of his national covenants’.</w:t>
      </w:r>
      <w:r>
        <w:rPr>
          <w:rStyle w:val="EndnoteReference"/>
          <w:rFonts w:eastAsia="Times New Roman" w:cs="Times New Roman"/>
          <w:bCs/>
          <w:kern w:val="36"/>
          <w:szCs w:val="27"/>
          <w:lang w:eastAsia="en-GB"/>
        </w:rPr>
        <w:endnoteReference w:id="1022"/>
      </w:r>
      <w:r w:rsidRPr="00163274">
        <w:rPr>
          <w:rFonts w:eastAsia="Times New Roman" w:cs="Times New Roman"/>
          <w:bCs/>
          <w:kern w:val="36"/>
          <w:szCs w:val="27"/>
          <w:lang w:eastAsia="en-GB"/>
        </w:rPr>
        <w:t xml:space="preserve">  ‘To the nation, Christ is Messiah, Emmanuel and King; to the Church, He is Head, Bridegroom and Lord.’  However, </w:t>
      </w:r>
      <w:r>
        <w:rPr>
          <w:rFonts w:eastAsia="Times New Roman" w:cs="Times New Roman"/>
          <w:bCs/>
          <w:kern w:val="36"/>
          <w:szCs w:val="27"/>
          <w:lang w:eastAsia="en-GB"/>
        </w:rPr>
        <w:t>‘</w:t>
      </w:r>
      <w:r w:rsidRPr="00163274">
        <w:rPr>
          <w:rFonts w:eastAsia="Times New Roman" w:cs="Times New Roman"/>
          <w:bCs/>
          <w:kern w:val="36"/>
          <w:szCs w:val="27"/>
          <w:lang w:eastAsia="en-GB"/>
        </w:rPr>
        <w:t xml:space="preserve">at the end of this age, Israel must pass through the great </w:t>
      </w:r>
      <w:proofErr w:type="gramStart"/>
      <w:r w:rsidRPr="00163274">
        <w:rPr>
          <w:rFonts w:eastAsia="Times New Roman" w:cs="Times New Roman"/>
          <w:bCs/>
          <w:kern w:val="36"/>
          <w:szCs w:val="27"/>
          <w:lang w:eastAsia="en-GB"/>
        </w:rPr>
        <w:t>tribulation, …</w:t>
      </w:r>
      <w:proofErr w:type="gramEnd"/>
      <w:r w:rsidRPr="00163274">
        <w:rPr>
          <w:rFonts w:eastAsia="Times New Roman" w:cs="Times New Roman"/>
          <w:bCs/>
          <w:kern w:val="36"/>
          <w:szCs w:val="27"/>
          <w:lang w:eastAsia="en-GB"/>
        </w:rPr>
        <w:t xml:space="preserve"> specifically characterized as “the time of Jacob’s trouble” … and, before entering her kingdom, she must come before her King in judgment’.</w:t>
      </w:r>
      <w:r>
        <w:rPr>
          <w:rStyle w:val="EndnoteReference"/>
          <w:rFonts w:eastAsia="Times New Roman" w:cs="Times New Roman"/>
          <w:bCs/>
          <w:kern w:val="36"/>
          <w:szCs w:val="27"/>
          <w:lang w:eastAsia="en-GB"/>
        </w:rPr>
        <w:endnoteReference w:id="1023"/>
      </w:r>
      <w:r w:rsidRPr="00163274">
        <w:rPr>
          <w:rFonts w:eastAsia="Times New Roman" w:cs="Times New Roman"/>
          <w:bCs/>
          <w:kern w:val="36"/>
          <w:szCs w:val="27"/>
          <w:lang w:eastAsia="en-GB"/>
        </w:rPr>
        <w:t xml:space="preserve">  By contrast, ‘the Christian’s hope is the prospect of the imminent coming of Christ to take away His Church from the earth’.</w:t>
      </w:r>
      <w:r>
        <w:rPr>
          <w:rStyle w:val="EndnoteReference"/>
          <w:rFonts w:eastAsia="Times New Roman" w:cs="Times New Roman"/>
          <w:bCs/>
          <w:kern w:val="36"/>
          <w:szCs w:val="27"/>
          <w:lang w:eastAsia="en-GB"/>
        </w:rPr>
        <w:endnoteReference w:id="1024"/>
      </w:r>
      <w:r>
        <w:rPr>
          <w:rFonts w:eastAsia="Times New Roman" w:cs="Times New Roman"/>
          <w:bCs/>
          <w:kern w:val="36"/>
          <w:szCs w:val="27"/>
          <w:lang w:eastAsia="en-GB"/>
        </w:rPr>
        <w:t xml:space="preserve">  ‘Each individual in that company [the Church] being born again enters the kingdom of God</w:t>
      </w:r>
      <w:r>
        <w:rPr>
          <w:rStyle w:val="EndnoteReference"/>
          <w:rFonts w:eastAsia="Times New Roman" w:cs="Times New Roman"/>
          <w:bCs/>
          <w:kern w:val="36"/>
          <w:szCs w:val="27"/>
          <w:lang w:eastAsia="en-GB"/>
        </w:rPr>
        <w:endnoteReference w:id="1025"/>
      </w:r>
      <w:r>
        <w:rPr>
          <w:rFonts w:eastAsia="Times New Roman" w:cs="Times New Roman"/>
          <w:bCs/>
          <w:kern w:val="36"/>
          <w:szCs w:val="27"/>
          <w:lang w:eastAsia="en-GB"/>
        </w:rPr>
        <w:t xml:space="preserve"> … all their </w:t>
      </w:r>
      <w:r w:rsidRPr="006723DA">
        <w:t>promises, their possessions, and their positions are heavenly</w:t>
      </w:r>
      <w:r>
        <w:t>.</w:t>
      </w:r>
      <w:r>
        <w:rPr>
          <w:rStyle w:val="EndnoteReference"/>
        </w:rPr>
        <w:endnoteReference w:id="1026"/>
      </w:r>
      <w:r w:rsidRPr="006723DA">
        <w:t xml:space="preserve"> </w:t>
      </w:r>
      <w:r>
        <w:t xml:space="preserve"> </w:t>
      </w:r>
      <w:r w:rsidRPr="006723DA">
        <w:t>By so much this heavenly people are distinguished from all other people of the earth.</w:t>
      </w:r>
      <w:r>
        <w:t>’</w:t>
      </w:r>
      <w:r>
        <w:rPr>
          <w:rStyle w:val="EndnoteReference"/>
        </w:rPr>
        <w:endnoteReference w:id="1027"/>
      </w:r>
    </w:p>
    <w:p w:rsidR="00442D33" w:rsidRPr="00163274"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Despite the Israel/Church dichotomy still being central to dispensationalist belief, there have been some changes in interpretation.  Some writers, including Blaising and Williams,</w:t>
      </w:r>
      <w:r>
        <w:rPr>
          <w:rStyle w:val="EndnoteReference"/>
          <w:rFonts w:eastAsia="Times New Roman" w:cs="Times New Roman"/>
          <w:bCs/>
          <w:kern w:val="36"/>
          <w:szCs w:val="27"/>
          <w:lang w:eastAsia="en-GB"/>
        </w:rPr>
        <w:endnoteReference w:id="1028"/>
      </w:r>
      <w:r w:rsidRPr="00163274">
        <w:rPr>
          <w:rFonts w:eastAsia="Times New Roman" w:cs="Times New Roman"/>
          <w:bCs/>
          <w:kern w:val="36"/>
          <w:szCs w:val="27"/>
          <w:lang w:eastAsia="en-GB"/>
        </w:rPr>
        <w:t xml:space="preserve"> regard the above passages by Darby, Scofield and Chafer as the ‘classical dispensationalist’ view.  According to Blaising, dispensationalists in the 1950s and 60s, (‘revised dispensationalists’), were ‘uncomfortable with the notion of eternally separate heavenly and earthly destinies’ and ‘believed that, after the Millennium, all the redeemed would be together for eternity’, whether ‘all in heaven’ or ‘all on the new earth’.  It is for this reason that ‘the distinguishing terminology of heavenly and earthly peoples is scarcely found in their writings’.</w:t>
      </w:r>
      <w:r>
        <w:rPr>
          <w:rStyle w:val="EndnoteReference"/>
          <w:rFonts w:eastAsia="Times New Roman" w:cs="Times New Roman"/>
          <w:bCs/>
          <w:kern w:val="36"/>
          <w:szCs w:val="27"/>
          <w:lang w:eastAsia="en-GB"/>
        </w:rPr>
        <w:endnoteReference w:id="1029"/>
      </w:r>
      <w:r w:rsidRPr="00163274">
        <w:rPr>
          <w:rFonts w:eastAsia="Times New Roman" w:cs="Times New Roman"/>
          <w:bCs/>
          <w:kern w:val="36"/>
          <w:szCs w:val="27"/>
          <w:lang w:eastAsia="en-GB"/>
        </w:rPr>
        <w:t xml:space="preserve">  </w:t>
      </w:r>
      <w:r w:rsidR="003F0D0C">
        <w:rPr>
          <w:rFonts w:eastAsia="Times New Roman" w:cs="Times New Roman"/>
          <w:bCs/>
          <w:kern w:val="36"/>
          <w:szCs w:val="27"/>
          <w:lang w:eastAsia="en-GB"/>
        </w:rPr>
        <w:t xml:space="preserve">Ryrie </w:t>
      </w:r>
      <w:r w:rsidR="00E61700">
        <w:rPr>
          <w:rFonts w:eastAsia="Times New Roman" w:cs="Times New Roman"/>
          <w:bCs/>
          <w:kern w:val="36"/>
          <w:szCs w:val="27"/>
          <w:lang w:eastAsia="en-GB"/>
        </w:rPr>
        <w:t xml:space="preserve">differentiates between ‘believing Israelites of the Mosaic age who died in faith’, who ‘have a heavenly destiny’ and </w:t>
      </w:r>
      <w:r w:rsidR="007F6F53">
        <w:rPr>
          <w:rFonts w:eastAsia="Times New Roman" w:cs="Times New Roman"/>
          <w:bCs/>
          <w:kern w:val="36"/>
          <w:szCs w:val="27"/>
          <w:lang w:eastAsia="en-GB"/>
        </w:rPr>
        <w:t>‘</w:t>
      </w:r>
      <w:r w:rsidR="001A40E8">
        <w:rPr>
          <w:rFonts w:eastAsia="Times New Roman" w:cs="Times New Roman"/>
          <w:bCs/>
          <w:kern w:val="36"/>
          <w:szCs w:val="27"/>
          <w:lang w:eastAsia="en-GB"/>
        </w:rPr>
        <w:t xml:space="preserve">Jews </w:t>
      </w:r>
      <w:r w:rsidR="007F6F53">
        <w:rPr>
          <w:rFonts w:eastAsia="Times New Roman" w:cs="Times New Roman"/>
          <w:bCs/>
          <w:kern w:val="36"/>
          <w:szCs w:val="27"/>
          <w:lang w:eastAsia="en-GB"/>
        </w:rPr>
        <w:t xml:space="preserve">… </w:t>
      </w:r>
      <w:r w:rsidR="001A40E8">
        <w:rPr>
          <w:rFonts w:eastAsia="Times New Roman" w:cs="Times New Roman"/>
          <w:bCs/>
          <w:kern w:val="36"/>
          <w:szCs w:val="27"/>
          <w:lang w:eastAsia="en-GB"/>
        </w:rPr>
        <w:t>living on earth in earthly bodies</w:t>
      </w:r>
      <w:r w:rsidR="007F6F53">
        <w:rPr>
          <w:rFonts w:eastAsia="Times New Roman" w:cs="Times New Roman"/>
          <w:bCs/>
          <w:kern w:val="36"/>
          <w:szCs w:val="27"/>
          <w:lang w:eastAsia="en-GB"/>
        </w:rPr>
        <w:t>’</w:t>
      </w:r>
      <w:r w:rsidR="001A40E8">
        <w:rPr>
          <w:rFonts w:eastAsia="Times New Roman" w:cs="Times New Roman"/>
          <w:bCs/>
          <w:kern w:val="36"/>
          <w:szCs w:val="27"/>
          <w:lang w:eastAsia="en-GB"/>
        </w:rPr>
        <w:t xml:space="preserve"> at the start of the millennium </w:t>
      </w:r>
      <w:r w:rsidR="007F6F53">
        <w:rPr>
          <w:rFonts w:eastAsia="Times New Roman" w:cs="Times New Roman"/>
          <w:bCs/>
          <w:kern w:val="36"/>
          <w:szCs w:val="27"/>
          <w:lang w:eastAsia="en-GB"/>
        </w:rPr>
        <w:t>or</w:t>
      </w:r>
      <w:r w:rsidR="001A40E8">
        <w:rPr>
          <w:rFonts w:eastAsia="Times New Roman" w:cs="Times New Roman"/>
          <w:bCs/>
          <w:kern w:val="36"/>
          <w:szCs w:val="27"/>
          <w:lang w:eastAsia="en-GB"/>
        </w:rPr>
        <w:t xml:space="preserve"> born during it</w:t>
      </w:r>
      <w:r w:rsidR="007F6F53">
        <w:rPr>
          <w:rFonts w:eastAsia="Times New Roman" w:cs="Times New Roman"/>
          <w:bCs/>
          <w:kern w:val="36"/>
          <w:szCs w:val="27"/>
          <w:lang w:eastAsia="en-GB"/>
        </w:rPr>
        <w:t>,</w:t>
      </w:r>
      <w:r w:rsidR="001A40E8">
        <w:rPr>
          <w:rFonts w:eastAsia="Times New Roman" w:cs="Times New Roman"/>
          <w:bCs/>
          <w:kern w:val="36"/>
          <w:szCs w:val="27"/>
          <w:lang w:eastAsia="en-GB"/>
        </w:rPr>
        <w:t xml:space="preserve"> </w:t>
      </w:r>
      <w:r w:rsidR="00E61700">
        <w:rPr>
          <w:rFonts w:eastAsia="Times New Roman" w:cs="Times New Roman"/>
          <w:bCs/>
          <w:kern w:val="36"/>
          <w:szCs w:val="27"/>
          <w:lang w:eastAsia="en-GB"/>
        </w:rPr>
        <w:t xml:space="preserve">for whom </w:t>
      </w:r>
      <w:r w:rsidR="001A40E8">
        <w:rPr>
          <w:rFonts w:eastAsia="Times New Roman" w:cs="Times New Roman"/>
          <w:bCs/>
          <w:kern w:val="36"/>
          <w:szCs w:val="27"/>
          <w:lang w:eastAsia="en-GB"/>
        </w:rPr>
        <w:t>the earthly promises will be fulfilled.</w:t>
      </w:r>
      <w:r w:rsidR="00E61700">
        <w:rPr>
          <w:rStyle w:val="EndnoteReference"/>
          <w:rFonts w:eastAsia="Times New Roman" w:cs="Times New Roman"/>
          <w:bCs/>
          <w:kern w:val="36"/>
          <w:szCs w:val="27"/>
          <w:lang w:eastAsia="en-GB"/>
        </w:rPr>
        <w:endnoteReference w:id="1030"/>
      </w:r>
      <w:r w:rsidR="001A40E8">
        <w:rPr>
          <w:rFonts w:eastAsia="Times New Roman" w:cs="Times New Roman"/>
          <w:bCs/>
          <w:kern w:val="36"/>
          <w:szCs w:val="27"/>
          <w:lang w:eastAsia="en-GB"/>
        </w:rPr>
        <w:t xml:space="preserve"> </w:t>
      </w:r>
      <w:r w:rsidR="00E61700">
        <w:rPr>
          <w:rFonts w:eastAsia="Times New Roman" w:cs="Times New Roman"/>
          <w:bCs/>
          <w:kern w:val="36"/>
          <w:szCs w:val="27"/>
          <w:lang w:eastAsia="en-GB"/>
        </w:rPr>
        <w:t xml:space="preserve"> </w:t>
      </w:r>
      <w:r>
        <w:rPr>
          <w:rFonts w:eastAsia="Times New Roman" w:cs="Times New Roman"/>
          <w:bCs/>
          <w:kern w:val="36"/>
          <w:szCs w:val="27"/>
          <w:lang w:eastAsia="en-GB"/>
        </w:rPr>
        <w:t>Blaising asserts that t</w:t>
      </w:r>
      <w:r w:rsidRPr="00163274">
        <w:rPr>
          <w:rFonts w:eastAsia="Times New Roman" w:cs="Times New Roman"/>
          <w:bCs/>
          <w:kern w:val="36"/>
          <w:szCs w:val="27"/>
          <w:lang w:eastAsia="en-GB"/>
        </w:rPr>
        <w:t xml:space="preserve">he term, dualism, was now used in a more organisational sense, to indicate ‘two groups of people, represented by Israel and the church’ with ‘different dispensational prerogatives and responsibilities’ but each receiving the same eternal life.  That is, ‘there will be an eternal distinction between Israel and the church, not in metaphysically distinctive kinds of salvation, but in name – the </w:t>
      </w:r>
      <w:r w:rsidRPr="00DF1E2B">
        <w:rPr>
          <w:rFonts w:eastAsia="Times New Roman" w:cs="Times New Roman"/>
          <w:bCs/>
          <w:kern w:val="36"/>
          <w:szCs w:val="27"/>
          <w:lang w:eastAsia="en-GB"/>
        </w:rPr>
        <w:t>church is always the church</w:t>
      </w:r>
      <w:r w:rsidRPr="00163274">
        <w:rPr>
          <w:rFonts w:eastAsia="Times New Roman" w:cs="Times New Roman"/>
          <w:bCs/>
          <w:kern w:val="36"/>
          <w:szCs w:val="27"/>
          <w:lang w:eastAsia="en-GB"/>
        </w:rPr>
        <w:t>, Israel is always Israel’.</w:t>
      </w:r>
      <w:r>
        <w:rPr>
          <w:rStyle w:val="EndnoteReference"/>
          <w:rFonts w:eastAsia="Times New Roman" w:cs="Times New Roman"/>
          <w:bCs/>
          <w:kern w:val="36"/>
          <w:szCs w:val="27"/>
          <w:lang w:eastAsia="en-GB"/>
        </w:rPr>
        <w:endnoteReference w:id="1031"/>
      </w:r>
      <w:r w:rsidRPr="00163274">
        <w:rPr>
          <w:rFonts w:eastAsia="Times New Roman" w:cs="Times New Roman"/>
          <w:bCs/>
          <w:kern w:val="36"/>
          <w:szCs w:val="27"/>
          <w:lang w:eastAsia="en-GB"/>
        </w:rPr>
        <w:t xml:space="preserve">  </w:t>
      </w:r>
    </w:p>
    <w:p w:rsidR="00442D33" w:rsidRPr="00B251A3" w:rsidRDefault="00442D33" w:rsidP="00442D33">
      <w:pPr>
        <w:spacing w:after="120" w:line="360" w:lineRule="auto"/>
        <w:ind w:firstLine="567"/>
        <w:jc w:val="both"/>
      </w:pPr>
      <w:r w:rsidRPr="00B251A3">
        <w:rPr>
          <w:rFonts w:eastAsia="Times New Roman" w:cs="Times New Roman"/>
          <w:bCs/>
          <w:kern w:val="36"/>
          <w:lang w:eastAsia="en-GB"/>
        </w:rPr>
        <w:t>Blaising states that progressive dispensationalists agree with their predecessors that ‘there is a place for Israel and for other nations in the eternal plan of God’ but claim that ‘the church is a vital part of this very same plan of redemption’.  The church does not represent ‘a secondary redemption plan’; ‘the church today is a revelation of spiritual blessings which all the redeemed will share in spite of their ethnic and national differences’.  This represents a ‘holistic and unified view of eternal salvation’.</w:t>
      </w:r>
      <w:r w:rsidRPr="00B251A3">
        <w:rPr>
          <w:rStyle w:val="EndnoteReference"/>
          <w:rFonts w:eastAsia="Times New Roman" w:cs="Times New Roman"/>
          <w:bCs/>
          <w:kern w:val="36"/>
          <w:lang w:eastAsia="en-GB"/>
        </w:rPr>
        <w:endnoteReference w:id="1032"/>
      </w:r>
      <w:r w:rsidRPr="00B251A3">
        <w:rPr>
          <w:rFonts w:eastAsia="Times New Roman" w:cs="Times New Roman"/>
          <w:bCs/>
          <w:kern w:val="36"/>
          <w:lang w:eastAsia="en-GB"/>
        </w:rPr>
        <w:t xml:space="preserve">  </w:t>
      </w:r>
      <w:proofErr w:type="gramStart"/>
      <w:r>
        <w:rPr>
          <w:rFonts w:eastAsia="Times New Roman" w:cs="Times New Roman"/>
          <w:bCs/>
          <w:kern w:val="36"/>
          <w:lang w:eastAsia="en-GB"/>
        </w:rPr>
        <w:t>As already stated in Chapter 3, t</w:t>
      </w:r>
      <w:r w:rsidRPr="00B251A3">
        <w:rPr>
          <w:rFonts w:eastAsia="Times New Roman" w:cs="Times New Roman"/>
          <w:bCs/>
          <w:kern w:val="36"/>
          <w:lang w:eastAsia="en-GB"/>
        </w:rPr>
        <w:t xml:space="preserve">ogether with Bock, Blaising asserts that progressive dispensationalism </w:t>
      </w:r>
      <w:r w:rsidRPr="00B251A3">
        <w:t>is centred on Christ instead of being anthropologi</w:t>
      </w:r>
      <w:r>
        <w:t>cally centred on two peoples.</w:t>
      </w:r>
      <w:r w:rsidRPr="00B251A3">
        <w:t>’</w:t>
      </w:r>
      <w:proofErr w:type="gramEnd"/>
      <w:r w:rsidRPr="00B251A3">
        <w:rPr>
          <w:rStyle w:val="EndnoteReference"/>
        </w:rPr>
        <w:endnoteReference w:id="1033"/>
      </w:r>
    </w:p>
    <w:p w:rsidR="00442D33"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Saucy sees ‘both Israel and the church as belonging to the one people of God and serving one historical purpose’.</w:t>
      </w:r>
      <w:r>
        <w:rPr>
          <w:rStyle w:val="EndnoteReference"/>
          <w:rFonts w:eastAsia="Times New Roman" w:cs="Times New Roman"/>
          <w:bCs/>
          <w:kern w:val="36"/>
          <w:szCs w:val="27"/>
          <w:lang w:eastAsia="en-GB"/>
        </w:rPr>
        <w:endnoteReference w:id="1034"/>
      </w:r>
      <w:r w:rsidRPr="00163274">
        <w:rPr>
          <w:rFonts w:eastAsia="Times New Roman" w:cs="Times New Roman"/>
          <w:bCs/>
          <w:kern w:val="36"/>
          <w:szCs w:val="27"/>
          <w:lang w:eastAsia="en-GB"/>
        </w:rPr>
        <w:t xml:space="preserve">  </w:t>
      </w:r>
    </w:p>
    <w:p w:rsidR="00442D33" w:rsidRDefault="00442D33" w:rsidP="00442D33">
      <w:pPr>
        <w:spacing w:after="120" w:line="240" w:lineRule="auto"/>
        <w:ind w:left="1134" w:right="1701"/>
        <w:jc w:val="both"/>
      </w:pPr>
      <w:r w:rsidRPr="00027AE7">
        <w:t xml:space="preserve">Israel and the church are no longer viewed as representing two different purposes and plans of God, as some earlier dispensationalists taught; they are now seen as sharing in the same messianic kingdom of salvation history.  These changes have obviously brought more </w:t>
      </w:r>
      <w:r w:rsidRPr="00027AE7">
        <w:lastRenderedPageBreak/>
        <w:t>confluence bet</w:t>
      </w:r>
      <w:r>
        <w:t>ween</w:t>
      </w:r>
      <w:r w:rsidRPr="00027AE7">
        <w:t xml:space="preserve"> dispensationalism and non-dispensationalism at many points.</w:t>
      </w:r>
      <w:r>
        <w:rPr>
          <w:rStyle w:val="EndnoteReference"/>
        </w:rPr>
        <w:endnoteReference w:id="1035"/>
      </w:r>
      <w:r>
        <w:t xml:space="preserve">  </w:t>
      </w:r>
    </w:p>
    <w:p w:rsidR="00442D33" w:rsidRDefault="00442D33" w:rsidP="00442D33">
      <w:pPr>
        <w:spacing w:after="120" w:line="240" w:lineRule="auto"/>
        <w:ind w:left="1134" w:right="1701"/>
        <w:jc w:val="both"/>
      </w:pPr>
      <w:r w:rsidRPr="0065209F">
        <w:t>Contrary to trad</w:t>
      </w:r>
      <w:r>
        <w:t>itional</w:t>
      </w:r>
      <w:r w:rsidRPr="0065209F">
        <w:t xml:space="preserve"> d</w:t>
      </w:r>
      <w:r>
        <w:t>ispensationalism</w:t>
      </w:r>
      <w:r w:rsidRPr="0065209F">
        <w:t>, it does not entail sep</w:t>
      </w:r>
      <w:r>
        <w:t>arate</w:t>
      </w:r>
      <w:r w:rsidRPr="0065209F">
        <w:t xml:space="preserve"> prog</w:t>
      </w:r>
      <w:r>
        <w:t>rams</w:t>
      </w:r>
      <w:r w:rsidRPr="0065209F">
        <w:t xml:space="preserve"> for </w:t>
      </w:r>
      <w:r>
        <w:t xml:space="preserve">the </w:t>
      </w:r>
      <w:r w:rsidRPr="0065209F">
        <w:t>ch</w:t>
      </w:r>
      <w:r>
        <w:t>urch and Israel</w:t>
      </w:r>
      <w:r w:rsidRPr="0065209F">
        <w:t xml:space="preserve"> that are somehow ultim</w:t>
      </w:r>
      <w:r>
        <w:t>ately</w:t>
      </w:r>
      <w:r w:rsidRPr="0065209F">
        <w:t xml:space="preserve"> unified only in display of God’s glory or in eternity.  The pres</w:t>
      </w:r>
      <w:r>
        <w:t>ent</w:t>
      </w:r>
      <w:r w:rsidRPr="0065209F">
        <w:t xml:space="preserve"> age is not a historical parenthesis unrelated to the hist</w:t>
      </w:r>
      <w:r>
        <w:t>ory</w:t>
      </w:r>
      <w:r w:rsidRPr="0065209F">
        <w:t xml:space="preserve"> that precedes and follows it; rather it is an integrated phase in the dev</w:t>
      </w:r>
      <w:r>
        <w:t>elopmen</w:t>
      </w:r>
      <w:r w:rsidRPr="0065209F">
        <w:t>t of the mediatorial k</w:t>
      </w:r>
      <w:r>
        <w:t>ing</w:t>
      </w:r>
      <w:r w:rsidRPr="0065209F">
        <w:t>dom.  It is the beginning of the fulfil</w:t>
      </w:r>
      <w:r>
        <w:t>lment</w:t>
      </w:r>
      <w:r w:rsidRPr="0065209F">
        <w:t xml:space="preserve"> of the eschat</w:t>
      </w:r>
      <w:r>
        <w:t>ological</w:t>
      </w:r>
      <w:r w:rsidRPr="0065209F">
        <w:t xml:space="preserve"> promises.  Thus the ch</w:t>
      </w:r>
      <w:r>
        <w:t>urch</w:t>
      </w:r>
      <w:r w:rsidRPr="0065209F">
        <w:t xml:space="preserve"> today has its place </w:t>
      </w:r>
      <w:r>
        <w:t>and</w:t>
      </w:r>
      <w:r w:rsidRPr="0065209F">
        <w:t xml:space="preserve"> function in the same mediatorial messianic k</w:t>
      </w:r>
      <w:r>
        <w:t>ing</w:t>
      </w:r>
      <w:r w:rsidRPr="0065209F">
        <w:t>dom prog</w:t>
      </w:r>
      <w:r>
        <w:t>ram</w:t>
      </w:r>
      <w:r w:rsidRPr="0065209F">
        <w:t xml:space="preserve"> that Is</w:t>
      </w:r>
      <w:r>
        <w:t>rael</w:t>
      </w:r>
      <w:r w:rsidRPr="0065209F">
        <w:t xml:space="preserve"> was called to serve.</w:t>
      </w:r>
      <w:r w:rsidRPr="0065209F">
        <w:rPr>
          <w:rStyle w:val="EndnoteReference"/>
        </w:rPr>
        <w:endnoteReference w:id="1036"/>
      </w:r>
    </w:p>
    <w:p w:rsidR="00442D33" w:rsidRDefault="00442D33" w:rsidP="00442D33">
      <w:pPr>
        <w:spacing w:after="120" w:line="360" w:lineRule="auto"/>
        <w:ind w:firstLine="567"/>
        <w:jc w:val="both"/>
        <w:rPr>
          <w:rFonts w:eastAsia="Times New Roman" w:cs="Times New Roman"/>
          <w:bCs/>
          <w:kern w:val="36"/>
          <w:szCs w:val="27"/>
          <w:lang w:eastAsia="en-GB"/>
        </w:rPr>
      </w:pPr>
      <w:r w:rsidRPr="00163274">
        <w:rPr>
          <w:rFonts w:eastAsia="Times New Roman" w:cs="Times New Roman"/>
          <w:bCs/>
          <w:kern w:val="36"/>
          <w:szCs w:val="27"/>
          <w:lang w:eastAsia="en-GB"/>
        </w:rPr>
        <w:t xml:space="preserve">However, Blaising makes it clear that ‘God will save humankind </w:t>
      </w:r>
      <w:r w:rsidRPr="00163274">
        <w:rPr>
          <w:rFonts w:eastAsia="Times New Roman" w:cs="Times New Roman"/>
          <w:bCs/>
          <w:i/>
          <w:kern w:val="36"/>
          <w:szCs w:val="27"/>
          <w:lang w:eastAsia="en-GB"/>
        </w:rPr>
        <w:t>in its ethnic and national plurality</w:t>
      </w:r>
      <w:r w:rsidRPr="00163274">
        <w:rPr>
          <w:rFonts w:eastAsia="Times New Roman" w:cs="Times New Roman"/>
          <w:bCs/>
          <w:kern w:val="36"/>
          <w:szCs w:val="27"/>
          <w:lang w:eastAsia="en-GB"/>
        </w:rPr>
        <w:t xml:space="preserve"> … but with the </w:t>
      </w:r>
      <w:r w:rsidRPr="00163274">
        <w:rPr>
          <w:rFonts w:eastAsia="Times New Roman" w:cs="Times New Roman"/>
          <w:bCs/>
          <w:i/>
          <w:kern w:val="36"/>
          <w:szCs w:val="27"/>
          <w:lang w:eastAsia="en-GB"/>
        </w:rPr>
        <w:t>same salvation</w:t>
      </w:r>
      <w:r w:rsidRPr="00163274">
        <w:rPr>
          <w:rFonts w:eastAsia="Times New Roman" w:cs="Times New Roman"/>
          <w:bCs/>
          <w:kern w:val="36"/>
          <w:szCs w:val="27"/>
          <w:lang w:eastAsia="en-GB"/>
        </w:rPr>
        <w:t xml:space="preserve"> given to all </w:t>
      </w:r>
      <w:r w:rsidRPr="00163274">
        <w:rPr>
          <w:rFonts w:eastAsia="Times New Roman" w:cs="Times New Roman"/>
          <w:bCs/>
          <w:i/>
          <w:kern w:val="36"/>
          <w:szCs w:val="27"/>
          <w:lang w:eastAsia="en-GB"/>
        </w:rPr>
        <w:t>without distinction</w:t>
      </w:r>
      <w:r w:rsidRPr="00163274">
        <w:rPr>
          <w:rFonts w:eastAsia="Times New Roman" w:cs="Times New Roman"/>
          <w:bCs/>
          <w:kern w:val="36"/>
          <w:szCs w:val="27"/>
          <w:lang w:eastAsia="en-GB"/>
        </w:rPr>
        <w:t>’.</w:t>
      </w:r>
      <w:r>
        <w:rPr>
          <w:rStyle w:val="EndnoteReference"/>
          <w:rFonts w:eastAsia="Times New Roman" w:cs="Times New Roman"/>
          <w:bCs/>
          <w:kern w:val="36"/>
          <w:szCs w:val="27"/>
          <w:lang w:eastAsia="en-GB"/>
        </w:rPr>
        <w:endnoteReference w:id="1037"/>
      </w:r>
      <w:r w:rsidRPr="00163274">
        <w:rPr>
          <w:rFonts w:eastAsia="Times New Roman" w:cs="Times New Roman"/>
          <w:bCs/>
          <w:kern w:val="36"/>
          <w:szCs w:val="27"/>
          <w:lang w:eastAsia="en-GB"/>
        </w:rPr>
        <w:t xml:space="preserve">  </w:t>
      </w:r>
      <w:r w:rsidRPr="00BC6B71">
        <w:rPr>
          <w:rFonts w:eastAsia="Times New Roman" w:cs="Times New Roman"/>
          <w:bCs/>
          <w:kern w:val="36"/>
          <w:szCs w:val="27"/>
          <w:lang w:eastAsia="en-GB"/>
        </w:rPr>
        <w:t xml:space="preserve">It is particularly significant in this context that </w:t>
      </w:r>
      <w:r w:rsidRPr="00BC6B71">
        <w:rPr>
          <w:rFonts w:eastAsia="Times New Roman" w:cs="Times New Roman"/>
          <w:bCs/>
          <w:i/>
          <w:kern w:val="36"/>
          <w:szCs w:val="27"/>
          <w:lang w:eastAsia="en-GB"/>
        </w:rPr>
        <w:t>SRB</w:t>
      </w:r>
      <w:r w:rsidRPr="00BC6B71">
        <w:rPr>
          <w:rFonts w:eastAsia="Times New Roman" w:cs="Times New Roman"/>
          <w:bCs/>
          <w:kern w:val="36"/>
          <w:szCs w:val="27"/>
          <w:lang w:eastAsia="en-GB"/>
        </w:rPr>
        <w:t xml:space="preserve">, which portrays a much older version of dispensationalism, continues to be </w:t>
      </w:r>
      <w:r w:rsidRPr="00BC6B71">
        <w:rPr>
          <w:rFonts w:eastAsia="Times New Roman" w:cs="Times New Roman"/>
          <w:bCs/>
          <w:i/>
          <w:kern w:val="36"/>
          <w:szCs w:val="27"/>
          <w:lang w:eastAsia="en-GB"/>
        </w:rPr>
        <w:t>OUP</w:t>
      </w:r>
      <w:r w:rsidRPr="00BC6B71">
        <w:rPr>
          <w:rFonts w:eastAsia="Times New Roman" w:cs="Times New Roman"/>
          <w:bCs/>
          <w:kern w:val="36"/>
          <w:szCs w:val="27"/>
          <w:lang w:eastAsia="en-GB"/>
        </w:rPr>
        <w:t>’s best-selling Bible</w:t>
      </w:r>
      <w:r>
        <w:rPr>
          <w:rFonts w:eastAsia="Times New Roman" w:cs="Times New Roman"/>
          <w:bCs/>
          <w:kern w:val="36"/>
          <w:szCs w:val="27"/>
          <w:lang w:eastAsia="en-GB"/>
        </w:rPr>
        <w:t xml:space="preserve"> among American Protestant evangelicals</w:t>
      </w:r>
      <w:r w:rsidRPr="00BC6B71">
        <w:rPr>
          <w:rFonts w:eastAsia="Times New Roman" w:cs="Times New Roman"/>
          <w:bCs/>
          <w:kern w:val="36"/>
          <w:szCs w:val="27"/>
          <w:lang w:eastAsia="en-GB"/>
        </w:rPr>
        <w:t>.</w:t>
      </w:r>
    </w:p>
    <w:p w:rsidR="00442D33" w:rsidRPr="00CB28B5" w:rsidRDefault="00442D33" w:rsidP="00442D33">
      <w:pPr>
        <w:spacing w:after="120" w:line="360" w:lineRule="auto"/>
        <w:jc w:val="both"/>
      </w:pPr>
      <w:proofErr w:type="gramStart"/>
      <w:r>
        <w:rPr>
          <w:rFonts w:eastAsia="Times New Roman" w:cs="Times New Roman"/>
          <w:b/>
          <w:bCs/>
          <w:kern w:val="36"/>
          <w:sz w:val="24"/>
          <w:szCs w:val="27"/>
          <w:lang w:eastAsia="en-GB"/>
        </w:rPr>
        <w:t xml:space="preserve">4.1  </w:t>
      </w:r>
      <w:r w:rsidRPr="009B4DF0">
        <w:rPr>
          <w:rFonts w:eastAsia="Times New Roman" w:cs="Times New Roman"/>
          <w:b/>
          <w:bCs/>
          <w:kern w:val="36"/>
          <w:sz w:val="24"/>
          <w:szCs w:val="27"/>
          <w:lang w:eastAsia="en-GB"/>
        </w:rPr>
        <w:t>Dualism</w:t>
      </w:r>
      <w:proofErr w:type="gramEnd"/>
      <w:r w:rsidRPr="009B4DF0">
        <w:rPr>
          <w:rFonts w:eastAsia="Times New Roman" w:cs="Times New Roman"/>
          <w:b/>
          <w:bCs/>
          <w:kern w:val="36"/>
          <w:sz w:val="24"/>
          <w:szCs w:val="27"/>
          <w:lang w:eastAsia="en-GB"/>
        </w:rPr>
        <w:t xml:space="preserve"> in the </w:t>
      </w:r>
      <w:r w:rsidRPr="007D433B">
        <w:rPr>
          <w:rFonts w:eastAsia="Times New Roman" w:cs="Times New Roman"/>
          <w:b/>
          <w:bCs/>
          <w:i/>
          <w:kern w:val="36"/>
          <w:sz w:val="24"/>
          <w:szCs w:val="27"/>
          <w:lang w:eastAsia="en-GB"/>
        </w:rPr>
        <w:t>Scofield Reference Bible</w:t>
      </w:r>
      <w:r w:rsidR="00593272" w:rsidRPr="00593272">
        <w:rPr>
          <w:rStyle w:val="FootnoteReference"/>
          <w:rFonts w:eastAsia="Times New Roman" w:cs="Times New Roman"/>
          <w:bCs/>
          <w:kern w:val="36"/>
          <w:sz w:val="24"/>
          <w:szCs w:val="27"/>
          <w:lang w:eastAsia="en-GB"/>
        </w:rPr>
        <w:footnoteReference w:id="38"/>
      </w:r>
      <w:r w:rsidR="00593272">
        <w:rPr>
          <w:rFonts w:eastAsia="Times New Roman" w:cs="Times New Roman"/>
          <w:b/>
          <w:bCs/>
          <w:i/>
          <w:kern w:val="36"/>
          <w:sz w:val="24"/>
          <w:szCs w:val="27"/>
          <w:lang w:eastAsia="en-GB"/>
        </w:rPr>
        <w:t xml:space="preserve"> </w:t>
      </w:r>
    </w:p>
    <w:p w:rsidR="00442D33" w:rsidRPr="00FD3F8D" w:rsidRDefault="00442D33" w:rsidP="00442D33">
      <w:pPr>
        <w:spacing w:after="120" w:line="360" w:lineRule="auto"/>
        <w:ind w:right="-28"/>
        <w:jc w:val="both"/>
      </w:pPr>
      <w:r>
        <w:rPr>
          <w:color w:val="000000"/>
        </w:rPr>
        <w:t>T</w:t>
      </w:r>
      <w:r w:rsidRPr="005C7FD5">
        <w:rPr>
          <w:color w:val="000000"/>
        </w:rPr>
        <w:t xml:space="preserve">he </w:t>
      </w:r>
      <w:r>
        <w:rPr>
          <w:color w:val="000000"/>
        </w:rPr>
        <w:t>eternal dichotomy</w:t>
      </w:r>
      <w:r w:rsidRPr="005C7FD5">
        <w:rPr>
          <w:color w:val="000000"/>
        </w:rPr>
        <w:t xml:space="preserve"> between Israel and the Church, God’s earthly and heavenly people, is Scofield’s most important </w:t>
      </w:r>
      <w:r>
        <w:rPr>
          <w:color w:val="000000"/>
        </w:rPr>
        <w:t>foundational</w:t>
      </w:r>
      <w:r w:rsidRPr="005C7FD5">
        <w:rPr>
          <w:color w:val="000000"/>
        </w:rPr>
        <w:t xml:space="preserve"> theme.  It underpins his whole eschatology and engenders his tenet that, because God’s promises to Israel were earthly, so must they be fulfilled on earth in the establishment of an earthly kingdom in the land promised to Abraham and his descendants</w:t>
      </w:r>
      <w:r w:rsidRPr="006C2B0A">
        <w:t>.  God’s covenants with Israel have never been rescinded and must be fulfilled; the Abrahamic, Palestinian and Davidic Covenants are especially important for the future of Israel.  The Gospel does not negate the covenant promises to Israel.</w:t>
      </w:r>
      <w:r w:rsidRPr="006C2B0A">
        <w:rPr>
          <w:rStyle w:val="EndnoteReference"/>
        </w:rPr>
        <w:endnoteReference w:id="1038"/>
      </w:r>
      <w:r w:rsidRPr="006C2B0A">
        <w:t xml:space="preserve">  </w:t>
      </w:r>
      <w:r w:rsidRPr="00B241FF">
        <w:t>Contrary to Roman Catholic theology, inherited by some Protestant thought, the Church is not the true Israel and the Old Testament preview of the kingdom is not fulfilled in it; the ‘house of Jacob’ cannot be assumed to be ‘the Church composed of Jew and Gentile’.</w:t>
      </w:r>
      <w:r w:rsidRPr="00B241FF">
        <w:rPr>
          <w:rStyle w:val="EndnoteReference"/>
        </w:rPr>
        <w:endnoteReference w:id="1039"/>
      </w:r>
      <w:r w:rsidRPr="00B241FF">
        <w:t xml:space="preserve">  Nor are the promises to Israel fulfilled in a spiritual sense in the Church, but are to be fulfilled by the dead and risen Christ, seated on his throne.  </w:t>
      </w:r>
      <w:r w:rsidRPr="003A2D2D">
        <w:t>Israel’s moral decline led to the captivities and to current dispersion but, in the seventh dispensation, Israel is to be restored to the land, as promised to Abraham; at that time it will receive exaltation and blessing in the earthly millennial kingdom.</w:t>
      </w:r>
      <w:r w:rsidRPr="00B241FF">
        <w:rPr>
          <w:rStyle w:val="EndnoteReference"/>
        </w:rPr>
        <w:endnoteReference w:id="1040"/>
      </w:r>
      <w:r w:rsidRPr="00AF189F">
        <w:rPr>
          <w:color w:val="31849B" w:themeColor="accent5" w:themeShade="BF"/>
        </w:rPr>
        <w:t xml:space="preserve"> </w:t>
      </w:r>
    </w:p>
    <w:p w:rsidR="00442D33" w:rsidRPr="00163274" w:rsidRDefault="00442D33" w:rsidP="00442D33">
      <w:pPr>
        <w:spacing w:after="120" w:line="360" w:lineRule="auto"/>
        <w:ind w:firstLine="567"/>
        <w:jc w:val="both"/>
        <w:rPr>
          <w:rFonts w:eastAsia="Times New Roman" w:cs="Times New Roman"/>
          <w:bCs/>
          <w:kern w:val="36"/>
          <w:szCs w:val="27"/>
          <w:lang w:eastAsia="en-GB"/>
        </w:rPr>
      </w:pPr>
      <w:r>
        <w:rPr>
          <w:rFonts w:eastAsia="Times New Roman" w:cs="Times New Roman"/>
          <w:bCs/>
          <w:kern w:val="36"/>
          <w:szCs w:val="27"/>
          <w:lang w:eastAsia="en-GB"/>
        </w:rPr>
        <w:t xml:space="preserve">In </w:t>
      </w:r>
      <w:r w:rsidRPr="00892C48">
        <w:rPr>
          <w:rFonts w:eastAsia="Times New Roman" w:cs="Times New Roman"/>
          <w:bCs/>
          <w:i/>
          <w:kern w:val="36"/>
          <w:szCs w:val="27"/>
          <w:lang w:eastAsia="en-GB"/>
        </w:rPr>
        <w:t>Rightly Dividing the Word of Truth</w:t>
      </w:r>
      <w:r>
        <w:rPr>
          <w:rFonts w:eastAsia="Times New Roman" w:cs="Times New Roman"/>
          <w:bCs/>
          <w:kern w:val="36"/>
          <w:szCs w:val="27"/>
          <w:lang w:eastAsia="en-GB"/>
        </w:rPr>
        <w:t xml:space="preserve">, </w:t>
      </w:r>
      <w:r w:rsidRPr="00163274">
        <w:rPr>
          <w:rFonts w:eastAsia="Times New Roman" w:cs="Times New Roman"/>
          <w:bCs/>
          <w:kern w:val="36"/>
          <w:szCs w:val="27"/>
          <w:lang w:eastAsia="en-GB"/>
        </w:rPr>
        <w:t xml:space="preserve">Scofield </w:t>
      </w:r>
      <w:r w:rsidRPr="008914ED">
        <w:rPr>
          <w:rFonts w:eastAsia="Times New Roman" w:cs="Times New Roman"/>
          <w:bCs/>
          <w:kern w:val="36"/>
          <w:szCs w:val="27"/>
          <w:lang w:eastAsia="en-GB"/>
        </w:rPr>
        <w:t>identifies the Israelites</w:t>
      </w:r>
      <w:r w:rsidRPr="00163274">
        <w:rPr>
          <w:rFonts w:eastAsia="Times New Roman" w:cs="Times New Roman"/>
          <w:bCs/>
          <w:kern w:val="36"/>
          <w:szCs w:val="27"/>
          <w:lang w:eastAsia="en-GB"/>
        </w:rPr>
        <w:t xml:space="preserve"> as ‘having a very </w:t>
      </w:r>
      <w:r w:rsidRPr="00163274">
        <w:rPr>
          <w:rFonts w:eastAsia="Times New Roman" w:cs="Times New Roman"/>
          <w:bCs/>
          <w:i/>
          <w:kern w:val="36"/>
          <w:szCs w:val="27"/>
          <w:lang w:eastAsia="en-GB"/>
        </w:rPr>
        <w:t>distinct</w:t>
      </w:r>
      <w:r w:rsidRPr="00163274">
        <w:rPr>
          <w:rFonts w:eastAsia="Times New Roman" w:cs="Times New Roman"/>
          <w:bCs/>
          <w:kern w:val="36"/>
          <w:szCs w:val="27"/>
          <w:lang w:eastAsia="en-GB"/>
        </w:rPr>
        <w:t xml:space="preserve"> place in the dealings and counsels of God’, recipients of ‘specific promises not given to any other nation’.  He also states that it seems that ‘all the communications of Jehovah to Israel </w:t>
      </w:r>
      <w:r w:rsidRPr="00163274">
        <w:rPr>
          <w:rFonts w:eastAsia="Times New Roman" w:cs="Times New Roman"/>
          <w:bCs/>
          <w:i/>
          <w:kern w:val="36"/>
          <w:szCs w:val="27"/>
          <w:lang w:eastAsia="en-GB"/>
        </w:rPr>
        <w:t>as a nation</w:t>
      </w:r>
      <w:r w:rsidRPr="00163274">
        <w:rPr>
          <w:rFonts w:eastAsia="Times New Roman" w:cs="Times New Roman"/>
          <w:bCs/>
          <w:kern w:val="36"/>
          <w:szCs w:val="27"/>
          <w:lang w:eastAsia="en-GB"/>
        </w:rPr>
        <w:t xml:space="preserve"> relate to the Earth’.  The Church is ‘another distinct body’, with ‘a peculiar relation to God’ and ‘specific promises’ from God.  Comparing ‘what is said in Scripture concerning Israel and the Church … in origin, calling, promise, </w:t>
      </w:r>
      <w:r w:rsidRPr="00163274">
        <w:rPr>
          <w:rFonts w:eastAsia="Times New Roman" w:cs="Times New Roman"/>
          <w:bCs/>
          <w:kern w:val="36"/>
          <w:szCs w:val="27"/>
          <w:lang w:eastAsia="en-GB"/>
        </w:rPr>
        <w:lastRenderedPageBreak/>
        <w:t>worship, principles of conduct, and future destiny – all is contrast’.</w:t>
      </w:r>
      <w:r>
        <w:rPr>
          <w:rStyle w:val="EndnoteReference"/>
          <w:rFonts w:eastAsia="Times New Roman" w:cs="Times New Roman"/>
          <w:bCs/>
          <w:kern w:val="36"/>
          <w:szCs w:val="27"/>
          <w:lang w:eastAsia="en-GB"/>
        </w:rPr>
        <w:endnoteReference w:id="1041"/>
      </w:r>
      <w:r w:rsidRPr="00163274">
        <w:rPr>
          <w:rFonts w:eastAsia="Times New Roman" w:cs="Times New Roman"/>
          <w:bCs/>
          <w:kern w:val="36"/>
          <w:szCs w:val="27"/>
          <w:lang w:eastAsia="en-GB"/>
        </w:rPr>
        <w:t xml:space="preserve">  In </w:t>
      </w:r>
      <w:r w:rsidRPr="00163274">
        <w:rPr>
          <w:rFonts w:eastAsia="Times New Roman" w:cs="Times New Roman"/>
          <w:bCs/>
          <w:i/>
          <w:kern w:val="36"/>
          <w:szCs w:val="27"/>
          <w:lang w:eastAsia="en-GB"/>
        </w:rPr>
        <w:t>SRB</w:t>
      </w:r>
      <w:r w:rsidRPr="00163274">
        <w:rPr>
          <w:rFonts w:eastAsia="Times New Roman" w:cs="Times New Roman"/>
          <w:bCs/>
          <w:kern w:val="36"/>
          <w:szCs w:val="27"/>
          <w:lang w:eastAsia="en-GB"/>
        </w:rPr>
        <w:t>, there are references to the dichotomy between Israel and the Church throughout Scofield’s commentary.</w:t>
      </w:r>
      <w:r>
        <w:rPr>
          <w:rStyle w:val="EndnoteReference"/>
          <w:rFonts w:eastAsia="Times New Roman" w:cs="Times New Roman"/>
          <w:bCs/>
          <w:kern w:val="36"/>
          <w:szCs w:val="27"/>
          <w:lang w:eastAsia="en-GB"/>
        </w:rPr>
        <w:endnoteReference w:id="1042"/>
      </w:r>
      <w:r w:rsidRPr="00163274">
        <w:rPr>
          <w:rFonts w:eastAsia="Times New Roman" w:cs="Times New Roman"/>
          <w:bCs/>
          <w:kern w:val="36"/>
          <w:szCs w:val="27"/>
          <w:lang w:eastAsia="en-GB"/>
        </w:rPr>
        <w:t xml:space="preserve">  </w:t>
      </w:r>
    </w:p>
    <w:p w:rsidR="00442D33" w:rsidRPr="008914ED" w:rsidRDefault="00442D33" w:rsidP="00442D33">
      <w:pPr>
        <w:spacing w:after="120" w:line="360" w:lineRule="auto"/>
        <w:ind w:right="-28" w:firstLine="567"/>
        <w:jc w:val="both"/>
      </w:pPr>
      <w:r w:rsidRPr="005C7FD5">
        <w:rPr>
          <w:color w:val="000000"/>
        </w:rPr>
        <w:t>From Genesis 5 onwards, Scofield posits the existence of two separate peoples of God</w:t>
      </w:r>
      <w:r>
        <w:rPr>
          <w:color w:val="000000"/>
        </w:rPr>
        <w:t xml:space="preserve">; </w:t>
      </w:r>
      <w:r w:rsidRPr="008914ED">
        <w:t>the note on Gen. 5:22 makes an important initial contribution to Scofield’s concept of the separation of ‘the Jewish people’ from ‘those saints who are to be translated before the apocalyptic judgments, that is, the Church’.  This is the first time that Scofield refers to ‘the Jewish people’ as ‘an earthly people to be brought to the new heaven and earth’.</w:t>
      </w:r>
      <w:r w:rsidRPr="008914ED">
        <w:rPr>
          <w:rStyle w:val="EndnoteReference"/>
        </w:rPr>
        <w:endnoteReference w:id="1043"/>
      </w:r>
      <w:r w:rsidRPr="008914ED">
        <w:t xml:space="preserve">  Although Scofield does not here mention the eternity dichotomy which he posits between God’s earthly and heavenly peoples, Israel and the Church, the seed is sown for the development of this concept, which is further implied in Scofield’s note on Gen. 15:18.</w:t>
      </w:r>
      <w:r w:rsidRPr="008914ED">
        <w:rPr>
          <w:rStyle w:val="EndnoteReference"/>
        </w:rPr>
        <w:endnoteReference w:id="1044"/>
      </w:r>
      <w:r w:rsidRPr="008914ED">
        <w:t xml:space="preserve">  </w:t>
      </w:r>
    </w:p>
    <w:p w:rsidR="00442D33" w:rsidRDefault="00442D33" w:rsidP="00442D33">
      <w:pPr>
        <w:spacing w:after="120" w:line="360" w:lineRule="auto"/>
        <w:ind w:right="-28" w:firstLine="567"/>
        <w:jc w:val="both"/>
        <w:rPr>
          <w:color w:val="000000"/>
        </w:rPr>
      </w:pPr>
      <w:r w:rsidRPr="001D7F4F">
        <w:t>Noah is ‘a type of the Jewish people’ who will be ‘brought as an earthly people to the new heaven and new earth’,</w:t>
      </w:r>
      <w:r w:rsidRPr="001D7F4F">
        <w:rPr>
          <w:rStyle w:val="EndnoteReference"/>
        </w:rPr>
        <w:endnoteReference w:id="1045"/>
      </w:r>
      <w:r w:rsidRPr="001D7F4F">
        <w:t xml:space="preserve"> and a type of ‘the Israelitish people who will be preserved through the tribulation’.</w:t>
      </w:r>
      <w:r w:rsidRPr="001D7F4F">
        <w:rPr>
          <w:rStyle w:val="EndnoteReference"/>
        </w:rPr>
        <w:endnoteReference w:id="1046"/>
      </w:r>
      <w:r w:rsidRPr="001D7F4F">
        <w:t xml:space="preserve">  </w:t>
      </w:r>
      <w:r w:rsidRPr="002970D7">
        <w:t>The note on Gen. 11:10, concerning the descendants of Shem, also supports Scofield’s tenet concerning the separation of Jew from Gentile.  Genesis 11 and 12 ‘mark an important turning point in the divine dealing’; Scofield claims that, up to this point, ‘the history has concerned the whole Adamic race’, with ‘neither Jew nor Gentile’.  He describes this as ‘a vast stream’.  However, ‘in the call of Abraham and the creation of the nation of Israel’, God drew off ‘a slender rill, through which He may at last purify the great river itself’.</w:t>
      </w:r>
      <w:r w:rsidRPr="002970D7">
        <w:rPr>
          <w:rStyle w:val="EndnoteReference"/>
        </w:rPr>
        <w:endnoteReference w:id="1047"/>
      </w:r>
      <w:r w:rsidRPr="002970D7">
        <w:t xml:space="preserve">  Here Scofield refers in a single sentence to ‘the call of Abram and the creation of the nation of Israel’, stating that ‘from Genesis 12 to Mt. 12:45,</w:t>
      </w:r>
      <w:r w:rsidRPr="002970D7">
        <w:rPr>
          <w:rStyle w:val="FootnoteReference"/>
        </w:rPr>
        <w:footnoteReference w:id="39"/>
      </w:r>
      <w:r w:rsidRPr="002970D7">
        <w:t xml:space="preserve"> the Scriptures have primarily in view Israel … though again and again the universality of the ultimate divine intent breaks into view’.</w:t>
      </w:r>
      <w:r w:rsidRPr="002970D7">
        <w:rPr>
          <w:rStyle w:val="EndnoteReference"/>
        </w:rPr>
        <w:endnoteReference w:id="1048"/>
      </w:r>
      <w:r w:rsidRPr="002970D7">
        <w:t xml:space="preserve">  Scofield does not explain why any change in the situation occurs at that point in Matthew or why the other gospels are not given similar weight.  This note also establishes Scofield’s assertion of the divine calling of Israel to witness to the one God, to receive divine revelation and ‘</w:t>
      </w:r>
      <w:r w:rsidRPr="00171898">
        <w:t>to produce the Messiah’,</w:t>
      </w:r>
      <w:r w:rsidRPr="00171898">
        <w:rPr>
          <w:rStyle w:val="EndnoteReference"/>
        </w:rPr>
        <w:endnoteReference w:id="1049"/>
      </w:r>
      <w:r w:rsidRPr="002970D7">
        <w:t xml:space="preserve"> even though Israel was, at this time, an anachronistic term, as was the term, ‘Jew’.  Scofield ignores the fact that that the name</w:t>
      </w:r>
      <w:r>
        <w:t>, ‘Israel’ does not occur until Gen. 32:28.</w:t>
      </w:r>
      <w:r>
        <w:rPr>
          <w:rStyle w:val="FootnoteReference"/>
          <w:color w:val="000000"/>
        </w:rPr>
        <w:footnoteReference w:id="40"/>
      </w:r>
      <w:r>
        <w:rPr>
          <w:color w:val="000000"/>
        </w:rPr>
        <w:t xml:space="preserve">   </w:t>
      </w:r>
    </w:p>
    <w:p w:rsidR="00442D33" w:rsidRDefault="00442D33" w:rsidP="00442D33">
      <w:pPr>
        <w:spacing w:after="120" w:line="360" w:lineRule="auto"/>
        <w:ind w:right="-28" w:firstLine="567"/>
        <w:jc w:val="both"/>
      </w:pPr>
      <w:r w:rsidRPr="005C7FD5">
        <w:t xml:space="preserve">Scofield reinforces the idea </w:t>
      </w:r>
      <w:r w:rsidRPr="00722DF2">
        <w:t>of division between</w:t>
      </w:r>
      <w:r w:rsidRPr="005C7FD5">
        <w:t xml:space="preserve"> peoples in two subheads: </w:t>
      </w:r>
      <w:r>
        <w:t>‘</w:t>
      </w:r>
      <w:r w:rsidRPr="005C7FD5">
        <w:t>The Abrahamic Covenant: the land given; natural posterity promised’</w:t>
      </w:r>
      <w:r w:rsidRPr="005C7FD5">
        <w:rPr>
          <w:rStyle w:val="EndnoteReference"/>
        </w:rPr>
        <w:endnoteReference w:id="1050"/>
      </w:r>
      <w:r w:rsidRPr="005C7FD5">
        <w:t xml:space="preserve"> and ‘The Abrahamic Covenant confirmed: a spiritual seed promised’.</w:t>
      </w:r>
      <w:r w:rsidRPr="005C7FD5">
        <w:rPr>
          <w:rStyle w:val="EndnoteReference"/>
        </w:rPr>
        <w:endnoteReference w:id="1051"/>
      </w:r>
      <w:r>
        <w:t xml:space="preserve">  </w:t>
      </w:r>
      <w:r w:rsidRPr="005C7FD5">
        <w:rPr>
          <w:color w:val="000000"/>
        </w:rPr>
        <w:t xml:space="preserve">Regarding God’s promise that he will make of Abram a great nation, Scofield asserts that </w:t>
      </w:r>
      <w:r w:rsidRPr="00CF78D9">
        <w:t>Abram’s natural posterity is ‘the dust of the earth’,</w:t>
      </w:r>
      <w:r w:rsidRPr="00CF78D9">
        <w:rPr>
          <w:rStyle w:val="EndnoteReference"/>
        </w:rPr>
        <w:endnoteReference w:id="1052"/>
      </w:r>
      <w:r w:rsidRPr="00CF78D9">
        <w:t xml:space="preserve"> that is, ‘the Hebrew people’, whereas the phrase, ‘in a spiritual posterity – look now toward heaven … so shall thy seed be,’</w:t>
      </w:r>
      <w:r w:rsidRPr="00CF78D9">
        <w:rPr>
          <w:rStyle w:val="EndnoteReference"/>
        </w:rPr>
        <w:endnoteReference w:id="1053"/>
      </w:r>
      <w:r w:rsidRPr="00CF78D9">
        <w:t xml:space="preserve"> indicates ‘all men of faith, Jew and Gentile’.</w:t>
      </w:r>
      <w:r w:rsidRPr="00CF78D9">
        <w:rPr>
          <w:rStyle w:val="EndnoteReference"/>
        </w:rPr>
        <w:endnoteReference w:id="1054"/>
      </w:r>
      <w:r w:rsidRPr="00CF78D9">
        <w:t xml:space="preserve">  </w:t>
      </w:r>
      <w:r w:rsidRPr="005C7FD5">
        <w:rPr>
          <w:color w:val="000000"/>
        </w:rPr>
        <w:t xml:space="preserve">Scofield’s distinction between earthly and heavenly descendants of Abraham is presumably based on his idiosyncratic interpretation of God’s promise to Abram/Abraham and to Jacob in </w:t>
      </w:r>
      <w:r w:rsidRPr="005C7FD5">
        <w:rPr>
          <w:color w:val="000000"/>
        </w:rPr>
        <w:lastRenderedPageBreak/>
        <w:t>Gen. 13:16</w:t>
      </w:r>
      <w:r w:rsidRPr="005C7FD5">
        <w:rPr>
          <w:rStyle w:val="FootnoteReference"/>
          <w:color w:val="000000"/>
        </w:rPr>
        <w:footnoteReference w:id="41"/>
      </w:r>
      <w:r w:rsidRPr="005C7FD5">
        <w:rPr>
          <w:color w:val="000000"/>
        </w:rPr>
        <w:t xml:space="preserve"> and 28:14,</w:t>
      </w:r>
      <w:r w:rsidRPr="005C7FD5">
        <w:rPr>
          <w:rStyle w:val="FootnoteReference"/>
          <w:color w:val="000000"/>
        </w:rPr>
        <w:footnoteReference w:id="42"/>
      </w:r>
      <w:r w:rsidRPr="005C7FD5">
        <w:rPr>
          <w:color w:val="000000"/>
        </w:rPr>
        <w:t xml:space="preserve"> </w:t>
      </w:r>
      <w:r>
        <w:rPr>
          <w:color w:val="000000"/>
        </w:rPr>
        <w:t xml:space="preserve">where the </w:t>
      </w:r>
      <w:r w:rsidRPr="005C7FD5">
        <w:rPr>
          <w:color w:val="000000"/>
        </w:rPr>
        <w:t xml:space="preserve">progeny </w:t>
      </w:r>
      <w:r>
        <w:rPr>
          <w:color w:val="000000"/>
        </w:rPr>
        <w:t>is described ‘as the dust of the earth’</w:t>
      </w:r>
      <w:r w:rsidRPr="005C7FD5">
        <w:rPr>
          <w:color w:val="000000"/>
        </w:rPr>
        <w:t>; in 15:5,</w:t>
      </w:r>
      <w:r w:rsidRPr="005C7FD5">
        <w:rPr>
          <w:rStyle w:val="FootnoteReference"/>
          <w:color w:val="000000"/>
        </w:rPr>
        <w:footnoteReference w:id="43"/>
      </w:r>
      <w:r w:rsidRPr="005C7FD5">
        <w:rPr>
          <w:color w:val="000000"/>
        </w:rPr>
        <w:t xml:space="preserve"> and 26:4</w:t>
      </w:r>
      <w:r w:rsidRPr="005C7FD5">
        <w:rPr>
          <w:rStyle w:val="FootnoteReference"/>
          <w:color w:val="000000"/>
        </w:rPr>
        <w:footnoteReference w:id="44"/>
      </w:r>
      <w:r w:rsidRPr="005C7FD5">
        <w:rPr>
          <w:color w:val="000000"/>
        </w:rPr>
        <w:t xml:space="preserve"> </w:t>
      </w:r>
      <w:r>
        <w:rPr>
          <w:color w:val="000000"/>
        </w:rPr>
        <w:t xml:space="preserve">where the </w:t>
      </w:r>
      <w:r w:rsidRPr="005C7FD5">
        <w:rPr>
          <w:color w:val="000000"/>
        </w:rPr>
        <w:t xml:space="preserve">progeny </w:t>
      </w:r>
      <w:r>
        <w:rPr>
          <w:color w:val="000000"/>
        </w:rPr>
        <w:t xml:space="preserve">is described </w:t>
      </w:r>
      <w:r w:rsidRPr="005C7FD5">
        <w:rPr>
          <w:color w:val="000000"/>
        </w:rPr>
        <w:t>‘as the stars’; and in 22:17,</w:t>
      </w:r>
      <w:r w:rsidRPr="005C7FD5">
        <w:rPr>
          <w:rStyle w:val="FootnoteReference"/>
          <w:color w:val="000000"/>
        </w:rPr>
        <w:footnoteReference w:id="45"/>
      </w:r>
      <w:r w:rsidRPr="005C7FD5">
        <w:rPr>
          <w:color w:val="000000"/>
        </w:rPr>
        <w:t xml:space="preserve"> </w:t>
      </w:r>
      <w:r>
        <w:rPr>
          <w:color w:val="000000"/>
        </w:rPr>
        <w:t xml:space="preserve">where </w:t>
      </w:r>
      <w:r w:rsidRPr="005C7FD5">
        <w:rPr>
          <w:color w:val="000000"/>
        </w:rPr>
        <w:t>both sand and stars</w:t>
      </w:r>
      <w:r>
        <w:rPr>
          <w:color w:val="000000"/>
        </w:rPr>
        <w:t xml:space="preserve"> are mentioned</w:t>
      </w:r>
      <w:r w:rsidRPr="005C7FD5">
        <w:rPr>
          <w:color w:val="000000"/>
        </w:rPr>
        <w:t>.  In each of these verses a comparison with either dust or stars is made but in none of them is there any intimation of different kinds of descendants or mention of any spiritual dimension.  In Deut. 1:10, Moses states, ‘</w:t>
      </w:r>
      <w:r w:rsidRPr="005C7FD5">
        <w:rPr>
          <w:lang w:val="en-US"/>
        </w:rPr>
        <w:t xml:space="preserve">The LORD your God hath multiplied you, and, behold, ye </w:t>
      </w:r>
      <w:r w:rsidRPr="005C7FD5">
        <w:rPr>
          <w:i/>
          <w:iCs/>
          <w:lang w:val="en-US"/>
        </w:rPr>
        <w:t>are</w:t>
      </w:r>
      <w:r w:rsidRPr="005C7FD5">
        <w:rPr>
          <w:lang w:val="en-US"/>
        </w:rPr>
        <w:t xml:space="preserve"> this day as the </w:t>
      </w:r>
      <w:r w:rsidRPr="005C7FD5">
        <w:rPr>
          <w:color w:val="000000"/>
          <w:lang w:val="en-US"/>
        </w:rPr>
        <w:t>stars of heaven for multitude.’  Moses here addresses the Israelites on the border of Canaan and cannot possibly be imagined to be addressing ‘men of faith, Jew and Gentile’.  The same objection applies to several other texts; none of these bears comment from Scofield.</w:t>
      </w:r>
      <w:r w:rsidRPr="005C7FD5">
        <w:rPr>
          <w:rStyle w:val="FootnoteReference"/>
          <w:color w:val="000000"/>
          <w:lang w:val="en-US"/>
        </w:rPr>
        <w:footnoteReference w:id="46"/>
      </w:r>
      <w:r w:rsidRPr="005C7FD5">
        <w:rPr>
          <w:color w:val="000000"/>
          <w:lang w:val="en-US"/>
        </w:rPr>
        <w:t xml:space="preserve">  </w:t>
      </w:r>
      <w:r w:rsidRPr="005C7FD5">
        <w:rPr>
          <w:color w:val="000000"/>
        </w:rPr>
        <w:t>1 Chronicles 27:23 plainly states that it was Israel whom God had promised to increase like stars.</w:t>
      </w:r>
      <w:r w:rsidRPr="005C7FD5">
        <w:rPr>
          <w:rStyle w:val="FootnoteReference"/>
          <w:color w:val="000000"/>
        </w:rPr>
        <w:footnoteReference w:id="47"/>
      </w:r>
      <w:r w:rsidRPr="005C7FD5">
        <w:rPr>
          <w:color w:val="000000"/>
        </w:rPr>
        <w:t xml:space="preserve">  </w:t>
      </w:r>
      <w:r w:rsidRPr="005C7FD5">
        <w:rPr>
          <w:color w:val="000000"/>
          <w:lang w:val="en-US"/>
        </w:rPr>
        <w:t xml:space="preserve">It seems that, to serve his thesis, </w:t>
      </w:r>
      <w:r w:rsidRPr="005C7FD5">
        <w:rPr>
          <w:color w:val="000000"/>
        </w:rPr>
        <w:t>Scofield is importing Paul’s arguments in Romans 9 and Galatians 3, where Abraham’s physical and spiritual descendants are distinguished, but not in terms of dust, sand or stars.</w:t>
      </w:r>
      <w:r>
        <w:rPr>
          <w:color w:val="000000"/>
        </w:rPr>
        <w:t xml:space="preserve">  </w:t>
      </w:r>
      <w:r>
        <w:t>It is significant that two later versions of the Scofield Reference Bible, published in 1967</w:t>
      </w:r>
      <w:r>
        <w:rPr>
          <w:rStyle w:val="EndnoteReference"/>
        </w:rPr>
        <w:endnoteReference w:id="1055"/>
      </w:r>
      <w:r>
        <w:t xml:space="preserve"> and 2003,</w:t>
      </w:r>
      <w:r>
        <w:rPr>
          <w:rStyle w:val="EndnoteReference"/>
        </w:rPr>
        <w:endnoteReference w:id="1056"/>
      </w:r>
      <w:r>
        <w:t xml:space="preserve"> do not repeat </w:t>
      </w:r>
      <w:r w:rsidRPr="004B78A6">
        <w:rPr>
          <w:i/>
        </w:rPr>
        <w:t>SRB</w:t>
      </w:r>
      <w:r>
        <w:t>’s analogies.</w:t>
      </w:r>
    </w:p>
    <w:p w:rsidR="00442D33" w:rsidRPr="005C7FD5" w:rsidRDefault="00442D33" w:rsidP="00442D33">
      <w:pPr>
        <w:spacing w:after="120" w:line="360" w:lineRule="auto"/>
        <w:ind w:right="-28" w:firstLine="567"/>
        <w:jc w:val="both"/>
        <w:rPr>
          <w:color w:val="000000"/>
        </w:rPr>
      </w:pPr>
      <w:r>
        <w:t xml:space="preserve">There is a further dualistic reference in Genesis where Scofield states that the listing of the kings of Edom before those of Israel is an indication that ‘first things are “natural,” man’s best, and always fail; second things are “spiritual,” God’s things, and succeed.’  Analogies are drawn between ‘Adam and Christ; Cain and Abel; Cain’s posterity and Seth’s posterity; Saul and David. </w:t>
      </w:r>
      <w:proofErr w:type="gramStart"/>
      <w:r>
        <w:t>Israel and the true Church’.</w:t>
      </w:r>
      <w:proofErr w:type="gramEnd"/>
      <w:r>
        <w:rPr>
          <w:rStyle w:val="EndnoteReference"/>
        </w:rPr>
        <w:endnoteReference w:id="1057"/>
      </w:r>
    </w:p>
    <w:p w:rsidR="00442D33" w:rsidRPr="005C7FD5" w:rsidRDefault="00442D33" w:rsidP="00442D33">
      <w:pPr>
        <w:spacing w:after="120" w:line="360" w:lineRule="auto"/>
        <w:ind w:right="-29" w:firstLine="500"/>
        <w:jc w:val="both"/>
      </w:pPr>
      <w:r w:rsidRPr="005C7FD5">
        <w:rPr>
          <w:color w:val="000000"/>
        </w:rPr>
        <w:t xml:space="preserve">Three subheads to Leviticus </w:t>
      </w:r>
      <w:r>
        <w:rPr>
          <w:color w:val="000000"/>
        </w:rPr>
        <w:t xml:space="preserve">all </w:t>
      </w:r>
      <w:r w:rsidRPr="005C7FD5">
        <w:rPr>
          <w:color w:val="000000"/>
        </w:rPr>
        <w:t>read, ‘</w:t>
      </w:r>
      <w:r>
        <w:rPr>
          <w:color w:val="000000"/>
        </w:rPr>
        <w:t>T</w:t>
      </w:r>
      <w:r w:rsidRPr="005C7FD5">
        <w:rPr>
          <w:color w:val="000000"/>
        </w:rPr>
        <w:t>he relationships and walk of God’s earthly people’;</w:t>
      </w:r>
      <w:r w:rsidRPr="005C7FD5">
        <w:rPr>
          <w:rStyle w:val="EndnoteReference"/>
          <w:color w:val="000000"/>
        </w:rPr>
        <w:endnoteReference w:id="1058"/>
      </w:r>
      <w:r w:rsidRPr="005C7FD5">
        <w:rPr>
          <w:color w:val="000000"/>
        </w:rPr>
        <w:t xml:space="preserve"> </w:t>
      </w:r>
      <w:r>
        <w:rPr>
          <w:color w:val="000000"/>
        </w:rPr>
        <w:t xml:space="preserve">and </w:t>
      </w:r>
      <w:r w:rsidRPr="005C7FD5">
        <w:rPr>
          <w:color w:val="000000"/>
        </w:rPr>
        <w:t>God’s earthly people are to be blessed in connection with the Davidic monarchy.</w:t>
      </w:r>
      <w:r w:rsidRPr="005C7FD5">
        <w:rPr>
          <w:rStyle w:val="EndnoteReference"/>
          <w:color w:val="000000"/>
        </w:rPr>
        <w:endnoteReference w:id="1059"/>
      </w:r>
      <w:r w:rsidRPr="005C7FD5">
        <w:rPr>
          <w:color w:val="000000"/>
        </w:rPr>
        <w:t xml:space="preserve">  Scofield makes a stark distinction between the ‘earthly’ and ‘heavenly’ peoples in his introduction to the Psalms; </w:t>
      </w:r>
      <w:r w:rsidRPr="00C14246">
        <w:t xml:space="preserve">Israel’s cry for justice in the imprecatory Psalms is appropriate in ‘the earthly people of God and based upon a distinct promise in the Abrahamic Covenant’ (unspecified) but unsuitable for the Church as ‘a heavenly people who </w:t>
      </w:r>
      <w:r w:rsidRPr="00C14246">
        <w:lastRenderedPageBreak/>
        <w:t>have taken their place with a rejected and crucified Christ’.</w:t>
      </w:r>
      <w:r w:rsidRPr="005C7FD5">
        <w:rPr>
          <w:rStyle w:val="EndnoteReference"/>
        </w:rPr>
        <w:endnoteReference w:id="1060"/>
      </w:r>
      <w:r w:rsidRPr="005C7FD5">
        <w:t xml:space="preserve">  Scofield here draws an unjustifiable distinction between the human natures of Jews and believers and fails to explain how, if such a dichotomy exists, the imprecatory Psalms remain within the Christian canon.</w:t>
      </w:r>
      <w:r w:rsidRPr="005C7FD5">
        <w:rPr>
          <w:i/>
        </w:rPr>
        <w:t xml:space="preserve">  </w:t>
      </w:r>
      <w:r w:rsidRPr="005C7FD5">
        <w:t>Scofield claims that Moses prayed for an earthly people whose dangers and blessings were earthly</w:t>
      </w:r>
      <w:r>
        <w:t>,</w:t>
      </w:r>
      <w:r w:rsidRPr="005C7FD5">
        <w:t xml:space="preserve"> whereas Paul prayed for a heavenly people whose dangers and blessings were spiritual;</w:t>
      </w:r>
      <w:r w:rsidRPr="005C7FD5">
        <w:rPr>
          <w:rStyle w:val="EndnoteReference"/>
        </w:rPr>
        <w:endnoteReference w:id="1061"/>
      </w:r>
      <w:r w:rsidRPr="005C7FD5">
        <w:t xml:space="preserve"> he also differentiates between the ‘last days’ for Israel and the Church.</w:t>
      </w:r>
      <w:r>
        <w:t xml:space="preserve"> The “last days” as related to Israel are the days of Israel’s exaltation and blessing … synonymous with the kingdom age’ whereas ‘the “last days” as related to the church began with the advent of Christ</w:t>
      </w:r>
      <w:r>
        <w:rPr>
          <w:rStyle w:val="EndnoteReference"/>
        </w:rPr>
        <w:endnoteReference w:id="1062"/>
      </w:r>
      <w:r>
        <w:t xml:space="preserve"> but have special reference to the time of declension and apostasy at the end of this age’.</w:t>
      </w:r>
      <w:r>
        <w:rPr>
          <w:rStyle w:val="EndnoteReference"/>
        </w:rPr>
        <w:endnoteReference w:id="1063"/>
      </w:r>
      <w:r>
        <w:t xml:space="preserve">  Scofield also discusses this in his note on Joel 2:28.</w:t>
      </w:r>
      <w:r>
        <w:rPr>
          <w:rStyle w:val="EndnoteReference"/>
        </w:rPr>
        <w:endnoteReference w:id="1064"/>
      </w:r>
    </w:p>
    <w:p w:rsidR="00442D33" w:rsidRDefault="00442D33" w:rsidP="00442D33">
      <w:pPr>
        <w:spacing w:after="120" w:line="360" w:lineRule="auto"/>
        <w:ind w:right="-29" w:firstLine="500"/>
        <w:jc w:val="both"/>
        <w:rPr>
          <w:lang w:val="en-US"/>
        </w:rPr>
      </w:pPr>
      <w:r w:rsidRPr="005C7FD5">
        <w:rPr>
          <w:color w:val="000000"/>
        </w:rPr>
        <w:t>Scofield</w:t>
      </w:r>
      <w:r>
        <w:rPr>
          <w:color w:val="000000"/>
        </w:rPr>
        <w:t xml:space="preserve"> states that</w:t>
      </w:r>
      <w:r w:rsidRPr="005C7FD5">
        <w:rPr>
          <w:color w:val="000000"/>
        </w:rPr>
        <w:t xml:space="preserve"> Israel is Jehovah’s restored and forgiven earthly wife, whereas the Church is ‘the Lamb’s heavenly bride’.</w:t>
      </w:r>
      <w:r w:rsidRPr="005C7FD5">
        <w:rPr>
          <w:rStyle w:val="EndnoteReference"/>
          <w:color w:val="000000"/>
        </w:rPr>
        <w:endnoteReference w:id="1065"/>
      </w:r>
      <w:r w:rsidRPr="005C7FD5">
        <w:rPr>
          <w:color w:val="000000"/>
        </w:rPr>
        <w:t xml:space="preserve">  This assertion is repeated in the note on Rev. 19:7, where Scofield avers that ‘the ‘‘Lamb’s wife’’ here is the ‘‘bride’’,</w:t>
      </w:r>
      <w:r w:rsidRPr="005C7FD5">
        <w:rPr>
          <w:rStyle w:val="EndnoteReference"/>
          <w:color w:val="000000"/>
        </w:rPr>
        <w:endnoteReference w:id="1066"/>
      </w:r>
      <w:r w:rsidRPr="005C7FD5">
        <w:rPr>
          <w:color w:val="000000"/>
        </w:rPr>
        <w:t xml:space="preserve"> the Church, identified with the ‘‘heavenly Jerusalem’’</w:t>
      </w:r>
      <w:r w:rsidRPr="005C7FD5">
        <w:rPr>
          <w:rStyle w:val="EndnoteReference"/>
          <w:color w:val="000000"/>
        </w:rPr>
        <w:endnoteReference w:id="1067"/>
      </w:r>
      <w:r w:rsidRPr="005C7FD5">
        <w:rPr>
          <w:color w:val="000000"/>
        </w:rPr>
        <w:t xml:space="preserve"> and to be distinguished from Israel, </w:t>
      </w:r>
      <w:r w:rsidRPr="005C7FD5">
        <w:t xml:space="preserve">the adulterous and repudiated </w:t>
      </w:r>
      <w:r w:rsidRPr="005C7FD5">
        <w:rPr>
          <w:color w:val="000000"/>
        </w:rPr>
        <w:t>‘‘</w:t>
      </w:r>
      <w:r w:rsidRPr="005C7FD5">
        <w:t>wife</w:t>
      </w:r>
      <w:r w:rsidRPr="005C7FD5">
        <w:rPr>
          <w:color w:val="000000"/>
        </w:rPr>
        <w:t>’’</w:t>
      </w:r>
      <w:r w:rsidRPr="005C7FD5">
        <w:t xml:space="preserve"> of Jehovah, yet to be restored</w:t>
      </w:r>
      <w:r w:rsidRPr="005C7FD5">
        <w:rPr>
          <w:rStyle w:val="EndnoteReference"/>
        </w:rPr>
        <w:endnoteReference w:id="1068"/>
      </w:r>
      <w:r w:rsidRPr="005C7FD5">
        <w:t xml:space="preserve"> who is identified with the earth</w:t>
      </w:r>
      <w:r w:rsidRPr="005C7FD5">
        <w:rPr>
          <w:color w:val="000000"/>
        </w:rPr>
        <w:t>’</w:t>
      </w:r>
      <w:r w:rsidRPr="005C7FD5">
        <w:t>.</w:t>
      </w:r>
      <w:r w:rsidRPr="005C7FD5">
        <w:rPr>
          <w:rStyle w:val="EndnoteReference"/>
        </w:rPr>
        <w:endnoteReference w:id="1069"/>
      </w:r>
      <w:r w:rsidRPr="005C7FD5">
        <w:t xml:space="preserve">  </w:t>
      </w:r>
      <w:r>
        <w:t xml:space="preserve">Todd </w:t>
      </w:r>
      <w:r w:rsidRPr="005C7FD5">
        <w:rPr>
          <w:color w:val="000000"/>
        </w:rPr>
        <w:t>Mangum states that Scofield’s assertions reveal his hermeneutical approach; ‘the dichotomy between two peoples of God forms a theological template through which Scripture is read … This dichotomy takes precedence even when the result is different persons of the Godhead taking on two different ‘‘wives’’, one earthly and one heavenly’.  It ‘indicates the level at which [his] theological presuppositions are exerting influence.’</w:t>
      </w:r>
      <w:r w:rsidRPr="005C7FD5">
        <w:rPr>
          <w:rStyle w:val="EndnoteReference"/>
          <w:color w:val="000000"/>
        </w:rPr>
        <w:endnoteReference w:id="1070"/>
      </w:r>
      <w:r w:rsidRPr="005C7FD5">
        <w:rPr>
          <w:color w:val="000000"/>
        </w:rPr>
        <w:t xml:space="preserve">  Sizer argues that this concept </w:t>
      </w:r>
      <w:r w:rsidRPr="005C7FD5">
        <w:rPr>
          <w:lang w:val="en-US"/>
        </w:rPr>
        <w:t>is ‘in plain contradiction to passages such as John 10:16 and Romans 11:24, neither of which, interestingly, warrants any comment by Scofield’.</w:t>
      </w:r>
      <w:r w:rsidRPr="005C7FD5">
        <w:rPr>
          <w:rStyle w:val="EndnoteReference"/>
          <w:lang w:val="en-US"/>
        </w:rPr>
        <w:endnoteReference w:id="1071"/>
      </w:r>
      <w:r w:rsidRPr="005C7FD5">
        <w:rPr>
          <w:lang w:val="en-US"/>
        </w:rPr>
        <w:t xml:space="preserve">  These concern respectively one flock and one olive tree.</w:t>
      </w:r>
      <w:r w:rsidRPr="005C7FD5">
        <w:rPr>
          <w:rStyle w:val="FootnoteReference"/>
          <w:lang w:val="en-US"/>
        </w:rPr>
        <w:footnoteReference w:id="48"/>
      </w:r>
      <w:r w:rsidRPr="005C7FD5">
        <w:rPr>
          <w:lang w:val="en-US"/>
        </w:rPr>
        <w:t xml:space="preserve"> </w:t>
      </w:r>
    </w:p>
    <w:p w:rsidR="00442D33" w:rsidRPr="005C7FD5" w:rsidRDefault="00442D33" w:rsidP="00442D33">
      <w:pPr>
        <w:spacing w:after="120" w:line="360" w:lineRule="auto"/>
        <w:ind w:right="-29" w:firstLine="500"/>
        <w:jc w:val="both"/>
        <w:rPr>
          <w:color w:val="000000"/>
        </w:rPr>
      </w:pPr>
      <w:r w:rsidRPr="005A3478">
        <w:t>Scofield also asserts a difference in the presentation</w:t>
      </w:r>
      <w:r w:rsidRPr="005C7FD5">
        <w:t xml:space="preserve"> of Christ even within the </w:t>
      </w:r>
      <w:r w:rsidR="00593272">
        <w:t>G</w:t>
      </w:r>
      <w:r w:rsidRPr="005C7FD5">
        <w:t xml:space="preserve">ospels as opposed to the epistles.  The </w:t>
      </w:r>
      <w:r w:rsidR="00593272">
        <w:t>G</w:t>
      </w:r>
      <w:r w:rsidRPr="005C7FD5">
        <w:t xml:space="preserve">ospels show the Messiah in humiliation, accompanied by his Jewish disciples, </w:t>
      </w:r>
      <w:r w:rsidRPr="005C7FD5">
        <w:rPr>
          <w:color w:val="000000"/>
        </w:rPr>
        <w:t>whereas the epistles show the Church as Christ’s glorious body, associated with him in heaven.</w:t>
      </w:r>
      <w:r w:rsidRPr="005C7FD5">
        <w:rPr>
          <w:rStyle w:val="EndnoteReference"/>
        </w:rPr>
        <w:endnoteReference w:id="1072"/>
      </w:r>
      <w:r w:rsidRPr="005C7FD5">
        <w:t xml:space="preserve">  </w:t>
      </w:r>
      <w:r w:rsidRPr="005C7FD5">
        <w:rPr>
          <w:color w:val="000000"/>
        </w:rPr>
        <w:t>This distinction illustrates Scofield’s notion that the dispensation of grace does not begin until the crucifixion.</w:t>
      </w:r>
      <w:r w:rsidRPr="005C7FD5">
        <w:rPr>
          <w:rStyle w:val="EndnoteReference"/>
          <w:color w:val="000000"/>
        </w:rPr>
        <w:endnoteReference w:id="1073"/>
      </w:r>
      <w:r w:rsidRPr="005C7FD5">
        <w:rPr>
          <w:color w:val="000000"/>
        </w:rPr>
        <w:t xml:space="preserve">  </w:t>
      </w:r>
      <w:r>
        <w:rPr>
          <w:color w:val="000000"/>
        </w:rPr>
        <w:t>In his Introduction to the Epistles of Paul, Scofield states, ‘</w:t>
      </w:r>
      <w:r>
        <w:t>A</w:t>
      </w:r>
      <w:r w:rsidRPr="005D00B9">
        <w:t>ll Scripture, up to the Gospel accounts of the crucifixion, looks forward to the cross, and has primarily in view Israel, and the blessing of the earth through the Messianic kingdom</w:t>
      </w:r>
      <w:r>
        <w:t>.</w:t>
      </w:r>
      <w:r w:rsidRPr="005D00B9">
        <w:t>’</w:t>
      </w:r>
      <w:r>
        <w:rPr>
          <w:rStyle w:val="EndnoteReference"/>
        </w:rPr>
        <w:endnoteReference w:id="1074"/>
      </w:r>
    </w:p>
    <w:p w:rsidR="00442D33" w:rsidRDefault="00442D33" w:rsidP="00442D33">
      <w:pPr>
        <w:spacing w:after="120" w:line="360" w:lineRule="auto"/>
        <w:ind w:right="-28" w:firstLine="499"/>
        <w:jc w:val="both"/>
      </w:pPr>
      <w:r w:rsidRPr="005C7FD5">
        <w:rPr>
          <w:color w:val="000000"/>
        </w:rPr>
        <w:t>Although ‘king’ is a ‘divine title’,</w:t>
      </w:r>
      <w:r w:rsidRPr="005C7FD5">
        <w:rPr>
          <w:rStyle w:val="EndnoteReference"/>
          <w:color w:val="000000"/>
        </w:rPr>
        <w:endnoteReference w:id="1075"/>
      </w:r>
      <w:r w:rsidRPr="005C7FD5">
        <w:rPr>
          <w:color w:val="000000"/>
        </w:rPr>
        <w:t xml:space="preserve"> Christ is King of the Jews, not King of the Church, of which he is Lord and Head.</w:t>
      </w:r>
      <w:r w:rsidRPr="005C7FD5">
        <w:rPr>
          <w:rStyle w:val="EndnoteReference"/>
          <w:color w:val="000000"/>
        </w:rPr>
        <w:endnoteReference w:id="1076"/>
      </w:r>
      <w:r w:rsidRPr="005C7FD5">
        <w:rPr>
          <w:color w:val="000000"/>
        </w:rPr>
        <w:t xml:space="preserve">  Israel in the wilderness was ‘a true “church”’</w:t>
      </w:r>
      <w:r w:rsidRPr="005C7FD5">
        <w:rPr>
          <w:rStyle w:val="EndnoteReference"/>
          <w:color w:val="000000"/>
        </w:rPr>
        <w:endnoteReference w:id="1077"/>
      </w:r>
      <w:r w:rsidRPr="005C7FD5">
        <w:rPr>
          <w:color w:val="000000"/>
        </w:rPr>
        <w:t xml:space="preserve"> but it is never called a church in the land, and ‘it was in striking contrast to the New Testament </w:t>
      </w:r>
      <w:r w:rsidRPr="005C7FD5">
        <w:rPr>
          <w:i/>
          <w:color w:val="000000"/>
        </w:rPr>
        <w:t>ekklesia</w:t>
      </w:r>
      <w:r w:rsidRPr="005C7FD5">
        <w:rPr>
          <w:color w:val="000000"/>
        </w:rPr>
        <w:t>’.</w:t>
      </w:r>
      <w:r>
        <w:rPr>
          <w:rStyle w:val="EndnoteReference"/>
          <w:color w:val="000000"/>
        </w:rPr>
        <w:endnoteReference w:id="1078"/>
      </w:r>
      <w:r w:rsidRPr="005C7FD5">
        <w:rPr>
          <w:color w:val="000000"/>
        </w:rPr>
        <w:t xml:space="preserve">  The only common feature is that ‘both were “called out” by the same God’.</w:t>
      </w:r>
      <w:r w:rsidRPr="005C7FD5">
        <w:rPr>
          <w:rStyle w:val="EndnoteReference"/>
          <w:color w:val="000000"/>
        </w:rPr>
        <w:endnoteReference w:id="1079"/>
      </w:r>
      <w:r w:rsidRPr="005C7FD5">
        <w:rPr>
          <w:color w:val="000000"/>
        </w:rPr>
        <w:t xml:space="preserve">  Scofield also interprets the parables of the treasure and the pearl in Matthew 13 as differentiating between Israel and the Church.</w:t>
      </w:r>
      <w:r>
        <w:rPr>
          <w:color w:val="000000"/>
        </w:rPr>
        <w:t xml:space="preserve">  </w:t>
      </w:r>
      <w:r w:rsidRPr="006F1A4A">
        <w:t xml:space="preserve">The metaphor of the treasure is made to </w:t>
      </w:r>
      <w:r w:rsidRPr="006F1A4A">
        <w:lastRenderedPageBreak/>
        <w:t>apply to the lost tribes of Israel and Israel’s restoration</w:t>
      </w:r>
      <w:r>
        <w:t>,</w:t>
      </w:r>
      <w:r w:rsidRPr="006F1A4A">
        <w:t xml:space="preserve"> and that of the pearl to the true </w:t>
      </w:r>
      <w:r>
        <w:t>C</w:t>
      </w:r>
      <w:r w:rsidRPr="006F1A4A">
        <w:t xml:space="preserve">hurch.  Scofield avers that </w:t>
      </w:r>
      <w:r>
        <w:t>the treasure, bought by Christ’s blood, is ‘Israel, especially Ephraim … the lost tribes hidden in “the field,” the world’; this treasure is ‘beloved for the fathers’ sakes, and yet to be restored and saved’.</w:t>
      </w:r>
      <w:r>
        <w:rPr>
          <w:rStyle w:val="EndnoteReference"/>
        </w:rPr>
        <w:endnoteReference w:id="1080"/>
      </w:r>
      <w:r>
        <w:t xml:space="preserve">  He also asserts that </w:t>
      </w:r>
      <w:r w:rsidRPr="006F1A4A">
        <w:t>Christ, having given himself for the pearl, is now preparing it for presentation to himself; the pearl represents the true children of the kingdom, the Church.</w:t>
      </w:r>
      <w:r>
        <w:rPr>
          <w:rStyle w:val="EndnoteReference"/>
        </w:rPr>
        <w:endnoteReference w:id="1081"/>
      </w:r>
      <w:r w:rsidRPr="006F1A4A">
        <w:t xml:space="preserve">  In fact, the kingdom of heaven is likened to a merchant seeking a perfect pearl rather than to the pearl itself.  </w:t>
      </w:r>
      <w:r>
        <w:t xml:space="preserve">Scofield claims </w:t>
      </w:r>
      <w:r w:rsidRPr="0072224D">
        <w:t xml:space="preserve">that Christ sees ‘the true children of the true kingdom’ within ‘the sphere of Christian profession during this age’, seeing ‘in the great field, the world … the redeemed of all ages, but especially His hidden Israel, yet to be restored and blessed’.  Scofield differentiates between the present and future forms of the kingdom; </w:t>
      </w:r>
      <w:r>
        <w:t xml:space="preserve">the future form is to see Israel restored but </w:t>
      </w:r>
      <w:r w:rsidRPr="0072224D">
        <w:t>it is ‘in this form of the kingdom, so unlike that which is to be’</w:t>
      </w:r>
      <w:r>
        <w:t>,</w:t>
      </w:r>
      <w:r w:rsidRPr="0072224D">
        <w:t xml:space="preserve"> that ‘He sees the Church, His body and bride’</w:t>
      </w:r>
      <w:r>
        <w:t>.</w:t>
      </w:r>
      <w:r>
        <w:rPr>
          <w:rStyle w:val="EndnoteReference"/>
        </w:rPr>
        <w:endnoteReference w:id="1082"/>
      </w:r>
      <w:r>
        <w:t xml:space="preserve"> </w:t>
      </w:r>
    </w:p>
    <w:p w:rsidR="00442D33" w:rsidRPr="005C7FD5" w:rsidRDefault="00442D33" w:rsidP="00442D33">
      <w:pPr>
        <w:pStyle w:val="NormalWeb"/>
        <w:spacing w:before="0" w:beforeAutospacing="0" w:after="120" w:afterAutospacing="0" w:line="360" w:lineRule="auto"/>
        <w:ind w:firstLine="499"/>
        <w:jc w:val="both"/>
        <w:rPr>
          <w:rFonts w:ascii="Perpetua" w:hAnsi="Perpetua"/>
          <w:sz w:val="22"/>
          <w:szCs w:val="20"/>
        </w:rPr>
      </w:pPr>
      <w:r w:rsidRPr="0099531D">
        <w:rPr>
          <w:rFonts w:ascii="Perpetua" w:hAnsi="Perpetua"/>
          <w:sz w:val="22"/>
          <w:szCs w:val="20"/>
        </w:rPr>
        <w:t>In his note on Rom. 11:26,</w:t>
      </w:r>
      <w:r w:rsidRPr="005C7FD5">
        <w:rPr>
          <w:rFonts w:ascii="Perpetua" w:hAnsi="Perpetua"/>
          <w:sz w:val="22"/>
          <w:szCs w:val="20"/>
        </w:rPr>
        <w:t xml:space="preserve"> Scofield states that Israel, named after Abraham’s grandson, was chosen for a </w:t>
      </w:r>
      <w:r w:rsidRPr="00171898">
        <w:rPr>
          <w:rFonts w:ascii="Perpetua" w:hAnsi="Perpetua"/>
          <w:sz w:val="22"/>
          <w:szCs w:val="20"/>
        </w:rPr>
        <w:t>fourfold mission: to witness to God’s unity, to indicate the blessedness of serving the one true God, to preserve and transmit the Scriptures and ‘to produce, as to His humanity, the Messiah’</w:t>
      </w:r>
      <w:r w:rsidRPr="005C7FD5">
        <w:rPr>
          <w:rFonts w:ascii="Perpetua" w:hAnsi="Perpetua"/>
          <w:sz w:val="22"/>
          <w:szCs w:val="20"/>
        </w:rPr>
        <w:t>.</w:t>
      </w:r>
      <w:r w:rsidRPr="005C7FD5">
        <w:rPr>
          <w:rStyle w:val="EndnoteReference"/>
          <w:rFonts w:ascii="Perpetua" w:hAnsi="Perpetua"/>
          <w:sz w:val="22"/>
        </w:rPr>
        <w:endnoteReference w:id="1083"/>
      </w:r>
      <w:r w:rsidRPr="005C7FD5">
        <w:rPr>
          <w:rFonts w:ascii="Perpetua" w:hAnsi="Perpetua"/>
          <w:sz w:val="22"/>
          <w:szCs w:val="20"/>
        </w:rPr>
        <w:t xml:space="preserve">  Notably, Scofield does not include any obligation on Israel to believe in the Messiah and it could be argued that, if the list is definitive, Israel’s tasks are already accomplished, even if imperfectly.  However, Scofield </w:t>
      </w:r>
      <w:r>
        <w:rPr>
          <w:rFonts w:ascii="Perpetua" w:hAnsi="Perpetua"/>
          <w:sz w:val="22"/>
          <w:szCs w:val="20"/>
        </w:rPr>
        <w:t>states,</w:t>
      </w:r>
      <w:r w:rsidRPr="005C7FD5">
        <w:rPr>
          <w:rFonts w:ascii="Perpetua" w:hAnsi="Perpetua"/>
          <w:sz w:val="22"/>
          <w:szCs w:val="20"/>
        </w:rPr>
        <w:t xml:space="preserve"> </w:t>
      </w:r>
      <w:r>
        <w:rPr>
          <w:rFonts w:ascii="Perpetua" w:hAnsi="Perpetua"/>
          <w:sz w:val="22"/>
          <w:szCs w:val="20"/>
        </w:rPr>
        <w:t>‘That the Christian now inherits the distinctive Jewish promises is not taught in Scripture.  The Christian is of the heavenly seed of Abraham</w:t>
      </w:r>
      <w:r>
        <w:rPr>
          <w:rStyle w:val="EndnoteReference"/>
          <w:rFonts w:ascii="Perpetua" w:hAnsi="Perpetua"/>
          <w:sz w:val="22"/>
          <w:szCs w:val="20"/>
        </w:rPr>
        <w:endnoteReference w:id="1084"/>
      </w:r>
      <w:r>
        <w:rPr>
          <w:rFonts w:ascii="Perpetua" w:hAnsi="Perpetua"/>
          <w:sz w:val="22"/>
          <w:szCs w:val="20"/>
        </w:rPr>
        <w:t xml:space="preserve"> and partakes of the spiritual blessings of the Abrahamic Covenant</w:t>
      </w:r>
      <w:r>
        <w:rPr>
          <w:rStyle w:val="EndnoteReference"/>
          <w:rFonts w:ascii="Perpetua" w:hAnsi="Perpetua"/>
          <w:sz w:val="22"/>
          <w:szCs w:val="20"/>
        </w:rPr>
        <w:endnoteReference w:id="1085"/>
      </w:r>
      <w:r>
        <w:rPr>
          <w:rFonts w:ascii="Perpetua" w:hAnsi="Perpetua"/>
          <w:sz w:val="22"/>
          <w:szCs w:val="20"/>
        </w:rPr>
        <w:t xml:space="preserve"> but  </w:t>
      </w:r>
      <w:r w:rsidRPr="005C7FD5">
        <w:rPr>
          <w:rFonts w:ascii="Perpetua" w:hAnsi="Perpetua"/>
          <w:sz w:val="22"/>
          <w:szCs w:val="20"/>
        </w:rPr>
        <w:t>Israel as a nation always has its own place, and is yet to have its greatest exaltati</w:t>
      </w:r>
      <w:r>
        <w:rPr>
          <w:rFonts w:ascii="Perpetua" w:hAnsi="Perpetua"/>
          <w:sz w:val="22"/>
          <w:szCs w:val="20"/>
        </w:rPr>
        <w:t>on as the earthly people of God</w:t>
      </w:r>
      <w:r w:rsidRPr="005C7FD5">
        <w:rPr>
          <w:rFonts w:ascii="Perpetua" w:hAnsi="Perpetua"/>
          <w:sz w:val="22"/>
          <w:szCs w:val="20"/>
        </w:rPr>
        <w:t>.</w:t>
      </w:r>
      <w:r>
        <w:rPr>
          <w:rFonts w:ascii="Perpetua" w:hAnsi="Perpetua"/>
          <w:sz w:val="22"/>
          <w:szCs w:val="20"/>
        </w:rPr>
        <w:t>’</w:t>
      </w:r>
      <w:r w:rsidRPr="005C7FD5">
        <w:rPr>
          <w:rStyle w:val="EndnoteReference"/>
          <w:rFonts w:ascii="Perpetua" w:hAnsi="Perpetua"/>
          <w:sz w:val="22"/>
        </w:rPr>
        <w:endnoteReference w:id="1086"/>
      </w:r>
      <w:r w:rsidRPr="005C7FD5">
        <w:rPr>
          <w:rFonts w:ascii="Perpetua" w:hAnsi="Perpetua"/>
          <w:sz w:val="22"/>
          <w:szCs w:val="20"/>
        </w:rPr>
        <w:t xml:space="preserve">  It would appear that the </w:t>
      </w:r>
      <w:r>
        <w:rPr>
          <w:rFonts w:ascii="Perpetua" w:hAnsi="Perpetua"/>
          <w:sz w:val="22"/>
          <w:szCs w:val="20"/>
        </w:rPr>
        <w:t xml:space="preserve">first </w:t>
      </w:r>
      <w:r w:rsidRPr="005C7FD5">
        <w:rPr>
          <w:rFonts w:ascii="Perpetua" w:hAnsi="Perpetua"/>
          <w:sz w:val="22"/>
          <w:szCs w:val="20"/>
        </w:rPr>
        <w:t xml:space="preserve">coming of Jesus, the Messiah, has made no difference.  </w:t>
      </w:r>
    </w:p>
    <w:p w:rsidR="00442D33" w:rsidRDefault="00442D33" w:rsidP="00442D33">
      <w:pPr>
        <w:pStyle w:val="NormalWeb"/>
        <w:spacing w:after="120" w:afterAutospacing="0" w:line="360" w:lineRule="auto"/>
        <w:ind w:firstLine="499"/>
        <w:jc w:val="both"/>
        <w:rPr>
          <w:rFonts w:ascii="Perpetua" w:hAnsi="Perpetua"/>
          <w:sz w:val="22"/>
          <w:szCs w:val="20"/>
        </w:rPr>
      </w:pPr>
      <w:r w:rsidRPr="005C7FD5">
        <w:rPr>
          <w:rFonts w:ascii="Perpetua" w:hAnsi="Perpetua"/>
          <w:sz w:val="22"/>
          <w:szCs w:val="20"/>
        </w:rPr>
        <w:t>The note on Hab. 2:3 is particularly significant.  Here Scofield states that ‘the opening of life to faith alone’,</w:t>
      </w:r>
      <w:r w:rsidRPr="005C7FD5">
        <w:rPr>
          <w:rStyle w:val="EndnoteReference"/>
          <w:rFonts w:ascii="Perpetua" w:hAnsi="Perpetua"/>
          <w:sz w:val="22"/>
        </w:rPr>
        <w:endnoteReference w:id="1087"/>
      </w:r>
      <w:r w:rsidRPr="005C7FD5">
        <w:rPr>
          <w:rFonts w:ascii="Perpetua" w:hAnsi="Perpetua"/>
          <w:sz w:val="22"/>
          <w:szCs w:val="20"/>
        </w:rPr>
        <w:t xml:space="preserve"> makes possible both the salvation of Gentiles during Israel’s dispersion and the existence of a believing remnant in Israel; nevertheless, in the dispersion, ‘in covenanted mercy the individual Jew may resort to the simple faith of Abraham and be saved’.</w:t>
      </w:r>
      <w:r w:rsidRPr="005C7FD5">
        <w:rPr>
          <w:rStyle w:val="EndnoteReference"/>
          <w:rFonts w:ascii="Perpetua" w:hAnsi="Perpetua"/>
          <w:sz w:val="22"/>
        </w:rPr>
        <w:endnoteReference w:id="1088"/>
      </w:r>
      <w:r w:rsidRPr="005C7FD5">
        <w:rPr>
          <w:rFonts w:ascii="Perpetua" w:hAnsi="Perpetua"/>
          <w:sz w:val="22"/>
          <w:szCs w:val="20"/>
        </w:rPr>
        <w:t xml:space="preserve">  This seems to imply the existence of two covenants conferring salvation and to obviate the need for Christ as redeemer.</w:t>
      </w:r>
      <w:r>
        <w:rPr>
          <w:rFonts w:ascii="Perpetua" w:hAnsi="Perpetua"/>
          <w:sz w:val="22"/>
          <w:szCs w:val="20"/>
        </w:rPr>
        <w:t xml:space="preserve"> </w:t>
      </w:r>
      <w:r w:rsidRPr="005C7FD5">
        <w:rPr>
          <w:rFonts w:ascii="Perpetua" w:hAnsi="Perpetua"/>
          <w:sz w:val="22"/>
          <w:szCs w:val="20"/>
        </w:rPr>
        <w:t xml:space="preserve"> </w:t>
      </w:r>
      <w:r w:rsidRPr="0099531D">
        <w:rPr>
          <w:rFonts w:ascii="Perpetua" w:hAnsi="Perpetua"/>
          <w:sz w:val="22"/>
        </w:rPr>
        <w:t>If a Jew can be saved through ‘the simple faith of Abraham’ then the necessity for Christ’s incarnation and the whole Christian theology of the cross are eliminated for Jews.</w:t>
      </w:r>
      <w:r w:rsidRPr="00A23721">
        <w:rPr>
          <w:rFonts w:ascii="Perpetua" w:hAnsi="Perpetua"/>
        </w:rPr>
        <w:t xml:space="preserve"> </w:t>
      </w:r>
      <w:r>
        <w:rPr>
          <w:rFonts w:ascii="Perpetua" w:hAnsi="Perpetua"/>
        </w:rPr>
        <w:t xml:space="preserve"> </w:t>
      </w:r>
      <w:r w:rsidRPr="00CF35A5">
        <w:rPr>
          <w:rFonts w:ascii="Perpetua" w:hAnsi="Perpetua"/>
          <w:sz w:val="22"/>
          <w:szCs w:val="22"/>
        </w:rPr>
        <w:t>Scofield states that a remnant</w:t>
      </w:r>
      <w:r w:rsidRPr="005C7FD5">
        <w:rPr>
          <w:rFonts w:ascii="Perpetua" w:hAnsi="Perpetua"/>
          <w:sz w:val="22"/>
          <w:szCs w:val="20"/>
        </w:rPr>
        <w:t xml:space="preserve"> of Jews will be regathered and converted, but they remain God’s earthly people, whereas believers are the heavenly seed of Abraham.</w:t>
      </w:r>
      <w:r w:rsidRPr="005C7FD5">
        <w:rPr>
          <w:rStyle w:val="EndnoteReference"/>
          <w:rFonts w:ascii="Perpetua" w:hAnsi="Perpetua"/>
          <w:sz w:val="22"/>
        </w:rPr>
        <w:endnoteReference w:id="1089"/>
      </w:r>
      <w:r w:rsidRPr="005C7FD5">
        <w:rPr>
          <w:rFonts w:ascii="Perpetua" w:hAnsi="Perpetua"/>
          <w:sz w:val="22"/>
          <w:szCs w:val="20"/>
        </w:rPr>
        <w:t xml:space="preserve">  </w:t>
      </w:r>
    </w:p>
    <w:p w:rsidR="00442D33" w:rsidRDefault="00442D33" w:rsidP="00442D33">
      <w:pPr>
        <w:pStyle w:val="NormalWeb"/>
        <w:spacing w:after="120" w:afterAutospacing="0" w:line="360" w:lineRule="auto"/>
        <w:ind w:firstLine="499"/>
        <w:jc w:val="both"/>
        <w:rPr>
          <w:rFonts w:ascii="Perpetua" w:hAnsi="Perpetua"/>
          <w:sz w:val="22"/>
          <w:szCs w:val="20"/>
        </w:rPr>
      </w:pPr>
      <w:r w:rsidRPr="005C7FD5">
        <w:rPr>
          <w:rFonts w:ascii="Perpetua" w:hAnsi="Perpetua"/>
          <w:sz w:val="22"/>
          <w:szCs w:val="20"/>
        </w:rPr>
        <w:t>These categorical assertions contradict the statement in Romans 1 that the gospel of Christ ‘is the power of God unto everyone that believeth, to the Jew first and also to the Greek’ and numerous other Pauline statements to the same effect,</w:t>
      </w:r>
      <w:r w:rsidRPr="005C7FD5">
        <w:rPr>
          <w:rStyle w:val="EndnoteReference"/>
          <w:rFonts w:ascii="Perpetua" w:hAnsi="Perpetua"/>
          <w:sz w:val="22"/>
        </w:rPr>
        <w:endnoteReference w:id="1090"/>
      </w:r>
      <w:r w:rsidRPr="005C7FD5">
        <w:rPr>
          <w:rFonts w:ascii="Perpetua" w:hAnsi="Perpetua"/>
          <w:sz w:val="22"/>
          <w:szCs w:val="20"/>
        </w:rPr>
        <w:t xml:space="preserve"> all of which are ignored by Scofield.  These statements would surely tend to the view that Israel was meant to believe, a view supported by Paul’s statement that Christ is </w:t>
      </w:r>
      <w:r w:rsidRPr="005C7FD5">
        <w:rPr>
          <w:rFonts w:ascii="Perpetua" w:hAnsi="Perpetua"/>
          <w:sz w:val="22"/>
          <w:szCs w:val="20"/>
        </w:rPr>
        <w:lastRenderedPageBreak/>
        <w:t xml:space="preserve">the </w:t>
      </w:r>
      <w:r w:rsidRPr="000F171E">
        <w:rPr>
          <w:rFonts w:ascii="Bwgrkl" w:hAnsi="Bwgrkl" w:cs="Bwgrkl"/>
          <w:bCs/>
          <w:lang w:bidi="he-IL"/>
        </w:rPr>
        <w:t>te</w:t>
      </w:r>
      <w:proofErr w:type="gramStart"/>
      <w:r w:rsidRPr="000F171E">
        <w:rPr>
          <w:rFonts w:ascii="Bwgrkl" w:hAnsi="Bwgrkl" w:cs="Bwgrkl"/>
          <w:bCs/>
          <w:lang w:bidi="he-IL"/>
        </w:rPr>
        <w:t>,loj</w:t>
      </w:r>
      <w:proofErr w:type="gramEnd"/>
      <w:r w:rsidRPr="005C7FD5">
        <w:rPr>
          <w:rFonts w:ascii="Perpetua" w:hAnsi="Perpetua"/>
          <w:sz w:val="22"/>
        </w:rPr>
        <w:t xml:space="preserve"> </w:t>
      </w:r>
      <w:r w:rsidRPr="005C7FD5">
        <w:rPr>
          <w:rFonts w:ascii="Perpetua" w:hAnsi="Perpetua"/>
          <w:sz w:val="22"/>
          <w:szCs w:val="20"/>
        </w:rPr>
        <w:t>of the law.</w:t>
      </w:r>
      <w:r w:rsidRPr="005C7FD5">
        <w:rPr>
          <w:rStyle w:val="FootnoteReference"/>
          <w:rFonts w:ascii="Perpetua" w:hAnsi="Perpetua"/>
          <w:sz w:val="22"/>
          <w:szCs w:val="20"/>
        </w:rPr>
        <w:footnoteReference w:id="49"/>
      </w:r>
      <w:r w:rsidRPr="005C7FD5">
        <w:rPr>
          <w:rFonts w:ascii="Perpetua" w:hAnsi="Perpetua"/>
          <w:sz w:val="22"/>
          <w:szCs w:val="20"/>
        </w:rPr>
        <w:t xml:space="preserve">  </w:t>
      </w:r>
      <w:r w:rsidRPr="00986638">
        <w:rPr>
          <w:rFonts w:ascii="Perpetua" w:hAnsi="Perpetua"/>
          <w:sz w:val="22"/>
          <w:szCs w:val="18"/>
        </w:rPr>
        <w:t xml:space="preserve">This would apply whether </w:t>
      </w:r>
      <w:r w:rsidRPr="007B79E5">
        <w:rPr>
          <w:rFonts w:ascii="Perpetua" w:hAnsi="Perpetua"/>
          <w:szCs w:val="18"/>
        </w:rPr>
        <w:t>‘</w:t>
      </w:r>
      <w:r w:rsidRPr="000F171E">
        <w:rPr>
          <w:rFonts w:ascii="Bwgrkl" w:hAnsi="Bwgrkl"/>
          <w:bCs/>
          <w:color w:val="000000"/>
          <w:sz w:val="22"/>
          <w:szCs w:val="22"/>
          <w:lang w:bidi="he-IL"/>
        </w:rPr>
        <w:t>te</w:t>
      </w:r>
      <w:proofErr w:type="gramStart"/>
      <w:r w:rsidRPr="000F171E">
        <w:rPr>
          <w:rFonts w:ascii="Bwgrkl" w:hAnsi="Bwgrkl"/>
          <w:bCs/>
          <w:color w:val="000000"/>
          <w:sz w:val="22"/>
          <w:szCs w:val="22"/>
          <w:lang w:bidi="he-IL"/>
        </w:rPr>
        <w:t>,loj</w:t>
      </w:r>
      <w:r w:rsidRPr="007B79E5">
        <w:rPr>
          <w:rFonts w:ascii="Perpetua" w:hAnsi="Perpetua"/>
          <w:szCs w:val="18"/>
        </w:rPr>
        <w:t>’</w:t>
      </w:r>
      <w:proofErr w:type="gramEnd"/>
      <w:r w:rsidRPr="007B79E5">
        <w:rPr>
          <w:rFonts w:ascii="Perpetua" w:hAnsi="Perpetua"/>
          <w:szCs w:val="18"/>
        </w:rPr>
        <w:t xml:space="preserve"> </w:t>
      </w:r>
      <w:r w:rsidRPr="00986638">
        <w:rPr>
          <w:rFonts w:ascii="Perpetua" w:hAnsi="Perpetua"/>
          <w:sz w:val="22"/>
          <w:szCs w:val="18"/>
        </w:rPr>
        <w:t>is translated as ‘termination’ or as ‘goal’</w:t>
      </w:r>
      <w:r w:rsidRPr="007B79E5">
        <w:rPr>
          <w:rFonts w:ascii="Perpetua" w:hAnsi="Perpetua"/>
          <w:szCs w:val="18"/>
        </w:rPr>
        <w:t>.</w:t>
      </w:r>
      <w:r>
        <w:rPr>
          <w:rFonts w:ascii="Perpetua" w:hAnsi="Perpetua"/>
          <w:szCs w:val="18"/>
        </w:rPr>
        <w:t xml:space="preserve">  </w:t>
      </w:r>
      <w:r w:rsidRPr="005C7FD5">
        <w:rPr>
          <w:rFonts w:ascii="Perpetua" w:hAnsi="Perpetua"/>
          <w:sz w:val="22"/>
          <w:szCs w:val="20"/>
        </w:rPr>
        <w:t>If the New Covenant is the climax, it is difficult to see how a Christian can justify the belief that the old covenant is meant to continue unchanged.</w:t>
      </w:r>
    </w:p>
    <w:p w:rsidR="00442D33" w:rsidRPr="005C7FD5" w:rsidRDefault="00442D33" w:rsidP="00442D33">
      <w:pPr>
        <w:spacing w:after="120" w:line="360" w:lineRule="auto"/>
        <w:ind w:right="74" w:firstLine="499"/>
        <w:jc w:val="both"/>
      </w:pPr>
      <w:r w:rsidRPr="005C7FD5">
        <w:rPr>
          <w:lang w:val="en-US"/>
        </w:rPr>
        <w:t>Scofield’s assertion of four forms of gospel</w:t>
      </w:r>
      <w:r w:rsidRPr="005C7FD5">
        <w:rPr>
          <w:rStyle w:val="EndnoteReference"/>
          <w:lang w:val="en-US"/>
        </w:rPr>
        <w:endnoteReference w:id="1091"/>
      </w:r>
      <w:r w:rsidRPr="005C7FD5">
        <w:rPr>
          <w:lang w:val="en-US"/>
        </w:rPr>
        <w:t xml:space="preserve"> in response to the phrase, ‘everlasting gospel’,</w:t>
      </w:r>
      <w:r w:rsidRPr="005C7FD5">
        <w:rPr>
          <w:rStyle w:val="EndnoteReference"/>
          <w:lang w:val="en-US"/>
        </w:rPr>
        <w:endnoteReference w:id="1092"/>
      </w:r>
      <w:r w:rsidRPr="005C7FD5">
        <w:rPr>
          <w:lang w:val="en-US"/>
        </w:rPr>
        <w:t xml:space="preserve"> also supports his theory concerning the separation between Israel and the Church.  The categories are </w:t>
      </w:r>
      <w:r w:rsidRPr="005C7FD5">
        <w:t>‘the Gospel of the kingdom’, ‘the Gospel of the grace of God’, ‘the everlasting Gospel’ and ‘Paul’s Gospel’; there is also ‘another Gospel’, which is perverted.</w:t>
      </w:r>
      <w:r w:rsidRPr="005C7FD5">
        <w:rPr>
          <w:rStyle w:val="EndnoteReference"/>
        </w:rPr>
        <w:endnoteReference w:id="1093"/>
      </w:r>
      <w:r w:rsidRPr="005C7FD5">
        <w:t xml:space="preserve">  This differentiation seems eccentric because many Christians would see the </w:t>
      </w:r>
      <w:r>
        <w:t xml:space="preserve">first </w:t>
      </w:r>
      <w:r w:rsidRPr="005C7FD5">
        <w:t>four forms as aspects of the single gospel declared in Mark 1:1.</w:t>
      </w:r>
      <w:r w:rsidRPr="005C7FD5">
        <w:rPr>
          <w:rStyle w:val="FootnoteReference"/>
        </w:rPr>
        <w:footnoteReference w:id="50"/>
      </w:r>
      <w:r w:rsidRPr="005C7FD5">
        <w:t xml:space="preserve">  </w:t>
      </w:r>
    </w:p>
    <w:p w:rsidR="00442D33" w:rsidRPr="005C7FD5" w:rsidRDefault="00442D33" w:rsidP="00442D33">
      <w:pPr>
        <w:spacing w:after="120" w:line="360" w:lineRule="auto"/>
        <w:ind w:right="74" w:firstLine="499"/>
        <w:jc w:val="both"/>
      </w:pPr>
      <w:r w:rsidRPr="005C7FD5">
        <w:t>The ‘Gospel of the kingdom’</w:t>
      </w:r>
      <w:r>
        <w:t>, as defined by Scofield,</w:t>
      </w:r>
      <w:r w:rsidRPr="005C7FD5">
        <w:t xml:space="preserve"> includes ‘the good news that God purposes to set up on earth, in fulfilment of the Davidic Covenant … a kingdom, political, spiritual, Israelitish, universal, over which God’s Son, David’s heir, shall be King</w:t>
      </w:r>
      <w:r w:rsidRPr="005C7FD5">
        <w:rPr>
          <w:b/>
        </w:rPr>
        <w:t xml:space="preserve">, </w:t>
      </w:r>
      <w:r w:rsidRPr="005C7FD5">
        <w:t>and which shall be, for one thousand years, the manifestation of the righteousness of God in human affairs’.</w:t>
      </w:r>
      <w:r w:rsidRPr="005C7FD5">
        <w:rPr>
          <w:rStyle w:val="EndnoteReference"/>
        </w:rPr>
        <w:endnoteReference w:id="1094"/>
      </w:r>
      <w:r w:rsidRPr="005C7FD5">
        <w:t xml:space="preserve">  The ‘Gospel of the grace of God’ is ‘the good news that Jesus Christ, the rejected King, has died on the cross for the sins of the world, that He was raised from the dead for our justification, and that by Him all that believe are justified from all things’.</w:t>
      </w:r>
      <w:r w:rsidRPr="005C7FD5">
        <w:rPr>
          <w:rStyle w:val="EndnoteReference"/>
        </w:rPr>
        <w:endnoteReference w:id="1095"/>
      </w:r>
      <w:r w:rsidRPr="005C7FD5">
        <w:t xml:space="preserve"> </w:t>
      </w:r>
    </w:p>
    <w:p w:rsidR="00442D33" w:rsidRDefault="00442D33" w:rsidP="00442D33">
      <w:pPr>
        <w:spacing w:after="120" w:line="360" w:lineRule="auto"/>
        <w:ind w:right="74" w:firstLine="499"/>
        <w:jc w:val="both"/>
      </w:pPr>
      <w:r w:rsidRPr="005C7FD5">
        <w:t>It is significant that Scofield places the Gospel of the kingdom first in his list, and the Gospel of God’s grace only second,</w:t>
      </w:r>
      <w:r w:rsidRPr="005C7FD5">
        <w:rPr>
          <w:rStyle w:val="EndnoteReference"/>
        </w:rPr>
        <w:endnoteReference w:id="1096"/>
      </w:r>
      <w:r w:rsidRPr="005C7FD5">
        <w:t xml:space="preserve"> an odd priority for a Christian.  </w:t>
      </w:r>
      <w:r>
        <w:t xml:space="preserve">It is the eschatological concepts of the second coming of Christ and his establishment of the kingdom which predominate in Scofield’s commentary.  </w:t>
      </w:r>
      <w:r w:rsidRPr="005C7FD5">
        <w:t>Scofield asserts that two ‘preachings’ of the Gospel of the kingdom are mentioned: one past; which began with the ministry of John the Baptist, was continued by Jesus and his disciples, and ended with ‘the Jewish rejection of the King’ and one future, which will occur during the great tribulation, immediately preceding the King’s coming in glory.</w:t>
      </w:r>
      <w:r w:rsidRPr="005C7FD5">
        <w:rPr>
          <w:rStyle w:val="EndnoteReference"/>
        </w:rPr>
        <w:endnoteReference w:id="1097"/>
      </w:r>
      <w:r w:rsidRPr="005C7FD5">
        <w:t xml:space="preserve">   </w:t>
      </w:r>
      <w:r>
        <w:t xml:space="preserve">Allis remarks that </w:t>
      </w:r>
    </w:p>
    <w:p w:rsidR="00442D33" w:rsidRDefault="00442D33" w:rsidP="00FE4A57">
      <w:pPr>
        <w:spacing w:after="120" w:line="240" w:lineRule="auto"/>
        <w:ind w:left="1134" w:right="1701"/>
        <w:jc w:val="both"/>
        <w:rPr>
          <w:rStyle w:val="ind"/>
        </w:rPr>
      </w:pPr>
      <w:proofErr w:type="gramStart"/>
      <w:r w:rsidRPr="006730BF">
        <w:rPr>
          <w:rStyle w:val="ind"/>
        </w:rPr>
        <w:t>the</w:t>
      </w:r>
      <w:proofErr w:type="gramEnd"/>
      <w:r w:rsidRPr="006730BF">
        <w:rPr>
          <w:rStyle w:val="ind"/>
        </w:rPr>
        <w:t xml:space="preserve"> most startling thing about these two “forms” of the Gospel … is their mutual exclusiveness.  The one speaks of the Davidic King, the other of the crucified and risen Saviour.  </w:t>
      </w:r>
      <w:r>
        <w:rPr>
          <w:rStyle w:val="ind"/>
        </w:rPr>
        <w:t>The Gospel of the grace of God – in a word, the Cross – belongs to the Church age; the Gospel of the kingdom was preached before the Church was founded and is to be preached after the Church is “raptured”.  But it is a different Gospel.  It is the Gospel of the Crown, not the Cross.  … “Grace” and “the Kingdom” belong to two distinct dispensations which are set definitely in contrast, and each has a gospel of its own.  …  Salvation clearly will be on a quite different basis in the Kingdom age from what it is today in the Church age.  … What we are now concerned to point out is the grievous error of separating in this arbitrary way between the precious offices of Christ, as Prophet, Priest, and King, all of which belong in a most real and viral sense to every age.</w:t>
      </w:r>
      <w:r>
        <w:rPr>
          <w:rStyle w:val="EndnoteReference"/>
        </w:rPr>
        <w:endnoteReference w:id="1098"/>
      </w:r>
    </w:p>
    <w:p w:rsidR="00442D33" w:rsidRDefault="00442D33" w:rsidP="00442D33">
      <w:pPr>
        <w:spacing w:after="120" w:line="360" w:lineRule="auto"/>
        <w:ind w:right="74" w:firstLine="499"/>
        <w:jc w:val="both"/>
      </w:pPr>
      <w:r>
        <w:t>Scofield’s idea of the separation of forms of gospel also</w:t>
      </w:r>
      <w:r w:rsidRPr="005C7FD5">
        <w:t xml:space="preserve"> reflects </w:t>
      </w:r>
      <w:r>
        <w:t>his</w:t>
      </w:r>
      <w:r w:rsidRPr="005C7FD5">
        <w:t xml:space="preserve"> notion, expressed in </w:t>
      </w:r>
      <w:r w:rsidRPr="005C7FD5">
        <w:rPr>
          <w:i/>
        </w:rPr>
        <w:t xml:space="preserve">What the Prophets </w:t>
      </w:r>
      <w:proofErr w:type="gramStart"/>
      <w:r w:rsidRPr="005C7FD5">
        <w:rPr>
          <w:i/>
        </w:rPr>
        <w:t>Say</w:t>
      </w:r>
      <w:r w:rsidRPr="005C7FD5">
        <w:t>, that</w:t>
      </w:r>
      <w:proofErr w:type="gramEnd"/>
      <w:r w:rsidRPr="005C7FD5">
        <w:t xml:space="preserve"> the Church, under the gospel of grace, is ‘a parenthesis in the prophetic order’;</w:t>
      </w:r>
      <w:r w:rsidRPr="005C7FD5">
        <w:rPr>
          <w:rStyle w:val="EndnoteReference"/>
        </w:rPr>
        <w:endnoteReference w:id="1099"/>
      </w:r>
      <w:r w:rsidRPr="005C7FD5">
        <w:t xml:space="preserve"> thus </w:t>
      </w:r>
      <w:r w:rsidRPr="005C7FD5">
        <w:lastRenderedPageBreak/>
        <w:t xml:space="preserve">the Church is seen as an interruption separating two important parts of the earthly kingdom.  The very stress upon Christ as ‘rejected King’ in Scofield’s definition of the ‘Gospel of grace’ implies that Christ’s death and resurrection would have been unnecessary had the Jews somehow accepted him as their earthly monarch.  </w:t>
      </w:r>
      <w:r>
        <w:t xml:space="preserve">Scofield states in his note on Mt. 4:17, </w:t>
      </w:r>
      <w:r w:rsidRPr="00EB197B">
        <w:rPr>
          <w:szCs w:val="18"/>
        </w:rPr>
        <w:t>‘When Christ first appeared to the Jewish people the next thing should have been the setting up o</w:t>
      </w:r>
      <w:r>
        <w:rPr>
          <w:szCs w:val="18"/>
        </w:rPr>
        <w:t>f the Davidic kingdom.</w:t>
      </w:r>
      <w:r w:rsidRPr="00EB197B">
        <w:rPr>
          <w:szCs w:val="18"/>
        </w:rPr>
        <w:t>’</w:t>
      </w:r>
      <w:r>
        <w:rPr>
          <w:rStyle w:val="EndnoteReference"/>
          <w:szCs w:val="18"/>
        </w:rPr>
        <w:endnoteReference w:id="1100"/>
      </w:r>
      <w:r w:rsidRPr="00EB197B">
        <w:rPr>
          <w:szCs w:val="18"/>
        </w:rPr>
        <w:t xml:space="preserve"> </w:t>
      </w:r>
      <w:r>
        <w:rPr>
          <w:szCs w:val="18"/>
        </w:rPr>
        <w:t xml:space="preserve"> </w:t>
      </w:r>
      <w:r>
        <w:t xml:space="preserve">Charles </w:t>
      </w:r>
      <w:r w:rsidRPr="005C7FD5">
        <w:t xml:space="preserve">Weston names </w:t>
      </w:r>
      <w:r>
        <w:t>this</w:t>
      </w:r>
      <w:r w:rsidRPr="005C7FD5">
        <w:t xml:space="preserve"> concept of </w:t>
      </w:r>
      <w:r>
        <w:t>an</w:t>
      </w:r>
      <w:r w:rsidRPr="005C7FD5">
        <w:t xml:space="preserve"> earthly kingdom ‘the error of the Pharisees’, the perception that ‘Christ should appear as a mighty warrior conquering the world for Israel and setting up … a kingdom on earth’.  </w:t>
      </w:r>
      <w:r w:rsidRPr="001D7AA8">
        <w:t xml:space="preserve">Weston states that </w:t>
      </w:r>
      <w:r w:rsidRPr="001D7AA8">
        <w:rPr>
          <w:color w:val="008080"/>
        </w:rPr>
        <w:t>‘</w:t>
      </w:r>
      <w:r w:rsidRPr="001D7AA8">
        <w:rPr>
          <w:color w:val="000000"/>
        </w:rPr>
        <w:t>Scofield falsely assumed that the Davidic Covenant prophesied an earthly enthronement of Christ upon the throne of David with Jews ruling over all’.</w:t>
      </w:r>
      <w:r>
        <w:rPr>
          <w:rStyle w:val="EndnoteReference"/>
          <w:color w:val="000000"/>
        </w:rPr>
        <w:endnoteReference w:id="1101"/>
      </w:r>
      <w:r>
        <w:rPr>
          <w:color w:val="000000"/>
        </w:rPr>
        <w:t xml:space="preserve">  </w:t>
      </w:r>
      <w:r w:rsidRPr="005C7FD5">
        <w:t xml:space="preserve">The concept </w:t>
      </w:r>
      <w:r>
        <w:t xml:space="preserve">expressed by Scofield </w:t>
      </w:r>
      <w:r w:rsidRPr="005C7FD5">
        <w:t>also militates against Christ’s own declaration that his kingdom is ‘not of this world’.</w:t>
      </w:r>
      <w:r w:rsidRPr="005C7FD5">
        <w:rPr>
          <w:rStyle w:val="EndnoteReference"/>
        </w:rPr>
        <w:endnoteReference w:id="1102"/>
      </w:r>
      <w:r w:rsidRPr="005C7FD5">
        <w:t xml:space="preserve">  Scofield offers no explanation for this declaration by Christ because he makes no comment on John 18.</w:t>
      </w:r>
    </w:p>
    <w:p w:rsidR="00442D33" w:rsidRPr="005C7FD5" w:rsidRDefault="00442D33" w:rsidP="00442D33">
      <w:pPr>
        <w:spacing w:after="120" w:line="360" w:lineRule="auto"/>
        <w:ind w:right="74" w:firstLine="499"/>
        <w:jc w:val="both"/>
      </w:pPr>
      <w:r w:rsidRPr="005C7FD5">
        <w:t>Scofield asserts categorically that the everlasting Gospel</w:t>
      </w:r>
      <w:r w:rsidRPr="005C7FD5">
        <w:rPr>
          <w:rStyle w:val="EndnoteReference"/>
        </w:rPr>
        <w:endnoteReference w:id="1103"/>
      </w:r>
      <w:r w:rsidRPr="005C7FD5">
        <w:t xml:space="preserve"> ‘is neither the Gospel of the kingdom, nor of grace’ but is ‘to be preached to the earth-dwellers at the very end of the great tribulation and immediately preceding the judgment of the nations’.</w:t>
      </w:r>
      <w:r w:rsidRPr="005C7FD5">
        <w:rPr>
          <w:rStyle w:val="EndnoteReference"/>
        </w:rPr>
        <w:endnoteReference w:id="1104"/>
      </w:r>
      <w:r w:rsidRPr="005C7FD5">
        <w:t xml:space="preserve">  This statement goes beyond Scofield’s original suggestion that there are four ‘forms’ of gospel by definitively distinguishing between gospels.  Furthermore, </w:t>
      </w:r>
      <w:r w:rsidRPr="001D7AA8">
        <w:t xml:space="preserve">Scofield asserts that though the ‘burden’ of ‘the everlasting gospel’ ‘is judgment, not salvation, it is good news to </w:t>
      </w:r>
      <w:r w:rsidRPr="001D7AA8">
        <w:rPr>
          <w:i/>
        </w:rPr>
        <w:t>Israel</w:t>
      </w:r>
      <w:r w:rsidRPr="001D7AA8">
        <w:t xml:space="preserve"> and to those who, during the tribulation, have been saved’</w:t>
      </w:r>
      <w:r>
        <w:t>;</w:t>
      </w:r>
      <w:r>
        <w:rPr>
          <w:rStyle w:val="EndnoteReference"/>
        </w:rPr>
        <w:endnoteReference w:id="1105"/>
      </w:r>
      <w:r>
        <w:t xml:space="preserve"> he thus </w:t>
      </w:r>
      <w:r w:rsidRPr="005C7FD5">
        <w:t xml:space="preserve">again implies that there is a separate gospel for Jews.  </w:t>
      </w:r>
    </w:p>
    <w:p w:rsidR="00442D33" w:rsidRPr="005C7FD5" w:rsidRDefault="00442D33" w:rsidP="00442D33">
      <w:pPr>
        <w:spacing w:after="120" w:line="360" w:lineRule="auto"/>
        <w:ind w:right="74" w:firstLine="499"/>
        <w:jc w:val="both"/>
      </w:pPr>
      <w:r w:rsidRPr="005C7FD5">
        <w:t xml:space="preserve">The fourth form of gospel is Paul’s gospel, which is ‘the Gospel of the grace of God in its fullest development, but includes the revelation of the result of that Gospel in the outcalling of the </w:t>
      </w:r>
      <w:r>
        <w:t>c</w:t>
      </w:r>
      <w:r w:rsidRPr="005C7FD5">
        <w:t>hurch, her relationships, position, privileges and responsibilities’.</w:t>
      </w:r>
      <w:r w:rsidRPr="005C7FD5">
        <w:rPr>
          <w:rStyle w:val="EndnoteReference"/>
        </w:rPr>
        <w:endnoteReference w:id="1106"/>
      </w:r>
      <w:r w:rsidRPr="005C7FD5">
        <w:t xml:space="preserve">  It seems unlikely that Paul would preach any gospel but that of the grace of God; he roundly condemns the preaching of ‘a different gospel’</w:t>
      </w:r>
      <w:r w:rsidRPr="005C7FD5">
        <w:rPr>
          <w:rStyle w:val="EndnoteReference"/>
        </w:rPr>
        <w:endnoteReference w:id="1107"/>
      </w:r>
      <w:r w:rsidRPr="005C7FD5">
        <w:t xml:space="preserve"> and declares that the gospel he preached was not something invented by man but came by direct revelation from Jesus Christ.</w:t>
      </w:r>
      <w:r w:rsidRPr="005C7FD5">
        <w:rPr>
          <w:rStyle w:val="EndnoteReference"/>
        </w:rPr>
        <w:endnoteReference w:id="1108"/>
      </w:r>
      <w:r w:rsidRPr="005C7FD5">
        <w:t xml:space="preserve">  Paul gives a fair summation of ‘his’ gospel in 1 Cor. 15:1-5; it solely concerns the work of Christ.</w:t>
      </w:r>
    </w:p>
    <w:p w:rsidR="00442D33" w:rsidRPr="00500A7D" w:rsidRDefault="00442D33" w:rsidP="00442D33">
      <w:pPr>
        <w:rPr>
          <w:b/>
        </w:rPr>
      </w:pPr>
      <w:proofErr w:type="gramStart"/>
      <w:r>
        <w:rPr>
          <w:b/>
        </w:rPr>
        <w:t xml:space="preserve">4.2  </w:t>
      </w:r>
      <w:r w:rsidRPr="00500A7D">
        <w:rPr>
          <w:b/>
        </w:rPr>
        <w:t>Conclusion</w:t>
      </w:r>
      <w:proofErr w:type="gramEnd"/>
    </w:p>
    <w:p w:rsidR="00442D33" w:rsidRDefault="00442D33" w:rsidP="00442D33">
      <w:pPr>
        <w:spacing w:after="120" w:line="360" w:lineRule="auto"/>
        <w:jc w:val="both"/>
      </w:pPr>
      <w:r>
        <w:t xml:space="preserve">In this chapter I have demonstrated the </w:t>
      </w:r>
      <w:r w:rsidR="00D82878">
        <w:t xml:space="preserve">varying </w:t>
      </w:r>
      <w:r>
        <w:t xml:space="preserve">emphasis placed upon the Israel/Church dichotomy by writers from the classical, revisionist and progressive schools of dispensationalist thought, by other scholars, and by Scofield in </w:t>
      </w:r>
      <w:r w:rsidRPr="002341FD">
        <w:rPr>
          <w:i/>
        </w:rPr>
        <w:t>SRB</w:t>
      </w:r>
      <w:r w:rsidRPr="006267C6">
        <w:t xml:space="preserve">, </w:t>
      </w:r>
      <w:r>
        <w:t xml:space="preserve">and proved that this is an extremely important concept in </w:t>
      </w:r>
      <w:r w:rsidR="00D82878">
        <w:t xml:space="preserve">classical </w:t>
      </w:r>
      <w:r>
        <w:t xml:space="preserve">dispensationalism.  I regard belief in this dichotomy as its most distinctive characteristic.  Several other concepts contribute to this perception and I shall consider these in subsequent chapters.  One of the most important tenets of dispensational belief is the theory which gives its name to the entire system: the dispensations.  These are discussed in </w:t>
      </w:r>
      <w:r w:rsidRPr="007450AA">
        <w:t xml:space="preserve">Chapter </w:t>
      </w:r>
      <w:r>
        <w:t xml:space="preserve">5, with particular focus upon the fifth, sixth and seventh dispensations, which are the two Jewish ages of law and the millennial kingdom, divided by the </w:t>
      </w:r>
      <w:r>
        <w:lastRenderedPageBreak/>
        <w:t>parenthetical church-age.  The covenants, especially the Abrahamic and Davidic, are also considered in this chapter.  The pretribulational rapture of the true Church and separate millennial destinies might be described as the ultimate expression of dualism; these are explored in Chapters 6 and 7.  Chapter 7 focuses on ‘the emphasis on apocalyptic and millennial expectation’</w:t>
      </w:r>
      <w:r>
        <w:rPr>
          <w:rStyle w:val="EndnoteReference"/>
        </w:rPr>
        <w:endnoteReference w:id="1109"/>
      </w:r>
      <w:r>
        <w:t xml:space="preserve"> and includes the great tribulation, the coming of Antichrist, Christ’s visible second coming, the battle of Armageddon, and the establishment of the postponed millennial kingdom.  All the events described in Chapter 7 are held to take place after the ultimate separation of Church and Israel has taken place at the pretribulational rapture.</w:t>
      </w:r>
    </w:p>
    <w:p w:rsidR="00442D33" w:rsidRDefault="00442D33" w:rsidP="00442D33">
      <w:pPr>
        <w:spacing w:after="120" w:line="360" w:lineRule="auto"/>
        <w:jc w:val="both"/>
        <w:sectPr w:rsidR="00442D33" w:rsidSect="00F1470F">
          <w:headerReference w:type="default" r:id="rId106"/>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442D33" w:rsidRPr="00B92BEC" w:rsidRDefault="00442D33" w:rsidP="00442D33">
      <w:pPr>
        <w:spacing w:after="120" w:line="360" w:lineRule="auto"/>
        <w:jc w:val="center"/>
        <w:rPr>
          <w:rStyle w:val="ind"/>
          <w:b/>
          <w:sz w:val="28"/>
        </w:rPr>
      </w:pPr>
      <w:bookmarkStart w:id="11" w:name="Chapter5"/>
      <w:bookmarkEnd w:id="11"/>
      <w:r w:rsidRPr="00B92BEC">
        <w:rPr>
          <w:rStyle w:val="ind"/>
          <w:b/>
          <w:sz w:val="28"/>
        </w:rPr>
        <w:lastRenderedPageBreak/>
        <w:t xml:space="preserve">Chapter </w:t>
      </w:r>
      <w:r>
        <w:rPr>
          <w:rStyle w:val="ind"/>
          <w:b/>
          <w:sz w:val="28"/>
        </w:rPr>
        <w:t>5</w:t>
      </w:r>
    </w:p>
    <w:p w:rsidR="00442D33" w:rsidRDefault="00442D33" w:rsidP="00442D33">
      <w:pPr>
        <w:spacing w:after="120" w:line="360" w:lineRule="auto"/>
        <w:ind w:right="74"/>
        <w:jc w:val="center"/>
        <w:rPr>
          <w:b/>
          <w:sz w:val="28"/>
          <w:szCs w:val="28"/>
        </w:rPr>
      </w:pPr>
      <w:r>
        <w:rPr>
          <w:rStyle w:val="ind"/>
          <w:b/>
          <w:sz w:val="28"/>
        </w:rPr>
        <w:t>Elements of Dispensationalism: Element 4:</w:t>
      </w:r>
    </w:p>
    <w:p w:rsidR="00442D33" w:rsidRDefault="00442D33" w:rsidP="00442D33">
      <w:pPr>
        <w:spacing w:after="120" w:line="360" w:lineRule="auto"/>
        <w:ind w:right="74"/>
        <w:jc w:val="center"/>
        <w:rPr>
          <w:b/>
          <w:sz w:val="28"/>
          <w:szCs w:val="28"/>
        </w:rPr>
      </w:pPr>
      <w:r w:rsidRPr="00746054">
        <w:rPr>
          <w:b/>
          <w:sz w:val="28"/>
          <w:szCs w:val="28"/>
        </w:rPr>
        <w:t>Dispensations</w:t>
      </w:r>
      <w:r>
        <w:rPr>
          <w:b/>
          <w:sz w:val="28"/>
          <w:szCs w:val="28"/>
        </w:rPr>
        <w:t>, Together with</w:t>
      </w:r>
      <w:r w:rsidRPr="00746054">
        <w:rPr>
          <w:b/>
          <w:sz w:val="28"/>
          <w:szCs w:val="28"/>
        </w:rPr>
        <w:t xml:space="preserve"> Covenants</w:t>
      </w:r>
    </w:p>
    <w:p w:rsidR="003209FA" w:rsidRPr="006F1D19" w:rsidRDefault="006F1D19" w:rsidP="003209FA">
      <w:pPr>
        <w:spacing w:after="120" w:line="360" w:lineRule="auto"/>
        <w:jc w:val="both"/>
        <w:rPr>
          <w:rStyle w:val="ind"/>
          <w:b/>
          <w:sz w:val="24"/>
        </w:rPr>
      </w:pPr>
      <w:proofErr w:type="gramStart"/>
      <w:r w:rsidRPr="006F1D19">
        <w:rPr>
          <w:rStyle w:val="ind"/>
          <w:b/>
          <w:sz w:val="24"/>
        </w:rPr>
        <w:t xml:space="preserve">5.1  </w:t>
      </w:r>
      <w:r w:rsidR="003209FA" w:rsidRPr="006F1D19">
        <w:rPr>
          <w:rStyle w:val="ind"/>
          <w:b/>
          <w:sz w:val="24"/>
        </w:rPr>
        <w:t>Introduction</w:t>
      </w:r>
      <w:proofErr w:type="gramEnd"/>
      <w:r w:rsidR="003209FA" w:rsidRPr="006F1D19">
        <w:rPr>
          <w:rStyle w:val="ind"/>
          <w:b/>
          <w:sz w:val="24"/>
        </w:rPr>
        <w:t xml:space="preserve"> to Dispensations and Covenants</w:t>
      </w:r>
    </w:p>
    <w:p w:rsidR="003209FA" w:rsidRPr="006F1D19" w:rsidRDefault="006F1D19" w:rsidP="003209FA">
      <w:pPr>
        <w:spacing w:after="120" w:line="360" w:lineRule="auto"/>
        <w:jc w:val="both"/>
        <w:rPr>
          <w:rStyle w:val="ind"/>
          <w:b/>
        </w:rPr>
      </w:pPr>
      <w:r w:rsidRPr="006F1D19">
        <w:rPr>
          <w:rStyle w:val="ind"/>
          <w:b/>
        </w:rPr>
        <w:t xml:space="preserve">5.1.1 </w:t>
      </w:r>
      <w:r w:rsidR="003209FA" w:rsidRPr="006F1D19">
        <w:rPr>
          <w:rStyle w:val="ind"/>
          <w:b/>
        </w:rPr>
        <w:t>Dispensations</w:t>
      </w:r>
    </w:p>
    <w:p w:rsidR="00442D33" w:rsidRDefault="00442D33" w:rsidP="00442D33">
      <w:pPr>
        <w:spacing w:after="120" w:line="360" w:lineRule="auto"/>
        <w:jc w:val="both"/>
        <w:rPr>
          <w:rStyle w:val="ind"/>
        </w:rPr>
      </w:pPr>
      <w:r w:rsidRPr="008B3EF8">
        <w:rPr>
          <w:rStyle w:val="ind"/>
        </w:rPr>
        <w:t xml:space="preserve">Dispensationalism gets its name from the concept of God’s differentiated past, present and future administration of the world, or ‘dispensations’.  </w:t>
      </w:r>
      <w:r w:rsidRPr="00A249BB">
        <w:rPr>
          <w:rStyle w:val="ind"/>
        </w:rPr>
        <w:t>Blaising states that ‘understanding … dispensations, these different relationships God has had and will have with humanity, is crucial for comprehending the teaching and message of the Bible’ and also to understanding how the whole of Scripture relates to Christian faith and practice’.</w:t>
      </w:r>
      <w:r w:rsidRPr="00A249BB">
        <w:rPr>
          <w:rStyle w:val="EndnoteReference"/>
        </w:rPr>
        <w:endnoteReference w:id="1110"/>
      </w:r>
      <w:r w:rsidRPr="00A249BB">
        <w:rPr>
          <w:rStyle w:val="ind"/>
        </w:rPr>
        <w:t xml:space="preserve">  </w:t>
      </w:r>
      <w:r>
        <w:rPr>
          <w:rStyle w:val="ind"/>
        </w:rPr>
        <w:t>It must be said, however, that Blaising divides God’s dealings with humanity only into three dispensations: the old or past dispensation, to which ‘practically all of the Old Testament’ refers, the present dispensation, to which much of the New Testament refers, and the future dispensation, which features in both Old and New Testament prophecy.</w:t>
      </w:r>
      <w:r w:rsidRPr="00A249BB">
        <w:rPr>
          <w:rStyle w:val="EndnoteReference"/>
        </w:rPr>
        <w:endnoteReference w:id="1111"/>
      </w:r>
      <w:r>
        <w:rPr>
          <w:rStyle w:val="ind"/>
        </w:rPr>
        <w:t xml:space="preserve">  This is not the interpretation favoured by Scofield and several predecessors.</w:t>
      </w:r>
      <w:r>
        <w:rPr>
          <w:rStyle w:val="EndnoteReference"/>
        </w:rPr>
        <w:endnoteReference w:id="1112"/>
      </w:r>
      <w:r>
        <w:rPr>
          <w:rStyle w:val="ind"/>
        </w:rPr>
        <w:t xml:space="preserve">  Blaising also avers that all of the </w:t>
      </w:r>
      <w:r w:rsidRPr="00A249BB">
        <w:rPr>
          <w:rStyle w:val="ind"/>
        </w:rPr>
        <w:t>God’s ‘present relationship to the world’ is ‘described as a dispensation’ and ‘the Bible compares and contrasts this present relationship with past and future dispensations’, showing that ‘God’s relationship with human beings consists of a history of successive dispensations</w:t>
      </w:r>
      <w:r>
        <w:rPr>
          <w:rStyle w:val="ind"/>
        </w:rPr>
        <w:t>’</w:t>
      </w:r>
      <w:r w:rsidRPr="00A249BB">
        <w:rPr>
          <w:rStyle w:val="ind"/>
        </w:rPr>
        <w:t>.</w:t>
      </w:r>
      <w:r w:rsidRPr="00A249BB">
        <w:rPr>
          <w:rStyle w:val="EndnoteReference"/>
        </w:rPr>
        <w:endnoteReference w:id="1113"/>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 xml:space="preserve">In </w:t>
      </w:r>
      <w:r w:rsidRPr="00A249BB">
        <w:rPr>
          <w:rStyle w:val="ind"/>
          <w:i/>
        </w:rPr>
        <w:t>SRB</w:t>
      </w:r>
      <w:r w:rsidRPr="00A249BB">
        <w:rPr>
          <w:rStyle w:val="ind"/>
        </w:rPr>
        <w:t>, the characteristics of a dispensation comprise a particular kind of divine administration of humankind, a specific divine test, which humankind inevitably fails, and judgment, followed by the institution of a new dispensation.</w:t>
      </w:r>
      <w:r w:rsidRPr="00A249BB">
        <w:rPr>
          <w:rStyle w:val="EndnoteReference"/>
        </w:rPr>
        <w:endnoteReference w:id="1114"/>
      </w:r>
      <w:r w:rsidRPr="00A249BB">
        <w:rPr>
          <w:rStyle w:val="ind"/>
        </w:rPr>
        <w:t xml:space="preserve">  Chafer states that ‘each dispensation … begins with man divinely placed in a new position of privilege and responsibility and closes with the failure of man resulting in righteous judgments from God’.</w:t>
      </w:r>
      <w:r w:rsidRPr="00A249BB">
        <w:rPr>
          <w:rStyle w:val="EndnoteReference"/>
        </w:rPr>
        <w:endnoteReference w:id="1115"/>
      </w:r>
      <w:r w:rsidRPr="00A249BB">
        <w:rPr>
          <w:rStyle w:val="ind"/>
        </w:rPr>
        <w:t xml:space="preserve">  Crutchfield avers that the primary characteristics of each dispensation are ‘a distinct administration’, (that is, ‘a unique governing relationship between God and the world’); a distinct responsibility</w:t>
      </w:r>
      <w:r>
        <w:rPr>
          <w:rStyle w:val="ind"/>
        </w:rPr>
        <w:t>’</w:t>
      </w:r>
      <w:r w:rsidRPr="00A249BB">
        <w:rPr>
          <w:rStyle w:val="ind"/>
        </w:rPr>
        <w:t xml:space="preserve"> (that is, ‘a new responsibility on humankind resulting from the new governmental relationship</w:t>
      </w:r>
      <w:r>
        <w:rPr>
          <w:rStyle w:val="ind"/>
        </w:rPr>
        <w:t>’</w:t>
      </w:r>
      <w:r w:rsidRPr="00A249BB">
        <w:rPr>
          <w:rStyle w:val="ind"/>
        </w:rPr>
        <w:t>) and ‘a distinct revelation</w:t>
      </w:r>
      <w:r>
        <w:rPr>
          <w:rStyle w:val="ind"/>
        </w:rPr>
        <w:t>’</w:t>
      </w:r>
      <w:r w:rsidRPr="00A249BB">
        <w:rPr>
          <w:rStyle w:val="ind"/>
        </w:rPr>
        <w:t xml:space="preserve"> (which implements ‘the new governmental relationship with its resultant responsibility’</w:t>
      </w:r>
      <w:r>
        <w:rPr>
          <w:rStyle w:val="ind"/>
        </w:rPr>
        <w:t>)</w:t>
      </w:r>
      <w:r w:rsidRPr="00A249BB">
        <w:rPr>
          <w:rStyle w:val="ind"/>
        </w:rPr>
        <w:t>.</w:t>
      </w:r>
      <w:r w:rsidRPr="00A249BB">
        <w:rPr>
          <w:rStyle w:val="EndnoteReference"/>
        </w:rPr>
        <w:endnoteReference w:id="1116"/>
      </w:r>
      <w:r w:rsidRPr="00A249BB">
        <w:rPr>
          <w:rStyle w:val="ind"/>
        </w:rPr>
        <w:t xml:space="preserve">  Secondary characteristics are ‘the test’, ‘the failure’ and ‘the judgment’.</w:t>
      </w:r>
      <w:r w:rsidRPr="00A249BB">
        <w:rPr>
          <w:rStyle w:val="EndnoteReference"/>
        </w:rPr>
        <w:endnoteReference w:id="1117"/>
      </w:r>
      <w:r w:rsidRPr="00A249BB">
        <w:rPr>
          <w:rStyle w:val="ind"/>
        </w:rPr>
        <w:t xml:space="preserve">  Ryrie endorses Crutchfield’s analysis of the primary and secondary characteristics of dispensations.</w:t>
      </w:r>
      <w:r w:rsidRPr="00A249BB">
        <w:rPr>
          <w:rStyle w:val="EndnoteReference"/>
        </w:rPr>
        <w:endnoteReference w:id="1118"/>
      </w:r>
      <w:r w:rsidRPr="00A249BB">
        <w:rPr>
          <w:rStyle w:val="ind"/>
        </w:rPr>
        <w:t xml:space="preserve"> </w:t>
      </w:r>
    </w:p>
    <w:p w:rsidR="00442D33" w:rsidRPr="00A249BB" w:rsidRDefault="00442D33" w:rsidP="00442D33">
      <w:pPr>
        <w:spacing w:after="120" w:line="360" w:lineRule="auto"/>
        <w:ind w:firstLine="567"/>
        <w:jc w:val="both"/>
        <w:rPr>
          <w:lang w:val="en-US"/>
        </w:rPr>
      </w:pPr>
      <w:r w:rsidRPr="00A249BB">
        <w:t xml:space="preserve">Some writers argue that ‘dispensation’ is a completely administrative term but others include a </w:t>
      </w:r>
      <w:r>
        <w:t>temporal</w:t>
      </w:r>
      <w:r w:rsidRPr="00A249BB">
        <w:t xml:space="preserve"> element.  Scofield famously wrote, ‘A dispensation is a period of time during which man is tested in respect of obedience to some specific revelation of the will of God.’</w:t>
      </w:r>
      <w:r w:rsidRPr="00A249BB">
        <w:rPr>
          <w:rStyle w:val="EndnoteReference"/>
        </w:rPr>
        <w:endnoteReference w:id="1119"/>
      </w:r>
      <w:r w:rsidRPr="00A249BB">
        <w:t xml:space="preserve">  Chafer states that ‘as to time, the Bible may be apportioned into well-defined periods’.  God’s character is constant in every age but ‘there are varying instructions and responsibilities which are, as to their application, limited to a given period’.</w:t>
      </w:r>
      <w:r w:rsidRPr="00A249BB">
        <w:rPr>
          <w:rStyle w:val="EndnoteReference"/>
        </w:rPr>
        <w:endnoteReference w:id="1120"/>
      </w:r>
      <w:r w:rsidRPr="00A249BB">
        <w:t xml:space="preserve">  </w:t>
      </w:r>
      <w:r w:rsidRPr="00A249BB">
        <w:lastRenderedPageBreak/>
        <w:t>Paul Wilkinson claims that Darby understood ‘God’s dealings with mankind in terms of clearly defined time periods which he termed “dispensations” or “economies”</w:t>
      </w:r>
      <w:r>
        <w:t>’</w:t>
      </w:r>
      <w:r w:rsidRPr="00A249BB">
        <w:t>.</w:t>
      </w:r>
      <w:r w:rsidRPr="00A249BB">
        <w:rPr>
          <w:rStyle w:val="EndnoteReference"/>
        </w:rPr>
        <w:endnoteReference w:id="1121"/>
      </w:r>
      <w:r w:rsidRPr="00A249BB">
        <w:t xml:space="preserve">  Conversely, Ryrie asserts that an ‘age’ is different from a ‘dispensation’; he states that ‘a dispensation is primarily a stewardship arrangement and not a period of time (though obviously the arrangement will exist during a period of time)’.</w:t>
      </w:r>
      <w:r w:rsidRPr="00A249BB">
        <w:rPr>
          <w:rStyle w:val="EndnoteReference"/>
        </w:rPr>
        <w:endnoteReference w:id="1122"/>
      </w:r>
      <w:r w:rsidRPr="00A249BB">
        <w:t xml:space="preserve">  Arnold Ehlert states that, ‘if time is divided into periods without respect to God’s redemptive program, those divisions would be ages but not dispensations’.</w:t>
      </w:r>
      <w:r w:rsidRPr="00A249BB">
        <w:rPr>
          <w:rStyle w:val="EndnoteReference"/>
        </w:rPr>
        <w:endnoteReference w:id="1123"/>
      </w:r>
      <w:r w:rsidRPr="00A249BB">
        <w:t xml:space="preserve">  However, while admitting that ‘Scofield’s definition might better have been cast in different terms emphasizing the time element less’, Crutchfield avers that Ephesians 1:10 and 3:29 connect the ideas of administration and ages and that the two concepts cannot be completely separated.</w:t>
      </w:r>
      <w:r w:rsidRPr="00A249BB">
        <w:rPr>
          <w:rStyle w:val="EndnoteReference"/>
        </w:rPr>
        <w:endnoteReference w:id="1124"/>
      </w:r>
      <w:r w:rsidRPr="00A249BB">
        <w:t xml:space="preserve">  Nonetheless, Kraus states that the two concepts combine separate ideas which are based on two Greek words.  The first of these is </w:t>
      </w:r>
      <w:r w:rsidRPr="00A249BB">
        <w:rPr>
          <w:rFonts w:ascii="Times New Roman" w:hAnsi="Times New Roman"/>
          <w:bCs/>
          <w:i/>
          <w:lang w:val="el-GR" w:bidi="he-IL"/>
        </w:rPr>
        <w:t>αἰών</w:t>
      </w:r>
      <w:r w:rsidRPr="00A249BB">
        <w:rPr>
          <w:lang w:val="en-US"/>
        </w:rPr>
        <w:t xml:space="preserve">, usually translated as ‘age’ or ‘world’; in dispensational use the ages are seen as historical periods.  The second word is </w:t>
      </w:r>
      <w:r w:rsidRPr="00A249BB">
        <w:rPr>
          <w:rFonts w:ascii="Times New Roman" w:hAnsi="Times New Roman"/>
          <w:bCs/>
          <w:i/>
          <w:lang w:val="el-GR" w:bidi="he-IL"/>
        </w:rPr>
        <w:t>οἰκονομία</w:t>
      </w:r>
      <w:r w:rsidRPr="00A249BB">
        <w:rPr>
          <w:lang w:val="en-US"/>
        </w:rPr>
        <w:t xml:space="preserve">, meaning a plan, arrangement, stewardship or dispensation.  Thus </w:t>
      </w:r>
      <w:r w:rsidRPr="00A249BB">
        <w:t xml:space="preserve">‘dispensations … are periods of time which can be clearly discerned and marked off from other periods by the changing methods which God employs in dealing with mankind.  They are stages in God’s developing plan of the ages.’  </w:t>
      </w:r>
      <w:r w:rsidRPr="00A249BB">
        <w:rPr>
          <w:lang w:val="en-US"/>
        </w:rPr>
        <w:t xml:space="preserve">Kraus notes, however, that this is not the biblical meaning of </w:t>
      </w:r>
      <w:r w:rsidRPr="00A249BB">
        <w:rPr>
          <w:rFonts w:ascii="Times New Roman" w:hAnsi="Times New Roman"/>
          <w:bCs/>
          <w:i/>
          <w:lang w:val="el-GR" w:bidi="he-IL"/>
        </w:rPr>
        <w:t>οἰκονομία</w:t>
      </w:r>
      <w:r w:rsidRPr="00A249BB">
        <w:rPr>
          <w:lang w:val="en-US"/>
        </w:rPr>
        <w:t xml:space="preserve">, and that the words, </w:t>
      </w:r>
      <w:r w:rsidRPr="00A249BB">
        <w:rPr>
          <w:rFonts w:ascii="Times New Roman" w:hAnsi="Times New Roman"/>
          <w:bCs/>
          <w:i/>
          <w:lang w:val="el-GR" w:bidi="he-IL"/>
        </w:rPr>
        <w:t>αἰών</w:t>
      </w:r>
      <w:r w:rsidRPr="00A249BB">
        <w:rPr>
          <w:lang w:val="en-US"/>
        </w:rPr>
        <w:t xml:space="preserve"> and </w:t>
      </w:r>
      <w:r w:rsidRPr="00A249BB">
        <w:rPr>
          <w:rFonts w:ascii="Times New Roman" w:hAnsi="Times New Roman"/>
          <w:bCs/>
          <w:i/>
          <w:lang w:val="el-GR" w:bidi="he-IL"/>
        </w:rPr>
        <w:t>οἰκονομία</w:t>
      </w:r>
      <w:r w:rsidRPr="00A249BB">
        <w:rPr>
          <w:lang w:val="en-US"/>
        </w:rPr>
        <w:t>, are never ‘confused in the usage of the New Testament’.</w:t>
      </w:r>
      <w:r w:rsidRPr="00A249BB">
        <w:rPr>
          <w:rStyle w:val="EndnoteReference"/>
          <w:lang w:val="en-US"/>
        </w:rPr>
        <w:endnoteReference w:id="1125"/>
      </w:r>
      <w:r w:rsidRPr="00A249BB">
        <w:rPr>
          <w:lang w:val="en-US"/>
        </w:rPr>
        <w:t xml:space="preserve"> </w:t>
      </w:r>
    </w:p>
    <w:p w:rsidR="00442D33" w:rsidRPr="00A249BB" w:rsidRDefault="00442D33" w:rsidP="00442D33">
      <w:pPr>
        <w:spacing w:after="120" w:line="360" w:lineRule="auto"/>
        <w:ind w:firstLine="567"/>
        <w:jc w:val="both"/>
      </w:pPr>
      <w:r w:rsidRPr="00A249BB">
        <w:t xml:space="preserve">Chafer states that the word, ‘dispensation’ is of Latin origin, equivalent to ‘the Greek </w:t>
      </w:r>
      <w:r w:rsidRPr="00A249BB">
        <w:rPr>
          <w:lang w:val="en-US"/>
        </w:rPr>
        <w:t>“</w:t>
      </w:r>
      <w:r w:rsidRPr="00A249BB">
        <w:rPr>
          <w:rFonts w:ascii="Times New Roman" w:hAnsi="Times New Roman"/>
          <w:bCs/>
          <w:lang w:val="el-GR" w:bidi="he-IL"/>
        </w:rPr>
        <w:t>οἰκονομία</w:t>
      </w:r>
      <w:r w:rsidRPr="00A249BB">
        <w:rPr>
          <w:lang w:val="en-US"/>
        </w:rPr>
        <w:t xml:space="preserve">”, meaning, in this specific usage, </w:t>
      </w:r>
      <w:r w:rsidRPr="00A249BB">
        <w:t>“</w:t>
      </w:r>
      <w:r w:rsidRPr="00A249BB">
        <w:rPr>
          <w:lang w:val="en-US"/>
        </w:rPr>
        <w:t xml:space="preserve">stewardship” or “economy” as to special features of divine government in the various ages’.  The reference to ‘the dispensation of the fullness of times’ in Ephesians 1:10 is the only instance in </w:t>
      </w:r>
      <w:r w:rsidRPr="00A249BB">
        <w:rPr>
          <w:i/>
          <w:lang w:val="en-US"/>
        </w:rPr>
        <w:t>KJV</w:t>
      </w:r>
      <w:r w:rsidRPr="00A249BB">
        <w:rPr>
          <w:lang w:val="en-US"/>
        </w:rPr>
        <w:t xml:space="preserve"> where ‘dispensation’ might be seen as being used in this sense.</w:t>
      </w:r>
      <w:r w:rsidRPr="00A249BB">
        <w:rPr>
          <w:rStyle w:val="FootnoteReference"/>
          <w:lang w:val="en-US"/>
        </w:rPr>
        <w:footnoteReference w:id="51"/>
      </w:r>
      <w:r w:rsidRPr="00A249BB">
        <w:rPr>
          <w:lang w:val="en-US"/>
        </w:rPr>
        <w:t xml:space="preserve">  ‘Dispensation’</w:t>
      </w:r>
      <w:r w:rsidRPr="00A249BB">
        <w:t xml:space="preserve"> is purely a New Testament word in </w:t>
      </w:r>
      <w:r w:rsidRPr="00A249BB">
        <w:rPr>
          <w:i/>
        </w:rPr>
        <w:t>KJV</w:t>
      </w:r>
      <w:r w:rsidRPr="00A249BB">
        <w:t>, although ‘</w:t>
      </w:r>
      <w:r w:rsidRPr="00A249BB">
        <w:rPr>
          <w:rFonts w:ascii="Times New Roman" w:hAnsi="Times New Roman"/>
          <w:bCs/>
          <w:i/>
          <w:lang w:val="el-GR" w:bidi="he-IL"/>
        </w:rPr>
        <w:t>οἰκονομία</w:t>
      </w:r>
      <w:r w:rsidRPr="00A249BB">
        <w:t>’ also occurs twice in Isaiah 22</w:t>
      </w:r>
      <w:r>
        <w:t>,</w:t>
      </w:r>
      <w:r w:rsidRPr="00A249BB">
        <w:t xml:space="preserve"> </w:t>
      </w:r>
      <w:r w:rsidRPr="00A249BB">
        <w:rPr>
          <w:i/>
        </w:rPr>
        <w:t>LXX</w:t>
      </w:r>
      <w:r w:rsidRPr="00A249BB">
        <w:t xml:space="preserve">, as well as nine times in the New Testament.  In Isa. 22:19 and 21, </w:t>
      </w:r>
      <w:r w:rsidRPr="00A249BB">
        <w:rPr>
          <w:rFonts w:ascii="Times New Roman" w:hAnsi="Times New Roman"/>
          <w:bCs/>
          <w:i/>
          <w:lang w:val="el-GR" w:bidi="he-IL"/>
        </w:rPr>
        <w:t>οἰκονομία</w:t>
      </w:r>
      <w:r w:rsidRPr="00A249BB">
        <w:t xml:space="preserve"> is translated ‘station’ and ‘government’ respectively in </w:t>
      </w:r>
      <w:r w:rsidRPr="00A249BB">
        <w:rPr>
          <w:i/>
        </w:rPr>
        <w:t>KJV</w:t>
      </w:r>
      <w:r w:rsidRPr="00A249BB">
        <w:t>;</w:t>
      </w:r>
      <w:r w:rsidRPr="00A249BB">
        <w:rPr>
          <w:rStyle w:val="FootnoteReference"/>
        </w:rPr>
        <w:footnoteReference w:id="52"/>
      </w:r>
      <w:r w:rsidRPr="00A249BB">
        <w:t xml:space="preserve"> these examples and the other two uses of the word, ‘dispensation’ in the New Testament, (1 Cor. 9:17 and Col. 1:25 </w:t>
      </w:r>
      <w:r w:rsidRPr="00A249BB">
        <w:rPr>
          <w:i/>
        </w:rPr>
        <w:t>KJV</w:t>
      </w:r>
      <w:r w:rsidRPr="00A249BB">
        <w:t>), have the sense of ‘dispensing’, ‘dealing out’ or administering; these are all translations of ‘</w:t>
      </w:r>
      <w:r w:rsidRPr="00A249BB">
        <w:rPr>
          <w:rFonts w:ascii="Times New Roman" w:hAnsi="Times New Roman"/>
          <w:bCs/>
          <w:i/>
          <w:lang w:val="el-GR" w:bidi="he-IL"/>
        </w:rPr>
        <w:t>οἰκονομία</w:t>
      </w:r>
      <w:r w:rsidRPr="00A249BB">
        <w:t>’.</w:t>
      </w:r>
      <w:r w:rsidRPr="00A249BB">
        <w:rPr>
          <w:rStyle w:val="FootnoteReference"/>
        </w:rPr>
        <w:footnoteReference w:id="53"/>
      </w:r>
      <w:r w:rsidRPr="00A249BB">
        <w:t xml:space="preserve">  </w:t>
      </w:r>
      <w:r w:rsidRPr="00A249BB">
        <w:rPr>
          <w:lang w:val="en-US"/>
        </w:rPr>
        <w:t>Three of the verses where ‘</w:t>
      </w:r>
      <w:r w:rsidRPr="00A249BB">
        <w:rPr>
          <w:rFonts w:ascii="Times New Roman" w:hAnsi="Times New Roman"/>
          <w:bCs/>
          <w:i/>
          <w:lang w:val="el-GR" w:bidi="he-IL"/>
        </w:rPr>
        <w:t>οἰκονομία</w:t>
      </w:r>
      <w:r w:rsidRPr="00A249BB">
        <w:rPr>
          <w:lang w:val="en-US"/>
        </w:rPr>
        <w:t>’</w:t>
      </w:r>
      <w:r w:rsidRPr="00A249BB">
        <w:t xml:space="preserve"> appears </w:t>
      </w:r>
      <w:r w:rsidRPr="00A249BB">
        <w:lastRenderedPageBreak/>
        <w:t>in the New Testament are Lk. 16:2, 3 and 4, where they refer to the stewardship of the dishonest steward.</w:t>
      </w:r>
      <w:r w:rsidRPr="00A249BB">
        <w:rPr>
          <w:rStyle w:val="FootnoteReference"/>
        </w:rPr>
        <w:footnoteReference w:id="54"/>
      </w:r>
      <w:r w:rsidRPr="00A249BB">
        <w:t xml:space="preserve">  Strangely, </w:t>
      </w:r>
      <w:r w:rsidRPr="00A249BB">
        <w:rPr>
          <w:i/>
        </w:rPr>
        <w:t>KJV</w:t>
      </w:r>
      <w:r w:rsidRPr="00A249BB">
        <w:t xml:space="preserve"> translates ‘</w:t>
      </w:r>
      <w:r w:rsidRPr="00A249BB">
        <w:rPr>
          <w:rFonts w:ascii="Times New Roman" w:hAnsi="Times New Roman"/>
          <w:i/>
          <w:lang w:val="el-GR" w:bidi="he-IL"/>
        </w:rPr>
        <w:t>ἢ</w:t>
      </w:r>
      <w:r w:rsidRPr="00A249BB">
        <w:rPr>
          <w:rFonts w:ascii="Bwgrki" w:hAnsi="Bwgrki" w:cs="SBL Greek"/>
          <w:i/>
          <w:lang w:val="el-GR" w:bidi="he-IL"/>
        </w:rPr>
        <w:t xml:space="preserve"> </w:t>
      </w:r>
      <w:r w:rsidRPr="00A249BB">
        <w:rPr>
          <w:rFonts w:ascii="Times New Roman" w:hAnsi="Times New Roman"/>
          <w:i/>
          <w:lang w:val="el-GR" w:bidi="he-IL"/>
        </w:rPr>
        <w:t>οἰκονομίαν</w:t>
      </w:r>
      <w:r w:rsidRPr="00A249BB">
        <w:rPr>
          <w:rFonts w:ascii="Bwgrki" w:hAnsi="Bwgrki" w:cs="SBL Greek"/>
          <w:i/>
          <w:lang w:val="el-GR" w:bidi="he-IL"/>
        </w:rPr>
        <w:t xml:space="preserve"> </w:t>
      </w:r>
      <w:r w:rsidRPr="00A249BB">
        <w:rPr>
          <w:rFonts w:ascii="Times New Roman" w:hAnsi="Times New Roman"/>
          <w:i/>
          <w:lang w:val="el-GR" w:bidi="he-IL"/>
        </w:rPr>
        <w:t>θεου</w:t>
      </w:r>
      <w:r w:rsidRPr="00A249BB">
        <w:t xml:space="preserve">’ as ‘godly edifying’ in its remaining occurrence, 1 Tim. 1:4.  </w:t>
      </w:r>
      <w:r w:rsidRPr="00A249BB">
        <w:rPr>
          <w:i/>
        </w:rPr>
        <w:t>NAS</w:t>
      </w:r>
      <w:r w:rsidRPr="00A249BB">
        <w:t xml:space="preserve"> has ‘administration of God’; </w:t>
      </w:r>
      <w:r w:rsidRPr="00A249BB">
        <w:rPr>
          <w:i/>
        </w:rPr>
        <w:t>NIV</w:t>
      </w:r>
      <w:r w:rsidRPr="00A249BB">
        <w:t xml:space="preserve"> has ‘God’s work’ and </w:t>
      </w:r>
      <w:r w:rsidRPr="00A249BB">
        <w:rPr>
          <w:i/>
        </w:rPr>
        <w:t>NRSV</w:t>
      </w:r>
      <w:r w:rsidRPr="00A249BB">
        <w:t xml:space="preserve"> has ‘divine training’. </w:t>
      </w:r>
    </w:p>
    <w:p w:rsidR="00442D33" w:rsidRPr="00A249BB" w:rsidRDefault="00442D33" w:rsidP="00442D33">
      <w:pPr>
        <w:spacing w:after="120" w:line="360" w:lineRule="auto"/>
        <w:ind w:firstLine="567"/>
        <w:jc w:val="both"/>
        <w:rPr>
          <w:rStyle w:val="ind"/>
        </w:rPr>
      </w:pPr>
      <w:r w:rsidRPr="00A249BB">
        <w:rPr>
          <w:rStyle w:val="ind"/>
        </w:rPr>
        <w:t>Henzel states that ‘many have tended to define Dispensationalism according to its most obvious characteristic – what Ryrie referred to when he wrote, “It is the marking off these stages in the revelation of the purpose of God that is the basis for the dispensational approach to the interpretation of the Scriptures,”’.</w:t>
      </w:r>
      <w:r w:rsidRPr="00A249BB">
        <w:rPr>
          <w:rStyle w:val="EndnoteReference"/>
        </w:rPr>
        <w:endnoteReference w:id="1126"/>
      </w:r>
      <w:r w:rsidRPr="00A249BB">
        <w:rPr>
          <w:rStyle w:val="ind"/>
        </w:rPr>
        <w:t xml:space="preserve">  However, scholars like Sandeen, Poythress, Ryrie and John Feinberg argue that the recognition of the existence of dispensations is not the most important concept in the system.  Sandeen states that the dispensational scheme was not of paramount importance in Darby’s thought and was quite common among his contemporaries.</w:t>
      </w:r>
      <w:r w:rsidRPr="00A249BB">
        <w:rPr>
          <w:rStyle w:val="EndnoteReference"/>
        </w:rPr>
        <w:endnoteReference w:id="1127"/>
      </w:r>
      <w:r w:rsidRPr="00A249BB">
        <w:rPr>
          <w:rStyle w:val="ind"/>
        </w:rPr>
        <w:t xml:space="preserve">  Poythress observes that ‘mere belief in dispensations does not distinguish dispensationalism from many other views’.</w:t>
      </w:r>
      <w:r w:rsidRPr="00A249BB">
        <w:rPr>
          <w:rStyle w:val="EndnoteReference"/>
        </w:rPr>
        <w:endnoteReference w:id="1128"/>
      </w:r>
      <w:r w:rsidRPr="00A249BB">
        <w:rPr>
          <w:rStyle w:val="ind"/>
        </w:rPr>
        <w:t xml:space="preserve">  Feinberg concurs, stating that it is basic error to imagine that ‘the word “dispensation” and talk of differing administrative orders only appears in dispensationalist thinking.  Since both dispensationalists and nondispensationalists use the term and concept of a </w:t>
      </w:r>
      <w:proofErr w:type="gramStart"/>
      <w:r w:rsidRPr="00A249BB">
        <w:rPr>
          <w:rStyle w:val="ind"/>
        </w:rPr>
        <w:t>dispensation, that</w:t>
      </w:r>
      <w:proofErr w:type="gramEnd"/>
      <w:r w:rsidRPr="00A249BB">
        <w:rPr>
          <w:rStyle w:val="ind"/>
        </w:rPr>
        <w:t xml:space="preserve"> alone is not distinctive to Dispensationalism’.</w:t>
      </w:r>
      <w:r w:rsidRPr="00A249BB">
        <w:rPr>
          <w:rStyle w:val="EndnoteReference"/>
        </w:rPr>
        <w:endnoteReference w:id="1129"/>
      </w:r>
      <w:r w:rsidRPr="00A249BB">
        <w:rPr>
          <w:rStyle w:val="ind"/>
        </w:rPr>
        <w:t xml:space="preserve">  Ryrie avers that ‘a man can believe in dispensations, and even see them in relation to progressive revelation, without being a dispensationalist’,</w:t>
      </w:r>
      <w:r w:rsidRPr="00A249BB">
        <w:rPr>
          <w:rStyle w:val="EndnoteReference"/>
        </w:rPr>
        <w:endnoteReference w:id="1130"/>
      </w:r>
      <w:r w:rsidRPr="00A249BB">
        <w:rPr>
          <w:rStyle w:val="ind"/>
        </w:rPr>
        <w:t xml:space="preserve"> and he does not list dispensations in his </w:t>
      </w:r>
      <w:r w:rsidRPr="00A249BB">
        <w:rPr>
          <w:rStyle w:val="ind"/>
          <w:i/>
        </w:rPr>
        <w:t>sine qua non</w:t>
      </w:r>
      <w:r w:rsidRPr="00A249BB">
        <w:rPr>
          <w:rStyle w:val="ind"/>
        </w:rPr>
        <w:t xml:space="preserve"> of dispensationalism.</w:t>
      </w:r>
      <w:r w:rsidRPr="00A249BB">
        <w:rPr>
          <w:rStyle w:val="EndnoteReference"/>
        </w:rPr>
        <w:endnoteReference w:id="1131"/>
      </w:r>
      <w:r w:rsidRPr="00A249BB">
        <w:rPr>
          <w:rStyle w:val="ind"/>
        </w:rPr>
        <w:t xml:space="preserve">  However, Henzel justly accuses Ryrie of contributing to the misapprehension that belief in dispensations is the guiding principle of dispensationalism by devoting twenty-one pages in </w:t>
      </w:r>
      <w:r w:rsidRPr="00A249BB">
        <w:rPr>
          <w:rStyle w:val="ind"/>
          <w:i/>
        </w:rPr>
        <w:t>Dispensationalism Today</w:t>
      </w:r>
      <w:r w:rsidRPr="00A249BB">
        <w:rPr>
          <w:rStyle w:val="ind"/>
        </w:rPr>
        <w:t xml:space="preserve"> to ‘the definition of the word, “dispensation” as the starting point for defining Dispensationalism’, and only four pages to his concept of its true essence – the three elements comprising his </w:t>
      </w:r>
      <w:r w:rsidRPr="00A249BB">
        <w:rPr>
          <w:rStyle w:val="ind"/>
          <w:i/>
        </w:rPr>
        <w:t>sine qua non</w:t>
      </w:r>
      <w:r w:rsidRPr="00A249BB">
        <w:rPr>
          <w:rStyle w:val="ind"/>
        </w:rPr>
        <w:t xml:space="preserve"> of dispensationalism – the eternal separation of Israel and the Church, the hermeneutic of consistent literal interpretation and God’s underlying purpose to propagate his glory.</w:t>
      </w:r>
      <w:r w:rsidRPr="00A249BB">
        <w:rPr>
          <w:rStyle w:val="EndnoteReference"/>
        </w:rPr>
        <w:endnoteReference w:id="1132"/>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Dispensations are mentioned in Darby’s writings, for example in ‘The Apostasy of the Successive Dispensations’:</w:t>
      </w:r>
    </w:p>
    <w:p w:rsidR="00442D33" w:rsidRPr="00A249BB" w:rsidRDefault="00442D33" w:rsidP="00442D33">
      <w:pPr>
        <w:pStyle w:val="NormalWeb"/>
        <w:spacing w:after="240" w:afterAutospacing="0"/>
        <w:ind w:left="1134" w:right="2223"/>
        <w:jc w:val="both"/>
        <w:rPr>
          <w:rFonts w:ascii="Perpetua" w:hAnsi="Perpetua"/>
        </w:rPr>
      </w:pPr>
      <w:r>
        <w:rPr>
          <w:rFonts w:ascii="Perpetua" w:hAnsi="Perpetua"/>
          <w:sz w:val="22"/>
          <w:szCs w:val="22"/>
        </w:rPr>
        <w:lastRenderedPageBreak/>
        <w:t xml:space="preserve">… </w:t>
      </w:r>
      <w:r w:rsidRPr="00A249BB">
        <w:rPr>
          <w:rFonts w:ascii="Perpetua" w:hAnsi="Perpetua"/>
          <w:sz w:val="22"/>
          <w:szCs w:val="22"/>
        </w:rPr>
        <w:t>the dispensations themselves all declare some leading principle or interference of God, some condition in which He has placed man, principles which in themselves are everlastingly sanctioned of God, but in the course of those dispensations placed responsibly in the hands of man …in every instance, there was total and immediate failure as regarded man …</w:t>
      </w:r>
      <w:r w:rsidRPr="00A249BB">
        <w:rPr>
          <w:rStyle w:val="EndnoteReference"/>
          <w:rFonts w:ascii="Perpetua" w:hAnsi="Perpetua"/>
          <w:sz w:val="22"/>
          <w:szCs w:val="22"/>
        </w:rPr>
        <w:endnoteReference w:id="1133"/>
      </w:r>
      <w:r w:rsidRPr="00A249BB">
        <w:rPr>
          <w:rFonts w:ascii="Perpetua" w:hAnsi="Perpetua"/>
        </w:rPr>
        <w:t xml:space="preserve">  </w:t>
      </w:r>
    </w:p>
    <w:p w:rsidR="00442D33" w:rsidRPr="00A249BB" w:rsidRDefault="00442D33" w:rsidP="00442D33">
      <w:pPr>
        <w:spacing w:after="120" w:line="360" w:lineRule="auto"/>
        <w:jc w:val="both"/>
        <w:rPr>
          <w:rStyle w:val="ind"/>
        </w:rPr>
      </w:pPr>
      <w:r w:rsidRPr="00A249BB">
        <w:rPr>
          <w:rStyle w:val="ind"/>
        </w:rPr>
        <w:t xml:space="preserve">Scofield echoes Darby, stating categorically, in </w:t>
      </w:r>
      <w:r w:rsidRPr="00A249BB">
        <w:rPr>
          <w:rStyle w:val="ind"/>
          <w:i/>
        </w:rPr>
        <w:t>Rightly Dividing the Word of Truth</w:t>
      </w:r>
      <w:r w:rsidRPr="00A249BB">
        <w:rPr>
          <w:rStyle w:val="ind"/>
        </w:rPr>
        <w:t>, that ‘the Scriptures divide time … into seven unequal periods, usually called “Dispensations” (Ephesians 3:2), although these periods are also called ages (Ephesians 2:7) and days, as in “</w:t>
      </w:r>
      <w:r w:rsidRPr="00A249BB">
        <w:rPr>
          <w:rStyle w:val="ind"/>
          <w:i/>
        </w:rPr>
        <w:t>day of the Lord</w:t>
      </w:r>
      <w:r w:rsidRPr="00A249BB">
        <w:rPr>
          <w:rStyle w:val="ind"/>
        </w:rPr>
        <w:t>”</w:t>
      </w:r>
      <w:r>
        <w:rPr>
          <w:rStyle w:val="ind"/>
        </w:rPr>
        <w:t>’</w:t>
      </w:r>
      <w:r w:rsidRPr="00A249BB">
        <w:rPr>
          <w:rStyle w:val="ind"/>
        </w:rPr>
        <w:t>.  These periods are indicated by changes in God’s dealing with humankind ‘in respect of … sin, and of man’s responsibility’.  Each period is marked by divine testing of humankind, culminating in human failure and divine judgment.</w:t>
      </w:r>
      <w:r w:rsidRPr="00A249BB">
        <w:rPr>
          <w:rStyle w:val="EndnoteReference"/>
        </w:rPr>
        <w:endnoteReference w:id="1134"/>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 xml:space="preserve">On the matter of numbers and names of dispensations, Crutchfield states that the number is not essential </w:t>
      </w:r>
      <w:r w:rsidRPr="00012B96">
        <w:rPr>
          <w:sz w:val="16"/>
          <w:szCs w:val="24"/>
        </w:rPr>
        <w:t>—</w:t>
      </w:r>
      <w:r w:rsidRPr="00A249BB">
        <w:rPr>
          <w:rStyle w:val="ind"/>
        </w:rPr>
        <w:t xml:space="preserve"> it may vary between four and eight but seven is the most common number; he also allows that names for the disparate dispensations have sometimes differed.</w:t>
      </w:r>
      <w:r w:rsidRPr="00A249BB">
        <w:rPr>
          <w:rStyle w:val="EndnoteReference"/>
        </w:rPr>
        <w:endnoteReference w:id="1135"/>
      </w:r>
      <w:r w:rsidRPr="00A249BB">
        <w:rPr>
          <w:rStyle w:val="ind"/>
        </w:rPr>
        <w:t xml:space="preserve">  Feinberg holds that ‘the number of dispensations is not at the heart of the system’.</w:t>
      </w:r>
      <w:r w:rsidRPr="00A249BB">
        <w:rPr>
          <w:rStyle w:val="EndnoteReference"/>
        </w:rPr>
        <w:endnoteReference w:id="1136"/>
      </w:r>
      <w:r w:rsidRPr="00A249BB">
        <w:rPr>
          <w:rStyle w:val="ind"/>
        </w:rPr>
        <w:t xml:space="preserve">  Ryrie attributes differences in number ‘not … to a defect in the dispensational scheme but rather … to a lack of the detailed revelation concerning the earliest periods of Biblical history’.  ‘On the basis of the definition of a dispensation as a distinguishable economy in the outworking of God’s purpose, it is not difficult to deduce how many dispensations are revealed in Scripture’.</w:t>
      </w:r>
      <w:r w:rsidRPr="00A249BB">
        <w:rPr>
          <w:rStyle w:val="EndnoteReference"/>
        </w:rPr>
        <w:endnoteReference w:id="1137"/>
      </w:r>
      <w:r w:rsidRPr="00A249BB">
        <w:rPr>
          <w:rStyle w:val="ind"/>
        </w:rPr>
        <w:t xml:space="preserve">  Ryrie concludes that ‘it seems hard not to arrive at seven’; the seven which he gives are similar to those of Scofield.  </w:t>
      </w:r>
      <w:r w:rsidRPr="00A249BB">
        <w:t>Ryrie’s categories are Innocency, Conscience, Civil Government, Patriarchal Rule, Mosaic Law, Grace and Millennium; Scofield’s are shown below.</w:t>
      </w:r>
      <w:r w:rsidRPr="00A249BB">
        <w:rPr>
          <w:rStyle w:val="EndnoteReference"/>
        </w:rPr>
        <w:endnoteReference w:id="1138"/>
      </w:r>
      <w:r w:rsidRPr="00A249BB">
        <w:t xml:space="preserve">  </w:t>
      </w:r>
      <w:r w:rsidRPr="00A249BB">
        <w:rPr>
          <w:rStyle w:val="ind"/>
        </w:rPr>
        <w:t>Aldrich argues that agreement on the number and nature of dispensations from Adam to Moses is ‘not so important’ but that ‘it is vitally important’ to understand ‘the difference between law and grace, Moses and Christ’.</w:t>
      </w:r>
      <w:r w:rsidRPr="00A249BB">
        <w:rPr>
          <w:rStyle w:val="EndnoteReference"/>
        </w:rPr>
        <w:endnoteReference w:id="1139"/>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Comparing ‘revised dispensationalists’ with ‘classical dispensationalists’ like Scofield and Chafer, Blaising states that the former, (generally active between the late 1950s and late 1970s), usually maintained Scofield’s dispensations but ‘distinguished between God’s purposes in the dispensations prior to Grace (the dispensations prior to the church) and His purpose in the Kingdom dispensation (the Millennium)’.</w:t>
      </w:r>
      <w:r w:rsidRPr="00A249BB">
        <w:rPr>
          <w:rStyle w:val="EndnoteReference"/>
        </w:rPr>
        <w:endnoteReference w:id="1140"/>
      </w:r>
      <w:r w:rsidRPr="00A249BB">
        <w:rPr>
          <w:rStyle w:val="ind"/>
        </w:rPr>
        <w:t xml:space="preserve">  Progressive Dispensationalists see dispensations ‘not simply as </w:t>
      </w:r>
      <w:r w:rsidRPr="00A249BB">
        <w:rPr>
          <w:rStyle w:val="ind"/>
          <w:i/>
        </w:rPr>
        <w:t>different</w:t>
      </w:r>
      <w:r w:rsidRPr="00A249BB">
        <w:rPr>
          <w:rStyle w:val="ind"/>
        </w:rPr>
        <w:t xml:space="preserve"> arrangements between God and humankind, but as </w:t>
      </w:r>
      <w:r w:rsidRPr="00A249BB">
        <w:rPr>
          <w:rStyle w:val="ind"/>
          <w:i/>
        </w:rPr>
        <w:t>successive</w:t>
      </w:r>
      <w:r w:rsidRPr="00A249BB">
        <w:rPr>
          <w:rStyle w:val="ind"/>
        </w:rPr>
        <w:t xml:space="preserve"> arrangements in the progressive revelation and accomplishment of redemption’.  Different dispensations emphasise different aspects of the plan but all ‘point to a future culmination in which God will both politically administer Israel and Gentile nations </w:t>
      </w:r>
      <w:r w:rsidRPr="00A249BB">
        <w:rPr>
          <w:rStyle w:val="ind"/>
          <w:i/>
        </w:rPr>
        <w:t>and</w:t>
      </w:r>
      <w:r w:rsidRPr="00A249BB">
        <w:rPr>
          <w:rStyle w:val="ind"/>
        </w:rPr>
        <w:t xml:space="preserve"> indwell all of them equally (without ethnic distinctions) by the Holy Spirit’.</w:t>
      </w:r>
      <w:r w:rsidRPr="00A249BB">
        <w:rPr>
          <w:rStyle w:val="EndnoteReference"/>
        </w:rPr>
        <w:endnoteReference w:id="1141"/>
      </w:r>
      <w:r w:rsidRPr="00A249BB">
        <w:rPr>
          <w:rStyle w:val="ind"/>
        </w:rPr>
        <w:t xml:space="preserve"> </w:t>
      </w:r>
    </w:p>
    <w:p w:rsidR="00442D33" w:rsidRPr="006F1D19" w:rsidRDefault="006F1D19" w:rsidP="00442D33">
      <w:pPr>
        <w:spacing w:after="120" w:line="360" w:lineRule="auto"/>
        <w:jc w:val="both"/>
        <w:rPr>
          <w:rStyle w:val="ind"/>
          <w:b/>
        </w:rPr>
      </w:pPr>
      <w:proofErr w:type="gramStart"/>
      <w:r w:rsidRPr="006F1D19">
        <w:rPr>
          <w:rStyle w:val="ind"/>
          <w:b/>
        </w:rPr>
        <w:t xml:space="preserve">5.1.2  </w:t>
      </w:r>
      <w:r w:rsidR="00442D33" w:rsidRPr="006F1D19">
        <w:rPr>
          <w:rStyle w:val="ind"/>
          <w:b/>
        </w:rPr>
        <w:t>Covenants</w:t>
      </w:r>
      <w:proofErr w:type="gramEnd"/>
    </w:p>
    <w:p w:rsidR="00442D33" w:rsidRPr="00A249BB" w:rsidRDefault="00442D33" w:rsidP="00442D33">
      <w:pPr>
        <w:spacing w:after="120" w:line="360" w:lineRule="auto"/>
        <w:jc w:val="both"/>
        <w:rPr>
          <w:rStyle w:val="ind"/>
        </w:rPr>
      </w:pPr>
      <w:r w:rsidRPr="00A249BB">
        <w:rPr>
          <w:rStyle w:val="ind"/>
        </w:rPr>
        <w:t>Blaising states that the word ‘covenant’ is ‘used in the Bible to refer to a variety of formal or legal agreements’.  He also states that ‘the notions of dispensation and of covenant are definitely interrelated’ in the field of divine/human relationships’.</w:t>
      </w:r>
      <w:r w:rsidRPr="00A249BB">
        <w:rPr>
          <w:rStyle w:val="EndnoteReference"/>
        </w:rPr>
        <w:endnoteReference w:id="1142"/>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lastRenderedPageBreak/>
        <w:t>In ‘Covenant and Covenants in the Bible’, Robert Bradshaw explores similarities between the biblical covenants and other covenants in the Ancient Near East.</w:t>
      </w:r>
      <w:r w:rsidRPr="00A249BB">
        <w:rPr>
          <w:rStyle w:val="EndnoteReference"/>
        </w:rPr>
        <w:endnoteReference w:id="1143"/>
      </w:r>
      <w:r w:rsidRPr="00A249BB">
        <w:rPr>
          <w:rStyle w:val="ind"/>
        </w:rPr>
        <w:t xml:space="preserve">  He states that there are basically two types of covenant: the parity agreement between equals, and the suzerainty or vassal treaty between a Lord and his vassal.  Late Bronze Age Hittite treaties usually contained a selection of six possible elements – a ‘title/preamble’ and ‘historical prologue’ which established the identities of the parties involved and recalled the history of their relationship, often emphasising obligation on the basis of past benefits.  Stipulations were made about the consequences of disobedience and included the vassal’s loyalty to the suzerain and obligation to ‘appear before the suzerain annually (usually with tribute)</w:t>
      </w:r>
      <w:r>
        <w:rPr>
          <w:rStyle w:val="ind"/>
        </w:rPr>
        <w:t>’</w:t>
      </w:r>
      <w:r w:rsidRPr="00A249BB">
        <w:rPr>
          <w:rStyle w:val="ind"/>
        </w:rPr>
        <w:t>.  Treaties were often placed in the temple at the heart of the society of a vassal state and the gods of both parties were called upon ‘to witness and enforce the treaty’.</w:t>
      </w:r>
      <w:r w:rsidRPr="00A249BB">
        <w:rPr>
          <w:rStyle w:val="EndnoteReference"/>
        </w:rPr>
        <w:endnoteReference w:id="1144"/>
      </w:r>
    </w:p>
    <w:p w:rsidR="00442D33" w:rsidRPr="00A249BB" w:rsidRDefault="00442D33" w:rsidP="00442D33">
      <w:pPr>
        <w:spacing w:after="120" w:line="360" w:lineRule="auto"/>
        <w:ind w:firstLine="567"/>
        <w:jc w:val="both"/>
        <w:rPr>
          <w:rStyle w:val="ind"/>
        </w:rPr>
      </w:pPr>
      <w:r w:rsidRPr="00A249BB">
        <w:rPr>
          <w:rStyle w:val="ind"/>
        </w:rPr>
        <w:t>Blaising identifies all of these elements in Mosaic Covenant, and in fact in the literary structures of Exodus and Deuteronomy.  He regards these structures as ‘a typical Suzerain-vassal treaty</w:t>
      </w:r>
      <w:r>
        <w:rPr>
          <w:rStyle w:val="ind"/>
        </w:rPr>
        <w:t>’</w:t>
      </w:r>
      <w:r w:rsidRPr="00A249BB">
        <w:rPr>
          <w:rStyle w:val="ind"/>
        </w:rPr>
        <w:t>, which includes the identity of the King;</w:t>
      </w:r>
      <w:r w:rsidRPr="00A249BB">
        <w:rPr>
          <w:rStyle w:val="EndnoteReference"/>
        </w:rPr>
        <w:endnoteReference w:id="1145"/>
      </w:r>
      <w:r w:rsidRPr="00A249BB">
        <w:rPr>
          <w:rStyle w:val="ind"/>
        </w:rPr>
        <w:t xml:space="preserve"> the historical relationship between the King and people;</w:t>
      </w:r>
      <w:r w:rsidRPr="00A249BB">
        <w:rPr>
          <w:rStyle w:val="EndnoteReference"/>
        </w:rPr>
        <w:endnoteReference w:id="1146"/>
      </w:r>
      <w:r w:rsidRPr="00A249BB">
        <w:rPr>
          <w:rStyle w:val="ind"/>
        </w:rPr>
        <w:t xml:space="preserve"> stipulations and laws of the King;</w:t>
      </w:r>
      <w:r w:rsidRPr="00A249BB">
        <w:rPr>
          <w:rStyle w:val="EndnoteReference"/>
        </w:rPr>
        <w:endnoteReference w:id="1147"/>
      </w:r>
      <w:r w:rsidRPr="00A249BB">
        <w:rPr>
          <w:rStyle w:val="ind"/>
        </w:rPr>
        <w:t xml:space="preserve"> blessings and curses;</w:t>
      </w:r>
      <w:r w:rsidRPr="00A249BB">
        <w:rPr>
          <w:rStyle w:val="EndnoteReference"/>
        </w:rPr>
        <w:endnoteReference w:id="1148"/>
      </w:r>
      <w:r w:rsidRPr="00A249BB">
        <w:rPr>
          <w:rStyle w:val="ind"/>
        </w:rPr>
        <w:t xml:space="preserve"> witnesses;</w:t>
      </w:r>
      <w:r w:rsidRPr="00A249BB">
        <w:rPr>
          <w:rStyle w:val="EndnoteReference"/>
        </w:rPr>
        <w:endnoteReference w:id="1149"/>
      </w:r>
      <w:r w:rsidRPr="00A249BB">
        <w:rPr>
          <w:rStyle w:val="ind"/>
        </w:rPr>
        <w:t xml:space="preserve"> a ceremonial meal</w:t>
      </w:r>
      <w:r w:rsidRPr="00A249BB">
        <w:rPr>
          <w:rStyle w:val="EndnoteReference"/>
        </w:rPr>
        <w:endnoteReference w:id="1150"/>
      </w:r>
      <w:r w:rsidRPr="00A249BB">
        <w:rPr>
          <w:rStyle w:val="ind"/>
        </w:rPr>
        <w:t xml:space="preserve"> and filing of the Treaty.</w:t>
      </w:r>
      <w:r w:rsidRPr="00A249BB">
        <w:rPr>
          <w:rStyle w:val="EndnoteReference"/>
        </w:rPr>
        <w:endnoteReference w:id="1151"/>
      </w:r>
      <w:r w:rsidRPr="00A249BB">
        <w:rPr>
          <w:rStyle w:val="ind"/>
        </w:rPr>
        <w:t xml:space="preserve">  He notes the blessings of this Suzerain-vassal treaty are ‘conditioned on the fulfilment of the stipulations’ and that curses may w</w:t>
      </w:r>
      <w:r w:rsidR="00E921B6">
        <w:rPr>
          <w:rStyle w:val="ind"/>
        </w:rPr>
        <w:t>e</w:t>
      </w:r>
      <w:r w:rsidRPr="00A249BB">
        <w:rPr>
          <w:rStyle w:val="ind"/>
        </w:rPr>
        <w:t>ll take place if laws are transgressed.</w:t>
      </w:r>
      <w:r w:rsidRPr="00A249BB">
        <w:rPr>
          <w:rStyle w:val="EndnoteReference"/>
        </w:rPr>
        <w:endnoteReference w:id="1152"/>
      </w:r>
    </w:p>
    <w:p w:rsidR="00442D33" w:rsidRPr="00A249BB" w:rsidRDefault="00442D33" w:rsidP="00442D33">
      <w:pPr>
        <w:spacing w:after="120" w:line="360" w:lineRule="auto"/>
        <w:ind w:firstLine="567"/>
        <w:jc w:val="both"/>
        <w:rPr>
          <w:rStyle w:val="ind"/>
        </w:rPr>
      </w:pPr>
      <w:r w:rsidRPr="00A249BB">
        <w:rPr>
          <w:rStyle w:val="ind"/>
        </w:rPr>
        <w:t>Blaising’s account of the biblical covenants begins with the Noahic Covenant, which he accurately identifies as being the subject of the first appearance in the Bible of the word, ‘covenant’.</w:t>
      </w:r>
      <w:r w:rsidRPr="00A249BB">
        <w:rPr>
          <w:rStyle w:val="EndnoteReference"/>
        </w:rPr>
        <w:endnoteReference w:id="1153"/>
      </w:r>
      <w:r w:rsidRPr="00A249BB">
        <w:rPr>
          <w:rStyle w:val="ind"/>
        </w:rPr>
        <w:t xml:space="preserve">  ‘It is used to formalize divine promises of blessing’ after the judgments of Genesis 3 and of the flood, which ‘call into question the plan of creation’.</w:t>
      </w:r>
      <w:r w:rsidRPr="00A249BB">
        <w:rPr>
          <w:rStyle w:val="EndnoteReference"/>
        </w:rPr>
        <w:endnoteReference w:id="1154"/>
      </w:r>
      <w:r w:rsidRPr="00A249BB">
        <w:rPr>
          <w:rStyle w:val="ind"/>
        </w:rPr>
        <w:t xml:space="preserve">  Blaising also gives a synopsis of the progression of four of the biblical covenants: the Abrahamic, Mosaic, Davidic and New.  He regards the Abrahamic Covenant as foundational – ‘the story of the Bible, from Abraham on, is the story of God’s relationship with human beings as set forth in this covenant and developed from it as its features are expanded and detailed in subsequent revelation’.  The Mosaic Covenant inaugurated ‘a new dispensation for blessing’, in which Israel, as descendants of the patriarchs as a nation, were ‘challenged … to trust in God alone and obey His commandments</w:t>
      </w:r>
      <w:r>
        <w:rPr>
          <w:rStyle w:val="ind"/>
        </w:rPr>
        <w:t>’</w:t>
      </w:r>
      <w:r w:rsidRPr="00A249BB">
        <w:rPr>
          <w:rStyle w:val="ind"/>
        </w:rPr>
        <w:t>.  It was during the Mosaic Dispensation that ‘a covenant was made with David to bless him and his son(s) with rulership over Israel and the rest of the nations, an intimate and blessed relationship with God, and the mediation … of blessing to Israel and to all peoples and nations’.  Following the ensuing history of Israel’s apostasy and exile ‘the prophets looked to a new dispensation in which a new covenant would replace the Mosaic covenant and bring the Abrahamic grant into everlasting fulfillment’, ‘exemplified in the life of a Davidic king’ through whom blessing would come to Israel and the nations, ‘all … who trust in God through this king’.</w:t>
      </w:r>
      <w:r w:rsidRPr="00A249BB">
        <w:rPr>
          <w:rStyle w:val="EndnoteReference"/>
        </w:rPr>
        <w:endnoteReference w:id="1155"/>
      </w:r>
      <w:r w:rsidRPr="00A249BB">
        <w:rPr>
          <w:rStyle w:val="ind"/>
        </w:rPr>
        <w:t xml:space="preserve">  </w:t>
      </w:r>
    </w:p>
    <w:p w:rsidR="00442D33" w:rsidRPr="00BD2C38" w:rsidRDefault="00442D33" w:rsidP="00442D33">
      <w:pPr>
        <w:spacing w:after="120" w:line="360" w:lineRule="auto"/>
        <w:ind w:firstLine="567"/>
        <w:jc w:val="both"/>
        <w:rPr>
          <w:rStyle w:val="ind"/>
          <w:spacing w:val="-2"/>
        </w:rPr>
      </w:pPr>
      <w:r w:rsidRPr="00BD2C38">
        <w:rPr>
          <w:rStyle w:val="ind"/>
          <w:spacing w:val="-2"/>
        </w:rPr>
        <w:t xml:space="preserve">Tan also regards these four covenants as the most important.  He states that ‘throughout the Old Testament Scriptures, God makes several important covenants with His people.  He covenants with </w:t>
      </w:r>
      <w:r w:rsidRPr="00BD2C38">
        <w:rPr>
          <w:rStyle w:val="ind"/>
          <w:spacing w:val="-2"/>
        </w:rPr>
        <w:lastRenderedPageBreak/>
        <w:t>Abraham,</w:t>
      </w:r>
      <w:r w:rsidRPr="00BD2C38">
        <w:rPr>
          <w:rStyle w:val="EndnoteReference"/>
          <w:spacing w:val="-2"/>
        </w:rPr>
        <w:endnoteReference w:id="1156"/>
      </w:r>
      <w:r w:rsidRPr="00BD2C38">
        <w:rPr>
          <w:rStyle w:val="ind"/>
          <w:spacing w:val="-2"/>
        </w:rPr>
        <w:t xml:space="preserve"> the nation of Israel,</w:t>
      </w:r>
      <w:r w:rsidRPr="00BD2C38">
        <w:rPr>
          <w:rStyle w:val="EndnoteReference"/>
          <w:spacing w:val="-2"/>
        </w:rPr>
        <w:endnoteReference w:id="1157"/>
      </w:r>
      <w:r w:rsidRPr="00BD2C38">
        <w:rPr>
          <w:rStyle w:val="ind"/>
          <w:spacing w:val="-2"/>
        </w:rPr>
        <w:t xml:space="preserve"> David</w:t>
      </w:r>
      <w:r w:rsidRPr="00BD2C38">
        <w:rPr>
          <w:rStyle w:val="EndnoteReference"/>
          <w:spacing w:val="-2"/>
        </w:rPr>
        <w:endnoteReference w:id="1158"/>
      </w:r>
      <w:r w:rsidRPr="00BD2C38">
        <w:rPr>
          <w:rStyle w:val="ind"/>
          <w:spacing w:val="-2"/>
        </w:rPr>
        <w:t xml:space="preserve"> and with future Israel.’</w:t>
      </w:r>
      <w:r w:rsidRPr="00BD2C38">
        <w:rPr>
          <w:rStyle w:val="EndnoteReference"/>
          <w:spacing w:val="-2"/>
        </w:rPr>
        <w:endnoteReference w:id="1159"/>
      </w:r>
      <w:r w:rsidRPr="00BD2C38">
        <w:rPr>
          <w:rStyle w:val="ind"/>
          <w:spacing w:val="-2"/>
        </w:rPr>
        <w:t xml:space="preserve">  Tan also states that ‘literal prophetic interpreters … affirm that all Bible covenants (except the Mosaic) are unconditional and absolute, being dependent solely on God for their fulfillment’.  He takes the Abrahamic Covenant as an example of this.</w:t>
      </w:r>
      <w:r w:rsidRPr="00BD2C38">
        <w:rPr>
          <w:rStyle w:val="EndnoteReference"/>
          <w:spacing w:val="-2"/>
        </w:rPr>
        <w:endnoteReference w:id="1160"/>
      </w:r>
      <w:r w:rsidRPr="00BD2C38">
        <w:rPr>
          <w:rStyle w:val="ind"/>
          <w:spacing w:val="-2"/>
        </w:rPr>
        <w:t xml:space="preserve">  It is noticeable that neither Tan nor Blaising mentions a ‘Palestinian Covenant’, upon which Scofield places </w:t>
      </w:r>
      <w:r w:rsidRPr="00337CC0">
        <w:rPr>
          <w:rStyle w:val="ind"/>
          <w:spacing w:val="-4"/>
        </w:rPr>
        <w:t xml:space="preserve">much emphasis, or the Edenic and Adamic Covenants, which Scofield posits in commentary on Genesis 1 </w:t>
      </w:r>
      <w:r w:rsidRPr="00337CC0">
        <w:rPr>
          <w:spacing w:val="-4"/>
          <w:sz w:val="16"/>
          <w:szCs w:val="24"/>
        </w:rPr>
        <w:t>—</w:t>
      </w:r>
      <w:r>
        <w:rPr>
          <w:sz w:val="16"/>
          <w:szCs w:val="24"/>
        </w:rPr>
        <w:t xml:space="preserve"> </w:t>
      </w:r>
      <w:r w:rsidRPr="00BD2C38">
        <w:rPr>
          <w:rStyle w:val="ind"/>
          <w:spacing w:val="-2"/>
        </w:rPr>
        <w:t xml:space="preserve">3.      </w:t>
      </w:r>
    </w:p>
    <w:p w:rsidR="00442D33" w:rsidRPr="00A249BB" w:rsidRDefault="00442D33" w:rsidP="00442D33">
      <w:pPr>
        <w:spacing w:after="120" w:line="360" w:lineRule="auto"/>
        <w:ind w:firstLine="567"/>
        <w:jc w:val="both"/>
        <w:rPr>
          <w:rStyle w:val="ind"/>
        </w:rPr>
      </w:pPr>
      <w:r w:rsidRPr="00A249BB">
        <w:rPr>
          <w:rStyle w:val="ind"/>
        </w:rPr>
        <w:t>In his consideration of the development of dispensational thought, Blaising states that classical dispensationalists regard the Abrahamic Covenant as the foundational scriptural covenant , which applied primarily to ‘God’s earthly purpose for earthly peoples’ but which ‘could also be interpreted spiritually … to reveal the heavenly purpose and heavenly people’.  The Mosaic, Palestinian and Davidic Covenants also ‘dealt with God’s earthly purpose, not with the heavenly/spiritual purpose</w:t>
      </w:r>
      <w:r>
        <w:rPr>
          <w:rStyle w:val="ind"/>
        </w:rPr>
        <w:t>’</w:t>
      </w:r>
      <w:r w:rsidRPr="00A249BB">
        <w:rPr>
          <w:rStyle w:val="ind"/>
        </w:rPr>
        <w:t>.  Even the new covenant (prophesied in Isaiah, Jeremiah and Ezekiel) was interpreted primarily or solely as an earthly covenant.</w:t>
      </w:r>
      <w:r w:rsidRPr="00A249BB">
        <w:rPr>
          <w:rStyle w:val="EndnoteReference"/>
        </w:rPr>
        <w:endnoteReference w:id="1161"/>
      </w:r>
      <w:r w:rsidRPr="00A249BB">
        <w:rPr>
          <w:rStyle w:val="ind"/>
        </w:rPr>
        <w:t xml:space="preserve">  For example, Darby states, ‘</w:t>
      </w:r>
      <w:r w:rsidRPr="00A249BB">
        <w:t>We get the blessings of [the new covenant] spiritually, as I have said; but formally the new covenant, as the old to which it refers as new, is made with Israel, and with no one else.</w:t>
      </w:r>
      <w:r w:rsidRPr="00A249BB">
        <w:rPr>
          <w:rStyle w:val="ind"/>
        </w:rPr>
        <w:t>’</w:t>
      </w:r>
      <w:r w:rsidRPr="00A249BB">
        <w:rPr>
          <w:rStyle w:val="EndnoteReference"/>
        </w:rPr>
        <w:endnoteReference w:id="1162"/>
      </w:r>
      <w:r w:rsidRPr="00A249BB">
        <w:rPr>
          <w:rStyle w:val="ind"/>
        </w:rPr>
        <w:t xml:space="preserve">  Chafer states that the New Covenant ‘does not directly apply to [the believer</w:t>
      </w:r>
      <w:r>
        <w:rPr>
          <w:rStyle w:val="ind"/>
        </w:rPr>
        <w:t>]</w:t>
      </w:r>
      <w:r w:rsidRPr="00A249BB">
        <w:rPr>
          <w:rStyle w:val="ind"/>
        </w:rPr>
        <w:t>’.</w:t>
      </w:r>
      <w:r w:rsidRPr="00A249BB">
        <w:rPr>
          <w:rStyle w:val="EndnoteReference"/>
        </w:rPr>
        <w:endnoteReference w:id="1163"/>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 xml:space="preserve">Blaising avers that, with revised dispensationalists, too, ‘the Abrahamic, Mosaic, Palestinian and Davidic Covenants were seen as earthly, political and national’, although they also believed that the church was the ‘spiritual seed of Abraham’ and that the Abrahamic Covenant </w:t>
      </w:r>
      <w:r w:rsidR="00113AA6">
        <w:rPr>
          <w:rStyle w:val="ind"/>
        </w:rPr>
        <w:t>wa</w:t>
      </w:r>
      <w:r w:rsidRPr="00A249BB">
        <w:rPr>
          <w:rStyle w:val="ind"/>
        </w:rPr>
        <w:t>s spiritually fulfilled in the church.  He states that progressive dispensationalists have a more unified view of the biblical covenants than exponents of earlier versions of dispensationalism.</w:t>
      </w:r>
      <w:r w:rsidRPr="00A249BB">
        <w:rPr>
          <w:rStyle w:val="EndnoteReference"/>
        </w:rPr>
        <w:endnoteReference w:id="1164"/>
      </w:r>
      <w:r w:rsidRPr="00A249BB">
        <w:rPr>
          <w:rStyle w:val="ind"/>
        </w:rPr>
        <w:t xml:space="preserve">  This is different from Scofield’s view which links the covenants more strongly with the dispensations and apparently sees less continuity between them.  Blaising states that progressive dispensationalists still see the Abrahamic Covenant as foundational and the blessings of the later covenants as explicating the promises of blessing to Abraham.  The new covenant is ‘the form in which the Abrahamic Covenant has been inaugurated in this dispensation and will be fully fulfilled in the future’ at Christ’s return.  Today’s spiritual blessings were ‘predicted by the new covenant’.</w:t>
      </w:r>
      <w:r w:rsidRPr="00A249BB">
        <w:rPr>
          <w:rStyle w:val="EndnoteReference"/>
        </w:rPr>
        <w:endnoteReference w:id="1165"/>
      </w:r>
      <w:r w:rsidRPr="00A249BB">
        <w:rPr>
          <w:rStyle w:val="ind"/>
        </w:rPr>
        <w:t xml:space="preserve">  </w:t>
      </w:r>
    </w:p>
    <w:p w:rsidR="00442D33" w:rsidRPr="00A249BB" w:rsidRDefault="00442D33" w:rsidP="00442D33">
      <w:pPr>
        <w:spacing w:after="120" w:line="360" w:lineRule="auto"/>
        <w:ind w:firstLine="567"/>
        <w:jc w:val="both"/>
        <w:rPr>
          <w:rStyle w:val="ind"/>
        </w:rPr>
      </w:pPr>
      <w:r w:rsidRPr="00A249BB">
        <w:rPr>
          <w:rStyle w:val="ind"/>
        </w:rPr>
        <w:t>Bradshaw’s paper contains several references which are important in view of Scofield’s treatment of covenants.  Significantly, in view of the blessing and curse clauses in the Abrahamic Covenant,</w:t>
      </w:r>
      <w:r w:rsidRPr="00A249BB">
        <w:rPr>
          <w:rStyle w:val="EndnoteReference"/>
        </w:rPr>
        <w:endnoteReference w:id="1166"/>
      </w:r>
      <w:r w:rsidRPr="00A249BB">
        <w:rPr>
          <w:rStyle w:val="ind"/>
        </w:rPr>
        <w:t xml:space="preserve"> Bradshaw states that ‘obedience to the terms of the covenant brought corresponding blessings and disobedience cursings similar to those described in Deuteronomy 28’.  Also significantly, he states that ‘the most common method of ratifying a treaty involved the cutting up of an animal.  The unspoken implication was that if the covenant was broken, then the offender would become like the animal.’  Bradshaw notes that the fact that ‘Abraham was sent into a deep sleep</w:t>
      </w:r>
      <w:r w:rsidRPr="00A249BB">
        <w:rPr>
          <w:rStyle w:val="EndnoteReference"/>
        </w:rPr>
        <w:endnoteReference w:id="1167"/>
      </w:r>
      <w:r w:rsidRPr="00A249BB">
        <w:rPr>
          <w:rStyle w:val="ind"/>
        </w:rPr>
        <w:t xml:space="preserve"> and so the Lord passed through [the separated bodies] alone</w:t>
      </w:r>
      <w:r w:rsidRPr="00A249BB">
        <w:rPr>
          <w:rStyle w:val="EndnoteReference"/>
        </w:rPr>
        <w:endnoteReference w:id="1168"/>
      </w:r>
      <w:r w:rsidRPr="00A249BB">
        <w:rPr>
          <w:rStyle w:val="ind"/>
        </w:rPr>
        <w:t xml:space="preserve"> … is generally seen as indicating that he was solely obligated to fulfil the covenant promises’.  However, Bradshaw also emphasises that ‘other passages in Genesis make it clear that Abraham still had a part to play in the covenantal relationship’.</w:t>
      </w:r>
      <w:r w:rsidRPr="00A249BB">
        <w:rPr>
          <w:rStyle w:val="EndnoteReference"/>
        </w:rPr>
        <w:endnoteReference w:id="1169"/>
      </w:r>
    </w:p>
    <w:p w:rsidR="00442D33" w:rsidRPr="00A249BB" w:rsidRDefault="00442D33" w:rsidP="00442D33">
      <w:pPr>
        <w:spacing w:after="120" w:line="360" w:lineRule="auto"/>
        <w:ind w:firstLine="567"/>
        <w:jc w:val="both"/>
        <w:rPr>
          <w:rStyle w:val="ind"/>
        </w:rPr>
      </w:pPr>
      <w:r w:rsidRPr="00A249BB">
        <w:rPr>
          <w:rStyle w:val="ind"/>
        </w:rPr>
        <w:lastRenderedPageBreak/>
        <w:t xml:space="preserve">Bradshaw notes that the Mosaic Covenant ‘follows very closely the contemporary Hittie suzerainty treaties’ in ‘Israel’s obligation to Yahweh is derived from His gracious acts on their behalf … He has delivered them from the hand of Pharaoh and has now given this opportunity to serve Him, which they accept’.  Notably, </w:t>
      </w:r>
      <w:proofErr w:type="gramStart"/>
      <w:r w:rsidRPr="00A249BB">
        <w:rPr>
          <w:rStyle w:val="ind"/>
        </w:rPr>
        <w:t>this covenant</w:t>
      </w:r>
      <w:proofErr w:type="gramEnd"/>
      <w:r w:rsidRPr="00A249BB">
        <w:rPr>
          <w:rStyle w:val="ind"/>
        </w:rPr>
        <w:t xml:space="preserve"> ‘adds no further promise to those given to Abraham’ and is ratified by ‘the blood of the covenant’.  Violation of the covenant by the people’s worship of the golden calf resulted in punishment by plague but, although ‘from that point onwards [the LORD’s] presence would be manifested to Moses alone’, because of His abundant ‘</w:t>
      </w:r>
      <w:r w:rsidRPr="00A249BB">
        <w:rPr>
          <w:rStyle w:val="ind"/>
          <w:i/>
        </w:rPr>
        <w:t>hesed</w:t>
      </w:r>
      <w:r w:rsidRPr="00A249BB">
        <w:rPr>
          <w:rStyle w:val="ind"/>
        </w:rPr>
        <w:t>’,</w:t>
      </w:r>
      <w:r>
        <w:rPr>
          <w:rStyle w:val="EndnoteReference"/>
        </w:rPr>
        <w:endnoteReference w:id="1170"/>
      </w:r>
      <w:r w:rsidRPr="00A249BB">
        <w:rPr>
          <w:rStyle w:val="ind"/>
        </w:rPr>
        <w:t xml:space="preserve"> God would fulfil His promise to the patriarchs.</w:t>
      </w:r>
      <w:r w:rsidRPr="00A249BB">
        <w:rPr>
          <w:rStyle w:val="EndnoteReference"/>
        </w:rPr>
        <w:endnoteReference w:id="1171"/>
      </w:r>
    </w:p>
    <w:p w:rsidR="00442D33" w:rsidRPr="00A249BB" w:rsidRDefault="00442D33" w:rsidP="00442D33">
      <w:pPr>
        <w:spacing w:after="120" w:line="360" w:lineRule="auto"/>
        <w:ind w:firstLine="567"/>
        <w:jc w:val="both"/>
        <w:rPr>
          <w:rStyle w:val="ind"/>
        </w:rPr>
      </w:pPr>
      <w:r w:rsidRPr="00A249BB">
        <w:rPr>
          <w:rStyle w:val="ind"/>
        </w:rPr>
        <w:t>Bradshaw sees the Davidic Covenant as ‘the renewal of the promises made to Abraham to a specific family’.  It encompassed ‘several developments in Hebrew theology’: David’s city on Mount Zion ‘became the focus of soteriological and eschatological interest, rather than the whole of the Promised Land’ and the idea of ‘an ideal Davidite’, the Messiah</w:t>
      </w:r>
      <w:r>
        <w:rPr>
          <w:rStyle w:val="ind"/>
        </w:rPr>
        <w:t>,</w:t>
      </w:r>
      <w:r w:rsidRPr="00A249BB">
        <w:rPr>
          <w:rStyle w:val="ind"/>
        </w:rPr>
        <w:t xml:space="preserve"> emerges; even though he would be chastised for sin, ‘the promise would be fulfilled’.  The concept of a ‘new covenant’, as mentioned in Jer. 31:31, contains all the elements of the preceding Noahic, Abrahamic, Mosaic and Davidic Covenants and is ‘“new” in the sense that it fulfilled and achieved the purposes of those that preceded it’.  </w:t>
      </w:r>
    </w:p>
    <w:p w:rsidR="003964A0" w:rsidRPr="006F1D19" w:rsidRDefault="006F1D19" w:rsidP="003964A0">
      <w:pPr>
        <w:spacing w:after="120" w:line="360" w:lineRule="auto"/>
        <w:ind w:right="74"/>
        <w:jc w:val="both"/>
        <w:rPr>
          <w:b/>
          <w:sz w:val="24"/>
          <w:szCs w:val="28"/>
        </w:rPr>
      </w:pPr>
      <w:proofErr w:type="gramStart"/>
      <w:r w:rsidRPr="006F1D19">
        <w:rPr>
          <w:b/>
          <w:sz w:val="24"/>
          <w:szCs w:val="28"/>
        </w:rPr>
        <w:t xml:space="preserve">5.2  </w:t>
      </w:r>
      <w:r w:rsidR="003964A0" w:rsidRPr="006F1D19">
        <w:rPr>
          <w:b/>
          <w:sz w:val="24"/>
          <w:szCs w:val="28"/>
        </w:rPr>
        <w:t>Dispensations</w:t>
      </w:r>
      <w:proofErr w:type="gramEnd"/>
      <w:r w:rsidR="003964A0" w:rsidRPr="006F1D19">
        <w:rPr>
          <w:b/>
          <w:sz w:val="24"/>
          <w:szCs w:val="28"/>
        </w:rPr>
        <w:t xml:space="preserve"> and Covenants in</w:t>
      </w:r>
      <w:r w:rsidR="00667D17">
        <w:rPr>
          <w:b/>
          <w:sz w:val="24"/>
          <w:szCs w:val="28"/>
        </w:rPr>
        <w:t xml:space="preserve"> the </w:t>
      </w:r>
      <w:r w:rsidR="00667D17" w:rsidRPr="00667D17">
        <w:rPr>
          <w:b/>
          <w:i/>
          <w:sz w:val="24"/>
          <w:szCs w:val="28"/>
        </w:rPr>
        <w:t>Scofield Reference Bible</w:t>
      </w:r>
    </w:p>
    <w:p w:rsidR="00442D33" w:rsidRPr="00A249BB" w:rsidRDefault="003964A0" w:rsidP="003964A0">
      <w:pPr>
        <w:spacing w:after="120" w:line="360" w:lineRule="auto"/>
        <w:ind w:right="71"/>
        <w:jc w:val="both"/>
      </w:pPr>
      <w:r>
        <w:t>Dispensations and c</w:t>
      </w:r>
      <w:r w:rsidRPr="00A249BB">
        <w:t>ovenants lie at the heart of Scofield’s theology and eschatology</w:t>
      </w:r>
      <w:r>
        <w:t>.</w:t>
      </w:r>
      <w:r w:rsidR="00442D33" w:rsidRPr="00A249BB">
        <w:t xml:space="preserve"> </w:t>
      </w:r>
    </w:p>
    <w:p w:rsidR="00442D33" w:rsidRPr="006F1D19" w:rsidRDefault="006F1D19" w:rsidP="00442D33">
      <w:pPr>
        <w:spacing w:after="120" w:line="360" w:lineRule="auto"/>
        <w:ind w:right="71"/>
        <w:jc w:val="both"/>
        <w:rPr>
          <w:b/>
        </w:rPr>
      </w:pPr>
      <w:proofErr w:type="gramStart"/>
      <w:r w:rsidRPr="006F1D19">
        <w:rPr>
          <w:b/>
        </w:rPr>
        <w:t xml:space="preserve">5.2.1  </w:t>
      </w:r>
      <w:r w:rsidR="00442D33" w:rsidRPr="006F1D19">
        <w:rPr>
          <w:b/>
        </w:rPr>
        <w:t>Dispensations</w:t>
      </w:r>
      <w:proofErr w:type="gramEnd"/>
    </w:p>
    <w:p w:rsidR="00442D33" w:rsidRPr="00A249BB" w:rsidRDefault="00442D33" w:rsidP="00442D33">
      <w:pPr>
        <w:spacing w:after="120" w:line="360" w:lineRule="auto"/>
        <w:ind w:right="71"/>
        <w:jc w:val="both"/>
      </w:pPr>
      <w:r w:rsidRPr="00A249BB">
        <w:t xml:space="preserve">As stated above, Scofield defines a dispensation as ‘a period of time during which man is tested in respect of obedience to some </w:t>
      </w:r>
      <w:r w:rsidRPr="00A249BB">
        <w:rPr>
          <w:i/>
        </w:rPr>
        <w:t>specific</w:t>
      </w:r>
      <w:r w:rsidRPr="00A249BB">
        <w:t xml:space="preserve"> revelation of the will of God’.</w:t>
      </w:r>
      <w:r w:rsidRPr="00A249BB">
        <w:rPr>
          <w:rStyle w:val="EndnoteReference"/>
        </w:rPr>
        <w:endnoteReference w:id="1172"/>
      </w:r>
      <w:r w:rsidRPr="00A249BB">
        <w:t xml:space="preserve">  He also states that the ideas of hiddenness and indefinite duration in the name, </w:t>
      </w:r>
      <w:r w:rsidRPr="00A249BB">
        <w:rPr>
          <w:i/>
        </w:rPr>
        <w:t>El Olam</w:t>
      </w:r>
      <w:r w:rsidRPr="00A249BB">
        <w:t xml:space="preserve"> ‘inhere in the doctrine of dispensations or ages’; these are ‘among the mysteries of God’.  Scofield argues that </w:t>
      </w:r>
      <w:r w:rsidRPr="00A249BB">
        <w:rPr>
          <w:i/>
        </w:rPr>
        <w:t>olam</w:t>
      </w:r>
      <w:r w:rsidRPr="00A249BB">
        <w:t xml:space="preserve"> is ‘used in Scripture of secret or hidden things’</w:t>
      </w:r>
      <w:r w:rsidRPr="00A249BB">
        <w:rPr>
          <w:rStyle w:val="EndnoteReference"/>
        </w:rPr>
        <w:endnoteReference w:id="1173"/>
      </w:r>
      <w:r w:rsidRPr="00A249BB">
        <w:t xml:space="preserve"> and also of ‘an indefinite time or age,</w:t>
      </w:r>
      <w:r w:rsidRPr="00A249BB">
        <w:rPr>
          <w:rStyle w:val="EndnoteReference"/>
        </w:rPr>
        <w:endnoteReference w:id="1174"/>
      </w:r>
      <w:r w:rsidRPr="00A249BB">
        <w:t xml:space="preserve"> ‘</w:t>
      </w:r>
      <w:r w:rsidRPr="00A249BB">
        <w:rPr>
          <w:i/>
        </w:rPr>
        <w:t>olam</w:t>
      </w:r>
      <w:r w:rsidRPr="00A249BB">
        <w:t xml:space="preserve">’ being ‘the Hebrew synonym for the Greek </w:t>
      </w:r>
      <w:r w:rsidRPr="00A249BB">
        <w:rPr>
          <w:i/>
        </w:rPr>
        <w:t>aion</w:t>
      </w:r>
      <w:r w:rsidRPr="00A249BB">
        <w:t>, an age or dispensation’.  ‘El Olam is thus that name of Deity in virtue of which He is the God whose wisdom has divided all time and eternity into the mystery of successive ages or dispensations.’</w:t>
      </w:r>
      <w:r w:rsidRPr="00A249BB">
        <w:rPr>
          <w:rStyle w:val="EndnoteReference"/>
        </w:rPr>
        <w:endnoteReference w:id="1175"/>
      </w:r>
      <w:r w:rsidRPr="00A249BB">
        <w:t xml:space="preserve">  </w:t>
      </w:r>
    </w:p>
    <w:p w:rsidR="003209FA" w:rsidRDefault="00442D33" w:rsidP="00442D33">
      <w:pPr>
        <w:spacing w:after="120" w:line="360" w:lineRule="auto"/>
        <w:ind w:right="71" w:firstLine="567"/>
        <w:jc w:val="both"/>
      </w:pPr>
      <w:r w:rsidRPr="00A249BB">
        <w:t>Scofield states that the dispensations reveal the progressive order of God’s dealings with humanity.</w:t>
      </w:r>
      <w:r w:rsidRPr="00A249BB">
        <w:rPr>
          <w:rStyle w:val="EndnoteReference"/>
        </w:rPr>
        <w:endnoteReference w:id="1176"/>
      </w:r>
      <w:r w:rsidRPr="00A249BB">
        <w:t xml:space="preserve">  In his note on Gen. 1:28, he lists the seven dispensations which he sees in Scripture.  He repeats the list every time a new dispensation is introduced, thus the point is reinforced.</w:t>
      </w:r>
      <w:r w:rsidRPr="00A249BB">
        <w:rPr>
          <w:rStyle w:val="EndnoteReference"/>
        </w:rPr>
        <w:endnoteReference w:id="1177"/>
      </w:r>
      <w:r w:rsidRPr="00A249BB">
        <w:t xml:space="preserve">  The table below indicates the first reference to each dispensation. </w:t>
      </w:r>
    </w:p>
    <w:p w:rsidR="00442D33" w:rsidRPr="00A249BB" w:rsidRDefault="00442D33" w:rsidP="003209FA">
      <w:pPr>
        <w:spacing w:after="120" w:line="360" w:lineRule="auto"/>
        <w:ind w:right="71"/>
        <w:jc w:val="both"/>
      </w:pPr>
      <w:r w:rsidRPr="000D48CE">
        <w:rPr>
          <w:b/>
          <w:i/>
        </w:rPr>
        <w:t>Continued overleaf</w:t>
      </w:r>
    </w:p>
    <w:p w:rsidR="00442D33" w:rsidRPr="00A249BB" w:rsidRDefault="00442D33" w:rsidP="00442D33">
      <w:pPr>
        <w:spacing w:after="120" w:line="360" w:lineRule="auto"/>
        <w:ind w:right="71"/>
        <w:jc w:val="both"/>
      </w:pPr>
      <w:r>
        <w:rPr>
          <w:noProof/>
          <w:lang w:eastAsia="en-GB"/>
        </w:rPr>
        <w:lastRenderedPageBreak/>
        <w:drawing>
          <wp:inline distT="0" distB="0" distL="0" distR="0" wp14:anchorId="441C9831" wp14:editId="18077555">
            <wp:extent cx="5400040" cy="4220210"/>
            <wp:effectExtent l="0" t="0" r="0"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ensations in SRB rev 18.3.18 crop.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400040" cy="4220210"/>
                    </a:xfrm>
                    <a:prstGeom prst="rect">
                      <a:avLst/>
                    </a:prstGeom>
                  </pic:spPr>
                </pic:pic>
              </a:graphicData>
            </a:graphic>
          </wp:inline>
        </w:drawing>
      </w:r>
    </w:p>
    <w:p w:rsidR="00442D33" w:rsidRDefault="00442D33" w:rsidP="00442D33">
      <w:pPr>
        <w:spacing w:after="120" w:line="360" w:lineRule="auto"/>
        <w:ind w:right="71"/>
        <w:jc w:val="both"/>
      </w:pPr>
      <w:r w:rsidRPr="00A249BB">
        <w:t>The first four dispensations are found in Genesis, the most important of these being the Dispensation of Promise, which corresponds with the Abrahamic Covenant.</w:t>
      </w:r>
      <w:r w:rsidRPr="00A249BB">
        <w:rPr>
          <w:rStyle w:val="EndnoteReference"/>
        </w:rPr>
        <w:endnoteReference w:id="1178"/>
      </w:r>
      <w:r w:rsidRPr="00A249BB">
        <w:t xml:space="preserve">  The fifth dispensation, Law, was instituted at Sinai and regarded by Scofield as lasting until ‘the Cross’.  It is for this reason that Scofield sees Christ’s entire earthly ministry as belonging to the dispensation of law; hence the Sermon on the Mount is ‘pure law’, with only a ‘moral application to the Christian’</w:t>
      </w:r>
      <w:r w:rsidRPr="00A249BB">
        <w:rPr>
          <w:rStyle w:val="EndnoteReference"/>
        </w:rPr>
        <w:endnoteReference w:id="1179"/>
      </w:r>
      <w:r w:rsidRPr="00A249BB">
        <w:t xml:space="preserve"> and even the Lord’s Prayer is ‘legal ground’ in contrast to grace.</w:t>
      </w:r>
      <w:r w:rsidRPr="00A249BB">
        <w:rPr>
          <w:rStyle w:val="EndnoteReference"/>
        </w:rPr>
        <w:endnoteReference w:id="1180"/>
      </w:r>
      <w:r w:rsidRPr="00A249BB">
        <w:t xml:space="preserve">  The sixth, current dispensation, of grace or of the church, was thus inaugurated at the crucifixion.  This represents a hiatus or ‘</w:t>
      </w:r>
      <w:proofErr w:type="gramStart"/>
      <w:r w:rsidRPr="00A249BB">
        <w:t>parenthesis’</w:t>
      </w:r>
      <w:proofErr w:type="gramEnd"/>
      <w:r w:rsidRPr="00A249BB">
        <w:t xml:space="preserve"> between the dispensations of law and the seventh and final dispensation, the kingdom, when the restoration of Israel under its Davidic ruler is to occur.  This concept is foundational for Scofield’s eschatology.</w:t>
      </w:r>
      <w:r w:rsidRPr="00A249BB">
        <w:rPr>
          <w:rStyle w:val="EndnoteReference"/>
        </w:rPr>
        <w:endnoteReference w:id="1181"/>
      </w:r>
    </w:p>
    <w:p w:rsidR="00256D7D" w:rsidRPr="003209FA" w:rsidRDefault="003209FA" w:rsidP="00442D33">
      <w:pPr>
        <w:spacing w:after="120" w:line="360" w:lineRule="auto"/>
        <w:ind w:right="71"/>
        <w:jc w:val="both"/>
        <w:rPr>
          <w:b/>
          <w:i/>
        </w:rPr>
      </w:pPr>
      <w:r w:rsidRPr="003209FA">
        <w:rPr>
          <w:b/>
          <w:i/>
        </w:rPr>
        <w:t>Continued overleaf</w:t>
      </w:r>
    </w:p>
    <w:p w:rsidR="00256D7D" w:rsidRDefault="00256D7D" w:rsidP="00442D33">
      <w:pPr>
        <w:spacing w:after="120" w:line="360" w:lineRule="auto"/>
        <w:ind w:right="71"/>
        <w:jc w:val="both"/>
      </w:pPr>
    </w:p>
    <w:p w:rsidR="00256D7D" w:rsidRDefault="00256D7D" w:rsidP="00442D33">
      <w:pPr>
        <w:spacing w:after="120" w:line="360" w:lineRule="auto"/>
        <w:ind w:right="71"/>
        <w:jc w:val="both"/>
      </w:pPr>
    </w:p>
    <w:p w:rsidR="00256D7D" w:rsidRDefault="00256D7D" w:rsidP="00442D33">
      <w:pPr>
        <w:spacing w:after="120" w:line="360" w:lineRule="auto"/>
        <w:ind w:right="71"/>
        <w:jc w:val="both"/>
      </w:pPr>
    </w:p>
    <w:p w:rsidR="00256D7D" w:rsidRDefault="00256D7D" w:rsidP="00442D33">
      <w:pPr>
        <w:spacing w:after="120" w:line="360" w:lineRule="auto"/>
        <w:ind w:right="71"/>
        <w:jc w:val="both"/>
      </w:pPr>
    </w:p>
    <w:p w:rsidR="00256D7D" w:rsidRDefault="00256D7D" w:rsidP="00442D33">
      <w:pPr>
        <w:spacing w:after="120" w:line="360" w:lineRule="auto"/>
        <w:ind w:right="71"/>
        <w:jc w:val="both"/>
      </w:pPr>
    </w:p>
    <w:p w:rsidR="00256D7D" w:rsidRPr="00A249BB" w:rsidRDefault="00256D7D" w:rsidP="00442D33">
      <w:pPr>
        <w:spacing w:after="120" w:line="360" w:lineRule="auto"/>
        <w:ind w:right="71"/>
        <w:jc w:val="both"/>
      </w:pPr>
    </w:p>
    <w:p w:rsidR="00442D33" w:rsidRPr="006F1D19" w:rsidRDefault="006F1D19" w:rsidP="00442D33">
      <w:pPr>
        <w:spacing w:after="120" w:line="360" w:lineRule="auto"/>
        <w:ind w:right="71"/>
        <w:jc w:val="both"/>
        <w:rPr>
          <w:b/>
        </w:rPr>
      </w:pPr>
      <w:proofErr w:type="gramStart"/>
      <w:r w:rsidRPr="006F1D19">
        <w:rPr>
          <w:b/>
        </w:rPr>
        <w:lastRenderedPageBreak/>
        <w:t xml:space="preserve">5.2.2  </w:t>
      </w:r>
      <w:r w:rsidR="00442D33" w:rsidRPr="006F1D19">
        <w:rPr>
          <w:b/>
        </w:rPr>
        <w:t>Covenants</w:t>
      </w:r>
      <w:proofErr w:type="gramEnd"/>
    </w:p>
    <w:p w:rsidR="00442D33" w:rsidRDefault="00442D33" w:rsidP="00442D33">
      <w:pPr>
        <w:spacing w:after="120" w:line="360" w:lineRule="auto"/>
        <w:ind w:right="71"/>
        <w:jc w:val="center"/>
      </w:pPr>
      <w:r>
        <w:rPr>
          <w:noProof/>
          <w:lang w:eastAsia="en-GB"/>
        </w:rPr>
        <w:drawing>
          <wp:inline distT="0" distB="0" distL="0" distR="0" wp14:anchorId="712CF613" wp14:editId="64E91995">
            <wp:extent cx="5133585" cy="6202680"/>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nants in SRB rev 18.3.18_Page_1 crop.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131171" cy="6199764"/>
                    </a:xfrm>
                    <a:prstGeom prst="rect">
                      <a:avLst/>
                    </a:prstGeom>
                  </pic:spPr>
                </pic:pic>
              </a:graphicData>
            </a:graphic>
          </wp:inline>
        </w:drawing>
      </w:r>
    </w:p>
    <w:p w:rsidR="003209FA" w:rsidRPr="003209FA" w:rsidRDefault="003209FA" w:rsidP="003209FA">
      <w:pPr>
        <w:spacing w:after="120" w:line="360" w:lineRule="auto"/>
        <w:ind w:right="71"/>
        <w:rPr>
          <w:b/>
          <w:i/>
        </w:rPr>
      </w:pPr>
      <w:r w:rsidRPr="003209FA">
        <w:rPr>
          <w:b/>
          <w:i/>
        </w:rPr>
        <w:t>Continued overleaf</w:t>
      </w:r>
    </w:p>
    <w:p w:rsidR="00442D33" w:rsidRPr="00A249BB" w:rsidRDefault="00442D33" w:rsidP="00442D33">
      <w:pPr>
        <w:spacing w:after="120" w:line="360" w:lineRule="auto"/>
        <w:ind w:firstLine="500"/>
      </w:pPr>
      <w:r>
        <w:rPr>
          <w:noProof/>
          <w:lang w:eastAsia="en-GB"/>
        </w:rPr>
        <w:lastRenderedPageBreak/>
        <w:drawing>
          <wp:inline distT="0" distB="0" distL="0" distR="0" wp14:anchorId="5D874B82" wp14:editId="2A68A706">
            <wp:extent cx="5400040" cy="678370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nants in SRB rev 18.3.18_Page_2 crop.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00040" cy="6783705"/>
                    </a:xfrm>
                    <a:prstGeom prst="rect">
                      <a:avLst/>
                    </a:prstGeom>
                  </pic:spPr>
                </pic:pic>
              </a:graphicData>
            </a:graphic>
          </wp:inline>
        </w:drawing>
      </w:r>
    </w:p>
    <w:p w:rsidR="00442D33" w:rsidRPr="00CB59B7" w:rsidRDefault="00442D33" w:rsidP="00442D33">
      <w:pPr>
        <w:spacing w:after="120" w:line="360" w:lineRule="auto"/>
        <w:jc w:val="both"/>
      </w:pPr>
      <w:r w:rsidRPr="00CB59B7">
        <w:t xml:space="preserve">Eight covenants form </w:t>
      </w:r>
      <w:r>
        <w:t>a basis</w:t>
      </w:r>
      <w:r w:rsidRPr="00CB59B7">
        <w:t xml:space="preserve"> complementary </w:t>
      </w:r>
      <w:r>
        <w:t>to the dispensations</w:t>
      </w:r>
      <w:r w:rsidRPr="00CB59B7">
        <w:t xml:space="preserve"> for Scofield’s theology and eschatology.  </w:t>
      </w:r>
      <w:r w:rsidR="005530A8">
        <w:t>Scofield</w:t>
      </w:r>
      <w:r w:rsidRPr="00CB59B7">
        <w:t xml:space="preserve"> also refers to all eight each time one is introduced.  </w:t>
      </w:r>
      <w:r w:rsidR="005530A8">
        <w:t>He</w:t>
      </w:r>
      <w:r w:rsidRPr="00CB59B7">
        <w:t xml:space="preserve"> states that four of ‘the eight great covenants which condition human life and divine redemption’ are found in Genesis: </w:t>
      </w:r>
      <w:r>
        <w:t>‘</w:t>
      </w:r>
      <w:r w:rsidRPr="00CB59B7">
        <w:t>the Edenic, Adamic, Noahic and Abrahamic Covenants</w:t>
      </w:r>
      <w:r>
        <w:t>’</w:t>
      </w:r>
      <w:r w:rsidRPr="00CB59B7">
        <w:t>.  The remaining four are related to them ‘chiefly as adding detail or development</w:t>
      </w:r>
      <w:r>
        <w:t>’</w:t>
      </w:r>
      <w:r w:rsidRPr="00CB59B7">
        <w:t xml:space="preserve">: </w:t>
      </w:r>
      <w:r>
        <w:t>‘</w:t>
      </w:r>
      <w:r w:rsidRPr="00CB59B7">
        <w:t>the Mosaic, Palestinian, Davidic and New Covenants</w:t>
      </w:r>
      <w:r>
        <w:t>’</w:t>
      </w:r>
      <w:r w:rsidRPr="00CB59B7">
        <w:t>.</w:t>
      </w:r>
      <w:r>
        <w:rPr>
          <w:rStyle w:val="EndnoteReference"/>
        </w:rPr>
        <w:endnoteReference w:id="1182"/>
      </w:r>
      <w:r w:rsidRPr="00CB59B7">
        <w:t xml:space="preserve">  As can be seen in the tables above, many of Scofield’s designated covenants and dispensations are referenced in subheads.  </w:t>
      </w:r>
    </w:p>
    <w:p w:rsidR="00442D33" w:rsidRPr="007D558F" w:rsidRDefault="00442D33" w:rsidP="00442D33">
      <w:pPr>
        <w:spacing w:after="120" w:line="360" w:lineRule="auto"/>
        <w:ind w:firstLine="567"/>
        <w:jc w:val="both"/>
        <w:rPr>
          <w:rFonts w:cs="Perpetua"/>
          <w:spacing w:val="17"/>
          <w:position w:val="9"/>
          <w:sz w:val="13"/>
          <w:szCs w:val="13"/>
        </w:rPr>
      </w:pPr>
      <w:r w:rsidRPr="00A249BB">
        <w:t xml:space="preserve">Scofield does not appear to make any definitive declaration regarding the nature of covenants in </w:t>
      </w:r>
      <w:r w:rsidRPr="00A249BB">
        <w:rPr>
          <w:i/>
        </w:rPr>
        <w:t>SRB</w:t>
      </w:r>
      <w:r w:rsidRPr="00A249BB">
        <w:t xml:space="preserve"> parallel to his definition of a dispensation in the note on Gen. 1:28</w:t>
      </w:r>
      <w:r>
        <w:t>;</w:t>
      </w:r>
      <w:r w:rsidRPr="00A249BB">
        <w:rPr>
          <w:rStyle w:val="EndnoteReference"/>
        </w:rPr>
        <w:endnoteReference w:id="1183"/>
      </w:r>
      <w:r w:rsidRPr="00A249BB">
        <w:t xml:space="preserve"> </w:t>
      </w:r>
      <w:r>
        <w:t xml:space="preserve">this is rectified in the later editions of </w:t>
      </w:r>
      <w:r>
        <w:lastRenderedPageBreak/>
        <w:t xml:space="preserve">the Reference Bible, which include the statement that ‘a covenant is a </w:t>
      </w:r>
      <w:r w:rsidRPr="00950D70">
        <w:rPr>
          <w:rFonts w:cs="Perpetua"/>
          <w:spacing w:val="-1"/>
        </w:rPr>
        <w:t>sovereign</w:t>
      </w:r>
      <w:r w:rsidRPr="00950D70">
        <w:rPr>
          <w:rFonts w:cs="Perpetua"/>
          <w:spacing w:val="55"/>
          <w:w w:val="99"/>
        </w:rPr>
        <w:t xml:space="preserve"> </w:t>
      </w:r>
      <w:r w:rsidRPr="00950D70">
        <w:rPr>
          <w:rFonts w:cs="Perpetua"/>
        </w:rPr>
        <w:t>pronouncement</w:t>
      </w:r>
      <w:r w:rsidRPr="00950D70">
        <w:rPr>
          <w:rFonts w:cs="Perpetua"/>
          <w:spacing w:val="25"/>
        </w:rPr>
        <w:t xml:space="preserve"> </w:t>
      </w:r>
      <w:r w:rsidRPr="00950D70">
        <w:rPr>
          <w:rFonts w:cs="Perpetua"/>
        </w:rPr>
        <w:t>of</w:t>
      </w:r>
      <w:r w:rsidRPr="00950D70">
        <w:rPr>
          <w:rFonts w:cs="Perpetua"/>
          <w:spacing w:val="24"/>
        </w:rPr>
        <w:t xml:space="preserve"> </w:t>
      </w:r>
      <w:r w:rsidRPr="00950D70">
        <w:rPr>
          <w:rFonts w:cs="Perpetua"/>
        </w:rPr>
        <w:t>God</w:t>
      </w:r>
      <w:r w:rsidRPr="00950D70">
        <w:rPr>
          <w:rFonts w:cs="Perpetua"/>
          <w:spacing w:val="25"/>
        </w:rPr>
        <w:t xml:space="preserve"> </w:t>
      </w:r>
      <w:r w:rsidRPr="00950D70">
        <w:rPr>
          <w:rFonts w:cs="Perpetua"/>
        </w:rPr>
        <w:t>by</w:t>
      </w:r>
      <w:r w:rsidRPr="00950D70">
        <w:rPr>
          <w:rFonts w:cs="Perpetua"/>
          <w:spacing w:val="25"/>
        </w:rPr>
        <w:t xml:space="preserve"> </w:t>
      </w:r>
      <w:r w:rsidRPr="00950D70">
        <w:rPr>
          <w:rFonts w:cs="Perpetua"/>
        </w:rPr>
        <w:t>which</w:t>
      </w:r>
      <w:r w:rsidRPr="00950D70">
        <w:rPr>
          <w:rFonts w:cs="Perpetua"/>
          <w:spacing w:val="26"/>
        </w:rPr>
        <w:t xml:space="preserve"> </w:t>
      </w:r>
      <w:r w:rsidRPr="00950D70">
        <w:rPr>
          <w:rFonts w:cs="Perpetua"/>
        </w:rPr>
        <w:t>He</w:t>
      </w:r>
      <w:r w:rsidRPr="00950D70">
        <w:rPr>
          <w:rFonts w:cs="Perpetua"/>
          <w:spacing w:val="26"/>
        </w:rPr>
        <w:t xml:space="preserve"> </w:t>
      </w:r>
      <w:r w:rsidRPr="00950D70">
        <w:rPr>
          <w:rFonts w:cs="Perpetua"/>
          <w:spacing w:val="-1"/>
        </w:rPr>
        <w:t>establishes</w:t>
      </w:r>
      <w:r w:rsidRPr="00950D70">
        <w:rPr>
          <w:rFonts w:cs="Perpetua"/>
          <w:spacing w:val="25"/>
        </w:rPr>
        <w:t xml:space="preserve"> </w:t>
      </w:r>
      <w:r w:rsidRPr="00950D70">
        <w:rPr>
          <w:rFonts w:cs="Perpetua"/>
        </w:rPr>
        <w:t>a</w:t>
      </w:r>
      <w:r w:rsidRPr="00950D70">
        <w:rPr>
          <w:rFonts w:cs="Perpetua"/>
          <w:spacing w:val="25"/>
        </w:rPr>
        <w:t xml:space="preserve"> </w:t>
      </w:r>
      <w:r w:rsidRPr="00950D70">
        <w:rPr>
          <w:rFonts w:cs="Perpetua"/>
        </w:rPr>
        <w:t>relationship</w:t>
      </w:r>
      <w:r w:rsidRPr="00950D70">
        <w:rPr>
          <w:rFonts w:cs="Perpetua"/>
          <w:spacing w:val="25"/>
        </w:rPr>
        <w:t xml:space="preserve"> </w:t>
      </w:r>
      <w:r w:rsidRPr="00950D70">
        <w:rPr>
          <w:rFonts w:cs="Perpetua"/>
        </w:rPr>
        <w:t>of</w:t>
      </w:r>
      <w:r w:rsidRPr="00950D70">
        <w:rPr>
          <w:rFonts w:cs="Perpetua"/>
          <w:spacing w:val="25"/>
        </w:rPr>
        <w:t xml:space="preserve"> </w:t>
      </w:r>
      <w:r w:rsidRPr="00950D70">
        <w:rPr>
          <w:rFonts w:cs="Perpetua"/>
        </w:rPr>
        <w:t>responsibility.</w:t>
      </w:r>
      <w:r w:rsidRPr="00950D70">
        <w:rPr>
          <w:rFonts w:cs="Perpetua"/>
          <w:spacing w:val="2"/>
          <w:position w:val="9"/>
        </w:rPr>
        <w:t xml:space="preserve"> </w:t>
      </w:r>
      <w:r>
        <w:rPr>
          <w:rFonts w:cs="Perpetua"/>
        </w:rPr>
        <w:t>…</w:t>
      </w:r>
      <w:r w:rsidRPr="00950D70">
        <w:rPr>
          <w:rFonts w:cs="Perpetua"/>
          <w:spacing w:val="4"/>
        </w:rPr>
        <w:t xml:space="preserve"> </w:t>
      </w:r>
      <w:r w:rsidRPr="00950D70">
        <w:rPr>
          <w:rFonts w:cs="Perpetua"/>
        </w:rPr>
        <w:t>The</w:t>
      </w:r>
      <w:r w:rsidRPr="00950D70">
        <w:rPr>
          <w:rFonts w:cs="Perpetua"/>
          <w:spacing w:val="2"/>
        </w:rPr>
        <w:t xml:space="preserve"> </w:t>
      </w:r>
      <w:r w:rsidRPr="00950D70">
        <w:rPr>
          <w:rFonts w:cs="Perpetua"/>
        </w:rPr>
        <w:t>covenants</w:t>
      </w:r>
      <w:r w:rsidRPr="00950D70">
        <w:rPr>
          <w:rFonts w:cs="Perpetua"/>
          <w:spacing w:val="2"/>
        </w:rPr>
        <w:t xml:space="preserve"> </w:t>
      </w:r>
      <w:r w:rsidRPr="00950D70">
        <w:rPr>
          <w:rFonts w:cs="Perpetua"/>
        </w:rPr>
        <w:t>are normally</w:t>
      </w:r>
      <w:r w:rsidRPr="00950D70">
        <w:rPr>
          <w:rFonts w:cs="Perpetua"/>
          <w:spacing w:val="1"/>
        </w:rPr>
        <w:t xml:space="preserve"> </w:t>
      </w:r>
      <w:r w:rsidRPr="00950D70">
        <w:rPr>
          <w:rFonts w:cs="Perpetua"/>
        </w:rPr>
        <w:t>unconditional in</w:t>
      </w:r>
      <w:r w:rsidRPr="00950D70">
        <w:rPr>
          <w:rFonts w:cs="Perpetua"/>
          <w:spacing w:val="2"/>
        </w:rPr>
        <w:t xml:space="preserve"> </w:t>
      </w:r>
      <w:r w:rsidRPr="00950D70">
        <w:rPr>
          <w:rFonts w:cs="Perpetua"/>
        </w:rPr>
        <w:t>the</w:t>
      </w:r>
      <w:r w:rsidRPr="00950D70">
        <w:rPr>
          <w:rFonts w:cs="Perpetua"/>
          <w:spacing w:val="1"/>
        </w:rPr>
        <w:t xml:space="preserve"> </w:t>
      </w:r>
      <w:r w:rsidRPr="00950D70">
        <w:rPr>
          <w:rFonts w:cs="Perpetua"/>
        </w:rPr>
        <w:t>sense</w:t>
      </w:r>
      <w:r w:rsidRPr="00950D70">
        <w:rPr>
          <w:rFonts w:cs="Perpetua"/>
          <w:spacing w:val="1"/>
        </w:rPr>
        <w:t xml:space="preserve"> </w:t>
      </w:r>
      <w:r w:rsidRPr="00950D70">
        <w:rPr>
          <w:rFonts w:cs="Perpetua"/>
        </w:rPr>
        <w:t>that</w:t>
      </w:r>
      <w:r w:rsidRPr="00950D70">
        <w:rPr>
          <w:rFonts w:cs="Perpetua"/>
          <w:spacing w:val="2"/>
        </w:rPr>
        <w:t xml:space="preserve"> </w:t>
      </w:r>
      <w:r w:rsidRPr="00950D70">
        <w:rPr>
          <w:rFonts w:cs="Perpetua"/>
        </w:rPr>
        <w:t>God</w:t>
      </w:r>
      <w:r w:rsidRPr="00950D70">
        <w:rPr>
          <w:rFonts w:cs="Perpetua"/>
          <w:spacing w:val="1"/>
        </w:rPr>
        <w:t xml:space="preserve"> </w:t>
      </w:r>
      <w:r w:rsidRPr="00950D70">
        <w:rPr>
          <w:rFonts w:cs="Perpetua"/>
        </w:rPr>
        <w:t>obligates</w:t>
      </w:r>
      <w:r w:rsidRPr="00950D70">
        <w:rPr>
          <w:rFonts w:cs="Perpetua"/>
          <w:spacing w:val="3"/>
        </w:rPr>
        <w:t xml:space="preserve"> </w:t>
      </w:r>
      <w:r w:rsidRPr="00950D70">
        <w:rPr>
          <w:rFonts w:cs="Perpetua"/>
        </w:rPr>
        <w:t>Himself in</w:t>
      </w:r>
      <w:r w:rsidRPr="00950D70">
        <w:rPr>
          <w:rFonts w:cs="Perpetua"/>
          <w:spacing w:val="3"/>
        </w:rPr>
        <w:t xml:space="preserve"> </w:t>
      </w:r>
      <w:r w:rsidRPr="00950D70">
        <w:rPr>
          <w:rFonts w:cs="Perpetua"/>
        </w:rPr>
        <w:t>grace,</w:t>
      </w:r>
      <w:r w:rsidRPr="00950D70">
        <w:rPr>
          <w:rFonts w:cs="Perpetua"/>
          <w:spacing w:val="21"/>
          <w:w w:val="99"/>
        </w:rPr>
        <w:t xml:space="preserve"> </w:t>
      </w:r>
      <w:r w:rsidRPr="00950D70">
        <w:rPr>
          <w:rFonts w:cs="Perpetua"/>
        </w:rPr>
        <w:t>by</w:t>
      </w:r>
      <w:r w:rsidRPr="00950D70">
        <w:rPr>
          <w:rFonts w:cs="Perpetua"/>
          <w:spacing w:val="5"/>
        </w:rPr>
        <w:t xml:space="preserve"> </w:t>
      </w:r>
      <w:r w:rsidRPr="00950D70">
        <w:rPr>
          <w:rFonts w:cs="Perpetua"/>
        </w:rPr>
        <w:t>the</w:t>
      </w:r>
      <w:r w:rsidRPr="00950D70">
        <w:rPr>
          <w:rFonts w:cs="Perpetua"/>
          <w:spacing w:val="4"/>
        </w:rPr>
        <w:t xml:space="preserve"> </w:t>
      </w:r>
      <w:r w:rsidRPr="00950D70">
        <w:rPr>
          <w:rFonts w:cs="Perpetua"/>
        </w:rPr>
        <w:t>unrestricted</w:t>
      </w:r>
      <w:r w:rsidRPr="00950D70">
        <w:rPr>
          <w:rFonts w:cs="Perpetua"/>
          <w:spacing w:val="5"/>
        </w:rPr>
        <w:t xml:space="preserve"> </w:t>
      </w:r>
      <w:r w:rsidRPr="00950D70">
        <w:rPr>
          <w:rFonts w:cs="Perpetua"/>
        </w:rPr>
        <w:t>declaration,</w:t>
      </w:r>
      <w:r w:rsidRPr="00950D70">
        <w:rPr>
          <w:rFonts w:cs="Perpetua"/>
          <w:spacing w:val="4"/>
        </w:rPr>
        <w:t xml:space="preserve"> </w:t>
      </w:r>
      <w:r w:rsidRPr="00950D70">
        <w:rPr>
          <w:rFonts w:cs="Perpetua"/>
        </w:rPr>
        <w:t>“I</w:t>
      </w:r>
      <w:r w:rsidRPr="00950D70">
        <w:rPr>
          <w:rFonts w:cs="Perpetua"/>
          <w:spacing w:val="5"/>
        </w:rPr>
        <w:t xml:space="preserve"> </w:t>
      </w:r>
      <w:r w:rsidRPr="00950D70">
        <w:rPr>
          <w:rFonts w:cs="Perpetua"/>
        </w:rPr>
        <w:t>will”,</w:t>
      </w:r>
      <w:r w:rsidRPr="00950D70">
        <w:rPr>
          <w:rFonts w:cs="Perpetua"/>
          <w:spacing w:val="5"/>
        </w:rPr>
        <w:t xml:space="preserve"> </w:t>
      </w:r>
      <w:r w:rsidRPr="00950D70">
        <w:rPr>
          <w:rFonts w:cs="Perpetua"/>
        </w:rPr>
        <w:t>to</w:t>
      </w:r>
      <w:r w:rsidRPr="00950D70">
        <w:rPr>
          <w:rFonts w:cs="Perpetua"/>
          <w:spacing w:val="4"/>
        </w:rPr>
        <w:t xml:space="preserve"> </w:t>
      </w:r>
      <w:r w:rsidRPr="00950D70">
        <w:rPr>
          <w:rFonts w:cs="Perpetua"/>
        </w:rPr>
        <w:t>accomplish</w:t>
      </w:r>
      <w:r w:rsidRPr="00950D70">
        <w:rPr>
          <w:rFonts w:cs="Perpetua"/>
          <w:spacing w:val="5"/>
        </w:rPr>
        <w:t xml:space="preserve"> </w:t>
      </w:r>
      <w:r w:rsidRPr="00950D70">
        <w:rPr>
          <w:rFonts w:cs="Perpetua"/>
        </w:rPr>
        <w:t>certain</w:t>
      </w:r>
      <w:r w:rsidRPr="00950D70">
        <w:rPr>
          <w:rFonts w:cs="Perpetua"/>
          <w:spacing w:val="3"/>
        </w:rPr>
        <w:t xml:space="preserve"> </w:t>
      </w:r>
      <w:r w:rsidRPr="00950D70">
        <w:rPr>
          <w:rFonts w:cs="Perpetua"/>
        </w:rPr>
        <w:t>announced</w:t>
      </w:r>
      <w:r w:rsidRPr="00950D70">
        <w:rPr>
          <w:rFonts w:cs="Perpetua"/>
          <w:spacing w:val="7"/>
        </w:rPr>
        <w:t xml:space="preserve"> </w:t>
      </w:r>
      <w:r w:rsidRPr="00950D70">
        <w:rPr>
          <w:rFonts w:cs="Perpetua"/>
        </w:rPr>
        <w:t>purposes,</w:t>
      </w:r>
      <w:r w:rsidRPr="00950D70">
        <w:rPr>
          <w:rFonts w:cs="Perpetua"/>
          <w:spacing w:val="4"/>
        </w:rPr>
        <w:t xml:space="preserve"> </w:t>
      </w:r>
      <w:r w:rsidRPr="00950D70">
        <w:rPr>
          <w:rFonts w:cs="Perpetua"/>
        </w:rPr>
        <w:t>despite</w:t>
      </w:r>
      <w:r w:rsidRPr="00950D70">
        <w:rPr>
          <w:rFonts w:cs="Perpetua"/>
          <w:spacing w:val="4"/>
        </w:rPr>
        <w:t xml:space="preserve"> </w:t>
      </w:r>
      <w:r w:rsidRPr="00950D70">
        <w:rPr>
          <w:rFonts w:cs="Perpetua"/>
        </w:rPr>
        <w:t>any</w:t>
      </w:r>
      <w:r w:rsidRPr="00950D70">
        <w:rPr>
          <w:rFonts w:cs="Perpetua"/>
          <w:spacing w:val="4"/>
        </w:rPr>
        <w:t xml:space="preserve"> </w:t>
      </w:r>
      <w:r w:rsidRPr="00950D70">
        <w:rPr>
          <w:rFonts w:cs="Perpetua"/>
        </w:rPr>
        <w:t>failure</w:t>
      </w:r>
      <w:r w:rsidRPr="00950D70">
        <w:rPr>
          <w:rFonts w:cs="Perpetua"/>
          <w:spacing w:val="4"/>
        </w:rPr>
        <w:t xml:space="preserve"> </w:t>
      </w:r>
      <w:r w:rsidRPr="00950D70">
        <w:rPr>
          <w:rFonts w:cs="Perpetua"/>
        </w:rPr>
        <w:t>on</w:t>
      </w:r>
      <w:r w:rsidRPr="00950D70">
        <w:rPr>
          <w:rFonts w:cs="Perpetua"/>
          <w:spacing w:val="23"/>
          <w:w w:val="99"/>
        </w:rPr>
        <w:t xml:space="preserve"> </w:t>
      </w:r>
      <w:r w:rsidRPr="00950D70">
        <w:rPr>
          <w:rFonts w:cs="Perpetua"/>
        </w:rPr>
        <w:t>the</w:t>
      </w:r>
      <w:r w:rsidRPr="00950D70">
        <w:rPr>
          <w:rFonts w:cs="Perpetua"/>
          <w:spacing w:val="2"/>
        </w:rPr>
        <w:t xml:space="preserve"> </w:t>
      </w:r>
      <w:r w:rsidRPr="00950D70">
        <w:rPr>
          <w:rFonts w:cs="Perpetua"/>
        </w:rPr>
        <w:t>part</w:t>
      </w:r>
      <w:r w:rsidRPr="00950D70">
        <w:rPr>
          <w:rFonts w:cs="Perpetua"/>
          <w:spacing w:val="2"/>
        </w:rPr>
        <w:t xml:space="preserve"> </w:t>
      </w:r>
      <w:r w:rsidRPr="00950D70">
        <w:rPr>
          <w:rFonts w:cs="Perpetua"/>
        </w:rPr>
        <w:t>of</w:t>
      </w:r>
      <w:r w:rsidRPr="00950D70">
        <w:rPr>
          <w:rFonts w:cs="Perpetua"/>
          <w:spacing w:val="2"/>
        </w:rPr>
        <w:t xml:space="preserve"> </w:t>
      </w:r>
      <w:r w:rsidRPr="00950D70">
        <w:rPr>
          <w:rFonts w:cs="Perpetua"/>
        </w:rPr>
        <w:t>the</w:t>
      </w:r>
      <w:r w:rsidRPr="00950D70">
        <w:rPr>
          <w:rFonts w:cs="Perpetua"/>
          <w:spacing w:val="4"/>
        </w:rPr>
        <w:t xml:space="preserve"> </w:t>
      </w:r>
      <w:r w:rsidRPr="00950D70">
        <w:rPr>
          <w:rFonts w:cs="Perpetua"/>
        </w:rPr>
        <w:t>person</w:t>
      </w:r>
      <w:r w:rsidRPr="00950D70">
        <w:rPr>
          <w:rFonts w:cs="Perpetua"/>
          <w:spacing w:val="2"/>
        </w:rPr>
        <w:t xml:space="preserve"> </w:t>
      </w:r>
      <w:r w:rsidRPr="00950D70">
        <w:rPr>
          <w:rFonts w:cs="Perpetua"/>
        </w:rPr>
        <w:t>or</w:t>
      </w:r>
      <w:r w:rsidRPr="00950D70">
        <w:rPr>
          <w:rFonts w:cs="Perpetua"/>
          <w:spacing w:val="3"/>
        </w:rPr>
        <w:t xml:space="preserve"> </w:t>
      </w:r>
      <w:r w:rsidRPr="00950D70">
        <w:rPr>
          <w:rFonts w:cs="Perpetua"/>
        </w:rPr>
        <w:t>people</w:t>
      </w:r>
      <w:r w:rsidRPr="00950D70">
        <w:rPr>
          <w:rFonts w:cs="Perpetua"/>
          <w:spacing w:val="3"/>
        </w:rPr>
        <w:t xml:space="preserve"> </w:t>
      </w:r>
      <w:r w:rsidRPr="00950D70">
        <w:rPr>
          <w:rFonts w:cs="Perpetua"/>
        </w:rPr>
        <w:t>with</w:t>
      </w:r>
      <w:r w:rsidRPr="00950D70">
        <w:rPr>
          <w:rFonts w:cs="Perpetua"/>
          <w:spacing w:val="2"/>
        </w:rPr>
        <w:t xml:space="preserve"> </w:t>
      </w:r>
      <w:r w:rsidRPr="00950D70">
        <w:rPr>
          <w:rFonts w:cs="Perpetua"/>
        </w:rPr>
        <w:t>whom</w:t>
      </w:r>
      <w:r w:rsidRPr="00950D70">
        <w:rPr>
          <w:rFonts w:cs="Perpetua"/>
          <w:spacing w:val="2"/>
        </w:rPr>
        <w:t xml:space="preserve"> </w:t>
      </w:r>
      <w:r w:rsidRPr="00950D70">
        <w:rPr>
          <w:rFonts w:cs="Perpetua"/>
        </w:rPr>
        <w:t>He</w:t>
      </w:r>
      <w:r w:rsidRPr="00950D70">
        <w:rPr>
          <w:rFonts w:cs="Perpetua"/>
          <w:spacing w:val="2"/>
        </w:rPr>
        <w:t xml:space="preserve"> </w:t>
      </w:r>
      <w:r w:rsidRPr="00950D70">
        <w:rPr>
          <w:rFonts w:cs="Perpetua"/>
        </w:rPr>
        <w:t>covenants.’</w:t>
      </w:r>
      <w:r>
        <w:rPr>
          <w:rStyle w:val="EndnoteReference"/>
          <w:rFonts w:cs="Perpetua"/>
        </w:rPr>
        <w:endnoteReference w:id="1184"/>
      </w:r>
      <w:r>
        <w:rPr>
          <w:rFonts w:cs="Perpetua"/>
        </w:rPr>
        <w:t xml:space="preserve"> </w:t>
      </w:r>
      <w:r>
        <w:rPr>
          <w:rFonts w:cs="Perpetua"/>
          <w:spacing w:val="17"/>
          <w:position w:val="9"/>
          <w:sz w:val="13"/>
          <w:szCs w:val="13"/>
        </w:rPr>
        <w:t xml:space="preserve"> </w:t>
      </w:r>
      <w:r w:rsidRPr="007D558F">
        <w:t xml:space="preserve">Charles Weston disagrees with the idea that a divine promise can be unconditional, arguing that ‘God’s promises are conditioned by his person and sovereignty … IF a so called unconditional promise COULD be made it would nullify God’s sovereignty – an absolute impossibility.’  Weston gives two </w:t>
      </w:r>
      <w:r w:rsidRPr="00337CC0">
        <w:rPr>
          <w:spacing w:val="-4"/>
        </w:rPr>
        <w:t>examples where human behaviour affected God’s subsequent action, quoting 1 Sam. 2:30</w:t>
      </w:r>
      <w:r w:rsidRPr="00337CC0">
        <w:rPr>
          <w:rStyle w:val="FootnoteReference"/>
          <w:spacing w:val="-4"/>
        </w:rPr>
        <w:footnoteReference w:id="55"/>
      </w:r>
      <w:r w:rsidRPr="00337CC0">
        <w:rPr>
          <w:spacing w:val="-4"/>
        </w:rPr>
        <w:t xml:space="preserve"> and Jer. 18:7-</w:t>
      </w:r>
      <w:r w:rsidRPr="007D558F">
        <w:t>10.</w:t>
      </w:r>
      <w:r w:rsidRPr="007D558F">
        <w:rPr>
          <w:rStyle w:val="FootnoteReference"/>
        </w:rPr>
        <w:footnoteReference w:id="56"/>
      </w:r>
      <w:r w:rsidRPr="007D558F">
        <w:t xml:space="preserve">  He asserts that ‘any claim of this or that promise being unconditional is false.  God says, “IF thou wilt … then will I.”  There is always an IF.’  Weston avers that Jer. 18:7-10 ‘totally eliminates all so called unconditional promises and prophecies to Israel or to any other nation’.</w:t>
      </w:r>
      <w:r w:rsidRPr="007D558F">
        <w:rPr>
          <w:rStyle w:val="EndnoteReference"/>
        </w:rPr>
        <w:endnoteReference w:id="1185"/>
      </w:r>
    </w:p>
    <w:p w:rsidR="00442D33" w:rsidRPr="00A249BB" w:rsidRDefault="00442D33" w:rsidP="00CF4A4D">
      <w:pPr>
        <w:spacing w:after="120" w:line="360" w:lineRule="auto"/>
        <w:ind w:firstLine="567"/>
        <w:jc w:val="both"/>
      </w:pPr>
      <w:r>
        <w:t xml:space="preserve">In the absence of any formal definition of ‘covenant’ in </w:t>
      </w:r>
      <w:r w:rsidRPr="003A6CD2">
        <w:rPr>
          <w:i/>
        </w:rPr>
        <w:t>SRB</w:t>
      </w:r>
      <w:r>
        <w:t xml:space="preserve">, one can turn to Scofield’s earlier </w:t>
      </w:r>
      <w:r w:rsidRPr="00E5066D">
        <w:rPr>
          <w:i/>
        </w:rPr>
        <w:t>Bible Correspondence Course, Old Testament</w:t>
      </w:r>
      <w:r>
        <w:t>, for a more cogent view of his attitude to covenants though even here Scofield does not provide a definition.  He</w:t>
      </w:r>
      <w:r w:rsidRPr="00A249BB">
        <w:t xml:space="preserve"> </w:t>
      </w:r>
      <w:r>
        <w:t xml:space="preserve">here </w:t>
      </w:r>
      <w:r w:rsidRPr="00A249BB">
        <w:t>asserts that ‘the Covenants of God disclose His whole purpose earthward’</w:t>
      </w:r>
      <w:r>
        <w:t xml:space="preserve"> and that ‘all Scripture crystallizes about and is the development of, these Covenants’</w:t>
      </w:r>
      <w:r w:rsidRPr="00A249BB">
        <w:t>;</w:t>
      </w:r>
      <w:r>
        <w:rPr>
          <w:rStyle w:val="EndnoteReference"/>
        </w:rPr>
        <w:endnoteReference w:id="1186"/>
      </w:r>
      <w:r w:rsidRPr="00A249BB">
        <w:t xml:space="preserve"> </w:t>
      </w:r>
      <w:r>
        <w:t xml:space="preserve">furthermore, </w:t>
      </w:r>
      <w:r w:rsidRPr="00A249BB">
        <w:t>‘all the covenants meet in Christ’.</w:t>
      </w:r>
      <w:r>
        <w:rPr>
          <w:rStyle w:val="EndnoteReference"/>
        </w:rPr>
        <w:endnoteReference w:id="1187"/>
      </w:r>
      <w:r>
        <w:t xml:space="preserve">  These statements</w:t>
      </w:r>
      <w:r w:rsidRPr="00A249BB">
        <w:t xml:space="preserve"> suggest that </w:t>
      </w:r>
      <w:r>
        <w:t>Scofield</w:t>
      </w:r>
      <w:r w:rsidRPr="00A249BB">
        <w:t xml:space="preserve"> regards the covenants as ultimately more important than the dispensations.  He distinguishes between ‘declarative, or unconditional’ covenants and ‘mutual, or conditional’ covenants.  ‘Declarative or unconditional’ covenants are characterised by ‘I will’, the example provided being God’s declaration to Noah in Gen. 9:11.</w:t>
      </w:r>
      <w:r w:rsidRPr="00A249BB">
        <w:rPr>
          <w:rStyle w:val="FootnoteReference"/>
        </w:rPr>
        <w:footnoteReference w:id="57"/>
      </w:r>
      <w:r>
        <w:t xml:space="preserve"> </w:t>
      </w:r>
      <w:r w:rsidRPr="00A249BB">
        <w:rPr>
          <w:rStyle w:val="EndnoteReference"/>
        </w:rPr>
        <w:endnoteReference w:id="1188"/>
      </w:r>
      <w:r w:rsidRPr="00A249BB">
        <w:t xml:space="preserve">  Such declarations may be categorised as divine promises rather than as covenants in the strict sense of the word since a covenant, by definition, must include two parties.</w:t>
      </w:r>
      <w:r w:rsidRPr="00A249BB">
        <w:rPr>
          <w:rStyle w:val="EndnoteReference"/>
        </w:rPr>
        <w:endnoteReference w:id="1189"/>
      </w:r>
      <w:r w:rsidRPr="00A249BB">
        <w:t xml:space="preserve">  </w:t>
      </w:r>
      <w:r>
        <w:t xml:space="preserve">It is true, however, that the word, </w:t>
      </w:r>
      <w:r w:rsidRPr="00C86F88">
        <w:rPr>
          <w:rFonts w:ascii="Bwhebb" w:hAnsi="Bwhebb" w:cs="SBL Hebrew"/>
          <w:sz w:val="36"/>
          <w:szCs w:val="28"/>
          <w:rtl/>
          <w:lang w:val="en-US" w:bidi="he-IL"/>
        </w:rPr>
        <w:t>ב</w:t>
      </w:r>
      <w:r w:rsidRPr="00C86F88">
        <w:rPr>
          <w:rFonts w:ascii="Bwhebl" w:hAnsi="Bwhebl" w:cs="SBL Hebrew"/>
          <w:sz w:val="44"/>
          <w:szCs w:val="28"/>
          <w:rtl/>
          <w:lang w:val="en-US" w:bidi="he-IL"/>
        </w:rPr>
        <w:t>ְּרִית</w:t>
      </w:r>
      <w:r>
        <w:t xml:space="preserve"> (translated ‘covenant’) is used in the Hebrew Bible without differentiation between instances where no requirement is made of humankind</w:t>
      </w:r>
      <w:r>
        <w:rPr>
          <w:rStyle w:val="EndnoteReference"/>
        </w:rPr>
        <w:endnoteReference w:id="1190"/>
      </w:r>
      <w:r>
        <w:t xml:space="preserve"> where conditions have to be met by humankind;</w:t>
      </w:r>
      <w:r>
        <w:rPr>
          <w:rStyle w:val="EndnoteReference"/>
        </w:rPr>
        <w:endnoteReference w:id="1191"/>
      </w:r>
      <w:r>
        <w:t xml:space="preserve"> and is also used for transactions between human parties.</w:t>
      </w:r>
      <w:r>
        <w:rPr>
          <w:rStyle w:val="EndnoteReference"/>
        </w:rPr>
        <w:endnoteReference w:id="1192"/>
      </w:r>
      <w:r>
        <w:t xml:space="preserve"> </w:t>
      </w:r>
    </w:p>
    <w:p w:rsidR="00442D33" w:rsidRDefault="00442D33" w:rsidP="00442D33">
      <w:pPr>
        <w:spacing w:after="120" w:line="360" w:lineRule="auto"/>
        <w:ind w:firstLine="567"/>
        <w:jc w:val="both"/>
      </w:pPr>
      <w:r w:rsidRPr="00A249BB">
        <w:lastRenderedPageBreak/>
        <w:t xml:space="preserve">Scofield states in his </w:t>
      </w:r>
      <w:r w:rsidRPr="002F373F">
        <w:rPr>
          <w:i/>
        </w:rPr>
        <w:t>Old Testament</w:t>
      </w:r>
      <w:r>
        <w:t xml:space="preserve"> </w:t>
      </w:r>
      <w:r w:rsidRPr="00A249BB">
        <w:rPr>
          <w:i/>
        </w:rPr>
        <w:t>Correspondence Course</w:t>
      </w:r>
      <w:r w:rsidRPr="00A249BB">
        <w:t xml:space="preserve"> that ‘mutual or conditional’ covenants are exemplified by Exod. 19:5.</w:t>
      </w:r>
      <w:r w:rsidRPr="00A249BB">
        <w:rPr>
          <w:rStyle w:val="FootnoteReference"/>
        </w:rPr>
        <w:footnoteReference w:id="58"/>
      </w:r>
      <w:r w:rsidRPr="00A249BB">
        <w:t xml:space="preserve">  What is interesting here is that Scofield claims</w:t>
      </w:r>
      <w:r>
        <w:t xml:space="preserve"> </w:t>
      </w:r>
      <w:r w:rsidRPr="00A249BB">
        <w:t xml:space="preserve">that ‘of the </w:t>
      </w:r>
      <w:r>
        <w:t>…</w:t>
      </w:r>
      <w:r w:rsidRPr="00A249BB">
        <w:t xml:space="preserve"> seven greater </w:t>
      </w:r>
      <w:r w:rsidRPr="00E5066D">
        <w:t>Covenants,</w:t>
      </w:r>
      <w:r>
        <w:rPr>
          <w:rStyle w:val="EndnoteReference"/>
        </w:rPr>
        <w:endnoteReference w:id="1193"/>
      </w:r>
      <w:r w:rsidRPr="00A249BB">
        <w:t xml:space="preserve"> the Mosaic Covenant is conditional, the others are unconditional’</w:t>
      </w:r>
      <w:r w:rsidRPr="00A249BB">
        <w:rPr>
          <w:rStyle w:val="EndnoteReference"/>
        </w:rPr>
        <w:endnoteReference w:id="1194"/>
      </w:r>
      <w:r w:rsidRPr="00A249BB">
        <w:t xml:space="preserve"> whereas, in </w:t>
      </w:r>
      <w:r w:rsidRPr="00A249BB">
        <w:rPr>
          <w:i/>
        </w:rPr>
        <w:t>SRB</w:t>
      </w:r>
      <w:r w:rsidRPr="00A249BB">
        <w:t xml:space="preserve">, both the Mosaic and the Palestinian Covenants are said to be conditional.  In an oblique reference to the Mosaic Covenant in his note on Exod. 19:25, Scofield states that ‘the Christian is not under the </w:t>
      </w:r>
      <w:r w:rsidRPr="00A249BB">
        <w:rPr>
          <w:i/>
        </w:rPr>
        <w:t>conditional</w:t>
      </w:r>
      <w:r w:rsidRPr="00A249BB">
        <w:t xml:space="preserve"> Mosaic Covenant of works, the law, but under the unconditional New Covenant of grace’;</w:t>
      </w:r>
      <w:r w:rsidRPr="00A249BB">
        <w:rPr>
          <w:rStyle w:val="EndnoteReference"/>
        </w:rPr>
        <w:endnoteReference w:id="1195"/>
      </w:r>
      <w:r w:rsidRPr="00A249BB">
        <w:t xml:space="preserve"> in his introduction to Deuteronomy he states categorically that ‘it was under the </w:t>
      </w:r>
      <w:r w:rsidRPr="00A249BB">
        <w:rPr>
          <w:i/>
        </w:rPr>
        <w:t>conditional</w:t>
      </w:r>
      <w:r w:rsidRPr="00A249BB">
        <w:t xml:space="preserve"> Palestinian Covenant that Israel entered the land under Joshua’.  Furthermore, violation of that covenant resulted in the disruption of the nation and then expulsion from the land; ‘but the same covenant unconditionally promises a national restoration of Israel which is yet to be fulfilled’.</w:t>
      </w:r>
      <w:r w:rsidRPr="00A249BB">
        <w:rPr>
          <w:rStyle w:val="EndnoteReference"/>
        </w:rPr>
        <w:endnoteReference w:id="1196"/>
      </w:r>
      <w:r w:rsidRPr="00A249BB">
        <w:t xml:space="preserve">  The discrepancy between the </w:t>
      </w:r>
      <w:r w:rsidRPr="00A249BB">
        <w:rPr>
          <w:i/>
        </w:rPr>
        <w:t>Correspondence Course</w:t>
      </w:r>
      <w:r w:rsidRPr="00A249BB">
        <w:t xml:space="preserve"> and </w:t>
      </w:r>
      <w:r w:rsidRPr="00A249BB">
        <w:rPr>
          <w:i/>
        </w:rPr>
        <w:t>SRB</w:t>
      </w:r>
      <w:r w:rsidRPr="00A249BB">
        <w:t xml:space="preserve"> presents an odd feature in Scofield’s writing, since the </w:t>
      </w:r>
      <w:r w:rsidRPr="00A249BB">
        <w:rPr>
          <w:i/>
        </w:rPr>
        <w:t>Correspondence Course</w:t>
      </w:r>
      <w:r w:rsidRPr="00A249BB">
        <w:t xml:space="preserve"> was apparently published only two years before the original edition of the Reference Bible.</w:t>
      </w:r>
      <w:r w:rsidRPr="00A249BB">
        <w:rPr>
          <w:rStyle w:val="FootnoteReference"/>
        </w:rPr>
        <w:footnoteReference w:id="59"/>
      </w:r>
      <w:r>
        <w:t xml:space="preserve">  </w:t>
      </w:r>
    </w:p>
    <w:p w:rsidR="00442D33" w:rsidRPr="008A0B7B" w:rsidRDefault="00442D33" w:rsidP="00442D33">
      <w:pPr>
        <w:spacing w:after="120" w:line="360" w:lineRule="auto"/>
        <w:ind w:firstLine="567"/>
        <w:jc w:val="both"/>
      </w:pPr>
      <w:r w:rsidRPr="008A0B7B">
        <w:t xml:space="preserve">It should be noted that Scofield does not include the Edenic Covenant amongst his ‘seven greater covenants’ </w:t>
      </w:r>
      <w:r>
        <w:t xml:space="preserve">in the </w:t>
      </w:r>
      <w:r w:rsidRPr="0083048F">
        <w:rPr>
          <w:i/>
        </w:rPr>
        <w:t>Correspondence Course</w:t>
      </w:r>
      <w:r>
        <w:t xml:space="preserve"> </w:t>
      </w:r>
      <w:r w:rsidRPr="008A0B7B">
        <w:t xml:space="preserve">and gives no explanation for this.  It is also noteworthy that the fifth covenant listed, the ‘Deuteronomic’, is called the ‘Palestinian’ in </w:t>
      </w:r>
      <w:r w:rsidRPr="008A0B7B">
        <w:rPr>
          <w:i/>
        </w:rPr>
        <w:t>SRB</w:t>
      </w:r>
      <w:r w:rsidRPr="008A0B7B">
        <w:t>.  The title, ‘Deuteronomic’ is actually more justifiable than ‘Palestinian’ because an unnamed covenant is mentioned in Deut. 29:1 as additional to ‘the covenant which [the LORD] had made with them at Horeb’</w:t>
      </w:r>
      <w:r w:rsidRPr="008A0B7B">
        <w:rPr>
          <w:rStyle w:val="EndnoteReference"/>
        </w:rPr>
        <w:endnoteReference w:id="1197"/>
      </w:r>
      <w:r w:rsidRPr="008A0B7B">
        <w:t xml:space="preserve"> but, as discussed below, the term, ‘Palestinian’ is anachronistic.</w:t>
      </w:r>
      <w:r w:rsidRPr="008A0B7B">
        <w:rPr>
          <w:rStyle w:val="EndnoteReference"/>
        </w:rPr>
        <w:endnoteReference w:id="1198"/>
      </w:r>
      <w:r w:rsidRPr="008A0B7B">
        <w:t xml:space="preserve">  Darby does not appear to refer to this covenant and Chafer describes it as ‘the Covenant with Israel concerning Their Land (Deut. 20:1-10)’.</w:t>
      </w:r>
      <w:r w:rsidRPr="008A0B7B">
        <w:rPr>
          <w:rStyle w:val="EndnoteReference"/>
        </w:rPr>
        <w:endnoteReference w:id="1199"/>
      </w:r>
    </w:p>
    <w:p w:rsidR="00442D33" w:rsidRPr="00A249BB" w:rsidRDefault="00442D33" w:rsidP="00442D33">
      <w:pPr>
        <w:spacing w:after="120" w:line="360" w:lineRule="auto"/>
        <w:ind w:firstLine="567"/>
        <w:jc w:val="both"/>
      </w:pPr>
      <w:r w:rsidRPr="00A249BB">
        <w:t xml:space="preserve">The Edenic and Adamic Covenants are not mentioned in the </w:t>
      </w:r>
      <w:r w:rsidRPr="00A249BB">
        <w:rPr>
          <w:i/>
        </w:rPr>
        <w:t>KJV</w:t>
      </w:r>
      <w:r w:rsidRPr="00A249BB">
        <w:t xml:space="preserve"> text; the situations in which they occur cannot strictly be called covenants because there is no two-sided agreement in either, as defined by Bradshaw.</w:t>
      </w:r>
      <w:r w:rsidRPr="00A249BB">
        <w:rPr>
          <w:rStyle w:val="EndnoteReference"/>
        </w:rPr>
        <w:endnoteReference w:id="1200"/>
      </w:r>
      <w:r w:rsidRPr="00A249BB">
        <w:t xml:space="preserve">  Each comprises a divine statement, which probably accords with Scofield’s category of ‘</w:t>
      </w:r>
      <w:proofErr w:type="gramStart"/>
      <w:r w:rsidRPr="00A249BB">
        <w:t>declarative,</w:t>
      </w:r>
      <w:proofErr w:type="gramEnd"/>
      <w:r w:rsidRPr="00A249BB">
        <w:t xml:space="preserve"> or unconditional’ covenants.</w:t>
      </w:r>
      <w:r w:rsidRPr="00A249BB">
        <w:rPr>
          <w:rStyle w:val="EndnoteReference"/>
        </w:rPr>
        <w:endnoteReference w:id="1201"/>
      </w:r>
      <w:r w:rsidRPr="00A249BB">
        <w:t xml:space="preserve">  Neither the Dispensation of Grace nor the New Covenant receives a subhead proclaiming its arrival as do the earlier dispensations and covenants, but nor does the kingdom-age.  Instead, Scofield refers indirectly to the Dispensation of Grace in terms of the end of the age of law and confines mention of the kingdom-age to the subhead concerning Satan’s binding.</w:t>
      </w:r>
      <w:r w:rsidRPr="00A249BB">
        <w:rPr>
          <w:rStyle w:val="EndnoteReference"/>
        </w:rPr>
        <w:endnoteReference w:id="1202"/>
      </w:r>
      <w:r w:rsidRPr="00A249BB">
        <w:t xml:space="preserve">  As can be seen in all the subheads in the table above, biblical references to covenants are mixed indiscriminately with references to Scofield’s own constructions, making it difficult for readers to distinguish between the two.  </w:t>
      </w:r>
    </w:p>
    <w:p w:rsidR="00442D33" w:rsidRPr="00A249BB" w:rsidRDefault="00442D33" w:rsidP="00442D33">
      <w:pPr>
        <w:spacing w:after="120" w:line="360" w:lineRule="auto"/>
        <w:ind w:firstLine="567"/>
        <w:jc w:val="both"/>
      </w:pPr>
      <w:r w:rsidRPr="00A249BB">
        <w:t xml:space="preserve">Covenants are actually mentioned in the biblical text of </w:t>
      </w:r>
      <w:r w:rsidRPr="00A249BB">
        <w:rPr>
          <w:i/>
        </w:rPr>
        <w:t xml:space="preserve">KJV </w:t>
      </w:r>
      <w:r w:rsidRPr="00A249BB">
        <w:t xml:space="preserve">with regard to Noah, for example in Gen. 6:18 and Genesis 9; and with regard to Abraham, for example in Gen. 15:18 and Genesis 17 (including the covenant to be extended to Isaac (Gen. 17:19, 21).  God’s promise is extended to Jacob in Gen. 28:13-15, though the word ‘covenant’ is not used.  The Mosaic Covenant is mentioned, for example </w:t>
      </w:r>
      <w:r w:rsidRPr="00A249BB">
        <w:lastRenderedPageBreak/>
        <w:t xml:space="preserve">in Exod. 19:5, 34:27-8 and Deut. 5:2-3; a separate covenant is mentioned ‘beside the one he made with them at Horeb’ in Deut. 29:1 but is not named.  2 Samuel 7 does not contain </w:t>
      </w:r>
      <w:r>
        <w:t xml:space="preserve">the word, </w:t>
      </w:r>
      <w:r w:rsidRPr="00A249BB">
        <w:t xml:space="preserve">covenant but </w:t>
      </w:r>
      <w:r>
        <w:t>2 Sam. 23:5 and 2 Chron. 7:18 and 21:7 refer to the covenant with David, though obliquely</w:t>
      </w:r>
      <w:r w:rsidRPr="00A249BB">
        <w:t xml:space="preserve">.  There are three references to the New Covenant in Hebrews – 8:8, 8:13 and 12:24.  </w:t>
      </w:r>
    </w:p>
    <w:p w:rsidR="00442D33" w:rsidRPr="00A249BB" w:rsidRDefault="00442D33" w:rsidP="00442D33">
      <w:pPr>
        <w:spacing w:after="120" w:line="360" w:lineRule="auto"/>
        <w:ind w:right="-28" w:firstLine="567"/>
        <w:jc w:val="both"/>
      </w:pPr>
      <w:r w:rsidRPr="00A249BB">
        <w:rPr>
          <w:color w:val="000000"/>
        </w:rPr>
        <w:t>Three covenants feature most prominently in Scofield’s notes concerning Israel’s status and future – the Abrahamic,</w:t>
      </w:r>
      <w:r w:rsidRPr="00A249BB">
        <w:rPr>
          <w:rStyle w:val="EndnoteReference"/>
          <w:color w:val="000000"/>
        </w:rPr>
        <w:endnoteReference w:id="1203"/>
      </w:r>
      <w:r w:rsidRPr="00A249BB">
        <w:rPr>
          <w:color w:val="000000"/>
        </w:rPr>
        <w:t xml:space="preserve"> the so-called Palestinian</w:t>
      </w:r>
      <w:r w:rsidRPr="00A249BB">
        <w:rPr>
          <w:rStyle w:val="EndnoteReference"/>
          <w:color w:val="000000"/>
        </w:rPr>
        <w:endnoteReference w:id="1204"/>
      </w:r>
      <w:r w:rsidRPr="00A249BB">
        <w:rPr>
          <w:color w:val="000000"/>
        </w:rPr>
        <w:t xml:space="preserve"> and the Davidic,</w:t>
      </w:r>
      <w:r w:rsidRPr="00A249BB">
        <w:rPr>
          <w:rStyle w:val="EndnoteReference"/>
          <w:color w:val="000000"/>
        </w:rPr>
        <w:endnoteReference w:id="1205"/>
      </w:r>
      <w:r w:rsidRPr="00A249BB">
        <w:rPr>
          <w:color w:val="000000"/>
        </w:rPr>
        <w:t xml:space="preserve"> along with the Mosaic, which is associated with the law.</w:t>
      </w:r>
      <w:r w:rsidRPr="00A249BB">
        <w:rPr>
          <w:rStyle w:val="EndnoteReference"/>
          <w:color w:val="000000"/>
        </w:rPr>
        <w:endnoteReference w:id="1206"/>
      </w:r>
      <w:r w:rsidRPr="00A249BB">
        <w:rPr>
          <w:color w:val="000000"/>
        </w:rPr>
        <w:t xml:space="preserve">  The New Covenant is discussed in commentary on Hebrews.</w:t>
      </w:r>
      <w:r w:rsidRPr="00A249BB">
        <w:rPr>
          <w:rStyle w:val="EndnoteReference"/>
          <w:color w:val="000000"/>
        </w:rPr>
        <w:endnoteReference w:id="1207"/>
      </w:r>
      <w:r w:rsidRPr="00A249BB">
        <w:rPr>
          <w:color w:val="000000"/>
        </w:rPr>
        <w:t xml:space="preserve">  Two notes, both on Heb. </w:t>
      </w:r>
      <w:proofErr w:type="gramStart"/>
      <w:r w:rsidRPr="00A249BB">
        <w:rPr>
          <w:color w:val="000000"/>
        </w:rPr>
        <w:t>8:8,</w:t>
      </w:r>
      <w:proofErr w:type="gramEnd"/>
      <w:r w:rsidRPr="00A249BB">
        <w:rPr>
          <w:color w:val="000000"/>
        </w:rPr>
        <w:t xml:space="preserve"> appear self-contradictory.  </w:t>
      </w:r>
      <w:r w:rsidRPr="00A249BB">
        <w:t xml:space="preserve">In the first of these, </w:t>
      </w:r>
      <w:r w:rsidRPr="00A249BB">
        <w:rPr>
          <w:i/>
        </w:rPr>
        <w:t>SRB</w:t>
      </w:r>
      <w:r w:rsidRPr="00A249BB">
        <w:t xml:space="preserve"> states that ‘the New Covenant secures … the perpetuity, future conversion and blessing of Israel’</w:t>
      </w:r>
      <w:r w:rsidRPr="00A249BB">
        <w:rPr>
          <w:rStyle w:val="EndnoteReference"/>
        </w:rPr>
        <w:endnoteReference w:id="1208"/>
      </w:r>
      <w:r w:rsidRPr="00A249BB">
        <w:t xml:space="preserve">  whereas, in the second note, it states that ‘the Palestinian Covenant</w:t>
      </w:r>
      <w:r w:rsidRPr="00A249BB">
        <w:rPr>
          <w:rStyle w:val="EndnoteReference"/>
        </w:rPr>
        <w:endnoteReference w:id="1209"/>
      </w:r>
      <w:r w:rsidRPr="00A249BB">
        <w:t xml:space="preserve">  … secures the final restoration and conversion of Israel’.</w:t>
      </w:r>
      <w:r w:rsidRPr="00A249BB">
        <w:rPr>
          <w:rStyle w:val="EndnoteReference"/>
        </w:rPr>
        <w:endnoteReference w:id="1210"/>
      </w:r>
      <w:r w:rsidRPr="00A249BB">
        <w:t xml:space="preserve">  These statements would seem to be mutually exclusive.</w:t>
      </w:r>
    </w:p>
    <w:p w:rsidR="00442D33" w:rsidRPr="00A249BB" w:rsidRDefault="00442D33" w:rsidP="00442D33">
      <w:pPr>
        <w:spacing w:after="120" w:line="360" w:lineRule="auto"/>
        <w:ind w:right="71" w:firstLine="567"/>
        <w:jc w:val="both"/>
        <w:rPr>
          <w:b/>
        </w:rPr>
      </w:pPr>
      <w:r w:rsidRPr="00A249BB">
        <w:t>The ‘specific revelation of the will of God’ often seems to be couched in terms of the corresponding covenant and the ‘testing’ under a dispensation is often one of the covenantal elements – failure is sometimes under the covenant, not the dispensation.</w:t>
      </w:r>
      <w:r w:rsidRPr="00A249BB">
        <w:rPr>
          <w:rStyle w:val="FootnoteReference"/>
        </w:rPr>
        <w:footnoteReference w:id="60"/>
      </w:r>
      <w:r w:rsidRPr="00A249BB">
        <w:t xml:space="preserve">  Keith Mathison states that ‘dispensationalists have failed to offer a coherent description of the way in which the dispensations and covenants work together to structure history’.  This results in tension because these two methods of structuring biblical history are often contradictory.</w:t>
      </w:r>
      <w:r w:rsidRPr="00A249BB">
        <w:rPr>
          <w:rStyle w:val="EndnoteReference"/>
        </w:rPr>
        <w:endnoteReference w:id="1211"/>
      </w:r>
      <w:r w:rsidRPr="00A249BB">
        <w:t xml:space="preserve">  Sweetnam, however, holds that such harmonisation is not necessarily impossible even if Scofield’s attempt was not entirely successful.</w:t>
      </w:r>
      <w:r w:rsidRPr="00A249BB">
        <w:rPr>
          <w:rStyle w:val="EndnoteReference"/>
        </w:rPr>
        <w:endnoteReference w:id="1212"/>
      </w:r>
      <w:r w:rsidRPr="00A249BB">
        <w:t xml:space="preserve"> </w:t>
      </w:r>
      <w:r w:rsidRPr="00A249BB">
        <w:rPr>
          <w:b/>
        </w:rPr>
        <w:t xml:space="preserve"> </w:t>
      </w:r>
    </w:p>
    <w:p w:rsidR="00442D33" w:rsidRPr="00A249BB" w:rsidRDefault="00442D33" w:rsidP="00442D33">
      <w:pPr>
        <w:spacing w:after="120" w:line="360" w:lineRule="auto"/>
        <w:ind w:right="71" w:firstLine="567"/>
        <w:jc w:val="both"/>
        <w:rPr>
          <w:b/>
        </w:rPr>
      </w:pPr>
      <w:r w:rsidRPr="00A249BB">
        <w:t xml:space="preserve">Scofield avers that the Abrahamic and so-called </w:t>
      </w:r>
      <w:r>
        <w:t>‘</w:t>
      </w:r>
      <w:r w:rsidRPr="00A249BB">
        <w:t>Palestinian</w:t>
      </w:r>
      <w:r>
        <w:t>’</w:t>
      </w:r>
      <w:r w:rsidRPr="00A249BB">
        <w:t xml:space="preserve"> Covenants still hold for ‘God’s earthly people’ and that the seventh dispensation, the kingdom, will secure the restoration of Israel under its Davidic ruler.</w:t>
      </w:r>
      <w:r w:rsidRPr="00A249BB">
        <w:rPr>
          <w:rStyle w:val="EndnoteReference"/>
        </w:rPr>
        <w:endnoteReference w:id="1213"/>
      </w:r>
      <w:r w:rsidRPr="00A249BB">
        <w:t xml:space="preserve">  </w:t>
      </w:r>
    </w:p>
    <w:p w:rsidR="00442D33" w:rsidRPr="00A249BB" w:rsidRDefault="00442D33" w:rsidP="00442D33">
      <w:pPr>
        <w:tabs>
          <w:tab w:val="left" w:pos="4678"/>
        </w:tabs>
        <w:spacing w:after="120" w:line="360" w:lineRule="auto"/>
        <w:ind w:right="-28"/>
        <w:jc w:val="both"/>
        <w:rPr>
          <w:b/>
          <w:sz w:val="24"/>
          <w:szCs w:val="24"/>
        </w:rPr>
      </w:pPr>
      <w:proofErr w:type="gramStart"/>
      <w:r w:rsidRPr="002537F3">
        <w:rPr>
          <w:b/>
          <w:sz w:val="24"/>
          <w:szCs w:val="24"/>
        </w:rPr>
        <w:t>5.</w:t>
      </w:r>
      <w:r w:rsidR="003242A4" w:rsidRPr="002537F3">
        <w:rPr>
          <w:b/>
          <w:sz w:val="24"/>
          <w:szCs w:val="24"/>
        </w:rPr>
        <w:t>3</w:t>
      </w:r>
      <w:r w:rsidRPr="002537F3">
        <w:rPr>
          <w:b/>
          <w:sz w:val="24"/>
          <w:szCs w:val="24"/>
        </w:rPr>
        <w:t xml:space="preserve">  </w:t>
      </w:r>
      <w:r w:rsidRPr="00A249BB">
        <w:rPr>
          <w:b/>
          <w:sz w:val="24"/>
          <w:szCs w:val="24"/>
        </w:rPr>
        <w:t>Distribution</w:t>
      </w:r>
      <w:proofErr w:type="gramEnd"/>
      <w:r w:rsidRPr="00A249BB">
        <w:rPr>
          <w:b/>
          <w:sz w:val="24"/>
          <w:szCs w:val="24"/>
        </w:rPr>
        <w:t xml:space="preserve"> and </w:t>
      </w:r>
      <w:r w:rsidRPr="00FE4A9B">
        <w:rPr>
          <w:b/>
          <w:sz w:val="24"/>
          <w:szCs w:val="24"/>
        </w:rPr>
        <w:t>Content of Dispensations</w:t>
      </w:r>
    </w:p>
    <w:p w:rsidR="00442D33" w:rsidRPr="00A249BB" w:rsidRDefault="00442D33" w:rsidP="00442D33">
      <w:pPr>
        <w:tabs>
          <w:tab w:val="left" w:pos="4678"/>
        </w:tabs>
        <w:spacing w:after="120" w:line="360" w:lineRule="auto"/>
        <w:ind w:right="-28"/>
        <w:jc w:val="both"/>
      </w:pPr>
      <w:r w:rsidRPr="00A249BB">
        <w:t>Blaising provides two useful tables in his chapter on ‘Dispensations on Biblical Theology’, which give details of ten dispensational schemes proposed between C17 and C19 and a further six schemes ‘in the dispensational tradition’.</w:t>
      </w:r>
      <w:r w:rsidRPr="00A249BB">
        <w:rPr>
          <w:rStyle w:val="EndnoteReference"/>
        </w:rPr>
        <w:endnoteReference w:id="1214"/>
      </w:r>
      <w:r w:rsidRPr="00A249BB">
        <w:t xml:space="preserve">  The notable feature with all these schemes is the differences between them in number and in terminology employed.  The earliest scheme which Blaising notes is that of Hugo Grotius,</w:t>
      </w:r>
      <w:r w:rsidRPr="00A249BB">
        <w:rPr>
          <w:rStyle w:val="EndnoteReference"/>
        </w:rPr>
        <w:endnoteReference w:id="1215"/>
      </w:r>
      <w:r w:rsidRPr="00A249BB">
        <w:t xml:space="preserve"> who makes three simple divisions – Promise, Law and Gospel.  The schemes of later writers basically grow more complex, except for that of Patrick Fairbairn (1805-74)</w:t>
      </w:r>
      <w:r w:rsidRPr="00A249BB">
        <w:rPr>
          <w:rStyle w:val="EndnoteReference"/>
        </w:rPr>
        <w:endnoteReference w:id="1216"/>
      </w:r>
      <w:r w:rsidRPr="00A249BB">
        <w:t>, who also makes three divisions – Patriarchal, Mosaic and Christian.  However, most of the later schemes include a dispensation to come after the Gospel era, variously termed ‘glory’,</w:t>
      </w:r>
      <w:r w:rsidRPr="00A249BB">
        <w:rPr>
          <w:rStyle w:val="EndnoteReference"/>
        </w:rPr>
        <w:endnoteReference w:id="1217"/>
      </w:r>
      <w:r w:rsidRPr="00A249BB">
        <w:t xml:space="preserve"> ‘New Dispensation’,</w:t>
      </w:r>
      <w:r w:rsidRPr="00A249BB">
        <w:rPr>
          <w:rStyle w:val="EndnoteReference"/>
        </w:rPr>
        <w:endnoteReference w:id="1218"/>
      </w:r>
      <w:r w:rsidRPr="00A249BB">
        <w:t xml:space="preserve"> ‘Renovation (millennium)’,</w:t>
      </w:r>
      <w:r w:rsidRPr="00A249BB">
        <w:rPr>
          <w:rStyle w:val="EndnoteReference"/>
        </w:rPr>
        <w:endnoteReference w:id="1219"/>
      </w:r>
      <w:r w:rsidRPr="00A249BB">
        <w:t xml:space="preserve"> ‘Prophetic Gospel (millennium)’,</w:t>
      </w:r>
      <w:r w:rsidRPr="00A249BB">
        <w:rPr>
          <w:rStyle w:val="EndnoteReference"/>
        </w:rPr>
        <w:endnoteReference w:id="1220"/>
      </w:r>
      <w:r w:rsidRPr="00A249BB">
        <w:t xml:space="preserve"> and ‘Millennium and Eternal State’.</w:t>
      </w:r>
      <w:r w:rsidRPr="00A249BB">
        <w:rPr>
          <w:rStyle w:val="EndnoteReference"/>
        </w:rPr>
        <w:endnoteReference w:id="1221"/>
      </w:r>
      <w:r w:rsidRPr="00A249BB">
        <w:t xml:space="preserve">  </w:t>
      </w:r>
    </w:p>
    <w:p w:rsidR="00442D33" w:rsidRPr="00EF0AB4" w:rsidRDefault="00442D33" w:rsidP="00442D33">
      <w:pPr>
        <w:tabs>
          <w:tab w:val="left" w:pos="4678"/>
        </w:tabs>
        <w:spacing w:after="120" w:line="360" w:lineRule="auto"/>
        <w:ind w:right="-28" w:firstLine="567"/>
        <w:jc w:val="both"/>
      </w:pPr>
      <w:r w:rsidRPr="00A249BB">
        <w:lastRenderedPageBreak/>
        <w:t xml:space="preserve">The first of the schemes ‘in the dispensational tradition’ noted by Blaising is that of Darby; this includes ‘the Paradisiacal State’, ‘Conscience’, ‘Noah’, ‘Abraham’, </w:t>
      </w:r>
      <w:r>
        <w:t>‘</w:t>
      </w:r>
      <w:r w:rsidRPr="00A249BB">
        <w:t>Israel (divided into Law, Priest and Kings</w:t>
      </w:r>
      <w:r>
        <w:t>)’</w:t>
      </w:r>
      <w:r w:rsidRPr="00A249BB">
        <w:t xml:space="preserve">, </w:t>
      </w:r>
      <w:r>
        <w:t>‘</w:t>
      </w:r>
      <w:r w:rsidRPr="00A249BB">
        <w:t>Gentiles</w:t>
      </w:r>
      <w:r>
        <w:t>’</w:t>
      </w:r>
      <w:r w:rsidRPr="00A249BB">
        <w:t xml:space="preserve">, </w:t>
      </w:r>
      <w:r>
        <w:t>‘</w:t>
      </w:r>
      <w:r w:rsidRPr="00A249BB">
        <w:t>Spirit/Christian Church</w:t>
      </w:r>
      <w:r>
        <w:t>’</w:t>
      </w:r>
      <w:r w:rsidRPr="00A249BB">
        <w:t xml:space="preserve"> and </w:t>
      </w:r>
      <w:r>
        <w:t>‘</w:t>
      </w:r>
      <w:r w:rsidRPr="00A249BB">
        <w:t>Millennium</w:t>
      </w:r>
      <w:r>
        <w:t>’</w:t>
      </w:r>
      <w:r w:rsidRPr="00A249BB">
        <w:t>.</w:t>
      </w:r>
      <w:r w:rsidRPr="00A249BB">
        <w:rPr>
          <w:rStyle w:val="EndnoteReference"/>
        </w:rPr>
        <w:endnoteReference w:id="1222"/>
      </w:r>
      <w:r w:rsidRPr="00A249BB">
        <w:t xml:space="preserve">  A footnote directs the reader to commentary on this by Crutchfield.  Crutchfield notes that, although Darby ‘discusses the dispensations i</w:t>
      </w:r>
      <w:r w:rsidRPr="00EF0AB4">
        <w:t xml:space="preserve">n a categorical way in a few places, the content of those categories is not always the same and his treatment of the dispensations is not in an altogether systematic fashion’.  Darby sometimes designates the present dispensation </w:t>
      </w:r>
      <w:r>
        <w:t>‘</w:t>
      </w:r>
      <w:r w:rsidRPr="00EF0AB4">
        <w:t>Spirit</w:t>
      </w:r>
      <w:r>
        <w:t>’</w:t>
      </w:r>
      <w:r w:rsidRPr="00EF0AB4">
        <w:t xml:space="preserve">, but at other times </w:t>
      </w:r>
      <w:r>
        <w:t>‘</w:t>
      </w:r>
      <w:r w:rsidRPr="00EF0AB4">
        <w:t>Christian</w:t>
      </w:r>
      <w:r>
        <w:t>’</w:t>
      </w:r>
      <w:r w:rsidRPr="00EF0AB4">
        <w:t xml:space="preserve"> or </w:t>
      </w:r>
      <w:r>
        <w:t>‘</w:t>
      </w:r>
      <w:r w:rsidRPr="00EF0AB4">
        <w:t>Gentile</w:t>
      </w:r>
      <w:r>
        <w:t>’</w:t>
      </w:r>
      <w:r w:rsidRPr="00EF0AB4">
        <w:t>.  Crutchfield also states that Darby fluctuates between including and excluding the millennial kingdom as a dispensation.</w:t>
      </w:r>
      <w:r w:rsidRPr="00EF0AB4">
        <w:rPr>
          <w:rStyle w:val="EndnoteReference"/>
        </w:rPr>
        <w:endnoteReference w:id="1223"/>
      </w:r>
      <w:r w:rsidRPr="00EF0AB4">
        <w:t xml:space="preserve">  Crutchfield argues that Darby did not count the Paradisiacal State as a dispensation; there had at that time been no ‘administrative arrangement between God and humankind’, hence ‘there could be no dispensation under Adam’.</w:t>
      </w:r>
      <w:r w:rsidRPr="00EF0AB4">
        <w:rPr>
          <w:rStyle w:val="EndnoteReference"/>
        </w:rPr>
        <w:endnoteReference w:id="1224"/>
      </w:r>
      <w:r w:rsidRPr="00EF0AB4">
        <w:t xml:space="preserve">  Similarly, the period between the fall and the flood was ‘a place of human history during which the race was left completely to itself without any direct interference of God or established center of God’s dealings with it’, rather than a dispensation.</w:t>
      </w:r>
      <w:r w:rsidRPr="00EF0AB4">
        <w:rPr>
          <w:rStyle w:val="EndnoteReference"/>
        </w:rPr>
        <w:endnoteReference w:id="1225"/>
      </w:r>
      <w:r w:rsidRPr="00EF0AB4">
        <w:t xml:space="preserve">  </w:t>
      </w:r>
    </w:p>
    <w:p w:rsidR="00442D33" w:rsidRDefault="00442D33" w:rsidP="00442D33">
      <w:pPr>
        <w:tabs>
          <w:tab w:val="left" w:pos="4678"/>
        </w:tabs>
        <w:spacing w:after="120" w:line="360" w:lineRule="auto"/>
        <w:ind w:right="-28" w:firstLine="567"/>
        <w:jc w:val="both"/>
      </w:pPr>
      <w:r w:rsidRPr="00A249BB">
        <w:t>For Darby, dispensations start with Noah: ‘With Noah we begin the course of dispensations,</w:t>
      </w:r>
      <w:r w:rsidRPr="00EF0AB4">
        <w:t xml:space="preserve"> or of the manifestations of the ways of God for the final bringing out the full glory of Christ.’</w:t>
      </w:r>
      <w:r w:rsidRPr="00EF0AB4">
        <w:rPr>
          <w:rStyle w:val="EndnoteReference"/>
        </w:rPr>
        <w:endnoteReference w:id="1226"/>
      </w:r>
      <w:r w:rsidRPr="00EF0AB4">
        <w:t xml:space="preserve">  In the same document, referring to Abraham, Darby refers to ‘the next important principle brought out [which] is calling and election’, though he does not here call this a dispensation.</w:t>
      </w:r>
      <w:r w:rsidRPr="00EF0AB4">
        <w:rPr>
          <w:rStyle w:val="EndnoteReference"/>
        </w:rPr>
        <w:endnoteReference w:id="1227"/>
      </w:r>
      <w:r w:rsidRPr="00EF0AB4">
        <w:t xml:space="preserve">  Darby continues, ‘The next important step in the ways of God, the formation and deliverance of a people from the power of their enemies by judgments and an outstretched arm, by which they were set apart as a people of dilection </w:t>
      </w:r>
      <w:r w:rsidR="00683E7A">
        <w:t>(</w:t>
      </w:r>
      <w:r w:rsidR="00683E7A" w:rsidRPr="00683E7A">
        <w:rPr>
          <w:i/>
        </w:rPr>
        <w:t>sic</w:t>
      </w:r>
      <w:r w:rsidR="00683E7A">
        <w:t xml:space="preserve">) </w:t>
      </w:r>
      <w:r w:rsidRPr="00EF0AB4">
        <w:t>to God on the earth.’</w:t>
      </w:r>
      <w:r w:rsidRPr="00A249BB">
        <w:rPr>
          <w:rStyle w:val="EndnoteReference"/>
        </w:rPr>
        <w:endnoteReference w:id="1228"/>
      </w:r>
      <w:r w:rsidRPr="00A249BB">
        <w:t xml:space="preserve">  This is an intimation of the Mosaic dispensation, though again it is not named in this document.  In </w:t>
      </w:r>
      <w:r>
        <w:t>another document,</w:t>
      </w:r>
      <w:r w:rsidRPr="00A249BB">
        <w:t xml:space="preserve"> Darby asks, ‘Is it not true that God has substituted the Christian dispensation for the Jewish economy, or the dispensation of the law?’</w:t>
      </w:r>
      <w:r w:rsidRPr="00A249BB">
        <w:rPr>
          <w:rStyle w:val="EndnoteReference"/>
        </w:rPr>
        <w:endnoteReference w:id="1229"/>
      </w:r>
      <w:r w:rsidRPr="00A249BB">
        <w:t xml:space="preserve">  In an oblique manner, Darby thus identifies the current dispensation.  Equally obscurely, </w:t>
      </w:r>
      <w:r>
        <w:t xml:space="preserve">in a third document, </w:t>
      </w:r>
      <w:r w:rsidRPr="00A249BB">
        <w:t xml:space="preserve">Darby intimates on the basis of Eph. 1:9 that since God would </w:t>
      </w:r>
      <w:r>
        <w:t>‘“</w:t>
      </w:r>
      <w:r w:rsidRPr="00A249BB">
        <w:t>gather together in one all things in Christ… in heaven … and on earth</w:t>
      </w:r>
      <w:r>
        <w:t>”’</w:t>
      </w:r>
      <w:r w:rsidRPr="00A249BB">
        <w:t xml:space="preserve">, and since ‘this is in no way applicable to the present dispensation … in which Satan is the prince and god of this world – in which he sows tares among the wheat’, this </w:t>
      </w:r>
    </w:p>
    <w:p w:rsidR="00442D33" w:rsidRPr="00D75FF4" w:rsidRDefault="00442D33" w:rsidP="00442D33">
      <w:pPr>
        <w:tabs>
          <w:tab w:val="left" w:pos="4678"/>
        </w:tabs>
        <w:spacing w:after="120" w:line="240" w:lineRule="auto"/>
        <w:ind w:left="1134" w:right="1701"/>
        <w:jc w:val="both"/>
      </w:pPr>
      <w:r w:rsidRPr="00A249BB">
        <w:t>cannot mean the church in the present dispensation, or in any dispensation</w:t>
      </w:r>
      <w:r>
        <w:t xml:space="preserve"> </w:t>
      </w:r>
      <w:r w:rsidRPr="00D75FF4">
        <w:rPr>
          <w:rFonts w:eastAsia="Times New Roman"/>
          <w:szCs w:val="24"/>
          <w:lang w:eastAsia="en-GB"/>
        </w:rPr>
        <w:t>for the church, as applied to believers, in no dispensation comprehends all things in heaven and on earth; and that which comprehends and gathers all into one (all things in heaven and on earth) is manifestly not the church; for the church, even here, is gathered out of the earth, and does not gather all things on the earth into itself, and as a dispensation of the assembled saints in heaven, it has none of the things of the earth in it at all.</w:t>
      </w:r>
      <w:r w:rsidRPr="00A249BB">
        <w:rPr>
          <w:rStyle w:val="EndnoteReference"/>
        </w:rPr>
        <w:endnoteReference w:id="1230"/>
      </w:r>
    </w:p>
    <w:p w:rsidR="00442D33" w:rsidRPr="00A249BB" w:rsidRDefault="00442D33" w:rsidP="00442D33">
      <w:pPr>
        <w:tabs>
          <w:tab w:val="left" w:pos="4678"/>
        </w:tabs>
        <w:spacing w:after="120" w:line="360" w:lineRule="auto"/>
        <w:ind w:right="-28"/>
        <w:jc w:val="both"/>
      </w:pPr>
      <w:r w:rsidRPr="00A249BB">
        <w:t>The implication is that another dispensation is to follow.</w:t>
      </w:r>
    </w:p>
    <w:p w:rsidR="00442D33" w:rsidRDefault="00442D33" w:rsidP="00442D33">
      <w:pPr>
        <w:tabs>
          <w:tab w:val="left" w:pos="4678"/>
        </w:tabs>
        <w:spacing w:after="120" w:line="360" w:lineRule="auto"/>
        <w:ind w:right="-28" w:firstLine="567"/>
        <w:jc w:val="both"/>
      </w:pPr>
      <w:r w:rsidRPr="00A249BB">
        <w:t xml:space="preserve">Compared with Darby’s scheme, Scofield’s in </w:t>
      </w:r>
      <w:r w:rsidRPr="00A249BB">
        <w:rPr>
          <w:i/>
        </w:rPr>
        <w:t>SRB</w:t>
      </w:r>
      <w:r w:rsidRPr="00A249BB">
        <w:t xml:space="preserve"> is set out very simply.  The note introducing each dispensation is attached to a scriptural verse but, in view of the different historic schemes shown in Blaising’s table,</w:t>
      </w:r>
      <w:r w:rsidRPr="00A249BB">
        <w:rPr>
          <w:rStyle w:val="EndnoteReference"/>
        </w:rPr>
        <w:endnoteReference w:id="1231"/>
      </w:r>
      <w:r w:rsidRPr="00A249BB">
        <w:t xml:space="preserve"> it is not surprising that the placing of these attachments can appear arbitrary, for </w:t>
      </w:r>
      <w:r w:rsidRPr="00A249BB">
        <w:lastRenderedPageBreak/>
        <w:t xml:space="preserve">example when compared with the 1967 and 2003 editions of the </w:t>
      </w:r>
      <w:r w:rsidRPr="00683E7A">
        <w:rPr>
          <w:i/>
        </w:rPr>
        <w:t>Scofield Bible</w:t>
      </w:r>
      <w:r w:rsidRPr="00A249BB">
        <w:t>, where the same dispensations are identified but attached to different verses, as shown in the table below.  This indicates that Scofield’s placing of the dispensations is interpretative.</w:t>
      </w:r>
    </w:p>
    <w:p w:rsidR="00442D33" w:rsidRDefault="00442D33" w:rsidP="00442D33">
      <w:r>
        <w:rPr>
          <w:noProof/>
          <w:lang w:eastAsia="en-GB"/>
        </w:rPr>
        <w:drawing>
          <wp:inline distT="0" distB="0" distL="0" distR="0" wp14:anchorId="0BDC6122" wp14:editId="20870190">
            <wp:extent cx="5668790" cy="6469380"/>
            <wp:effectExtent l="0" t="0" r="8255"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 of Dspns ONLY 14.12.17 crop.jpg"/>
                    <pic:cNvPicPr/>
                  </pic:nvPicPr>
                  <pic:blipFill>
                    <a:blip r:embed="rId110">
                      <a:extLst>
                        <a:ext uri="{28A0092B-C50C-407E-A947-70E740481C1C}">
                          <a14:useLocalDpi xmlns:a14="http://schemas.microsoft.com/office/drawing/2010/main" val="0"/>
                        </a:ext>
                      </a:extLst>
                    </a:blip>
                    <a:stretch>
                      <a:fillRect/>
                    </a:stretch>
                  </pic:blipFill>
                  <pic:spPr>
                    <a:xfrm>
                      <a:off x="0" y="0"/>
                      <a:ext cx="5668049" cy="6468534"/>
                    </a:xfrm>
                    <a:prstGeom prst="rect">
                      <a:avLst/>
                    </a:prstGeom>
                  </pic:spPr>
                </pic:pic>
              </a:graphicData>
            </a:graphic>
          </wp:inline>
        </w:drawing>
      </w:r>
    </w:p>
    <w:p w:rsidR="002537F3" w:rsidRPr="00024E1E" w:rsidRDefault="002537F3" w:rsidP="00442D33">
      <w:pPr>
        <w:tabs>
          <w:tab w:val="left" w:pos="4678"/>
        </w:tabs>
        <w:spacing w:after="120" w:line="360" w:lineRule="auto"/>
        <w:ind w:right="-28"/>
        <w:jc w:val="both"/>
        <w:rPr>
          <w:b/>
          <w:sz w:val="24"/>
          <w:szCs w:val="24"/>
          <w:highlight w:val="yellow"/>
        </w:rPr>
      </w:pPr>
    </w:p>
    <w:p w:rsidR="002537F3" w:rsidRPr="00024E1E" w:rsidRDefault="002537F3" w:rsidP="00442D33">
      <w:pPr>
        <w:tabs>
          <w:tab w:val="left" w:pos="4678"/>
        </w:tabs>
        <w:spacing w:after="120" w:line="360" w:lineRule="auto"/>
        <w:ind w:right="-28"/>
        <w:jc w:val="both"/>
        <w:rPr>
          <w:b/>
          <w:sz w:val="24"/>
          <w:szCs w:val="24"/>
          <w:highlight w:val="yellow"/>
        </w:rPr>
      </w:pPr>
    </w:p>
    <w:p w:rsidR="002537F3" w:rsidRPr="00024E1E" w:rsidRDefault="002537F3" w:rsidP="00442D33">
      <w:pPr>
        <w:tabs>
          <w:tab w:val="left" w:pos="4678"/>
        </w:tabs>
        <w:spacing w:after="120" w:line="360" w:lineRule="auto"/>
        <w:ind w:right="-28"/>
        <w:jc w:val="both"/>
        <w:rPr>
          <w:b/>
          <w:sz w:val="24"/>
          <w:szCs w:val="24"/>
          <w:highlight w:val="yellow"/>
        </w:rPr>
      </w:pPr>
    </w:p>
    <w:p w:rsidR="00442D33" w:rsidRPr="00746054" w:rsidRDefault="00442D33" w:rsidP="00442D33">
      <w:pPr>
        <w:tabs>
          <w:tab w:val="left" w:pos="4678"/>
        </w:tabs>
        <w:spacing w:after="120" w:line="360" w:lineRule="auto"/>
        <w:ind w:right="-28"/>
        <w:jc w:val="both"/>
        <w:rPr>
          <w:b/>
          <w:sz w:val="24"/>
          <w:szCs w:val="24"/>
        </w:rPr>
      </w:pPr>
      <w:proofErr w:type="gramStart"/>
      <w:r w:rsidRPr="002537F3">
        <w:rPr>
          <w:b/>
          <w:sz w:val="24"/>
          <w:szCs w:val="24"/>
        </w:rPr>
        <w:lastRenderedPageBreak/>
        <w:t>5.</w:t>
      </w:r>
      <w:r w:rsidR="003242A4" w:rsidRPr="002537F3">
        <w:rPr>
          <w:b/>
          <w:sz w:val="24"/>
          <w:szCs w:val="24"/>
        </w:rPr>
        <w:t>4</w:t>
      </w:r>
      <w:r w:rsidRPr="002537F3">
        <w:rPr>
          <w:b/>
          <w:sz w:val="24"/>
          <w:szCs w:val="24"/>
        </w:rPr>
        <w:t xml:space="preserve">  </w:t>
      </w:r>
      <w:r w:rsidRPr="00746054">
        <w:rPr>
          <w:b/>
          <w:sz w:val="24"/>
          <w:szCs w:val="24"/>
        </w:rPr>
        <w:t>The</w:t>
      </w:r>
      <w:proofErr w:type="gramEnd"/>
      <w:r w:rsidRPr="00746054">
        <w:rPr>
          <w:b/>
          <w:sz w:val="24"/>
          <w:szCs w:val="24"/>
        </w:rPr>
        <w:t xml:space="preserve"> </w:t>
      </w:r>
      <w:r w:rsidRPr="0019144B">
        <w:rPr>
          <w:b/>
          <w:sz w:val="24"/>
          <w:szCs w:val="24"/>
        </w:rPr>
        <w:t>First Five Dispensations and First Five Covenants</w:t>
      </w:r>
    </w:p>
    <w:p w:rsidR="00442D33" w:rsidRPr="00746054" w:rsidRDefault="00442D33" w:rsidP="00442D33">
      <w:pPr>
        <w:spacing w:after="120" w:line="360" w:lineRule="auto"/>
        <w:ind w:right="71"/>
        <w:jc w:val="both"/>
      </w:pPr>
      <w:r w:rsidRPr="00746054">
        <w:t>Since the first five dispensations</w:t>
      </w:r>
      <w:r w:rsidRPr="00746054">
        <w:rPr>
          <w:rStyle w:val="FootnoteReference"/>
        </w:rPr>
        <w:footnoteReference w:id="61"/>
      </w:r>
      <w:r>
        <w:t xml:space="preserve"> </w:t>
      </w:r>
      <w:r w:rsidRPr="00746054">
        <w:t>correspond to the first five covenants</w:t>
      </w:r>
      <w:r w:rsidRPr="00746054">
        <w:rPr>
          <w:rStyle w:val="FootnoteReference"/>
        </w:rPr>
        <w:footnoteReference w:id="62"/>
      </w:r>
      <w:r>
        <w:t xml:space="preserve"> </w:t>
      </w:r>
      <w:r w:rsidRPr="00746054">
        <w:t>commentary on both will be treated together.  After the first five, dispensations and covenants diverge</w:t>
      </w:r>
      <w:r>
        <w:t>;</w:t>
      </w:r>
      <w:r w:rsidRPr="00746054">
        <w:t xml:space="preserve"> the fifth Dispensation of Law continu</w:t>
      </w:r>
      <w:r>
        <w:t>es</w:t>
      </w:r>
      <w:r w:rsidRPr="00746054">
        <w:t xml:space="preserve"> until Christ’s crucifixion and </w:t>
      </w:r>
      <w:r>
        <w:t>is</w:t>
      </w:r>
      <w:r w:rsidRPr="00746054">
        <w:t xml:space="preserve"> succeeded by the sixth and seventh dispensations,</w:t>
      </w:r>
      <w:r>
        <w:rPr>
          <w:rStyle w:val="EndnoteReference"/>
        </w:rPr>
        <w:endnoteReference w:id="1232"/>
      </w:r>
      <w:r>
        <w:t xml:space="preserve"> </w:t>
      </w:r>
      <w:r w:rsidRPr="00746054">
        <w:t xml:space="preserve">but the sixth covenant, the so-called Palestinian Covenant, </w:t>
      </w:r>
      <w:r>
        <w:t>occurs</w:t>
      </w:r>
      <w:r w:rsidRPr="00746054">
        <w:t xml:space="preserve"> at Israel’s entry to Canaan.</w:t>
      </w:r>
      <w:r w:rsidRPr="00746054">
        <w:rPr>
          <w:rStyle w:val="EndnoteReference"/>
        </w:rPr>
        <w:endnoteReference w:id="1233"/>
      </w:r>
      <w:r w:rsidRPr="00746054">
        <w:t xml:space="preserve">  The seventh covenant is the Davidic Covenant,</w:t>
      </w:r>
      <w:r w:rsidRPr="00746054">
        <w:rPr>
          <w:rStyle w:val="EndnoteReference"/>
        </w:rPr>
        <w:endnoteReference w:id="1234"/>
      </w:r>
      <w:r w:rsidRPr="00746054">
        <w:t xml:space="preserve"> and the eighth, the New Covenant, established by Christ’s sacrifice.</w:t>
      </w:r>
      <w:r w:rsidRPr="00746054">
        <w:rPr>
          <w:rStyle w:val="EndnoteReference"/>
        </w:rPr>
        <w:endnoteReference w:id="1235"/>
      </w:r>
    </w:p>
    <w:p w:rsidR="00442D33" w:rsidRPr="00746054" w:rsidRDefault="00442D33" w:rsidP="00442D33">
      <w:pPr>
        <w:tabs>
          <w:tab w:val="left" w:pos="4678"/>
        </w:tabs>
        <w:spacing w:after="120" w:line="360" w:lineRule="auto"/>
        <w:ind w:right="-29"/>
        <w:jc w:val="both"/>
        <w:rPr>
          <w:b/>
        </w:rPr>
      </w:pPr>
      <w:proofErr w:type="gramStart"/>
      <w:r w:rsidRPr="002537F3">
        <w:rPr>
          <w:b/>
        </w:rPr>
        <w:t>5.</w:t>
      </w:r>
      <w:r w:rsidR="003242A4" w:rsidRPr="002537F3">
        <w:rPr>
          <w:b/>
        </w:rPr>
        <w:t>4</w:t>
      </w:r>
      <w:r w:rsidRPr="002537F3">
        <w:rPr>
          <w:b/>
        </w:rPr>
        <w:t xml:space="preserve">.1  </w:t>
      </w:r>
      <w:r w:rsidRPr="00746054">
        <w:rPr>
          <w:b/>
        </w:rPr>
        <w:t>The</w:t>
      </w:r>
      <w:proofErr w:type="gramEnd"/>
      <w:r w:rsidRPr="00746054">
        <w:rPr>
          <w:b/>
        </w:rPr>
        <w:t xml:space="preserve"> First Dispensation and First Covenant</w:t>
      </w:r>
    </w:p>
    <w:p w:rsidR="00442D33" w:rsidRPr="00746054" w:rsidRDefault="00442D33" w:rsidP="00442D33">
      <w:pPr>
        <w:spacing w:after="120" w:line="360" w:lineRule="auto"/>
        <w:ind w:right="71"/>
        <w:jc w:val="both"/>
      </w:pPr>
      <w:r w:rsidRPr="00746054">
        <w:t>The first dispensation (Innocency)</w:t>
      </w:r>
      <w:r>
        <w:rPr>
          <w:rStyle w:val="EndnoteReference"/>
        </w:rPr>
        <w:endnoteReference w:id="1236"/>
      </w:r>
      <w:r>
        <w:t xml:space="preserve"> </w:t>
      </w:r>
      <w:r w:rsidRPr="00746054">
        <w:t>and first covenant (Edenic)</w:t>
      </w:r>
      <w:r>
        <w:rPr>
          <w:rStyle w:val="EndnoteReference"/>
        </w:rPr>
        <w:endnoteReference w:id="1237"/>
      </w:r>
      <w:r>
        <w:t xml:space="preserve"> </w:t>
      </w:r>
      <w:r w:rsidRPr="00746054">
        <w:t>both open at Gen. 1:28.</w:t>
      </w:r>
      <w:r w:rsidRPr="00746054">
        <w:rPr>
          <w:rStyle w:val="EndnoteReference"/>
        </w:rPr>
        <w:endnoteReference w:id="1238"/>
      </w:r>
      <w:r w:rsidRPr="00746054">
        <w:t xml:space="preserve">  </w:t>
      </w:r>
      <w:r w:rsidRPr="005E33DF">
        <w:t>Though Scofield here gives Gen. 3:13 as the final verse in the First Dispensation, he inserts a subhead above Gen. 3:22, marking this verse as the end of the First Dispensation.  (‘The judgment of the Expulsion ends the First Dispensation.’)  Scofield introduces the Second Dispensation (Conscien</w:t>
      </w:r>
      <w:r>
        <w:t>ce) with the subhead to Gen. 3:</w:t>
      </w:r>
      <w:r w:rsidRPr="005E33DF">
        <w:t>23 (see below).</w:t>
      </w:r>
      <w:r>
        <w:rPr>
          <w:rStyle w:val="EndnoteReference"/>
        </w:rPr>
        <w:endnoteReference w:id="1239"/>
      </w:r>
      <w:r w:rsidRPr="005E33DF">
        <w:t xml:space="preserve">  </w:t>
      </w:r>
      <w:r>
        <w:t>In</w:t>
      </w:r>
      <w:r w:rsidRPr="00746054">
        <w:t xml:space="preserve"> </w:t>
      </w:r>
      <w:r w:rsidRPr="00746054">
        <w:rPr>
          <w:i/>
        </w:rPr>
        <w:t>SRB</w:t>
      </w:r>
      <w:r w:rsidRPr="00746054">
        <w:t>, the test of innocent man in his perfect environment during the first dispensation was ‘simple’ but ‘the woman fell through pride; the man, deliberately’.</w:t>
      </w:r>
      <w:r w:rsidRPr="00746054">
        <w:rPr>
          <w:rStyle w:val="EndnoteReference"/>
        </w:rPr>
        <w:endnoteReference w:id="1240"/>
      </w:r>
      <w:r w:rsidRPr="00746054">
        <w:t xml:space="preserve">  The dispensation ended in ‘the judgment of the Expulsion’.</w:t>
      </w:r>
      <w:r w:rsidRPr="00746054">
        <w:rPr>
          <w:rStyle w:val="EndnoteReference"/>
        </w:rPr>
        <w:endnoteReference w:id="1241"/>
      </w:r>
      <w:r w:rsidRPr="00746054">
        <w:t xml:space="preserve">  The first</w:t>
      </w:r>
      <w:r>
        <w:t xml:space="preserve"> covenant, the</w:t>
      </w:r>
      <w:r w:rsidRPr="00746054">
        <w:t xml:space="preserve"> Edenic Covenant</w:t>
      </w:r>
      <w:r>
        <w:t>,</w:t>
      </w:r>
      <w:r w:rsidRPr="00746054">
        <w:t xml:space="preserve"> </w:t>
      </w:r>
      <w:r w:rsidRPr="00920FF0">
        <w:t>‘conditioned the life of the unfallen man’, who was created in innocency</w:t>
      </w:r>
      <w:r>
        <w:t>’; it</w:t>
      </w:r>
      <w:r w:rsidRPr="00746054">
        <w:t xml:space="preserve"> involved six responsibilities for humankind and a warning of the consequence of disobedience.</w:t>
      </w:r>
      <w:r>
        <w:rPr>
          <w:rStyle w:val="EndnoteReference"/>
        </w:rPr>
        <w:endnoteReference w:id="1242"/>
      </w:r>
      <w:r w:rsidRPr="00746054">
        <w:t xml:space="preserve">  </w:t>
      </w:r>
      <w:r w:rsidRPr="00314C07">
        <w:t>Humankind’s responsibilities</w:t>
      </w:r>
      <w:r>
        <w:t xml:space="preserve"> were</w:t>
      </w:r>
      <w:r w:rsidRPr="00314C07">
        <w:t xml:space="preserve"> ‘to replenish the earth with a new order, man, to subdue the earth to human uses, to have dominion over the animal creation, to eat herbs and fruits, to till and keep the garden, to abstain from eating from the tree of the knowledge of good and evil’, the penalty for disobedience being death.</w:t>
      </w:r>
      <w:r>
        <w:rPr>
          <w:rStyle w:val="EndnoteReference"/>
        </w:rPr>
        <w:endnoteReference w:id="1243"/>
      </w:r>
      <w:r>
        <w:t xml:space="preserve">  </w:t>
      </w:r>
      <w:r w:rsidRPr="00920FF0">
        <w:t xml:space="preserve">According to the summary of covenants </w:t>
      </w:r>
      <w:r>
        <w:t xml:space="preserve">in the </w:t>
      </w:r>
      <w:r w:rsidRPr="00920FF0">
        <w:t>note on Heb. 8:8,</w:t>
      </w:r>
      <w:r w:rsidRPr="00920FF0">
        <w:rPr>
          <w:lang w:eastAsia="en-GB"/>
        </w:rPr>
        <w:t xml:space="preserve"> Christ relates to this Covenant as ‘the “second man”, the “last Adam” (1 Cor. 15:45-7)’ who ‘takes the place over all the things which the first Adam lost’.</w:t>
      </w:r>
      <w:r>
        <w:rPr>
          <w:rStyle w:val="EndnoteReference"/>
        </w:rPr>
        <w:endnoteReference w:id="1244"/>
      </w:r>
    </w:p>
    <w:p w:rsidR="00442D33" w:rsidRPr="00746054" w:rsidRDefault="00442D33" w:rsidP="00442D33">
      <w:pPr>
        <w:tabs>
          <w:tab w:val="left" w:pos="4678"/>
        </w:tabs>
        <w:spacing w:after="120" w:line="360" w:lineRule="auto"/>
        <w:ind w:right="-28"/>
        <w:jc w:val="both"/>
        <w:rPr>
          <w:b/>
        </w:rPr>
      </w:pPr>
      <w:proofErr w:type="gramStart"/>
      <w:r w:rsidRPr="002537F3">
        <w:rPr>
          <w:b/>
        </w:rPr>
        <w:t>5.</w:t>
      </w:r>
      <w:r w:rsidR="003242A4" w:rsidRPr="002537F3">
        <w:rPr>
          <w:b/>
        </w:rPr>
        <w:t>4</w:t>
      </w:r>
      <w:r w:rsidRPr="002537F3">
        <w:rPr>
          <w:b/>
        </w:rPr>
        <w:t xml:space="preserve">.2  </w:t>
      </w:r>
      <w:r w:rsidRPr="00746054">
        <w:rPr>
          <w:b/>
        </w:rPr>
        <w:t>The</w:t>
      </w:r>
      <w:proofErr w:type="gramEnd"/>
      <w:r w:rsidRPr="00746054">
        <w:rPr>
          <w:b/>
        </w:rPr>
        <w:t xml:space="preserve"> Second Dispensation and Second Covenant</w:t>
      </w:r>
    </w:p>
    <w:p w:rsidR="00442D33" w:rsidRPr="00746054" w:rsidRDefault="00442D33" w:rsidP="00442D33">
      <w:pPr>
        <w:spacing w:after="120" w:line="360" w:lineRule="auto"/>
        <w:jc w:val="both"/>
      </w:pPr>
      <w:r w:rsidRPr="00746054">
        <w:t>The second dispensation, conscience, marks ‘the awakening of conscience through disobedience and personal knowledge and experience of good … and evil’.</w:t>
      </w:r>
      <w:r w:rsidRPr="00746054">
        <w:rPr>
          <w:rStyle w:val="EndnoteReference"/>
        </w:rPr>
        <w:endnoteReference w:id="1245"/>
      </w:r>
      <w:r w:rsidRPr="00746054">
        <w:t xml:space="preserve">  This classification is difficult to accept because it is questionable whether Adam, devoid of conscience, would have known that his actions necessitated his hiding from God.  </w:t>
      </w:r>
      <w:r>
        <w:t>Scofield states that</w:t>
      </w:r>
      <w:r w:rsidRPr="00746054">
        <w:t xml:space="preserve">, during the second dispensation and under the Adamic Covenant, humankind was constrained to do </w:t>
      </w:r>
      <w:proofErr w:type="gramStart"/>
      <w:r w:rsidRPr="00746054">
        <w:t>good</w:t>
      </w:r>
      <w:proofErr w:type="gramEnd"/>
      <w:r w:rsidRPr="00746054">
        <w:t>, abstain from evil, and ‘to approach God</w:t>
      </w:r>
      <w:r w:rsidRPr="00D30B80">
        <w:rPr>
          <w:rFonts w:ascii="Times New Roman" w:hAnsi="Times New Roman"/>
        </w:rPr>
        <w:t xml:space="preserve"> </w:t>
      </w:r>
      <w:r w:rsidRPr="00746054">
        <w:t>through sacrifice’.</w:t>
      </w:r>
      <w:r>
        <w:rPr>
          <w:rStyle w:val="EndnoteReference"/>
        </w:rPr>
        <w:endnoteReference w:id="1246"/>
      </w:r>
      <w:r>
        <w:t xml:space="preserve">  </w:t>
      </w:r>
      <w:r w:rsidR="00683E7A">
        <w:t xml:space="preserve">Scofield does not explain the origin of his assertion of such constraints.  </w:t>
      </w:r>
      <w:r>
        <w:t>T</w:t>
      </w:r>
      <w:r w:rsidRPr="00746054">
        <w:t>esting in this dispensation ended in the judgment of the flood.</w:t>
      </w:r>
      <w:r w:rsidRPr="00746054">
        <w:rPr>
          <w:rStyle w:val="EndnoteReference"/>
        </w:rPr>
        <w:endnoteReference w:id="1247"/>
      </w:r>
      <w:r w:rsidRPr="00746054">
        <w:t xml:space="preserve">  </w:t>
      </w:r>
    </w:p>
    <w:p w:rsidR="00442D33" w:rsidRDefault="00442D33" w:rsidP="00442D33">
      <w:pPr>
        <w:pStyle w:val="EndnoteText"/>
        <w:spacing w:after="120" w:line="360" w:lineRule="auto"/>
        <w:ind w:firstLine="425"/>
        <w:jc w:val="both"/>
        <w:rPr>
          <w:sz w:val="22"/>
        </w:rPr>
      </w:pPr>
      <w:r>
        <w:rPr>
          <w:sz w:val="22"/>
          <w:szCs w:val="22"/>
        </w:rPr>
        <w:t>T</w:t>
      </w:r>
      <w:r w:rsidRPr="00746054">
        <w:rPr>
          <w:sz w:val="22"/>
          <w:szCs w:val="22"/>
        </w:rPr>
        <w:t>he second</w:t>
      </w:r>
      <w:r>
        <w:rPr>
          <w:sz w:val="22"/>
          <w:szCs w:val="22"/>
        </w:rPr>
        <w:t xml:space="preserve"> covenant, the</w:t>
      </w:r>
      <w:r w:rsidRPr="00746054">
        <w:rPr>
          <w:sz w:val="22"/>
          <w:szCs w:val="22"/>
        </w:rPr>
        <w:t xml:space="preserve"> Adamic Covenan</w:t>
      </w:r>
      <w:r>
        <w:rPr>
          <w:sz w:val="22"/>
          <w:szCs w:val="22"/>
        </w:rPr>
        <w:t xml:space="preserve">t </w:t>
      </w:r>
      <w:r w:rsidRPr="00746054">
        <w:rPr>
          <w:sz w:val="22"/>
          <w:szCs w:val="22"/>
        </w:rPr>
        <w:t>promise</w:t>
      </w:r>
      <w:r>
        <w:rPr>
          <w:sz w:val="22"/>
          <w:szCs w:val="22"/>
        </w:rPr>
        <w:t>s</w:t>
      </w:r>
      <w:r w:rsidRPr="00746054">
        <w:rPr>
          <w:sz w:val="22"/>
          <w:szCs w:val="22"/>
        </w:rPr>
        <w:t xml:space="preserve"> </w:t>
      </w:r>
      <w:r>
        <w:rPr>
          <w:sz w:val="22"/>
          <w:szCs w:val="22"/>
        </w:rPr>
        <w:t>‘</w:t>
      </w:r>
      <w:r w:rsidRPr="00746054">
        <w:rPr>
          <w:sz w:val="22"/>
          <w:szCs w:val="22"/>
        </w:rPr>
        <w:t>the ultimate destruction of Satan through the “Seed of the woman”’.</w:t>
      </w:r>
      <w:r>
        <w:rPr>
          <w:rStyle w:val="EndnoteReference"/>
          <w:sz w:val="22"/>
          <w:szCs w:val="22"/>
        </w:rPr>
        <w:endnoteReference w:id="1248"/>
      </w:r>
      <w:r w:rsidRPr="00746054">
        <w:rPr>
          <w:sz w:val="22"/>
          <w:szCs w:val="22"/>
        </w:rPr>
        <w:t xml:space="preserve">  It ‘conditions the life of fallen man’.  </w:t>
      </w:r>
      <w:r w:rsidRPr="00B0450B">
        <w:rPr>
          <w:sz w:val="22"/>
        </w:rPr>
        <w:t xml:space="preserve">These conditions ‘must remain till, in the kingdom age, “creation shall be delivered from the bondage of corruption into </w:t>
      </w:r>
      <w:r w:rsidRPr="00A249BB">
        <w:rPr>
          <w:sz w:val="22"/>
        </w:rPr>
        <w:t xml:space="preserve">the glorious liberty of the </w:t>
      </w:r>
      <w:r w:rsidRPr="00A249BB">
        <w:rPr>
          <w:sz w:val="22"/>
        </w:rPr>
        <w:lastRenderedPageBreak/>
        <w:t>sons of God” (Rom 8:21)’.</w:t>
      </w:r>
      <w:r w:rsidRPr="00A249BB">
        <w:rPr>
          <w:rStyle w:val="EndnoteReference"/>
          <w:sz w:val="22"/>
        </w:rPr>
        <w:endnoteReference w:id="1249"/>
      </w:r>
      <w:r w:rsidRPr="00A249BB">
        <w:rPr>
          <w:sz w:val="22"/>
        </w:rPr>
        <w:t xml:space="preserve"> </w:t>
      </w:r>
      <w:r w:rsidRPr="00A249BB">
        <w:t xml:space="preserve"> </w:t>
      </w:r>
      <w:r w:rsidRPr="00A249BB">
        <w:rPr>
          <w:i/>
          <w:sz w:val="22"/>
          <w:szCs w:val="22"/>
        </w:rPr>
        <w:t xml:space="preserve">SRB </w:t>
      </w:r>
      <w:r w:rsidRPr="00A249BB">
        <w:rPr>
          <w:sz w:val="22"/>
          <w:szCs w:val="22"/>
        </w:rPr>
        <w:t>lists seven elements in this covenant.</w:t>
      </w:r>
      <w:r w:rsidRPr="00A249BB">
        <w:rPr>
          <w:rStyle w:val="EndnoteReference"/>
          <w:sz w:val="22"/>
          <w:szCs w:val="22"/>
        </w:rPr>
        <w:endnoteReference w:id="1250"/>
      </w:r>
      <w:r w:rsidRPr="00A249BB">
        <w:rPr>
          <w:sz w:val="22"/>
          <w:szCs w:val="22"/>
        </w:rPr>
        <w:t xml:space="preserve">  These rehearse Scofield’s concept of sin and redemption by Christ, following a definite line of descent.  Firstly, through being cursed, the serpent ‘becomes God’s illustration</w:t>
      </w:r>
      <w:r>
        <w:rPr>
          <w:sz w:val="22"/>
          <w:szCs w:val="22"/>
        </w:rPr>
        <w:t xml:space="preserve"> in nature</w:t>
      </w:r>
      <w:r w:rsidRPr="00A249BB">
        <w:rPr>
          <w:sz w:val="22"/>
          <w:szCs w:val="22"/>
        </w:rPr>
        <w:t xml:space="preserve"> of the effects of sin</w:t>
      </w:r>
      <w:r>
        <w:rPr>
          <w:sz w:val="22"/>
          <w:szCs w:val="22"/>
        </w:rPr>
        <w:t>’</w:t>
      </w:r>
      <w:r w:rsidRPr="00A249BB">
        <w:rPr>
          <w:sz w:val="22"/>
          <w:szCs w:val="22"/>
        </w:rPr>
        <w:t xml:space="preserve">.  </w:t>
      </w:r>
      <w:r w:rsidRPr="0020747E">
        <w:rPr>
          <w:sz w:val="22"/>
          <w:szCs w:val="22"/>
        </w:rPr>
        <w:t>Atonement is intimated: Christ is made sin for us in bearing our judgment, and is ‘typified by the brazen serpent</w:t>
      </w:r>
      <w:r>
        <w:rPr>
          <w:sz w:val="22"/>
          <w:szCs w:val="22"/>
        </w:rPr>
        <w:t>’</w:t>
      </w:r>
      <w:r w:rsidRPr="0020747E">
        <w:rPr>
          <w:sz w:val="22"/>
          <w:szCs w:val="22"/>
        </w:rPr>
        <w:t>.</w:t>
      </w:r>
      <w:r w:rsidRPr="0020747E">
        <w:rPr>
          <w:rStyle w:val="EndnoteReference"/>
          <w:sz w:val="22"/>
          <w:szCs w:val="22"/>
        </w:rPr>
        <w:endnoteReference w:id="1251"/>
      </w:r>
      <w:r w:rsidRPr="0020747E">
        <w:rPr>
          <w:sz w:val="22"/>
          <w:szCs w:val="22"/>
        </w:rPr>
        <w:t xml:space="preserve">  </w:t>
      </w:r>
      <w:r w:rsidRPr="0020747E">
        <w:rPr>
          <w:color w:val="000000"/>
          <w:sz w:val="22"/>
          <w:szCs w:val="22"/>
        </w:rPr>
        <w:t>Scofield asserts that ‘brass speaks of judgment’ and cites the brazen altar and laver.</w:t>
      </w:r>
      <w:r w:rsidRPr="00A249BB">
        <w:rPr>
          <w:rStyle w:val="EndnoteReference"/>
          <w:sz w:val="22"/>
        </w:rPr>
        <w:endnoteReference w:id="1252"/>
      </w:r>
      <w:r w:rsidRPr="0020747E">
        <w:rPr>
          <w:color w:val="000000"/>
          <w:sz w:val="22"/>
          <w:szCs w:val="22"/>
        </w:rPr>
        <w:t xml:space="preserve">  Although Scofield takes the </w:t>
      </w:r>
      <w:r w:rsidRPr="0020747E">
        <w:rPr>
          <w:i/>
          <w:color w:val="000000"/>
          <w:sz w:val="22"/>
          <w:szCs w:val="22"/>
        </w:rPr>
        <w:t>KJV</w:t>
      </w:r>
      <w:r w:rsidRPr="0020747E">
        <w:rPr>
          <w:color w:val="000000"/>
          <w:sz w:val="22"/>
          <w:szCs w:val="22"/>
        </w:rPr>
        <w:t xml:space="preserve"> translation of</w:t>
      </w:r>
      <w:r w:rsidRPr="00937AB2">
        <w:rPr>
          <w:color w:val="000000"/>
          <w:sz w:val="22"/>
        </w:rPr>
        <w:t xml:space="preserve"> </w:t>
      </w:r>
      <w:r w:rsidRPr="00F46A6D">
        <w:rPr>
          <w:color w:val="000000"/>
        </w:rPr>
        <w:t>‘</w:t>
      </w:r>
      <w:r w:rsidRPr="00347F4D">
        <w:rPr>
          <w:rFonts w:ascii="Bwhebb" w:hAnsi="Bwhebb" w:cs="Bwhebb"/>
          <w:sz w:val="32"/>
          <w:szCs w:val="32"/>
          <w:lang w:val="en-US" w:bidi="he-IL"/>
        </w:rPr>
        <w:t>tv,xon&gt;</w:t>
      </w:r>
      <w:r w:rsidRPr="00347F4D">
        <w:rPr>
          <w:color w:val="000000"/>
        </w:rPr>
        <w:t xml:space="preserve">’ </w:t>
      </w:r>
      <w:r w:rsidRPr="00937AB2">
        <w:rPr>
          <w:color w:val="000000"/>
          <w:sz w:val="22"/>
        </w:rPr>
        <w:t>as ‘brass’ at face value</w:t>
      </w:r>
      <w:r>
        <w:rPr>
          <w:color w:val="000000"/>
          <w:sz w:val="22"/>
        </w:rPr>
        <w:t>, b</w:t>
      </w:r>
      <w:r w:rsidRPr="00937AB2">
        <w:rPr>
          <w:color w:val="000000"/>
          <w:sz w:val="22"/>
        </w:rPr>
        <w:t>rass, an alloy of copper and tin, was not invented until the first millennium BCE.</w:t>
      </w:r>
      <w:r>
        <w:rPr>
          <w:rStyle w:val="EndnoteReference"/>
          <w:color w:val="000000"/>
          <w:sz w:val="22"/>
        </w:rPr>
        <w:endnoteReference w:id="1253"/>
      </w:r>
      <w:r>
        <w:rPr>
          <w:color w:val="000000"/>
          <w:sz w:val="22"/>
        </w:rPr>
        <w:t xml:space="preserve">  </w:t>
      </w:r>
      <w:r w:rsidRPr="005E57E3">
        <w:rPr>
          <w:color w:val="000000"/>
          <w:sz w:val="22"/>
        </w:rPr>
        <w:t>Scofield is not alone in this interpretation of the significance of brass: for example, bible.org comments on the angel with the censer, Rev. 8:2-6: ‘</w:t>
      </w:r>
      <w:r w:rsidRPr="005E57E3">
        <w:rPr>
          <w:sz w:val="22"/>
        </w:rPr>
        <w:t>The live coals on this altar originally came from the altar of brass, the altar of sacrifice or of judgment with the brass symbolizing judgment.’</w:t>
      </w:r>
      <w:r w:rsidRPr="005E57E3">
        <w:rPr>
          <w:rStyle w:val="EndnoteReference"/>
          <w:sz w:val="22"/>
        </w:rPr>
        <w:endnoteReference w:id="1254"/>
      </w:r>
      <w:r>
        <w:rPr>
          <w:sz w:val="22"/>
        </w:rPr>
        <w:t xml:space="preserve">  </w:t>
      </w:r>
      <w:r w:rsidRPr="00683E7A">
        <w:rPr>
          <w:spacing w:val="-2"/>
          <w:sz w:val="22"/>
        </w:rPr>
        <w:t>Good News Articles states: ‘The brazen serpent, hung on a pole, forms a CROSS – brass always symbolizing judgment upon sin.’</w:t>
      </w:r>
      <w:r w:rsidRPr="00683E7A">
        <w:rPr>
          <w:rStyle w:val="EndnoteReference"/>
          <w:spacing w:val="-2"/>
          <w:sz w:val="22"/>
        </w:rPr>
        <w:endnoteReference w:id="1255"/>
      </w:r>
      <w:r w:rsidRPr="00683E7A">
        <w:rPr>
          <w:spacing w:val="-2"/>
          <w:sz w:val="22"/>
        </w:rPr>
        <w:t xml:space="preserve">  The revelation of the inaccuracy of the </w:t>
      </w:r>
      <w:r w:rsidRPr="00683E7A">
        <w:rPr>
          <w:i/>
          <w:spacing w:val="-2"/>
          <w:sz w:val="22"/>
        </w:rPr>
        <w:t>KJV</w:t>
      </w:r>
      <w:r w:rsidRPr="00683E7A">
        <w:rPr>
          <w:spacing w:val="-2"/>
          <w:sz w:val="22"/>
        </w:rPr>
        <w:t xml:space="preserve"> translation, which is replaced by ‘bronze’ in many new translations such as </w:t>
      </w:r>
      <w:r w:rsidRPr="00683E7A">
        <w:rPr>
          <w:i/>
          <w:spacing w:val="-2"/>
          <w:sz w:val="22"/>
        </w:rPr>
        <w:t xml:space="preserve">NRSV, NIV and NKJV, </w:t>
      </w:r>
      <w:r w:rsidRPr="00683E7A">
        <w:rPr>
          <w:spacing w:val="-2"/>
          <w:sz w:val="22"/>
        </w:rPr>
        <w:t>must have implications for such commentaries.  In fact, the symbolism of judgment attributed by Scofield and others to brass is transferred to ‘bronze’, for example, in notes on Exod. 25:1;</w:t>
      </w:r>
      <w:r w:rsidRPr="00683E7A">
        <w:rPr>
          <w:rStyle w:val="EndnoteReference"/>
          <w:spacing w:val="-2"/>
          <w:sz w:val="22"/>
        </w:rPr>
        <w:endnoteReference w:id="1256"/>
      </w:r>
      <w:r w:rsidRPr="00683E7A">
        <w:rPr>
          <w:spacing w:val="-2"/>
          <w:sz w:val="22"/>
        </w:rPr>
        <w:t xml:space="preserve"> 27:17 and  Num. 21:9</w:t>
      </w:r>
      <w:r w:rsidRPr="00683E7A">
        <w:rPr>
          <w:rStyle w:val="EndnoteReference"/>
          <w:spacing w:val="-2"/>
          <w:sz w:val="22"/>
        </w:rPr>
        <w:endnoteReference w:id="1257"/>
      </w:r>
      <w:r w:rsidRPr="00683E7A">
        <w:rPr>
          <w:spacing w:val="-2"/>
          <w:sz w:val="22"/>
        </w:rPr>
        <w:t xml:space="preserve"> in the 1967 and 2003 editions.</w:t>
      </w:r>
      <w:r w:rsidRPr="006713A6">
        <w:rPr>
          <w:sz w:val="22"/>
        </w:rPr>
        <w:t xml:space="preserve">  </w:t>
      </w:r>
    </w:p>
    <w:p w:rsidR="00442D33" w:rsidRPr="00746054" w:rsidRDefault="00442D33" w:rsidP="00442D33">
      <w:pPr>
        <w:pStyle w:val="EndnoteText"/>
        <w:spacing w:after="120" w:line="360" w:lineRule="auto"/>
        <w:ind w:firstLine="425"/>
        <w:jc w:val="both"/>
        <w:rPr>
          <w:sz w:val="22"/>
          <w:szCs w:val="22"/>
        </w:rPr>
      </w:pPr>
      <w:r w:rsidRPr="00916D24">
        <w:rPr>
          <w:sz w:val="22"/>
          <w:szCs w:val="22"/>
        </w:rPr>
        <w:t xml:space="preserve">The second element in the Adamic Covenant is ‘the first promise of a redeemer.  Here begins “the highway of the seed,” </w:t>
      </w:r>
      <w:r w:rsidRPr="00916D24">
        <w:rPr>
          <w:color w:val="000000"/>
          <w:sz w:val="22"/>
          <w:szCs w:val="22"/>
        </w:rPr>
        <w:t>Abel, Seth, Noah,</w:t>
      </w:r>
      <w:r w:rsidRPr="00916D24">
        <w:rPr>
          <w:rStyle w:val="EndnoteReference"/>
          <w:color w:val="000000"/>
          <w:sz w:val="22"/>
          <w:szCs w:val="22"/>
        </w:rPr>
        <w:endnoteReference w:id="1258"/>
      </w:r>
      <w:r w:rsidRPr="00916D24">
        <w:rPr>
          <w:color w:val="000000"/>
          <w:sz w:val="22"/>
          <w:szCs w:val="22"/>
        </w:rPr>
        <w:t xml:space="preserve"> Shem,</w:t>
      </w:r>
      <w:r w:rsidRPr="00916D24">
        <w:rPr>
          <w:rStyle w:val="EndnoteReference"/>
          <w:color w:val="000000"/>
          <w:sz w:val="22"/>
          <w:szCs w:val="22"/>
        </w:rPr>
        <w:endnoteReference w:id="1259"/>
      </w:r>
      <w:r w:rsidRPr="00916D24">
        <w:rPr>
          <w:color w:val="000000"/>
          <w:sz w:val="22"/>
          <w:szCs w:val="22"/>
        </w:rPr>
        <w:t xml:space="preserve"> Abraham,</w:t>
      </w:r>
      <w:r w:rsidRPr="00916D24">
        <w:rPr>
          <w:rStyle w:val="EndnoteReference"/>
          <w:color w:val="000000"/>
          <w:sz w:val="22"/>
          <w:szCs w:val="22"/>
        </w:rPr>
        <w:endnoteReference w:id="1260"/>
      </w:r>
      <w:r w:rsidRPr="00916D24">
        <w:rPr>
          <w:color w:val="000000"/>
          <w:sz w:val="22"/>
          <w:szCs w:val="22"/>
        </w:rPr>
        <w:t xml:space="preserve"> Isaac,</w:t>
      </w:r>
      <w:r w:rsidRPr="00916D24">
        <w:rPr>
          <w:rStyle w:val="EndnoteReference"/>
          <w:color w:val="000000"/>
          <w:sz w:val="22"/>
          <w:szCs w:val="22"/>
        </w:rPr>
        <w:endnoteReference w:id="1261"/>
      </w:r>
      <w:r w:rsidRPr="00916D24">
        <w:rPr>
          <w:color w:val="000000"/>
          <w:sz w:val="22"/>
          <w:szCs w:val="22"/>
        </w:rPr>
        <w:t xml:space="preserve"> Jacob,</w:t>
      </w:r>
      <w:r w:rsidRPr="00916D24">
        <w:rPr>
          <w:rStyle w:val="EndnoteReference"/>
          <w:color w:val="000000"/>
          <w:sz w:val="22"/>
          <w:szCs w:val="22"/>
        </w:rPr>
        <w:endnoteReference w:id="1262"/>
      </w:r>
      <w:r w:rsidRPr="00916D24">
        <w:rPr>
          <w:color w:val="000000"/>
          <w:sz w:val="22"/>
          <w:szCs w:val="22"/>
        </w:rPr>
        <w:t xml:space="preserve"> Judah</w:t>
      </w:r>
      <w:r w:rsidRPr="00916D24">
        <w:rPr>
          <w:rStyle w:val="EndnoteReference"/>
          <w:color w:val="000000"/>
          <w:sz w:val="22"/>
          <w:szCs w:val="22"/>
        </w:rPr>
        <w:endnoteReference w:id="1263"/>
      </w:r>
      <w:r w:rsidRPr="00916D24">
        <w:rPr>
          <w:color w:val="000000"/>
          <w:sz w:val="22"/>
          <w:szCs w:val="22"/>
        </w:rPr>
        <w:t>, David,</w:t>
      </w:r>
      <w:r w:rsidRPr="00916D24">
        <w:rPr>
          <w:rStyle w:val="EndnoteReference"/>
          <w:color w:val="000000"/>
          <w:sz w:val="22"/>
          <w:szCs w:val="22"/>
        </w:rPr>
        <w:endnoteReference w:id="1264"/>
      </w:r>
      <w:r w:rsidRPr="00916D24">
        <w:rPr>
          <w:color w:val="000000"/>
          <w:sz w:val="22"/>
          <w:szCs w:val="22"/>
        </w:rPr>
        <w:t xml:space="preserve"> Immanuel-Christ.’</w:t>
      </w:r>
      <w:r w:rsidRPr="00916D24">
        <w:rPr>
          <w:rStyle w:val="EndnoteReference"/>
          <w:color w:val="000000"/>
          <w:sz w:val="22"/>
          <w:szCs w:val="22"/>
        </w:rPr>
        <w:endnoteReference w:id="1265"/>
      </w:r>
      <w:r w:rsidRPr="00916D24">
        <w:rPr>
          <w:color w:val="000000"/>
          <w:sz w:val="22"/>
          <w:szCs w:val="22"/>
        </w:rPr>
        <w:t xml:space="preserve">  </w:t>
      </w:r>
      <w:r w:rsidRPr="007378F3">
        <w:rPr>
          <w:sz w:val="22"/>
        </w:rPr>
        <w:t>According to the summary of covenants in the note on Heb. 8:8, Christ is ‘the seed of the woman of the Adamic Covenant’</w:t>
      </w:r>
      <w:r w:rsidRPr="007378F3">
        <w:rPr>
          <w:rStyle w:val="EndnoteReference"/>
          <w:sz w:val="22"/>
        </w:rPr>
        <w:endnoteReference w:id="1266"/>
      </w:r>
      <w:r w:rsidRPr="007378F3">
        <w:rPr>
          <w:sz w:val="22"/>
        </w:rPr>
        <w:t xml:space="preserve"> and fulfilled its conditions of toil</w:t>
      </w:r>
      <w:r w:rsidRPr="007378F3">
        <w:rPr>
          <w:rStyle w:val="EndnoteReference"/>
          <w:sz w:val="22"/>
        </w:rPr>
        <w:endnoteReference w:id="1267"/>
      </w:r>
      <w:r w:rsidRPr="007378F3">
        <w:rPr>
          <w:sz w:val="22"/>
        </w:rPr>
        <w:t xml:space="preserve"> and obedience</w:t>
      </w:r>
      <w:r w:rsidRPr="007378F3">
        <w:rPr>
          <w:sz w:val="22"/>
          <w:lang w:eastAsia="en-GB"/>
        </w:rPr>
        <w:t>.</w:t>
      </w:r>
      <w:r w:rsidRPr="007378F3">
        <w:rPr>
          <w:rStyle w:val="EndnoteReference"/>
          <w:sz w:val="22"/>
        </w:rPr>
        <w:endnoteReference w:id="1268"/>
      </w:r>
      <w:r w:rsidRPr="007378F3">
        <w:rPr>
          <w:sz w:val="22"/>
          <w:lang w:eastAsia="en-GB"/>
        </w:rPr>
        <w:t xml:space="preserve"> </w:t>
      </w:r>
      <w:r w:rsidRPr="007378F3">
        <w:rPr>
          <w:sz w:val="22"/>
        </w:rPr>
        <w:t xml:space="preserve"> </w:t>
      </w:r>
      <w:r>
        <w:rPr>
          <w:color w:val="000000"/>
          <w:sz w:val="22"/>
          <w:szCs w:val="22"/>
        </w:rPr>
        <w:t xml:space="preserve">The third element in this covenant is the change in </w:t>
      </w:r>
      <w:r w:rsidRPr="00916D24">
        <w:rPr>
          <w:color w:val="000000"/>
          <w:sz w:val="22"/>
          <w:szCs w:val="22"/>
        </w:rPr>
        <w:t>the woman’s state</w:t>
      </w:r>
      <w:r>
        <w:rPr>
          <w:color w:val="000000"/>
          <w:sz w:val="22"/>
          <w:szCs w:val="22"/>
        </w:rPr>
        <w:t>: ‘multiplied conception’, ‘motherhood linked with sorrow’ and ‘the headship of the man’, as a consequence of the necessity for headship which results from the disorder caused by sin.</w:t>
      </w:r>
      <w:r>
        <w:rPr>
          <w:rStyle w:val="EndnoteReference"/>
          <w:color w:val="000000"/>
          <w:sz w:val="22"/>
          <w:szCs w:val="22"/>
        </w:rPr>
        <w:endnoteReference w:id="1269"/>
      </w:r>
      <w:r>
        <w:rPr>
          <w:color w:val="000000"/>
          <w:sz w:val="22"/>
          <w:szCs w:val="22"/>
        </w:rPr>
        <w:t xml:space="preserve">  The remaining four elements concern the cursing of the earth, the ‘inevitable sorrow of life’ and physical death.  </w:t>
      </w:r>
    </w:p>
    <w:p w:rsidR="00442D33" w:rsidRPr="00746054" w:rsidRDefault="00442D33" w:rsidP="00442D33">
      <w:pPr>
        <w:tabs>
          <w:tab w:val="left" w:pos="4678"/>
        </w:tabs>
        <w:spacing w:after="120" w:line="360" w:lineRule="auto"/>
        <w:ind w:right="-28"/>
        <w:jc w:val="both"/>
      </w:pPr>
      <w:proofErr w:type="gramStart"/>
      <w:r w:rsidRPr="002537F3">
        <w:rPr>
          <w:b/>
        </w:rPr>
        <w:t>5</w:t>
      </w:r>
      <w:r w:rsidR="00234C1D" w:rsidRPr="002537F3">
        <w:rPr>
          <w:b/>
        </w:rPr>
        <w:t>.4</w:t>
      </w:r>
      <w:r w:rsidRPr="002537F3">
        <w:rPr>
          <w:b/>
        </w:rPr>
        <w:t xml:space="preserve">.3  </w:t>
      </w:r>
      <w:r w:rsidRPr="00746054">
        <w:rPr>
          <w:b/>
        </w:rPr>
        <w:t>The</w:t>
      </w:r>
      <w:proofErr w:type="gramEnd"/>
      <w:r w:rsidRPr="00746054">
        <w:rPr>
          <w:b/>
        </w:rPr>
        <w:t xml:space="preserve"> Third Dispensation and Third Covenant</w:t>
      </w:r>
    </w:p>
    <w:p w:rsidR="00442D33" w:rsidRPr="00A249BB" w:rsidRDefault="00442D33" w:rsidP="00442D33">
      <w:pPr>
        <w:spacing w:after="120" w:line="360" w:lineRule="auto"/>
        <w:ind w:right="74"/>
        <w:jc w:val="both"/>
      </w:pPr>
      <w:r w:rsidRPr="00BA3F5D">
        <w:rPr>
          <w:i/>
        </w:rPr>
        <w:t>SRB</w:t>
      </w:r>
      <w:r w:rsidRPr="00746054">
        <w:t xml:space="preserve"> conflate</w:t>
      </w:r>
      <w:r>
        <w:t>s</w:t>
      </w:r>
      <w:r w:rsidRPr="00746054">
        <w:t xml:space="preserve"> the third dispensation and the third</w:t>
      </w:r>
      <w:r>
        <w:t xml:space="preserve"> covenant, the </w:t>
      </w:r>
      <w:r w:rsidRPr="00746054">
        <w:t>Noahic Covenant.</w:t>
      </w:r>
      <w:r w:rsidRPr="00746054">
        <w:rPr>
          <w:rStyle w:val="EndnoteReference"/>
        </w:rPr>
        <w:endnoteReference w:id="1270"/>
      </w:r>
      <w:r w:rsidRPr="00746054">
        <w:t xml:space="preserve">  The </w:t>
      </w:r>
      <w:r w:rsidRPr="00A249BB">
        <w:t>third dispensation, Human Government,</w:t>
      </w:r>
      <w:r w:rsidRPr="00A249BB">
        <w:rPr>
          <w:rStyle w:val="EndnoteReference"/>
        </w:rPr>
        <w:endnoteReference w:id="1271"/>
      </w:r>
      <w:r w:rsidRPr="00A249BB">
        <w:t xml:space="preserve"> was instituted after the flood,</w:t>
      </w:r>
      <w:r w:rsidRPr="00A249BB">
        <w:rPr>
          <w:rFonts w:ascii="Times New Roman" w:hAnsi="Times New Roman"/>
        </w:rPr>
        <w:t xml:space="preserve"> </w:t>
      </w:r>
      <w:r w:rsidRPr="00A249BB">
        <w:t>but ‘the declaration of the Noahic Covenant submits humanity to a new test’, instituting distinctively ‘the government of man by man’.</w:t>
      </w:r>
      <w:r w:rsidRPr="00A249BB">
        <w:rPr>
          <w:rStyle w:val="EndnoteReference"/>
        </w:rPr>
        <w:endnoteReference w:id="1272"/>
      </w:r>
      <w:r w:rsidRPr="00A249BB">
        <w:t xml:space="preserve">  It is noticeable that testing is held to be under the Noahic Covenant, rather than the third dispensation.  Under this covenant, the whole human race, Jew and Gentile, is responsible for governing the world for God, but has failed.</w:t>
      </w:r>
      <w:r w:rsidRPr="00A249BB">
        <w:rPr>
          <w:rStyle w:val="EndnoteReference"/>
        </w:rPr>
        <w:endnoteReference w:id="1273"/>
      </w:r>
      <w:r w:rsidRPr="00A249BB">
        <w:t xml:space="preserve">  </w:t>
      </w:r>
    </w:p>
    <w:p w:rsidR="00442D33" w:rsidRPr="006B0462" w:rsidRDefault="00442D33" w:rsidP="00442D33">
      <w:pPr>
        <w:spacing w:after="120" w:line="360" w:lineRule="auto"/>
        <w:ind w:right="74" w:firstLine="567"/>
        <w:jc w:val="both"/>
      </w:pPr>
      <w:r w:rsidRPr="006B0462">
        <w:t xml:space="preserve">The </w:t>
      </w:r>
      <w:r w:rsidRPr="006B0462">
        <w:rPr>
          <w:i/>
        </w:rPr>
        <w:t>SRB</w:t>
      </w:r>
      <w:r w:rsidRPr="006B0462">
        <w:t xml:space="preserve"> note on Gen. 8:21 looks far ahead of the contemporary situation.  Scofield states that Israel’s failure under the Palestinian Covenant</w:t>
      </w:r>
      <w:r w:rsidRPr="006B0462">
        <w:rPr>
          <w:rStyle w:val="EndnoteReference"/>
        </w:rPr>
        <w:endnoteReference w:id="1274"/>
      </w:r>
      <w:r w:rsidRPr="006B0462">
        <w:t xml:space="preserve"> led to the ‘judgment of the Captivities, when the “times of the Gentiles” began,</w:t>
      </w:r>
      <w:r w:rsidRPr="006B0462">
        <w:rPr>
          <w:rStyle w:val="EndnoteReference"/>
        </w:rPr>
        <w:endnoteReference w:id="1275"/>
      </w:r>
      <w:r w:rsidRPr="006B0462">
        <w:t xml:space="preserve"> and world government passed exclusively into Gentile hands’.</w:t>
      </w:r>
      <w:r w:rsidRPr="006B0462">
        <w:rPr>
          <w:rStyle w:val="EndnoteReference"/>
        </w:rPr>
        <w:endnoteReference w:id="1276"/>
      </w:r>
      <w:r w:rsidRPr="006B0462">
        <w:t xml:space="preserve">  Scofield returns to the immediate context by stating that the ‘racial testing’ was ended by the ‘judgment of the confusion of tongues’ but then moves again to the future: ‘Jewish testing’ will end by the ‘judgment of </w:t>
      </w:r>
      <w:r w:rsidRPr="006B0462">
        <w:lastRenderedPageBreak/>
        <w:t>the Captivities’; Gentile testing ‘will end in the smiting of the Image</w:t>
      </w:r>
      <w:r w:rsidRPr="006B0462">
        <w:rPr>
          <w:rStyle w:val="EndnoteReference"/>
        </w:rPr>
        <w:endnoteReference w:id="1277"/>
      </w:r>
      <w:r w:rsidRPr="006B0462">
        <w:t xml:space="preserve"> and the judgment of the nations’.</w:t>
      </w:r>
      <w:r w:rsidRPr="006B0462">
        <w:rPr>
          <w:rStyle w:val="EndnoteReference"/>
        </w:rPr>
        <w:endnoteReference w:id="1278"/>
      </w:r>
      <w:r w:rsidRPr="006B0462">
        <w:t xml:space="preserve">  The language used reflects much later annotation, especially that on Daniel, Matthew, Luke and Revelation.  It is an indication of the way in which Scofield sees the whole Bible as a single entity; eschatological material is inserted even into commentary on the earliest portions of the Bible.  </w:t>
      </w:r>
    </w:p>
    <w:p w:rsidR="00442D33" w:rsidRPr="00A249BB" w:rsidRDefault="00442D33" w:rsidP="00442D33">
      <w:pPr>
        <w:spacing w:after="120" w:line="360" w:lineRule="auto"/>
        <w:ind w:right="74" w:firstLine="567"/>
        <w:jc w:val="both"/>
      </w:pPr>
      <w:r w:rsidRPr="00A249BB">
        <w:t>It is noticeable that Scofield here uses the anachronistic words, ‘Jew’ and ‘Gentile’, even though, on his own reckoning, the categories do not exist until Gen. 11:10, when the call of Abraham ‘creates the nation of Israel’ – another anachronism.</w:t>
      </w:r>
      <w:r w:rsidRPr="00A249BB">
        <w:rPr>
          <w:rStyle w:val="EndnoteReference"/>
        </w:rPr>
        <w:endnoteReference w:id="1279"/>
      </w:r>
      <w:r w:rsidRPr="00A249BB">
        <w:t xml:space="preserve">  It is also doubtful whether the term ‘Jew’, is appropriate when applied to Genesis.  The noun, </w:t>
      </w:r>
      <w:r w:rsidRPr="00A249BB">
        <w:rPr>
          <w:rFonts w:ascii="Bwhebb" w:hAnsi="Bwhebb" w:cs="Bwhebb"/>
          <w:sz w:val="32"/>
          <w:szCs w:val="32"/>
          <w:lang w:val="en-US" w:bidi="he-IL"/>
        </w:rPr>
        <w:t>yDiWhy&gt;</w:t>
      </w:r>
      <w:r w:rsidRPr="00A249BB">
        <w:rPr>
          <w:szCs w:val="18"/>
        </w:rPr>
        <w:t>,</w:t>
      </w:r>
      <w:r w:rsidRPr="00A249BB">
        <w:rPr>
          <w:rFonts w:ascii="Times New Roman" w:hAnsi="Times New Roman"/>
          <w:sz w:val="18"/>
          <w:szCs w:val="18"/>
        </w:rPr>
        <w:t xml:space="preserve"> </w:t>
      </w:r>
      <w:r w:rsidRPr="00A249BB">
        <w:t>(</w:t>
      </w:r>
      <w:r w:rsidRPr="008C364B">
        <w:rPr>
          <w:rFonts w:ascii="Bwgrkl" w:hAnsi="Bwgrkl" w:cs="Bwgrkl"/>
          <w:bCs/>
          <w:szCs w:val="24"/>
          <w:lang w:val="en-US" w:bidi="he-IL"/>
        </w:rPr>
        <w:t>VIoudai/oj</w:t>
      </w:r>
      <w:r w:rsidRPr="00A249BB">
        <w:t xml:space="preserve">, </w:t>
      </w:r>
      <w:r w:rsidRPr="00A249BB">
        <w:rPr>
          <w:i/>
        </w:rPr>
        <w:t>LXX</w:t>
      </w:r>
      <w:r w:rsidRPr="00A249BB">
        <w:t xml:space="preserve">) does not appear in the Pentateuch.  It occurs twice in plural form in 2 Kings </w:t>
      </w:r>
      <w:r>
        <w:t>(</w:t>
      </w:r>
      <w:r w:rsidRPr="00A249BB">
        <w:t>2 Kgs 16:6 and 2 Kgs 25:25</w:t>
      </w:r>
      <w:r>
        <w:t>), and once in the feminine</w:t>
      </w:r>
      <w:r w:rsidRPr="00A249BB">
        <w:t xml:space="preserve"> form, </w:t>
      </w:r>
      <w:r w:rsidRPr="00A249BB">
        <w:rPr>
          <w:rFonts w:ascii="Bwhebb" w:hAnsi="Bwhebb" w:cs="Bwhebb"/>
          <w:sz w:val="32"/>
          <w:szCs w:val="32"/>
          <w:lang w:val="en-US" w:bidi="he-IL"/>
        </w:rPr>
        <w:t>hY"dIhuY&gt;h</w:t>
      </w:r>
      <w:r w:rsidRPr="00A249BB">
        <w:t xml:space="preserve">, in 1 Chron. 4:18, but most occurrences are found in Jeremiah, Nehemiah and, especially, Esther, with the Aramaic form, </w:t>
      </w:r>
      <w:r w:rsidRPr="00A249BB">
        <w:rPr>
          <w:rFonts w:ascii="Bwhebb" w:hAnsi="Bwhebb" w:cs="Bwhebb"/>
          <w:sz w:val="32"/>
          <w:szCs w:val="32"/>
          <w:lang w:val="en-US" w:bidi="he-IL"/>
        </w:rPr>
        <w:t>yd</w:t>
      </w:r>
      <w:proofErr w:type="gramStart"/>
      <w:r w:rsidRPr="00A249BB">
        <w:rPr>
          <w:rFonts w:ascii="Bwhebb" w:hAnsi="Bwhebb" w:cs="Bwhebb"/>
          <w:sz w:val="32"/>
          <w:szCs w:val="32"/>
          <w:lang w:val="en-US" w:bidi="he-IL"/>
        </w:rPr>
        <w:t>;Why</w:t>
      </w:r>
      <w:proofErr w:type="gramEnd"/>
      <w:r w:rsidRPr="00A249BB">
        <w:t>, appearing in Ezra and Daniel.</w:t>
      </w:r>
      <w:r w:rsidRPr="00A249BB">
        <w:rPr>
          <w:rStyle w:val="EndnoteReference"/>
        </w:rPr>
        <w:endnoteReference w:id="1280"/>
      </w:r>
      <w:r w:rsidRPr="00A249BB">
        <w:t xml:space="preserve">  </w:t>
      </w:r>
    </w:p>
    <w:p w:rsidR="00442D33" w:rsidRPr="00A249BB" w:rsidRDefault="00442D33" w:rsidP="00442D33">
      <w:pPr>
        <w:spacing w:after="120" w:line="360" w:lineRule="auto"/>
        <w:ind w:firstLine="567"/>
        <w:jc w:val="both"/>
      </w:pPr>
      <w:r w:rsidRPr="00A249BB">
        <w:t>Scofield lists seven elements to be found in the Noahic Covenant;</w:t>
      </w:r>
      <w:r w:rsidRPr="00A249BB">
        <w:rPr>
          <w:rStyle w:val="EndnoteReference"/>
        </w:rPr>
        <w:endnoteReference w:id="1281"/>
      </w:r>
      <w:r w:rsidRPr="00A249BB">
        <w:t xml:space="preserve"> humankind’s relationship to the earth under the Adamic Covenant is confirmed,</w:t>
      </w:r>
      <w:r w:rsidRPr="00A249BB">
        <w:rPr>
          <w:rStyle w:val="EndnoteReference"/>
        </w:rPr>
        <w:endnoteReference w:id="1282"/>
      </w:r>
      <w:r w:rsidRPr="00A249BB">
        <w:t xml:space="preserve"> as is ‘the order of nature’.</w:t>
      </w:r>
      <w:r w:rsidRPr="00A249BB">
        <w:rPr>
          <w:rStyle w:val="EndnoteReference"/>
        </w:rPr>
        <w:endnoteReference w:id="1283"/>
      </w:r>
      <w:r w:rsidRPr="00A249BB">
        <w:t xml:space="preserve">  Human government is instituted;</w:t>
      </w:r>
      <w:r w:rsidRPr="00A249BB">
        <w:rPr>
          <w:rStyle w:val="EndnoteReference"/>
        </w:rPr>
        <w:endnoteReference w:id="1284"/>
      </w:r>
      <w:r w:rsidRPr="00A249BB">
        <w:t xml:space="preserve"> Scofield states that ‘the highest function of human government is the </w:t>
      </w:r>
      <w:r w:rsidRPr="00A249BB">
        <w:rPr>
          <w:i/>
        </w:rPr>
        <w:t>judicial taking</w:t>
      </w:r>
      <w:r w:rsidRPr="00A249BB">
        <w:t xml:space="preserve"> of life.  All other governmental powers are implied in that’.</w:t>
      </w:r>
      <w:r w:rsidRPr="00A249BB">
        <w:rPr>
          <w:rStyle w:val="EndnoteReference"/>
        </w:rPr>
        <w:endnoteReference w:id="1285"/>
      </w:r>
      <w:r w:rsidRPr="00A249BB">
        <w:t xml:space="preserve">  The fourth element of the Noahic Covenant is terrestrial security from further judgment by flooding.</w:t>
      </w:r>
      <w:r w:rsidRPr="00A249BB">
        <w:rPr>
          <w:rStyle w:val="EndnoteReference"/>
        </w:rPr>
        <w:endnoteReference w:id="1286"/>
      </w:r>
      <w:r w:rsidRPr="00A249BB">
        <w:t xml:space="preserve">  The final three elements are held to be ‘prophetic declarations’ concerning Noah’s three sons and their descendants.  ‘An inferior and servile posterity’ is to descend from Ham,</w:t>
      </w:r>
      <w:r w:rsidRPr="00A249BB">
        <w:rPr>
          <w:rStyle w:val="EndnoteReference"/>
        </w:rPr>
        <w:endnoteReference w:id="1287"/>
      </w:r>
      <w:r w:rsidRPr="00A249BB">
        <w:t xml:space="preserve"> progeny with ‘a peculiar relation to Jehovah’ are to descend from Shem,</w:t>
      </w:r>
      <w:r w:rsidRPr="00A249BB">
        <w:rPr>
          <w:rStyle w:val="EndnoteReference"/>
        </w:rPr>
        <w:endnoteReference w:id="1288"/>
      </w:r>
      <w:r w:rsidRPr="00A249BB">
        <w:t xml:space="preserve"> and ‘the “enlarged races”</w:t>
      </w:r>
      <w:r>
        <w:t>’</w:t>
      </w:r>
      <w:r w:rsidRPr="00A249BB">
        <w:t>, are to descend from Japheth.</w:t>
      </w:r>
      <w:r w:rsidRPr="00A249BB">
        <w:rPr>
          <w:rStyle w:val="EndnoteReference"/>
        </w:rPr>
        <w:endnoteReference w:id="1289"/>
      </w:r>
      <w:r w:rsidRPr="00A249BB">
        <w:t xml:space="preserve">  Scofield avers that ‘government, science and art, broadly speaking, are and have been Japhetic’ and concludes that ‘his is the indisputable record of the exact fulfilment of these declarations’.  </w:t>
      </w:r>
      <w:r w:rsidRPr="00DD3EEB">
        <w:rPr>
          <w:rFonts w:cs="Perpetua"/>
        </w:rPr>
        <w:t>Scofield</w:t>
      </w:r>
      <w:r w:rsidRPr="00A249BB">
        <w:rPr>
          <w:rFonts w:cs="Perpetua"/>
          <w:spacing w:val="33"/>
        </w:rPr>
        <w:t xml:space="preserve"> </w:t>
      </w:r>
      <w:r w:rsidRPr="00A249BB">
        <w:t>further says of Shem’s descendants that ‘all divine revelation is through Semitic men, and Christ, after the flesh, descends from Shem’.</w:t>
      </w:r>
      <w:r w:rsidRPr="00A249BB">
        <w:rPr>
          <w:rStyle w:val="EndnoteReference"/>
        </w:rPr>
        <w:endnoteReference w:id="1290"/>
      </w:r>
      <w:r w:rsidRPr="00A249BB">
        <w:t xml:space="preserve">  </w:t>
      </w:r>
      <w:proofErr w:type="gramStart"/>
      <w:r w:rsidRPr="00A249BB">
        <w:t>According to the summary of covenants, in Scofield’s note on Heb. 8:8, ‘as the greatest son of Shem, in [Christ] was fulfilled supremely the promise to Shem</w:t>
      </w:r>
      <w:r>
        <w:t>’</w:t>
      </w:r>
      <w:r w:rsidRPr="00A249BB">
        <w:t>.</w:t>
      </w:r>
      <w:proofErr w:type="gramEnd"/>
      <w:r w:rsidRPr="00A249BB">
        <w:rPr>
          <w:rStyle w:val="EndnoteReference"/>
        </w:rPr>
        <w:endnoteReference w:id="1291"/>
      </w:r>
      <w:r w:rsidRPr="00A249BB">
        <w:t xml:space="preserve"> </w:t>
      </w:r>
    </w:p>
    <w:p w:rsidR="00442D33" w:rsidRPr="00507B79" w:rsidRDefault="00442D33" w:rsidP="00442D33">
      <w:pPr>
        <w:tabs>
          <w:tab w:val="left" w:pos="4678"/>
        </w:tabs>
        <w:spacing w:after="120" w:line="360" w:lineRule="auto"/>
        <w:ind w:right="-29" w:firstLine="567"/>
        <w:jc w:val="both"/>
        <w:rPr>
          <w:rFonts w:cs="Perpetua"/>
          <w:spacing w:val="42"/>
        </w:rPr>
      </w:pPr>
      <w:r w:rsidRPr="00507B79">
        <w:t>It is important to note that Scofield claims that these declarations concerning Noah’s sons are enshrined in a divine covenant.</w:t>
      </w:r>
      <w:r w:rsidRPr="00507B79">
        <w:rPr>
          <w:rStyle w:val="EndnoteReference"/>
        </w:rPr>
        <w:endnoteReference w:id="1292"/>
      </w:r>
      <w:r w:rsidRPr="00507B79">
        <w:t xml:space="preserve">  However, </w:t>
      </w:r>
      <w:r w:rsidRPr="00507B79">
        <w:rPr>
          <w:rFonts w:cs="Perpetua"/>
          <w:spacing w:val="-1"/>
        </w:rPr>
        <w:t>the</w:t>
      </w:r>
      <w:r w:rsidRPr="00507B79">
        <w:rPr>
          <w:rFonts w:cs="Perpetua"/>
          <w:spacing w:val="41"/>
          <w:w w:val="99"/>
        </w:rPr>
        <w:t xml:space="preserve"> </w:t>
      </w:r>
      <w:r w:rsidRPr="00507B79">
        <w:rPr>
          <w:rFonts w:cs="Perpetua"/>
        </w:rPr>
        <w:t>declarations</w:t>
      </w:r>
      <w:r w:rsidRPr="00507B79">
        <w:rPr>
          <w:rFonts w:cs="Perpetua"/>
          <w:spacing w:val="21"/>
        </w:rPr>
        <w:t xml:space="preserve"> </w:t>
      </w:r>
      <w:r w:rsidRPr="00507B79">
        <w:rPr>
          <w:rFonts w:cs="Perpetua"/>
        </w:rPr>
        <w:t>on</w:t>
      </w:r>
      <w:r w:rsidRPr="00507B79">
        <w:rPr>
          <w:rFonts w:cs="Perpetua"/>
          <w:spacing w:val="24"/>
        </w:rPr>
        <w:t xml:space="preserve"> </w:t>
      </w:r>
      <w:r w:rsidRPr="00507B79">
        <w:rPr>
          <w:rFonts w:cs="Perpetua"/>
        </w:rPr>
        <w:t>which</w:t>
      </w:r>
      <w:r w:rsidRPr="00507B79">
        <w:rPr>
          <w:rFonts w:cs="Perpetua"/>
          <w:spacing w:val="22"/>
        </w:rPr>
        <w:t xml:space="preserve"> </w:t>
      </w:r>
      <w:r w:rsidRPr="00507B79">
        <w:rPr>
          <w:rFonts w:cs="Perpetua"/>
        </w:rPr>
        <w:t>his note on Gen. 9:1</w:t>
      </w:r>
      <w:r w:rsidRPr="00507B79">
        <w:rPr>
          <w:rFonts w:cs="Perpetua"/>
          <w:spacing w:val="21"/>
        </w:rPr>
        <w:t xml:space="preserve"> </w:t>
      </w:r>
      <w:r w:rsidRPr="00507B79">
        <w:rPr>
          <w:rFonts w:cs="Perpetua"/>
        </w:rPr>
        <w:t>is</w:t>
      </w:r>
      <w:r w:rsidRPr="00507B79">
        <w:rPr>
          <w:rFonts w:cs="Perpetua"/>
          <w:spacing w:val="22"/>
        </w:rPr>
        <w:t xml:space="preserve"> </w:t>
      </w:r>
      <w:r w:rsidRPr="00507B79">
        <w:rPr>
          <w:rFonts w:cs="Perpetua"/>
        </w:rPr>
        <w:t>based</w:t>
      </w:r>
      <w:r w:rsidRPr="00507B79">
        <w:rPr>
          <w:rFonts w:cs="Perpetua"/>
          <w:spacing w:val="23"/>
        </w:rPr>
        <w:t xml:space="preserve"> </w:t>
      </w:r>
      <w:r w:rsidRPr="00507B79">
        <w:rPr>
          <w:rFonts w:cs="Perpetua"/>
          <w:spacing w:val="-1"/>
        </w:rPr>
        <w:t>are</w:t>
      </w:r>
      <w:r w:rsidRPr="00507B79">
        <w:rPr>
          <w:rFonts w:cs="Perpetua"/>
          <w:spacing w:val="22"/>
        </w:rPr>
        <w:t xml:space="preserve"> </w:t>
      </w:r>
      <w:r w:rsidRPr="00507B79">
        <w:rPr>
          <w:rFonts w:cs="Perpetua"/>
        </w:rPr>
        <w:t>not</w:t>
      </w:r>
      <w:r w:rsidRPr="00507B79">
        <w:rPr>
          <w:rFonts w:cs="Perpetua"/>
          <w:spacing w:val="22"/>
        </w:rPr>
        <w:t xml:space="preserve"> </w:t>
      </w:r>
      <w:r w:rsidRPr="00507B79">
        <w:rPr>
          <w:rFonts w:cs="Perpetua"/>
        </w:rPr>
        <w:t>related</w:t>
      </w:r>
      <w:r w:rsidRPr="00507B79">
        <w:rPr>
          <w:rFonts w:cs="Perpetua"/>
          <w:spacing w:val="22"/>
        </w:rPr>
        <w:t xml:space="preserve"> </w:t>
      </w:r>
      <w:r w:rsidRPr="00507B79">
        <w:rPr>
          <w:rFonts w:cs="Perpetua"/>
        </w:rPr>
        <w:t>to</w:t>
      </w:r>
      <w:r w:rsidRPr="00507B79">
        <w:rPr>
          <w:rFonts w:cs="Perpetua"/>
          <w:spacing w:val="24"/>
        </w:rPr>
        <w:t xml:space="preserve"> </w:t>
      </w:r>
      <w:r w:rsidRPr="00507B79">
        <w:rPr>
          <w:rFonts w:cs="Perpetua"/>
          <w:spacing w:val="-1"/>
        </w:rPr>
        <w:t>any</w:t>
      </w:r>
      <w:r w:rsidRPr="00507B79">
        <w:rPr>
          <w:rFonts w:cs="Perpetua"/>
          <w:spacing w:val="22"/>
        </w:rPr>
        <w:t xml:space="preserve"> </w:t>
      </w:r>
      <w:r w:rsidRPr="00507B79">
        <w:rPr>
          <w:rFonts w:cs="Perpetua"/>
        </w:rPr>
        <w:t>covenant</w:t>
      </w:r>
      <w:r w:rsidRPr="00507B79">
        <w:rPr>
          <w:rFonts w:cs="Perpetua"/>
          <w:spacing w:val="23"/>
        </w:rPr>
        <w:t xml:space="preserve"> </w:t>
      </w:r>
      <w:r w:rsidRPr="00507B79">
        <w:rPr>
          <w:rFonts w:cs="Perpetua"/>
          <w:spacing w:val="-1"/>
        </w:rPr>
        <w:t>and</w:t>
      </w:r>
      <w:r w:rsidRPr="00507B79">
        <w:rPr>
          <w:rFonts w:cs="Perpetua"/>
          <w:spacing w:val="21"/>
        </w:rPr>
        <w:t xml:space="preserve"> </w:t>
      </w:r>
      <w:r w:rsidRPr="00507B79">
        <w:rPr>
          <w:rFonts w:cs="Perpetua"/>
          <w:spacing w:val="-1"/>
        </w:rPr>
        <w:t>are</w:t>
      </w:r>
      <w:r w:rsidRPr="00507B79">
        <w:rPr>
          <w:rFonts w:cs="Perpetua"/>
          <w:spacing w:val="22"/>
        </w:rPr>
        <w:t xml:space="preserve"> </w:t>
      </w:r>
      <w:r w:rsidRPr="00507B79">
        <w:rPr>
          <w:rFonts w:cs="Perpetua"/>
        </w:rPr>
        <w:t>found</w:t>
      </w:r>
      <w:r w:rsidRPr="00507B79">
        <w:rPr>
          <w:rFonts w:cs="Perpetua"/>
          <w:spacing w:val="22"/>
        </w:rPr>
        <w:t xml:space="preserve"> </w:t>
      </w:r>
      <w:r w:rsidRPr="00507B79">
        <w:rPr>
          <w:rFonts w:cs="Perpetua"/>
        </w:rPr>
        <w:t>in</w:t>
      </w:r>
      <w:r w:rsidRPr="00507B79">
        <w:rPr>
          <w:rFonts w:cs="Perpetua"/>
          <w:spacing w:val="22"/>
        </w:rPr>
        <w:t xml:space="preserve"> </w:t>
      </w:r>
      <w:r w:rsidRPr="00507B79">
        <w:rPr>
          <w:rFonts w:cs="Perpetua"/>
        </w:rPr>
        <w:t>Gen.</w:t>
      </w:r>
      <w:r w:rsidRPr="00507B79">
        <w:rPr>
          <w:rFonts w:cs="Perpetua"/>
          <w:spacing w:val="22"/>
        </w:rPr>
        <w:t xml:space="preserve"> </w:t>
      </w:r>
      <w:r w:rsidRPr="00507B79">
        <w:rPr>
          <w:rFonts w:cs="Perpetua"/>
        </w:rPr>
        <w:t>9:25-7,</w:t>
      </w:r>
      <w:r w:rsidRPr="00507B79">
        <w:rPr>
          <w:rFonts w:cs="Perpetua"/>
          <w:spacing w:val="27"/>
          <w:w w:val="99"/>
        </w:rPr>
        <w:t xml:space="preserve"> </w:t>
      </w:r>
      <w:r w:rsidRPr="00507B79">
        <w:rPr>
          <w:rFonts w:cs="Perpetua"/>
          <w:spacing w:val="-1"/>
        </w:rPr>
        <w:t>where</w:t>
      </w:r>
      <w:r w:rsidRPr="00507B79">
        <w:rPr>
          <w:rFonts w:cs="Perpetua"/>
          <w:spacing w:val="-3"/>
        </w:rPr>
        <w:t xml:space="preserve"> </w:t>
      </w:r>
      <w:r w:rsidRPr="00507B79">
        <w:rPr>
          <w:rFonts w:cs="Perpetua"/>
        </w:rPr>
        <w:t>they</w:t>
      </w:r>
      <w:r w:rsidRPr="00507B79">
        <w:rPr>
          <w:rFonts w:cs="Perpetua"/>
          <w:spacing w:val="-4"/>
        </w:rPr>
        <w:t xml:space="preserve"> </w:t>
      </w:r>
      <w:r w:rsidRPr="00507B79">
        <w:rPr>
          <w:rFonts w:cs="Perpetua"/>
          <w:spacing w:val="-1"/>
        </w:rPr>
        <w:t>form</w:t>
      </w:r>
      <w:r w:rsidRPr="00507B79">
        <w:rPr>
          <w:rFonts w:cs="Perpetua"/>
          <w:spacing w:val="-3"/>
        </w:rPr>
        <w:t xml:space="preserve"> </w:t>
      </w:r>
      <w:r w:rsidRPr="00507B79">
        <w:rPr>
          <w:rFonts w:cs="Perpetua"/>
          <w:spacing w:val="-1"/>
        </w:rPr>
        <w:t>Noah’s</w:t>
      </w:r>
      <w:r w:rsidRPr="00507B79">
        <w:rPr>
          <w:rFonts w:cs="Perpetua"/>
          <w:spacing w:val="-4"/>
        </w:rPr>
        <w:t xml:space="preserve"> </w:t>
      </w:r>
      <w:r w:rsidRPr="00507B79">
        <w:rPr>
          <w:rFonts w:cs="Perpetua"/>
          <w:spacing w:val="-1"/>
        </w:rPr>
        <w:t>response</w:t>
      </w:r>
      <w:r w:rsidRPr="00507B79">
        <w:rPr>
          <w:rFonts w:cs="Perpetua"/>
          <w:spacing w:val="-4"/>
        </w:rPr>
        <w:t xml:space="preserve"> </w:t>
      </w:r>
      <w:r w:rsidRPr="00507B79">
        <w:rPr>
          <w:rFonts w:cs="Perpetua"/>
          <w:spacing w:val="-1"/>
        </w:rPr>
        <w:t>to</w:t>
      </w:r>
      <w:r w:rsidRPr="00507B79">
        <w:rPr>
          <w:rFonts w:cs="Perpetua"/>
          <w:spacing w:val="-4"/>
        </w:rPr>
        <w:t xml:space="preserve"> </w:t>
      </w:r>
      <w:r w:rsidRPr="00507B79">
        <w:rPr>
          <w:rFonts w:cs="Perpetua"/>
          <w:spacing w:val="-1"/>
        </w:rPr>
        <w:t>Ham’s</w:t>
      </w:r>
      <w:r w:rsidRPr="00507B79">
        <w:rPr>
          <w:rFonts w:cs="Perpetua"/>
          <w:spacing w:val="-4"/>
        </w:rPr>
        <w:t xml:space="preserve"> </w:t>
      </w:r>
      <w:r w:rsidRPr="00507B79">
        <w:rPr>
          <w:rFonts w:cs="Perpetua"/>
          <w:spacing w:val="-1"/>
        </w:rPr>
        <w:t>discovery</w:t>
      </w:r>
      <w:r w:rsidRPr="00507B79">
        <w:rPr>
          <w:rFonts w:cs="Perpetua"/>
          <w:spacing w:val="-4"/>
        </w:rPr>
        <w:t xml:space="preserve"> </w:t>
      </w:r>
      <w:r w:rsidRPr="00507B79">
        <w:rPr>
          <w:rFonts w:cs="Perpetua"/>
          <w:spacing w:val="-1"/>
        </w:rPr>
        <w:t>of</w:t>
      </w:r>
      <w:r w:rsidRPr="00507B79">
        <w:rPr>
          <w:rFonts w:cs="Perpetua"/>
          <w:spacing w:val="-3"/>
        </w:rPr>
        <w:t xml:space="preserve"> </w:t>
      </w:r>
      <w:r w:rsidRPr="00507B79">
        <w:rPr>
          <w:rFonts w:cs="Perpetua"/>
        </w:rPr>
        <w:t>his</w:t>
      </w:r>
      <w:r w:rsidRPr="00507B79">
        <w:rPr>
          <w:rFonts w:cs="Perpetua"/>
          <w:spacing w:val="-3"/>
        </w:rPr>
        <w:t xml:space="preserve"> </w:t>
      </w:r>
      <w:r w:rsidRPr="00507B79">
        <w:rPr>
          <w:rFonts w:cs="Perpetua"/>
        </w:rPr>
        <w:t>nakedness</w:t>
      </w:r>
      <w:r w:rsidRPr="00507B79">
        <w:rPr>
          <w:rFonts w:cs="Perpetua"/>
          <w:spacing w:val="-3"/>
        </w:rPr>
        <w:t xml:space="preserve"> </w:t>
      </w:r>
      <w:r w:rsidRPr="00507B79">
        <w:rPr>
          <w:rFonts w:cs="Perpetua"/>
        </w:rPr>
        <w:t>in</w:t>
      </w:r>
      <w:r w:rsidRPr="00507B79">
        <w:rPr>
          <w:rFonts w:cs="Perpetua"/>
          <w:spacing w:val="-4"/>
        </w:rPr>
        <w:t xml:space="preserve"> </w:t>
      </w:r>
      <w:r w:rsidRPr="00507B79">
        <w:rPr>
          <w:rFonts w:cs="Perpetua"/>
        </w:rPr>
        <w:t>his</w:t>
      </w:r>
      <w:r w:rsidRPr="00507B79">
        <w:rPr>
          <w:rFonts w:cs="Perpetua"/>
          <w:spacing w:val="-3"/>
        </w:rPr>
        <w:t xml:space="preserve"> </w:t>
      </w:r>
      <w:r w:rsidRPr="00507B79">
        <w:rPr>
          <w:rFonts w:cs="Perpetua"/>
        </w:rPr>
        <w:t>drunken</w:t>
      </w:r>
      <w:r w:rsidRPr="00507B79">
        <w:rPr>
          <w:rFonts w:cs="Perpetua"/>
          <w:spacing w:val="-3"/>
        </w:rPr>
        <w:t xml:space="preserve"> </w:t>
      </w:r>
      <w:r w:rsidRPr="00507B79">
        <w:rPr>
          <w:rFonts w:cs="Perpetua"/>
        </w:rPr>
        <w:t>stupor.</w:t>
      </w:r>
      <w:r w:rsidRPr="00507B79">
        <w:rPr>
          <w:rFonts w:cs="Perpetua"/>
          <w:spacing w:val="42"/>
        </w:rPr>
        <w:t xml:space="preserve"> </w:t>
      </w:r>
    </w:p>
    <w:p w:rsidR="00442D33" w:rsidRPr="00507B79" w:rsidRDefault="00442D33" w:rsidP="00442D33">
      <w:pPr>
        <w:tabs>
          <w:tab w:val="left" w:pos="4678"/>
        </w:tabs>
        <w:spacing w:after="120" w:line="240" w:lineRule="auto"/>
        <w:ind w:left="1134" w:right="1701"/>
        <w:jc w:val="both"/>
      </w:pPr>
      <w:r w:rsidRPr="00507B79">
        <w:rPr>
          <w:lang w:val="en-US"/>
        </w:rPr>
        <w:t xml:space="preserve">‘And Noah awoke from his wine and knew what his younger son had done to him, </w:t>
      </w:r>
      <w:r w:rsidRPr="00507B79">
        <w:rPr>
          <w:vertAlign w:val="superscript"/>
          <w:lang w:val="en-US"/>
        </w:rPr>
        <w:t>25</w:t>
      </w:r>
      <w:r w:rsidRPr="00507B79">
        <w:rPr>
          <w:lang w:val="en-US"/>
        </w:rPr>
        <w:t xml:space="preserve">And he said, Cursed be Canaan; a servant of servants shall he be unto his brethren.  </w:t>
      </w:r>
      <w:r w:rsidRPr="00507B79">
        <w:rPr>
          <w:vertAlign w:val="superscript"/>
          <w:lang w:val="en-US"/>
        </w:rPr>
        <w:t xml:space="preserve"> 26</w:t>
      </w:r>
      <w:r w:rsidRPr="00507B79">
        <w:rPr>
          <w:lang w:val="en-US"/>
        </w:rPr>
        <w:t xml:space="preserve">And he </w:t>
      </w:r>
      <w:proofErr w:type="gramStart"/>
      <w:r w:rsidRPr="00507B79">
        <w:rPr>
          <w:lang w:val="en-US"/>
        </w:rPr>
        <w:t>said,</w:t>
      </w:r>
      <w:proofErr w:type="gramEnd"/>
      <w:r w:rsidRPr="00507B79">
        <w:rPr>
          <w:lang w:val="en-US"/>
        </w:rPr>
        <w:t xml:space="preserve"> Blessed be the LORD God of Shem; and Canaan shall be his servant.  </w:t>
      </w:r>
      <w:r w:rsidRPr="00507B79">
        <w:rPr>
          <w:vertAlign w:val="superscript"/>
          <w:lang w:val="en-US"/>
        </w:rPr>
        <w:t>27</w:t>
      </w:r>
      <w:r w:rsidRPr="00507B79">
        <w:rPr>
          <w:lang w:val="en-US"/>
        </w:rPr>
        <w:t>God shall enlarge Japheth, and he shall dwell in the tents of Shem; and Canaan shall be his servant.’</w:t>
      </w:r>
      <w:r w:rsidRPr="00507B79">
        <w:t xml:space="preserve">  </w:t>
      </w:r>
      <w:proofErr w:type="gramStart"/>
      <w:r w:rsidRPr="00507B79">
        <w:t xml:space="preserve">Gen. 9:24-7, </w:t>
      </w:r>
      <w:r w:rsidRPr="00507B79">
        <w:rPr>
          <w:i/>
        </w:rPr>
        <w:t>KJV</w:t>
      </w:r>
      <w:r w:rsidRPr="00507B79">
        <w:t>.</w:t>
      </w:r>
      <w:proofErr w:type="gramEnd"/>
      <w:r w:rsidRPr="00507B79">
        <w:t xml:space="preserve">  </w:t>
      </w:r>
    </w:p>
    <w:p w:rsidR="00442D33" w:rsidRPr="00507B79" w:rsidRDefault="00442D33" w:rsidP="00442D33">
      <w:pPr>
        <w:tabs>
          <w:tab w:val="left" w:pos="4678"/>
        </w:tabs>
        <w:spacing w:after="120" w:line="360" w:lineRule="auto"/>
        <w:ind w:right="-29"/>
        <w:jc w:val="both"/>
        <w:rPr>
          <w:rFonts w:cs="Perpetua"/>
        </w:rPr>
      </w:pPr>
      <w:r w:rsidRPr="00507B79">
        <w:rPr>
          <w:rFonts w:cs="Perpetua"/>
        </w:rPr>
        <w:t>Significantly,</w:t>
      </w:r>
      <w:r w:rsidRPr="00507B79">
        <w:rPr>
          <w:rFonts w:cs="Perpetua"/>
          <w:spacing w:val="41"/>
          <w:w w:val="99"/>
        </w:rPr>
        <w:t xml:space="preserve"> </w:t>
      </w:r>
      <w:r w:rsidRPr="00507B79">
        <w:rPr>
          <w:rFonts w:cs="Perpetua"/>
        </w:rPr>
        <w:t>in</w:t>
      </w:r>
      <w:r w:rsidRPr="00507B79">
        <w:rPr>
          <w:rFonts w:cs="Perpetua"/>
          <w:spacing w:val="-1"/>
        </w:rPr>
        <w:t xml:space="preserve"> </w:t>
      </w:r>
      <w:r w:rsidRPr="00507B79">
        <w:rPr>
          <w:rFonts w:cs="Perpetua"/>
        </w:rPr>
        <w:t>the text, Noah’s</w:t>
      </w:r>
      <w:r w:rsidRPr="00507B79">
        <w:rPr>
          <w:rFonts w:cs="Perpetua"/>
          <w:spacing w:val="2"/>
        </w:rPr>
        <w:t xml:space="preserve"> </w:t>
      </w:r>
      <w:r w:rsidRPr="00507B79">
        <w:rPr>
          <w:rFonts w:cs="Perpetua"/>
        </w:rPr>
        <w:t>curse is upon Canaan, one of Ham’s descendants, not</w:t>
      </w:r>
      <w:r w:rsidRPr="00507B79">
        <w:rPr>
          <w:rFonts w:cs="Perpetua"/>
          <w:spacing w:val="1"/>
        </w:rPr>
        <w:t xml:space="preserve"> </w:t>
      </w:r>
      <w:r w:rsidRPr="00507B79">
        <w:rPr>
          <w:rFonts w:cs="Perpetua"/>
        </w:rPr>
        <w:t xml:space="preserve">upon Ham.  Genesis 9:1-2 </w:t>
      </w:r>
      <w:r w:rsidRPr="00507B79">
        <w:rPr>
          <w:rFonts w:cs="Perpetua"/>
          <w:spacing w:val="-1"/>
        </w:rPr>
        <w:t>actually</w:t>
      </w:r>
      <w:r w:rsidRPr="00507B79">
        <w:rPr>
          <w:rFonts w:cs="Perpetua"/>
          <w:spacing w:val="14"/>
        </w:rPr>
        <w:t xml:space="preserve"> </w:t>
      </w:r>
      <w:r w:rsidRPr="00507B79">
        <w:rPr>
          <w:rFonts w:cs="Perpetua"/>
        </w:rPr>
        <w:t>describes</w:t>
      </w:r>
      <w:r w:rsidRPr="00507B79">
        <w:rPr>
          <w:rFonts w:cs="Perpetua"/>
          <w:spacing w:val="25"/>
          <w:w w:val="99"/>
        </w:rPr>
        <w:t xml:space="preserve"> </w:t>
      </w:r>
      <w:r w:rsidRPr="00507B79">
        <w:rPr>
          <w:rFonts w:cs="Perpetua"/>
          <w:spacing w:val="-1"/>
        </w:rPr>
        <w:t>God’s</w:t>
      </w:r>
      <w:r w:rsidRPr="00507B79">
        <w:rPr>
          <w:rFonts w:cs="Perpetua"/>
          <w:spacing w:val="7"/>
        </w:rPr>
        <w:t xml:space="preserve"> </w:t>
      </w:r>
      <w:r w:rsidRPr="00507B79">
        <w:rPr>
          <w:rFonts w:cs="Perpetua"/>
          <w:i/>
        </w:rPr>
        <w:t>blessing</w:t>
      </w:r>
      <w:r w:rsidRPr="00507B79">
        <w:rPr>
          <w:rFonts w:cs="Perpetua"/>
          <w:i/>
          <w:spacing w:val="9"/>
        </w:rPr>
        <w:t xml:space="preserve"> </w:t>
      </w:r>
      <w:r w:rsidRPr="00507B79">
        <w:rPr>
          <w:rFonts w:cs="Perpetua"/>
        </w:rPr>
        <w:t>on</w:t>
      </w:r>
      <w:r w:rsidRPr="00507B79">
        <w:rPr>
          <w:rFonts w:cs="Perpetua"/>
          <w:spacing w:val="7"/>
        </w:rPr>
        <w:t xml:space="preserve"> </w:t>
      </w:r>
      <w:r w:rsidRPr="00507B79">
        <w:rPr>
          <w:rFonts w:cs="Perpetua"/>
        </w:rPr>
        <w:t>Noah</w:t>
      </w:r>
      <w:r w:rsidRPr="00507B79">
        <w:rPr>
          <w:rFonts w:cs="Perpetua"/>
          <w:spacing w:val="7"/>
        </w:rPr>
        <w:t xml:space="preserve"> </w:t>
      </w:r>
      <w:r w:rsidRPr="00507B79">
        <w:rPr>
          <w:rFonts w:cs="Perpetua"/>
        </w:rPr>
        <w:t>and</w:t>
      </w:r>
      <w:r w:rsidRPr="00507B79">
        <w:rPr>
          <w:rFonts w:cs="Perpetua"/>
          <w:spacing w:val="8"/>
        </w:rPr>
        <w:t xml:space="preserve"> </w:t>
      </w:r>
      <w:r w:rsidRPr="00507B79">
        <w:rPr>
          <w:rFonts w:cs="Perpetua"/>
        </w:rPr>
        <w:t>his</w:t>
      </w:r>
      <w:r w:rsidRPr="00507B79">
        <w:rPr>
          <w:rFonts w:cs="Perpetua"/>
          <w:spacing w:val="7"/>
        </w:rPr>
        <w:t xml:space="preserve"> </w:t>
      </w:r>
      <w:r w:rsidRPr="00507B79">
        <w:rPr>
          <w:rFonts w:cs="Perpetua"/>
        </w:rPr>
        <w:t>sons.</w:t>
      </w:r>
    </w:p>
    <w:p w:rsidR="00442D33" w:rsidRPr="00507B79" w:rsidRDefault="00442D33" w:rsidP="00442D33">
      <w:pPr>
        <w:tabs>
          <w:tab w:val="left" w:pos="4678"/>
          <w:tab w:val="left" w:pos="8647"/>
          <w:tab w:val="left" w:pos="8931"/>
        </w:tabs>
        <w:spacing w:after="120" w:line="240" w:lineRule="auto"/>
        <w:ind w:left="1134" w:right="1700"/>
        <w:jc w:val="both"/>
        <w:rPr>
          <w:rFonts w:cs="Perpetua"/>
        </w:rPr>
      </w:pPr>
      <w:r w:rsidRPr="00507B79">
        <w:lastRenderedPageBreak/>
        <w:t>‘</w:t>
      </w:r>
      <w:r w:rsidRPr="00507B79">
        <w:rPr>
          <w:lang w:val="en-US"/>
        </w:rPr>
        <w:t xml:space="preserve">And God blessed Noah and his sons, and said unto them, </w:t>
      </w:r>
      <w:proofErr w:type="gramStart"/>
      <w:r w:rsidRPr="00507B79">
        <w:rPr>
          <w:lang w:val="en-US"/>
        </w:rPr>
        <w:t>Be</w:t>
      </w:r>
      <w:proofErr w:type="gramEnd"/>
      <w:r w:rsidRPr="00507B79">
        <w:rPr>
          <w:lang w:val="en-US"/>
        </w:rPr>
        <w:t xml:space="preserve"> fruitful and multiply, and replenish the earth.’</w:t>
      </w:r>
      <w:r w:rsidRPr="00507B79">
        <w:t xml:space="preserve">  </w:t>
      </w:r>
      <w:proofErr w:type="gramStart"/>
      <w:r w:rsidRPr="00507B79">
        <w:t xml:space="preserve">Gen. 9:1-2, </w:t>
      </w:r>
      <w:r w:rsidRPr="00507B79">
        <w:rPr>
          <w:i/>
        </w:rPr>
        <w:t>KJV</w:t>
      </w:r>
      <w:r w:rsidRPr="00507B79">
        <w:t>.</w:t>
      </w:r>
      <w:proofErr w:type="gramEnd"/>
    </w:p>
    <w:p w:rsidR="00442D33" w:rsidRPr="00507B79" w:rsidRDefault="00442D33" w:rsidP="00442D33">
      <w:pPr>
        <w:tabs>
          <w:tab w:val="left" w:pos="4678"/>
        </w:tabs>
        <w:spacing w:after="120" w:line="360" w:lineRule="auto"/>
        <w:ind w:right="-29"/>
        <w:jc w:val="both"/>
      </w:pPr>
      <w:r w:rsidRPr="00507B79">
        <w:rPr>
          <w:rFonts w:cs="Perpetua"/>
        </w:rPr>
        <w:t>As</w:t>
      </w:r>
      <w:r w:rsidRPr="00507B79">
        <w:rPr>
          <w:rFonts w:cs="Perpetua"/>
          <w:spacing w:val="9"/>
        </w:rPr>
        <w:t xml:space="preserve"> </w:t>
      </w:r>
      <w:r w:rsidRPr="00507B79">
        <w:rPr>
          <w:rFonts w:cs="Perpetua"/>
          <w:spacing w:val="-1"/>
        </w:rPr>
        <w:t>with</w:t>
      </w:r>
      <w:r w:rsidRPr="00507B79">
        <w:rPr>
          <w:rFonts w:cs="Perpetua"/>
          <w:spacing w:val="9"/>
        </w:rPr>
        <w:t xml:space="preserve"> </w:t>
      </w:r>
      <w:r w:rsidRPr="00507B79">
        <w:rPr>
          <w:rFonts w:cs="Perpetua"/>
          <w:spacing w:val="-1"/>
        </w:rPr>
        <w:t>the</w:t>
      </w:r>
      <w:r w:rsidRPr="00507B79">
        <w:rPr>
          <w:rFonts w:cs="Perpetua"/>
          <w:spacing w:val="9"/>
        </w:rPr>
        <w:t xml:space="preserve"> </w:t>
      </w:r>
      <w:r w:rsidRPr="00507B79">
        <w:rPr>
          <w:rFonts w:cs="Perpetua"/>
          <w:spacing w:val="-1"/>
        </w:rPr>
        <w:t>blessings</w:t>
      </w:r>
      <w:r w:rsidRPr="00507B79">
        <w:rPr>
          <w:rFonts w:cs="Perpetua"/>
          <w:spacing w:val="9"/>
        </w:rPr>
        <w:t xml:space="preserve"> </w:t>
      </w:r>
      <w:r w:rsidRPr="00507B79">
        <w:rPr>
          <w:rFonts w:cs="Perpetua"/>
        </w:rPr>
        <w:t>and</w:t>
      </w:r>
      <w:r w:rsidRPr="00507B79">
        <w:rPr>
          <w:rFonts w:cs="Perpetua"/>
          <w:spacing w:val="67"/>
          <w:w w:val="99"/>
        </w:rPr>
        <w:t xml:space="preserve"> </w:t>
      </w:r>
      <w:r w:rsidRPr="00507B79">
        <w:rPr>
          <w:rFonts w:cs="Perpetua"/>
        </w:rPr>
        <w:t>curses</w:t>
      </w:r>
      <w:r w:rsidRPr="00507B79">
        <w:rPr>
          <w:rFonts w:cs="Perpetua"/>
          <w:spacing w:val="-4"/>
        </w:rPr>
        <w:t xml:space="preserve"> </w:t>
      </w:r>
      <w:r w:rsidRPr="00507B79">
        <w:rPr>
          <w:rFonts w:cs="Perpetua"/>
        </w:rPr>
        <w:t>promised</w:t>
      </w:r>
      <w:r w:rsidRPr="00507B79">
        <w:rPr>
          <w:rFonts w:cs="Perpetua"/>
          <w:spacing w:val="-2"/>
        </w:rPr>
        <w:t xml:space="preserve"> </w:t>
      </w:r>
      <w:r w:rsidRPr="00507B79">
        <w:rPr>
          <w:rFonts w:cs="Perpetua"/>
        </w:rPr>
        <w:t>to</w:t>
      </w:r>
      <w:r w:rsidRPr="00507B79">
        <w:rPr>
          <w:rFonts w:cs="Perpetua"/>
          <w:spacing w:val="-3"/>
        </w:rPr>
        <w:t xml:space="preserve"> </w:t>
      </w:r>
      <w:r w:rsidRPr="00507B79">
        <w:rPr>
          <w:rFonts w:cs="Perpetua"/>
        </w:rPr>
        <w:t>Abram</w:t>
      </w:r>
      <w:r w:rsidRPr="00507B79">
        <w:rPr>
          <w:rFonts w:cs="Perpetua"/>
          <w:spacing w:val="-3"/>
        </w:rPr>
        <w:t xml:space="preserve"> </w:t>
      </w:r>
      <w:r w:rsidRPr="00507B79">
        <w:rPr>
          <w:rFonts w:cs="Perpetua"/>
        </w:rPr>
        <w:t>in Gen. 12:3,</w:t>
      </w:r>
      <w:r w:rsidRPr="00507B79">
        <w:rPr>
          <w:rFonts w:cs="Perpetua"/>
          <w:spacing w:val="-5"/>
        </w:rPr>
        <w:t xml:space="preserve"> </w:t>
      </w:r>
      <w:r w:rsidRPr="00507B79">
        <w:rPr>
          <w:rFonts w:cs="Perpetua"/>
        </w:rPr>
        <w:t>there</w:t>
      </w:r>
      <w:r w:rsidRPr="00507B79">
        <w:rPr>
          <w:rFonts w:cs="Perpetua"/>
          <w:spacing w:val="-2"/>
        </w:rPr>
        <w:t xml:space="preserve"> </w:t>
      </w:r>
      <w:r w:rsidRPr="00507B79">
        <w:rPr>
          <w:rFonts w:cs="Perpetua"/>
        </w:rPr>
        <w:t>is</w:t>
      </w:r>
      <w:r w:rsidRPr="00507B79">
        <w:rPr>
          <w:rFonts w:cs="Perpetua"/>
          <w:spacing w:val="-3"/>
        </w:rPr>
        <w:t xml:space="preserve"> </w:t>
      </w:r>
      <w:r w:rsidRPr="00507B79">
        <w:rPr>
          <w:rFonts w:cs="Perpetua"/>
        </w:rPr>
        <w:t>no</w:t>
      </w:r>
      <w:r w:rsidRPr="00507B79">
        <w:rPr>
          <w:rFonts w:cs="Perpetua"/>
          <w:spacing w:val="-2"/>
        </w:rPr>
        <w:t xml:space="preserve"> </w:t>
      </w:r>
      <w:r w:rsidRPr="00507B79">
        <w:rPr>
          <w:rFonts w:cs="Perpetua"/>
        </w:rPr>
        <w:t>indication</w:t>
      </w:r>
      <w:r w:rsidRPr="00507B79">
        <w:rPr>
          <w:rFonts w:cs="Perpetua"/>
          <w:spacing w:val="-3"/>
        </w:rPr>
        <w:t xml:space="preserve"> </w:t>
      </w:r>
      <w:r w:rsidRPr="00507B79">
        <w:rPr>
          <w:rFonts w:cs="Perpetua"/>
        </w:rPr>
        <w:t>that</w:t>
      </w:r>
      <w:r w:rsidRPr="00507B79">
        <w:rPr>
          <w:rFonts w:cs="Perpetua"/>
          <w:spacing w:val="-2"/>
        </w:rPr>
        <w:t xml:space="preserve"> </w:t>
      </w:r>
      <w:r w:rsidRPr="00507B79">
        <w:rPr>
          <w:rFonts w:cs="Perpetua"/>
        </w:rPr>
        <w:t>Noah’s</w:t>
      </w:r>
      <w:r w:rsidRPr="00507B79">
        <w:rPr>
          <w:rFonts w:cs="Perpetua"/>
          <w:spacing w:val="-3"/>
        </w:rPr>
        <w:t xml:space="preserve"> </w:t>
      </w:r>
      <w:r w:rsidRPr="00507B79">
        <w:rPr>
          <w:rFonts w:cs="Perpetua"/>
          <w:spacing w:val="-1"/>
        </w:rPr>
        <w:t>remarks</w:t>
      </w:r>
      <w:r w:rsidRPr="00507B79">
        <w:rPr>
          <w:rFonts w:cs="Perpetua"/>
          <w:spacing w:val="-2"/>
        </w:rPr>
        <w:t xml:space="preserve"> </w:t>
      </w:r>
      <w:r w:rsidRPr="00507B79">
        <w:rPr>
          <w:rFonts w:cs="Perpetua"/>
        </w:rPr>
        <w:t>were</w:t>
      </w:r>
      <w:r w:rsidRPr="00507B79">
        <w:rPr>
          <w:rFonts w:cs="Perpetua"/>
          <w:spacing w:val="-3"/>
        </w:rPr>
        <w:t xml:space="preserve"> </w:t>
      </w:r>
      <w:r w:rsidRPr="00507B79">
        <w:rPr>
          <w:rFonts w:cs="Perpetua"/>
        </w:rPr>
        <w:t>intended</w:t>
      </w:r>
      <w:r w:rsidRPr="00507B79">
        <w:rPr>
          <w:rFonts w:cs="Perpetua"/>
          <w:spacing w:val="-2"/>
        </w:rPr>
        <w:t xml:space="preserve"> </w:t>
      </w:r>
      <w:r w:rsidRPr="00507B79">
        <w:rPr>
          <w:rFonts w:cs="Perpetua"/>
        </w:rPr>
        <w:t>for</w:t>
      </w:r>
      <w:r w:rsidRPr="00507B79">
        <w:rPr>
          <w:rFonts w:cs="Perpetua"/>
          <w:spacing w:val="-4"/>
        </w:rPr>
        <w:t xml:space="preserve"> </w:t>
      </w:r>
      <w:r w:rsidRPr="00507B79">
        <w:rPr>
          <w:rFonts w:cs="Perpetua"/>
        </w:rPr>
        <w:t xml:space="preserve">any </w:t>
      </w:r>
      <w:r w:rsidRPr="00507B79">
        <w:rPr>
          <w:rFonts w:cs="Perpetua"/>
          <w:spacing w:val="-1"/>
        </w:rPr>
        <w:t>except</w:t>
      </w:r>
      <w:r w:rsidRPr="00507B79">
        <w:rPr>
          <w:rFonts w:cs="Perpetua"/>
          <w:spacing w:val="40"/>
        </w:rPr>
        <w:t xml:space="preserve"> </w:t>
      </w:r>
      <w:r w:rsidRPr="00507B79">
        <w:rPr>
          <w:rFonts w:cs="Perpetua"/>
        </w:rPr>
        <w:t>their</w:t>
      </w:r>
      <w:r w:rsidRPr="00507B79">
        <w:rPr>
          <w:rFonts w:cs="Perpetua"/>
          <w:spacing w:val="41"/>
        </w:rPr>
        <w:t xml:space="preserve"> </w:t>
      </w:r>
      <w:r w:rsidRPr="00507B79">
        <w:rPr>
          <w:rFonts w:cs="Perpetua"/>
          <w:spacing w:val="-1"/>
        </w:rPr>
        <w:t>immediate</w:t>
      </w:r>
      <w:r w:rsidRPr="00507B79">
        <w:rPr>
          <w:rFonts w:cs="Perpetua"/>
          <w:spacing w:val="41"/>
        </w:rPr>
        <w:t xml:space="preserve"> </w:t>
      </w:r>
      <w:r w:rsidRPr="00507B79">
        <w:rPr>
          <w:rFonts w:cs="Perpetua"/>
          <w:spacing w:val="-1"/>
        </w:rPr>
        <w:t>recipients.</w:t>
      </w:r>
      <w:r w:rsidRPr="00507B79">
        <w:rPr>
          <w:rFonts w:cs="Perpetua"/>
          <w:spacing w:val="33"/>
        </w:rPr>
        <w:t xml:space="preserve">  </w:t>
      </w:r>
      <w:r w:rsidRPr="00507B79">
        <w:rPr>
          <w:rFonts w:cs="Perpetua"/>
          <w:spacing w:val="-1"/>
        </w:rPr>
        <w:t>Also,</w:t>
      </w:r>
      <w:r w:rsidRPr="00507B79">
        <w:rPr>
          <w:rFonts w:cs="Perpetua"/>
          <w:spacing w:val="42"/>
        </w:rPr>
        <w:t xml:space="preserve"> </w:t>
      </w:r>
      <w:r w:rsidRPr="00507B79">
        <w:rPr>
          <w:rFonts w:cs="Perpetua"/>
          <w:spacing w:val="-1"/>
        </w:rPr>
        <w:t>since</w:t>
      </w:r>
      <w:r w:rsidRPr="00507B79">
        <w:rPr>
          <w:rFonts w:cs="Perpetua"/>
          <w:spacing w:val="41"/>
        </w:rPr>
        <w:t xml:space="preserve"> </w:t>
      </w:r>
      <w:r w:rsidRPr="00507B79">
        <w:rPr>
          <w:rFonts w:cs="Perpetua"/>
          <w:spacing w:val="-1"/>
        </w:rPr>
        <w:t>Scofield</w:t>
      </w:r>
      <w:r w:rsidRPr="00507B79">
        <w:rPr>
          <w:rFonts w:cs="Perpetua"/>
          <w:spacing w:val="42"/>
        </w:rPr>
        <w:t xml:space="preserve"> </w:t>
      </w:r>
      <w:r w:rsidRPr="00507B79">
        <w:rPr>
          <w:rFonts w:cs="Perpetua"/>
        </w:rPr>
        <w:t>has</w:t>
      </w:r>
      <w:r w:rsidRPr="00507B79">
        <w:rPr>
          <w:rFonts w:cs="Perpetua"/>
          <w:spacing w:val="41"/>
        </w:rPr>
        <w:t xml:space="preserve"> </w:t>
      </w:r>
      <w:r w:rsidRPr="00507B79">
        <w:rPr>
          <w:rFonts w:cs="Perpetua"/>
        </w:rPr>
        <w:t>designated</w:t>
      </w:r>
      <w:r w:rsidRPr="00507B79">
        <w:rPr>
          <w:rFonts w:cs="Perpetua"/>
          <w:spacing w:val="42"/>
        </w:rPr>
        <w:t xml:space="preserve"> </w:t>
      </w:r>
      <w:r w:rsidRPr="00507B79">
        <w:rPr>
          <w:rFonts w:cs="Perpetua"/>
          <w:spacing w:val="-1"/>
        </w:rPr>
        <w:t>all</w:t>
      </w:r>
      <w:r w:rsidRPr="00507B79">
        <w:rPr>
          <w:rFonts w:cs="Perpetua"/>
          <w:spacing w:val="42"/>
        </w:rPr>
        <w:t xml:space="preserve"> </w:t>
      </w:r>
      <w:r w:rsidRPr="00507B79">
        <w:rPr>
          <w:rFonts w:cs="Perpetua"/>
        </w:rPr>
        <w:t>divine</w:t>
      </w:r>
      <w:r w:rsidRPr="00507B79">
        <w:rPr>
          <w:rFonts w:cs="Perpetua"/>
          <w:spacing w:val="41"/>
          <w:w w:val="99"/>
        </w:rPr>
        <w:t xml:space="preserve"> </w:t>
      </w:r>
      <w:r w:rsidRPr="00507B79">
        <w:rPr>
          <w:rFonts w:cs="Perpetua"/>
          <w:spacing w:val="-1"/>
        </w:rPr>
        <w:t>revelation</w:t>
      </w:r>
      <w:r w:rsidRPr="00507B79">
        <w:rPr>
          <w:rFonts w:cs="Perpetua"/>
          <w:spacing w:val="33"/>
        </w:rPr>
        <w:t xml:space="preserve"> </w:t>
      </w:r>
      <w:r w:rsidRPr="00507B79">
        <w:rPr>
          <w:rFonts w:cs="Perpetua"/>
          <w:spacing w:val="-1"/>
        </w:rPr>
        <w:t>as</w:t>
      </w:r>
      <w:r w:rsidRPr="00507B79">
        <w:rPr>
          <w:rFonts w:cs="Perpetua"/>
          <w:spacing w:val="34"/>
        </w:rPr>
        <w:t xml:space="preserve"> </w:t>
      </w:r>
      <w:r w:rsidRPr="00507B79">
        <w:rPr>
          <w:rFonts w:cs="Perpetua"/>
        </w:rPr>
        <w:t>coming</w:t>
      </w:r>
      <w:r w:rsidRPr="00507B79">
        <w:rPr>
          <w:rFonts w:cs="Perpetua"/>
          <w:spacing w:val="33"/>
        </w:rPr>
        <w:t xml:space="preserve"> </w:t>
      </w:r>
      <w:r w:rsidRPr="00507B79">
        <w:rPr>
          <w:rFonts w:cs="Perpetua"/>
        </w:rPr>
        <w:t>from</w:t>
      </w:r>
      <w:r w:rsidRPr="00507B79">
        <w:rPr>
          <w:rFonts w:cs="Perpetua"/>
          <w:spacing w:val="33"/>
        </w:rPr>
        <w:t xml:space="preserve"> </w:t>
      </w:r>
      <w:r w:rsidRPr="00507B79">
        <w:rPr>
          <w:rFonts w:cs="Perpetua"/>
          <w:spacing w:val="-1"/>
        </w:rPr>
        <w:t>Semitic</w:t>
      </w:r>
      <w:r w:rsidRPr="00507B79">
        <w:rPr>
          <w:rFonts w:cs="Perpetua"/>
          <w:spacing w:val="33"/>
        </w:rPr>
        <w:t xml:space="preserve"> </w:t>
      </w:r>
      <w:r w:rsidRPr="00507B79">
        <w:rPr>
          <w:rFonts w:cs="Perpetua"/>
          <w:spacing w:val="-1"/>
        </w:rPr>
        <w:t>men,</w:t>
      </w:r>
      <w:r w:rsidRPr="00507B79">
        <w:rPr>
          <w:rStyle w:val="EndnoteReference"/>
        </w:rPr>
        <w:endnoteReference w:id="1293"/>
      </w:r>
      <w:r w:rsidRPr="00507B79">
        <w:rPr>
          <w:rFonts w:cs="Perpetua"/>
          <w:spacing w:val="34"/>
        </w:rPr>
        <w:t xml:space="preserve"> </w:t>
      </w:r>
      <w:r w:rsidRPr="00507B79">
        <w:rPr>
          <w:rFonts w:cs="Perpetua"/>
          <w:spacing w:val="-1"/>
        </w:rPr>
        <w:t>Noah’s</w:t>
      </w:r>
      <w:r w:rsidRPr="00507B79">
        <w:rPr>
          <w:rFonts w:cs="Perpetua"/>
          <w:spacing w:val="34"/>
        </w:rPr>
        <w:t xml:space="preserve"> </w:t>
      </w:r>
      <w:r w:rsidRPr="00507B79">
        <w:rPr>
          <w:rFonts w:cs="Perpetua"/>
        </w:rPr>
        <w:t>statements</w:t>
      </w:r>
      <w:r w:rsidRPr="00507B79">
        <w:rPr>
          <w:rFonts w:cs="Perpetua"/>
          <w:spacing w:val="34"/>
        </w:rPr>
        <w:t xml:space="preserve"> </w:t>
      </w:r>
      <w:r w:rsidRPr="00507B79">
        <w:rPr>
          <w:rFonts w:cs="Perpetua"/>
        </w:rPr>
        <w:t>cannot</w:t>
      </w:r>
      <w:r w:rsidRPr="00507B79">
        <w:rPr>
          <w:rFonts w:cs="Perpetua"/>
          <w:spacing w:val="33"/>
        </w:rPr>
        <w:t xml:space="preserve"> </w:t>
      </w:r>
      <w:r w:rsidRPr="00507B79">
        <w:rPr>
          <w:rFonts w:cs="Perpetua"/>
        </w:rPr>
        <w:t>be</w:t>
      </w:r>
      <w:r w:rsidRPr="00507B79">
        <w:rPr>
          <w:rFonts w:cs="Perpetua"/>
          <w:spacing w:val="33"/>
        </w:rPr>
        <w:t xml:space="preserve"> </w:t>
      </w:r>
      <w:r w:rsidRPr="00507B79">
        <w:rPr>
          <w:rFonts w:cs="Perpetua"/>
        </w:rPr>
        <w:t>held</w:t>
      </w:r>
      <w:r w:rsidRPr="00507B79">
        <w:rPr>
          <w:rFonts w:cs="Perpetua"/>
          <w:spacing w:val="33"/>
        </w:rPr>
        <w:t xml:space="preserve"> </w:t>
      </w:r>
      <w:r w:rsidRPr="00507B79">
        <w:rPr>
          <w:rFonts w:cs="Perpetua"/>
        </w:rPr>
        <w:t>to</w:t>
      </w:r>
      <w:r w:rsidRPr="00507B79">
        <w:rPr>
          <w:rFonts w:cs="Perpetua"/>
          <w:spacing w:val="33"/>
        </w:rPr>
        <w:t xml:space="preserve"> </w:t>
      </w:r>
      <w:r w:rsidRPr="00507B79">
        <w:rPr>
          <w:rFonts w:cs="Perpetua"/>
        </w:rPr>
        <w:t>be</w:t>
      </w:r>
      <w:r w:rsidRPr="00507B79">
        <w:rPr>
          <w:rFonts w:cs="Perpetua"/>
          <w:spacing w:val="33"/>
        </w:rPr>
        <w:t xml:space="preserve"> </w:t>
      </w:r>
      <w:r w:rsidRPr="00507B79">
        <w:rPr>
          <w:rFonts w:cs="Perpetua"/>
        </w:rPr>
        <w:t>divinely</w:t>
      </w:r>
      <w:r w:rsidRPr="00507B79">
        <w:rPr>
          <w:rFonts w:cs="Perpetua"/>
          <w:spacing w:val="33"/>
        </w:rPr>
        <w:t xml:space="preserve"> </w:t>
      </w:r>
      <w:r w:rsidRPr="00507B79">
        <w:rPr>
          <w:rFonts w:cs="Perpetua"/>
        </w:rPr>
        <w:t>inspired;</w:t>
      </w:r>
      <w:r w:rsidRPr="00507B79">
        <w:rPr>
          <w:rFonts w:cs="Perpetua"/>
          <w:spacing w:val="33"/>
        </w:rPr>
        <w:t xml:space="preserve"> </w:t>
      </w:r>
      <w:r w:rsidRPr="00507B79">
        <w:rPr>
          <w:rFonts w:cs="Perpetua"/>
          <w:spacing w:val="-1"/>
        </w:rPr>
        <w:t>as</w:t>
      </w:r>
      <w:r w:rsidRPr="00507B79">
        <w:rPr>
          <w:rFonts w:cs="Perpetua"/>
          <w:spacing w:val="22"/>
          <w:w w:val="99"/>
        </w:rPr>
        <w:t xml:space="preserve"> </w:t>
      </w:r>
      <w:r w:rsidRPr="00507B79">
        <w:rPr>
          <w:rFonts w:cs="Perpetua"/>
          <w:spacing w:val="-1"/>
        </w:rPr>
        <w:t>Shem’s</w:t>
      </w:r>
      <w:r w:rsidRPr="00507B79">
        <w:rPr>
          <w:rFonts w:cs="Perpetua"/>
          <w:spacing w:val="-7"/>
        </w:rPr>
        <w:t xml:space="preserve"> </w:t>
      </w:r>
      <w:r w:rsidRPr="00507B79">
        <w:rPr>
          <w:rFonts w:cs="Perpetua"/>
          <w:spacing w:val="-1"/>
        </w:rPr>
        <w:t>father,</w:t>
      </w:r>
      <w:r w:rsidRPr="00507B79">
        <w:rPr>
          <w:rFonts w:cs="Perpetua"/>
          <w:spacing w:val="-6"/>
        </w:rPr>
        <w:t xml:space="preserve"> </w:t>
      </w:r>
      <w:r w:rsidRPr="00507B79">
        <w:rPr>
          <w:rFonts w:cs="Perpetua"/>
          <w:spacing w:val="-1"/>
        </w:rPr>
        <w:t>Noah,</w:t>
      </w:r>
      <w:r w:rsidRPr="00507B79">
        <w:rPr>
          <w:rFonts w:cs="Perpetua"/>
          <w:spacing w:val="-6"/>
        </w:rPr>
        <w:t xml:space="preserve"> </w:t>
      </w:r>
      <w:r w:rsidRPr="00507B79">
        <w:rPr>
          <w:rFonts w:cs="Perpetua"/>
          <w:spacing w:val="-1"/>
        </w:rPr>
        <w:t>was</w:t>
      </w:r>
      <w:r w:rsidRPr="00507B79">
        <w:rPr>
          <w:rFonts w:cs="Perpetua"/>
          <w:spacing w:val="-7"/>
        </w:rPr>
        <w:t xml:space="preserve"> </w:t>
      </w:r>
      <w:r w:rsidRPr="00507B79">
        <w:rPr>
          <w:rFonts w:cs="Perpetua"/>
          <w:spacing w:val="-1"/>
        </w:rPr>
        <w:t>patently</w:t>
      </w:r>
      <w:r w:rsidRPr="00507B79">
        <w:rPr>
          <w:rFonts w:cs="Perpetua"/>
          <w:spacing w:val="-6"/>
        </w:rPr>
        <w:t xml:space="preserve"> </w:t>
      </w:r>
      <w:r w:rsidRPr="00507B79">
        <w:rPr>
          <w:rFonts w:cs="Perpetua"/>
        </w:rPr>
        <w:t>not</w:t>
      </w:r>
      <w:r w:rsidRPr="00507B79">
        <w:rPr>
          <w:rFonts w:cs="Perpetua"/>
          <w:spacing w:val="-7"/>
        </w:rPr>
        <w:t xml:space="preserve"> </w:t>
      </w:r>
      <w:r w:rsidRPr="00507B79">
        <w:rPr>
          <w:rFonts w:cs="Perpetua"/>
          <w:spacing w:val="-1"/>
        </w:rPr>
        <w:t>Semitic.</w:t>
      </w:r>
    </w:p>
    <w:p w:rsidR="00442D33" w:rsidRPr="00A249BB" w:rsidRDefault="00442D33" w:rsidP="00442D33">
      <w:pPr>
        <w:spacing w:after="120" w:line="360" w:lineRule="auto"/>
        <w:ind w:right="74" w:firstLine="567"/>
        <w:jc w:val="both"/>
      </w:pPr>
      <w:r w:rsidRPr="00A249BB">
        <w:t>The third dispensation ends with ‘the failure of man under the Noahic Covenant’.</w:t>
      </w:r>
      <w:r w:rsidRPr="00A249BB">
        <w:rPr>
          <w:rStyle w:val="EndnoteReference"/>
        </w:rPr>
        <w:endnoteReference w:id="1294"/>
      </w:r>
      <w:r w:rsidRPr="00A249BB">
        <w:t xml:space="preserve">  Scofield states that judgment falls in ‘the confusion of tongues’; ‘life continues under the Adamic and Noahic Covenants’.</w:t>
      </w:r>
      <w:r w:rsidRPr="00A249BB">
        <w:rPr>
          <w:rStyle w:val="EndnoteReference"/>
        </w:rPr>
        <w:endnoteReference w:id="1295"/>
      </w:r>
      <w:r w:rsidRPr="00A249BB">
        <w:t xml:space="preserve">  A strange implication, found in the note on Gen. 11:10, is that Israel is now excluded from the human race since Scofield declares that ‘the human race, henceforth called Gentile in distinction from Israel, goes on under the Adamic and Noahic covenants’.</w:t>
      </w:r>
      <w:r w:rsidRPr="00A249BB">
        <w:rPr>
          <w:rStyle w:val="EndnoteReference"/>
        </w:rPr>
        <w:endnoteReference w:id="1296"/>
      </w:r>
    </w:p>
    <w:p w:rsidR="00442D33" w:rsidRPr="00A249BB" w:rsidRDefault="00442D33" w:rsidP="00442D33">
      <w:pPr>
        <w:tabs>
          <w:tab w:val="left" w:pos="4678"/>
        </w:tabs>
        <w:spacing w:after="120" w:line="360" w:lineRule="auto"/>
        <w:ind w:right="-29"/>
        <w:jc w:val="both"/>
      </w:pPr>
      <w:proofErr w:type="gramStart"/>
      <w:r w:rsidRPr="002537F3">
        <w:rPr>
          <w:b/>
        </w:rPr>
        <w:t>5.</w:t>
      </w:r>
      <w:r w:rsidR="00A04A9C" w:rsidRPr="002537F3">
        <w:rPr>
          <w:b/>
        </w:rPr>
        <w:t>4</w:t>
      </w:r>
      <w:r w:rsidRPr="002537F3">
        <w:rPr>
          <w:b/>
        </w:rPr>
        <w:t xml:space="preserve">.4  </w:t>
      </w:r>
      <w:r w:rsidRPr="00A249BB">
        <w:rPr>
          <w:b/>
        </w:rPr>
        <w:t>The</w:t>
      </w:r>
      <w:proofErr w:type="gramEnd"/>
      <w:r w:rsidRPr="00A249BB">
        <w:rPr>
          <w:b/>
        </w:rPr>
        <w:t xml:space="preserve"> Fourth Dispensation and Fourth Covenant</w:t>
      </w:r>
    </w:p>
    <w:p w:rsidR="00442D33" w:rsidRPr="00A249BB" w:rsidRDefault="00442D33" w:rsidP="00442D33">
      <w:pPr>
        <w:spacing w:after="120" w:line="360" w:lineRule="auto"/>
        <w:ind w:right="71"/>
        <w:jc w:val="both"/>
        <w:rPr>
          <w:b/>
        </w:rPr>
      </w:pPr>
      <w:r w:rsidRPr="00A249BB">
        <w:t>Scofield closely relates the fourth dispensation (Promise) to the fourth (Abrahamic) covenant; both are covered in the subhead to Gen. 12:1: ‘The Fourth Dispensation: Promise: from the call of Abraham to the giving of the Law.</w:t>
      </w:r>
      <w:r w:rsidRPr="00A249BB">
        <w:rPr>
          <w:rStyle w:val="EndnoteReference"/>
        </w:rPr>
        <w:endnoteReference w:id="1297"/>
      </w:r>
      <w:r w:rsidRPr="00A249BB">
        <w:t xml:space="preserve">  The </w:t>
      </w:r>
      <w:proofErr w:type="gramStart"/>
      <w:r w:rsidRPr="00A249BB">
        <w:t>Fourth,</w:t>
      </w:r>
      <w:proofErr w:type="gramEnd"/>
      <w:r w:rsidRPr="00A249BB">
        <w:t xml:space="preserve"> or Abrahamic Covenant.’</w:t>
      </w:r>
      <w:r w:rsidRPr="00A249BB">
        <w:rPr>
          <w:rStyle w:val="EndnoteReference"/>
        </w:rPr>
        <w:endnoteReference w:id="1298"/>
      </w:r>
      <w:r w:rsidRPr="00A249BB">
        <w:t xml:space="preserve">  In the note on Gen. 12:1, Scofield describes the fourth dispensation almost totally in terms of the fourth covenant.  Abraham and his descendants ‘became </w:t>
      </w:r>
      <w:r>
        <w:t xml:space="preserve">distinctively the </w:t>
      </w:r>
      <w:r w:rsidRPr="00A249BB">
        <w:t xml:space="preserve">heirs of </w:t>
      </w:r>
      <w:r w:rsidRPr="00507B79">
        <w:rPr>
          <w:i/>
        </w:rPr>
        <w:t>promise</w:t>
      </w:r>
      <w:r>
        <w:t>’</w:t>
      </w:r>
      <w:r w:rsidRPr="00A249BB">
        <w:t xml:space="preserve"> through the </w:t>
      </w:r>
      <w:r>
        <w:t>‘</w:t>
      </w:r>
      <w:r w:rsidRPr="00A249BB">
        <w:t>great change</w:t>
      </w:r>
      <w:r>
        <w:t>’</w:t>
      </w:r>
      <w:r w:rsidRPr="00A249BB">
        <w:t xml:space="preserve"> brought about by the Abrahamic Covenant.</w:t>
      </w:r>
      <w:r w:rsidRPr="00A249BB">
        <w:rPr>
          <w:rStyle w:val="EndnoteReference"/>
        </w:rPr>
        <w:endnoteReference w:id="1299"/>
      </w:r>
      <w:r w:rsidRPr="00A249BB">
        <w:t xml:space="preserve">  Nevertheless, Scofield asserts that the dispensation (mode of testing) must be distinguished from the covenant; ‘the latter is everlasting because unconditional’.  The dispensation, which was ‘exclusively Israelitish’, ‘ended when Israel rashly accepted the law’ at Sinai, where ‘they exchanged grace for law’.</w:t>
      </w:r>
      <w:r w:rsidRPr="00A249BB">
        <w:rPr>
          <w:rStyle w:val="EndnoteReference"/>
        </w:rPr>
        <w:endnoteReference w:id="1300"/>
      </w:r>
      <w:r w:rsidRPr="00A249BB">
        <w:t xml:space="preserve">  Israel’s voluntary acceptance of the law is emphasised in the note on Exod. 19:</w:t>
      </w:r>
      <w:r>
        <w:t>3</w:t>
      </w:r>
      <w:r w:rsidRPr="00A249BB">
        <w:t xml:space="preserve">.  </w:t>
      </w:r>
      <w:r w:rsidRPr="00347C81">
        <w:t xml:space="preserve">Jehovah reminded the Israelites that they had previously been ‘objects of grace’; ‘the law was not a means of life but was the means by which Israel became a </w:t>
      </w:r>
      <w:r>
        <w:t>‘</w:t>
      </w:r>
      <w:r w:rsidRPr="00347C81">
        <w:t xml:space="preserve">“peculiar treasure” and a </w:t>
      </w:r>
      <w:r>
        <w:t>“</w:t>
      </w:r>
      <w:r w:rsidRPr="00347C81">
        <w:t>kingdom of priests</w:t>
      </w:r>
      <w:r>
        <w:t>”</w:t>
      </w:r>
      <w:r w:rsidRPr="00347C81">
        <w:t xml:space="preserve">’; ‘the law was not </w:t>
      </w:r>
      <w:r w:rsidRPr="00EE3DEF">
        <w:rPr>
          <w:i/>
        </w:rPr>
        <w:t>imposed</w:t>
      </w:r>
      <w:r w:rsidRPr="00347C81">
        <w:t xml:space="preserve"> until it was </w:t>
      </w:r>
      <w:r w:rsidRPr="00347C81">
        <w:rPr>
          <w:i/>
        </w:rPr>
        <w:t>proposed</w:t>
      </w:r>
      <w:r w:rsidRPr="00347C81">
        <w:t xml:space="preserve"> and voluntarily accepted’</w:t>
      </w:r>
      <w:r w:rsidRPr="00347C81">
        <w:rPr>
          <w:b/>
        </w:rPr>
        <w:t>.</w:t>
      </w:r>
      <w:r w:rsidRPr="00347C81">
        <w:rPr>
          <w:rStyle w:val="EndnoteReference"/>
          <w:b/>
        </w:rPr>
        <w:endnoteReference w:id="1301"/>
      </w:r>
      <w:r w:rsidRPr="00A249BB">
        <w:t xml:space="preserve">  In his introduction to Matthew, Scofield describes Christ as being ‘connected’ with the Abrahamic Covenant of Promise</w:t>
      </w:r>
      <w:r w:rsidRPr="00A249BB">
        <w:rPr>
          <w:rStyle w:val="EndnoteReference"/>
        </w:rPr>
        <w:endnoteReference w:id="1302"/>
      </w:r>
      <w:r w:rsidRPr="00A249BB">
        <w:t xml:space="preserve"> but in the summary of covenants in the note on Heb. 8:8, Christ is ‘the “</w:t>
      </w:r>
      <w:r>
        <w:t>S</w:t>
      </w:r>
      <w:r w:rsidRPr="00A249BB">
        <w:t>eed to whom the promises were made”; the son of Abraham obedient unto death</w:t>
      </w:r>
      <w:r>
        <w:t>’</w:t>
      </w:r>
      <w:r w:rsidRPr="00A249BB">
        <w:t>.</w:t>
      </w:r>
      <w:r w:rsidRPr="00A249BB">
        <w:rPr>
          <w:rStyle w:val="EndnoteReference"/>
        </w:rPr>
        <w:endnoteReference w:id="1303"/>
      </w:r>
      <w:r w:rsidRPr="00A249BB">
        <w:t xml:space="preserve">   </w:t>
      </w:r>
    </w:p>
    <w:p w:rsidR="00442D33" w:rsidRPr="00A249BB" w:rsidRDefault="00442D33" w:rsidP="00442D33">
      <w:pPr>
        <w:spacing w:after="120" w:line="360" w:lineRule="auto"/>
        <w:ind w:right="71" w:firstLine="500"/>
        <w:jc w:val="both"/>
      </w:pPr>
      <w:r w:rsidRPr="00A249BB">
        <w:t>Scofield calls the Abrahamic Covenant one of ‘the most important of Old Testament covenants’ together with the Davidic Covenant.</w:t>
      </w:r>
      <w:r w:rsidRPr="00A249BB">
        <w:rPr>
          <w:rStyle w:val="EndnoteReference"/>
        </w:rPr>
        <w:endnoteReference w:id="1304"/>
      </w:r>
      <w:r w:rsidRPr="00A249BB">
        <w:t xml:space="preserve">  He states that the Abrahamic Covenant ‘founds the nation of Israel and confirms, with specific additions, the Adamic promise of redemption’.</w:t>
      </w:r>
      <w:r w:rsidRPr="00A249BB">
        <w:rPr>
          <w:rStyle w:val="EndnoteReference"/>
        </w:rPr>
        <w:endnoteReference w:id="1305"/>
      </w:r>
      <w:r w:rsidRPr="00A249BB">
        <w:t xml:space="preserve">  This is inaccurate and misleading because the name, ‘Israel’ does not occur in the Old Testament until Abraham’s grandson, Jacob’s wrestling opponent names him ‘Israel’.</w:t>
      </w:r>
      <w:r w:rsidRPr="00A249BB">
        <w:rPr>
          <w:rStyle w:val="EndnoteReference"/>
        </w:rPr>
        <w:endnoteReference w:id="1306"/>
      </w:r>
      <w:r w:rsidRPr="00A249BB">
        <w:t xml:space="preserve">  The name is then applied to Jacob’s descendants and the people group of Israel.  It is only with the establishment of the united </w:t>
      </w:r>
      <w:r w:rsidRPr="00A249BB">
        <w:rPr>
          <w:color w:val="000000"/>
        </w:rPr>
        <w:t>monarchy under Saul, David and Solomon in 1 &amp; 2 Samuel and 1 Kings</w:t>
      </w:r>
      <w:r w:rsidRPr="00A249BB">
        <w:t xml:space="preserve"> </w:t>
      </w:r>
      <w:r w:rsidRPr="00A249BB">
        <w:rPr>
          <w:color w:val="000000"/>
        </w:rPr>
        <w:t xml:space="preserve">that the idea of an area under administration really begins to </w:t>
      </w:r>
      <w:r w:rsidRPr="00A249BB">
        <w:rPr>
          <w:color w:val="000000"/>
        </w:rPr>
        <w:lastRenderedPageBreak/>
        <w:t>emerge in the biblical text.</w:t>
      </w:r>
      <w:r w:rsidRPr="00A249BB">
        <w:rPr>
          <w:color w:val="008080"/>
        </w:rPr>
        <w:t xml:space="preserve">  </w:t>
      </w:r>
      <w:r w:rsidRPr="00A249BB">
        <w:t xml:space="preserve">The first incidence occurs in 1 Sam. 24:20, where Saul says to David, </w:t>
      </w:r>
      <w:r w:rsidRPr="00A249BB">
        <w:rPr>
          <w:color w:val="000000"/>
        </w:rPr>
        <w:t xml:space="preserve">‘I know that you will surely be king and that the kingdom of Israel will be established in your hands.’ </w:t>
      </w:r>
      <w:r w:rsidRPr="00A249BB">
        <w:rPr>
          <w:color w:val="0000FF"/>
        </w:rPr>
        <w:t xml:space="preserve"> </w:t>
      </w:r>
      <w:r w:rsidRPr="00A249BB">
        <w:rPr>
          <w:color w:val="000000"/>
        </w:rPr>
        <w:t>Even here, the phrase is</w:t>
      </w:r>
      <w:r w:rsidRPr="00A249BB">
        <w:rPr>
          <w:color w:val="0000FF"/>
        </w:rPr>
        <w:t xml:space="preserve"> ‘</w:t>
      </w:r>
      <w:r w:rsidRPr="00A249BB">
        <w:rPr>
          <w:rFonts w:ascii="Bwhebb" w:hAnsi="Bwhebb" w:cs="Bwhebb"/>
          <w:sz w:val="32"/>
          <w:szCs w:val="32"/>
          <w:lang w:val="en-US" w:bidi="he-IL"/>
        </w:rPr>
        <w:t>laer"f.yI tk</w:t>
      </w:r>
      <w:proofErr w:type="gramStart"/>
      <w:r w:rsidRPr="00A249BB">
        <w:rPr>
          <w:rFonts w:ascii="Bwhebb" w:hAnsi="Bwhebb" w:cs="Bwhebb"/>
          <w:sz w:val="32"/>
          <w:szCs w:val="32"/>
          <w:lang w:val="en-US" w:bidi="he-IL"/>
        </w:rPr>
        <w:t>,l,m.m</w:t>
      </w:r>
      <w:r w:rsidRPr="00A249BB">
        <w:rPr>
          <w:color w:val="0000FF"/>
        </w:rPr>
        <w:t>’</w:t>
      </w:r>
      <w:proofErr w:type="gramEnd"/>
      <w:r w:rsidRPr="00A249BB">
        <w:rPr>
          <w:color w:val="0000FF"/>
        </w:rPr>
        <w:t xml:space="preserve">, </w:t>
      </w:r>
      <w:r w:rsidRPr="00A249BB">
        <w:rPr>
          <w:color w:val="000000"/>
        </w:rPr>
        <w:t>(kingdom of Israel), not ‘nation’.</w:t>
      </w:r>
      <w:r w:rsidRPr="00A249BB">
        <w:t xml:space="preserve">  </w:t>
      </w:r>
    </w:p>
    <w:p w:rsidR="00442D33" w:rsidRPr="00A249BB" w:rsidRDefault="00442D33" w:rsidP="00442D33">
      <w:pPr>
        <w:spacing w:after="120" w:line="360" w:lineRule="auto"/>
        <w:ind w:right="71" w:firstLine="500"/>
        <w:jc w:val="both"/>
      </w:pPr>
      <w:r w:rsidRPr="00A249BB">
        <w:t>The note on Exod. 19:1 quotes Galatians 3 as explaining the relation of the law to the Abrahamic Covenant.  The Law cannot annul the covenant; it was added to convict of sin; it led to Christ and was ‘a preparatory discipline until the Seed came’.</w:t>
      </w:r>
      <w:r w:rsidRPr="00A249BB">
        <w:rPr>
          <w:rStyle w:val="EndnoteReference"/>
        </w:rPr>
        <w:endnoteReference w:id="1307"/>
      </w:r>
      <w:r w:rsidRPr="00A249BB">
        <w:t xml:space="preserve">  ‘The Law did not abrogate the Abrahamic Covenant’</w:t>
      </w:r>
      <w:r w:rsidRPr="00A249BB">
        <w:rPr>
          <w:rStyle w:val="EndnoteReference"/>
        </w:rPr>
        <w:endnoteReference w:id="1308"/>
      </w:r>
      <w:r w:rsidRPr="00A249BB">
        <w:t xml:space="preserve"> or ‘add a new condition to it’.</w:t>
      </w:r>
      <w:r w:rsidRPr="00A249BB">
        <w:rPr>
          <w:rStyle w:val="EndnoteReference"/>
        </w:rPr>
        <w:endnoteReference w:id="1309"/>
      </w:r>
      <w:r w:rsidRPr="00A249BB">
        <w:t xml:space="preserve">  It remains ‘despite disobedience and dispersion’.</w:t>
      </w:r>
      <w:r w:rsidRPr="00A249BB">
        <w:rPr>
          <w:rStyle w:val="EndnoteReference"/>
        </w:rPr>
        <w:endnoteReference w:id="1310"/>
      </w:r>
      <w:r w:rsidRPr="00A249BB">
        <w:t xml:space="preserve">  ‘The descendants of Abraham had but to abide in their own land to inherit every blessing.  In Egypt they lost their </w:t>
      </w:r>
      <w:r w:rsidRPr="00A249BB">
        <w:rPr>
          <w:i/>
        </w:rPr>
        <w:t>blessings</w:t>
      </w:r>
      <w:r w:rsidRPr="00A249BB">
        <w:t xml:space="preserve">, but not their </w:t>
      </w:r>
      <w:r w:rsidRPr="00A249BB">
        <w:rPr>
          <w:i/>
        </w:rPr>
        <w:t>covenant</w:t>
      </w:r>
      <w:r w:rsidRPr="00A249BB">
        <w:t>’.</w:t>
      </w:r>
      <w:r w:rsidRPr="00A249BB">
        <w:rPr>
          <w:rStyle w:val="EndnoteReference"/>
        </w:rPr>
        <w:endnoteReference w:id="1311"/>
      </w:r>
      <w:r w:rsidRPr="00A249BB">
        <w:rPr>
          <w:sz w:val="24"/>
        </w:rPr>
        <w:t xml:space="preserve">  </w:t>
      </w:r>
    </w:p>
    <w:p w:rsidR="00442D33" w:rsidRPr="00A249BB" w:rsidRDefault="00442D33" w:rsidP="00442D33">
      <w:pPr>
        <w:pStyle w:val="FootnoteText"/>
        <w:spacing w:after="120" w:line="360" w:lineRule="auto"/>
        <w:ind w:firstLine="425"/>
        <w:jc w:val="both"/>
        <w:rPr>
          <w:rFonts w:ascii="Perpetua" w:hAnsi="Perpetua"/>
          <w:sz w:val="22"/>
          <w:szCs w:val="22"/>
        </w:rPr>
      </w:pPr>
      <w:r w:rsidRPr="00A249BB">
        <w:rPr>
          <w:rFonts w:ascii="Perpetua" w:hAnsi="Perpetua"/>
          <w:sz w:val="22"/>
          <w:szCs w:val="22"/>
        </w:rPr>
        <w:t>In saying that the Abrahamic Covenant was unconditional,</w:t>
      </w:r>
      <w:r w:rsidRPr="00A249BB">
        <w:rPr>
          <w:rStyle w:val="EndnoteReference"/>
          <w:rFonts w:ascii="Perpetua" w:hAnsi="Perpetua"/>
          <w:sz w:val="22"/>
          <w:szCs w:val="22"/>
        </w:rPr>
        <w:endnoteReference w:id="1312"/>
      </w:r>
      <w:r w:rsidRPr="00A249BB">
        <w:rPr>
          <w:rFonts w:ascii="Perpetua" w:hAnsi="Perpetua"/>
          <w:sz w:val="22"/>
          <w:szCs w:val="22"/>
        </w:rPr>
        <w:t xml:space="preserve"> Scofield disregards conditional clauses, for example in Gen. 17:4-10, </w:t>
      </w:r>
      <w:r>
        <w:rPr>
          <w:rFonts w:ascii="Perpetua" w:hAnsi="Perpetua"/>
          <w:sz w:val="22"/>
        </w:rPr>
        <w:t>t</w:t>
      </w:r>
      <w:r w:rsidRPr="00A249BB">
        <w:rPr>
          <w:rFonts w:ascii="Perpetua" w:hAnsi="Perpetua"/>
          <w:sz w:val="22"/>
        </w:rPr>
        <w:t>he ‘as for me’ (Gen. 17:4) and ‘as for you’ (Gen. 17:9) clauses, reflecting the Hebrew,</w:t>
      </w:r>
      <w:r w:rsidRPr="00A249BB">
        <w:rPr>
          <w:rFonts w:ascii="Times New Roman" w:hAnsi="Times New Roman"/>
          <w:sz w:val="18"/>
          <w:szCs w:val="18"/>
        </w:rPr>
        <w:t xml:space="preserve"> </w:t>
      </w:r>
      <w:r w:rsidRPr="00A249BB">
        <w:rPr>
          <w:rFonts w:ascii="Bwhebb" w:eastAsiaTheme="minorHAnsi" w:hAnsi="Bwhebb" w:cs="Bwhebb"/>
          <w:sz w:val="32"/>
          <w:szCs w:val="32"/>
          <w:lang w:val="en-US" w:bidi="he-IL"/>
        </w:rPr>
        <w:t>ynIa</w:t>
      </w:r>
      <w:r w:rsidRPr="00A249BB">
        <w:rPr>
          <w:rFonts w:ascii="Bwhebb" w:eastAsiaTheme="minorHAnsi" w:hAnsi="Bwhebb" w:cs="Bwhebb"/>
          <w:sz w:val="36"/>
          <w:szCs w:val="36"/>
          <w:lang w:val="en-US" w:bidi="he-IL"/>
        </w:rPr>
        <w:t>]</w:t>
      </w:r>
      <w:r w:rsidRPr="00A249BB">
        <w:rPr>
          <w:rFonts w:ascii="Times New Roman" w:hAnsi="Times New Roman"/>
          <w:sz w:val="18"/>
          <w:szCs w:val="18"/>
          <w:lang w:val="en-US" w:eastAsia="en-GB" w:bidi="he-IL"/>
        </w:rPr>
        <w:t xml:space="preserve"> </w:t>
      </w:r>
      <w:r w:rsidRPr="00A249BB">
        <w:rPr>
          <w:rFonts w:ascii="Perpetua" w:hAnsi="Perpetua"/>
        </w:rPr>
        <w:t>and</w:t>
      </w:r>
      <w:r w:rsidRPr="00A249BB">
        <w:rPr>
          <w:rFonts w:ascii="Times New Roman" w:hAnsi="Times New Roman"/>
          <w:sz w:val="18"/>
          <w:szCs w:val="18"/>
        </w:rPr>
        <w:t xml:space="preserve"> </w:t>
      </w:r>
      <w:r w:rsidRPr="00A249BB">
        <w:rPr>
          <w:rFonts w:ascii="Bwhebb" w:eastAsiaTheme="minorHAnsi" w:hAnsi="Bwhebb" w:cs="Bwhebb"/>
          <w:sz w:val="32"/>
          <w:szCs w:val="32"/>
          <w:lang w:val="en-US" w:bidi="he-IL"/>
        </w:rPr>
        <w:t>hT'a</w:t>
      </w:r>
      <w:r w:rsidRPr="00A249BB">
        <w:rPr>
          <w:rFonts w:ascii="Times New Roman" w:eastAsiaTheme="minorHAnsi" w:hAnsi="Times New Roman"/>
          <w:sz w:val="18"/>
          <w:szCs w:val="18"/>
          <w:lang w:val="en-US" w:bidi="he-IL"/>
        </w:rPr>
        <w:t xml:space="preserve">.  </w:t>
      </w:r>
      <w:r w:rsidRPr="00A249BB">
        <w:rPr>
          <w:rFonts w:ascii="Perpetua" w:hAnsi="Perpetua"/>
          <w:sz w:val="22"/>
          <w:szCs w:val="22"/>
        </w:rPr>
        <w:t xml:space="preserve">Abraham is to direct his children and household to keep the way of the Lord by ‘doing righteousness and justice </w:t>
      </w:r>
      <w:r w:rsidRPr="00A249BB">
        <w:rPr>
          <w:rFonts w:ascii="Perpetua" w:hAnsi="Perpetua"/>
          <w:i/>
          <w:sz w:val="22"/>
          <w:szCs w:val="22"/>
        </w:rPr>
        <w:t>so that</w:t>
      </w:r>
      <w:r w:rsidRPr="00A249BB">
        <w:rPr>
          <w:rFonts w:ascii="Perpetua" w:hAnsi="Perpetua"/>
          <w:sz w:val="22"/>
          <w:szCs w:val="22"/>
        </w:rPr>
        <w:t xml:space="preserve"> the Lord would bring about for Abraham what he had promised him’.  Gen. 18:19 </w:t>
      </w:r>
      <w:r w:rsidRPr="00A249BB">
        <w:rPr>
          <w:rFonts w:ascii="Perpetua" w:hAnsi="Perpetua"/>
          <w:i/>
          <w:sz w:val="22"/>
          <w:szCs w:val="22"/>
        </w:rPr>
        <w:t>NRSV</w:t>
      </w:r>
      <w:r w:rsidRPr="00A249BB">
        <w:rPr>
          <w:rFonts w:ascii="Perpetua" w:hAnsi="Perpetua"/>
          <w:sz w:val="22"/>
          <w:szCs w:val="22"/>
        </w:rPr>
        <w:t>, (</w:t>
      </w:r>
      <w:r w:rsidRPr="00A249BB">
        <w:rPr>
          <w:rFonts w:ascii="Perpetua" w:hAnsi="Perpetua"/>
          <w:i/>
          <w:sz w:val="22"/>
          <w:szCs w:val="22"/>
        </w:rPr>
        <w:t>my emphasis</w:t>
      </w:r>
      <w:r w:rsidRPr="00A249BB">
        <w:rPr>
          <w:rFonts w:ascii="Perpetua" w:hAnsi="Perpetua"/>
          <w:sz w:val="22"/>
          <w:szCs w:val="22"/>
        </w:rPr>
        <w:t xml:space="preserve">).  </w:t>
      </w:r>
      <w:r w:rsidRPr="00DB136F">
        <w:rPr>
          <w:rFonts w:ascii="Perpetua" w:hAnsi="Perpetua"/>
          <w:i/>
          <w:sz w:val="22"/>
          <w:szCs w:val="22"/>
        </w:rPr>
        <w:t>KJV</w:t>
      </w:r>
      <w:r w:rsidRPr="00DB136F">
        <w:rPr>
          <w:rFonts w:ascii="Perpetua" w:hAnsi="Perpetua"/>
          <w:sz w:val="22"/>
          <w:szCs w:val="22"/>
        </w:rPr>
        <w:t xml:space="preserve"> gives a similar rendering: ‘</w:t>
      </w:r>
      <w:r w:rsidRPr="00DB136F">
        <w:rPr>
          <w:rFonts w:ascii="Perpetua" w:hAnsi="Perpetua"/>
          <w:sz w:val="22"/>
          <w:szCs w:val="22"/>
          <w:lang w:val="en-US" w:eastAsia="en-GB"/>
        </w:rPr>
        <w:t>For I know him, that he will command his children and his household after him, and they shall keep the way of the LORD, to do justice and judgment; that the LORD may bring upon Abraham that which he hath spoken of him.</w:t>
      </w:r>
      <w:r w:rsidRPr="00DB136F">
        <w:rPr>
          <w:rFonts w:ascii="Perpetua" w:hAnsi="Perpetua"/>
          <w:sz w:val="22"/>
          <w:szCs w:val="22"/>
          <w:lang w:val="en-US" w:bidi="he-IL"/>
        </w:rPr>
        <w:t xml:space="preserve">’  Gen. 18:19, </w:t>
      </w:r>
      <w:r w:rsidRPr="00DB136F">
        <w:rPr>
          <w:rFonts w:ascii="Perpetua" w:hAnsi="Perpetua"/>
          <w:i/>
          <w:sz w:val="22"/>
          <w:szCs w:val="22"/>
          <w:lang w:val="en-US" w:bidi="he-IL"/>
        </w:rPr>
        <w:t>KJV</w:t>
      </w:r>
      <w:r w:rsidRPr="00DB136F">
        <w:rPr>
          <w:rFonts w:ascii="Perpetua" w:hAnsi="Perpetua"/>
          <w:sz w:val="22"/>
          <w:szCs w:val="22"/>
          <w:lang w:val="en-US" w:bidi="he-IL"/>
        </w:rPr>
        <w:t xml:space="preserve">.  </w:t>
      </w:r>
      <w:r w:rsidRPr="00DB136F">
        <w:rPr>
          <w:rFonts w:ascii="Perpetua" w:hAnsi="Perpetua"/>
          <w:sz w:val="22"/>
          <w:szCs w:val="22"/>
        </w:rPr>
        <w:t>As Gary Burge remarks, ‘… the land is not a possession that may be enjoyed without reference to God.  Possessing this land is contingent on Israel’s ongoing faithfulness to God and obedience to his law.’</w:t>
      </w:r>
      <w:r w:rsidRPr="00DB136F">
        <w:rPr>
          <w:rStyle w:val="EndnoteReference"/>
          <w:rFonts w:ascii="Perpetua" w:hAnsi="Perpetua"/>
          <w:sz w:val="22"/>
          <w:szCs w:val="22"/>
        </w:rPr>
        <w:endnoteReference w:id="1313"/>
      </w:r>
      <w:r w:rsidRPr="00A249BB">
        <w:rPr>
          <w:rFonts w:ascii="Perpetua" w:hAnsi="Perpetua"/>
          <w:sz w:val="22"/>
          <w:szCs w:val="22"/>
        </w:rPr>
        <w:t xml:space="preserve">  </w:t>
      </w:r>
    </w:p>
    <w:p w:rsidR="00442D33" w:rsidRPr="00A249BB" w:rsidRDefault="00442D33" w:rsidP="00442D33">
      <w:pPr>
        <w:pStyle w:val="FootnoteText"/>
        <w:spacing w:after="120" w:line="360" w:lineRule="auto"/>
        <w:ind w:firstLine="425"/>
        <w:jc w:val="both"/>
        <w:rPr>
          <w:rFonts w:ascii="Perpetua" w:hAnsi="Perpetua"/>
          <w:sz w:val="22"/>
          <w:szCs w:val="22"/>
        </w:rPr>
      </w:pPr>
      <w:r w:rsidRPr="00A249BB">
        <w:rPr>
          <w:rFonts w:ascii="Perpetua" w:hAnsi="Perpetua"/>
          <w:sz w:val="22"/>
          <w:szCs w:val="22"/>
        </w:rPr>
        <w:t>In his note on Gen. 15:18, Scofield distinguishes seven ‘distinct parts’ which comprise the Abrahamic Covenant.</w:t>
      </w:r>
      <w:r w:rsidRPr="00A249BB">
        <w:rPr>
          <w:rStyle w:val="EndnoteReference"/>
          <w:rFonts w:ascii="Perpetua" w:hAnsi="Perpetua"/>
          <w:sz w:val="22"/>
          <w:szCs w:val="22"/>
        </w:rPr>
        <w:endnoteReference w:id="1314"/>
      </w:r>
      <w:r w:rsidRPr="00A249BB">
        <w:rPr>
          <w:rFonts w:ascii="Perpetua" w:hAnsi="Perpetua"/>
          <w:sz w:val="22"/>
          <w:szCs w:val="22"/>
        </w:rPr>
        <w:t xml:space="preserve">  The promise to make a great nation of Abraham is ‘fulfilled in a three-fold way’</w:t>
      </w:r>
      <w:r>
        <w:rPr>
          <w:rFonts w:ascii="Perpetua" w:hAnsi="Perpetua"/>
          <w:sz w:val="22"/>
          <w:szCs w:val="22"/>
        </w:rPr>
        <w:t>:</w:t>
      </w:r>
      <w:r w:rsidRPr="00A249BB">
        <w:rPr>
          <w:rFonts w:ascii="Perpetua" w:hAnsi="Perpetua"/>
          <w:sz w:val="22"/>
          <w:szCs w:val="22"/>
        </w:rPr>
        <w:t xml:space="preserve"> though natural posterity, </w:t>
      </w:r>
      <w:r>
        <w:rPr>
          <w:rFonts w:ascii="Perpetua" w:hAnsi="Perpetua"/>
          <w:sz w:val="22"/>
          <w:szCs w:val="22"/>
        </w:rPr>
        <w:t>ie</w:t>
      </w:r>
      <w:r w:rsidRPr="00A249BB">
        <w:rPr>
          <w:rFonts w:ascii="Perpetua" w:hAnsi="Perpetua"/>
          <w:sz w:val="22"/>
          <w:szCs w:val="22"/>
        </w:rPr>
        <w:t xml:space="preserve"> the Hebrew people</w:t>
      </w:r>
      <w:r>
        <w:rPr>
          <w:rFonts w:ascii="Perpetua" w:hAnsi="Perpetua"/>
          <w:sz w:val="22"/>
          <w:szCs w:val="22"/>
        </w:rPr>
        <w:t>,</w:t>
      </w:r>
      <w:r w:rsidRPr="00A249BB">
        <w:rPr>
          <w:rFonts w:ascii="Perpetua" w:hAnsi="Perpetua"/>
          <w:sz w:val="22"/>
          <w:szCs w:val="22"/>
        </w:rPr>
        <w:t xml:space="preserve"> </w:t>
      </w:r>
      <w:r>
        <w:rPr>
          <w:rFonts w:ascii="Perpetua" w:hAnsi="Perpetua"/>
          <w:sz w:val="22"/>
          <w:szCs w:val="22"/>
        </w:rPr>
        <w:t xml:space="preserve">through </w:t>
      </w:r>
      <w:r w:rsidRPr="00A249BB">
        <w:rPr>
          <w:rFonts w:ascii="Perpetua" w:hAnsi="Perpetua"/>
          <w:sz w:val="22"/>
          <w:szCs w:val="22"/>
        </w:rPr>
        <w:t>spiritual posterity, ie ‘all men of faith, Jew and Gentile’</w:t>
      </w:r>
      <w:r>
        <w:rPr>
          <w:rFonts w:ascii="Perpetua" w:hAnsi="Perpetua"/>
          <w:sz w:val="22"/>
          <w:szCs w:val="22"/>
        </w:rPr>
        <w:t>,</w:t>
      </w:r>
      <w:r w:rsidRPr="00A249BB">
        <w:rPr>
          <w:rStyle w:val="EndnoteReference"/>
          <w:rFonts w:ascii="Perpetua" w:hAnsi="Perpetua"/>
          <w:sz w:val="22"/>
          <w:szCs w:val="22"/>
        </w:rPr>
        <w:endnoteReference w:id="1315"/>
      </w:r>
      <w:r w:rsidRPr="00A249BB">
        <w:rPr>
          <w:rFonts w:ascii="Perpetua" w:hAnsi="Perpetua"/>
          <w:sz w:val="22"/>
          <w:szCs w:val="22"/>
        </w:rPr>
        <w:t xml:space="preserve"> and significantly, through Ishmael.  The promise to bless Abraham has been fulfilled temporally</w:t>
      </w:r>
      <w:r w:rsidRPr="00A249BB">
        <w:rPr>
          <w:rStyle w:val="EndnoteReference"/>
          <w:rFonts w:ascii="Perpetua" w:hAnsi="Perpetua"/>
          <w:sz w:val="22"/>
          <w:szCs w:val="22"/>
        </w:rPr>
        <w:endnoteReference w:id="1316"/>
      </w:r>
      <w:r w:rsidRPr="00A249BB">
        <w:rPr>
          <w:rFonts w:ascii="Perpetua" w:hAnsi="Perpetua"/>
          <w:sz w:val="22"/>
          <w:szCs w:val="22"/>
        </w:rPr>
        <w:t xml:space="preserve"> and spiritually.</w:t>
      </w:r>
      <w:r w:rsidRPr="00A249BB">
        <w:rPr>
          <w:rStyle w:val="EndnoteReference"/>
          <w:rFonts w:ascii="Perpetua" w:hAnsi="Perpetua"/>
          <w:sz w:val="22"/>
          <w:szCs w:val="22"/>
        </w:rPr>
        <w:endnoteReference w:id="1317"/>
      </w:r>
      <w:r w:rsidRPr="00A249BB">
        <w:rPr>
          <w:rFonts w:ascii="Perpetua" w:hAnsi="Perpetua"/>
          <w:sz w:val="22"/>
          <w:szCs w:val="22"/>
        </w:rPr>
        <w:t xml:space="preserve">  Of the clause ‘and make thy name great’, Scofield only says ‘Abraham’s is one of the universal names’; he does not comment on the promise that Abraham will be a blessing and, of ‘I will bless them that bless thee’, he only states that ‘in fulfilment this is closely related to the next clause’</w:t>
      </w:r>
      <w:r>
        <w:rPr>
          <w:rFonts w:ascii="Perpetua" w:hAnsi="Perpetua"/>
          <w:sz w:val="22"/>
          <w:szCs w:val="22"/>
        </w:rPr>
        <w:t>; this is ‘</w:t>
      </w:r>
      <w:r w:rsidRPr="00A249BB">
        <w:rPr>
          <w:rFonts w:ascii="Perpetua" w:hAnsi="Perpetua"/>
          <w:sz w:val="22"/>
          <w:szCs w:val="22"/>
        </w:rPr>
        <w:t>and curse him that curses thee</w:t>
      </w:r>
      <w:r>
        <w:rPr>
          <w:rFonts w:ascii="Perpetua" w:hAnsi="Perpetua"/>
          <w:sz w:val="22"/>
          <w:szCs w:val="22"/>
        </w:rPr>
        <w:t>’</w:t>
      </w:r>
      <w:r w:rsidRPr="00A249BB">
        <w:rPr>
          <w:rFonts w:ascii="Perpetua" w:hAnsi="Perpetua"/>
          <w:sz w:val="22"/>
          <w:szCs w:val="22"/>
        </w:rPr>
        <w:t>.  The clause concerning the blessing of all the families of earth is ‘the great evangelic promise fulfilled in Abraham’s Seed, Christ’;</w:t>
      </w:r>
      <w:r w:rsidRPr="00A249BB">
        <w:rPr>
          <w:rStyle w:val="EndnoteReference"/>
          <w:rFonts w:ascii="Perpetua" w:hAnsi="Perpetua"/>
          <w:sz w:val="22"/>
          <w:szCs w:val="22"/>
        </w:rPr>
        <w:endnoteReference w:id="1318"/>
      </w:r>
      <w:r w:rsidRPr="00A249BB">
        <w:rPr>
          <w:rFonts w:ascii="Perpetua" w:hAnsi="Perpetua"/>
          <w:sz w:val="22"/>
          <w:szCs w:val="22"/>
        </w:rPr>
        <w:t xml:space="preserve"> this confirms ‘the promise of the Adamic Covenant’ concerning the woman’s seed.</w:t>
      </w:r>
      <w:r w:rsidRPr="00A249BB">
        <w:rPr>
          <w:rStyle w:val="EndnoteReference"/>
          <w:rFonts w:ascii="Perpetua" w:hAnsi="Perpetua"/>
          <w:sz w:val="22"/>
          <w:szCs w:val="22"/>
        </w:rPr>
        <w:endnoteReference w:id="1319"/>
      </w:r>
    </w:p>
    <w:p w:rsidR="00442D33" w:rsidRPr="00A249BB" w:rsidRDefault="00442D33" w:rsidP="00442D33">
      <w:pPr>
        <w:spacing w:after="120" w:line="360" w:lineRule="auto"/>
        <w:ind w:firstLine="567"/>
        <w:jc w:val="both"/>
      </w:pPr>
      <w:r w:rsidRPr="00A249BB">
        <w:t>Scofield asserts that the blessing and cursing clauses of the Abrahamic Covenant have been fulfilled;</w:t>
      </w:r>
      <w:r w:rsidRPr="00A249BB">
        <w:rPr>
          <w:rStyle w:val="EndnoteReference"/>
        </w:rPr>
        <w:endnoteReference w:id="1320"/>
      </w:r>
      <w:r w:rsidRPr="00A249BB">
        <w:t xml:space="preserve"> regarding Gen. 12:3, he claims that the curses have been ‘wonderfully fulfilled in the history of the dispersion.  It has invariably fared ill with the people who have persecuted the Jew –well with those who have protected him.  The future will still more remarkably prove this principle.’</w:t>
      </w:r>
      <w:r w:rsidRPr="00A249BB">
        <w:rPr>
          <w:rStyle w:val="FootnoteReference"/>
        </w:rPr>
        <w:footnoteReference w:id="63"/>
      </w:r>
      <w:r w:rsidRPr="00A249BB">
        <w:t xml:space="preserve">  Here there is a </w:t>
      </w:r>
      <w:r w:rsidRPr="00A249BB">
        <w:lastRenderedPageBreak/>
        <w:t xml:space="preserve">misreading of the second person singular object of God’s promise in Gen. 12:3 </w:t>
      </w:r>
      <w:r w:rsidRPr="00012B96">
        <w:rPr>
          <w:sz w:val="16"/>
          <w:szCs w:val="24"/>
        </w:rPr>
        <w:t>—</w:t>
      </w:r>
      <w:r w:rsidRPr="00A249BB">
        <w:t xml:space="preserve"> </w:t>
      </w:r>
      <w:r w:rsidRPr="00A249BB">
        <w:rPr>
          <w:rFonts w:ascii="Bwhebb" w:hAnsi="Bwhebb" w:cs="Bwhebb"/>
          <w:sz w:val="32"/>
          <w:szCs w:val="32"/>
          <w:lang w:val="en-US"/>
        </w:rPr>
        <w:t>^yk</w:t>
      </w:r>
      <w:proofErr w:type="gramStart"/>
      <w:r w:rsidRPr="00A249BB">
        <w:rPr>
          <w:rFonts w:ascii="Bwhebb" w:hAnsi="Bwhebb" w:cs="Bwhebb"/>
          <w:sz w:val="32"/>
          <w:szCs w:val="32"/>
          <w:lang w:val="en-US"/>
        </w:rPr>
        <w:t>,êr</w:t>
      </w:r>
      <w:proofErr w:type="gramEnd"/>
      <w:r w:rsidRPr="00A249BB">
        <w:rPr>
          <w:rFonts w:ascii="Bwhebb" w:hAnsi="Bwhebb" w:cs="Bwhebb"/>
          <w:sz w:val="32"/>
          <w:szCs w:val="32"/>
          <w:lang w:val="en-US"/>
        </w:rPr>
        <w:t>&gt;b"åm</w:t>
      </w:r>
      <w:r w:rsidRPr="00A249BB">
        <w:t xml:space="preserve"> and</w:t>
      </w:r>
      <w:r w:rsidRPr="00A249BB">
        <w:rPr>
          <w:rFonts w:ascii="Times New Roman" w:hAnsi="Times New Roman"/>
          <w:sz w:val="18"/>
          <w:szCs w:val="18"/>
        </w:rPr>
        <w:t xml:space="preserve"> </w:t>
      </w:r>
      <w:r w:rsidRPr="00A249BB">
        <w:rPr>
          <w:rFonts w:ascii="Bwhebb" w:hAnsi="Bwhebb" w:cs="Bwhebb"/>
          <w:sz w:val="32"/>
          <w:szCs w:val="32"/>
          <w:lang w:val="en-US"/>
        </w:rPr>
        <w:t>^ßl.L,q;m</w:t>
      </w:r>
      <w:r w:rsidRPr="00A249BB">
        <w:rPr>
          <w:rFonts w:ascii="Times New Roman" w:hAnsi="Times New Roman"/>
          <w:sz w:val="18"/>
          <w:szCs w:val="18"/>
        </w:rPr>
        <w:t>,</w:t>
      </w:r>
      <w:r w:rsidRPr="00A249BB">
        <w:rPr>
          <w:rStyle w:val="FootnoteReference"/>
        </w:rPr>
        <w:footnoteReference w:id="64"/>
      </w:r>
      <w:r w:rsidRPr="00A249BB">
        <w:t xml:space="preserve"> as being all Abraham’s physical descendants for ever, (but limited to descent through Isaac), coupled with a dangerous conflation of biblical text and historical events.  Sizer states that ‘t</w:t>
      </w:r>
      <w:r w:rsidRPr="00A249BB">
        <w:rPr>
          <w:lang w:val="en-US"/>
        </w:rPr>
        <w:t xml:space="preserve">here is no indication in the text that this warning of cursing was ever intended to extend beyond Abraham.  The promise, when referring to Abraham's descendants speaks of God's blessing them, not other nations blessing the Jews.’  Sizer also notes that Scofield does not comment on Gal. 3:16, 28-29, where Paul describes Christ as </w:t>
      </w:r>
      <w:r>
        <w:rPr>
          <w:lang w:val="en-US"/>
        </w:rPr>
        <w:t xml:space="preserve">‘the </w:t>
      </w:r>
      <w:r w:rsidRPr="00A249BB">
        <w:rPr>
          <w:lang w:val="en-US"/>
        </w:rPr>
        <w:t>seed of Abraham</w:t>
      </w:r>
      <w:r>
        <w:rPr>
          <w:lang w:val="en-US"/>
        </w:rPr>
        <w:t>’</w:t>
      </w:r>
      <w:r w:rsidRPr="00A249BB">
        <w:rPr>
          <w:lang w:val="en-US"/>
        </w:rPr>
        <w:t>, and states that the promise of blessing to the Gentiles depends upon faith in Christ, not upon their treatment of the Jews.</w:t>
      </w:r>
      <w:r w:rsidRPr="00A249BB">
        <w:rPr>
          <w:rStyle w:val="EndnoteReference"/>
          <w:lang w:val="en-US"/>
        </w:rPr>
        <w:endnoteReference w:id="1321"/>
      </w:r>
      <w:r w:rsidRPr="00A249BB">
        <w:rPr>
          <w:lang w:val="en-US"/>
        </w:rPr>
        <w:t xml:space="preserve">  </w:t>
      </w:r>
      <w:r w:rsidRPr="00A249BB">
        <w:t xml:space="preserve">Moreover, according to Jeremiah, it is those who trust in the Lord </w:t>
      </w:r>
      <w:r>
        <w:t xml:space="preserve">who </w:t>
      </w:r>
      <w:r w:rsidRPr="00A249BB">
        <w:t>are blessed whereas those who trust in idols are cursed.</w:t>
      </w:r>
      <w:r w:rsidRPr="00A249BB">
        <w:rPr>
          <w:rStyle w:val="EndnoteReference"/>
        </w:rPr>
        <w:endnoteReference w:id="1322"/>
      </w:r>
      <w:r w:rsidRPr="00A249BB">
        <w:t xml:space="preserve">  </w:t>
      </w:r>
      <w:r w:rsidR="00BB17C2">
        <w:rPr>
          <w:rStyle w:val="EndnoteReference"/>
        </w:rPr>
        <w:endnoteReference w:id="1323"/>
      </w:r>
    </w:p>
    <w:p w:rsidR="00442D33" w:rsidRPr="00A249BB" w:rsidRDefault="00442D33" w:rsidP="00442D33">
      <w:pPr>
        <w:pStyle w:val="FootnoteText"/>
        <w:spacing w:after="120" w:line="360" w:lineRule="auto"/>
        <w:ind w:firstLine="425"/>
        <w:jc w:val="both"/>
        <w:rPr>
          <w:rFonts w:ascii="Perpetua" w:hAnsi="Perpetua"/>
          <w:b/>
          <w:sz w:val="22"/>
          <w:szCs w:val="22"/>
        </w:rPr>
      </w:pPr>
      <w:r w:rsidRPr="00A249BB">
        <w:rPr>
          <w:rFonts w:ascii="Perpetua" w:hAnsi="Perpetua"/>
          <w:sz w:val="22"/>
          <w:szCs w:val="22"/>
        </w:rPr>
        <w:t>Scofield asserts that ‘it is important to see that the nation has never as yet taken the land under the Abrahamic Covenant, nor has it ever possessed the whole land’.</w:t>
      </w:r>
      <w:r w:rsidRPr="00A249BB">
        <w:rPr>
          <w:rStyle w:val="EndnoteReference"/>
          <w:rFonts w:ascii="Perpetua" w:hAnsi="Perpetua"/>
          <w:sz w:val="22"/>
          <w:szCs w:val="22"/>
        </w:rPr>
        <w:endnoteReference w:id="1324"/>
      </w:r>
      <w:r w:rsidRPr="00A249BB">
        <w:rPr>
          <w:rFonts w:ascii="Perpetua" w:hAnsi="Perpetua"/>
          <w:sz w:val="22"/>
          <w:szCs w:val="22"/>
        </w:rPr>
        <w:t xml:space="preserve">  Sizer disagrees; Scofield’s assertion is contradicted by Josh. 11:23</w:t>
      </w:r>
      <w:r w:rsidRPr="00A249BB">
        <w:rPr>
          <w:rStyle w:val="FootnoteReference"/>
          <w:rFonts w:ascii="Perpetua" w:hAnsi="Perpetua"/>
          <w:sz w:val="22"/>
          <w:szCs w:val="22"/>
        </w:rPr>
        <w:footnoteReference w:id="65"/>
      </w:r>
      <w:r w:rsidRPr="00A249BB">
        <w:rPr>
          <w:rFonts w:ascii="Perpetua" w:hAnsi="Perpetua"/>
          <w:sz w:val="22"/>
          <w:szCs w:val="22"/>
        </w:rPr>
        <w:t xml:space="preserve"> and 21:43, 45,</w:t>
      </w:r>
      <w:r w:rsidRPr="00A249BB">
        <w:rPr>
          <w:rStyle w:val="FootnoteReference"/>
          <w:rFonts w:ascii="Perpetua" w:hAnsi="Perpetua"/>
          <w:sz w:val="22"/>
          <w:szCs w:val="22"/>
        </w:rPr>
        <w:footnoteReference w:id="66"/>
      </w:r>
      <w:r w:rsidRPr="00A249BB">
        <w:rPr>
          <w:rFonts w:ascii="Perpetua" w:hAnsi="Perpetua"/>
          <w:sz w:val="22"/>
          <w:szCs w:val="22"/>
        </w:rPr>
        <w:t xml:space="preserve"> and by Neh. 9:22-3.</w:t>
      </w:r>
      <w:r w:rsidRPr="00A249BB">
        <w:rPr>
          <w:rStyle w:val="FootnoteReference"/>
          <w:rFonts w:ascii="Perpetua" w:hAnsi="Perpetua"/>
          <w:sz w:val="22"/>
          <w:szCs w:val="22"/>
        </w:rPr>
        <w:footnoteReference w:id="67"/>
      </w:r>
      <w:r w:rsidRPr="00A249BB">
        <w:rPr>
          <w:rFonts w:ascii="Perpetua" w:hAnsi="Perpetua"/>
          <w:sz w:val="22"/>
          <w:szCs w:val="22"/>
        </w:rPr>
        <w:t xml:space="preserve"> </w:t>
      </w:r>
      <w:r w:rsidRPr="00A249BB">
        <w:rPr>
          <w:rStyle w:val="EndnoteReference"/>
          <w:rFonts w:ascii="Perpetua" w:hAnsi="Perpetua"/>
          <w:sz w:val="22"/>
          <w:szCs w:val="22"/>
        </w:rPr>
        <w:endnoteReference w:id="1325"/>
      </w:r>
      <w:r w:rsidRPr="00A249BB">
        <w:rPr>
          <w:rFonts w:ascii="Perpetua" w:hAnsi="Perpetua"/>
          <w:sz w:val="22"/>
          <w:szCs w:val="22"/>
        </w:rPr>
        <w:t xml:space="preserve">  These verses are significant because arguments as to whether the Abrahamic Covenant has yet been fulfilled depend upon them; Scofield does not comment on them.  Burge disagrees with the very notion of Israel’s possession of the land.  ‘In a profound sense, Israel never “owns” the land of promise.  God owns the land.</w:t>
      </w:r>
      <w:r w:rsidRPr="00A249BB">
        <w:rPr>
          <w:rStyle w:val="FootnoteReference"/>
          <w:rFonts w:ascii="Perpetua" w:hAnsi="Perpetua"/>
          <w:sz w:val="22"/>
          <w:szCs w:val="22"/>
        </w:rPr>
        <w:footnoteReference w:id="68"/>
      </w:r>
      <w:r w:rsidRPr="00A249BB">
        <w:rPr>
          <w:rFonts w:ascii="Perpetua" w:hAnsi="Perpetua"/>
          <w:sz w:val="22"/>
          <w:szCs w:val="22"/>
        </w:rPr>
        <w:t xml:space="preserve"> Israel here is viewed as a tenant in this land, an alien, a renter. … God will determine the tenure of its occupants.’</w:t>
      </w:r>
      <w:r w:rsidRPr="00A249BB">
        <w:rPr>
          <w:rStyle w:val="EndnoteReference"/>
          <w:rFonts w:ascii="Perpetua" w:hAnsi="Perpetua"/>
          <w:sz w:val="22"/>
          <w:szCs w:val="22"/>
        </w:rPr>
        <w:endnoteReference w:id="1326"/>
      </w:r>
      <w:r w:rsidRPr="00A249BB">
        <w:rPr>
          <w:rFonts w:ascii="Perpetua" w:hAnsi="Perpetua"/>
          <w:sz w:val="22"/>
          <w:szCs w:val="22"/>
        </w:rPr>
        <w:t xml:space="preserve">  </w:t>
      </w:r>
    </w:p>
    <w:p w:rsidR="00442D33" w:rsidRPr="00A249BB" w:rsidRDefault="00442D33" w:rsidP="00442D33">
      <w:pPr>
        <w:tabs>
          <w:tab w:val="left" w:pos="4678"/>
        </w:tabs>
        <w:spacing w:after="120" w:line="360" w:lineRule="auto"/>
        <w:ind w:right="-28"/>
        <w:jc w:val="both"/>
      </w:pPr>
      <w:proofErr w:type="gramStart"/>
      <w:r w:rsidRPr="002537F3">
        <w:rPr>
          <w:b/>
        </w:rPr>
        <w:t>5.</w:t>
      </w:r>
      <w:r w:rsidR="00234C1D" w:rsidRPr="002537F3">
        <w:rPr>
          <w:b/>
        </w:rPr>
        <w:t>4</w:t>
      </w:r>
      <w:r w:rsidRPr="002537F3">
        <w:rPr>
          <w:b/>
        </w:rPr>
        <w:t xml:space="preserve">.5  </w:t>
      </w:r>
      <w:r w:rsidRPr="00A249BB">
        <w:rPr>
          <w:b/>
        </w:rPr>
        <w:t>The</w:t>
      </w:r>
      <w:proofErr w:type="gramEnd"/>
      <w:r w:rsidRPr="00A249BB">
        <w:rPr>
          <w:b/>
        </w:rPr>
        <w:t xml:space="preserve"> Fifth Dispensation and Fifth Covenant</w:t>
      </w:r>
    </w:p>
    <w:p w:rsidR="00442D33" w:rsidRPr="00A249BB" w:rsidRDefault="00442D33" w:rsidP="00442D33">
      <w:pPr>
        <w:spacing w:after="120" w:line="360" w:lineRule="auto"/>
        <w:ind w:right="74"/>
        <w:jc w:val="both"/>
      </w:pPr>
      <w:r w:rsidRPr="00A249BB">
        <w:t>The fifth dispensation, Law, ‘extends from Sinai to Calvary</w:t>
      </w:r>
      <w:r>
        <w:t xml:space="preserve"> </w:t>
      </w:r>
      <w:r w:rsidRPr="00012B96">
        <w:rPr>
          <w:sz w:val="16"/>
          <w:szCs w:val="24"/>
        </w:rPr>
        <w:t>—</w:t>
      </w:r>
      <w:r w:rsidRPr="00A249BB">
        <w:t xml:space="preserve"> from the Exodus to the Cross’.  Israel’s history has constituted ‘one long record of the violation of the law’.  The testing of the nation by the law ended at the Captivities but the dispensation itself ended at the Cross.</w:t>
      </w:r>
      <w:r w:rsidRPr="00A249BB">
        <w:rPr>
          <w:rStyle w:val="EndnoteReference"/>
        </w:rPr>
        <w:endnoteReference w:id="1327"/>
      </w:r>
      <w:r w:rsidRPr="00A249BB">
        <w:t xml:space="preserve">  It thus appears that there was no testing under the Dispensation of Law for more than 700 years of its course.  </w:t>
      </w:r>
    </w:p>
    <w:p w:rsidR="00442D33" w:rsidRPr="004D10F7" w:rsidRDefault="00442D33" w:rsidP="00442D33">
      <w:pPr>
        <w:spacing w:after="120" w:line="360" w:lineRule="auto"/>
        <w:ind w:right="74" w:firstLine="567"/>
        <w:jc w:val="both"/>
      </w:pPr>
      <w:r w:rsidRPr="004D10F7">
        <w:t xml:space="preserve">Many </w:t>
      </w:r>
      <w:r w:rsidRPr="004D10F7">
        <w:rPr>
          <w:i/>
        </w:rPr>
        <w:t>SRB</w:t>
      </w:r>
      <w:r w:rsidRPr="004D10F7">
        <w:t xml:space="preserve"> notes relate the Dispensation of Law to the corresponding Mosaic Covenant and to the succeeding Dispensation of Grace.  All three concepts are inseparably intertwined.  For example, in the note on Exod. 19:5, Scofield states that ‘the “if” of Exod. 19:5 is the essence of law as a method of divine </w:t>
      </w:r>
      <w:r w:rsidRPr="004D10F7">
        <w:lastRenderedPageBreak/>
        <w:t>dealing, and the fundamental reason why “‘the law made nothing perfect”’,</w:t>
      </w:r>
      <w:r w:rsidRPr="004D10F7">
        <w:rPr>
          <w:rStyle w:val="EndnoteReference"/>
        </w:rPr>
        <w:endnoteReference w:id="1328"/>
      </w:r>
      <w:r w:rsidRPr="004D10F7">
        <w:t xml:space="preserve"> whereas ‘the Abrahamic and New Covenants minister salvation and assurance because they impose but one condition, faith’.</w:t>
      </w:r>
      <w:r w:rsidRPr="004D10F7">
        <w:rPr>
          <w:rStyle w:val="EndnoteReference"/>
        </w:rPr>
        <w:endnoteReference w:id="1329"/>
      </w:r>
      <w:r w:rsidRPr="004D10F7">
        <w:t xml:space="preserve">  </w:t>
      </w:r>
    </w:p>
    <w:p w:rsidR="00442D33" w:rsidRPr="00A249BB" w:rsidRDefault="00442D33" w:rsidP="00442D33">
      <w:pPr>
        <w:spacing w:after="120" w:line="360" w:lineRule="auto"/>
        <w:ind w:right="74" w:firstLine="567"/>
        <w:jc w:val="both"/>
        <w:rPr>
          <w:b/>
        </w:rPr>
      </w:pPr>
      <w:r w:rsidRPr="00A249BB">
        <w:t xml:space="preserve">As stated above, the duration of the Dispensation of Law to the Cross indicates that Scofield regards Jesus’ incarnation, life and ministry as belonging to this dispensation.  </w:t>
      </w:r>
      <w:proofErr w:type="gramStart"/>
      <w:r w:rsidRPr="004D10F7">
        <w:t>In his note on Gal. 3:24, Scofield repeats that ‘law, as a method of divine dealing with man, characterized the Dispensation of Law from the giving of the law to the death of Jesus Christ’.</w:t>
      </w:r>
      <w:proofErr w:type="gramEnd"/>
      <w:r w:rsidRPr="004D10F7">
        <w:rPr>
          <w:rStyle w:val="EndnoteReference"/>
        </w:rPr>
        <w:endnoteReference w:id="1330"/>
      </w:r>
      <w:r w:rsidRPr="00A249BB">
        <w:t xml:space="preserve">  In his note on Mt. 6:12, he states, ‘Under law forgiveness is conditioned upon a like spirit in us; under grace we are forgiven for Christ’s sake and exhorted to forgive because we have been forgiven.’</w:t>
      </w:r>
      <w:r w:rsidRPr="00A249BB">
        <w:rPr>
          <w:rStyle w:val="EndnoteReference"/>
        </w:rPr>
        <w:endnoteReference w:id="1331"/>
      </w:r>
      <w:r w:rsidRPr="00A249BB">
        <w:t xml:space="preserve">  Scofield’s reference here to Mt. 18:32 does not support his argument because that, too, as an avowedly Jewish parable concerning the unforgiving servant, also urges those who have been forgiven to forgive</w:t>
      </w:r>
      <w:r w:rsidRPr="004D10F7">
        <w:t>.  In his note on Lk. 11:1</w:t>
      </w:r>
      <w:r w:rsidRPr="00A249BB">
        <w:t>, Scofield reiterates that, ‘dispensationally’, ‘the so-called Lord’s Prayer’ is based upon ‘legal, not church ground’.  He asserts that the Lord’s prayer ‘is not a prayer in the name of Christ</w:t>
      </w:r>
      <w:r w:rsidRPr="00A249BB">
        <w:rPr>
          <w:rStyle w:val="EndnoteReference"/>
        </w:rPr>
        <w:endnoteReference w:id="1332"/>
      </w:r>
      <w:r w:rsidRPr="00A249BB">
        <w:t xml:space="preserve"> and it makes human forgiveness, as under the law it must, the condition of divine forgiveness; an order which grace exactly reverses’.</w:t>
      </w:r>
      <w:r w:rsidRPr="00A249BB">
        <w:rPr>
          <w:rStyle w:val="EndnoteReference"/>
        </w:rPr>
        <w:endnoteReference w:id="1333"/>
      </w:r>
      <w:r w:rsidRPr="00A249BB">
        <w:t xml:space="preserve">  However, he recognises that, in the </w:t>
      </w:r>
      <w:proofErr w:type="gramStart"/>
      <w:r w:rsidRPr="00A249BB">
        <w:t>Lord’s prayer</w:t>
      </w:r>
      <w:proofErr w:type="gramEnd"/>
      <w:r w:rsidRPr="00A249BB">
        <w:t>, Jesus gives a model for all prayer, which is to be grounded in relationship with God.</w:t>
      </w:r>
      <w:r w:rsidRPr="00A249BB">
        <w:rPr>
          <w:rStyle w:val="EndnoteReference"/>
        </w:rPr>
        <w:endnoteReference w:id="1334"/>
      </w:r>
      <w:r w:rsidRPr="00A249BB">
        <w:t xml:space="preserve">  </w:t>
      </w:r>
    </w:p>
    <w:p w:rsidR="00442D33" w:rsidRPr="00A249BB" w:rsidRDefault="00442D33" w:rsidP="00442D33">
      <w:pPr>
        <w:spacing w:after="120" w:line="360" w:lineRule="auto"/>
        <w:ind w:firstLine="426"/>
        <w:jc w:val="both"/>
      </w:pPr>
      <w:r w:rsidRPr="00A249BB">
        <w:t>Scofield states that the Mosaic Covenant contained three interdependent elements – the Commandments, expressing God’s righteous will;</w:t>
      </w:r>
      <w:r w:rsidRPr="00A249BB">
        <w:rPr>
          <w:rStyle w:val="EndnoteReference"/>
        </w:rPr>
        <w:endnoteReference w:id="1335"/>
      </w:r>
      <w:r w:rsidRPr="00A249BB">
        <w:t xml:space="preserve"> the judgments, governing Israel’s social life;</w:t>
      </w:r>
      <w:r w:rsidRPr="00A249BB">
        <w:rPr>
          <w:rStyle w:val="EndnoteReference"/>
        </w:rPr>
        <w:endnoteReference w:id="1336"/>
      </w:r>
      <w:r w:rsidRPr="00A249BB">
        <w:t xml:space="preserve"> and the ordinances governing Israel’s religious life.</w:t>
      </w:r>
      <w:r w:rsidRPr="00A249BB">
        <w:rPr>
          <w:rStyle w:val="EndnoteReference"/>
        </w:rPr>
        <w:endnoteReference w:id="1337"/>
      </w:r>
      <w:r w:rsidRPr="00A249BB">
        <w:t xml:space="preserve">  Together these constituted </w:t>
      </w:r>
      <w:r>
        <w:t xml:space="preserve">‘“the law”, </w:t>
      </w:r>
      <w:r w:rsidRPr="00A249BB">
        <w:t>as that phrase is generically used in the New Testament’.</w:t>
      </w:r>
      <w:r w:rsidRPr="00A249BB">
        <w:rPr>
          <w:rStyle w:val="EndnoteReference"/>
        </w:rPr>
        <w:endnoteReference w:id="1338"/>
      </w:r>
      <w:r w:rsidRPr="00A249BB">
        <w:t xml:space="preserve">  The Commandments and ordinances formed one religious system and the Commandments were ‘a ministry of condemnation and of death.’</w:t>
      </w:r>
      <w:r w:rsidRPr="00A249BB">
        <w:rPr>
          <w:rStyle w:val="EndnoteReference"/>
        </w:rPr>
        <w:endnoteReference w:id="1339"/>
      </w:r>
      <w:r w:rsidRPr="00A249BB">
        <w:t xml:space="preserve">  The ordinances instituted the High Priest as the people’s representative, offering sacrifices for their sins ‘in anticipation of the Cross’.</w:t>
      </w:r>
      <w:r w:rsidRPr="00A249BB">
        <w:rPr>
          <w:rStyle w:val="EndnoteReference"/>
        </w:rPr>
        <w:endnoteReference w:id="1340"/>
      </w:r>
      <w:r w:rsidRPr="00A249BB">
        <w:rPr>
          <w:b/>
          <w:color w:val="000000"/>
        </w:rPr>
        <w:t xml:space="preserve">  </w:t>
      </w:r>
      <w:r w:rsidRPr="00A249BB">
        <w:t>Christians are not subject to ‘the conditional Mosaic Covenant of Works’</w:t>
      </w:r>
      <w:r w:rsidRPr="00A249BB">
        <w:rPr>
          <w:rStyle w:val="EndnoteReference"/>
        </w:rPr>
        <w:endnoteReference w:id="1341"/>
      </w:r>
      <w:r w:rsidRPr="00A249BB">
        <w:t xml:space="preserve">  ‘Christ lived sinlessly under the Mosaic Covenant, and bore for us its curse.’</w:t>
      </w:r>
      <w:r w:rsidRPr="00A249BB">
        <w:rPr>
          <w:rStyle w:val="EndnoteReference"/>
        </w:rPr>
        <w:endnoteReference w:id="1342"/>
      </w:r>
    </w:p>
    <w:p w:rsidR="00442D33" w:rsidRPr="00A249BB" w:rsidRDefault="00442D33" w:rsidP="00442D33">
      <w:pPr>
        <w:tabs>
          <w:tab w:val="left" w:pos="4678"/>
        </w:tabs>
        <w:spacing w:after="120" w:line="360" w:lineRule="auto"/>
        <w:ind w:right="-28"/>
        <w:jc w:val="both"/>
        <w:rPr>
          <w:b/>
          <w:sz w:val="24"/>
          <w:szCs w:val="24"/>
        </w:rPr>
      </w:pPr>
      <w:proofErr w:type="gramStart"/>
      <w:r w:rsidRPr="002537F3">
        <w:rPr>
          <w:b/>
          <w:sz w:val="24"/>
          <w:szCs w:val="24"/>
        </w:rPr>
        <w:t>5.</w:t>
      </w:r>
      <w:r w:rsidR="00234C1D" w:rsidRPr="002537F3">
        <w:rPr>
          <w:b/>
          <w:sz w:val="24"/>
          <w:szCs w:val="24"/>
        </w:rPr>
        <w:t>5</w:t>
      </w:r>
      <w:r w:rsidRPr="002537F3">
        <w:rPr>
          <w:b/>
          <w:sz w:val="24"/>
          <w:szCs w:val="24"/>
        </w:rPr>
        <w:t xml:space="preserve">  </w:t>
      </w:r>
      <w:r w:rsidRPr="00A249BB">
        <w:rPr>
          <w:b/>
          <w:sz w:val="24"/>
          <w:szCs w:val="24"/>
        </w:rPr>
        <w:t>The</w:t>
      </w:r>
      <w:proofErr w:type="gramEnd"/>
      <w:r w:rsidRPr="00A249BB">
        <w:rPr>
          <w:b/>
          <w:sz w:val="24"/>
          <w:szCs w:val="24"/>
        </w:rPr>
        <w:t xml:space="preserve"> Sixth, Seventh and Eighth Covenants</w:t>
      </w:r>
    </w:p>
    <w:p w:rsidR="00442D33" w:rsidRPr="00A249BB" w:rsidRDefault="00442D33" w:rsidP="00442D33">
      <w:pPr>
        <w:tabs>
          <w:tab w:val="left" w:pos="4678"/>
        </w:tabs>
        <w:spacing w:after="120" w:line="360" w:lineRule="auto"/>
        <w:ind w:right="-29"/>
        <w:jc w:val="both"/>
        <w:rPr>
          <w:b/>
        </w:rPr>
      </w:pPr>
      <w:proofErr w:type="gramStart"/>
      <w:r w:rsidRPr="002537F3">
        <w:rPr>
          <w:b/>
        </w:rPr>
        <w:t>5.</w:t>
      </w:r>
      <w:r w:rsidR="00234C1D" w:rsidRPr="002537F3">
        <w:rPr>
          <w:b/>
        </w:rPr>
        <w:t>5</w:t>
      </w:r>
      <w:r w:rsidRPr="002537F3">
        <w:rPr>
          <w:b/>
        </w:rPr>
        <w:t xml:space="preserve">.1  </w:t>
      </w:r>
      <w:r w:rsidRPr="00A249BB">
        <w:rPr>
          <w:b/>
        </w:rPr>
        <w:t>The</w:t>
      </w:r>
      <w:proofErr w:type="gramEnd"/>
      <w:r w:rsidRPr="00A249BB">
        <w:rPr>
          <w:b/>
        </w:rPr>
        <w:t xml:space="preserve"> Sixth Covenant</w:t>
      </w:r>
    </w:p>
    <w:p w:rsidR="00442D33" w:rsidRPr="00123B7B" w:rsidRDefault="00442D33" w:rsidP="00442D33">
      <w:pPr>
        <w:spacing w:after="120" w:line="360" w:lineRule="auto"/>
        <w:jc w:val="both"/>
      </w:pPr>
      <w:r w:rsidRPr="00123B7B">
        <w:t>Although Scofield repeatedly lists Deut. 30:3 as his reference for the so-called Palestinian Covenant,</w:t>
      </w:r>
      <w:r w:rsidRPr="00123B7B">
        <w:rPr>
          <w:rStyle w:val="EndnoteReference"/>
        </w:rPr>
        <w:endnoteReference w:id="1343"/>
      </w:r>
      <w:r w:rsidRPr="00123B7B">
        <w:t xml:space="preserve"> he introduces the concept much earlier, in his note on Gen. 25:1, where he refers to Keturah as possibly representing ‘the fertility of I Jer. 25:29, p. 799; Israel, the natural seed, Jehovah’s wife</w:t>
      </w:r>
      <w:r w:rsidRPr="00123B7B">
        <w:rPr>
          <w:rStyle w:val="EndnoteReference"/>
        </w:rPr>
        <w:endnoteReference w:id="1344"/>
      </w:r>
      <w:r w:rsidRPr="00123B7B">
        <w:t xml:space="preserve"> after the future </w:t>
      </w:r>
      <w:r w:rsidRPr="00337CC0">
        <w:rPr>
          <w:spacing w:val="-2"/>
        </w:rPr>
        <w:t>national restoration under the Palestinian Covenant’.</w:t>
      </w:r>
      <w:r w:rsidRPr="00337CC0">
        <w:rPr>
          <w:rStyle w:val="EndnoteReference"/>
          <w:spacing w:val="-2"/>
        </w:rPr>
        <w:endnoteReference w:id="1345"/>
      </w:r>
      <w:r w:rsidRPr="00337CC0">
        <w:rPr>
          <w:spacing w:val="-2"/>
        </w:rPr>
        <w:t xml:space="preserve">  A note on Deut. 28:1 states that ‘Chapters 28 </w:t>
      </w:r>
      <w:r w:rsidRPr="00337CC0">
        <w:rPr>
          <w:spacing w:val="-2"/>
          <w:sz w:val="16"/>
          <w:szCs w:val="24"/>
        </w:rPr>
        <w:t>—</w:t>
      </w:r>
      <w:r>
        <w:rPr>
          <w:sz w:val="16"/>
          <w:szCs w:val="24"/>
        </w:rPr>
        <w:t xml:space="preserve"> </w:t>
      </w:r>
      <w:r w:rsidRPr="00123B7B">
        <w:t>29 are, properly, an integral part of the Palestinian Covenant’</w:t>
      </w:r>
      <w:r w:rsidRPr="00123B7B">
        <w:rPr>
          <w:rStyle w:val="EndnoteReference"/>
        </w:rPr>
        <w:endnoteReference w:id="1346"/>
      </w:r>
      <w:r w:rsidRPr="00123B7B">
        <w:t xml:space="preserve"> and a subhead to Deut. 29:1 introduces it.</w:t>
      </w:r>
      <w:r w:rsidRPr="00123B7B">
        <w:rPr>
          <w:rStyle w:val="EndnoteReference"/>
        </w:rPr>
        <w:endnoteReference w:id="1347"/>
      </w:r>
      <w:r w:rsidRPr="00123B7B">
        <w:t xml:space="preserve">  </w:t>
      </w:r>
      <w:proofErr w:type="gramStart"/>
      <w:r w:rsidRPr="00123B7B">
        <w:t>This sixth covenant ‘gives the conditions under which Israel entered the land of promise’,</w:t>
      </w:r>
      <w:r w:rsidRPr="00123B7B">
        <w:rPr>
          <w:rStyle w:val="EndnoteReference"/>
        </w:rPr>
        <w:endnoteReference w:id="1348"/>
      </w:r>
      <w:r w:rsidRPr="00123B7B">
        <w:t xml:space="preserve"> which was ‘under Joshua’.</w:t>
      </w:r>
      <w:proofErr w:type="gramEnd"/>
      <w:r w:rsidRPr="00123B7B">
        <w:rPr>
          <w:rStyle w:val="EndnoteReference"/>
        </w:rPr>
        <w:endnoteReference w:id="1349"/>
      </w:r>
      <w:r w:rsidRPr="00123B7B">
        <w:t xml:space="preserve">  Scofield states that it is the covenant under which ‘Christ lived obediently as a Jew in the land’ and it will ‘yet perform its gracious promises’, including ‘the final restoration and conversion of Israel’.</w:t>
      </w:r>
      <w:r w:rsidRPr="00123B7B">
        <w:rPr>
          <w:rStyle w:val="EndnoteReference"/>
        </w:rPr>
        <w:endnoteReference w:id="1350"/>
      </w:r>
      <w:r w:rsidRPr="00123B7B">
        <w:t xml:space="preserve">  This makes a connection with the second coming of Christ and the establishment of the millennial kingdom.  In his note on Lev. 23:27, Scofield states that Israel’s sorrow and repentance here </w:t>
      </w:r>
      <w:r w:rsidRPr="00123B7B">
        <w:lastRenderedPageBreak/>
        <w:t xml:space="preserve">‘look forward prophetically to [her] repentance after her regathering </w:t>
      </w:r>
      <w:r w:rsidRPr="00123B7B">
        <w:rPr>
          <w:i/>
        </w:rPr>
        <w:t>under the Palestinian Covenant</w:t>
      </w:r>
      <w:r w:rsidRPr="00123B7B">
        <w:t>’.</w:t>
      </w:r>
      <w:r w:rsidRPr="00123B7B">
        <w:rPr>
          <w:rStyle w:val="EndnoteReference"/>
        </w:rPr>
        <w:endnoteReference w:id="1351"/>
      </w:r>
      <w:r w:rsidRPr="00123B7B">
        <w:t xml:space="preserve">  The name, ‘Palestinian Covenant’, is repeated in the note on the chapter-heading of Leviticus 26, which states that ‘this chapter should be read in conjunction with Deuteronomy 28</w:t>
      </w:r>
      <w:r>
        <w:t xml:space="preserve"> </w:t>
      </w:r>
      <w:r w:rsidRPr="00012B96">
        <w:rPr>
          <w:sz w:val="16"/>
          <w:szCs w:val="24"/>
        </w:rPr>
        <w:t>—</w:t>
      </w:r>
      <w:r>
        <w:rPr>
          <w:sz w:val="16"/>
          <w:szCs w:val="24"/>
        </w:rPr>
        <w:t xml:space="preserve"> </w:t>
      </w:r>
      <w:r w:rsidRPr="00123B7B">
        <w:t>30, ‘the Palestinian Covenant’.</w:t>
      </w:r>
      <w:r w:rsidRPr="00123B7B">
        <w:rPr>
          <w:rStyle w:val="EndnoteReference"/>
        </w:rPr>
        <w:endnoteReference w:id="1352"/>
      </w:r>
      <w:r w:rsidRPr="00123B7B">
        <w:t xml:space="preserve">  </w:t>
      </w:r>
      <w:r w:rsidRPr="00123B7B">
        <w:rPr>
          <w:i/>
        </w:rPr>
        <w:t>SRB</w:t>
      </w:r>
      <w:r w:rsidRPr="00123B7B">
        <w:t xml:space="preserve"> also mentions regathering under the Palestinian Covenant </w:t>
      </w:r>
      <w:r>
        <w:t xml:space="preserve">in </w:t>
      </w:r>
      <w:r w:rsidRPr="00123B7B">
        <w:t>its introduction to the historical books.</w:t>
      </w:r>
      <w:r w:rsidRPr="00123B7B">
        <w:rPr>
          <w:rStyle w:val="EndnoteReference"/>
        </w:rPr>
        <w:endnoteReference w:id="1353"/>
      </w:r>
    </w:p>
    <w:p w:rsidR="00442D33" w:rsidRPr="00A249BB" w:rsidRDefault="00442D33" w:rsidP="00442D33">
      <w:pPr>
        <w:pStyle w:val="FootnoteText"/>
        <w:spacing w:after="120" w:line="360" w:lineRule="auto"/>
        <w:ind w:firstLine="425"/>
        <w:jc w:val="both"/>
        <w:rPr>
          <w:rFonts w:ascii="Perpetua" w:hAnsi="Perpetua"/>
          <w:sz w:val="22"/>
          <w:szCs w:val="22"/>
        </w:rPr>
      </w:pPr>
      <w:r w:rsidRPr="00A249BB">
        <w:rPr>
          <w:rFonts w:ascii="Perpetua" w:hAnsi="Perpetua"/>
          <w:sz w:val="22"/>
          <w:szCs w:val="22"/>
        </w:rPr>
        <w:t>The introduction to Deuteronomy and commentary on Deuteronomy 30 describe the terms of the conditional Palestinian Covenant.  Disobedience would result in dispersion, but repentance would lead to restoration to the land, national conversion and prosperity, along with the judgment of Israel’s oppressors.</w:t>
      </w:r>
      <w:r w:rsidRPr="00A249BB">
        <w:rPr>
          <w:rStyle w:val="EndnoteReference"/>
          <w:rFonts w:ascii="Perpetua" w:hAnsi="Perpetua"/>
          <w:sz w:val="22"/>
          <w:szCs w:val="22"/>
        </w:rPr>
        <w:endnoteReference w:id="1354"/>
      </w:r>
      <w:r w:rsidRPr="00A249BB">
        <w:rPr>
          <w:rFonts w:ascii="Perpetua" w:hAnsi="Perpetua"/>
          <w:sz w:val="22"/>
          <w:szCs w:val="22"/>
        </w:rPr>
        <w:t xml:space="preserve">  This covenant ‘unconditionally promises a national restoration of Israel which is yet to be fulfilled’.</w:t>
      </w:r>
      <w:r w:rsidRPr="00A249BB">
        <w:rPr>
          <w:rStyle w:val="EndnoteReference"/>
          <w:rFonts w:ascii="Perpetua" w:hAnsi="Perpetua"/>
          <w:sz w:val="22"/>
          <w:szCs w:val="22"/>
        </w:rPr>
        <w:endnoteReference w:id="1355"/>
      </w:r>
      <w:r w:rsidRPr="00A249BB">
        <w:rPr>
          <w:rFonts w:ascii="Perpetua" w:hAnsi="Perpetua"/>
          <w:sz w:val="22"/>
          <w:szCs w:val="22"/>
        </w:rPr>
        <w:t xml:space="preserve">  Scofield states that the Palestinian Covenant is in seven parts, beginning with dispersal and ending with national prosperity: ‘dispersion for disobedience’,</w:t>
      </w:r>
      <w:r w:rsidRPr="00A249BB">
        <w:rPr>
          <w:rStyle w:val="EndnoteReference"/>
          <w:rFonts w:ascii="Perpetua" w:hAnsi="Perpetua"/>
          <w:sz w:val="22"/>
          <w:szCs w:val="22"/>
        </w:rPr>
        <w:endnoteReference w:id="1356"/>
      </w:r>
      <w:r w:rsidRPr="00A249BB">
        <w:rPr>
          <w:rFonts w:ascii="Perpetua" w:hAnsi="Perpetua"/>
          <w:sz w:val="22"/>
          <w:szCs w:val="22"/>
        </w:rPr>
        <w:t xml:space="preserve"> Israel’s future repentance in dispersion,</w:t>
      </w:r>
      <w:r w:rsidRPr="00A249BB">
        <w:rPr>
          <w:rStyle w:val="EndnoteReference"/>
          <w:rFonts w:ascii="Perpetua" w:hAnsi="Perpetua"/>
          <w:sz w:val="22"/>
          <w:szCs w:val="22"/>
        </w:rPr>
        <w:endnoteReference w:id="1357"/>
      </w:r>
      <w:r w:rsidRPr="00A249BB">
        <w:rPr>
          <w:rFonts w:ascii="Perpetua" w:hAnsi="Perpetua"/>
          <w:sz w:val="22"/>
          <w:szCs w:val="22"/>
        </w:rPr>
        <w:t xml:space="preserve"> the Lord’s return,</w:t>
      </w:r>
      <w:r w:rsidRPr="00A249BB">
        <w:rPr>
          <w:rStyle w:val="EndnoteReference"/>
          <w:rFonts w:ascii="Perpetua" w:hAnsi="Perpetua"/>
          <w:sz w:val="22"/>
          <w:szCs w:val="22"/>
        </w:rPr>
        <w:endnoteReference w:id="1358"/>
      </w:r>
      <w:r w:rsidRPr="00A249BB">
        <w:rPr>
          <w:rFonts w:ascii="Perpetua" w:hAnsi="Perpetua"/>
          <w:sz w:val="22"/>
          <w:szCs w:val="22"/>
        </w:rPr>
        <w:t xml:space="preserve"> restoration to the land,</w:t>
      </w:r>
      <w:r w:rsidRPr="00A249BB">
        <w:rPr>
          <w:rStyle w:val="EndnoteReference"/>
          <w:rFonts w:ascii="Perpetua" w:hAnsi="Perpetua"/>
          <w:sz w:val="22"/>
          <w:szCs w:val="22"/>
        </w:rPr>
        <w:endnoteReference w:id="1359"/>
      </w:r>
      <w:r w:rsidRPr="00A249BB">
        <w:rPr>
          <w:rFonts w:ascii="Perpetua" w:hAnsi="Perpetua"/>
          <w:sz w:val="22"/>
          <w:szCs w:val="22"/>
        </w:rPr>
        <w:t xml:space="preserve"> national conversion,</w:t>
      </w:r>
      <w:r w:rsidRPr="00A249BB">
        <w:rPr>
          <w:rStyle w:val="EndnoteReference"/>
          <w:rFonts w:ascii="Perpetua" w:hAnsi="Perpetua"/>
          <w:sz w:val="22"/>
          <w:szCs w:val="22"/>
        </w:rPr>
        <w:endnoteReference w:id="1360"/>
      </w:r>
      <w:r w:rsidRPr="00A249BB">
        <w:rPr>
          <w:rFonts w:ascii="Perpetua" w:hAnsi="Perpetua"/>
          <w:sz w:val="22"/>
          <w:szCs w:val="22"/>
        </w:rPr>
        <w:t xml:space="preserve"> the judgment of Israel’s oppressors,</w:t>
      </w:r>
      <w:r w:rsidRPr="00A249BB">
        <w:rPr>
          <w:rStyle w:val="EndnoteReference"/>
          <w:rFonts w:ascii="Perpetua" w:hAnsi="Perpetua"/>
          <w:sz w:val="22"/>
          <w:szCs w:val="22"/>
        </w:rPr>
        <w:endnoteReference w:id="1361"/>
      </w:r>
      <w:r w:rsidRPr="00A249BB">
        <w:rPr>
          <w:rFonts w:ascii="Perpetua" w:hAnsi="Perpetua"/>
          <w:sz w:val="22"/>
          <w:szCs w:val="22"/>
        </w:rPr>
        <w:t xml:space="preserve"> and national prosperity.</w:t>
      </w:r>
      <w:r w:rsidRPr="00A249BB">
        <w:rPr>
          <w:rStyle w:val="EndnoteReference"/>
          <w:rFonts w:ascii="Perpetua" w:hAnsi="Perpetua"/>
          <w:sz w:val="22"/>
          <w:szCs w:val="22"/>
        </w:rPr>
        <w:endnoteReference w:id="1362"/>
      </w:r>
      <w:r w:rsidRPr="00A249BB">
        <w:rPr>
          <w:rFonts w:ascii="Perpetua" w:hAnsi="Perpetua"/>
          <w:sz w:val="22"/>
          <w:szCs w:val="22"/>
        </w:rPr>
        <w:t xml:space="preserve">  Warnings in Jeremiah 11 are attributed to violations of the Palestinian Covenant</w:t>
      </w:r>
      <w:r w:rsidRPr="00A249BB">
        <w:rPr>
          <w:rStyle w:val="EndnoteReference"/>
          <w:rFonts w:ascii="Perpetua" w:hAnsi="Perpetua"/>
          <w:sz w:val="22"/>
          <w:szCs w:val="22"/>
        </w:rPr>
        <w:endnoteReference w:id="1363"/>
      </w:r>
      <w:r w:rsidRPr="00A249BB">
        <w:rPr>
          <w:rFonts w:ascii="Perpetua" w:hAnsi="Perpetua"/>
          <w:sz w:val="22"/>
          <w:szCs w:val="22"/>
        </w:rPr>
        <w:t xml:space="preserve"> and drought, already partly fulfilled in the reign of Ahab, is said to be one of the signs predicted in it.</w:t>
      </w:r>
      <w:r w:rsidRPr="00A249BB">
        <w:rPr>
          <w:rStyle w:val="EndnoteReference"/>
          <w:rFonts w:ascii="Perpetua" w:hAnsi="Perpetua"/>
          <w:sz w:val="22"/>
          <w:szCs w:val="22"/>
        </w:rPr>
        <w:endnoteReference w:id="1364"/>
      </w:r>
      <w:r w:rsidRPr="00A249BB">
        <w:rPr>
          <w:rFonts w:ascii="Perpetua" w:hAnsi="Perpetua"/>
          <w:sz w:val="22"/>
          <w:szCs w:val="22"/>
        </w:rPr>
        <w:t xml:space="preserve">  Scofield avers that the ten tribes have never been restored to </w:t>
      </w:r>
      <w:r w:rsidRPr="00A249BB">
        <w:rPr>
          <w:rFonts w:ascii="Perpetua" w:hAnsi="Perpetua"/>
          <w:i/>
          <w:sz w:val="22"/>
          <w:szCs w:val="22"/>
        </w:rPr>
        <w:t>Palestine</w:t>
      </w:r>
      <w:r w:rsidRPr="00A249BB">
        <w:rPr>
          <w:rFonts w:ascii="Perpetua" w:hAnsi="Perpetua"/>
          <w:sz w:val="22"/>
          <w:szCs w:val="22"/>
        </w:rPr>
        <w:t xml:space="preserve"> after the Assyrian captivity and refers to the note on the Palestinian Covenant.</w:t>
      </w:r>
      <w:r w:rsidRPr="00A249BB">
        <w:rPr>
          <w:rStyle w:val="EndnoteReference"/>
          <w:rFonts w:ascii="Perpetua" w:hAnsi="Perpetua"/>
          <w:sz w:val="22"/>
          <w:szCs w:val="22"/>
        </w:rPr>
        <w:endnoteReference w:id="1365"/>
      </w:r>
      <w:r w:rsidRPr="00A249BB">
        <w:rPr>
          <w:rFonts w:ascii="Perpetua" w:hAnsi="Perpetua"/>
          <w:sz w:val="22"/>
          <w:szCs w:val="22"/>
        </w:rPr>
        <w:t xml:space="preserve">  However, they will eventually be restored to Palestine along with Judah to form one nation again.</w:t>
      </w:r>
      <w:r w:rsidRPr="00A249BB">
        <w:rPr>
          <w:rStyle w:val="EndnoteReference"/>
          <w:rFonts w:ascii="Perpetua" w:hAnsi="Perpetua"/>
          <w:sz w:val="22"/>
          <w:szCs w:val="22"/>
        </w:rPr>
        <w:endnoteReference w:id="1366"/>
      </w:r>
      <w:r w:rsidRPr="00A249BB">
        <w:rPr>
          <w:rFonts w:ascii="Perpetua" w:hAnsi="Perpetua"/>
          <w:sz w:val="22"/>
          <w:szCs w:val="22"/>
        </w:rPr>
        <w:t xml:space="preserve">  Scofield also states that the </w:t>
      </w:r>
      <w:r w:rsidRPr="00A249BB">
        <w:rPr>
          <w:rFonts w:ascii="Perpetua" w:hAnsi="Perpetua"/>
          <w:i/>
          <w:sz w:val="22"/>
          <w:szCs w:val="22"/>
        </w:rPr>
        <w:t>Palestinian</w:t>
      </w:r>
      <w:r w:rsidRPr="00A249BB">
        <w:rPr>
          <w:rFonts w:ascii="Perpetua" w:hAnsi="Perpetua"/>
          <w:sz w:val="22"/>
          <w:szCs w:val="22"/>
        </w:rPr>
        <w:t xml:space="preserve"> Jews were dispersed in AD 70.</w:t>
      </w:r>
      <w:r w:rsidRPr="00A249BB">
        <w:rPr>
          <w:rStyle w:val="EndnoteReference"/>
          <w:rFonts w:ascii="Perpetua" w:hAnsi="Perpetua"/>
          <w:sz w:val="22"/>
          <w:szCs w:val="22"/>
        </w:rPr>
        <w:endnoteReference w:id="1367"/>
      </w:r>
      <w:r w:rsidRPr="00A249BB">
        <w:rPr>
          <w:rFonts w:ascii="Perpetua" w:hAnsi="Perpetua"/>
          <w:sz w:val="22"/>
          <w:szCs w:val="22"/>
        </w:rPr>
        <w:t xml:space="preserve">  However, the Palestinian Covenant’s promise of future restoration and exaltation for Israel is renewed by Jehovah in Isa. 1:2.</w:t>
      </w:r>
      <w:r w:rsidRPr="00A249BB">
        <w:rPr>
          <w:rStyle w:val="EndnoteReference"/>
          <w:rFonts w:ascii="Perpetua" w:hAnsi="Perpetua"/>
          <w:sz w:val="22"/>
          <w:szCs w:val="22"/>
        </w:rPr>
        <w:endnoteReference w:id="1368"/>
      </w:r>
      <w:r w:rsidRPr="00A249BB">
        <w:rPr>
          <w:rFonts w:ascii="Perpetua" w:hAnsi="Perpetua"/>
          <w:sz w:val="22"/>
          <w:szCs w:val="22"/>
        </w:rPr>
        <w:t xml:space="preserve">  The use </w:t>
      </w:r>
      <w:r>
        <w:rPr>
          <w:rFonts w:ascii="Perpetua" w:hAnsi="Perpetua"/>
          <w:sz w:val="22"/>
          <w:szCs w:val="22"/>
        </w:rPr>
        <w:t>of the adjective, ‘Palestinian’</w:t>
      </w:r>
      <w:r w:rsidRPr="00A249BB">
        <w:rPr>
          <w:rFonts w:ascii="Perpetua" w:hAnsi="Perpetua"/>
          <w:sz w:val="22"/>
          <w:szCs w:val="22"/>
        </w:rPr>
        <w:t xml:space="preserve"> is unusual, even though the area was known as Syria-Palaestina in 70 CE.  The future blessing of Israel depends upon the Palestinian and Davidic Covenants.</w:t>
      </w:r>
      <w:r w:rsidRPr="00A249BB">
        <w:rPr>
          <w:rStyle w:val="EndnoteReference"/>
          <w:rFonts w:ascii="Perpetua" w:hAnsi="Perpetua"/>
          <w:sz w:val="22"/>
          <w:szCs w:val="22"/>
        </w:rPr>
        <w:endnoteReference w:id="1369"/>
      </w:r>
      <w:r w:rsidRPr="00A249BB">
        <w:rPr>
          <w:rFonts w:ascii="Perpetua" w:hAnsi="Perpetua"/>
          <w:sz w:val="22"/>
          <w:szCs w:val="22"/>
        </w:rPr>
        <w:t xml:space="preserve">  The expulsion of Israel from the land ‘does not set aside’ these Covenants.</w:t>
      </w:r>
      <w:r w:rsidRPr="00A249BB">
        <w:rPr>
          <w:rStyle w:val="EndnoteReference"/>
          <w:rFonts w:ascii="Perpetua" w:hAnsi="Perpetua"/>
          <w:sz w:val="22"/>
          <w:szCs w:val="22"/>
        </w:rPr>
        <w:endnoteReference w:id="1370"/>
      </w:r>
      <w:r w:rsidRPr="00A249BB">
        <w:rPr>
          <w:rFonts w:ascii="Perpetua" w:hAnsi="Perpetua"/>
          <w:sz w:val="22"/>
          <w:szCs w:val="22"/>
        </w:rPr>
        <w:t xml:space="preserve">  </w:t>
      </w:r>
    </w:p>
    <w:p w:rsidR="00442D33" w:rsidRPr="00A249BB" w:rsidRDefault="00442D33" w:rsidP="00442D33">
      <w:pPr>
        <w:autoSpaceDE w:val="0"/>
        <w:autoSpaceDN w:val="0"/>
        <w:adjustRightInd w:val="0"/>
        <w:spacing w:after="120" w:line="360" w:lineRule="auto"/>
        <w:ind w:firstLine="499"/>
        <w:jc w:val="both"/>
        <w:rPr>
          <w:i/>
        </w:rPr>
      </w:pPr>
      <w:r w:rsidRPr="00A249BB">
        <w:t xml:space="preserve">No covenant is mentioned in Deuteronomy 30.  Deuteronomy 29:1 does mention a covenant in addition to the one made at Horeb, but this is not named, and Deut. 29:19-28 delineate threatened consequences of disobedience.  Scofield ignores these threats and elaborates on the promises of restoration in Deuteronomy 30, making a brief reference to dispersion for disobedience and minimising the conditions upon which any restoration can be based.  The </w:t>
      </w:r>
      <w:r w:rsidRPr="00A249BB">
        <w:rPr>
          <w:i/>
        </w:rPr>
        <w:t>NRSV</w:t>
      </w:r>
      <w:r w:rsidRPr="00A249BB">
        <w:t xml:space="preserve"> note refers to the covenant mentioned in Deut. 29:1 as ‘the Renewal of the Covenant in Moab’.  This is ‘said to be what was given at Moab, and in addition to the law as it was given at Horeb.  It actually represents an expansion of the legal tradition after the exile to account for the sufferings and despair of that experience.’</w:t>
      </w:r>
      <w:r w:rsidRPr="00A249BB">
        <w:rPr>
          <w:rStyle w:val="EndnoteReference"/>
        </w:rPr>
        <w:endnoteReference w:id="1371"/>
      </w:r>
    </w:p>
    <w:p w:rsidR="00442D33" w:rsidRPr="002537F3" w:rsidRDefault="002537F3" w:rsidP="00442D33">
      <w:pPr>
        <w:rPr>
          <w:b/>
          <w:i/>
        </w:rPr>
      </w:pPr>
      <w:r w:rsidRPr="002537F3">
        <w:rPr>
          <w:b/>
          <w:i/>
        </w:rPr>
        <w:t xml:space="preserve">Continued overleaf </w:t>
      </w:r>
      <w:r w:rsidR="00442D33" w:rsidRPr="002537F3">
        <w:rPr>
          <w:b/>
          <w:i/>
        </w:rPr>
        <w:br w:type="page"/>
      </w:r>
    </w:p>
    <w:p w:rsidR="00442D33" w:rsidRDefault="00D2087D" w:rsidP="00442D33">
      <w:r>
        <w:rPr>
          <w:noProof/>
          <w:lang w:eastAsia="en-GB"/>
        </w:rPr>
        <w:lastRenderedPageBreak/>
        <w:drawing>
          <wp:inline distT="0" distB="0" distL="0" distR="0">
            <wp:extent cx="8397240" cy="5447746"/>
            <wp:effectExtent l="7937"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stine table 15.12.17 crop 25.6.18.jpg"/>
                    <pic:cNvPicPr/>
                  </pic:nvPicPr>
                  <pic:blipFill>
                    <a:blip r:embed="rId111">
                      <a:extLst>
                        <a:ext uri="{28A0092B-C50C-407E-A947-70E740481C1C}">
                          <a14:useLocalDpi xmlns:a14="http://schemas.microsoft.com/office/drawing/2010/main" val="0"/>
                        </a:ext>
                      </a:extLst>
                    </a:blip>
                    <a:stretch>
                      <a:fillRect/>
                    </a:stretch>
                  </pic:blipFill>
                  <pic:spPr>
                    <a:xfrm rot="16200000">
                      <a:off x="0" y="0"/>
                      <a:ext cx="8399555" cy="5449248"/>
                    </a:xfrm>
                    <a:prstGeom prst="rect">
                      <a:avLst/>
                    </a:prstGeom>
                  </pic:spPr>
                </pic:pic>
              </a:graphicData>
            </a:graphic>
          </wp:inline>
        </w:drawing>
      </w:r>
      <w:r w:rsidR="00442D33">
        <w:br w:type="page"/>
      </w:r>
    </w:p>
    <w:p w:rsidR="00442D33" w:rsidRDefault="00442D33" w:rsidP="00442D33">
      <w:r>
        <w:rPr>
          <w:noProof/>
          <w:lang w:eastAsia="en-GB"/>
        </w:rPr>
        <w:lastRenderedPageBreak/>
        <w:drawing>
          <wp:inline distT="0" distB="0" distL="0" distR="0" wp14:anchorId="6E87A412" wp14:editId="64AE34FC">
            <wp:extent cx="8200969" cy="4938519"/>
            <wp:effectExtent l="0" t="7303" r="2858" b="2857"/>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stine table Page 2 15.12.17 crop.jpg"/>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8199905" cy="4937878"/>
                    </a:xfrm>
                    <a:prstGeom prst="rect">
                      <a:avLst/>
                    </a:prstGeom>
                  </pic:spPr>
                </pic:pic>
              </a:graphicData>
            </a:graphic>
          </wp:inline>
        </w:drawing>
      </w:r>
      <w:r>
        <w:br w:type="page"/>
      </w:r>
    </w:p>
    <w:p w:rsidR="00D2087D" w:rsidRDefault="00D2087D" w:rsidP="00D2087D">
      <w:pPr>
        <w:autoSpaceDE w:val="0"/>
        <w:autoSpaceDN w:val="0"/>
        <w:adjustRightInd w:val="0"/>
        <w:spacing w:after="120" w:line="360" w:lineRule="auto"/>
        <w:ind w:firstLine="499"/>
        <w:jc w:val="both"/>
      </w:pPr>
      <w:r w:rsidRPr="00A249BB">
        <w:lastRenderedPageBreak/>
        <w:t>The term, ‘Palestinian’, is misleading.  No place-name is mentioned in Deuteronomy 30; all references are to ‘the land’.</w:t>
      </w:r>
      <w:r w:rsidRPr="00A249BB">
        <w:rPr>
          <w:rStyle w:val="EndnoteReference"/>
        </w:rPr>
        <w:endnoteReference w:id="1372"/>
      </w:r>
      <w:r w:rsidRPr="00A249BB">
        <w:t xml:space="preserve">  The adjective, ‘Palestinian’, does not appear in </w:t>
      </w:r>
      <w:r w:rsidRPr="00A249BB">
        <w:rPr>
          <w:i/>
        </w:rPr>
        <w:t>KJV</w:t>
      </w:r>
      <w:r w:rsidRPr="00A249BB">
        <w:t xml:space="preserve">, which Scofield annotated, or in English translations like </w:t>
      </w:r>
      <w:r w:rsidRPr="00A249BB">
        <w:rPr>
          <w:i/>
        </w:rPr>
        <w:t>NRSV,</w:t>
      </w:r>
      <w:r w:rsidRPr="00A249BB">
        <w:t xml:space="preserve"> </w:t>
      </w:r>
      <w:r w:rsidRPr="00A249BB">
        <w:rPr>
          <w:i/>
        </w:rPr>
        <w:t>NIV,</w:t>
      </w:r>
      <w:r w:rsidRPr="00A249BB">
        <w:t xml:space="preserve"> and others,</w:t>
      </w:r>
      <w:r w:rsidRPr="00A249BB">
        <w:rPr>
          <w:rStyle w:val="FootnoteReference"/>
        </w:rPr>
        <w:footnoteReference w:id="69"/>
      </w:r>
      <w:r w:rsidRPr="00A249BB">
        <w:t xml:space="preserve"> whereas ‘Philistine’ is common.  </w:t>
      </w:r>
      <w:proofErr w:type="gramStart"/>
      <w:r w:rsidRPr="00A249BB">
        <w:rPr>
          <w:rFonts w:ascii="Bwhebb" w:hAnsi="Bwhebb" w:cs="Bwhebb"/>
          <w:sz w:val="36"/>
          <w:szCs w:val="36"/>
          <w:lang w:bidi="he-IL"/>
        </w:rPr>
        <w:t>tv,</w:t>
      </w:r>
      <w:proofErr w:type="gramEnd"/>
      <w:r w:rsidRPr="00A249BB">
        <w:rPr>
          <w:rFonts w:ascii="Bwhebb" w:hAnsi="Bwhebb" w:cs="Bwhebb"/>
          <w:sz w:val="36"/>
          <w:szCs w:val="36"/>
          <w:lang w:bidi="he-IL"/>
        </w:rPr>
        <w:t>l,P.</w:t>
      </w:r>
      <w:r w:rsidRPr="00A249BB">
        <w:rPr>
          <w:sz w:val="24"/>
          <w:szCs w:val="24"/>
        </w:rPr>
        <w:t xml:space="preserve"> </w:t>
      </w:r>
      <w:r w:rsidRPr="00A249BB">
        <w:t>in varied forms occurs in the Masoretic text.  The table below shows the eight incidences of it as a place-name in verses of the Hebrew Bible,</w:t>
      </w:r>
      <w:r w:rsidRPr="00A249BB">
        <w:rPr>
          <w:rStyle w:val="FootnoteReference"/>
        </w:rPr>
        <w:footnoteReference w:id="70"/>
      </w:r>
      <w:r w:rsidRPr="00A249BB">
        <w:t xml:space="preserve"> with the </w:t>
      </w:r>
      <w:r w:rsidRPr="00A249BB">
        <w:rPr>
          <w:i/>
        </w:rPr>
        <w:t>LXX</w:t>
      </w:r>
      <w:r w:rsidRPr="00A249BB">
        <w:t xml:space="preserve"> and Vulgate equivalents, and five English, </w:t>
      </w:r>
      <w:proofErr w:type="gramStart"/>
      <w:r w:rsidRPr="00A249BB">
        <w:t>one French</w:t>
      </w:r>
      <w:proofErr w:type="gramEnd"/>
      <w:r w:rsidRPr="00A249BB">
        <w:t xml:space="preserve"> and two German translations of the name.</w:t>
      </w:r>
      <w:r w:rsidRPr="00A249BB">
        <w:rPr>
          <w:rStyle w:val="EndnoteReference"/>
        </w:rPr>
        <w:endnoteReference w:id="1373"/>
      </w:r>
      <w:r w:rsidRPr="00600D80">
        <w:t xml:space="preserve">  </w:t>
      </w:r>
    </w:p>
    <w:p w:rsidR="00442D33" w:rsidRPr="00600D80" w:rsidRDefault="00442D33" w:rsidP="00D2087D">
      <w:pPr>
        <w:autoSpaceDE w:val="0"/>
        <w:autoSpaceDN w:val="0"/>
        <w:adjustRightInd w:val="0"/>
        <w:spacing w:after="120" w:line="360" w:lineRule="auto"/>
        <w:ind w:firstLine="567"/>
        <w:jc w:val="both"/>
      </w:pPr>
      <w:r w:rsidRPr="00600D80">
        <w:t xml:space="preserve">In these </w:t>
      </w:r>
      <w:r>
        <w:t xml:space="preserve">eight </w:t>
      </w:r>
      <w:r w:rsidRPr="00600D80">
        <w:t>verses,</w:t>
      </w:r>
      <w:r w:rsidRPr="00F9241C">
        <w:rPr>
          <w:rFonts w:ascii="Times New Roman" w:hAnsi="Times New Roman"/>
        </w:rPr>
        <w:t xml:space="preserve"> </w:t>
      </w:r>
      <w:r w:rsidRPr="00F9241C">
        <w:rPr>
          <w:rFonts w:ascii="Bwhebb" w:hAnsi="Bwhebb" w:cs="Bwhebb"/>
          <w:sz w:val="36"/>
          <w:szCs w:val="36"/>
          <w:lang w:bidi="he-IL"/>
        </w:rPr>
        <w:t>tv</w:t>
      </w:r>
      <w:proofErr w:type="gramStart"/>
      <w:r w:rsidRPr="00F9241C">
        <w:rPr>
          <w:rFonts w:ascii="Bwhebb" w:hAnsi="Bwhebb" w:cs="Bwhebb"/>
          <w:sz w:val="36"/>
          <w:szCs w:val="36"/>
          <w:lang w:bidi="he-IL"/>
        </w:rPr>
        <w:t>,l,P</w:t>
      </w:r>
      <w:proofErr w:type="gramEnd"/>
      <w:r w:rsidRPr="00600D80">
        <w:t xml:space="preserve"> is rendered in </w:t>
      </w:r>
      <w:r w:rsidRPr="00600D80">
        <w:rPr>
          <w:i/>
        </w:rPr>
        <w:t>LXX</w:t>
      </w:r>
      <w:r w:rsidRPr="00600D80">
        <w:t xml:space="preserve"> as</w:t>
      </w:r>
      <w:r w:rsidRPr="00F9241C">
        <w:rPr>
          <w:sz w:val="24"/>
          <w:szCs w:val="24"/>
        </w:rPr>
        <w:t xml:space="preserve"> </w:t>
      </w:r>
      <w:r w:rsidRPr="003A11CA">
        <w:rPr>
          <w:rFonts w:ascii="Bwgrkl" w:hAnsi="Bwgrkl" w:cs="Bwgrkl"/>
          <w:szCs w:val="24"/>
          <w:lang w:bidi="he-IL"/>
        </w:rPr>
        <w:t>Fulistiim</w:t>
      </w:r>
      <w:r w:rsidRPr="003A11CA">
        <w:rPr>
          <w:sz w:val="20"/>
        </w:rPr>
        <w:t xml:space="preserve"> </w:t>
      </w:r>
      <w:r w:rsidRPr="00600D80">
        <w:t>once,</w:t>
      </w:r>
      <w:r w:rsidRPr="00600D80">
        <w:rPr>
          <w:rStyle w:val="FootnoteReference"/>
        </w:rPr>
        <w:footnoteReference w:id="71"/>
      </w:r>
      <w:r w:rsidRPr="00600D80">
        <w:t xml:space="preserve"> as</w:t>
      </w:r>
      <w:r w:rsidRPr="00F9241C">
        <w:rPr>
          <w:sz w:val="24"/>
          <w:szCs w:val="24"/>
        </w:rPr>
        <w:t xml:space="preserve"> </w:t>
      </w:r>
      <w:r w:rsidRPr="003A11CA">
        <w:rPr>
          <w:rFonts w:ascii="Bwgrkl" w:hAnsi="Bwgrkl"/>
          <w:szCs w:val="24"/>
          <w:lang w:bidi="he-IL"/>
        </w:rPr>
        <w:t>avllo,fuloi</w:t>
      </w:r>
      <w:r w:rsidRPr="004274F5">
        <w:rPr>
          <w:rStyle w:val="FootnoteReference"/>
          <w:lang w:bidi="he-IL"/>
        </w:rPr>
        <w:footnoteReference w:id="72"/>
      </w:r>
      <w:r w:rsidRPr="00600D80">
        <w:rPr>
          <w:lang w:bidi="he-IL"/>
        </w:rPr>
        <w:t xml:space="preserve"> six times</w:t>
      </w:r>
      <w:r w:rsidRPr="00600D80">
        <w:rPr>
          <w:rStyle w:val="FootnoteReference"/>
          <w:lang w:bidi="he-IL"/>
        </w:rPr>
        <w:footnoteReference w:id="73"/>
      </w:r>
      <w:r w:rsidRPr="00600D80">
        <w:rPr>
          <w:lang w:bidi="he-IL"/>
        </w:rPr>
        <w:t xml:space="preserve"> </w:t>
      </w:r>
      <w:r w:rsidRPr="00600D80">
        <w:t>and as</w:t>
      </w:r>
      <w:r w:rsidRPr="00F9241C">
        <w:rPr>
          <w:sz w:val="24"/>
          <w:szCs w:val="24"/>
        </w:rPr>
        <w:t xml:space="preserve"> </w:t>
      </w:r>
      <w:r w:rsidRPr="003A11CA">
        <w:rPr>
          <w:rFonts w:ascii="Bwgrkl" w:hAnsi="Bwgrkl" w:cs="Bwgrkl"/>
          <w:szCs w:val="24"/>
          <w:lang w:bidi="he-IL"/>
        </w:rPr>
        <w:t xml:space="preserve">Galilai,a </w:t>
      </w:r>
      <w:r w:rsidRPr="003A11CA">
        <w:rPr>
          <w:rFonts w:ascii="Bwgrkl" w:hAnsi="Bwgrkl"/>
          <w:szCs w:val="24"/>
          <w:lang w:bidi="he-IL"/>
        </w:rPr>
        <w:t>avllofu,lwn</w:t>
      </w:r>
      <w:r w:rsidRPr="00F9241C">
        <w:rPr>
          <w:rFonts w:ascii="Bwgrkl" w:hAnsi="Bwgrkl"/>
          <w:sz w:val="24"/>
          <w:szCs w:val="24"/>
          <w:lang w:bidi="he-IL"/>
        </w:rPr>
        <w:t>..</w:t>
      </w:r>
      <w:r w:rsidRPr="00600D80">
        <w:t xml:space="preserve"> </w:t>
      </w:r>
      <w:proofErr w:type="gramStart"/>
      <w:r w:rsidRPr="00600D80">
        <w:t>once</w:t>
      </w:r>
      <w:proofErr w:type="gramEnd"/>
      <w:r w:rsidRPr="00600D80">
        <w:t>.</w:t>
      </w:r>
      <w:r w:rsidRPr="00600D80">
        <w:rPr>
          <w:rStyle w:val="EndnoteReference"/>
        </w:rPr>
        <w:endnoteReference w:id="1374"/>
      </w:r>
      <w:r w:rsidRPr="00600D80">
        <w:t xml:space="preserve">  The Vulgate follows the same pattern, with </w:t>
      </w:r>
      <w:r w:rsidRPr="00600D80">
        <w:rPr>
          <w:i/>
        </w:rPr>
        <w:t>Philisthim</w:t>
      </w:r>
      <w:r w:rsidRPr="00600D80">
        <w:t xml:space="preserve"> for </w:t>
      </w:r>
      <w:r w:rsidRPr="003A11CA">
        <w:rPr>
          <w:rFonts w:ascii="Bwgrkl" w:hAnsi="Bwgrkl" w:cs="Bwgrkl"/>
          <w:szCs w:val="24"/>
          <w:lang w:bidi="he-IL"/>
        </w:rPr>
        <w:t>Fulistiim</w:t>
      </w:r>
      <w:r w:rsidRPr="00600D80">
        <w:rPr>
          <w:rStyle w:val="EndnoteReference"/>
        </w:rPr>
        <w:endnoteReference w:id="1375"/>
      </w:r>
      <w:r w:rsidRPr="00600D80">
        <w:t xml:space="preserve"> in Exod. 15:14 and </w:t>
      </w:r>
      <w:r w:rsidRPr="00600D80">
        <w:rPr>
          <w:i/>
        </w:rPr>
        <w:t>alienigenae</w:t>
      </w:r>
      <w:r w:rsidRPr="00600D80">
        <w:t xml:space="preserve"> for</w:t>
      </w:r>
      <w:r w:rsidRPr="00F9241C">
        <w:rPr>
          <w:rFonts w:ascii="Times New Roman" w:hAnsi="Times New Roman"/>
        </w:rPr>
        <w:t xml:space="preserve"> </w:t>
      </w:r>
      <w:r w:rsidRPr="003A11CA">
        <w:rPr>
          <w:rFonts w:ascii="Bwgrkl" w:hAnsi="Bwgrkl"/>
          <w:szCs w:val="24"/>
          <w:lang w:bidi="he-IL"/>
        </w:rPr>
        <w:t>avllo</w:t>
      </w:r>
      <w:proofErr w:type="gramStart"/>
      <w:r w:rsidRPr="003A11CA">
        <w:rPr>
          <w:rFonts w:ascii="Bwgrkl" w:hAnsi="Bwgrkl"/>
          <w:szCs w:val="24"/>
          <w:lang w:bidi="he-IL"/>
        </w:rPr>
        <w:t>,fuloi</w:t>
      </w:r>
      <w:proofErr w:type="gramEnd"/>
      <w:r w:rsidRPr="00600D80">
        <w:rPr>
          <w:rStyle w:val="FootnoteReference"/>
          <w:lang w:bidi="he-IL"/>
        </w:rPr>
        <w:footnoteReference w:id="74"/>
      </w:r>
      <w:r w:rsidRPr="00600D80">
        <w:t xml:space="preserve"> in the Psalms, but substitutes </w:t>
      </w:r>
      <w:r w:rsidRPr="00600D80">
        <w:rPr>
          <w:i/>
        </w:rPr>
        <w:t>Philisthea</w:t>
      </w:r>
      <w:r w:rsidRPr="00600D80">
        <w:t xml:space="preserve"> for </w:t>
      </w:r>
      <w:r w:rsidRPr="003A11CA">
        <w:rPr>
          <w:rFonts w:ascii="Bwgrkl" w:hAnsi="Bwgrkl"/>
          <w:szCs w:val="24"/>
          <w:lang w:bidi="he-IL"/>
        </w:rPr>
        <w:t>avllo,fuloi</w:t>
      </w:r>
      <w:r w:rsidRPr="003A11CA">
        <w:rPr>
          <w:sz w:val="20"/>
        </w:rPr>
        <w:t xml:space="preserve"> </w:t>
      </w:r>
      <w:r w:rsidRPr="00600D80">
        <w:t xml:space="preserve">in the two verses from Isaiah 14 and </w:t>
      </w:r>
      <w:r w:rsidRPr="00600D80">
        <w:rPr>
          <w:i/>
        </w:rPr>
        <w:t>omnis terminus Palestinorum</w:t>
      </w:r>
      <w:r w:rsidRPr="00600D80">
        <w:t xml:space="preserve"> for </w:t>
      </w:r>
      <w:r w:rsidRPr="003A11CA">
        <w:rPr>
          <w:rFonts w:ascii="Bwgrkl" w:hAnsi="Bwgrkl" w:cs="Bwgrkl"/>
          <w:szCs w:val="24"/>
          <w:lang w:bidi="he-IL"/>
        </w:rPr>
        <w:t xml:space="preserve">Galilai,a </w:t>
      </w:r>
      <w:r w:rsidRPr="003A11CA">
        <w:rPr>
          <w:rFonts w:ascii="Bwgrkl" w:hAnsi="Bwgrkl"/>
          <w:szCs w:val="24"/>
          <w:lang w:bidi="he-IL"/>
        </w:rPr>
        <w:t>avllofu,lwn</w:t>
      </w:r>
      <w:r w:rsidRPr="00F9241C">
        <w:rPr>
          <w:rFonts w:ascii="Bwgrkl" w:hAnsi="Bwgrkl"/>
          <w:sz w:val="24"/>
          <w:szCs w:val="24"/>
          <w:lang w:bidi="he-IL"/>
        </w:rPr>
        <w:t>..</w:t>
      </w:r>
      <w:r w:rsidRPr="00600D80">
        <w:t xml:space="preserve"> </w:t>
      </w:r>
      <w:proofErr w:type="gramStart"/>
      <w:r w:rsidRPr="00600D80">
        <w:t>in</w:t>
      </w:r>
      <w:proofErr w:type="gramEnd"/>
      <w:r w:rsidRPr="00600D80">
        <w:t xml:space="preserve"> Joel 4:4 (3:4</w:t>
      </w:r>
      <w:r w:rsidRPr="00600D80">
        <w:rPr>
          <w:rStyle w:val="FootnoteReference"/>
        </w:rPr>
        <w:footnoteReference w:id="75"/>
      </w:r>
      <w:r w:rsidRPr="00600D80">
        <w:t>).</w:t>
      </w:r>
      <w:r w:rsidRPr="00F9241C">
        <w:rPr>
          <w:rFonts w:ascii="Times New Roman" w:hAnsi="Times New Roman"/>
        </w:rPr>
        <w:t xml:space="preserve"> </w:t>
      </w:r>
      <w:r w:rsidRPr="00F9241C">
        <w:rPr>
          <w:sz w:val="24"/>
          <w:szCs w:val="24"/>
        </w:rPr>
        <w:t xml:space="preserve"> </w:t>
      </w:r>
      <w:proofErr w:type="gramStart"/>
      <w:r w:rsidRPr="00F9241C">
        <w:rPr>
          <w:rFonts w:ascii="Bwhebb" w:hAnsi="Bwhebb" w:cs="Bwhebb"/>
          <w:sz w:val="36"/>
          <w:szCs w:val="36"/>
          <w:lang w:bidi="he-IL"/>
        </w:rPr>
        <w:t>tv,</w:t>
      </w:r>
      <w:proofErr w:type="gramEnd"/>
      <w:r w:rsidRPr="00F9241C">
        <w:rPr>
          <w:rFonts w:ascii="Bwhebb" w:hAnsi="Bwhebb" w:cs="Bwhebb"/>
          <w:sz w:val="36"/>
          <w:szCs w:val="36"/>
          <w:lang w:bidi="he-IL"/>
        </w:rPr>
        <w:t>l,P</w:t>
      </w:r>
      <w:r w:rsidRPr="00600D80">
        <w:t xml:space="preserve"> is consistently rendered as P’leshet in the </w:t>
      </w:r>
      <w:r w:rsidRPr="00600D80">
        <w:rPr>
          <w:i/>
        </w:rPr>
        <w:t>Complete Jewish Bible</w:t>
      </w:r>
      <w:r w:rsidRPr="00600D80">
        <w:t xml:space="preserve"> (1998)</w:t>
      </w:r>
      <w:r w:rsidRPr="00600D80">
        <w:rPr>
          <w:rStyle w:val="EndnoteReference"/>
        </w:rPr>
        <w:endnoteReference w:id="1376"/>
      </w:r>
      <w:r w:rsidRPr="00600D80">
        <w:t xml:space="preserve"> though it appears as Philistia in the </w:t>
      </w:r>
      <w:r w:rsidRPr="00600D80">
        <w:rPr>
          <w:i/>
        </w:rPr>
        <w:t>Jewish Publication Society</w:t>
      </w:r>
      <w:r w:rsidRPr="00600D80">
        <w:t xml:space="preserve"> (1917) edition.</w:t>
      </w:r>
      <w:r w:rsidRPr="00600D80">
        <w:rPr>
          <w:rStyle w:val="EndnoteReference"/>
        </w:rPr>
        <w:endnoteReference w:id="1377"/>
      </w:r>
      <w:r w:rsidRPr="00600D80">
        <w:t xml:space="preserve">  </w:t>
      </w:r>
    </w:p>
    <w:p w:rsidR="00442D33" w:rsidRPr="00B502A8" w:rsidRDefault="00442D33" w:rsidP="00442D33">
      <w:pPr>
        <w:autoSpaceDE w:val="0"/>
        <w:autoSpaceDN w:val="0"/>
        <w:adjustRightInd w:val="0"/>
        <w:spacing w:after="120" w:line="360" w:lineRule="auto"/>
        <w:ind w:firstLine="499"/>
        <w:jc w:val="both"/>
      </w:pPr>
      <w:r w:rsidRPr="00B502A8">
        <w:t>The English versions studied consistently translate</w:t>
      </w:r>
      <w:r w:rsidRPr="00F9241C">
        <w:rPr>
          <w:sz w:val="24"/>
          <w:szCs w:val="24"/>
        </w:rPr>
        <w:t xml:space="preserve"> </w:t>
      </w:r>
      <w:r w:rsidRPr="00F9241C">
        <w:rPr>
          <w:rFonts w:ascii="Bwhebb" w:hAnsi="Bwhebb" w:cs="Bwhebb"/>
          <w:sz w:val="36"/>
          <w:szCs w:val="36"/>
          <w:lang w:bidi="he-IL"/>
        </w:rPr>
        <w:t>tv</w:t>
      </w:r>
      <w:proofErr w:type="gramStart"/>
      <w:r w:rsidRPr="00F9241C">
        <w:rPr>
          <w:rFonts w:ascii="Bwhebb" w:hAnsi="Bwhebb" w:cs="Bwhebb"/>
          <w:sz w:val="36"/>
          <w:szCs w:val="36"/>
          <w:lang w:bidi="he-IL"/>
        </w:rPr>
        <w:t>,l,P</w:t>
      </w:r>
      <w:proofErr w:type="gramEnd"/>
      <w:r w:rsidRPr="00B502A8">
        <w:t xml:space="preserve"> as ‘Philistia’ or sometimes ‘Philistines’, where a vocative is required,</w:t>
      </w:r>
      <w:r w:rsidRPr="00B502A8">
        <w:rPr>
          <w:rStyle w:val="FootnoteReference"/>
        </w:rPr>
        <w:footnoteReference w:id="76"/>
      </w:r>
      <w:r w:rsidRPr="00B502A8">
        <w:t xml:space="preserve"> except in </w:t>
      </w:r>
      <w:r w:rsidRPr="00B502A8">
        <w:rPr>
          <w:i/>
        </w:rPr>
        <w:t>KJV</w:t>
      </w:r>
      <w:r w:rsidRPr="00B502A8">
        <w:t xml:space="preserve"> and the </w:t>
      </w:r>
      <w:r w:rsidRPr="00B502A8">
        <w:rPr>
          <w:i/>
        </w:rPr>
        <w:t>Geneva Bible</w:t>
      </w:r>
      <w:r w:rsidRPr="00B502A8">
        <w:t xml:space="preserve">.  Luther’s Bible and the modern German and French Bibles all use variants of </w:t>
      </w:r>
      <w:r w:rsidRPr="00B502A8">
        <w:rPr>
          <w:i/>
        </w:rPr>
        <w:t>Philister/Philistäa/Philisterland</w:t>
      </w:r>
      <w:r w:rsidRPr="00B502A8">
        <w:t xml:space="preserve"> or </w:t>
      </w:r>
      <w:r w:rsidRPr="00B502A8">
        <w:rPr>
          <w:i/>
        </w:rPr>
        <w:t>les Philistines/la Philistie/les territories philistins</w:t>
      </w:r>
      <w:r w:rsidRPr="00B502A8">
        <w:t xml:space="preserve">.  Apart from the Vulgate’s </w:t>
      </w:r>
      <w:r w:rsidRPr="00B502A8">
        <w:rPr>
          <w:i/>
        </w:rPr>
        <w:t>Palestinorum</w:t>
      </w:r>
      <w:r w:rsidRPr="00B502A8">
        <w:t>, in its rendering of Joel 4:4 (3:4),</w:t>
      </w:r>
      <w:r w:rsidRPr="00B502A8">
        <w:rPr>
          <w:rStyle w:val="FootnoteReference"/>
        </w:rPr>
        <w:footnoteReference w:id="77"/>
      </w:r>
      <w:r w:rsidRPr="00B502A8">
        <w:t xml:space="preserve">  </w:t>
      </w:r>
      <w:r w:rsidRPr="00B502A8">
        <w:rPr>
          <w:i/>
        </w:rPr>
        <w:t>KJV</w:t>
      </w:r>
      <w:r w:rsidRPr="00B502A8">
        <w:t xml:space="preserve"> and the </w:t>
      </w:r>
      <w:r w:rsidRPr="00B502A8">
        <w:rPr>
          <w:i/>
        </w:rPr>
        <w:t>Geneva Bible</w:t>
      </w:r>
      <w:r w:rsidRPr="00B502A8">
        <w:t xml:space="preserve"> seem to be the only versions which translate</w:t>
      </w:r>
      <w:r w:rsidRPr="00F9241C">
        <w:rPr>
          <w:rFonts w:ascii="Times New Roman" w:hAnsi="Times New Roman"/>
        </w:rPr>
        <w:t xml:space="preserve"> </w:t>
      </w:r>
      <w:r w:rsidRPr="00F9241C">
        <w:rPr>
          <w:rFonts w:ascii="Bwhebb" w:hAnsi="Bwhebb" w:cs="Bwhebb"/>
          <w:sz w:val="36"/>
          <w:szCs w:val="36"/>
          <w:lang w:bidi="he-IL"/>
        </w:rPr>
        <w:t>tv</w:t>
      </w:r>
      <w:proofErr w:type="gramStart"/>
      <w:r w:rsidRPr="00F9241C">
        <w:rPr>
          <w:rFonts w:ascii="Bwhebb" w:hAnsi="Bwhebb" w:cs="Bwhebb"/>
          <w:sz w:val="36"/>
          <w:szCs w:val="36"/>
          <w:lang w:bidi="he-IL"/>
        </w:rPr>
        <w:t>,l</w:t>
      </w:r>
      <w:proofErr w:type="gramEnd"/>
      <w:r w:rsidRPr="00F9241C">
        <w:rPr>
          <w:rFonts w:ascii="Bwhebb" w:hAnsi="Bwhebb" w:cs="Bwhebb"/>
          <w:sz w:val="36"/>
          <w:szCs w:val="36"/>
          <w:lang w:bidi="he-IL"/>
        </w:rPr>
        <w:t>,</w:t>
      </w:r>
      <w:r w:rsidRPr="00B502A8">
        <w:t xml:space="preserve"> as ‘Palestina/Palestine’ in any of the eight verses.  The </w:t>
      </w:r>
      <w:r w:rsidRPr="00B502A8">
        <w:rPr>
          <w:i/>
        </w:rPr>
        <w:t>Geneva Bible</w:t>
      </w:r>
      <w:r w:rsidRPr="00B502A8">
        <w:t xml:space="preserve"> uses ‘Palestina’ consistently except for its use of ‘Philistims’ in Ps. 83:7.  </w:t>
      </w:r>
      <w:r w:rsidRPr="00B502A8">
        <w:rPr>
          <w:i/>
        </w:rPr>
        <w:t>KJV</w:t>
      </w:r>
      <w:r w:rsidRPr="00B502A8">
        <w:t xml:space="preserve"> is much less consistent, using ‘Palestina’ in certain verses</w:t>
      </w:r>
      <w:r w:rsidRPr="00B502A8">
        <w:rPr>
          <w:rStyle w:val="FootnoteReference"/>
        </w:rPr>
        <w:footnoteReference w:id="78"/>
      </w:r>
      <w:r w:rsidRPr="00B502A8">
        <w:t xml:space="preserve"> and ‘Palestine’ in its translation of Joel 4:4, but in its </w:t>
      </w:r>
      <w:r w:rsidRPr="00B502A8">
        <w:lastRenderedPageBreak/>
        <w:t>translations of the Psalms, it uses ‘Philistia’ or ‘Philistines’.  One might conjecture that the use of ‘Palestine’ in Joel 3:4</w:t>
      </w:r>
      <w:r w:rsidRPr="00B502A8">
        <w:rPr>
          <w:rStyle w:val="FootnoteReference"/>
        </w:rPr>
        <w:footnoteReference w:id="79"/>
      </w:r>
      <w:r w:rsidRPr="00B502A8">
        <w:t xml:space="preserve"> echoes the Vulgate’s </w:t>
      </w:r>
      <w:r w:rsidRPr="00B502A8">
        <w:rPr>
          <w:i/>
        </w:rPr>
        <w:t>omnis terminus Palestinorum</w:t>
      </w:r>
      <w:r w:rsidRPr="00B502A8">
        <w:t>.</w:t>
      </w:r>
    </w:p>
    <w:p w:rsidR="00442D33" w:rsidRDefault="00442D33" w:rsidP="00442D33">
      <w:pPr>
        <w:autoSpaceDE w:val="0"/>
        <w:autoSpaceDN w:val="0"/>
        <w:adjustRightInd w:val="0"/>
        <w:spacing w:after="120" w:line="360" w:lineRule="auto"/>
        <w:ind w:firstLine="499"/>
        <w:jc w:val="both"/>
      </w:pPr>
      <w:r w:rsidRPr="00B502A8">
        <w:t>Under these circumstances, it seems odd that Scofield chose the term, ‘P</w:t>
      </w:r>
      <w:r w:rsidRPr="00C42EF2">
        <w:t>alestinian’</w:t>
      </w:r>
      <w:r w:rsidRPr="00B502A8">
        <w:t xml:space="preserve"> when annotating Deut. 30:3.  None of the instances of</w:t>
      </w:r>
      <w:r w:rsidRPr="00F9241C">
        <w:rPr>
          <w:rFonts w:ascii="Times New Roman" w:hAnsi="Times New Roman"/>
        </w:rPr>
        <w:t xml:space="preserve"> </w:t>
      </w:r>
      <w:r w:rsidRPr="00F9241C">
        <w:rPr>
          <w:rFonts w:ascii="Bwhebb" w:hAnsi="Bwhebb" w:cs="Bwhebb"/>
          <w:sz w:val="36"/>
          <w:szCs w:val="36"/>
          <w:lang w:bidi="he-IL"/>
        </w:rPr>
        <w:t>tv</w:t>
      </w:r>
      <w:proofErr w:type="gramStart"/>
      <w:r w:rsidRPr="00F9241C">
        <w:rPr>
          <w:rFonts w:ascii="Bwhebb" w:hAnsi="Bwhebb" w:cs="Bwhebb"/>
          <w:sz w:val="36"/>
          <w:szCs w:val="36"/>
          <w:lang w:bidi="he-IL"/>
        </w:rPr>
        <w:t>,l,P</w:t>
      </w:r>
      <w:proofErr w:type="gramEnd"/>
      <w:r w:rsidRPr="00DC3C2B">
        <w:t xml:space="preserve"> is found in Deuteronomy and on very few occasions is the word translated into English as ‘Palestina’.  It is true that Scofield used </w:t>
      </w:r>
      <w:r w:rsidRPr="00DC3C2B">
        <w:rPr>
          <w:i/>
        </w:rPr>
        <w:t>KJV</w:t>
      </w:r>
      <w:r w:rsidRPr="00DC3C2B">
        <w:t>, which contains three occurrences of ‘Palestina’</w:t>
      </w:r>
      <w:r w:rsidRPr="00DC3C2B">
        <w:rPr>
          <w:rStyle w:val="FootnoteReference"/>
        </w:rPr>
        <w:footnoteReference w:id="80"/>
      </w:r>
      <w:r w:rsidRPr="00DC3C2B">
        <w:t xml:space="preserve"> and one of ‘Palestine,’</w:t>
      </w:r>
      <w:r w:rsidRPr="00DC3C2B">
        <w:rPr>
          <w:rStyle w:val="FootnoteReference"/>
        </w:rPr>
        <w:footnoteReference w:id="81"/>
      </w:r>
      <w:r w:rsidRPr="00DC3C2B">
        <w:t xml:space="preserve"> but </w:t>
      </w:r>
      <w:r w:rsidRPr="00DC3C2B">
        <w:rPr>
          <w:i/>
        </w:rPr>
        <w:t>KJV</w:t>
      </w:r>
      <w:r w:rsidRPr="00DC3C2B">
        <w:t xml:space="preserve"> also contains three references to Philistia,</w:t>
      </w:r>
      <w:r w:rsidRPr="00DC3C2B">
        <w:rPr>
          <w:rStyle w:val="FootnoteReference"/>
        </w:rPr>
        <w:footnoteReference w:id="82"/>
      </w:r>
      <w:r w:rsidRPr="00DC3C2B">
        <w:t xml:space="preserve"> translating the same Hebrew word, </w:t>
      </w:r>
      <w:r w:rsidRPr="00F9241C">
        <w:rPr>
          <w:rFonts w:ascii="Bwhebb" w:hAnsi="Bwhebb" w:cs="Bwhebb"/>
          <w:sz w:val="36"/>
          <w:szCs w:val="36"/>
          <w:lang w:bidi="he-IL"/>
        </w:rPr>
        <w:t>tv,l,P</w:t>
      </w:r>
      <w:r w:rsidRPr="00DC3C2B">
        <w:t>, and thirty-three to the noun Philistine (</w:t>
      </w:r>
      <w:r w:rsidRPr="00F9241C">
        <w:rPr>
          <w:rFonts w:ascii="Bwhebb" w:hAnsi="Bwhebb" w:cs="Bwhebb"/>
          <w:sz w:val="36"/>
          <w:szCs w:val="36"/>
          <w:lang w:bidi="he-IL"/>
        </w:rPr>
        <w:t>yTiêv.liP.h</w:t>
      </w:r>
      <w:r w:rsidRPr="00DC3C2B">
        <w:t>).</w:t>
      </w:r>
      <w:r w:rsidRPr="00DC3C2B">
        <w:rPr>
          <w:rStyle w:val="FootnoteReference"/>
        </w:rPr>
        <w:footnoteReference w:id="83"/>
      </w:r>
      <w:r w:rsidRPr="00DC3C2B">
        <w:t xml:space="preserve"> There are also approximately 280 references to Philistines in </w:t>
      </w:r>
      <w:r w:rsidRPr="00DC3C2B">
        <w:rPr>
          <w:i/>
        </w:rPr>
        <w:t>KJV</w:t>
      </w:r>
      <w:r w:rsidRPr="00DC3C2B">
        <w:t xml:space="preserve">, matching the Hebrew </w:t>
      </w:r>
      <w:r w:rsidRPr="00F9241C">
        <w:rPr>
          <w:rFonts w:ascii="Bwhebb" w:hAnsi="Bwhebb" w:cs="Bwhebb"/>
          <w:sz w:val="36"/>
          <w:szCs w:val="36"/>
          <w:lang w:bidi="he-IL"/>
        </w:rPr>
        <w:t>~yTiÞv.liP</w:t>
      </w:r>
      <w:r w:rsidRPr="00DC3C2B">
        <w:t xml:space="preserve">, and no references to ‘Palestinians’ or a ‘Palestinian Covenant’.  </w:t>
      </w:r>
    </w:p>
    <w:p w:rsidR="00442D33" w:rsidRPr="00003663" w:rsidRDefault="00442D33" w:rsidP="00442D33">
      <w:pPr>
        <w:spacing w:after="120" w:line="360" w:lineRule="auto"/>
        <w:ind w:right="71" w:firstLine="567"/>
        <w:jc w:val="both"/>
      </w:pPr>
      <w:r w:rsidRPr="00F9638E">
        <w:t>Scofield uses the term, ‘Palestine’ in commentary on several passages where other names would be more accurate</w:t>
      </w:r>
      <w:r>
        <w:t>; for him the name seems to be a comprehensive term</w:t>
      </w:r>
      <w:r w:rsidRPr="00F9638E">
        <w:t xml:space="preserve">.  </w:t>
      </w:r>
      <w:r w:rsidRPr="00742C40">
        <w:rPr>
          <w:i/>
        </w:rPr>
        <w:t>SRB</w:t>
      </w:r>
      <w:r>
        <w:t xml:space="preserve"> speaks of Palestine in commentary on Joshua,</w:t>
      </w:r>
      <w:r>
        <w:rPr>
          <w:rStyle w:val="EndnoteReference"/>
        </w:rPr>
        <w:endnoteReference w:id="1378"/>
      </w:r>
      <w:r>
        <w:t xml:space="preserve"> 2 Kings,</w:t>
      </w:r>
      <w:r>
        <w:rPr>
          <w:rStyle w:val="EndnoteReference"/>
        </w:rPr>
        <w:endnoteReference w:id="1379"/>
      </w:r>
      <w:r>
        <w:t xml:space="preserve"> Isaiah,</w:t>
      </w:r>
      <w:r>
        <w:rPr>
          <w:rStyle w:val="EndnoteReference"/>
        </w:rPr>
        <w:endnoteReference w:id="1380"/>
      </w:r>
      <w:r>
        <w:t xml:space="preserve"> Daniel,</w:t>
      </w:r>
      <w:r>
        <w:rPr>
          <w:rStyle w:val="EndnoteReference"/>
        </w:rPr>
        <w:endnoteReference w:id="1381"/>
      </w:r>
      <w:r>
        <w:t xml:space="preserve"> Joel,</w:t>
      </w:r>
      <w:r>
        <w:rPr>
          <w:rStyle w:val="EndnoteReference"/>
        </w:rPr>
        <w:endnoteReference w:id="1382"/>
      </w:r>
      <w:r>
        <w:t xml:space="preserve"> Amos</w:t>
      </w:r>
      <w:r>
        <w:rPr>
          <w:rStyle w:val="EndnoteReference"/>
        </w:rPr>
        <w:endnoteReference w:id="1383"/>
      </w:r>
      <w:r>
        <w:t xml:space="preserve"> and Zechariah.</w:t>
      </w:r>
      <w:r>
        <w:rPr>
          <w:rStyle w:val="EndnoteReference"/>
        </w:rPr>
        <w:endnoteReference w:id="1384"/>
      </w:r>
      <w:r>
        <w:t xml:space="preserve">  </w:t>
      </w:r>
      <w:r w:rsidRPr="00003663">
        <w:t>In some of these cases, the term ‘Canaan’, and in others, ‘Yehud’,</w:t>
      </w:r>
      <w:r>
        <w:rPr>
          <w:rStyle w:val="EndnoteReference"/>
        </w:rPr>
        <w:endnoteReference w:id="1385"/>
      </w:r>
      <w:r w:rsidRPr="00003663">
        <w:t xml:space="preserve"> would be more appropriate.</w:t>
      </w:r>
      <w:r w:rsidRPr="00003663">
        <w:rPr>
          <w:sz w:val="24"/>
        </w:rPr>
        <w:t xml:space="preserve">  </w:t>
      </w:r>
      <w:proofErr w:type="gramStart"/>
      <w:r w:rsidRPr="00F9638E">
        <w:t>David Jacobson states that the first clear, recorded, use of the name, Palestine, referring to ‘the entire area between Phoenicia and E</w:t>
      </w:r>
      <w:r>
        <w:t>gypt’, was by Herodotus in C5 BC</w:t>
      </w:r>
      <w:r w:rsidRPr="00F9638E">
        <w:t>E</w:t>
      </w:r>
      <w:r>
        <w:t>.</w:t>
      </w:r>
      <w:proofErr w:type="gramEnd"/>
      <w:r w:rsidRPr="00F9638E">
        <w:rPr>
          <w:rStyle w:val="EndnoteReference"/>
        </w:rPr>
        <w:endnoteReference w:id="1386"/>
      </w:r>
      <w:r>
        <w:t xml:space="preserve">  </w:t>
      </w:r>
    </w:p>
    <w:p w:rsidR="00442D33" w:rsidRPr="00DC3C2B" w:rsidRDefault="00442D33" w:rsidP="00442D33">
      <w:pPr>
        <w:autoSpaceDE w:val="0"/>
        <w:autoSpaceDN w:val="0"/>
        <w:adjustRightInd w:val="0"/>
        <w:spacing w:after="120" w:line="360" w:lineRule="auto"/>
        <w:ind w:firstLine="499"/>
        <w:jc w:val="both"/>
      </w:pPr>
      <w:r w:rsidRPr="00DC3C2B">
        <w:t xml:space="preserve">It is possible that Scofield anachronistically used the adjectival form of the name ‘Palestine’, by which the area was known in his own day.  However, it is interesting to compare dates and places relevant to the planning and production of </w:t>
      </w:r>
      <w:r w:rsidRPr="00DC3C2B">
        <w:rPr>
          <w:i/>
        </w:rPr>
        <w:t>SRB</w:t>
      </w:r>
      <w:r w:rsidRPr="00DC3C2B">
        <w:t xml:space="preserve"> with dates of the Zionist Congresses which began in 1897.  According to Gaebelein,</w:t>
      </w:r>
      <w:r>
        <w:rPr>
          <w:rStyle w:val="EndnoteReference"/>
        </w:rPr>
        <w:endnoteReference w:id="1387"/>
      </w:r>
      <w:r>
        <w:t xml:space="preserve"> </w:t>
      </w:r>
      <w:r w:rsidRPr="00DC3C2B">
        <w:t>Scofield first spoke to him of ‘a plan of producing a Reference Bible’, ‘with references and copious footnotes’, during the first Sea Cliff Bible Conference of July 1901, and spoke of it again at the fourth conference in 1904.  1904 was the same year in which Scofield and his second wife, Hettie, visited London</w:t>
      </w:r>
      <w:r w:rsidRPr="00DC3C2B">
        <w:rPr>
          <w:rStyle w:val="EndnoteReference"/>
        </w:rPr>
        <w:endnoteReference w:id="1388"/>
      </w:r>
      <w:r w:rsidRPr="00DC3C2B">
        <w:t xml:space="preserve"> and, according to Scofield’s biographer, Trumbull, also visited Montreux in </w:t>
      </w:r>
      <w:r w:rsidRPr="00DC3C2B">
        <w:lastRenderedPageBreak/>
        <w:t>Switzerland before returning to America.</w:t>
      </w:r>
      <w:r>
        <w:rPr>
          <w:rStyle w:val="EndnoteReference"/>
        </w:rPr>
        <w:endnoteReference w:id="1389"/>
      </w:r>
      <w:r w:rsidRPr="00DC3C2B">
        <w:t xml:space="preserve">  </w:t>
      </w:r>
      <w:r>
        <w:t xml:space="preserve">Joseph </w:t>
      </w:r>
      <w:r w:rsidRPr="00DC3C2B">
        <w:t>Canfield suggests that Scofield may have made an earlier visit to London.</w:t>
      </w:r>
      <w:r>
        <w:rPr>
          <w:rStyle w:val="EndnoteReference"/>
        </w:rPr>
        <w:endnoteReference w:id="1390"/>
      </w:r>
      <w:r w:rsidRPr="00DC3C2B">
        <w:t xml:space="preserve">  Late in 1906, Scofield visited Oxford and then Switzerland again.</w:t>
      </w:r>
      <w:r>
        <w:rPr>
          <w:rStyle w:val="EndnoteReference"/>
        </w:rPr>
        <w:endnoteReference w:id="1391"/>
      </w:r>
      <w:r w:rsidRPr="00DC3C2B">
        <w:t xml:space="preserve">  </w:t>
      </w:r>
    </w:p>
    <w:p w:rsidR="00442D33" w:rsidRPr="00DC3C2B" w:rsidRDefault="00442D33" w:rsidP="00442D33">
      <w:pPr>
        <w:pStyle w:val="NormalWeb"/>
        <w:spacing w:before="0" w:beforeAutospacing="0" w:after="120" w:afterAutospacing="0" w:line="360" w:lineRule="auto"/>
        <w:ind w:firstLine="499"/>
        <w:jc w:val="both"/>
        <w:rPr>
          <w:rFonts w:ascii="Perpetua" w:hAnsi="Perpetua"/>
          <w:b/>
          <w:sz w:val="22"/>
          <w:szCs w:val="22"/>
        </w:rPr>
      </w:pPr>
      <w:r w:rsidRPr="00DC3C2B">
        <w:rPr>
          <w:rFonts w:ascii="Perpetua" w:hAnsi="Perpetua"/>
          <w:sz w:val="22"/>
          <w:szCs w:val="22"/>
        </w:rPr>
        <w:t xml:space="preserve">Theodor Herzl had published </w:t>
      </w:r>
      <w:r w:rsidRPr="00DC3C2B">
        <w:rPr>
          <w:rFonts w:ascii="Perpetua" w:hAnsi="Perpetua"/>
          <w:i/>
          <w:sz w:val="22"/>
          <w:szCs w:val="22"/>
        </w:rPr>
        <w:t>Der Judenstaat</w:t>
      </w:r>
      <w:r w:rsidRPr="00DC3C2B">
        <w:rPr>
          <w:rFonts w:ascii="Perpetua" w:hAnsi="Perpetua"/>
          <w:sz w:val="22"/>
          <w:szCs w:val="22"/>
        </w:rPr>
        <w:t>,</w:t>
      </w:r>
      <w:r w:rsidRPr="00DC3C2B">
        <w:rPr>
          <w:rStyle w:val="FootnoteReference"/>
          <w:rFonts w:ascii="Perpetua" w:hAnsi="Perpetua"/>
          <w:sz w:val="22"/>
          <w:szCs w:val="22"/>
        </w:rPr>
        <w:footnoteReference w:id="84"/>
      </w:r>
      <w:r w:rsidRPr="00DC3C2B">
        <w:rPr>
          <w:rFonts w:ascii="Perpetua" w:hAnsi="Perpetua"/>
          <w:sz w:val="22"/>
          <w:szCs w:val="22"/>
        </w:rPr>
        <w:t xml:space="preserve"> in 1896 and the First Zionist Congress took place in Basle, Switzerland in 1897, with Herzl as chair.  Two of the Congress’s major achievements were the foundation of the World Zionist Organisation and the formulation of the Basle programme, which stated that ‘Zionism seeks for the Jewish people a publicly recognized legally secured homeland in Palestine’.</w:t>
      </w:r>
      <w:r w:rsidRPr="00DC3C2B">
        <w:rPr>
          <w:rStyle w:val="EndnoteReference"/>
          <w:rFonts w:ascii="Perpetua" w:hAnsi="Perpetua"/>
          <w:sz w:val="22"/>
          <w:szCs w:val="22"/>
        </w:rPr>
        <w:endnoteReference w:id="1392"/>
      </w:r>
      <w:r w:rsidRPr="00DC3C2B">
        <w:rPr>
          <w:rFonts w:ascii="Perpetua" w:hAnsi="Perpetua"/>
          <w:sz w:val="22"/>
          <w:szCs w:val="22"/>
        </w:rPr>
        <w:t xml:space="preserve">  The second and third congresses were held in Basle in 1898 and </w:t>
      </w:r>
      <w:r>
        <w:rPr>
          <w:rFonts w:ascii="Perpetua" w:hAnsi="Perpetua"/>
          <w:sz w:val="22"/>
          <w:szCs w:val="22"/>
        </w:rPr>
        <w:t>18</w:t>
      </w:r>
      <w:r w:rsidRPr="00DC3C2B">
        <w:rPr>
          <w:rFonts w:ascii="Perpetua" w:hAnsi="Perpetua"/>
          <w:sz w:val="22"/>
          <w:szCs w:val="22"/>
        </w:rPr>
        <w:t>99 and the fourth in London in 1900.</w:t>
      </w:r>
      <w:r>
        <w:rPr>
          <w:rStyle w:val="EndnoteReference"/>
          <w:rFonts w:ascii="Perpetua" w:hAnsi="Perpetua"/>
          <w:sz w:val="22"/>
          <w:szCs w:val="22"/>
        </w:rPr>
        <w:endnoteReference w:id="1393"/>
      </w:r>
      <w:r w:rsidRPr="00DC3C2B">
        <w:rPr>
          <w:rFonts w:ascii="Perpetua" w:hAnsi="Perpetua"/>
          <w:sz w:val="22"/>
          <w:szCs w:val="22"/>
        </w:rPr>
        <w:t xml:space="preserve">  The fifth, sixth and seventh congresses took place in Basle in 1901, 1903 and 1905 respectively.</w:t>
      </w:r>
      <w:r w:rsidRPr="00DC3C2B">
        <w:rPr>
          <w:rStyle w:val="EndnoteReference"/>
          <w:rFonts w:ascii="Perpetua" w:hAnsi="Perpetua"/>
          <w:sz w:val="22"/>
          <w:szCs w:val="22"/>
        </w:rPr>
        <w:endnoteReference w:id="1394"/>
      </w:r>
      <w:r w:rsidRPr="00DC3C2B">
        <w:rPr>
          <w:rFonts w:ascii="Perpetua" w:hAnsi="Perpetua"/>
          <w:sz w:val="22"/>
          <w:szCs w:val="22"/>
        </w:rPr>
        <w:t xml:space="preserve">  While it cannot be proved that these events had any influence on Scofield, it is interesting that he was in Switzerland, albeit in Montreux and Lausanne, not Basle, in 1904 and 1906, around the time that the sixth and seventh congresses were taking place, and could have been in London at the time of the fourth congress, or shortly after it.  It could also be significant that he was working on the Reference Bible around that time.</w:t>
      </w:r>
      <w:r w:rsidR="00B0042C">
        <w:rPr>
          <w:rStyle w:val="EndnoteReference"/>
          <w:rFonts w:ascii="Perpetua" w:hAnsi="Perpetua"/>
          <w:sz w:val="22"/>
          <w:szCs w:val="22"/>
        </w:rPr>
        <w:endnoteReference w:id="1395"/>
      </w:r>
      <w:r w:rsidRPr="00DC3C2B">
        <w:rPr>
          <w:rFonts w:ascii="Perpetua" w:hAnsi="Perpetua"/>
          <w:sz w:val="22"/>
          <w:szCs w:val="22"/>
        </w:rPr>
        <w:t xml:space="preserve">  It is possible that this is one reason for the use of ‘Palestinian’ in notes on a Bible which does not contain the word.  </w:t>
      </w:r>
    </w:p>
    <w:p w:rsidR="00442D33" w:rsidRDefault="00442D33" w:rsidP="00442D33">
      <w:pPr>
        <w:spacing w:after="120" w:line="360" w:lineRule="auto"/>
        <w:ind w:right="74" w:firstLine="567"/>
        <w:jc w:val="both"/>
      </w:pPr>
      <w:r w:rsidRPr="00DC3C2B">
        <w:t>Scofield</w:t>
      </w:r>
      <w:r>
        <w:t xml:space="preserve"> states that</w:t>
      </w:r>
      <w:r w:rsidRPr="00DC3C2B">
        <w:t xml:space="preserve"> the Palestinian Covenant ‘secures the final restoration and conversion of Israel’</w:t>
      </w:r>
      <w:r>
        <w:rPr>
          <w:rStyle w:val="EndnoteReference"/>
        </w:rPr>
        <w:endnoteReference w:id="1396"/>
      </w:r>
      <w:r>
        <w:t xml:space="preserve"> </w:t>
      </w:r>
      <w:r w:rsidRPr="00DC3C2B">
        <w:t>and the seventh, Davidic Covenant</w:t>
      </w:r>
      <w:r w:rsidRPr="00DC3C2B">
        <w:rPr>
          <w:rStyle w:val="EndnoteReference"/>
        </w:rPr>
        <w:endnoteReference w:id="1397"/>
      </w:r>
      <w:r w:rsidRPr="00DC3C2B">
        <w:t xml:space="preserve"> ‘establishes the perpetuity of the Davidic family (fulfilled in Christ) … and of the Davidic kingdom, over Israel and over the whole earth, to be fulfilled in and by Christ’.</w:t>
      </w:r>
      <w:r w:rsidRPr="00DC3C2B">
        <w:rPr>
          <w:rStyle w:val="EndnoteReference"/>
        </w:rPr>
        <w:endnoteReference w:id="1398"/>
      </w:r>
      <w:r w:rsidRPr="00DC3C2B">
        <w:t xml:space="preserve">  Both these statements reflect and reinforce Scofield’s own interpretations of the texts in Deuteronomy and 2 Samuel.</w:t>
      </w:r>
      <w:r w:rsidRPr="00DC3C2B">
        <w:rPr>
          <w:rStyle w:val="EndnoteReference"/>
        </w:rPr>
        <w:endnoteReference w:id="1399"/>
      </w:r>
      <w:r w:rsidRPr="00DC3C2B">
        <w:t xml:space="preserve">  </w:t>
      </w:r>
    </w:p>
    <w:p w:rsidR="00442D33" w:rsidRPr="00DC3C2B" w:rsidRDefault="00442D33" w:rsidP="00442D33">
      <w:pPr>
        <w:tabs>
          <w:tab w:val="left" w:pos="4678"/>
        </w:tabs>
        <w:spacing w:after="120" w:line="360" w:lineRule="auto"/>
        <w:ind w:right="-29"/>
        <w:jc w:val="both"/>
      </w:pPr>
      <w:proofErr w:type="gramStart"/>
      <w:r w:rsidRPr="002537F3">
        <w:rPr>
          <w:rFonts w:ascii="Times New Roman" w:hAnsi="Times New Roman"/>
          <w:b/>
        </w:rPr>
        <w:t>5</w:t>
      </w:r>
      <w:r w:rsidRPr="002537F3">
        <w:rPr>
          <w:b/>
        </w:rPr>
        <w:t>.</w:t>
      </w:r>
      <w:r w:rsidR="00662FDD" w:rsidRPr="002537F3">
        <w:rPr>
          <w:b/>
        </w:rPr>
        <w:t>5</w:t>
      </w:r>
      <w:r w:rsidRPr="002537F3">
        <w:rPr>
          <w:b/>
        </w:rPr>
        <w:t xml:space="preserve">.2  </w:t>
      </w:r>
      <w:r w:rsidRPr="00DC3C2B">
        <w:rPr>
          <w:b/>
        </w:rPr>
        <w:t>The</w:t>
      </w:r>
      <w:proofErr w:type="gramEnd"/>
      <w:r w:rsidRPr="00DC3C2B">
        <w:rPr>
          <w:b/>
        </w:rPr>
        <w:t xml:space="preserve"> Seventh Covenant</w:t>
      </w:r>
    </w:p>
    <w:p w:rsidR="00442D33" w:rsidRPr="00DC3C2B" w:rsidRDefault="00442D33" w:rsidP="00442D33">
      <w:pPr>
        <w:pStyle w:val="NormalWeb"/>
        <w:spacing w:before="0" w:beforeAutospacing="0" w:after="120" w:afterAutospacing="0" w:line="360" w:lineRule="auto"/>
        <w:jc w:val="both"/>
        <w:rPr>
          <w:rFonts w:ascii="Perpetua" w:hAnsi="Perpetua"/>
          <w:sz w:val="22"/>
          <w:szCs w:val="22"/>
        </w:rPr>
      </w:pPr>
      <w:r>
        <w:rPr>
          <w:rFonts w:ascii="Perpetua" w:hAnsi="Perpetua"/>
          <w:sz w:val="22"/>
          <w:szCs w:val="22"/>
        </w:rPr>
        <w:t xml:space="preserve">Scofield states that </w:t>
      </w:r>
      <w:r w:rsidRPr="00DC3C2B">
        <w:rPr>
          <w:rFonts w:ascii="Perpetua" w:hAnsi="Perpetua"/>
          <w:sz w:val="22"/>
          <w:szCs w:val="22"/>
        </w:rPr>
        <w:t>the Davidic Covenant is set out in 2 Sam. 7:8-17.</w:t>
      </w:r>
      <w:r w:rsidRPr="00DC3C2B">
        <w:rPr>
          <w:rStyle w:val="EndnoteReference"/>
          <w:rFonts w:ascii="Perpetua" w:hAnsi="Perpetua"/>
          <w:sz w:val="22"/>
          <w:szCs w:val="22"/>
        </w:rPr>
        <w:endnoteReference w:id="1400"/>
      </w:r>
      <w:r w:rsidRPr="00DC3C2B">
        <w:rPr>
          <w:rFonts w:ascii="Perpetua" w:hAnsi="Perpetua"/>
          <w:sz w:val="22"/>
          <w:szCs w:val="22"/>
        </w:rPr>
        <w:t xml:space="preserve">  The theocratic kingdom will be restored under it.</w:t>
      </w:r>
      <w:r>
        <w:rPr>
          <w:rStyle w:val="EndnoteReference"/>
          <w:rFonts w:ascii="Perpetua" w:hAnsi="Perpetua"/>
          <w:sz w:val="22"/>
          <w:szCs w:val="22"/>
        </w:rPr>
        <w:endnoteReference w:id="1401"/>
      </w:r>
      <w:r>
        <w:rPr>
          <w:rFonts w:ascii="Perpetua" w:hAnsi="Perpetua"/>
          <w:sz w:val="22"/>
          <w:szCs w:val="22"/>
        </w:rPr>
        <w:t xml:space="preserve">  </w:t>
      </w:r>
      <w:r w:rsidRPr="00DC3C2B">
        <w:rPr>
          <w:rFonts w:ascii="Perpetua" w:hAnsi="Perpetua"/>
          <w:sz w:val="22"/>
          <w:szCs w:val="22"/>
        </w:rPr>
        <w:t>Scofield</w:t>
      </w:r>
      <w:r>
        <w:rPr>
          <w:rFonts w:ascii="Perpetua" w:hAnsi="Perpetua"/>
          <w:sz w:val="22"/>
          <w:szCs w:val="22"/>
        </w:rPr>
        <w:t xml:space="preserve"> states that</w:t>
      </w:r>
      <w:r w:rsidRPr="00DC3C2B">
        <w:rPr>
          <w:rFonts w:ascii="Perpetua" w:hAnsi="Perpetua"/>
          <w:sz w:val="22"/>
          <w:szCs w:val="22"/>
        </w:rPr>
        <w:t xml:space="preserve"> the Davidic Covenant is the source of ‘all kingdom truth’.</w:t>
      </w:r>
      <w:r w:rsidRPr="00DC3C2B">
        <w:rPr>
          <w:rStyle w:val="EndnoteReference"/>
          <w:rFonts w:ascii="Perpetua" w:hAnsi="Perpetua"/>
          <w:sz w:val="22"/>
          <w:szCs w:val="22"/>
        </w:rPr>
        <w:endnoteReference w:id="1402"/>
      </w:r>
      <w:r w:rsidRPr="00DC3C2B">
        <w:rPr>
          <w:rFonts w:ascii="Perpetua" w:hAnsi="Perpetua"/>
          <w:sz w:val="22"/>
          <w:szCs w:val="22"/>
        </w:rPr>
        <w:t xml:space="preserve">  </w:t>
      </w:r>
    </w:p>
    <w:p w:rsidR="00442D33" w:rsidRPr="00A249BB" w:rsidRDefault="00442D33" w:rsidP="00442D33">
      <w:pPr>
        <w:pStyle w:val="EndnoteText"/>
        <w:spacing w:after="120" w:line="360" w:lineRule="auto"/>
        <w:ind w:firstLine="425"/>
        <w:jc w:val="both"/>
        <w:rPr>
          <w:sz w:val="22"/>
          <w:szCs w:val="22"/>
        </w:rPr>
      </w:pPr>
      <w:r w:rsidRPr="003714F6">
        <w:rPr>
          <w:sz w:val="22"/>
          <w:szCs w:val="22"/>
        </w:rPr>
        <w:t xml:space="preserve">Many items of commentary concern the </w:t>
      </w:r>
      <w:r w:rsidRPr="00A249BB">
        <w:rPr>
          <w:sz w:val="22"/>
          <w:szCs w:val="22"/>
        </w:rPr>
        <w:t>Davidic Covenant, which awaits fulfilment.</w:t>
      </w:r>
      <w:r w:rsidRPr="00A249BB">
        <w:rPr>
          <w:rStyle w:val="EndnoteReference"/>
          <w:sz w:val="22"/>
          <w:szCs w:val="22"/>
        </w:rPr>
        <w:endnoteReference w:id="1403"/>
      </w:r>
      <w:r w:rsidRPr="00A249BB">
        <w:rPr>
          <w:sz w:val="22"/>
          <w:szCs w:val="22"/>
        </w:rPr>
        <w:t xml:space="preserve">  It bestows ‘blessing through power’ and will be fulfilled at the Lord’s coming as the Abrahamic Covenant of blessing through suffering was fulfilled at his first advent.</w:t>
      </w:r>
      <w:r w:rsidRPr="00A249BB">
        <w:rPr>
          <w:rStyle w:val="EndnoteReference"/>
          <w:sz w:val="22"/>
          <w:szCs w:val="22"/>
        </w:rPr>
        <w:endnoteReference w:id="1404"/>
      </w:r>
      <w:r w:rsidRPr="00A249BB">
        <w:rPr>
          <w:sz w:val="22"/>
          <w:szCs w:val="22"/>
        </w:rPr>
        <w:t xml:space="preserve">  </w:t>
      </w:r>
      <w:r w:rsidRPr="008538A0">
        <w:rPr>
          <w:sz w:val="22"/>
          <w:szCs w:val="22"/>
        </w:rPr>
        <w:t xml:space="preserve">Disobedience in the Davidic family will lead to </w:t>
      </w:r>
      <w:r w:rsidRPr="008538A0">
        <w:rPr>
          <w:sz w:val="22"/>
          <w:szCs w:val="22"/>
        </w:rPr>
        <w:lastRenderedPageBreak/>
        <w:t>chastisement but not to abrogation of the covenant.  This chastisement occurred first in the division of the kingdom under Rehoboam and finally in the Captivities.</w:t>
      </w:r>
      <w:r w:rsidRPr="008538A0">
        <w:rPr>
          <w:rStyle w:val="EndnoteReference"/>
          <w:sz w:val="22"/>
          <w:szCs w:val="22"/>
        </w:rPr>
        <w:endnoteReference w:id="1405"/>
      </w:r>
      <w:r w:rsidRPr="008538A0">
        <w:rPr>
          <w:sz w:val="22"/>
          <w:szCs w:val="22"/>
        </w:rPr>
        <w:t xml:space="preserve">  The sole king of the Davidic family since then was crowned with thorns.</w:t>
      </w:r>
      <w:r w:rsidRPr="008538A0">
        <w:rPr>
          <w:rStyle w:val="EndnoteReference"/>
          <w:sz w:val="22"/>
          <w:szCs w:val="22"/>
        </w:rPr>
        <w:endnoteReference w:id="1406"/>
      </w:r>
      <w:r w:rsidRPr="008538A0">
        <w:rPr>
          <w:sz w:val="22"/>
          <w:szCs w:val="22"/>
        </w:rPr>
        <w:t xml:space="preserve">  However, according to the </w:t>
      </w:r>
      <w:r w:rsidRPr="008538A0">
        <w:rPr>
          <w:i/>
          <w:sz w:val="22"/>
          <w:szCs w:val="22"/>
        </w:rPr>
        <w:t>SRB</w:t>
      </w:r>
      <w:r w:rsidRPr="008538A0">
        <w:rPr>
          <w:sz w:val="22"/>
          <w:szCs w:val="22"/>
        </w:rPr>
        <w:t xml:space="preserve"> Introduction to 1 Chronicles, blessing will come to God’s earthly people through the Davidic monarchy.</w:t>
      </w:r>
      <w:r w:rsidRPr="008538A0">
        <w:rPr>
          <w:rStyle w:val="EndnoteReference"/>
          <w:sz w:val="22"/>
          <w:szCs w:val="22"/>
        </w:rPr>
        <w:endnoteReference w:id="1407"/>
      </w:r>
      <w:r w:rsidRPr="008538A0">
        <w:rPr>
          <w:sz w:val="22"/>
          <w:szCs w:val="22"/>
        </w:rPr>
        <w:t xml:space="preserve">  </w:t>
      </w:r>
      <w:r w:rsidRPr="00A249BB">
        <w:rPr>
          <w:sz w:val="22"/>
          <w:szCs w:val="22"/>
        </w:rPr>
        <w:t>God’s future incarnation in Christ is ‘distinctly predicted in the promises connected with … the Davidic Covenant’;</w:t>
      </w:r>
      <w:r w:rsidRPr="00A249BB">
        <w:rPr>
          <w:rStyle w:val="EndnoteReference"/>
          <w:sz w:val="22"/>
          <w:szCs w:val="22"/>
        </w:rPr>
        <w:endnoteReference w:id="1408"/>
      </w:r>
      <w:r w:rsidRPr="00A249BB">
        <w:rPr>
          <w:sz w:val="22"/>
          <w:szCs w:val="22"/>
        </w:rPr>
        <w:t xml:space="preserve"> this covenant, ‘confirmed to David by the oath of Jehovah, renewed to Mary by the angel Gabriel’, is immutable</w:t>
      </w:r>
      <w:r w:rsidRPr="00A249BB">
        <w:rPr>
          <w:rStyle w:val="EndnoteReference"/>
          <w:sz w:val="22"/>
          <w:szCs w:val="22"/>
        </w:rPr>
        <w:endnoteReference w:id="1409"/>
      </w:r>
      <w:r w:rsidRPr="00A249BB">
        <w:rPr>
          <w:sz w:val="22"/>
          <w:szCs w:val="22"/>
        </w:rPr>
        <w:t xml:space="preserve"> and ‘the Lord God will yet give to that thorn-crowned One “the throne of his father David”’.</w:t>
      </w:r>
      <w:r w:rsidRPr="00A249BB">
        <w:rPr>
          <w:rStyle w:val="EndnoteReference"/>
          <w:sz w:val="22"/>
          <w:szCs w:val="22"/>
        </w:rPr>
        <w:endnoteReference w:id="1410"/>
      </w:r>
      <w:r w:rsidRPr="00A249BB">
        <w:rPr>
          <w:sz w:val="22"/>
          <w:szCs w:val="22"/>
        </w:rPr>
        <w:t xml:space="preserve">  </w:t>
      </w:r>
    </w:p>
    <w:p w:rsidR="00442D33" w:rsidRPr="00A249BB" w:rsidRDefault="00442D33" w:rsidP="00442D33">
      <w:pPr>
        <w:pStyle w:val="NormalWeb"/>
        <w:spacing w:before="0" w:beforeAutospacing="0" w:after="120" w:afterAutospacing="0" w:line="360" w:lineRule="auto"/>
        <w:ind w:firstLine="426"/>
        <w:jc w:val="both"/>
        <w:rPr>
          <w:rFonts w:ascii="Perpetua" w:hAnsi="Perpetua"/>
          <w:sz w:val="22"/>
          <w:szCs w:val="22"/>
        </w:rPr>
      </w:pPr>
      <w:r w:rsidRPr="00A249BB">
        <w:rPr>
          <w:rFonts w:ascii="Perpetua" w:hAnsi="Perpetua"/>
          <w:sz w:val="22"/>
          <w:szCs w:val="22"/>
        </w:rPr>
        <w:t>Psalm 89:27 simultaneously confirms and expounds the Davidic Covenant and ‘looks beyond David and Solomon’ to Immanuel.  Even though the covenant arises from Jehovah’s lovingkindness, it still depends upon his oath and he is glorified in connection with it.</w:t>
      </w:r>
      <w:r w:rsidRPr="00A249BB">
        <w:rPr>
          <w:rStyle w:val="EndnoteReference"/>
          <w:rFonts w:ascii="Perpetua" w:hAnsi="Perpetua"/>
          <w:sz w:val="22"/>
          <w:szCs w:val="22"/>
        </w:rPr>
        <w:endnoteReference w:id="1411"/>
      </w:r>
      <w:r w:rsidRPr="00A249BB">
        <w:rPr>
          <w:rFonts w:ascii="Perpetua" w:hAnsi="Perpetua"/>
          <w:sz w:val="22"/>
          <w:szCs w:val="22"/>
        </w:rPr>
        <w:t xml:space="preserve">  Israel’s national regathering, conversion and establishment in peace and power,</w:t>
      </w:r>
      <w:r w:rsidRPr="00A249BB">
        <w:rPr>
          <w:rStyle w:val="EndnoteReference"/>
          <w:rFonts w:ascii="Perpetua" w:hAnsi="Perpetua"/>
          <w:sz w:val="22"/>
          <w:szCs w:val="22"/>
        </w:rPr>
        <w:endnoteReference w:id="1412"/>
      </w:r>
      <w:r w:rsidRPr="00A249BB">
        <w:rPr>
          <w:rFonts w:ascii="Perpetua" w:hAnsi="Perpetua"/>
          <w:sz w:val="22"/>
          <w:szCs w:val="22"/>
        </w:rPr>
        <w:t xml:space="preserve"> ‘invariably’ connected by the prophets to the fulfilment of the Davidic Covenant,</w:t>
      </w:r>
      <w:r w:rsidRPr="00A249BB">
        <w:rPr>
          <w:rStyle w:val="EndnoteReference"/>
          <w:rFonts w:ascii="Perpetua" w:hAnsi="Perpetua"/>
          <w:sz w:val="22"/>
          <w:szCs w:val="22"/>
        </w:rPr>
        <w:endnoteReference w:id="1413"/>
      </w:r>
      <w:r w:rsidRPr="00A249BB">
        <w:rPr>
          <w:rFonts w:ascii="Perpetua" w:hAnsi="Perpetua"/>
          <w:sz w:val="22"/>
          <w:szCs w:val="22"/>
        </w:rPr>
        <w:t xml:space="preserve"> is to take place ‘under the Davidic Covenant’.</w:t>
      </w:r>
      <w:r w:rsidRPr="00A249BB">
        <w:rPr>
          <w:rStyle w:val="EndnoteReference"/>
          <w:rFonts w:ascii="Perpetua" w:hAnsi="Perpetua"/>
          <w:sz w:val="22"/>
          <w:szCs w:val="22"/>
        </w:rPr>
        <w:endnoteReference w:id="1414"/>
      </w:r>
      <w:r w:rsidRPr="00A249BB">
        <w:rPr>
          <w:rFonts w:ascii="Perpetua" w:hAnsi="Perpetua"/>
          <w:sz w:val="22"/>
          <w:szCs w:val="22"/>
        </w:rPr>
        <w:t xml:space="preserve">  The statement in Acts 15:13 concerning rebuilding David’s tabernacle indicates ‘the re-establishment of the Davidic rule over Israel’.</w:t>
      </w:r>
      <w:r w:rsidRPr="00A249BB">
        <w:rPr>
          <w:rStyle w:val="EndnoteReference"/>
          <w:rFonts w:ascii="Perpetua" w:hAnsi="Perpetua"/>
          <w:sz w:val="22"/>
          <w:szCs w:val="22"/>
        </w:rPr>
        <w:endnoteReference w:id="1415"/>
      </w:r>
      <w:r w:rsidRPr="00A249BB">
        <w:rPr>
          <w:rFonts w:ascii="Perpetua" w:hAnsi="Perpetua"/>
          <w:sz w:val="22"/>
          <w:szCs w:val="22"/>
        </w:rPr>
        <w:t xml:space="preserve">  David’s family and kingdom are perpetuated.</w:t>
      </w:r>
      <w:r w:rsidRPr="00A249BB">
        <w:rPr>
          <w:rStyle w:val="EndnoteReference"/>
          <w:rFonts w:ascii="Perpetua" w:hAnsi="Perpetua"/>
          <w:sz w:val="22"/>
          <w:szCs w:val="22"/>
        </w:rPr>
        <w:endnoteReference w:id="1416"/>
      </w:r>
      <w:r w:rsidRPr="00A249BB">
        <w:rPr>
          <w:rFonts w:ascii="Perpetua" w:hAnsi="Perpetua"/>
          <w:sz w:val="22"/>
          <w:szCs w:val="22"/>
        </w:rPr>
        <w:t xml:space="preserve">  ‘The “throne of David”’ represents historical reality.</w:t>
      </w:r>
      <w:r w:rsidRPr="00A249BB">
        <w:rPr>
          <w:rStyle w:val="EndnoteReference"/>
          <w:rFonts w:ascii="Perpetua" w:hAnsi="Perpetua"/>
          <w:sz w:val="22"/>
          <w:szCs w:val="22"/>
        </w:rPr>
        <w:endnoteReference w:id="1417"/>
      </w:r>
    </w:p>
    <w:p w:rsidR="00442D33" w:rsidRPr="00A249BB" w:rsidRDefault="00442D33" w:rsidP="00442D33">
      <w:pPr>
        <w:tabs>
          <w:tab w:val="left" w:pos="4678"/>
        </w:tabs>
        <w:spacing w:after="120" w:line="360" w:lineRule="auto"/>
        <w:ind w:right="-29" w:firstLine="567"/>
        <w:jc w:val="both"/>
      </w:pPr>
      <w:r w:rsidRPr="00A249BB">
        <w:t>Scofield asserts that, under the Davidic Covenant, Christ is ‘the Seed, Heir and King’.</w:t>
      </w:r>
      <w:r w:rsidRPr="00A249BB">
        <w:rPr>
          <w:rStyle w:val="EndnoteReference"/>
        </w:rPr>
        <w:endnoteReference w:id="1418"/>
      </w:r>
      <w:r w:rsidRPr="00A249BB">
        <w:t xml:space="preserve">  He fulfils the Davidic Covenant as King,</w:t>
      </w:r>
      <w:r w:rsidRPr="00A249BB">
        <w:rPr>
          <w:rStyle w:val="EndnoteReference"/>
        </w:rPr>
        <w:endnoteReference w:id="1419"/>
      </w:r>
      <w:r w:rsidRPr="00A249BB">
        <w:t xml:space="preserve"> and his kingly office is defined in it.</w:t>
      </w:r>
      <w:r w:rsidRPr="00A249BB">
        <w:rPr>
          <w:rStyle w:val="EndnoteReference"/>
        </w:rPr>
        <w:endnoteReference w:id="1420"/>
      </w:r>
      <w:r w:rsidRPr="00A249BB">
        <w:t xml:space="preserve">  Scofield avers that, in Matthew, Christ appears most prominently as the covenanted king, David’s righteous Branch.  Scofield holds that Matthew deals first with Christ as King and only turns to ‘the earlier covenant and … the sacrificial death of the Son of Abraham’ in chapters 26 </w:t>
      </w:r>
      <w:r w:rsidRPr="00012B96">
        <w:rPr>
          <w:sz w:val="16"/>
          <w:szCs w:val="24"/>
        </w:rPr>
        <w:t>—</w:t>
      </w:r>
      <w:r>
        <w:rPr>
          <w:sz w:val="16"/>
          <w:szCs w:val="24"/>
        </w:rPr>
        <w:t xml:space="preserve"> </w:t>
      </w:r>
      <w:r w:rsidRPr="00A249BB">
        <w:t>8.</w:t>
      </w:r>
      <w:r w:rsidRPr="00A249BB">
        <w:rPr>
          <w:rStyle w:val="EndnoteReference"/>
        </w:rPr>
        <w:endnoteReference w:id="1421"/>
      </w:r>
      <w:r w:rsidRPr="00A249BB">
        <w:t xml:space="preserve"> </w:t>
      </w:r>
    </w:p>
    <w:p w:rsidR="00442D33" w:rsidRPr="00A249BB" w:rsidRDefault="00442D33" w:rsidP="00442D33">
      <w:pPr>
        <w:tabs>
          <w:tab w:val="left" w:pos="4678"/>
        </w:tabs>
        <w:spacing w:after="120" w:line="360" w:lineRule="auto"/>
        <w:ind w:right="-28"/>
        <w:jc w:val="both"/>
      </w:pPr>
      <w:proofErr w:type="gramStart"/>
      <w:r w:rsidRPr="00B04418">
        <w:rPr>
          <w:b/>
        </w:rPr>
        <w:t>5.</w:t>
      </w:r>
      <w:r w:rsidR="00234C1D" w:rsidRPr="00B04418">
        <w:rPr>
          <w:b/>
        </w:rPr>
        <w:t>5</w:t>
      </w:r>
      <w:r w:rsidRPr="00B04418">
        <w:rPr>
          <w:b/>
        </w:rPr>
        <w:t xml:space="preserve">.3  </w:t>
      </w:r>
      <w:r w:rsidRPr="00A249BB">
        <w:rPr>
          <w:b/>
        </w:rPr>
        <w:t>The</w:t>
      </w:r>
      <w:proofErr w:type="gramEnd"/>
      <w:r w:rsidRPr="00A249BB">
        <w:rPr>
          <w:b/>
        </w:rPr>
        <w:t xml:space="preserve"> Eighth Covenant</w:t>
      </w:r>
    </w:p>
    <w:p w:rsidR="00442D33" w:rsidRPr="00A249BB" w:rsidRDefault="00442D33" w:rsidP="00442D33">
      <w:pPr>
        <w:spacing w:after="120" w:line="360" w:lineRule="auto"/>
        <w:ind w:right="-28"/>
        <w:jc w:val="both"/>
      </w:pPr>
      <w:r w:rsidRPr="00A249BB">
        <w:t>Scofield asserts that ‘the New Covenant is the eighth, thus speaking of resurrection and of eternal completeness’.</w:t>
      </w:r>
      <w:r w:rsidRPr="00A249BB">
        <w:rPr>
          <w:rStyle w:val="EndnoteReference"/>
        </w:rPr>
        <w:endnoteReference w:id="1422"/>
      </w:r>
      <w:r w:rsidRPr="00A249BB">
        <w:t xml:space="preserve">  This assertion is unexpected because the usual number of perfection is seven, a number which recurs frequently in Revelation and reflects several Old Testament concepts, as noted by Josephine Massyngberde Ford.  Ford states that ‘the number [seven] is chosen intentionally [in Rev. 1:4] because it designates completeness, perfection, totality.  In Judaism its sacredness was enhanced because the Sabbath was the seventh day, the sabbatical year was the seventh year, and the seventh sabbatical was the Jubilee … in the temple </w:t>
      </w:r>
      <w:proofErr w:type="gramStart"/>
      <w:r w:rsidRPr="00A249BB">
        <w:t>were</w:t>
      </w:r>
      <w:proofErr w:type="gramEnd"/>
      <w:r w:rsidRPr="00A249BB">
        <w:t xml:space="preserve"> seven altars, seven lamps etc.’</w:t>
      </w:r>
      <w:r w:rsidRPr="00A249BB">
        <w:rPr>
          <w:rStyle w:val="EndnoteReference"/>
        </w:rPr>
        <w:endnoteReference w:id="1423"/>
      </w:r>
      <w:r w:rsidRPr="00A249BB">
        <w:t xml:space="preserve">  </w:t>
      </w:r>
    </w:p>
    <w:p w:rsidR="00442D33" w:rsidRPr="00A249BB" w:rsidRDefault="00442D33" w:rsidP="00442D33">
      <w:pPr>
        <w:spacing w:after="120" w:line="360" w:lineRule="auto"/>
        <w:ind w:right="-28" w:firstLine="567"/>
        <w:jc w:val="both"/>
      </w:pPr>
      <w:r w:rsidRPr="00A249BB">
        <w:t>Scofield states that obedience to the divine will is intrinsic to this final covenant of grace.</w:t>
      </w:r>
      <w:r w:rsidRPr="00A249BB">
        <w:rPr>
          <w:rStyle w:val="EndnoteReference"/>
        </w:rPr>
        <w:endnoteReference w:id="1424"/>
      </w:r>
      <w:r w:rsidRPr="00A249BB">
        <w:t xml:space="preserve">  The New Covenant ‘rests upon the sacrifice of Christ and secures eternal blessedness, under the Abrahamic Covenant … of all who believe.  It is absolutely unconditional, and … it is final and irreversible’.</w:t>
      </w:r>
      <w:r w:rsidRPr="00A249BB">
        <w:rPr>
          <w:rStyle w:val="EndnoteReference"/>
        </w:rPr>
        <w:endnoteReference w:id="1425"/>
      </w:r>
      <w:r w:rsidRPr="00A249BB">
        <w:t xml:space="preserve">  Christ’s single sacrifice under the new covenant ‘is better than the many sacrifices of the old’.</w:t>
      </w:r>
      <w:r w:rsidRPr="00A249BB">
        <w:rPr>
          <w:rStyle w:val="EndnoteReference"/>
        </w:rPr>
        <w:endnoteReference w:id="1426"/>
      </w:r>
      <w:r w:rsidRPr="00A249BB">
        <w:t xml:space="preserve">  This covenant is Christ’s ‘last will and testament sealed by His blood’.</w:t>
      </w:r>
      <w:r w:rsidRPr="00A249BB">
        <w:rPr>
          <w:rStyle w:val="EndnoteReference"/>
        </w:rPr>
        <w:endnoteReference w:id="1427"/>
      </w:r>
      <w:r w:rsidRPr="00A249BB">
        <w:t xml:space="preserve">  </w:t>
      </w:r>
    </w:p>
    <w:p w:rsidR="00442D33" w:rsidRPr="00A249BB" w:rsidRDefault="00442D33" w:rsidP="00442D33">
      <w:pPr>
        <w:spacing w:after="120" w:line="360" w:lineRule="auto"/>
        <w:ind w:right="-28" w:firstLine="426"/>
        <w:jc w:val="both"/>
      </w:pPr>
      <w:r w:rsidRPr="00A249BB">
        <w:lastRenderedPageBreak/>
        <w:t>Scofield states that the New Covenant is ‘better’ than the Mosaic Covenant, and that Hebrews contrasts ‘the good things of Judaism and the better things of Christ’.</w:t>
      </w:r>
      <w:r w:rsidRPr="00A249BB">
        <w:rPr>
          <w:rStyle w:val="EndnoteReference"/>
        </w:rPr>
        <w:endnoteReference w:id="1428"/>
      </w:r>
      <w:r w:rsidRPr="00A249BB">
        <w:t xml:space="preserve">  This superiority is efficacious, not moral</w:t>
      </w:r>
      <w:r w:rsidRPr="00A249BB">
        <w:rPr>
          <w:rStyle w:val="EndnoteReference"/>
        </w:rPr>
        <w:endnoteReference w:id="1429"/>
      </w:r>
      <w:r w:rsidRPr="00A249BB">
        <w:t xml:space="preserve"> and this covenant is established on </w:t>
      </w:r>
      <w:r>
        <w:t>‘</w:t>
      </w:r>
      <w:r w:rsidRPr="00A249BB">
        <w:t>better</w:t>
      </w:r>
      <w:r>
        <w:t>’</w:t>
      </w:r>
      <w:r w:rsidRPr="00A249BB">
        <w:t xml:space="preserve"> promises which are unconditional.</w:t>
      </w:r>
      <w:r w:rsidRPr="00A249BB">
        <w:rPr>
          <w:rStyle w:val="EndnoteReference"/>
        </w:rPr>
        <w:endnoteReference w:id="1430"/>
      </w:r>
      <w:r w:rsidRPr="00A249BB">
        <w:t xml:space="preserve">  The subheads to Heb. 8:6 and 8:7 read respectively, ‘Because Christ mediates a better covenant’ and ‘</w:t>
      </w:r>
      <w:proofErr w:type="gramStart"/>
      <w:r w:rsidRPr="00A249BB">
        <w:t>The</w:t>
      </w:r>
      <w:proofErr w:type="gramEnd"/>
      <w:r w:rsidRPr="00A249BB">
        <w:t xml:space="preserve"> new covenant better than the old.’</w:t>
      </w:r>
      <w:r w:rsidRPr="00A249BB">
        <w:rPr>
          <w:rStyle w:val="EndnoteReference"/>
        </w:rPr>
        <w:endnoteReference w:id="1431"/>
      </w:r>
      <w:r w:rsidRPr="00A249BB">
        <w:t xml:space="preserve"> </w:t>
      </w:r>
    </w:p>
    <w:p w:rsidR="00442D33" w:rsidRPr="00A249BB" w:rsidRDefault="00442D33" w:rsidP="00442D33">
      <w:pPr>
        <w:spacing w:after="120" w:line="360" w:lineRule="auto"/>
        <w:ind w:right="-28" w:firstLine="426"/>
        <w:jc w:val="both"/>
      </w:pPr>
      <w:r w:rsidRPr="00A249BB">
        <w:rPr>
          <w:i/>
        </w:rPr>
        <w:t>SRB</w:t>
      </w:r>
      <w:r w:rsidRPr="00A249BB">
        <w:t xml:space="preserve"> is ambiguous concerning the conversion of Israel; in its two notes on Heb. 8:8, it attributes this to both the Palestinian and New Covenants.  In the first of these notes, Scofield states that ‘the </w:t>
      </w:r>
      <w:r w:rsidRPr="004E2AC7">
        <w:rPr>
          <w:i/>
        </w:rPr>
        <w:t>New Covenant</w:t>
      </w:r>
      <w:r w:rsidRPr="00A249BB">
        <w:t xml:space="preserve"> secures … the perpetuity, future conversion and blessing of Israel</w:t>
      </w:r>
      <w:r>
        <w:t>’</w:t>
      </w:r>
      <w:r w:rsidRPr="00A249BB">
        <w:rPr>
          <w:rStyle w:val="EndnoteReference"/>
        </w:rPr>
        <w:endnoteReference w:id="1432"/>
      </w:r>
      <w:r w:rsidRPr="00A249BB">
        <w:t xml:space="preserve"> whereas, in the second note, he states that ‘the </w:t>
      </w:r>
      <w:r w:rsidRPr="004E2AC7">
        <w:rPr>
          <w:i/>
        </w:rPr>
        <w:t>Palestinian Covenant</w:t>
      </w:r>
      <w:r w:rsidRPr="00A249BB">
        <w:rPr>
          <w:rStyle w:val="EndnoteReference"/>
        </w:rPr>
        <w:endnoteReference w:id="1433"/>
      </w:r>
      <w:r w:rsidRPr="00A249BB">
        <w:t xml:space="preserve"> … secures the final restoration and conversion of Israel’.</w:t>
      </w:r>
      <w:r w:rsidRPr="00A249BB">
        <w:rPr>
          <w:rStyle w:val="EndnoteReference"/>
        </w:rPr>
        <w:endnoteReference w:id="1434"/>
      </w:r>
      <w:r w:rsidRPr="00A249BB">
        <w:t xml:space="preserve">  These statements seem to be mutually exclusive.  Despite Scofield’s claim concerning the New Covenant in the first note, this does not abrogate the Palestinian and Davidic Covenants ‘for the </w:t>
      </w:r>
      <w:r w:rsidRPr="00A249BB">
        <w:rPr>
          <w:i/>
        </w:rPr>
        <w:t>earth</w:t>
      </w:r>
      <w:r w:rsidRPr="00A249BB">
        <w:t xml:space="preserve"> shall be filled … etc.</w:t>
      </w:r>
      <w:r w:rsidRPr="00A249BB">
        <w:rPr>
          <w:rStyle w:val="EndnoteReference"/>
        </w:rPr>
        <w:endnoteReference w:id="1435"/>
      </w:r>
      <w:r w:rsidRPr="00A249BB">
        <w:t xml:space="preserve"> and Jehovah will again be in His temple</w:t>
      </w:r>
      <w:r>
        <w:t>’</w:t>
      </w:r>
      <w:r w:rsidRPr="00A249BB">
        <w:t>.</w:t>
      </w:r>
      <w:r w:rsidRPr="00A249BB">
        <w:rPr>
          <w:rStyle w:val="EndnoteReference"/>
        </w:rPr>
        <w:endnoteReference w:id="1436"/>
      </w:r>
      <w:r w:rsidRPr="00A249BB">
        <w:t xml:space="preserve">  This statement appears to advocate the physical return of the Jews to what Scofield is calling ‘Palestine’ and the rebuilding of a physical temple.  This belies Christ’s statement that the temple to be raised would be his body.</w:t>
      </w:r>
      <w:r w:rsidRPr="00A249BB">
        <w:rPr>
          <w:rStyle w:val="EndnoteReference"/>
        </w:rPr>
        <w:endnoteReference w:id="1437"/>
      </w:r>
      <w:r w:rsidRPr="00A249BB">
        <w:t xml:space="preserve"> </w:t>
      </w:r>
    </w:p>
    <w:p w:rsidR="00442D33" w:rsidRPr="00A249BB" w:rsidRDefault="00442D33" w:rsidP="00442D33">
      <w:pPr>
        <w:tabs>
          <w:tab w:val="left" w:pos="4678"/>
        </w:tabs>
        <w:spacing w:after="120" w:line="360" w:lineRule="auto"/>
        <w:ind w:right="-28" w:firstLine="567"/>
        <w:jc w:val="both"/>
      </w:pPr>
      <w:r w:rsidRPr="00A249BB">
        <w:t>It is notable how much less material is included concerning the New Covenant than concerning the earlier covenants, especially the Abrahamic and Palestinian Covenants.  Even the lengthy note on Heb. 8:8, which is the main commentary on the New Covenant, is partly taken up with a summary of all the covenants and Christ’s relationship to them.</w:t>
      </w:r>
      <w:r w:rsidRPr="00A249BB">
        <w:rPr>
          <w:rStyle w:val="EndnoteReference"/>
        </w:rPr>
        <w:endnoteReference w:id="1438"/>
      </w:r>
    </w:p>
    <w:p w:rsidR="00442D33" w:rsidRPr="00B04418" w:rsidRDefault="00442D33" w:rsidP="00442D33">
      <w:pPr>
        <w:tabs>
          <w:tab w:val="left" w:pos="4678"/>
        </w:tabs>
        <w:spacing w:after="120" w:line="360" w:lineRule="auto"/>
        <w:ind w:right="-28"/>
        <w:jc w:val="both"/>
        <w:rPr>
          <w:b/>
          <w:sz w:val="24"/>
          <w:szCs w:val="24"/>
        </w:rPr>
      </w:pPr>
      <w:proofErr w:type="gramStart"/>
      <w:r w:rsidRPr="00B04418">
        <w:rPr>
          <w:b/>
          <w:sz w:val="24"/>
          <w:szCs w:val="24"/>
        </w:rPr>
        <w:t>5.</w:t>
      </w:r>
      <w:r w:rsidR="003242A4" w:rsidRPr="00B04418">
        <w:rPr>
          <w:b/>
          <w:sz w:val="24"/>
          <w:szCs w:val="24"/>
        </w:rPr>
        <w:t>6</w:t>
      </w:r>
      <w:r w:rsidRPr="00B04418">
        <w:rPr>
          <w:b/>
          <w:sz w:val="24"/>
          <w:szCs w:val="24"/>
        </w:rPr>
        <w:t xml:space="preserve">  The</w:t>
      </w:r>
      <w:proofErr w:type="gramEnd"/>
      <w:r w:rsidRPr="00B04418">
        <w:rPr>
          <w:b/>
          <w:sz w:val="24"/>
          <w:szCs w:val="24"/>
        </w:rPr>
        <w:t xml:space="preserve"> Sixth and Seventh Dispensations</w:t>
      </w:r>
    </w:p>
    <w:p w:rsidR="00442D33" w:rsidRPr="00A249BB" w:rsidRDefault="00442D33" w:rsidP="00442D33">
      <w:pPr>
        <w:tabs>
          <w:tab w:val="left" w:pos="4678"/>
        </w:tabs>
        <w:spacing w:after="120" w:line="360" w:lineRule="auto"/>
        <w:ind w:right="-29"/>
        <w:jc w:val="both"/>
        <w:rPr>
          <w:b/>
        </w:rPr>
      </w:pPr>
      <w:proofErr w:type="gramStart"/>
      <w:r w:rsidRPr="00B04418">
        <w:rPr>
          <w:b/>
        </w:rPr>
        <w:t>5.</w:t>
      </w:r>
      <w:r w:rsidR="003242A4" w:rsidRPr="00B04418">
        <w:rPr>
          <w:b/>
        </w:rPr>
        <w:t>6</w:t>
      </w:r>
      <w:r w:rsidRPr="00B04418">
        <w:rPr>
          <w:b/>
        </w:rPr>
        <w:t>.1  The</w:t>
      </w:r>
      <w:proofErr w:type="gramEnd"/>
      <w:r w:rsidRPr="00B04418">
        <w:rPr>
          <w:b/>
        </w:rPr>
        <w:t xml:space="preserve"> </w:t>
      </w:r>
      <w:r w:rsidRPr="00A249BB">
        <w:rPr>
          <w:b/>
        </w:rPr>
        <w:t>Sixth Dispensation</w:t>
      </w:r>
    </w:p>
    <w:p w:rsidR="00442D33" w:rsidRPr="00A249BB" w:rsidRDefault="00442D33" w:rsidP="00442D33">
      <w:pPr>
        <w:spacing w:after="120" w:line="360" w:lineRule="auto"/>
        <w:ind w:right="71"/>
        <w:jc w:val="both"/>
      </w:pPr>
      <w:r w:rsidRPr="00A249BB">
        <w:t>Scofield asserts that the entire sixth dispensation, or Church Age, lies between Daniel’s sixty-ninth and seventieth weeks, representing a hiatus between the Dispensation of Law and the Dispensation of the Kingdom.</w:t>
      </w:r>
      <w:r w:rsidRPr="00A249BB">
        <w:rPr>
          <w:rStyle w:val="EndnoteReference"/>
        </w:rPr>
        <w:endnoteReference w:id="1439"/>
      </w:r>
      <w:r w:rsidRPr="00A249BB">
        <w:t xml:space="preserve">  This age separates the suffering of the Messiah from his glory, something unforeseen by the Old Testament prophets, but revealed in the New Testament.</w:t>
      </w:r>
      <w:r w:rsidRPr="00A249BB">
        <w:rPr>
          <w:rStyle w:val="EndnoteReference"/>
        </w:rPr>
        <w:endnoteReference w:id="1440"/>
      </w:r>
      <w:r w:rsidRPr="00A249BB">
        <w:t xml:space="preserve">  New revelations relevant to the new dispensation were made through the preaching of New Testament prophets.</w:t>
      </w:r>
      <w:r w:rsidRPr="00A249BB">
        <w:rPr>
          <w:rStyle w:val="EndnoteReference"/>
        </w:rPr>
        <w:endnoteReference w:id="1441"/>
      </w:r>
      <w:r w:rsidRPr="00A249BB">
        <w:t xml:space="preserve">  </w:t>
      </w:r>
    </w:p>
    <w:p w:rsidR="00442D33" w:rsidRPr="00A249BB" w:rsidRDefault="00442D33" w:rsidP="00442D33">
      <w:pPr>
        <w:spacing w:after="120" w:line="360" w:lineRule="auto"/>
        <w:ind w:right="71" w:firstLine="567"/>
        <w:jc w:val="both"/>
      </w:pPr>
      <w:r w:rsidRPr="00A249BB">
        <w:t>Scofield introduces the sixth dispensation, Grace, in his note on Jn 1:17.</w:t>
      </w:r>
      <w:r w:rsidRPr="00A249BB">
        <w:rPr>
          <w:rStyle w:val="EndnoteReference"/>
        </w:rPr>
        <w:endnoteReference w:id="1442"/>
      </w:r>
      <w:r w:rsidRPr="00A249BB">
        <w:t xml:space="preserve">  It is odd that Scofield attaches his main exposition of the sixth dispensation to this verse in John 1, when its first statement asserts that ‘as a dispensation, grace begins with the death and resurrection of Christ’.  It would seem more logical to apply it to, for example, a verse in John 20, or one of the resurrection texts in the other gospels.  The placing of the note here also seems to contradict Scofield’s assertion that Christ’s life belongs to the Dispensation of Law, for example in his note on Mt. 6:12, concerning the Lord’s </w:t>
      </w:r>
      <w:r>
        <w:t>P</w:t>
      </w:r>
      <w:r w:rsidRPr="00A249BB">
        <w:t>rayer as legal ground.</w:t>
      </w:r>
      <w:r w:rsidRPr="00A249BB">
        <w:rPr>
          <w:rStyle w:val="EndnoteReference"/>
        </w:rPr>
        <w:endnoteReference w:id="1443"/>
      </w:r>
      <w:r w:rsidRPr="00A249BB">
        <w:t xml:space="preserve">  The ‘Dispensation of the Grace of God’ has already been mentioned in connection with Christ’s death and resurrection in the note on Mt. 28:19,</w:t>
      </w:r>
      <w:r w:rsidRPr="00A249BB">
        <w:rPr>
          <w:rStyle w:val="EndnoteReference"/>
        </w:rPr>
        <w:endnoteReference w:id="1444"/>
      </w:r>
      <w:r w:rsidRPr="00A249BB">
        <w:t xml:space="preserve"> though </w:t>
      </w:r>
      <w:r w:rsidRPr="00A249BB">
        <w:rPr>
          <w:i/>
        </w:rPr>
        <w:t>SRB</w:t>
      </w:r>
      <w:r w:rsidRPr="00A249BB">
        <w:t xml:space="preserve"> indicates Jn 1:17 as representing this dispensation in each list of dispensations, starting with the note on Gen. 1:28.</w:t>
      </w:r>
      <w:r w:rsidRPr="00A249BB">
        <w:rPr>
          <w:rStyle w:val="EndnoteReference"/>
        </w:rPr>
        <w:endnoteReference w:id="1445"/>
      </w:r>
      <w:r w:rsidRPr="00A249BB">
        <w:t xml:space="preserve">  </w:t>
      </w:r>
    </w:p>
    <w:p w:rsidR="00442D33" w:rsidRPr="00A249BB" w:rsidRDefault="00442D33" w:rsidP="00442D33">
      <w:pPr>
        <w:spacing w:after="120" w:line="360" w:lineRule="auto"/>
        <w:ind w:right="71" w:firstLine="567"/>
        <w:jc w:val="both"/>
      </w:pPr>
      <w:r w:rsidRPr="00A249BB">
        <w:lastRenderedPageBreak/>
        <w:t>The heading to the note on Jn 1:17 is ‘Grace, Summary’; the note concerns mainly the contrast between law and grace.  Scofield states that ‘grace is “the kindness and love of God our Saviour toward man …, not by works of righteousness which we have done”’.</w:t>
      </w:r>
      <w:r w:rsidRPr="00A249BB">
        <w:rPr>
          <w:rStyle w:val="EndnoteReference"/>
        </w:rPr>
        <w:endnoteReference w:id="1446"/>
      </w:r>
      <w:r w:rsidRPr="00A249BB">
        <w:t xml:space="preserve">  Grace is always contrasted with law, ‘under which God demands righteousness from man, as, under grace, He gives righteousness to man’.  Law is ‘connected with Moses and works’ whereas grace is connected with ‘Christ and faith’.  ‘Law blesses the good; grace saves the bad’</w:t>
      </w:r>
      <w:r w:rsidRPr="00A249BB">
        <w:rPr>
          <w:rStyle w:val="EndnoteReference"/>
        </w:rPr>
        <w:endnoteReference w:id="1447"/>
      </w:r>
      <w:r w:rsidRPr="00A249BB">
        <w:t xml:space="preserve"> and ‘law demands that blessings be earned; grace is a free gift’.</w:t>
      </w:r>
      <w:r w:rsidRPr="00A249BB">
        <w:rPr>
          <w:rStyle w:val="EndnoteReference"/>
        </w:rPr>
        <w:endnoteReference w:id="1448"/>
      </w:r>
      <w:r w:rsidRPr="00A249BB">
        <w:t xml:space="preserve">  Grace has ‘a twofold manifestation in </w:t>
      </w:r>
      <w:proofErr w:type="gramStart"/>
      <w:r w:rsidRPr="00A249BB">
        <w:t>salvation,</w:t>
      </w:r>
      <w:r w:rsidRPr="00A249BB">
        <w:rPr>
          <w:rStyle w:val="EndnoteReference"/>
        </w:rPr>
        <w:endnoteReference w:id="1449"/>
      </w:r>
      <w:proofErr w:type="gramEnd"/>
      <w:r w:rsidRPr="00A249BB">
        <w:t xml:space="preserve"> and in the walk and service of the saved’.</w:t>
      </w:r>
      <w:r w:rsidRPr="00A249BB">
        <w:rPr>
          <w:rStyle w:val="EndnoteReference"/>
        </w:rPr>
        <w:endnoteReference w:id="1450"/>
      </w:r>
    </w:p>
    <w:p w:rsidR="00442D33" w:rsidRPr="00A249BB" w:rsidRDefault="00442D33" w:rsidP="00442D33">
      <w:pPr>
        <w:spacing w:after="120" w:line="360" w:lineRule="auto"/>
        <w:ind w:right="71" w:firstLine="567"/>
        <w:jc w:val="both"/>
      </w:pPr>
      <w:r w:rsidRPr="00A249BB">
        <w:t>Scofield’s summary of Grace contains two anomalies.  Firstly, Scofield contradicts himself.  Having stated that the Dispensation of Grace begins with the Christ’s death and resurrection,</w:t>
      </w:r>
      <w:r w:rsidRPr="00A249BB">
        <w:rPr>
          <w:rStyle w:val="EndnoteReference"/>
        </w:rPr>
        <w:endnoteReference w:id="1451"/>
      </w:r>
      <w:r w:rsidRPr="00A249BB">
        <w:t xml:space="preserve"> and having averred that testing under grace is ‘acceptance or rejection of Christ with good works as a fruit of salvation’,</w:t>
      </w:r>
      <w:r w:rsidRPr="00A249BB">
        <w:rPr>
          <w:rStyle w:val="EndnoteReference"/>
        </w:rPr>
        <w:endnoteReference w:id="1452"/>
      </w:r>
      <w:r w:rsidRPr="00A249BB">
        <w:t xml:space="preserve"> he then asserts that ‘the immediate result of this testing was the rejection of Christ by the Jews, and His crucifixion by Jew and Gentile’.</w:t>
      </w:r>
      <w:r w:rsidRPr="00A249BB">
        <w:rPr>
          <w:rStyle w:val="EndnoteReference"/>
        </w:rPr>
        <w:endnoteReference w:id="1453"/>
      </w:r>
      <w:r w:rsidRPr="00A249BB">
        <w:t xml:space="preserve">  He thus implies that testing under grace actually occurred during the Dispensation of Law and preceded the onset of the Dispensation of Grace.  The Jews failed in not accepting Christ, which was allegedly their obligation under a dispensation which did not exist at that time.</w:t>
      </w:r>
    </w:p>
    <w:p w:rsidR="00442D33" w:rsidRPr="00A249BB" w:rsidRDefault="00442D33" w:rsidP="00442D33">
      <w:pPr>
        <w:spacing w:after="120" w:line="360" w:lineRule="auto"/>
        <w:ind w:right="71" w:firstLine="567"/>
        <w:jc w:val="both"/>
      </w:pPr>
      <w:r w:rsidRPr="00A249BB">
        <w:t>Secondly, the note on Jn 1:17 contains the ambiguous statement that ‘the point of testing is no longer legal obedience as the condition of salvation’.</w:t>
      </w:r>
      <w:r w:rsidRPr="00A249BB">
        <w:rPr>
          <w:rStyle w:val="EndnoteReference"/>
        </w:rPr>
        <w:endnoteReference w:id="1454"/>
      </w:r>
      <w:r w:rsidRPr="00A249BB">
        <w:t xml:space="preserve">  This clearly implies that salvation was achieved through works during the Dispensation of Law even though Scofield asserts elsewhere that salvation comes ‘through a crucified and risen Lord’</w:t>
      </w:r>
      <w:r w:rsidRPr="00A249BB">
        <w:rPr>
          <w:rStyle w:val="EndnoteReference"/>
        </w:rPr>
        <w:endnoteReference w:id="1455"/>
      </w:r>
      <w:r w:rsidRPr="00A249BB">
        <w:t xml:space="preserve"> and is available to ‘all who believe’.</w:t>
      </w:r>
      <w:r w:rsidRPr="00A249BB">
        <w:rPr>
          <w:rStyle w:val="EndnoteReference"/>
        </w:rPr>
        <w:endnoteReference w:id="1456"/>
      </w:r>
      <w:r w:rsidRPr="00A249BB">
        <w:t xml:space="preserve">  Kraus refers to Scofield’s ambiguity on this matter; he asks two pertinent questions: ‘Does man’s salvation in any way depend upon his response to the dispensational tests?  Is the nature of the response demanded in each dispensation the same?’  He suggests that Scofield would reply in the affirmative to both these </w:t>
      </w:r>
      <w:proofErr w:type="gramStart"/>
      <w:r w:rsidRPr="00A249BB">
        <w:t>questions,</w:t>
      </w:r>
      <w:proofErr w:type="gramEnd"/>
      <w:r w:rsidRPr="00A249BB">
        <w:t xml:space="preserve"> at least in some sense, but that, concerning the second question ‘[his] dispensational distinctions, if they mean anything at all, seem to belie [his] answer’.  Consequently ‘one must conclude’ from statements in the notes on Jn 1:17 and Mt. 6:12, and in ‘others which sharply contrast the two dispensations and thereby make the same implicit contrast’, that ‘God does employ a different approach to salvation in each dispensation’.</w:t>
      </w:r>
      <w:r w:rsidRPr="00A249BB">
        <w:rPr>
          <w:rStyle w:val="EndnoteReference"/>
        </w:rPr>
        <w:endnoteReference w:id="1457"/>
      </w:r>
      <w:r w:rsidRPr="00A249BB">
        <w:t xml:space="preserve">  Quoting the </w:t>
      </w:r>
      <w:r w:rsidRPr="00A249BB">
        <w:rPr>
          <w:i/>
        </w:rPr>
        <w:t>SRB</w:t>
      </w:r>
      <w:r w:rsidRPr="00A249BB">
        <w:t xml:space="preserve"> note on Jn 1:17, Bass states that ‘the presupposition of the difference between law and grace, between Israel and the church, between the different relations of God to men in the different dispensations, when carried to its logical conclusion will inevitably result in a multiple form of salvation – that men are not saved in the same way in all ages’.</w:t>
      </w:r>
      <w:r w:rsidRPr="00A249BB">
        <w:rPr>
          <w:rStyle w:val="EndnoteReference"/>
        </w:rPr>
        <w:endnoteReference w:id="1458"/>
      </w:r>
      <w:r w:rsidRPr="00A249BB">
        <w:t xml:space="preserve">  This implication has been vehemently denied by later dispensationalists, including the editors of the 1967 and 2003 editions of </w:t>
      </w:r>
      <w:r w:rsidRPr="00A249BB">
        <w:rPr>
          <w:i/>
        </w:rPr>
        <w:t>SRB</w:t>
      </w:r>
      <w:r w:rsidRPr="00A249BB">
        <w:t>.  Both of these state categorically that ‘grace is the basis for salvation in all dispensations, and is under all circumstances the only way of salvation from sin’.</w:t>
      </w:r>
      <w:r w:rsidRPr="00A249BB">
        <w:rPr>
          <w:rStyle w:val="EndnoteReference"/>
        </w:rPr>
        <w:endnoteReference w:id="1459"/>
      </w:r>
      <w:r w:rsidRPr="00A249BB">
        <w:t xml:space="preserve">  Walvoord, reviewing Bass’ book, accuses him of perpetrating ‘the oft-repeated libel that dispensationalism teaches two ways of salvation’.</w:t>
      </w:r>
      <w:r w:rsidRPr="00A249BB">
        <w:rPr>
          <w:rStyle w:val="EndnoteReference"/>
        </w:rPr>
        <w:endnoteReference w:id="1460"/>
      </w:r>
      <w:r w:rsidRPr="00A249BB">
        <w:t xml:space="preserve">  Ryrie suggests that the charge that dispensationalism promotes two ways of salvation is one of the supposed </w:t>
      </w:r>
      <w:r w:rsidRPr="00A249BB">
        <w:lastRenderedPageBreak/>
        <w:t>teachings which opponents to dispensationalism ridicule and use to condemn the entire system.</w:t>
      </w:r>
      <w:r w:rsidRPr="00A249BB">
        <w:rPr>
          <w:rStyle w:val="EndnoteReference"/>
        </w:rPr>
        <w:endnoteReference w:id="1461"/>
      </w:r>
      <w:r w:rsidRPr="00A249BB">
        <w:t xml:space="preserve">  Chafer states that ‘</w:t>
      </w:r>
      <w:r w:rsidRPr="00A249BB">
        <w:rPr>
          <w:szCs w:val="24"/>
        </w:rPr>
        <w:t>The law was never given as a means of salvation or justification</w:t>
      </w:r>
      <w:r w:rsidRPr="00A249BB">
        <w:t>’.</w:t>
      </w:r>
      <w:r w:rsidRPr="00A249BB">
        <w:rPr>
          <w:rStyle w:val="EndnoteReference"/>
        </w:rPr>
        <w:endnoteReference w:id="1462"/>
      </w:r>
    </w:p>
    <w:p w:rsidR="00442D33" w:rsidRPr="00A249BB" w:rsidRDefault="00442D33" w:rsidP="00442D33">
      <w:pPr>
        <w:spacing w:after="120" w:line="360" w:lineRule="auto"/>
        <w:ind w:right="71" w:firstLine="567"/>
        <w:jc w:val="both"/>
      </w:pPr>
      <w:r w:rsidRPr="00A249BB">
        <w:t>Scofield’s main contention with regard to the Dispensation of Grace is the contrast between it and the preceding Dispensation of Law.  He states that the sixth dispensation, which runs concurrently with the mystery form of the kingdom,</w:t>
      </w:r>
      <w:r w:rsidRPr="00A249BB">
        <w:rPr>
          <w:rStyle w:val="EndnoteReference"/>
        </w:rPr>
        <w:endnoteReference w:id="1463"/>
      </w:r>
      <w:r w:rsidRPr="00A249BB">
        <w:t xml:space="preserve"> endows believers with spiritual blessings; this is in contrast to the ‘Jewish dispensation’, whose blessings were the temporal reward of an obedient people, and the kingdom-age, during which ‘spiritual and temporal blessings unite’.</w:t>
      </w:r>
      <w:r w:rsidRPr="00A249BB">
        <w:rPr>
          <w:rStyle w:val="EndnoteReference"/>
        </w:rPr>
        <w:endnoteReference w:id="1464"/>
      </w:r>
      <w:r w:rsidRPr="00A249BB">
        <w:t xml:space="preserve">  Under this dispensation, ‘the Mosaic system, if still persisted in, becomes a mere “Jews’ religion”’.</w:t>
      </w:r>
      <w:r w:rsidRPr="00A249BB">
        <w:rPr>
          <w:rStyle w:val="EndnoteReference"/>
        </w:rPr>
        <w:endnoteReference w:id="1465"/>
      </w:r>
      <w:r w:rsidRPr="00A249BB">
        <w:t xml:space="preserve">  </w:t>
      </w:r>
    </w:p>
    <w:p w:rsidR="00442D33" w:rsidRPr="00A249BB" w:rsidRDefault="00442D33" w:rsidP="00442D33">
      <w:pPr>
        <w:spacing w:after="120" w:line="360" w:lineRule="auto"/>
        <w:ind w:right="71" w:firstLine="567"/>
        <w:jc w:val="both"/>
      </w:pPr>
      <w:r w:rsidRPr="00A249BB">
        <w:t>Scofield generally holds that the concepts of law and grace must be kept completely separate,</w:t>
      </w:r>
      <w:r>
        <w:rPr>
          <w:rStyle w:val="EndnoteReference"/>
        </w:rPr>
        <w:endnoteReference w:id="1466"/>
      </w:r>
      <w:r w:rsidRPr="00A249BB">
        <w:t xml:space="preserve"> though he does allow the intrusion of law into the Dispensation of Grace as a behavioural guide for believers.</w:t>
      </w:r>
      <w:r w:rsidRPr="00A249BB">
        <w:rPr>
          <w:rStyle w:val="EndnoteReference"/>
        </w:rPr>
        <w:endnoteReference w:id="1467"/>
      </w:r>
      <w:r w:rsidRPr="00A249BB">
        <w:t xml:space="preserve">  Referring to Gal. 1:6, Scofield defines </w:t>
      </w:r>
      <w:r>
        <w:t>‘</w:t>
      </w:r>
      <w:r w:rsidRPr="00A249BB">
        <w:t>another gospel</w:t>
      </w:r>
      <w:r>
        <w:t>’</w:t>
      </w:r>
      <w:r w:rsidRPr="00A249BB">
        <w:t xml:space="preserve"> as being a message which excludes grace, or mingles it with law as a means to justification or sanctification, or denies the fact or guilt of sin.</w:t>
      </w:r>
      <w:r w:rsidRPr="00A249BB">
        <w:rPr>
          <w:rStyle w:val="EndnoteReference"/>
        </w:rPr>
        <w:endnoteReference w:id="1468"/>
      </w:r>
      <w:r w:rsidRPr="00A249BB">
        <w:t xml:space="preserve">  In his note on Gal. 3:24, he states that ‘the attempt of the legalistic teachers to mingle law with grace as the divine method for this dispensation brought out the true relation of law to the Christian’ and then gives a definition of the role of the law in the Dispensation of Grace.</w:t>
      </w:r>
      <w:r w:rsidRPr="00A249BB">
        <w:rPr>
          <w:rStyle w:val="EndnoteReference"/>
        </w:rPr>
        <w:endnoteReference w:id="1469"/>
      </w:r>
      <w:r w:rsidRPr="00A249BB">
        <w:t xml:space="preserve">  In this Scofield rehearses ma</w:t>
      </w:r>
      <w:r>
        <w:t>n</w:t>
      </w:r>
      <w:r w:rsidRPr="00A249BB">
        <w:t xml:space="preserve">y arguments made in the Pauline and Deutero-Pauline letters and in Hebrews, to which he gives many references.  This places Scofield within </w:t>
      </w:r>
      <w:r>
        <w:t>evangelical</w:t>
      </w:r>
      <w:r w:rsidRPr="00A249BB">
        <w:t xml:space="preserve"> Christian tradition on this matter.  Law, itself ‘holy, just, good and spiritual’,</w:t>
      </w:r>
      <w:r w:rsidRPr="00A249BB">
        <w:rPr>
          <w:rStyle w:val="EndnoteReference"/>
        </w:rPr>
        <w:endnoteReference w:id="1470"/>
      </w:r>
      <w:r w:rsidRPr="00A249BB">
        <w:t xml:space="preserve"> is in contrast to grace because under grace ‘God bestows the righteousness which, under law, he demanded’.</w:t>
      </w:r>
      <w:r w:rsidRPr="00A249BB">
        <w:rPr>
          <w:rStyle w:val="EndnoteReference"/>
        </w:rPr>
        <w:endnoteReference w:id="1471"/>
      </w:r>
      <w:r w:rsidRPr="00A249BB">
        <w:t xml:space="preserve">  Because the whole world is guilty before the law, ‘the law is therefore of necessity a ministry of condemnation, death and the divine curse’.</w:t>
      </w:r>
      <w:r w:rsidRPr="00A249BB">
        <w:rPr>
          <w:rStyle w:val="EndnoteReference"/>
        </w:rPr>
        <w:endnoteReference w:id="1472"/>
      </w:r>
      <w:r w:rsidRPr="00A249BB">
        <w:t xml:space="preserve">  Christ took on the law’s curse and redeemed the believer from that and its dominion.</w:t>
      </w:r>
      <w:r w:rsidRPr="00A249BB">
        <w:rPr>
          <w:rStyle w:val="EndnoteReference"/>
        </w:rPr>
        <w:endnoteReference w:id="1473"/>
      </w:r>
      <w:r w:rsidRPr="00A249BB">
        <w:t xml:space="preserve">  Sinners are not justified by the law or believers sanctified by it.</w:t>
      </w:r>
      <w:r w:rsidRPr="00A249BB">
        <w:rPr>
          <w:rStyle w:val="EndnoteReference"/>
        </w:rPr>
        <w:endnoteReference w:id="1474"/>
      </w:r>
      <w:r w:rsidRPr="00A249BB">
        <w:t xml:space="preserve">  Believers are under grace, not law,</w:t>
      </w:r>
      <w:r w:rsidRPr="00A249BB">
        <w:rPr>
          <w:rStyle w:val="EndnoteReference"/>
        </w:rPr>
        <w:endnoteReference w:id="1475"/>
      </w:r>
      <w:r w:rsidRPr="00A249BB">
        <w:t xml:space="preserve"> and, ‘under the new covenant of grace the principle of obedience to the divine will is inwrought;</w:t>
      </w:r>
      <w:r w:rsidRPr="00A249BB">
        <w:rPr>
          <w:rStyle w:val="EndnoteReference"/>
        </w:rPr>
        <w:endnoteReference w:id="1476"/>
      </w:r>
      <w:r w:rsidRPr="00A249BB">
        <w:t xml:space="preserve"> the believer is under the “new law of Christ”;</w:t>
      </w:r>
      <w:r w:rsidRPr="00A249BB">
        <w:rPr>
          <w:rStyle w:val="EndnoteReference"/>
        </w:rPr>
        <w:endnoteReference w:id="1477"/>
      </w:r>
      <w:r w:rsidRPr="00A249BB">
        <w:t xml:space="preserve"> indwelt by the Spirit ‘the righteousness of the law is fulfilled in him’.</w:t>
      </w:r>
      <w:r w:rsidRPr="00A249BB">
        <w:rPr>
          <w:rStyle w:val="EndnoteReference"/>
        </w:rPr>
        <w:endnoteReference w:id="1478"/>
      </w:r>
      <w:r w:rsidRPr="00A249BB">
        <w:t xml:space="preserve">  ‘The commandments’ are thus for Christians ‘an instruction in righteousness’.</w:t>
      </w:r>
      <w:r w:rsidRPr="00A249BB">
        <w:rPr>
          <w:rStyle w:val="EndnoteReference"/>
        </w:rPr>
        <w:endnoteReference w:id="1479"/>
      </w:r>
      <w:r w:rsidRPr="00A249BB">
        <w:t xml:space="preserve">  </w:t>
      </w:r>
    </w:p>
    <w:p w:rsidR="00442D33" w:rsidRPr="00A249BB" w:rsidRDefault="00442D33" w:rsidP="00442D33">
      <w:pPr>
        <w:tabs>
          <w:tab w:val="left" w:pos="4678"/>
        </w:tabs>
        <w:spacing w:after="120" w:line="360" w:lineRule="auto"/>
        <w:ind w:right="-28" w:firstLine="567"/>
        <w:jc w:val="both"/>
        <w:rPr>
          <w:sz w:val="24"/>
        </w:rPr>
      </w:pPr>
      <w:r w:rsidRPr="00A249BB">
        <w:t xml:space="preserve">Mangum’s assertion that one of Scofield’s tenets was that ‘law and grace are mutually exclusive principles that characterize different dispensations and are in mutual diametric contrast’ is somewhat belied by </w:t>
      </w:r>
      <w:r>
        <w:t xml:space="preserve">the </w:t>
      </w:r>
      <w:r w:rsidRPr="00A249BB">
        <w:t>final clause in the note above.  This shows some congruence with the opposite, covenant-theological view given by Mangum: ‘The Law as given by God (not perverted as by the Pharisees and hypocrites), is a gracious guide for living righteously for the person in the right relationship to God, such that even the present-day believer is provided through the Mosaic law clear principles for living in a way that pleases God.’ and that modern believers ‘gain principles from it for righteous living’.</w:t>
      </w:r>
      <w:r w:rsidRPr="00A249BB">
        <w:rPr>
          <w:rStyle w:val="EndnoteReference"/>
        </w:rPr>
        <w:endnoteReference w:id="1480"/>
      </w:r>
    </w:p>
    <w:p w:rsidR="00442D33" w:rsidRPr="00A249BB" w:rsidRDefault="00442D33" w:rsidP="00442D33">
      <w:pPr>
        <w:spacing w:after="120" w:line="360" w:lineRule="auto"/>
        <w:ind w:right="74" w:firstLine="567"/>
        <w:jc w:val="both"/>
        <w:rPr>
          <w:rFonts w:ascii="Times New Roman" w:hAnsi="Times New Roman"/>
        </w:rPr>
      </w:pPr>
      <w:r w:rsidRPr="00A249BB">
        <w:t xml:space="preserve">Scofield regards Acts 15 as the most important New Testament passage for dispensational theory, giving God’s purpose for this age and the start of the next age.  The elements are ‘the taking out from the Gentiles of a people for His name’; the final regathering of Israel; and the rebuilding of the tabernacle of </w:t>
      </w:r>
      <w:r w:rsidRPr="00A249BB">
        <w:lastRenderedPageBreak/>
        <w:t>David (i.e. the re-establishment of Davidic rule over Israel) so that ‘the residue’ of Israelites, and all the Gentiles might seek God.</w:t>
      </w:r>
      <w:r w:rsidRPr="00A249BB">
        <w:rPr>
          <w:rStyle w:val="EndnoteReference"/>
        </w:rPr>
        <w:endnoteReference w:id="1481"/>
      </w:r>
      <w:r w:rsidRPr="00A249BB">
        <w:t xml:space="preserve">  The distinctive feature of the present age is Christ’s salvation of the Gentiles.  </w:t>
      </w:r>
      <w:r w:rsidRPr="00A249BB">
        <w:rPr>
          <w:lang w:eastAsia="en-GB"/>
        </w:rPr>
        <w:t xml:space="preserve">‘The prophets connect Christ with the Gentiles in a threefold way’, firstly he is the Light of their salvation, secondly he will be their ruler as </w:t>
      </w:r>
      <w:r>
        <w:rPr>
          <w:lang w:eastAsia="en-GB"/>
        </w:rPr>
        <w:t>‘</w:t>
      </w:r>
      <w:r w:rsidRPr="00A249BB">
        <w:rPr>
          <w:lang w:eastAsia="en-GB"/>
        </w:rPr>
        <w:t xml:space="preserve">the </w:t>
      </w:r>
      <w:r>
        <w:rPr>
          <w:lang w:eastAsia="en-GB"/>
        </w:rPr>
        <w:t>“</w:t>
      </w:r>
      <w:r w:rsidRPr="00A249BB">
        <w:rPr>
          <w:lang w:eastAsia="en-GB"/>
        </w:rPr>
        <w:t>Root of Jesse</w:t>
      </w:r>
      <w:r>
        <w:rPr>
          <w:lang w:eastAsia="en-GB"/>
        </w:rPr>
        <w:t>”’</w:t>
      </w:r>
      <w:r w:rsidRPr="00A249BB">
        <w:rPr>
          <w:lang w:eastAsia="en-GB"/>
        </w:rPr>
        <w:t xml:space="preserve"> ‘in the kingdom-age to follow this’, and thirdly ‘believing Gentiles, in the present age, together with believing Jews, constitute “the Church which is His body”’.</w:t>
      </w:r>
      <w:r w:rsidRPr="00A249BB">
        <w:rPr>
          <w:rStyle w:val="EndnoteReference"/>
          <w:lang w:eastAsia="en-GB"/>
        </w:rPr>
        <w:endnoteReference w:id="1482"/>
      </w:r>
      <w:r w:rsidRPr="00A249BB">
        <w:rPr>
          <w:lang w:eastAsia="en-GB"/>
        </w:rPr>
        <w:t xml:space="preserve">  </w:t>
      </w:r>
      <w:r>
        <w:rPr>
          <w:lang w:eastAsia="en-GB"/>
        </w:rPr>
        <w:t>‘</w:t>
      </w:r>
      <w:r w:rsidRPr="00A249BB">
        <w:t>The “fullness of the Gentiles”</w:t>
      </w:r>
      <w:r>
        <w:t>’</w:t>
      </w:r>
      <w:r w:rsidRPr="00A249BB">
        <w:t xml:space="preserve"> marks the completion of God’s purposes for this age;</w:t>
      </w:r>
      <w:r w:rsidRPr="00A249BB">
        <w:rPr>
          <w:rStyle w:val="EndnoteReference"/>
        </w:rPr>
        <w:endnoteReference w:id="1483"/>
      </w:r>
      <w:r w:rsidRPr="00A249BB">
        <w:t xml:space="preserve"> the return of the Redeemer to Zion follows the completion of the Gentile Church.</w:t>
      </w:r>
      <w:r w:rsidRPr="00A249BB">
        <w:rPr>
          <w:rStyle w:val="EndnoteReference"/>
        </w:rPr>
        <w:endnoteReference w:id="1484"/>
      </w:r>
      <w:r w:rsidRPr="00A249BB">
        <w:t xml:space="preserve">  This concentration on the Gentile Church reinforces Scofield’s consistent concept of the eternal separation between Church and Israel, even as it contradicts his statement that the New Testament Church is ‘one body, composed of Jew and Gentile’,</w:t>
      </w:r>
      <w:r w:rsidRPr="00A249BB">
        <w:rPr>
          <w:rStyle w:val="EndnoteReference"/>
        </w:rPr>
        <w:endnoteReference w:id="1485"/>
      </w:r>
      <w:r w:rsidRPr="00A249BB">
        <w:t xml:space="preserve"> and that ‘the divine purpose [is] to make of Jew and Gentile a wholly new thing “the church”’.</w:t>
      </w:r>
      <w:r w:rsidRPr="00A249BB">
        <w:rPr>
          <w:rStyle w:val="EndnoteReference"/>
        </w:rPr>
        <w:endnoteReference w:id="1486"/>
      </w:r>
      <w:r w:rsidRPr="00A249BB">
        <w:t xml:space="preserve">  There seems to be no place for Jewish believers in Scofield’s account of the sixth dispensation.</w:t>
      </w:r>
    </w:p>
    <w:p w:rsidR="00442D33" w:rsidRPr="00A249BB" w:rsidRDefault="00442D33" w:rsidP="00442D33">
      <w:pPr>
        <w:spacing w:after="120" w:line="360" w:lineRule="auto"/>
        <w:ind w:right="71" w:firstLine="500"/>
        <w:jc w:val="both"/>
      </w:pPr>
      <w:r w:rsidRPr="00A249BB">
        <w:t>The presence of the Holy Spirit is another distinction of the sixth dispensation.  Peter’s encounter with Cornelius</w:t>
      </w:r>
      <w:r w:rsidRPr="00A249BB">
        <w:rPr>
          <w:rStyle w:val="EndnoteReference"/>
        </w:rPr>
        <w:endnoteReference w:id="1487"/>
      </w:r>
      <w:r w:rsidRPr="00A249BB">
        <w:t xml:space="preserve"> indicates that the Holy Spirit was given immediately to all those of faith in Christ; this is ‘the permanent fact for the entire church-age’.</w:t>
      </w:r>
      <w:r w:rsidRPr="00A249BB">
        <w:rPr>
          <w:rStyle w:val="EndnoteReference"/>
        </w:rPr>
        <w:endnoteReference w:id="1488"/>
      </w:r>
      <w:r w:rsidRPr="00A249BB">
        <w:t xml:space="preserve">  The ‘normal order’ is the giving of the Holy Spirit through faith in Christ.</w:t>
      </w:r>
      <w:r w:rsidRPr="00A249BB">
        <w:rPr>
          <w:rStyle w:val="EndnoteReference"/>
        </w:rPr>
        <w:endnoteReference w:id="1489"/>
      </w:r>
      <w:r w:rsidRPr="00A249BB">
        <w:t xml:space="preserve">  The interval between Pentecost and the feast of trumpets in Leviticus is said to parallel the Holy Spirit’s long Pentecostal period of work in ‘the present dispensation’.</w:t>
      </w:r>
      <w:r w:rsidRPr="00A249BB">
        <w:rPr>
          <w:rStyle w:val="EndnoteReference"/>
        </w:rPr>
        <w:endnoteReference w:id="1490"/>
      </w:r>
      <w:r w:rsidRPr="00A249BB">
        <w:t xml:space="preserve">  No believer of this dispensation needs to pray that the Holy Spirit should not be removed from him.</w:t>
      </w:r>
      <w:r w:rsidRPr="00A249BB">
        <w:rPr>
          <w:rStyle w:val="EndnoteReference"/>
        </w:rPr>
        <w:endnoteReference w:id="1491"/>
      </w:r>
      <w:r w:rsidRPr="00A249BB">
        <w:t xml:space="preserve">  </w:t>
      </w:r>
    </w:p>
    <w:p w:rsidR="00442D33" w:rsidRPr="00A249BB" w:rsidRDefault="00442D33" w:rsidP="00442D33">
      <w:pPr>
        <w:spacing w:after="120" w:line="360" w:lineRule="auto"/>
        <w:ind w:right="71" w:firstLine="500"/>
        <w:jc w:val="both"/>
        <w:rPr>
          <w:i/>
        </w:rPr>
      </w:pPr>
      <w:r w:rsidRPr="00A249BB">
        <w:t>However, in commentary o</w:t>
      </w:r>
      <w:r>
        <w:t>n</w:t>
      </w:r>
      <w:r w:rsidRPr="00A249BB">
        <w:t xml:space="preserve"> some of the parables, Scofield also concentrates on the apostate nature of Christendom in this age,</w:t>
      </w:r>
      <w:r w:rsidRPr="00A249BB">
        <w:rPr>
          <w:rStyle w:val="EndnoteReference"/>
        </w:rPr>
        <w:endnoteReference w:id="1492"/>
      </w:r>
      <w:r w:rsidRPr="00A249BB">
        <w:t xml:space="preserve"> where world-wide conversion should not be anticipated.</w:t>
      </w:r>
      <w:r w:rsidRPr="00A249BB">
        <w:rPr>
          <w:rStyle w:val="EndnoteReference"/>
        </w:rPr>
        <w:endnoteReference w:id="1493"/>
      </w:r>
      <w:r w:rsidRPr="00A249BB">
        <w:t xml:space="preserve">  Scofield states that the Judaeo-Christian writers, unlike Paul, who describes the saved body of believers, see the Church as ‘a professing </w:t>
      </w:r>
      <w:proofErr w:type="gramStart"/>
      <w:r w:rsidRPr="00A249BB">
        <w:t>body</w:t>
      </w:r>
      <w:proofErr w:type="gramEnd"/>
      <w:r w:rsidRPr="00A249BB">
        <w:t xml:space="preserve"> in which, during this age, the wheat and tares are mingled’.</w:t>
      </w:r>
      <w:r w:rsidRPr="00A249BB">
        <w:rPr>
          <w:rStyle w:val="EndnoteReference"/>
        </w:rPr>
        <w:endnoteReference w:id="1494"/>
      </w:r>
      <w:r w:rsidRPr="00A249BB">
        <w:t xml:space="preserve">  Scofield asserts that ‘the predicted end of the testing of man under grace is the apostasy of the professing church’ and ‘apocalyptic judgments’.</w:t>
      </w:r>
      <w:r w:rsidRPr="00A249BB">
        <w:rPr>
          <w:rStyle w:val="EndnoteReference"/>
        </w:rPr>
        <w:endnoteReference w:id="1495"/>
      </w:r>
      <w:r w:rsidRPr="00A249BB">
        <w:t xml:space="preserve">  While believers are saved, the unbelieving world and apostate church are judged.</w:t>
      </w:r>
      <w:r w:rsidRPr="00A249BB">
        <w:rPr>
          <w:rStyle w:val="EndnoteReference"/>
        </w:rPr>
        <w:endnoteReference w:id="1496"/>
      </w:r>
      <w:r w:rsidRPr="00A249BB">
        <w:t xml:space="preserve">  For Scofield, the plague of insects in Joel represents ‘the end-time of the present age’.</w:t>
      </w:r>
      <w:r w:rsidRPr="00A249BB">
        <w:rPr>
          <w:rStyle w:val="EndnoteReference"/>
        </w:rPr>
        <w:endnoteReference w:id="1497"/>
      </w:r>
      <w:r w:rsidRPr="00A249BB">
        <w:t xml:space="preserve">  The prophecy of Jer. 25:29 concerns, not merely Nebuchadnezzar’s invasion, but also the end of the age, the Day of the LORD and Armageddon,</w:t>
      </w:r>
      <w:r w:rsidRPr="00A249BB">
        <w:rPr>
          <w:rStyle w:val="EndnoteReference"/>
        </w:rPr>
        <w:endnoteReference w:id="1498"/>
      </w:r>
      <w:r w:rsidRPr="00A249BB">
        <w:t xml:space="preserve"> and the account of the siege of Jerusalem in Lk. 21:20-24 refers to Titus’ siege of 70 CE, adumbrating the end-time siege of Rev. 19:11-21.</w:t>
      </w:r>
      <w:r w:rsidRPr="00A249BB">
        <w:rPr>
          <w:rStyle w:val="EndnoteReference"/>
        </w:rPr>
        <w:endnoteReference w:id="1499"/>
      </w:r>
      <w:r w:rsidRPr="00A249BB">
        <w:t xml:space="preserve">   </w:t>
      </w:r>
    </w:p>
    <w:p w:rsidR="00442D33" w:rsidRDefault="00442D33" w:rsidP="00442D33">
      <w:pPr>
        <w:spacing w:after="120" w:line="360" w:lineRule="auto"/>
        <w:ind w:right="71" w:firstLine="567"/>
        <w:jc w:val="both"/>
      </w:pPr>
      <w:r w:rsidRPr="00A249BB">
        <w:t>Scofield’s prediction of humankind’s failure under the Dispensation of Grace</w:t>
      </w:r>
      <w:r w:rsidRPr="00A249BB">
        <w:rPr>
          <w:rStyle w:val="EndnoteReference"/>
        </w:rPr>
        <w:endnoteReference w:id="1500"/>
      </w:r>
      <w:r w:rsidRPr="00A249BB">
        <w:t xml:space="preserve"> implies that Christ’s incarnation and universal offer of grace introduce a dispensation no different from preceding dispensations.  Mathison states that ‘the description of dispensations as periods during which man fails the tests given to him by God is faulty’.  It ‘does not do justice to the promises of God given to Christ and the church during the present age’.</w:t>
      </w:r>
      <w:r w:rsidRPr="00A249BB">
        <w:rPr>
          <w:rStyle w:val="EndnoteReference"/>
        </w:rPr>
        <w:endnoteReference w:id="1501"/>
      </w:r>
    </w:p>
    <w:p w:rsidR="00B04418" w:rsidRPr="00A249BB" w:rsidRDefault="00B04418" w:rsidP="00442D33">
      <w:pPr>
        <w:spacing w:after="120" w:line="360" w:lineRule="auto"/>
        <w:ind w:right="71" w:firstLine="567"/>
        <w:jc w:val="both"/>
      </w:pPr>
    </w:p>
    <w:p w:rsidR="00442D33" w:rsidRPr="00A249BB" w:rsidRDefault="00442D33" w:rsidP="003242A4">
      <w:pPr>
        <w:tabs>
          <w:tab w:val="left" w:pos="4678"/>
        </w:tabs>
        <w:spacing w:after="120" w:line="360" w:lineRule="auto"/>
        <w:ind w:right="-28"/>
        <w:rPr>
          <w:b/>
        </w:rPr>
      </w:pPr>
      <w:proofErr w:type="gramStart"/>
      <w:r w:rsidRPr="00B04418">
        <w:rPr>
          <w:b/>
        </w:rPr>
        <w:lastRenderedPageBreak/>
        <w:t>5.</w:t>
      </w:r>
      <w:r w:rsidR="003242A4" w:rsidRPr="00B04418">
        <w:rPr>
          <w:b/>
        </w:rPr>
        <w:t>6</w:t>
      </w:r>
      <w:r w:rsidRPr="00B04418">
        <w:rPr>
          <w:b/>
        </w:rPr>
        <w:t xml:space="preserve">.2  </w:t>
      </w:r>
      <w:r w:rsidRPr="00A249BB">
        <w:rPr>
          <w:b/>
        </w:rPr>
        <w:t>The</w:t>
      </w:r>
      <w:proofErr w:type="gramEnd"/>
      <w:r w:rsidRPr="00A249BB">
        <w:rPr>
          <w:b/>
        </w:rPr>
        <w:t xml:space="preserve"> Seventh Dispensation</w:t>
      </w:r>
    </w:p>
    <w:p w:rsidR="00442D33" w:rsidRPr="002E70CF" w:rsidRDefault="00442D33" w:rsidP="00442D33">
      <w:pPr>
        <w:tabs>
          <w:tab w:val="left" w:pos="4678"/>
        </w:tabs>
        <w:spacing w:after="120" w:line="360" w:lineRule="auto"/>
        <w:ind w:right="-28"/>
        <w:jc w:val="both"/>
      </w:pPr>
      <w:r w:rsidRPr="002E70CF">
        <w:t>The final dispensation is the ‘last of the ordered ages’</w:t>
      </w:r>
      <w:r w:rsidRPr="002E70CF">
        <w:rPr>
          <w:rStyle w:val="EndnoteReference"/>
        </w:rPr>
        <w:endnoteReference w:id="1502"/>
      </w:r>
      <w:r w:rsidRPr="002E70CF">
        <w:t xml:space="preserve"> that of the fullness of times</w:t>
      </w:r>
      <w:r w:rsidRPr="002E70CF">
        <w:rPr>
          <w:rStyle w:val="EndnoteReference"/>
        </w:rPr>
        <w:endnoteReference w:id="1503"/>
      </w:r>
      <w:r w:rsidRPr="002E70CF">
        <w:t xml:space="preserve"> or ‘kingdom-age’</w:t>
      </w:r>
      <w:r w:rsidRPr="002E70CF">
        <w:rPr>
          <w:rStyle w:val="EndnoteReference"/>
        </w:rPr>
        <w:endnoteReference w:id="1504"/>
      </w:r>
      <w:r w:rsidRPr="002E70CF">
        <w:t xml:space="preserve"> and it ‘gathers into itself, under Christ, all past “times”’.</w:t>
      </w:r>
      <w:r w:rsidRPr="002E70CF">
        <w:rPr>
          <w:rStyle w:val="EndnoteReference"/>
        </w:rPr>
        <w:endnoteReference w:id="1505"/>
      </w:r>
      <w:r w:rsidRPr="002E70CF">
        <w:t xml:space="preserve">  It is listed fourth in an order of events in the day of Jehovah, where it is called </w:t>
      </w:r>
      <w:r w:rsidRPr="002E70CF">
        <w:rPr>
          <w:lang w:eastAsia="en-GB"/>
        </w:rPr>
        <w:t>‘the thousand years, i.e. the kingdom-age’.</w:t>
      </w:r>
      <w:r w:rsidRPr="002E70CF">
        <w:rPr>
          <w:rStyle w:val="EndnoteReference"/>
          <w:lang w:eastAsia="en-GB"/>
        </w:rPr>
        <w:endnoteReference w:id="1506"/>
      </w:r>
      <w:r w:rsidRPr="002E70CF">
        <w:rPr>
          <w:lang w:eastAsia="en-GB"/>
        </w:rPr>
        <w:t xml:space="preserve"> </w:t>
      </w:r>
      <w:r w:rsidRPr="002E70CF">
        <w:t xml:space="preserve"> The reference to ‘the Dispensation of the Fullness of Times’ in Eph. 1:10 is the only instance in </w:t>
      </w:r>
      <w:r w:rsidRPr="002E70CF">
        <w:rPr>
          <w:i/>
        </w:rPr>
        <w:t>KJV</w:t>
      </w:r>
      <w:r w:rsidRPr="002E70CF">
        <w:t xml:space="preserve"> where ‘dispensation’ is used in Scofield’s sense.  The other three uses of the word, ‘dispensation’ are in 1 Cor. 9:17, Eph. 3:2 and Col 1:25, where the sense has far more to do with work to be done.  This dispensation is ‘synonymous’ with both the ‘last days’ in relation to Israel and also with ‘the days of Israel’s exaltation and blessing’.</w:t>
      </w:r>
      <w:r w:rsidRPr="002E70CF">
        <w:rPr>
          <w:rStyle w:val="EndnoteReference"/>
        </w:rPr>
        <w:endnoteReference w:id="1507"/>
      </w:r>
      <w:r w:rsidRPr="002E70CF">
        <w:t xml:space="preserve">  It is ‘identical with the kingdom covenanted to David’.</w:t>
      </w:r>
      <w:r w:rsidRPr="002E70CF">
        <w:rPr>
          <w:rStyle w:val="EndnoteReference"/>
        </w:rPr>
        <w:endnoteReference w:id="1508"/>
      </w:r>
      <w:r w:rsidRPr="002E70CF">
        <w:t xml:space="preserve">  </w:t>
      </w:r>
      <w:r w:rsidRPr="002E70CF">
        <w:rPr>
          <w:i/>
        </w:rPr>
        <w:t>SRB</w:t>
      </w:r>
      <w:r w:rsidRPr="002E70CF">
        <w:t xml:space="preserve"> speaks of ‘the reign of David’s righteous branch in the kingdom-age’.</w:t>
      </w:r>
      <w:r w:rsidRPr="002E70CF">
        <w:rPr>
          <w:rStyle w:val="EndnoteReference"/>
        </w:rPr>
        <w:endnoteReference w:id="1509"/>
      </w:r>
      <w:r w:rsidRPr="002E70CF">
        <w:t xml:space="preserve">  Subheads to Isaiah 25</w:t>
      </w:r>
      <w:r>
        <w:rPr>
          <w:rStyle w:val="EndnoteReference"/>
        </w:rPr>
        <w:endnoteReference w:id="1510"/>
      </w:r>
      <w:r>
        <w:t xml:space="preserve"> </w:t>
      </w:r>
      <w:r w:rsidRPr="002E70CF">
        <w:t>to Ezekiel 40</w:t>
      </w:r>
      <w:r>
        <w:rPr>
          <w:rStyle w:val="EndnoteReference"/>
        </w:rPr>
        <w:endnoteReference w:id="1511"/>
      </w:r>
      <w:r>
        <w:t xml:space="preserve"> </w:t>
      </w:r>
      <w:r w:rsidRPr="002E70CF">
        <w:t>and to Micah</w:t>
      </w:r>
      <w:r>
        <w:rPr>
          <w:rStyle w:val="EndnoteReference"/>
        </w:rPr>
        <w:endnoteReference w:id="1512"/>
      </w:r>
      <w:r>
        <w:t xml:space="preserve"> </w:t>
      </w:r>
      <w:r w:rsidRPr="002E70CF">
        <w:t xml:space="preserve">proclaim the kingdom-age.  </w:t>
      </w:r>
      <w:r w:rsidRPr="002E70CF">
        <w:rPr>
          <w:i/>
        </w:rPr>
        <w:t>SRB</w:t>
      </w:r>
      <w:r w:rsidRPr="002E70CF">
        <w:t xml:space="preserve"> links the kingdom-age with the first resurrection in its subheads to Isa. 24:22</w:t>
      </w:r>
      <w:r>
        <w:rPr>
          <w:rStyle w:val="EndnoteReference"/>
        </w:rPr>
        <w:endnoteReference w:id="1513"/>
      </w:r>
      <w:r>
        <w:t xml:space="preserve"> </w:t>
      </w:r>
      <w:r w:rsidRPr="002E70CF">
        <w:t>and Rev. 20:4,</w:t>
      </w:r>
      <w:r>
        <w:rPr>
          <w:rStyle w:val="EndnoteReference"/>
        </w:rPr>
        <w:endnoteReference w:id="1514"/>
      </w:r>
      <w:r>
        <w:t xml:space="preserve"> </w:t>
      </w:r>
      <w:r w:rsidRPr="002E70CF">
        <w:t>and ‘the coming of the Lord’ with ‘the first resurrection’ in its subhead to subhead to 1 Cor. 15:1.</w:t>
      </w:r>
      <w:r w:rsidRPr="002E70CF">
        <w:rPr>
          <w:rStyle w:val="EndnoteReference"/>
        </w:rPr>
        <w:endnoteReference w:id="1515"/>
      </w:r>
      <w:r w:rsidRPr="002E70CF">
        <w:t xml:space="preserve">  </w:t>
      </w:r>
      <w:r w:rsidRPr="00787CE6">
        <w:t>As stated in 4.1,</w:t>
      </w:r>
      <w:r w:rsidRPr="002E70CF">
        <w:rPr>
          <w:color w:val="FF0000"/>
        </w:rPr>
        <w:t xml:space="preserve"> </w:t>
      </w:r>
      <w:r w:rsidRPr="002E70CF">
        <w:t>the note on Rev. 14:6 describes the divine plan to fulfil the Davidic Covenant by establishing the millennial kingdom on earth under his Son, who is ‘David’s heir’, a kingdom which is to be ‘political, spiritual, Israelitish [and] universal’.</w:t>
      </w:r>
      <w:r w:rsidRPr="002E70CF">
        <w:rPr>
          <w:rStyle w:val="EndnoteReference"/>
        </w:rPr>
        <w:endnoteReference w:id="1516"/>
      </w:r>
      <w:r w:rsidRPr="002E70CF">
        <w:t xml:space="preserve">  </w:t>
      </w:r>
    </w:p>
    <w:p w:rsidR="00442D33" w:rsidRPr="00A249BB" w:rsidRDefault="00442D33" w:rsidP="00442D33">
      <w:pPr>
        <w:spacing w:after="120" w:line="360" w:lineRule="auto"/>
        <w:ind w:right="74" w:firstLine="567"/>
        <w:jc w:val="both"/>
      </w:pPr>
      <w:r w:rsidRPr="00A249BB">
        <w:t>Scofield makes several references to the temple and Jerusalem in connection with the kingdom-age.  The symbolism of the temple ‘may be revealed in the kingdom-age’.</w:t>
      </w:r>
      <w:r w:rsidRPr="00A249BB">
        <w:rPr>
          <w:rStyle w:val="EndnoteReference"/>
        </w:rPr>
        <w:endnoteReference w:id="1517"/>
      </w:r>
      <w:r w:rsidRPr="00A249BB">
        <w:t xml:space="preserve">  The subhead to Isa. 52:1 reads, ‘Vision of Jerusalem in the kingdom-age’.</w:t>
      </w:r>
      <w:r w:rsidRPr="00A249BB">
        <w:rPr>
          <w:rStyle w:val="EndnoteReference"/>
        </w:rPr>
        <w:endnoteReference w:id="1518"/>
      </w:r>
      <w:r w:rsidRPr="00A249BB">
        <w:t xml:space="preserve">  ‘The word, “Zion” is often used of the whole city of Jerusalem considered as the city of God … especially in passages referring to the future kingdom-age’</w:t>
      </w:r>
      <w:r w:rsidRPr="00A249BB">
        <w:rPr>
          <w:rStyle w:val="EndnoteReference"/>
        </w:rPr>
        <w:endnoteReference w:id="1519"/>
      </w:r>
      <w:r w:rsidRPr="00A249BB">
        <w:t>.  Jeremiah’s vision includes ‘the kingdom-age’.</w:t>
      </w:r>
      <w:r w:rsidRPr="00A249BB">
        <w:rPr>
          <w:rStyle w:val="EndnoteReference"/>
        </w:rPr>
        <w:endnoteReference w:id="1520"/>
      </w:r>
      <w:r w:rsidRPr="00A249BB">
        <w:t xml:space="preserve">  Ezekiel uses the measuring line as ‘a symbol of the preparation for rebuilding the city and temple in the kingdom-age’.</w:t>
      </w:r>
      <w:r w:rsidRPr="00A249BB">
        <w:rPr>
          <w:rStyle w:val="EndnoteReference"/>
        </w:rPr>
        <w:endnoteReference w:id="1521"/>
      </w:r>
      <w:r w:rsidRPr="00A249BB">
        <w:t xml:space="preserve">  Scofield states that ‘the kingdom-age temple is one of the themes of Haggai’</w:t>
      </w:r>
      <w:r w:rsidRPr="00A249BB">
        <w:rPr>
          <w:rStyle w:val="EndnoteReference"/>
        </w:rPr>
        <w:endnoteReference w:id="1522"/>
      </w:r>
      <w:r w:rsidRPr="00A249BB">
        <w:t xml:space="preserve">  and Joshua and Zerubbabel ‘point to Christ as Priest-King in the kingdom-age’.</w:t>
      </w:r>
      <w:r w:rsidRPr="00A249BB">
        <w:rPr>
          <w:rStyle w:val="EndnoteReference"/>
        </w:rPr>
        <w:endnoteReference w:id="1523"/>
      </w:r>
      <w:r w:rsidRPr="00A249BB">
        <w:t xml:space="preserve">  </w:t>
      </w:r>
    </w:p>
    <w:p w:rsidR="00442D33" w:rsidRPr="00A249BB" w:rsidRDefault="00442D33" w:rsidP="00442D33">
      <w:pPr>
        <w:spacing w:after="120" w:line="360" w:lineRule="auto"/>
        <w:ind w:right="74" w:firstLine="567"/>
        <w:jc w:val="both"/>
      </w:pPr>
      <w:r w:rsidRPr="00A249BB">
        <w:t>The kingdom-age begins with Christ’s return to earth, continues during his thousand-year earth-rule, and ends when he has delivered the kingdom to the Father.</w:t>
      </w:r>
      <w:r w:rsidRPr="00A249BB">
        <w:rPr>
          <w:rStyle w:val="EndnoteReference"/>
        </w:rPr>
        <w:endnoteReference w:id="1524"/>
      </w:r>
      <w:r w:rsidRPr="00A249BB">
        <w:t xml:space="preserve">  During this dispensation, Israel’s blindness and chastisement will end,</w:t>
      </w:r>
      <w:r w:rsidRPr="00A249BB">
        <w:rPr>
          <w:rStyle w:val="EndnoteReference"/>
        </w:rPr>
        <w:endnoteReference w:id="1525"/>
      </w:r>
      <w:r w:rsidRPr="00A249BB">
        <w:t xml:space="preserve"> and the kingdom, which, owing to Jewish rejection, did not ‘come with observation’ in the present age, ‘ultimately </w:t>
      </w:r>
      <w:r w:rsidRPr="00A249BB">
        <w:rPr>
          <w:i/>
        </w:rPr>
        <w:t>will</w:t>
      </w:r>
      <w:r w:rsidRPr="00A249BB">
        <w:t xml:space="preserve"> come with outward show’.</w:t>
      </w:r>
      <w:r w:rsidRPr="00A249BB">
        <w:rPr>
          <w:rStyle w:val="EndnoteReference"/>
        </w:rPr>
        <w:endnoteReference w:id="1526"/>
      </w:r>
      <w:r w:rsidRPr="00A249BB">
        <w:t xml:space="preserve"> </w:t>
      </w:r>
    </w:p>
    <w:p w:rsidR="00442D33" w:rsidRPr="00A249BB" w:rsidRDefault="00442D33" w:rsidP="00442D33">
      <w:pPr>
        <w:spacing w:after="120" w:line="360" w:lineRule="auto"/>
        <w:ind w:right="74" w:firstLine="567"/>
        <w:jc w:val="both"/>
      </w:pPr>
      <w:r w:rsidRPr="00A249BB">
        <w:t>Gentiles still participate in the kingdom-age.  The Times of the Gentiles end in ‘the smiting of the image and the setting up of the kingdom of the heavens’.</w:t>
      </w:r>
      <w:r w:rsidRPr="00A249BB">
        <w:rPr>
          <w:rStyle w:val="EndnoteReference"/>
        </w:rPr>
        <w:endnoteReference w:id="1527"/>
      </w:r>
      <w:r w:rsidRPr="00A249BB">
        <w:t xml:space="preserve">  Christ will rule the Gentiles in the kingdom-age</w:t>
      </w:r>
      <w:r w:rsidRPr="00A249BB">
        <w:rPr>
          <w:rStyle w:val="EndnoteReference"/>
        </w:rPr>
        <w:endnoteReference w:id="1528"/>
      </w:r>
      <w:r w:rsidRPr="00A249BB">
        <w:t xml:space="preserve"> and ‘kings and priests of the church age are to be associated with the “Son of Man” … in His reign over the earth’</w:t>
      </w:r>
      <w:r w:rsidRPr="00A249BB">
        <w:rPr>
          <w:rStyle w:val="EndnoteReference"/>
        </w:rPr>
        <w:endnoteReference w:id="1529"/>
      </w:r>
      <w:r w:rsidRPr="00A249BB">
        <w:t xml:space="preserve"> but the Gentiles will stage </w:t>
      </w:r>
      <w:r>
        <w:t xml:space="preserve">one last </w:t>
      </w:r>
      <w:r w:rsidRPr="00A249BB">
        <w:t>revolt at its close.</w:t>
      </w:r>
      <w:r w:rsidRPr="00A249BB">
        <w:rPr>
          <w:rStyle w:val="EndnoteReference"/>
        </w:rPr>
        <w:endnoteReference w:id="1530"/>
      </w:r>
      <w:r w:rsidRPr="00A249BB">
        <w:t xml:space="preserve">  </w:t>
      </w:r>
    </w:p>
    <w:p w:rsidR="00442D33" w:rsidRPr="00A249BB" w:rsidRDefault="00442D33" w:rsidP="00442D33">
      <w:pPr>
        <w:spacing w:after="120" w:line="360" w:lineRule="auto"/>
        <w:ind w:right="74" w:firstLine="567"/>
        <w:jc w:val="both"/>
      </w:pPr>
      <w:r w:rsidRPr="00A249BB">
        <w:t xml:space="preserve">Scofield promises many utopian features for the kingdom-age.  In contrast to the conflict which Christ warned his proclamation of truth would induce, there will be ‘universal prevalency of peace in the earth </w:t>
      </w:r>
      <w:r w:rsidRPr="00A249BB">
        <w:rPr>
          <w:i/>
        </w:rPr>
        <w:t>under the kingdom</w:t>
      </w:r>
      <w:r w:rsidRPr="00A249BB">
        <w:t>’,</w:t>
      </w:r>
      <w:r w:rsidRPr="00A249BB">
        <w:rPr>
          <w:rStyle w:val="EndnoteReference"/>
        </w:rPr>
        <w:endnoteReference w:id="1531"/>
      </w:r>
      <w:r w:rsidRPr="00A249BB">
        <w:t xml:space="preserve"> Sabbath observance</w:t>
      </w:r>
      <w:r w:rsidRPr="00A249BB">
        <w:rPr>
          <w:rStyle w:val="EndnoteReference"/>
        </w:rPr>
        <w:endnoteReference w:id="1532"/>
      </w:r>
      <w:r w:rsidRPr="00A249BB">
        <w:t xml:space="preserve"> and combined spiritual and temporal blessings.</w:t>
      </w:r>
      <w:r w:rsidRPr="00A249BB">
        <w:rPr>
          <w:rStyle w:val="EndnoteReference"/>
        </w:rPr>
        <w:endnoteReference w:id="1533"/>
      </w:r>
      <w:r w:rsidRPr="00A249BB">
        <w:t xml:space="preserve">  Oppression and misrule end in Christ’s kingdom; toil ends with rest and reward, suffering ends in glory, </w:t>
      </w:r>
      <w:r w:rsidRPr="00A249BB">
        <w:lastRenderedPageBreak/>
        <w:t>creation’s captivity ends in deliverance, Israel’s blindness and chastisement end in restoration and conversion, and divine forbearance ends in judgment.</w:t>
      </w:r>
      <w:r w:rsidRPr="00A249BB">
        <w:rPr>
          <w:rStyle w:val="EndnoteReference"/>
        </w:rPr>
        <w:endnoteReference w:id="1534"/>
      </w:r>
      <w:r w:rsidRPr="00A249BB">
        <w:t xml:space="preserve">  The kingdom-age will not be subject to angels but to Christ.</w:t>
      </w:r>
      <w:r w:rsidRPr="00A249BB">
        <w:rPr>
          <w:rStyle w:val="EndnoteReference"/>
        </w:rPr>
        <w:endnoteReference w:id="1535"/>
      </w:r>
      <w:r w:rsidRPr="00A249BB">
        <w:t xml:space="preserve">  During it, Satan will be bound in the abyss</w:t>
      </w:r>
      <w:r w:rsidRPr="00A249BB">
        <w:rPr>
          <w:rStyle w:val="EndnoteReference"/>
        </w:rPr>
        <w:endnoteReference w:id="1536"/>
      </w:r>
      <w:r w:rsidRPr="00A249BB">
        <w:t xml:space="preserve"> but will be released and will rebel at the end of the thousand years.</w:t>
      </w:r>
      <w:r w:rsidRPr="00A249BB">
        <w:rPr>
          <w:rStyle w:val="EndnoteReference"/>
        </w:rPr>
        <w:endnoteReference w:id="1537"/>
      </w:r>
      <w:r w:rsidRPr="00A249BB">
        <w:t xml:space="preserve">  He will be defeated and cast into the lake of fire.</w:t>
      </w:r>
      <w:r w:rsidRPr="00A249BB">
        <w:rPr>
          <w:rStyle w:val="EndnoteReference"/>
        </w:rPr>
        <w:endnoteReference w:id="1538"/>
      </w:r>
      <w:r w:rsidRPr="00A249BB">
        <w:t xml:space="preserve">  </w:t>
      </w:r>
    </w:p>
    <w:p w:rsidR="00442D33" w:rsidRPr="00654F16" w:rsidRDefault="00442D33" w:rsidP="00442D33">
      <w:pPr>
        <w:spacing w:after="120" w:line="360" w:lineRule="auto"/>
        <w:ind w:right="74"/>
        <w:jc w:val="both"/>
        <w:rPr>
          <w:b/>
          <w:sz w:val="24"/>
        </w:rPr>
      </w:pPr>
      <w:proofErr w:type="gramStart"/>
      <w:r w:rsidRPr="00B04418">
        <w:rPr>
          <w:b/>
          <w:sz w:val="24"/>
        </w:rPr>
        <w:t>5.</w:t>
      </w:r>
      <w:r w:rsidR="0023687D" w:rsidRPr="00B04418">
        <w:rPr>
          <w:b/>
          <w:sz w:val="24"/>
        </w:rPr>
        <w:t>7</w:t>
      </w:r>
      <w:r w:rsidRPr="00B04418">
        <w:rPr>
          <w:b/>
          <w:sz w:val="24"/>
        </w:rPr>
        <w:t xml:space="preserve">  </w:t>
      </w:r>
      <w:r w:rsidRPr="00654F16">
        <w:rPr>
          <w:b/>
          <w:sz w:val="24"/>
        </w:rPr>
        <w:t>Conclusion</w:t>
      </w:r>
      <w:proofErr w:type="gramEnd"/>
    </w:p>
    <w:p w:rsidR="00442D33" w:rsidRPr="00A249BB" w:rsidRDefault="00442D33" w:rsidP="00442D33">
      <w:pPr>
        <w:spacing w:before="100" w:beforeAutospacing="1" w:after="120" w:line="360" w:lineRule="auto"/>
        <w:jc w:val="both"/>
        <w:rPr>
          <w:rFonts w:eastAsia="Times New Roman"/>
          <w:lang w:eastAsia="en-GB"/>
        </w:rPr>
      </w:pPr>
      <w:r w:rsidRPr="00A249BB">
        <w:t xml:space="preserve">While some scholars, even including </w:t>
      </w:r>
      <w:r>
        <w:t xml:space="preserve">some </w:t>
      </w:r>
      <w:r w:rsidRPr="00A249BB">
        <w:t xml:space="preserve">dispensationalists like Ryrie and John Feinberg, would argue that dispensations are not the most important element in the dispensational system, </w:t>
      </w:r>
      <w:r>
        <w:t>the concept of dispensations</w:t>
      </w:r>
      <w:r w:rsidRPr="00A249BB">
        <w:t xml:space="preserve"> lie</w:t>
      </w:r>
      <w:r>
        <w:t>s</w:t>
      </w:r>
      <w:r w:rsidRPr="00A249BB">
        <w:t xml:space="preserve"> behind </w:t>
      </w:r>
      <w:r>
        <w:t xml:space="preserve">all of </w:t>
      </w:r>
      <w:r w:rsidRPr="00A249BB">
        <w:t>Scofield’s theology and offer</w:t>
      </w:r>
      <w:r>
        <w:t>s</w:t>
      </w:r>
      <w:r w:rsidRPr="00A249BB">
        <w:t xml:space="preserve"> vital support to his </w:t>
      </w:r>
      <w:r>
        <w:t>tenet concerning</w:t>
      </w:r>
      <w:r w:rsidRPr="00A249BB">
        <w:t xml:space="preserve"> the eternal separation of Israel and the </w:t>
      </w:r>
      <w:r>
        <w:t>C</w:t>
      </w:r>
      <w:r w:rsidRPr="00A249BB">
        <w:t xml:space="preserve">hurch.  Scofield’s assertion of seven dispensations is in line with the systems put forward by his predecessors, notably Darby, and his scheme is easy to identify because of the attachment of dispensations to particular biblical verses.  </w:t>
      </w:r>
      <w:r w:rsidRPr="00A249BB">
        <w:rPr>
          <w:rFonts w:eastAsia="Times New Roman"/>
          <w:lang w:eastAsia="en-GB"/>
        </w:rPr>
        <w:t>Inevitably the greatest concentration on dispensational material occurs in commentary on Genesis and Exodus</w:t>
      </w:r>
      <w:r>
        <w:rPr>
          <w:rFonts w:eastAsia="Times New Roman"/>
          <w:lang w:eastAsia="en-GB"/>
        </w:rPr>
        <w:t>,</w:t>
      </w:r>
      <w:r w:rsidRPr="00A249BB">
        <w:rPr>
          <w:rFonts w:eastAsia="Times New Roman"/>
          <w:lang w:eastAsia="en-GB"/>
        </w:rPr>
        <w:t xml:space="preserve"> where five of the seven originate.  </w:t>
      </w:r>
    </w:p>
    <w:p w:rsidR="00442D33" w:rsidRDefault="00442D33" w:rsidP="00442D33">
      <w:pPr>
        <w:spacing w:before="100" w:beforeAutospacing="1" w:after="120" w:line="360" w:lineRule="auto"/>
        <w:ind w:firstLine="567"/>
        <w:jc w:val="both"/>
        <w:rPr>
          <w:rFonts w:eastAsia="Times New Roman"/>
          <w:lang w:eastAsia="en-GB"/>
        </w:rPr>
      </w:pPr>
      <w:r w:rsidRPr="00A249BB">
        <w:rPr>
          <w:rFonts w:eastAsia="Times New Roman"/>
          <w:lang w:eastAsia="en-GB"/>
        </w:rPr>
        <w:t xml:space="preserve">As stated in </w:t>
      </w:r>
      <w:r w:rsidRPr="00C9497B">
        <w:rPr>
          <w:rFonts w:eastAsia="Times New Roman"/>
          <w:lang w:eastAsia="en-GB"/>
        </w:rPr>
        <w:t>3.2</w:t>
      </w:r>
      <w:r w:rsidRPr="00A249BB">
        <w:rPr>
          <w:rFonts w:eastAsia="Times New Roman"/>
          <w:lang w:eastAsia="en-GB"/>
        </w:rPr>
        <w:t xml:space="preserve">, </w:t>
      </w:r>
      <w:r w:rsidRPr="00A249BB">
        <w:t xml:space="preserve">Scofield regards the </w:t>
      </w:r>
      <w:r>
        <w:t xml:space="preserve">biblical </w:t>
      </w:r>
      <w:r w:rsidRPr="00A249BB">
        <w:t>identities of God as very important.</w:t>
      </w:r>
      <w:r w:rsidRPr="00A249BB">
        <w:rPr>
          <w:rStyle w:val="EndnoteReference"/>
        </w:rPr>
        <w:endnoteReference w:id="1539"/>
      </w:r>
      <w:r w:rsidRPr="00A249BB">
        <w:t xml:space="preserve">  His reference to the name, </w:t>
      </w:r>
      <w:r w:rsidRPr="007D5FDA">
        <w:rPr>
          <w:i/>
        </w:rPr>
        <w:t>El Olam</w:t>
      </w:r>
      <w:r w:rsidRPr="00A249BB">
        <w:t xml:space="preserve"> as the God who has divided time and eternity into the mystery of successive ages or dispensations, is an indication of the importance he attaches to the whole concept of dispensations, as being divinely instituted</w:t>
      </w:r>
      <w:r>
        <w:t xml:space="preserve"> and even almost part of God’s identity</w:t>
      </w:r>
      <w:r w:rsidRPr="00A249BB">
        <w:t>.  Scofield shares a similar idea to one which Darby expresses in his commentary on Genesis 23, ‘</w:t>
      </w:r>
      <w:r w:rsidRPr="00A249BB">
        <w:rPr>
          <w:rFonts w:eastAsia="Times New Roman"/>
          <w:lang w:eastAsia="en-GB"/>
        </w:rPr>
        <w:t xml:space="preserve">He was </w:t>
      </w:r>
      <w:r w:rsidRPr="00A249BB">
        <w:rPr>
          <w:rFonts w:eastAsia="Times New Roman"/>
          <w:i/>
          <w:iCs/>
          <w:lang w:eastAsia="en-GB"/>
        </w:rPr>
        <w:t xml:space="preserve">Jehovah olam </w:t>
      </w:r>
      <w:r w:rsidRPr="00A249BB">
        <w:rPr>
          <w:rFonts w:eastAsia="Times New Roman"/>
          <w:lang w:eastAsia="en-GB"/>
        </w:rPr>
        <w:t xml:space="preserve">for a future day yet hidden, save in promise …Gen. 23:33, 34, is a sort of taking into possession of the land or earth, and the name of God refers to that; He is Jehovah, the </w:t>
      </w:r>
      <w:r w:rsidRPr="00A249BB">
        <w:rPr>
          <w:rFonts w:eastAsia="Times New Roman"/>
          <w:i/>
          <w:iCs/>
          <w:lang w:eastAsia="en-GB"/>
        </w:rPr>
        <w:t xml:space="preserve">El Olam, </w:t>
      </w:r>
      <w:r w:rsidRPr="00A249BB">
        <w:rPr>
          <w:rFonts w:eastAsia="Times New Roman"/>
          <w:lang w:eastAsia="en-GB"/>
        </w:rPr>
        <w:t>the God of Might for ever, for the yet hidden future’</w:t>
      </w:r>
      <w:r>
        <w:rPr>
          <w:rFonts w:eastAsia="Times New Roman"/>
          <w:lang w:eastAsia="en-GB"/>
        </w:rPr>
        <w:t>,</w:t>
      </w:r>
      <w:r w:rsidRPr="00A249BB">
        <w:rPr>
          <w:rStyle w:val="EndnoteReference"/>
          <w:rFonts w:eastAsia="Times New Roman"/>
          <w:lang w:eastAsia="en-GB"/>
        </w:rPr>
        <w:endnoteReference w:id="1540"/>
      </w:r>
      <w:r w:rsidRPr="00A249BB">
        <w:rPr>
          <w:rFonts w:eastAsia="Times New Roman"/>
          <w:lang w:eastAsia="en-GB"/>
        </w:rPr>
        <w:t xml:space="preserve"> but </w:t>
      </w:r>
      <w:r>
        <w:rPr>
          <w:rFonts w:eastAsia="Times New Roman"/>
          <w:lang w:eastAsia="en-GB"/>
        </w:rPr>
        <w:t xml:space="preserve">which Darby </w:t>
      </w:r>
      <w:r w:rsidRPr="00A249BB">
        <w:rPr>
          <w:rFonts w:eastAsia="Times New Roman"/>
          <w:lang w:eastAsia="en-GB"/>
        </w:rPr>
        <w:t>does not link to dispensations.  The idea of periods of time in divine administration of the world is influential in Scofield’s thinking and</w:t>
      </w:r>
      <w:r w:rsidR="007D1D1A">
        <w:rPr>
          <w:rFonts w:eastAsia="Times New Roman"/>
          <w:lang w:eastAsia="en-GB"/>
        </w:rPr>
        <w:t>,</w:t>
      </w:r>
      <w:r w:rsidRPr="00A249BB">
        <w:rPr>
          <w:rFonts w:eastAsia="Times New Roman"/>
          <w:lang w:eastAsia="en-GB"/>
        </w:rPr>
        <w:t xml:space="preserve"> in </w:t>
      </w:r>
      <w:proofErr w:type="gramStart"/>
      <w:r w:rsidRPr="00A249BB">
        <w:rPr>
          <w:rFonts w:eastAsia="Times New Roman"/>
          <w:lang w:eastAsia="en-GB"/>
        </w:rPr>
        <w:t>this</w:t>
      </w:r>
      <w:r w:rsidR="007D1D1A">
        <w:rPr>
          <w:rFonts w:eastAsia="Times New Roman"/>
          <w:lang w:eastAsia="en-GB"/>
        </w:rPr>
        <w:t>,</w:t>
      </w:r>
      <w:proofErr w:type="gramEnd"/>
      <w:r>
        <w:rPr>
          <w:rFonts w:eastAsia="Times New Roman"/>
          <w:lang w:eastAsia="en-GB"/>
        </w:rPr>
        <w:t xml:space="preserve"> later dispensationalists like Chafer follow him.</w:t>
      </w:r>
    </w:p>
    <w:p w:rsidR="00442D33" w:rsidRPr="00E71A4A" w:rsidRDefault="00442D33" w:rsidP="00442D33">
      <w:pPr>
        <w:spacing w:before="100" w:beforeAutospacing="1" w:after="120" w:line="360" w:lineRule="auto"/>
        <w:ind w:firstLine="567"/>
        <w:jc w:val="both"/>
        <w:rPr>
          <w:rFonts w:eastAsia="Times New Roman"/>
          <w:lang w:eastAsia="en-GB"/>
        </w:rPr>
      </w:pPr>
      <w:r w:rsidRPr="00E71A4A">
        <w:rPr>
          <w:rFonts w:eastAsia="Times New Roman"/>
          <w:lang w:eastAsia="en-GB"/>
        </w:rPr>
        <w:t xml:space="preserve">One of the most conspicuous elements in Scofield’s treatment of dispensations is the contrast between the Dispensations of Law and of Grace.  These are generally regarded as entirely separate and not to be mingled, even if the provisions of the law are considered relevant for Christian behaviour.  Scofield is very clear that salvation is by faith alone.  </w:t>
      </w:r>
      <w:proofErr w:type="gramStart"/>
      <w:r w:rsidRPr="00E71A4A">
        <w:rPr>
          <w:rFonts w:eastAsia="Times New Roman"/>
          <w:lang w:eastAsia="en-GB"/>
        </w:rPr>
        <w:t>Even though he makes an ambiguous reference to ‘legal obedience as the condition of salvation’ in his note on Jn 1:17, it is obvious from the main tenor of his notes that he does not mean to imply that there are two methods of salvation.</w:t>
      </w:r>
      <w:proofErr w:type="gramEnd"/>
      <w:r w:rsidRPr="00E71A4A">
        <w:rPr>
          <w:rFonts w:eastAsia="Times New Roman"/>
          <w:lang w:eastAsia="en-GB"/>
        </w:rPr>
        <w:t xml:space="preserve">  This strict dichotomy between law and grace leads him to claim that the Israelites exchanged grace for law with their acceptance of the Mosaic Covenant</w:t>
      </w:r>
      <w:r w:rsidRPr="00E71A4A">
        <w:rPr>
          <w:rStyle w:val="EndnoteReference"/>
          <w:rFonts w:eastAsia="Times New Roman"/>
          <w:lang w:eastAsia="en-GB"/>
        </w:rPr>
        <w:endnoteReference w:id="1541"/>
      </w:r>
      <w:r w:rsidRPr="00E71A4A">
        <w:rPr>
          <w:rFonts w:eastAsia="Times New Roman"/>
          <w:lang w:eastAsia="en-GB"/>
        </w:rPr>
        <w:t xml:space="preserve"> and to assert that Christ’s life and ministry belonged to the Dispensation of Law, and included a legalistic Lord’s Prayer.</w:t>
      </w:r>
      <w:r w:rsidRPr="00E71A4A">
        <w:rPr>
          <w:rStyle w:val="EndnoteReference"/>
          <w:rFonts w:eastAsia="Times New Roman"/>
          <w:lang w:eastAsia="en-GB"/>
        </w:rPr>
        <w:endnoteReference w:id="1542"/>
      </w:r>
      <w:r w:rsidRPr="00E71A4A">
        <w:rPr>
          <w:rFonts w:eastAsia="Times New Roman"/>
          <w:lang w:eastAsia="en-GB"/>
        </w:rPr>
        <w:t xml:space="preserve">  Nevertheless, Scofield does own that Jehovah’s grace still persists during the Dispensation of Law.  </w:t>
      </w:r>
      <w:r w:rsidRPr="00E71A4A">
        <w:t xml:space="preserve">For example, the </w:t>
      </w:r>
      <w:r w:rsidRPr="00E71A4A">
        <w:rPr>
          <w:i/>
        </w:rPr>
        <w:t>SRB</w:t>
      </w:r>
      <w:r w:rsidRPr="00E71A4A">
        <w:t xml:space="preserve"> Introduction to Judges </w:t>
      </w:r>
      <w:proofErr w:type="gramStart"/>
      <w:r w:rsidRPr="00E71A4A">
        <w:t>notes</w:t>
      </w:r>
      <w:proofErr w:type="gramEnd"/>
      <w:r w:rsidRPr="00E71A4A">
        <w:t xml:space="preserve"> that ‘two facts stand out, the utter failure of Israel and the persistent grace of Jehovah’.</w:t>
      </w:r>
      <w:r w:rsidRPr="00E71A4A">
        <w:rPr>
          <w:rStyle w:val="EndnoteReference"/>
          <w:rFonts w:eastAsia="Times New Roman"/>
          <w:lang w:eastAsia="en-GB"/>
        </w:rPr>
        <w:endnoteReference w:id="1543"/>
      </w:r>
      <w:r w:rsidRPr="00E71A4A">
        <w:t xml:space="preserve">  However, g</w:t>
      </w:r>
      <w:r w:rsidRPr="00E71A4A">
        <w:rPr>
          <w:rFonts w:eastAsia="Times New Roman"/>
          <w:lang w:eastAsia="en-GB"/>
        </w:rPr>
        <w:t>race is not prominent in Scofield’s eschatological material, where the emphasis is on vengeance.</w:t>
      </w:r>
      <w:r w:rsidRPr="00E71A4A">
        <w:rPr>
          <w:rStyle w:val="EndnoteReference"/>
          <w:rFonts w:eastAsia="Times New Roman"/>
          <w:lang w:eastAsia="en-GB"/>
        </w:rPr>
        <w:endnoteReference w:id="1544"/>
      </w:r>
    </w:p>
    <w:p w:rsidR="00442D33" w:rsidRDefault="00442D33" w:rsidP="00442D33">
      <w:pPr>
        <w:spacing w:before="100" w:beforeAutospacing="1" w:after="120" w:line="360" w:lineRule="auto"/>
        <w:ind w:firstLine="567"/>
        <w:jc w:val="both"/>
        <w:rPr>
          <w:rFonts w:eastAsia="Times New Roman"/>
          <w:lang w:eastAsia="en-GB"/>
        </w:rPr>
      </w:pPr>
      <w:r>
        <w:rPr>
          <w:rFonts w:eastAsia="Times New Roman"/>
          <w:lang w:eastAsia="en-GB"/>
        </w:rPr>
        <w:lastRenderedPageBreak/>
        <w:t xml:space="preserve">Scofield often synchronises dispensations and covenants roughly contemporary with them, but the relationship between them in </w:t>
      </w:r>
      <w:r w:rsidRPr="00F8298B">
        <w:rPr>
          <w:rFonts w:eastAsia="Times New Roman"/>
          <w:i/>
          <w:lang w:eastAsia="en-GB"/>
        </w:rPr>
        <w:t>SRB</w:t>
      </w:r>
      <w:r>
        <w:rPr>
          <w:rFonts w:eastAsia="Times New Roman"/>
          <w:lang w:eastAsia="en-GB"/>
        </w:rPr>
        <w:t xml:space="preserve"> is sometimes ambiguous.  Scofield is clear that the Dispensation of Promise as a mode of testing must be distinguished from the Abrahamic Covenant, which he regards as unconditional.  However, he does not make a parallel statement concerning the other covenants which he considers to be conditional.  In fact, the so-called ‘Palestinian Covenant’ is instituted during the pre-existing Dispensation of Law, which already contains the conditional Mosaic Covenant.  Scofield’s preoccupation with the Palestinian Covenant marks him off from other dispensationalists, who do not concentrate on this as a separate covenant or even name it in the same way.  </w:t>
      </w:r>
    </w:p>
    <w:p w:rsidR="00442D33" w:rsidRDefault="00442D33" w:rsidP="00442D33">
      <w:pPr>
        <w:spacing w:before="100" w:beforeAutospacing="1" w:after="120" w:line="360" w:lineRule="auto"/>
        <w:ind w:firstLine="567"/>
        <w:jc w:val="both"/>
        <w:rPr>
          <w:rFonts w:eastAsia="Times New Roman"/>
          <w:lang w:eastAsia="en-GB"/>
        </w:rPr>
        <w:sectPr w:rsidR="00442D33" w:rsidSect="00F1470F">
          <w:headerReference w:type="default" r:id="rId113"/>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442D33" w:rsidRDefault="00442D33" w:rsidP="00442D33">
      <w:pPr>
        <w:spacing w:after="120" w:line="360" w:lineRule="auto"/>
        <w:ind w:right="74"/>
        <w:jc w:val="center"/>
        <w:rPr>
          <w:b/>
          <w:sz w:val="28"/>
          <w:szCs w:val="28"/>
        </w:rPr>
      </w:pPr>
      <w:bookmarkStart w:id="12" w:name="Chapter6"/>
      <w:bookmarkEnd w:id="12"/>
      <w:r>
        <w:rPr>
          <w:b/>
          <w:sz w:val="28"/>
          <w:szCs w:val="28"/>
        </w:rPr>
        <w:lastRenderedPageBreak/>
        <w:t xml:space="preserve">CHAPTER 6  </w:t>
      </w:r>
    </w:p>
    <w:p w:rsidR="00442D33" w:rsidRPr="00DB6CB6" w:rsidRDefault="00442D33" w:rsidP="00442D33">
      <w:pPr>
        <w:spacing w:after="120" w:line="360" w:lineRule="auto"/>
        <w:jc w:val="center"/>
        <w:rPr>
          <w:rStyle w:val="ind"/>
          <w:b/>
          <w:sz w:val="28"/>
        </w:rPr>
      </w:pPr>
      <w:r w:rsidRPr="00DB6CB6">
        <w:rPr>
          <w:rStyle w:val="ind"/>
          <w:b/>
          <w:sz w:val="28"/>
        </w:rPr>
        <w:t xml:space="preserve">Elements of Dispensationalism: Element </w:t>
      </w:r>
      <w:r w:rsidRPr="003327DF">
        <w:rPr>
          <w:rStyle w:val="ind"/>
          <w:b/>
          <w:sz w:val="28"/>
        </w:rPr>
        <w:t>5</w:t>
      </w:r>
      <w:r w:rsidRPr="00DB6CB6">
        <w:rPr>
          <w:rStyle w:val="ind"/>
          <w:b/>
          <w:sz w:val="28"/>
        </w:rPr>
        <w:t>:</w:t>
      </w:r>
    </w:p>
    <w:p w:rsidR="00442D33" w:rsidRDefault="00442D33" w:rsidP="00442D33">
      <w:pPr>
        <w:spacing w:after="0" w:line="360" w:lineRule="auto"/>
        <w:jc w:val="center"/>
        <w:rPr>
          <w:rStyle w:val="ind"/>
          <w:b/>
          <w:sz w:val="28"/>
        </w:rPr>
      </w:pPr>
      <w:r w:rsidRPr="00DB6CB6">
        <w:rPr>
          <w:rStyle w:val="ind"/>
          <w:b/>
          <w:sz w:val="28"/>
        </w:rPr>
        <w:t xml:space="preserve">Expectation of Christ’s Imminent Return </w:t>
      </w:r>
    </w:p>
    <w:p w:rsidR="00442D33" w:rsidRPr="00DB6CB6" w:rsidRDefault="00442D33" w:rsidP="00442D33">
      <w:pPr>
        <w:spacing w:after="120" w:line="360" w:lineRule="auto"/>
        <w:jc w:val="center"/>
        <w:rPr>
          <w:rFonts w:eastAsia="Times New Roman"/>
          <w:b/>
          <w:bCs/>
          <w:kern w:val="36"/>
          <w:sz w:val="28"/>
          <w:szCs w:val="27"/>
          <w:lang w:eastAsia="en-GB"/>
        </w:rPr>
      </w:pPr>
      <w:proofErr w:type="gramStart"/>
      <w:r w:rsidRPr="00DB6CB6">
        <w:rPr>
          <w:rStyle w:val="ind"/>
          <w:b/>
          <w:sz w:val="28"/>
        </w:rPr>
        <w:t>in</w:t>
      </w:r>
      <w:proofErr w:type="gramEnd"/>
      <w:r w:rsidRPr="00DB6CB6">
        <w:rPr>
          <w:rStyle w:val="ind"/>
          <w:b/>
          <w:sz w:val="28"/>
        </w:rPr>
        <w:t xml:space="preserve"> the Pretribulational Rapture</w:t>
      </w:r>
    </w:p>
    <w:p w:rsidR="00442D33" w:rsidRPr="00145CBF" w:rsidRDefault="00442D33" w:rsidP="00442D33">
      <w:pPr>
        <w:spacing w:after="120" w:line="360" w:lineRule="auto"/>
        <w:jc w:val="both"/>
        <w:rPr>
          <w:rFonts w:eastAsia="Times New Roman"/>
          <w:bCs/>
          <w:kern w:val="36"/>
          <w:szCs w:val="27"/>
          <w:lang w:eastAsia="en-GB"/>
        </w:rPr>
      </w:pPr>
      <w:r w:rsidRPr="00145CBF">
        <w:rPr>
          <w:rFonts w:eastAsia="Times New Roman"/>
          <w:bCs/>
          <w:kern w:val="36"/>
          <w:szCs w:val="27"/>
          <w:lang w:eastAsia="en-GB"/>
        </w:rPr>
        <w:t>Thanks to what Blaising calls ‘the sensational tendencies of popular apocalypticism’,</w:t>
      </w:r>
      <w:r w:rsidRPr="00145CBF">
        <w:rPr>
          <w:rStyle w:val="EndnoteReference"/>
          <w:rFonts w:eastAsia="Times New Roman"/>
          <w:bCs/>
          <w:kern w:val="36"/>
          <w:szCs w:val="27"/>
          <w:lang w:eastAsia="en-GB"/>
        </w:rPr>
        <w:endnoteReference w:id="1545"/>
      </w:r>
      <w:r w:rsidRPr="00145CBF">
        <w:rPr>
          <w:rFonts w:eastAsia="Times New Roman"/>
          <w:bCs/>
          <w:kern w:val="36"/>
          <w:szCs w:val="27"/>
          <w:lang w:eastAsia="en-GB"/>
        </w:rPr>
        <w:t xml:space="preserve"> </w:t>
      </w:r>
      <w:r w:rsidRPr="00145CBF">
        <w:rPr>
          <w:rStyle w:val="ind"/>
        </w:rPr>
        <w:t>‘the most well-known feature of dispensational theology is the much-debated rapture doctrine’, as Thomas Ice remarks.</w:t>
      </w:r>
      <w:r w:rsidRPr="00145CBF">
        <w:rPr>
          <w:rStyle w:val="EndnoteReference"/>
        </w:rPr>
        <w:endnoteReference w:id="1546"/>
      </w:r>
      <w:r w:rsidRPr="00145CBF">
        <w:rPr>
          <w:rStyle w:val="ind"/>
        </w:rPr>
        <w:t xml:space="preserve">  </w:t>
      </w:r>
      <w:r w:rsidRPr="00145CBF">
        <w:rPr>
          <w:rFonts w:eastAsia="Times New Roman"/>
          <w:bCs/>
          <w:kern w:val="36"/>
          <w:szCs w:val="27"/>
          <w:lang w:eastAsia="en-GB"/>
        </w:rPr>
        <w:t>Ice also states that ‘dispensationalism has become a victim of its own recent popularity, especially concerning the issue of the Rapture’; as a result of ‘the writings of Hal Lindsey and other prophecy popularizers, most Christians are familiar with at least one doctrine usually associated with and unique to dispensationalism – the pre-tribulation Rapture of the church’.</w:t>
      </w:r>
      <w:r w:rsidRPr="00145CBF">
        <w:rPr>
          <w:rStyle w:val="EndnoteReference"/>
          <w:rFonts w:eastAsia="Times New Roman"/>
          <w:bCs/>
          <w:kern w:val="36"/>
          <w:szCs w:val="27"/>
          <w:lang w:eastAsia="en-GB"/>
        </w:rPr>
        <w:endnoteReference w:id="1547"/>
      </w:r>
      <w:r w:rsidRPr="00145CBF">
        <w:rPr>
          <w:rFonts w:eastAsia="Times New Roman"/>
          <w:bCs/>
          <w:kern w:val="36"/>
          <w:szCs w:val="27"/>
          <w:lang w:eastAsia="en-GB"/>
        </w:rPr>
        <w:t xml:space="preserve">    Gary North somewhat sarcastically dubs these writers ‘dispensensationalists’ and even includes Walvoord and Charles Dyer among their number.</w:t>
      </w:r>
      <w:r w:rsidRPr="00145CBF">
        <w:rPr>
          <w:rStyle w:val="EndnoteReference"/>
          <w:rFonts w:eastAsia="Times New Roman"/>
          <w:bCs/>
          <w:kern w:val="36"/>
          <w:szCs w:val="27"/>
          <w:lang w:eastAsia="en-GB"/>
        </w:rPr>
        <w:endnoteReference w:id="1548"/>
      </w:r>
      <w:r w:rsidRPr="00145CBF">
        <w:rPr>
          <w:rFonts w:eastAsia="Times New Roman"/>
          <w:bCs/>
          <w:kern w:val="36"/>
          <w:szCs w:val="27"/>
          <w:lang w:eastAsia="en-GB"/>
        </w:rPr>
        <w:t xml:space="preserve">  Blaising adds Ryrie</w:t>
      </w:r>
      <w:r w:rsidRPr="00145CBF">
        <w:rPr>
          <w:rStyle w:val="EndnoteReference"/>
          <w:rFonts w:eastAsia="Times New Roman"/>
          <w:bCs/>
          <w:kern w:val="36"/>
          <w:szCs w:val="27"/>
          <w:lang w:eastAsia="en-GB"/>
        </w:rPr>
        <w:endnoteReference w:id="1549"/>
      </w:r>
      <w:r w:rsidRPr="00145CBF">
        <w:rPr>
          <w:rFonts w:eastAsia="Times New Roman"/>
          <w:bCs/>
          <w:kern w:val="36"/>
          <w:szCs w:val="27"/>
          <w:lang w:eastAsia="en-GB"/>
        </w:rPr>
        <w:t xml:space="preserve"> to this company, dubbing him and Walvoord ‘more respected theologians’ who have ‘ventured in this direction’.</w:t>
      </w:r>
      <w:r w:rsidRPr="00145CBF">
        <w:rPr>
          <w:rStyle w:val="EndnoteReference"/>
          <w:rFonts w:eastAsia="Times New Roman"/>
          <w:bCs/>
          <w:kern w:val="36"/>
          <w:szCs w:val="27"/>
          <w:lang w:eastAsia="en-GB"/>
        </w:rPr>
        <w:endnoteReference w:id="1550"/>
      </w:r>
      <w:r w:rsidRPr="00145CBF">
        <w:rPr>
          <w:rFonts w:eastAsia="Times New Roman"/>
          <w:bCs/>
          <w:kern w:val="36"/>
          <w:szCs w:val="27"/>
          <w:lang w:eastAsia="en-GB"/>
        </w:rPr>
        <w:t xml:space="preserve">  Crutchfield states that the rapture and the view of the Church as parenthetical are not at the heart of dispensationalism.</w:t>
      </w:r>
      <w:r w:rsidRPr="00145CBF">
        <w:rPr>
          <w:rStyle w:val="EndnoteReference"/>
          <w:rFonts w:eastAsia="Times New Roman"/>
          <w:bCs/>
          <w:kern w:val="36"/>
          <w:szCs w:val="27"/>
          <w:lang w:eastAsia="en-GB"/>
        </w:rPr>
        <w:endnoteReference w:id="1551"/>
      </w:r>
      <w:r w:rsidRPr="00145CBF">
        <w:rPr>
          <w:rFonts w:eastAsia="Times New Roman"/>
          <w:bCs/>
          <w:kern w:val="36"/>
          <w:szCs w:val="27"/>
          <w:lang w:eastAsia="en-GB"/>
        </w:rPr>
        <w:t xml:space="preserve">  Poythress describes the rapture as ‘a product of the other [dispensational] distinctives’, though an important one.</w:t>
      </w:r>
      <w:r w:rsidRPr="00145CBF">
        <w:rPr>
          <w:rStyle w:val="EndnoteReference"/>
          <w:rFonts w:eastAsia="Times New Roman"/>
          <w:bCs/>
          <w:kern w:val="36"/>
          <w:szCs w:val="27"/>
          <w:lang w:eastAsia="en-GB"/>
        </w:rPr>
        <w:endnoteReference w:id="1552"/>
      </w:r>
      <w:r w:rsidRPr="00145CBF">
        <w:rPr>
          <w:rFonts w:eastAsia="Times New Roman"/>
          <w:bCs/>
          <w:kern w:val="36"/>
          <w:szCs w:val="27"/>
          <w:lang w:eastAsia="en-GB"/>
        </w:rPr>
        <w:t xml:space="preserve">  In terms of the foundational belief in the eternal separation between Israel and the Church, it is probably strictly true that the rapture occupies a subordinate place, but the Israel/Church dichotomy, the parenthetic Church/postponement of the kingdom, and the rapture are intrinsically linked.  The Israel/Church distinction envisages two separate divine plans, which God does not operate concurrently.  When this tenet is combined with belief in the postponement of the Jewish kingdom, it leads to the concept of the rapture.  Because the parenthetical Church occupies a ‘prophetic time warp’, during which the prophetic clock has stopped, it cannot remain on earth as a heavenly people when Daniel’s seventieth week begins and prophetic time resumes in the ‘time of Jacob’s trouble’ or ‘great tribulation’.  </w:t>
      </w:r>
      <w:proofErr w:type="gramStart"/>
      <w:r w:rsidR="00407FB7">
        <w:rPr>
          <w:rFonts w:eastAsia="Times New Roman"/>
          <w:bCs/>
          <w:kern w:val="36"/>
          <w:szCs w:val="27"/>
          <w:lang w:eastAsia="en-GB"/>
        </w:rPr>
        <w:t xml:space="preserve">Weber states that </w:t>
      </w:r>
      <w:r w:rsidRPr="00145CBF">
        <w:rPr>
          <w:rFonts w:eastAsia="Times New Roman"/>
          <w:bCs/>
          <w:kern w:val="36"/>
          <w:szCs w:val="27"/>
          <w:lang w:eastAsia="en-GB"/>
        </w:rPr>
        <w:t>‘God [has] to remove the church before proceeding with the final plans for Israel.’</w:t>
      </w:r>
      <w:proofErr w:type="gramEnd"/>
      <w:r w:rsidRPr="00145CBF">
        <w:rPr>
          <w:rStyle w:val="EndnoteReference"/>
          <w:rFonts w:eastAsia="Times New Roman"/>
          <w:bCs/>
          <w:kern w:val="36"/>
          <w:szCs w:val="27"/>
          <w:lang w:eastAsia="en-GB"/>
        </w:rPr>
        <w:endnoteReference w:id="1553"/>
      </w:r>
      <w:r w:rsidRPr="00145CBF">
        <w:rPr>
          <w:rFonts w:eastAsia="Times New Roman"/>
          <w:bCs/>
          <w:kern w:val="36"/>
          <w:szCs w:val="27"/>
          <w:lang w:eastAsia="en-GB"/>
        </w:rPr>
        <w:t xml:space="preserve">  Poythress suggests that the destinies of Israel and the Church are in danger of mixing if the Church is not removed.</w:t>
      </w:r>
      <w:r w:rsidRPr="00145CBF">
        <w:rPr>
          <w:rStyle w:val="EndnoteReference"/>
          <w:rFonts w:eastAsia="Times New Roman"/>
          <w:bCs/>
          <w:kern w:val="36"/>
          <w:szCs w:val="27"/>
          <w:lang w:eastAsia="en-GB"/>
        </w:rPr>
        <w:endnoteReference w:id="1554"/>
      </w:r>
      <w:r w:rsidRPr="00145CBF">
        <w:rPr>
          <w:rFonts w:eastAsia="Times New Roman"/>
          <w:bCs/>
          <w:kern w:val="36"/>
          <w:szCs w:val="27"/>
          <w:lang w:eastAsia="en-GB"/>
        </w:rPr>
        <w:t xml:space="preserve">  The rapture is thus seen to be of the utmost importance in dispensationalist eschatology. </w:t>
      </w:r>
    </w:p>
    <w:p w:rsidR="00442D33" w:rsidRPr="00145CBF" w:rsidRDefault="00442D33" w:rsidP="00442D33">
      <w:pPr>
        <w:spacing w:after="120" w:line="360" w:lineRule="auto"/>
        <w:ind w:firstLine="567"/>
        <w:jc w:val="both"/>
        <w:rPr>
          <w:rFonts w:eastAsia="Times New Roman"/>
          <w:bCs/>
          <w:kern w:val="36"/>
          <w:szCs w:val="27"/>
          <w:lang w:eastAsia="en-GB"/>
        </w:rPr>
      </w:pPr>
      <w:r w:rsidRPr="00145CBF">
        <w:rPr>
          <w:rFonts w:eastAsia="Times New Roman"/>
          <w:bCs/>
          <w:kern w:val="36"/>
          <w:szCs w:val="27"/>
          <w:lang w:eastAsia="en-GB"/>
        </w:rPr>
        <w:t>According to Weber, premillennialists before Darby’s time held that the rapture would happen after the tribulation, when Christ returned.</w:t>
      </w:r>
      <w:r w:rsidRPr="00145CBF">
        <w:rPr>
          <w:rStyle w:val="EndnoteReference"/>
          <w:rFonts w:eastAsia="Times New Roman"/>
          <w:bCs/>
          <w:kern w:val="36"/>
          <w:szCs w:val="27"/>
          <w:lang w:eastAsia="en-GB"/>
        </w:rPr>
        <w:endnoteReference w:id="1555"/>
      </w:r>
      <w:r w:rsidRPr="00145CBF">
        <w:rPr>
          <w:rFonts w:eastAsia="Times New Roman"/>
          <w:bCs/>
          <w:kern w:val="36"/>
          <w:szCs w:val="27"/>
          <w:lang w:eastAsia="en-GB"/>
        </w:rPr>
        <w:t xml:space="preserve">  Supporting this view, George Eldon Ladd asserts that the accompanying shout, trumpet and voice of the archangel of 1 Thess. 4:16-17,</w:t>
      </w:r>
      <w:r w:rsidRPr="00145CBF">
        <w:rPr>
          <w:rStyle w:val="EndnoteReference"/>
          <w:rFonts w:eastAsia="Times New Roman"/>
          <w:bCs/>
          <w:kern w:val="36"/>
          <w:szCs w:val="27"/>
          <w:lang w:eastAsia="en-GB"/>
        </w:rPr>
        <w:endnoteReference w:id="1556"/>
      </w:r>
      <w:r w:rsidRPr="00145CBF">
        <w:rPr>
          <w:rFonts w:eastAsia="Times New Roman"/>
          <w:bCs/>
          <w:kern w:val="36"/>
          <w:szCs w:val="27"/>
          <w:lang w:eastAsia="en-GB"/>
        </w:rPr>
        <w:t xml:space="preserve"> often interpreted by pretribulationalists as evidence for a separate and secret rapture, make secrecy unlikely, and that Christ’s </w:t>
      </w:r>
      <w:r w:rsidRPr="00145CBF">
        <w:rPr>
          <w:rFonts w:eastAsia="Times New Roman"/>
          <w:bCs/>
          <w:i/>
          <w:kern w:val="36"/>
          <w:szCs w:val="27"/>
          <w:lang w:eastAsia="en-GB"/>
        </w:rPr>
        <w:t>parousia</w:t>
      </w:r>
      <w:r w:rsidRPr="00145CBF">
        <w:rPr>
          <w:rFonts w:eastAsia="Times New Roman"/>
          <w:bCs/>
          <w:kern w:val="36"/>
          <w:szCs w:val="27"/>
          <w:lang w:eastAsia="en-GB"/>
        </w:rPr>
        <w:t xml:space="preserve"> in 2 Thess. 2:8</w:t>
      </w:r>
      <w:r w:rsidRPr="00145CBF">
        <w:rPr>
          <w:rStyle w:val="EndnoteReference"/>
          <w:rFonts w:eastAsia="Times New Roman"/>
          <w:bCs/>
          <w:kern w:val="36"/>
          <w:szCs w:val="27"/>
          <w:lang w:eastAsia="en-GB"/>
        </w:rPr>
        <w:endnoteReference w:id="1557"/>
      </w:r>
      <w:r w:rsidRPr="00145CBF">
        <w:rPr>
          <w:rFonts w:eastAsia="Times New Roman"/>
          <w:bCs/>
          <w:kern w:val="36"/>
          <w:szCs w:val="27"/>
          <w:lang w:eastAsia="en-GB"/>
        </w:rPr>
        <w:t xml:space="preserve"> ‘will occur not only to Rapture the Church and to raise the righteous dead, but also to destroy the Man of Lawlessness, the Antichrist’.  For Ladd, the natural conclusion is that ‘the Rapture of the living saints, the resurrection of those who have died, and the judgment upon the Antichrist </w:t>
      </w:r>
      <w:r w:rsidRPr="00145CBF">
        <w:rPr>
          <w:rFonts w:eastAsia="Times New Roman"/>
          <w:bCs/>
          <w:kern w:val="36"/>
          <w:szCs w:val="27"/>
          <w:lang w:eastAsia="en-GB"/>
        </w:rPr>
        <w:lastRenderedPageBreak/>
        <w:t xml:space="preserve">will all take place at the same time, namely, at the </w:t>
      </w:r>
      <w:r w:rsidRPr="00145CBF">
        <w:rPr>
          <w:rFonts w:eastAsia="Times New Roman"/>
          <w:bCs/>
          <w:i/>
          <w:kern w:val="36"/>
          <w:szCs w:val="27"/>
          <w:lang w:eastAsia="en-GB"/>
        </w:rPr>
        <w:t>paraousia</w:t>
      </w:r>
      <w:r w:rsidRPr="00145CBF">
        <w:rPr>
          <w:rFonts w:eastAsia="Times New Roman"/>
          <w:bCs/>
          <w:kern w:val="36"/>
          <w:szCs w:val="27"/>
          <w:lang w:eastAsia="en-GB"/>
        </w:rPr>
        <w:t xml:space="preserve"> of Jesus at the end of Tribulation’.</w:t>
      </w:r>
      <w:r w:rsidRPr="00145CBF">
        <w:rPr>
          <w:rStyle w:val="EndnoteReference"/>
          <w:rFonts w:eastAsia="Times New Roman"/>
          <w:bCs/>
          <w:kern w:val="36"/>
          <w:szCs w:val="27"/>
          <w:lang w:eastAsia="en-GB"/>
        </w:rPr>
        <w:endnoteReference w:id="1558"/>
      </w:r>
      <w:r w:rsidRPr="00145CBF">
        <w:rPr>
          <w:rFonts w:eastAsia="Times New Roman"/>
          <w:bCs/>
          <w:kern w:val="36"/>
          <w:szCs w:val="27"/>
          <w:lang w:eastAsia="en-GB"/>
        </w:rPr>
        <w:t xml:space="preserve">  Bass asserts that ‘premillennialists have always believed that Christ would return personally, literally and visibly to establish the millennial reign but only with the advent of dispensationalism has the pre-tribulation concept emerged’.</w:t>
      </w:r>
      <w:r w:rsidRPr="00145CBF">
        <w:rPr>
          <w:rStyle w:val="EndnoteReference"/>
          <w:rFonts w:eastAsia="Times New Roman"/>
          <w:bCs/>
          <w:kern w:val="36"/>
          <w:szCs w:val="27"/>
          <w:lang w:eastAsia="en-GB"/>
        </w:rPr>
        <w:endnoteReference w:id="1559"/>
      </w:r>
      <w:r w:rsidRPr="00145CBF">
        <w:rPr>
          <w:rFonts w:eastAsia="Times New Roman"/>
          <w:bCs/>
          <w:kern w:val="36"/>
          <w:szCs w:val="27"/>
          <w:lang w:eastAsia="en-GB"/>
        </w:rPr>
        <w:t xml:space="preserve">  Ladd confirms that ‘the hope of the Church throughout the early centuries was the second coming of Christ, not a pretribulation rapture’.  ‘The early Church lived in expectation of Christ’s return.’</w:t>
      </w:r>
      <w:r w:rsidRPr="00145CBF">
        <w:rPr>
          <w:rStyle w:val="EndnoteReference"/>
          <w:rFonts w:eastAsia="Times New Roman"/>
          <w:bCs/>
          <w:kern w:val="36"/>
          <w:szCs w:val="27"/>
          <w:lang w:eastAsia="en-GB"/>
        </w:rPr>
        <w:endnoteReference w:id="1560"/>
      </w:r>
      <w:r w:rsidRPr="00145CBF">
        <w:rPr>
          <w:rFonts w:eastAsia="Times New Roman"/>
          <w:bCs/>
          <w:kern w:val="36"/>
          <w:szCs w:val="27"/>
          <w:lang w:eastAsia="en-GB"/>
        </w:rPr>
        <w:t xml:space="preserve">  </w:t>
      </w:r>
    </w:p>
    <w:p w:rsidR="00442D33" w:rsidRPr="00145CBF" w:rsidRDefault="00442D33" w:rsidP="00442D33">
      <w:pPr>
        <w:spacing w:after="120" w:line="360" w:lineRule="auto"/>
        <w:ind w:firstLine="567"/>
        <w:jc w:val="both"/>
        <w:rPr>
          <w:rFonts w:eastAsia="Times New Roman"/>
          <w:bCs/>
          <w:kern w:val="36"/>
          <w:szCs w:val="27"/>
          <w:lang w:eastAsia="en-GB"/>
        </w:rPr>
      </w:pPr>
      <w:r w:rsidRPr="00145CBF">
        <w:rPr>
          <w:rFonts w:eastAsia="Times New Roman"/>
          <w:bCs/>
          <w:kern w:val="36"/>
          <w:szCs w:val="27"/>
          <w:lang w:eastAsia="en-GB"/>
        </w:rPr>
        <w:t>Weber states that, contrary to earlier interpretations, ‘Darby understood the rapture and the second coming as two separate events’, with the tribulation occurring after the rapture and before the second coming.  It was ‘the pretribulation rapture [which] made Darby’s version of futurist premillennialism unique’.</w:t>
      </w:r>
      <w:r w:rsidRPr="00145CBF">
        <w:rPr>
          <w:rStyle w:val="EndnoteReference"/>
          <w:rFonts w:eastAsia="Times New Roman"/>
          <w:bCs/>
          <w:kern w:val="36"/>
          <w:szCs w:val="27"/>
          <w:lang w:eastAsia="en-GB"/>
        </w:rPr>
        <w:endnoteReference w:id="1561"/>
      </w:r>
      <w:r w:rsidRPr="00145CBF">
        <w:rPr>
          <w:rFonts w:eastAsia="Times New Roman"/>
          <w:bCs/>
          <w:kern w:val="36"/>
          <w:szCs w:val="27"/>
          <w:lang w:eastAsia="en-GB"/>
        </w:rPr>
        <w:t xml:space="preserve">  Referring to the nineteenth century Powerscourt Conferences, in which Darby participated, Harry Ironside states, ‘</w:t>
      </w:r>
      <w:r w:rsidRPr="00145CBF">
        <w:rPr>
          <w:szCs w:val="26"/>
        </w:rPr>
        <w:t>It was in these meetings that the precious truth of the rapture of the Church was brought to light; that is, the coming of the Lord in the air to take away His church before the great tribulation should begin on earth.’</w:t>
      </w:r>
      <w:r w:rsidRPr="00145CBF">
        <w:rPr>
          <w:rStyle w:val="EndnoteReference"/>
          <w:szCs w:val="26"/>
        </w:rPr>
        <w:endnoteReference w:id="1562"/>
      </w:r>
      <w:r w:rsidRPr="00145CBF">
        <w:rPr>
          <w:szCs w:val="26"/>
        </w:rPr>
        <w:t xml:space="preserve">  Walvoord refers to ‘the pretribulational position’, in which the Church does not suffer the tribulation, as being ‘espoused by Darby and the Plymouth Brethren and popularized by the famous Scofield Reference Bible’.</w:t>
      </w:r>
      <w:r w:rsidRPr="00145CBF">
        <w:rPr>
          <w:rStyle w:val="EndnoteReference"/>
          <w:szCs w:val="26"/>
        </w:rPr>
        <w:endnoteReference w:id="1563"/>
      </w:r>
      <w:r w:rsidRPr="00145CBF">
        <w:rPr>
          <w:szCs w:val="26"/>
        </w:rPr>
        <w:t xml:space="preserve">  Sandeen agrees that it was Darby who introduced the idea of the secret rapture of the Church.</w:t>
      </w:r>
      <w:r w:rsidRPr="00145CBF">
        <w:rPr>
          <w:rStyle w:val="EndnoteReference"/>
          <w:szCs w:val="26"/>
        </w:rPr>
        <w:endnoteReference w:id="1564"/>
      </w:r>
      <w:r w:rsidRPr="00145CBF">
        <w:rPr>
          <w:szCs w:val="26"/>
        </w:rPr>
        <w:t xml:space="preserve">  </w:t>
      </w:r>
      <w:r w:rsidRPr="00145CBF">
        <w:rPr>
          <w:rFonts w:eastAsia="Times New Roman"/>
          <w:bCs/>
          <w:kern w:val="36"/>
          <w:szCs w:val="27"/>
          <w:lang w:eastAsia="en-GB"/>
        </w:rPr>
        <w:t>Alexander Reese refers to ‘a new school … within the fold of premillennialism … founded by J. N. Darby.  Its teaching includes the second coming of Christ’s happening in two distinct stages, the first concerning only the Church, and taking place at the beginning of, or prior to, the last … Week of Daniel’.</w:t>
      </w:r>
      <w:r w:rsidRPr="00145CBF">
        <w:rPr>
          <w:rStyle w:val="EndnoteReference"/>
          <w:rFonts w:eastAsia="Times New Roman"/>
          <w:bCs/>
          <w:kern w:val="36"/>
          <w:szCs w:val="27"/>
          <w:lang w:eastAsia="en-GB"/>
        </w:rPr>
        <w:endnoteReference w:id="1565"/>
      </w:r>
      <w:r w:rsidRPr="00145CBF">
        <w:rPr>
          <w:rFonts w:eastAsia="Times New Roman"/>
          <w:bCs/>
          <w:kern w:val="36"/>
          <w:szCs w:val="27"/>
          <w:lang w:eastAsia="en-GB"/>
        </w:rPr>
        <w:t xml:space="preserve"> </w:t>
      </w:r>
    </w:p>
    <w:p w:rsidR="00442D33" w:rsidRPr="00313449" w:rsidRDefault="00442D33" w:rsidP="00442D33">
      <w:pPr>
        <w:spacing w:after="120" w:line="360" w:lineRule="auto"/>
        <w:ind w:firstLine="567"/>
        <w:jc w:val="both"/>
        <w:rPr>
          <w:rFonts w:eastAsia="Times New Roman"/>
          <w:bCs/>
          <w:kern w:val="36"/>
          <w:lang w:eastAsia="en-GB"/>
        </w:rPr>
      </w:pPr>
      <w:r w:rsidRPr="00A742E1">
        <w:rPr>
          <w:rFonts w:eastAsia="Times New Roman"/>
          <w:bCs/>
          <w:kern w:val="36"/>
          <w:szCs w:val="27"/>
          <w:lang w:eastAsia="en-GB"/>
        </w:rPr>
        <w:t xml:space="preserve">It is arguable that the rapture doctrine arises from dispensationalism’s ecclesiology rather than its eschatology.  Williams asserts that </w:t>
      </w:r>
      <w:r>
        <w:rPr>
          <w:rFonts w:eastAsia="Times New Roman"/>
          <w:bCs/>
          <w:kern w:val="36"/>
          <w:szCs w:val="27"/>
          <w:lang w:eastAsia="en-GB"/>
        </w:rPr>
        <w:t>‘</w:t>
      </w:r>
      <w:r w:rsidRPr="00A742E1">
        <w:rPr>
          <w:rFonts w:eastAsia="Times New Roman"/>
          <w:bCs/>
          <w:kern w:val="36"/>
          <w:szCs w:val="27"/>
          <w:lang w:eastAsia="en-GB"/>
        </w:rPr>
        <w:t>it is not an eschatological issue … nor does it arise from an exegetical determination.  It is rather, a conclusion drawn from dispensational ecclesiology.’</w:t>
      </w:r>
      <w:r>
        <w:rPr>
          <w:rStyle w:val="EndnoteReference"/>
          <w:rFonts w:eastAsia="Times New Roman"/>
          <w:bCs/>
          <w:kern w:val="36"/>
          <w:szCs w:val="27"/>
          <w:lang w:eastAsia="en-GB"/>
        </w:rPr>
        <w:endnoteReference w:id="1566"/>
      </w:r>
      <w:r>
        <w:rPr>
          <w:rFonts w:eastAsia="Times New Roman"/>
          <w:bCs/>
          <w:kern w:val="36"/>
          <w:szCs w:val="27"/>
          <w:lang w:eastAsia="en-GB"/>
        </w:rPr>
        <w:t xml:space="preserve">  </w:t>
      </w:r>
      <w:r w:rsidRPr="00313449">
        <w:rPr>
          <w:rFonts w:eastAsia="Times New Roman"/>
          <w:bCs/>
          <w:kern w:val="36"/>
          <w:szCs w:val="27"/>
          <w:lang w:eastAsia="en-GB"/>
        </w:rPr>
        <w:t xml:space="preserve">Walvoord states that dispensationalist doctrine sees ‘the church as a body distinct from Israel </w:t>
      </w:r>
      <w:r w:rsidRPr="00313449">
        <w:rPr>
          <w:rFonts w:eastAsia="Times New Roman"/>
          <w:bCs/>
          <w:i/>
          <w:kern w:val="36"/>
          <w:szCs w:val="27"/>
          <w:lang w:eastAsia="en-GB"/>
        </w:rPr>
        <w:t>and saints in general</w:t>
      </w:r>
      <w:r w:rsidRPr="00313449">
        <w:rPr>
          <w:rFonts w:eastAsia="Times New Roman"/>
          <w:bCs/>
          <w:kern w:val="36"/>
          <w:szCs w:val="27"/>
          <w:lang w:eastAsia="en-GB"/>
        </w:rPr>
        <w:t>’.  Since ‘pretribulationism depends upon a particular definition of the church’, the term, church, in this case must apply only to ‘</w:t>
      </w:r>
      <w:r w:rsidRPr="00313449">
        <w:rPr>
          <w:rFonts w:eastAsia="Times New Roman"/>
          <w:bCs/>
          <w:i/>
          <w:kern w:val="36"/>
          <w:szCs w:val="27"/>
          <w:lang w:eastAsia="en-GB"/>
        </w:rPr>
        <w:t>saints of this present dispensation</w:t>
      </w:r>
      <w:r w:rsidRPr="00313449">
        <w:rPr>
          <w:rFonts w:eastAsia="Times New Roman"/>
          <w:bCs/>
          <w:kern w:val="36"/>
          <w:szCs w:val="27"/>
          <w:lang w:eastAsia="en-GB"/>
        </w:rPr>
        <w:t>’ for ‘then the possibility of the translation of the church before the Tribulation is possible and even probable’</w:t>
      </w:r>
      <w:r w:rsidRPr="00313449">
        <w:rPr>
          <w:rFonts w:eastAsia="Times New Roman"/>
          <w:bCs/>
          <w:kern w:val="36"/>
          <w:lang w:eastAsia="en-GB"/>
        </w:rPr>
        <w:t>.</w:t>
      </w:r>
      <w:r>
        <w:rPr>
          <w:rStyle w:val="EndnoteReference"/>
          <w:rFonts w:eastAsia="Times New Roman"/>
          <w:bCs/>
          <w:kern w:val="36"/>
          <w:lang w:eastAsia="en-GB"/>
        </w:rPr>
        <w:endnoteReference w:id="1567"/>
      </w:r>
      <w:r>
        <w:rPr>
          <w:rStyle w:val="FootnoteReference"/>
          <w:bCs/>
          <w:kern w:val="36"/>
        </w:rPr>
        <w:t xml:space="preserve"> </w:t>
      </w:r>
      <w:r w:rsidRPr="00313449">
        <w:rPr>
          <w:rFonts w:eastAsia="Times New Roman"/>
          <w:bCs/>
          <w:kern w:val="36"/>
          <w:lang w:eastAsia="en-GB"/>
        </w:rPr>
        <w:t xml:space="preserve"> Referring to 1 Cor. 15:51-2,</w:t>
      </w:r>
      <w:r>
        <w:rPr>
          <w:rStyle w:val="EndnoteReference"/>
          <w:rFonts w:eastAsia="Times New Roman"/>
          <w:bCs/>
          <w:kern w:val="36"/>
          <w:lang w:eastAsia="en-GB"/>
        </w:rPr>
        <w:endnoteReference w:id="1568"/>
      </w:r>
      <w:r>
        <w:rPr>
          <w:rFonts w:eastAsia="Times New Roman"/>
          <w:bCs/>
          <w:kern w:val="36"/>
          <w:lang w:eastAsia="en-GB"/>
        </w:rPr>
        <w:t xml:space="preserve"> </w:t>
      </w:r>
      <w:r w:rsidRPr="00313449">
        <w:rPr>
          <w:rFonts w:eastAsia="Times New Roman"/>
          <w:bCs/>
          <w:kern w:val="36"/>
          <w:lang w:eastAsia="en-GB"/>
        </w:rPr>
        <w:t>Walvoord avers that ‘never in Scripture are the Old Testament saints or the saints of the future tribulation promised translation’, which is ‘a truth not revealed … in the Old Testament’.</w:t>
      </w:r>
      <w:r>
        <w:rPr>
          <w:rStyle w:val="EndnoteReference"/>
          <w:rFonts w:eastAsia="Times New Roman"/>
          <w:bCs/>
          <w:kern w:val="36"/>
          <w:lang w:eastAsia="en-GB"/>
        </w:rPr>
        <w:endnoteReference w:id="1569"/>
      </w:r>
      <w:r>
        <w:rPr>
          <w:rFonts w:eastAsia="Times New Roman"/>
          <w:bCs/>
          <w:kern w:val="36"/>
          <w:lang w:eastAsia="en-GB"/>
        </w:rPr>
        <w:t xml:space="preserve"> </w:t>
      </w:r>
    </w:p>
    <w:p w:rsidR="00442D33" w:rsidRPr="00313449" w:rsidRDefault="00442D33" w:rsidP="00442D33">
      <w:pPr>
        <w:spacing w:after="120" w:line="360" w:lineRule="auto"/>
        <w:ind w:firstLine="567"/>
        <w:jc w:val="both"/>
        <w:rPr>
          <w:rFonts w:eastAsia="Times New Roman"/>
          <w:bCs/>
          <w:kern w:val="36"/>
          <w:lang w:eastAsia="en-GB"/>
        </w:rPr>
      </w:pPr>
      <w:r w:rsidRPr="00313449">
        <w:rPr>
          <w:rFonts w:eastAsia="Times New Roman"/>
          <w:bCs/>
          <w:kern w:val="36"/>
          <w:lang w:eastAsia="en-GB"/>
        </w:rPr>
        <w:t>Darby’s rapture doctrine indeed arises from his ecclesiology.  As discussed in 1.3.5, Darby’s conversion aroused in him a deep consciousness of his immediate place with Christ in heaven.  This concept extended to all true believers, whose place was thus in heaven.</w:t>
      </w:r>
    </w:p>
    <w:p w:rsidR="00442D33" w:rsidRPr="00313449" w:rsidRDefault="00442D33" w:rsidP="00442D33">
      <w:pPr>
        <w:spacing w:after="120" w:line="360" w:lineRule="auto"/>
        <w:ind w:firstLine="567"/>
        <w:jc w:val="both"/>
        <w:rPr>
          <w:rFonts w:eastAsia="Times New Roman"/>
          <w:bCs/>
          <w:kern w:val="36"/>
          <w:szCs w:val="27"/>
          <w:lang w:eastAsia="en-GB"/>
        </w:rPr>
      </w:pPr>
      <w:r w:rsidRPr="00313449">
        <w:rPr>
          <w:rFonts w:eastAsia="Times New Roman"/>
          <w:bCs/>
          <w:kern w:val="36"/>
          <w:szCs w:val="27"/>
          <w:lang w:eastAsia="en-GB"/>
        </w:rPr>
        <w:t>Darby wrote:</w:t>
      </w:r>
    </w:p>
    <w:p w:rsidR="00442D33" w:rsidRPr="00313449" w:rsidRDefault="00442D33" w:rsidP="00442D33">
      <w:pPr>
        <w:spacing w:after="240" w:line="240" w:lineRule="auto"/>
        <w:ind w:left="1134" w:right="1700"/>
        <w:jc w:val="both"/>
        <w:rPr>
          <w:rFonts w:eastAsia="Times New Roman"/>
          <w:bCs/>
          <w:kern w:val="36"/>
          <w:szCs w:val="27"/>
          <w:lang w:eastAsia="en-GB"/>
        </w:rPr>
      </w:pPr>
      <w:r w:rsidRPr="00313449">
        <w:t xml:space="preserve">It then became clear to me that the church of God, as He considers it, was composed only of those who were so united to Christ, whereas Christendom, as seen externally, was really the world, and could not be considered as </w:t>
      </w:r>
      <w:r>
        <w:t>“</w:t>
      </w:r>
      <w:r w:rsidRPr="00313449">
        <w:t>the church,</w:t>
      </w:r>
      <w:r>
        <w:t>”</w:t>
      </w:r>
      <w:r w:rsidRPr="00313449">
        <w:t xml:space="preserve"> save as regards the responsibility </w:t>
      </w:r>
      <w:r w:rsidRPr="00313449">
        <w:lastRenderedPageBreak/>
        <w:t xml:space="preserve">attaching to the position which it professed to occupy </w:t>
      </w:r>
      <w:r w:rsidRPr="00012B96">
        <w:rPr>
          <w:sz w:val="16"/>
          <w:szCs w:val="24"/>
        </w:rPr>
        <w:t>—</w:t>
      </w:r>
      <w:r w:rsidRPr="00313449">
        <w:t xml:space="preserve"> a very important thing in its place. At the same time, I saw that </w:t>
      </w:r>
      <w:r w:rsidRPr="00313449">
        <w:rPr>
          <w:i/>
        </w:rPr>
        <w:t>the Christian, having his place in Christ in heaven, has nothing to wait for save the coming of the Saviour, in order to be set, in fact, in the glory which is already his portion in Christ</w:t>
      </w:r>
      <w:r w:rsidRPr="00313449">
        <w:t>.</w:t>
      </w:r>
      <w:r>
        <w:rPr>
          <w:rStyle w:val="EndnoteReference"/>
        </w:rPr>
        <w:endnoteReference w:id="1570"/>
      </w:r>
      <w:r w:rsidRPr="00313449">
        <w:rPr>
          <w:rFonts w:eastAsia="Times New Roman"/>
          <w:bCs/>
          <w:kern w:val="36"/>
          <w:szCs w:val="27"/>
          <w:lang w:eastAsia="en-GB"/>
        </w:rPr>
        <w:t xml:space="preserve">  </w:t>
      </w:r>
    </w:p>
    <w:p w:rsidR="00442D33" w:rsidRPr="00313449" w:rsidRDefault="00442D33" w:rsidP="00442D33">
      <w:pPr>
        <w:spacing w:after="120" w:line="360" w:lineRule="auto"/>
        <w:jc w:val="both"/>
        <w:rPr>
          <w:rFonts w:eastAsia="Times New Roman"/>
          <w:bCs/>
          <w:kern w:val="36"/>
          <w:szCs w:val="27"/>
          <w:lang w:eastAsia="en-GB"/>
        </w:rPr>
      </w:pPr>
      <w:r w:rsidRPr="00313449">
        <w:rPr>
          <w:rFonts w:eastAsia="Times New Roman"/>
          <w:bCs/>
          <w:kern w:val="36"/>
          <w:szCs w:val="27"/>
          <w:lang w:eastAsia="en-GB"/>
        </w:rPr>
        <w:t xml:space="preserve">This text seems to imply that Darby regarded Christ’s coming as having significance for believers since they had nothing to wait for except that coming, but he appears to contradict </w:t>
      </w:r>
      <w:proofErr w:type="gramStart"/>
      <w:r w:rsidRPr="00313449">
        <w:rPr>
          <w:rFonts w:eastAsia="Times New Roman"/>
          <w:bCs/>
          <w:kern w:val="36"/>
          <w:szCs w:val="27"/>
          <w:lang w:eastAsia="en-GB"/>
        </w:rPr>
        <w:t>himself</w:t>
      </w:r>
      <w:proofErr w:type="gramEnd"/>
      <w:r w:rsidRPr="00313449">
        <w:rPr>
          <w:rFonts w:eastAsia="Times New Roman"/>
          <w:bCs/>
          <w:kern w:val="36"/>
          <w:szCs w:val="27"/>
          <w:lang w:eastAsia="en-GB"/>
        </w:rPr>
        <w:t xml:space="preserve"> by also saying: </w:t>
      </w:r>
    </w:p>
    <w:p w:rsidR="00442D33" w:rsidRPr="00313449" w:rsidRDefault="00442D33" w:rsidP="00442D33">
      <w:pPr>
        <w:spacing w:after="240" w:line="240" w:lineRule="auto"/>
        <w:ind w:left="1134" w:right="1700"/>
        <w:jc w:val="both"/>
      </w:pPr>
      <w:r w:rsidRPr="00313449">
        <w:rPr>
          <w:i/>
        </w:rPr>
        <w:t>The church's joining Christ has nothing to do with Christ's appearing or coming to earth</w:t>
      </w:r>
      <w:r w:rsidRPr="00313449">
        <w:t xml:space="preserve">. Her place is elsewhere. She sits in Him already in heavenly places. She has to be brought there as to bodily presence. Christ could not remain with His disciples here, and tells them, </w:t>
      </w:r>
      <w:r>
        <w:t>“</w:t>
      </w:r>
      <w:r w:rsidRPr="00313449">
        <w:t>I go to prepare a place for you; and if I go and prepare a place for you, I will come again and receive you to myself; that where I am there ye may be also.</w:t>
      </w:r>
      <w:r>
        <w:t>”</w:t>
      </w:r>
      <w:r w:rsidRPr="00313449">
        <w:t xml:space="preserve"> </w:t>
      </w:r>
      <w:r w:rsidRPr="00313449">
        <w:rPr>
          <w:i/>
        </w:rPr>
        <w:t xml:space="preserve">The thing she has to expect for herself, then, is not, though sure of that also, Christ's </w:t>
      </w:r>
      <w:proofErr w:type="gramStart"/>
      <w:r w:rsidRPr="00313449">
        <w:rPr>
          <w:i/>
        </w:rPr>
        <w:t>appearing,</w:t>
      </w:r>
      <w:proofErr w:type="gramEnd"/>
      <w:r w:rsidRPr="00313449">
        <w:rPr>
          <w:i/>
        </w:rPr>
        <w:t xml:space="preserve"> but her being taken up where He is</w:t>
      </w:r>
      <w:r w:rsidRPr="00313449">
        <w:t>.</w:t>
      </w:r>
      <w:r>
        <w:rPr>
          <w:rStyle w:val="EndnoteReference"/>
        </w:rPr>
        <w:endnoteReference w:id="1571"/>
      </w:r>
      <w:r>
        <w:t xml:space="preserve"> </w:t>
      </w:r>
    </w:p>
    <w:p w:rsidR="00442D33" w:rsidRPr="00313449" w:rsidRDefault="00442D33" w:rsidP="00442D33">
      <w:pPr>
        <w:spacing w:after="120" w:line="360" w:lineRule="auto"/>
        <w:jc w:val="both"/>
        <w:rPr>
          <w:rFonts w:eastAsia="Times New Roman"/>
          <w:bCs/>
          <w:kern w:val="36"/>
          <w:szCs w:val="27"/>
          <w:lang w:eastAsia="en-GB"/>
        </w:rPr>
      </w:pPr>
      <w:r w:rsidRPr="00CC7B96">
        <w:rPr>
          <w:rStyle w:val="ind"/>
        </w:rPr>
        <w:t>Henzel provides</w:t>
      </w:r>
      <w:r w:rsidRPr="00313449">
        <w:rPr>
          <w:rStyle w:val="ind"/>
        </w:rPr>
        <w:t xml:space="preserve"> a possible solution to this seeming contradiction by stating that, ‘in a very real sense, and in the way that ultimately mattered most to Darby, Christians already had been raptured into glory spiritually, and were now simply waiting for the physical sequel to that event’.</w:t>
      </w:r>
      <w:r>
        <w:rPr>
          <w:rStyle w:val="EndnoteReference"/>
        </w:rPr>
        <w:endnoteReference w:id="1572"/>
      </w:r>
      <w:r w:rsidRPr="00313449">
        <w:rPr>
          <w:rStyle w:val="ind"/>
        </w:rPr>
        <w:t xml:space="preserve">  </w:t>
      </w:r>
    </w:p>
    <w:p w:rsidR="00442D33" w:rsidRPr="00313449" w:rsidRDefault="00442D33" w:rsidP="00442D33">
      <w:pPr>
        <w:spacing w:after="120" w:line="360" w:lineRule="auto"/>
        <w:ind w:right="-45" w:firstLine="567"/>
        <w:jc w:val="both"/>
        <w:rPr>
          <w:rFonts w:eastAsia="Times New Roman"/>
          <w:bCs/>
          <w:kern w:val="36"/>
          <w:lang w:eastAsia="en-GB"/>
        </w:rPr>
      </w:pPr>
      <w:r w:rsidRPr="00313449">
        <w:rPr>
          <w:rFonts w:eastAsia="Times New Roman"/>
          <w:bCs/>
          <w:kern w:val="36"/>
          <w:szCs w:val="27"/>
          <w:lang w:eastAsia="en-GB"/>
        </w:rPr>
        <w:t>One of the most important features of the rapture is its imminent nature, which is usually defined as ‘any-moment’.  This reflects the biblical notion that Christ may return at any time, expressed, for example, in his admoni</w:t>
      </w:r>
      <w:r>
        <w:rPr>
          <w:rFonts w:eastAsia="Times New Roman"/>
          <w:bCs/>
          <w:kern w:val="36"/>
          <w:szCs w:val="27"/>
          <w:lang w:eastAsia="en-GB"/>
        </w:rPr>
        <w:t>tion</w:t>
      </w:r>
      <w:r w:rsidRPr="00313449">
        <w:rPr>
          <w:rFonts w:eastAsia="Times New Roman"/>
          <w:bCs/>
          <w:kern w:val="36"/>
          <w:szCs w:val="27"/>
          <w:lang w:eastAsia="en-GB"/>
        </w:rPr>
        <w:t xml:space="preserve"> to be watchful in Mt. 24:42, and the parable of the ten bridesmaids in Matthew 25.  Unlike the postmillennialist view, which limits the possibility of Christ’s return to the time when the Church has </w:t>
      </w:r>
      <w:r w:rsidRPr="00313449">
        <w:rPr>
          <w:rFonts w:eastAsia="Times New Roman"/>
          <w:bCs/>
          <w:kern w:val="36"/>
          <w:lang w:eastAsia="en-GB"/>
        </w:rPr>
        <w:t xml:space="preserve">Christianised the whole world, the view that Christ’s return is imminent means that it could take place at any time and must happen before the millennium.  Blaising states that ‘dispensationalists interpreted apocalyptic chronologies in Daniel and Revelation to mean that Christ will return to </w:t>
      </w:r>
      <w:r>
        <w:rPr>
          <w:rFonts w:eastAsia="Times New Roman"/>
          <w:bCs/>
          <w:kern w:val="36"/>
          <w:lang w:eastAsia="en-GB"/>
        </w:rPr>
        <w:t xml:space="preserve">the earth </w:t>
      </w:r>
      <w:r w:rsidRPr="00313449">
        <w:rPr>
          <w:rFonts w:eastAsia="Times New Roman"/>
          <w:bCs/>
          <w:kern w:val="36"/>
          <w:lang w:eastAsia="en-GB"/>
        </w:rPr>
        <w:t xml:space="preserve">to rule the nations after a Tribulation of seven years’ though ‘some dispensationalists have used </w:t>
      </w:r>
      <w:r w:rsidRPr="00313449">
        <w:rPr>
          <w:rFonts w:eastAsia="Times New Roman"/>
          <w:bCs/>
          <w:i/>
          <w:kern w:val="36"/>
          <w:lang w:eastAsia="en-GB"/>
        </w:rPr>
        <w:t>Tribulation</w:t>
      </w:r>
      <w:r w:rsidRPr="00313449">
        <w:rPr>
          <w:rFonts w:eastAsia="Times New Roman"/>
          <w:bCs/>
          <w:kern w:val="36"/>
          <w:lang w:eastAsia="en-GB"/>
        </w:rPr>
        <w:t xml:space="preserve"> to refer to the second half of Daniel’s seven year period, or a period of three and one half years’.</w:t>
      </w:r>
      <w:r>
        <w:rPr>
          <w:rStyle w:val="EndnoteReference"/>
          <w:rFonts w:eastAsia="Times New Roman"/>
          <w:bCs/>
          <w:kern w:val="36"/>
          <w:lang w:eastAsia="en-GB"/>
        </w:rPr>
        <w:endnoteReference w:id="1573"/>
      </w:r>
      <w:r>
        <w:rPr>
          <w:rFonts w:eastAsia="Times New Roman"/>
          <w:bCs/>
          <w:kern w:val="36"/>
          <w:lang w:eastAsia="en-GB"/>
        </w:rPr>
        <w:t xml:space="preserve">  </w:t>
      </w:r>
      <w:r w:rsidRPr="00313449">
        <w:rPr>
          <w:rFonts w:eastAsia="Times New Roman"/>
          <w:bCs/>
          <w:kern w:val="36"/>
          <w:lang w:eastAsia="en-GB"/>
        </w:rPr>
        <w:t>Since the Israel/Church dichotomy has led to the belief that the Church will be taken from the earth before the start of the tribulation,</w:t>
      </w:r>
      <w:r>
        <w:rPr>
          <w:rStyle w:val="EndnoteReference"/>
          <w:rFonts w:eastAsia="Times New Roman"/>
          <w:bCs/>
          <w:kern w:val="36"/>
          <w:lang w:eastAsia="en-GB"/>
        </w:rPr>
        <w:endnoteReference w:id="1574"/>
      </w:r>
      <w:r>
        <w:rPr>
          <w:rFonts w:eastAsia="Times New Roman"/>
          <w:bCs/>
          <w:kern w:val="36"/>
          <w:lang w:eastAsia="en-GB"/>
        </w:rPr>
        <w:t xml:space="preserve"> </w:t>
      </w:r>
      <w:r w:rsidRPr="00313449">
        <w:rPr>
          <w:rFonts w:eastAsia="Times New Roman"/>
          <w:bCs/>
          <w:kern w:val="36"/>
          <w:lang w:eastAsia="en-GB"/>
        </w:rPr>
        <w:t>a seven (or three-and-a-half) year interval (Daniel’s seventieth week) must exist between Christ’s coming for the Church in the clouds at the rapture and his return to earth after the tribulation.  The imminence of the rapture thus implies that it is both premillennial and pretribulational.  Sweetnam states, ‘The imminence of the rapture</w:t>
      </w:r>
      <w:r>
        <w:rPr>
          <w:rFonts w:eastAsia="Times New Roman"/>
          <w:bCs/>
          <w:kern w:val="36"/>
          <w:lang w:eastAsia="en-GB"/>
        </w:rPr>
        <w:t>’</w:t>
      </w:r>
      <w:r w:rsidRPr="00313449">
        <w:rPr>
          <w:rFonts w:eastAsia="Times New Roman"/>
          <w:bCs/>
          <w:kern w:val="36"/>
          <w:lang w:eastAsia="en-GB"/>
        </w:rPr>
        <w:t xml:space="preserve"> also prevents ‘the sort of historicism and date setting that had, by the turn of the nineteenth century, given premillennialism a bad name.’</w:t>
      </w:r>
      <w:r>
        <w:rPr>
          <w:rStyle w:val="EndnoteReference"/>
          <w:rFonts w:eastAsia="Times New Roman"/>
          <w:bCs/>
          <w:kern w:val="36"/>
          <w:lang w:eastAsia="en-GB"/>
        </w:rPr>
        <w:endnoteReference w:id="1575"/>
      </w:r>
      <w:r>
        <w:rPr>
          <w:rFonts w:eastAsia="Times New Roman"/>
          <w:bCs/>
          <w:kern w:val="36"/>
          <w:lang w:eastAsia="en-GB"/>
        </w:rPr>
        <w:t xml:space="preserve"> </w:t>
      </w:r>
    </w:p>
    <w:p w:rsidR="00442D33" w:rsidRPr="00313449" w:rsidRDefault="00442D33" w:rsidP="00442D33">
      <w:pPr>
        <w:spacing w:after="120" w:line="360" w:lineRule="auto"/>
        <w:ind w:left="34" w:firstLine="533"/>
        <w:jc w:val="both"/>
        <w:rPr>
          <w:rFonts w:eastAsia="Times New Roman"/>
          <w:bCs/>
          <w:kern w:val="36"/>
          <w:lang w:eastAsia="en-GB"/>
        </w:rPr>
      </w:pPr>
      <w:r w:rsidRPr="00313449">
        <w:rPr>
          <w:rFonts w:eastAsia="Times New Roman"/>
          <w:bCs/>
          <w:kern w:val="36"/>
          <w:lang w:eastAsia="en-GB"/>
        </w:rPr>
        <w:t xml:space="preserve">Sandeen maintains </w:t>
      </w:r>
      <w:r>
        <w:rPr>
          <w:rFonts w:eastAsia="Times New Roman"/>
          <w:bCs/>
          <w:kern w:val="36"/>
          <w:lang w:eastAsia="en-GB"/>
        </w:rPr>
        <w:t xml:space="preserve">that ‘there were in effect </w:t>
      </w:r>
      <w:r w:rsidRPr="00313449">
        <w:rPr>
          <w:rFonts w:eastAsia="Times New Roman"/>
          <w:bCs/>
          <w:kern w:val="36"/>
          <w:lang w:eastAsia="en-GB"/>
        </w:rPr>
        <w:t>“two second comings”</w:t>
      </w:r>
      <w:r>
        <w:rPr>
          <w:rFonts w:eastAsia="Times New Roman"/>
          <w:bCs/>
          <w:kern w:val="36"/>
          <w:lang w:eastAsia="en-GB"/>
        </w:rPr>
        <w:t xml:space="preserve"> in Darby’s eschatology’</w:t>
      </w:r>
      <w:r w:rsidRPr="00313449">
        <w:rPr>
          <w:rFonts w:eastAsia="Times New Roman"/>
          <w:bCs/>
          <w:kern w:val="36"/>
          <w:lang w:eastAsia="en-GB"/>
        </w:rPr>
        <w:t>, the first being a secret rapture of the Church, which could occur at any moment, and the second being ‘a public second advent as described in Matthew 24’.</w:t>
      </w:r>
      <w:r>
        <w:rPr>
          <w:rStyle w:val="EndnoteReference"/>
          <w:rFonts w:eastAsia="Times New Roman"/>
          <w:bCs/>
          <w:kern w:val="36"/>
          <w:lang w:eastAsia="en-GB"/>
        </w:rPr>
        <w:endnoteReference w:id="1576"/>
      </w:r>
      <w:r w:rsidRPr="00313449">
        <w:rPr>
          <w:rFonts w:eastAsia="Times New Roman"/>
          <w:bCs/>
          <w:kern w:val="36"/>
          <w:lang w:eastAsia="en-GB"/>
        </w:rPr>
        <w:t xml:space="preserve">  This means that, for Darby, the rapture is essentially </w:t>
      </w:r>
      <w:r w:rsidRPr="00313449">
        <w:rPr>
          <w:rFonts w:eastAsia="Times New Roman"/>
          <w:bCs/>
          <w:kern w:val="36"/>
          <w:lang w:eastAsia="en-GB"/>
        </w:rPr>
        <w:lastRenderedPageBreak/>
        <w:t>different from Christ’s return at the end of the tribulation and that the rapture may occur at any time.</w:t>
      </w:r>
      <w:r>
        <w:rPr>
          <w:rStyle w:val="EndnoteReference"/>
          <w:rFonts w:eastAsia="Times New Roman"/>
          <w:bCs/>
          <w:kern w:val="36"/>
          <w:lang w:eastAsia="en-GB"/>
        </w:rPr>
        <w:endnoteReference w:id="1577"/>
      </w:r>
      <w:r w:rsidRPr="00313449">
        <w:rPr>
          <w:rFonts w:eastAsia="Times New Roman"/>
          <w:bCs/>
          <w:kern w:val="36"/>
          <w:lang w:eastAsia="en-GB"/>
        </w:rPr>
        <w:t xml:space="preserve">  Darby writes:</w:t>
      </w:r>
    </w:p>
    <w:p w:rsidR="00442D33" w:rsidRPr="00313449" w:rsidRDefault="00442D33" w:rsidP="00442D33">
      <w:pPr>
        <w:spacing w:before="100" w:beforeAutospacing="1" w:after="120" w:line="240" w:lineRule="auto"/>
        <w:ind w:left="1134" w:right="1700"/>
        <w:jc w:val="both"/>
        <w:rPr>
          <w:rFonts w:eastAsia="Times New Roman"/>
          <w:szCs w:val="24"/>
          <w:lang w:eastAsia="en-GB"/>
        </w:rPr>
      </w:pPr>
      <w:r w:rsidRPr="00313449">
        <w:rPr>
          <w:rFonts w:eastAsia="Times New Roman"/>
          <w:i/>
          <w:szCs w:val="24"/>
          <w:lang w:eastAsia="en-GB"/>
        </w:rPr>
        <w:t>As to the time of this rapture, no one, of course, knows it. But the difference, in this respect, between it and the appearing is very marked, in what is most important.</w:t>
      </w:r>
      <w:r w:rsidRPr="00313449">
        <w:rPr>
          <w:rFonts w:eastAsia="Times New Roman"/>
          <w:szCs w:val="24"/>
          <w:lang w:eastAsia="en-GB"/>
        </w:rPr>
        <w:t xml:space="preserve"> At the appearing comes the judgment of this world: hence it connects itself with, and closes, its history; and before it that history must have run on to its revealed result, revealed events must have occurred, and the objects of judgment must have appeared on the scene and accomplished what is predicted of them. The church is associated with Christ already gone, is not of the world as He was not, is risen with Him, has its life hid with Him in God. There is no earthly event between it and heaven. It must have been gathered, and Christ rise up from the Father's throne to receive it: that is all. </w:t>
      </w:r>
      <w:r w:rsidRPr="00313449">
        <w:rPr>
          <w:rFonts w:eastAsia="Times New Roman"/>
          <w:i/>
          <w:szCs w:val="24"/>
          <w:lang w:eastAsia="en-GB"/>
        </w:rPr>
        <w:t>It is this conviction that the church is properly heavenly, in its calling and relationship with Christ, forming no part of the course of events of the earth, which makes its rapture so simple and clear; and on the other hand, it shews how the denial of its rapture brings down the church to an earthly position, and destroys its whole spiritual character and position.</w:t>
      </w:r>
      <w:r w:rsidRPr="00313449">
        <w:rPr>
          <w:rFonts w:eastAsia="Times New Roman"/>
          <w:szCs w:val="24"/>
          <w:lang w:eastAsia="en-GB"/>
        </w:rPr>
        <w:t xml:space="preserve"> Our calling is on high. Events are on earth. Prophecy does not relate to heaven</w:t>
      </w:r>
      <w:r>
        <w:rPr>
          <w:rFonts w:eastAsia="Times New Roman"/>
          <w:szCs w:val="24"/>
          <w:lang w:eastAsia="en-GB"/>
        </w:rPr>
        <w:t>.</w:t>
      </w:r>
      <w:r w:rsidRPr="00313449">
        <w:rPr>
          <w:rFonts w:eastAsia="Times New Roman"/>
          <w:szCs w:val="24"/>
          <w:lang w:eastAsia="en-GB"/>
        </w:rPr>
        <w:t xml:space="preserve"> The Christian's hope is not a prophetic subject at all. It is the promise that Christ will come and receive him to Himself that where He is the Christian may be also.</w:t>
      </w:r>
    </w:p>
    <w:p w:rsidR="00442D33" w:rsidRPr="00313449" w:rsidRDefault="00442D33" w:rsidP="00442D33">
      <w:pPr>
        <w:spacing w:after="240" w:line="240" w:lineRule="auto"/>
        <w:ind w:left="1134" w:right="1700"/>
        <w:jc w:val="both"/>
        <w:rPr>
          <w:rFonts w:eastAsia="Times New Roman"/>
          <w:szCs w:val="24"/>
          <w:lang w:eastAsia="en-GB"/>
        </w:rPr>
      </w:pPr>
      <w:r w:rsidRPr="00313449">
        <w:rPr>
          <w:rFonts w:eastAsia="Times New Roman"/>
          <w:szCs w:val="24"/>
          <w:lang w:eastAsia="en-GB"/>
        </w:rPr>
        <w:t xml:space="preserve">Although the question </w:t>
      </w:r>
      <w:proofErr w:type="gramStart"/>
      <w:r w:rsidRPr="00313449">
        <w:rPr>
          <w:rFonts w:eastAsia="Times New Roman"/>
          <w:szCs w:val="24"/>
          <w:lang w:eastAsia="en-GB"/>
        </w:rPr>
        <w:t>be</w:t>
      </w:r>
      <w:proofErr w:type="gramEnd"/>
      <w:r w:rsidRPr="00313449">
        <w:rPr>
          <w:rFonts w:eastAsia="Times New Roman"/>
          <w:szCs w:val="24"/>
          <w:lang w:eastAsia="en-GB"/>
        </w:rPr>
        <w:t xml:space="preserve"> already answered in principle, it may be well to put it formally here, When is the Christian to expect the Lord? I answer, </w:t>
      </w:r>
      <w:proofErr w:type="gramStart"/>
      <w:r w:rsidRPr="00313449">
        <w:rPr>
          <w:rFonts w:eastAsia="Times New Roman"/>
          <w:szCs w:val="24"/>
          <w:lang w:eastAsia="en-GB"/>
        </w:rPr>
        <w:t>Always</w:t>
      </w:r>
      <w:proofErr w:type="gramEnd"/>
      <w:r w:rsidRPr="00313449">
        <w:rPr>
          <w:rFonts w:eastAsia="Times New Roman"/>
          <w:szCs w:val="24"/>
          <w:lang w:eastAsia="en-GB"/>
        </w:rPr>
        <w:t>.</w:t>
      </w:r>
      <w:r>
        <w:rPr>
          <w:rStyle w:val="EndnoteReference"/>
          <w:rFonts w:eastAsia="Times New Roman"/>
          <w:szCs w:val="24"/>
          <w:lang w:eastAsia="en-GB"/>
        </w:rPr>
        <w:endnoteReference w:id="1578"/>
      </w:r>
      <w:r>
        <w:rPr>
          <w:rFonts w:eastAsia="Times New Roman"/>
          <w:szCs w:val="24"/>
          <w:lang w:eastAsia="en-GB"/>
        </w:rPr>
        <w:t xml:space="preserve"> </w:t>
      </w:r>
    </w:p>
    <w:p w:rsidR="00442D33" w:rsidRPr="00313449" w:rsidRDefault="00442D33" w:rsidP="00442D33">
      <w:pPr>
        <w:spacing w:after="120" w:line="360" w:lineRule="auto"/>
        <w:ind w:right="-45"/>
        <w:jc w:val="both"/>
        <w:rPr>
          <w:rStyle w:val="ind"/>
        </w:rPr>
      </w:pPr>
      <w:r w:rsidRPr="00313449">
        <w:rPr>
          <w:rStyle w:val="ind"/>
        </w:rPr>
        <w:t xml:space="preserve">A further implication here is that Darby regards the rapture as so important that the Church would lose its heavenly status, were it not for it; denial of it brings the Church to ‘an earthly position’.  </w:t>
      </w:r>
    </w:p>
    <w:p w:rsidR="00442D33" w:rsidRPr="00313449" w:rsidRDefault="00442D33" w:rsidP="00442D33">
      <w:pPr>
        <w:spacing w:after="120" w:line="360" w:lineRule="auto"/>
        <w:ind w:right="-45" w:firstLine="567"/>
        <w:jc w:val="both"/>
        <w:rPr>
          <w:rFonts w:eastAsia="Times New Roman"/>
          <w:bCs/>
          <w:kern w:val="36"/>
          <w:szCs w:val="27"/>
          <w:lang w:eastAsia="en-GB"/>
        </w:rPr>
      </w:pPr>
      <w:r w:rsidRPr="00313449">
        <w:rPr>
          <w:rStyle w:val="ind"/>
        </w:rPr>
        <w:t xml:space="preserve">Scofield also writes of the imminence of the rapture.  In his </w:t>
      </w:r>
      <w:r w:rsidRPr="00313449">
        <w:rPr>
          <w:rStyle w:val="ind"/>
          <w:i/>
        </w:rPr>
        <w:t>Bible Correspondence Course</w:t>
      </w:r>
      <w:r w:rsidRPr="00313449">
        <w:rPr>
          <w:rStyle w:val="ind"/>
        </w:rPr>
        <w:t xml:space="preserve">, </w:t>
      </w:r>
      <w:r w:rsidRPr="00313449">
        <w:rPr>
          <w:rStyle w:val="ind"/>
          <w:i/>
        </w:rPr>
        <w:t>New Testament</w:t>
      </w:r>
      <w:r w:rsidRPr="00313449">
        <w:rPr>
          <w:rStyle w:val="ind"/>
        </w:rPr>
        <w:t xml:space="preserve">, echoed virtually verbatim in his note on Mt. 4:17 in </w:t>
      </w:r>
      <w:r w:rsidRPr="00313449">
        <w:rPr>
          <w:rStyle w:val="ind"/>
          <w:i/>
        </w:rPr>
        <w:t>SRB</w:t>
      </w:r>
      <w:r w:rsidRPr="00313449">
        <w:rPr>
          <w:rStyle w:val="ind"/>
        </w:rPr>
        <w:t xml:space="preserve">, he interprets the phrase, ‘at hand’, as </w:t>
      </w:r>
      <w:r w:rsidRPr="00313449">
        <w:rPr>
          <w:rFonts w:eastAsia="Times New Roman"/>
          <w:bCs/>
          <w:kern w:val="36"/>
          <w:szCs w:val="27"/>
          <w:lang w:eastAsia="en-GB"/>
        </w:rPr>
        <w:t>meaning that ‘no known or predicted event must intervene’.</w:t>
      </w:r>
      <w:r>
        <w:rPr>
          <w:rStyle w:val="EndnoteReference"/>
          <w:rFonts w:eastAsia="Times New Roman"/>
          <w:bCs/>
          <w:kern w:val="36"/>
          <w:szCs w:val="27"/>
          <w:lang w:eastAsia="en-GB"/>
        </w:rPr>
        <w:endnoteReference w:id="1579"/>
      </w:r>
      <w:r w:rsidRPr="00313449">
        <w:rPr>
          <w:rFonts w:eastAsia="Times New Roman"/>
          <w:bCs/>
          <w:kern w:val="36"/>
          <w:szCs w:val="27"/>
          <w:lang w:eastAsia="en-GB"/>
        </w:rPr>
        <w:t xml:space="preserve">  He asserts that believers ‘down the ages’ have constantly expected ‘our Lord’s coming into the air for us.  …  His coming is absolutely signless, timeless, unrevealed.’</w:t>
      </w:r>
      <w:r>
        <w:rPr>
          <w:rStyle w:val="EndnoteReference"/>
          <w:rFonts w:eastAsia="Times New Roman"/>
          <w:bCs/>
          <w:kern w:val="36"/>
          <w:szCs w:val="27"/>
          <w:lang w:eastAsia="en-GB"/>
        </w:rPr>
        <w:endnoteReference w:id="1580"/>
      </w:r>
      <w:r>
        <w:rPr>
          <w:rFonts w:eastAsia="Times New Roman"/>
          <w:bCs/>
          <w:kern w:val="36"/>
          <w:szCs w:val="27"/>
          <w:lang w:eastAsia="en-GB"/>
        </w:rPr>
        <w:t xml:space="preserve"> </w:t>
      </w:r>
      <w:r w:rsidRPr="00313449">
        <w:rPr>
          <w:rFonts w:eastAsia="Times New Roman"/>
          <w:bCs/>
          <w:kern w:val="36"/>
          <w:szCs w:val="27"/>
          <w:lang w:eastAsia="en-GB"/>
        </w:rPr>
        <w:t xml:space="preserve"> Harris Rall asserts that ‘</w:t>
      </w:r>
      <w:r>
        <w:rPr>
          <w:rFonts w:eastAsia="Times New Roman"/>
          <w:bCs/>
          <w:kern w:val="36"/>
          <w:szCs w:val="27"/>
          <w:lang w:eastAsia="en-GB"/>
        </w:rPr>
        <w:t>“</w:t>
      </w:r>
      <w:r w:rsidRPr="00313449">
        <w:rPr>
          <w:rFonts w:eastAsia="Times New Roman"/>
          <w:bCs/>
          <w:kern w:val="36"/>
          <w:szCs w:val="27"/>
          <w:lang w:eastAsia="en-GB"/>
        </w:rPr>
        <w:t>imminent” with premillennialists means simply “next on the docket,” whether near or remote’.</w:t>
      </w:r>
      <w:r>
        <w:rPr>
          <w:rStyle w:val="EndnoteReference"/>
          <w:rFonts w:eastAsia="Times New Roman"/>
          <w:bCs/>
          <w:kern w:val="36"/>
          <w:szCs w:val="27"/>
          <w:lang w:eastAsia="en-GB"/>
        </w:rPr>
        <w:endnoteReference w:id="1581"/>
      </w:r>
      <w:r>
        <w:rPr>
          <w:rFonts w:eastAsia="Times New Roman"/>
          <w:bCs/>
          <w:kern w:val="36"/>
          <w:szCs w:val="27"/>
          <w:lang w:eastAsia="en-GB"/>
        </w:rPr>
        <w:t xml:space="preserve"> </w:t>
      </w:r>
    </w:p>
    <w:p w:rsidR="00442D33" w:rsidRPr="00313449" w:rsidRDefault="00442D33" w:rsidP="00442D33">
      <w:pPr>
        <w:spacing w:after="120" w:line="360" w:lineRule="auto"/>
        <w:ind w:right="-45" w:firstLine="567"/>
        <w:jc w:val="both"/>
        <w:rPr>
          <w:rFonts w:eastAsia="Times New Roman"/>
          <w:bCs/>
          <w:kern w:val="36"/>
          <w:szCs w:val="27"/>
          <w:lang w:eastAsia="en-GB"/>
        </w:rPr>
      </w:pPr>
      <w:r w:rsidRPr="00313449">
        <w:rPr>
          <w:lang w:val="en-US"/>
        </w:rPr>
        <w:t xml:space="preserve">Chafer, too, asserts the contrast between the rapture and the </w:t>
      </w:r>
      <w:r>
        <w:rPr>
          <w:lang w:val="en-US"/>
        </w:rPr>
        <w:t>second coming in glory.</w:t>
      </w:r>
      <w:r w:rsidRPr="00313449">
        <w:rPr>
          <w:lang w:val="en-US"/>
        </w:rPr>
        <w:t xml:space="preserve">  He states that ‘distinction is made between two future events. … Christ is seen descending into the air and there receiving to Himself the saints who are caught up from the earth to meet Him</w:t>
      </w:r>
      <w:r w:rsidRPr="00313449">
        <w:rPr>
          <w:rStyle w:val="EndnoteReference"/>
          <w:lang w:val="en-US"/>
        </w:rPr>
        <w:endnoteReference w:id="1582"/>
      </w:r>
      <w:r w:rsidRPr="00313449">
        <w:rPr>
          <w:lang w:val="en-US"/>
        </w:rPr>
        <w:t xml:space="preserve"> … </w:t>
      </w:r>
      <w:r w:rsidRPr="004C3EAB">
        <w:rPr>
          <w:spacing w:val="-2"/>
          <w:lang w:val="en-US"/>
        </w:rPr>
        <w:t>He is seen descending to the earth … with His glorified saints as His bride attending,</w:t>
      </w:r>
      <w:r w:rsidRPr="004C3EAB">
        <w:rPr>
          <w:rStyle w:val="EndnoteReference"/>
          <w:spacing w:val="-2"/>
          <w:lang w:val="en-US"/>
        </w:rPr>
        <w:endnoteReference w:id="1583"/>
      </w:r>
      <w:r w:rsidRPr="004C3EAB">
        <w:rPr>
          <w:spacing w:val="-2"/>
          <w:lang w:val="en-US"/>
        </w:rPr>
        <w:t xml:space="preserve"> to sit upon the throne of David</w:t>
      </w:r>
      <w:r w:rsidRPr="004C3EAB">
        <w:rPr>
          <w:rStyle w:val="EndnoteReference"/>
          <w:spacing w:val="-2"/>
          <w:lang w:val="en-US"/>
        </w:rPr>
        <w:endnoteReference w:id="1584"/>
      </w:r>
      <w:r w:rsidRPr="004C3EAB">
        <w:rPr>
          <w:spacing w:val="-2"/>
          <w:lang w:val="en-US"/>
        </w:rPr>
        <w:t xml:space="preserve">  which is also “the throne of His glory”.</w:t>
      </w:r>
      <w:r w:rsidRPr="004C3EAB">
        <w:rPr>
          <w:rStyle w:val="EndnoteReference"/>
          <w:spacing w:val="-2"/>
          <w:lang w:val="en-US"/>
        </w:rPr>
        <w:endnoteReference w:id="1585"/>
      </w:r>
      <w:r w:rsidRPr="004C3EAB">
        <w:rPr>
          <w:spacing w:val="-2"/>
          <w:lang w:val="en-US"/>
        </w:rPr>
        <w:t xml:space="preserve">  Though these two events differ in every particular, they are often confused …’</w:t>
      </w:r>
      <w:r w:rsidRPr="00313449">
        <w:rPr>
          <w:rStyle w:val="EndnoteReference"/>
          <w:lang w:val="en-US"/>
        </w:rPr>
        <w:endnoteReference w:id="1586"/>
      </w:r>
    </w:p>
    <w:p w:rsidR="00442D33" w:rsidRPr="00313449" w:rsidRDefault="00442D33" w:rsidP="00442D33">
      <w:pPr>
        <w:spacing w:after="120" w:line="360" w:lineRule="auto"/>
        <w:ind w:right="-45" w:firstLine="567"/>
        <w:jc w:val="both"/>
        <w:rPr>
          <w:rFonts w:eastAsia="Times New Roman"/>
          <w:bCs/>
          <w:kern w:val="36"/>
          <w:szCs w:val="27"/>
          <w:lang w:eastAsia="en-GB"/>
        </w:rPr>
      </w:pPr>
      <w:r w:rsidRPr="00313449">
        <w:rPr>
          <w:rFonts w:eastAsia="Times New Roman"/>
          <w:bCs/>
          <w:kern w:val="36"/>
          <w:szCs w:val="27"/>
          <w:lang w:eastAsia="en-GB"/>
        </w:rPr>
        <w:t xml:space="preserve">As ‘revised dispensationalists’, Ryrie and Walvoord both affirm the importance of the rapture.  Ryrie maintains that, stemming from the Israel/Church dichotomy, ‘pretribulationism has become a part of dispensational eschatology’.  Originally this was because early writers emphasised the imminence of Christ’s return, but ‘more recently it has been connected with the dispensational conception of the </w:t>
      </w:r>
      <w:r w:rsidRPr="00313449">
        <w:rPr>
          <w:rFonts w:eastAsia="Times New Roman"/>
          <w:bCs/>
          <w:kern w:val="36"/>
          <w:szCs w:val="27"/>
          <w:lang w:eastAsia="en-GB"/>
        </w:rPr>
        <w:lastRenderedPageBreak/>
        <w:t>distinctiveness of the Church.</w:t>
      </w:r>
      <w:r>
        <w:rPr>
          <w:rStyle w:val="EndnoteReference"/>
          <w:rFonts w:eastAsia="Times New Roman"/>
          <w:bCs/>
          <w:kern w:val="36"/>
          <w:szCs w:val="27"/>
          <w:lang w:eastAsia="en-GB"/>
        </w:rPr>
        <w:endnoteReference w:id="1587"/>
      </w:r>
      <w:r w:rsidRPr="00313449">
        <w:rPr>
          <w:rFonts w:eastAsia="Times New Roman"/>
          <w:bCs/>
          <w:kern w:val="36"/>
          <w:szCs w:val="27"/>
          <w:lang w:eastAsia="en-GB"/>
        </w:rPr>
        <w:t xml:space="preserve">  As stated above, Walvoord bases his case for the pretribulational rapture upon 1 Cor. 15:51-2; to this he adds 1 Thess. 4:13-18.</w:t>
      </w:r>
      <w:r>
        <w:rPr>
          <w:rStyle w:val="EndnoteReference"/>
          <w:rFonts w:eastAsia="Times New Roman"/>
          <w:bCs/>
          <w:kern w:val="36"/>
          <w:szCs w:val="27"/>
          <w:lang w:eastAsia="en-GB"/>
        </w:rPr>
        <w:endnoteReference w:id="1588"/>
      </w:r>
      <w:r w:rsidRPr="00313449">
        <w:rPr>
          <w:rFonts w:eastAsia="Times New Roman"/>
          <w:bCs/>
          <w:kern w:val="36"/>
          <w:szCs w:val="27"/>
          <w:lang w:eastAsia="en-GB"/>
        </w:rPr>
        <w:t xml:space="preserve">  C. H</w:t>
      </w:r>
      <w:r w:rsidR="005D06FC">
        <w:rPr>
          <w:rFonts w:eastAsia="Times New Roman"/>
          <w:bCs/>
          <w:kern w:val="36"/>
          <w:szCs w:val="27"/>
          <w:lang w:eastAsia="en-GB"/>
        </w:rPr>
        <w:t>.</w:t>
      </w:r>
      <w:r w:rsidRPr="00313449">
        <w:rPr>
          <w:rFonts w:eastAsia="Times New Roman"/>
          <w:bCs/>
          <w:kern w:val="36"/>
          <w:szCs w:val="27"/>
          <w:lang w:eastAsia="en-GB"/>
        </w:rPr>
        <w:t xml:space="preserve"> Mackintosh justifies his belief in the rapture by referring to Revelation 4 and 5 as showing the Church ‘in the very innermost circle of heavenly glory ere a single seal is opened, a single trumpet sounded, a single vial poured out’.  In fact, Mackintosh regards this interpretation as essential to understanding ‘the book of the Apocalypse’.</w:t>
      </w:r>
      <w:r>
        <w:rPr>
          <w:rStyle w:val="EndnoteReference"/>
          <w:rFonts w:eastAsia="Times New Roman"/>
          <w:bCs/>
          <w:kern w:val="36"/>
          <w:szCs w:val="27"/>
          <w:lang w:eastAsia="en-GB"/>
        </w:rPr>
        <w:endnoteReference w:id="1589"/>
      </w:r>
      <w:r>
        <w:rPr>
          <w:rFonts w:eastAsia="Times New Roman"/>
          <w:bCs/>
          <w:kern w:val="36"/>
          <w:szCs w:val="27"/>
          <w:lang w:eastAsia="en-GB"/>
        </w:rPr>
        <w:t xml:space="preserve"> </w:t>
      </w:r>
    </w:p>
    <w:p w:rsidR="00442D33" w:rsidRPr="00313449" w:rsidRDefault="00442D33" w:rsidP="00442D33">
      <w:pPr>
        <w:spacing w:after="120" w:line="360" w:lineRule="auto"/>
        <w:ind w:right="-45" w:firstLine="567"/>
        <w:jc w:val="both"/>
      </w:pPr>
      <w:r w:rsidRPr="00313449">
        <w:rPr>
          <w:rFonts w:eastAsia="Times New Roman"/>
          <w:bCs/>
          <w:kern w:val="36"/>
          <w:szCs w:val="27"/>
          <w:lang w:eastAsia="en-GB"/>
        </w:rPr>
        <w:t xml:space="preserve">It is disappointing that Blaising does not include the rapture amongst the topics he covers in his three-fold analysis of dispensational elements in his chapter, ‘Extent and Varieties’ in </w:t>
      </w:r>
      <w:r w:rsidRPr="00313449">
        <w:rPr>
          <w:rFonts w:eastAsia="Times New Roman"/>
          <w:bCs/>
          <w:i/>
          <w:kern w:val="36"/>
          <w:szCs w:val="27"/>
          <w:lang w:eastAsia="en-GB"/>
        </w:rPr>
        <w:t>Progressive Dispensationalism</w:t>
      </w:r>
      <w:r w:rsidRPr="00313449">
        <w:rPr>
          <w:rFonts w:eastAsia="Times New Roman"/>
          <w:bCs/>
          <w:kern w:val="36"/>
          <w:szCs w:val="27"/>
          <w:lang w:eastAsia="en-GB"/>
        </w:rPr>
        <w:t xml:space="preserve">.  This is </w:t>
      </w:r>
      <w:r w:rsidRPr="00313449">
        <w:rPr>
          <w:rFonts w:eastAsia="Times New Roman"/>
          <w:bCs/>
          <w:kern w:val="36"/>
          <w:lang w:eastAsia="en-GB"/>
        </w:rPr>
        <w:t>usually a valuable source for comparisons between classical, revised and progressive views of dispensational tenets.  The rapture appears only three times in the index of Progressive Dispensationalism; the first of these references simply states that, ‘like most premillennialists, dispensationalists interpret biblical prophecy to teach that Christ will return during a time of trouble called the Tribulation.  However, unlike most premillennialists</w:t>
      </w:r>
      <w:r>
        <w:rPr>
          <w:rFonts w:eastAsia="Times New Roman"/>
          <w:bCs/>
          <w:kern w:val="36"/>
          <w:lang w:eastAsia="en-GB"/>
        </w:rPr>
        <w:t>, most dispensationalists</w:t>
      </w:r>
      <w:r w:rsidRPr="00313449">
        <w:rPr>
          <w:rFonts w:eastAsia="Times New Roman"/>
          <w:bCs/>
          <w:kern w:val="36"/>
          <w:lang w:eastAsia="en-GB"/>
        </w:rPr>
        <w:t xml:space="preserve"> have advocated the doctrine of the pretribulational Rapture – the doctrine that Christ will come </w:t>
      </w:r>
      <w:r w:rsidRPr="00313449">
        <w:rPr>
          <w:rFonts w:eastAsia="Times New Roman"/>
          <w:bCs/>
          <w:i/>
          <w:kern w:val="36"/>
          <w:lang w:eastAsia="en-GB"/>
        </w:rPr>
        <w:t>for the church</w:t>
      </w:r>
      <w:r w:rsidRPr="00313449">
        <w:rPr>
          <w:rFonts w:eastAsia="Times New Roman"/>
          <w:bCs/>
          <w:kern w:val="36"/>
          <w:lang w:eastAsia="en-GB"/>
        </w:rPr>
        <w:t xml:space="preserve"> prior to the Tribulation.’</w:t>
      </w:r>
      <w:r>
        <w:rPr>
          <w:rStyle w:val="EndnoteReference"/>
          <w:rFonts w:eastAsia="Times New Roman"/>
          <w:bCs/>
          <w:kern w:val="36"/>
          <w:lang w:eastAsia="en-GB"/>
        </w:rPr>
        <w:endnoteReference w:id="1590"/>
      </w:r>
      <w:r>
        <w:rPr>
          <w:rFonts w:eastAsia="Times New Roman"/>
          <w:bCs/>
          <w:kern w:val="36"/>
          <w:lang w:eastAsia="en-GB"/>
        </w:rPr>
        <w:t xml:space="preserve"> </w:t>
      </w:r>
      <w:r w:rsidRPr="00313449">
        <w:rPr>
          <w:rFonts w:eastAsia="Times New Roman"/>
          <w:bCs/>
          <w:kern w:val="36"/>
          <w:lang w:eastAsia="en-GB"/>
        </w:rPr>
        <w:t xml:space="preserve"> The second reference makes a passing reference to the rapture in the introduction to a section entitled ‘Prophecy and Current Events’, which mainly concerns the tribulation.  Blaising discusses the disparity of views as to whether or not the tribulation is ‘presently transpiring’; he states that ‘</w:t>
      </w:r>
      <w:r w:rsidRPr="00313449">
        <w:t xml:space="preserve">the doctrine of a pretribulational Rapture allowed </w:t>
      </w:r>
      <w:r w:rsidR="005D06FC">
        <w:t xml:space="preserve">dispensationalists </w:t>
      </w:r>
      <w:r w:rsidRPr="00313449">
        <w:t>to keep the Tribulation entirely in the future and thus eliminate the embarrassment of repeated failure in the attempt to relate current events to prophecy’.  In other words, the rapture is here being used simply as an argument for futurism rather than historicism.</w:t>
      </w:r>
      <w:r>
        <w:rPr>
          <w:rStyle w:val="EndnoteReference"/>
        </w:rPr>
        <w:endnoteReference w:id="1591"/>
      </w:r>
      <w:r w:rsidRPr="00313449">
        <w:t xml:space="preserve">  The third reference in the index is to the footnote to a passage entitled ‘The Kingdom of God in the New Testament’, </w:t>
      </w:r>
      <w:r w:rsidRPr="00764773">
        <w:t>which is not listed in the index; this</w:t>
      </w:r>
      <w:r w:rsidRPr="00313449">
        <w:t xml:space="preserve"> concerns the theme of deliverance in the Day of the Lord in 1 Thessalonians 5.  Blaising suggests that, ‘in the context, this deliverance would seem to be the blessing of resurrection and translation into immortality which Christ will grant His own at His coming</w:t>
      </w:r>
      <w:r>
        <w:t>,</w:t>
      </w:r>
      <w:r>
        <w:rPr>
          <w:rStyle w:val="EndnoteReference"/>
        </w:rPr>
        <w:endnoteReference w:id="1592"/>
      </w:r>
      <w:r w:rsidRPr="00313449">
        <w:t xml:space="preserve"> an event which is called the Rapture.  This deliverance, or rapture, would appear to coincide with the inception or coming of the Day of the Lord, since that is the focus in 1 Thess. 5:2-4.’</w:t>
      </w:r>
      <w:r>
        <w:rPr>
          <w:rStyle w:val="EndnoteReference"/>
        </w:rPr>
        <w:endnoteReference w:id="1593"/>
      </w:r>
      <w:r>
        <w:t xml:space="preserve"> </w:t>
      </w:r>
      <w:r w:rsidRPr="00313449">
        <w:t xml:space="preserve"> The accompanying footnote mentions the rapture merely to say that dispensationalists believe that ‘the Rapture will take place before the Tribulation’.</w:t>
      </w:r>
      <w:r>
        <w:rPr>
          <w:rStyle w:val="EndnoteReference"/>
        </w:rPr>
        <w:endnoteReference w:id="1594"/>
      </w:r>
      <w:r>
        <w:t xml:space="preserve">  </w:t>
      </w:r>
      <w:r w:rsidRPr="00313449">
        <w:t>It appears that these passages represent the only interest Blaising has in the rapture, bearing out Sweetnam’s remark that ‘the eschatological implications of the Progressive programme remain somewhat unclear … because underdetermined’.</w:t>
      </w:r>
      <w:r>
        <w:rPr>
          <w:rStyle w:val="EndnoteReference"/>
        </w:rPr>
        <w:endnoteReference w:id="1595"/>
      </w:r>
      <w:r>
        <w:t xml:space="preserve"> </w:t>
      </w:r>
    </w:p>
    <w:p w:rsidR="00442D33" w:rsidRPr="00313449" w:rsidRDefault="00442D33" w:rsidP="00442D33">
      <w:pPr>
        <w:spacing w:after="120" w:line="360" w:lineRule="auto"/>
        <w:ind w:right="-45" w:firstLine="567"/>
        <w:jc w:val="both"/>
      </w:pPr>
      <w:r w:rsidRPr="00313449">
        <w:t xml:space="preserve">Saucy’s </w:t>
      </w:r>
      <w:r w:rsidRPr="00313449">
        <w:rPr>
          <w:i/>
        </w:rPr>
        <w:t>Case for Progressive Dispensationalism</w:t>
      </w:r>
      <w:r w:rsidRPr="00313449">
        <w:t xml:space="preserve"> has only two entries for ‘rapture’.  The first is the one quoted by Sweetnam: </w:t>
      </w:r>
    </w:p>
    <w:p w:rsidR="00442D33" w:rsidRPr="00313449" w:rsidRDefault="00442D33" w:rsidP="00442D33">
      <w:pPr>
        <w:spacing w:after="120" w:line="240" w:lineRule="auto"/>
        <w:ind w:left="1134" w:right="1701"/>
        <w:jc w:val="both"/>
      </w:pPr>
      <w:r w:rsidRPr="00313449">
        <w:t xml:space="preserve">While most dispensationalists probably hold to a pretribulation rapture of the church as being in certain respects more harmonious with dispensationalism in general, many would not desire to make this a determining touchstone of dispensationalism today.  For these the </w:t>
      </w:r>
      <w:r w:rsidRPr="00313449">
        <w:lastRenderedPageBreak/>
        <w:t>broad dispensational interpretation of biblical history does not ultimately stand or fall on the time of the rapture.</w:t>
      </w:r>
      <w:r>
        <w:rPr>
          <w:rStyle w:val="EndnoteReference"/>
        </w:rPr>
        <w:endnoteReference w:id="1596"/>
      </w:r>
      <w:r>
        <w:t xml:space="preserve"> </w:t>
      </w:r>
    </w:p>
    <w:p w:rsidR="00442D33" w:rsidRPr="00313449" w:rsidRDefault="00442D33" w:rsidP="00442D33">
      <w:pPr>
        <w:spacing w:after="120" w:line="360" w:lineRule="auto"/>
        <w:ind w:right="-45"/>
        <w:jc w:val="both"/>
      </w:pPr>
      <w:r w:rsidRPr="00313449">
        <w:t xml:space="preserve">Saucy clearly regards the rapture as something relatively unimportant.  His other reference is to the rapture only as a feature delimiting ‘the “church age,” … as a parenthesis of time interrupting the messianic kingdom program’.  </w:t>
      </w:r>
    </w:p>
    <w:p w:rsidR="00442D33" w:rsidRDefault="00442D33" w:rsidP="00442D33">
      <w:pPr>
        <w:spacing w:after="120" w:line="360" w:lineRule="auto"/>
        <w:ind w:right="-45" w:firstLine="567"/>
        <w:jc w:val="both"/>
        <w:rPr>
          <w:rFonts w:eastAsia="Times New Roman"/>
          <w:bCs/>
          <w:kern w:val="36"/>
          <w:lang w:eastAsia="en-GB"/>
        </w:rPr>
      </w:pPr>
      <w:r w:rsidRPr="00313449">
        <w:rPr>
          <w:rFonts w:eastAsia="Times New Roman"/>
          <w:bCs/>
          <w:kern w:val="36"/>
          <w:lang w:eastAsia="en-GB"/>
        </w:rPr>
        <w:t>One can only conclude that the rapture doctrine is not as important to progressive dispensationalists as it was to their earlier counterparts.  As Sweetnam remarks, ‘Progressive Dispensationalism has an organic susceptibility to eschatological positions other than the pre-tribulational premillennialism that has been a feature of broader Dispensationalism’.</w:t>
      </w:r>
      <w:r>
        <w:rPr>
          <w:rStyle w:val="EndnoteReference"/>
          <w:rFonts w:eastAsia="Times New Roman"/>
          <w:bCs/>
          <w:kern w:val="36"/>
          <w:lang w:eastAsia="en-GB"/>
        </w:rPr>
        <w:endnoteReference w:id="1597"/>
      </w:r>
      <w:r>
        <w:rPr>
          <w:rFonts w:eastAsia="Times New Roman"/>
          <w:bCs/>
          <w:kern w:val="36"/>
          <w:lang w:eastAsia="en-GB"/>
        </w:rPr>
        <w:t xml:space="preserve"> </w:t>
      </w:r>
    </w:p>
    <w:p w:rsidR="00442D33" w:rsidRPr="00691B1C" w:rsidRDefault="00442D33" w:rsidP="00442D33">
      <w:pPr>
        <w:spacing w:after="120" w:line="360" w:lineRule="auto"/>
        <w:ind w:right="-45" w:firstLine="567"/>
        <w:jc w:val="both"/>
      </w:pPr>
      <w:r w:rsidRPr="00691B1C">
        <w:rPr>
          <w:rFonts w:eastAsia="Times New Roman"/>
          <w:bCs/>
          <w:kern w:val="36"/>
          <w:lang w:eastAsia="en-GB"/>
        </w:rPr>
        <w:t xml:space="preserve">However, Lindsey, Hagee, Arnold Fruchtenbaum, Edward Hindson and Tim LaHaye, as relatively modern dispensationalist writers, do not appear to subscribe to the progressive dispensationalist view on the pretribulational rapture.  All endorse its importance as a tenet of dispensationalism.  Lindsey states, </w:t>
      </w:r>
      <w:r w:rsidRPr="00691B1C">
        <w:t>‘The word “rapture” means to snatch away or take out.  But whether we call this event “the Rapture” or the “translation” makes no difference – the important thing is that it will happen.’</w:t>
      </w:r>
      <w:r w:rsidRPr="00691B1C">
        <w:rPr>
          <w:rStyle w:val="EndnoteReference"/>
        </w:rPr>
        <w:endnoteReference w:id="1598"/>
      </w:r>
      <w:r w:rsidRPr="00691B1C">
        <w:rPr>
          <w:rFonts w:eastAsia="Times New Roman"/>
          <w:bCs/>
          <w:kern w:val="36"/>
          <w:lang w:eastAsia="en-GB"/>
        </w:rPr>
        <w:t xml:space="preserve">  Hagee avers, </w:t>
      </w:r>
      <w:r w:rsidRPr="00691B1C">
        <w:t>‘In 1 Thessalonians 4:13-18, the apostle Paul describes the rapture when the church is caught up to meet the Lord in the air.’</w:t>
      </w:r>
      <w:r w:rsidRPr="00691B1C">
        <w:rPr>
          <w:rStyle w:val="EndnoteReference"/>
        </w:rPr>
        <w:endnoteReference w:id="1599"/>
      </w:r>
      <w:r w:rsidRPr="00691B1C">
        <w:t xml:space="preserve">  Fruchtenbaum affirms, ‘The Rapture is both imminent and pre-tribulational.’</w:t>
      </w:r>
      <w:r w:rsidRPr="00691B1C">
        <w:rPr>
          <w:rStyle w:val="EndnoteReference"/>
        </w:rPr>
        <w:endnoteReference w:id="1600"/>
      </w:r>
      <w:r w:rsidRPr="00691B1C">
        <w:t xml:space="preserve">  Hindson states, ‘The </w:t>
      </w:r>
      <w:r>
        <w:t>C</w:t>
      </w:r>
      <w:r w:rsidRPr="00691B1C">
        <w:t>hurch will be raptured to heaven.’</w:t>
      </w:r>
      <w:r w:rsidRPr="00691B1C">
        <w:rPr>
          <w:rStyle w:val="EndnoteReference"/>
        </w:rPr>
        <w:endnoteReference w:id="1601"/>
      </w:r>
      <w:r w:rsidRPr="00691B1C">
        <w:t xml:space="preserve">  Tim LaHaye and his co-author, Jerry Jenkins, have written a series of novels on the theme, ‘Left Behind’, which was the title of the first volume.</w:t>
      </w:r>
      <w:r w:rsidRPr="00691B1C">
        <w:rPr>
          <w:rStyle w:val="EndnoteReference"/>
        </w:rPr>
        <w:endnoteReference w:id="1602"/>
      </w:r>
      <w:r w:rsidRPr="00691B1C">
        <w:t xml:space="preserve">  This is based on a detailed fictitious account of the pretribulation rapture and its aftermath.  </w:t>
      </w:r>
      <w:r w:rsidRPr="007522AD">
        <w:rPr>
          <w:rFonts w:eastAsia="Times New Roman"/>
          <w:bCs/>
          <w:kern w:val="36"/>
          <w:szCs w:val="27"/>
          <w:lang w:eastAsia="en-GB"/>
        </w:rPr>
        <w:t>Weber states that ‘the Left Behind series … has become the most effective disseminator of dispensationalist ideas ever’.</w:t>
      </w:r>
      <w:r w:rsidRPr="007522AD">
        <w:rPr>
          <w:rStyle w:val="EndnoteReference"/>
          <w:rFonts w:eastAsia="Times New Roman"/>
          <w:bCs/>
          <w:kern w:val="36"/>
          <w:szCs w:val="27"/>
          <w:lang w:eastAsia="en-GB"/>
        </w:rPr>
        <w:endnoteReference w:id="1603"/>
      </w:r>
      <w:r w:rsidRPr="007522AD">
        <w:rPr>
          <w:rFonts w:eastAsia="Times New Roman"/>
          <w:bCs/>
          <w:kern w:val="36"/>
          <w:szCs w:val="27"/>
          <w:lang w:eastAsia="en-GB"/>
        </w:rPr>
        <w:t xml:space="preserve">  </w:t>
      </w:r>
      <w:r w:rsidRPr="00691B1C">
        <w:t xml:space="preserve">The content of all volumes is discussed in detail in Dan Cohn-Sherbok’s </w:t>
      </w:r>
      <w:r w:rsidRPr="00691B1C">
        <w:rPr>
          <w:i/>
        </w:rPr>
        <w:t>The Politics of Apocalypse: The History and Influence of Christian Zionism</w:t>
      </w:r>
      <w:r w:rsidRPr="00691B1C">
        <w:t>.</w:t>
      </w:r>
      <w:r w:rsidRPr="00691B1C">
        <w:rPr>
          <w:rStyle w:val="EndnoteReference"/>
        </w:rPr>
        <w:endnoteReference w:id="1604"/>
      </w:r>
      <w:r w:rsidRPr="00691B1C">
        <w:t xml:space="preserve">  It is interesting that the phrase, ‘left behind’, is used of the apostate Church by the later editions of the Scofield Bible in their note on Acts 2:1.</w:t>
      </w:r>
      <w:r w:rsidRPr="00691B1C">
        <w:rPr>
          <w:rStyle w:val="EndnoteReference"/>
        </w:rPr>
        <w:endnoteReference w:id="1605"/>
      </w:r>
      <w:r w:rsidRPr="00691B1C">
        <w:t xml:space="preserve">  Lindsey, Fruchtenbaum, Hindson and LaHaye, along with Ryrie, among others, were listed as members of the Pre-Trib</w:t>
      </w:r>
      <w:r>
        <w:t xml:space="preserve"> </w:t>
      </w:r>
      <w:r w:rsidRPr="00691B1C">
        <w:t>Research</w:t>
      </w:r>
      <w:r>
        <w:t xml:space="preserve"> </w:t>
      </w:r>
      <w:r w:rsidRPr="00691B1C">
        <w:t>Center in 2010.</w:t>
      </w:r>
      <w:r w:rsidRPr="00691B1C">
        <w:rPr>
          <w:rStyle w:val="EndnoteReference"/>
        </w:rPr>
        <w:endnoteReference w:id="1606"/>
      </w:r>
      <w:r w:rsidRPr="00691B1C">
        <w:t xml:space="preserve">  LaHaye’s co-author, Jenkins, did not appear on the list.</w:t>
      </w:r>
    </w:p>
    <w:p w:rsidR="00442D33" w:rsidRPr="00691B1C" w:rsidRDefault="00442D33" w:rsidP="00442D33">
      <w:pPr>
        <w:spacing w:after="120" w:line="360" w:lineRule="auto"/>
        <w:ind w:right="-29" w:firstLine="567"/>
        <w:jc w:val="both"/>
      </w:pPr>
      <w:r w:rsidRPr="00691B1C">
        <w:t>Postmillennialists like Mathison,</w:t>
      </w:r>
      <w:r w:rsidRPr="00691B1C">
        <w:rPr>
          <w:rStyle w:val="EndnoteReference"/>
        </w:rPr>
        <w:endnoteReference w:id="1607"/>
      </w:r>
      <w:r w:rsidRPr="00691B1C">
        <w:t xml:space="preserve"> amillennialists like David Currie</w:t>
      </w:r>
      <w:r w:rsidRPr="00691B1C">
        <w:rPr>
          <w:rStyle w:val="EndnoteReference"/>
        </w:rPr>
        <w:endnoteReference w:id="1608"/>
      </w:r>
      <w:r w:rsidRPr="00691B1C">
        <w:t xml:space="preserve"> and </w:t>
      </w:r>
      <w:r>
        <w:t xml:space="preserve">William </w:t>
      </w:r>
      <w:r w:rsidRPr="00691B1C">
        <w:t>Cox,</w:t>
      </w:r>
      <w:r w:rsidRPr="00691B1C">
        <w:rPr>
          <w:rStyle w:val="EndnoteReference"/>
        </w:rPr>
        <w:endnoteReference w:id="1609"/>
      </w:r>
      <w:r w:rsidRPr="00691B1C">
        <w:t xml:space="preserve"> and even post-tribulational premillennialists like George Ladd,</w:t>
      </w:r>
      <w:r w:rsidRPr="00691B1C">
        <w:rPr>
          <w:rStyle w:val="EndnoteReference"/>
        </w:rPr>
        <w:endnoteReference w:id="1610"/>
      </w:r>
      <w:r w:rsidRPr="00691B1C">
        <w:t xml:space="preserve"> see 1 Thess. 4:13-18 as describing Christ’s fully visible and fully audible second coming.  </w:t>
      </w:r>
    </w:p>
    <w:p w:rsidR="00442D33" w:rsidRPr="008A14C8" w:rsidRDefault="00442D33" w:rsidP="00442D33">
      <w:pPr>
        <w:spacing w:after="120" w:line="360" w:lineRule="auto"/>
        <w:ind w:right="-28"/>
        <w:rPr>
          <w:b/>
          <w:spacing w:val="-2"/>
          <w:sz w:val="24"/>
          <w:szCs w:val="24"/>
        </w:rPr>
      </w:pPr>
      <w:proofErr w:type="gramStart"/>
      <w:r>
        <w:rPr>
          <w:b/>
          <w:sz w:val="24"/>
          <w:szCs w:val="24"/>
        </w:rPr>
        <w:t>6</w:t>
      </w:r>
      <w:r w:rsidRPr="00D656E7">
        <w:rPr>
          <w:b/>
          <w:sz w:val="24"/>
          <w:szCs w:val="24"/>
        </w:rPr>
        <w:t xml:space="preserve">.1  </w:t>
      </w:r>
      <w:r w:rsidRPr="008A14C8">
        <w:rPr>
          <w:b/>
          <w:spacing w:val="-2"/>
          <w:sz w:val="24"/>
          <w:szCs w:val="24"/>
        </w:rPr>
        <w:t>The</w:t>
      </w:r>
      <w:proofErr w:type="gramEnd"/>
      <w:r w:rsidRPr="008A14C8">
        <w:rPr>
          <w:b/>
          <w:spacing w:val="-2"/>
          <w:sz w:val="24"/>
          <w:szCs w:val="24"/>
        </w:rPr>
        <w:t xml:space="preserve"> Pretribulational Removal of the True Church in </w:t>
      </w:r>
      <w:r w:rsidR="008A14C8" w:rsidRPr="008A14C8">
        <w:rPr>
          <w:b/>
          <w:spacing w:val="-2"/>
          <w:sz w:val="24"/>
          <w:szCs w:val="24"/>
        </w:rPr>
        <w:t>the Scofield Reference Bible</w:t>
      </w:r>
    </w:p>
    <w:p w:rsidR="00442D33" w:rsidRPr="009B26B8" w:rsidRDefault="00442D33" w:rsidP="00442D33">
      <w:pPr>
        <w:spacing w:after="120" w:line="360" w:lineRule="auto"/>
        <w:jc w:val="both"/>
      </w:pPr>
      <w:r>
        <w:t xml:space="preserve">As discussed in Chapter 4, </w:t>
      </w:r>
      <w:r w:rsidRPr="009B26B8">
        <w:t>the eternal separatio</w:t>
      </w:r>
      <w:r>
        <w:t>n between Israel and the Church is o</w:t>
      </w:r>
      <w:r w:rsidRPr="009B26B8">
        <w:t>ne of the most important tenets of dispensational theory</w:t>
      </w:r>
      <w:r>
        <w:t>; I believe that, despite the opinions recorded above by progressive dispensationalists, the ultimate expression of this</w:t>
      </w:r>
      <w:r w:rsidRPr="009B26B8">
        <w:t xml:space="preserve"> is the assertion of the removal of the true </w:t>
      </w:r>
      <w:r>
        <w:t>C</w:t>
      </w:r>
      <w:r w:rsidRPr="009B26B8">
        <w:t>hurch in advance of the tribulation</w:t>
      </w:r>
      <w:r>
        <w:t>.</w:t>
      </w:r>
      <w:r w:rsidRPr="009B26B8">
        <w:t xml:space="preserve">  </w:t>
      </w:r>
      <w:r>
        <w:t xml:space="preserve">This is certainly true of Scofield.  The key text for this belief is 1 </w:t>
      </w:r>
      <w:r>
        <w:lastRenderedPageBreak/>
        <w:t>Thess. 4:13-17.</w:t>
      </w:r>
      <w:r>
        <w:rPr>
          <w:rStyle w:val="FootnoteReference"/>
        </w:rPr>
        <w:footnoteReference w:id="85"/>
      </w:r>
      <w:r>
        <w:t xml:space="preserve">  </w:t>
      </w:r>
      <w:r w:rsidRPr="004132D3">
        <w:t xml:space="preserve">Despite references in 1 Thess. 4:16 to the audible Lord’s shout, archangel’s voice and sound of the trumpet, </w:t>
      </w:r>
      <w:r>
        <w:t>Scofield</w:t>
      </w:r>
      <w:r w:rsidRPr="004132D3">
        <w:t xml:space="preserve"> see</w:t>
      </w:r>
      <w:r>
        <w:t>s</w:t>
      </w:r>
      <w:r w:rsidRPr="004132D3">
        <w:t xml:space="preserve"> 1 Thess. 4:13-17 as describing a rapture which is secret and invisible, in which Christ will not actually set foot on earth but come in the air to snatch the true Church to heaven before the tribulation.  Christ’s visible, terrestrial second coming will occur at the end of the tribulation.</w:t>
      </w:r>
      <w:r>
        <w:t xml:space="preserve">  Strangely, Scofield does not include a detailed note on 1 Thess. 4:13-17; references to the pretribulational removal of the true Church are made in commentary on other verses.  Scofield does comment upon verse 17, saying ‘not church saints only, but all bodies of the saved, of whatever dispensation, are included in the first resurrection,</w:t>
      </w:r>
      <w:r>
        <w:rPr>
          <w:rStyle w:val="EndnoteReference"/>
        </w:rPr>
        <w:endnoteReference w:id="1611"/>
      </w:r>
      <w:r>
        <w:t xml:space="preserve"> as here described, but it is peculiarly the “blessed hope” of the Church.’</w:t>
      </w:r>
      <w:r>
        <w:rPr>
          <w:rStyle w:val="EndnoteReference"/>
        </w:rPr>
        <w:endnoteReference w:id="1612"/>
      </w:r>
      <w:r>
        <w:t xml:space="preserve">  Scofield supports this contention by</w:t>
      </w:r>
      <w:r w:rsidRPr="009B26B8">
        <w:t xml:space="preserve"> reversing the order of the text of Mt. 13:30, stating that the wheat will be gathered into the barn </w:t>
      </w:r>
      <w:r w:rsidRPr="009B26B8">
        <w:rPr>
          <w:i/>
        </w:rPr>
        <w:t>before</w:t>
      </w:r>
      <w:r w:rsidRPr="009B26B8">
        <w:t xml:space="preserve"> the tares are burned.</w:t>
      </w:r>
      <w:r>
        <w:rPr>
          <w:rStyle w:val="EndnoteReference"/>
        </w:rPr>
        <w:endnoteReference w:id="1613"/>
      </w:r>
      <w:r w:rsidRPr="009B26B8">
        <w:t xml:space="preserve">  </w:t>
      </w:r>
      <w:r>
        <w:t>Matthew 13:30 states, ‘</w:t>
      </w:r>
      <w:r w:rsidRPr="00462D30">
        <w:rPr>
          <w:lang w:val="en-US"/>
        </w:rPr>
        <w:t>Let both grow together until the harvest: and in the time of harvest I will say to the reapers, Gather ye together first the tares, and bind them in bundles to burn them: but gather the wheat into my barn.</w:t>
      </w:r>
      <w:r>
        <w:t>’</w:t>
      </w:r>
      <w:r>
        <w:rPr>
          <w:rStyle w:val="EndnoteReference"/>
        </w:rPr>
        <w:endnoteReference w:id="1614"/>
      </w:r>
      <w:r>
        <w:t xml:space="preserve">  Scofield’s note states, ‘At the end of this age (v. 40) the tares are set apart for burning, but </w:t>
      </w:r>
      <w:r w:rsidRPr="00462D30">
        <w:rPr>
          <w:i/>
        </w:rPr>
        <w:t>first</w:t>
      </w:r>
      <w:r>
        <w:t xml:space="preserve"> the wheat is gathered into the barn.’</w:t>
      </w:r>
      <w:r>
        <w:rPr>
          <w:rStyle w:val="EndnoteReference"/>
        </w:rPr>
        <w:endnoteReference w:id="1615"/>
      </w:r>
      <w:r>
        <w:t xml:space="preserve">  </w:t>
      </w:r>
      <w:r w:rsidRPr="001F0A1F">
        <w:rPr>
          <w:spacing w:val="-4"/>
        </w:rPr>
        <w:t>The first reference Scofield gives, Jn 14:3, merely states, ‘</w:t>
      </w:r>
      <w:proofErr w:type="gramStart"/>
      <w:r w:rsidRPr="001F0A1F">
        <w:rPr>
          <w:spacing w:val="-4"/>
        </w:rPr>
        <w:t>And</w:t>
      </w:r>
      <w:proofErr w:type="gramEnd"/>
      <w:r w:rsidRPr="001F0A1F">
        <w:rPr>
          <w:spacing w:val="-4"/>
        </w:rPr>
        <w:t xml:space="preserve"> if I go and prepare a place for you I will come again, and receive you unto myself; that where I am, </w:t>
      </w:r>
      <w:r w:rsidRPr="001F0A1F">
        <w:rPr>
          <w:i/>
          <w:spacing w:val="-4"/>
        </w:rPr>
        <w:t>there</w:t>
      </w:r>
      <w:r w:rsidRPr="001F0A1F">
        <w:rPr>
          <w:spacing w:val="-4"/>
        </w:rPr>
        <w:t xml:space="preserve"> ye may be also.’</w:t>
      </w:r>
      <w:r w:rsidRPr="001F0A1F">
        <w:rPr>
          <w:rStyle w:val="EndnoteReference"/>
          <w:spacing w:val="-4"/>
        </w:rPr>
        <w:endnoteReference w:id="1616"/>
      </w:r>
      <w:r w:rsidRPr="001F0A1F">
        <w:rPr>
          <w:spacing w:val="-4"/>
        </w:rPr>
        <w:t xml:space="preserve">  The second reference is to 1 Thess. 4:14-17.</w:t>
      </w:r>
      <w:r>
        <w:t xml:space="preserve"> </w:t>
      </w:r>
    </w:p>
    <w:p w:rsidR="00442D33" w:rsidRDefault="00442D33" w:rsidP="00442D33">
      <w:pPr>
        <w:spacing w:after="120" w:line="360" w:lineRule="auto"/>
        <w:ind w:right="-29" w:firstLine="567"/>
        <w:jc w:val="both"/>
      </w:pPr>
      <w:r w:rsidRPr="0086078D">
        <w:t xml:space="preserve">The terminology regarding the removal of the true </w:t>
      </w:r>
      <w:r>
        <w:t>C</w:t>
      </w:r>
      <w:r w:rsidRPr="0086078D">
        <w:t>hurch encapsulates several different terms</w:t>
      </w:r>
      <w:r>
        <w:t>:</w:t>
      </w:r>
      <w:r w:rsidRPr="0086078D">
        <w:t xml:space="preserve"> </w:t>
      </w:r>
      <w:r w:rsidRPr="00462D30">
        <w:t>‘translation’, ‘rapture’, ‘being caught up’, ‘meeting Christ in the air’, ‘Christ’s coming for his Church or for his saints’, and ‘the blessed hope of the Church’ or ‘the hope of the believer’.  ‘Outcalling’ may also be used eschatologically though this term is ambiguous.</w:t>
      </w:r>
      <w:r>
        <w:rPr>
          <w:rStyle w:val="EndnoteReference"/>
        </w:rPr>
        <w:endnoteReference w:id="1617"/>
      </w:r>
      <w:r>
        <w:t xml:space="preserve">  </w:t>
      </w:r>
      <w:r w:rsidRPr="0086078D">
        <w:t xml:space="preserve">Some </w:t>
      </w:r>
      <w:r>
        <w:t xml:space="preserve">of the </w:t>
      </w:r>
      <w:r w:rsidRPr="0086078D">
        <w:t xml:space="preserve">commentary employs several of these terms, especially the notes on Acts 1:11 and 2:1 and the Introduction to Paul’s Epistles.  The commentary is not always relevant to the text to which it is attached.  The references are shown in </w:t>
      </w:r>
      <w:r w:rsidRPr="00BF40FB">
        <w:t>the chart below.</w:t>
      </w:r>
      <w:r>
        <w:t xml:space="preserve">  </w:t>
      </w:r>
      <w:r w:rsidRPr="002F1066">
        <w:t>Particularly in view of the discussion of ‘</w:t>
      </w:r>
      <w:r w:rsidRPr="002F1066">
        <w:rPr>
          <w:rFonts w:eastAsia="Times New Roman"/>
          <w:bCs/>
          <w:kern w:val="36"/>
          <w:lang w:eastAsia="en-GB"/>
        </w:rPr>
        <w:t>prophecy popularizers’</w:t>
      </w:r>
      <w:r>
        <w:rPr>
          <w:rStyle w:val="EndnoteReference"/>
          <w:rFonts w:eastAsia="Times New Roman"/>
          <w:bCs/>
          <w:kern w:val="36"/>
          <w:lang w:eastAsia="en-GB"/>
        </w:rPr>
        <w:endnoteReference w:id="1618"/>
      </w:r>
      <w:r w:rsidRPr="002F1066">
        <w:rPr>
          <w:rFonts w:eastAsia="Times New Roman"/>
          <w:bCs/>
          <w:kern w:val="36"/>
          <w:lang w:eastAsia="en-GB"/>
        </w:rPr>
        <w:t xml:space="preserve"> at the beginning of this chapter, i</w:t>
      </w:r>
      <w:r w:rsidRPr="002F1066">
        <w:t xml:space="preserve">t is </w:t>
      </w:r>
      <w:r>
        <w:t>significant</w:t>
      </w:r>
      <w:r w:rsidRPr="002F1066">
        <w:t xml:space="preserve"> that </w:t>
      </w:r>
      <w:r w:rsidRPr="005D06FC">
        <w:rPr>
          <w:i/>
        </w:rPr>
        <w:t>1967</w:t>
      </w:r>
      <w:r w:rsidR="005D06FC">
        <w:t xml:space="preserve"> and especially </w:t>
      </w:r>
      <w:r w:rsidR="005D06FC" w:rsidRPr="005D06FC">
        <w:rPr>
          <w:i/>
        </w:rPr>
        <w:t>2</w:t>
      </w:r>
      <w:r w:rsidRPr="005D06FC">
        <w:rPr>
          <w:i/>
        </w:rPr>
        <w:t>003</w:t>
      </w:r>
      <w:r w:rsidRPr="002F1066">
        <w:t xml:space="preserve"> </w:t>
      </w:r>
      <w:r>
        <w:t xml:space="preserve">contain more references to the pretribulation removal of the Church than </w:t>
      </w:r>
      <w:r w:rsidRPr="002F1066">
        <w:rPr>
          <w:i/>
        </w:rPr>
        <w:t>SRB</w:t>
      </w:r>
      <w:r>
        <w:t xml:space="preserve"> and </w:t>
      </w:r>
      <w:r w:rsidRPr="002F1066">
        <w:t xml:space="preserve">use the term ‘rapture’ more frequently than does </w:t>
      </w:r>
      <w:r w:rsidRPr="002F1066">
        <w:rPr>
          <w:i/>
        </w:rPr>
        <w:t>SRB</w:t>
      </w:r>
      <w:r w:rsidRPr="002F1066">
        <w:t>, which only employs it in the note on Rev. 19:19.</w:t>
      </w:r>
      <w:r>
        <w:rPr>
          <w:rStyle w:val="EndnoteReference"/>
        </w:rPr>
        <w:endnoteReference w:id="1619"/>
      </w:r>
      <w:r>
        <w:t xml:space="preserve">  However, this increased incidence does not reflect the views of the progressive dispensationalists also discussed earlier.  It is for these reasons that the following part of the current chapter includes comparative references to these later editions.  These are a good indication of how the concept has developed since Scofield’s time even though it was an important element in his eschatology.</w:t>
      </w:r>
      <w:r>
        <w:br w:type="page"/>
      </w:r>
    </w:p>
    <w:p w:rsidR="00442D33" w:rsidRPr="0086078D" w:rsidRDefault="00442D33" w:rsidP="00442D33">
      <w:pPr>
        <w:spacing w:after="120" w:line="360" w:lineRule="auto"/>
        <w:ind w:right="-29" w:firstLine="567"/>
        <w:jc w:val="both"/>
      </w:pPr>
      <w:r w:rsidRPr="009311AF">
        <w:rPr>
          <w:noProof/>
          <w:sz w:val="24"/>
          <w:szCs w:val="24"/>
          <w:lang w:eastAsia="en-GB"/>
        </w:rPr>
        <w:lastRenderedPageBreak/>
        <mc:AlternateContent>
          <mc:Choice Requires="wps">
            <w:drawing>
              <wp:anchor distT="0" distB="0" distL="114300" distR="114300" simplePos="0" relativeHeight="251659264" behindDoc="0" locked="0" layoutInCell="1" allowOverlap="1" wp14:anchorId="0A338E6D" wp14:editId="76EBAE22">
                <wp:simplePos x="0" y="0"/>
                <wp:positionH relativeFrom="column">
                  <wp:posOffset>1301750</wp:posOffset>
                </wp:positionH>
                <wp:positionV relativeFrom="paragraph">
                  <wp:posOffset>-7620</wp:posOffset>
                </wp:positionV>
                <wp:extent cx="2374265" cy="1403985"/>
                <wp:effectExtent l="0" t="0" r="0" b="8255"/>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75183" w:rsidRPr="008B3767" w:rsidRDefault="00975183" w:rsidP="00442D33">
                            <w:pPr>
                              <w:jc w:val="center"/>
                              <w:rPr>
                                <w:b/>
                                <w:sz w:val="24"/>
                                <w:szCs w:val="24"/>
                              </w:rPr>
                            </w:pPr>
                            <w:r w:rsidRPr="003A6CC4">
                              <w:rPr>
                                <w:b/>
                                <w:sz w:val="24"/>
                                <w:szCs w:val="24"/>
                              </w:rPr>
                              <w:t xml:space="preserve">Pretribulational References in </w:t>
                            </w:r>
                            <w:r w:rsidRPr="003A6CC4">
                              <w:rPr>
                                <w:b/>
                                <w:i/>
                                <w:sz w:val="24"/>
                                <w:szCs w:val="24"/>
                              </w:rPr>
                              <w:t>SRB</w:t>
                            </w:r>
                            <w:r>
                              <w:rPr>
                                <w:b/>
                                <w:i/>
                                <w:sz w:val="24"/>
                                <w:szCs w:val="24"/>
                              </w:rPr>
                              <w:t xml:space="preserve"> </w:t>
                            </w:r>
                            <w:r>
                              <w:rPr>
                                <w:b/>
                                <w:sz w:val="24"/>
                                <w:szCs w:val="24"/>
                              </w:rPr>
                              <w:t xml:space="preserve">and the </w:t>
                            </w:r>
                            <w:r w:rsidRPr="003A6CC4">
                              <w:rPr>
                                <w:b/>
                                <w:i/>
                                <w:sz w:val="24"/>
                                <w:szCs w:val="24"/>
                              </w:rPr>
                              <w:t>1967</w:t>
                            </w:r>
                            <w:r w:rsidRPr="003A6CC4">
                              <w:rPr>
                                <w:b/>
                                <w:sz w:val="24"/>
                                <w:szCs w:val="24"/>
                              </w:rPr>
                              <w:t xml:space="preserve"> and </w:t>
                            </w:r>
                            <w:r w:rsidRPr="003A6CC4">
                              <w:rPr>
                                <w:b/>
                                <w:i/>
                                <w:sz w:val="24"/>
                                <w:szCs w:val="24"/>
                              </w:rPr>
                              <w:t>2003</w:t>
                            </w:r>
                            <w:r>
                              <w:rPr>
                                <w:b/>
                                <w:i/>
                                <w:sz w:val="24"/>
                                <w:szCs w:val="24"/>
                              </w:rPr>
                              <w:t xml:space="preserve"> </w:t>
                            </w:r>
                            <w:r w:rsidRPr="008B3767">
                              <w:rPr>
                                <w:b/>
                                <w:sz w:val="24"/>
                                <w:szCs w:val="24"/>
                              </w:rPr>
                              <w:t>editions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2.5pt;margin-top:-.6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F2IwIAAB4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" stroked="f">
                <v:textbox style="mso-fit-shape-to-text:t">
                  <w:txbxContent>
                    <w:p w:rsidR="00975183" w:rsidRPr="008B3767" w:rsidRDefault="00975183" w:rsidP="00442D33">
                      <w:pPr>
                        <w:jc w:val="center"/>
                        <w:rPr>
                          <w:b/>
                          <w:sz w:val="24"/>
                          <w:szCs w:val="24"/>
                        </w:rPr>
                      </w:pPr>
                      <w:r w:rsidRPr="003A6CC4">
                        <w:rPr>
                          <w:b/>
                          <w:sz w:val="24"/>
                          <w:szCs w:val="24"/>
                        </w:rPr>
                        <w:t xml:space="preserve">Pretribulational References in </w:t>
                      </w:r>
                      <w:r w:rsidRPr="003A6CC4">
                        <w:rPr>
                          <w:b/>
                          <w:i/>
                          <w:sz w:val="24"/>
                          <w:szCs w:val="24"/>
                        </w:rPr>
                        <w:t>SRB</w:t>
                      </w:r>
                      <w:r>
                        <w:rPr>
                          <w:b/>
                          <w:i/>
                          <w:sz w:val="24"/>
                          <w:szCs w:val="24"/>
                        </w:rPr>
                        <w:t xml:space="preserve"> </w:t>
                      </w:r>
                      <w:r>
                        <w:rPr>
                          <w:b/>
                          <w:sz w:val="24"/>
                          <w:szCs w:val="24"/>
                        </w:rPr>
                        <w:t xml:space="preserve">and the </w:t>
                      </w:r>
                      <w:r w:rsidRPr="003A6CC4">
                        <w:rPr>
                          <w:b/>
                          <w:i/>
                          <w:sz w:val="24"/>
                          <w:szCs w:val="24"/>
                        </w:rPr>
                        <w:t>1967</w:t>
                      </w:r>
                      <w:r w:rsidRPr="003A6CC4">
                        <w:rPr>
                          <w:b/>
                          <w:sz w:val="24"/>
                          <w:szCs w:val="24"/>
                        </w:rPr>
                        <w:t xml:space="preserve"> and </w:t>
                      </w:r>
                      <w:r w:rsidRPr="003A6CC4">
                        <w:rPr>
                          <w:b/>
                          <w:i/>
                          <w:sz w:val="24"/>
                          <w:szCs w:val="24"/>
                        </w:rPr>
                        <w:t>2003</w:t>
                      </w:r>
                      <w:r>
                        <w:rPr>
                          <w:b/>
                          <w:i/>
                          <w:sz w:val="24"/>
                          <w:szCs w:val="24"/>
                        </w:rPr>
                        <w:t xml:space="preserve"> </w:t>
                      </w:r>
                      <w:r w:rsidRPr="008B3767">
                        <w:rPr>
                          <w:b/>
                          <w:sz w:val="24"/>
                          <w:szCs w:val="24"/>
                        </w:rPr>
                        <w:t>editions</w:t>
                      </w:r>
                    </w:p>
                  </w:txbxContent>
                </v:textbox>
              </v:shape>
            </w:pict>
          </mc:Fallback>
        </mc:AlternateContent>
      </w:r>
    </w:p>
    <w:p w:rsidR="00442D33" w:rsidRDefault="00442D33" w:rsidP="00442D33">
      <w:pPr>
        <w:spacing w:after="120" w:line="360" w:lineRule="auto"/>
        <w:rPr>
          <w:rFonts w:ascii="Times New Roman" w:hAnsi="Times New Roman"/>
          <w:highlight w:val="yellow"/>
        </w:rPr>
      </w:pPr>
    </w:p>
    <w:p w:rsidR="00442D33" w:rsidRPr="009311AF" w:rsidRDefault="00442D33" w:rsidP="00442D33">
      <w:pPr>
        <w:spacing w:after="120" w:line="360" w:lineRule="auto"/>
        <w:ind w:left="1134" w:right="-29"/>
        <w:jc w:val="both"/>
        <w:rPr>
          <w:rFonts w:ascii="Times New Roman" w:hAnsi="Times New Roman"/>
        </w:rPr>
      </w:pPr>
    </w:p>
    <w:p w:rsidR="00442D33" w:rsidRDefault="00442D33" w:rsidP="00442D33">
      <w:pPr>
        <w:spacing w:after="120" w:line="360" w:lineRule="auto"/>
        <w:jc w:val="right"/>
        <w:rPr>
          <w:sz w:val="24"/>
          <w:szCs w:val="24"/>
        </w:rPr>
      </w:pPr>
      <w:r>
        <w:rPr>
          <w:noProof/>
          <w:sz w:val="24"/>
          <w:szCs w:val="24"/>
          <w:lang w:eastAsia="en-GB"/>
        </w:rPr>
        <w:drawing>
          <wp:inline distT="0" distB="0" distL="0" distR="0" wp14:anchorId="4A843394" wp14:editId="4CBB9DE4">
            <wp:extent cx="7728105" cy="5351065"/>
            <wp:effectExtent l="762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lation Rapture etc 3 versions rev  18.8.15 crop.jpg"/>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7734851" cy="5355736"/>
                    </a:xfrm>
                    <a:prstGeom prst="rect">
                      <a:avLst/>
                    </a:prstGeom>
                  </pic:spPr>
                </pic:pic>
              </a:graphicData>
            </a:graphic>
          </wp:inline>
        </w:drawing>
      </w:r>
    </w:p>
    <w:p w:rsidR="00442D33" w:rsidRDefault="00442D33" w:rsidP="00442D33">
      <w:pPr>
        <w:spacing w:after="120" w:line="360" w:lineRule="auto"/>
        <w:jc w:val="center"/>
        <w:rPr>
          <w:sz w:val="24"/>
          <w:szCs w:val="24"/>
        </w:rPr>
      </w:pPr>
    </w:p>
    <w:p w:rsidR="00442D33" w:rsidRPr="009311AF" w:rsidRDefault="00442D33" w:rsidP="00442D33">
      <w:pPr>
        <w:spacing w:after="120" w:line="360" w:lineRule="auto"/>
        <w:jc w:val="both"/>
        <w:rPr>
          <w:sz w:val="24"/>
          <w:szCs w:val="24"/>
        </w:rPr>
      </w:pPr>
    </w:p>
    <w:p w:rsidR="00442D33" w:rsidRPr="009311AF" w:rsidRDefault="00442D33" w:rsidP="00442D33">
      <w:pPr>
        <w:spacing w:after="120" w:line="360" w:lineRule="auto"/>
        <w:jc w:val="center"/>
        <w:rPr>
          <w:sz w:val="24"/>
          <w:szCs w:val="24"/>
        </w:rPr>
      </w:pPr>
      <w:r>
        <w:rPr>
          <w:noProof/>
          <w:sz w:val="24"/>
          <w:szCs w:val="24"/>
          <w:lang w:eastAsia="en-GB"/>
        </w:rPr>
        <w:drawing>
          <wp:inline distT="0" distB="0" distL="0" distR="0" wp14:anchorId="54A50799" wp14:editId="5A215544">
            <wp:extent cx="4246066" cy="6101255"/>
            <wp:effectExtent l="0" t="0" r="254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ion of Refs in Each Edition 18.8.15 crop.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53050" cy="6111290"/>
                    </a:xfrm>
                    <a:prstGeom prst="rect">
                      <a:avLst/>
                    </a:prstGeom>
                  </pic:spPr>
                </pic:pic>
              </a:graphicData>
            </a:graphic>
          </wp:inline>
        </w:drawing>
      </w:r>
    </w:p>
    <w:p w:rsidR="00442D33" w:rsidRPr="005A3972" w:rsidRDefault="00442D33" w:rsidP="00442D33">
      <w:pPr>
        <w:spacing w:after="120" w:line="360" w:lineRule="auto"/>
        <w:jc w:val="both"/>
        <w:rPr>
          <w:sz w:val="24"/>
          <w:szCs w:val="24"/>
        </w:rPr>
      </w:pPr>
      <w:r w:rsidRPr="005A3972">
        <w:rPr>
          <w:i/>
        </w:rPr>
        <w:t xml:space="preserve">SRB </w:t>
      </w:r>
      <w:r w:rsidRPr="005A3972">
        <w:t xml:space="preserve">has 17 references to the pretribulation removal of the church, </w:t>
      </w:r>
      <w:r w:rsidRPr="005A3972">
        <w:rPr>
          <w:i/>
        </w:rPr>
        <w:t>1967</w:t>
      </w:r>
      <w:r w:rsidRPr="005A3972">
        <w:t xml:space="preserve">: 38, and </w:t>
      </w:r>
      <w:r w:rsidRPr="005A3972">
        <w:rPr>
          <w:i/>
        </w:rPr>
        <w:t>2003</w:t>
      </w:r>
      <w:r w:rsidRPr="005A3972">
        <w:t xml:space="preserve">: 41, as seen in the graph above.  The three references in </w:t>
      </w:r>
      <w:r w:rsidRPr="005A3972">
        <w:rPr>
          <w:i/>
        </w:rPr>
        <w:t>2003</w:t>
      </w:r>
      <w:r w:rsidRPr="005A3972">
        <w:t xml:space="preserve"> which do not appear in </w:t>
      </w:r>
      <w:r w:rsidRPr="005A3972">
        <w:rPr>
          <w:i/>
        </w:rPr>
        <w:t>1967</w:t>
      </w:r>
      <w:r w:rsidRPr="005A3972">
        <w:t xml:space="preserve"> all use the term ‘rapture’.  I believe that there is a strong possibility that the editors of the later editions have been influenced by popular interest in the Rapture.</w:t>
      </w:r>
      <w:r w:rsidRPr="005A3972">
        <w:rPr>
          <w:rStyle w:val="EndnoteReference"/>
        </w:rPr>
        <w:endnoteReference w:id="1620"/>
      </w:r>
      <w:r w:rsidRPr="005A3972">
        <w:t xml:space="preserve">  </w:t>
      </w:r>
    </w:p>
    <w:p w:rsidR="00442D33" w:rsidRDefault="00442D33" w:rsidP="00442D33">
      <w:pPr>
        <w:spacing w:after="120" w:line="360" w:lineRule="auto"/>
        <w:rPr>
          <w:b/>
          <w:sz w:val="24"/>
          <w:szCs w:val="24"/>
        </w:rPr>
      </w:pPr>
      <w:r>
        <w:rPr>
          <w:b/>
          <w:sz w:val="24"/>
          <w:szCs w:val="24"/>
        </w:rPr>
        <w:br w:type="page"/>
      </w:r>
    </w:p>
    <w:p w:rsidR="00442D33" w:rsidRPr="00D52550" w:rsidRDefault="00442D33" w:rsidP="00442D33">
      <w:pPr>
        <w:spacing w:after="120" w:line="360" w:lineRule="auto"/>
        <w:ind w:right="74"/>
        <w:jc w:val="both"/>
        <w:rPr>
          <w:b/>
          <w:szCs w:val="24"/>
        </w:rPr>
      </w:pPr>
      <w:proofErr w:type="gramStart"/>
      <w:r>
        <w:rPr>
          <w:b/>
          <w:szCs w:val="24"/>
        </w:rPr>
        <w:lastRenderedPageBreak/>
        <w:t>6</w:t>
      </w:r>
      <w:r w:rsidRPr="00D52550">
        <w:rPr>
          <w:b/>
          <w:szCs w:val="24"/>
        </w:rPr>
        <w:t>.1.1  Translation</w:t>
      </w:r>
      <w:proofErr w:type="gramEnd"/>
    </w:p>
    <w:p w:rsidR="00442D33" w:rsidRPr="009311AF" w:rsidRDefault="00442D33" w:rsidP="00442D33">
      <w:pPr>
        <w:spacing w:after="120" w:line="360" w:lineRule="auto"/>
        <w:ind w:right="74"/>
        <w:jc w:val="center"/>
        <w:rPr>
          <w:sz w:val="24"/>
          <w:szCs w:val="24"/>
        </w:rPr>
      </w:pPr>
      <w:r>
        <w:rPr>
          <w:noProof/>
          <w:sz w:val="24"/>
          <w:szCs w:val="24"/>
          <w:lang w:eastAsia="en-GB"/>
        </w:rPr>
        <w:drawing>
          <wp:inline distT="0" distB="0" distL="0" distR="0" wp14:anchorId="4BD105FE" wp14:editId="2CDFB784">
            <wp:extent cx="2232497" cy="2165299"/>
            <wp:effectExtent l="0" t="0" r="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lation only 3 columns 26.5.16 crop.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32973" cy="2165761"/>
                    </a:xfrm>
                    <a:prstGeom prst="rect">
                      <a:avLst/>
                    </a:prstGeom>
                  </pic:spPr>
                </pic:pic>
              </a:graphicData>
            </a:graphic>
          </wp:inline>
        </w:drawing>
      </w:r>
    </w:p>
    <w:p w:rsidR="00442D33" w:rsidRDefault="00442D33" w:rsidP="00442D33">
      <w:pPr>
        <w:spacing w:after="120" w:line="360" w:lineRule="auto"/>
        <w:ind w:right="-29" w:firstLine="567"/>
        <w:jc w:val="both"/>
      </w:pPr>
      <w:r w:rsidRPr="006B70DD">
        <w:rPr>
          <w:i/>
        </w:rPr>
        <w:t>SRB</w:t>
      </w:r>
      <w:r>
        <w:t xml:space="preserve">’s most common term for the pretribulation removal of the church is ‘translation’, which appears five times in Scofield’s notes.  Two of the occurrences concern Enoch.  </w:t>
      </w:r>
      <w:r w:rsidRPr="007C3DD2">
        <w:t>Enoch is ‘a type of those saints who are to be translated before the apocalyptic judgments’.</w:t>
      </w:r>
      <w:r w:rsidRPr="007C3DD2">
        <w:rPr>
          <w:rStyle w:val="EndnoteReference"/>
        </w:rPr>
        <w:endnoteReference w:id="1621"/>
      </w:r>
      <w:r w:rsidRPr="007C3DD2">
        <w:t xml:space="preserve">  Scofield also states that the church is ‘typified by Enoch</w:t>
      </w:r>
      <w:r>
        <w:t>’</w:t>
      </w:r>
      <w:r w:rsidRPr="007C3DD2">
        <w:t>, who was ‘translated to heaven before the judgment of the Flood’.</w:t>
      </w:r>
      <w:r w:rsidRPr="007C3DD2">
        <w:rPr>
          <w:rStyle w:val="EndnoteReference"/>
        </w:rPr>
        <w:endnoteReference w:id="1622"/>
      </w:r>
      <w:r w:rsidRPr="007C3DD2">
        <w:t xml:space="preserve">  Elijah, too, is regarded as ‘representative</w:t>
      </w:r>
      <w:r>
        <w:t>’</w:t>
      </w:r>
      <w:r w:rsidRPr="007C3DD2">
        <w:t xml:space="preserve"> of ‘the redeemed </w:t>
      </w:r>
      <w:proofErr w:type="gramStart"/>
      <w:r w:rsidRPr="007C3DD2">
        <w:t>who</w:t>
      </w:r>
      <w:proofErr w:type="gramEnd"/>
      <w:r w:rsidRPr="007C3DD2">
        <w:t xml:space="preserve"> have entered the kingdom through translation’.</w:t>
      </w:r>
      <w:r w:rsidRPr="007C3DD2">
        <w:rPr>
          <w:rStyle w:val="EndnoteReference"/>
        </w:rPr>
        <w:endnoteReference w:id="1623"/>
      </w:r>
      <w:r w:rsidRPr="007C3DD2">
        <w:t xml:space="preserve">  Fourthly, Scofield refers to ‘the mystery of the translation of the living saints at the end of this age’ as ‘one of the eleven </w:t>
      </w:r>
      <w:r>
        <w:t>“greater mysteries of Scripture”’.</w:t>
      </w:r>
      <w:r>
        <w:rPr>
          <w:rStyle w:val="EndnoteReference"/>
        </w:rPr>
        <w:endnoteReference w:id="1624"/>
      </w:r>
      <w:r>
        <w:t xml:space="preserve">  This indicates how important the translation of the Church is to Scofield.  Finally, Scofield states that </w:t>
      </w:r>
      <w:r w:rsidRPr="009B26B8">
        <w:t>‘the full manifestation of the believer’s sonship awaits the resurrection, change and translation of the saints, which is the redemption of the body’.</w:t>
      </w:r>
      <w:r w:rsidRPr="009B26B8">
        <w:rPr>
          <w:rStyle w:val="EndnoteReference"/>
        </w:rPr>
        <w:endnoteReference w:id="1625"/>
      </w:r>
      <w:r>
        <w:t xml:space="preserve">  </w:t>
      </w:r>
    </w:p>
    <w:p w:rsidR="00442D33" w:rsidRPr="009B26B8" w:rsidRDefault="00442D33" w:rsidP="00442D33">
      <w:pPr>
        <w:spacing w:after="120" w:line="360" w:lineRule="auto"/>
        <w:ind w:right="-29" w:firstLine="567"/>
        <w:jc w:val="both"/>
      </w:pPr>
      <w:r w:rsidRPr="007C3DD2">
        <w:t>Translation is also the most common term used by the 1967 and 2003 editions.  They</w:t>
      </w:r>
      <w:r>
        <w:t xml:space="preserve"> share </w:t>
      </w:r>
      <w:r w:rsidRPr="007C3DD2">
        <w:rPr>
          <w:i/>
        </w:rPr>
        <w:t>SRB</w:t>
      </w:r>
      <w:r>
        <w:t>’s references in their notes on Gen. 5:22,</w:t>
      </w:r>
      <w:r w:rsidRPr="007C3DD2">
        <w:rPr>
          <w:rStyle w:val="EndnoteReference"/>
        </w:rPr>
        <w:endnoteReference w:id="1626"/>
      </w:r>
      <w:r w:rsidRPr="007C3DD2">
        <w:t xml:space="preserve"> </w:t>
      </w:r>
      <w:r w:rsidRPr="0061562C">
        <w:t>Mt. 17:2</w:t>
      </w:r>
      <w:r>
        <w:rPr>
          <w:rStyle w:val="EndnoteReference"/>
        </w:rPr>
        <w:endnoteReference w:id="1627"/>
      </w:r>
      <w:r w:rsidRPr="0061562C">
        <w:t xml:space="preserve"> and Eph. 1:5</w:t>
      </w:r>
      <w:r>
        <w:rPr>
          <w:rStyle w:val="EndnoteReference"/>
        </w:rPr>
        <w:endnoteReference w:id="1628"/>
      </w:r>
      <w:r w:rsidRPr="0061562C">
        <w:t xml:space="preserve"> and add ten further references to translation.</w:t>
      </w:r>
      <w:r>
        <w:rPr>
          <w:rStyle w:val="EndnoteReference"/>
        </w:rPr>
        <w:endnoteReference w:id="1629"/>
      </w:r>
      <w:r w:rsidRPr="0061562C">
        <w:t xml:space="preserve">  </w:t>
      </w:r>
      <w:r>
        <w:t xml:space="preserve">These ten references to translation which do not appear in </w:t>
      </w:r>
      <w:r w:rsidRPr="00216153">
        <w:rPr>
          <w:i/>
        </w:rPr>
        <w:t>SRB</w:t>
      </w:r>
      <w:r>
        <w:t xml:space="preserve">, together with the four which repeat its notes, indicate that </w:t>
      </w:r>
      <w:r w:rsidRPr="00216153">
        <w:rPr>
          <w:i/>
        </w:rPr>
        <w:t>1967/2003</w:t>
      </w:r>
      <w:r>
        <w:t xml:space="preserve"> attach more importance to translation than does the earlier volume.  </w:t>
      </w:r>
    </w:p>
    <w:p w:rsidR="00442D33" w:rsidRPr="00D52550" w:rsidRDefault="00442D33" w:rsidP="00442D33">
      <w:pPr>
        <w:spacing w:after="120" w:line="360" w:lineRule="auto"/>
        <w:jc w:val="both"/>
        <w:rPr>
          <w:b/>
          <w:szCs w:val="24"/>
        </w:rPr>
      </w:pPr>
      <w:proofErr w:type="gramStart"/>
      <w:r>
        <w:rPr>
          <w:b/>
          <w:szCs w:val="24"/>
        </w:rPr>
        <w:t>6</w:t>
      </w:r>
      <w:r w:rsidRPr="00D52550">
        <w:rPr>
          <w:b/>
          <w:szCs w:val="24"/>
        </w:rPr>
        <w:t>.1.2  Rapture</w:t>
      </w:r>
      <w:proofErr w:type="gramEnd"/>
    </w:p>
    <w:p w:rsidR="00442D33" w:rsidRPr="009B26B8" w:rsidRDefault="00442D33" w:rsidP="00442D33">
      <w:pPr>
        <w:spacing w:after="120" w:line="360" w:lineRule="auto"/>
        <w:jc w:val="both"/>
        <w:rPr>
          <w:b/>
          <w:sz w:val="24"/>
          <w:szCs w:val="24"/>
        </w:rPr>
      </w:pPr>
      <w:r w:rsidRPr="00AC0271">
        <w:t>The noun, ‘rapture’ comes from the Vulgate translation of the verb,</w:t>
      </w:r>
      <w:r>
        <w:rPr>
          <w:sz w:val="24"/>
          <w:szCs w:val="24"/>
        </w:rPr>
        <w:t xml:space="preserve"> ‘</w:t>
      </w:r>
      <w:r w:rsidRPr="00B8416F">
        <w:rPr>
          <w:rFonts w:ascii="Bwgrkl" w:hAnsi="Bwgrkl" w:cs="Bwgrkl"/>
          <w:szCs w:val="28"/>
          <w:lang w:val="en-US" w:eastAsia="en-GB" w:bidi="he-IL"/>
        </w:rPr>
        <w:t>a`rpaghso</w:t>
      </w:r>
      <w:proofErr w:type="gramStart"/>
      <w:r w:rsidRPr="00B8416F">
        <w:rPr>
          <w:rFonts w:ascii="Bwgrkl" w:hAnsi="Bwgrkl" w:cs="Bwgrkl"/>
          <w:szCs w:val="28"/>
          <w:lang w:val="en-US" w:eastAsia="en-GB" w:bidi="he-IL"/>
        </w:rPr>
        <w:t>,meqa</w:t>
      </w:r>
      <w:r>
        <w:rPr>
          <w:sz w:val="24"/>
          <w:szCs w:val="24"/>
        </w:rPr>
        <w:t>’</w:t>
      </w:r>
      <w:proofErr w:type="gramEnd"/>
      <w:r w:rsidRPr="00AC0271">
        <w:t>,</w:t>
      </w:r>
      <w:r w:rsidRPr="00AC0271">
        <w:rPr>
          <w:rStyle w:val="FootnoteReference"/>
        </w:rPr>
        <w:footnoteReference w:id="86"/>
      </w:r>
      <w:r w:rsidRPr="00AC0271">
        <w:t xml:space="preserve"> in 1 Thess. 4:17, ‘</w:t>
      </w:r>
      <w:r w:rsidRPr="00AC0271">
        <w:rPr>
          <w:rFonts w:cs="Arial"/>
          <w:lang w:val="en-US" w:eastAsia="en-GB" w:bidi="he-IL"/>
        </w:rPr>
        <w:t>deinde nos qui vivimus … simul rapiemur</w:t>
      </w:r>
      <w:r w:rsidRPr="00AC0271">
        <w:t>’,</w:t>
      </w:r>
      <w:r w:rsidRPr="00AC0271">
        <w:rPr>
          <w:rStyle w:val="FootnoteReference"/>
        </w:rPr>
        <w:footnoteReference w:id="87"/>
      </w:r>
      <w:r w:rsidRPr="00AC0271">
        <w:t xml:space="preserve">  meaning ‘then we who are living shall be caught up with them’.  Both the Greek and the Latin have the sense of being snatched away or carried off.  The context is 1 Thess. 4:13-18, concerning the Thessalonians’ anxiety about believers who have died before Christ’s second coming and Paul’s reassurance.</w:t>
      </w:r>
    </w:p>
    <w:p w:rsidR="00442D33" w:rsidRPr="009311AF" w:rsidRDefault="00442D33" w:rsidP="00442D33">
      <w:pPr>
        <w:spacing w:after="120" w:line="360" w:lineRule="auto"/>
        <w:jc w:val="center"/>
        <w:rPr>
          <w:b/>
          <w:sz w:val="24"/>
          <w:szCs w:val="24"/>
        </w:rPr>
      </w:pPr>
      <w:r>
        <w:rPr>
          <w:b/>
          <w:noProof/>
          <w:sz w:val="24"/>
          <w:szCs w:val="24"/>
          <w:lang w:eastAsia="en-GB"/>
        </w:rPr>
        <w:lastRenderedPageBreak/>
        <w:drawing>
          <wp:inline distT="0" distB="0" distL="0" distR="0" wp14:anchorId="1D901F6B" wp14:editId="3D1204E4">
            <wp:extent cx="2578592" cy="228965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ture only 3 columns 26.5.16  2 crop.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87619" cy="2297672"/>
                    </a:xfrm>
                    <a:prstGeom prst="rect">
                      <a:avLst/>
                    </a:prstGeom>
                  </pic:spPr>
                </pic:pic>
              </a:graphicData>
            </a:graphic>
          </wp:inline>
        </w:drawing>
      </w:r>
    </w:p>
    <w:p w:rsidR="00442D33" w:rsidRDefault="00442D33" w:rsidP="00442D33">
      <w:pPr>
        <w:pStyle w:val="FootnoteText"/>
        <w:spacing w:after="120" w:line="360" w:lineRule="auto"/>
        <w:jc w:val="both"/>
        <w:rPr>
          <w:rFonts w:ascii="Perpetua" w:hAnsi="Perpetua"/>
          <w:sz w:val="22"/>
          <w:szCs w:val="22"/>
        </w:rPr>
      </w:pPr>
      <w:r w:rsidRPr="009B26B8">
        <w:rPr>
          <w:rFonts w:ascii="Perpetua" w:hAnsi="Perpetua"/>
          <w:sz w:val="22"/>
          <w:szCs w:val="22"/>
        </w:rPr>
        <w:t xml:space="preserve">Scofield </w:t>
      </w:r>
      <w:r>
        <w:rPr>
          <w:rFonts w:ascii="Perpetua" w:hAnsi="Perpetua"/>
          <w:sz w:val="22"/>
          <w:szCs w:val="22"/>
        </w:rPr>
        <w:t>only uses</w:t>
      </w:r>
      <w:r w:rsidRPr="009B26B8">
        <w:rPr>
          <w:rFonts w:ascii="Perpetua" w:hAnsi="Perpetua"/>
          <w:sz w:val="22"/>
          <w:szCs w:val="22"/>
        </w:rPr>
        <w:t xml:space="preserve"> the term, ‘rapture’ in his note on Rev. 19:19, where he refers to ‘the rapture of the true church’ as the fifth of the seven signs preceding the Day of the LORD.</w:t>
      </w:r>
      <w:r>
        <w:rPr>
          <w:rStyle w:val="EndnoteReference"/>
          <w:rFonts w:ascii="Perpetua" w:hAnsi="Perpetua"/>
          <w:sz w:val="22"/>
          <w:szCs w:val="22"/>
        </w:rPr>
        <w:endnoteReference w:id="1630"/>
      </w:r>
      <w:r>
        <w:rPr>
          <w:rFonts w:ascii="Perpetua" w:hAnsi="Perpetua"/>
          <w:sz w:val="22"/>
          <w:szCs w:val="22"/>
        </w:rPr>
        <w:t xml:space="preserve">  </w:t>
      </w:r>
      <w:r w:rsidRPr="001D43A3">
        <w:rPr>
          <w:rFonts w:ascii="Perpetua" w:hAnsi="Perpetua"/>
          <w:sz w:val="22"/>
          <w:szCs w:val="22"/>
        </w:rPr>
        <w:t>Scofield’s infrequent use of the term ‘</w:t>
      </w:r>
      <w:r>
        <w:rPr>
          <w:rFonts w:ascii="Perpetua" w:hAnsi="Perpetua"/>
          <w:sz w:val="22"/>
          <w:szCs w:val="22"/>
        </w:rPr>
        <w:t>r</w:t>
      </w:r>
      <w:r w:rsidRPr="001D43A3">
        <w:rPr>
          <w:rFonts w:ascii="Perpetua" w:hAnsi="Perpetua"/>
          <w:sz w:val="22"/>
          <w:szCs w:val="22"/>
        </w:rPr>
        <w:t xml:space="preserve">apture’ is more surprising than the extensive use of it by the later editions of the </w:t>
      </w:r>
      <w:r w:rsidRPr="005D06FC">
        <w:rPr>
          <w:rFonts w:ascii="Perpetua" w:hAnsi="Perpetua"/>
          <w:i/>
          <w:sz w:val="22"/>
          <w:szCs w:val="22"/>
        </w:rPr>
        <w:t>Scofield Bible</w:t>
      </w:r>
      <w:r w:rsidRPr="001D43A3">
        <w:rPr>
          <w:rFonts w:ascii="Perpetua" w:hAnsi="Perpetua"/>
          <w:sz w:val="22"/>
          <w:szCs w:val="22"/>
        </w:rPr>
        <w:t xml:space="preserve">.  </w:t>
      </w:r>
      <w:r>
        <w:rPr>
          <w:rFonts w:ascii="Perpetua" w:hAnsi="Perpetua"/>
          <w:sz w:val="22"/>
          <w:szCs w:val="22"/>
        </w:rPr>
        <w:t>The term must have been current at Scofield’s time because his</w:t>
      </w:r>
      <w:r w:rsidRPr="001D43A3">
        <w:rPr>
          <w:rFonts w:ascii="Perpetua" w:hAnsi="Perpetua"/>
          <w:sz w:val="22"/>
          <w:szCs w:val="22"/>
        </w:rPr>
        <w:t xml:space="preserve"> contemporary, Blackstone, uses </w:t>
      </w:r>
      <w:r>
        <w:rPr>
          <w:rFonts w:ascii="Perpetua" w:hAnsi="Perpetua"/>
          <w:sz w:val="22"/>
          <w:szCs w:val="22"/>
        </w:rPr>
        <w:t>it</w:t>
      </w:r>
      <w:r w:rsidRPr="001D43A3">
        <w:rPr>
          <w:rFonts w:ascii="Perpetua" w:hAnsi="Perpetua"/>
          <w:sz w:val="22"/>
          <w:szCs w:val="22"/>
        </w:rPr>
        <w:t xml:space="preserve"> copiously in his book, </w:t>
      </w:r>
      <w:r w:rsidRPr="001D43A3">
        <w:rPr>
          <w:rFonts w:ascii="Perpetua" w:hAnsi="Perpetua"/>
          <w:i/>
          <w:sz w:val="22"/>
          <w:szCs w:val="22"/>
        </w:rPr>
        <w:t xml:space="preserve">Jesus is </w:t>
      </w:r>
      <w:proofErr w:type="gramStart"/>
      <w:r w:rsidRPr="001D43A3">
        <w:rPr>
          <w:rFonts w:ascii="Perpetua" w:hAnsi="Perpetua"/>
          <w:i/>
          <w:sz w:val="22"/>
          <w:szCs w:val="22"/>
        </w:rPr>
        <w:t>Coming</w:t>
      </w:r>
      <w:proofErr w:type="gramEnd"/>
      <w:r>
        <w:rPr>
          <w:rFonts w:ascii="Perpetua" w:hAnsi="Perpetua"/>
          <w:sz w:val="22"/>
          <w:szCs w:val="22"/>
        </w:rPr>
        <w:t xml:space="preserve">. </w:t>
      </w:r>
      <w:proofErr w:type="gramStart"/>
      <w:r>
        <w:rPr>
          <w:rFonts w:ascii="Perpetua" w:hAnsi="Perpetua"/>
          <w:sz w:val="22"/>
          <w:szCs w:val="22"/>
        </w:rPr>
        <w:t>and</w:t>
      </w:r>
      <w:proofErr w:type="gramEnd"/>
      <w:r>
        <w:rPr>
          <w:rFonts w:ascii="Perpetua" w:hAnsi="Perpetua"/>
          <w:sz w:val="22"/>
          <w:szCs w:val="22"/>
        </w:rPr>
        <w:t xml:space="preserve"> even has a chapter entitled </w:t>
      </w:r>
      <w:r w:rsidRPr="00215FA1">
        <w:rPr>
          <w:rFonts w:ascii="Perpetua" w:hAnsi="Perpetua"/>
          <w:sz w:val="22"/>
          <w:szCs w:val="22"/>
        </w:rPr>
        <w:t>‘Rapture and Revelation’</w:t>
      </w:r>
      <w:r>
        <w:rPr>
          <w:rFonts w:ascii="Perpetua" w:hAnsi="Perpetua"/>
          <w:sz w:val="22"/>
          <w:szCs w:val="22"/>
        </w:rPr>
        <w:t>.</w:t>
      </w:r>
      <w:r>
        <w:rPr>
          <w:rStyle w:val="EndnoteReference"/>
          <w:rFonts w:ascii="Perpetua" w:hAnsi="Perpetua"/>
          <w:sz w:val="22"/>
          <w:szCs w:val="22"/>
        </w:rPr>
        <w:endnoteReference w:id="1631"/>
      </w:r>
      <w:r w:rsidRPr="001D43A3">
        <w:rPr>
          <w:rFonts w:ascii="Perpetua" w:hAnsi="Perpetua"/>
          <w:sz w:val="22"/>
          <w:szCs w:val="22"/>
        </w:rPr>
        <w:t xml:space="preserve"> </w:t>
      </w:r>
      <w:r>
        <w:rPr>
          <w:rFonts w:ascii="Perpetua" w:hAnsi="Perpetua"/>
          <w:sz w:val="22"/>
          <w:szCs w:val="22"/>
        </w:rPr>
        <w:t xml:space="preserve"> </w:t>
      </w:r>
      <w:r w:rsidRPr="00215FA1">
        <w:rPr>
          <w:rFonts w:ascii="Perpetua" w:hAnsi="Perpetua"/>
          <w:sz w:val="22"/>
          <w:szCs w:val="22"/>
        </w:rPr>
        <w:t xml:space="preserve">The date of original publication of </w:t>
      </w:r>
      <w:r w:rsidRPr="00215FA1">
        <w:rPr>
          <w:rFonts w:ascii="Perpetua" w:hAnsi="Perpetua"/>
          <w:i/>
          <w:sz w:val="22"/>
          <w:szCs w:val="22"/>
        </w:rPr>
        <w:t>Jesus is Coming</w:t>
      </w:r>
      <w:r w:rsidRPr="00215FA1">
        <w:rPr>
          <w:rFonts w:ascii="Perpetua" w:hAnsi="Perpetua"/>
          <w:sz w:val="22"/>
          <w:szCs w:val="22"/>
        </w:rPr>
        <w:t xml:space="preserve"> appears to be uncertain.  My copy states on its back cover that it was originally published in 1878; however, in the text of my copy, p. 212, Blackstone refers to ‘the time of writing, 1908’. </w:t>
      </w:r>
      <w:r>
        <w:rPr>
          <w:rFonts w:ascii="Perpetua" w:hAnsi="Perpetua"/>
          <w:sz w:val="22"/>
          <w:szCs w:val="22"/>
        </w:rPr>
        <w:t xml:space="preserve"> </w:t>
      </w:r>
      <w:r w:rsidRPr="00215FA1">
        <w:rPr>
          <w:rFonts w:ascii="Perpetua" w:hAnsi="Perpetua"/>
          <w:sz w:val="22"/>
          <w:szCs w:val="22"/>
        </w:rPr>
        <w:t>Internet Archive</w:t>
      </w:r>
      <w:r>
        <w:rPr>
          <w:rStyle w:val="EndnoteReference"/>
          <w:rFonts w:ascii="Perpetua" w:hAnsi="Perpetua"/>
          <w:sz w:val="22"/>
          <w:szCs w:val="22"/>
        </w:rPr>
        <w:endnoteReference w:id="1632"/>
      </w:r>
      <w:r w:rsidRPr="00215FA1">
        <w:rPr>
          <w:rFonts w:ascii="Perpetua" w:hAnsi="Perpetua"/>
          <w:sz w:val="22"/>
          <w:szCs w:val="22"/>
        </w:rPr>
        <w:t xml:space="preserve"> has a facsimile of a copy published by Fleming H. Revell dated 1898, whereas Wholesome Words refers to ‘3</w:t>
      </w:r>
      <w:r w:rsidRPr="00215FA1">
        <w:rPr>
          <w:rFonts w:ascii="Perpetua" w:hAnsi="Perpetua"/>
          <w:sz w:val="22"/>
          <w:szCs w:val="22"/>
          <w:vertAlign w:val="superscript"/>
        </w:rPr>
        <w:t>rd</w:t>
      </w:r>
      <w:r w:rsidRPr="00215FA1">
        <w:rPr>
          <w:rFonts w:ascii="Perpetua" w:hAnsi="Perpetua"/>
          <w:sz w:val="22"/>
          <w:szCs w:val="22"/>
        </w:rPr>
        <w:t xml:space="preserve"> Rev. 1908’</w:t>
      </w:r>
      <w:r>
        <w:rPr>
          <w:rFonts w:ascii="Perpetua" w:hAnsi="Perpetua"/>
          <w:sz w:val="22"/>
          <w:szCs w:val="22"/>
        </w:rPr>
        <w:t>.</w:t>
      </w:r>
      <w:r>
        <w:rPr>
          <w:rStyle w:val="EndnoteReference"/>
          <w:rFonts w:ascii="Perpetua" w:hAnsi="Perpetua"/>
          <w:sz w:val="22"/>
          <w:szCs w:val="22"/>
        </w:rPr>
        <w:endnoteReference w:id="1633"/>
      </w:r>
      <w:r w:rsidRPr="00215FA1">
        <w:rPr>
          <w:rFonts w:ascii="Perpetua" w:hAnsi="Perpetua"/>
          <w:sz w:val="22"/>
          <w:szCs w:val="22"/>
        </w:rPr>
        <w:t xml:space="preserve">  </w:t>
      </w:r>
      <w:r>
        <w:rPr>
          <w:rFonts w:ascii="Perpetua" w:hAnsi="Perpetua"/>
          <w:sz w:val="22"/>
          <w:szCs w:val="22"/>
        </w:rPr>
        <w:t xml:space="preserve">The </w:t>
      </w:r>
      <w:r w:rsidRPr="00215FA1">
        <w:rPr>
          <w:rFonts w:ascii="Perpetua" w:hAnsi="Perpetua"/>
          <w:sz w:val="22"/>
          <w:szCs w:val="22"/>
        </w:rPr>
        <w:t xml:space="preserve">Library of Congress </w:t>
      </w:r>
      <w:r>
        <w:rPr>
          <w:rFonts w:ascii="Perpetua" w:hAnsi="Perpetua"/>
          <w:sz w:val="22"/>
          <w:szCs w:val="22"/>
        </w:rPr>
        <w:t>holds several copies of Jesus is Coming’; it seems that the earliest edition</w:t>
      </w:r>
      <w:r w:rsidRPr="00215FA1">
        <w:rPr>
          <w:rFonts w:ascii="Perpetua" w:hAnsi="Perpetua"/>
          <w:sz w:val="22"/>
          <w:szCs w:val="22"/>
        </w:rPr>
        <w:t xml:space="preserve"> was published in 1898.</w:t>
      </w:r>
      <w:r>
        <w:rPr>
          <w:rStyle w:val="EndnoteReference"/>
          <w:rFonts w:ascii="Perpetua" w:hAnsi="Perpetua"/>
          <w:sz w:val="22"/>
          <w:szCs w:val="22"/>
        </w:rPr>
        <w:endnoteReference w:id="1634"/>
      </w:r>
      <w:r w:rsidRPr="00215FA1">
        <w:rPr>
          <w:rFonts w:ascii="Perpetua" w:hAnsi="Perpetua"/>
          <w:sz w:val="22"/>
          <w:szCs w:val="22"/>
        </w:rPr>
        <w:t xml:space="preserve">  </w:t>
      </w:r>
    </w:p>
    <w:p w:rsidR="00442D33" w:rsidRDefault="00442D33" w:rsidP="00442D33">
      <w:pPr>
        <w:pStyle w:val="FootnoteText"/>
        <w:spacing w:after="120" w:line="360" w:lineRule="auto"/>
        <w:ind w:firstLine="426"/>
        <w:jc w:val="both"/>
        <w:rPr>
          <w:rFonts w:ascii="Perpetua" w:hAnsi="Perpetua"/>
          <w:sz w:val="22"/>
          <w:szCs w:val="22"/>
        </w:rPr>
      </w:pPr>
      <w:r>
        <w:rPr>
          <w:rFonts w:ascii="Perpetua" w:hAnsi="Perpetua"/>
          <w:sz w:val="22"/>
          <w:szCs w:val="22"/>
        </w:rPr>
        <w:t xml:space="preserve">It does not seem that Scofield has any antipathy towards the expression, ‘rapture’, however.  He uses the word ten times in his </w:t>
      </w:r>
      <w:r w:rsidRPr="00526A38">
        <w:rPr>
          <w:rFonts w:ascii="Perpetua" w:hAnsi="Perpetua"/>
          <w:i/>
          <w:sz w:val="22"/>
          <w:szCs w:val="22"/>
        </w:rPr>
        <w:t>New Testament Bible Correspondence</w:t>
      </w:r>
      <w:r>
        <w:rPr>
          <w:rFonts w:ascii="Perpetua" w:hAnsi="Perpetua"/>
          <w:sz w:val="22"/>
          <w:szCs w:val="22"/>
        </w:rPr>
        <w:t xml:space="preserve"> </w:t>
      </w:r>
      <w:r w:rsidRPr="00D2774D">
        <w:rPr>
          <w:rFonts w:ascii="Perpetua" w:hAnsi="Perpetua"/>
          <w:i/>
          <w:sz w:val="22"/>
          <w:szCs w:val="22"/>
        </w:rPr>
        <w:t>Course</w:t>
      </w:r>
      <w:r>
        <w:rPr>
          <w:rFonts w:ascii="Perpetua" w:hAnsi="Perpetua"/>
          <w:sz w:val="22"/>
          <w:szCs w:val="22"/>
        </w:rPr>
        <w:t xml:space="preserve"> in commentary on Revelation.  The references are more contextualised than the brief mention in the note on Rev. 1919 in </w:t>
      </w:r>
      <w:r w:rsidRPr="00D2774D">
        <w:rPr>
          <w:rFonts w:ascii="Perpetua" w:hAnsi="Perpetua"/>
          <w:i/>
          <w:sz w:val="22"/>
          <w:szCs w:val="22"/>
        </w:rPr>
        <w:t>SRB</w:t>
      </w:r>
      <w:r>
        <w:rPr>
          <w:rFonts w:ascii="Perpetua" w:hAnsi="Perpetua"/>
          <w:sz w:val="22"/>
          <w:szCs w:val="22"/>
        </w:rPr>
        <w:t>.  ‘The rapture of the church is seen but for one moment in [Rev.] 4:1.’</w:t>
      </w:r>
      <w:r>
        <w:rPr>
          <w:rStyle w:val="EndnoteReference"/>
          <w:rFonts w:ascii="Perpetua" w:hAnsi="Perpetua"/>
          <w:sz w:val="22"/>
          <w:szCs w:val="22"/>
        </w:rPr>
        <w:endnoteReference w:id="1635"/>
      </w:r>
      <w:r>
        <w:rPr>
          <w:rFonts w:ascii="Perpetua" w:hAnsi="Perpetua"/>
          <w:sz w:val="22"/>
          <w:szCs w:val="22"/>
        </w:rPr>
        <w:t xml:space="preserve">  It is in this verse that John hears the voice bidding him ‘Come up hither’.  Scofield later refers to this in more detail; it is this which is ‘indeed and most preciously, the indication of the rapture … From that moment the view-point of the seer changes.  John still sees things on earth, but looks down upon them from the heights of glory.’</w:t>
      </w:r>
      <w:r>
        <w:rPr>
          <w:rStyle w:val="EndnoteReference"/>
          <w:rFonts w:ascii="Perpetua" w:hAnsi="Perpetua"/>
          <w:sz w:val="22"/>
          <w:szCs w:val="22"/>
        </w:rPr>
        <w:endnoteReference w:id="1636"/>
      </w:r>
      <w:r>
        <w:rPr>
          <w:rFonts w:ascii="Perpetua" w:hAnsi="Perpetua"/>
          <w:sz w:val="22"/>
          <w:szCs w:val="22"/>
        </w:rPr>
        <w:t xml:space="preserve">  In his </w:t>
      </w:r>
      <w:r w:rsidRPr="003651D2">
        <w:rPr>
          <w:rFonts w:ascii="Perpetua" w:hAnsi="Perpetua"/>
          <w:i/>
          <w:sz w:val="22"/>
          <w:szCs w:val="22"/>
        </w:rPr>
        <w:t>SRB</w:t>
      </w:r>
      <w:r>
        <w:rPr>
          <w:rFonts w:ascii="Perpetua" w:hAnsi="Perpetua"/>
          <w:sz w:val="22"/>
          <w:szCs w:val="22"/>
        </w:rPr>
        <w:t xml:space="preserve"> note on Rev. 4:1, Scofield remarks that the call, ‘“come up hither” clearly seems to indicate the fulfilment of 1 Thess. 4:14-17.  The word “church” does not again occur in the Revelation till all is fulfilled.’</w:t>
      </w:r>
      <w:r>
        <w:rPr>
          <w:rStyle w:val="EndnoteReference"/>
          <w:rFonts w:ascii="Perpetua" w:hAnsi="Perpetua"/>
          <w:sz w:val="22"/>
          <w:szCs w:val="22"/>
        </w:rPr>
        <w:endnoteReference w:id="1637"/>
      </w:r>
      <w:r>
        <w:rPr>
          <w:rFonts w:ascii="Perpetua" w:hAnsi="Perpetua"/>
          <w:sz w:val="22"/>
          <w:szCs w:val="22"/>
        </w:rPr>
        <w:t xml:space="preserve">  </w:t>
      </w:r>
      <w:r w:rsidRPr="003651D2">
        <w:rPr>
          <w:rFonts w:ascii="Perpetua" w:hAnsi="Perpetua"/>
          <w:sz w:val="22"/>
          <w:szCs w:val="22"/>
        </w:rPr>
        <w:t>This conclusion does not seem relevant to the text to which the note refers</w:t>
      </w:r>
      <w:r w:rsidRPr="003651D2">
        <w:rPr>
          <w:rStyle w:val="EndnoteReference"/>
          <w:rFonts w:ascii="Perpetua" w:hAnsi="Perpetua"/>
          <w:sz w:val="22"/>
          <w:szCs w:val="22"/>
        </w:rPr>
        <w:endnoteReference w:id="1638"/>
      </w:r>
      <w:r w:rsidRPr="003651D2">
        <w:rPr>
          <w:rFonts w:ascii="Perpetua" w:hAnsi="Perpetua"/>
          <w:sz w:val="22"/>
          <w:szCs w:val="22"/>
        </w:rPr>
        <w:t xml:space="preserve"> and also appears to be an unjustified argument from silence.  Furthermore, the words, ‘come up hither’ are not addressed to believers, but only to John, who immediately ‘was in the spirit’.</w:t>
      </w:r>
      <w:r w:rsidRPr="003651D2">
        <w:rPr>
          <w:rStyle w:val="EndnoteReference"/>
          <w:rFonts w:ascii="Perpetua" w:hAnsi="Perpetua"/>
          <w:sz w:val="22"/>
          <w:szCs w:val="22"/>
        </w:rPr>
        <w:endnoteReference w:id="1639"/>
      </w:r>
    </w:p>
    <w:p w:rsidR="00442D33" w:rsidRDefault="00442D33" w:rsidP="00442D33">
      <w:pPr>
        <w:pStyle w:val="FootnoteText"/>
        <w:spacing w:after="120" w:line="360" w:lineRule="auto"/>
        <w:ind w:firstLine="426"/>
        <w:jc w:val="both"/>
        <w:rPr>
          <w:rFonts w:ascii="Perpetua" w:hAnsi="Perpetua"/>
          <w:sz w:val="22"/>
          <w:szCs w:val="22"/>
        </w:rPr>
      </w:pPr>
      <w:r>
        <w:rPr>
          <w:rFonts w:ascii="Perpetua" w:hAnsi="Perpetua"/>
          <w:sz w:val="22"/>
          <w:szCs w:val="22"/>
        </w:rPr>
        <w:t xml:space="preserve">Scofield also uses the rapture in his </w:t>
      </w:r>
      <w:r w:rsidRPr="003651D2">
        <w:rPr>
          <w:rFonts w:ascii="Perpetua" w:hAnsi="Perpetua"/>
          <w:i/>
          <w:sz w:val="22"/>
          <w:szCs w:val="22"/>
        </w:rPr>
        <w:t>Correspondence Course</w:t>
      </w:r>
      <w:r>
        <w:rPr>
          <w:rFonts w:ascii="Perpetua" w:hAnsi="Perpetua"/>
          <w:sz w:val="22"/>
          <w:szCs w:val="22"/>
        </w:rPr>
        <w:t xml:space="preserve"> to mark division between eras: ‘These churches were chosen … because … their then actual condition prefigured seven great phases of church </w:t>
      </w:r>
      <w:r>
        <w:rPr>
          <w:rFonts w:ascii="Perpetua" w:hAnsi="Perpetua"/>
          <w:sz w:val="22"/>
          <w:szCs w:val="22"/>
        </w:rPr>
        <w:lastRenderedPageBreak/>
        <w:t>history, from the close of the apostolic period to the rapture of true believers, and the apostasy of the professing church.’</w:t>
      </w:r>
      <w:r>
        <w:rPr>
          <w:rStyle w:val="EndnoteReference"/>
          <w:rFonts w:ascii="Perpetua" w:hAnsi="Perpetua"/>
          <w:sz w:val="22"/>
          <w:szCs w:val="22"/>
        </w:rPr>
        <w:endnoteReference w:id="1640"/>
      </w:r>
      <w:r>
        <w:rPr>
          <w:rFonts w:ascii="Perpetua" w:hAnsi="Perpetua"/>
          <w:sz w:val="22"/>
          <w:szCs w:val="22"/>
        </w:rPr>
        <w:t xml:space="preserve">  It is also used in anticipation of a future event.  </w:t>
      </w:r>
      <w:proofErr w:type="gramStart"/>
      <w:r>
        <w:rPr>
          <w:rFonts w:ascii="Perpetua" w:hAnsi="Perpetua"/>
          <w:sz w:val="22"/>
          <w:szCs w:val="22"/>
        </w:rPr>
        <w:t>‘The morning star – light to the watchful before the full rising of the Sun of righteousness; the rapture before the glorious appearing.’</w:t>
      </w:r>
      <w:proofErr w:type="gramEnd"/>
      <w:r>
        <w:rPr>
          <w:rStyle w:val="EndnoteReference"/>
          <w:rFonts w:ascii="Perpetua" w:hAnsi="Perpetua"/>
          <w:sz w:val="22"/>
          <w:szCs w:val="22"/>
        </w:rPr>
        <w:endnoteReference w:id="1641"/>
      </w:r>
      <w:r>
        <w:rPr>
          <w:rFonts w:ascii="Perpetua" w:hAnsi="Perpetua"/>
          <w:sz w:val="22"/>
          <w:szCs w:val="22"/>
        </w:rPr>
        <w:t xml:space="preserve">  Scofield states that ‘Section III’ of Revelation, ‘The Things Which Shall Be’, Rev. 4:1 – Rev. 22:21, begins with the rapture.</w:t>
      </w:r>
      <w:r>
        <w:rPr>
          <w:rStyle w:val="EndnoteReference"/>
          <w:rFonts w:ascii="Perpetua" w:hAnsi="Perpetua"/>
          <w:sz w:val="22"/>
          <w:szCs w:val="22"/>
        </w:rPr>
        <w:endnoteReference w:id="1642"/>
      </w:r>
      <w:r>
        <w:rPr>
          <w:rFonts w:ascii="Perpetua" w:hAnsi="Perpetua"/>
          <w:sz w:val="22"/>
          <w:szCs w:val="22"/>
        </w:rPr>
        <w:t xml:space="preserve">  This section ‘falls into seven parts and three parentheses’, the first of which covers ‘Scenes in Heaven </w:t>
      </w:r>
      <w:proofErr w:type="gramStart"/>
      <w:r>
        <w:rPr>
          <w:rFonts w:ascii="Perpetua" w:hAnsi="Perpetua"/>
          <w:sz w:val="22"/>
          <w:szCs w:val="22"/>
        </w:rPr>
        <w:t>After</w:t>
      </w:r>
      <w:proofErr w:type="gramEnd"/>
      <w:r>
        <w:rPr>
          <w:rFonts w:ascii="Perpetua" w:hAnsi="Perpetua"/>
          <w:sz w:val="22"/>
          <w:szCs w:val="22"/>
        </w:rPr>
        <w:t xml:space="preserve"> the Rapture’ in Revelation 4 -</w:t>
      </w:r>
      <w:r w:rsidRPr="00012B96">
        <w:rPr>
          <w:rFonts w:ascii="Perpetua" w:hAnsi="Perpetua"/>
          <w:sz w:val="16"/>
          <w:szCs w:val="24"/>
        </w:rPr>
        <w:t>—</w:t>
      </w:r>
      <w:r>
        <w:rPr>
          <w:rFonts w:ascii="Perpetua" w:hAnsi="Perpetua"/>
          <w:sz w:val="16"/>
          <w:szCs w:val="24"/>
        </w:rPr>
        <w:t xml:space="preserve"> </w:t>
      </w:r>
      <w:r>
        <w:rPr>
          <w:rFonts w:ascii="Perpetua" w:hAnsi="Perpetua"/>
          <w:sz w:val="22"/>
          <w:szCs w:val="22"/>
        </w:rPr>
        <w:t>5.</w:t>
      </w:r>
      <w:r>
        <w:rPr>
          <w:rStyle w:val="EndnoteReference"/>
          <w:rFonts w:ascii="Perpetua" w:hAnsi="Perpetua"/>
          <w:sz w:val="22"/>
          <w:szCs w:val="22"/>
        </w:rPr>
        <w:endnoteReference w:id="1643"/>
      </w:r>
      <w:r>
        <w:rPr>
          <w:rFonts w:ascii="Perpetua" w:hAnsi="Perpetua"/>
          <w:sz w:val="22"/>
          <w:szCs w:val="22"/>
        </w:rPr>
        <w:t xml:space="preserve">  Scofield later reiterates that Rev. 4:1 ‘indicates the Rapture’.</w:t>
      </w:r>
      <w:r>
        <w:rPr>
          <w:rStyle w:val="EndnoteReference"/>
          <w:rFonts w:ascii="Perpetua" w:hAnsi="Perpetua"/>
          <w:sz w:val="22"/>
          <w:szCs w:val="22"/>
        </w:rPr>
        <w:endnoteReference w:id="1644"/>
      </w:r>
      <w:r>
        <w:rPr>
          <w:rFonts w:ascii="Perpetua" w:hAnsi="Perpetua"/>
          <w:sz w:val="22"/>
          <w:szCs w:val="22"/>
        </w:rPr>
        <w:t xml:space="preserve">  </w:t>
      </w:r>
    </w:p>
    <w:p w:rsidR="00442D33" w:rsidRDefault="00442D33" w:rsidP="00442D33">
      <w:pPr>
        <w:pStyle w:val="FootnoteText"/>
        <w:spacing w:after="120" w:line="360" w:lineRule="auto"/>
        <w:ind w:firstLine="426"/>
        <w:jc w:val="both"/>
        <w:rPr>
          <w:rFonts w:ascii="Perpetua" w:hAnsi="Perpetua"/>
          <w:sz w:val="22"/>
          <w:szCs w:val="22"/>
        </w:rPr>
      </w:pPr>
      <w:r w:rsidRPr="00D20C8B">
        <w:rPr>
          <w:rFonts w:ascii="Perpetua" w:hAnsi="Perpetua"/>
          <w:i/>
          <w:sz w:val="22"/>
          <w:szCs w:val="22"/>
        </w:rPr>
        <w:t>Rightly Dividing the Word of Truth</w:t>
      </w:r>
      <w:r>
        <w:rPr>
          <w:rFonts w:ascii="Perpetua" w:hAnsi="Perpetua"/>
          <w:sz w:val="22"/>
          <w:szCs w:val="22"/>
        </w:rPr>
        <w:t xml:space="preserve"> also contains a reference to the rapture by Scofield.  Here it is incidental to his analysis of the differences between law and grace; ‘But “the law” most frequently mentioned in Scripture was given by Moses, and from Sinai to Calvary dominates, characterizes, the time, just as grace dominates or gives its peculiar character to the dispensation which begins at Calvary and has its predicted termination in the rapture of the Church.  … Scripture, never, in any dispensation, mingles those two principles.’</w:t>
      </w:r>
      <w:r>
        <w:rPr>
          <w:rStyle w:val="EndnoteReference"/>
          <w:rFonts w:ascii="Perpetua" w:hAnsi="Perpetua"/>
          <w:sz w:val="22"/>
          <w:szCs w:val="22"/>
        </w:rPr>
        <w:endnoteReference w:id="1645"/>
      </w:r>
      <w:r>
        <w:rPr>
          <w:rFonts w:ascii="Perpetua" w:hAnsi="Perpetua"/>
          <w:sz w:val="22"/>
          <w:szCs w:val="22"/>
        </w:rPr>
        <w:t xml:space="preserve">  The implication is that grace ends at the rapture; this might comport with the idea that ‘that which restrains the mystery of lawlessness</w:t>
      </w:r>
      <w:r>
        <w:rPr>
          <w:rStyle w:val="EndnoteReference"/>
          <w:rFonts w:ascii="Perpetua" w:hAnsi="Perpetua"/>
          <w:sz w:val="22"/>
          <w:szCs w:val="22"/>
        </w:rPr>
        <w:endnoteReference w:id="1646"/>
      </w:r>
      <w:r>
        <w:rPr>
          <w:rFonts w:ascii="Perpetua" w:hAnsi="Perpetua"/>
          <w:sz w:val="22"/>
          <w:szCs w:val="22"/>
        </w:rPr>
        <w:t xml:space="preserve"> … can be no other than the Holy Spirit in the church, to be “taken out of the way”’.</w:t>
      </w:r>
      <w:r>
        <w:rPr>
          <w:rStyle w:val="EndnoteReference"/>
          <w:rFonts w:ascii="Perpetua" w:hAnsi="Perpetua"/>
          <w:sz w:val="22"/>
          <w:szCs w:val="22"/>
        </w:rPr>
        <w:endnoteReference w:id="1647"/>
      </w:r>
      <w:r>
        <w:rPr>
          <w:rFonts w:ascii="Perpetua" w:hAnsi="Perpetua"/>
          <w:sz w:val="22"/>
          <w:szCs w:val="22"/>
        </w:rPr>
        <w:t xml:space="preserve">  </w:t>
      </w:r>
    </w:p>
    <w:p w:rsidR="00442D33" w:rsidRPr="001A15F1" w:rsidRDefault="00442D33" w:rsidP="00442D33">
      <w:pPr>
        <w:spacing w:after="120" w:line="360" w:lineRule="auto"/>
        <w:ind w:right="-29" w:firstLine="567"/>
        <w:jc w:val="both"/>
        <w:rPr>
          <w:spacing w:val="-2"/>
        </w:rPr>
      </w:pPr>
      <w:r w:rsidRPr="001A15F1">
        <w:rPr>
          <w:i/>
          <w:spacing w:val="-2"/>
        </w:rPr>
        <w:t>1967/2003</w:t>
      </w:r>
      <w:r w:rsidRPr="001A15F1">
        <w:rPr>
          <w:spacing w:val="-2"/>
        </w:rPr>
        <w:t xml:space="preserve"> </w:t>
      </w:r>
      <w:proofErr w:type="gramStart"/>
      <w:r w:rsidRPr="001A15F1">
        <w:rPr>
          <w:spacing w:val="-2"/>
        </w:rPr>
        <w:t>state</w:t>
      </w:r>
      <w:proofErr w:type="gramEnd"/>
      <w:r w:rsidRPr="001A15F1">
        <w:rPr>
          <w:spacing w:val="-2"/>
        </w:rPr>
        <w:t xml:space="preserve"> that ‘the translation of the true Church … is often called the rapture’.</w:t>
      </w:r>
      <w:r w:rsidRPr="001A15F1">
        <w:rPr>
          <w:rStyle w:val="EndnoteReference"/>
          <w:spacing w:val="-2"/>
        </w:rPr>
        <w:endnoteReference w:id="1648"/>
      </w:r>
      <w:r w:rsidRPr="001A15F1">
        <w:rPr>
          <w:spacing w:val="-2"/>
        </w:rPr>
        <w:t xml:space="preserve"> </w:t>
      </w:r>
      <w:r w:rsidR="005D06FC">
        <w:rPr>
          <w:spacing w:val="-2"/>
        </w:rPr>
        <w:t xml:space="preserve"> They</w:t>
      </w:r>
      <w:r w:rsidRPr="001A15F1">
        <w:rPr>
          <w:spacing w:val="-2"/>
        </w:rPr>
        <w:t xml:space="preserve"> include a further eight references to the rapture which do not appear in </w:t>
      </w:r>
      <w:r w:rsidRPr="001A15F1">
        <w:rPr>
          <w:i/>
          <w:spacing w:val="-2"/>
        </w:rPr>
        <w:t>SRB</w:t>
      </w:r>
      <w:r w:rsidRPr="001A15F1">
        <w:rPr>
          <w:spacing w:val="-2"/>
        </w:rPr>
        <w:t>,</w:t>
      </w:r>
      <w:r w:rsidRPr="001A15F1">
        <w:rPr>
          <w:rStyle w:val="EndnoteReference"/>
          <w:spacing w:val="-2"/>
        </w:rPr>
        <w:endnoteReference w:id="1649"/>
      </w:r>
      <w:r w:rsidRPr="001A15F1">
        <w:rPr>
          <w:spacing w:val="-2"/>
        </w:rPr>
        <w:t xml:space="preserve"> and </w:t>
      </w:r>
      <w:r w:rsidRPr="001A15F1">
        <w:rPr>
          <w:i/>
          <w:spacing w:val="-2"/>
        </w:rPr>
        <w:t>2003</w:t>
      </w:r>
      <w:r w:rsidRPr="001A15F1">
        <w:rPr>
          <w:spacing w:val="-2"/>
        </w:rPr>
        <w:t xml:space="preserve"> an additional three.</w:t>
      </w:r>
      <w:r w:rsidRPr="001A15F1">
        <w:rPr>
          <w:rStyle w:val="EndnoteReference"/>
          <w:spacing w:val="-2"/>
        </w:rPr>
        <w:endnoteReference w:id="1650"/>
      </w:r>
      <w:r w:rsidRPr="001A15F1">
        <w:rPr>
          <w:spacing w:val="-2"/>
        </w:rPr>
        <w:t xml:space="preserve">  The third of these, the </w:t>
      </w:r>
      <w:r w:rsidRPr="001A15F1">
        <w:rPr>
          <w:i/>
          <w:spacing w:val="-2"/>
        </w:rPr>
        <w:t>2003</w:t>
      </w:r>
      <w:r w:rsidRPr="001A15F1">
        <w:rPr>
          <w:spacing w:val="-2"/>
        </w:rPr>
        <w:t xml:space="preserve"> note on Acts 1:11 </w:t>
      </w:r>
      <w:proofErr w:type="gramStart"/>
      <w:r w:rsidRPr="001A15F1">
        <w:rPr>
          <w:spacing w:val="-2"/>
        </w:rPr>
        <w:t>is</w:t>
      </w:r>
      <w:proofErr w:type="gramEnd"/>
      <w:r w:rsidRPr="001A15F1">
        <w:rPr>
          <w:spacing w:val="-2"/>
        </w:rPr>
        <w:t xml:space="preserve"> significant and is discussed in </w:t>
      </w:r>
      <w:r>
        <w:rPr>
          <w:spacing w:val="-2"/>
        </w:rPr>
        <w:t>7.1.3</w:t>
      </w:r>
      <w:r w:rsidRPr="001A15F1">
        <w:rPr>
          <w:spacing w:val="-2"/>
        </w:rPr>
        <w:t>.</w:t>
      </w:r>
    </w:p>
    <w:p w:rsidR="00442D33" w:rsidRPr="00D52550" w:rsidRDefault="00442D33" w:rsidP="00442D33">
      <w:pPr>
        <w:spacing w:after="120" w:line="360" w:lineRule="auto"/>
        <w:jc w:val="both"/>
        <w:rPr>
          <w:b/>
          <w:szCs w:val="24"/>
        </w:rPr>
      </w:pPr>
      <w:proofErr w:type="gramStart"/>
      <w:r>
        <w:rPr>
          <w:b/>
          <w:szCs w:val="24"/>
        </w:rPr>
        <w:t>6</w:t>
      </w:r>
      <w:r w:rsidRPr="00D52550">
        <w:rPr>
          <w:b/>
          <w:szCs w:val="24"/>
        </w:rPr>
        <w:t>.1.3  Other</w:t>
      </w:r>
      <w:proofErr w:type="gramEnd"/>
      <w:r w:rsidRPr="00D52550">
        <w:rPr>
          <w:b/>
          <w:szCs w:val="24"/>
        </w:rPr>
        <w:t xml:space="preserve"> Expressions</w:t>
      </w:r>
    </w:p>
    <w:p w:rsidR="00442D33" w:rsidRPr="009311AF" w:rsidRDefault="00442D33" w:rsidP="00442D33">
      <w:pPr>
        <w:spacing w:after="120" w:line="360" w:lineRule="auto"/>
        <w:jc w:val="center"/>
        <w:rPr>
          <w:b/>
          <w:sz w:val="24"/>
          <w:szCs w:val="24"/>
        </w:rPr>
      </w:pPr>
      <w:r>
        <w:rPr>
          <w:b/>
          <w:noProof/>
          <w:sz w:val="24"/>
          <w:szCs w:val="24"/>
          <w:lang w:eastAsia="en-GB"/>
        </w:rPr>
        <w:drawing>
          <wp:inline distT="0" distB="0" distL="0" distR="0" wp14:anchorId="7752816E" wp14:editId="333C5AAA">
            <wp:extent cx="5400675" cy="214249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her Expressions 26.5.16 crop.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00675" cy="2142490"/>
                    </a:xfrm>
                    <a:prstGeom prst="rect">
                      <a:avLst/>
                    </a:prstGeom>
                  </pic:spPr>
                </pic:pic>
              </a:graphicData>
            </a:graphic>
          </wp:inline>
        </w:drawing>
      </w:r>
    </w:p>
    <w:p w:rsidR="00442D33" w:rsidRDefault="00442D33" w:rsidP="00442D33">
      <w:pPr>
        <w:spacing w:after="120" w:line="360" w:lineRule="auto"/>
        <w:ind w:right="-29"/>
        <w:jc w:val="both"/>
        <w:rPr>
          <w:i/>
        </w:rPr>
      </w:pPr>
      <w:r w:rsidRPr="009B26B8">
        <w:t>There is less marked difference</w:t>
      </w:r>
      <w:r w:rsidRPr="009B26B8">
        <w:rPr>
          <w:i/>
        </w:rPr>
        <w:t xml:space="preserve"> </w:t>
      </w:r>
      <w:r w:rsidRPr="009B26B8">
        <w:t>between the three versions in the use of other expressions describing the pretribulational removal of the Church.</w:t>
      </w:r>
      <w:r w:rsidRPr="009B26B8">
        <w:rPr>
          <w:i/>
        </w:rPr>
        <w:t xml:space="preserve">  </w:t>
      </w:r>
    </w:p>
    <w:p w:rsidR="00442D33" w:rsidRDefault="00442D33" w:rsidP="00442D33">
      <w:pPr>
        <w:pStyle w:val="FootnoteText"/>
        <w:spacing w:after="120" w:line="360" w:lineRule="auto"/>
        <w:ind w:firstLine="426"/>
        <w:jc w:val="both"/>
        <w:rPr>
          <w:rFonts w:ascii="Perpetua" w:hAnsi="Perpetua"/>
          <w:sz w:val="22"/>
          <w:szCs w:val="22"/>
        </w:rPr>
      </w:pPr>
      <w:r>
        <w:rPr>
          <w:rFonts w:ascii="Perpetua" w:hAnsi="Perpetua"/>
          <w:sz w:val="22"/>
          <w:szCs w:val="22"/>
        </w:rPr>
        <w:t xml:space="preserve">Scofield </w:t>
      </w:r>
      <w:r w:rsidRPr="009B26B8">
        <w:rPr>
          <w:rFonts w:ascii="Perpetua" w:hAnsi="Perpetua"/>
          <w:sz w:val="22"/>
          <w:szCs w:val="22"/>
        </w:rPr>
        <w:t>uses the phrase, ‘</w:t>
      </w:r>
      <w:r w:rsidRPr="001B530A">
        <w:rPr>
          <w:rFonts w:ascii="Perpetua" w:hAnsi="Perpetua"/>
          <w:sz w:val="22"/>
          <w:szCs w:val="22"/>
        </w:rPr>
        <w:t>caught up</w:t>
      </w:r>
      <w:r w:rsidRPr="009B26B8">
        <w:rPr>
          <w:rFonts w:ascii="Perpetua" w:hAnsi="Perpetua"/>
          <w:sz w:val="22"/>
          <w:szCs w:val="22"/>
        </w:rPr>
        <w:t xml:space="preserve">’ more often than the later </w:t>
      </w:r>
      <w:r>
        <w:rPr>
          <w:rFonts w:ascii="Perpetua" w:hAnsi="Perpetua"/>
          <w:sz w:val="22"/>
          <w:szCs w:val="22"/>
        </w:rPr>
        <w:t>versions, especially in notes on Genesis.</w:t>
      </w:r>
      <w:r w:rsidRPr="009B26B8">
        <w:rPr>
          <w:rFonts w:ascii="Perpetua" w:hAnsi="Perpetua"/>
          <w:sz w:val="22"/>
          <w:szCs w:val="22"/>
        </w:rPr>
        <w:t xml:space="preserve">  </w:t>
      </w:r>
      <w:r w:rsidRPr="007C7195">
        <w:rPr>
          <w:rFonts w:ascii="Perpetua" w:hAnsi="Perpetua"/>
          <w:sz w:val="22"/>
        </w:rPr>
        <w:t>Enoch is ‘</w:t>
      </w:r>
      <w:r w:rsidRPr="00D0151D">
        <w:rPr>
          <w:rFonts w:ascii="Perpetua" w:hAnsi="Perpetua"/>
          <w:sz w:val="22"/>
          <w:szCs w:val="22"/>
        </w:rPr>
        <w:t>the type of those to be caught up before the great tribulation’.</w:t>
      </w:r>
      <w:r w:rsidRPr="00D0151D">
        <w:rPr>
          <w:rStyle w:val="EndnoteReference"/>
          <w:rFonts w:ascii="Perpetua" w:hAnsi="Perpetua"/>
          <w:sz w:val="22"/>
          <w:szCs w:val="22"/>
        </w:rPr>
        <w:endnoteReference w:id="1651"/>
      </w:r>
      <w:r w:rsidRPr="00D0151D">
        <w:rPr>
          <w:rFonts w:ascii="Perpetua" w:hAnsi="Perpetua"/>
          <w:sz w:val="22"/>
          <w:szCs w:val="22"/>
        </w:rPr>
        <w:t xml:space="preserve">  </w:t>
      </w:r>
      <w:r>
        <w:rPr>
          <w:rFonts w:ascii="Perpetua" w:hAnsi="Perpetua"/>
          <w:sz w:val="22"/>
          <w:szCs w:val="22"/>
        </w:rPr>
        <w:t>Scofield</w:t>
      </w:r>
      <w:r w:rsidRPr="00D0151D">
        <w:rPr>
          <w:rFonts w:ascii="Perpetua" w:hAnsi="Perpetua"/>
          <w:sz w:val="22"/>
          <w:szCs w:val="22"/>
        </w:rPr>
        <w:t xml:space="preserve"> relates Enoch’s removal before the judgment of the flood to the survival of ‘the remnant of Israel who will turn to the Lord… after the Church is caught up to meet the Lord’.</w:t>
      </w:r>
      <w:r w:rsidRPr="00D0151D">
        <w:rPr>
          <w:rStyle w:val="EndnoteReference"/>
          <w:rFonts w:ascii="Perpetua" w:hAnsi="Perpetua"/>
          <w:sz w:val="22"/>
          <w:szCs w:val="22"/>
        </w:rPr>
        <w:endnoteReference w:id="1652"/>
      </w:r>
      <w:r w:rsidRPr="00D0151D">
        <w:rPr>
          <w:rFonts w:ascii="Perpetua" w:hAnsi="Perpetua"/>
          <w:sz w:val="22"/>
          <w:szCs w:val="22"/>
        </w:rPr>
        <w:t xml:space="preserve">  </w:t>
      </w:r>
      <w:r w:rsidRPr="00D0151D">
        <w:rPr>
          <w:rFonts w:ascii="Perpetua" w:hAnsi="Perpetua"/>
          <w:i/>
          <w:sz w:val="22"/>
          <w:szCs w:val="22"/>
        </w:rPr>
        <w:t>1967/2003</w:t>
      </w:r>
      <w:r w:rsidRPr="00D0151D">
        <w:rPr>
          <w:rFonts w:ascii="Perpetua" w:hAnsi="Perpetua"/>
          <w:sz w:val="22"/>
          <w:szCs w:val="22"/>
        </w:rPr>
        <w:t xml:space="preserve"> </w:t>
      </w:r>
      <w:proofErr w:type="gramStart"/>
      <w:r w:rsidRPr="00D0151D">
        <w:rPr>
          <w:rFonts w:ascii="Perpetua" w:hAnsi="Perpetua"/>
          <w:sz w:val="22"/>
          <w:szCs w:val="22"/>
        </w:rPr>
        <w:t>share</w:t>
      </w:r>
      <w:proofErr w:type="gramEnd"/>
      <w:r w:rsidRPr="00D0151D">
        <w:rPr>
          <w:rFonts w:ascii="Perpetua" w:hAnsi="Perpetua"/>
          <w:sz w:val="22"/>
          <w:szCs w:val="22"/>
        </w:rPr>
        <w:t xml:space="preserve"> his other two uses of this phrase, though they adapt their notes slightly.  It is through Paul that we know that ‘the living saints shall </w:t>
      </w:r>
      <w:r w:rsidRPr="00D0151D">
        <w:rPr>
          <w:rFonts w:ascii="Perpetua" w:hAnsi="Perpetua"/>
          <w:sz w:val="22"/>
          <w:szCs w:val="22"/>
        </w:rPr>
        <w:lastRenderedPageBreak/>
        <w:t>be “changed” and caught up to meet the Lord in the air at His return’.</w:t>
      </w:r>
      <w:r w:rsidRPr="00D0151D">
        <w:rPr>
          <w:rStyle w:val="EndnoteReference"/>
          <w:rFonts w:ascii="Perpetua" w:hAnsi="Perpetua"/>
          <w:sz w:val="22"/>
          <w:szCs w:val="22"/>
        </w:rPr>
        <w:endnoteReference w:id="1653"/>
      </w:r>
      <w:r w:rsidRPr="00D0151D">
        <w:rPr>
          <w:rFonts w:ascii="Perpetua" w:hAnsi="Perpetua"/>
          <w:sz w:val="22"/>
          <w:szCs w:val="22"/>
        </w:rPr>
        <w:t xml:space="preserve">  </w:t>
      </w:r>
      <w:r>
        <w:rPr>
          <w:rFonts w:ascii="Perpetua" w:hAnsi="Perpetua"/>
          <w:sz w:val="22"/>
          <w:szCs w:val="22"/>
        </w:rPr>
        <w:t>‘The mysteries of the kingdom will be brought to an end by the “harvest”</w:t>
      </w:r>
      <w:r>
        <w:rPr>
          <w:rStyle w:val="EndnoteReference"/>
          <w:rFonts w:ascii="Perpetua" w:hAnsi="Perpetua"/>
          <w:sz w:val="22"/>
          <w:szCs w:val="22"/>
        </w:rPr>
        <w:endnoteReference w:id="1654"/>
      </w:r>
      <w:r>
        <w:rPr>
          <w:rFonts w:ascii="Perpetua" w:hAnsi="Perpetua"/>
          <w:sz w:val="22"/>
          <w:szCs w:val="22"/>
        </w:rPr>
        <w:t xml:space="preserve"> at the return of the King in glory, the church having previously been caught up to meet Him in the air.’</w:t>
      </w:r>
      <w:r>
        <w:rPr>
          <w:rStyle w:val="EndnoteReference"/>
          <w:rFonts w:ascii="Perpetua" w:hAnsi="Perpetua"/>
          <w:sz w:val="22"/>
          <w:szCs w:val="22"/>
        </w:rPr>
        <w:endnoteReference w:id="1655"/>
      </w:r>
      <w:r>
        <w:rPr>
          <w:rFonts w:ascii="Perpetua" w:hAnsi="Perpetua"/>
          <w:sz w:val="22"/>
          <w:szCs w:val="22"/>
        </w:rPr>
        <w:t xml:space="preserve">   </w:t>
      </w:r>
    </w:p>
    <w:p w:rsidR="00442D33" w:rsidRDefault="00442D33" w:rsidP="00442D33">
      <w:pPr>
        <w:pStyle w:val="FootnoteText"/>
        <w:spacing w:after="120" w:line="360" w:lineRule="auto"/>
        <w:ind w:firstLine="426"/>
        <w:jc w:val="both"/>
        <w:rPr>
          <w:rFonts w:ascii="Perpetua" w:hAnsi="Perpetua"/>
          <w:sz w:val="22"/>
          <w:szCs w:val="22"/>
        </w:rPr>
      </w:pPr>
      <w:r w:rsidRPr="00091A1E">
        <w:rPr>
          <w:rFonts w:ascii="Perpetua" w:hAnsi="Perpetua"/>
          <w:sz w:val="22"/>
          <w:szCs w:val="22"/>
        </w:rPr>
        <w:t xml:space="preserve">In the note on </w:t>
      </w:r>
      <w:r>
        <w:rPr>
          <w:rFonts w:ascii="Perpetua" w:hAnsi="Perpetua"/>
          <w:sz w:val="22"/>
          <w:szCs w:val="22"/>
        </w:rPr>
        <w:t xml:space="preserve">Acts 1:11, </w:t>
      </w:r>
      <w:r w:rsidRPr="00091A1E">
        <w:rPr>
          <w:rFonts w:ascii="Perpetua" w:hAnsi="Perpetua"/>
          <w:sz w:val="22"/>
          <w:szCs w:val="22"/>
        </w:rPr>
        <w:t xml:space="preserve">Christ is said to descend ‘into the air to </w:t>
      </w:r>
      <w:proofErr w:type="gramStart"/>
      <w:r w:rsidRPr="00091A1E">
        <w:rPr>
          <w:rFonts w:ascii="Perpetua" w:hAnsi="Perpetua"/>
          <w:sz w:val="22"/>
          <w:szCs w:val="22"/>
        </w:rPr>
        <w:t>raise</w:t>
      </w:r>
      <w:proofErr w:type="gramEnd"/>
      <w:r w:rsidRPr="00091A1E">
        <w:rPr>
          <w:rFonts w:ascii="Perpetua" w:hAnsi="Perpetua"/>
          <w:sz w:val="22"/>
          <w:szCs w:val="22"/>
        </w:rPr>
        <w:t xml:space="preserve"> the sleeping and change the living saints’.</w:t>
      </w:r>
      <w:r>
        <w:rPr>
          <w:rFonts w:ascii="Perpetua" w:hAnsi="Perpetua"/>
          <w:sz w:val="22"/>
          <w:szCs w:val="22"/>
        </w:rPr>
        <w:t xml:space="preserve">  </w:t>
      </w:r>
      <w:r w:rsidRPr="00FC4E89">
        <w:rPr>
          <w:rFonts w:ascii="Perpetua" w:hAnsi="Perpetua"/>
          <w:i/>
          <w:sz w:val="22"/>
          <w:szCs w:val="22"/>
        </w:rPr>
        <w:t>1967/2003</w:t>
      </w:r>
      <w:r>
        <w:rPr>
          <w:rFonts w:ascii="Perpetua" w:hAnsi="Perpetua"/>
          <w:sz w:val="22"/>
          <w:szCs w:val="22"/>
        </w:rPr>
        <w:t xml:space="preserve"> </w:t>
      </w:r>
      <w:proofErr w:type="gramStart"/>
      <w:r>
        <w:rPr>
          <w:rFonts w:ascii="Perpetua" w:hAnsi="Perpetua"/>
          <w:sz w:val="22"/>
          <w:szCs w:val="22"/>
        </w:rPr>
        <w:t>add</w:t>
      </w:r>
      <w:proofErr w:type="gramEnd"/>
      <w:r>
        <w:rPr>
          <w:rFonts w:ascii="Perpetua" w:hAnsi="Perpetua"/>
          <w:sz w:val="22"/>
          <w:szCs w:val="22"/>
        </w:rPr>
        <w:t xml:space="preserve"> that </w:t>
      </w:r>
      <w:r w:rsidRPr="009B26B8">
        <w:rPr>
          <w:rFonts w:ascii="Perpetua" w:hAnsi="Perpetua"/>
          <w:sz w:val="22"/>
          <w:szCs w:val="22"/>
        </w:rPr>
        <w:t>the first element of Christ’s return is ‘to the air before the tribulation’.</w:t>
      </w:r>
      <w:r>
        <w:rPr>
          <w:rFonts w:ascii="Perpetua" w:hAnsi="Perpetua"/>
          <w:sz w:val="22"/>
          <w:szCs w:val="22"/>
        </w:rPr>
        <w:t xml:space="preserve">  </w:t>
      </w:r>
      <w:r w:rsidRPr="00FC4E89">
        <w:rPr>
          <w:rFonts w:ascii="Perpetua" w:hAnsi="Perpetua"/>
          <w:sz w:val="22"/>
          <w:szCs w:val="18"/>
          <w:lang w:eastAsia="en-GB"/>
        </w:rPr>
        <w:t>The second stage is ‘to the earth, after the tribulation’.</w:t>
      </w:r>
      <w:r>
        <w:rPr>
          <w:rStyle w:val="EndnoteReference"/>
          <w:rFonts w:ascii="Perpetua" w:hAnsi="Perpetua"/>
          <w:sz w:val="22"/>
          <w:szCs w:val="22"/>
        </w:rPr>
        <w:endnoteReference w:id="1656"/>
      </w:r>
      <w:r>
        <w:rPr>
          <w:rFonts w:ascii="Perpetua" w:hAnsi="Perpetua"/>
          <w:sz w:val="22"/>
          <w:szCs w:val="22"/>
        </w:rPr>
        <w:t xml:space="preserve">  All versions actually appear</w:t>
      </w:r>
      <w:r w:rsidRPr="00B7034B">
        <w:rPr>
          <w:rFonts w:ascii="Perpetua" w:hAnsi="Perpetua"/>
          <w:sz w:val="22"/>
          <w:szCs w:val="22"/>
        </w:rPr>
        <w:t xml:space="preserve"> to entertain the possibility of a third advent by </w:t>
      </w:r>
      <w:r>
        <w:rPr>
          <w:rFonts w:ascii="Perpetua" w:hAnsi="Perpetua"/>
          <w:sz w:val="22"/>
          <w:szCs w:val="22"/>
        </w:rPr>
        <w:t xml:space="preserve">stating that </w:t>
      </w:r>
      <w:r w:rsidRPr="009B26B8">
        <w:rPr>
          <w:rFonts w:ascii="Perpetua" w:hAnsi="Perpetua"/>
          <w:sz w:val="22"/>
          <w:szCs w:val="22"/>
        </w:rPr>
        <w:t xml:space="preserve">the first resurrection will occur ‘at the second coming of </w:t>
      </w:r>
      <w:proofErr w:type="gramStart"/>
      <w:r w:rsidRPr="009B26B8">
        <w:rPr>
          <w:rFonts w:ascii="Perpetua" w:hAnsi="Perpetua"/>
          <w:sz w:val="22"/>
          <w:szCs w:val="22"/>
        </w:rPr>
        <w:t>Christ, …</w:t>
      </w:r>
      <w:proofErr w:type="gramEnd"/>
      <w:r w:rsidRPr="009B26B8">
        <w:rPr>
          <w:rFonts w:ascii="Perpetua" w:hAnsi="Perpetua"/>
          <w:sz w:val="22"/>
          <w:szCs w:val="22"/>
        </w:rPr>
        <w:t xml:space="preserve"> the saints of the OT and church ages meeting </w:t>
      </w:r>
      <w:r w:rsidRPr="00B7034B">
        <w:rPr>
          <w:rFonts w:ascii="Perpetua" w:hAnsi="Perpetua"/>
          <w:sz w:val="22"/>
          <w:szCs w:val="22"/>
        </w:rPr>
        <w:t>Him in the air</w:t>
      </w:r>
      <w:r w:rsidRPr="009B26B8">
        <w:rPr>
          <w:rFonts w:ascii="Perpetua" w:hAnsi="Perpetua"/>
          <w:sz w:val="22"/>
          <w:szCs w:val="22"/>
        </w:rPr>
        <w:t>’.</w:t>
      </w:r>
      <w:r w:rsidRPr="00B7034B">
        <w:rPr>
          <w:rStyle w:val="EndnoteReference"/>
          <w:rFonts w:ascii="Perpetua" w:hAnsi="Perpetua"/>
          <w:sz w:val="22"/>
          <w:szCs w:val="22"/>
        </w:rPr>
        <w:endnoteReference w:id="1657"/>
      </w:r>
      <w:r>
        <w:rPr>
          <w:rFonts w:ascii="Perpetua" w:hAnsi="Perpetua"/>
          <w:sz w:val="22"/>
          <w:szCs w:val="22"/>
        </w:rPr>
        <w:t xml:space="preserve">  </w:t>
      </w:r>
      <w:r w:rsidRPr="009B26B8">
        <w:rPr>
          <w:rFonts w:ascii="Perpetua" w:hAnsi="Perpetua"/>
          <w:sz w:val="22"/>
          <w:szCs w:val="22"/>
        </w:rPr>
        <w:t xml:space="preserve">These words </w:t>
      </w:r>
      <w:r>
        <w:rPr>
          <w:rFonts w:ascii="Perpetua" w:hAnsi="Perpetua"/>
          <w:sz w:val="22"/>
          <w:szCs w:val="22"/>
        </w:rPr>
        <w:t xml:space="preserve">in both notes </w:t>
      </w:r>
      <w:r w:rsidRPr="009B26B8">
        <w:rPr>
          <w:rFonts w:ascii="Perpetua" w:hAnsi="Perpetua"/>
          <w:sz w:val="22"/>
          <w:szCs w:val="22"/>
        </w:rPr>
        <w:t xml:space="preserve">seem to imply that Scofield </w:t>
      </w:r>
      <w:r>
        <w:rPr>
          <w:rFonts w:ascii="Perpetua" w:hAnsi="Perpetua"/>
          <w:sz w:val="22"/>
          <w:szCs w:val="22"/>
        </w:rPr>
        <w:t xml:space="preserve">and the editors of the later versions </w:t>
      </w:r>
      <w:r w:rsidRPr="009B26B8">
        <w:rPr>
          <w:rFonts w:ascii="Perpetua" w:hAnsi="Perpetua"/>
          <w:sz w:val="22"/>
          <w:szCs w:val="22"/>
        </w:rPr>
        <w:t xml:space="preserve">regard the ‘translation’ of the saints as the second advent, with Christ’s return in glory as a separate event, which could only be a third advent.  This implication is confirmed in </w:t>
      </w:r>
      <w:r>
        <w:rPr>
          <w:rFonts w:ascii="Perpetua" w:hAnsi="Perpetua"/>
          <w:sz w:val="22"/>
          <w:szCs w:val="22"/>
        </w:rPr>
        <w:t>Scofield’s</w:t>
      </w:r>
      <w:r w:rsidRPr="009B26B8">
        <w:rPr>
          <w:rFonts w:ascii="Perpetua" w:hAnsi="Perpetua"/>
          <w:sz w:val="22"/>
          <w:szCs w:val="22"/>
        </w:rPr>
        <w:t xml:space="preserve"> note on </w:t>
      </w:r>
      <w:r w:rsidRPr="00B7034B">
        <w:rPr>
          <w:rFonts w:ascii="Perpetua" w:hAnsi="Perpetua"/>
          <w:sz w:val="22"/>
          <w:szCs w:val="22"/>
        </w:rPr>
        <w:t>Jn 14:3; here Scofield states that ‘this promise of a second advent of Christ is to be distinguished from His return in glory to the earth … here He comes for His saints</w:t>
      </w:r>
      <w:r w:rsidRPr="009B26B8">
        <w:rPr>
          <w:rFonts w:ascii="Perpetua" w:hAnsi="Perpetua"/>
          <w:sz w:val="22"/>
          <w:szCs w:val="22"/>
        </w:rPr>
        <w:t>;</w:t>
      </w:r>
      <w:r w:rsidRPr="009B26B8">
        <w:rPr>
          <w:rStyle w:val="EndnoteReference"/>
          <w:rFonts w:ascii="Perpetua" w:hAnsi="Perpetua"/>
          <w:sz w:val="22"/>
          <w:szCs w:val="22"/>
        </w:rPr>
        <w:endnoteReference w:id="1658"/>
      </w:r>
      <w:r w:rsidRPr="009B26B8">
        <w:rPr>
          <w:rFonts w:ascii="Perpetua" w:hAnsi="Perpetua"/>
          <w:sz w:val="22"/>
          <w:szCs w:val="22"/>
        </w:rPr>
        <w:t xml:space="preserve"> there</w:t>
      </w:r>
      <w:r w:rsidRPr="009B26B8">
        <w:rPr>
          <w:rStyle w:val="EndnoteReference"/>
          <w:rFonts w:ascii="Perpetua" w:hAnsi="Perpetua"/>
          <w:sz w:val="22"/>
          <w:szCs w:val="22"/>
        </w:rPr>
        <w:endnoteReference w:id="1659"/>
      </w:r>
      <w:r w:rsidRPr="009B26B8">
        <w:rPr>
          <w:rFonts w:ascii="Perpetua" w:hAnsi="Perpetua"/>
          <w:sz w:val="22"/>
          <w:szCs w:val="22"/>
        </w:rPr>
        <w:t xml:space="preserve"> He comes to judge the nations’.</w:t>
      </w:r>
      <w:r w:rsidRPr="009B26B8">
        <w:rPr>
          <w:rStyle w:val="EndnoteReference"/>
          <w:rFonts w:ascii="Perpetua" w:hAnsi="Perpetua"/>
          <w:sz w:val="22"/>
          <w:szCs w:val="22"/>
        </w:rPr>
        <w:endnoteReference w:id="1660"/>
      </w:r>
      <w:r w:rsidRPr="009B26B8">
        <w:rPr>
          <w:rFonts w:ascii="Perpetua" w:hAnsi="Perpetua"/>
          <w:sz w:val="22"/>
          <w:szCs w:val="22"/>
        </w:rPr>
        <w:t xml:space="preserve">  </w:t>
      </w:r>
      <w:r w:rsidRPr="00B7034B">
        <w:rPr>
          <w:rFonts w:ascii="Perpetua" w:hAnsi="Perpetua"/>
          <w:sz w:val="22"/>
          <w:szCs w:val="22"/>
        </w:rPr>
        <w:t xml:space="preserve">However, in their note on Jn 14:3, </w:t>
      </w:r>
      <w:r w:rsidRPr="00B7034B">
        <w:rPr>
          <w:rFonts w:ascii="Perpetua" w:hAnsi="Perpetua"/>
          <w:i/>
          <w:sz w:val="22"/>
          <w:szCs w:val="22"/>
        </w:rPr>
        <w:t>1967/2003</w:t>
      </w:r>
      <w:r w:rsidRPr="00B7034B">
        <w:rPr>
          <w:rFonts w:ascii="Perpetua" w:hAnsi="Perpetua"/>
          <w:sz w:val="22"/>
          <w:szCs w:val="22"/>
        </w:rPr>
        <w:t xml:space="preserve"> refer to the Lord’s promise of ‘His personal return for His own people</w:t>
      </w:r>
      <w:r>
        <w:rPr>
          <w:rFonts w:ascii="Perpetua" w:hAnsi="Perpetua"/>
          <w:sz w:val="22"/>
          <w:szCs w:val="22"/>
        </w:rPr>
        <w:t>’</w:t>
      </w:r>
      <w:r>
        <w:rPr>
          <w:rStyle w:val="EndnoteReference"/>
          <w:rFonts w:ascii="Perpetua" w:hAnsi="Perpetua"/>
          <w:sz w:val="22"/>
          <w:szCs w:val="22"/>
        </w:rPr>
        <w:endnoteReference w:id="1661"/>
      </w:r>
      <w:r w:rsidRPr="00B7034B">
        <w:rPr>
          <w:rFonts w:ascii="Perpetua" w:hAnsi="Perpetua"/>
          <w:sz w:val="22"/>
          <w:szCs w:val="22"/>
        </w:rPr>
        <w:t xml:space="preserve"> as an ‘aspect of Christ’s return’, which is ‘to be distinguished from His coming to the earth to establish His kingdom’</w:t>
      </w:r>
      <w:r>
        <w:rPr>
          <w:rFonts w:ascii="Perpetua" w:hAnsi="Perpetua"/>
          <w:sz w:val="22"/>
          <w:szCs w:val="22"/>
        </w:rPr>
        <w:t>, thus diluting the force of the implication.</w:t>
      </w:r>
    </w:p>
    <w:p w:rsidR="00442D33" w:rsidRDefault="00442D33" w:rsidP="00442D33">
      <w:pPr>
        <w:pStyle w:val="FootnoteText"/>
        <w:spacing w:after="120" w:line="360" w:lineRule="auto"/>
        <w:ind w:firstLine="426"/>
        <w:jc w:val="both"/>
        <w:rPr>
          <w:rFonts w:ascii="Perpetua" w:hAnsi="Perpetua"/>
          <w:sz w:val="22"/>
          <w:szCs w:val="22"/>
        </w:rPr>
      </w:pPr>
      <w:r>
        <w:rPr>
          <w:rFonts w:ascii="Perpetua" w:hAnsi="Perpetua"/>
          <w:sz w:val="22"/>
          <w:szCs w:val="22"/>
        </w:rPr>
        <w:t xml:space="preserve">Scofield also refers to Christ’s return to the air in </w:t>
      </w:r>
      <w:r w:rsidRPr="00D10FC3">
        <w:rPr>
          <w:rFonts w:ascii="Perpetua" w:hAnsi="Perpetua"/>
          <w:i/>
          <w:sz w:val="22"/>
          <w:szCs w:val="22"/>
        </w:rPr>
        <w:t>Rightly Dividing</w:t>
      </w:r>
      <w:r>
        <w:rPr>
          <w:rFonts w:ascii="Perpetua" w:hAnsi="Perpetua"/>
          <w:sz w:val="22"/>
          <w:szCs w:val="22"/>
        </w:rPr>
        <w:t>.  He asserts that ‘the works of believers are to be judged “in the air”.’</w:t>
      </w:r>
      <w:r>
        <w:rPr>
          <w:rStyle w:val="EndnoteReference"/>
          <w:rFonts w:ascii="Perpetua" w:hAnsi="Perpetua"/>
          <w:sz w:val="22"/>
          <w:szCs w:val="22"/>
        </w:rPr>
        <w:endnoteReference w:id="1662"/>
      </w:r>
      <w:r>
        <w:rPr>
          <w:rFonts w:ascii="Perpetua" w:hAnsi="Perpetua"/>
          <w:sz w:val="22"/>
          <w:szCs w:val="22"/>
        </w:rPr>
        <w:t xml:space="preserve">  This is more specific than his note on 2 Cor. 5:10, where, echoed by </w:t>
      </w:r>
      <w:r w:rsidRPr="000D39DB">
        <w:rPr>
          <w:rFonts w:ascii="Perpetua" w:hAnsi="Perpetua"/>
          <w:i/>
          <w:sz w:val="22"/>
          <w:szCs w:val="22"/>
        </w:rPr>
        <w:t>1967/2003</w:t>
      </w:r>
      <w:r>
        <w:rPr>
          <w:rFonts w:ascii="Perpetua" w:hAnsi="Perpetua"/>
          <w:sz w:val="22"/>
          <w:szCs w:val="22"/>
        </w:rPr>
        <w:t>, he states that ‘this judgment occurs at the return of Christ’.</w:t>
      </w:r>
      <w:r>
        <w:rPr>
          <w:rStyle w:val="EndnoteReference"/>
          <w:rFonts w:ascii="Perpetua" w:hAnsi="Perpetua"/>
          <w:sz w:val="22"/>
          <w:szCs w:val="22"/>
        </w:rPr>
        <w:endnoteReference w:id="1663"/>
      </w:r>
      <w:r>
        <w:rPr>
          <w:rFonts w:ascii="Perpetua" w:hAnsi="Perpetua"/>
          <w:sz w:val="22"/>
          <w:szCs w:val="22"/>
        </w:rPr>
        <w:t xml:space="preserve">  </w:t>
      </w:r>
      <w:r w:rsidRPr="009B26B8">
        <w:rPr>
          <w:rFonts w:ascii="Perpetua" w:hAnsi="Perpetua"/>
          <w:i/>
          <w:sz w:val="22"/>
          <w:szCs w:val="22"/>
        </w:rPr>
        <w:t>1967/2003</w:t>
      </w:r>
      <w:r w:rsidRPr="009B26B8">
        <w:rPr>
          <w:rFonts w:ascii="Perpetua" w:hAnsi="Perpetua"/>
          <w:sz w:val="22"/>
          <w:szCs w:val="22"/>
        </w:rPr>
        <w:t xml:space="preserve"> </w:t>
      </w:r>
      <w:proofErr w:type="gramStart"/>
      <w:r w:rsidRPr="009B26B8">
        <w:rPr>
          <w:rFonts w:ascii="Perpetua" w:hAnsi="Perpetua"/>
          <w:sz w:val="22"/>
          <w:szCs w:val="22"/>
        </w:rPr>
        <w:t>make</w:t>
      </w:r>
      <w:proofErr w:type="gramEnd"/>
      <w:r w:rsidRPr="009B26B8">
        <w:rPr>
          <w:rFonts w:ascii="Perpetua" w:hAnsi="Perpetua"/>
          <w:sz w:val="22"/>
          <w:szCs w:val="22"/>
        </w:rPr>
        <w:t xml:space="preserve"> two additional references to Christ’s descent into the air.  The true Church is ‘to meet her Lord in the air’</w:t>
      </w:r>
      <w:r w:rsidRPr="009B26B8">
        <w:rPr>
          <w:rStyle w:val="EndnoteReference"/>
          <w:rFonts w:ascii="Perpetua" w:hAnsi="Perpetua"/>
          <w:sz w:val="22"/>
          <w:szCs w:val="22"/>
        </w:rPr>
        <w:endnoteReference w:id="1664"/>
      </w:r>
      <w:r w:rsidRPr="009B26B8">
        <w:rPr>
          <w:rFonts w:ascii="Perpetua" w:hAnsi="Perpetua"/>
          <w:sz w:val="22"/>
          <w:szCs w:val="22"/>
        </w:rPr>
        <w:t xml:space="preserve"> and the Church is to be translated ‘at the return of the Lord in the air’.</w:t>
      </w:r>
      <w:r w:rsidRPr="009B26B8">
        <w:rPr>
          <w:rStyle w:val="EndnoteReference"/>
          <w:rFonts w:ascii="Perpetua" w:hAnsi="Perpetua"/>
          <w:sz w:val="22"/>
          <w:szCs w:val="22"/>
        </w:rPr>
        <w:endnoteReference w:id="1665"/>
      </w:r>
      <w:r>
        <w:rPr>
          <w:rFonts w:ascii="Perpetua" w:hAnsi="Perpetua"/>
          <w:sz w:val="22"/>
          <w:szCs w:val="22"/>
        </w:rPr>
        <w:t xml:space="preserve">  </w:t>
      </w:r>
    </w:p>
    <w:p w:rsidR="00442D33" w:rsidRPr="009B26B8" w:rsidRDefault="00442D33" w:rsidP="00442D33">
      <w:pPr>
        <w:spacing w:after="120" w:line="360" w:lineRule="auto"/>
        <w:ind w:right="74" w:firstLine="567"/>
        <w:jc w:val="both"/>
      </w:pPr>
      <w:r w:rsidRPr="009B26B8">
        <w:t xml:space="preserve">All versions refer to </w:t>
      </w:r>
      <w:r w:rsidRPr="001B530A">
        <w:t>Christ’s coming for ‘His saints’</w:t>
      </w:r>
      <w:r w:rsidRPr="009B26B8">
        <w:rPr>
          <w:rStyle w:val="EndnoteReference"/>
        </w:rPr>
        <w:endnoteReference w:id="1666"/>
      </w:r>
      <w:r w:rsidRPr="009B26B8">
        <w:t xml:space="preserve"> </w:t>
      </w:r>
      <w:r w:rsidRPr="001B530A">
        <w:t>or ‘His own people’</w:t>
      </w:r>
      <w:r w:rsidRPr="009B26B8">
        <w:t>.</w:t>
      </w:r>
      <w:r w:rsidRPr="009B26B8">
        <w:rPr>
          <w:rStyle w:val="EndnoteReference"/>
        </w:rPr>
        <w:endnoteReference w:id="1667"/>
      </w:r>
      <w:r w:rsidRPr="009B26B8">
        <w:t xml:space="preserve">  </w:t>
      </w:r>
      <w:r w:rsidRPr="009B26B8">
        <w:rPr>
          <w:i/>
        </w:rPr>
        <w:t>1967/2003</w:t>
      </w:r>
      <w:r w:rsidRPr="009B26B8">
        <w:t xml:space="preserve"> </w:t>
      </w:r>
      <w:proofErr w:type="gramStart"/>
      <w:r w:rsidRPr="009B26B8">
        <w:t>add</w:t>
      </w:r>
      <w:proofErr w:type="gramEnd"/>
      <w:r w:rsidRPr="009B26B8">
        <w:t xml:space="preserve"> that ‘the fact that Christ is coming for His Church’ was introduced in Jn 14:3 but revealed more fully through Paul.</w:t>
      </w:r>
      <w:r w:rsidRPr="009B26B8">
        <w:rPr>
          <w:rStyle w:val="EndnoteReference"/>
        </w:rPr>
        <w:endnoteReference w:id="1668"/>
      </w:r>
      <w:r w:rsidRPr="009B26B8">
        <w:t xml:space="preserve">  They also state that the judgment of the believer’s works ‘occurs at the return of Christ for His Church’.</w:t>
      </w:r>
      <w:r w:rsidRPr="009B26B8">
        <w:rPr>
          <w:rStyle w:val="EndnoteReference"/>
        </w:rPr>
        <w:endnoteReference w:id="1669"/>
      </w:r>
      <w:r w:rsidRPr="009B26B8">
        <w:t xml:space="preserve">  </w:t>
      </w:r>
    </w:p>
    <w:p w:rsidR="00442D33" w:rsidRPr="009B26B8" w:rsidRDefault="00442D33" w:rsidP="00442D33">
      <w:pPr>
        <w:spacing w:after="120" w:line="360" w:lineRule="auto"/>
        <w:ind w:firstLine="426"/>
        <w:jc w:val="both"/>
      </w:pPr>
      <w:r w:rsidRPr="009B26B8">
        <w:t xml:space="preserve">All versions regard Christ’s return to the air as </w:t>
      </w:r>
      <w:r w:rsidRPr="001B530A">
        <w:t>the believer’s hope or ‘the Blessed Hope of the Church’,</w:t>
      </w:r>
      <w:r w:rsidRPr="009B26B8">
        <w:t xml:space="preserve"> ‘a constant expectation and hope’; however, </w:t>
      </w:r>
      <w:r w:rsidRPr="009B26B8">
        <w:rPr>
          <w:i/>
        </w:rPr>
        <w:t>1967/2003</w:t>
      </w:r>
      <w:r w:rsidRPr="009B26B8">
        <w:t xml:space="preserve"> omit some of </w:t>
      </w:r>
      <w:r w:rsidRPr="009B26B8">
        <w:rPr>
          <w:i/>
        </w:rPr>
        <w:t>SRB</w:t>
      </w:r>
      <w:r w:rsidRPr="009B26B8">
        <w:t>’s references to verses which warn believers to be constantly prepared.</w:t>
      </w:r>
      <w:r>
        <w:rPr>
          <w:rStyle w:val="EndnoteReference"/>
        </w:rPr>
        <w:endnoteReference w:id="1670"/>
      </w:r>
      <w:r w:rsidRPr="009B26B8">
        <w:t xml:space="preserve">  </w:t>
      </w:r>
      <w:r>
        <w:t>All versions refer to ‘the believer’s hope’ in t</w:t>
      </w:r>
      <w:r w:rsidRPr="009B26B8">
        <w:t>heir subhead to 1 Thess. 4:1.</w:t>
      </w:r>
      <w:r w:rsidRPr="009B26B8">
        <w:rPr>
          <w:rStyle w:val="EndnoteReference"/>
        </w:rPr>
        <w:endnoteReference w:id="1671"/>
      </w:r>
      <w:r w:rsidRPr="009B26B8">
        <w:t xml:space="preserve">  </w:t>
      </w:r>
      <w:r w:rsidR="00BA089E">
        <w:t>They all</w:t>
      </w:r>
      <w:r w:rsidRPr="009B26B8">
        <w:t xml:space="preserve"> refer to ‘the blessed hope of the Church’ in their note on 1 Thess. 4:17, but with different emphases.  </w:t>
      </w:r>
      <w:r w:rsidRPr="00326C6B">
        <w:rPr>
          <w:i/>
        </w:rPr>
        <w:t>SRB</w:t>
      </w:r>
      <w:r w:rsidRPr="00326C6B">
        <w:t xml:space="preserve"> declares that the first resurrection is ‘peculiarly the “blessed hope” of the Church’, whereas </w:t>
      </w:r>
      <w:r w:rsidRPr="00326C6B">
        <w:rPr>
          <w:i/>
        </w:rPr>
        <w:t>1967/2003</w:t>
      </w:r>
      <w:r w:rsidRPr="00326C6B">
        <w:t xml:space="preserve"> </w:t>
      </w:r>
      <w:proofErr w:type="gramStart"/>
      <w:r w:rsidRPr="00326C6B">
        <w:t>regard</w:t>
      </w:r>
      <w:proofErr w:type="gramEnd"/>
      <w:r w:rsidRPr="00326C6B">
        <w:t xml:space="preserve"> 1 Thess. 4:17 as the ‘central passage on the blessed hope of the Church’.</w:t>
      </w:r>
      <w:r>
        <w:rPr>
          <w:rStyle w:val="EndnoteReference"/>
        </w:rPr>
        <w:endnoteReference w:id="1672"/>
      </w:r>
      <w:r w:rsidRPr="00326C6B">
        <w:t xml:space="preserve">  </w:t>
      </w:r>
      <w:r w:rsidRPr="009B26B8">
        <w:rPr>
          <w:i/>
        </w:rPr>
        <w:t>1967/2003</w:t>
      </w:r>
      <w:r w:rsidRPr="009B26B8">
        <w:t xml:space="preserve"> </w:t>
      </w:r>
      <w:proofErr w:type="gramStart"/>
      <w:r w:rsidRPr="009B26B8">
        <w:t>add</w:t>
      </w:r>
      <w:proofErr w:type="gramEnd"/>
      <w:r w:rsidRPr="009B26B8">
        <w:t xml:space="preserve"> </w:t>
      </w:r>
      <w:r>
        <w:t xml:space="preserve">intimations </w:t>
      </w:r>
      <w:r w:rsidRPr="009B26B8">
        <w:t>that the translation of the true Church is ‘ever held before believers as an imminent and happy hope’,</w:t>
      </w:r>
      <w:r w:rsidRPr="009B26B8">
        <w:rPr>
          <w:rStyle w:val="EndnoteReference"/>
        </w:rPr>
        <w:endnoteReference w:id="1673"/>
      </w:r>
      <w:r w:rsidRPr="009B26B8">
        <w:t xml:space="preserve"> and </w:t>
      </w:r>
      <w:r>
        <w:t xml:space="preserve">insert </w:t>
      </w:r>
      <w:r w:rsidRPr="009B26B8">
        <w:t>a title concerning ‘the Believer’s Hope’ in their introduction to 1 Thessalonians.</w:t>
      </w:r>
      <w:r w:rsidRPr="009B26B8">
        <w:rPr>
          <w:rStyle w:val="EndnoteReference"/>
        </w:rPr>
        <w:endnoteReference w:id="1674"/>
      </w:r>
      <w:r w:rsidRPr="009B26B8">
        <w:t xml:space="preserve">  </w:t>
      </w:r>
    </w:p>
    <w:p w:rsidR="00442D33" w:rsidRPr="009B26B8" w:rsidRDefault="00442D33" w:rsidP="00442D33">
      <w:pPr>
        <w:spacing w:after="120" w:line="360" w:lineRule="auto"/>
        <w:ind w:right="74" w:firstLine="567"/>
        <w:jc w:val="both"/>
      </w:pPr>
      <w:r w:rsidRPr="009B26B8">
        <w:lastRenderedPageBreak/>
        <w:t>The term ‘</w:t>
      </w:r>
      <w:r w:rsidRPr="001B530A">
        <w:t>outcalling</w:t>
      </w:r>
      <w:r w:rsidRPr="009B26B8">
        <w:t>’ is used once eschatologically in all versions; in the note on Isa. 59:20; the Lord’s return to Zion follows ‘the outcalling of the Church’.</w:t>
      </w:r>
      <w:r>
        <w:t xml:space="preserve">  </w:t>
      </w:r>
      <w:r w:rsidRPr="00326C6B">
        <w:rPr>
          <w:lang w:eastAsia="en-GB"/>
        </w:rPr>
        <w:t xml:space="preserve">The context is a comment upon the relative ‘fixing’ of ‘the time when the Redeemer shall come to Zion’ by Rom. 11:23-9, as following the completion of the Church (‘Gentile’ Church in </w:t>
      </w:r>
      <w:r w:rsidRPr="00326C6B">
        <w:rPr>
          <w:i/>
        </w:rPr>
        <w:t>SRB</w:t>
      </w:r>
      <w:r w:rsidRPr="00326C6B">
        <w:rPr>
          <w:lang w:eastAsia="en-GB"/>
        </w:rPr>
        <w:t>).</w:t>
      </w:r>
      <w:r>
        <w:rPr>
          <w:rStyle w:val="EndnoteReference"/>
        </w:rPr>
        <w:endnoteReference w:id="1675"/>
      </w:r>
      <w:r w:rsidRPr="009B26B8">
        <w:t xml:space="preserve">  The expression appears to have different meanings according to its time-frame, however.  Confusingly, it is used elsewhere of the establishment of the Church, for example in </w:t>
      </w:r>
      <w:r w:rsidRPr="009B26B8">
        <w:rPr>
          <w:i/>
        </w:rPr>
        <w:t>SRB</w:t>
      </w:r>
      <w:r w:rsidRPr="009B26B8">
        <w:t>’s note on Rev. 14:6,</w:t>
      </w:r>
      <w:r>
        <w:t xml:space="preserve"> where ‘Paul’s gospel’</w:t>
      </w:r>
      <w:r w:rsidRPr="00326C6B">
        <w:t xml:space="preserve"> is said to ‘include the revelation of the result of that Gospel in the outcalling of the church, her relationships, position, </w:t>
      </w:r>
      <w:r>
        <w:t>privileges, and responsibility’,</w:t>
      </w:r>
      <w:r>
        <w:rPr>
          <w:rStyle w:val="EndnoteReference"/>
        </w:rPr>
        <w:endnoteReference w:id="1676"/>
      </w:r>
      <w:r>
        <w:t xml:space="preserve"> </w:t>
      </w:r>
      <w:r w:rsidRPr="00326C6B">
        <w:t>and in all versions’ notes on Mt. 4:17.</w:t>
      </w:r>
      <w:r>
        <w:rPr>
          <w:rStyle w:val="EndnoteReference"/>
        </w:rPr>
        <w:endnoteReference w:id="1677"/>
      </w:r>
      <w:r w:rsidRPr="009B26B8">
        <w:t xml:space="preserve">  </w:t>
      </w:r>
      <w:r w:rsidRPr="00326C6B">
        <w:t xml:space="preserve">Here </w:t>
      </w:r>
      <w:r w:rsidRPr="00326C6B">
        <w:rPr>
          <w:lang w:eastAsia="en-GB"/>
        </w:rPr>
        <w:t>the rejection of the Davidic kingdom and Christ, its king, which were fore-known to God, resulted in ‘the long period of the mystery-form of the kingdom, the world-wide preaching of the cross, and the outcalling of the Church’.</w:t>
      </w:r>
      <w:r>
        <w:rPr>
          <w:lang w:eastAsia="en-GB"/>
        </w:rPr>
        <w:t xml:space="preserve">  </w:t>
      </w:r>
      <w:r w:rsidRPr="009B26B8">
        <w:t>The ‘outcalling of the Gentiles’ seems to reflect the establishment of the Church in the subhead to and note on Acts 15:13,</w:t>
      </w:r>
      <w:r>
        <w:rPr>
          <w:rStyle w:val="EndnoteReference"/>
        </w:rPr>
        <w:endnoteReference w:id="1678"/>
      </w:r>
      <w:r>
        <w:t xml:space="preserve"> </w:t>
      </w:r>
      <w:r w:rsidRPr="009B26B8">
        <w:t>and note on Rom. 11:25.</w:t>
      </w:r>
      <w:r>
        <w:rPr>
          <w:rStyle w:val="EndnoteReference"/>
        </w:rPr>
        <w:endnoteReference w:id="1679"/>
      </w:r>
      <w:r w:rsidRPr="009B26B8">
        <w:t xml:space="preserve">  </w:t>
      </w:r>
      <w:r w:rsidRPr="009B26B8">
        <w:rPr>
          <w:i/>
        </w:rPr>
        <w:t>SRB</w:t>
      </w:r>
      <w:r w:rsidRPr="009B26B8">
        <w:t xml:space="preserve">’s note on Dan. 9:24 </w:t>
      </w:r>
      <w:proofErr w:type="gramStart"/>
      <w:r w:rsidRPr="009B26B8">
        <w:t>is</w:t>
      </w:r>
      <w:proofErr w:type="gramEnd"/>
      <w:r w:rsidRPr="009B26B8">
        <w:t xml:space="preserve"> ambiguous.  Scofield asserts that the ‘second event’ in Dan. 9:26 is the destruction of the city and sanctuary in 70 CE</w:t>
      </w:r>
      <w:r>
        <w:t>; after this a period follows which is ‘not fixed’ but has already lasted almost two millennia.</w:t>
      </w:r>
      <w:r>
        <w:rPr>
          <w:rStyle w:val="EndnoteReference"/>
        </w:rPr>
        <w:endnoteReference w:id="1680"/>
      </w:r>
      <w:r w:rsidRPr="009B26B8">
        <w:t xml:space="preserve">  He then states that, ‘during this period should be accomplished the mysteries of the kingdom of Heaven … and the outcalling of the Church’.  Scofield probably means to indicate here the establishment of the Church, but this took place before 70 CE as his own commentary on Acts 2 asserts.</w:t>
      </w:r>
      <w:r w:rsidRPr="009B26B8">
        <w:rPr>
          <w:rStyle w:val="EndnoteReference"/>
        </w:rPr>
        <w:endnoteReference w:id="1681"/>
      </w:r>
      <w:r w:rsidRPr="009B26B8">
        <w:t xml:space="preserve"> </w:t>
      </w:r>
    </w:p>
    <w:p w:rsidR="00442D33" w:rsidRPr="00FD75E4" w:rsidRDefault="00442D33" w:rsidP="00442D33">
      <w:pPr>
        <w:spacing w:after="120" w:line="360" w:lineRule="auto"/>
        <w:ind w:right="74"/>
        <w:jc w:val="both"/>
        <w:rPr>
          <w:b/>
          <w:sz w:val="24"/>
        </w:rPr>
      </w:pPr>
      <w:proofErr w:type="gramStart"/>
      <w:r>
        <w:rPr>
          <w:b/>
          <w:sz w:val="24"/>
        </w:rPr>
        <w:t>6</w:t>
      </w:r>
      <w:r w:rsidRPr="00FD75E4">
        <w:rPr>
          <w:b/>
          <w:sz w:val="24"/>
        </w:rPr>
        <w:t>.2  Conclusion</w:t>
      </w:r>
      <w:proofErr w:type="gramEnd"/>
    </w:p>
    <w:p w:rsidR="00442D33" w:rsidRDefault="00442D33" w:rsidP="00442D33">
      <w:pPr>
        <w:spacing w:after="120" w:line="360" w:lineRule="auto"/>
        <w:ind w:right="74"/>
        <w:jc w:val="both"/>
        <w:rPr>
          <w:spacing w:val="-2"/>
        </w:rPr>
      </w:pPr>
      <w:r w:rsidRPr="001F0A1F">
        <w:rPr>
          <w:spacing w:val="-2"/>
        </w:rPr>
        <w:t xml:space="preserve">While Scofield certainly regards the concept of the pretribulational rapture of the Church marking the end of the present church-age as important, he does not devote as much annotation to it in </w:t>
      </w:r>
      <w:r w:rsidRPr="001F0A1F">
        <w:rPr>
          <w:i/>
          <w:spacing w:val="-2"/>
        </w:rPr>
        <w:t xml:space="preserve">SRB </w:t>
      </w:r>
      <w:r w:rsidRPr="001F0A1F">
        <w:rPr>
          <w:spacing w:val="-2"/>
        </w:rPr>
        <w:t xml:space="preserve">as he does to other important tenets of dispensationalism such as the eternal separation of Israel and the Church, and the existence of different dispensations in divine-human relationships.  Although he refers to the rapture in various other works, he prefers to use other terms in </w:t>
      </w:r>
      <w:r w:rsidRPr="001F0A1F">
        <w:rPr>
          <w:i/>
          <w:spacing w:val="-2"/>
        </w:rPr>
        <w:t>SRB</w:t>
      </w:r>
      <w:r w:rsidRPr="001F0A1F">
        <w:rPr>
          <w:spacing w:val="-2"/>
        </w:rPr>
        <w:t>, especially ‘translation’.  Nevertheless, he does subscribe to this aspect of dispensational belief.  The later versions of the Scofield Bible include many more references to the removal of the true Church, especially using the term, ‘rapture’.  However, Scofield subscribes to a two-stage second coming of Christ like that advanced by Darby, as shown in 7.1.3.</w:t>
      </w:r>
    </w:p>
    <w:p w:rsidR="006A2E06" w:rsidRDefault="006A2E06" w:rsidP="00442D33">
      <w:pPr>
        <w:spacing w:after="120" w:line="360" w:lineRule="auto"/>
        <w:ind w:right="74"/>
        <w:jc w:val="both"/>
        <w:rPr>
          <w:spacing w:val="-2"/>
        </w:rPr>
        <w:sectPr w:rsidR="006A2E06" w:rsidSect="00F1470F">
          <w:headerReference w:type="default" r:id="rId119"/>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6A2E06" w:rsidRDefault="006A2E06" w:rsidP="006A2E06">
      <w:pPr>
        <w:spacing w:after="120" w:line="360" w:lineRule="auto"/>
        <w:ind w:right="74"/>
        <w:jc w:val="center"/>
        <w:rPr>
          <w:b/>
          <w:sz w:val="28"/>
          <w:szCs w:val="28"/>
        </w:rPr>
      </w:pPr>
      <w:bookmarkStart w:id="13" w:name="Chapter7"/>
      <w:bookmarkEnd w:id="13"/>
      <w:r>
        <w:rPr>
          <w:b/>
          <w:sz w:val="28"/>
          <w:szCs w:val="28"/>
        </w:rPr>
        <w:lastRenderedPageBreak/>
        <w:t xml:space="preserve">CHAPTER 7  </w:t>
      </w:r>
    </w:p>
    <w:p w:rsidR="006A2E06" w:rsidRPr="00DB6CB6" w:rsidRDefault="006A2E06" w:rsidP="006A2E06">
      <w:pPr>
        <w:spacing w:after="120" w:line="360" w:lineRule="auto"/>
        <w:jc w:val="center"/>
        <w:rPr>
          <w:rStyle w:val="ind"/>
          <w:b/>
          <w:sz w:val="28"/>
        </w:rPr>
      </w:pPr>
      <w:r w:rsidRPr="00DB6CB6">
        <w:rPr>
          <w:rStyle w:val="ind"/>
          <w:b/>
          <w:sz w:val="28"/>
        </w:rPr>
        <w:t>Elements</w:t>
      </w:r>
      <w:r>
        <w:rPr>
          <w:rStyle w:val="ind"/>
          <w:b/>
          <w:sz w:val="28"/>
        </w:rPr>
        <w:t xml:space="preserve"> of Dispensationalism: Element </w:t>
      </w:r>
      <w:r w:rsidRPr="00672F47">
        <w:rPr>
          <w:rStyle w:val="ind"/>
          <w:b/>
          <w:sz w:val="28"/>
        </w:rPr>
        <w:t>6</w:t>
      </w:r>
      <w:r w:rsidRPr="00DB6CB6">
        <w:rPr>
          <w:rStyle w:val="ind"/>
          <w:b/>
          <w:sz w:val="28"/>
        </w:rPr>
        <w:t>:</w:t>
      </w:r>
    </w:p>
    <w:p w:rsidR="006A2E06" w:rsidRPr="00DB6CB6" w:rsidRDefault="00555CCD" w:rsidP="006A2E06">
      <w:pPr>
        <w:spacing w:after="120" w:line="360" w:lineRule="auto"/>
        <w:jc w:val="center"/>
        <w:rPr>
          <w:rFonts w:eastAsia="Times New Roman"/>
          <w:b/>
          <w:bCs/>
          <w:kern w:val="36"/>
          <w:sz w:val="28"/>
          <w:szCs w:val="27"/>
          <w:lang w:eastAsia="en-GB"/>
        </w:rPr>
      </w:pPr>
      <w:r>
        <w:rPr>
          <w:rStyle w:val="ind"/>
          <w:b/>
          <w:sz w:val="28"/>
        </w:rPr>
        <w:t xml:space="preserve">Emphasis on </w:t>
      </w:r>
      <w:r w:rsidR="006A2E06">
        <w:rPr>
          <w:rStyle w:val="ind"/>
          <w:b/>
          <w:sz w:val="28"/>
        </w:rPr>
        <w:t>Apocalyptic and Millennial Expectation</w:t>
      </w:r>
    </w:p>
    <w:p w:rsidR="006A2E06" w:rsidRPr="00C20558" w:rsidRDefault="006A2E06" w:rsidP="006A2E06">
      <w:pPr>
        <w:spacing w:after="120" w:line="360" w:lineRule="auto"/>
        <w:jc w:val="both"/>
        <w:rPr>
          <w:rStyle w:val="ind"/>
          <w:b/>
          <w:sz w:val="24"/>
        </w:rPr>
      </w:pPr>
      <w:proofErr w:type="gramStart"/>
      <w:r>
        <w:rPr>
          <w:rStyle w:val="ind"/>
          <w:b/>
          <w:sz w:val="24"/>
        </w:rPr>
        <w:t>7</w:t>
      </w:r>
      <w:r w:rsidRPr="00C20558">
        <w:rPr>
          <w:rStyle w:val="ind"/>
          <w:b/>
          <w:sz w:val="24"/>
        </w:rPr>
        <w:t>.1  Apocalyptic</w:t>
      </w:r>
      <w:proofErr w:type="gramEnd"/>
      <w:r w:rsidRPr="00C20558">
        <w:rPr>
          <w:rStyle w:val="ind"/>
          <w:b/>
          <w:sz w:val="24"/>
        </w:rPr>
        <w:t xml:space="preserve"> Expectation</w:t>
      </w:r>
    </w:p>
    <w:p w:rsidR="006A2E06" w:rsidRPr="00AD132E" w:rsidRDefault="006A2E06" w:rsidP="006A2E06">
      <w:pPr>
        <w:spacing w:after="120" w:line="360" w:lineRule="auto"/>
        <w:jc w:val="both"/>
        <w:rPr>
          <w:rStyle w:val="ind"/>
        </w:rPr>
      </w:pPr>
      <w:r w:rsidRPr="00F059DE">
        <w:rPr>
          <w:rStyle w:val="ind"/>
        </w:rPr>
        <w:t>Blaising and Bock identify dispensationalism as ‘a futurist premillennialism’; this is a tradition which has ‘strongly maintained the imminent return of Christ and a national and political future for Israel in the divine plan for history’.</w:t>
      </w:r>
      <w:r w:rsidRPr="00F059DE">
        <w:rPr>
          <w:rStyle w:val="EndnoteReference"/>
        </w:rPr>
        <w:endnoteReference w:id="1682"/>
      </w:r>
      <w:r w:rsidRPr="00F059DE">
        <w:rPr>
          <w:rStyle w:val="ind"/>
        </w:rPr>
        <w:t xml:space="preserve">  Watson calls dispensationalism ‘the most common school of futurist premillennialism’.</w:t>
      </w:r>
      <w:r w:rsidRPr="00F059DE">
        <w:rPr>
          <w:rStyle w:val="EndnoteReference"/>
        </w:rPr>
        <w:endnoteReference w:id="1683"/>
      </w:r>
      <w:r w:rsidRPr="00F059DE">
        <w:rPr>
          <w:rStyle w:val="ind"/>
        </w:rPr>
        <w:t xml:space="preserve">  According to this view, certain aspects of prophecy remain unfulfilled and will only be implemented at the </w:t>
      </w:r>
      <w:r w:rsidRPr="00F059DE">
        <w:rPr>
          <w:rStyle w:val="ind"/>
          <w:i/>
        </w:rPr>
        <w:t>eschaton</w:t>
      </w:r>
      <w:r w:rsidRPr="00F059DE">
        <w:rPr>
          <w:rStyle w:val="ind"/>
        </w:rPr>
        <w:t>.  As described in 1.</w:t>
      </w:r>
      <w:r>
        <w:rPr>
          <w:rStyle w:val="ind"/>
        </w:rPr>
        <w:t>2</w:t>
      </w:r>
      <w:r w:rsidRPr="00F059DE">
        <w:rPr>
          <w:rStyle w:val="ind"/>
        </w:rPr>
        <w:t xml:space="preserve">, Weber lists futurist characteristics as anticipating an escalation of natural disasters, persecution and apostasy, which will culminate in the rise of Antichrist, the ‘great tribulation’ and the return of Christ to defeat Satan </w:t>
      </w:r>
      <w:r>
        <w:rPr>
          <w:rStyle w:val="ind"/>
        </w:rPr>
        <w:t xml:space="preserve">at </w:t>
      </w:r>
      <w:r w:rsidRPr="00F059DE">
        <w:rPr>
          <w:rStyle w:val="ind"/>
        </w:rPr>
        <w:t>the battle of Armageddon and establish his millennial kingdom on earth.</w:t>
      </w:r>
      <w:r w:rsidRPr="00F059DE">
        <w:rPr>
          <w:rStyle w:val="EndnoteReference"/>
        </w:rPr>
        <w:endnoteReference w:id="1684"/>
      </w:r>
      <w:r w:rsidRPr="00F059DE">
        <w:rPr>
          <w:rStyle w:val="ind"/>
        </w:rPr>
        <w:t xml:space="preserve">  After </w:t>
      </w:r>
      <w:r w:rsidRPr="00F059DE">
        <w:rPr>
          <w:rFonts w:eastAsia="Times New Roman"/>
          <w:lang w:eastAsia="en-GB"/>
        </w:rPr>
        <w:t xml:space="preserve">a short rebellion led by Satan on his release from a thousand-year imprisonment during the millennium, judgments will occur and the eternal state be instituted.  </w:t>
      </w:r>
      <w:r w:rsidRPr="00F059DE">
        <w:rPr>
          <w:rStyle w:val="ind"/>
        </w:rPr>
        <w:t xml:space="preserve">Together with the pretribulational rapture of the true church, which was discussed in Chapter </w:t>
      </w:r>
      <w:r w:rsidR="00847BDA">
        <w:rPr>
          <w:rStyle w:val="ind"/>
        </w:rPr>
        <w:t>6</w:t>
      </w:r>
      <w:r w:rsidRPr="00F059DE">
        <w:rPr>
          <w:rStyle w:val="ind"/>
        </w:rPr>
        <w:t xml:space="preserve">, these elements constitute the core of dispensationalist belief concerning apocalyptic and millennial expectation.  This chapter will examine dispensationalist expectations concerning the second coming of Christ and the establishment of Christ’s millennial kingdom.  </w:t>
      </w:r>
      <w:r w:rsidRPr="00AD132E">
        <w:rPr>
          <w:rStyle w:val="ind"/>
          <w:szCs w:val="24"/>
        </w:rPr>
        <w:t xml:space="preserve">However, the chapter opens with </w:t>
      </w:r>
      <w:r>
        <w:rPr>
          <w:rStyle w:val="ind"/>
          <w:szCs w:val="24"/>
        </w:rPr>
        <w:t xml:space="preserve">a </w:t>
      </w:r>
      <w:r w:rsidRPr="00AD132E">
        <w:rPr>
          <w:rStyle w:val="ind"/>
          <w:szCs w:val="24"/>
        </w:rPr>
        <w:t>discussion of Scofield’s place in dispensationalism’s futuristic tradition and of the tribulation presaged in the dispensationalist interpretation of Daniel’s Seventy Weeks, since the tribulation chronologically precedes the second coming.</w:t>
      </w:r>
    </w:p>
    <w:p w:rsidR="006A2E06" w:rsidRPr="009E406F" w:rsidRDefault="006A2E06" w:rsidP="006A2E06">
      <w:pPr>
        <w:spacing w:after="120" w:line="360" w:lineRule="auto"/>
        <w:jc w:val="both"/>
        <w:rPr>
          <w:rStyle w:val="ind"/>
          <w:b/>
          <w:sz w:val="24"/>
        </w:rPr>
      </w:pPr>
      <w:proofErr w:type="gramStart"/>
      <w:r>
        <w:rPr>
          <w:rStyle w:val="ind"/>
          <w:b/>
          <w:sz w:val="24"/>
        </w:rPr>
        <w:t>7</w:t>
      </w:r>
      <w:r w:rsidRPr="009E406F">
        <w:rPr>
          <w:rStyle w:val="ind"/>
          <w:b/>
          <w:sz w:val="24"/>
        </w:rPr>
        <w:t>.1</w:t>
      </w:r>
      <w:r>
        <w:rPr>
          <w:rStyle w:val="ind"/>
          <w:b/>
          <w:sz w:val="24"/>
        </w:rPr>
        <w:t>.1</w:t>
      </w:r>
      <w:r w:rsidRPr="009E406F">
        <w:rPr>
          <w:rStyle w:val="ind"/>
          <w:b/>
          <w:sz w:val="24"/>
        </w:rPr>
        <w:t xml:space="preserve"> </w:t>
      </w:r>
      <w:r>
        <w:rPr>
          <w:rStyle w:val="ind"/>
          <w:b/>
          <w:sz w:val="24"/>
        </w:rPr>
        <w:t xml:space="preserve"> </w:t>
      </w:r>
      <w:r w:rsidRPr="009E406F">
        <w:rPr>
          <w:rStyle w:val="ind"/>
          <w:b/>
          <w:sz w:val="24"/>
        </w:rPr>
        <w:t>Historicism</w:t>
      </w:r>
      <w:proofErr w:type="gramEnd"/>
      <w:r w:rsidRPr="009E406F">
        <w:rPr>
          <w:rStyle w:val="ind"/>
          <w:b/>
          <w:sz w:val="24"/>
        </w:rPr>
        <w:t xml:space="preserve"> and Futurism</w:t>
      </w:r>
    </w:p>
    <w:p w:rsidR="006A2E06" w:rsidRPr="00F059DE" w:rsidRDefault="006A2E06" w:rsidP="006A2E06">
      <w:pPr>
        <w:spacing w:after="120" w:line="360" w:lineRule="auto"/>
        <w:jc w:val="both"/>
        <w:rPr>
          <w:rStyle w:val="ind"/>
        </w:rPr>
      </w:pPr>
      <w:r w:rsidRPr="00F059DE">
        <w:rPr>
          <w:rStyle w:val="ind"/>
        </w:rPr>
        <w:t>Premillennialists may be divided into two subgroups, historicists and futurists, as identified by Weber, who states that these are based on differences in ‘fundamental approach to prophetic texts’.</w:t>
      </w:r>
      <w:r w:rsidRPr="00F059DE">
        <w:rPr>
          <w:rStyle w:val="EndnoteReference"/>
        </w:rPr>
        <w:endnoteReference w:id="1685"/>
      </w:r>
      <w:r w:rsidRPr="00F059DE">
        <w:rPr>
          <w:rStyle w:val="ind"/>
        </w:rPr>
        <w:t xml:space="preserve">  Historicists regard the prophetic Scriptures, especially Daniel and Revelation, as giving ‘the entire history of the church in symbolic form’.  They thus see prophetic fulfilments in the past and present of the church; these fulfilments show the divine plan in action.</w:t>
      </w:r>
      <w:r w:rsidRPr="00F059DE">
        <w:rPr>
          <w:rStyle w:val="EndnoteReference"/>
        </w:rPr>
        <w:endnoteReference w:id="1686"/>
      </w:r>
      <w:r w:rsidRPr="00F059DE">
        <w:rPr>
          <w:rStyle w:val="ind"/>
        </w:rPr>
        <w:t xml:space="preserve">  Conversely, as stated by Sandeen, futurists hold that ‘none of the events predicted in Revelation (following the first three introductory chapters) [have] yet occurred and that they [will] not occur until the end of this dispensation’.</w:t>
      </w:r>
      <w:r w:rsidRPr="00F059DE">
        <w:rPr>
          <w:rStyle w:val="EndnoteReference"/>
        </w:rPr>
        <w:endnoteReference w:id="1687"/>
      </w:r>
      <w:r w:rsidRPr="00F059DE">
        <w:rPr>
          <w:rStyle w:val="ind"/>
        </w:rPr>
        <w:t xml:space="preserve">  Because futurists deny that prophecies apply to the church age, they are able to avoid </w:t>
      </w:r>
      <w:r>
        <w:rPr>
          <w:rStyle w:val="ind"/>
        </w:rPr>
        <w:t xml:space="preserve">the ‘dangerous and often </w:t>
      </w:r>
      <w:r w:rsidRPr="00F059DE">
        <w:rPr>
          <w:rStyle w:val="ind"/>
        </w:rPr>
        <w:t>embarrassing’ date-setting,</w:t>
      </w:r>
      <w:r w:rsidRPr="00F059DE">
        <w:rPr>
          <w:rStyle w:val="EndnoteReference"/>
        </w:rPr>
        <w:endnoteReference w:id="1688"/>
      </w:r>
      <w:r w:rsidRPr="00F059DE">
        <w:rPr>
          <w:rStyle w:val="ind"/>
        </w:rPr>
        <w:t xml:space="preserve"> promoted by groups such as the Millerites.  </w:t>
      </w:r>
    </w:p>
    <w:p w:rsidR="006A2E06" w:rsidRPr="00F059DE" w:rsidRDefault="006A2E06" w:rsidP="006A2E06">
      <w:pPr>
        <w:spacing w:after="120" w:line="360" w:lineRule="auto"/>
        <w:ind w:firstLine="567"/>
        <w:jc w:val="both"/>
        <w:rPr>
          <w:rFonts w:eastAsia="Times New Roman"/>
          <w:lang w:eastAsia="en-GB"/>
        </w:rPr>
      </w:pPr>
      <w:r w:rsidRPr="00F059DE">
        <w:rPr>
          <w:rStyle w:val="ind"/>
        </w:rPr>
        <w:t xml:space="preserve">Sandeen describes how, mainly </w:t>
      </w:r>
      <w:r>
        <w:rPr>
          <w:rStyle w:val="ind"/>
        </w:rPr>
        <w:t>prior to</w:t>
      </w:r>
      <w:r w:rsidRPr="00F059DE">
        <w:rPr>
          <w:rStyle w:val="ind"/>
        </w:rPr>
        <w:t xml:space="preserve"> the 1840s, historicists held that ‘events in the Apocalypse were being fulfilled in European history’.</w:t>
      </w:r>
      <w:r w:rsidRPr="00F059DE">
        <w:rPr>
          <w:rStyle w:val="EndnoteReference"/>
        </w:rPr>
        <w:endnoteReference w:id="1689"/>
      </w:r>
      <w:r w:rsidRPr="00F059DE">
        <w:rPr>
          <w:rStyle w:val="ind"/>
        </w:rPr>
        <w:t xml:space="preserve">  Historicists thus ‘tied themselves to a prophetic timetable </w:t>
      </w:r>
      <w:r w:rsidRPr="00F059DE">
        <w:rPr>
          <w:rStyle w:val="ind"/>
        </w:rPr>
        <w:lastRenderedPageBreak/>
        <w:t>derived from the events predicted in the Bible, especially Revelation’.</w:t>
      </w:r>
      <w:r w:rsidRPr="00F059DE">
        <w:rPr>
          <w:rStyle w:val="EndnoteReference"/>
        </w:rPr>
        <w:endnoteReference w:id="1690"/>
      </w:r>
      <w:r w:rsidRPr="00F059DE">
        <w:rPr>
          <w:rStyle w:val="ind"/>
        </w:rPr>
        <w:t xml:space="preserve">  This encouraged a tendency to try to set dates for future events, which took an extreme form amongst the followers of William Miller.  Weber states that such date-setting brought premillennialism into disrepute when predicted events, such as Christ’s arrival on 22 October, 1844, did not materialise.</w:t>
      </w:r>
      <w:r w:rsidRPr="00F059DE">
        <w:rPr>
          <w:rStyle w:val="EndnoteReference"/>
        </w:rPr>
        <w:endnoteReference w:id="1691"/>
      </w:r>
      <w:r w:rsidRPr="00F059DE">
        <w:rPr>
          <w:rStyle w:val="ind"/>
        </w:rPr>
        <w:t xml:space="preserve">  According to Blaising, this was one reason for the acceptance of the futuristic version of premillennialism in late C19.</w:t>
      </w:r>
      <w:r w:rsidRPr="00F059DE">
        <w:rPr>
          <w:rStyle w:val="EndnoteReference"/>
        </w:rPr>
        <w:endnoteReference w:id="1692"/>
      </w:r>
      <w:r w:rsidRPr="00F059DE">
        <w:rPr>
          <w:rStyle w:val="ind"/>
        </w:rPr>
        <w:t xml:space="preserve">  </w:t>
      </w:r>
      <w:r w:rsidRPr="00F059DE">
        <w:rPr>
          <w:rFonts w:eastAsia="Times New Roman"/>
          <w:lang w:eastAsia="en-GB"/>
        </w:rPr>
        <w:t>However, ‘popular religious apocalypticism’ created a blurring between futurism and historicism in late C20 with some dispensationalists coming ‘perilously close to the same mistake’ of date-setting as that made by the Millerites.</w:t>
      </w:r>
      <w:r w:rsidRPr="00F059DE">
        <w:rPr>
          <w:rStyle w:val="EndnoteReference"/>
          <w:rFonts w:eastAsia="Times New Roman"/>
          <w:lang w:eastAsia="en-GB"/>
        </w:rPr>
        <w:endnoteReference w:id="1693"/>
      </w:r>
      <w:r w:rsidRPr="00F059DE">
        <w:rPr>
          <w:rFonts w:eastAsia="Times New Roman"/>
          <w:lang w:eastAsia="en-GB"/>
        </w:rPr>
        <w:t xml:space="preserve">  </w:t>
      </w:r>
      <w:proofErr w:type="gramStart"/>
      <w:r w:rsidRPr="00F059DE">
        <w:rPr>
          <w:rFonts w:eastAsia="Times New Roman"/>
          <w:lang w:eastAsia="en-GB"/>
        </w:rPr>
        <w:t>Sweetnam states that ‘the resort’ of authors like Edgar Whisnant and Hal Lindsey to ‘a historicist reading of Scripture in the service of their date-setting sensationalism contravenes a crucial element of classical Dispensationalism’.</w:t>
      </w:r>
      <w:proofErr w:type="gramEnd"/>
      <w:r w:rsidRPr="00F059DE">
        <w:rPr>
          <w:rStyle w:val="EndnoteReference"/>
          <w:rFonts w:eastAsia="Times New Roman"/>
          <w:lang w:eastAsia="en-GB"/>
        </w:rPr>
        <w:endnoteReference w:id="1694"/>
      </w:r>
      <w:r w:rsidRPr="00F059DE">
        <w:rPr>
          <w:rFonts w:eastAsia="Times New Roman"/>
          <w:lang w:eastAsia="en-GB"/>
        </w:rPr>
        <w:t xml:space="preserve"> </w:t>
      </w:r>
    </w:p>
    <w:p w:rsidR="006A2E06" w:rsidRPr="00F059DE" w:rsidRDefault="006A2E06" w:rsidP="006A2E06">
      <w:pPr>
        <w:spacing w:after="120" w:line="360" w:lineRule="auto"/>
        <w:ind w:firstLine="567"/>
        <w:jc w:val="both"/>
      </w:pPr>
      <w:r w:rsidRPr="00F059DE">
        <w:rPr>
          <w:rFonts w:eastAsia="Times New Roman"/>
          <w:lang w:eastAsia="en-GB"/>
        </w:rPr>
        <w:t xml:space="preserve">As a futurist, Darby emphasised that all prophecy in Revelation from chapter 4 onwards pertained to the future.  He refuted Newton’s claim that Revelation referred to </w:t>
      </w:r>
      <w:r>
        <w:rPr>
          <w:rFonts w:eastAsia="Times New Roman"/>
          <w:lang w:eastAsia="en-GB"/>
        </w:rPr>
        <w:t>‘</w:t>
      </w:r>
      <w:r w:rsidRPr="00F059DE">
        <w:rPr>
          <w:rFonts w:eastAsia="Times New Roman"/>
          <w:lang w:eastAsia="en-GB"/>
        </w:rPr>
        <w:t>“</w:t>
      </w:r>
      <w:r w:rsidRPr="00F059DE">
        <w:t xml:space="preserve">the period during which Christ is hidden with God”’ and that ‘these things are spoken of as His </w:t>
      </w:r>
      <w:r w:rsidRPr="00F059DE">
        <w:rPr>
          <w:i/>
          <w:iCs/>
        </w:rPr>
        <w:t xml:space="preserve">present </w:t>
      </w:r>
      <w:r w:rsidRPr="00F059DE">
        <w:t xml:space="preserve">relation to and … exercise of power upon the nations, hidden in the throne’.  Darby averred that </w:t>
      </w:r>
      <w:r w:rsidRPr="00F059DE">
        <w:rPr>
          <w:rFonts w:eastAsia="Times New Roman"/>
          <w:lang w:eastAsia="en-GB"/>
        </w:rPr>
        <w:t>‘t</w:t>
      </w:r>
      <w:r w:rsidRPr="00F059DE">
        <w:t xml:space="preserve">he Revelation treats of </w:t>
      </w:r>
      <w:r w:rsidRPr="00F059DE">
        <w:rPr>
          <w:i/>
        </w:rPr>
        <w:t>no part of the present dispensation which is yet fulfilled</w:t>
      </w:r>
      <w:r w:rsidRPr="00F059DE">
        <w:t xml:space="preserve">, though the things spoken of be distinctively characteristic of it; and that which thus distinctively characterises it is </w:t>
      </w:r>
      <w:r w:rsidRPr="00F059DE">
        <w:rPr>
          <w:i/>
        </w:rPr>
        <w:t>altogether future</w:t>
      </w:r>
      <w:r w:rsidRPr="00F059DE">
        <w:t>’.</w:t>
      </w:r>
      <w:r w:rsidRPr="00F059DE">
        <w:rPr>
          <w:rStyle w:val="EndnoteReference"/>
        </w:rPr>
        <w:endnoteReference w:id="1695"/>
      </w:r>
      <w:r w:rsidRPr="00F059DE">
        <w:t xml:space="preserve">  </w:t>
      </w:r>
      <w:r w:rsidRPr="00F059DE">
        <w:rPr>
          <w:rStyle w:val="ind"/>
        </w:rPr>
        <w:t>Darby also held that ‘</w:t>
      </w:r>
      <w:r w:rsidRPr="00F059DE">
        <w:t xml:space="preserve">the greater part of the prophecies, and, in a certain </w:t>
      </w:r>
      <w:proofErr w:type="gramStart"/>
      <w:r w:rsidRPr="00F059DE">
        <w:t>sense, …</w:t>
      </w:r>
      <w:proofErr w:type="gramEnd"/>
      <w:r w:rsidRPr="00F059DE">
        <w:t xml:space="preserve"> all the prophecies, will have their accomplishment at the expiration of the dispensation in which we are’.</w:t>
      </w:r>
      <w:r w:rsidRPr="00F059DE">
        <w:rPr>
          <w:rStyle w:val="EndnoteReference"/>
        </w:rPr>
        <w:endnoteReference w:id="1696"/>
      </w:r>
      <w:r w:rsidRPr="00F059DE">
        <w:t xml:space="preserve"> </w:t>
      </w:r>
    </w:p>
    <w:p w:rsidR="006A2E06" w:rsidRDefault="006A2E06" w:rsidP="006A2E06">
      <w:pPr>
        <w:spacing w:after="120" w:line="360" w:lineRule="auto"/>
        <w:ind w:firstLine="567"/>
        <w:jc w:val="both"/>
      </w:pPr>
      <w:r w:rsidRPr="00F059DE">
        <w:t>In his introduction to and notes on Revelation, Scofield shows futur</w:t>
      </w:r>
      <w:r>
        <w:t xml:space="preserve">istic belief, but tempered with </w:t>
      </w:r>
      <w:r w:rsidRPr="00F059DE">
        <w:t>historicism</w:t>
      </w:r>
      <w:r>
        <w:t xml:space="preserve"> concerning the seven churches of Revelation 1 </w:t>
      </w:r>
      <w:r w:rsidRPr="00012B96">
        <w:rPr>
          <w:sz w:val="16"/>
          <w:szCs w:val="24"/>
        </w:rPr>
        <w:t>—</w:t>
      </w:r>
      <w:r>
        <w:rPr>
          <w:sz w:val="16"/>
          <w:szCs w:val="24"/>
        </w:rPr>
        <w:t xml:space="preserve"> </w:t>
      </w:r>
      <w:r>
        <w:t>3, as shown in the table below.</w:t>
      </w:r>
      <w:r w:rsidRPr="00F059DE">
        <w:t xml:space="preserve">  </w:t>
      </w:r>
    </w:p>
    <w:p w:rsidR="006A2E06" w:rsidRDefault="006A2E06" w:rsidP="006A2E06">
      <w:pPr>
        <w:spacing w:after="120" w:line="360" w:lineRule="auto"/>
        <w:ind w:firstLine="567"/>
        <w:jc w:val="both"/>
      </w:pPr>
      <w:r>
        <w:rPr>
          <w:noProof/>
          <w:lang w:eastAsia="en-GB"/>
        </w:rPr>
        <w:lastRenderedPageBreak/>
        <w:drawing>
          <wp:inline distT="0" distB="0" distL="0" distR="0" wp14:anchorId="2D6EEF6B" wp14:editId="13E3B68A">
            <wp:extent cx="5400040" cy="419354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Seven Churches of Revelation 2-3 5.11.17 crop.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00040" cy="4193540"/>
                    </a:xfrm>
                    <a:prstGeom prst="rect">
                      <a:avLst/>
                    </a:prstGeom>
                  </pic:spPr>
                </pic:pic>
              </a:graphicData>
            </a:graphic>
          </wp:inline>
        </w:drawing>
      </w:r>
    </w:p>
    <w:p w:rsidR="006A2E06" w:rsidRPr="002A5D88" w:rsidRDefault="006A2E06" w:rsidP="006A2E06">
      <w:pPr>
        <w:spacing w:after="120" w:line="360" w:lineRule="auto"/>
        <w:ind w:firstLine="567"/>
        <w:jc w:val="both"/>
      </w:pPr>
      <w:r>
        <w:t>Scofield</w:t>
      </w:r>
      <w:r w:rsidRPr="00F059DE">
        <w:t xml:space="preserve"> asserts that ‘from [Rev.] 2:1 to 3:22 [John] is on the earth, looking forward through the church-age’.</w:t>
      </w:r>
      <w:r w:rsidRPr="00F059DE">
        <w:rPr>
          <w:rStyle w:val="EndnoteReference"/>
        </w:rPr>
        <w:endnoteReference w:id="1697"/>
      </w:r>
      <w:r w:rsidRPr="00F059DE">
        <w:t xml:space="preserve">  He elaborates upon this in his note on Rev. 1:20, in which he describes the messages to the seven churches as disclosing ‘an exact foreview of the spiritual history of the church, and in this precise order’</w:t>
      </w:r>
      <w:r>
        <w:t>, as shown in the table.</w:t>
      </w:r>
      <w:r w:rsidRPr="00F059DE">
        <w:t xml:space="preserve">  He then </w:t>
      </w:r>
      <w:r>
        <w:t>interprets</w:t>
      </w:r>
      <w:r w:rsidRPr="00F059DE">
        <w:t xml:space="preserve"> the message to each church as corresponding to a particular phase in church history, sometimes giving dates</w:t>
      </w:r>
      <w:r>
        <w:t>.</w:t>
      </w:r>
      <w:r w:rsidRPr="00F059DE">
        <w:rPr>
          <w:rStyle w:val="EndnoteReference"/>
        </w:rPr>
        <w:endnoteReference w:id="1698"/>
      </w:r>
      <w:r w:rsidRPr="00F059DE">
        <w:t xml:space="preserve">  This is a form of historicism </w:t>
      </w:r>
      <w:r>
        <w:t>b</w:t>
      </w:r>
      <w:r w:rsidRPr="00F059DE">
        <w:t xml:space="preserve">ecause it identifies prophecy with historical fulfilment.  </w:t>
      </w:r>
      <w:r w:rsidRPr="002A5D88">
        <w:t xml:space="preserve">On the other hand, Scofield is also futuristic.  He states that Rev. 4:1 – 22:21 </w:t>
      </w:r>
      <w:proofErr w:type="gramStart"/>
      <w:r w:rsidRPr="002A5D88">
        <w:t>concern</w:t>
      </w:r>
      <w:proofErr w:type="gramEnd"/>
      <w:r w:rsidRPr="002A5D88">
        <w:t xml:space="preserve"> ‘things future, “things which shall be hereafter,” lit. “</w:t>
      </w:r>
      <w:proofErr w:type="gramStart"/>
      <w:r w:rsidRPr="002A5D88">
        <w:t>after</w:t>
      </w:r>
      <w:proofErr w:type="gramEnd"/>
      <w:r w:rsidRPr="002A5D88">
        <w:t xml:space="preserve"> these,” i.e. after the church period ends’.</w:t>
      </w:r>
      <w:r w:rsidRPr="002A5D88">
        <w:rPr>
          <w:rStyle w:val="EndnoteReference"/>
        </w:rPr>
        <w:endnoteReference w:id="1699"/>
      </w:r>
      <w:r w:rsidRPr="002A5D88">
        <w:t xml:space="preserve"> </w:t>
      </w:r>
    </w:p>
    <w:p w:rsidR="006A2E06" w:rsidRPr="002A5D88" w:rsidRDefault="006A2E06" w:rsidP="006A2E06">
      <w:pPr>
        <w:spacing w:after="120" w:line="240" w:lineRule="auto"/>
        <w:ind w:left="1134" w:right="1701"/>
        <w:jc w:val="both"/>
        <w:rPr>
          <w:rFonts w:eastAsia="Times New Roman"/>
          <w:lang w:eastAsia="en-GB"/>
        </w:rPr>
      </w:pPr>
      <w:r w:rsidRPr="002A5D88">
        <w:t xml:space="preserve">The end of the church period (2 – 3) is left indeterminate.  It will end by the fulfilment of 1 Thess. 4:14-17.  </w:t>
      </w:r>
      <w:proofErr w:type="gramStart"/>
      <w:r w:rsidRPr="002A5D88">
        <w:rPr>
          <w:rFonts w:eastAsia="Times New Roman"/>
          <w:lang w:eastAsia="en-GB"/>
        </w:rPr>
        <w:t>Chapters 4</w:t>
      </w:r>
      <w:r>
        <w:rPr>
          <w:rFonts w:eastAsia="Times New Roman"/>
          <w:lang w:eastAsia="en-GB"/>
        </w:rPr>
        <w:t xml:space="preserve"> </w:t>
      </w:r>
      <w:r w:rsidRPr="00012B96">
        <w:rPr>
          <w:sz w:val="16"/>
          <w:szCs w:val="24"/>
        </w:rPr>
        <w:t>—</w:t>
      </w:r>
      <w:r>
        <w:rPr>
          <w:sz w:val="16"/>
          <w:szCs w:val="24"/>
        </w:rPr>
        <w:t xml:space="preserve"> </w:t>
      </w:r>
      <w:r w:rsidRPr="002A5D88">
        <w:rPr>
          <w:rFonts w:eastAsia="Times New Roman"/>
          <w:lang w:eastAsia="en-GB"/>
        </w:rPr>
        <w:t>19.</w:t>
      </w:r>
      <w:proofErr w:type="gramEnd"/>
      <w:r w:rsidRPr="002A5D88">
        <w:rPr>
          <w:rFonts w:eastAsia="Times New Roman"/>
          <w:lang w:eastAsia="en-GB"/>
        </w:rPr>
        <w:t xml:space="preserve"> </w:t>
      </w:r>
      <w:proofErr w:type="gramStart"/>
      <w:r w:rsidRPr="002A5D88">
        <w:rPr>
          <w:rFonts w:eastAsia="Times New Roman"/>
          <w:lang w:eastAsia="en-GB"/>
        </w:rPr>
        <w:t>are</w:t>
      </w:r>
      <w:proofErr w:type="gramEnd"/>
      <w:r w:rsidRPr="002A5D88">
        <w:rPr>
          <w:rFonts w:eastAsia="Times New Roman"/>
          <w:lang w:eastAsia="en-GB"/>
        </w:rPr>
        <w:t xml:space="preserve"> believed to synchronize with Daniel's Seventieth Week (ref. Dan. 9:24 note).  The great tribulation begins at the middle of the “week” and continues three and a half years (Rev. 11:3</w:t>
      </w:r>
      <w:r>
        <w:rPr>
          <w:rFonts w:eastAsia="Times New Roman"/>
          <w:lang w:eastAsia="en-GB"/>
        </w:rPr>
        <w:t xml:space="preserve"> </w:t>
      </w:r>
      <w:r w:rsidRPr="00012B96">
        <w:rPr>
          <w:sz w:val="16"/>
          <w:szCs w:val="24"/>
        </w:rPr>
        <w:t>—</w:t>
      </w:r>
      <w:r>
        <w:rPr>
          <w:sz w:val="16"/>
          <w:szCs w:val="24"/>
        </w:rPr>
        <w:t xml:space="preserve"> </w:t>
      </w:r>
      <w:r w:rsidRPr="002A5D88">
        <w:rPr>
          <w:rFonts w:eastAsia="Times New Roman"/>
          <w:lang w:eastAsia="en-GB"/>
        </w:rPr>
        <w:t>19:21).  The tribulation is brought to an end by the appearing of the Lord and the battle of Armageddon (Mt. 24:29, 30; Rev. 19:11-21).  The kingdom follows (Rev. 20:4, 5); after this the “little season” (Rev. 20:7-15), and then eternity.</w:t>
      </w:r>
      <w:r w:rsidRPr="002A5D88">
        <w:rPr>
          <w:rStyle w:val="EndnoteReference"/>
          <w:rFonts w:eastAsia="Times New Roman"/>
          <w:lang w:eastAsia="en-GB"/>
        </w:rPr>
        <w:endnoteReference w:id="1700"/>
      </w:r>
      <w:r w:rsidRPr="002A5D88">
        <w:rPr>
          <w:rFonts w:eastAsia="Times New Roman"/>
          <w:lang w:eastAsia="en-GB"/>
        </w:rPr>
        <w:t xml:space="preserve"> </w:t>
      </w:r>
    </w:p>
    <w:p w:rsidR="006A2E06" w:rsidRPr="002A5D88" w:rsidRDefault="006A2E06" w:rsidP="006A2E06">
      <w:pPr>
        <w:spacing w:after="120" w:line="360" w:lineRule="auto"/>
        <w:ind w:firstLine="567"/>
        <w:jc w:val="both"/>
        <w:rPr>
          <w:rFonts w:eastAsia="Times New Roman"/>
          <w:lang w:eastAsia="en-GB"/>
        </w:rPr>
      </w:pPr>
      <w:r w:rsidRPr="002A5D88">
        <w:rPr>
          <w:rFonts w:eastAsia="Times New Roman"/>
          <w:lang w:eastAsia="en-GB"/>
        </w:rPr>
        <w:t xml:space="preserve">Arguing from the evidence of faithful fulfilment of prophecy concerning Christ’s first advent, Chafer </w:t>
      </w:r>
      <w:r>
        <w:rPr>
          <w:rFonts w:eastAsia="Times New Roman"/>
          <w:lang w:eastAsia="en-GB"/>
        </w:rPr>
        <w:t>avers</w:t>
      </w:r>
      <w:r w:rsidRPr="002A5D88">
        <w:rPr>
          <w:rFonts w:eastAsia="Times New Roman"/>
          <w:lang w:eastAsia="en-GB"/>
        </w:rPr>
        <w:t xml:space="preserve"> that it is reasonable and honouring to God to believe that prophecy as yet unfulfilled will also be fulfilled in the future.  ‘Christ is to return to earth as He went.’</w:t>
      </w:r>
      <w:r w:rsidRPr="002A5D88">
        <w:rPr>
          <w:rStyle w:val="EndnoteReference"/>
          <w:rFonts w:eastAsia="Times New Roman"/>
          <w:lang w:eastAsia="en-GB"/>
        </w:rPr>
        <w:endnoteReference w:id="1701"/>
      </w:r>
    </w:p>
    <w:p w:rsidR="006A2E06" w:rsidRPr="002A5D88" w:rsidRDefault="006A2E06" w:rsidP="006A2E06">
      <w:pPr>
        <w:spacing w:after="120" w:line="360" w:lineRule="auto"/>
        <w:ind w:firstLine="567"/>
        <w:jc w:val="both"/>
        <w:rPr>
          <w:rFonts w:eastAsia="Times New Roman"/>
          <w:lang w:eastAsia="en-GB"/>
        </w:rPr>
      </w:pPr>
      <w:r w:rsidRPr="002A5D88">
        <w:rPr>
          <w:rFonts w:eastAsia="Times New Roman"/>
          <w:lang w:eastAsia="en-GB"/>
        </w:rPr>
        <w:lastRenderedPageBreak/>
        <w:t>Ryrie, too, asserts that the apocalyptic events remain for the future.  He states that, if the Old Testament prophecies concerning ‘the promises of the future made to Abraham and David are to be literally fulfilled, then there must be a future period, the millennium, in which they can be fulfilled, for the Church is not now fulfilling them in any literal sense’.</w:t>
      </w:r>
      <w:r w:rsidRPr="002A5D88">
        <w:rPr>
          <w:rStyle w:val="EndnoteReference"/>
          <w:rFonts w:eastAsia="Times New Roman"/>
          <w:lang w:eastAsia="en-GB"/>
        </w:rPr>
        <w:endnoteReference w:id="1702"/>
      </w:r>
      <w:r w:rsidRPr="002A5D88">
        <w:rPr>
          <w:rFonts w:eastAsia="Times New Roman"/>
          <w:lang w:eastAsia="en-GB"/>
        </w:rPr>
        <w:t xml:space="preserve">   </w:t>
      </w:r>
    </w:p>
    <w:p w:rsidR="006A2E06" w:rsidRDefault="006A2E06" w:rsidP="006A2E06">
      <w:pPr>
        <w:spacing w:after="120" w:line="360" w:lineRule="auto"/>
        <w:ind w:firstLine="567"/>
        <w:jc w:val="both"/>
        <w:rPr>
          <w:rFonts w:eastAsia="Times New Roman"/>
          <w:lang w:eastAsia="en-GB"/>
        </w:rPr>
      </w:pPr>
      <w:r>
        <w:rPr>
          <w:rFonts w:eastAsia="Times New Roman"/>
          <w:lang w:eastAsia="en-GB"/>
        </w:rPr>
        <w:t>As a progressive dispensationalist, Saucy takes the view that, whereas the fundamental teaching of traditional dispensationalism is that no part of the Old Testament kingdom predictions are being fulfilled in any way during this age,</w:t>
      </w:r>
      <w:r>
        <w:rPr>
          <w:rStyle w:val="EndnoteReference"/>
          <w:rFonts w:eastAsia="Times New Roman"/>
          <w:lang w:eastAsia="en-GB"/>
        </w:rPr>
        <w:endnoteReference w:id="1703"/>
      </w:r>
      <w:r>
        <w:rPr>
          <w:rFonts w:eastAsia="Times New Roman"/>
          <w:lang w:eastAsia="en-GB"/>
        </w:rPr>
        <w:t xml:space="preserve"> </w:t>
      </w:r>
    </w:p>
    <w:p w:rsidR="006A2E06" w:rsidRDefault="006A2E06" w:rsidP="006A2E06">
      <w:pPr>
        <w:spacing w:after="120" w:line="240" w:lineRule="auto"/>
        <w:ind w:left="1134" w:right="1701"/>
        <w:jc w:val="both"/>
        <w:rPr>
          <w:rFonts w:eastAsia="Times New Roman"/>
          <w:lang w:eastAsia="en-GB"/>
        </w:rPr>
      </w:pPr>
      <w:r>
        <w:rPr>
          <w:rFonts w:eastAsia="Times New Roman"/>
          <w:lang w:eastAsia="en-GB"/>
        </w:rPr>
        <w:t>‘</w:t>
      </w:r>
      <w:proofErr w:type="gramStart"/>
      <w:r>
        <w:rPr>
          <w:rFonts w:eastAsia="Times New Roman"/>
          <w:lang w:eastAsia="en-GB"/>
        </w:rPr>
        <w:t>a</w:t>
      </w:r>
      <w:proofErr w:type="gramEnd"/>
      <w:r>
        <w:rPr>
          <w:rFonts w:eastAsia="Times New Roman"/>
          <w:lang w:eastAsia="en-GB"/>
        </w:rPr>
        <w:t xml:space="preserve"> mediating position … provides a better understanding of Scripture.  This view seeks to maintain a natural understanding of the prophetic Scriptures that appear to assign a significant role to the nation Israel in the future, in accordance with a dispensational system.  But it also sees the program of God as unified within history … and it denies a radical discontinuity between the present church age and the messianic kingdom promises. … This pervasive mediatorial kingdom program, ultimately fulfilled through the reign of Christ, is the theme of Scripture and the unifying principle of all aspects of God’s work in history.</w:t>
      </w:r>
      <w:r>
        <w:rPr>
          <w:rStyle w:val="EndnoteReference"/>
          <w:rFonts w:eastAsia="Times New Roman"/>
          <w:lang w:eastAsia="en-GB"/>
        </w:rPr>
        <w:endnoteReference w:id="1704"/>
      </w:r>
    </w:p>
    <w:p w:rsidR="006A2E06" w:rsidRDefault="006A2E06" w:rsidP="006A2E06">
      <w:pPr>
        <w:spacing w:after="120" w:line="360" w:lineRule="auto"/>
        <w:jc w:val="both"/>
        <w:rPr>
          <w:b/>
          <w:sz w:val="24"/>
        </w:rPr>
      </w:pPr>
      <w:proofErr w:type="gramStart"/>
      <w:r>
        <w:rPr>
          <w:b/>
          <w:sz w:val="24"/>
        </w:rPr>
        <w:t>7</w:t>
      </w:r>
      <w:r w:rsidRPr="009E406F">
        <w:rPr>
          <w:b/>
          <w:sz w:val="24"/>
        </w:rPr>
        <w:t>.</w:t>
      </w:r>
      <w:r>
        <w:rPr>
          <w:b/>
          <w:sz w:val="24"/>
        </w:rPr>
        <w:t>1.2</w:t>
      </w:r>
      <w:r w:rsidRPr="009E406F">
        <w:rPr>
          <w:b/>
          <w:sz w:val="24"/>
        </w:rPr>
        <w:t xml:space="preserve">  Daniel’s</w:t>
      </w:r>
      <w:proofErr w:type="gramEnd"/>
      <w:r w:rsidRPr="009E406F">
        <w:rPr>
          <w:b/>
          <w:sz w:val="24"/>
        </w:rPr>
        <w:t xml:space="preserve"> Seventy Weeks, the Times of the Gentiles and the Great Tribulation</w:t>
      </w:r>
    </w:p>
    <w:p w:rsidR="006A2E06" w:rsidRPr="009E406F" w:rsidRDefault="006A2E06" w:rsidP="006A2E06">
      <w:pPr>
        <w:spacing w:after="120" w:line="360" w:lineRule="auto"/>
        <w:jc w:val="both"/>
      </w:pPr>
      <w:proofErr w:type="gramStart"/>
      <w:r>
        <w:rPr>
          <w:b/>
        </w:rPr>
        <w:t>7</w:t>
      </w:r>
      <w:r w:rsidRPr="009E406F">
        <w:rPr>
          <w:b/>
        </w:rPr>
        <w:t>.</w:t>
      </w:r>
      <w:r>
        <w:rPr>
          <w:b/>
        </w:rPr>
        <w:t>1.</w:t>
      </w:r>
      <w:r w:rsidRPr="009E406F">
        <w:rPr>
          <w:b/>
        </w:rPr>
        <w:t>2.1  Daniel’s</w:t>
      </w:r>
      <w:proofErr w:type="gramEnd"/>
      <w:r w:rsidRPr="009E406F">
        <w:rPr>
          <w:b/>
        </w:rPr>
        <w:t xml:space="preserve"> Seventy Weeks</w:t>
      </w:r>
    </w:p>
    <w:p w:rsidR="006A2E06" w:rsidRDefault="006A2E06" w:rsidP="006A2E06">
      <w:pPr>
        <w:spacing w:after="120" w:line="360" w:lineRule="auto"/>
        <w:jc w:val="both"/>
        <w:rPr>
          <w:rStyle w:val="ind"/>
        </w:rPr>
      </w:pPr>
      <w:r>
        <w:rPr>
          <w:rStyle w:val="ind"/>
        </w:rPr>
        <w:t>The interpretation of the ‘seventy weeks determined upon thy people and upon thy holy city, to finish the transgression, and to make an end of sins, and to make reconciliation for iniquity and to bring in righteousness, and to seal up the vision and prophecy, and to anoint the most Holy’,</w:t>
      </w:r>
      <w:r>
        <w:rPr>
          <w:rStyle w:val="EndnoteReference"/>
        </w:rPr>
        <w:endnoteReference w:id="1705"/>
      </w:r>
      <w:r>
        <w:rPr>
          <w:rStyle w:val="ind"/>
        </w:rPr>
        <w:t xml:space="preserve"> is crucial to dispensational eschatological theory.  These seventy weeks feature prominently in Scofield’s annotation of Daniel 9 and form an important part of his eschatology, supporting his theories of the parenthetical nature of the Church and Israel’s postponed kingdom.  </w:t>
      </w:r>
      <w:r w:rsidRPr="00631643">
        <w:rPr>
          <w:rStyle w:val="ind"/>
        </w:rPr>
        <w:t>Marsden states that ‘the key to understanding the whole dispensational system is a very ingenious and complex interpretation of a prophecy in Daniel 9 concerning “seventy weeks”’.</w:t>
      </w:r>
      <w:r w:rsidRPr="00631643">
        <w:rPr>
          <w:rStyle w:val="EndnoteReference"/>
        </w:rPr>
        <w:endnoteReference w:id="1706"/>
      </w:r>
      <w:r w:rsidRPr="00631643">
        <w:rPr>
          <w:rStyle w:val="ind"/>
        </w:rPr>
        <w:t xml:space="preserve">  </w:t>
      </w:r>
      <w:r>
        <w:rPr>
          <w:rStyle w:val="ind"/>
        </w:rPr>
        <w:t xml:space="preserve">Dispensationalists interpret this prophecy as only partially fulfilled, with realisation of the final week of the seventy still lying in the future and corresponding to the great tribulation, which is to precede the second coming of Christ and his establishment of the millennial kingdom.  Consequently, alternative interpretations, which see the final week as having been fulfilled in the first century CE or earlier, present a significant challenge.  Cox, an amillennialist, states that someone who regards all seventy weeks as ‘a matter of fulfilled prophecy will </w:t>
      </w:r>
      <w:r w:rsidRPr="00B8650C">
        <w:rPr>
          <w:rStyle w:val="ind"/>
        </w:rPr>
        <w:t>have an altogether different approach to the New Testament, and to eschatology in general, than will the person who looks for the seventieth week to be fulfilled out in the future</w:t>
      </w:r>
      <w:r>
        <w:rPr>
          <w:rStyle w:val="ind"/>
        </w:rPr>
        <w:t>’</w:t>
      </w:r>
      <w:r w:rsidRPr="00B8650C">
        <w:rPr>
          <w:rStyle w:val="ind"/>
        </w:rPr>
        <w:t>.</w:t>
      </w:r>
      <w:r>
        <w:rPr>
          <w:rStyle w:val="EndnoteReference"/>
        </w:rPr>
        <w:endnoteReference w:id="1707"/>
      </w:r>
      <w:r>
        <w:rPr>
          <w:rStyle w:val="ind"/>
        </w:rPr>
        <w:t xml:space="preserve">  He contends that ‘Daniel 9 compared with other inspired scriptures, makes plain the conclusion that Daniel prophesied concerning events that took place in connection with the first advent of our Lord, and therefore are matters of history. … Since all seventy of those weeks were fulfilled by our Lord all prophecy concerning Israel </w:t>
      </w:r>
      <w:r w:rsidRPr="00801F88">
        <w:rPr>
          <w:rStyle w:val="ind"/>
          <w:i/>
        </w:rPr>
        <w:t>as a nation</w:t>
      </w:r>
      <w:r>
        <w:rPr>
          <w:rStyle w:val="ind"/>
        </w:rPr>
        <w:t xml:space="preserve"> has already been fulfilled.’</w:t>
      </w:r>
      <w:r>
        <w:rPr>
          <w:rStyle w:val="EndnoteReference"/>
        </w:rPr>
        <w:endnoteReference w:id="1708"/>
      </w:r>
      <w:r>
        <w:rPr>
          <w:rStyle w:val="ind"/>
        </w:rPr>
        <w:t xml:space="preserve">  Cox’s interpretation, along with those of Mathison, who is a postmillennialist, and Joseph Fitzmyer, is discussed below.</w:t>
      </w:r>
    </w:p>
    <w:p w:rsidR="006A2E06" w:rsidRDefault="006A2E06" w:rsidP="006A2E06">
      <w:pPr>
        <w:spacing w:after="120" w:line="360" w:lineRule="auto"/>
        <w:ind w:firstLine="567"/>
        <w:jc w:val="both"/>
        <w:rPr>
          <w:rStyle w:val="ind"/>
        </w:rPr>
      </w:pPr>
      <w:r>
        <w:rPr>
          <w:rStyle w:val="ind"/>
        </w:rPr>
        <w:lastRenderedPageBreak/>
        <w:t xml:space="preserve">The dispensationalist interpretation of Daniel 9 did not begin with Scofield.  Similar perceptions are expressed, for example, in writings by Darby, James Brookes and C. H. Mackintosh.  </w:t>
      </w:r>
      <w:r w:rsidRPr="00631643">
        <w:rPr>
          <w:rStyle w:val="ind"/>
        </w:rPr>
        <w:t>Ironside states that ‘the idea of the cancelled seventieth week of Daniel, beginning after the rapture of the church was suggested by Sir Edward Denny and Mr. Darby’ at ‘the Powerscourt meetings’.</w:t>
      </w:r>
      <w:r w:rsidRPr="00631643">
        <w:rPr>
          <w:rStyle w:val="EndnoteReference"/>
        </w:rPr>
        <w:endnoteReference w:id="1709"/>
      </w:r>
      <w:r w:rsidRPr="00631643">
        <w:rPr>
          <w:rStyle w:val="ind"/>
        </w:rPr>
        <w:t xml:space="preserve">  Darby himself states:</w:t>
      </w:r>
    </w:p>
    <w:p w:rsidR="006A2E06" w:rsidRDefault="006A2E06" w:rsidP="006A2E06">
      <w:pPr>
        <w:spacing w:after="240" w:line="240" w:lineRule="auto"/>
        <w:ind w:left="1134" w:right="1700"/>
        <w:jc w:val="both"/>
      </w:pPr>
      <w:r w:rsidRPr="00631643">
        <w:rPr>
          <w:rFonts w:eastAsia="Times New Roman"/>
          <w:lang w:eastAsia="en-GB"/>
        </w:rPr>
        <w:t xml:space="preserve">We are properly nowhere, save in the extraordinary suspension of prophetic testimony, or period, which comes in between the sixty-ninth and seventieth week of Daniel, or at the end of that age which was running on when Christ was here, the close of which was suspended by His crucifixion; His return to establish it then, according to Acts 3, being precluded by the rejection of the testimony of the Holy Ghost, which followed </w:t>
      </w:r>
      <w:r w:rsidRPr="00012B96">
        <w:rPr>
          <w:sz w:val="16"/>
          <w:szCs w:val="24"/>
        </w:rPr>
        <w:t>—</w:t>
      </w:r>
      <w:r>
        <w:rPr>
          <w:sz w:val="16"/>
          <w:szCs w:val="24"/>
        </w:rPr>
        <w:t xml:space="preserve"> </w:t>
      </w:r>
      <w:r w:rsidRPr="00631643">
        <w:rPr>
          <w:rFonts w:eastAsia="Times New Roman"/>
          <w:lang w:eastAsia="en-GB"/>
        </w:rPr>
        <w:t>finally declared at Stephen's death.</w:t>
      </w:r>
      <w:r>
        <w:rPr>
          <w:rStyle w:val="EndnoteReference"/>
          <w:rFonts w:eastAsia="Times New Roman"/>
          <w:lang w:eastAsia="en-GB"/>
        </w:rPr>
        <w:endnoteReference w:id="1710"/>
      </w:r>
      <w:r w:rsidRPr="00631643">
        <w:t xml:space="preserve">  </w:t>
      </w:r>
    </w:p>
    <w:p w:rsidR="006A2E06" w:rsidRPr="00183A84" w:rsidRDefault="006A2E06" w:rsidP="006A2E06">
      <w:pPr>
        <w:spacing w:after="120" w:line="360" w:lineRule="auto"/>
        <w:jc w:val="both"/>
      </w:pPr>
      <w:r w:rsidRPr="00183A84">
        <w:t xml:space="preserve">He further </w:t>
      </w:r>
      <w:r>
        <w:t>identifies the gap between the sixty-ninth and seventieth weeks as crucial to comprehension of divine-human relationships, stating that</w:t>
      </w:r>
      <w:r w:rsidRPr="00183A84">
        <w:t xml:space="preserve"> ‘This lapse of time, this parenthesis in the ways of God, is brought in, in the most distinct way, at the end of Daniel 9; and I refer to it because we should never understand God's dealings with mankind, unless we get hold of this.’</w:t>
      </w:r>
      <w:r w:rsidRPr="00183A84">
        <w:rPr>
          <w:rStyle w:val="EndnoteReference"/>
        </w:rPr>
        <w:endnoteReference w:id="1711"/>
      </w:r>
    </w:p>
    <w:p w:rsidR="006A2E06" w:rsidRPr="00631643" w:rsidRDefault="006A2E06" w:rsidP="006A2E06">
      <w:pPr>
        <w:spacing w:after="120" w:line="360" w:lineRule="auto"/>
        <w:ind w:firstLine="567"/>
        <w:jc w:val="both"/>
        <w:rPr>
          <w:rStyle w:val="ind"/>
        </w:rPr>
      </w:pPr>
      <w:r w:rsidRPr="00631643">
        <w:rPr>
          <w:rStyle w:val="ind"/>
        </w:rPr>
        <w:t>Brookes argues that Daniel’s seventy weeks</w:t>
      </w:r>
      <w:r>
        <w:rPr>
          <w:rStyle w:val="EndnoteReference"/>
        </w:rPr>
        <w:endnoteReference w:id="1712"/>
      </w:r>
      <w:r>
        <w:rPr>
          <w:rStyle w:val="ind"/>
        </w:rPr>
        <w:t xml:space="preserve"> </w:t>
      </w:r>
      <w:r w:rsidRPr="00631643">
        <w:rPr>
          <w:rStyle w:val="ind"/>
        </w:rPr>
        <w:t xml:space="preserve">commenced in the twentieth year of Artaxerxes, 454 years before Christ’s birth.  Allowing for Christ’s birth </w:t>
      </w:r>
      <w:r>
        <w:rPr>
          <w:rStyle w:val="ind"/>
        </w:rPr>
        <w:t>occurring</w:t>
      </w:r>
      <w:r w:rsidRPr="00631643">
        <w:rPr>
          <w:rStyle w:val="ind"/>
        </w:rPr>
        <w:t xml:space="preserve"> four years earlier than ‘the time assigned in our common chronology’, the crucifixion, or </w:t>
      </w:r>
      <w:r>
        <w:rPr>
          <w:rStyle w:val="ind"/>
        </w:rPr>
        <w:t>time when ‘shall Messiah be cut</w:t>
      </w:r>
      <w:r w:rsidR="00DC422F">
        <w:rPr>
          <w:rStyle w:val="ind"/>
        </w:rPr>
        <w:t xml:space="preserve"> </w:t>
      </w:r>
      <w:r>
        <w:rPr>
          <w:rStyle w:val="ind"/>
        </w:rPr>
        <w:t>off’</w:t>
      </w:r>
      <w:r w:rsidRPr="00631643">
        <w:rPr>
          <w:rStyle w:val="ind"/>
        </w:rPr>
        <w:t xml:space="preserve"> occurred in 29 A.D.  This was ‘483 years, or sixty-nine heptads from the command to restore and build Jerusalem’.  Brookes claims that, according to the ‘correct translation’ given in the marginal notes in ‘our English Bible’,</w:t>
      </w:r>
      <w:r w:rsidRPr="00631643">
        <w:rPr>
          <w:rStyle w:val="EndnoteReference"/>
        </w:rPr>
        <w:endnoteReference w:id="1713"/>
      </w:r>
      <w:r w:rsidRPr="00631643">
        <w:rPr>
          <w:rStyle w:val="ind"/>
        </w:rPr>
        <w:t xml:space="preserve"> ‘the prophecy reaches to the close of the present dispensation, and indicates the overwhelming calamities … which are coming upon the Jews just before the </w:t>
      </w:r>
      <w:proofErr w:type="gramStart"/>
      <w:r w:rsidRPr="00631643">
        <w:rPr>
          <w:rStyle w:val="ind"/>
        </w:rPr>
        <w:t>second advent</w:t>
      </w:r>
      <w:proofErr w:type="gramEnd"/>
      <w:r w:rsidRPr="00631643">
        <w:rPr>
          <w:rStyle w:val="ind"/>
        </w:rPr>
        <w:t>’.  He argues that the sentence, ‘the people of the prince that shall come shall destroy the city and the sanctuary’ indicates that ‘a certain people shall destroy the city, and they shall be the people of a prince that is afterwards to come, or in other words, the Romans will destroy the city, and the prince afterwards to come will be the head of the Roman empire’.  This means that there is a break of undetermined length between ‘the desolation of the city by the people and the coming of the prince’.  The coming prince will ‘confirm a covenant with many for one week, or the seventieth heptad’.  Brookes identifies the prince with the little horn of Daniel 7.</w:t>
      </w:r>
      <w:r w:rsidRPr="00631643">
        <w:rPr>
          <w:rStyle w:val="EndnoteReference"/>
        </w:rPr>
        <w:endnoteReference w:id="1714"/>
      </w:r>
    </w:p>
    <w:p w:rsidR="006A2E06" w:rsidRPr="00631643" w:rsidRDefault="006A2E06" w:rsidP="006A2E06">
      <w:pPr>
        <w:spacing w:after="120" w:line="360" w:lineRule="auto"/>
        <w:ind w:firstLine="567"/>
        <w:jc w:val="both"/>
        <w:rPr>
          <w:rStyle w:val="ind"/>
        </w:rPr>
      </w:pPr>
      <w:r w:rsidRPr="00631643">
        <w:rPr>
          <w:rStyle w:val="ind"/>
        </w:rPr>
        <w:t xml:space="preserve">Mackintosh states that </w:t>
      </w:r>
      <w:r>
        <w:rPr>
          <w:rStyle w:val="ind"/>
        </w:rPr>
        <w:t xml:space="preserve">it is </w:t>
      </w:r>
      <w:r w:rsidRPr="00631643">
        <w:rPr>
          <w:rStyle w:val="ind"/>
        </w:rPr>
        <w:t>‘impossible to read Dan. 9:24</w:t>
      </w:r>
      <w:r>
        <w:rPr>
          <w:rStyle w:val="ind"/>
        </w:rPr>
        <w:t>’ without seeing that</w:t>
      </w:r>
      <w:r w:rsidRPr="00631643">
        <w:rPr>
          <w:rStyle w:val="ind"/>
        </w:rPr>
        <w:t xml:space="preserve"> Gabriel was commissioned to inform Daniel that</w:t>
      </w:r>
      <w:r>
        <w:rPr>
          <w:rStyle w:val="ind"/>
        </w:rPr>
        <w:t xml:space="preserve"> 490 years were to elapse after</w:t>
      </w:r>
      <w:r w:rsidRPr="00631643">
        <w:rPr>
          <w:rStyle w:val="ind"/>
        </w:rPr>
        <w:t xml:space="preserve"> </w:t>
      </w:r>
      <w:r>
        <w:rPr>
          <w:rStyle w:val="ind"/>
        </w:rPr>
        <w:t xml:space="preserve">the decree </w:t>
      </w:r>
      <w:r w:rsidRPr="00631643">
        <w:rPr>
          <w:rStyle w:val="ind"/>
        </w:rPr>
        <w:t>to rebuild Jerusalem</w:t>
      </w:r>
      <w:r>
        <w:rPr>
          <w:rStyle w:val="ind"/>
        </w:rPr>
        <w:t xml:space="preserve"> a</w:t>
      </w:r>
      <w:r w:rsidRPr="00631643">
        <w:rPr>
          <w:rStyle w:val="ind"/>
        </w:rPr>
        <w:t xml:space="preserve">nd that </w:t>
      </w:r>
      <w:r>
        <w:rPr>
          <w:rStyle w:val="ind"/>
        </w:rPr>
        <w:t>‘</w:t>
      </w:r>
      <w:r w:rsidRPr="00631643">
        <w:rPr>
          <w:rStyle w:val="ind"/>
        </w:rPr>
        <w:t xml:space="preserve">then Israel would be brought into blessing’.  Answering the possible objection that these 490 years must have long ago expired, Mackintosh argues that, had this been so, ‘Israel would be now in their own land, under the blessed reign of their own beloved Messiah’.  </w:t>
      </w:r>
      <w:proofErr w:type="gramStart"/>
      <w:r w:rsidRPr="00631643">
        <w:rPr>
          <w:rStyle w:val="ind"/>
        </w:rPr>
        <w:t>However, since Messiah was cut off instead of being received, God ‘[suspended] for a time His dispensational dealings with Israel</w:t>
      </w:r>
      <w:r>
        <w:rPr>
          <w:rStyle w:val="ind"/>
        </w:rPr>
        <w:t>’</w:t>
      </w:r>
      <w:r w:rsidRPr="00631643">
        <w:rPr>
          <w:rStyle w:val="ind"/>
        </w:rPr>
        <w:t>.</w:t>
      </w:r>
      <w:proofErr w:type="gramEnd"/>
      <w:r w:rsidRPr="00631643">
        <w:rPr>
          <w:rStyle w:val="ind"/>
        </w:rPr>
        <w:t xml:space="preserve">  </w:t>
      </w:r>
      <w:r>
        <w:rPr>
          <w:rStyle w:val="ind"/>
        </w:rPr>
        <w:t>‘</w:t>
      </w:r>
      <w:r w:rsidRPr="00631643">
        <w:rPr>
          <w:rStyle w:val="ind"/>
        </w:rPr>
        <w:t>There is a great gap</w:t>
      </w:r>
      <w:r>
        <w:rPr>
          <w:rStyle w:val="ind"/>
        </w:rPr>
        <w:t>’,</w:t>
      </w:r>
      <w:r w:rsidRPr="00631643">
        <w:rPr>
          <w:rStyle w:val="ind"/>
        </w:rPr>
        <w:t xml:space="preserve"> </w:t>
      </w:r>
      <w:r>
        <w:rPr>
          <w:rStyle w:val="ind"/>
        </w:rPr>
        <w:t xml:space="preserve">or </w:t>
      </w:r>
      <w:r w:rsidRPr="00631643">
        <w:rPr>
          <w:rStyle w:val="ind"/>
        </w:rPr>
        <w:t>‘a parenthesis</w:t>
      </w:r>
      <w:r>
        <w:rPr>
          <w:rStyle w:val="ind"/>
        </w:rPr>
        <w:t>, a long unnoticed interval</w:t>
      </w:r>
      <w:r w:rsidRPr="00631643">
        <w:rPr>
          <w:rStyle w:val="ind"/>
        </w:rPr>
        <w:t xml:space="preserve">’.  The 490 years are not yet complete – 483 have passed but seven remain.  The full 490 years will not be accomplished ‘until the church has </w:t>
      </w:r>
      <w:r>
        <w:rPr>
          <w:rStyle w:val="ind"/>
        </w:rPr>
        <w:t>…</w:t>
      </w:r>
      <w:r w:rsidRPr="00631643">
        <w:rPr>
          <w:rStyle w:val="ind"/>
        </w:rPr>
        <w:t xml:space="preserve"> gone to be with </w:t>
      </w:r>
      <w:r w:rsidRPr="00631643">
        <w:rPr>
          <w:rStyle w:val="ind"/>
        </w:rPr>
        <w:lastRenderedPageBreak/>
        <w:t xml:space="preserve">her Lord in her bright heavenly home’, </w:t>
      </w:r>
      <w:r>
        <w:rPr>
          <w:rStyle w:val="ind"/>
        </w:rPr>
        <w:t xml:space="preserve">which is ‘the place the heavenly saints shall occupy during the last of Daniel’s seventy weeks’, </w:t>
      </w:r>
      <w:r w:rsidRPr="00631643">
        <w:rPr>
          <w:rStyle w:val="ind"/>
        </w:rPr>
        <w:t xml:space="preserve">as shown in Revelation 4 and 5.  Revelation 6 – 18 </w:t>
      </w:r>
      <w:proofErr w:type="gramStart"/>
      <w:r w:rsidRPr="00631643">
        <w:rPr>
          <w:rStyle w:val="ind"/>
        </w:rPr>
        <w:t>indicate</w:t>
      </w:r>
      <w:proofErr w:type="gramEnd"/>
      <w:r w:rsidRPr="00631643">
        <w:rPr>
          <w:rStyle w:val="ind"/>
        </w:rPr>
        <w:t xml:space="preserve"> ‘the various actings of God in government, preparing Israel and the earth for the brin</w:t>
      </w:r>
      <w:r>
        <w:rPr>
          <w:rStyle w:val="ind"/>
        </w:rPr>
        <w:t>g</w:t>
      </w:r>
      <w:r w:rsidRPr="00631643">
        <w:rPr>
          <w:rStyle w:val="ind"/>
        </w:rPr>
        <w:t>ing in of the First-begotten in the world</w:t>
      </w:r>
      <w:r>
        <w:rPr>
          <w:rStyle w:val="ind"/>
        </w:rPr>
        <w:t>’</w:t>
      </w:r>
      <w:r w:rsidRPr="00631643">
        <w:rPr>
          <w:rStyle w:val="ind"/>
        </w:rPr>
        <w:t>.</w:t>
      </w:r>
      <w:r w:rsidRPr="00631643">
        <w:rPr>
          <w:rStyle w:val="EndnoteReference"/>
        </w:rPr>
        <w:endnoteReference w:id="1715"/>
      </w:r>
    </w:p>
    <w:p w:rsidR="006A2E06" w:rsidRPr="00C331AA" w:rsidRDefault="006A2E06" w:rsidP="006A2E06">
      <w:pPr>
        <w:spacing w:after="120" w:line="360" w:lineRule="auto"/>
        <w:ind w:right="-29" w:firstLine="567"/>
        <w:jc w:val="both"/>
      </w:pPr>
      <w:r w:rsidRPr="008D2732">
        <w:t xml:space="preserve">It is of paramount importance in Scofield’s interpretation of the seventy weeks that the seventieth week still lies in the future and it is on this that his ecclesiology and eschatology depend.  </w:t>
      </w:r>
      <w:proofErr w:type="gramStart"/>
      <w:r w:rsidRPr="009D654D">
        <w:t>Commenting on Dan. 9:24-27,</w:t>
      </w:r>
      <w:r w:rsidRPr="009D654D">
        <w:rPr>
          <w:rStyle w:val="FootnoteReference"/>
        </w:rPr>
        <w:footnoteReference w:id="88"/>
      </w:r>
      <w:r w:rsidRPr="009D654D">
        <w:t xml:space="preserve"> Scofield </w:t>
      </w:r>
      <w:r>
        <w:t xml:space="preserve">identifies </w:t>
      </w:r>
      <w:r w:rsidRPr="009D654D">
        <w:t xml:space="preserve">the seventy </w:t>
      </w:r>
      <w:r>
        <w:t>‘</w:t>
      </w:r>
      <w:r w:rsidRPr="009D654D">
        <w:t>“weeks”</w:t>
      </w:r>
      <w:r>
        <w:t>’</w:t>
      </w:r>
      <w:r w:rsidRPr="009D654D">
        <w:rPr>
          <w:rStyle w:val="EndnoteReference"/>
        </w:rPr>
        <w:endnoteReference w:id="1716"/>
      </w:r>
      <w:r w:rsidRPr="009D654D">
        <w:t xml:space="preserve"> </w:t>
      </w:r>
      <w:r>
        <w:t>as</w:t>
      </w:r>
      <w:r w:rsidRPr="009D654D">
        <w:t xml:space="preserve"> ‘</w:t>
      </w:r>
      <w:r>
        <w:t>seventy weeks of seven years’.</w:t>
      </w:r>
      <w:proofErr w:type="gramEnd"/>
      <w:r w:rsidRPr="009D654D">
        <w:t xml:space="preserve">  </w:t>
      </w:r>
      <w:r>
        <w:t xml:space="preserve">Following the divisions laid out in Dan. 9:25-7, </w:t>
      </w:r>
      <w:r w:rsidRPr="009D654D">
        <w:t xml:space="preserve">Scofield includes the mathematically </w:t>
      </w:r>
      <w:r w:rsidRPr="00837EFA">
        <w:t>dubious</w:t>
      </w:r>
      <w:r w:rsidRPr="009D654D">
        <w:t xml:space="preserve"> statement that ‘the seventy weeks are divided into seven = 49 years; sixty-two = 434 years; one = 7 years (vv. 25-7)’.</w:t>
      </w:r>
      <w:r w:rsidRPr="009D654D">
        <w:rPr>
          <w:rStyle w:val="EndnoteReference"/>
        </w:rPr>
        <w:endnoteReference w:id="1717"/>
      </w:r>
      <w:r>
        <w:t xml:space="preserve">  </w:t>
      </w:r>
      <w:r w:rsidRPr="00C331AA">
        <w:t>Like Brookes, Scofield pinpoints the decree to rebuild Jerusalem to the twentieth year of Artaxerxes, between 454 and 444 BCE,</w:t>
      </w:r>
      <w:r w:rsidRPr="00C331AA">
        <w:rPr>
          <w:rStyle w:val="EndnoteReference"/>
        </w:rPr>
        <w:endnoteReference w:id="1718"/>
      </w:r>
      <w:r w:rsidRPr="00C331AA">
        <w:t xml:space="preserve"> thus establishing an approximate date for the sequence of the 7, 49 and 434 years, a total of 483 years from the date of the decree to the coming of Messiah.</w:t>
      </w:r>
      <w:r w:rsidRPr="00C331AA">
        <w:rPr>
          <w:rStyle w:val="EndnoteReference"/>
        </w:rPr>
        <w:endnoteReference w:id="1719"/>
      </w:r>
      <w:r w:rsidRPr="00C331AA">
        <w:t xml:space="preserve">  </w:t>
      </w:r>
    </w:p>
    <w:p w:rsidR="006A2E06" w:rsidRDefault="006A2E06" w:rsidP="006A2E06">
      <w:pPr>
        <w:spacing w:after="120" w:line="360" w:lineRule="auto"/>
        <w:ind w:right="-29" w:firstLine="567"/>
        <w:jc w:val="both"/>
      </w:pPr>
      <w:r>
        <w:t>Scofield</w:t>
      </w:r>
      <w:r w:rsidRPr="009D654D">
        <w:t xml:space="preserve"> </w:t>
      </w:r>
      <w:r>
        <w:t>states that ‘verse 26 is an indeterminate period’ and ‘the date of the crucifixion is not fixed.  It is only said to be “after” the threescore and two weeks’.</w:t>
      </w:r>
      <w:r>
        <w:rPr>
          <w:rStyle w:val="EndnoteReference"/>
        </w:rPr>
        <w:endnoteReference w:id="1720"/>
      </w:r>
      <w:r>
        <w:t xml:space="preserve">  He claims that the crucifixion is the ‘first event in verse 26’</w:t>
      </w:r>
      <w:r w:rsidRPr="009D654D">
        <w:rPr>
          <w:rStyle w:val="EndnoteReference"/>
        </w:rPr>
        <w:endnoteReference w:id="1721"/>
      </w:r>
      <w:r w:rsidRPr="009D654D">
        <w:t xml:space="preserve"> </w:t>
      </w:r>
      <w:r>
        <w:t>and that the</w:t>
      </w:r>
      <w:r w:rsidRPr="009D654D">
        <w:t xml:space="preserve"> second</w:t>
      </w:r>
      <w:r>
        <w:t xml:space="preserve"> event is</w:t>
      </w:r>
      <w:r w:rsidRPr="009D654D">
        <w:t xml:space="preserve"> the destruction of Jerusalem</w:t>
      </w:r>
      <w:r>
        <w:t>, ‘fulfilled</w:t>
      </w:r>
      <w:r w:rsidRPr="009D654D">
        <w:t xml:space="preserve"> </w:t>
      </w:r>
      <w:r>
        <w:t>in 70 A.D’</w:t>
      </w:r>
      <w:r w:rsidRPr="009D654D">
        <w:t>.</w:t>
      </w:r>
      <w:r w:rsidRPr="009D654D">
        <w:rPr>
          <w:rStyle w:val="EndnoteReference"/>
        </w:rPr>
        <w:endnoteReference w:id="1722"/>
      </w:r>
      <w:r w:rsidRPr="009D654D">
        <w:t xml:space="preserve">  </w:t>
      </w:r>
      <w:r>
        <w:t xml:space="preserve">‘Then, “unto the end” [is] a period not fixed, but which has already lasted nearly 2000 years.’  </w:t>
      </w:r>
      <w:r w:rsidRPr="00911C5A">
        <w:rPr>
          <w:color w:val="000000"/>
        </w:rPr>
        <w:t>Daniel and the other Old Testament prophets were not informed that ‘during this period should be accomplished the mysteries of the kingdom of Heaven</w:t>
      </w:r>
      <w:r w:rsidRPr="00911C5A">
        <w:rPr>
          <w:rStyle w:val="EndnoteReference"/>
          <w:color w:val="000000"/>
        </w:rPr>
        <w:endnoteReference w:id="1723"/>
      </w:r>
      <w:r w:rsidRPr="00911C5A">
        <w:rPr>
          <w:color w:val="000000"/>
        </w:rPr>
        <w:t xml:space="preserve"> and the outcalling of the Church’.</w:t>
      </w:r>
      <w:r w:rsidRPr="00911C5A">
        <w:rPr>
          <w:rStyle w:val="EndnoteReference"/>
          <w:color w:val="000000"/>
        </w:rPr>
        <w:endnoteReference w:id="1724"/>
      </w:r>
      <w:r w:rsidRPr="00911C5A">
        <w:rPr>
          <w:color w:val="000000"/>
        </w:rPr>
        <w:t xml:space="preserve"> </w:t>
      </w:r>
      <w:r>
        <w:rPr>
          <w:color w:val="000000"/>
        </w:rPr>
        <w:t xml:space="preserve"> Like Darby, Scofield asserts that t</w:t>
      </w:r>
      <w:r w:rsidRPr="009D654D">
        <w:t xml:space="preserve">he whole ‘Church-age’ </w:t>
      </w:r>
      <w:r>
        <w:t>constitutes</w:t>
      </w:r>
      <w:r w:rsidRPr="009D654D">
        <w:t xml:space="preserve"> a hiatus between the sixty-ninth and seventieth weeks, the time of its termination and the start of the seventieth week being ‘nowhere revealed’</w:t>
      </w:r>
      <w:r w:rsidRPr="00390FF3">
        <w:t>.</w:t>
      </w:r>
      <w:r w:rsidRPr="00390FF3">
        <w:rPr>
          <w:rStyle w:val="EndnoteReference"/>
        </w:rPr>
        <w:endnoteReference w:id="1725"/>
      </w:r>
      <w:r w:rsidRPr="00390FF3">
        <w:t xml:space="preserve">  </w:t>
      </w:r>
      <w:r>
        <w:t>However, as discussed in Chapter 6, this time is fixed by the pretribulational removal of the true church, which may occur at any time.  Daniel’s final week constitutes the great tribulation, which will be discussed below.</w:t>
      </w:r>
    </w:p>
    <w:p w:rsidR="006A2E06" w:rsidRDefault="006A2E06" w:rsidP="006A2E06">
      <w:pPr>
        <w:pStyle w:val="FootnoteText"/>
        <w:spacing w:after="120" w:line="360" w:lineRule="auto"/>
        <w:ind w:firstLine="567"/>
        <w:jc w:val="both"/>
        <w:rPr>
          <w:rFonts w:ascii="Perpetua" w:hAnsi="Perpetua"/>
          <w:sz w:val="22"/>
          <w:szCs w:val="22"/>
        </w:rPr>
      </w:pPr>
      <w:r>
        <w:rPr>
          <w:rFonts w:ascii="Perpetua" w:hAnsi="Perpetua"/>
          <w:sz w:val="22"/>
          <w:szCs w:val="22"/>
        </w:rPr>
        <w:t>In stating that ‘the “he” of verse 27 is the “prince that shall come” of verse 26, whose people (Rome) destroyed the temple, A.D. 70’, Scofield reaffirms Brookes</w:t>
      </w:r>
      <w:r w:rsidR="00F321A0">
        <w:rPr>
          <w:rFonts w:ascii="Perpetua" w:hAnsi="Perpetua"/>
          <w:sz w:val="22"/>
          <w:szCs w:val="22"/>
        </w:rPr>
        <w:t>’</w:t>
      </w:r>
      <w:r>
        <w:rPr>
          <w:rFonts w:ascii="Perpetua" w:hAnsi="Perpetua"/>
          <w:sz w:val="22"/>
          <w:szCs w:val="22"/>
        </w:rPr>
        <w:t xml:space="preserve"> claim that the Romans destroyed Jerusalem and that the head of the Roman empire will be the prince to come.  This illustrates Scofield’s theory concerning the revival of the Roman Empire which he advanced in his notes on Daniel 2 regarding the </w:t>
      </w:r>
      <w:r>
        <w:rPr>
          <w:rFonts w:ascii="Perpetua" w:hAnsi="Perpetua"/>
          <w:sz w:val="22"/>
          <w:szCs w:val="22"/>
        </w:rPr>
        <w:lastRenderedPageBreak/>
        <w:t>Gentile empires.</w:t>
      </w:r>
      <w:r>
        <w:rPr>
          <w:rStyle w:val="EndnoteReference"/>
          <w:rFonts w:ascii="Perpetua" w:hAnsi="Perpetua"/>
          <w:sz w:val="22"/>
          <w:szCs w:val="22"/>
        </w:rPr>
        <w:endnoteReference w:id="1726"/>
      </w:r>
      <w:r>
        <w:rPr>
          <w:rFonts w:ascii="Perpetua" w:hAnsi="Perpetua"/>
          <w:sz w:val="22"/>
          <w:szCs w:val="22"/>
        </w:rPr>
        <w:t xml:space="preserve">  It is also significant that he identifies the prince of verse 26 with a future Roman leader rather than the Messiah.  </w:t>
      </w:r>
      <w:r w:rsidRPr="008D2732">
        <w:rPr>
          <w:rFonts w:ascii="Perpetua" w:eastAsia="Perpetua" w:hAnsi="Perpetua" w:cs="Perpetua"/>
          <w:sz w:val="22"/>
          <w:szCs w:val="22"/>
        </w:rPr>
        <w:t>Cox</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emphasises</w:t>
      </w:r>
      <w:r w:rsidRPr="008D2732">
        <w:rPr>
          <w:rFonts w:ascii="Perpetua" w:eastAsia="Perpetua" w:hAnsi="Perpetua" w:cs="Perpetua"/>
          <w:spacing w:val="9"/>
          <w:sz w:val="22"/>
          <w:szCs w:val="22"/>
        </w:rPr>
        <w:t xml:space="preserve"> </w:t>
      </w:r>
      <w:r w:rsidRPr="008D2732">
        <w:rPr>
          <w:rFonts w:ascii="Perpetua" w:eastAsia="Perpetua" w:hAnsi="Perpetua" w:cs="Perpetua"/>
          <w:sz w:val="22"/>
          <w:szCs w:val="22"/>
        </w:rPr>
        <w:t>that</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historic</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view</w:t>
      </w:r>
      <w:r w:rsidRPr="008D2732">
        <w:rPr>
          <w:rFonts w:ascii="Perpetua" w:eastAsia="Perpetua" w:hAnsi="Perpetua" w:cs="Perpetua"/>
          <w:spacing w:val="11"/>
          <w:sz w:val="22"/>
          <w:szCs w:val="22"/>
        </w:rPr>
        <w:t xml:space="preserve"> </w:t>
      </w:r>
      <w:r w:rsidRPr="008D2732">
        <w:rPr>
          <w:rFonts w:ascii="Perpetua" w:eastAsia="Perpetua" w:hAnsi="Perpetua" w:cs="Perpetua"/>
          <w:sz w:val="22"/>
          <w:szCs w:val="22"/>
        </w:rPr>
        <w:t>of</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church</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always</w:t>
      </w:r>
      <w:r w:rsidRPr="008D2732">
        <w:rPr>
          <w:rFonts w:ascii="Perpetua" w:eastAsia="Perpetua" w:hAnsi="Perpetua" w:cs="Perpetua"/>
          <w:spacing w:val="9"/>
          <w:sz w:val="22"/>
          <w:szCs w:val="22"/>
        </w:rPr>
        <w:t xml:space="preserve"> </w:t>
      </w:r>
      <w:r w:rsidRPr="008D2732">
        <w:rPr>
          <w:rFonts w:ascii="Perpetua" w:eastAsia="Perpetua" w:hAnsi="Perpetua" w:cs="Perpetua"/>
          <w:spacing w:val="-1"/>
          <w:sz w:val="22"/>
          <w:szCs w:val="22"/>
        </w:rPr>
        <w:t>has</w:t>
      </w:r>
      <w:r w:rsidRPr="008D2732">
        <w:rPr>
          <w:rFonts w:ascii="Perpetua" w:eastAsia="Perpetua" w:hAnsi="Perpetua" w:cs="Perpetua"/>
          <w:spacing w:val="9"/>
          <w:sz w:val="22"/>
          <w:szCs w:val="22"/>
        </w:rPr>
        <w:t xml:space="preserve"> </w:t>
      </w:r>
      <w:r w:rsidRPr="008D2732">
        <w:rPr>
          <w:rFonts w:ascii="Perpetua" w:eastAsia="Perpetua" w:hAnsi="Perpetua" w:cs="Perpetua"/>
          <w:spacing w:val="-1"/>
          <w:sz w:val="22"/>
          <w:szCs w:val="22"/>
        </w:rPr>
        <w:t>been</w:t>
      </w:r>
      <w:r w:rsidRPr="008D2732">
        <w:rPr>
          <w:rFonts w:ascii="Perpetua" w:eastAsia="Perpetua" w:hAnsi="Perpetua" w:cs="Perpetua"/>
          <w:spacing w:val="12"/>
          <w:sz w:val="22"/>
          <w:szCs w:val="22"/>
        </w:rPr>
        <w:t xml:space="preserve"> </w:t>
      </w:r>
      <w:r w:rsidRPr="008D2732">
        <w:rPr>
          <w:rFonts w:ascii="Perpetua" w:eastAsia="Perpetua" w:hAnsi="Perpetua" w:cs="Perpetua"/>
          <w:spacing w:val="-1"/>
          <w:sz w:val="22"/>
          <w:szCs w:val="22"/>
        </w:rPr>
        <w:t>that</w:t>
      </w:r>
      <w:r w:rsidRPr="008D2732">
        <w:rPr>
          <w:rFonts w:ascii="Perpetua" w:eastAsia="Perpetua" w:hAnsi="Perpetua" w:cs="Perpetua"/>
          <w:spacing w:val="10"/>
          <w:sz w:val="22"/>
          <w:szCs w:val="22"/>
        </w:rPr>
        <w:t xml:space="preserve"> </w:t>
      </w:r>
      <w:r w:rsidRPr="008D2732">
        <w:rPr>
          <w:rFonts w:ascii="Perpetua" w:eastAsia="Perpetua" w:hAnsi="Perpetua" w:cs="Perpetua"/>
          <w:spacing w:val="-1"/>
          <w:sz w:val="22"/>
          <w:szCs w:val="22"/>
        </w:rPr>
        <w:t>[the</w:t>
      </w:r>
      <w:r w:rsidRPr="008D2732">
        <w:rPr>
          <w:rFonts w:ascii="Perpetua" w:eastAsia="Perpetua" w:hAnsi="Perpetua" w:cs="Perpetua"/>
          <w:spacing w:val="9"/>
          <w:sz w:val="22"/>
          <w:szCs w:val="22"/>
        </w:rPr>
        <w:t xml:space="preserve"> </w:t>
      </w:r>
      <w:r w:rsidRPr="008D2732">
        <w:rPr>
          <w:rFonts w:ascii="Perpetua" w:eastAsia="Perpetua" w:hAnsi="Perpetua" w:cs="Perpetua"/>
          <w:spacing w:val="-1"/>
          <w:sz w:val="22"/>
          <w:szCs w:val="22"/>
        </w:rPr>
        <w:t>‘he’</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in</w:t>
      </w:r>
      <w:r w:rsidRPr="008D2732">
        <w:rPr>
          <w:rFonts w:ascii="Perpetua" w:eastAsia="Perpetua" w:hAnsi="Perpetua" w:cs="Perpetua"/>
          <w:spacing w:val="10"/>
          <w:sz w:val="22"/>
          <w:szCs w:val="22"/>
        </w:rPr>
        <w:t xml:space="preserve"> </w:t>
      </w:r>
      <w:r w:rsidRPr="008D2732">
        <w:rPr>
          <w:rFonts w:ascii="Perpetua" w:eastAsia="Perpetua" w:hAnsi="Perpetua" w:cs="Perpetua"/>
          <w:sz w:val="22"/>
          <w:szCs w:val="22"/>
        </w:rPr>
        <w:t>Dan.</w:t>
      </w:r>
      <w:r w:rsidRPr="008D2732">
        <w:rPr>
          <w:rFonts w:ascii="Perpetua" w:eastAsia="Perpetua" w:hAnsi="Perpetua" w:cs="Perpetua"/>
          <w:spacing w:val="10"/>
          <w:sz w:val="22"/>
          <w:szCs w:val="22"/>
        </w:rPr>
        <w:t xml:space="preserve"> </w:t>
      </w:r>
      <w:r w:rsidRPr="008D2732">
        <w:rPr>
          <w:rFonts w:ascii="Perpetua" w:eastAsia="Perpetua" w:hAnsi="Perpetua" w:cs="Perpetua"/>
          <w:spacing w:val="-1"/>
          <w:sz w:val="22"/>
          <w:szCs w:val="22"/>
        </w:rPr>
        <w:t>9:27]</w:t>
      </w:r>
      <w:r w:rsidRPr="008D2732">
        <w:rPr>
          <w:rFonts w:ascii="Perpetua" w:eastAsia="Perpetua" w:hAnsi="Perpetua" w:cs="Perpetua"/>
          <w:spacing w:val="37"/>
          <w:w w:val="99"/>
          <w:sz w:val="22"/>
          <w:szCs w:val="22"/>
        </w:rPr>
        <w:t xml:space="preserve"> </w:t>
      </w:r>
      <w:r w:rsidRPr="008D2732">
        <w:rPr>
          <w:rFonts w:ascii="Perpetua" w:eastAsia="Perpetua" w:hAnsi="Perpetua" w:cs="Perpetua"/>
          <w:spacing w:val="-1"/>
          <w:sz w:val="22"/>
          <w:szCs w:val="22"/>
        </w:rPr>
        <w:t>refers</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back</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to</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anointed</w:t>
      </w:r>
      <w:r w:rsidRPr="008D2732">
        <w:rPr>
          <w:rFonts w:ascii="Perpetua" w:eastAsia="Perpetua" w:hAnsi="Perpetua" w:cs="Perpetua"/>
          <w:spacing w:val="3"/>
          <w:sz w:val="22"/>
          <w:szCs w:val="22"/>
        </w:rPr>
        <w:t xml:space="preserve"> </w:t>
      </w:r>
      <w:r w:rsidRPr="008D2732">
        <w:rPr>
          <w:rFonts w:ascii="Perpetua" w:eastAsia="Perpetua" w:hAnsi="Perpetua" w:cs="Perpetua"/>
          <w:sz w:val="22"/>
          <w:szCs w:val="22"/>
        </w:rPr>
        <w:t>one</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Messiah)</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of</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verse</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26’,</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whereas</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the</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dispensationalist</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view</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‘insists</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that</w:t>
      </w:r>
      <w:r w:rsidRPr="008D2732">
        <w:rPr>
          <w:rFonts w:ascii="Perpetua" w:eastAsia="Perpetua" w:hAnsi="Perpetua" w:cs="Perpetua"/>
          <w:spacing w:val="53"/>
          <w:w w:val="99"/>
          <w:sz w:val="22"/>
          <w:szCs w:val="22"/>
        </w:rPr>
        <w:t xml:space="preserve"> </w:t>
      </w:r>
      <w:r w:rsidRPr="008D2732">
        <w:rPr>
          <w:rFonts w:ascii="Perpetua" w:eastAsia="Perpetua" w:hAnsi="Perpetua" w:cs="Perpetua"/>
          <w:sz w:val="22"/>
          <w:szCs w:val="22"/>
        </w:rPr>
        <w:t>verse</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27</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takes</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up a</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completely</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new</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subject</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by</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beginning to</w:t>
      </w:r>
      <w:r w:rsidRPr="008D2732">
        <w:rPr>
          <w:rFonts w:ascii="Perpetua" w:eastAsia="Perpetua" w:hAnsi="Perpetua" w:cs="Perpetua"/>
          <w:spacing w:val="-1"/>
          <w:sz w:val="22"/>
          <w:szCs w:val="22"/>
        </w:rPr>
        <w:t xml:space="preserve"> predict</w:t>
      </w:r>
      <w:r w:rsidRPr="008D2732">
        <w:rPr>
          <w:rFonts w:ascii="Perpetua" w:eastAsia="Perpetua" w:hAnsi="Perpetua" w:cs="Perpetua"/>
          <w:sz w:val="22"/>
          <w:szCs w:val="22"/>
        </w:rPr>
        <w:t xml:space="preserve"> </w:t>
      </w:r>
      <w:r w:rsidRPr="008D2732">
        <w:rPr>
          <w:rFonts w:ascii="Perpetua" w:eastAsia="Perpetua" w:hAnsi="Perpetua" w:cs="Perpetua"/>
          <w:spacing w:val="-1"/>
          <w:sz w:val="22"/>
          <w:szCs w:val="22"/>
        </w:rPr>
        <w:t xml:space="preserve">the antichrist, who </w:t>
      </w:r>
      <w:r w:rsidRPr="008D2732">
        <w:rPr>
          <w:rFonts w:ascii="Perpetua" w:eastAsia="Perpetua" w:hAnsi="Perpetua" w:cs="Perpetua"/>
          <w:sz w:val="22"/>
          <w:szCs w:val="22"/>
        </w:rPr>
        <w:t>is</w:t>
      </w:r>
      <w:r w:rsidRPr="008D2732">
        <w:rPr>
          <w:rFonts w:ascii="Perpetua" w:eastAsia="Perpetua" w:hAnsi="Perpetua" w:cs="Perpetua"/>
          <w:spacing w:val="-1"/>
          <w:sz w:val="22"/>
          <w:szCs w:val="22"/>
        </w:rPr>
        <w:t xml:space="preserve"> to appear </w:t>
      </w:r>
      <w:r w:rsidRPr="008D2732">
        <w:rPr>
          <w:rFonts w:ascii="Perpetua" w:eastAsia="Perpetua" w:hAnsi="Perpetua" w:cs="Perpetua"/>
          <w:sz w:val="22"/>
          <w:szCs w:val="22"/>
        </w:rPr>
        <w:t>before</w:t>
      </w:r>
      <w:r w:rsidRPr="008D2732">
        <w:rPr>
          <w:rFonts w:ascii="Perpetua" w:eastAsia="Perpetua" w:hAnsi="Perpetua" w:cs="Perpetua"/>
          <w:spacing w:val="29"/>
          <w:w w:val="99"/>
          <w:sz w:val="22"/>
          <w:szCs w:val="22"/>
        </w:rPr>
        <w:t xml:space="preserve"> </w:t>
      </w:r>
      <w:r w:rsidRPr="008D2732">
        <w:rPr>
          <w:rFonts w:ascii="Perpetua" w:eastAsia="Perpetua" w:hAnsi="Perpetua" w:cs="Perpetua"/>
          <w:sz w:val="22"/>
          <w:szCs w:val="22"/>
        </w:rPr>
        <w:t>the second</w:t>
      </w:r>
      <w:r w:rsidRPr="008D2732">
        <w:rPr>
          <w:rFonts w:ascii="Perpetua" w:eastAsia="Perpetua" w:hAnsi="Perpetua" w:cs="Perpetua"/>
          <w:spacing w:val="1"/>
          <w:sz w:val="22"/>
          <w:szCs w:val="22"/>
        </w:rPr>
        <w:t xml:space="preserve"> </w:t>
      </w:r>
      <w:r w:rsidRPr="008D2732">
        <w:rPr>
          <w:rFonts w:ascii="Perpetua" w:eastAsia="Perpetua" w:hAnsi="Perpetua" w:cs="Perpetua"/>
          <w:spacing w:val="-1"/>
          <w:sz w:val="22"/>
          <w:szCs w:val="22"/>
        </w:rPr>
        <w:t>coming</w:t>
      </w:r>
      <w:r w:rsidRPr="008D2732">
        <w:rPr>
          <w:rFonts w:ascii="Perpetua" w:eastAsia="Perpetua" w:hAnsi="Perpetua" w:cs="Perpetua"/>
          <w:sz w:val="22"/>
          <w:szCs w:val="22"/>
        </w:rPr>
        <w:t xml:space="preserve"> of </w:t>
      </w:r>
      <w:r w:rsidRPr="008D2732">
        <w:rPr>
          <w:rFonts w:ascii="Perpetua" w:eastAsia="Perpetua" w:hAnsi="Perpetua" w:cs="Perpetua"/>
          <w:spacing w:val="-1"/>
          <w:sz w:val="22"/>
          <w:szCs w:val="22"/>
        </w:rPr>
        <w:t>Christ’.</w:t>
      </w:r>
      <w:r w:rsidRPr="008D2732">
        <w:rPr>
          <w:rFonts w:ascii="Perpetua" w:eastAsia="Perpetua" w:hAnsi="Perpetua" w:cs="Perpetua"/>
          <w:spacing w:val="1"/>
          <w:sz w:val="22"/>
          <w:szCs w:val="22"/>
        </w:rPr>
        <w:t xml:space="preserve"> </w:t>
      </w:r>
      <w:r w:rsidRPr="008D2732">
        <w:rPr>
          <w:rFonts w:ascii="Perpetua" w:eastAsia="Perpetua" w:hAnsi="Perpetua" w:cs="Perpetua"/>
          <w:spacing w:val="-1"/>
          <w:sz w:val="22"/>
          <w:szCs w:val="22"/>
        </w:rPr>
        <w:t>Cox</w:t>
      </w:r>
      <w:r w:rsidRPr="008D2732">
        <w:rPr>
          <w:rFonts w:ascii="Perpetua" w:eastAsia="Perpetua" w:hAnsi="Perpetua" w:cs="Perpetua"/>
          <w:sz w:val="22"/>
          <w:szCs w:val="22"/>
        </w:rPr>
        <w:t xml:space="preserve"> avers</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that ‘there is absolutely</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no scriptural justification for saying</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that</w:t>
      </w:r>
      <w:r w:rsidRPr="008D2732">
        <w:rPr>
          <w:rFonts w:ascii="Perpetua" w:eastAsia="Perpetua" w:hAnsi="Perpetua" w:cs="Perpetua"/>
          <w:spacing w:val="30"/>
          <w:w w:val="99"/>
          <w:sz w:val="22"/>
          <w:szCs w:val="22"/>
        </w:rPr>
        <w:t xml:space="preserve"> </w:t>
      </w:r>
      <w:r w:rsidRPr="008D2732">
        <w:rPr>
          <w:rFonts w:ascii="Perpetua" w:eastAsia="Perpetua" w:hAnsi="Perpetua" w:cs="Perpetua"/>
          <w:sz w:val="22"/>
          <w:szCs w:val="22"/>
        </w:rPr>
        <w:t>Daniel</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speaks</w:t>
      </w:r>
      <w:r w:rsidRPr="008D2732">
        <w:rPr>
          <w:rFonts w:ascii="Perpetua" w:eastAsia="Perpetua" w:hAnsi="Perpetua" w:cs="Perpetua"/>
          <w:spacing w:val="1"/>
          <w:sz w:val="22"/>
          <w:szCs w:val="22"/>
        </w:rPr>
        <w:t xml:space="preserve"> </w:t>
      </w:r>
      <w:r w:rsidRPr="008D2732">
        <w:rPr>
          <w:rFonts w:ascii="Perpetua" w:eastAsia="Perpetua" w:hAnsi="Perpetua" w:cs="Perpetua"/>
          <w:spacing w:val="-1"/>
          <w:sz w:val="22"/>
          <w:szCs w:val="22"/>
        </w:rPr>
        <w:t>in</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one</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breath</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of</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first</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coming</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and</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crucifixion</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of</w:t>
      </w:r>
      <w:r w:rsidRPr="008D2732">
        <w:rPr>
          <w:rFonts w:ascii="Perpetua" w:eastAsia="Perpetua" w:hAnsi="Perpetua" w:cs="Perpetua"/>
          <w:spacing w:val="2"/>
          <w:sz w:val="22"/>
          <w:szCs w:val="22"/>
        </w:rPr>
        <w:t xml:space="preserve"> </w:t>
      </w:r>
      <w:r w:rsidRPr="008D2732">
        <w:rPr>
          <w:rFonts w:ascii="Perpetua" w:eastAsia="Perpetua" w:hAnsi="Perpetua" w:cs="Perpetua"/>
          <w:spacing w:val="-1"/>
          <w:sz w:val="22"/>
          <w:szCs w:val="22"/>
        </w:rPr>
        <w:t>Christ,</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then</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in</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next</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breath</w:t>
      </w:r>
      <w:r w:rsidRPr="008D2732">
        <w:rPr>
          <w:rFonts w:ascii="Perpetua" w:eastAsia="Perpetua" w:hAnsi="Perpetua" w:cs="Perpetua"/>
          <w:spacing w:val="1"/>
          <w:sz w:val="22"/>
          <w:szCs w:val="22"/>
        </w:rPr>
        <w:t xml:space="preserve"> </w:t>
      </w:r>
      <w:r w:rsidRPr="008D2732">
        <w:rPr>
          <w:rFonts w:ascii="Perpetua" w:eastAsia="Perpetua" w:hAnsi="Perpetua" w:cs="Perpetua"/>
          <w:sz w:val="22"/>
          <w:szCs w:val="22"/>
        </w:rPr>
        <w:t>jumps</w:t>
      </w:r>
      <w:r w:rsidRPr="008D2732">
        <w:rPr>
          <w:rFonts w:ascii="Perpetua" w:eastAsia="Perpetua" w:hAnsi="Perpetua" w:cs="Perpetua"/>
          <w:spacing w:val="2"/>
          <w:sz w:val="22"/>
          <w:szCs w:val="22"/>
        </w:rPr>
        <w:t xml:space="preserve"> </w:t>
      </w:r>
      <w:r w:rsidRPr="008D2732">
        <w:rPr>
          <w:rFonts w:ascii="Perpetua" w:eastAsia="Perpetua" w:hAnsi="Perpetua" w:cs="Perpetua"/>
          <w:sz w:val="22"/>
          <w:szCs w:val="22"/>
        </w:rPr>
        <w:t>to</w:t>
      </w:r>
      <w:r w:rsidRPr="008D2732">
        <w:rPr>
          <w:rFonts w:ascii="Perpetua" w:eastAsia="Perpetua" w:hAnsi="Perpetua" w:cs="Perpetua"/>
          <w:spacing w:val="29"/>
          <w:w w:val="99"/>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8"/>
          <w:sz w:val="22"/>
          <w:szCs w:val="22"/>
        </w:rPr>
        <w:t xml:space="preserve"> </w:t>
      </w:r>
      <w:r w:rsidRPr="008D2732">
        <w:rPr>
          <w:rFonts w:ascii="Perpetua" w:eastAsia="Perpetua" w:hAnsi="Perpetua" w:cs="Perpetua"/>
          <w:sz w:val="22"/>
          <w:szCs w:val="22"/>
        </w:rPr>
        <w:t>subject</w:t>
      </w:r>
      <w:r w:rsidRPr="008D2732">
        <w:rPr>
          <w:rFonts w:ascii="Perpetua" w:eastAsia="Perpetua" w:hAnsi="Perpetua" w:cs="Perpetua"/>
          <w:spacing w:val="9"/>
          <w:sz w:val="22"/>
          <w:szCs w:val="22"/>
        </w:rPr>
        <w:t xml:space="preserve"> </w:t>
      </w:r>
      <w:r w:rsidRPr="008D2732">
        <w:rPr>
          <w:rFonts w:ascii="Perpetua" w:eastAsia="Perpetua" w:hAnsi="Perpetua" w:cs="Perpetua"/>
          <w:spacing w:val="-1"/>
          <w:sz w:val="22"/>
          <w:szCs w:val="22"/>
        </w:rPr>
        <w:t>of</w:t>
      </w:r>
      <w:r w:rsidRPr="008D2732">
        <w:rPr>
          <w:rFonts w:ascii="Perpetua" w:eastAsia="Perpetua" w:hAnsi="Perpetua" w:cs="Perpetua"/>
          <w:spacing w:val="8"/>
          <w:sz w:val="22"/>
          <w:szCs w:val="22"/>
        </w:rPr>
        <w:t xml:space="preserve"> </w:t>
      </w:r>
      <w:r w:rsidRPr="008D2732">
        <w:rPr>
          <w:rFonts w:ascii="Perpetua" w:eastAsia="Perpetua" w:hAnsi="Perpetua" w:cs="Perpetua"/>
          <w:sz w:val="22"/>
          <w:szCs w:val="22"/>
        </w:rPr>
        <w:t>the</w:t>
      </w:r>
      <w:r w:rsidRPr="008D2732">
        <w:rPr>
          <w:rFonts w:ascii="Perpetua" w:eastAsia="Perpetua" w:hAnsi="Perpetua" w:cs="Perpetua"/>
          <w:spacing w:val="9"/>
          <w:sz w:val="22"/>
          <w:szCs w:val="22"/>
        </w:rPr>
        <w:t xml:space="preserve"> </w:t>
      </w:r>
      <w:r w:rsidRPr="008D2732">
        <w:rPr>
          <w:rFonts w:ascii="Perpetua" w:eastAsia="Perpetua" w:hAnsi="Perpetua" w:cs="Perpetua"/>
          <w:sz w:val="22"/>
          <w:szCs w:val="22"/>
        </w:rPr>
        <w:t>second</w:t>
      </w:r>
      <w:r w:rsidRPr="008D2732">
        <w:rPr>
          <w:rFonts w:ascii="Perpetua" w:eastAsia="Perpetua" w:hAnsi="Perpetua" w:cs="Perpetua"/>
          <w:spacing w:val="8"/>
          <w:sz w:val="22"/>
          <w:szCs w:val="22"/>
        </w:rPr>
        <w:t xml:space="preserve"> </w:t>
      </w:r>
      <w:r>
        <w:rPr>
          <w:rFonts w:ascii="Perpetua" w:eastAsia="Perpetua" w:hAnsi="Perpetua" w:cs="Perpetua"/>
          <w:spacing w:val="-1"/>
          <w:sz w:val="22"/>
          <w:szCs w:val="22"/>
        </w:rPr>
        <w:t>coming’.</w:t>
      </w:r>
      <w:r w:rsidRPr="008D2732">
        <w:rPr>
          <w:rStyle w:val="EndnoteReference"/>
          <w:rFonts w:ascii="Perpetua" w:eastAsia="Perpetua" w:hAnsi="Perpetua" w:cs="Perpetua"/>
          <w:spacing w:val="-1"/>
          <w:sz w:val="22"/>
          <w:szCs w:val="22"/>
        </w:rPr>
        <w:endnoteReference w:id="1727"/>
      </w:r>
      <w:r w:rsidRPr="008D2732">
        <w:rPr>
          <w:rFonts w:ascii="Perpetua" w:eastAsia="Perpetua" w:hAnsi="Perpetua" w:cs="Perpetua"/>
          <w:spacing w:val="-1"/>
          <w:sz w:val="22"/>
          <w:szCs w:val="22"/>
        </w:rPr>
        <w:t xml:space="preserve"> </w:t>
      </w:r>
      <w:r w:rsidRPr="008D2732">
        <w:rPr>
          <w:rFonts w:ascii="Perpetua" w:hAnsi="Perpetua"/>
          <w:sz w:val="22"/>
          <w:szCs w:val="22"/>
        </w:rPr>
        <w:t xml:space="preserve"> </w:t>
      </w:r>
      <w:r>
        <w:rPr>
          <w:rFonts w:ascii="Perpetua" w:hAnsi="Perpetua"/>
          <w:sz w:val="22"/>
          <w:szCs w:val="22"/>
        </w:rPr>
        <w:t xml:space="preserve">This forms another part of Cox’s evidence for his assertion that the seventy weeks were completed in C1 CE.  </w:t>
      </w:r>
    </w:p>
    <w:p w:rsidR="006A2E06" w:rsidRDefault="006A2E06" w:rsidP="006A2E06">
      <w:pPr>
        <w:spacing w:after="120" w:line="360" w:lineRule="auto"/>
        <w:ind w:firstLine="567"/>
        <w:jc w:val="both"/>
      </w:pPr>
      <w:r w:rsidRPr="00EE1F2A">
        <w:t xml:space="preserve">It seems that Daniel’s seventy weeks do not play such a prominent role in writings by later dispensationalists even though it appears that, as late as 1982, in </w:t>
      </w:r>
      <w:r w:rsidRPr="00EE1F2A">
        <w:rPr>
          <w:i/>
        </w:rPr>
        <w:t>Millennialism, The Two Major Views</w:t>
      </w:r>
      <w:r w:rsidRPr="00EE1F2A">
        <w:t>, Charles Feinberg does still makes several references to the sixty-nine and seventy weeks.</w:t>
      </w:r>
      <w:r w:rsidRPr="00EE1F2A">
        <w:rPr>
          <w:rStyle w:val="EndnoteReference"/>
        </w:rPr>
        <w:endnoteReference w:id="1728"/>
      </w:r>
      <w:r w:rsidRPr="00EE1F2A">
        <w:t xml:space="preserve">  However, this book, under the title, </w:t>
      </w:r>
      <w:r w:rsidRPr="00EE1F2A">
        <w:rPr>
          <w:i/>
        </w:rPr>
        <w:t xml:space="preserve">Premillennialism or Amillennialism? </w:t>
      </w:r>
      <w:proofErr w:type="gramStart"/>
      <w:r w:rsidRPr="00EE1F2A">
        <w:t>was</w:t>
      </w:r>
      <w:proofErr w:type="gramEnd"/>
      <w:r w:rsidRPr="00EE1F2A">
        <w:t xml:space="preserve"> first published in 1936.</w:t>
      </w:r>
      <w:r w:rsidRPr="00EE1F2A">
        <w:rPr>
          <w:rStyle w:val="EndnoteReference"/>
        </w:rPr>
        <w:endnoteReference w:id="1729"/>
      </w:r>
      <w:r w:rsidRPr="00EE1F2A">
        <w:t xml:space="preserve">  Chafer does not focus on the seventy weeks in his </w:t>
      </w:r>
      <w:r w:rsidRPr="00EE1F2A">
        <w:rPr>
          <w:i/>
        </w:rPr>
        <w:t>Major Bible Themes</w:t>
      </w:r>
      <w:r w:rsidRPr="00EE1F2A">
        <w:t>; he only mentions them briefly with reference to the dispensation of law.</w:t>
      </w:r>
      <w:r w:rsidRPr="00EE1F2A">
        <w:rPr>
          <w:rStyle w:val="EndnoteReference"/>
        </w:rPr>
        <w:endnoteReference w:id="1730"/>
      </w:r>
      <w:r w:rsidRPr="00EE1F2A">
        <w:t xml:space="preserve">  He does not mention them in </w:t>
      </w:r>
      <w:r w:rsidRPr="00EE1F2A">
        <w:rPr>
          <w:i/>
        </w:rPr>
        <w:t>Dispensationalism</w:t>
      </w:r>
      <w:r w:rsidRPr="00EE1F2A">
        <w:t>.  Ryrie, too, only mentions the seventy weeks with regard to the dispensation of law.</w:t>
      </w:r>
      <w:r w:rsidRPr="00EE1F2A">
        <w:rPr>
          <w:rStyle w:val="EndnoteReference"/>
        </w:rPr>
        <w:endnoteReference w:id="1731"/>
      </w:r>
      <w:r w:rsidRPr="00EE1F2A">
        <w:t xml:space="preserve">  Saucy’s only direct reference to Daniel 9 concerns the literality of Jerusalem as it appears in Revelation.</w:t>
      </w:r>
      <w:r w:rsidRPr="00EE1F2A">
        <w:rPr>
          <w:rStyle w:val="EndnoteReference"/>
        </w:rPr>
        <w:endnoteReference w:id="1732"/>
      </w:r>
      <w:r w:rsidRPr="00EE1F2A">
        <w:t xml:space="preserve">  Bock makes a single, short reference to ‘the seventy weeks of Daniel 9:24-7’ as describing Jerusalem and the temple</w:t>
      </w:r>
      <w:r w:rsidRPr="00EE1F2A">
        <w:rPr>
          <w:rStyle w:val="EndnoteReference"/>
        </w:rPr>
        <w:endnoteReference w:id="1733"/>
      </w:r>
      <w:r w:rsidRPr="00EE1F2A">
        <w:t xml:space="preserve"> and, although Blaising includes a section entitled ‘The Eschatological Kingdom in Daniel’ in his chapter on ‘the Kingdom of God in the Old Testament’, he does not refer specifically to the seventy weeks in this.</w:t>
      </w:r>
      <w:r w:rsidRPr="00EE1F2A">
        <w:rPr>
          <w:rStyle w:val="EndnoteReference"/>
        </w:rPr>
        <w:endnoteReference w:id="1734"/>
      </w:r>
      <w:r w:rsidRPr="00EE1F2A">
        <w:t xml:space="preserve">  </w:t>
      </w:r>
    </w:p>
    <w:p w:rsidR="006A2E06" w:rsidRPr="00FA3236" w:rsidRDefault="006A2E06" w:rsidP="006A2E06">
      <w:pPr>
        <w:pStyle w:val="FootnoteText"/>
        <w:spacing w:after="120" w:line="360" w:lineRule="auto"/>
        <w:jc w:val="both"/>
        <w:rPr>
          <w:rFonts w:ascii="Perpetua" w:hAnsi="Perpetua"/>
          <w:b/>
          <w:i/>
          <w:sz w:val="22"/>
          <w:szCs w:val="22"/>
        </w:rPr>
      </w:pPr>
      <w:r w:rsidRPr="00FA3236">
        <w:rPr>
          <w:rFonts w:ascii="Perpetua" w:hAnsi="Perpetua"/>
          <w:b/>
          <w:i/>
          <w:sz w:val="22"/>
          <w:szCs w:val="22"/>
        </w:rPr>
        <w:t>Alternative Interpretations of the Seventy Weeks</w:t>
      </w:r>
    </w:p>
    <w:p w:rsidR="006A2E06" w:rsidRDefault="006A2E06" w:rsidP="006A2E06">
      <w:pPr>
        <w:spacing w:after="120" w:line="360" w:lineRule="auto"/>
        <w:ind w:right="-29"/>
        <w:jc w:val="both"/>
        <w:rPr>
          <w:rFonts w:eastAsia="Perpetua" w:cs="Perpetua"/>
          <w:spacing w:val="-1"/>
        </w:rPr>
      </w:pPr>
      <w:r>
        <w:rPr>
          <w:rFonts w:eastAsia="Perpetua" w:cs="Perpetua"/>
        </w:rPr>
        <w:t>Cox asserts that there</w:t>
      </w:r>
      <w:r>
        <w:rPr>
          <w:rFonts w:eastAsia="Perpetua" w:cs="Perpetua"/>
          <w:spacing w:val="14"/>
        </w:rPr>
        <w:t xml:space="preserve"> </w:t>
      </w:r>
      <w:r>
        <w:rPr>
          <w:rFonts w:eastAsia="Perpetua" w:cs="Perpetua"/>
        </w:rPr>
        <w:t>is</w:t>
      </w:r>
      <w:r>
        <w:rPr>
          <w:rFonts w:eastAsia="Perpetua" w:cs="Perpetua"/>
          <w:spacing w:val="13"/>
        </w:rPr>
        <w:t xml:space="preserve"> </w:t>
      </w:r>
      <w:r>
        <w:rPr>
          <w:rFonts w:eastAsia="Perpetua" w:cs="Perpetua"/>
        </w:rPr>
        <w:t>no</w:t>
      </w:r>
      <w:r>
        <w:rPr>
          <w:rFonts w:eastAsia="Perpetua" w:cs="Perpetua"/>
          <w:spacing w:val="16"/>
        </w:rPr>
        <w:t xml:space="preserve"> </w:t>
      </w:r>
      <w:r>
        <w:rPr>
          <w:rFonts w:eastAsia="Perpetua" w:cs="Perpetua"/>
        </w:rPr>
        <w:t>hint</w:t>
      </w:r>
      <w:r>
        <w:rPr>
          <w:rFonts w:eastAsia="Perpetua" w:cs="Perpetua"/>
          <w:spacing w:val="13"/>
        </w:rPr>
        <w:t xml:space="preserve"> </w:t>
      </w:r>
      <w:r>
        <w:rPr>
          <w:rFonts w:eastAsia="Perpetua" w:cs="Perpetua"/>
        </w:rPr>
        <w:t>of</w:t>
      </w:r>
      <w:r>
        <w:rPr>
          <w:rFonts w:eastAsia="Perpetua" w:cs="Perpetua"/>
          <w:spacing w:val="14"/>
        </w:rPr>
        <w:t xml:space="preserve"> </w:t>
      </w:r>
      <w:r>
        <w:rPr>
          <w:rFonts w:eastAsia="Perpetua" w:cs="Perpetua"/>
        </w:rPr>
        <w:t>any</w:t>
      </w:r>
      <w:r>
        <w:rPr>
          <w:rFonts w:eastAsia="Perpetua" w:cs="Perpetua"/>
          <w:spacing w:val="15"/>
        </w:rPr>
        <w:t xml:space="preserve"> </w:t>
      </w:r>
      <w:r>
        <w:rPr>
          <w:rFonts w:eastAsia="Perpetua" w:cs="Perpetua"/>
        </w:rPr>
        <w:t>gap</w:t>
      </w:r>
      <w:r>
        <w:rPr>
          <w:rFonts w:eastAsia="Perpetua" w:cs="Perpetua"/>
          <w:spacing w:val="15"/>
        </w:rPr>
        <w:t xml:space="preserve"> </w:t>
      </w:r>
      <w:r>
        <w:rPr>
          <w:rFonts w:eastAsia="Perpetua" w:cs="Perpetua"/>
          <w:spacing w:val="-1"/>
        </w:rPr>
        <w:t>between</w:t>
      </w:r>
      <w:r>
        <w:rPr>
          <w:rFonts w:eastAsia="Perpetua" w:cs="Perpetua"/>
          <w:spacing w:val="14"/>
        </w:rPr>
        <w:t xml:space="preserve"> </w:t>
      </w:r>
      <w:r>
        <w:rPr>
          <w:rFonts w:eastAsia="Perpetua" w:cs="Perpetua"/>
          <w:spacing w:val="-1"/>
        </w:rPr>
        <w:t>‘the</w:t>
      </w:r>
      <w:r>
        <w:rPr>
          <w:rFonts w:eastAsia="Perpetua" w:cs="Perpetua"/>
          <w:spacing w:val="14"/>
        </w:rPr>
        <w:t xml:space="preserve"> </w:t>
      </w:r>
      <w:r>
        <w:rPr>
          <w:rFonts w:eastAsia="Perpetua" w:cs="Perpetua"/>
          <w:spacing w:val="-1"/>
        </w:rPr>
        <w:t>fulfillment</w:t>
      </w:r>
      <w:r>
        <w:rPr>
          <w:rFonts w:eastAsia="Perpetua" w:cs="Perpetua"/>
          <w:spacing w:val="14"/>
        </w:rPr>
        <w:t xml:space="preserve"> </w:t>
      </w:r>
      <w:r>
        <w:rPr>
          <w:rFonts w:eastAsia="Perpetua" w:cs="Perpetua"/>
          <w:spacing w:val="-1"/>
        </w:rPr>
        <w:t>of</w:t>
      </w:r>
      <w:r>
        <w:rPr>
          <w:rFonts w:eastAsia="Perpetua" w:cs="Perpetua"/>
          <w:spacing w:val="14"/>
        </w:rPr>
        <w:t xml:space="preserve"> </w:t>
      </w:r>
      <w:r>
        <w:rPr>
          <w:rFonts w:eastAsia="Perpetua" w:cs="Perpetua"/>
          <w:spacing w:val="-1"/>
        </w:rPr>
        <w:t>the</w:t>
      </w:r>
      <w:r>
        <w:rPr>
          <w:rFonts w:eastAsia="Perpetua" w:cs="Perpetua"/>
          <w:spacing w:val="33"/>
          <w:w w:val="99"/>
        </w:rPr>
        <w:t xml:space="preserve"> </w:t>
      </w:r>
      <w:r>
        <w:rPr>
          <w:rFonts w:eastAsia="Perpetua" w:cs="Perpetua"/>
        </w:rPr>
        <w:t>sixty-ninth</w:t>
      </w:r>
      <w:r>
        <w:rPr>
          <w:rFonts w:eastAsia="Perpetua" w:cs="Perpetua"/>
          <w:spacing w:val="10"/>
        </w:rPr>
        <w:t xml:space="preserve"> </w:t>
      </w:r>
      <w:r>
        <w:rPr>
          <w:rFonts w:eastAsia="Perpetua" w:cs="Perpetua"/>
        </w:rPr>
        <w:t>and</w:t>
      </w:r>
      <w:r>
        <w:rPr>
          <w:rFonts w:eastAsia="Perpetua" w:cs="Perpetua"/>
          <w:spacing w:val="12"/>
        </w:rPr>
        <w:t xml:space="preserve"> </w:t>
      </w:r>
      <w:r>
        <w:rPr>
          <w:rFonts w:eastAsia="Perpetua" w:cs="Perpetua"/>
        </w:rPr>
        <w:t>seventieth</w:t>
      </w:r>
      <w:r>
        <w:rPr>
          <w:rFonts w:eastAsia="Perpetua" w:cs="Perpetua"/>
          <w:spacing w:val="10"/>
        </w:rPr>
        <w:t xml:space="preserve"> </w:t>
      </w:r>
      <w:r>
        <w:rPr>
          <w:rFonts w:eastAsia="Perpetua" w:cs="Perpetua"/>
        </w:rPr>
        <w:t>weeks</w:t>
      </w:r>
      <w:r>
        <w:rPr>
          <w:rFonts w:eastAsia="Perpetua" w:cs="Perpetua"/>
          <w:spacing w:val="11"/>
        </w:rPr>
        <w:t xml:space="preserve"> </w:t>
      </w:r>
      <w:r>
        <w:rPr>
          <w:rFonts w:eastAsia="Perpetua" w:cs="Perpetua"/>
        </w:rPr>
        <w:t>of</w:t>
      </w:r>
      <w:r>
        <w:rPr>
          <w:rFonts w:eastAsia="Perpetua" w:cs="Perpetua"/>
          <w:spacing w:val="10"/>
        </w:rPr>
        <w:t xml:space="preserve"> </w:t>
      </w:r>
      <w:r>
        <w:rPr>
          <w:rFonts w:eastAsia="Perpetua" w:cs="Perpetua"/>
        </w:rPr>
        <w:t>Daniel’s</w:t>
      </w:r>
      <w:r>
        <w:rPr>
          <w:rFonts w:eastAsia="Perpetua" w:cs="Perpetua"/>
          <w:spacing w:val="11"/>
        </w:rPr>
        <w:t xml:space="preserve"> </w:t>
      </w:r>
      <w:r>
        <w:rPr>
          <w:rFonts w:eastAsia="Perpetua" w:cs="Perpetua"/>
          <w:spacing w:val="-1"/>
        </w:rPr>
        <w:t>prophecy’, thus</w:t>
      </w:r>
      <w:r>
        <w:rPr>
          <w:rFonts w:eastAsia="Perpetua" w:cs="Perpetua"/>
          <w:spacing w:val="10"/>
        </w:rPr>
        <w:t xml:space="preserve"> </w:t>
      </w:r>
      <w:r>
        <w:rPr>
          <w:rFonts w:eastAsia="Perpetua" w:cs="Perpetua"/>
          <w:spacing w:val="-1"/>
        </w:rPr>
        <w:t>the</w:t>
      </w:r>
      <w:r>
        <w:rPr>
          <w:rFonts w:eastAsia="Perpetua" w:cs="Perpetua"/>
          <w:spacing w:val="11"/>
        </w:rPr>
        <w:t xml:space="preserve"> </w:t>
      </w:r>
      <w:r>
        <w:rPr>
          <w:rFonts w:eastAsia="Perpetua" w:cs="Perpetua"/>
          <w:spacing w:val="-1"/>
        </w:rPr>
        <w:t>first</w:t>
      </w:r>
      <w:r>
        <w:rPr>
          <w:rFonts w:eastAsia="Perpetua" w:cs="Perpetua"/>
          <w:spacing w:val="10"/>
        </w:rPr>
        <w:t xml:space="preserve"> </w:t>
      </w:r>
      <w:r>
        <w:rPr>
          <w:rFonts w:eastAsia="Perpetua" w:cs="Perpetua"/>
          <w:spacing w:val="-1"/>
        </w:rPr>
        <w:t>sixty-nine</w:t>
      </w:r>
      <w:r>
        <w:rPr>
          <w:rFonts w:eastAsia="Perpetua" w:cs="Perpetua"/>
          <w:spacing w:val="10"/>
        </w:rPr>
        <w:t xml:space="preserve"> </w:t>
      </w:r>
      <w:r>
        <w:rPr>
          <w:rFonts w:eastAsia="Perpetua" w:cs="Perpetua"/>
          <w:spacing w:val="-1"/>
        </w:rPr>
        <w:t>weeks</w:t>
      </w:r>
      <w:r>
        <w:rPr>
          <w:rFonts w:eastAsia="Perpetua" w:cs="Perpetua"/>
          <w:spacing w:val="11"/>
        </w:rPr>
        <w:t xml:space="preserve"> </w:t>
      </w:r>
      <w:r>
        <w:rPr>
          <w:rFonts w:eastAsia="Perpetua" w:cs="Perpetua"/>
          <w:spacing w:val="-1"/>
        </w:rPr>
        <w:t>would</w:t>
      </w:r>
      <w:r>
        <w:rPr>
          <w:rFonts w:eastAsia="Perpetua" w:cs="Perpetua"/>
          <w:spacing w:val="55"/>
          <w:w w:val="99"/>
        </w:rPr>
        <w:t xml:space="preserve"> </w:t>
      </w:r>
      <w:r>
        <w:rPr>
          <w:rFonts w:eastAsia="Perpetua" w:cs="Perpetua"/>
        </w:rPr>
        <w:t>extend</w:t>
      </w:r>
      <w:r>
        <w:rPr>
          <w:rFonts w:eastAsia="Perpetua" w:cs="Perpetua"/>
          <w:spacing w:val="21"/>
        </w:rPr>
        <w:t xml:space="preserve"> </w:t>
      </w:r>
      <w:r>
        <w:rPr>
          <w:rFonts w:eastAsia="Perpetua" w:cs="Perpetua"/>
        </w:rPr>
        <w:t>to</w:t>
      </w:r>
      <w:r>
        <w:rPr>
          <w:rFonts w:eastAsia="Perpetua" w:cs="Perpetua"/>
          <w:spacing w:val="22"/>
        </w:rPr>
        <w:t xml:space="preserve"> </w:t>
      </w:r>
      <w:r>
        <w:rPr>
          <w:rFonts w:eastAsia="Perpetua" w:cs="Perpetua"/>
        </w:rPr>
        <w:t>the</w:t>
      </w:r>
      <w:r>
        <w:rPr>
          <w:rFonts w:eastAsia="Perpetua" w:cs="Perpetua"/>
          <w:spacing w:val="22"/>
        </w:rPr>
        <w:t xml:space="preserve"> </w:t>
      </w:r>
      <w:r>
        <w:rPr>
          <w:rFonts w:eastAsia="Perpetua" w:cs="Perpetua"/>
        </w:rPr>
        <w:t>beginning</w:t>
      </w:r>
      <w:r>
        <w:rPr>
          <w:rFonts w:eastAsia="Perpetua" w:cs="Perpetua"/>
          <w:spacing w:val="21"/>
        </w:rPr>
        <w:t xml:space="preserve"> </w:t>
      </w:r>
      <w:r>
        <w:rPr>
          <w:rFonts w:eastAsia="Perpetua" w:cs="Perpetua"/>
        </w:rPr>
        <w:t>of</w:t>
      </w:r>
      <w:r>
        <w:rPr>
          <w:rFonts w:eastAsia="Perpetua" w:cs="Perpetua"/>
          <w:spacing w:val="21"/>
        </w:rPr>
        <w:t xml:space="preserve"> </w:t>
      </w:r>
      <w:r>
        <w:rPr>
          <w:rFonts w:eastAsia="Perpetua" w:cs="Perpetua"/>
          <w:spacing w:val="-1"/>
        </w:rPr>
        <w:t>Christ’s</w:t>
      </w:r>
      <w:r>
        <w:rPr>
          <w:rFonts w:eastAsia="Perpetua" w:cs="Perpetua"/>
          <w:spacing w:val="22"/>
        </w:rPr>
        <w:t xml:space="preserve"> </w:t>
      </w:r>
      <w:r>
        <w:rPr>
          <w:rFonts w:eastAsia="Perpetua" w:cs="Perpetua"/>
          <w:spacing w:val="-1"/>
        </w:rPr>
        <w:t>ministry</w:t>
      </w:r>
      <w:r>
        <w:rPr>
          <w:rFonts w:eastAsia="Perpetua" w:cs="Perpetua"/>
          <w:spacing w:val="23"/>
        </w:rPr>
        <w:t xml:space="preserve"> </w:t>
      </w:r>
      <w:r>
        <w:rPr>
          <w:rFonts w:eastAsia="Perpetua" w:cs="Perpetua"/>
          <w:spacing w:val="-1"/>
        </w:rPr>
        <w:t>and</w:t>
      </w:r>
      <w:r>
        <w:rPr>
          <w:rFonts w:eastAsia="Perpetua" w:cs="Perpetua"/>
          <w:spacing w:val="21"/>
        </w:rPr>
        <w:t xml:space="preserve"> </w:t>
      </w:r>
      <w:r>
        <w:rPr>
          <w:rFonts w:eastAsia="Perpetua" w:cs="Perpetua"/>
        </w:rPr>
        <w:t>‘period</w:t>
      </w:r>
      <w:r>
        <w:rPr>
          <w:rFonts w:eastAsia="Perpetua" w:cs="Perpetua"/>
          <w:spacing w:val="21"/>
        </w:rPr>
        <w:t xml:space="preserve"> </w:t>
      </w:r>
      <w:r>
        <w:rPr>
          <w:rFonts w:eastAsia="Perpetua" w:cs="Perpetua"/>
        </w:rPr>
        <w:t>three’</w:t>
      </w:r>
      <w:r>
        <w:rPr>
          <w:rFonts w:eastAsia="Perpetua" w:cs="Perpetua"/>
          <w:spacing w:val="21"/>
        </w:rPr>
        <w:t xml:space="preserve"> </w:t>
      </w:r>
      <w:r>
        <w:rPr>
          <w:rFonts w:eastAsia="Perpetua" w:cs="Perpetua"/>
        </w:rPr>
        <w:t>(the</w:t>
      </w:r>
      <w:r>
        <w:rPr>
          <w:rFonts w:eastAsia="Perpetua" w:cs="Perpetua"/>
          <w:spacing w:val="22"/>
        </w:rPr>
        <w:t xml:space="preserve"> </w:t>
      </w:r>
      <w:r>
        <w:rPr>
          <w:rFonts w:eastAsia="Perpetua" w:cs="Perpetua"/>
        </w:rPr>
        <w:t>final</w:t>
      </w:r>
      <w:r>
        <w:rPr>
          <w:rFonts w:eastAsia="Perpetua" w:cs="Perpetua"/>
          <w:spacing w:val="21"/>
        </w:rPr>
        <w:t xml:space="preserve"> </w:t>
      </w:r>
      <w:r>
        <w:rPr>
          <w:rFonts w:eastAsia="Perpetua" w:cs="Perpetua"/>
        </w:rPr>
        <w:t>seven</w:t>
      </w:r>
      <w:r>
        <w:rPr>
          <w:rFonts w:eastAsia="Perpetua" w:cs="Perpetua"/>
          <w:spacing w:val="21"/>
        </w:rPr>
        <w:t xml:space="preserve"> </w:t>
      </w:r>
      <w:r>
        <w:rPr>
          <w:rFonts w:eastAsia="Perpetua" w:cs="Perpetua"/>
        </w:rPr>
        <w:t>years)</w:t>
      </w:r>
      <w:r>
        <w:rPr>
          <w:rFonts w:eastAsia="Perpetua" w:cs="Perpetua"/>
          <w:spacing w:val="22"/>
        </w:rPr>
        <w:t xml:space="preserve"> </w:t>
      </w:r>
      <w:r>
        <w:rPr>
          <w:rFonts w:eastAsia="Perpetua" w:cs="Perpetua"/>
        </w:rPr>
        <w:t>‘began</w:t>
      </w:r>
      <w:r>
        <w:rPr>
          <w:rFonts w:eastAsia="Perpetua" w:cs="Perpetua"/>
          <w:spacing w:val="21"/>
        </w:rPr>
        <w:t xml:space="preserve"> </w:t>
      </w:r>
      <w:r>
        <w:rPr>
          <w:rFonts w:eastAsia="Perpetua" w:cs="Perpetua"/>
        </w:rPr>
        <w:t>with</w:t>
      </w:r>
      <w:r>
        <w:rPr>
          <w:rFonts w:eastAsia="Perpetua" w:cs="Perpetua"/>
          <w:spacing w:val="21"/>
        </w:rPr>
        <w:t xml:space="preserve"> </w:t>
      </w:r>
      <w:r>
        <w:rPr>
          <w:rFonts w:eastAsia="Perpetua" w:cs="Perpetua"/>
        </w:rPr>
        <w:t>the</w:t>
      </w:r>
      <w:r>
        <w:rPr>
          <w:rFonts w:eastAsia="Perpetua" w:cs="Perpetua"/>
          <w:spacing w:val="24"/>
          <w:w w:val="99"/>
        </w:rPr>
        <w:t xml:space="preserve"> </w:t>
      </w:r>
      <w:r>
        <w:rPr>
          <w:rFonts w:eastAsia="Perpetua" w:cs="Perpetua"/>
        </w:rPr>
        <w:t>beginning</w:t>
      </w:r>
      <w:r>
        <w:rPr>
          <w:rFonts w:eastAsia="Perpetua" w:cs="Perpetua"/>
          <w:spacing w:val="2"/>
        </w:rPr>
        <w:t xml:space="preserve"> </w:t>
      </w:r>
      <w:r>
        <w:rPr>
          <w:rFonts w:eastAsia="Perpetua" w:cs="Perpetua"/>
        </w:rPr>
        <w:t>of</w:t>
      </w:r>
      <w:r>
        <w:rPr>
          <w:rFonts w:eastAsia="Perpetua" w:cs="Perpetua"/>
          <w:spacing w:val="3"/>
        </w:rPr>
        <w:t xml:space="preserve"> </w:t>
      </w:r>
      <w:r>
        <w:rPr>
          <w:rFonts w:eastAsia="Perpetua" w:cs="Perpetua"/>
        </w:rPr>
        <w:t>that</w:t>
      </w:r>
      <w:r>
        <w:rPr>
          <w:rFonts w:eastAsia="Perpetua" w:cs="Perpetua"/>
          <w:spacing w:val="4"/>
        </w:rPr>
        <w:t xml:space="preserve"> </w:t>
      </w:r>
      <w:r>
        <w:rPr>
          <w:rFonts w:eastAsia="Perpetua" w:cs="Perpetua"/>
        </w:rPr>
        <w:t>ministry</w:t>
      </w:r>
      <w:r>
        <w:rPr>
          <w:rFonts w:eastAsia="Perpetua" w:cs="Perpetua"/>
          <w:spacing w:val="3"/>
        </w:rPr>
        <w:t xml:space="preserve"> </w:t>
      </w:r>
      <w:r>
        <w:rPr>
          <w:rFonts w:eastAsia="Perpetua" w:cs="Perpetua"/>
        </w:rPr>
        <w:t>and</w:t>
      </w:r>
      <w:r>
        <w:rPr>
          <w:rFonts w:eastAsia="Perpetua" w:cs="Perpetua"/>
          <w:spacing w:val="4"/>
        </w:rPr>
        <w:t xml:space="preserve"> </w:t>
      </w:r>
      <w:r>
        <w:rPr>
          <w:rFonts w:eastAsia="Perpetua" w:cs="Perpetua"/>
        </w:rPr>
        <w:t>consequently</w:t>
      </w:r>
      <w:r>
        <w:rPr>
          <w:rFonts w:eastAsia="Perpetua" w:cs="Perpetua"/>
          <w:spacing w:val="5"/>
        </w:rPr>
        <w:t xml:space="preserve"> </w:t>
      </w:r>
      <w:r>
        <w:rPr>
          <w:rFonts w:eastAsia="Perpetua" w:cs="Perpetua"/>
        </w:rPr>
        <w:t>was</w:t>
      </w:r>
      <w:r>
        <w:rPr>
          <w:rFonts w:eastAsia="Perpetua" w:cs="Perpetua"/>
          <w:spacing w:val="3"/>
        </w:rPr>
        <w:t xml:space="preserve"> </w:t>
      </w:r>
      <w:r>
        <w:rPr>
          <w:rFonts w:eastAsia="Perpetua" w:cs="Perpetua"/>
          <w:spacing w:val="-1"/>
        </w:rPr>
        <w:t>fulfilled</w:t>
      </w:r>
      <w:r>
        <w:rPr>
          <w:rFonts w:eastAsia="Perpetua" w:cs="Perpetua"/>
          <w:spacing w:val="3"/>
        </w:rPr>
        <w:t xml:space="preserve"> </w:t>
      </w:r>
      <w:r>
        <w:rPr>
          <w:rFonts w:eastAsia="Perpetua" w:cs="Perpetua"/>
          <w:spacing w:val="-1"/>
        </w:rPr>
        <w:t>long</w:t>
      </w:r>
      <w:r>
        <w:rPr>
          <w:rFonts w:eastAsia="Perpetua" w:cs="Perpetua"/>
          <w:spacing w:val="3"/>
        </w:rPr>
        <w:t xml:space="preserve"> </w:t>
      </w:r>
      <w:r>
        <w:rPr>
          <w:rFonts w:eastAsia="Perpetua" w:cs="Perpetua"/>
          <w:spacing w:val="-1"/>
        </w:rPr>
        <w:t>ago’.</w:t>
      </w:r>
      <w:r>
        <w:rPr>
          <w:rFonts w:eastAsia="Perpetua" w:cs="Perpetua"/>
          <w:spacing w:val="6"/>
        </w:rPr>
        <w:t xml:space="preserve"> </w:t>
      </w:r>
      <w:r>
        <w:rPr>
          <w:rFonts w:eastAsia="Perpetua" w:cs="Perpetua"/>
          <w:spacing w:val="-1"/>
        </w:rPr>
        <w:t>Daniel’s</w:t>
      </w:r>
      <w:r>
        <w:rPr>
          <w:rFonts w:eastAsia="Perpetua" w:cs="Perpetua"/>
          <w:spacing w:val="4"/>
        </w:rPr>
        <w:t xml:space="preserve"> </w:t>
      </w:r>
      <w:r>
        <w:rPr>
          <w:rFonts w:eastAsia="Perpetua" w:cs="Perpetua"/>
          <w:spacing w:val="-1"/>
        </w:rPr>
        <w:t>seventieth</w:t>
      </w:r>
      <w:r>
        <w:rPr>
          <w:rFonts w:eastAsia="Perpetua" w:cs="Perpetua"/>
          <w:spacing w:val="5"/>
        </w:rPr>
        <w:t xml:space="preserve"> </w:t>
      </w:r>
      <w:r>
        <w:rPr>
          <w:rFonts w:eastAsia="Perpetua" w:cs="Perpetua"/>
          <w:spacing w:val="-1"/>
        </w:rPr>
        <w:t>week</w:t>
      </w:r>
      <w:r>
        <w:rPr>
          <w:rFonts w:eastAsia="Perpetua" w:cs="Perpetua"/>
          <w:spacing w:val="4"/>
        </w:rPr>
        <w:t xml:space="preserve"> </w:t>
      </w:r>
      <w:r>
        <w:rPr>
          <w:rFonts w:eastAsia="Perpetua" w:cs="Perpetua"/>
          <w:spacing w:val="-1"/>
        </w:rPr>
        <w:t>constitutes</w:t>
      </w:r>
      <w:r>
        <w:rPr>
          <w:rFonts w:eastAsia="Perpetua" w:cs="Perpetua"/>
          <w:spacing w:val="55"/>
          <w:w w:val="99"/>
        </w:rPr>
        <w:t xml:space="preserve"> </w:t>
      </w:r>
      <w:r>
        <w:rPr>
          <w:rFonts w:eastAsia="Perpetua" w:cs="Perpetua"/>
          <w:spacing w:val="-1"/>
        </w:rPr>
        <w:t>‘history</w:t>
      </w:r>
      <w:r>
        <w:rPr>
          <w:rFonts w:eastAsia="Perpetua" w:cs="Perpetua"/>
          <w:spacing w:val="6"/>
        </w:rPr>
        <w:t xml:space="preserve"> </w:t>
      </w:r>
      <w:r>
        <w:rPr>
          <w:rFonts w:eastAsia="Perpetua" w:cs="Perpetua"/>
          <w:spacing w:val="-1"/>
        </w:rPr>
        <w:t>rather</w:t>
      </w:r>
      <w:r>
        <w:rPr>
          <w:rFonts w:eastAsia="Perpetua" w:cs="Perpetua"/>
          <w:spacing w:val="8"/>
        </w:rPr>
        <w:t xml:space="preserve"> </w:t>
      </w:r>
      <w:r>
        <w:rPr>
          <w:rFonts w:eastAsia="Perpetua" w:cs="Perpetua"/>
          <w:spacing w:val="-1"/>
        </w:rPr>
        <w:t>than</w:t>
      </w:r>
      <w:r>
        <w:rPr>
          <w:rFonts w:eastAsia="Perpetua" w:cs="Perpetua"/>
          <w:spacing w:val="7"/>
        </w:rPr>
        <w:t xml:space="preserve"> </w:t>
      </w:r>
      <w:r>
        <w:rPr>
          <w:rFonts w:eastAsia="Perpetua" w:cs="Perpetua"/>
          <w:spacing w:val="-1"/>
        </w:rPr>
        <w:t>eschatology’.</w:t>
      </w:r>
      <w:r>
        <w:rPr>
          <w:rStyle w:val="EndnoteReference"/>
          <w:rFonts w:eastAsia="Perpetua" w:cs="Perpetua"/>
          <w:spacing w:val="-1"/>
        </w:rPr>
        <w:endnoteReference w:id="1735"/>
      </w:r>
      <w:r>
        <w:rPr>
          <w:rFonts w:eastAsia="Perpetua" w:cs="Perpetua"/>
          <w:spacing w:val="25"/>
          <w:position w:val="9"/>
          <w:sz w:val="13"/>
          <w:szCs w:val="13"/>
        </w:rPr>
        <w:t xml:space="preserve">  </w:t>
      </w:r>
      <w:r>
        <w:t>According to what Cox calls ‘the historic Christian view’</w:t>
      </w:r>
      <w:r>
        <w:rPr>
          <w:rStyle w:val="EndnoteReference"/>
        </w:rPr>
        <w:endnoteReference w:id="1736"/>
      </w:r>
      <w:r>
        <w:t xml:space="preserve"> after the sixty-nine weeks and thus, during the seventieth, Messiah would come and be ‘”cut off” for others’ sin’.  </w:t>
      </w:r>
      <w:r>
        <w:rPr>
          <w:rFonts w:eastAsia="Perpetua" w:cs="Perpetua"/>
          <w:spacing w:val="-1"/>
        </w:rPr>
        <w:t>As</w:t>
      </w:r>
      <w:r>
        <w:rPr>
          <w:rFonts w:eastAsia="Perpetua" w:cs="Perpetua"/>
          <w:spacing w:val="17"/>
        </w:rPr>
        <w:t xml:space="preserve"> </w:t>
      </w:r>
      <w:r>
        <w:rPr>
          <w:rFonts w:eastAsia="Perpetua" w:cs="Perpetua"/>
        </w:rPr>
        <w:t>a</w:t>
      </w:r>
      <w:r>
        <w:rPr>
          <w:rFonts w:eastAsia="Perpetua" w:cs="Perpetua"/>
          <w:spacing w:val="15"/>
        </w:rPr>
        <w:t xml:space="preserve"> </w:t>
      </w:r>
      <w:r>
        <w:rPr>
          <w:rFonts w:eastAsia="Perpetua" w:cs="Perpetua"/>
          <w:spacing w:val="-1"/>
        </w:rPr>
        <w:t>result</w:t>
      </w:r>
      <w:r>
        <w:rPr>
          <w:rFonts w:eastAsia="Perpetua" w:cs="Perpetua"/>
          <w:spacing w:val="17"/>
        </w:rPr>
        <w:t xml:space="preserve"> </w:t>
      </w:r>
      <w:r>
        <w:rPr>
          <w:rFonts w:eastAsia="Perpetua" w:cs="Perpetua"/>
          <w:spacing w:val="-1"/>
        </w:rPr>
        <w:t>of</w:t>
      </w:r>
      <w:r>
        <w:rPr>
          <w:rFonts w:eastAsia="Perpetua" w:cs="Perpetua"/>
          <w:spacing w:val="16"/>
        </w:rPr>
        <w:t xml:space="preserve"> </w:t>
      </w:r>
      <w:r>
        <w:rPr>
          <w:rFonts w:eastAsia="Perpetua" w:cs="Perpetua"/>
          <w:spacing w:val="-1"/>
        </w:rPr>
        <w:t>this,</w:t>
      </w:r>
      <w:r>
        <w:rPr>
          <w:rFonts w:eastAsia="Perpetua" w:cs="Perpetua"/>
          <w:spacing w:val="16"/>
        </w:rPr>
        <w:t xml:space="preserve"> </w:t>
      </w:r>
      <w:r>
        <w:rPr>
          <w:rFonts w:eastAsia="Perpetua" w:cs="Perpetua"/>
          <w:spacing w:val="-1"/>
        </w:rPr>
        <w:t>Titus,</w:t>
      </w:r>
      <w:r>
        <w:rPr>
          <w:rFonts w:eastAsia="Perpetua" w:cs="Perpetua"/>
          <w:spacing w:val="15"/>
        </w:rPr>
        <w:t xml:space="preserve"> </w:t>
      </w:r>
      <w:r>
        <w:rPr>
          <w:rFonts w:eastAsia="Perpetua" w:cs="Perpetua"/>
        </w:rPr>
        <w:t>the</w:t>
      </w:r>
      <w:r>
        <w:rPr>
          <w:rFonts w:eastAsia="Perpetua" w:cs="Perpetua"/>
          <w:spacing w:val="17"/>
        </w:rPr>
        <w:t xml:space="preserve"> </w:t>
      </w:r>
      <w:r>
        <w:rPr>
          <w:rFonts w:eastAsia="Perpetua" w:cs="Perpetua"/>
          <w:spacing w:val="-1"/>
        </w:rPr>
        <w:t>‘prince’</w:t>
      </w:r>
      <w:r>
        <w:rPr>
          <w:rFonts w:eastAsia="Perpetua" w:cs="Perpetua"/>
          <w:spacing w:val="16"/>
        </w:rPr>
        <w:t xml:space="preserve"> </w:t>
      </w:r>
      <w:r>
        <w:rPr>
          <w:rFonts w:eastAsia="Perpetua" w:cs="Perpetua"/>
          <w:spacing w:val="-1"/>
        </w:rPr>
        <w:t>mentioned</w:t>
      </w:r>
      <w:r>
        <w:rPr>
          <w:rFonts w:eastAsia="Perpetua" w:cs="Perpetua"/>
          <w:spacing w:val="16"/>
        </w:rPr>
        <w:t xml:space="preserve"> </w:t>
      </w:r>
      <w:r>
        <w:rPr>
          <w:rFonts w:eastAsia="Perpetua" w:cs="Perpetua"/>
        </w:rPr>
        <w:t>in</w:t>
      </w:r>
      <w:r>
        <w:rPr>
          <w:rFonts w:eastAsia="Perpetua" w:cs="Perpetua"/>
          <w:spacing w:val="18"/>
        </w:rPr>
        <w:t xml:space="preserve"> </w:t>
      </w:r>
      <w:r>
        <w:rPr>
          <w:rFonts w:eastAsia="Perpetua" w:cs="Perpetua"/>
        </w:rPr>
        <w:t>Dan.</w:t>
      </w:r>
      <w:r>
        <w:rPr>
          <w:rFonts w:eastAsia="Perpetua" w:cs="Perpetua"/>
          <w:spacing w:val="16"/>
        </w:rPr>
        <w:t xml:space="preserve"> </w:t>
      </w:r>
      <w:r>
        <w:rPr>
          <w:rFonts w:eastAsia="Perpetua" w:cs="Perpetua"/>
        </w:rPr>
        <w:t>9:26,</w:t>
      </w:r>
      <w:r>
        <w:rPr>
          <w:rFonts w:eastAsia="Perpetua" w:cs="Perpetua"/>
          <w:spacing w:val="17"/>
        </w:rPr>
        <w:t xml:space="preserve"> </w:t>
      </w:r>
      <w:r>
        <w:rPr>
          <w:rFonts w:eastAsia="Perpetua" w:cs="Perpetua"/>
        </w:rPr>
        <w:t>would</w:t>
      </w:r>
      <w:r>
        <w:rPr>
          <w:rFonts w:eastAsia="Perpetua" w:cs="Perpetua"/>
          <w:spacing w:val="16"/>
        </w:rPr>
        <w:t xml:space="preserve"> </w:t>
      </w:r>
      <w:r>
        <w:rPr>
          <w:rFonts w:eastAsia="Perpetua" w:cs="Perpetua"/>
        </w:rPr>
        <w:t>come</w:t>
      </w:r>
      <w:r>
        <w:rPr>
          <w:rFonts w:eastAsia="Perpetua" w:cs="Perpetua"/>
          <w:spacing w:val="16"/>
        </w:rPr>
        <w:t xml:space="preserve"> </w:t>
      </w:r>
      <w:r>
        <w:rPr>
          <w:rFonts w:eastAsia="Perpetua" w:cs="Perpetua"/>
        </w:rPr>
        <w:t>with</w:t>
      </w:r>
      <w:r>
        <w:rPr>
          <w:rFonts w:eastAsia="Perpetua" w:cs="Perpetua"/>
          <w:spacing w:val="16"/>
        </w:rPr>
        <w:t xml:space="preserve"> </w:t>
      </w:r>
      <w:r>
        <w:rPr>
          <w:rFonts w:eastAsia="Perpetua" w:cs="Perpetua"/>
        </w:rPr>
        <w:t>his</w:t>
      </w:r>
      <w:r>
        <w:rPr>
          <w:rFonts w:eastAsia="Perpetua" w:cs="Perpetua"/>
          <w:spacing w:val="17"/>
        </w:rPr>
        <w:t xml:space="preserve"> </w:t>
      </w:r>
      <w:r>
        <w:rPr>
          <w:rFonts w:eastAsia="Perpetua" w:cs="Perpetua"/>
        </w:rPr>
        <w:t>people,</w:t>
      </w:r>
      <w:r>
        <w:rPr>
          <w:rFonts w:eastAsia="Perpetua" w:cs="Perpetua"/>
          <w:spacing w:val="16"/>
        </w:rPr>
        <w:t xml:space="preserve"> </w:t>
      </w:r>
      <w:r>
        <w:rPr>
          <w:rFonts w:eastAsia="Perpetua" w:cs="Perpetua"/>
        </w:rPr>
        <w:t>the</w:t>
      </w:r>
      <w:r>
        <w:rPr>
          <w:rFonts w:eastAsia="Perpetua" w:cs="Perpetua"/>
          <w:spacing w:val="41"/>
          <w:w w:val="99"/>
        </w:rPr>
        <w:t xml:space="preserve"> </w:t>
      </w:r>
      <w:r>
        <w:rPr>
          <w:rFonts w:eastAsia="Perpetua" w:cs="Perpetua"/>
        </w:rPr>
        <w:t>Roman</w:t>
      </w:r>
      <w:r>
        <w:rPr>
          <w:rFonts w:eastAsia="Perpetua" w:cs="Perpetua"/>
          <w:spacing w:val="23"/>
        </w:rPr>
        <w:t xml:space="preserve"> </w:t>
      </w:r>
      <w:r>
        <w:rPr>
          <w:rFonts w:eastAsia="Perpetua" w:cs="Perpetua"/>
        </w:rPr>
        <w:t>soldiers,</w:t>
      </w:r>
      <w:r>
        <w:rPr>
          <w:rFonts w:eastAsia="Perpetua" w:cs="Perpetua"/>
          <w:spacing w:val="22"/>
        </w:rPr>
        <w:t xml:space="preserve"> </w:t>
      </w:r>
      <w:r>
        <w:rPr>
          <w:rFonts w:eastAsia="Perpetua" w:cs="Perpetua"/>
        </w:rPr>
        <w:t>and</w:t>
      </w:r>
      <w:r>
        <w:rPr>
          <w:rFonts w:eastAsia="Perpetua" w:cs="Perpetua"/>
          <w:spacing w:val="24"/>
        </w:rPr>
        <w:t xml:space="preserve"> </w:t>
      </w:r>
      <w:r>
        <w:rPr>
          <w:rFonts w:eastAsia="Perpetua" w:cs="Perpetua"/>
        </w:rPr>
        <w:t>destroy</w:t>
      </w:r>
      <w:r>
        <w:rPr>
          <w:rFonts w:eastAsia="Perpetua" w:cs="Perpetua"/>
          <w:spacing w:val="23"/>
        </w:rPr>
        <w:t xml:space="preserve"> </w:t>
      </w:r>
      <w:r>
        <w:rPr>
          <w:rFonts w:eastAsia="Perpetua" w:cs="Perpetua"/>
        </w:rPr>
        <w:t>Jerusalem</w:t>
      </w:r>
      <w:r>
        <w:rPr>
          <w:rFonts w:eastAsia="Perpetua" w:cs="Perpetua"/>
          <w:spacing w:val="22"/>
        </w:rPr>
        <w:t xml:space="preserve"> </w:t>
      </w:r>
      <w:r>
        <w:rPr>
          <w:rFonts w:eastAsia="Perpetua" w:cs="Perpetua"/>
        </w:rPr>
        <w:t>and</w:t>
      </w:r>
      <w:r>
        <w:rPr>
          <w:rFonts w:eastAsia="Perpetua" w:cs="Perpetua"/>
          <w:spacing w:val="24"/>
        </w:rPr>
        <w:t xml:space="preserve"> </w:t>
      </w:r>
      <w:r>
        <w:rPr>
          <w:rFonts w:eastAsia="Perpetua" w:cs="Perpetua"/>
        </w:rPr>
        <w:t>its</w:t>
      </w:r>
      <w:r>
        <w:rPr>
          <w:rFonts w:eastAsia="Perpetua" w:cs="Perpetua"/>
          <w:spacing w:val="23"/>
        </w:rPr>
        <w:t xml:space="preserve"> </w:t>
      </w:r>
      <w:r>
        <w:rPr>
          <w:rFonts w:eastAsia="Perpetua" w:cs="Perpetua"/>
        </w:rPr>
        <w:t>temple</w:t>
      </w:r>
      <w:r>
        <w:rPr>
          <w:rFonts w:eastAsia="Perpetua" w:cs="Perpetua"/>
          <w:spacing w:val="22"/>
        </w:rPr>
        <w:t xml:space="preserve"> </w:t>
      </w:r>
      <w:r>
        <w:rPr>
          <w:rFonts w:eastAsia="Perpetua" w:cs="Perpetua"/>
        </w:rPr>
        <w:t>in</w:t>
      </w:r>
      <w:r>
        <w:rPr>
          <w:rFonts w:eastAsia="Perpetua" w:cs="Perpetua"/>
          <w:spacing w:val="25"/>
        </w:rPr>
        <w:t xml:space="preserve"> </w:t>
      </w:r>
      <w:r>
        <w:rPr>
          <w:rFonts w:eastAsia="Perpetua" w:cs="Perpetua"/>
        </w:rPr>
        <w:t>70</w:t>
      </w:r>
      <w:r>
        <w:rPr>
          <w:rFonts w:eastAsia="Perpetua" w:cs="Perpetua"/>
          <w:spacing w:val="22"/>
        </w:rPr>
        <w:t xml:space="preserve"> </w:t>
      </w:r>
      <w:r>
        <w:rPr>
          <w:rFonts w:eastAsia="Perpetua" w:cs="Perpetua"/>
        </w:rPr>
        <w:t>CE</w:t>
      </w:r>
      <w:r>
        <w:rPr>
          <w:rFonts w:eastAsia="Perpetua" w:cs="Perpetua"/>
          <w:spacing w:val="23"/>
        </w:rPr>
        <w:t xml:space="preserve"> </w:t>
      </w:r>
      <w:r>
        <w:rPr>
          <w:rFonts w:eastAsia="Perpetua" w:cs="Perpetua"/>
        </w:rPr>
        <w:t>as</w:t>
      </w:r>
      <w:r>
        <w:rPr>
          <w:rFonts w:eastAsia="Perpetua" w:cs="Perpetua"/>
          <w:spacing w:val="22"/>
        </w:rPr>
        <w:t xml:space="preserve"> </w:t>
      </w:r>
      <w:r>
        <w:rPr>
          <w:rFonts w:eastAsia="Perpetua" w:cs="Perpetua"/>
        </w:rPr>
        <w:t>already</w:t>
      </w:r>
      <w:r>
        <w:rPr>
          <w:rFonts w:eastAsia="Perpetua" w:cs="Perpetua"/>
          <w:spacing w:val="22"/>
        </w:rPr>
        <w:t xml:space="preserve"> </w:t>
      </w:r>
      <w:r>
        <w:rPr>
          <w:rFonts w:eastAsia="Perpetua" w:cs="Perpetua"/>
        </w:rPr>
        <w:t>determined</w:t>
      </w:r>
      <w:r>
        <w:rPr>
          <w:rFonts w:eastAsia="Perpetua" w:cs="Perpetua"/>
          <w:spacing w:val="25"/>
        </w:rPr>
        <w:t xml:space="preserve"> </w:t>
      </w:r>
      <w:r>
        <w:rPr>
          <w:rFonts w:eastAsia="Perpetua" w:cs="Perpetua"/>
        </w:rPr>
        <w:t>by</w:t>
      </w:r>
      <w:r>
        <w:rPr>
          <w:rFonts w:eastAsia="Perpetua" w:cs="Perpetua"/>
          <w:spacing w:val="22"/>
        </w:rPr>
        <w:t xml:space="preserve"> </w:t>
      </w:r>
      <w:r>
        <w:rPr>
          <w:rFonts w:eastAsia="Perpetua" w:cs="Perpetua"/>
        </w:rPr>
        <w:t>Israel’s</w:t>
      </w:r>
      <w:r>
        <w:rPr>
          <w:rFonts w:eastAsia="Perpetua" w:cs="Perpetua"/>
          <w:spacing w:val="23"/>
        </w:rPr>
        <w:t xml:space="preserve"> </w:t>
      </w:r>
      <w:r>
        <w:rPr>
          <w:rFonts w:eastAsia="Perpetua" w:cs="Perpetua"/>
        </w:rPr>
        <w:t>sin.</w:t>
      </w:r>
      <w:r>
        <w:rPr>
          <w:rFonts w:eastAsia="Perpetua" w:cs="Perpetua"/>
          <w:spacing w:val="24"/>
          <w:w w:val="99"/>
        </w:rPr>
        <w:t xml:space="preserve">  </w:t>
      </w:r>
      <w:r>
        <w:rPr>
          <w:rFonts w:eastAsia="Perpetua" w:cs="Perpetua"/>
        </w:rPr>
        <w:t>During</w:t>
      </w:r>
      <w:r>
        <w:rPr>
          <w:rFonts w:eastAsia="Perpetua" w:cs="Perpetua"/>
          <w:spacing w:val="2"/>
        </w:rPr>
        <w:t xml:space="preserve"> </w:t>
      </w:r>
      <w:r>
        <w:rPr>
          <w:rFonts w:eastAsia="Perpetua" w:cs="Perpetua"/>
        </w:rPr>
        <w:t>this</w:t>
      </w:r>
      <w:r>
        <w:rPr>
          <w:rFonts w:eastAsia="Perpetua" w:cs="Perpetua"/>
          <w:spacing w:val="2"/>
        </w:rPr>
        <w:t xml:space="preserve"> </w:t>
      </w:r>
      <w:r>
        <w:rPr>
          <w:rFonts w:eastAsia="Perpetua" w:cs="Perpetua"/>
        </w:rPr>
        <w:t>week,</w:t>
      </w:r>
      <w:r>
        <w:rPr>
          <w:rFonts w:eastAsia="Perpetua" w:cs="Perpetua"/>
          <w:spacing w:val="2"/>
        </w:rPr>
        <w:t xml:space="preserve"> </w:t>
      </w:r>
      <w:r>
        <w:rPr>
          <w:rFonts w:eastAsia="Perpetua" w:cs="Perpetua"/>
        </w:rPr>
        <w:t>as</w:t>
      </w:r>
      <w:r>
        <w:rPr>
          <w:rFonts w:eastAsia="Perpetua" w:cs="Perpetua"/>
          <w:spacing w:val="3"/>
        </w:rPr>
        <w:t xml:space="preserve"> </w:t>
      </w:r>
      <w:r>
        <w:rPr>
          <w:rFonts w:eastAsia="Perpetua" w:cs="Perpetua"/>
        </w:rPr>
        <w:t>described</w:t>
      </w:r>
      <w:r>
        <w:rPr>
          <w:rFonts w:eastAsia="Perpetua" w:cs="Perpetua"/>
          <w:spacing w:val="3"/>
        </w:rPr>
        <w:t xml:space="preserve"> </w:t>
      </w:r>
      <w:r>
        <w:rPr>
          <w:rFonts w:eastAsia="Perpetua" w:cs="Perpetua"/>
        </w:rPr>
        <w:t>in</w:t>
      </w:r>
      <w:r>
        <w:rPr>
          <w:rFonts w:eastAsia="Perpetua" w:cs="Perpetua"/>
          <w:spacing w:val="2"/>
        </w:rPr>
        <w:t xml:space="preserve"> </w:t>
      </w:r>
      <w:r>
        <w:rPr>
          <w:rFonts w:eastAsia="Perpetua" w:cs="Perpetua"/>
        </w:rPr>
        <w:t>Dan.</w:t>
      </w:r>
      <w:r>
        <w:rPr>
          <w:rFonts w:eastAsia="Perpetua" w:cs="Perpetua"/>
          <w:spacing w:val="2"/>
        </w:rPr>
        <w:t xml:space="preserve"> </w:t>
      </w:r>
      <w:r>
        <w:rPr>
          <w:rFonts w:eastAsia="Perpetua" w:cs="Perpetua"/>
        </w:rPr>
        <w:t>9:27,</w:t>
      </w:r>
      <w:r>
        <w:rPr>
          <w:rFonts w:eastAsia="Perpetua" w:cs="Perpetua"/>
          <w:spacing w:val="2"/>
        </w:rPr>
        <w:t xml:space="preserve"> </w:t>
      </w:r>
      <w:r>
        <w:rPr>
          <w:rFonts w:eastAsia="Perpetua" w:cs="Perpetua"/>
        </w:rPr>
        <w:t>Messiah</w:t>
      </w:r>
      <w:r>
        <w:rPr>
          <w:rFonts w:eastAsia="Perpetua" w:cs="Perpetua"/>
          <w:spacing w:val="2"/>
        </w:rPr>
        <w:t xml:space="preserve"> </w:t>
      </w:r>
      <w:r>
        <w:rPr>
          <w:rFonts w:eastAsia="Perpetua" w:cs="Perpetua"/>
        </w:rPr>
        <w:t>would</w:t>
      </w:r>
      <w:r>
        <w:rPr>
          <w:rFonts w:eastAsia="Perpetua" w:cs="Perpetua"/>
          <w:spacing w:val="2"/>
        </w:rPr>
        <w:t xml:space="preserve"> </w:t>
      </w:r>
      <w:r>
        <w:rPr>
          <w:rFonts w:eastAsia="Perpetua" w:cs="Perpetua"/>
        </w:rPr>
        <w:t>‘confirm</w:t>
      </w:r>
      <w:r>
        <w:rPr>
          <w:rFonts w:eastAsia="Perpetua" w:cs="Perpetua"/>
          <w:spacing w:val="2"/>
        </w:rPr>
        <w:t xml:space="preserve"> </w:t>
      </w:r>
      <w:r>
        <w:rPr>
          <w:rFonts w:eastAsia="Perpetua" w:cs="Perpetua"/>
        </w:rPr>
        <w:t>a</w:t>
      </w:r>
      <w:r>
        <w:rPr>
          <w:rFonts w:eastAsia="Perpetua" w:cs="Perpetua"/>
          <w:spacing w:val="2"/>
        </w:rPr>
        <w:t xml:space="preserve"> </w:t>
      </w:r>
      <w:r>
        <w:rPr>
          <w:rFonts w:eastAsia="Perpetua" w:cs="Perpetua"/>
        </w:rPr>
        <w:t>covenant</w:t>
      </w:r>
      <w:r>
        <w:rPr>
          <w:rFonts w:eastAsia="Perpetua" w:cs="Perpetua"/>
          <w:spacing w:val="2"/>
        </w:rPr>
        <w:t xml:space="preserve"> </w:t>
      </w:r>
      <w:r>
        <w:rPr>
          <w:rFonts w:eastAsia="Perpetua" w:cs="Perpetua"/>
        </w:rPr>
        <w:t>with</w:t>
      </w:r>
      <w:r>
        <w:rPr>
          <w:rFonts w:eastAsia="Perpetua" w:cs="Perpetua"/>
          <w:spacing w:val="2"/>
        </w:rPr>
        <w:t xml:space="preserve"> “</w:t>
      </w:r>
      <w:r>
        <w:rPr>
          <w:rFonts w:eastAsia="Perpetua" w:cs="Perpetua"/>
          <w:spacing w:val="-1"/>
        </w:rPr>
        <w:t>as</w:t>
      </w:r>
      <w:r>
        <w:rPr>
          <w:rFonts w:eastAsia="Perpetua" w:cs="Perpetua"/>
          <w:spacing w:val="2"/>
        </w:rPr>
        <w:t xml:space="preserve"> </w:t>
      </w:r>
      <w:r>
        <w:rPr>
          <w:rFonts w:eastAsia="Perpetua" w:cs="Perpetua"/>
          <w:spacing w:val="-1"/>
        </w:rPr>
        <w:t>many</w:t>
      </w:r>
      <w:r>
        <w:rPr>
          <w:rFonts w:eastAsia="Perpetua" w:cs="Perpetua"/>
          <w:spacing w:val="3"/>
        </w:rPr>
        <w:t xml:space="preserve"> </w:t>
      </w:r>
      <w:r>
        <w:rPr>
          <w:rFonts w:eastAsia="Perpetua" w:cs="Perpetua"/>
          <w:spacing w:val="-1"/>
        </w:rPr>
        <w:t>as</w:t>
      </w:r>
      <w:r>
        <w:rPr>
          <w:rFonts w:eastAsia="Perpetua" w:cs="Perpetua"/>
          <w:spacing w:val="2"/>
        </w:rPr>
        <w:t xml:space="preserve"> </w:t>
      </w:r>
      <w:r>
        <w:rPr>
          <w:rFonts w:eastAsia="Perpetua" w:cs="Perpetua"/>
          <w:spacing w:val="-1"/>
        </w:rPr>
        <w:t>receive</w:t>
      </w:r>
      <w:r>
        <w:rPr>
          <w:rFonts w:eastAsia="Perpetua" w:cs="Perpetua"/>
          <w:spacing w:val="23"/>
          <w:w w:val="99"/>
        </w:rPr>
        <w:t xml:space="preserve"> </w:t>
      </w:r>
      <w:r>
        <w:rPr>
          <w:rFonts w:eastAsia="Perpetua" w:cs="Perpetua"/>
          <w:spacing w:val="-1"/>
        </w:rPr>
        <w:t>him”’</w:t>
      </w:r>
      <w:r>
        <w:rPr>
          <w:rStyle w:val="EndnoteReference"/>
          <w:rFonts w:eastAsia="Perpetua" w:cs="Perpetua"/>
          <w:spacing w:val="-1"/>
        </w:rPr>
        <w:endnoteReference w:id="1737"/>
      </w:r>
      <w:r>
        <w:rPr>
          <w:rFonts w:eastAsia="Perpetua" w:cs="Perpetua"/>
          <w:spacing w:val="-1"/>
        </w:rPr>
        <w:t xml:space="preserve"> </w:t>
      </w:r>
      <w:r>
        <w:rPr>
          <w:rFonts w:eastAsia="Perpetua" w:cs="Perpetua"/>
        </w:rPr>
        <w:t>but,</w:t>
      </w:r>
      <w:r>
        <w:rPr>
          <w:rFonts w:eastAsia="Perpetua" w:cs="Perpetua"/>
          <w:spacing w:val="22"/>
        </w:rPr>
        <w:t xml:space="preserve"> </w:t>
      </w:r>
      <w:r>
        <w:rPr>
          <w:rFonts w:eastAsia="Perpetua" w:cs="Perpetua"/>
          <w:spacing w:val="-1"/>
        </w:rPr>
        <w:t>in</w:t>
      </w:r>
      <w:r>
        <w:rPr>
          <w:rFonts w:eastAsia="Perpetua" w:cs="Perpetua"/>
          <w:spacing w:val="22"/>
        </w:rPr>
        <w:t xml:space="preserve"> </w:t>
      </w:r>
      <w:r>
        <w:rPr>
          <w:rFonts w:eastAsia="Perpetua" w:cs="Perpetua"/>
          <w:spacing w:val="-1"/>
        </w:rPr>
        <w:t>the</w:t>
      </w:r>
      <w:r>
        <w:rPr>
          <w:rFonts w:eastAsia="Perpetua" w:cs="Perpetua"/>
          <w:spacing w:val="22"/>
        </w:rPr>
        <w:t xml:space="preserve"> </w:t>
      </w:r>
      <w:r>
        <w:rPr>
          <w:rFonts w:eastAsia="Perpetua" w:cs="Perpetua"/>
          <w:spacing w:val="-1"/>
        </w:rPr>
        <w:t>middle</w:t>
      </w:r>
      <w:r>
        <w:rPr>
          <w:rFonts w:eastAsia="Perpetua" w:cs="Perpetua"/>
          <w:spacing w:val="22"/>
        </w:rPr>
        <w:t xml:space="preserve"> </w:t>
      </w:r>
      <w:r>
        <w:rPr>
          <w:rFonts w:eastAsia="Perpetua" w:cs="Perpetua"/>
          <w:spacing w:val="-1"/>
        </w:rPr>
        <w:t>of</w:t>
      </w:r>
      <w:r>
        <w:rPr>
          <w:rFonts w:eastAsia="Perpetua" w:cs="Perpetua"/>
          <w:spacing w:val="22"/>
        </w:rPr>
        <w:t xml:space="preserve"> </w:t>
      </w:r>
      <w:r>
        <w:rPr>
          <w:rFonts w:eastAsia="Perpetua" w:cs="Perpetua"/>
          <w:spacing w:val="-1"/>
        </w:rPr>
        <w:t>the</w:t>
      </w:r>
      <w:r>
        <w:rPr>
          <w:rFonts w:eastAsia="Perpetua" w:cs="Perpetua"/>
          <w:spacing w:val="22"/>
        </w:rPr>
        <w:t xml:space="preserve"> </w:t>
      </w:r>
      <w:r>
        <w:rPr>
          <w:rFonts w:eastAsia="Perpetua" w:cs="Perpetua"/>
          <w:spacing w:val="-1"/>
        </w:rPr>
        <w:t>week,</w:t>
      </w:r>
      <w:r>
        <w:rPr>
          <w:rFonts w:eastAsia="Perpetua" w:cs="Perpetua"/>
          <w:spacing w:val="22"/>
        </w:rPr>
        <w:t xml:space="preserve"> </w:t>
      </w:r>
      <w:r>
        <w:rPr>
          <w:rFonts w:eastAsia="Perpetua" w:cs="Perpetua"/>
          <w:spacing w:val="-1"/>
        </w:rPr>
        <w:t>when</w:t>
      </w:r>
      <w:r>
        <w:rPr>
          <w:rFonts w:eastAsia="Perpetua" w:cs="Perpetua"/>
          <w:spacing w:val="22"/>
        </w:rPr>
        <w:t xml:space="preserve"> </w:t>
      </w:r>
      <w:r>
        <w:rPr>
          <w:rFonts w:eastAsia="Perpetua" w:cs="Perpetua"/>
          <w:spacing w:val="-1"/>
        </w:rPr>
        <w:t>Christ’s</w:t>
      </w:r>
      <w:r>
        <w:rPr>
          <w:rFonts w:eastAsia="Perpetua" w:cs="Perpetua"/>
          <w:spacing w:val="22"/>
        </w:rPr>
        <w:t xml:space="preserve"> </w:t>
      </w:r>
      <w:r>
        <w:rPr>
          <w:rFonts w:eastAsia="Perpetua" w:cs="Perpetua"/>
          <w:spacing w:val="-1"/>
        </w:rPr>
        <w:t>ministry</w:t>
      </w:r>
      <w:r>
        <w:rPr>
          <w:rFonts w:eastAsia="Perpetua" w:cs="Perpetua"/>
          <w:spacing w:val="23"/>
        </w:rPr>
        <w:t xml:space="preserve"> </w:t>
      </w:r>
      <w:r>
        <w:rPr>
          <w:rFonts w:eastAsia="Perpetua" w:cs="Perpetua"/>
          <w:spacing w:val="-1"/>
        </w:rPr>
        <w:t>was</w:t>
      </w:r>
      <w:r>
        <w:rPr>
          <w:rFonts w:eastAsia="Perpetua" w:cs="Perpetua"/>
          <w:spacing w:val="23"/>
        </w:rPr>
        <w:t xml:space="preserve"> </w:t>
      </w:r>
      <w:r>
        <w:rPr>
          <w:rFonts w:eastAsia="Perpetua" w:cs="Perpetua"/>
        </w:rPr>
        <w:t>cut</w:t>
      </w:r>
      <w:r>
        <w:rPr>
          <w:rFonts w:eastAsia="Perpetua" w:cs="Perpetua"/>
          <w:spacing w:val="22"/>
        </w:rPr>
        <w:t xml:space="preserve"> </w:t>
      </w:r>
      <w:r>
        <w:rPr>
          <w:rFonts w:eastAsia="Perpetua" w:cs="Perpetua"/>
        </w:rPr>
        <w:t>off</w:t>
      </w:r>
      <w:r>
        <w:rPr>
          <w:rFonts w:eastAsia="Perpetua" w:cs="Perpetua"/>
          <w:spacing w:val="22"/>
        </w:rPr>
        <w:t xml:space="preserve"> </w:t>
      </w:r>
      <w:r>
        <w:rPr>
          <w:rFonts w:eastAsia="Perpetua" w:cs="Perpetua"/>
        </w:rPr>
        <w:t>by</w:t>
      </w:r>
      <w:r>
        <w:rPr>
          <w:rFonts w:eastAsia="Perpetua" w:cs="Perpetua"/>
          <w:spacing w:val="22"/>
        </w:rPr>
        <w:t xml:space="preserve"> </w:t>
      </w:r>
      <w:r>
        <w:rPr>
          <w:rFonts w:eastAsia="Perpetua" w:cs="Perpetua"/>
          <w:spacing w:val="-1"/>
        </w:rPr>
        <w:t>the</w:t>
      </w:r>
      <w:r>
        <w:rPr>
          <w:rFonts w:eastAsia="Perpetua" w:cs="Perpetua"/>
          <w:spacing w:val="22"/>
        </w:rPr>
        <w:t xml:space="preserve"> </w:t>
      </w:r>
      <w:r>
        <w:rPr>
          <w:rFonts w:eastAsia="Perpetua" w:cs="Perpetua"/>
          <w:spacing w:val="-1"/>
        </w:rPr>
        <w:t>crucifixion</w:t>
      </w:r>
      <w:r>
        <w:rPr>
          <w:rFonts w:eastAsia="Perpetua" w:cs="Perpetua"/>
          <w:spacing w:val="22"/>
        </w:rPr>
        <w:t xml:space="preserve"> </w:t>
      </w:r>
      <w:r>
        <w:rPr>
          <w:rFonts w:eastAsia="Perpetua" w:cs="Perpetua"/>
          <w:spacing w:val="-1"/>
        </w:rPr>
        <w:t>after</w:t>
      </w:r>
      <w:r>
        <w:rPr>
          <w:rFonts w:eastAsia="Perpetua" w:cs="Perpetua"/>
          <w:spacing w:val="22"/>
        </w:rPr>
        <w:t xml:space="preserve"> </w:t>
      </w:r>
      <w:r>
        <w:rPr>
          <w:rFonts w:eastAsia="Perpetua" w:cs="Perpetua"/>
        </w:rPr>
        <w:t>3½</w:t>
      </w:r>
      <w:r>
        <w:rPr>
          <w:rFonts w:eastAsia="Perpetua" w:cs="Perpetua"/>
          <w:spacing w:val="69"/>
          <w:w w:val="99"/>
        </w:rPr>
        <w:t xml:space="preserve"> </w:t>
      </w:r>
      <w:r>
        <w:rPr>
          <w:rFonts w:eastAsia="Perpetua" w:cs="Perpetua"/>
        </w:rPr>
        <w:t>years,</w:t>
      </w:r>
      <w:r>
        <w:rPr>
          <w:rFonts w:eastAsia="Perpetua" w:cs="Perpetua"/>
          <w:spacing w:val="6"/>
        </w:rPr>
        <w:t xml:space="preserve"> </w:t>
      </w:r>
      <w:r>
        <w:rPr>
          <w:rFonts w:eastAsia="Perpetua" w:cs="Perpetua"/>
        </w:rPr>
        <w:t>God</w:t>
      </w:r>
      <w:r>
        <w:rPr>
          <w:rFonts w:eastAsia="Perpetua" w:cs="Perpetua"/>
          <w:spacing w:val="6"/>
        </w:rPr>
        <w:t xml:space="preserve"> </w:t>
      </w:r>
      <w:r>
        <w:rPr>
          <w:rFonts w:eastAsia="Perpetua" w:cs="Perpetua"/>
        </w:rPr>
        <w:t>would</w:t>
      </w:r>
      <w:r>
        <w:rPr>
          <w:rFonts w:eastAsia="Perpetua" w:cs="Perpetua"/>
          <w:spacing w:val="6"/>
        </w:rPr>
        <w:t xml:space="preserve"> </w:t>
      </w:r>
      <w:r>
        <w:rPr>
          <w:rFonts w:eastAsia="Perpetua" w:cs="Perpetua"/>
        </w:rPr>
        <w:t>cause</w:t>
      </w:r>
      <w:r>
        <w:rPr>
          <w:rFonts w:eastAsia="Perpetua" w:cs="Perpetua"/>
          <w:spacing w:val="7"/>
        </w:rPr>
        <w:t xml:space="preserve"> </w:t>
      </w:r>
      <w:r>
        <w:rPr>
          <w:rFonts w:eastAsia="Perpetua" w:cs="Perpetua"/>
        </w:rPr>
        <w:t>the</w:t>
      </w:r>
      <w:r>
        <w:rPr>
          <w:rFonts w:eastAsia="Perpetua" w:cs="Perpetua"/>
          <w:spacing w:val="6"/>
        </w:rPr>
        <w:t xml:space="preserve"> </w:t>
      </w:r>
      <w:r>
        <w:rPr>
          <w:rFonts w:eastAsia="Perpetua" w:cs="Perpetua"/>
        </w:rPr>
        <w:t>temple</w:t>
      </w:r>
      <w:r>
        <w:rPr>
          <w:rFonts w:eastAsia="Perpetua" w:cs="Perpetua"/>
          <w:spacing w:val="6"/>
        </w:rPr>
        <w:t xml:space="preserve"> </w:t>
      </w:r>
      <w:r>
        <w:rPr>
          <w:rFonts w:eastAsia="Perpetua" w:cs="Perpetua"/>
        </w:rPr>
        <w:t>to</w:t>
      </w:r>
      <w:r>
        <w:rPr>
          <w:rFonts w:eastAsia="Perpetua" w:cs="Perpetua"/>
          <w:spacing w:val="7"/>
        </w:rPr>
        <w:t xml:space="preserve"> </w:t>
      </w:r>
      <w:r>
        <w:rPr>
          <w:rFonts w:eastAsia="Perpetua" w:cs="Perpetua"/>
        </w:rPr>
        <w:t>be</w:t>
      </w:r>
      <w:r>
        <w:rPr>
          <w:rFonts w:eastAsia="Perpetua" w:cs="Perpetua"/>
          <w:spacing w:val="6"/>
        </w:rPr>
        <w:t xml:space="preserve"> </w:t>
      </w:r>
      <w:r>
        <w:rPr>
          <w:rFonts w:eastAsia="Perpetua" w:cs="Perpetua"/>
          <w:spacing w:val="-1"/>
        </w:rPr>
        <w:t>made</w:t>
      </w:r>
      <w:r>
        <w:rPr>
          <w:rFonts w:eastAsia="Perpetua" w:cs="Perpetua"/>
          <w:spacing w:val="6"/>
        </w:rPr>
        <w:t xml:space="preserve"> </w:t>
      </w:r>
      <w:r>
        <w:rPr>
          <w:rFonts w:eastAsia="Perpetua" w:cs="Perpetua"/>
        </w:rPr>
        <w:t>desolate</w:t>
      </w:r>
      <w:r>
        <w:rPr>
          <w:rFonts w:eastAsia="Perpetua" w:cs="Perpetua"/>
          <w:spacing w:val="6"/>
        </w:rPr>
        <w:t xml:space="preserve"> </w:t>
      </w:r>
      <w:r>
        <w:rPr>
          <w:rFonts w:eastAsia="Perpetua" w:cs="Perpetua"/>
        </w:rPr>
        <w:t>in</w:t>
      </w:r>
      <w:r>
        <w:rPr>
          <w:rFonts w:eastAsia="Perpetua" w:cs="Perpetua"/>
          <w:spacing w:val="7"/>
        </w:rPr>
        <w:t xml:space="preserve"> </w:t>
      </w:r>
      <w:r>
        <w:rPr>
          <w:rFonts w:eastAsia="Perpetua" w:cs="Perpetua"/>
        </w:rPr>
        <w:t>punishment</w:t>
      </w:r>
      <w:r>
        <w:rPr>
          <w:rFonts w:eastAsia="Perpetua" w:cs="Perpetua"/>
          <w:spacing w:val="6"/>
        </w:rPr>
        <w:t xml:space="preserve"> </w:t>
      </w:r>
      <w:r>
        <w:rPr>
          <w:rFonts w:eastAsia="Perpetua" w:cs="Perpetua"/>
        </w:rPr>
        <w:t>for</w:t>
      </w:r>
      <w:r>
        <w:rPr>
          <w:rFonts w:eastAsia="Perpetua" w:cs="Perpetua"/>
          <w:spacing w:val="6"/>
        </w:rPr>
        <w:t xml:space="preserve"> </w:t>
      </w:r>
      <w:r>
        <w:rPr>
          <w:rFonts w:eastAsia="Perpetua" w:cs="Perpetua"/>
        </w:rPr>
        <w:t>Israel’s</w:t>
      </w:r>
      <w:r>
        <w:rPr>
          <w:rFonts w:eastAsia="Perpetua" w:cs="Perpetua"/>
          <w:spacing w:val="6"/>
        </w:rPr>
        <w:t xml:space="preserve"> </w:t>
      </w:r>
      <w:r>
        <w:rPr>
          <w:rFonts w:eastAsia="Perpetua" w:cs="Perpetua"/>
        </w:rPr>
        <w:t>sin</w:t>
      </w:r>
      <w:r>
        <w:rPr>
          <w:rFonts w:eastAsia="Perpetua" w:cs="Perpetua"/>
          <w:spacing w:val="6"/>
        </w:rPr>
        <w:t xml:space="preserve"> </w:t>
      </w:r>
      <w:r>
        <w:rPr>
          <w:rFonts w:eastAsia="Perpetua" w:cs="Perpetua"/>
          <w:spacing w:val="-1"/>
        </w:rPr>
        <w:t>against</w:t>
      </w:r>
      <w:r>
        <w:rPr>
          <w:rFonts w:eastAsia="Perpetua" w:cs="Perpetua"/>
          <w:spacing w:val="7"/>
        </w:rPr>
        <w:t xml:space="preserve"> </w:t>
      </w:r>
      <w:r>
        <w:rPr>
          <w:rFonts w:eastAsia="Perpetua" w:cs="Perpetua"/>
        </w:rPr>
        <w:t>its</w:t>
      </w:r>
      <w:r>
        <w:rPr>
          <w:rFonts w:eastAsia="Perpetua" w:cs="Perpetua"/>
          <w:spacing w:val="6"/>
        </w:rPr>
        <w:t xml:space="preserve"> </w:t>
      </w:r>
      <w:r>
        <w:rPr>
          <w:rFonts w:eastAsia="Perpetua" w:cs="Perpetua"/>
        </w:rPr>
        <w:t>Messiah</w:t>
      </w:r>
      <w:r>
        <w:rPr>
          <w:rFonts w:eastAsia="Perpetua" w:cs="Perpetua"/>
          <w:spacing w:val="26"/>
          <w:w w:val="99"/>
        </w:rPr>
        <w:t xml:space="preserve"> </w:t>
      </w:r>
      <w:r>
        <w:rPr>
          <w:rFonts w:eastAsia="Perpetua" w:cs="Perpetua"/>
        </w:rPr>
        <w:t>and</w:t>
      </w:r>
      <w:r>
        <w:rPr>
          <w:rFonts w:eastAsia="Perpetua" w:cs="Perpetua"/>
          <w:spacing w:val="-7"/>
        </w:rPr>
        <w:t xml:space="preserve"> </w:t>
      </w:r>
      <w:r>
        <w:rPr>
          <w:rFonts w:eastAsia="Perpetua" w:cs="Perpetua"/>
        </w:rPr>
        <w:t>thus</w:t>
      </w:r>
      <w:r>
        <w:rPr>
          <w:rFonts w:eastAsia="Perpetua" w:cs="Perpetua"/>
          <w:spacing w:val="-7"/>
        </w:rPr>
        <w:t xml:space="preserve"> </w:t>
      </w:r>
      <w:r>
        <w:rPr>
          <w:rFonts w:eastAsia="Perpetua" w:cs="Perpetua"/>
        </w:rPr>
        <w:t>sacrifices</w:t>
      </w:r>
      <w:r>
        <w:rPr>
          <w:rFonts w:eastAsia="Perpetua" w:cs="Perpetua"/>
          <w:spacing w:val="-7"/>
        </w:rPr>
        <w:t xml:space="preserve"> </w:t>
      </w:r>
      <w:r>
        <w:rPr>
          <w:rFonts w:eastAsia="Perpetua" w:cs="Perpetua"/>
        </w:rPr>
        <w:t>would</w:t>
      </w:r>
      <w:r>
        <w:rPr>
          <w:rFonts w:eastAsia="Perpetua" w:cs="Perpetua"/>
          <w:spacing w:val="-7"/>
        </w:rPr>
        <w:t xml:space="preserve"> </w:t>
      </w:r>
      <w:r>
        <w:rPr>
          <w:rFonts w:eastAsia="Perpetua" w:cs="Perpetua"/>
        </w:rPr>
        <w:t>be</w:t>
      </w:r>
      <w:r>
        <w:rPr>
          <w:rFonts w:eastAsia="Perpetua" w:cs="Perpetua"/>
          <w:spacing w:val="-6"/>
        </w:rPr>
        <w:t xml:space="preserve"> </w:t>
      </w:r>
      <w:r>
        <w:rPr>
          <w:rFonts w:eastAsia="Perpetua" w:cs="Perpetua"/>
          <w:spacing w:val="-1"/>
        </w:rPr>
        <w:t>curtailed.</w:t>
      </w:r>
      <w:r>
        <w:rPr>
          <w:rStyle w:val="EndnoteReference"/>
          <w:rFonts w:eastAsia="Perpetua" w:cs="Perpetua"/>
          <w:spacing w:val="-1"/>
        </w:rPr>
        <w:endnoteReference w:id="1738"/>
      </w:r>
      <w:r>
        <w:rPr>
          <w:rFonts w:eastAsia="Perpetua" w:cs="Perpetua"/>
          <w:spacing w:val="-1"/>
        </w:rPr>
        <w:t xml:space="preserve">  </w:t>
      </w:r>
    </w:p>
    <w:p w:rsidR="006A2E06" w:rsidRDefault="006A2E06" w:rsidP="006A2E06">
      <w:pPr>
        <w:spacing w:after="120" w:line="360" w:lineRule="auto"/>
        <w:ind w:right="-29" w:firstLine="567"/>
        <w:jc w:val="both"/>
        <w:rPr>
          <w:rFonts w:eastAsia="Perpetua" w:cs="Perpetua"/>
          <w:spacing w:val="-1"/>
        </w:rPr>
      </w:pPr>
      <w:r>
        <w:t>Mathison, a postmillennialist, agrees that the Church has traditionally interpreted Dan. 9:24-7 as prophesying Christ’s first advent and the destruction of Jerusalem by Roman armies.</w:t>
      </w:r>
      <w:r>
        <w:rPr>
          <w:rStyle w:val="EndnoteReference"/>
        </w:rPr>
        <w:endnoteReference w:id="1739"/>
      </w:r>
      <w:r>
        <w:t xml:space="preserve">  </w:t>
      </w:r>
      <w:r>
        <w:rPr>
          <w:rFonts w:eastAsia="Perpetua" w:cs="Perpetua"/>
          <w:spacing w:val="-1"/>
        </w:rPr>
        <w:t>He argues</w:t>
      </w:r>
      <w:r>
        <w:rPr>
          <w:rFonts w:eastAsia="Perpetua" w:cs="Perpetua"/>
        </w:rPr>
        <w:t xml:space="preserve"> that the</w:t>
      </w:r>
      <w:r>
        <w:rPr>
          <w:rFonts w:eastAsia="Perpetua" w:cs="Perpetua"/>
          <w:spacing w:val="3"/>
        </w:rPr>
        <w:t xml:space="preserve"> </w:t>
      </w:r>
      <w:r>
        <w:rPr>
          <w:rFonts w:eastAsia="Perpetua" w:cs="Perpetua"/>
        </w:rPr>
        <w:lastRenderedPageBreak/>
        <w:t>purpose</w:t>
      </w:r>
      <w:r>
        <w:rPr>
          <w:rFonts w:eastAsia="Perpetua" w:cs="Perpetua"/>
          <w:spacing w:val="3"/>
        </w:rPr>
        <w:t xml:space="preserve"> </w:t>
      </w:r>
      <w:r>
        <w:rPr>
          <w:rFonts w:eastAsia="Perpetua" w:cs="Perpetua"/>
        </w:rPr>
        <w:t>of</w:t>
      </w:r>
      <w:r>
        <w:rPr>
          <w:rFonts w:eastAsia="Perpetua" w:cs="Perpetua"/>
          <w:spacing w:val="3"/>
        </w:rPr>
        <w:t xml:space="preserve"> </w:t>
      </w:r>
      <w:r>
        <w:rPr>
          <w:rFonts w:eastAsia="Perpetua" w:cs="Perpetua"/>
        </w:rPr>
        <w:t>the division of the 490 years into periods of 49, 434 and 7 years</w:t>
      </w:r>
      <w:r>
        <w:rPr>
          <w:rFonts w:eastAsia="Perpetua" w:cs="Perpetua"/>
          <w:spacing w:val="3"/>
        </w:rPr>
        <w:t xml:space="preserve"> </w:t>
      </w:r>
      <w:r>
        <w:rPr>
          <w:rFonts w:eastAsia="Perpetua" w:cs="Perpetua"/>
        </w:rPr>
        <w:t>was</w:t>
      </w:r>
      <w:r>
        <w:rPr>
          <w:rFonts w:eastAsia="Perpetua" w:cs="Perpetua"/>
          <w:spacing w:val="3"/>
        </w:rPr>
        <w:t xml:space="preserve"> </w:t>
      </w:r>
      <w:r>
        <w:rPr>
          <w:rFonts w:eastAsia="Perpetua" w:cs="Perpetua"/>
        </w:rPr>
        <w:t>to</w:t>
      </w:r>
      <w:r>
        <w:rPr>
          <w:rFonts w:eastAsia="Perpetua" w:cs="Perpetua"/>
          <w:spacing w:val="2"/>
        </w:rPr>
        <w:t xml:space="preserve"> </w:t>
      </w:r>
      <w:r>
        <w:rPr>
          <w:rFonts w:eastAsia="Perpetua" w:cs="Perpetua"/>
        </w:rPr>
        <w:t>inform</w:t>
      </w:r>
      <w:r>
        <w:rPr>
          <w:rFonts w:eastAsia="Perpetua" w:cs="Perpetua"/>
          <w:w w:val="99"/>
        </w:rPr>
        <w:t xml:space="preserve"> </w:t>
      </w:r>
      <w:r>
        <w:rPr>
          <w:rFonts w:eastAsia="Perpetua" w:cs="Perpetua"/>
        </w:rPr>
        <w:t>Daniel</w:t>
      </w:r>
      <w:r>
        <w:rPr>
          <w:rFonts w:eastAsia="Perpetua" w:cs="Perpetua"/>
          <w:spacing w:val="11"/>
        </w:rPr>
        <w:t xml:space="preserve"> </w:t>
      </w:r>
      <w:r>
        <w:rPr>
          <w:rFonts w:eastAsia="Perpetua" w:cs="Perpetua"/>
        </w:rPr>
        <w:t>of</w:t>
      </w:r>
      <w:r>
        <w:rPr>
          <w:rFonts w:eastAsia="Perpetua" w:cs="Perpetua"/>
          <w:spacing w:val="12"/>
        </w:rPr>
        <w:t xml:space="preserve"> </w:t>
      </w:r>
      <w:r>
        <w:rPr>
          <w:rFonts w:eastAsia="Perpetua" w:cs="Perpetua"/>
        </w:rPr>
        <w:t>the</w:t>
      </w:r>
      <w:r>
        <w:rPr>
          <w:rFonts w:eastAsia="Perpetua" w:cs="Perpetua"/>
          <w:spacing w:val="12"/>
        </w:rPr>
        <w:t xml:space="preserve"> </w:t>
      </w:r>
      <w:r>
        <w:rPr>
          <w:rFonts w:eastAsia="Perpetua" w:cs="Perpetua"/>
        </w:rPr>
        <w:t>length</w:t>
      </w:r>
      <w:r>
        <w:rPr>
          <w:rFonts w:eastAsia="Perpetua" w:cs="Perpetua"/>
          <w:spacing w:val="12"/>
        </w:rPr>
        <w:t xml:space="preserve"> </w:t>
      </w:r>
      <w:r>
        <w:rPr>
          <w:rFonts w:eastAsia="Perpetua" w:cs="Perpetua"/>
        </w:rPr>
        <w:t>of</w:t>
      </w:r>
      <w:r>
        <w:rPr>
          <w:rFonts w:eastAsia="Perpetua" w:cs="Perpetua"/>
          <w:spacing w:val="12"/>
        </w:rPr>
        <w:t xml:space="preserve"> </w:t>
      </w:r>
      <w:r>
        <w:rPr>
          <w:rFonts w:eastAsia="Perpetua" w:cs="Perpetua"/>
        </w:rPr>
        <w:t>time</w:t>
      </w:r>
      <w:r>
        <w:rPr>
          <w:rFonts w:eastAsia="Perpetua" w:cs="Perpetua"/>
          <w:spacing w:val="12"/>
        </w:rPr>
        <w:t xml:space="preserve"> </w:t>
      </w:r>
      <w:r>
        <w:rPr>
          <w:rFonts w:eastAsia="Perpetua" w:cs="Perpetua"/>
        </w:rPr>
        <w:t>involved</w:t>
      </w:r>
      <w:r>
        <w:rPr>
          <w:rFonts w:eastAsia="Perpetua" w:cs="Perpetua"/>
          <w:spacing w:val="12"/>
        </w:rPr>
        <w:t xml:space="preserve"> </w:t>
      </w:r>
      <w:r>
        <w:rPr>
          <w:rFonts w:eastAsia="Perpetua" w:cs="Perpetua"/>
        </w:rPr>
        <w:t>with</w:t>
      </w:r>
      <w:r>
        <w:rPr>
          <w:rFonts w:eastAsia="Perpetua" w:cs="Perpetua"/>
          <w:spacing w:val="11"/>
        </w:rPr>
        <w:t xml:space="preserve"> </w:t>
      </w:r>
      <w:r>
        <w:rPr>
          <w:rFonts w:eastAsia="Perpetua" w:cs="Perpetua"/>
        </w:rPr>
        <w:t>reference</w:t>
      </w:r>
      <w:r>
        <w:rPr>
          <w:rFonts w:eastAsia="Perpetua" w:cs="Perpetua"/>
          <w:spacing w:val="12"/>
        </w:rPr>
        <w:t xml:space="preserve"> </w:t>
      </w:r>
      <w:r>
        <w:rPr>
          <w:rFonts w:eastAsia="Perpetua" w:cs="Perpetua"/>
        </w:rPr>
        <w:t>to</w:t>
      </w:r>
      <w:r>
        <w:rPr>
          <w:rFonts w:eastAsia="Perpetua" w:cs="Perpetua"/>
          <w:spacing w:val="12"/>
        </w:rPr>
        <w:t xml:space="preserve"> </w:t>
      </w:r>
      <w:r>
        <w:rPr>
          <w:rFonts w:eastAsia="Perpetua" w:cs="Perpetua"/>
        </w:rPr>
        <w:t>his</w:t>
      </w:r>
      <w:r>
        <w:rPr>
          <w:rFonts w:eastAsia="Perpetua" w:cs="Perpetua"/>
          <w:spacing w:val="12"/>
        </w:rPr>
        <w:t xml:space="preserve"> </w:t>
      </w:r>
      <w:r>
        <w:rPr>
          <w:rFonts w:eastAsia="Perpetua" w:cs="Perpetua"/>
        </w:rPr>
        <w:t>discernment</w:t>
      </w:r>
      <w:r>
        <w:rPr>
          <w:rFonts w:eastAsia="Perpetua" w:cs="Perpetua"/>
          <w:spacing w:val="12"/>
        </w:rPr>
        <w:t xml:space="preserve"> </w:t>
      </w:r>
      <w:r>
        <w:rPr>
          <w:rFonts w:eastAsia="Perpetua" w:cs="Perpetua"/>
        </w:rPr>
        <w:t>of</w:t>
      </w:r>
      <w:r>
        <w:rPr>
          <w:rFonts w:eastAsia="Perpetua" w:cs="Perpetua"/>
          <w:spacing w:val="12"/>
        </w:rPr>
        <w:t xml:space="preserve"> </w:t>
      </w:r>
      <w:r>
        <w:rPr>
          <w:rFonts w:eastAsia="Perpetua" w:cs="Perpetua"/>
          <w:spacing w:val="-1"/>
        </w:rPr>
        <w:t>Jeremiah’s</w:t>
      </w:r>
      <w:r>
        <w:rPr>
          <w:rFonts w:eastAsia="Perpetua" w:cs="Perpetua"/>
          <w:spacing w:val="13"/>
        </w:rPr>
        <w:t xml:space="preserve"> </w:t>
      </w:r>
      <w:r>
        <w:rPr>
          <w:rFonts w:eastAsia="Perpetua" w:cs="Perpetua"/>
        </w:rPr>
        <w:t>prophecy</w:t>
      </w:r>
      <w:r>
        <w:rPr>
          <w:rFonts w:eastAsia="Perpetua" w:cs="Perpetua"/>
          <w:spacing w:val="12"/>
        </w:rPr>
        <w:t xml:space="preserve"> </w:t>
      </w:r>
      <w:r>
        <w:rPr>
          <w:rFonts w:eastAsia="Perpetua" w:cs="Perpetua"/>
        </w:rPr>
        <w:t>in</w:t>
      </w:r>
      <w:r>
        <w:rPr>
          <w:rFonts w:eastAsia="Perpetua" w:cs="Perpetua"/>
          <w:spacing w:val="11"/>
        </w:rPr>
        <w:t xml:space="preserve"> </w:t>
      </w:r>
      <w:r>
        <w:rPr>
          <w:rFonts w:eastAsia="Perpetua" w:cs="Perpetua"/>
        </w:rPr>
        <w:t>Dan.</w:t>
      </w:r>
      <w:r>
        <w:rPr>
          <w:rFonts w:eastAsia="Perpetua" w:cs="Perpetua"/>
          <w:spacing w:val="24"/>
          <w:w w:val="99"/>
        </w:rPr>
        <w:t xml:space="preserve"> </w:t>
      </w:r>
      <w:r>
        <w:rPr>
          <w:rFonts w:eastAsia="Perpetua" w:cs="Perpetua"/>
          <w:spacing w:val="-1"/>
        </w:rPr>
        <w:t>9:2.  This</w:t>
      </w:r>
      <w:r>
        <w:rPr>
          <w:rFonts w:eastAsia="Perpetua" w:cs="Perpetua"/>
          <w:spacing w:val="16"/>
        </w:rPr>
        <w:t xml:space="preserve"> </w:t>
      </w:r>
      <w:r>
        <w:rPr>
          <w:rFonts w:eastAsia="Perpetua" w:cs="Perpetua"/>
        </w:rPr>
        <w:t>would</w:t>
      </w:r>
      <w:r>
        <w:rPr>
          <w:rFonts w:eastAsia="Perpetua" w:cs="Perpetua"/>
          <w:spacing w:val="17"/>
        </w:rPr>
        <w:t xml:space="preserve"> </w:t>
      </w:r>
      <w:r>
        <w:rPr>
          <w:rFonts w:eastAsia="Perpetua" w:cs="Perpetua"/>
        </w:rPr>
        <w:t>not</w:t>
      </w:r>
      <w:r>
        <w:rPr>
          <w:rFonts w:eastAsia="Perpetua" w:cs="Perpetua"/>
          <w:spacing w:val="16"/>
        </w:rPr>
        <w:t xml:space="preserve"> </w:t>
      </w:r>
      <w:r>
        <w:rPr>
          <w:rFonts w:eastAsia="Perpetua" w:cs="Perpetua"/>
        </w:rPr>
        <w:t>be</w:t>
      </w:r>
      <w:r>
        <w:rPr>
          <w:rFonts w:eastAsia="Perpetua" w:cs="Perpetua"/>
          <w:spacing w:val="17"/>
        </w:rPr>
        <w:t xml:space="preserve"> </w:t>
      </w:r>
      <w:r>
        <w:rPr>
          <w:rFonts w:eastAsia="Perpetua" w:cs="Perpetua"/>
          <w:spacing w:val="-1"/>
        </w:rPr>
        <w:t>feasible</w:t>
      </w:r>
      <w:r>
        <w:rPr>
          <w:rFonts w:eastAsia="Perpetua" w:cs="Perpetua"/>
          <w:spacing w:val="18"/>
        </w:rPr>
        <w:t xml:space="preserve"> </w:t>
      </w:r>
      <w:r>
        <w:rPr>
          <w:rFonts w:eastAsia="Perpetua" w:cs="Perpetua"/>
        </w:rPr>
        <w:t>if</w:t>
      </w:r>
      <w:r>
        <w:rPr>
          <w:rFonts w:eastAsia="Perpetua" w:cs="Perpetua"/>
          <w:spacing w:val="17"/>
        </w:rPr>
        <w:t xml:space="preserve"> </w:t>
      </w:r>
      <w:r>
        <w:rPr>
          <w:rFonts w:eastAsia="Perpetua" w:cs="Perpetua"/>
          <w:spacing w:val="-1"/>
        </w:rPr>
        <w:t>there</w:t>
      </w:r>
      <w:r>
        <w:rPr>
          <w:rFonts w:eastAsia="Perpetua" w:cs="Perpetua"/>
          <w:spacing w:val="17"/>
        </w:rPr>
        <w:t xml:space="preserve"> </w:t>
      </w:r>
      <w:r>
        <w:rPr>
          <w:rFonts w:eastAsia="Perpetua" w:cs="Perpetua"/>
        </w:rPr>
        <w:t>was</w:t>
      </w:r>
      <w:r>
        <w:rPr>
          <w:rFonts w:eastAsia="Perpetua" w:cs="Perpetua"/>
          <w:spacing w:val="16"/>
        </w:rPr>
        <w:t xml:space="preserve"> </w:t>
      </w:r>
      <w:r>
        <w:rPr>
          <w:rFonts w:eastAsia="Perpetua" w:cs="Perpetua"/>
        </w:rPr>
        <w:t>an</w:t>
      </w:r>
      <w:r>
        <w:rPr>
          <w:rFonts w:eastAsia="Perpetua" w:cs="Perpetua"/>
          <w:spacing w:val="17"/>
        </w:rPr>
        <w:t xml:space="preserve"> </w:t>
      </w:r>
      <w:r>
        <w:rPr>
          <w:rFonts w:eastAsia="Perpetua" w:cs="Perpetua"/>
        </w:rPr>
        <w:t>indefinite</w:t>
      </w:r>
      <w:r>
        <w:rPr>
          <w:rFonts w:eastAsia="Perpetua" w:cs="Perpetua"/>
          <w:spacing w:val="17"/>
        </w:rPr>
        <w:t xml:space="preserve"> </w:t>
      </w:r>
      <w:r>
        <w:rPr>
          <w:rFonts w:eastAsia="Perpetua" w:cs="Perpetua"/>
        </w:rPr>
        <w:t>gap</w:t>
      </w:r>
      <w:r>
        <w:rPr>
          <w:rFonts w:eastAsia="Perpetua" w:cs="Perpetua"/>
          <w:spacing w:val="17"/>
        </w:rPr>
        <w:t xml:space="preserve"> </w:t>
      </w:r>
      <w:r>
        <w:rPr>
          <w:rFonts w:eastAsia="Perpetua" w:cs="Perpetua"/>
        </w:rPr>
        <w:t>between</w:t>
      </w:r>
      <w:r>
        <w:rPr>
          <w:rFonts w:eastAsia="Perpetua" w:cs="Perpetua"/>
          <w:spacing w:val="18"/>
        </w:rPr>
        <w:t xml:space="preserve"> </w:t>
      </w:r>
      <w:r>
        <w:rPr>
          <w:rFonts w:eastAsia="Perpetua" w:cs="Perpetua"/>
        </w:rPr>
        <w:t>the</w:t>
      </w:r>
      <w:r>
        <w:rPr>
          <w:rFonts w:eastAsia="Perpetua" w:cs="Perpetua"/>
          <w:spacing w:val="17"/>
        </w:rPr>
        <w:t xml:space="preserve"> </w:t>
      </w:r>
      <w:r>
        <w:rPr>
          <w:rFonts w:eastAsia="Perpetua" w:cs="Perpetua"/>
        </w:rPr>
        <w:t>sixty-ninth</w:t>
      </w:r>
      <w:r>
        <w:rPr>
          <w:rFonts w:eastAsia="Perpetua" w:cs="Perpetua"/>
          <w:spacing w:val="18"/>
        </w:rPr>
        <w:t xml:space="preserve"> </w:t>
      </w:r>
      <w:r>
        <w:rPr>
          <w:rFonts w:eastAsia="Perpetua" w:cs="Perpetua"/>
        </w:rPr>
        <w:t>and</w:t>
      </w:r>
      <w:r>
        <w:rPr>
          <w:rFonts w:eastAsia="Perpetua" w:cs="Perpetua"/>
          <w:spacing w:val="17"/>
        </w:rPr>
        <w:t xml:space="preserve"> </w:t>
      </w:r>
      <w:r>
        <w:rPr>
          <w:rFonts w:eastAsia="Perpetua" w:cs="Perpetua"/>
        </w:rPr>
        <w:t>seventieth</w:t>
      </w:r>
      <w:r>
        <w:rPr>
          <w:rFonts w:eastAsia="Perpetua" w:cs="Perpetua"/>
          <w:spacing w:val="39"/>
          <w:w w:val="99"/>
        </w:rPr>
        <w:t xml:space="preserve"> </w:t>
      </w:r>
      <w:r>
        <w:rPr>
          <w:rFonts w:eastAsia="Perpetua" w:cs="Perpetua"/>
          <w:spacing w:val="-1"/>
        </w:rPr>
        <w:t>weeks,</w:t>
      </w:r>
      <w:r>
        <w:rPr>
          <w:rFonts w:eastAsia="Perpetua" w:cs="Perpetua"/>
          <w:spacing w:val="18"/>
        </w:rPr>
        <w:t xml:space="preserve"> </w:t>
      </w:r>
      <w:r>
        <w:rPr>
          <w:rFonts w:eastAsia="Perpetua" w:cs="Perpetua"/>
          <w:spacing w:val="-1"/>
        </w:rPr>
        <w:t>especially</w:t>
      </w:r>
      <w:r>
        <w:rPr>
          <w:rFonts w:eastAsia="Perpetua" w:cs="Perpetua"/>
          <w:spacing w:val="19"/>
        </w:rPr>
        <w:t xml:space="preserve"> </w:t>
      </w:r>
      <w:r>
        <w:rPr>
          <w:rFonts w:eastAsia="Perpetua" w:cs="Perpetua"/>
        </w:rPr>
        <w:t>when</w:t>
      </w:r>
      <w:r>
        <w:rPr>
          <w:rFonts w:eastAsia="Perpetua" w:cs="Perpetua"/>
          <w:spacing w:val="20"/>
        </w:rPr>
        <w:t xml:space="preserve"> </w:t>
      </w:r>
      <w:r>
        <w:rPr>
          <w:rFonts w:eastAsia="Perpetua" w:cs="Perpetua"/>
          <w:spacing w:val="-1"/>
        </w:rPr>
        <w:t>the</w:t>
      </w:r>
      <w:r>
        <w:rPr>
          <w:rFonts w:eastAsia="Perpetua" w:cs="Perpetua"/>
          <w:spacing w:val="20"/>
        </w:rPr>
        <w:t xml:space="preserve"> </w:t>
      </w:r>
      <w:r>
        <w:rPr>
          <w:rFonts w:eastAsia="Perpetua" w:cs="Perpetua"/>
        </w:rPr>
        <w:t>gap</w:t>
      </w:r>
      <w:r>
        <w:rPr>
          <w:rFonts w:eastAsia="Perpetua" w:cs="Perpetua"/>
          <w:spacing w:val="18"/>
        </w:rPr>
        <w:t xml:space="preserve"> </w:t>
      </w:r>
      <w:r>
        <w:rPr>
          <w:rFonts w:eastAsia="Perpetua" w:cs="Perpetua"/>
          <w:spacing w:val="-1"/>
        </w:rPr>
        <w:t>is</w:t>
      </w:r>
      <w:r>
        <w:rPr>
          <w:rFonts w:eastAsia="Perpetua" w:cs="Perpetua"/>
          <w:spacing w:val="20"/>
        </w:rPr>
        <w:t xml:space="preserve"> </w:t>
      </w:r>
      <w:r>
        <w:rPr>
          <w:rFonts w:eastAsia="Perpetua" w:cs="Perpetua"/>
          <w:spacing w:val="-1"/>
        </w:rPr>
        <w:t>‘already</w:t>
      </w:r>
      <w:r>
        <w:rPr>
          <w:rFonts w:eastAsia="Perpetua" w:cs="Perpetua"/>
          <w:spacing w:val="21"/>
        </w:rPr>
        <w:t xml:space="preserve"> </w:t>
      </w:r>
      <w:r>
        <w:rPr>
          <w:rFonts w:eastAsia="Perpetua" w:cs="Perpetua"/>
          <w:spacing w:val="-1"/>
        </w:rPr>
        <w:t>over</w:t>
      </w:r>
      <w:r>
        <w:rPr>
          <w:rFonts w:eastAsia="Perpetua" w:cs="Perpetua"/>
          <w:spacing w:val="19"/>
        </w:rPr>
        <w:t xml:space="preserve"> </w:t>
      </w:r>
      <w:r>
        <w:rPr>
          <w:rFonts w:eastAsia="Perpetua" w:cs="Perpetua"/>
        </w:rPr>
        <w:t>four</w:t>
      </w:r>
      <w:r>
        <w:rPr>
          <w:rFonts w:eastAsia="Perpetua" w:cs="Perpetua"/>
          <w:spacing w:val="20"/>
        </w:rPr>
        <w:t xml:space="preserve"> </w:t>
      </w:r>
      <w:r>
        <w:rPr>
          <w:rFonts w:eastAsia="Perpetua" w:cs="Perpetua"/>
          <w:spacing w:val="-1"/>
        </w:rPr>
        <w:t>times</w:t>
      </w:r>
      <w:r>
        <w:rPr>
          <w:rFonts w:eastAsia="Perpetua" w:cs="Perpetua"/>
          <w:spacing w:val="18"/>
        </w:rPr>
        <w:t xml:space="preserve"> </w:t>
      </w:r>
      <w:r>
        <w:rPr>
          <w:rFonts w:eastAsia="Perpetua" w:cs="Perpetua"/>
          <w:spacing w:val="-1"/>
        </w:rPr>
        <w:t>longer</w:t>
      </w:r>
      <w:r>
        <w:rPr>
          <w:rFonts w:eastAsia="Perpetua" w:cs="Perpetua"/>
          <w:spacing w:val="20"/>
        </w:rPr>
        <w:t xml:space="preserve"> </w:t>
      </w:r>
      <w:r>
        <w:rPr>
          <w:rFonts w:eastAsia="Perpetua" w:cs="Perpetua"/>
          <w:spacing w:val="-1"/>
        </w:rPr>
        <w:t>than</w:t>
      </w:r>
      <w:r>
        <w:rPr>
          <w:rFonts w:eastAsia="Perpetua" w:cs="Perpetua"/>
          <w:spacing w:val="20"/>
        </w:rPr>
        <w:t xml:space="preserve"> </w:t>
      </w:r>
      <w:r>
        <w:rPr>
          <w:rFonts w:eastAsia="Perpetua" w:cs="Perpetua"/>
          <w:spacing w:val="-1"/>
        </w:rPr>
        <w:t>the</w:t>
      </w:r>
      <w:r>
        <w:rPr>
          <w:rFonts w:eastAsia="Perpetua" w:cs="Perpetua"/>
          <w:spacing w:val="19"/>
        </w:rPr>
        <w:t xml:space="preserve"> </w:t>
      </w:r>
      <w:r>
        <w:rPr>
          <w:rFonts w:eastAsia="Perpetua" w:cs="Perpetua"/>
        </w:rPr>
        <w:t>entire</w:t>
      </w:r>
      <w:r>
        <w:rPr>
          <w:rFonts w:eastAsia="Perpetua" w:cs="Perpetua"/>
          <w:spacing w:val="19"/>
        </w:rPr>
        <w:t xml:space="preserve"> </w:t>
      </w:r>
      <w:r>
        <w:rPr>
          <w:rFonts w:eastAsia="Perpetua" w:cs="Perpetua"/>
        </w:rPr>
        <w:t>seventy-week</w:t>
      </w:r>
      <w:r>
        <w:rPr>
          <w:rFonts w:eastAsia="Perpetua" w:cs="Perpetua"/>
          <w:spacing w:val="19"/>
        </w:rPr>
        <w:t xml:space="preserve"> </w:t>
      </w:r>
      <w:r>
        <w:rPr>
          <w:rFonts w:eastAsia="Perpetua" w:cs="Perpetua"/>
        </w:rPr>
        <w:t>period</w:t>
      </w:r>
      <w:r>
        <w:rPr>
          <w:rFonts w:eastAsia="Perpetua" w:cs="Perpetua"/>
          <w:spacing w:val="49"/>
          <w:w w:val="99"/>
        </w:rPr>
        <w:t xml:space="preserve"> </w:t>
      </w:r>
      <w:r>
        <w:rPr>
          <w:rFonts w:eastAsia="Perpetua" w:cs="Perpetua"/>
        </w:rPr>
        <w:t>itself’.</w:t>
      </w:r>
      <w:r>
        <w:rPr>
          <w:rStyle w:val="EndnoteReference"/>
          <w:rFonts w:eastAsia="Perpetua" w:cs="Perpetua"/>
          <w:spacing w:val="-1"/>
        </w:rPr>
        <w:endnoteReference w:id="1740"/>
      </w:r>
      <w:r>
        <w:rPr>
          <w:rFonts w:eastAsia="Perpetua" w:cs="Perpetua"/>
          <w:spacing w:val="-1"/>
        </w:rPr>
        <w:t xml:space="preserve">  Both Cox and Mathison regard the six divine purposes listed in Dan. 9:24</w:t>
      </w:r>
      <w:r>
        <w:rPr>
          <w:rStyle w:val="EndnoteReference"/>
          <w:rFonts w:eastAsia="Perpetua" w:cs="Perpetua"/>
          <w:spacing w:val="-1"/>
        </w:rPr>
        <w:endnoteReference w:id="1741"/>
      </w:r>
      <w:r>
        <w:rPr>
          <w:rFonts w:eastAsia="Perpetua" w:cs="Perpetua"/>
          <w:spacing w:val="-1"/>
        </w:rPr>
        <w:t xml:space="preserve"> having been fulfilled by Christ at his first advent,</w:t>
      </w:r>
      <w:r>
        <w:rPr>
          <w:rStyle w:val="EndnoteReference"/>
          <w:rFonts w:eastAsia="Perpetua" w:cs="Perpetua"/>
          <w:spacing w:val="-1"/>
        </w:rPr>
        <w:endnoteReference w:id="1742"/>
      </w:r>
      <w:r>
        <w:rPr>
          <w:rFonts w:eastAsia="Perpetua" w:cs="Perpetua"/>
          <w:spacing w:val="-1"/>
        </w:rPr>
        <w:t xml:space="preserve"> and, like Cox, but unlike Scofield, Mathison identifies the ‘he’ of Dan. 9:27 as the Messiah of Verse 26 </w:t>
      </w:r>
      <w:r>
        <w:rPr>
          <w:rFonts w:eastAsia="Perpetua" w:cs="Perpetua"/>
        </w:rPr>
        <w:t>because</w:t>
      </w:r>
      <w:r>
        <w:rPr>
          <w:rFonts w:eastAsia="Perpetua" w:cs="Perpetua"/>
          <w:spacing w:val="-4"/>
        </w:rPr>
        <w:t xml:space="preserve"> </w:t>
      </w:r>
      <w:r>
        <w:rPr>
          <w:rFonts w:eastAsia="Perpetua" w:cs="Perpetua"/>
        </w:rPr>
        <w:t>‘Messiah’</w:t>
      </w:r>
      <w:r>
        <w:rPr>
          <w:rFonts w:eastAsia="Perpetua" w:cs="Perpetua"/>
          <w:spacing w:val="-2"/>
        </w:rPr>
        <w:t xml:space="preserve"> </w:t>
      </w:r>
      <w:r>
        <w:rPr>
          <w:rFonts w:eastAsia="Perpetua" w:cs="Perpetua"/>
        </w:rPr>
        <w:t>is</w:t>
      </w:r>
      <w:r>
        <w:rPr>
          <w:rFonts w:eastAsia="Perpetua" w:cs="Perpetua"/>
          <w:spacing w:val="22"/>
          <w:w w:val="99"/>
        </w:rPr>
        <w:t xml:space="preserve"> </w:t>
      </w:r>
      <w:r>
        <w:rPr>
          <w:rFonts w:eastAsia="Perpetua" w:cs="Perpetua"/>
          <w:spacing w:val="-1"/>
        </w:rPr>
        <w:t>the</w:t>
      </w:r>
      <w:r>
        <w:rPr>
          <w:rFonts w:eastAsia="Perpetua" w:cs="Perpetua"/>
          <w:spacing w:val="13"/>
        </w:rPr>
        <w:t xml:space="preserve"> </w:t>
      </w:r>
      <w:r>
        <w:rPr>
          <w:rFonts w:eastAsia="Perpetua" w:cs="Perpetua"/>
          <w:spacing w:val="-1"/>
        </w:rPr>
        <w:t>subject</w:t>
      </w:r>
      <w:r>
        <w:rPr>
          <w:rFonts w:eastAsia="Perpetua" w:cs="Perpetua"/>
          <w:spacing w:val="13"/>
        </w:rPr>
        <w:t xml:space="preserve"> </w:t>
      </w:r>
      <w:r>
        <w:rPr>
          <w:rFonts w:eastAsia="Perpetua" w:cs="Perpetua"/>
          <w:spacing w:val="-1"/>
        </w:rPr>
        <w:t>of</w:t>
      </w:r>
      <w:r>
        <w:rPr>
          <w:rFonts w:eastAsia="Perpetua" w:cs="Perpetua"/>
          <w:spacing w:val="14"/>
        </w:rPr>
        <w:t xml:space="preserve"> </w:t>
      </w:r>
      <w:r>
        <w:rPr>
          <w:rFonts w:eastAsia="Perpetua" w:cs="Perpetua"/>
          <w:spacing w:val="-1"/>
        </w:rPr>
        <w:t>the</w:t>
      </w:r>
      <w:r>
        <w:rPr>
          <w:rFonts w:eastAsia="Perpetua" w:cs="Perpetua"/>
          <w:spacing w:val="12"/>
        </w:rPr>
        <w:t xml:space="preserve"> </w:t>
      </w:r>
      <w:r>
        <w:rPr>
          <w:rFonts w:eastAsia="Perpetua" w:cs="Perpetua"/>
          <w:spacing w:val="-1"/>
        </w:rPr>
        <w:t>sentence</w:t>
      </w:r>
      <w:r>
        <w:rPr>
          <w:rFonts w:eastAsia="Perpetua" w:cs="Perpetua"/>
          <w:spacing w:val="14"/>
        </w:rPr>
        <w:t xml:space="preserve"> </w:t>
      </w:r>
      <w:r>
        <w:rPr>
          <w:rFonts w:eastAsia="Perpetua" w:cs="Perpetua"/>
          <w:spacing w:val="-1"/>
        </w:rPr>
        <w:t>in</w:t>
      </w:r>
      <w:r>
        <w:rPr>
          <w:rFonts w:eastAsia="Perpetua" w:cs="Perpetua"/>
          <w:spacing w:val="14"/>
        </w:rPr>
        <w:t xml:space="preserve"> </w:t>
      </w:r>
      <w:r>
        <w:rPr>
          <w:rFonts w:eastAsia="Perpetua" w:cs="Perpetua"/>
          <w:spacing w:val="-1"/>
        </w:rPr>
        <w:t>Verse</w:t>
      </w:r>
      <w:r>
        <w:rPr>
          <w:rFonts w:eastAsia="Perpetua" w:cs="Perpetua"/>
          <w:spacing w:val="13"/>
        </w:rPr>
        <w:t xml:space="preserve"> </w:t>
      </w:r>
      <w:r>
        <w:rPr>
          <w:rFonts w:eastAsia="Perpetua" w:cs="Perpetua"/>
        </w:rPr>
        <w:t>26</w:t>
      </w:r>
      <w:r>
        <w:rPr>
          <w:rFonts w:eastAsia="Perpetua" w:cs="Perpetua"/>
          <w:spacing w:val="12"/>
        </w:rPr>
        <w:t xml:space="preserve"> </w:t>
      </w:r>
      <w:r>
        <w:rPr>
          <w:rFonts w:eastAsia="Perpetua" w:cs="Perpetua"/>
          <w:spacing w:val="-1"/>
        </w:rPr>
        <w:t>and</w:t>
      </w:r>
      <w:r>
        <w:rPr>
          <w:rFonts w:eastAsia="Perpetua" w:cs="Perpetua"/>
          <w:spacing w:val="13"/>
        </w:rPr>
        <w:t xml:space="preserve"> </w:t>
      </w:r>
      <w:r>
        <w:rPr>
          <w:rFonts w:eastAsia="Perpetua" w:cs="Perpetua"/>
        </w:rPr>
        <w:t>is</w:t>
      </w:r>
      <w:r>
        <w:rPr>
          <w:rFonts w:eastAsia="Perpetua" w:cs="Perpetua"/>
          <w:spacing w:val="13"/>
        </w:rPr>
        <w:t xml:space="preserve"> </w:t>
      </w:r>
      <w:r>
        <w:rPr>
          <w:rFonts w:eastAsia="Perpetua" w:cs="Perpetua"/>
        </w:rPr>
        <w:t>‘the</w:t>
      </w:r>
      <w:r>
        <w:rPr>
          <w:rFonts w:eastAsia="Perpetua" w:cs="Perpetua"/>
          <w:spacing w:val="13"/>
        </w:rPr>
        <w:t xml:space="preserve"> </w:t>
      </w:r>
      <w:r>
        <w:rPr>
          <w:rFonts w:eastAsia="Perpetua" w:cs="Perpetua"/>
        </w:rPr>
        <w:t>focus</w:t>
      </w:r>
      <w:r>
        <w:rPr>
          <w:rFonts w:eastAsia="Perpetua" w:cs="Perpetua"/>
          <w:spacing w:val="12"/>
        </w:rPr>
        <w:t xml:space="preserve"> </w:t>
      </w:r>
      <w:r>
        <w:rPr>
          <w:rFonts w:eastAsia="Perpetua" w:cs="Perpetua"/>
        </w:rPr>
        <w:t>of</w:t>
      </w:r>
      <w:r>
        <w:rPr>
          <w:rFonts w:eastAsia="Perpetua" w:cs="Perpetua"/>
          <w:spacing w:val="13"/>
        </w:rPr>
        <w:t xml:space="preserve"> </w:t>
      </w:r>
      <w:r>
        <w:rPr>
          <w:rFonts w:eastAsia="Perpetua" w:cs="Perpetua"/>
        </w:rPr>
        <w:t>the</w:t>
      </w:r>
      <w:r>
        <w:rPr>
          <w:rFonts w:eastAsia="Perpetua" w:cs="Perpetua"/>
          <w:spacing w:val="13"/>
        </w:rPr>
        <w:t xml:space="preserve"> </w:t>
      </w:r>
      <w:r>
        <w:rPr>
          <w:rFonts w:eastAsia="Perpetua" w:cs="Perpetua"/>
        </w:rPr>
        <w:t>entire</w:t>
      </w:r>
      <w:r>
        <w:rPr>
          <w:rFonts w:eastAsia="Perpetua" w:cs="Perpetua"/>
          <w:spacing w:val="14"/>
        </w:rPr>
        <w:t xml:space="preserve"> </w:t>
      </w:r>
      <w:r>
        <w:rPr>
          <w:rFonts w:eastAsia="Perpetua" w:cs="Perpetua"/>
        </w:rPr>
        <w:t>passage’</w:t>
      </w:r>
      <w:r>
        <w:rPr>
          <w:rFonts w:eastAsia="Perpetua" w:cs="Perpetua"/>
          <w:spacing w:val="12"/>
        </w:rPr>
        <w:t xml:space="preserve"> </w:t>
      </w:r>
      <w:r>
        <w:rPr>
          <w:rFonts w:eastAsia="Perpetua" w:cs="Perpetua"/>
          <w:spacing w:val="-1"/>
        </w:rPr>
        <w:t>and</w:t>
      </w:r>
      <w:r>
        <w:rPr>
          <w:rFonts w:eastAsia="Perpetua" w:cs="Perpetua"/>
          <w:spacing w:val="13"/>
        </w:rPr>
        <w:t xml:space="preserve"> </w:t>
      </w:r>
      <w:r>
        <w:rPr>
          <w:rFonts w:eastAsia="Perpetua" w:cs="Perpetua"/>
        </w:rPr>
        <w:t>because</w:t>
      </w:r>
      <w:r>
        <w:rPr>
          <w:rFonts w:eastAsia="Perpetua" w:cs="Perpetua"/>
          <w:spacing w:val="13"/>
        </w:rPr>
        <w:t xml:space="preserve"> </w:t>
      </w:r>
      <w:r>
        <w:rPr>
          <w:rFonts w:eastAsia="Perpetua" w:cs="Perpetua"/>
        </w:rPr>
        <w:t>‘the</w:t>
      </w:r>
      <w:r>
        <w:rPr>
          <w:rFonts w:eastAsia="Perpetua" w:cs="Perpetua"/>
          <w:spacing w:val="13"/>
        </w:rPr>
        <w:t xml:space="preserve"> </w:t>
      </w:r>
      <w:r>
        <w:rPr>
          <w:rFonts w:eastAsia="Perpetua" w:cs="Perpetua"/>
        </w:rPr>
        <w:t>“end”</w:t>
      </w:r>
      <w:r>
        <w:rPr>
          <w:rFonts w:eastAsia="Perpetua" w:cs="Perpetua"/>
          <w:spacing w:val="13"/>
        </w:rPr>
        <w:t xml:space="preserve"> </w:t>
      </w:r>
      <w:r>
        <w:rPr>
          <w:rFonts w:eastAsia="Perpetua" w:cs="Perpetua"/>
        </w:rPr>
        <w:t>in</w:t>
      </w:r>
      <w:r>
        <w:rPr>
          <w:rFonts w:eastAsia="Perpetua" w:cs="Perpetua"/>
          <w:spacing w:val="41"/>
          <w:w w:val="99"/>
        </w:rPr>
        <w:t xml:space="preserve"> </w:t>
      </w:r>
      <w:r>
        <w:rPr>
          <w:rFonts w:eastAsia="Perpetua" w:cs="Perpetua"/>
        </w:rPr>
        <w:t>verse</w:t>
      </w:r>
      <w:r>
        <w:rPr>
          <w:rFonts w:eastAsia="Perpetua" w:cs="Perpetua"/>
          <w:spacing w:val="-5"/>
        </w:rPr>
        <w:t xml:space="preserve"> </w:t>
      </w:r>
      <w:r>
        <w:rPr>
          <w:rFonts w:eastAsia="Perpetua" w:cs="Perpetua"/>
        </w:rPr>
        <w:t>26</w:t>
      </w:r>
      <w:r>
        <w:rPr>
          <w:rFonts w:eastAsia="Perpetua" w:cs="Perpetua"/>
          <w:spacing w:val="-5"/>
        </w:rPr>
        <w:t xml:space="preserve"> </w:t>
      </w:r>
      <w:r>
        <w:rPr>
          <w:rFonts w:eastAsia="Perpetua" w:cs="Perpetua"/>
        </w:rPr>
        <w:t>is</w:t>
      </w:r>
      <w:r>
        <w:rPr>
          <w:rFonts w:eastAsia="Perpetua" w:cs="Perpetua"/>
          <w:spacing w:val="-5"/>
        </w:rPr>
        <w:t xml:space="preserve"> </w:t>
      </w:r>
      <w:r>
        <w:rPr>
          <w:rFonts w:eastAsia="Perpetua" w:cs="Perpetua"/>
        </w:rPr>
        <w:t>the</w:t>
      </w:r>
      <w:r>
        <w:rPr>
          <w:rFonts w:eastAsia="Perpetua" w:cs="Perpetua"/>
          <w:spacing w:val="-4"/>
        </w:rPr>
        <w:t xml:space="preserve"> </w:t>
      </w:r>
      <w:r>
        <w:rPr>
          <w:rFonts w:eastAsia="Perpetua" w:cs="Perpetua"/>
        </w:rPr>
        <w:t>“end</w:t>
      </w:r>
      <w:r>
        <w:rPr>
          <w:rFonts w:eastAsia="Perpetua" w:cs="Perpetua"/>
          <w:spacing w:val="-5"/>
        </w:rPr>
        <w:t xml:space="preserve"> </w:t>
      </w:r>
      <w:r>
        <w:rPr>
          <w:rFonts w:eastAsia="Perpetua" w:cs="Perpetua"/>
        </w:rPr>
        <w:t>of</w:t>
      </w:r>
      <w:r>
        <w:rPr>
          <w:rFonts w:eastAsia="Perpetua" w:cs="Perpetua"/>
          <w:spacing w:val="-5"/>
        </w:rPr>
        <w:t xml:space="preserve"> </w:t>
      </w:r>
      <w:r>
        <w:rPr>
          <w:rFonts w:eastAsia="Perpetua" w:cs="Perpetua"/>
        </w:rPr>
        <w:t>destruction”,</w:t>
      </w:r>
      <w:r>
        <w:rPr>
          <w:rFonts w:eastAsia="Perpetua" w:cs="Perpetua"/>
          <w:spacing w:val="-5"/>
        </w:rPr>
        <w:t xml:space="preserve"> </w:t>
      </w:r>
      <w:r>
        <w:rPr>
          <w:rFonts w:eastAsia="Perpetua" w:cs="Perpetua"/>
        </w:rPr>
        <w:t>not</w:t>
      </w:r>
      <w:r>
        <w:rPr>
          <w:rFonts w:eastAsia="Perpetua" w:cs="Perpetua"/>
          <w:spacing w:val="-4"/>
        </w:rPr>
        <w:t xml:space="preserve"> </w:t>
      </w:r>
      <w:r>
        <w:rPr>
          <w:rFonts w:eastAsia="Perpetua" w:cs="Perpetua"/>
        </w:rPr>
        <w:t>“his”</w:t>
      </w:r>
      <w:r>
        <w:rPr>
          <w:rFonts w:eastAsia="Perpetua" w:cs="Perpetua"/>
          <w:spacing w:val="-4"/>
        </w:rPr>
        <w:t xml:space="preserve"> </w:t>
      </w:r>
      <w:r>
        <w:rPr>
          <w:rFonts w:eastAsia="Perpetua" w:cs="Perpetua"/>
          <w:spacing w:val="-1"/>
        </w:rPr>
        <w:t>end’.</w:t>
      </w:r>
      <w:r>
        <w:rPr>
          <w:rStyle w:val="EndnoteReference"/>
          <w:rFonts w:eastAsia="Perpetua" w:cs="Perpetua"/>
          <w:spacing w:val="-1"/>
        </w:rPr>
        <w:endnoteReference w:id="1743"/>
      </w:r>
    </w:p>
    <w:p w:rsidR="006A2E06" w:rsidRDefault="006A2E06" w:rsidP="006A2E06">
      <w:pPr>
        <w:spacing w:after="120" w:line="360" w:lineRule="auto"/>
        <w:ind w:right="-28" w:firstLine="567"/>
        <w:jc w:val="both"/>
        <w:rPr>
          <w:rFonts w:eastAsia="Perpetua" w:cs="Perpetua"/>
        </w:rPr>
      </w:pPr>
      <w:r>
        <w:rPr>
          <w:rFonts w:eastAsia="Perpetua" w:cs="Perpetua"/>
        </w:rPr>
        <w:t>Mathison</w:t>
      </w:r>
      <w:r>
        <w:rPr>
          <w:rFonts w:eastAsia="Perpetua" w:cs="Perpetua"/>
          <w:spacing w:val="-2"/>
        </w:rPr>
        <w:t xml:space="preserve"> </w:t>
      </w:r>
      <w:r>
        <w:rPr>
          <w:rFonts w:eastAsia="Perpetua" w:cs="Perpetua"/>
        </w:rPr>
        <w:t>also</w:t>
      </w:r>
      <w:r>
        <w:rPr>
          <w:rFonts w:eastAsia="Perpetua" w:cs="Perpetua"/>
          <w:spacing w:val="-1"/>
        </w:rPr>
        <w:t xml:space="preserve"> </w:t>
      </w:r>
      <w:r>
        <w:rPr>
          <w:rFonts w:eastAsia="Perpetua" w:cs="Perpetua"/>
        </w:rPr>
        <w:t>argues</w:t>
      </w:r>
      <w:r>
        <w:rPr>
          <w:rFonts w:eastAsia="Perpetua" w:cs="Perpetua"/>
          <w:spacing w:val="1"/>
        </w:rPr>
        <w:t xml:space="preserve"> </w:t>
      </w:r>
      <w:r>
        <w:rPr>
          <w:rFonts w:eastAsia="Perpetua" w:cs="Perpetua"/>
        </w:rPr>
        <w:t>that</w:t>
      </w:r>
      <w:r>
        <w:rPr>
          <w:rFonts w:eastAsia="Perpetua" w:cs="Perpetua"/>
          <w:spacing w:val="-1"/>
        </w:rPr>
        <w:t xml:space="preserve"> </w:t>
      </w:r>
      <w:r>
        <w:rPr>
          <w:rFonts w:eastAsia="Perpetua" w:cs="Perpetua"/>
        </w:rPr>
        <w:t>Christ</w:t>
      </w:r>
      <w:r>
        <w:rPr>
          <w:rFonts w:eastAsia="Perpetua" w:cs="Perpetua"/>
          <w:spacing w:val="-1"/>
        </w:rPr>
        <w:t xml:space="preserve"> </w:t>
      </w:r>
      <w:r>
        <w:rPr>
          <w:rFonts w:eastAsia="Perpetua" w:cs="Perpetua"/>
        </w:rPr>
        <w:t>fulfilled or confirmed</w:t>
      </w:r>
      <w:r>
        <w:rPr>
          <w:rFonts w:eastAsia="Perpetua" w:cs="Perpetua"/>
          <w:spacing w:val="-1"/>
        </w:rPr>
        <w:t xml:space="preserve"> ‘</w:t>
      </w:r>
      <w:r>
        <w:rPr>
          <w:rFonts w:eastAsia="Perpetua" w:cs="Perpetua"/>
        </w:rPr>
        <w:t>the</w:t>
      </w:r>
      <w:r>
        <w:rPr>
          <w:rFonts w:eastAsia="Perpetua" w:cs="Perpetua"/>
          <w:spacing w:val="-1"/>
        </w:rPr>
        <w:t xml:space="preserve"> </w:t>
      </w:r>
      <w:proofErr w:type="gramStart"/>
      <w:r>
        <w:rPr>
          <w:rFonts w:eastAsia="Perpetua" w:cs="Perpetua"/>
        </w:rPr>
        <w:t>stipulations</w:t>
      </w:r>
      <w:r>
        <w:rPr>
          <w:rFonts w:eastAsia="Perpetua" w:cs="Perpetua"/>
          <w:spacing w:val="-1"/>
        </w:rPr>
        <w:t xml:space="preserve"> </w:t>
      </w:r>
      <w:r>
        <w:rPr>
          <w:rFonts w:eastAsia="Perpetua" w:cs="Perpetua"/>
        </w:rPr>
        <w:t>of</w:t>
      </w:r>
      <w:r>
        <w:rPr>
          <w:rFonts w:eastAsia="Perpetua" w:cs="Perpetua"/>
          <w:spacing w:val="-1"/>
        </w:rPr>
        <w:t xml:space="preserve"> </w:t>
      </w:r>
      <w:r>
        <w:rPr>
          <w:rFonts w:eastAsia="Perpetua" w:cs="Perpetua"/>
        </w:rPr>
        <w:t>the</w:t>
      </w:r>
      <w:r>
        <w:rPr>
          <w:rFonts w:eastAsia="Perpetua" w:cs="Perpetua"/>
          <w:spacing w:val="-1"/>
        </w:rPr>
        <w:t xml:space="preserve"> </w:t>
      </w:r>
      <w:r>
        <w:rPr>
          <w:rFonts w:eastAsia="Perpetua" w:cs="Perpetua"/>
        </w:rPr>
        <w:t>old</w:t>
      </w:r>
      <w:r>
        <w:rPr>
          <w:rFonts w:eastAsia="Perpetua" w:cs="Perpetua"/>
          <w:spacing w:val="-1"/>
        </w:rPr>
        <w:t xml:space="preserve"> </w:t>
      </w:r>
      <w:r>
        <w:rPr>
          <w:rFonts w:eastAsia="Perpetua" w:cs="Perpetua"/>
        </w:rPr>
        <w:t>covenant</w:t>
      </w:r>
      <w:r>
        <w:rPr>
          <w:rFonts w:eastAsia="Perpetua" w:cs="Perpetua"/>
          <w:spacing w:val="-1"/>
        </w:rPr>
        <w:t xml:space="preserve"> and </w:t>
      </w:r>
      <w:r>
        <w:rPr>
          <w:rFonts w:eastAsia="Perpetua" w:cs="Perpetua"/>
        </w:rPr>
        <w:t>[his]</w:t>
      </w:r>
      <w:r>
        <w:rPr>
          <w:rFonts w:eastAsia="Perpetua" w:cs="Perpetua"/>
          <w:spacing w:val="22"/>
          <w:w w:val="99"/>
        </w:rPr>
        <w:t xml:space="preserve"> </w:t>
      </w:r>
      <w:r>
        <w:rPr>
          <w:rFonts w:eastAsia="Perpetua" w:cs="Perpetua"/>
          <w:spacing w:val="-1"/>
        </w:rPr>
        <w:t>covenantal</w:t>
      </w:r>
      <w:r>
        <w:rPr>
          <w:rFonts w:eastAsia="Perpetua" w:cs="Perpetua"/>
          <w:spacing w:val="29"/>
        </w:rPr>
        <w:t xml:space="preserve"> </w:t>
      </w:r>
      <w:r>
        <w:rPr>
          <w:rFonts w:eastAsia="Perpetua" w:cs="Perpetua"/>
          <w:spacing w:val="-1"/>
        </w:rPr>
        <w:t>work</w:t>
      </w:r>
      <w:r>
        <w:rPr>
          <w:rFonts w:eastAsia="Perpetua" w:cs="Perpetua"/>
          <w:spacing w:val="30"/>
        </w:rPr>
        <w:t xml:space="preserve"> </w:t>
      </w:r>
      <w:r>
        <w:rPr>
          <w:rFonts w:eastAsia="Perpetua" w:cs="Perpetua"/>
        </w:rPr>
        <w:t>was</w:t>
      </w:r>
      <w:proofErr w:type="gramEnd"/>
      <w:r>
        <w:rPr>
          <w:rFonts w:eastAsia="Perpetua" w:cs="Perpetua"/>
          <w:spacing w:val="29"/>
        </w:rPr>
        <w:t xml:space="preserve"> </w:t>
      </w:r>
      <w:r>
        <w:rPr>
          <w:rFonts w:eastAsia="Perpetua" w:cs="Perpetua"/>
          <w:spacing w:val="-1"/>
        </w:rPr>
        <w:t>directed</w:t>
      </w:r>
      <w:r>
        <w:rPr>
          <w:rFonts w:eastAsia="Perpetua" w:cs="Perpetua"/>
          <w:spacing w:val="30"/>
        </w:rPr>
        <w:t xml:space="preserve"> </w:t>
      </w:r>
      <w:r>
        <w:rPr>
          <w:rFonts w:eastAsia="Perpetua" w:cs="Perpetua"/>
        </w:rPr>
        <w:t>toward</w:t>
      </w:r>
      <w:r>
        <w:rPr>
          <w:rFonts w:eastAsia="Perpetua" w:cs="Perpetua"/>
          <w:spacing w:val="29"/>
        </w:rPr>
        <w:t xml:space="preserve"> </w:t>
      </w:r>
      <w:r>
        <w:rPr>
          <w:rFonts w:eastAsia="Perpetua" w:cs="Perpetua"/>
        </w:rPr>
        <w:t>the</w:t>
      </w:r>
      <w:r>
        <w:rPr>
          <w:rFonts w:eastAsia="Perpetua" w:cs="Perpetua"/>
          <w:spacing w:val="31"/>
        </w:rPr>
        <w:t xml:space="preserve"> </w:t>
      </w:r>
      <w:r>
        <w:rPr>
          <w:rFonts w:eastAsia="Perpetua" w:cs="Perpetua"/>
          <w:spacing w:val="-1"/>
        </w:rPr>
        <w:t>many</w:t>
      </w:r>
      <w:r>
        <w:rPr>
          <w:rFonts w:eastAsia="Perpetua" w:cs="Perpetua"/>
          <w:spacing w:val="30"/>
        </w:rPr>
        <w:t xml:space="preserve"> </w:t>
      </w:r>
      <w:r>
        <w:rPr>
          <w:rFonts w:eastAsia="Perpetua" w:cs="Perpetua"/>
        </w:rPr>
        <w:t>(faithful</w:t>
      </w:r>
      <w:r>
        <w:rPr>
          <w:rFonts w:eastAsia="Perpetua" w:cs="Perpetua"/>
          <w:spacing w:val="30"/>
        </w:rPr>
        <w:t xml:space="preserve"> </w:t>
      </w:r>
      <w:r>
        <w:rPr>
          <w:rFonts w:eastAsia="Perpetua" w:cs="Perpetua"/>
          <w:spacing w:val="-1"/>
        </w:rPr>
        <w:t>Jews)</w:t>
      </w:r>
      <w:r>
        <w:rPr>
          <w:rFonts w:eastAsia="Perpetua" w:cs="Perpetua"/>
          <w:spacing w:val="29"/>
        </w:rPr>
        <w:t xml:space="preserve"> </w:t>
      </w:r>
      <w:r>
        <w:rPr>
          <w:rFonts w:eastAsia="Perpetua" w:cs="Perpetua"/>
        </w:rPr>
        <w:t>for</w:t>
      </w:r>
      <w:r>
        <w:rPr>
          <w:rFonts w:eastAsia="Perpetua" w:cs="Perpetua"/>
          <w:spacing w:val="29"/>
        </w:rPr>
        <w:t xml:space="preserve"> </w:t>
      </w:r>
      <w:r>
        <w:rPr>
          <w:rFonts w:eastAsia="Perpetua" w:cs="Perpetua"/>
          <w:spacing w:val="-1"/>
        </w:rPr>
        <w:t>almost</w:t>
      </w:r>
      <w:r>
        <w:rPr>
          <w:rFonts w:eastAsia="Perpetua" w:cs="Perpetua"/>
          <w:spacing w:val="30"/>
        </w:rPr>
        <w:t xml:space="preserve"> </w:t>
      </w:r>
      <w:r>
        <w:rPr>
          <w:rFonts w:eastAsia="Perpetua" w:cs="Perpetua"/>
        </w:rPr>
        <w:t>exactly</w:t>
      </w:r>
      <w:r>
        <w:rPr>
          <w:rFonts w:eastAsia="Perpetua" w:cs="Perpetua"/>
          <w:spacing w:val="30"/>
        </w:rPr>
        <w:t xml:space="preserve"> </w:t>
      </w:r>
      <w:r>
        <w:rPr>
          <w:rFonts w:eastAsia="Perpetua" w:cs="Perpetua"/>
          <w:spacing w:val="-1"/>
        </w:rPr>
        <w:t>seven</w:t>
      </w:r>
      <w:r>
        <w:rPr>
          <w:rFonts w:eastAsia="Perpetua" w:cs="Perpetua"/>
          <w:spacing w:val="29"/>
        </w:rPr>
        <w:t xml:space="preserve"> </w:t>
      </w:r>
      <w:r>
        <w:rPr>
          <w:rFonts w:eastAsia="Perpetua" w:cs="Perpetua"/>
        </w:rPr>
        <w:t>years</w:t>
      </w:r>
      <w:r>
        <w:rPr>
          <w:rFonts w:eastAsia="Perpetua" w:cs="Perpetua"/>
          <w:spacing w:val="29"/>
        </w:rPr>
        <w:t xml:space="preserve"> </w:t>
      </w:r>
      <w:r>
        <w:rPr>
          <w:rFonts w:eastAsia="Perpetua" w:cs="Perpetua"/>
          <w:spacing w:val="-1"/>
        </w:rPr>
        <w:t>or</w:t>
      </w:r>
      <w:r>
        <w:rPr>
          <w:rFonts w:eastAsia="Perpetua" w:cs="Perpetua"/>
          <w:spacing w:val="30"/>
        </w:rPr>
        <w:t xml:space="preserve"> </w:t>
      </w:r>
      <w:r>
        <w:rPr>
          <w:rFonts w:eastAsia="Perpetua" w:cs="Perpetua"/>
        </w:rPr>
        <w:t>one</w:t>
      </w:r>
      <w:r>
        <w:rPr>
          <w:rFonts w:eastAsia="Perpetua" w:cs="Perpetua"/>
          <w:spacing w:val="51"/>
          <w:w w:val="99"/>
        </w:rPr>
        <w:t xml:space="preserve"> </w:t>
      </w:r>
      <w:r>
        <w:rPr>
          <w:rFonts w:eastAsia="Perpetua" w:cs="Perpetua"/>
          <w:spacing w:val="-1"/>
        </w:rPr>
        <w:t>week’.</w:t>
      </w:r>
      <w:r>
        <w:rPr>
          <w:rFonts w:eastAsia="Perpetua" w:cs="Perpetua"/>
        </w:rPr>
        <w:t xml:space="preserve"> </w:t>
      </w:r>
      <w:r>
        <w:rPr>
          <w:rFonts w:eastAsia="Perpetua" w:cs="Perpetua"/>
          <w:spacing w:val="23"/>
        </w:rPr>
        <w:t xml:space="preserve"> </w:t>
      </w:r>
      <w:r>
        <w:rPr>
          <w:rFonts w:eastAsia="Perpetua" w:cs="Perpetua"/>
          <w:spacing w:val="-1"/>
        </w:rPr>
        <w:t>According</w:t>
      </w:r>
      <w:r>
        <w:rPr>
          <w:rFonts w:eastAsia="Perpetua" w:cs="Perpetua"/>
          <w:spacing w:val="12"/>
        </w:rPr>
        <w:t xml:space="preserve"> </w:t>
      </w:r>
      <w:r>
        <w:rPr>
          <w:rFonts w:eastAsia="Perpetua" w:cs="Perpetua"/>
          <w:spacing w:val="-1"/>
        </w:rPr>
        <w:t>to</w:t>
      </w:r>
      <w:r>
        <w:rPr>
          <w:rFonts w:eastAsia="Perpetua" w:cs="Perpetua"/>
          <w:spacing w:val="12"/>
        </w:rPr>
        <w:t xml:space="preserve"> </w:t>
      </w:r>
      <w:r>
        <w:rPr>
          <w:rFonts w:eastAsia="Perpetua" w:cs="Perpetua"/>
          <w:spacing w:val="-1"/>
        </w:rPr>
        <w:t>Mathison,</w:t>
      </w:r>
      <w:r>
        <w:rPr>
          <w:rFonts w:eastAsia="Perpetua" w:cs="Perpetua"/>
          <w:spacing w:val="11"/>
        </w:rPr>
        <w:t xml:space="preserve"> </w:t>
      </w:r>
      <w:r>
        <w:rPr>
          <w:rFonts w:eastAsia="Perpetua" w:cs="Perpetua"/>
        </w:rPr>
        <w:t>the</w:t>
      </w:r>
      <w:r>
        <w:rPr>
          <w:rFonts w:eastAsia="Perpetua" w:cs="Perpetua"/>
          <w:spacing w:val="12"/>
        </w:rPr>
        <w:t xml:space="preserve"> </w:t>
      </w:r>
      <w:r>
        <w:rPr>
          <w:rFonts w:eastAsia="Perpetua" w:cs="Perpetua"/>
          <w:spacing w:val="-1"/>
        </w:rPr>
        <w:t>three-and-a-half</w:t>
      </w:r>
      <w:r>
        <w:rPr>
          <w:rFonts w:eastAsia="Perpetua" w:cs="Perpetua"/>
          <w:spacing w:val="13"/>
        </w:rPr>
        <w:t xml:space="preserve"> </w:t>
      </w:r>
      <w:r>
        <w:rPr>
          <w:rFonts w:eastAsia="Perpetua" w:cs="Perpetua"/>
        </w:rPr>
        <w:t>years</w:t>
      </w:r>
      <w:r>
        <w:rPr>
          <w:rFonts w:eastAsia="Perpetua" w:cs="Perpetua"/>
          <w:spacing w:val="11"/>
        </w:rPr>
        <w:t xml:space="preserve"> </w:t>
      </w:r>
      <w:r>
        <w:rPr>
          <w:rFonts w:eastAsia="Perpetua" w:cs="Perpetua"/>
        </w:rPr>
        <w:t>of</w:t>
      </w:r>
      <w:r>
        <w:rPr>
          <w:rFonts w:eastAsia="Perpetua" w:cs="Perpetua"/>
          <w:spacing w:val="12"/>
        </w:rPr>
        <w:t xml:space="preserve"> </w:t>
      </w:r>
      <w:r>
        <w:rPr>
          <w:rFonts w:eastAsia="Perpetua" w:cs="Perpetua"/>
        </w:rPr>
        <w:t>Christ’s</w:t>
      </w:r>
      <w:r>
        <w:rPr>
          <w:rFonts w:eastAsia="Perpetua" w:cs="Perpetua"/>
          <w:spacing w:val="13"/>
        </w:rPr>
        <w:t xml:space="preserve"> </w:t>
      </w:r>
      <w:r>
        <w:rPr>
          <w:rFonts w:eastAsia="Perpetua" w:cs="Perpetua"/>
        </w:rPr>
        <w:t>ministry</w:t>
      </w:r>
      <w:r>
        <w:rPr>
          <w:rFonts w:eastAsia="Perpetua" w:cs="Perpetua"/>
          <w:spacing w:val="12"/>
        </w:rPr>
        <w:t xml:space="preserve"> </w:t>
      </w:r>
      <w:r>
        <w:rPr>
          <w:rFonts w:eastAsia="Perpetua" w:cs="Perpetua"/>
        </w:rPr>
        <w:t>focused</w:t>
      </w:r>
      <w:r>
        <w:rPr>
          <w:rFonts w:eastAsia="Perpetua" w:cs="Perpetua"/>
          <w:spacing w:val="13"/>
        </w:rPr>
        <w:t xml:space="preserve"> </w:t>
      </w:r>
      <w:r>
        <w:rPr>
          <w:rFonts w:eastAsia="Perpetua" w:cs="Perpetua"/>
        </w:rPr>
        <w:t>primarily</w:t>
      </w:r>
      <w:r>
        <w:rPr>
          <w:rFonts w:eastAsia="Perpetua" w:cs="Perpetua"/>
          <w:spacing w:val="11"/>
        </w:rPr>
        <w:t xml:space="preserve"> </w:t>
      </w:r>
      <w:r>
        <w:rPr>
          <w:rFonts w:eastAsia="Perpetua" w:cs="Perpetua"/>
        </w:rPr>
        <w:t>on</w:t>
      </w:r>
      <w:r>
        <w:rPr>
          <w:rFonts w:eastAsia="Perpetua" w:cs="Perpetua"/>
          <w:spacing w:val="12"/>
        </w:rPr>
        <w:t xml:space="preserve"> </w:t>
      </w:r>
      <w:r>
        <w:rPr>
          <w:rFonts w:eastAsia="Perpetua" w:cs="Perpetua"/>
        </w:rPr>
        <w:t xml:space="preserve">the </w:t>
      </w:r>
      <w:r>
        <w:rPr>
          <w:rFonts w:eastAsia="Perpetua" w:cs="Perpetua"/>
          <w:spacing w:val="-1"/>
        </w:rPr>
        <w:t>Jews</w:t>
      </w:r>
      <w:r>
        <w:rPr>
          <w:rStyle w:val="EndnoteReference"/>
          <w:rFonts w:eastAsia="Perpetua" w:cs="Perpetua"/>
          <w:spacing w:val="-1"/>
        </w:rPr>
        <w:endnoteReference w:id="1744"/>
      </w:r>
      <w:r>
        <w:rPr>
          <w:rFonts w:eastAsia="Perpetua" w:cs="Perpetua"/>
          <w:spacing w:val="-1"/>
        </w:rPr>
        <w:t xml:space="preserve"> and</w:t>
      </w:r>
      <w:r>
        <w:rPr>
          <w:rFonts w:eastAsia="Perpetua" w:cs="Perpetua"/>
          <w:spacing w:val="10"/>
        </w:rPr>
        <w:t xml:space="preserve"> </w:t>
      </w:r>
      <w:r>
        <w:rPr>
          <w:rFonts w:eastAsia="Perpetua" w:cs="Perpetua"/>
        </w:rPr>
        <w:t>the</w:t>
      </w:r>
      <w:r>
        <w:rPr>
          <w:rFonts w:eastAsia="Perpetua" w:cs="Perpetua"/>
          <w:spacing w:val="10"/>
        </w:rPr>
        <w:t xml:space="preserve"> </w:t>
      </w:r>
      <w:r>
        <w:rPr>
          <w:rFonts w:eastAsia="Perpetua" w:cs="Perpetua"/>
          <w:spacing w:val="-1"/>
        </w:rPr>
        <w:t>approximately</w:t>
      </w:r>
      <w:r>
        <w:rPr>
          <w:rFonts w:eastAsia="Perpetua" w:cs="Perpetua"/>
          <w:spacing w:val="10"/>
        </w:rPr>
        <w:t xml:space="preserve"> </w:t>
      </w:r>
      <w:r>
        <w:rPr>
          <w:rFonts w:eastAsia="Perpetua" w:cs="Perpetua"/>
        </w:rPr>
        <w:t>three-and-a-half</w:t>
      </w:r>
      <w:r>
        <w:rPr>
          <w:rFonts w:eastAsia="Perpetua" w:cs="Perpetua"/>
          <w:spacing w:val="9"/>
        </w:rPr>
        <w:t xml:space="preserve"> </w:t>
      </w:r>
      <w:r>
        <w:rPr>
          <w:rFonts w:eastAsia="Perpetua" w:cs="Perpetua"/>
        </w:rPr>
        <w:t>years</w:t>
      </w:r>
      <w:r>
        <w:rPr>
          <w:rFonts w:eastAsia="Perpetua" w:cs="Perpetua"/>
          <w:spacing w:val="8"/>
        </w:rPr>
        <w:t xml:space="preserve"> </w:t>
      </w:r>
      <w:r>
        <w:rPr>
          <w:rFonts w:eastAsia="Perpetua" w:cs="Perpetua"/>
        </w:rPr>
        <w:t>of</w:t>
      </w:r>
      <w:r>
        <w:rPr>
          <w:rFonts w:eastAsia="Perpetua" w:cs="Perpetua"/>
          <w:spacing w:val="9"/>
        </w:rPr>
        <w:t xml:space="preserve"> </w:t>
      </w:r>
      <w:r>
        <w:rPr>
          <w:rFonts w:eastAsia="Perpetua" w:cs="Perpetua"/>
        </w:rPr>
        <w:t>his</w:t>
      </w:r>
      <w:r>
        <w:rPr>
          <w:rFonts w:eastAsia="Perpetua" w:cs="Perpetua"/>
          <w:spacing w:val="8"/>
        </w:rPr>
        <w:t xml:space="preserve"> </w:t>
      </w:r>
      <w:r>
        <w:rPr>
          <w:rFonts w:eastAsia="Perpetua" w:cs="Perpetua"/>
          <w:spacing w:val="-1"/>
        </w:rPr>
        <w:t>apostles’</w:t>
      </w:r>
      <w:r>
        <w:rPr>
          <w:rFonts w:eastAsia="Perpetua" w:cs="Perpetua"/>
          <w:spacing w:val="11"/>
        </w:rPr>
        <w:t xml:space="preserve"> </w:t>
      </w:r>
      <w:r>
        <w:rPr>
          <w:rFonts w:eastAsia="Perpetua" w:cs="Perpetua"/>
          <w:spacing w:val="-1"/>
        </w:rPr>
        <w:t>ministry</w:t>
      </w:r>
      <w:r>
        <w:rPr>
          <w:rFonts w:eastAsia="Perpetua" w:cs="Perpetua"/>
          <w:spacing w:val="10"/>
        </w:rPr>
        <w:t xml:space="preserve"> </w:t>
      </w:r>
      <w:r>
        <w:rPr>
          <w:rFonts w:eastAsia="Perpetua" w:cs="Perpetua"/>
          <w:spacing w:val="-1"/>
        </w:rPr>
        <w:t>also</w:t>
      </w:r>
      <w:r>
        <w:rPr>
          <w:rFonts w:eastAsia="Perpetua" w:cs="Perpetua"/>
          <w:spacing w:val="10"/>
        </w:rPr>
        <w:t xml:space="preserve"> </w:t>
      </w:r>
      <w:r>
        <w:rPr>
          <w:rFonts w:eastAsia="Perpetua" w:cs="Perpetua"/>
        </w:rPr>
        <w:t>‘focused</w:t>
      </w:r>
      <w:r>
        <w:rPr>
          <w:rFonts w:eastAsia="Perpetua" w:cs="Perpetua"/>
          <w:spacing w:val="10"/>
        </w:rPr>
        <w:t xml:space="preserve"> </w:t>
      </w:r>
      <w:r>
        <w:rPr>
          <w:rFonts w:eastAsia="Perpetua" w:cs="Perpetua"/>
          <w:spacing w:val="-1"/>
        </w:rPr>
        <w:t>almost</w:t>
      </w:r>
      <w:r>
        <w:rPr>
          <w:rFonts w:eastAsia="Perpetua" w:cs="Perpetua"/>
          <w:spacing w:val="25"/>
          <w:w w:val="99"/>
        </w:rPr>
        <w:t xml:space="preserve"> </w:t>
      </w:r>
      <w:r>
        <w:rPr>
          <w:rFonts w:eastAsia="Perpetua" w:cs="Perpetua"/>
        </w:rPr>
        <w:t>exclusively</w:t>
      </w:r>
      <w:r>
        <w:rPr>
          <w:rFonts w:eastAsia="Perpetua" w:cs="Perpetua"/>
          <w:spacing w:val="12"/>
        </w:rPr>
        <w:t xml:space="preserve"> </w:t>
      </w:r>
      <w:r>
        <w:rPr>
          <w:rFonts w:eastAsia="Perpetua" w:cs="Perpetua"/>
          <w:spacing w:val="-1"/>
        </w:rPr>
        <w:t>on</w:t>
      </w:r>
      <w:r>
        <w:rPr>
          <w:rFonts w:eastAsia="Perpetua" w:cs="Perpetua"/>
          <w:spacing w:val="12"/>
        </w:rPr>
        <w:t xml:space="preserve"> </w:t>
      </w:r>
      <w:r>
        <w:rPr>
          <w:rFonts w:eastAsia="Perpetua" w:cs="Perpetua"/>
          <w:spacing w:val="-1"/>
        </w:rPr>
        <w:t>the</w:t>
      </w:r>
      <w:r>
        <w:rPr>
          <w:rFonts w:eastAsia="Perpetua" w:cs="Perpetua"/>
          <w:spacing w:val="12"/>
        </w:rPr>
        <w:t xml:space="preserve"> </w:t>
      </w:r>
      <w:r>
        <w:rPr>
          <w:rFonts w:eastAsia="Perpetua" w:cs="Perpetua"/>
          <w:spacing w:val="-1"/>
        </w:rPr>
        <w:t>Jews’.</w:t>
      </w:r>
      <w:r>
        <w:rPr>
          <w:rStyle w:val="EndnoteReference"/>
          <w:rFonts w:eastAsia="Perpetua" w:cs="Perpetua"/>
          <w:spacing w:val="-1"/>
        </w:rPr>
        <w:endnoteReference w:id="1745"/>
      </w:r>
      <w:r>
        <w:rPr>
          <w:rFonts w:eastAsia="Perpetua" w:cs="Perpetua"/>
          <w:spacing w:val="-1"/>
        </w:rPr>
        <w:t xml:space="preserve">  While</w:t>
      </w:r>
      <w:r>
        <w:rPr>
          <w:rFonts w:eastAsia="Perpetua" w:cs="Perpetua"/>
          <w:spacing w:val="13"/>
        </w:rPr>
        <w:t xml:space="preserve"> </w:t>
      </w:r>
      <w:r>
        <w:rPr>
          <w:rFonts w:eastAsia="Perpetua" w:cs="Perpetua"/>
          <w:spacing w:val="-1"/>
        </w:rPr>
        <w:t>this</w:t>
      </w:r>
      <w:r>
        <w:rPr>
          <w:rFonts w:eastAsia="Perpetua" w:cs="Perpetua"/>
          <w:spacing w:val="12"/>
        </w:rPr>
        <w:t xml:space="preserve"> </w:t>
      </w:r>
      <w:r>
        <w:rPr>
          <w:rFonts w:eastAsia="Perpetua" w:cs="Perpetua"/>
          <w:spacing w:val="-1"/>
        </w:rPr>
        <w:t>argument</w:t>
      </w:r>
      <w:r>
        <w:rPr>
          <w:rFonts w:eastAsia="Perpetua" w:cs="Perpetua"/>
          <w:spacing w:val="12"/>
        </w:rPr>
        <w:t xml:space="preserve"> </w:t>
      </w:r>
      <w:r>
        <w:rPr>
          <w:rFonts w:eastAsia="Perpetua" w:cs="Perpetua"/>
          <w:spacing w:val="-1"/>
        </w:rPr>
        <w:t>is</w:t>
      </w:r>
      <w:r>
        <w:rPr>
          <w:rFonts w:eastAsia="Perpetua" w:cs="Perpetua"/>
          <w:spacing w:val="13"/>
        </w:rPr>
        <w:t xml:space="preserve"> </w:t>
      </w:r>
      <w:r>
        <w:rPr>
          <w:rFonts w:eastAsia="Perpetua" w:cs="Perpetua"/>
          <w:spacing w:val="-1"/>
        </w:rPr>
        <w:t>sustainable</w:t>
      </w:r>
      <w:r>
        <w:rPr>
          <w:rFonts w:eastAsia="Perpetua" w:cs="Perpetua"/>
          <w:spacing w:val="12"/>
        </w:rPr>
        <w:t xml:space="preserve"> </w:t>
      </w:r>
      <w:r>
        <w:rPr>
          <w:rFonts w:eastAsia="Perpetua" w:cs="Perpetua"/>
          <w:spacing w:val="-1"/>
        </w:rPr>
        <w:t>with</w:t>
      </w:r>
      <w:r>
        <w:rPr>
          <w:rFonts w:eastAsia="Perpetua" w:cs="Perpetua"/>
          <w:spacing w:val="14"/>
        </w:rPr>
        <w:t xml:space="preserve"> </w:t>
      </w:r>
      <w:r>
        <w:rPr>
          <w:rFonts w:eastAsia="Perpetua" w:cs="Perpetua"/>
          <w:spacing w:val="-1"/>
        </w:rPr>
        <w:t>regard</w:t>
      </w:r>
      <w:r>
        <w:rPr>
          <w:rFonts w:eastAsia="Perpetua" w:cs="Perpetua"/>
          <w:spacing w:val="14"/>
        </w:rPr>
        <w:t xml:space="preserve"> </w:t>
      </w:r>
      <w:r>
        <w:rPr>
          <w:rFonts w:eastAsia="Perpetua" w:cs="Perpetua"/>
        </w:rPr>
        <w:t>to</w:t>
      </w:r>
      <w:r>
        <w:rPr>
          <w:rFonts w:eastAsia="Perpetua" w:cs="Perpetua"/>
          <w:spacing w:val="12"/>
        </w:rPr>
        <w:t xml:space="preserve"> </w:t>
      </w:r>
      <w:r>
        <w:rPr>
          <w:rFonts w:eastAsia="Perpetua" w:cs="Perpetua"/>
          <w:spacing w:val="-1"/>
        </w:rPr>
        <w:t>Christ</w:t>
      </w:r>
      <w:r>
        <w:rPr>
          <w:rFonts w:eastAsia="Perpetua" w:cs="Perpetua"/>
          <w:spacing w:val="12"/>
        </w:rPr>
        <w:t xml:space="preserve"> </w:t>
      </w:r>
      <w:r>
        <w:rPr>
          <w:rFonts w:eastAsia="Perpetua" w:cs="Perpetua"/>
          <w:spacing w:val="-1"/>
        </w:rPr>
        <w:t>and</w:t>
      </w:r>
      <w:r>
        <w:rPr>
          <w:rFonts w:eastAsia="Perpetua" w:cs="Perpetua"/>
          <w:spacing w:val="12"/>
        </w:rPr>
        <w:t xml:space="preserve"> </w:t>
      </w:r>
      <w:r>
        <w:rPr>
          <w:rFonts w:eastAsia="Perpetua" w:cs="Perpetua"/>
        </w:rPr>
        <w:t>the</w:t>
      </w:r>
      <w:r>
        <w:rPr>
          <w:rFonts w:eastAsia="Perpetua" w:cs="Perpetua"/>
          <w:spacing w:val="12"/>
        </w:rPr>
        <w:t xml:space="preserve"> </w:t>
      </w:r>
      <w:r>
        <w:rPr>
          <w:rFonts w:eastAsia="Perpetua" w:cs="Perpetua"/>
        </w:rPr>
        <w:t>two</w:t>
      </w:r>
      <w:r>
        <w:rPr>
          <w:rFonts w:eastAsia="Perpetua" w:cs="Perpetua"/>
          <w:spacing w:val="13"/>
        </w:rPr>
        <w:t xml:space="preserve"> </w:t>
      </w:r>
      <w:r>
        <w:rPr>
          <w:rFonts w:eastAsia="Perpetua" w:cs="Perpetua"/>
        </w:rPr>
        <w:t>verses</w:t>
      </w:r>
      <w:r>
        <w:rPr>
          <w:rFonts w:eastAsia="Perpetua" w:cs="Perpetua"/>
          <w:spacing w:val="49"/>
          <w:w w:val="99"/>
        </w:rPr>
        <w:t xml:space="preserve"> </w:t>
      </w:r>
      <w:r>
        <w:rPr>
          <w:rFonts w:eastAsia="Perpetua" w:cs="Perpetua"/>
        </w:rPr>
        <w:t>quoted</w:t>
      </w:r>
      <w:r>
        <w:rPr>
          <w:rFonts w:eastAsia="Perpetua" w:cs="Perpetua"/>
          <w:spacing w:val="41"/>
        </w:rPr>
        <w:t xml:space="preserve"> </w:t>
      </w:r>
      <w:r>
        <w:rPr>
          <w:rFonts w:eastAsia="Perpetua" w:cs="Perpetua"/>
        </w:rPr>
        <w:t>from</w:t>
      </w:r>
      <w:r>
        <w:rPr>
          <w:rFonts w:eastAsia="Perpetua" w:cs="Perpetua"/>
          <w:spacing w:val="42"/>
        </w:rPr>
        <w:t xml:space="preserve"> </w:t>
      </w:r>
      <w:r>
        <w:rPr>
          <w:rFonts w:eastAsia="Perpetua" w:cs="Perpetua"/>
        </w:rPr>
        <w:t>Matthew;</w:t>
      </w:r>
      <w:r>
        <w:rPr>
          <w:rFonts w:eastAsia="Perpetua" w:cs="Perpetua"/>
          <w:spacing w:val="43"/>
        </w:rPr>
        <w:t xml:space="preserve"> </w:t>
      </w:r>
      <w:r>
        <w:rPr>
          <w:rFonts w:eastAsia="Perpetua" w:cs="Perpetua"/>
        </w:rPr>
        <w:t>it</w:t>
      </w:r>
      <w:r>
        <w:rPr>
          <w:rFonts w:eastAsia="Perpetua" w:cs="Perpetua"/>
          <w:spacing w:val="43"/>
        </w:rPr>
        <w:t xml:space="preserve"> </w:t>
      </w:r>
      <w:r>
        <w:rPr>
          <w:rFonts w:eastAsia="Perpetua" w:cs="Perpetua"/>
        </w:rPr>
        <w:t>is</w:t>
      </w:r>
      <w:r>
        <w:rPr>
          <w:rFonts w:eastAsia="Perpetua" w:cs="Perpetua"/>
          <w:spacing w:val="42"/>
        </w:rPr>
        <w:t xml:space="preserve"> </w:t>
      </w:r>
      <w:r>
        <w:rPr>
          <w:rFonts w:eastAsia="Perpetua" w:cs="Perpetua"/>
        </w:rPr>
        <w:t>not</w:t>
      </w:r>
      <w:r>
        <w:rPr>
          <w:rFonts w:eastAsia="Perpetua" w:cs="Perpetua"/>
          <w:spacing w:val="43"/>
        </w:rPr>
        <w:t xml:space="preserve"> </w:t>
      </w:r>
      <w:r>
        <w:rPr>
          <w:rFonts w:eastAsia="Perpetua" w:cs="Perpetua"/>
        </w:rPr>
        <w:t>justified</w:t>
      </w:r>
      <w:r>
        <w:rPr>
          <w:rFonts w:eastAsia="Perpetua" w:cs="Perpetua"/>
          <w:spacing w:val="44"/>
        </w:rPr>
        <w:t xml:space="preserve"> </w:t>
      </w:r>
      <w:r>
        <w:rPr>
          <w:rFonts w:eastAsia="Perpetua" w:cs="Perpetua"/>
        </w:rPr>
        <w:t>in</w:t>
      </w:r>
      <w:r>
        <w:rPr>
          <w:rFonts w:eastAsia="Perpetua" w:cs="Perpetua"/>
          <w:spacing w:val="42"/>
        </w:rPr>
        <w:t xml:space="preserve"> </w:t>
      </w:r>
      <w:r>
        <w:rPr>
          <w:rFonts w:eastAsia="Perpetua" w:cs="Perpetua"/>
        </w:rPr>
        <w:t>the</w:t>
      </w:r>
      <w:r>
        <w:rPr>
          <w:rFonts w:eastAsia="Perpetua" w:cs="Perpetua"/>
          <w:spacing w:val="43"/>
        </w:rPr>
        <w:t xml:space="preserve"> </w:t>
      </w:r>
      <w:r>
        <w:rPr>
          <w:rFonts w:eastAsia="Perpetua" w:cs="Perpetua"/>
        </w:rPr>
        <w:t>case</w:t>
      </w:r>
      <w:r>
        <w:rPr>
          <w:rFonts w:eastAsia="Perpetua" w:cs="Perpetua"/>
          <w:spacing w:val="42"/>
        </w:rPr>
        <w:t xml:space="preserve"> </w:t>
      </w:r>
      <w:r>
        <w:rPr>
          <w:rFonts w:eastAsia="Perpetua" w:cs="Perpetua"/>
          <w:spacing w:val="-1"/>
        </w:rPr>
        <w:t>of</w:t>
      </w:r>
      <w:r>
        <w:rPr>
          <w:rFonts w:eastAsia="Perpetua" w:cs="Perpetua"/>
          <w:spacing w:val="42"/>
        </w:rPr>
        <w:t xml:space="preserve"> </w:t>
      </w:r>
      <w:r>
        <w:rPr>
          <w:rFonts w:eastAsia="Perpetua" w:cs="Perpetua"/>
          <w:spacing w:val="-1"/>
        </w:rPr>
        <w:t>the</w:t>
      </w:r>
      <w:r>
        <w:rPr>
          <w:rFonts w:eastAsia="Perpetua" w:cs="Perpetua"/>
          <w:spacing w:val="41"/>
        </w:rPr>
        <w:t xml:space="preserve"> </w:t>
      </w:r>
      <w:r>
        <w:rPr>
          <w:rFonts w:eastAsia="Perpetua" w:cs="Perpetua"/>
          <w:spacing w:val="-1"/>
        </w:rPr>
        <w:t>references</w:t>
      </w:r>
      <w:r>
        <w:rPr>
          <w:rFonts w:eastAsia="Perpetua" w:cs="Perpetua"/>
          <w:spacing w:val="42"/>
        </w:rPr>
        <w:t xml:space="preserve"> </w:t>
      </w:r>
      <w:r>
        <w:rPr>
          <w:rFonts w:eastAsia="Perpetua" w:cs="Perpetua"/>
          <w:spacing w:val="-1"/>
        </w:rPr>
        <w:t>to</w:t>
      </w:r>
      <w:r>
        <w:rPr>
          <w:rFonts w:eastAsia="Perpetua" w:cs="Perpetua"/>
          <w:spacing w:val="42"/>
        </w:rPr>
        <w:t xml:space="preserve"> </w:t>
      </w:r>
      <w:r>
        <w:rPr>
          <w:rFonts w:eastAsia="Perpetua" w:cs="Perpetua"/>
          <w:spacing w:val="-1"/>
        </w:rPr>
        <w:t>Acts</w:t>
      </w:r>
      <w:r>
        <w:rPr>
          <w:rFonts w:eastAsia="Perpetua" w:cs="Perpetua"/>
          <w:spacing w:val="42"/>
        </w:rPr>
        <w:t xml:space="preserve"> </w:t>
      </w:r>
      <w:r>
        <w:rPr>
          <w:rFonts w:eastAsia="Perpetua" w:cs="Perpetua"/>
          <w:spacing w:val="-1"/>
        </w:rPr>
        <w:t>and</w:t>
      </w:r>
      <w:r>
        <w:rPr>
          <w:rFonts w:eastAsia="Perpetua" w:cs="Perpetua"/>
          <w:spacing w:val="43"/>
        </w:rPr>
        <w:t xml:space="preserve"> </w:t>
      </w:r>
      <w:r>
        <w:rPr>
          <w:rFonts w:eastAsia="Perpetua" w:cs="Perpetua"/>
          <w:spacing w:val="-1"/>
        </w:rPr>
        <w:t>Romans,</w:t>
      </w:r>
      <w:r>
        <w:rPr>
          <w:rFonts w:eastAsia="Perpetua" w:cs="Perpetua"/>
          <w:spacing w:val="43"/>
        </w:rPr>
        <w:t xml:space="preserve"> </w:t>
      </w:r>
      <w:r>
        <w:rPr>
          <w:rFonts w:eastAsia="Perpetua" w:cs="Perpetua"/>
          <w:spacing w:val="-1"/>
        </w:rPr>
        <w:t>where</w:t>
      </w:r>
      <w:r>
        <w:rPr>
          <w:rFonts w:eastAsia="Perpetua" w:cs="Perpetua"/>
          <w:spacing w:val="29"/>
          <w:w w:val="99"/>
        </w:rPr>
        <w:t xml:space="preserve"> </w:t>
      </w:r>
      <w:r>
        <w:rPr>
          <w:rFonts w:eastAsia="Perpetua" w:cs="Perpetua"/>
          <w:spacing w:val="-1"/>
        </w:rPr>
        <w:t>Jerusalem</w:t>
      </w:r>
      <w:r>
        <w:rPr>
          <w:rFonts w:eastAsia="Perpetua" w:cs="Perpetua"/>
          <w:spacing w:val="41"/>
        </w:rPr>
        <w:t xml:space="preserve"> </w:t>
      </w:r>
      <w:r>
        <w:rPr>
          <w:rFonts w:eastAsia="Perpetua" w:cs="Perpetua"/>
          <w:spacing w:val="-1"/>
        </w:rPr>
        <w:t>and</w:t>
      </w:r>
      <w:r>
        <w:rPr>
          <w:rFonts w:eastAsia="Perpetua" w:cs="Perpetua"/>
          <w:spacing w:val="43"/>
        </w:rPr>
        <w:t xml:space="preserve"> </w:t>
      </w:r>
      <w:r>
        <w:rPr>
          <w:rFonts w:eastAsia="Perpetua" w:cs="Perpetua"/>
          <w:spacing w:val="-1"/>
        </w:rPr>
        <w:t>the</w:t>
      </w:r>
      <w:r>
        <w:rPr>
          <w:rFonts w:eastAsia="Perpetua" w:cs="Perpetua"/>
          <w:spacing w:val="41"/>
        </w:rPr>
        <w:t xml:space="preserve"> </w:t>
      </w:r>
      <w:r>
        <w:rPr>
          <w:rFonts w:eastAsia="Perpetua" w:cs="Perpetua"/>
          <w:spacing w:val="-1"/>
        </w:rPr>
        <w:t>Jews</w:t>
      </w:r>
      <w:r>
        <w:rPr>
          <w:rFonts w:eastAsia="Perpetua" w:cs="Perpetua"/>
          <w:spacing w:val="41"/>
        </w:rPr>
        <w:t xml:space="preserve"> </w:t>
      </w:r>
      <w:r>
        <w:rPr>
          <w:rFonts w:eastAsia="Perpetua" w:cs="Perpetua"/>
          <w:spacing w:val="-1"/>
        </w:rPr>
        <w:t>are</w:t>
      </w:r>
      <w:r>
        <w:rPr>
          <w:rFonts w:eastAsia="Perpetua" w:cs="Perpetua"/>
          <w:spacing w:val="42"/>
        </w:rPr>
        <w:t xml:space="preserve"> </w:t>
      </w:r>
      <w:r>
        <w:rPr>
          <w:rFonts w:eastAsia="Perpetua" w:cs="Perpetua"/>
          <w:spacing w:val="-1"/>
        </w:rPr>
        <w:t>only</w:t>
      </w:r>
      <w:r>
        <w:rPr>
          <w:rFonts w:eastAsia="Perpetua" w:cs="Perpetua"/>
          <w:spacing w:val="41"/>
        </w:rPr>
        <w:t xml:space="preserve"> </w:t>
      </w:r>
      <w:r>
        <w:rPr>
          <w:rFonts w:eastAsia="Perpetua" w:cs="Perpetua"/>
          <w:spacing w:val="-1"/>
        </w:rPr>
        <w:t>listed</w:t>
      </w:r>
      <w:r>
        <w:rPr>
          <w:rFonts w:eastAsia="Perpetua" w:cs="Perpetua"/>
          <w:spacing w:val="42"/>
        </w:rPr>
        <w:t xml:space="preserve"> </w:t>
      </w:r>
      <w:r>
        <w:rPr>
          <w:rFonts w:eastAsia="Perpetua" w:cs="Perpetua"/>
        </w:rPr>
        <w:t>first</w:t>
      </w:r>
      <w:r>
        <w:rPr>
          <w:rFonts w:eastAsia="Perpetua" w:cs="Perpetua"/>
          <w:spacing w:val="41"/>
        </w:rPr>
        <w:t xml:space="preserve"> </w:t>
      </w:r>
      <w:r>
        <w:rPr>
          <w:rFonts w:eastAsia="Perpetua" w:cs="Perpetua"/>
          <w:spacing w:val="-1"/>
        </w:rPr>
        <w:t>in</w:t>
      </w:r>
      <w:r>
        <w:rPr>
          <w:rFonts w:eastAsia="Perpetua" w:cs="Perpetua"/>
          <w:spacing w:val="41"/>
        </w:rPr>
        <w:t xml:space="preserve"> </w:t>
      </w:r>
      <w:r>
        <w:rPr>
          <w:rFonts w:eastAsia="Perpetua" w:cs="Perpetua"/>
          <w:spacing w:val="-1"/>
        </w:rPr>
        <w:t>the</w:t>
      </w:r>
      <w:r>
        <w:rPr>
          <w:rFonts w:eastAsia="Perpetua" w:cs="Perpetua"/>
          <w:spacing w:val="41"/>
        </w:rPr>
        <w:t xml:space="preserve"> </w:t>
      </w:r>
      <w:r>
        <w:rPr>
          <w:rFonts w:eastAsia="Perpetua" w:cs="Perpetua"/>
        </w:rPr>
        <w:t>order</w:t>
      </w:r>
      <w:r>
        <w:rPr>
          <w:rFonts w:eastAsia="Perpetua" w:cs="Perpetua"/>
          <w:spacing w:val="41"/>
        </w:rPr>
        <w:t xml:space="preserve"> </w:t>
      </w:r>
      <w:r>
        <w:rPr>
          <w:rFonts w:eastAsia="Perpetua" w:cs="Perpetua"/>
        </w:rPr>
        <w:t>of</w:t>
      </w:r>
      <w:r>
        <w:rPr>
          <w:rFonts w:eastAsia="Perpetua" w:cs="Perpetua"/>
          <w:spacing w:val="41"/>
        </w:rPr>
        <w:t xml:space="preserve"> </w:t>
      </w:r>
      <w:r>
        <w:rPr>
          <w:rFonts w:eastAsia="Perpetua" w:cs="Perpetua"/>
        </w:rPr>
        <w:t>evangelism</w:t>
      </w:r>
      <w:r>
        <w:rPr>
          <w:rFonts w:eastAsia="Perpetua" w:cs="Perpetua"/>
          <w:spacing w:val="40"/>
        </w:rPr>
        <w:t xml:space="preserve"> </w:t>
      </w:r>
      <w:r>
        <w:rPr>
          <w:rFonts w:eastAsia="Perpetua" w:cs="Perpetua"/>
          <w:spacing w:val="-1"/>
        </w:rPr>
        <w:t>and</w:t>
      </w:r>
      <w:r>
        <w:rPr>
          <w:rFonts w:eastAsia="Perpetua" w:cs="Perpetua"/>
          <w:spacing w:val="41"/>
        </w:rPr>
        <w:t xml:space="preserve"> </w:t>
      </w:r>
      <w:r>
        <w:rPr>
          <w:rFonts w:eastAsia="Perpetua" w:cs="Perpetua"/>
        </w:rPr>
        <w:t>no</w:t>
      </w:r>
      <w:r>
        <w:rPr>
          <w:rFonts w:eastAsia="Perpetua" w:cs="Perpetua"/>
          <w:spacing w:val="41"/>
        </w:rPr>
        <w:t xml:space="preserve"> </w:t>
      </w:r>
      <w:r>
        <w:rPr>
          <w:rFonts w:eastAsia="Perpetua" w:cs="Perpetua"/>
        </w:rPr>
        <w:t>time</w:t>
      </w:r>
      <w:r>
        <w:rPr>
          <w:rFonts w:eastAsia="Perpetua" w:cs="Perpetua"/>
          <w:spacing w:val="41"/>
        </w:rPr>
        <w:t xml:space="preserve"> </w:t>
      </w:r>
      <w:r>
        <w:rPr>
          <w:rFonts w:eastAsia="Perpetua" w:cs="Perpetua"/>
        </w:rPr>
        <w:t>scale</w:t>
      </w:r>
      <w:r>
        <w:rPr>
          <w:rFonts w:eastAsia="Perpetua" w:cs="Perpetua"/>
          <w:spacing w:val="41"/>
        </w:rPr>
        <w:t xml:space="preserve"> </w:t>
      </w:r>
      <w:r>
        <w:rPr>
          <w:rFonts w:eastAsia="Perpetua" w:cs="Perpetua"/>
        </w:rPr>
        <w:t>is</w:t>
      </w:r>
      <w:r>
        <w:rPr>
          <w:rFonts w:eastAsia="Perpetua" w:cs="Perpetua"/>
          <w:spacing w:val="41"/>
        </w:rPr>
        <w:t xml:space="preserve"> </w:t>
      </w:r>
      <w:r>
        <w:rPr>
          <w:rFonts w:eastAsia="Perpetua" w:cs="Perpetua"/>
        </w:rPr>
        <w:t>given.</w:t>
      </w:r>
      <w:r>
        <w:rPr>
          <w:rFonts w:eastAsia="Perpetua" w:cs="Perpetua"/>
          <w:spacing w:val="25"/>
          <w:w w:val="99"/>
        </w:rPr>
        <w:t xml:space="preserve"> </w:t>
      </w:r>
      <w:r>
        <w:rPr>
          <w:rFonts w:eastAsia="Perpetua" w:cs="Perpetua"/>
        </w:rPr>
        <w:t>Mathison</w:t>
      </w:r>
      <w:r>
        <w:rPr>
          <w:rFonts w:eastAsia="Perpetua" w:cs="Perpetua"/>
          <w:spacing w:val="15"/>
        </w:rPr>
        <w:t xml:space="preserve"> </w:t>
      </w:r>
      <w:r>
        <w:rPr>
          <w:rFonts w:eastAsia="Perpetua" w:cs="Perpetua"/>
        </w:rPr>
        <w:t>gives</w:t>
      </w:r>
      <w:r>
        <w:rPr>
          <w:rFonts w:eastAsia="Perpetua" w:cs="Perpetua"/>
          <w:spacing w:val="14"/>
        </w:rPr>
        <w:t xml:space="preserve"> </w:t>
      </w:r>
      <w:r>
        <w:rPr>
          <w:rFonts w:eastAsia="Perpetua" w:cs="Perpetua"/>
        </w:rPr>
        <w:t>no</w:t>
      </w:r>
      <w:r>
        <w:rPr>
          <w:rFonts w:eastAsia="Perpetua" w:cs="Perpetua"/>
          <w:spacing w:val="13"/>
        </w:rPr>
        <w:t xml:space="preserve"> </w:t>
      </w:r>
      <w:r>
        <w:rPr>
          <w:rFonts w:eastAsia="Perpetua" w:cs="Perpetua"/>
        </w:rPr>
        <w:t>evidence</w:t>
      </w:r>
      <w:r>
        <w:rPr>
          <w:rFonts w:eastAsia="Perpetua" w:cs="Perpetua"/>
          <w:spacing w:val="13"/>
        </w:rPr>
        <w:t xml:space="preserve"> </w:t>
      </w:r>
      <w:r>
        <w:rPr>
          <w:rFonts w:eastAsia="Perpetua" w:cs="Perpetua"/>
        </w:rPr>
        <w:t>for</w:t>
      </w:r>
      <w:r>
        <w:rPr>
          <w:rFonts w:eastAsia="Perpetua" w:cs="Perpetua"/>
          <w:spacing w:val="14"/>
        </w:rPr>
        <w:t xml:space="preserve"> </w:t>
      </w:r>
      <w:r>
        <w:rPr>
          <w:rFonts w:eastAsia="Perpetua" w:cs="Perpetua"/>
        </w:rPr>
        <w:t>his</w:t>
      </w:r>
      <w:r>
        <w:rPr>
          <w:rFonts w:eastAsia="Perpetua" w:cs="Perpetua"/>
          <w:spacing w:val="13"/>
        </w:rPr>
        <w:t xml:space="preserve"> </w:t>
      </w:r>
      <w:r>
        <w:rPr>
          <w:rFonts w:eastAsia="Perpetua" w:cs="Perpetua"/>
          <w:spacing w:val="-1"/>
        </w:rPr>
        <w:t>assumption</w:t>
      </w:r>
      <w:r>
        <w:rPr>
          <w:rFonts w:eastAsia="Perpetua" w:cs="Perpetua"/>
          <w:spacing w:val="14"/>
        </w:rPr>
        <w:t xml:space="preserve"> </w:t>
      </w:r>
      <w:r>
        <w:rPr>
          <w:rFonts w:eastAsia="Perpetua" w:cs="Perpetua"/>
        </w:rPr>
        <w:t>that</w:t>
      </w:r>
      <w:r>
        <w:rPr>
          <w:rFonts w:eastAsia="Perpetua" w:cs="Perpetua"/>
          <w:spacing w:val="13"/>
        </w:rPr>
        <w:t xml:space="preserve"> </w:t>
      </w:r>
      <w:r>
        <w:rPr>
          <w:rFonts w:eastAsia="Perpetua" w:cs="Perpetua"/>
          <w:spacing w:val="-1"/>
        </w:rPr>
        <w:t>this</w:t>
      </w:r>
      <w:r>
        <w:rPr>
          <w:rFonts w:eastAsia="Perpetua" w:cs="Perpetua"/>
          <w:spacing w:val="14"/>
        </w:rPr>
        <w:t xml:space="preserve"> </w:t>
      </w:r>
      <w:r>
        <w:rPr>
          <w:rFonts w:eastAsia="Perpetua" w:cs="Perpetua"/>
        </w:rPr>
        <w:t>period</w:t>
      </w:r>
      <w:r>
        <w:rPr>
          <w:rFonts w:eastAsia="Perpetua" w:cs="Perpetua"/>
          <w:spacing w:val="13"/>
        </w:rPr>
        <w:t xml:space="preserve"> </w:t>
      </w:r>
      <w:r>
        <w:rPr>
          <w:rFonts w:eastAsia="Perpetua" w:cs="Perpetua"/>
          <w:spacing w:val="-1"/>
        </w:rPr>
        <w:t>lasted</w:t>
      </w:r>
      <w:r>
        <w:rPr>
          <w:rFonts w:eastAsia="Perpetua" w:cs="Perpetua"/>
          <w:spacing w:val="14"/>
        </w:rPr>
        <w:t xml:space="preserve"> </w:t>
      </w:r>
      <w:r>
        <w:rPr>
          <w:rFonts w:eastAsia="Perpetua" w:cs="Perpetua"/>
          <w:spacing w:val="-1"/>
        </w:rPr>
        <w:t>‘approximately</w:t>
      </w:r>
      <w:r>
        <w:rPr>
          <w:rFonts w:eastAsia="Perpetua" w:cs="Perpetua"/>
          <w:spacing w:val="14"/>
        </w:rPr>
        <w:t xml:space="preserve"> </w:t>
      </w:r>
      <w:r>
        <w:rPr>
          <w:rFonts w:eastAsia="Perpetua" w:cs="Perpetua"/>
        </w:rPr>
        <w:t>three</w:t>
      </w:r>
      <w:r>
        <w:rPr>
          <w:rFonts w:eastAsia="Perpetua" w:cs="Perpetua"/>
          <w:spacing w:val="14"/>
        </w:rPr>
        <w:t xml:space="preserve"> </w:t>
      </w:r>
      <w:r>
        <w:rPr>
          <w:rFonts w:eastAsia="Perpetua" w:cs="Perpetua"/>
          <w:spacing w:val="-1"/>
        </w:rPr>
        <w:t>and</w:t>
      </w:r>
      <w:r>
        <w:rPr>
          <w:rFonts w:eastAsia="Perpetua" w:cs="Perpetua"/>
          <w:spacing w:val="15"/>
        </w:rPr>
        <w:t xml:space="preserve"> </w:t>
      </w:r>
      <w:r>
        <w:rPr>
          <w:rFonts w:eastAsia="Perpetua" w:cs="Perpetua"/>
        </w:rPr>
        <w:t>one-half</w:t>
      </w:r>
      <w:r>
        <w:rPr>
          <w:rFonts w:eastAsia="Perpetua" w:cs="Perpetua"/>
          <w:spacing w:val="27"/>
          <w:w w:val="99"/>
        </w:rPr>
        <w:t xml:space="preserve"> </w:t>
      </w:r>
      <w:r>
        <w:rPr>
          <w:rFonts w:eastAsia="Perpetua" w:cs="Perpetua"/>
        </w:rPr>
        <w:t>years’.</w:t>
      </w:r>
      <w:r>
        <w:rPr>
          <w:rFonts w:eastAsia="Perpetua" w:cs="Perpetua"/>
          <w:spacing w:val="44"/>
        </w:rPr>
        <w:t xml:space="preserve"> </w:t>
      </w:r>
      <w:r>
        <w:rPr>
          <w:rFonts w:eastAsia="Perpetua" w:cs="Perpetua"/>
        </w:rPr>
        <w:t>This</w:t>
      </w:r>
      <w:r>
        <w:rPr>
          <w:rFonts w:eastAsia="Perpetua" w:cs="Perpetua"/>
          <w:spacing w:val="-2"/>
        </w:rPr>
        <w:t xml:space="preserve"> </w:t>
      </w:r>
      <w:r>
        <w:rPr>
          <w:rFonts w:eastAsia="Perpetua" w:cs="Perpetua"/>
        </w:rPr>
        <w:t>appears</w:t>
      </w:r>
      <w:r>
        <w:rPr>
          <w:rFonts w:eastAsia="Perpetua" w:cs="Perpetua"/>
          <w:spacing w:val="-2"/>
        </w:rPr>
        <w:t xml:space="preserve"> </w:t>
      </w:r>
      <w:r>
        <w:rPr>
          <w:rFonts w:eastAsia="Perpetua" w:cs="Perpetua"/>
        </w:rPr>
        <w:t>to</w:t>
      </w:r>
      <w:r>
        <w:rPr>
          <w:rFonts w:eastAsia="Perpetua" w:cs="Perpetua"/>
          <w:spacing w:val="-2"/>
        </w:rPr>
        <w:t xml:space="preserve"> </w:t>
      </w:r>
      <w:r>
        <w:rPr>
          <w:rFonts w:eastAsia="Perpetua" w:cs="Perpetua"/>
        </w:rPr>
        <w:t>be</w:t>
      </w:r>
      <w:r>
        <w:rPr>
          <w:rFonts w:eastAsia="Perpetua" w:cs="Perpetua"/>
          <w:spacing w:val="-2"/>
        </w:rPr>
        <w:t xml:space="preserve"> </w:t>
      </w:r>
      <w:r>
        <w:rPr>
          <w:rFonts w:eastAsia="Perpetua" w:cs="Perpetua"/>
        </w:rPr>
        <w:t>a</w:t>
      </w:r>
      <w:r>
        <w:rPr>
          <w:rFonts w:eastAsia="Perpetua" w:cs="Perpetua"/>
          <w:spacing w:val="-2"/>
        </w:rPr>
        <w:t xml:space="preserve"> </w:t>
      </w:r>
      <w:r>
        <w:rPr>
          <w:rFonts w:eastAsia="Perpetua" w:cs="Perpetua"/>
        </w:rPr>
        <w:t>specious</w:t>
      </w:r>
      <w:r>
        <w:rPr>
          <w:rFonts w:eastAsia="Perpetua" w:cs="Perpetua"/>
          <w:spacing w:val="-3"/>
        </w:rPr>
        <w:t xml:space="preserve"> </w:t>
      </w:r>
      <w:r>
        <w:rPr>
          <w:rFonts w:eastAsia="Perpetua" w:cs="Perpetua"/>
          <w:spacing w:val="-1"/>
        </w:rPr>
        <w:t>argument</w:t>
      </w:r>
      <w:r>
        <w:rPr>
          <w:rFonts w:eastAsia="Perpetua" w:cs="Perpetua"/>
          <w:spacing w:val="-3"/>
        </w:rPr>
        <w:t xml:space="preserve"> </w:t>
      </w:r>
      <w:r>
        <w:rPr>
          <w:rFonts w:eastAsia="Perpetua" w:cs="Perpetua"/>
        </w:rPr>
        <w:t>designed</w:t>
      </w:r>
      <w:r>
        <w:rPr>
          <w:rFonts w:eastAsia="Perpetua" w:cs="Perpetua"/>
          <w:spacing w:val="-1"/>
        </w:rPr>
        <w:t xml:space="preserve"> to </w:t>
      </w:r>
      <w:r>
        <w:rPr>
          <w:rFonts w:eastAsia="Perpetua" w:cs="Perpetua"/>
        </w:rPr>
        <w:t>explain</w:t>
      </w:r>
      <w:r>
        <w:rPr>
          <w:rFonts w:eastAsia="Perpetua" w:cs="Perpetua"/>
          <w:spacing w:val="-3"/>
        </w:rPr>
        <w:t xml:space="preserve"> </w:t>
      </w:r>
      <w:r>
        <w:rPr>
          <w:rFonts w:eastAsia="Perpetua" w:cs="Perpetua"/>
        </w:rPr>
        <w:t>the</w:t>
      </w:r>
      <w:r>
        <w:rPr>
          <w:rFonts w:eastAsia="Perpetua" w:cs="Perpetua"/>
          <w:spacing w:val="-1"/>
        </w:rPr>
        <w:t xml:space="preserve"> </w:t>
      </w:r>
      <w:r>
        <w:rPr>
          <w:rFonts w:eastAsia="Perpetua" w:cs="Perpetua"/>
        </w:rPr>
        <w:t>two</w:t>
      </w:r>
      <w:r>
        <w:rPr>
          <w:rFonts w:eastAsia="Perpetua" w:cs="Perpetua"/>
          <w:spacing w:val="-3"/>
        </w:rPr>
        <w:t xml:space="preserve"> </w:t>
      </w:r>
      <w:r>
        <w:rPr>
          <w:rFonts w:eastAsia="Perpetua" w:cs="Perpetua"/>
          <w:spacing w:val="-1"/>
        </w:rPr>
        <w:t>three-and-a-half-year periods.</w:t>
      </w:r>
    </w:p>
    <w:p w:rsidR="006A2E06" w:rsidRDefault="006A2E06" w:rsidP="006A2E06">
      <w:pPr>
        <w:spacing w:after="120" w:line="360" w:lineRule="auto"/>
        <w:ind w:right="-28" w:firstLine="567"/>
        <w:jc w:val="both"/>
        <w:rPr>
          <w:rFonts w:eastAsia="Perpetua" w:cs="Perpetua"/>
          <w:spacing w:val="-1"/>
        </w:rPr>
      </w:pPr>
      <w:r>
        <w:rPr>
          <w:rFonts w:eastAsia="Perpetua" w:cs="Perpetua"/>
        </w:rPr>
        <w:t>Fitzmyer</w:t>
      </w:r>
      <w:r>
        <w:rPr>
          <w:rFonts w:eastAsia="Perpetua" w:cs="Perpetua"/>
          <w:spacing w:val="4"/>
        </w:rPr>
        <w:t xml:space="preserve"> </w:t>
      </w:r>
      <w:r>
        <w:rPr>
          <w:rFonts w:eastAsia="Perpetua" w:cs="Perpetua"/>
        </w:rPr>
        <w:t>does</w:t>
      </w:r>
      <w:r>
        <w:rPr>
          <w:rFonts w:eastAsia="Perpetua" w:cs="Perpetua"/>
          <w:spacing w:val="20"/>
        </w:rPr>
        <w:t xml:space="preserve"> </w:t>
      </w:r>
      <w:r>
        <w:rPr>
          <w:rFonts w:eastAsia="Perpetua" w:cs="Perpetua"/>
        </w:rPr>
        <w:t>not</w:t>
      </w:r>
      <w:r>
        <w:rPr>
          <w:rFonts w:eastAsia="Perpetua" w:cs="Perpetua"/>
          <w:spacing w:val="21"/>
        </w:rPr>
        <w:t xml:space="preserve"> </w:t>
      </w:r>
      <w:r>
        <w:rPr>
          <w:rFonts w:eastAsia="Perpetua" w:cs="Perpetua"/>
        </w:rPr>
        <w:t>associate</w:t>
      </w:r>
      <w:r>
        <w:rPr>
          <w:rFonts w:eastAsia="Perpetua" w:cs="Perpetua"/>
          <w:spacing w:val="20"/>
        </w:rPr>
        <w:t xml:space="preserve"> </w:t>
      </w:r>
      <w:r>
        <w:rPr>
          <w:rFonts w:eastAsia="Perpetua" w:cs="Perpetua"/>
        </w:rPr>
        <w:t>the</w:t>
      </w:r>
      <w:r>
        <w:rPr>
          <w:rFonts w:eastAsia="Perpetua" w:cs="Perpetua"/>
          <w:spacing w:val="21"/>
        </w:rPr>
        <w:t xml:space="preserve"> </w:t>
      </w:r>
      <w:r>
        <w:rPr>
          <w:rFonts w:eastAsia="Perpetua" w:cs="Perpetua"/>
          <w:spacing w:val="-1"/>
        </w:rPr>
        <w:t>anointed</w:t>
      </w:r>
      <w:r>
        <w:rPr>
          <w:rFonts w:eastAsia="Perpetua" w:cs="Perpetua"/>
          <w:spacing w:val="21"/>
        </w:rPr>
        <w:t xml:space="preserve"> </w:t>
      </w:r>
      <w:r>
        <w:rPr>
          <w:rFonts w:eastAsia="Perpetua" w:cs="Perpetua"/>
          <w:spacing w:val="-1"/>
        </w:rPr>
        <w:t>one</w:t>
      </w:r>
      <w:r>
        <w:rPr>
          <w:rFonts w:eastAsia="Perpetua" w:cs="Perpetua"/>
          <w:spacing w:val="20"/>
        </w:rPr>
        <w:t xml:space="preserve"> </w:t>
      </w:r>
      <w:r>
        <w:rPr>
          <w:rFonts w:eastAsia="Perpetua" w:cs="Perpetua"/>
        </w:rPr>
        <w:t>who</w:t>
      </w:r>
      <w:r>
        <w:rPr>
          <w:rFonts w:eastAsia="Perpetua" w:cs="Perpetua"/>
          <w:spacing w:val="21"/>
        </w:rPr>
        <w:t xml:space="preserve"> </w:t>
      </w:r>
      <w:r>
        <w:rPr>
          <w:rFonts w:eastAsia="Perpetua" w:cs="Perpetua"/>
          <w:spacing w:val="-1"/>
        </w:rPr>
        <w:t>is</w:t>
      </w:r>
      <w:r>
        <w:rPr>
          <w:rFonts w:eastAsia="Perpetua" w:cs="Perpetua"/>
          <w:spacing w:val="20"/>
        </w:rPr>
        <w:t xml:space="preserve"> </w:t>
      </w:r>
      <w:r>
        <w:rPr>
          <w:rFonts w:eastAsia="Perpetua" w:cs="Perpetua"/>
        </w:rPr>
        <w:t>‘cut</w:t>
      </w:r>
      <w:r>
        <w:rPr>
          <w:rFonts w:eastAsia="Perpetua" w:cs="Perpetua"/>
          <w:spacing w:val="21"/>
        </w:rPr>
        <w:t xml:space="preserve"> </w:t>
      </w:r>
      <w:r>
        <w:rPr>
          <w:rFonts w:eastAsia="Perpetua" w:cs="Perpetua"/>
          <w:spacing w:val="-1"/>
        </w:rPr>
        <w:t>down’</w:t>
      </w:r>
      <w:r>
        <w:rPr>
          <w:rStyle w:val="EndnoteReference"/>
          <w:rFonts w:eastAsia="Perpetua" w:cs="Perpetua"/>
          <w:spacing w:val="-1"/>
        </w:rPr>
        <w:endnoteReference w:id="1746"/>
      </w:r>
      <w:r>
        <w:rPr>
          <w:rFonts w:eastAsia="Perpetua" w:cs="Perpetua"/>
          <w:spacing w:val="43"/>
          <w:w w:val="99"/>
        </w:rPr>
        <w:t xml:space="preserve"> </w:t>
      </w:r>
      <w:r>
        <w:rPr>
          <w:rFonts w:eastAsia="Perpetua" w:cs="Perpetua"/>
        </w:rPr>
        <w:t>with</w:t>
      </w:r>
      <w:r>
        <w:rPr>
          <w:rFonts w:eastAsia="Perpetua" w:cs="Perpetua"/>
          <w:spacing w:val="21"/>
        </w:rPr>
        <w:t xml:space="preserve"> </w:t>
      </w:r>
      <w:r>
        <w:rPr>
          <w:rFonts w:eastAsia="Perpetua" w:cs="Perpetua"/>
          <w:spacing w:val="-1"/>
        </w:rPr>
        <w:t>Christ</w:t>
      </w:r>
      <w:r>
        <w:rPr>
          <w:rFonts w:eastAsia="Perpetua" w:cs="Perpetua"/>
          <w:spacing w:val="21"/>
        </w:rPr>
        <w:t xml:space="preserve"> </w:t>
      </w:r>
      <w:r>
        <w:rPr>
          <w:rFonts w:eastAsia="Perpetua" w:cs="Perpetua"/>
        </w:rPr>
        <w:t>but</w:t>
      </w:r>
      <w:r>
        <w:rPr>
          <w:rFonts w:eastAsia="Perpetua" w:cs="Perpetua"/>
          <w:spacing w:val="21"/>
        </w:rPr>
        <w:t xml:space="preserve"> </w:t>
      </w:r>
      <w:r w:rsidR="00282E6D">
        <w:rPr>
          <w:rFonts w:eastAsia="Perpetua" w:cs="Perpetua"/>
          <w:spacing w:val="21"/>
        </w:rPr>
        <w:t xml:space="preserve">states that this was </w:t>
      </w:r>
      <w:r>
        <w:rPr>
          <w:rFonts w:eastAsia="Perpetua" w:cs="Perpetua"/>
        </w:rPr>
        <w:t>probably</w:t>
      </w:r>
      <w:r>
        <w:rPr>
          <w:rFonts w:eastAsia="Perpetua" w:cs="Perpetua"/>
          <w:spacing w:val="21"/>
        </w:rPr>
        <w:t xml:space="preserve"> </w:t>
      </w:r>
      <w:r>
        <w:rPr>
          <w:rFonts w:eastAsia="Perpetua" w:cs="Perpetua"/>
        </w:rPr>
        <w:t>Onias</w:t>
      </w:r>
      <w:r>
        <w:rPr>
          <w:rFonts w:eastAsia="Perpetua" w:cs="Perpetua"/>
          <w:spacing w:val="21"/>
        </w:rPr>
        <w:t xml:space="preserve"> </w:t>
      </w:r>
      <w:r>
        <w:rPr>
          <w:rFonts w:eastAsia="Perpetua" w:cs="Perpetua"/>
        </w:rPr>
        <w:t>III,</w:t>
      </w:r>
      <w:r>
        <w:rPr>
          <w:rFonts w:eastAsia="Perpetua" w:cs="Perpetua"/>
          <w:spacing w:val="21"/>
        </w:rPr>
        <w:t xml:space="preserve"> </w:t>
      </w:r>
      <w:r>
        <w:rPr>
          <w:rFonts w:eastAsia="Perpetua" w:cs="Perpetua"/>
        </w:rPr>
        <w:t>a</w:t>
      </w:r>
      <w:r>
        <w:rPr>
          <w:rFonts w:eastAsia="Perpetua" w:cs="Perpetua"/>
          <w:spacing w:val="21"/>
        </w:rPr>
        <w:t xml:space="preserve"> </w:t>
      </w:r>
      <w:r>
        <w:rPr>
          <w:rFonts w:eastAsia="Perpetua" w:cs="Perpetua"/>
        </w:rPr>
        <w:t>high</w:t>
      </w:r>
      <w:r>
        <w:rPr>
          <w:rFonts w:eastAsia="Perpetua" w:cs="Perpetua"/>
          <w:spacing w:val="21"/>
        </w:rPr>
        <w:t xml:space="preserve"> </w:t>
      </w:r>
      <w:r>
        <w:rPr>
          <w:rFonts w:eastAsia="Perpetua" w:cs="Perpetua"/>
        </w:rPr>
        <w:t>priest</w:t>
      </w:r>
      <w:r>
        <w:rPr>
          <w:rFonts w:eastAsia="Perpetua" w:cs="Perpetua"/>
          <w:spacing w:val="21"/>
        </w:rPr>
        <w:t xml:space="preserve"> </w:t>
      </w:r>
      <w:r>
        <w:rPr>
          <w:rFonts w:eastAsia="Perpetua" w:cs="Perpetua"/>
        </w:rPr>
        <w:t>who</w:t>
      </w:r>
      <w:r>
        <w:rPr>
          <w:rFonts w:eastAsia="Perpetua" w:cs="Perpetua"/>
          <w:spacing w:val="21"/>
        </w:rPr>
        <w:t xml:space="preserve"> </w:t>
      </w:r>
      <w:r>
        <w:rPr>
          <w:rFonts w:eastAsia="Perpetua" w:cs="Perpetua"/>
        </w:rPr>
        <w:t>was</w:t>
      </w:r>
      <w:r>
        <w:rPr>
          <w:rFonts w:eastAsia="Perpetua" w:cs="Perpetua"/>
          <w:spacing w:val="21"/>
        </w:rPr>
        <w:t xml:space="preserve"> </w:t>
      </w:r>
      <w:r>
        <w:rPr>
          <w:rFonts w:eastAsia="Perpetua" w:cs="Perpetua"/>
          <w:spacing w:val="-1"/>
        </w:rPr>
        <w:t>assassinated</w:t>
      </w:r>
      <w:r>
        <w:rPr>
          <w:rFonts w:eastAsia="Perpetua" w:cs="Perpetua"/>
          <w:spacing w:val="22"/>
        </w:rPr>
        <w:t xml:space="preserve"> </w:t>
      </w:r>
      <w:r>
        <w:rPr>
          <w:rFonts w:eastAsia="Perpetua" w:cs="Perpetua"/>
        </w:rPr>
        <w:t>in</w:t>
      </w:r>
      <w:r>
        <w:rPr>
          <w:rFonts w:eastAsia="Perpetua" w:cs="Perpetua"/>
          <w:spacing w:val="21"/>
        </w:rPr>
        <w:t xml:space="preserve"> </w:t>
      </w:r>
      <w:r>
        <w:rPr>
          <w:rFonts w:eastAsia="Perpetua" w:cs="Perpetua"/>
        </w:rPr>
        <w:t>171</w:t>
      </w:r>
      <w:r>
        <w:rPr>
          <w:rFonts w:eastAsia="Perpetua" w:cs="Perpetua"/>
          <w:spacing w:val="20"/>
        </w:rPr>
        <w:t xml:space="preserve"> </w:t>
      </w:r>
      <w:r>
        <w:rPr>
          <w:rFonts w:eastAsia="Perpetua" w:cs="Perpetua"/>
        </w:rPr>
        <w:t>BCE</w:t>
      </w:r>
      <w:r>
        <w:rPr>
          <w:rFonts w:eastAsia="Perpetua" w:cs="Perpetua"/>
          <w:spacing w:val="-1"/>
        </w:rPr>
        <w:t>.</w:t>
      </w:r>
      <w:r>
        <w:rPr>
          <w:rStyle w:val="EndnoteReference"/>
          <w:rFonts w:eastAsia="Perpetua" w:cs="Perpetua"/>
          <w:spacing w:val="-1"/>
        </w:rPr>
        <w:endnoteReference w:id="1747"/>
      </w:r>
      <w:r>
        <w:rPr>
          <w:rFonts w:eastAsia="Perpetua" w:cs="Perpetua"/>
          <w:spacing w:val="-1"/>
        </w:rPr>
        <w:t xml:space="preserve">  Fitzmyer</w:t>
      </w:r>
      <w:r>
        <w:rPr>
          <w:rFonts w:eastAsia="Perpetua" w:cs="Perpetua"/>
          <w:spacing w:val="6"/>
        </w:rPr>
        <w:t xml:space="preserve"> </w:t>
      </w:r>
      <w:r w:rsidR="00282E6D">
        <w:rPr>
          <w:rFonts w:eastAsia="Perpetua" w:cs="Perpetua"/>
          <w:spacing w:val="-1"/>
        </w:rPr>
        <w:t>affirms</w:t>
      </w:r>
      <w:r>
        <w:rPr>
          <w:rFonts w:eastAsia="Perpetua" w:cs="Perpetua"/>
          <w:spacing w:val="4"/>
        </w:rPr>
        <w:t xml:space="preserve"> </w:t>
      </w:r>
      <w:r>
        <w:rPr>
          <w:rFonts w:eastAsia="Perpetua" w:cs="Perpetua"/>
          <w:spacing w:val="-1"/>
        </w:rPr>
        <w:t>that</w:t>
      </w:r>
      <w:r>
        <w:rPr>
          <w:rFonts w:eastAsia="Perpetua" w:cs="Perpetua"/>
          <w:spacing w:val="22"/>
        </w:rPr>
        <w:t xml:space="preserve"> </w:t>
      </w:r>
      <w:r>
        <w:rPr>
          <w:rFonts w:eastAsia="Perpetua" w:cs="Perpetua"/>
        </w:rPr>
        <w:t>the</w:t>
      </w:r>
      <w:r>
        <w:rPr>
          <w:rFonts w:eastAsia="Perpetua" w:cs="Perpetua"/>
          <w:spacing w:val="6"/>
        </w:rPr>
        <w:t xml:space="preserve"> </w:t>
      </w:r>
      <w:r>
        <w:rPr>
          <w:rFonts w:eastAsia="Perpetua" w:cs="Perpetua"/>
        </w:rPr>
        <w:t>‘Anointed</w:t>
      </w:r>
      <w:r>
        <w:rPr>
          <w:rFonts w:eastAsia="Perpetua" w:cs="Perpetua"/>
          <w:spacing w:val="5"/>
        </w:rPr>
        <w:t xml:space="preserve"> </w:t>
      </w:r>
      <w:r>
        <w:rPr>
          <w:rFonts w:eastAsia="Perpetua" w:cs="Perpetua"/>
        </w:rPr>
        <w:t>One’</w:t>
      </w:r>
      <w:r>
        <w:rPr>
          <w:rFonts w:eastAsia="Perpetua" w:cs="Perpetua"/>
          <w:spacing w:val="5"/>
        </w:rPr>
        <w:t xml:space="preserve"> </w:t>
      </w:r>
      <w:r>
        <w:rPr>
          <w:rFonts w:eastAsia="Perpetua" w:cs="Perpetua"/>
        </w:rPr>
        <w:t>of</w:t>
      </w:r>
      <w:r>
        <w:rPr>
          <w:rFonts w:eastAsia="Perpetua" w:cs="Perpetua"/>
          <w:spacing w:val="4"/>
        </w:rPr>
        <w:t xml:space="preserve"> </w:t>
      </w:r>
      <w:r>
        <w:rPr>
          <w:rFonts w:eastAsia="Perpetua" w:cs="Perpetua"/>
        </w:rPr>
        <w:t>Dan.</w:t>
      </w:r>
      <w:r>
        <w:rPr>
          <w:rFonts w:eastAsia="Perpetua" w:cs="Perpetua"/>
          <w:spacing w:val="5"/>
        </w:rPr>
        <w:t xml:space="preserve"> </w:t>
      </w:r>
      <w:r>
        <w:rPr>
          <w:rFonts w:eastAsia="Perpetua" w:cs="Perpetua"/>
        </w:rPr>
        <w:t>9:25,</w:t>
      </w:r>
      <w:r>
        <w:rPr>
          <w:rFonts w:eastAsia="Perpetua" w:cs="Perpetua"/>
          <w:spacing w:val="20"/>
        </w:rPr>
        <w:t xml:space="preserve"> </w:t>
      </w:r>
      <w:r>
        <w:rPr>
          <w:rFonts w:ascii="Bwhebb" w:eastAsia="Bwhebb" w:hAnsi="Bwhebb" w:cs="Bwhebb"/>
          <w:sz w:val="40"/>
          <w:szCs w:val="40"/>
        </w:rPr>
        <w:t>dygIn"</w:t>
      </w:r>
      <w:r>
        <w:rPr>
          <w:rFonts w:ascii="Bwhebb" w:eastAsia="Bwhebb" w:hAnsi="Bwhebb" w:cs="Bwhebb"/>
          <w:spacing w:val="-2"/>
          <w:sz w:val="40"/>
          <w:szCs w:val="40"/>
        </w:rPr>
        <w:t xml:space="preserve"> </w:t>
      </w:r>
      <w:r>
        <w:rPr>
          <w:rFonts w:ascii="Bwhebb" w:eastAsia="Bwhebb" w:hAnsi="Bwhebb" w:cs="Bwhebb"/>
          <w:spacing w:val="-1"/>
          <w:sz w:val="40"/>
          <w:szCs w:val="40"/>
        </w:rPr>
        <w:t>x</w:t>
      </w:r>
      <w:proofErr w:type="gramStart"/>
      <w:r>
        <w:rPr>
          <w:rFonts w:ascii="Bwhebb" w:eastAsia="Bwhebb" w:hAnsi="Bwhebb" w:cs="Bwhebb"/>
          <w:spacing w:val="-1"/>
          <w:sz w:val="40"/>
          <w:szCs w:val="40"/>
        </w:rPr>
        <w:t>:yvim'</w:t>
      </w:r>
      <w:proofErr w:type="gramEnd"/>
      <w:r>
        <w:rPr>
          <w:rFonts w:eastAsia="Humnst777 Lt BT" w:cs="Humnst777 Lt BT"/>
          <w:spacing w:val="-1"/>
          <w:sz w:val="24"/>
          <w:szCs w:val="24"/>
        </w:rPr>
        <w:t>,</w:t>
      </w:r>
      <w:r>
        <w:rPr>
          <w:rFonts w:eastAsia="Humnst777 Lt BT" w:cs="Humnst777 Lt BT"/>
          <w:spacing w:val="5"/>
          <w:sz w:val="24"/>
          <w:szCs w:val="24"/>
        </w:rPr>
        <w:t xml:space="preserve"> </w:t>
      </w:r>
      <w:r>
        <w:rPr>
          <w:rFonts w:eastAsia="Perpetua" w:cs="Perpetua"/>
          <w:spacing w:val="-1"/>
        </w:rPr>
        <w:t>may</w:t>
      </w:r>
      <w:r>
        <w:rPr>
          <w:rFonts w:eastAsia="Perpetua" w:cs="Perpetua"/>
          <w:spacing w:val="4"/>
        </w:rPr>
        <w:t xml:space="preserve"> </w:t>
      </w:r>
      <w:r>
        <w:rPr>
          <w:rFonts w:eastAsia="Perpetua" w:cs="Perpetua"/>
        </w:rPr>
        <w:t>indicate</w:t>
      </w:r>
      <w:r>
        <w:rPr>
          <w:rFonts w:eastAsia="Perpetua" w:cs="Perpetua"/>
          <w:spacing w:val="5"/>
        </w:rPr>
        <w:t xml:space="preserve"> </w:t>
      </w:r>
      <w:r>
        <w:rPr>
          <w:rFonts w:eastAsia="Perpetua" w:cs="Perpetua"/>
        </w:rPr>
        <w:t>a</w:t>
      </w:r>
      <w:r>
        <w:rPr>
          <w:rFonts w:eastAsia="Perpetua" w:cs="Perpetua"/>
          <w:spacing w:val="47"/>
          <w:w w:val="99"/>
        </w:rPr>
        <w:t xml:space="preserve"> </w:t>
      </w:r>
      <w:r>
        <w:rPr>
          <w:rFonts w:eastAsia="Perpetua" w:cs="Perpetua"/>
          <w:spacing w:val="-1"/>
        </w:rPr>
        <w:t>king</w:t>
      </w:r>
      <w:r>
        <w:rPr>
          <w:rFonts w:eastAsia="Perpetua" w:cs="Perpetua"/>
          <w:spacing w:val="31"/>
        </w:rPr>
        <w:t xml:space="preserve"> </w:t>
      </w:r>
      <w:r>
        <w:rPr>
          <w:rFonts w:eastAsia="Perpetua" w:cs="Perpetua"/>
          <w:spacing w:val="-1"/>
        </w:rPr>
        <w:t>or</w:t>
      </w:r>
      <w:r>
        <w:rPr>
          <w:rFonts w:eastAsia="Perpetua" w:cs="Perpetua"/>
          <w:spacing w:val="32"/>
        </w:rPr>
        <w:t xml:space="preserve"> </w:t>
      </w:r>
      <w:r>
        <w:rPr>
          <w:rFonts w:eastAsia="Perpetua" w:cs="Perpetua"/>
          <w:spacing w:val="-1"/>
        </w:rPr>
        <w:t>priest</w:t>
      </w:r>
      <w:r>
        <w:rPr>
          <w:rFonts w:eastAsia="Perpetua" w:cs="Perpetua"/>
          <w:spacing w:val="33"/>
        </w:rPr>
        <w:t xml:space="preserve"> </w:t>
      </w:r>
      <w:r>
        <w:rPr>
          <w:rFonts w:eastAsia="Perpetua" w:cs="Perpetua"/>
        </w:rPr>
        <w:t>but</w:t>
      </w:r>
      <w:r>
        <w:rPr>
          <w:rFonts w:eastAsia="Perpetua" w:cs="Perpetua"/>
          <w:spacing w:val="31"/>
        </w:rPr>
        <w:t xml:space="preserve"> </w:t>
      </w:r>
      <w:r>
        <w:rPr>
          <w:rFonts w:eastAsia="Perpetua" w:cs="Perpetua"/>
          <w:spacing w:val="-1"/>
        </w:rPr>
        <w:t>regards</w:t>
      </w:r>
      <w:r>
        <w:rPr>
          <w:rFonts w:eastAsia="Perpetua" w:cs="Perpetua"/>
          <w:spacing w:val="33"/>
        </w:rPr>
        <w:t xml:space="preserve"> </w:t>
      </w:r>
      <w:r>
        <w:rPr>
          <w:rFonts w:eastAsia="Perpetua" w:cs="Perpetua"/>
        </w:rPr>
        <w:t>the</w:t>
      </w:r>
      <w:r>
        <w:rPr>
          <w:rFonts w:eastAsia="Perpetua" w:cs="Perpetua"/>
          <w:spacing w:val="32"/>
        </w:rPr>
        <w:t xml:space="preserve"> </w:t>
      </w:r>
      <w:r>
        <w:rPr>
          <w:rFonts w:eastAsia="Perpetua" w:cs="Perpetua"/>
          <w:spacing w:val="-1"/>
        </w:rPr>
        <w:t>interpretation</w:t>
      </w:r>
      <w:r>
        <w:rPr>
          <w:rFonts w:eastAsia="Perpetua" w:cs="Perpetua"/>
          <w:spacing w:val="32"/>
        </w:rPr>
        <w:t xml:space="preserve"> </w:t>
      </w:r>
      <w:r>
        <w:rPr>
          <w:rFonts w:eastAsia="Perpetua" w:cs="Perpetua"/>
          <w:spacing w:val="-1"/>
        </w:rPr>
        <w:t>of</w:t>
      </w:r>
      <w:r>
        <w:rPr>
          <w:rFonts w:eastAsia="Perpetua" w:cs="Perpetua"/>
          <w:spacing w:val="32"/>
        </w:rPr>
        <w:t xml:space="preserve"> </w:t>
      </w:r>
      <w:r>
        <w:rPr>
          <w:rFonts w:eastAsia="Perpetua" w:cs="Perpetua"/>
          <w:spacing w:val="-1"/>
        </w:rPr>
        <w:t>this</w:t>
      </w:r>
      <w:r>
        <w:rPr>
          <w:rFonts w:eastAsia="Perpetua" w:cs="Perpetua"/>
          <w:spacing w:val="32"/>
        </w:rPr>
        <w:t xml:space="preserve"> </w:t>
      </w:r>
      <w:r>
        <w:rPr>
          <w:rFonts w:eastAsia="Perpetua" w:cs="Perpetua"/>
          <w:spacing w:val="-1"/>
        </w:rPr>
        <w:t>figure</w:t>
      </w:r>
      <w:r>
        <w:rPr>
          <w:rFonts w:eastAsia="Perpetua" w:cs="Perpetua"/>
          <w:spacing w:val="31"/>
        </w:rPr>
        <w:t xml:space="preserve"> </w:t>
      </w:r>
      <w:r>
        <w:rPr>
          <w:rFonts w:eastAsia="Perpetua" w:cs="Perpetua"/>
          <w:spacing w:val="-1"/>
        </w:rPr>
        <w:t>as</w:t>
      </w:r>
      <w:r>
        <w:rPr>
          <w:rFonts w:eastAsia="Perpetua" w:cs="Perpetua"/>
          <w:spacing w:val="32"/>
        </w:rPr>
        <w:t xml:space="preserve"> </w:t>
      </w:r>
      <w:r>
        <w:rPr>
          <w:rFonts w:eastAsia="Perpetua" w:cs="Perpetua"/>
        </w:rPr>
        <w:t>a</w:t>
      </w:r>
      <w:r>
        <w:rPr>
          <w:rFonts w:eastAsia="Perpetua" w:cs="Perpetua"/>
          <w:spacing w:val="32"/>
        </w:rPr>
        <w:t xml:space="preserve"> </w:t>
      </w:r>
      <w:r>
        <w:rPr>
          <w:rFonts w:eastAsia="Perpetua" w:cs="Perpetua"/>
          <w:spacing w:val="-1"/>
        </w:rPr>
        <w:t>‘kingly</w:t>
      </w:r>
      <w:r>
        <w:rPr>
          <w:rFonts w:eastAsia="Perpetua" w:cs="Perpetua"/>
          <w:spacing w:val="33"/>
        </w:rPr>
        <w:t xml:space="preserve"> </w:t>
      </w:r>
      <w:r>
        <w:rPr>
          <w:rFonts w:eastAsia="Perpetua" w:cs="Perpetua"/>
          <w:spacing w:val="-1"/>
        </w:rPr>
        <w:t>Messiah’</w:t>
      </w:r>
      <w:r>
        <w:rPr>
          <w:rFonts w:eastAsia="Perpetua" w:cs="Perpetua"/>
          <w:spacing w:val="32"/>
        </w:rPr>
        <w:t xml:space="preserve"> </w:t>
      </w:r>
      <w:r>
        <w:rPr>
          <w:rFonts w:eastAsia="Perpetua" w:cs="Perpetua"/>
        </w:rPr>
        <w:t>as</w:t>
      </w:r>
      <w:r>
        <w:rPr>
          <w:rFonts w:eastAsia="Perpetua" w:cs="Perpetua"/>
          <w:spacing w:val="31"/>
        </w:rPr>
        <w:t xml:space="preserve"> </w:t>
      </w:r>
      <w:r>
        <w:rPr>
          <w:rFonts w:eastAsia="Perpetua" w:cs="Perpetua"/>
          <w:spacing w:val="-1"/>
        </w:rPr>
        <w:t>best</w:t>
      </w:r>
      <w:r>
        <w:rPr>
          <w:rFonts w:eastAsia="Perpetua" w:cs="Perpetua"/>
          <w:spacing w:val="32"/>
        </w:rPr>
        <w:t xml:space="preserve"> </w:t>
      </w:r>
      <w:r>
        <w:rPr>
          <w:rFonts w:eastAsia="Perpetua" w:cs="Perpetua"/>
        </w:rPr>
        <w:t>for</w:t>
      </w:r>
      <w:r>
        <w:rPr>
          <w:rFonts w:eastAsia="Perpetua" w:cs="Perpetua"/>
          <w:spacing w:val="31"/>
        </w:rPr>
        <w:t xml:space="preserve"> </w:t>
      </w:r>
      <w:r>
        <w:rPr>
          <w:rFonts w:eastAsia="Perpetua" w:cs="Perpetua"/>
          <w:spacing w:val="-1"/>
        </w:rPr>
        <w:t>its</w:t>
      </w:r>
      <w:r>
        <w:rPr>
          <w:rFonts w:eastAsia="Perpetua" w:cs="Perpetua"/>
          <w:spacing w:val="32"/>
        </w:rPr>
        <w:t xml:space="preserve"> </w:t>
      </w:r>
      <w:r>
        <w:rPr>
          <w:rFonts w:eastAsia="Perpetua" w:cs="Perpetua"/>
          <w:spacing w:val="-1"/>
        </w:rPr>
        <w:t>second</w:t>
      </w:r>
      <w:r>
        <w:rPr>
          <w:rFonts w:eastAsia="Perpetua" w:cs="Perpetua"/>
          <w:spacing w:val="68"/>
          <w:w w:val="99"/>
        </w:rPr>
        <w:t xml:space="preserve"> </w:t>
      </w:r>
      <w:r>
        <w:rPr>
          <w:rFonts w:eastAsia="Perpetua" w:cs="Perpetua"/>
        </w:rPr>
        <w:t>century</w:t>
      </w:r>
      <w:r>
        <w:rPr>
          <w:rFonts w:eastAsia="Perpetua" w:cs="Perpetua"/>
          <w:spacing w:val="9"/>
        </w:rPr>
        <w:t xml:space="preserve"> </w:t>
      </w:r>
      <w:r>
        <w:rPr>
          <w:rFonts w:eastAsia="Perpetua" w:cs="Perpetua"/>
        </w:rPr>
        <w:t>context.</w:t>
      </w:r>
      <w:r>
        <w:rPr>
          <w:rFonts w:eastAsia="Perpetua" w:cs="Perpetua"/>
          <w:spacing w:val="18"/>
        </w:rPr>
        <w:t xml:space="preserve">  </w:t>
      </w:r>
      <w:r>
        <w:rPr>
          <w:rFonts w:eastAsia="Perpetua" w:cs="Perpetua"/>
          <w:spacing w:val="-1"/>
        </w:rPr>
        <w:t>He</w:t>
      </w:r>
      <w:r>
        <w:rPr>
          <w:rFonts w:eastAsia="Perpetua" w:cs="Perpetua"/>
          <w:spacing w:val="9"/>
        </w:rPr>
        <w:t xml:space="preserve"> </w:t>
      </w:r>
      <w:r>
        <w:rPr>
          <w:rFonts w:eastAsia="Perpetua" w:cs="Perpetua"/>
          <w:spacing w:val="-1"/>
        </w:rPr>
        <w:t>argues</w:t>
      </w:r>
      <w:r>
        <w:rPr>
          <w:rFonts w:eastAsia="Perpetua" w:cs="Perpetua"/>
          <w:spacing w:val="10"/>
        </w:rPr>
        <w:t xml:space="preserve"> </w:t>
      </w:r>
      <w:r>
        <w:rPr>
          <w:rFonts w:eastAsia="Perpetua" w:cs="Perpetua"/>
          <w:spacing w:val="-1"/>
        </w:rPr>
        <w:t>that</w:t>
      </w:r>
      <w:r>
        <w:rPr>
          <w:rFonts w:eastAsia="Perpetua" w:cs="Perpetua"/>
          <w:spacing w:val="9"/>
        </w:rPr>
        <w:t xml:space="preserve"> </w:t>
      </w:r>
      <w:r>
        <w:rPr>
          <w:rFonts w:eastAsia="Perpetua" w:cs="Perpetua"/>
          <w:spacing w:val="-1"/>
        </w:rPr>
        <w:t>the</w:t>
      </w:r>
      <w:r>
        <w:rPr>
          <w:rFonts w:eastAsia="Perpetua" w:cs="Perpetua"/>
          <w:spacing w:val="8"/>
        </w:rPr>
        <w:t xml:space="preserve"> </w:t>
      </w:r>
      <w:r>
        <w:rPr>
          <w:rFonts w:eastAsia="Perpetua" w:cs="Perpetua"/>
          <w:spacing w:val="-1"/>
        </w:rPr>
        <w:t>anointed</w:t>
      </w:r>
      <w:r>
        <w:rPr>
          <w:rFonts w:eastAsia="Perpetua" w:cs="Perpetua"/>
          <w:spacing w:val="10"/>
        </w:rPr>
        <w:t xml:space="preserve"> </w:t>
      </w:r>
      <w:r>
        <w:rPr>
          <w:rFonts w:eastAsia="Perpetua" w:cs="Perpetua"/>
          <w:spacing w:val="-1"/>
        </w:rPr>
        <w:t>one</w:t>
      </w:r>
      <w:r>
        <w:rPr>
          <w:rFonts w:eastAsia="Perpetua" w:cs="Perpetua"/>
          <w:spacing w:val="8"/>
        </w:rPr>
        <w:t xml:space="preserve"> </w:t>
      </w:r>
      <w:r>
        <w:rPr>
          <w:rFonts w:eastAsia="Perpetua" w:cs="Perpetua"/>
          <w:spacing w:val="-1"/>
        </w:rPr>
        <w:t>of</w:t>
      </w:r>
      <w:r>
        <w:rPr>
          <w:rFonts w:eastAsia="Perpetua" w:cs="Perpetua"/>
          <w:spacing w:val="11"/>
        </w:rPr>
        <w:t xml:space="preserve"> </w:t>
      </w:r>
      <w:r>
        <w:rPr>
          <w:rFonts w:eastAsia="Perpetua" w:cs="Perpetua"/>
        </w:rPr>
        <w:t>Dan.</w:t>
      </w:r>
      <w:r>
        <w:rPr>
          <w:rFonts w:eastAsia="Perpetua" w:cs="Perpetua"/>
          <w:spacing w:val="8"/>
        </w:rPr>
        <w:t xml:space="preserve"> </w:t>
      </w:r>
      <w:r>
        <w:rPr>
          <w:rFonts w:eastAsia="Perpetua" w:cs="Perpetua"/>
        </w:rPr>
        <w:t>9:26</w:t>
      </w:r>
      <w:r>
        <w:rPr>
          <w:rFonts w:eastAsia="Perpetua" w:cs="Perpetua"/>
          <w:spacing w:val="11"/>
        </w:rPr>
        <w:t xml:space="preserve"> </w:t>
      </w:r>
      <w:r>
        <w:rPr>
          <w:rFonts w:eastAsia="Perpetua" w:cs="Perpetua"/>
        </w:rPr>
        <w:t>cannot</w:t>
      </w:r>
      <w:r>
        <w:rPr>
          <w:rFonts w:eastAsia="Perpetua" w:cs="Perpetua"/>
          <w:spacing w:val="9"/>
        </w:rPr>
        <w:t xml:space="preserve"> </w:t>
      </w:r>
      <w:r>
        <w:rPr>
          <w:rFonts w:eastAsia="Perpetua" w:cs="Perpetua"/>
        </w:rPr>
        <w:t>be</w:t>
      </w:r>
      <w:r>
        <w:rPr>
          <w:rFonts w:eastAsia="Perpetua" w:cs="Perpetua"/>
          <w:spacing w:val="10"/>
        </w:rPr>
        <w:t xml:space="preserve"> </w:t>
      </w:r>
      <w:r>
        <w:rPr>
          <w:rFonts w:eastAsia="Perpetua" w:cs="Perpetua"/>
        </w:rPr>
        <w:t>that</w:t>
      </w:r>
      <w:r>
        <w:rPr>
          <w:rFonts w:eastAsia="Perpetua" w:cs="Perpetua"/>
          <w:spacing w:val="8"/>
        </w:rPr>
        <w:t xml:space="preserve"> </w:t>
      </w:r>
      <w:r>
        <w:rPr>
          <w:rFonts w:eastAsia="Perpetua" w:cs="Perpetua"/>
        </w:rPr>
        <w:t>of</w:t>
      </w:r>
      <w:r>
        <w:rPr>
          <w:rFonts w:eastAsia="Perpetua" w:cs="Perpetua"/>
          <w:spacing w:val="9"/>
        </w:rPr>
        <w:t xml:space="preserve"> </w:t>
      </w:r>
      <w:r>
        <w:rPr>
          <w:rFonts w:eastAsia="Perpetua" w:cs="Perpetua"/>
        </w:rPr>
        <w:t>Dan.</w:t>
      </w:r>
      <w:r>
        <w:rPr>
          <w:rFonts w:eastAsia="Perpetua" w:cs="Perpetua"/>
          <w:spacing w:val="9"/>
        </w:rPr>
        <w:t xml:space="preserve"> </w:t>
      </w:r>
      <w:r>
        <w:rPr>
          <w:rFonts w:eastAsia="Perpetua" w:cs="Perpetua"/>
        </w:rPr>
        <w:t>9:25</w:t>
      </w:r>
      <w:r>
        <w:rPr>
          <w:rFonts w:eastAsia="Perpetua" w:cs="Perpetua"/>
          <w:spacing w:val="9"/>
        </w:rPr>
        <w:t xml:space="preserve"> </w:t>
      </w:r>
      <w:r>
        <w:rPr>
          <w:rFonts w:eastAsia="Perpetua" w:cs="Perpetua"/>
        </w:rPr>
        <w:t>because</w:t>
      </w:r>
      <w:r>
        <w:rPr>
          <w:rFonts w:eastAsia="Perpetua" w:cs="Perpetua"/>
          <w:spacing w:val="9"/>
        </w:rPr>
        <w:t xml:space="preserve"> </w:t>
      </w:r>
      <w:r>
        <w:rPr>
          <w:rFonts w:eastAsia="Perpetua" w:cs="Perpetua"/>
        </w:rPr>
        <w:t>he</w:t>
      </w:r>
      <w:r>
        <w:rPr>
          <w:rFonts w:eastAsia="Perpetua" w:cs="Perpetua"/>
          <w:spacing w:val="27"/>
          <w:w w:val="99"/>
        </w:rPr>
        <w:t xml:space="preserve"> </w:t>
      </w:r>
      <w:r>
        <w:rPr>
          <w:rFonts w:eastAsia="Perpetua" w:cs="Perpetua"/>
          <w:spacing w:val="-1"/>
        </w:rPr>
        <w:t>appears</w:t>
      </w:r>
      <w:r>
        <w:rPr>
          <w:rFonts w:eastAsia="Perpetua" w:cs="Perpetua"/>
          <w:spacing w:val="-8"/>
        </w:rPr>
        <w:t xml:space="preserve"> </w:t>
      </w:r>
      <w:r>
        <w:rPr>
          <w:rFonts w:eastAsia="Perpetua" w:cs="Perpetua"/>
          <w:spacing w:val="-1"/>
        </w:rPr>
        <w:t>‘“after</w:t>
      </w:r>
      <w:r>
        <w:rPr>
          <w:rFonts w:eastAsia="Perpetua" w:cs="Perpetua"/>
          <w:spacing w:val="-7"/>
        </w:rPr>
        <w:t xml:space="preserve"> </w:t>
      </w:r>
      <w:r>
        <w:rPr>
          <w:rFonts w:eastAsia="Perpetua" w:cs="Perpetua"/>
          <w:spacing w:val="-1"/>
        </w:rPr>
        <w:t>sixty-two</w:t>
      </w:r>
      <w:r>
        <w:rPr>
          <w:rFonts w:eastAsia="Perpetua" w:cs="Perpetua"/>
          <w:spacing w:val="-8"/>
        </w:rPr>
        <w:t xml:space="preserve"> </w:t>
      </w:r>
      <w:r>
        <w:rPr>
          <w:rFonts w:eastAsia="Perpetua" w:cs="Perpetua"/>
          <w:spacing w:val="-1"/>
        </w:rPr>
        <w:t>weeks”’.</w:t>
      </w:r>
      <w:r>
        <w:rPr>
          <w:rStyle w:val="EndnoteReference"/>
          <w:rFonts w:eastAsia="Perpetua" w:cs="Perpetua"/>
          <w:spacing w:val="-1"/>
        </w:rPr>
        <w:endnoteReference w:id="1748"/>
      </w:r>
      <w:r>
        <w:rPr>
          <w:rFonts w:eastAsia="Perpetua" w:cs="Perpetua"/>
          <w:spacing w:val="-1"/>
        </w:rPr>
        <w:t xml:space="preserve">  Like Mathison, Fitzmyer emphasises the allusion in Dan. 9:2 to Jeremiah’s prophecy of the seventy years of Babylonian captivity.</w:t>
      </w:r>
      <w:r>
        <w:rPr>
          <w:rStyle w:val="EndnoteReference"/>
          <w:rFonts w:eastAsia="Perpetua" w:cs="Perpetua"/>
          <w:spacing w:val="-1"/>
        </w:rPr>
        <w:endnoteReference w:id="1749"/>
      </w:r>
      <w:r>
        <w:rPr>
          <w:rFonts w:eastAsia="Perpetua" w:cs="Perpetua"/>
          <w:spacing w:val="-1"/>
        </w:rPr>
        <w:t xml:space="preserve">  He regards the numbers involved in the ‘seventy weeks of years’ as only indicating ‘the passage of a long time from Cyrus’ edict of 538 BCE until Antiochus Epiphanes’ persecution.  Antiochus ruled from 175-164 BCE.  Antiochus, who ruled from 175-164 BCE, is the destructive prince, ‘whose “people come to destroy the city and the sanctuary”’.</w:t>
      </w:r>
      <w:r>
        <w:rPr>
          <w:rStyle w:val="EndnoteReference"/>
          <w:rFonts w:eastAsia="Perpetua" w:cs="Perpetua"/>
          <w:spacing w:val="-1"/>
        </w:rPr>
        <w:endnoteReference w:id="1750"/>
      </w:r>
    </w:p>
    <w:p w:rsidR="006A2E06" w:rsidRPr="00AC05D9" w:rsidRDefault="006A2E06" w:rsidP="006A2E06">
      <w:pPr>
        <w:spacing w:after="120" w:line="360" w:lineRule="auto"/>
        <w:ind w:right="-28"/>
        <w:jc w:val="both"/>
        <w:rPr>
          <w:rFonts w:eastAsia="Perpetua" w:cs="Perpetua"/>
          <w:b/>
          <w:spacing w:val="-1"/>
        </w:rPr>
      </w:pPr>
      <w:proofErr w:type="gramStart"/>
      <w:r>
        <w:rPr>
          <w:rFonts w:eastAsia="Perpetua" w:cs="Perpetua"/>
          <w:b/>
          <w:spacing w:val="-1"/>
        </w:rPr>
        <w:t>7</w:t>
      </w:r>
      <w:r w:rsidRPr="00AC05D9">
        <w:rPr>
          <w:rFonts w:eastAsia="Perpetua" w:cs="Perpetua"/>
          <w:b/>
          <w:spacing w:val="-1"/>
        </w:rPr>
        <w:t>.</w:t>
      </w:r>
      <w:r>
        <w:rPr>
          <w:rFonts w:eastAsia="Perpetua" w:cs="Perpetua"/>
          <w:b/>
          <w:spacing w:val="-1"/>
        </w:rPr>
        <w:t>1.</w:t>
      </w:r>
      <w:r w:rsidRPr="00AC05D9">
        <w:rPr>
          <w:rFonts w:eastAsia="Perpetua" w:cs="Perpetua"/>
          <w:b/>
          <w:spacing w:val="-1"/>
        </w:rPr>
        <w:t>2.2</w:t>
      </w:r>
      <w:r>
        <w:rPr>
          <w:rFonts w:eastAsia="Perpetua" w:cs="Perpetua"/>
          <w:b/>
          <w:spacing w:val="-1"/>
        </w:rPr>
        <w:t xml:space="preserve"> </w:t>
      </w:r>
      <w:r w:rsidRPr="00AC05D9">
        <w:rPr>
          <w:rFonts w:eastAsia="Perpetua" w:cs="Perpetua"/>
          <w:b/>
          <w:spacing w:val="-1"/>
        </w:rPr>
        <w:t xml:space="preserve"> The</w:t>
      </w:r>
      <w:proofErr w:type="gramEnd"/>
      <w:r w:rsidRPr="00AC05D9">
        <w:rPr>
          <w:rFonts w:eastAsia="Perpetua" w:cs="Perpetua"/>
          <w:b/>
          <w:spacing w:val="-1"/>
        </w:rPr>
        <w:t xml:space="preserve"> Times of the Gentiles</w:t>
      </w:r>
    </w:p>
    <w:p w:rsidR="006A2E06" w:rsidRDefault="006A2E06" w:rsidP="006A2E06">
      <w:pPr>
        <w:spacing w:after="120" w:line="360" w:lineRule="auto"/>
        <w:ind w:right="-28"/>
        <w:jc w:val="both"/>
      </w:pPr>
      <w:proofErr w:type="gramStart"/>
      <w:r>
        <w:rPr>
          <w:rFonts w:eastAsia="Perpetua" w:cs="Perpetua"/>
        </w:rPr>
        <w:t>The notion of ‘the times of the Gentiles’ forms a background to the concept of the great tribulation, which is their ultimate expression.</w:t>
      </w:r>
      <w:proofErr w:type="gramEnd"/>
      <w:r>
        <w:rPr>
          <w:rFonts w:eastAsia="Perpetua" w:cs="Perpetua"/>
        </w:rPr>
        <w:t xml:space="preserve">  Darby describes the start, duration and ending of the times of the Gentiles in various writings.  He states, </w:t>
      </w:r>
      <w:r w:rsidRPr="006546B6">
        <w:rPr>
          <w:rFonts w:eastAsia="Perpetua" w:cs="Perpetua"/>
        </w:rPr>
        <w:t>‘</w:t>
      </w:r>
      <w:r w:rsidRPr="006546B6">
        <w:t xml:space="preserve">The </w:t>
      </w:r>
      <w:proofErr w:type="gramStart"/>
      <w:r w:rsidRPr="006546B6">
        <w:t>shekinah</w:t>
      </w:r>
      <w:proofErr w:type="gramEnd"/>
      <w:r w:rsidRPr="006546B6">
        <w:t xml:space="preserve"> of glory was in the temple; but from the time that Jerusalem was taken by Nebuchadnezzar it entirely ceased. Then began </w:t>
      </w:r>
      <w:r w:rsidRPr="006546B6">
        <w:rPr>
          <w:i/>
          <w:iCs/>
        </w:rPr>
        <w:t>the times of the Gentiles</w:t>
      </w:r>
      <w:r w:rsidRPr="006546B6">
        <w:t>, and God gave the kingdom to Nebuchadnezzar.’</w:t>
      </w:r>
      <w:r>
        <w:rPr>
          <w:rStyle w:val="EndnoteReference"/>
        </w:rPr>
        <w:endnoteReference w:id="1751"/>
      </w:r>
      <w:r w:rsidRPr="006546B6">
        <w:t xml:space="preserve">  </w:t>
      </w:r>
      <w:r>
        <w:t>He also states:</w:t>
      </w:r>
    </w:p>
    <w:p w:rsidR="006A2E06" w:rsidRPr="00ED1C2B" w:rsidRDefault="006A2E06" w:rsidP="006A2E06">
      <w:pPr>
        <w:spacing w:after="120" w:line="240" w:lineRule="auto"/>
        <w:ind w:left="1134" w:right="1701"/>
        <w:jc w:val="both"/>
      </w:pPr>
      <w:r w:rsidRPr="00ED1C2B">
        <w:t xml:space="preserve">From the time of the destruction of Jerusalem, and of the throne of David, the government of the world was in the hands of the Gentiles; </w:t>
      </w:r>
      <w:r w:rsidRPr="00ED1C2B">
        <w:lastRenderedPageBreak/>
        <w:t xml:space="preserve">and the times of the Gentiles commenced (see Dan. 2: 37, 38) under a responsibility, the effects of which are described in the book of Daniel, the Apocalypse, and Zechariah, and which are characterised in Daniel 4. The four great empires which, by their pride and in God's providence, successively seized on the supreme power, and consequently brought themselves under this responsibility and failed, are well known. All the time of their dominion, Israel has been </w:t>
      </w:r>
      <w:r w:rsidRPr="00ED1C2B">
        <w:rPr>
          <w:i/>
          <w:iCs/>
        </w:rPr>
        <w:t>Lo-ammi</w:t>
      </w:r>
      <w:r w:rsidRPr="00ED1C2B">
        <w:t xml:space="preserve">, </w:t>
      </w:r>
      <w:r>
        <w:t>“</w:t>
      </w:r>
      <w:r w:rsidRPr="00ED1C2B">
        <w:t>not my people.</w:t>
      </w:r>
      <w:r>
        <w:t>”</w:t>
      </w:r>
      <w:r w:rsidRPr="00ED1C2B">
        <w:t xml:space="preserve"> …</w:t>
      </w:r>
    </w:p>
    <w:p w:rsidR="006A2E06" w:rsidRDefault="006A2E06" w:rsidP="006A2E06">
      <w:pPr>
        <w:pStyle w:val="NormalWeb"/>
        <w:spacing w:before="0" w:beforeAutospacing="0" w:after="120" w:afterAutospacing="0"/>
        <w:ind w:left="1134" w:right="1701"/>
        <w:jc w:val="both"/>
        <w:rPr>
          <w:rFonts w:ascii="Perpetua" w:hAnsi="Perpetua"/>
          <w:sz w:val="22"/>
          <w:szCs w:val="22"/>
        </w:rPr>
      </w:pPr>
      <w:r w:rsidRPr="00ED1C2B">
        <w:rPr>
          <w:rFonts w:ascii="Perpetua" w:hAnsi="Perpetua"/>
          <w:sz w:val="22"/>
          <w:szCs w:val="22"/>
        </w:rPr>
        <w:t>We have said enough to shew the separation of rule and the calling of God, in the destruction of Jerusalem,</w:t>
      </w:r>
      <w:r w:rsidRPr="00ED1C2B">
        <w:rPr>
          <w:rFonts w:ascii="Humnst777 Lt BT" w:hAnsi="Humnst777 Lt BT"/>
          <w:sz w:val="22"/>
          <w:szCs w:val="22"/>
        </w:rPr>
        <w:t xml:space="preserve"> </w:t>
      </w:r>
      <w:r w:rsidRPr="00ED1C2B">
        <w:rPr>
          <w:rFonts w:ascii="Perpetua" w:hAnsi="Perpetua"/>
          <w:sz w:val="22"/>
          <w:szCs w:val="22"/>
        </w:rPr>
        <w:t>and the giving of government or power into the hands of the Gentiles. With them it still exists, and shall exist, until the destruction of the last of the four empires: with this destruction the times of the Gentiles end.</w:t>
      </w:r>
      <w:r>
        <w:rPr>
          <w:rStyle w:val="EndnoteReference"/>
          <w:rFonts w:ascii="Perpetua" w:hAnsi="Perpetua"/>
        </w:rPr>
        <w:endnoteReference w:id="1752"/>
      </w:r>
    </w:p>
    <w:p w:rsidR="006A2E06" w:rsidRDefault="006A2E06" w:rsidP="006A2E06">
      <w:pPr>
        <w:pStyle w:val="NormalWeb"/>
        <w:spacing w:before="0" w:beforeAutospacing="0" w:after="120" w:afterAutospacing="0"/>
        <w:ind w:left="1134" w:right="1701"/>
        <w:jc w:val="both"/>
        <w:rPr>
          <w:rFonts w:ascii="Perpetua" w:hAnsi="Perpetua"/>
        </w:rPr>
      </w:pPr>
      <w:r w:rsidRPr="00ED1C2B">
        <w:rPr>
          <w:rFonts w:ascii="Perpetua" w:hAnsi="Perpetua"/>
          <w:sz w:val="22"/>
          <w:szCs w:val="22"/>
          <w:lang w:eastAsia="en-GB"/>
        </w:rPr>
        <w:t>When Nebuchadnezzar takes Jerusalem, the people become Lo-ammi. Israel is rejected. God no more owns His people. He watches over them still for final restoration to their land, but "the times of the Gentiles" begin.</w:t>
      </w:r>
      <w:r>
        <w:rPr>
          <w:rFonts w:ascii="Perpetua" w:hAnsi="Perpetua"/>
          <w:sz w:val="22"/>
          <w:szCs w:val="22"/>
          <w:lang w:eastAsia="en-GB"/>
        </w:rPr>
        <w:t xml:space="preserve">  …  </w:t>
      </w:r>
      <w:r w:rsidRPr="00ED1C2B">
        <w:rPr>
          <w:rFonts w:ascii="Perpetua" w:hAnsi="Perpetua"/>
          <w:sz w:val="22"/>
          <w:szCs w:val="22"/>
          <w:lang w:eastAsia="en-GB"/>
        </w:rPr>
        <w:t>All the history whilst Israel is not owned belongs to the times of the Gentiles.</w:t>
      </w:r>
      <w:r>
        <w:rPr>
          <w:rStyle w:val="EndnoteReference"/>
          <w:rFonts w:ascii="Perpetua" w:hAnsi="Perpetua"/>
          <w:sz w:val="22"/>
          <w:szCs w:val="22"/>
          <w:lang w:eastAsia="en-GB"/>
        </w:rPr>
        <w:endnoteReference w:id="1753"/>
      </w:r>
    </w:p>
    <w:p w:rsidR="006A2E06" w:rsidRDefault="006A2E06" w:rsidP="006A2E06">
      <w:pPr>
        <w:spacing w:after="120" w:line="360" w:lineRule="auto"/>
        <w:jc w:val="both"/>
        <w:rPr>
          <w:rFonts w:eastAsia="Perpetua" w:cs="Perpetua"/>
        </w:rPr>
      </w:pPr>
      <w:r>
        <w:rPr>
          <w:rFonts w:eastAsia="Perpetua" w:cs="Perpetua"/>
        </w:rPr>
        <w:t xml:space="preserve">The subject of the four empires here mentioned by Darby was discussed in </w:t>
      </w:r>
      <w:r w:rsidRPr="003D0D76">
        <w:rPr>
          <w:rFonts w:eastAsia="Perpetua" w:cs="Perpetua"/>
        </w:rPr>
        <w:t>2.2.2</w:t>
      </w:r>
      <w:r>
        <w:rPr>
          <w:rFonts w:eastAsia="Perpetua" w:cs="Perpetua"/>
        </w:rPr>
        <w:t>.  Chafer uses similar vocabulary to Darby.  He asserts that ‘“the times of the Gentiles”,</w:t>
      </w:r>
      <w:r>
        <w:rPr>
          <w:rStyle w:val="EndnoteReference"/>
          <w:rFonts w:eastAsia="Perpetua" w:cs="Perpetua"/>
        </w:rPr>
        <w:endnoteReference w:id="1754"/>
      </w:r>
      <w:r>
        <w:rPr>
          <w:rFonts w:eastAsia="Perpetua" w:cs="Perpetua"/>
        </w:rPr>
        <w:t xml:space="preserve"> which began in the last dispersion six hundred years before Christ, are characterized by a succession of world empires,</w:t>
      </w:r>
      <w:r>
        <w:rPr>
          <w:rStyle w:val="EndnoteReference"/>
          <w:rFonts w:eastAsia="Perpetua" w:cs="Perpetua"/>
        </w:rPr>
        <w:endnoteReference w:id="1755"/>
      </w:r>
      <w:r>
        <w:rPr>
          <w:rFonts w:eastAsia="Perpetua" w:cs="Perpetua"/>
        </w:rPr>
        <w:t xml:space="preserve"> continue their course throughout the present dispensation and are ended by the coming of Christ’.  Christ fulfils ‘Daniel’s prophecy of the “smiting stone”’.</w:t>
      </w:r>
      <w:r>
        <w:rPr>
          <w:rStyle w:val="EndnoteReference"/>
          <w:rFonts w:eastAsia="Perpetua" w:cs="Perpetua"/>
        </w:rPr>
        <w:endnoteReference w:id="1756"/>
      </w:r>
    </w:p>
    <w:p w:rsidR="006A2E06" w:rsidRPr="00FF409B" w:rsidRDefault="006A2E06" w:rsidP="006A2E06">
      <w:pPr>
        <w:spacing w:after="120" w:line="360" w:lineRule="auto"/>
        <w:ind w:right="-28" w:firstLine="567"/>
        <w:jc w:val="both"/>
      </w:pPr>
      <w:r>
        <w:t>Scofield defines the times of the Gentiles as a period</w:t>
      </w:r>
      <w:r w:rsidRPr="008F6383">
        <w:t xml:space="preserve"> marked by Gentile ‘overlordship’ </w:t>
      </w:r>
      <w:r>
        <w:t>of</w:t>
      </w:r>
      <w:r w:rsidRPr="008F6383">
        <w:t xml:space="preserve"> Jerusalem, </w:t>
      </w:r>
      <w:r>
        <w:t>and ‘the political subjection of Israel to the Gentile world-powers’.</w:t>
      </w:r>
      <w:r>
        <w:rPr>
          <w:rStyle w:val="EndnoteReference"/>
        </w:rPr>
        <w:endnoteReference w:id="1757"/>
      </w:r>
      <w:r>
        <w:t xml:space="preserve">  </w:t>
      </w:r>
      <w:r w:rsidRPr="003B3DB5">
        <w:t>He asserts that the plague of insects of Joel 1 is ‘a picture’ of the times of the Gentiles,</w:t>
      </w:r>
      <w:r w:rsidRPr="003B3DB5">
        <w:rPr>
          <w:rStyle w:val="EndnoteReference"/>
        </w:rPr>
        <w:endnoteReference w:id="1758"/>
      </w:r>
      <w:r w:rsidRPr="003B3DB5">
        <w:t xml:space="preserve"> </w:t>
      </w:r>
      <w:r w:rsidRPr="008F6383">
        <w:t xml:space="preserve">which </w:t>
      </w:r>
      <w:r>
        <w:t xml:space="preserve">have run </w:t>
      </w:r>
      <w:r w:rsidRPr="008F6383">
        <w:t>‘from the time of King Nebuchadnezzar to this day’.</w:t>
      </w:r>
      <w:r>
        <w:rPr>
          <w:rStyle w:val="EndnoteReference"/>
        </w:rPr>
        <w:endnoteReference w:id="1759"/>
      </w:r>
      <w:r>
        <w:t xml:space="preserve">  </w:t>
      </w:r>
      <w:r w:rsidRPr="00056794">
        <w:t xml:space="preserve">Nebuchadnezzar was ‘the first of the Gentile world-kings in whom the times of the Gentiles </w:t>
      </w:r>
      <w:r w:rsidRPr="003B3DB5">
        <w:t>began’</w:t>
      </w:r>
      <w:r>
        <w:t>,</w:t>
      </w:r>
      <w:r>
        <w:rPr>
          <w:rStyle w:val="EndnoteReference"/>
        </w:rPr>
        <w:endnoteReference w:id="1760"/>
      </w:r>
      <w:r>
        <w:t xml:space="preserve"> who established the first of the four world-monarchies’.</w:t>
      </w:r>
      <w:r>
        <w:rPr>
          <w:rStyle w:val="EndnoteReference"/>
        </w:rPr>
        <w:endnoteReference w:id="1761"/>
      </w:r>
      <w:r>
        <w:t xml:space="preserve">  </w:t>
      </w:r>
      <w:r w:rsidRPr="00083E95">
        <w:t xml:space="preserve">Scofield states that Daniel, </w:t>
      </w:r>
      <w:r w:rsidRPr="00056794">
        <w:t>whom he dubs ‘the prophet of the “times of the Gentiles”</w:t>
      </w:r>
      <w:r>
        <w:rPr>
          <w:color w:val="000000"/>
        </w:rPr>
        <w:t>’</w:t>
      </w:r>
      <w:r w:rsidRPr="009D654D">
        <w:rPr>
          <w:color w:val="000000"/>
        </w:rPr>
        <w:t>,</w:t>
      </w:r>
      <w:r w:rsidRPr="009D654D">
        <w:rPr>
          <w:rStyle w:val="EndnoteReference"/>
          <w:color w:val="000000"/>
        </w:rPr>
        <w:endnoteReference w:id="1762"/>
      </w:r>
      <w:r w:rsidRPr="009D654D">
        <w:rPr>
          <w:color w:val="000000"/>
        </w:rPr>
        <w:t xml:space="preserve"> interprets Nebuchadnezzar’s dream in Daniel 2 as </w:t>
      </w:r>
      <w:r>
        <w:rPr>
          <w:color w:val="000000"/>
        </w:rPr>
        <w:t>providing information on the way in which the ‘times of the Gentiles’, that is ‘Gentile world-empire’ will proceed and end</w:t>
      </w:r>
      <w:r w:rsidRPr="009D654D">
        <w:rPr>
          <w:color w:val="000000"/>
        </w:rPr>
        <w:t>.</w:t>
      </w:r>
      <w:r w:rsidRPr="009D654D">
        <w:rPr>
          <w:rStyle w:val="EndnoteReference"/>
          <w:color w:val="000000"/>
        </w:rPr>
        <w:endnoteReference w:id="1763"/>
      </w:r>
      <w:r w:rsidRPr="009D654D">
        <w:rPr>
          <w:color w:val="000000"/>
        </w:rPr>
        <w:t xml:space="preserve">  </w:t>
      </w:r>
      <w:r w:rsidRPr="00FF409B">
        <w:t>Nebuchadnezzar, ‘in his monarchy vision’</w:t>
      </w:r>
      <w:r w:rsidRPr="00FF409B">
        <w:rPr>
          <w:rStyle w:val="EndnoteReference"/>
        </w:rPr>
        <w:endnoteReference w:id="1764"/>
      </w:r>
      <w:r w:rsidRPr="00FF409B">
        <w:t xml:space="preserve"> ‘saw the imposing outward power and splendour of the “times of the Gentiles”,</w:t>
      </w:r>
      <w:r w:rsidRPr="00FF409B">
        <w:rPr>
          <w:rStyle w:val="EndnoteReference"/>
        </w:rPr>
        <w:endnoteReference w:id="1765"/>
      </w:r>
      <w:r w:rsidRPr="00FF409B">
        <w:t xml:space="preserve"> while Daniel saw the true character of Gentile world-government as rapacious and warlike, established and maintained by force’.</w:t>
      </w:r>
      <w:r w:rsidRPr="00FF409B">
        <w:rPr>
          <w:rStyle w:val="EndnoteReference"/>
        </w:rPr>
        <w:endnoteReference w:id="1766"/>
      </w:r>
      <w:r w:rsidRPr="00FF409B">
        <w:t xml:space="preserve">  </w:t>
      </w:r>
    </w:p>
    <w:p w:rsidR="006A2E06" w:rsidRPr="006425B6" w:rsidRDefault="006A2E06" w:rsidP="006A2E06">
      <w:pPr>
        <w:spacing w:after="120" w:line="360" w:lineRule="auto"/>
        <w:ind w:right="-28" w:firstLine="567"/>
        <w:jc w:val="both"/>
      </w:pPr>
      <w:r w:rsidRPr="003B3DB5">
        <w:t>Scofield states that the times of the Gentiles will continue until ‘the destruction of the Gentile world-power by the “stone cut without hands”’ in ‘a sudden and irremediable blow’</w:t>
      </w:r>
      <w:r w:rsidRPr="003B3DB5">
        <w:rPr>
          <w:rStyle w:val="EndnoteReference"/>
        </w:rPr>
        <w:endnoteReference w:id="1767"/>
      </w:r>
      <w:r w:rsidRPr="003B3DB5">
        <w:t xml:space="preserve"> at the Lord’s coming,</w:t>
      </w:r>
      <w:r w:rsidRPr="003B3DB5">
        <w:rPr>
          <w:rStyle w:val="EndnoteReference"/>
        </w:rPr>
        <w:endnoteReference w:id="1768"/>
      </w:r>
      <w:r w:rsidRPr="003B3DB5">
        <w:t xml:space="preserve"> and the establishment of the kingdom of heaven.</w:t>
      </w:r>
      <w:r w:rsidRPr="003B3DB5">
        <w:rPr>
          <w:rStyle w:val="EndnoteReference"/>
        </w:rPr>
        <w:endnoteReference w:id="1769"/>
      </w:r>
      <w:r w:rsidRPr="003B3DB5">
        <w:t xml:space="preserve">  </w:t>
      </w:r>
      <w:r w:rsidRPr="00AA28DD">
        <w:t>God will not establish his kingdom until the smiting has occurred.</w:t>
      </w:r>
      <w:r w:rsidRPr="00AA28DD">
        <w:rPr>
          <w:rStyle w:val="EndnoteReference"/>
        </w:rPr>
        <w:endnoteReference w:id="1770"/>
      </w:r>
      <w:r w:rsidRPr="00AA28DD">
        <w:t xml:space="preserve">  </w:t>
      </w:r>
      <w:r w:rsidRPr="00695785">
        <w:t xml:space="preserve">It is notable how similar comments about the smiting of the Gentile world-power occur in </w:t>
      </w:r>
      <w:r w:rsidRPr="0033169F">
        <w:rPr>
          <w:i/>
        </w:rPr>
        <w:t>SRB</w:t>
      </w:r>
      <w:r w:rsidRPr="00695785">
        <w:t xml:space="preserve"> notes on Matthew,</w:t>
      </w:r>
      <w:r w:rsidRPr="00695785">
        <w:rPr>
          <w:rStyle w:val="EndnoteReference"/>
        </w:rPr>
        <w:endnoteReference w:id="1771"/>
      </w:r>
      <w:r w:rsidRPr="00695785">
        <w:t xml:space="preserve"> 1 Peter,</w:t>
      </w:r>
      <w:r w:rsidRPr="00695785">
        <w:rPr>
          <w:rStyle w:val="EndnoteReference"/>
        </w:rPr>
        <w:endnoteReference w:id="1772"/>
      </w:r>
      <w:r w:rsidRPr="00695785">
        <w:t xml:space="preserve"> and Revelation.</w:t>
      </w:r>
      <w:r w:rsidRPr="00695785">
        <w:rPr>
          <w:rStyle w:val="EndnoteReference"/>
        </w:rPr>
        <w:endnoteReference w:id="1773"/>
      </w:r>
      <w:r w:rsidRPr="00695785">
        <w:t xml:space="preserve">  To Scofield, these are clearly all part of the same scenario.  This smiting did not occur at Christ’s first advent and</w:t>
      </w:r>
      <w:r>
        <w:t>,</w:t>
      </w:r>
      <w:r w:rsidRPr="00695785">
        <w:t xml:space="preserve"> ‘since the crucifixion, the Roman </w:t>
      </w:r>
      <w:proofErr w:type="gramStart"/>
      <w:r w:rsidRPr="00695785">
        <w:t>empire</w:t>
      </w:r>
      <w:proofErr w:type="gramEnd"/>
      <w:r w:rsidRPr="00695785">
        <w:t xml:space="preserve"> has followed the course marked out in the vision but Gentile world-domination continues and the </w:t>
      </w:r>
      <w:r w:rsidRPr="00695785">
        <w:lastRenderedPageBreak/>
        <w:t>crushing blow is still suspended’.</w:t>
      </w:r>
      <w:r w:rsidRPr="00695785">
        <w:rPr>
          <w:rStyle w:val="EndnoteReference"/>
        </w:rPr>
        <w:endnoteReference w:id="1774"/>
      </w:r>
      <w:r w:rsidRPr="00695785">
        <w:t xml:space="preserve">  The final fulfilment of the prophecies concerning the Gentile powers is still future, even though there has been partial fulfilment.</w:t>
      </w:r>
      <w:r w:rsidRPr="00695785">
        <w:rPr>
          <w:rStyle w:val="EndnoteReference"/>
        </w:rPr>
        <w:endnoteReference w:id="1775"/>
      </w:r>
    </w:p>
    <w:p w:rsidR="006A2E06" w:rsidRPr="003B3DB5" w:rsidRDefault="006A2E06" w:rsidP="006A2E06">
      <w:pPr>
        <w:spacing w:after="120" w:line="360" w:lineRule="auto"/>
        <w:ind w:right="-28" w:firstLine="567"/>
        <w:jc w:val="both"/>
      </w:pPr>
      <w:r>
        <w:t>The times of the Gentiles are also defined as ‘the Gentile world-empires’</w:t>
      </w:r>
      <w:r w:rsidRPr="003B3DB5">
        <w:t xml:space="preserve">, a term which Scofield sometimes uses synonymously with ‘the Gentile world-power’, ‘the Gentile world-system’ and </w:t>
      </w:r>
      <w:r>
        <w:t>‘</w:t>
      </w:r>
      <w:r w:rsidRPr="003B3DB5">
        <w:t>Gentile world-domination’.</w:t>
      </w:r>
      <w:r w:rsidRPr="003B3DB5">
        <w:rPr>
          <w:rStyle w:val="EndnoteReference"/>
        </w:rPr>
        <w:endnoteReference w:id="1776"/>
      </w:r>
      <w:r w:rsidRPr="003B3DB5">
        <w:t xml:space="preserve">  Scofield has imported the concept of ‘world-empire’ into Daniel.  The word used in Dan. 2:37, 39 and 40 is</w:t>
      </w:r>
      <w:r w:rsidRPr="003B3DB5">
        <w:rPr>
          <w:sz w:val="24"/>
          <w:szCs w:val="24"/>
        </w:rPr>
        <w:t xml:space="preserve"> </w:t>
      </w:r>
      <w:r w:rsidRPr="003B3DB5">
        <w:rPr>
          <w:rFonts w:ascii="Bwhebb" w:hAnsi="Bwhebb" w:cs="Bwhebb"/>
          <w:sz w:val="36"/>
          <w:szCs w:val="36"/>
          <w:lang w:bidi="he-IL"/>
        </w:rPr>
        <w:t>Wkl.m</w:t>
      </w:r>
      <w:proofErr w:type="gramStart"/>
      <w:r w:rsidRPr="003B3DB5">
        <w:rPr>
          <w:rFonts w:ascii="Bwhebb" w:hAnsi="Bwhebb" w:cs="Bwhebb"/>
          <w:sz w:val="24"/>
          <w:szCs w:val="24"/>
          <w:lang w:bidi="he-IL"/>
        </w:rPr>
        <w:t>;</w:t>
      </w:r>
      <w:r w:rsidRPr="003B3DB5">
        <w:rPr>
          <w:sz w:val="24"/>
          <w:szCs w:val="24"/>
        </w:rPr>
        <w:t>,</w:t>
      </w:r>
      <w:proofErr w:type="gramEnd"/>
      <w:r w:rsidRPr="003B3DB5">
        <w:rPr>
          <w:sz w:val="24"/>
          <w:szCs w:val="24"/>
        </w:rPr>
        <w:t xml:space="preserve"> </w:t>
      </w:r>
      <w:r w:rsidRPr="003B3DB5">
        <w:t xml:space="preserve">or </w:t>
      </w:r>
      <w:r w:rsidRPr="003B3DB5">
        <w:rPr>
          <w:rFonts w:ascii="Bwgrkl" w:hAnsi="Bwgrkl" w:cs="Bwgrkl"/>
          <w:sz w:val="24"/>
          <w:szCs w:val="24"/>
          <w:lang w:bidi="he-IL"/>
        </w:rPr>
        <w:t>basilei,a</w:t>
      </w:r>
      <w:r w:rsidRPr="003B3DB5">
        <w:rPr>
          <w:sz w:val="24"/>
          <w:szCs w:val="24"/>
        </w:rPr>
        <w:t xml:space="preserve">, </w:t>
      </w:r>
      <w:r w:rsidRPr="003B3DB5">
        <w:t>(</w:t>
      </w:r>
      <w:r w:rsidRPr="003B3DB5">
        <w:rPr>
          <w:i/>
        </w:rPr>
        <w:t>LXX</w:t>
      </w:r>
      <w:r w:rsidRPr="003B3DB5">
        <w:t>), both meaning ‘kingdom’.  It is significant that, even though Scofield refers to the kingdom of heaven as ‘the final world-empire’,</w:t>
      </w:r>
      <w:r w:rsidRPr="003B3DB5">
        <w:rPr>
          <w:rStyle w:val="EndnoteReference"/>
        </w:rPr>
        <w:endnoteReference w:id="1777"/>
      </w:r>
      <w:r w:rsidRPr="003B3DB5">
        <w:t xml:space="preserve"> he renders the same Hebrew and Greek words in the accompanying note as ‘kingdom’,</w:t>
      </w:r>
      <w:r w:rsidRPr="003B3DB5">
        <w:rPr>
          <w:rStyle w:val="EndnoteReference"/>
        </w:rPr>
        <w:endnoteReference w:id="1778"/>
      </w:r>
      <w:r w:rsidRPr="003B3DB5">
        <w:t xml:space="preserve"> and applies this translation to his interpretation of the ‘kingdom of heaven’ in Mt. 3:2.</w:t>
      </w:r>
      <w:r w:rsidRPr="003B3DB5">
        <w:rPr>
          <w:rStyle w:val="EndnoteReference"/>
        </w:rPr>
        <w:endnoteReference w:id="1779"/>
      </w:r>
      <w:r w:rsidRPr="003B3DB5">
        <w:t xml:space="preserve">  He does not refer there to a ‘world-empire’ of heaven.</w:t>
      </w:r>
    </w:p>
    <w:p w:rsidR="006A2E06" w:rsidRPr="003B3DB5" w:rsidRDefault="006A2E06" w:rsidP="006A2E06">
      <w:pPr>
        <w:spacing w:after="120" w:line="360" w:lineRule="auto"/>
        <w:ind w:right="-29" w:firstLine="500"/>
        <w:jc w:val="both"/>
      </w:pPr>
      <w:r w:rsidRPr="003B3DB5">
        <w:t xml:space="preserve">The word ‘empire’ appears only once in </w:t>
      </w:r>
      <w:r w:rsidRPr="003B3DB5">
        <w:rPr>
          <w:i/>
        </w:rPr>
        <w:t>KJV</w:t>
      </w:r>
      <w:r w:rsidRPr="003B3DB5">
        <w:t xml:space="preserve"> and that not in Daniel, but in Esther, in a verse upon which Scofield does not comment.</w:t>
      </w:r>
      <w:r w:rsidRPr="003B3DB5">
        <w:rPr>
          <w:rStyle w:val="EndnoteReference"/>
        </w:rPr>
        <w:endnoteReference w:id="1780"/>
      </w:r>
      <w:r w:rsidRPr="003B3DB5">
        <w:t xml:space="preserve">  However, the concept of empire is very important to Scofield.  His interpretation of the four metals</w:t>
      </w:r>
      <w:r w:rsidRPr="003B3DB5">
        <w:rPr>
          <w:rStyle w:val="EndnoteReference"/>
        </w:rPr>
        <w:endnoteReference w:id="1781"/>
      </w:r>
      <w:r w:rsidRPr="003B3DB5">
        <w:t xml:space="preserve"> and four beasts</w:t>
      </w:r>
      <w:r w:rsidRPr="003B3DB5">
        <w:rPr>
          <w:rStyle w:val="EndnoteReference"/>
        </w:rPr>
        <w:endnoteReference w:id="1782"/>
      </w:r>
      <w:r w:rsidRPr="003B3DB5">
        <w:t xml:space="preserve"> as four empires which existed historically and his erroneous claim that the fourth beast of Dan. 7:7 is declared to be ‘“the fourth kingdom”, i.e. the Roman empire, the “iron” kingdom’,</w:t>
      </w:r>
      <w:r w:rsidRPr="003B3DB5">
        <w:rPr>
          <w:rStyle w:val="EndnoteReference"/>
        </w:rPr>
        <w:endnoteReference w:id="1783"/>
      </w:r>
      <w:r w:rsidRPr="003B3DB5">
        <w:t xml:space="preserve"> might appear to validate his futuristic interpretation concerning the ‘ten kingdoms, covering the regions formerly ruled by Rome’.  Scofield avers that these ten kingdoms take the form in which the ‘fourth or Roman Empire will exist when the whole fabric of Gentile world-domination is smitten by the “stone cut out without hands</w:t>
      </w:r>
      <w:r w:rsidRPr="00555A7E">
        <w:t>” = [s</w:t>
      </w:r>
      <w:r w:rsidRPr="00555A7E">
        <w:rPr>
          <w:i/>
        </w:rPr>
        <w:t>ic</w:t>
      </w:r>
      <w:r w:rsidRPr="00555A7E">
        <w:t>] Christ’.</w:t>
      </w:r>
      <w:r w:rsidRPr="00555A7E">
        <w:rPr>
          <w:rStyle w:val="EndnoteReference"/>
        </w:rPr>
        <w:endnoteReference w:id="1784"/>
      </w:r>
      <w:r w:rsidRPr="003B3DB5">
        <w:t xml:space="preserve">  </w:t>
      </w:r>
      <w:r w:rsidRPr="00B47A01">
        <w:t>However, the text of Dan. 2:44-5</w:t>
      </w:r>
      <w:r w:rsidRPr="00B47A01">
        <w:rPr>
          <w:rStyle w:val="EndnoteReference"/>
        </w:rPr>
        <w:endnoteReference w:id="1785"/>
      </w:r>
      <w:r w:rsidRPr="00B47A01">
        <w:t xml:space="preserve"> indicates that the future kingdom is the smiting-stone, not an individual, whom Scofield identifies as Christ.</w:t>
      </w:r>
      <w:r w:rsidRPr="00B47A01">
        <w:rPr>
          <w:rStyle w:val="EndnoteReference"/>
        </w:rPr>
        <w:endnoteReference w:id="1786"/>
      </w:r>
      <w:r w:rsidRPr="00B47A01">
        <w:t xml:space="preserve">  Moreover, </w:t>
      </w:r>
      <w:r w:rsidRPr="003B3DB5">
        <w:t>the fourth kingdom, like the others in the image and beast visions, is not named; furthermore, the term ‘Roman’ does not appear in the Old Testament and nor does the adjective, ‘Macedonian’ which Scofield uses in his note on Dan. 8:1.</w:t>
      </w:r>
      <w:r w:rsidRPr="003B3DB5">
        <w:rPr>
          <w:rStyle w:val="EndnoteReference"/>
        </w:rPr>
        <w:endnoteReference w:id="1787"/>
      </w:r>
      <w:r w:rsidRPr="003B3DB5">
        <w:t xml:space="preserve">  Scofield also amalgamates the theoretical expressions, ‘empire’ and ‘great Gentile world-monarchies’, with references to the historical Roman Empire in the note on Ezra 6:14, which states that ‘Messiah …was crucified by soldiers of the fourth Gentile world-empire (Rome)’</w:t>
      </w:r>
      <w:r>
        <w:t>,</w:t>
      </w:r>
      <w:r w:rsidRPr="003B3DB5">
        <w:rPr>
          <w:rStyle w:val="EndnoteReference"/>
        </w:rPr>
        <w:endnoteReference w:id="1788"/>
      </w:r>
      <w:r w:rsidRPr="003B3DB5">
        <w:t xml:space="preserve"> </w:t>
      </w:r>
      <w:r>
        <w:t xml:space="preserve">that </w:t>
      </w:r>
      <w:r w:rsidRPr="003B3DB5">
        <w:t>on Dan. 2:41, which refers to the division into the Eastern and Western empires,</w:t>
      </w:r>
      <w:r w:rsidRPr="003B3DB5">
        <w:rPr>
          <w:rStyle w:val="EndnoteReference"/>
        </w:rPr>
        <w:endnoteReference w:id="1789"/>
      </w:r>
      <w:r w:rsidRPr="003B3DB5">
        <w:t xml:space="preserve"> and </w:t>
      </w:r>
      <w:r>
        <w:t xml:space="preserve">that on </w:t>
      </w:r>
      <w:r w:rsidRPr="003B3DB5">
        <w:t xml:space="preserve">Lk. 2:1, which translates </w:t>
      </w:r>
      <w:r w:rsidRPr="003B3DB5">
        <w:rPr>
          <w:i/>
        </w:rPr>
        <w:t>oikoumene</w:t>
      </w:r>
      <w:r w:rsidRPr="003B3DB5">
        <w:t xml:space="preserve"> as ‘the sphere of Roman rule at its greatest extent’.</w:t>
      </w:r>
      <w:r w:rsidRPr="003B3DB5">
        <w:rPr>
          <w:rStyle w:val="EndnoteReference"/>
        </w:rPr>
        <w:endnoteReference w:id="1790"/>
      </w:r>
      <w:r w:rsidRPr="003B3DB5">
        <w:t xml:space="preserve">  Scofield refers in his note on Dan. 2:41 to ‘the fickle an</w:t>
      </w:r>
      <w:r>
        <w:t xml:space="preserve">d impressionable nature of the </w:t>
      </w:r>
      <w:r w:rsidRPr="003B3DB5">
        <w:t xml:space="preserve">Roman </w:t>
      </w:r>
      <w:r w:rsidRPr="00CE5B7E">
        <w:rPr>
          <w:i/>
        </w:rPr>
        <w:t>imperium</w:t>
      </w:r>
      <w:r w:rsidRPr="003B3DB5">
        <w:t xml:space="preserve"> and gives the purely contemporary examples of France and Turkey as covering ‘the sphere of ancient Roman rule’.</w:t>
      </w:r>
      <w:r w:rsidRPr="003B3DB5">
        <w:rPr>
          <w:rStyle w:val="EndnoteReference"/>
        </w:rPr>
        <w:endnoteReference w:id="1791"/>
      </w:r>
      <w:r w:rsidRPr="003B3DB5">
        <w:t xml:space="preserve">  </w:t>
      </w:r>
      <w:r>
        <w:t>This allusion takes him outside the futuristic interpretation generally held by dispensationalists and usually by Scofield himself.</w:t>
      </w:r>
      <w:r>
        <w:rPr>
          <w:rStyle w:val="EndnoteReference"/>
        </w:rPr>
        <w:endnoteReference w:id="1792"/>
      </w:r>
      <w:r>
        <w:t xml:space="preserve">  </w:t>
      </w:r>
      <w:r w:rsidRPr="003B3DB5">
        <w:t>Scofield uses historical figures and facts, such as the Roman Empire, Antiochus Epiphanes</w:t>
      </w:r>
      <w:r w:rsidRPr="003B3DB5">
        <w:rPr>
          <w:rStyle w:val="EndnoteReference"/>
        </w:rPr>
        <w:endnoteReference w:id="1793"/>
      </w:r>
      <w:r w:rsidRPr="003B3DB5">
        <w:t xml:space="preserve"> and Alexander the Great,</w:t>
      </w:r>
      <w:r w:rsidRPr="003B3DB5">
        <w:rPr>
          <w:rStyle w:val="EndnoteReference"/>
        </w:rPr>
        <w:endnoteReference w:id="1794"/>
      </w:r>
      <w:r w:rsidRPr="003B3DB5">
        <w:t xml:space="preserve"> not named in the biblical text, to lend credence to his theory concerning the future for the area covered by the Roman Empire’s ‘ten kingdoms’.</w:t>
      </w:r>
      <w:r w:rsidRPr="003B3DB5">
        <w:rPr>
          <w:rStyle w:val="EndnoteReference"/>
        </w:rPr>
        <w:endnoteReference w:id="1795"/>
      </w:r>
      <w:r w:rsidRPr="003B3DB5">
        <w:t xml:space="preserve">  These references are misleading but are important in supporting Scofield’s theory that the Roman empire is to be revived under Antichrist, who fulfils the role of the ‘prince’ of Dan. 9:26.</w:t>
      </w:r>
    </w:p>
    <w:p w:rsidR="006A2E06" w:rsidRPr="009D654D" w:rsidRDefault="006A2E06" w:rsidP="006A2E06">
      <w:pPr>
        <w:spacing w:after="120" w:line="360" w:lineRule="auto"/>
        <w:ind w:right="-28" w:firstLine="567"/>
        <w:jc w:val="both"/>
      </w:pPr>
      <w:r w:rsidRPr="009D654D">
        <w:t xml:space="preserve">Commentaries by </w:t>
      </w:r>
      <w:r>
        <w:t xml:space="preserve">Louis </w:t>
      </w:r>
      <w:r w:rsidRPr="009D654D">
        <w:t xml:space="preserve">Hartmann and </w:t>
      </w:r>
      <w:r>
        <w:t xml:space="preserve">Alexander </w:t>
      </w:r>
      <w:r w:rsidRPr="009D654D">
        <w:t>DiLella,</w:t>
      </w:r>
      <w:r w:rsidRPr="009D654D">
        <w:rPr>
          <w:rStyle w:val="EndnoteReference"/>
        </w:rPr>
        <w:endnoteReference w:id="1796"/>
      </w:r>
      <w:r w:rsidRPr="009D654D">
        <w:t xml:space="preserve"> John Collins,</w:t>
      </w:r>
      <w:r w:rsidRPr="009D654D">
        <w:rPr>
          <w:rStyle w:val="EndnoteReference"/>
        </w:rPr>
        <w:endnoteReference w:id="1797"/>
      </w:r>
      <w:r w:rsidRPr="009D654D">
        <w:t xml:space="preserve"> Andr</w:t>
      </w:r>
      <w:r w:rsidRPr="009D654D">
        <w:rPr>
          <w:lang w:val="en-US"/>
        </w:rPr>
        <w:t>é</w:t>
      </w:r>
      <w:r w:rsidRPr="009D654D">
        <w:t xml:space="preserve"> Lacocque,</w:t>
      </w:r>
      <w:r w:rsidRPr="009D654D">
        <w:rPr>
          <w:rStyle w:val="EndnoteReference"/>
        </w:rPr>
        <w:endnoteReference w:id="1798"/>
      </w:r>
      <w:r w:rsidRPr="009D654D">
        <w:t xml:space="preserve"> John Goldingay</w:t>
      </w:r>
      <w:r w:rsidRPr="009D654D">
        <w:rPr>
          <w:rStyle w:val="EndnoteReference"/>
        </w:rPr>
        <w:endnoteReference w:id="1799"/>
      </w:r>
      <w:r w:rsidRPr="009D654D">
        <w:t xml:space="preserve"> and Norman Porteous</w:t>
      </w:r>
      <w:r w:rsidRPr="009D654D">
        <w:rPr>
          <w:rStyle w:val="EndnoteReference"/>
        </w:rPr>
        <w:endnoteReference w:id="1800"/>
      </w:r>
      <w:r w:rsidRPr="009D654D">
        <w:t xml:space="preserve"> make no reference in their commentary on Daniel 2 and 4 to </w:t>
      </w:r>
      <w:r w:rsidRPr="009D654D">
        <w:lastRenderedPageBreak/>
        <w:t xml:space="preserve">the times of the Gentiles.  All concentrate on the statue, especially its non-biblical antecedents; </w:t>
      </w:r>
      <w:r>
        <w:t xml:space="preserve">all except Lacocque </w:t>
      </w:r>
      <w:r w:rsidRPr="009D654D">
        <w:t>comment on the symbolism of the four metals.</w:t>
      </w:r>
      <w:r>
        <w:rPr>
          <w:rStyle w:val="EndnoteReference"/>
        </w:rPr>
        <w:endnoteReference w:id="1801"/>
      </w:r>
      <w:r w:rsidRPr="009D654D">
        <w:t xml:space="preserve">  Lacocque emphasises the symbolism of the holy mountain.</w:t>
      </w:r>
      <w:r w:rsidRPr="009D654D">
        <w:rPr>
          <w:rStyle w:val="EndnoteReference"/>
        </w:rPr>
        <w:endnoteReference w:id="1802"/>
      </w:r>
      <w:r w:rsidRPr="009D654D">
        <w:t xml:space="preserve">  Commenting on the beginni</w:t>
      </w:r>
      <w:r>
        <w:t>ng of Daniel 4, Hartmann and Di</w:t>
      </w:r>
      <w:r w:rsidRPr="009D654D">
        <w:t>Lella,</w:t>
      </w:r>
      <w:r w:rsidRPr="009D654D">
        <w:rPr>
          <w:rStyle w:val="EndnoteReference"/>
        </w:rPr>
        <w:endnoteReference w:id="1803"/>
      </w:r>
      <w:r w:rsidRPr="009D654D">
        <w:t xml:space="preserve"> and Lacocque</w:t>
      </w:r>
      <w:r w:rsidRPr="009D654D">
        <w:rPr>
          <w:rStyle w:val="EndnoteReference"/>
        </w:rPr>
        <w:endnoteReference w:id="1804"/>
      </w:r>
      <w:r w:rsidRPr="009D654D">
        <w:t xml:space="preserve"> emphasise the motif of the world tree, common to many ancient forms of literature;</w:t>
      </w:r>
      <w:r>
        <w:rPr>
          <w:rStyle w:val="EndnoteReference"/>
        </w:rPr>
        <w:endnoteReference w:id="1805"/>
      </w:r>
      <w:r>
        <w:t xml:space="preserve"> </w:t>
      </w:r>
      <w:r w:rsidRPr="009D654D">
        <w:t>Collins notes parallels with neo-Babylonian royal inscriptions</w:t>
      </w:r>
      <w:r w:rsidRPr="009D654D">
        <w:rPr>
          <w:rStyle w:val="EndnoteReference"/>
        </w:rPr>
        <w:endnoteReference w:id="1806"/>
      </w:r>
      <w:r w:rsidRPr="009D654D">
        <w:t xml:space="preserve"> and Goldingay</w:t>
      </w:r>
      <w:r w:rsidRPr="009D654D">
        <w:rPr>
          <w:rStyle w:val="EndnoteReference"/>
        </w:rPr>
        <w:endnoteReference w:id="1807"/>
      </w:r>
      <w:r w:rsidRPr="009D654D">
        <w:t xml:space="preserve"> and Porteous</w:t>
      </w:r>
      <w:r w:rsidRPr="009D654D">
        <w:rPr>
          <w:rStyle w:val="EndnoteReference"/>
        </w:rPr>
        <w:endnoteReference w:id="1808"/>
      </w:r>
      <w:r w:rsidRPr="009D654D">
        <w:t xml:space="preserve"> comment upon Nebuchadnezzar’s recognition of divine spirit within Daniel.  Goldingay specifically states that there is no emphasis on Nebuchadnezzar’s Gentile identity.</w:t>
      </w:r>
      <w:r w:rsidRPr="009D654D">
        <w:rPr>
          <w:rStyle w:val="EndnoteReference"/>
        </w:rPr>
        <w:endnoteReference w:id="1809"/>
      </w:r>
      <w:r w:rsidRPr="009D654D">
        <w:t xml:space="preserve">  Porteous emphasises the epistolary format of the dream narrative in Daniel 4.</w:t>
      </w:r>
      <w:r w:rsidRPr="009D654D">
        <w:rPr>
          <w:rStyle w:val="EndnoteReference"/>
        </w:rPr>
        <w:endnoteReference w:id="1810"/>
      </w:r>
      <w:r w:rsidRPr="009D654D">
        <w:t xml:space="preserve">    </w:t>
      </w:r>
    </w:p>
    <w:p w:rsidR="006A2E06" w:rsidRDefault="006A2E06" w:rsidP="006A2E06">
      <w:pPr>
        <w:pStyle w:val="EndnoteText"/>
        <w:spacing w:after="120" w:line="360" w:lineRule="auto"/>
        <w:ind w:firstLine="426"/>
        <w:jc w:val="both"/>
        <w:rPr>
          <w:sz w:val="22"/>
        </w:rPr>
      </w:pPr>
      <w:r w:rsidRPr="005148B5">
        <w:rPr>
          <w:color w:val="000000"/>
          <w:sz w:val="22"/>
          <w:szCs w:val="22"/>
        </w:rPr>
        <w:t>The phrase, ‘the times of the Gentiles’, is only found in Lk. 21:24 and is pronounced by Christ</w:t>
      </w:r>
      <w:r w:rsidRPr="005148B5">
        <w:rPr>
          <w:sz w:val="22"/>
          <w:szCs w:val="22"/>
        </w:rPr>
        <w:t>.</w:t>
      </w:r>
      <w:r w:rsidRPr="005148B5">
        <w:rPr>
          <w:rStyle w:val="FootnoteReference"/>
          <w:sz w:val="22"/>
          <w:szCs w:val="22"/>
        </w:rPr>
        <w:footnoteReference w:id="89"/>
      </w:r>
      <w:r w:rsidRPr="005148B5">
        <w:rPr>
          <w:sz w:val="22"/>
          <w:szCs w:val="22"/>
        </w:rPr>
        <w:t xml:space="preserve">  Scofield asserts, without offering any evidence, that Lk. 21:20-24 refers expressly to ‘a destruction of Jerusalem which was fulfilled by Titus in A</w:t>
      </w:r>
      <w:r>
        <w:rPr>
          <w:sz w:val="22"/>
          <w:szCs w:val="22"/>
        </w:rPr>
        <w:t>.</w:t>
      </w:r>
      <w:r w:rsidRPr="005148B5">
        <w:rPr>
          <w:sz w:val="22"/>
          <w:szCs w:val="22"/>
        </w:rPr>
        <w:t>D</w:t>
      </w:r>
      <w:r>
        <w:rPr>
          <w:sz w:val="22"/>
          <w:szCs w:val="22"/>
        </w:rPr>
        <w:t>.</w:t>
      </w:r>
      <w:r w:rsidRPr="005148B5">
        <w:rPr>
          <w:sz w:val="22"/>
          <w:szCs w:val="22"/>
        </w:rPr>
        <w:t xml:space="preserve"> 70’ whereas the parallel passage in Mt. 24:16 refers to ‘a future crisis in Jerusalem after the manifestation of the “abomination”’.  Scofield claims that ‘in the former case [Luke] Jerusalem was destroyed; in the latter [Matthew] it will be delivered by divine interposition’.</w:t>
      </w:r>
      <w:r>
        <w:rPr>
          <w:rStyle w:val="EndnoteReference"/>
          <w:sz w:val="22"/>
          <w:szCs w:val="22"/>
        </w:rPr>
        <w:endnoteReference w:id="1811"/>
      </w:r>
      <w:r w:rsidRPr="005148B5">
        <w:rPr>
          <w:sz w:val="22"/>
          <w:szCs w:val="22"/>
        </w:rPr>
        <w:t xml:space="preserve">  </w:t>
      </w:r>
    </w:p>
    <w:p w:rsidR="006A2E06" w:rsidRDefault="006A2E06" w:rsidP="006A2E06">
      <w:pPr>
        <w:pStyle w:val="FootnoteText"/>
        <w:spacing w:after="120" w:line="360" w:lineRule="auto"/>
        <w:ind w:firstLine="426"/>
        <w:jc w:val="both"/>
        <w:rPr>
          <w:rFonts w:ascii="Perpetua" w:hAnsi="Perpetua"/>
          <w:sz w:val="22"/>
        </w:rPr>
      </w:pPr>
      <w:r w:rsidRPr="009D654D">
        <w:rPr>
          <w:rFonts w:ascii="Perpetua" w:hAnsi="Perpetua"/>
          <w:sz w:val="22"/>
          <w:szCs w:val="22"/>
        </w:rPr>
        <w:t>Fran</w:t>
      </w:r>
      <w:r w:rsidRPr="009D654D">
        <w:rPr>
          <w:rFonts w:ascii="Perpetua" w:hAnsi="Perpetua"/>
          <w:sz w:val="22"/>
          <w:szCs w:val="22"/>
          <w:lang w:val="en-US"/>
        </w:rPr>
        <w:t>ç</w:t>
      </w:r>
      <w:r w:rsidRPr="009D654D">
        <w:rPr>
          <w:rFonts w:ascii="Perpetua" w:hAnsi="Perpetua"/>
          <w:sz w:val="22"/>
          <w:szCs w:val="22"/>
        </w:rPr>
        <w:t xml:space="preserve">ois Bovon, Fitzmyer, Michael Goulder, Robert Tannehill and David Tiede relate Lk. 21:23-4 to the putative composition of Luke during or after the Roman siege and sacking of Jerusalem and the </w:t>
      </w:r>
      <w:r w:rsidRPr="009D654D">
        <w:rPr>
          <w:rFonts w:ascii="Perpetua" w:hAnsi="Perpetua"/>
          <w:color w:val="000000"/>
          <w:sz w:val="22"/>
          <w:szCs w:val="22"/>
        </w:rPr>
        <w:t xml:space="preserve">temple in 70 CE.  </w:t>
      </w:r>
      <w:r w:rsidRPr="009D654D">
        <w:rPr>
          <w:rFonts w:ascii="Perpetua" w:hAnsi="Perpetua"/>
          <w:sz w:val="22"/>
          <w:szCs w:val="22"/>
        </w:rPr>
        <w:t xml:space="preserve">None of these </w:t>
      </w:r>
      <w:proofErr w:type="gramStart"/>
      <w:r w:rsidRPr="009D654D">
        <w:rPr>
          <w:rFonts w:ascii="Perpetua" w:hAnsi="Perpetua"/>
          <w:sz w:val="22"/>
          <w:szCs w:val="22"/>
        </w:rPr>
        <w:t>scholars</w:t>
      </w:r>
      <w:proofErr w:type="gramEnd"/>
      <w:r w:rsidRPr="009D654D">
        <w:rPr>
          <w:rFonts w:ascii="Perpetua" w:hAnsi="Perpetua"/>
          <w:sz w:val="22"/>
          <w:szCs w:val="22"/>
        </w:rPr>
        <w:t xml:space="preserve"> intimates that the prophesied destruction is still future and all relate the fulfilment of the times of the Gentiles to the ending of the Roman occupation, though some also find an eschatological meaning in this.</w:t>
      </w:r>
      <w:r>
        <w:rPr>
          <w:rFonts w:ascii="Perpetua" w:hAnsi="Perpetua"/>
          <w:sz w:val="22"/>
          <w:szCs w:val="22"/>
        </w:rPr>
        <w:t xml:space="preserve">  </w:t>
      </w:r>
      <w:r w:rsidRPr="00E031C7">
        <w:rPr>
          <w:rFonts w:ascii="Perpetua" w:hAnsi="Perpetua"/>
          <w:sz w:val="22"/>
        </w:rPr>
        <w:t>Bovon claims that ‘the Lukan text strictly maintains the historical character of the fate of Jerusalem’; it is ‘a description as seen from recent history’, closely reflecting the fall of Jerusalem to Nebuchadnezzar</w:t>
      </w:r>
      <w:r>
        <w:rPr>
          <w:rStyle w:val="EndnoteReference"/>
          <w:rFonts w:ascii="Perpetua" w:hAnsi="Perpetua"/>
          <w:sz w:val="22"/>
        </w:rPr>
        <w:endnoteReference w:id="1812"/>
      </w:r>
      <w:r w:rsidRPr="00E031C7">
        <w:rPr>
          <w:rFonts w:ascii="Perpetua" w:hAnsi="Perpetua"/>
          <w:sz w:val="22"/>
        </w:rPr>
        <w:t xml:space="preserve"> and Josephus’ account of the Roman/Jewish war.</w:t>
      </w:r>
      <w:r>
        <w:rPr>
          <w:rStyle w:val="EndnoteReference"/>
          <w:rFonts w:ascii="Perpetua" w:hAnsi="Perpetua"/>
          <w:sz w:val="22"/>
        </w:rPr>
        <w:endnoteReference w:id="1813"/>
      </w:r>
      <w:r>
        <w:rPr>
          <w:rFonts w:ascii="Perpetua" w:hAnsi="Perpetua"/>
          <w:sz w:val="22"/>
        </w:rPr>
        <w:t xml:space="preserve">  </w:t>
      </w:r>
      <w:r w:rsidRPr="00E031C7">
        <w:rPr>
          <w:rFonts w:ascii="Perpetua" w:hAnsi="Perpetua"/>
          <w:sz w:val="22"/>
        </w:rPr>
        <w:t>Fitzmyer states that Luke has ‘obviously been influenced by historical events associated with the destruction of Jerusalem in 70 A.D.’.</w:t>
      </w:r>
      <w:r>
        <w:rPr>
          <w:rStyle w:val="EndnoteReference"/>
          <w:rFonts w:ascii="Perpetua" w:hAnsi="Perpetua"/>
          <w:sz w:val="22"/>
        </w:rPr>
        <w:endnoteReference w:id="1814"/>
      </w:r>
      <w:r>
        <w:rPr>
          <w:rFonts w:ascii="Perpetua" w:hAnsi="Perpetua"/>
          <w:sz w:val="22"/>
        </w:rPr>
        <w:t xml:space="preserve">  </w:t>
      </w:r>
      <w:r w:rsidRPr="00E031C7">
        <w:rPr>
          <w:rFonts w:ascii="Perpetua" w:hAnsi="Perpetua"/>
          <w:sz w:val="22"/>
        </w:rPr>
        <w:t>Goulder asserts that, at the time of Luke’s writing, Jerusalem was being trampled under the Roman heel’; he associates this with Dan. 8:13.</w:t>
      </w:r>
      <w:r>
        <w:rPr>
          <w:rStyle w:val="EndnoteReference"/>
          <w:rFonts w:ascii="Perpetua" w:hAnsi="Perpetua"/>
          <w:sz w:val="22"/>
        </w:rPr>
        <w:endnoteReference w:id="1815"/>
      </w:r>
      <w:r>
        <w:rPr>
          <w:rFonts w:ascii="Perpetua" w:hAnsi="Perpetua"/>
          <w:sz w:val="22"/>
        </w:rPr>
        <w:t xml:space="preserve">  </w:t>
      </w:r>
      <w:r w:rsidRPr="00E031C7">
        <w:rPr>
          <w:rFonts w:ascii="Perpetua" w:hAnsi="Perpetua"/>
          <w:sz w:val="22"/>
        </w:rPr>
        <w:t xml:space="preserve">According to Tannehill, Luke’s audience knew that Jerusalem had already been destroyed; Tannehill suggests, however, that the relationship between this and Christ’s return was not clear and might imply that </w:t>
      </w:r>
      <w:r>
        <w:rPr>
          <w:rFonts w:ascii="Perpetua" w:hAnsi="Perpetua"/>
          <w:sz w:val="22"/>
        </w:rPr>
        <w:t xml:space="preserve">the </w:t>
      </w:r>
      <w:proofErr w:type="gramStart"/>
      <w:r w:rsidRPr="009456C7">
        <w:rPr>
          <w:rFonts w:ascii="Perpetua" w:hAnsi="Perpetua"/>
          <w:i/>
          <w:sz w:val="22"/>
        </w:rPr>
        <w:t>parousia</w:t>
      </w:r>
      <w:proofErr w:type="gramEnd"/>
      <w:r w:rsidRPr="00E031C7">
        <w:rPr>
          <w:rFonts w:ascii="Perpetua" w:hAnsi="Perpetua"/>
          <w:sz w:val="22"/>
        </w:rPr>
        <w:t xml:space="preserve"> could be expected at any time.</w:t>
      </w:r>
      <w:r>
        <w:rPr>
          <w:rStyle w:val="EndnoteReference"/>
          <w:rFonts w:ascii="Perpetua" w:hAnsi="Perpetua"/>
          <w:sz w:val="22"/>
        </w:rPr>
        <w:endnoteReference w:id="1816"/>
      </w:r>
      <w:r>
        <w:rPr>
          <w:rFonts w:ascii="Perpetua" w:hAnsi="Perpetua"/>
          <w:sz w:val="22"/>
        </w:rPr>
        <w:t xml:space="preserve">  </w:t>
      </w:r>
      <w:r w:rsidRPr="00E031C7">
        <w:rPr>
          <w:rFonts w:ascii="Perpetua" w:hAnsi="Perpetua"/>
          <w:sz w:val="22"/>
        </w:rPr>
        <w:t xml:space="preserve">Tiede suggests that Luke has recast Mark to interpret the present times and to demonstrate the fulfilment of Scripture in ‘the harsh realities of the Roman conquest’.  </w:t>
      </w:r>
      <w:r>
        <w:rPr>
          <w:rFonts w:ascii="Perpetua" w:hAnsi="Perpetua"/>
          <w:sz w:val="22"/>
        </w:rPr>
        <w:t>He</w:t>
      </w:r>
      <w:r w:rsidRPr="00E031C7">
        <w:rPr>
          <w:rFonts w:ascii="Perpetua" w:hAnsi="Perpetua"/>
          <w:sz w:val="22"/>
        </w:rPr>
        <w:t xml:space="preserve"> relates Lk. 21:23-4 to Josephus, to the siege of Samaria in 2 Kgs 6:24-31 and to the judgment of the great day of the LORD in Zeph. 1:15.</w:t>
      </w:r>
      <w:r>
        <w:rPr>
          <w:rStyle w:val="EndnoteReference"/>
          <w:rFonts w:ascii="Perpetua" w:hAnsi="Perpetua"/>
          <w:sz w:val="22"/>
        </w:rPr>
        <w:endnoteReference w:id="1817"/>
      </w:r>
      <w:r>
        <w:rPr>
          <w:rFonts w:ascii="Perpetua" w:hAnsi="Perpetua"/>
          <w:sz w:val="22"/>
        </w:rPr>
        <w:t xml:space="preserve">  </w:t>
      </w:r>
    </w:p>
    <w:p w:rsidR="006A2E06" w:rsidRDefault="006A2E06" w:rsidP="006A2E06">
      <w:pPr>
        <w:pStyle w:val="FootnoteText"/>
        <w:spacing w:after="120" w:line="360" w:lineRule="auto"/>
        <w:ind w:firstLine="426"/>
        <w:jc w:val="both"/>
        <w:rPr>
          <w:rFonts w:ascii="Perpetua" w:hAnsi="Perpetua"/>
          <w:sz w:val="22"/>
          <w:szCs w:val="22"/>
        </w:rPr>
      </w:pPr>
      <w:r w:rsidRPr="00E031C7">
        <w:rPr>
          <w:rFonts w:ascii="Perpetua" w:hAnsi="Perpetua"/>
          <w:sz w:val="22"/>
          <w:szCs w:val="22"/>
        </w:rPr>
        <w:t>Concerning the fulfilment of the times of the Gentiles</w:t>
      </w:r>
      <w:r>
        <w:rPr>
          <w:rFonts w:ascii="Perpetua" w:hAnsi="Perpetua"/>
          <w:sz w:val="22"/>
          <w:szCs w:val="22"/>
        </w:rPr>
        <w:t>,</w:t>
      </w:r>
      <w:r>
        <w:rPr>
          <w:rStyle w:val="EndnoteReference"/>
          <w:rFonts w:ascii="Perpetua" w:hAnsi="Perpetua"/>
          <w:sz w:val="22"/>
          <w:szCs w:val="22"/>
        </w:rPr>
        <w:endnoteReference w:id="1818"/>
      </w:r>
      <w:r w:rsidRPr="00E031C7">
        <w:rPr>
          <w:rFonts w:ascii="Perpetua" w:hAnsi="Perpetua"/>
          <w:sz w:val="22"/>
          <w:szCs w:val="22"/>
        </w:rPr>
        <w:t xml:space="preserve"> Bovon states that the trampling (</w:t>
      </w:r>
      <w:r w:rsidRPr="005E5141">
        <w:rPr>
          <w:rFonts w:ascii="Bwgrkl" w:eastAsiaTheme="minorHAnsi" w:hAnsi="Bwgrkl"/>
          <w:sz w:val="22"/>
          <w:lang w:val="en-US" w:bidi="he-IL"/>
        </w:rPr>
        <w:t>patoume</w:t>
      </w:r>
      <w:proofErr w:type="gramStart"/>
      <w:r w:rsidRPr="005E5141">
        <w:rPr>
          <w:rFonts w:ascii="Bwgrkl" w:eastAsiaTheme="minorHAnsi" w:hAnsi="Bwgrkl"/>
          <w:sz w:val="22"/>
          <w:lang w:val="en-US" w:bidi="he-IL"/>
        </w:rPr>
        <w:t>,nh</w:t>
      </w:r>
      <w:proofErr w:type="gramEnd"/>
      <w:r w:rsidRPr="00E031C7">
        <w:rPr>
          <w:rFonts w:ascii="Perpetua" w:hAnsi="Perpetua"/>
          <w:sz w:val="22"/>
          <w:szCs w:val="22"/>
        </w:rPr>
        <w:t xml:space="preserve">) of Jerusalem encapsulates the length of the Roman occupation.  </w:t>
      </w:r>
      <w:r w:rsidRPr="009456C7">
        <w:rPr>
          <w:rFonts w:ascii="Perpetua" w:hAnsi="Perpetua"/>
          <w:sz w:val="22"/>
          <w:szCs w:val="22"/>
        </w:rPr>
        <w:t>This desolation will be limited and will end with the fulfilment of the times of the Gentiles; however, Luke’s ‘prophetic haziness’ here reflects ‘both the end of Roman power and the massive conversion of the Gentiles’.</w:t>
      </w:r>
      <w:r w:rsidRPr="009456C7">
        <w:rPr>
          <w:rStyle w:val="EndnoteReference"/>
          <w:rFonts w:ascii="Perpetua" w:hAnsi="Perpetua"/>
          <w:sz w:val="22"/>
          <w:szCs w:val="22"/>
        </w:rPr>
        <w:endnoteReference w:id="1819"/>
      </w:r>
      <w:r w:rsidRPr="009456C7">
        <w:rPr>
          <w:rFonts w:ascii="Perpetua" w:hAnsi="Perpetua"/>
          <w:sz w:val="22"/>
          <w:szCs w:val="22"/>
        </w:rPr>
        <w:t xml:space="preserve">  For Fitzmyer, this fulfilment can only mean the time after 70 CE when Rome again dominated Judaea and Jerusalem after </w:t>
      </w:r>
      <w:r w:rsidRPr="009456C7">
        <w:rPr>
          <w:rFonts w:ascii="Perpetua" w:hAnsi="Perpetua"/>
          <w:sz w:val="22"/>
          <w:szCs w:val="22"/>
        </w:rPr>
        <w:lastRenderedPageBreak/>
        <w:t>the Jews’ unsuccessful revolt, but ‘even the time of the pagans will give way to the coming of the Son of Man’.</w:t>
      </w:r>
      <w:r w:rsidRPr="009456C7">
        <w:rPr>
          <w:rStyle w:val="EndnoteReference"/>
          <w:rFonts w:ascii="Perpetua" w:hAnsi="Perpetua"/>
          <w:sz w:val="22"/>
          <w:szCs w:val="22"/>
        </w:rPr>
        <w:endnoteReference w:id="1820"/>
      </w:r>
      <w:r w:rsidRPr="009456C7">
        <w:rPr>
          <w:rFonts w:ascii="Perpetua" w:hAnsi="Perpetua"/>
          <w:sz w:val="22"/>
          <w:szCs w:val="22"/>
        </w:rPr>
        <w:t xml:space="preserve">  Goulder sees one possible meaning of the fulfilment as being a limitation on Roman oppression since the trampling of Jerusalem also occurs in Dan. 8:13, immediately followed, in Dan. 8:14, by ‘a time limit of days’, and because Mk 13:20 also refers to a divine limit upon tribulation.</w:t>
      </w:r>
      <w:r w:rsidRPr="009456C7">
        <w:rPr>
          <w:rStyle w:val="EndnoteReference"/>
          <w:rFonts w:ascii="Perpetua" w:hAnsi="Perpetua"/>
          <w:sz w:val="22"/>
          <w:szCs w:val="22"/>
        </w:rPr>
        <w:endnoteReference w:id="1821"/>
      </w:r>
      <w:r w:rsidRPr="009456C7">
        <w:rPr>
          <w:rFonts w:ascii="Perpetua" w:hAnsi="Perpetua"/>
          <w:sz w:val="22"/>
          <w:szCs w:val="22"/>
        </w:rPr>
        <w:t xml:space="preserve">  Tiede avers that the limitation means that Gentile superiority will not last for ever and that God has not finished with Israel.</w:t>
      </w:r>
      <w:r>
        <w:rPr>
          <w:rStyle w:val="EndnoteReference"/>
          <w:rFonts w:ascii="Perpetua" w:hAnsi="Perpetua"/>
          <w:sz w:val="22"/>
          <w:szCs w:val="22"/>
        </w:rPr>
        <w:endnoteReference w:id="1822"/>
      </w:r>
      <w:r w:rsidRPr="009456C7">
        <w:rPr>
          <w:rFonts w:ascii="Perpetua" w:hAnsi="Perpetua"/>
          <w:sz w:val="22"/>
          <w:szCs w:val="22"/>
        </w:rPr>
        <w:t xml:space="preserve">  </w:t>
      </w:r>
      <w:r>
        <w:rPr>
          <w:rFonts w:ascii="Perpetua" w:hAnsi="Perpetua"/>
          <w:sz w:val="22"/>
          <w:szCs w:val="22"/>
        </w:rPr>
        <w:t>In all these interpretations it can be seen that the prophecies of Daniel are regarded as having already been fulfilled rather than awaiting future fulfilment.</w:t>
      </w:r>
    </w:p>
    <w:p w:rsidR="006A2E06" w:rsidRPr="00AC05D9" w:rsidRDefault="006A2E06" w:rsidP="006A2E06">
      <w:pPr>
        <w:spacing w:after="120" w:line="360" w:lineRule="auto"/>
        <w:ind w:right="-28"/>
        <w:jc w:val="both"/>
        <w:rPr>
          <w:rStyle w:val="ind"/>
          <w:b/>
        </w:rPr>
      </w:pPr>
      <w:proofErr w:type="gramStart"/>
      <w:r>
        <w:rPr>
          <w:rStyle w:val="ind"/>
          <w:b/>
        </w:rPr>
        <w:t>7</w:t>
      </w:r>
      <w:r w:rsidRPr="00AC05D9">
        <w:rPr>
          <w:rStyle w:val="ind"/>
          <w:b/>
        </w:rPr>
        <w:t>.</w:t>
      </w:r>
      <w:r>
        <w:rPr>
          <w:rStyle w:val="ind"/>
          <w:b/>
        </w:rPr>
        <w:t>1.</w:t>
      </w:r>
      <w:r w:rsidRPr="00AC05D9">
        <w:rPr>
          <w:rStyle w:val="ind"/>
          <w:b/>
        </w:rPr>
        <w:t>2.3  The</w:t>
      </w:r>
      <w:proofErr w:type="gramEnd"/>
      <w:r w:rsidRPr="00AC05D9">
        <w:rPr>
          <w:rStyle w:val="ind"/>
          <w:b/>
        </w:rPr>
        <w:t xml:space="preserve"> Great Tribulation </w:t>
      </w:r>
    </w:p>
    <w:p w:rsidR="006A2E06" w:rsidRDefault="006A2E06" w:rsidP="006A2E06">
      <w:pPr>
        <w:spacing w:after="120" w:line="360" w:lineRule="auto"/>
        <w:ind w:right="-28"/>
        <w:jc w:val="both"/>
        <w:rPr>
          <w:rStyle w:val="ind"/>
        </w:rPr>
      </w:pPr>
      <w:r w:rsidRPr="00F37C3F">
        <w:rPr>
          <w:rStyle w:val="ind"/>
        </w:rPr>
        <w:t>Blaising</w:t>
      </w:r>
      <w:r>
        <w:rPr>
          <w:rStyle w:val="ind"/>
        </w:rPr>
        <w:t xml:space="preserve"> states that ‘like most premillennialists, dispensationalists interpret biblical prophecy to teach that Christ will return during a time of trouble traditionally called “the Tribulation.”  However, unlike most premillenialists, most dispensationalists have advocated the doctrine of the pretribulation Rapture – the doctrine that Christ will come for the church prior to the Tribulation … then taking the church with Him to heaven prior to His millennial return in which He will visibly rule the nations on earth.’</w:t>
      </w:r>
      <w:r>
        <w:rPr>
          <w:rStyle w:val="EndnoteReference"/>
        </w:rPr>
        <w:endnoteReference w:id="1823"/>
      </w:r>
    </w:p>
    <w:p w:rsidR="006A2E06" w:rsidRPr="003E611A" w:rsidRDefault="006A2E06" w:rsidP="006A2E06">
      <w:pPr>
        <w:spacing w:after="120" w:line="360" w:lineRule="auto"/>
        <w:ind w:right="-28" w:firstLine="567"/>
        <w:jc w:val="both"/>
        <w:rPr>
          <w:rStyle w:val="ind"/>
        </w:rPr>
      </w:pPr>
      <w:r>
        <w:rPr>
          <w:rStyle w:val="ind"/>
        </w:rPr>
        <w:t xml:space="preserve">Darby quotes four passages which ‘effectively prove that there will be a time of tribulation such as never was since there was a nation’.  Jeremiah 30:7 indicates the people affected: it is ‘the time of Jacob’s trouble’.  Daniel 12:1 confirms that ‘the tribulation is the tribulation of Daniel’s people’; this leads directly to Mt. 24:15, where ‘the Lord himself [declares] that He speaks of this same time and same event, using the terms of Daniel, and referring to him by name as well as to the statements of the passage’.  ‘All is local and Jewish – has no application to hopes which rest on going to meet Christ in the air.’  Mark 13:19 ‘relates evidently to the same event and almost exactly in the same terms’.  </w:t>
      </w:r>
      <w:r w:rsidRPr="003E611A">
        <w:rPr>
          <w:rStyle w:val="ind"/>
        </w:rPr>
        <w:t>Darby states that Rev. 3:10 and 7:14 also indicate that ‘</w:t>
      </w:r>
      <w:r w:rsidRPr="003E611A">
        <w:t>the unequalled tribulation is for Jacob, and that, when the time of temptation is spoken of in addressing the church, it is to declare that the faithful shall be kept out of it’.</w:t>
      </w:r>
      <w:r>
        <w:rPr>
          <w:rStyle w:val="EndnoteReference"/>
        </w:rPr>
        <w:endnoteReference w:id="1824"/>
      </w:r>
    </w:p>
    <w:p w:rsidR="006A2E06" w:rsidRDefault="006A2E06" w:rsidP="006A2E06">
      <w:pPr>
        <w:spacing w:after="120" w:line="360" w:lineRule="auto"/>
        <w:ind w:right="-28" w:firstLine="567"/>
        <w:jc w:val="both"/>
      </w:pPr>
      <w:r w:rsidRPr="008C505D">
        <w:rPr>
          <w:rStyle w:val="ind"/>
        </w:rPr>
        <w:t>Chafer agrees that this is ‘the time of Jacob’s trouble’, which ‘</w:t>
      </w:r>
      <w:r w:rsidRPr="008C505D">
        <w:t>comes to that nation as the consummation of their sufferings at the hand of Jehovah for their sins’.</w:t>
      </w:r>
      <w:r w:rsidRPr="008C505D">
        <w:rPr>
          <w:rStyle w:val="EndnoteReference"/>
        </w:rPr>
        <w:endnoteReference w:id="1825"/>
      </w:r>
      <w:r w:rsidRPr="008C505D">
        <w:t xml:space="preserve">  </w:t>
      </w:r>
      <w:proofErr w:type="gramStart"/>
      <w:r w:rsidRPr="008C505D">
        <w:t xml:space="preserve">‘At </w:t>
      </w:r>
      <w:r>
        <w:t>that time, the persecution of Israel will no longer be a passing event in the affairs of the world; the Gentile peoples will have been divided over the national interests of Israel and unprecedented violence will be Israel’s portion.’</w:t>
      </w:r>
      <w:proofErr w:type="gramEnd"/>
      <w:r>
        <w:rPr>
          <w:rStyle w:val="EndnoteReference"/>
        </w:rPr>
        <w:endnoteReference w:id="1826"/>
      </w:r>
    </w:p>
    <w:p w:rsidR="006A2E06" w:rsidRPr="00E04786" w:rsidRDefault="006A2E06" w:rsidP="006A2E06">
      <w:pPr>
        <w:spacing w:after="120" w:line="360" w:lineRule="auto"/>
        <w:ind w:right="-28" w:firstLine="567"/>
        <w:jc w:val="both"/>
        <w:rPr>
          <w:spacing w:val="-2"/>
        </w:rPr>
      </w:pPr>
      <w:r w:rsidRPr="00E04786">
        <w:rPr>
          <w:spacing w:val="-2"/>
        </w:rPr>
        <w:t xml:space="preserve">Blaising states that progressive dispensationalists believe that a future tribulation will provide the setting for Christ’s return but would question ‘the claim of any Bible interpreter to have identified specific current events as that future tribulational fulfilment of the historically repetitive Day of the Lord descriptions or the mysterious vision of biblical apocalyptic. … It takes prophetic authority or the actual appearance of Jesus Christ Himself to identify any particular pattern of trouble and conflict in the world as </w:t>
      </w:r>
      <w:r w:rsidRPr="00E04786">
        <w:rPr>
          <w:i/>
          <w:spacing w:val="-2"/>
        </w:rPr>
        <w:t>the Tribulation</w:t>
      </w:r>
      <w:r w:rsidRPr="00E04786">
        <w:rPr>
          <w:spacing w:val="-2"/>
        </w:rPr>
        <w:t>.’</w:t>
      </w:r>
      <w:r w:rsidRPr="00E04786">
        <w:rPr>
          <w:rStyle w:val="EndnoteReference"/>
          <w:spacing w:val="-2"/>
        </w:rPr>
        <w:endnoteReference w:id="1827"/>
      </w:r>
    </w:p>
    <w:p w:rsidR="006A2E06" w:rsidRPr="0044727D" w:rsidRDefault="006A2E06" w:rsidP="006A2E06">
      <w:pPr>
        <w:spacing w:after="120" w:line="360" w:lineRule="auto"/>
        <w:ind w:right="-28" w:firstLine="499"/>
        <w:jc w:val="both"/>
      </w:pPr>
      <w:r w:rsidRPr="0044727D">
        <w:t xml:space="preserve">Scofield makes at least eleven references to ‘the tribulation’ or ‘the great tribulation’ in his comments upon the Old Testament, often linking disparate verses to Matthew and Revelation.  The word, ‘tribulation’ only occurs three times in the Old Testament, </w:t>
      </w:r>
      <w:r w:rsidRPr="0044727D">
        <w:rPr>
          <w:i/>
        </w:rPr>
        <w:t>KJV</w:t>
      </w:r>
      <w:r w:rsidRPr="0044727D">
        <w:t>: Deut. 4:30; Jud</w:t>
      </w:r>
      <w:r>
        <w:t>g</w:t>
      </w:r>
      <w:r w:rsidRPr="0044727D">
        <w:t>. 10:14; 1 Sam. 26:24.  Scofield’s first reference to the tribulation occurs in the note on Ps. 2:6</w:t>
      </w:r>
      <w:r w:rsidRPr="0044727D">
        <w:rPr>
          <w:rStyle w:val="EndnoteReference"/>
        </w:rPr>
        <w:endnoteReference w:id="1828"/>
      </w:r>
      <w:r w:rsidRPr="0044727D">
        <w:t xml:space="preserve"> and five subheads within </w:t>
      </w:r>
      <w:r w:rsidRPr="0044727D">
        <w:lastRenderedPageBreak/>
        <w:t>prophetic books mention it.</w:t>
      </w:r>
      <w:r w:rsidRPr="0044727D">
        <w:rPr>
          <w:rStyle w:val="EndnoteReference"/>
        </w:rPr>
        <w:endnoteReference w:id="1829"/>
      </w:r>
      <w:r w:rsidRPr="0044727D">
        <w:t xml:space="preserve">  Scofield states that ‘Jewish tribulational suffering in Palestine is described in Isaiah 10.’</w:t>
      </w:r>
      <w:r w:rsidRPr="0044727D">
        <w:rPr>
          <w:rStyle w:val="EndnoteReference"/>
        </w:rPr>
        <w:endnoteReference w:id="1830"/>
      </w:r>
      <w:r w:rsidRPr="0044727D">
        <w:t xml:space="preserve">  He avers that the remnant turns to the Lord in the great tribulation,</w:t>
      </w:r>
      <w:r w:rsidRPr="0044727D">
        <w:rPr>
          <w:rStyle w:val="EndnoteReference"/>
        </w:rPr>
        <w:endnoteReference w:id="1831"/>
      </w:r>
      <w:r w:rsidRPr="0044727D">
        <w:t xml:space="preserve"> and the ‘far view’ of Sennacherib’s invasion is the Gentile invasion ‘at the end of the great tribulation’.</w:t>
      </w:r>
      <w:r w:rsidRPr="0044727D">
        <w:rPr>
          <w:rStyle w:val="EndnoteReference"/>
        </w:rPr>
        <w:endnoteReference w:id="1832"/>
      </w:r>
      <w:r w:rsidRPr="0044727D">
        <w:t xml:space="preserve">  He asserts that the tribulation will be unprecedented</w:t>
      </w:r>
      <w:r w:rsidRPr="0044727D">
        <w:rPr>
          <w:rStyle w:val="EndnoteReference"/>
        </w:rPr>
        <w:endnoteReference w:id="1833"/>
      </w:r>
      <w:r w:rsidRPr="0044727D">
        <w:t xml:space="preserve"> and will be ‘such as was not from the beginning of the world, nor ever shall be’.</w:t>
      </w:r>
      <w:r w:rsidRPr="0044727D">
        <w:rPr>
          <w:rStyle w:val="EndnoteReference"/>
        </w:rPr>
        <w:endnoteReference w:id="1834"/>
      </w:r>
      <w:r w:rsidRPr="0044727D">
        <w:t xml:space="preserve">  He claims that the words, </w:t>
      </w:r>
      <w:r>
        <w:t>‘</w:t>
      </w:r>
      <w:r w:rsidRPr="0044727D">
        <w:t>I will shake all nations</w:t>
      </w:r>
      <w:r>
        <w:t>’</w:t>
      </w:r>
      <w:r w:rsidRPr="0044727D">
        <w:t>, in Hag. 2:3 refer to the great tribulation.</w:t>
      </w:r>
      <w:r w:rsidRPr="0044727D">
        <w:rPr>
          <w:rStyle w:val="EndnoteReference"/>
        </w:rPr>
        <w:endnoteReference w:id="1835"/>
      </w:r>
    </w:p>
    <w:p w:rsidR="006A2E06" w:rsidRPr="0044727D" w:rsidRDefault="006A2E06" w:rsidP="006A2E06">
      <w:pPr>
        <w:spacing w:after="120" w:line="360" w:lineRule="auto"/>
        <w:ind w:right="-28" w:firstLine="499"/>
        <w:jc w:val="both"/>
      </w:pPr>
      <w:r w:rsidRPr="0044727D">
        <w:t xml:space="preserve">In New Testament annotation, Scofield states that ‘the sign of the abomination …introduces the great tribulation …, which runs its awful course of three and a half years, culminating in the battle of Rev. 19:19-21, </w:t>
      </w:r>
      <w:r w:rsidRPr="0044727D">
        <w:rPr>
          <w:i/>
        </w:rPr>
        <w:t>note</w:t>
      </w:r>
      <w:r w:rsidRPr="0044727D">
        <w:t xml:space="preserve">, </w:t>
      </w:r>
      <w:r>
        <w:t>[</w:t>
      </w:r>
      <w:r w:rsidRPr="003562BE">
        <w:rPr>
          <w:i/>
        </w:rPr>
        <w:t>sic</w:t>
      </w:r>
      <w:r>
        <w:t xml:space="preserve">] </w:t>
      </w:r>
      <w:r w:rsidRPr="0044727D">
        <w:t>at which time Christ becomes the smiting Stone of Dan. 2:34’.</w:t>
      </w:r>
      <w:r w:rsidRPr="0044727D">
        <w:rPr>
          <w:rStyle w:val="EndnoteReference"/>
        </w:rPr>
        <w:endnoteReference w:id="1836"/>
      </w:r>
      <w:r w:rsidRPr="0044727D">
        <w:t xml:space="preserve">  He gives a seven-point calendar of events during the tribulation and urges study of Daniel 2, 7 and 9, and of Revelation 13 to ‘make the interpretation clear’.</w:t>
      </w:r>
      <w:r w:rsidRPr="0044727D">
        <w:rPr>
          <w:rStyle w:val="EndnoteReference"/>
        </w:rPr>
        <w:endnoteReference w:id="1837"/>
      </w:r>
      <w:r w:rsidRPr="0044727D">
        <w:t xml:space="preserve">  Scofield misses the biblical reference to the tribulation in Mt. 24:21.  In his note on Mt. 25:32, he refers to the Jewish Remnant’s preaching to the nations during the tribulation.</w:t>
      </w:r>
      <w:r w:rsidRPr="0044727D">
        <w:rPr>
          <w:rStyle w:val="EndnoteReference"/>
        </w:rPr>
        <w:endnoteReference w:id="1838"/>
      </w:r>
      <w:r w:rsidRPr="0044727D">
        <w:t xml:space="preserve">  </w:t>
      </w:r>
      <w:proofErr w:type="gramStart"/>
      <w:r w:rsidRPr="0044727D">
        <w:t xml:space="preserve">In his note on Lk. 21:20, </w:t>
      </w:r>
      <w:r w:rsidR="004B0EAA">
        <w:t>he</w:t>
      </w:r>
      <w:r w:rsidRPr="0044727D">
        <w:t xml:space="preserve"> states that</w:t>
      </w:r>
      <w:r w:rsidRPr="0044727D">
        <w:rPr>
          <w:lang w:eastAsia="en-GB"/>
        </w:rPr>
        <w:t xml:space="preserve"> Titus’ siege of Jerusalem adumbrates ‘the final siege at the end of this age, in which the “great tribulation” culminates’.</w:t>
      </w:r>
      <w:proofErr w:type="gramEnd"/>
      <w:r w:rsidRPr="0044727D">
        <w:rPr>
          <w:lang w:eastAsia="en-GB"/>
        </w:rPr>
        <w:t xml:space="preserve">  He also refers to ‘the final tribulation siege’.</w:t>
      </w:r>
      <w:r w:rsidRPr="0044727D">
        <w:rPr>
          <w:rStyle w:val="EndnoteReference"/>
          <w:lang w:eastAsia="en-GB"/>
        </w:rPr>
        <w:endnoteReference w:id="1839"/>
      </w:r>
      <w:r w:rsidRPr="0044727D">
        <w:rPr>
          <w:lang w:eastAsia="en-GB"/>
        </w:rPr>
        <w:t xml:space="preserve"> </w:t>
      </w:r>
    </w:p>
    <w:p w:rsidR="006A2E06" w:rsidRPr="0044727D" w:rsidRDefault="006A2E06" w:rsidP="006A2E06">
      <w:pPr>
        <w:spacing w:after="120" w:line="360" w:lineRule="auto"/>
        <w:ind w:right="-28" w:firstLine="499"/>
        <w:jc w:val="both"/>
      </w:pPr>
      <w:r w:rsidRPr="0044727D">
        <w:t>Tribulation as an eschatological event is a term which Scofield imports into the Old Testament from the New.</w:t>
      </w:r>
      <w:r w:rsidRPr="0044727D">
        <w:rPr>
          <w:rStyle w:val="EndnoteReference"/>
        </w:rPr>
        <w:endnoteReference w:id="1840"/>
      </w:r>
      <w:r w:rsidRPr="0044727D">
        <w:t xml:space="preserve">  In each of the three occurrence</w:t>
      </w:r>
      <w:r w:rsidR="004B0EAA">
        <w:t>s</w:t>
      </w:r>
      <w:r w:rsidRPr="0044727D">
        <w:t xml:space="preserve"> of the word ‘tribulation’ in the Old Testament, </w:t>
      </w:r>
      <w:r w:rsidRPr="0044727D">
        <w:rPr>
          <w:i/>
        </w:rPr>
        <w:t>KJV</w:t>
      </w:r>
      <w:r w:rsidRPr="0044727D">
        <w:t>,</w:t>
      </w:r>
      <w:r w:rsidRPr="0044727D">
        <w:rPr>
          <w:rStyle w:val="EndnoteReference"/>
        </w:rPr>
        <w:endnoteReference w:id="1841"/>
      </w:r>
      <w:r w:rsidRPr="0044727D">
        <w:t xml:space="preserve"> it refers to present suffering, though in the first of these, Deut. 4:30-31, the phrase, </w:t>
      </w:r>
      <w:r>
        <w:t>‘</w:t>
      </w:r>
      <w:r w:rsidRPr="0044727D">
        <w:t>even in the latter days</w:t>
      </w:r>
      <w:r>
        <w:t>’</w:t>
      </w:r>
      <w:r w:rsidRPr="0044727D">
        <w:t xml:space="preserve"> could be interpreted as having eschatological connotations.  However, the context is the warning given about the consequences of future idolatry in the land (Deut. 4:25-28) when the Israelites are about to enter it.  Such behaviour will result in exile and subsequent repentance; this is intimated in </w:t>
      </w:r>
      <w:r w:rsidRPr="0044727D">
        <w:rPr>
          <w:i/>
        </w:rPr>
        <w:t>NRSV</w:t>
      </w:r>
      <w:r w:rsidRPr="0044727D">
        <w:t xml:space="preserve">, which translates the verb </w:t>
      </w:r>
      <w:r w:rsidRPr="0044727D">
        <w:rPr>
          <w:rFonts w:ascii="Bwhebb" w:hAnsi="Bwhebb" w:cs="SBL Hebrew"/>
          <w:sz w:val="56"/>
          <w:szCs w:val="28"/>
          <w:rtl/>
          <w:lang w:val="en-US" w:bidi="he-IL"/>
        </w:rPr>
        <w:t>צרר</w:t>
      </w:r>
      <w:r w:rsidRPr="0044727D">
        <w:rPr>
          <w:sz w:val="24"/>
        </w:rPr>
        <w:t xml:space="preserve"> </w:t>
      </w:r>
      <w:r w:rsidRPr="0044727D">
        <w:t>in Deut. 4:30 as ‘in time to come’, removing any eschatological implication.</w:t>
      </w:r>
      <w:r w:rsidRPr="0044727D">
        <w:rPr>
          <w:rStyle w:val="EndnoteReference"/>
        </w:rPr>
        <w:endnoteReference w:id="1842"/>
      </w:r>
      <w:r w:rsidRPr="0044727D">
        <w:t xml:space="preserve">  The Hebrew cognate, </w:t>
      </w:r>
      <w:r w:rsidRPr="0044727D">
        <w:rPr>
          <w:rFonts w:ascii="SBL Hebrew" w:hAnsi="SBL Hebrew" w:cs="SBL Hebrew"/>
          <w:sz w:val="28"/>
          <w:szCs w:val="28"/>
          <w:rtl/>
          <w:lang w:val="en-US" w:bidi="he-IL"/>
        </w:rPr>
        <w:t>צָרָה</w:t>
      </w:r>
      <w:r w:rsidRPr="0044727D">
        <w:rPr>
          <w:rFonts w:ascii="Times New Roman" w:hAnsi="Times New Roman"/>
        </w:rPr>
        <w:t>,</w:t>
      </w:r>
      <w:r w:rsidRPr="0044727D">
        <w:rPr>
          <w:sz w:val="24"/>
          <w:szCs w:val="24"/>
        </w:rPr>
        <w:t xml:space="preserve"> </w:t>
      </w:r>
      <w:r w:rsidRPr="0044727D">
        <w:t xml:space="preserve">translated as ‘tribulation’ in Judg. 10:14 and 1 Sam. 26:24, </w:t>
      </w:r>
      <w:r w:rsidRPr="0044727D">
        <w:rPr>
          <w:i/>
        </w:rPr>
        <w:t>KJV</w:t>
      </w:r>
      <w:r w:rsidRPr="0044727D">
        <w:t>, appears seventy-one times in the Hebrew Bible; in only two cases could it have a definite eschatological tendency</w:t>
      </w:r>
      <w:r>
        <w:t>,</w:t>
      </w:r>
      <w:r w:rsidRPr="0044727D">
        <w:t xml:space="preserve"> Daniel 12:1 and Zephaniah 1:15.  </w:t>
      </w:r>
    </w:p>
    <w:p w:rsidR="006A2E06" w:rsidRPr="0044727D" w:rsidRDefault="006A2E06" w:rsidP="006A2E06">
      <w:pPr>
        <w:spacing w:after="120" w:line="360" w:lineRule="auto"/>
        <w:ind w:right="-28" w:firstLine="499"/>
        <w:jc w:val="both"/>
      </w:pPr>
      <w:r w:rsidRPr="0044727D">
        <w:t>Daniel 12:1:</w:t>
      </w:r>
    </w:p>
    <w:p w:rsidR="006A2E06" w:rsidRPr="0044727D" w:rsidRDefault="006A2E06" w:rsidP="006A2E06">
      <w:pPr>
        <w:spacing w:after="120" w:line="360" w:lineRule="auto"/>
        <w:ind w:right="-29"/>
        <w:rPr>
          <w:rFonts w:ascii="Bwhebb" w:hAnsi="Bwhebb" w:cs="Bwhebb"/>
          <w:sz w:val="36"/>
          <w:szCs w:val="36"/>
          <w:lang w:val="en-US" w:bidi="he-IL"/>
        </w:rPr>
      </w:pPr>
      <w:r w:rsidRPr="0044727D">
        <w:rPr>
          <w:rFonts w:ascii="Bwhebb" w:hAnsi="Bwhebb" w:cs="Bwhebb"/>
          <w:noProof/>
          <w:sz w:val="36"/>
          <w:szCs w:val="36"/>
          <w:lang w:eastAsia="en-GB"/>
        </w:rPr>
        <w:drawing>
          <wp:inline distT="0" distB="0" distL="0" distR="0" wp14:anchorId="21DE775E" wp14:editId="6E962391">
            <wp:extent cx="4447641" cy="375474"/>
            <wp:effectExtent l="0" t="0" r="0" b="571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ew Dan 12v1  13.6.16.jpg"/>
                    <pic:cNvPicPr/>
                  </pic:nvPicPr>
                  <pic:blipFill>
                    <a:blip r:embed="rId121">
                      <a:extLst>
                        <a:ext uri="{28A0092B-C50C-407E-A947-70E740481C1C}">
                          <a14:useLocalDpi xmlns:a14="http://schemas.microsoft.com/office/drawing/2010/main" val="0"/>
                        </a:ext>
                      </a:extLst>
                    </a:blip>
                    <a:stretch>
                      <a:fillRect/>
                    </a:stretch>
                  </pic:blipFill>
                  <pic:spPr>
                    <a:xfrm>
                      <a:off x="0" y="0"/>
                      <a:ext cx="4481561" cy="378338"/>
                    </a:xfrm>
                    <a:prstGeom prst="rect">
                      <a:avLst/>
                    </a:prstGeom>
                  </pic:spPr>
                </pic:pic>
              </a:graphicData>
            </a:graphic>
          </wp:inline>
        </w:drawing>
      </w:r>
    </w:p>
    <w:p w:rsidR="006A2E06" w:rsidRPr="0044727D" w:rsidRDefault="006A2E06" w:rsidP="006A2E06">
      <w:pPr>
        <w:spacing w:after="120" w:line="360" w:lineRule="auto"/>
        <w:ind w:right="-29"/>
        <w:jc w:val="both"/>
        <w:rPr>
          <w:lang w:val="en-US" w:bidi="he-IL"/>
        </w:rPr>
      </w:pPr>
      <w:r w:rsidRPr="0044727D">
        <w:rPr>
          <w:i/>
        </w:rPr>
        <w:t>KJV</w:t>
      </w:r>
      <w:r w:rsidRPr="0044727D">
        <w:t xml:space="preserve"> renders this as ‘a time of trouble </w:t>
      </w:r>
      <w:r w:rsidRPr="0044727D">
        <w:rPr>
          <w:lang w:val="en-US" w:bidi="he-IL"/>
        </w:rPr>
        <w:t xml:space="preserve">such as never was since there was a nation’ </w:t>
      </w:r>
    </w:p>
    <w:p w:rsidR="006A2E06" w:rsidRPr="0044727D" w:rsidRDefault="006A2E06" w:rsidP="006A2E06">
      <w:pPr>
        <w:spacing w:after="120" w:line="360" w:lineRule="auto"/>
        <w:ind w:right="-29"/>
        <w:jc w:val="both"/>
        <w:rPr>
          <w:lang w:val="en-US" w:bidi="he-IL"/>
        </w:rPr>
      </w:pPr>
      <w:r w:rsidRPr="0044727D">
        <w:rPr>
          <w:lang w:val="en-US" w:bidi="he-IL"/>
        </w:rPr>
        <w:t xml:space="preserve">Zephaniah 1:15: </w:t>
      </w:r>
    </w:p>
    <w:p w:rsidR="006A2E06" w:rsidRPr="0044727D" w:rsidRDefault="006A2E06" w:rsidP="006A2E06">
      <w:pPr>
        <w:autoSpaceDE w:val="0"/>
        <w:autoSpaceDN w:val="0"/>
        <w:adjustRightInd w:val="0"/>
        <w:spacing w:after="120" w:line="360" w:lineRule="auto"/>
        <w:jc w:val="both"/>
        <w:rPr>
          <w:lang w:val="en-US" w:bidi="he-IL"/>
        </w:rPr>
      </w:pPr>
      <w:r w:rsidRPr="0044727D">
        <w:rPr>
          <w:noProof/>
          <w:lang w:eastAsia="en-GB"/>
        </w:rPr>
        <w:drawing>
          <wp:inline distT="0" distB="0" distL="0" distR="0" wp14:anchorId="10DF6A63" wp14:editId="6601236A">
            <wp:extent cx="5186477" cy="74885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ew Zeph 1 v 15  13.6.16.jpg"/>
                    <pic:cNvPicPr/>
                  </pic:nvPicPr>
                  <pic:blipFill>
                    <a:blip r:embed="rId122">
                      <a:extLst>
                        <a:ext uri="{28A0092B-C50C-407E-A947-70E740481C1C}">
                          <a14:useLocalDpi xmlns:a14="http://schemas.microsoft.com/office/drawing/2010/main" val="0"/>
                        </a:ext>
                      </a:extLst>
                    </a:blip>
                    <a:stretch>
                      <a:fillRect/>
                    </a:stretch>
                  </pic:blipFill>
                  <pic:spPr>
                    <a:xfrm>
                      <a:off x="0" y="0"/>
                      <a:ext cx="5184563" cy="748576"/>
                    </a:xfrm>
                    <a:prstGeom prst="rect">
                      <a:avLst/>
                    </a:prstGeom>
                  </pic:spPr>
                </pic:pic>
              </a:graphicData>
            </a:graphic>
          </wp:inline>
        </w:drawing>
      </w:r>
    </w:p>
    <w:p w:rsidR="006A2E06" w:rsidRDefault="006A2E06" w:rsidP="006A2E06">
      <w:pPr>
        <w:autoSpaceDE w:val="0"/>
        <w:autoSpaceDN w:val="0"/>
        <w:adjustRightInd w:val="0"/>
        <w:spacing w:after="120" w:line="360" w:lineRule="auto"/>
        <w:jc w:val="both"/>
        <w:rPr>
          <w:lang w:val="en-US" w:bidi="he-IL"/>
        </w:rPr>
      </w:pPr>
      <w:r w:rsidRPr="0044727D">
        <w:rPr>
          <w:i/>
          <w:lang w:val="en-US" w:bidi="he-IL"/>
        </w:rPr>
        <w:lastRenderedPageBreak/>
        <w:t>KJV</w:t>
      </w:r>
      <w:r w:rsidRPr="0044727D">
        <w:rPr>
          <w:lang w:val="en-US" w:bidi="he-IL"/>
        </w:rPr>
        <w:t xml:space="preserve"> renders this as ‘That day </w:t>
      </w:r>
      <w:r w:rsidRPr="0044727D">
        <w:rPr>
          <w:i/>
          <w:lang w:val="en-US" w:bidi="he-IL"/>
        </w:rPr>
        <w:t xml:space="preserve">is </w:t>
      </w:r>
      <w:r w:rsidRPr="0044727D">
        <w:rPr>
          <w:lang w:val="en-US" w:bidi="he-IL"/>
        </w:rPr>
        <w:t>a day of wrath, a day of trouble and distress, a day of wasteness and desolation, a day of darkness and gloominess, a day of clouds and thick darkness’.  Scofield does not comment at length on either of these passages, though his subhead to Dan. 12:1</w:t>
      </w:r>
      <w:r w:rsidRPr="0044727D">
        <w:rPr>
          <w:rStyle w:val="EndnoteReference"/>
          <w:lang w:bidi="he-IL"/>
        </w:rPr>
        <w:endnoteReference w:id="1843"/>
      </w:r>
      <w:r w:rsidRPr="0044727D">
        <w:rPr>
          <w:lang w:val="en-US" w:bidi="he-IL"/>
        </w:rPr>
        <w:t xml:space="preserve"> could cover the instance of</w:t>
      </w:r>
      <w:r w:rsidRPr="0044727D">
        <w:rPr>
          <w:sz w:val="24"/>
          <w:szCs w:val="24"/>
          <w:lang w:val="en-US" w:bidi="he-IL"/>
        </w:rPr>
        <w:t xml:space="preserve"> </w:t>
      </w:r>
      <w:r w:rsidRPr="0044727D">
        <w:rPr>
          <w:rFonts w:ascii="Bwhebb" w:hAnsi="Bwhebb" w:cs="Bwhebb"/>
          <w:sz w:val="36"/>
          <w:szCs w:val="24"/>
          <w:lang w:val="en-US" w:bidi="he-IL"/>
        </w:rPr>
        <w:t>hr"êc'</w:t>
      </w:r>
      <w:r w:rsidRPr="0044727D">
        <w:rPr>
          <w:sz w:val="24"/>
          <w:szCs w:val="24"/>
          <w:lang w:val="en-US" w:bidi="he-IL"/>
        </w:rPr>
        <w:t xml:space="preserve"> </w:t>
      </w:r>
      <w:r w:rsidRPr="0044727D">
        <w:rPr>
          <w:lang w:val="en-US" w:bidi="he-IL"/>
        </w:rPr>
        <w:t>in Dan. 12:1 and his references to the tribulation in his notes on Dan. 12:4</w:t>
      </w:r>
      <w:r w:rsidRPr="0044727D">
        <w:rPr>
          <w:rStyle w:val="EndnoteReference"/>
          <w:lang w:bidi="he-IL"/>
        </w:rPr>
        <w:endnoteReference w:id="1844"/>
      </w:r>
      <w:r w:rsidRPr="0044727D">
        <w:rPr>
          <w:lang w:val="en-US" w:bidi="he-IL"/>
        </w:rPr>
        <w:t xml:space="preserve"> and 12</w:t>
      </w:r>
      <w:r w:rsidRPr="0044727D">
        <w:rPr>
          <w:rStyle w:val="EndnoteReference"/>
          <w:lang w:bidi="he-IL"/>
        </w:rPr>
        <w:endnoteReference w:id="1845"/>
      </w:r>
      <w:r w:rsidRPr="0044727D">
        <w:rPr>
          <w:lang w:val="en-US" w:bidi="he-IL"/>
        </w:rPr>
        <w:t xml:space="preserve"> also probably reflect it.  The Hebrew </w:t>
      </w:r>
      <w:r w:rsidRPr="0044727D">
        <w:rPr>
          <w:rFonts w:ascii="Bwhebb" w:hAnsi="Bwhebb" w:cs="Bwhebb"/>
          <w:sz w:val="36"/>
          <w:szCs w:val="24"/>
          <w:lang w:val="en-US" w:bidi="he-IL"/>
        </w:rPr>
        <w:t>hr"êc'</w:t>
      </w:r>
      <w:r w:rsidRPr="0044727D">
        <w:rPr>
          <w:sz w:val="24"/>
          <w:szCs w:val="24"/>
          <w:lang w:val="en-US" w:bidi="he-IL"/>
        </w:rPr>
        <w:t xml:space="preserve"> </w:t>
      </w:r>
      <w:r w:rsidRPr="0044727D">
        <w:rPr>
          <w:lang w:val="en-US" w:bidi="he-IL"/>
        </w:rPr>
        <w:t>does not appear in a further eleven verses of the Hebrew Bible in which the term, ‘tribulation’ is applied.</w:t>
      </w:r>
      <w:r w:rsidRPr="0044727D">
        <w:rPr>
          <w:rStyle w:val="EndnoteReference"/>
          <w:lang w:val="en-US" w:bidi="he-IL"/>
        </w:rPr>
        <w:endnoteReference w:id="1846"/>
      </w:r>
      <w:r w:rsidRPr="0044727D">
        <w:rPr>
          <w:lang w:val="en-US" w:bidi="he-IL"/>
        </w:rPr>
        <w:t xml:space="preserve">  </w:t>
      </w:r>
      <w:proofErr w:type="gramStart"/>
      <w:r w:rsidRPr="0044727D">
        <w:rPr>
          <w:lang w:val="en-US" w:bidi="he-IL"/>
        </w:rPr>
        <w:t xml:space="preserve">The rest of the uses of </w:t>
      </w:r>
      <w:r w:rsidRPr="0044727D">
        <w:rPr>
          <w:rFonts w:ascii="Bwhebb" w:hAnsi="Bwhebb" w:cs="Bwhebb"/>
          <w:sz w:val="36"/>
          <w:szCs w:val="24"/>
          <w:lang w:val="en-US" w:bidi="he-IL"/>
        </w:rPr>
        <w:t>hr"êc</w:t>
      </w:r>
      <w:r w:rsidRPr="0044727D">
        <w:rPr>
          <w:sz w:val="24"/>
          <w:szCs w:val="24"/>
          <w:lang w:val="en-US" w:bidi="he-IL"/>
        </w:rPr>
        <w:t xml:space="preserve"> </w:t>
      </w:r>
      <w:r w:rsidRPr="0044727D">
        <w:rPr>
          <w:lang w:val="en-US" w:bidi="he-IL"/>
        </w:rPr>
        <w:t>in the Hebrew Bible appear to refer to human suffering, and complaints about distress and thanks for God’s help in alleviating it.</w:t>
      </w:r>
      <w:proofErr w:type="gramEnd"/>
      <w:r w:rsidRPr="0044727D">
        <w:rPr>
          <w:lang w:val="en-US" w:bidi="he-IL"/>
        </w:rPr>
        <w:t xml:space="preserve">  </w:t>
      </w:r>
    </w:p>
    <w:p w:rsidR="006A2E06" w:rsidRPr="0044727D" w:rsidRDefault="006A2E06" w:rsidP="006A2E06">
      <w:pPr>
        <w:spacing w:after="120" w:line="360" w:lineRule="auto"/>
        <w:ind w:right="-28" w:firstLine="499"/>
        <w:jc w:val="both"/>
        <w:rPr>
          <w:rFonts w:ascii="Times New Roman" w:hAnsi="Times New Roman"/>
        </w:rPr>
      </w:pPr>
      <w:r w:rsidRPr="0044727D">
        <w:t xml:space="preserve">The Greek </w:t>
      </w:r>
      <w:r w:rsidRPr="0044727D">
        <w:rPr>
          <w:rFonts w:ascii="Bwgrkl" w:hAnsi="Bwgrkl" w:cs="Bwgrkl"/>
          <w:bCs/>
          <w:szCs w:val="24"/>
          <w:lang w:val="en-US" w:bidi="he-IL"/>
        </w:rPr>
        <w:t>qli/yij</w:t>
      </w:r>
      <w:r w:rsidRPr="0044727D">
        <w:rPr>
          <w:sz w:val="24"/>
          <w:szCs w:val="24"/>
        </w:rPr>
        <w:t xml:space="preserve"> </w:t>
      </w:r>
      <w:r w:rsidRPr="0044727D">
        <w:t>occurs forty-five times in the New Testament.  Again the occurrences mainly pertain to human suffering;</w:t>
      </w:r>
      <w:r w:rsidRPr="0044727D">
        <w:rPr>
          <w:rStyle w:val="EndnoteReference"/>
        </w:rPr>
        <w:endnoteReference w:id="1847"/>
      </w:r>
      <w:r w:rsidRPr="0044727D">
        <w:rPr>
          <w:rFonts w:ascii="Times New Roman" w:hAnsi="Times New Roman"/>
        </w:rPr>
        <w:t xml:space="preserve">  </w:t>
      </w:r>
      <w:r w:rsidRPr="0044727D">
        <w:rPr>
          <w:rFonts w:ascii="Bwgrkl" w:hAnsi="Bwgrkl"/>
          <w:bCs/>
          <w:szCs w:val="24"/>
          <w:lang w:val="en-US" w:bidi="he-IL"/>
        </w:rPr>
        <w:t>qli/yij</w:t>
      </w:r>
      <w:r w:rsidRPr="0044727D">
        <w:rPr>
          <w:rFonts w:ascii="Times New Roman" w:hAnsi="Times New Roman"/>
          <w:sz w:val="18"/>
        </w:rPr>
        <w:t xml:space="preserve"> </w:t>
      </w:r>
      <w:r w:rsidRPr="0044727D">
        <w:t>is used in an eschatological sense in only five verses.</w:t>
      </w:r>
      <w:r w:rsidRPr="0044727D">
        <w:rPr>
          <w:rStyle w:val="EndnoteReference"/>
        </w:rPr>
        <w:endnoteReference w:id="1848"/>
      </w:r>
      <w:r w:rsidRPr="0044727D">
        <w:t xml:space="preserve">  Scofield’s subheads to Mt. 24:15</w:t>
      </w:r>
      <w:r w:rsidRPr="0044727D">
        <w:rPr>
          <w:rStyle w:val="EndnoteReference"/>
        </w:rPr>
        <w:endnoteReference w:id="1849"/>
      </w:r>
      <w:r w:rsidRPr="0044727D">
        <w:t xml:space="preserve"> and Mk 13:14</w:t>
      </w:r>
      <w:r w:rsidRPr="0044727D">
        <w:rPr>
          <w:rStyle w:val="EndnoteReference"/>
        </w:rPr>
        <w:endnoteReference w:id="1850"/>
      </w:r>
      <w:r w:rsidRPr="0044727D">
        <w:t xml:space="preserve"> are congruent with the occurrences of</w:t>
      </w:r>
      <w:r w:rsidRPr="0044727D">
        <w:rPr>
          <w:rFonts w:ascii="Times New Roman" w:hAnsi="Times New Roman"/>
        </w:rPr>
        <w:t xml:space="preserve"> </w:t>
      </w:r>
      <w:r w:rsidRPr="0044727D">
        <w:rPr>
          <w:rFonts w:ascii="Bwgrkl" w:hAnsi="Bwgrkl"/>
          <w:bCs/>
          <w:szCs w:val="24"/>
          <w:lang w:val="en-US" w:bidi="he-IL"/>
        </w:rPr>
        <w:t>qli/yij</w:t>
      </w:r>
      <w:r w:rsidRPr="0044727D">
        <w:rPr>
          <w:rFonts w:ascii="Times New Roman" w:hAnsi="Times New Roman"/>
          <w:sz w:val="18"/>
        </w:rPr>
        <w:t xml:space="preserve"> </w:t>
      </w:r>
      <w:r w:rsidRPr="0044727D">
        <w:t>in Mt. 24:9, 21, 29 and Mk 13:19, 24.</w:t>
      </w:r>
      <w:r w:rsidRPr="0044727D">
        <w:rPr>
          <w:rFonts w:ascii="Times New Roman" w:hAnsi="Times New Roman"/>
        </w:rPr>
        <w:t xml:space="preserve">  </w:t>
      </w:r>
    </w:p>
    <w:p w:rsidR="006A2E06" w:rsidRPr="0044727D" w:rsidRDefault="006A2E06" w:rsidP="006A2E06">
      <w:pPr>
        <w:spacing w:after="120" w:line="360" w:lineRule="auto"/>
        <w:ind w:firstLine="567"/>
        <w:jc w:val="both"/>
        <w:rPr>
          <w:sz w:val="24"/>
        </w:rPr>
      </w:pPr>
      <w:r>
        <w:t>The word</w:t>
      </w:r>
      <w:r w:rsidRPr="0044727D">
        <w:t xml:space="preserve"> ‘tribulation’ occurs nineteen times in the New Testament, </w:t>
      </w:r>
      <w:r w:rsidRPr="0044727D">
        <w:rPr>
          <w:i/>
        </w:rPr>
        <w:t>KJV</w:t>
      </w:r>
      <w:r w:rsidRPr="0044727D">
        <w:t>.  It rarely has the connotation of an eschatological period of time.  In most cases, ‘tribulation’ is merely a synonym for ‘affliction’.</w:t>
      </w:r>
      <w:r w:rsidRPr="0044727D">
        <w:rPr>
          <w:rStyle w:val="EndnoteReference"/>
        </w:rPr>
        <w:endnoteReference w:id="1851"/>
      </w:r>
      <w:r w:rsidRPr="0044727D">
        <w:t xml:space="preserve">  Even the writer of Revelation suffers tribulation.</w:t>
      </w:r>
      <w:r w:rsidRPr="0044727D">
        <w:rPr>
          <w:rStyle w:val="EndnoteReference"/>
        </w:rPr>
        <w:endnoteReference w:id="1852"/>
      </w:r>
      <w:r w:rsidRPr="0044727D">
        <w:t xml:space="preserve">  Most references to tribulation concern warnings about persecution for holding the faith,</w:t>
      </w:r>
      <w:r w:rsidRPr="0044727D">
        <w:rPr>
          <w:rStyle w:val="EndnoteReference"/>
        </w:rPr>
        <w:endnoteReference w:id="1853"/>
      </w:r>
      <w:r w:rsidRPr="0044727D">
        <w:t xml:space="preserve"> or explanations and exhortations concerning present suffering.</w:t>
      </w:r>
      <w:r w:rsidRPr="0044727D">
        <w:rPr>
          <w:rStyle w:val="EndnoteReference"/>
        </w:rPr>
        <w:endnoteReference w:id="1854"/>
      </w:r>
      <w:r w:rsidRPr="0044727D">
        <w:t xml:space="preserve">  Even in Revelation, most of the references to tribulation are not eschatological.</w:t>
      </w:r>
      <w:r w:rsidRPr="0044727D">
        <w:rPr>
          <w:rStyle w:val="EndnoteReference"/>
        </w:rPr>
        <w:endnoteReference w:id="1855"/>
      </w:r>
      <w:r w:rsidRPr="0044727D">
        <w:t xml:space="preserve">  The single exception, where </w:t>
      </w:r>
      <w:r w:rsidRPr="0044727D">
        <w:rPr>
          <w:i/>
        </w:rPr>
        <w:t>KJV</w:t>
      </w:r>
      <w:r w:rsidRPr="0044727D">
        <w:t xml:space="preserve"> refers to what might be termed ‘</w:t>
      </w:r>
      <w:r w:rsidRPr="0044727D">
        <w:rPr>
          <w:i/>
        </w:rPr>
        <w:t>the</w:t>
      </w:r>
      <w:r w:rsidRPr="0044727D">
        <w:t xml:space="preserve"> tribulation’</w:t>
      </w:r>
      <w:r w:rsidRPr="0044727D">
        <w:rPr>
          <w:rStyle w:val="EndnoteReference"/>
        </w:rPr>
        <w:endnoteReference w:id="1856"/>
      </w:r>
      <w:r w:rsidRPr="0044727D">
        <w:t xml:space="preserve"> in an apparently eschatological sense, but without the definite article, is Rev. 7:14.</w:t>
      </w:r>
      <w:r>
        <w:rPr>
          <w:rStyle w:val="EndnoteReference"/>
        </w:rPr>
        <w:endnoteReference w:id="1857"/>
      </w:r>
      <w:r w:rsidRPr="0044727D">
        <w:t xml:space="preserve">  Significantly, the Greek phrase,</w:t>
      </w:r>
      <w:r w:rsidRPr="0044727D">
        <w:rPr>
          <w:sz w:val="24"/>
          <w:szCs w:val="24"/>
        </w:rPr>
        <w:t xml:space="preserve"> </w:t>
      </w:r>
      <w:r w:rsidRPr="0044727D">
        <w:rPr>
          <w:rFonts w:ascii="Bwgrkl" w:hAnsi="Bwgrkl" w:cs="Bwgrkl"/>
          <w:szCs w:val="24"/>
          <w:lang w:val="en-US" w:bidi="he-IL"/>
        </w:rPr>
        <w:t>oi` evrco,menoi evk th/j qli,yewj th/j mega,lhj</w:t>
      </w:r>
      <w:r w:rsidRPr="0044727D">
        <w:t>,</w:t>
      </w:r>
      <w:r w:rsidRPr="0044727D">
        <w:rPr>
          <w:rFonts w:ascii="Times New Roman" w:hAnsi="Times New Roman"/>
        </w:rPr>
        <w:t xml:space="preserve"> </w:t>
      </w:r>
      <w:r w:rsidRPr="0044727D">
        <w:t xml:space="preserve">includes the definite article, which Scofield uses, though </w:t>
      </w:r>
      <w:r w:rsidRPr="0044727D">
        <w:rPr>
          <w:i/>
        </w:rPr>
        <w:t>KJV</w:t>
      </w:r>
      <w:r w:rsidRPr="0044727D">
        <w:t>, like several other early translations,</w:t>
      </w:r>
      <w:r w:rsidRPr="0044727D">
        <w:rPr>
          <w:rStyle w:val="EndnoteReference"/>
        </w:rPr>
        <w:endnoteReference w:id="1858"/>
      </w:r>
      <w:r w:rsidRPr="0044727D">
        <w:t xml:space="preserve"> does not.</w:t>
      </w:r>
      <w:r w:rsidRPr="0044727D">
        <w:rPr>
          <w:rStyle w:val="EndnoteReference"/>
        </w:rPr>
        <w:endnoteReference w:id="1859"/>
      </w:r>
      <w:r w:rsidRPr="0044727D">
        <w:t xml:space="preserve">  This is the only instance in the whole Bible where the entire phrase, </w:t>
      </w:r>
      <w:r w:rsidRPr="0044727D">
        <w:rPr>
          <w:rFonts w:ascii="Bwgrkl" w:hAnsi="Bwgrkl" w:cs="Bwgrkl"/>
          <w:bCs/>
          <w:szCs w:val="24"/>
          <w:lang w:val="en-US" w:bidi="he-IL"/>
        </w:rPr>
        <w:t>h`` qli/yij h`` mega</w:t>
      </w:r>
      <w:proofErr w:type="gramStart"/>
      <w:r w:rsidRPr="0044727D">
        <w:rPr>
          <w:rFonts w:ascii="Bwgrkl" w:hAnsi="Bwgrkl" w:cs="Bwgrkl"/>
          <w:bCs/>
          <w:szCs w:val="24"/>
          <w:lang w:val="en-US" w:bidi="he-IL"/>
        </w:rPr>
        <w:t>,lh</w:t>
      </w:r>
      <w:proofErr w:type="gramEnd"/>
      <w:r w:rsidRPr="0044727D">
        <w:t>,</w:t>
      </w:r>
      <w:r w:rsidRPr="0044727D">
        <w:rPr>
          <w:sz w:val="24"/>
          <w:szCs w:val="24"/>
        </w:rPr>
        <w:t xml:space="preserve"> </w:t>
      </w:r>
      <w:r w:rsidRPr="0044727D">
        <w:t>occurs.  Darby’s translation and Young’s Literal Translation, both roughly contemporary with Scofield, include the definite article,</w:t>
      </w:r>
      <w:r w:rsidRPr="0044727D">
        <w:rPr>
          <w:rStyle w:val="EndnoteReference"/>
        </w:rPr>
        <w:endnoteReference w:id="1860"/>
      </w:r>
      <w:r w:rsidRPr="0044727D">
        <w:t xml:space="preserve"> as do most modern English translations,</w:t>
      </w:r>
      <w:r w:rsidRPr="0044727D">
        <w:rPr>
          <w:rStyle w:val="EndnoteReference"/>
        </w:rPr>
        <w:endnoteReference w:id="1861"/>
      </w:r>
      <w:r w:rsidRPr="0044727D">
        <w:t xml:space="preserve"> though not all use the word, ‘tribulation’.</w:t>
      </w:r>
      <w:r w:rsidRPr="0044727D">
        <w:rPr>
          <w:rStyle w:val="EndnoteReference"/>
        </w:rPr>
        <w:endnoteReference w:id="1862"/>
      </w:r>
      <w:r w:rsidRPr="0044727D">
        <w:t xml:space="preserve">  </w:t>
      </w:r>
      <w:r w:rsidRPr="0044727D">
        <w:rPr>
          <w:lang w:val="en-US"/>
        </w:rPr>
        <w:t>Notably, Darby also includes the definite article before ‘tribulation’ in Rom. 5:3 and Rev. 1:9, as does the Greek text.</w:t>
      </w:r>
      <w:r w:rsidRPr="0044727D">
        <w:rPr>
          <w:rStyle w:val="EndnoteReference"/>
          <w:lang w:val="en-US"/>
        </w:rPr>
        <w:endnoteReference w:id="1863"/>
      </w:r>
      <w:r w:rsidRPr="0044727D">
        <w:rPr>
          <w:lang w:val="en-US"/>
        </w:rPr>
        <w:t xml:space="preserve"> </w:t>
      </w:r>
    </w:p>
    <w:p w:rsidR="006A2E06" w:rsidRDefault="006A2E06" w:rsidP="006A2E06">
      <w:pPr>
        <w:spacing w:after="120" w:line="360" w:lineRule="auto"/>
        <w:ind w:right="-28" w:firstLine="499"/>
        <w:jc w:val="both"/>
      </w:pPr>
      <w:r w:rsidRPr="0044727D">
        <w:t>The word ‘tri</w:t>
      </w:r>
      <w:r>
        <w:t>bulation’</w:t>
      </w:r>
      <w:r w:rsidRPr="0044727D">
        <w:t xml:space="preserve"> in the New Testament </w:t>
      </w:r>
      <w:r w:rsidRPr="0044727D">
        <w:rPr>
          <w:i/>
        </w:rPr>
        <w:t>KJV</w:t>
      </w:r>
      <w:r w:rsidRPr="0044727D">
        <w:t xml:space="preserve"> </w:t>
      </w:r>
      <w:r>
        <w:t xml:space="preserve">also </w:t>
      </w:r>
      <w:r w:rsidRPr="0044727D">
        <w:t xml:space="preserve">largely lacks the definite article attributed to it by </w:t>
      </w:r>
      <w:r w:rsidR="00C72D1C">
        <w:t>Scofield.</w:t>
      </w:r>
      <w:r w:rsidRPr="0044727D">
        <w:t xml:space="preserve">  The only New Testament verse in </w:t>
      </w:r>
      <w:r w:rsidRPr="0044727D">
        <w:rPr>
          <w:i/>
        </w:rPr>
        <w:t>KJV</w:t>
      </w:r>
      <w:r w:rsidRPr="0044727D">
        <w:t xml:space="preserve"> in which the definite article precedes ‘tribulation’ is Mt. 24:29,</w:t>
      </w:r>
      <w:r w:rsidRPr="0044727D">
        <w:rPr>
          <w:rStyle w:val="EndnoteReference"/>
        </w:rPr>
        <w:endnoteReference w:id="1864"/>
      </w:r>
      <w:r w:rsidRPr="0044727D">
        <w:t xml:space="preserve"> which Scofield surprisingly ignores, along with Mt. 24:21</w:t>
      </w:r>
      <w:r w:rsidRPr="0044727D">
        <w:rPr>
          <w:rStyle w:val="EndnoteReference"/>
        </w:rPr>
        <w:endnoteReference w:id="1865"/>
      </w:r>
      <w:r w:rsidRPr="0044727D">
        <w:t xml:space="preserve"> and Mk 13:24.</w:t>
      </w:r>
      <w:r w:rsidRPr="0044727D">
        <w:rPr>
          <w:rStyle w:val="EndnoteReference"/>
        </w:rPr>
        <w:endnoteReference w:id="1866"/>
      </w:r>
      <w:r w:rsidRPr="0044727D">
        <w:t xml:space="preserve">  These three verses, which give graphic descriptions of cosmic phenomena to follow </w:t>
      </w:r>
      <w:r w:rsidRPr="0044727D">
        <w:rPr>
          <w:i/>
        </w:rPr>
        <w:t>the</w:t>
      </w:r>
      <w:r w:rsidRPr="0044727D">
        <w:t xml:space="preserve"> tribulation,</w:t>
      </w:r>
      <w:r w:rsidRPr="0044727D">
        <w:rPr>
          <w:rStyle w:val="EndnoteReference"/>
        </w:rPr>
        <w:endnoteReference w:id="1867"/>
      </w:r>
      <w:r w:rsidRPr="0044727D">
        <w:t xml:space="preserve"> might be said to describe eschatological tribulation, yet Scofield chooses not to exploit the opportunity to expand upon them.  Scofield’s subhead to Mt. 24:15 proclaims ‘Olivet discourse: the great tribulation’ and then, unusually, refers to Mk 13:14-23.</w:t>
      </w:r>
      <w:r w:rsidRPr="0044727D">
        <w:rPr>
          <w:rStyle w:val="EndnoteReference"/>
        </w:rPr>
        <w:endnoteReference w:id="1868"/>
      </w:r>
      <w:r w:rsidRPr="0044727D">
        <w:t xml:space="preserve">  Scofield makes no comment upon ‘the little apocalypse’ of Mark 13, though </w:t>
      </w:r>
      <w:r w:rsidRPr="0044727D">
        <w:rPr>
          <w:i/>
        </w:rPr>
        <w:t>SRB</w:t>
      </w:r>
      <w:r w:rsidRPr="0044727D">
        <w:t xml:space="preserve">’s subhead to Mk 13:14 </w:t>
      </w:r>
      <w:proofErr w:type="gramStart"/>
      <w:r w:rsidRPr="0044727D">
        <w:t>includes</w:t>
      </w:r>
      <w:proofErr w:type="gramEnd"/>
      <w:r w:rsidRPr="0044727D">
        <w:t xml:space="preserve"> references to the tribulation.</w:t>
      </w:r>
      <w:r w:rsidRPr="0044727D">
        <w:rPr>
          <w:rStyle w:val="EndnoteReference"/>
        </w:rPr>
        <w:endnoteReference w:id="1869"/>
      </w:r>
      <w:r w:rsidRPr="0044727D">
        <w:t xml:space="preserve"> </w:t>
      </w:r>
    </w:p>
    <w:p w:rsidR="006A2E06" w:rsidRPr="00C5084C" w:rsidRDefault="006A2E06" w:rsidP="006A2E06">
      <w:pPr>
        <w:spacing w:after="120" w:line="360" w:lineRule="auto"/>
        <w:ind w:firstLine="567"/>
        <w:jc w:val="both"/>
        <w:rPr>
          <w:rStyle w:val="ind"/>
        </w:rPr>
      </w:pPr>
      <w:r>
        <w:rPr>
          <w:rStyle w:val="ind"/>
        </w:rPr>
        <w:t>T</w:t>
      </w:r>
      <w:r w:rsidRPr="005E3223">
        <w:rPr>
          <w:rStyle w:val="ind"/>
        </w:rPr>
        <w:t xml:space="preserve">he dispensationalist interpretation of Daniel’s seventy weeks of years is closely associated with its concept of the great </w:t>
      </w:r>
      <w:r w:rsidRPr="00C5084C">
        <w:rPr>
          <w:rStyle w:val="ind"/>
        </w:rPr>
        <w:t xml:space="preserve">tribulation but there is a difference of opinion as to whether the tribulation occupies </w:t>
      </w:r>
      <w:r w:rsidRPr="00C5084C">
        <w:rPr>
          <w:rStyle w:val="ind"/>
        </w:rPr>
        <w:lastRenderedPageBreak/>
        <w:t>the whole of the remaining seven years of Daniel’s seventieth week or only the final three-and-a half years.  Darby asserts clearly that only the second three-and-a-half years of Daniel’s seventieth week constitute the tribulation, defined as ‘the time of Jacob’s trouble’.</w:t>
      </w:r>
      <w:r w:rsidRPr="00C5084C">
        <w:rPr>
          <w:rStyle w:val="EndnoteReference"/>
        </w:rPr>
        <w:endnoteReference w:id="1870"/>
      </w:r>
      <w:r w:rsidRPr="00C5084C">
        <w:rPr>
          <w:rStyle w:val="ind"/>
        </w:rPr>
        <w:t xml:space="preserve">  </w:t>
      </w:r>
    </w:p>
    <w:p w:rsidR="006A2E06" w:rsidRPr="00C5084C" w:rsidRDefault="006A2E06" w:rsidP="006A2E06">
      <w:pPr>
        <w:spacing w:after="120" w:line="240" w:lineRule="auto"/>
        <w:ind w:left="1134" w:right="1701"/>
        <w:jc w:val="both"/>
        <w:rPr>
          <w:rStyle w:val="ind"/>
        </w:rPr>
      </w:pPr>
      <w:r w:rsidRPr="00C5084C">
        <w:t xml:space="preserve">Seventy weeks are determined on Daniel's people and his holy city, to complete the blessing and close their eventful history </w:t>
      </w:r>
      <w:r w:rsidRPr="00012B96">
        <w:rPr>
          <w:sz w:val="16"/>
          <w:szCs w:val="24"/>
        </w:rPr>
        <w:t>—</w:t>
      </w:r>
      <w:r w:rsidRPr="00C5084C">
        <w:t xml:space="preserve"> the display of divine government in the earth. After seven and sixty-two weeks Messiah is cut off and has nothing. There are seven and sixty-two till Messiah the Prince. His cutting off is indefinite; only it is after the sixty-two weeks Then the prince that comes establishes a covenant with the many (that is, the mass of the people). Messiah's relationship, on the contrary, had been with the residue, though presented to all the people. Then, in the dividing of the week, he causes the sacrifice and oblation to cease; and then, because of the protection of abominations (idols), there is a desolator. </w:t>
      </w:r>
      <w:r>
        <w:t>…</w:t>
      </w:r>
      <w:r w:rsidRPr="00C5084C">
        <w:t xml:space="preserve"> </w:t>
      </w:r>
      <w:r>
        <w:t xml:space="preserve"> </w:t>
      </w:r>
    </w:p>
    <w:p w:rsidR="006A2E06" w:rsidRPr="00C5084C" w:rsidRDefault="006A2E06" w:rsidP="006A2E06">
      <w:pPr>
        <w:spacing w:after="240" w:line="240" w:lineRule="auto"/>
        <w:ind w:left="1134" w:right="1700"/>
        <w:jc w:val="both"/>
        <w:rPr>
          <w:rStyle w:val="ind"/>
        </w:rPr>
      </w:pPr>
      <w:r w:rsidRPr="00C5084C">
        <w:t xml:space="preserve">No persecutions are here spoken of in the first half-week, nor indeed is any first half-week spoken of. The prince confirms the covenant one week, and the half-weeks are marked by his change of conduct in the middle of the week. In Daniel 7 we have, without any note of period, the general characteristic of the beast </w:t>
      </w:r>
      <w:r w:rsidRPr="00012B96">
        <w:rPr>
          <w:sz w:val="16"/>
          <w:szCs w:val="24"/>
        </w:rPr>
        <w:t>—</w:t>
      </w:r>
      <w:r w:rsidRPr="00C5084C">
        <w:t xml:space="preserve"> that he wears out the heavenly saints, and in general makes war with the saints till the Ancient of days comes. But the times and laws (not the saints) are delivered into his hand for half a week, i.e., for a time, times, and half a time. In Matthew 24 there is general testimony, such as there was in Christ's time - only it reaches the Gentiles - till the last half-week, which begins the abomination of desolations. This exclusive allusion to the last half-week in Matthew 24 had often struck me. In Revelation 13 the beast is given power to act forty and two months. He blasphemes God and them that dwell in heaven; and he makes war with the saints (not </w:t>
      </w:r>
      <w:r>
        <w:t>“</w:t>
      </w:r>
      <w:r w:rsidRPr="00C5084C">
        <w:t>those that dwell in heaven</w:t>
      </w:r>
      <w:r>
        <w:t>”</w:t>
      </w:r>
      <w:r w:rsidRPr="00C5084C">
        <w:t>, compare chapter 12: 12), and overcomes them. One would surely, at first sight, suppose that power to act forty-two months hardly meant that he does so eighty-four.</w:t>
      </w:r>
      <w:r w:rsidRPr="00C5084C">
        <w:rPr>
          <w:rStyle w:val="EndnoteReference"/>
        </w:rPr>
        <w:endnoteReference w:id="1871"/>
      </w:r>
      <w:r w:rsidRPr="00C5084C">
        <w:t xml:space="preserve"> </w:t>
      </w:r>
    </w:p>
    <w:p w:rsidR="006A2E06" w:rsidRPr="00C5084C" w:rsidRDefault="006A2E06" w:rsidP="006A2E06">
      <w:pPr>
        <w:spacing w:after="120" w:line="360" w:lineRule="auto"/>
        <w:ind w:right="-29" w:firstLine="567"/>
        <w:jc w:val="both"/>
      </w:pPr>
      <w:r w:rsidRPr="00C5084C">
        <w:t>Scofield argues that Daniel’s seventieth week</w:t>
      </w:r>
      <w:r w:rsidRPr="00C5084C">
        <w:rPr>
          <w:rStyle w:val="EndnoteReference"/>
        </w:rPr>
        <w:endnoteReference w:id="1872"/>
      </w:r>
      <w:r w:rsidRPr="00C5084C">
        <w:t xml:space="preserve"> can only last seven years.</w:t>
      </w:r>
      <w:r w:rsidRPr="00C5084C">
        <w:rPr>
          <w:rStyle w:val="EndnoteReference"/>
        </w:rPr>
        <w:endnoteReference w:id="1873"/>
      </w:r>
      <w:r w:rsidRPr="00C5084C">
        <w:t xml:space="preserve">  Confusingly, he avers in a single note that Dan. 9:27 ‘deals with the last week’</w:t>
      </w:r>
      <w:r w:rsidRPr="00C5084C">
        <w:rPr>
          <w:rStyle w:val="EndnoteReference"/>
        </w:rPr>
        <w:endnoteReference w:id="1874"/>
      </w:r>
      <w:r w:rsidRPr="00C5084C">
        <w:t xml:space="preserve"> and also that it ‘deals with the last three and a half years of the seven, which are identical with the great tribulation;</w:t>
      </w:r>
      <w:r w:rsidRPr="00C5084C">
        <w:rPr>
          <w:rStyle w:val="EndnoteReference"/>
        </w:rPr>
        <w:endnoteReference w:id="1875"/>
      </w:r>
      <w:r w:rsidRPr="00C5084C">
        <w:t xml:space="preserve"> “time of trouble”</w:t>
      </w:r>
      <w:r w:rsidRPr="00C5084C">
        <w:rPr>
          <w:rStyle w:val="EndnoteReference"/>
        </w:rPr>
        <w:endnoteReference w:id="1876"/>
      </w:r>
      <w:r w:rsidRPr="00C5084C">
        <w:t xml:space="preserve"> and “hour of temptation”’.</w:t>
      </w:r>
      <w:r w:rsidRPr="00C5084C">
        <w:rPr>
          <w:rStyle w:val="EndnoteReference"/>
        </w:rPr>
        <w:endnoteReference w:id="1877"/>
      </w:r>
      <w:r w:rsidRPr="00C5084C">
        <w:t xml:space="preserve">  </w:t>
      </w:r>
      <w:r>
        <w:t xml:space="preserve">Several other notes confirm that Scofield </w:t>
      </w:r>
      <w:r w:rsidRPr="00C5084C">
        <w:t>holds that the great tribulation occupies only the second half of Daniel’s seventieth week:</w:t>
      </w:r>
    </w:p>
    <w:p w:rsidR="006A2E06" w:rsidRPr="00C5084C" w:rsidRDefault="006A2E06" w:rsidP="006A2E06">
      <w:pPr>
        <w:spacing w:after="120" w:line="240" w:lineRule="auto"/>
        <w:ind w:left="1134" w:right="1701"/>
        <w:jc w:val="both"/>
        <w:rPr>
          <w:sz w:val="24"/>
        </w:rPr>
      </w:pPr>
      <w:r w:rsidRPr="00C5084C">
        <w:rPr>
          <w:rStyle w:val="ind"/>
        </w:rPr>
        <w:t>T</w:t>
      </w:r>
      <w:r w:rsidRPr="00C5084C">
        <w:t xml:space="preserve">he </w:t>
      </w:r>
      <w:r>
        <w:t>“</w:t>
      </w:r>
      <w:r w:rsidRPr="00C5084C">
        <w:t>he</w:t>
      </w:r>
      <w:r>
        <w:t>”</w:t>
      </w:r>
      <w:r w:rsidRPr="00C5084C">
        <w:t xml:space="preserve"> of Dan. 9:27 … </w:t>
      </w:r>
      <w:proofErr w:type="gramStart"/>
      <w:r w:rsidRPr="00C5084C">
        <w:t>is</w:t>
      </w:r>
      <w:proofErr w:type="gramEnd"/>
      <w:r w:rsidRPr="00C5084C">
        <w:t xml:space="preserve"> the same with the </w:t>
      </w:r>
      <w:r>
        <w:t>“</w:t>
      </w:r>
      <w:r w:rsidRPr="00C5084C">
        <w:t>little horn</w:t>
      </w:r>
      <w:r>
        <w:t>”</w:t>
      </w:r>
      <w:r w:rsidRPr="00C5084C">
        <w:t xml:space="preserve"> of chapter 7. He will covenant with the Jews to restore their temple sacrifices for one week (seven years), but in the middle of that time he will break the covenant and fulfil Dan. 12:11; 2 Thess. 2:3, 4.</w:t>
      </w:r>
      <w:r w:rsidRPr="00C5084C">
        <w:rPr>
          <w:rStyle w:val="EndnoteReference"/>
        </w:rPr>
        <w:endnoteReference w:id="1878"/>
      </w:r>
      <w:r w:rsidRPr="00C5084C">
        <w:t xml:space="preserve"> </w:t>
      </w:r>
    </w:p>
    <w:p w:rsidR="006A2E06" w:rsidRPr="00C5084C" w:rsidRDefault="006A2E06" w:rsidP="006A2E06">
      <w:pPr>
        <w:pStyle w:val="FootnoteText"/>
        <w:spacing w:after="120" w:line="360" w:lineRule="auto"/>
        <w:jc w:val="both"/>
        <w:rPr>
          <w:rFonts w:ascii="Perpetua" w:hAnsi="Perpetua"/>
          <w:sz w:val="22"/>
        </w:rPr>
      </w:pPr>
      <w:r w:rsidRPr="00C5084C">
        <w:rPr>
          <w:rFonts w:ascii="Perpetua" w:hAnsi="Perpetua"/>
          <w:sz w:val="22"/>
          <w:szCs w:val="22"/>
        </w:rPr>
        <w:t>Scofield’s notes on Dan. 11:35 and Rev. 7:14 also link the final three-and-a-half years with the great tribulation,</w:t>
      </w:r>
      <w:r w:rsidRPr="00C5084C">
        <w:rPr>
          <w:rStyle w:val="EndnoteReference"/>
          <w:rFonts w:ascii="Perpetua" w:hAnsi="Perpetua"/>
          <w:sz w:val="22"/>
          <w:szCs w:val="22"/>
        </w:rPr>
        <w:endnoteReference w:id="1879"/>
      </w:r>
      <w:r w:rsidRPr="00C5084C">
        <w:rPr>
          <w:rFonts w:ascii="Perpetua" w:hAnsi="Perpetua"/>
          <w:sz w:val="22"/>
          <w:szCs w:val="22"/>
        </w:rPr>
        <w:t xml:space="preserve"> a period begun by the Beast’s</w:t>
      </w:r>
      <w:r w:rsidRPr="00C5084C">
        <w:rPr>
          <w:rStyle w:val="EndnoteReference"/>
          <w:rFonts w:ascii="Perpetua" w:hAnsi="Perpetua"/>
          <w:sz w:val="22"/>
          <w:szCs w:val="22"/>
        </w:rPr>
        <w:endnoteReference w:id="1880"/>
      </w:r>
      <w:r w:rsidRPr="00C5084C">
        <w:rPr>
          <w:rFonts w:ascii="Perpetua" w:hAnsi="Perpetua"/>
          <w:sz w:val="22"/>
          <w:szCs w:val="22"/>
        </w:rPr>
        <w:t xml:space="preserve"> breaking of his covenant with the Jews.</w:t>
      </w:r>
      <w:r w:rsidRPr="00C5084C">
        <w:rPr>
          <w:rStyle w:val="EndnoteReference"/>
          <w:rFonts w:ascii="Perpetua" w:hAnsi="Perpetua"/>
          <w:sz w:val="22"/>
          <w:szCs w:val="22"/>
        </w:rPr>
        <w:endnoteReference w:id="1881"/>
      </w:r>
      <w:r w:rsidRPr="00C5084C">
        <w:rPr>
          <w:rFonts w:ascii="Perpetua" w:hAnsi="Perpetua"/>
          <w:sz w:val="22"/>
          <w:szCs w:val="22"/>
        </w:rPr>
        <w:t xml:space="preserve">  In his note on Dan. 12:4, Scofield designates ‘the duration of the “time of the end”’ as being ‘three and one half years, </w:t>
      </w:r>
      <w:r w:rsidRPr="00C5084C">
        <w:rPr>
          <w:rFonts w:ascii="Perpetua" w:hAnsi="Perpetua"/>
          <w:sz w:val="22"/>
          <w:szCs w:val="22"/>
        </w:rPr>
        <w:lastRenderedPageBreak/>
        <w:t>coinciding with the last half of the seventieth week of Daniel’.</w:t>
      </w:r>
      <w:r w:rsidRPr="00C5084C">
        <w:rPr>
          <w:rStyle w:val="EndnoteReference"/>
          <w:rFonts w:ascii="Perpetua" w:hAnsi="Perpetua"/>
          <w:sz w:val="22"/>
          <w:szCs w:val="22"/>
        </w:rPr>
        <w:endnoteReference w:id="1882"/>
      </w:r>
      <w:r w:rsidRPr="00C5084C">
        <w:rPr>
          <w:rFonts w:ascii="Perpetua" w:hAnsi="Perpetua"/>
          <w:sz w:val="22"/>
          <w:szCs w:val="22"/>
        </w:rPr>
        <w:t xml:space="preserve">  </w:t>
      </w:r>
      <w:r w:rsidRPr="00C5084C">
        <w:rPr>
          <w:rFonts w:ascii="Perpetua" w:hAnsi="Perpetua"/>
          <w:sz w:val="22"/>
        </w:rPr>
        <w:t>This is corroborated by his statement that ‘the great tribulation begins at the middle of the “week” and c</w:t>
      </w:r>
      <w:r>
        <w:rPr>
          <w:rFonts w:ascii="Perpetua" w:hAnsi="Perpetua"/>
          <w:sz w:val="22"/>
        </w:rPr>
        <w:t>ontinues three and a half years</w:t>
      </w:r>
      <w:r w:rsidRPr="00C5084C">
        <w:rPr>
          <w:rFonts w:ascii="Perpetua" w:hAnsi="Perpetua"/>
          <w:sz w:val="22"/>
        </w:rPr>
        <w:t>’.</w:t>
      </w:r>
      <w:r w:rsidRPr="00C5084C">
        <w:rPr>
          <w:rStyle w:val="EndnoteReference"/>
          <w:rFonts w:ascii="Perpetua" w:hAnsi="Perpetua"/>
          <w:sz w:val="22"/>
        </w:rPr>
        <w:endnoteReference w:id="1883"/>
      </w:r>
      <w:r w:rsidRPr="00C5084C">
        <w:rPr>
          <w:rFonts w:ascii="Perpetua" w:hAnsi="Perpetua"/>
          <w:sz w:val="22"/>
        </w:rPr>
        <w:t xml:space="preserve">  </w:t>
      </w:r>
    </w:p>
    <w:p w:rsidR="006A2E06" w:rsidRDefault="006A2E06" w:rsidP="006A2E06">
      <w:pPr>
        <w:spacing w:after="120" w:line="360" w:lineRule="auto"/>
        <w:ind w:firstLine="567"/>
        <w:jc w:val="both"/>
        <w:rPr>
          <w:rStyle w:val="ind"/>
        </w:rPr>
      </w:pPr>
      <w:r w:rsidRPr="005E3223">
        <w:rPr>
          <w:rStyle w:val="ind"/>
        </w:rPr>
        <w:t xml:space="preserve">Blackstone provides a basic summary of the doctrine of the </w:t>
      </w:r>
      <w:r>
        <w:rPr>
          <w:rStyle w:val="ind"/>
        </w:rPr>
        <w:t>t</w:t>
      </w:r>
      <w:r w:rsidRPr="005E3223">
        <w:rPr>
          <w:rStyle w:val="ind"/>
        </w:rPr>
        <w:t>ribulation</w:t>
      </w:r>
      <w:r>
        <w:rPr>
          <w:rStyle w:val="ind"/>
        </w:rPr>
        <w:t xml:space="preserve"> and appears not to differentiate between the two halves</w:t>
      </w:r>
      <w:r w:rsidRPr="005E3223">
        <w:rPr>
          <w:rStyle w:val="ind"/>
        </w:rPr>
        <w:t xml:space="preserve">.  He states that the term, </w:t>
      </w:r>
      <w:r>
        <w:rPr>
          <w:rStyle w:val="ind"/>
        </w:rPr>
        <w:t>t</w:t>
      </w:r>
      <w:r w:rsidRPr="005E3223">
        <w:rPr>
          <w:rStyle w:val="ind"/>
        </w:rPr>
        <w:t xml:space="preserve">ribulation, comprises ‘the whole period of earthly history, between the Rapture and the Revelation, or between the church and the millennial kingdom.  … </w:t>
      </w:r>
      <w:r>
        <w:rPr>
          <w:rStyle w:val="ind"/>
        </w:rPr>
        <w:t xml:space="preserve"> </w:t>
      </w:r>
      <w:r w:rsidRPr="005E3223">
        <w:rPr>
          <w:rStyle w:val="ind"/>
        </w:rPr>
        <w:t>It no doubt embraces that last one of Daniel’s seventy weeks for the reason that then God begins to deal with Israel again after He has taken the church away.’  In it there will be ‘a period of unequalled trial, sorrow and calamity, spiritual darkness and open wickedness’, but the true Church will escape it through the pretribulational rapture.  ‘Meanwhile a third part of Israel will be brought through it.’  Antichrist will be revealed at this time and ‘some, especially from the remnant of Israel will accept Christ, and become his witnesses, and be killed by Antichrist’; such people are known as ‘the tribulation saints’, who will be raised at the end of the tribulation.</w:t>
      </w:r>
      <w:r w:rsidRPr="005E3223">
        <w:rPr>
          <w:rStyle w:val="EndnoteReference"/>
        </w:rPr>
        <w:endnoteReference w:id="1884"/>
      </w:r>
      <w:r w:rsidRPr="005E3223">
        <w:rPr>
          <w:rStyle w:val="ind"/>
        </w:rPr>
        <w:t xml:space="preserve">  Walvoord states that the tribulation will concern ‘the nation Israel, the pagan Gentile world and the saints or elect who will live in that time of trouble’; he emphasises the exclusion of believers in the current age.</w:t>
      </w:r>
      <w:r w:rsidRPr="005E3223">
        <w:rPr>
          <w:rStyle w:val="EndnoteReference"/>
        </w:rPr>
        <w:endnoteReference w:id="1885"/>
      </w:r>
      <w:r w:rsidRPr="005E3223">
        <w:rPr>
          <w:rStyle w:val="ind"/>
        </w:rPr>
        <w:t xml:space="preserve">  Weber describes Antichrist’s emergence after the rapture, bringing a deceptive message of world peace and making a covenant with Israel, but later suspending all religious practices, declaring himself as God and instituting a reign of terror against any who oppose him.  After the convergence of forces upon Armageddon in northern Israel, Christ will return with his raptured saints to defeat Antichrist and throw him and his followers into the lake of fire.</w:t>
      </w:r>
      <w:r w:rsidRPr="005E3223">
        <w:rPr>
          <w:rStyle w:val="EndnoteReference"/>
        </w:rPr>
        <w:endnoteReference w:id="1886"/>
      </w:r>
      <w:r w:rsidRPr="005E3223">
        <w:rPr>
          <w:rStyle w:val="ind"/>
        </w:rPr>
        <w:t xml:space="preserve">  This marks the end of Daniel’s seventieth week and the time when Christ will set up his millennial kingdom on earth.  </w:t>
      </w:r>
    </w:p>
    <w:p w:rsidR="006A2E06" w:rsidRDefault="006A2E06" w:rsidP="006A2E06">
      <w:pPr>
        <w:spacing w:after="120" w:line="360" w:lineRule="auto"/>
        <w:ind w:firstLine="567"/>
        <w:jc w:val="both"/>
      </w:pPr>
      <w:r>
        <w:rPr>
          <w:rStyle w:val="ind"/>
        </w:rPr>
        <w:t>Scofield follows the pattern for tribulation events set out above</w:t>
      </w:r>
      <w:r w:rsidRPr="00022AFA">
        <w:rPr>
          <w:rStyle w:val="ind"/>
        </w:rPr>
        <w:t xml:space="preserve">.  </w:t>
      </w:r>
      <w:r>
        <w:t>He</w:t>
      </w:r>
      <w:r w:rsidRPr="00022AFA">
        <w:t xml:space="preserve"> describes the events of the last week, the time of the end, starting with ‘the violation by the “prince that shall come” (ie “little horn” [of Daniel 7], “man of sin”, “Beast”) of his covenant with the Jews for the restoration of the temple and sacrifice … and the presentation of himself as God’,</w:t>
      </w:r>
      <w:r w:rsidRPr="00022AFA">
        <w:rPr>
          <w:rStyle w:val="EndnoteReference"/>
        </w:rPr>
        <w:endnoteReference w:id="1887"/>
      </w:r>
      <w:r w:rsidRPr="00022AFA">
        <w:t xml:space="preserve"> and ending with ‘his destruction by the appearing of the LORD in glory’.</w:t>
      </w:r>
      <w:r w:rsidRPr="00022AFA">
        <w:rPr>
          <w:rStyle w:val="EndnoteReference"/>
        </w:rPr>
        <w:endnoteReference w:id="1888"/>
      </w:r>
      <w:r w:rsidRPr="00022AFA">
        <w:t xml:space="preserve">  The covenant with the Jews was to have lasted seven years but halfway through that time the Beast would break the covenant and fulfil Dan. 12:11; 2 Thess. 2:3, 4.</w:t>
      </w:r>
      <w:r w:rsidRPr="00022AFA">
        <w:rPr>
          <w:rStyle w:val="EndnoteReference"/>
        </w:rPr>
        <w:endnoteReference w:id="1889"/>
      </w:r>
      <w:r w:rsidRPr="00022AFA">
        <w:t xml:space="preserve">  Scofield asserts that ‘The New Testament, especially Revelation, adds many details.’</w:t>
      </w:r>
      <w:r w:rsidRPr="00022AFA">
        <w:rPr>
          <w:rStyle w:val="EndnoteReference"/>
        </w:rPr>
        <w:endnoteReference w:id="1890"/>
      </w:r>
      <w:r w:rsidRPr="00022AFA">
        <w:t xml:space="preserve">  </w:t>
      </w:r>
    </w:p>
    <w:p w:rsidR="006A2E06" w:rsidRDefault="006A2E06" w:rsidP="006A2E06">
      <w:pPr>
        <w:spacing w:after="120" w:line="360" w:lineRule="auto"/>
        <w:ind w:firstLine="567"/>
        <w:jc w:val="both"/>
      </w:pPr>
      <w:r w:rsidRPr="00022AFA">
        <w:rPr>
          <w:rStyle w:val="ind"/>
        </w:rPr>
        <w:t>Scofield describes the great tribulation as</w:t>
      </w:r>
      <w:r w:rsidRPr="00022AFA">
        <w:t xml:space="preserve"> ‘the period of unexampled trouble predicted in passages cited under that head from Ps. 2:5 to Rev. 7:14 and described in Revelation 11 – 18.</w:t>
      </w:r>
      <w:r w:rsidRPr="00022AFA">
        <w:rPr>
          <w:rStyle w:val="EndnoteReference"/>
        </w:rPr>
        <w:endnoteReference w:id="1891"/>
      </w:r>
      <w:r w:rsidRPr="00022AFA">
        <w:t xml:space="preserve">  To some extent it involves the whole earth,</w:t>
      </w:r>
      <w:r w:rsidRPr="00022AFA">
        <w:rPr>
          <w:rStyle w:val="EndnoteReference"/>
        </w:rPr>
        <w:endnoteReference w:id="1892"/>
      </w:r>
      <w:r w:rsidRPr="00022AFA">
        <w:t xml:space="preserve"> but is distinctively “the time of Jacob’s trouble”’, centred on Jerusalem and the Holy Land, and involving ‘the people of God who will have returne</w:t>
      </w:r>
      <w:r>
        <w:t>d to Palestine in unbelief</w:t>
      </w:r>
      <w:r w:rsidRPr="00022AFA">
        <w:t>.</w:t>
      </w:r>
      <w:r>
        <w:t>’</w:t>
      </w:r>
      <w:r w:rsidRPr="00022AFA">
        <w:t xml:space="preserve">  The elements include the Beast’s cruel reign and blasphemous elevation of himself as God in the temple, Satan’s ascription of his own power to the Beast, unprecedented demonic activity and ‘the terrible “bowl” judgments of Revelation 16’.  However, it will also be ‘a period of salvation’ and it will be followed immediately by Christ’s glorious return ‘and the events associated with it</w:t>
      </w:r>
      <w:r>
        <w:t>’</w:t>
      </w:r>
      <w:r w:rsidRPr="00022AFA">
        <w:t>.</w:t>
      </w:r>
      <w:r w:rsidRPr="00022AFA">
        <w:rPr>
          <w:rStyle w:val="EndnoteReference"/>
        </w:rPr>
        <w:endnoteReference w:id="1893"/>
      </w:r>
      <w:r w:rsidRPr="00022AFA">
        <w:t xml:space="preserve">  Scofield asserts in his note on Rom. 11:5 that ‘a remnant out of all Israel will turn to Jesus as Messiah’ during the great tribulation, ‘and will become His witnesses after the removal of the church’.</w:t>
      </w:r>
      <w:r w:rsidRPr="00022AFA">
        <w:rPr>
          <w:rStyle w:val="EndnoteReference"/>
        </w:rPr>
        <w:endnoteReference w:id="1894"/>
      </w:r>
    </w:p>
    <w:p w:rsidR="006A2E06" w:rsidRPr="006E077B" w:rsidRDefault="006A2E06" w:rsidP="006A2E06">
      <w:pPr>
        <w:spacing w:after="120" w:line="360" w:lineRule="auto"/>
        <w:jc w:val="both"/>
        <w:rPr>
          <w:b/>
          <w:i/>
        </w:rPr>
      </w:pPr>
      <w:r w:rsidRPr="006E077B">
        <w:rPr>
          <w:b/>
          <w:i/>
        </w:rPr>
        <w:lastRenderedPageBreak/>
        <w:t>The Importance of Intertestamental Links</w:t>
      </w:r>
      <w:r>
        <w:rPr>
          <w:b/>
          <w:i/>
        </w:rPr>
        <w:t xml:space="preserve"> in Scofield’s Interpretation</w:t>
      </w:r>
    </w:p>
    <w:p w:rsidR="0025344F" w:rsidRDefault="006A2E06" w:rsidP="006A2E06">
      <w:pPr>
        <w:spacing w:after="120" w:line="360" w:lineRule="auto"/>
        <w:jc w:val="both"/>
        <w:rPr>
          <w:rStyle w:val="ind"/>
        </w:rPr>
      </w:pPr>
      <w:r w:rsidRPr="00000CF9">
        <w:t>It is significant that m</w:t>
      </w:r>
      <w:r w:rsidRPr="003F01B4">
        <w:t xml:space="preserve">uch of </w:t>
      </w:r>
      <w:r>
        <w:t>Scofield’s</w:t>
      </w:r>
      <w:r w:rsidRPr="003F01B4">
        <w:t xml:space="preserve"> eschatological interpretation depends upon his </w:t>
      </w:r>
      <w:r>
        <w:t xml:space="preserve">synchronisation of apocalyptic events, </w:t>
      </w:r>
      <w:r w:rsidRPr="003F01B4">
        <w:t>particularly within and between the books of Daniel, Zechariah and Revelation</w:t>
      </w:r>
      <w:r>
        <w:t>, and especially regarding the beast of Revelation</w:t>
      </w:r>
      <w:r w:rsidRPr="003F01B4">
        <w:t xml:space="preserve">.  </w:t>
      </w:r>
      <w:r>
        <w:t>The links made probably indicate a foundation in the Bible Readings method.</w:t>
      </w:r>
      <w:r>
        <w:rPr>
          <w:rStyle w:val="EndnoteReference"/>
        </w:rPr>
        <w:endnoteReference w:id="1895"/>
      </w:r>
      <w:r>
        <w:t xml:space="preserve">  The tables below show</w:t>
      </w:r>
      <w:r>
        <w:rPr>
          <w:rStyle w:val="ind"/>
        </w:rPr>
        <w:t xml:space="preserve"> definitive links made by Scofield between Old and New Testament texts.   </w:t>
      </w:r>
    </w:p>
    <w:p w:rsidR="0025344F" w:rsidRDefault="005E1DF3" w:rsidP="005E1DF3">
      <w:pPr>
        <w:spacing w:after="120" w:line="360" w:lineRule="auto"/>
        <w:jc w:val="center"/>
        <w:rPr>
          <w:rStyle w:val="ind"/>
        </w:rPr>
      </w:pPr>
      <w:r>
        <w:rPr>
          <w:noProof/>
          <w:lang w:eastAsia="en-GB"/>
        </w:rPr>
        <w:drawing>
          <wp:inline distT="0" distB="0" distL="0" distR="0">
            <wp:extent cx="5400040" cy="48704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ghth Version Intertestamental Links ed 25.6.18 pp 1 &amp; 2_Page_1 crop.jpg"/>
                    <pic:cNvPicPr/>
                  </pic:nvPicPr>
                  <pic:blipFill>
                    <a:blip r:embed="rId123">
                      <a:extLst>
                        <a:ext uri="{28A0092B-C50C-407E-A947-70E740481C1C}">
                          <a14:useLocalDpi xmlns:a14="http://schemas.microsoft.com/office/drawing/2010/main" val="0"/>
                        </a:ext>
                      </a:extLst>
                    </a:blip>
                    <a:stretch>
                      <a:fillRect/>
                    </a:stretch>
                  </pic:blipFill>
                  <pic:spPr>
                    <a:xfrm>
                      <a:off x="0" y="0"/>
                      <a:ext cx="5400040" cy="4870450"/>
                    </a:xfrm>
                    <a:prstGeom prst="rect">
                      <a:avLst/>
                    </a:prstGeom>
                  </pic:spPr>
                </pic:pic>
              </a:graphicData>
            </a:graphic>
          </wp:inline>
        </w:drawing>
      </w:r>
    </w:p>
    <w:p w:rsidR="006A2E06" w:rsidRPr="009D654D" w:rsidRDefault="004C3EAB" w:rsidP="004C3EAB">
      <w:pPr>
        <w:spacing w:after="120" w:line="360" w:lineRule="auto"/>
        <w:rPr>
          <w:b/>
        </w:rPr>
      </w:pPr>
      <w:r w:rsidRPr="004C3EAB">
        <w:rPr>
          <w:b/>
          <w:i/>
        </w:rPr>
        <w:t>Continued overleaf</w:t>
      </w:r>
    </w:p>
    <w:p w:rsidR="006A2E06" w:rsidRDefault="006A2E06" w:rsidP="006A2E06">
      <w:pPr>
        <w:spacing w:after="120" w:line="360" w:lineRule="auto"/>
        <w:jc w:val="center"/>
        <w:rPr>
          <w:noProof/>
          <w:lang w:eastAsia="en-GB"/>
        </w:rPr>
      </w:pPr>
    </w:p>
    <w:p w:rsidR="005E1DF3" w:rsidRDefault="005E1DF3" w:rsidP="006A2E06">
      <w:pPr>
        <w:spacing w:after="120" w:line="360" w:lineRule="auto"/>
        <w:jc w:val="center"/>
        <w:rPr>
          <w:noProof/>
          <w:lang w:eastAsia="en-GB"/>
        </w:rPr>
      </w:pPr>
    </w:p>
    <w:p w:rsidR="005E1DF3" w:rsidRDefault="005E1DF3" w:rsidP="006A2E06">
      <w:pPr>
        <w:spacing w:after="120" w:line="360" w:lineRule="auto"/>
        <w:jc w:val="center"/>
        <w:rPr>
          <w:noProof/>
          <w:lang w:eastAsia="en-GB"/>
        </w:rPr>
      </w:pPr>
    </w:p>
    <w:p w:rsidR="005E1DF3" w:rsidRDefault="005E1DF3" w:rsidP="006A2E06">
      <w:pPr>
        <w:spacing w:after="120" w:line="360" w:lineRule="auto"/>
        <w:jc w:val="center"/>
        <w:rPr>
          <w:noProof/>
          <w:lang w:eastAsia="en-GB"/>
        </w:rPr>
      </w:pPr>
    </w:p>
    <w:p w:rsidR="005E1DF3" w:rsidRDefault="005E1DF3" w:rsidP="006A2E06">
      <w:pPr>
        <w:spacing w:after="120" w:line="360" w:lineRule="auto"/>
        <w:jc w:val="center"/>
        <w:rPr>
          <w:noProof/>
          <w:lang w:eastAsia="en-GB"/>
        </w:rPr>
      </w:pPr>
    </w:p>
    <w:p w:rsidR="005E1DF3" w:rsidRDefault="005E1DF3" w:rsidP="006A2E06">
      <w:pPr>
        <w:spacing w:after="120" w:line="360" w:lineRule="auto"/>
        <w:jc w:val="center"/>
        <w:rPr>
          <w:rStyle w:val="ind"/>
        </w:rPr>
      </w:pPr>
      <w:r>
        <w:rPr>
          <w:noProof/>
          <w:lang w:eastAsia="en-GB"/>
        </w:rPr>
        <w:lastRenderedPageBreak/>
        <w:drawing>
          <wp:inline distT="0" distB="0" distL="0" distR="0">
            <wp:extent cx="5400040" cy="620649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ghth Version Intertestamental Links ed 25.6.18 pp 1 &amp; 2_Page_2 crop.jpg"/>
                    <pic:cNvPicPr/>
                  </pic:nvPicPr>
                  <pic:blipFill>
                    <a:blip r:embed="rId124">
                      <a:extLst>
                        <a:ext uri="{28A0092B-C50C-407E-A947-70E740481C1C}">
                          <a14:useLocalDpi xmlns:a14="http://schemas.microsoft.com/office/drawing/2010/main" val="0"/>
                        </a:ext>
                      </a:extLst>
                    </a:blip>
                    <a:stretch>
                      <a:fillRect/>
                    </a:stretch>
                  </pic:blipFill>
                  <pic:spPr>
                    <a:xfrm>
                      <a:off x="0" y="0"/>
                      <a:ext cx="5400040" cy="6206490"/>
                    </a:xfrm>
                    <a:prstGeom prst="rect">
                      <a:avLst/>
                    </a:prstGeom>
                  </pic:spPr>
                </pic:pic>
              </a:graphicData>
            </a:graphic>
          </wp:inline>
        </w:drawing>
      </w:r>
    </w:p>
    <w:p w:rsidR="006A2E06" w:rsidRDefault="006A2E06" w:rsidP="006A2E06">
      <w:pPr>
        <w:rPr>
          <w:noProof/>
          <w:lang w:eastAsia="en-GB"/>
        </w:rPr>
      </w:pPr>
      <w:r>
        <w:rPr>
          <w:noProof/>
          <w:lang w:eastAsia="en-GB"/>
        </w:rPr>
        <w:br w:type="page"/>
      </w:r>
    </w:p>
    <w:p w:rsidR="006A2E06" w:rsidRDefault="006A2E06" w:rsidP="006A2E06">
      <w:pPr>
        <w:spacing w:after="120" w:line="360" w:lineRule="auto"/>
        <w:jc w:val="center"/>
        <w:rPr>
          <w:noProof/>
          <w:lang w:eastAsia="en-GB"/>
        </w:rPr>
      </w:pPr>
      <w:r>
        <w:rPr>
          <w:noProof/>
          <w:lang w:eastAsia="en-GB"/>
        </w:rPr>
        <w:lastRenderedPageBreak/>
        <w:drawing>
          <wp:inline distT="0" distB="0" distL="0" distR="0" wp14:anchorId="085C2AC2" wp14:editId="52E10794">
            <wp:extent cx="5400040" cy="46488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testamental Links ed 2.4.18_Page_3 crop.jpg"/>
                    <pic:cNvPicPr/>
                  </pic:nvPicPr>
                  <pic:blipFill>
                    <a:blip r:embed="rId125">
                      <a:extLst>
                        <a:ext uri="{28A0092B-C50C-407E-A947-70E740481C1C}">
                          <a14:useLocalDpi xmlns:a14="http://schemas.microsoft.com/office/drawing/2010/main" val="0"/>
                        </a:ext>
                      </a:extLst>
                    </a:blip>
                    <a:stretch>
                      <a:fillRect/>
                    </a:stretch>
                  </pic:blipFill>
                  <pic:spPr>
                    <a:xfrm>
                      <a:off x="0" y="0"/>
                      <a:ext cx="5400040" cy="4648835"/>
                    </a:xfrm>
                    <a:prstGeom prst="rect">
                      <a:avLst/>
                    </a:prstGeom>
                  </pic:spPr>
                </pic:pic>
              </a:graphicData>
            </a:graphic>
          </wp:inline>
        </w:drawing>
      </w:r>
    </w:p>
    <w:p w:rsidR="006A2E06" w:rsidRDefault="006A2E06" w:rsidP="006A2E06">
      <w:pPr>
        <w:spacing w:after="120" w:line="360" w:lineRule="auto"/>
        <w:jc w:val="center"/>
        <w:rPr>
          <w:noProof/>
          <w:lang w:eastAsia="en-GB"/>
        </w:rPr>
      </w:pPr>
      <w:r>
        <w:rPr>
          <w:noProof/>
          <w:lang w:eastAsia="en-GB"/>
        </w:rPr>
        <w:drawing>
          <wp:inline distT="0" distB="0" distL="0" distR="0" wp14:anchorId="1DEC8DF6" wp14:editId="170EDE00">
            <wp:extent cx="5400040" cy="17741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testamental Links ed 2.4.18_Page_4 crop.jpg"/>
                    <pic:cNvPicPr/>
                  </pic:nvPicPr>
                  <pic:blipFill>
                    <a:blip r:embed="rId126">
                      <a:extLst>
                        <a:ext uri="{28A0092B-C50C-407E-A947-70E740481C1C}">
                          <a14:useLocalDpi xmlns:a14="http://schemas.microsoft.com/office/drawing/2010/main" val="0"/>
                        </a:ext>
                      </a:extLst>
                    </a:blip>
                    <a:stretch>
                      <a:fillRect/>
                    </a:stretch>
                  </pic:blipFill>
                  <pic:spPr>
                    <a:xfrm>
                      <a:off x="0" y="0"/>
                      <a:ext cx="5400040" cy="1774190"/>
                    </a:xfrm>
                    <a:prstGeom prst="rect">
                      <a:avLst/>
                    </a:prstGeom>
                  </pic:spPr>
                </pic:pic>
              </a:graphicData>
            </a:graphic>
          </wp:inline>
        </w:drawing>
      </w:r>
    </w:p>
    <w:p w:rsidR="006A2E06" w:rsidRDefault="006A2E06" w:rsidP="006A2E06">
      <w:pPr>
        <w:spacing w:after="120" w:line="360" w:lineRule="auto"/>
        <w:jc w:val="both"/>
        <w:rPr>
          <w:noProof/>
          <w:lang w:eastAsia="en-GB"/>
        </w:rPr>
      </w:pPr>
      <w:r>
        <w:rPr>
          <w:noProof/>
          <w:lang w:eastAsia="en-GB"/>
        </w:rPr>
        <w:t xml:space="preserve">As shown in the tables above, Scofield makes very strong connections between biblical books written hundreds of years apart.  </w:t>
      </w:r>
      <w:r w:rsidRPr="00E36A8C">
        <w:t>The most blatant example of homogenisation is the occasion when, having imported the ‘Battle of Armageddon’ from Revelation (Rev. 16:16)</w:t>
      </w:r>
      <w:r w:rsidR="00A57137">
        <w:t xml:space="preserve"> as the ‘crushing blow’ of Dan. 7:14</w:t>
      </w:r>
      <w:r w:rsidRPr="00E36A8C">
        <w:t>, Scofield asserts that ‘Dan. 2:34, 35 and Rev. 19:19-21 are the same event’.</w:t>
      </w:r>
      <w:r w:rsidRPr="00E36A8C">
        <w:rPr>
          <w:rStyle w:val="EndnoteReference"/>
        </w:rPr>
        <w:endnoteReference w:id="1896"/>
      </w:r>
      <w:r w:rsidRPr="00E36A8C">
        <w:t xml:space="preserve">  He also describes these passages as ‘identical’.</w:t>
      </w:r>
      <w:r>
        <w:rPr>
          <w:rStyle w:val="EndnoteReference"/>
          <w:noProof/>
          <w:lang w:eastAsia="en-GB"/>
        </w:rPr>
        <w:endnoteReference w:id="1897"/>
      </w:r>
      <w:r>
        <w:rPr>
          <w:color w:val="FF0000"/>
        </w:rPr>
        <w:t xml:space="preserve">  </w:t>
      </w:r>
      <w:r>
        <w:rPr>
          <w:noProof/>
          <w:lang w:eastAsia="en-GB"/>
        </w:rPr>
        <w:t>Blaising warns against ‘the assumption’ that ‘the reemployment</w:t>
      </w:r>
      <w:r>
        <w:rPr>
          <w:rStyle w:val="EndnoteReference"/>
          <w:noProof/>
          <w:lang w:eastAsia="en-GB"/>
        </w:rPr>
        <w:endnoteReference w:id="1898"/>
      </w:r>
      <w:r>
        <w:rPr>
          <w:noProof/>
          <w:lang w:eastAsia="en-GB"/>
        </w:rPr>
        <w:t xml:space="preserve"> of literary descriptions in latter prophecy and apocalyptic … gives one concrete historical scenario in partially codified form’.  He states that it is necessary to allow for ‘the way literary descriptions are taken up into a </w:t>
      </w:r>
      <w:r w:rsidRPr="00420657">
        <w:rPr>
          <w:noProof/>
          <w:spacing w:val="-2"/>
          <w:lang w:eastAsia="en-GB"/>
        </w:rPr>
        <w:lastRenderedPageBreak/>
        <w:t>recurring pattern of prophecy and fulfillment within biblical history itself’.</w:t>
      </w:r>
      <w:r w:rsidRPr="00420657">
        <w:rPr>
          <w:rStyle w:val="EndnoteReference"/>
          <w:noProof/>
          <w:spacing w:val="-2"/>
          <w:lang w:eastAsia="en-GB"/>
        </w:rPr>
        <w:endnoteReference w:id="1899"/>
      </w:r>
      <w:r w:rsidRPr="00420657">
        <w:rPr>
          <w:noProof/>
          <w:spacing w:val="-2"/>
          <w:lang w:eastAsia="en-GB"/>
        </w:rPr>
        <w:t xml:space="preserve">  Other </w:t>
      </w:r>
      <w:r w:rsidRPr="00420657">
        <w:rPr>
          <w:i/>
          <w:noProof/>
          <w:spacing w:val="-2"/>
          <w:lang w:eastAsia="en-GB"/>
        </w:rPr>
        <w:t>SRB</w:t>
      </w:r>
      <w:r w:rsidRPr="00420657">
        <w:rPr>
          <w:noProof/>
          <w:spacing w:val="-2"/>
          <w:lang w:eastAsia="en-GB"/>
        </w:rPr>
        <w:t xml:space="preserve"> notes make close comparisons between verses in Daniel, Zechariah and Revelation and concern end-time events and the day of the LORD.</w:t>
      </w:r>
      <w:r w:rsidRPr="00420657">
        <w:rPr>
          <w:rStyle w:val="EndnoteReference"/>
          <w:noProof/>
          <w:spacing w:val="-2"/>
          <w:lang w:eastAsia="en-GB"/>
        </w:rPr>
        <w:endnoteReference w:id="1900"/>
      </w:r>
      <w:r w:rsidRPr="00420657">
        <w:rPr>
          <w:noProof/>
          <w:spacing w:val="-2"/>
          <w:lang w:eastAsia="en-GB"/>
        </w:rPr>
        <w:t xml:space="preserve">  Several links reflect upon events relating to the Gentile world system and especially leadership by the beast, sometimes accompanied by the false prophet.</w:t>
      </w:r>
      <w:r w:rsidRPr="00420657">
        <w:rPr>
          <w:rStyle w:val="EndnoteReference"/>
          <w:noProof/>
          <w:spacing w:val="-2"/>
          <w:lang w:eastAsia="en-GB"/>
        </w:rPr>
        <w:endnoteReference w:id="1901"/>
      </w:r>
      <w:r w:rsidRPr="00420657">
        <w:rPr>
          <w:noProof/>
          <w:spacing w:val="-2"/>
          <w:lang w:eastAsia="en-GB"/>
        </w:rPr>
        <w:t xml:space="preserve">  Armageddon (ref. Rev. 16:14) appears in Old Testament notes on Isa. 13:1 and Dan. 7:14;</w:t>
      </w:r>
      <w:r w:rsidRPr="00420657">
        <w:rPr>
          <w:rStyle w:val="EndnoteReference"/>
          <w:noProof/>
          <w:spacing w:val="-2"/>
          <w:lang w:eastAsia="en-GB"/>
        </w:rPr>
        <w:endnoteReference w:id="1902"/>
      </w:r>
      <w:r w:rsidRPr="00420657">
        <w:rPr>
          <w:noProof/>
          <w:spacing w:val="-2"/>
          <w:lang w:eastAsia="en-GB"/>
        </w:rPr>
        <w:t xml:space="preserve"> in the latter note it is ‘the crushing blow’ of Dan. 2:34-5</w:t>
      </w:r>
      <w:r w:rsidRPr="00420657">
        <w:rPr>
          <w:rStyle w:val="EndnoteReference"/>
          <w:noProof/>
          <w:spacing w:val="-2"/>
          <w:lang w:eastAsia="en-GB"/>
        </w:rPr>
        <w:endnoteReference w:id="1903"/>
      </w:r>
      <w:r w:rsidRPr="00420657">
        <w:rPr>
          <w:noProof/>
          <w:spacing w:val="-2"/>
          <w:lang w:eastAsia="en-GB"/>
        </w:rPr>
        <w:t xml:space="preserve"> but, according to the note on Rev. 19:17, it is ‘the fulfilment of the smiting-stone prophecy’.</w:t>
      </w:r>
      <w:r w:rsidRPr="00420657">
        <w:rPr>
          <w:rStyle w:val="EndnoteReference"/>
          <w:noProof/>
          <w:spacing w:val="-2"/>
          <w:lang w:eastAsia="en-GB"/>
        </w:rPr>
        <w:endnoteReference w:id="1904"/>
      </w:r>
      <w:r w:rsidRPr="00420657">
        <w:rPr>
          <w:noProof/>
          <w:spacing w:val="-2"/>
          <w:lang w:eastAsia="en-GB"/>
        </w:rPr>
        <w:t xml:space="preserve">  There are references to the kingdom or kingdom-age in notes on Daniel and Zechariah, making links to Revelation.</w:t>
      </w:r>
      <w:r w:rsidRPr="00420657">
        <w:rPr>
          <w:rStyle w:val="EndnoteReference"/>
          <w:noProof/>
          <w:spacing w:val="-2"/>
          <w:lang w:eastAsia="en-GB"/>
        </w:rPr>
        <w:endnoteReference w:id="1905"/>
      </w:r>
      <w:r w:rsidRPr="00420657">
        <w:rPr>
          <w:noProof/>
          <w:spacing w:val="-2"/>
          <w:lang w:eastAsia="en-GB"/>
        </w:rPr>
        <w:t xml:space="preserve">  The revival of the Roman empire is prominent in notes on Revelation 13 as the fulfilment of prophecies in Daniel 7.</w:t>
      </w:r>
      <w:r w:rsidRPr="00420657">
        <w:rPr>
          <w:rStyle w:val="EndnoteReference"/>
          <w:noProof/>
          <w:spacing w:val="-2"/>
          <w:lang w:eastAsia="en-GB"/>
        </w:rPr>
        <w:endnoteReference w:id="1906"/>
      </w:r>
      <w:r w:rsidRPr="00420657">
        <w:rPr>
          <w:noProof/>
          <w:spacing w:val="-2"/>
          <w:lang w:eastAsia="en-GB"/>
        </w:rPr>
        <w:t xml:space="preserve">  Two notes make comparisons between Old Testament verses and the apostate church and ‘present religious Gentile world-system of the last days’ … morally described in Rom. 1:21-3’.</w:t>
      </w:r>
      <w:r w:rsidRPr="00420657">
        <w:rPr>
          <w:rStyle w:val="EndnoteReference"/>
          <w:noProof/>
          <w:spacing w:val="-2"/>
          <w:lang w:eastAsia="en-GB"/>
        </w:rPr>
        <w:endnoteReference w:id="1907"/>
      </w:r>
      <w:r>
        <w:rPr>
          <w:noProof/>
          <w:lang w:eastAsia="en-GB"/>
        </w:rPr>
        <w:t xml:space="preserve">  </w:t>
      </w:r>
    </w:p>
    <w:p w:rsidR="006A2E06" w:rsidRPr="006E077B" w:rsidRDefault="006A2E06" w:rsidP="006A2E06">
      <w:pPr>
        <w:spacing w:after="120" w:line="360" w:lineRule="auto"/>
        <w:jc w:val="both"/>
        <w:rPr>
          <w:b/>
          <w:i/>
          <w:noProof/>
          <w:lang w:eastAsia="en-GB"/>
        </w:rPr>
      </w:pPr>
      <w:r>
        <w:rPr>
          <w:b/>
          <w:i/>
          <w:noProof/>
          <w:lang w:eastAsia="en-GB"/>
        </w:rPr>
        <w:t>Scofield’s</w:t>
      </w:r>
      <w:r w:rsidRPr="006E077B">
        <w:rPr>
          <w:b/>
          <w:i/>
          <w:noProof/>
          <w:lang w:eastAsia="en-GB"/>
        </w:rPr>
        <w:t xml:space="preserve"> Intertestamental </w:t>
      </w:r>
      <w:r>
        <w:rPr>
          <w:b/>
          <w:i/>
          <w:noProof/>
          <w:lang w:eastAsia="en-GB"/>
        </w:rPr>
        <w:t>Equation</w:t>
      </w:r>
      <w:r w:rsidRPr="006E077B">
        <w:rPr>
          <w:b/>
          <w:i/>
          <w:noProof/>
          <w:lang w:eastAsia="en-GB"/>
        </w:rPr>
        <w:t xml:space="preserve"> of </w:t>
      </w:r>
      <w:r>
        <w:rPr>
          <w:b/>
          <w:i/>
          <w:noProof/>
          <w:lang w:eastAsia="en-GB"/>
        </w:rPr>
        <w:t xml:space="preserve">Eschatological </w:t>
      </w:r>
      <w:r w:rsidRPr="006E077B">
        <w:rPr>
          <w:b/>
          <w:i/>
          <w:noProof/>
          <w:lang w:eastAsia="en-GB"/>
        </w:rPr>
        <w:t>Characters</w:t>
      </w:r>
    </w:p>
    <w:p w:rsidR="006A2E06" w:rsidRDefault="006A2E06" w:rsidP="006A2E06">
      <w:pPr>
        <w:spacing w:after="120" w:line="360" w:lineRule="auto"/>
        <w:jc w:val="both"/>
        <w:rPr>
          <w:noProof/>
          <w:lang w:eastAsia="en-GB"/>
        </w:rPr>
      </w:pPr>
      <w:r>
        <w:rPr>
          <w:noProof/>
          <w:lang w:eastAsia="en-GB"/>
        </w:rPr>
        <w:t>Scofield also asserts the equivalence of some Old and New Testament characters, especially the little horn of Daniel 7 and the beast of Revelation, but also involving other figures, as shown in the table below.</w:t>
      </w:r>
    </w:p>
    <w:p w:rsidR="006A2E06" w:rsidRDefault="006A2E06" w:rsidP="006A2E06">
      <w:pPr>
        <w:spacing w:after="120" w:line="360" w:lineRule="auto"/>
        <w:jc w:val="both"/>
        <w:rPr>
          <w:noProof/>
          <w:lang w:eastAsia="en-GB"/>
        </w:rPr>
      </w:pPr>
      <w:r>
        <w:rPr>
          <w:noProof/>
          <w:lang w:eastAsia="en-GB"/>
        </w:rPr>
        <w:drawing>
          <wp:inline distT="0" distB="0" distL="0" distR="0" wp14:anchorId="3067725A" wp14:editId="0B9AC40F">
            <wp:extent cx="5400040" cy="55041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hat personages table 8.1.18 ed 21.3.18_Page_1 crop.jpg"/>
                    <pic:cNvPicPr/>
                  </pic:nvPicPr>
                  <pic:blipFill>
                    <a:blip r:embed="rId127">
                      <a:extLst>
                        <a:ext uri="{28A0092B-C50C-407E-A947-70E740481C1C}">
                          <a14:useLocalDpi xmlns:a14="http://schemas.microsoft.com/office/drawing/2010/main" val="0"/>
                        </a:ext>
                      </a:extLst>
                    </a:blip>
                    <a:stretch>
                      <a:fillRect/>
                    </a:stretch>
                  </pic:blipFill>
                  <pic:spPr>
                    <a:xfrm>
                      <a:off x="0" y="0"/>
                      <a:ext cx="5400040" cy="5504180"/>
                    </a:xfrm>
                    <a:prstGeom prst="rect">
                      <a:avLst/>
                    </a:prstGeom>
                  </pic:spPr>
                </pic:pic>
              </a:graphicData>
            </a:graphic>
          </wp:inline>
        </w:drawing>
      </w:r>
    </w:p>
    <w:p w:rsidR="006A2E06" w:rsidRDefault="006A2E06" w:rsidP="006A2E06">
      <w:pPr>
        <w:spacing w:after="120" w:line="360" w:lineRule="auto"/>
        <w:jc w:val="both"/>
        <w:rPr>
          <w:noProof/>
          <w:lang w:eastAsia="en-GB"/>
        </w:rPr>
      </w:pPr>
      <w:r>
        <w:rPr>
          <w:noProof/>
          <w:lang w:eastAsia="en-GB"/>
        </w:rPr>
        <w:lastRenderedPageBreak/>
        <w:drawing>
          <wp:inline distT="0" distB="0" distL="0" distR="0" wp14:anchorId="4B60335D" wp14:editId="449F4E4D">
            <wp:extent cx="5400040" cy="5387340"/>
            <wp:effectExtent l="0" t="0" r="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hat personages table 8.1.18 ed 21.3.18_Page_2 crop.jpg"/>
                    <pic:cNvPicPr/>
                  </pic:nvPicPr>
                  <pic:blipFill>
                    <a:blip r:embed="rId128">
                      <a:extLst>
                        <a:ext uri="{28A0092B-C50C-407E-A947-70E740481C1C}">
                          <a14:useLocalDpi xmlns:a14="http://schemas.microsoft.com/office/drawing/2010/main" val="0"/>
                        </a:ext>
                      </a:extLst>
                    </a:blip>
                    <a:stretch>
                      <a:fillRect/>
                    </a:stretch>
                  </pic:blipFill>
                  <pic:spPr>
                    <a:xfrm>
                      <a:off x="0" y="0"/>
                      <a:ext cx="5400040" cy="5387340"/>
                    </a:xfrm>
                    <a:prstGeom prst="rect">
                      <a:avLst/>
                    </a:prstGeom>
                  </pic:spPr>
                </pic:pic>
              </a:graphicData>
            </a:graphic>
          </wp:inline>
        </w:drawing>
      </w:r>
    </w:p>
    <w:p w:rsidR="006A2E06" w:rsidRDefault="006A2E06" w:rsidP="006A2E06">
      <w:pPr>
        <w:spacing w:after="120" w:line="360" w:lineRule="auto"/>
        <w:jc w:val="both"/>
        <w:rPr>
          <w:rStyle w:val="ind"/>
        </w:rPr>
      </w:pPr>
      <w:r>
        <w:rPr>
          <w:color w:val="000000"/>
        </w:rPr>
        <w:t>Scofield</w:t>
      </w:r>
      <w:r w:rsidRPr="009D654D">
        <w:rPr>
          <w:color w:val="000000"/>
        </w:rPr>
        <w:t xml:space="preserve"> seems to relish lists of titles and equations between personalities</w:t>
      </w:r>
      <w:r>
        <w:rPr>
          <w:color w:val="000000"/>
        </w:rPr>
        <w:t>, possibly reflecting once again his use of the Bible Readings method.</w:t>
      </w:r>
      <w:r>
        <w:rPr>
          <w:rStyle w:val="EndnoteReference"/>
          <w:color w:val="000000"/>
        </w:rPr>
        <w:endnoteReference w:id="1908"/>
      </w:r>
      <w:r w:rsidRPr="009D654D">
        <w:rPr>
          <w:color w:val="000000"/>
        </w:rPr>
        <w:t xml:space="preserve"> </w:t>
      </w:r>
      <w:r>
        <w:rPr>
          <w:color w:val="000000"/>
        </w:rPr>
        <w:t xml:space="preserve"> The most important identification is the assimilation of the little horn of Daniel 7 and the beast of revelation, both directly and indirectly.  In Scofield’s note on Dan. 7:8, </w:t>
      </w:r>
      <w:r w:rsidRPr="009D654D">
        <w:t>the little horn is definitively associated with the king of fierce countenance</w:t>
      </w:r>
      <w:r w:rsidRPr="009D654D">
        <w:rPr>
          <w:rStyle w:val="EndnoteReference"/>
        </w:rPr>
        <w:endnoteReference w:id="1909"/>
      </w:r>
      <w:r w:rsidRPr="009D654D">
        <w:t xml:space="preserve"> and also connected with the historical, but non-biblical, figure of Antiochus Epiphanes</w:t>
      </w:r>
      <w:r>
        <w:t>;</w:t>
      </w:r>
      <w:r w:rsidRPr="009D654D">
        <w:rPr>
          <w:rStyle w:val="EndnoteReference"/>
        </w:rPr>
        <w:endnoteReference w:id="1910"/>
      </w:r>
      <w:r>
        <w:t xml:space="preserve"> </w:t>
      </w:r>
      <w:r w:rsidRPr="009D654D">
        <w:t>the king of fierce countenance is related to ‘the prince that shall come’,</w:t>
      </w:r>
      <w:r w:rsidRPr="009D654D">
        <w:rPr>
          <w:rStyle w:val="EndnoteReference"/>
        </w:rPr>
        <w:endnoteReference w:id="1911"/>
      </w:r>
      <w:r w:rsidRPr="009D654D">
        <w:t xml:space="preserve"> the ‘king’,</w:t>
      </w:r>
      <w:r w:rsidRPr="009D654D">
        <w:rPr>
          <w:rStyle w:val="EndnoteReference"/>
        </w:rPr>
        <w:endnoteReference w:id="1912"/>
      </w:r>
      <w:r w:rsidRPr="009D654D">
        <w:t xml:space="preserve"> </w:t>
      </w:r>
      <w:r>
        <w:t>‘</w:t>
      </w:r>
      <w:r w:rsidRPr="009D654D">
        <w:t>the “abominations”</w:t>
      </w:r>
      <w:r>
        <w:t>’</w:t>
      </w:r>
      <w:r w:rsidRPr="009D654D">
        <w:t>,</w:t>
      </w:r>
      <w:r w:rsidRPr="009D654D">
        <w:rPr>
          <w:rStyle w:val="EndnoteReference"/>
        </w:rPr>
        <w:endnoteReference w:id="1913"/>
      </w:r>
      <w:r w:rsidRPr="009D654D">
        <w:t xml:space="preserve"> </w:t>
      </w:r>
      <w:r>
        <w:t>‘</w:t>
      </w:r>
      <w:r w:rsidRPr="009D654D">
        <w:t>the “man of sin”</w:t>
      </w:r>
      <w:r>
        <w:t>’</w:t>
      </w:r>
      <w:r w:rsidRPr="009D654D">
        <w:t>,</w:t>
      </w:r>
      <w:r w:rsidRPr="009D654D">
        <w:rPr>
          <w:rStyle w:val="EndnoteReference"/>
        </w:rPr>
        <w:endnoteReference w:id="1914"/>
      </w:r>
      <w:r w:rsidRPr="009D654D">
        <w:t xml:space="preserve"> and </w:t>
      </w:r>
      <w:r>
        <w:t>‘</w:t>
      </w:r>
      <w:r w:rsidRPr="009D654D">
        <w:t>the “Beast”</w:t>
      </w:r>
      <w:r>
        <w:t>’</w:t>
      </w:r>
      <w:r w:rsidRPr="009D654D">
        <w:t>.</w:t>
      </w:r>
      <w:r w:rsidRPr="009D654D">
        <w:rPr>
          <w:rStyle w:val="EndnoteReference"/>
        </w:rPr>
        <w:endnoteReference w:id="1915"/>
      </w:r>
      <w:r w:rsidRPr="009D654D">
        <w:t xml:space="preserve">  Thus, through this sequence of titles in a single note, the little horn is equated with all these figures, as is the </w:t>
      </w:r>
      <w:r>
        <w:t>b</w:t>
      </w:r>
      <w:r w:rsidRPr="009D654D">
        <w:t xml:space="preserve">east.  </w:t>
      </w:r>
      <w:r>
        <w:t>The beast is also associated directly with the man of sin,</w:t>
      </w:r>
      <w:r>
        <w:rPr>
          <w:rStyle w:val="EndnoteReference"/>
        </w:rPr>
        <w:endnoteReference w:id="1916"/>
      </w:r>
      <w:r>
        <w:t xml:space="preserve"> the idol shepherd</w:t>
      </w:r>
      <w:r>
        <w:rPr>
          <w:rStyle w:val="EndnoteReference"/>
        </w:rPr>
        <w:endnoteReference w:id="1917"/>
      </w:r>
      <w:r>
        <w:t xml:space="preserve"> and foolish shepherd,</w:t>
      </w:r>
      <w:r>
        <w:rPr>
          <w:rStyle w:val="EndnoteReference"/>
        </w:rPr>
        <w:endnoteReference w:id="1918"/>
      </w:r>
      <w:r>
        <w:t xml:space="preserve"> the abomination</w:t>
      </w:r>
      <w:r>
        <w:rPr>
          <w:rStyle w:val="EndnoteReference"/>
        </w:rPr>
        <w:endnoteReference w:id="1919"/>
      </w:r>
      <w:r>
        <w:t xml:space="preserve"> (of desolation),</w:t>
      </w:r>
      <w:r>
        <w:rPr>
          <w:rStyle w:val="EndnoteReference"/>
        </w:rPr>
        <w:endnoteReference w:id="1920"/>
      </w:r>
      <w:r>
        <w:t xml:space="preserve"> ‘the future emperor’ of the restored Roman </w:t>
      </w:r>
      <w:proofErr w:type="gramStart"/>
      <w:r>
        <w:t>empire</w:t>
      </w:r>
      <w:proofErr w:type="gramEnd"/>
      <w:r>
        <w:rPr>
          <w:rStyle w:val="EndnoteReference"/>
        </w:rPr>
        <w:endnoteReference w:id="1921"/>
      </w:r>
      <w:r>
        <w:t xml:space="preserve"> and ‘last civil head’,</w:t>
      </w:r>
      <w:r>
        <w:rPr>
          <w:rStyle w:val="EndnoteReference"/>
        </w:rPr>
        <w:endnoteReference w:id="1922"/>
      </w:r>
      <w:r>
        <w:t xml:space="preserve"> the little horn, the desolator</w:t>
      </w:r>
      <w:r>
        <w:rPr>
          <w:rStyle w:val="EndnoteReference"/>
        </w:rPr>
        <w:endnoteReference w:id="1923"/>
      </w:r>
      <w:r>
        <w:t xml:space="preserve"> and, possibly, the rider on the white horse of Rev. 6:2.</w:t>
      </w:r>
      <w:r>
        <w:rPr>
          <w:rStyle w:val="EndnoteReference"/>
        </w:rPr>
        <w:endnoteReference w:id="1924"/>
      </w:r>
      <w:r>
        <w:t xml:space="preserve">  Through the equation made between the little horn and the beast from the sea in the note on Dan. 11:35, the Beast is identified by Scofield as the beast from the sea.</w:t>
      </w:r>
      <w:r>
        <w:rPr>
          <w:rStyle w:val="EndnoteReference"/>
        </w:rPr>
        <w:endnoteReference w:id="1925"/>
      </w:r>
      <w:r>
        <w:t xml:space="preserve">  </w:t>
      </w:r>
      <w:r>
        <w:rPr>
          <w:rStyle w:val="ind"/>
        </w:rPr>
        <w:t xml:space="preserve">Unlike Blackstone and </w:t>
      </w:r>
      <w:r>
        <w:rPr>
          <w:rStyle w:val="ind"/>
        </w:rPr>
        <w:lastRenderedPageBreak/>
        <w:t>Weber, Scofield identifies Antichrist with the beast from the earth and false prophet,</w:t>
      </w:r>
      <w:r>
        <w:rPr>
          <w:rStyle w:val="EndnoteReference"/>
        </w:rPr>
        <w:endnoteReference w:id="1926"/>
      </w:r>
      <w:r>
        <w:rPr>
          <w:rStyle w:val="ind"/>
        </w:rPr>
        <w:t xml:space="preserve"> rather than with the beast from the sea.  </w:t>
      </w:r>
    </w:p>
    <w:p w:rsidR="006A2E06" w:rsidRPr="008934F4" w:rsidRDefault="006A2E06" w:rsidP="006A2E06">
      <w:pPr>
        <w:spacing w:after="120" w:line="360" w:lineRule="auto"/>
        <w:jc w:val="both"/>
        <w:rPr>
          <w:rStyle w:val="ind"/>
          <w:b/>
          <w:i/>
        </w:rPr>
      </w:pPr>
      <w:r w:rsidRPr="008934F4">
        <w:rPr>
          <w:rStyle w:val="ind"/>
          <w:b/>
          <w:i/>
        </w:rPr>
        <w:t>Scofield’s Intertestamental Equation of Eschatological Events</w:t>
      </w:r>
    </w:p>
    <w:p w:rsidR="006A2E06" w:rsidRDefault="006A2E06" w:rsidP="006A2E06">
      <w:pPr>
        <w:spacing w:after="120" w:line="360" w:lineRule="auto"/>
        <w:jc w:val="both"/>
        <w:rPr>
          <w:rStyle w:val="ind"/>
        </w:rPr>
      </w:pPr>
      <w:r>
        <w:rPr>
          <w:rStyle w:val="ind"/>
        </w:rPr>
        <w:t>Further annotation from both Testaments describes other end-time personalities and institutions, and various events which are to occur during the tribulation period as shown in the table below.</w:t>
      </w:r>
      <w:r>
        <w:rPr>
          <w:noProof/>
          <w:lang w:eastAsia="en-GB"/>
        </w:rPr>
        <w:drawing>
          <wp:inline distT="0" distB="0" distL="0" distR="0" wp14:anchorId="2E8BBFCF" wp14:editId="424A27E3">
            <wp:extent cx="5400040" cy="7465060"/>
            <wp:effectExtent l="0" t="0" r="0" b="254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hat events (&amp; personages) 9.1.18 ed 21.3.28 PAGE 1 CROP.jpg"/>
                    <pic:cNvPicPr/>
                  </pic:nvPicPr>
                  <pic:blipFill>
                    <a:blip r:embed="rId129">
                      <a:extLst>
                        <a:ext uri="{28A0092B-C50C-407E-A947-70E740481C1C}">
                          <a14:useLocalDpi xmlns:a14="http://schemas.microsoft.com/office/drawing/2010/main" val="0"/>
                        </a:ext>
                      </a:extLst>
                    </a:blip>
                    <a:stretch>
                      <a:fillRect/>
                    </a:stretch>
                  </pic:blipFill>
                  <pic:spPr>
                    <a:xfrm>
                      <a:off x="0" y="0"/>
                      <a:ext cx="5400040" cy="7465060"/>
                    </a:xfrm>
                    <a:prstGeom prst="rect">
                      <a:avLst/>
                    </a:prstGeom>
                  </pic:spPr>
                </pic:pic>
              </a:graphicData>
            </a:graphic>
          </wp:inline>
        </w:drawing>
      </w:r>
    </w:p>
    <w:p w:rsidR="006A2E06" w:rsidRDefault="006A2E06" w:rsidP="006A2E06">
      <w:pPr>
        <w:spacing w:after="120" w:line="360" w:lineRule="auto"/>
        <w:jc w:val="both"/>
        <w:rPr>
          <w:rStyle w:val="ind"/>
        </w:rPr>
      </w:pPr>
      <w:r>
        <w:rPr>
          <w:noProof/>
          <w:lang w:eastAsia="en-GB"/>
        </w:rPr>
        <w:lastRenderedPageBreak/>
        <w:drawing>
          <wp:inline distT="0" distB="0" distL="0" distR="0" wp14:anchorId="31E91871" wp14:editId="565B6CE2">
            <wp:extent cx="5400040" cy="810006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hat events (&amp; personages) 9.1.18 ed 21.3.18_Page_2 crop.jpg"/>
                    <pic:cNvPicPr/>
                  </pic:nvPicPr>
                  <pic:blipFill>
                    <a:blip r:embed="rId130">
                      <a:extLst>
                        <a:ext uri="{28A0092B-C50C-407E-A947-70E740481C1C}">
                          <a14:useLocalDpi xmlns:a14="http://schemas.microsoft.com/office/drawing/2010/main" val="0"/>
                        </a:ext>
                      </a:extLst>
                    </a:blip>
                    <a:stretch>
                      <a:fillRect/>
                    </a:stretch>
                  </pic:blipFill>
                  <pic:spPr>
                    <a:xfrm>
                      <a:off x="0" y="0"/>
                      <a:ext cx="5400040" cy="8100060"/>
                    </a:xfrm>
                    <a:prstGeom prst="rect">
                      <a:avLst/>
                    </a:prstGeom>
                  </pic:spPr>
                </pic:pic>
              </a:graphicData>
            </a:graphic>
          </wp:inline>
        </w:drawing>
      </w:r>
    </w:p>
    <w:p w:rsidR="006A2E06" w:rsidRDefault="006A2E06" w:rsidP="006A2E06">
      <w:pPr>
        <w:spacing w:after="120" w:line="360" w:lineRule="auto"/>
        <w:jc w:val="both"/>
        <w:rPr>
          <w:rFonts w:eastAsia="Perpetua" w:cs="Perpetua"/>
          <w:b/>
          <w:i/>
        </w:rPr>
      </w:pPr>
    </w:p>
    <w:p w:rsidR="006A2E06" w:rsidRDefault="006A2E06" w:rsidP="006A2E06">
      <w:pPr>
        <w:spacing w:after="120" w:line="360" w:lineRule="auto"/>
        <w:jc w:val="both"/>
        <w:rPr>
          <w:rFonts w:eastAsia="Perpetua" w:cs="Perpetua"/>
          <w:b/>
          <w:i/>
        </w:rPr>
      </w:pPr>
    </w:p>
    <w:p w:rsidR="006A2E06" w:rsidRPr="0044727D" w:rsidRDefault="006A2E06" w:rsidP="006A2E06">
      <w:pPr>
        <w:spacing w:after="120" w:line="360" w:lineRule="auto"/>
        <w:jc w:val="both"/>
        <w:rPr>
          <w:rFonts w:eastAsia="Perpetua" w:cs="Perpetua"/>
          <w:b/>
          <w:i/>
        </w:rPr>
      </w:pPr>
      <w:r w:rsidRPr="0044727D">
        <w:rPr>
          <w:rFonts w:eastAsia="Perpetua" w:cs="Perpetua"/>
          <w:b/>
          <w:i/>
        </w:rPr>
        <w:t xml:space="preserve">The Importance of the Beast in Scofield’s </w:t>
      </w:r>
      <w:r>
        <w:rPr>
          <w:rFonts w:eastAsia="Perpetua" w:cs="Perpetua"/>
          <w:b/>
          <w:i/>
        </w:rPr>
        <w:t>Interpretation</w:t>
      </w:r>
      <w:r w:rsidRPr="0044727D">
        <w:rPr>
          <w:rFonts w:eastAsia="Perpetua" w:cs="Perpetua"/>
          <w:b/>
          <w:i/>
        </w:rPr>
        <w:t xml:space="preserve"> of the Tribulation</w:t>
      </w:r>
    </w:p>
    <w:p w:rsidR="006A2E06" w:rsidRDefault="006A2E06" w:rsidP="006A2E06">
      <w:pPr>
        <w:spacing w:after="120" w:line="360" w:lineRule="auto"/>
        <w:jc w:val="both"/>
        <w:rPr>
          <w:color w:val="000000"/>
        </w:rPr>
      </w:pPr>
      <w:r w:rsidRPr="004646F2">
        <w:t xml:space="preserve">Scofield states in his </w:t>
      </w:r>
      <w:r w:rsidR="00710C9C">
        <w:t>‘</w:t>
      </w:r>
      <w:r w:rsidRPr="004646F2">
        <w:t>Introduction to the Prophetical Books</w:t>
      </w:r>
      <w:r w:rsidR="00710C9C">
        <w:t>’</w:t>
      </w:r>
      <w:r w:rsidRPr="004646F2">
        <w:t xml:space="preserve"> that the study of the </w:t>
      </w:r>
      <w:r w:rsidR="00CA6112">
        <w:t>b</w:t>
      </w:r>
      <w:r w:rsidRPr="004646F2">
        <w:t>east</w:t>
      </w:r>
      <w:r w:rsidRPr="004646F2">
        <w:rPr>
          <w:rStyle w:val="EndnoteReference"/>
        </w:rPr>
        <w:endnoteReference w:id="1927"/>
      </w:r>
      <w:r w:rsidRPr="004646F2">
        <w:t xml:space="preserve"> and Armageddon</w:t>
      </w:r>
      <w:r w:rsidRPr="004646F2">
        <w:rPr>
          <w:rStyle w:val="EndnoteReference"/>
        </w:rPr>
        <w:endnoteReference w:id="1928"/>
      </w:r>
      <w:r w:rsidRPr="004646F2">
        <w:t xml:space="preserve"> aids understanding of the end-times.</w:t>
      </w:r>
      <w:r w:rsidRPr="004646F2">
        <w:rPr>
          <w:rStyle w:val="EndnoteReference"/>
        </w:rPr>
        <w:endnoteReference w:id="1929"/>
      </w:r>
      <w:r w:rsidRPr="004646F2">
        <w:t xml:space="preserve">  </w:t>
      </w:r>
      <w:r w:rsidRPr="00022AFA">
        <w:rPr>
          <w:rFonts w:eastAsia="Perpetua" w:cs="Perpetua"/>
        </w:rPr>
        <w:t xml:space="preserve">An analysis of the annotation in the table above illustrates several aspects of the role of the beast and his activities during the tribulation period.  </w:t>
      </w:r>
      <w:r>
        <w:rPr>
          <w:color w:val="000000"/>
        </w:rPr>
        <w:t>These include</w:t>
      </w:r>
      <w:r w:rsidRPr="009D654D">
        <w:rPr>
          <w:color w:val="000000"/>
        </w:rPr>
        <w:t xml:space="preserve"> assertions about the arising of the </w:t>
      </w:r>
      <w:r>
        <w:rPr>
          <w:color w:val="000000"/>
        </w:rPr>
        <w:t>b</w:t>
      </w:r>
      <w:r w:rsidRPr="009D654D">
        <w:rPr>
          <w:color w:val="000000"/>
        </w:rPr>
        <w:t>east</w:t>
      </w:r>
      <w:r>
        <w:rPr>
          <w:color w:val="000000"/>
        </w:rPr>
        <w:t xml:space="preserve"> during the tribulation</w:t>
      </w:r>
      <w:r w:rsidRPr="009D654D">
        <w:rPr>
          <w:color w:val="000000"/>
        </w:rPr>
        <w:t>; his role and activities, especially the blasphemous introduction of the abomination into the temple, and the invasion of Palestine; and his destruction and ultimate fate</w:t>
      </w:r>
      <w:r>
        <w:rPr>
          <w:color w:val="000000"/>
        </w:rPr>
        <w:t xml:space="preserve">. </w:t>
      </w:r>
      <w:r w:rsidRPr="009D654D">
        <w:rPr>
          <w:color w:val="000000"/>
        </w:rPr>
        <w:t xml:space="preserve"> </w:t>
      </w:r>
    </w:p>
    <w:p w:rsidR="006A2E06" w:rsidRPr="004646F2" w:rsidRDefault="006A2E06" w:rsidP="006A2E06">
      <w:pPr>
        <w:spacing w:after="120" w:line="360" w:lineRule="auto"/>
        <w:ind w:firstLine="567"/>
        <w:jc w:val="both"/>
        <w:rPr>
          <w:rFonts w:eastAsia="Perpetua" w:cs="Perpetua"/>
          <w:i/>
        </w:rPr>
      </w:pPr>
      <w:r>
        <w:rPr>
          <w:color w:val="000000"/>
        </w:rPr>
        <w:t xml:space="preserve">Many of the references to the beast occur in Old Testament commentary.  Even </w:t>
      </w:r>
      <w:r w:rsidRPr="009D654D">
        <w:rPr>
          <w:color w:val="000000"/>
        </w:rPr>
        <w:t xml:space="preserve">Psalm 68 is said to refer to the </w:t>
      </w:r>
      <w:r>
        <w:rPr>
          <w:color w:val="000000"/>
        </w:rPr>
        <w:t>b</w:t>
      </w:r>
      <w:r w:rsidRPr="009D654D">
        <w:rPr>
          <w:color w:val="000000"/>
        </w:rPr>
        <w:t>east</w:t>
      </w:r>
      <w:r>
        <w:rPr>
          <w:color w:val="000000"/>
        </w:rPr>
        <w:t xml:space="preserve">; </w:t>
      </w:r>
      <w:r>
        <w:t>a</w:t>
      </w:r>
      <w:r w:rsidRPr="00CD7F5C">
        <w:t>ccording to</w:t>
      </w:r>
      <w:r>
        <w:t xml:space="preserve"> </w:t>
      </w:r>
      <w:r w:rsidRPr="00CD7F5C">
        <w:rPr>
          <w:i/>
        </w:rPr>
        <w:t>SRB</w:t>
      </w:r>
      <w:r w:rsidRPr="00CD7F5C">
        <w:t>, Ps. 68:21-3 refer to ‘the destruction of the Beast and his armies’.</w:t>
      </w:r>
      <w:r w:rsidRPr="009D654D">
        <w:rPr>
          <w:rStyle w:val="EndnoteReference"/>
          <w:color w:val="000000"/>
        </w:rPr>
        <w:endnoteReference w:id="1930"/>
      </w:r>
      <w:r>
        <w:rPr>
          <w:color w:val="000000"/>
        </w:rPr>
        <w:t xml:space="preserve"> </w:t>
      </w:r>
      <w:r>
        <w:t xml:space="preserve"> </w:t>
      </w:r>
      <w:r w:rsidRPr="00676FBB">
        <w:rPr>
          <w:i/>
        </w:rPr>
        <w:t>SRB</w:t>
      </w:r>
      <w:r>
        <w:t xml:space="preserve"> also refers</w:t>
      </w:r>
      <w:r w:rsidRPr="009D654D">
        <w:t xml:space="preserve"> to the </w:t>
      </w:r>
      <w:r>
        <w:t>b</w:t>
      </w:r>
      <w:r w:rsidRPr="009D654D">
        <w:t xml:space="preserve">east as Satan’s tool in </w:t>
      </w:r>
      <w:r>
        <w:t>its</w:t>
      </w:r>
      <w:r w:rsidRPr="009D654D">
        <w:t xml:space="preserve"> subhead to Isa. 14:12</w:t>
      </w:r>
      <w:r w:rsidRPr="009D654D">
        <w:rPr>
          <w:rStyle w:val="EndnoteReference"/>
        </w:rPr>
        <w:endnoteReference w:id="1931"/>
      </w:r>
      <w:r w:rsidRPr="009D654D">
        <w:t xml:space="preserve">  In </w:t>
      </w:r>
      <w:r w:rsidRPr="009D654D">
        <w:rPr>
          <w:i/>
        </w:rPr>
        <w:t>SRB</w:t>
      </w:r>
      <w:r w:rsidRPr="009D654D">
        <w:t xml:space="preserve">, the phrase, ‘Gentile hosts headed up in the Beast’ </w:t>
      </w:r>
      <w:r>
        <w:t xml:space="preserve">is </w:t>
      </w:r>
      <w:r w:rsidRPr="009D654D">
        <w:t xml:space="preserve">almost </w:t>
      </w:r>
      <w:r>
        <w:t>like</w:t>
      </w:r>
      <w:r w:rsidRPr="009D654D">
        <w:t xml:space="preserve"> a refrain.</w:t>
      </w:r>
      <w:r>
        <w:rPr>
          <w:rStyle w:val="EndnoteReference"/>
        </w:rPr>
        <w:endnoteReference w:id="1932"/>
      </w:r>
      <w:r>
        <w:t xml:space="preserve">  This reflects the way in which the whole Bible is regarded as a unity since events in the future tribulation are held to be found even in some of the oldest books</w:t>
      </w:r>
      <w:r w:rsidRPr="004646F2">
        <w:t xml:space="preserve">.  </w:t>
      </w:r>
    </w:p>
    <w:p w:rsidR="006A2E06" w:rsidRPr="00DE4E94" w:rsidRDefault="006A2E06" w:rsidP="006A2E06">
      <w:pPr>
        <w:spacing w:after="120" w:line="360" w:lineRule="auto"/>
        <w:ind w:firstLine="567"/>
        <w:jc w:val="both"/>
      </w:pPr>
      <w:r w:rsidRPr="00815B8D">
        <w:rPr>
          <w:rFonts w:eastAsia="Perpetua" w:cs="Perpetua"/>
        </w:rPr>
        <w:t>The beast is strongly identified with Satan; it is Satan’s ‘tool’,</w:t>
      </w:r>
      <w:r>
        <w:rPr>
          <w:rStyle w:val="EndnoteReference"/>
          <w:rFonts w:eastAsia="Perpetua" w:cs="Perpetua"/>
        </w:rPr>
        <w:endnoteReference w:id="1933"/>
      </w:r>
      <w:r w:rsidRPr="00815B8D">
        <w:rPr>
          <w:rFonts w:eastAsia="Perpetua" w:cs="Perpetua"/>
        </w:rPr>
        <w:t xml:space="preserve"> his ‘fell</w:t>
      </w:r>
      <w:r w:rsidRPr="00815B8D">
        <w:rPr>
          <w:rFonts w:eastAsia="Perpetua" w:cs="Perpetua"/>
          <w:spacing w:val="-5"/>
        </w:rPr>
        <w:t xml:space="preserve"> </w:t>
      </w:r>
      <w:r w:rsidRPr="00815B8D">
        <w:rPr>
          <w:rFonts w:eastAsia="Perpetua" w:cs="Perpetua"/>
          <w:spacing w:val="-1"/>
        </w:rPr>
        <w:t>instrument</w:t>
      </w:r>
      <w:r w:rsidRPr="00815B8D">
        <w:rPr>
          <w:rFonts w:eastAsia="Perpetua" w:cs="Perpetua"/>
          <w:spacing w:val="-5"/>
        </w:rPr>
        <w:t xml:space="preserve"> </w:t>
      </w:r>
      <w:r w:rsidRPr="00815B8D">
        <w:rPr>
          <w:rFonts w:eastAsia="Perpetua" w:cs="Perpetua"/>
          <w:spacing w:val="-1"/>
        </w:rPr>
        <w:t>of</w:t>
      </w:r>
      <w:r w:rsidRPr="00815B8D">
        <w:rPr>
          <w:rFonts w:eastAsia="Perpetua" w:cs="Perpetua"/>
          <w:spacing w:val="-5"/>
        </w:rPr>
        <w:t xml:space="preserve"> </w:t>
      </w:r>
      <w:r w:rsidRPr="00815B8D">
        <w:rPr>
          <w:rFonts w:eastAsia="Perpetua" w:cs="Perpetua"/>
          <w:spacing w:val="-1"/>
        </w:rPr>
        <w:t>wrath</w:t>
      </w:r>
      <w:r w:rsidRPr="00815B8D">
        <w:rPr>
          <w:rFonts w:eastAsia="Perpetua" w:cs="Perpetua"/>
          <w:spacing w:val="-5"/>
        </w:rPr>
        <w:t xml:space="preserve"> </w:t>
      </w:r>
      <w:r w:rsidRPr="00815B8D">
        <w:rPr>
          <w:rFonts w:eastAsia="Perpetua" w:cs="Perpetua"/>
          <w:spacing w:val="-1"/>
        </w:rPr>
        <w:t>and</w:t>
      </w:r>
      <w:r w:rsidRPr="00815B8D">
        <w:rPr>
          <w:rFonts w:eastAsia="Perpetua" w:cs="Perpetua"/>
          <w:spacing w:val="-4"/>
        </w:rPr>
        <w:t xml:space="preserve"> </w:t>
      </w:r>
      <w:r w:rsidRPr="00815B8D">
        <w:rPr>
          <w:rFonts w:eastAsia="Perpetua" w:cs="Perpetua"/>
          <w:spacing w:val="-1"/>
        </w:rPr>
        <w:t>hatred</w:t>
      </w:r>
      <w:r w:rsidRPr="00815B8D">
        <w:rPr>
          <w:rFonts w:eastAsia="Perpetua" w:cs="Perpetua"/>
          <w:spacing w:val="-6"/>
        </w:rPr>
        <w:t xml:space="preserve"> </w:t>
      </w:r>
      <w:r w:rsidRPr="00815B8D">
        <w:rPr>
          <w:rFonts w:eastAsia="Perpetua" w:cs="Perpetua"/>
          <w:spacing w:val="-1"/>
        </w:rPr>
        <w:t>against</w:t>
      </w:r>
      <w:r w:rsidRPr="00815B8D">
        <w:rPr>
          <w:rFonts w:eastAsia="Perpetua" w:cs="Perpetua"/>
          <w:spacing w:val="-5"/>
        </w:rPr>
        <w:t xml:space="preserve"> </w:t>
      </w:r>
      <w:r w:rsidRPr="00815B8D">
        <w:rPr>
          <w:rFonts w:eastAsia="Perpetua" w:cs="Perpetua"/>
          <w:spacing w:val="-1"/>
        </w:rPr>
        <w:t>God</w:t>
      </w:r>
      <w:r w:rsidRPr="00815B8D">
        <w:rPr>
          <w:rFonts w:eastAsia="Perpetua" w:cs="Perpetua"/>
          <w:spacing w:val="-3"/>
        </w:rPr>
        <w:t xml:space="preserve"> </w:t>
      </w:r>
      <w:r w:rsidRPr="00815B8D">
        <w:rPr>
          <w:rFonts w:eastAsia="Perpetua" w:cs="Perpetua"/>
          <w:spacing w:val="-1"/>
        </w:rPr>
        <w:t>and</w:t>
      </w:r>
      <w:r w:rsidRPr="00815B8D">
        <w:rPr>
          <w:rFonts w:eastAsia="Perpetua" w:cs="Perpetua"/>
          <w:spacing w:val="-6"/>
        </w:rPr>
        <w:t xml:space="preserve"> </w:t>
      </w:r>
      <w:r w:rsidRPr="00815B8D">
        <w:rPr>
          <w:rFonts w:eastAsia="Perpetua" w:cs="Perpetua"/>
          <w:spacing w:val="-1"/>
        </w:rPr>
        <w:t>the</w:t>
      </w:r>
      <w:r w:rsidRPr="00815B8D">
        <w:rPr>
          <w:rFonts w:eastAsia="Perpetua" w:cs="Perpetua"/>
          <w:spacing w:val="-4"/>
        </w:rPr>
        <w:t xml:space="preserve"> </w:t>
      </w:r>
      <w:r w:rsidRPr="00815B8D">
        <w:rPr>
          <w:rFonts w:eastAsia="Perpetua" w:cs="Perpetua"/>
          <w:spacing w:val="-1"/>
        </w:rPr>
        <w:t>Jewish</w:t>
      </w:r>
      <w:r w:rsidRPr="00815B8D">
        <w:rPr>
          <w:rFonts w:eastAsia="Perpetua" w:cs="Perpetua"/>
          <w:spacing w:val="-5"/>
        </w:rPr>
        <w:t xml:space="preserve"> </w:t>
      </w:r>
      <w:r>
        <w:rPr>
          <w:rFonts w:eastAsia="Perpetua" w:cs="Perpetua"/>
          <w:spacing w:val="-1"/>
        </w:rPr>
        <w:t>saints’</w:t>
      </w:r>
      <w:r>
        <w:rPr>
          <w:rStyle w:val="EndnoteReference"/>
          <w:rFonts w:eastAsia="Perpetua" w:cs="Perpetua"/>
          <w:spacing w:val="-1"/>
        </w:rPr>
        <w:endnoteReference w:id="1934"/>
      </w:r>
      <w:r>
        <w:rPr>
          <w:rFonts w:eastAsia="Perpetua" w:cs="Perpetua"/>
          <w:spacing w:val="-1"/>
        </w:rPr>
        <w:t xml:space="preserve"> to whom </w:t>
      </w:r>
      <w:r w:rsidRPr="00815B8D">
        <w:rPr>
          <w:rFonts w:eastAsia="Perpetua" w:cs="Perpetua"/>
          <w:spacing w:val="-1"/>
        </w:rPr>
        <w:t>‘Satan</w:t>
      </w:r>
      <w:r w:rsidRPr="00815B8D">
        <w:rPr>
          <w:rFonts w:eastAsia="Perpetua" w:cs="Perpetua"/>
          <w:spacing w:val="-4"/>
        </w:rPr>
        <w:t xml:space="preserve"> </w:t>
      </w:r>
      <w:r w:rsidRPr="00815B8D">
        <w:rPr>
          <w:rFonts w:eastAsia="Perpetua" w:cs="Perpetua"/>
        </w:rPr>
        <w:t>gives</w:t>
      </w:r>
      <w:r w:rsidRPr="00815B8D">
        <w:rPr>
          <w:rFonts w:eastAsia="Perpetua" w:cs="Perpetua"/>
          <w:spacing w:val="-4"/>
        </w:rPr>
        <w:t xml:space="preserve"> </w:t>
      </w:r>
      <w:r>
        <w:rPr>
          <w:rFonts w:eastAsia="Perpetua" w:cs="Perpetua"/>
          <w:spacing w:val="-1"/>
        </w:rPr>
        <w:t>his</w:t>
      </w:r>
      <w:r w:rsidRPr="00815B8D">
        <w:rPr>
          <w:rFonts w:eastAsia="Perpetua" w:cs="Perpetua"/>
          <w:spacing w:val="-6"/>
        </w:rPr>
        <w:t xml:space="preserve"> </w:t>
      </w:r>
      <w:r w:rsidRPr="00815B8D">
        <w:rPr>
          <w:rFonts w:eastAsia="Perpetua" w:cs="Perpetua"/>
        </w:rPr>
        <w:t>power</w:t>
      </w:r>
      <w:r>
        <w:rPr>
          <w:rFonts w:eastAsia="Perpetua" w:cs="Perpetua"/>
        </w:rPr>
        <w:t>’</w:t>
      </w:r>
      <w:r>
        <w:rPr>
          <w:rStyle w:val="EndnoteReference"/>
          <w:rFonts w:eastAsia="Perpetua" w:cs="Perpetua"/>
        </w:rPr>
        <w:endnoteReference w:id="1935"/>
      </w:r>
      <w:r w:rsidRPr="00815B8D">
        <w:rPr>
          <w:rFonts w:eastAsia="Perpetua" w:cs="Perpetua"/>
          <w:spacing w:val="-3"/>
        </w:rPr>
        <w:t xml:space="preserve"> </w:t>
      </w:r>
      <w:r w:rsidRPr="00815B8D">
        <w:rPr>
          <w:rFonts w:eastAsia="Perpetua" w:cs="Perpetua"/>
        </w:rPr>
        <w:t>…</w:t>
      </w:r>
      <w:r w:rsidRPr="00815B8D">
        <w:rPr>
          <w:rFonts w:eastAsia="Perpetua" w:cs="Perpetua"/>
          <w:spacing w:val="-4"/>
        </w:rPr>
        <w:t xml:space="preserve"> </w:t>
      </w:r>
      <w:r>
        <w:rPr>
          <w:rFonts w:eastAsia="Perpetua" w:cs="Perpetua"/>
          <w:spacing w:val="-4"/>
        </w:rPr>
        <w:t xml:space="preserve">‘the power </w:t>
      </w:r>
      <w:r w:rsidRPr="00815B8D">
        <w:rPr>
          <w:rFonts w:eastAsia="Perpetua" w:cs="Perpetua"/>
          <w:spacing w:val="-1"/>
        </w:rPr>
        <w:t>which</w:t>
      </w:r>
      <w:r w:rsidRPr="00815B8D">
        <w:rPr>
          <w:rFonts w:eastAsia="Perpetua" w:cs="Perpetua"/>
          <w:spacing w:val="-5"/>
        </w:rPr>
        <w:t xml:space="preserve"> </w:t>
      </w:r>
      <w:r w:rsidRPr="00815B8D">
        <w:rPr>
          <w:rFonts w:eastAsia="Perpetua" w:cs="Perpetua"/>
        </w:rPr>
        <w:t>he</w:t>
      </w:r>
      <w:r w:rsidRPr="00815B8D">
        <w:rPr>
          <w:rFonts w:eastAsia="Perpetua" w:cs="Perpetua"/>
          <w:spacing w:val="-5"/>
        </w:rPr>
        <w:t xml:space="preserve"> </w:t>
      </w:r>
      <w:r w:rsidRPr="00815B8D">
        <w:rPr>
          <w:rFonts w:eastAsia="Perpetua" w:cs="Perpetua"/>
        </w:rPr>
        <w:t>offered</w:t>
      </w:r>
      <w:r w:rsidRPr="00815B8D">
        <w:rPr>
          <w:rFonts w:eastAsia="Perpetua" w:cs="Perpetua"/>
          <w:spacing w:val="-5"/>
        </w:rPr>
        <w:t xml:space="preserve"> </w:t>
      </w:r>
      <w:r w:rsidRPr="00815B8D">
        <w:rPr>
          <w:rFonts w:eastAsia="Perpetua" w:cs="Perpetua"/>
          <w:spacing w:val="-1"/>
        </w:rPr>
        <w:t>to</w:t>
      </w:r>
      <w:r w:rsidRPr="00815B8D">
        <w:rPr>
          <w:rFonts w:eastAsia="Perpetua" w:cs="Perpetua"/>
          <w:spacing w:val="-5"/>
        </w:rPr>
        <w:t xml:space="preserve"> </w:t>
      </w:r>
      <w:r w:rsidRPr="00815B8D">
        <w:rPr>
          <w:rFonts w:eastAsia="Perpetua" w:cs="Perpetua"/>
        </w:rPr>
        <w:t>Christ’</w:t>
      </w:r>
      <w:r>
        <w:rPr>
          <w:rFonts w:eastAsia="Perpetua" w:cs="Perpetua"/>
        </w:rPr>
        <w:t>.</w:t>
      </w:r>
      <w:r>
        <w:rPr>
          <w:rStyle w:val="EndnoteReference"/>
          <w:rFonts w:eastAsia="Perpetua" w:cs="Perpetua"/>
        </w:rPr>
        <w:endnoteReference w:id="1936"/>
      </w:r>
      <w:r>
        <w:rPr>
          <w:rFonts w:eastAsia="Perpetua" w:cs="Perpetua"/>
        </w:rPr>
        <w:t xml:space="preserve">  These remarks by Scofield put the beast in a very powerful position, something which is probably reflected in his use of the capital letter for ‘Beast’.  Furthermore, ‘Satan fulfils himself in and through the earthly king of Tyre, who foreshadows the Beast’.</w:t>
      </w:r>
      <w:r>
        <w:rPr>
          <w:rStyle w:val="EndnoteReference"/>
          <w:rFonts w:eastAsia="Perpetua" w:cs="Perpetua"/>
        </w:rPr>
        <w:endnoteReference w:id="1937"/>
      </w:r>
      <w:r>
        <w:rPr>
          <w:rFonts w:eastAsia="Perpetua" w:cs="Perpetua"/>
        </w:rPr>
        <w:t xml:space="preserve">  </w:t>
      </w:r>
      <w:r w:rsidRPr="00DE4E94">
        <w:t xml:space="preserve">Scofield attributes the whole </w:t>
      </w:r>
      <w:r w:rsidRPr="00DE4E94">
        <w:rPr>
          <w:i/>
        </w:rPr>
        <w:t>kosmos</w:t>
      </w:r>
      <w:r w:rsidRPr="00DE4E94">
        <w:t>, or present world-system, to satanic influence; it is ‘the “order or arrangement” under which Satan has organised the world of unbelieving mankind upon his cosmic principles of force, greed, selfishness, ambition and pleasure’.  ‘This world-system is imposing and powerful with armies and fleets; is often outwardly religious, scientific, cultured, and elegant; but, seething with national and commercial rivalries and ambitions, is upheld in any real crisis only by armed force, and is dominated by Satanic principles.’</w:t>
      </w:r>
      <w:r w:rsidRPr="00DE4E94">
        <w:rPr>
          <w:rStyle w:val="EndnoteReference"/>
        </w:rPr>
        <w:endnoteReference w:id="1938"/>
      </w:r>
      <w:r w:rsidRPr="00DE4E94">
        <w:t xml:space="preserve">  Satan is ‘the real though unseen ruler of the successive world-powers, Tyre, Babylon, Medo-Persia, Greece, Rome etc</w:t>
      </w:r>
      <w:r>
        <w:t>’</w:t>
      </w:r>
      <w:r w:rsidRPr="00DE4E94">
        <w:t xml:space="preserve"> [</w:t>
      </w:r>
      <w:r w:rsidRPr="00DE4E94">
        <w:rPr>
          <w:i/>
        </w:rPr>
        <w:t>sic</w:t>
      </w:r>
      <w:r w:rsidRPr="00DE4E94">
        <w:t>]</w:t>
      </w:r>
      <w:r w:rsidRPr="00DE4E94">
        <w:rPr>
          <w:rStyle w:val="EndnoteReference"/>
        </w:rPr>
        <w:endnoteReference w:id="1939"/>
      </w:r>
      <w:r w:rsidRPr="00DE4E94">
        <w:t xml:space="preserve"> and prince of the present world-system, which is his work and </w:t>
      </w:r>
      <w:r>
        <w:t>‘</w:t>
      </w:r>
      <w:r w:rsidRPr="00DE4E94">
        <w:t>the bribe which he offered to Christ</w:t>
      </w:r>
      <w:r>
        <w:t>’</w:t>
      </w:r>
      <w:r w:rsidRPr="00DE4E94">
        <w:t>.</w:t>
      </w:r>
      <w:r w:rsidRPr="00DE4E94">
        <w:rPr>
          <w:rStyle w:val="EndnoteReference"/>
        </w:rPr>
        <w:endnoteReference w:id="1940"/>
      </w:r>
      <w:r w:rsidRPr="00DE4E94">
        <w:t xml:space="preserve">  </w:t>
      </w:r>
    </w:p>
    <w:p w:rsidR="006A2E06" w:rsidRPr="00022AFA" w:rsidRDefault="006A2E06" w:rsidP="006A2E06">
      <w:pPr>
        <w:spacing w:after="120" w:line="360" w:lineRule="auto"/>
        <w:ind w:firstLine="567"/>
        <w:jc w:val="both"/>
      </w:pPr>
      <w:r w:rsidRPr="00234E00">
        <w:t xml:space="preserve">Important associations are made between the little horn, the historical figure of Antiochus Epiphanes and the beast, sometimes through the beast’s aliases, the little horn </w:t>
      </w:r>
      <w:r>
        <w:t>hims</w:t>
      </w:r>
      <w:r w:rsidRPr="00234E00">
        <w:t>elf and the ‘man of sin’.</w:t>
      </w:r>
      <w:r w:rsidRPr="00234E00">
        <w:rPr>
          <w:rStyle w:val="EndnoteReference"/>
        </w:rPr>
        <w:endnoteReference w:id="1941"/>
      </w:r>
      <w:r w:rsidRPr="00234E00">
        <w:t xml:space="preserve">  Scofield </w:t>
      </w:r>
      <w:r>
        <w:t>emphasises the</w:t>
      </w:r>
      <w:r w:rsidRPr="00234E00">
        <w:t xml:space="preserve"> differen</w:t>
      </w:r>
      <w:r>
        <w:t>ce</w:t>
      </w:r>
      <w:r w:rsidRPr="00234E00">
        <w:t xml:space="preserve"> between the little horns of Daniel 7 and 8.  </w:t>
      </w:r>
      <w:r w:rsidRPr="00022AFA">
        <w:t>‘The little horn [in Daniel 8] is prophetically fulfilled in Antiochus Epiphanes, BC 175, who profaned the temple and terribly persecuted the Jews’, whereas ‘the “little horn” of Daniel 7 … is yet to come, and … will dominate the earth during the great tribulation’.</w:t>
      </w:r>
      <w:r w:rsidRPr="00022AFA">
        <w:rPr>
          <w:rStyle w:val="EndnoteReference"/>
        </w:rPr>
        <w:endnoteReference w:id="1942"/>
      </w:r>
      <w:r w:rsidRPr="00022AFA">
        <w:t xml:space="preserve">  However, ‘Antiochus is a remarkable type of the Beast, the terrible “little horn of the last days”</w:t>
      </w:r>
      <w:r>
        <w:t>’</w:t>
      </w:r>
      <w:r>
        <w:rPr>
          <w:rStyle w:val="EndnoteReference"/>
        </w:rPr>
        <w:endnoteReference w:id="1943"/>
      </w:r>
      <w:r w:rsidRPr="00022AFA">
        <w:t xml:space="preserve"> and a type of </w:t>
      </w:r>
      <w:r>
        <w:t>‘</w:t>
      </w:r>
      <w:r w:rsidRPr="00022AFA">
        <w:t xml:space="preserve">the </w:t>
      </w:r>
      <w:r>
        <w:t>B</w:t>
      </w:r>
      <w:r w:rsidRPr="00022AFA">
        <w:t>east out of the sea of Rev. 13:4-10</w:t>
      </w:r>
      <w:r>
        <w:t>’</w:t>
      </w:r>
      <w:r w:rsidRPr="00022AFA">
        <w:t>.</w:t>
      </w:r>
      <w:r w:rsidRPr="00022AFA">
        <w:rPr>
          <w:rStyle w:val="EndnoteReference"/>
        </w:rPr>
        <w:endnoteReference w:id="1944"/>
      </w:r>
      <w:r w:rsidRPr="00022AFA">
        <w:t xml:space="preserve">  Daniel 8:24-25 </w:t>
      </w:r>
      <w:r w:rsidRPr="00022AFA">
        <w:lastRenderedPageBreak/>
        <w:t>go beyond Antiochus and evidently refer to the “little horn” of Daniel 7.’</w:t>
      </w:r>
      <w:r w:rsidRPr="00022AFA">
        <w:rPr>
          <w:rStyle w:val="EndnoteReference"/>
        </w:rPr>
        <w:endnoteReference w:id="1945"/>
      </w:r>
      <w:r w:rsidRPr="00022AFA">
        <w:t xml:space="preserve">   The actions of both little horns ‘blend’ in Dan. 8:10-14.</w:t>
      </w:r>
      <w:r w:rsidRPr="00022AFA">
        <w:rPr>
          <w:rStyle w:val="EndnoteReference"/>
        </w:rPr>
        <w:endnoteReference w:id="1946"/>
      </w:r>
      <w:r w:rsidRPr="00022AFA">
        <w:t xml:space="preserve">  </w:t>
      </w:r>
    </w:p>
    <w:p w:rsidR="006A2E06" w:rsidRPr="00022AFA" w:rsidRDefault="006A2E06" w:rsidP="006A2E06">
      <w:pPr>
        <w:spacing w:after="120" w:line="360" w:lineRule="auto"/>
        <w:ind w:firstLine="500"/>
        <w:jc w:val="both"/>
      </w:pPr>
      <w:r w:rsidRPr="00022AFA">
        <w:t>Scofield argues that the little horns of Daniel 7 and 8 must be different because the former arises amidst the ten horns into which the fourth kingdom (Rome) is to be divided, whereas the latter arises from one of the four kingdoms into which the third (Grecian) empire was divided.</w:t>
      </w:r>
      <w:r w:rsidRPr="00022AFA">
        <w:rPr>
          <w:rStyle w:val="EndnoteReference"/>
        </w:rPr>
        <w:endnoteReference w:id="1947"/>
      </w:r>
      <w:r w:rsidRPr="00022AFA">
        <w:t xml:space="preserve">  This is true, but Scofield offers no evidence for his identification of either horn with the historical figure of Antiochus or the beast of Revelation and none for the attributions of the fourth and third kingdoms respectively to Rome and Greece.  Further commentary attempts to put Antiochus in a biblical setting.  The ‘appointed end’ of Dan. 8:19</w:t>
      </w:r>
      <w:r>
        <w:rPr>
          <w:rStyle w:val="EndnoteReference"/>
        </w:rPr>
        <w:endnoteReference w:id="1948"/>
      </w:r>
      <w:r w:rsidRPr="00022AFA">
        <w:t xml:space="preserve"> is, on one level, said to be ‘the end of the third, or Grecian, empire of Alexander out of one of the divisions of which the little horn of verse 9 (Antiochus) arose’.</w:t>
      </w:r>
      <w:r w:rsidRPr="00022AFA">
        <w:rPr>
          <w:rStyle w:val="EndnoteReference"/>
        </w:rPr>
        <w:endnoteReference w:id="1949"/>
      </w:r>
      <w:r w:rsidRPr="00022AFA">
        <w:t xml:space="preserve">  </w:t>
      </w:r>
    </w:p>
    <w:p w:rsidR="006A2E06" w:rsidRPr="004646F2" w:rsidRDefault="006A2E06" w:rsidP="006A2E06">
      <w:pPr>
        <w:spacing w:after="120" w:line="360" w:lineRule="auto"/>
        <w:ind w:firstLine="567"/>
        <w:jc w:val="both"/>
      </w:pPr>
      <w:r w:rsidRPr="00022AFA">
        <w:t>Further notes focus on the desecration of the sanctuary by the historical character, Antiochus Epiphanes.  Scofield states that the first of seven desolations in Daniel is that of the sanctuary, fulfilled by Antiochus Epiphanes</w:t>
      </w:r>
      <w:r w:rsidRPr="00022AFA">
        <w:rPr>
          <w:rStyle w:val="EndnoteReference"/>
        </w:rPr>
        <w:endnoteReference w:id="1950"/>
      </w:r>
      <w:r w:rsidRPr="00022AFA">
        <w:t xml:space="preserve"> and the reference to ‘the abomination’</w:t>
      </w:r>
      <w:r w:rsidRPr="00022AFA">
        <w:rPr>
          <w:rStyle w:val="EndnoteReference"/>
        </w:rPr>
        <w:endnoteReference w:id="1951"/>
      </w:r>
      <w:r w:rsidRPr="00022AFA">
        <w:t xml:space="preserve"> is to his sacrifice of a sow upon the altar.</w:t>
      </w:r>
      <w:r w:rsidRPr="00022AFA">
        <w:rPr>
          <w:rStyle w:val="EndnoteReference"/>
        </w:rPr>
        <w:endnoteReference w:id="1952"/>
      </w:r>
      <w:r w:rsidRPr="00022AFA">
        <w:t xml:space="preserve">  Antiochus’ blasphemy adumbrates that of the little horn.</w:t>
      </w:r>
      <w:r w:rsidRPr="00022AFA">
        <w:rPr>
          <w:rStyle w:val="EndnoteReference"/>
        </w:rPr>
        <w:endnoteReference w:id="1953"/>
      </w:r>
      <w:r w:rsidRPr="00022AFA">
        <w:t xml:space="preserve">  Here the little horn is projected into the future, rather than being a reflection of the past.  Other notes look directly to the future and the beast.  Scofield states that ‘the reference to the stone in Isa. 28:16 carries the meaning forward to the end-time, and the covenant of unbelieving Israel with the Beast’.</w:t>
      </w:r>
      <w:r w:rsidRPr="00022AFA">
        <w:rPr>
          <w:rStyle w:val="EndnoteReference"/>
        </w:rPr>
        <w:endnoteReference w:id="1954"/>
      </w:r>
      <w:r w:rsidRPr="00022AFA">
        <w:t xml:space="preserve">  In his note on Hag. 2:9, Scofield refers to the temple ‘which will be used by unbelieving Jews under their covenant with the Beast’.</w:t>
      </w:r>
      <w:r w:rsidRPr="00022AFA">
        <w:rPr>
          <w:rStyle w:val="EndnoteReference"/>
        </w:rPr>
        <w:endnoteReference w:id="1955"/>
      </w:r>
      <w:r w:rsidRPr="00022AFA">
        <w:t xml:space="preserve">  </w:t>
      </w:r>
      <w:r w:rsidRPr="00196DDC">
        <w:rPr>
          <w:rFonts w:eastAsia="Perpetua" w:cs="Perpetua"/>
          <w:szCs w:val="24"/>
        </w:rPr>
        <w:t>The</w:t>
      </w:r>
      <w:r w:rsidRPr="00196DDC">
        <w:rPr>
          <w:rFonts w:eastAsia="Perpetua" w:cs="Perpetua"/>
          <w:spacing w:val="-6"/>
          <w:szCs w:val="24"/>
        </w:rPr>
        <w:t xml:space="preserve"> </w:t>
      </w:r>
      <w:r w:rsidRPr="00196DDC">
        <w:rPr>
          <w:rFonts w:eastAsia="Perpetua" w:cs="Perpetua"/>
          <w:i/>
          <w:spacing w:val="-1"/>
          <w:szCs w:val="24"/>
        </w:rPr>
        <w:t>SRB</w:t>
      </w:r>
      <w:r w:rsidRPr="00196DDC">
        <w:rPr>
          <w:rFonts w:eastAsia="Perpetua" w:cs="Perpetua"/>
          <w:i/>
          <w:spacing w:val="-5"/>
          <w:szCs w:val="24"/>
        </w:rPr>
        <w:t xml:space="preserve"> </w:t>
      </w:r>
      <w:r w:rsidRPr="00196DDC">
        <w:rPr>
          <w:rFonts w:eastAsia="Perpetua" w:cs="Perpetua"/>
          <w:szCs w:val="24"/>
        </w:rPr>
        <w:t>note</w:t>
      </w:r>
      <w:r w:rsidRPr="00196DDC">
        <w:rPr>
          <w:rFonts w:eastAsia="Perpetua" w:cs="Perpetua"/>
          <w:spacing w:val="-5"/>
          <w:szCs w:val="24"/>
        </w:rPr>
        <w:t xml:space="preserve"> </w:t>
      </w:r>
      <w:r w:rsidRPr="00196DDC">
        <w:rPr>
          <w:rFonts w:eastAsia="Perpetua" w:cs="Perpetua"/>
          <w:szCs w:val="24"/>
        </w:rPr>
        <w:t>on</w:t>
      </w:r>
      <w:r w:rsidRPr="00196DDC">
        <w:rPr>
          <w:rFonts w:eastAsia="Perpetua" w:cs="Perpetua"/>
          <w:spacing w:val="-5"/>
          <w:szCs w:val="24"/>
        </w:rPr>
        <w:t xml:space="preserve"> </w:t>
      </w:r>
      <w:r w:rsidRPr="00196DDC">
        <w:rPr>
          <w:rFonts w:eastAsia="Perpetua" w:cs="Perpetua"/>
          <w:szCs w:val="24"/>
        </w:rPr>
        <w:t>Dan.</w:t>
      </w:r>
      <w:r w:rsidRPr="00196DDC">
        <w:rPr>
          <w:rFonts w:eastAsia="Perpetua" w:cs="Perpetua"/>
          <w:spacing w:val="-5"/>
          <w:szCs w:val="24"/>
        </w:rPr>
        <w:t xml:space="preserve"> </w:t>
      </w:r>
      <w:r w:rsidRPr="00196DDC">
        <w:rPr>
          <w:rFonts w:eastAsia="Perpetua" w:cs="Perpetua"/>
          <w:szCs w:val="24"/>
        </w:rPr>
        <w:t>3:1</w:t>
      </w:r>
      <w:r w:rsidRPr="00196DDC">
        <w:rPr>
          <w:rFonts w:eastAsia="Perpetua" w:cs="Perpetua"/>
          <w:spacing w:val="-6"/>
          <w:szCs w:val="24"/>
        </w:rPr>
        <w:t xml:space="preserve"> </w:t>
      </w:r>
      <w:r w:rsidRPr="00196DDC">
        <w:rPr>
          <w:rFonts w:eastAsia="Perpetua" w:cs="Perpetua"/>
          <w:szCs w:val="24"/>
        </w:rPr>
        <w:t>refers</w:t>
      </w:r>
      <w:r w:rsidRPr="00196DDC">
        <w:rPr>
          <w:rFonts w:eastAsia="Perpetua" w:cs="Perpetua"/>
          <w:spacing w:val="-4"/>
          <w:szCs w:val="24"/>
        </w:rPr>
        <w:t xml:space="preserve"> </w:t>
      </w:r>
      <w:r w:rsidRPr="00196DDC">
        <w:rPr>
          <w:rFonts w:eastAsia="Perpetua" w:cs="Perpetua"/>
          <w:szCs w:val="24"/>
        </w:rPr>
        <w:t>to</w:t>
      </w:r>
      <w:r w:rsidRPr="00196DDC">
        <w:rPr>
          <w:rFonts w:eastAsia="Perpetua" w:cs="Perpetua"/>
          <w:spacing w:val="-3"/>
          <w:szCs w:val="24"/>
        </w:rPr>
        <w:t xml:space="preserve"> </w:t>
      </w:r>
      <w:r w:rsidRPr="00196DDC">
        <w:rPr>
          <w:rFonts w:eastAsia="Perpetua" w:cs="Perpetua"/>
          <w:szCs w:val="24"/>
        </w:rPr>
        <w:t>the</w:t>
      </w:r>
      <w:r w:rsidRPr="00196DDC">
        <w:rPr>
          <w:rFonts w:eastAsia="Perpetua" w:cs="Perpetua"/>
          <w:spacing w:val="-5"/>
          <w:szCs w:val="24"/>
        </w:rPr>
        <w:t xml:space="preserve"> </w:t>
      </w:r>
      <w:r w:rsidRPr="00196DDC">
        <w:rPr>
          <w:rFonts w:eastAsia="Perpetua" w:cs="Perpetua"/>
          <w:spacing w:val="-1"/>
          <w:szCs w:val="24"/>
        </w:rPr>
        <w:t>Beast’s</w:t>
      </w:r>
      <w:r w:rsidRPr="00196DDC">
        <w:rPr>
          <w:rFonts w:eastAsia="Perpetua" w:cs="Perpetua"/>
          <w:spacing w:val="-5"/>
          <w:szCs w:val="24"/>
        </w:rPr>
        <w:t xml:space="preserve"> </w:t>
      </w:r>
      <w:r w:rsidRPr="00196DDC">
        <w:rPr>
          <w:rFonts w:eastAsia="Perpetua" w:cs="Perpetua"/>
          <w:spacing w:val="-1"/>
          <w:szCs w:val="24"/>
        </w:rPr>
        <w:t>self-deification,</w:t>
      </w:r>
      <w:r w:rsidRPr="00196DDC">
        <w:rPr>
          <w:rFonts w:eastAsia="Perpetua" w:cs="Perpetua"/>
          <w:spacing w:val="-5"/>
          <w:szCs w:val="24"/>
        </w:rPr>
        <w:t xml:space="preserve"> </w:t>
      </w:r>
      <w:r w:rsidRPr="00196DDC">
        <w:rPr>
          <w:rFonts w:eastAsia="Perpetua" w:cs="Perpetua"/>
          <w:spacing w:val="-1"/>
          <w:szCs w:val="24"/>
        </w:rPr>
        <w:t>which</w:t>
      </w:r>
      <w:r w:rsidRPr="00196DDC">
        <w:rPr>
          <w:rFonts w:eastAsia="Perpetua" w:cs="Perpetua"/>
          <w:spacing w:val="-5"/>
          <w:szCs w:val="24"/>
        </w:rPr>
        <w:t xml:space="preserve"> </w:t>
      </w:r>
      <w:r w:rsidRPr="00196DDC">
        <w:rPr>
          <w:rFonts w:eastAsia="Perpetua" w:cs="Perpetua"/>
          <w:spacing w:val="-1"/>
          <w:szCs w:val="24"/>
        </w:rPr>
        <w:t>repeats</w:t>
      </w:r>
      <w:r w:rsidRPr="00196DDC">
        <w:rPr>
          <w:rFonts w:eastAsia="Perpetua" w:cs="Perpetua"/>
          <w:spacing w:val="-3"/>
          <w:szCs w:val="24"/>
        </w:rPr>
        <w:t xml:space="preserve"> </w:t>
      </w:r>
      <w:r w:rsidRPr="00196DDC">
        <w:rPr>
          <w:rFonts w:eastAsia="Perpetua" w:cs="Perpetua"/>
          <w:szCs w:val="24"/>
        </w:rPr>
        <w:t>‘the</w:t>
      </w:r>
      <w:r w:rsidRPr="00196DDC">
        <w:rPr>
          <w:rFonts w:eastAsia="Perpetua" w:cs="Perpetua"/>
          <w:spacing w:val="-5"/>
          <w:szCs w:val="24"/>
        </w:rPr>
        <w:t xml:space="preserve"> </w:t>
      </w:r>
      <w:r w:rsidRPr="00196DDC">
        <w:rPr>
          <w:rFonts w:eastAsia="Perpetua" w:cs="Perpetua"/>
          <w:szCs w:val="24"/>
        </w:rPr>
        <w:t>great</w:t>
      </w:r>
      <w:r w:rsidRPr="00196DDC">
        <w:rPr>
          <w:rFonts w:eastAsia="Perpetua" w:cs="Perpetua"/>
          <w:spacing w:val="-5"/>
          <w:szCs w:val="24"/>
        </w:rPr>
        <w:t xml:space="preserve"> </w:t>
      </w:r>
      <w:r w:rsidRPr="00196DDC">
        <w:rPr>
          <w:rFonts w:eastAsia="Perpetua" w:cs="Perpetua"/>
          <w:szCs w:val="24"/>
        </w:rPr>
        <w:t>king</w:t>
      </w:r>
      <w:r w:rsidRPr="00196DDC">
        <w:rPr>
          <w:rFonts w:eastAsia="Perpetua" w:cs="Perpetua"/>
          <w:spacing w:val="-5"/>
          <w:szCs w:val="24"/>
        </w:rPr>
        <w:t xml:space="preserve"> </w:t>
      </w:r>
      <w:r w:rsidRPr="00196DDC">
        <w:rPr>
          <w:rFonts w:eastAsia="Perpetua" w:cs="Perpetua"/>
          <w:szCs w:val="24"/>
        </w:rPr>
        <w:t>of</w:t>
      </w:r>
      <w:r w:rsidRPr="00196DDC">
        <w:rPr>
          <w:rFonts w:eastAsia="Perpetua" w:cs="Perpetua"/>
          <w:spacing w:val="-5"/>
          <w:szCs w:val="24"/>
        </w:rPr>
        <w:t xml:space="preserve"> </w:t>
      </w:r>
      <w:r w:rsidRPr="00196DDC">
        <w:rPr>
          <w:rFonts w:eastAsia="Perpetua" w:cs="Perpetua"/>
          <w:szCs w:val="24"/>
        </w:rPr>
        <w:t>Babylon’s</w:t>
      </w:r>
      <w:r w:rsidRPr="00196DDC">
        <w:rPr>
          <w:rFonts w:eastAsia="Perpetua" w:cs="Perpetua"/>
          <w:spacing w:val="41"/>
          <w:w w:val="99"/>
          <w:szCs w:val="24"/>
        </w:rPr>
        <w:t xml:space="preserve"> </w:t>
      </w:r>
      <w:r w:rsidRPr="00196DDC">
        <w:rPr>
          <w:rFonts w:eastAsia="Perpetua" w:cs="Perpetua"/>
          <w:szCs w:val="24"/>
        </w:rPr>
        <w:t>attempt</w:t>
      </w:r>
      <w:r w:rsidRPr="00196DDC">
        <w:rPr>
          <w:rFonts w:eastAsia="Perpetua" w:cs="Perpetua"/>
          <w:spacing w:val="-4"/>
          <w:szCs w:val="24"/>
        </w:rPr>
        <w:t xml:space="preserve"> </w:t>
      </w:r>
      <w:r w:rsidRPr="00196DDC">
        <w:rPr>
          <w:rFonts w:eastAsia="Perpetua" w:cs="Perpetua"/>
          <w:szCs w:val="24"/>
        </w:rPr>
        <w:t>to</w:t>
      </w:r>
      <w:r w:rsidRPr="00196DDC">
        <w:rPr>
          <w:rFonts w:eastAsia="Perpetua" w:cs="Perpetua"/>
          <w:spacing w:val="-5"/>
          <w:szCs w:val="24"/>
        </w:rPr>
        <w:t xml:space="preserve"> </w:t>
      </w:r>
      <w:r w:rsidRPr="00196DDC">
        <w:rPr>
          <w:rFonts w:eastAsia="Perpetua" w:cs="Perpetua"/>
          <w:szCs w:val="24"/>
        </w:rPr>
        <w:t>unify</w:t>
      </w:r>
      <w:r w:rsidRPr="00196DDC">
        <w:rPr>
          <w:rFonts w:eastAsia="Perpetua" w:cs="Perpetua"/>
          <w:spacing w:val="-5"/>
          <w:szCs w:val="24"/>
        </w:rPr>
        <w:t xml:space="preserve"> </w:t>
      </w:r>
      <w:r w:rsidRPr="00196DDC">
        <w:rPr>
          <w:rFonts w:eastAsia="Perpetua" w:cs="Perpetua"/>
          <w:szCs w:val="24"/>
        </w:rPr>
        <w:t>the</w:t>
      </w:r>
      <w:r w:rsidRPr="00196DDC">
        <w:rPr>
          <w:rFonts w:eastAsia="Perpetua" w:cs="Perpetua"/>
          <w:spacing w:val="-5"/>
          <w:szCs w:val="24"/>
        </w:rPr>
        <w:t xml:space="preserve"> </w:t>
      </w:r>
      <w:r w:rsidRPr="00196DDC">
        <w:rPr>
          <w:rFonts w:eastAsia="Perpetua" w:cs="Perpetua"/>
          <w:spacing w:val="-1"/>
          <w:szCs w:val="24"/>
        </w:rPr>
        <w:t>religions</w:t>
      </w:r>
      <w:r w:rsidRPr="00196DDC">
        <w:rPr>
          <w:rFonts w:eastAsia="Perpetua" w:cs="Perpetua"/>
          <w:spacing w:val="-3"/>
          <w:szCs w:val="24"/>
        </w:rPr>
        <w:t xml:space="preserve"> </w:t>
      </w:r>
      <w:r w:rsidRPr="00196DDC">
        <w:rPr>
          <w:rFonts w:eastAsia="Perpetua" w:cs="Perpetua"/>
          <w:szCs w:val="24"/>
        </w:rPr>
        <w:t>of</w:t>
      </w:r>
      <w:r w:rsidRPr="00196DDC">
        <w:rPr>
          <w:rFonts w:eastAsia="Perpetua" w:cs="Perpetua"/>
          <w:spacing w:val="-5"/>
          <w:szCs w:val="24"/>
        </w:rPr>
        <w:t xml:space="preserve"> </w:t>
      </w:r>
      <w:r w:rsidRPr="00196DDC">
        <w:rPr>
          <w:rFonts w:eastAsia="Perpetua" w:cs="Perpetua"/>
          <w:szCs w:val="24"/>
        </w:rPr>
        <w:t>his</w:t>
      </w:r>
      <w:r w:rsidRPr="00196DDC">
        <w:rPr>
          <w:rFonts w:eastAsia="Perpetua" w:cs="Perpetua"/>
          <w:spacing w:val="-5"/>
          <w:szCs w:val="24"/>
        </w:rPr>
        <w:t xml:space="preserve"> </w:t>
      </w:r>
      <w:r w:rsidRPr="00196DDC">
        <w:rPr>
          <w:rFonts w:eastAsia="Perpetua" w:cs="Perpetua"/>
          <w:szCs w:val="24"/>
        </w:rPr>
        <w:t>empire’</w:t>
      </w:r>
      <w:r w:rsidRPr="00196DDC">
        <w:rPr>
          <w:rFonts w:eastAsia="Perpetua" w:cs="Perpetua"/>
          <w:spacing w:val="-4"/>
          <w:szCs w:val="24"/>
        </w:rPr>
        <w:t xml:space="preserve"> </w:t>
      </w:r>
      <w:r w:rsidRPr="00196DDC">
        <w:rPr>
          <w:rFonts w:eastAsia="Perpetua" w:cs="Perpetua"/>
          <w:szCs w:val="24"/>
        </w:rPr>
        <w:t>by</w:t>
      </w:r>
      <w:r w:rsidRPr="00196DDC">
        <w:rPr>
          <w:rFonts w:eastAsia="Perpetua" w:cs="Perpetua"/>
          <w:spacing w:val="-4"/>
          <w:szCs w:val="24"/>
        </w:rPr>
        <w:t xml:space="preserve"> </w:t>
      </w:r>
      <w:r w:rsidRPr="00196DDC">
        <w:rPr>
          <w:rFonts w:eastAsia="Perpetua" w:cs="Perpetua"/>
          <w:szCs w:val="24"/>
        </w:rPr>
        <w:t>this</w:t>
      </w:r>
      <w:r w:rsidRPr="00196DDC">
        <w:rPr>
          <w:rFonts w:eastAsia="Perpetua" w:cs="Perpetua"/>
          <w:spacing w:val="-5"/>
          <w:szCs w:val="24"/>
        </w:rPr>
        <w:t xml:space="preserve"> </w:t>
      </w:r>
      <w:r w:rsidRPr="00196DDC">
        <w:rPr>
          <w:rFonts w:eastAsia="Perpetua" w:cs="Perpetua"/>
          <w:szCs w:val="24"/>
        </w:rPr>
        <w:t>means.</w:t>
      </w:r>
      <w:r w:rsidRPr="00196DDC">
        <w:rPr>
          <w:rStyle w:val="EndnoteReference"/>
          <w:rFonts w:eastAsia="Perpetua" w:cs="Perpetua"/>
          <w:szCs w:val="24"/>
        </w:rPr>
        <w:endnoteReference w:id="1956"/>
      </w:r>
      <w:r w:rsidRPr="00196DDC">
        <w:rPr>
          <w:rFonts w:eastAsia="Perpetua" w:cs="Perpetua"/>
          <w:szCs w:val="24"/>
        </w:rPr>
        <w:t xml:space="preserve">  In</w:t>
      </w:r>
      <w:r w:rsidRPr="00196DDC">
        <w:rPr>
          <w:rFonts w:eastAsia="Perpetua" w:cs="Perpetua"/>
          <w:spacing w:val="-6"/>
          <w:szCs w:val="24"/>
        </w:rPr>
        <w:t xml:space="preserve"> </w:t>
      </w:r>
      <w:r w:rsidRPr="00196DDC">
        <w:rPr>
          <w:rFonts w:eastAsia="Perpetua" w:cs="Perpetua"/>
          <w:szCs w:val="24"/>
        </w:rPr>
        <w:t>his</w:t>
      </w:r>
      <w:r w:rsidRPr="00196DDC">
        <w:rPr>
          <w:rFonts w:eastAsia="Perpetua" w:cs="Perpetua"/>
          <w:spacing w:val="-6"/>
          <w:szCs w:val="24"/>
        </w:rPr>
        <w:t xml:space="preserve"> </w:t>
      </w:r>
      <w:r w:rsidRPr="00196DDC">
        <w:rPr>
          <w:rFonts w:eastAsia="Perpetua" w:cs="Perpetua"/>
          <w:szCs w:val="24"/>
        </w:rPr>
        <w:t>note</w:t>
      </w:r>
      <w:r w:rsidRPr="00196DDC">
        <w:rPr>
          <w:rFonts w:eastAsia="Perpetua" w:cs="Perpetua"/>
          <w:spacing w:val="-5"/>
          <w:szCs w:val="24"/>
        </w:rPr>
        <w:t xml:space="preserve"> </w:t>
      </w:r>
      <w:r w:rsidRPr="00196DDC">
        <w:rPr>
          <w:rFonts w:eastAsia="Perpetua" w:cs="Perpetua"/>
          <w:szCs w:val="24"/>
        </w:rPr>
        <w:t>on</w:t>
      </w:r>
      <w:r w:rsidRPr="00196DDC">
        <w:rPr>
          <w:rFonts w:eastAsia="Perpetua" w:cs="Perpetua"/>
          <w:spacing w:val="-6"/>
          <w:szCs w:val="24"/>
        </w:rPr>
        <w:t xml:space="preserve"> </w:t>
      </w:r>
      <w:r w:rsidRPr="00196DDC">
        <w:rPr>
          <w:rFonts w:eastAsia="Perpetua" w:cs="Perpetua"/>
          <w:spacing w:val="-1"/>
          <w:szCs w:val="24"/>
        </w:rPr>
        <w:t>Rev.</w:t>
      </w:r>
      <w:r w:rsidRPr="00196DDC">
        <w:rPr>
          <w:rFonts w:eastAsia="Perpetua" w:cs="Perpetua"/>
          <w:spacing w:val="-5"/>
          <w:szCs w:val="24"/>
        </w:rPr>
        <w:t xml:space="preserve"> </w:t>
      </w:r>
      <w:r w:rsidRPr="00196DDC">
        <w:rPr>
          <w:rFonts w:eastAsia="Perpetua" w:cs="Perpetua"/>
          <w:szCs w:val="24"/>
        </w:rPr>
        <w:t>18:2,</w:t>
      </w:r>
      <w:r w:rsidRPr="00196DDC">
        <w:rPr>
          <w:rFonts w:eastAsia="Perpetua" w:cs="Perpetua"/>
          <w:spacing w:val="-4"/>
          <w:szCs w:val="24"/>
        </w:rPr>
        <w:t xml:space="preserve"> </w:t>
      </w:r>
      <w:r w:rsidRPr="00196DDC">
        <w:rPr>
          <w:rFonts w:eastAsia="Perpetua" w:cs="Perpetua"/>
          <w:szCs w:val="24"/>
        </w:rPr>
        <w:t>Scofield</w:t>
      </w:r>
      <w:r w:rsidRPr="00196DDC">
        <w:rPr>
          <w:rFonts w:eastAsia="Perpetua" w:cs="Perpetua"/>
          <w:spacing w:val="-5"/>
          <w:szCs w:val="24"/>
        </w:rPr>
        <w:t xml:space="preserve"> </w:t>
      </w:r>
      <w:r w:rsidRPr="00196DDC">
        <w:rPr>
          <w:rFonts w:eastAsia="Perpetua" w:cs="Perpetua"/>
          <w:spacing w:val="-1"/>
          <w:szCs w:val="24"/>
        </w:rPr>
        <w:t>claims</w:t>
      </w:r>
      <w:r w:rsidRPr="00196DDC">
        <w:rPr>
          <w:rFonts w:eastAsia="Perpetua" w:cs="Perpetua"/>
          <w:spacing w:val="-5"/>
          <w:szCs w:val="24"/>
        </w:rPr>
        <w:t xml:space="preserve"> </w:t>
      </w:r>
      <w:r w:rsidRPr="00196DDC">
        <w:rPr>
          <w:rFonts w:eastAsia="Perpetua" w:cs="Perpetua"/>
          <w:spacing w:val="-1"/>
          <w:szCs w:val="24"/>
        </w:rPr>
        <w:t>that</w:t>
      </w:r>
      <w:r w:rsidRPr="00196DDC">
        <w:rPr>
          <w:rFonts w:eastAsia="Perpetua" w:cs="Perpetua"/>
          <w:spacing w:val="-6"/>
          <w:szCs w:val="24"/>
        </w:rPr>
        <w:t xml:space="preserve"> </w:t>
      </w:r>
      <w:r w:rsidRPr="00196DDC">
        <w:rPr>
          <w:rFonts w:eastAsia="Perpetua" w:cs="Perpetua"/>
          <w:szCs w:val="24"/>
        </w:rPr>
        <w:t>‘the</w:t>
      </w:r>
      <w:r w:rsidRPr="00196DDC">
        <w:rPr>
          <w:rFonts w:eastAsia="Perpetua" w:cs="Perpetua"/>
          <w:spacing w:val="-6"/>
          <w:szCs w:val="24"/>
        </w:rPr>
        <w:t xml:space="preserve"> </w:t>
      </w:r>
      <w:r w:rsidRPr="00196DDC">
        <w:rPr>
          <w:rFonts w:eastAsia="Perpetua" w:cs="Perpetua"/>
          <w:spacing w:val="-1"/>
          <w:szCs w:val="24"/>
        </w:rPr>
        <w:t>Beast’s</w:t>
      </w:r>
      <w:r w:rsidRPr="00196DDC">
        <w:rPr>
          <w:rFonts w:eastAsia="Perpetua" w:cs="Perpetua"/>
          <w:spacing w:val="-5"/>
          <w:szCs w:val="24"/>
        </w:rPr>
        <w:t xml:space="preserve"> </w:t>
      </w:r>
      <w:r w:rsidRPr="00196DDC">
        <w:rPr>
          <w:rFonts w:eastAsia="Perpetua" w:cs="Perpetua"/>
          <w:szCs w:val="24"/>
        </w:rPr>
        <w:t>confederated</w:t>
      </w:r>
      <w:r w:rsidRPr="00196DDC">
        <w:rPr>
          <w:rFonts w:eastAsia="Perpetua" w:cs="Perpetua"/>
          <w:spacing w:val="-7"/>
          <w:szCs w:val="24"/>
        </w:rPr>
        <w:t xml:space="preserve"> </w:t>
      </w:r>
      <w:r w:rsidRPr="00196DDC">
        <w:rPr>
          <w:rFonts w:eastAsia="Perpetua" w:cs="Perpetua"/>
          <w:spacing w:val="-1"/>
          <w:szCs w:val="24"/>
        </w:rPr>
        <w:t>empire’</w:t>
      </w:r>
      <w:r w:rsidRPr="00196DDC">
        <w:rPr>
          <w:rFonts w:eastAsia="Perpetua" w:cs="Perpetua"/>
          <w:spacing w:val="59"/>
          <w:w w:val="99"/>
          <w:szCs w:val="24"/>
        </w:rPr>
        <w:t xml:space="preserve"> </w:t>
      </w:r>
      <w:r w:rsidRPr="00196DDC">
        <w:rPr>
          <w:rFonts w:eastAsia="Perpetua" w:cs="Perpetua"/>
          <w:szCs w:val="24"/>
        </w:rPr>
        <w:t>is</w:t>
      </w:r>
      <w:r w:rsidRPr="00196DDC">
        <w:rPr>
          <w:rFonts w:eastAsia="Perpetua" w:cs="Perpetua"/>
          <w:spacing w:val="-6"/>
          <w:szCs w:val="24"/>
        </w:rPr>
        <w:t xml:space="preserve"> </w:t>
      </w:r>
      <w:r w:rsidRPr="00196DDC">
        <w:rPr>
          <w:rFonts w:eastAsia="Perpetua" w:cs="Perpetua"/>
          <w:szCs w:val="24"/>
        </w:rPr>
        <w:t>‘the</w:t>
      </w:r>
      <w:r w:rsidRPr="00196DDC">
        <w:rPr>
          <w:rFonts w:eastAsia="Perpetua" w:cs="Perpetua"/>
          <w:spacing w:val="-6"/>
          <w:szCs w:val="24"/>
        </w:rPr>
        <w:t xml:space="preserve"> </w:t>
      </w:r>
      <w:r w:rsidRPr="00196DDC">
        <w:rPr>
          <w:rFonts w:eastAsia="Perpetua" w:cs="Perpetua"/>
          <w:szCs w:val="24"/>
        </w:rPr>
        <w:t>last</w:t>
      </w:r>
      <w:r w:rsidRPr="00196DDC">
        <w:rPr>
          <w:rFonts w:eastAsia="Perpetua" w:cs="Perpetua"/>
          <w:spacing w:val="-5"/>
          <w:szCs w:val="24"/>
        </w:rPr>
        <w:t xml:space="preserve"> </w:t>
      </w:r>
      <w:r w:rsidRPr="00196DDC">
        <w:rPr>
          <w:rFonts w:eastAsia="Perpetua" w:cs="Perpetua"/>
          <w:szCs w:val="24"/>
        </w:rPr>
        <w:t>form</w:t>
      </w:r>
      <w:r w:rsidRPr="00196DDC">
        <w:rPr>
          <w:rFonts w:eastAsia="Perpetua" w:cs="Perpetua"/>
          <w:spacing w:val="-6"/>
          <w:szCs w:val="24"/>
        </w:rPr>
        <w:t xml:space="preserve"> </w:t>
      </w:r>
      <w:r w:rsidRPr="00196DDC">
        <w:rPr>
          <w:rFonts w:eastAsia="Perpetua" w:cs="Perpetua"/>
          <w:szCs w:val="24"/>
        </w:rPr>
        <w:t>of</w:t>
      </w:r>
      <w:r w:rsidRPr="00196DDC">
        <w:rPr>
          <w:rFonts w:eastAsia="Perpetua" w:cs="Perpetua"/>
          <w:spacing w:val="-6"/>
          <w:szCs w:val="24"/>
        </w:rPr>
        <w:t xml:space="preserve"> </w:t>
      </w:r>
      <w:r w:rsidRPr="00196DDC">
        <w:rPr>
          <w:rFonts w:eastAsia="Perpetua" w:cs="Perpetua"/>
          <w:szCs w:val="24"/>
        </w:rPr>
        <w:t>Gentile</w:t>
      </w:r>
      <w:r w:rsidRPr="00196DDC">
        <w:rPr>
          <w:rFonts w:eastAsia="Perpetua" w:cs="Perpetua"/>
          <w:spacing w:val="-5"/>
          <w:szCs w:val="24"/>
        </w:rPr>
        <w:t xml:space="preserve"> </w:t>
      </w:r>
      <w:r w:rsidRPr="00196DDC">
        <w:rPr>
          <w:rFonts w:eastAsia="Perpetua" w:cs="Perpetua"/>
          <w:szCs w:val="24"/>
        </w:rPr>
        <w:t>world</w:t>
      </w:r>
      <w:r w:rsidRPr="00196DDC">
        <w:rPr>
          <w:rFonts w:eastAsia="Perpetua" w:cs="Perpetua"/>
          <w:spacing w:val="-6"/>
          <w:szCs w:val="24"/>
        </w:rPr>
        <w:t xml:space="preserve"> </w:t>
      </w:r>
      <w:r w:rsidRPr="00196DDC">
        <w:rPr>
          <w:rFonts w:eastAsia="Perpetua" w:cs="Perpetua"/>
          <w:szCs w:val="24"/>
        </w:rPr>
        <w:t>dominion’</w:t>
      </w:r>
      <w:r w:rsidRPr="00196DDC">
        <w:rPr>
          <w:rFonts w:eastAsia="Perpetua" w:cs="Perpetua"/>
          <w:spacing w:val="-6"/>
          <w:szCs w:val="24"/>
        </w:rPr>
        <w:t xml:space="preserve"> </w:t>
      </w:r>
      <w:r w:rsidRPr="00196DDC">
        <w:rPr>
          <w:rFonts w:eastAsia="Perpetua" w:cs="Perpetua"/>
          <w:szCs w:val="24"/>
        </w:rPr>
        <w:t>and</w:t>
      </w:r>
      <w:r w:rsidRPr="00196DDC">
        <w:rPr>
          <w:rFonts w:eastAsia="Perpetua" w:cs="Perpetua"/>
          <w:spacing w:val="-5"/>
          <w:szCs w:val="24"/>
        </w:rPr>
        <w:t xml:space="preserve"> </w:t>
      </w:r>
      <w:r w:rsidRPr="00196DDC">
        <w:rPr>
          <w:rFonts w:eastAsia="Perpetua" w:cs="Perpetua"/>
          <w:szCs w:val="24"/>
        </w:rPr>
        <w:t>that</w:t>
      </w:r>
      <w:r w:rsidRPr="00196DDC">
        <w:rPr>
          <w:rFonts w:eastAsia="Perpetua" w:cs="Perpetua"/>
          <w:spacing w:val="-4"/>
          <w:szCs w:val="24"/>
        </w:rPr>
        <w:t xml:space="preserve"> </w:t>
      </w:r>
      <w:r w:rsidRPr="00196DDC">
        <w:rPr>
          <w:rFonts w:eastAsia="Perpetua" w:cs="Perpetua"/>
          <w:szCs w:val="24"/>
        </w:rPr>
        <w:t>‘ecclesiastical</w:t>
      </w:r>
      <w:r w:rsidRPr="00196DDC">
        <w:rPr>
          <w:rFonts w:eastAsia="Perpetua" w:cs="Perpetua"/>
          <w:spacing w:val="-6"/>
          <w:szCs w:val="24"/>
        </w:rPr>
        <w:t xml:space="preserve"> </w:t>
      </w:r>
      <w:r w:rsidRPr="00196DDC">
        <w:rPr>
          <w:rFonts w:eastAsia="Perpetua" w:cs="Perpetua"/>
          <w:szCs w:val="24"/>
        </w:rPr>
        <w:t>Babylon</w:t>
      </w:r>
      <w:r w:rsidRPr="00196DDC">
        <w:rPr>
          <w:rFonts w:eastAsia="Perpetua" w:cs="Perpetua"/>
          <w:spacing w:val="-5"/>
          <w:szCs w:val="24"/>
        </w:rPr>
        <w:t xml:space="preserve"> </w:t>
      </w:r>
      <w:r w:rsidRPr="00196DDC">
        <w:rPr>
          <w:rFonts w:eastAsia="Perpetua" w:cs="Perpetua"/>
          <w:szCs w:val="24"/>
        </w:rPr>
        <w:t>[apostate</w:t>
      </w:r>
      <w:r w:rsidRPr="00196DDC">
        <w:rPr>
          <w:rFonts w:eastAsia="Perpetua" w:cs="Perpetua"/>
          <w:spacing w:val="-7"/>
          <w:szCs w:val="24"/>
        </w:rPr>
        <w:t xml:space="preserve"> </w:t>
      </w:r>
      <w:r w:rsidRPr="00196DDC">
        <w:rPr>
          <w:rFonts w:eastAsia="Perpetua" w:cs="Perpetua"/>
          <w:szCs w:val="24"/>
        </w:rPr>
        <w:t>Christendom]</w:t>
      </w:r>
      <w:r w:rsidRPr="00196DDC">
        <w:rPr>
          <w:rFonts w:eastAsia="Perpetua" w:cs="Perpetua"/>
          <w:spacing w:val="-5"/>
          <w:szCs w:val="24"/>
        </w:rPr>
        <w:t xml:space="preserve"> </w:t>
      </w:r>
      <w:r w:rsidRPr="00196DDC">
        <w:rPr>
          <w:rFonts w:eastAsia="Perpetua" w:cs="Perpetua"/>
          <w:szCs w:val="24"/>
        </w:rPr>
        <w:t>is</w:t>
      </w:r>
      <w:r w:rsidRPr="00196DDC">
        <w:rPr>
          <w:rFonts w:eastAsia="Perpetua" w:cs="Perpetua"/>
          <w:spacing w:val="-6"/>
          <w:szCs w:val="24"/>
        </w:rPr>
        <w:t xml:space="preserve"> </w:t>
      </w:r>
      <w:r w:rsidRPr="00196DDC">
        <w:rPr>
          <w:rFonts w:eastAsia="Perpetua" w:cs="Perpetua"/>
          <w:szCs w:val="24"/>
        </w:rPr>
        <w:t>to</w:t>
      </w:r>
      <w:r w:rsidRPr="00196DDC">
        <w:rPr>
          <w:rFonts w:eastAsia="Perpetua" w:cs="Perpetua"/>
          <w:spacing w:val="-5"/>
          <w:szCs w:val="24"/>
        </w:rPr>
        <w:t xml:space="preserve"> </w:t>
      </w:r>
      <w:r w:rsidRPr="00196DDC">
        <w:rPr>
          <w:rFonts w:eastAsia="Perpetua" w:cs="Perpetua"/>
          <w:szCs w:val="24"/>
        </w:rPr>
        <w:t>be</w:t>
      </w:r>
      <w:r w:rsidRPr="00196DDC">
        <w:rPr>
          <w:rFonts w:eastAsia="Perpetua" w:cs="Perpetua"/>
          <w:spacing w:val="23"/>
          <w:w w:val="99"/>
          <w:szCs w:val="24"/>
        </w:rPr>
        <w:t xml:space="preserve"> </w:t>
      </w:r>
      <w:r w:rsidRPr="00196DDC">
        <w:rPr>
          <w:rFonts w:eastAsia="Perpetua" w:cs="Perpetua"/>
          <w:spacing w:val="-1"/>
          <w:szCs w:val="24"/>
        </w:rPr>
        <w:t>destroyed</w:t>
      </w:r>
      <w:r w:rsidRPr="00196DDC">
        <w:rPr>
          <w:rFonts w:eastAsia="Perpetua" w:cs="Perpetua"/>
          <w:spacing w:val="-6"/>
          <w:szCs w:val="24"/>
        </w:rPr>
        <w:t xml:space="preserve"> </w:t>
      </w:r>
      <w:r w:rsidRPr="00196DDC">
        <w:rPr>
          <w:rFonts w:eastAsia="Perpetua" w:cs="Perpetua"/>
          <w:szCs w:val="24"/>
        </w:rPr>
        <w:t>by</w:t>
      </w:r>
      <w:r w:rsidRPr="00196DDC">
        <w:rPr>
          <w:rFonts w:eastAsia="Perpetua" w:cs="Perpetua"/>
          <w:spacing w:val="-6"/>
          <w:szCs w:val="24"/>
        </w:rPr>
        <w:t xml:space="preserve"> </w:t>
      </w:r>
      <w:r w:rsidRPr="00196DDC">
        <w:rPr>
          <w:rFonts w:eastAsia="Perpetua" w:cs="Perpetua"/>
          <w:spacing w:val="-1"/>
          <w:szCs w:val="24"/>
        </w:rPr>
        <w:t>political</w:t>
      </w:r>
      <w:r w:rsidRPr="00196DDC">
        <w:rPr>
          <w:rFonts w:eastAsia="Perpetua" w:cs="Perpetua"/>
          <w:spacing w:val="-4"/>
          <w:szCs w:val="24"/>
        </w:rPr>
        <w:t xml:space="preserve"> </w:t>
      </w:r>
      <w:r w:rsidRPr="00196DDC">
        <w:rPr>
          <w:rFonts w:eastAsia="Perpetua" w:cs="Perpetua"/>
          <w:szCs w:val="24"/>
        </w:rPr>
        <w:t>Babylon</w:t>
      </w:r>
      <w:r w:rsidRPr="00196DDC">
        <w:rPr>
          <w:rFonts w:eastAsia="Perpetua" w:cs="Perpetua"/>
          <w:spacing w:val="-5"/>
          <w:szCs w:val="24"/>
        </w:rPr>
        <w:t xml:space="preserve"> </w:t>
      </w:r>
      <w:r w:rsidRPr="00196DDC">
        <w:rPr>
          <w:rFonts w:eastAsia="Perpetua" w:cs="Perpetua"/>
          <w:szCs w:val="24"/>
        </w:rPr>
        <w:t>[the</w:t>
      </w:r>
      <w:r w:rsidRPr="00196DDC">
        <w:rPr>
          <w:rFonts w:eastAsia="Perpetua" w:cs="Perpetua"/>
          <w:spacing w:val="-6"/>
          <w:szCs w:val="24"/>
        </w:rPr>
        <w:t xml:space="preserve"> </w:t>
      </w:r>
      <w:r w:rsidRPr="00196DDC">
        <w:rPr>
          <w:rFonts w:eastAsia="Perpetua" w:cs="Perpetua"/>
          <w:spacing w:val="-1"/>
          <w:szCs w:val="24"/>
        </w:rPr>
        <w:t>Beast’s</w:t>
      </w:r>
      <w:r w:rsidRPr="00196DDC">
        <w:rPr>
          <w:rFonts w:eastAsia="Perpetua" w:cs="Perpetua"/>
          <w:spacing w:val="-5"/>
          <w:szCs w:val="24"/>
        </w:rPr>
        <w:t xml:space="preserve"> </w:t>
      </w:r>
      <w:r w:rsidRPr="00196DDC">
        <w:rPr>
          <w:rFonts w:eastAsia="Perpetua" w:cs="Perpetua"/>
          <w:spacing w:val="-1"/>
          <w:szCs w:val="24"/>
        </w:rPr>
        <w:t>confederated</w:t>
      </w:r>
      <w:r w:rsidRPr="00196DDC">
        <w:rPr>
          <w:rFonts w:eastAsia="Perpetua" w:cs="Perpetua"/>
          <w:spacing w:val="-4"/>
          <w:szCs w:val="24"/>
        </w:rPr>
        <w:t xml:space="preserve"> </w:t>
      </w:r>
      <w:r w:rsidRPr="00196DDC">
        <w:rPr>
          <w:rFonts w:eastAsia="Perpetua" w:cs="Perpetua"/>
          <w:spacing w:val="-1"/>
          <w:szCs w:val="24"/>
        </w:rPr>
        <w:t>Empire]</w:t>
      </w:r>
      <w:r w:rsidRPr="00196DDC">
        <w:rPr>
          <w:rFonts w:eastAsia="Perpetua" w:cs="Perpetua"/>
          <w:spacing w:val="-6"/>
          <w:szCs w:val="24"/>
        </w:rPr>
        <w:t xml:space="preserve"> </w:t>
      </w:r>
      <w:r w:rsidRPr="00196DDC">
        <w:rPr>
          <w:rFonts w:eastAsia="Perpetua" w:cs="Perpetua"/>
          <w:spacing w:val="-1"/>
          <w:szCs w:val="24"/>
        </w:rPr>
        <w:t>so</w:t>
      </w:r>
      <w:r w:rsidRPr="00196DDC">
        <w:rPr>
          <w:rFonts w:eastAsia="Perpetua" w:cs="Perpetua"/>
          <w:spacing w:val="-6"/>
          <w:szCs w:val="24"/>
        </w:rPr>
        <w:t xml:space="preserve"> </w:t>
      </w:r>
      <w:r w:rsidRPr="00196DDC">
        <w:rPr>
          <w:rFonts w:eastAsia="Perpetua" w:cs="Perpetua"/>
          <w:spacing w:val="-1"/>
          <w:szCs w:val="24"/>
        </w:rPr>
        <w:t>that</w:t>
      </w:r>
      <w:r w:rsidRPr="00196DDC">
        <w:rPr>
          <w:rFonts w:eastAsia="Perpetua" w:cs="Perpetua"/>
          <w:spacing w:val="-5"/>
          <w:szCs w:val="24"/>
        </w:rPr>
        <w:t xml:space="preserve"> </w:t>
      </w:r>
      <w:r w:rsidRPr="00196DDC">
        <w:rPr>
          <w:rFonts w:eastAsia="Perpetua" w:cs="Perpetua"/>
          <w:szCs w:val="24"/>
        </w:rPr>
        <w:t>the</w:t>
      </w:r>
      <w:r w:rsidRPr="00196DDC">
        <w:rPr>
          <w:rFonts w:eastAsia="Perpetua" w:cs="Perpetua"/>
          <w:spacing w:val="-5"/>
          <w:szCs w:val="24"/>
        </w:rPr>
        <w:t xml:space="preserve"> </w:t>
      </w:r>
      <w:r w:rsidRPr="00196DDC">
        <w:rPr>
          <w:rFonts w:eastAsia="Perpetua" w:cs="Perpetua"/>
          <w:spacing w:val="-1"/>
          <w:szCs w:val="24"/>
        </w:rPr>
        <w:t>Beast</w:t>
      </w:r>
      <w:r w:rsidRPr="00196DDC">
        <w:rPr>
          <w:rFonts w:eastAsia="Perpetua" w:cs="Perpetua"/>
          <w:spacing w:val="-5"/>
          <w:szCs w:val="24"/>
        </w:rPr>
        <w:t xml:space="preserve"> </w:t>
      </w:r>
      <w:r w:rsidRPr="00196DDC">
        <w:rPr>
          <w:rFonts w:eastAsia="Perpetua" w:cs="Perpetua"/>
          <w:spacing w:val="-1"/>
          <w:szCs w:val="24"/>
        </w:rPr>
        <w:t>may</w:t>
      </w:r>
      <w:r w:rsidRPr="00196DDC">
        <w:rPr>
          <w:rFonts w:eastAsia="Perpetua" w:cs="Perpetua"/>
          <w:spacing w:val="-6"/>
          <w:szCs w:val="24"/>
        </w:rPr>
        <w:t xml:space="preserve"> </w:t>
      </w:r>
      <w:r w:rsidRPr="00196DDC">
        <w:rPr>
          <w:rFonts w:eastAsia="Perpetua" w:cs="Perpetua"/>
          <w:spacing w:val="-1"/>
          <w:szCs w:val="24"/>
        </w:rPr>
        <w:t>be</w:t>
      </w:r>
      <w:r w:rsidRPr="00196DDC">
        <w:rPr>
          <w:rFonts w:eastAsia="Perpetua" w:cs="Perpetua"/>
          <w:spacing w:val="-5"/>
          <w:szCs w:val="24"/>
        </w:rPr>
        <w:t xml:space="preserve"> </w:t>
      </w:r>
      <w:r w:rsidRPr="00196DDC">
        <w:rPr>
          <w:rFonts w:eastAsia="Perpetua" w:cs="Perpetua"/>
          <w:spacing w:val="-1"/>
          <w:szCs w:val="24"/>
        </w:rPr>
        <w:t>the</w:t>
      </w:r>
      <w:r w:rsidRPr="00196DDC">
        <w:rPr>
          <w:rFonts w:eastAsia="Perpetua" w:cs="Perpetua"/>
          <w:spacing w:val="-5"/>
          <w:szCs w:val="24"/>
        </w:rPr>
        <w:t xml:space="preserve"> </w:t>
      </w:r>
      <w:r w:rsidRPr="00196DDC">
        <w:rPr>
          <w:rFonts w:eastAsia="Perpetua" w:cs="Perpetua"/>
          <w:spacing w:val="-1"/>
          <w:szCs w:val="24"/>
        </w:rPr>
        <w:t>sole</w:t>
      </w:r>
      <w:r w:rsidRPr="00196DDC">
        <w:rPr>
          <w:rFonts w:eastAsia="Perpetua" w:cs="Perpetua"/>
          <w:spacing w:val="69"/>
          <w:w w:val="99"/>
          <w:szCs w:val="24"/>
        </w:rPr>
        <w:t xml:space="preserve"> </w:t>
      </w:r>
      <w:r w:rsidRPr="00196DDC">
        <w:rPr>
          <w:rFonts w:eastAsia="Perpetua" w:cs="Perpetua"/>
          <w:szCs w:val="24"/>
        </w:rPr>
        <w:t>object</w:t>
      </w:r>
      <w:r w:rsidRPr="00196DDC">
        <w:rPr>
          <w:rFonts w:eastAsia="Perpetua" w:cs="Perpetua"/>
          <w:spacing w:val="-7"/>
          <w:szCs w:val="24"/>
        </w:rPr>
        <w:t xml:space="preserve"> </w:t>
      </w:r>
      <w:r w:rsidRPr="00196DDC">
        <w:rPr>
          <w:rFonts w:eastAsia="Perpetua" w:cs="Perpetua"/>
          <w:szCs w:val="24"/>
        </w:rPr>
        <w:t>of</w:t>
      </w:r>
      <w:r w:rsidRPr="00196DDC">
        <w:rPr>
          <w:rFonts w:eastAsia="Perpetua" w:cs="Perpetua"/>
          <w:spacing w:val="-6"/>
          <w:szCs w:val="24"/>
        </w:rPr>
        <w:t xml:space="preserve"> </w:t>
      </w:r>
      <w:r w:rsidRPr="00196DDC">
        <w:rPr>
          <w:rFonts w:eastAsia="Perpetua" w:cs="Perpetua"/>
          <w:szCs w:val="24"/>
        </w:rPr>
        <w:t>worship’.</w:t>
      </w:r>
      <w:r w:rsidRPr="00196DDC">
        <w:rPr>
          <w:rStyle w:val="EndnoteReference"/>
          <w:rFonts w:eastAsia="Perpetua" w:cs="Perpetua"/>
          <w:szCs w:val="24"/>
        </w:rPr>
        <w:endnoteReference w:id="1957"/>
      </w:r>
      <w:r w:rsidRPr="00196DDC">
        <w:rPr>
          <w:rFonts w:eastAsia="Perpetua" w:cs="Perpetua"/>
          <w:szCs w:val="24"/>
        </w:rPr>
        <w:t xml:space="preserve">  </w:t>
      </w:r>
    </w:p>
    <w:p w:rsidR="006A2E06" w:rsidRPr="00196DDC" w:rsidRDefault="006A2E06" w:rsidP="006A2E06">
      <w:pPr>
        <w:spacing w:after="120" w:line="360" w:lineRule="auto"/>
        <w:ind w:firstLine="567"/>
        <w:jc w:val="both"/>
        <w:rPr>
          <w:rFonts w:eastAsia="Perpetua" w:cs="Perpetua"/>
        </w:rPr>
      </w:pPr>
      <w:r w:rsidRPr="00196DDC">
        <w:t xml:space="preserve">Several meanings are allotted to the abominations.  They are equated with the little horn </w:t>
      </w:r>
      <w:r>
        <w:t>hims</w:t>
      </w:r>
      <w:r w:rsidRPr="00196DDC">
        <w:t>elf</w:t>
      </w:r>
      <w:r w:rsidRPr="00196DDC">
        <w:rPr>
          <w:rStyle w:val="EndnoteReference"/>
        </w:rPr>
        <w:endnoteReference w:id="1958"/>
      </w:r>
      <w:r w:rsidRPr="00196DDC">
        <w:t xml:space="preserve"> and with ‘the blasphemous assumption of deity by the Beast’.</w:t>
      </w:r>
      <w:r w:rsidRPr="00196DDC">
        <w:rPr>
          <w:rStyle w:val="EndnoteReference"/>
        </w:rPr>
        <w:endnoteReference w:id="1959"/>
      </w:r>
      <w:r w:rsidRPr="00196DDC">
        <w:t xml:space="preserve">  Scofield asserts that ‘the abomination in the holy place’ is the first of the ‘details’ described in Mt. 24:15-28.</w:t>
      </w:r>
      <w:r w:rsidRPr="00196DDC">
        <w:rPr>
          <w:rStyle w:val="EndnoteReference"/>
        </w:rPr>
        <w:endnoteReference w:id="1960"/>
      </w:r>
      <w:r w:rsidRPr="00196DDC">
        <w:t xml:space="preserve">  </w:t>
      </w:r>
      <w:r>
        <w:t>T</w:t>
      </w:r>
      <w:r w:rsidRPr="00196DDC">
        <w:t>he</w:t>
      </w:r>
      <w:r w:rsidRPr="00196DDC">
        <w:rPr>
          <w:spacing w:val="-4"/>
        </w:rPr>
        <w:t xml:space="preserve"> </w:t>
      </w:r>
      <w:r w:rsidRPr="00196DDC">
        <w:t>sign</w:t>
      </w:r>
      <w:r w:rsidRPr="00196DDC">
        <w:rPr>
          <w:spacing w:val="-4"/>
        </w:rPr>
        <w:t xml:space="preserve"> </w:t>
      </w:r>
      <w:r w:rsidRPr="00196DDC">
        <w:t>of</w:t>
      </w:r>
      <w:r w:rsidRPr="00196DDC">
        <w:rPr>
          <w:spacing w:val="-4"/>
        </w:rPr>
        <w:t xml:space="preserve"> </w:t>
      </w:r>
      <w:r w:rsidRPr="00196DDC">
        <w:t>the</w:t>
      </w:r>
      <w:r w:rsidRPr="00196DDC">
        <w:rPr>
          <w:spacing w:val="-4"/>
        </w:rPr>
        <w:t xml:space="preserve"> </w:t>
      </w:r>
      <w:r w:rsidRPr="00196DDC">
        <w:t>abomination</w:t>
      </w:r>
      <w:r w:rsidRPr="00196DDC">
        <w:rPr>
          <w:spacing w:val="-2"/>
        </w:rPr>
        <w:t xml:space="preserve"> </w:t>
      </w:r>
      <w:r>
        <w:t>i</w:t>
      </w:r>
      <w:r w:rsidRPr="00196DDC">
        <w:t>s</w:t>
      </w:r>
      <w:r w:rsidRPr="00196DDC">
        <w:rPr>
          <w:spacing w:val="-4"/>
        </w:rPr>
        <w:t xml:space="preserve"> </w:t>
      </w:r>
      <w:r w:rsidRPr="00196DDC">
        <w:t>the</w:t>
      </w:r>
      <w:r w:rsidRPr="00196DDC">
        <w:rPr>
          <w:spacing w:val="-5"/>
        </w:rPr>
        <w:t xml:space="preserve"> </w:t>
      </w:r>
      <w:r w:rsidRPr="00196DDC">
        <w:t>man</w:t>
      </w:r>
      <w:r w:rsidRPr="00196DDC">
        <w:rPr>
          <w:spacing w:val="-4"/>
        </w:rPr>
        <w:t xml:space="preserve"> </w:t>
      </w:r>
      <w:r w:rsidRPr="00196DDC">
        <w:t>of</w:t>
      </w:r>
      <w:r w:rsidRPr="00196DDC">
        <w:rPr>
          <w:spacing w:val="-2"/>
        </w:rPr>
        <w:t xml:space="preserve"> </w:t>
      </w:r>
      <w:r w:rsidRPr="00196DDC">
        <w:t>sin,</w:t>
      </w:r>
      <w:r w:rsidRPr="00196DDC">
        <w:rPr>
          <w:spacing w:val="-4"/>
        </w:rPr>
        <w:t xml:space="preserve"> </w:t>
      </w:r>
      <w:r w:rsidRPr="00196DDC">
        <w:t>who</w:t>
      </w:r>
      <w:r w:rsidRPr="00196DDC">
        <w:rPr>
          <w:spacing w:val="-3"/>
        </w:rPr>
        <w:t xml:space="preserve"> </w:t>
      </w:r>
      <w:r w:rsidRPr="00196DDC">
        <w:t>is</w:t>
      </w:r>
      <w:r w:rsidRPr="00196DDC">
        <w:rPr>
          <w:spacing w:val="-2"/>
        </w:rPr>
        <w:t xml:space="preserve"> </w:t>
      </w:r>
      <w:r w:rsidRPr="00196DDC">
        <w:t>the</w:t>
      </w:r>
      <w:r w:rsidRPr="00196DDC">
        <w:rPr>
          <w:spacing w:val="35"/>
          <w:w w:val="99"/>
        </w:rPr>
        <w:t xml:space="preserve"> </w:t>
      </w:r>
      <w:r w:rsidRPr="00196DDC">
        <w:t>Beast</w:t>
      </w:r>
      <w:r>
        <w:t>,</w:t>
      </w:r>
      <w:r w:rsidRPr="00196DDC">
        <w:rPr>
          <w:rStyle w:val="EndnoteReference"/>
        </w:rPr>
        <w:endnoteReference w:id="1961"/>
      </w:r>
      <w:r w:rsidRPr="00196DDC">
        <w:t xml:space="preserve">  </w:t>
      </w:r>
      <w:r>
        <w:t xml:space="preserve">Scofield </w:t>
      </w:r>
      <w:r w:rsidRPr="00196DDC">
        <w:t>refers to a foreshadowing of ‘the final siege at the end of this age, in which the great tribulation culminates’; the sign in Luke is Jerusalem’s being surrounded by armies, whereas that in Mt. 24:15 and Mk 13:14 is ‘the abomination in the holy place’.</w:t>
      </w:r>
      <w:r w:rsidRPr="00196DDC">
        <w:rPr>
          <w:rStyle w:val="EndnoteReference"/>
        </w:rPr>
        <w:endnoteReference w:id="1962"/>
      </w:r>
      <w:r w:rsidRPr="00196DDC">
        <w:t xml:space="preserve">  </w:t>
      </w:r>
      <w:r>
        <w:t>He</w:t>
      </w:r>
      <w:r w:rsidRPr="00196DDC">
        <w:t xml:space="preserve"> states that the passage in Matthew describes ‘a future crisis in Jerusalem after the manifestation of “the abomination”’.</w:t>
      </w:r>
      <w:r w:rsidRPr="00196DDC">
        <w:rPr>
          <w:rStyle w:val="EndnoteReference"/>
        </w:rPr>
        <w:endnoteReference w:id="1963"/>
      </w:r>
      <w:r w:rsidRPr="00196DDC">
        <w:t xml:space="preserve">  </w:t>
      </w:r>
      <w:r w:rsidRPr="00196DDC">
        <w:rPr>
          <w:rFonts w:eastAsia="Perpetua" w:cs="Perpetua"/>
        </w:rPr>
        <w:t>In</w:t>
      </w:r>
      <w:r w:rsidRPr="00196DDC">
        <w:rPr>
          <w:rFonts w:eastAsia="Perpetua" w:cs="Perpetua"/>
          <w:spacing w:val="-6"/>
        </w:rPr>
        <w:t xml:space="preserve"> </w:t>
      </w:r>
      <w:r w:rsidRPr="00196DDC">
        <w:rPr>
          <w:rFonts w:eastAsia="Perpetua" w:cs="Perpetua"/>
        </w:rPr>
        <w:t>his note</w:t>
      </w:r>
      <w:r w:rsidRPr="00196DDC">
        <w:rPr>
          <w:rFonts w:eastAsia="Perpetua" w:cs="Perpetua"/>
          <w:spacing w:val="-5"/>
        </w:rPr>
        <w:t xml:space="preserve"> </w:t>
      </w:r>
      <w:r w:rsidRPr="00196DDC">
        <w:rPr>
          <w:rFonts w:eastAsia="Perpetua" w:cs="Perpetua"/>
        </w:rPr>
        <w:t>on</w:t>
      </w:r>
      <w:r w:rsidRPr="00196DDC">
        <w:rPr>
          <w:rFonts w:eastAsia="Perpetua" w:cs="Perpetua"/>
          <w:spacing w:val="-5"/>
        </w:rPr>
        <w:t xml:space="preserve"> </w:t>
      </w:r>
      <w:r w:rsidRPr="00196DDC">
        <w:rPr>
          <w:rFonts w:eastAsia="Perpetua" w:cs="Perpetua"/>
        </w:rPr>
        <w:t>Rev.</w:t>
      </w:r>
      <w:r w:rsidRPr="00196DDC">
        <w:rPr>
          <w:rFonts w:eastAsia="Perpetua" w:cs="Perpetua"/>
          <w:spacing w:val="-4"/>
        </w:rPr>
        <w:t xml:space="preserve"> </w:t>
      </w:r>
      <w:r w:rsidRPr="00196DDC">
        <w:rPr>
          <w:rFonts w:eastAsia="Perpetua" w:cs="Perpetua"/>
        </w:rPr>
        <w:t>19:20,</w:t>
      </w:r>
      <w:r w:rsidRPr="00196DDC">
        <w:rPr>
          <w:rFonts w:eastAsia="Perpetua" w:cs="Perpetua"/>
          <w:spacing w:val="-4"/>
        </w:rPr>
        <w:t xml:space="preserve"> </w:t>
      </w:r>
      <w:r w:rsidRPr="00196DDC">
        <w:rPr>
          <w:rFonts w:eastAsia="Perpetua" w:cs="Perpetua"/>
        </w:rPr>
        <w:t>Scofield refers</w:t>
      </w:r>
      <w:r w:rsidRPr="00196DDC">
        <w:rPr>
          <w:rFonts w:eastAsia="Perpetua" w:cs="Perpetua"/>
          <w:spacing w:val="-4"/>
        </w:rPr>
        <w:t xml:space="preserve"> </w:t>
      </w:r>
      <w:r w:rsidRPr="00196DDC">
        <w:rPr>
          <w:rFonts w:eastAsia="Perpetua" w:cs="Perpetua"/>
          <w:spacing w:val="-1"/>
        </w:rPr>
        <w:t>to</w:t>
      </w:r>
      <w:r w:rsidRPr="00196DDC">
        <w:rPr>
          <w:rFonts w:eastAsia="Perpetua" w:cs="Perpetua"/>
          <w:spacing w:val="-5"/>
        </w:rPr>
        <w:t xml:space="preserve"> </w:t>
      </w:r>
      <w:r w:rsidRPr="00196DDC">
        <w:rPr>
          <w:rFonts w:eastAsia="Perpetua" w:cs="Perpetua"/>
          <w:spacing w:val="-1"/>
        </w:rPr>
        <w:t>the</w:t>
      </w:r>
      <w:r w:rsidRPr="00196DDC">
        <w:rPr>
          <w:rFonts w:eastAsia="Perpetua" w:cs="Perpetua"/>
          <w:spacing w:val="-4"/>
        </w:rPr>
        <w:t xml:space="preserve"> </w:t>
      </w:r>
      <w:r>
        <w:rPr>
          <w:rFonts w:eastAsia="Perpetua" w:cs="Perpetua"/>
          <w:spacing w:val="-1"/>
        </w:rPr>
        <w:t>b</w:t>
      </w:r>
      <w:r w:rsidRPr="00196DDC">
        <w:rPr>
          <w:rFonts w:eastAsia="Perpetua" w:cs="Perpetua"/>
          <w:spacing w:val="-1"/>
        </w:rPr>
        <w:t>east</w:t>
      </w:r>
      <w:r w:rsidRPr="00196DDC">
        <w:rPr>
          <w:rFonts w:eastAsia="Perpetua" w:cs="Perpetua"/>
          <w:spacing w:val="-5"/>
        </w:rPr>
        <w:t xml:space="preserve"> </w:t>
      </w:r>
      <w:r w:rsidRPr="00196DDC">
        <w:rPr>
          <w:rFonts w:eastAsia="Perpetua" w:cs="Perpetua"/>
          <w:spacing w:val="-1"/>
        </w:rPr>
        <w:t>as</w:t>
      </w:r>
      <w:r w:rsidRPr="00196DDC">
        <w:rPr>
          <w:rFonts w:eastAsia="Perpetua" w:cs="Perpetua"/>
          <w:spacing w:val="-4"/>
        </w:rPr>
        <w:t xml:space="preserve"> </w:t>
      </w:r>
      <w:r>
        <w:rPr>
          <w:rFonts w:eastAsia="Perpetua" w:cs="Perpetua"/>
          <w:spacing w:val="-4"/>
        </w:rPr>
        <w:t>‘“</w:t>
      </w:r>
      <w:r w:rsidRPr="00196DDC">
        <w:rPr>
          <w:rFonts w:eastAsia="Perpetua" w:cs="Perpetua"/>
        </w:rPr>
        <w:t>the</w:t>
      </w:r>
      <w:r w:rsidRPr="00196DDC">
        <w:rPr>
          <w:rFonts w:eastAsia="Perpetua" w:cs="Perpetua"/>
          <w:spacing w:val="-5"/>
        </w:rPr>
        <w:t xml:space="preserve"> </w:t>
      </w:r>
      <w:r w:rsidRPr="00196DDC">
        <w:rPr>
          <w:rFonts w:eastAsia="Perpetua" w:cs="Perpetua"/>
          <w:spacing w:val="-1"/>
        </w:rPr>
        <w:t>little</w:t>
      </w:r>
      <w:r w:rsidRPr="00196DDC">
        <w:rPr>
          <w:rFonts w:eastAsia="Perpetua" w:cs="Perpetua"/>
          <w:spacing w:val="-4"/>
        </w:rPr>
        <w:t xml:space="preserve"> </w:t>
      </w:r>
      <w:r w:rsidRPr="00196DDC">
        <w:rPr>
          <w:rFonts w:eastAsia="Perpetua" w:cs="Perpetua"/>
          <w:spacing w:val="-1"/>
        </w:rPr>
        <w:t>horn</w:t>
      </w:r>
      <w:r>
        <w:rPr>
          <w:rFonts w:eastAsia="Perpetua" w:cs="Perpetua"/>
          <w:spacing w:val="-1"/>
        </w:rPr>
        <w:t>” … “</w:t>
      </w:r>
      <w:r w:rsidRPr="00196DDC">
        <w:rPr>
          <w:rFonts w:eastAsia="Perpetua" w:cs="Perpetua"/>
        </w:rPr>
        <w:t>the</w:t>
      </w:r>
      <w:r w:rsidRPr="00196DDC">
        <w:rPr>
          <w:rFonts w:eastAsia="Perpetua" w:cs="Perpetua"/>
          <w:spacing w:val="51"/>
          <w:w w:val="99"/>
        </w:rPr>
        <w:t xml:space="preserve"> </w:t>
      </w:r>
      <w:r w:rsidRPr="00196DDC">
        <w:rPr>
          <w:rFonts w:eastAsia="Perpetua" w:cs="Perpetua"/>
        </w:rPr>
        <w:t>desolator</w:t>
      </w:r>
      <w:r>
        <w:rPr>
          <w:rFonts w:eastAsia="Perpetua" w:cs="Perpetua"/>
        </w:rPr>
        <w:t>” …</w:t>
      </w:r>
      <w:r w:rsidRPr="00196DDC">
        <w:rPr>
          <w:rFonts w:eastAsia="Perpetua" w:cs="Perpetua"/>
          <w:spacing w:val="-5"/>
        </w:rPr>
        <w:t xml:space="preserve"> </w:t>
      </w:r>
      <w:r>
        <w:rPr>
          <w:rFonts w:eastAsia="Perpetua" w:cs="Perpetua"/>
          <w:spacing w:val="-5"/>
        </w:rPr>
        <w:t>“</w:t>
      </w:r>
      <w:r w:rsidRPr="00196DDC">
        <w:rPr>
          <w:rFonts w:eastAsia="Perpetua" w:cs="Perpetua"/>
        </w:rPr>
        <w:t>the</w:t>
      </w:r>
      <w:r w:rsidRPr="00196DDC">
        <w:rPr>
          <w:rFonts w:eastAsia="Perpetua" w:cs="Perpetua"/>
          <w:spacing w:val="-6"/>
        </w:rPr>
        <w:t xml:space="preserve"> </w:t>
      </w:r>
      <w:r w:rsidRPr="00196DDC">
        <w:rPr>
          <w:rFonts w:eastAsia="Perpetua" w:cs="Perpetua"/>
        </w:rPr>
        <w:t>abomination</w:t>
      </w:r>
      <w:r w:rsidRPr="00196DDC">
        <w:rPr>
          <w:rFonts w:eastAsia="Perpetua" w:cs="Perpetua"/>
          <w:spacing w:val="-6"/>
        </w:rPr>
        <w:t xml:space="preserve"> </w:t>
      </w:r>
      <w:r w:rsidRPr="00196DDC">
        <w:rPr>
          <w:rFonts w:eastAsia="Perpetua" w:cs="Perpetua"/>
        </w:rPr>
        <w:t>of</w:t>
      </w:r>
      <w:r w:rsidRPr="00196DDC">
        <w:rPr>
          <w:rFonts w:eastAsia="Perpetua" w:cs="Perpetua"/>
          <w:spacing w:val="-5"/>
        </w:rPr>
        <w:t xml:space="preserve"> </w:t>
      </w:r>
      <w:r w:rsidRPr="00196DDC">
        <w:rPr>
          <w:rFonts w:eastAsia="Perpetua" w:cs="Perpetua"/>
        </w:rPr>
        <w:t>desolation</w:t>
      </w:r>
      <w:r>
        <w:rPr>
          <w:rFonts w:eastAsia="Perpetua" w:cs="Perpetua"/>
        </w:rPr>
        <w:t>” …</w:t>
      </w:r>
      <w:r w:rsidRPr="00196DDC">
        <w:rPr>
          <w:rFonts w:eastAsia="Perpetua" w:cs="Perpetua"/>
          <w:spacing w:val="-6"/>
        </w:rPr>
        <w:t xml:space="preserve"> </w:t>
      </w:r>
      <w:r w:rsidRPr="00196DDC">
        <w:rPr>
          <w:rFonts w:eastAsia="Perpetua" w:cs="Perpetua"/>
        </w:rPr>
        <w:t>and</w:t>
      </w:r>
      <w:r w:rsidRPr="00196DDC">
        <w:rPr>
          <w:rFonts w:eastAsia="Perpetua" w:cs="Perpetua"/>
          <w:spacing w:val="-3"/>
        </w:rPr>
        <w:t xml:space="preserve"> </w:t>
      </w:r>
      <w:r>
        <w:rPr>
          <w:rFonts w:eastAsia="Perpetua" w:cs="Perpetua"/>
          <w:spacing w:val="-3"/>
        </w:rPr>
        <w:t>“</w:t>
      </w:r>
      <w:r w:rsidRPr="00196DDC">
        <w:rPr>
          <w:rFonts w:eastAsia="Perpetua" w:cs="Perpetua"/>
        </w:rPr>
        <w:t>the</w:t>
      </w:r>
      <w:r w:rsidRPr="00196DDC">
        <w:rPr>
          <w:rFonts w:eastAsia="Perpetua" w:cs="Perpetua"/>
          <w:spacing w:val="-6"/>
        </w:rPr>
        <w:t xml:space="preserve"> </w:t>
      </w:r>
      <w:r w:rsidRPr="00196DDC">
        <w:rPr>
          <w:rFonts w:eastAsia="Perpetua" w:cs="Perpetua"/>
        </w:rPr>
        <w:t>man</w:t>
      </w:r>
      <w:r w:rsidRPr="00196DDC">
        <w:rPr>
          <w:rFonts w:eastAsia="Perpetua" w:cs="Perpetua"/>
          <w:spacing w:val="-4"/>
        </w:rPr>
        <w:t xml:space="preserve"> </w:t>
      </w:r>
      <w:r w:rsidRPr="00196DDC">
        <w:rPr>
          <w:rFonts w:eastAsia="Perpetua" w:cs="Perpetua"/>
        </w:rPr>
        <w:t>of</w:t>
      </w:r>
      <w:r w:rsidRPr="00196DDC">
        <w:rPr>
          <w:rFonts w:eastAsia="Perpetua" w:cs="Perpetua"/>
          <w:spacing w:val="-5"/>
        </w:rPr>
        <w:t xml:space="preserve"> </w:t>
      </w:r>
      <w:r w:rsidRPr="00196DDC">
        <w:rPr>
          <w:rFonts w:eastAsia="Perpetua" w:cs="Perpetua"/>
        </w:rPr>
        <w:t>sin</w:t>
      </w:r>
      <w:r>
        <w:rPr>
          <w:rFonts w:eastAsia="Perpetua" w:cs="Perpetua"/>
        </w:rPr>
        <w:t>”</w:t>
      </w:r>
      <w:r w:rsidRPr="00196DDC">
        <w:rPr>
          <w:rFonts w:eastAsia="Perpetua" w:cs="Perpetua"/>
        </w:rPr>
        <w:t>.</w:t>
      </w:r>
      <w:r w:rsidRPr="00196DDC">
        <w:rPr>
          <w:rStyle w:val="EndnoteReference"/>
          <w:rFonts w:eastAsia="Perpetua" w:cs="Perpetua"/>
        </w:rPr>
        <w:endnoteReference w:id="1964"/>
      </w:r>
    </w:p>
    <w:p w:rsidR="006A2E06" w:rsidRPr="00DE4E94" w:rsidRDefault="006A2E06" w:rsidP="006A2E06">
      <w:pPr>
        <w:spacing w:after="120" w:line="360" w:lineRule="auto"/>
        <w:ind w:firstLine="567"/>
        <w:jc w:val="both"/>
      </w:pPr>
      <w:r>
        <w:t>A number of notes refer to the beast’s role in the Gentile invasion of Palestine from the north, which culminates in the Battle of Armageddon.  The beast is the leader of the armies,</w:t>
      </w:r>
      <w:r>
        <w:rPr>
          <w:rStyle w:val="EndnoteReference"/>
        </w:rPr>
        <w:endnoteReference w:id="1965"/>
      </w:r>
      <w:r>
        <w:t xml:space="preserve"> which lay siege to </w:t>
      </w:r>
      <w:r>
        <w:lastRenderedPageBreak/>
        <w:t xml:space="preserve">Jerusalem.  </w:t>
      </w:r>
      <w:r w:rsidRPr="00DE4E94">
        <w:t>According to the note on Rev. 19:17, the beast is accompanied by the false prophet in besieging ‘the Jewish remnant’.</w:t>
      </w:r>
      <w:r w:rsidRPr="00DE4E94">
        <w:rPr>
          <w:rStyle w:val="EndnoteReference"/>
        </w:rPr>
        <w:endnoteReference w:id="1966"/>
      </w:r>
      <w:r w:rsidRPr="00DE4E94">
        <w:t xml:space="preserve">  </w:t>
      </w:r>
    </w:p>
    <w:p w:rsidR="006A2E06" w:rsidRPr="00DE4E94" w:rsidRDefault="006A2E06" w:rsidP="006A2E06">
      <w:pPr>
        <w:spacing w:after="120" w:line="360" w:lineRule="auto"/>
        <w:ind w:firstLine="567"/>
        <w:jc w:val="both"/>
      </w:pPr>
      <w:r w:rsidRPr="00DE4E94">
        <w:t>As stated above, Scofield equates Antichrist with the false prophet and beast out of the earth.  In the note on a verse where neither the false prophet nor Antichrist is mentioned, Rev. 13:16, Scofield expounds 1 Jn 2:18, stating that ‘</w:t>
      </w:r>
      <w:r w:rsidRPr="00DE4E94">
        <w:rPr>
          <w:i/>
        </w:rPr>
        <w:t>the</w:t>
      </w:r>
      <w:r w:rsidRPr="00DE4E94">
        <w:t xml:space="preserve"> Antichrist’ is the Beast out of the earth</w:t>
      </w:r>
      <w:r w:rsidRPr="00DE4E94">
        <w:rPr>
          <w:rStyle w:val="EndnoteReference"/>
        </w:rPr>
        <w:endnoteReference w:id="1967"/>
      </w:r>
      <w:r w:rsidRPr="00DE4E94">
        <w:t xml:space="preserve"> and the False Prophet,</w:t>
      </w:r>
      <w:r w:rsidRPr="00DE4E94">
        <w:rPr>
          <w:rStyle w:val="EndnoteReference"/>
        </w:rPr>
        <w:endnoteReference w:id="1968"/>
      </w:r>
      <w:r w:rsidRPr="00DE4E94">
        <w:t xml:space="preserve"> the last ecclesiastical head as the Beast is the last civil head.</w:t>
      </w:r>
      <w:r w:rsidRPr="00DE4E94">
        <w:rPr>
          <w:rStyle w:val="EndnoteReference"/>
        </w:rPr>
        <w:endnoteReference w:id="1969"/>
      </w:r>
      <w:r w:rsidRPr="00DE4E94">
        <w:t xml:space="preserve">  He offers no evidence for these assertions.  Regarding the former, Scofield refers to Rev. 13:11-17; this is the only passage in Revelation where ‘the beast coming up out of the earth’ and his activities are mentioned.  Rev. 16:13, Rev. 19:20 and Rev. 20:10, which Scofield gives as references concerning the latter, are three of the four verses in which the false prophet is actually mentioned.  Gordon Fee identifies the false prophet with ‘the cult of the emperor’</w:t>
      </w:r>
      <w:r w:rsidRPr="00DE4E94">
        <w:rPr>
          <w:rFonts w:ascii="Times New Roman" w:hAnsi="Times New Roman"/>
          <w:sz w:val="18"/>
          <w:szCs w:val="18"/>
        </w:rPr>
        <w:t>.</w:t>
      </w:r>
      <w:r w:rsidRPr="00DE4E94">
        <w:rPr>
          <w:rStyle w:val="EndnoteReference"/>
          <w:rFonts w:ascii="Times New Roman" w:hAnsi="Times New Roman"/>
          <w:sz w:val="18"/>
          <w:szCs w:val="18"/>
        </w:rPr>
        <w:endnoteReference w:id="1970"/>
      </w:r>
      <w:r w:rsidRPr="00DE4E94">
        <w:t xml:space="preserve">  The false prophet is mentioned only four times in </w:t>
      </w:r>
      <w:r w:rsidRPr="00DE4E94">
        <w:rPr>
          <w:i/>
        </w:rPr>
        <w:t>KJV</w:t>
      </w:r>
      <w:r w:rsidRPr="00DE4E94">
        <w:t>, all in the New Testament, one reference being to Elymas the sorcerer</w:t>
      </w:r>
      <w:r w:rsidRPr="00DE4E94">
        <w:rPr>
          <w:rStyle w:val="EndnoteReference"/>
        </w:rPr>
        <w:endnoteReference w:id="1971"/>
      </w:r>
      <w:r w:rsidRPr="00DE4E94">
        <w:t xml:space="preserve"> and the others occurring in Revelation.</w:t>
      </w:r>
      <w:r w:rsidRPr="00DE4E94">
        <w:rPr>
          <w:rStyle w:val="EndnoteReference"/>
        </w:rPr>
        <w:endnoteReference w:id="1972"/>
      </w:r>
      <w:r w:rsidRPr="00DE4E94">
        <w:t xml:space="preserve">  In none of these verses is the false prophet said to collaborate militarily with the Beast;</w:t>
      </w:r>
      <w:r w:rsidRPr="00DE4E94">
        <w:rPr>
          <w:rStyle w:val="EndnoteReference"/>
        </w:rPr>
        <w:endnoteReference w:id="1973"/>
      </w:r>
      <w:r w:rsidRPr="00DE4E94">
        <w:t xml:space="preserve"> according to Richard Bauckham, the false prophet ‘makes the world worship the beast, which is tantamount to worshipping the dragon’, and ‘performs signs’.</w:t>
      </w:r>
      <w:r w:rsidRPr="00DE4E94">
        <w:rPr>
          <w:rStyle w:val="EndnoteReference"/>
        </w:rPr>
        <w:endnoteReference w:id="1974"/>
      </w:r>
      <w:r w:rsidRPr="00DE4E94">
        <w:t xml:space="preserve">  It also has ‘power to give breath to the image of the first beast, so that the image could speak’</w:t>
      </w:r>
      <w:r w:rsidRPr="00DE4E94">
        <w:rPr>
          <w:rStyle w:val="EndnoteReference"/>
        </w:rPr>
        <w:endnoteReference w:id="1975"/>
      </w:r>
      <w:r w:rsidRPr="00DE4E94">
        <w:t xml:space="preserve"> and shares the same fate as the beast, the lake of fire and brimstone.</w:t>
      </w:r>
      <w:r w:rsidRPr="00DE4E94">
        <w:rPr>
          <w:rStyle w:val="EndnoteReference"/>
        </w:rPr>
        <w:endnoteReference w:id="1976"/>
      </w:r>
      <w:r w:rsidRPr="00DE4E94">
        <w:t xml:space="preserve">  Nevertheless, Scofield often associates the false prophet with the Beast in the Gentile campaign against Palestine, coming from the north</w:t>
      </w:r>
      <w:r w:rsidRPr="00DE4E94">
        <w:rPr>
          <w:rStyle w:val="EndnoteReference"/>
        </w:rPr>
        <w:endnoteReference w:id="1977"/>
      </w:r>
      <w:r w:rsidRPr="00DE4E94">
        <w:t xml:space="preserve"> and besieging the Jewish remnant;</w:t>
      </w:r>
      <w:r w:rsidRPr="00DE4E94">
        <w:rPr>
          <w:rStyle w:val="EndnoteReference"/>
        </w:rPr>
        <w:endnoteReference w:id="1978"/>
      </w:r>
      <w:r w:rsidRPr="00DE4E94">
        <w:t xml:space="preserve"> here Scofield gives ‘False Prophet’ capitals as if attributing a title.</w:t>
      </w:r>
    </w:p>
    <w:p w:rsidR="006A2E06" w:rsidRPr="009E16A6" w:rsidRDefault="006A2E06" w:rsidP="006A2E06">
      <w:pPr>
        <w:spacing w:after="120" w:line="360" w:lineRule="auto"/>
        <w:ind w:firstLine="567"/>
        <w:jc w:val="both"/>
      </w:pPr>
      <w:r w:rsidRPr="009E16A6">
        <w:t xml:space="preserve">Nowhere </w:t>
      </w:r>
      <w:r>
        <w:t xml:space="preserve">in the biblical text </w:t>
      </w:r>
      <w:r w:rsidRPr="009E16A6">
        <w:t>is the false prophet or the beast from the earth equated with Antichrist, who only appears in 1 Jn 1 and 2.</w:t>
      </w:r>
      <w:r w:rsidRPr="009E16A6">
        <w:rPr>
          <w:rStyle w:val="EndnoteReference"/>
        </w:rPr>
        <w:endnoteReference w:id="1979"/>
      </w:r>
      <w:r w:rsidRPr="009E16A6">
        <w:t xml:space="preserve">  There is no intimation that Antichrist has any military role.  The characteristic of Antichrist is that he denies that Jesus is the Christ who has come in the flesh; he also denies the Father.  Scofield’s claim that the beast from the earth is synonymous with the false prophet is more legitimate and corroborated by Fee and Bauckham.  Fee states that ‘the second beast … is referred to as a false prophet’;</w:t>
      </w:r>
      <w:r w:rsidRPr="009E16A6">
        <w:rPr>
          <w:rStyle w:val="EndnoteReference"/>
        </w:rPr>
        <w:endnoteReference w:id="1980"/>
      </w:r>
      <w:r w:rsidRPr="009E16A6">
        <w:t xml:space="preserve"> Bauckham refers to the second beast being called the false prophet in Rev. 16:13 and Rev. 19:20.</w:t>
      </w:r>
      <w:r w:rsidRPr="009E16A6">
        <w:rPr>
          <w:rStyle w:val="EndnoteReference"/>
        </w:rPr>
        <w:endnoteReference w:id="1981"/>
      </w:r>
      <w:r w:rsidRPr="009E16A6">
        <w:t xml:space="preserve">  John Sweet avers that the beast from the sea can ‘appropriately be called Antichrist’, since it represents, not merely opposition to Christ, but ‘the claim to be Christ, as Satan claims to be God’.</w:t>
      </w:r>
      <w:r w:rsidRPr="009E16A6">
        <w:rPr>
          <w:rStyle w:val="EndnoteReference"/>
        </w:rPr>
        <w:endnoteReference w:id="1982"/>
      </w:r>
    </w:p>
    <w:p w:rsidR="006A2E06" w:rsidRDefault="006A2E06" w:rsidP="006A2E06">
      <w:pPr>
        <w:spacing w:after="120" w:line="360" w:lineRule="auto"/>
        <w:ind w:firstLine="567"/>
        <w:jc w:val="both"/>
        <w:rPr>
          <w:rFonts w:eastAsia="Perpetua" w:cs="Perpetua"/>
        </w:rPr>
      </w:pPr>
      <w:r w:rsidRPr="0044727D">
        <w:rPr>
          <w:noProof/>
          <w:lang w:eastAsia="en-GB"/>
        </w:rPr>
        <w:t xml:space="preserve">All the connections </w:t>
      </w:r>
      <w:r>
        <w:rPr>
          <w:noProof/>
          <w:lang w:eastAsia="en-GB"/>
        </w:rPr>
        <w:t xml:space="preserve">made by Scofield </w:t>
      </w:r>
      <w:r w:rsidRPr="0044727D">
        <w:rPr>
          <w:noProof/>
          <w:lang w:eastAsia="en-GB"/>
        </w:rPr>
        <w:t>support</w:t>
      </w:r>
      <w:r w:rsidRPr="0044727D">
        <w:rPr>
          <w:i/>
          <w:noProof/>
          <w:lang w:eastAsia="en-GB"/>
        </w:rPr>
        <w:t xml:space="preserve"> </w:t>
      </w:r>
      <w:r w:rsidRPr="0044727D">
        <w:rPr>
          <w:noProof/>
          <w:lang w:eastAsia="en-GB"/>
        </w:rPr>
        <w:t>the conception of Scripture as all being one and they ignore contexts of time, place and intention.</w:t>
      </w:r>
      <w:r>
        <w:rPr>
          <w:rStyle w:val="EndnoteReference"/>
          <w:noProof/>
          <w:lang w:eastAsia="en-GB"/>
        </w:rPr>
        <w:endnoteReference w:id="1983"/>
      </w:r>
      <w:r w:rsidRPr="0044727D">
        <w:rPr>
          <w:noProof/>
          <w:lang w:eastAsia="en-GB"/>
        </w:rPr>
        <w:t xml:space="preserve">  </w:t>
      </w:r>
      <w:r w:rsidRPr="0044727D">
        <w:rPr>
          <w:rFonts w:eastAsia="Perpetua" w:cs="Perpetua"/>
          <w:spacing w:val="-1"/>
        </w:rPr>
        <w:t>Very</w:t>
      </w:r>
      <w:r w:rsidRPr="0044727D">
        <w:rPr>
          <w:rFonts w:eastAsia="Perpetua" w:cs="Perpetua"/>
          <w:spacing w:val="17"/>
        </w:rPr>
        <w:t xml:space="preserve"> </w:t>
      </w:r>
      <w:r w:rsidRPr="0044727D">
        <w:rPr>
          <w:rFonts w:eastAsia="Perpetua" w:cs="Perpetua"/>
          <w:spacing w:val="-1"/>
        </w:rPr>
        <w:t>importantly,</w:t>
      </w:r>
      <w:r w:rsidRPr="0044727D">
        <w:rPr>
          <w:rFonts w:eastAsia="Perpetua" w:cs="Perpetua"/>
          <w:spacing w:val="17"/>
        </w:rPr>
        <w:t xml:space="preserve"> </w:t>
      </w:r>
      <w:r w:rsidRPr="0044727D">
        <w:rPr>
          <w:rFonts w:eastAsia="Perpetua" w:cs="Perpetua"/>
        </w:rPr>
        <w:t>Cox</w:t>
      </w:r>
      <w:r w:rsidRPr="0044727D">
        <w:rPr>
          <w:rFonts w:eastAsia="Perpetua" w:cs="Perpetua"/>
          <w:spacing w:val="17"/>
        </w:rPr>
        <w:t xml:space="preserve"> </w:t>
      </w:r>
      <w:r w:rsidRPr="0044727D">
        <w:rPr>
          <w:rFonts w:eastAsia="Perpetua" w:cs="Perpetua"/>
          <w:spacing w:val="-1"/>
        </w:rPr>
        <w:t>refutes</w:t>
      </w:r>
      <w:r w:rsidRPr="0044727D">
        <w:rPr>
          <w:rFonts w:eastAsia="Perpetua" w:cs="Perpetua"/>
          <w:spacing w:val="19"/>
        </w:rPr>
        <w:t xml:space="preserve"> </w:t>
      </w:r>
      <w:r w:rsidRPr="0044727D">
        <w:rPr>
          <w:rFonts w:eastAsia="Perpetua" w:cs="Perpetua"/>
          <w:spacing w:val="-1"/>
        </w:rPr>
        <w:t>the</w:t>
      </w:r>
      <w:r w:rsidRPr="0044727D">
        <w:rPr>
          <w:rFonts w:eastAsia="Perpetua" w:cs="Perpetua"/>
          <w:spacing w:val="18"/>
        </w:rPr>
        <w:t xml:space="preserve"> </w:t>
      </w:r>
      <w:r w:rsidRPr="0044727D">
        <w:rPr>
          <w:rFonts w:eastAsia="Perpetua" w:cs="Perpetua"/>
          <w:spacing w:val="-1"/>
        </w:rPr>
        <w:t>idea</w:t>
      </w:r>
      <w:r w:rsidRPr="0044727D">
        <w:rPr>
          <w:rFonts w:eastAsia="Perpetua" w:cs="Perpetua"/>
          <w:spacing w:val="17"/>
        </w:rPr>
        <w:t xml:space="preserve"> </w:t>
      </w:r>
      <w:r w:rsidRPr="0044727D">
        <w:rPr>
          <w:rFonts w:eastAsia="Perpetua" w:cs="Perpetua"/>
          <w:spacing w:val="-1"/>
        </w:rPr>
        <w:t>that</w:t>
      </w:r>
      <w:r w:rsidRPr="0044727D">
        <w:rPr>
          <w:rFonts w:eastAsia="Perpetua" w:cs="Perpetua"/>
          <w:spacing w:val="3"/>
        </w:rPr>
        <w:t xml:space="preserve"> </w:t>
      </w:r>
      <w:r w:rsidRPr="0044727D">
        <w:rPr>
          <w:rFonts w:eastAsia="Perpetua" w:cs="Perpetua"/>
          <w:spacing w:val="-1"/>
        </w:rPr>
        <w:t>‘Daniel</w:t>
      </w:r>
      <w:r w:rsidRPr="0044727D">
        <w:rPr>
          <w:rFonts w:eastAsia="Perpetua" w:cs="Perpetua"/>
          <w:spacing w:val="3"/>
        </w:rPr>
        <w:t xml:space="preserve"> </w:t>
      </w:r>
      <w:r w:rsidRPr="0044727D">
        <w:rPr>
          <w:rFonts w:eastAsia="Perpetua" w:cs="Perpetua"/>
          <w:spacing w:val="-1"/>
        </w:rPr>
        <w:t>is</w:t>
      </w:r>
      <w:r w:rsidRPr="0044727D">
        <w:rPr>
          <w:rFonts w:eastAsia="Perpetua" w:cs="Perpetua"/>
          <w:spacing w:val="2"/>
        </w:rPr>
        <w:t xml:space="preserve"> </w:t>
      </w:r>
      <w:r w:rsidRPr="0044727D">
        <w:rPr>
          <w:rFonts w:eastAsia="Perpetua" w:cs="Perpetua"/>
        </w:rPr>
        <w:t>a</w:t>
      </w:r>
      <w:r w:rsidRPr="0044727D">
        <w:rPr>
          <w:rFonts w:eastAsia="Perpetua" w:cs="Perpetua"/>
          <w:spacing w:val="2"/>
        </w:rPr>
        <w:t xml:space="preserve"> </w:t>
      </w:r>
      <w:r w:rsidRPr="0044727D">
        <w:rPr>
          <w:rFonts w:eastAsia="Perpetua" w:cs="Perpetua"/>
        </w:rPr>
        <w:t>“key”</w:t>
      </w:r>
      <w:r w:rsidRPr="0044727D">
        <w:rPr>
          <w:rFonts w:eastAsia="Perpetua" w:cs="Perpetua"/>
          <w:spacing w:val="3"/>
        </w:rPr>
        <w:t xml:space="preserve"> </w:t>
      </w:r>
      <w:r w:rsidRPr="0044727D">
        <w:rPr>
          <w:rFonts w:eastAsia="Perpetua" w:cs="Perpetua"/>
          <w:spacing w:val="-1"/>
        </w:rPr>
        <w:t>to</w:t>
      </w:r>
      <w:r w:rsidRPr="0044727D">
        <w:rPr>
          <w:rFonts w:eastAsia="Perpetua" w:cs="Perpetua"/>
          <w:spacing w:val="4"/>
        </w:rPr>
        <w:t xml:space="preserve"> </w:t>
      </w:r>
      <w:r w:rsidRPr="0044727D">
        <w:rPr>
          <w:rFonts w:eastAsia="Perpetua" w:cs="Perpetua"/>
          <w:spacing w:val="-1"/>
        </w:rPr>
        <w:t>the</w:t>
      </w:r>
      <w:r w:rsidRPr="0044727D">
        <w:rPr>
          <w:rFonts w:eastAsia="Perpetua" w:cs="Perpetua"/>
          <w:spacing w:val="3"/>
        </w:rPr>
        <w:t xml:space="preserve"> </w:t>
      </w:r>
      <w:r w:rsidRPr="0044727D">
        <w:rPr>
          <w:rFonts w:eastAsia="Perpetua" w:cs="Perpetua"/>
          <w:spacing w:val="-1"/>
        </w:rPr>
        <w:t>interpretation</w:t>
      </w:r>
      <w:r w:rsidRPr="0044727D">
        <w:rPr>
          <w:rFonts w:eastAsia="Perpetua" w:cs="Perpetua"/>
          <w:spacing w:val="3"/>
        </w:rPr>
        <w:t xml:space="preserve"> </w:t>
      </w:r>
      <w:r w:rsidRPr="0044727D">
        <w:rPr>
          <w:rFonts w:eastAsia="Perpetua" w:cs="Perpetua"/>
        </w:rPr>
        <w:t>of</w:t>
      </w:r>
      <w:r w:rsidRPr="0044727D">
        <w:rPr>
          <w:rFonts w:eastAsia="Perpetua" w:cs="Perpetua"/>
          <w:spacing w:val="3"/>
        </w:rPr>
        <w:t xml:space="preserve"> </w:t>
      </w:r>
      <w:r w:rsidRPr="0044727D">
        <w:rPr>
          <w:rFonts w:eastAsia="Perpetua" w:cs="Perpetua"/>
        </w:rPr>
        <w:t>the</w:t>
      </w:r>
      <w:r w:rsidRPr="0044727D">
        <w:rPr>
          <w:rFonts w:eastAsia="Perpetua" w:cs="Perpetua"/>
          <w:spacing w:val="4"/>
        </w:rPr>
        <w:t xml:space="preserve"> </w:t>
      </w:r>
      <w:r w:rsidRPr="0044727D">
        <w:rPr>
          <w:rFonts w:eastAsia="Perpetua" w:cs="Perpetua"/>
        </w:rPr>
        <w:t>book</w:t>
      </w:r>
      <w:r w:rsidRPr="0044727D">
        <w:rPr>
          <w:rFonts w:eastAsia="Perpetua" w:cs="Perpetua"/>
          <w:spacing w:val="2"/>
        </w:rPr>
        <w:t xml:space="preserve"> </w:t>
      </w:r>
      <w:r w:rsidRPr="0044727D">
        <w:rPr>
          <w:rFonts w:eastAsia="Perpetua" w:cs="Perpetua"/>
        </w:rPr>
        <w:t>of</w:t>
      </w:r>
      <w:r w:rsidRPr="0044727D">
        <w:rPr>
          <w:rFonts w:eastAsia="Perpetua" w:cs="Perpetua"/>
          <w:spacing w:val="3"/>
        </w:rPr>
        <w:t xml:space="preserve"> </w:t>
      </w:r>
      <w:r w:rsidRPr="0044727D">
        <w:rPr>
          <w:rFonts w:eastAsia="Perpetua" w:cs="Perpetua"/>
        </w:rPr>
        <w:t>Revelation’.</w:t>
      </w:r>
      <w:r w:rsidRPr="0044727D">
        <w:rPr>
          <w:rFonts w:eastAsia="Perpetua" w:cs="Perpetua"/>
          <w:spacing w:val="6"/>
        </w:rPr>
        <w:t xml:space="preserve"> </w:t>
      </w:r>
      <w:r>
        <w:rPr>
          <w:rFonts w:eastAsia="Perpetua" w:cs="Perpetua"/>
          <w:spacing w:val="6"/>
        </w:rPr>
        <w:t xml:space="preserve"> Without this concept, ‘“t</w:t>
      </w:r>
      <w:r w:rsidRPr="0044727D">
        <w:rPr>
          <w:rFonts w:eastAsia="Perpetua" w:cs="Perpetua"/>
          <w:spacing w:val="-1"/>
        </w:rPr>
        <w:t>hese</w:t>
      </w:r>
      <w:r w:rsidRPr="0044727D">
        <w:rPr>
          <w:rFonts w:eastAsia="Perpetua" w:cs="Perpetua"/>
          <w:spacing w:val="1"/>
        </w:rPr>
        <w:t xml:space="preserve"> </w:t>
      </w:r>
      <w:r w:rsidRPr="0044727D">
        <w:rPr>
          <w:rFonts w:eastAsia="Perpetua" w:cs="Perpetua"/>
          <w:spacing w:val="-1"/>
        </w:rPr>
        <w:t>books</w:t>
      </w:r>
      <w:r>
        <w:rPr>
          <w:rFonts w:eastAsia="Perpetua" w:cs="Perpetua"/>
          <w:spacing w:val="-1"/>
        </w:rPr>
        <w:t>”</w:t>
      </w:r>
      <w:r w:rsidRPr="0044727D">
        <w:rPr>
          <w:rFonts w:eastAsia="Perpetua" w:cs="Perpetua"/>
          <w:spacing w:val="2"/>
        </w:rPr>
        <w:t xml:space="preserve"> </w:t>
      </w:r>
      <w:r w:rsidRPr="0044727D">
        <w:rPr>
          <w:rFonts w:eastAsia="Perpetua" w:cs="Perpetua"/>
          <w:spacing w:val="-1"/>
        </w:rPr>
        <w:t>would</w:t>
      </w:r>
      <w:r w:rsidRPr="0044727D">
        <w:rPr>
          <w:rFonts w:eastAsia="Perpetua" w:cs="Perpetua"/>
          <w:spacing w:val="2"/>
        </w:rPr>
        <w:t xml:space="preserve"> </w:t>
      </w:r>
      <w:r w:rsidRPr="0044727D">
        <w:rPr>
          <w:rFonts w:eastAsia="Perpetua" w:cs="Perpetua"/>
          <w:spacing w:val="-1"/>
        </w:rPr>
        <w:t>then</w:t>
      </w:r>
      <w:r w:rsidRPr="0044727D">
        <w:rPr>
          <w:rFonts w:eastAsia="Perpetua" w:cs="Perpetua"/>
          <w:spacing w:val="1"/>
        </w:rPr>
        <w:t xml:space="preserve"> </w:t>
      </w:r>
      <w:r w:rsidRPr="0044727D">
        <w:rPr>
          <w:rFonts w:eastAsia="Perpetua" w:cs="Perpetua"/>
        </w:rPr>
        <w:t>need</w:t>
      </w:r>
      <w:r w:rsidRPr="0044727D">
        <w:rPr>
          <w:rFonts w:eastAsia="Perpetua" w:cs="Perpetua"/>
          <w:spacing w:val="1"/>
        </w:rPr>
        <w:t xml:space="preserve"> </w:t>
      </w:r>
      <w:r w:rsidRPr="0044727D">
        <w:rPr>
          <w:rFonts w:eastAsia="Perpetua" w:cs="Perpetua"/>
          <w:spacing w:val="-1"/>
        </w:rPr>
        <w:t>to</w:t>
      </w:r>
      <w:r w:rsidRPr="0044727D">
        <w:rPr>
          <w:rFonts w:eastAsia="Perpetua" w:cs="Perpetua"/>
          <w:spacing w:val="3"/>
        </w:rPr>
        <w:t xml:space="preserve"> </w:t>
      </w:r>
      <w:r w:rsidRPr="0044727D">
        <w:rPr>
          <w:rFonts w:eastAsia="Perpetua" w:cs="Perpetua"/>
          <w:spacing w:val="-1"/>
        </w:rPr>
        <w:t>be</w:t>
      </w:r>
      <w:r w:rsidRPr="0044727D">
        <w:rPr>
          <w:rFonts w:eastAsia="Perpetua" w:cs="Perpetua"/>
          <w:spacing w:val="3"/>
        </w:rPr>
        <w:t xml:space="preserve"> </w:t>
      </w:r>
      <w:r w:rsidRPr="0044727D">
        <w:rPr>
          <w:rFonts w:eastAsia="Perpetua" w:cs="Perpetua"/>
          <w:spacing w:val="-1"/>
        </w:rPr>
        <w:t>treated</w:t>
      </w:r>
      <w:r w:rsidRPr="0044727D">
        <w:rPr>
          <w:rFonts w:eastAsia="Perpetua" w:cs="Perpetua"/>
          <w:spacing w:val="1"/>
        </w:rPr>
        <w:t xml:space="preserve"> </w:t>
      </w:r>
      <w:r w:rsidRPr="0044727D">
        <w:rPr>
          <w:rFonts w:eastAsia="Perpetua" w:cs="Perpetua"/>
          <w:spacing w:val="-1"/>
        </w:rPr>
        <w:t>as</w:t>
      </w:r>
      <w:r w:rsidRPr="0044727D">
        <w:rPr>
          <w:rFonts w:eastAsia="Perpetua" w:cs="Perpetua"/>
          <w:spacing w:val="2"/>
        </w:rPr>
        <w:t xml:space="preserve"> </w:t>
      </w:r>
      <w:r w:rsidRPr="0044727D">
        <w:rPr>
          <w:rFonts w:eastAsia="Perpetua" w:cs="Perpetua"/>
          <w:spacing w:val="-1"/>
        </w:rPr>
        <w:t>two</w:t>
      </w:r>
      <w:r w:rsidRPr="0044727D">
        <w:rPr>
          <w:rFonts w:eastAsia="Perpetua" w:cs="Perpetua"/>
          <w:spacing w:val="2"/>
        </w:rPr>
        <w:t xml:space="preserve"> </w:t>
      </w:r>
      <w:r w:rsidRPr="0044727D">
        <w:rPr>
          <w:rFonts w:eastAsia="Perpetua" w:cs="Perpetua"/>
          <w:spacing w:val="-1"/>
        </w:rPr>
        <w:t>separate</w:t>
      </w:r>
      <w:r w:rsidRPr="0044727D">
        <w:rPr>
          <w:rFonts w:eastAsia="Perpetua" w:cs="Perpetua"/>
          <w:spacing w:val="3"/>
        </w:rPr>
        <w:t xml:space="preserve"> </w:t>
      </w:r>
      <w:r w:rsidRPr="0044727D">
        <w:rPr>
          <w:rFonts w:eastAsia="Perpetua" w:cs="Perpetua"/>
          <w:spacing w:val="-1"/>
        </w:rPr>
        <w:t>volumes,</w:t>
      </w:r>
      <w:r w:rsidRPr="0044727D">
        <w:rPr>
          <w:rFonts w:eastAsia="Perpetua" w:cs="Perpetua"/>
          <w:spacing w:val="2"/>
        </w:rPr>
        <w:t xml:space="preserve"> </w:t>
      </w:r>
      <w:proofErr w:type="gramStart"/>
      <w:r w:rsidRPr="0044727D">
        <w:rPr>
          <w:rFonts w:eastAsia="Perpetua" w:cs="Perpetua"/>
          <w:spacing w:val="-1"/>
        </w:rPr>
        <w:t>each</w:t>
      </w:r>
      <w:r w:rsidRPr="0044727D">
        <w:rPr>
          <w:rFonts w:eastAsia="Perpetua" w:cs="Perpetua"/>
          <w:spacing w:val="70"/>
          <w:w w:val="99"/>
        </w:rPr>
        <w:t xml:space="preserve"> </w:t>
      </w:r>
      <w:r w:rsidRPr="0044727D">
        <w:rPr>
          <w:rFonts w:eastAsia="Perpetua" w:cs="Perpetua"/>
        </w:rPr>
        <w:t>dealing</w:t>
      </w:r>
      <w:proofErr w:type="gramEnd"/>
      <w:r w:rsidRPr="0044727D">
        <w:rPr>
          <w:rFonts w:eastAsia="Perpetua" w:cs="Perpetua"/>
          <w:spacing w:val="13"/>
        </w:rPr>
        <w:t xml:space="preserve"> </w:t>
      </w:r>
      <w:r w:rsidRPr="0044727D">
        <w:rPr>
          <w:rFonts w:eastAsia="Perpetua" w:cs="Perpetua"/>
        </w:rPr>
        <w:t>with</w:t>
      </w:r>
      <w:r w:rsidRPr="0044727D">
        <w:rPr>
          <w:rFonts w:eastAsia="Perpetua" w:cs="Perpetua"/>
          <w:spacing w:val="14"/>
        </w:rPr>
        <w:t xml:space="preserve"> </w:t>
      </w:r>
      <w:r w:rsidRPr="0044727D">
        <w:rPr>
          <w:rFonts w:eastAsia="Perpetua" w:cs="Perpetua"/>
        </w:rPr>
        <w:t>a</w:t>
      </w:r>
      <w:r w:rsidRPr="0044727D">
        <w:rPr>
          <w:rFonts w:eastAsia="Perpetua" w:cs="Perpetua"/>
          <w:spacing w:val="16"/>
        </w:rPr>
        <w:t xml:space="preserve"> </w:t>
      </w:r>
      <w:r w:rsidRPr="0044727D">
        <w:rPr>
          <w:rFonts w:eastAsia="Perpetua" w:cs="Perpetua"/>
        </w:rPr>
        <w:t>different</w:t>
      </w:r>
      <w:r w:rsidRPr="0044727D">
        <w:rPr>
          <w:rFonts w:eastAsia="Perpetua" w:cs="Perpetua"/>
          <w:spacing w:val="14"/>
        </w:rPr>
        <w:t xml:space="preserve"> </w:t>
      </w:r>
      <w:r w:rsidRPr="0044727D">
        <w:rPr>
          <w:rFonts w:eastAsia="Perpetua" w:cs="Perpetua"/>
        </w:rPr>
        <w:t>period</w:t>
      </w:r>
      <w:r w:rsidRPr="0044727D">
        <w:rPr>
          <w:rFonts w:eastAsia="Perpetua" w:cs="Perpetua"/>
          <w:spacing w:val="13"/>
        </w:rPr>
        <w:t xml:space="preserve"> </w:t>
      </w:r>
      <w:r w:rsidRPr="0044727D">
        <w:rPr>
          <w:rFonts w:eastAsia="Perpetua" w:cs="Perpetua"/>
        </w:rPr>
        <w:t>of</w:t>
      </w:r>
      <w:r w:rsidRPr="0044727D">
        <w:rPr>
          <w:rFonts w:eastAsia="Perpetua" w:cs="Perpetua"/>
          <w:spacing w:val="14"/>
        </w:rPr>
        <w:t xml:space="preserve"> </w:t>
      </w:r>
      <w:r w:rsidRPr="0044727D">
        <w:rPr>
          <w:rFonts w:eastAsia="Perpetua" w:cs="Perpetua"/>
        </w:rPr>
        <w:t>history’.</w:t>
      </w:r>
      <w:r w:rsidRPr="0044727D">
        <w:rPr>
          <w:rStyle w:val="EndnoteReference"/>
          <w:rFonts w:eastAsia="Perpetua" w:cs="Perpetua"/>
        </w:rPr>
        <w:endnoteReference w:id="1984"/>
      </w:r>
      <w:r w:rsidRPr="0044727D">
        <w:rPr>
          <w:rFonts w:eastAsia="Perpetua" w:cs="Perpetua"/>
        </w:rPr>
        <w:t xml:space="preserve">  </w:t>
      </w:r>
    </w:p>
    <w:p w:rsidR="006A2E06" w:rsidRPr="00BD3632" w:rsidRDefault="006A2E06" w:rsidP="006A2E06">
      <w:pPr>
        <w:spacing w:after="120" w:line="360" w:lineRule="auto"/>
        <w:jc w:val="both"/>
        <w:rPr>
          <w:b/>
          <w:i/>
        </w:rPr>
      </w:pPr>
      <w:r>
        <w:rPr>
          <w:rFonts w:eastAsia="Perpetua" w:cs="Perpetua"/>
          <w:b/>
          <w:i/>
        </w:rPr>
        <w:t xml:space="preserve">The </w:t>
      </w:r>
      <w:r w:rsidRPr="00BD3632">
        <w:rPr>
          <w:rFonts w:eastAsia="Perpetua" w:cs="Perpetua"/>
          <w:b/>
          <w:i/>
        </w:rPr>
        <w:t>Dispensational Status of the Tribulation</w:t>
      </w:r>
    </w:p>
    <w:p w:rsidR="006A2E06" w:rsidRPr="0044727D" w:rsidRDefault="006A2E06" w:rsidP="006A2E06">
      <w:pPr>
        <w:spacing w:after="120" w:line="360" w:lineRule="auto"/>
        <w:jc w:val="both"/>
        <w:rPr>
          <w:rStyle w:val="ind"/>
        </w:rPr>
      </w:pPr>
      <w:r w:rsidRPr="0044727D">
        <w:rPr>
          <w:rStyle w:val="ind"/>
        </w:rPr>
        <w:t xml:space="preserve">There is some disagreement over whether the tribulation forms part of a dispensation or not, although Scofield does not appear to consider this question.  Williams states that classical dispensationalists regarded it as ‘a return to and continuation of the dispensation of law’; during the tribulation, it will be as if the </w:t>
      </w:r>
      <w:r w:rsidRPr="0044727D">
        <w:rPr>
          <w:rStyle w:val="ind"/>
        </w:rPr>
        <w:lastRenderedPageBreak/>
        <w:t>Church had never existed or had any part in or effect on world history.</w:t>
      </w:r>
      <w:r w:rsidRPr="0044727D">
        <w:rPr>
          <w:rStyle w:val="EndnoteReference"/>
        </w:rPr>
        <w:endnoteReference w:id="1985"/>
      </w:r>
      <w:r w:rsidRPr="0044727D">
        <w:rPr>
          <w:rStyle w:val="ind"/>
        </w:rPr>
        <w:t xml:space="preserve">  Chafer, too, identifies the resumption of the law age with Daniel’s seventieth week; he argues that the course of the dispensation of the law ‘was interrupted by the death of Christ and the thrusting in of the hitherto unannounced age of the church.  Thus the church age, while complete in itself, is parenthetical within the age of the law.’  The tribulation ‘bears no relation to the features of this church age’ and has no ‘characteristics of a dispensation in </w:t>
      </w:r>
      <w:proofErr w:type="gramStart"/>
      <w:r w:rsidRPr="0044727D">
        <w:rPr>
          <w:rStyle w:val="ind"/>
        </w:rPr>
        <w:t>itself</w:t>
      </w:r>
      <w:proofErr w:type="gramEnd"/>
      <w:r w:rsidRPr="0044727D">
        <w:rPr>
          <w:rStyle w:val="ind"/>
        </w:rPr>
        <w:t>’.  The ‘continuity’ of the law dispensation which began at Sinai, is ‘incomplete apart from the events which belong to the Great Tribulation’.  It forms the ‘logical consummation of the dispensation of the law and contains judgments upon it’.</w:t>
      </w:r>
      <w:r w:rsidRPr="0044727D">
        <w:rPr>
          <w:rStyle w:val="EndnoteReference"/>
        </w:rPr>
        <w:endnoteReference w:id="1986"/>
      </w:r>
      <w:r w:rsidRPr="0044727D">
        <w:rPr>
          <w:rStyle w:val="ind"/>
        </w:rPr>
        <w:t xml:space="preserve">  </w:t>
      </w:r>
    </w:p>
    <w:p w:rsidR="006A2E06" w:rsidRPr="0044727D" w:rsidRDefault="006A2E06" w:rsidP="006A2E06">
      <w:pPr>
        <w:spacing w:after="120" w:line="360" w:lineRule="auto"/>
        <w:ind w:firstLine="567"/>
        <w:jc w:val="both"/>
        <w:rPr>
          <w:rStyle w:val="ind"/>
        </w:rPr>
      </w:pPr>
      <w:r w:rsidRPr="0044727D">
        <w:rPr>
          <w:rStyle w:val="ind"/>
        </w:rPr>
        <w:t>Ryrie advances three suggestions concerning the dispensational status of the tribulation.  Firstly he disputes the claim made by Williams and Chafer concerning the continuation of the dispensation of law, arguing that no other dispensation is revived after its ending and that the Mosaic law ended at Christ’s first advent;</w:t>
      </w:r>
      <w:r w:rsidRPr="0044727D">
        <w:rPr>
          <w:rStyle w:val="EndnoteReference"/>
        </w:rPr>
        <w:endnoteReference w:id="1987"/>
      </w:r>
      <w:r w:rsidRPr="0044727D">
        <w:rPr>
          <w:rStyle w:val="ind"/>
        </w:rPr>
        <w:t xml:space="preserve"> it would thus be ‘more natural’ to speak of the tribulation period as ‘a distinct dispensation with similarities to the Mosaic economy’.  A second alternative would be to regard the tribulation as the seventh dispensation out of eight, since it is a time of wrath, not grace, </w:t>
      </w:r>
      <w:r>
        <w:rPr>
          <w:rStyle w:val="ind"/>
        </w:rPr>
        <w:t xml:space="preserve">since </w:t>
      </w:r>
      <w:r w:rsidRPr="0044727D">
        <w:rPr>
          <w:rStyle w:val="ind"/>
        </w:rPr>
        <w:t xml:space="preserve">it distinctly deals again with Israel, </w:t>
      </w:r>
      <w:r>
        <w:rPr>
          <w:rStyle w:val="ind"/>
        </w:rPr>
        <w:t xml:space="preserve">since </w:t>
      </w:r>
      <w:r w:rsidRPr="0044727D">
        <w:rPr>
          <w:rStyle w:val="ind"/>
        </w:rPr>
        <w:t xml:space="preserve">the true Church is no longer on earth, and </w:t>
      </w:r>
      <w:r>
        <w:rPr>
          <w:rStyle w:val="ind"/>
        </w:rPr>
        <w:t xml:space="preserve">since </w:t>
      </w:r>
      <w:r w:rsidRPr="0044727D">
        <w:rPr>
          <w:rStyle w:val="ind"/>
        </w:rPr>
        <w:t>the gospel to be preached is the gospel of the kingdom.</w:t>
      </w:r>
      <w:r w:rsidRPr="0044727D">
        <w:rPr>
          <w:rStyle w:val="EndnoteReference"/>
        </w:rPr>
        <w:endnoteReference w:id="1988"/>
      </w:r>
      <w:r w:rsidRPr="0044727D">
        <w:rPr>
          <w:rStyle w:val="ind"/>
        </w:rPr>
        <w:t xml:space="preserve">  Ryrie argues that grace is not precluded by wrath, since this ‘will also be a time of much salvation’,</w:t>
      </w:r>
      <w:r w:rsidRPr="0044727D">
        <w:rPr>
          <w:rStyle w:val="EndnoteReference"/>
        </w:rPr>
        <w:endnoteReference w:id="1989"/>
      </w:r>
      <w:r w:rsidRPr="0044727D">
        <w:rPr>
          <w:rStyle w:val="ind"/>
        </w:rPr>
        <w:t xml:space="preserve"> and that even a distinction between ‘the gospel of the grace of God and the gospel of the kingdom’ does not </w:t>
      </w:r>
      <w:r>
        <w:rPr>
          <w:rStyle w:val="ind"/>
        </w:rPr>
        <w:t>prohibit</w:t>
      </w:r>
      <w:r w:rsidRPr="0044727D">
        <w:rPr>
          <w:rStyle w:val="ind"/>
        </w:rPr>
        <w:t xml:space="preserve"> the inclusion of ‘the message of the cross’ within the latter gospel.  A third possibility, which Ryrie regards as ‘more natural’ and with which Stamper concurs,</w:t>
      </w:r>
      <w:r w:rsidRPr="0044727D">
        <w:rPr>
          <w:rStyle w:val="EndnoteReference"/>
        </w:rPr>
        <w:endnoteReference w:id="1990"/>
      </w:r>
      <w:r w:rsidRPr="0044727D">
        <w:rPr>
          <w:rStyle w:val="ind"/>
        </w:rPr>
        <w:t xml:space="preserve"> would be ‘to consider the Tribulation as the time when [God] is bringing to a conclusion the economy of Grace with judgments on men who have rejected Him, rather than to consider it a separate dispensation’.  Just as Noah was not subject to the judgment of the flood, so ‘the Church is not subject to the judgments … But in both cases the dispensation does not end until the judgments are completed.’</w:t>
      </w:r>
      <w:r w:rsidRPr="0044727D">
        <w:rPr>
          <w:rStyle w:val="EndnoteReference"/>
        </w:rPr>
        <w:endnoteReference w:id="1991"/>
      </w:r>
      <w:r w:rsidRPr="0044727D">
        <w:rPr>
          <w:rStyle w:val="ind"/>
        </w:rPr>
        <w:t xml:space="preserve">  Later, Ryrie states categorically that ‘the Tribulation period itself is not a separate dispensation but is the judgment on those living persons who are Christ rejectors at the end of this present dispensation’.</w:t>
      </w:r>
      <w:r w:rsidRPr="0044727D">
        <w:rPr>
          <w:rStyle w:val="EndnoteReference"/>
        </w:rPr>
        <w:endnoteReference w:id="1992"/>
      </w:r>
    </w:p>
    <w:p w:rsidR="006A2E06" w:rsidRPr="00C5084C" w:rsidRDefault="006A2E06" w:rsidP="006A2E06">
      <w:pPr>
        <w:spacing w:after="120" w:line="360" w:lineRule="auto"/>
        <w:jc w:val="both"/>
        <w:rPr>
          <w:rStyle w:val="ind"/>
          <w:b/>
          <w:sz w:val="24"/>
        </w:rPr>
      </w:pPr>
      <w:proofErr w:type="gramStart"/>
      <w:r>
        <w:rPr>
          <w:rStyle w:val="ind"/>
          <w:b/>
          <w:sz w:val="24"/>
        </w:rPr>
        <w:t xml:space="preserve">7.1.3  </w:t>
      </w:r>
      <w:r w:rsidRPr="00C5084C">
        <w:rPr>
          <w:rStyle w:val="ind"/>
          <w:b/>
          <w:sz w:val="24"/>
        </w:rPr>
        <w:t>The</w:t>
      </w:r>
      <w:proofErr w:type="gramEnd"/>
      <w:r w:rsidRPr="00C5084C">
        <w:rPr>
          <w:rStyle w:val="ind"/>
          <w:b/>
          <w:sz w:val="24"/>
        </w:rPr>
        <w:t xml:space="preserve"> Second Coming of Christ</w:t>
      </w:r>
    </w:p>
    <w:p w:rsidR="006A2E06" w:rsidRDefault="006A2E06" w:rsidP="006A2E06">
      <w:pPr>
        <w:spacing w:after="120" w:line="360" w:lineRule="auto"/>
        <w:ind w:right="-1"/>
        <w:jc w:val="both"/>
        <w:rPr>
          <w:rFonts w:eastAsia="Times New Roman"/>
          <w:szCs w:val="24"/>
          <w:lang w:eastAsia="en-GB"/>
        </w:rPr>
      </w:pPr>
      <w:r>
        <w:rPr>
          <w:rFonts w:eastAsia="Times New Roman"/>
          <w:szCs w:val="24"/>
          <w:lang w:eastAsia="en-GB"/>
        </w:rPr>
        <w:t>The coming of Christ to the air to accomplish the translation of the church</w:t>
      </w:r>
      <w:r>
        <w:rPr>
          <w:rStyle w:val="EndnoteReference"/>
          <w:rFonts w:eastAsia="Times New Roman"/>
          <w:szCs w:val="24"/>
          <w:lang w:eastAsia="en-GB"/>
        </w:rPr>
        <w:endnoteReference w:id="1993"/>
      </w:r>
      <w:r>
        <w:rPr>
          <w:rFonts w:eastAsia="Times New Roman"/>
          <w:szCs w:val="24"/>
          <w:lang w:eastAsia="en-GB"/>
        </w:rPr>
        <w:t xml:space="preserve"> is sometimes known as ‘Christ’s coming for his saints’.  This is differentiated from ‘Christ’s coming with his saints’, which denotes Christ’s return to the earth to establish the millennial kingdom.  Darby and Chafer both regard these as two separate events.  Darby states:  ‘</w:t>
      </w:r>
      <w:r w:rsidRPr="00D86DEC">
        <w:rPr>
          <w:rFonts w:eastAsia="Times New Roman"/>
          <w:szCs w:val="24"/>
          <w:lang w:eastAsia="en-GB"/>
        </w:rPr>
        <w:t>The Lord comes with His saints, when He comes to execute judgment on the earth; but He comes for His saints previously.</w:t>
      </w:r>
      <w:r>
        <w:rPr>
          <w:rFonts w:eastAsia="Times New Roman"/>
          <w:szCs w:val="24"/>
          <w:lang w:eastAsia="en-GB"/>
        </w:rPr>
        <w:t>’</w:t>
      </w:r>
      <w:r>
        <w:rPr>
          <w:rStyle w:val="EndnoteReference"/>
          <w:rFonts w:eastAsia="Times New Roman"/>
          <w:szCs w:val="24"/>
          <w:lang w:eastAsia="en-GB"/>
        </w:rPr>
        <w:endnoteReference w:id="1994"/>
      </w:r>
      <w:r>
        <w:rPr>
          <w:rFonts w:eastAsia="Times New Roman"/>
          <w:szCs w:val="24"/>
          <w:lang w:eastAsia="en-GB"/>
        </w:rPr>
        <w:t xml:space="preserve">  In his second ‘Lecture on the Second Coming’, he also refers to two events.</w:t>
      </w:r>
    </w:p>
    <w:p w:rsidR="006A2E06" w:rsidRPr="007E2C2D" w:rsidRDefault="006A2E06" w:rsidP="006A2E06">
      <w:pPr>
        <w:pStyle w:val="NormalWeb"/>
        <w:spacing w:after="120" w:afterAutospacing="0"/>
        <w:ind w:left="1134" w:right="1700"/>
        <w:rPr>
          <w:rFonts w:ascii="Perpetua" w:hAnsi="Perpetua"/>
          <w:sz w:val="22"/>
          <w:szCs w:val="22"/>
        </w:rPr>
      </w:pPr>
      <w:r w:rsidRPr="007E2C2D">
        <w:rPr>
          <w:rFonts w:ascii="Perpetua" w:hAnsi="Perpetua"/>
          <w:sz w:val="22"/>
          <w:szCs w:val="22"/>
        </w:rPr>
        <w:t xml:space="preserve">That Christ's power over death may be fully shewn, He takes to Himself mortal men, whether alive or dead: if alive, He changes them </w:t>
      </w:r>
      <w:r w:rsidRPr="007E2C2D">
        <w:rPr>
          <w:rFonts w:ascii="Perpetua" w:hAnsi="Perpetua"/>
          <w:sz w:val="22"/>
          <w:szCs w:val="22"/>
        </w:rPr>
        <w:lastRenderedPageBreak/>
        <w:t xml:space="preserve">into glory without dying; if they are dead, He raises them. This is the first thing He does. He raises the dead first, and then the </w:t>
      </w:r>
      <w:proofErr w:type="gramStart"/>
      <w:r w:rsidRPr="007E2C2D">
        <w:rPr>
          <w:rFonts w:ascii="Perpetua" w:hAnsi="Perpetua"/>
          <w:sz w:val="22"/>
          <w:szCs w:val="22"/>
        </w:rPr>
        <w:t>living are</w:t>
      </w:r>
      <w:proofErr w:type="gramEnd"/>
      <w:r w:rsidRPr="007E2C2D">
        <w:rPr>
          <w:rFonts w:ascii="Perpetua" w:hAnsi="Perpetua"/>
          <w:sz w:val="22"/>
          <w:szCs w:val="22"/>
        </w:rPr>
        <w:t xml:space="preserve"> changed; and they go to meet the Lord in the air. </w:t>
      </w:r>
    </w:p>
    <w:p w:rsidR="006A2E06" w:rsidRPr="007E2C2D" w:rsidRDefault="006A2E06" w:rsidP="006A2E06">
      <w:pPr>
        <w:spacing w:after="120" w:line="240" w:lineRule="auto"/>
        <w:ind w:left="1134" w:right="1700"/>
      </w:pPr>
      <w:r w:rsidRPr="007E2C2D">
        <w:t xml:space="preserve">And if you turn to Colossians 3 you will see that when Christ appears, we shall appear in this glory along with </w:t>
      </w:r>
      <w:proofErr w:type="gramStart"/>
      <w:r w:rsidRPr="007E2C2D">
        <w:t>Himself</w:t>
      </w:r>
      <w:proofErr w:type="gramEnd"/>
      <w:r w:rsidRPr="007E2C2D">
        <w:t xml:space="preserve"> and be like Him. He will have already come and taken us up to Himself; and then He comes manifesting Himself to the world, and we appear with Him. </w:t>
      </w:r>
    </w:p>
    <w:p w:rsidR="006A2E06" w:rsidRDefault="006A2E06" w:rsidP="006A2E06">
      <w:pPr>
        <w:spacing w:after="120" w:line="240" w:lineRule="auto"/>
        <w:ind w:left="1134" w:right="1700"/>
      </w:pPr>
      <w:r w:rsidRPr="007E2C2D">
        <w:t>If He appears, we appear. If He appears in glory, we must appear in glory with Him. We are heirs of God, and joint-heirs with Christ.</w:t>
      </w:r>
    </w:p>
    <w:p w:rsidR="006A2E06" w:rsidRPr="007E2C2D" w:rsidRDefault="006A2E06" w:rsidP="006A2E06">
      <w:pPr>
        <w:spacing w:after="120" w:line="240" w:lineRule="auto"/>
        <w:ind w:left="1134" w:right="1700"/>
        <w:rPr>
          <w:sz w:val="24"/>
        </w:rPr>
      </w:pPr>
      <w:r w:rsidRPr="007E2C2D">
        <w:t>He comes with these ten thousands or myriads of His saints.</w:t>
      </w:r>
      <w:r>
        <w:rPr>
          <w:rStyle w:val="EndnoteReference"/>
        </w:rPr>
        <w:endnoteReference w:id="1995"/>
      </w:r>
    </w:p>
    <w:p w:rsidR="006A2E06" w:rsidRDefault="006A2E06" w:rsidP="006A2E06">
      <w:pPr>
        <w:spacing w:after="120" w:line="360" w:lineRule="auto"/>
        <w:ind w:right="-1"/>
        <w:jc w:val="both"/>
        <w:rPr>
          <w:rFonts w:eastAsia="Times New Roman"/>
          <w:szCs w:val="24"/>
          <w:lang w:eastAsia="en-GB"/>
        </w:rPr>
      </w:pPr>
      <w:r>
        <w:rPr>
          <w:rFonts w:eastAsia="Times New Roman"/>
          <w:szCs w:val="24"/>
          <w:lang w:eastAsia="en-GB"/>
        </w:rPr>
        <w:t xml:space="preserve">However, in three other documents, Darby concentrates upon the earlier event, that is ‘Christ’s coming for his saints’, </w:t>
      </w:r>
      <w:r w:rsidR="00500BE4">
        <w:rPr>
          <w:rFonts w:eastAsia="Times New Roman"/>
          <w:szCs w:val="24"/>
          <w:lang w:eastAsia="en-GB"/>
        </w:rPr>
        <w:t>call</w:t>
      </w:r>
      <w:r>
        <w:rPr>
          <w:rFonts w:eastAsia="Times New Roman"/>
          <w:szCs w:val="24"/>
          <w:lang w:eastAsia="en-GB"/>
        </w:rPr>
        <w:t>ing this ‘the second coming of Christ’:</w:t>
      </w:r>
    </w:p>
    <w:p w:rsidR="006A2E06" w:rsidRPr="00A62015" w:rsidRDefault="006A2E06" w:rsidP="006A2E06">
      <w:pPr>
        <w:spacing w:after="120" w:line="240" w:lineRule="auto"/>
        <w:ind w:left="1134" w:right="1701"/>
        <w:jc w:val="both"/>
        <w:rPr>
          <w:rFonts w:eastAsia="Times New Roman"/>
          <w:lang w:eastAsia="en-GB"/>
        </w:rPr>
      </w:pPr>
      <w:r w:rsidRPr="00A62015">
        <w:t>We shall find, too, that the teaching of Scripture as to Christ's second coming casts wonderful light on the value of His first coming. For His second coming, as it concerns the saints, is to complete as regards their bodies (so bringing them into the full result of salvation) that work of life-giving power Christ has already wrought in their souls, founded on the complete title in righteousness which He has effected for them on the cross. He comes to receive them to Himself, that where He is there they may be also.</w:t>
      </w:r>
      <w:r w:rsidRPr="00A62015">
        <w:rPr>
          <w:rStyle w:val="EndnoteReference"/>
        </w:rPr>
        <w:endnoteReference w:id="1996"/>
      </w:r>
      <w:r w:rsidRPr="00A62015">
        <w:rPr>
          <w:rFonts w:eastAsia="Times New Roman"/>
          <w:lang w:eastAsia="en-GB"/>
        </w:rPr>
        <w:t xml:space="preserve">  </w:t>
      </w:r>
    </w:p>
    <w:p w:rsidR="006A2E06" w:rsidRPr="00A62015" w:rsidRDefault="006A2E06" w:rsidP="006A2E06">
      <w:pPr>
        <w:spacing w:after="120" w:line="240" w:lineRule="auto"/>
        <w:ind w:left="1134" w:right="1701"/>
        <w:jc w:val="both"/>
        <w:rPr>
          <w:rFonts w:ascii="Times New Roman" w:eastAsia="Times New Roman" w:hAnsi="Times New Roman"/>
          <w:lang w:eastAsia="en-GB"/>
        </w:rPr>
      </w:pPr>
      <w:r w:rsidRPr="00A62015">
        <w:rPr>
          <w:rFonts w:eastAsia="Times New Roman"/>
          <w:lang w:eastAsia="en-GB"/>
        </w:rPr>
        <w:t>After Christ has fulfilled all that was necessary, the church, until the second coming of its Saviour, is taken from out of all nations, and united to Him.</w:t>
      </w:r>
      <w:r w:rsidRPr="00A62015">
        <w:rPr>
          <w:rStyle w:val="EndnoteReference"/>
          <w:rFonts w:eastAsia="Times New Roman"/>
          <w:lang w:eastAsia="en-GB"/>
        </w:rPr>
        <w:endnoteReference w:id="1997"/>
      </w:r>
      <w:r w:rsidRPr="00A62015">
        <w:rPr>
          <w:rFonts w:ascii="Times New Roman" w:eastAsia="Times New Roman" w:hAnsi="Times New Roman"/>
          <w:lang w:eastAsia="en-GB"/>
        </w:rPr>
        <w:t xml:space="preserve"> </w:t>
      </w:r>
    </w:p>
    <w:p w:rsidR="006A2E06" w:rsidRPr="00A62015" w:rsidRDefault="006A2E06" w:rsidP="006A2E06">
      <w:pPr>
        <w:spacing w:after="120" w:line="240" w:lineRule="auto"/>
        <w:ind w:left="1134" w:right="1701"/>
        <w:jc w:val="both"/>
        <w:rPr>
          <w:rFonts w:eastAsia="Times New Roman"/>
          <w:lang w:eastAsia="en-GB"/>
        </w:rPr>
      </w:pPr>
      <w:r w:rsidRPr="00A62015">
        <w:rPr>
          <w:rFonts w:eastAsia="Times New Roman"/>
          <w:bCs/>
          <w:lang w:eastAsia="en-GB"/>
        </w:rPr>
        <w:t>The character of the Lord's second coming; seen not by the world but by those who look for Him; the time of their deliverance.</w:t>
      </w:r>
      <w:r w:rsidRPr="00A62015">
        <w:rPr>
          <w:rStyle w:val="EndnoteReference"/>
          <w:rFonts w:eastAsia="Times New Roman"/>
          <w:bCs/>
          <w:lang w:eastAsia="en-GB"/>
        </w:rPr>
        <w:endnoteReference w:id="1998"/>
      </w:r>
    </w:p>
    <w:p w:rsidR="006A2E06" w:rsidRDefault="006A2E06" w:rsidP="006A2E06">
      <w:pPr>
        <w:spacing w:after="120" w:line="360" w:lineRule="auto"/>
        <w:ind w:right="-1" w:firstLine="567"/>
        <w:jc w:val="both"/>
        <w:rPr>
          <w:rFonts w:eastAsia="Times New Roman"/>
          <w:szCs w:val="24"/>
          <w:lang w:eastAsia="en-GB"/>
        </w:rPr>
      </w:pPr>
      <w:r>
        <w:rPr>
          <w:rFonts w:eastAsia="Times New Roman"/>
          <w:szCs w:val="24"/>
          <w:lang w:eastAsia="en-GB"/>
        </w:rPr>
        <w:t xml:space="preserve">The </w:t>
      </w:r>
      <w:r w:rsidRPr="0025060B">
        <w:rPr>
          <w:rFonts w:eastAsia="Times New Roman"/>
          <w:i/>
          <w:szCs w:val="24"/>
          <w:lang w:eastAsia="en-GB"/>
        </w:rPr>
        <w:t>SRB</w:t>
      </w:r>
      <w:r>
        <w:rPr>
          <w:rFonts w:eastAsia="Times New Roman"/>
          <w:szCs w:val="24"/>
          <w:lang w:eastAsia="en-GB"/>
        </w:rPr>
        <w:t xml:space="preserve"> note on Acts 1:11 </w:t>
      </w:r>
      <w:proofErr w:type="gramStart"/>
      <w:r>
        <w:rPr>
          <w:rFonts w:eastAsia="Times New Roman"/>
          <w:szCs w:val="24"/>
          <w:lang w:eastAsia="en-GB"/>
        </w:rPr>
        <w:t>presents</w:t>
      </w:r>
      <w:proofErr w:type="gramEnd"/>
      <w:r>
        <w:rPr>
          <w:rFonts w:eastAsia="Times New Roman"/>
          <w:szCs w:val="24"/>
          <w:lang w:eastAsia="en-GB"/>
        </w:rPr>
        <w:t xml:space="preserve"> Scofield’s view of Christ’s two advents.  Scofield asserts that ‘the O.T</w:t>
      </w:r>
      <w:r w:rsidR="00500BE4">
        <w:rPr>
          <w:rFonts w:eastAsia="Times New Roman"/>
          <w:szCs w:val="24"/>
          <w:lang w:eastAsia="en-GB"/>
        </w:rPr>
        <w:t>.</w:t>
      </w:r>
      <w:r>
        <w:rPr>
          <w:rFonts w:eastAsia="Times New Roman"/>
          <w:szCs w:val="24"/>
          <w:lang w:eastAsia="en-GB"/>
        </w:rPr>
        <w:t xml:space="preserve"> foreview of the coming Messiah is in two aspects – that of rejection and suffering … and that of earthly glory and power’.  Concerning the ‘N.T. teachings concerning the return of Jesus Christ’, Scofield states, ‘That return is an event, not a process, and is personal and corporeal.’</w:t>
      </w:r>
      <w:r>
        <w:rPr>
          <w:rStyle w:val="EndnoteReference"/>
          <w:rFonts w:eastAsia="Times New Roman"/>
          <w:szCs w:val="24"/>
          <w:lang w:eastAsia="en-GB"/>
        </w:rPr>
        <w:endnoteReference w:id="1999"/>
      </w:r>
      <w:r>
        <w:rPr>
          <w:rFonts w:eastAsia="Times New Roman"/>
          <w:szCs w:val="24"/>
          <w:lang w:eastAsia="en-GB"/>
        </w:rPr>
        <w:t xml:space="preserve">  </w:t>
      </w:r>
      <w:r w:rsidR="00500BE4" w:rsidRPr="00500BE4">
        <w:rPr>
          <w:rFonts w:eastAsia="Times New Roman"/>
          <w:i/>
          <w:szCs w:val="24"/>
          <w:lang w:eastAsia="en-GB"/>
        </w:rPr>
        <w:t>1967</w:t>
      </w:r>
      <w:r>
        <w:rPr>
          <w:rFonts w:eastAsia="Times New Roman"/>
          <w:szCs w:val="24"/>
          <w:lang w:eastAsia="en-GB"/>
        </w:rPr>
        <w:t xml:space="preserve"> repeats the 1917 note exactly.</w:t>
      </w:r>
      <w:r>
        <w:rPr>
          <w:rStyle w:val="EndnoteReference"/>
          <w:rFonts w:eastAsia="Times New Roman"/>
          <w:szCs w:val="24"/>
          <w:lang w:eastAsia="en-GB"/>
        </w:rPr>
        <w:endnoteReference w:id="2000"/>
      </w:r>
      <w:r>
        <w:rPr>
          <w:rFonts w:eastAsia="Times New Roman"/>
          <w:szCs w:val="24"/>
          <w:lang w:eastAsia="en-GB"/>
        </w:rPr>
        <w:t xml:space="preserve">  However, as noted in </w:t>
      </w:r>
      <w:r w:rsidRPr="006E3FFE">
        <w:rPr>
          <w:rFonts w:eastAsia="Times New Roman"/>
          <w:szCs w:val="24"/>
          <w:lang w:eastAsia="en-GB"/>
        </w:rPr>
        <w:t>6.1.2</w:t>
      </w:r>
      <w:r>
        <w:rPr>
          <w:rFonts w:eastAsia="Times New Roman"/>
          <w:szCs w:val="24"/>
          <w:lang w:eastAsia="en-GB"/>
        </w:rPr>
        <w:t xml:space="preserve">, while repeating the rest of the </w:t>
      </w:r>
      <w:r w:rsidRPr="00E347AA">
        <w:rPr>
          <w:rFonts w:eastAsia="Times New Roman"/>
          <w:i/>
          <w:szCs w:val="24"/>
          <w:lang w:eastAsia="en-GB"/>
        </w:rPr>
        <w:t>SRB</w:t>
      </w:r>
      <w:r>
        <w:rPr>
          <w:rFonts w:eastAsia="Times New Roman"/>
          <w:szCs w:val="24"/>
          <w:lang w:eastAsia="en-GB"/>
        </w:rPr>
        <w:t xml:space="preserve"> note verbatim, </w:t>
      </w:r>
      <w:r w:rsidRPr="00E347AA">
        <w:rPr>
          <w:rFonts w:eastAsia="Times New Roman"/>
          <w:i/>
          <w:szCs w:val="24"/>
          <w:lang w:eastAsia="en-GB"/>
        </w:rPr>
        <w:t>2003</w:t>
      </w:r>
      <w:r>
        <w:rPr>
          <w:rFonts w:eastAsia="Times New Roman"/>
          <w:szCs w:val="24"/>
          <w:lang w:eastAsia="en-GB"/>
        </w:rPr>
        <w:t xml:space="preserve"> adds a very important clause after ‘personal and corporeal’.  The note reads: ‘</w:t>
      </w:r>
      <w:proofErr w:type="gramStart"/>
      <w:r>
        <w:rPr>
          <w:rFonts w:eastAsia="Times New Roman"/>
          <w:szCs w:val="24"/>
          <w:lang w:eastAsia="en-GB"/>
        </w:rPr>
        <w:t>The</w:t>
      </w:r>
      <w:proofErr w:type="gramEnd"/>
      <w:r>
        <w:rPr>
          <w:rFonts w:eastAsia="Times New Roman"/>
          <w:szCs w:val="24"/>
          <w:lang w:eastAsia="en-GB"/>
        </w:rPr>
        <w:t xml:space="preserve"> return of Christ will be personal and corporeal, in two stages: </w:t>
      </w:r>
      <w:r w:rsidRPr="00FF012D">
        <w:rPr>
          <w:rFonts w:eastAsia="Times New Roman"/>
          <w:i/>
          <w:szCs w:val="24"/>
          <w:lang w:eastAsia="en-GB"/>
        </w:rPr>
        <w:t>to the air</w:t>
      </w:r>
      <w:r>
        <w:rPr>
          <w:rFonts w:eastAsia="Times New Roman"/>
          <w:szCs w:val="24"/>
          <w:lang w:eastAsia="en-GB"/>
        </w:rPr>
        <w:t xml:space="preserve"> before the Tribulation – usually called the Rapture;</w:t>
      </w:r>
      <w:r>
        <w:rPr>
          <w:rStyle w:val="EndnoteReference"/>
          <w:rFonts w:eastAsia="Times New Roman"/>
          <w:szCs w:val="24"/>
          <w:lang w:eastAsia="en-GB"/>
        </w:rPr>
        <w:endnoteReference w:id="2001"/>
      </w:r>
      <w:r>
        <w:rPr>
          <w:rFonts w:eastAsia="Times New Roman"/>
          <w:szCs w:val="24"/>
          <w:lang w:eastAsia="en-GB"/>
        </w:rPr>
        <w:t xml:space="preserve"> then He will return </w:t>
      </w:r>
      <w:r w:rsidRPr="00FF012D">
        <w:rPr>
          <w:rFonts w:eastAsia="Times New Roman"/>
          <w:i/>
          <w:szCs w:val="24"/>
          <w:lang w:eastAsia="en-GB"/>
        </w:rPr>
        <w:t>to the earth</w:t>
      </w:r>
      <w:r>
        <w:rPr>
          <w:rFonts w:eastAsia="Times New Roman"/>
          <w:szCs w:val="24"/>
          <w:lang w:eastAsia="en-GB"/>
        </w:rPr>
        <w:t xml:space="preserve"> after the Tribulation.’</w:t>
      </w:r>
      <w:r>
        <w:rPr>
          <w:rStyle w:val="EndnoteReference"/>
          <w:rFonts w:eastAsia="Times New Roman"/>
          <w:szCs w:val="24"/>
          <w:lang w:eastAsia="en-GB"/>
        </w:rPr>
        <w:endnoteReference w:id="2002"/>
      </w:r>
      <w:r>
        <w:rPr>
          <w:rFonts w:eastAsia="Times New Roman"/>
          <w:szCs w:val="24"/>
          <w:lang w:eastAsia="en-GB"/>
        </w:rPr>
        <w:t xml:space="preserve">  This probably reflects greater interest in the rapture in later C20 and also puts more emphasis on the concepts of pre- and post-tribulation.  Ice uses a similar expression in his 1997 article, ‘Morgan Edwards: A Pre-Darby Rapturist’: ‘The last few years have witnessed the discovery of voices from the Church’s past testifying to a two-stage return of Christ.’</w:t>
      </w:r>
      <w:r>
        <w:rPr>
          <w:rStyle w:val="EndnoteReference"/>
          <w:rFonts w:eastAsia="Times New Roman"/>
          <w:szCs w:val="24"/>
          <w:lang w:eastAsia="en-GB"/>
        </w:rPr>
        <w:endnoteReference w:id="2003"/>
      </w:r>
      <w:r>
        <w:rPr>
          <w:rFonts w:eastAsia="Times New Roman"/>
          <w:szCs w:val="24"/>
          <w:lang w:eastAsia="en-GB"/>
        </w:rPr>
        <w:t xml:space="preserve">  However, the term ‘two-stage return of Christ’, contradicts remarks made by Chafer in </w:t>
      </w:r>
      <w:r w:rsidRPr="002C1086">
        <w:rPr>
          <w:rFonts w:eastAsia="Times New Roman"/>
          <w:i/>
          <w:szCs w:val="24"/>
          <w:lang w:eastAsia="en-GB"/>
        </w:rPr>
        <w:t>Major Bible Themes</w:t>
      </w:r>
      <w:r>
        <w:rPr>
          <w:rFonts w:eastAsia="Times New Roman"/>
          <w:szCs w:val="24"/>
          <w:lang w:eastAsia="en-GB"/>
        </w:rPr>
        <w:t xml:space="preserve">.  Chafer distinguishes ‘between two future events … Christ coming </w:t>
      </w:r>
      <w:r w:rsidRPr="004F2C92">
        <w:rPr>
          <w:rFonts w:eastAsia="Times New Roman"/>
          <w:i/>
          <w:szCs w:val="24"/>
          <w:lang w:eastAsia="en-GB"/>
        </w:rPr>
        <w:t>for</w:t>
      </w:r>
      <w:r>
        <w:rPr>
          <w:rFonts w:eastAsia="Times New Roman"/>
          <w:szCs w:val="24"/>
          <w:lang w:eastAsia="en-GB"/>
        </w:rPr>
        <w:t xml:space="preserve"> His saints … and … Christ coming </w:t>
      </w:r>
      <w:r w:rsidRPr="004F2C92">
        <w:rPr>
          <w:rFonts w:eastAsia="Times New Roman"/>
          <w:i/>
          <w:szCs w:val="24"/>
          <w:lang w:eastAsia="en-GB"/>
        </w:rPr>
        <w:t>with</w:t>
      </w:r>
      <w:r>
        <w:rPr>
          <w:rFonts w:eastAsia="Times New Roman"/>
          <w:szCs w:val="24"/>
          <w:lang w:eastAsia="en-GB"/>
        </w:rPr>
        <w:t xml:space="preserve"> His saints’;</w:t>
      </w:r>
      <w:r>
        <w:rPr>
          <w:rStyle w:val="EndnoteReference"/>
          <w:rFonts w:eastAsia="Times New Roman"/>
          <w:szCs w:val="24"/>
          <w:lang w:eastAsia="en-GB"/>
        </w:rPr>
        <w:endnoteReference w:id="2004"/>
      </w:r>
      <w:r>
        <w:rPr>
          <w:rFonts w:eastAsia="Times New Roman"/>
          <w:szCs w:val="24"/>
          <w:lang w:eastAsia="en-GB"/>
        </w:rPr>
        <w:t xml:space="preserve"> he even devotes a whole chapter to each of these events.</w:t>
      </w:r>
      <w:r>
        <w:rPr>
          <w:rStyle w:val="EndnoteReference"/>
          <w:rFonts w:eastAsia="Times New Roman"/>
          <w:szCs w:val="24"/>
          <w:lang w:eastAsia="en-GB"/>
        </w:rPr>
        <w:endnoteReference w:id="2005"/>
      </w:r>
      <w:r>
        <w:rPr>
          <w:rFonts w:eastAsia="Times New Roman"/>
          <w:szCs w:val="24"/>
          <w:lang w:eastAsia="en-GB"/>
        </w:rPr>
        <w:t xml:space="preserve">  Having established that the former event must precede the latter, Chafer states, </w:t>
      </w:r>
    </w:p>
    <w:p w:rsidR="006A2E06" w:rsidRDefault="006A2E06" w:rsidP="006A2E06">
      <w:pPr>
        <w:spacing w:after="120" w:line="240" w:lineRule="auto"/>
        <w:ind w:left="1134" w:right="1701"/>
        <w:jc w:val="both"/>
        <w:rPr>
          <w:rFonts w:eastAsia="Times New Roman"/>
          <w:szCs w:val="24"/>
          <w:lang w:eastAsia="en-GB"/>
        </w:rPr>
      </w:pPr>
      <w:r>
        <w:rPr>
          <w:rFonts w:eastAsia="Times New Roman"/>
          <w:szCs w:val="24"/>
          <w:lang w:eastAsia="en-GB"/>
        </w:rPr>
        <w:t xml:space="preserve">The long predicted second coming of Christ to this earth will be completely fulfilled when he comes </w:t>
      </w:r>
      <w:r w:rsidRPr="00C70B53">
        <w:rPr>
          <w:rFonts w:eastAsia="Times New Roman"/>
          <w:i/>
          <w:szCs w:val="24"/>
          <w:lang w:eastAsia="en-GB"/>
        </w:rPr>
        <w:t>with</w:t>
      </w:r>
      <w:r>
        <w:rPr>
          <w:rFonts w:eastAsia="Times New Roman"/>
          <w:szCs w:val="24"/>
          <w:lang w:eastAsia="en-GB"/>
        </w:rPr>
        <w:t xml:space="preserve"> His saints, and, therefore, the </w:t>
      </w:r>
      <w:r>
        <w:rPr>
          <w:rFonts w:eastAsia="Times New Roman"/>
          <w:szCs w:val="24"/>
          <w:lang w:eastAsia="en-GB"/>
        </w:rPr>
        <w:lastRenderedPageBreak/>
        <w:t xml:space="preserve">coming of Christ </w:t>
      </w:r>
      <w:r w:rsidRPr="00C70B53">
        <w:rPr>
          <w:rFonts w:eastAsia="Times New Roman"/>
          <w:i/>
          <w:szCs w:val="24"/>
          <w:lang w:eastAsia="en-GB"/>
        </w:rPr>
        <w:t>for</w:t>
      </w:r>
      <w:r>
        <w:rPr>
          <w:rFonts w:eastAsia="Times New Roman"/>
          <w:szCs w:val="24"/>
          <w:lang w:eastAsia="en-GB"/>
        </w:rPr>
        <w:t xml:space="preserve"> His own sustains no relation to it whatsoever.  The two events are not two phases or aspects of one divine undertaking.  … His coming </w:t>
      </w:r>
      <w:r w:rsidRPr="00EF5C24">
        <w:rPr>
          <w:rFonts w:eastAsia="Times New Roman"/>
          <w:i/>
          <w:szCs w:val="24"/>
          <w:lang w:eastAsia="en-GB"/>
        </w:rPr>
        <w:t>for</w:t>
      </w:r>
      <w:r>
        <w:rPr>
          <w:rFonts w:eastAsia="Times New Roman"/>
          <w:szCs w:val="24"/>
          <w:lang w:eastAsia="en-GB"/>
        </w:rPr>
        <w:t xml:space="preserve"> His saints is the next event in the order of the fulfillment of prophecy’, which should be awaited by ‘the child of God’.</w:t>
      </w:r>
      <w:r>
        <w:rPr>
          <w:rStyle w:val="EndnoteReference"/>
          <w:rFonts w:eastAsia="Times New Roman"/>
          <w:szCs w:val="24"/>
          <w:lang w:eastAsia="en-GB"/>
        </w:rPr>
        <w:endnoteReference w:id="2006"/>
      </w:r>
      <w:r>
        <w:rPr>
          <w:rFonts w:eastAsia="Times New Roman"/>
          <w:szCs w:val="24"/>
          <w:lang w:eastAsia="en-GB"/>
        </w:rPr>
        <w:t xml:space="preserve">  </w:t>
      </w:r>
    </w:p>
    <w:p w:rsidR="006A2E06" w:rsidRDefault="006A2E06" w:rsidP="006A2E06">
      <w:pPr>
        <w:spacing w:after="120" w:line="360" w:lineRule="auto"/>
        <w:ind w:right="-1"/>
        <w:jc w:val="both"/>
      </w:pPr>
      <w:r>
        <w:rPr>
          <w:rFonts w:eastAsia="Times New Roman"/>
          <w:szCs w:val="24"/>
          <w:lang w:eastAsia="en-GB"/>
        </w:rPr>
        <w:t>This division between the two future events begs the question of an appropriate nomenclature for the event where Christ comes for his saints.  As mentioned in 6.1.3, Scofield does sometimes open the possibility of a third coming since he refers in his note on 1 Cor. 15:52 to the ‘meeting in the air’ as the second coming of Christ,</w:t>
      </w:r>
      <w:r w:rsidRPr="00B7034B">
        <w:rPr>
          <w:rStyle w:val="EndnoteReference"/>
        </w:rPr>
        <w:endnoteReference w:id="2007"/>
      </w:r>
      <w:r>
        <w:rPr>
          <w:rFonts w:eastAsia="Times New Roman"/>
          <w:szCs w:val="24"/>
          <w:lang w:eastAsia="en-GB"/>
        </w:rPr>
        <w:t xml:space="preserve"> and in his note on Jn 14:3, where he asserts that </w:t>
      </w:r>
      <w:r>
        <w:t>the</w:t>
      </w:r>
      <w:r w:rsidRPr="00B7034B">
        <w:t xml:space="preserve"> </w:t>
      </w:r>
      <w:r>
        <w:t>‘</w:t>
      </w:r>
      <w:r w:rsidRPr="00B7034B">
        <w:t>promise of a second advent of Christ is to be distinguished from His return in glory to the earth</w:t>
      </w:r>
      <w:r>
        <w:t>’.</w:t>
      </w:r>
      <w:r>
        <w:rPr>
          <w:rStyle w:val="EndnoteReference"/>
        </w:rPr>
        <w:endnoteReference w:id="2008"/>
      </w:r>
      <w:r>
        <w:t xml:space="preserve">  However, in this chapter ‘the second coming of Christ’ will be treated as constituting Christ’s return to earth to establish the millennial kingdom.</w:t>
      </w:r>
    </w:p>
    <w:p w:rsidR="006A2E06" w:rsidRPr="00E1790B" w:rsidRDefault="006A2E06" w:rsidP="006A2E06">
      <w:pPr>
        <w:spacing w:after="120" w:line="360" w:lineRule="auto"/>
        <w:ind w:right="-29" w:firstLine="567"/>
        <w:jc w:val="both"/>
      </w:pPr>
      <w:r>
        <w:t xml:space="preserve">Scofield emphasises that the Old Testament prophets, while not anticipating any interval between Christ’s two advents, distinguished between them as, for example, presenting Christ as </w:t>
      </w:r>
      <w:r w:rsidRPr="00E1790B">
        <w:t xml:space="preserve">‘weak, despised, rejected and slain’ </w:t>
      </w:r>
      <w:r>
        <w:t>at his</w:t>
      </w:r>
      <w:r w:rsidRPr="00E1790B">
        <w:t xml:space="preserve"> first </w:t>
      </w:r>
      <w:r>
        <w:t xml:space="preserve">advent </w:t>
      </w:r>
      <w:r w:rsidRPr="00E1790B">
        <w:t xml:space="preserve">and as </w:t>
      </w:r>
      <w:r>
        <w:t xml:space="preserve">a </w:t>
      </w:r>
      <w:r w:rsidRPr="00E1790B">
        <w:t>‘mighty conqueror’ in the second.</w:t>
      </w:r>
      <w:r w:rsidRPr="00E1790B">
        <w:rPr>
          <w:rStyle w:val="EndnoteReference"/>
        </w:rPr>
        <w:endnoteReference w:id="2009"/>
      </w:r>
      <w:r>
        <w:t xml:space="preserve"> Scofield</w:t>
      </w:r>
      <w:r w:rsidRPr="00E1790B">
        <w:t xml:space="preserve"> claim</w:t>
      </w:r>
      <w:r>
        <w:t>s</w:t>
      </w:r>
      <w:r w:rsidRPr="00E1790B">
        <w:t xml:space="preserve"> that Isaiah </w:t>
      </w:r>
      <w:r w:rsidRPr="005C61B0">
        <w:rPr>
          <w:spacing w:val="-4"/>
        </w:rPr>
        <w:t>sees ‘the two advents in one view’</w:t>
      </w:r>
      <w:r w:rsidRPr="005C61B0">
        <w:rPr>
          <w:rStyle w:val="EndnoteReference"/>
          <w:spacing w:val="-4"/>
        </w:rPr>
        <w:endnoteReference w:id="2010"/>
      </w:r>
      <w:r w:rsidRPr="005C61B0">
        <w:rPr>
          <w:spacing w:val="-4"/>
        </w:rPr>
        <w:t xml:space="preserve"> and that this is corroborated when Jesus quotes Isa. 61:1-2 in Lk. 4:16-</w:t>
      </w:r>
      <w:r w:rsidRPr="003F6FA0">
        <w:t xml:space="preserve">20.  He avers that it is significant that Jesus stopped partway through Isa. 61:2 when reading the text at Nazareth because the text up to </w:t>
      </w:r>
      <w:r>
        <w:t>“</w:t>
      </w:r>
      <w:r w:rsidRPr="003F6FA0">
        <w:t>proclaim the acce</w:t>
      </w:r>
      <w:r>
        <w:t>ptable year of the Lord”</w:t>
      </w:r>
      <w:r w:rsidRPr="003F6FA0">
        <w:t xml:space="preserve"> ‘is connected with the first advent’; he links the first advent with ‘the dispensation of grace’.  ‘“The day of vengeance of our God” belongs to the second advent … and judgment’; it was not fulfilled in the first advent and will therefore occur at the second.</w:t>
      </w:r>
      <w:r w:rsidRPr="003F6FA0">
        <w:rPr>
          <w:rStyle w:val="EndnoteReference"/>
        </w:rPr>
        <w:endnoteReference w:id="2011"/>
      </w:r>
      <w:r w:rsidRPr="003F6FA0">
        <w:t xml:space="preserve">  </w:t>
      </w:r>
      <w:r w:rsidRPr="002C791F">
        <w:t xml:space="preserve">Here Scofield builds upon the phrase, “and the day of vengeance of our God” which does, as he asserts, come after the comma in Isa. 1:2, </w:t>
      </w:r>
      <w:r w:rsidRPr="002C791F">
        <w:rPr>
          <w:i/>
        </w:rPr>
        <w:t>KJV</w:t>
      </w:r>
      <w:r w:rsidRPr="002C791F">
        <w:t xml:space="preserve">, but which is followed within that verse by the words, ‘to comfort all that mourn’ and by further words about comfort and rebuilding in the succeeding verses.  The impression given is that the omitted ‘vengeance’ phrase is equal in weight to the words actually quoted by Jesus in Luke 4 both before and after it.  </w:t>
      </w:r>
      <w:r w:rsidRPr="003F6FA0">
        <w:t>Scofield asserts that Malachi, like other Old Testament prophets, saw ‘both advents of the Messiah blended in one horizon’, but did not conceive of the interval between them, occasioned by ‘the rejection of the King’, or envisage ‘the Church-age’.</w:t>
      </w:r>
      <w:r w:rsidRPr="003F6FA0">
        <w:rPr>
          <w:rStyle w:val="EndnoteReference"/>
        </w:rPr>
        <w:endnoteReference w:id="2012"/>
      </w:r>
      <w:r w:rsidRPr="003F6FA0">
        <w:t xml:space="preserve">  </w:t>
      </w:r>
      <w:r>
        <w:t>He</w:t>
      </w:r>
      <w:r w:rsidRPr="003F6FA0">
        <w:t xml:space="preserve"> states that ‘my messenger’</w:t>
      </w:r>
      <w:r w:rsidRPr="003F6FA0">
        <w:rPr>
          <w:rStyle w:val="EndnoteReference"/>
        </w:rPr>
        <w:endnoteReference w:id="2013"/>
      </w:r>
      <w:r w:rsidRPr="003F6FA0">
        <w:t xml:space="preserve"> was fulfilled in John the Baptist, but </w:t>
      </w:r>
      <w:r>
        <w:t>‘“</w:t>
      </w:r>
      <w:r w:rsidRPr="003F6FA0">
        <w:t>the Lord whom ye seek”</w:t>
      </w:r>
      <w:r w:rsidRPr="003F6FA0">
        <w:rPr>
          <w:rStyle w:val="EndnoteReference"/>
        </w:rPr>
        <w:endnoteReference w:id="2014"/>
      </w:r>
      <w:r w:rsidRPr="003F6FA0">
        <w:t xml:space="preserve"> etc.</w:t>
      </w:r>
      <w:r w:rsidRPr="003F6FA0">
        <w:rPr>
          <w:rStyle w:val="EndnoteReference"/>
        </w:rPr>
        <w:endnoteReference w:id="2015"/>
      </w:r>
      <w:r w:rsidRPr="003F6FA0">
        <w:t xml:space="preserve"> is </w:t>
      </w:r>
      <w:r w:rsidRPr="003F6FA0">
        <w:rPr>
          <w:i/>
        </w:rPr>
        <w:t>nowhere quoted</w:t>
      </w:r>
      <w:r w:rsidRPr="003F6FA0">
        <w:t xml:space="preserve"> in the New Testament’;</w:t>
      </w:r>
      <w:r w:rsidRPr="003F6FA0">
        <w:rPr>
          <w:rStyle w:val="EndnoteReference"/>
        </w:rPr>
        <w:endnoteReference w:id="2016"/>
      </w:r>
      <w:r w:rsidRPr="003F6FA0">
        <w:t xml:space="preserve"> Scofield avers that ‘the reason for this is obvious’: this awaits fulfilment.</w:t>
      </w:r>
      <w:r w:rsidRPr="00E1790B">
        <w:rPr>
          <w:rStyle w:val="EndnoteReference"/>
        </w:rPr>
        <w:endnoteReference w:id="2017"/>
      </w:r>
      <w:r w:rsidRPr="00E1790B">
        <w:t xml:space="preserve">  This assertion depends upon the argument of lack of New Testament quotation which could equally be applied to many other Old Testament verses.  </w:t>
      </w:r>
    </w:p>
    <w:p w:rsidR="006A2E06" w:rsidRDefault="006A2E06" w:rsidP="006A2E06">
      <w:pPr>
        <w:spacing w:after="120" w:line="360" w:lineRule="auto"/>
        <w:ind w:firstLine="567"/>
        <w:jc w:val="both"/>
      </w:pPr>
      <w:r>
        <w:t xml:space="preserve">Chafer states, </w:t>
      </w:r>
      <w:r w:rsidRPr="00710B13">
        <w:t>‘The Second Coming occupies a larger part of the text of the Scriptures than any other doctrine, and it is the outstanding theme of prophecy in both the Old and New Testaments.</w:t>
      </w:r>
      <w:r>
        <w:t>’</w:t>
      </w:r>
      <w:r>
        <w:rPr>
          <w:rStyle w:val="EndnoteReference"/>
        </w:rPr>
        <w:endnoteReference w:id="2018"/>
      </w:r>
      <w:r>
        <w:t xml:space="preserve">  This is reflected in Scofield’s treatment of the two advents.  </w:t>
      </w:r>
      <w:r w:rsidRPr="00797EF7">
        <w:t xml:space="preserve">Significantly, </w:t>
      </w:r>
      <w:r>
        <w:t>he</w:t>
      </w:r>
      <w:r w:rsidRPr="00797EF7">
        <w:t xml:space="preserve"> ma</w:t>
      </w:r>
      <w:r w:rsidRPr="00D75DDD">
        <w:t>ke</w:t>
      </w:r>
      <w:r>
        <w:t>s</w:t>
      </w:r>
      <w:r w:rsidRPr="00D75DDD">
        <w:t xml:space="preserve"> many more references to the </w:t>
      </w:r>
      <w:proofErr w:type="gramStart"/>
      <w:r w:rsidRPr="00D75DDD">
        <w:t>second advent</w:t>
      </w:r>
      <w:proofErr w:type="gramEnd"/>
      <w:r w:rsidRPr="00D75DDD">
        <w:t xml:space="preserve"> than to the first.  </w:t>
      </w:r>
      <w:r w:rsidRPr="00B04D9B">
        <w:t xml:space="preserve">Of approximately eleven comments which mention the first advent, six emphasise events which did </w:t>
      </w:r>
      <w:r w:rsidRPr="00B04D9B">
        <w:rPr>
          <w:i/>
        </w:rPr>
        <w:t>not</w:t>
      </w:r>
      <w:r w:rsidRPr="00B04D9B">
        <w:t xml:space="preserve"> happen during it.  He uses these examples to indicate that these events </w:t>
      </w:r>
      <w:r w:rsidRPr="00B04D9B">
        <w:lastRenderedPageBreak/>
        <w:t>will transpire at the future second coming.</w:t>
      </w:r>
      <w:r w:rsidRPr="00B04D9B">
        <w:rPr>
          <w:rStyle w:val="EndnoteReference"/>
        </w:rPr>
        <w:endnoteReference w:id="2019"/>
      </w:r>
      <w:r w:rsidRPr="00B04D9B">
        <w:t xml:space="preserve">  </w:t>
      </w:r>
      <w:r w:rsidRPr="00D75DDD">
        <w:t xml:space="preserve">The </w:t>
      </w:r>
      <w:r w:rsidRPr="00D75DDD">
        <w:rPr>
          <w:i/>
        </w:rPr>
        <w:t>SRB</w:t>
      </w:r>
      <w:r w:rsidRPr="00D75DDD">
        <w:t xml:space="preserve"> subhead to Mal. 4:2 proclaims ‘the mission of John the Baptist and the coming of the Lord’.</w:t>
      </w:r>
      <w:r>
        <w:rPr>
          <w:rStyle w:val="EndnoteReference"/>
        </w:rPr>
        <w:endnoteReference w:id="2020"/>
      </w:r>
      <w:r w:rsidRPr="00D75DDD">
        <w:t xml:space="preserve">  </w:t>
      </w:r>
      <w:r>
        <w:t xml:space="preserve">As already mentioned, </w:t>
      </w:r>
      <w:r w:rsidRPr="00710B13">
        <w:t xml:space="preserve">Scofield regards Jesus’ omission of Isa. 61:2b as indicating that that Isa. 61:1 and 2a belong to the first advent and dispensation of grace, whereas Isa. 61:2b belongs to the </w:t>
      </w:r>
      <w:proofErr w:type="gramStart"/>
      <w:r w:rsidRPr="00710B13">
        <w:t>second advent</w:t>
      </w:r>
      <w:proofErr w:type="gramEnd"/>
      <w:r w:rsidRPr="00710B13">
        <w:t>.</w:t>
      </w:r>
      <w:r w:rsidRPr="00710B13">
        <w:rPr>
          <w:rStyle w:val="EndnoteReference"/>
        </w:rPr>
        <w:endnoteReference w:id="2021"/>
      </w:r>
      <w:r w:rsidRPr="00710B13">
        <w:t xml:space="preserve">  </w:t>
      </w:r>
      <w:r w:rsidRPr="00D75DDD">
        <w:t xml:space="preserve">The subhead to Joel 2:30 </w:t>
      </w:r>
      <w:proofErr w:type="gramStart"/>
      <w:r w:rsidRPr="00D75DDD">
        <w:t>proclaims</w:t>
      </w:r>
      <w:proofErr w:type="gramEnd"/>
      <w:r w:rsidRPr="00D75DDD">
        <w:t xml:space="preserve"> ‘signs preceding the second advent and day of the LORD’</w:t>
      </w:r>
      <w:r w:rsidRPr="00D75DDD">
        <w:rPr>
          <w:rStyle w:val="EndnoteReference"/>
        </w:rPr>
        <w:endnoteReference w:id="2022"/>
      </w:r>
      <w:r w:rsidRPr="00D75DDD">
        <w:t xml:space="preserve"> and the note on Heb. 1:4 </w:t>
      </w:r>
      <w:r>
        <w:t xml:space="preserve">states </w:t>
      </w:r>
      <w:r w:rsidRPr="00D75DDD">
        <w:t>that the angels will accompany Christ</w:t>
      </w:r>
      <w:r>
        <w:t xml:space="preserve"> at his second coming</w:t>
      </w:r>
      <w:r w:rsidRPr="00D75DDD">
        <w:t>.</w:t>
      </w:r>
      <w:r w:rsidRPr="00D75DDD">
        <w:rPr>
          <w:rStyle w:val="EndnoteReference"/>
        </w:rPr>
        <w:endnoteReference w:id="2023"/>
      </w:r>
      <w:r w:rsidRPr="00D75DDD">
        <w:t xml:space="preserve">  </w:t>
      </w:r>
      <w:r>
        <w:t xml:space="preserve">Four subheads mention </w:t>
      </w:r>
      <w:r w:rsidRPr="00D75DDD">
        <w:t xml:space="preserve">Jesus </w:t>
      </w:r>
      <w:r>
        <w:t xml:space="preserve">as </w:t>
      </w:r>
      <w:r w:rsidRPr="00D75DDD">
        <w:t>foretell</w:t>
      </w:r>
      <w:r>
        <w:t>ing</w:t>
      </w:r>
      <w:r w:rsidRPr="00D75DDD">
        <w:t xml:space="preserve"> his </w:t>
      </w:r>
      <w:r>
        <w:t>second coming</w:t>
      </w:r>
      <w:r w:rsidRPr="00D75DDD">
        <w:t>,</w:t>
      </w:r>
      <w:r>
        <w:rPr>
          <w:rStyle w:val="EndnoteReference"/>
        </w:rPr>
        <w:endnoteReference w:id="2024"/>
      </w:r>
      <w:r>
        <w:t xml:space="preserve"> ‘coming for His own’,</w:t>
      </w:r>
      <w:r>
        <w:rPr>
          <w:rStyle w:val="EndnoteReference"/>
        </w:rPr>
        <w:endnoteReference w:id="2025"/>
      </w:r>
      <w:r>
        <w:t xml:space="preserve"> </w:t>
      </w:r>
      <w:proofErr w:type="gramStart"/>
      <w:r>
        <w:t>second advent</w:t>
      </w:r>
      <w:proofErr w:type="gramEnd"/>
      <w:r>
        <w:rPr>
          <w:rStyle w:val="EndnoteReference"/>
        </w:rPr>
        <w:endnoteReference w:id="2026"/>
      </w:r>
      <w:r>
        <w:t xml:space="preserve"> and return.</w:t>
      </w:r>
      <w:r>
        <w:rPr>
          <w:rStyle w:val="EndnoteReference"/>
        </w:rPr>
        <w:endnoteReference w:id="2027"/>
      </w:r>
      <w:r>
        <w:t xml:space="preserve">  Even Zech. 13:8 is said to portray Christ’s return to the Mount of Olives.</w:t>
      </w:r>
      <w:r>
        <w:rPr>
          <w:rStyle w:val="EndnoteReference"/>
        </w:rPr>
        <w:endnoteReference w:id="2028"/>
      </w:r>
      <w:r>
        <w:t xml:space="preserve">  Scofield states that </w:t>
      </w:r>
      <w:r w:rsidRPr="00D75DDD">
        <w:t>Mt. 24:4-33 answers questions about ‘the sign of thy coming and the end of the age’.</w:t>
      </w:r>
      <w:r w:rsidRPr="00D75DDD">
        <w:rPr>
          <w:rStyle w:val="EndnoteReference"/>
        </w:rPr>
        <w:endnoteReference w:id="2029"/>
      </w:r>
      <w:r w:rsidRPr="00D75DDD">
        <w:t xml:space="preserve">  </w:t>
      </w:r>
      <w:r>
        <w:t>He also avers that t</w:t>
      </w:r>
      <w:r w:rsidRPr="00D75DDD">
        <w:t xml:space="preserve">he ‘messenger of the covenant’ </w:t>
      </w:r>
      <w:r>
        <w:t xml:space="preserve">in Mal. 3:1 </w:t>
      </w:r>
      <w:r w:rsidRPr="00CE7E63">
        <w:t xml:space="preserve">is </w:t>
      </w:r>
      <w:r>
        <w:t>‘</w:t>
      </w:r>
      <w:r w:rsidRPr="00CE7E63">
        <w:t>Christ in both His advents, but with special reference to events which are to follow after His return’.</w:t>
      </w:r>
      <w:r w:rsidRPr="00CE7E63">
        <w:rPr>
          <w:rStyle w:val="EndnoteReference"/>
        </w:rPr>
        <w:endnoteReference w:id="2030"/>
      </w:r>
      <w:r w:rsidRPr="00CE7E63">
        <w:t xml:space="preserve">  This seems a strange statement from a Christian, as it appears to </w:t>
      </w:r>
      <w:r>
        <w:t>under</w:t>
      </w:r>
      <w:r w:rsidRPr="00CE7E63">
        <w:t>value Christ’s incarnation, death and resurrection</w:t>
      </w:r>
      <w:r w:rsidRPr="00E1790B">
        <w:t>.</w:t>
      </w:r>
      <w:r>
        <w:t xml:space="preserve"> </w:t>
      </w:r>
    </w:p>
    <w:p w:rsidR="006A2E06" w:rsidRPr="00D75DDD" w:rsidRDefault="006A2E06" w:rsidP="006A2E06">
      <w:pPr>
        <w:spacing w:after="120" w:line="360" w:lineRule="auto"/>
        <w:ind w:firstLine="540"/>
        <w:jc w:val="both"/>
      </w:pPr>
      <w:r w:rsidRPr="00D75DDD">
        <w:t>Although Israel is to be regathered nationally, to be converted and to experience peace and power under the Davidic Covenant,</w:t>
      </w:r>
      <w:r w:rsidRPr="00D75DDD">
        <w:rPr>
          <w:rStyle w:val="EndnoteReference"/>
          <w:lang w:eastAsia="en-GB"/>
        </w:rPr>
        <w:endnoteReference w:id="2031"/>
      </w:r>
      <w:r w:rsidRPr="00D75DDD">
        <w:rPr>
          <w:lang w:eastAsia="en-GB"/>
        </w:rPr>
        <w:t xml:space="preserve"> </w:t>
      </w:r>
      <w:r>
        <w:rPr>
          <w:lang w:eastAsia="en-GB"/>
        </w:rPr>
        <w:t xml:space="preserve">it will be subject to judgment at </w:t>
      </w:r>
      <w:r w:rsidRPr="00D75DDD">
        <w:rPr>
          <w:lang w:eastAsia="en-GB"/>
        </w:rPr>
        <w:t>Christ</w:t>
      </w:r>
      <w:r>
        <w:rPr>
          <w:lang w:eastAsia="en-GB"/>
        </w:rPr>
        <w:t>’s</w:t>
      </w:r>
      <w:r w:rsidRPr="00D75DDD">
        <w:rPr>
          <w:lang w:eastAsia="en-GB"/>
        </w:rPr>
        <w:t xml:space="preserve"> return.</w:t>
      </w:r>
      <w:r w:rsidRPr="00D75DDD">
        <w:rPr>
          <w:rStyle w:val="EndnoteReference"/>
          <w:lang w:eastAsia="en-GB"/>
        </w:rPr>
        <w:endnoteReference w:id="2032"/>
      </w:r>
      <w:r w:rsidRPr="00D75DDD">
        <w:rPr>
          <w:lang w:eastAsia="en-GB"/>
        </w:rPr>
        <w:t xml:space="preserve"> </w:t>
      </w:r>
      <w:r w:rsidRPr="00D75DDD">
        <w:t xml:space="preserve"> </w:t>
      </w:r>
      <w:r>
        <w:t>Scofield</w:t>
      </w:r>
      <w:r w:rsidRPr="00D75DDD">
        <w:t xml:space="preserve"> state</w:t>
      </w:r>
      <w:r>
        <w:t>s</w:t>
      </w:r>
      <w:r w:rsidRPr="00D75DDD">
        <w:t xml:space="preserve"> that </w:t>
      </w:r>
      <w:r>
        <w:t xml:space="preserve">the </w:t>
      </w:r>
      <w:r w:rsidRPr="00D75DDD">
        <w:t>‘vexation’ was initially fulfilled in 70 CE and the ‘final dispersion of the Jews’</w:t>
      </w:r>
      <w:r>
        <w:t>,</w:t>
      </w:r>
      <w:r w:rsidRPr="00D75DDD">
        <w:t xml:space="preserve"> and ‘more completely </w:t>
      </w:r>
      <w:r>
        <w:t xml:space="preserve">[fulfilled] </w:t>
      </w:r>
      <w:r w:rsidRPr="00D75DDD">
        <w:t>in the tribulation … which immediately precedes the return of the King’.</w:t>
      </w:r>
      <w:r w:rsidRPr="00D75DDD">
        <w:rPr>
          <w:rStyle w:val="EndnoteReference"/>
        </w:rPr>
        <w:endnoteReference w:id="2033"/>
      </w:r>
      <w:r w:rsidRPr="00D75DDD">
        <w:t xml:space="preserve">  Significantly, Israel’s regathering and repentance </w:t>
      </w:r>
      <w:proofErr w:type="gramStart"/>
      <w:r w:rsidRPr="00D75DDD">
        <w:t>constitute</w:t>
      </w:r>
      <w:proofErr w:type="gramEnd"/>
      <w:r w:rsidRPr="00D75DDD">
        <w:t xml:space="preserve"> preparation for Messiah’s return.</w:t>
      </w:r>
      <w:r w:rsidRPr="00D75DDD">
        <w:rPr>
          <w:rStyle w:val="EndnoteReference"/>
        </w:rPr>
        <w:endnoteReference w:id="2034"/>
      </w:r>
      <w:r w:rsidRPr="00D75DDD">
        <w:t xml:space="preserve">  Zechariah’s fifth vision typifies ‘the preparation of Israel for receiving Jehovah’s BRANCH’.</w:t>
      </w:r>
      <w:r>
        <w:rPr>
          <w:rStyle w:val="EndnoteReference"/>
        </w:rPr>
        <w:endnoteReference w:id="2035"/>
      </w:r>
      <w:r w:rsidRPr="00D75DDD">
        <w:t xml:space="preserve">  </w:t>
      </w:r>
      <w:r w:rsidRPr="0007123B">
        <w:t>Christ’s ‘“Immanuel” character’</w:t>
      </w:r>
      <w:r w:rsidRPr="00D75DDD">
        <w:t xml:space="preserve"> as </w:t>
      </w:r>
      <w:r>
        <w:t>‘</w:t>
      </w:r>
      <w:r w:rsidRPr="00D75DDD">
        <w:t>Jehovah’s “Branch”</w:t>
      </w:r>
      <w:r>
        <w:t>’</w:t>
      </w:r>
      <w:r w:rsidRPr="00D75DDD">
        <w:t xml:space="preserve"> will be manifested to ‘a restored and converted Israel’ after his glorious and divine </w:t>
      </w:r>
      <w:r w:rsidRPr="002B39CC">
        <w:t>return</w:t>
      </w:r>
      <w:r w:rsidRPr="009311AF">
        <w:rPr>
          <w:rFonts w:ascii="Times New Roman" w:hAnsi="Times New Roman"/>
        </w:rPr>
        <w:t>.</w:t>
      </w:r>
      <w:r w:rsidRPr="00D042E6">
        <w:rPr>
          <w:rStyle w:val="EndnoteReference"/>
        </w:rPr>
        <w:endnoteReference w:id="2036"/>
      </w:r>
      <w:r w:rsidRPr="009311AF">
        <w:rPr>
          <w:rFonts w:ascii="Times New Roman" w:hAnsi="Times New Roman"/>
        </w:rPr>
        <w:t xml:space="preserve">  </w:t>
      </w:r>
      <w:r w:rsidRPr="00D75DDD">
        <w:t>The conversion and restoration of the High Priest’s ancient people will happen on his return.</w:t>
      </w:r>
      <w:r w:rsidRPr="00D75DDD">
        <w:rPr>
          <w:rStyle w:val="EndnoteReference"/>
        </w:rPr>
        <w:endnoteReference w:id="2037"/>
      </w:r>
      <w:r w:rsidRPr="00D75DDD">
        <w:t xml:space="preserve">  </w:t>
      </w:r>
      <w:r>
        <w:t>H</w:t>
      </w:r>
      <w:r w:rsidRPr="00D75DDD">
        <w:t xml:space="preserve">e will be </w:t>
      </w:r>
      <w:r>
        <w:t>‘</w:t>
      </w:r>
      <w:r w:rsidRPr="00D75DDD">
        <w:t xml:space="preserve">ruler over </w:t>
      </w:r>
      <w:r>
        <w:t>Israel’</w:t>
      </w:r>
      <w:r w:rsidRPr="00D75DDD">
        <w:t>.</w:t>
      </w:r>
      <w:r>
        <w:rPr>
          <w:rStyle w:val="EndnoteReference"/>
        </w:rPr>
        <w:endnoteReference w:id="2038"/>
      </w:r>
      <w:r w:rsidRPr="00D75DDD">
        <w:t xml:space="preserve">  </w:t>
      </w:r>
      <w:r>
        <w:t>Scofield</w:t>
      </w:r>
      <w:r w:rsidRPr="00D75DDD">
        <w:t xml:space="preserve"> claim</w:t>
      </w:r>
      <w:r>
        <w:t>s</w:t>
      </w:r>
      <w:r w:rsidRPr="00D75DDD">
        <w:t xml:space="preserve"> that the future restoration of Israel is connected to the Lord’s advent</w:t>
      </w:r>
      <w:r w:rsidRPr="00D75DDD">
        <w:rPr>
          <w:rStyle w:val="EndnoteReference"/>
        </w:rPr>
        <w:endnoteReference w:id="2039"/>
      </w:r>
      <w:r w:rsidRPr="00D75DDD">
        <w:t xml:space="preserve"> and the deliverance of ‘the Jewish remnant’</w:t>
      </w:r>
      <w:r>
        <w:rPr>
          <w:rStyle w:val="EndnoteReference"/>
        </w:rPr>
        <w:endnoteReference w:id="2040"/>
      </w:r>
      <w:r>
        <w:t xml:space="preserve"> </w:t>
      </w:r>
      <w:r w:rsidRPr="00D75DDD">
        <w:t xml:space="preserve">‘is wholly </w:t>
      </w:r>
      <w:proofErr w:type="gramStart"/>
      <w:r w:rsidRPr="00D75DDD">
        <w:t>effected</w:t>
      </w:r>
      <w:proofErr w:type="gramEnd"/>
      <w:r w:rsidRPr="00D75DDD">
        <w:t xml:space="preserve"> by the LORD’s return’.</w:t>
      </w:r>
      <w:r>
        <w:rPr>
          <w:rStyle w:val="EndnoteReference"/>
        </w:rPr>
        <w:endnoteReference w:id="2041"/>
      </w:r>
      <w:r>
        <w:t xml:space="preserve">  </w:t>
      </w:r>
      <w:r w:rsidRPr="00D75DDD">
        <w:t xml:space="preserve">However, the use of the term ‘Son of </w:t>
      </w:r>
      <w:r>
        <w:t>m</w:t>
      </w:r>
      <w:r w:rsidRPr="00D75DDD">
        <w:t>an’ implies that Christ’s mission, death and resurrection, and second coming ‘transcended in scope and result all merely Jewish limitations’.</w:t>
      </w:r>
      <w:r w:rsidRPr="00D75DDD">
        <w:rPr>
          <w:rStyle w:val="EndnoteReference"/>
        </w:rPr>
        <w:endnoteReference w:id="2042"/>
      </w:r>
      <w:r w:rsidRPr="00D75DDD">
        <w:t xml:space="preserve">  </w:t>
      </w:r>
    </w:p>
    <w:p w:rsidR="006A2E06" w:rsidRPr="00F76E23" w:rsidRDefault="006A2E06" w:rsidP="006A2E06">
      <w:pPr>
        <w:spacing w:after="120" w:line="360" w:lineRule="auto"/>
        <w:ind w:firstLine="540"/>
        <w:jc w:val="both"/>
      </w:pPr>
      <w:r>
        <w:t>Christ’s return is to be glorious and visible, occasioning the earthly power and glory</w:t>
      </w:r>
      <w:r>
        <w:rPr>
          <w:rStyle w:val="EndnoteReference"/>
        </w:rPr>
        <w:endnoteReference w:id="2043"/>
      </w:r>
      <w:r>
        <w:t xml:space="preserve"> which were prophesied in the Old Testament.  </w:t>
      </w:r>
      <w:r w:rsidRPr="00B32561">
        <w:t>Many comments</w:t>
      </w:r>
      <w:r w:rsidRPr="00D75DDD">
        <w:t xml:space="preserve"> emphasise the glory of the return.</w:t>
      </w:r>
      <w:r>
        <w:rPr>
          <w:rStyle w:val="EndnoteReference"/>
        </w:rPr>
        <w:endnoteReference w:id="2044"/>
      </w:r>
      <w:r w:rsidRPr="00D75DDD">
        <w:t xml:space="preserve">  Three comments mention its visibility</w:t>
      </w:r>
      <w:r w:rsidRPr="00F76E23">
        <w:t xml:space="preserve">: </w:t>
      </w:r>
      <w:r>
        <w:t xml:space="preserve">the </w:t>
      </w:r>
      <w:r w:rsidRPr="00F76E23">
        <w:t>subhead to Zech. 14:4: ‘The visible return in glory’;</w:t>
      </w:r>
      <w:r>
        <w:rPr>
          <w:rStyle w:val="EndnoteReference"/>
        </w:rPr>
        <w:endnoteReference w:id="2045"/>
      </w:r>
      <w:r w:rsidRPr="00F76E23">
        <w:t xml:space="preserve"> </w:t>
      </w:r>
      <w:r>
        <w:t xml:space="preserve">the </w:t>
      </w:r>
      <w:r w:rsidRPr="00F76E23">
        <w:t>note on Mt. 24:3: ‘The glorious appearing of the Lord, visible to all nations’;</w:t>
      </w:r>
      <w:r>
        <w:rPr>
          <w:rStyle w:val="EndnoteReference"/>
        </w:rPr>
        <w:endnoteReference w:id="2046"/>
      </w:r>
      <w:r w:rsidRPr="00F76E23">
        <w:t xml:space="preserve"> </w:t>
      </w:r>
      <w:r>
        <w:t xml:space="preserve">and the </w:t>
      </w:r>
      <w:r w:rsidRPr="00F76E23">
        <w:t>note on 1 Cor. 1:7, ‘</w:t>
      </w:r>
      <w:r w:rsidRPr="00F76E23">
        <w:rPr>
          <w:i/>
        </w:rPr>
        <w:t>Apokalupsis</w:t>
      </w:r>
      <w:r w:rsidRPr="00F76E23">
        <w:t xml:space="preserve"> emphasises the visibility of the return; </w:t>
      </w:r>
      <w:proofErr w:type="gramStart"/>
      <w:r>
        <w:t>…  it</w:t>
      </w:r>
      <w:proofErr w:type="gramEnd"/>
      <w:r>
        <w:t xml:space="preserve"> always implies visibility</w:t>
      </w:r>
      <w:r w:rsidRPr="00F76E23">
        <w:t>’</w:t>
      </w:r>
      <w:r>
        <w:t>.</w:t>
      </w:r>
      <w:r>
        <w:rPr>
          <w:rStyle w:val="EndnoteReference"/>
        </w:rPr>
        <w:endnoteReference w:id="2047"/>
      </w:r>
      <w:r w:rsidRPr="00F76E23">
        <w:t xml:space="preserve">  </w:t>
      </w:r>
      <w:r>
        <w:t>T</w:t>
      </w:r>
      <w:r w:rsidRPr="00F76E23">
        <w:t xml:space="preserve">his stress on visibility emphases the contrast </w:t>
      </w:r>
      <w:r>
        <w:t xml:space="preserve">Scofield makes </w:t>
      </w:r>
      <w:r w:rsidRPr="00F76E23">
        <w:t>between this second coming and the secret rapture of the church.</w:t>
      </w:r>
    </w:p>
    <w:p w:rsidR="006A2E06" w:rsidRDefault="006A2E06" w:rsidP="006A2E06">
      <w:pPr>
        <w:spacing w:after="120" w:line="360" w:lineRule="auto"/>
        <w:ind w:firstLine="540"/>
        <w:jc w:val="both"/>
      </w:pPr>
      <w:r w:rsidRPr="00D75DDD">
        <w:t>The second coming is also associated with testing,</w:t>
      </w:r>
      <w:r>
        <w:rPr>
          <w:rStyle w:val="EndnoteReference"/>
        </w:rPr>
        <w:endnoteReference w:id="2048"/>
      </w:r>
      <w:r>
        <w:t xml:space="preserve"> </w:t>
      </w:r>
      <w:r w:rsidRPr="00D75DDD">
        <w:t>judgment,</w:t>
      </w:r>
      <w:r>
        <w:rPr>
          <w:rStyle w:val="EndnoteReference"/>
        </w:rPr>
        <w:endnoteReference w:id="2049"/>
      </w:r>
      <w:r>
        <w:t xml:space="preserve"> </w:t>
      </w:r>
      <w:r w:rsidRPr="00D75DDD">
        <w:t>vengeance</w:t>
      </w:r>
      <w:r w:rsidRPr="00D75DDD">
        <w:rPr>
          <w:rStyle w:val="EndnoteReference"/>
        </w:rPr>
        <w:endnoteReference w:id="2050"/>
      </w:r>
      <w:r w:rsidRPr="00D75DDD">
        <w:t xml:space="preserve"> and the day of the Lord.</w:t>
      </w:r>
      <w:r>
        <w:rPr>
          <w:rStyle w:val="EndnoteReference"/>
        </w:rPr>
        <w:endnoteReference w:id="2051"/>
      </w:r>
      <w:r w:rsidRPr="00D75DDD">
        <w:t xml:space="preserve">  Subheads include watchfulness,</w:t>
      </w:r>
      <w:r w:rsidRPr="00D75DDD">
        <w:rPr>
          <w:rStyle w:val="EndnoteReference"/>
        </w:rPr>
        <w:endnoteReference w:id="2052"/>
      </w:r>
      <w:r w:rsidRPr="00D75DDD">
        <w:t xml:space="preserve"> warnings</w:t>
      </w:r>
      <w:r>
        <w:rPr>
          <w:rStyle w:val="EndnoteReference"/>
        </w:rPr>
        <w:endnoteReference w:id="2053"/>
      </w:r>
      <w:r>
        <w:t xml:space="preserve"> </w:t>
      </w:r>
      <w:r w:rsidRPr="00D75DDD">
        <w:t xml:space="preserve"> and exhortation.</w:t>
      </w:r>
      <w:r>
        <w:rPr>
          <w:rStyle w:val="EndnoteReference"/>
        </w:rPr>
        <w:endnoteReference w:id="2054"/>
      </w:r>
      <w:r>
        <w:t xml:space="preserve">  However, its initial action is the defeat of the beast, or Antichrist, at Armageddon.  As Chafer says, ‘Fulfilling Daniel’s prophecy of the “smiting stone”,</w:t>
      </w:r>
      <w:r>
        <w:rPr>
          <w:rStyle w:val="EndnoteReference"/>
        </w:rPr>
        <w:endnoteReference w:id="2055"/>
      </w:r>
      <w:r>
        <w:t xml:space="preserve"> He [Christ] comes in “the fierceness of the wrath of almighty God”,</w:t>
      </w:r>
      <w:r>
        <w:rPr>
          <w:rStyle w:val="EndnoteReference"/>
        </w:rPr>
        <w:endnoteReference w:id="2056"/>
      </w:r>
      <w:r>
        <w:t xml:space="preserve"> conquering the God-defying nations of the earth in the battle of Armageddon.’</w:t>
      </w:r>
      <w:r>
        <w:rPr>
          <w:rStyle w:val="EndnoteReference"/>
        </w:rPr>
        <w:endnoteReference w:id="2057"/>
      </w:r>
    </w:p>
    <w:p w:rsidR="005E1DF3" w:rsidRDefault="005E1DF3" w:rsidP="006A2E06">
      <w:pPr>
        <w:spacing w:after="120" w:line="360" w:lineRule="auto"/>
        <w:ind w:firstLine="540"/>
        <w:jc w:val="both"/>
      </w:pPr>
    </w:p>
    <w:p w:rsidR="006A2E06" w:rsidRDefault="006A2E06" w:rsidP="006A2E06">
      <w:pPr>
        <w:spacing w:after="120" w:line="360" w:lineRule="auto"/>
        <w:jc w:val="both"/>
        <w:rPr>
          <w:b/>
          <w:sz w:val="24"/>
          <w:szCs w:val="24"/>
        </w:rPr>
      </w:pPr>
      <w:proofErr w:type="gramStart"/>
      <w:r>
        <w:rPr>
          <w:b/>
          <w:sz w:val="24"/>
          <w:szCs w:val="24"/>
        </w:rPr>
        <w:lastRenderedPageBreak/>
        <w:t>7</w:t>
      </w:r>
      <w:r w:rsidRPr="00D75DDD">
        <w:rPr>
          <w:b/>
          <w:sz w:val="24"/>
          <w:szCs w:val="24"/>
        </w:rPr>
        <w:t>.</w:t>
      </w:r>
      <w:r>
        <w:rPr>
          <w:b/>
          <w:sz w:val="24"/>
          <w:szCs w:val="24"/>
        </w:rPr>
        <w:t>1.</w:t>
      </w:r>
      <w:r w:rsidRPr="00D75DDD">
        <w:rPr>
          <w:b/>
          <w:sz w:val="24"/>
          <w:szCs w:val="24"/>
        </w:rPr>
        <w:t>4  Armageddon</w:t>
      </w:r>
      <w:proofErr w:type="gramEnd"/>
      <w:r>
        <w:rPr>
          <w:b/>
          <w:sz w:val="24"/>
          <w:szCs w:val="24"/>
        </w:rPr>
        <w:t xml:space="preserve">  </w:t>
      </w:r>
    </w:p>
    <w:p w:rsidR="006A2E06" w:rsidRDefault="006A2E06" w:rsidP="006A2E06">
      <w:pPr>
        <w:spacing w:after="120" w:line="360" w:lineRule="auto"/>
        <w:jc w:val="both"/>
      </w:pPr>
      <w:r w:rsidRPr="00EB2329">
        <w:rPr>
          <w:szCs w:val="24"/>
        </w:rPr>
        <w:t>Scofield states that</w:t>
      </w:r>
      <w:r>
        <w:rPr>
          <w:szCs w:val="24"/>
        </w:rPr>
        <w:t xml:space="preserve"> </w:t>
      </w:r>
      <w:r w:rsidRPr="00261AE8">
        <w:t>the first event of the day of the LORD will be ‘the invasion of Palestine from the north by the Gentile world-powers headed up under the Beast and false prophet’ and the second event will be ‘the Lord’s army and the destruction of the invaders’.</w:t>
      </w:r>
      <w:r w:rsidRPr="00261AE8">
        <w:rPr>
          <w:rStyle w:val="EndnoteReference"/>
        </w:rPr>
        <w:endnoteReference w:id="2058"/>
      </w:r>
      <w:r w:rsidRPr="00261AE8">
        <w:t xml:space="preserve">  Psalm 110 foresees judgment on the Gentile powers in advance of the kingdom’s arrival.</w:t>
      </w:r>
      <w:r w:rsidRPr="00261AE8">
        <w:rPr>
          <w:rStyle w:val="EndnoteReference"/>
        </w:rPr>
        <w:endnoteReference w:id="2059"/>
      </w:r>
      <w:r w:rsidRPr="00261AE8">
        <w:t xml:space="preserve">  Isaiah 10:20 anticipates ‘the final destruction of all Gentile world-power at the return of the Lord’,</w:t>
      </w:r>
      <w:r>
        <w:rPr>
          <w:rStyle w:val="EndnoteReference"/>
        </w:rPr>
        <w:endnoteReference w:id="2060"/>
      </w:r>
      <w:r>
        <w:t xml:space="preserve"> </w:t>
      </w:r>
      <w:r w:rsidRPr="00261AE8">
        <w:t>‘the final crash of the world-system at the end of the age’.</w:t>
      </w:r>
      <w:r w:rsidRPr="00261AE8">
        <w:rPr>
          <w:rStyle w:val="EndnoteReference"/>
        </w:rPr>
        <w:endnoteReference w:id="2061"/>
      </w:r>
      <w:r>
        <w:t xml:space="preserve">  Scofield holds that Russia will play a significant role in both the northern invasion of Palestine before Armageddon and the final rebellion at the end of the Millennium.  He asserts that ‘all agree’</w:t>
      </w:r>
      <w:r>
        <w:rPr>
          <w:rStyle w:val="EndnoteReference"/>
        </w:rPr>
        <w:endnoteReference w:id="2062"/>
      </w:r>
      <w:r>
        <w:t xml:space="preserve"> that the primary reference in Ezekiel 38 is to the northern (European) powers, headed up by Russia: ‘the reference to Meshech and Tubal (Moscow and Tobolsk) is a clear mark of identification’.</w:t>
      </w:r>
      <w:r w:rsidRPr="00FC415A">
        <w:rPr>
          <w:rStyle w:val="EndnoteReference"/>
        </w:rPr>
        <w:endnoteReference w:id="2063"/>
      </w:r>
      <w:r>
        <w:t xml:space="preserve">  Scofield continues:</w:t>
      </w:r>
    </w:p>
    <w:p w:rsidR="006A2E06" w:rsidRPr="00FC415A" w:rsidRDefault="006A2E06" w:rsidP="006A2E06">
      <w:pPr>
        <w:spacing w:after="120" w:line="240" w:lineRule="auto"/>
        <w:ind w:left="1134" w:right="1700"/>
        <w:jc w:val="both"/>
        <w:rPr>
          <w:sz w:val="24"/>
        </w:rPr>
      </w:pPr>
      <w:r w:rsidRPr="00FC415A">
        <w:t>Russia and the northern powers have been the latest persecutors of dispersed Israel and it is congruous both with divine justice and with the covenants (eg Gen. 15:18 note; Deut. 30:3 note) that destruction should fall at that the climax of the last mad attempt to exterminate the remnant of Israel in Jerusalem.</w:t>
      </w:r>
      <w:r>
        <w:t xml:space="preserve">  </w:t>
      </w:r>
      <w:r w:rsidRPr="00FC415A">
        <w:t>The whole prophecy belongs to the yet future “day of Jehovah” (Isa. 2:10-22; Rev. 19:11-21) and to the battle of Armageddon (Rev. 16:14; 19:19 note) but includes also the final revolt of the nations at the close of</w:t>
      </w:r>
      <w:r>
        <w:t xml:space="preserve"> the kingdom-age (Rev. 20:7-9).</w:t>
      </w:r>
      <w:r w:rsidRPr="00FC415A">
        <w:rPr>
          <w:rStyle w:val="EndnoteReference"/>
        </w:rPr>
        <w:endnoteReference w:id="2064"/>
      </w:r>
    </w:p>
    <w:p w:rsidR="006A2E06" w:rsidRPr="00D74FE5" w:rsidRDefault="006A2E06" w:rsidP="006A2E06">
      <w:pPr>
        <w:spacing w:after="120" w:line="360" w:lineRule="auto"/>
        <w:ind w:right="-28" w:firstLine="567"/>
        <w:jc w:val="both"/>
      </w:pPr>
      <w:r>
        <w:rPr>
          <w:lang w:eastAsia="en-GB"/>
        </w:rPr>
        <w:t>Scofield states that t</w:t>
      </w:r>
      <w:r w:rsidRPr="00D74FE5">
        <w:t>he battle of Armageddon is to occur at ‘the coming of the Lord in glory’,</w:t>
      </w:r>
      <w:r w:rsidRPr="00D74FE5">
        <w:rPr>
          <w:rStyle w:val="EndnoteReference"/>
        </w:rPr>
        <w:endnoteReference w:id="2065"/>
      </w:r>
      <w:r w:rsidRPr="00D74FE5">
        <w:t xml:space="preserve"> when the hosts have abandoned their siege of Jerusalem and ‘fallen back on Megiddo’,</w:t>
      </w:r>
      <w:r w:rsidRPr="00D74FE5">
        <w:rPr>
          <w:rStyle w:val="EndnoteReference"/>
        </w:rPr>
        <w:endnoteReference w:id="2066"/>
      </w:r>
      <w:r w:rsidRPr="00D74FE5">
        <w:t xml:space="preserve"> ‘at the very end of this age’,</w:t>
      </w:r>
      <w:r w:rsidRPr="00D74FE5">
        <w:rPr>
          <w:rStyle w:val="EndnoteReference"/>
        </w:rPr>
        <w:endnoteReference w:id="2067"/>
      </w:r>
      <w:r w:rsidRPr="00D74FE5">
        <w:t xml:space="preserve"> in ‘the last days’,</w:t>
      </w:r>
      <w:r w:rsidRPr="00D74FE5">
        <w:rPr>
          <w:rStyle w:val="EndnoteReference"/>
        </w:rPr>
        <w:endnoteReference w:id="2068"/>
      </w:r>
      <w:r w:rsidRPr="00D74FE5">
        <w:t xml:space="preserve"> ‘the day of the LORD’.</w:t>
      </w:r>
      <w:r w:rsidRPr="00D74FE5">
        <w:rPr>
          <w:rStyle w:val="EndnoteReference"/>
        </w:rPr>
        <w:endnoteReference w:id="2069"/>
      </w:r>
      <w:r w:rsidRPr="00D74FE5">
        <w:t xml:space="preserve">  </w:t>
      </w:r>
      <w:r>
        <w:t>He</w:t>
      </w:r>
      <w:r w:rsidRPr="00D74FE5">
        <w:t xml:space="preserve"> refers to this siege in his subhead to Zech. 12:1</w:t>
      </w:r>
      <w:r w:rsidRPr="00D74FE5">
        <w:rPr>
          <w:rStyle w:val="EndnoteReference"/>
        </w:rPr>
        <w:endnoteReference w:id="2070"/>
      </w:r>
      <w:r w:rsidRPr="00D74FE5">
        <w:t xml:space="preserve"> and to the Lord’s deliverance from it in his subhead to Zech. 12:4.</w:t>
      </w:r>
      <w:r w:rsidRPr="00D74FE5">
        <w:rPr>
          <w:rStyle w:val="EndnoteReference"/>
          <w:lang w:eastAsia="en-GB"/>
        </w:rPr>
        <w:endnoteReference w:id="2071"/>
      </w:r>
      <w:r w:rsidRPr="00D74FE5">
        <w:t xml:space="preserve">  </w:t>
      </w:r>
      <w:r>
        <w:t xml:space="preserve">In his note on Mic. 1:6, he asserts that </w:t>
      </w:r>
      <w:r w:rsidRPr="00FE4BBD">
        <w:t>the Assyrian invasion ‘became a prophecy of a greater invasion in the last days … and of the Lord’s deliverance at Armageddon’</w:t>
      </w:r>
      <w:r w:rsidRPr="00D74FE5">
        <w:t>.</w:t>
      </w:r>
      <w:r w:rsidRPr="00D74FE5">
        <w:rPr>
          <w:rStyle w:val="EndnoteReference"/>
        </w:rPr>
        <w:endnoteReference w:id="2072"/>
      </w:r>
      <w:r>
        <w:t xml:space="preserve">  He</w:t>
      </w:r>
      <w:r w:rsidRPr="00D74FE5">
        <w:t xml:space="preserve"> states that ‘Armageddon … is the appointed place for the beginning of the great battle in which the Lord, at His coming in glory, will deliver the Jewish remnant besieged by the Gentile world-power under the Beast and False Prophet.’</w:t>
      </w:r>
      <w:r w:rsidRPr="00D74FE5">
        <w:rPr>
          <w:rStyle w:val="EndnoteReference"/>
        </w:rPr>
        <w:endnoteReference w:id="2073"/>
      </w:r>
    </w:p>
    <w:p w:rsidR="006A2E06" w:rsidRPr="00D74FE5" w:rsidRDefault="006A2E06" w:rsidP="006A2E06">
      <w:pPr>
        <w:spacing w:after="120" w:line="360" w:lineRule="auto"/>
        <w:ind w:firstLine="567"/>
      </w:pPr>
      <w:r w:rsidRPr="00D74FE5">
        <w:t>Darby</w:t>
      </w:r>
      <w:r>
        <w:t xml:space="preserve"> does not attach as much importance as Scofield to the exact site of Armageddon; he states</w:t>
      </w:r>
      <w:r w:rsidRPr="00D74FE5">
        <w:t>:</w:t>
      </w:r>
    </w:p>
    <w:p w:rsidR="006A2E06" w:rsidRPr="00D74FE5" w:rsidRDefault="006A2E06" w:rsidP="006A2E06">
      <w:pPr>
        <w:spacing w:after="120" w:line="240" w:lineRule="auto"/>
        <w:ind w:left="1134" w:right="1700"/>
        <w:jc w:val="both"/>
      </w:pPr>
      <w:r w:rsidRPr="00D74FE5">
        <w:t xml:space="preserve">That Antichrist will rise up against the Lord in a manner analogous to Pharaoh, I do not doubt; nor </w:t>
      </w:r>
      <w:proofErr w:type="gramStart"/>
      <w:r w:rsidRPr="00D74FE5">
        <w:t>that Pharaoh is</w:t>
      </w:r>
      <w:proofErr w:type="gramEnd"/>
      <w:r w:rsidRPr="00D74FE5">
        <w:t xml:space="preserve"> in many respects a type of Antichrist: but this is all. I do not attach very great importance to the idea that they are gathered at Armageddon, and that the battle is elsewhere. They are gathered to the battle, and they are gathered there; and the allusion, I have little doubt, is to Deborah's song; Judges 5: 19, 20. Armageddon is a mystic name, an allusion …</w:t>
      </w:r>
      <w:r w:rsidRPr="00D74FE5">
        <w:rPr>
          <w:rStyle w:val="EndnoteReference"/>
        </w:rPr>
        <w:endnoteReference w:id="2074"/>
      </w:r>
    </w:p>
    <w:p w:rsidR="006A2E06" w:rsidRDefault="006A2E06" w:rsidP="006A2E06">
      <w:pPr>
        <w:spacing w:after="120" w:line="360" w:lineRule="auto"/>
        <w:ind w:right="-28" w:firstLine="567"/>
        <w:jc w:val="both"/>
      </w:pPr>
      <w:r w:rsidRPr="00D74FE5">
        <w:t xml:space="preserve">The name ‘Armageddon’ occurs only once in </w:t>
      </w:r>
      <w:r w:rsidRPr="00D74FE5">
        <w:rPr>
          <w:i/>
        </w:rPr>
        <w:t>KJV</w:t>
      </w:r>
      <w:r w:rsidRPr="00D74FE5">
        <w:t>,</w:t>
      </w:r>
      <w:r w:rsidRPr="00D74FE5">
        <w:rPr>
          <w:rStyle w:val="FootnoteReference"/>
        </w:rPr>
        <w:footnoteReference w:id="90"/>
      </w:r>
      <w:r w:rsidRPr="00D74FE5">
        <w:t xml:space="preserve"> yet Scofield introduces this name thirty-three times into commentary on eleven biblical books.  ‘Armageddon’ is referenced in twenty-five notes</w:t>
      </w:r>
      <w:r w:rsidRPr="00D74FE5">
        <w:rPr>
          <w:rStyle w:val="EndnoteReference"/>
        </w:rPr>
        <w:endnoteReference w:id="2075"/>
      </w:r>
      <w:r w:rsidRPr="00D74FE5">
        <w:t xml:space="preserve"> and eight subheads,</w:t>
      </w:r>
      <w:r w:rsidRPr="00D74FE5">
        <w:rPr>
          <w:rStyle w:val="EndnoteReference"/>
        </w:rPr>
        <w:endnoteReference w:id="2076"/>
      </w:r>
      <w:r w:rsidRPr="00D74FE5">
        <w:t xml:space="preserve"> twenty-six of these references appearing in Old Testament commentary.  Scofield </w:t>
      </w:r>
      <w:r w:rsidRPr="00D74FE5">
        <w:lastRenderedPageBreak/>
        <w:t>includes a further two references to Armageddon in his introductions to biblical books.</w:t>
      </w:r>
      <w:r w:rsidRPr="00D74FE5">
        <w:rPr>
          <w:rStyle w:val="EndnoteReference"/>
        </w:rPr>
        <w:endnoteReference w:id="2077"/>
      </w:r>
      <w:r w:rsidRPr="00D74FE5">
        <w:t xml:space="preserve">  The concept of Armageddon clearly plays a very important role as one of the focuses of Scofield’s eschatology.  Armageddon forms the </w:t>
      </w:r>
      <w:r>
        <w:t>climax</w:t>
      </w:r>
      <w:r w:rsidRPr="00335B2F">
        <w:t xml:space="preserve"> </w:t>
      </w:r>
      <w:r w:rsidRPr="00D74FE5">
        <w:t>of the great tribulation, representing both the triumph of the returning Christ and the nemesis of the Times of the Gentiles.  There is great emphasis on the Gentile nature of the opposition to Christ</w:t>
      </w:r>
      <w:r>
        <w:t xml:space="preserve"> which culminates at Armageddon</w:t>
      </w:r>
      <w:r w:rsidRPr="00D74FE5">
        <w:t>.</w:t>
      </w:r>
      <w:r w:rsidRPr="00D74FE5">
        <w:rPr>
          <w:rStyle w:val="EndnoteReference"/>
        </w:rPr>
        <w:endnoteReference w:id="2078"/>
      </w:r>
      <w:r w:rsidRPr="00D74FE5">
        <w:t xml:space="preserve">  ‘Gentile world-domination will be broken by Christ.’</w:t>
      </w:r>
      <w:r w:rsidRPr="00D74FE5">
        <w:rPr>
          <w:rStyle w:val="EndnoteReference"/>
        </w:rPr>
        <w:endnoteReference w:id="2079"/>
      </w:r>
      <w:r w:rsidRPr="00D74FE5">
        <w:t xml:space="preserve">  The Gentile nations gather</w:t>
      </w:r>
      <w:r w:rsidRPr="00D74FE5">
        <w:rPr>
          <w:rStyle w:val="EndnoteReference"/>
        </w:rPr>
        <w:endnoteReference w:id="2080"/>
      </w:r>
      <w:r w:rsidRPr="00D74FE5">
        <w:t xml:space="preserve"> against Jerusalem, and take part in the battle of Armageddon.</w:t>
      </w:r>
      <w:r w:rsidRPr="00D74FE5">
        <w:rPr>
          <w:rStyle w:val="EndnoteReference"/>
        </w:rPr>
        <w:endnoteReference w:id="2081"/>
      </w:r>
      <w:r w:rsidRPr="00D74FE5">
        <w:t xml:space="preserve">  Gentile hosts approach Armageddon</w:t>
      </w:r>
      <w:r w:rsidRPr="00D74FE5">
        <w:rPr>
          <w:rStyle w:val="EndnoteReference"/>
        </w:rPr>
        <w:endnoteReference w:id="2082"/>
      </w:r>
      <w:r w:rsidRPr="00D74FE5">
        <w:t xml:space="preserve"> and the ‘Gentile world-system’ is in view in connection with it in Rev. 14:8-11, 16:19.</w:t>
      </w:r>
      <w:r w:rsidRPr="00D74FE5">
        <w:rPr>
          <w:rStyle w:val="EndnoteReference"/>
        </w:rPr>
        <w:endnoteReference w:id="2083"/>
      </w:r>
      <w:r w:rsidRPr="00D74FE5">
        <w:t xml:space="preserve">  </w:t>
      </w:r>
      <w:r w:rsidRPr="00C16E5C">
        <w:t xml:space="preserve">The subhead to Mic. 4:11 </w:t>
      </w:r>
      <w:proofErr w:type="gramStart"/>
      <w:r w:rsidRPr="00C16E5C">
        <w:t>proclaims</w:t>
      </w:r>
      <w:proofErr w:type="gramEnd"/>
      <w:r w:rsidRPr="00C16E5C">
        <w:t xml:space="preserve"> ‘the gathering of the Gentile nations and the battle of Armageddon’.</w:t>
      </w:r>
      <w:r>
        <w:rPr>
          <w:rStyle w:val="EndnoteReference"/>
        </w:rPr>
        <w:endnoteReference w:id="2084"/>
      </w:r>
      <w:r w:rsidRPr="00D74FE5">
        <w:t xml:space="preserve">  ‘Gentile world-dominion ends after the battle of Armageddon.’</w:t>
      </w:r>
      <w:r w:rsidRPr="00D74FE5">
        <w:rPr>
          <w:rStyle w:val="EndnoteReference"/>
        </w:rPr>
        <w:endnoteReference w:id="2085"/>
      </w:r>
    </w:p>
    <w:p w:rsidR="006A2E06" w:rsidRPr="00904708" w:rsidRDefault="006A2E06" w:rsidP="006A2E06">
      <w:pPr>
        <w:spacing w:after="120" w:line="360" w:lineRule="auto"/>
        <w:ind w:right="-28" w:firstLine="567"/>
        <w:jc w:val="both"/>
        <w:rPr>
          <w:sz w:val="24"/>
        </w:rPr>
      </w:pPr>
      <w:r w:rsidRPr="00D74FE5">
        <w:t>Scofield asserts that the Beast and False Prophet are the leaders in the battle.</w:t>
      </w:r>
      <w:r w:rsidRPr="00D74FE5">
        <w:rPr>
          <w:rStyle w:val="EndnoteReference"/>
        </w:rPr>
        <w:endnoteReference w:id="2086"/>
      </w:r>
      <w:r w:rsidRPr="00D74FE5">
        <w:t xml:space="preserve">  They are ‘leaders of the nations’,</w:t>
      </w:r>
      <w:r w:rsidRPr="00D74FE5">
        <w:rPr>
          <w:rStyle w:val="EndnoteReference"/>
        </w:rPr>
        <w:endnoteReference w:id="2087"/>
      </w:r>
      <w:r w:rsidRPr="00D74FE5">
        <w:t xml:space="preserve"> of ‘the invading Gentile world-power</w:t>
      </w:r>
      <w:r>
        <w:t>’</w:t>
      </w:r>
      <w:r w:rsidRPr="00D74FE5">
        <w:rPr>
          <w:rStyle w:val="EndnoteReference"/>
        </w:rPr>
        <w:endnoteReference w:id="2088"/>
      </w:r>
      <w:r w:rsidRPr="00D74FE5">
        <w:t xml:space="preserve"> or </w:t>
      </w:r>
      <w:r>
        <w:t>‘world</w:t>
      </w:r>
      <w:r w:rsidRPr="00D74FE5">
        <w:t>-powers</w:t>
      </w:r>
      <w:r>
        <w:t>’</w:t>
      </w:r>
      <w:r w:rsidRPr="00D74FE5">
        <w:t>,</w:t>
      </w:r>
      <w:r w:rsidRPr="00D74FE5">
        <w:rPr>
          <w:rStyle w:val="EndnoteReference"/>
        </w:rPr>
        <w:endnoteReference w:id="2089"/>
      </w:r>
      <w:r w:rsidRPr="00D74FE5">
        <w:t xml:space="preserve"> and of ‘the northern invasion of Palestine’.</w:t>
      </w:r>
      <w:r w:rsidRPr="00D74FE5">
        <w:rPr>
          <w:rStyle w:val="EndnoteReference"/>
        </w:rPr>
        <w:endnoteReference w:id="2090"/>
      </w:r>
      <w:r w:rsidRPr="00D74FE5">
        <w:t xml:space="preserve">  As noted above, the false prophet is mentioned in only four biblical verses,</w:t>
      </w:r>
      <w:r w:rsidRPr="00D74FE5">
        <w:rPr>
          <w:rStyle w:val="EndnoteReference"/>
        </w:rPr>
        <w:endnoteReference w:id="2091"/>
      </w:r>
      <w:r w:rsidRPr="00D74FE5">
        <w:t xml:space="preserve"> none of which coincides with Scofield’s references.  He is never stated to be the beast’s military accomplice, even though one of the verses</w:t>
      </w:r>
      <w:r w:rsidRPr="00D74FE5">
        <w:rPr>
          <w:rStyle w:val="EndnoteReference"/>
        </w:rPr>
        <w:endnoteReference w:id="2092"/>
      </w:r>
      <w:r w:rsidRPr="00D74FE5">
        <w:t xml:space="preserve"> in which he does appear occurs three verses before the sole reference to Armageddon.</w:t>
      </w:r>
      <w:r w:rsidRPr="00D74FE5">
        <w:rPr>
          <w:rStyle w:val="EndnoteReference"/>
        </w:rPr>
        <w:endnoteReference w:id="2093"/>
      </w:r>
      <w:r w:rsidRPr="00D74FE5">
        <w:t xml:space="preserve">  In Rev. 16:13, the false prophet is said to have an unclean spirit like a frog coming from his mouth.  Joseph Mangina notes that the dragon, the beast and the false prophet here ‘explicitly appear as a kind of demonic anti-Trinity’ and that the striking feature is ‘the threefold repetition of the word “mouth”, underscoring John’s view of the uncanny, almost magical quality of speech itself’.</w:t>
      </w:r>
      <w:r w:rsidRPr="00D74FE5">
        <w:rPr>
          <w:rStyle w:val="EndnoteReference"/>
        </w:rPr>
        <w:endnoteReference w:id="2094"/>
      </w:r>
      <w:r w:rsidRPr="00D74FE5">
        <w:t xml:space="preserve">  In the verse actually describing the arraignment for battle,</w:t>
      </w:r>
      <w:r w:rsidRPr="00D74FE5">
        <w:rPr>
          <w:rStyle w:val="EndnoteReference"/>
        </w:rPr>
        <w:endnoteReference w:id="2095"/>
      </w:r>
      <w:r w:rsidRPr="00D74FE5">
        <w:t xml:space="preserve"> only the beast, the kings of the earth and their armies are mentioned and in the following verse, when the false prophet is mentioned in relation to the beast, </w:t>
      </w:r>
      <w:r>
        <w:t>he</w:t>
      </w:r>
      <w:r w:rsidRPr="00D74FE5">
        <w:t xml:space="preserve"> is described only as having ‘wrought miracles before him’.</w:t>
      </w:r>
      <w:r w:rsidRPr="00D74FE5">
        <w:rPr>
          <w:rStyle w:val="EndnoteReference"/>
        </w:rPr>
        <w:endnoteReference w:id="2096"/>
      </w:r>
      <w:r>
        <w:t xml:space="preserve">    </w:t>
      </w:r>
    </w:p>
    <w:p w:rsidR="006A2E06" w:rsidRPr="00F22788" w:rsidRDefault="006A2E06" w:rsidP="006A2E06">
      <w:pPr>
        <w:spacing w:after="120" w:line="360" w:lineRule="auto"/>
        <w:ind w:right="-29" w:firstLine="567"/>
        <w:jc w:val="both"/>
      </w:pPr>
      <w:r>
        <w:t xml:space="preserve">It is at Armageddon that the beast meets his demise: the subhead to Rev.19:20 </w:t>
      </w:r>
      <w:proofErr w:type="gramStart"/>
      <w:r>
        <w:t>refers</w:t>
      </w:r>
      <w:proofErr w:type="gramEnd"/>
      <w:r>
        <w:t xml:space="preserve"> to the ‘Doom of the Beast and of the False Prophet’.</w:t>
      </w:r>
      <w:r>
        <w:rPr>
          <w:rStyle w:val="EndnoteReference"/>
        </w:rPr>
        <w:endnoteReference w:id="2097"/>
      </w:r>
      <w:r>
        <w:t xml:space="preserve">  In his guise as ‘the prince that shall come’, the beast will be destroyed at Christ’s coming;</w:t>
      </w:r>
      <w:r>
        <w:rPr>
          <w:rStyle w:val="EndnoteReference"/>
        </w:rPr>
        <w:endnoteReference w:id="2098"/>
      </w:r>
      <w:r>
        <w:t xml:space="preserve"> the note on Dan. 12:12 states that the beast will be destroyed after the Battle of Armageddon.</w:t>
      </w:r>
      <w:r>
        <w:rPr>
          <w:rStyle w:val="EndnoteReference"/>
        </w:rPr>
        <w:endnoteReference w:id="2099"/>
      </w:r>
      <w:r>
        <w:t xml:space="preserve">  </w:t>
      </w:r>
      <w:r w:rsidRPr="00C16E5C">
        <w:t>‘</w:t>
      </w:r>
      <w:r w:rsidRPr="00D74FE5">
        <w:t>The crushing blow (Armageddon</w:t>
      </w:r>
      <w:r>
        <w:t>)</w:t>
      </w:r>
      <w:r w:rsidRPr="00D74FE5">
        <w:rPr>
          <w:rStyle w:val="EndnoteReference"/>
        </w:rPr>
        <w:endnoteReference w:id="2100"/>
      </w:r>
      <w:r w:rsidRPr="00D74FE5">
        <w:t xml:space="preserve"> … destroys Gentile world-power, thus clearing the way for the actual setting up of the kingdom of heaven.</w:t>
      </w:r>
      <w:r>
        <w:t>’</w:t>
      </w:r>
      <w:r>
        <w:rPr>
          <w:rStyle w:val="EndnoteReference"/>
        </w:rPr>
        <w:endnoteReference w:id="2101"/>
      </w:r>
      <w:r w:rsidRPr="00D74FE5">
        <w:t xml:space="preserve">  </w:t>
      </w:r>
      <w:r w:rsidRPr="00F22788">
        <w:t>In his introduction to Revelation, Scofield relates the great tribulation, the Lord’s appearance and Armageddon, to the coming of the kingdom which follows them.</w:t>
      </w:r>
      <w:r w:rsidRPr="00F22788">
        <w:rPr>
          <w:rStyle w:val="EndnoteReference"/>
        </w:rPr>
        <w:endnoteReference w:id="2102"/>
      </w:r>
      <w:r w:rsidRPr="00F22788">
        <w:t xml:space="preserve">  </w:t>
      </w:r>
    </w:p>
    <w:p w:rsidR="006A2E06" w:rsidRDefault="006A2E06" w:rsidP="006A2E06">
      <w:pPr>
        <w:spacing w:after="120" w:line="360" w:lineRule="auto"/>
        <w:ind w:right="2223"/>
        <w:jc w:val="both"/>
        <w:rPr>
          <w:b/>
          <w:sz w:val="24"/>
        </w:rPr>
      </w:pPr>
      <w:proofErr w:type="gramStart"/>
      <w:r w:rsidRPr="00714313">
        <w:rPr>
          <w:b/>
          <w:sz w:val="24"/>
        </w:rPr>
        <w:t>7.2  Millennial</w:t>
      </w:r>
      <w:proofErr w:type="gramEnd"/>
      <w:r w:rsidRPr="00714313">
        <w:rPr>
          <w:b/>
          <w:sz w:val="24"/>
        </w:rPr>
        <w:t xml:space="preserve"> Expectations</w:t>
      </w:r>
    </w:p>
    <w:p w:rsidR="006A2E06" w:rsidRDefault="006A2E06" w:rsidP="006A2E06">
      <w:pPr>
        <w:spacing w:after="120" w:line="360" w:lineRule="auto"/>
        <w:ind w:right="-1"/>
        <w:jc w:val="both"/>
      </w:pPr>
      <w:r w:rsidRPr="00BB183A">
        <w:t xml:space="preserve">The </w:t>
      </w:r>
      <w:r>
        <w:t>essence of dispensational premillennialist belief is that Christ will return to the earth before the millennium to initiate the millennial kingdom, which constitutes the seventh and final dispensation.</w:t>
      </w:r>
      <w:r>
        <w:rPr>
          <w:rStyle w:val="EndnoteReference"/>
        </w:rPr>
        <w:endnoteReference w:id="2103"/>
      </w:r>
      <w:r>
        <w:t xml:space="preserve">  </w:t>
      </w:r>
      <w:r w:rsidRPr="00A14D0C">
        <w:t xml:space="preserve">Ryrie states that ‘the doctrine of the millennial kingdom is for the dispensationalist an integral part of his entire scheme </w:t>
      </w:r>
      <w:r>
        <w:t>and</w:t>
      </w:r>
      <w:r w:rsidRPr="00A14D0C">
        <w:t xml:space="preserve"> interpretation of many Biblical passages.  …  We may say that a millennial kingdom fully integrated into the whole theological system is a feature of dispensational premillennialism.’</w:t>
      </w:r>
      <w:r w:rsidRPr="00A14D0C">
        <w:rPr>
          <w:rStyle w:val="EndnoteReference"/>
        </w:rPr>
        <w:endnoteReference w:id="2104"/>
      </w:r>
      <w:r w:rsidRPr="00A14D0C">
        <w:t xml:space="preserve">  </w:t>
      </w:r>
      <w:r>
        <w:t xml:space="preserve">It should be noted that the terms ‘millennium’ and ‘millennial kingdom’ do not appear in </w:t>
      </w:r>
      <w:r w:rsidRPr="00F030FD">
        <w:rPr>
          <w:i/>
        </w:rPr>
        <w:t>KJV</w:t>
      </w:r>
      <w:r>
        <w:t xml:space="preserve">.  References to </w:t>
      </w:r>
      <w:r>
        <w:lastRenderedPageBreak/>
        <w:t xml:space="preserve">an eschatological thousand years appear in Rev. 20:2-7, where they concern the thousand-year binding of Satan and the thousand-year reign with Christ of those who ‘had not worshipped the beast, neither his image, neither had received his mark upon their foreheads not in their hands … they lived and reigned with Christ a thousand years’.  </w:t>
      </w:r>
    </w:p>
    <w:p w:rsidR="006A2E06" w:rsidRDefault="006A2E06" w:rsidP="006A2E06">
      <w:pPr>
        <w:spacing w:after="120" w:line="360" w:lineRule="auto"/>
        <w:ind w:firstLine="567"/>
        <w:jc w:val="both"/>
      </w:pPr>
      <w:r w:rsidRPr="00240816">
        <w:t>Scofield asserts that Christ’s thousand-year kingdom represents the manifestation of God’s righteousness on earth.</w:t>
      </w:r>
      <w:r w:rsidRPr="00240816">
        <w:rPr>
          <w:rStyle w:val="EndnoteReference"/>
        </w:rPr>
        <w:endnoteReference w:id="2105"/>
      </w:r>
      <w:r w:rsidRPr="00240816">
        <w:t xml:space="preserve">  The King will establish his thousand year rule over the whole earth on his glorious return.</w:t>
      </w:r>
      <w:r w:rsidRPr="00240816">
        <w:rPr>
          <w:rStyle w:val="EndnoteReference"/>
        </w:rPr>
        <w:endnoteReference w:id="2106"/>
      </w:r>
      <w:r w:rsidRPr="00240816">
        <w:t xml:space="preserve">  Scofield lists ‘the thousand years, </w:t>
      </w:r>
      <w:r>
        <w:t xml:space="preserve">i.e. </w:t>
      </w:r>
      <w:r w:rsidRPr="00240816">
        <w:t>the kingdom-age</w:t>
      </w:r>
      <w:r>
        <w:t>’</w:t>
      </w:r>
      <w:r w:rsidRPr="00240816">
        <w:t>,</w:t>
      </w:r>
      <w:r w:rsidRPr="00240816">
        <w:rPr>
          <w:rStyle w:val="EndnoteReference"/>
        </w:rPr>
        <w:endnoteReference w:id="2107"/>
      </w:r>
      <w:r w:rsidRPr="00240816">
        <w:t xml:space="preserve"> fourth in an ‘order of events’ occurring on the Day of Jehovah.</w:t>
      </w:r>
      <w:r w:rsidRPr="00240816">
        <w:rPr>
          <w:rStyle w:val="EndnoteReference"/>
        </w:rPr>
        <w:endnoteReference w:id="2108"/>
      </w:r>
      <w:r w:rsidRPr="00240816">
        <w:t xml:space="preserve">  Satan’s final rebellion at the end of the millennial period,</w:t>
      </w:r>
      <w:r w:rsidRPr="00240816">
        <w:rPr>
          <w:rStyle w:val="EndnoteReference"/>
        </w:rPr>
        <w:endnoteReference w:id="2109"/>
      </w:r>
      <w:r w:rsidRPr="00240816">
        <w:t xml:space="preserve"> and his judgment, and that of fallen angels, occurs after his thousand-year binding, preceding the final judgment</w:t>
      </w:r>
      <w:r w:rsidRPr="00240816">
        <w:rPr>
          <w:rStyle w:val="EndnoteReference"/>
        </w:rPr>
        <w:endnoteReference w:id="2110"/>
      </w:r>
      <w:r w:rsidRPr="00240816">
        <w:t xml:space="preserve"> and the defeat of death.</w:t>
      </w:r>
      <w:r w:rsidRPr="00240816">
        <w:rPr>
          <w:rStyle w:val="EndnoteReference"/>
        </w:rPr>
        <w:endnoteReference w:id="2111"/>
      </w:r>
      <w:r w:rsidRPr="00240816">
        <w:t xml:space="preserve">  Scofield claims that David described the future millennial kingdom in his last words.</w:t>
      </w:r>
      <w:r w:rsidRPr="00240816">
        <w:rPr>
          <w:rStyle w:val="EndnoteReference"/>
        </w:rPr>
        <w:endnoteReference w:id="2112"/>
      </w:r>
      <w:r w:rsidRPr="00240816">
        <w:t xml:space="preserve">  This assertion may be intended to suggest that David himself endorsed this concept, but Scofield offers no justification for this.</w:t>
      </w:r>
    </w:p>
    <w:p w:rsidR="006A2E06" w:rsidRPr="00240816" w:rsidRDefault="006A2E06" w:rsidP="006A2E06">
      <w:pPr>
        <w:spacing w:after="120" w:line="360" w:lineRule="auto"/>
        <w:ind w:firstLine="539"/>
        <w:jc w:val="both"/>
        <w:rPr>
          <w:lang w:eastAsia="en-GB"/>
        </w:rPr>
      </w:pPr>
      <w:r w:rsidRPr="00240816">
        <w:t xml:space="preserve">Scofield presents Christ’s transfiguration as containing ‘in miniature all the elements of the future kingdom in manifestation’: the glorified Lord; </w:t>
      </w:r>
      <w:r w:rsidRPr="00240816">
        <w:rPr>
          <w:lang w:eastAsia="en-GB"/>
        </w:rPr>
        <w:t>Moses, glorified, representing ‘the redeemed who have passed through death into the kingdom’; Elijah, glorified, ‘the redeemed who have entered by translation’; Peter, James and John, who are not glorified, temporarily, ‘Israel in the flesh in the future kingdom’; and the multitude below ‘the nations to be brought into the kingdom after its establishment over Israel’.</w:t>
      </w:r>
      <w:r>
        <w:rPr>
          <w:rStyle w:val="EndnoteReference"/>
          <w:lang w:eastAsia="en-GB"/>
        </w:rPr>
        <w:endnoteReference w:id="2113"/>
      </w:r>
      <w:r w:rsidRPr="00240816">
        <w:rPr>
          <w:lang w:eastAsia="en-GB"/>
        </w:rPr>
        <w:t xml:space="preserve">  Scofield asserts that one way in which Jesus Christ, the theme of Revelation, is presented, is in his relationship to the kingdom</w:t>
      </w:r>
      <w:r>
        <w:rPr>
          <w:rStyle w:val="EndnoteReference"/>
          <w:lang w:eastAsia="en-GB"/>
        </w:rPr>
        <w:endnoteReference w:id="2114"/>
      </w:r>
      <w:r>
        <w:rPr>
          <w:lang w:eastAsia="en-GB"/>
        </w:rPr>
        <w:t xml:space="preserve"> </w:t>
      </w:r>
      <w:r w:rsidRPr="00240816">
        <w:rPr>
          <w:lang w:eastAsia="en-GB"/>
        </w:rPr>
        <w:t>in his offices of High Priest, Bridegroom and King-Judge.</w:t>
      </w:r>
      <w:r w:rsidRPr="00240816">
        <w:rPr>
          <w:rStyle w:val="EndnoteReference"/>
          <w:lang w:eastAsia="en-GB"/>
        </w:rPr>
        <w:endnoteReference w:id="2115"/>
      </w:r>
      <w:r w:rsidRPr="00240816">
        <w:rPr>
          <w:lang w:eastAsia="en-GB"/>
        </w:rPr>
        <w:t xml:space="preserve"> </w:t>
      </w:r>
    </w:p>
    <w:p w:rsidR="006A2E06" w:rsidRPr="00607B45" w:rsidRDefault="006A2E06" w:rsidP="006A2E06">
      <w:pPr>
        <w:spacing w:after="120" w:line="360" w:lineRule="auto"/>
        <w:ind w:firstLine="567"/>
        <w:jc w:val="both"/>
      </w:pPr>
      <w:r>
        <w:t xml:space="preserve">Scofield </w:t>
      </w:r>
      <w:r w:rsidRPr="0086597D">
        <w:t xml:space="preserve">only refers </w:t>
      </w:r>
      <w:r>
        <w:t>twice</w:t>
      </w:r>
      <w:r w:rsidRPr="0086597D">
        <w:t xml:space="preserve"> to </w:t>
      </w:r>
      <w:r>
        <w:t>the Millennial Kingdom.</w:t>
      </w:r>
      <w:r w:rsidRPr="0086597D">
        <w:t xml:space="preserve"> </w:t>
      </w:r>
      <w:r>
        <w:t xml:space="preserve"> The two references encapsulate claims</w:t>
      </w:r>
      <w:r w:rsidRPr="0086597D">
        <w:t xml:space="preserve"> that David foresaw the </w:t>
      </w:r>
      <w:r>
        <w:t xml:space="preserve">millennial </w:t>
      </w:r>
      <w:r w:rsidRPr="0086597D">
        <w:t>kingdom</w:t>
      </w:r>
      <w:r w:rsidRPr="0086597D">
        <w:rPr>
          <w:rStyle w:val="EndnoteReference"/>
        </w:rPr>
        <w:endnoteReference w:id="2116"/>
      </w:r>
      <w:r>
        <w:t xml:space="preserve"> and that s</w:t>
      </w:r>
      <w:r w:rsidRPr="00591DCA">
        <w:rPr>
          <w:szCs w:val="18"/>
          <w:lang w:eastAsia="en-GB"/>
        </w:rPr>
        <w:t xml:space="preserve">ome </w:t>
      </w:r>
      <w:r w:rsidRPr="0086597D">
        <w:t>of the Jewish remnant will survive the tribulation and enter the millennial kingdom.</w:t>
      </w:r>
      <w:r>
        <w:rPr>
          <w:rStyle w:val="EndnoteReference"/>
          <w:szCs w:val="18"/>
          <w:lang w:eastAsia="en-GB"/>
        </w:rPr>
        <w:endnoteReference w:id="2117"/>
      </w:r>
      <w:r>
        <w:t xml:space="preserve"> </w:t>
      </w:r>
      <w:r w:rsidRPr="00591DCA">
        <w:t xml:space="preserve"> </w:t>
      </w:r>
      <w:r>
        <w:t>Scofield does refer to the millennium in his note on Mt. 13:43,</w:t>
      </w:r>
      <w:r>
        <w:rPr>
          <w:rStyle w:val="EndnoteReference"/>
        </w:rPr>
        <w:endnoteReference w:id="2118"/>
      </w:r>
      <w:r>
        <w:t xml:space="preserve"> and to the millennial temple in his note on Ezek. 9:3.</w:t>
      </w:r>
      <w:r>
        <w:rPr>
          <w:rStyle w:val="EndnoteReference"/>
        </w:rPr>
        <w:endnoteReference w:id="2119"/>
      </w:r>
      <w:r>
        <w:t xml:space="preserve">  </w:t>
      </w:r>
      <w:r w:rsidRPr="00607B45">
        <w:t>In his note on Ezek. 1:5, he suggests that, though the passage is ‘highly figurative’, ‘the effect was the revelation to [Ezekiel] of the glory of the Lord’.</w:t>
      </w:r>
      <w:r w:rsidRPr="00607B45">
        <w:rPr>
          <w:rStyle w:val="EndnoteReference"/>
        </w:rPr>
        <w:endnoteReference w:id="2120"/>
      </w:r>
      <w:r w:rsidRPr="00607B45">
        <w:t xml:space="preserve">  He emphasises that it is to Ezekiel as a priest that the vision of this glory was given, both its departure from the temple and also </w:t>
      </w:r>
      <w:proofErr w:type="gramStart"/>
      <w:r w:rsidRPr="00607B45">
        <w:t>its</w:t>
      </w:r>
      <w:proofErr w:type="gramEnd"/>
      <w:r w:rsidRPr="00607B45">
        <w:t xml:space="preserve"> ‘returning to the millennial temple to abide’.</w:t>
      </w:r>
      <w:r w:rsidRPr="00607B45">
        <w:rPr>
          <w:rStyle w:val="EndnoteReference"/>
        </w:rPr>
        <w:endnoteReference w:id="2121"/>
      </w:r>
      <w:r w:rsidRPr="00607B45">
        <w:t xml:space="preserve">  The descriptions of the measurements and regulations for the temple in Ezekiel 40 – 43 are very detailed, however, and Ezekiel is specifically told in Ezek. 43:11 to write down all these details so that the people, having repented, may ‘be faithful to its design and follow all its regulations’.  This suggests a physical temple to be rebuilt according to instructions, not a millennial temple.  </w:t>
      </w:r>
    </w:p>
    <w:p w:rsidR="006A2E06" w:rsidRPr="00607B45" w:rsidRDefault="006A2E06" w:rsidP="006A2E06">
      <w:pPr>
        <w:spacing w:after="120" w:line="360" w:lineRule="auto"/>
        <w:ind w:firstLine="567"/>
        <w:jc w:val="both"/>
      </w:pPr>
      <w:r w:rsidRPr="00607B45">
        <w:t>Because Scofield has tied the return of the Lord’s glory to a millennial temple,</w:t>
      </w:r>
      <w:r w:rsidRPr="00607B45">
        <w:rPr>
          <w:rStyle w:val="EndnoteReference"/>
        </w:rPr>
        <w:endnoteReference w:id="2122"/>
      </w:r>
      <w:r w:rsidRPr="00607B45">
        <w:t xml:space="preserve"> he has to account for the detailed instructions in Ezek. 43:18-27 about the reinstitution of sacrifices, hence his note on Ezek. 43:19.  Commenting on the instruction to make a sin-offering of a young bullock, Scofield states that ‘doubtless these offerings will be a memorial, looking back to the cross, as the offerings under the old </w:t>
      </w:r>
      <w:r w:rsidRPr="00607B45">
        <w:lastRenderedPageBreak/>
        <w:t xml:space="preserve">covenant were anticipatory, looking forward to the </w:t>
      </w:r>
      <w:proofErr w:type="gramStart"/>
      <w:r w:rsidRPr="00607B45">
        <w:t>cross’</w:t>
      </w:r>
      <w:proofErr w:type="gramEnd"/>
      <w:r w:rsidRPr="00607B45">
        <w:t>.  He also remarks that in neither case can animal sacrifices put away sin.</w:t>
      </w:r>
      <w:r w:rsidRPr="00607B45">
        <w:rPr>
          <w:rStyle w:val="EndnoteReference"/>
        </w:rPr>
        <w:endnoteReference w:id="2123"/>
      </w:r>
      <w:r w:rsidRPr="00607B45">
        <w:t xml:space="preserve">  It is questionable why an animal sacrifice should represent a memorial of the cross, since Christ instituted the Lord’s Supper as such a memorial</w:t>
      </w:r>
      <w:r w:rsidRPr="00607B45">
        <w:rPr>
          <w:rStyle w:val="EndnoteReference"/>
        </w:rPr>
        <w:endnoteReference w:id="2124"/>
      </w:r>
      <w:r w:rsidRPr="00607B45">
        <w:t xml:space="preserve"> and the sacrifice of a bullock would, in any case, be an imperfect offering in comparison with Christ’s perfect one.</w:t>
      </w:r>
      <w:r w:rsidRPr="00607B45">
        <w:rPr>
          <w:rStyle w:val="EndnoteReference"/>
        </w:rPr>
        <w:endnoteReference w:id="2125"/>
      </w:r>
      <w:r w:rsidRPr="00607B45">
        <w:t xml:space="preserve">  It also stretches the imagination to suggest that Ezekiel’s instruction should be any more than what it says from the viewpoint of its sixth century BCE context.  The interpretation of the sacrifice of a bullock as a memorial also contravenes the dispensationalist principle of literal reading.</w:t>
      </w:r>
      <w:r w:rsidRPr="00607B45">
        <w:rPr>
          <w:rStyle w:val="EndnoteReference"/>
        </w:rPr>
        <w:endnoteReference w:id="2126"/>
      </w:r>
      <w:r w:rsidRPr="00607B45">
        <w:t xml:space="preserve">  Lutzweiler raises an additional objection: if the future temple were to host animal sacrifices, it would also have to have a veil, since all elements of the sacrificial system ‘stand or fall together’.  If the veil were reinstated, this would negate the permanent fissure of the veil at the crucifixion, signifying denial of ‘the finality of the gospel’.</w:t>
      </w:r>
      <w:r w:rsidRPr="00607B45">
        <w:rPr>
          <w:rStyle w:val="EndnoteReference"/>
        </w:rPr>
        <w:endnoteReference w:id="2127"/>
      </w:r>
    </w:p>
    <w:p w:rsidR="006A2E06" w:rsidRDefault="006A2E06" w:rsidP="006A2E06">
      <w:pPr>
        <w:spacing w:after="120" w:line="360" w:lineRule="auto"/>
        <w:ind w:firstLine="567"/>
        <w:jc w:val="both"/>
      </w:pPr>
      <w:r>
        <w:t xml:space="preserve">The later editions of the Scofield Bible use the adjective, ‘millennial’, far more frequently than </w:t>
      </w:r>
      <w:r w:rsidRPr="007E3FFA">
        <w:rPr>
          <w:i/>
        </w:rPr>
        <w:t>SRB</w:t>
      </w:r>
      <w:r>
        <w:rPr>
          <w:i/>
        </w:rPr>
        <w:t>.</w:t>
      </w:r>
      <w:r>
        <w:rPr>
          <w:rStyle w:val="EndnoteReference"/>
        </w:rPr>
        <w:endnoteReference w:id="2128"/>
      </w:r>
      <w:r>
        <w:rPr>
          <w:i/>
        </w:rPr>
        <w:t xml:space="preserve"> </w:t>
      </w:r>
      <w:r>
        <w:t xml:space="preserve"> They also refer more often to ‘the millennium’,</w:t>
      </w:r>
      <w:r>
        <w:rPr>
          <w:rStyle w:val="EndnoteReference"/>
        </w:rPr>
        <w:endnoteReference w:id="2129"/>
      </w:r>
      <w:r>
        <w:t xml:space="preserve"> which </w:t>
      </w:r>
      <w:r w:rsidRPr="00025B71">
        <w:rPr>
          <w:i/>
        </w:rPr>
        <w:t>SRB</w:t>
      </w:r>
      <w:r>
        <w:t xml:space="preserve"> names only in its note on Mt. 13:43.</w:t>
      </w:r>
      <w:r>
        <w:rPr>
          <w:rStyle w:val="EndnoteReference"/>
        </w:rPr>
        <w:endnoteReference w:id="2130"/>
      </w:r>
      <w:r w:rsidR="002F52A1">
        <w:t xml:space="preserve">  </w:t>
      </w:r>
      <w:r>
        <w:t xml:space="preserve">In some cases the addition of the adjective, ‘millennial’ lends specificity to </w:t>
      </w:r>
      <w:r w:rsidRPr="007E3FFA">
        <w:rPr>
          <w:i/>
        </w:rPr>
        <w:t>SRB</w:t>
      </w:r>
      <w:r>
        <w:t xml:space="preserve">’s annotation, which may merely refer to ‘the kingdom’ and in other cases it is not reflected in </w:t>
      </w:r>
      <w:r w:rsidRPr="00202AE4">
        <w:rPr>
          <w:i/>
        </w:rPr>
        <w:t>SRB</w:t>
      </w:r>
      <w:r>
        <w:t xml:space="preserve"> annotation.  </w:t>
      </w:r>
      <w:proofErr w:type="gramStart"/>
      <w:r>
        <w:t xml:space="preserve">In the </w:t>
      </w:r>
      <w:r w:rsidRPr="00202AE4">
        <w:rPr>
          <w:i/>
        </w:rPr>
        <w:t>SRB</w:t>
      </w:r>
      <w:r>
        <w:t xml:space="preserve"> note on Dan. 2:44, the reference is to ‘the kingdom of the heavens’, which the later versions change to ‘millennial kingdom’.</w:t>
      </w:r>
      <w:proofErr w:type="gramEnd"/>
      <w:r>
        <w:rPr>
          <w:rStyle w:val="EndnoteReference"/>
        </w:rPr>
        <w:endnoteReference w:id="2131"/>
      </w:r>
      <w:r>
        <w:t xml:space="preserve">  </w:t>
      </w:r>
      <w:r w:rsidRPr="0084188A">
        <w:rPr>
          <w:i/>
        </w:rPr>
        <w:t>SRB</w:t>
      </w:r>
      <w:r>
        <w:t xml:space="preserve"> does not refer to the millennial reign, blessing, conditions, age, saints or period.  </w:t>
      </w:r>
      <w:r w:rsidRPr="0084188A">
        <w:t>The later versions include the phrase ‘millennial form of the kingdom of heaven’, which is interesting in view of the three-form kingdom of heaven which Blaising ascribes to Scofield.</w:t>
      </w:r>
      <w:r w:rsidRPr="0084188A">
        <w:rPr>
          <w:rStyle w:val="EndnoteReference"/>
        </w:rPr>
        <w:endnoteReference w:id="2132"/>
      </w:r>
    </w:p>
    <w:p w:rsidR="006A2E06" w:rsidRDefault="006A2E06" w:rsidP="006A2E06">
      <w:pPr>
        <w:spacing w:after="120" w:line="360" w:lineRule="auto"/>
        <w:ind w:firstLine="567"/>
        <w:jc w:val="both"/>
      </w:pPr>
      <w:r>
        <w:t xml:space="preserve">Although he does not use the term, ‘millennial’ very frequently, </w:t>
      </w:r>
      <w:r w:rsidRPr="00427D68">
        <w:t>Scofield holds that the doctrine of the kingdom is essential to understanding the meaning of prophecy.</w:t>
      </w:r>
      <w:r w:rsidRPr="00427D68">
        <w:rPr>
          <w:rStyle w:val="EndnoteReference"/>
        </w:rPr>
        <w:endnoteReference w:id="2133"/>
      </w:r>
      <w:r w:rsidRPr="00427D68">
        <w:t xml:space="preserve">  </w:t>
      </w:r>
      <w:r w:rsidRPr="00B02807">
        <w:t xml:space="preserve">References to ‘the kingdom’ and ‘the kingdom-age’ occur as early as notes on Genesis, </w:t>
      </w:r>
      <w:r>
        <w:t>though the kingdom is not mentioned in these verses,</w:t>
      </w:r>
      <w:r>
        <w:rPr>
          <w:rStyle w:val="EndnoteReference"/>
        </w:rPr>
        <w:endnoteReference w:id="2134"/>
      </w:r>
      <w:r>
        <w:t xml:space="preserve"> and references to the kingdom occur throughout the </w:t>
      </w:r>
      <w:r w:rsidRPr="00A14D0C">
        <w:rPr>
          <w:i/>
        </w:rPr>
        <w:t>SRB</w:t>
      </w:r>
      <w:r>
        <w:t xml:space="preserve"> commentary, </w:t>
      </w:r>
      <w:r w:rsidRPr="00B02807">
        <w:t>but the main expositions appear in commentary on Zech. 12:8</w:t>
      </w:r>
      <w:r w:rsidRPr="00B02807">
        <w:rPr>
          <w:rStyle w:val="FootnoteReference"/>
        </w:rPr>
        <w:footnoteReference w:id="91"/>
      </w:r>
      <w:r w:rsidRPr="00B02807">
        <w:t xml:space="preserve"> and 1 Cor. 15:24;</w:t>
      </w:r>
      <w:r w:rsidRPr="00B02807">
        <w:rPr>
          <w:rStyle w:val="FootnoteReference"/>
        </w:rPr>
        <w:footnoteReference w:id="92"/>
      </w:r>
      <w:r w:rsidRPr="00B02807">
        <w:t xml:space="preserve"> the material </w:t>
      </w:r>
      <w:r>
        <w:t xml:space="preserve">in the two summaries </w:t>
      </w:r>
      <w:r w:rsidRPr="00B02807">
        <w:t>is complementary, particularly in relation to the Davidic aspect.</w:t>
      </w:r>
      <w:r>
        <w:rPr>
          <w:rStyle w:val="EndnoteReference"/>
        </w:rPr>
        <w:endnoteReference w:id="2135"/>
      </w:r>
      <w:r w:rsidRPr="00B02807">
        <w:t xml:space="preserve"> </w:t>
      </w:r>
      <w:r>
        <w:t xml:space="preserve"> </w:t>
      </w:r>
    </w:p>
    <w:p w:rsidR="006A2E06" w:rsidRPr="005B018A" w:rsidRDefault="006A2E06" w:rsidP="006A2E06">
      <w:pPr>
        <w:spacing w:after="120" w:line="360" w:lineRule="auto"/>
        <w:jc w:val="both"/>
        <w:rPr>
          <w:b/>
        </w:rPr>
      </w:pPr>
      <w:proofErr w:type="gramStart"/>
      <w:r>
        <w:rPr>
          <w:b/>
        </w:rPr>
        <w:t>7</w:t>
      </w:r>
      <w:r w:rsidRPr="005B018A">
        <w:rPr>
          <w:b/>
        </w:rPr>
        <w:t>.2.1  Scofield’s</w:t>
      </w:r>
      <w:proofErr w:type="gramEnd"/>
      <w:r w:rsidRPr="005B018A">
        <w:t xml:space="preserve"> </w:t>
      </w:r>
      <w:r w:rsidRPr="005B018A">
        <w:rPr>
          <w:b/>
        </w:rPr>
        <w:t>Old and New Testament Kingdom Summaries</w:t>
      </w:r>
      <w:r w:rsidRPr="00F44CD0">
        <w:rPr>
          <w:rStyle w:val="EndnoteReference"/>
        </w:rPr>
        <w:endnoteReference w:id="2136"/>
      </w:r>
    </w:p>
    <w:p w:rsidR="006A2E06" w:rsidRDefault="006A2E06" w:rsidP="006A2E06">
      <w:pPr>
        <w:spacing w:after="120" w:line="360" w:lineRule="auto"/>
        <w:ind w:right="-28"/>
        <w:jc w:val="both"/>
      </w:pPr>
      <w:r>
        <w:t xml:space="preserve">Scofield posits three stages in his Old Testament Summary.  The first stage was earthly dominion ‘before the call of Abraham’, prediluvian and postdiluvian.  The second stage, starting with the call of Abraham, ‘the Theocracy in Israel’, </w:t>
      </w:r>
      <w:r w:rsidRPr="00B02807">
        <w:t>included the creation of ‘a distinctive people through whom the great purposes of God toward the human race might be worked out’ and that these purposes included ‘the establishment of a universal kingdom’.</w:t>
      </w:r>
      <w:r>
        <w:t xml:space="preserve">  </w:t>
      </w:r>
      <w:r w:rsidRPr="00B02807">
        <w:t>Scofield avers that</w:t>
      </w:r>
      <w:r w:rsidRPr="00B02807">
        <w:rPr>
          <w:b/>
        </w:rPr>
        <w:t xml:space="preserve"> t</w:t>
      </w:r>
      <w:r w:rsidRPr="00B02807">
        <w:t>he order of the development of divine rule was Moses’ mediatorship,</w:t>
      </w:r>
      <w:r w:rsidRPr="00B02807">
        <w:rPr>
          <w:rStyle w:val="EndnoteReference"/>
        </w:rPr>
        <w:endnoteReference w:id="2137"/>
      </w:r>
      <w:r w:rsidRPr="00B02807">
        <w:t xml:space="preserve"> Joshua’s leadership,</w:t>
      </w:r>
      <w:r w:rsidRPr="00B02807">
        <w:rPr>
          <w:rStyle w:val="EndnoteReference"/>
        </w:rPr>
        <w:endnoteReference w:id="2138"/>
      </w:r>
      <w:r w:rsidRPr="00B02807">
        <w:t xml:space="preserve"> the institution of the judges</w:t>
      </w:r>
      <w:r w:rsidRPr="00B02807">
        <w:rPr>
          <w:rStyle w:val="EndnoteReference"/>
        </w:rPr>
        <w:endnoteReference w:id="2139"/>
      </w:r>
      <w:r w:rsidRPr="00B02807">
        <w:t xml:space="preserve"> and the popular rejection of </w:t>
      </w:r>
      <w:r>
        <w:lastRenderedPageBreak/>
        <w:t>theocracy</w:t>
      </w:r>
      <w:r w:rsidRPr="00B02807">
        <w:t xml:space="preserve"> and choice </w:t>
      </w:r>
      <w:r>
        <w:t xml:space="preserve">of </w:t>
      </w:r>
      <w:r w:rsidRPr="00B02807">
        <w:t>Saul</w:t>
      </w:r>
      <w:r>
        <w:t xml:space="preserve"> as king</w:t>
      </w:r>
      <w:r w:rsidRPr="00B02807">
        <w:t>.</w:t>
      </w:r>
      <w:r w:rsidRPr="00B02807">
        <w:rPr>
          <w:rStyle w:val="EndnoteReference"/>
        </w:rPr>
        <w:endnoteReference w:id="2140"/>
      </w:r>
      <w:r>
        <w:t xml:space="preserve">  The third stage, ‘the Davidic kingdom’, included ‘the divine choice of David,</w:t>
      </w:r>
      <w:r>
        <w:rPr>
          <w:rStyle w:val="EndnoteReference"/>
        </w:rPr>
        <w:endnoteReference w:id="2141"/>
      </w:r>
      <w:r>
        <w:t xml:space="preserve"> ‘the giving of the Davidic Covenant’</w:t>
      </w:r>
      <w:r>
        <w:rPr>
          <w:rStyle w:val="EndnoteReference"/>
        </w:rPr>
        <w:endnoteReference w:id="2142"/>
      </w:r>
      <w:r>
        <w:t xml:space="preserve"> and ‘the exposition of the Davidic Covenant by the prophets’.</w:t>
      </w:r>
      <w:r w:rsidRPr="007C1445">
        <w:rPr>
          <w:rStyle w:val="FootnoteReference"/>
        </w:rPr>
        <w:t xml:space="preserve"> </w:t>
      </w:r>
      <w:r>
        <w:rPr>
          <w:rStyle w:val="EndnoteReference"/>
        </w:rPr>
        <w:endnoteReference w:id="2143"/>
      </w:r>
      <w:r>
        <w:t xml:space="preserve">  </w:t>
      </w:r>
    </w:p>
    <w:p w:rsidR="006A2E06" w:rsidRPr="00B02807" w:rsidRDefault="006A2E06" w:rsidP="006A2E06">
      <w:pPr>
        <w:spacing w:after="120" w:line="360" w:lineRule="auto"/>
        <w:ind w:right="-28" w:firstLine="567"/>
        <w:jc w:val="both"/>
        <w:rPr>
          <w:i/>
        </w:rPr>
      </w:pPr>
      <w:r>
        <w:t>The prophetic exposition is given under seven headings.</w:t>
      </w:r>
      <w:r w:rsidRPr="00B02807">
        <w:rPr>
          <w:rStyle w:val="EndnoteReference"/>
        </w:rPr>
        <w:endnoteReference w:id="2144"/>
      </w:r>
      <w:r>
        <w:t xml:space="preserve">  </w:t>
      </w:r>
      <w:r w:rsidRPr="00B02807">
        <w:t xml:space="preserve">Firstly, it will be Davidic; </w:t>
      </w:r>
      <w:r>
        <w:t>here Scofield makes</w:t>
      </w:r>
      <w:r w:rsidRPr="00B02807">
        <w:t xml:space="preserve"> links and Christological assertions,</w:t>
      </w:r>
      <w:r>
        <w:rPr>
          <w:rStyle w:val="EndnoteReference"/>
        </w:rPr>
        <w:endnoteReference w:id="2145"/>
      </w:r>
      <w:r>
        <w:t xml:space="preserve"> </w:t>
      </w:r>
      <w:r w:rsidRPr="00B02807">
        <w:t>which are echoed in the note on 1 Cor. 15:24</w:t>
      </w:r>
      <w:r>
        <w:t>,</w:t>
      </w:r>
      <w:r>
        <w:rPr>
          <w:rStyle w:val="EndnoteReference"/>
        </w:rPr>
        <w:endnoteReference w:id="2146"/>
      </w:r>
      <w:r>
        <w:t xml:space="preserve"> which states that </w:t>
      </w:r>
      <w:r w:rsidRPr="006C6ADA">
        <w:t xml:space="preserve">‘the King </w:t>
      </w:r>
      <w:r>
        <w:t>was</w:t>
      </w:r>
      <w:r w:rsidRPr="006C6ADA">
        <w:t xml:space="preserve"> born </w:t>
      </w:r>
      <w:r>
        <w:t>in</w:t>
      </w:r>
      <w:r w:rsidRPr="006C6ADA">
        <w:t xml:space="preserve"> Bethlehem</w:t>
      </w:r>
      <w:r>
        <w:rPr>
          <w:rStyle w:val="EndnoteReference"/>
        </w:rPr>
        <w:endnoteReference w:id="2147"/>
      </w:r>
      <w:r w:rsidRPr="006C6ADA">
        <w:t xml:space="preserve"> of a virgin</w:t>
      </w:r>
      <w:r>
        <w:t>’.</w:t>
      </w:r>
      <w:r>
        <w:rPr>
          <w:rStyle w:val="EndnoteReference"/>
        </w:rPr>
        <w:endnoteReference w:id="2148"/>
      </w:r>
      <w:r w:rsidRPr="00B02807">
        <w:t xml:space="preserve">  </w:t>
      </w:r>
      <w:r>
        <w:t>The note on Zech. 12:8 states that t</w:t>
      </w:r>
      <w:r w:rsidRPr="006C6ADA">
        <w:rPr>
          <w:szCs w:val="18"/>
        </w:rPr>
        <w:t xml:space="preserve">he kingdom is </w:t>
      </w:r>
      <w:r>
        <w:rPr>
          <w:szCs w:val="18"/>
        </w:rPr>
        <w:t>‘</w:t>
      </w:r>
      <w:r w:rsidRPr="006C6ADA">
        <w:rPr>
          <w:szCs w:val="18"/>
        </w:rPr>
        <w:t>to be established under an heir of David, who is to be born of a virgin, thus truly man, but also “Immanuel”, “Mighty God, Everlasting Father, Prince of Peace”</w:t>
      </w:r>
      <w:r>
        <w:rPr>
          <w:szCs w:val="18"/>
        </w:rPr>
        <w:t>’</w:t>
      </w:r>
      <w:r w:rsidRPr="006C6ADA">
        <w:rPr>
          <w:szCs w:val="18"/>
        </w:rPr>
        <w:t>.</w:t>
      </w:r>
      <w:r>
        <w:rPr>
          <w:rStyle w:val="EndnoteReference"/>
          <w:szCs w:val="18"/>
        </w:rPr>
        <w:endnoteReference w:id="2149"/>
      </w:r>
      <w:r w:rsidRPr="006C6ADA">
        <w:rPr>
          <w:szCs w:val="18"/>
        </w:rPr>
        <w:t xml:space="preserve">  </w:t>
      </w:r>
      <w:r>
        <w:rPr>
          <w:szCs w:val="18"/>
        </w:rPr>
        <w:t xml:space="preserve">According to the note on 1 Cor. 15:24, </w:t>
      </w:r>
      <w:r w:rsidRPr="00B02807">
        <w:t>The first element of ‘kingdom truth’ developed in the New Testament is that ‘the promise of the kingdom to David and his seed and described in the prophets</w:t>
      </w:r>
      <w:r w:rsidRPr="00B02807">
        <w:rPr>
          <w:rStyle w:val="EndnoteReference"/>
        </w:rPr>
        <w:endnoteReference w:id="2150"/>
      </w:r>
      <w:r w:rsidRPr="00B02807">
        <w:t xml:space="preserve"> enters the New Testament unchanged’.</w:t>
      </w:r>
      <w:r w:rsidRPr="00B02807">
        <w:rPr>
          <w:rStyle w:val="EndnoteReference"/>
        </w:rPr>
        <w:endnoteReference w:id="2151"/>
      </w:r>
      <w:r>
        <w:t xml:space="preserve">  </w:t>
      </w:r>
    </w:p>
    <w:p w:rsidR="006A2E06" w:rsidRPr="00B02807" w:rsidRDefault="006A2E06" w:rsidP="006A2E06">
      <w:pPr>
        <w:spacing w:after="120" w:line="360" w:lineRule="auto"/>
        <w:ind w:firstLine="539"/>
        <w:jc w:val="both"/>
        <w:rPr>
          <w:i/>
        </w:rPr>
      </w:pPr>
      <w:r w:rsidRPr="00B02807">
        <w:t xml:space="preserve">Secondly, the kingdom will be ‘heavenly in origin, principle and authority </w:t>
      </w:r>
      <w:r w:rsidRPr="00B31C42">
        <w:t>but set up on earth, with Jerusalem as its capital’</w:t>
      </w:r>
      <w:r w:rsidRPr="00B02807">
        <w:t>.</w:t>
      </w:r>
      <w:r w:rsidRPr="00B02807">
        <w:rPr>
          <w:rStyle w:val="EndnoteReference"/>
        </w:rPr>
        <w:endnoteReference w:id="2152"/>
      </w:r>
      <w:r w:rsidRPr="00B02807">
        <w:t xml:space="preserve">  Thirdly, it will initially be established over Israel but will become universal.</w:t>
      </w:r>
      <w:r w:rsidRPr="00B02807">
        <w:rPr>
          <w:rStyle w:val="EndnoteReference"/>
        </w:rPr>
        <w:endnoteReference w:id="2153"/>
      </w:r>
      <w:r w:rsidRPr="00B02807">
        <w:t xml:space="preserve">  </w:t>
      </w:r>
      <w:r w:rsidRPr="005C61B0">
        <w:rPr>
          <w:spacing w:val="-2"/>
        </w:rPr>
        <w:t>Fourthly, its ‘moral characteristics’ will be righteousness and peace.</w:t>
      </w:r>
      <w:r w:rsidRPr="005C61B0">
        <w:rPr>
          <w:rStyle w:val="EndnoteReference"/>
          <w:spacing w:val="-2"/>
        </w:rPr>
        <w:endnoteReference w:id="2154"/>
      </w:r>
      <w:r w:rsidRPr="005C61B0">
        <w:rPr>
          <w:spacing w:val="-2"/>
        </w:rPr>
        <w:t xml:space="preserve">  </w:t>
      </w:r>
      <w:r w:rsidRPr="005C61B0">
        <w:rPr>
          <w:spacing w:val="-2"/>
          <w:lang w:val="en-US"/>
        </w:rPr>
        <w:t>Scofield here asserts that Rev. 20:1-5</w:t>
      </w:r>
      <w:r w:rsidRPr="004661FF">
        <w:rPr>
          <w:lang w:val="en-US"/>
        </w:rPr>
        <w:t xml:space="preserve"> ‘adds a very significant detail: the removal of Satan’.</w:t>
      </w:r>
      <w:r w:rsidRPr="004661FF">
        <w:rPr>
          <w:rStyle w:val="EndnoteReference"/>
          <w:lang w:val="en-US"/>
        </w:rPr>
        <w:endnoteReference w:id="2155"/>
      </w:r>
      <w:r>
        <w:rPr>
          <w:szCs w:val="18"/>
          <w:lang w:val="en-US"/>
        </w:rPr>
        <w:t xml:space="preserve">  </w:t>
      </w:r>
      <w:r w:rsidRPr="00B02807">
        <w:t xml:space="preserve">Fifthly, </w:t>
      </w:r>
      <w:r>
        <w:t>the kingdom</w:t>
      </w:r>
      <w:r w:rsidRPr="00B02807">
        <w:t xml:space="preserve"> will be established by power, not persuasion, and will follow divine judgment on the Gentile world-powers.</w:t>
      </w:r>
      <w:r w:rsidRPr="00B02807">
        <w:rPr>
          <w:rStyle w:val="EndnoteReference"/>
        </w:rPr>
        <w:endnoteReference w:id="2156"/>
      </w:r>
      <w:r w:rsidRPr="00B02807">
        <w:t xml:space="preserve">  Sixthly, </w:t>
      </w:r>
      <w:r w:rsidRPr="009E16A6">
        <w:t>its establishment, and Israel’s restoration, are ‘connected with the advent of the Lord, yet future’.</w:t>
      </w:r>
      <w:r w:rsidRPr="009E16A6">
        <w:rPr>
          <w:rStyle w:val="EndnoteReference"/>
        </w:rPr>
        <w:endnoteReference w:id="2157"/>
      </w:r>
      <w:r w:rsidRPr="009E16A6">
        <w:t xml:space="preserve">  Finally, despite chastisement for disobedience by David’s house,</w:t>
      </w:r>
      <w:r>
        <w:rPr>
          <w:rStyle w:val="EndnoteReference"/>
        </w:rPr>
        <w:endnoteReference w:id="2158"/>
      </w:r>
      <w:r>
        <w:t xml:space="preserve"> </w:t>
      </w:r>
      <w:r w:rsidRPr="009E16A6">
        <w:t>involving continuing Gentile overlordship of Jerusalem, ‘the Davidic Covenant has not been abrogated, but is yet to be fulfilled’,</w:t>
      </w:r>
      <w:r w:rsidRPr="00B02807">
        <w:rPr>
          <w:rStyle w:val="EndnoteReference"/>
        </w:rPr>
        <w:endnoteReference w:id="2159"/>
      </w:r>
      <w:r w:rsidRPr="00B02807">
        <w:t xml:space="preserve"> as reiterated in commentary on 1 Cor. 15:24, where </w:t>
      </w:r>
      <w:r>
        <w:t>Scofield asserts</w:t>
      </w:r>
      <w:r w:rsidRPr="00B02807">
        <w:t xml:space="preserve"> that ‘the King will restore the Davidic monarchy in His own person, regather dispersed Israel, establish His power over all the earth and reign a thousand years’.</w:t>
      </w:r>
      <w:r w:rsidRPr="00B02807">
        <w:rPr>
          <w:rStyle w:val="EndnoteReference"/>
        </w:rPr>
        <w:endnoteReference w:id="2160"/>
      </w:r>
      <w:r>
        <w:t xml:space="preserve">  </w:t>
      </w:r>
    </w:p>
    <w:p w:rsidR="006A2E06" w:rsidRPr="00B02807" w:rsidRDefault="006A2E06" w:rsidP="006A2E06">
      <w:pPr>
        <w:spacing w:after="120" w:line="360" w:lineRule="auto"/>
        <w:ind w:firstLine="539"/>
        <w:jc w:val="both"/>
      </w:pPr>
      <w:r>
        <w:t>In his Summary of the Kingdom, New Testament, Scofield states that t</w:t>
      </w:r>
      <w:r w:rsidRPr="00B02807">
        <w:t xml:space="preserve">he kingdom </w:t>
      </w:r>
      <w:r>
        <w:t xml:space="preserve">constitutes the seventh dispensation.  It </w:t>
      </w:r>
      <w:r w:rsidRPr="00B02807">
        <w:t xml:space="preserve">was </w:t>
      </w:r>
      <w:r>
        <w:t>‘</w:t>
      </w:r>
      <w:r w:rsidRPr="00B02807">
        <w:t xml:space="preserve">announced as “at hand” by John the Baptist, </w:t>
      </w:r>
      <w:r>
        <w:t>by the King, and by the Twelve’,</w:t>
      </w:r>
      <w:r w:rsidRPr="00B02807">
        <w:t xml:space="preserve"> but </w:t>
      </w:r>
      <w:r>
        <w:t xml:space="preserve">‘was </w:t>
      </w:r>
      <w:r w:rsidRPr="00B02807">
        <w:t>rejected by the Jews</w:t>
      </w:r>
      <w:r>
        <w:t>’</w:t>
      </w:r>
      <w:r w:rsidRPr="00B02807">
        <w:t>.</w:t>
      </w:r>
      <w:r w:rsidRPr="00B02807">
        <w:rPr>
          <w:rStyle w:val="EndnoteReference"/>
        </w:rPr>
        <w:endnoteReference w:id="2161"/>
      </w:r>
      <w:r w:rsidRPr="00B02807">
        <w:t xml:space="preserve">  In anticipation of his rejection and crucifixion, Jesus ‘revealed the mysteries of the kingdom of heaven’ to be fulfilled between his rejection and glorious return.</w:t>
      </w:r>
      <w:r w:rsidRPr="00B02807">
        <w:rPr>
          <w:rStyle w:val="EndnoteReference"/>
        </w:rPr>
        <w:endnoteReference w:id="2162"/>
      </w:r>
      <w:r w:rsidRPr="00B02807">
        <w:t xml:space="preserve">  At Christ’s coming, the kingdom will be established under ‘David’s divine Son’, in order to restore divine authority on earth, ‘a revolted province of the great kingdom of God’.</w:t>
      </w:r>
      <w:r w:rsidRPr="00B02807">
        <w:rPr>
          <w:rStyle w:val="EndnoteReference"/>
        </w:rPr>
        <w:endnoteReference w:id="2163"/>
      </w:r>
      <w:r w:rsidRPr="00B02807">
        <w:t xml:space="preserve">  The Son will then </w:t>
      </w:r>
      <w:r>
        <w:t>‘</w:t>
      </w:r>
      <w:r w:rsidRPr="00B02807">
        <w:t xml:space="preserve">deliver up the kingdom of heaven to </w:t>
      </w:r>
      <w:r>
        <w:t xml:space="preserve">“God even </w:t>
      </w:r>
      <w:r w:rsidRPr="00B02807">
        <w:t>the Father</w:t>
      </w:r>
      <w:r>
        <w:t>”</w:t>
      </w:r>
      <w:r w:rsidRPr="00B02807">
        <w:t xml:space="preserve">, that </w:t>
      </w:r>
      <w:r>
        <w:t>“</w:t>
      </w:r>
      <w:r w:rsidRPr="00B02807">
        <w:t>God</w:t>
      </w:r>
      <w:r>
        <w:t>” (ie. the triune God …)</w:t>
      </w:r>
      <w:r w:rsidRPr="00B02807">
        <w:t xml:space="preserve"> </w:t>
      </w:r>
      <w:r>
        <w:t>“</w:t>
      </w:r>
      <w:r w:rsidRPr="00B02807">
        <w:t>may be all in all”</w:t>
      </w:r>
      <w:r>
        <w:t>’</w:t>
      </w:r>
      <w:r w:rsidRPr="00B02807">
        <w:t>.</w:t>
      </w:r>
      <w:r w:rsidRPr="00B02807">
        <w:rPr>
          <w:rStyle w:val="EndnoteReference"/>
        </w:rPr>
        <w:endnoteReference w:id="2164"/>
      </w:r>
      <w:r w:rsidRPr="00B02807">
        <w:t xml:space="preserve">  The kingdom does not become the kingdom of the Father until Christ has delivered it up.</w:t>
      </w:r>
      <w:r w:rsidRPr="00B02807">
        <w:rPr>
          <w:rStyle w:val="EndnoteReference"/>
        </w:rPr>
        <w:endnoteReference w:id="2165"/>
      </w:r>
      <w:r w:rsidRPr="00B02807">
        <w:t xml:space="preserve">  Scofield states that ‘the great end and objective of the rule of Adonai (Lord) is the restoration of the kingdom to Jehovah (LORD)’.</w:t>
      </w:r>
      <w:r w:rsidRPr="00B02807">
        <w:rPr>
          <w:rStyle w:val="EndnoteReference"/>
        </w:rPr>
        <w:endnoteReference w:id="2166"/>
      </w:r>
    </w:p>
    <w:p w:rsidR="006A2E06" w:rsidRDefault="006A2E06" w:rsidP="006A2E06">
      <w:pPr>
        <w:spacing w:after="120" w:line="360" w:lineRule="auto"/>
        <w:jc w:val="both"/>
        <w:rPr>
          <w:rStyle w:val="ind"/>
          <w:b/>
        </w:rPr>
      </w:pPr>
      <w:proofErr w:type="gramStart"/>
      <w:r>
        <w:rPr>
          <w:rStyle w:val="ind"/>
          <w:b/>
        </w:rPr>
        <w:t>7</w:t>
      </w:r>
      <w:r w:rsidRPr="0084188A">
        <w:rPr>
          <w:rStyle w:val="ind"/>
          <w:b/>
        </w:rPr>
        <w:t>.2.</w:t>
      </w:r>
      <w:r>
        <w:rPr>
          <w:rStyle w:val="ind"/>
          <w:b/>
        </w:rPr>
        <w:t>2</w:t>
      </w:r>
      <w:r w:rsidRPr="0084188A">
        <w:rPr>
          <w:rStyle w:val="ind"/>
          <w:b/>
        </w:rPr>
        <w:t xml:space="preserve"> </w:t>
      </w:r>
      <w:r>
        <w:rPr>
          <w:rStyle w:val="ind"/>
          <w:b/>
        </w:rPr>
        <w:t xml:space="preserve"> T</w:t>
      </w:r>
      <w:r w:rsidRPr="0084188A">
        <w:rPr>
          <w:rStyle w:val="ind"/>
          <w:b/>
        </w:rPr>
        <w:t>he</w:t>
      </w:r>
      <w:proofErr w:type="gramEnd"/>
      <w:r w:rsidRPr="0084188A">
        <w:rPr>
          <w:rStyle w:val="ind"/>
          <w:b/>
        </w:rPr>
        <w:t xml:space="preserve"> Davidic Nature of the Kingdom</w:t>
      </w:r>
    </w:p>
    <w:p w:rsidR="006A2E06" w:rsidRDefault="006A2E06" w:rsidP="006A2E06">
      <w:pPr>
        <w:spacing w:after="120" w:line="360" w:lineRule="auto"/>
        <w:jc w:val="both"/>
        <w:rPr>
          <w:rStyle w:val="ind"/>
        </w:rPr>
      </w:pPr>
      <w:r>
        <w:rPr>
          <w:rStyle w:val="ind"/>
        </w:rPr>
        <w:t>Dispensationalists hold that the terrestrial kingdom</w:t>
      </w:r>
      <w:r w:rsidRPr="007A7136">
        <w:rPr>
          <w:rStyle w:val="ind"/>
        </w:rPr>
        <w:t xml:space="preserve"> </w:t>
      </w:r>
      <w:r>
        <w:rPr>
          <w:rStyle w:val="ind"/>
        </w:rPr>
        <w:t xml:space="preserve">to be instituted by Christ at his second coming </w:t>
      </w:r>
      <w:r w:rsidRPr="007A7136">
        <w:rPr>
          <w:rStyle w:val="ind"/>
        </w:rPr>
        <w:t xml:space="preserve">will </w:t>
      </w:r>
      <w:r>
        <w:rPr>
          <w:rStyle w:val="ind"/>
        </w:rPr>
        <w:t>constitute</w:t>
      </w:r>
      <w:r w:rsidRPr="007A7136">
        <w:rPr>
          <w:rStyle w:val="ind"/>
        </w:rPr>
        <w:t xml:space="preserve"> the physical Davidic kingdom which was postponed during the unanticipated Church-age </w:t>
      </w:r>
      <w:r>
        <w:rPr>
          <w:rStyle w:val="ind"/>
        </w:rPr>
        <w:lastRenderedPageBreak/>
        <w:t>because of</w:t>
      </w:r>
      <w:r w:rsidRPr="007A7136">
        <w:rPr>
          <w:rStyle w:val="ind"/>
        </w:rPr>
        <w:t xml:space="preserve"> Israel’s rejection of Christ’s offer to establish it at his first coming. </w:t>
      </w:r>
      <w:r>
        <w:rPr>
          <w:rStyle w:val="ind"/>
        </w:rPr>
        <w:t xml:space="preserve"> This terrestrial kingdom is to be based upon Jerusalem.</w:t>
      </w:r>
      <w:r>
        <w:rPr>
          <w:rStyle w:val="EndnoteReference"/>
        </w:rPr>
        <w:endnoteReference w:id="2167"/>
      </w:r>
    </w:p>
    <w:p w:rsidR="006A2E06" w:rsidRDefault="006A2E06" w:rsidP="006A2E06">
      <w:pPr>
        <w:spacing w:after="120" w:line="360" w:lineRule="auto"/>
        <w:ind w:firstLine="567"/>
        <w:jc w:val="both"/>
        <w:rPr>
          <w:rStyle w:val="ind"/>
        </w:rPr>
      </w:pPr>
      <w:r w:rsidRPr="007A7136">
        <w:rPr>
          <w:rStyle w:val="ind"/>
        </w:rPr>
        <w:t xml:space="preserve">Charles Feinberg offers an enlightening account of the </w:t>
      </w:r>
      <w:r>
        <w:rPr>
          <w:rStyle w:val="ind"/>
        </w:rPr>
        <w:t xml:space="preserve">earthly and </w:t>
      </w:r>
      <w:r w:rsidRPr="007A7136">
        <w:rPr>
          <w:rStyle w:val="ind"/>
        </w:rPr>
        <w:t>Davidic nature of the millennial kingdom.  He states of the Sermon on the Mount that ‘</w:t>
      </w:r>
      <w:r>
        <w:rPr>
          <w:rStyle w:val="ind"/>
        </w:rPr>
        <w:t>t</w:t>
      </w:r>
      <w:r w:rsidRPr="007A7136">
        <w:rPr>
          <w:rStyle w:val="ind"/>
        </w:rPr>
        <w:t>he King is still offering the covenanted kingdom to those to whom it was promised.  Now He promulgates the laws for the carrying on of that kingdom.’</w:t>
      </w:r>
      <w:r w:rsidRPr="007A7136">
        <w:rPr>
          <w:rStyle w:val="EndnoteReference"/>
        </w:rPr>
        <w:endnoteReference w:id="2168"/>
      </w:r>
      <w:r w:rsidRPr="007A7136">
        <w:rPr>
          <w:rStyle w:val="ind"/>
        </w:rPr>
        <w:t xml:space="preserve">  ‘In failing to receive that King, that particular generation of Israelites lost the kingdom He was about to establish.’</w:t>
      </w:r>
      <w:r w:rsidRPr="007A7136">
        <w:rPr>
          <w:rStyle w:val="EndnoteReference"/>
        </w:rPr>
        <w:endnoteReference w:id="2169"/>
      </w:r>
      <w:r w:rsidRPr="007A7136">
        <w:rPr>
          <w:rStyle w:val="ind"/>
        </w:rPr>
        <w:t xml:space="preserve">  Echoing Scofield,</w:t>
      </w:r>
      <w:r w:rsidRPr="007A7136">
        <w:rPr>
          <w:rStyle w:val="EndnoteReference"/>
        </w:rPr>
        <w:endnoteReference w:id="2170"/>
      </w:r>
      <w:r w:rsidRPr="007A7136">
        <w:rPr>
          <w:rStyle w:val="ind"/>
        </w:rPr>
        <w:t xml:space="preserve"> Feinberg asserts that ‘Christ never once corrected the Jews for their belief in an earthly kingdom’.</w:t>
      </w:r>
      <w:r w:rsidRPr="007A7136">
        <w:rPr>
          <w:rStyle w:val="EndnoteReference"/>
        </w:rPr>
        <w:endnoteReference w:id="2171"/>
      </w:r>
      <w:r w:rsidRPr="007A7136">
        <w:rPr>
          <w:rStyle w:val="ind"/>
        </w:rPr>
        <w:t xml:space="preserve">  </w:t>
      </w:r>
      <w:r>
        <w:rPr>
          <w:rStyle w:val="ind"/>
        </w:rPr>
        <w:t>He states that the</w:t>
      </w:r>
      <w:r w:rsidRPr="007A7136">
        <w:rPr>
          <w:rStyle w:val="ind"/>
        </w:rPr>
        <w:t xml:space="preserve"> kingdom is the one covenanted to David</w:t>
      </w:r>
      <w:r>
        <w:rPr>
          <w:rStyle w:val="ind"/>
        </w:rPr>
        <w:t xml:space="preserve"> and that</w:t>
      </w:r>
      <w:r w:rsidRPr="007A7136">
        <w:rPr>
          <w:rStyle w:val="ind"/>
        </w:rPr>
        <w:t xml:space="preserve"> Matthew makes it clear from the start of his </w:t>
      </w:r>
      <w:r w:rsidR="002F52A1">
        <w:rPr>
          <w:rStyle w:val="ind"/>
        </w:rPr>
        <w:t>G</w:t>
      </w:r>
      <w:r w:rsidRPr="007A7136">
        <w:rPr>
          <w:rStyle w:val="ind"/>
        </w:rPr>
        <w:t>ospel that Christ is ‘that descendant of the house and dynasty of David, … connected by the Word … with all the prophecies relating to the future Messianic kingdom’.</w:t>
      </w:r>
      <w:r w:rsidRPr="007A7136">
        <w:rPr>
          <w:rStyle w:val="EndnoteReference"/>
        </w:rPr>
        <w:endnoteReference w:id="2172"/>
      </w:r>
      <w:r w:rsidRPr="007A7136">
        <w:rPr>
          <w:rStyle w:val="ind"/>
        </w:rPr>
        <w:t xml:space="preserve">  ‘In a real sense the kingdom yet future will be the Davidic kingdom ruled over by the son of David.’</w:t>
      </w:r>
      <w:r w:rsidRPr="007A7136">
        <w:rPr>
          <w:rStyle w:val="EndnoteReference"/>
        </w:rPr>
        <w:endnoteReference w:id="2173"/>
      </w:r>
      <w:r w:rsidRPr="007A7136">
        <w:rPr>
          <w:rStyle w:val="ind"/>
        </w:rPr>
        <w:t xml:space="preserve">  Bass asserts that ‘the dispensationalist millennium is decidedly Jewish in character’, focusing on </w:t>
      </w:r>
      <w:r>
        <w:rPr>
          <w:rStyle w:val="ind"/>
        </w:rPr>
        <w:t>‘</w:t>
      </w:r>
      <w:r w:rsidRPr="007A7136">
        <w:rPr>
          <w:rStyle w:val="ind"/>
        </w:rPr>
        <w:t>regathered Israel’.  ‘The entire consummation of God’s plan for Israel is epitomized in the restored kingdom …’</w:t>
      </w:r>
      <w:r w:rsidRPr="007A7136">
        <w:rPr>
          <w:rStyle w:val="EndnoteReference"/>
        </w:rPr>
        <w:endnoteReference w:id="2174"/>
      </w:r>
      <w:r w:rsidRPr="007A7136">
        <w:rPr>
          <w:rStyle w:val="ind"/>
        </w:rPr>
        <w:t xml:space="preserve">  </w:t>
      </w:r>
    </w:p>
    <w:p w:rsidR="006A2E06" w:rsidRDefault="006A2E06" w:rsidP="006A2E06">
      <w:pPr>
        <w:spacing w:after="0" w:line="360" w:lineRule="auto"/>
        <w:ind w:firstLine="567"/>
        <w:jc w:val="both"/>
      </w:pPr>
      <w:r w:rsidRPr="000F4055">
        <w:t>Many elements in Scofield’s commentary relate to the Davidic nature of the kingdom;</w:t>
      </w:r>
      <w:r>
        <w:rPr>
          <w:color w:val="984806" w:themeColor="accent6" w:themeShade="80"/>
        </w:rPr>
        <w:t xml:space="preserve"> </w:t>
      </w:r>
      <w:r w:rsidRPr="00933A5B">
        <w:t>the third section of his ‘Kingdom in O.T. Summary’ in his note on Zech. 12:8 is devoted to it.</w:t>
      </w:r>
      <w:r w:rsidRPr="00933A5B">
        <w:rPr>
          <w:rStyle w:val="EndnoteReference"/>
        </w:rPr>
        <w:endnoteReference w:id="2175"/>
      </w:r>
      <w:r w:rsidRPr="00933A5B">
        <w:t xml:space="preserve">  </w:t>
      </w:r>
      <w:r>
        <w:t xml:space="preserve">The tables below show Old and New Testament references in </w:t>
      </w:r>
      <w:r w:rsidRPr="004841E4">
        <w:rPr>
          <w:i/>
        </w:rPr>
        <w:t>SRB</w:t>
      </w:r>
      <w:r>
        <w:t xml:space="preserve"> which relate the Davidic kingdom to the kingdom Christ is to establish at his second coming.</w:t>
      </w:r>
    </w:p>
    <w:p w:rsidR="005E1DF3" w:rsidRPr="005E1DF3" w:rsidRDefault="005E1DF3" w:rsidP="005E1DF3">
      <w:pPr>
        <w:spacing w:after="0" w:line="360" w:lineRule="auto"/>
        <w:jc w:val="both"/>
        <w:rPr>
          <w:b/>
          <w:i/>
        </w:rPr>
      </w:pPr>
      <w:r w:rsidRPr="005E1DF3">
        <w:rPr>
          <w:b/>
          <w:i/>
        </w:rPr>
        <w:t>Continued overleaf</w:t>
      </w:r>
    </w:p>
    <w:p w:rsidR="006A2E06" w:rsidRDefault="006A2E06" w:rsidP="006A2E06">
      <w:pPr>
        <w:spacing w:after="120" w:line="360" w:lineRule="auto"/>
        <w:jc w:val="both"/>
        <w:rPr>
          <w:color w:val="984806" w:themeColor="accent6" w:themeShade="80"/>
        </w:rPr>
      </w:pPr>
      <w:r>
        <w:rPr>
          <w:noProof/>
          <w:lang w:eastAsia="en-GB"/>
        </w:rPr>
        <w:lastRenderedPageBreak/>
        <w:drawing>
          <wp:inline distT="0" distB="0" distL="0" distR="0" wp14:anchorId="0C6CFF09" wp14:editId="4C80A315">
            <wp:extent cx="5400040" cy="6414135"/>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ic Table 17.1.17 rev 22.3.18 PAGE 1 crop.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00040" cy="6414135"/>
                    </a:xfrm>
                    <a:prstGeom prst="rect">
                      <a:avLst/>
                    </a:prstGeom>
                  </pic:spPr>
                </pic:pic>
              </a:graphicData>
            </a:graphic>
          </wp:inline>
        </w:drawing>
      </w:r>
      <w:r>
        <w:t xml:space="preserve">  </w:t>
      </w:r>
    </w:p>
    <w:p w:rsidR="006A2E06" w:rsidRPr="000F4055" w:rsidRDefault="006A2E06" w:rsidP="006A2E06">
      <w:pPr>
        <w:spacing w:after="120" w:line="360" w:lineRule="auto"/>
        <w:jc w:val="both"/>
      </w:pPr>
      <w:r>
        <w:t>Scofield states in his Bible Correspondence Course that Christ is ‘</w:t>
      </w:r>
      <w:r w:rsidRPr="00A249BB">
        <w:t>the “seed,” heir and coming King under the Davidic covenant</w:t>
      </w:r>
      <w:r>
        <w:t>’;</w:t>
      </w:r>
      <w:r w:rsidRPr="00A249BB">
        <w:rPr>
          <w:rStyle w:val="EndnoteReference"/>
        </w:rPr>
        <w:endnoteReference w:id="2176"/>
      </w:r>
      <w:r>
        <w:t xml:space="preserve"> the Davidic Covenant, as described by Scofield in his </w:t>
      </w:r>
      <w:r w:rsidRPr="00AD0ABC">
        <w:rPr>
          <w:i/>
        </w:rPr>
        <w:t>SRB</w:t>
      </w:r>
      <w:r>
        <w:t xml:space="preserve"> note on 2 Sam. 7:16, forms the basis for Scofield’s claims concerning the Davidic nature of the kingdom to be established at Christ’s return.</w:t>
      </w:r>
      <w:r>
        <w:rPr>
          <w:rStyle w:val="EndnoteReference"/>
        </w:rPr>
        <w:endnoteReference w:id="2177"/>
      </w:r>
      <w:r>
        <w:t xml:space="preserve">  It is for this reason that Scofield emphasises Christ’s ancestry, for example in his subhead to Isa. 11:1.</w:t>
      </w:r>
      <w:r>
        <w:rPr>
          <w:rStyle w:val="EndnoteReference"/>
        </w:rPr>
        <w:endnoteReference w:id="2178"/>
      </w:r>
      <w:r>
        <w:t xml:space="preserve">  Scofield makes several references to the Davidic kingdom in his annotation of Isaiah.</w:t>
      </w:r>
      <w:r>
        <w:rPr>
          <w:rStyle w:val="EndnoteReference"/>
        </w:rPr>
        <w:endnoteReference w:id="2179"/>
      </w:r>
      <w:r>
        <w:t xml:space="preserve">  </w:t>
      </w:r>
      <w:r w:rsidRPr="000F4055">
        <w:t xml:space="preserve">The word, ‘Davidic’ never occurs in </w:t>
      </w:r>
      <w:r w:rsidRPr="000F4055">
        <w:rPr>
          <w:i/>
        </w:rPr>
        <w:t>KJV</w:t>
      </w:r>
      <w:r w:rsidRPr="000F4055">
        <w:t xml:space="preserve"> and Isa. 55:3, concerning divine mercy, is the only reference to David in Isaiah after Isa. 40:1.</w:t>
      </w:r>
      <w:r w:rsidRPr="000F4055">
        <w:rPr>
          <w:rStyle w:val="EndnoteReference"/>
        </w:rPr>
        <w:endnoteReference w:id="2180"/>
      </w:r>
      <w:r w:rsidRPr="000F4055">
        <w:t xml:space="preserve">  The word, ‘kingdom’ occurs only five times in Isaiah,</w:t>
      </w:r>
      <w:r w:rsidRPr="000F4055">
        <w:rPr>
          <w:rStyle w:val="EndnoteReference"/>
        </w:rPr>
        <w:endnoteReference w:id="2181"/>
      </w:r>
      <w:r w:rsidRPr="000F4055">
        <w:t xml:space="preserve"> and </w:t>
      </w:r>
      <w:r w:rsidRPr="000F4055">
        <w:lastRenderedPageBreak/>
        <w:t>is related to David solely in Isa. 9:7, thus the same criticism applies to Scofield’s subheads to Isa. 11:1,</w:t>
      </w:r>
      <w:r w:rsidRPr="000F4055">
        <w:rPr>
          <w:rStyle w:val="EndnoteReference"/>
        </w:rPr>
        <w:endnoteReference w:id="2182"/>
      </w:r>
      <w:r w:rsidRPr="000F4055">
        <w:t xml:space="preserve"> and 16:1.</w:t>
      </w:r>
      <w:r w:rsidRPr="000F4055">
        <w:rPr>
          <w:rStyle w:val="EndnoteReference"/>
        </w:rPr>
        <w:endnoteReference w:id="2183"/>
      </w:r>
      <w:r w:rsidRPr="000F4055">
        <w:t xml:space="preserve">  </w:t>
      </w:r>
    </w:p>
    <w:p w:rsidR="006A2E06" w:rsidRPr="000F4055" w:rsidRDefault="006A2E06" w:rsidP="006A2E06">
      <w:pPr>
        <w:spacing w:after="120" w:line="360" w:lineRule="auto"/>
        <w:ind w:firstLine="540"/>
        <w:jc w:val="both"/>
      </w:pPr>
      <w:r w:rsidRPr="00F7651F">
        <w:t xml:space="preserve">Scofield </w:t>
      </w:r>
      <w:r>
        <w:t>makes several more links between prophetical material and the Davidic kingdom</w:t>
      </w:r>
      <w:r w:rsidRPr="000F4055">
        <w:t xml:space="preserve">.  Despite the </w:t>
      </w:r>
      <w:r w:rsidRPr="000F4055">
        <w:rPr>
          <w:i/>
        </w:rPr>
        <w:t xml:space="preserve">SRB </w:t>
      </w:r>
      <w:r w:rsidRPr="000F4055">
        <w:t>subhead to Jer. 33:1,</w:t>
      </w:r>
      <w:r w:rsidRPr="000F4055">
        <w:rPr>
          <w:rStyle w:val="EndnoteReference"/>
        </w:rPr>
        <w:endnoteReference w:id="2184"/>
      </w:r>
      <w:r w:rsidRPr="000F4055">
        <w:t xml:space="preserve"> there is no reference in Jeremiah 33 to a kingdom, though some verses do refer to God’s covenant with David.</w:t>
      </w:r>
      <w:r w:rsidRPr="000F4055">
        <w:rPr>
          <w:rStyle w:val="EndnoteReference"/>
        </w:rPr>
        <w:endnoteReference w:id="2185"/>
      </w:r>
      <w:r w:rsidRPr="000F4055">
        <w:t xml:space="preserve">  </w:t>
      </w:r>
      <w:r w:rsidRPr="000F4055">
        <w:rPr>
          <w:i/>
        </w:rPr>
        <w:t xml:space="preserve">SRB </w:t>
      </w:r>
      <w:r w:rsidRPr="000F4055">
        <w:t>makes three references to the Davidic Kingdom in a subhead and block-capital headings to Ezekiel.</w:t>
      </w:r>
      <w:r w:rsidRPr="000F4055">
        <w:rPr>
          <w:rStyle w:val="EndnoteReference"/>
        </w:rPr>
        <w:endnoteReference w:id="2186"/>
      </w:r>
      <w:r w:rsidRPr="000F4055">
        <w:t xml:space="preserve"> Ezekiel 34 does not contain the word, ‘kingdom’; Ezek. 34:23-4 </w:t>
      </w:r>
      <w:proofErr w:type="gramStart"/>
      <w:r w:rsidRPr="000F4055">
        <w:t>refer</w:t>
      </w:r>
      <w:proofErr w:type="gramEnd"/>
      <w:r w:rsidRPr="000F4055">
        <w:t xml:space="preserve"> to David, but in a shepherd capacity, and as ‘a prince among them’ under God.</w:t>
      </w:r>
      <w:r w:rsidRPr="000F4055">
        <w:rPr>
          <w:rStyle w:val="EndnoteReference"/>
        </w:rPr>
        <w:endnoteReference w:id="2187"/>
      </w:r>
      <w:r w:rsidRPr="000F4055">
        <w:t xml:space="preserve">  The context of the earlier occurrences of the word, ‘kingdom’ in Ezekiel 17 does not suggest triumphant restoration.  These refer to Judah’s abasement as a kingdom through the Babylonian exile and a fruitless attempt at an Egyptian alliance.</w:t>
      </w:r>
      <w:r w:rsidRPr="000F4055">
        <w:rPr>
          <w:rStyle w:val="EndnoteReference"/>
        </w:rPr>
        <w:endnoteReference w:id="2188"/>
      </w:r>
      <w:r w:rsidRPr="000F4055">
        <w:t xml:space="preserve">  These verses are not annotated.  Ezekiel 37:24-5 provides some justification for Scofield’s second major heading; these verses state that God will re-establish Israel in her own land under David, her king.</w:t>
      </w:r>
      <w:r w:rsidRPr="000F4055">
        <w:rPr>
          <w:rStyle w:val="EndnoteReference"/>
        </w:rPr>
        <w:endnoteReference w:id="2189"/>
      </w:r>
      <w:r w:rsidRPr="000F4055">
        <w:t xml:space="preserve">  However, the existence of these two verses, while giving a more optimistic message, does not really justify two conspicuous headings with which Scofield divides the text of Ezekiel.  </w:t>
      </w:r>
      <w:r w:rsidRPr="000F4055">
        <w:rPr>
          <w:szCs w:val="18"/>
          <w:lang w:eastAsia="en-GB"/>
        </w:rPr>
        <w:t>Scofield links Daniel 7:13-14 to Rev. 5:1-7 with the assertion that all these verses describe the investiture of the Son of Man and Son of David with kingdom authority;</w:t>
      </w:r>
      <w:r w:rsidRPr="000F4055">
        <w:rPr>
          <w:rStyle w:val="EndnoteReference"/>
        </w:rPr>
        <w:endnoteReference w:id="2190"/>
      </w:r>
      <w:r w:rsidRPr="000F4055">
        <w:rPr>
          <w:szCs w:val="18"/>
          <w:lang w:eastAsia="en-GB"/>
        </w:rPr>
        <w:t xml:space="preserve"> </w:t>
      </w:r>
      <w:r w:rsidRPr="000F4055">
        <w:t>‘root of David’ occurs in Rev. 5:5,</w:t>
      </w:r>
      <w:r w:rsidRPr="000F4055">
        <w:rPr>
          <w:rStyle w:val="EndnoteReference"/>
        </w:rPr>
        <w:endnoteReference w:id="2191"/>
      </w:r>
      <w:r w:rsidRPr="000F4055">
        <w:t xml:space="preserve"> but the name, ‘David’, does not occur in Daniel.  </w:t>
      </w:r>
    </w:p>
    <w:p w:rsidR="006A2E06" w:rsidRPr="000F4055" w:rsidRDefault="006A2E06" w:rsidP="006A2E06">
      <w:pPr>
        <w:spacing w:after="120" w:line="360" w:lineRule="auto"/>
        <w:ind w:firstLine="540"/>
        <w:jc w:val="both"/>
      </w:pPr>
      <w:r w:rsidRPr="000F4055">
        <w:t>The appropriateness of Scofield’s references to the Davidic monarchy in commentary on Amos</w:t>
      </w:r>
      <w:r w:rsidRPr="000F4055">
        <w:rPr>
          <w:rStyle w:val="EndnoteReference"/>
        </w:rPr>
        <w:endnoteReference w:id="2192"/>
      </w:r>
      <w:r w:rsidRPr="000F4055">
        <w:t xml:space="preserve"> is also debatable.  Amos 9:11 actually concerns the raising of David’s fallen tabernacle and the only kingdom mentioned in Amos is the ‘sinful kingdom’ of Amos 9:8;</w:t>
      </w:r>
      <w:r w:rsidRPr="000F4055">
        <w:rPr>
          <w:rStyle w:val="EndnoteReference"/>
        </w:rPr>
        <w:endnoteReference w:id="2193"/>
      </w:r>
      <w:r w:rsidRPr="000F4055">
        <w:t xml:space="preserve"> the threat of its destruction does not seem congruent with Scofield’s jubilant declaration.  Scofield also states in his note on Hab. 2:14 that ‘the time when “the earth shall be filled” etc.’</w:t>
      </w:r>
      <w:r w:rsidRPr="000F4055">
        <w:rPr>
          <w:rStyle w:val="EndnoteReference"/>
        </w:rPr>
        <w:endnoteReference w:id="2194"/>
      </w:r>
      <w:r w:rsidRPr="000F4055">
        <w:t xml:space="preserve"> is ‘when David’s righteous Branch has set up the kingdom’.</w:t>
      </w:r>
      <w:r w:rsidRPr="000F4055">
        <w:rPr>
          <w:rStyle w:val="EndnoteReference"/>
        </w:rPr>
        <w:endnoteReference w:id="2195"/>
      </w:r>
      <w:r w:rsidRPr="000F4055">
        <w:t xml:space="preserve">  Habakkuk does not mention David, kingdom or Branch.</w:t>
      </w:r>
    </w:p>
    <w:p w:rsidR="006A2E06" w:rsidRPr="0084188A" w:rsidRDefault="006A2E06" w:rsidP="006A2E06">
      <w:pPr>
        <w:spacing w:after="120" w:line="360" w:lineRule="auto"/>
        <w:ind w:firstLine="540"/>
        <w:jc w:val="both"/>
        <w:rPr>
          <w:color w:val="984806" w:themeColor="accent6" w:themeShade="80"/>
        </w:rPr>
      </w:pPr>
      <w:r>
        <w:rPr>
          <w:noProof/>
          <w:color w:val="984806" w:themeColor="accent6" w:themeShade="80"/>
          <w:lang w:eastAsia="en-GB"/>
        </w:rPr>
        <w:drawing>
          <wp:inline distT="0" distB="0" distL="0" distR="0" wp14:anchorId="7DFD39E9" wp14:editId="76A3A550">
            <wp:extent cx="5400040" cy="29533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ic Table 17.1.18 p 2 crop.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40" cy="2953385"/>
                    </a:xfrm>
                    <a:prstGeom prst="rect">
                      <a:avLst/>
                    </a:prstGeom>
                  </pic:spPr>
                </pic:pic>
              </a:graphicData>
            </a:graphic>
          </wp:inline>
        </w:drawing>
      </w:r>
    </w:p>
    <w:p w:rsidR="006A2E06" w:rsidRPr="000F4055" w:rsidRDefault="006A2E06" w:rsidP="006A2E06">
      <w:pPr>
        <w:spacing w:after="120" w:line="360" w:lineRule="auto"/>
        <w:jc w:val="both"/>
      </w:pPr>
      <w:r w:rsidRPr="000F4055">
        <w:lastRenderedPageBreak/>
        <w:t>There are very few references to David in the New Testament verses to which Scofield attaches the term ‘Davidic kingdom’.  Matthew 3:2 states that the kingdom of heaven is at hand.  It makes no reference to this being ‘the kingdom covenanted to David’s seed’ or to David himself, as Scofield asserts.</w:t>
      </w:r>
      <w:r w:rsidRPr="000F4055">
        <w:rPr>
          <w:rStyle w:val="EndnoteReference"/>
        </w:rPr>
        <w:endnoteReference w:id="2196"/>
      </w:r>
      <w:r w:rsidRPr="000F4055">
        <w:t xml:space="preserve">  Matthew 4:17 simply refers to ‘the kingdom of heaven’, yet, referring to this, Scofield makes claims regarding ‘the Davidic kingdom’.</w:t>
      </w:r>
      <w:r w:rsidRPr="000F4055">
        <w:rPr>
          <w:rStyle w:val="EndnoteReference"/>
        </w:rPr>
        <w:endnoteReference w:id="2197"/>
      </w:r>
      <w:r w:rsidRPr="000F4055">
        <w:t xml:space="preserve">  Scofield’s note on Mt. 6:33 also </w:t>
      </w:r>
      <w:proofErr w:type="gramStart"/>
      <w:r w:rsidRPr="000F4055">
        <w:t>refers</w:t>
      </w:r>
      <w:proofErr w:type="gramEnd"/>
      <w:r w:rsidRPr="000F4055">
        <w:t xml:space="preserve"> to the kingdom of heaven as ‘Davidic’.</w:t>
      </w:r>
      <w:r w:rsidRPr="000F4055">
        <w:rPr>
          <w:rStyle w:val="EndnoteReference"/>
        </w:rPr>
        <w:endnoteReference w:id="2198"/>
      </w:r>
      <w:r w:rsidRPr="000F4055">
        <w:t xml:space="preserve">  </w:t>
      </w:r>
    </w:p>
    <w:p w:rsidR="006A2E06" w:rsidRPr="000F4055" w:rsidRDefault="006A2E06" w:rsidP="006A2E06">
      <w:pPr>
        <w:spacing w:after="120" w:line="360" w:lineRule="auto"/>
        <w:ind w:firstLine="539"/>
        <w:jc w:val="both"/>
      </w:pPr>
      <w:r w:rsidRPr="000F4055">
        <w:t>Scofield attempts to explain the apparent failure of materialisation of the promised Davidic kingdom by stating that it was to be established at Christ’s return,</w:t>
      </w:r>
      <w:r w:rsidRPr="000F4055">
        <w:rPr>
          <w:rStyle w:val="EndnoteReference"/>
        </w:rPr>
        <w:endnoteReference w:id="2199"/>
      </w:r>
      <w:r w:rsidRPr="000F4055">
        <w:t xml:space="preserve"> but this explanation is not supported by the verses he quotes.  Acts 2:25-31 contains Peter’s declaration of what God has already done in Christ, as foretold by David.  There is no mention of Christ’s return.  Acts 15:14-16 concerns the restoration of David’s tabernacle, or tent (</w:t>
      </w:r>
      <w:r w:rsidRPr="000F4055">
        <w:rPr>
          <w:rFonts w:ascii="Bwgrkl" w:hAnsi="Bwgrkl"/>
          <w:bCs/>
          <w:lang w:val="en-US" w:bidi="he-IL"/>
        </w:rPr>
        <w:t>skhnh,</w:t>
      </w:r>
      <w:r w:rsidRPr="000F4055">
        <w:t xml:space="preserve">), which has the sense of a holy place or, more generally, a dwelling.  </w:t>
      </w:r>
    </w:p>
    <w:p w:rsidR="006A2E06" w:rsidRPr="000F4055" w:rsidRDefault="006A2E06" w:rsidP="006A2E06">
      <w:pPr>
        <w:spacing w:after="120" w:line="360" w:lineRule="auto"/>
        <w:ind w:firstLine="539"/>
        <w:jc w:val="both"/>
      </w:pPr>
      <w:r w:rsidRPr="000F4055">
        <w:t>Acts contains ten references to David,</w:t>
      </w:r>
      <w:r w:rsidRPr="000F4055">
        <w:rPr>
          <w:rStyle w:val="EndnoteReference"/>
        </w:rPr>
        <w:endnoteReference w:id="2200"/>
      </w:r>
      <w:r w:rsidRPr="000F4055">
        <w:t xml:space="preserve"> and eight to the kingdom.</w:t>
      </w:r>
      <w:r w:rsidRPr="000F4055">
        <w:rPr>
          <w:rStyle w:val="EndnoteReference"/>
        </w:rPr>
        <w:endnoteReference w:id="2201"/>
      </w:r>
      <w:r w:rsidRPr="000F4055">
        <w:t xml:space="preserve">  Seven of the latter refer to the kingdom of God, which is outside Scofield’s </w:t>
      </w:r>
      <w:r w:rsidRPr="00FA3B47">
        <w:t>usual definition of ‘the</w:t>
      </w:r>
      <w:r w:rsidRPr="000F4055">
        <w:t xml:space="preserve"> kingdom’.  The eighth concerns the restoration of the kingdom to Israel, in which the disciples’ question is firmly dismissed by Jesus.</w:t>
      </w:r>
      <w:r w:rsidRPr="000F4055">
        <w:rPr>
          <w:rStyle w:val="EndnoteReference"/>
        </w:rPr>
        <w:endnoteReference w:id="2202"/>
      </w:r>
      <w:r w:rsidRPr="000F4055">
        <w:t xml:space="preserve">  Four of the references to David concern his prophecy.</w:t>
      </w:r>
      <w:r w:rsidRPr="000F4055">
        <w:rPr>
          <w:rStyle w:val="EndnoteReference"/>
        </w:rPr>
        <w:endnoteReference w:id="2203"/>
      </w:r>
      <w:r w:rsidRPr="000F4055">
        <w:t xml:space="preserve">  Other references concern God’s choice of David as king,</w:t>
      </w:r>
      <w:r w:rsidRPr="000F4055">
        <w:rPr>
          <w:rStyle w:val="EndnoteReference"/>
        </w:rPr>
        <w:endnoteReference w:id="2204"/>
      </w:r>
      <w:r w:rsidRPr="000F4055">
        <w:t xml:space="preserve"> the gift to Christ of the mercies of David,</w:t>
      </w:r>
      <w:r w:rsidRPr="000F4055">
        <w:rPr>
          <w:rStyle w:val="EndnoteReference"/>
        </w:rPr>
        <w:endnoteReference w:id="2205"/>
      </w:r>
      <w:r w:rsidRPr="000F4055">
        <w:t xml:space="preserve"> and David’s mortality.</w:t>
      </w:r>
      <w:r w:rsidRPr="000F4055">
        <w:rPr>
          <w:rStyle w:val="EndnoteReference"/>
        </w:rPr>
        <w:endnoteReference w:id="2206"/>
      </w:r>
      <w:r w:rsidRPr="000F4055">
        <w:t xml:space="preserve">  Acts 7:45-6 refer to David’s desire to build a tabernacle for God, though verses 48-9 state that God does not dwell in temples made with hands,</w:t>
      </w:r>
      <w:r w:rsidRPr="000F4055">
        <w:rPr>
          <w:rStyle w:val="EndnoteReference"/>
        </w:rPr>
        <w:endnoteReference w:id="2207"/>
      </w:r>
      <w:r w:rsidRPr="000F4055">
        <w:t xml:space="preserve"> verses upon which Scofield does not comment.  Acts 15:16-17 refer to God’s promise to restore ‘the tabernacle of David’.</w:t>
      </w:r>
      <w:r w:rsidRPr="000F4055">
        <w:rPr>
          <w:rStyle w:val="EndnoteReference"/>
        </w:rPr>
        <w:endnoteReference w:id="2208"/>
      </w:r>
      <w:r w:rsidRPr="000F4055">
        <w:t xml:space="preserve">  Strangely, Scofield ignores Acts 2:30, which refers to Christ’s sitting on David’s throne,</w:t>
      </w:r>
      <w:r w:rsidRPr="000F4055">
        <w:rPr>
          <w:rStyle w:val="EndnoteReference"/>
        </w:rPr>
        <w:endnoteReference w:id="2209"/>
      </w:r>
      <w:r w:rsidRPr="000F4055">
        <w:t xml:space="preserve"> and transfers comment on this to his note on Acts 2:14, which does not.</w:t>
      </w:r>
      <w:r w:rsidRPr="000F4055">
        <w:rPr>
          <w:rStyle w:val="EndnoteReference"/>
        </w:rPr>
        <w:endnoteReference w:id="2210"/>
      </w:r>
      <w:r w:rsidRPr="000F4055">
        <w:t xml:space="preserve"> </w:t>
      </w:r>
    </w:p>
    <w:p w:rsidR="006A2E06" w:rsidRDefault="006A2E06" w:rsidP="006A2E06">
      <w:pPr>
        <w:spacing w:after="120" w:line="360" w:lineRule="auto"/>
        <w:ind w:right="-29" w:firstLine="567"/>
        <w:jc w:val="both"/>
      </w:pPr>
      <w:r w:rsidRPr="000F4055">
        <w:t>Scofield states that the arrival of the covenanted kingdom marks the consummation of events in Revelation.</w:t>
      </w:r>
      <w:r w:rsidRPr="000F4055">
        <w:rPr>
          <w:rStyle w:val="EndnoteReference"/>
        </w:rPr>
        <w:endnoteReference w:id="2211"/>
      </w:r>
      <w:r w:rsidRPr="000F4055">
        <w:t xml:space="preserve">  The word, ‘covenant’, does not appear in Revelation.  Scofield asserts that Rev. 3:21,</w:t>
      </w:r>
      <w:r w:rsidRPr="000F4055">
        <w:rPr>
          <w:rStyle w:val="EndnoteReference"/>
        </w:rPr>
        <w:endnoteReference w:id="2212"/>
      </w:r>
      <w:r w:rsidRPr="000F4055">
        <w:t xml:space="preserve"> along with several other passages,</w:t>
      </w:r>
      <w:r w:rsidRPr="000F4055">
        <w:rPr>
          <w:rStyle w:val="EndnoteReference"/>
        </w:rPr>
        <w:endnoteReference w:id="2213"/>
      </w:r>
      <w:r w:rsidRPr="000F4055">
        <w:t xml:space="preserve"> ‘is conclusive that Christ is not now seated upon His own throne.  The Davidic Covenant and God’s promises through the prophets and the Angel Gabriel concerning the Messianic kingdom await fulfilment.’</w:t>
      </w:r>
      <w:r w:rsidRPr="000F4055">
        <w:rPr>
          <w:rStyle w:val="EndnoteReference"/>
        </w:rPr>
        <w:endnoteReference w:id="2214"/>
      </w:r>
      <w:r w:rsidRPr="000F4055">
        <w:t xml:space="preserve">  Scofield avers that the ‘gospel of the kingdom’, concerns the future divine establishment of an earthly kingdom under David’s heir.</w:t>
      </w:r>
      <w:r w:rsidRPr="000F4055">
        <w:rPr>
          <w:rStyle w:val="EndnoteReference"/>
        </w:rPr>
        <w:endnoteReference w:id="2215"/>
      </w:r>
      <w:r w:rsidRPr="000F4055">
        <w:t xml:space="preserve">  David is mentioned three times in Revelation and in none of these verses is his name related to a kingdom, though Christ’s links to David, including hi</w:t>
      </w:r>
      <w:r>
        <w:t>s identity as David’s offspring</w:t>
      </w:r>
      <w:r w:rsidRPr="000F4055">
        <w:t xml:space="preserve"> are stated.</w:t>
      </w:r>
      <w:r w:rsidRPr="000F4055">
        <w:rPr>
          <w:rStyle w:val="EndnoteReference"/>
        </w:rPr>
        <w:endnoteReference w:id="2216"/>
      </w:r>
      <w:r w:rsidRPr="000F4055">
        <w:t xml:space="preserve">  The word ‘kingdom’ appears five times; in no instance does it pertain to an earthly kingdom of Christ.  The first instance is ambiguous;</w:t>
      </w:r>
      <w:r w:rsidRPr="000F4055">
        <w:rPr>
          <w:rStyle w:val="EndnoteReference"/>
        </w:rPr>
        <w:endnoteReference w:id="2217"/>
      </w:r>
      <w:r w:rsidRPr="000F4055">
        <w:t xml:space="preserve"> the second pertains to the kingdom of God;</w:t>
      </w:r>
      <w:r w:rsidRPr="000F4055">
        <w:rPr>
          <w:rStyle w:val="EndnoteReference"/>
        </w:rPr>
        <w:endnoteReference w:id="2218"/>
      </w:r>
      <w:r w:rsidRPr="000F4055">
        <w:t xml:space="preserve"> the third pertains to the Beast’s kingdom;</w:t>
      </w:r>
      <w:r w:rsidRPr="000F4055">
        <w:rPr>
          <w:rStyle w:val="EndnoteReference"/>
        </w:rPr>
        <w:endnoteReference w:id="2219"/>
      </w:r>
      <w:r w:rsidRPr="000F4055">
        <w:t xml:space="preserve"> and the fourth and fifth pertain to the kingdom offered to the Beast by the ten kings.</w:t>
      </w:r>
      <w:r w:rsidRPr="000F4055">
        <w:rPr>
          <w:rStyle w:val="EndnoteReference"/>
        </w:rPr>
        <w:endnoteReference w:id="2220"/>
      </w:r>
      <w:r w:rsidRPr="000F4055">
        <w:t xml:space="preserve">  There are, of course, many references to ‘the throne’, but the Davidic kingdom is nowhere mentioned in the text of Revelation.  </w:t>
      </w:r>
    </w:p>
    <w:p w:rsidR="006A2E06" w:rsidRPr="006C397E" w:rsidRDefault="006A2E06" w:rsidP="006A2E06">
      <w:pPr>
        <w:spacing w:after="120" w:line="360" w:lineRule="auto"/>
        <w:ind w:right="-29" w:firstLine="567"/>
        <w:jc w:val="both"/>
      </w:pPr>
      <w:r>
        <w:t>Chafer calls the covenanted Davidic kingdom ‘the most extensive and important feature of the eschatology of Judaism’.</w:t>
      </w:r>
      <w:r>
        <w:rPr>
          <w:rStyle w:val="EndnoteReference"/>
        </w:rPr>
        <w:endnoteReference w:id="2221"/>
      </w:r>
      <w:r>
        <w:t xml:space="preserve">  He asserts that the Davidic Covenant ‘does bind Jehovah with an oath</w:t>
      </w:r>
      <w:r>
        <w:rPr>
          <w:rStyle w:val="EndnoteReference"/>
        </w:rPr>
        <w:endnoteReference w:id="2222"/>
      </w:r>
      <w:r>
        <w:t xml:space="preserve"> to the perpetuity of the Davidic house, the Davidic throne, and the Davidic kingdom’.</w:t>
      </w:r>
      <w:r>
        <w:rPr>
          <w:rStyle w:val="EndnoteReference"/>
        </w:rPr>
        <w:endnoteReference w:id="2223"/>
      </w:r>
      <w:r>
        <w:t xml:space="preserve">  Ryrie states that Christ </w:t>
      </w:r>
      <w:r>
        <w:lastRenderedPageBreak/>
        <w:t>offered the Davidic kingdom rather tha</w:t>
      </w:r>
      <w:r w:rsidR="000A0E03">
        <w:t>n</w:t>
      </w:r>
      <w:r>
        <w:t xml:space="preserve"> ‘the general rule of God over the earth or His spiritual reign in individual lives’, even though dispensationalists ‘affirm the continuing presence of the universal kingdom and the spiritual rule of God in individual hearts today’.</w:t>
      </w:r>
      <w:r>
        <w:rPr>
          <w:rStyle w:val="EndnoteReference"/>
        </w:rPr>
        <w:endnoteReference w:id="2224"/>
      </w:r>
      <w:r>
        <w:t xml:space="preserve">  </w:t>
      </w:r>
      <w:r w:rsidR="000A0E03">
        <w:t xml:space="preserve">However, </w:t>
      </w:r>
      <w:r w:rsidRPr="006C397E">
        <w:t>Saucy states that, although the Davidic promise ‘provides the central features for the kingdom in the Old Testament, especially in the aspect of the predicted messianic king … the kingdom theme of the Bible encompasses more than these explicit promises to David.  The establishment of the kingdom of God on earth is … the ultimate goal of biblical history’.</w:t>
      </w:r>
      <w:r w:rsidRPr="006C397E">
        <w:rPr>
          <w:rStyle w:val="EndnoteReference"/>
        </w:rPr>
        <w:endnoteReference w:id="2225"/>
      </w:r>
      <w:r w:rsidRPr="006C397E">
        <w:t xml:space="preserve">  </w:t>
      </w:r>
    </w:p>
    <w:p w:rsidR="006A2E06" w:rsidRDefault="006A2E06" w:rsidP="006A2E06">
      <w:pPr>
        <w:spacing w:after="120" w:line="360" w:lineRule="auto"/>
        <w:ind w:right="-29"/>
        <w:jc w:val="both"/>
        <w:rPr>
          <w:b/>
        </w:rPr>
      </w:pPr>
      <w:proofErr w:type="gramStart"/>
      <w:r>
        <w:rPr>
          <w:b/>
        </w:rPr>
        <w:t>7</w:t>
      </w:r>
      <w:r w:rsidRPr="00FC344C">
        <w:rPr>
          <w:b/>
        </w:rPr>
        <w:t>.2.</w:t>
      </w:r>
      <w:r>
        <w:rPr>
          <w:b/>
        </w:rPr>
        <w:t>3</w:t>
      </w:r>
      <w:r w:rsidRPr="00FC344C">
        <w:rPr>
          <w:b/>
        </w:rPr>
        <w:t xml:space="preserve">  The</w:t>
      </w:r>
      <w:proofErr w:type="gramEnd"/>
      <w:r w:rsidRPr="00FC344C">
        <w:rPr>
          <w:b/>
        </w:rPr>
        <w:t xml:space="preserve"> Messianic Nature of the Kingdom</w:t>
      </w:r>
    </w:p>
    <w:p w:rsidR="006A2E06" w:rsidRPr="00235D5D" w:rsidRDefault="006A2E06" w:rsidP="006A2E06">
      <w:pPr>
        <w:spacing w:after="120" w:line="360" w:lineRule="auto"/>
        <w:ind w:right="-29"/>
        <w:jc w:val="both"/>
        <w:rPr>
          <w:b/>
        </w:rPr>
      </w:pPr>
      <w:r w:rsidRPr="00235D5D">
        <w:t>Scofield belongs within a succession of writers who refer to the millennial kingdom as Messianic.  Darby makes at least one reference to the ‘Messianic economy’: ‘Christ's government, then, or his headship over creation, is the grand characteristic feature which marks the dispensation of the ful</w:t>
      </w:r>
      <w:r>
        <w:t>l</w:t>
      </w:r>
      <w:r w:rsidRPr="00235D5D">
        <w:t>ness of times or, it may be termed, the Messianic economy.’</w:t>
      </w:r>
      <w:r w:rsidRPr="00235D5D">
        <w:rPr>
          <w:rStyle w:val="EndnoteReference"/>
        </w:rPr>
        <w:endnoteReference w:id="2226"/>
      </w:r>
      <w:r w:rsidRPr="00235D5D">
        <w:t xml:space="preserve">  Chafer refers to ‘Christ’s Messianic kingdom on the earth’.</w:t>
      </w:r>
      <w:r w:rsidRPr="00235D5D">
        <w:rPr>
          <w:rStyle w:val="EndnoteReference"/>
        </w:rPr>
        <w:endnoteReference w:id="2227"/>
      </w:r>
      <w:r w:rsidRPr="00235D5D">
        <w:t xml:space="preserve">  Ryrie refers </w:t>
      </w:r>
      <w:r>
        <w:t>several</w:t>
      </w:r>
      <w:r w:rsidRPr="00235D5D">
        <w:t xml:space="preserve"> times to the Messianic kingdom in </w:t>
      </w:r>
      <w:r w:rsidRPr="00235D5D">
        <w:rPr>
          <w:i/>
        </w:rPr>
        <w:t>Dispensationalism Today</w:t>
      </w:r>
      <w:r w:rsidRPr="00235D5D">
        <w:t>.</w:t>
      </w:r>
      <w:r w:rsidRPr="00235D5D">
        <w:rPr>
          <w:rStyle w:val="EndnoteReference"/>
        </w:rPr>
        <w:endnoteReference w:id="2228"/>
      </w:r>
      <w:r w:rsidRPr="00235D5D">
        <w:t xml:space="preserve">  Saucy refers to ‘the messianic kingdom’,</w:t>
      </w:r>
      <w:r w:rsidRPr="00235D5D">
        <w:rPr>
          <w:rStyle w:val="EndnoteReference"/>
        </w:rPr>
        <w:endnoteReference w:id="2229"/>
      </w:r>
      <w:r w:rsidRPr="00235D5D">
        <w:t xml:space="preserve"> ‘the messianic reign of Christ’,</w:t>
      </w:r>
      <w:r w:rsidRPr="00235D5D">
        <w:rPr>
          <w:rStyle w:val="EndnoteReference"/>
        </w:rPr>
        <w:endnoteReference w:id="2230"/>
      </w:r>
      <w:r w:rsidRPr="00235D5D">
        <w:t xml:space="preserve"> ‘messianic kingdom promises’,</w:t>
      </w:r>
      <w:r w:rsidRPr="00235D5D">
        <w:rPr>
          <w:rStyle w:val="EndnoteReference"/>
        </w:rPr>
        <w:endnoteReference w:id="2231"/>
      </w:r>
      <w:r w:rsidRPr="00235D5D">
        <w:t xml:space="preserve"> and ‘the mediatorial messianic kingdom’.</w:t>
      </w:r>
      <w:r w:rsidRPr="00235D5D">
        <w:rPr>
          <w:rStyle w:val="EndnoteReference"/>
        </w:rPr>
        <w:endnoteReference w:id="2232"/>
      </w:r>
      <w:r w:rsidRPr="00235D5D">
        <w:t xml:space="preserve">  Blaising, too refers to ‘the mediatorial messianic kingdom’,</w:t>
      </w:r>
      <w:r w:rsidRPr="00235D5D">
        <w:rPr>
          <w:rStyle w:val="EndnoteReference"/>
        </w:rPr>
        <w:endnoteReference w:id="2233"/>
      </w:r>
      <w:r w:rsidRPr="00235D5D">
        <w:t xml:space="preserve"> and Blaising and Bock to ‘the messianic reign of Christ’.</w:t>
      </w:r>
      <w:r w:rsidRPr="00235D5D">
        <w:rPr>
          <w:rStyle w:val="EndnoteReference"/>
        </w:rPr>
        <w:endnoteReference w:id="2234"/>
      </w:r>
    </w:p>
    <w:p w:rsidR="006A2E06" w:rsidRDefault="006A2E06" w:rsidP="006A2E06">
      <w:pPr>
        <w:spacing w:after="120" w:line="360" w:lineRule="auto"/>
        <w:ind w:firstLine="567"/>
        <w:jc w:val="both"/>
      </w:pPr>
      <w:r>
        <w:t xml:space="preserve">Scofield makes several references to the Messianic nature of the kingdom in Old and New Testament commentary.  </w:t>
      </w:r>
    </w:p>
    <w:p w:rsidR="005E1DF3" w:rsidRPr="005E1DF3" w:rsidRDefault="005E1DF3" w:rsidP="005E1DF3">
      <w:pPr>
        <w:spacing w:after="120" w:line="360" w:lineRule="auto"/>
        <w:jc w:val="both"/>
        <w:rPr>
          <w:b/>
          <w:i/>
        </w:rPr>
      </w:pPr>
      <w:r w:rsidRPr="005E1DF3">
        <w:rPr>
          <w:b/>
          <w:i/>
        </w:rPr>
        <w:t>Continued overleaf</w:t>
      </w:r>
    </w:p>
    <w:p w:rsidR="006A2E06" w:rsidRDefault="006A2E06" w:rsidP="006A2E06">
      <w:pPr>
        <w:spacing w:after="120" w:line="360" w:lineRule="auto"/>
        <w:ind w:firstLine="567"/>
        <w:jc w:val="both"/>
      </w:pPr>
      <w:r>
        <w:rPr>
          <w:noProof/>
          <w:lang w:eastAsia="en-GB"/>
        </w:rPr>
        <w:lastRenderedPageBreak/>
        <w:drawing>
          <wp:inline distT="0" distB="0" distL="0" distR="0" wp14:anchorId="7F09F00F" wp14:editId="3B4B7559">
            <wp:extent cx="5400040" cy="4734560"/>
            <wp:effectExtent l="0" t="0" r="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anic Kdom Refs 22.3.18_Page_1 OT crop.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00040" cy="4734560"/>
                    </a:xfrm>
                    <a:prstGeom prst="rect">
                      <a:avLst/>
                    </a:prstGeom>
                  </pic:spPr>
                </pic:pic>
              </a:graphicData>
            </a:graphic>
          </wp:inline>
        </w:drawing>
      </w:r>
    </w:p>
    <w:p w:rsidR="006A2E06" w:rsidRDefault="006A2E06" w:rsidP="00D73C79">
      <w:pPr>
        <w:spacing w:after="120" w:line="360" w:lineRule="auto"/>
        <w:jc w:val="both"/>
      </w:pPr>
      <w:r>
        <w:t>Contrary to Scofield’s claim that B</w:t>
      </w:r>
      <w:r w:rsidRPr="00E30026">
        <w:t>alaam prophesied ‘the Messianic kingdom’</w:t>
      </w:r>
      <w:r>
        <w:t>,</w:t>
      </w:r>
      <w:r w:rsidRPr="00E30026">
        <w:rPr>
          <w:rStyle w:val="EndnoteReference"/>
        </w:rPr>
        <w:endnoteReference w:id="2235"/>
      </w:r>
      <w:r>
        <w:t xml:space="preserve"> </w:t>
      </w:r>
      <w:r w:rsidRPr="00E30026">
        <w:t>Fitzmyer comments that Balaam’s vision refers to a future Israelite victory over Moab and Edom and that ‘there is neither mention nor hint of a Messiah in this text’.</w:t>
      </w:r>
      <w:r w:rsidRPr="00E30026">
        <w:rPr>
          <w:rStyle w:val="EndnoteReference"/>
        </w:rPr>
        <w:endnoteReference w:id="2236"/>
      </w:r>
      <w:r w:rsidRPr="00E30026">
        <w:t xml:space="preserve">  Fitzmyer </w:t>
      </w:r>
      <w:r>
        <w:t>identifies</w:t>
      </w:r>
      <w:r w:rsidRPr="00E30026">
        <w:t xml:space="preserve"> some of the</w:t>
      </w:r>
      <w:r>
        <w:t xml:space="preserve"> Psalms which Scofield calls ‘Messianic’</w:t>
      </w:r>
      <w:r w:rsidRPr="00E30026">
        <w:rPr>
          <w:rStyle w:val="EndnoteReference"/>
        </w:rPr>
        <w:endnoteReference w:id="2237"/>
      </w:r>
      <w:r>
        <w:t xml:space="preserve"> as </w:t>
      </w:r>
      <w:r w:rsidRPr="00E30026">
        <w:t>‘royal psalms’.</w:t>
      </w:r>
      <w:r>
        <w:rPr>
          <w:rStyle w:val="EndnoteReference"/>
        </w:rPr>
        <w:endnoteReference w:id="2238"/>
      </w:r>
      <w:r w:rsidRPr="00E30026">
        <w:t xml:space="preserve">  </w:t>
      </w:r>
    </w:p>
    <w:p w:rsidR="006A2E06" w:rsidRPr="00E30026" w:rsidRDefault="006A2E06" w:rsidP="006A2E06">
      <w:pPr>
        <w:spacing w:after="120" w:line="360" w:lineRule="auto"/>
        <w:ind w:firstLine="567"/>
        <w:jc w:val="both"/>
      </w:pPr>
      <w:r w:rsidRPr="005144CC">
        <w:t>In no verse to which Scofield attributes Messianic signi</w:t>
      </w:r>
      <w:r>
        <w:t>ficance, does the word</w:t>
      </w:r>
      <w:r w:rsidRPr="005144CC">
        <w:rPr>
          <w:rFonts w:ascii="Times New Roman" w:hAnsi="Times New Roman"/>
        </w:rPr>
        <w:t xml:space="preserve"> </w:t>
      </w:r>
      <w:r w:rsidRPr="00B30722">
        <w:rPr>
          <w:rFonts w:ascii="Bwhebb" w:hAnsi="Bwhebb" w:cs="Bwhebb"/>
          <w:sz w:val="36"/>
          <w:szCs w:val="36"/>
          <w:lang w:val="en-US" w:bidi="he-IL"/>
        </w:rPr>
        <w:t>x</w:t>
      </w:r>
      <w:proofErr w:type="gramStart"/>
      <w:r w:rsidRPr="00B30722">
        <w:rPr>
          <w:rFonts w:ascii="Bwhebb" w:hAnsi="Bwhebb" w:cs="Bwhebb"/>
          <w:sz w:val="36"/>
          <w:szCs w:val="36"/>
          <w:lang w:val="en-US" w:bidi="he-IL"/>
        </w:rPr>
        <w:t>;yvim</w:t>
      </w:r>
      <w:proofErr w:type="gramEnd"/>
      <w:r w:rsidRPr="005144CC">
        <w:t xml:space="preserve">, appear in the Hebrew Bible, though the </w:t>
      </w:r>
      <w:r w:rsidRPr="009F2F22">
        <w:rPr>
          <w:i/>
        </w:rPr>
        <w:t>SRB</w:t>
      </w:r>
      <w:r>
        <w:t xml:space="preserve"> </w:t>
      </w:r>
      <w:r w:rsidRPr="005144CC">
        <w:t>Introduction to Daniel</w:t>
      </w:r>
      <w:r w:rsidRPr="005144CC">
        <w:rPr>
          <w:rStyle w:val="EndnoteReference"/>
        </w:rPr>
        <w:endnoteReference w:id="2239"/>
      </w:r>
      <w:r w:rsidRPr="005144CC">
        <w:t xml:space="preserve"> may indirectly refer to Dan. 9:25-26, which contains the only two uses of the word ‘Messiah’ in </w:t>
      </w:r>
      <w:r w:rsidRPr="005144CC">
        <w:rPr>
          <w:i/>
        </w:rPr>
        <w:t>KJV</w:t>
      </w:r>
      <w:r w:rsidRPr="005144CC">
        <w:t>.</w:t>
      </w:r>
      <w:r>
        <w:rPr>
          <w:rStyle w:val="EndnoteReference"/>
        </w:rPr>
        <w:endnoteReference w:id="2240"/>
      </w:r>
      <w:r w:rsidRPr="005144CC">
        <w:t xml:space="preserve">  There are also only two references to</w:t>
      </w:r>
      <w:r w:rsidRPr="005144CC">
        <w:rPr>
          <w:sz w:val="28"/>
          <w:szCs w:val="24"/>
        </w:rPr>
        <w:t xml:space="preserve"> </w:t>
      </w:r>
      <w:r w:rsidRPr="005144CC">
        <w:t>‘Messias’ in</w:t>
      </w:r>
      <w:r w:rsidRPr="005144CC">
        <w:rPr>
          <w:sz w:val="28"/>
          <w:szCs w:val="24"/>
        </w:rPr>
        <w:t xml:space="preserve"> </w:t>
      </w:r>
      <w:r w:rsidRPr="005144CC">
        <w:rPr>
          <w:i/>
        </w:rPr>
        <w:t>KJV</w:t>
      </w:r>
      <w:r w:rsidRPr="005144CC">
        <w:t>.</w:t>
      </w:r>
      <w:r>
        <w:rPr>
          <w:rStyle w:val="EndnoteReference"/>
        </w:rPr>
        <w:endnoteReference w:id="2241"/>
      </w:r>
      <w:r>
        <w:t xml:space="preserve">  The word</w:t>
      </w:r>
      <w:r w:rsidRPr="005144CC">
        <w:t xml:space="preserve"> </w:t>
      </w:r>
      <w:r>
        <w:t>‘</w:t>
      </w:r>
      <w:r w:rsidRPr="005144CC">
        <w:t>Messianic</w:t>
      </w:r>
      <w:r>
        <w:t>’</w:t>
      </w:r>
      <w:r w:rsidRPr="005144CC">
        <w:t xml:space="preserve"> does not occur in </w:t>
      </w:r>
      <w:r w:rsidRPr="005144CC">
        <w:rPr>
          <w:i/>
        </w:rPr>
        <w:t>KJV</w:t>
      </w:r>
      <w:r w:rsidRPr="005144CC">
        <w:t xml:space="preserve">.  There are thirty-seven verses in the Hebrew Bible where </w:t>
      </w:r>
      <w:r w:rsidRPr="00B30722">
        <w:rPr>
          <w:rFonts w:ascii="Bwhebb" w:hAnsi="Bwhebb" w:cs="Bwhebb"/>
          <w:sz w:val="36"/>
          <w:szCs w:val="36"/>
          <w:lang w:val="en-US" w:bidi="he-IL"/>
        </w:rPr>
        <w:t>x</w:t>
      </w:r>
      <w:proofErr w:type="gramStart"/>
      <w:r w:rsidRPr="00B30722">
        <w:rPr>
          <w:rFonts w:ascii="Bwhebb" w:hAnsi="Bwhebb" w:cs="Bwhebb"/>
          <w:sz w:val="36"/>
          <w:szCs w:val="36"/>
          <w:lang w:val="en-US" w:bidi="he-IL"/>
        </w:rPr>
        <w:t>;yvim'</w:t>
      </w:r>
      <w:proofErr w:type="gramEnd"/>
      <w:r w:rsidRPr="00E30026">
        <w:rPr>
          <w:szCs w:val="24"/>
        </w:rPr>
        <w:t xml:space="preserve"> </w:t>
      </w:r>
      <w:r w:rsidRPr="00E30026">
        <w:t>is used as an adjective.</w:t>
      </w:r>
      <w:r w:rsidRPr="00E30026">
        <w:rPr>
          <w:rStyle w:val="EndnoteReference"/>
        </w:rPr>
        <w:endnoteReference w:id="2242"/>
      </w:r>
      <w:r w:rsidRPr="00E30026">
        <w:t xml:space="preserve">  References may be to anointed priests, Saul, David, Cyrus, ‘our life-breath’ and God’s people.  </w:t>
      </w:r>
    </w:p>
    <w:p w:rsidR="006A2E06" w:rsidRPr="00E30026" w:rsidRDefault="006A2E06" w:rsidP="006A2E06">
      <w:pPr>
        <w:spacing w:after="120" w:line="360" w:lineRule="auto"/>
        <w:ind w:firstLine="567"/>
        <w:jc w:val="both"/>
      </w:pPr>
      <w:r w:rsidRPr="000122EF">
        <w:t>Fitzmyer states</w:t>
      </w:r>
      <w:r w:rsidRPr="00E30026">
        <w:t xml:space="preserve"> that ‘one cannot foist a later Christian meaning on a passage that was supposed to have a distinctive religious sense in guiding the Jewish people of old’.</w:t>
      </w:r>
      <w:r w:rsidRPr="00E30026">
        <w:rPr>
          <w:rStyle w:val="EndnoteReference"/>
        </w:rPr>
        <w:endnoteReference w:id="2243"/>
      </w:r>
      <w:r w:rsidRPr="00E30026">
        <w:t xml:space="preserve">  ‘The idea of</w:t>
      </w:r>
      <w:r w:rsidRPr="00E30026">
        <w:rPr>
          <w:sz w:val="28"/>
          <w:szCs w:val="24"/>
        </w:rPr>
        <w:t xml:space="preserve"> </w:t>
      </w:r>
      <w:r w:rsidRPr="00B30722">
        <w:rPr>
          <w:rFonts w:ascii="Bwhebb" w:hAnsi="Bwhebb" w:cs="Bwhebb"/>
          <w:sz w:val="36"/>
          <w:szCs w:val="36"/>
          <w:lang w:val="en-US" w:bidi="he-IL"/>
        </w:rPr>
        <w:t>x;yvim</w:t>
      </w:r>
      <w:r w:rsidRPr="00E30026">
        <w:rPr>
          <w:szCs w:val="24"/>
        </w:rPr>
        <w:t xml:space="preserve"> </w:t>
      </w:r>
      <w:r w:rsidRPr="00E30026">
        <w:t xml:space="preserve">as an awaited or future anointed agent of God in the end time developed only gradually in Old Testament times’; </w:t>
      </w:r>
      <w:r w:rsidRPr="00E30026">
        <w:lastRenderedPageBreak/>
        <w:t>‘</w:t>
      </w:r>
      <w:r>
        <w:t>“</w:t>
      </w:r>
      <w:r w:rsidRPr="00E30026">
        <w:t>Messiah” as such is a relatively late development’.</w:t>
      </w:r>
      <w:r w:rsidRPr="00E30026">
        <w:rPr>
          <w:rStyle w:val="EndnoteReference"/>
        </w:rPr>
        <w:endnoteReference w:id="2244"/>
      </w:r>
      <w:r w:rsidRPr="00E30026">
        <w:t xml:space="preserve">  Fitzmyer attributes this to the second quarter of C2 BCE.</w:t>
      </w:r>
      <w:r>
        <w:rPr>
          <w:rStyle w:val="EndnoteReference"/>
        </w:rPr>
        <w:endnoteReference w:id="2245"/>
      </w:r>
      <w:r>
        <w:t xml:space="preserve">  </w:t>
      </w:r>
    </w:p>
    <w:p w:rsidR="006A2E06" w:rsidRDefault="006A2E06" w:rsidP="006A2E06">
      <w:pPr>
        <w:spacing w:line="349" w:lineRule="auto"/>
        <w:ind w:left="119" w:right="116" w:firstLine="448"/>
        <w:jc w:val="both"/>
        <w:rPr>
          <w:rFonts w:eastAsia="Perpetua" w:cs="Perpetua"/>
          <w:sz w:val="13"/>
          <w:szCs w:val="13"/>
        </w:rPr>
      </w:pPr>
      <w:r>
        <w:rPr>
          <w:rFonts w:eastAsia="Perpetua" w:cs="Perpetua"/>
        </w:rPr>
        <w:t>Fitzmyer</w:t>
      </w:r>
      <w:r>
        <w:rPr>
          <w:rFonts w:eastAsia="Perpetua" w:cs="Perpetua"/>
          <w:spacing w:val="43"/>
        </w:rPr>
        <w:t xml:space="preserve"> </w:t>
      </w:r>
      <w:r>
        <w:rPr>
          <w:rFonts w:eastAsia="Perpetua" w:cs="Perpetua"/>
        </w:rPr>
        <w:t>classifies</w:t>
      </w:r>
      <w:r>
        <w:rPr>
          <w:rFonts w:eastAsia="Perpetua" w:cs="Perpetua"/>
          <w:spacing w:val="42"/>
        </w:rPr>
        <w:t xml:space="preserve"> </w:t>
      </w:r>
      <w:r>
        <w:rPr>
          <w:rFonts w:eastAsia="Perpetua" w:cs="Perpetua"/>
          <w:spacing w:val="-1"/>
        </w:rPr>
        <w:t>most</w:t>
      </w:r>
      <w:r>
        <w:rPr>
          <w:rFonts w:eastAsia="Perpetua" w:cs="Perpetua"/>
          <w:spacing w:val="42"/>
        </w:rPr>
        <w:t xml:space="preserve"> </w:t>
      </w:r>
      <w:r>
        <w:rPr>
          <w:rFonts w:eastAsia="Perpetua" w:cs="Perpetua"/>
          <w:spacing w:val="-1"/>
        </w:rPr>
        <w:t>occurrences</w:t>
      </w:r>
      <w:r>
        <w:rPr>
          <w:rFonts w:eastAsia="Perpetua" w:cs="Perpetua"/>
          <w:spacing w:val="43"/>
        </w:rPr>
        <w:t xml:space="preserve"> </w:t>
      </w:r>
      <w:r>
        <w:rPr>
          <w:rFonts w:eastAsia="Perpetua" w:cs="Perpetua"/>
        </w:rPr>
        <w:t>of</w:t>
      </w:r>
      <w:r>
        <w:rPr>
          <w:rFonts w:eastAsia="Perpetua" w:cs="Perpetua"/>
          <w:spacing w:val="11"/>
        </w:rPr>
        <w:t xml:space="preserve"> </w:t>
      </w:r>
      <w:r>
        <w:rPr>
          <w:rFonts w:ascii="Bwhebb" w:eastAsia="Bwhebb" w:hAnsi="Bwhebb" w:cs="Bwhebb"/>
          <w:sz w:val="40"/>
          <w:szCs w:val="40"/>
        </w:rPr>
        <w:t>x</w:t>
      </w:r>
      <w:proofErr w:type="gramStart"/>
      <w:r>
        <w:rPr>
          <w:rFonts w:ascii="Bwhebb" w:eastAsia="Bwhebb" w:hAnsi="Bwhebb" w:cs="Bwhebb"/>
          <w:sz w:val="40"/>
          <w:szCs w:val="40"/>
        </w:rPr>
        <w:t>;yvim</w:t>
      </w:r>
      <w:proofErr w:type="gramEnd"/>
      <w:r w:rsidRPr="009F2F22">
        <w:rPr>
          <w:rStyle w:val="EndnoteReference"/>
          <w:rFonts w:eastAsia="Bwhebb" w:cs="Bwhebb"/>
          <w:szCs w:val="40"/>
        </w:rPr>
        <w:endnoteReference w:id="2246"/>
      </w:r>
      <w:r>
        <w:rPr>
          <w:rFonts w:eastAsia="Humnst777 Lt BT" w:cs="Humnst777 Lt BT"/>
          <w:spacing w:val="14"/>
          <w:position w:val="10"/>
          <w:sz w:val="14"/>
          <w:szCs w:val="14"/>
        </w:rPr>
        <w:t xml:space="preserve"> </w:t>
      </w:r>
      <w:r>
        <w:rPr>
          <w:rFonts w:eastAsia="Perpetua" w:cs="Perpetua"/>
        </w:rPr>
        <w:t>as</w:t>
      </w:r>
      <w:r>
        <w:rPr>
          <w:rFonts w:eastAsia="Perpetua" w:cs="Perpetua"/>
          <w:spacing w:val="42"/>
        </w:rPr>
        <w:t xml:space="preserve"> </w:t>
      </w:r>
      <w:r>
        <w:rPr>
          <w:rFonts w:eastAsia="Perpetua" w:cs="Perpetua"/>
        </w:rPr>
        <w:t>pertaining</w:t>
      </w:r>
      <w:r>
        <w:rPr>
          <w:rFonts w:eastAsia="Perpetua" w:cs="Perpetua"/>
          <w:spacing w:val="43"/>
        </w:rPr>
        <w:t xml:space="preserve"> </w:t>
      </w:r>
      <w:r>
        <w:rPr>
          <w:rFonts w:eastAsia="Perpetua" w:cs="Perpetua"/>
        </w:rPr>
        <w:t>to</w:t>
      </w:r>
      <w:r>
        <w:rPr>
          <w:rFonts w:eastAsia="Perpetua" w:cs="Perpetua"/>
          <w:spacing w:val="42"/>
        </w:rPr>
        <w:t xml:space="preserve"> </w:t>
      </w:r>
      <w:r>
        <w:rPr>
          <w:rFonts w:eastAsia="Perpetua" w:cs="Perpetua"/>
        </w:rPr>
        <w:t>reigning</w:t>
      </w:r>
      <w:r>
        <w:rPr>
          <w:rFonts w:eastAsia="Perpetua" w:cs="Perpetua"/>
          <w:spacing w:val="44"/>
        </w:rPr>
        <w:t xml:space="preserve"> </w:t>
      </w:r>
      <w:r>
        <w:rPr>
          <w:rFonts w:eastAsia="Perpetua" w:cs="Perpetua"/>
        </w:rPr>
        <w:t>kings,</w:t>
      </w:r>
      <w:r>
        <w:rPr>
          <w:rStyle w:val="EndnoteReference"/>
          <w:rFonts w:eastAsia="Perpetua" w:cs="Perpetua"/>
        </w:rPr>
        <w:endnoteReference w:id="2247"/>
      </w:r>
      <w:r>
        <w:rPr>
          <w:rFonts w:eastAsia="Perpetua" w:cs="Perpetua"/>
        </w:rPr>
        <w:t xml:space="preserve"> priests</w:t>
      </w:r>
      <w:r>
        <w:rPr>
          <w:rStyle w:val="EndnoteReference"/>
          <w:rFonts w:eastAsia="Perpetua" w:cs="Perpetua"/>
        </w:rPr>
        <w:endnoteReference w:id="2248"/>
      </w:r>
      <w:r>
        <w:rPr>
          <w:rFonts w:eastAsia="Perpetua" w:cs="Perpetua"/>
        </w:rPr>
        <w:t xml:space="preserve"> and</w:t>
      </w:r>
      <w:r>
        <w:rPr>
          <w:rFonts w:eastAsia="Perpetua" w:cs="Perpetua"/>
          <w:spacing w:val="42"/>
        </w:rPr>
        <w:t xml:space="preserve"> </w:t>
      </w:r>
      <w:r>
        <w:rPr>
          <w:rFonts w:eastAsia="Perpetua" w:cs="Perpetua"/>
        </w:rPr>
        <w:t>prophets</w:t>
      </w:r>
      <w:r>
        <w:rPr>
          <w:rFonts w:eastAsia="Perpetua" w:cs="Perpetua"/>
          <w:spacing w:val="43"/>
        </w:rPr>
        <w:t xml:space="preserve"> </w:t>
      </w:r>
      <w:r>
        <w:rPr>
          <w:rFonts w:eastAsia="Perpetua" w:cs="Perpetua"/>
        </w:rPr>
        <w:t>or</w:t>
      </w:r>
      <w:r>
        <w:rPr>
          <w:rFonts w:eastAsia="Perpetua" w:cs="Perpetua"/>
          <w:spacing w:val="21"/>
          <w:w w:val="99"/>
        </w:rPr>
        <w:t xml:space="preserve"> </w:t>
      </w:r>
      <w:r>
        <w:rPr>
          <w:rFonts w:eastAsia="Perpetua" w:cs="Perpetua"/>
        </w:rPr>
        <w:t>patriarchs.</w:t>
      </w:r>
      <w:r>
        <w:rPr>
          <w:rStyle w:val="EndnoteReference"/>
          <w:rFonts w:eastAsia="Perpetua" w:cs="Perpetua"/>
        </w:rPr>
        <w:endnoteReference w:id="2249"/>
      </w:r>
      <w:r>
        <w:rPr>
          <w:rFonts w:eastAsia="Perpetua" w:cs="Perpetua"/>
        </w:rPr>
        <w:t xml:space="preserve">  </w:t>
      </w:r>
      <w:r>
        <w:rPr>
          <w:rFonts w:eastAsia="Perpetua" w:cs="Perpetua"/>
          <w:spacing w:val="10"/>
          <w:position w:val="9"/>
          <w:sz w:val="13"/>
          <w:szCs w:val="13"/>
        </w:rPr>
        <w:t xml:space="preserve"> </w:t>
      </w:r>
      <w:r>
        <w:rPr>
          <w:rFonts w:eastAsia="Perpetua" w:cs="Perpetua"/>
        </w:rPr>
        <w:t>He</w:t>
      </w:r>
      <w:r>
        <w:rPr>
          <w:rFonts w:eastAsia="Perpetua" w:cs="Perpetua"/>
          <w:spacing w:val="16"/>
        </w:rPr>
        <w:t xml:space="preserve"> </w:t>
      </w:r>
      <w:r>
        <w:rPr>
          <w:rFonts w:eastAsia="Perpetua" w:cs="Perpetua"/>
          <w:spacing w:val="-1"/>
        </w:rPr>
        <w:t>emphasises</w:t>
      </w:r>
      <w:r>
        <w:rPr>
          <w:rFonts w:eastAsia="Perpetua" w:cs="Perpetua"/>
          <w:spacing w:val="15"/>
        </w:rPr>
        <w:t xml:space="preserve"> </w:t>
      </w:r>
      <w:r>
        <w:rPr>
          <w:rFonts w:eastAsia="Perpetua" w:cs="Perpetua"/>
        </w:rPr>
        <w:t>the</w:t>
      </w:r>
      <w:r>
        <w:rPr>
          <w:rFonts w:eastAsia="Perpetua" w:cs="Perpetua"/>
          <w:spacing w:val="15"/>
        </w:rPr>
        <w:t xml:space="preserve"> </w:t>
      </w:r>
      <w:r>
        <w:rPr>
          <w:rFonts w:eastAsia="Perpetua" w:cs="Perpetua"/>
          <w:spacing w:val="-1"/>
        </w:rPr>
        <w:t>importance</w:t>
      </w:r>
      <w:r>
        <w:rPr>
          <w:rFonts w:eastAsia="Perpetua" w:cs="Perpetua"/>
          <w:spacing w:val="17"/>
        </w:rPr>
        <w:t xml:space="preserve"> </w:t>
      </w:r>
      <w:r>
        <w:rPr>
          <w:rFonts w:eastAsia="Perpetua" w:cs="Perpetua"/>
        </w:rPr>
        <w:t>of</w:t>
      </w:r>
      <w:r>
        <w:rPr>
          <w:rFonts w:eastAsia="Perpetua" w:cs="Perpetua"/>
          <w:spacing w:val="14"/>
        </w:rPr>
        <w:t xml:space="preserve"> </w:t>
      </w:r>
      <w:r>
        <w:rPr>
          <w:rFonts w:eastAsia="Perpetua" w:cs="Perpetua"/>
        </w:rPr>
        <w:t>distinguishing</w:t>
      </w:r>
      <w:r>
        <w:rPr>
          <w:rFonts w:eastAsia="Perpetua" w:cs="Perpetua"/>
          <w:spacing w:val="14"/>
        </w:rPr>
        <w:t xml:space="preserve"> </w:t>
      </w:r>
      <w:r>
        <w:rPr>
          <w:rFonts w:eastAsia="Perpetua" w:cs="Perpetua"/>
        </w:rPr>
        <w:t>between</w:t>
      </w:r>
      <w:r>
        <w:rPr>
          <w:rFonts w:eastAsia="Perpetua" w:cs="Perpetua"/>
          <w:spacing w:val="14"/>
        </w:rPr>
        <w:t xml:space="preserve"> </w:t>
      </w:r>
      <w:r>
        <w:rPr>
          <w:rFonts w:eastAsia="Perpetua" w:cs="Perpetua"/>
        </w:rPr>
        <w:t>pre-exilic</w:t>
      </w:r>
      <w:r>
        <w:rPr>
          <w:rFonts w:eastAsia="Perpetua" w:cs="Perpetua"/>
          <w:spacing w:val="15"/>
        </w:rPr>
        <w:t xml:space="preserve"> </w:t>
      </w:r>
      <w:r>
        <w:rPr>
          <w:rFonts w:eastAsia="Perpetua" w:cs="Perpetua"/>
        </w:rPr>
        <w:t>monarchic</w:t>
      </w:r>
      <w:r>
        <w:rPr>
          <w:rFonts w:eastAsia="Perpetua" w:cs="Perpetua"/>
          <w:spacing w:val="17"/>
        </w:rPr>
        <w:t xml:space="preserve"> </w:t>
      </w:r>
      <w:r>
        <w:rPr>
          <w:rFonts w:eastAsia="Perpetua" w:cs="Perpetua"/>
        </w:rPr>
        <w:t>times</w:t>
      </w:r>
      <w:r>
        <w:rPr>
          <w:rFonts w:eastAsia="Perpetua" w:cs="Perpetua"/>
          <w:spacing w:val="14"/>
        </w:rPr>
        <w:t xml:space="preserve"> </w:t>
      </w:r>
      <w:r>
        <w:rPr>
          <w:rFonts w:eastAsia="Perpetua" w:cs="Perpetua"/>
        </w:rPr>
        <w:t>and</w:t>
      </w:r>
      <w:r>
        <w:rPr>
          <w:rFonts w:eastAsia="Perpetua" w:cs="Perpetua"/>
          <w:spacing w:val="15"/>
        </w:rPr>
        <w:t xml:space="preserve"> </w:t>
      </w:r>
      <w:r>
        <w:rPr>
          <w:rFonts w:eastAsia="Perpetua" w:cs="Perpetua"/>
        </w:rPr>
        <w:t>the</w:t>
      </w:r>
      <w:r>
        <w:rPr>
          <w:rFonts w:eastAsia="Perpetua" w:cs="Perpetua"/>
          <w:spacing w:val="15"/>
        </w:rPr>
        <w:t xml:space="preserve"> </w:t>
      </w:r>
      <w:r>
        <w:rPr>
          <w:rFonts w:eastAsia="Perpetua" w:cs="Perpetua"/>
        </w:rPr>
        <w:t>post-exilic</w:t>
      </w:r>
      <w:r>
        <w:rPr>
          <w:rFonts w:eastAsia="Perpetua" w:cs="Perpetua"/>
          <w:spacing w:val="6"/>
        </w:rPr>
        <w:t xml:space="preserve"> </w:t>
      </w:r>
      <w:r>
        <w:rPr>
          <w:rFonts w:eastAsia="Perpetua" w:cs="Perpetua"/>
        </w:rPr>
        <w:t>era</w:t>
      </w:r>
      <w:r>
        <w:rPr>
          <w:rFonts w:eastAsia="Perpetua" w:cs="Perpetua"/>
          <w:spacing w:val="6"/>
        </w:rPr>
        <w:t xml:space="preserve"> </w:t>
      </w:r>
      <w:r>
        <w:rPr>
          <w:rFonts w:eastAsia="Perpetua" w:cs="Perpetua"/>
        </w:rPr>
        <w:t>when</w:t>
      </w:r>
      <w:r>
        <w:rPr>
          <w:rFonts w:eastAsia="Perpetua" w:cs="Perpetua"/>
          <w:spacing w:val="9"/>
        </w:rPr>
        <w:t xml:space="preserve"> </w:t>
      </w:r>
      <w:r>
        <w:rPr>
          <w:rFonts w:eastAsia="Perpetua" w:cs="Perpetua"/>
        </w:rPr>
        <w:t>Judah</w:t>
      </w:r>
      <w:r>
        <w:rPr>
          <w:rFonts w:eastAsia="Perpetua" w:cs="Perpetua"/>
          <w:spacing w:val="6"/>
        </w:rPr>
        <w:t xml:space="preserve"> </w:t>
      </w:r>
      <w:r>
        <w:rPr>
          <w:rFonts w:eastAsia="Perpetua" w:cs="Perpetua"/>
        </w:rPr>
        <w:t>became</w:t>
      </w:r>
      <w:r>
        <w:rPr>
          <w:rFonts w:eastAsia="Perpetua" w:cs="Perpetua"/>
          <w:spacing w:val="6"/>
        </w:rPr>
        <w:t xml:space="preserve"> </w:t>
      </w:r>
      <w:r>
        <w:rPr>
          <w:rFonts w:eastAsia="Perpetua" w:cs="Perpetua"/>
        </w:rPr>
        <w:t>a</w:t>
      </w:r>
      <w:r>
        <w:rPr>
          <w:rFonts w:eastAsia="Perpetua" w:cs="Perpetua"/>
          <w:spacing w:val="7"/>
        </w:rPr>
        <w:t xml:space="preserve"> </w:t>
      </w:r>
      <w:r>
        <w:rPr>
          <w:rFonts w:eastAsia="Perpetua" w:cs="Perpetua"/>
        </w:rPr>
        <w:t>province</w:t>
      </w:r>
      <w:r>
        <w:rPr>
          <w:rFonts w:eastAsia="Perpetua" w:cs="Perpetua"/>
          <w:spacing w:val="6"/>
        </w:rPr>
        <w:t xml:space="preserve"> </w:t>
      </w:r>
      <w:r>
        <w:rPr>
          <w:rFonts w:eastAsia="Perpetua" w:cs="Perpetua"/>
        </w:rPr>
        <w:t>and</w:t>
      </w:r>
      <w:r>
        <w:rPr>
          <w:rFonts w:eastAsia="Perpetua" w:cs="Perpetua"/>
          <w:spacing w:val="7"/>
        </w:rPr>
        <w:t xml:space="preserve"> </w:t>
      </w:r>
      <w:r>
        <w:rPr>
          <w:rFonts w:eastAsia="Perpetua" w:cs="Perpetua"/>
        </w:rPr>
        <w:t>hope</w:t>
      </w:r>
      <w:r>
        <w:rPr>
          <w:rFonts w:eastAsia="Perpetua" w:cs="Perpetua"/>
          <w:spacing w:val="6"/>
        </w:rPr>
        <w:t xml:space="preserve"> </w:t>
      </w:r>
      <w:r>
        <w:rPr>
          <w:rFonts w:eastAsia="Perpetua" w:cs="Perpetua"/>
        </w:rPr>
        <w:t>for</w:t>
      </w:r>
      <w:r>
        <w:rPr>
          <w:rFonts w:eastAsia="Perpetua" w:cs="Perpetua"/>
          <w:spacing w:val="6"/>
        </w:rPr>
        <w:t xml:space="preserve"> </w:t>
      </w:r>
      <w:r>
        <w:rPr>
          <w:rFonts w:eastAsia="Perpetua" w:cs="Perpetua"/>
          <w:spacing w:val="-1"/>
        </w:rPr>
        <w:t>restoration</w:t>
      </w:r>
      <w:r>
        <w:rPr>
          <w:rFonts w:eastAsia="Perpetua" w:cs="Perpetua"/>
          <w:spacing w:val="7"/>
        </w:rPr>
        <w:t xml:space="preserve"> </w:t>
      </w:r>
      <w:r>
        <w:rPr>
          <w:rFonts w:eastAsia="Perpetua" w:cs="Perpetua"/>
        </w:rPr>
        <w:t>grew.</w:t>
      </w:r>
      <w:r>
        <w:rPr>
          <w:rFonts w:eastAsia="Perpetua" w:cs="Perpetua"/>
          <w:spacing w:val="15"/>
        </w:rPr>
        <w:t xml:space="preserve"> </w:t>
      </w:r>
      <w:r>
        <w:rPr>
          <w:rFonts w:eastAsia="Perpetua" w:cs="Perpetua"/>
        </w:rPr>
        <w:t>‘Out</w:t>
      </w:r>
      <w:r>
        <w:rPr>
          <w:rFonts w:eastAsia="Perpetua" w:cs="Perpetua"/>
          <w:spacing w:val="6"/>
        </w:rPr>
        <w:t xml:space="preserve"> </w:t>
      </w:r>
      <w:r>
        <w:rPr>
          <w:rFonts w:eastAsia="Perpetua" w:cs="Perpetua"/>
        </w:rPr>
        <w:t>of</w:t>
      </w:r>
      <w:r>
        <w:rPr>
          <w:rFonts w:eastAsia="Perpetua" w:cs="Perpetua"/>
          <w:spacing w:val="6"/>
        </w:rPr>
        <w:t xml:space="preserve"> </w:t>
      </w:r>
      <w:r>
        <w:rPr>
          <w:rFonts w:eastAsia="Perpetua" w:cs="Perpetua"/>
        </w:rPr>
        <w:t>such</w:t>
      </w:r>
      <w:r>
        <w:rPr>
          <w:rFonts w:eastAsia="Perpetua" w:cs="Perpetua"/>
          <w:spacing w:val="7"/>
        </w:rPr>
        <w:t xml:space="preserve"> </w:t>
      </w:r>
      <w:r>
        <w:rPr>
          <w:rFonts w:eastAsia="Perpetua" w:cs="Perpetua"/>
        </w:rPr>
        <w:t>a</w:t>
      </w:r>
      <w:r>
        <w:rPr>
          <w:rFonts w:eastAsia="Perpetua" w:cs="Perpetua"/>
          <w:spacing w:val="7"/>
        </w:rPr>
        <w:t xml:space="preserve"> </w:t>
      </w:r>
      <w:r>
        <w:rPr>
          <w:rFonts w:eastAsia="Perpetua" w:cs="Perpetua"/>
        </w:rPr>
        <w:t>hope</w:t>
      </w:r>
      <w:r>
        <w:rPr>
          <w:rFonts w:eastAsia="Perpetua" w:cs="Perpetua"/>
          <w:spacing w:val="6"/>
        </w:rPr>
        <w:t xml:space="preserve"> </w:t>
      </w:r>
      <w:r>
        <w:rPr>
          <w:rFonts w:eastAsia="Perpetua" w:cs="Perpetua"/>
        </w:rPr>
        <w:t>…</w:t>
      </w:r>
      <w:r>
        <w:rPr>
          <w:rFonts w:eastAsia="Perpetua" w:cs="Perpetua"/>
          <w:spacing w:val="7"/>
        </w:rPr>
        <w:t xml:space="preserve"> </w:t>
      </w:r>
      <w:r>
        <w:rPr>
          <w:rFonts w:eastAsia="Perpetua" w:cs="Perpetua"/>
        </w:rPr>
        <w:t>developed</w:t>
      </w:r>
      <w:r>
        <w:rPr>
          <w:rFonts w:eastAsia="Perpetua" w:cs="Perpetua"/>
          <w:spacing w:val="6"/>
        </w:rPr>
        <w:t xml:space="preserve"> </w:t>
      </w:r>
      <w:r>
        <w:rPr>
          <w:rFonts w:eastAsia="Perpetua" w:cs="Perpetua"/>
        </w:rPr>
        <w:t>the</w:t>
      </w:r>
      <w:r>
        <w:rPr>
          <w:rFonts w:eastAsia="Perpetua" w:cs="Perpetua"/>
          <w:spacing w:val="24"/>
          <w:w w:val="99"/>
        </w:rPr>
        <w:t xml:space="preserve"> </w:t>
      </w:r>
      <w:r>
        <w:rPr>
          <w:rFonts w:eastAsia="Perpetua" w:cs="Perpetua"/>
        </w:rPr>
        <w:t>expectation</w:t>
      </w:r>
      <w:r>
        <w:rPr>
          <w:rFonts w:eastAsia="Perpetua" w:cs="Perpetua"/>
          <w:spacing w:val="-7"/>
        </w:rPr>
        <w:t xml:space="preserve"> </w:t>
      </w:r>
      <w:r>
        <w:rPr>
          <w:rFonts w:eastAsia="Perpetua" w:cs="Perpetua"/>
        </w:rPr>
        <w:t>of</w:t>
      </w:r>
      <w:r>
        <w:rPr>
          <w:rFonts w:eastAsia="Perpetua" w:cs="Perpetua"/>
          <w:spacing w:val="-4"/>
        </w:rPr>
        <w:t xml:space="preserve"> </w:t>
      </w:r>
      <w:r>
        <w:rPr>
          <w:rFonts w:eastAsia="Perpetua" w:cs="Perpetua"/>
        </w:rPr>
        <w:t>a</w:t>
      </w:r>
      <w:r>
        <w:rPr>
          <w:rFonts w:eastAsia="Perpetua" w:cs="Perpetua"/>
          <w:spacing w:val="-6"/>
        </w:rPr>
        <w:t xml:space="preserve"> </w:t>
      </w:r>
      <w:r>
        <w:rPr>
          <w:rFonts w:eastAsia="Perpetua" w:cs="Perpetua"/>
        </w:rPr>
        <w:t>Messiah</w:t>
      </w:r>
      <w:r>
        <w:rPr>
          <w:rFonts w:eastAsia="Perpetua" w:cs="Perpetua"/>
          <w:spacing w:val="-6"/>
        </w:rPr>
        <w:t xml:space="preserve"> </w:t>
      </w:r>
      <w:r>
        <w:rPr>
          <w:rFonts w:eastAsia="Perpetua" w:cs="Perpetua"/>
        </w:rPr>
        <w:t>in</w:t>
      </w:r>
      <w:r>
        <w:rPr>
          <w:rFonts w:eastAsia="Perpetua" w:cs="Perpetua"/>
          <w:spacing w:val="-4"/>
        </w:rPr>
        <w:t xml:space="preserve"> </w:t>
      </w:r>
      <w:r>
        <w:rPr>
          <w:rFonts w:eastAsia="Perpetua" w:cs="Perpetua"/>
        </w:rPr>
        <w:t>the</w:t>
      </w:r>
      <w:r>
        <w:rPr>
          <w:rFonts w:eastAsia="Perpetua" w:cs="Perpetua"/>
          <w:spacing w:val="-5"/>
        </w:rPr>
        <w:t xml:space="preserve"> </w:t>
      </w:r>
      <w:r>
        <w:rPr>
          <w:rFonts w:eastAsia="Perpetua" w:cs="Perpetua"/>
        </w:rPr>
        <w:t>narrow</w:t>
      </w:r>
      <w:r>
        <w:rPr>
          <w:rFonts w:eastAsia="Perpetua" w:cs="Perpetua"/>
          <w:spacing w:val="-5"/>
        </w:rPr>
        <w:t xml:space="preserve"> </w:t>
      </w:r>
      <w:r>
        <w:rPr>
          <w:rFonts w:eastAsia="Perpetua" w:cs="Perpetua"/>
        </w:rPr>
        <w:t>sense.’</w:t>
      </w:r>
      <w:r>
        <w:rPr>
          <w:rStyle w:val="EndnoteReference"/>
          <w:rFonts w:eastAsia="Perpetua" w:cs="Perpetua"/>
        </w:rPr>
        <w:endnoteReference w:id="2250"/>
      </w:r>
      <w:r>
        <w:rPr>
          <w:rFonts w:eastAsia="Perpetua" w:cs="Perpetua"/>
        </w:rPr>
        <w:t xml:space="preserve"> </w:t>
      </w:r>
      <w:r>
        <w:rPr>
          <w:rFonts w:eastAsia="Perpetua" w:cs="Perpetua"/>
          <w:position w:val="9"/>
          <w:sz w:val="13"/>
          <w:szCs w:val="13"/>
        </w:rPr>
        <w:t xml:space="preserve">  </w:t>
      </w:r>
    </w:p>
    <w:p w:rsidR="006A2E06" w:rsidRDefault="006A2E06" w:rsidP="006A2E06">
      <w:pPr>
        <w:spacing w:before="108" w:line="350" w:lineRule="auto"/>
        <w:ind w:left="119" w:right="115" w:firstLine="567"/>
        <w:jc w:val="both"/>
        <w:rPr>
          <w:rFonts w:eastAsia="Perpetua" w:cs="Perpetua"/>
          <w:sz w:val="13"/>
          <w:szCs w:val="13"/>
        </w:rPr>
      </w:pPr>
      <w:r>
        <w:rPr>
          <w:rFonts w:eastAsia="Perpetua" w:cs="Perpetua"/>
        </w:rPr>
        <w:t>Fitzmyer</w:t>
      </w:r>
      <w:r>
        <w:rPr>
          <w:rFonts w:eastAsia="Perpetua" w:cs="Perpetua"/>
          <w:spacing w:val="7"/>
        </w:rPr>
        <w:t xml:space="preserve"> </w:t>
      </w:r>
      <w:r>
        <w:rPr>
          <w:rFonts w:eastAsia="Perpetua" w:cs="Perpetua"/>
          <w:spacing w:val="-1"/>
        </w:rPr>
        <w:t>regards</w:t>
      </w:r>
      <w:r>
        <w:rPr>
          <w:rFonts w:eastAsia="Perpetua" w:cs="Perpetua"/>
          <w:spacing w:val="8"/>
        </w:rPr>
        <w:t xml:space="preserve"> </w:t>
      </w:r>
      <w:r>
        <w:rPr>
          <w:rFonts w:eastAsia="Perpetua" w:cs="Perpetua"/>
        </w:rPr>
        <w:t>the</w:t>
      </w:r>
      <w:r>
        <w:rPr>
          <w:rFonts w:eastAsia="Perpetua" w:cs="Perpetua"/>
          <w:spacing w:val="7"/>
        </w:rPr>
        <w:t xml:space="preserve"> </w:t>
      </w:r>
      <w:r>
        <w:rPr>
          <w:rFonts w:eastAsia="Perpetua" w:cs="Perpetua"/>
        </w:rPr>
        <w:t>book</w:t>
      </w:r>
      <w:r>
        <w:rPr>
          <w:rFonts w:eastAsia="Perpetua" w:cs="Perpetua"/>
          <w:spacing w:val="8"/>
        </w:rPr>
        <w:t xml:space="preserve"> </w:t>
      </w:r>
      <w:r>
        <w:rPr>
          <w:rFonts w:eastAsia="Perpetua" w:cs="Perpetua"/>
        </w:rPr>
        <w:t>of</w:t>
      </w:r>
      <w:r>
        <w:rPr>
          <w:rFonts w:eastAsia="Perpetua" w:cs="Perpetua"/>
          <w:spacing w:val="7"/>
        </w:rPr>
        <w:t xml:space="preserve"> </w:t>
      </w:r>
      <w:r>
        <w:rPr>
          <w:rFonts w:eastAsia="Perpetua" w:cs="Perpetua"/>
        </w:rPr>
        <w:t>Daniel</w:t>
      </w:r>
      <w:r>
        <w:rPr>
          <w:rStyle w:val="EndnoteReference"/>
          <w:rFonts w:eastAsia="Perpetua" w:cs="Perpetua"/>
        </w:rPr>
        <w:endnoteReference w:id="2251"/>
      </w:r>
      <w:r>
        <w:rPr>
          <w:rFonts w:eastAsia="Perpetua" w:cs="Perpetua"/>
        </w:rPr>
        <w:t xml:space="preserve"> </w:t>
      </w:r>
      <w:r>
        <w:rPr>
          <w:rFonts w:eastAsia="Perpetua" w:cs="Perpetua"/>
          <w:spacing w:val="27"/>
          <w:position w:val="9"/>
          <w:sz w:val="13"/>
          <w:szCs w:val="13"/>
        </w:rPr>
        <w:t xml:space="preserve"> </w:t>
      </w:r>
      <w:r>
        <w:rPr>
          <w:rFonts w:eastAsia="Perpetua" w:cs="Perpetua"/>
          <w:spacing w:val="-1"/>
        </w:rPr>
        <w:t>as</w:t>
      </w:r>
      <w:r>
        <w:rPr>
          <w:rFonts w:eastAsia="Perpetua" w:cs="Perpetua"/>
          <w:spacing w:val="8"/>
        </w:rPr>
        <w:t xml:space="preserve"> </w:t>
      </w:r>
      <w:r>
        <w:rPr>
          <w:rFonts w:eastAsia="Perpetua" w:cs="Perpetua"/>
        </w:rPr>
        <w:t>belonging</w:t>
      </w:r>
      <w:r>
        <w:rPr>
          <w:rFonts w:eastAsia="Perpetua" w:cs="Perpetua"/>
          <w:spacing w:val="6"/>
        </w:rPr>
        <w:t xml:space="preserve"> </w:t>
      </w:r>
      <w:r>
        <w:rPr>
          <w:rFonts w:eastAsia="Perpetua" w:cs="Perpetua"/>
        </w:rPr>
        <w:t>to</w:t>
      </w:r>
      <w:r>
        <w:rPr>
          <w:rFonts w:eastAsia="Perpetua" w:cs="Perpetua"/>
          <w:spacing w:val="8"/>
        </w:rPr>
        <w:t xml:space="preserve"> </w:t>
      </w:r>
      <w:r>
        <w:rPr>
          <w:rFonts w:eastAsia="Perpetua" w:cs="Perpetua"/>
        </w:rPr>
        <w:t>‘the</w:t>
      </w:r>
      <w:r>
        <w:rPr>
          <w:rFonts w:eastAsia="Perpetua" w:cs="Perpetua"/>
          <w:spacing w:val="8"/>
        </w:rPr>
        <w:t xml:space="preserve"> </w:t>
      </w:r>
      <w:r>
        <w:rPr>
          <w:rFonts w:eastAsia="Perpetua" w:cs="Perpetua"/>
          <w:spacing w:val="-1"/>
        </w:rPr>
        <w:t>period</w:t>
      </w:r>
      <w:r>
        <w:rPr>
          <w:rFonts w:eastAsia="Perpetua" w:cs="Perpetua"/>
          <w:spacing w:val="7"/>
        </w:rPr>
        <w:t xml:space="preserve"> </w:t>
      </w:r>
      <w:r>
        <w:rPr>
          <w:rFonts w:eastAsia="Perpetua" w:cs="Perpetua"/>
        </w:rPr>
        <w:t>in</w:t>
      </w:r>
      <w:r>
        <w:rPr>
          <w:rFonts w:eastAsia="Perpetua" w:cs="Perpetua"/>
          <w:spacing w:val="7"/>
        </w:rPr>
        <w:t xml:space="preserve"> </w:t>
      </w:r>
      <w:r>
        <w:rPr>
          <w:rFonts w:eastAsia="Perpetua" w:cs="Perpetua"/>
        </w:rPr>
        <w:t>the</w:t>
      </w:r>
      <w:r>
        <w:rPr>
          <w:rFonts w:eastAsia="Perpetua" w:cs="Perpetua"/>
          <w:spacing w:val="8"/>
        </w:rPr>
        <w:t xml:space="preserve"> </w:t>
      </w:r>
      <w:r>
        <w:rPr>
          <w:rFonts w:eastAsia="Perpetua" w:cs="Perpetua"/>
        </w:rPr>
        <w:t>history</w:t>
      </w:r>
      <w:r>
        <w:rPr>
          <w:rFonts w:eastAsia="Perpetua" w:cs="Perpetua"/>
          <w:spacing w:val="8"/>
        </w:rPr>
        <w:t xml:space="preserve"> </w:t>
      </w:r>
      <w:r>
        <w:rPr>
          <w:rFonts w:eastAsia="Perpetua" w:cs="Perpetua"/>
        </w:rPr>
        <w:t>of</w:t>
      </w:r>
      <w:r>
        <w:rPr>
          <w:rFonts w:eastAsia="Perpetua" w:cs="Perpetua"/>
          <w:spacing w:val="7"/>
        </w:rPr>
        <w:t xml:space="preserve"> </w:t>
      </w:r>
      <w:r>
        <w:rPr>
          <w:rFonts w:eastAsia="Perpetua" w:cs="Perpetua"/>
          <w:spacing w:val="-1"/>
        </w:rPr>
        <w:t>Judaism</w:t>
      </w:r>
      <w:r>
        <w:rPr>
          <w:rFonts w:eastAsia="Perpetua" w:cs="Perpetua"/>
          <w:spacing w:val="8"/>
        </w:rPr>
        <w:t xml:space="preserve"> </w:t>
      </w:r>
      <w:r>
        <w:rPr>
          <w:rFonts w:eastAsia="Perpetua" w:cs="Perpetua"/>
        </w:rPr>
        <w:t>when</w:t>
      </w:r>
      <w:r>
        <w:rPr>
          <w:rFonts w:eastAsia="Perpetua" w:cs="Perpetua"/>
          <w:spacing w:val="7"/>
        </w:rPr>
        <w:t xml:space="preserve"> </w:t>
      </w:r>
      <w:r>
        <w:rPr>
          <w:rFonts w:eastAsia="Perpetua" w:cs="Perpetua"/>
        </w:rPr>
        <w:t>belief</w:t>
      </w:r>
      <w:r>
        <w:rPr>
          <w:rFonts w:eastAsia="Perpetua" w:cs="Perpetua"/>
          <w:spacing w:val="9"/>
        </w:rPr>
        <w:t xml:space="preserve"> </w:t>
      </w:r>
      <w:r>
        <w:rPr>
          <w:rFonts w:eastAsia="Perpetua" w:cs="Perpetua"/>
        </w:rPr>
        <w:t>in</w:t>
      </w:r>
      <w:r>
        <w:rPr>
          <w:rFonts w:eastAsia="Perpetua" w:cs="Perpetua"/>
          <w:spacing w:val="30"/>
          <w:w w:val="99"/>
        </w:rPr>
        <w:t xml:space="preserve"> </w:t>
      </w:r>
      <w:r>
        <w:rPr>
          <w:rFonts w:eastAsia="Perpetua" w:cs="Perpetua"/>
        </w:rPr>
        <w:t>the</w:t>
      </w:r>
      <w:r>
        <w:rPr>
          <w:rFonts w:eastAsia="Perpetua" w:cs="Perpetua"/>
          <w:spacing w:val="5"/>
        </w:rPr>
        <w:t xml:space="preserve"> </w:t>
      </w:r>
      <w:r>
        <w:rPr>
          <w:rFonts w:eastAsia="Perpetua" w:cs="Perpetua"/>
        </w:rPr>
        <w:t>coming</w:t>
      </w:r>
      <w:r>
        <w:rPr>
          <w:rFonts w:eastAsia="Perpetua" w:cs="Perpetua"/>
          <w:spacing w:val="3"/>
        </w:rPr>
        <w:t xml:space="preserve"> </w:t>
      </w:r>
      <w:r>
        <w:rPr>
          <w:rFonts w:eastAsia="Perpetua" w:cs="Perpetua"/>
        </w:rPr>
        <w:t>David</w:t>
      </w:r>
      <w:r>
        <w:rPr>
          <w:rFonts w:eastAsia="Perpetua" w:cs="Perpetua"/>
          <w:spacing w:val="5"/>
        </w:rPr>
        <w:t xml:space="preserve"> </w:t>
      </w:r>
      <w:r>
        <w:rPr>
          <w:rFonts w:eastAsia="Perpetua" w:cs="Perpetua"/>
          <w:spacing w:val="-1"/>
        </w:rPr>
        <w:t>develops</w:t>
      </w:r>
      <w:r>
        <w:rPr>
          <w:rFonts w:eastAsia="Perpetua" w:cs="Perpetua"/>
          <w:spacing w:val="3"/>
        </w:rPr>
        <w:t xml:space="preserve"> </w:t>
      </w:r>
      <w:r>
        <w:rPr>
          <w:rFonts w:eastAsia="Perpetua" w:cs="Perpetua"/>
        </w:rPr>
        <w:t>into</w:t>
      </w:r>
      <w:r>
        <w:rPr>
          <w:rFonts w:eastAsia="Perpetua" w:cs="Perpetua"/>
          <w:spacing w:val="5"/>
        </w:rPr>
        <w:t xml:space="preserve"> </w:t>
      </w:r>
      <w:r>
        <w:rPr>
          <w:rFonts w:eastAsia="Perpetua" w:cs="Perpetua"/>
          <w:spacing w:val="-1"/>
        </w:rPr>
        <w:t>that</w:t>
      </w:r>
      <w:r>
        <w:rPr>
          <w:rFonts w:eastAsia="Perpetua" w:cs="Perpetua"/>
          <w:spacing w:val="3"/>
        </w:rPr>
        <w:t xml:space="preserve"> </w:t>
      </w:r>
      <w:r>
        <w:rPr>
          <w:rFonts w:eastAsia="Perpetua" w:cs="Perpetua"/>
          <w:spacing w:val="-1"/>
        </w:rPr>
        <w:t>of</w:t>
      </w:r>
      <w:r>
        <w:rPr>
          <w:rFonts w:eastAsia="Perpetua" w:cs="Perpetua"/>
          <w:spacing w:val="5"/>
        </w:rPr>
        <w:t xml:space="preserve"> </w:t>
      </w:r>
      <w:r>
        <w:rPr>
          <w:rFonts w:eastAsia="Perpetua" w:cs="Perpetua"/>
        </w:rPr>
        <w:t>a</w:t>
      </w:r>
      <w:r>
        <w:rPr>
          <w:rFonts w:eastAsia="Perpetua" w:cs="Perpetua"/>
          <w:spacing w:val="4"/>
        </w:rPr>
        <w:t xml:space="preserve"> </w:t>
      </w:r>
      <w:r>
        <w:rPr>
          <w:rFonts w:eastAsia="Perpetua" w:cs="Perpetua"/>
          <w:spacing w:val="-1"/>
        </w:rPr>
        <w:t>national</w:t>
      </w:r>
      <w:r>
        <w:rPr>
          <w:rFonts w:eastAsia="Perpetua" w:cs="Perpetua"/>
          <w:spacing w:val="4"/>
        </w:rPr>
        <w:t xml:space="preserve"> </w:t>
      </w:r>
      <w:r>
        <w:rPr>
          <w:rFonts w:eastAsia="Perpetua" w:cs="Perpetua"/>
          <w:spacing w:val="-1"/>
        </w:rPr>
        <w:t>Messiah,</w:t>
      </w:r>
      <w:r>
        <w:rPr>
          <w:rFonts w:eastAsia="Perpetua" w:cs="Perpetua"/>
          <w:spacing w:val="5"/>
        </w:rPr>
        <w:t xml:space="preserve"> </w:t>
      </w:r>
      <w:r>
        <w:rPr>
          <w:rFonts w:eastAsia="Perpetua" w:cs="Perpetua"/>
        </w:rPr>
        <w:t>whom</w:t>
      </w:r>
      <w:r>
        <w:rPr>
          <w:rFonts w:eastAsia="Perpetua" w:cs="Perpetua"/>
          <w:spacing w:val="4"/>
        </w:rPr>
        <w:t xml:space="preserve"> </w:t>
      </w:r>
      <w:r>
        <w:rPr>
          <w:rFonts w:eastAsia="Perpetua" w:cs="Perpetua"/>
        </w:rPr>
        <w:t>God</w:t>
      </w:r>
      <w:r>
        <w:rPr>
          <w:rFonts w:eastAsia="Perpetua" w:cs="Perpetua"/>
          <w:spacing w:val="5"/>
        </w:rPr>
        <w:t xml:space="preserve"> </w:t>
      </w:r>
      <w:r>
        <w:rPr>
          <w:rFonts w:eastAsia="Perpetua" w:cs="Perpetua"/>
        </w:rPr>
        <w:t>will</w:t>
      </w:r>
      <w:r>
        <w:rPr>
          <w:rFonts w:eastAsia="Perpetua" w:cs="Perpetua"/>
          <w:spacing w:val="4"/>
        </w:rPr>
        <w:t xml:space="preserve"> </w:t>
      </w:r>
      <w:r>
        <w:rPr>
          <w:rFonts w:eastAsia="Perpetua" w:cs="Perpetua"/>
          <w:spacing w:val="-1"/>
        </w:rPr>
        <w:t>raise</w:t>
      </w:r>
      <w:r>
        <w:rPr>
          <w:rFonts w:eastAsia="Perpetua" w:cs="Perpetua"/>
          <w:spacing w:val="5"/>
        </w:rPr>
        <w:t xml:space="preserve"> </w:t>
      </w:r>
      <w:r>
        <w:rPr>
          <w:rFonts w:eastAsia="Perpetua" w:cs="Perpetua"/>
        </w:rPr>
        <w:t>up</w:t>
      </w:r>
      <w:r>
        <w:rPr>
          <w:rFonts w:eastAsia="Perpetua" w:cs="Perpetua"/>
          <w:spacing w:val="4"/>
        </w:rPr>
        <w:t xml:space="preserve"> </w:t>
      </w:r>
      <w:r>
        <w:rPr>
          <w:rFonts w:eastAsia="Perpetua" w:cs="Perpetua"/>
          <w:spacing w:val="-1"/>
        </w:rPr>
        <w:t>as</w:t>
      </w:r>
      <w:r>
        <w:rPr>
          <w:rFonts w:eastAsia="Perpetua" w:cs="Perpetua"/>
          <w:spacing w:val="4"/>
        </w:rPr>
        <w:t xml:space="preserve"> </w:t>
      </w:r>
      <w:r>
        <w:rPr>
          <w:rFonts w:eastAsia="Perpetua" w:cs="Perpetua"/>
        </w:rPr>
        <w:t>a</w:t>
      </w:r>
      <w:r>
        <w:rPr>
          <w:rFonts w:eastAsia="Perpetua" w:cs="Perpetua"/>
          <w:spacing w:val="5"/>
        </w:rPr>
        <w:t xml:space="preserve"> </w:t>
      </w:r>
      <w:r>
        <w:rPr>
          <w:rFonts w:eastAsia="Perpetua" w:cs="Perpetua"/>
        </w:rPr>
        <w:t>descendant</w:t>
      </w:r>
      <w:r>
        <w:rPr>
          <w:rFonts w:eastAsia="Perpetua" w:cs="Perpetua"/>
          <w:spacing w:val="4"/>
        </w:rPr>
        <w:t xml:space="preserve"> </w:t>
      </w:r>
      <w:r>
        <w:rPr>
          <w:rFonts w:eastAsia="Perpetua" w:cs="Perpetua"/>
        </w:rPr>
        <w:t>of</w:t>
      </w:r>
      <w:r>
        <w:rPr>
          <w:rFonts w:eastAsia="Perpetua" w:cs="Perpetua"/>
          <w:spacing w:val="5"/>
        </w:rPr>
        <w:t xml:space="preserve"> </w:t>
      </w:r>
      <w:r>
        <w:rPr>
          <w:rFonts w:eastAsia="Perpetua" w:cs="Perpetua"/>
        </w:rPr>
        <w:t>David,</w:t>
      </w:r>
      <w:r>
        <w:rPr>
          <w:rFonts w:eastAsia="Perpetua" w:cs="Perpetua"/>
          <w:spacing w:val="4"/>
        </w:rPr>
        <w:t xml:space="preserve"> </w:t>
      </w:r>
      <w:r>
        <w:rPr>
          <w:rFonts w:eastAsia="Perpetua" w:cs="Perpetua"/>
        </w:rPr>
        <w:t>an</w:t>
      </w:r>
      <w:r>
        <w:rPr>
          <w:rFonts w:eastAsia="Perpetua" w:cs="Perpetua"/>
          <w:spacing w:val="25"/>
          <w:w w:val="99"/>
        </w:rPr>
        <w:t xml:space="preserve"> </w:t>
      </w:r>
      <w:r>
        <w:rPr>
          <w:rFonts w:eastAsia="Perpetua" w:cs="Perpetua"/>
        </w:rPr>
        <w:t>earthly scion,</w:t>
      </w:r>
      <w:r>
        <w:rPr>
          <w:rFonts w:eastAsia="Perpetua" w:cs="Perpetua"/>
          <w:spacing w:val="2"/>
        </w:rPr>
        <w:t xml:space="preserve"> </w:t>
      </w:r>
      <w:r>
        <w:rPr>
          <w:rFonts w:eastAsia="Perpetua" w:cs="Perpetua"/>
        </w:rPr>
        <w:t>a</w:t>
      </w:r>
      <w:r>
        <w:rPr>
          <w:rFonts w:eastAsia="Perpetua" w:cs="Perpetua"/>
          <w:spacing w:val="2"/>
        </w:rPr>
        <w:t xml:space="preserve"> </w:t>
      </w:r>
      <w:r>
        <w:rPr>
          <w:rFonts w:eastAsia="Perpetua" w:cs="Perpetua"/>
        </w:rPr>
        <w:t>future</w:t>
      </w:r>
      <w:r>
        <w:rPr>
          <w:rFonts w:eastAsia="Perpetua" w:cs="Perpetua"/>
          <w:spacing w:val="1"/>
        </w:rPr>
        <w:t xml:space="preserve"> </w:t>
      </w:r>
      <w:r>
        <w:rPr>
          <w:rFonts w:eastAsia="Perpetua" w:cs="Perpetua"/>
        </w:rPr>
        <w:t>eschatological</w:t>
      </w:r>
      <w:r>
        <w:rPr>
          <w:rFonts w:eastAsia="Perpetua" w:cs="Perpetua"/>
          <w:spacing w:val="1"/>
        </w:rPr>
        <w:t xml:space="preserve"> </w:t>
      </w:r>
      <w:r>
        <w:rPr>
          <w:rFonts w:eastAsia="Perpetua" w:cs="Perpetua"/>
          <w:spacing w:val="-1"/>
        </w:rPr>
        <w:t>realization</w:t>
      </w:r>
      <w:r>
        <w:rPr>
          <w:rFonts w:eastAsia="Perpetua" w:cs="Perpetua"/>
          <w:spacing w:val="3"/>
        </w:rPr>
        <w:t xml:space="preserve"> </w:t>
      </w:r>
      <w:r>
        <w:rPr>
          <w:rFonts w:eastAsia="Perpetua" w:cs="Perpetua"/>
        </w:rPr>
        <w:t>of</w:t>
      </w:r>
      <w:r>
        <w:rPr>
          <w:rFonts w:eastAsia="Perpetua" w:cs="Perpetua"/>
          <w:spacing w:val="1"/>
        </w:rPr>
        <w:t xml:space="preserve"> </w:t>
      </w:r>
      <w:r>
        <w:rPr>
          <w:rFonts w:eastAsia="Perpetua" w:cs="Perpetua"/>
        </w:rPr>
        <w:t>the</w:t>
      </w:r>
      <w:r>
        <w:rPr>
          <w:rFonts w:eastAsia="Perpetua" w:cs="Perpetua"/>
          <w:spacing w:val="3"/>
        </w:rPr>
        <w:t xml:space="preserve"> </w:t>
      </w:r>
      <w:r>
        <w:rPr>
          <w:rFonts w:eastAsia="Perpetua" w:cs="Perpetua"/>
        </w:rPr>
        <w:t>ideal</w:t>
      </w:r>
      <w:r>
        <w:rPr>
          <w:rFonts w:eastAsia="Perpetua" w:cs="Perpetua"/>
          <w:spacing w:val="2"/>
        </w:rPr>
        <w:t xml:space="preserve"> </w:t>
      </w:r>
      <w:r>
        <w:rPr>
          <w:rFonts w:eastAsia="Perpetua" w:cs="Perpetua"/>
        </w:rPr>
        <w:t>of</w:t>
      </w:r>
      <w:r>
        <w:rPr>
          <w:rFonts w:eastAsia="Perpetua" w:cs="Perpetua"/>
          <w:spacing w:val="1"/>
        </w:rPr>
        <w:t xml:space="preserve"> </w:t>
      </w:r>
      <w:r>
        <w:rPr>
          <w:rFonts w:eastAsia="Perpetua" w:cs="Perpetua"/>
        </w:rPr>
        <w:t>kingship’.</w:t>
      </w:r>
      <w:r>
        <w:rPr>
          <w:rStyle w:val="EndnoteReference"/>
          <w:rFonts w:eastAsia="Perpetua" w:cs="Perpetua"/>
        </w:rPr>
        <w:endnoteReference w:id="2252"/>
      </w:r>
      <w:r>
        <w:rPr>
          <w:rFonts w:eastAsia="Perpetua" w:cs="Perpetua"/>
        </w:rPr>
        <w:t xml:space="preserve"> </w:t>
      </w:r>
      <w:r>
        <w:rPr>
          <w:rFonts w:eastAsia="Perpetua" w:cs="Perpetua"/>
          <w:position w:val="9"/>
          <w:sz w:val="13"/>
          <w:szCs w:val="13"/>
        </w:rPr>
        <w:t xml:space="preserve">  </w:t>
      </w:r>
      <w:r>
        <w:rPr>
          <w:rFonts w:eastAsia="Perpetua" w:cs="Perpetua"/>
          <w:spacing w:val="26"/>
          <w:position w:val="9"/>
          <w:sz w:val="13"/>
          <w:szCs w:val="13"/>
        </w:rPr>
        <w:t xml:space="preserve"> </w:t>
      </w:r>
      <w:r>
        <w:rPr>
          <w:rFonts w:eastAsia="Perpetua" w:cs="Perpetua"/>
        </w:rPr>
        <w:t>Dan.</w:t>
      </w:r>
      <w:r>
        <w:rPr>
          <w:rFonts w:eastAsia="Perpetua" w:cs="Perpetua"/>
          <w:spacing w:val="1"/>
        </w:rPr>
        <w:t xml:space="preserve"> </w:t>
      </w:r>
      <w:r>
        <w:rPr>
          <w:rFonts w:eastAsia="Perpetua" w:cs="Perpetua"/>
        </w:rPr>
        <w:t>9:25</w:t>
      </w:r>
      <w:r>
        <w:rPr>
          <w:rFonts w:eastAsia="Perpetua" w:cs="Perpetua"/>
          <w:spacing w:val="2"/>
        </w:rPr>
        <w:t xml:space="preserve"> </w:t>
      </w:r>
      <w:r>
        <w:rPr>
          <w:rFonts w:eastAsia="Perpetua" w:cs="Perpetua"/>
        </w:rPr>
        <w:t xml:space="preserve">contains </w:t>
      </w:r>
      <w:r>
        <w:rPr>
          <w:rFonts w:eastAsia="Perpetua" w:cs="Perpetua"/>
          <w:spacing w:val="3"/>
        </w:rPr>
        <w:t xml:space="preserve"> </w:t>
      </w:r>
      <w:r>
        <w:rPr>
          <w:rFonts w:eastAsia="Perpetua" w:cs="Perpetua"/>
        </w:rPr>
        <w:t xml:space="preserve">‘the </w:t>
      </w:r>
      <w:r>
        <w:rPr>
          <w:rFonts w:eastAsia="Perpetua" w:cs="Perpetua"/>
          <w:spacing w:val="1"/>
        </w:rPr>
        <w:t xml:space="preserve"> </w:t>
      </w:r>
      <w:r>
        <w:rPr>
          <w:rFonts w:eastAsia="Perpetua" w:cs="Perpetua"/>
        </w:rPr>
        <w:t>first</w:t>
      </w:r>
      <w:r>
        <w:rPr>
          <w:rFonts w:eastAsia="Perpetua" w:cs="Perpetua"/>
          <w:spacing w:val="24"/>
          <w:w w:val="99"/>
        </w:rPr>
        <w:t xml:space="preserve"> </w:t>
      </w:r>
      <w:r>
        <w:rPr>
          <w:rFonts w:eastAsia="Perpetua" w:cs="Perpetua"/>
          <w:spacing w:val="-1"/>
        </w:rPr>
        <w:t>occurrence</w:t>
      </w:r>
      <w:r>
        <w:rPr>
          <w:rFonts w:eastAsia="Perpetua" w:cs="Perpetua"/>
          <w:spacing w:val="17"/>
        </w:rPr>
        <w:t xml:space="preserve"> </w:t>
      </w:r>
      <w:r>
        <w:rPr>
          <w:rFonts w:eastAsia="Perpetua" w:cs="Perpetua"/>
          <w:spacing w:val="-1"/>
        </w:rPr>
        <w:t>in</w:t>
      </w:r>
      <w:r>
        <w:rPr>
          <w:rFonts w:eastAsia="Perpetua" w:cs="Perpetua"/>
          <w:spacing w:val="18"/>
        </w:rPr>
        <w:t xml:space="preserve"> </w:t>
      </w:r>
      <w:r>
        <w:rPr>
          <w:rFonts w:eastAsia="Perpetua" w:cs="Perpetua"/>
          <w:spacing w:val="-1"/>
        </w:rPr>
        <w:t>the</w:t>
      </w:r>
      <w:r>
        <w:rPr>
          <w:rFonts w:eastAsia="Perpetua" w:cs="Perpetua"/>
          <w:spacing w:val="19"/>
        </w:rPr>
        <w:t xml:space="preserve"> </w:t>
      </w:r>
      <w:r>
        <w:rPr>
          <w:rFonts w:eastAsia="Perpetua" w:cs="Perpetua"/>
          <w:spacing w:val="-1"/>
        </w:rPr>
        <w:t>Old</w:t>
      </w:r>
      <w:r>
        <w:rPr>
          <w:rFonts w:eastAsia="Perpetua" w:cs="Perpetua"/>
          <w:spacing w:val="17"/>
        </w:rPr>
        <w:t xml:space="preserve"> </w:t>
      </w:r>
      <w:r>
        <w:rPr>
          <w:rFonts w:eastAsia="Perpetua" w:cs="Perpetua"/>
          <w:spacing w:val="-1"/>
        </w:rPr>
        <w:t>Testament</w:t>
      </w:r>
      <w:r>
        <w:rPr>
          <w:rFonts w:eastAsia="Perpetua" w:cs="Perpetua"/>
          <w:spacing w:val="17"/>
        </w:rPr>
        <w:t xml:space="preserve"> </w:t>
      </w:r>
      <w:r>
        <w:rPr>
          <w:rFonts w:eastAsia="Perpetua" w:cs="Perpetua"/>
        </w:rPr>
        <w:t>…</w:t>
      </w:r>
      <w:r>
        <w:rPr>
          <w:rFonts w:eastAsia="Perpetua" w:cs="Perpetua"/>
          <w:spacing w:val="18"/>
        </w:rPr>
        <w:t xml:space="preserve"> </w:t>
      </w:r>
      <w:r>
        <w:rPr>
          <w:rFonts w:eastAsia="Perpetua" w:cs="Perpetua"/>
          <w:spacing w:val="-1"/>
        </w:rPr>
        <w:t>of</w:t>
      </w:r>
      <w:r>
        <w:rPr>
          <w:rFonts w:eastAsia="Perpetua" w:cs="Perpetua"/>
          <w:spacing w:val="33"/>
        </w:rPr>
        <w:t xml:space="preserve"> </w:t>
      </w:r>
      <w:r>
        <w:rPr>
          <w:rFonts w:ascii="Bwhebb" w:eastAsia="Bwhebb" w:hAnsi="Bwhebb" w:cs="Bwhebb"/>
          <w:sz w:val="40"/>
          <w:szCs w:val="40"/>
        </w:rPr>
        <w:t>x;yvim</w:t>
      </w:r>
      <w:r>
        <w:rPr>
          <w:rFonts w:ascii="Bwhebb" w:eastAsia="Bwhebb" w:hAnsi="Bwhebb" w:cs="Bwhebb"/>
          <w:spacing w:val="-80"/>
          <w:sz w:val="40"/>
          <w:szCs w:val="40"/>
        </w:rPr>
        <w:t xml:space="preserve"> </w:t>
      </w:r>
      <w:r>
        <w:rPr>
          <w:rFonts w:eastAsia="Perpetua" w:cs="Perpetua"/>
        </w:rPr>
        <w:t>…</w:t>
      </w:r>
      <w:r>
        <w:rPr>
          <w:rFonts w:eastAsia="Perpetua" w:cs="Perpetua"/>
          <w:spacing w:val="18"/>
        </w:rPr>
        <w:t xml:space="preserve"> </w:t>
      </w:r>
      <w:r>
        <w:rPr>
          <w:rFonts w:eastAsia="Perpetua" w:cs="Perpetua"/>
          <w:spacing w:val="-1"/>
        </w:rPr>
        <w:t>as</w:t>
      </w:r>
      <w:r>
        <w:rPr>
          <w:rFonts w:eastAsia="Perpetua" w:cs="Perpetua"/>
          <w:spacing w:val="17"/>
        </w:rPr>
        <w:t xml:space="preserve"> </w:t>
      </w:r>
      <w:r>
        <w:rPr>
          <w:rFonts w:eastAsia="Perpetua" w:cs="Perpetua"/>
          <w:spacing w:val="-1"/>
        </w:rPr>
        <w:t>an</w:t>
      </w:r>
      <w:r>
        <w:rPr>
          <w:rFonts w:eastAsia="Perpetua" w:cs="Perpetua"/>
          <w:spacing w:val="18"/>
        </w:rPr>
        <w:t xml:space="preserve"> </w:t>
      </w:r>
      <w:r>
        <w:rPr>
          <w:rFonts w:eastAsia="Perpetua" w:cs="Perpetua"/>
          <w:spacing w:val="-1"/>
        </w:rPr>
        <w:t>Anointed</w:t>
      </w:r>
      <w:r>
        <w:rPr>
          <w:rFonts w:eastAsia="Perpetua" w:cs="Perpetua"/>
          <w:spacing w:val="17"/>
        </w:rPr>
        <w:t xml:space="preserve"> </w:t>
      </w:r>
      <w:r>
        <w:rPr>
          <w:rFonts w:eastAsia="Perpetua" w:cs="Perpetua"/>
          <w:spacing w:val="-1"/>
        </w:rPr>
        <w:t>One,</w:t>
      </w:r>
      <w:r>
        <w:rPr>
          <w:rFonts w:eastAsia="Perpetua" w:cs="Perpetua"/>
          <w:spacing w:val="17"/>
        </w:rPr>
        <w:t xml:space="preserve"> </w:t>
      </w:r>
      <w:r>
        <w:rPr>
          <w:rFonts w:eastAsia="Perpetua" w:cs="Perpetua"/>
          <w:spacing w:val="-1"/>
        </w:rPr>
        <w:t>even</w:t>
      </w:r>
      <w:r>
        <w:rPr>
          <w:rFonts w:eastAsia="Perpetua" w:cs="Perpetua"/>
          <w:spacing w:val="18"/>
        </w:rPr>
        <w:t xml:space="preserve"> </w:t>
      </w:r>
      <w:r>
        <w:rPr>
          <w:rFonts w:eastAsia="Perpetua" w:cs="Perpetua"/>
          <w:spacing w:val="-1"/>
        </w:rPr>
        <w:t>though</w:t>
      </w:r>
      <w:r>
        <w:rPr>
          <w:rFonts w:eastAsia="Perpetua" w:cs="Perpetua"/>
          <w:spacing w:val="17"/>
        </w:rPr>
        <w:t xml:space="preserve"> </w:t>
      </w:r>
      <w:r>
        <w:rPr>
          <w:rFonts w:eastAsia="Perpetua" w:cs="Perpetua"/>
          <w:spacing w:val="-1"/>
        </w:rPr>
        <w:t>in</w:t>
      </w:r>
      <w:r>
        <w:rPr>
          <w:rFonts w:eastAsia="Perpetua" w:cs="Perpetua"/>
          <w:spacing w:val="18"/>
        </w:rPr>
        <w:t xml:space="preserve"> </w:t>
      </w:r>
      <w:r>
        <w:rPr>
          <w:rFonts w:eastAsia="Perpetua" w:cs="Perpetua"/>
          <w:spacing w:val="-1"/>
        </w:rPr>
        <w:t>the</w:t>
      </w:r>
      <w:r>
        <w:rPr>
          <w:rFonts w:eastAsia="Perpetua" w:cs="Perpetua"/>
          <w:spacing w:val="17"/>
        </w:rPr>
        <w:t xml:space="preserve"> </w:t>
      </w:r>
      <w:r>
        <w:rPr>
          <w:rFonts w:eastAsia="Perpetua" w:cs="Perpetua"/>
          <w:spacing w:val="-1"/>
        </w:rPr>
        <w:t>context</w:t>
      </w:r>
      <w:r>
        <w:rPr>
          <w:rFonts w:eastAsia="Perpetua" w:cs="Perpetua"/>
          <w:spacing w:val="18"/>
        </w:rPr>
        <w:t xml:space="preserve"> </w:t>
      </w:r>
      <w:r>
        <w:rPr>
          <w:rFonts w:eastAsia="Perpetua" w:cs="Perpetua"/>
          <w:spacing w:val="-1"/>
        </w:rPr>
        <w:t>it</w:t>
      </w:r>
      <w:r>
        <w:rPr>
          <w:rFonts w:eastAsia="Perpetua" w:cs="Perpetua"/>
          <w:spacing w:val="17"/>
        </w:rPr>
        <w:t xml:space="preserve"> </w:t>
      </w:r>
      <w:r>
        <w:rPr>
          <w:rFonts w:eastAsia="Perpetua" w:cs="Perpetua"/>
          <w:spacing w:val="-1"/>
        </w:rPr>
        <w:t>might</w:t>
      </w:r>
      <w:r>
        <w:rPr>
          <w:rFonts w:eastAsia="Perpetua" w:cs="Perpetua"/>
          <w:spacing w:val="79"/>
          <w:w w:val="99"/>
        </w:rPr>
        <w:t xml:space="preserve"> </w:t>
      </w:r>
      <w:r>
        <w:rPr>
          <w:rFonts w:eastAsia="Perpetua" w:cs="Perpetua"/>
          <w:spacing w:val="-1"/>
        </w:rPr>
        <w:t>refer</w:t>
      </w:r>
      <w:r>
        <w:rPr>
          <w:rFonts w:eastAsia="Perpetua" w:cs="Perpetua"/>
        </w:rPr>
        <w:t xml:space="preserve"> </w:t>
      </w:r>
      <w:r>
        <w:rPr>
          <w:rFonts w:eastAsia="Perpetua" w:cs="Perpetua"/>
          <w:spacing w:val="-1"/>
        </w:rPr>
        <w:t>to</w:t>
      </w:r>
      <w:r>
        <w:rPr>
          <w:rFonts w:eastAsia="Perpetua" w:cs="Perpetua"/>
          <w:spacing w:val="1"/>
        </w:rPr>
        <w:t xml:space="preserve"> </w:t>
      </w:r>
      <w:r>
        <w:rPr>
          <w:rFonts w:eastAsia="Perpetua" w:cs="Perpetua"/>
          <w:spacing w:val="-1"/>
        </w:rPr>
        <w:t>one</w:t>
      </w:r>
      <w:r>
        <w:rPr>
          <w:rFonts w:eastAsia="Perpetua" w:cs="Perpetua"/>
          <w:spacing w:val="1"/>
        </w:rPr>
        <w:t xml:space="preserve"> </w:t>
      </w:r>
      <w:r>
        <w:rPr>
          <w:rFonts w:eastAsia="Perpetua" w:cs="Perpetua"/>
        </w:rPr>
        <w:t>who</w:t>
      </w:r>
      <w:r>
        <w:rPr>
          <w:rFonts w:eastAsia="Perpetua" w:cs="Perpetua"/>
          <w:spacing w:val="1"/>
        </w:rPr>
        <w:t xml:space="preserve"> </w:t>
      </w:r>
      <w:r>
        <w:rPr>
          <w:rFonts w:eastAsia="Perpetua" w:cs="Perpetua"/>
          <w:spacing w:val="-1"/>
        </w:rPr>
        <w:t>is</w:t>
      </w:r>
      <w:r>
        <w:rPr>
          <w:rFonts w:eastAsia="Perpetua" w:cs="Perpetua"/>
          <w:spacing w:val="1"/>
        </w:rPr>
        <w:t xml:space="preserve"> </w:t>
      </w:r>
      <w:r>
        <w:rPr>
          <w:rFonts w:eastAsia="Perpetua" w:cs="Perpetua"/>
          <w:spacing w:val="-1"/>
        </w:rPr>
        <w:t>or</w:t>
      </w:r>
      <w:r>
        <w:rPr>
          <w:rFonts w:eastAsia="Perpetua" w:cs="Perpetua"/>
          <w:spacing w:val="1"/>
        </w:rPr>
        <w:t xml:space="preserve"> </w:t>
      </w:r>
      <w:r>
        <w:rPr>
          <w:rFonts w:eastAsia="Perpetua" w:cs="Perpetua"/>
          <w:spacing w:val="-1"/>
        </w:rPr>
        <w:t>has</w:t>
      </w:r>
      <w:r>
        <w:rPr>
          <w:rFonts w:eastAsia="Perpetua" w:cs="Perpetua"/>
          <w:spacing w:val="1"/>
        </w:rPr>
        <w:t xml:space="preserve"> </w:t>
      </w:r>
      <w:r>
        <w:rPr>
          <w:rFonts w:eastAsia="Perpetua" w:cs="Perpetua"/>
        </w:rPr>
        <w:t xml:space="preserve">been </w:t>
      </w:r>
      <w:r>
        <w:rPr>
          <w:rFonts w:eastAsia="Perpetua" w:cs="Perpetua"/>
          <w:spacing w:val="-1"/>
        </w:rPr>
        <w:t>already</w:t>
      </w:r>
      <w:r>
        <w:rPr>
          <w:rFonts w:eastAsia="Perpetua" w:cs="Perpetua"/>
          <w:spacing w:val="1"/>
        </w:rPr>
        <w:t xml:space="preserve"> </w:t>
      </w:r>
      <w:r>
        <w:rPr>
          <w:rFonts w:eastAsia="Perpetua" w:cs="Perpetua"/>
          <w:spacing w:val="-1"/>
        </w:rPr>
        <w:t>on</w:t>
      </w:r>
      <w:r>
        <w:rPr>
          <w:rFonts w:eastAsia="Perpetua" w:cs="Perpetua"/>
          <w:spacing w:val="1"/>
        </w:rPr>
        <w:t xml:space="preserve"> </w:t>
      </w:r>
      <w:r>
        <w:rPr>
          <w:rFonts w:eastAsia="Perpetua" w:cs="Perpetua"/>
          <w:spacing w:val="-1"/>
        </w:rPr>
        <w:t>the</w:t>
      </w:r>
      <w:r>
        <w:rPr>
          <w:rFonts w:eastAsia="Perpetua" w:cs="Perpetua"/>
          <w:spacing w:val="1"/>
        </w:rPr>
        <w:t xml:space="preserve"> </w:t>
      </w:r>
      <w:r>
        <w:rPr>
          <w:rFonts w:eastAsia="Perpetua" w:cs="Perpetua"/>
          <w:spacing w:val="-1"/>
        </w:rPr>
        <w:t>scene’.</w:t>
      </w:r>
      <w:r>
        <w:rPr>
          <w:rFonts w:eastAsia="Perpetua" w:cs="Perpetua"/>
          <w:spacing w:val="2"/>
        </w:rPr>
        <w:t xml:space="preserve">  </w:t>
      </w:r>
      <w:r>
        <w:rPr>
          <w:rFonts w:eastAsia="Perpetua" w:cs="Perpetua"/>
          <w:spacing w:val="-1"/>
        </w:rPr>
        <w:t>Thus</w:t>
      </w:r>
      <w:r>
        <w:rPr>
          <w:rFonts w:eastAsia="Perpetua" w:cs="Perpetua"/>
          <w:spacing w:val="1"/>
        </w:rPr>
        <w:t xml:space="preserve"> </w:t>
      </w:r>
      <w:r>
        <w:rPr>
          <w:rFonts w:eastAsia="Perpetua" w:cs="Perpetua"/>
          <w:spacing w:val="-1"/>
        </w:rPr>
        <w:t>‘Messiah’</w:t>
      </w:r>
      <w:r>
        <w:rPr>
          <w:rFonts w:eastAsia="Perpetua" w:cs="Perpetua"/>
          <w:spacing w:val="1"/>
        </w:rPr>
        <w:t xml:space="preserve"> </w:t>
      </w:r>
      <w:r>
        <w:rPr>
          <w:rFonts w:eastAsia="Perpetua" w:cs="Perpetua"/>
          <w:spacing w:val="-1"/>
        </w:rPr>
        <w:t>in</w:t>
      </w:r>
      <w:r>
        <w:rPr>
          <w:rFonts w:eastAsia="Perpetua" w:cs="Perpetua"/>
          <w:spacing w:val="1"/>
        </w:rPr>
        <w:t xml:space="preserve"> </w:t>
      </w:r>
      <w:r>
        <w:rPr>
          <w:rFonts w:eastAsia="Perpetua" w:cs="Perpetua"/>
          <w:spacing w:val="-1"/>
        </w:rPr>
        <w:t>the</w:t>
      </w:r>
      <w:r>
        <w:rPr>
          <w:rFonts w:eastAsia="Perpetua" w:cs="Perpetua"/>
          <w:spacing w:val="1"/>
        </w:rPr>
        <w:t xml:space="preserve"> </w:t>
      </w:r>
      <w:r>
        <w:rPr>
          <w:rFonts w:eastAsia="Perpetua" w:cs="Perpetua"/>
          <w:spacing w:val="-1"/>
        </w:rPr>
        <w:t>narrow</w:t>
      </w:r>
      <w:r>
        <w:rPr>
          <w:rFonts w:eastAsia="Perpetua" w:cs="Perpetua"/>
          <w:spacing w:val="1"/>
        </w:rPr>
        <w:t xml:space="preserve"> </w:t>
      </w:r>
      <w:r>
        <w:rPr>
          <w:rFonts w:eastAsia="Perpetua" w:cs="Perpetua"/>
          <w:spacing w:val="-1"/>
        </w:rPr>
        <w:t>sense</w:t>
      </w:r>
      <w:r>
        <w:rPr>
          <w:rFonts w:eastAsia="Perpetua" w:cs="Perpetua"/>
          <w:spacing w:val="1"/>
        </w:rPr>
        <w:t xml:space="preserve"> </w:t>
      </w:r>
      <w:r>
        <w:rPr>
          <w:rFonts w:eastAsia="Perpetua" w:cs="Perpetua"/>
          <w:spacing w:val="-1"/>
        </w:rPr>
        <w:t>emerges</w:t>
      </w:r>
      <w:r>
        <w:rPr>
          <w:rFonts w:eastAsia="Perpetua" w:cs="Perpetua"/>
          <w:spacing w:val="1"/>
        </w:rPr>
        <w:t xml:space="preserve"> </w:t>
      </w:r>
      <w:r>
        <w:rPr>
          <w:rFonts w:eastAsia="Perpetua" w:cs="Perpetua"/>
          <w:spacing w:val="-1"/>
        </w:rPr>
        <w:t>in</w:t>
      </w:r>
      <w:r>
        <w:rPr>
          <w:rFonts w:eastAsia="Perpetua" w:cs="Perpetua"/>
          <w:spacing w:val="2"/>
        </w:rPr>
        <w:t xml:space="preserve"> </w:t>
      </w:r>
      <w:r>
        <w:rPr>
          <w:rFonts w:eastAsia="Perpetua" w:cs="Perpetua"/>
          <w:spacing w:val="-1"/>
        </w:rPr>
        <w:t>the</w:t>
      </w:r>
      <w:r>
        <w:rPr>
          <w:rFonts w:eastAsia="Perpetua" w:cs="Perpetua"/>
          <w:spacing w:val="1"/>
        </w:rPr>
        <w:t xml:space="preserve"> </w:t>
      </w:r>
      <w:r>
        <w:rPr>
          <w:rFonts w:eastAsia="Perpetua" w:cs="Perpetua"/>
          <w:spacing w:val="-1"/>
        </w:rPr>
        <w:t>second</w:t>
      </w:r>
      <w:r>
        <w:rPr>
          <w:rFonts w:eastAsia="Perpetua" w:cs="Perpetua"/>
          <w:spacing w:val="56"/>
          <w:w w:val="99"/>
        </w:rPr>
        <w:t xml:space="preserve"> </w:t>
      </w:r>
      <w:r>
        <w:rPr>
          <w:rFonts w:eastAsia="Perpetua" w:cs="Perpetua"/>
        </w:rPr>
        <w:t>quarter</w:t>
      </w:r>
      <w:r>
        <w:rPr>
          <w:rFonts w:eastAsia="Perpetua" w:cs="Perpetua"/>
          <w:spacing w:val="12"/>
        </w:rPr>
        <w:t xml:space="preserve"> </w:t>
      </w:r>
      <w:r>
        <w:rPr>
          <w:rFonts w:eastAsia="Perpetua" w:cs="Perpetua"/>
        </w:rPr>
        <w:t>of</w:t>
      </w:r>
      <w:r>
        <w:rPr>
          <w:rFonts w:eastAsia="Perpetua" w:cs="Perpetua"/>
          <w:spacing w:val="13"/>
        </w:rPr>
        <w:t xml:space="preserve"> </w:t>
      </w:r>
      <w:r>
        <w:rPr>
          <w:rFonts w:eastAsia="Perpetua" w:cs="Perpetua"/>
          <w:spacing w:val="-1"/>
        </w:rPr>
        <w:t>C2</w:t>
      </w:r>
      <w:r>
        <w:rPr>
          <w:rFonts w:eastAsia="Perpetua" w:cs="Perpetua"/>
          <w:spacing w:val="13"/>
        </w:rPr>
        <w:t xml:space="preserve"> </w:t>
      </w:r>
      <w:r>
        <w:rPr>
          <w:rFonts w:eastAsia="Perpetua" w:cs="Perpetua"/>
        </w:rPr>
        <w:t>BCE.</w:t>
      </w:r>
      <w:r>
        <w:rPr>
          <w:rStyle w:val="EndnoteReference"/>
          <w:rFonts w:eastAsia="Perpetua" w:cs="Perpetua"/>
        </w:rPr>
        <w:endnoteReference w:id="2253"/>
      </w:r>
      <w:r>
        <w:rPr>
          <w:rFonts w:eastAsia="Perpetua" w:cs="Perpetua"/>
        </w:rPr>
        <w:t xml:space="preserve">  Even</w:t>
      </w:r>
      <w:r>
        <w:rPr>
          <w:rFonts w:eastAsia="Perpetua" w:cs="Perpetua"/>
          <w:spacing w:val="13"/>
        </w:rPr>
        <w:t xml:space="preserve"> </w:t>
      </w:r>
      <w:r>
        <w:rPr>
          <w:rFonts w:eastAsia="Perpetua" w:cs="Perpetua"/>
        </w:rPr>
        <w:t>if</w:t>
      </w:r>
      <w:r>
        <w:rPr>
          <w:rFonts w:eastAsia="Perpetua" w:cs="Perpetua"/>
          <w:spacing w:val="14"/>
        </w:rPr>
        <w:t xml:space="preserve"> </w:t>
      </w:r>
      <w:r>
        <w:rPr>
          <w:rFonts w:eastAsia="Perpetua" w:cs="Perpetua"/>
        </w:rPr>
        <w:t>this</w:t>
      </w:r>
      <w:r>
        <w:rPr>
          <w:rFonts w:eastAsia="Perpetua" w:cs="Perpetua"/>
          <w:spacing w:val="14"/>
        </w:rPr>
        <w:t xml:space="preserve"> </w:t>
      </w:r>
      <w:r>
        <w:rPr>
          <w:rFonts w:eastAsia="Perpetua" w:cs="Perpetua"/>
        </w:rPr>
        <w:t>‘Anointed</w:t>
      </w:r>
      <w:r>
        <w:rPr>
          <w:rFonts w:eastAsia="Perpetua" w:cs="Perpetua"/>
          <w:spacing w:val="13"/>
        </w:rPr>
        <w:t xml:space="preserve"> </w:t>
      </w:r>
      <w:r>
        <w:rPr>
          <w:rFonts w:eastAsia="Perpetua" w:cs="Perpetua"/>
        </w:rPr>
        <w:t>One’</w:t>
      </w:r>
      <w:r>
        <w:rPr>
          <w:rFonts w:eastAsia="Perpetua" w:cs="Perpetua"/>
          <w:spacing w:val="13"/>
        </w:rPr>
        <w:t xml:space="preserve"> </w:t>
      </w:r>
      <w:r>
        <w:rPr>
          <w:rFonts w:eastAsia="Perpetua" w:cs="Perpetua"/>
        </w:rPr>
        <w:t>cannot</w:t>
      </w:r>
      <w:r>
        <w:rPr>
          <w:rFonts w:eastAsia="Perpetua" w:cs="Perpetua"/>
          <w:spacing w:val="13"/>
        </w:rPr>
        <w:t xml:space="preserve"> </w:t>
      </w:r>
      <w:r>
        <w:rPr>
          <w:rFonts w:eastAsia="Perpetua" w:cs="Perpetua"/>
        </w:rPr>
        <w:t>be</w:t>
      </w:r>
      <w:r>
        <w:rPr>
          <w:rFonts w:eastAsia="Perpetua" w:cs="Perpetua"/>
          <w:spacing w:val="13"/>
        </w:rPr>
        <w:t xml:space="preserve"> </w:t>
      </w:r>
      <w:r>
        <w:rPr>
          <w:rFonts w:eastAsia="Perpetua" w:cs="Perpetua"/>
          <w:spacing w:val="-1"/>
        </w:rPr>
        <w:t>specifically</w:t>
      </w:r>
      <w:r>
        <w:rPr>
          <w:rFonts w:eastAsia="Perpetua" w:cs="Perpetua"/>
          <w:spacing w:val="13"/>
        </w:rPr>
        <w:t xml:space="preserve"> </w:t>
      </w:r>
      <w:r>
        <w:rPr>
          <w:rFonts w:eastAsia="Perpetua" w:cs="Perpetua"/>
          <w:spacing w:val="-1"/>
        </w:rPr>
        <w:t>identified,</w:t>
      </w:r>
      <w:r>
        <w:rPr>
          <w:rFonts w:eastAsia="Perpetua" w:cs="Perpetua"/>
          <w:spacing w:val="14"/>
        </w:rPr>
        <w:t xml:space="preserve"> </w:t>
      </w:r>
      <w:r>
        <w:rPr>
          <w:rFonts w:eastAsia="Perpetua" w:cs="Perpetua"/>
          <w:spacing w:val="-1"/>
        </w:rPr>
        <w:t>this</w:t>
      </w:r>
      <w:r>
        <w:rPr>
          <w:rFonts w:eastAsia="Perpetua" w:cs="Perpetua"/>
          <w:spacing w:val="13"/>
        </w:rPr>
        <w:t xml:space="preserve"> </w:t>
      </w:r>
      <w:r>
        <w:rPr>
          <w:rFonts w:eastAsia="Perpetua" w:cs="Perpetua"/>
          <w:spacing w:val="-1"/>
        </w:rPr>
        <w:t>shows</w:t>
      </w:r>
      <w:r>
        <w:rPr>
          <w:rFonts w:eastAsia="Perpetua" w:cs="Perpetua"/>
          <w:spacing w:val="14"/>
        </w:rPr>
        <w:t xml:space="preserve"> </w:t>
      </w:r>
      <w:r>
        <w:rPr>
          <w:rFonts w:eastAsia="Perpetua" w:cs="Perpetua"/>
          <w:spacing w:val="-1"/>
        </w:rPr>
        <w:t>that</w:t>
      </w:r>
      <w:r>
        <w:rPr>
          <w:rFonts w:eastAsia="Perpetua" w:cs="Perpetua"/>
          <w:spacing w:val="14"/>
        </w:rPr>
        <w:t xml:space="preserve"> </w:t>
      </w:r>
      <w:r>
        <w:rPr>
          <w:rFonts w:eastAsia="Perpetua" w:cs="Perpetua"/>
          <w:spacing w:val="-1"/>
        </w:rPr>
        <w:t>‘messianism</w:t>
      </w:r>
      <w:r>
        <w:rPr>
          <w:rFonts w:eastAsia="Perpetua" w:cs="Perpetua"/>
          <w:spacing w:val="30"/>
          <w:w w:val="99"/>
        </w:rPr>
        <w:t xml:space="preserve"> </w:t>
      </w:r>
      <w:r>
        <w:rPr>
          <w:rFonts w:eastAsia="Perpetua" w:cs="Perpetua"/>
        </w:rPr>
        <w:t>was</w:t>
      </w:r>
      <w:r>
        <w:rPr>
          <w:rFonts w:eastAsia="Perpetua" w:cs="Perpetua"/>
          <w:spacing w:val="7"/>
        </w:rPr>
        <w:t xml:space="preserve"> </w:t>
      </w:r>
      <w:r>
        <w:rPr>
          <w:rFonts w:eastAsia="Perpetua" w:cs="Perpetua"/>
        </w:rPr>
        <w:t>not</w:t>
      </w:r>
      <w:r>
        <w:rPr>
          <w:rFonts w:eastAsia="Perpetua" w:cs="Perpetua"/>
          <w:spacing w:val="7"/>
        </w:rPr>
        <w:t xml:space="preserve"> </w:t>
      </w:r>
      <w:r>
        <w:rPr>
          <w:rFonts w:eastAsia="Perpetua" w:cs="Perpetua"/>
          <w:spacing w:val="-1"/>
        </w:rPr>
        <w:t>merely</w:t>
      </w:r>
      <w:r>
        <w:rPr>
          <w:rFonts w:eastAsia="Perpetua" w:cs="Perpetua"/>
          <w:spacing w:val="9"/>
        </w:rPr>
        <w:t xml:space="preserve"> </w:t>
      </w:r>
      <w:r>
        <w:rPr>
          <w:rFonts w:eastAsia="Perpetua" w:cs="Perpetua"/>
        </w:rPr>
        <w:t>a</w:t>
      </w:r>
      <w:r>
        <w:rPr>
          <w:rFonts w:eastAsia="Perpetua" w:cs="Perpetua"/>
          <w:spacing w:val="7"/>
        </w:rPr>
        <w:t xml:space="preserve"> </w:t>
      </w:r>
      <w:r>
        <w:rPr>
          <w:rFonts w:eastAsia="Perpetua" w:cs="Perpetua"/>
        </w:rPr>
        <w:t>visionary</w:t>
      </w:r>
      <w:r>
        <w:rPr>
          <w:rFonts w:eastAsia="Perpetua" w:cs="Perpetua"/>
          <w:spacing w:val="8"/>
        </w:rPr>
        <w:t xml:space="preserve"> </w:t>
      </w:r>
      <w:r>
        <w:rPr>
          <w:rFonts w:eastAsia="Perpetua" w:cs="Perpetua"/>
        </w:rPr>
        <w:t>foreshadowing</w:t>
      </w:r>
      <w:r>
        <w:rPr>
          <w:rFonts w:eastAsia="Perpetua" w:cs="Perpetua"/>
          <w:spacing w:val="6"/>
        </w:rPr>
        <w:t xml:space="preserve"> </w:t>
      </w:r>
      <w:r>
        <w:rPr>
          <w:rFonts w:eastAsia="Perpetua" w:cs="Perpetua"/>
        </w:rPr>
        <w:t>of</w:t>
      </w:r>
      <w:r>
        <w:rPr>
          <w:rFonts w:eastAsia="Perpetua" w:cs="Perpetua"/>
          <w:spacing w:val="8"/>
        </w:rPr>
        <w:t xml:space="preserve"> </w:t>
      </w:r>
      <w:r>
        <w:rPr>
          <w:rFonts w:eastAsia="Perpetua" w:cs="Perpetua"/>
        </w:rPr>
        <w:t>what</w:t>
      </w:r>
      <w:r>
        <w:rPr>
          <w:rFonts w:eastAsia="Perpetua" w:cs="Perpetua"/>
          <w:spacing w:val="8"/>
        </w:rPr>
        <w:t xml:space="preserve"> </w:t>
      </w:r>
      <w:r>
        <w:rPr>
          <w:rFonts w:eastAsia="Perpetua" w:cs="Perpetua"/>
          <w:spacing w:val="-1"/>
        </w:rPr>
        <w:t>New</w:t>
      </w:r>
      <w:r>
        <w:rPr>
          <w:rFonts w:eastAsia="Perpetua" w:cs="Perpetua"/>
          <w:spacing w:val="7"/>
        </w:rPr>
        <w:t xml:space="preserve"> </w:t>
      </w:r>
      <w:r>
        <w:rPr>
          <w:rFonts w:eastAsia="Perpetua" w:cs="Perpetua"/>
          <w:spacing w:val="-1"/>
        </w:rPr>
        <w:t>Testament</w:t>
      </w:r>
      <w:r>
        <w:rPr>
          <w:rFonts w:eastAsia="Perpetua" w:cs="Perpetua"/>
          <w:spacing w:val="9"/>
        </w:rPr>
        <w:t xml:space="preserve"> </w:t>
      </w:r>
      <w:r>
        <w:rPr>
          <w:rFonts w:eastAsia="Perpetua" w:cs="Perpetua"/>
          <w:spacing w:val="-1"/>
        </w:rPr>
        <w:t>writers</w:t>
      </w:r>
      <w:r>
        <w:rPr>
          <w:rFonts w:eastAsia="Perpetua" w:cs="Perpetua"/>
          <w:spacing w:val="7"/>
        </w:rPr>
        <w:t xml:space="preserve"> </w:t>
      </w:r>
      <w:r>
        <w:rPr>
          <w:rFonts w:eastAsia="Perpetua" w:cs="Perpetua"/>
          <w:spacing w:val="-1"/>
        </w:rPr>
        <w:t>would</w:t>
      </w:r>
      <w:r>
        <w:rPr>
          <w:rFonts w:eastAsia="Perpetua" w:cs="Perpetua"/>
          <w:spacing w:val="9"/>
        </w:rPr>
        <w:t xml:space="preserve"> </w:t>
      </w:r>
      <w:r>
        <w:rPr>
          <w:rFonts w:eastAsia="Perpetua" w:cs="Perpetua"/>
          <w:spacing w:val="-1"/>
        </w:rPr>
        <w:t>predicate</w:t>
      </w:r>
      <w:r>
        <w:rPr>
          <w:rFonts w:eastAsia="Perpetua" w:cs="Perpetua"/>
          <w:spacing w:val="7"/>
        </w:rPr>
        <w:t xml:space="preserve"> </w:t>
      </w:r>
      <w:r>
        <w:rPr>
          <w:rFonts w:eastAsia="Perpetua" w:cs="Perpetua"/>
          <w:spacing w:val="-1"/>
        </w:rPr>
        <w:t>of</w:t>
      </w:r>
      <w:r>
        <w:rPr>
          <w:rFonts w:eastAsia="Perpetua" w:cs="Perpetua"/>
          <w:spacing w:val="8"/>
        </w:rPr>
        <w:t xml:space="preserve"> </w:t>
      </w:r>
      <w:r>
        <w:rPr>
          <w:rFonts w:eastAsia="Perpetua" w:cs="Perpetua"/>
          <w:spacing w:val="-1"/>
        </w:rPr>
        <w:t>Jesus</w:t>
      </w:r>
      <w:r>
        <w:rPr>
          <w:rFonts w:eastAsia="Perpetua" w:cs="Perpetua"/>
          <w:spacing w:val="7"/>
        </w:rPr>
        <w:t xml:space="preserve"> </w:t>
      </w:r>
      <w:r>
        <w:rPr>
          <w:rFonts w:eastAsia="Perpetua" w:cs="Perpetua"/>
          <w:spacing w:val="-1"/>
        </w:rPr>
        <w:t>of</w:t>
      </w:r>
      <w:r>
        <w:rPr>
          <w:rFonts w:eastAsia="Perpetua" w:cs="Perpetua"/>
          <w:spacing w:val="24"/>
          <w:w w:val="99"/>
        </w:rPr>
        <w:t xml:space="preserve"> </w:t>
      </w:r>
      <w:r>
        <w:rPr>
          <w:rFonts w:eastAsia="Perpetua" w:cs="Perpetua"/>
          <w:spacing w:val="-1"/>
        </w:rPr>
        <w:t>Nazareth’.</w:t>
      </w:r>
      <w:r>
        <w:rPr>
          <w:rStyle w:val="EndnoteReference"/>
          <w:rFonts w:eastAsia="Perpetua" w:cs="Perpetua"/>
          <w:spacing w:val="-1"/>
        </w:rPr>
        <w:endnoteReference w:id="2254"/>
      </w:r>
      <w:r>
        <w:rPr>
          <w:rFonts w:eastAsia="Perpetua" w:cs="Perpetua"/>
          <w:spacing w:val="-1"/>
        </w:rPr>
        <w:t xml:space="preserve"> </w:t>
      </w:r>
    </w:p>
    <w:p w:rsidR="006A2E06" w:rsidRDefault="006A2E06" w:rsidP="006A2E06">
      <w:pPr>
        <w:spacing w:after="120" w:line="360" w:lineRule="auto"/>
        <w:ind w:firstLine="539"/>
        <w:jc w:val="both"/>
      </w:pPr>
      <w:r w:rsidRPr="00E30026">
        <w:t>Scofield employs ‘Messiah’ or ‘Messianic’ regarding the kingdom at least seven times in New Testament commentary</w:t>
      </w:r>
      <w:r>
        <w:t xml:space="preserve"> as shown in the table below.</w:t>
      </w:r>
      <w:r w:rsidRPr="00E30026">
        <w:t xml:space="preserve">  </w:t>
      </w:r>
    </w:p>
    <w:p w:rsidR="006A2E06" w:rsidRDefault="006A2E06" w:rsidP="006A2E06">
      <w:pPr>
        <w:spacing w:after="120" w:line="360" w:lineRule="auto"/>
        <w:ind w:firstLine="539"/>
        <w:jc w:val="both"/>
      </w:pPr>
      <w:r>
        <w:rPr>
          <w:noProof/>
          <w:lang w:eastAsia="en-GB"/>
        </w:rPr>
        <w:drawing>
          <wp:inline distT="0" distB="0" distL="0" distR="0" wp14:anchorId="58E1A196" wp14:editId="6300D18E">
            <wp:extent cx="5400040" cy="2601595"/>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anic Kdom Refs 22.3.18_Page_2 NT crop.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00040" cy="2601595"/>
                    </a:xfrm>
                    <a:prstGeom prst="rect">
                      <a:avLst/>
                    </a:prstGeom>
                  </pic:spPr>
                </pic:pic>
              </a:graphicData>
            </a:graphic>
          </wp:inline>
        </w:drawing>
      </w:r>
    </w:p>
    <w:p w:rsidR="006A2E06" w:rsidRDefault="006A2E06" w:rsidP="00D73C79">
      <w:pPr>
        <w:spacing w:after="120" w:line="360" w:lineRule="auto"/>
        <w:ind w:firstLine="142"/>
        <w:jc w:val="both"/>
      </w:pPr>
      <w:r w:rsidRPr="00E30026">
        <w:t xml:space="preserve">Fitzmyer does not comment on any of the verses to which Scofield applies Messianic connotations.  </w:t>
      </w:r>
      <w:r w:rsidRPr="00CC3A33">
        <w:t>Ironically, Scofield</w:t>
      </w:r>
      <w:r w:rsidRPr="00E30026">
        <w:t xml:space="preserve"> again fails to comment on the two verses</w:t>
      </w:r>
      <w:r w:rsidRPr="00E30026">
        <w:rPr>
          <w:rStyle w:val="EndnoteReference"/>
        </w:rPr>
        <w:endnoteReference w:id="2255"/>
      </w:r>
      <w:r w:rsidRPr="00E30026">
        <w:t xml:space="preserve"> where ‘Messias’ appears.  </w:t>
      </w:r>
      <w:r w:rsidRPr="00BD60F8">
        <w:rPr>
          <w:color w:val="000000"/>
          <w:szCs w:val="18"/>
        </w:rPr>
        <w:t>Fitzmyer draws attention to these on the very first page of his commentary.</w:t>
      </w:r>
      <w:r>
        <w:rPr>
          <w:rStyle w:val="EndnoteReference"/>
          <w:color w:val="000000"/>
          <w:szCs w:val="18"/>
        </w:rPr>
        <w:endnoteReference w:id="2256"/>
      </w:r>
      <w:r>
        <w:rPr>
          <w:color w:val="000000"/>
          <w:szCs w:val="18"/>
        </w:rPr>
        <w:t xml:space="preserve">  </w:t>
      </w:r>
    </w:p>
    <w:p w:rsidR="006A2E06" w:rsidRPr="0020245A" w:rsidRDefault="006A2E06" w:rsidP="006A2E06">
      <w:pPr>
        <w:spacing w:after="120" w:line="360" w:lineRule="auto"/>
        <w:ind w:right="-45"/>
        <w:jc w:val="both"/>
        <w:rPr>
          <w:rStyle w:val="ind"/>
          <w:b/>
        </w:rPr>
      </w:pPr>
      <w:proofErr w:type="gramStart"/>
      <w:r>
        <w:rPr>
          <w:rStyle w:val="ind"/>
          <w:b/>
        </w:rPr>
        <w:t>7</w:t>
      </w:r>
      <w:r w:rsidRPr="00C20558">
        <w:rPr>
          <w:rStyle w:val="ind"/>
          <w:b/>
        </w:rPr>
        <w:t>.2.</w:t>
      </w:r>
      <w:r>
        <w:rPr>
          <w:rStyle w:val="ind"/>
          <w:b/>
        </w:rPr>
        <w:t xml:space="preserve">4 </w:t>
      </w:r>
      <w:r w:rsidRPr="00C20558">
        <w:rPr>
          <w:rStyle w:val="ind"/>
          <w:b/>
        </w:rPr>
        <w:t xml:space="preserve"> The</w:t>
      </w:r>
      <w:proofErr w:type="gramEnd"/>
      <w:r w:rsidRPr="00C20558">
        <w:rPr>
          <w:rStyle w:val="ind"/>
          <w:b/>
        </w:rPr>
        <w:t xml:space="preserve"> Kingdom of Heaven and the Kingdom of God</w:t>
      </w:r>
      <w:r w:rsidR="000A0E03">
        <w:rPr>
          <w:rStyle w:val="EndnoteReference"/>
          <w:b/>
        </w:rPr>
        <w:endnoteReference w:id="2257"/>
      </w:r>
      <w:r>
        <w:rPr>
          <w:rStyle w:val="ind"/>
          <w:b/>
          <w:i/>
        </w:rPr>
        <w:t xml:space="preserve">  </w:t>
      </w:r>
    </w:p>
    <w:p w:rsidR="006A2E06" w:rsidRDefault="006A2E06" w:rsidP="006A2E06">
      <w:pPr>
        <w:spacing w:after="120" w:line="360" w:lineRule="auto"/>
        <w:ind w:right="-45"/>
        <w:jc w:val="both"/>
        <w:rPr>
          <w:rStyle w:val="ind"/>
        </w:rPr>
      </w:pPr>
      <w:r>
        <w:rPr>
          <w:rStyle w:val="ind"/>
        </w:rPr>
        <w:t xml:space="preserve">One of the features crucial to classical dispensationalism is its distinction between the kingdom of heaven and the kingdom of God and the identification of the millennial kingdom with the kingdom of heaven in a </w:t>
      </w:r>
      <w:r>
        <w:rPr>
          <w:rStyle w:val="ind"/>
        </w:rPr>
        <w:lastRenderedPageBreak/>
        <w:t>future form.  Blaising states that the most well-known version of this is that advanced by Scofield;</w:t>
      </w:r>
      <w:r>
        <w:rPr>
          <w:rStyle w:val="EndnoteReference"/>
        </w:rPr>
        <w:endnoteReference w:id="2258"/>
      </w:r>
      <w:r>
        <w:rPr>
          <w:rStyle w:val="ind"/>
        </w:rPr>
        <w:t xml:space="preserve">  ‘Scofield taught that the kingdom of heaven had three forms … “at hand” in Jesus’ preaching … now present in </w:t>
      </w:r>
      <w:r w:rsidRPr="000F4055">
        <w:rPr>
          <w:rStyle w:val="ind"/>
          <w:i/>
        </w:rPr>
        <w:t>mystery form</w:t>
      </w:r>
      <w:r>
        <w:rPr>
          <w:rStyle w:val="ind"/>
        </w:rPr>
        <w:t xml:space="preserve"> … and [to] be fulfilled in the Millennium.’</w:t>
      </w:r>
      <w:r w:rsidRPr="0084188A">
        <w:rPr>
          <w:rStyle w:val="EndnoteReference"/>
        </w:rPr>
        <w:endnoteReference w:id="2259"/>
      </w:r>
      <w:r>
        <w:rPr>
          <w:rStyle w:val="ind"/>
        </w:rPr>
        <w:t xml:space="preserve">  This will be discussed below.  </w:t>
      </w:r>
    </w:p>
    <w:p w:rsidR="006A2E06" w:rsidRDefault="006A2E06" w:rsidP="006A2E06">
      <w:pPr>
        <w:spacing w:after="120" w:line="360" w:lineRule="auto"/>
        <w:ind w:right="-45" w:firstLine="567"/>
        <w:jc w:val="both"/>
        <w:rPr>
          <w:rStyle w:val="ind"/>
        </w:rPr>
      </w:pPr>
      <w:r>
        <w:rPr>
          <w:rStyle w:val="ind"/>
        </w:rPr>
        <w:t>Darby refers to the kingdoms of heaven and of God in several documents</w:t>
      </w:r>
      <w:r>
        <w:rPr>
          <w:rStyle w:val="EndnoteReference"/>
        </w:rPr>
        <w:endnoteReference w:id="2260"/>
      </w:r>
      <w:r>
        <w:rPr>
          <w:rStyle w:val="ind"/>
        </w:rPr>
        <w:t xml:space="preserve"> and it is possible to see a relationship between his view and the view later developed and expressed much more definitively by Scofield.  Like Scofield, Darby sees the kingdom of heaven as being established on earth at Christ’s return but his interpretations of the current nature and roles of the kingdoms of heaven and of God is different from Scofield’s.  In his ‘Dispensation of the Kingdom of Heaven’, Darby writes:</w:t>
      </w:r>
    </w:p>
    <w:p w:rsidR="006A2E06" w:rsidRPr="0049447A" w:rsidRDefault="006A2E06" w:rsidP="006A2E06">
      <w:pPr>
        <w:pStyle w:val="NormalWeb"/>
        <w:spacing w:before="0" w:beforeAutospacing="0" w:after="120" w:afterAutospacing="0"/>
        <w:ind w:left="1134" w:right="1700"/>
        <w:rPr>
          <w:rFonts w:ascii="Perpetua" w:hAnsi="Perpetua"/>
          <w:sz w:val="22"/>
          <w:szCs w:val="22"/>
        </w:rPr>
      </w:pPr>
      <w:r w:rsidRPr="0049447A">
        <w:rPr>
          <w:rFonts w:ascii="Perpetua" w:hAnsi="Perpetua"/>
          <w:sz w:val="22"/>
          <w:szCs w:val="22"/>
        </w:rPr>
        <w:t xml:space="preserve">“The kingdom of God” is a distinct expression from “the kingdom of heaven,” although in many respects so identified, that the same things could be affirmed about it. … But at the same time they were of very distinct import; for it was a matter of faith to know that the “kingdom of God was come amongst them.” (See … Luke 11: 20; Luke 17:21.) … The kingdom of God was necessarily there when the Son of God was there — in a word, when God was there. The kingdom of heaven, as the development of God's </w:t>
      </w:r>
      <w:r w:rsidRPr="0049447A">
        <w:rPr>
          <w:rFonts w:ascii="Perpetua" w:hAnsi="Perpetua"/>
          <w:i/>
          <w:iCs/>
          <w:sz w:val="22"/>
          <w:szCs w:val="22"/>
        </w:rPr>
        <w:t>purpose</w:t>
      </w:r>
      <w:r w:rsidRPr="0049447A">
        <w:rPr>
          <w:rFonts w:ascii="Perpetua" w:hAnsi="Perpetua"/>
          <w:sz w:val="22"/>
          <w:szCs w:val="22"/>
        </w:rPr>
        <w:t xml:space="preserve">, could not be there while He was there; it resulted from the Lord's going away into heaven. </w:t>
      </w:r>
    </w:p>
    <w:p w:rsidR="006A2E06" w:rsidRPr="0049447A" w:rsidRDefault="006A2E06" w:rsidP="006A2E06">
      <w:pPr>
        <w:pStyle w:val="NormalWeb"/>
        <w:spacing w:before="0" w:beforeAutospacing="0" w:after="120" w:afterAutospacing="0"/>
        <w:ind w:left="1134" w:right="1700"/>
        <w:rPr>
          <w:rFonts w:ascii="Perpetua" w:hAnsi="Perpetua"/>
          <w:sz w:val="22"/>
          <w:szCs w:val="22"/>
        </w:rPr>
      </w:pPr>
      <w:r w:rsidRPr="0049447A">
        <w:rPr>
          <w:rFonts w:ascii="Perpetua" w:hAnsi="Perpetua"/>
          <w:sz w:val="22"/>
          <w:szCs w:val="22"/>
        </w:rPr>
        <w:t>The kingdom of God is the exercise or exhibition of the ruling power of God under any circumstances in the wisdom of God. The kingdom of heaven is the kingdom of God in its heavenly character. …</w:t>
      </w:r>
    </w:p>
    <w:p w:rsidR="006A2E06" w:rsidRDefault="006A2E06" w:rsidP="006A2E06">
      <w:pPr>
        <w:spacing w:after="120" w:line="240" w:lineRule="auto"/>
        <w:ind w:left="1134" w:right="1700"/>
        <w:jc w:val="both"/>
        <w:rPr>
          <w:rStyle w:val="ind"/>
        </w:rPr>
      </w:pPr>
      <w:r w:rsidRPr="002535A6">
        <w:t xml:space="preserve">… The kingdom of God, therefore, was amongst the Jews when He, the Son of God, Jesus, was there </w:t>
      </w:r>
      <w:r w:rsidRPr="00012B96">
        <w:rPr>
          <w:sz w:val="16"/>
          <w:szCs w:val="24"/>
        </w:rPr>
        <w:t>—</w:t>
      </w:r>
      <w:r w:rsidRPr="002535A6">
        <w:t xml:space="preserve"> and they ought to have known it </w:t>
      </w:r>
      <w:r w:rsidRPr="00012B96">
        <w:rPr>
          <w:sz w:val="16"/>
          <w:szCs w:val="24"/>
        </w:rPr>
        <w:t>—</w:t>
      </w:r>
      <w:r w:rsidRPr="002535A6">
        <w:t xml:space="preserve"> and the kingdom of heaven was at hand. By the earthliness of men, however, instead of gathering the Gentiles to the Jews, the Messiah being recognised, it was known only (as in God's counsels and wisdom meant to be) by the rejection of Him, and the exaltation … of the Son of man, who was the Lord from heaven, and Son of man in heaven. The kingdom of heaven (His kingdom was not of this world) was set up, continuing, as regards the Church, till the time when the saints, in the Father's kingdom, raised with Jesus at His second coming, shall know the blessedness of the rule of the Son of God and man, in the whole scene which once rejected Him, now brought under His sway and theirs (still, in that sense, the kingdom of heaven to those below), when they witness the blessedness of heavenly rule, while dwelling "kings and priests unto God" in the quiet and secure ful</w:t>
      </w:r>
      <w:r>
        <w:t>l</w:t>
      </w:r>
      <w:r w:rsidRPr="002535A6">
        <w:t>ness of the Father's house-sons with Him</w:t>
      </w:r>
      <w:r w:rsidRPr="000F4055">
        <w:rPr>
          <w:spacing w:val="-2"/>
        </w:rPr>
        <w:t>.</w:t>
      </w:r>
      <w:r>
        <w:rPr>
          <w:rStyle w:val="EndnoteReference"/>
        </w:rPr>
        <w:endnoteReference w:id="2261"/>
      </w:r>
    </w:p>
    <w:p w:rsidR="006A2E06" w:rsidRDefault="006A2E06" w:rsidP="006A2E06">
      <w:pPr>
        <w:autoSpaceDE w:val="0"/>
        <w:autoSpaceDN w:val="0"/>
        <w:adjustRightInd w:val="0"/>
        <w:spacing w:after="120" w:line="360" w:lineRule="auto"/>
        <w:ind w:right="74" w:firstLine="567"/>
        <w:jc w:val="both"/>
      </w:pPr>
      <w:r>
        <w:t xml:space="preserve">Like Darby in his </w:t>
      </w:r>
      <w:r>
        <w:rPr>
          <w:rStyle w:val="ind"/>
        </w:rPr>
        <w:t>‘Brief Remarks on the Work of Rev. David Brown’,</w:t>
      </w:r>
      <w:r>
        <w:rPr>
          <w:rStyle w:val="EndnoteReference"/>
        </w:rPr>
        <w:endnoteReference w:id="2262"/>
      </w:r>
      <w:r>
        <w:rPr>
          <w:rStyle w:val="ind"/>
        </w:rPr>
        <w:t xml:space="preserve"> </w:t>
      </w:r>
      <w:r>
        <w:t>Scofield notes that Matthew alone refers to ‘the kingdom of heaven’; he also points out that Matthew uses the term, ‘kingdom of God’, in Mt. 21:31 and 43.  He</w:t>
      </w:r>
      <w:r w:rsidRPr="005144CC">
        <w:t xml:space="preserve"> asserts five points of difference between the kingdoms of God and heaven.</w:t>
      </w:r>
      <w:r w:rsidRPr="005144CC">
        <w:rPr>
          <w:rStyle w:val="EndnoteReference"/>
        </w:rPr>
        <w:endnoteReference w:id="2263"/>
      </w:r>
      <w:r w:rsidRPr="005144CC">
        <w:t xml:space="preserve">  </w:t>
      </w:r>
    </w:p>
    <w:p w:rsidR="005E1DF3" w:rsidRPr="005E1DF3" w:rsidRDefault="005E1DF3" w:rsidP="005E1DF3">
      <w:pPr>
        <w:autoSpaceDE w:val="0"/>
        <w:autoSpaceDN w:val="0"/>
        <w:adjustRightInd w:val="0"/>
        <w:spacing w:after="120" w:line="360" w:lineRule="auto"/>
        <w:ind w:right="74"/>
        <w:jc w:val="both"/>
        <w:rPr>
          <w:b/>
          <w:i/>
        </w:rPr>
      </w:pPr>
      <w:r w:rsidRPr="005E1DF3">
        <w:rPr>
          <w:b/>
          <w:i/>
        </w:rPr>
        <w:t>Continued overleaf</w:t>
      </w:r>
    </w:p>
    <w:p w:rsidR="006A2E06" w:rsidRDefault="006A2E06" w:rsidP="006A2E06">
      <w:pPr>
        <w:autoSpaceDE w:val="0"/>
        <w:autoSpaceDN w:val="0"/>
        <w:adjustRightInd w:val="0"/>
        <w:spacing w:after="120" w:line="360" w:lineRule="auto"/>
        <w:ind w:right="74" w:firstLine="567"/>
        <w:jc w:val="both"/>
      </w:pPr>
      <w:r>
        <w:rPr>
          <w:noProof/>
          <w:lang w:eastAsia="en-GB"/>
        </w:rPr>
        <w:lastRenderedPageBreak/>
        <w:drawing>
          <wp:inline distT="0" distB="0" distL="0" distR="0" wp14:anchorId="31741B2A" wp14:editId="4E42E749">
            <wp:extent cx="5400040" cy="313245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doms heaven &amp; God contrasts table 15.1.18 rev 22.3.18 crop.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40" cy="3132455"/>
                    </a:xfrm>
                    <a:prstGeom prst="rect">
                      <a:avLst/>
                    </a:prstGeom>
                  </pic:spPr>
                </pic:pic>
              </a:graphicData>
            </a:graphic>
          </wp:inline>
        </w:drawing>
      </w:r>
    </w:p>
    <w:p w:rsidR="006A2E06" w:rsidRPr="005144CC" w:rsidRDefault="006A2E06" w:rsidP="006A2E06">
      <w:pPr>
        <w:autoSpaceDE w:val="0"/>
        <w:autoSpaceDN w:val="0"/>
        <w:adjustRightInd w:val="0"/>
        <w:spacing w:after="120" w:line="360" w:lineRule="auto"/>
        <w:ind w:right="74"/>
        <w:jc w:val="both"/>
      </w:pPr>
      <w:r w:rsidRPr="003818D5">
        <w:t>Scofield asserts that it</w:t>
      </w:r>
      <w:r>
        <w:t xml:space="preserve"> is </w:t>
      </w:r>
      <w:r w:rsidRPr="005144CC">
        <w:t xml:space="preserve">because </w:t>
      </w:r>
      <w:r>
        <w:t>‘</w:t>
      </w:r>
      <w:r w:rsidRPr="005144CC">
        <w:t xml:space="preserve">the </w:t>
      </w:r>
      <w:r>
        <w:t xml:space="preserve">two [kingdoms] </w:t>
      </w:r>
      <w:r w:rsidRPr="005144CC">
        <w:t xml:space="preserve">have </w:t>
      </w:r>
      <w:r>
        <w:t>almost all things in common’</w:t>
      </w:r>
      <w:r w:rsidRPr="005144CC">
        <w:t xml:space="preserve"> </w:t>
      </w:r>
      <w:r>
        <w:t>that</w:t>
      </w:r>
      <w:r w:rsidRPr="005144CC">
        <w:t xml:space="preserve"> Matthew uses </w:t>
      </w:r>
      <w:r>
        <w:t>‘</w:t>
      </w:r>
      <w:r w:rsidRPr="005144CC">
        <w:t>kingdom of heaven</w:t>
      </w:r>
      <w:r>
        <w:t>’</w:t>
      </w:r>
      <w:r w:rsidRPr="005144CC">
        <w:t xml:space="preserve"> in many cases where Mark and Luke use ‘kingdom of God</w:t>
      </w:r>
      <w:r>
        <w:t>’</w:t>
      </w:r>
      <w:r w:rsidRPr="005144CC">
        <w:t>.</w:t>
      </w:r>
      <w:r w:rsidRPr="005144CC">
        <w:rPr>
          <w:rStyle w:val="EndnoteReference"/>
        </w:rPr>
        <w:endnoteReference w:id="2264"/>
      </w:r>
      <w:r w:rsidRPr="005144CC">
        <w:t xml:space="preserve">  </w:t>
      </w:r>
      <w:r>
        <w:t xml:space="preserve">Scofield also avers that the earth is </w:t>
      </w:r>
      <w:r w:rsidRPr="006A4363">
        <w:t>‘a revolted province of the great kingdom of God’.</w:t>
      </w:r>
      <w:r>
        <w:rPr>
          <w:rStyle w:val="EndnoteReference"/>
        </w:rPr>
        <w:endnoteReference w:id="2265"/>
      </w:r>
      <w:r w:rsidRPr="006A4363">
        <w:t xml:space="preserve"> </w:t>
      </w:r>
      <w:r>
        <w:t xml:space="preserve"> He states that </w:t>
      </w:r>
      <w:r w:rsidRPr="005144CC">
        <w:rPr>
          <w:lang w:eastAsia="en-GB"/>
        </w:rPr>
        <w:t>the two kingdoms merge when Christ, ‘having “put all enemies under His feet”, “shall have delivered up the kingdom to God, even the Father”’.</w:t>
      </w:r>
      <w:r w:rsidRPr="005144CC">
        <w:rPr>
          <w:rStyle w:val="EndnoteReference"/>
          <w:lang w:eastAsia="en-GB"/>
        </w:rPr>
        <w:endnoteReference w:id="2266"/>
      </w:r>
    </w:p>
    <w:p w:rsidR="006A2E06" w:rsidRDefault="006A2E06" w:rsidP="006A2E06">
      <w:pPr>
        <w:spacing w:after="120" w:line="360" w:lineRule="auto"/>
        <w:ind w:firstLine="540"/>
        <w:jc w:val="both"/>
        <w:rPr>
          <w:szCs w:val="18"/>
        </w:rPr>
      </w:pPr>
      <w:r w:rsidRPr="007E164F">
        <w:t>Commenting on Jesus’ statement about the withdrawal of the kingdom of God in Mt. 21:31,</w:t>
      </w:r>
      <w:r w:rsidRPr="007E164F">
        <w:rPr>
          <w:rStyle w:val="EndnoteReference"/>
        </w:rPr>
        <w:endnoteReference w:id="2267"/>
      </w:r>
      <w:r w:rsidRPr="007E164F">
        <w:t xml:space="preserve"> Scofield states that ‘kingdom of God’ is a ‘larger word’; ‘the kingdom of God and His righteousness is taken from Israel nationally and given to the Gentiles’.</w:t>
      </w:r>
      <w:r w:rsidRPr="007E164F">
        <w:rPr>
          <w:rStyle w:val="EndnoteReference"/>
        </w:rPr>
        <w:endnoteReference w:id="2268"/>
      </w:r>
      <w:r w:rsidRPr="007E164F">
        <w:t xml:space="preserve">  </w:t>
      </w:r>
      <w:r w:rsidRPr="005144CC">
        <w:rPr>
          <w:lang w:eastAsia="en-GB"/>
        </w:rPr>
        <w:t>Attempting to explain Jesus’ enigmatic statement in Lk. 17:21 that</w:t>
      </w:r>
      <w:r>
        <w:rPr>
          <w:lang w:eastAsia="en-GB"/>
        </w:rPr>
        <w:t xml:space="preserve"> ‘</w:t>
      </w:r>
      <w:r w:rsidRPr="005144CC">
        <w:rPr>
          <w:lang w:eastAsia="en-GB"/>
        </w:rPr>
        <w:t>the kingdom of God is within you</w:t>
      </w:r>
      <w:r>
        <w:rPr>
          <w:lang w:eastAsia="en-GB"/>
        </w:rPr>
        <w:t>’</w:t>
      </w:r>
      <w:r w:rsidRPr="005144CC">
        <w:rPr>
          <w:lang w:eastAsia="en-GB"/>
        </w:rPr>
        <w:t>,</w:t>
      </w:r>
      <w:r>
        <w:rPr>
          <w:rStyle w:val="EndnoteReference"/>
          <w:lang w:eastAsia="en-GB"/>
        </w:rPr>
        <w:endnoteReference w:id="2269"/>
      </w:r>
      <w:r>
        <w:rPr>
          <w:lang w:eastAsia="en-GB"/>
        </w:rPr>
        <w:t xml:space="preserve"> </w:t>
      </w:r>
      <w:r w:rsidRPr="005144CC">
        <w:rPr>
          <w:lang w:eastAsia="en-GB"/>
        </w:rPr>
        <w:t>Scofield states that a ‘Christ-rejecting Pharisee’ could not be said to have ‘the spiritual content’ of the kingdom of God within him, thus Jesus’ answer ‘has a dispensational meaning’.  T</w:t>
      </w:r>
      <w:r w:rsidRPr="005144CC">
        <w:t>he Jews had rejected the covenanted Davidic kingdom in its outward form, thus it would not be observable during this present age, but exist only inwardly; it would ultimately ‘come, with outward show’</w:t>
      </w:r>
      <w:r>
        <w:t>;</w:t>
      </w:r>
      <w:r w:rsidRPr="005144CC">
        <w:rPr>
          <w:rStyle w:val="EndnoteReference"/>
        </w:rPr>
        <w:endnoteReference w:id="2270"/>
      </w:r>
      <w:r>
        <w:t xml:space="preserve"> </w:t>
      </w:r>
      <w:r w:rsidRPr="005144CC">
        <w:t xml:space="preserve">David is not mentioned in the text.  Moreover, </w:t>
      </w:r>
      <w:r>
        <w:t>Scofield’s interpretation implies that Christ</w:t>
      </w:r>
      <w:r w:rsidRPr="005144CC">
        <w:t xml:space="preserve"> desired the Pharisees to accept an outward kingdom rather than stating that they were looking in the wrong place.  </w:t>
      </w:r>
      <w:r>
        <w:t>This</w:t>
      </w:r>
      <w:r w:rsidRPr="005144CC">
        <w:t xml:space="preserve"> strongly </w:t>
      </w:r>
      <w:r>
        <w:t>suggests a</w:t>
      </w:r>
      <w:r w:rsidRPr="005144CC">
        <w:t xml:space="preserve"> notion that the Jews’ acceptance of a material kingdom </w:t>
      </w:r>
      <w:r>
        <w:t>‘</w:t>
      </w:r>
      <w:r w:rsidRPr="005144CC">
        <w:t>offered</w:t>
      </w:r>
      <w:r>
        <w:t>’</w:t>
      </w:r>
      <w:r w:rsidRPr="005144CC">
        <w:t xml:space="preserve"> by Christ would have obviated the need for his suffering, death and resurrection.  </w:t>
      </w:r>
      <w:r>
        <w:t xml:space="preserve">This impression is confirmed in two subheads: </w:t>
      </w:r>
      <w:r w:rsidRPr="00445880">
        <w:t>‘The King’s public offer of Himself as King’</w:t>
      </w:r>
      <w:r>
        <w:rPr>
          <w:rStyle w:val="EndnoteReference"/>
        </w:rPr>
        <w:endnoteReference w:id="2271"/>
      </w:r>
      <w:r w:rsidRPr="00445880">
        <w:t xml:space="preserve"> and ‘</w:t>
      </w:r>
      <w:proofErr w:type="gramStart"/>
      <w:r w:rsidRPr="00445880">
        <w:t>The</w:t>
      </w:r>
      <w:proofErr w:type="gramEnd"/>
      <w:r w:rsidRPr="00445880">
        <w:t xml:space="preserve"> official presentation of Jesus as King’,</w:t>
      </w:r>
      <w:r>
        <w:rPr>
          <w:rStyle w:val="EndnoteReference"/>
        </w:rPr>
        <w:endnoteReference w:id="2272"/>
      </w:r>
      <w:r w:rsidRPr="00445880">
        <w:t xml:space="preserve"> and also in the note on Mt. 21:4, where Scofield states that this was ‘the King’s final and official offer of Himself according to Zech. 9:9’.</w:t>
      </w:r>
      <w:r>
        <w:rPr>
          <w:rStyle w:val="EndnoteReference"/>
        </w:rPr>
        <w:endnoteReference w:id="2273"/>
      </w:r>
      <w:r>
        <w:t xml:space="preserve">  </w:t>
      </w:r>
      <w:r w:rsidRPr="005144CC">
        <w:t>Scofield states that the Jews were ‘never rebuked for expecting a visible and powerful kingdom’ even though they should have expected from the prophets that ‘only the poor in spirit and the meek could share in it’.</w:t>
      </w:r>
      <w:r w:rsidRPr="005144CC">
        <w:rPr>
          <w:rStyle w:val="EndnoteReference"/>
        </w:rPr>
        <w:endnoteReference w:id="2274"/>
      </w:r>
      <w:r w:rsidRPr="005144CC">
        <w:t xml:space="preserve">  He thus seems to imply that the kingdom of God is only a substitute for the kingdom of heaven, which has been </w:t>
      </w:r>
      <w:r w:rsidRPr="00F1755D">
        <w:t>postponed from the fifth to the seventh dispensation</w:t>
      </w:r>
      <w:r w:rsidRPr="005144CC">
        <w:t xml:space="preserve">.  Furthermore, the kingdom named in Luke is the </w:t>
      </w:r>
      <w:r w:rsidRPr="005144CC">
        <w:lastRenderedPageBreak/>
        <w:t>‘kingdom of God’, not the ‘kingdom of heaven’, a phrase peculiar to Matthew, yet Scofield uses ‘kingdom of heaven’ at the end of his note</w:t>
      </w:r>
      <w:r>
        <w:t xml:space="preserve"> on Lk. 17:21.</w:t>
      </w:r>
      <w:r>
        <w:rPr>
          <w:rStyle w:val="EndnoteReference"/>
        </w:rPr>
        <w:endnoteReference w:id="2275"/>
      </w:r>
      <w:r w:rsidRPr="005144CC">
        <w:t xml:space="preserve">  </w:t>
      </w:r>
      <w:r w:rsidRPr="00B060B4">
        <w:rPr>
          <w:szCs w:val="18"/>
        </w:rPr>
        <w:t>This could be another example of Scofield’s homogenisation of the gospels, or simply confusion.</w:t>
      </w:r>
    </w:p>
    <w:p w:rsidR="006A2E06" w:rsidRDefault="006A2E06" w:rsidP="006A2E06">
      <w:pPr>
        <w:autoSpaceDE w:val="0"/>
        <w:autoSpaceDN w:val="0"/>
        <w:adjustRightInd w:val="0"/>
        <w:spacing w:after="120" w:line="360" w:lineRule="auto"/>
        <w:ind w:right="71" w:firstLine="540"/>
        <w:jc w:val="both"/>
      </w:pPr>
      <w:r w:rsidRPr="005144CC">
        <w:rPr>
          <w:lang w:eastAsia="en-GB"/>
        </w:rPr>
        <w:t>The note on Acts 1:6 reveals ambiguity in Scofield’s conception of the kingdoms of heaven and of God.  Scofield unjustifiably asserts that Christ had, for forty days</w:t>
      </w:r>
      <w:r>
        <w:rPr>
          <w:lang w:eastAsia="en-GB"/>
        </w:rPr>
        <w:t>,</w:t>
      </w:r>
      <w:r w:rsidRPr="005144CC">
        <w:rPr>
          <w:lang w:eastAsia="en-GB"/>
        </w:rPr>
        <w:t xml:space="preserve"> been ‘instructing the apostles “of the things pertaining to the kingdom of God”’</w:t>
      </w:r>
      <w:r>
        <w:rPr>
          <w:lang w:eastAsia="en-GB"/>
        </w:rPr>
        <w:t>;</w:t>
      </w:r>
      <w:r w:rsidRPr="005144CC">
        <w:rPr>
          <w:lang w:eastAsia="en-GB"/>
        </w:rPr>
        <w:t xml:space="preserve"> the verses he references</w:t>
      </w:r>
      <w:r>
        <w:rPr>
          <w:lang w:eastAsia="en-GB"/>
        </w:rPr>
        <w:t xml:space="preserve"> in his note on Acts 1:6</w:t>
      </w:r>
      <w:r>
        <w:rPr>
          <w:rStyle w:val="EndnoteReference"/>
          <w:lang w:eastAsia="en-GB"/>
        </w:rPr>
        <w:endnoteReference w:id="2276"/>
      </w:r>
      <w:r w:rsidRPr="005144CC">
        <w:rPr>
          <w:lang w:eastAsia="en-GB"/>
        </w:rPr>
        <w:t xml:space="preserve"> </w:t>
      </w:r>
      <w:r w:rsidRPr="005144CC">
        <w:t xml:space="preserve">actually describe Christ’s opening the scriptures concerning himself to Cleopas and his companion </w:t>
      </w:r>
      <w:r>
        <w:t>on the way to</w:t>
      </w:r>
      <w:r w:rsidRPr="005144CC">
        <w:t xml:space="preserve"> Emmaus.</w:t>
      </w:r>
      <w:r w:rsidRPr="005144CC">
        <w:rPr>
          <w:rStyle w:val="EndnoteReference"/>
        </w:rPr>
        <w:endnoteReference w:id="2277"/>
      </w:r>
      <w:r w:rsidRPr="005144CC">
        <w:t xml:space="preserve">  None of these verses mentions the kingdom of God.  However, the use of the term ‘kingdom of God’ in commentary on the disciples’ question concerning the timing of the restoration of ‘the kingdom’ to </w:t>
      </w:r>
      <w:proofErr w:type="gramStart"/>
      <w:r w:rsidRPr="005144CC">
        <w:t>Israel,</w:t>
      </w:r>
      <w:proofErr w:type="gramEnd"/>
      <w:r w:rsidRPr="005144CC">
        <w:t xml:space="preserve"> implies that Scofield assumes that this is the kingdom of God</w:t>
      </w:r>
      <w:r>
        <w:t>; this is not</w:t>
      </w:r>
      <w:r w:rsidRPr="005144CC">
        <w:t xml:space="preserve"> stated in Acts 1:6.  This conflicts with Scofield’s earlier statements, where he identifies Christ’s Messianic earth-rule as ‘the kingdom of heaven’</w:t>
      </w:r>
      <w:r w:rsidRPr="005144CC">
        <w:rPr>
          <w:rStyle w:val="EndnoteReference"/>
        </w:rPr>
        <w:endnoteReference w:id="2278"/>
      </w:r>
      <w:r w:rsidRPr="005144CC">
        <w:t xml:space="preserve"> and avers that the kingdom of God is mainly spiritual but the kingdom of heaven ‘is to be manifested in glory on the earth’.</w:t>
      </w:r>
      <w:r w:rsidRPr="005144CC">
        <w:rPr>
          <w:rStyle w:val="EndnoteReference"/>
        </w:rPr>
        <w:endnoteReference w:id="2279"/>
      </w:r>
      <w:r w:rsidRPr="005144CC">
        <w:t xml:space="preserve">  It also conflicts with </w:t>
      </w:r>
      <w:r w:rsidRPr="005144CC">
        <w:rPr>
          <w:i/>
        </w:rPr>
        <w:t>SRB</w:t>
      </w:r>
      <w:r w:rsidRPr="005144CC">
        <w:t>’s unambiguous statement that it is the kingdom of heaven which is to be established on earth as the restored Davidic monarchy.</w:t>
      </w:r>
      <w:r w:rsidRPr="005144CC">
        <w:rPr>
          <w:rStyle w:val="EndnoteReference"/>
        </w:rPr>
        <w:endnoteReference w:id="2280"/>
      </w:r>
    </w:p>
    <w:p w:rsidR="006A2E06" w:rsidRPr="007E164F" w:rsidRDefault="006A2E06" w:rsidP="006A2E06">
      <w:pPr>
        <w:autoSpaceDE w:val="0"/>
        <w:autoSpaceDN w:val="0"/>
        <w:adjustRightInd w:val="0"/>
        <w:spacing w:after="120" w:line="360" w:lineRule="auto"/>
        <w:ind w:right="71"/>
        <w:jc w:val="both"/>
        <w:rPr>
          <w:b/>
          <w:i/>
        </w:rPr>
      </w:pPr>
      <w:r w:rsidRPr="007E164F">
        <w:rPr>
          <w:b/>
          <w:i/>
        </w:rPr>
        <w:t xml:space="preserve">The </w:t>
      </w:r>
      <w:r>
        <w:rPr>
          <w:b/>
          <w:i/>
        </w:rPr>
        <w:t xml:space="preserve">Mystery </w:t>
      </w:r>
      <w:r w:rsidRPr="007E164F">
        <w:rPr>
          <w:b/>
          <w:i/>
        </w:rPr>
        <w:t>Form of the Kingdom of Heaven in This Age</w:t>
      </w:r>
    </w:p>
    <w:p w:rsidR="006A2E06" w:rsidRPr="005144CC" w:rsidRDefault="006A2E06" w:rsidP="006A2E06">
      <w:pPr>
        <w:spacing w:after="120" w:line="360" w:lineRule="auto"/>
        <w:jc w:val="both"/>
      </w:pPr>
      <w:r>
        <w:t xml:space="preserve">Unlike Darby, who confines the kingdom of heaven during this age to heaven, Scofield avers a role for the kingdom of heaven on earth in this age; it is </w:t>
      </w:r>
      <w:r w:rsidRPr="005144CC">
        <w:t xml:space="preserve">a </w:t>
      </w:r>
      <w:r>
        <w:t>‘</w:t>
      </w:r>
      <w:r w:rsidRPr="005144CC">
        <w:t>mystery form</w:t>
      </w:r>
      <w:r>
        <w:t>’</w:t>
      </w:r>
      <w:r w:rsidRPr="005144CC">
        <w:t>.</w:t>
      </w:r>
      <w:r>
        <w:rPr>
          <w:rStyle w:val="EndnoteReference"/>
        </w:rPr>
        <w:endnoteReference w:id="2281"/>
      </w:r>
      <w:r w:rsidRPr="005144CC">
        <w:t xml:space="preserve">  </w:t>
      </w:r>
      <w:r>
        <w:t>He</w:t>
      </w:r>
      <w:r w:rsidRPr="005144CC">
        <w:t xml:space="preserve"> aver</w:t>
      </w:r>
      <w:r>
        <w:t>s</w:t>
      </w:r>
      <w:r w:rsidRPr="005144CC">
        <w:t xml:space="preserve"> that ‘a mystery in Scripture is a previously hidden truth, now divinely revealed’; Scofield </w:t>
      </w:r>
      <w:r>
        <w:t>states</w:t>
      </w:r>
      <w:r w:rsidRPr="005144CC">
        <w:t xml:space="preserve"> that ‘a supernatural element remains’ in this.</w:t>
      </w:r>
      <w:r w:rsidRPr="005144CC">
        <w:rPr>
          <w:rStyle w:val="EndnoteReference"/>
        </w:rPr>
        <w:endnoteReference w:id="2282"/>
      </w:r>
      <w:r w:rsidRPr="005144CC">
        <w:t xml:space="preserve">  </w:t>
      </w:r>
      <w:r>
        <w:t>T</w:t>
      </w:r>
      <w:r w:rsidRPr="005144CC">
        <w:t xml:space="preserve">he first of the greater mysteries is </w:t>
      </w:r>
      <w:r>
        <w:t>‘</w:t>
      </w:r>
      <w:r w:rsidRPr="005144CC">
        <w:t>the kingdom of heaven.’</w:t>
      </w:r>
      <w:r w:rsidRPr="005144CC">
        <w:rPr>
          <w:rStyle w:val="EndnoteReference"/>
        </w:rPr>
        <w:endnoteReference w:id="2283"/>
      </w:r>
      <w:r w:rsidRPr="005144CC">
        <w:t xml:space="preserve">  In God’s as yet undisclosed knowledge ‘lay the rejection of the kingdom (and King), the long period of the mystery-form of the kingdom’.</w:t>
      </w:r>
      <w:r w:rsidRPr="005144CC">
        <w:rPr>
          <w:rStyle w:val="EndnoteReference"/>
        </w:rPr>
        <w:endnoteReference w:id="2284"/>
      </w:r>
      <w:r w:rsidRPr="005144CC">
        <w:t xml:space="preserve">  The Church represents ‘the revelation of the mystery hid in God’</w:t>
      </w:r>
      <w:r w:rsidRPr="005144CC">
        <w:rPr>
          <w:rStyle w:val="EndnoteReference"/>
        </w:rPr>
        <w:endnoteReference w:id="2285"/>
      </w:r>
      <w:r w:rsidRPr="005144CC">
        <w:t xml:space="preserve"> and is also contemporary with the mysteries of the kingdom.</w:t>
      </w:r>
      <w:r w:rsidRPr="005144CC">
        <w:rPr>
          <w:rStyle w:val="EndnoteReference"/>
        </w:rPr>
        <w:endnoteReference w:id="2286"/>
      </w:r>
    </w:p>
    <w:p w:rsidR="006A2E06" w:rsidRPr="005144CC" w:rsidRDefault="006A2E06" w:rsidP="006A2E06">
      <w:pPr>
        <w:spacing w:after="120" w:line="360" w:lineRule="auto"/>
        <w:ind w:firstLine="567"/>
        <w:jc w:val="both"/>
      </w:pPr>
      <w:r w:rsidRPr="005144CC">
        <w:t>The notion of mystery-form is particularly advanced in Scofield’s commentary on Matthew, especially Matthew 13</w:t>
      </w:r>
      <w:r>
        <w:t>, which contains a series of subheads attributing ‘mystery’ to the parables.</w:t>
      </w:r>
      <w:r>
        <w:rPr>
          <w:rStyle w:val="EndnoteReference"/>
        </w:rPr>
        <w:endnoteReference w:id="2287"/>
      </w:r>
      <w:r w:rsidRPr="005144CC">
        <w:t xml:space="preserve">  </w:t>
      </w:r>
      <w:r>
        <w:t>Scofield</w:t>
      </w:r>
      <w:r w:rsidRPr="005144CC">
        <w:t xml:space="preserve"> claim</w:t>
      </w:r>
      <w:r>
        <w:t>s</w:t>
      </w:r>
      <w:r w:rsidRPr="005144CC">
        <w:t xml:space="preserve"> that the parables in this chapter are ‘called by Jesus “the mysteries of the kingdom of heaven”’.</w:t>
      </w:r>
      <w:r w:rsidRPr="005144CC">
        <w:rPr>
          <w:rStyle w:val="EndnoteReference"/>
        </w:rPr>
        <w:endnoteReference w:id="2288"/>
      </w:r>
      <w:r w:rsidRPr="005144CC">
        <w:t xml:space="preserve">  These </w:t>
      </w:r>
      <w:r>
        <w:t xml:space="preserve">seven </w:t>
      </w:r>
      <w:r w:rsidRPr="005144CC">
        <w:t>mysteries occur between Christ’s advents to suffering and to glory</w:t>
      </w:r>
      <w:r>
        <w:t>,</w:t>
      </w:r>
      <w:r w:rsidRPr="005144CC">
        <w:rPr>
          <w:rStyle w:val="EndnoteReference"/>
        </w:rPr>
        <w:endnoteReference w:id="2289"/>
      </w:r>
      <w:r>
        <w:t xml:space="preserve"> and </w:t>
      </w:r>
      <w:r w:rsidRPr="005144CC">
        <w:t>are to be fulfilled during this age.</w:t>
      </w:r>
      <w:r w:rsidRPr="005144CC">
        <w:rPr>
          <w:rStyle w:val="EndnoteReference"/>
        </w:rPr>
        <w:endnoteReference w:id="2290"/>
      </w:r>
      <w:r w:rsidRPr="005144CC">
        <w:t xml:space="preserve">  ‘The great growth of the mustard seed prefigures the rapid but unsubstantial growth of the mystery form of the kingdom from an insignificant beginning to a great place in the earth’.</w:t>
      </w:r>
      <w:r>
        <w:rPr>
          <w:rStyle w:val="EndnoteReference"/>
        </w:rPr>
        <w:endnoteReference w:id="2291"/>
      </w:r>
      <w:r w:rsidRPr="005144CC">
        <w:t xml:space="preserve">  ‘</w:t>
      </w:r>
      <w:r>
        <w:t>T</w:t>
      </w:r>
      <w:r w:rsidRPr="005144CC">
        <w:t>he Lord’s return tests the real state of the kingdom in mystery</w:t>
      </w:r>
      <w:r>
        <w:t>.</w:t>
      </w:r>
      <w:r w:rsidRPr="005144CC">
        <w:t>’</w:t>
      </w:r>
      <w:r w:rsidRPr="005144CC">
        <w:rPr>
          <w:rStyle w:val="EndnoteReference"/>
        </w:rPr>
        <w:endnoteReference w:id="2292"/>
      </w:r>
    </w:p>
    <w:p w:rsidR="006A2E06" w:rsidRPr="005144CC" w:rsidRDefault="006A2E06" w:rsidP="006A2E06">
      <w:pPr>
        <w:spacing w:after="120" w:line="360" w:lineRule="auto"/>
        <w:ind w:firstLine="567"/>
        <w:jc w:val="both"/>
      </w:pPr>
      <w:r w:rsidRPr="005144CC">
        <w:t>These claims of mystery are not accurate; the word,</w:t>
      </w:r>
      <w:r w:rsidRPr="005144CC">
        <w:rPr>
          <w:sz w:val="28"/>
          <w:szCs w:val="24"/>
        </w:rPr>
        <w:t xml:space="preserve"> </w:t>
      </w:r>
      <w:r w:rsidRPr="007E164F">
        <w:rPr>
          <w:rFonts w:ascii="Bwgrkl" w:hAnsi="Bwgrkl" w:cs="Bwgrkl"/>
          <w:szCs w:val="24"/>
          <w:lang w:val="en-US" w:bidi="he-IL"/>
        </w:rPr>
        <w:t>musth,rion</w:t>
      </w:r>
      <w:r w:rsidRPr="005144CC">
        <w:rPr>
          <w:szCs w:val="24"/>
        </w:rPr>
        <w:t>,</w:t>
      </w:r>
      <w:r>
        <w:rPr>
          <w:rStyle w:val="EndnoteReference"/>
          <w:szCs w:val="24"/>
        </w:rPr>
        <w:endnoteReference w:id="2293"/>
      </w:r>
      <w:r>
        <w:rPr>
          <w:szCs w:val="24"/>
        </w:rPr>
        <w:t xml:space="preserve"> </w:t>
      </w:r>
      <w:r w:rsidRPr="005144CC">
        <w:t xml:space="preserve">occurs only three times in the </w:t>
      </w:r>
      <w:r w:rsidR="001650CA">
        <w:t>G</w:t>
      </w:r>
      <w:r w:rsidRPr="005144CC">
        <w:t>ospels,</w:t>
      </w:r>
      <w:r>
        <w:rPr>
          <w:rStyle w:val="EndnoteReference"/>
        </w:rPr>
        <w:endnoteReference w:id="2294"/>
      </w:r>
      <w:r>
        <w:t xml:space="preserve"> </w:t>
      </w:r>
      <w:r w:rsidRPr="005144CC">
        <w:t>in Christ’s response to questions from the disciples, explaining that he uses parables because only his discipl</w:t>
      </w:r>
      <w:r>
        <w:t xml:space="preserve">es are given to know the secret or </w:t>
      </w:r>
      <w:r w:rsidRPr="005144CC">
        <w:t>secret</w:t>
      </w:r>
      <w:r>
        <w:t>s</w:t>
      </w:r>
      <w:r w:rsidRPr="005144CC">
        <w:t xml:space="preserve"> of the kingdom of heaven</w:t>
      </w:r>
      <w:r>
        <w:t xml:space="preserve"> or of </w:t>
      </w:r>
      <w:r w:rsidRPr="005144CC">
        <w:t>God.  He does not call the parables themselves mysteries.  The seven ‘mysteries’ listed by Scofield are, in fact, a metaphor for God</w:t>
      </w:r>
      <w:r>
        <w:rPr>
          <w:rStyle w:val="EndnoteReference"/>
        </w:rPr>
        <w:endnoteReference w:id="2295"/>
      </w:r>
      <w:r>
        <w:t xml:space="preserve"> </w:t>
      </w:r>
      <w:r w:rsidRPr="005144CC">
        <w:t xml:space="preserve">and six metaphors for the kingdom, each introduced by </w:t>
      </w:r>
      <w:r w:rsidRPr="002535A6">
        <w:t>‘</w:t>
      </w:r>
      <w:r w:rsidRPr="002535A6">
        <w:rPr>
          <w:rFonts w:ascii="Bwgrkl" w:hAnsi="Bwgrkl" w:cs="Bwgrkl"/>
          <w:sz w:val="24"/>
          <w:szCs w:val="24"/>
          <w:lang w:val="en-US" w:bidi="he-IL"/>
        </w:rPr>
        <w:t>~</w:t>
      </w:r>
      <w:r w:rsidRPr="002535A6">
        <w:rPr>
          <w:rFonts w:ascii="Bwgrkl" w:hAnsi="Bwgrkl" w:cs="Bwgrkl"/>
          <w:szCs w:val="24"/>
          <w:lang w:val="en-US" w:bidi="he-IL"/>
        </w:rPr>
        <w:t>Wmoiw,qh h` basilei,a tw/n ouvranw/</w:t>
      </w:r>
      <w:r w:rsidRPr="002535A6">
        <w:rPr>
          <w:rFonts w:ascii="Times New Roman" w:hAnsi="Times New Roman"/>
          <w:sz w:val="18"/>
          <w:lang w:val="en-US" w:bidi="he-IL"/>
        </w:rPr>
        <w:t>n</w:t>
      </w:r>
      <w:r w:rsidRPr="002535A6">
        <w:rPr>
          <w:rFonts w:ascii="Times New Roman" w:hAnsi="Times New Roman"/>
          <w:sz w:val="18"/>
        </w:rPr>
        <w:t>’</w:t>
      </w:r>
      <w:r w:rsidRPr="002535A6">
        <w:rPr>
          <w:rStyle w:val="EndnoteReference"/>
          <w:rFonts w:ascii="Times New Roman" w:hAnsi="Times New Roman"/>
          <w:sz w:val="18"/>
        </w:rPr>
        <w:endnoteReference w:id="2296"/>
      </w:r>
      <w:r w:rsidRPr="002535A6">
        <w:rPr>
          <w:rFonts w:ascii="Times New Roman" w:hAnsi="Times New Roman"/>
          <w:sz w:val="18"/>
        </w:rPr>
        <w:t xml:space="preserve"> </w:t>
      </w:r>
      <w:r w:rsidRPr="002535A6">
        <w:rPr>
          <w:rFonts w:ascii="Times New Roman" w:hAnsi="Times New Roman"/>
          <w:sz w:val="18"/>
        </w:rPr>
        <w:lastRenderedPageBreak/>
        <w:t>or</w:t>
      </w:r>
      <w:r w:rsidRPr="002535A6">
        <w:rPr>
          <w:szCs w:val="24"/>
        </w:rPr>
        <w:t xml:space="preserve"> </w:t>
      </w:r>
      <w:r w:rsidRPr="002535A6">
        <w:rPr>
          <w:sz w:val="18"/>
        </w:rPr>
        <w:t>‘</w:t>
      </w:r>
      <w:r w:rsidRPr="002535A6">
        <w:rPr>
          <w:rFonts w:ascii="Bwgrkl" w:hAnsi="Bwgrkl" w:cs="Bwgrkl"/>
          <w:szCs w:val="24"/>
          <w:lang w:val="en-US" w:bidi="he-IL"/>
        </w:rPr>
        <w:t>o`moi,a evsti.n h` basilei,a tw/n ouvranw/n</w:t>
      </w:r>
      <w:r w:rsidRPr="002535A6">
        <w:rPr>
          <w:szCs w:val="24"/>
        </w:rPr>
        <w:t>’</w:t>
      </w:r>
      <w:r w:rsidRPr="005144CC">
        <w:rPr>
          <w:szCs w:val="24"/>
        </w:rPr>
        <w:t>.</w:t>
      </w:r>
      <w:r>
        <w:rPr>
          <w:rStyle w:val="EndnoteReference"/>
          <w:szCs w:val="24"/>
        </w:rPr>
        <w:endnoteReference w:id="2297"/>
      </w:r>
      <w:r w:rsidRPr="005144CC">
        <w:rPr>
          <w:szCs w:val="24"/>
        </w:rPr>
        <w:t xml:space="preserve">  </w:t>
      </w:r>
      <w:r w:rsidRPr="005144CC">
        <w:t>Christ does not refer to a ‘mystery-form’ of the kingdom but to the kingdom itself.</w:t>
      </w:r>
    </w:p>
    <w:p w:rsidR="006A2E06" w:rsidRPr="005144CC" w:rsidRDefault="006A2E06" w:rsidP="006A2E06">
      <w:pPr>
        <w:spacing w:after="120" w:line="360" w:lineRule="auto"/>
        <w:ind w:firstLine="567"/>
        <w:jc w:val="both"/>
      </w:pPr>
      <w:r w:rsidRPr="005144CC">
        <w:t>According to Scofield’s note on Dan. 9:24, the mysteries of the kingdom of heaven and the ‘outcalling’ of the Church are to occur during the period between the crucifixion and destruction of Jerusalem,</w:t>
      </w:r>
      <w:r w:rsidRPr="005144CC">
        <w:rPr>
          <w:rStyle w:val="EndnoteReference"/>
        </w:rPr>
        <w:endnoteReference w:id="2298"/>
      </w:r>
      <w:r w:rsidRPr="005144CC">
        <w:t xml:space="preserve"> and ‘the end’.</w:t>
      </w:r>
      <w:r>
        <w:t xml:space="preserve">  </w:t>
      </w:r>
      <w:r w:rsidRPr="00E3608F">
        <w:rPr>
          <w:color w:val="000000"/>
        </w:rPr>
        <w:t>Only the continuation of wars and desolation were revealed to Daniel but the New Testament ‘reveals … that during this period should be accomplished certain mysteries of the kingdom of heaven’.</w:t>
      </w:r>
      <w:r>
        <w:rPr>
          <w:rStyle w:val="EndnoteReference"/>
          <w:color w:val="000000"/>
        </w:rPr>
        <w:endnoteReference w:id="2299"/>
      </w:r>
      <w:r w:rsidRPr="005144CC">
        <w:t xml:space="preserve">  </w:t>
      </w:r>
      <w:r>
        <w:t>Scofield states</w:t>
      </w:r>
      <w:r w:rsidRPr="005144CC">
        <w:t xml:space="preserve"> that the Church is another mystery revealed through Paul, being fulfilled contemporaneously with the kingdom in the present age.  The mysteries will end at the ‘harvest’ after the Church has been caught up to meet Christ in the air.</w:t>
      </w:r>
      <w:r w:rsidRPr="005144CC">
        <w:rPr>
          <w:rStyle w:val="EndnoteReference"/>
        </w:rPr>
        <w:endnoteReference w:id="2300"/>
      </w:r>
      <w:r w:rsidRPr="005144CC">
        <w:t xml:space="preserve">  </w:t>
      </w:r>
    </w:p>
    <w:p w:rsidR="006A2E06" w:rsidRPr="00972083" w:rsidRDefault="006A2E06" w:rsidP="006A2E06">
      <w:pPr>
        <w:pStyle w:val="FootnoteText"/>
        <w:spacing w:after="120" w:line="360" w:lineRule="auto"/>
        <w:ind w:firstLine="425"/>
        <w:jc w:val="both"/>
        <w:rPr>
          <w:rFonts w:ascii="Perpetua" w:hAnsi="Perpetua"/>
          <w:sz w:val="22"/>
        </w:rPr>
      </w:pPr>
      <w:r w:rsidRPr="00972083">
        <w:rPr>
          <w:rFonts w:ascii="Perpetua" w:hAnsi="Perpetua"/>
          <w:sz w:val="22"/>
        </w:rPr>
        <w:t>However, the kingdom of heaven in the present age, in addition to being in ‘mystery-form’, is also ‘the sphere of a profession which may be real or false’.</w:t>
      </w:r>
      <w:r w:rsidRPr="00972083">
        <w:rPr>
          <w:rStyle w:val="EndnoteReference"/>
          <w:rFonts w:ascii="Perpetua" w:hAnsi="Perpetua"/>
          <w:sz w:val="22"/>
        </w:rPr>
        <w:endnoteReference w:id="2301"/>
      </w:r>
      <w:r w:rsidRPr="00972083">
        <w:rPr>
          <w:rFonts w:ascii="Perpetua" w:hAnsi="Perpetua"/>
          <w:sz w:val="22"/>
        </w:rPr>
        <w:t xml:space="preserve">  Scofield holds that the parables of the kingdom of heaven after those of Matthew 13 encapsulate this.</w:t>
      </w:r>
      <w:r w:rsidRPr="00972083">
        <w:rPr>
          <w:rStyle w:val="EndnoteReference"/>
          <w:rFonts w:ascii="Perpetua" w:hAnsi="Perpetua"/>
          <w:sz w:val="22"/>
        </w:rPr>
        <w:endnoteReference w:id="2302"/>
      </w:r>
      <w:r w:rsidRPr="00972083">
        <w:rPr>
          <w:rFonts w:ascii="Perpetua" w:hAnsi="Perpetua"/>
          <w:sz w:val="22"/>
        </w:rPr>
        <w:t xml:space="preserve">  He states that the parables of the wheat and tares, and good and bad fish, are indicative of Christian</w:t>
      </w:r>
      <w:r w:rsidRPr="00972083">
        <w:rPr>
          <w:rFonts w:ascii="Perpetua" w:hAnsi="Perpetua"/>
          <w:sz w:val="28"/>
          <w:szCs w:val="24"/>
        </w:rPr>
        <w:t xml:space="preserve"> </w:t>
      </w:r>
      <w:r w:rsidRPr="00972083">
        <w:rPr>
          <w:rFonts w:ascii="Perpetua" w:hAnsi="Perpetua"/>
          <w:sz w:val="22"/>
        </w:rPr>
        <w:t>profession or ‘Christendom’.</w:t>
      </w:r>
      <w:r w:rsidRPr="00972083">
        <w:rPr>
          <w:rStyle w:val="EndnoteReference"/>
          <w:rFonts w:ascii="Perpetua" w:hAnsi="Perpetua"/>
          <w:sz w:val="22"/>
        </w:rPr>
        <w:endnoteReference w:id="2303"/>
      </w:r>
      <w:r w:rsidRPr="00972083">
        <w:rPr>
          <w:rFonts w:ascii="Perpetua" w:hAnsi="Perpetua"/>
          <w:sz w:val="22"/>
        </w:rPr>
        <w:t xml:space="preserve">  The parable of the wheat and tares is ‘a description of what professes to be the kingdom’.</w:t>
      </w:r>
      <w:r w:rsidRPr="00972083">
        <w:rPr>
          <w:rStyle w:val="EndnoteReference"/>
          <w:rFonts w:ascii="Perpetua" w:hAnsi="Perpetua"/>
          <w:sz w:val="22"/>
        </w:rPr>
        <w:endnoteReference w:id="2304"/>
      </w:r>
      <w:r w:rsidRPr="00972083">
        <w:rPr>
          <w:rFonts w:ascii="Perpetua" w:hAnsi="Perpetua"/>
          <w:sz w:val="22"/>
        </w:rPr>
        <w:t xml:space="preserve">  </w:t>
      </w:r>
      <w:r w:rsidRPr="00972083">
        <w:rPr>
          <w:rFonts w:ascii="Perpetua" w:hAnsi="Perpetua"/>
          <w:i/>
          <w:sz w:val="22"/>
        </w:rPr>
        <w:t>SRB</w:t>
      </w:r>
      <w:r w:rsidRPr="00972083">
        <w:rPr>
          <w:rFonts w:ascii="Perpetua" w:hAnsi="Perpetua"/>
          <w:sz w:val="22"/>
        </w:rPr>
        <w:t xml:space="preserve"> includes the parable of the bridesmaids in this category.</w:t>
      </w:r>
      <w:r w:rsidRPr="00972083">
        <w:rPr>
          <w:rStyle w:val="EndnoteReference"/>
          <w:rFonts w:ascii="Perpetua" w:hAnsi="Perpetua"/>
          <w:sz w:val="22"/>
        </w:rPr>
        <w:endnoteReference w:id="2305"/>
      </w:r>
      <w:r w:rsidRPr="00972083">
        <w:rPr>
          <w:rFonts w:ascii="Perpetua" w:hAnsi="Perpetua"/>
          <w:sz w:val="22"/>
        </w:rPr>
        <w:t xml:space="preserve">  </w:t>
      </w:r>
      <w:r w:rsidRPr="00972083">
        <w:rPr>
          <w:rFonts w:ascii="Perpetua" w:hAnsi="Perpetua"/>
          <w:sz w:val="22"/>
          <w:lang w:eastAsia="en-GB"/>
        </w:rPr>
        <w:t>Scofield claims that l</w:t>
      </w:r>
      <w:r w:rsidRPr="00972083">
        <w:rPr>
          <w:rFonts w:ascii="Perpetua" w:hAnsi="Perpetua"/>
          <w:sz w:val="22"/>
        </w:rPr>
        <w:t>eaven also represents the corruption of true doctrine by false.</w:t>
      </w:r>
      <w:r w:rsidRPr="00972083">
        <w:rPr>
          <w:rStyle w:val="EndnoteReference"/>
          <w:rFonts w:ascii="Perpetua" w:hAnsi="Perpetua"/>
          <w:sz w:val="22"/>
        </w:rPr>
        <w:endnoteReference w:id="2306"/>
      </w:r>
      <w:r w:rsidRPr="00972083">
        <w:rPr>
          <w:rFonts w:ascii="Perpetua" w:hAnsi="Perpetua"/>
          <w:sz w:val="22"/>
        </w:rPr>
        <w:t xml:space="preserve">  He asserts that the keys of the kingdom of heaven given to Peter are ‘viewed as’ pertaining to ‘the sphere of Christian profession’,</w:t>
      </w:r>
      <w:r w:rsidRPr="00972083">
        <w:rPr>
          <w:rStyle w:val="EndnoteReference"/>
          <w:rFonts w:ascii="Perpetua" w:hAnsi="Perpetua"/>
          <w:sz w:val="22"/>
        </w:rPr>
        <w:endnoteReference w:id="2307"/>
      </w:r>
      <w:r w:rsidRPr="00972083">
        <w:rPr>
          <w:rFonts w:ascii="Perpetua" w:hAnsi="Perpetua"/>
          <w:sz w:val="22"/>
        </w:rPr>
        <w:t xml:space="preserve"> as is Peter’s use of them in Acts.</w:t>
      </w:r>
      <w:r w:rsidRPr="00972083">
        <w:rPr>
          <w:rStyle w:val="EndnoteReference"/>
          <w:rFonts w:ascii="Perpetua" w:hAnsi="Perpetua"/>
          <w:sz w:val="22"/>
        </w:rPr>
        <w:endnoteReference w:id="2308"/>
      </w:r>
      <w:r w:rsidRPr="00972083">
        <w:rPr>
          <w:rFonts w:ascii="Perpetua" w:hAnsi="Perpetua"/>
          <w:sz w:val="22"/>
        </w:rPr>
        <w:t xml:space="preserve">  He states that it is a mistake to think that the world will be converted during this age,</w:t>
      </w:r>
      <w:r w:rsidRPr="00972083">
        <w:rPr>
          <w:rStyle w:val="EndnoteReference"/>
          <w:rFonts w:ascii="Perpetua" w:hAnsi="Perpetua"/>
          <w:sz w:val="22"/>
        </w:rPr>
        <w:endnoteReference w:id="2309"/>
      </w:r>
      <w:r w:rsidRPr="00972083">
        <w:rPr>
          <w:rFonts w:ascii="Perpetua" w:hAnsi="Perpetua"/>
          <w:sz w:val="22"/>
        </w:rPr>
        <w:t xml:space="preserve"> when the kingdom is inward only.</w:t>
      </w:r>
      <w:r w:rsidRPr="00972083">
        <w:rPr>
          <w:rStyle w:val="EndnoteReference"/>
          <w:rFonts w:ascii="Perpetua" w:hAnsi="Perpetua"/>
          <w:sz w:val="22"/>
        </w:rPr>
        <w:endnoteReference w:id="2310"/>
      </w:r>
    </w:p>
    <w:p w:rsidR="006A2E06" w:rsidRPr="00972083" w:rsidRDefault="006A2E06" w:rsidP="006A2E06">
      <w:pPr>
        <w:spacing w:after="120" w:line="360" w:lineRule="auto"/>
        <w:ind w:right="-45" w:firstLine="567"/>
        <w:jc w:val="both"/>
        <w:rPr>
          <w:rStyle w:val="ind"/>
        </w:rPr>
      </w:pPr>
      <w:r w:rsidRPr="00972083">
        <w:rPr>
          <w:rStyle w:val="ind"/>
        </w:rPr>
        <w:t>It is significant that Darby specifically gives the title, ‘the Dispensation of the Kingdom of Heaven’, to his document concerning the future age which was quoted above.  The implication in this passage is that Darby believed that the kingdom of heaven, which is ‘the kingdom of God in its heavenly character’, is confined to heaven as during the current dispensation and has no role on earth.  For Darby, the kingdom of heaven has never been present on earth and will not appear until it is brought by Christ at his second coming.  Conversely, for Scofield, the kingdom of heaven in the current age is in mystery form or is ‘the sphere of profession’ but will come to fruition in the future age as the millennial kingdom.</w:t>
      </w:r>
    </w:p>
    <w:p w:rsidR="006A2E06" w:rsidRDefault="006A2E06" w:rsidP="006A2E06">
      <w:pPr>
        <w:spacing w:after="120" w:line="360" w:lineRule="auto"/>
        <w:ind w:right="-45" w:firstLine="567"/>
        <w:jc w:val="both"/>
        <w:rPr>
          <w:rStyle w:val="ind"/>
        </w:rPr>
      </w:pPr>
      <w:r>
        <w:rPr>
          <w:rStyle w:val="ind"/>
        </w:rPr>
        <w:t xml:space="preserve">Chafer’s view of the two kingdoms reflects Scofield’s.  Chafer, too, associates the ‘final form’ of the kingdom of heaven with the millennial kingdom and endorses Scofield’s concept of ‘mysteries’.  He even says specifically that the kingdom of heaven is ‘limited to the earth’: </w:t>
      </w:r>
    </w:p>
    <w:p w:rsidR="006A2E06" w:rsidRDefault="006A2E06" w:rsidP="006A2E06">
      <w:pPr>
        <w:spacing w:after="120" w:line="240" w:lineRule="auto"/>
        <w:ind w:left="1134" w:right="1701"/>
        <w:jc w:val="both"/>
      </w:pPr>
      <w:r w:rsidRPr="00DF289B">
        <w:t xml:space="preserve">The phrase </w:t>
      </w:r>
      <w:r>
        <w:t>“</w:t>
      </w:r>
      <w:r w:rsidRPr="00DF289B">
        <w:t>The kingdom of heaven</w:t>
      </w:r>
      <w:r>
        <w:t>”</w:t>
      </w:r>
      <w:r w:rsidRPr="00DF289B">
        <w:t xml:space="preserve"> refers to any rule God may exercise at any time in the earth. Being limited to the earth, it is to be distinguished from the </w:t>
      </w:r>
      <w:smartTag w:uri="urn:schemas-microsoft-com:office:smarttags" w:element="place">
        <w:smartTag w:uri="urn:schemas-microsoft-com:office:smarttags" w:element="PlaceType">
          <w:r w:rsidRPr="00DF289B">
            <w:t>kingdom</w:t>
          </w:r>
        </w:smartTag>
        <w:r w:rsidRPr="00DF289B">
          <w:t xml:space="preserve"> of </w:t>
        </w:r>
        <w:smartTag w:uri="urn:schemas-microsoft-com:office:smarttags" w:element="PlaceName">
          <w:r w:rsidRPr="00DF289B">
            <w:t>God</w:t>
          </w:r>
        </w:smartTag>
      </w:smartTag>
      <w:r w:rsidRPr="00DF289B">
        <w:t xml:space="preserve">, which embraces not only the sphere of the kingdom of heaven, but all that is in Heaven, and the whole universe. While the long predicted millennial reign of Christ in the earth is the final form of the kingdom of heaven and that which was foreseen by all the prophets and announced by Christ in His early ministry, the present dispensation, being that form of divine rule in the earth in which God is ruling to the extent that He is realizing the accomplishment of those things which are termed </w:t>
      </w:r>
      <w:r>
        <w:t>“</w:t>
      </w:r>
      <w:r w:rsidRPr="00DF289B">
        <w:t>mysteries,</w:t>
      </w:r>
      <w:r>
        <w:t>”</w:t>
      </w:r>
      <w:r w:rsidRPr="00DF289B">
        <w:t xml:space="preserve"> is </w:t>
      </w:r>
      <w:r w:rsidRPr="00DF289B">
        <w:lastRenderedPageBreak/>
        <w:t xml:space="preserve">rightly called </w:t>
      </w:r>
      <w:r>
        <w:t>“</w:t>
      </w:r>
      <w:r w:rsidRPr="00DF289B">
        <w:t>the mysteries of the kingdom of heaven</w:t>
      </w:r>
      <w:r>
        <w:t>”</w:t>
      </w:r>
      <w:r w:rsidRPr="00DF289B">
        <w:t xml:space="preserve"> (Matt. 13:11).</w:t>
      </w:r>
      <w:r>
        <w:rPr>
          <w:rStyle w:val="EndnoteReference"/>
        </w:rPr>
        <w:endnoteReference w:id="2311"/>
      </w:r>
      <w:r>
        <w:t xml:space="preserve"> </w:t>
      </w:r>
    </w:p>
    <w:p w:rsidR="006A2E06" w:rsidRPr="00C914E2" w:rsidRDefault="006A2E06" w:rsidP="006A2E06">
      <w:pPr>
        <w:spacing w:after="120" w:line="360" w:lineRule="auto"/>
        <w:jc w:val="both"/>
        <w:rPr>
          <w:rStyle w:val="ind"/>
          <w:b/>
          <w:i/>
        </w:rPr>
      </w:pPr>
      <w:r w:rsidRPr="00C914E2">
        <w:rPr>
          <w:rStyle w:val="ind"/>
          <w:b/>
          <w:i/>
        </w:rPr>
        <w:t>The Kingdom in Some Revised an</w:t>
      </w:r>
      <w:r>
        <w:rPr>
          <w:rStyle w:val="ind"/>
          <w:b/>
          <w:i/>
        </w:rPr>
        <w:t>d Progressive Dispensationalist Writings</w:t>
      </w:r>
    </w:p>
    <w:p w:rsidR="006A2E06" w:rsidRDefault="006A2E06" w:rsidP="006A2E06">
      <w:pPr>
        <w:spacing w:after="120" w:line="360" w:lineRule="auto"/>
        <w:jc w:val="both"/>
        <w:rPr>
          <w:rStyle w:val="ind"/>
        </w:rPr>
      </w:pPr>
      <w:r w:rsidRPr="0076615B">
        <w:rPr>
          <w:rStyle w:val="ind"/>
        </w:rPr>
        <w:t>Writings by some revised dispensationalists</w:t>
      </w:r>
      <w:r>
        <w:rPr>
          <w:rStyle w:val="ind"/>
        </w:rPr>
        <w:t xml:space="preserve"> reveal some developments in the concept of the relationship between the two kingdoms.  Ryrie admits that earlier dispensationalists ‘undoubtedly emphasized the millennial kingdom and its relation to the fulfillment of Israel’s promises almost to the point of neglecting other aspects of the doctrine.  The emphasis on the millennial kingdom has had a tendency to place in the background the eternal kingdom of God.’  The emphasis on the relationship between the millennial kingdom and the nation Israel has possibly led to stress upon its material and terrestrial aspects.  Ryrie also owns that ‘dispensationalists have sometimes pinned the label “kingdom of Heaven” to the earthly, millennial kingdom and the label “kingdom of God” to the eternal, spiritual kingdom’.  However, Ryrie asserts that this division ‘is not at all determinative’.  The real issue is ‘the present form of the kingdom’.  Ryrie avers that, ‘if the future form [of the kingdom] is the Davidic kingdom on earth’, rather than the Church, ‘then dispensational premillennialism is the only answer’ and, if Jesus preached and offered the Davidic kingdom … it was obviously postponed’.  ‘When a dispensationalist says that the kingdom is postponed, he is speaking of the Davidic kingdom, but he also affirms the continuing present of the universal kingdom and the spiritual rule of God in individual hearts today.’</w:t>
      </w:r>
      <w:r>
        <w:rPr>
          <w:rStyle w:val="EndnoteReference"/>
        </w:rPr>
        <w:endnoteReference w:id="2312"/>
      </w:r>
      <w:r>
        <w:rPr>
          <w:rStyle w:val="ind"/>
        </w:rPr>
        <w:t xml:space="preserve">  While using the same vocabulary as Scofield and Chafer, Ryrie presents a more unified concept of the kingdoms.</w:t>
      </w:r>
    </w:p>
    <w:p w:rsidR="006A2E06" w:rsidRDefault="006A2E06" w:rsidP="006A2E06">
      <w:pPr>
        <w:spacing w:after="120" w:line="360" w:lineRule="auto"/>
        <w:ind w:firstLine="567"/>
        <w:jc w:val="both"/>
        <w:rPr>
          <w:rFonts w:cs="DejaVuSans"/>
        </w:rPr>
      </w:pPr>
      <w:r>
        <w:rPr>
          <w:rStyle w:val="ind"/>
        </w:rPr>
        <w:t xml:space="preserve">Revised dispensationalist, Alva McClain speaks of universal and mediatorial kingdoms, rather than the kingdom of God and kingdom of heaven.  He states that </w:t>
      </w:r>
      <w:r w:rsidRPr="008B2E64">
        <w:rPr>
          <w:rStyle w:val="ind"/>
        </w:rPr>
        <w:t>‘</w:t>
      </w:r>
      <w:r w:rsidRPr="008B2E64">
        <w:rPr>
          <w:rFonts w:cs="DejaVuSans"/>
        </w:rPr>
        <w:t>This universal kingdom is something which has always existed.</w:t>
      </w:r>
      <w:r>
        <w:rPr>
          <w:rFonts w:cs="DejaVuSans"/>
        </w:rPr>
        <w:t>’  ‘</w:t>
      </w:r>
      <w:r w:rsidRPr="008B2E64">
        <w:rPr>
          <w:rFonts w:cs="DejaVuSans"/>
        </w:rPr>
        <w:t>This kingdom is universal in the most complete sense of that term. Nothing lies outside its reach and scope. It includes all things in space and time, in earth, in heaven and in hell.</w:t>
      </w:r>
      <w:r>
        <w:rPr>
          <w:rFonts w:cs="DejaVuSans"/>
        </w:rPr>
        <w:t>’</w:t>
      </w:r>
      <w:r>
        <w:rPr>
          <w:rStyle w:val="EndnoteReference"/>
          <w:rFonts w:cs="DejaVuSans"/>
        </w:rPr>
        <w:endnoteReference w:id="2313"/>
      </w:r>
      <w:r>
        <w:rPr>
          <w:rFonts w:cs="DejaVuSans"/>
        </w:rPr>
        <w:t xml:space="preserve">  McClain avers that the operative words regarding the prayer for the coming of the kingdom in the Lord’s Prayer are ‘as it is in heaven’.  He argues that ‘in the universal and providential sense, the kingdom of God has already come and the will of God is being done on earth’.  The significant difference between earth and heaven is the existence of sin and rebellion on earth.  It is this which designates the purpose of ‘the mediatorial kingdom’, which indicates God’s rule through ‘a divinely chosen representative who not only speaks and acts for God but also represents the people before God’ and is always human.</w:t>
      </w:r>
      <w:r>
        <w:rPr>
          <w:rStyle w:val="EndnoteReference"/>
          <w:rFonts w:cs="DejaVuSans"/>
        </w:rPr>
        <w:endnoteReference w:id="2314"/>
      </w:r>
      <w:r>
        <w:rPr>
          <w:rFonts w:cs="DejaVuSans"/>
        </w:rPr>
        <w:t xml:space="preserve">  Starting with Moses, the mediatorial kingdom was ‘imperfectly realized in Old Testament history’, was foretold in Old Testament prophecy, was announced by Christ, and exists in a ‘peculiar form’ in ‘the present Christian church era’.</w:t>
      </w:r>
      <w:r>
        <w:rPr>
          <w:rStyle w:val="EndnoteReference"/>
          <w:rFonts w:cs="DejaVuSans"/>
        </w:rPr>
        <w:endnoteReference w:id="2315"/>
      </w:r>
      <w:r>
        <w:rPr>
          <w:rFonts w:cs="DejaVuSans"/>
        </w:rPr>
        <w:t xml:space="preserve">  McClain recognises that ‘the body of true believers constitutes the royal family, the ruling aristocracy of the kingdom.  </w:t>
      </w:r>
      <w:r w:rsidRPr="00783156">
        <w:rPr>
          <w:rFonts w:cs="DejaVuSans"/>
          <w:color w:val="000000"/>
        </w:rPr>
        <w:t>It would not be improper, therefore, to speak of the kingdom as now existing on earth, but only in the restricted sense that today God is engaged in selecting and preparing a people who are to be the spiritual nucleus of the established kingdom.</w:t>
      </w:r>
      <w:r>
        <w:rPr>
          <w:rFonts w:cs="DejaVuSans"/>
          <w:color w:val="000000"/>
        </w:rPr>
        <w:t>’</w:t>
      </w:r>
      <w:r>
        <w:rPr>
          <w:rStyle w:val="EndnoteReference"/>
          <w:rFonts w:cs="DejaVuSans"/>
          <w:color w:val="000000"/>
        </w:rPr>
        <w:endnoteReference w:id="2316"/>
      </w:r>
      <w:r>
        <w:rPr>
          <w:rFonts w:cs="DejaVuSans"/>
          <w:color w:val="000000"/>
        </w:rPr>
        <w:t xml:space="preserve">  </w:t>
      </w:r>
      <w:r w:rsidRPr="00251411">
        <w:rPr>
          <w:rFonts w:cs="DejaVuSans"/>
          <w:color w:val="000000"/>
        </w:rPr>
        <w:t>The mediatorial kingdom</w:t>
      </w:r>
      <w:r w:rsidRPr="00251411">
        <w:rPr>
          <w:rFonts w:cs="DejaVuSans"/>
          <w:sz w:val="24"/>
        </w:rPr>
        <w:t xml:space="preserve"> </w:t>
      </w:r>
      <w:r>
        <w:rPr>
          <w:rFonts w:cs="DejaVuSans"/>
        </w:rPr>
        <w:t xml:space="preserve">will take a ‘visible </w:t>
      </w:r>
      <w:r>
        <w:rPr>
          <w:rFonts w:cs="DejaVuSans"/>
        </w:rPr>
        <w:lastRenderedPageBreak/>
        <w:t>and established form in the millennial age’.  Finally it will be merged and completely identified with ‘the eternal and universal kingdom of God’.</w:t>
      </w:r>
      <w:r>
        <w:rPr>
          <w:rStyle w:val="EndnoteReference"/>
          <w:rFonts w:cs="DejaVuSans"/>
        </w:rPr>
        <w:endnoteReference w:id="2317"/>
      </w:r>
      <w:r>
        <w:rPr>
          <w:rFonts w:cs="DejaVuSans"/>
        </w:rPr>
        <w:t xml:space="preserve">  </w:t>
      </w:r>
    </w:p>
    <w:p w:rsidR="006A2E06" w:rsidRDefault="006A2E06" w:rsidP="006A2E06">
      <w:pPr>
        <w:spacing w:after="120" w:line="360" w:lineRule="auto"/>
        <w:ind w:firstLine="567"/>
        <w:jc w:val="both"/>
        <w:rPr>
          <w:rStyle w:val="ind"/>
        </w:rPr>
      </w:pPr>
      <w:r>
        <w:rPr>
          <w:rStyle w:val="ind"/>
        </w:rPr>
        <w:t>Walvoord, also a revised dispensationalist, states, ‘The “kingdom of God” is apparently the sphere of genuine faith in God and the sphere of genuine rule.  It is never used in the Scriptures to include unbelievers, whether in Matthew or other New Testament books.’  Conversely, ‘the “kingdom of heaven” seems to be concerned with the outward display of God’s government and appearance rather than reality’.</w:t>
      </w:r>
      <w:r>
        <w:rPr>
          <w:rStyle w:val="EndnoteReference"/>
        </w:rPr>
        <w:endnoteReference w:id="2318"/>
      </w:r>
    </w:p>
    <w:p w:rsidR="006A2E06" w:rsidRDefault="006A2E06" w:rsidP="006A2E06">
      <w:pPr>
        <w:spacing w:after="120" w:line="360" w:lineRule="auto"/>
        <w:ind w:firstLine="567"/>
        <w:jc w:val="both"/>
        <w:rPr>
          <w:rStyle w:val="ind"/>
        </w:rPr>
      </w:pPr>
      <w:r>
        <w:rPr>
          <w:rStyle w:val="ind"/>
        </w:rPr>
        <w:t>As a progressive dispensationalist, Saucy states that he prefers ‘the concept of “the kingdom” as that which best encompasses the full meaning of God’s work in the history of Scripture’.</w:t>
      </w:r>
      <w:r>
        <w:rPr>
          <w:rStyle w:val="EndnoteReference"/>
        </w:rPr>
        <w:endnoteReference w:id="2319"/>
      </w:r>
      <w:r>
        <w:rPr>
          <w:rStyle w:val="ind"/>
        </w:rPr>
        <w:t xml:space="preserve">  ‘As the theme of biblical history, the kingdom is that program through which God effects his lordship on the earth in a comprehensive salvation within history.’</w:t>
      </w:r>
      <w:r>
        <w:rPr>
          <w:rStyle w:val="EndnoteReference"/>
        </w:rPr>
        <w:endnoteReference w:id="2320"/>
      </w:r>
      <w:r>
        <w:rPr>
          <w:rStyle w:val="ind"/>
        </w:rPr>
        <w:t xml:space="preserve">  Blaising states that progressive dispensationalists ‘make no substantive distinction between the terms kingdom of heaven and kingdom of God’, but see ‘one promised eschatological kingdom which has both spiritual and political dimensions’.</w:t>
      </w:r>
      <w:r>
        <w:rPr>
          <w:rStyle w:val="EndnoteReference"/>
        </w:rPr>
        <w:endnoteReference w:id="2321"/>
      </w:r>
      <w:r>
        <w:rPr>
          <w:rStyle w:val="ind"/>
        </w:rPr>
        <w:t xml:space="preserve">  With Bock, he states that progressive relationships exist both between past and present dispensations and present and future dispensations.  The first transition was occasioned by ‘the Christ event’, which allowed Gentiles to be ‘included with equal standing alongside the remnant of Israel’ and to be recipients of blessings which fulfilled promises made to Israel and the Gentiles during ‘the dispensation of the Mosaic covenant’.  This represents continuity through progress.</w:t>
      </w:r>
      <w:r>
        <w:rPr>
          <w:rStyle w:val="EndnoteReference"/>
        </w:rPr>
        <w:endnoteReference w:id="2322"/>
      </w:r>
      <w:r>
        <w:rPr>
          <w:rStyle w:val="ind"/>
        </w:rPr>
        <w:t xml:space="preserve">  Moreover, ‘… progressive dispensationalism does not see the church as a parenthesis, unrelated to what came before and to what comes after’.</w:t>
      </w:r>
      <w:r>
        <w:rPr>
          <w:rStyle w:val="EndnoteReference"/>
        </w:rPr>
        <w:endnoteReference w:id="2323"/>
      </w:r>
      <w:r>
        <w:rPr>
          <w:rStyle w:val="ind"/>
        </w:rPr>
        <w:t xml:space="preserve">  Blaising and Bock also state that ‘the New Testament teaches a strong continuity between the present church dispensation and the future dispensation when all things in heaven and on earth will be united in Christ’; a new covenant covers both, both have ‘aspects of the Messianic reign of Christ’ and both appear in the New Testament as fulfilling the Davidic Covenant.</w:t>
      </w:r>
      <w:r>
        <w:rPr>
          <w:rStyle w:val="EndnoteReference"/>
        </w:rPr>
        <w:endnoteReference w:id="2324"/>
      </w:r>
      <w:r>
        <w:rPr>
          <w:rStyle w:val="ind"/>
        </w:rPr>
        <w:t xml:space="preserve">  They stress that ‘the new dispensationalism sees greater continuity between the Millennium and the eternal kingdom than in some forms of essentialist dispensationalism’.</w:t>
      </w:r>
      <w:r>
        <w:rPr>
          <w:rStyle w:val="EndnoteReference"/>
        </w:rPr>
        <w:endnoteReference w:id="2325"/>
      </w:r>
      <w:r>
        <w:rPr>
          <w:rStyle w:val="ind"/>
        </w:rPr>
        <w:t xml:space="preserve">  Blaising states that </w:t>
      </w:r>
      <w:r w:rsidRPr="00016728">
        <w:rPr>
          <w:rStyle w:val="ind"/>
        </w:rPr>
        <w:t>progressive dispensationalists emphasise the eternal kingdom for understanding all previous forms of the kingdom including the Millennium.</w:t>
      </w:r>
      <w:r w:rsidRPr="00016728">
        <w:rPr>
          <w:rStyle w:val="EndnoteReference"/>
        </w:rPr>
        <w:endnoteReference w:id="2326"/>
      </w:r>
      <w:r w:rsidRPr="00016728">
        <w:rPr>
          <w:rStyle w:val="ind"/>
        </w:rPr>
        <w:t xml:space="preserve">  The universal and eternal kingdom of God is the goal of history.</w:t>
      </w:r>
      <w:r>
        <w:rPr>
          <w:rStyle w:val="EndnoteReference"/>
        </w:rPr>
        <w:endnoteReference w:id="2327"/>
      </w:r>
      <w:r>
        <w:rPr>
          <w:rStyle w:val="ind"/>
          <w:color w:val="0070C0"/>
        </w:rPr>
        <w:t xml:space="preserve">  </w:t>
      </w:r>
      <w:r w:rsidRPr="00EF7BE0">
        <w:rPr>
          <w:rStyle w:val="ind"/>
        </w:rPr>
        <w:t xml:space="preserve">In an article </w:t>
      </w:r>
      <w:r>
        <w:rPr>
          <w:rStyle w:val="ind"/>
        </w:rPr>
        <w:t xml:space="preserve">written in 2010, Blaising even refers to premillennialism itself as </w:t>
      </w:r>
    </w:p>
    <w:p w:rsidR="006A2E06" w:rsidRDefault="006A2E06" w:rsidP="006A2E06">
      <w:pPr>
        <w:spacing w:after="120" w:line="240" w:lineRule="auto"/>
        <w:ind w:left="1134" w:right="1700"/>
        <w:jc w:val="both"/>
        <w:rPr>
          <w:rStyle w:val="ind"/>
        </w:rPr>
      </w:pPr>
      <w:r>
        <w:rPr>
          <w:rStyle w:val="ind"/>
        </w:rPr>
        <w:t>‘… the belief that the future kingdom that comes with Jesus will undergo a two-stage fulfillment: first a millennial phase, a one-thousand year reign of Christ and his saints from the time of his coming to the time of the final judgment, and secondly, the final, eternal kingdom of God, extending from the time of the final judgment throughout all eternity, set within the conditions of God’s new creation.</w:t>
      </w:r>
      <w:r>
        <w:rPr>
          <w:rStyle w:val="EndnoteReference"/>
        </w:rPr>
        <w:endnoteReference w:id="2328"/>
      </w:r>
      <w:r>
        <w:rPr>
          <w:rStyle w:val="ind"/>
        </w:rPr>
        <w:t xml:space="preserve"> </w:t>
      </w:r>
    </w:p>
    <w:p w:rsidR="006A2E06" w:rsidRDefault="006A2E06" w:rsidP="006A2E06">
      <w:pPr>
        <w:tabs>
          <w:tab w:val="left" w:pos="-709"/>
          <w:tab w:val="left" w:pos="-284"/>
        </w:tabs>
        <w:spacing w:after="120" w:line="360" w:lineRule="auto"/>
        <w:jc w:val="both"/>
        <w:rPr>
          <w:rStyle w:val="ind"/>
        </w:rPr>
      </w:pPr>
      <w:r>
        <w:rPr>
          <w:rStyle w:val="ind"/>
        </w:rPr>
        <w:t>This statement is far removed from Scofield’s distinction between the millennial kingdom and the new heaven and earth.</w:t>
      </w:r>
    </w:p>
    <w:p w:rsidR="006A2E06" w:rsidRDefault="006A2E06" w:rsidP="006A2E06">
      <w:pPr>
        <w:spacing w:after="120" w:line="360" w:lineRule="auto"/>
        <w:ind w:firstLine="567"/>
        <w:jc w:val="both"/>
        <w:rPr>
          <w:rStyle w:val="ind"/>
        </w:rPr>
      </w:pPr>
      <w:r>
        <w:rPr>
          <w:rStyle w:val="ind"/>
        </w:rPr>
        <w:lastRenderedPageBreak/>
        <w:t>Blaising and Bock, and Saucy all stress the holistic nature of redemption.  Blaising and Bock state that ‘the transition from the Millennium to the new earth is the completion of the redemption (not annihilation) of the whole created order’.</w:t>
      </w:r>
      <w:r>
        <w:rPr>
          <w:rStyle w:val="EndnoteReference"/>
        </w:rPr>
        <w:endnoteReference w:id="2329"/>
      </w:r>
      <w:r>
        <w:rPr>
          <w:rStyle w:val="ind"/>
        </w:rPr>
        <w:t xml:space="preserve">  They state that salvation touches individual souls but also includes all humanity in its ‘corporate and social dimensions’.</w:t>
      </w:r>
      <w:r>
        <w:rPr>
          <w:rStyle w:val="EndnoteReference"/>
        </w:rPr>
        <w:endnoteReference w:id="2330"/>
      </w:r>
      <w:r>
        <w:rPr>
          <w:rStyle w:val="ind"/>
        </w:rPr>
        <w:t xml:space="preserve">  Saucy states that ‘God’s kingdom, which today may be said to be </w:t>
      </w:r>
      <w:r w:rsidRPr="00D15BC5">
        <w:rPr>
          <w:rStyle w:val="ind"/>
          <w:i/>
        </w:rPr>
        <w:t>over</w:t>
      </w:r>
      <w:r>
        <w:rPr>
          <w:rStyle w:val="ind"/>
        </w:rPr>
        <w:t xml:space="preserve"> the earth, will one day be established </w:t>
      </w:r>
      <w:r w:rsidRPr="00D15BC5">
        <w:rPr>
          <w:rStyle w:val="ind"/>
          <w:i/>
        </w:rPr>
        <w:t xml:space="preserve">on </w:t>
      </w:r>
      <w:r>
        <w:rPr>
          <w:rStyle w:val="ind"/>
        </w:rPr>
        <w:t>the earth’.  This is the meaning of the prayer, ‘your kingdom come, your will be done on earth as in heaven’.  ‘God’s kingly rule will be brought to earth through the mediation of the kingdom of the Messiah,’ when all creation will be redeemed from the effects of sin.</w:t>
      </w:r>
      <w:r>
        <w:rPr>
          <w:rStyle w:val="EndnoteReference"/>
        </w:rPr>
        <w:endnoteReference w:id="2331"/>
      </w:r>
      <w:r>
        <w:rPr>
          <w:rStyle w:val="ind"/>
        </w:rPr>
        <w:t xml:space="preserve">  </w:t>
      </w:r>
    </w:p>
    <w:p w:rsidR="006A2E06" w:rsidRDefault="006A2E06" w:rsidP="006A2E06">
      <w:pPr>
        <w:spacing w:after="120" w:line="360" w:lineRule="auto"/>
        <w:ind w:firstLine="567"/>
        <w:jc w:val="both"/>
        <w:rPr>
          <w:rStyle w:val="ind"/>
        </w:rPr>
      </w:pPr>
      <w:r>
        <w:rPr>
          <w:rStyle w:val="ind"/>
        </w:rPr>
        <w:t>Blaising and Bock stress that Christ is ‘the fulfillment, agent and director of dispensational change’; this form of dispensationalism is always centred on Christ rather than on the concept of two separate peoples.</w:t>
      </w:r>
      <w:r>
        <w:rPr>
          <w:rStyle w:val="EndnoteReference"/>
        </w:rPr>
        <w:endnoteReference w:id="2332"/>
      </w:r>
      <w:r>
        <w:rPr>
          <w:rStyle w:val="ind"/>
        </w:rPr>
        <w:t xml:space="preserve">  Blaising states that </w:t>
      </w:r>
      <w:r w:rsidRPr="00016728">
        <w:rPr>
          <w:rStyle w:val="ind"/>
        </w:rPr>
        <w:t>progressive dispensationalists see Christ’s current relationship with the Church as ‘a form of the eschatological kingdom which affirms and guarantees the future revelation of the kingdom in all its fullness’.</w:t>
      </w:r>
      <w:r w:rsidRPr="00016728">
        <w:rPr>
          <w:rStyle w:val="EndnoteReference"/>
        </w:rPr>
        <w:endnoteReference w:id="2333"/>
      </w:r>
      <w:r w:rsidRPr="00016728">
        <w:rPr>
          <w:rStyle w:val="ind"/>
        </w:rPr>
        <w:t xml:space="preserve">  </w:t>
      </w:r>
      <w:r w:rsidRPr="006C1237">
        <w:rPr>
          <w:rStyle w:val="ind"/>
        </w:rPr>
        <w:t xml:space="preserve">Blaising and Bock </w:t>
      </w:r>
      <w:r>
        <w:rPr>
          <w:rStyle w:val="ind"/>
        </w:rPr>
        <w:t>emphasise that the new form of dispensationalism ‘rejects the notion of two peoples in the sense of two different humanities with parallel destinies’.</w:t>
      </w:r>
      <w:r>
        <w:rPr>
          <w:rStyle w:val="EndnoteReference"/>
        </w:rPr>
        <w:endnoteReference w:id="2334"/>
      </w:r>
      <w:r>
        <w:rPr>
          <w:rStyle w:val="ind"/>
        </w:rPr>
        <w:t xml:space="preserve">  In the previous dispensation, Gentiles were excluded from divine blessings on Israel, and in the present dispensation ‘the divine blessings of the Spirit’ are afforded to ‘Jews and Gentiles equally while national blessings are in abeyance’.  Blaising and Bock state that ‘the </w:t>
      </w:r>
      <w:r w:rsidRPr="00BA4AD9">
        <w:rPr>
          <w:rStyle w:val="ind"/>
          <w:i/>
        </w:rPr>
        <w:t>progressive</w:t>
      </w:r>
      <w:r>
        <w:rPr>
          <w:rStyle w:val="ind"/>
        </w:rPr>
        <w:t xml:space="preserve"> relationship of both of these dispensations to the future dispensation of kingdom fulfillment suggests that the equality of Jew and Gentile in the regenerating, renewing, Christ-uniting ministry of the Holy Spirit will both be carried forward and enhanced (glorification), for this is a blessing of the one new covenant that unites both dispensations.’</w:t>
      </w:r>
      <w:r>
        <w:rPr>
          <w:rStyle w:val="EndnoteReference"/>
        </w:rPr>
        <w:endnoteReference w:id="2335"/>
      </w:r>
      <w:r>
        <w:rPr>
          <w:rStyle w:val="ind"/>
        </w:rPr>
        <w:t xml:space="preserve">  Such a concept ‘continues even while redemption is expressed on a national, political scale with all nations at peace, oriented to Zion, the new Jerusalem from which the Son of David, the Christ of Israel and the nations, rules’.  Neither Israel nor the nations are ‘replacement peoples’ or ‘dual-track peoples’; they are ‘different redemptive dimensions of the same humanity’.</w:t>
      </w:r>
      <w:r>
        <w:rPr>
          <w:rStyle w:val="EndnoteReference"/>
        </w:rPr>
        <w:endnoteReference w:id="2336"/>
      </w:r>
      <w:r>
        <w:rPr>
          <w:rStyle w:val="ind"/>
        </w:rPr>
        <w:t xml:space="preserve">  However, Saucy cautions that the biblical prophecies still indicate ‘the restoration of the nation of Israel to the promised land and a central position for that nation in the final period of the mediatorial kingdom’.  ‘The term, </w:t>
      </w:r>
      <w:r w:rsidRPr="003C08DF">
        <w:rPr>
          <w:rStyle w:val="ind"/>
          <w:i/>
        </w:rPr>
        <w:t>Israel</w:t>
      </w:r>
      <w:r>
        <w:rPr>
          <w:rStyle w:val="ind"/>
        </w:rPr>
        <w:t xml:space="preserve"> is not finally applied to all God’s people irrespective of nationality.’  It still indicates ‘a particular national people’.</w:t>
      </w:r>
      <w:r>
        <w:rPr>
          <w:rStyle w:val="EndnoteReference"/>
        </w:rPr>
        <w:endnoteReference w:id="2337"/>
      </w:r>
    </w:p>
    <w:p w:rsidR="006A2E06" w:rsidRDefault="006A2E06" w:rsidP="006A2E06">
      <w:pPr>
        <w:spacing w:after="120" w:line="360" w:lineRule="auto"/>
        <w:ind w:firstLine="567"/>
        <w:jc w:val="both"/>
        <w:rPr>
          <w:rStyle w:val="ind"/>
        </w:rPr>
      </w:pPr>
      <w:r>
        <w:t>Scofield also includes eschatological commentary on physical death, the ‘two resurrections’, eschatological judgments, and the new heavens and earth.  These lie outside the scope of this chapter and this study.</w:t>
      </w:r>
    </w:p>
    <w:p w:rsidR="006A2E06" w:rsidRPr="00AD132E" w:rsidRDefault="006A2E06" w:rsidP="006A2E06">
      <w:pPr>
        <w:spacing w:after="120" w:line="360" w:lineRule="auto"/>
        <w:jc w:val="both"/>
        <w:rPr>
          <w:rStyle w:val="ind"/>
          <w:b/>
          <w:sz w:val="24"/>
        </w:rPr>
      </w:pPr>
      <w:r>
        <w:rPr>
          <w:rStyle w:val="ind"/>
          <w:b/>
          <w:sz w:val="24"/>
        </w:rPr>
        <w:t>7.</w:t>
      </w:r>
      <w:r w:rsidRPr="00AD132E">
        <w:rPr>
          <w:rStyle w:val="ind"/>
          <w:b/>
          <w:sz w:val="24"/>
        </w:rPr>
        <w:t>3  Conclusion</w:t>
      </w:r>
    </w:p>
    <w:p w:rsidR="006A2E06" w:rsidRPr="008F35D5" w:rsidRDefault="006A2E06" w:rsidP="006A2E06">
      <w:pPr>
        <w:spacing w:after="120" w:line="360" w:lineRule="auto"/>
        <w:jc w:val="both"/>
      </w:pPr>
      <w:r>
        <w:t xml:space="preserve">Despite some leanings towards an historicist approach, evidenced, for example, in his assertions concerning the seven churches of Revelation 1 </w:t>
      </w:r>
      <w:r w:rsidRPr="00012B96">
        <w:rPr>
          <w:sz w:val="16"/>
          <w:szCs w:val="24"/>
        </w:rPr>
        <w:t>—</w:t>
      </w:r>
      <w:r>
        <w:rPr>
          <w:sz w:val="16"/>
          <w:szCs w:val="24"/>
        </w:rPr>
        <w:t xml:space="preserve"> </w:t>
      </w:r>
      <w:r>
        <w:t xml:space="preserve">3, and his contemporary references to Russia and France, </w:t>
      </w:r>
      <w:r>
        <w:lastRenderedPageBreak/>
        <w:t xml:space="preserve">Scofield generally advances futuristic interpretations typical of dispensational apprehension as exemplified by Darby, Chafer, Ryrie and Saucy.  Following his predecessors, Darby, Brookes and Mackintosh, Scofield interprets Daniel’s seventy weeks as being predictive of the eschatological future, especially regarding the times of the Gentiles.  As noted above, </w:t>
      </w:r>
      <w:r w:rsidRPr="008F35D5">
        <w:t xml:space="preserve">the concept of the seventy weeks seems to play a less pronounced part for later dispensationalists than for Scofield. It seems, again, that </w:t>
      </w:r>
      <w:r w:rsidRPr="008F35D5">
        <w:rPr>
          <w:i/>
        </w:rPr>
        <w:t>SRB</w:t>
      </w:r>
      <w:r w:rsidRPr="008F35D5">
        <w:t xml:space="preserve"> is perpetuating an emphasis which is no longer current.</w:t>
      </w:r>
    </w:p>
    <w:p w:rsidR="006A2E06" w:rsidRDefault="006A2E06" w:rsidP="006A2E06">
      <w:pPr>
        <w:spacing w:after="120" w:line="360" w:lineRule="auto"/>
        <w:ind w:firstLine="567"/>
        <w:jc w:val="both"/>
      </w:pPr>
      <w:r>
        <w:t xml:space="preserve">Scofield follows Darby in his concept of the times of the Gentiles as beginning with Nebuchadnezzar and continuing until Christ’s second coming; this view is not supported by several C20 scholars, who also tend to see this time as having been fulfilled in the Roman sack of Jerusalem in 70 CE.  Chafer, however, agrees with Scofield’s interpretation, both in </w:t>
      </w:r>
      <w:r w:rsidRPr="00221470">
        <w:rPr>
          <w:i/>
        </w:rPr>
        <w:t>Major Bible Themes</w:t>
      </w:r>
      <w:r>
        <w:rPr>
          <w:rStyle w:val="EndnoteReference"/>
        </w:rPr>
        <w:endnoteReference w:id="2338"/>
      </w:r>
      <w:r w:rsidRPr="00F22788">
        <w:t xml:space="preserve"> </w:t>
      </w:r>
      <w:r>
        <w:t xml:space="preserve">and in </w:t>
      </w:r>
      <w:r w:rsidRPr="00221470">
        <w:rPr>
          <w:i/>
        </w:rPr>
        <w:t>Dispensationalism</w:t>
      </w:r>
      <w:r>
        <w:t>.</w:t>
      </w:r>
      <w:r>
        <w:rPr>
          <w:rStyle w:val="EndnoteReference"/>
        </w:rPr>
        <w:endnoteReference w:id="2339"/>
      </w:r>
      <w:r>
        <w:t xml:space="preserve">  Ryrie,</w:t>
      </w:r>
      <w:r>
        <w:rPr>
          <w:rStyle w:val="EndnoteReference"/>
        </w:rPr>
        <w:endnoteReference w:id="2340"/>
      </w:r>
      <w:r>
        <w:t xml:space="preserve"> Blaising</w:t>
      </w:r>
      <w:r>
        <w:rPr>
          <w:rStyle w:val="EndnoteReference"/>
        </w:rPr>
        <w:endnoteReference w:id="2341"/>
      </w:r>
      <w:r>
        <w:t xml:space="preserve"> and Saucy</w:t>
      </w:r>
      <w:r>
        <w:rPr>
          <w:rStyle w:val="EndnoteReference"/>
        </w:rPr>
        <w:endnoteReference w:id="2342"/>
      </w:r>
      <w:r>
        <w:t xml:space="preserve"> are more interested in the integration of the Gentiles, along with Jews, into the Church.  This appears to be another example of </w:t>
      </w:r>
      <w:r w:rsidRPr="008E57B9">
        <w:rPr>
          <w:i/>
        </w:rPr>
        <w:t>SRB</w:t>
      </w:r>
      <w:r>
        <w:t>’s continuing to advance concepts which have become less important to progressive dispensationalists.</w:t>
      </w:r>
    </w:p>
    <w:p w:rsidR="006A2E06" w:rsidRDefault="006A2E06" w:rsidP="006A2E06">
      <w:pPr>
        <w:spacing w:after="120" w:line="360" w:lineRule="auto"/>
        <w:ind w:firstLine="567"/>
        <w:jc w:val="both"/>
      </w:pPr>
      <w:r>
        <w:t xml:space="preserve">Like Darby before him and Chafer after him, Scofield stresses that the tribulation, in which the times of the Gentiles culminate, constitutes ‘the time of Jacob’s trouble’.  This supports the idea of the pretribulation rapture of the Church, which asserts that the Church will not suffer the tribulation.  Where Ryrie mentions the tribulation in </w:t>
      </w:r>
      <w:r w:rsidRPr="00177FEA">
        <w:rPr>
          <w:i/>
        </w:rPr>
        <w:t>Dispensationalism Today</w:t>
      </w:r>
      <w:r>
        <w:t xml:space="preserve">, he generally concentrates on a debate between various scholars about its length; its existence is assumed.  Saucy does not refer to the tribulation in </w:t>
      </w:r>
      <w:r w:rsidRPr="00177FEA">
        <w:rPr>
          <w:i/>
        </w:rPr>
        <w:t>The Case for Progressive Dispensationalism</w:t>
      </w:r>
      <w:r>
        <w:t xml:space="preserve"> and Blaising’s main references to it in </w:t>
      </w:r>
      <w:r w:rsidRPr="0099353E">
        <w:rPr>
          <w:i/>
        </w:rPr>
        <w:t>Progressive Dispensationalism</w:t>
      </w:r>
      <w:r>
        <w:t xml:space="preserve"> consist of warnings against historicist tendencies to attempt to identify contemporary signs of its appearance.</w:t>
      </w:r>
      <w:r>
        <w:rPr>
          <w:rStyle w:val="EndnoteReference"/>
        </w:rPr>
        <w:endnoteReference w:id="2343"/>
      </w:r>
      <w:r>
        <w:t xml:space="preserve">  It seems that Scofield’s successors generally accept the existence of the coming tribulation without feeling the need to justify their expectation.  The same appears to be true of Armageddon, which is not mentioned by Blaising, Bock or Saucy.  Even Chafer only makes one reference to it in </w:t>
      </w:r>
      <w:r w:rsidRPr="007E5F87">
        <w:rPr>
          <w:i/>
        </w:rPr>
        <w:t>Major Bible Themes</w:t>
      </w:r>
      <w:r>
        <w:rPr>
          <w:rStyle w:val="EndnoteReference"/>
        </w:rPr>
        <w:endnoteReference w:id="2344"/>
      </w:r>
      <w:r>
        <w:t xml:space="preserve"> and none in </w:t>
      </w:r>
      <w:r w:rsidRPr="00180D72">
        <w:rPr>
          <w:i/>
        </w:rPr>
        <w:t>Dispensationalism</w:t>
      </w:r>
      <w:r>
        <w:t>.</w:t>
      </w:r>
    </w:p>
    <w:p w:rsidR="006A2E06" w:rsidRDefault="006A2E06" w:rsidP="006A2E06">
      <w:pPr>
        <w:spacing w:after="120" w:line="360" w:lineRule="auto"/>
        <w:ind w:firstLine="567"/>
        <w:jc w:val="both"/>
      </w:pPr>
      <w:r>
        <w:t xml:space="preserve">It is probably in the perceived nature of the millennial kingdom that progressive dispensationalism has moved furthest from the classical dispensational view expressed by </w:t>
      </w:r>
      <w:r w:rsidRPr="00C2477A">
        <w:rPr>
          <w:i/>
        </w:rPr>
        <w:t>SRB</w:t>
      </w:r>
      <w:r>
        <w:t xml:space="preserve">.  Whereas Darby and Scofield see this kingdom as a totally separate entity from all that goes before it and comes after it, progressive dispensationalists like Blaising and Saucy see it as much more integrated, both with the preceding dispensation of the Church and with the succeeding eternal kingdom.  Scofield sees the millennial kingdom as the fulfilment of the kingdom of heaven, set between the distinct boundaries of the pretribulational rapture of the Church and the release of Satan at the end of the thousand years, together with the last revolt which is to occur in advance of the advent of the new heaven and earth.  Chafer endorses this concept but later dispensationalists, including Ryrie and McClain, present a more integrated view of the kingdoms of heaven and of God.  Progressive dispensationalists see a steady progression between the present dispensation, the millennial kingdom to come and the eternal kingdom which will eventually succeed it.  With the concepts of apocalyptic and millennial expectation, as with other dispensational </w:t>
      </w:r>
      <w:r>
        <w:lastRenderedPageBreak/>
        <w:t xml:space="preserve">concepts such as the rigid dualism between Israel and the Church, </w:t>
      </w:r>
      <w:r w:rsidRPr="00372904">
        <w:rPr>
          <w:i/>
        </w:rPr>
        <w:t>SRB</w:t>
      </w:r>
      <w:r>
        <w:t xml:space="preserve"> continues to propagate an older form of dispensational belief.  </w:t>
      </w:r>
    </w:p>
    <w:p w:rsidR="006A2E06" w:rsidRDefault="006A2E06" w:rsidP="006A2E06">
      <w:pPr>
        <w:spacing w:after="120" w:line="360" w:lineRule="auto"/>
        <w:rPr>
          <w:rFonts w:ascii="Times New Roman" w:hAnsi="Times New Roman"/>
        </w:rPr>
      </w:pPr>
    </w:p>
    <w:p w:rsidR="001A565F" w:rsidRDefault="001A565F" w:rsidP="006A2E06">
      <w:pPr>
        <w:spacing w:after="120" w:line="360" w:lineRule="auto"/>
        <w:rPr>
          <w:rFonts w:ascii="Times New Roman" w:hAnsi="Times New Roman"/>
        </w:rPr>
        <w:sectPr w:rsidR="001A565F" w:rsidSect="00F1470F">
          <w:headerReference w:type="default" r:id="rId136"/>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6A2E06" w:rsidRDefault="006A2E06" w:rsidP="006A2E06">
      <w:pPr>
        <w:pStyle w:val="PlainText"/>
        <w:spacing w:after="120" w:line="360" w:lineRule="auto"/>
        <w:jc w:val="center"/>
        <w:rPr>
          <w:rFonts w:ascii="Perpetua" w:hAnsi="Perpetua" w:cs="Times New Roman"/>
          <w:b/>
          <w:sz w:val="28"/>
          <w:szCs w:val="28"/>
        </w:rPr>
      </w:pPr>
      <w:bookmarkStart w:id="14" w:name="Chapter8Pt1"/>
      <w:bookmarkEnd w:id="14"/>
      <w:r w:rsidRPr="0078322B">
        <w:rPr>
          <w:rFonts w:ascii="Perpetua" w:hAnsi="Perpetua" w:cs="Times New Roman"/>
          <w:b/>
          <w:sz w:val="28"/>
          <w:szCs w:val="28"/>
        </w:rPr>
        <w:lastRenderedPageBreak/>
        <w:t xml:space="preserve">CHAPTER </w:t>
      </w:r>
      <w:r>
        <w:rPr>
          <w:rFonts w:ascii="Perpetua" w:hAnsi="Perpetua" w:cs="Times New Roman"/>
          <w:b/>
          <w:sz w:val="28"/>
          <w:szCs w:val="28"/>
        </w:rPr>
        <w:t>8</w:t>
      </w:r>
      <w:r w:rsidRPr="0078322B">
        <w:rPr>
          <w:rFonts w:ascii="Perpetua" w:hAnsi="Perpetua" w:cs="Times New Roman"/>
          <w:b/>
          <w:sz w:val="28"/>
          <w:szCs w:val="28"/>
        </w:rPr>
        <w:t xml:space="preserve">  </w:t>
      </w:r>
    </w:p>
    <w:p w:rsidR="006A2E06" w:rsidRDefault="006A2E06" w:rsidP="006A2E06">
      <w:pPr>
        <w:pStyle w:val="PlainText"/>
        <w:jc w:val="center"/>
        <w:rPr>
          <w:rFonts w:ascii="Perpetua" w:hAnsi="Perpetua" w:cs="Times New Roman"/>
          <w:b/>
          <w:sz w:val="28"/>
          <w:szCs w:val="28"/>
        </w:rPr>
      </w:pPr>
      <w:r>
        <w:rPr>
          <w:rFonts w:ascii="Perpetua" w:hAnsi="Perpetua" w:cs="Times New Roman"/>
          <w:b/>
          <w:sz w:val="28"/>
          <w:szCs w:val="28"/>
        </w:rPr>
        <w:t>Analysis of t</w:t>
      </w:r>
      <w:r w:rsidRPr="0078322B">
        <w:rPr>
          <w:rFonts w:ascii="Perpetua" w:hAnsi="Perpetua" w:cs="Times New Roman"/>
          <w:b/>
          <w:sz w:val="28"/>
          <w:szCs w:val="28"/>
        </w:rPr>
        <w:t xml:space="preserve">he Content of </w:t>
      </w:r>
      <w:r w:rsidRPr="0078322B">
        <w:rPr>
          <w:rFonts w:ascii="Perpetua" w:hAnsi="Perpetua" w:cs="Times New Roman"/>
          <w:b/>
          <w:i/>
          <w:sz w:val="28"/>
          <w:szCs w:val="28"/>
        </w:rPr>
        <w:t>SRB</w:t>
      </w:r>
      <w:r w:rsidRPr="0078322B">
        <w:rPr>
          <w:rFonts w:ascii="Perpetua" w:hAnsi="Perpetua" w:cs="Times New Roman"/>
          <w:b/>
          <w:sz w:val="28"/>
          <w:szCs w:val="28"/>
        </w:rPr>
        <w:t xml:space="preserve"> Commentary</w:t>
      </w:r>
      <w:r>
        <w:rPr>
          <w:rFonts w:ascii="Perpetua" w:hAnsi="Perpetua" w:cs="Times New Roman"/>
          <w:b/>
          <w:sz w:val="28"/>
          <w:szCs w:val="28"/>
        </w:rPr>
        <w:t>:</w:t>
      </w:r>
    </w:p>
    <w:p w:rsidR="006A2E06" w:rsidRDefault="006A2E06" w:rsidP="006A2E06">
      <w:pPr>
        <w:pStyle w:val="PlainText"/>
        <w:spacing w:after="120" w:line="360" w:lineRule="auto"/>
        <w:jc w:val="center"/>
        <w:rPr>
          <w:rFonts w:ascii="Perpetua" w:hAnsi="Perpetua" w:cs="Times New Roman"/>
          <w:b/>
          <w:sz w:val="28"/>
          <w:szCs w:val="28"/>
        </w:rPr>
      </w:pPr>
      <w:r>
        <w:rPr>
          <w:rFonts w:ascii="Perpetua" w:hAnsi="Perpetua" w:cs="Times New Roman"/>
          <w:b/>
          <w:sz w:val="28"/>
          <w:szCs w:val="28"/>
        </w:rPr>
        <w:t>Scofield’s Use of the Text</w:t>
      </w:r>
      <w:r w:rsidRPr="0078322B">
        <w:rPr>
          <w:rFonts w:ascii="Perpetua" w:hAnsi="Perpetua" w:cs="Times New Roman"/>
          <w:b/>
          <w:sz w:val="28"/>
          <w:szCs w:val="28"/>
        </w:rPr>
        <w:t xml:space="preserve"> </w:t>
      </w:r>
    </w:p>
    <w:p w:rsidR="006A2E06" w:rsidRDefault="006A2E06" w:rsidP="006A2E06">
      <w:pPr>
        <w:spacing w:after="120" w:line="360" w:lineRule="auto"/>
        <w:ind w:right="74"/>
        <w:jc w:val="center"/>
        <w:rPr>
          <w:b/>
          <w:sz w:val="28"/>
        </w:rPr>
      </w:pPr>
      <w:r w:rsidRPr="00953098">
        <w:rPr>
          <w:b/>
          <w:sz w:val="28"/>
        </w:rPr>
        <w:t>Part 1: The Old Testament</w:t>
      </w:r>
    </w:p>
    <w:p w:rsidR="006A2E06" w:rsidRPr="00CC6D9F" w:rsidRDefault="006A2E06" w:rsidP="006A2E06">
      <w:pPr>
        <w:spacing w:after="120" w:line="360" w:lineRule="auto"/>
        <w:ind w:right="74"/>
        <w:jc w:val="both"/>
        <w:rPr>
          <w:color w:val="000000"/>
        </w:rPr>
      </w:pPr>
      <w:r>
        <w:t xml:space="preserve">This chapter provides an analysis, mainly presented in single-spaced, key-point format, tables and graphs, of the content of </w:t>
      </w:r>
      <w:r w:rsidRPr="00473A43">
        <w:rPr>
          <w:i/>
        </w:rPr>
        <w:t xml:space="preserve">SRB </w:t>
      </w:r>
      <w:r>
        <w:t xml:space="preserve">annotation of individual biblical books.  Comments on the key-points are mainly indicated by indented text.  The information furnishes evidence concerning Scofield’s use of the biblical text and in particular the relationship which he posits between Old and New Testaments.  </w:t>
      </w:r>
      <w:r w:rsidRPr="00CC6D9F">
        <w:t xml:space="preserve">The statistics concerning the content of individual chapters are derived from the methodology described in the Introduction but, because it would have been impracticable to produce graphs showing the numbers of words in every </w:t>
      </w:r>
      <w:r w:rsidRPr="00CC6D9F">
        <w:rPr>
          <w:i/>
        </w:rPr>
        <w:t>KJV</w:t>
      </w:r>
      <w:r w:rsidRPr="00CC6D9F">
        <w:t xml:space="preserve"> chapter and estimated numbers in the corresponding </w:t>
      </w:r>
      <w:r w:rsidRPr="00CC6D9F">
        <w:rPr>
          <w:i/>
        </w:rPr>
        <w:t>SRB</w:t>
      </w:r>
      <w:r w:rsidRPr="00CC6D9F">
        <w:t xml:space="preserve"> notes, the tables and graphs indicate the number of words in </w:t>
      </w:r>
      <w:r w:rsidRPr="00CC6D9F">
        <w:rPr>
          <w:i/>
        </w:rPr>
        <w:t>SRB</w:t>
      </w:r>
      <w:r w:rsidRPr="00CC6D9F">
        <w:t xml:space="preserve"> notes for every 100 words in the </w:t>
      </w:r>
      <w:r w:rsidRPr="00CC6D9F">
        <w:rPr>
          <w:i/>
        </w:rPr>
        <w:t>KJV</w:t>
      </w:r>
      <w:r w:rsidRPr="00CC6D9F">
        <w:t xml:space="preserve"> text.  </w:t>
      </w:r>
      <w:r w:rsidR="00E83DE5" w:rsidRPr="00E83DE5">
        <w:t xml:space="preserve">All graphs are based on the tables in Volume 2.  </w:t>
      </w:r>
      <w:r w:rsidRPr="00CC6D9F">
        <w:t xml:space="preserve">Certain books are not covered in graphical form because there is so little annotation on them.  </w:t>
      </w:r>
      <w:r w:rsidRPr="00CC6D9F">
        <w:rPr>
          <w:color w:val="000000"/>
        </w:rPr>
        <w:t>The uneven distribution of notes both between and within biblical books indicates that Scofield selects particular passages to which to attach his theological comments and, unlike other reference Bibles, does not seek to illuminate all biblical books and chapters.</w:t>
      </w:r>
    </w:p>
    <w:p w:rsidR="00537824" w:rsidRPr="00537824" w:rsidRDefault="006A2E06" w:rsidP="00537824">
      <w:pPr>
        <w:spacing w:after="120" w:line="360" w:lineRule="auto"/>
        <w:ind w:right="74" w:firstLine="567"/>
        <w:jc w:val="both"/>
      </w:pPr>
      <w:r>
        <w:t>All book content tables share the same colour scheme as that</w:t>
      </w:r>
      <w:r w:rsidR="00537824">
        <w:t xml:space="preserve"> employed in the Introduction. </w:t>
      </w:r>
    </w:p>
    <w:p w:rsidR="006A2E06" w:rsidRPr="00C92B97" w:rsidRDefault="006A2E06" w:rsidP="006A2E06">
      <w:pPr>
        <w:spacing w:after="120" w:line="360" w:lineRule="auto"/>
        <w:ind w:right="74" w:firstLine="567"/>
        <w:jc w:val="center"/>
        <w:rPr>
          <w:b/>
        </w:rPr>
      </w:pPr>
      <w:r w:rsidRPr="00C92B97">
        <w:rPr>
          <w:b/>
        </w:rPr>
        <w:t>Key to Colours</w:t>
      </w:r>
      <w:r>
        <w:rPr>
          <w:b/>
        </w:rPr>
        <w:t xml:space="preserve"> in Headings in Tables</w:t>
      </w:r>
    </w:p>
    <w:p w:rsidR="006A2E06" w:rsidRPr="00E166A9" w:rsidRDefault="006A2E06" w:rsidP="006A2E06">
      <w:pPr>
        <w:spacing w:after="120" w:line="360" w:lineRule="auto"/>
        <w:ind w:right="74" w:firstLine="567"/>
        <w:jc w:val="both"/>
        <w:rPr>
          <w:color w:val="00B050"/>
        </w:rPr>
      </w:pPr>
    </w:p>
    <w:p w:rsidR="006A2E06" w:rsidRDefault="006A2E06" w:rsidP="006A2E06">
      <w:pPr>
        <w:spacing w:after="120" w:line="360" w:lineRule="auto"/>
        <w:ind w:right="74"/>
        <w:jc w:val="both"/>
      </w:pPr>
      <w:r>
        <w:rPr>
          <w:noProof/>
          <w:lang w:eastAsia="en-GB"/>
        </w:rPr>
        <w:drawing>
          <wp:inline distT="0" distB="0" distL="0" distR="0" wp14:anchorId="77AFAADE" wp14:editId="293AEE33">
            <wp:extent cx="5400040" cy="31242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s to books 8.12.17 Rationalised 29.4.18 crop.jpg"/>
                    <pic:cNvPicPr/>
                  </pic:nvPicPr>
                  <pic:blipFill>
                    <a:blip r:embed="rId26">
                      <a:extLst>
                        <a:ext uri="{28A0092B-C50C-407E-A947-70E740481C1C}">
                          <a14:useLocalDpi xmlns:a14="http://schemas.microsoft.com/office/drawing/2010/main" val="0"/>
                        </a:ext>
                      </a:extLst>
                    </a:blip>
                    <a:stretch>
                      <a:fillRect/>
                    </a:stretch>
                  </pic:blipFill>
                  <pic:spPr>
                    <a:xfrm>
                      <a:off x="0" y="0"/>
                      <a:ext cx="5400040" cy="3124200"/>
                    </a:xfrm>
                    <a:prstGeom prst="rect">
                      <a:avLst/>
                    </a:prstGeom>
                  </pic:spPr>
                </pic:pic>
              </a:graphicData>
            </a:graphic>
          </wp:inline>
        </w:drawing>
      </w:r>
    </w:p>
    <w:p w:rsidR="006A2E06" w:rsidRDefault="006A2E06" w:rsidP="006A2E06">
      <w:pPr>
        <w:spacing w:after="120" w:line="360" w:lineRule="auto"/>
        <w:ind w:right="74"/>
        <w:jc w:val="both"/>
        <w:rPr>
          <w:b/>
          <w:color w:val="000000"/>
          <w:sz w:val="24"/>
        </w:rPr>
      </w:pPr>
      <w:bookmarkStart w:id="15" w:name="Pentateuchi"/>
      <w:bookmarkEnd w:id="15"/>
      <w:r>
        <w:rPr>
          <w:b/>
          <w:color w:val="000000"/>
          <w:sz w:val="24"/>
        </w:rPr>
        <w:lastRenderedPageBreak/>
        <w:t>8</w:t>
      </w:r>
      <w:r w:rsidRPr="00953098">
        <w:rPr>
          <w:b/>
          <w:color w:val="000000"/>
          <w:sz w:val="24"/>
        </w:rPr>
        <w:t>.1  The Pentateuch</w:t>
      </w:r>
    </w:p>
    <w:p w:rsidR="006A2E06" w:rsidRPr="00743422" w:rsidRDefault="006A2E06" w:rsidP="006A2E06">
      <w:pPr>
        <w:spacing w:after="120" w:line="360" w:lineRule="auto"/>
        <w:ind w:right="74"/>
        <w:jc w:val="both"/>
        <w:rPr>
          <w:b/>
          <w:i/>
          <w:color w:val="000000"/>
        </w:rPr>
      </w:pPr>
      <w:r w:rsidRPr="00743422">
        <w:rPr>
          <w:b/>
          <w:i/>
          <w:color w:val="000000"/>
        </w:rPr>
        <w:t>Introduction:</w:t>
      </w:r>
      <w:r w:rsidRPr="00AD3725">
        <w:rPr>
          <w:rStyle w:val="EndnoteReference"/>
          <w:color w:val="000000"/>
        </w:rPr>
        <w:endnoteReference w:id="2345"/>
      </w:r>
      <w:r w:rsidRPr="00743422">
        <w:rPr>
          <w:b/>
          <w:i/>
          <w:color w:val="000000"/>
        </w:rPr>
        <w:t xml:space="preserve"> Key Points</w:t>
      </w:r>
    </w:p>
    <w:p w:rsidR="006A2E06" w:rsidRDefault="006A2E06" w:rsidP="006A2E06">
      <w:pPr>
        <w:spacing w:after="120" w:line="240" w:lineRule="auto"/>
        <w:ind w:left="567" w:right="74"/>
        <w:jc w:val="both"/>
        <w:rPr>
          <w:color w:val="000000"/>
        </w:rPr>
      </w:pPr>
      <w:r>
        <w:rPr>
          <w:color w:val="000000"/>
        </w:rPr>
        <w:t>Assertion that ‘the five books ascribed to Moses’ represent ‘an order which is undeniably the order of the experience of the people of God in all ages’.</w:t>
      </w:r>
    </w:p>
    <w:p w:rsidR="006A2E06" w:rsidRPr="00743422" w:rsidRDefault="006A2E06" w:rsidP="006A2E06">
      <w:pPr>
        <w:spacing w:after="120" w:line="240" w:lineRule="auto"/>
        <w:ind w:left="567" w:right="74"/>
        <w:jc w:val="both"/>
        <w:rPr>
          <w:color w:val="000000"/>
        </w:rPr>
      </w:pPr>
      <w:r>
        <w:rPr>
          <w:color w:val="000000"/>
        </w:rPr>
        <w:t>Assertion that the Pentateuch provides an introduction to the whole Bible, typologically summing up divine revelation.</w:t>
      </w:r>
      <w:r>
        <w:rPr>
          <w:rStyle w:val="EndnoteReference"/>
          <w:color w:val="000000"/>
        </w:rPr>
        <w:endnoteReference w:id="2346"/>
      </w:r>
    </w:p>
    <w:p w:rsidR="006A2E06" w:rsidRPr="009C1CA0" w:rsidRDefault="006A2E06" w:rsidP="006A2E06">
      <w:pPr>
        <w:spacing w:after="120" w:line="360" w:lineRule="auto"/>
        <w:ind w:right="74"/>
        <w:jc w:val="both"/>
        <w:rPr>
          <w:b/>
        </w:rPr>
      </w:pPr>
      <w:r>
        <w:rPr>
          <w:b/>
        </w:rPr>
        <w:t>8</w:t>
      </w:r>
      <w:r w:rsidRPr="009C1CA0">
        <w:rPr>
          <w:b/>
        </w:rPr>
        <w:t>.1.1 Genesis</w:t>
      </w:r>
    </w:p>
    <w:p w:rsidR="006A2E06" w:rsidRDefault="006A2E06" w:rsidP="006A2E06">
      <w:pPr>
        <w:spacing w:after="120" w:line="360" w:lineRule="auto"/>
        <w:ind w:right="74"/>
        <w:jc w:val="center"/>
        <w:rPr>
          <w:b/>
        </w:rPr>
      </w:pPr>
      <w:r>
        <w:rPr>
          <w:b/>
          <w:noProof/>
          <w:lang w:eastAsia="en-GB"/>
        </w:rPr>
        <w:drawing>
          <wp:inline distT="0" distB="0" distL="0" distR="0" wp14:anchorId="54D0F590" wp14:editId="6F6989C0">
            <wp:extent cx="5400040" cy="374205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graph 5.3.18 Crop.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00040" cy="3742055"/>
                    </a:xfrm>
                    <a:prstGeom prst="rect">
                      <a:avLst/>
                    </a:prstGeom>
                  </pic:spPr>
                </pic:pic>
              </a:graphicData>
            </a:graphic>
          </wp:inline>
        </w:drawing>
      </w:r>
    </w:p>
    <w:p w:rsidR="006A2E06" w:rsidRPr="00C34833" w:rsidRDefault="006A2E06" w:rsidP="006A2E06">
      <w:pPr>
        <w:spacing w:after="120" w:line="240" w:lineRule="auto"/>
        <w:ind w:right="74"/>
        <w:jc w:val="center"/>
      </w:pPr>
      <w:r>
        <w:rPr>
          <w:noProof/>
          <w:lang w:eastAsia="en-GB"/>
        </w:rPr>
        <w:drawing>
          <wp:inline distT="0" distB="0" distL="0" distR="0" wp14:anchorId="3ED66EEE" wp14:editId="436A74C1">
            <wp:extent cx="5400040" cy="640715"/>
            <wp:effectExtent l="0" t="0" r="0" b="698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itle 5.3.18 crop.jpg"/>
                    <pic:cNvPicPr/>
                  </pic:nvPicPr>
                  <pic:blipFill>
                    <a:blip r:embed="rId138">
                      <a:extLst>
                        <a:ext uri="{28A0092B-C50C-407E-A947-70E740481C1C}">
                          <a14:useLocalDpi xmlns:a14="http://schemas.microsoft.com/office/drawing/2010/main" val="0"/>
                        </a:ext>
                      </a:extLst>
                    </a:blip>
                    <a:stretch>
                      <a:fillRect/>
                    </a:stretch>
                  </pic:blipFill>
                  <pic:spPr>
                    <a:xfrm>
                      <a:off x="0" y="0"/>
                      <a:ext cx="5400040" cy="640715"/>
                    </a:xfrm>
                    <a:prstGeom prst="rect">
                      <a:avLst/>
                    </a:prstGeom>
                  </pic:spPr>
                </pic:pic>
              </a:graphicData>
            </a:graphic>
          </wp:inline>
        </w:drawing>
      </w:r>
    </w:p>
    <w:p w:rsidR="006A2E06" w:rsidRDefault="006A2E06" w:rsidP="006A2E06">
      <w:pPr>
        <w:spacing w:after="120" w:line="360" w:lineRule="auto"/>
        <w:ind w:right="74"/>
        <w:jc w:val="both"/>
        <w:rPr>
          <w:b/>
          <w:i/>
        </w:rPr>
      </w:pPr>
      <w:r w:rsidRPr="009C1CA0">
        <w:rPr>
          <w:b/>
          <w:i/>
        </w:rPr>
        <w:t>Introduction</w:t>
      </w:r>
      <w:r>
        <w:rPr>
          <w:b/>
          <w:i/>
        </w:rPr>
        <w:t>: Key Points:</w:t>
      </w:r>
      <w:r>
        <w:rPr>
          <w:rStyle w:val="EndnoteReference"/>
        </w:rPr>
        <w:endnoteReference w:id="2347"/>
      </w:r>
    </w:p>
    <w:p w:rsidR="006A2E06" w:rsidRPr="00804343" w:rsidRDefault="006A2E06" w:rsidP="006A2E06">
      <w:pPr>
        <w:spacing w:after="120" w:line="240" w:lineRule="auto"/>
        <w:ind w:right="74" w:firstLine="567"/>
        <w:jc w:val="both"/>
      </w:pPr>
      <w:r w:rsidRPr="00804343">
        <w:t>Represents beginnings and typifies new birth and new creation</w:t>
      </w:r>
      <w:r>
        <w:t>.</w:t>
      </w:r>
    </w:p>
    <w:p w:rsidR="006A2E06" w:rsidRPr="00804343" w:rsidRDefault="006A2E06" w:rsidP="006A2E06">
      <w:pPr>
        <w:spacing w:after="120" w:line="240" w:lineRule="auto"/>
        <w:ind w:right="74" w:firstLine="567"/>
        <w:jc w:val="both"/>
      </w:pPr>
      <w:r w:rsidRPr="00804343">
        <w:t>The start of ‘progressive self-revelation of God which culminates in Christ</w:t>
      </w:r>
      <w:r>
        <w:t>.</w:t>
      </w:r>
    </w:p>
    <w:p w:rsidR="006A2E06" w:rsidRPr="00804343" w:rsidRDefault="006A2E06" w:rsidP="006A2E06">
      <w:pPr>
        <w:spacing w:after="120" w:line="240" w:lineRule="auto"/>
        <w:ind w:right="74" w:firstLine="567"/>
        <w:jc w:val="both"/>
      </w:pPr>
      <w:r w:rsidRPr="00804343">
        <w:t>Contains three primary and five most important compound names of Deity</w:t>
      </w:r>
      <w:r>
        <w:t>.</w:t>
      </w:r>
    </w:p>
    <w:p w:rsidR="006A2E06" w:rsidRPr="00804343" w:rsidRDefault="006A2E06" w:rsidP="006A2E06">
      <w:pPr>
        <w:spacing w:after="120" w:line="240" w:lineRule="auto"/>
        <w:ind w:right="74" w:firstLine="567"/>
        <w:jc w:val="both"/>
      </w:pPr>
      <w:r w:rsidRPr="00804343">
        <w:t>Contains ‘essence’ of problem of sin and divine solution</w:t>
      </w:r>
      <w:r>
        <w:t>.</w:t>
      </w:r>
    </w:p>
    <w:p w:rsidR="006A2E06" w:rsidRPr="00804343" w:rsidRDefault="006A2E06" w:rsidP="006A2E06">
      <w:pPr>
        <w:spacing w:after="120" w:line="240" w:lineRule="auto"/>
        <w:ind w:right="74" w:firstLine="567"/>
        <w:jc w:val="both"/>
      </w:pPr>
      <w:r w:rsidRPr="00804343">
        <w:t>Contains four covenants</w:t>
      </w:r>
      <w:r>
        <w:t>.</w:t>
      </w:r>
    </w:p>
    <w:p w:rsidR="006A2E06" w:rsidRPr="00804343" w:rsidRDefault="006A2E06" w:rsidP="006A2E06">
      <w:pPr>
        <w:spacing w:after="120" w:line="240" w:lineRule="auto"/>
        <w:ind w:right="74" w:firstLine="567"/>
        <w:jc w:val="both"/>
      </w:pPr>
      <w:r w:rsidRPr="00804343">
        <w:t>Fundamental to comprehension of the New Testament</w:t>
      </w:r>
      <w:r>
        <w:t>.</w:t>
      </w:r>
    </w:p>
    <w:p w:rsidR="006A2E06" w:rsidRDefault="006A2E06" w:rsidP="006A2E06">
      <w:pPr>
        <w:spacing w:after="120" w:line="360" w:lineRule="auto"/>
        <w:ind w:right="74"/>
        <w:jc w:val="both"/>
      </w:pPr>
      <w:r>
        <w:rPr>
          <w:noProof/>
          <w:lang w:eastAsia="en-GB"/>
        </w:rPr>
        <w:lastRenderedPageBreak/>
        <w:drawing>
          <wp:inline distT="0" distB="0" distL="0" distR="0" wp14:anchorId="660DF736" wp14:editId="40D1D06C">
            <wp:extent cx="5400040" cy="764095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hemes as table 29.3.18 crop.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00040" cy="7640955"/>
                    </a:xfrm>
                    <a:prstGeom prst="rect">
                      <a:avLst/>
                    </a:prstGeom>
                  </pic:spPr>
                </pic:pic>
              </a:graphicData>
            </a:graphic>
          </wp:inline>
        </w:drawing>
      </w:r>
    </w:p>
    <w:p w:rsidR="006A2E06" w:rsidRPr="00F17CBC" w:rsidRDefault="006A2E06" w:rsidP="006A2E06">
      <w:pPr>
        <w:spacing w:after="120" w:line="360" w:lineRule="auto"/>
        <w:ind w:right="74"/>
        <w:jc w:val="both"/>
        <w:rPr>
          <w:b/>
          <w:i/>
        </w:rPr>
      </w:pPr>
      <w:r w:rsidRPr="00F17CBC">
        <w:rPr>
          <w:b/>
          <w:i/>
        </w:rPr>
        <w:t>Annotation: Key Points:</w:t>
      </w:r>
    </w:p>
    <w:p w:rsidR="006A2E06" w:rsidRPr="00F17CBC" w:rsidRDefault="006A2E06" w:rsidP="006A2E06">
      <w:pPr>
        <w:spacing w:after="120" w:line="240" w:lineRule="auto"/>
        <w:ind w:left="567" w:right="74"/>
        <w:jc w:val="both"/>
      </w:pPr>
      <w:r w:rsidRPr="00F17CBC">
        <w:t xml:space="preserve">Introduction of themes which are important throughout </w:t>
      </w:r>
      <w:r w:rsidRPr="00F17CBC">
        <w:rPr>
          <w:i/>
        </w:rPr>
        <w:t>SRB</w:t>
      </w:r>
      <w:r w:rsidRPr="00F17CBC">
        <w:t xml:space="preserve">, especially </w:t>
      </w:r>
      <w:r>
        <w:t xml:space="preserve">the </w:t>
      </w:r>
      <w:r w:rsidRPr="00F17CBC">
        <w:t>prevailing presence of God in Scripture,</w:t>
      </w:r>
      <w:r w:rsidRPr="00F17CBC">
        <w:rPr>
          <w:rStyle w:val="EndnoteReference"/>
        </w:rPr>
        <w:endnoteReference w:id="2348"/>
      </w:r>
      <w:r w:rsidRPr="00F17CBC">
        <w:t xml:space="preserve"> types,</w:t>
      </w:r>
      <w:r w:rsidRPr="00F17CBC">
        <w:rPr>
          <w:rStyle w:val="EndnoteReference"/>
        </w:rPr>
        <w:endnoteReference w:id="2349"/>
      </w:r>
      <w:r w:rsidRPr="00F17CBC">
        <w:t xml:space="preserve"> dispensations, covenants,</w:t>
      </w:r>
      <w:r w:rsidRPr="00F17CBC">
        <w:rPr>
          <w:rStyle w:val="EndnoteReference"/>
        </w:rPr>
        <w:endnoteReference w:id="2350"/>
      </w:r>
      <w:r w:rsidRPr="00F17CBC">
        <w:t xml:space="preserve"> and dualism between Israel and the Church</w:t>
      </w:r>
      <w:r>
        <w:t>.</w:t>
      </w:r>
      <w:r w:rsidRPr="00F17CBC">
        <w:rPr>
          <w:rStyle w:val="EndnoteReference"/>
        </w:rPr>
        <w:endnoteReference w:id="2351"/>
      </w:r>
    </w:p>
    <w:p w:rsidR="006A2E06" w:rsidRPr="00F17CBC" w:rsidRDefault="006A2E06" w:rsidP="006A2E06">
      <w:pPr>
        <w:spacing w:after="120" w:line="240" w:lineRule="auto"/>
        <w:ind w:left="567" w:right="74"/>
        <w:jc w:val="both"/>
      </w:pPr>
      <w:r w:rsidRPr="00F17CBC">
        <w:lastRenderedPageBreak/>
        <w:t>Emphasis on divine names and creation</w:t>
      </w:r>
      <w:r>
        <w:t>.</w:t>
      </w:r>
      <w:r w:rsidRPr="00F17CBC">
        <w:rPr>
          <w:rStyle w:val="EndnoteReference"/>
        </w:rPr>
        <w:endnoteReference w:id="2352"/>
      </w:r>
    </w:p>
    <w:p w:rsidR="006A2E06" w:rsidRPr="00F17CBC" w:rsidRDefault="006A2E06" w:rsidP="006A2E06">
      <w:pPr>
        <w:spacing w:after="120" w:line="240" w:lineRule="auto"/>
        <w:ind w:left="567" w:right="74"/>
        <w:jc w:val="both"/>
      </w:pPr>
      <w:r w:rsidRPr="00F17CBC">
        <w:t xml:space="preserve">Typological references are important in </w:t>
      </w:r>
      <w:r>
        <w:t xml:space="preserve">the </w:t>
      </w:r>
      <w:r w:rsidRPr="00F17CBC">
        <w:t>way in which Scofield relates the Old Testament to the New – many occur in Genesis, especially representing Christ</w:t>
      </w:r>
      <w:r>
        <w:t>.</w:t>
      </w:r>
      <w:r w:rsidRPr="00F17CBC">
        <w:t xml:space="preserve">  </w:t>
      </w:r>
    </w:p>
    <w:p w:rsidR="006A2E06" w:rsidRPr="00F17CBC" w:rsidRDefault="006A2E06" w:rsidP="006A2E06">
      <w:pPr>
        <w:spacing w:after="120" w:line="240" w:lineRule="auto"/>
        <w:ind w:left="567" w:right="74"/>
        <w:jc w:val="both"/>
      </w:pPr>
      <w:r>
        <w:t>D</w:t>
      </w:r>
      <w:r w:rsidRPr="00F17CBC">
        <w:t>efinition of types</w:t>
      </w:r>
      <w:r>
        <w:t>.</w:t>
      </w:r>
      <w:r w:rsidRPr="00F17CBC">
        <w:rPr>
          <w:rStyle w:val="EndnoteReference"/>
        </w:rPr>
        <w:endnoteReference w:id="2353"/>
      </w:r>
    </w:p>
    <w:p w:rsidR="006A2E06" w:rsidRPr="00F17CBC" w:rsidRDefault="006A2E06" w:rsidP="006A2E06">
      <w:pPr>
        <w:spacing w:after="240" w:line="240" w:lineRule="auto"/>
        <w:ind w:left="567" w:right="74"/>
        <w:jc w:val="both"/>
      </w:pPr>
      <w:r w:rsidRPr="00F17CBC">
        <w:t>Definition of a dispensation</w:t>
      </w:r>
      <w:r>
        <w:t>.</w:t>
      </w:r>
      <w:r w:rsidRPr="00F17CBC">
        <w:rPr>
          <w:rStyle w:val="EndnoteReference"/>
        </w:rPr>
        <w:endnoteReference w:id="2354"/>
      </w:r>
    </w:p>
    <w:p w:rsidR="006A2E06" w:rsidRPr="00415EA1" w:rsidRDefault="006A2E06" w:rsidP="006A2E06">
      <w:pPr>
        <w:spacing w:after="120" w:line="360" w:lineRule="auto"/>
        <w:ind w:right="74"/>
        <w:jc w:val="both"/>
        <w:rPr>
          <w:b/>
          <w:i/>
        </w:rPr>
      </w:pPr>
      <w:r w:rsidRPr="00415EA1">
        <w:rPr>
          <w:b/>
          <w:i/>
        </w:rPr>
        <w:t>Omissions</w:t>
      </w:r>
    </w:p>
    <w:p w:rsidR="006A2E06" w:rsidRDefault="006A2E06" w:rsidP="006A2E06">
      <w:pPr>
        <w:spacing w:after="120" w:line="240" w:lineRule="auto"/>
        <w:ind w:left="567" w:right="74"/>
        <w:jc w:val="both"/>
      </w:pPr>
      <w:r>
        <w:t>Narrative elements mainly missing.</w:t>
      </w:r>
      <w:r>
        <w:rPr>
          <w:rStyle w:val="EndnoteReference"/>
        </w:rPr>
        <w:endnoteReference w:id="2355"/>
      </w:r>
      <w:r>
        <w:t xml:space="preserve"> </w:t>
      </w:r>
    </w:p>
    <w:p w:rsidR="006A2E06" w:rsidRDefault="006A2E06" w:rsidP="006A2E06">
      <w:pPr>
        <w:spacing w:after="240" w:line="240" w:lineRule="auto"/>
        <w:ind w:left="567" w:right="74"/>
        <w:jc w:val="both"/>
      </w:pPr>
      <w:r>
        <w:t>S</w:t>
      </w:r>
      <w:r w:rsidRPr="008937FF">
        <w:t>urprising</w:t>
      </w:r>
      <w:r>
        <w:t>ly,</w:t>
      </w:r>
      <w:r w:rsidRPr="008937FF">
        <w:t xml:space="preserve"> Scofield does not annotate one of the repetitions of the Abrahamic Covenant in Genesis 13.</w:t>
      </w:r>
    </w:p>
    <w:p w:rsidR="006A2E06" w:rsidRDefault="006A2E06" w:rsidP="006A2E06">
      <w:pPr>
        <w:spacing w:after="120" w:line="360" w:lineRule="auto"/>
        <w:ind w:right="74"/>
        <w:jc w:val="both"/>
        <w:rPr>
          <w:b/>
        </w:rPr>
      </w:pPr>
      <w:r>
        <w:rPr>
          <w:b/>
        </w:rPr>
        <w:t>8</w:t>
      </w:r>
      <w:r w:rsidRPr="009C1CA0">
        <w:rPr>
          <w:b/>
        </w:rPr>
        <w:t>.1.2  Exodus</w:t>
      </w:r>
    </w:p>
    <w:p w:rsidR="006A2E06" w:rsidRDefault="006A2E06" w:rsidP="006A2E06">
      <w:pPr>
        <w:spacing w:after="120" w:line="360" w:lineRule="auto"/>
        <w:ind w:right="74"/>
        <w:jc w:val="center"/>
        <w:rPr>
          <w:b/>
        </w:rPr>
      </w:pPr>
      <w:r>
        <w:rPr>
          <w:b/>
          <w:noProof/>
          <w:lang w:eastAsia="en-GB"/>
        </w:rPr>
        <w:drawing>
          <wp:inline distT="0" distB="0" distL="0" distR="0" wp14:anchorId="4C359819" wp14:editId="3F18E141">
            <wp:extent cx="5400040" cy="292163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graph 5.3.18_Page_1 crop.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00040" cy="2921635"/>
                    </a:xfrm>
                    <a:prstGeom prst="rect">
                      <a:avLst/>
                    </a:prstGeom>
                  </pic:spPr>
                </pic:pic>
              </a:graphicData>
            </a:graphic>
          </wp:inline>
        </w:drawing>
      </w:r>
    </w:p>
    <w:p w:rsidR="006A2E06" w:rsidRDefault="006A2E06" w:rsidP="006A2E06">
      <w:pPr>
        <w:spacing w:after="120" w:line="240" w:lineRule="auto"/>
        <w:ind w:right="74"/>
        <w:jc w:val="center"/>
      </w:pPr>
      <w:r>
        <w:rPr>
          <w:noProof/>
          <w:lang w:eastAsia="en-GB"/>
        </w:rPr>
        <w:drawing>
          <wp:inline distT="0" distB="0" distL="0" distR="0" wp14:anchorId="38866337" wp14:editId="1698FE57">
            <wp:extent cx="5400040" cy="625475"/>
            <wp:effectExtent l="0" t="0" r="0" b="317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title 5.3.18 crop.jpg"/>
                    <pic:cNvPicPr/>
                  </pic:nvPicPr>
                  <pic:blipFill>
                    <a:blip r:embed="rId141">
                      <a:extLst>
                        <a:ext uri="{28A0092B-C50C-407E-A947-70E740481C1C}">
                          <a14:useLocalDpi xmlns:a14="http://schemas.microsoft.com/office/drawing/2010/main" val="0"/>
                        </a:ext>
                      </a:extLst>
                    </a:blip>
                    <a:stretch>
                      <a:fillRect/>
                    </a:stretch>
                  </pic:blipFill>
                  <pic:spPr>
                    <a:xfrm>
                      <a:off x="0" y="0"/>
                      <a:ext cx="5400040" cy="625475"/>
                    </a:xfrm>
                    <a:prstGeom prst="rect">
                      <a:avLst/>
                    </a:prstGeom>
                  </pic:spPr>
                </pic:pic>
              </a:graphicData>
            </a:graphic>
          </wp:inline>
        </w:drawing>
      </w:r>
    </w:p>
    <w:p w:rsidR="006A2E06" w:rsidRDefault="006A2E06" w:rsidP="006A2E06">
      <w:pPr>
        <w:spacing w:after="120" w:line="360" w:lineRule="auto"/>
        <w:ind w:right="74"/>
        <w:jc w:val="both"/>
        <w:rPr>
          <w:b/>
          <w:i/>
        </w:rPr>
      </w:pPr>
      <w:r w:rsidRPr="007E10F8">
        <w:rPr>
          <w:b/>
          <w:i/>
        </w:rPr>
        <w:t>Introduction</w:t>
      </w:r>
      <w:r>
        <w:rPr>
          <w:b/>
          <w:i/>
        </w:rPr>
        <w:t>: Key Points</w:t>
      </w:r>
      <w:r w:rsidRPr="006337E5">
        <w:rPr>
          <w:rStyle w:val="EndnoteReference"/>
        </w:rPr>
        <w:endnoteReference w:id="2356"/>
      </w:r>
    </w:p>
    <w:p w:rsidR="006A2E06" w:rsidRDefault="006A2E06" w:rsidP="006A2E06">
      <w:pPr>
        <w:spacing w:after="120" w:line="240" w:lineRule="auto"/>
        <w:ind w:left="567" w:right="74"/>
        <w:jc w:val="both"/>
      </w:pPr>
      <w:r>
        <w:t>D</w:t>
      </w:r>
      <w:r w:rsidRPr="006337E5">
        <w:t>eliverance from Egypt ‘sets forth in type all redemption’</w:t>
      </w:r>
      <w:r>
        <w:t>;</w:t>
      </w:r>
      <w:r w:rsidRPr="006337E5">
        <w:rPr>
          <w:rStyle w:val="EndnoteReference"/>
        </w:rPr>
        <w:endnoteReference w:id="2357"/>
      </w:r>
      <w:r>
        <w:t xml:space="preserve"> forms a type for ‘the </w:t>
      </w:r>
      <w:r w:rsidRPr="006337E5">
        <w:t>conditions upon which all relations</w:t>
      </w:r>
      <w:r>
        <w:t>hips with God exist’.</w:t>
      </w:r>
    </w:p>
    <w:p w:rsidR="006A2E06" w:rsidRDefault="006A2E06" w:rsidP="006A2E06">
      <w:pPr>
        <w:spacing w:after="120" w:line="240" w:lineRule="auto"/>
        <w:ind w:left="567" w:right="74"/>
        <w:jc w:val="both"/>
      </w:pPr>
      <w:r>
        <w:t>T</w:t>
      </w:r>
      <w:r w:rsidRPr="006337E5">
        <w:t>he ‘Israelitish’ people, previously connected to God only through the Abrahamic Covenant, were brought ‘nationally’ to God through redemption</w:t>
      </w:r>
      <w:r>
        <w:t>.</w:t>
      </w:r>
    </w:p>
    <w:p w:rsidR="006A2E06" w:rsidRDefault="006A2E06" w:rsidP="006A2E06">
      <w:pPr>
        <w:spacing w:after="120" w:line="240" w:lineRule="auto"/>
        <w:ind w:left="567" w:right="74"/>
        <w:jc w:val="both"/>
      </w:pPr>
      <w:r>
        <w:t>Israelites put under Mosaic Covenant;</w:t>
      </w:r>
      <w:r w:rsidRPr="006337E5">
        <w:t xml:space="preserve"> ‘God taught Israel His just demands’; conviction of Israel for sin and the provision of priesthood and sacrifices (typical of Christ) ‘gave a guilty people a way of forgiveness, cleansing, restorat</w:t>
      </w:r>
      <w:r>
        <w:t>ion to fellowship, and worship’.</w:t>
      </w:r>
    </w:p>
    <w:p w:rsidR="006A2E06" w:rsidRPr="00AF58FE" w:rsidRDefault="006A2E06" w:rsidP="006A2E06">
      <w:pPr>
        <w:spacing w:after="120" w:line="240" w:lineRule="auto"/>
        <w:ind w:left="567" w:right="74"/>
        <w:jc w:val="both"/>
      </w:pPr>
      <w:r w:rsidRPr="006337E5">
        <w:t xml:space="preserve">Galatians cited to explain relationship of the law </w:t>
      </w:r>
      <w:r>
        <w:t>to the Abrahamic Covenant.</w:t>
      </w:r>
    </w:p>
    <w:p w:rsidR="006A2E06" w:rsidRPr="006B32B4" w:rsidRDefault="006A2E06" w:rsidP="006A2E06">
      <w:pPr>
        <w:spacing w:after="120" w:line="360" w:lineRule="auto"/>
        <w:ind w:left="567" w:right="74"/>
        <w:jc w:val="both"/>
      </w:pPr>
      <w:r>
        <w:t xml:space="preserve"> </w:t>
      </w:r>
    </w:p>
    <w:p w:rsidR="006A2E06" w:rsidRDefault="006A2E06" w:rsidP="006A2E06">
      <w:pPr>
        <w:spacing w:after="120" w:line="360" w:lineRule="auto"/>
        <w:ind w:right="74"/>
        <w:jc w:val="center"/>
      </w:pPr>
      <w:r>
        <w:rPr>
          <w:noProof/>
          <w:lang w:eastAsia="en-GB"/>
        </w:rPr>
        <w:lastRenderedPageBreak/>
        <w:drawing>
          <wp:inline distT="0" distB="0" distL="0" distR="0" wp14:anchorId="0661FC6B" wp14:editId="781D39CF">
            <wp:extent cx="5400040" cy="5154295"/>
            <wp:effectExtent l="0" t="0" r="0" b="82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themes as table rev 4.4.18 crop.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40" cy="5154295"/>
                    </a:xfrm>
                    <a:prstGeom prst="rect">
                      <a:avLst/>
                    </a:prstGeom>
                  </pic:spPr>
                </pic:pic>
              </a:graphicData>
            </a:graphic>
          </wp:inline>
        </w:drawing>
      </w:r>
    </w:p>
    <w:p w:rsidR="006A2E06" w:rsidRDefault="006A2E06" w:rsidP="006A2E06">
      <w:pPr>
        <w:spacing w:after="120" w:line="360" w:lineRule="auto"/>
        <w:ind w:right="74"/>
        <w:jc w:val="both"/>
        <w:rPr>
          <w:b/>
          <w:i/>
        </w:rPr>
      </w:pPr>
      <w:r w:rsidRPr="007E10F8">
        <w:rPr>
          <w:b/>
          <w:i/>
        </w:rPr>
        <w:t>Annotation</w:t>
      </w:r>
      <w:r>
        <w:rPr>
          <w:b/>
          <w:i/>
        </w:rPr>
        <w:t>: Key Points:</w:t>
      </w:r>
    </w:p>
    <w:p w:rsidR="006A2E06" w:rsidRDefault="006A2E06" w:rsidP="006A2E06">
      <w:pPr>
        <w:spacing w:after="120" w:line="240" w:lineRule="auto"/>
        <w:ind w:left="567" w:right="74"/>
        <w:jc w:val="both"/>
      </w:pPr>
      <w:r>
        <w:t>Many typological and non-typological representations, especially Christological.</w:t>
      </w:r>
    </w:p>
    <w:p w:rsidR="006A2E06" w:rsidRDefault="006A2E06" w:rsidP="006A2E06">
      <w:pPr>
        <w:spacing w:after="120" w:line="240" w:lineRule="auto"/>
        <w:ind w:left="567" w:right="74"/>
        <w:jc w:val="both"/>
      </w:pPr>
      <w:r>
        <w:t>Focus on the tabernacle and New Testament connections.</w:t>
      </w:r>
      <w:r>
        <w:rPr>
          <w:rStyle w:val="EndnoteReference"/>
        </w:rPr>
        <w:endnoteReference w:id="2358"/>
      </w:r>
    </w:p>
    <w:p w:rsidR="006A2E06" w:rsidRDefault="006A2E06" w:rsidP="006A2E06">
      <w:pPr>
        <w:spacing w:after="120" w:line="240" w:lineRule="auto"/>
        <w:ind w:left="567" w:right="74"/>
        <w:jc w:val="both"/>
      </w:pPr>
      <w:r>
        <w:t>‘General authority for types’.</w:t>
      </w:r>
      <w:r>
        <w:rPr>
          <w:rStyle w:val="EndnoteReference"/>
        </w:rPr>
        <w:endnoteReference w:id="2359"/>
      </w:r>
    </w:p>
    <w:p w:rsidR="006A2E06" w:rsidRDefault="006A2E06" w:rsidP="006A2E06">
      <w:pPr>
        <w:spacing w:after="120" w:line="240" w:lineRule="auto"/>
        <w:ind w:left="567" w:right="74"/>
        <w:jc w:val="both"/>
      </w:pPr>
      <w:r>
        <w:t xml:space="preserve">Importance of relational history of Jehovah and Israel, with </w:t>
      </w:r>
      <w:r w:rsidRPr="00194F6B">
        <w:t>interpretations regarding Christian application</w:t>
      </w:r>
      <w:r>
        <w:t>.</w:t>
      </w:r>
    </w:p>
    <w:p w:rsidR="006A2E06" w:rsidRDefault="006A2E06" w:rsidP="006A2E06">
      <w:pPr>
        <w:spacing w:after="120" w:line="240" w:lineRule="auto"/>
        <w:ind w:left="567" w:right="74"/>
        <w:jc w:val="both"/>
      </w:pPr>
      <w:r>
        <w:t>Fifth dispensation and fifth covenant introduced.</w:t>
      </w:r>
    </w:p>
    <w:p w:rsidR="006A2E06" w:rsidRDefault="006A2E06" w:rsidP="006A2E06">
      <w:pPr>
        <w:spacing w:after="240" w:line="240" w:lineRule="auto"/>
        <w:ind w:firstLine="567"/>
        <w:jc w:val="both"/>
        <w:rPr>
          <w:i/>
        </w:rPr>
      </w:pPr>
      <w:r>
        <w:t>Doctrinal discourses introduced.</w:t>
      </w:r>
      <w:r>
        <w:rPr>
          <w:rStyle w:val="EndnoteReference"/>
        </w:rPr>
        <w:endnoteReference w:id="2360"/>
      </w:r>
    </w:p>
    <w:p w:rsidR="006A2E06" w:rsidRPr="00415EA1" w:rsidRDefault="006A2E06" w:rsidP="006A2E06">
      <w:pPr>
        <w:spacing w:after="0" w:line="360" w:lineRule="auto"/>
        <w:jc w:val="both"/>
        <w:rPr>
          <w:b/>
          <w:i/>
        </w:rPr>
      </w:pPr>
      <w:r w:rsidRPr="00415EA1">
        <w:rPr>
          <w:b/>
          <w:i/>
        </w:rPr>
        <w:t>Omissions</w:t>
      </w:r>
    </w:p>
    <w:p w:rsidR="006A2E06" w:rsidRDefault="006A2E06" w:rsidP="006A2E06">
      <w:pPr>
        <w:spacing w:after="120" w:line="240" w:lineRule="auto"/>
        <w:ind w:left="567"/>
        <w:jc w:val="both"/>
      </w:pPr>
      <w:r>
        <w:t>Na</w:t>
      </w:r>
      <w:r w:rsidRPr="001C31C6">
        <w:t xml:space="preserve">rrative elements, including the birth and calling of Moses, the account of the burning bush, and </w:t>
      </w:r>
      <w:r>
        <w:t>Moses’</w:t>
      </w:r>
      <w:r w:rsidRPr="001C31C6">
        <w:t xml:space="preserve"> interaction with Pharaoh.</w:t>
      </w:r>
      <w:r>
        <w:rPr>
          <w:rStyle w:val="EndnoteReference"/>
        </w:rPr>
        <w:endnoteReference w:id="2361"/>
      </w:r>
      <w:r>
        <w:t xml:space="preserve"> </w:t>
      </w:r>
    </w:p>
    <w:p w:rsidR="006A2E06" w:rsidRDefault="006A2E06" w:rsidP="006A2E06">
      <w:pPr>
        <w:spacing w:after="120" w:line="240" w:lineRule="auto"/>
        <w:ind w:left="1418"/>
        <w:jc w:val="both"/>
      </w:pPr>
      <w:r w:rsidRPr="0059277D">
        <w:rPr>
          <w:b/>
          <w:i/>
        </w:rPr>
        <w:t>Comment</w:t>
      </w:r>
      <w:r>
        <w:t xml:space="preserve">: </w:t>
      </w:r>
      <w:r w:rsidRPr="001C31C6">
        <w:t xml:space="preserve">Even where mentioned, </w:t>
      </w:r>
      <w:r>
        <w:t xml:space="preserve">narrative </w:t>
      </w:r>
      <w:r w:rsidRPr="001C31C6">
        <w:t xml:space="preserve">elements </w:t>
      </w:r>
      <w:r>
        <w:t xml:space="preserve">are </w:t>
      </w:r>
      <w:r w:rsidRPr="001C31C6">
        <w:t>not treated according to their context but used for typological reference to the New Testament, especially Christ; for example, the Passover is treated only as a type for Christ.</w:t>
      </w:r>
      <w:r w:rsidRPr="001C31C6">
        <w:rPr>
          <w:rStyle w:val="EndnoteReference"/>
        </w:rPr>
        <w:endnoteReference w:id="2362"/>
      </w:r>
      <w:r w:rsidRPr="001C31C6">
        <w:t xml:space="preserve">  </w:t>
      </w:r>
    </w:p>
    <w:p w:rsidR="006A2E06" w:rsidRDefault="006A2E06" w:rsidP="006A2E06">
      <w:pPr>
        <w:spacing w:after="120" w:line="240" w:lineRule="auto"/>
        <w:ind w:left="567"/>
        <w:jc w:val="both"/>
      </w:pPr>
      <w:r>
        <w:lastRenderedPageBreak/>
        <w:t>However, a complex series of subheads clarifies this interaction.</w:t>
      </w:r>
    </w:p>
    <w:p w:rsidR="006A2E06" w:rsidRPr="009C1CA0" w:rsidRDefault="006A2E06" w:rsidP="006A2E06">
      <w:pPr>
        <w:spacing w:after="120" w:line="360" w:lineRule="auto"/>
        <w:ind w:right="74"/>
        <w:jc w:val="both"/>
        <w:rPr>
          <w:b/>
        </w:rPr>
      </w:pPr>
      <w:r>
        <w:rPr>
          <w:b/>
        </w:rPr>
        <w:t>8</w:t>
      </w:r>
      <w:r w:rsidRPr="009C1CA0">
        <w:rPr>
          <w:b/>
        </w:rPr>
        <w:t xml:space="preserve">.1.3  Leviticus </w:t>
      </w:r>
    </w:p>
    <w:p w:rsidR="006A2E06" w:rsidRDefault="006A2E06" w:rsidP="006A2E06">
      <w:pPr>
        <w:spacing w:after="120" w:line="360" w:lineRule="auto"/>
        <w:ind w:right="74"/>
        <w:jc w:val="center"/>
        <w:rPr>
          <w:b/>
        </w:rPr>
      </w:pPr>
      <w:r>
        <w:rPr>
          <w:b/>
          <w:noProof/>
          <w:lang w:eastAsia="en-GB"/>
        </w:rPr>
        <w:drawing>
          <wp:inline distT="0" distB="0" distL="0" distR="0" wp14:anchorId="143FA919" wp14:editId="6946D0F6">
            <wp:extent cx="3665220" cy="303596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iticus graph 6.3.18_crop.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668899" cy="3039008"/>
                    </a:xfrm>
                    <a:prstGeom prst="rect">
                      <a:avLst/>
                    </a:prstGeom>
                  </pic:spPr>
                </pic:pic>
              </a:graphicData>
            </a:graphic>
          </wp:inline>
        </w:drawing>
      </w:r>
    </w:p>
    <w:p w:rsidR="006A2E06" w:rsidRDefault="006A2E06" w:rsidP="006A2E06">
      <w:pPr>
        <w:spacing w:after="120" w:line="240" w:lineRule="auto"/>
        <w:ind w:right="74"/>
        <w:jc w:val="center"/>
      </w:pPr>
      <w:r>
        <w:rPr>
          <w:noProof/>
          <w:lang w:eastAsia="en-GB"/>
        </w:rPr>
        <w:drawing>
          <wp:inline distT="0" distB="0" distL="0" distR="0" wp14:anchorId="5CCB6600" wp14:editId="0214F8C7">
            <wp:extent cx="5400040" cy="6000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iticus title 6.3.18 crop.jpg"/>
                    <pic:cNvPicPr/>
                  </pic:nvPicPr>
                  <pic:blipFill>
                    <a:blip r:embed="rId144">
                      <a:extLst>
                        <a:ext uri="{28A0092B-C50C-407E-A947-70E740481C1C}">
                          <a14:useLocalDpi xmlns:a14="http://schemas.microsoft.com/office/drawing/2010/main" val="0"/>
                        </a:ext>
                      </a:extLst>
                    </a:blip>
                    <a:stretch>
                      <a:fillRect/>
                    </a:stretch>
                  </pic:blipFill>
                  <pic:spPr>
                    <a:xfrm>
                      <a:off x="0" y="0"/>
                      <a:ext cx="5400040" cy="600075"/>
                    </a:xfrm>
                    <a:prstGeom prst="rect">
                      <a:avLst/>
                    </a:prstGeom>
                  </pic:spPr>
                </pic:pic>
              </a:graphicData>
            </a:graphic>
          </wp:inline>
        </w:drawing>
      </w:r>
    </w:p>
    <w:p w:rsidR="006A2E06" w:rsidRDefault="006A2E06" w:rsidP="006A2E06">
      <w:pPr>
        <w:spacing w:after="120" w:line="240" w:lineRule="auto"/>
        <w:ind w:right="74"/>
        <w:jc w:val="both"/>
        <w:rPr>
          <w:b/>
          <w:i/>
        </w:rPr>
      </w:pPr>
      <w:r w:rsidRPr="00DD1AEF">
        <w:rPr>
          <w:b/>
          <w:i/>
        </w:rPr>
        <w:t>Introduction</w:t>
      </w:r>
      <w:r>
        <w:rPr>
          <w:b/>
          <w:i/>
        </w:rPr>
        <w:t>: Key Points</w:t>
      </w:r>
      <w:r>
        <w:rPr>
          <w:rStyle w:val="EndnoteReference"/>
        </w:rPr>
        <w:endnoteReference w:id="2363"/>
      </w:r>
      <w:r>
        <w:rPr>
          <w:b/>
          <w:i/>
        </w:rPr>
        <w:t xml:space="preserve"> </w:t>
      </w:r>
    </w:p>
    <w:p w:rsidR="006A2E06" w:rsidRDefault="006A2E06" w:rsidP="006A2E06">
      <w:pPr>
        <w:spacing w:after="120" w:line="240" w:lineRule="auto"/>
        <w:ind w:left="567" w:right="74"/>
        <w:jc w:val="both"/>
      </w:pPr>
      <w:r>
        <w:t xml:space="preserve">Leviticus gives </w:t>
      </w:r>
      <w:r w:rsidRPr="005D00B9">
        <w:t>the details of ‘the walk, worship and service’ of the redeemed people described in Exodus</w:t>
      </w:r>
      <w:r>
        <w:t>.</w:t>
      </w:r>
    </w:p>
    <w:p w:rsidR="006A2E06" w:rsidRDefault="006A2E06" w:rsidP="006A2E06">
      <w:pPr>
        <w:spacing w:after="120" w:line="240" w:lineRule="auto"/>
        <w:ind w:left="567" w:right="74"/>
        <w:jc w:val="both"/>
      </w:pPr>
      <w:r>
        <w:t xml:space="preserve">Parallel drawn with relationship between epistles and </w:t>
      </w:r>
      <w:r w:rsidR="00CF2D01">
        <w:t>G</w:t>
      </w:r>
      <w:r>
        <w:t>ospels.</w:t>
      </w:r>
    </w:p>
    <w:p w:rsidR="006A2E06" w:rsidRDefault="006A2E06" w:rsidP="006A2E06">
      <w:pPr>
        <w:spacing w:after="120" w:line="240" w:lineRule="auto"/>
        <w:ind w:left="567" w:right="74"/>
        <w:jc w:val="both"/>
      </w:pPr>
      <w:r>
        <w:t xml:space="preserve">Key word: </w:t>
      </w:r>
      <w:r w:rsidRPr="005D00B9">
        <w:t>‘holiness’, as God lives in his tabernacle amongst his people</w:t>
      </w:r>
      <w:r>
        <w:t>.</w:t>
      </w:r>
    </w:p>
    <w:p w:rsidR="006A2E06" w:rsidRDefault="006A2E06" w:rsidP="006A2E06">
      <w:pPr>
        <w:spacing w:after="120" w:line="240" w:lineRule="auto"/>
        <w:ind w:right="74"/>
        <w:jc w:val="center"/>
      </w:pPr>
      <w:r>
        <w:rPr>
          <w:noProof/>
          <w:lang w:eastAsia="en-GB"/>
        </w:rPr>
        <w:drawing>
          <wp:inline distT="0" distB="0" distL="0" distR="0" wp14:anchorId="7998978C" wp14:editId="6DFACAF9">
            <wp:extent cx="5400040" cy="3311525"/>
            <wp:effectExtent l="0" t="0" r="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iticus themes as table SPLIT 12.5.18_Page_1 crop.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00040" cy="3311525"/>
                    </a:xfrm>
                    <a:prstGeom prst="rect">
                      <a:avLst/>
                    </a:prstGeom>
                  </pic:spPr>
                </pic:pic>
              </a:graphicData>
            </a:graphic>
          </wp:inline>
        </w:drawing>
      </w:r>
    </w:p>
    <w:p w:rsidR="006A2E06" w:rsidRPr="00B116BC" w:rsidRDefault="006A2E06" w:rsidP="006A2E06">
      <w:pPr>
        <w:spacing w:after="120" w:line="360" w:lineRule="auto"/>
        <w:ind w:right="74"/>
        <w:jc w:val="center"/>
        <w:rPr>
          <w:b/>
        </w:rPr>
      </w:pPr>
      <w:r>
        <w:rPr>
          <w:b/>
          <w:noProof/>
          <w:lang w:eastAsia="en-GB"/>
        </w:rPr>
        <w:lastRenderedPageBreak/>
        <w:drawing>
          <wp:inline distT="0" distB="0" distL="0" distR="0" wp14:anchorId="49499FA1" wp14:editId="287DAFFE">
            <wp:extent cx="5400040" cy="341185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iticus themes as table SPLIT 12.5.18_Page_2 crop.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00040" cy="3411855"/>
                    </a:xfrm>
                    <a:prstGeom prst="rect">
                      <a:avLst/>
                    </a:prstGeom>
                  </pic:spPr>
                </pic:pic>
              </a:graphicData>
            </a:graphic>
          </wp:inline>
        </w:drawing>
      </w:r>
    </w:p>
    <w:p w:rsidR="006A2E06" w:rsidRDefault="006A2E06" w:rsidP="006A2E06">
      <w:pPr>
        <w:spacing w:after="120" w:line="360" w:lineRule="auto"/>
        <w:ind w:right="74"/>
        <w:jc w:val="both"/>
        <w:rPr>
          <w:b/>
          <w:i/>
        </w:rPr>
      </w:pPr>
      <w:r>
        <w:rPr>
          <w:b/>
          <w:i/>
        </w:rPr>
        <w:t>Annotation: Key Points:</w:t>
      </w:r>
    </w:p>
    <w:p w:rsidR="006A2E06" w:rsidRDefault="006A2E06" w:rsidP="006A2E06">
      <w:pPr>
        <w:spacing w:after="120" w:line="240" w:lineRule="auto"/>
        <w:ind w:left="567" w:right="74"/>
        <w:jc w:val="both"/>
      </w:pPr>
      <w:r>
        <w:t>Mainly concerns types – many references are in subheads.</w:t>
      </w:r>
      <w:r w:rsidRPr="00CC6D9F">
        <w:rPr>
          <w:rStyle w:val="EndnoteReference"/>
        </w:rPr>
        <w:endnoteReference w:id="2364"/>
      </w:r>
    </w:p>
    <w:p w:rsidR="006A2E06" w:rsidRPr="00F17CBC" w:rsidRDefault="006A2E06" w:rsidP="006A2E06">
      <w:pPr>
        <w:spacing w:after="120" w:line="240" w:lineRule="auto"/>
        <w:ind w:left="567" w:right="74"/>
        <w:jc w:val="both"/>
      </w:pPr>
      <w:r w:rsidRPr="00F17CBC">
        <w:t xml:space="preserve">Levitical offerings </w:t>
      </w:r>
      <w:r>
        <w:t>‘</w:t>
      </w:r>
      <w:r w:rsidRPr="00F17CBC">
        <w:t>covered</w:t>
      </w:r>
      <w:r>
        <w:t>’</w:t>
      </w:r>
      <w:r w:rsidRPr="00F17CBC">
        <w:t xml:space="preserve"> Israel’s sins ‘until, and in anticipation of the Cross, but did not “take away”</w:t>
      </w:r>
      <w:r w:rsidRPr="00F17CBC">
        <w:rPr>
          <w:rStyle w:val="EndnoteReference"/>
        </w:rPr>
        <w:endnoteReference w:id="2365"/>
      </w:r>
      <w:r w:rsidRPr="00F17CBC">
        <w:t xml:space="preserve"> those sins’</w:t>
      </w:r>
      <w:r>
        <w:t>.</w:t>
      </w:r>
      <w:r w:rsidRPr="00F17CBC">
        <w:rPr>
          <w:rStyle w:val="EndnoteReference"/>
        </w:rPr>
        <w:endnoteReference w:id="2366"/>
      </w:r>
    </w:p>
    <w:p w:rsidR="006A2E06" w:rsidRPr="00F17CBC" w:rsidRDefault="006A2E06" w:rsidP="006A2E06">
      <w:pPr>
        <w:spacing w:after="120" w:line="240" w:lineRule="auto"/>
        <w:ind w:left="567" w:right="74"/>
        <w:jc w:val="both"/>
      </w:pPr>
      <w:r w:rsidRPr="00415EA1">
        <w:rPr>
          <w:i/>
        </w:rPr>
        <w:t>Important eschatological references to Israel</w:t>
      </w:r>
      <w:r w:rsidRPr="00F17CBC">
        <w:t xml:space="preserve">: </w:t>
      </w:r>
    </w:p>
    <w:p w:rsidR="006A2E06" w:rsidRPr="00F17CBC" w:rsidRDefault="006A2E06" w:rsidP="006A2E06">
      <w:pPr>
        <w:spacing w:after="120" w:line="240" w:lineRule="auto"/>
        <w:ind w:left="851" w:right="74"/>
        <w:jc w:val="both"/>
      </w:pPr>
      <w:r w:rsidRPr="00F17CBC">
        <w:t>Israel’s sorrow and repentance, stressed in Leviticus 23, ‘looks forward to the repentance of Israel after her regathering under the Palestinian Covenant</w:t>
      </w:r>
      <w:r w:rsidRPr="00F17CBC">
        <w:rPr>
          <w:rStyle w:val="EndnoteReference"/>
        </w:rPr>
        <w:endnoteReference w:id="2367"/>
      </w:r>
      <w:r w:rsidRPr="00F17CBC">
        <w:t xml:space="preserve"> preparatory to the second advent of Messiah and the establishment of the kingdom’.</w:t>
      </w:r>
      <w:r w:rsidRPr="00F17CBC">
        <w:rPr>
          <w:rStyle w:val="EndnoteReference"/>
        </w:rPr>
        <w:endnoteReference w:id="2368"/>
      </w:r>
    </w:p>
    <w:p w:rsidR="006A2E06" w:rsidRPr="00F17CBC" w:rsidRDefault="006A2E06" w:rsidP="006A2E06">
      <w:pPr>
        <w:spacing w:after="120" w:line="240" w:lineRule="auto"/>
        <w:ind w:left="851" w:right="74"/>
        <w:jc w:val="both"/>
      </w:pPr>
      <w:r w:rsidRPr="00F17CBC">
        <w:t>The feast of Tabernacles, ‘like the Lord’s supper for the church’, is ‘both memorial and prophetic – memorial as to redemption out of Egypt;</w:t>
      </w:r>
      <w:r w:rsidRPr="00F17CBC">
        <w:rPr>
          <w:rStyle w:val="EndnoteReference"/>
        </w:rPr>
        <w:endnoteReference w:id="2369"/>
      </w:r>
      <w:r w:rsidRPr="00F17CBC">
        <w:t xml:space="preserve"> prophetic as to the kingdom-rest of Israel after her regathering and restoration …’.</w:t>
      </w:r>
      <w:r w:rsidRPr="00F17CBC">
        <w:rPr>
          <w:rStyle w:val="EndnoteReference"/>
        </w:rPr>
        <w:endnoteReference w:id="2370"/>
      </w:r>
    </w:p>
    <w:p w:rsidR="006A2E06" w:rsidRDefault="006A2E06" w:rsidP="006A2E06">
      <w:pPr>
        <w:spacing w:after="120" w:line="240" w:lineRule="auto"/>
        <w:ind w:left="1418" w:right="74"/>
        <w:jc w:val="both"/>
      </w:pPr>
      <w:r w:rsidRPr="005C42B0">
        <w:rPr>
          <w:b/>
          <w:i/>
        </w:rPr>
        <w:t>Comment</w:t>
      </w:r>
      <w:r>
        <w:t xml:space="preserve">: </w:t>
      </w:r>
      <w:r w:rsidRPr="00F17CBC">
        <w:t>These statements are important because they illustrate Scofield’s commitment to the dispensationalist tenet concerning the restoration of Israel in a future terrestrial and Messianic kingdom.</w:t>
      </w:r>
      <w:r w:rsidRPr="00F17CBC">
        <w:rPr>
          <w:rStyle w:val="EndnoteReference"/>
        </w:rPr>
        <w:endnoteReference w:id="2371"/>
      </w:r>
      <w:r w:rsidRPr="00F17CBC">
        <w:t xml:space="preserve">  Scofield’s injunction in his note on the </w:t>
      </w:r>
      <w:r w:rsidRPr="003D62BB">
        <w:rPr>
          <w:spacing w:val="-4"/>
        </w:rPr>
        <w:t xml:space="preserve">subhead to Leviticus 26 that the chapter be ‘read in connection with Deuteronomy 28 </w:t>
      </w:r>
      <w:r w:rsidRPr="003D62BB">
        <w:rPr>
          <w:spacing w:val="-4"/>
          <w:sz w:val="16"/>
          <w:szCs w:val="24"/>
        </w:rPr>
        <w:t>—</w:t>
      </w:r>
      <w:r>
        <w:rPr>
          <w:spacing w:val="-4"/>
          <w:sz w:val="16"/>
          <w:szCs w:val="24"/>
        </w:rPr>
        <w:t xml:space="preserve"> </w:t>
      </w:r>
      <w:r w:rsidRPr="003D62BB">
        <w:rPr>
          <w:spacing w:val="-4"/>
        </w:rPr>
        <w:t>30</w:t>
      </w:r>
      <w:r w:rsidRPr="00F17CBC">
        <w:t>, the Palestinian Covenant’, is another illustration of this</w:t>
      </w:r>
      <w:r>
        <w:t xml:space="preserve"> commitment</w:t>
      </w:r>
      <w:r w:rsidRPr="00F17CBC">
        <w:t>.</w:t>
      </w:r>
    </w:p>
    <w:p w:rsidR="006A2E06" w:rsidRPr="00E01ABA" w:rsidRDefault="006A2E06" w:rsidP="006A2E06">
      <w:pPr>
        <w:spacing w:after="120" w:line="240" w:lineRule="auto"/>
        <w:ind w:left="1418" w:right="74"/>
        <w:jc w:val="both"/>
      </w:pPr>
      <w:r w:rsidRPr="005D5BEC">
        <w:t>The discourses</w:t>
      </w:r>
      <w:r>
        <w:t xml:space="preserve"> concerning ‘the “law of the offerings”’,</w:t>
      </w:r>
      <w:r>
        <w:rPr>
          <w:rStyle w:val="EndnoteReference"/>
        </w:rPr>
        <w:endnoteReference w:id="2372"/>
      </w:r>
      <w:r>
        <w:t xml:space="preserve"> the nature of atonement</w:t>
      </w:r>
      <w:r>
        <w:rPr>
          <w:rStyle w:val="EndnoteReference"/>
        </w:rPr>
        <w:endnoteReference w:id="2373"/>
      </w:r>
      <w:r>
        <w:t xml:space="preserve"> and the efficacy of sacrifice,</w:t>
      </w:r>
      <w:r>
        <w:rPr>
          <w:rStyle w:val="EndnoteReference"/>
        </w:rPr>
        <w:endnoteReference w:id="2374"/>
      </w:r>
      <w:r>
        <w:t xml:space="preserve"> both in the Old Testament and as substitutional in the case of Christ indicate a greater awareness of Old Testament context than Scofield often displays with regard to his assertions of type, though even he admits that ‘typical meaning’ can be ‘strained’.</w:t>
      </w:r>
      <w:r>
        <w:rPr>
          <w:rStyle w:val="EndnoteReference"/>
        </w:rPr>
        <w:endnoteReference w:id="2375"/>
      </w:r>
      <w:r>
        <w:t xml:space="preserve">  </w:t>
      </w:r>
    </w:p>
    <w:p w:rsidR="006A2E06" w:rsidRDefault="006A2E06" w:rsidP="006A2E06">
      <w:pPr>
        <w:spacing w:after="120" w:line="240" w:lineRule="auto"/>
        <w:ind w:right="74"/>
        <w:jc w:val="both"/>
        <w:rPr>
          <w:b/>
        </w:rPr>
      </w:pPr>
      <w:r>
        <w:rPr>
          <w:b/>
        </w:rPr>
        <w:t>8</w:t>
      </w:r>
      <w:r w:rsidRPr="009C1CA0">
        <w:rPr>
          <w:b/>
        </w:rPr>
        <w:t>.1.4  Numbers</w:t>
      </w:r>
    </w:p>
    <w:p w:rsidR="006A2E06" w:rsidRPr="005C42B0" w:rsidRDefault="006A2E06" w:rsidP="006A2E06">
      <w:pPr>
        <w:spacing w:after="120" w:line="360" w:lineRule="auto"/>
        <w:ind w:right="74"/>
        <w:jc w:val="both"/>
        <w:rPr>
          <w:b/>
          <w:i/>
        </w:rPr>
      </w:pPr>
      <w:r w:rsidRPr="005C42B0">
        <w:rPr>
          <w:b/>
          <w:i/>
        </w:rPr>
        <w:t>Introduction: Key Points:</w:t>
      </w:r>
      <w:r w:rsidRPr="005C42B0">
        <w:rPr>
          <w:rStyle w:val="EndnoteReference"/>
        </w:rPr>
        <w:endnoteReference w:id="2376"/>
      </w:r>
    </w:p>
    <w:p w:rsidR="006A2E06" w:rsidRPr="005C42B0" w:rsidRDefault="006A2E06" w:rsidP="006A2E06">
      <w:pPr>
        <w:spacing w:after="120" w:line="240" w:lineRule="auto"/>
        <w:ind w:left="567" w:right="74"/>
        <w:jc w:val="both"/>
      </w:pPr>
      <w:r w:rsidRPr="005C42B0">
        <w:t>‘Historically, Numbers takes up the story where Exodus left it’ and is ‘typically … the book of service and walk’, in which ‘nothing was left to self-will’.</w:t>
      </w:r>
      <w:r w:rsidRPr="005C42B0">
        <w:rPr>
          <w:rStyle w:val="EndnoteReference"/>
        </w:rPr>
        <w:t xml:space="preserve"> </w:t>
      </w:r>
      <w:r w:rsidRPr="005C42B0">
        <w:rPr>
          <w:rStyle w:val="EndnoteReference"/>
        </w:rPr>
        <w:endnoteReference w:id="2377"/>
      </w:r>
    </w:p>
    <w:p w:rsidR="006A2E06" w:rsidRPr="005C42B0" w:rsidRDefault="006A2E06" w:rsidP="006A2E06">
      <w:pPr>
        <w:spacing w:after="120" w:line="240" w:lineRule="auto"/>
        <w:ind w:left="567" w:right="74"/>
        <w:jc w:val="both"/>
      </w:pPr>
      <w:r w:rsidRPr="005C42B0">
        <w:lastRenderedPageBreak/>
        <w:t>Completes ‘a beautiful moral order’ along with Genesis, Exodus and Leviticus.</w:t>
      </w:r>
    </w:p>
    <w:p w:rsidR="006A2E06" w:rsidRPr="005C42B0" w:rsidRDefault="006A2E06" w:rsidP="006A2E06">
      <w:pPr>
        <w:spacing w:after="120" w:line="240" w:lineRule="auto"/>
        <w:ind w:left="567" w:right="74"/>
        <w:jc w:val="both"/>
      </w:pPr>
      <w:r w:rsidRPr="005C42B0">
        <w:t>Second typical lesson: ‘tested by wilderness circumstances, Israel utterly failed’.</w:t>
      </w:r>
    </w:p>
    <w:p w:rsidR="006A2E06" w:rsidRDefault="006A2E06" w:rsidP="006A2E06">
      <w:pPr>
        <w:spacing w:after="120" w:line="360" w:lineRule="auto"/>
        <w:ind w:right="74"/>
        <w:jc w:val="center"/>
        <w:rPr>
          <w:b/>
        </w:rPr>
      </w:pPr>
      <w:r>
        <w:rPr>
          <w:b/>
          <w:noProof/>
          <w:lang w:eastAsia="en-GB"/>
        </w:rPr>
        <w:drawing>
          <wp:inline distT="0" distB="0" distL="0" distR="0" wp14:anchorId="78D56834" wp14:editId="2E0B974A">
            <wp:extent cx="5400040" cy="176403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s graph 7.3.18_crop.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00040" cy="1764030"/>
                    </a:xfrm>
                    <a:prstGeom prst="rect">
                      <a:avLst/>
                    </a:prstGeom>
                  </pic:spPr>
                </pic:pic>
              </a:graphicData>
            </a:graphic>
          </wp:inline>
        </w:drawing>
      </w:r>
    </w:p>
    <w:p w:rsidR="006A2E06" w:rsidRDefault="006A2E06" w:rsidP="006A2E06">
      <w:pPr>
        <w:spacing w:after="120" w:line="240" w:lineRule="auto"/>
        <w:ind w:right="74"/>
        <w:jc w:val="center"/>
      </w:pPr>
      <w:r>
        <w:rPr>
          <w:noProof/>
          <w:lang w:eastAsia="en-GB"/>
        </w:rPr>
        <w:drawing>
          <wp:inline distT="0" distB="0" distL="0" distR="0" wp14:anchorId="0DB7CA3A" wp14:editId="5ED5CC77">
            <wp:extent cx="5400040" cy="6921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s title 7.3.18 crop.jpg"/>
                    <pic:cNvPicPr/>
                  </pic:nvPicPr>
                  <pic:blipFill>
                    <a:blip r:embed="rId148">
                      <a:extLst>
                        <a:ext uri="{28A0092B-C50C-407E-A947-70E740481C1C}">
                          <a14:useLocalDpi xmlns:a14="http://schemas.microsoft.com/office/drawing/2010/main" val="0"/>
                        </a:ext>
                      </a:extLst>
                    </a:blip>
                    <a:stretch>
                      <a:fillRect/>
                    </a:stretch>
                  </pic:blipFill>
                  <pic:spPr>
                    <a:xfrm>
                      <a:off x="0" y="0"/>
                      <a:ext cx="5400040" cy="692150"/>
                    </a:xfrm>
                    <a:prstGeom prst="rect">
                      <a:avLst/>
                    </a:prstGeom>
                  </pic:spPr>
                </pic:pic>
              </a:graphicData>
            </a:graphic>
          </wp:inline>
        </w:drawing>
      </w:r>
    </w:p>
    <w:p w:rsidR="006A2E06" w:rsidRDefault="006A2E06" w:rsidP="006A2E06">
      <w:pPr>
        <w:spacing w:after="120" w:line="360" w:lineRule="auto"/>
        <w:ind w:right="74"/>
        <w:jc w:val="center"/>
      </w:pPr>
      <w:r>
        <w:rPr>
          <w:noProof/>
          <w:lang w:eastAsia="en-GB"/>
        </w:rPr>
        <w:drawing>
          <wp:inline distT="0" distB="0" distL="0" distR="0" wp14:anchorId="4B11D050" wp14:editId="05717A29">
            <wp:extent cx="5400040" cy="311023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s themes as table 24.4.18 crop.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00040" cy="3110230"/>
                    </a:xfrm>
                    <a:prstGeom prst="rect">
                      <a:avLst/>
                    </a:prstGeom>
                  </pic:spPr>
                </pic:pic>
              </a:graphicData>
            </a:graphic>
          </wp:inline>
        </w:drawing>
      </w:r>
    </w:p>
    <w:p w:rsidR="006A2E06" w:rsidRDefault="006A2E06" w:rsidP="006A2E06">
      <w:pPr>
        <w:spacing w:after="120" w:line="360" w:lineRule="auto"/>
        <w:ind w:right="74"/>
        <w:jc w:val="both"/>
        <w:rPr>
          <w:b/>
          <w:i/>
        </w:rPr>
      </w:pPr>
      <w:r w:rsidRPr="006672D5">
        <w:rPr>
          <w:b/>
          <w:i/>
        </w:rPr>
        <w:t>Annotation</w:t>
      </w:r>
      <w:r>
        <w:rPr>
          <w:b/>
          <w:i/>
        </w:rPr>
        <w:t>: Key Points</w:t>
      </w:r>
    </w:p>
    <w:p w:rsidR="006A2E06" w:rsidRDefault="006A2E06" w:rsidP="006A2E06">
      <w:pPr>
        <w:spacing w:after="120" w:line="240" w:lineRule="auto"/>
        <w:ind w:left="567" w:right="74"/>
        <w:jc w:val="both"/>
      </w:pPr>
      <w:r>
        <w:t>Israel’s wilderness experience as ‘discipline’ distinguished from ‘wandering’ as punishment for disbelief and disobedience.</w:t>
      </w:r>
      <w:r w:rsidRPr="007308F0">
        <w:rPr>
          <w:rStyle w:val="EndnoteReference"/>
        </w:rPr>
        <w:endnoteReference w:id="2378"/>
      </w:r>
    </w:p>
    <w:p w:rsidR="006A2E06" w:rsidRPr="0020471B" w:rsidRDefault="006A2E06" w:rsidP="006A2E06">
      <w:pPr>
        <w:spacing w:after="120" w:line="240" w:lineRule="auto"/>
        <w:ind w:left="567" w:right="74"/>
        <w:jc w:val="both"/>
      </w:pPr>
      <w:r>
        <w:t>God’s care for his disobedient people.</w:t>
      </w:r>
      <w:r w:rsidRPr="007308F0">
        <w:rPr>
          <w:rStyle w:val="EndnoteReference"/>
        </w:rPr>
        <w:endnoteReference w:id="2379"/>
      </w:r>
    </w:p>
    <w:p w:rsidR="006A2E06" w:rsidRDefault="006A2E06" w:rsidP="006A2E06">
      <w:pPr>
        <w:spacing w:after="120" w:line="240" w:lineRule="auto"/>
        <w:ind w:right="74" w:firstLine="567"/>
        <w:jc w:val="both"/>
      </w:pPr>
      <w:r>
        <w:t>Water mentioned three times as a type of the Holy Spirit,</w:t>
      </w:r>
      <w:r>
        <w:rPr>
          <w:rStyle w:val="EndnoteReference"/>
        </w:rPr>
        <w:endnoteReference w:id="2380"/>
      </w:r>
      <w:r>
        <w:t xml:space="preserve"> bestowing refreshment and power.</w:t>
      </w:r>
      <w:r>
        <w:rPr>
          <w:rStyle w:val="EndnoteReference"/>
        </w:rPr>
        <w:endnoteReference w:id="2381"/>
      </w:r>
    </w:p>
    <w:p w:rsidR="006A2E06" w:rsidRPr="0020471B" w:rsidRDefault="006A2E06" w:rsidP="006A2E06">
      <w:pPr>
        <w:spacing w:after="120" w:line="240" w:lineRule="auto"/>
        <w:ind w:left="567" w:right="74"/>
        <w:jc w:val="both"/>
      </w:pPr>
      <w:r>
        <w:t xml:space="preserve">Difference between </w:t>
      </w:r>
      <w:r w:rsidRPr="0020471B">
        <w:t xml:space="preserve">God’s </w:t>
      </w:r>
      <w:r>
        <w:t>d</w:t>
      </w:r>
      <w:r w:rsidRPr="0020471B">
        <w:t xml:space="preserve">irective and </w:t>
      </w:r>
      <w:r>
        <w:t>p</w:t>
      </w:r>
      <w:r w:rsidRPr="0020471B">
        <w:t xml:space="preserve">ermissive </w:t>
      </w:r>
      <w:r>
        <w:t>w</w:t>
      </w:r>
      <w:r w:rsidRPr="0020471B">
        <w:t>ills</w:t>
      </w:r>
      <w:r>
        <w:rPr>
          <w:i/>
        </w:rPr>
        <w:t xml:space="preserve">: </w:t>
      </w:r>
      <w:r>
        <w:t>‘God’s permissive will never extends to things morally wrong’ and ‘the highest blessing is ever found in obedience to His directive will’.</w:t>
      </w:r>
      <w:r>
        <w:rPr>
          <w:rStyle w:val="EndnoteReference"/>
        </w:rPr>
        <w:endnoteReference w:id="2382"/>
      </w:r>
      <w:r>
        <w:t xml:space="preserve">  Jehovah’s directive will was ‘made known to Balaam’ in Num. 22:12 but his permissive will is shown in Num. 22:20, where Balaam knows ‘the true mind of the Lord’ but chooses ‘the path of self-will and self-advantage’.</w:t>
      </w:r>
      <w:r>
        <w:rPr>
          <w:rStyle w:val="EndnoteReference"/>
        </w:rPr>
        <w:endnoteReference w:id="2383"/>
      </w:r>
    </w:p>
    <w:p w:rsidR="000A3719" w:rsidRDefault="000A3719" w:rsidP="006A2E06">
      <w:pPr>
        <w:spacing w:after="120" w:line="360" w:lineRule="auto"/>
        <w:ind w:right="74"/>
        <w:jc w:val="both"/>
        <w:rPr>
          <w:b/>
          <w:i/>
        </w:rPr>
      </w:pPr>
    </w:p>
    <w:p w:rsidR="006A2E06" w:rsidRPr="00A61516" w:rsidRDefault="006A2E06" w:rsidP="006A2E06">
      <w:pPr>
        <w:spacing w:after="120" w:line="360" w:lineRule="auto"/>
        <w:ind w:right="74"/>
        <w:jc w:val="both"/>
        <w:rPr>
          <w:b/>
          <w:i/>
        </w:rPr>
      </w:pPr>
      <w:r w:rsidRPr="00A61516">
        <w:rPr>
          <w:b/>
          <w:i/>
        </w:rPr>
        <w:lastRenderedPageBreak/>
        <w:t>Omission</w:t>
      </w:r>
    </w:p>
    <w:p w:rsidR="006A2E06" w:rsidRDefault="006A2E06" w:rsidP="006A2E06">
      <w:pPr>
        <w:spacing w:after="120" w:line="360" w:lineRule="auto"/>
        <w:ind w:right="74" w:firstLine="567"/>
        <w:jc w:val="both"/>
      </w:pPr>
      <w:r w:rsidRPr="0020471B">
        <w:t>E</w:t>
      </w:r>
      <w:r>
        <w:t>ndowment of seventy elders with part of the Spirit given to Moses in Num. 11:25.</w:t>
      </w:r>
      <w:r>
        <w:rPr>
          <w:rStyle w:val="EndnoteReference"/>
        </w:rPr>
        <w:endnoteReference w:id="2384"/>
      </w:r>
      <w:r>
        <w:t xml:space="preserve">  </w:t>
      </w:r>
    </w:p>
    <w:p w:rsidR="006A2E06" w:rsidRDefault="006A2E06" w:rsidP="006A2E06">
      <w:pPr>
        <w:spacing w:after="120" w:line="360" w:lineRule="auto"/>
        <w:ind w:right="74"/>
        <w:jc w:val="both"/>
        <w:rPr>
          <w:b/>
        </w:rPr>
      </w:pPr>
      <w:r>
        <w:rPr>
          <w:b/>
        </w:rPr>
        <w:t>8</w:t>
      </w:r>
      <w:r w:rsidRPr="009C1CA0">
        <w:rPr>
          <w:b/>
        </w:rPr>
        <w:t>.1.5  Deuteronomy</w:t>
      </w:r>
    </w:p>
    <w:p w:rsidR="006A2E06" w:rsidRDefault="006A2E06" w:rsidP="006A2E06">
      <w:pPr>
        <w:spacing w:after="120" w:line="360" w:lineRule="auto"/>
        <w:ind w:right="74"/>
        <w:jc w:val="center"/>
        <w:rPr>
          <w:b/>
        </w:rPr>
      </w:pPr>
      <w:r>
        <w:rPr>
          <w:b/>
          <w:noProof/>
          <w:lang w:eastAsia="en-GB"/>
        </w:rPr>
        <w:drawing>
          <wp:inline distT="0" distB="0" distL="0" distR="0" wp14:anchorId="6D683C5A" wp14:editId="52E03125">
            <wp:extent cx="5400040" cy="1825625"/>
            <wp:effectExtent l="0" t="0" r="0" b="31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uteronomy graph 7.3.18_crop.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00040" cy="1825625"/>
                    </a:xfrm>
                    <a:prstGeom prst="rect">
                      <a:avLst/>
                    </a:prstGeom>
                  </pic:spPr>
                </pic:pic>
              </a:graphicData>
            </a:graphic>
          </wp:inline>
        </w:drawing>
      </w:r>
    </w:p>
    <w:p w:rsidR="006A2E06" w:rsidRPr="005E533A" w:rsidRDefault="006A2E06" w:rsidP="006A2E06">
      <w:pPr>
        <w:spacing w:after="120" w:line="240" w:lineRule="auto"/>
        <w:ind w:right="74"/>
        <w:jc w:val="center"/>
        <w:rPr>
          <w:sz w:val="24"/>
          <w:szCs w:val="24"/>
        </w:rPr>
      </w:pPr>
      <w:r>
        <w:rPr>
          <w:noProof/>
          <w:sz w:val="24"/>
          <w:szCs w:val="24"/>
          <w:lang w:eastAsia="en-GB"/>
        </w:rPr>
        <w:drawing>
          <wp:inline distT="0" distB="0" distL="0" distR="0" wp14:anchorId="7DCA3A5F" wp14:editId="522E37DC">
            <wp:extent cx="5400040" cy="585470"/>
            <wp:effectExtent l="0" t="0" r="0" b="508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ut title 7.3.18 crop.jpg"/>
                    <pic:cNvPicPr/>
                  </pic:nvPicPr>
                  <pic:blipFill>
                    <a:blip r:embed="rId151">
                      <a:extLst>
                        <a:ext uri="{28A0092B-C50C-407E-A947-70E740481C1C}">
                          <a14:useLocalDpi xmlns:a14="http://schemas.microsoft.com/office/drawing/2010/main" val="0"/>
                        </a:ext>
                      </a:extLst>
                    </a:blip>
                    <a:stretch>
                      <a:fillRect/>
                    </a:stretch>
                  </pic:blipFill>
                  <pic:spPr>
                    <a:xfrm>
                      <a:off x="0" y="0"/>
                      <a:ext cx="5400040" cy="585470"/>
                    </a:xfrm>
                    <a:prstGeom prst="rect">
                      <a:avLst/>
                    </a:prstGeom>
                  </pic:spPr>
                </pic:pic>
              </a:graphicData>
            </a:graphic>
          </wp:inline>
        </w:drawing>
      </w:r>
    </w:p>
    <w:p w:rsidR="006A2E06" w:rsidRDefault="006A2E06" w:rsidP="006A2E06">
      <w:pPr>
        <w:pStyle w:val="NormalWeb"/>
        <w:spacing w:after="120" w:afterAutospacing="0" w:line="360" w:lineRule="auto"/>
        <w:jc w:val="both"/>
        <w:rPr>
          <w:rFonts w:ascii="Perpetua" w:hAnsi="Perpetua"/>
          <w:b/>
          <w:sz w:val="22"/>
          <w:szCs w:val="22"/>
        </w:rPr>
      </w:pPr>
      <w:r w:rsidRPr="007308F0">
        <w:rPr>
          <w:rFonts w:ascii="Perpetua" w:hAnsi="Perpetua"/>
          <w:b/>
          <w:i/>
          <w:sz w:val="22"/>
          <w:szCs w:val="22"/>
        </w:rPr>
        <w:t>Introduction: Key Points</w:t>
      </w:r>
      <w:r w:rsidRPr="007308F0">
        <w:rPr>
          <w:rStyle w:val="EndnoteReference"/>
          <w:rFonts w:ascii="Perpetua" w:hAnsi="Perpetua"/>
          <w:sz w:val="22"/>
          <w:szCs w:val="22"/>
        </w:rPr>
        <w:endnoteReference w:id="2385"/>
      </w:r>
    </w:p>
    <w:p w:rsidR="006A2E06" w:rsidRDefault="006A2E06" w:rsidP="006A2E06">
      <w:pPr>
        <w:pStyle w:val="NormalWeb"/>
        <w:spacing w:before="0" w:beforeAutospacing="0" w:after="120" w:afterAutospacing="0"/>
        <w:ind w:left="567"/>
        <w:jc w:val="both"/>
        <w:rPr>
          <w:rFonts w:ascii="Perpetua" w:hAnsi="Perpetua"/>
          <w:sz w:val="22"/>
          <w:szCs w:val="22"/>
        </w:rPr>
      </w:pPr>
      <w:r w:rsidRPr="007308F0">
        <w:rPr>
          <w:rFonts w:ascii="Perpetua" w:hAnsi="Perpetua"/>
          <w:sz w:val="22"/>
          <w:szCs w:val="22"/>
        </w:rPr>
        <w:t>Presented as ‘Moses’ parting counsels delivered to Israel in view of their impending entrance upon their covenanted possession’</w:t>
      </w:r>
      <w:r>
        <w:rPr>
          <w:rFonts w:ascii="Perpetua" w:hAnsi="Perpetua"/>
          <w:sz w:val="22"/>
          <w:szCs w:val="22"/>
        </w:rPr>
        <w:t>.</w:t>
      </w:r>
    </w:p>
    <w:p w:rsidR="006A2E06" w:rsidRDefault="006A2E06" w:rsidP="006A2E06">
      <w:pPr>
        <w:pStyle w:val="NormalWeb"/>
        <w:spacing w:before="0" w:beforeAutospacing="0" w:after="120" w:afterAutospacing="0"/>
        <w:ind w:left="567"/>
        <w:jc w:val="both"/>
        <w:rPr>
          <w:rFonts w:ascii="Perpetua" w:hAnsi="Perpetua"/>
          <w:sz w:val="22"/>
          <w:szCs w:val="22"/>
        </w:rPr>
      </w:pPr>
      <w:r>
        <w:rPr>
          <w:rFonts w:ascii="Perpetua" w:hAnsi="Perpetua"/>
          <w:sz w:val="22"/>
          <w:szCs w:val="22"/>
        </w:rPr>
        <w:t>R</w:t>
      </w:r>
      <w:r w:rsidRPr="007308F0">
        <w:rPr>
          <w:rFonts w:ascii="Perpetua" w:hAnsi="Perpetua"/>
          <w:sz w:val="22"/>
          <w:szCs w:val="22"/>
        </w:rPr>
        <w:t>epeats Decalogue to new generation</w:t>
      </w:r>
      <w:r>
        <w:rPr>
          <w:rFonts w:ascii="Perpetua" w:hAnsi="Perpetua"/>
          <w:sz w:val="22"/>
          <w:szCs w:val="22"/>
        </w:rPr>
        <w:t>;</w:t>
      </w:r>
      <w:r w:rsidRPr="007308F0">
        <w:rPr>
          <w:rFonts w:ascii="Perpetua" w:hAnsi="Perpetua"/>
          <w:sz w:val="22"/>
          <w:szCs w:val="22"/>
        </w:rPr>
        <w:t xml:space="preserve"> instructions about Israel’s conduct in the land</w:t>
      </w:r>
      <w:r>
        <w:rPr>
          <w:rFonts w:ascii="Perpetua" w:hAnsi="Perpetua"/>
          <w:sz w:val="22"/>
          <w:szCs w:val="22"/>
        </w:rPr>
        <w:t xml:space="preserve">. </w:t>
      </w:r>
    </w:p>
    <w:p w:rsidR="006A2E06" w:rsidRDefault="006A2E06" w:rsidP="006A2E06">
      <w:pPr>
        <w:pStyle w:val="NormalWeb"/>
        <w:spacing w:before="0" w:beforeAutospacing="0" w:after="120" w:afterAutospacing="0"/>
        <w:ind w:left="567"/>
        <w:jc w:val="both"/>
        <w:rPr>
          <w:rFonts w:ascii="Perpetua" w:hAnsi="Perpetua"/>
          <w:sz w:val="22"/>
          <w:szCs w:val="22"/>
        </w:rPr>
      </w:pPr>
      <w:r>
        <w:rPr>
          <w:rFonts w:ascii="Perpetua" w:hAnsi="Perpetua"/>
          <w:sz w:val="22"/>
          <w:szCs w:val="22"/>
        </w:rPr>
        <w:t>Contains</w:t>
      </w:r>
      <w:r w:rsidRPr="007308F0">
        <w:rPr>
          <w:rFonts w:ascii="Perpetua" w:hAnsi="Perpetua"/>
          <w:sz w:val="22"/>
          <w:szCs w:val="22"/>
        </w:rPr>
        <w:t xml:space="preserve"> ‘</w:t>
      </w:r>
      <w:r>
        <w:rPr>
          <w:rFonts w:ascii="Perpetua" w:hAnsi="Perpetua"/>
          <w:sz w:val="22"/>
          <w:szCs w:val="22"/>
        </w:rPr>
        <w:t xml:space="preserve">the </w:t>
      </w:r>
      <w:r w:rsidRPr="007308F0">
        <w:rPr>
          <w:rFonts w:ascii="Perpetua" w:hAnsi="Perpetua"/>
          <w:sz w:val="22"/>
          <w:szCs w:val="22"/>
        </w:rPr>
        <w:t>Palestinian Covenant, under which Israel entered under Joshua’</w:t>
      </w:r>
      <w:r>
        <w:rPr>
          <w:rFonts w:ascii="Perpetua" w:hAnsi="Perpetua"/>
          <w:sz w:val="22"/>
          <w:szCs w:val="22"/>
        </w:rPr>
        <w:t>.</w:t>
      </w:r>
      <w:r w:rsidRPr="007308F0">
        <w:rPr>
          <w:rStyle w:val="EndnoteReference"/>
          <w:rFonts w:ascii="Perpetua" w:hAnsi="Perpetua"/>
          <w:sz w:val="22"/>
          <w:szCs w:val="22"/>
        </w:rPr>
        <w:endnoteReference w:id="2386"/>
      </w:r>
    </w:p>
    <w:p w:rsidR="006A2E06" w:rsidRDefault="006A2E06" w:rsidP="006A2E06">
      <w:pPr>
        <w:pStyle w:val="NormalWeb"/>
        <w:spacing w:before="0" w:beforeAutospacing="0" w:after="120" w:afterAutospacing="0"/>
        <w:ind w:left="567"/>
        <w:jc w:val="both"/>
        <w:rPr>
          <w:rFonts w:ascii="Perpetua" w:hAnsi="Perpetua"/>
          <w:sz w:val="22"/>
          <w:szCs w:val="22"/>
        </w:rPr>
      </w:pPr>
      <w:r w:rsidRPr="007308F0">
        <w:rPr>
          <w:rFonts w:ascii="Perpetua" w:hAnsi="Perpetua"/>
          <w:sz w:val="22"/>
          <w:szCs w:val="22"/>
        </w:rPr>
        <w:t xml:space="preserve">Unlike </w:t>
      </w:r>
      <w:r>
        <w:rPr>
          <w:rFonts w:ascii="Perpetua" w:hAnsi="Perpetua"/>
          <w:sz w:val="22"/>
          <w:szCs w:val="22"/>
        </w:rPr>
        <w:t xml:space="preserve">the </w:t>
      </w:r>
      <w:r w:rsidRPr="007308F0">
        <w:rPr>
          <w:rFonts w:ascii="Perpetua" w:hAnsi="Perpetua"/>
          <w:sz w:val="22"/>
          <w:szCs w:val="22"/>
        </w:rPr>
        <w:t>Abrahamic Covenant,</w:t>
      </w:r>
      <w:r w:rsidRPr="007308F0">
        <w:rPr>
          <w:rStyle w:val="EndnoteReference"/>
          <w:rFonts w:ascii="Perpetua" w:hAnsi="Perpetua"/>
          <w:sz w:val="22"/>
          <w:szCs w:val="22"/>
        </w:rPr>
        <w:endnoteReference w:id="2387"/>
      </w:r>
      <w:r w:rsidRPr="007308F0">
        <w:rPr>
          <w:rFonts w:ascii="Perpetua" w:hAnsi="Perpetua"/>
          <w:sz w:val="22"/>
          <w:szCs w:val="22"/>
        </w:rPr>
        <w:t xml:space="preserve"> </w:t>
      </w:r>
      <w:r>
        <w:rPr>
          <w:rFonts w:ascii="Perpetua" w:hAnsi="Perpetua"/>
          <w:sz w:val="22"/>
          <w:szCs w:val="22"/>
        </w:rPr>
        <w:t xml:space="preserve">the </w:t>
      </w:r>
      <w:r w:rsidRPr="007308F0">
        <w:rPr>
          <w:rFonts w:ascii="Perpetua" w:hAnsi="Perpetua"/>
          <w:sz w:val="22"/>
          <w:szCs w:val="22"/>
        </w:rPr>
        <w:t xml:space="preserve">Palestinian Covenant </w:t>
      </w:r>
      <w:r>
        <w:rPr>
          <w:rFonts w:ascii="Perpetua" w:hAnsi="Perpetua"/>
          <w:sz w:val="22"/>
          <w:szCs w:val="22"/>
        </w:rPr>
        <w:t xml:space="preserve">was </w:t>
      </w:r>
      <w:r w:rsidRPr="007308F0">
        <w:rPr>
          <w:rFonts w:ascii="Perpetua" w:hAnsi="Perpetua"/>
          <w:sz w:val="22"/>
          <w:szCs w:val="22"/>
        </w:rPr>
        <w:t>conditional and violation resulted in expulsion, ‘but the same covenant unconditionally promises a national restoration of Israe</w:t>
      </w:r>
      <w:r>
        <w:rPr>
          <w:rFonts w:ascii="Perpetua" w:hAnsi="Perpetua"/>
          <w:sz w:val="22"/>
          <w:szCs w:val="22"/>
        </w:rPr>
        <w:t>l which is yet to be fulfilled’</w:t>
      </w:r>
      <w:r w:rsidRPr="007308F0">
        <w:rPr>
          <w:rStyle w:val="EndnoteReference"/>
          <w:rFonts w:ascii="Perpetua" w:hAnsi="Perpetua"/>
          <w:sz w:val="22"/>
          <w:szCs w:val="22"/>
        </w:rPr>
        <w:endnoteReference w:id="2388"/>
      </w:r>
      <w:r>
        <w:rPr>
          <w:rFonts w:ascii="Perpetua" w:hAnsi="Perpetua"/>
          <w:sz w:val="22"/>
          <w:szCs w:val="22"/>
        </w:rPr>
        <w:t xml:space="preserve"> </w:t>
      </w:r>
      <w:r w:rsidRPr="00012B96">
        <w:rPr>
          <w:rFonts w:ascii="Perpetua" w:hAnsi="Perpetua"/>
          <w:sz w:val="16"/>
        </w:rPr>
        <w:t>—</w:t>
      </w:r>
      <w:r>
        <w:rPr>
          <w:rFonts w:ascii="Perpetua" w:hAnsi="Perpetua"/>
          <w:sz w:val="22"/>
          <w:szCs w:val="22"/>
        </w:rPr>
        <w:t xml:space="preserve"> </w:t>
      </w:r>
      <w:r w:rsidRPr="007308F0">
        <w:rPr>
          <w:rFonts w:ascii="Perpetua" w:hAnsi="Perpetua"/>
          <w:sz w:val="22"/>
          <w:szCs w:val="22"/>
        </w:rPr>
        <w:t>condition of restoration is that the peop</w:t>
      </w:r>
      <w:r>
        <w:rPr>
          <w:rFonts w:ascii="Perpetua" w:hAnsi="Perpetua"/>
          <w:sz w:val="22"/>
          <w:szCs w:val="22"/>
        </w:rPr>
        <w:t>le return to the Lord their God.</w:t>
      </w:r>
      <w:r w:rsidRPr="007308F0">
        <w:rPr>
          <w:rStyle w:val="EndnoteReference"/>
          <w:rFonts w:ascii="Perpetua" w:hAnsi="Perpetua"/>
          <w:sz w:val="22"/>
          <w:szCs w:val="22"/>
        </w:rPr>
        <w:endnoteReference w:id="2389"/>
      </w:r>
    </w:p>
    <w:p w:rsidR="006A2E06" w:rsidRDefault="006A2E06" w:rsidP="006A2E06">
      <w:pPr>
        <w:pStyle w:val="NormalWeb"/>
        <w:spacing w:before="0" w:beforeAutospacing="0" w:after="120" w:afterAutospacing="0"/>
        <w:ind w:left="1418"/>
        <w:jc w:val="both"/>
        <w:rPr>
          <w:rFonts w:ascii="Perpetua" w:hAnsi="Perpetua"/>
          <w:sz w:val="22"/>
          <w:szCs w:val="22"/>
        </w:rPr>
      </w:pPr>
      <w:r w:rsidRPr="005C42B0">
        <w:rPr>
          <w:rFonts w:ascii="Perpetua" w:hAnsi="Perpetua"/>
          <w:b/>
          <w:i/>
          <w:sz w:val="22"/>
          <w:szCs w:val="22"/>
        </w:rPr>
        <w:t>Comment</w:t>
      </w:r>
      <w:r>
        <w:rPr>
          <w:rFonts w:ascii="Perpetua" w:hAnsi="Perpetua"/>
          <w:sz w:val="22"/>
          <w:szCs w:val="22"/>
        </w:rPr>
        <w:t xml:space="preserve">: </w:t>
      </w:r>
      <w:r w:rsidRPr="007308F0">
        <w:rPr>
          <w:rFonts w:ascii="Perpetua" w:hAnsi="Perpetua"/>
          <w:sz w:val="22"/>
          <w:szCs w:val="22"/>
        </w:rPr>
        <w:t>Because Scofield insists, despite the ‘as for me/as for you’ clauses in Gen. 17:4, 9, that the Abrahamic covenant is unconditional, it is important to his thesis that the expulsion was caused by the violation of the conditions of the so-called ‘Palestinian Covenant’,</w:t>
      </w:r>
      <w:r w:rsidRPr="007308F0">
        <w:rPr>
          <w:rStyle w:val="EndnoteReference"/>
          <w:rFonts w:ascii="Perpetua" w:hAnsi="Perpetua"/>
          <w:sz w:val="22"/>
          <w:szCs w:val="22"/>
        </w:rPr>
        <w:endnoteReference w:id="2390"/>
      </w:r>
      <w:r w:rsidRPr="007308F0">
        <w:rPr>
          <w:rFonts w:ascii="Perpetua" w:hAnsi="Perpetua"/>
          <w:sz w:val="22"/>
          <w:szCs w:val="22"/>
        </w:rPr>
        <w:t xml:space="preserve"> yet even this covenant did not contain an unconditional promise of restoration as Scofield asserts.</w:t>
      </w:r>
    </w:p>
    <w:p w:rsidR="006A2E06" w:rsidRPr="007308F0" w:rsidRDefault="006A2E06" w:rsidP="006A2E06">
      <w:pPr>
        <w:pStyle w:val="NormalWeb"/>
        <w:spacing w:before="0" w:beforeAutospacing="0" w:after="120" w:afterAutospacing="0"/>
        <w:ind w:left="567"/>
        <w:jc w:val="both"/>
        <w:rPr>
          <w:rFonts w:ascii="Perpetua" w:hAnsi="Perpetua"/>
          <w:sz w:val="22"/>
          <w:szCs w:val="22"/>
        </w:rPr>
      </w:pPr>
      <w:r>
        <w:rPr>
          <w:rFonts w:ascii="Perpetua" w:hAnsi="Perpetua"/>
          <w:sz w:val="22"/>
          <w:szCs w:val="22"/>
        </w:rPr>
        <w:t>C</w:t>
      </w:r>
      <w:r w:rsidRPr="007308F0">
        <w:rPr>
          <w:rFonts w:ascii="Perpetua" w:hAnsi="Perpetua"/>
          <w:sz w:val="22"/>
          <w:szCs w:val="22"/>
        </w:rPr>
        <w:t xml:space="preserve">ontains ‘great closing prophecies summarizing </w:t>
      </w:r>
      <w:r>
        <w:rPr>
          <w:rFonts w:ascii="Perpetua" w:hAnsi="Perpetua"/>
          <w:sz w:val="22"/>
          <w:szCs w:val="22"/>
        </w:rPr>
        <w:t xml:space="preserve">the </w:t>
      </w:r>
      <w:r w:rsidRPr="007308F0">
        <w:rPr>
          <w:rFonts w:ascii="Perpetua" w:hAnsi="Perpetua"/>
          <w:sz w:val="22"/>
          <w:szCs w:val="22"/>
        </w:rPr>
        <w:t xml:space="preserve">history of Israel to </w:t>
      </w:r>
      <w:r>
        <w:rPr>
          <w:rFonts w:ascii="Perpetua" w:hAnsi="Perpetua"/>
          <w:sz w:val="22"/>
          <w:szCs w:val="22"/>
        </w:rPr>
        <w:t xml:space="preserve">the </w:t>
      </w:r>
      <w:r w:rsidRPr="007308F0">
        <w:rPr>
          <w:rFonts w:ascii="Perpetua" w:hAnsi="Perpetua"/>
          <w:sz w:val="22"/>
          <w:szCs w:val="22"/>
        </w:rPr>
        <w:t>second coming of Christ, and … the Pale</w:t>
      </w:r>
      <w:r>
        <w:rPr>
          <w:rFonts w:ascii="Perpetua" w:hAnsi="Perpetua"/>
          <w:sz w:val="22"/>
          <w:szCs w:val="22"/>
        </w:rPr>
        <w:t>stinian Covenant, 28:1 – 30:20’.</w:t>
      </w:r>
      <w:r>
        <w:rPr>
          <w:rStyle w:val="EndnoteReference"/>
          <w:rFonts w:ascii="Perpetua" w:hAnsi="Perpetua"/>
          <w:sz w:val="22"/>
          <w:szCs w:val="22"/>
        </w:rPr>
        <w:endnoteReference w:id="2391"/>
      </w:r>
    </w:p>
    <w:p w:rsidR="006A2E06" w:rsidRDefault="006A2E06" w:rsidP="006A2E06">
      <w:pPr>
        <w:spacing w:after="120" w:line="360" w:lineRule="auto"/>
        <w:ind w:right="74"/>
        <w:jc w:val="both"/>
        <w:rPr>
          <w:b/>
          <w:i/>
        </w:rPr>
      </w:pPr>
      <w:r w:rsidRPr="003D6797">
        <w:rPr>
          <w:b/>
          <w:i/>
        </w:rPr>
        <w:t>Annotation</w:t>
      </w:r>
      <w:r>
        <w:rPr>
          <w:b/>
          <w:i/>
        </w:rPr>
        <w:t>: Key Points</w:t>
      </w:r>
    </w:p>
    <w:p w:rsidR="006A2E06" w:rsidRDefault="006A2E06" w:rsidP="006A2E06">
      <w:pPr>
        <w:spacing w:after="120" w:line="240" w:lineRule="auto"/>
        <w:ind w:left="567" w:right="74"/>
        <w:jc w:val="both"/>
      </w:pPr>
      <w:r>
        <w:t xml:space="preserve">Only three verses annotated in Deuteronomy. </w:t>
      </w:r>
    </w:p>
    <w:p w:rsidR="006A2E06" w:rsidRDefault="006A2E06" w:rsidP="006A2E06">
      <w:pPr>
        <w:spacing w:after="120" w:line="240" w:lineRule="auto"/>
        <w:ind w:left="567" w:right="74"/>
        <w:jc w:val="both"/>
      </w:pPr>
      <w:r w:rsidRPr="000D2BA4">
        <w:t>All notes concern Israel, especially the significance of the so-called ‘Palestinian Covenant’</w:t>
      </w:r>
      <w:r>
        <w:t>:</w:t>
      </w:r>
    </w:p>
    <w:p w:rsidR="006A2E06" w:rsidRDefault="006A2E06" w:rsidP="006A2E06">
      <w:pPr>
        <w:spacing w:after="120" w:line="240" w:lineRule="auto"/>
        <w:ind w:left="567" w:right="74"/>
        <w:jc w:val="both"/>
      </w:pPr>
      <w:r>
        <w:t>Restoration of Israel as shown in Passover, Tabernacles and Weeks.</w:t>
      </w:r>
      <w:r>
        <w:rPr>
          <w:rStyle w:val="EndnoteReference"/>
        </w:rPr>
        <w:endnoteReference w:id="2392"/>
      </w:r>
    </w:p>
    <w:p w:rsidR="006A2E06" w:rsidRDefault="006A2E06" w:rsidP="006A2E06">
      <w:pPr>
        <w:spacing w:after="120" w:line="240" w:lineRule="auto"/>
        <w:ind w:left="567" w:right="74"/>
        <w:jc w:val="both"/>
      </w:pPr>
      <w:r>
        <w:t>Detailed description of Palestinian Covenant.</w:t>
      </w:r>
      <w:r>
        <w:rPr>
          <w:rStyle w:val="EndnoteReference"/>
        </w:rPr>
        <w:endnoteReference w:id="2393"/>
      </w:r>
    </w:p>
    <w:p w:rsidR="006A2E06" w:rsidRPr="003D6797" w:rsidRDefault="006A2E06" w:rsidP="006A2E06">
      <w:pPr>
        <w:spacing w:after="120" w:line="240" w:lineRule="auto"/>
        <w:ind w:left="567" w:right="74"/>
        <w:jc w:val="both"/>
        <w:rPr>
          <w:b/>
          <w:i/>
        </w:rPr>
      </w:pPr>
      <w:r>
        <w:t>Claim that Palestinian Covenant gives ‘the conditions under which Israel entered the land of promise.  It is important to see that the nation has never as yet taken the land under the unconditional Abrahamic Covenant, nor has it ever possessed the whole land.’</w:t>
      </w:r>
      <w:r>
        <w:rPr>
          <w:rStyle w:val="EndnoteReference"/>
        </w:rPr>
        <w:endnoteReference w:id="2394"/>
      </w:r>
    </w:p>
    <w:p w:rsidR="006A2E06" w:rsidRDefault="006A2E06" w:rsidP="006A2E06">
      <w:pPr>
        <w:spacing w:after="120" w:line="240" w:lineRule="auto"/>
        <w:ind w:left="1418" w:right="71"/>
        <w:jc w:val="both"/>
      </w:pPr>
      <w:r w:rsidRPr="005C42B0">
        <w:rPr>
          <w:b/>
          <w:i/>
        </w:rPr>
        <w:lastRenderedPageBreak/>
        <w:t>Comment</w:t>
      </w:r>
      <w:r>
        <w:t xml:space="preserve">: A very important claim which is discussed in </w:t>
      </w:r>
      <w:r w:rsidRPr="00595458">
        <w:t>5.</w:t>
      </w:r>
      <w:r w:rsidR="00234C1D" w:rsidRPr="00595458">
        <w:t>4</w:t>
      </w:r>
      <w:r w:rsidRPr="00595458">
        <w:t>.4</w:t>
      </w:r>
      <w:r w:rsidRPr="005C42B0">
        <w:t>.</w:t>
      </w:r>
    </w:p>
    <w:p w:rsidR="006A2E06" w:rsidRDefault="006A2E06" w:rsidP="006A2E06">
      <w:pPr>
        <w:spacing w:after="120" w:line="360" w:lineRule="auto"/>
        <w:ind w:right="74"/>
        <w:jc w:val="both"/>
        <w:rPr>
          <w:b/>
        </w:rPr>
      </w:pPr>
      <w:r>
        <w:rPr>
          <w:b/>
        </w:rPr>
        <w:t xml:space="preserve">8.1.6  </w:t>
      </w:r>
      <w:r w:rsidRPr="00C40D4D">
        <w:rPr>
          <w:b/>
        </w:rPr>
        <w:t>Conclusion</w:t>
      </w:r>
      <w:r w:rsidR="00756EB6">
        <w:rPr>
          <w:b/>
        </w:rPr>
        <w:t>:</w:t>
      </w:r>
      <w:r>
        <w:rPr>
          <w:b/>
        </w:rPr>
        <w:t xml:space="preserve"> Notes on the Pentateuch</w:t>
      </w:r>
    </w:p>
    <w:p w:rsidR="006A2E06" w:rsidRDefault="006A2E06" w:rsidP="006A2E06">
      <w:pPr>
        <w:spacing w:after="120" w:line="360" w:lineRule="auto"/>
        <w:ind w:right="74"/>
        <w:jc w:val="both"/>
      </w:pPr>
      <w:r>
        <w:t>Scofield’s notes on the Pentateuch are foundational to his commentary on the Bible as a whole.  He himself calls the Pentateuch ‘a true and logical introduction to the entire Bible; and, in type, an epitome of the divine revelation’.</w:t>
      </w:r>
      <w:r>
        <w:rPr>
          <w:rStyle w:val="EndnoteReference"/>
        </w:rPr>
        <w:endnoteReference w:id="2395"/>
      </w:r>
      <w:r>
        <w:t xml:space="preserve">  The most striking aspect is the sheer number of typological comparisons between Old and New Testaments.  This is intrinsic to Scofield’s whole use of the Bible.  The Old Testament is often seen in these chapters and, indeed, elsewhere in Scofield’s commentary, as a source for the New Testament.  Its own context is frequently overshadowed by concentration on how it may be applied to perceived New Testament antitypes, many of which are not directly supported by New Testament texts and seem rather to owe their existence to Scofield’s own interpretations.  Corresponding antitypes are mainly asserted in notes on Matthew</w:t>
      </w:r>
      <w:r>
        <w:rPr>
          <w:rStyle w:val="EndnoteReference"/>
        </w:rPr>
        <w:endnoteReference w:id="2396"/>
      </w:r>
      <w:r>
        <w:t xml:space="preserve"> and a few in notes on John,</w:t>
      </w:r>
      <w:r>
        <w:rPr>
          <w:rStyle w:val="EndnoteReference"/>
        </w:rPr>
        <w:endnoteReference w:id="2397"/>
      </w:r>
      <w:r>
        <w:t xml:space="preserve"> 1 Corinthians,</w:t>
      </w:r>
      <w:r>
        <w:rPr>
          <w:rStyle w:val="EndnoteReference"/>
        </w:rPr>
        <w:endnoteReference w:id="2398"/>
      </w:r>
      <w:r>
        <w:t xml:space="preserve"> Ephesians</w:t>
      </w:r>
      <w:r>
        <w:rPr>
          <w:rStyle w:val="EndnoteReference"/>
        </w:rPr>
        <w:endnoteReference w:id="2399"/>
      </w:r>
      <w:r>
        <w:t xml:space="preserve"> and Hebrews.</w:t>
      </w:r>
      <w:r>
        <w:rPr>
          <w:rStyle w:val="EndnoteReference"/>
        </w:rPr>
        <w:endnoteReference w:id="2400"/>
      </w:r>
      <w:r>
        <w:t xml:space="preserve"> </w:t>
      </w:r>
    </w:p>
    <w:p w:rsidR="006A2E06" w:rsidRDefault="006A2E06" w:rsidP="006A2E06">
      <w:pPr>
        <w:spacing w:after="120" w:line="360" w:lineRule="auto"/>
        <w:ind w:right="74" w:firstLine="567"/>
        <w:jc w:val="both"/>
      </w:pPr>
      <w:r>
        <w:t xml:space="preserve">Paradoxically, however, there is also a concentration in the notes on the Pentateuch on the future restoration of national Israel and its place in the eschatological kingdom to be established on earth at the return of the Messiah.  This is related to the other significant themes of the notes on the Pentateuch: God’s nature and plans for the world, dispensations and covenants.  The note on Gen. 3:15 introduces the subject of prophecy, which is </w:t>
      </w:r>
      <w:r w:rsidR="000972E6">
        <w:t>an</w:t>
      </w:r>
      <w:r>
        <w:t xml:space="preserve"> underlying motif of all Scofield’s commentary.  All these matters receive attention in the notes on the rest of the Bible.</w:t>
      </w:r>
    </w:p>
    <w:p w:rsidR="006A2E06" w:rsidRDefault="006A2E06" w:rsidP="006A2E06">
      <w:pPr>
        <w:spacing w:after="120" w:line="360" w:lineRule="auto"/>
        <w:ind w:right="74"/>
        <w:jc w:val="both"/>
        <w:rPr>
          <w:b/>
          <w:color w:val="000000"/>
        </w:rPr>
      </w:pPr>
      <w:r>
        <w:rPr>
          <w:b/>
          <w:color w:val="000000"/>
        </w:rPr>
        <w:t>8.2</w:t>
      </w:r>
      <w:r w:rsidRPr="00951A0E">
        <w:rPr>
          <w:b/>
          <w:color w:val="000000"/>
        </w:rPr>
        <w:t xml:space="preserve">  The ‘Historical Books</w:t>
      </w:r>
      <w:r w:rsidR="00A74907">
        <w:rPr>
          <w:b/>
          <w:color w:val="000000"/>
        </w:rPr>
        <w:t>’</w:t>
      </w:r>
    </w:p>
    <w:p w:rsidR="006A2E06" w:rsidRDefault="006A2E06" w:rsidP="006A2E06">
      <w:pPr>
        <w:spacing w:after="120" w:line="360" w:lineRule="auto"/>
        <w:ind w:right="74"/>
        <w:jc w:val="both"/>
        <w:rPr>
          <w:color w:val="000000"/>
        </w:rPr>
      </w:pPr>
      <w:r>
        <w:rPr>
          <w:color w:val="000000"/>
        </w:rPr>
        <w:t xml:space="preserve">Since there are few footnotes, much commentary on the historical books is conveyed through the ‘Introduction to the Historical Books’ and the introductory material for each individual book.  </w:t>
      </w:r>
    </w:p>
    <w:p w:rsidR="006A2E06" w:rsidRPr="00595458" w:rsidRDefault="00595458" w:rsidP="00595458">
      <w:pPr>
        <w:spacing w:after="120" w:line="240" w:lineRule="auto"/>
        <w:ind w:left="851" w:hanging="851"/>
        <w:jc w:val="both"/>
        <w:rPr>
          <w:b/>
          <w:i/>
        </w:rPr>
      </w:pPr>
      <w:r w:rsidRPr="00595458">
        <w:rPr>
          <w:b/>
          <w:i/>
        </w:rPr>
        <w:t>Continued overleaf</w:t>
      </w:r>
    </w:p>
    <w:p w:rsidR="006A2E06" w:rsidRDefault="006A2E06" w:rsidP="006A2E06">
      <w:pPr>
        <w:spacing w:after="120" w:line="360" w:lineRule="auto"/>
        <w:ind w:right="74" w:firstLine="567"/>
        <w:jc w:val="center"/>
        <w:rPr>
          <w:color w:val="000000"/>
        </w:rPr>
      </w:pPr>
      <w:r>
        <w:rPr>
          <w:noProof/>
          <w:color w:val="000000"/>
          <w:lang w:eastAsia="en-GB"/>
        </w:rPr>
        <w:lastRenderedPageBreak/>
        <w:drawing>
          <wp:inline distT="0" distB="0" distL="0" distR="0" wp14:anchorId="5221DBBF" wp14:editId="77F80CA5">
            <wp:extent cx="5400040" cy="71615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Books Introductions rev. 6.5.18 crop.jpg"/>
                    <pic:cNvPicPr/>
                  </pic:nvPicPr>
                  <pic:blipFill>
                    <a:blip r:embed="rId152">
                      <a:extLst>
                        <a:ext uri="{28A0092B-C50C-407E-A947-70E740481C1C}">
                          <a14:useLocalDpi xmlns:a14="http://schemas.microsoft.com/office/drawing/2010/main" val="0"/>
                        </a:ext>
                      </a:extLst>
                    </a:blip>
                    <a:stretch>
                      <a:fillRect/>
                    </a:stretch>
                  </pic:blipFill>
                  <pic:spPr>
                    <a:xfrm>
                      <a:off x="0" y="0"/>
                      <a:ext cx="5400040" cy="7161530"/>
                    </a:xfrm>
                    <a:prstGeom prst="rect">
                      <a:avLst/>
                    </a:prstGeom>
                  </pic:spPr>
                </pic:pic>
              </a:graphicData>
            </a:graphic>
          </wp:inline>
        </w:drawing>
      </w:r>
    </w:p>
    <w:p w:rsidR="00595458" w:rsidRPr="00D31F79" w:rsidRDefault="00595458" w:rsidP="00595458">
      <w:pPr>
        <w:spacing w:after="120" w:line="360" w:lineRule="auto"/>
        <w:ind w:right="74"/>
        <w:jc w:val="both"/>
        <w:rPr>
          <w:b/>
          <w:i/>
        </w:rPr>
      </w:pPr>
      <w:r w:rsidRPr="00D31F79">
        <w:rPr>
          <w:b/>
          <w:i/>
        </w:rPr>
        <w:t>Introductions: Key Points</w:t>
      </w:r>
    </w:p>
    <w:p w:rsidR="00595458" w:rsidRPr="00D31F79" w:rsidRDefault="00595458" w:rsidP="00595458">
      <w:pPr>
        <w:spacing w:after="120" w:line="240" w:lineRule="auto"/>
        <w:ind w:left="567" w:right="74"/>
        <w:jc w:val="both"/>
      </w:pPr>
      <w:r w:rsidRPr="00D31F79">
        <w:t>Assertion that the accuracy of these books has recently been ‘completely confirmed’ by archaeological finds.</w:t>
      </w:r>
      <w:r w:rsidRPr="00D31F79">
        <w:rPr>
          <w:rStyle w:val="EndnoteReference"/>
        </w:rPr>
        <w:endnoteReference w:id="2401"/>
      </w:r>
      <w:r w:rsidRPr="00D31F79">
        <w:t xml:space="preserve">  </w:t>
      </w:r>
    </w:p>
    <w:p w:rsidR="00595458" w:rsidRPr="00D31F79" w:rsidRDefault="00595458" w:rsidP="00595458">
      <w:pPr>
        <w:spacing w:after="120" w:line="240" w:lineRule="auto"/>
        <w:ind w:left="567" w:right="74"/>
        <w:jc w:val="both"/>
      </w:pPr>
      <w:r w:rsidRPr="00D31F79">
        <w:t xml:space="preserve">Scofield’s conviction concerning </w:t>
      </w:r>
      <w:r>
        <w:t xml:space="preserve">the </w:t>
      </w:r>
      <w:r w:rsidRPr="00D31F79">
        <w:t xml:space="preserve">historical veracity of </w:t>
      </w:r>
      <w:r>
        <w:t xml:space="preserve">the </w:t>
      </w:r>
      <w:r w:rsidRPr="00D31F79">
        <w:t xml:space="preserve">narrative </w:t>
      </w:r>
      <w:r>
        <w:t xml:space="preserve">is </w:t>
      </w:r>
      <w:r w:rsidRPr="00D31F79">
        <w:t xml:space="preserve">emphasised by </w:t>
      </w:r>
      <w:r>
        <w:t xml:space="preserve">the </w:t>
      </w:r>
      <w:r w:rsidRPr="00D31F79">
        <w:t>inclusion of Ussher’s estimation of the length of time covered by each book, in addition to Ussher’s dates.</w:t>
      </w:r>
      <w:r w:rsidRPr="00D31F79">
        <w:rPr>
          <w:rStyle w:val="EndnoteReference"/>
        </w:rPr>
        <w:endnoteReference w:id="2402"/>
      </w:r>
      <w:r w:rsidRPr="00D31F79">
        <w:t xml:space="preserve">  </w:t>
      </w:r>
    </w:p>
    <w:p w:rsidR="00595458" w:rsidRPr="00D31F79" w:rsidRDefault="00595458" w:rsidP="00595458">
      <w:pPr>
        <w:spacing w:after="120" w:line="240" w:lineRule="auto"/>
        <w:ind w:left="567" w:right="74"/>
        <w:jc w:val="both"/>
      </w:pPr>
      <w:r>
        <w:lastRenderedPageBreak/>
        <w:t xml:space="preserve">The </w:t>
      </w:r>
      <w:r w:rsidRPr="00D31F79">
        <w:t>Introduction to the Historical Books refers to ‘the rise and fall of the Commonwealth of Israel’ and outlines seven periods in its history.</w:t>
      </w:r>
      <w:r w:rsidRPr="00D31F79">
        <w:rPr>
          <w:rStyle w:val="EndnoteReference"/>
        </w:rPr>
        <w:endnoteReference w:id="2403"/>
      </w:r>
      <w:r w:rsidRPr="00D31F79">
        <w:t xml:space="preserve">  </w:t>
      </w:r>
    </w:p>
    <w:p w:rsidR="00595458" w:rsidRPr="00D31F79" w:rsidRDefault="00595458" w:rsidP="00595458">
      <w:pPr>
        <w:spacing w:after="120" w:line="240" w:lineRule="auto"/>
        <w:ind w:left="567" w:right="74"/>
        <w:jc w:val="both"/>
      </w:pPr>
      <w:r w:rsidRPr="00D31F79">
        <w:t xml:space="preserve">Past and future treated as part of one continuum.  </w:t>
      </w:r>
    </w:p>
    <w:p w:rsidR="00595458" w:rsidRPr="00D31F79" w:rsidRDefault="00595458" w:rsidP="00595458">
      <w:pPr>
        <w:spacing w:after="120" w:line="240" w:lineRule="auto"/>
        <w:ind w:left="567" w:right="74"/>
        <w:jc w:val="both"/>
      </w:pPr>
      <w:r>
        <w:t>The periods outlined here</w:t>
      </w:r>
      <w:r w:rsidRPr="00D31F79">
        <w:t xml:space="preserve"> have some resonance with the periods </w:t>
      </w:r>
      <w:r>
        <w:t>given</w:t>
      </w:r>
      <w:r w:rsidRPr="00D31F79">
        <w:t xml:space="preserve"> in Scofield’s Old Testament Summary of the Kingdom, though this describes only three periods.</w:t>
      </w:r>
      <w:r w:rsidRPr="00D31F79">
        <w:rPr>
          <w:rStyle w:val="EndnoteReference"/>
        </w:rPr>
        <w:endnoteReference w:id="2404"/>
      </w:r>
      <w:r w:rsidRPr="00D31F79">
        <w:t xml:space="preserve">  </w:t>
      </w:r>
    </w:p>
    <w:p w:rsidR="00595458" w:rsidRPr="00D31F79" w:rsidRDefault="00595458" w:rsidP="00595458">
      <w:pPr>
        <w:spacing w:after="120" w:line="240" w:lineRule="auto"/>
        <w:ind w:left="567"/>
        <w:jc w:val="both"/>
      </w:pPr>
      <w:r>
        <w:t>The f</w:t>
      </w:r>
      <w:r w:rsidRPr="00D31F79">
        <w:t xml:space="preserve">ocus is </w:t>
      </w:r>
      <w:r>
        <w:t xml:space="preserve">Israel’s </w:t>
      </w:r>
      <w:r w:rsidRPr="00D31F79">
        <w:t>history and future</w:t>
      </w:r>
      <w:r>
        <w:t>.</w:t>
      </w:r>
      <w:r w:rsidRPr="00D31F79">
        <w:t xml:space="preserve">  </w:t>
      </w:r>
    </w:p>
    <w:p w:rsidR="00595458" w:rsidRPr="00D31F79" w:rsidRDefault="00595458" w:rsidP="00595458">
      <w:pPr>
        <w:spacing w:after="120" w:line="240" w:lineRule="auto"/>
        <w:ind w:left="567"/>
        <w:jc w:val="both"/>
      </w:pPr>
      <w:r w:rsidRPr="00D31F79">
        <w:t xml:space="preserve">A few references to New Testament concepts such as the parallels asserted between Canaan for Israel and ‘the heavenly’ for Christians, and between the events in Judges and the professing church, and Ruth as a possible type for the Church.  </w:t>
      </w:r>
    </w:p>
    <w:p w:rsidR="00595458" w:rsidRPr="00600BF2" w:rsidRDefault="00595458" w:rsidP="00595458">
      <w:pPr>
        <w:spacing w:after="0" w:line="240" w:lineRule="auto"/>
        <w:ind w:left="567"/>
        <w:jc w:val="both"/>
        <w:rPr>
          <w:i/>
        </w:rPr>
      </w:pPr>
      <w:r w:rsidRPr="00600BF2">
        <w:rPr>
          <w:i/>
        </w:rPr>
        <w:t>Important references to the Davidic kingdom:</w:t>
      </w:r>
    </w:p>
    <w:p w:rsidR="00595458" w:rsidRPr="00D31F79" w:rsidRDefault="00595458" w:rsidP="00595458">
      <w:pPr>
        <w:spacing w:after="120" w:line="240" w:lineRule="auto"/>
        <w:ind w:left="851"/>
        <w:jc w:val="both"/>
      </w:pPr>
      <w:r w:rsidRPr="00D31F79">
        <w:t xml:space="preserve">Significance of </w:t>
      </w:r>
      <w:r>
        <w:t xml:space="preserve">the </w:t>
      </w:r>
      <w:r w:rsidRPr="00D31F79">
        <w:t>reference to ‘the blessing of God’s earthly people in connection with the Davidic monarchy’,</w:t>
      </w:r>
      <w:r w:rsidRPr="00D31F79">
        <w:rPr>
          <w:rStyle w:val="EndnoteReference"/>
        </w:rPr>
        <w:endnoteReference w:id="2405"/>
      </w:r>
      <w:r w:rsidRPr="00D31F79">
        <w:t xml:space="preserve"> echoing </w:t>
      </w:r>
      <w:r>
        <w:t xml:space="preserve">the </w:t>
      </w:r>
      <w:r w:rsidRPr="00D31F79">
        <w:t>term, ‘earthly people’ in Genesis notes</w:t>
      </w:r>
      <w:r>
        <w:t>;</w:t>
      </w:r>
      <w:r w:rsidRPr="00D31F79">
        <w:rPr>
          <w:rStyle w:val="EndnoteReference"/>
        </w:rPr>
        <w:endnoteReference w:id="2406"/>
      </w:r>
      <w:r w:rsidRPr="00D31F79">
        <w:t xml:space="preserve"> </w:t>
      </w:r>
      <w:r>
        <w:t>this is</w:t>
      </w:r>
      <w:r w:rsidRPr="00D31F79">
        <w:t xml:space="preserve"> an intimation of Scofield’s belief that Israel is to be eschatologically restored as a nation under David’s heir, Messiah</w:t>
      </w:r>
      <w:r w:rsidR="001C2F9B">
        <w:t>,</w:t>
      </w:r>
      <w:r w:rsidRPr="00D31F79">
        <w:t xml:space="preserve"> at his second coming.</w:t>
      </w:r>
      <w:r w:rsidRPr="00D31F79">
        <w:rPr>
          <w:rStyle w:val="EndnoteReference"/>
        </w:rPr>
        <w:endnoteReference w:id="2407"/>
      </w:r>
    </w:p>
    <w:p w:rsidR="00595458" w:rsidRPr="00D31F79" w:rsidRDefault="00595458" w:rsidP="00595458">
      <w:pPr>
        <w:spacing w:after="120" w:line="240" w:lineRule="auto"/>
        <w:ind w:left="851"/>
        <w:jc w:val="both"/>
      </w:pPr>
      <w:r w:rsidRPr="00D31F79">
        <w:t>Only after ‘</w:t>
      </w:r>
      <w:r>
        <w:t xml:space="preserve">the </w:t>
      </w:r>
      <w:r w:rsidRPr="00D31F79">
        <w:t>establishment of Israel’s political centre in Jerusalem … and her religious centre in Zion’, was [it] possible to establish ‘the great Davidic Covenant</w:t>
      </w:r>
      <w:r w:rsidRPr="00D31F79">
        <w:rPr>
          <w:rStyle w:val="EndnoteReference"/>
        </w:rPr>
        <w:endnoteReference w:id="2408"/>
      </w:r>
      <w:r w:rsidRPr="00D31F79">
        <w:t xml:space="preserve"> … out of which all kingdom truth is henceforth developed’</w:t>
      </w:r>
      <w:r w:rsidRPr="00D31F79">
        <w:rPr>
          <w:rStyle w:val="EndnoteReference"/>
        </w:rPr>
        <w:endnoteReference w:id="2409"/>
      </w:r>
    </w:p>
    <w:p w:rsidR="00595458" w:rsidRDefault="00595458" w:rsidP="00595458">
      <w:pPr>
        <w:spacing w:after="120" w:line="240" w:lineRule="auto"/>
        <w:ind w:left="851"/>
        <w:jc w:val="both"/>
      </w:pPr>
      <w:r w:rsidRPr="00D31F79">
        <w:t>‘David, in his “last words”</w:t>
      </w:r>
      <w:r w:rsidRPr="00D31F79">
        <w:rPr>
          <w:rStyle w:val="EndnoteReference"/>
        </w:rPr>
        <w:endnoteReference w:id="2410"/>
      </w:r>
      <w:r w:rsidRPr="00D31F79">
        <w:t xml:space="preserve"> … describes the millennial kingdom yet to be.</w:t>
      </w:r>
      <w:r>
        <w:t>’</w:t>
      </w:r>
      <w:r w:rsidRPr="00D31F79">
        <w:rPr>
          <w:rStyle w:val="EndnoteReference"/>
        </w:rPr>
        <w:endnoteReference w:id="2411"/>
      </w:r>
    </w:p>
    <w:p w:rsidR="00595458" w:rsidRPr="008A6C1D" w:rsidRDefault="008A6C1D" w:rsidP="008A6C1D">
      <w:pPr>
        <w:spacing w:after="120" w:line="360" w:lineRule="auto"/>
        <w:ind w:right="74"/>
        <w:rPr>
          <w:b/>
          <w:i/>
          <w:color w:val="000000"/>
        </w:rPr>
      </w:pPr>
      <w:r w:rsidRPr="008A6C1D">
        <w:rPr>
          <w:b/>
          <w:i/>
          <w:color w:val="000000"/>
        </w:rPr>
        <w:t>Continued overleaf</w:t>
      </w:r>
    </w:p>
    <w:p w:rsidR="006A2E06" w:rsidRDefault="006A2E06" w:rsidP="006A2E06">
      <w:pPr>
        <w:tabs>
          <w:tab w:val="right" w:pos="8430"/>
        </w:tabs>
        <w:spacing w:after="120" w:line="360" w:lineRule="auto"/>
        <w:ind w:right="74"/>
        <w:jc w:val="both"/>
        <w:rPr>
          <w:b/>
          <w:i/>
          <w:color w:val="000000"/>
        </w:rPr>
      </w:pPr>
      <w:r>
        <w:rPr>
          <w:b/>
          <w:i/>
          <w:noProof/>
          <w:color w:val="000000"/>
          <w:lang w:eastAsia="en-GB"/>
        </w:rPr>
        <w:lastRenderedPageBreak/>
        <w:drawing>
          <wp:inline distT="0" distB="0" distL="0" distR="0" wp14:anchorId="020A031E" wp14:editId="55263C09">
            <wp:extent cx="5400040" cy="60642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Bks  themes as table rev 6.5.18 crop.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00040" cy="6064250"/>
                    </a:xfrm>
                    <a:prstGeom prst="rect">
                      <a:avLst/>
                    </a:prstGeom>
                  </pic:spPr>
                </pic:pic>
              </a:graphicData>
            </a:graphic>
          </wp:inline>
        </w:drawing>
      </w:r>
    </w:p>
    <w:p w:rsidR="008A6C1D" w:rsidRDefault="008A6C1D" w:rsidP="006A2E06">
      <w:pPr>
        <w:tabs>
          <w:tab w:val="right" w:pos="8430"/>
        </w:tabs>
        <w:spacing w:after="120" w:line="360" w:lineRule="auto"/>
        <w:ind w:right="74"/>
        <w:jc w:val="both"/>
        <w:rPr>
          <w:b/>
          <w:i/>
          <w:color w:val="000000"/>
        </w:rPr>
      </w:pPr>
      <w:r>
        <w:rPr>
          <w:b/>
          <w:i/>
          <w:color w:val="000000"/>
        </w:rPr>
        <w:t>Continued overleaf</w:t>
      </w:r>
    </w:p>
    <w:p w:rsidR="008A6C1D" w:rsidRDefault="008A6C1D" w:rsidP="006A2E06">
      <w:pPr>
        <w:tabs>
          <w:tab w:val="right" w:pos="8430"/>
        </w:tabs>
        <w:spacing w:after="120" w:line="360" w:lineRule="auto"/>
        <w:ind w:right="74"/>
        <w:jc w:val="both"/>
        <w:rPr>
          <w:b/>
          <w:i/>
          <w:color w:val="000000"/>
        </w:rPr>
      </w:pPr>
    </w:p>
    <w:p w:rsidR="008A6C1D" w:rsidRDefault="008A6C1D" w:rsidP="006A2E06">
      <w:pPr>
        <w:tabs>
          <w:tab w:val="right" w:pos="8430"/>
        </w:tabs>
        <w:spacing w:after="120" w:line="360" w:lineRule="auto"/>
        <w:ind w:right="74"/>
        <w:jc w:val="both"/>
        <w:rPr>
          <w:b/>
          <w:i/>
          <w:color w:val="000000"/>
        </w:rPr>
      </w:pPr>
    </w:p>
    <w:p w:rsidR="008A6C1D" w:rsidRDefault="008A6C1D" w:rsidP="006A2E06">
      <w:pPr>
        <w:tabs>
          <w:tab w:val="right" w:pos="8430"/>
        </w:tabs>
        <w:spacing w:after="120" w:line="360" w:lineRule="auto"/>
        <w:ind w:right="74"/>
        <w:jc w:val="both"/>
        <w:rPr>
          <w:b/>
          <w:i/>
          <w:color w:val="000000"/>
        </w:rPr>
      </w:pPr>
    </w:p>
    <w:p w:rsidR="008A6C1D" w:rsidRDefault="008A6C1D" w:rsidP="006A2E06">
      <w:pPr>
        <w:tabs>
          <w:tab w:val="right" w:pos="8430"/>
        </w:tabs>
        <w:spacing w:after="120" w:line="360" w:lineRule="auto"/>
        <w:ind w:right="74"/>
        <w:jc w:val="both"/>
        <w:rPr>
          <w:b/>
          <w:i/>
          <w:color w:val="000000"/>
        </w:rPr>
      </w:pPr>
    </w:p>
    <w:p w:rsidR="008A6C1D" w:rsidRDefault="008A6C1D" w:rsidP="006A2E06">
      <w:pPr>
        <w:tabs>
          <w:tab w:val="right" w:pos="8430"/>
        </w:tabs>
        <w:spacing w:after="120" w:line="360" w:lineRule="auto"/>
        <w:ind w:right="74"/>
        <w:jc w:val="both"/>
        <w:rPr>
          <w:b/>
          <w:i/>
          <w:color w:val="000000"/>
        </w:rPr>
      </w:pPr>
    </w:p>
    <w:p w:rsidR="008A6C1D" w:rsidRDefault="008A6C1D" w:rsidP="006A2E06">
      <w:pPr>
        <w:tabs>
          <w:tab w:val="right" w:pos="8430"/>
        </w:tabs>
        <w:spacing w:after="120" w:line="360" w:lineRule="auto"/>
        <w:ind w:right="74"/>
        <w:jc w:val="both"/>
        <w:rPr>
          <w:b/>
          <w:i/>
          <w:color w:val="000000"/>
        </w:rPr>
      </w:pPr>
    </w:p>
    <w:p w:rsidR="006A2E06" w:rsidRPr="000A2E77" w:rsidRDefault="006A2E06" w:rsidP="006A2E06">
      <w:pPr>
        <w:tabs>
          <w:tab w:val="right" w:pos="8430"/>
        </w:tabs>
        <w:spacing w:after="120" w:line="360" w:lineRule="auto"/>
        <w:ind w:right="74"/>
        <w:jc w:val="both"/>
        <w:rPr>
          <w:b/>
          <w:i/>
          <w:color w:val="000000"/>
        </w:rPr>
      </w:pPr>
      <w:r w:rsidRPr="00D54741">
        <w:rPr>
          <w:b/>
          <w:i/>
          <w:color w:val="000000"/>
        </w:rPr>
        <w:lastRenderedPageBreak/>
        <w:t>Annotation: Key Points</w:t>
      </w:r>
    </w:p>
    <w:p w:rsidR="006A2E06" w:rsidRPr="0010028B" w:rsidRDefault="0010028B" w:rsidP="0010028B">
      <w:pPr>
        <w:spacing w:after="120" w:line="360" w:lineRule="auto"/>
        <w:ind w:left="567" w:right="74"/>
        <w:jc w:val="center"/>
        <w:rPr>
          <w:b/>
        </w:rPr>
      </w:pPr>
      <w:r>
        <w:rPr>
          <w:b/>
        </w:rPr>
        <w:t xml:space="preserve">Chapters in </w:t>
      </w:r>
      <w:r w:rsidRPr="0010028B">
        <w:rPr>
          <w:b/>
        </w:rPr>
        <w:t>Historical Books With and Without Notes</w:t>
      </w:r>
    </w:p>
    <w:p w:rsidR="006A2E06" w:rsidRDefault="006A2E06" w:rsidP="006A2E06">
      <w:pPr>
        <w:spacing w:after="120" w:line="360" w:lineRule="auto"/>
        <w:ind w:right="74"/>
        <w:jc w:val="center"/>
      </w:pPr>
      <w:r>
        <w:rPr>
          <w:noProof/>
          <w:lang w:eastAsia="en-GB"/>
        </w:rPr>
        <w:drawing>
          <wp:inline distT="0" distB="0" distL="0" distR="0" wp14:anchorId="36DA1092" wp14:editId="66BA7FB6">
            <wp:extent cx="3557067" cy="4206240"/>
            <wp:effectExtent l="0" t="0" r="5715"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cal Books table rev 8.5.18 crop.jpg"/>
                    <pic:cNvPicPr/>
                  </pic:nvPicPr>
                  <pic:blipFill>
                    <a:blip r:embed="rId154">
                      <a:extLst>
                        <a:ext uri="{28A0092B-C50C-407E-A947-70E740481C1C}">
                          <a14:useLocalDpi xmlns:a14="http://schemas.microsoft.com/office/drawing/2010/main" val="0"/>
                        </a:ext>
                      </a:extLst>
                    </a:blip>
                    <a:stretch>
                      <a:fillRect/>
                    </a:stretch>
                  </pic:blipFill>
                  <pic:spPr>
                    <a:xfrm>
                      <a:off x="0" y="0"/>
                      <a:ext cx="3557067" cy="4206240"/>
                    </a:xfrm>
                    <a:prstGeom prst="rect">
                      <a:avLst/>
                    </a:prstGeom>
                  </pic:spPr>
                </pic:pic>
              </a:graphicData>
            </a:graphic>
          </wp:inline>
        </w:drawing>
      </w:r>
    </w:p>
    <w:p w:rsidR="006A2E06" w:rsidRDefault="0010028B" w:rsidP="006A2E06">
      <w:pPr>
        <w:spacing w:after="120" w:line="240" w:lineRule="auto"/>
        <w:ind w:left="567" w:right="74"/>
        <w:jc w:val="both"/>
      </w:pPr>
      <w:r>
        <w:t xml:space="preserve">Most chapters bear no notes.  </w:t>
      </w:r>
      <w:r w:rsidR="006A2E06">
        <w:t>Usually</w:t>
      </w:r>
      <w:r w:rsidR="006A2E06" w:rsidRPr="00951A0E">
        <w:t xml:space="preserve"> only single verses within chapters are annotated.</w:t>
      </w:r>
      <w:r w:rsidR="006A2E06" w:rsidRPr="00951A0E">
        <w:rPr>
          <w:rStyle w:val="EndnoteReference"/>
        </w:rPr>
        <w:endnoteReference w:id="2412"/>
      </w:r>
      <w:r w:rsidR="006A2E06" w:rsidRPr="00951A0E">
        <w:t xml:space="preserve">  </w:t>
      </w:r>
    </w:p>
    <w:p w:rsidR="006A2E06" w:rsidRDefault="006A2E06" w:rsidP="006A2E06">
      <w:pPr>
        <w:spacing w:after="120" w:line="240" w:lineRule="auto"/>
        <w:ind w:left="567" w:right="74"/>
        <w:jc w:val="both"/>
      </w:pPr>
      <w:r>
        <w:t>Otherwise,</w:t>
      </w:r>
      <w:r w:rsidRPr="00951A0E">
        <w:t xml:space="preserve"> maximum number of verses annotated is two.</w:t>
      </w:r>
      <w:r w:rsidRPr="00951A0E">
        <w:rPr>
          <w:rStyle w:val="EndnoteReference"/>
        </w:rPr>
        <w:endnoteReference w:id="2413"/>
      </w:r>
      <w:r w:rsidRPr="00951A0E">
        <w:t xml:space="preserve">  </w:t>
      </w:r>
    </w:p>
    <w:p w:rsidR="006A2E06" w:rsidRDefault="006A2E06" w:rsidP="006A2E06">
      <w:pPr>
        <w:spacing w:after="120" w:line="240" w:lineRule="auto"/>
        <w:ind w:left="567" w:right="74"/>
        <w:jc w:val="both"/>
        <w:rPr>
          <w:color w:val="000000"/>
        </w:rPr>
      </w:pPr>
      <w:r>
        <w:t>O</w:t>
      </w:r>
      <w:r w:rsidRPr="00951A0E">
        <w:rPr>
          <w:color w:val="000000"/>
        </w:rPr>
        <w:t xml:space="preserve">nly thirty-nine verses in the twelve ‘historical’ books are annotated.  </w:t>
      </w:r>
    </w:p>
    <w:p w:rsidR="006A2E06" w:rsidRPr="00C451EE" w:rsidRDefault="006A2E06" w:rsidP="006A2E06">
      <w:pPr>
        <w:spacing w:after="0" w:line="240" w:lineRule="auto"/>
        <w:ind w:left="567" w:right="74"/>
        <w:jc w:val="both"/>
        <w:rPr>
          <w:i/>
          <w:color w:val="000000"/>
        </w:rPr>
      </w:pPr>
      <w:r w:rsidRPr="00C451EE">
        <w:rPr>
          <w:i/>
          <w:color w:val="000000"/>
        </w:rPr>
        <w:t>Davidic Covenant and Davidic Kingdom</w:t>
      </w:r>
    </w:p>
    <w:p w:rsidR="006A2E06" w:rsidRDefault="006A2E06" w:rsidP="006A2E06">
      <w:pPr>
        <w:spacing w:after="60" w:line="240" w:lineRule="auto"/>
        <w:ind w:left="851" w:right="74"/>
        <w:jc w:val="both"/>
      </w:pPr>
      <w:r>
        <w:rPr>
          <w:color w:val="000000"/>
        </w:rPr>
        <w:t xml:space="preserve">Davidic Covenant: foundation for claims concerning Christ and establishment of eschatological Davidic kingdom, </w:t>
      </w:r>
      <w:r w:rsidRPr="00FB31E1">
        <w:t>‘upon which the glorious kingdom of Christ “of the seed of David according to the flesh” is to be founded</w:t>
      </w:r>
      <w:r>
        <w:t>’</w:t>
      </w:r>
      <w:r w:rsidRPr="00FB31E1">
        <w:t>.</w:t>
      </w:r>
      <w:r>
        <w:rPr>
          <w:rStyle w:val="EndnoteReference"/>
        </w:rPr>
        <w:endnoteReference w:id="2414"/>
      </w:r>
    </w:p>
    <w:p w:rsidR="006A2E06" w:rsidRDefault="006A2E06" w:rsidP="006A2E06">
      <w:pPr>
        <w:spacing w:after="120" w:line="240" w:lineRule="auto"/>
        <w:ind w:left="851" w:right="74"/>
        <w:jc w:val="both"/>
      </w:pPr>
      <w:r>
        <w:t>Zion, ‘the southwest eminence in Jerusalem, called in Scripture the city of David’ is ‘associated with the Davidic royalty both historically and prophetically’.</w:t>
      </w:r>
      <w:r>
        <w:rPr>
          <w:rStyle w:val="EndnoteReference"/>
        </w:rPr>
        <w:endnoteReference w:id="2415"/>
      </w:r>
      <w:r>
        <w:t xml:space="preserve">  </w:t>
      </w:r>
    </w:p>
    <w:p w:rsidR="006A2E06" w:rsidRDefault="006A2E06" w:rsidP="006A2E06">
      <w:pPr>
        <w:spacing w:after="0" w:line="240" w:lineRule="auto"/>
        <w:ind w:left="567" w:right="74"/>
        <w:jc w:val="both"/>
        <w:rPr>
          <w:i/>
        </w:rPr>
      </w:pPr>
      <w:r>
        <w:rPr>
          <w:i/>
        </w:rPr>
        <w:t>Israel’s Spiritual Declenison</w:t>
      </w:r>
    </w:p>
    <w:p w:rsidR="006A2E06" w:rsidRDefault="006A2E06" w:rsidP="006A2E06">
      <w:pPr>
        <w:spacing w:after="60" w:line="240" w:lineRule="auto"/>
        <w:ind w:left="567" w:right="74" w:firstLine="284"/>
        <w:jc w:val="both"/>
      </w:pPr>
      <w:r>
        <w:t>References to idolatry, spiritual declension and apostasy</w:t>
      </w:r>
      <w:r w:rsidRPr="00915838">
        <w:rPr>
          <w:rStyle w:val="EndnoteReference"/>
        </w:rPr>
        <w:endnoteReference w:id="2416"/>
      </w:r>
    </w:p>
    <w:p w:rsidR="006A2E06" w:rsidRDefault="006A2E06" w:rsidP="006A2E06">
      <w:pPr>
        <w:spacing w:after="120" w:line="240" w:lineRule="auto"/>
        <w:ind w:left="851" w:right="74"/>
        <w:jc w:val="both"/>
      </w:pPr>
      <w:r>
        <w:t xml:space="preserve">Assertion that </w:t>
      </w:r>
      <w:r w:rsidRPr="00915838">
        <w:t>‘in many ways, Solomon’s temple manifests the spiritual deterioration of the people and Jehovah’s condescension to it in grace’.</w:t>
      </w:r>
      <w:r w:rsidRPr="00915838">
        <w:rPr>
          <w:rStyle w:val="EndnoteReference"/>
        </w:rPr>
        <w:endnoteReference w:id="2417"/>
      </w:r>
    </w:p>
    <w:p w:rsidR="006A2E06" w:rsidRDefault="006A2E06" w:rsidP="006A2E06">
      <w:pPr>
        <w:spacing w:after="0" w:line="240" w:lineRule="auto"/>
        <w:ind w:left="567" w:right="74"/>
        <w:jc w:val="both"/>
        <w:rPr>
          <w:i/>
        </w:rPr>
      </w:pPr>
      <w:r w:rsidRPr="00C451EE">
        <w:rPr>
          <w:i/>
        </w:rPr>
        <w:t>Israel’s Future</w:t>
      </w:r>
    </w:p>
    <w:p w:rsidR="006A2E06" w:rsidRDefault="006A2E06" w:rsidP="006A2E06">
      <w:pPr>
        <w:spacing w:after="60" w:line="240" w:lineRule="auto"/>
        <w:ind w:left="851" w:right="74"/>
        <w:jc w:val="both"/>
      </w:pPr>
      <w:r>
        <w:t>The d</w:t>
      </w:r>
      <w:r w:rsidRPr="004F0168">
        <w:t xml:space="preserve">ivision of </w:t>
      </w:r>
      <w:r>
        <w:t xml:space="preserve">the </w:t>
      </w:r>
      <w:r w:rsidRPr="004F0168">
        <w:t xml:space="preserve">kingdom represents </w:t>
      </w:r>
      <w:r>
        <w:t xml:space="preserve">a </w:t>
      </w:r>
      <w:r w:rsidRPr="004F0168">
        <w:t xml:space="preserve">very important stage in </w:t>
      </w:r>
      <w:r>
        <w:t xml:space="preserve">the </w:t>
      </w:r>
      <w:r w:rsidRPr="004F0168">
        <w:t xml:space="preserve">history of the </w:t>
      </w:r>
      <w:r>
        <w:t>nation: Judah and Israel</w:t>
      </w:r>
      <w:r w:rsidRPr="004F0168">
        <w:t xml:space="preserve"> must be reunited in the future kingdom.</w:t>
      </w:r>
      <w:r w:rsidRPr="004F0168">
        <w:rPr>
          <w:rStyle w:val="EndnoteReference"/>
        </w:rPr>
        <w:endnoteReference w:id="2418"/>
      </w:r>
    </w:p>
    <w:p w:rsidR="006A2E06" w:rsidRDefault="006A2E06" w:rsidP="006A2E06">
      <w:pPr>
        <w:spacing w:after="60" w:line="240" w:lineRule="auto"/>
        <w:ind w:left="851" w:right="74"/>
        <w:jc w:val="both"/>
      </w:pPr>
      <w:r>
        <w:t>Te</w:t>
      </w:r>
      <w:r w:rsidRPr="004F0168">
        <w:t>n northern tribes never restored to Palestine after Assyrian captivity; individuals returned, but ‘</w:t>
      </w:r>
      <w:r w:rsidRPr="004F0168">
        <w:rPr>
          <w:i/>
        </w:rPr>
        <w:t>national</w:t>
      </w:r>
      <w:r w:rsidRPr="004F0168">
        <w:t xml:space="preserve"> restoration is yet to be fulfilled’.</w:t>
      </w:r>
      <w:r w:rsidRPr="004F0168">
        <w:rPr>
          <w:rStyle w:val="EndnoteReference"/>
        </w:rPr>
        <w:endnoteReference w:id="2419"/>
      </w:r>
    </w:p>
    <w:p w:rsidR="006A2E06" w:rsidRDefault="006A2E06" w:rsidP="006A2E06">
      <w:pPr>
        <w:spacing w:after="120" w:line="240" w:lineRule="auto"/>
        <w:ind w:left="851" w:right="74"/>
        <w:jc w:val="both"/>
      </w:pPr>
      <w:r>
        <w:t xml:space="preserve">The </w:t>
      </w:r>
      <w:r w:rsidRPr="004F0168">
        <w:t>ten tribes still ‘preserved distinct from other peoples’; God knows them but they do not know him</w:t>
      </w:r>
      <w:r>
        <w:t>.</w:t>
      </w:r>
      <w:r w:rsidRPr="004F0168">
        <w:rPr>
          <w:rStyle w:val="EndnoteReference"/>
        </w:rPr>
        <w:endnoteReference w:id="2420"/>
      </w:r>
    </w:p>
    <w:p w:rsidR="006A2E06" w:rsidRDefault="006A2E06" w:rsidP="006A2E06">
      <w:pPr>
        <w:spacing w:after="120" w:line="240" w:lineRule="auto"/>
        <w:ind w:left="1418" w:right="74"/>
        <w:jc w:val="both"/>
      </w:pPr>
      <w:r w:rsidRPr="005E5338">
        <w:rPr>
          <w:b/>
          <w:i/>
        </w:rPr>
        <w:lastRenderedPageBreak/>
        <w:t>Comment</w:t>
      </w:r>
      <w:r>
        <w:rPr>
          <w:b/>
          <w:i/>
        </w:rPr>
        <w:t xml:space="preserve">: </w:t>
      </w:r>
      <w:r>
        <w:t xml:space="preserve">It is significant that Scofield regards </w:t>
      </w:r>
      <w:r w:rsidR="006933A3">
        <w:t xml:space="preserve">the </w:t>
      </w:r>
      <w:r>
        <w:t>dispersion as continuing in his own day.</w:t>
      </w:r>
    </w:p>
    <w:p w:rsidR="006A2E06" w:rsidRDefault="006A2E06" w:rsidP="006A2E06">
      <w:pPr>
        <w:spacing w:after="120" w:line="240" w:lineRule="auto"/>
        <w:ind w:left="851" w:right="74"/>
        <w:jc w:val="both"/>
      </w:pPr>
      <w:r>
        <w:t>Only two notes on exiles’ return from Babylon</w:t>
      </w:r>
      <w:r>
        <w:rPr>
          <w:rStyle w:val="EndnoteReference"/>
        </w:rPr>
        <w:endnoteReference w:id="2421"/>
      </w:r>
    </w:p>
    <w:p w:rsidR="006A2E06" w:rsidRDefault="006A2E06" w:rsidP="006A2E06">
      <w:pPr>
        <w:spacing w:after="240" w:line="240" w:lineRule="auto"/>
        <w:ind w:left="851" w:right="74"/>
        <w:jc w:val="both"/>
      </w:pPr>
      <w:r w:rsidRPr="004F0168">
        <w:t>Worship of Jehovah resumed ‘but the theocracy was not restored’ and ‘the remnant lived in the land by Gentile sufferance, though doubtless by the providential care of Jehovah, till Messiah came’, after which ‘Rome destroyed the city and temple.’</w:t>
      </w:r>
      <w:r w:rsidRPr="004F0168">
        <w:rPr>
          <w:rStyle w:val="EndnoteReference"/>
        </w:rPr>
        <w:endnoteReference w:id="2422"/>
      </w:r>
    </w:p>
    <w:p w:rsidR="006A2E06" w:rsidRPr="00C451EE" w:rsidRDefault="006A2E06" w:rsidP="006A2E06">
      <w:pPr>
        <w:spacing w:after="0" w:line="240" w:lineRule="auto"/>
        <w:ind w:left="567" w:right="74"/>
        <w:jc w:val="both"/>
      </w:pPr>
      <w:r>
        <w:rPr>
          <w:i/>
          <w:color w:val="000000"/>
        </w:rPr>
        <w:t>Analogies</w:t>
      </w:r>
      <w:r>
        <w:rPr>
          <w:rStyle w:val="EndnoteReference"/>
          <w:i/>
          <w:color w:val="000000"/>
        </w:rPr>
        <w:endnoteReference w:id="2423"/>
      </w:r>
    </w:p>
    <w:p w:rsidR="006A2E06" w:rsidRDefault="006A2E06" w:rsidP="006A2E06">
      <w:pPr>
        <w:spacing w:after="60" w:line="240" w:lineRule="auto"/>
        <w:ind w:left="851" w:right="74"/>
        <w:jc w:val="both"/>
        <w:rPr>
          <w:color w:val="000000"/>
        </w:rPr>
      </w:pPr>
      <w:r>
        <w:rPr>
          <w:color w:val="000000"/>
        </w:rPr>
        <w:t xml:space="preserve">Several comparisons with apostate church and unfaithful individuals.  </w:t>
      </w:r>
    </w:p>
    <w:p w:rsidR="006A2E06" w:rsidRDefault="006A2E06" w:rsidP="006A2E06">
      <w:pPr>
        <w:spacing w:after="60" w:line="240" w:lineRule="auto"/>
        <w:ind w:left="851" w:right="74"/>
        <w:jc w:val="both"/>
        <w:rPr>
          <w:color w:val="000000"/>
        </w:rPr>
      </w:pPr>
      <w:r>
        <w:rPr>
          <w:color w:val="000000"/>
        </w:rPr>
        <w:t>Israelites’ neglect of circumcision, ‘the “sign” of the Abrahamic Covenant’</w:t>
      </w:r>
      <w:r>
        <w:rPr>
          <w:rStyle w:val="EndnoteReference"/>
          <w:color w:val="000000"/>
        </w:rPr>
        <w:endnoteReference w:id="2424"/>
      </w:r>
      <w:r>
        <w:rPr>
          <w:color w:val="000000"/>
        </w:rPr>
        <w:t xml:space="preserve"> analogous with ‘world-conformity’ in the New Testament.</w:t>
      </w:r>
      <w:r>
        <w:rPr>
          <w:rStyle w:val="EndnoteReference"/>
          <w:color w:val="000000"/>
        </w:rPr>
        <w:endnoteReference w:id="2425"/>
      </w:r>
      <w:r>
        <w:rPr>
          <w:color w:val="000000"/>
        </w:rPr>
        <w:t xml:space="preserve">  </w:t>
      </w:r>
    </w:p>
    <w:p w:rsidR="006A2E06" w:rsidRDefault="006A2E06" w:rsidP="006A2E06">
      <w:pPr>
        <w:spacing w:after="60" w:line="240" w:lineRule="auto"/>
        <w:ind w:left="851" w:right="74"/>
        <w:jc w:val="both"/>
        <w:rPr>
          <w:color w:val="000000"/>
        </w:rPr>
      </w:pPr>
      <w:r>
        <w:rPr>
          <w:color w:val="000000"/>
        </w:rPr>
        <w:t xml:space="preserve">Illustration of ‘oneness of the people of God’: as Achan’s sin and divine punishment represent Israel’s sin, so </w:t>
      </w:r>
      <w:r>
        <w:t>‘the whole cause of Christ’ is ‘injured by the sin, neglect, or unspirituality of one believer’.</w:t>
      </w:r>
      <w:r>
        <w:rPr>
          <w:rStyle w:val="EndnoteReference"/>
        </w:rPr>
        <w:endnoteReference w:id="2426"/>
      </w:r>
    </w:p>
    <w:p w:rsidR="006A2E06" w:rsidRDefault="006A2E06" w:rsidP="006A2E06">
      <w:pPr>
        <w:spacing w:after="120" w:line="240" w:lineRule="auto"/>
        <w:ind w:left="851" w:right="74"/>
        <w:jc w:val="both"/>
      </w:pPr>
      <w:r>
        <w:t>David’s employment of a ‘cart’ for the transportation of the ark following ‘a Philistine expedient’</w:t>
      </w:r>
      <w:r>
        <w:rPr>
          <w:rStyle w:val="EndnoteReference"/>
        </w:rPr>
        <w:endnoteReference w:id="2427"/>
      </w:r>
      <w:r>
        <w:t xml:space="preserve"> likened to ‘the church … full of Philistine ways of doing service to Christ’.</w:t>
      </w:r>
      <w:r>
        <w:rPr>
          <w:rStyle w:val="EndnoteReference"/>
        </w:rPr>
        <w:endnoteReference w:id="2428"/>
      </w:r>
      <w:r>
        <w:t xml:space="preserve">  </w:t>
      </w:r>
    </w:p>
    <w:p w:rsidR="006A2E06" w:rsidRPr="00EF75B0" w:rsidRDefault="006A2E06" w:rsidP="006A2E06">
      <w:pPr>
        <w:spacing w:after="120" w:line="360" w:lineRule="auto"/>
        <w:ind w:left="851" w:right="74" w:hanging="851"/>
        <w:jc w:val="both"/>
        <w:rPr>
          <w:b/>
          <w:i/>
        </w:rPr>
      </w:pPr>
      <w:r>
        <w:rPr>
          <w:b/>
          <w:i/>
        </w:rPr>
        <w:t>Subheads</w:t>
      </w:r>
    </w:p>
    <w:p w:rsidR="006A2E06" w:rsidRDefault="006A2E06" w:rsidP="006A2E06">
      <w:pPr>
        <w:spacing w:after="120" w:line="360" w:lineRule="auto"/>
        <w:ind w:left="567" w:right="74" w:hanging="567"/>
        <w:jc w:val="both"/>
        <w:rPr>
          <w:color w:val="000000"/>
        </w:rPr>
      </w:pPr>
      <w:r w:rsidRPr="00423352">
        <w:rPr>
          <w:color w:val="000000"/>
        </w:rPr>
        <w:t xml:space="preserve">Subheads </w:t>
      </w:r>
      <w:r>
        <w:rPr>
          <w:color w:val="000000"/>
        </w:rPr>
        <w:t xml:space="preserve">are </w:t>
      </w:r>
      <w:r w:rsidRPr="00423352">
        <w:rPr>
          <w:color w:val="000000"/>
        </w:rPr>
        <w:t xml:space="preserve">also </w:t>
      </w:r>
      <w:r>
        <w:rPr>
          <w:color w:val="000000"/>
        </w:rPr>
        <w:t>important elements of commentary on the ‘historical books</w:t>
      </w:r>
      <w:r w:rsidR="00A74907">
        <w:rPr>
          <w:color w:val="000000"/>
        </w:rPr>
        <w:t>’</w:t>
      </w:r>
      <w:r>
        <w:rPr>
          <w:color w:val="000000"/>
        </w:rPr>
        <w:t>; most describe content.</w:t>
      </w:r>
      <w:r>
        <w:rPr>
          <w:rStyle w:val="EndnoteReference"/>
          <w:color w:val="000000"/>
        </w:rPr>
        <w:endnoteReference w:id="2429"/>
      </w:r>
    </w:p>
    <w:p w:rsidR="006A2E06" w:rsidRDefault="00C355EF" w:rsidP="006A2E06">
      <w:pPr>
        <w:spacing w:after="120" w:line="360" w:lineRule="auto"/>
        <w:ind w:right="74"/>
        <w:jc w:val="center"/>
      </w:pPr>
      <w:r>
        <w:rPr>
          <w:noProof/>
          <w:lang w:eastAsia="en-GB"/>
        </w:rPr>
        <w:drawing>
          <wp:inline distT="0" distB="0" distL="0" distR="0" wp14:anchorId="1BC25EAF" wp14:editId="0AB712D4">
            <wp:extent cx="5400040" cy="31578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Bks subheads ed 24.6.18 crop.jpg"/>
                    <pic:cNvPicPr/>
                  </pic:nvPicPr>
                  <pic:blipFill>
                    <a:blip r:embed="rId155">
                      <a:extLst>
                        <a:ext uri="{28A0092B-C50C-407E-A947-70E740481C1C}">
                          <a14:useLocalDpi xmlns:a14="http://schemas.microsoft.com/office/drawing/2010/main" val="0"/>
                        </a:ext>
                      </a:extLst>
                    </a:blip>
                    <a:stretch>
                      <a:fillRect/>
                    </a:stretch>
                  </pic:blipFill>
                  <pic:spPr>
                    <a:xfrm>
                      <a:off x="0" y="0"/>
                      <a:ext cx="5400040" cy="3157855"/>
                    </a:xfrm>
                    <a:prstGeom prst="rect">
                      <a:avLst/>
                    </a:prstGeom>
                  </pic:spPr>
                </pic:pic>
              </a:graphicData>
            </a:graphic>
          </wp:inline>
        </w:drawing>
      </w:r>
    </w:p>
    <w:p w:rsidR="006A2E06" w:rsidRPr="009C1CA0" w:rsidRDefault="006A2E06" w:rsidP="006A2E06">
      <w:pPr>
        <w:spacing w:after="120" w:line="360" w:lineRule="auto"/>
        <w:ind w:right="74"/>
        <w:jc w:val="both"/>
        <w:rPr>
          <w:b/>
        </w:rPr>
      </w:pPr>
      <w:r>
        <w:rPr>
          <w:b/>
        </w:rPr>
        <w:t>8</w:t>
      </w:r>
      <w:r w:rsidRPr="009C1CA0">
        <w:rPr>
          <w:b/>
        </w:rPr>
        <w:t>.2.1  Conclusion</w:t>
      </w:r>
      <w:r w:rsidR="00756EB6">
        <w:rPr>
          <w:b/>
        </w:rPr>
        <w:t>: Notes on</w:t>
      </w:r>
      <w:r w:rsidRPr="009C1CA0">
        <w:rPr>
          <w:b/>
        </w:rPr>
        <w:t xml:space="preserve"> the ‘Historical Books</w:t>
      </w:r>
      <w:r w:rsidR="00A74907">
        <w:rPr>
          <w:b/>
        </w:rPr>
        <w:t>’</w:t>
      </w:r>
    </w:p>
    <w:p w:rsidR="006A2E06" w:rsidRDefault="006A2E06" w:rsidP="006A2E06">
      <w:pPr>
        <w:spacing w:after="120" w:line="360" w:lineRule="auto"/>
        <w:ind w:right="74"/>
        <w:jc w:val="both"/>
      </w:pPr>
      <w:r>
        <w:t>Scofield’s notes on the historical books serve to demonstrate his commitment to the historicity of the biblical text.  The main subject is the history of the theocracy in Israel, including her decline, exile and restoration, both from the Babylonian exile and in the kingdom age.  There is a strong emphasis upon the importance of the Davidic Covenant for Israel’s future and upon the nature of Israel as ‘God’s earthly people’.  Some typological assertions make comparisons with New Testament concepts.  However, the main focus of Scofield’s commentary on these twelve books is Israel, her history and future.</w:t>
      </w:r>
    </w:p>
    <w:p w:rsidR="006A2E06" w:rsidRDefault="006A2E06" w:rsidP="006A2E06">
      <w:pPr>
        <w:spacing w:after="120" w:line="360" w:lineRule="auto"/>
        <w:ind w:right="74"/>
        <w:jc w:val="both"/>
        <w:rPr>
          <w:b/>
          <w:color w:val="000000"/>
        </w:rPr>
      </w:pPr>
      <w:bookmarkStart w:id="16" w:name="Poeticbksiii"/>
      <w:bookmarkEnd w:id="16"/>
      <w:r>
        <w:rPr>
          <w:b/>
          <w:color w:val="000000"/>
        </w:rPr>
        <w:lastRenderedPageBreak/>
        <w:t>8.</w:t>
      </w:r>
      <w:r w:rsidRPr="00951A0E">
        <w:rPr>
          <w:b/>
          <w:color w:val="000000"/>
        </w:rPr>
        <w:t xml:space="preserve">3  The </w:t>
      </w:r>
      <w:r w:rsidR="003913AC">
        <w:rPr>
          <w:b/>
          <w:color w:val="000000"/>
        </w:rPr>
        <w:t>‘</w:t>
      </w:r>
      <w:r w:rsidRPr="00951A0E">
        <w:rPr>
          <w:b/>
          <w:color w:val="000000"/>
        </w:rPr>
        <w:t>Poetic</w:t>
      </w:r>
      <w:r>
        <w:rPr>
          <w:b/>
          <w:color w:val="000000"/>
        </w:rPr>
        <w:t>al</w:t>
      </w:r>
      <w:r w:rsidRPr="00951A0E">
        <w:rPr>
          <w:b/>
          <w:color w:val="000000"/>
        </w:rPr>
        <w:t xml:space="preserve"> Books</w:t>
      </w:r>
      <w:r w:rsidR="003913AC">
        <w:rPr>
          <w:b/>
          <w:color w:val="000000"/>
        </w:rPr>
        <w:t>’</w:t>
      </w:r>
    </w:p>
    <w:p w:rsidR="006A2E06" w:rsidRDefault="006A2E06" w:rsidP="006A2E06">
      <w:pPr>
        <w:spacing w:after="120" w:line="360" w:lineRule="auto"/>
        <w:ind w:right="74"/>
        <w:jc w:val="both"/>
        <w:rPr>
          <w:b/>
          <w:color w:val="000000"/>
        </w:rPr>
      </w:pPr>
      <w:r>
        <w:t>The only significant annotation is of Psalms.</w:t>
      </w:r>
    </w:p>
    <w:p w:rsidR="006A2E06" w:rsidRPr="00ED72A0" w:rsidRDefault="006A2E06" w:rsidP="006A2E06">
      <w:pPr>
        <w:spacing w:after="120" w:line="360" w:lineRule="auto"/>
        <w:ind w:right="74"/>
        <w:jc w:val="both"/>
        <w:rPr>
          <w:b/>
          <w:i/>
          <w:color w:val="000000"/>
        </w:rPr>
      </w:pPr>
      <w:r w:rsidRPr="00ED72A0">
        <w:rPr>
          <w:b/>
          <w:i/>
          <w:color w:val="000000"/>
        </w:rPr>
        <w:t>Introduction</w:t>
      </w:r>
      <w:r>
        <w:rPr>
          <w:b/>
          <w:i/>
          <w:color w:val="000000"/>
        </w:rPr>
        <w:t xml:space="preserve"> to ‘Poetical Books’</w:t>
      </w:r>
      <w:r w:rsidRPr="00ED72A0">
        <w:rPr>
          <w:b/>
          <w:i/>
          <w:color w:val="000000"/>
        </w:rPr>
        <w:t>: Key Points</w:t>
      </w:r>
      <w:r>
        <w:rPr>
          <w:rStyle w:val="EndnoteReference"/>
        </w:rPr>
        <w:endnoteReference w:id="2430"/>
      </w:r>
    </w:p>
    <w:p w:rsidR="006A2E06" w:rsidRDefault="006A2E06" w:rsidP="006A2E06">
      <w:pPr>
        <w:spacing w:after="120" w:line="240" w:lineRule="auto"/>
        <w:ind w:left="567" w:right="74"/>
        <w:jc w:val="both"/>
      </w:pPr>
      <w:r>
        <w:rPr>
          <w:color w:val="000000"/>
        </w:rPr>
        <w:t xml:space="preserve">Poetical books, especially Psalms, </w:t>
      </w:r>
      <w:r w:rsidRPr="005D00B9">
        <w:t xml:space="preserve">present </w:t>
      </w:r>
      <w:r>
        <w:t>human experiences of God’s people</w:t>
      </w:r>
      <w:r w:rsidRPr="005D00B9">
        <w:t>, ‘wrought in them by the Spirit, interpreted to us by the Spirit, and written by holy men of God as they were moved by the Spirit’</w:t>
      </w:r>
      <w:r>
        <w:t>.</w:t>
      </w:r>
    </w:p>
    <w:p w:rsidR="006A2E06" w:rsidRPr="00ED72A0" w:rsidRDefault="006A2E06" w:rsidP="006A2E06">
      <w:pPr>
        <w:spacing w:after="240" w:line="240" w:lineRule="auto"/>
        <w:ind w:left="567" w:right="74"/>
        <w:jc w:val="both"/>
        <w:rPr>
          <w:color w:val="000000"/>
        </w:rPr>
      </w:pPr>
      <w:r>
        <w:t xml:space="preserve">These books </w:t>
      </w:r>
      <w:r w:rsidRPr="005D00B9">
        <w:t>‘</w:t>
      </w:r>
      <w:r>
        <w:t>s</w:t>
      </w:r>
      <w:r w:rsidRPr="005D00B9">
        <w:t>upply examples of literary expression unmatched in uninspired literature’.</w:t>
      </w:r>
    </w:p>
    <w:p w:rsidR="006A2E06" w:rsidRPr="00ED72A0" w:rsidRDefault="006A2E06" w:rsidP="006A2E06">
      <w:pPr>
        <w:spacing w:after="120" w:line="360" w:lineRule="auto"/>
        <w:jc w:val="both"/>
        <w:rPr>
          <w:b/>
          <w:i/>
        </w:rPr>
      </w:pPr>
      <w:r w:rsidRPr="00ED72A0">
        <w:rPr>
          <w:b/>
          <w:i/>
        </w:rPr>
        <w:t>Annotation: Key Points</w:t>
      </w:r>
      <w:r>
        <w:rPr>
          <w:b/>
          <w:i/>
        </w:rPr>
        <w:t xml:space="preserve"> (Job, Proverbs, Ecclesiastes, Song of Solomon)</w:t>
      </w:r>
    </w:p>
    <w:p w:rsidR="006A2E06" w:rsidRDefault="006A2E06" w:rsidP="006A2E06">
      <w:pPr>
        <w:spacing w:after="120" w:line="240" w:lineRule="auto"/>
        <w:ind w:left="567"/>
        <w:jc w:val="both"/>
      </w:pPr>
      <w:r>
        <w:t>Assertion that ‘Job is probably the oldest of the Bible books’ and that ‘Job was a veritable personage … the events are historical’.</w:t>
      </w:r>
      <w:r>
        <w:rPr>
          <w:rStyle w:val="EndnoteReference"/>
        </w:rPr>
        <w:endnoteReference w:id="2431"/>
      </w:r>
      <w:r>
        <w:t xml:space="preserve">  </w:t>
      </w:r>
    </w:p>
    <w:p w:rsidR="006A2E06" w:rsidRDefault="006A2E06" w:rsidP="006A2E06">
      <w:pPr>
        <w:spacing w:after="120" w:line="240" w:lineRule="auto"/>
        <w:ind w:left="567"/>
        <w:jc w:val="both"/>
      </w:pPr>
      <w:r>
        <w:t>Proverbs is a ‘collection of sententious sayings [of] divine wisdom applied to the earthly conditions of the people of God’</w:t>
      </w:r>
      <w:r>
        <w:rPr>
          <w:rStyle w:val="EndnoteReference"/>
        </w:rPr>
        <w:endnoteReference w:id="2432"/>
      </w:r>
      <w:r>
        <w:t xml:space="preserve"> – only two verses annotated.</w:t>
      </w:r>
      <w:r>
        <w:rPr>
          <w:rStyle w:val="EndnoteReference"/>
        </w:rPr>
        <w:endnoteReference w:id="2433"/>
      </w:r>
      <w:r>
        <w:t xml:space="preserve">  </w:t>
      </w:r>
    </w:p>
    <w:p w:rsidR="006A2E06" w:rsidRDefault="006A2E06" w:rsidP="006A2E06">
      <w:pPr>
        <w:spacing w:after="120" w:line="240" w:lineRule="auto"/>
        <w:ind w:left="567"/>
        <w:jc w:val="both"/>
      </w:pPr>
      <w:r>
        <w:t xml:space="preserve">For comments on Ecclesiastes see 2.1.  </w:t>
      </w:r>
    </w:p>
    <w:p w:rsidR="006A2E06" w:rsidRDefault="006A2E06" w:rsidP="006A2E06">
      <w:pPr>
        <w:spacing w:after="0" w:line="240" w:lineRule="auto"/>
        <w:ind w:left="567"/>
        <w:jc w:val="both"/>
      </w:pPr>
      <w:r w:rsidRPr="00CA0A78">
        <w:rPr>
          <w:i/>
        </w:rPr>
        <w:t>Song of Solomon</w:t>
      </w:r>
      <w:r>
        <w:t xml:space="preserve">: </w:t>
      </w:r>
    </w:p>
    <w:p w:rsidR="006A2E06" w:rsidRDefault="003C7617" w:rsidP="006A2E06">
      <w:pPr>
        <w:spacing w:after="60" w:line="240" w:lineRule="auto"/>
        <w:ind w:left="851"/>
        <w:jc w:val="both"/>
      </w:pPr>
      <w:r>
        <w:t>The o</w:t>
      </w:r>
      <w:r w:rsidR="006A2E06">
        <w:t xml:space="preserve">nly ‘poetical’ book where </w:t>
      </w:r>
      <w:r>
        <w:t xml:space="preserve">the </w:t>
      </w:r>
      <w:r w:rsidR="006A2E06">
        <w:t xml:space="preserve">approximate percentage of words in </w:t>
      </w:r>
      <w:r w:rsidR="006A2E06" w:rsidRPr="00C02BE0">
        <w:rPr>
          <w:i/>
        </w:rPr>
        <w:t>SRB</w:t>
      </w:r>
      <w:r w:rsidR="006A2E06">
        <w:t xml:space="preserve"> notes</w:t>
      </w:r>
      <w:r w:rsidR="006A2E06">
        <w:rPr>
          <w:rStyle w:val="EndnoteReference"/>
        </w:rPr>
        <w:endnoteReference w:id="2434"/>
      </w:r>
      <w:r w:rsidR="006A2E06">
        <w:t xml:space="preserve"> exceeds the percentage of words in the corresponding </w:t>
      </w:r>
      <w:r w:rsidR="006A2E06" w:rsidRPr="003A289A">
        <w:rPr>
          <w:i/>
        </w:rPr>
        <w:t>KJV</w:t>
      </w:r>
      <w:r w:rsidR="006A2E06">
        <w:t xml:space="preserve"> text.</w:t>
      </w:r>
      <w:r w:rsidR="006A2E06">
        <w:rPr>
          <w:rStyle w:val="EndnoteReference"/>
        </w:rPr>
        <w:endnoteReference w:id="2435"/>
      </w:r>
      <w:r w:rsidR="006A2E06">
        <w:t xml:space="preserve">  </w:t>
      </w:r>
    </w:p>
    <w:p w:rsidR="006A2E06" w:rsidRDefault="006A2E06" w:rsidP="006A2E06">
      <w:pPr>
        <w:spacing w:after="60" w:line="240" w:lineRule="auto"/>
        <w:ind w:left="851"/>
        <w:jc w:val="both"/>
      </w:pPr>
      <w:r>
        <w:t xml:space="preserve">In this annotation, many examples of Scofield’s poetic imagination </w:t>
      </w:r>
      <w:r w:rsidRPr="00012B96">
        <w:rPr>
          <w:sz w:val="16"/>
          <w:szCs w:val="24"/>
        </w:rPr>
        <w:t>—</w:t>
      </w:r>
      <w:r>
        <w:t xml:space="preserve"> treatment of text makes no allowance for what may have been original meaning.  </w:t>
      </w:r>
    </w:p>
    <w:p w:rsidR="006A2E06" w:rsidRDefault="006A2E06" w:rsidP="006A2E06">
      <w:pPr>
        <w:spacing w:after="60" w:line="240" w:lineRule="auto"/>
        <w:ind w:left="851"/>
        <w:jc w:val="both"/>
      </w:pPr>
      <w:r>
        <w:t xml:space="preserve">According to </w:t>
      </w:r>
      <w:r w:rsidRPr="005D00B9">
        <w:t>Scofield</w:t>
      </w:r>
      <w:r>
        <w:t>, this book is</w:t>
      </w:r>
      <w:r w:rsidRPr="005D00B9">
        <w:t xml:space="preserve"> ‘mysterious and incomprehensible’ to the ‘unspiritual mind’</w:t>
      </w:r>
      <w:r>
        <w:t>.</w:t>
      </w:r>
      <w:r>
        <w:rPr>
          <w:rStyle w:val="EndnoteReference"/>
        </w:rPr>
        <w:endnoteReference w:id="2436"/>
      </w:r>
      <w:r>
        <w:t xml:space="preserve">  </w:t>
      </w:r>
    </w:p>
    <w:p w:rsidR="006A2E06" w:rsidRDefault="006A2E06" w:rsidP="006A2E06">
      <w:pPr>
        <w:spacing w:after="120" w:line="240" w:lineRule="auto"/>
        <w:ind w:left="851"/>
        <w:jc w:val="both"/>
      </w:pPr>
      <w:r>
        <w:t xml:space="preserve">Posits two interpretations: </w:t>
      </w:r>
    </w:p>
    <w:p w:rsidR="006A2E06" w:rsidRDefault="006A2E06" w:rsidP="006A2E06">
      <w:pPr>
        <w:spacing w:after="120" w:line="240" w:lineRule="auto"/>
        <w:ind w:left="1134"/>
        <w:jc w:val="both"/>
      </w:pPr>
      <w:r>
        <w:t xml:space="preserve">1  Book describes </w:t>
      </w:r>
      <w:r w:rsidRPr="005D00B9">
        <w:t>‘expression of pure marital love as ordained of God in creation and the vindication of that love against both asceticism and lust – the two profanations of the holiness of marriage</w:t>
      </w:r>
      <w:r>
        <w:t xml:space="preserve">’.  </w:t>
      </w:r>
    </w:p>
    <w:p w:rsidR="006A2E06" w:rsidRDefault="006A2E06" w:rsidP="006A2E06">
      <w:pPr>
        <w:spacing w:after="120" w:line="240" w:lineRule="auto"/>
        <w:ind w:left="1418"/>
        <w:jc w:val="both"/>
      </w:pPr>
      <w:r w:rsidRPr="00EF75B0">
        <w:rPr>
          <w:b/>
          <w:i/>
        </w:rPr>
        <w:t>Comment</w:t>
      </w:r>
      <w:r>
        <w:rPr>
          <w:b/>
          <w:i/>
        </w:rPr>
        <w:t xml:space="preserve">: </w:t>
      </w:r>
      <w:r w:rsidRPr="005D00B9">
        <w:t>This is an interesting statement in view of Scofield’s treatment of his own first marriage.</w:t>
      </w:r>
      <w:r>
        <w:rPr>
          <w:rStyle w:val="EndnoteReference"/>
        </w:rPr>
        <w:endnoteReference w:id="2437"/>
      </w:r>
    </w:p>
    <w:p w:rsidR="006A2E06" w:rsidRDefault="006A2E06" w:rsidP="006A2E06">
      <w:pPr>
        <w:spacing w:after="120" w:line="240" w:lineRule="auto"/>
        <w:ind w:left="1134"/>
        <w:jc w:val="both"/>
      </w:pPr>
      <w:r>
        <w:t>2  More important interpretation is ‘of Christ, the Son and His heavenly bride, the Church’.</w:t>
      </w:r>
      <w:r>
        <w:rPr>
          <w:rStyle w:val="EndnoteReference"/>
        </w:rPr>
        <w:endnoteReference w:id="2438"/>
      </w:r>
      <w:r>
        <w:t xml:space="preserve">  </w:t>
      </w:r>
    </w:p>
    <w:p w:rsidR="006A2E06" w:rsidRDefault="006A2E06" w:rsidP="006A2E06">
      <w:pPr>
        <w:spacing w:after="120" w:line="360" w:lineRule="auto"/>
        <w:ind w:right="74"/>
        <w:jc w:val="both"/>
        <w:rPr>
          <w:b/>
        </w:rPr>
      </w:pPr>
      <w:r>
        <w:rPr>
          <w:b/>
        </w:rPr>
        <w:t>8</w:t>
      </w:r>
      <w:r w:rsidRPr="009C1CA0">
        <w:rPr>
          <w:b/>
        </w:rPr>
        <w:t>.3.</w:t>
      </w:r>
      <w:r>
        <w:rPr>
          <w:b/>
        </w:rPr>
        <w:t>1</w:t>
      </w:r>
      <w:r w:rsidRPr="009C1CA0">
        <w:rPr>
          <w:b/>
        </w:rPr>
        <w:t xml:space="preserve">  Psalms</w:t>
      </w:r>
    </w:p>
    <w:p w:rsidR="006A2E06" w:rsidRDefault="006A2E06" w:rsidP="006A2E06">
      <w:pPr>
        <w:spacing w:after="120" w:line="360" w:lineRule="auto"/>
        <w:ind w:right="74"/>
        <w:jc w:val="both"/>
        <w:rPr>
          <w:b/>
          <w:i/>
        </w:rPr>
      </w:pPr>
      <w:r w:rsidRPr="00744D90">
        <w:rPr>
          <w:b/>
          <w:i/>
        </w:rPr>
        <w:t>Introduction</w:t>
      </w:r>
      <w:r>
        <w:rPr>
          <w:b/>
          <w:i/>
        </w:rPr>
        <w:t>: Key Points</w:t>
      </w:r>
      <w:r w:rsidRPr="00744D90">
        <w:rPr>
          <w:rStyle w:val="EndnoteReference"/>
        </w:rPr>
        <w:endnoteReference w:id="2439"/>
      </w:r>
    </w:p>
    <w:p w:rsidR="006A2E06" w:rsidRDefault="006A2E06" w:rsidP="006A2E06">
      <w:pPr>
        <w:spacing w:after="120" w:line="240" w:lineRule="auto"/>
        <w:ind w:left="567" w:right="74"/>
        <w:jc w:val="both"/>
      </w:pPr>
      <w:r w:rsidRPr="00744D90">
        <w:t xml:space="preserve">Psalms are ‘revelations of truth in human experience … revealed in the emotions, desires and sufferings of the people of God’ </w:t>
      </w:r>
    </w:p>
    <w:p w:rsidR="006A2E06" w:rsidRDefault="006A2E06" w:rsidP="006A2E06">
      <w:pPr>
        <w:spacing w:after="120" w:line="240" w:lineRule="auto"/>
        <w:ind w:left="567" w:right="74"/>
        <w:jc w:val="both"/>
      </w:pPr>
      <w:r>
        <w:t>S</w:t>
      </w:r>
      <w:r w:rsidRPr="00744D90">
        <w:t>ome situations described link experiences of the incarnate Christ and of Jewish remnant in tribulation</w:t>
      </w:r>
      <w:r>
        <w:t>, thus</w:t>
      </w:r>
      <w:r w:rsidRPr="00744D90">
        <w:t xml:space="preserve"> many Psalms prophesy ‘the sufferings, faith and victory of both’.  </w:t>
      </w:r>
    </w:p>
    <w:p w:rsidR="006A2E06" w:rsidRDefault="006A2E06" w:rsidP="006A2E06">
      <w:pPr>
        <w:spacing w:after="120" w:line="240" w:lineRule="auto"/>
        <w:ind w:left="567" w:right="74"/>
        <w:jc w:val="both"/>
      </w:pPr>
      <w:r>
        <w:t>Assertion that</w:t>
      </w:r>
      <w:r w:rsidRPr="00744D90">
        <w:t xml:space="preserve"> Psalm 22, ‘the “holy of holies” of the Bible, reveals all that was in the mind of Christ when He uttered the desolate cry “My God, My God, why has Thou forsaken Me?”’  </w:t>
      </w:r>
    </w:p>
    <w:p w:rsidR="006A2E06" w:rsidRDefault="006A2E06" w:rsidP="006A2E06">
      <w:pPr>
        <w:spacing w:after="120" w:line="240" w:lineRule="auto"/>
        <w:ind w:left="1418" w:right="74"/>
        <w:jc w:val="both"/>
      </w:pPr>
      <w:r w:rsidRPr="00366F03">
        <w:rPr>
          <w:b/>
          <w:i/>
        </w:rPr>
        <w:t>Comment</w:t>
      </w:r>
      <w:r>
        <w:t>: This claim is unsustainable cf notes on Pss 102:1 and 118:29.</w:t>
      </w:r>
      <w:r w:rsidRPr="00744D90">
        <w:rPr>
          <w:rStyle w:val="EndnoteReference"/>
        </w:rPr>
        <w:endnoteReference w:id="2440"/>
      </w:r>
    </w:p>
    <w:p w:rsidR="000600F4" w:rsidRPr="000600F4" w:rsidRDefault="000600F4" w:rsidP="006A2E06">
      <w:pPr>
        <w:spacing w:after="120" w:line="240" w:lineRule="auto"/>
        <w:ind w:left="567" w:right="74"/>
        <w:jc w:val="both"/>
        <w:rPr>
          <w:b/>
          <w:i/>
        </w:rPr>
      </w:pPr>
      <w:r w:rsidRPr="000600F4">
        <w:rPr>
          <w:b/>
          <w:i/>
        </w:rPr>
        <w:t>Continued overleaf</w:t>
      </w:r>
    </w:p>
    <w:p w:rsidR="000600F4" w:rsidRDefault="000600F4" w:rsidP="006A2E06">
      <w:pPr>
        <w:spacing w:after="120" w:line="240" w:lineRule="auto"/>
        <w:ind w:left="567" w:right="74"/>
        <w:jc w:val="both"/>
      </w:pPr>
    </w:p>
    <w:p w:rsidR="000600F4" w:rsidRDefault="000600F4" w:rsidP="006A2E06">
      <w:pPr>
        <w:spacing w:after="120" w:line="240" w:lineRule="auto"/>
        <w:ind w:left="567" w:right="74"/>
        <w:jc w:val="both"/>
      </w:pPr>
    </w:p>
    <w:p w:rsidR="006A2E06" w:rsidRDefault="006A2E06" w:rsidP="006A2E06">
      <w:pPr>
        <w:spacing w:after="120" w:line="240" w:lineRule="auto"/>
        <w:ind w:left="567" w:right="74"/>
        <w:jc w:val="both"/>
      </w:pPr>
      <w:r>
        <w:lastRenderedPageBreak/>
        <w:t>Assertion</w:t>
      </w:r>
      <w:r w:rsidRPr="00744D90">
        <w:t xml:space="preserve"> that Psalm 2 presents ‘Jehovah’s Anointed as rejected and crucified</w:t>
      </w:r>
      <w:r w:rsidRPr="00744D90">
        <w:rPr>
          <w:rStyle w:val="EndnoteReference"/>
        </w:rPr>
        <w:endnoteReference w:id="2441"/>
      </w:r>
      <w:r w:rsidRPr="00744D90">
        <w:t xml:space="preserve"> … but afterward set as King in Zion’.</w:t>
      </w:r>
      <w:r w:rsidRPr="00744D90">
        <w:rPr>
          <w:rStyle w:val="EndnoteReference"/>
        </w:rPr>
        <w:endnoteReference w:id="2442"/>
      </w:r>
      <w:r>
        <w:t xml:space="preserve"> </w:t>
      </w:r>
    </w:p>
    <w:p w:rsidR="006A2E06" w:rsidRDefault="006A2E06" w:rsidP="006A2E06">
      <w:pPr>
        <w:spacing w:after="60" w:line="240" w:lineRule="auto"/>
        <w:ind w:left="1418" w:right="74"/>
        <w:jc w:val="both"/>
      </w:pPr>
      <w:r w:rsidRPr="00366F03">
        <w:rPr>
          <w:b/>
          <w:i/>
        </w:rPr>
        <w:t>Comment</w:t>
      </w:r>
      <w:r>
        <w:t>: The f</w:t>
      </w:r>
      <w:r w:rsidRPr="00744D90">
        <w:t xml:space="preserve">irst part of this statement cannot be substantiated since the Psalm concerns the rebellion of the nations rather than suffering, and does not mention crucifixion.  </w:t>
      </w:r>
    </w:p>
    <w:p w:rsidR="006A2E06" w:rsidRDefault="006A2E06" w:rsidP="006A2E06">
      <w:pPr>
        <w:spacing w:after="120" w:line="240" w:lineRule="auto"/>
        <w:ind w:left="1418" w:right="74"/>
        <w:jc w:val="both"/>
      </w:pPr>
      <w:r w:rsidRPr="00C468FE">
        <w:t>Moreover, assuming that the Psalm was written by David and that David lived around 1000 BCE, crucifixion was not a method of execution at the time of the composition of the Psalm.</w:t>
      </w:r>
      <w:r w:rsidRPr="00C468FE">
        <w:rPr>
          <w:rStyle w:val="EndnoteReference"/>
        </w:rPr>
        <w:endnoteReference w:id="2443"/>
      </w:r>
    </w:p>
    <w:p w:rsidR="006A2E06" w:rsidRDefault="006A2E06" w:rsidP="006A2E06">
      <w:pPr>
        <w:spacing w:after="120" w:line="240" w:lineRule="auto"/>
        <w:ind w:left="567" w:right="74"/>
        <w:jc w:val="both"/>
      </w:pPr>
      <w:r>
        <w:t>P</w:t>
      </w:r>
      <w:r w:rsidRPr="00744D90">
        <w:t xml:space="preserve">romises in the Psalms mainly Jewish, but ‘spiritually true in Christian experience also’.  </w:t>
      </w:r>
    </w:p>
    <w:p w:rsidR="006A2E06" w:rsidRDefault="006A2E06" w:rsidP="006A2E06">
      <w:pPr>
        <w:spacing w:after="240" w:line="240" w:lineRule="auto"/>
        <w:ind w:left="567" w:right="74"/>
        <w:jc w:val="both"/>
      </w:pPr>
      <w:r>
        <w:t>U</w:t>
      </w:r>
      <w:r w:rsidRPr="00744D90">
        <w:t>nsuitability of ‘the imprecatory psalms’ for God’s heavenly people.</w:t>
      </w:r>
      <w:r w:rsidRPr="00744D90">
        <w:rPr>
          <w:rStyle w:val="EndnoteReference"/>
        </w:rPr>
        <w:endnoteReference w:id="2444"/>
      </w:r>
    </w:p>
    <w:p w:rsidR="006A2E06" w:rsidRDefault="006A2E06" w:rsidP="006A2E06">
      <w:pPr>
        <w:spacing w:after="120" w:line="360" w:lineRule="auto"/>
        <w:ind w:right="74"/>
        <w:jc w:val="center"/>
        <w:rPr>
          <w:b/>
        </w:rPr>
      </w:pPr>
      <w:r>
        <w:rPr>
          <w:b/>
          <w:noProof/>
          <w:lang w:eastAsia="en-GB"/>
        </w:rPr>
        <w:drawing>
          <wp:inline distT="0" distB="0" distL="0" distR="0" wp14:anchorId="2C5A0BC9" wp14:editId="1582DD69">
            <wp:extent cx="5400040" cy="367982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lms graph rev 8.3.18 crop.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00040" cy="3679825"/>
                    </a:xfrm>
                    <a:prstGeom prst="rect">
                      <a:avLst/>
                    </a:prstGeom>
                  </pic:spPr>
                </pic:pic>
              </a:graphicData>
            </a:graphic>
          </wp:inline>
        </w:drawing>
      </w:r>
    </w:p>
    <w:p w:rsidR="006A2E06" w:rsidRDefault="006A2E06" w:rsidP="006A2E06">
      <w:pPr>
        <w:spacing w:after="120" w:line="360" w:lineRule="auto"/>
        <w:ind w:right="74"/>
        <w:jc w:val="center"/>
        <w:rPr>
          <w:b/>
        </w:rPr>
      </w:pPr>
      <w:r>
        <w:rPr>
          <w:b/>
          <w:noProof/>
          <w:lang w:eastAsia="en-GB"/>
        </w:rPr>
        <w:drawing>
          <wp:inline distT="0" distB="0" distL="0" distR="0" wp14:anchorId="5874D23F" wp14:editId="14B29135">
            <wp:extent cx="5400040" cy="80200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lms title 8.3.18 crop.jpg"/>
                    <pic:cNvPicPr/>
                  </pic:nvPicPr>
                  <pic:blipFill>
                    <a:blip r:embed="rId157">
                      <a:extLst>
                        <a:ext uri="{28A0092B-C50C-407E-A947-70E740481C1C}">
                          <a14:useLocalDpi xmlns:a14="http://schemas.microsoft.com/office/drawing/2010/main" val="0"/>
                        </a:ext>
                      </a:extLst>
                    </a:blip>
                    <a:stretch>
                      <a:fillRect/>
                    </a:stretch>
                  </pic:blipFill>
                  <pic:spPr>
                    <a:xfrm>
                      <a:off x="0" y="0"/>
                      <a:ext cx="5400040" cy="802005"/>
                    </a:xfrm>
                    <a:prstGeom prst="rect">
                      <a:avLst/>
                    </a:prstGeom>
                  </pic:spPr>
                </pic:pic>
              </a:graphicData>
            </a:graphic>
          </wp:inline>
        </w:drawing>
      </w:r>
    </w:p>
    <w:p w:rsidR="006A2E06" w:rsidRDefault="006A2E06" w:rsidP="006A2E06">
      <w:pPr>
        <w:spacing w:after="0" w:line="240" w:lineRule="auto"/>
        <w:ind w:right="74"/>
        <w:jc w:val="center"/>
        <w:rPr>
          <w:b/>
        </w:rPr>
      </w:pPr>
    </w:p>
    <w:p w:rsidR="006A2E06" w:rsidRDefault="006A2E06" w:rsidP="006A2E06">
      <w:pPr>
        <w:spacing w:after="120" w:line="360" w:lineRule="auto"/>
        <w:ind w:right="74"/>
        <w:rPr>
          <w:b/>
        </w:rPr>
      </w:pPr>
    </w:p>
    <w:p w:rsidR="006A2E06" w:rsidRDefault="006A2E06" w:rsidP="006A2E06">
      <w:pPr>
        <w:spacing w:after="120" w:line="360" w:lineRule="auto"/>
        <w:ind w:right="74"/>
        <w:jc w:val="center"/>
        <w:rPr>
          <w:b/>
        </w:rPr>
      </w:pPr>
    </w:p>
    <w:p w:rsidR="007B3FD3" w:rsidRDefault="007B3FD3" w:rsidP="006A2E06">
      <w:pPr>
        <w:spacing w:after="120" w:line="360" w:lineRule="auto"/>
        <w:ind w:right="74"/>
        <w:jc w:val="center"/>
        <w:rPr>
          <w:b/>
        </w:rPr>
      </w:pPr>
    </w:p>
    <w:p w:rsidR="007B3FD3" w:rsidRDefault="007B3FD3" w:rsidP="006A2E06">
      <w:pPr>
        <w:spacing w:after="120" w:line="360" w:lineRule="auto"/>
        <w:ind w:right="74"/>
        <w:jc w:val="center"/>
        <w:rPr>
          <w:b/>
        </w:rPr>
      </w:pPr>
    </w:p>
    <w:p w:rsidR="007B3FD3" w:rsidRDefault="007B3FD3" w:rsidP="006A2E06">
      <w:pPr>
        <w:spacing w:after="120" w:line="360" w:lineRule="auto"/>
        <w:ind w:right="74"/>
        <w:jc w:val="center"/>
        <w:rPr>
          <w:b/>
        </w:rPr>
      </w:pPr>
    </w:p>
    <w:p w:rsidR="007B3FD3" w:rsidRDefault="007B3FD3" w:rsidP="006A2E06">
      <w:pPr>
        <w:spacing w:after="120" w:line="360" w:lineRule="auto"/>
        <w:ind w:right="74"/>
        <w:jc w:val="center"/>
        <w:rPr>
          <w:b/>
        </w:rPr>
      </w:pPr>
      <w:r>
        <w:rPr>
          <w:b/>
          <w:noProof/>
          <w:lang w:eastAsia="en-GB"/>
        </w:rPr>
        <w:lastRenderedPageBreak/>
        <w:drawing>
          <wp:inline distT="0" distB="0" distL="0" distR="0">
            <wp:extent cx="5400040" cy="7391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lms  themes rev 25.6.18 crop.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00040" cy="7391400"/>
                    </a:xfrm>
                    <a:prstGeom prst="rect">
                      <a:avLst/>
                    </a:prstGeom>
                  </pic:spPr>
                </pic:pic>
              </a:graphicData>
            </a:graphic>
          </wp:inline>
        </w:drawing>
      </w:r>
    </w:p>
    <w:p w:rsidR="006A2E06" w:rsidRDefault="006A2E06" w:rsidP="006A2E06">
      <w:pPr>
        <w:spacing w:after="120" w:line="360" w:lineRule="auto"/>
        <w:jc w:val="both"/>
        <w:rPr>
          <w:b/>
          <w:i/>
        </w:rPr>
      </w:pPr>
      <w:r>
        <w:rPr>
          <w:b/>
          <w:i/>
        </w:rPr>
        <w:t xml:space="preserve">Annotation: Key Points </w:t>
      </w:r>
    </w:p>
    <w:p w:rsidR="006A2E06" w:rsidRDefault="006A2E06" w:rsidP="006A2E06">
      <w:pPr>
        <w:spacing w:after="120" w:line="240" w:lineRule="auto"/>
        <w:ind w:left="567"/>
        <w:jc w:val="both"/>
      </w:pPr>
      <w:r>
        <w:t>Only 24 psalms out of 150 annotated.</w:t>
      </w:r>
      <w:r w:rsidRPr="000E15FF">
        <w:rPr>
          <w:rStyle w:val="EndnoteReference"/>
        </w:rPr>
        <w:endnoteReference w:id="2445"/>
      </w:r>
    </w:p>
    <w:p w:rsidR="006A2E06" w:rsidRDefault="006A2E06" w:rsidP="006A2E06">
      <w:pPr>
        <w:spacing w:after="120" w:line="240" w:lineRule="auto"/>
        <w:ind w:left="567"/>
        <w:jc w:val="both"/>
      </w:pPr>
      <w:r>
        <w:t>S</w:t>
      </w:r>
      <w:r w:rsidRPr="000E15FF">
        <w:t xml:space="preserve">everal notes only give </w:t>
      </w:r>
      <w:r w:rsidRPr="000E15FF">
        <w:rPr>
          <w:i/>
        </w:rPr>
        <w:t>excursi</w:t>
      </w:r>
      <w:r w:rsidRPr="000E15FF">
        <w:t xml:space="preserve"> on single words in Psalm headings</w:t>
      </w:r>
      <w:r w:rsidRPr="000E15FF">
        <w:rPr>
          <w:rStyle w:val="EndnoteReference"/>
        </w:rPr>
        <w:endnoteReference w:id="2446"/>
      </w:r>
      <w:r w:rsidRPr="000E15FF">
        <w:t xml:space="preserve"> </w:t>
      </w:r>
      <w:r>
        <w:t>or add comment on one other verse.</w:t>
      </w:r>
      <w:r w:rsidRPr="000E15FF">
        <w:rPr>
          <w:rStyle w:val="EndnoteReference"/>
        </w:rPr>
        <w:endnoteReference w:id="2447"/>
      </w:r>
    </w:p>
    <w:p w:rsidR="006A2E06" w:rsidRDefault="006A2E06" w:rsidP="006A2E06">
      <w:pPr>
        <w:spacing w:after="120" w:line="240" w:lineRule="auto"/>
        <w:ind w:left="567"/>
        <w:jc w:val="both"/>
      </w:pPr>
      <w:r>
        <w:t>Concentration on ‘Messianic psalms’</w:t>
      </w:r>
      <w:r w:rsidRPr="000E15FF">
        <w:rPr>
          <w:rStyle w:val="EndnoteReference"/>
        </w:rPr>
        <w:endnoteReference w:id="2448"/>
      </w:r>
      <w:r>
        <w:t xml:space="preserve"> and Psalm 51.</w:t>
      </w:r>
      <w:r w:rsidRPr="000E15FF">
        <w:t xml:space="preserve"> </w:t>
      </w:r>
    </w:p>
    <w:p w:rsidR="006A2E06" w:rsidRDefault="006A2E06" w:rsidP="006A2E06">
      <w:pPr>
        <w:spacing w:after="120" w:line="240" w:lineRule="auto"/>
        <w:ind w:left="567"/>
        <w:jc w:val="both"/>
      </w:pPr>
      <w:r>
        <w:lastRenderedPageBreak/>
        <w:t>H</w:t>
      </w:r>
      <w:r w:rsidRPr="000E15FF">
        <w:t>ighest proportion of notes compared to the text in note on Psalm 110</w:t>
      </w:r>
      <w:r>
        <w:t>; assertion</w:t>
      </w:r>
      <w:r w:rsidRPr="000E15FF">
        <w:t xml:space="preserve"> </w:t>
      </w:r>
      <w:r>
        <w:t xml:space="preserve">that its </w:t>
      </w:r>
      <w:r w:rsidRPr="000E15FF">
        <w:t xml:space="preserve">importance </w:t>
      </w:r>
      <w:r>
        <w:t xml:space="preserve">is </w:t>
      </w:r>
      <w:r w:rsidRPr="000E15FF">
        <w:t>attested by prominence in the New Testament.</w:t>
      </w:r>
      <w:r w:rsidRPr="000E15FF">
        <w:rPr>
          <w:rStyle w:val="EndnoteReference"/>
        </w:rPr>
        <w:endnoteReference w:id="2449"/>
      </w:r>
      <w:r w:rsidRPr="000E15FF">
        <w:t xml:space="preserve">  </w:t>
      </w:r>
    </w:p>
    <w:p w:rsidR="006A2E06" w:rsidRDefault="006A2E06" w:rsidP="006A2E06">
      <w:pPr>
        <w:spacing w:after="120" w:line="240" w:lineRule="auto"/>
        <w:ind w:left="567"/>
        <w:jc w:val="both"/>
      </w:pPr>
      <w:r>
        <w:t xml:space="preserve">Eschatological </w:t>
      </w:r>
      <w:r w:rsidRPr="000E15FF">
        <w:t xml:space="preserve">themes </w:t>
      </w:r>
      <w:r>
        <w:t>prominent</w:t>
      </w:r>
      <w:r w:rsidRPr="000E15FF">
        <w:t>: Messianic kingdom,</w:t>
      </w:r>
      <w:r w:rsidRPr="000E15FF">
        <w:rPr>
          <w:rStyle w:val="EndnoteReference"/>
        </w:rPr>
        <w:endnoteReference w:id="2450"/>
      </w:r>
      <w:r w:rsidRPr="000E15FF">
        <w:t xml:space="preserve"> </w:t>
      </w:r>
      <w:r>
        <w:t xml:space="preserve">including </w:t>
      </w:r>
      <w:r w:rsidRPr="000E15FF">
        <w:t>Christ’s dominion over ‘redeemed creation’</w:t>
      </w:r>
      <w:r w:rsidRPr="000E15FF">
        <w:rPr>
          <w:rStyle w:val="EndnoteReference"/>
        </w:rPr>
        <w:endnoteReference w:id="2451"/>
      </w:r>
      <w:r>
        <w:t xml:space="preserve"> and </w:t>
      </w:r>
      <w:r w:rsidRPr="000E15FF">
        <w:t>over the whole earth,</w:t>
      </w:r>
      <w:r w:rsidRPr="000E15FF">
        <w:rPr>
          <w:rStyle w:val="EndnoteReference"/>
        </w:rPr>
        <w:endnoteReference w:id="2452"/>
      </w:r>
      <w:r w:rsidRPr="000E15FF">
        <w:t xml:space="preserve"> and t</w:t>
      </w:r>
      <w:r>
        <w:t>o his exaltation in the kingdom;</w:t>
      </w:r>
      <w:r w:rsidRPr="000E15FF">
        <w:rPr>
          <w:rStyle w:val="EndnoteReference"/>
        </w:rPr>
        <w:endnoteReference w:id="2453"/>
      </w:r>
      <w:r>
        <w:t xml:space="preserve"> also </w:t>
      </w:r>
      <w:r w:rsidRPr="000E15FF">
        <w:t xml:space="preserve">fulfilment of Davidic Covenant, Israel’s future, and Christ’s second coming, including his future glory.  </w:t>
      </w:r>
    </w:p>
    <w:p w:rsidR="006A2E06" w:rsidRDefault="006A2E06" w:rsidP="006A2E06">
      <w:pPr>
        <w:spacing w:after="120" w:line="240" w:lineRule="auto"/>
        <w:ind w:left="567"/>
        <w:jc w:val="both"/>
      </w:pPr>
      <w:r>
        <w:t>Stress on the Jewish nature of the kingdom:</w:t>
      </w:r>
    </w:p>
    <w:p w:rsidR="006A2E06" w:rsidRDefault="006A2E06" w:rsidP="006A2E06">
      <w:pPr>
        <w:spacing w:after="120" w:line="240" w:lineRule="auto"/>
        <w:ind w:left="851"/>
        <w:jc w:val="both"/>
      </w:pPr>
      <w:r w:rsidRPr="000E15FF">
        <w:t>Christ will appear as ‘the Deliverer out of Zion’</w:t>
      </w:r>
      <w:r>
        <w:t xml:space="preserve"> and Gentile powers </w:t>
      </w:r>
      <w:r w:rsidRPr="000E15FF">
        <w:t>will be judged before the establishment of the kingdom.</w:t>
      </w:r>
      <w:r w:rsidRPr="000E15FF">
        <w:rPr>
          <w:rStyle w:val="EndnoteReference"/>
        </w:rPr>
        <w:endnoteReference w:id="2454"/>
      </w:r>
    </w:p>
    <w:p w:rsidR="006A2E06" w:rsidRPr="000E15FF" w:rsidRDefault="006A2E06" w:rsidP="006A2E06">
      <w:pPr>
        <w:spacing w:after="120" w:line="240" w:lineRule="auto"/>
        <w:ind w:left="851"/>
        <w:jc w:val="both"/>
        <w:rPr>
          <w:b/>
          <w:i/>
        </w:rPr>
      </w:pPr>
      <w:r>
        <w:t>The k</w:t>
      </w:r>
      <w:r w:rsidRPr="000E15FF">
        <w:t>ingdom will be preceded by the tribulation, which fulfils ‘the vexation’ of Ps. 2:5.</w:t>
      </w:r>
      <w:r w:rsidRPr="000E15FF">
        <w:rPr>
          <w:rStyle w:val="EndnoteReference"/>
        </w:rPr>
        <w:endnoteReference w:id="2455"/>
      </w:r>
    </w:p>
    <w:p w:rsidR="006A2E06" w:rsidRDefault="006A2E06" w:rsidP="006A2E06">
      <w:pPr>
        <w:spacing w:after="120" w:line="240" w:lineRule="auto"/>
        <w:ind w:left="851" w:right="74"/>
        <w:jc w:val="both"/>
        <w:rPr>
          <w:szCs w:val="18"/>
        </w:rPr>
      </w:pPr>
      <w:r w:rsidRPr="000E15FF">
        <w:t xml:space="preserve">‘Dispensationally’, repentance </w:t>
      </w:r>
      <w:r w:rsidRPr="000E15FF">
        <w:rPr>
          <w:szCs w:val="18"/>
        </w:rPr>
        <w:t>‘will be the pathway of returning Israel’, though it is also the ‘mould of the experience of a sinning saint’.</w:t>
      </w:r>
      <w:r w:rsidRPr="000E15FF">
        <w:rPr>
          <w:rStyle w:val="EndnoteReference"/>
          <w:szCs w:val="18"/>
        </w:rPr>
        <w:endnoteReference w:id="2456"/>
      </w:r>
      <w:r w:rsidRPr="000E15FF">
        <w:rPr>
          <w:szCs w:val="18"/>
        </w:rPr>
        <w:t xml:space="preserve">  </w:t>
      </w:r>
    </w:p>
    <w:p w:rsidR="006A2E06" w:rsidRDefault="006A2E06" w:rsidP="006A2E06">
      <w:pPr>
        <w:spacing w:after="120" w:line="240" w:lineRule="auto"/>
        <w:ind w:left="851" w:right="74"/>
        <w:jc w:val="both"/>
        <w:rPr>
          <w:szCs w:val="18"/>
        </w:rPr>
      </w:pPr>
      <w:r w:rsidRPr="000E15FF">
        <w:rPr>
          <w:szCs w:val="18"/>
        </w:rPr>
        <w:t>Israel will be regathered and the Beast and his armies destroyed.</w:t>
      </w:r>
      <w:r w:rsidRPr="000E15FF">
        <w:rPr>
          <w:rStyle w:val="EndnoteReference"/>
        </w:rPr>
        <w:endnoteReference w:id="2457"/>
      </w:r>
      <w:r w:rsidRPr="000E15FF">
        <w:rPr>
          <w:szCs w:val="18"/>
        </w:rPr>
        <w:t xml:space="preserve">  </w:t>
      </w:r>
    </w:p>
    <w:p w:rsidR="006A2E06" w:rsidRDefault="006A2E06" w:rsidP="006A2E06">
      <w:pPr>
        <w:spacing w:after="120" w:line="240" w:lineRule="auto"/>
        <w:ind w:left="851" w:right="74"/>
        <w:jc w:val="both"/>
        <w:rPr>
          <w:szCs w:val="18"/>
        </w:rPr>
      </w:pPr>
      <w:r>
        <w:rPr>
          <w:szCs w:val="18"/>
        </w:rPr>
        <w:t>‘Imprecatory’ verses of Ps. 69:22-8 relate to Israel’s present judicial blindness</w:t>
      </w:r>
      <w:r w:rsidRPr="000E15FF">
        <w:rPr>
          <w:rStyle w:val="EndnoteReference"/>
        </w:rPr>
        <w:endnoteReference w:id="2458"/>
      </w:r>
      <w:r>
        <w:rPr>
          <w:szCs w:val="18"/>
        </w:rPr>
        <w:t xml:space="preserve"> </w:t>
      </w:r>
    </w:p>
    <w:p w:rsidR="006A2E06" w:rsidRPr="000E15FF" w:rsidRDefault="006A2E06" w:rsidP="006A2E06">
      <w:pPr>
        <w:spacing w:after="120" w:line="240" w:lineRule="auto"/>
        <w:ind w:left="851" w:right="74"/>
        <w:jc w:val="both"/>
        <w:rPr>
          <w:i/>
          <w:szCs w:val="18"/>
        </w:rPr>
      </w:pPr>
      <w:r>
        <w:rPr>
          <w:szCs w:val="18"/>
        </w:rPr>
        <w:t>Fulfilment of Davidic Covenant anticipated</w:t>
      </w:r>
      <w:r w:rsidRPr="000E15FF">
        <w:rPr>
          <w:rStyle w:val="EndnoteReference"/>
        </w:rPr>
        <w:endnoteReference w:id="2459"/>
      </w:r>
      <w:r>
        <w:rPr>
          <w:szCs w:val="18"/>
        </w:rPr>
        <w:t xml:space="preserve"> but warnings of chastening in response to </w:t>
      </w:r>
      <w:r w:rsidRPr="000E15FF">
        <w:t>disobedience; this began with the captivities and continues with Israel’s subjection to Gentile rule.</w:t>
      </w:r>
      <w:r w:rsidRPr="000E15FF">
        <w:rPr>
          <w:rStyle w:val="EndnoteReference"/>
        </w:rPr>
        <w:endnoteReference w:id="2460"/>
      </w:r>
    </w:p>
    <w:p w:rsidR="006A2E06" w:rsidRDefault="006A2E06" w:rsidP="006A2E06">
      <w:pPr>
        <w:spacing w:after="120" w:line="240" w:lineRule="auto"/>
        <w:ind w:left="851" w:right="74"/>
        <w:jc w:val="both"/>
      </w:pPr>
      <w:r>
        <w:rPr>
          <w:noProof/>
          <w:lang w:eastAsia="en-GB"/>
        </w:rPr>
        <w:t xml:space="preserve">Identification of Psalms </w:t>
      </w:r>
      <w:r>
        <w:t>with Christ’s suffering during his first advent</w:t>
      </w:r>
    </w:p>
    <w:p w:rsidR="006A2E06" w:rsidRDefault="006A2E06" w:rsidP="006A2E06">
      <w:pPr>
        <w:spacing w:after="120" w:line="240" w:lineRule="auto"/>
        <w:ind w:left="851" w:right="74"/>
        <w:jc w:val="both"/>
      </w:pPr>
      <w:r>
        <w:t>Antagonism against Jehovah’s anointed in Ps. 2:1-3 is fulfilled in the crucifixion,</w:t>
      </w:r>
      <w:r>
        <w:rPr>
          <w:rStyle w:val="EndnoteReference"/>
        </w:rPr>
        <w:endnoteReference w:id="2461"/>
      </w:r>
    </w:p>
    <w:p w:rsidR="006A2E06" w:rsidRDefault="006A2E06" w:rsidP="006A2E06">
      <w:pPr>
        <w:spacing w:after="120" w:line="240" w:lineRule="auto"/>
        <w:ind w:left="851" w:right="74"/>
        <w:jc w:val="both"/>
      </w:pPr>
      <w:r>
        <w:t>Assertion that Ps. 69:21 also refers to the crucifixion</w:t>
      </w:r>
      <w:r>
        <w:rPr>
          <w:rStyle w:val="EndnoteReference"/>
        </w:rPr>
        <w:endnoteReference w:id="2462"/>
      </w:r>
    </w:p>
    <w:p w:rsidR="006A2E06" w:rsidRDefault="006A2E06" w:rsidP="006A2E06">
      <w:pPr>
        <w:spacing w:after="120" w:line="240" w:lineRule="auto"/>
        <w:ind w:left="851" w:right="74"/>
        <w:jc w:val="both"/>
      </w:pPr>
      <w:r>
        <w:t xml:space="preserve">Assertion that Psalm 22 is ‘a graphic picture of death by crucifixion’ </w:t>
      </w:r>
    </w:p>
    <w:p w:rsidR="006A2E06" w:rsidRDefault="006A2E06" w:rsidP="006A2E06">
      <w:pPr>
        <w:spacing w:after="120" w:line="240" w:lineRule="auto"/>
        <w:ind w:left="851" w:right="74"/>
        <w:jc w:val="both"/>
      </w:pPr>
      <w:r>
        <w:t>Claim that elements in Ps. 22: 1-2, 6-8 and 12-18, were directly fulfilled in Matthew 27.</w:t>
      </w:r>
      <w:r>
        <w:rPr>
          <w:rStyle w:val="EndnoteReference"/>
        </w:rPr>
        <w:endnoteReference w:id="2463"/>
      </w:r>
    </w:p>
    <w:p w:rsidR="006A2E06" w:rsidRPr="001603EF" w:rsidRDefault="006A2E06" w:rsidP="006A2E06">
      <w:pPr>
        <w:spacing w:after="240" w:line="240" w:lineRule="auto"/>
        <w:ind w:left="567" w:right="74" w:hanging="567"/>
        <w:jc w:val="both"/>
        <w:rPr>
          <w:b/>
          <w:i/>
        </w:rPr>
      </w:pPr>
      <w:r w:rsidRPr="001603EF">
        <w:rPr>
          <w:b/>
          <w:i/>
        </w:rPr>
        <w:t>Comment</w:t>
      </w:r>
    </w:p>
    <w:p w:rsidR="006A2E06" w:rsidRDefault="006A2E06" w:rsidP="006A2E06">
      <w:pPr>
        <w:spacing w:after="120" w:line="360" w:lineRule="auto"/>
        <w:ind w:right="74"/>
        <w:jc w:val="both"/>
      </w:pPr>
      <w:r>
        <w:t>Scofield is correct in saying that crucifixion was not a Jewish method of execution</w:t>
      </w:r>
      <w:r>
        <w:rPr>
          <w:rStyle w:val="EndnoteReference"/>
        </w:rPr>
        <w:endnoteReference w:id="2464"/>
      </w:r>
      <w:r>
        <w:t xml:space="preserve"> but his assertion that this proves irresistible inspiration does not follow from this observation.  Scofield’s claim in several notes</w:t>
      </w:r>
      <w:r>
        <w:rPr>
          <w:rStyle w:val="EndnoteReference"/>
        </w:rPr>
        <w:endnoteReference w:id="2465"/>
      </w:r>
      <w:r>
        <w:t xml:space="preserve"> that the Messianic Psalms give Christ’s inner thoughts cannot be justified and must result from surmise.  </w:t>
      </w:r>
    </w:p>
    <w:p w:rsidR="006A2E06" w:rsidRPr="009C1CA0" w:rsidRDefault="006A2E06" w:rsidP="006A2E06">
      <w:pPr>
        <w:spacing w:after="120" w:line="360" w:lineRule="auto"/>
        <w:ind w:right="74"/>
        <w:jc w:val="both"/>
        <w:rPr>
          <w:b/>
        </w:rPr>
      </w:pPr>
      <w:r>
        <w:rPr>
          <w:b/>
        </w:rPr>
        <w:t>8</w:t>
      </w:r>
      <w:r w:rsidRPr="009C1CA0">
        <w:rPr>
          <w:b/>
        </w:rPr>
        <w:t>.3.</w:t>
      </w:r>
      <w:r>
        <w:rPr>
          <w:b/>
        </w:rPr>
        <w:t>2</w:t>
      </w:r>
      <w:r w:rsidRPr="009C1CA0">
        <w:rPr>
          <w:b/>
        </w:rPr>
        <w:t xml:space="preserve">  Conclusion: </w:t>
      </w:r>
      <w:r w:rsidR="00756EB6">
        <w:rPr>
          <w:b/>
        </w:rPr>
        <w:t>Notes on t</w:t>
      </w:r>
      <w:r w:rsidRPr="009C1CA0">
        <w:rPr>
          <w:b/>
        </w:rPr>
        <w:t>he ‘Poetical Books</w:t>
      </w:r>
      <w:r w:rsidR="003913AC">
        <w:rPr>
          <w:b/>
        </w:rPr>
        <w:t>’</w:t>
      </w:r>
    </w:p>
    <w:p w:rsidR="006A2E06" w:rsidRDefault="006A2E06" w:rsidP="006A2E06">
      <w:pPr>
        <w:spacing w:after="120" w:line="360" w:lineRule="auto"/>
        <w:ind w:right="74"/>
        <w:jc w:val="both"/>
      </w:pPr>
      <w:r>
        <w:t xml:space="preserve">It is only in his notes on Psalms that Scofield includes any material which is significant in supporting some of his main themes: the eschatological kingdom, Christ’s fulfilment of the Davidic Covenant and his first and second advents, and Israel’s eschatological future.  The notes on Job, Proverbs and Ecclesiastes are insubstantial.  Those on Song of Songs do not add anything to support Scofield’s concepts but reinforce the impression that Scofield sees the Old Testament mainly as a source for the New, rather than as an entity with its own contextual interpretative possibilities.  </w:t>
      </w:r>
    </w:p>
    <w:p w:rsidR="006A2E06" w:rsidRDefault="006A2E06" w:rsidP="006A2E06">
      <w:pPr>
        <w:spacing w:after="120" w:line="360" w:lineRule="auto"/>
        <w:ind w:right="74"/>
        <w:jc w:val="both"/>
        <w:rPr>
          <w:b/>
          <w:color w:val="000000"/>
        </w:rPr>
      </w:pPr>
      <w:bookmarkStart w:id="17" w:name="Prophetsiv"/>
      <w:bookmarkEnd w:id="17"/>
      <w:r>
        <w:rPr>
          <w:b/>
          <w:color w:val="000000"/>
        </w:rPr>
        <w:t>8</w:t>
      </w:r>
      <w:r w:rsidR="00710C9C">
        <w:rPr>
          <w:b/>
          <w:color w:val="000000"/>
        </w:rPr>
        <w:t>.4  The ‘Prophetical</w:t>
      </w:r>
      <w:r w:rsidRPr="004654E2">
        <w:rPr>
          <w:b/>
          <w:color w:val="000000"/>
        </w:rPr>
        <w:t xml:space="preserve"> Books</w:t>
      </w:r>
      <w:r w:rsidR="00710C9C">
        <w:rPr>
          <w:b/>
          <w:color w:val="000000"/>
        </w:rPr>
        <w:t>’</w:t>
      </w:r>
    </w:p>
    <w:p w:rsidR="00B4627D" w:rsidRPr="00592EDA" w:rsidRDefault="006A2E06" w:rsidP="00B4627D">
      <w:pPr>
        <w:spacing w:after="120" w:line="360" w:lineRule="auto"/>
        <w:ind w:right="74"/>
        <w:jc w:val="both"/>
      </w:pPr>
      <w:r w:rsidRPr="004A79F9">
        <w:rPr>
          <w:color w:val="000000"/>
          <w:spacing w:val="-2"/>
        </w:rPr>
        <w:t xml:space="preserve">Of the major prophets, it is only Daniel which receives coverage greatly in excess of its volume in the biblical text.  Notes on Isaiah approach parity in volume with the text but those on Jeremiah and Ezekiel fall </w:t>
      </w:r>
      <w:r w:rsidRPr="004A79F9">
        <w:rPr>
          <w:color w:val="000000"/>
          <w:spacing w:val="-2"/>
        </w:rPr>
        <w:lastRenderedPageBreak/>
        <w:t xml:space="preserve">well below this.  Conversely, the </w:t>
      </w:r>
      <w:r w:rsidR="003C7617">
        <w:rPr>
          <w:color w:val="000000"/>
          <w:spacing w:val="-2"/>
        </w:rPr>
        <w:t xml:space="preserve">volume of </w:t>
      </w:r>
      <w:r w:rsidRPr="004A79F9">
        <w:rPr>
          <w:color w:val="000000"/>
          <w:spacing w:val="-2"/>
        </w:rPr>
        <w:t xml:space="preserve">notes on Zechariah </w:t>
      </w:r>
      <w:r w:rsidR="003C7617">
        <w:rPr>
          <w:color w:val="000000"/>
          <w:spacing w:val="-2"/>
        </w:rPr>
        <w:t>is</w:t>
      </w:r>
      <w:r w:rsidRPr="004A79F9">
        <w:rPr>
          <w:color w:val="000000"/>
          <w:spacing w:val="-2"/>
        </w:rPr>
        <w:t xml:space="preserve"> well in excess of the volume of this text in </w:t>
      </w:r>
      <w:r w:rsidRPr="004A79F9">
        <w:rPr>
          <w:i/>
          <w:color w:val="000000"/>
          <w:spacing w:val="-2"/>
        </w:rPr>
        <w:t>KJV</w:t>
      </w:r>
      <w:r w:rsidRPr="004A79F9">
        <w:rPr>
          <w:color w:val="000000"/>
          <w:spacing w:val="-2"/>
        </w:rPr>
        <w:t>.</w:t>
      </w:r>
      <w:r w:rsidR="00B4627D">
        <w:rPr>
          <w:color w:val="000000"/>
          <w:spacing w:val="-2"/>
        </w:rPr>
        <w:t xml:space="preserve">  </w:t>
      </w:r>
      <w:r w:rsidR="00B4627D" w:rsidRPr="00592EDA">
        <w:t xml:space="preserve">In the group of books known as the minor prophets, </w:t>
      </w:r>
      <w:r w:rsidR="00B4627D" w:rsidRPr="00592EDA">
        <w:rPr>
          <w:i/>
        </w:rPr>
        <w:t>SRB</w:t>
      </w:r>
      <w:r w:rsidR="00B4627D" w:rsidRPr="00592EDA">
        <w:t xml:space="preserve"> provides significant amounts of commentary compared to volume of </w:t>
      </w:r>
      <w:r w:rsidR="00B4627D" w:rsidRPr="00592EDA">
        <w:rPr>
          <w:i/>
        </w:rPr>
        <w:t>KJV</w:t>
      </w:r>
      <w:r w:rsidR="00B4627D" w:rsidRPr="00592EDA">
        <w:t xml:space="preserve"> text only on Zechariah and Malachi.  The proportion of commentary on Joel, Micah and Habakkuk also exceeds that of </w:t>
      </w:r>
      <w:r w:rsidR="00B4627D" w:rsidRPr="00592EDA">
        <w:rPr>
          <w:i/>
        </w:rPr>
        <w:t>KJV</w:t>
      </w:r>
      <w:r w:rsidR="00B4627D" w:rsidRPr="00592EDA">
        <w:t xml:space="preserve"> text, however.</w:t>
      </w:r>
      <w:r w:rsidR="00B4627D" w:rsidRPr="00592EDA">
        <w:rPr>
          <w:rStyle w:val="EndnoteReference"/>
        </w:rPr>
        <w:endnoteReference w:id="2466"/>
      </w:r>
      <w:r w:rsidR="00B4627D" w:rsidRPr="00592EDA">
        <w:t xml:space="preserve">  There is very little commentary on several books,</w:t>
      </w:r>
      <w:r w:rsidR="00B4627D" w:rsidRPr="00592EDA">
        <w:rPr>
          <w:rStyle w:val="EndnoteReference"/>
        </w:rPr>
        <w:endnoteReference w:id="2467"/>
      </w:r>
      <w:r w:rsidR="00B4627D" w:rsidRPr="00592EDA">
        <w:t xml:space="preserve"> and none on Obadiah.  </w:t>
      </w:r>
    </w:p>
    <w:p w:rsidR="006A2E06" w:rsidRPr="000E6DD4" w:rsidRDefault="006A2E06" w:rsidP="006A2E06">
      <w:pPr>
        <w:spacing w:after="120" w:line="360" w:lineRule="auto"/>
        <w:ind w:right="74"/>
        <w:jc w:val="both"/>
        <w:rPr>
          <w:b/>
          <w:i/>
          <w:color w:val="000000"/>
        </w:rPr>
      </w:pPr>
      <w:r w:rsidRPr="000E6DD4">
        <w:rPr>
          <w:b/>
          <w:i/>
          <w:color w:val="000000"/>
        </w:rPr>
        <w:t>Introduction</w:t>
      </w:r>
      <w:r>
        <w:rPr>
          <w:rStyle w:val="EndnoteReference"/>
        </w:rPr>
        <w:endnoteReference w:id="2468"/>
      </w:r>
    </w:p>
    <w:p w:rsidR="006A2E06" w:rsidRDefault="006A2E06" w:rsidP="006A2E06">
      <w:pPr>
        <w:spacing w:after="120" w:line="360" w:lineRule="auto"/>
        <w:jc w:val="both"/>
      </w:pPr>
      <w:r>
        <w:t xml:space="preserve">It is significant that this introduction occupies more than a page of small print in </w:t>
      </w:r>
      <w:r w:rsidRPr="002E0649">
        <w:rPr>
          <w:i/>
        </w:rPr>
        <w:t>SRB</w:t>
      </w:r>
      <w:r>
        <w:t xml:space="preserve">; this indicates the importance Scofield attaches to prophecy but it is noteworthy that in </w:t>
      </w:r>
      <w:r w:rsidRPr="005D00B9">
        <w:t xml:space="preserve">neither his general introduction to the prophetic books nor his introductions to individual books, does Scofield mention </w:t>
      </w:r>
      <w:r>
        <w:t>prophecy’s</w:t>
      </w:r>
      <w:r w:rsidRPr="005D00B9">
        <w:t xml:space="preserve"> exhortative aspect</w:t>
      </w:r>
      <w:r>
        <w:t xml:space="preserve">.  </w:t>
      </w:r>
      <w:r w:rsidRPr="005D00B9">
        <w:t xml:space="preserve">It is </w:t>
      </w:r>
      <w:r>
        <w:t>also noticeable</w:t>
      </w:r>
      <w:r w:rsidRPr="005D00B9">
        <w:t xml:space="preserve"> that, </w:t>
      </w:r>
      <w:r>
        <w:t xml:space="preserve">in what </w:t>
      </w:r>
      <w:r w:rsidRPr="005D00B9">
        <w:t>purports to be an introduction to ‘the Prophetical Books’, Scofield expounds upon several biblical books outside the major and minor prophets, where he finds material to support some of his important Christological, ecclesiological and eschatological concepts and his theses concerning Israel.</w:t>
      </w:r>
      <w:r>
        <w:rPr>
          <w:rStyle w:val="EndnoteReference"/>
        </w:rPr>
        <w:endnoteReference w:id="2469"/>
      </w:r>
      <w:r w:rsidRPr="005D00B9">
        <w:t xml:space="preserve">  </w:t>
      </w:r>
      <w:r>
        <w:t>He asserts that the prophets were ‘primarily revivalists and patriots’, speaking on God’s behalf ‘to the heart and conscience of the nation’.  He emphasises that prophetic messages have ‘a twofold character: first for the prophet’s own time; secondly, that which was predictive of the divine purpose in the future’.</w:t>
      </w:r>
      <w:r>
        <w:rPr>
          <w:rStyle w:val="EndnoteReference"/>
        </w:rPr>
        <w:endnoteReference w:id="2470"/>
      </w:r>
      <w:r>
        <w:t xml:space="preserve">  In later notes, Scofield calls these aspects ‘near’ and ‘far’.</w:t>
      </w:r>
      <w:r>
        <w:rPr>
          <w:rStyle w:val="EndnoteReference"/>
        </w:rPr>
        <w:endnoteReference w:id="2471"/>
      </w:r>
    </w:p>
    <w:p w:rsidR="006A2E06" w:rsidRPr="00D41149" w:rsidRDefault="006A2E06" w:rsidP="006A2E06">
      <w:pPr>
        <w:spacing w:after="120" w:line="360" w:lineRule="auto"/>
        <w:jc w:val="both"/>
        <w:rPr>
          <w:b/>
          <w:i/>
        </w:rPr>
      </w:pPr>
      <w:r w:rsidRPr="00D41149">
        <w:rPr>
          <w:b/>
          <w:i/>
        </w:rPr>
        <w:t>Introduction: Key Points:</w:t>
      </w:r>
    </w:p>
    <w:p w:rsidR="006A2E06" w:rsidRPr="00D41149" w:rsidRDefault="006A2E06" w:rsidP="006A2E06">
      <w:pPr>
        <w:spacing w:after="0" w:line="240" w:lineRule="auto"/>
        <w:ind w:left="709" w:hanging="142"/>
        <w:jc w:val="both"/>
        <w:rPr>
          <w:i/>
        </w:rPr>
      </w:pPr>
      <w:r w:rsidRPr="00D41149">
        <w:rPr>
          <w:i/>
        </w:rPr>
        <w:t>1  Sin, Failure and ‘Glorious Future’ of the Covenant People</w:t>
      </w:r>
    </w:p>
    <w:p w:rsidR="006A2E06" w:rsidRPr="009B4D38" w:rsidRDefault="006A2E06" w:rsidP="006A2E06">
      <w:pPr>
        <w:spacing w:after="60" w:line="240" w:lineRule="auto"/>
        <w:ind w:left="851"/>
        <w:jc w:val="both"/>
      </w:pPr>
      <w:r>
        <w:t xml:space="preserve">a)  ‘Predictive prophecy’ concerns </w:t>
      </w:r>
      <w:r w:rsidRPr="009B4D38">
        <w:t xml:space="preserve">fulfilment of Palestinian and Davidic Covenants and also involves the Abrahamic Covenant.  </w:t>
      </w:r>
      <w:r>
        <w:t>This gives it ‘its Messianic character’.</w:t>
      </w:r>
    </w:p>
    <w:p w:rsidR="006A2E06" w:rsidRDefault="006A2E06" w:rsidP="006A2E06">
      <w:pPr>
        <w:spacing w:after="60" w:line="240" w:lineRule="auto"/>
        <w:ind w:left="851"/>
        <w:jc w:val="both"/>
      </w:pPr>
      <w:r w:rsidRPr="009B4D38">
        <w:t xml:space="preserve">b)  </w:t>
      </w:r>
      <w:r>
        <w:t>Israel’s ‘restoration and blessing as a nation’ depends upon ‘</w:t>
      </w:r>
      <w:r w:rsidRPr="009B4D38">
        <w:t>Palestinian Covenant</w:t>
      </w:r>
      <w:r>
        <w:t xml:space="preserve"> of restoration and conversion’ and ‘the Davidic Covenant of the Kingship of the Messiah, David’s Son’.</w:t>
      </w:r>
    </w:p>
    <w:p w:rsidR="006A2E06" w:rsidRPr="00DF1CBD" w:rsidRDefault="006A2E06" w:rsidP="006A2E06">
      <w:pPr>
        <w:spacing w:after="60" w:line="240" w:lineRule="auto"/>
        <w:ind w:left="851"/>
        <w:jc w:val="both"/>
      </w:pPr>
      <w:r w:rsidRPr="00DF1CBD">
        <w:t xml:space="preserve">c)  </w:t>
      </w:r>
      <w:r w:rsidR="003C7617">
        <w:t xml:space="preserve">‘The </w:t>
      </w:r>
      <w:r w:rsidRPr="00DF1CBD">
        <w:t>Palestinian Covenant</w:t>
      </w:r>
      <w:r w:rsidRPr="00DF1CBD">
        <w:rPr>
          <w:rStyle w:val="EndnoteReference"/>
        </w:rPr>
        <w:endnoteReference w:id="2472"/>
      </w:r>
      <w:r w:rsidRPr="00DF1CBD">
        <w:t xml:space="preserve"> is the mould of predictive prophecy in its larger sense </w:t>
      </w:r>
      <w:r w:rsidRPr="00012B96">
        <w:rPr>
          <w:sz w:val="16"/>
          <w:szCs w:val="24"/>
        </w:rPr>
        <w:t>—</w:t>
      </w:r>
      <w:r w:rsidRPr="00DF1CBD">
        <w:t xml:space="preserve"> national disobedience, world-wide dispersion, repentance, the return of the Lord, the regathering of Israel and the establishment of the kingdom, the conversion and blessing of Israel, and the judgment of Israel’s oppressors.’</w:t>
      </w:r>
    </w:p>
    <w:p w:rsidR="006A2E06" w:rsidRDefault="006A2E06" w:rsidP="006A2E06">
      <w:pPr>
        <w:spacing w:after="120" w:line="240" w:lineRule="auto"/>
        <w:ind w:left="851"/>
      </w:pPr>
      <w:r>
        <w:t xml:space="preserve">d)  The predictions of Israel’s ‘restoration from the Babylonians captivity’ must be distinguished from those of ‘restoration from the present world-wide dispersion’.  Context for this distinction is ‘always clear’.  </w:t>
      </w:r>
    </w:p>
    <w:p w:rsidR="006A2E06" w:rsidRPr="00CC531F" w:rsidRDefault="006A2E06" w:rsidP="006A2E06">
      <w:pPr>
        <w:spacing w:after="0" w:line="240" w:lineRule="auto"/>
        <w:ind w:left="567"/>
        <w:rPr>
          <w:i/>
        </w:rPr>
      </w:pPr>
      <w:r w:rsidRPr="00CC531F">
        <w:rPr>
          <w:i/>
        </w:rPr>
        <w:t xml:space="preserve">2  Gentiles and </w:t>
      </w:r>
      <w:r>
        <w:rPr>
          <w:i/>
        </w:rPr>
        <w:t xml:space="preserve">the </w:t>
      </w:r>
      <w:r w:rsidRPr="00CC531F">
        <w:rPr>
          <w:i/>
        </w:rPr>
        <w:t>Church</w:t>
      </w:r>
    </w:p>
    <w:p w:rsidR="006A2E06" w:rsidRDefault="006A2E06" w:rsidP="006A2E06">
      <w:pPr>
        <w:spacing w:after="60" w:line="240" w:lineRule="auto"/>
        <w:ind w:left="851"/>
      </w:pPr>
      <w:r>
        <w:t xml:space="preserve">a)  Most prophecy is ‘not occupied with Gentile history’; exceptions are Daniel, which ‘has a distinctive character’, and Obadiah, Jonah and Nahum. </w:t>
      </w:r>
    </w:p>
    <w:p w:rsidR="006A2E06" w:rsidRPr="00DF1CBD" w:rsidRDefault="006A2E06" w:rsidP="006A2E06">
      <w:pPr>
        <w:spacing w:after="60" w:line="240" w:lineRule="auto"/>
        <w:ind w:left="851"/>
      </w:pPr>
      <w:r>
        <w:t xml:space="preserve">b)  ‘The Church, corporately, is not in the vision of the O.T. prophet.’  </w:t>
      </w:r>
    </w:p>
    <w:p w:rsidR="006A2E06" w:rsidRDefault="006A2E06" w:rsidP="006A2E06">
      <w:pPr>
        <w:spacing w:after="60" w:line="240" w:lineRule="auto"/>
        <w:ind w:left="851"/>
        <w:jc w:val="both"/>
      </w:pPr>
      <w:r>
        <w:t>c)  The Gentiles have a role in Israel’s chastisement.</w:t>
      </w:r>
    </w:p>
    <w:p w:rsidR="006A2E06" w:rsidRDefault="006A2E06" w:rsidP="006A2E06">
      <w:pPr>
        <w:spacing w:after="120" w:line="240" w:lineRule="auto"/>
        <w:ind w:left="851"/>
        <w:jc w:val="both"/>
      </w:pPr>
      <w:r>
        <w:t>d)  The Gentiles will share in the grace to be extended to Israel.</w:t>
      </w:r>
    </w:p>
    <w:p w:rsidR="006A2E06" w:rsidRPr="00B551DC" w:rsidRDefault="006A2E06" w:rsidP="006A2E06">
      <w:pPr>
        <w:spacing w:after="0" w:line="240" w:lineRule="auto"/>
        <w:ind w:left="567"/>
        <w:jc w:val="both"/>
        <w:rPr>
          <w:i/>
        </w:rPr>
      </w:pPr>
      <w:r w:rsidRPr="00B551DC">
        <w:rPr>
          <w:i/>
        </w:rPr>
        <w:t>3  Christology</w:t>
      </w:r>
    </w:p>
    <w:p w:rsidR="006A2E06" w:rsidRDefault="006A2E06" w:rsidP="006A2E06">
      <w:pPr>
        <w:spacing w:after="60" w:line="240" w:lineRule="auto"/>
        <w:ind w:left="851"/>
        <w:jc w:val="both"/>
      </w:pPr>
      <w:r>
        <w:t xml:space="preserve">a)  Christ’s two advents have different characteristics: </w:t>
      </w:r>
      <w:r w:rsidRPr="00012B96">
        <w:rPr>
          <w:sz w:val="16"/>
          <w:szCs w:val="24"/>
        </w:rPr>
        <w:t>—</w:t>
      </w:r>
      <w:r>
        <w:t xml:space="preserve"> first advent is ‘to redemption through suffering’; second advent ‘to the kingdom in glory when the promises to Israel will be fulfilled’.</w:t>
      </w:r>
    </w:p>
    <w:p w:rsidR="006A2E06" w:rsidRDefault="006A2E06" w:rsidP="006A2E06">
      <w:pPr>
        <w:spacing w:after="120" w:line="240" w:lineRule="auto"/>
        <w:ind w:left="851"/>
        <w:jc w:val="both"/>
      </w:pPr>
      <w:r>
        <w:t xml:space="preserve">b)  Though the prophets described these different characteristics, they did not anticipate that, between the advents to suffering and to glory, ‘there would be accomplished certain “mysteries of the kingdom”’ and that ‘the New Testament Church would be called out’.  </w:t>
      </w:r>
    </w:p>
    <w:p w:rsidR="006A2E06" w:rsidRPr="001603EF" w:rsidRDefault="006A2E06" w:rsidP="006A2E06">
      <w:pPr>
        <w:spacing w:after="120" w:line="360" w:lineRule="auto"/>
        <w:jc w:val="both"/>
        <w:rPr>
          <w:b/>
          <w:i/>
        </w:rPr>
      </w:pPr>
      <w:r w:rsidRPr="001603EF">
        <w:rPr>
          <w:b/>
          <w:i/>
        </w:rPr>
        <w:lastRenderedPageBreak/>
        <w:t>Comment</w:t>
      </w:r>
    </w:p>
    <w:p w:rsidR="006A2E06" w:rsidRDefault="006A2E06" w:rsidP="006A2E06">
      <w:pPr>
        <w:spacing w:after="120" w:line="360" w:lineRule="auto"/>
        <w:jc w:val="both"/>
      </w:pPr>
      <w:r w:rsidRPr="005D78A9">
        <w:t xml:space="preserve">It is noticeable that the focus in this introduction is upon Israel and the idea that the Church is parenthetical is cultivated in the statement that the Old Testament prophets did not discern its existence.  </w:t>
      </w:r>
    </w:p>
    <w:p w:rsidR="006A2E06" w:rsidRDefault="006A2E06" w:rsidP="006A2E06">
      <w:pPr>
        <w:spacing w:after="120" w:line="360" w:lineRule="auto"/>
        <w:ind w:right="74"/>
        <w:jc w:val="both"/>
        <w:rPr>
          <w:b/>
          <w:color w:val="000000"/>
        </w:rPr>
      </w:pPr>
      <w:r>
        <w:rPr>
          <w:b/>
          <w:color w:val="000000"/>
        </w:rPr>
        <w:t>8</w:t>
      </w:r>
      <w:r w:rsidRPr="009C1CA0">
        <w:rPr>
          <w:b/>
          <w:color w:val="000000"/>
        </w:rPr>
        <w:t>.4.1  Isaiah</w:t>
      </w:r>
    </w:p>
    <w:p w:rsidR="006A2E06" w:rsidRDefault="00A46286" w:rsidP="00971FEE">
      <w:pPr>
        <w:spacing w:after="120" w:line="360" w:lineRule="auto"/>
        <w:ind w:right="74"/>
        <w:jc w:val="center"/>
        <w:rPr>
          <w:b/>
          <w:color w:val="000000"/>
        </w:rPr>
      </w:pPr>
      <w:r>
        <w:rPr>
          <w:b/>
          <w:noProof/>
          <w:color w:val="000000"/>
          <w:lang w:eastAsia="en-GB"/>
        </w:rPr>
        <w:drawing>
          <wp:inline distT="0" distB="0" distL="0" distR="0">
            <wp:extent cx="4907280" cy="3091286"/>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iah split expt 26.6.18 Chapters 1 - 32 crop.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904973" cy="3089833"/>
                    </a:xfrm>
                    <a:prstGeom prst="rect">
                      <a:avLst/>
                    </a:prstGeom>
                  </pic:spPr>
                </pic:pic>
              </a:graphicData>
            </a:graphic>
          </wp:inline>
        </w:drawing>
      </w:r>
    </w:p>
    <w:p w:rsidR="00971FEE" w:rsidRDefault="00A46286" w:rsidP="00971FEE">
      <w:pPr>
        <w:spacing w:after="120" w:line="360" w:lineRule="auto"/>
        <w:ind w:right="74"/>
        <w:jc w:val="center"/>
        <w:rPr>
          <w:b/>
          <w:color w:val="000000"/>
        </w:rPr>
      </w:pPr>
      <w:r>
        <w:rPr>
          <w:b/>
          <w:noProof/>
          <w:color w:val="000000"/>
          <w:lang w:eastAsia="en-GB"/>
        </w:rPr>
        <w:drawing>
          <wp:inline distT="0" distB="0" distL="0" distR="0">
            <wp:extent cx="4976976" cy="304038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iah split expt 26.6.18 Chapters 33-66_Page_1 crop.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976018" cy="3039795"/>
                    </a:xfrm>
                    <a:prstGeom prst="rect">
                      <a:avLst/>
                    </a:prstGeom>
                  </pic:spPr>
                </pic:pic>
              </a:graphicData>
            </a:graphic>
          </wp:inline>
        </w:drawing>
      </w:r>
    </w:p>
    <w:p w:rsidR="00971FEE" w:rsidRDefault="00971FEE" w:rsidP="00971FEE">
      <w:pPr>
        <w:spacing w:after="120" w:line="360" w:lineRule="auto"/>
        <w:ind w:right="74"/>
        <w:jc w:val="center"/>
        <w:rPr>
          <w:b/>
          <w:color w:val="000000"/>
        </w:rPr>
      </w:pPr>
      <w:r>
        <w:rPr>
          <w:b/>
          <w:noProof/>
          <w:color w:val="000000"/>
          <w:lang w:eastAsia="en-GB"/>
        </w:rPr>
        <w:drawing>
          <wp:inline distT="0" distB="0" distL="0" distR="0">
            <wp:extent cx="5400040" cy="6477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iah title 10.3.18 crop.jpg"/>
                    <pic:cNvPicPr/>
                  </pic:nvPicPr>
                  <pic:blipFill>
                    <a:blip r:embed="rId161">
                      <a:extLst>
                        <a:ext uri="{28A0092B-C50C-407E-A947-70E740481C1C}">
                          <a14:useLocalDpi xmlns:a14="http://schemas.microsoft.com/office/drawing/2010/main" val="0"/>
                        </a:ext>
                      </a:extLst>
                    </a:blip>
                    <a:stretch>
                      <a:fillRect/>
                    </a:stretch>
                  </pic:blipFill>
                  <pic:spPr>
                    <a:xfrm>
                      <a:off x="0" y="0"/>
                      <a:ext cx="5400040" cy="647700"/>
                    </a:xfrm>
                    <a:prstGeom prst="rect">
                      <a:avLst/>
                    </a:prstGeom>
                  </pic:spPr>
                </pic:pic>
              </a:graphicData>
            </a:graphic>
          </wp:inline>
        </w:drawing>
      </w:r>
    </w:p>
    <w:p w:rsidR="00971FEE" w:rsidRDefault="00971FEE" w:rsidP="00971FEE">
      <w:pPr>
        <w:spacing w:after="120" w:line="240" w:lineRule="auto"/>
        <w:ind w:right="74"/>
        <w:jc w:val="both"/>
        <w:rPr>
          <w:b/>
          <w:i/>
          <w:color w:val="000000"/>
        </w:rPr>
      </w:pPr>
      <w:r w:rsidRPr="000F712A">
        <w:rPr>
          <w:b/>
          <w:i/>
          <w:color w:val="000000"/>
        </w:rPr>
        <w:lastRenderedPageBreak/>
        <w:t>Introduction</w:t>
      </w:r>
      <w:r>
        <w:rPr>
          <w:b/>
          <w:i/>
          <w:color w:val="000000"/>
        </w:rPr>
        <w:t>: Key Points</w:t>
      </w:r>
      <w:r>
        <w:rPr>
          <w:rStyle w:val="EndnoteReference"/>
        </w:rPr>
        <w:endnoteReference w:id="2473"/>
      </w:r>
    </w:p>
    <w:p w:rsidR="00971FEE" w:rsidRDefault="00971FEE" w:rsidP="00971FEE">
      <w:pPr>
        <w:spacing w:after="120" w:line="240" w:lineRule="auto"/>
        <w:ind w:left="567" w:right="74"/>
        <w:jc w:val="both"/>
      </w:pPr>
      <w:r w:rsidRPr="005D00B9">
        <w:t>‘</w:t>
      </w:r>
      <w:r>
        <w:t>C</w:t>
      </w:r>
      <w:r w:rsidRPr="005D00B9">
        <w:t xml:space="preserve">hief of </w:t>
      </w:r>
      <w:r>
        <w:t xml:space="preserve">the </w:t>
      </w:r>
      <w:r w:rsidRPr="005D00B9">
        <w:t>writing prophets</w:t>
      </w:r>
      <w:r>
        <w:t xml:space="preserve">’ and </w:t>
      </w:r>
      <w:r w:rsidRPr="005D00B9">
        <w:t>‘</w:t>
      </w:r>
      <w:r>
        <w:t>d</w:t>
      </w:r>
      <w:r w:rsidRPr="005D00B9">
        <w:t xml:space="preserve">istinctively </w:t>
      </w:r>
      <w:r>
        <w:t xml:space="preserve">the </w:t>
      </w:r>
      <w:r w:rsidRPr="005D00B9">
        <w:t>prophet of redemption</w:t>
      </w:r>
      <w:r>
        <w:t>.</w:t>
      </w:r>
      <w:r w:rsidRPr="005D00B9">
        <w:t>’</w:t>
      </w:r>
      <w:r>
        <w:rPr>
          <w:rStyle w:val="EndnoteReference"/>
        </w:rPr>
        <w:endnoteReference w:id="2474"/>
      </w:r>
    </w:p>
    <w:p w:rsidR="00971FEE" w:rsidRDefault="00971FEE" w:rsidP="00971FEE">
      <w:pPr>
        <w:spacing w:after="120" w:line="240" w:lineRule="auto"/>
        <w:ind w:left="567" w:right="74"/>
        <w:jc w:val="both"/>
      </w:pPr>
      <w:r>
        <w:t xml:space="preserve">‘The </w:t>
      </w:r>
      <w:r w:rsidRPr="005D00B9">
        <w:t>New Testament Church does not appear</w:t>
      </w:r>
      <w:r>
        <w:t xml:space="preserve"> but </w:t>
      </w:r>
      <w:r w:rsidRPr="005D00B9">
        <w:t>Messiah in His Person and sufferings, and the blessing of the Gentiles through Him, in full vision’</w:t>
      </w:r>
    </w:p>
    <w:p w:rsidR="00971FEE" w:rsidRDefault="00971FEE" w:rsidP="00971FEE">
      <w:pPr>
        <w:spacing w:after="120" w:line="240" w:lineRule="auto"/>
        <w:ind w:left="567" w:right="74"/>
        <w:jc w:val="both"/>
      </w:pPr>
      <w:r>
        <w:t>T</w:t>
      </w:r>
      <w:r w:rsidRPr="005D00B9">
        <w:t>estifies to own time but also gives predictive messages on ‘seven great themes’.</w:t>
      </w:r>
      <w:r>
        <w:rPr>
          <w:rStyle w:val="EndnoteReference"/>
        </w:rPr>
        <w:endnoteReference w:id="2475"/>
      </w:r>
    </w:p>
    <w:p w:rsidR="00971FEE" w:rsidRPr="000F712A" w:rsidRDefault="00A208C0" w:rsidP="00A208C0">
      <w:pPr>
        <w:spacing w:after="120" w:line="240" w:lineRule="auto"/>
        <w:ind w:left="567" w:right="74"/>
        <w:jc w:val="center"/>
        <w:rPr>
          <w:b/>
          <w:i/>
          <w:color w:val="000000"/>
        </w:rPr>
      </w:pPr>
      <w:r>
        <w:rPr>
          <w:b/>
          <w:i/>
          <w:noProof/>
          <w:color w:val="000000"/>
          <w:lang w:eastAsia="en-GB"/>
        </w:rPr>
        <w:drawing>
          <wp:inline distT="0" distB="0" distL="0" distR="0">
            <wp:extent cx="5400040" cy="67665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iah themes as table rev 8.5.18 rev 26.6.18_Page_1 crop.jpg"/>
                    <pic:cNvPicPr/>
                  </pic:nvPicPr>
                  <pic:blipFill>
                    <a:blip r:embed="rId162">
                      <a:extLst>
                        <a:ext uri="{28A0092B-C50C-407E-A947-70E740481C1C}">
                          <a14:useLocalDpi xmlns:a14="http://schemas.microsoft.com/office/drawing/2010/main" val="0"/>
                        </a:ext>
                      </a:extLst>
                    </a:blip>
                    <a:stretch>
                      <a:fillRect/>
                    </a:stretch>
                  </pic:blipFill>
                  <pic:spPr>
                    <a:xfrm>
                      <a:off x="0" y="0"/>
                      <a:ext cx="5400040" cy="6766560"/>
                    </a:xfrm>
                    <a:prstGeom prst="rect">
                      <a:avLst/>
                    </a:prstGeom>
                  </pic:spPr>
                </pic:pic>
              </a:graphicData>
            </a:graphic>
          </wp:inline>
        </w:drawing>
      </w:r>
    </w:p>
    <w:p w:rsidR="006A2E06" w:rsidRDefault="006A2E06" w:rsidP="006A2E06">
      <w:pPr>
        <w:jc w:val="center"/>
      </w:pPr>
    </w:p>
    <w:p w:rsidR="006A2E06" w:rsidRDefault="006A2E06" w:rsidP="006A2E06">
      <w:pPr>
        <w:jc w:val="center"/>
      </w:pPr>
    </w:p>
    <w:p w:rsidR="00A208C0" w:rsidRDefault="00A208C0" w:rsidP="00A208C0">
      <w:pPr>
        <w:spacing w:after="120" w:line="360" w:lineRule="auto"/>
        <w:ind w:right="74"/>
        <w:jc w:val="center"/>
        <w:rPr>
          <w:b/>
          <w:i/>
          <w:color w:val="000000"/>
        </w:rPr>
      </w:pPr>
      <w:r>
        <w:rPr>
          <w:b/>
          <w:i/>
          <w:noProof/>
          <w:color w:val="000000"/>
          <w:lang w:eastAsia="en-GB"/>
        </w:rPr>
        <w:lastRenderedPageBreak/>
        <w:drawing>
          <wp:inline distT="0" distB="0" distL="0" distR="0">
            <wp:extent cx="5400040" cy="42494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iah themes as table rev 8.5.18 rev 26.6.18_Page_2 crop.jpg"/>
                    <pic:cNvPicPr/>
                  </pic:nvPicPr>
                  <pic:blipFill>
                    <a:blip r:embed="rId163">
                      <a:extLst>
                        <a:ext uri="{28A0092B-C50C-407E-A947-70E740481C1C}">
                          <a14:useLocalDpi xmlns:a14="http://schemas.microsoft.com/office/drawing/2010/main" val="0"/>
                        </a:ext>
                      </a:extLst>
                    </a:blip>
                    <a:stretch>
                      <a:fillRect/>
                    </a:stretch>
                  </pic:blipFill>
                  <pic:spPr>
                    <a:xfrm>
                      <a:off x="0" y="0"/>
                      <a:ext cx="5400040" cy="4249420"/>
                    </a:xfrm>
                    <a:prstGeom prst="rect">
                      <a:avLst/>
                    </a:prstGeom>
                  </pic:spPr>
                </pic:pic>
              </a:graphicData>
            </a:graphic>
          </wp:inline>
        </w:drawing>
      </w:r>
    </w:p>
    <w:p w:rsidR="006A2E06" w:rsidRPr="000F712A" w:rsidRDefault="006A2E06" w:rsidP="006A2E06">
      <w:pPr>
        <w:spacing w:after="120" w:line="360" w:lineRule="auto"/>
        <w:ind w:right="74"/>
        <w:jc w:val="both"/>
        <w:rPr>
          <w:b/>
          <w:i/>
          <w:color w:val="000000"/>
        </w:rPr>
      </w:pPr>
      <w:r>
        <w:rPr>
          <w:b/>
          <w:i/>
          <w:color w:val="000000"/>
        </w:rPr>
        <w:t>Annotation: Key Points</w:t>
      </w:r>
    </w:p>
    <w:p w:rsidR="006A2E06" w:rsidRDefault="006A2E06" w:rsidP="006A2E06">
      <w:pPr>
        <w:spacing w:after="120" w:line="240" w:lineRule="auto"/>
        <w:ind w:left="567" w:right="74"/>
        <w:jc w:val="both"/>
      </w:pPr>
      <w:r>
        <w:t>Only 36 chapters out of 66 annotated</w:t>
      </w:r>
    </w:p>
    <w:p w:rsidR="006A2E06" w:rsidRPr="00766878" w:rsidRDefault="006A2E06" w:rsidP="006A2E06">
      <w:pPr>
        <w:spacing w:after="0" w:line="240" w:lineRule="auto"/>
        <w:ind w:left="567" w:right="74"/>
        <w:jc w:val="both"/>
        <w:rPr>
          <w:i/>
        </w:rPr>
      </w:pPr>
      <w:r w:rsidRPr="00766878">
        <w:rPr>
          <w:i/>
        </w:rPr>
        <w:t>Israel</w:t>
      </w:r>
    </w:p>
    <w:p w:rsidR="006A2E06" w:rsidRDefault="006A2E06" w:rsidP="006A2E06">
      <w:pPr>
        <w:spacing w:after="60" w:line="240" w:lineRule="auto"/>
        <w:ind w:left="851" w:right="74"/>
        <w:jc w:val="both"/>
      </w:pPr>
      <w:r>
        <w:t>E</w:t>
      </w:r>
      <w:r w:rsidRPr="003F4B7A">
        <w:t>mphasis</w:t>
      </w:r>
      <w:r>
        <w:t xml:space="preserve"> on</w:t>
      </w:r>
      <w:r w:rsidRPr="003F4B7A">
        <w:t xml:space="preserve"> punishment of Judah and Israel for neglect of God’s requirements but also their restoration in the future kingdom, with reference to the Palestinian Covenant.</w:t>
      </w:r>
      <w:r w:rsidRPr="003F4B7A">
        <w:rPr>
          <w:rStyle w:val="EndnoteReference"/>
        </w:rPr>
        <w:endnoteReference w:id="2476"/>
      </w:r>
      <w:r w:rsidRPr="003F4B7A">
        <w:t xml:space="preserve">  </w:t>
      </w:r>
    </w:p>
    <w:p w:rsidR="006A2E06" w:rsidRDefault="006A2E06" w:rsidP="006A2E06">
      <w:pPr>
        <w:spacing w:after="60" w:line="240" w:lineRule="auto"/>
        <w:ind w:left="851" w:right="74"/>
        <w:jc w:val="both"/>
      </w:pPr>
      <w:r>
        <w:t>P</w:t>
      </w:r>
      <w:r w:rsidRPr="003F4B7A">
        <w:t>articular interest in the fate of the ten tribes of the northern kingdom, Israel</w:t>
      </w:r>
      <w:r>
        <w:t>;</w:t>
      </w:r>
      <w:r w:rsidRPr="003F4B7A">
        <w:rPr>
          <w:rStyle w:val="EndnoteReference"/>
        </w:rPr>
        <w:endnoteReference w:id="2477"/>
      </w:r>
      <w:r>
        <w:t xml:space="preserve"> t</w:t>
      </w:r>
      <w:r w:rsidRPr="003F4B7A">
        <w:t>he concept of the reunion of Judah and Israel is important in Scofield’s eschatological vision.</w:t>
      </w:r>
    </w:p>
    <w:p w:rsidR="006A2E06" w:rsidRDefault="006A2E06" w:rsidP="006A2E06">
      <w:pPr>
        <w:spacing w:after="120" w:line="240" w:lineRule="auto"/>
        <w:ind w:left="851" w:right="74"/>
        <w:jc w:val="both"/>
      </w:pPr>
      <w:r>
        <w:t>M</w:t>
      </w:r>
      <w:r w:rsidRPr="007112A5">
        <w:t xml:space="preserve">any references </w:t>
      </w:r>
      <w:r>
        <w:t xml:space="preserve">to </w:t>
      </w:r>
      <w:r w:rsidRPr="007112A5">
        <w:t>Israel’s future and the eschatological future in general</w:t>
      </w:r>
      <w:r>
        <w:t>:</w:t>
      </w:r>
      <w:r w:rsidRPr="007112A5">
        <w:t xml:space="preserve"> Israel’s exaltation in the kingdom after the tribulation and defeat of the beast at Armageddon.  </w:t>
      </w:r>
    </w:p>
    <w:p w:rsidR="006A2E06" w:rsidRDefault="006A2E06" w:rsidP="006A2E06">
      <w:pPr>
        <w:spacing w:after="0" w:line="240" w:lineRule="auto"/>
        <w:ind w:left="567" w:right="74"/>
        <w:jc w:val="both"/>
      </w:pPr>
      <w:r w:rsidRPr="00766878">
        <w:rPr>
          <w:i/>
        </w:rPr>
        <w:t>Emphasis on Davidic nature of kingdom</w:t>
      </w:r>
      <w:r>
        <w:rPr>
          <w:rStyle w:val="EndnoteReference"/>
        </w:rPr>
        <w:endnoteReference w:id="2478"/>
      </w:r>
    </w:p>
    <w:p w:rsidR="006A2E06" w:rsidRDefault="006A2E06" w:rsidP="006A2E06">
      <w:pPr>
        <w:spacing w:after="60" w:line="240" w:lineRule="auto"/>
        <w:ind w:left="851" w:right="74"/>
        <w:jc w:val="both"/>
      </w:pPr>
      <w:r>
        <w:t xml:space="preserve">Isaiah 11 is ‘a prophetic picture of the future kingdom … announced by John the Baptist as “at hand”.  It was then rejected, but will be set up when David’s Son returns in glory.’  </w:t>
      </w:r>
    </w:p>
    <w:p w:rsidR="006A2E06" w:rsidRDefault="006A2E06" w:rsidP="006A2E06">
      <w:pPr>
        <w:spacing w:after="60" w:line="240" w:lineRule="auto"/>
        <w:ind w:left="851" w:right="74"/>
        <w:jc w:val="both"/>
      </w:pPr>
      <w:r>
        <w:t>The use of name ‘David’ is significant; subhead to Isaiah 11 is ‘The Davidic kingdom set up’.</w:t>
      </w:r>
    </w:p>
    <w:p w:rsidR="006A2E06" w:rsidRDefault="006A2E06" w:rsidP="006A2E06">
      <w:pPr>
        <w:spacing w:after="120" w:line="240" w:lineRule="auto"/>
        <w:ind w:left="851" w:right="74"/>
        <w:jc w:val="both"/>
      </w:pPr>
      <w:r>
        <w:t>‘T</w:t>
      </w:r>
      <w:r w:rsidRPr="000F4CD7">
        <w:t>he “throne of David” is as definite, historically, as “throne of the Caesars”</w:t>
      </w:r>
      <w:r>
        <w:t>.</w:t>
      </w:r>
      <w:r w:rsidRPr="000F4CD7">
        <w:t>’</w:t>
      </w:r>
      <w:r>
        <w:rPr>
          <w:rStyle w:val="EndnoteReference"/>
        </w:rPr>
        <w:endnoteReference w:id="2479"/>
      </w:r>
    </w:p>
    <w:p w:rsidR="006A2E06" w:rsidRDefault="00811F34" w:rsidP="006A2E06">
      <w:pPr>
        <w:spacing w:after="0" w:line="240" w:lineRule="auto"/>
        <w:ind w:left="567" w:right="74"/>
        <w:jc w:val="both"/>
      </w:pPr>
      <w:r>
        <w:rPr>
          <w:i/>
        </w:rPr>
        <w:t>‘</w:t>
      </w:r>
      <w:r w:rsidR="006A2E06" w:rsidRPr="00766878">
        <w:rPr>
          <w:i/>
        </w:rPr>
        <w:t>Near</w:t>
      </w:r>
      <w:r>
        <w:rPr>
          <w:i/>
        </w:rPr>
        <w:t>’</w:t>
      </w:r>
      <w:r w:rsidR="006A2E06" w:rsidRPr="00766878">
        <w:rPr>
          <w:i/>
        </w:rPr>
        <w:t xml:space="preserve"> and </w:t>
      </w:r>
      <w:r>
        <w:rPr>
          <w:i/>
        </w:rPr>
        <w:t>‘</w:t>
      </w:r>
      <w:r w:rsidR="006A2E06" w:rsidRPr="00766878">
        <w:rPr>
          <w:i/>
        </w:rPr>
        <w:t>far</w:t>
      </w:r>
      <w:r w:rsidR="002A4905">
        <w:rPr>
          <w:i/>
        </w:rPr>
        <w:t>’</w:t>
      </w:r>
      <w:r w:rsidR="006A2E06" w:rsidRPr="00766878">
        <w:rPr>
          <w:i/>
        </w:rPr>
        <w:t xml:space="preserve"> prophecy emphasised</w:t>
      </w:r>
      <w:r w:rsidR="006A2E06">
        <w:t xml:space="preserve"> </w:t>
      </w:r>
    </w:p>
    <w:p w:rsidR="006A2E06" w:rsidRDefault="006A2E06" w:rsidP="006A2E06">
      <w:pPr>
        <w:spacing w:after="60" w:line="240" w:lineRule="auto"/>
        <w:ind w:left="851" w:right="74"/>
        <w:jc w:val="both"/>
      </w:pPr>
      <w:r>
        <w:t>The imminent Assyrian invasion under Sennacherib as ‘the near event’ and ‘the day of the Lord’ as ‘the far event’.</w:t>
      </w:r>
      <w:r>
        <w:rPr>
          <w:rStyle w:val="EndnoteReference"/>
        </w:rPr>
        <w:endnoteReference w:id="2480"/>
      </w:r>
    </w:p>
    <w:p w:rsidR="006A2E06" w:rsidRDefault="006A2E06" w:rsidP="006A2E06">
      <w:pPr>
        <w:spacing w:after="120" w:line="240" w:lineRule="auto"/>
        <w:ind w:left="851" w:right="74"/>
        <w:jc w:val="both"/>
      </w:pPr>
      <w:r>
        <w:t>Important link made between Isaiah and Revelation: Babylon in Isaiah is symbolic in relation to times of Gentiles; in Revelation symbolical-political and symbolical-religious Babylon are under beast’s tyranny and the latter is destroyed by the former</w:t>
      </w:r>
      <w:r>
        <w:rPr>
          <w:rStyle w:val="EndnoteReference"/>
        </w:rPr>
        <w:endnoteReference w:id="2481"/>
      </w:r>
      <w:r>
        <w:t xml:space="preserve"> </w:t>
      </w:r>
    </w:p>
    <w:p w:rsidR="00A208C0" w:rsidRDefault="00A208C0" w:rsidP="006A2E06">
      <w:pPr>
        <w:spacing w:after="120" w:line="240" w:lineRule="auto"/>
        <w:ind w:left="851" w:right="74"/>
        <w:jc w:val="both"/>
      </w:pPr>
    </w:p>
    <w:p w:rsidR="006A2E06" w:rsidRPr="00766878" w:rsidRDefault="006A2E06" w:rsidP="006A2E06">
      <w:pPr>
        <w:spacing w:after="0" w:line="240" w:lineRule="auto"/>
        <w:ind w:left="567" w:right="74"/>
        <w:jc w:val="both"/>
        <w:rPr>
          <w:i/>
        </w:rPr>
      </w:pPr>
      <w:r w:rsidRPr="00766878">
        <w:rPr>
          <w:i/>
        </w:rPr>
        <w:lastRenderedPageBreak/>
        <w:t>Christology</w:t>
      </w:r>
    </w:p>
    <w:p w:rsidR="006A2E06" w:rsidRDefault="006A2E06" w:rsidP="006A2E06">
      <w:pPr>
        <w:spacing w:after="60" w:line="240" w:lineRule="auto"/>
        <w:ind w:left="851" w:right="74"/>
        <w:jc w:val="both"/>
      </w:pPr>
      <w:r>
        <w:t>‘The branch’ as a four-fold name of Christ</w:t>
      </w:r>
      <w:r>
        <w:rPr>
          <w:rStyle w:val="EndnoteReference"/>
        </w:rPr>
        <w:endnoteReference w:id="2482"/>
      </w:r>
      <w:r w:rsidRPr="00C96AEB">
        <w:t xml:space="preserve"> </w:t>
      </w:r>
    </w:p>
    <w:p w:rsidR="006A2E06" w:rsidRPr="00C96AEB" w:rsidRDefault="006A2E06" w:rsidP="006A2E06">
      <w:pPr>
        <w:spacing w:after="60" w:line="240" w:lineRule="auto"/>
        <w:ind w:left="851" w:right="74"/>
        <w:jc w:val="both"/>
      </w:pPr>
      <w:r>
        <w:t>No comment on Isa. 7:14;</w:t>
      </w:r>
      <w:r>
        <w:rPr>
          <w:rStyle w:val="EndnoteReference"/>
        </w:rPr>
        <w:endnoteReference w:id="2483"/>
      </w:r>
      <w:r>
        <w:t xml:space="preserve"> but remarks upon the butter and honey of Isa. 7:15 as ‘indicating the plainness and simplicity of the life in which the young Immanuel should be brought up’.</w:t>
      </w:r>
      <w:r>
        <w:rPr>
          <w:rStyle w:val="EndnoteReference"/>
        </w:rPr>
        <w:endnoteReference w:id="2484"/>
      </w:r>
    </w:p>
    <w:p w:rsidR="006A2E06" w:rsidRDefault="006A2E06" w:rsidP="006A2E06">
      <w:pPr>
        <w:spacing w:after="60" w:line="240" w:lineRule="auto"/>
        <w:ind w:left="851" w:right="74"/>
        <w:jc w:val="both"/>
      </w:pPr>
      <w:r>
        <w:t xml:space="preserve">Assertion that </w:t>
      </w:r>
      <w:r w:rsidRPr="00B75437">
        <w:t xml:space="preserve">Isa. 40:1-2 </w:t>
      </w:r>
      <w:r>
        <w:t>is</w:t>
      </w:r>
      <w:r w:rsidRPr="00B75437">
        <w:t xml:space="preserve"> ‘key-note’ of the second part of Isaiah’s prophecy: ‘Jesus Christ in His sufferings and the glory that shall follow in the Davidic kingdom’</w:t>
      </w:r>
      <w:r>
        <w:t>.</w:t>
      </w:r>
      <w:r>
        <w:rPr>
          <w:rStyle w:val="EndnoteReference"/>
        </w:rPr>
        <w:endnoteReference w:id="2485"/>
      </w:r>
      <w:r>
        <w:t xml:space="preserve">  </w:t>
      </w:r>
    </w:p>
    <w:p w:rsidR="006A2E06" w:rsidRDefault="006A2E06" w:rsidP="006A2E06">
      <w:pPr>
        <w:spacing w:after="60" w:line="240" w:lineRule="auto"/>
        <w:ind w:left="851" w:right="74"/>
        <w:jc w:val="both"/>
      </w:pPr>
      <w:r>
        <w:t>No direct comment on Isaiah 53;</w:t>
      </w:r>
      <w:r>
        <w:rPr>
          <w:rStyle w:val="EndnoteReference"/>
        </w:rPr>
        <w:endnoteReference w:id="2486"/>
      </w:r>
      <w:r>
        <w:t xml:space="preserve"> very brief note within Isaiah 52 with assertion that </w:t>
      </w:r>
      <w:r w:rsidRPr="000F4338">
        <w:t xml:space="preserve">literal translation of this verse should be a description of someone ‘not human’ and </w:t>
      </w:r>
      <w:r>
        <w:t xml:space="preserve">anachronistic </w:t>
      </w:r>
      <w:r w:rsidRPr="000F4338">
        <w:t>assert</w:t>
      </w:r>
      <w:r>
        <w:t>ion</w:t>
      </w:r>
      <w:r w:rsidRPr="000F4338">
        <w:t xml:space="preserve"> that this is ‘the effect of the brutalities described in Mt. 26:67-8; 27:27-30’.</w:t>
      </w:r>
      <w:r>
        <w:rPr>
          <w:rStyle w:val="EndnoteReference"/>
        </w:rPr>
        <w:endnoteReference w:id="2487"/>
      </w:r>
      <w:r>
        <w:t xml:space="preserve">  M</w:t>
      </w:r>
      <w:r w:rsidRPr="001B2AA2">
        <w:t xml:space="preserve">ay reflect </w:t>
      </w:r>
      <w:r>
        <w:t>Scofield’s</w:t>
      </w:r>
      <w:r w:rsidRPr="001B2AA2">
        <w:t xml:space="preserve"> </w:t>
      </w:r>
      <w:r>
        <w:t xml:space="preserve">apparent </w:t>
      </w:r>
      <w:r w:rsidRPr="001B2AA2">
        <w:t>greater interest in the second advent of Christ</w:t>
      </w:r>
      <w:r>
        <w:t xml:space="preserve"> than in the first cf observation that, in Lk. 4:16-21, Jesus quoted only the first part of Isa. 61:2, with the implication that ‘the first advent … opened the day of grace, “the acceptable day of the LORD” but does not fulfil the day of vengeance’ which will occur at Messiah’s return.</w:t>
      </w:r>
      <w:r>
        <w:rPr>
          <w:rStyle w:val="EndnoteReference"/>
        </w:rPr>
        <w:endnoteReference w:id="2488"/>
      </w:r>
    </w:p>
    <w:p w:rsidR="006A2E06" w:rsidRDefault="006A2E06" w:rsidP="006A2E06">
      <w:pPr>
        <w:spacing w:after="120" w:line="240" w:lineRule="auto"/>
        <w:ind w:left="851" w:right="74"/>
        <w:jc w:val="both"/>
      </w:pPr>
      <w:r>
        <w:t>Assertion of contrast: Christ’s first advent as ‘weak, despised, rejected, slain’ (already fulfilled) and second advent as mighty conqueror, taking vengeance on the nations and restoring Israel (unfulfilled)</w:t>
      </w:r>
      <w:r>
        <w:rPr>
          <w:rStyle w:val="EndnoteReference"/>
        </w:rPr>
        <w:endnoteReference w:id="2489"/>
      </w:r>
      <w:r>
        <w:t xml:space="preserve">  </w:t>
      </w:r>
    </w:p>
    <w:p w:rsidR="006A2E06" w:rsidRPr="00895474" w:rsidRDefault="006A2E06" w:rsidP="006A2E06">
      <w:pPr>
        <w:spacing w:after="120" w:line="240" w:lineRule="auto"/>
        <w:ind w:right="74"/>
        <w:jc w:val="both"/>
        <w:rPr>
          <w:b/>
          <w:i/>
        </w:rPr>
      </w:pPr>
      <w:r w:rsidRPr="00895474">
        <w:rPr>
          <w:b/>
          <w:i/>
        </w:rPr>
        <w:t>Comment</w:t>
      </w:r>
    </w:p>
    <w:p w:rsidR="006A2E06" w:rsidRPr="00487CD8" w:rsidRDefault="006A2E06" w:rsidP="006A2E06">
      <w:pPr>
        <w:spacing w:after="120" w:line="360" w:lineRule="auto"/>
        <w:ind w:right="74"/>
        <w:jc w:val="both"/>
      </w:pPr>
      <w:r w:rsidRPr="00487CD8">
        <w:t>Scofield displays a confusing mixture of uses of the name ‘Israel’ in some of his annotation of Isaiah.  It seems from the references he gives in his note on Isa. 10:12</w:t>
      </w:r>
      <w:r w:rsidRPr="00487CD8">
        <w:rPr>
          <w:rStyle w:val="EndnoteReference"/>
        </w:rPr>
        <w:endnoteReference w:id="2490"/>
      </w:r>
      <w:r w:rsidRPr="00487CD8">
        <w:t xml:space="preserve"> that he has extended his definition of </w:t>
      </w:r>
      <w:r w:rsidRPr="003D62BB">
        <w:rPr>
          <w:spacing w:val="4"/>
        </w:rPr>
        <w:t>‘Israel’ to include Judah because some of these references antedate the division of the kingdom.</w:t>
      </w:r>
      <w:r w:rsidRPr="003D62BB">
        <w:rPr>
          <w:rStyle w:val="EndnoteReference"/>
          <w:spacing w:val="4"/>
        </w:rPr>
        <w:endnoteReference w:id="2491"/>
      </w:r>
      <w:r w:rsidRPr="003D62BB">
        <w:rPr>
          <w:spacing w:val="4"/>
        </w:rPr>
        <w:t xml:space="preserve">  Joel</w:t>
      </w:r>
      <w:r w:rsidRPr="00487CD8">
        <w:t xml:space="preserve"> 3:1-8 definitely refers to Judah but Isa. 14:1-2 refers to Jacob, while Mic. 5:7-9 refers to the remnant of Jacob.  Matthew 25:31-40 does not refer to Israel, Judah or Jacob.  This illustrates the point made in </w:t>
      </w:r>
      <w:r w:rsidRPr="00DF3B97">
        <w:t>1.1.1</w:t>
      </w:r>
      <w:r w:rsidRPr="00487CD8">
        <w:t>,</w:t>
      </w:r>
      <w:r w:rsidRPr="00487CD8">
        <w:rPr>
          <w:rStyle w:val="EndnoteReference"/>
        </w:rPr>
        <w:endnoteReference w:id="2492"/>
      </w:r>
      <w:r w:rsidRPr="00487CD8">
        <w:t xml:space="preserve"> that </w:t>
      </w:r>
      <w:r>
        <w:t xml:space="preserve">the term, </w:t>
      </w:r>
      <w:r w:rsidRPr="00487CD8">
        <w:t xml:space="preserve">‘Israel’ does not always mean ‘Israel’ in the same sense.  Scofield himself virtually acknowledges this when he states that ‘both names [Jacob and Israel] are applied to the nation descended from Jacob.  He gives the example of Isa. 9:8.  ‘The “word” was sent to all the people, “Jacob,” but it “lighted upon </w:t>
      </w:r>
      <w:r w:rsidRPr="00487CD8">
        <w:rPr>
          <w:i/>
        </w:rPr>
        <w:t>Israel</w:t>
      </w:r>
      <w:r w:rsidRPr="00487CD8">
        <w:t>,” i.e. was comprehended by the spiritual part of the people.’</w:t>
      </w:r>
      <w:r w:rsidRPr="00487CD8">
        <w:rPr>
          <w:rStyle w:val="EndnoteReference"/>
        </w:rPr>
        <w:endnoteReference w:id="2493"/>
      </w:r>
      <w:r w:rsidRPr="00487CD8">
        <w:t xml:space="preserve">  Scofield’s meaning for ‘Israel’ seems to have shifted again in his note on Isa. 13:1, where he avers that ‘the divine order’</w:t>
      </w:r>
      <w:r w:rsidRPr="00487CD8">
        <w:rPr>
          <w:rStyle w:val="EndnoteReference"/>
        </w:rPr>
        <w:endnoteReference w:id="2494"/>
      </w:r>
      <w:r w:rsidRPr="00487CD8">
        <w:t xml:space="preserve"> constitutes ‘Israel in her own land, the centre of the divine government of the world and channel of divine blessing’, with ‘the Gentiles blessed in association’ with her.</w:t>
      </w:r>
      <w:r w:rsidRPr="00487CD8">
        <w:rPr>
          <w:rStyle w:val="EndnoteReference"/>
        </w:rPr>
        <w:endnoteReference w:id="2495"/>
      </w:r>
      <w:r w:rsidRPr="00487CD8">
        <w:t xml:space="preserve">  Such a description surely cannot be confined to the ‘Israel’ of the northern kingdom.  </w:t>
      </w:r>
    </w:p>
    <w:p w:rsidR="006A2E06" w:rsidRPr="00895474" w:rsidRDefault="006A2E06" w:rsidP="006A2E06">
      <w:pPr>
        <w:spacing w:after="120" w:line="360" w:lineRule="auto"/>
        <w:ind w:right="74"/>
        <w:jc w:val="both"/>
        <w:rPr>
          <w:b/>
          <w:i/>
        </w:rPr>
      </w:pPr>
      <w:r w:rsidRPr="00895474">
        <w:rPr>
          <w:b/>
          <w:i/>
        </w:rPr>
        <w:t>Omissions</w:t>
      </w:r>
    </w:p>
    <w:p w:rsidR="006A2E06" w:rsidRPr="001B2AA2" w:rsidRDefault="006A2E06" w:rsidP="006A2E06">
      <w:pPr>
        <w:spacing w:after="120" w:line="360" w:lineRule="auto"/>
        <w:ind w:right="74"/>
        <w:jc w:val="both"/>
      </w:pPr>
      <w:r w:rsidRPr="001B2AA2">
        <w:t>Several references to the restoration of Israel and especially to Jerusalem occur within the thirty-six chapters of Isaiah not annotated by Scofield.</w:t>
      </w:r>
      <w:r w:rsidRPr="001B2AA2">
        <w:rPr>
          <w:rStyle w:val="EndnoteReference"/>
        </w:rPr>
        <w:endnoteReference w:id="2496"/>
      </w:r>
      <w:r w:rsidRPr="001B2AA2">
        <w:t xml:space="preserve">  Many of these involve Israel’s eventual peace.</w:t>
      </w:r>
      <w:r w:rsidRPr="001B2AA2">
        <w:rPr>
          <w:rStyle w:val="EndnoteReference"/>
        </w:rPr>
        <w:endnoteReference w:id="2497"/>
      </w:r>
      <w:r w:rsidRPr="001B2AA2">
        <w:t xml:space="preserve">  It is surprising that Scofield does not take the opportunity to comment upon the fulfilment of prophecy which occurs in the narrative of the invasion of Sennacherib.</w:t>
      </w:r>
      <w:r>
        <w:rPr>
          <w:rStyle w:val="EndnoteReference"/>
        </w:rPr>
        <w:endnoteReference w:id="2498"/>
      </w:r>
      <w:r w:rsidRPr="001B2AA2">
        <w:rPr>
          <w:color w:val="800080"/>
        </w:rPr>
        <w:t xml:space="preserve">  </w:t>
      </w:r>
    </w:p>
    <w:p w:rsidR="006A2E06" w:rsidRPr="001B2AA2" w:rsidRDefault="006A2E06" w:rsidP="006A2E06">
      <w:pPr>
        <w:spacing w:after="120" w:line="360" w:lineRule="auto"/>
        <w:ind w:right="74" w:firstLine="539"/>
        <w:jc w:val="both"/>
      </w:pPr>
      <w:r w:rsidRPr="001B2AA2">
        <w:t>It is possibly not surprising that Scofield does not reflect upon Isa. 48:19,</w:t>
      </w:r>
      <w:r w:rsidRPr="001B2AA2">
        <w:rPr>
          <w:rStyle w:val="FootnoteReference"/>
        </w:rPr>
        <w:footnoteReference w:id="93"/>
      </w:r>
      <w:r w:rsidRPr="001B2AA2">
        <w:t xml:space="preserve"> which has echoes of Gen. 22:17 and 32:12</w:t>
      </w:r>
      <w:r w:rsidRPr="001B2AA2">
        <w:rPr>
          <w:rStyle w:val="FootnoteReference"/>
        </w:rPr>
        <w:footnoteReference w:id="94"/>
      </w:r>
      <w:r w:rsidRPr="001B2AA2">
        <w:t xml:space="preserve"> but contains conditionality.  Even though Scofield does not annotate these verses in </w:t>
      </w:r>
      <w:r w:rsidRPr="001B2AA2">
        <w:lastRenderedPageBreak/>
        <w:t>Genesis either, they form part of God’s promises to Abraham, which Scofield regards as fundamental.  Scofield emphasises that the Abrahamic Covenant was ‘wholly gracious and unconditional’,</w:t>
      </w:r>
      <w:r w:rsidRPr="001B2AA2">
        <w:rPr>
          <w:rStyle w:val="EndnoteReference"/>
        </w:rPr>
        <w:endnoteReference w:id="2499"/>
      </w:r>
      <w:r w:rsidRPr="001B2AA2">
        <w:t xml:space="preserve"> whereas </w:t>
      </w:r>
      <w:r>
        <w:t>t</w:t>
      </w:r>
      <w:r w:rsidRPr="001B2AA2">
        <w:t>he suggestion in Isa</w:t>
      </w:r>
      <w:r>
        <w:t>. 48:19</w:t>
      </w:r>
      <w:r w:rsidRPr="001B2AA2">
        <w:t xml:space="preserve"> is that the promise concerning descendants was conditional upon Israel’s obedience</w:t>
      </w:r>
      <w:r>
        <w:t>.</w:t>
      </w:r>
    </w:p>
    <w:p w:rsidR="006A2E06" w:rsidRDefault="006A2E06" w:rsidP="006A2E06">
      <w:pPr>
        <w:spacing w:after="120" w:line="360" w:lineRule="auto"/>
        <w:ind w:right="74" w:firstLine="539"/>
        <w:jc w:val="both"/>
      </w:pPr>
      <w:r w:rsidRPr="000F4CD7">
        <w:t>The most notable omissions of chapters in Isaiah are those which pertain to what Robert Jewett and John Shelton Lawrence term ‘the healthier strands of faith and ethics that lie at the heart of every great religion’.</w:t>
      </w:r>
      <w:r w:rsidRPr="000F4CD7">
        <w:rPr>
          <w:rStyle w:val="EndnoteReference"/>
        </w:rPr>
        <w:endnoteReference w:id="2500"/>
      </w:r>
      <w:r w:rsidRPr="000F4CD7">
        <w:t xml:space="preserve">  In these chapters, Israel is often accused of its failure to act in justice and righteousness.</w:t>
      </w:r>
      <w:r w:rsidRPr="000F4CD7">
        <w:rPr>
          <w:rStyle w:val="EndnoteReference"/>
        </w:rPr>
        <w:endnoteReference w:id="2501"/>
      </w:r>
      <w:r w:rsidRPr="000F4CD7">
        <w:t xml:space="preserve">  Scofield ignores these chapters and their prophetic message with regard to ethical behaviour in every age.</w:t>
      </w:r>
    </w:p>
    <w:p w:rsidR="006A2E06" w:rsidRPr="009C1CA0" w:rsidRDefault="006A2E06" w:rsidP="006A2E06">
      <w:pPr>
        <w:spacing w:after="120" w:line="360" w:lineRule="auto"/>
        <w:ind w:right="74"/>
        <w:jc w:val="both"/>
        <w:rPr>
          <w:b/>
        </w:rPr>
      </w:pPr>
      <w:r>
        <w:rPr>
          <w:b/>
        </w:rPr>
        <w:t>8</w:t>
      </w:r>
      <w:r w:rsidRPr="009C1CA0">
        <w:rPr>
          <w:b/>
        </w:rPr>
        <w:t>.4.2  Jeremiah</w:t>
      </w:r>
    </w:p>
    <w:p w:rsidR="006A2E06" w:rsidRDefault="006A2E06" w:rsidP="006A2E06">
      <w:pPr>
        <w:spacing w:after="120" w:line="360" w:lineRule="auto"/>
        <w:ind w:right="74"/>
        <w:jc w:val="center"/>
        <w:rPr>
          <w:b/>
        </w:rPr>
      </w:pPr>
      <w:r>
        <w:rPr>
          <w:b/>
          <w:noProof/>
          <w:lang w:eastAsia="en-GB"/>
        </w:rPr>
        <w:drawing>
          <wp:inline distT="0" distB="0" distL="0" distR="0" wp14:anchorId="0DAED253" wp14:editId="06C77D11">
            <wp:extent cx="5400040" cy="151765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emiah 10.12.17 crop.jpg"/>
                    <pic:cNvPicPr/>
                  </pic:nvPicPr>
                  <pic:blipFill>
                    <a:blip r:embed="rId164">
                      <a:extLst>
                        <a:ext uri="{28A0092B-C50C-407E-A947-70E740481C1C}">
                          <a14:useLocalDpi xmlns:a14="http://schemas.microsoft.com/office/drawing/2010/main" val="0"/>
                        </a:ext>
                      </a:extLst>
                    </a:blip>
                    <a:stretch>
                      <a:fillRect/>
                    </a:stretch>
                  </pic:blipFill>
                  <pic:spPr>
                    <a:xfrm>
                      <a:off x="0" y="0"/>
                      <a:ext cx="5400040" cy="1517650"/>
                    </a:xfrm>
                    <a:prstGeom prst="rect">
                      <a:avLst/>
                    </a:prstGeom>
                  </pic:spPr>
                </pic:pic>
              </a:graphicData>
            </a:graphic>
          </wp:inline>
        </w:drawing>
      </w:r>
    </w:p>
    <w:p w:rsidR="006A2E06" w:rsidRPr="005F664A" w:rsidRDefault="006A2E06" w:rsidP="006A2E06">
      <w:pPr>
        <w:spacing w:after="120" w:line="240" w:lineRule="auto"/>
        <w:ind w:right="74"/>
        <w:jc w:val="center"/>
        <w:rPr>
          <w:b/>
        </w:rPr>
      </w:pPr>
      <w:r>
        <w:rPr>
          <w:b/>
          <w:noProof/>
          <w:lang w:eastAsia="en-GB"/>
        </w:rPr>
        <w:drawing>
          <wp:inline distT="0" distB="0" distL="0" distR="0" wp14:anchorId="2E15B085" wp14:editId="1121B2C4">
            <wp:extent cx="5400040" cy="635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emiah title 11.3.18 crop.jpg"/>
                    <pic:cNvPicPr/>
                  </pic:nvPicPr>
                  <pic:blipFill>
                    <a:blip r:embed="rId165">
                      <a:extLst>
                        <a:ext uri="{28A0092B-C50C-407E-A947-70E740481C1C}">
                          <a14:useLocalDpi xmlns:a14="http://schemas.microsoft.com/office/drawing/2010/main" val="0"/>
                        </a:ext>
                      </a:extLst>
                    </a:blip>
                    <a:stretch>
                      <a:fillRect/>
                    </a:stretch>
                  </pic:blipFill>
                  <pic:spPr>
                    <a:xfrm>
                      <a:off x="0" y="0"/>
                      <a:ext cx="5400040" cy="635000"/>
                    </a:xfrm>
                    <a:prstGeom prst="rect">
                      <a:avLst/>
                    </a:prstGeom>
                  </pic:spPr>
                </pic:pic>
              </a:graphicData>
            </a:graphic>
          </wp:inline>
        </w:drawing>
      </w:r>
    </w:p>
    <w:p w:rsidR="006A2E06" w:rsidRDefault="006A2E06" w:rsidP="006A2E06">
      <w:pPr>
        <w:spacing w:after="120" w:line="240" w:lineRule="auto"/>
        <w:ind w:right="74"/>
        <w:jc w:val="both"/>
        <w:rPr>
          <w:b/>
          <w:i/>
        </w:rPr>
      </w:pPr>
      <w:r w:rsidRPr="005D3E60">
        <w:rPr>
          <w:b/>
          <w:i/>
        </w:rPr>
        <w:t>Introduction</w:t>
      </w:r>
      <w:r>
        <w:rPr>
          <w:b/>
          <w:i/>
        </w:rPr>
        <w:t>: Key Points</w:t>
      </w:r>
      <w:r>
        <w:rPr>
          <w:rStyle w:val="EndnoteReference"/>
        </w:rPr>
        <w:endnoteReference w:id="2502"/>
      </w:r>
    </w:p>
    <w:p w:rsidR="006A2E06" w:rsidRDefault="006A2E06" w:rsidP="006A2E06">
      <w:pPr>
        <w:spacing w:after="120" w:line="240" w:lineRule="auto"/>
        <w:ind w:left="567" w:right="74"/>
        <w:jc w:val="both"/>
      </w:pPr>
      <w:r>
        <w:t>B</w:t>
      </w:r>
      <w:r w:rsidRPr="005D00B9">
        <w:t>iographical details for Jeremiah</w:t>
      </w:r>
      <w:r>
        <w:t>, placing the start of his ministry in ‘the thirteenth</w:t>
      </w:r>
      <w:r w:rsidRPr="005D00B9">
        <w:t xml:space="preserve"> </w:t>
      </w:r>
      <w:r>
        <w:t>year of Josiah, about sixty years after Isaiah’s death’.</w:t>
      </w:r>
    </w:p>
    <w:p w:rsidR="006A2E06" w:rsidRDefault="006A2E06" w:rsidP="006A2E06">
      <w:pPr>
        <w:spacing w:after="120" w:line="240" w:lineRule="auto"/>
        <w:ind w:left="567" w:right="74"/>
        <w:jc w:val="both"/>
      </w:pPr>
      <w:r>
        <w:t xml:space="preserve">Jeremiah prophesied before and during Judah’s exile in Babylon. </w:t>
      </w:r>
    </w:p>
    <w:p w:rsidR="006A2E06" w:rsidRDefault="006A2E06" w:rsidP="006A2E06">
      <w:pPr>
        <w:spacing w:after="120" w:line="240" w:lineRule="auto"/>
        <w:ind w:left="567" w:right="74"/>
        <w:jc w:val="both"/>
      </w:pPr>
      <w:r>
        <w:t>Jeremiah ‘connects the pre-exile prophets with Ezekiel and Daniel, prophets of the exile’.</w:t>
      </w:r>
    </w:p>
    <w:p w:rsidR="006A2E06" w:rsidRDefault="006A2E06" w:rsidP="006A2E06">
      <w:pPr>
        <w:spacing w:after="240" w:line="240" w:lineRule="auto"/>
        <w:ind w:left="567" w:right="74"/>
        <w:jc w:val="both"/>
      </w:pPr>
      <w:r>
        <w:t xml:space="preserve">Jeremiah’s vision includes </w:t>
      </w:r>
      <w:r w:rsidRPr="0064334F">
        <w:t>Babylonian captivity, return after 70 years, world-wide dispersion, final regathering, the kingdom-age, the day of judgment upon the Gentile powers and the Remnant.</w:t>
      </w:r>
    </w:p>
    <w:p w:rsidR="006A2E06" w:rsidRDefault="006A2E06" w:rsidP="006A2E06">
      <w:pPr>
        <w:spacing w:after="240" w:line="240" w:lineRule="auto"/>
        <w:ind w:left="567" w:right="74"/>
        <w:jc w:val="center"/>
      </w:pPr>
    </w:p>
    <w:p w:rsidR="00F73215" w:rsidRDefault="00F73215" w:rsidP="006A2E06">
      <w:pPr>
        <w:spacing w:after="240" w:line="240" w:lineRule="auto"/>
        <w:ind w:left="567" w:right="74"/>
        <w:jc w:val="center"/>
      </w:pPr>
    </w:p>
    <w:p w:rsidR="00F73215" w:rsidRDefault="00F73215" w:rsidP="006A2E06">
      <w:pPr>
        <w:spacing w:after="240" w:line="240" w:lineRule="auto"/>
        <w:ind w:left="567" w:right="74"/>
        <w:jc w:val="center"/>
      </w:pPr>
    </w:p>
    <w:p w:rsidR="00F73215" w:rsidRPr="00BC6030" w:rsidRDefault="00F73215" w:rsidP="006A2E06">
      <w:pPr>
        <w:spacing w:after="240" w:line="240" w:lineRule="auto"/>
        <w:ind w:left="567" w:right="74"/>
        <w:jc w:val="center"/>
      </w:pPr>
    </w:p>
    <w:p w:rsidR="006A2E06" w:rsidRDefault="00F73215" w:rsidP="006A2E06">
      <w:pPr>
        <w:spacing w:after="120" w:line="360" w:lineRule="auto"/>
        <w:ind w:right="74"/>
        <w:jc w:val="center"/>
      </w:pPr>
      <w:r>
        <w:rPr>
          <w:noProof/>
          <w:lang w:eastAsia="en-GB"/>
        </w:rPr>
        <w:lastRenderedPageBreak/>
        <w:drawing>
          <wp:inline distT="0" distB="0" distL="0" distR="0">
            <wp:extent cx="5400040" cy="698182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emiah themes as table rev 8.5.18 rev 26.6.18 crop.jpg"/>
                    <pic:cNvPicPr/>
                  </pic:nvPicPr>
                  <pic:blipFill>
                    <a:blip r:embed="rId166">
                      <a:extLst>
                        <a:ext uri="{28A0092B-C50C-407E-A947-70E740481C1C}">
                          <a14:useLocalDpi xmlns:a14="http://schemas.microsoft.com/office/drawing/2010/main" val="0"/>
                        </a:ext>
                      </a:extLst>
                    </a:blip>
                    <a:stretch>
                      <a:fillRect/>
                    </a:stretch>
                  </pic:blipFill>
                  <pic:spPr>
                    <a:xfrm>
                      <a:off x="0" y="0"/>
                      <a:ext cx="5400040" cy="6981825"/>
                    </a:xfrm>
                    <a:prstGeom prst="rect">
                      <a:avLst/>
                    </a:prstGeom>
                  </pic:spPr>
                </pic:pic>
              </a:graphicData>
            </a:graphic>
          </wp:inline>
        </w:drawing>
      </w:r>
    </w:p>
    <w:p w:rsidR="006A2E06" w:rsidRPr="00822082" w:rsidRDefault="006A2E06" w:rsidP="006A2E06">
      <w:pPr>
        <w:spacing w:after="120" w:line="360" w:lineRule="auto"/>
        <w:ind w:right="74"/>
        <w:jc w:val="both"/>
        <w:rPr>
          <w:b/>
          <w:i/>
        </w:rPr>
      </w:pPr>
      <w:r w:rsidRPr="00822082">
        <w:rPr>
          <w:b/>
          <w:i/>
        </w:rPr>
        <w:t>Annotation: Key Points:</w:t>
      </w:r>
    </w:p>
    <w:p w:rsidR="006A2E06" w:rsidRDefault="006A2E06" w:rsidP="006A2E06">
      <w:pPr>
        <w:spacing w:after="120" w:line="240" w:lineRule="auto"/>
        <w:ind w:left="567" w:right="74"/>
        <w:jc w:val="both"/>
      </w:pPr>
      <w:r>
        <w:t>34 of 52 chapters not annotated</w:t>
      </w:r>
    </w:p>
    <w:p w:rsidR="006A2E06" w:rsidRPr="00533F32" w:rsidRDefault="006A2E06" w:rsidP="006A2E06">
      <w:pPr>
        <w:spacing w:after="120" w:line="240" w:lineRule="auto"/>
        <w:ind w:left="567" w:right="74"/>
        <w:jc w:val="both"/>
      </w:pPr>
      <w:r>
        <w:t>Assertion that</w:t>
      </w:r>
      <w:r w:rsidRPr="00533F32">
        <w:t xml:space="preserve"> ‘without form and void’</w:t>
      </w:r>
      <w:r>
        <w:rPr>
          <w:rStyle w:val="EndnoteReference"/>
        </w:rPr>
        <w:endnoteReference w:id="2503"/>
      </w:r>
      <w:r w:rsidRPr="00533F32">
        <w:t xml:space="preserve"> ‘describes the condition of the earth as a result of judgment … which overthrew the primal order of Gen. 1:1’.</w:t>
      </w:r>
      <w:r w:rsidRPr="00533F32">
        <w:rPr>
          <w:rStyle w:val="EndnoteReference"/>
        </w:rPr>
        <w:endnoteReference w:id="2504"/>
      </w:r>
      <w:r w:rsidRPr="00533F32">
        <w:t xml:space="preserve">  </w:t>
      </w:r>
    </w:p>
    <w:p w:rsidR="006A2E06" w:rsidRDefault="006A2E06" w:rsidP="006A2E06">
      <w:pPr>
        <w:spacing w:after="120" w:line="240" w:lineRule="auto"/>
        <w:ind w:left="567" w:right="74"/>
        <w:jc w:val="both"/>
      </w:pPr>
      <w:r>
        <w:t>Assertion that</w:t>
      </w:r>
      <w:r w:rsidRPr="0085367F">
        <w:t xml:space="preserve"> </w:t>
      </w:r>
      <w:r>
        <w:t xml:space="preserve">the </w:t>
      </w:r>
      <w:r w:rsidRPr="0085367F">
        <w:t xml:space="preserve">transportation of Zedekiah to Babylon </w:t>
      </w:r>
      <w:r>
        <w:t>is</w:t>
      </w:r>
      <w:r w:rsidRPr="0085367F">
        <w:t xml:space="preserve"> </w:t>
      </w:r>
      <w:r>
        <w:t xml:space="preserve">the </w:t>
      </w:r>
      <w:r w:rsidRPr="0085367F">
        <w:t>beginning of the ‘Times of the Gentiles’</w:t>
      </w:r>
      <w:r>
        <w:t>; Jerusalem under Gentile overlordship</w:t>
      </w:r>
      <w:r w:rsidRPr="0085367F">
        <w:t xml:space="preserve"> ‘from the time of Nebuchadnezzar to this day’.</w:t>
      </w:r>
      <w:r>
        <w:rPr>
          <w:rStyle w:val="EndnoteReference"/>
        </w:rPr>
        <w:endnoteReference w:id="2505"/>
      </w:r>
    </w:p>
    <w:p w:rsidR="006A2E06" w:rsidRDefault="006A2E06" w:rsidP="006A2E06">
      <w:pPr>
        <w:spacing w:after="120" w:line="240" w:lineRule="auto"/>
        <w:ind w:left="567" w:right="74"/>
        <w:jc w:val="both"/>
      </w:pPr>
      <w:r>
        <w:t>D</w:t>
      </w:r>
      <w:r w:rsidRPr="007E18AF">
        <w:t>etailed analysis of st</w:t>
      </w:r>
      <w:r>
        <w:t>ages of Jeremiah’s imprisonment.</w:t>
      </w:r>
      <w:r w:rsidRPr="007E18AF">
        <w:rPr>
          <w:rStyle w:val="EndnoteReference"/>
        </w:rPr>
        <w:endnoteReference w:id="2506"/>
      </w:r>
    </w:p>
    <w:p w:rsidR="006A2E06" w:rsidRDefault="006A2E06" w:rsidP="006A2E06">
      <w:pPr>
        <w:spacing w:after="0" w:line="240" w:lineRule="auto"/>
        <w:ind w:left="567" w:right="74"/>
        <w:jc w:val="both"/>
      </w:pPr>
      <w:r w:rsidRPr="00824AB9">
        <w:rPr>
          <w:i/>
        </w:rPr>
        <w:lastRenderedPageBreak/>
        <w:t>Israel</w:t>
      </w:r>
      <w:r>
        <w:rPr>
          <w:i/>
        </w:rPr>
        <w:t xml:space="preserve"> and Judah</w:t>
      </w:r>
    </w:p>
    <w:p w:rsidR="006A2E06" w:rsidRPr="00142B8B" w:rsidRDefault="006A2E06" w:rsidP="006A2E06">
      <w:pPr>
        <w:spacing w:after="60" w:line="240" w:lineRule="auto"/>
        <w:ind w:left="851" w:right="74"/>
        <w:jc w:val="both"/>
      </w:pPr>
      <w:r w:rsidRPr="00142B8B">
        <w:t>‘Rebuke, warnings and exhortation’ to Judah,</w:t>
      </w:r>
      <w:r w:rsidRPr="00142B8B">
        <w:rPr>
          <w:rStyle w:val="EndnoteReference"/>
        </w:rPr>
        <w:endnoteReference w:id="2507"/>
      </w:r>
      <w:r w:rsidRPr="00142B8B">
        <w:t xml:space="preserve"> including ‘religious Judah’.</w:t>
      </w:r>
      <w:r w:rsidRPr="00142B8B">
        <w:rPr>
          <w:rStyle w:val="EndnoteReference"/>
        </w:rPr>
        <w:endnoteReference w:id="2508"/>
      </w:r>
      <w:r w:rsidRPr="00142B8B">
        <w:t xml:space="preserve">  </w:t>
      </w:r>
    </w:p>
    <w:p w:rsidR="006A2E06" w:rsidRPr="00142B8B" w:rsidRDefault="006A2E06" w:rsidP="006A2E06">
      <w:pPr>
        <w:spacing w:after="60" w:line="240" w:lineRule="auto"/>
        <w:ind w:left="851" w:right="74"/>
        <w:jc w:val="both"/>
      </w:pPr>
      <w:r w:rsidRPr="00142B8B">
        <w:t>Violations of the Palestinian Covenant led to the Assyrian and Babylonian captivities; Judah should have taken warning from the northern kingdom’s chastisement.</w:t>
      </w:r>
      <w:r w:rsidRPr="00142B8B">
        <w:rPr>
          <w:rStyle w:val="EndnoteReference"/>
        </w:rPr>
        <w:endnoteReference w:id="2509"/>
      </w:r>
      <w:r w:rsidRPr="00142B8B">
        <w:t xml:space="preserve">  </w:t>
      </w:r>
    </w:p>
    <w:p w:rsidR="006A2E06" w:rsidRDefault="006A2E06" w:rsidP="006A2E06">
      <w:pPr>
        <w:spacing w:after="60" w:line="240" w:lineRule="auto"/>
        <w:ind w:left="851" w:right="74"/>
        <w:jc w:val="both"/>
      </w:pPr>
      <w:r w:rsidRPr="00142B8B">
        <w:t>After warnings, Jeremiah’s message promises ultimate national restoration and blessing</w:t>
      </w:r>
      <w:r>
        <w:t>.</w:t>
      </w:r>
      <w:r w:rsidRPr="00142B8B">
        <w:rPr>
          <w:rStyle w:val="EndnoteReference"/>
        </w:rPr>
        <w:endnoteReference w:id="2510"/>
      </w:r>
      <w:r w:rsidRPr="00142B8B">
        <w:t xml:space="preserve"> </w:t>
      </w:r>
    </w:p>
    <w:p w:rsidR="006A2E06" w:rsidRPr="00CA0A78" w:rsidRDefault="006A2E06" w:rsidP="006A2E06">
      <w:pPr>
        <w:spacing w:after="60" w:line="240" w:lineRule="auto"/>
        <w:ind w:left="851" w:right="74"/>
        <w:jc w:val="both"/>
      </w:pPr>
      <w:r w:rsidRPr="00CA0A78">
        <w:t>Future restoration not be confused with ‘the return of a feeble remnant of Judah under Ezra, Nehemiah and Zerubbabel at the end of the 70 years’,</w:t>
      </w:r>
      <w:r w:rsidRPr="00CA0A78">
        <w:rPr>
          <w:rStyle w:val="EndnoteReference"/>
        </w:rPr>
        <w:endnoteReference w:id="2511"/>
      </w:r>
      <w:r w:rsidRPr="00CA0A78">
        <w:t xml:space="preserve"> and that even this remnant, whom Jeremiah represents, must be distinguished from the ‘unbelieving mass’.</w:t>
      </w:r>
      <w:r w:rsidRPr="00CA0A78">
        <w:rPr>
          <w:rStyle w:val="EndnoteReference"/>
        </w:rPr>
        <w:endnoteReference w:id="2512"/>
      </w:r>
    </w:p>
    <w:p w:rsidR="006A2E06" w:rsidRPr="00142B8B" w:rsidRDefault="006A2E06" w:rsidP="006A2E06">
      <w:pPr>
        <w:spacing w:after="60" w:line="240" w:lineRule="auto"/>
        <w:ind w:left="851" w:right="74"/>
        <w:jc w:val="both"/>
      </w:pPr>
      <w:r w:rsidRPr="00142B8B">
        <w:t>‘Jehovah will again make [the whole of Israel] again another vessel’: ‘key to prophetic strain’.</w:t>
      </w:r>
      <w:r w:rsidRPr="00142B8B">
        <w:rPr>
          <w:rStyle w:val="EndnoteReference"/>
        </w:rPr>
        <w:endnoteReference w:id="2513"/>
      </w:r>
      <w:r w:rsidRPr="00142B8B">
        <w:t xml:space="preserve">  Jeremiah’s purchase of the field is quoted as proof of the prophet’s confidence in this.</w:t>
      </w:r>
      <w:r w:rsidRPr="00142B8B">
        <w:rPr>
          <w:rStyle w:val="EndnoteReference"/>
        </w:rPr>
        <w:endnoteReference w:id="2514"/>
      </w:r>
      <w:r w:rsidRPr="00142B8B">
        <w:t xml:space="preserve">  </w:t>
      </w:r>
    </w:p>
    <w:p w:rsidR="006A2E06" w:rsidRPr="00142B8B" w:rsidRDefault="006A2E06" w:rsidP="006A2E06">
      <w:pPr>
        <w:spacing w:after="60" w:line="240" w:lineRule="auto"/>
        <w:ind w:left="851" w:right="74"/>
        <w:jc w:val="both"/>
      </w:pPr>
      <w:r w:rsidRPr="00142B8B">
        <w:t xml:space="preserve">However, Israel’s future restoration and conversion to be preceded by tribulational chastisement.  </w:t>
      </w:r>
    </w:p>
    <w:p w:rsidR="006A2E06" w:rsidRPr="00142B8B" w:rsidRDefault="006A2E06" w:rsidP="006A2E06">
      <w:pPr>
        <w:spacing w:after="60" w:line="240" w:lineRule="auto"/>
        <w:ind w:left="851" w:right="74"/>
        <w:jc w:val="both"/>
      </w:pPr>
      <w:r w:rsidRPr="00142B8B">
        <w:t>Assertion that prophecies concerning Israel, not fulfilled at Christ’s first advent, remain unfulfilled.</w:t>
      </w:r>
      <w:r w:rsidRPr="00142B8B">
        <w:rPr>
          <w:rStyle w:val="EndnoteReference"/>
        </w:rPr>
        <w:endnoteReference w:id="2515"/>
      </w:r>
      <w:r w:rsidRPr="00142B8B">
        <w:t xml:space="preserve">  </w:t>
      </w:r>
    </w:p>
    <w:p w:rsidR="006A2E06" w:rsidRDefault="006A2E06" w:rsidP="006A2E06">
      <w:pPr>
        <w:spacing w:after="120" w:line="240" w:lineRule="auto"/>
        <w:ind w:left="851" w:right="74"/>
        <w:jc w:val="both"/>
      </w:pPr>
      <w:r w:rsidRPr="00142B8B">
        <w:t>Assertion that Jeremiah 30</w:t>
      </w:r>
      <w:r>
        <w:t xml:space="preserve"> </w:t>
      </w:r>
      <w:r w:rsidRPr="00012B96">
        <w:rPr>
          <w:sz w:val="16"/>
          <w:szCs w:val="24"/>
        </w:rPr>
        <w:t>—</w:t>
      </w:r>
      <w:r>
        <w:rPr>
          <w:sz w:val="16"/>
          <w:szCs w:val="24"/>
        </w:rPr>
        <w:t xml:space="preserve"> </w:t>
      </w:r>
      <w:r w:rsidRPr="00142B8B">
        <w:t>36 summarise prophecy concerning Israel as a nation, especially the last days, day of the LORD and succeeding kingdom-age.</w:t>
      </w:r>
      <w:r w:rsidRPr="00142B8B">
        <w:rPr>
          <w:rStyle w:val="EndnoteReference"/>
        </w:rPr>
        <w:endnoteReference w:id="2516"/>
      </w:r>
    </w:p>
    <w:p w:rsidR="006A2E06" w:rsidRPr="00BA5EA2" w:rsidRDefault="00A34BF3" w:rsidP="006A2E06">
      <w:pPr>
        <w:spacing w:after="0" w:line="240" w:lineRule="auto"/>
        <w:ind w:left="567" w:right="74"/>
        <w:jc w:val="both"/>
        <w:rPr>
          <w:i/>
        </w:rPr>
      </w:pPr>
      <w:r>
        <w:rPr>
          <w:i/>
        </w:rPr>
        <w:t>‘</w:t>
      </w:r>
      <w:r w:rsidR="006A2E06" w:rsidRPr="00BA5EA2">
        <w:rPr>
          <w:i/>
        </w:rPr>
        <w:t>Near</w:t>
      </w:r>
      <w:r>
        <w:rPr>
          <w:i/>
        </w:rPr>
        <w:t>’</w:t>
      </w:r>
      <w:r w:rsidR="006A2E06" w:rsidRPr="00BA5EA2">
        <w:rPr>
          <w:i/>
        </w:rPr>
        <w:t xml:space="preserve"> and </w:t>
      </w:r>
      <w:r>
        <w:rPr>
          <w:i/>
        </w:rPr>
        <w:t>‘</w:t>
      </w:r>
      <w:r w:rsidR="006A2E06" w:rsidRPr="00BA5EA2">
        <w:rPr>
          <w:i/>
        </w:rPr>
        <w:t>Far</w:t>
      </w:r>
      <w:r>
        <w:rPr>
          <w:i/>
        </w:rPr>
        <w:t>’</w:t>
      </w:r>
      <w:r w:rsidR="006A2E06" w:rsidRPr="00BA5EA2">
        <w:rPr>
          <w:i/>
        </w:rPr>
        <w:t xml:space="preserve"> Prophecy</w:t>
      </w:r>
    </w:p>
    <w:p w:rsidR="006A2E06" w:rsidRPr="00BA5EA2" w:rsidRDefault="006A2E06" w:rsidP="006A2E06">
      <w:pPr>
        <w:spacing w:after="60" w:line="240" w:lineRule="auto"/>
        <w:ind w:left="567" w:right="74"/>
        <w:jc w:val="both"/>
      </w:pPr>
      <w:r w:rsidRPr="00BA5EA2">
        <w:t>Two direct references</w:t>
      </w:r>
      <w:r>
        <w:t>:</w:t>
      </w:r>
    </w:p>
    <w:p w:rsidR="006A2E06" w:rsidRPr="00BA5EA2" w:rsidRDefault="006A2E06" w:rsidP="006A2E06">
      <w:pPr>
        <w:spacing w:after="60" w:line="240" w:lineRule="auto"/>
        <w:ind w:left="851" w:right="74"/>
        <w:jc w:val="both"/>
      </w:pPr>
      <w:r w:rsidRPr="0003272E">
        <w:t>1</w:t>
      </w:r>
      <w:r w:rsidRPr="00CB400F">
        <w:rPr>
          <w:i/>
        </w:rPr>
        <w:t xml:space="preserve">  </w:t>
      </w:r>
      <w:r>
        <w:t xml:space="preserve">‘Near event’: the </w:t>
      </w:r>
      <w:r w:rsidRPr="00BA5EA2">
        <w:t>Babylonian invasion</w:t>
      </w:r>
      <w:r>
        <w:t>; ‘far event’: p</w:t>
      </w:r>
      <w:r w:rsidRPr="00BA5EA2">
        <w:t>redictions of the Day of the LORD and battle of Armageddon</w:t>
      </w:r>
      <w:r>
        <w:t>.</w:t>
      </w:r>
      <w:r w:rsidRPr="00BA5EA2">
        <w:rPr>
          <w:rStyle w:val="EndnoteReference"/>
        </w:rPr>
        <w:endnoteReference w:id="2517"/>
      </w:r>
    </w:p>
    <w:p w:rsidR="006A2E06" w:rsidRDefault="006A2E06" w:rsidP="006A2E06">
      <w:pPr>
        <w:spacing w:after="120" w:line="240" w:lineRule="auto"/>
        <w:ind w:left="851" w:right="74"/>
        <w:jc w:val="both"/>
      </w:pPr>
      <w:r w:rsidRPr="00BA5EA2">
        <w:t xml:space="preserve">2  </w:t>
      </w:r>
      <w:r>
        <w:t xml:space="preserve">‘Near event’: the </w:t>
      </w:r>
      <w:r w:rsidRPr="00BA5EA2">
        <w:t>Babylonian invasion</w:t>
      </w:r>
      <w:r>
        <w:t>; ‘far event’: the j</w:t>
      </w:r>
      <w:r w:rsidRPr="00BA5EA2">
        <w:t xml:space="preserve">udgment of </w:t>
      </w:r>
      <w:r>
        <w:t xml:space="preserve">the </w:t>
      </w:r>
      <w:r w:rsidRPr="00BA5EA2">
        <w:t>nations and Israel’s deliverance in the last days.</w:t>
      </w:r>
      <w:r w:rsidRPr="00BA5EA2">
        <w:rPr>
          <w:rStyle w:val="EndnoteReference"/>
        </w:rPr>
        <w:endnoteReference w:id="2518"/>
      </w:r>
    </w:p>
    <w:p w:rsidR="006A2E06" w:rsidRPr="00EA36A0" w:rsidRDefault="006A2E06" w:rsidP="006A2E06">
      <w:pPr>
        <w:spacing w:after="120" w:line="360" w:lineRule="auto"/>
        <w:ind w:right="74"/>
        <w:jc w:val="both"/>
        <w:rPr>
          <w:b/>
          <w:i/>
        </w:rPr>
      </w:pPr>
      <w:r w:rsidRPr="00EA36A0">
        <w:rPr>
          <w:b/>
          <w:i/>
        </w:rPr>
        <w:t>Comment</w:t>
      </w:r>
    </w:p>
    <w:p w:rsidR="006A2E06" w:rsidRDefault="006A2E06" w:rsidP="006A2E06">
      <w:pPr>
        <w:spacing w:after="120" w:line="360" w:lineRule="auto"/>
        <w:ind w:right="74"/>
        <w:jc w:val="both"/>
        <w:rPr>
          <w:color w:val="000000"/>
        </w:rPr>
      </w:pPr>
      <w:r>
        <w:t>Jeremiah contains further illustrations of the incidence of different uses of the word, ‘Israel’.</w:t>
      </w:r>
      <w:r>
        <w:rPr>
          <w:rStyle w:val="EndnoteReference"/>
        </w:rPr>
        <w:endnoteReference w:id="2519"/>
      </w:r>
      <w:r>
        <w:t xml:space="preserve">  The addressees are the people of Judah; the northern kingdom of Israel is clearly sometimes named by Jeremiah as a separate entity, for example, in Jer. 3:6-8, which refer to Israel’s backsliding activities and to ‘her treacherous sister’ Judah’s not taking warning but also playing the harlot.  Scofield notes that ‘the second message to backsliding Judah’</w:t>
      </w:r>
      <w:r>
        <w:rPr>
          <w:rStyle w:val="EndnoteReference"/>
        </w:rPr>
        <w:endnoteReference w:id="2520"/>
      </w:r>
      <w:r>
        <w:t xml:space="preserve"> contains ‘reproach that the example of Jehovah’s chastening of the northern kingdom had produced no effect upon Judah’ and ‘warning of like chastisement impending over Judah’.</w:t>
      </w:r>
      <w:r>
        <w:rPr>
          <w:rStyle w:val="EndnoteReference"/>
        </w:rPr>
        <w:endnoteReference w:id="2521"/>
      </w:r>
      <w:r>
        <w:t xml:space="preserve">  However, both Jeremiah and Scofield also use the term, ‘Israel’, as denoting a single entity; for example, Jer. 2:3-4 refers to Israel as being ‘holiness unto the LORD’,</w:t>
      </w:r>
      <w:r>
        <w:rPr>
          <w:rStyle w:val="EndnoteReference"/>
        </w:rPr>
        <w:endnoteReference w:id="2522"/>
      </w:r>
      <w:r>
        <w:t xml:space="preserve"> brought out by him from Egypt</w:t>
      </w:r>
      <w:r>
        <w:rPr>
          <w:rStyle w:val="EndnoteReference"/>
        </w:rPr>
        <w:endnoteReference w:id="2523"/>
      </w:r>
      <w:r>
        <w:t xml:space="preserve"> ‘into a plentiful country’.</w:t>
      </w:r>
      <w:r>
        <w:rPr>
          <w:rStyle w:val="EndnoteReference"/>
        </w:rPr>
        <w:endnoteReference w:id="2524"/>
      </w:r>
      <w:r>
        <w:t xml:space="preserve">  Similarly, Scofield refers to ‘the general character of the first message from Jehovah to Judah by Jeremiah … [which] reminds Israel of the days of blessing and deliverance; reproaches them with forsaking Him’; and ‘accuses them of choosing other, and impotent, gods’.</w:t>
      </w:r>
      <w:r>
        <w:rPr>
          <w:rStyle w:val="EndnoteReference"/>
        </w:rPr>
        <w:endnoteReference w:id="2525"/>
      </w:r>
      <w:r>
        <w:t xml:space="preserve">  Scofield is clearly aware of the discrepancy in meaning because he expands his comment upon Jer. 3:6 by stating that ‘</w:t>
      </w:r>
      <w:r>
        <w:rPr>
          <w:color w:val="000000"/>
        </w:rPr>
        <w:t>“</w:t>
      </w:r>
      <w:r>
        <w:t>Israel” and “Ephraim” [are] names by which the northern kingdom (the ten tribes) is usually called in the prophets.  When by “Israel” the whole nation is meant, it will appear from the context.’</w:t>
      </w:r>
      <w:r>
        <w:rPr>
          <w:rStyle w:val="EndnoteReference"/>
        </w:rPr>
        <w:endnoteReference w:id="2526"/>
      </w:r>
      <w:r>
        <w:t xml:space="preserve">  </w:t>
      </w:r>
      <w:r w:rsidRPr="001B2AA2">
        <w:rPr>
          <w:color w:val="000000"/>
        </w:rPr>
        <w:t xml:space="preserve">  </w:t>
      </w:r>
    </w:p>
    <w:p w:rsidR="00F502BB" w:rsidRDefault="00F502BB" w:rsidP="006A2E06">
      <w:pPr>
        <w:spacing w:after="120" w:line="360" w:lineRule="auto"/>
        <w:ind w:right="74"/>
        <w:jc w:val="both"/>
        <w:rPr>
          <w:color w:val="000000"/>
        </w:rPr>
      </w:pPr>
    </w:p>
    <w:p w:rsidR="00F502BB" w:rsidRDefault="00F502BB" w:rsidP="006A2E06">
      <w:pPr>
        <w:spacing w:after="120" w:line="360" w:lineRule="auto"/>
        <w:ind w:right="74"/>
        <w:jc w:val="both"/>
        <w:rPr>
          <w:color w:val="000000"/>
        </w:rPr>
      </w:pPr>
    </w:p>
    <w:p w:rsidR="006A2E06" w:rsidRPr="00EA36A0" w:rsidRDefault="006A2E06" w:rsidP="006A2E06">
      <w:pPr>
        <w:spacing w:after="120" w:line="360" w:lineRule="auto"/>
        <w:ind w:right="74"/>
        <w:jc w:val="both"/>
        <w:rPr>
          <w:b/>
          <w:i/>
          <w:sz w:val="24"/>
        </w:rPr>
      </w:pPr>
      <w:r w:rsidRPr="00EA36A0">
        <w:rPr>
          <w:b/>
          <w:i/>
        </w:rPr>
        <w:lastRenderedPageBreak/>
        <w:t>Omissions</w:t>
      </w:r>
    </w:p>
    <w:p w:rsidR="006A2E06" w:rsidRPr="007E18AF" w:rsidRDefault="006A2E06" w:rsidP="006A2E06">
      <w:pPr>
        <w:pStyle w:val="EndnoteText"/>
        <w:spacing w:after="120" w:line="360" w:lineRule="auto"/>
        <w:jc w:val="both"/>
        <w:rPr>
          <w:sz w:val="22"/>
          <w:szCs w:val="22"/>
        </w:rPr>
      </w:pPr>
      <w:r w:rsidRPr="007E18AF">
        <w:rPr>
          <w:sz w:val="22"/>
          <w:szCs w:val="22"/>
        </w:rPr>
        <w:t xml:space="preserve">Though Scofield </w:t>
      </w:r>
      <w:r>
        <w:rPr>
          <w:sz w:val="22"/>
          <w:szCs w:val="22"/>
        </w:rPr>
        <w:t>gives</w:t>
      </w:r>
      <w:r w:rsidRPr="007E18AF">
        <w:rPr>
          <w:sz w:val="22"/>
          <w:szCs w:val="22"/>
        </w:rPr>
        <w:t xml:space="preserve"> a detailed analysis of the stages of Jeremiah’s imprisonment,</w:t>
      </w:r>
      <w:r w:rsidRPr="007E18AF">
        <w:rPr>
          <w:rStyle w:val="EndnoteReference"/>
          <w:sz w:val="22"/>
          <w:szCs w:val="22"/>
        </w:rPr>
        <w:endnoteReference w:id="2527"/>
      </w:r>
      <w:r w:rsidRPr="007E18AF">
        <w:rPr>
          <w:sz w:val="22"/>
          <w:szCs w:val="22"/>
        </w:rPr>
        <w:t xml:space="preserve"> and provides some biographical details in his introduction,</w:t>
      </w:r>
      <w:r w:rsidRPr="007E18AF">
        <w:rPr>
          <w:rStyle w:val="EndnoteReference"/>
          <w:sz w:val="22"/>
          <w:szCs w:val="22"/>
        </w:rPr>
        <w:endnoteReference w:id="2528"/>
      </w:r>
      <w:r w:rsidRPr="007E18AF">
        <w:rPr>
          <w:sz w:val="22"/>
          <w:szCs w:val="22"/>
        </w:rPr>
        <w:t xml:space="preserve"> he offers no other reflection on the context for Jeremiah’s prophecies and the narrative of the prophet’s life.</w:t>
      </w:r>
      <w:r>
        <w:rPr>
          <w:rStyle w:val="EndnoteReference"/>
          <w:sz w:val="22"/>
          <w:szCs w:val="22"/>
        </w:rPr>
        <w:endnoteReference w:id="2529"/>
      </w:r>
      <w:r w:rsidRPr="007E18AF">
        <w:rPr>
          <w:sz w:val="22"/>
          <w:szCs w:val="22"/>
        </w:rPr>
        <w:t xml:space="preserve">  </w:t>
      </w:r>
      <w:r>
        <w:rPr>
          <w:sz w:val="22"/>
          <w:szCs w:val="22"/>
        </w:rPr>
        <w:t>He</w:t>
      </w:r>
      <w:r w:rsidRPr="007E18AF">
        <w:rPr>
          <w:sz w:val="22"/>
          <w:szCs w:val="22"/>
        </w:rPr>
        <w:t xml:space="preserve"> comments t</w:t>
      </w:r>
      <w:r>
        <w:rPr>
          <w:sz w:val="22"/>
          <w:szCs w:val="22"/>
        </w:rPr>
        <w:t xml:space="preserve">hat the writings in chapters 30 </w:t>
      </w:r>
      <w:r w:rsidRPr="00012B96">
        <w:rPr>
          <w:sz w:val="16"/>
          <w:szCs w:val="24"/>
        </w:rPr>
        <w:t>—</w:t>
      </w:r>
      <w:r>
        <w:rPr>
          <w:sz w:val="16"/>
          <w:szCs w:val="24"/>
        </w:rPr>
        <w:t xml:space="preserve"> </w:t>
      </w:r>
      <w:r w:rsidRPr="007E18AF">
        <w:rPr>
          <w:sz w:val="22"/>
          <w:szCs w:val="22"/>
        </w:rPr>
        <w:t>36 cannot be arranged in a definite sequential order and the prophecies contained in them are ‘interspersed with much historical matter concerning Jeremiah and his time’.</w:t>
      </w:r>
      <w:r w:rsidRPr="007E18AF">
        <w:rPr>
          <w:rStyle w:val="EndnoteReference"/>
          <w:sz w:val="22"/>
          <w:szCs w:val="22"/>
        </w:rPr>
        <w:endnoteReference w:id="2530"/>
      </w:r>
      <w:r w:rsidRPr="007E18AF">
        <w:rPr>
          <w:sz w:val="22"/>
          <w:szCs w:val="22"/>
        </w:rPr>
        <w:t xml:space="preserve">  This implies that </w:t>
      </w:r>
      <w:r>
        <w:rPr>
          <w:sz w:val="22"/>
          <w:szCs w:val="22"/>
        </w:rPr>
        <w:t xml:space="preserve">he </w:t>
      </w:r>
      <w:r w:rsidRPr="007E18AF">
        <w:rPr>
          <w:sz w:val="22"/>
          <w:szCs w:val="22"/>
        </w:rPr>
        <w:t xml:space="preserve">does not attribute importance to matters which do not directly concern what he regards as end-time prophecy.  He does not consider the full content of the biblical text or examine ways in which Jeremiah’s life might be exemplary to Christians, notably Jeremiah’s obedience to God’s commands and his perseverance in face of rejection and threats.  </w:t>
      </w:r>
    </w:p>
    <w:p w:rsidR="006A2E06" w:rsidRPr="00685D8B" w:rsidRDefault="006A2E06" w:rsidP="006A2E06">
      <w:pPr>
        <w:spacing w:after="120" w:line="360" w:lineRule="auto"/>
        <w:ind w:right="74" w:firstLine="540"/>
        <w:jc w:val="both"/>
      </w:pPr>
      <w:r w:rsidRPr="00685D8B">
        <w:t>Scofield also neglects to annotate several chapters which refer to the coming of a power from the north.</w:t>
      </w:r>
      <w:r w:rsidRPr="00685D8B">
        <w:rPr>
          <w:rStyle w:val="EndnoteReference"/>
        </w:rPr>
        <w:endnoteReference w:id="2531"/>
      </w:r>
      <w:r w:rsidRPr="00685D8B">
        <w:t xml:space="preserve">  This is surprising in view his emphasis on such a power in his note on Ezek. 38:2.</w:t>
      </w:r>
      <w:r w:rsidRPr="00685D8B">
        <w:rPr>
          <w:rStyle w:val="EndnoteReference"/>
        </w:rPr>
        <w:endnoteReference w:id="2532"/>
      </w:r>
      <w:r w:rsidRPr="00685D8B">
        <w:t xml:space="preserve">  The context in Jeremiah is clearly the imminent Babylonian invasion.  Scofield ignores other important narrative elements, despite the fact that these may represent the fulfilment of part of Jeremiah’s prophecy, for example Zedekiah’s appointment by Nebuchadnezzar,</w:t>
      </w:r>
      <w:r w:rsidRPr="00685D8B">
        <w:rPr>
          <w:rStyle w:val="EndnoteReference"/>
        </w:rPr>
        <w:endnoteReference w:id="2533"/>
      </w:r>
      <w:r w:rsidRPr="00685D8B">
        <w:t xml:space="preserve"> the course of events in Jerusalem under Babylonian attack and siege,</w:t>
      </w:r>
      <w:r w:rsidRPr="00685D8B">
        <w:rPr>
          <w:rStyle w:val="EndnoteReference"/>
        </w:rPr>
        <w:endnoteReference w:id="2534"/>
      </w:r>
      <w:r w:rsidRPr="00685D8B">
        <w:t xml:space="preserve"> the assassination of the governor, Gedaliah,</w:t>
      </w:r>
      <w:r w:rsidRPr="00685D8B">
        <w:rPr>
          <w:rStyle w:val="EndnoteReference"/>
        </w:rPr>
        <w:endnoteReference w:id="2535"/>
      </w:r>
      <w:r w:rsidRPr="00685D8B">
        <w:t xml:space="preserve"> and the subsequent flight of the ‘remnant of Judah’ to Egypt,</w:t>
      </w:r>
      <w:r w:rsidRPr="00685D8B">
        <w:rPr>
          <w:rStyle w:val="EndnoteReference"/>
        </w:rPr>
        <w:endnoteReference w:id="2536"/>
      </w:r>
      <w:r w:rsidRPr="00685D8B">
        <w:t xml:space="preserve"> Zedekiah’s rebellion,</w:t>
      </w:r>
      <w:r w:rsidRPr="00685D8B">
        <w:rPr>
          <w:rStyle w:val="EndnoteReference"/>
        </w:rPr>
        <w:endnoteReference w:id="2537"/>
      </w:r>
      <w:r w:rsidRPr="00685D8B">
        <w:t xml:space="preserve"> the final attack on Jerusalem and destruction of the Temple</w:t>
      </w:r>
      <w:r w:rsidRPr="00685D8B">
        <w:rPr>
          <w:rStyle w:val="EndnoteReference"/>
        </w:rPr>
        <w:endnoteReference w:id="2538"/>
      </w:r>
      <w:r w:rsidRPr="00685D8B">
        <w:t xml:space="preserve"> and even the exile of Judah itself.  </w:t>
      </w:r>
    </w:p>
    <w:p w:rsidR="006A2E06" w:rsidRPr="007E18AF" w:rsidRDefault="006A2E06" w:rsidP="006A2E06">
      <w:pPr>
        <w:spacing w:after="120" w:line="360" w:lineRule="auto"/>
        <w:ind w:right="74" w:firstLine="540"/>
        <w:jc w:val="both"/>
      </w:pPr>
      <w:r w:rsidRPr="007E18AF">
        <w:t xml:space="preserve">Other </w:t>
      </w:r>
      <w:r>
        <w:t>passages</w:t>
      </w:r>
      <w:r w:rsidRPr="007E18AF">
        <w:t xml:space="preserve"> in Jeremiah not annotated by Scofield concern the sin of Israel, specifically idolatry, and the threats of God’s chastisement.</w:t>
      </w:r>
      <w:r w:rsidRPr="007E18AF">
        <w:rPr>
          <w:rStyle w:val="EndnoteReference"/>
        </w:rPr>
        <w:endnoteReference w:id="2539"/>
      </w:r>
      <w:r w:rsidRPr="007E18AF">
        <w:t xml:space="preserve">  Some of the later chapters not annotated by Scofield also contain a detailed exposition of God’s judgment and threats of chastisement issued against Judah’s neighbours, </w:t>
      </w:r>
      <w:r w:rsidRPr="00685D8B">
        <w:rPr>
          <w:spacing w:val="2"/>
        </w:rPr>
        <w:t>though Scofield includes these in his general statement about ‘near’ and ‘far’ prophecy in his note on Jer. 46:1</w:t>
      </w:r>
      <w:r w:rsidRPr="007E18AF">
        <w:t>.</w:t>
      </w:r>
      <w:r w:rsidRPr="007E18AF">
        <w:rPr>
          <w:rStyle w:val="EndnoteReference"/>
        </w:rPr>
        <w:endnoteReference w:id="2540"/>
      </w:r>
      <w:r w:rsidRPr="007E18AF">
        <w:t xml:space="preserve">  </w:t>
      </w:r>
    </w:p>
    <w:p w:rsidR="006A2E06" w:rsidRPr="007E18AF" w:rsidRDefault="006A2E06" w:rsidP="006A2E06">
      <w:pPr>
        <w:spacing w:after="120" w:line="360" w:lineRule="auto"/>
        <w:ind w:right="74" w:firstLine="567"/>
        <w:jc w:val="both"/>
      </w:pPr>
      <w:r w:rsidRPr="007E18AF">
        <w:t>Some of God’s direst threats to Judah are omitted from Scofield’s annotation.  In Jeremiah 21, disaster is predicted for any who attempt to stay in Jerusalem because the LORD is fighting against Judah and turning its own weapons against it.  It will suffer plague from the LORD, who is determined to do it harm, not good.</w:t>
      </w:r>
      <w:r w:rsidRPr="007E18AF">
        <w:rPr>
          <w:rStyle w:val="EndnoteReference"/>
        </w:rPr>
        <w:endnoteReference w:id="2541"/>
      </w:r>
      <w:r w:rsidRPr="007E18AF">
        <w:t xml:space="preserve">  The most serious is the threat that Judah will los</w:t>
      </w:r>
      <w:r>
        <w:t>e the inheritance God gave it.</w:t>
      </w:r>
      <w:r w:rsidRPr="007E18AF">
        <w:rPr>
          <w:rStyle w:val="EndnoteReference"/>
          <w:lang w:val="en-US"/>
        </w:rPr>
        <w:endnoteReference w:id="2542"/>
      </w:r>
      <w:r w:rsidRPr="007E18AF">
        <w:rPr>
          <w:lang w:val="en-US"/>
        </w:rPr>
        <w:t xml:space="preserve">  </w:t>
      </w:r>
      <w:r w:rsidRPr="007E18AF">
        <w:t xml:space="preserve">  This threat calls into question the idea that God’s promises concerning the land were unconditional and thus could never be rescinded.</w:t>
      </w:r>
      <w:r w:rsidRPr="007E18AF">
        <w:rPr>
          <w:rStyle w:val="EndnoteReference"/>
        </w:rPr>
        <w:endnoteReference w:id="2543"/>
      </w:r>
      <w:r w:rsidRPr="007E18AF">
        <w:t xml:space="preserve">  However, Scofield also misses some of the most explicit statements about the restoration of Israel, for instance those in Jer. 31:35-40.</w:t>
      </w:r>
      <w:r w:rsidRPr="007E18AF">
        <w:rPr>
          <w:rStyle w:val="EndnoteReference"/>
        </w:rPr>
        <w:endnoteReference w:id="2544"/>
      </w:r>
      <w:r w:rsidRPr="007E18AF">
        <w:t xml:space="preserve"> </w:t>
      </w:r>
    </w:p>
    <w:p w:rsidR="006A2E06" w:rsidRPr="007E18AF" w:rsidRDefault="006A2E06" w:rsidP="006A2E06">
      <w:pPr>
        <w:spacing w:after="120" w:line="360" w:lineRule="auto"/>
        <w:ind w:right="74" w:firstLine="539"/>
        <w:jc w:val="both"/>
        <w:rPr>
          <w:rFonts w:ascii="Times New Roman" w:hAnsi="Times New Roman"/>
        </w:rPr>
      </w:pPr>
      <w:r w:rsidRPr="007E18AF">
        <w:t xml:space="preserve">Jeremiah includes strictures concerning behaviour expected of God’s people but </w:t>
      </w:r>
      <w:r>
        <w:t xml:space="preserve">again </w:t>
      </w:r>
      <w:r w:rsidRPr="007E18AF">
        <w:t>Scofield ignores these.  Jerusalem</w:t>
      </w:r>
      <w:r>
        <w:t xml:space="preserve"> is condemned for neglecting to help the fatherless.</w:t>
      </w:r>
      <w:r w:rsidRPr="007E18AF">
        <w:rPr>
          <w:rStyle w:val="EndnoteReference"/>
        </w:rPr>
        <w:endnoteReference w:id="2545"/>
      </w:r>
      <w:r>
        <w:t xml:space="preserve">  T</w:t>
      </w:r>
      <w:r w:rsidRPr="007E18AF">
        <w:t xml:space="preserve">he royal house </w:t>
      </w:r>
      <w:r>
        <w:t xml:space="preserve">is warned </w:t>
      </w:r>
      <w:r w:rsidRPr="007E18AF">
        <w:t xml:space="preserve">that </w:t>
      </w:r>
      <w:r>
        <w:t>it</w:t>
      </w:r>
      <w:r w:rsidRPr="007E18AF">
        <w:t xml:space="preserve"> must rescue the oppressed from </w:t>
      </w:r>
      <w:r>
        <w:t>robbers’</w:t>
      </w:r>
      <w:r w:rsidRPr="007E18AF">
        <w:t xml:space="preserve"> hands.</w:t>
      </w:r>
      <w:r w:rsidRPr="007E18AF">
        <w:rPr>
          <w:rStyle w:val="EndnoteReference"/>
        </w:rPr>
        <w:endnoteReference w:id="2546"/>
      </w:r>
      <w:r w:rsidRPr="007E18AF">
        <w:t xml:space="preserve">  Jeremiah 22 emphasises righteous conduct, especially by kings.  </w:t>
      </w:r>
      <w:r w:rsidRPr="00E7103F">
        <w:t>The kings of Judah are to do what is right and just, to treat aliens, the fatherless and widows fairly and not to shed innocent blood.</w:t>
      </w:r>
      <w:r w:rsidRPr="00E7103F">
        <w:rPr>
          <w:rStyle w:val="EndnoteReference"/>
        </w:rPr>
        <w:endnoteReference w:id="2547"/>
      </w:r>
      <w:r w:rsidRPr="00E7103F">
        <w:t xml:space="preserve">  If they obey, they will enter the palace; if they do not, </w:t>
      </w:r>
      <w:r w:rsidRPr="00E7103F">
        <w:lastRenderedPageBreak/>
        <w:t>the palace will be ruined.</w:t>
      </w:r>
      <w:r w:rsidRPr="00E7103F">
        <w:rPr>
          <w:rStyle w:val="EndnoteReference"/>
        </w:rPr>
        <w:endnoteReference w:id="2548"/>
      </w:r>
      <w:r w:rsidRPr="00E7103F">
        <w:t xml:space="preserve">  Kings who exalt themselves through unrighteousness, injustice and exploitation are condemned.</w:t>
      </w:r>
      <w:r w:rsidRPr="00E7103F">
        <w:rPr>
          <w:rStyle w:val="EndnoteReference"/>
        </w:rPr>
        <w:endnoteReference w:id="2549"/>
      </w:r>
      <w:r w:rsidRPr="00E7103F">
        <w:t xml:space="preserve">  Josiah is commended for defending the cause of the poor and needy: that is what it means to know the Lord.  In contrast his son, Jehoiakim, is accused of dishonest gain, of shedding innocent blood and of oppression and extortion.</w:t>
      </w:r>
      <w:r w:rsidRPr="00E7103F">
        <w:rPr>
          <w:rStyle w:val="EndnoteReference"/>
        </w:rPr>
        <w:endnoteReference w:id="2550"/>
      </w:r>
      <w:r w:rsidRPr="00E7103F">
        <w:t xml:space="preserve">  He will be ignominiously dragged from Jerusalem and be childless; none of his descendants will rule in Jerusalem.</w:t>
      </w:r>
      <w:r w:rsidRPr="00E7103F">
        <w:rPr>
          <w:rStyle w:val="EndnoteReference"/>
        </w:rPr>
        <w:endnoteReference w:id="2551"/>
      </w:r>
      <w:r w:rsidRPr="00E7103F">
        <w:t xml:space="preserve">  It seems again that this aspect of prophecy is not important to Scofield; for him, the prophetic mainly pertains to the last days and he is not concerned with past and present ethics.</w:t>
      </w:r>
    </w:p>
    <w:p w:rsidR="006A2E06" w:rsidRPr="001F2A18" w:rsidRDefault="006A2E06" w:rsidP="006A2E06">
      <w:pPr>
        <w:spacing w:after="120" w:line="360" w:lineRule="auto"/>
        <w:ind w:right="74"/>
        <w:jc w:val="both"/>
        <w:rPr>
          <w:b/>
          <w:i/>
        </w:rPr>
      </w:pPr>
      <w:r w:rsidRPr="001F2A18">
        <w:rPr>
          <w:b/>
          <w:i/>
        </w:rPr>
        <w:t>Lamentations</w:t>
      </w:r>
    </w:p>
    <w:p w:rsidR="006A2E06" w:rsidRDefault="006A2E06" w:rsidP="006A2E06">
      <w:pPr>
        <w:spacing w:after="120" w:line="360" w:lineRule="auto"/>
        <w:ind w:right="74"/>
        <w:jc w:val="both"/>
      </w:pPr>
      <w:r w:rsidRPr="001F2A18">
        <w:t>Scofield remarks that ‘the Lamentations of Jeremiah’ have ‘touching significance’ as ‘the disclosure of the love and sorrow of Jeremiah for the very people whom He (</w:t>
      </w:r>
      <w:r w:rsidRPr="001F2A18">
        <w:rPr>
          <w:i/>
        </w:rPr>
        <w:t>sic</w:t>
      </w:r>
      <w:r w:rsidRPr="001F2A18">
        <w:t>) is chastening</w:t>
      </w:r>
      <w:r>
        <w:t>’</w:t>
      </w:r>
      <w:r w:rsidRPr="001F2A18">
        <w:t>.</w:t>
      </w:r>
      <w:r w:rsidRPr="001F2A18">
        <w:rPr>
          <w:rStyle w:val="EndnoteReference"/>
        </w:rPr>
        <w:endnoteReference w:id="2552"/>
      </w:r>
      <w:r w:rsidRPr="001F2A18">
        <w:t xml:space="preserve">  Apart from this, Scofield comments upon the inadequacy of translation to express the literary form of this book, which is ‘an acrostic dirge, the lines arranged in couplets or triplets, each of which begins with a letter of the Hebrew alphabet’.</w:t>
      </w:r>
      <w:r w:rsidRPr="001F2A18">
        <w:rPr>
          <w:rStyle w:val="EndnoteReference"/>
        </w:rPr>
        <w:endnoteReference w:id="2553"/>
      </w:r>
    </w:p>
    <w:p w:rsidR="006A2E06" w:rsidRPr="009C1CA0" w:rsidRDefault="006A2E06" w:rsidP="006A2E06">
      <w:pPr>
        <w:spacing w:after="120" w:line="360" w:lineRule="auto"/>
        <w:ind w:right="74"/>
        <w:jc w:val="both"/>
        <w:rPr>
          <w:b/>
        </w:rPr>
      </w:pPr>
      <w:r>
        <w:rPr>
          <w:b/>
        </w:rPr>
        <w:t>8</w:t>
      </w:r>
      <w:r w:rsidRPr="009C1CA0">
        <w:rPr>
          <w:b/>
        </w:rPr>
        <w:t>.4.3  Ezekiel</w:t>
      </w:r>
    </w:p>
    <w:p w:rsidR="006A2E06" w:rsidRDefault="006A2E06" w:rsidP="006A2E06">
      <w:pPr>
        <w:spacing w:after="120" w:line="360" w:lineRule="auto"/>
        <w:ind w:right="74"/>
        <w:jc w:val="center"/>
        <w:rPr>
          <w:b/>
        </w:rPr>
      </w:pPr>
      <w:r>
        <w:rPr>
          <w:b/>
          <w:noProof/>
          <w:lang w:eastAsia="en-GB"/>
        </w:rPr>
        <w:drawing>
          <wp:inline distT="0" distB="0" distL="0" distR="0" wp14:anchorId="733E00C5" wp14:editId="2CB07908">
            <wp:extent cx="5400040" cy="2042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ekiel graph 1.4.18_crop.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00040" cy="2042160"/>
                    </a:xfrm>
                    <a:prstGeom prst="rect">
                      <a:avLst/>
                    </a:prstGeom>
                  </pic:spPr>
                </pic:pic>
              </a:graphicData>
            </a:graphic>
          </wp:inline>
        </w:drawing>
      </w:r>
    </w:p>
    <w:p w:rsidR="006A2E06" w:rsidRPr="000F0CC6" w:rsidRDefault="006A2E06" w:rsidP="006A2E06">
      <w:pPr>
        <w:spacing w:after="120" w:line="360" w:lineRule="auto"/>
        <w:ind w:right="74"/>
        <w:jc w:val="center"/>
        <w:rPr>
          <w:b/>
        </w:rPr>
      </w:pPr>
      <w:r>
        <w:rPr>
          <w:b/>
          <w:noProof/>
          <w:lang w:eastAsia="en-GB"/>
        </w:rPr>
        <w:drawing>
          <wp:inline distT="0" distB="0" distL="0" distR="0" wp14:anchorId="091FFE4D" wp14:editId="2B6B9402">
            <wp:extent cx="5400040" cy="73406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ekiel title 1.4.18 crop.jpg"/>
                    <pic:cNvPicPr/>
                  </pic:nvPicPr>
                  <pic:blipFill>
                    <a:blip r:embed="rId168">
                      <a:extLst>
                        <a:ext uri="{28A0092B-C50C-407E-A947-70E740481C1C}">
                          <a14:useLocalDpi xmlns:a14="http://schemas.microsoft.com/office/drawing/2010/main" val="0"/>
                        </a:ext>
                      </a:extLst>
                    </a:blip>
                    <a:stretch>
                      <a:fillRect/>
                    </a:stretch>
                  </pic:blipFill>
                  <pic:spPr>
                    <a:xfrm>
                      <a:off x="0" y="0"/>
                      <a:ext cx="5400040" cy="734060"/>
                    </a:xfrm>
                    <a:prstGeom prst="rect">
                      <a:avLst/>
                    </a:prstGeom>
                  </pic:spPr>
                </pic:pic>
              </a:graphicData>
            </a:graphic>
          </wp:inline>
        </w:drawing>
      </w:r>
    </w:p>
    <w:p w:rsidR="006A2E06" w:rsidRPr="004F0872" w:rsidRDefault="006A2E06" w:rsidP="006A2E06">
      <w:pPr>
        <w:spacing w:after="120" w:line="360" w:lineRule="auto"/>
        <w:ind w:right="74"/>
        <w:jc w:val="both"/>
        <w:rPr>
          <w:b/>
          <w:i/>
        </w:rPr>
      </w:pPr>
      <w:r w:rsidRPr="004F0872">
        <w:rPr>
          <w:b/>
          <w:i/>
        </w:rPr>
        <w:t>Introduction</w:t>
      </w:r>
      <w:r>
        <w:rPr>
          <w:b/>
          <w:i/>
        </w:rPr>
        <w:t>: Key Points:</w:t>
      </w:r>
      <w:r w:rsidRPr="003005C9">
        <w:rPr>
          <w:rStyle w:val="EndnoteReference"/>
        </w:rPr>
        <w:t xml:space="preserve"> </w:t>
      </w:r>
      <w:r>
        <w:rPr>
          <w:rStyle w:val="EndnoteReference"/>
        </w:rPr>
        <w:endnoteReference w:id="2554"/>
      </w:r>
    </w:p>
    <w:p w:rsidR="006A2E06" w:rsidRDefault="006A2E06" w:rsidP="006A2E06">
      <w:pPr>
        <w:spacing w:after="120" w:line="240" w:lineRule="auto"/>
        <w:ind w:left="567" w:right="74"/>
        <w:jc w:val="both"/>
      </w:pPr>
      <w:r w:rsidRPr="005D00B9">
        <w:t>Ezekiel</w:t>
      </w:r>
      <w:r>
        <w:t xml:space="preserve"> is a prophet out of the land,</w:t>
      </w:r>
      <w:r w:rsidRPr="005D00B9">
        <w:t xml:space="preserve"> </w:t>
      </w:r>
      <w:r>
        <w:t>like</w:t>
      </w:r>
      <w:r w:rsidRPr="005D00B9">
        <w:t xml:space="preserve"> Daniel and John in Revelation</w:t>
      </w:r>
      <w:r>
        <w:t>,</w:t>
      </w:r>
      <w:r w:rsidRPr="005D00B9">
        <w:t xml:space="preserve"> whose prophecy ‘follows the method of symbol and vision’  </w:t>
      </w:r>
    </w:p>
    <w:p w:rsidR="006A2E06" w:rsidRDefault="006A2E06" w:rsidP="006A2E06">
      <w:pPr>
        <w:spacing w:after="120" w:line="240" w:lineRule="auto"/>
        <w:ind w:left="567" w:right="74"/>
        <w:jc w:val="both"/>
      </w:pPr>
      <w:r>
        <w:t>V</w:t>
      </w:r>
      <w:r w:rsidRPr="005D00B9">
        <w:t xml:space="preserve">oice to ‘the whole house of Israel’ </w:t>
      </w:r>
    </w:p>
    <w:p w:rsidR="006A2E06" w:rsidRDefault="006A2E06" w:rsidP="006A2E06">
      <w:pPr>
        <w:spacing w:after="120" w:line="240" w:lineRule="auto"/>
        <w:ind w:left="567" w:right="74"/>
        <w:jc w:val="both"/>
      </w:pPr>
      <w:r>
        <w:t xml:space="preserve">Ministry: </w:t>
      </w:r>
      <w:r w:rsidRPr="005D00B9">
        <w:t>‘keep before the generation born in exile the national sins whic</w:t>
      </w:r>
      <w:r>
        <w:t xml:space="preserve">h had brought Israel low’ and </w:t>
      </w:r>
      <w:r w:rsidRPr="005D00B9">
        <w:t xml:space="preserve">sustain </w:t>
      </w:r>
      <w:r>
        <w:t>exiles’</w:t>
      </w:r>
      <w:r w:rsidRPr="005D00B9">
        <w:t xml:space="preserve"> faith by </w:t>
      </w:r>
      <w:r>
        <w:t>‘</w:t>
      </w:r>
      <w:r w:rsidRPr="005D00B9">
        <w:t>predictions of national restoration, of the execution of justice upon their oppressors and of national gl</w:t>
      </w:r>
      <w:r>
        <w:t>ory under the Davidic monarchy’</w:t>
      </w:r>
    </w:p>
    <w:p w:rsidR="006A2E06" w:rsidRDefault="006A2E06" w:rsidP="006A2E06">
      <w:pPr>
        <w:spacing w:after="120" w:line="360" w:lineRule="auto"/>
        <w:ind w:right="74" w:firstLine="142"/>
        <w:jc w:val="center"/>
      </w:pPr>
      <w:r>
        <w:rPr>
          <w:noProof/>
          <w:lang w:eastAsia="en-GB"/>
        </w:rPr>
        <w:lastRenderedPageBreak/>
        <w:drawing>
          <wp:inline distT="0" distB="0" distL="0" distR="0" wp14:anchorId="5919E7DE" wp14:editId="51E11301">
            <wp:extent cx="5400040" cy="3674745"/>
            <wp:effectExtent l="0" t="0" r="0"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ekiel themes as table 6.4.18 crop.jpg"/>
                    <pic:cNvPicPr/>
                  </pic:nvPicPr>
                  <pic:blipFill>
                    <a:blip r:embed="rId169">
                      <a:extLst>
                        <a:ext uri="{28A0092B-C50C-407E-A947-70E740481C1C}">
                          <a14:useLocalDpi xmlns:a14="http://schemas.microsoft.com/office/drawing/2010/main" val="0"/>
                        </a:ext>
                      </a:extLst>
                    </a:blip>
                    <a:stretch>
                      <a:fillRect/>
                    </a:stretch>
                  </pic:blipFill>
                  <pic:spPr>
                    <a:xfrm>
                      <a:off x="0" y="0"/>
                      <a:ext cx="5400040" cy="3674745"/>
                    </a:xfrm>
                    <a:prstGeom prst="rect">
                      <a:avLst/>
                    </a:prstGeom>
                  </pic:spPr>
                </pic:pic>
              </a:graphicData>
            </a:graphic>
          </wp:inline>
        </w:drawing>
      </w:r>
    </w:p>
    <w:p w:rsidR="006A2E06" w:rsidRPr="004F0872" w:rsidRDefault="006A2E06" w:rsidP="006A2E06">
      <w:pPr>
        <w:spacing w:after="120" w:line="360" w:lineRule="auto"/>
        <w:ind w:right="74"/>
        <w:jc w:val="both"/>
        <w:rPr>
          <w:b/>
          <w:i/>
        </w:rPr>
      </w:pPr>
      <w:r>
        <w:rPr>
          <w:b/>
          <w:i/>
        </w:rPr>
        <w:t>Annota</w:t>
      </w:r>
      <w:r w:rsidRPr="004F0872">
        <w:rPr>
          <w:b/>
          <w:i/>
        </w:rPr>
        <w:t>tion</w:t>
      </w:r>
      <w:r>
        <w:rPr>
          <w:b/>
          <w:i/>
        </w:rPr>
        <w:t>: Key Points</w:t>
      </w:r>
    </w:p>
    <w:p w:rsidR="006A2E06" w:rsidRDefault="006A2E06" w:rsidP="006A2E06">
      <w:pPr>
        <w:spacing w:after="120" w:line="360" w:lineRule="auto"/>
        <w:ind w:left="567" w:right="74"/>
        <w:jc w:val="both"/>
      </w:pPr>
      <w:r>
        <w:t>Only 14 of 48 chapters annotated.</w:t>
      </w:r>
    </w:p>
    <w:p w:rsidR="006A2E06" w:rsidRDefault="006A2E06" w:rsidP="006A2E06">
      <w:pPr>
        <w:spacing w:after="0" w:line="240" w:lineRule="auto"/>
        <w:ind w:left="567" w:right="74"/>
        <w:jc w:val="both"/>
      </w:pPr>
      <w:r w:rsidRPr="005D7E52">
        <w:rPr>
          <w:i/>
        </w:rPr>
        <w:t>Israel</w:t>
      </w:r>
    </w:p>
    <w:p w:rsidR="006A2E06" w:rsidRDefault="006A2E06" w:rsidP="006A2E06">
      <w:pPr>
        <w:spacing w:after="60" w:line="240" w:lineRule="auto"/>
        <w:ind w:left="851" w:right="74"/>
        <w:jc w:val="both"/>
      </w:pPr>
      <w:r>
        <w:t>Stress on sinfulness, and justice of exile but also future restoration.</w:t>
      </w:r>
      <w:r>
        <w:rPr>
          <w:rStyle w:val="EndnoteReference"/>
        </w:rPr>
        <w:endnoteReference w:id="2555"/>
      </w:r>
    </w:p>
    <w:p w:rsidR="006A2E06" w:rsidRDefault="006A2E06" w:rsidP="006A2E06">
      <w:pPr>
        <w:spacing w:after="60" w:line="240" w:lineRule="auto"/>
        <w:ind w:left="851" w:right="74"/>
        <w:jc w:val="both"/>
      </w:pPr>
      <w:r>
        <w:t>Jehovah’s addressing Ezekiel 91 times as ‘“Son of man”’, reminds Israel that ‘they are but a small part of the race for whom [Jehovah] also cares’; nevertheless, he will not forsake his people in their captivity.</w:t>
      </w:r>
      <w:r>
        <w:rPr>
          <w:rStyle w:val="EndnoteReference"/>
        </w:rPr>
        <w:endnoteReference w:id="2556"/>
      </w:r>
    </w:p>
    <w:p w:rsidR="006A2E06" w:rsidRDefault="006A2E06" w:rsidP="006A2E06">
      <w:pPr>
        <w:spacing w:after="60" w:line="240" w:lineRule="auto"/>
        <w:ind w:left="851" w:right="74"/>
        <w:jc w:val="both"/>
      </w:pPr>
      <w:r>
        <w:t>Visions of the profanation of the temple and of Israel’s wickedness were given so that Ezekiel ‘might justify to the new generation born in Assyria and Babylon during the captivity, the righteousness of God in the present national chastening’ which had resulted from Israel’s actions.</w:t>
      </w:r>
      <w:r>
        <w:rPr>
          <w:rStyle w:val="EndnoteReference"/>
        </w:rPr>
        <w:endnoteReference w:id="2557"/>
      </w:r>
    </w:p>
    <w:p w:rsidR="006A2E06" w:rsidRDefault="006A2E06" w:rsidP="006A2E06">
      <w:pPr>
        <w:spacing w:after="60" w:line="240" w:lineRule="auto"/>
        <w:ind w:left="851" w:right="74"/>
        <w:jc w:val="both"/>
      </w:pPr>
      <w:r>
        <w:t>Restoration is still future since the remnant who returned from the captivity and their descendants were displaced from the land in 70 CE and remain in dispersion.</w:t>
      </w:r>
      <w:r>
        <w:rPr>
          <w:rStyle w:val="EndnoteReference"/>
        </w:rPr>
        <w:endnoteReference w:id="2558"/>
      </w:r>
    </w:p>
    <w:p w:rsidR="006A2E06" w:rsidRDefault="006A2E06" w:rsidP="006A2E06">
      <w:pPr>
        <w:spacing w:after="120" w:line="240" w:lineRule="auto"/>
        <w:ind w:left="851" w:right="74"/>
        <w:jc w:val="both"/>
      </w:pPr>
      <w:r>
        <w:t>Assertion that Ezekiel receives a vision of millennial temple.</w:t>
      </w:r>
      <w:r>
        <w:rPr>
          <w:rStyle w:val="EndnoteReference"/>
        </w:rPr>
        <w:endnoteReference w:id="2559"/>
      </w:r>
    </w:p>
    <w:p w:rsidR="006A2E06" w:rsidRPr="006B2C13" w:rsidRDefault="006A2E06" w:rsidP="006A2E06">
      <w:pPr>
        <w:spacing w:after="0" w:line="240" w:lineRule="auto"/>
        <w:ind w:left="567" w:right="74"/>
        <w:jc w:val="both"/>
        <w:rPr>
          <w:i/>
        </w:rPr>
      </w:pPr>
      <w:r w:rsidRPr="006B2C13">
        <w:rPr>
          <w:i/>
        </w:rPr>
        <w:t>Eschatology</w:t>
      </w:r>
    </w:p>
    <w:p w:rsidR="006A2E06" w:rsidRDefault="006A2E06" w:rsidP="006A2E06">
      <w:pPr>
        <w:pStyle w:val="EndnoteText"/>
        <w:spacing w:after="60"/>
        <w:ind w:left="851"/>
        <w:jc w:val="both"/>
        <w:rPr>
          <w:sz w:val="22"/>
          <w:szCs w:val="22"/>
        </w:rPr>
      </w:pPr>
      <w:r>
        <w:rPr>
          <w:sz w:val="22"/>
          <w:szCs w:val="22"/>
        </w:rPr>
        <w:t>P</w:t>
      </w:r>
      <w:r w:rsidRPr="00A87622">
        <w:rPr>
          <w:sz w:val="22"/>
          <w:szCs w:val="22"/>
        </w:rPr>
        <w:t xml:space="preserve">rophecies about Gentile powers may have been partially fulfilled but </w:t>
      </w:r>
      <w:r>
        <w:rPr>
          <w:sz w:val="22"/>
          <w:szCs w:val="22"/>
        </w:rPr>
        <w:t>the reference to</w:t>
      </w:r>
      <w:r w:rsidRPr="00A87622">
        <w:rPr>
          <w:sz w:val="22"/>
          <w:szCs w:val="22"/>
        </w:rPr>
        <w:t xml:space="preserve"> the day of Jehovah in </w:t>
      </w:r>
      <w:r>
        <w:rPr>
          <w:sz w:val="22"/>
          <w:szCs w:val="22"/>
        </w:rPr>
        <w:t>Jer. 30:3</w:t>
      </w:r>
      <w:r w:rsidRPr="00A87622">
        <w:rPr>
          <w:sz w:val="22"/>
          <w:szCs w:val="22"/>
        </w:rPr>
        <w:t xml:space="preserve"> indicates that ‘fulfilment in the final sense is still future’ and these countries are again to be the ‘battle-ground of the nations’.</w:t>
      </w:r>
      <w:r w:rsidRPr="00A87622">
        <w:rPr>
          <w:rStyle w:val="EndnoteReference"/>
          <w:sz w:val="22"/>
          <w:szCs w:val="22"/>
        </w:rPr>
        <w:endnoteReference w:id="2560"/>
      </w:r>
      <w:r w:rsidRPr="00A87622">
        <w:rPr>
          <w:sz w:val="22"/>
          <w:szCs w:val="22"/>
        </w:rPr>
        <w:t xml:space="preserve">  </w:t>
      </w:r>
    </w:p>
    <w:p w:rsidR="006A2E06" w:rsidRDefault="006A2E06" w:rsidP="006A2E06">
      <w:pPr>
        <w:pStyle w:val="EndnoteText"/>
        <w:spacing w:after="60"/>
        <w:ind w:left="851"/>
        <w:jc w:val="both"/>
        <w:rPr>
          <w:sz w:val="22"/>
          <w:szCs w:val="22"/>
        </w:rPr>
      </w:pPr>
      <w:r>
        <w:rPr>
          <w:sz w:val="22"/>
          <w:szCs w:val="22"/>
        </w:rPr>
        <w:t>Assertion</w:t>
      </w:r>
      <w:r w:rsidRPr="00A87622">
        <w:rPr>
          <w:sz w:val="22"/>
          <w:szCs w:val="22"/>
        </w:rPr>
        <w:t xml:space="preserve"> that the prophecy of Ezekiel 38 refers to ‘the yet future day of </w:t>
      </w:r>
      <w:r>
        <w:rPr>
          <w:sz w:val="22"/>
          <w:szCs w:val="22"/>
        </w:rPr>
        <w:t>J</w:t>
      </w:r>
      <w:r w:rsidRPr="00A87622">
        <w:rPr>
          <w:sz w:val="22"/>
          <w:szCs w:val="22"/>
        </w:rPr>
        <w:t>ehovah</w:t>
      </w:r>
      <w:r w:rsidRPr="00A87622">
        <w:rPr>
          <w:rStyle w:val="EndnoteReference"/>
          <w:sz w:val="22"/>
          <w:szCs w:val="22"/>
        </w:rPr>
        <w:endnoteReference w:id="2561"/>
      </w:r>
      <w:r w:rsidRPr="00A87622">
        <w:rPr>
          <w:sz w:val="22"/>
          <w:szCs w:val="22"/>
        </w:rPr>
        <w:t xml:space="preserve"> and to the battle of Armageddon’,</w:t>
      </w:r>
      <w:r w:rsidRPr="00A87622">
        <w:rPr>
          <w:rStyle w:val="EndnoteReference"/>
          <w:sz w:val="22"/>
          <w:szCs w:val="22"/>
        </w:rPr>
        <w:endnoteReference w:id="2562"/>
      </w:r>
      <w:r>
        <w:rPr>
          <w:sz w:val="22"/>
          <w:szCs w:val="22"/>
        </w:rPr>
        <w:t xml:space="preserve"> and also includes </w:t>
      </w:r>
      <w:r w:rsidRPr="00A80551">
        <w:rPr>
          <w:sz w:val="22"/>
          <w:szCs w:val="22"/>
        </w:rPr>
        <w:t>the nations’ revolt at the end of the kingdom-age.</w:t>
      </w:r>
      <w:r w:rsidRPr="00A87622">
        <w:rPr>
          <w:rStyle w:val="EndnoteReference"/>
          <w:sz w:val="22"/>
          <w:szCs w:val="22"/>
        </w:rPr>
        <w:endnoteReference w:id="2563"/>
      </w:r>
      <w:r w:rsidRPr="00A87622">
        <w:rPr>
          <w:sz w:val="22"/>
          <w:szCs w:val="22"/>
        </w:rPr>
        <w:t xml:space="preserve">  </w:t>
      </w:r>
    </w:p>
    <w:p w:rsidR="006A2E06" w:rsidRDefault="006A2E06" w:rsidP="006A2E06">
      <w:pPr>
        <w:pStyle w:val="EndnoteText"/>
        <w:spacing w:after="60"/>
        <w:ind w:left="851"/>
        <w:jc w:val="both"/>
        <w:rPr>
          <w:sz w:val="22"/>
          <w:szCs w:val="22"/>
        </w:rPr>
      </w:pPr>
      <w:r>
        <w:rPr>
          <w:sz w:val="22"/>
          <w:szCs w:val="22"/>
        </w:rPr>
        <w:t>‘P</w:t>
      </w:r>
      <w:r w:rsidRPr="00A87622">
        <w:rPr>
          <w:sz w:val="22"/>
          <w:szCs w:val="22"/>
        </w:rPr>
        <w:t xml:space="preserve">rimary reference’ in Ezek. 38:2 is to ‘northern (European) powers, headed up by Russia’; these powers ‘have been the latest persecutors of dispersed Israel’.  </w:t>
      </w:r>
    </w:p>
    <w:p w:rsidR="006A2E06" w:rsidRPr="00E7103F" w:rsidRDefault="006A2E06" w:rsidP="006A2E06">
      <w:pPr>
        <w:pStyle w:val="EndnoteText"/>
        <w:spacing w:after="60"/>
        <w:ind w:left="851"/>
        <w:jc w:val="both"/>
        <w:rPr>
          <w:sz w:val="22"/>
          <w:szCs w:val="22"/>
        </w:rPr>
      </w:pPr>
      <w:r w:rsidRPr="00E7103F">
        <w:rPr>
          <w:sz w:val="22"/>
          <w:szCs w:val="22"/>
        </w:rPr>
        <w:t>Russia clearly identified by references to Mesech (Moscow) and Tubal (Tobolsk).</w:t>
      </w:r>
      <w:r w:rsidRPr="00E7103F">
        <w:rPr>
          <w:rStyle w:val="EndnoteReference"/>
          <w:sz w:val="22"/>
          <w:szCs w:val="22"/>
        </w:rPr>
        <w:endnoteReference w:id="2564"/>
      </w:r>
      <w:r w:rsidRPr="00E7103F">
        <w:rPr>
          <w:sz w:val="22"/>
          <w:szCs w:val="22"/>
        </w:rPr>
        <w:t xml:space="preserve">  </w:t>
      </w:r>
    </w:p>
    <w:p w:rsidR="006A2E06" w:rsidRPr="00E7103F" w:rsidRDefault="006A2E06" w:rsidP="006A2E06">
      <w:pPr>
        <w:pStyle w:val="EndnoteText"/>
        <w:spacing w:after="60"/>
        <w:ind w:left="851"/>
        <w:jc w:val="both"/>
        <w:rPr>
          <w:sz w:val="22"/>
          <w:szCs w:val="22"/>
        </w:rPr>
      </w:pPr>
      <w:r w:rsidRPr="00E7103F">
        <w:rPr>
          <w:sz w:val="22"/>
          <w:szCs w:val="22"/>
        </w:rPr>
        <w:t>‘Language [of Ezek. 28:12] goes beyond the king of Tyre to Satan, inspirer and unseen ruler of all such pomp and pride;’ moreover, this vision shows ‘an earthly king who arrogates to himself divine honours’, thus ‘the prince of Tyrus’ foreshadows the beast.</w:t>
      </w:r>
      <w:r w:rsidRPr="00E7103F">
        <w:rPr>
          <w:rStyle w:val="EndnoteReference"/>
          <w:sz w:val="22"/>
          <w:szCs w:val="22"/>
        </w:rPr>
        <w:endnoteReference w:id="2565"/>
      </w:r>
      <w:r w:rsidRPr="00E7103F">
        <w:rPr>
          <w:sz w:val="22"/>
          <w:szCs w:val="22"/>
        </w:rPr>
        <w:t xml:space="preserve">  </w:t>
      </w:r>
    </w:p>
    <w:p w:rsidR="006A2E06" w:rsidRPr="00E7103F" w:rsidRDefault="006A2E06" w:rsidP="006A2E06">
      <w:pPr>
        <w:pStyle w:val="EndnoteText"/>
        <w:spacing w:after="60"/>
        <w:ind w:left="851"/>
        <w:jc w:val="both"/>
        <w:rPr>
          <w:sz w:val="22"/>
          <w:szCs w:val="22"/>
        </w:rPr>
      </w:pPr>
      <w:r w:rsidRPr="00E7103F">
        <w:rPr>
          <w:sz w:val="22"/>
          <w:szCs w:val="22"/>
        </w:rPr>
        <w:lastRenderedPageBreak/>
        <w:t>‘Beautiful order’ in Ezek. 36:1 and following prophecies: restoration of the land</w:t>
      </w:r>
      <w:r w:rsidRPr="00E7103F">
        <w:rPr>
          <w:rStyle w:val="EndnoteReference"/>
          <w:sz w:val="22"/>
          <w:szCs w:val="22"/>
        </w:rPr>
        <w:endnoteReference w:id="2566"/>
      </w:r>
      <w:r w:rsidRPr="00E7103F">
        <w:rPr>
          <w:sz w:val="22"/>
          <w:szCs w:val="22"/>
        </w:rPr>
        <w:t xml:space="preserve"> and people,</w:t>
      </w:r>
      <w:r w:rsidRPr="00E7103F">
        <w:rPr>
          <w:rStyle w:val="EndnoteReference"/>
          <w:sz w:val="22"/>
          <w:szCs w:val="22"/>
        </w:rPr>
        <w:endnoteReference w:id="2567"/>
      </w:r>
      <w:r w:rsidRPr="00E7103F">
        <w:rPr>
          <w:sz w:val="22"/>
          <w:szCs w:val="22"/>
        </w:rPr>
        <w:t xml:space="preserve"> judgment on Israel’s enemies</w:t>
      </w:r>
      <w:r w:rsidRPr="00E7103F">
        <w:rPr>
          <w:rStyle w:val="EndnoteReference"/>
          <w:sz w:val="22"/>
          <w:szCs w:val="22"/>
        </w:rPr>
        <w:endnoteReference w:id="2568"/>
      </w:r>
      <w:r w:rsidRPr="00E7103F">
        <w:rPr>
          <w:sz w:val="22"/>
          <w:szCs w:val="22"/>
        </w:rPr>
        <w:t xml:space="preserve"> and establishment of the worship of Jehovah.</w:t>
      </w:r>
    </w:p>
    <w:p w:rsidR="006A2E06" w:rsidRPr="00E7103F" w:rsidRDefault="006A2E06" w:rsidP="006A2E06">
      <w:pPr>
        <w:pStyle w:val="EndnoteText"/>
        <w:spacing w:after="60"/>
        <w:ind w:left="851"/>
        <w:jc w:val="both"/>
        <w:rPr>
          <w:sz w:val="22"/>
          <w:szCs w:val="22"/>
        </w:rPr>
      </w:pPr>
      <w:r w:rsidRPr="00E7103F">
        <w:rPr>
          <w:sz w:val="22"/>
          <w:szCs w:val="22"/>
        </w:rPr>
        <w:t>The valley of dry bones</w:t>
      </w:r>
      <w:r w:rsidRPr="00E7103F">
        <w:rPr>
          <w:rStyle w:val="EndnoteReference"/>
          <w:sz w:val="22"/>
          <w:szCs w:val="22"/>
        </w:rPr>
        <w:endnoteReference w:id="2569"/>
      </w:r>
      <w:r w:rsidRPr="00E7103F">
        <w:rPr>
          <w:sz w:val="22"/>
          <w:szCs w:val="22"/>
        </w:rPr>
        <w:t xml:space="preserve"> represents Jehovah’s revelation of how the restoration of the nation is to be accomplished.  The bones represent ‘the whole house of Israel who shall then be living’.  The people will be brought out,</w:t>
      </w:r>
      <w:r w:rsidRPr="00E7103F">
        <w:rPr>
          <w:rStyle w:val="EndnoteReference"/>
          <w:sz w:val="22"/>
          <w:szCs w:val="22"/>
        </w:rPr>
        <w:endnoteReference w:id="2570"/>
      </w:r>
      <w:r w:rsidRPr="00E7103F">
        <w:rPr>
          <w:sz w:val="22"/>
          <w:szCs w:val="22"/>
        </w:rPr>
        <w:t xml:space="preserve"> brought in,</w:t>
      </w:r>
      <w:r w:rsidRPr="00E7103F">
        <w:rPr>
          <w:rStyle w:val="EndnoteReference"/>
          <w:sz w:val="22"/>
          <w:szCs w:val="22"/>
        </w:rPr>
        <w:endnoteReference w:id="2571"/>
      </w:r>
      <w:r w:rsidRPr="00E7103F">
        <w:rPr>
          <w:sz w:val="22"/>
          <w:szCs w:val="22"/>
        </w:rPr>
        <w:t xml:space="preserve"> converted</w:t>
      </w:r>
      <w:r w:rsidRPr="00E7103F">
        <w:rPr>
          <w:rStyle w:val="EndnoteReference"/>
          <w:sz w:val="22"/>
          <w:szCs w:val="22"/>
        </w:rPr>
        <w:endnoteReference w:id="2572"/>
      </w:r>
      <w:r w:rsidRPr="00E7103F">
        <w:rPr>
          <w:sz w:val="22"/>
          <w:szCs w:val="22"/>
        </w:rPr>
        <w:t xml:space="preserve"> and filled with the Spirit.</w:t>
      </w:r>
      <w:r w:rsidRPr="00E7103F">
        <w:rPr>
          <w:rStyle w:val="EndnoteReference"/>
          <w:sz w:val="22"/>
          <w:szCs w:val="22"/>
        </w:rPr>
        <w:endnoteReference w:id="2573"/>
      </w:r>
    </w:p>
    <w:p w:rsidR="006A2E06" w:rsidRPr="00E7103F" w:rsidRDefault="006A2E06" w:rsidP="006A2E06">
      <w:pPr>
        <w:pStyle w:val="EndnoteText"/>
        <w:spacing w:after="60"/>
        <w:ind w:left="851"/>
        <w:jc w:val="both"/>
        <w:rPr>
          <w:sz w:val="22"/>
          <w:szCs w:val="22"/>
        </w:rPr>
      </w:pPr>
      <w:r w:rsidRPr="00E7103F">
        <w:rPr>
          <w:sz w:val="22"/>
          <w:szCs w:val="22"/>
        </w:rPr>
        <w:t>Israel and Judah will be reunited.</w:t>
      </w:r>
      <w:r w:rsidRPr="00E7103F">
        <w:rPr>
          <w:rStyle w:val="EndnoteReference"/>
          <w:sz w:val="22"/>
          <w:szCs w:val="22"/>
        </w:rPr>
        <w:endnoteReference w:id="2574"/>
      </w:r>
      <w:r w:rsidRPr="00E7103F">
        <w:rPr>
          <w:sz w:val="22"/>
          <w:szCs w:val="22"/>
        </w:rPr>
        <w:t xml:space="preserve">  </w:t>
      </w:r>
    </w:p>
    <w:p w:rsidR="006A2E06" w:rsidRPr="00E7103F" w:rsidRDefault="006A2E06" w:rsidP="006A2E06">
      <w:pPr>
        <w:pStyle w:val="EndnoteText"/>
        <w:spacing w:after="120"/>
        <w:ind w:left="851"/>
        <w:jc w:val="both"/>
        <w:rPr>
          <w:sz w:val="22"/>
          <w:szCs w:val="22"/>
        </w:rPr>
      </w:pPr>
      <w:r w:rsidRPr="00E7103F">
        <w:rPr>
          <w:sz w:val="22"/>
          <w:szCs w:val="22"/>
        </w:rPr>
        <w:t>The Gentiles will also know Jehovah, as is indicated by ‘full Gentile conversion’ described in Acts 15:16-17.</w:t>
      </w:r>
      <w:r w:rsidRPr="00E7103F">
        <w:rPr>
          <w:rStyle w:val="EndnoteReference"/>
          <w:sz w:val="22"/>
          <w:szCs w:val="22"/>
        </w:rPr>
        <w:endnoteReference w:id="2575"/>
      </w:r>
      <w:r w:rsidRPr="00E7103F">
        <w:rPr>
          <w:sz w:val="22"/>
          <w:szCs w:val="22"/>
        </w:rPr>
        <w:t xml:space="preserve"> </w:t>
      </w:r>
    </w:p>
    <w:p w:rsidR="006A2E06" w:rsidRPr="0036247D" w:rsidRDefault="006A2E06" w:rsidP="006A2E06">
      <w:pPr>
        <w:spacing w:after="0" w:line="240" w:lineRule="auto"/>
        <w:ind w:left="567" w:right="74"/>
        <w:jc w:val="both"/>
        <w:rPr>
          <w:i/>
        </w:rPr>
      </w:pPr>
      <w:r w:rsidRPr="0036247D">
        <w:rPr>
          <w:i/>
        </w:rPr>
        <w:t>Christology</w:t>
      </w:r>
    </w:p>
    <w:p w:rsidR="006A2E06" w:rsidRDefault="006A2E06" w:rsidP="006A2E06">
      <w:pPr>
        <w:spacing w:after="120" w:line="240" w:lineRule="auto"/>
        <w:ind w:left="851" w:right="74"/>
        <w:jc w:val="both"/>
      </w:pPr>
      <w:r>
        <w:t>Assertion that ‘Son of man’, as used by Jesus of himself, is ‘His racial name as the representative Man …’.</w:t>
      </w:r>
      <w:r>
        <w:rPr>
          <w:rStyle w:val="EndnoteReference"/>
        </w:rPr>
        <w:endnoteReference w:id="2576"/>
      </w:r>
      <w:r>
        <w:t xml:space="preserve">  ‘The same thought, implying transcendence of mere Judaism, is involved in phrase when applied to Ezekiel.’  Applied to both Ezekiel and Christ, the expression indicates what each is to God: a son of man ‘chosen, endued with the Spirit and sent of God’.  Additionally Christ is ‘the representative man – the head of regenerate humanity’.</w:t>
      </w:r>
      <w:r>
        <w:rPr>
          <w:rStyle w:val="EndnoteReference"/>
        </w:rPr>
        <w:endnoteReference w:id="2577"/>
      </w:r>
    </w:p>
    <w:p w:rsidR="006A2E06" w:rsidRPr="009F4AD2" w:rsidRDefault="006A2E06" w:rsidP="006A2E06">
      <w:pPr>
        <w:spacing w:after="120" w:line="360" w:lineRule="auto"/>
        <w:ind w:right="74"/>
        <w:jc w:val="both"/>
        <w:rPr>
          <w:b/>
          <w:i/>
        </w:rPr>
      </w:pPr>
      <w:r w:rsidRPr="009F4AD2">
        <w:rPr>
          <w:b/>
          <w:i/>
        </w:rPr>
        <w:t xml:space="preserve">Omissions </w:t>
      </w:r>
    </w:p>
    <w:p w:rsidR="006A2E06" w:rsidRPr="00A80551" w:rsidRDefault="006A2E06" w:rsidP="006A2E06">
      <w:pPr>
        <w:spacing w:after="120" w:line="360" w:lineRule="auto"/>
        <w:ind w:right="74"/>
        <w:jc w:val="both"/>
      </w:pPr>
      <w:r w:rsidRPr="000A7C90">
        <w:rPr>
          <w:spacing w:val="-2"/>
        </w:rPr>
        <w:t>Apart from the short note on Ezek. 43:19,</w:t>
      </w:r>
      <w:r w:rsidRPr="000A7C90">
        <w:rPr>
          <w:rStyle w:val="EndnoteReference"/>
          <w:spacing w:val="-2"/>
        </w:rPr>
        <w:endnoteReference w:id="2578"/>
      </w:r>
      <w:r w:rsidRPr="000A7C90">
        <w:rPr>
          <w:spacing w:val="-2"/>
        </w:rPr>
        <w:t xml:space="preserve"> Scofield makes no comment on the content of Ezekiel 40 – 46.</w:t>
      </w:r>
      <w:r w:rsidRPr="00A80551">
        <w:t xml:space="preserve">  These chapters all concern instructions for temple design and regulations for worship and sacrifice.  Narrative features, such as the call of Ezekiel, his appointment as a watchman for Israel,</w:t>
      </w:r>
      <w:r w:rsidRPr="00A80551">
        <w:rPr>
          <w:rStyle w:val="EndnoteReference"/>
        </w:rPr>
        <w:endnoteReference w:id="2579"/>
      </w:r>
      <w:r w:rsidRPr="00A80551">
        <w:t xml:space="preserve"> and the imposition upon him of dumbness and its reversal</w:t>
      </w:r>
      <w:r w:rsidRPr="00A80551">
        <w:rPr>
          <w:rStyle w:val="EndnoteReference"/>
        </w:rPr>
        <w:endnoteReference w:id="2580"/>
      </w:r>
      <w:r w:rsidRPr="00A80551">
        <w:t xml:space="preserve"> are omitted, as are historical details such as the recording of the date of the start of the siege of Jerusalem</w:t>
      </w:r>
      <w:r w:rsidRPr="00A80551">
        <w:rPr>
          <w:rStyle w:val="EndnoteReference"/>
        </w:rPr>
        <w:endnoteReference w:id="2581"/>
      </w:r>
      <w:r w:rsidRPr="00A80551">
        <w:t xml:space="preserve"> and the news of its fall.</w:t>
      </w:r>
      <w:r w:rsidRPr="00A80551">
        <w:rPr>
          <w:rStyle w:val="EndnoteReference"/>
        </w:rPr>
        <w:endnoteReference w:id="2582"/>
      </w:r>
      <w:r w:rsidRPr="00A80551">
        <w:t xml:space="preserve">  The important question of responsibility for sin,</w:t>
      </w:r>
      <w:r w:rsidRPr="00A80551">
        <w:rPr>
          <w:rStyle w:val="EndnoteReference"/>
        </w:rPr>
        <w:endnoteReference w:id="2583"/>
      </w:r>
      <w:r w:rsidRPr="00A80551">
        <w:t xml:space="preserve"> related to Ezekiel’s appointment as watchman, is also omitted. </w:t>
      </w:r>
    </w:p>
    <w:p w:rsidR="006A2E06" w:rsidRDefault="006A2E06" w:rsidP="006A2E06">
      <w:pPr>
        <w:spacing w:after="120" w:line="360" w:lineRule="auto"/>
        <w:ind w:firstLine="539"/>
        <w:jc w:val="both"/>
      </w:pPr>
      <w:r w:rsidRPr="00A80551">
        <w:t>Apart from the comment about the tile,</w:t>
      </w:r>
      <w:r>
        <w:rPr>
          <w:rStyle w:val="EndnoteReference"/>
        </w:rPr>
        <w:endnoteReference w:id="2584"/>
      </w:r>
      <w:r w:rsidRPr="00A80551">
        <w:t xml:space="preserve"> which obliquely refers to Ezekiel’s dumbness and the symbolic actions which occurred during it,</w:t>
      </w:r>
      <w:r w:rsidRPr="00A80551">
        <w:rPr>
          <w:rStyle w:val="EndnoteReference"/>
        </w:rPr>
        <w:endnoteReference w:id="2585"/>
      </w:r>
      <w:r w:rsidRPr="00A80551">
        <w:t xml:space="preserve"> Scofield does not mention the symbolism which is prevalent in Ezekiel, especially that which physically affects the prophet.</w:t>
      </w:r>
      <w:r w:rsidRPr="00A80551">
        <w:rPr>
          <w:rStyle w:val="EndnoteReference"/>
        </w:rPr>
        <w:endnoteReference w:id="2586"/>
      </w:r>
      <w:r w:rsidRPr="00A80551">
        <w:t xml:space="preserve">  He also neglects to annotate many of the chapters which describe Israel’s sin, especially her idolatry, and her chastisement.</w:t>
      </w:r>
      <w:r w:rsidRPr="00A80551">
        <w:rPr>
          <w:rStyle w:val="EndnoteReference"/>
        </w:rPr>
        <w:endnoteReference w:id="2587"/>
      </w:r>
      <w:r w:rsidRPr="00A80551">
        <w:t xml:space="preserve">  Scofield does not comment </w:t>
      </w:r>
      <w:r>
        <w:t xml:space="preserve">upon </w:t>
      </w:r>
      <w:r w:rsidRPr="00A80551">
        <w:t>Ezekiel</w:t>
      </w:r>
      <w:r>
        <w:t>’s</w:t>
      </w:r>
      <w:r w:rsidRPr="00A80551">
        <w:t xml:space="preserve"> question</w:t>
      </w:r>
      <w:r>
        <w:t>ing as to</w:t>
      </w:r>
      <w:r w:rsidRPr="00A80551">
        <w:t xml:space="preserve"> whether the inhabitants of Israel should possess the land in view of their sin and idolatry</w:t>
      </w:r>
      <w:r w:rsidRPr="00A80551">
        <w:rPr>
          <w:rStyle w:val="EndnoteReference"/>
        </w:rPr>
        <w:endnoteReference w:id="2588"/>
      </w:r>
      <w:r>
        <w:t xml:space="preserve"> </w:t>
      </w:r>
      <w:r w:rsidRPr="00A80551">
        <w:t>or Ezekiel’s condemnation of sins against the poor and needy, and instructions on how aliens should be treated.</w:t>
      </w:r>
      <w:r w:rsidRPr="00A80551">
        <w:rPr>
          <w:rStyle w:val="EndnoteReference"/>
        </w:rPr>
        <w:endnoteReference w:id="2589"/>
      </w:r>
      <w:r w:rsidRPr="00A80551">
        <w:t xml:space="preserve">  Some intimations of restoration are also missed, including those verses in which God’s new covenant is described.</w:t>
      </w:r>
      <w:r w:rsidRPr="00A80551">
        <w:rPr>
          <w:rStyle w:val="EndnoteReference"/>
        </w:rPr>
        <w:endnoteReference w:id="2590"/>
      </w:r>
      <w:r w:rsidRPr="00A80551">
        <w:t xml:space="preserve">  Ezekiel’s lengthy diatribes against other entities</w:t>
      </w:r>
      <w:r w:rsidRPr="00A80551">
        <w:rPr>
          <w:rStyle w:val="EndnoteReference"/>
        </w:rPr>
        <w:endnoteReference w:id="2591"/>
      </w:r>
      <w:r w:rsidRPr="00A80551">
        <w:t xml:space="preserve"> are summarised in the brief </w:t>
      </w:r>
      <w:r w:rsidRPr="00A80551">
        <w:rPr>
          <w:i/>
        </w:rPr>
        <w:t>SRB</w:t>
      </w:r>
      <w:r w:rsidRPr="00A80551">
        <w:t xml:space="preserve"> note on Ezek. 25:8.</w:t>
      </w:r>
      <w:r w:rsidRPr="00A80551">
        <w:rPr>
          <w:rStyle w:val="EndnoteReference"/>
        </w:rPr>
        <w:endnoteReference w:id="2592"/>
      </w:r>
      <w:r w:rsidRPr="00A80551">
        <w:t xml:space="preserve">  Finally, the last two chapters of Ezekiel, which describe land allocations to the tribes of Israel, are not annotated.</w:t>
      </w:r>
      <w:r w:rsidRPr="00A80551">
        <w:rPr>
          <w:rStyle w:val="EndnoteReference"/>
        </w:rPr>
        <w:endnoteReference w:id="2593"/>
      </w:r>
    </w:p>
    <w:p w:rsidR="00F502BB" w:rsidRPr="00F502BB" w:rsidRDefault="00F502BB" w:rsidP="00F502BB">
      <w:pPr>
        <w:spacing w:after="120" w:line="360" w:lineRule="auto"/>
        <w:jc w:val="both"/>
        <w:rPr>
          <w:b/>
          <w:i/>
        </w:rPr>
      </w:pPr>
      <w:r w:rsidRPr="00F502BB">
        <w:rPr>
          <w:b/>
          <w:i/>
        </w:rPr>
        <w:t>Continued overleaf</w:t>
      </w:r>
    </w:p>
    <w:p w:rsidR="00F502BB" w:rsidRDefault="00F502BB" w:rsidP="006A2E06">
      <w:pPr>
        <w:spacing w:after="120" w:line="360" w:lineRule="auto"/>
        <w:ind w:firstLine="539"/>
        <w:jc w:val="both"/>
      </w:pPr>
    </w:p>
    <w:p w:rsidR="00F502BB" w:rsidRDefault="00F502BB" w:rsidP="006A2E06">
      <w:pPr>
        <w:spacing w:after="120" w:line="360" w:lineRule="auto"/>
        <w:ind w:firstLine="539"/>
        <w:jc w:val="both"/>
      </w:pPr>
    </w:p>
    <w:p w:rsidR="00F502BB" w:rsidRDefault="00F502BB" w:rsidP="006A2E06">
      <w:pPr>
        <w:spacing w:after="120" w:line="360" w:lineRule="auto"/>
        <w:ind w:firstLine="539"/>
        <w:jc w:val="both"/>
      </w:pPr>
    </w:p>
    <w:p w:rsidR="00F502BB" w:rsidRDefault="00F502BB" w:rsidP="006A2E06">
      <w:pPr>
        <w:spacing w:after="120" w:line="360" w:lineRule="auto"/>
        <w:ind w:firstLine="539"/>
        <w:jc w:val="both"/>
      </w:pPr>
    </w:p>
    <w:p w:rsidR="006A2E06" w:rsidRPr="005C72A4" w:rsidRDefault="006A2E06" w:rsidP="006A2E06">
      <w:pPr>
        <w:spacing w:after="120" w:line="360" w:lineRule="auto"/>
        <w:rPr>
          <w:b/>
        </w:rPr>
      </w:pPr>
      <w:r>
        <w:rPr>
          <w:b/>
        </w:rPr>
        <w:lastRenderedPageBreak/>
        <w:t>8</w:t>
      </w:r>
      <w:r w:rsidRPr="005C72A4">
        <w:rPr>
          <w:b/>
        </w:rPr>
        <w:t>.4.4  Daniel</w:t>
      </w:r>
    </w:p>
    <w:p w:rsidR="006A2E06" w:rsidRDefault="006A2E06" w:rsidP="006A2E06">
      <w:pPr>
        <w:spacing w:after="120" w:line="360" w:lineRule="auto"/>
        <w:jc w:val="center"/>
        <w:rPr>
          <w:b/>
        </w:rPr>
      </w:pPr>
      <w:r>
        <w:rPr>
          <w:b/>
          <w:noProof/>
          <w:lang w:eastAsia="en-GB"/>
        </w:rPr>
        <w:drawing>
          <wp:inline distT="0" distB="0" distL="0" distR="0" wp14:anchorId="42A2E1A8" wp14:editId="7DB7D121">
            <wp:extent cx="3068152" cy="4426162"/>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el graph ed 2.4.18_crop.jpg"/>
                    <pic:cNvPicPr/>
                  </pic:nvPicPr>
                  <pic:blipFill>
                    <a:blip r:embed="rId170">
                      <a:extLst>
                        <a:ext uri="{28A0092B-C50C-407E-A947-70E740481C1C}">
                          <a14:useLocalDpi xmlns:a14="http://schemas.microsoft.com/office/drawing/2010/main" val="0"/>
                        </a:ext>
                      </a:extLst>
                    </a:blip>
                    <a:stretch>
                      <a:fillRect/>
                    </a:stretch>
                  </pic:blipFill>
                  <pic:spPr>
                    <a:xfrm>
                      <a:off x="0" y="0"/>
                      <a:ext cx="3071374" cy="4430811"/>
                    </a:xfrm>
                    <a:prstGeom prst="rect">
                      <a:avLst/>
                    </a:prstGeom>
                  </pic:spPr>
                </pic:pic>
              </a:graphicData>
            </a:graphic>
          </wp:inline>
        </w:drawing>
      </w:r>
    </w:p>
    <w:p w:rsidR="006A2E06" w:rsidRDefault="006A2E06" w:rsidP="006A2E06">
      <w:pPr>
        <w:spacing w:after="120" w:line="240" w:lineRule="auto"/>
        <w:ind w:right="74"/>
        <w:jc w:val="center"/>
      </w:pPr>
      <w:r>
        <w:rPr>
          <w:noProof/>
          <w:lang w:eastAsia="en-GB"/>
        </w:rPr>
        <w:drawing>
          <wp:inline distT="0" distB="0" distL="0" distR="0" wp14:anchorId="0FDEDCCC" wp14:editId="73C930AF">
            <wp:extent cx="5400040" cy="64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el title 2.4.18 crop.jpg"/>
                    <pic:cNvPicPr/>
                  </pic:nvPicPr>
                  <pic:blipFill>
                    <a:blip r:embed="rId171">
                      <a:extLst>
                        <a:ext uri="{28A0092B-C50C-407E-A947-70E740481C1C}">
                          <a14:useLocalDpi xmlns:a14="http://schemas.microsoft.com/office/drawing/2010/main" val="0"/>
                        </a:ext>
                      </a:extLst>
                    </a:blip>
                    <a:stretch>
                      <a:fillRect/>
                    </a:stretch>
                  </pic:blipFill>
                  <pic:spPr>
                    <a:xfrm>
                      <a:off x="0" y="0"/>
                      <a:ext cx="5400040" cy="647700"/>
                    </a:xfrm>
                    <a:prstGeom prst="rect">
                      <a:avLst/>
                    </a:prstGeom>
                  </pic:spPr>
                </pic:pic>
              </a:graphicData>
            </a:graphic>
          </wp:inline>
        </w:drawing>
      </w:r>
    </w:p>
    <w:p w:rsidR="006A2E06" w:rsidRDefault="006A2E06" w:rsidP="006A2E06">
      <w:pPr>
        <w:spacing w:after="120" w:line="240" w:lineRule="auto"/>
        <w:ind w:right="74"/>
        <w:jc w:val="center"/>
      </w:pPr>
    </w:p>
    <w:p w:rsidR="006A2E06" w:rsidRPr="00D31A0A" w:rsidRDefault="006A2E06" w:rsidP="006A2E06">
      <w:pPr>
        <w:spacing w:after="120" w:line="240" w:lineRule="auto"/>
        <w:ind w:right="74"/>
        <w:jc w:val="center"/>
      </w:pPr>
      <w:r>
        <w:rPr>
          <w:noProof/>
          <w:lang w:eastAsia="en-GB"/>
        </w:rPr>
        <w:lastRenderedPageBreak/>
        <w:drawing>
          <wp:inline distT="0" distB="0" distL="0" distR="0" wp14:anchorId="085D9AB8" wp14:editId="0A05431D">
            <wp:extent cx="5400040" cy="858202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el themes as table ed 8.5.18 crop.jpg"/>
                    <pic:cNvPicPr/>
                  </pic:nvPicPr>
                  <pic:blipFill>
                    <a:blip r:embed="rId172">
                      <a:extLst>
                        <a:ext uri="{28A0092B-C50C-407E-A947-70E740481C1C}">
                          <a14:useLocalDpi xmlns:a14="http://schemas.microsoft.com/office/drawing/2010/main" val="0"/>
                        </a:ext>
                      </a:extLst>
                    </a:blip>
                    <a:stretch>
                      <a:fillRect/>
                    </a:stretch>
                  </pic:blipFill>
                  <pic:spPr>
                    <a:xfrm>
                      <a:off x="0" y="0"/>
                      <a:ext cx="5400040" cy="8582025"/>
                    </a:xfrm>
                    <a:prstGeom prst="rect">
                      <a:avLst/>
                    </a:prstGeom>
                  </pic:spPr>
                </pic:pic>
              </a:graphicData>
            </a:graphic>
          </wp:inline>
        </w:drawing>
      </w:r>
    </w:p>
    <w:p w:rsidR="006A2E06" w:rsidRPr="00C40700" w:rsidRDefault="006A2E06" w:rsidP="006A2E06">
      <w:pPr>
        <w:spacing w:after="120" w:line="360" w:lineRule="auto"/>
        <w:jc w:val="both"/>
        <w:rPr>
          <w:b/>
          <w:i/>
        </w:rPr>
      </w:pPr>
      <w:r w:rsidRPr="00C40700">
        <w:rPr>
          <w:b/>
          <w:i/>
        </w:rPr>
        <w:lastRenderedPageBreak/>
        <w:t>Introduction</w:t>
      </w:r>
      <w:r>
        <w:rPr>
          <w:b/>
          <w:i/>
        </w:rPr>
        <w:t>: Key Points:</w:t>
      </w:r>
      <w:r w:rsidRPr="00940FC3">
        <w:rPr>
          <w:rStyle w:val="EndnoteReference"/>
        </w:rPr>
        <w:t xml:space="preserve"> </w:t>
      </w:r>
      <w:r>
        <w:rPr>
          <w:rStyle w:val="EndnoteReference"/>
        </w:rPr>
        <w:endnoteReference w:id="2594"/>
      </w:r>
    </w:p>
    <w:p w:rsidR="006A2E06" w:rsidRPr="00852B88" w:rsidRDefault="006A2E06" w:rsidP="006A2E06">
      <w:pPr>
        <w:spacing w:after="120" w:line="240" w:lineRule="auto"/>
        <w:ind w:left="567"/>
        <w:jc w:val="both"/>
      </w:pPr>
      <w:r w:rsidRPr="00852B88">
        <w:t xml:space="preserve">Daniel is ‘the indispensable introduction to New Testament prophecy’. </w:t>
      </w:r>
    </w:p>
    <w:p w:rsidR="006A2E06" w:rsidRPr="00852B88" w:rsidRDefault="006A2E06" w:rsidP="006A2E06">
      <w:pPr>
        <w:spacing w:after="120" w:line="240" w:lineRule="auto"/>
        <w:ind w:left="567"/>
        <w:jc w:val="both"/>
      </w:pPr>
      <w:r w:rsidRPr="00852B88">
        <w:t xml:space="preserve">New Testament prophetic themes: </w:t>
      </w:r>
      <w:r>
        <w:t xml:space="preserve">the </w:t>
      </w:r>
      <w:r w:rsidRPr="00852B88">
        <w:t xml:space="preserve">apostasy of </w:t>
      </w:r>
      <w:r>
        <w:t xml:space="preserve">the </w:t>
      </w:r>
      <w:r w:rsidRPr="00852B88">
        <w:t xml:space="preserve">Church, </w:t>
      </w:r>
      <w:r>
        <w:t xml:space="preserve">the </w:t>
      </w:r>
      <w:r w:rsidRPr="00852B88">
        <w:t xml:space="preserve">manifestation of </w:t>
      </w:r>
      <w:r>
        <w:t xml:space="preserve">the </w:t>
      </w:r>
      <w:r w:rsidRPr="00852B88">
        <w:t xml:space="preserve">man of sin, </w:t>
      </w:r>
      <w:r>
        <w:t xml:space="preserve">the </w:t>
      </w:r>
      <w:r w:rsidRPr="00852B88">
        <w:t xml:space="preserve">great tribulation, </w:t>
      </w:r>
      <w:r>
        <w:t xml:space="preserve">the </w:t>
      </w:r>
      <w:r w:rsidRPr="00852B88">
        <w:t xml:space="preserve">Lord’s return, the resurrections and </w:t>
      </w:r>
      <w:r>
        <w:t>judgment</w:t>
      </w:r>
      <w:r w:rsidR="0043266B">
        <w:t xml:space="preserve"> are </w:t>
      </w:r>
      <w:r>
        <w:t>all</w:t>
      </w:r>
      <w:r w:rsidRPr="00852B88">
        <w:t xml:space="preserve"> shared by Daniel except </w:t>
      </w:r>
      <w:r>
        <w:t xml:space="preserve">the </w:t>
      </w:r>
      <w:r w:rsidRPr="00852B88">
        <w:t xml:space="preserve">apostasy of </w:t>
      </w:r>
      <w:r>
        <w:t xml:space="preserve">the </w:t>
      </w:r>
      <w:r w:rsidRPr="00852B88">
        <w:t>Church.</w:t>
      </w:r>
    </w:p>
    <w:p w:rsidR="006A2E06" w:rsidRPr="00852B88" w:rsidRDefault="006A2E06" w:rsidP="006A2E06">
      <w:pPr>
        <w:spacing w:after="120" w:line="240" w:lineRule="auto"/>
        <w:ind w:left="567"/>
        <w:jc w:val="both"/>
      </w:pPr>
      <w:r w:rsidRPr="00852B88">
        <w:t xml:space="preserve">Daniel </w:t>
      </w:r>
      <w:r>
        <w:t xml:space="preserve">is </w:t>
      </w:r>
      <w:r w:rsidRPr="00852B88">
        <w:t xml:space="preserve">‘distinctively the prophet of the “times of the Gentiles”’.  </w:t>
      </w:r>
    </w:p>
    <w:p w:rsidR="006A2E06" w:rsidRPr="00852B88" w:rsidRDefault="006A2E06" w:rsidP="006A2E06">
      <w:pPr>
        <w:spacing w:after="240" w:line="240" w:lineRule="auto"/>
        <w:ind w:left="567"/>
        <w:jc w:val="both"/>
      </w:pPr>
      <w:r w:rsidRPr="00852B88">
        <w:t>Daniel’s ‘vision sweeps the whole course of Gentile world-rule to its end in catastrophe, and to the setting up of the Messianic kingdom’.</w:t>
      </w:r>
    </w:p>
    <w:p w:rsidR="006A2E06" w:rsidRDefault="006A2E06" w:rsidP="006A2E06">
      <w:pPr>
        <w:spacing w:after="120" w:line="360" w:lineRule="auto"/>
        <w:jc w:val="both"/>
        <w:rPr>
          <w:b/>
          <w:i/>
        </w:rPr>
      </w:pPr>
      <w:r w:rsidRPr="000A2E77">
        <w:rPr>
          <w:b/>
          <w:i/>
        </w:rPr>
        <w:t>Annotation</w:t>
      </w:r>
      <w:r>
        <w:rPr>
          <w:b/>
          <w:i/>
        </w:rPr>
        <w:t>: Key Points</w:t>
      </w:r>
    </w:p>
    <w:p w:rsidR="006A2E06" w:rsidRDefault="006A2E06" w:rsidP="006A2E06">
      <w:pPr>
        <w:spacing w:after="120" w:line="240" w:lineRule="auto"/>
        <w:ind w:left="567"/>
        <w:jc w:val="both"/>
      </w:pPr>
      <w:r>
        <w:t>M</w:t>
      </w:r>
      <w:r w:rsidRPr="00940FC3">
        <w:t>arked contrast between Scofield’s treatment of Daniel and of Isaiah, Jeremiah and Ezekiel.</w:t>
      </w:r>
      <w:r>
        <w:rPr>
          <w:rStyle w:val="EndnoteReference"/>
        </w:rPr>
        <w:endnoteReference w:id="2595"/>
      </w:r>
      <w:r w:rsidRPr="00940FC3">
        <w:t xml:space="preserve">  Only three of Daniel’s twelve chapters are not annotated;</w:t>
      </w:r>
      <w:r w:rsidRPr="00940FC3">
        <w:rPr>
          <w:rStyle w:val="EndnoteReference"/>
        </w:rPr>
        <w:endnoteReference w:id="2596"/>
      </w:r>
      <w:r w:rsidRPr="00940FC3">
        <w:t xml:space="preserve"> nine bear detailed notes; notes on five chapters exceed 50 words per 100 in the </w:t>
      </w:r>
      <w:r w:rsidRPr="00940FC3">
        <w:rPr>
          <w:i/>
        </w:rPr>
        <w:t>KJV</w:t>
      </w:r>
      <w:r w:rsidRPr="00940FC3">
        <w:t xml:space="preserve"> text, one of these reaching 73 words per 100 and another 92 words.  </w:t>
      </w:r>
      <w:r>
        <w:t>A</w:t>
      </w:r>
      <w:r w:rsidRPr="00940FC3">
        <w:t>pparent that Scofield attaches importance to Daniel.</w:t>
      </w:r>
    </w:p>
    <w:p w:rsidR="006A2E06" w:rsidRPr="00940FC3" w:rsidRDefault="006A2E06" w:rsidP="006A2E06">
      <w:pPr>
        <w:spacing w:after="120" w:line="240" w:lineRule="auto"/>
        <w:ind w:left="567"/>
        <w:jc w:val="both"/>
        <w:rPr>
          <w:i/>
        </w:rPr>
      </w:pPr>
      <w:r w:rsidRPr="00A352A8">
        <w:t>Daniel is one of the chief sources</w:t>
      </w:r>
      <w:r>
        <w:t xml:space="preserve"> in </w:t>
      </w:r>
      <w:r w:rsidRPr="001C1C50">
        <w:rPr>
          <w:i/>
        </w:rPr>
        <w:t>SRB</w:t>
      </w:r>
      <w:r>
        <w:t xml:space="preserve"> for evidence of Scofield’s eschatology.</w:t>
      </w:r>
    </w:p>
    <w:p w:rsidR="006A2E06" w:rsidRPr="001C1C50" w:rsidRDefault="006A2E06" w:rsidP="006A2E06">
      <w:pPr>
        <w:spacing w:after="0" w:line="240" w:lineRule="auto"/>
        <w:ind w:right="74" w:firstLine="567"/>
        <w:jc w:val="both"/>
        <w:rPr>
          <w:i/>
        </w:rPr>
      </w:pPr>
      <w:r w:rsidRPr="001C1C50">
        <w:rPr>
          <w:i/>
        </w:rPr>
        <w:t>Eschatology</w:t>
      </w:r>
    </w:p>
    <w:p w:rsidR="006A2E06" w:rsidRDefault="006A2E06" w:rsidP="006A2E06">
      <w:pPr>
        <w:spacing w:after="60" w:line="240" w:lineRule="auto"/>
        <w:ind w:left="851" w:right="74"/>
        <w:jc w:val="both"/>
      </w:pPr>
      <w:r>
        <w:t>‘Times of the Gentiles’,</w:t>
      </w:r>
      <w:r>
        <w:rPr>
          <w:rStyle w:val="EndnoteReference"/>
        </w:rPr>
        <w:endnoteReference w:id="2597"/>
      </w:r>
      <w:r>
        <w:t xml:space="preserve"> especially as encapsulated in the concept of ‘the four world-empires’.</w:t>
      </w:r>
      <w:r>
        <w:rPr>
          <w:rStyle w:val="EndnoteReference"/>
        </w:rPr>
        <w:endnoteReference w:id="2598"/>
      </w:r>
      <w:r>
        <w:t xml:space="preserve"> </w:t>
      </w:r>
    </w:p>
    <w:p w:rsidR="006A2E06" w:rsidRDefault="006A2E06" w:rsidP="006A2E06">
      <w:pPr>
        <w:spacing w:after="60" w:line="240" w:lineRule="auto"/>
        <w:ind w:left="851" w:right="74"/>
        <w:jc w:val="both"/>
      </w:pPr>
      <w:r>
        <w:t>Future kingdom of heaven.</w:t>
      </w:r>
      <w:r>
        <w:rPr>
          <w:rStyle w:val="EndnoteReference"/>
        </w:rPr>
        <w:endnoteReference w:id="2599"/>
      </w:r>
    </w:p>
    <w:p w:rsidR="006A2E06" w:rsidRDefault="006A2E06" w:rsidP="006A2E06">
      <w:pPr>
        <w:spacing w:after="60" w:line="240" w:lineRule="auto"/>
        <w:ind w:left="851" w:right="74"/>
        <w:jc w:val="both"/>
      </w:pPr>
      <w:r>
        <w:t>Detailed explanation of the meaning of the ‘seventy weeks of years’ in Daniel 9;</w:t>
      </w:r>
      <w:r>
        <w:rPr>
          <w:rStyle w:val="EndnoteReference"/>
        </w:rPr>
        <w:endnoteReference w:id="2600"/>
      </w:r>
      <w:r>
        <w:t xml:space="preserve"> </w:t>
      </w:r>
    </w:p>
    <w:p w:rsidR="006A2E06" w:rsidRDefault="006A2E06" w:rsidP="006A2E06">
      <w:pPr>
        <w:spacing w:after="60" w:line="240" w:lineRule="auto"/>
        <w:ind w:left="851" w:right="74"/>
        <w:jc w:val="both"/>
      </w:pPr>
      <w:r>
        <w:t>The great tribulation</w:t>
      </w:r>
      <w:r>
        <w:rPr>
          <w:rStyle w:val="EndnoteReference"/>
        </w:rPr>
        <w:endnoteReference w:id="2601"/>
      </w:r>
      <w:r>
        <w:t xml:space="preserve"> and Jewish remnant.</w:t>
      </w:r>
      <w:r>
        <w:rPr>
          <w:rStyle w:val="EndnoteReference"/>
        </w:rPr>
        <w:endnoteReference w:id="2602"/>
      </w:r>
      <w:r>
        <w:t xml:space="preserve"> </w:t>
      </w:r>
    </w:p>
    <w:p w:rsidR="006A2E06" w:rsidRDefault="006A2E06" w:rsidP="006A2E06">
      <w:pPr>
        <w:spacing w:after="60" w:line="240" w:lineRule="auto"/>
        <w:ind w:left="851" w:right="74"/>
        <w:jc w:val="both"/>
      </w:pPr>
      <w:r>
        <w:t xml:space="preserve">The ‘time of the end’, </w:t>
      </w:r>
      <w:r w:rsidRPr="00852B88">
        <w:t>including the blasphemous assumption of deity by the Beast.</w:t>
      </w:r>
      <w:r w:rsidRPr="00852B88">
        <w:rPr>
          <w:rStyle w:val="EndnoteReference"/>
        </w:rPr>
        <w:endnoteReference w:id="2603"/>
      </w:r>
      <w:r>
        <w:t xml:space="preserve"> </w:t>
      </w:r>
    </w:p>
    <w:p w:rsidR="006A2E06" w:rsidRDefault="006A2E06" w:rsidP="006A2E06">
      <w:pPr>
        <w:spacing w:after="60" w:line="240" w:lineRule="auto"/>
        <w:ind w:left="851" w:right="74"/>
        <w:jc w:val="both"/>
      </w:pPr>
      <w:r>
        <w:t>Typological comparisons,</w:t>
      </w:r>
      <w:r>
        <w:rPr>
          <w:rStyle w:val="EndnoteReference"/>
        </w:rPr>
        <w:endnoteReference w:id="2604"/>
      </w:r>
      <w:r>
        <w:t xml:space="preserve"> particularly between the ‘horns’ of Daniel 7 and 8, the historical figure of Antiochus Epiphanes, and the beast of Revelation.  </w:t>
      </w:r>
    </w:p>
    <w:p w:rsidR="006A2E06" w:rsidRDefault="006A2E06" w:rsidP="006A2E06">
      <w:pPr>
        <w:spacing w:after="120" w:line="360" w:lineRule="auto"/>
        <w:ind w:left="851" w:right="74"/>
        <w:jc w:val="both"/>
      </w:pPr>
      <w:r>
        <w:t>Extensive links between Daniel and Revelation.</w:t>
      </w:r>
      <w:r>
        <w:rPr>
          <w:rStyle w:val="EndnoteReference"/>
        </w:rPr>
        <w:endnoteReference w:id="2605"/>
      </w:r>
    </w:p>
    <w:p w:rsidR="006A2E06" w:rsidRPr="009B295F" w:rsidRDefault="006A2E06" w:rsidP="006A2E06">
      <w:pPr>
        <w:spacing w:after="0" w:line="240" w:lineRule="auto"/>
        <w:ind w:left="567" w:right="74"/>
        <w:jc w:val="both"/>
        <w:rPr>
          <w:i/>
        </w:rPr>
      </w:pPr>
      <w:r w:rsidRPr="009B295F">
        <w:rPr>
          <w:i/>
        </w:rPr>
        <w:t>Typology</w:t>
      </w:r>
    </w:p>
    <w:p w:rsidR="006A2E06" w:rsidRDefault="006A2E06" w:rsidP="006A2E06">
      <w:pPr>
        <w:spacing w:after="120" w:line="240" w:lineRule="auto"/>
        <w:ind w:left="851" w:right="74"/>
        <w:jc w:val="both"/>
      </w:pPr>
      <w:r>
        <w:t>Comparisons between Shadrach, Meshach and Abednego and the Jewish remnant.</w:t>
      </w:r>
      <w:r>
        <w:rPr>
          <w:rStyle w:val="EndnoteReference"/>
        </w:rPr>
        <w:endnoteReference w:id="2606"/>
      </w:r>
      <w:r>
        <w:t xml:space="preserve"> </w:t>
      </w:r>
    </w:p>
    <w:p w:rsidR="006A2E06" w:rsidRPr="0016548A" w:rsidRDefault="006A2E06" w:rsidP="006A2E06">
      <w:pPr>
        <w:spacing w:after="120" w:line="240" w:lineRule="auto"/>
        <w:ind w:left="851" w:right="74"/>
        <w:jc w:val="both"/>
      </w:pPr>
      <w:r>
        <w:t>Comparisons between the two horns of Daniel 7 and 8 and the Revelation beast and Antiochus Epiphanes.</w:t>
      </w:r>
      <w:r>
        <w:rPr>
          <w:rStyle w:val="EndnoteReference"/>
        </w:rPr>
        <w:endnoteReference w:id="2607"/>
      </w:r>
      <w:r>
        <w:t xml:space="preserve"> </w:t>
      </w:r>
    </w:p>
    <w:p w:rsidR="006A2E06" w:rsidRPr="00A154E5" w:rsidRDefault="006A2E06" w:rsidP="006A2E06">
      <w:pPr>
        <w:spacing w:after="120" w:line="360" w:lineRule="auto"/>
        <w:ind w:right="74"/>
        <w:jc w:val="both"/>
        <w:rPr>
          <w:b/>
          <w:i/>
        </w:rPr>
      </w:pPr>
      <w:r w:rsidRPr="00A154E5">
        <w:rPr>
          <w:b/>
          <w:i/>
        </w:rPr>
        <w:t>Comments</w:t>
      </w:r>
    </w:p>
    <w:p w:rsidR="006A2E06" w:rsidRDefault="006A2E06" w:rsidP="006A2E06">
      <w:pPr>
        <w:spacing w:after="120" w:line="360" w:lineRule="auto"/>
        <w:ind w:right="74"/>
        <w:jc w:val="both"/>
      </w:pPr>
      <w:r w:rsidRPr="00852B88">
        <w:rPr>
          <w:spacing w:val="-4"/>
        </w:rPr>
        <w:t xml:space="preserve">Scofield’s </w:t>
      </w:r>
      <w:r w:rsidRPr="00852B88">
        <w:rPr>
          <w:i/>
          <w:spacing w:val="-4"/>
        </w:rPr>
        <w:t>excursus</w:t>
      </w:r>
      <w:r w:rsidRPr="00852B88">
        <w:rPr>
          <w:spacing w:val="-4"/>
        </w:rPr>
        <w:t xml:space="preserve"> on reconciliation is interesting in that it criticises </w:t>
      </w:r>
      <w:r w:rsidRPr="00852B88">
        <w:rPr>
          <w:i/>
          <w:spacing w:val="-4"/>
        </w:rPr>
        <w:t>KJV</w:t>
      </w:r>
      <w:r w:rsidRPr="00852B88">
        <w:rPr>
          <w:spacing w:val="-4"/>
        </w:rPr>
        <w:t xml:space="preserve"> for ‘improper’ translation in Dan. 9:24</w:t>
      </w:r>
      <w:r>
        <w:t xml:space="preserve"> and other Old Testament verses,</w:t>
      </w:r>
      <w:r>
        <w:rPr>
          <w:rStyle w:val="EndnoteReference"/>
        </w:rPr>
        <w:endnoteReference w:id="2608"/>
      </w:r>
      <w:r>
        <w:t xml:space="preserve"> arguing that ‘reconciliation is a N.T. doctrine’; in the Old Testament ‘atonement is invariably the meaning’.</w:t>
      </w:r>
      <w:r>
        <w:rPr>
          <w:rStyle w:val="EndnoteReference"/>
        </w:rPr>
        <w:endnoteReference w:id="2609"/>
      </w:r>
      <w:r>
        <w:t xml:space="preserve">  In this context the verb concerned, </w:t>
      </w:r>
      <w:r>
        <w:rPr>
          <w:rFonts w:ascii="SBL Hebrew" w:hAnsi="SBL Hebrew" w:cs="SBL Hebrew"/>
          <w:sz w:val="28"/>
          <w:szCs w:val="28"/>
          <w:rtl/>
          <w:lang w:val="en-US" w:bidi="he-IL"/>
        </w:rPr>
        <w:t>כפר</w:t>
      </w:r>
      <w:r>
        <w:rPr>
          <w:lang w:val="en-US"/>
        </w:rPr>
        <w:t>, does mean ‘cover’ or ‘atone’.</w:t>
      </w:r>
      <w:r>
        <w:t xml:space="preserve">  </w:t>
      </w:r>
    </w:p>
    <w:p w:rsidR="006A2E06" w:rsidRPr="00852B88" w:rsidRDefault="006A2E06" w:rsidP="006A2E06">
      <w:pPr>
        <w:spacing w:after="120" w:line="360" w:lineRule="auto"/>
        <w:ind w:right="74" w:firstLine="567"/>
        <w:jc w:val="both"/>
      </w:pPr>
      <w:r w:rsidRPr="00852B88">
        <w:t>In his note on Dan. 5:31, Scofield lists ‘the biblical order of the monarchs of Daniel’s time, and of the period of the captivity and restoration of Judah.</w:t>
      </w:r>
      <w:r w:rsidRPr="00852B88">
        <w:rPr>
          <w:rStyle w:val="EndnoteReference"/>
        </w:rPr>
        <w:endnoteReference w:id="2610"/>
      </w:r>
      <w:r w:rsidRPr="00852B88">
        <w:t xml:space="preserve">  The note contains information about a mixture of real and mythical figures, combined with some of Scofield’s interpretations of visions.  It starts with seemingly factual information, even including dates, and a discussion of the identity of Darius the Mede, but reverts, under the subject of Cyrus, to an interpretation of the horns of the ram in Dan. 8:6. </w:t>
      </w:r>
      <w:r w:rsidRPr="00852B88">
        <w:rPr>
          <w:color w:val="FF0000"/>
        </w:rPr>
        <w:t xml:space="preserve"> </w:t>
      </w:r>
      <w:r w:rsidRPr="00852B88">
        <w:t xml:space="preserve">Scofield </w:t>
      </w:r>
      <w:r w:rsidRPr="00852B88">
        <w:lastRenderedPageBreak/>
        <w:t>sees Darius’ ‘Median power’ as the lesser of the two horns of the ram and the ‘Persian power’ of Cyrus as the “higher horn” which came up last in Dan. 8 1-4.</w:t>
      </w:r>
      <w:r w:rsidRPr="00852B88">
        <w:rPr>
          <w:rStyle w:val="EndnoteReference"/>
        </w:rPr>
        <w:endnoteReference w:id="2611"/>
      </w:r>
    </w:p>
    <w:p w:rsidR="006A2E06" w:rsidRPr="00A937CC" w:rsidRDefault="006A2E06" w:rsidP="006A2E06">
      <w:pPr>
        <w:spacing w:after="120" w:line="360" w:lineRule="auto"/>
        <w:ind w:right="74"/>
        <w:jc w:val="both"/>
        <w:rPr>
          <w:b/>
          <w:i/>
        </w:rPr>
      </w:pPr>
      <w:r w:rsidRPr="00A937CC">
        <w:rPr>
          <w:b/>
          <w:i/>
        </w:rPr>
        <w:t>Omissions</w:t>
      </w:r>
    </w:p>
    <w:p w:rsidR="006A2E06" w:rsidRPr="00867DAA" w:rsidRDefault="006A2E06" w:rsidP="006A2E06">
      <w:pPr>
        <w:spacing w:after="120" w:line="360" w:lineRule="auto"/>
        <w:ind w:right="74"/>
        <w:jc w:val="both"/>
        <w:rPr>
          <w:i/>
        </w:rPr>
      </w:pPr>
      <w:r>
        <w:t>Characteristically, Scofield</w:t>
      </w:r>
      <w:r w:rsidRPr="001B2AA2">
        <w:t xml:space="preserve"> omits all narrative or historical elements</w:t>
      </w:r>
      <w:r>
        <w:t xml:space="preserve"> in Daniel</w:t>
      </w:r>
      <w:r w:rsidRPr="001B2AA2">
        <w:t xml:space="preserve">, except those he lists in his note on </w:t>
      </w:r>
      <w:r>
        <w:t>Dan. 5:31</w:t>
      </w:r>
      <w:r w:rsidRPr="001B2AA2">
        <w:t xml:space="preserve">.  </w:t>
      </w:r>
      <w:r w:rsidRPr="007B79A9">
        <w:t xml:space="preserve">Chapter 1 is not annotated even though it establishes the identities of Daniel and his three compatriots, Hananiah, Mishael and Azariah, and their situation.  It tells of their faithful witness to God and the way in which they impressed Nebuchadnezzar with their wisdom.  </w:t>
      </w:r>
      <w:r>
        <w:t xml:space="preserve">The narrative part of Daniel 2 and the stories of </w:t>
      </w:r>
      <w:r w:rsidRPr="001B2AA2">
        <w:t>the fiery furnace</w:t>
      </w:r>
      <w:r>
        <w:t>,</w:t>
      </w:r>
      <w:r w:rsidRPr="001B2AA2">
        <w:rPr>
          <w:rStyle w:val="EndnoteReference"/>
        </w:rPr>
        <w:endnoteReference w:id="2612"/>
      </w:r>
      <w:r w:rsidRPr="001B2AA2">
        <w:t xml:space="preserve"> and Daniel in the lions’ den</w:t>
      </w:r>
      <w:r w:rsidRPr="001B2AA2">
        <w:rPr>
          <w:rStyle w:val="EndnoteReference"/>
        </w:rPr>
        <w:endnoteReference w:id="2613"/>
      </w:r>
      <w:r>
        <w:t xml:space="preserve"> and </w:t>
      </w:r>
      <w:r w:rsidRPr="001B2AA2">
        <w:t>Belshazzar’s feast</w:t>
      </w:r>
      <w:r w:rsidRPr="001B2AA2">
        <w:rPr>
          <w:rStyle w:val="EndnoteReference"/>
        </w:rPr>
        <w:endnoteReference w:id="2614"/>
      </w:r>
      <w:r w:rsidRPr="001B2AA2">
        <w:t xml:space="preserve"> </w:t>
      </w:r>
      <w:r>
        <w:t>are</w:t>
      </w:r>
      <w:r w:rsidRPr="001B2AA2">
        <w:t xml:space="preserve"> not </w:t>
      </w:r>
      <w:r>
        <w:t xml:space="preserve">covered either.  </w:t>
      </w:r>
      <w:r w:rsidRPr="00F7532F">
        <w:t>Daniel 2:1-18 tell of Nebuchadnezzar’s disquiet, the failure of his astrologers, sorcerers and Chaldeans to ascertain his dream, the threat to the lives of Daniel and his friends, their prayers for wisdom and the divine inspiration granted to Daniel.</w:t>
      </w:r>
      <w:r>
        <w:t xml:space="preserve">  </w:t>
      </w:r>
      <w:r w:rsidRPr="001B2AA2">
        <w:t xml:space="preserve">If Scofield were concerned to instruct Christians, he would surely have included such examples of faith and endurance.  </w:t>
      </w:r>
      <w:r>
        <w:t>It is significant that Scofield concentrates on ‘the visions of the second half [of Daniel]’, which Philip Davies regards as ‘more intriguing to scholars’ rather than ‘the stories of the first half [which] have more appeal to laypeople’.</w:t>
      </w:r>
      <w:r>
        <w:rPr>
          <w:rStyle w:val="EndnoteReference"/>
        </w:rPr>
        <w:endnoteReference w:id="2615"/>
      </w:r>
      <w:r>
        <w:t xml:space="preserve">  </w:t>
      </w:r>
    </w:p>
    <w:p w:rsidR="006A2E06" w:rsidRPr="006629ED" w:rsidRDefault="00135984" w:rsidP="006A2E06">
      <w:pPr>
        <w:spacing w:after="120" w:line="360" w:lineRule="auto"/>
        <w:jc w:val="both"/>
        <w:rPr>
          <w:b/>
          <w:i/>
        </w:rPr>
      </w:pPr>
      <w:r>
        <w:rPr>
          <w:b/>
        </w:rPr>
        <w:t xml:space="preserve">8.4.5 </w:t>
      </w:r>
      <w:r w:rsidR="006A2E06" w:rsidRPr="006629ED">
        <w:rPr>
          <w:b/>
          <w:i/>
        </w:rPr>
        <w:t xml:space="preserve"> </w:t>
      </w:r>
      <w:r w:rsidR="006A2E06" w:rsidRPr="00135984">
        <w:rPr>
          <w:b/>
        </w:rPr>
        <w:t>Hosea</w:t>
      </w:r>
    </w:p>
    <w:p w:rsidR="006A2E06" w:rsidRDefault="006A2E06" w:rsidP="006A2E06">
      <w:pPr>
        <w:spacing w:after="120" w:line="360" w:lineRule="auto"/>
        <w:jc w:val="both"/>
        <w:rPr>
          <w:b/>
          <w:i/>
        </w:rPr>
      </w:pPr>
      <w:r w:rsidRPr="006629ED">
        <w:rPr>
          <w:b/>
          <w:i/>
        </w:rPr>
        <w:t>Introduction</w:t>
      </w:r>
      <w:r>
        <w:rPr>
          <w:b/>
          <w:i/>
        </w:rPr>
        <w:t xml:space="preserve"> and Annotation: Key Points</w:t>
      </w:r>
    </w:p>
    <w:p w:rsidR="006A2E06" w:rsidRPr="006629ED" w:rsidRDefault="006A2E06" w:rsidP="006A2E06">
      <w:pPr>
        <w:spacing w:after="0" w:line="240" w:lineRule="auto"/>
        <w:ind w:left="567"/>
        <w:jc w:val="both"/>
        <w:rPr>
          <w:i/>
        </w:rPr>
      </w:pPr>
      <w:r w:rsidRPr="006629ED">
        <w:rPr>
          <w:i/>
        </w:rPr>
        <w:t>Dualism</w:t>
      </w:r>
    </w:p>
    <w:p w:rsidR="006A2E06" w:rsidRDefault="006A2E06" w:rsidP="006A2E06">
      <w:pPr>
        <w:spacing w:after="120" w:line="240" w:lineRule="auto"/>
        <w:ind w:left="567"/>
        <w:jc w:val="both"/>
      </w:pPr>
      <w:r w:rsidRPr="006629ED">
        <w:t xml:space="preserve">Israel </w:t>
      </w:r>
      <w:r>
        <w:t xml:space="preserve">described </w:t>
      </w:r>
      <w:r w:rsidRPr="006629ED">
        <w:t>as ‘Jehovah’s adulterous wife, repudiated, but ultimately to be purified and restored’.</w:t>
      </w:r>
      <w:r w:rsidRPr="006629ED">
        <w:rPr>
          <w:rStyle w:val="EndnoteReference"/>
        </w:rPr>
        <w:endnoteReference w:id="2616"/>
      </w:r>
      <w:r w:rsidRPr="006629ED">
        <w:t xml:space="preserve">  </w:t>
      </w:r>
    </w:p>
    <w:p w:rsidR="006A2E06" w:rsidRDefault="006A2E06" w:rsidP="006A2E06">
      <w:pPr>
        <w:spacing w:after="120" w:line="240" w:lineRule="auto"/>
        <w:ind w:left="567"/>
        <w:jc w:val="both"/>
      </w:pPr>
      <w:r w:rsidRPr="006629ED">
        <w:t>Israel’s sin ‘takes its character from the exalted relationship to which she has been brought’.</w:t>
      </w:r>
      <w:r w:rsidRPr="006629ED">
        <w:rPr>
          <w:rStyle w:val="EndnoteReference"/>
        </w:rPr>
        <w:endnoteReference w:id="2617"/>
      </w:r>
    </w:p>
    <w:p w:rsidR="006A2E06" w:rsidRPr="006629ED" w:rsidRDefault="006A2E06" w:rsidP="006A2E06">
      <w:pPr>
        <w:spacing w:after="120" w:line="240" w:lineRule="auto"/>
        <w:ind w:left="567"/>
        <w:jc w:val="both"/>
      </w:pPr>
      <w:r>
        <w:t>C</w:t>
      </w:r>
      <w:r w:rsidRPr="006629ED">
        <w:t>ontrasts Israel as Jehovah’s disowned wife, yet to be restored, with the Church as Christ’s virgin bride.</w:t>
      </w:r>
      <w:r w:rsidRPr="006629ED">
        <w:rPr>
          <w:rStyle w:val="EndnoteReference"/>
        </w:rPr>
        <w:endnoteReference w:id="2618"/>
      </w:r>
    </w:p>
    <w:p w:rsidR="006A2E06" w:rsidRPr="00B11E9B" w:rsidRDefault="006A2E06" w:rsidP="006A2E06">
      <w:pPr>
        <w:spacing w:after="0" w:line="240" w:lineRule="auto"/>
        <w:ind w:left="567"/>
        <w:jc w:val="both"/>
        <w:rPr>
          <w:i/>
        </w:rPr>
      </w:pPr>
      <w:r w:rsidRPr="00B11E9B">
        <w:rPr>
          <w:i/>
        </w:rPr>
        <w:t>Israel</w:t>
      </w:r>
    </w:p>
    <w:p w:rsidR="006A2E06" w:rsidRDefault="006A2E06" w:rsidP="006A2E06">
      <w:pPr>
        <w:spacing w:after="120" w:line="240" w:lineRule="auto"/>
        <w:ind w:left="567"/>
        <w:jc w:val="both"/>
      </w:pPr>
      <w:r w:rsidRPr="006629ED">
        <w:t>‘</w:t>
      </w:r>
      <w:r>
        <w:t>M</w:t>
      </w:r>
      <w:r w:rsidRPr="006629ED">
        <w:t>y people’ in the Old Testament refers ‘exclusively’ to ‘Israel the nation’</w:t>
      </w:r>
      <w:r>
        <w:t>.</w:t>
      </w:r>
      <w:r w:rsidRPr="006629ED">
        <w:rPr>
          <w:rStyle w:val="EndnoteReference"/>
        </w:rPr>
        <w:endnoteReference w:id="2619"/>
      </w:r>
      <w:r w:rsidRPr="006629ED">
        <w:t xml:space="preserve"> </w:t>
      </w:r>
    </w:p>
    <w:p w:rsidR="006A2E06" w:rsidRDefault="006A2E06" w:rsidP="006A2E06">
      <w:pPr>
        <w:spacing w:after="120" w:line="360" w:lineRule="auto"/>
        <w:ind w:left="567"/>
        <w:jc w:val="both"/>
      </w:pPr>
      <w:r w:rsidRPr="006629ED">
        <w:t xml:space="preserve">‘Israel’ </w:t>
      </w:r>
      <w:r>
        <w:t xml:space="preserve">in Hosea </w:t>
      </w:r>
      <w:r w:rsidRPr="006629ED">
        <w:t>means the ten tribes of the northern kingdom as opposed to Judah.</w:t>
      </w:r>
      <w:r w:rsidRPr="006629ED">
        <w:rPr>
          <w:rStyle w:val="EndnoteReference"/>
        </w:rPr>
        <w:endnoteReference w:id="2620"/>
      </w:r>
      <w:r w:rsidRPr="006629ED">
        <w:t xml:space="preserve">  </w:t>
      </w:r>
    </w:p>
    <w:p w:rsidR="006A2E06" w:rsidRPr="00135984" w:rsidRDefault="00135984" w:rsidP="006A2E06">
      <w:pPr>
        <w:spacing w:after="120" w:line="360" w:lineRule="auto"/>
        <w:ind w:left="567" w:hanging="567"/>
        <w:jc w:val="both"/>
        <w:rPr>
          <w:b/>
        </w:rPr>
      </w:pPr>
      <w:r w:rsidRPr="00135984">
        <w:rPr>
          <w:b/>
        </w:rPr>
        <w:t>8.4.6</w:t>
      </w:r>
      <w:r w:rsidR="006A2E06" w:rsidRPr="00135984">
        <w:rPr>
          <w:b/>
        </w:rPr>
        <w:t xml:space="preserve">  Joel</w:t>
      </w:r>
    </w:p>
    <w:p w:rsidR="006A2E06" w:rsidRPr="006629ED" w:rsidRDefault="006A2E06" w:rsidP="006A2E06">
      <w:pPr>
        <w:spacing w:after="120" w:line="360" w:lineRule="auto"/>
        <w:jc w:val="both"/>
        <w:rPr>
          <w:b/>
          <w:i/>
        </w:rPr>
      </w:pPr>
      <w:r>
        <w:rPr>
          <w:b/>
          <w:i/>
        </w:rPr>
        <w:t>Introduction: Key Points</w:t>
      </w:r>
    </w:p>
    <w:p w:rsidR="006A2E06" w:rsidRPr="006629ED" w:rsidRDefault="006A2E06" w:rsidP="006A2E06">
      <w:pPr>
        <w:spacing w:after="120" w:line="360" w:lineRule="auto"/>
        <w:ind w:left="567" w:right="74"/>
        <w:jc w:val="both"/>
      </w:pPr>
      <w:r>
        <w:t>P</w:t>
      </w:r>
      <w:r w:rsidRPr="006629ED">
        <w:t xml:space="preserve">lagues of insects, sent as divine punishment, ‘give </w:t>
      </w:r>
      <w:r>
        <w:t xml:space="preserve">the </w:t>
      </w:r>
      <w:r w:rsidRPr="006629ED">
        <w:t>occasion for the unveiling of the two aspects of the coming “day of the Lord”:</w:t>
      </w:r>
      <w:r w:rsidRPr="006629ED">
        <w:rPr>
          <w:rStyle w:val="EndnoteReference"/>
        </w:rPr>
        <w:endnoteReference w:id="2621"/>
      </w:r>
      <w:r w:rsidRPr="006629ED">
        <w:t xml:space="preserve"> judgment on the Gentiles and blessing for Israel’.</w:t>
      </w:r>
      <w:r w:rsidRPr="006629ED">
        <w:rPr>
          <w:rStyle w:val="EndnoteReference"/>
        </w:rPr>
        <w:endnoteReference w:id="2622"/>
      </w:r>
      <w:r w:rsidRPr="006629ED">
        <w:t xml:space="preserve"> </w:t>
      </w:r>
    </w:p>
    <w:p w:rsidR="006A2E06" w:rsidRDefault="006A2E06" w:rsidP="006A2E06">
      <w:pPr>
        <w:spacing w:after="120" w:line="360" w:lineRule="auto"/>
        <w:rPr>
          <w:b/>
        </w:rPr>
      </w:pPr>
      <w:r>
        <w:rPr>
          <w:b/>
        </w:rPr>
        <w:br w:type="page"/>
      </w:r>
    </w:p>
    <w:tbl>
      <w:tblPr>
        <w:tblW w:w="0" w:type="auto"/>
        <w:tblLook w:val="04A0" w:firstRow="1" w:lastRow="0" w:firstColumn="1" w:lastColumn="0" w:noHBand="0" w:noVBand="1"/>
      </w:tblPr>
      <w:tblGrid>
        <w:gridCol w:w="8720"/>
      </w:tblGrid>
      <w:tr w:rsidR="006A2E06" w:rsidTr="006A2E06">
        <w:tc>
          <w:tcPr>
            <w:tcW w:w="8720" w:type="dxa"/>
          </w:tcPr>
          <w:p w:rsidR="006A2E06" w:rsidRDefault="006A2E06" w:rsidP="006A2E06">
            <w:pPr>
              <w:spacing w:after="0" w:line="360" w:lineRule="auto"/>
              <w:rPr>
                <w:b/>
              </w:rPr>
            </w:pPr>
            <w:r>
              <w:rPr>
                <w:b/>
                <w:noProof/>
                <w:lang w:eastAsia="en-GB"/>
              </w:rPr>
              <w:lastRenderedPageBreak/>
              <w:drawing>
                <wp:inline distT="0" distB="0" distL="0" distR="0" wp14:anchorId="06EC60D7" wp14:editId="354BDF83">
                  <wp:extent cx="5342265" cy="7574280"/>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r Prophets 18.6.16 crop.jpg"/>
                          <pic:cNvPicPr/>
                        </pic:nvPicPr>
                        <pic:blipFill>
                          <a:blip r:embed="rId173">
                            <a:extLst>
                              <a:ext uri="{28A0092B-C50C-407E-A947-70E740481C1C}">
                                <a14:useLocalDpi xmlns:a14="http://schemas.microsoft.com/office/drawing/2010/main" val="0"/>
                              </a:ext>
                            </a:extLst>
                          </a:blip>
                          <a:stretch>
                            <a:fillRect/>
                          </a:stretch>
                        </pic:blipFill>
                        <pic:spPr>
                          <a:xfrm>
                            <a:off x="0" y="0"/>
                            <a:ext cx="5345322" cy="7578615"/>
                          </a:xfrm>
                          <a:prstGeom prst="rect">
                            <a:avLst/>
                          </a:prstGeom>
                        </pic:spPr>
                      </pic:pic>
                    </a:graphicData>
                  </a:graphic>
                </wp:inline>
              </w:drawing>
            </w:r>
          </w:p>
          <w:p w:rsidR="006A2E06" w:rsidRDefault="006A2E06" w:rsidP="006A2E06">
            <w:pPr>
              <w:spacing w:after="120" w:line="360" w:lineRule="auto"/>
              <w:jc w:val="center"/>
              <w:rPr>
                <w:b/>
              </w:rPr>
            </w:pPr>
            <w:r>
              <w:rPr>
                <w:b/>
                <w:noProof/>
                <w:lang w:eastAsia="en-GB"/>
              </w:rPr>
              <w:drawing>
                <wp:inline distT="0" distB="0" distL="0" distR="0" wp14:anchorId="3ACA8267" wp14:editId="05F96CC8">
                  <wp:extent cx="4693023" cy="852073"/>
                  <wp:effectExtent l="0" t="0" r="0" b="571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r Prophets 1 title 2.4.18 crop.jpg"/>
                          <pic:cNvPicPr/>
                        </pic:nvPicPr>
                        <pic:blipFill>
                          <a:blip r:embed="rId174">
                            <a:extLst>
                              <a:ext uri="{28A0092B-C50C-407E-A947-70E740481C1C}">
                                <a14:useLocalDpi xmlns:a14="http://schemas.microsoft.com/office/drawing/2010/main" val="0"/>
                              </a:ext>
                            </a:extLst>
                          </a:blip>
                          <a:stretch>
                            <a:fillRect/>
                          </a:stretch>
                        </pic:blipFill>
                        <pic:spPr>
                          <a:xfrm>
                            <a:off x="0" y="0"/>
                            <a:ext cx="4699462" cy="853242"/>
                          </a:xfrm>
                          <a:prstGeom prst="rect">
                            <a:avLst/>
                          </a:prstGeom>
                        </pic:spPr>
                      </pic:pic>
                    </a:graphicData>
                  </a:graphic>
                </wp:inline>
              </w:drawing>
            </w:r>
          </w:p>
        </w:tc>
      </w:tr>
    </w:tbl>
    <w:p w:rsidR="006A2E06" w:rsidRDefault="006A2E06" w:rsidP="006A2E06">
      <w:pPr>
        <w:spacing w:after="120" w:line="360" w:lineRule="auto"/>
        <w:ind w:right="74"/>
        <w:jc w:val="center"/>
      </w:pPr>
      <w:r>
        <w:rPr>
          <w:noProof/>
          <w:lang w:eastAsia="en-GB"/>
        </w:rPr>
        <w:lastRenderedPageBreak/>
        <w:drawing>
          <wp:inline distT="0" distB="0" distL="0" distR="0" wp14:anchorId="4CCEF372" wp14:editId="3A5E3E7F">
            <wp:extent cx="3925490" cy="72390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ah Habb etc 18.6.16 crop.jpg"/>
                    <pic:cNvPicPr/>
                  </pic:nvPicPr>
                  <pic:blipFill>
                    <a:blip r:embed="rId175">
                      <a:extLst>
                        <a:ext uri="{28A0092B-C50C-407E-A947-70E740481C1C}">
                          <a14:useLocalDpi xmlns:a14="http://schemas.microsoft.com/office/drawing/2010/main" val="0"/>
                        </a:ext>
                      </a:extLst>
                    </a:blip>
                    <a:stretch>
                      <a:fillRect/>
                    </a:stretch>
                  </pic:blipFill>
                  <pic:spPr>
                    <a:xfrm>
                      <a:off x="0" y="0"/>
                      <a:ext cx="3923522" cy="7235371"/>
                    </a:xfrm>
                    <a:prstGeom prst="rect">
                      <a:avLst/>
                    </a:prstGeom>
                  </pic:spPr>
                </pic:pic>
              </a:graphicData>
            </a:graphic>
          </wp:inline>
        </w:drawing>
      </w:r>
    </w:p>
    <w:tbl>
      <w:tblPr>
        <w:tblW w:w="0" w:type="auto"/>
        <w:tblLook w:val="04A0" w:firstRow="1" w:lastRow="0" w:firstColumn="1" w:lastColumn="0" w:noHBand="0" w:noVBand="1"/>
      </w:tblPr>
      <w:tblGrid>
        <w:gridCol w:w="8720"/>
      </w:tblGrid>
      <w:tr w:rsidR="006A2E06" w:rsidTr="006A2E06">
        <w:tc>
          <w:tcPr>
            <w:tcW w:w="8720" w:type="dxa"/>
          </w:tcPr>
          <w:p w:rsidR="006A2E06" w:rsidRDefault="006A2E06" w:rsidP="006A2E06">
            <w:pPr>
              <w:spacing w:after="120" w:line="360" w:lineRule="auto"/>
              <w:jc w:val="center"/>
              <w:rPr>
                <w:b/>
              </w:rPr>
            </w:pPr>
            <w:r>
              <w:rPr>
                <w:b/>
                <w:noProof/>
                <w:lang w:eastAsia="en-GB"/>
              </w:rPr>
              <w:drawing>
                <wp:inline distT="0" distB="0" distL="0" distR="0" wp14:anchorId="4C905F0F" wp14:editId="599BA2E1">
                  <wp:extent cx="5400040" cy="6794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r Prophets 2 title 2.4.18 crop.jpg"/>
                          <pic:cNvPicPr/>
                        </pic:nvPicPr>
                        <pic:blipFill>
                          <a:blip r:embed="rId176">
                            <a:extLst>
                              <a:ext uri="{28A0092B-C50C-407E-A947-70E740481C1C}">
                                <a14:useLocalDpi xmlns:a14="http://schemas.microsoft.com/office/drawing/2010/main" val="0"/>
                              </a:ext>
                            </a:extLst>
                          </a:blip>
                          <a:stretch>
                            <a:fillRect/>
                          </a:stretch>
                        </pic:blipFill>
                        <pic:spPr>
                          <a:xfrm>
                            <a:off x="0" y="0"/>
                            <a:ext cx="5400040" cy="679450"/>
                          </a:xfrm>
                          <a:prstGeom prst="rect">
                            <a:avLst/>
                          </a:prstGeom>
                        </pic:spPr>
                      </pic:pic>
                    </a:graphicData>
                  </a:graphic>
                </wp:inline>
              </w:drawing>
            </w:r>
          </w:p>
        </w:tc>
      </w:tr>
    </w:tbl>
    <w:p w:rsidR="006A2E06" w:rsidRDefault="006A2E06" w:rsidP="006A2E06">
      <w:pPr>
        <w:spacing w:after="120" w:line="360" w:lineRule="auto"/>
        <w:ind w:right="74"/>
        <w:jc w:val="both"/>
      </w:pPr>
    </w:p>
    <w:p w:rsidR="006A2E06" w:rsidRPr="006629ED" w:rsidRDefault="006A2E06" w:rsidP="006A2E06">
      <w:pPr>
        <w:spacing w:after="120" w:line="240" w:lineRule="auto"/>
        <w:jc w:val="both"/>
        <w:rPr>
          <w:b/>
          <w:i/>
        </w:rPr>
      </w:pPr>
      <w:r>
        <w:rPr>
          <w:b/>
          <w:i/>
        </w:rPr>
        <w:lastRenderedPageBreak/>
        <w:t>Annotation,</w:t>
      </w:r>
      <w:r w:rsidRPr="006629ED">
        <w:rPr>
          <w:b/>
          <w:i/>
        </w:rPr>
        <w:t xml:space="preserve"> Joel</w:t>
      </w:r>
      <w:r>
        <w:rPr>
          <w:b/>
          <w:i/>
        </w:rPr>
        <w:t>: Key Points:</w:t>
      </w:r>
    </w:p>
    <w:p w:rsidR="006A2E06" w:rsidRDefault="006A2E06" w:rsidP="006A2E06">
      <w:pPr>
        <w:spacing w:after="120" w:line="240" w:lineRule="auto"/>
        <w:ind w:left="567" w:right="74"/>
        <w:jc w:val="both"/>
      </w:pPr>
      <w:r>
        <w:t xml:space="preserve">Assertion that </w:t>
      </w:r>
      <w:r w:rsidRPr="006629ED">
        <w:t xml:space="preserve">Joel </w:t>
      </w:r>
      <w:r>
        <w:t xml:space="preserve">comes at the start of written prophecy but </w:t>
      </w:r>
      <w:r w:rsidRPr="006629ED">
        <w:t>‘gives the fullest view of the consummation of all written prophecy’.</w:t>
      </w:r>
      <w:r>
        <w:rPr>
          <w:rStyle w:val="EndnoteReference"/>
        </w:rPr>
        <w:endnoteReference w:id="2623"/>
      </w:r>
      <w:r w:rsidRPr="006629ED">
        <w:t xml:space="preserve">  </w:t>
      </w:r>
    </w:p>
    <w:p w:rsidR="006A2E06" w:rsidRDefault="006A2E06" w:rsidP="006A2E06">
      <w:pPr>
        <w:spacing w:after="120" w:line="240" w:lineRule="auto"/>
        <w:ind w:left="567" w:right="74"/>
        <w:jc w:val="both"/>
      </w:pPr>
      <w:r>
        <w:t>Claim that the p</w:t>
      </w:r>
      <w:r w:rsidRPr="006629ED">
        <w:t xml:space="preserve">lague of insects </w:t>
      </w:r>
      <w:r>
        <w:t>i</w:t>
      </w:r>
      <w:r w:rsidRPr="006629ED">
        <w:t xml:space="preserve">s an instance of near and far prophecy, ‘where a local circumstance is shown to be of spiritual significance and is made the occasion of a far-reaching prophecy’.  ‘The whole picture’ is of the end-time …the ‘times of the Gentiles’, the day of the LORD, the regathering </w:t>
      </w:r>
      <w:r>
        <w:t>of Israel and ‘kingdom blessing</w:t>
      </w:r>
      <w:r w:rsidRPr="006629ED">
        <w:t>.</w:t>
      </w:r>
      <w:r>
        <w:t>’</w:t>
      </w:r>
      <w:r>
        <w:rPr>
          <w:rStyle w:val="EndnoteReference"/>
        </w:rPr>
        <w:endnoteReference w:id="2624"/>
      </w:r>
      <w:r w:rsidRPr="006629ED">
        <w:t xml:space="preserve">  </w:t>
      </w:r>
    </w:p>
    <w:p w:rsidR="006A2E06" w:rsidRDefault="006A2E06" w:rsidP="006A2E06">
      <w:pPr>
        <w:spacing w:after="120" w:line="240" w:lineRule="auto"/>
        <w:ind w:left="567" w:right="74"/>
        <w:jc w:val="both"/>
      </w:pPr>
      <w:r>
        <w:t xml:space="preserve">Sees </w:t>
      </w:r>
      <w:r w:rsidRPr="006629ED">
        <w:t>‘</w:t>
      </w:r>
      <w:r>
        <w:t>o</w:t>
      </w:r>
      <w:r w:rsidRPr="006629ED">
        <w:t>rder of events’, which begins with the future invasion of Palestine from the north by the Gentile hordes, headed by the Beast and false prophet, includes the battle of Armageddon, and ends with full blessing in the kingdom set up by Christ on his return.</w:t>
      </w:r>
      <w:r w:rsidRPr="006629ED">
        <w:rPr>
          <w:rStyle w:val="EndnoteReference"/>
        </w:rPr>
        <w:endnoteReference w:id="2625"/>
      </w:r>
      <w:r w:rsidRPr="006629ED">
        <w:t xml:space="preserve">  </w:t>
      </w:r>
    </w:p>
    <w:p w:rsidR="006A2E06" w:rsidRPr="00852B88" w:rsidRDefault="006A2E06" w:rsidP="006A2E06">
      <w:pPr>
        <w:spacing w:after="120" w:line="240" w:lineRule="auto"/>
        <w:ind w:left="567" w:right="74"/>
        <w:jc w:val="both"/>
      </w:pPr>
      <w:r w:rsidRPr="00852B88">
        <w:t>Note on Joel 2:11 also focuses on Armageddon, kingdom blessing and ‘cosmical signs preceding the day of the Lord’ and adds references to the promise of deliverance in response to repentance and to kingdom blessings.</w:t>
      </w:r>
      <w:r w:rsidRPr="00852B88">
        <w:rPr>
          <w:rStyle w:val="EndnoteReference"/>
        </w:rPr>
        <w:endnoteReference w:id="2626"/>
      </w:r>
      <w:r w:rsidRPr="00852B88">
        <w:t xml:space="preserve"> </w:t>
      </w:r>
    </w:p>
    <w:p w:rsidR="006A2E06" w:rsidRPr="00852B88" w:rsidRDefault="006A2E06" w:rsidP="006A2E06">
      <w:pPr>
        <w:spacing w:after="120" w:line="240" w:lineRule="auto"/>
        <w:ind w:left="567" w:right="74"/>
        <w:jc w:val="both"/>
      </w:pPr>
      <w:r w:rsidRPr="00852B88">
        <w:t>‘Afterward’ in Joel 2:28 means ‘during the “last days”</w:t>
      </w:r>
      <w:r>
        <w:t>’</w:t>
      </w:r>
      <w:r w:rsidRPr="00852B88">
        <w:t>; this is partly fulfilled in this age and partly awaits ‘greater fulfilment’ in the ‘last days’ for Israel</w:t>
      </w:r>
      <w:r>
        <w:t>’</w:t>
      </w:r>
      <w:r w:rsidRPr="00852B88">
        <w:t>.</w:t>
      </w:r>
      <w:r w:rsidRPr="00852B88">
        <w:rPr>
          <w:rStyle w:val="EndnoteReference"/>
        </w:rPr>
        <w:endnoteReference w:id="2627"/>
      </w:r>
      <w:r w:rsidRPr="00852B88">
        <w:t xml:space="preserve">  </w:t>
      </w:r>
    </w:p>
    <w:p w:rsidR="006A2E06" w:rsidRPr="006629ED" w:rsidRDefault="006A2E06" w:rsidP="006A2E06">
      <w:pPr>
        <w:spacing w:after="120" w:line="240" w:lineRule="auto"/>
        <w:ind w:left="567" w:right="74"/>
        <w:jc w:val="both"/>
      </w:pPr>
      <w:r>
        <w:t>N</w:t>
      </w:r>
      <w:r w:rsidRPr="006629ED">
        <w:t>otes on Joel conflate material from Joel and New Testament texts, especially Revelation.</w:t>
      </w:r>
      <w:r w:rsidRPr="006629ED">
        <w:rPr>
          <w:rStyle w:val="EndnoteReference"/>
        </w:rPr>
        <w:endnoteReference w:id="2628"/>
      </w:r>
      <w:r w:rsidRPr="006629ED">
        <w:t xml:space="preserve">    </w:t>
      </w:r>
    </w:p>
    <w:p w:rsidR="006A2E06" w:rsidRPr="00135984" w:rsidRDefault="00135984" w:rsidP="006A2E06">
      <w:pPr>
        <w:spacing w:after="120" w:line="360" w:lineRule="auto"/>
        <w:ind w:right="74"/>
        <w:jc w:val="both"/>
        <w:rPr>
          <w:b/>
        </w:rPr>
      </w:pPr>
      <w:r>
        <w:rPr>
          <w:b/>
        </w:rPr>
        <w:t>8.4.7</w:t>
      </w:r>
      <w:r w:rsidR="006A2E06">
        <w:rPr>
          <w:b/>
          <w:i/>
        </w:rPr>
        <w:t xml:space="preserve">  </w:t>
      </w:r>
      <w:r w:rsidR="006A2E06" w:rsidRPr="00135984">
        <w:rPr>
          <w:b/>
        </w:rPr>
        <w:t>Amos</w:t>
      </w:r>
    </w:p>
    <w:p w:rsidR="006A2E06" w:rsidRPr="001B6215" w:rsidRDefault="006A2E06" w:rsidP="006A2E06">
      <w:pPr>
        <w:spacing w:after="120" w:line="240" w:lineRule="auto"/>
        <w:ind w:right="74"/>
        <w:jc w:val="both"/>
        <w:rPr>
          <w:b/>
          <w:i/>
        </w:rPr>
      </w:pPr>
      <w:r>
        <w:rPr>
          <w:b/>
          <w:i/>
        </w:rPr>
        <w:t>Introduction: Key Points:</w:t>
      </w:r>
    </w:p>
    <w:p w:rsidR="006A2E06" w:rsidRDefault="006A2E06" w:rsidP="006A2E06">
      <w:pPr>
        <w:spacing w:after="120" w:line="240" w:lineRule="auto"/>
        <w:ind w:left="567" w:right="74"/>
        <w:jc w:val="both"/>
      </w:pPr>
      <w:r w:rsidRPr="005D00B9">
        <w:t xml:space="preserve">Amos’ warning to the </w:t>
      </w:r>
      <w:r>
        <w:t>n</w:t>
      </w:r>
      <w:r w:rsidRPr="005D00B9">
        <w:t xml:space="preserve">orthern </w:t>
      </w:r>
      <w:r>
        <w:t>k</w:t>
      </w:r>
      <w:r w:rsidRPr="005D00B9">
        <w:t xml:space="preserve">ingdom </w:t>
      </w:r>
      <w:r>
        <w:t xml:space="preserve">is </w:t>
      </w:r>
      <w:r w:rsidRPr="005D00B9">
        <w:t xml:space="preserve">‘highly improbable’, </w:t>
      </w:r>
      <w:r>
        <w:t>but</w:t>
      </w:r>
      <w:r w:rsidRPr="005D00B9">
        <w:t xml:space="preserve"> </w:t>
      </w:r>
      <w:r>
        <w:t xml:space="preserve">the </w:t>
      </w:r>
      <w:r w:rsidRPr="005D00B9">
        <w:t xml:space="preserve">kingdom </w:t>
      </w:r>
      <w:r>
        <w:t xml:space="preserve">was </w:t>
      </w:r>
      <w:r w:rsidRPr="005D00B9">
        <w:t xml:space="preserve">destroyed within fifty years.  </w:t>
      </w:r>
    </w:p>
    <w:p w:rsidR="006A2E06" w:rsidRDefault="006A2E06" w:rsidP="006A2E06">
      <w:pPr>
        <w:spacing w:after="240" w:line="240" w:lineRule="auto"/>
        <w:ind w:left="567" w:right="74"/>
        <w:jc w:val="both"/>
      </w:pPr>
      <w:r w:rsidRPr="005D00B9">
        <w:t>Amos’ vision included ‘the whole house of Jacob’, however, and his predictions included the future glory for the Davidic kingdom.</w:t>
      </w:r>
      <w:r>
        <w:rPr>
          <w:rStyle w:val="EndnoteReference"/>
        </w:rPr>
        <w:endnoteReference w:id="2629"/>
      </w:r>
    </w:p>
    <w:p w:rsidR="006A2E06" w:rsidRDefault="006A2E06" w:rsidP="006A2E06">
      <w:pPr>
        <w:spacing w:after="120" w:line="360" w:lineRule="auto"/>
        <w:ind w:right="74"/>
        <w:jc w:val="both"/>
      </w:pPr>
      <w:r>
        <w:rPr>
          <w:b/>
          <w:i/>
        </w:rPr>
        <w:t>Annotation: Key Points:</w:t>
      </w:r>
    </w:p>
    <w:p w:rsidR="006A2E06" w:rsidRPr="003F7A69" w:rsidRDefault="006A2E06" w:rsidP="006A2E06">
      <w:pPr>
        <w:spacing w:after="0" w:line="240" w:lineRule="auto"/>
        <w:ind w:right="74" w:firstLine="567"/>
        <w:jc w:val="both"/>
        <w:rPr>
          <w:i/>
        </w:rPr>
      </w:pPr>
      <w:r w:rsidRPr="003F7A69">
        <w:rPr>
          <w:i/>
        </w:rPr>
        <w:t>Israel</w:t>
      </w:r>
    </w:p>
    <w:p w:rsidR="006A2E06" w:rsidRDefault="006A2E06" w:rsidP="006A2E06">
      <w:pPr>
        <w:spacing w:after="120" w:line="240" w:lineRule="auto"/>
        <w:ind w:left="567" w:right="74"/>
        <w:jc w:val="both"/>
      </w:pPr>
      <w:r>
        <w:t>T</w:t>
      </w:r>
      <w:r w:rsidRPr="006629ED">
        <w:t xml:space="preserve">he LORD’s roaring </w:t>
      </w:r>
      <w:r>
        <w:t xml:space="preserve">linked </w:t>
      </w:r>
      <w:r w:rsidRPr="006629ED">
        <w:t xml:space="preserve">to the destruction of the Gentile powers, </w:t>
      </w:r>
      <w:r>
        <w:t>already achieved with regard to Syria, but with a wider future application.</w:t>
      </w:r>
      <w:r>
        <w:rPr>
          <w:rStyle w:val="EndnoteReference"/>
        </w:rPr>
        <w:endnoteReference w:id="2630"/>
      </w:r>
      <w:r>
        <w:t xml:space="preserve"> </w:t>
      </w:r>
    </w:p>
    <w:p w:rsidR="006A2E06" w:rsidRDefault="006A2E06" w:rsidP="006A2E06">
      <w:pPr>
        <w:spacing w:after="120" w:line="240" w:lineRule="auto"/>
        <w:ind w:left="567" w:right="74"/>
        <w:jc w:val="both"/>
      </w:pPr>
      <w:r>
        <w:t>Some references to judgments on Judah and Israel.</w:t>
      </w:r>
      <w:r>
        <w:rPr>
          <w:rStyle w:val="EndnoteReference"/>
        </w:rPr>
        <w:endnoteReference w:id="2631"/>
      </w:r>
      <w:r>
        <w:t xml:space="preserve"> </w:t>
      </w:r>
    </w:p>
    <w:p w:rsidR="006A2E06" w:rsidRDefault="006A2E06" w:rsidP="006A2E06">
      <w:pPr>
        <w:spacing w:after="120" w:line="240" w:lineRule="auto"/>
        <w:ind w:left="567" w:right="74"/>
        <w:jc w:val="both"/>
      </w:pPr>
      <w:r>
        <w:t>Intimation of the inevitability of schism occasioned by the creation of an altar at Bethel after ‘the establishment of Jehovah’s worship at Jerusalem’.</w:t>
      </w:r>
      <w:r>
        <w:rPr>
          <w:rStyle w:val="EndnoteReference"/>
        </w:rPr>
        <w:endnoteReference w:id="2632"/>
      </w:r>
      <w:r>
        <w:t xml:space="preserve">  </w:t>
      </w:r>
    </w:p>
    <w:p w:rsidR="006A2E06" w:rsidRDefault="006A2E06" w:rsidP="006A2E06">
      <w:pPr>
        <w:spacing w:after="120" w:line="240" w:lineRule="auto"/>
        <w:ind w:left="567" w:right="74"/>
        <w:jc w:val="both"/>
      </w:pPr>
      <w:r>
        <w:t>Judgment on Judah occurred in the seventy years’ captivity; that on the northern kingdom in continuing world-wide dispersion.</w:t>
      </w:r>
      <w:r>
        <w:rPr>
          <w:rStyle w:val="EndnoteReference"/>
        </w:rPr>
        <w:endnoteReference w:id="2633"/>
      </w:r>
      <w:r>
        <w:t xml:space="preserve">  </w:t>
      </w:r>
    </w:p>
    <w:p w:rsidR="006A2E06" w:rsidRDefault="006A2E06" w:rsidP="006A2E06">
      <w:pPr>
        <w:spacing w:after="120" w:line="240" w:lineRule="auto"/>
        <w:ind w:left="567" w:right="74"/>
        <w:jc w:val="both"/>
      </w:pPr>
      <w:r>
        <w:t>Prophecy concerning the ‘house of Jacob’ in Amos 3:13, applies to a wider entity than the northern kingdom, though judgment was first executed there.</w:t>
      </w:r>
      <w:r>
        <w:rPr>
          <w:rStyle w:val="EndnoteReference"/>
        </w:rPr>
        <w:endnoteReference w:id="2634"/>
      </w:r>
      <w:r>
        <w:t xml:space="preserve">  </w:t>
      </w:r>
    </w:p>
    <w:p w:rsidR="006A2E06" w:rsidRDefault="006A2E06" w:rsidP="006A2E06">
      <w:pPr>
        <w:spacing w:after="240" w:line="240" w:lineRule="auto"/>
        <w:ind w:left="567" w:right="74"/>
        <w:jc w:val="both"/>
      </w:pPr>
      <w:r>
        <w:t>Israel’s privileged position entailed responsibility and consequent divine indictment.</w:t>
      </w:r>
      <w:r>
        <w:rPr>
          <w:rStyle w:val="EndnoteReference"/>
        </w:rPr>
        <w:endnoteReference w:id="2635"/>
      </w:r>
      <w:r>
        <w:t xml:space="preserve">  </w:t>
      </w:r>
    </w:p>
    <w:p w:rsidR="006A2E06" w:rsidRPr="00135984" w:rsidRDefault="00135984" w:rsidP="006A2E06">
      <w:pPr>
        <w:spacing w:after="120" w:line="360" w:lineRule="auto"/>
        <w:ind w:right="74"/>
        <w:jc w:val="both"/>
        <w:rPr>
          <w:b/>
        </w:rPr>
      </w:pPr>
      <w:r>
        <w:rPr>
          <w:b/>
        </w:rPr>
        <w:t>8.4.8</w:t>
      </w:r>
      <w:r w:rsidR="006A2E06">
        <w:rPr>
          <w:b/>
          <w:i/>
        </w:rPr>
        <w:t xml:space="preserve">  </w:t>
      </w:r>
      <w:r w:rsidR="006A2E06" w:rsidRPr="00135984">
        <w:rPr>
          <w:b/>
        </w:rPr>
        <w:t>Obadiah</w:t>
      </w:r>
    </w:p>
    <w:p w:rsidR="006A2E06" w:rsidRPr="0028754F" w:rsidRDefault="006A2E06" w:rsidP="006A2E06">
      <w:pPr>
        <w:spacing w:after="120" w:line="360" w:lineRule="auto"/>
        <w:ind w:right="74"/>
        <w:jc w:val="both"/>
        <w:rPr>
          <w:b/>
          <w:i/>
        </w:rPr>
      </w:pPr>
      <w:r>
        <w:rPr>
          <w:b/>
          <w:i/>
        </w:rPr>
        <w:t>Introduction: Key Point:</w:t>
      </w:r>
    </w:p>
    <w:p w:rsidR="006A2E06" w:rsidRDefault="006A2E06" w:rsidP="006A2E06">
      <w:pPr>
        <w:spacing w:after="120" w:line="240" w:lineRule="auto"/>
        <w:ind w:left="567"/>
        <w:jc w:val="both"/>
      </w:pPr>
      <w:r>
        <w:t>I</w:t>
      </w:r>
      <w:r w:rsidRPr="005D00B9">
        <w:t>f Obadiah prophesied during the reign of Joash, then he was ‘chronologically the first of the writing prophets, and the first to use the formula, “the day of the Lord”</w:t>
      </w:r>
      <w:r>
        <w:t>’</w:t>
      </w:r>
      <w:r w:rsidRPr="005D00B9">
        <w:t>.</w:t>
      </w:r>
      <w:r>
        <w:rPr>
          <w:rStyle w:val="EndnoteReference"/>
        </w:rPr>
        <w:endnoteReference w:id="2636"/>
      </w:r>
    </w:p>
    <w:p w:rsidR="00F502BB" w:rsidRDefault="00F502BB" w:rsidP="006A2E06">
      <w:pPr>
        <w:spacing w:after="120" w:line="360" w:lineRule="auto"/>
        <w:ind w:right="74"/>
        <w:jc w:val="both"/>
        <w:rPr>
          <w:b/>
        </w:rPr>
      </w:pPr>
    </w:p>
    <w:p w:rsidR="00F502BB" w:rsidRDefault="00F502BB" w:rsidP="006A2E06">
      <w:pPr>
        <w:spacing w:after="120" w:line="360" w:lineRule="auto"/>
        <w:ind w:right="74"/>
        <w:jc w:val="both"/>
        <w:rPr>
          <w:b/>
        </w:rPr>
      </w:pPr>
    </w:p>
    <w:p w:rsidR="006A2E06" w:rsidRDefault="00F96441" w:rsidP="006A2E06">
      <w:pPr>
        <w:spacing w:after="120" w:line="360" w:lineRule="auto"/>
        <w:ind w:right="74"/>
        <w:jc w:val="both"/>
        <w:rPr>
          <w:b/>
          <w:i/>
        </w:rPr>
      </w:pPr>
      <w:r>
        <w:rPr>
          <w:b/>
        </w:rPr>
        <w:lastRenderedPageBreak/>
        <w:t>8.4.9</w:t>
      </w:r>
      <w:r w:rsidR="006A2E06" w:rsidRPr="00CD0F7E">
        <w:rPr>
          <w:b/>
          <w:i/>
        </w:rPr>
        <w:t xml:space="preserve">  </w:t>
      </w:r>
      <w:r w:rsidR="006A2E06" w:rsidRPr="00F96441">
        <w:rPr>
          <w:b/>
        </w:rPr>
        <w:t>Jonah</w:t>
      </w:r>
    </w:p>
    <w:p w:rsidR="006A2E06" w:rsidRDefault="006A2E06" w:rsidP="006A2E06">
      <w:pPr>
        <w:spacing w:after="120" w:line="360" w:lineRule="auto"/>
        <w:ind w:right="74"/>
        <w:jc w:val="both"/>
        <w:rPr>
          <w:b/>
          <w:i/>
        </w:rPr>
      </w:pPr>
      <w:r w:rsidRPr="00CD0F7E">
        <w:rPr>
          <w:b/>
          <w:i/>
        </w:rPr>
        <w:t>Introduction</w:t>
      </w:r>
      <w:r>
        <w:rPr>
          <w:b/>
          <w:i/>
        </w:rPr>
        <w:t>:</w:t>
      </w:r>
      <w:r>
        <w:rPr>
          <w:rStyle w:val="EndnoteReference"/>
        </w:rPr>
        <w:endnoteReference w:id="2637"/>
      </w:r>
      <w:r>
        <w:rPr>
          <w:b/>
          <w:i/>
        </w:rPr>
        <w:t xml:space="preserve"> Key Points:</w:t>
      </w:r>
    </w:p>
    <w:p w:rsidR="006A2E06" w:rsidRPr="00CD0F7E" w:rsidRDefault="006A2E06" w:rsidP="006A2E06">
      <w:pPr>
        <w:spacing w:after="0" w:line="240" w:lineRule="auto"/>
        <w:ind w:left="567" w:right="74"/>
        <w:jc w:val="both"/>
        <w:rPr>
          <w:i/>
        </w:rPr>
      </w:pPr>
      <w:r w:rsidRPr="00CD0F7E">
        <w:rPr>
          <w:i/>
        </w:rPr>
        <w:t>Typology:</w:t>
      </w:r>
    </w:p>
    <w:p w:rsidR="006A2E06" w:rsidRDefault="006A2E06" w:rsidP="006A2E06">
      <w:pPr>
        <w:spacing w:after="60" w:line="240" w:lineRule="auto"/>
        <w:ind w:left="851" w:right="74"/>
        <w:jc w:val="both"/>
      </w:pPr>
      <w:r w:rsidRPr="00CD0F7E">
        <w:t>Assertion</w:t>
      </w:r>
      <w:r>
        <w:t xml:space="preserve"> that </w:t>
      </w:r>
      <w:r w:rsidRPr="005D00B9">
        <w:t xml:space="preserve">‘typically </w:t>
      </w:r>
      <w:r>
        <w:t xml:space="preserve">[Jonah] </w:t>
      </w:r>
      <w:r w:rsidRPr="005D00B9">
        <w:t xml:space="preserve"> foreshadows the nation of Israel out of its own land; a trouble to the Gentiles, yet witnessing to them; cast out by them, but miraculously preserved; in their future deepest distress calling upon Jehovah-Saviour, and finding deliverance, and then becoming missionaries to the Gentiles’.</w:t>
      </w:r>
      <w:r>
        <w:rPr>
          <w:rStyle w:val="EndnoteReference"/>
        </w:rPr>
        <w:endnoteReference w:id="2638"/>
      </w:r>
    </w:p>
    <w:p w:rsidR="006A2E06" w:rsidRPr="00CD0F7E" w:rsidRDefault="006A2E06" w:rsidP="006A2E06">
      <w:pPr>
        <w:spacing w:after="240" w:line="240" w:lineRule="auto"/>
        <w:ind w:left="851" w:right="74"/>
        <w:jc w:val="both"/>
      </w:pPr>
      <w:r w:rsidRPr="00CD0F7E">
        <w:t>Assertion</w:t>
      </w:r>
      <w:r>
        <w:t xml:space="preserve"> that Jonah </w:t>
      </w:r>
      <w:r w:rsidRPr="005D00B9">
        <w:t xml:space="preserve">typifies </w:t>
      </w:r>
      <w:r>
        <w:t>‘</w:t>
      </w:r>
      <w:r w:rsidRPr="005D00B9">
        <w:t>Christ as the sent One, raised from the dead, and carrying salvation to the Gentiles</w:t>
      </w:r>
      <w:r>
        <w:t>’</w:t>
      </w:r>
      <w:r w:rsidRPr="005D00B9">
        <w:t>.</w:t>
      </w:r>
      <w:r>
        <w:rPr>
          <w:rStyle w:val="EndnoteReference"/>
        </w:rPr>
        <w:endnoteReference w:id="2639"/>
      </w:r>
    </w:p>
    <w:p w:rsidR="006A2E06" w:rsidRDefault="006A2E06" w:rsidP="006A2E06">
      <w:pPr>
        <w:spacing w:after="120" w:line="360" w:lineRule="auto"/>
        <w:ind w:right="74"/>
        <w:jc w:val="both"/>
        <w:rPr>
          <w:b/>
          <w:i/>
        </w:rPr>
      </w:pPr>
      <w:r>
        <w:rPr>
          <w:b/>
          <w:i/>
        </w:rPr>
        <w:t>Annotation: Key Points</w:t>
      </w:r>
    </w:p>
    <w:p w:rsidR="006A2E06" w:rsidRPr="002D2D61" w:rsidRDefault="006A2E06" w:rsidP="006A2E06">
      <w:pPr>
        <w:spacing w:after="120" w:line="240" w:lineRule="auto"/>
        <w:ind w:right="74" w:firstLine="567"/>
        <w:jc w:val="both"/>
      </w:pPr>
      <w:r>
        <w:t>Only two verses annotated.</w:t>
      </w:r>
    </w:p>
    <w:p w:rsidR="006A2E06" w:rsidRDefault="006A2E06" w:rsidP="006A2E06">
      <w:pPr>
        <w:spacing w:after="120" w:line="240" w:lineRule="auto"/>
        <w:ind w:left="567" w:right="74"/>
        <w:jc w:val="both"/>
      </w:pPr>
      <w:r>
        <w:t>Literality of Jonah’s ingestion by the great fish.</w:t>
      </w:r>
      <w:r>
        <w:rPr>
          <w:rStyle w:val="EndnoteReference"/>
        </w:rPr>
        <w:endnoteReference w:id="2640"/>
      </w:r>
    </w:p>
    <w:p w:rsidR="006A2E06" w:rsidRDefault="006A2E06" w:rsidP="006A2E06">
      <w:pPr>
        <w:tabs>
          <w:tab w:val="left" w:pos="4641"/>
        </w:tabs>
        <w:spacing w:after="240" w:line="240" w:lineRule="auto"/>
        <w:ind w:left="567" w:right="74"/>
        <w:jc w:val="both"/>
      </w:pPr>
      <w:r>
        <w:t>Homily on Jonah as an example of a servant.</w:t>
      </w:r>
      <w:r>
        <w:rPr>
          <w:rStyle w:val="EndnoteReference"/>
        </w:rPr>
        <w:endnoteReference w:id="2641"/>
      </w:r>
    </w:p>
    <w:p w:rsidR="006A2E06" w:rsidRPr="00F96441" w:rsidRDefault="00F96441" w:rsidP="006A2E06">
      <w:pPr>
        <w:spacing w:after="120" w:line="360" w:lineRule="auto"/>
        <w:ind w:right="74"/>
        <w:jc w:val="both"/>
        <w:rPr>
          <w:b/>
        </w:rPr>
      </w:pPr>
      <w:r>
        <w:rPr>
          <w:b/>
        </w:rPr>
        <w:t>8.4.10</w:t>
      </w:r>
      <w:r w:rsidR="006A2E06">
        <w:rPr>
          <w:b/>
          <w:i/>
        </w:rPr>
        <w:t xml:space="preserve">  </w:t>
      </w:r>
      <w:r w:rsidR="006A2E06" w:rsidRPr="00F96441">
        <w:rPr>
          <w:b/>
        </w:rPr>
        <w:t>Micah</w:t>
      </w:r>
    </w:p>
    <w:p w:rsidR="006A2E06" w:rsidRDefault="006A2E06" w:rsidP="006A2E06">
      <w:pPr>
        <w:spacing w:after="120" w:line="360" w:lineRule="auto"/>
        <w:ind w:right="74"/>
        <w:jc w:val="both"/>
        <w:rPr>
          <w:b/>
          <w:i/>
        </w:rPr>
      </w:pPr>
      <w:r w:rsidRPr="001A2D01">
        <w:rPr>
          <w:b/>
          <w:i/>
        </w:rPr>
        <w:t>Introduction</w:t>
      </w:r>
      <w:r>
        <w:rPr>
          <w:b/>
          <w:i/>
        </w:rPr>
        <w:t>:</w:t>
      </w:r>
      <w:r>
        <w:rPr>
          <w:rStyle w:val="EndnoteReference"/>
        </w:rPr>
        <w:endnoteReference w:id="2642"/>
      </w:r>
      <w:r>
        <w:rPr>
          <w:b/>
          <w:i/>
        </w:rPr>
        <w:t xml:space="preserve"> Key Points</w:t>
      </w:r>
    </w:p>
    <w:p w:rsidR="006A2E06" w:rsidRDefault="006A2E06" w:rsidP="006A2E06">
      <w:pPr>
        <w:spacing w:after="120" w:line="240" w:lineRule="auto"/>
        <w:ind w:left="567" w:right="74"/>
        <w:jc w:val="both"/>
      </w:pPr>
      <w:r>
        <w:t>Contemporary of Isaiah</w:t>
      </w:r>
    </w:p>
    <w:p w:rsidR="006A2E06" w:rsidRDefault="006A2E06" w:rsidP="006A2E06">
      <w:pPr>
        <w:spacing w:after="120" w:line="240" w:lineRule="auto"/>
        <w:ind w:left="567" w:right="74"/>
        <w:jc w:val="both"/>
      </w:pPr>
      <w:r>
        <w:t xml:space="preserve">Prophet in Judah, though prophecy mainly concerns Samaria.  </w:t>
      </w:r>
    </w:p>
    <w:p w:rsidR="006A2E06" w:rsidRDefault="006A2E06" w:rsidP="006A2E06">
      <w:pPr>
        <w:spacing w:after="240" w:line="240" w:lineRule="auto"/>
        <w:ind w:left="567" w:right="74"/>
        <w:jc w:val="both"/>
      </w:pPr>
      <w:r>
        <w:t>Contains t</w:t>
      </w:r>
      <w:r w:rsidRPr="005D00B9">
        <w:t>hree prophetic strains, each beginning with ‘hear’.</w:t>
      </w:r>
      <w:r>
        <w:rPr>
          <w:rStyle w:val="EndnoteReference"/>
        </w:rPr>
        <w:endnoteReference w:id="2643"/>
      </w:r>
    </w:p>
    <w:p w:rsidR="006A2E06" w:rsidRDefault="006A2E06" w:rsidP="006A2E06">
      <w:pPr>
        <w:spacing w:after="120" w:line="360" w:lineRule="auto"/>
        <w:ind w:right="74"/>
        <w:jc w:val="both"/>
        <w:rPr>
          <w:b/>
          <w:i/>
        </w:rPr>
      </w:pPr>
      <w:r w:rsidRPr="00035030">
        <w:rPr>
          <w:b/>
          <w:i/>
        </w:rPr>
        <w:t>Annotation</w:t>
      </w:r>
      <w:r>
        <w:rPr>
          <w:b/>
          <w:i/>
        </w:rPr>
        <w:t>: Key Points</w:t>
      </w:r>
    </w:p>
    <w:p w:rsidR="006A2E06" w:rsidRPr="002A204A" w:rsidRDefault="006A2E06" w:rsidP="006A2E06">
      <w:pPr>
        <w:spacing w:after="0" w:line="240" w:lineRule="auto"/>
        <w:ind w:right="74" w:firstLine="567"/>
        <w:jc w:val="both"/>
        <w:rPr>
          <w:i/>
        </w:rPr>
      </w:pPr>
      <w:r w:rsidRPr="002A204A">
        <w:rPr>
          <w:i/>
        </w:rPr>
        <w:t>Eschatology</w:t>
      </w:r>
    </w:p>
    <w:p w:rsidR="006A2E06" w:rsidRDefault="006A2E06" w:rsidP="006A2E06">
      <w:pPr>
        <w:spacing w:after="120" w:line="240" w:lineRule="auto"/>
        <w:ind w:left="567" w:right="74"/>
        <w:jc w:val="both"/>
      </w:pPr>
      <w:r>
        <w:t xml:space="preserve">Near and far prophecy: Assyrian invasion in </w:t>
      </w:r>
      <w:r w:rsidRPr="005D77FA">
        <w:t>Micah</w:t>
      </w:r>
      <w:r>
        <w:t xml:space="preserve"> linked with Armageddon.</w:t>
      </w:r>
      <w:r>
        <w:rPr>
          <w:rStyle w:val="EndnoteReference"/>
        </w:rPr>
        <w:endnoteReference w:id="2644"/>
      </w:r>
      <w:r>
        <w:t xml:space="preserve"> </w:t>
      </w:r>
    </w:p>
    <w:p w:rsidR="006A2E06" w:rsidRDefault="006A2E06" w:rsidP="006A2E06">
      <w:pPr>
        <w:spacing w:after="120" w:line="240" w:lineRule="auto"/>
        <w:ind w:left="567" w:right="74"/>
        <w:jc w:val="both"/>
      </w:pPr>
      <w:r>
        <w:t>Micah 4:1-8 describes the future kingdom and ‘goes forward into the last days to refer to the great battle’</w:t>
      </w:r>
      <w:r>
        <w:rPr>
          <w:rStyle w:val="EndnoteReference"/>
        </w:rPr>
        <w:endnoteReference w:id="2645"/>
      </w:r>
      <w:r>
        <w:t xml:space="preserve"> and then back to ‘the birth and rejection of the King, Messiah-Christ’.</w:t>
      </w:r>
      <w:r>
        <w:rPr>
          <w:rStyle w:val="EndnoteReference"/>
        </w:rPr>
        <w:endnoteReference w:id="2646"/>
      </w:r>
      <w:r w:rsidRPr="00E82A52">
        <w:t xml:space="preserve"> </w:t>
      </w:r>
    </w:p>
    <w:p w:rsidR="006A2E06" w:rsidRDefault="006A2E06" w:rsidP="006A2E06">
      <w:pPr>
        <w:spacing w:after="120" w:line="240" w:lineRule="auto"/>
        <w:ind w:left="567" w:right="74"/>
        <w:jc w:val="both"/>
      </w:pPr>
      <w:r>
        <w:t>‘The believing remnant’ to be brought out ‘in the last days’ from ‘the still dispersed and unbelieving nation’.</w:t>
      </w:r>
      <w:r>
        <w:rPr>
          <w:rStyle w:val="EndnoteReference"/>
        </w:rPr>
        <w:endnoteReference w:id="2647"/>
      </w:r>
      <w:r>
        <w:t xml:space="preserve">  </w:t>
      </w:r>
    </w:p>
    <w:p w:rsidR="006A2E06" w:rsidRDefault="006A2E06" w:rsidP="006A2E06">
      <w:pPr>
        <w:spacing w:after="120" w:line="240" w:lineRule="auto"/>
        <w:ind w:left="567" w:right="74"/>
        <w:jc w:val="both"/>
      </w:pPr>
      <w:r>
        <w:t>Establishment of the future kingdom with Jerusalem as its capital.</w:t>
      </w:r>
      <w:r>
        <w:rPr>
          <w:rStyle w:val="EndnoteReference"/>
        </w:rPr>
        <w:endnoteReference w:id="2648"/>
      </w:r>
      <w:r>
        <w:t xml:space="preserve">  </w:t>
      </w:r>
    </w:p>
    <w:p w:rsidR="006A2E06" w:rsidRDefault="006A2E06" w:rsidP="006A2E06">
      <w:pPr>
        <w:spacing w:after="120" w:line="240" w:lineRule="auto"/>
        <w:ind w:left="567" w:right="74"/>
        <w:jc w:val="both"/>
      </w:pPr>
      <w:r>
        <w:t>T</w:t>
      </w:r>
      <w:r w:rsidRPr="00A04833">
        <w:t>hough ‘Mic. 7:7-20 is, primarily, the confession and intercession of the prophet, who identifies himself with Israel’, it ‘voices also the heart exercise of the remnant in the last days’.</w:t>
      </w:r>
      <w:r>
        <w:rPr>
          <w:rStyle w:val="EndnoteReference"/>
        </w:rPr>
        <w:endnoteReference w:id="2649"/>
      </w:r>
      <w:r w:rsidRPr="00A04833">
        <w:t xml:space="preserve">  </w:t>
      </w:r>
    </w:p>
    <w:p w:rsidR="006A2E06" w:rsidRDefault="006A2E06" w:rsidP="006A2E06">
      <w:pPr>
        <w:spacing w:after="240" w:line="240" w:lineRule="auto"/>
        <w:ind w:left="567" w:right="74"/>
        <w:jc w:val="both"/>
      </w:pPr>
      <w:r>
        <w:t>Assertion that this</w:t>
      </w:r>
      <w:r w:rsidRPr="00A04833">
        <w:t xml:space="preserve"> is the nature of prophecy, intermingling near and far.</w:t>
      </w:r>
      <w:r>
        <w:rPr>
          <w:rStyle w:val="EndnoteReference"/>
        </w:rPr>
        <w:endnoteReference w:id="2650"/>
      </w:r>
      <w:r w:rsidRPr="00A04833">
        <w:t xml:space="preserve">  </w:t>
      </w:r>
    </w:p>
    <w:p w:rsidR="006A2E06" w:rsidRPr="002A204A" w:rsidRDefault="006A2E06" w:rsidP="006A2E06">
      <w:pPr>
        <w:spacing w:after="120" w:line="360" w:lineRule="auto"/>
        <w:ind w:right="74"/>
        <w:jc w:val="both"/>
        <w:rPr>
          <w:b/>
          <w:i/>
        </w:rPr>
      </w:pPr>
      <w:r w:rsidRPr="002A204A">
        <w:rPr>
          <w:b/>
          <w:i/>
        </w:rPr>
        <w:t>Omissions</w:t>
      </w:r>
    </w:p>
    <w:p w:rsidR="006A2E06" w:rsidRDefault="006A2E06" w:rsidP="006A2E06">
      <w:pPr>
        <w:spacing w:after="120" w:line="360" w:lineRule="auto"/>
        <w:ind w:right="74"/>
        <w:jc w:val="both"/>
      </w:pPr>
      <w:r w:rsidRPr="001A2D01">
        <w:t>Scofield ignores much of the material in Joel and Micah condemning the behaviour of Judah, which is engendering God’s punishment, and sets most of the prophecies in an eschatological context.</w:t>
      </w:r>
      <w:r w:rsidRPr="001A2D01">
        <w:rPr>
          <w:rStyle w:val="EndnoteReference"/>
        </w:rPr>
        <w:endnoteReference w:id="2651"/>
      </w:r>
      <w:r w:rsidRPr="001A2D01">
        <w:t xml:space="preserve">  </w:t>
      </w:r>
    </w:p>
    <w:p w:rsidR="00207242" w:rsidRDefault="00207242" w:rsidP="006A2E06">
      <w:pPr>
        <w:spacing w:after="120" w:line="360" w:lineRule="auto"/>
        <w:ind w:right="74"/>
        <w:jc w:val="both"/>
        <w:rPr>
          <w:b/>
        </w:rPr>
      </w:pPr>
    </w:p>
    <w:p w:rsidR="00207242" w:rsidRDefault="00207242" w:rsidP="006A2E06">
      <w:pPr>
        <w:spacing w:after="120" w:line="360" w:lineRule="auto"/>
        <w:ind w:right="74"/>
        <w:jc w:val="both"/>
        <w:rPr>
          <w:b/>
        </w:rPr>
      </w:pPr>
    </w:p>
    <w:p w:rsidR="006A2E06" w:rsidRDefault="00F96441" w:rsidP="006A2E06">
      <w:pPr>
        <w:spacing w:after="120" w:line="360" w:lineRule="auto"/>
        <w:ind w:right="74"/>
        <w:jc w:val="both"/>
        <w:rPr>
          <w:b/>
          <w:i/>
        </w:rPr>
      </w:pPr>
      <w:r>
        <w:rPr>
          <w:b/>
        </w:rPr>
        <w:lastRenderedPageBreak/>
        <w:t>8.4.11</w:t>
      </w:r>
      <w:r w:rsidR="006A2E06">
        <w:rPr>
          <w:b/>
          <w:i/>
        </w:rPr>
        <w:t xml:space="preserve">  </w:t>
      </w:r>
      <w:r w:rsidR="006A2E06" w:rsidRPr="00F96441">
        <w:rPr>
          <w:b/>
        </w:rPr>
        <w:t>Nahum</w:t>
      </w:r>
    </w:p>
    <w:p w:rsidR="006A2E06" w:rsidRDefault="006A2E06" w:rsidP="006A2E06">
      <w:pPr>
        <w:spacing w:after="120" w:line="360" w:lineRule="auto"/>
        <w:ind w:right="74"/>
        <w:jc w:val="both"/>
        <w:rPr>
          <w:b/>
          <w:i/>
        </w:rPr>
      </w:pPr>
      <w:r>
        <w:rPr>
          <w:b/>
          <w:i/>
        </w:rPr>
        <w:t>Introduction:</w:t>
      </w:r>
      <w:r>
        <w:rPr>
          <w:rStyle w:val="EndnoteReference"/>
        </w:rPr>
        <w:endnoteReference w:id="2652"/>
      </w:r>
      <w:r>
        <w:rPr>
          <w:b/>
          <w:i/>
        </w:rPr>
        <w:t xml:space="preserve"> Key Points:</w:t>
      </w:r>
    </w:p>
    <w:p w:rsidR="006A2E06" w:rsidRDefault="006A2E06" w:rsidP="006A2E06">
      <w:pPr>
        <w:spacing w:after="120" w:line="240" w:lineRule="auto"/>
        <w:ind w:left="567" w:right="74"/>
        <w:jc w:val="both"/>
      </w:pPr>
      <w:r>
        <w:t>S</w:t>
      </w:r>
      <w:r w:rsidRPr="005D00B9">
        <w:t xml:space="preserve">ole theme is the destruction of Nineveh, which, according to Didorus Siculus, occurred as predicted nearly a century later.  </w:t>
      </w:r>
    </w:p>
    <w:p w:rsidR="006A2E06" w:rsidRDefault="006A2E06" w:rsidP="006A2E06">
      <w:pPr>
        <w:spacing w:after="120" w:line="240" w:lineRule="auto"/>
        <w:ind w:left="567" w:right="74"/>
        <w:jc w:val="both"/>
      </w:pPr>
      <w:r w:rsidRPr="005D00B9">
        <w:t xml:space="preserve">‘The prophecy is one continuous strain which does not yield to </w:t>
      </w:r>
      <w:r>
        <w:t xml:space="preserve">analysis’ </w:t>
      </w:r>
    </w:p>
    <w:p w:rsidR="006A2E06" w:rsidRDefault="006A2E06" w:rsidP="006A2E06">
      <w:pPr>
        <w:spacing w:after="240" w:line="240" w:lineRule="auto"/>
        <w:ind w:left="567" w:right="74"/>
        <w:jc w:val="both"/>
      </w:pPr>
      <w:r>
        <w:t>Moral theme is</w:t>
      </w:r>
      <w:r w:rsidRPr="005D00B9">
        <w:t xml:space="preserve"> ‘the holiness of Jehovah which must deal with sin in judgment’.</w:t>
      </w:r>
    </w:p>
    <w:p w:rsidR="006A2E06" w:rsidRDefault="006A2E06" w:rsidP="006A2E06">
      <w:pPr>
        <w:spacing w:after="120" w:line="360" w:lineRule="auto"/>
        <w:ind w:right="74"/>
        <w:jc w:val="both"/>
        <w:rPr>
          <w:b/>
          <w:i/>
        </w:rPr>
      </w:pPr>
      <w:r>
        <w:rPr>
          <w:b/>
          <w:i/>
        </w:rPr>
        <w:t>Annotation: Key Points</w:t>
      </w:r>
    </w:p>
    <w:p w:rsidR="006A2E06" w:rsidRDefault="006A2E06" w:rsidP="006A2E06">
      <w:pPr>
        <w:spacing w:after="120" w:line="240" w:lineRule="auto"/>
        <w:ind w:left="567" w:right="74"/>
        <w:jc w:val="both"/>
      </w:pPr>
      <w:r>
        <w:t xml:space="preserve">Only the first two verses in </w:t>
      </w:r>
      <w:r w:rsidRPr="00A04833">
        <w:t>Nahum</w:t>
      </w:r>
      <w:r>
        <w:rPr>
          <w:b/>
        </w:rPr>
        <w:t xml:space="preserve"> </w:t>
      </w:r>
      <w:r>
        <w:t xml:space="preserve">are annotated.  </w:t>
      </w:r>
    </w:p>
    <w:p w:rsidR="006A2E06" w:rsidRDefault="006A2E06" w:rsidP="006A2E06">
      <w:pPr>
        <w:spacing w:after="120" w:line="240" w:lineRule="auto"/>
        <w:ind w:left="567" w:right="74"/>
        <w:jc w:val="both"/>
      </w:pPr>
      <w:r>
        <w:t xml:space="preserve">Nineveh is ‘representative of apostate </w:t>
      </w:r>
      <w:r w:rsidRPr="0056245B">
        <w:rPr>
          <w:i/>
        </w:rPr>
        <w:t>religious</w:t>
      </w:r>
      <w:r>
        <w:t xml:space="preserve"> Gentiledom, as Babylon represents the confusion into which the Gentile </w:t>
      </w:r>
      <w:r w:rsidRPr="0056245B">
        <w:rPr>
          <w:i/>
        </w:rPr>
        <w:t>political</w:t>
      </w:r>
      <w:r>
        <w:t xml:space="preserve"> world-system has fallen’.  Nahum gives ‘an unrelieved warning of judgment’.</w:t>
      </w:r>
      <w:r>
        <w:rPr>
          <w:rStyle w:val="EndnoteReference"/>
        </w:rPr>
        <w:endnoteReference w:id="2653"/>
      </w:r>
      <w:r>
        <w:t xml:space="preserve">  </w:t>
      </w:r>
    </w:p>
    <w:p w:rsidR="006A2E06" w:rsidRDefault="006A2E06" w:rsidP="006A2E06">
      <w:pPr>
        <w:spacing w:after="240" w:line="240" w:lineRule="auto"/>
        <w:ind w:left="567" w:right="74"/>
        <w:jc w:val="both"/>
      </w:pPr>
      <w:r>
        <w:t>God can bring justice only through the cross.</w:t>
      </w:r>
      <w:r>
        <w:rPr>
          <w:rStyle w:val="EndnoteReference"/>
        </w:rPr>
        <w:endnoteReference w:id="2654"/>
      </w:r>
    </w:p>
    <w:p w:rsidR="006A2E06" w:rsidRDefault="00F96441" w:rsidP="006A2E06">
      <w:pPr>
        <w:spacing w:after="120" w:line="360" w:lineRule="auto"/>
        <w:ind w:right="74"/>
        <w:jc w:val="both"/>
        <w:rPr>
          <w:b/>
          <w:i/>
        </w:rPr>
      </w:pPr>
      <w:r>
        <w:rPr>
          <w:b/>
        </w:rPr>
        <w:t>8.4.12</w:t>
      </w:r>
      <w:r w:rsidR="006A2E06">
        <w:rPr>
          <w:b/>
          <w:i/>
        </w:rPr>
        <w:t xml:space="preserve">  </w:t>
      </w:r>
      <w:r w:rsidR="006A2E06" w:rsidRPr="00F96441">
        <w:rPr>
          <w:b/>
        </w:rPr>
        <w:t>Habakkuk</w:t>
      </w:r>
    </w:p>
    <w:p w:rsidR="006A2E06" w:rsidRPr="00A04833" w:rsidRDefault="006A2E06" w:rsidP="006A2E06">
      <w:pPr>
        <w:spacing w:after="120" w:line="360" w:lineRule="auto"/>
        <w:ind w:right="74"/>
        <w:jc w:val="both"/>
        <w:rPr>
          <w:b/>
          <w:i/>
        </w:rPr>
      </w:pPr>
      <w:r>
        <w:rPr>
          <w:b/>
          <w:i/>
        </w:rPr>
        <w:t>Introduction:</w:t>
      </w:r>
      <w:r>
        <w:rPr>
          <w:rStyle w:val="EndnoteReference"/>
        </w:rPr>
        <w:endnoteReference w:id="2655"/>
      </w:r>
      <w:r>
        <w:rPr>
          <w:b/>
          <w:i/>
        </w:rPr>
        <w:t xml:space="preserve"> Key Points</w:t>
      </w:r>
    </w:p>
    <w:p w:rsidR="006A2E06" w:rsidRDefault="006A2E06" w:rsidP="006A2E06">
      <w:pPr>
        <w:spacing w:after="120" w:line="240" w:lineRule="auto"/>
        <w:ind w:left="567" w:right="74"/>
        <w:jc w:val="both"/>
      </w:pPr>
      <w:r>
        <w:t>Only Habakkuk amongst the prophets was ‘</w:t>
      </w:r>
      <w:r w:rsidRPr="005D00B9">
        <w:t xml:space="preserve">more concerned that the holiness of Jehovah should be vindicated than that Israel should escape chastisement’.  </w:t>
      </w:r>
    </w:p>
    <w:p w:rsidR="006A2E06" w:rsidRDefault="006A2E06" w:rsidP="006A2E06">
      <w:pPr>
        <w:spacing w:after="120" w:line="240" w:lineRule="auto"/>
        <w:ind w:left="567" w:right="74"/>
        <w:jc w:val="both"/>
      </w:pPr>
      <w:r w:rsidRPr="005D00B9">
        <w:t>‘</w:t>
      </w:r>
      <w:r>
        <w:t>R</w:t>
      </w:r>
      <w:r w:rsidRPr="005D00B9">
        <w:t xml:space="preserve">aises and answers question of God’s consistency with Himself in view of permitted evil’.  </w:t>
      </w:r>
    </w:p>
    <w:p w:rsidR="006A2E06" w:rsidRDefault="006A2E06" w:rsidP="006A2E06">
      <w:pPr>
        <w:spacing w:after="240" w:line="240" w:lineRule="auto"/>
        <w:ind w:left="567" w:right="74"/>
        <w:jc w:val="both"/>
      </w:pPr>
      <w:r w:rsidRPr="005D00B9">
        <w:t>In answer to Habakkuk’s view that God’s holiness would forbid his continued relationship with evil Israel, Jehovah announced a Chaldean invasion and world-wide dispersion,</w:t>
      </w:r>
      <w:r>
        <w:rPr>
          <w:rStyle w:val="EndnoteReference"/>
        </w:rPr>
        <w:endnoteReference w:id="2656"/>
      </w:r>
      <w:r>
        <w:t xml:space="preserve"> </w:t>
      </w:r>
      <w:r w:rsidRPr="005D00B9">
        <w:t>but also introduced great promises.</w:t>
      </w:r>
      <w:r>
        <w:rPr>
          <w:rStyle w:val="EndnoteReference"/>
        </w:rPr>
        <w:endnoteReference w:id="2657"/>
      </w:r>
      <w:r>
        <w:t xml:space="preserve"> </w:t>
      </w:r>
    </w:p>
    <w:p w:rsidR="006A2E06" w:rsidRPr="00A04833" w:rsidRDefault="006A2E06" w:rsidP="006A2E06">
      <w:pPr>
        <w:spacing w:after="120" w:line="360" w:lineRule="auto"/>
        <w:ind w:right="74"/>
        <w:jc w:val="both"/>
        <w:rPr>
          <w:b/>
          <w:i/>
        </w:rPr>
      </w:pPr>
      <w:r>
        <w:rPr>
          <w:b/>
          <w:i/>
        </w:rPr>
        <w:t>Annotation: Key Points</w:t>
      </w:r>
    </w:p>
    <w:p w:rsidR="006A2E06" w:rsidRDefault="006A2E06" w:rsidP="006A2E06">
      <w:pPr>
        <w:spacing w:after="120" w:line="240" w:lineRule="auto"/>
        <w:ind w:left="567" w:right="74"/>
        <w:jc w:val="both"/>
      </w:pPr>
      <w:r>
        <w:t>Habakkuk 1:5 ‘anticipates [Israel’s] dispersion “among the nations”’ but during dispersion God will work an incredible work; Acts 13:37-41 interprets this as a prediction of Christ’s redemptive work.</w:t>
      </w:r>
      <w:r>
        <w:rPr>
          <w:rStyle w:val="EndnoteReference"/>
        </w:rPr>
        <w:endnoteReference w:id="2658"/>
      </w:r>
    </w:p>
    <w:p w:rsidR="006A2E06" w:rsidRDefault="006A2E06" w:rsidP="006A2E06">
      <w:pPr>
        <w:spacing w:after="120" w:line="240" w:lineRule="auto"/>
        <w:ind w:left="567" w:right="74"/>
        <w:jc w:val="both"/>
      </w:pPr>
      <w:r>
        <w:t>Differentiation between prayers of Moses and Paul as being for earthly and heavenly people respectively.</w:t>
      </w:r>
      <w:r>
        <w:rPr>
          <w:rStyle w:val="EndnoteReference"/>
        </w:rPr>
        <w:endnoteReference w:id="2659"/>
      </w:r>
      <w:r>
        <w:t xml:space="preserve">  </w:t>
      </w:r>
    </w:p>
    <w:p w:rsidR="006A2E06" w:rsidRDefault="006A2E06" w:rsidP="006A2E06">
      <w:pPr>
        <w:spacing w:after="120" w:line="240" w:lineRule="auto"/>
        <w:ind w:left="567" w:right="74"/>
        <w:jc w:val="both"/>
      </w:pPr>
      <w:r>
        <w:t xml:space="preserve">Summary of content of </w:t>
      </w:r>
      <w:r w:rsidRPr="001B2AA2">
        <w:t xml:space="preserve">Hab. 2:5-13, </w:t>
      </w:r>
      <w:r>
        <w:t xml:space="preserve">15-19, </w:t>
      </w:r>
      <w:r w:rsidRPr="001B2AA2">
        <w:t>as ‘Jehovah’s moral judgment on the evils practised by dispersed Israel’.</w:t>
      </w:r>
      <w:r>
        <w:rPr>
          <w:rStyle w:val="EndnoteReference"/>
        </w:rPr>
        <w:endnoteReference w:id="2660"/>
      </w:r>
    </w:p>
    <w:p w:rsidR="006A2E06" w:rsidRPr="006A7373" w:rsidRDefault="006A2E06" w:rsidP="006A2E06">
      <w:pPr>
        <w:spacing w:after="240" w:line="240" w:lineRule="auto"/>
        <w:ind w:left="567" w:right="74"/>
        <w:jc w:val="both"/>
      </w:pPr>
      <w:r w:rsidRPr="006A7373">
        <w:t>Assertions that ‘in covenanted mercy the individual Jew may resort to the simple faith of Abraham and be saved’ and that ‘this does not set aside the Palestinian … and Davidic … Covenants’.</w:t>
      </w:r>
      <w:r w:rsidRPr="006A7373">
        <w:rPr>
          <w:rStyle w:val="EndnoteReference"/>
        </w:rPr>
        <w:endnoteReference w:id="2661"/>
      </w:r>
    </w:p>
    <w:p w:rsidR="006A2E06" w:rsidRPr="006A7373" w:rsidRDefault="006A2E06" w:rsidP="006A2E06">
      <w:pPr>
        <w:spacing w:after="120" w:line="240" w:lineRule="auto"/>
        <w:ind w:left="567" w:right="74" w:hanging="567"/>
        <w:jc w:val="both"/>
        <w:rPr>
          <w:b/>
          <w:i/>
        </w:rPr>
      </w:pPr>
      <w:r w:rsidRPr="006A7373">
        <w:rPr>
          <w:b/>
          <w:i/>
        </w:rPr>
        <w:t>Comments</w:t>
      </w:r>
    </w:p>
    <w:p w:rsidR="006A2E06" w:rsidRDefault="006A2E06" w:rsidP="006A2E06">
      <w:pPr>
        <w:spacing w:after="120" w:line="360" w:lineRule="auto"/>
        <w:ind w:right="74"/>
        <w:jc w:val="both"/>
      </w:pPr>
      <w:r w:rsidRPr="001B2AA2">
        <w:t xml:space="preserve">Scofield fails to engage </w:t>
      </w:r>
      <w:r>
        <w:t xml:space="preserve">deeply </w:t>
      </w:r>
      <w:r w:rsidRPr="001B2AA2">
        <w:t xml:space="preserve">with the content of Hab. 2:5-13, </w:t>
      </w:r>
      <w:r>
        <w:t xml:space="preserve">15-19; </w:t>
      </w:r>
      <w:r w:rsidRPr="005A4BCD">
        <w:t>Habakkuk opens with the prophet’s lament to God against injustice, wrong, destruction, violence and conflict</w:t>
      </w:r>
      <w:r>
        <w:t>.</w:t>
      </w:r>
      <w:r>
        <w:rPr>
          <w:rStyle w:val="EndnoteReference"/>
        </w:rPr>
        <w:endnoteReference w:id="2662"/>
      </w:r>
      <w:r w:rsidRPr="005A4BCD">
        <w:t xml:space="preserve"> </w:t>
      </w:r>
      <w:r>
        <w:t xml:space="preserve"> </w:t>
      </w:r>
      <w:r w:rsidRPr="005A4BCD">
        <w:t>The law is paralysed and justice never prevails, but is perverted.</w:t>
      </w:r>
      <w:r>
        <w:rPr>
          <w:rStyle w:val="EndnoteReference"/>
        </w:rPr>
        <w:endnoteReference w:id="2663"/>
      </w:r>
      <w:r w:rsidRPr="005A4BCD">
        <w:t xml:space="preserve">  It is for this reason that the Lord is raising up the Babylonians.</w:t>
      </w:r>
      <w:r>
        <w:rPr>
          <w:rStyle w:val="EndnoteReference"/>
        </w:rPr>
        <w:endnoteReference w:id="2664"/>
      </w:r>
      <w:r>
        <w:t xml:space="preserve">  </w:t>
      </w:r>
    </w:p>
    <w:p w:rsidR="006A2E06" w:rsidRDefault="006A2E06" w:rsidP="006A2E06">
      <w:pPr>
        <w:spacing w:after="120" w:line="360" w:lineRule="auto"/>
        <w:ind w:right="74" w:firstLine="567"/>
        <w:jc w:val="both"/>
      </w:pPr>
      <w:r>
        <w:t>Scofield’s ambiguous assertions in his note on Hab. 2:3,</w:t>
      </w:r>
      <w:r>
        <w:rPr>
          <w:rStyle w:val="EndnoteReference"/>
        </w:rPr>
        <w:endnoteReference w:id="2665"/>
      </w:r>
      <w:r>
        <w:t xml:space="preserve"> both of which may imply the existence of two means of salvation, are discussed in 4.1</w:t>
      </w:r>
      <w:r w:rsidRPr="00786C28">
        <w:t xml:space="preserve">.  </w:t>
      </w:r>
    </w:p>
    <w:p w:rsidR="006A2E06" w:rsidRDefault="00F96441" w:rsidP="006A2E06">
      <w:pPr>
        <w:spacing w:after="120" w:line="360" w:lineRule="auto"/>
        <w:ind w:right="74"/>
        <w:jc w:val="both"/>
        <w:rPr>
          <w:b/>
          <w:i/>
        </w:rPr>
      </w:pPr>
      <w:r>
        <w:rPr>
          <w:b/>
        </w:rPr>
        <w:lastRenderedPageBreak/>
        <w:t>8.4.13</w:t>
      </w:r>
      <w:r w:rsidR="006A2E06" w:rsidRPr="00F31F85">
        <w:rPr>
          <w:b/>
          <w:i/>
        </w:rPr>
        <w:t xml:space="preserve">  </w:t>
      </w:r>
      <w:r w:rsidR="006A2E06" w:rsidRPr="00F96441">
        <w:rPr>
          <w:b/>
        </w:rPr>
        <w:t>Zephaniah</w:t>
      </w:r>
    </w:p>
    <w:p w:rsidR="006A2E06" w:rsidRPr="00EB074E" w:rsidRDefault="006A2E06" w:rsidP="006A2E06">
      <w:pPr>
        <w:spacing w:after="120" w:line="360" w:lineRule="auto"/>
        <w:ind w:right="74"/>
        <w:jc w:val="both"/>
        <w:rPr>
          <w:b/>
          <w:i/>
        </w:rPr>
      </w:pPr>
      <w:r>
        <w:rPr>
          <w:b/>
          <w:i/>
        </w:rPr>
        <w:t>Introduction:</w:t>
      </w:r>
      <w:r>
        <w:rPr>
          <w:rStyle w:val="EndnoteReference"/>
        </w:rPr>
        <w:endnoteReference w:id="2666"/>
      </w:r>
      <w:r>
        <w:rPr>
          <w:b/>
          <w:i/>
        </w:rPr>
        <w:t xml:space="preserve"> Key Points:</w:t>
      </w:r>
    </w:p>
    <w:p w:rsidR="006A2E06" w:rsidRDefault="006A2E06" w:rsidP="006A2E06">
      <w:pPr>
        <w:spacing w:after="120" w:line="240" w:lineRule="auto"/>
        <w:ind w:left="567" w:right="74"/>
        <w:jc w:val="both"/>
      </w:pPr>
      <w:r w:rsidRPr="005D00B9">
        <w:t>Zephaniah prophesied during a time of revival,</w:t>
      </w:r>
      <w:r>
        <w:rPr>
          <w:rStyle w:val="EndnoteReference"/>
        </w:rPr>
        <w:endnoteReference w:id="2667"/>
      </w:r>
      <w:r>
        <w:t xml:space="preserve"> </w:t>
      </w:r>
      <w:r w:rsidRPr="005D00B9">
        <w:t xml:space="preserve">when captivity </w:t>
      </w:r>
      <w:r>
        <w:t xml:space="preserve">was </w:t>
      </w:r>
      <w:r w:rsidRPr="005D00B9">
        <w:t xml:space="preserve">nevertheless impending and inevitable </w:t>
      </w:r>
      <w:r>
        <w:t>through</w:t>
      </w:r>
      <w:r w:rsidRPr="005D00B9">
        <w:t xml:space="preserve"> Israel’s moral lassitude.  </w:t>
      </w:r>
    </w:p>
    <w:p w:rsidR="006A2E06" w:rsidRDefault="006A2E06" w:rsidP="006A2E06">
      <w:pPr>
        <w:spacing w:after="240" w:line="240" w:lineRule="auto"/>
        <w:ind w:left="567" w:right="74"/>
        <w:jc w:val="both"/>
      </w:pPr>
      <w:r w:rsidRPr="005D00B9">
        <w:t>Zephaniah 3:8-20 includes the prediction of the judgment of the nations, followed by kingdom blessing under the Messiah.</w:t>
      </w:r>
      <w:r>
        <w:rPr>
          <w:rStyle w:val="EndnoteReference"/>
        </w:rPr>
        <w:endnoteReference w:id="2668"/>
      </w:r>
      <w:r>
        <w:t xml:space="preserve">  </w:t>
      </w:r>
    </w:p>
    <w:p w:rsidR="006A2E06" w:rsidRPr="00EB074E" w:rsidRDefault="006A2E06" w:rsidP="006A2E06">
      <w:pPr>
        <w:spacing w:after="120" w:line="360" w:lineRule="auto"/>
        <w:ind w:right="74"/>
        <w:jc w:val="both"/>
        <w:rPr>
          <w:b/>
          <w:i/>
        </w:rPr>
      </w:pPr>
      <w:r>
        <w:rPr>
          <w:b/>
          <w:i/>
        </w:rPr>
        <w:t>Annotation: Key Points</w:t>
      </w:r>
    </w:p>
    <w:p w:rsidR="006A2E06" w:rsidRDefault="006A2E06" w:rsidP="006A2E06">
      <w:pPr>
        <w:spacing w:after="120" w:line="240" w:lineRule="auto"/>
        <w:ind w:left="567" w:right="74"/>
        <w:jc w:val="both"/>
      </w:pPr>
      <w:r>
        <w:t>‘Near and far’ prophecy: Nebuchadnezzar’s invasion and ‘the day of the LORD’.</w:t>
      </w:r>
      <w:r>
        <w:rPr>
          <w:rStyle w:val="EndnoteReference"/>
        </w:rPr>
        <w:endnoteReference w:id="2669"/>
      </w:r>
      <w:r>
        <w:t xml:space="preserve">  </w:t>
      </w:r>
    </w:p>
    <w:p w:rsidR="006A2E06" w:rsidRDefault="006A2E06" w:rsidP="006A2E06">
      <w:pPr>
        <w:spacing w:after="120" w:line="240" w:lineRule="auto"/>
        <w:ind w:left="567" w:right="74"/>
        <w:jc w:val="both"/>
      </w:pPr>
      <w:r>
        <w:t>Assertion that ‘the conversion of “the peoples” is stated out of the usual prophetic order, in which the blessing of Israel and the setting up of the kingdom precedes the conversion of the Gentiles’;</w:t>
      </w:r>
      <w:r>
        <w:rPr>
          <w:rStyle w:val="EndnoteReference"/>
        </w:rPr>
        <w:endnoteReference w:id="2670"/>
      </w:r>
      <w:r>
        <w:t xml:space="preserve"> there is no doubt, however that the conversion of the Gentiles’ will occur after ‘the smiting of the nations’.</w:t>
      </w:r>
      <w:r>
        <w:rPr>
          <w:rStyle w:val="EndnoteReference"/>
        </w:rPr>
        <w:endnoteReference w:id="2671"/>
      </w:r>
      <w:r>
        <w:t xml:space="preserve">  </w:t>
      </w:r>
    </w:p>
    <w:p w:rsidR="006A2E06" w:rsidRDefault="006A2E06" w:rsidP="006A2E06">
      <w:pPr>
        <w:spacing w:after="240" w:line="240" w:lineRule="auto"/>
        <w:ind w:left="567" w:right="74"/>
        <w:jc w:val="both"/>
      </w:pPr>
      <w:r>
        <w:t>Context means Zephaniah 3:15 cannot refer to Christ’s first coming.</w:t>
      </w:r>
      <w:r>
        <w:rPr>
          <w:rStyle w:val="EndnoteReference"/>
        </w:rPr>
        <w:endnoteReference w:id="2672"/>
      </w:r>
      <w:r>
        <w:t xml:space="preserve">  </w:t>
      </w:r>
    </w:p>
    <w:p w:rsidR="006A2E06" w:rsidRDefault="00F96441" w:rsidP="006A2E06">
      <w:pPr>
        <w:spacing w:after="120" w:line="360" w:lineRule="auto"/>
        <w:ind w:right="74"/>
        <w:jc w:val="both"/>
        <w:rPr>
          <w:b/>
          <w:i/>
        </w:rPr>
      </w:pPr>
      <w:r>
        <w:rPr>
          <w:b/>
        </w:rPr>
        <w:t>8.4.14</w:t>
      </w:r>
      <w:r w:rsidR="006A2E06">
        <w:rPr>
          <w:b/>
          <w:i/>
        </w:rPr>
        <w:t xml:space="preserve">  </w:t>
      </w:r>
      <w:r w:rsidR="006A2E06" w:rsidRPr="00F96441">
        <w:rPr>
          <w:b/>
        </w:rPr>
        <w:t>Haggai</w:t>
      </w:r>
    </w:p>
    <w:p w:rsidR="006A2E06" w:rsidRPr="00EB074E" w:rsidRDefault="006A2E06" w:rsidP="006A2E06">
      <w:pPr>
        <w:spacing w:after="120" w:line="360" w:lineRule="auto"/>
        <w:ind w:right="74"/>
        <w:jc w:val="both"/>
        <w:rPr>
          <w:b/>
          <w:i/>
        </w:rPr>
      </w:pPr>
      <w:bookmarkStart w:id="18" w:name="OLE_LINK2"/>
      <w:r>
        <w:rPr>
          <w:b/>
          <w:i/>
        </w:rPr>
        <w:t>Introduction:</w:t>
      </w:r>
      <w:r>
        <w:rPr>
          <w:rStyle w:val="EndnoteReference"/>
        </w:rPr>
        <w:endnoteReference w:id="2673"/>
      </w:r>
      <w:r>
        <w:rPr>
          <w:b/>
          <w:i/>
        </w:rPr>
        <w:t xml:space="preserve"> Key Points</w:t>
      </w:r>
    </w:p>
    <w:bookmarkEnd w:id="18"/>
    <w:p w:rsidR="006A2E06" w:rsidRDefault="006A2E06" w:rsidP="006A2E06">
      <w:pPr>
        <w:spacing w:after="120" w:line="240" w:lineRule="auto"/>
        <w:ind w:left="567"/>
        <w:jc w:val="both"/>
      </w:pPr>
      <w:r>
        <w:t xml:space="preserve">Along with Zechariah and Malachi, Haggai’s </w:t>
      </w:r>
      <w:r w:rsidRPr="005D00B9">
        <w:t xml:space="preserve">task was ‘to hearten, rebuke and instruct the feeble and divided remnant’.  </w:t>
      </w:r>
    </w:p>
    <w:p w:rsidR="006A2E06" w:rsidRDefault="006A2E06" w:rsidP="006A2E06">
      <w:pPr>
        <w:spacing w:after="240" w:line="240" w:lineRule="auto"/>
        <w:ind w:left="567"/>
        <w:jc w:val="both"/>
      </w:pPr>
      <w:r>
        <w:t>T</w:t>
      </w:r>
      <w:r w:rsidRPr="005D00B9">
        <w:t>heme of Haggai</w:t>
      </w:r>
      <w:r>
        <w:t>:</w:t>
      </w:r>
      <w:r w:rsidRPr="005D00B9">
        <w:t xml:space="preserve"> the unfinished temple and the mission of the prophet to encourage the builders.  </w:t>
      </w:r>
      <w:r>
        <w:t xml:space="preserve">Assertion that </w:t>
      </w:r>
      <w:r w:rsidRPr="005D00B9">
        <w:t>three temples are in view in Hag. 2:1-9: Solomon’s temple, the restoration temple and the kingdom-age temple.</w:t>
      </w:r>
    </w:p>
    <w:p w:rsidR="006A2E06" w:rsidRPr="00EB074E" w:rsidRDefault="006A2E06" w:rsidP="006A2E06">
      <w:pPr>
        <w:spacing w:after="120" w:line="360" w:lineRule="auto"/>
        <w:ind w:right="74"/>
        <w:jc w:val="both"/>
        <w:rPr>
          <w:b/>
          <w:i/>
        </w:rPr>
      </w:pPr>
      <w:r>
        <w:rPr>
          <w:b/>
          <w:i/>
        </w:rPr>
        <w:t>Annotation: Key Points</w:t>
      </w:r>
    </w:p>
    <w:p w:rsidR="006A2E06" w:rsidRDefault="006A2E06" w:rsidP="006A2E06">
      <w:pPr>
        <w:spacing w:after="120" w:line="240" w:lineRule="auto"/>
        <w:ind w:left="567"/>
        <w:jc w:val="both"/>
      </w:pPr>
      <w:r>
        <w:t>Assertion</w:t>
      </w:r>
      <w:r w:rsidRPr="00E00D2B">
        <w:t xml:space="preserve"> that </w:t>
      </w:r>
      <w:r>
        <w:t>Haggai</w:t>
      </w:r>
      <w:r w:rsidRPr="00E00D2B">
        <w:t xml:space="preserve"> calls those who remembered Solomon’s temple to witness to the new generation how greatly its magnificence exceeded that of the present one.</w:t>
      </w:r>
      <w:r w:rsidRPr="00915CD0">
        <w:rPr>
          <w:rStyle w:val="EndnoteReference"/>
        </w:rPr>
        <w:t xml:space="preserve"> </w:t>
      </w:r>
      <w:r>
        <w:rPr>
          <w:rStyle w:val="EndnoteReference"/>
        </w:rPr>
        <w:endnoteReference w:id="2674"/>
      </w:r>
      <w:r w:rsidRPr="00E00D2B">
        <w:t xml:space="preserve">  </w:t>
      </w:r>
    </w:p>
    <w:p w:rsidR="006A2E06" w:rsidRDefault="006A2E06" w:rsidP="006A2E06">
      <w:pPr>
        <w:spacing w:after="120" w:line="240" w:lineRule="auto"/>
        <w:ind w:left="567"/>
        <w:jc w:val="both"/>
      </w:pPr>
      <w:r>
        <w:t xml:space="preserve">Assertion </w:t>
      </w:r>
      <w:r w:rsidRPr="00E00D2B">
        <w:t>that the prophecy in vv. 7-9 ‘can only refer to the future kingd</w:t>
      </w:r>
      <w:r>
        <w:t>om temple described by Ezekiel’.</w:t>
      </w:r>
      <w:r>
        <w:rPr>
          <w:rStyle w:val="EndnoteReference"/>
        </w:rPr>
        <w:endnoteReference w:id="2675"/>
      </w:r>
      <w:r w:rsidRPr="00E00D2B">
        <w:t xml:space="preserve"> </w:t>
      </w:r>
    </w:p>
    <w:p w:rsidR="006A2E06" w:rsidRDefault="006A2E06" w:rsidP="006A2E06">
      <w:pPr>
        <w:spacing w:after="120" w:line="240" w:lineRule="auto"/>
        <w:ind w:left="1418"/>
        <w:jc w:val="both"/>
      </w:pPr>
      <w:r w:rsidRPr="00F227DF">
        <w:rPr>
          <w:b/>
          <w:i/>
        </w:rPr>
        <w:t>Comment</w:t>
      </w:r>
      <w:r>
        <w:rPr>
          <w:b/>
          <w:i/>
        </w:rPr>
        <w:t xml:space="preserve">: </w:t>
      </w:r>
      <w:r>
        <w:t>No justification is given for this assertion.</w:t>
      </w:r>
    </w:p>
    <w:p w:rsidR="006A2E06" w:rsidRDefault="006A2E06" w:rsidP="006A2E06">
      <w:pPr>
        <w:spacing w:after="120" w:line="240" w:lineRule="auto"/>
        <w:ind w:left="567"/>
        <w:jc w:val="both"/>
      </w:pPr>
      <w:r>
        <w:t>Claim that</w:t>
      </w:r>
      <w:r w:rsidRPr="00E00D2B">
        <w:t xml:space="preserve"> ‘I will shake all nations’, in v. 7 refer</w:t>
      </w:r>
      <w:r>
        <w:t>s</w:t>
      </w:r>
      <w:r w:rsidRPr="00E00D2B">
        <w:t xml:space="preserve"> to the great tribulation, which is followed by the coming of Christ in glory as ‘the desire of all nations’.</w:t>
      </w:r>
      <w:r>
        <w:rPr>
          <w:rStyle w:val="EndnoteReference"/>
        </w:rPr>
        <w:endnoteReference w:id="2676"/>
      </w:r>
      <w:r>
        <w:t xml:space="preserve">  </w:t>
      </w:r>
    </w:p>
    <w:p w:rsidR="006A2E06" w:rsidRDefault="006A2E06" w:rsidP="006A2E06">
      <w:pPr>
        <w:spacing w:after="240" w:line="240" w:lineRule="auto"/>
        <w:ind w:left="567"/>
        <w:jc w:val="both"/>
      </w:pPr>
      <w:r>
        <w:t>In some ways ‘all the temples (Solomon’s, Ezra’s, Herod’s and “that which will be used by the unbelieving Jews under covenant with the Beast”</w:t>
      </w:r>
      <w:r>
        <w:rPr>
          <w:rStyle w:val="EndnoteReference"/>
        </w:rPr>
        <w:endnoteReference w:id="2677"/>
      </w:r>
      <w:r>
        <w:t xml:space="preserve"> and Ezekiel’s future kingdom temple’</w:t>
      </w:r>
      <w:r>
        <w:rPr>
          <w:rStyle w:val="EndnoteReference"/>
        </w:rPr>
        <w:endnoteReference w:id="2678"/>
      </w:r>
      <w:r>
        <w:t xml:space="preserve">) are all treated as one “house” </w:t>
      </w:r>
      <w:r w:rsidRPr="00012B96">
        <w:rPr>
          <w:sz w:val="16"/>
          <w:szCs w:val="24"/>
        </w:rPr>
        <w:t>—</w:t>
      </w:r>
      <w:r>
        <w:t xml:space="preserve"> the “house of the LORD, since they all profess to be that’.  Claim that this is why ‘Christ purified the temple of His day, erected though it was by an Idumean usurper to please the Jews’.</w:t>
      </w:r>
      <w:r>
        <w:rPr>
          <w:rStyle w:val="EndnoteReference"/>
        </w:rPr>
        <w:endnoteReference w:id="2679"/>
      </w:r>
    </w:p>
    <w:p w:rsidR="006A2E06" w:rsidRDefault="006A2E06" w:rsidP="006A2E06">
      <w:pPr>
        <w:spacing w:after="120" w:line="360" w:lineRule="auto"/>
        <w:ind w:right="74"/>
        <w:jc w:val="both"/>
        <w:rPr>
          <w:b/>
          <w:i/>
        </w:rPr>
      </w:pPr>
    </w:p>
    <w:p w:rsidR="006A2E06" w:rsidRDefault="006A2E06" w:rsidP="006A2E06">
      <w:pPr>
        <w:spacing w:after="120" w:line="360" w:lineRule="auto"/>
        <w:ind w:right="74"/>
        <w:jc w:val="both"/>
        <w:rPr>
          <w:b/>
          <w:i/>
        </w:rPr>
      </w:pPr>
    </w:p>
    <w:p w:rsidR="006A2E06" w:rsidRDefault="006A2E06" w:rsidP="006A2E06">
      <w:pPr>
        <w:spacing w:after="120" w:line="360" w:lineRule="auto"/>
        <w:ind w:right="74"/>
        <w:jc w:val="both"/>
        <w:rPr>
          <w:b/>
          <w:i/>
        </w:rPr>
      </w:pPr>
    </w:p>
    <w:p w:rsidR="006A2E06" w:rsidRPr="008F7FBC" w:rsidRDefault="00F96441" w:rsidP="006A2E06">
      <w:pPr>
        <w:spacing w:after="120" w:line="360" w:lineRule="auto"/>
        <w:ind w:right="74"/>
        <w:jc w:val="both"/>
        <w:rPr>
          <w:b/>
          <w:i/>
        </w:rPr>
      </w:pPr>
      <w:r>
        <w:rPr>
          <w:b/>
        </w:rPr>
        <w:lastRenderedPageBreak/>
        <w:t>8.4.15</w:t>
      </w:r>
      <w:r w:rsidR="006A2E06">
        <w:rPr>
          <w:b/>
          <w:i/>
        </w:rPr>
        <w:t xml:space="preserve">  </w:t>
      </w:r>
      <w:r w:rsidR="006A2E06" w:rsidRPr="00F96441">
        <w:rPr>
          <w:b/>
        </w:rPr>
        <w:t>Zechariah</w:t>
      </w:r>
    </w:p>
    <w:p w:rsidR="006A2E06" w:rsidRDefault="006A2E06" w:rsidP="006A2E06">
      <w:pPr>
        <w:spacing w:after="120" w:line="360" w:lineRule="auto"/>
        <w:ind w:right="74"/>
        <w:jc w:val="center"/>
        <w:rPr>
          <w:b/>
        </w:rPr>
      </w:pPr>
      <w:r>
        <w:rPr>
          <w:b/>
          <w:noProof/>
          <w:lang w:eastAsia="en-GB"/>
        </w:rPr>
        <w:drawing>
          <wp:inline distT="0" distB="0" distL="0" distR="0" wp14:anchorId="42C4892D" wp14:editId="08CF4B5C">
            <wp:extent cx="2465509" cy="4792980"/>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chariah graph ed 2.4.18 crop.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470929" cy="4803517"/>
                    </a:xfrm>
                    <a:prstGeom prst="rect">
                      <a:avLst/>
                    </a:prstGeom>
                  </pic:spPr>
                </pic:pic>
              </a:graphicData>
            </a:graphic>
          </wp:inline>
        </w:drawing>
      </w:r>
    </w:p>
    <w:p w:rsidR="006A2E06" w:rsidRDefault="006A2E06" w:rsidP="006A2E06">
      <w:pPr>
        <w:spacing w:after="120" w:line="240" w:lineRule="auto"/>
        <w:ind w:right="74"/>
        <w:jc w:val="center"/>
      </w:pPr>
      <w:r>
        <w:rPr>
          <w:noProof/>
          <w:lang w:eastAsia="en-GB"/>
        </w:rPr>
        <w:drawing>
          <wp:inline distT="0" distB="0" distL="0" distR="0" wp14:anchorId="138AAAE4" wp14:editId="49CAB595">
            <wp:extent cx="5400040" cy="6845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chariah title 2.4.18 crop.jpg"/>
                    <pic:cNvPicPr/>
                  </pic:nvPicPr>
                  <pic:blipFill>
                    <a:blip r:embed="rId178">
                      <a:extLst>
                        <a:ext uri="{28A0092B-C50C-407E-A947-70E740481C1C}">
                          <a14:useLocalDpi xmlns:a14="http://schemas.microsoft.com/office/drawing/2010/main" val="0"/>
                        </a:ext>
                      </a:extLst>
                    </a:blip>
                    <a:stretch>
                      <a:fillRect/>
                    </a:stretch>
                  </pic:blipFill>
                  <pic:spPr>
                    <a:xfrm>
                      <a:off x="0" y="0"/>
                      <a:ext cx="5400040" cy="684530"/>
                    </a:xfrm>
                    <a:prstGeom prst="rect">
                      <a:avLst/>
                    </a:prstGeom>
                  </pic:spPr>
                </pic:pic>
              </a:graphicData>
            </a:graphic>
          </wp:inline>
        </w:drawing>
      </w:r>
    </w:p>
    <w:p w:rsidR="006A2E06" w:rsidRPr="007B491C" w:rsidRDefault="006A2E06" w:rsidP="006A2E06">
      <w:pPr>
        <w:spacing w:after="120" w:line="360" w:lineRule="auto"/>
        <w:jc w:val="both"/>
        <w:rPr>
          <w:b/>
          <w:i/>
        </w:rPr>
      </w:pPr>
      <w:r w:rsidRPr="007B491C">
        <w:rPr>
          <w:b/>
          <w:i/>
        </w:rPr>
        <w:t>Introduction</w:t>
      </w:r>
      <w:r>
        <w:rPr>
          <w:b/>
          <w:i/>
        </w:rPr>
        <w:t>:</w:t>
      </w:r>
      <w:r>
        <w:rPr>
          <w:rStyle w:val="EndnoteReference"/>
        </w:rPr>
        <w:endnoteReference w:id="2680"/>
      </w:r>
      <w:r>
        <w:rPr>
          <w:b/>
          <w:i/>
        </w:rPr>
        <w:t xml:space="preserve"> Key Points</w:t>
      </w:r>
    </w:p>
    <w:p w:rsidR="006A2E06" w:rsidRDefault="006A2E06" w:rsidP="006A2E06">
      <w:pPr>
        <w:spacing w:after="120" w:line="240" w:lineRule="auto"/>
        <w:ind w:left="567"/>
        <w:jc w:val="both"/>
      </w:pPr>
      <w:r>
        <w:t>Assertion that</w:t>
      </w:r>
      <w:r w:rsidRPr="005D00B9">
        <w:t xml:space="preserve"> </w:t>
      </w:r>
      <w:r>
        <w:t>Zechariah</w:t>
      </w:r>
      <w:r w:rsidRPr="005D00B9">
        <w:t xml:space="preserve"> contains pro</w:t>
      </w:r>
      <w:r>
        <w:t>phecy of both advents of Christ.</w:t>
      </w:r>
      <w:r>
        <w:rPr>
          <w:rStyle w:val="EndnoteReference"/>
        </w:rPr>
        <w:endnoteReference w:id="2681"/>
      </w:r>
      <w:r>
        <w:t xml:space="preserve"> </w:t>
      </w:r>
    </w:p>
    <w:p w:rsidR="006A2E06" w:rsidRDefault="006A2E06" w:rsidP="006A2E06">
      <w:pPr>
        <w:spacing w:after="120" w:line="240" w:lineRule="auto"/>
        <w:ind w:left="567"/>
        <w:jc w:val="both"/>
      </w:pPr>
      <w:r>
        <w:t>Assertion that it g</w:t>
      </w:r>
      <w:r w:rsidRPr="005D00B9">
        <w:t xml:space="preserve">ives </w:t>
      </w:r>
      <w:r>
        <w:t>‘</w:t>
      </w:r>
      <w:r w:rsidRPr="005D00B9">
        <w:t>the mind of God concerning the Gentile world-powers surrounding the last restored remnant’.  God has given them their authority</w:t>
      </w:r>
      <w:r>
        <w:rPr>
          <w:rStyle w:val="EndnoteReference"/>
        </w:rPr>
        <w:endnoteReference w:id="2682"/>
      </w:r>
      <w:r>
        <w:t xml:space="preserve"> </w:t>
      </w:r>
      <w:r w:rsidRPr="005D00B9">
        <w:t>and will hold them to account according to their treatment of Israel.</w:t>
      </w:r>
      <w:r>
        <w:rPr>
          <w:rStyle w:val="EndnoteReference"/>
        </w:rPr>
        <w:endnoteReference w:id="2683"/>
      </w:r>
      <w:r>
        <w:t xml:space="preserve">  the reference is</w:t>
      </w:r>
      <w:r w:rsidRPr="0012506F">
        <w:t xml:space="preserve"> to the statement that ‘he that toucheth [Zion] toucheth the apple of his eye’.</w:t>
      </w:r>
      <w:r>
        <w:rPr>
          <w:rStyle w:val="EndnoteReference"/>
        </w:rPr>
        <w:endnoteReference w:id="2684"/>
      </w:r>
      <w:r w:rsidRPr="0012506F">
        <w:t xml:space="preserve"> </w:t>
      </w:r>
    </w:p>
    <w:p w:rsidR="006A2E06" w:rsidRPr="00CD3E6E" w:rsidRDefault="006A2E06" w:rsidP="006A2E06">
      <w:pPr>
        <w:spacing w:after="120" w:line="360" w:lineRule="auto"/>
        <w:jc w:val="both"/>
        <w:rPr>
          <w:i/>
        </w:rPr>
      </w:pPr>
      <w:r w:rsidRPr="00CD3E6E">
        <w:rPr>
          <w:b/>
          <w:i/>
        </w:rPr>
        <w:t>Annotation: Key Points:</w:t>
      </w:r>
    </w:p>
    <w:p w:rsidR="006A2E06" w:rsidRPr="00CD3E6E" w:rsidRDefault="006A2E06" w:rsidP="006A2E06">
      <w:pPr>
        <w:spacing w:after="120" w:line="240" w:lineRule="auto"/>
        <w:ind w:left="567" w:right="74"/>
        <w:jc w:val="both"/>
      </w:pPr>
      <w:r w:rsidRPr="00CD3E6E">
        <w:t xml:space="preserve">Volume of annotation on all chapters of Zechariah never falls below 17 words for every 100 words in the </w:t>
      </w:r>
      <w:r w:rsidRPr="00CD3E6E">
        <w:rPr>
          <w:i/>
        </w:rPr>
        <w:t>KJV</w:t>
      </w:r>
      <w:r w:rsidRPr="00CD3E6E">
        <w:t xml:space="preserve"> text.  </w:t>
      </w:r>
    </w:p>
    <w:p w:rsidR="006A2E06" w:rsidRPr="00CD3E6E" w:rsidRDefault="006A2E06" w:rsidP="006A2E06">
      <w:pPr>
        <w:spacing w:after="120" w:line="240" w:lineRule="auto"/>
        <w:ind w:left="567" w:right="74"/>
        <w:jc w:val="both"/>
      </w:pPr>
      <w:r w:rsidRPr="00CD3E6E">
        <w:t>Zechariah 12 bears a greater volume of annotation than any other chapter in the Bible.</w:t>
      </w:r>
      <w:r w:rsidRPr="00CD3E6E">
        <w:rPr>
          <w:rStyle w:val="EndnoteReference"/>
        </w:rPr>
        <w:endnoteReference w:id="2685"/>
      </w:r>
      <w:r w:rsidRPr="00CD3E6E">
        <w:t xml:space="preserve">  </w:t>
      </w:r>
    </w:p>
    <w:p w:rsidR="006A2E06" w:rsidRPr="00CD3E6E" w:rsidRDefault="006A2E06" w:rsidP="006A2E06">
      <w:pPr>
        <w:spacing w:after="120" w:line="240" w:lineRule="auto"/>
        <w:ind w:left="567" w:right="74"/>
        <w:jc w:val="both"/>
      </w:pPr>
      <w:r w:rsidRPr="00CD3E6E">
        <w:t xml:space="preserve">Notes on Zech. 12:1 and 12:8 provide 183 words for every 100 words in the </w:t>
      </w:r>
      <w:r w:rsidRPr="00CD3E6E">
        <w:rPr>
          <w:i/>
        </w:rPr>
        <w:t>KJV</w:t>
      </w:r>
      <w:r w:rsidRPr="00CD3E6E">
        <w:t xml:space="preserve"> text.  </w:t>
      </w:r>
    </w:p>
    <w:p w:rsidR="006A2E06" w:rsidRPr="005B4A79" w:rsidRDefault="00207242" w:rsidP="006A2E06">
      <w:pPr>
        <w:spacing w:after="120" w:line="360" w:lineRule="auto"/>
        <w:jc w:val="both"/>
        <w:rPr>
          <w:b/>
          <w:i/>
        </w:rPr>
      </w:pPr>
      <w:r>
        <w:rPr>
          <w:b/>
          <w:i/>
        </w:rPr>
        <w:t>Continued overleaf</w:t>
      </w:r>
    </w:p>
    <w:p w:rsidR="006A2E06" w:rsidRDefault="006A2E06" w:rsidP="006A2E06">
      <w:pPr>
        <w:spacing w:after="120" w:line="360" w:lineRule="auto"/>
        <w:jc w:val="both"/>
      </w:pPr>
      <w:r>
        <w:rPr>
          <w:noProof/>
          <w:lang w:eastAsia="en-GB"/>
        </w:rPr>
        <w:lastRenderedPageBreak/>
        <w:drawing>
          <wp:inline distT="0" distB="0" distL="0" distR="0" wp14:anchorId="00A4FD49" wp14:editId="54957910">
            <wp:extent cx="5400040" cy="7883525"/>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chariah themes as table ed 28.4.18_Page_1 crop.jpg"/>
                    <pic:cNvPicPr/>
                  </pic:nvPicPr>
                  <pic:blipFill>
                    <a:blip r:embed="rId179">
                      <a:extLst>
                        <a:ext uri="{28A0092B-C50C-407E-A947-70E740481C1C}">
                          <a14:useLocalDpi xmlns:a14="http://schemas.microsoft.com/office/drawing/2010/main" val="0"/>
                        </a:ext>
                      </a:extLst>
                    </a:blip>
                    <a:stretch>
                      <a:fillRect/>
                    </a:stretch>
                  </pic:blipFill>
                  <pic:spPr>
                    <a:xfrm>
                      <a:off x="0" y="0"/>
                      <a:ext cx="5400040" cy="7883525"/>
                    </a:xfrm>
                    <a:prstGeom prst="rect">
                      <a:avLst/>
                    </a:prstGeom>
                  </pic:spPr>
                </pic:pic>
              </a:graphicData>
            </a:graphic>
          </wp:inline>
        </w:drawing>
      </w:r>
    </w:p>
    <w:p w:rsidR="006A2E06" w:rsidRDefault="006A2E06" w:rsidP="006A2E06">
      <w:pPr>
        <w:spacing w:after="120" w:line="360" w:lineRule="auto"/>
        <w:jc w:val="both"/>
        <w:rPr>
          <w:b/>
          <w:i/>
        </w:rPr>
      </w:pPr>
      <w:r>
        <w:rPr>
          <w:b/>
          <w:i/>
        </w:rPr>
        <w:t>Continued overleaf</w:t>
      </w:r>
    </w:p>
    <w:p w:rsidR="006A2E06" w:rsidRDefault="006A2E06" w:rsidP="006A2E06">
      <w:pPr>
        <w:spacing w:after="120" w:line="360" w:lineRule="auto"/>
        <w:jc w:val="both"/>
        <w:rPr>
          <w:b/>
          <w:i/>
        </w:rPr>
      </w:pPr>
    </w:p>
    <w:p w:rsidR="006A2E06" w:rsidRDefault="006A2E06" w:rsidP="006A2E06">
      <w:pPr>
        <w:spacing w:after="120" w:line="360" w:lineRule="auto"/>
        <w:jc w:val="center"/>
        <w:rPr>
          <w:b/>
          <w:i/>
        </w:rPr>
      </w:pPr>
      <w:r>
        <w:rPr>
          <w:b/>
          <w:i/>
          <w:noProof/>
          <w:lang w:eastAsia="en-GB"/>
        </w:rPr>
        <w:lastRenderedPageBreak/>
        <w:drawing>
          <wp:inline distT="0" distB="0" distL="0" distR="0" wp14:anchorId="055246B7" wp14:editId="406F88A3">
            <wp:extent cx="5400040" cy="3517265"/>
            <wp:effectExtent l="0" t="0" r="0" b="698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chariah themes page 2 ed 8.5.18 crop.jpg"/>
                    <pic:cNvPicPr/>
                  </pic:nvPicPr>
                  <pic:blipFill>
                    <a:blip r:embed="rId180">
                      <a:extLst>
                        <a:ext uri="{28A0092B-C50C-407E-A947-70E740481C1C}">
                          <a14:useLocalDpi xmlns:a14="http://schemas.microsoft.com/office/drawing/2010/main" val="0"/>
                        </a:ext>
                      </a:extLst>
                    </a:blip>
                    <a:stretch>
                      <a:fillRect/>
                    </a:stretch>
                  </pic:blipFill>
                  <pic:spPr>
                    <a:xfrm>
                      <a:off x="0" y="0"/>
                      <a:ext cx="5400040" cy="3517265"/>
                    </a:xfrm>
                    <a:prstGeom prst="rect">
                      <a:avLst/>
                    </a:prstGeom>
                  </pic:spPr>
                </pic:pic>
              </a:graphicData>
            </a:graphic>
          </wp:inline>
        </w:drawing>
      </w:r>
    </w:p>
    <w:p w:rsidR="006A2E06" w:rsidRPr="005B4A79" w:rsidRDefault="006A2E06" w:rsidP="006A2E06">
      <w:pPr>
        <w:spacing w:after="120" w:line="360" w:lineRule="auto"/>
        <w:jc w:val="both"/>
        <w:rPr>
          <w:i/>
        </w:rPr>
      </w:pPr>
      <w:r w:rsidRPr="005B4A79">
        <w:rPr>
          <w:b/>
          <w:i/>
        </w:rPr>
        <w:t>Annotation: Key Points (Continued)</w:t>
      </w:r>
    </w:p>
    <w:p w:rsidR="006A2E06" w:rsidRPr="005B4A79" w:rsidRDefault="006A2E06" w:rsidP="006A2E06">
      <w:pPr>
        <w:spacing w:after="120" w:line="240" w:lineRule="auto"/>
        <w:ind w:left="567" w:right="74"/>
        <w:jc w:val="both"/>
      </w:pPr>
      <w:r w:rsidRPr="005B4A79">
        <w:t>Th</w:t>
      </w:r>
      <w:r>
        <w:t>e high</w:t>
      </w:r>
      <w:r w:rsidRPr="005B4A79">
        <w:t xml:space="preserve"> volume of wordage </w:t>
      </w:r>
      <w:r>
        <w:t xml:space="preserve">in annotation of Zechariah 12 </w:t>
      </w:r>
      <w:r w:rsidRPr="005B4A79">
        <w:t>is mainly achieved by the dense annotation of Zech. 12:8;</w:t>
      </w:r>
      <w:r w:rsidRPr="005B4A79">
        <w:rPr>
          <w:rStyle w:val="FootnoteReference"/>
        </w:rPr>
        <w:footnoteReference w:id="95"/>
      </w:r>
      <w:r w:rsidRPr="005B4A79">
        <w:t xml:space="preserve"> this contains Scofield’s ‘Kingdom in O.T., Summary’.</w:t>
      </w:r>
      <w:r w:rsidRPr="005B4A79">
        <w:rPr>
          <w:rStyle w:val="EndnoteReference"/>
        </w:rPr>
        <w:endnoteReference w:id="2686"/>
      </w:r>
      <w:r w:rsidRPr="005B4A79">
        <w:t xml:space="preserve">  </w:t>
      </w:r>
    </w:p>
    <w:p w:rsidR="006A2E06" w:rsidRDefault="006A2E06" w:rsidP="006A2E06">
      <w:pPr>
        <w:spacing w:after="120" w:line="240" w:lineRule="auto"/>
        <w:ind w:left="567" w:right="71"/>
        <w:jc w:val="both"/>
      </w:pPr>
      <w:r>
        <w:t>Emphasis on full earthly blessing in the kingdom</w:t>
      </w:r>
      <w:r>
        <w:rPr>
          <w:rStyle w:val="EndnoteReference"/>
        </w:rPr>
        <w:endnoteReference w:id="2687"/>
      </w:r>
      <w:r>
        <w:t xml:space="preserve"> and on the future kingdom as a time of fulfilment for Israel.</w:t>
      </w:r>
      <w:r>
        <w:rPr>
          <w:rStyle w:val="EndnoteReference"/>
        </w:rPr>
        <w:endnoteReference w:id="2688"/>
      </w:r>
      <w:r>
        <w:t xml:space="preserve">  </w:t>
      </w:r>
    </w:p>
    <w:p w:rsidR="006A2E06" w:rsidRDefault="006A2E06" w:rsidP="006A2E06">
      <w:pPr>
        <w:spacing w:after="120" w:line="240" w:lineRule="auto"/>
        <w:ind w:left="567" w:right="71"/>
        <w:jc w:val="both"/>
      </w:pPr>
      <w:r>
        <w:t>Zechariah 12:8</w:t>
      </w:r>
      <w:r w:rsidRPr="001B2AA2">
        <w:t xml:space="preserve"> is also the verse to which Scofield refers most often in his other notes on the entire Bible.</w:t>
      </w:r>
      <w:r>
        <w:rPr>
          <w:rStyle w:val="EndnoteReference"/>
        </w:rPr>
        <w:endnoteReference w:id="2689"/>
      </w:r>
    </w:p>
    <w:p w:rsidR="006A2E06" w:rsidRDefault="006A2E06" w:rsidP="006A2E06">
      <w:pPr>
        <w:spacing w:after="120" w:line="240" w:lineRule="auto"/>
        <w:ind w:left="567" w:right="71"/>
        <w:jc w:val="both"/>
      </w:pPr>
      <w:r>
        <w:t>Zechariah 9:9 ‘introduces the King’; verses 10 and the verses following look forward to the end-time and the kingdom’.</w:t>
      </w:r>
      <w:r>
        <w:rPr>
          <w:rStyle w:val="EndnoteReference"/>
        </w:rPr>
        <w:endnoteReference w:id="2690"/>
      </w:r>
    </w:p>
    <w:p w:rsidR="006A2E06" w:rsidRPr="001B2AA2" w:rsidRDefault="006A2E06" w:rsidP="006A2E06">
      <w:pPr>
        <w:spacing w:after="120" w:line="240" w:lineRule="auto"/>
        <w:ind w:left="567" w:right="74"/>
        <w:jc w:val="both"/>
        <w:rPr>
          <w:b/>
        </w:rPr>
      </w:pPr>
      <w:r>
        <w:rPr>
          <w:color w:val="000000"/>
        </w:rPr>
        <w:t>N</w:t>
      </w:r>
      <w:r w:rsidRPr="00323D9A">
        <w:rPr>
          <w:color w:val="000000"/>
        </w:rPr>
        <w:t xml:space="preserve">otes on </w:t>
      </w:r>
      <w:r>
        <w:rPr>
          <w:color w:val="000000"/>
        </w:rPr>
        <w:t>Zech. 5:1 and 6,</w:t>
      </w:r>
      <w:r>
        <w:rPr>
          <w:rStyle w:val="EndnoteReference"/>
        </w:rPr>
        <w:endnoteReference w:id="2691"/>
      </w:r>
      <w:r>
        <w:rPr>
          <w:color w:val="000000"/>
        </w:rPr>
        <w:t xml:space="preserve"> especially the latter,</w:t>
      </w:r>
      <w:r w:rsidRPr="00323D9A">
        <w:rPr>
          <w:color w:val="000000"/>
        </w:rPr>
        <w:t xml:space="preserve"> also exceed the number of words in the corresponding </w:t>
      </w:r>
      <w:r w:rsidRPr="00323D9A">
        <w:rPr>
          <w:i/>
          <w:color w:val="000000"/>
        </w:rPr>
        <w:t>KJV</w:t>
      </w:r>
      <w:r>
        <w:rPr>
          <w:color w:val="000000"/>
        </w:rPr>
        <w:t xml:space="preserve"> text.</w:t>
      </w:r>
      <w:r w:rsidRPr="00323D9A">
        <w:rPr>
          <w:color w:val="000000"/>
        </w:rPr>
        <w:t xml:space="preserve"> </w:t>
      </w:r>
    </w:p>
    <w:p w:rsidR="006A2E06" w:rsidRDefault="006A2E06" w:rsidP="006A2E06">
      <w:pPr>
        <w:spacing w:after="120" w:line="240" w:lineRule="auto"/>
        <w:ind w:left="567" w:right="74"/>
        <w:jc w:val="both"/>
      </w:pPr>
      <w:r>
        <w:t>Assertion that</w:t>
      </w:r>
      <w:r w:rsidRPr="001B2AA2">
        <w:t>, though much in Zechariah is symbolic, ‘these difficult passages are readily interpreted in the light of the whole body of related prophecy’ and that ‘the great Messianic passages are, upon comparison with the other prophecies of the kingdom, perfectly clear’.</w:t>
      </w:r>
      <w:r w:rsidRPr="001B2AA2">
        <w:rPr>
          <w:rStyle w:val="EndnoteReference"/>
        </w:rPr>
        <w:endnoteReference w:id="2692"/>
      </w:r>
      <w:r w:rsidRPr="001B2AA2">
        <w:t xml:space="preserve">  </w:t>
      </w:r>
    </w:p>
    <w:p w:rsidR="006A2E06" w:rsidRDefault="006A2E06" w:rsidP="006A2E06">
      <w:pPr>
        <w:spacing w:after="120" w:line="240" w:lineRule="auto"/>
        <w:ind w:left="1418" w:right="74"/>
        <w:jc w:val="both"/>
      </w:pPr>
      <w:r w:rsidRPr="00927AA9">
        <w:rPr>
          <w:b/>
          <w:i/>
        </w:rPr>
        <w:t>Comment</w:t>
      </w:r>
      <w:r>
        <w:t xml:space="preserve">: </w:t>
      </w:r>
      <w:r w:rsidRPr="001B2AA2">
        <w:t xml:space="preserve">As with preceding prophecies, </w:t>
      </w:r>
      <w:r>
        <w:t>Scofield’s</w:t>
      </w:r>
      <w:r w:rsidRPr="001B2AA2">
        <w:t xml:space="preserve"> interpretation </w:t>
      </w:r>
      <w:r>
        <w:t xml:space="preserve">of Zechariah </w:t>
      </w:r>
      <w:r w:rsidRPr="001B2AA2">
        <w:t xml:space="preserve">is </w:t>
      </w:r>
      <w:r>
        <w:t>his</w:t>
      </w:r>
      <w:r w:rsidRPr="001B2AA2">
        <w:t xml:space="preserve"> own and not necessarily shared by others, who analyse the text more thoroughly</w:t>
      </w:r>
      <w:r>
        <w:t>; a case-study of Zechariah 12 utilising works by several modern biblical scholars appears at the end of the thesis.</w:t>
      </w:r>
    </w:p>
    <w:p w:rsidR="006A2E06" w:rsidRPr="00154570" w:rsidRDefault="006A2E06" w:rsidP="006A2E06">
      <w:pPr>
        <w:spacing w:after="0" w:line="240" w:lineRule="auto"/>
        <w:ind w:left="567" w:right="74"/>
        <w:jc w:val="both"/>
        <w:rPr>
          <w:i/>
        </w:rPr>
      </w:pPr>
      <w:r w:rsidRPr="00154570">
        <w:rPr>
          <w:i/>
        </w:rPr>
        <w:t>Intertestamental Connections</w:t>
      </w:r>
    </w:p>
    <w:p w:rsidR="006A2E06" w:rsidRDefault="006A2E06" w:rsidP="006A2E06">
      <w:pPr>
        <w:spacing w:after="120" w:line="240" w:lineRule="auto"/>
        <w:ind w:left="851" w:right="74"/>
        <w:jc w:val="both"/>
      </w:pPr>
      <w:r>
        <w:t>H</w:t>
      </w:r>
      <w:r w:rsidRPr="001B2AA2">
        <w:t xml:space="preserve">omogenisation of disparate texts.  </w:t>
      </w:r>
    </w:p>
    <w:p w:rsidR="006A2E06" w:rsidRDefault="006A2E06" w:rsidP="006A2E06">
      <w:pPr>
        <w:spacing w:after="240" w:line="240" w:lineRule="auto"/>
        <w:ind w:left="851" w:right="74"/>
        <w:jc w:val="both"/>
      </w:pPr>
      <w:r>
        <w:t>M</w:t>
      </w:r>
      <w:r w:rsidRPr="001B2AA2">
        <w:t xml:space="preserve">ajority of linked references are </w:t>
      </w:r>
      <w:r>
        <w:t xml:space="preserve">between Zechariah and </w:t>
      </w:r>
      <w:r w:rsidRPr="001B2AA2">
        <w:t xml:space="preserve">Revelation </w:t>
      </w:r>
      <w:r>
        <w:t>but also links between Zechariah and other Old Testament texts.</w:t>
      </w:r>
      <w:r>
        <w:rPr>
          <w:rStyle w:val="EndnoteReference"/>
        </w:rPr>
        <w:endnoteReference w:id="2693"/>
      </w:r>
    </w:p>
    <w:p w:rsidR="006A2E06" w:rsidRDefault="006A2E06" w:rsidP="006A2E06">
      <w:pPr>
        <w:spacing w:after="120" w:line="240" w:lineRule="auto"/>
        <w:ind w:left="1418" w:right="74"/>
        <w:jc w:val="both"/>
      </w:pPr>
      <w:r w:rsidRPr="00EB6577">
        <w:rPr>
          <w:b/>
          <w:i/>
        </w:rPr>
        <w:lastRenderedPageBreak/>
        <w:t>Comment</w:t>
      </w:r>
      <w:r>
        <w:rPr>
          <w:b/>
          <w:i/>
        </w:rPr>
        <w:t xml:space="preserve">: </w:t>
      </w:r>
      <w:r>
        <w:t xml:space="preserve">Four intertestamental references include ‘the Beast’, which is not mentioned in Zechariah.  </w:t>
      </w:r>
      <w:r w:rsidRPr="001B2AA2">
        <w:t xml:space="preserve">Scofield even states that </w:t>
      </w:r>
      <w:r>
        <w:t>the reference to</w:t>
      </w:r>
      <w:r w:rsidRPr="001B2AA2">
        <w:t xml:space="preserve"> the Beast </w:t>
      </w:r>
      <w:r>
        <w:t>in Zech. 11:14 ‘</w:t>
      </w:r>
      <w:r w:rsidRPr="001B2AA2">
        <w:t>is obvious; no other personage in prophecy … meets the description’.</w:t>
      </w:r>
      <w:r>
        <w:rPr>
          <w:rStyle w:val="EndnoteReference"/>
        </w:rPr>
        <w:endnoteReference w:id="2694"/>
      </w:r>
      <w:r w:rsidRPr="001B2AA2">
        <w:t xml:space="preserve">  </w:t>
      </w:r>
      <w:r>
        <w:t>(</w:t>
      </w:r>
      <w:r w:rsidRPr="005C67F6">
        <w:rPr>
          <w:szCs w:val="18"/>
        </w:rPr>
        <w:t>The referent is ‘the foolish shepherd’.</w:t>
      </w:r>
      <w:r>
        <w:rPr>
          <w:szCs w:val="18"/>
        </w:rPr>
        <w:t>)</w:t>
      </w:r>
      <w:r w:rsidRPr="005C67F6">
        <w:rPr>
          <w:szCs w:val="18"/>
        </w:rPr>
        <w:t xml:space="preserve">  </w:t>
      </w:r>
      <w:r w:rsidRPr="001B2AA2">
        <w:t>The association may not be so obvious to others.</w:t>
      </w:r>
      <w:r>
        <w:t xml:space="preserve">  </w:t>
      </w:r>
    </w:p>
    <w:p w:rsidR="006A2E06" w:rsidRPr="00672B16" w:rsidRDefault="006A2E06" w:rsidP="006A2E06">
      <w:pPr>
        <w:spacing w:after="0" w:line="240" w:lineRule="auto"/>
        <w:ind w:left="567" w:right="74"/>
        <w:jc w:val="both"/>
        <w:rPr>
          <w:i/>
        </w:rPr>
      </w:pPr>
      <w:r w:rsidRPr="00672B16">
        <w:rPr>
          <w:i/>
        </w:rPr>
        <w:t>Eschatology</w:t>
      </w:r>
    </w:p>
    <w:p w:rsidR="006A2E06" w:rsidRDefault="006A2E06" w:rsidP="006A2E06">
      <w:pPr>
        <w:spacing w:after="120" w:line="240" w:lineRule="auto"/>
        <w:ind w:left="851" w:right="74"/>
        <w:jc w:val="both"/>
      </w:pPr>
      <w:r>
        <w:t>The term, ‘times of the Gentiles’, so prominent in the notes on Daniel, is not used here, though the note on Zech. 1:18 asserts that the four horns mentioned in this verse are ‘the four-world empires’ of Daniel 2 and 7, the horn being ‘symbolic of a Gentile king’.</w:t>
      </w:r>
      <w:r>
        <w:rPr>
          <w:rStyle w:val="EndnoteReference"/>
        </w:rPr>
        <w:endnoteReference w:id="2695"/>
      </w:r>
    </w:p>
    <w:p w:rsidR="006A2E06" w:rsidRDefault="006A2E06" w:rsidP="006A2E06">
      <w:pPr>
        <w:spacing w:after="120" w:line="240" w:lineRule="auto"/>
        <w:ind w:left="851" w:right="74"/>
        <w:jc w:val="both"/>
      </w:pPr>
      <w:r>
        <w:t>The presence of beast and connection with Armageddon seem to be assumed in the notes on Zech. 10:4</w:t>
      </w:r>
      <w:r>
        <w:rPr>
          <w:rStyle w:val="EndnoteReference"/>
        </w:rPr>
        <w:endnoteReference w:id="2696"/>
      </w:r>
      <w:r>
        <w:t xml:space="preserve"> and 14:4,</w:t>
      </w:r>
      <w:r>
        <w:rPr>
          <w:rStyle w:val="EndnoteReference"/>
        </w:rPr>
        <w:endnoteReference w:id="2697"/>
      </w:r>
      <w:r>
        <w:t xml:space="preserve"> though they are less prominent than in Daniel.</w:t>
      </w:r>
    </w:p>
    <w:p w:rsidR="006A2E06" w:rsidRDefault="006A2E06" w:rsidP="006A2E06">
      <w:pPr>
        <w:spacing w:after="120" w:line="240" w:lineRule="auto"/>
        <w:ind w:left="851" w:right="74"/>
        <w:jc w:val="both"/>
      </w:pPr>
      <w:r>
        <w:t>Further references to Armageddon are found in the notes on Zech. 12:1</w:t>
      </w:r>
      <w:r>
        <w:rPr>
          <w:rStyle w:val="EndnoteReference"/>
        </w:rPr>
        <w:endnoteReference w:id="2698"/>
      </w:r>
      <w:r>
        <w:t xml:space="preserve"> and 13:8.</w:t>
      </w:r>
      <w:r>
        <w:rPr>
          <w:rStyle w:val="EndnoteReference"/>
        </w:rPr>
        <w:endnoteReference w:id="2699"/>
      </w:r>
      <w:r>
        <w:t xml:space="preserve">  </w:t>
      </w:r>
    </w:p>
    <w:p w:rsidR="006A2E06" w:rsidRDefault="006A2E06" w:rsidP="006A2E06">
      <w:pPr>
        <w:spacing w:after="240" w:line="240" w:lineRule="auto"/>
        <w:ind w:left="851" w:right="74"/>
        <w:jc w:val="both"/>
      </w:pPr>
      <w:r>
        <w:t>Most ‘orderings’</w:t>
      </w:r>
      <w:r>
        <w:rPr>
          <w:rStyle w:val="EndnoteReference"/>
        </w:rPr>
        <w:endnoteReference w:id="2700"/>
      </w:r>
      <w:r>
        <w:t xml:space="preserve"> in the annotation of Zechariah are eschatological and include references to the gathering of the nations,</w:t>
      </w:r>
      <w:r>
        <w:rPr>
          <w:rStyle w:val="EndnoteReference"/>
        </w:rPr>
        <w:endnoteReference w:id="2701"/>
      </w:r>
      <w:r>
        <w:t xml:space="preserve"> the siege of Jerusalem,</w:t>
      </w:r>
      <w:r>
        <w:rPr>
          <w:rStyle w:val="EndnoteReference"/>
        </w:rPr>
        <w:endnoteReference w:id="2702"/>
      </w:r>
      <w:r>
        <w:t xml:space="preserve"> Christ’s return,</w:t>
      </w:r>
      <w:r>
        <w:rPr>
          <w:rStyle w:val="EndnoteReference"/>
        </w:rPr>
        <w:endnoteReference w:id="2703"/>
      </w:r>
      <w:r>
        <w:t xml:space="preserve"> and the ensuing battle,</w:t>
      </w:r>
      <w:r>
        <w:rPr>
          <w:rStyle w:val="EndnoteReference"/>
        </w:rPr>
        <w:endnoteReference w:id="2704"/>
      </w:r>
      <w:r>
        <w:t xml:space="preserve"> Israel’s deliverance and restoration,</w:t>
      </w:r>
      <w:r>
        <w:rPr>
          <w:rStyle w:val="EndnoteReference"/>
        </w:rPr>
        <w:endnoteReference w:id="2705"/>
      </w:r>
      <w:r>
        <w:t xml:space="preserve"> divine judgment upon the nations,</w:t>
      </w:r>
      <w:r>
        <w:rPr>
          <w:rStyle w:val="EndnoteReference"/>
        </w:rPr>
        <w:endnoteReference w:id="2706"/>
      </w:r>
      <w:r>
        <w:t xml:space="preserve"> the judgments of ‘the day of the LORD’</w:t>
      </w:r>
      <w:r>
        <w:rPr>
          <w:rStyle w:val="EndnoteReference"/>
        </w:rPr>
        <w:endnoteReference w:id="2707"/>
      </w:r>
      <w:r>
        <w:t xml:space="preserve"> and the kingdom and its blessing.</w:t>
      </w:r>
      <w:r>
        <w:rPr>
          <w:rStyle w:val="EndnoteReference"/>
        </w:rPr>
        <w:endnoteReference w:id="2708"/>
      </w:r>
      <w:r>
        <w:t xml:space="preserve">  </w:t>
      </w:r>
    </w:p>
    <w:p w:rsidR="006A2E06" w:rsidRPr="009A0FA5" w:rsidRDefault="006A2E06" w:rsidP="006A2E06">
      <w:pPr>
        <w:spacing w:after="0" w:line="240" w:lineRule="auto"/>
        <w:ind w:left="567" w:right="74"/>
        <w:jc w:val="both"/>
        <w:rPr>
          <w:i/>
        </w:rPr>
      </w:pPr>
      <w:r w:rsidRPr="009A0FA5">
        <w:rPr>
          <w:i/>
        </w:rPr>
        <w:t>Israel, Judah and Jerusalem</w:t>
      </w:r>
      <w:r>
        <w:rPr>
          <w:i/>
        </w:rPr>
        <w:t>, the Jews</w:t>
      </w:r>
    </w:p>
    <w:p w:rsidR="006A2E06" w:rsidRDefault="006A2E06" w:rsidP="006A2E06">
      <w:pPr>
        <w:spacing w:after="120" w:line="240" w:lineRule="auto"/>
        <w:ind w:left="851" w:right="74"/>
        <w:jc w:val="both"/>
      </w:pPr>
      <w:r>
        <w:t>The note on Zech. 12:8 contains a ‘summary of the kingdom in the Old Testament’.</w:t>
      </w:r>
      <w:r>
        <w:rPr>
          <w:rStyle w:val="EndnoteReference"/>
        </w:rPr>
        <w:endnoteReference w:id="2709"/>
      </w:r>
      <w:r>
        <w:t xml:space="preserve">  </w:t>
      </w:r>
    </w:p>
    <w:p w:rsidR="006A2E06" w:rsidRDefault="006A2E06" w:rsidP="006A2E06">
      <w:pPr>
        <w:spacing w:after="120" w:line="240" w:lineRule="auto"/>
        <w:ind w:left="851" w:right="74"/>
        <w:jc w:val="both"/>
      </w:pPr>
      <w:r>
        <w:t xml:space="preserve">Zechariah’s situation is described in the note on Zech. 1:8 </w:t>
      </w:r>
      <w:r w:rsidRPr="00012B96">
        <w:rPr>
          <w:sz w:val="16"/>
          <w:szCs w:val="24"/>
        </w:rPr>
        <w:t>—</w:t>
      </w:r>
      <w:r>
        <w:t xml:space="preserve"> Judah dispersed and Jerusalem under Gentile domination, a position which still prevails.</w:t>
      </w:r>
      <w:r>
        <w:rPr>
          <w:rStyle w:val="EndnoteReference"/>
        </w:rPr>
        <w:endnoteReference w:id="2710"/>
      </w:r>
      <w:r>
        <w:t xml:space="preserve">  </w:t>
      </w:r>
    </w:p>
    <w:p w:rsidR="006A2E06" w:rsidRDefault="006A2E06" w:rsidP="006A2E06">
      <w:pPr>
        <w:spacing w:after="120" w:line="240" w:lineRule="auto"/>
        <w:ind w:left="851" w:right="74"/>
        <w:jc w:val="both"/>
      </w:pPr>
      <w:r>
        <w:t>Rare reference to prophetic criticism: the people’s fasting was ‘mere religious form’ and ‘they are told why their 70 years’ prayer has not been answered’.</w:t>
      </w:r>
      <w:r>
        <w:rPr>
          <w:rStyle w:val="EndnoteReference"/>
        </w:rPr>
        <w:endnoteReference w:id="2711"/>
      </w:r>
      <w:r>
        <w:t xml:space="preserve">  </w:t>
      </w:r>
    </w:p>
    <w:p w:rsidR="006A2E06" w:rsidRDefault="006A2E06" w:rsidP="006A2E06">
      <w:pPr>
        <w:spacing w:after="120" w:line="240" w:lineRule="auto"/>
        <w:ind w:left="851" w:right="74"/>
        <w:jc w:val="both"/>
      </w:pPr>
      <w:r>
        <w:t>T</w:t>
      </w:r>
      <w:r w:rsidRPr="008827E8">
        <w:t xml:space="preserve">he </w:t>
      </w:r>
      <w:r>
        <w:t xml:space="preserve">scene showing </w:t>
      </w:r>
      <w:r w:rsidRPr="008827E8">
        <w:t>two staves</w:t>
      </w:r>
      <w:r>
        <w:t xml:space="preserve"> belongs to the first advent;</w:t>
      </w:r>
      <w:r>
        <w:rPr>
          <w:rStyle w:val="EndnoteReference"/>
        </w:rPr>
        <w:endnoteReference w:id="2712"/>
      </w:r>
      <w:r>
        <w:t xml:space="preserve"> that is, ‘Beauty’ (i.e. ‘graciousness’, </w:t>
      </w:r>
      <w:r w:rsidRPr="008827E8">
        <w:t>‘God’s attitude to His people Israel</w:t>
      </w:r>
      <w:r>
        <w:t>,</w:t>
      </w:r>
      <w:r w:rsidRPr="008827E8">
        <w:t xml:space="preserve"> in sending His son</w:t>
      </w:r>
      <w:r>
        <w:t>’); and ‘Bands’ (i.e. union’, ‘signifying [God’s] purpose to reunite Judah and Ephraim’).  ‘Christ came with grace … at his first advent to offer union … and was sold for 30 pieces of silver (Zech. 11:12, 13).’  Thus graciousness was ‘cut in sunder,</w:t>
      </w:r>
      <w:r w:rsidRPr="008827E8">
        <w:rPr>
          <w:rStyle w:val="EndnoteReference"/>
        </w:rPr>
        <w:endnoteReference w:id="2713"/>
      </w:r>
      <w:r>
        <w:t xml:space="preserve"> signifying that Judah was abandoned to the destruction foretold in vv. 1-6 and fulfilled in A.D. 70’; ‘Bands’ was thus broken</w:t>
      </w:r>
      <w:r w:rsidRPr="008827E8">
        <w:rPr>
          <w:rStyle w:val="EndnoteReference"/>
        </w:rPr>
        <w:endnoteReference w:id="2714"/>
      </w:r>
      <w:r>
        <w:t xml:space="preserve"> and the purpose to reunite Judah and Israel temporarily abandoned.</w:t>
      </w:r>
      <w:r>
        <w:rPr>
          <w:rStyle w:val="EndnoteReference"/>
        </w:rPr>
        <w:endnoteReference w:id="2715"/>
      </w:r>
    </w:p>
    <w:p w:rsidR="006A2E06" w:rsidRDefault="006A2E06" w:rsidP="006A2E06">
      <w:pPr>
        <w:spacing w:after="120" w:line="240" w:lineRule="auto"/>
        <w:ind w:left="851" w:right="74"/>
        <w:jc w:val="both"/>
      </w:pPr>
      <w:r>
        <w:t xml:space="preserve">Judah suffered the prophesied destruction in 70 A.D.  </w:t>
      </w:r>
    </w:p>
    <w:p w:rsidR="006A2E06" w:rsidRPr="00CB7649" w:rsidRDefault="006A2E06" w:rsidP="006A2E06">
      <w:pPr>
        <w:spacing w:after="120" w:line="240" w:lineRule="auto"/>
        <w:ind w:left="851" w:right="74"/>
        <w:jc w:val="both"/>
      </w:pPr>
      <w:r>
        <w:t>Judah and Israel remain divided.</w:t>
      </w:r>
      <w:r>
        <w:rPr>
          <w:rStyle w:val="EndnoteReference"/>
        </w:rPr>
        <w:endnoteReference w:id="2716"/>
      </w:r>
      <w:r>
        <w:t xml:space="preserve">  </w:t>
      </w:r>
    </w:p>
    <w:p w:rsidR="006A2E06" w:rsidRDefault="006A2E06" w:rsidP="006A2E06">
      <w:pPr>
        <w:spacing w:after="120" w:line="240" w:lineRule="auto"/>
        <w:ind w:left="851" w:right="74"/>
        <w:jc w:val="both"/>
      </w:pPr>
      <w:r>
        <w:t>Israel, Jerusalem and the temple are to be restored,</w:t>
      </w:r>
      <w:r>
        <w:rPr>
          <w:rStyle w:val="EndnoteReference"/>
        </w:rPr>
        <w:endnoteReference w:id="2717"/>
      </w:r>
      <w:r>
        <w:t xml:space="preserve"> following ‘godly sorrow’ and the ‘cleansing fountains’</w:t>
      </w:r>
      <w:r>
        <w:rPr>
          <w:rStyle w:val="EndnoteReference"/>
        </w:rPr>
        <w:endnoteReference w:id="2718"/>
      </w:r>
      <w:r>
        <w:t xml:space="preserve"> ‘to be </w:t>
      </w:r>
      <w:r w:rsidRPr="00F15579">
        <w:t xml:space="preserve">opened </w:t>
      </w:r>
      <w:r w:rsidRPr="00F15579">
        <w:rPr>
          <w:i/>
        </w:rPr>
        <w:t>effectually</w:t>
      </w:r>
      <w:r w:rsidRPr="00F15579">
        <w:t xml:space="preserve"> to Israel</w:t>
      </w:r>
      <w:r>
        <w:t>’.</w:t>
      </w:r>
      <w:r>
        <w:rPr>
          <w:rStyle w:val="EndnoteReference"/>
        </w:rPr>
        <w:endnoteReference w:id="2719"/>
      </w:r>
      <w:r>
        <w:t xml:space="preserve">  </w:t>
      </w:r>
    </w:p>
    <w:p w:rsidR="006A2E06" w:rsidRDefault="006A2E06" w:rsidP="006A2E06">
      <w:pPr>
        <w:spacing w:after="120" w:line="240" w:lineRule="auto"/>
        <w:ind w:left="851" w:right="74"/>
        <w:jc w:val="both"/>
      </w:pPr>
      <w:r>
        <w:t>There will be ‘a mighty effusion of the Spirit upon restored Israel’.</w:t>
      </w:r>
      <w:r>
        <w:rPr>
          <w:rStyle w:val="EndnoteReference"/>
        </w:rPr>
        <w:endnoteReference w:id="2720"/>
      </w:r>
      <w:r>
        <w:t xml:space="preserve">  </w:t>
      </w:r>
    </w:p>
    <w:p w:rsidR="006A2E06" w:rsidRDefault="006A2E06" w:rsidP="006A2E06">
      <w:pPr>
        <w:spacing w:after="120" w:line="240" w:lineRule="auto"/>
        <w:ind w:left="851" w:right="74"/>
        <w:jc w:val="both"/>
      </w:pPr>
      <w:r>
        <w:t>The measuring-line in Zech. 2:1 is symbolic of the preparation for rebuilding the city and temple in the kingdom-age; ‘in no sense has this prophecy been fulfilled’.</w:t>
      </w:r>
      <w:r>
        <w:rPr>
          <w:rStyle w:val="EndnoteReference"/>
        </w:rPr>
        <w:endnoteReference w:id="2721"/>
      </w:r>
      <w:r>
        <w:t xml:space="preserve">  </w:t>
      </w:r>
    </w:p>
    <w:p w:rsidR="006A2E06" w:rsidRDefault="006A2E06" w:rsidP="006A2E06">
      <w:pPr>
        <w:spacing w:after="120" w:line="240" w:lineRule="auto"/>
        <w:ind w:left="851" w:right="74"/>
        <w:jc w:val="both"/>
      </w:pPr>
      <w:r>
        <w:t>The Jews’ previous ‘refusal to abandon self-righteousness for God’s righteousness’ had prevented their acknowledgment of the presence of God’s “Branch” at Christ’s first advent but the vision in Zech. 3:1 is a type of Israel’s future preparation for receiving him as Priest-King.</w:t>
      </w:r>
      <w:r>
        <w:rPr>
          <w:rStyle w:val="EndnoteReference"/>
        </w:rPr>
        <w:endnoteReference w:id="2722"/>
      </w:r>
      <w:r>
        <w:t xml:space="preserve">  </w:t>
      </w:r>
    </w:p>
    <w:p w:rsidR="006A2E06" w:rsidRDefault="006A2E06" w:rsidP="006A2E06">
      <w:pPr>
        <w:spacing w:after="120" w:line="240" w:lineRule="auto"/>
        <w:ind w:left="851" w:right="74"/>
        <w:jc w:val="both"/>
      </w:pPr>
      <w:r>
        <w:t>Israel will achieve security when the kingdom appears.</w:t>
      </w:r>
      <w:r>
        <w:rPr>
          <w:rStyle w:val="EndnoteReference"/>
        </w:rPr>
        <w:endnoteReference w:id="2723"/>
      </w:r>
      <w:r>
        <w:t xml:space="preserve"> </w:t>
      </w:r>
    </w:p>
    <w:p w:rsidR="006A2E06" w:rsidRDefault="006A2E06" w:rsidP="006A2E06">
      <w:pPr>
        <w:spacing w:after="120" w:line="240" w:lineRule="auto"/>
        <w:ind w:left="851" w:right="74"/>
        <w:jc w:val="both"/>
      </w:pPr>
      <w:r>
        <w:t>Jerusalem is to become ‘the centre of the world’s worship’</w:t>
      </w:r>
      <w:r>
        <w:rPr>
          <w:rStyle w:val="EndnoteReference"/>
        </w:rPr>
        <w:endnoteReference w:id="2724"/>
      </w:r>
      <w:r>
        <w:t xml:space="preserve"> and its religious centre. </w:t>
      </w:r>
    </w:p>
    <w:p w:rsidR="006A2E06" w:rsidRDefault="006A2E06" w:rsidP="006A2E06">
      <w:pPr>
        <w:spacing w:after="240" w:line="240" w:lineRule="auto"/>
        <w:ind w:left="851" w:right="74"/>
        <w:jc w:val="both"/>
      </w:pPr>
      <w:r>
        <w:t>God’s purpose to bless Israel in the kingdom is unchanged.</w:t>
      </w:r>
      <w:r>
        <w:rPr>
          <w:rStyle w:val="EndnoteReference"/>
        </w:rPr>
        <w:endnoteReference w:id="2725"/>
      </w:r>
    </w:p>
    <w:p w:rsidR="00207242" w:rsidRDefault="00207242" w:rsidP="006A2E06">
      <w:pPr>
        <w:spacing w:after="240" w:line="240" w:lineRule="auto"/>
        <w:ind w:left="851" w:right="74"/>
        <w:jc w:val="both"/>
      </w:pPr>
    </w:p>
    <w:p w:rsidR="006A2E06" w:rsidRDefault="006A2E06" w:rsidP="006A2E06">
      <w:pPr>
        <w:spacing w:after="0" w:line="240" w:lineRule="auto"/>
        <w:ind w:right="74" w:firstLine="567"/>
        <w:jc w:val="both"/>
        <w:rPr>
          <w:i/>
        </w:rPr>
      </w:pPr>
      <w:r w:rsidRPr="0079778D">
        <w:rPr>
          <w:i/>
        </w:rPr>
        <w:lastRenderedPageBreak/>
        <w:t>The Gentiles</w:t>
      </w:r>
    </w:p>
    <w:p w:rsidR="006A2E06" w:rsidRDefault="006A2E06" w:rsidP="006A2E06">
      <w:pPr>
        <w:spacing w:after="240" w:line="240" w:lineRule="auto"/>
        <w:ind w:left="851" w:right="74"/>
        <w:jc w:val="both"/>
      </w:pPr>
      <w:r>
        <w:t>References mainly concern the end of Gentile domination</w:t>
      </w:r>
      <w:r>
        <w:rPr>
          <w:rStyle w:val="EndnoteReference"/>
        </w:rPr>
        <w:endnoteReference w:id="2726"/>
      </w:r>
      <w:r>
        <w:t xml:space="preserve"> and the judgment of the Gentile nations.</w:t>
      </w:r>
      <w:r>
        <w:rPr>
          <w:rStyle w:val="EndnoteReference"/>
        </w:rPr>
        <w:endnoteReference w:id="2727"/>
      </w:r>
      <w:r>
        <w:t xml:space="preserve">    </w:t>
      </w:r>
    </w:p>
    <w:p w:rsidR="006A2E06" w:rsidRPr="005C72A4" w:rsidRDefault="006A2E06" w:rsidP="006A2E06">
      <w:pPr>
        <w:spacing w:after="0" w:line="240" w:lineRule="auto"/>
        <w:ind w:right="74" w:firstLine="567"/>
        <w:jc w:val="both"/>
      </w:pPr>
      <w:r w:rsidRPr="005E4FC7">
        <w:rPr>
          <w:i/>
        </w:rPr>
        <w:t>Dualism</w:t>
      </w:r>
    </w:p>
    <w:p w:rsidR="006A2E06" w:rsidRDefault="006A2E06" w:rsidP="006A2E06">
      <w:pPr>
        <w:spacing w:after="240" w:line="240" w:lineRule="auto"/>
        <w:ind w:left="851" w:right="74"/>
        <w:jc w:val="both"/>
      </w:pPr>
      <w:r>
        <w:t xml:space="preserve">The </w:t>
      </w:r>
      <w:r w:rsidRPr="005E4FC7">
        <w:t>‘</w:t>
      </w:r>
      <w:r>
        <w:t>p</w:t>
      </w:r>
      <w:r w:rsidRPr="005E4FC7">
        <w:t>oor of the flock’</w:t>
      </w:r>
      <w:r>
        <w:rPr>
          <w:rStyle w:val="EndnoteReference"/>
        </w:rPr>
        <w:endnoteReference w:id="2728"/>
      </w:r>
      <w:r w:rsidRPr="005E4FC7">
        <w:t xml:space="preserve"> </w:t>
      </w:r>
      <w:r>
        <w:t>are identified</w:t>
      </w:r>
      <w:r w:rsidRPr="005E4FC7">
        <w:t xml:space="preserve"> as believing Jews from Christ’s first advent ‘and since’.</w:t>
      </w:r>
      <w:r w:rsidRPr="005E4FC7">
        <w:rPr>
          <w:rStyle w:val="EndnoteReference"/>
        </w:rPr>
        <w:endnoteReference w:id="2729"/>
      </w:r>
      <w:r w:rsidRPr="005E4FC7">
        <w:t xml:space="preserve">  </w:t>
      </w:r>
      <w:r>
        <w:t xml:space="preserve">The term </w:t>
      </w:r>
      <w:r w:rsidRPr="005E4FC7">
        <w:t xml:space="preserve">does not signify Gentiles or </w:t>
      </w:r>
      <w:r>
        <w:t xml:space="preserve">the </w:t>
      </w:r>
      <w:r w:rsidRPr="005E4FC7">
        <w:t xml:space="preserve">Gentile church but only believers </w:t>
      </w:r>
      <w:r>
        <w:t>from</w:t>
      </w:r>
      <w:r w:rsidRPr="005E4FC7">
        <w:t xml:space="preserve"> Israel during this age</w:t>
      </w:r>
      <w:r>
        <w:t>.</w:t>
      </w:r>
    </w:p>
    <w:p w:rsidR="006A2E06" w:rsidRDefault="006A2E06" w:rsidP="006A2E06">
      <w:pPr>
        <w:spacing w:after="0" w:line="240" w:lineRule="auto"/>
        <w:ind w:right="74" w:firstLine="567"/>
        <w:jc w:val="both"/>
        <w:rPr>
          <w:i/>
        </w:rPr>
      </w:pPr>
      <w:r>
        <w:rPr>
          <w:i/>
        </w:rPr>
        <w:t>Christology</w:t>
      </w:r>
    </w:p>
    <w:p w:rsidR="006A2E06" w:rsidRDefault="006A2E06" w:rsidP="006A2E06">
      <w:pPr>
        <w:spacing w:after="120" w:line="240" w:lineRule="auto"/>
        <w:ind w:left="851" w:right="74"/>
        <w:jc w:val="both"/>
      </w:pPr>
      <w:r>
        <w:t>References to Christ’s first advent in notes on Zech. 3:1,</w:t>
      </w:r>
      <w:r>
        <w:rPr>
          <w:rStyle w:val="EndnoteReference"/>
        </w:rPr>
        <w:endnoteReference w:id="2730"/>
      </w:r>
      <w:r>
        <w:t xml:space="preserve"> 9:9 and 11:7.  </w:t>
      </w:r>
    </w:p>
    <w:p w:rsidR="006A2E06" w:rsidRDefault="006A2E06" w:rsidP="006A2E06">
      <w:pPr>
        <w:spacing w:after="120" w:line="240" w:lineRule="auto"/>
        <w:ind w:left="851" w:right="74"/>
        <w:jc w:val="both"/>
      </w:pPr>
      <w:r>
        <w:t xml:space="preserve">Assertion that </w:t>
      </w:r>
      <w:r w:rsidRPr="00CB7649">
        <w:t>‘except in Zechariah 9:9, the present age is not seen in Zechariah’</w:t>
      </w:r>
      <w:r>
        <w:t>.</w:t>
      </w:r>
      <w:r w:rsidRPr="00CB7649">
        <w:rPr>
          <w:rStyle w:val="EndnoteReference"/>
        </w:rPr>
        <w:endnoteReference w:id="2731"/>
      </w:r>
    </w:p>
    <w:p w:rsidR="006A2E06" w:rsidRDefault="006A2E06" w:rsidP="006A2E06">
      <w:pPr>
        <w:spacing w:after="120" w:line="240" w:lineRule="auto"/>
        <w:ind w:left="1418" w:right="74"/>
        <w:jc w:val="both"/>
      </w:pPr>
      <w:r w:rsidRPr="00097321">
        <w:rPr>
          <w:b/>
          <w:i/>
          <w:spacing w:val="4"/>
        </w:rPr>
        <w:t>Comment</w:t>
      </w:r>
      <w:r w:rsidRPr="00097321">
        <w:rPr>
          <w:spacing w:val="4"/>
        </w:rPr>
        <w:t>: This assertion contradicts Scofield’s association of the two staves of Zech.</w:t>
      </w:r>
      <w:r>
        <w:t xml:space="preserve"> 11:7-14 with</w:t>
      </w:r>
      <w:r w:rsidRPr="00CB7649">
        <w:t xml:space="preserve"> graciousness and betrayal during Christ’s first advent.</w:t>
      </w:r>
      <w:r>
        <w:rPr>
          <w:rStyle w:val="EndnoteReference"/>
        </w:rPr>
        <w:endnoteReference w:id="2732"/>
      </w:r>
      <w:r>
        <w:t xml:space="preserve">  </w:t>
      </w:r>
      <w:r w:rsidRPr="00CB7649">
        <w:t>Scofield’s statement about Zech. 9:9 may reflect his belief that Christ’s ministry up to his death took place within the dispensation of law and that the church age only began at the crucifixion.</w:t>
      </w:r>
      <w:r>
        <w:rPr>
          <w:rStyle w:val="EndnoteReference"/>
        </w:rPr>
        <w:endnoteReference w:id="2733"/>
      </w:r>
      <w:r w:rsidRPr="00CB7649">
        <w:t xml:space="preserve">  This in itself would be contradictory because Scofield’s association of Zech. 9:9 with Christ’s entry into Jerusalem would place that event within the ‘present age’ and destroy his argument.</w:t>
      </w:r>
    </w:p>
    <w:p w:rsidR="006A2E06" w:rsidRDefault="006A2E06" w:rsidP="006A2E06">
      <w:pPr>
        <w:spacing w:after="120" w:line="240" w:lineRule="auto"/>
        <w:ind w:left="851" w:right="74"/>
        <w:jc w:val="both"/>
      </w:pPr>
      <w:r>
        <w:t>Assertion that ‘the scene’ involving ‘Beauty’ and ‘Bands’ in Zechariah 11 ‘belongs to the first advent’;</w:t>
      </w:r>
      <w:r>
        <w:rPr>
          <w:rStyle w:val="EndnoteReference"/>
        </w:rPr>
        <w:endnoteReference w:id="2734"/>
      </w:r>
      <w:r>
        <w:t xml:space="preserve"> as stated above, the imagery is strongly associated with Christ’s betrayal.  </w:t>
      </w:r>
    </w:p>
    <w:p w:rsidR="006A2E06" w:rsidRDefault="006A2E06" w:rsidP="006A2E06">
      <w:pPr>
        <w:spacing w:after="120" w:line="240" w:lineRule="auto"/>
        <w:ind w:left="851" w:right="74"/>
        <w:jc w:val="both"/>
      </w:pPr>
      <w:r>
        <w:t>Joshua and Zerubbabel in Zechariah 4 ‘point to Christ as Priest-King in the kingdom-age’, in the ‘last days’ of the present age</w:t>
      </w:r>
      <w:r>
        <w:rPr>
          <w:rStyle w:val="EndnoteReference"/>
        </w:rPr>
        <w:endnoteReference w:id="2735"/>
      </w:r>
      <w:r>
        <w:t xml:space="preserve"> and on His own throne’.</w:t>
      </w:r>
      <w:r>
        <w:rPr>
          <w:rStyle w:val="EndnoteReference"/>
        </w:rPr>
        <w:endnoteReference w:id="2736"/>
      </w:r>
      <w:r>
        <w:t xml:space="preserve">  </w:t>
      </w:r>
    </w:p>
    <w:p w:rsidR="006A2E06" w:rsidRDefault="006A2E06" w:rsidP="006A2E06">
      <w:pPr>
        <w:spacing w:after="120" w:line="240" w:lineRule="auto"/>
        <w:ind w:left="851" w:right="74"/>
        <w:jc w:val="both"/>
      </w:pPr>
      <w:r>
        <w:t>Christ’s ‘manifestation in glory’, his second advent, follows ‘earth-judgments’ symbolised by the chariots and horses in Zechariah 6.</w:t>
      </w:r>
      <w:r>
        <w:rPr>
          <w:rStyle w:val="EndnoteReference"/>
        </w:rPr>
        <w:endnoteReference w:id="2737"/>
      </w:r>
      <w:r>
        <w:t xml:space="preserve">  </w:t>
      </w:r>
    </w:p>
    <w:p w:rsidR="006A2E06" w:rsidRDefault="006A2E06" w:rsidP="006A2E06">
      <w:pPr>
        <w:spacing w:after="120" w:line="240" w:lineRule="auto"/>
        <w:ind w:left="851" w:right="74"/>
        <w:jc w:val="both"/>
      </w:pPr>
      <w:r>
        <w:t>The scene in Zechariah 10 represents the final deliverance of Israel at Christ’s return.</w:t>
      </w:r>
      <w:r>
        <w:rPr>
          <w:rStyle w:val="EndnoteReference"/>
        </w:rPr>
        <w:endnoteReference w:id="2738"/>
      </w:r>
      <w:r>
        <w:t xml:space="preserve"> </w:t>
      </w:r>
    </w:p>
    <w:p w:rsidR="006A2E06" w:rsidRDefault="006A2E06" w:rsidP="006A2E06">
      <w:pPr>
        <w:spacing w:after="120" w:line="240" w:lineRule="auto"/>
        <w:ind w:left="851" w:right="74"/>
        <w:jc w:val="both"/>
      </w:pPr>
      <w:r>
        <w:t xml:space="preserve">The general theme in Zechariah 12 </w:t>
      </w:r>
      <w:r w:rsidRPr="00012B96">
        <w:rPr>
          <w:sz w:val="16"/>
          <w:szCs w:val="24"/>
        </w:rPr>
        <w:t>—</w:t>
      </w:r>
      <w:r>
        <w:rPr>
          <w:sz w:val="16"/>
          <w:szCs w:val="24"/>
        </w:rPr>
        <w:t xml:space="preserve"> </w:t>
      </w:r>
      <w:r>
        <w:t>14 is ‘return of the Lord and establishment of kingdom’.</w:t>
      </w:r>
      <w:r>
        <w:rPr>
          <w:rStyle w:val="EndnoteReference"/>
        </w:rPr>
        <w:endnoteReference w:id="2739"/>
      </w:r>
      <w:r>
        <w:t xml:space="preserve">  </w:t>
      </w:r>
    </w:p>
    <w:p w:rsidR="006A2E06" w:rsidRDefault="006A2E06" w:rsidP="006A2E06">
      <w:pPr>
        <w:spacing w:after="120" w:line="240" w:lineRule="auto"/>
        <w:ind w:left="851" w:right="74"/>
        <w:jc w:val="both"/>
      </w:pPr>
      <w:r>
        <w:t>The note on Zech. 13:8, describes Christ’s ‘return to the Mount of Olives and physical change of the scene in [Zech. 13:] 9-21’.</w:t>
      </w:r>
      <w:r>
        <w:rPr>
          <w:rStyle w:val="EndnoteReference"/>
        </w:rPr>
        <w:endnoteReference w:id="2740"/>
      </w:r>
      <w:r>
        <w:t xml:space="preserve">  </w:t>
      </w:r>
    </w:p>
    <w:p w:rsidR="006A2E06" w:rsidRDefault="006A2E06" w:rsidP="006A2E06">
      <w:pPr>
        <w:spacing w:after="240" w:line="240" w:lineRule="auto"/>
        <w:ind w:left="851" w:right="74"/>
        <w:jc w:val="both"/>
      </w:pPr>
      <w:r>
        <w:t xml:space="preserve">Assertion </w:t>
      </w:r>
      <w:r w:rsidRPr="006E31A2">
        <w:t xml:space="preserve">that none of the events of Zechariah 14 concerning the Mount of Olives occurred at </w:t>
      </w:r>
      <w:r>
        <w:t>Christ’s</w:t>
      </w:r>
      <w:r w:rsidRPr="006E31A2">
        <w:t xml:space="preserve"> first coming.</w:t>
      </w:r>
      <w:r w:rsidRPr="006E31A2">
        <w:rPr>
          <w:rStyle w:val="EndnoteReference"/>
        </w:rPr>
        <w:endnoteReference w:id="2741"/>
      </w:r>
    </w:p>
    <w:p w:rsidR="006A2E06" w:rsidRPr="009A0FA5" w:rsidRDefault="006A2E06" w:rsidP="006A2E06">
      <w:pPr>
        <w:spacing w:after="0" w:line="240" w:lineRule="auto"/>
        <w:ind w:left="567" w:right="74"/>
        <w:jc w:val="both"/>
        <w:rPr>
          <w:i/>
        </w:rPr>
      </w:pPr>
      <w:r w:rsidRPr="009A0FA5">
        <w:rPr>
          <w:i/>
        </w:rPr>
        <w:t>Types and other Non-Typological Comparisons</w:t>
      </w:r>
    </w:p>
    <w:p w:rsidR="006A2E06" w:rsidRDefault="006A2E06" w:rsidP="006A2E06">
      <w:pPr>
        <w:spacing w:after="120" w:line="240" w:lineRule="auto"/>
        <w:ind w:left="851" w:right="74"/>
        <w:jc w:val="both"/>
      </w:pPr>
      <w:r>
        <w:t>The carpenters in Zech. 1:20 ‘may stand for Jehovah’s “four sore judgments” … the four horses of Revelation 6’.</w:t>
      </w:r>
      <w:r>
        <w:rPr>
          <w:rStyle w:val="EndnoteReference"/>
        </w:rPr>
        <w:endnoteReference w:id="2742"/>
      </w:r>
      <w:r>
        <w:t xml:space="preserve">  </w:t>
      </w:r>
    </w:p>
    <w:p w:rsidR="006A2E06" w:rsidRDefault="006A2E06" w:rsidP="006A2E06">
      <w:pPr>
        <w:spacing w:after="120" w:line="240" w:lineRule="auto"/>
        <w:ind w:left="851" w:right="74"/>
        <w:jc w:val="both"/>
      </w:pPr>
      <w:r>
        <w:t>Oil symbolises the Holy Spirit.</w:t>
      </w:r>
      <w:r>
        <w:rPr>
          <w:rStyle w:val="EndnoteReference"/>
        </w:rPr>
        <w:endnoteReference w:id="2743"/>
      </w:r>
    </w:p>
    <w:p w:rsidR="006A2E06" w:rsidRDefault="006A2E06" w:rsidP="006A2E06">
      <w:pPr>
        <w:spacing w:after="120" w:line="240" w:lineRule="auto"/>
        <w:ind w:left="851" w:right="74"/>
        <w:jc w:val="both"/>
      </w:pPr>
      <w:r>
        <w:t>The ‘fast day’ in memory of the destruction of Jerusalem is ‘extra-Biblical, formal and futile’, ‘like much in modern pseudo-Christianity’.</w:t>
      </w:r>
      <w:r>
        <w:rPr>
          <w:rStyle w:val="EndnoteReference"/>
        </w:rPr>
        <w:endnoteReference w:id="2744"/>
      </w:r>
      <w:r>
        <w:t xml:space="preserve">  </w:t>
      </w:r>
    </w:p>
    <w:p w:rsidR="006A2E06" w:rsidRDefault="006A2E06" w:rsidP="006A2E06">
      <w:pPr>
        <w:spacing w:after="120" w:line="240" w:lineRule="auto"/>
        <w:ind w:left="851" w:right="74"/>
        <w:jc w:val="both"/>
      </w:pPr>
      <w:r>
        <w:t>The four chariots and horses are likely to represent the four angels of Revelation 7 and 9.</w:t>
      </w:r>
      <w:r>
        <w:rPr>
          <w:rStyle w:val="EndnoteReference"/>
        </w:rPr>
        <w:endnoteReference w:id="2745"/>
      </w:r>
    </w:p>
    <w:p w:rsidR="006A2E06" w:rsidRDefault="006A2E06" w:rsidP="006A2E06">
      <w:pPr>
        <w:spacing w:after="120" w:line="240" w:lineRule="auto"/>
        <w:ind w:left="851" w:right="74"/>
        <w:jc w:val="both"/>
      </w:pPr>
      <w:r>
        <w:t>Typological references to the two witnesses, Prince Messiah</w:t>
      </w:r>
      <w:r>
        <w:rPr>
          <w:rStyle w:val="EndnoteReference"/>
        </w:rPr>
        <w:endnoteReference w:id="2746"/>
      </w:r>
      <w:r>
        <w:t xml:space="preserve"> and ‘the Babylon phase of the apostate church’</w:t>
      </w:r>
      <w:r>
        <w:rPr>
          <w:rStyle w:val="EndnoteReference"/>
        </w:rPr>
        <w:endnoteReference w:id="2747"/>
      </w:r>
      <w:r>
        <w:t xml:space="preserve"> were discussed in Chapter 2.</w:t>
      </w:r>
    </w:p>
    <w:p w:rsidR="006A2E06" w:rsidRPr="00937CDD" w:rsidRDefault="006A2E06" w:rsidP="006A2E06">
      <w:pPr>
        <w:spacing w:after="120" w:line="360" w:lineRule="auto"/>
        <w:ind w:right="71"/>
        <w:jc w:val="both"/>
        <w:rPr>
          <w:b/>
          <w:i/>
        </w:rPr>
      </w:pPr>
      <w:r w:rsidRPr="00937CDD">
        <w:rPr>
          <w:b/>
          <w:i/>
        </w:rPr>
        <w:t>Comments</w:t>
      </w:r>
    </w:p>
    <w:p w:rsidR="006A2E06" w:rsidRDefault="006A2E06" w:rsidP="006A2E06">
      <w:pPr>
        <w:spacing w:after="120" w:line="360" w:lineRule="auto"/>
        <w:jc w:val="both"/>
      </w:pPr>
      <w:r>
        <w:t>In his note on Zech. 8:14, Scofield is correct in saying that ‘</w:t>
      </w:r>
      <w:r w:rsidRPr="00E73925">
        <w:rPr>
          <w:i/>
        </w:rPr>
        <w:t>nacham</w:t>
      </w:r>
      <w:r>
        <w:t>’ can mean ‘to be “eased” or “comforted”’.</w:t>
      </w:r>
      <w:r w:rsidRPr="00FC18CD">
        <w:rPr>
          <w:rStyle w:val="EndnoteReference"/>
        </w:rPr>
        <w:t xml:space="preserve"> </w:t>
      </w:r>
      <w:r>
        <w:rPr>
          <w:rStyle w:val="EndnoteReference"/>
        </w:rPr>
        <w:endnoteReference w:id="2748"/>
      </w:r>
      <w:r>
        <w:t xml:space="preserve">  This is a correct translation when the Hebrew verb is in the piel or pual, but the form in Zech. 8:14 is the niphal and here it does mean ‘to be sorry’, ie ‘repent’ as given in translations such as </w:t>
      </w:r>
      <w:r w:rsidRPr="00E73925">
        <w:rPr>
          <w:i/>
        </w:rPr>
        <w:t>KJV</w:t>
      </w:r>
      <w:r>
        <w:t xml:space="preserve">.  </w:t>
      </w:r>
    </w:p>
    <w:p w:rsidR="006A2E06" w:rsidRDefault="006A2E06" w:rsidP="006A2E06">
      <w:pPr>
        <w:spacing w:after="120" w:line="360" w:lineRule="auto"/>
        <w:ind w:right="71" w:firstLine="567"/>
        <w:jc w:val="both"/>
      </w:pPr>
      <w:r>
        <w:lastRenderedPageBreak/>
        <w:t>Scofield refers to ‘the remnant’ in notes on five verses in Zechariah but the word has basically two different meanings.  In his notes on Zech. 8:6</w:t>
      </w:r>
      <w:r>
        <w:rPr>
          <w:rStyle w:val="EndnoteReference"/>
        </w:rPr>
        <w:endnoteReference w:id="2749"/>
      </w:r>
      <w:r>
        <w:t xml:space="preserve"> and 12:8, Scofield refers to ‘the remnant of Judah who returned from Babylon’,</w:t>
      </w:r>
      <w:r>
        <w:rPr>
          <w:rStyle w:val="EndnoteReference"/>
        </w:rPr>
        <w:endnoteReference w:id="2750"/>
      </w:r>
      <w:r>
        <w:t xml:space="preserve"> under Zerubbabel.</w:t>
      </w:r>
      <w:r>
        <w:rPr>
          <w:rStyle w:val="EndnoteReference"/>
        </w:rPr>
        <w:endnoteReference w:id="2751"/>
      </w:r>
      <w:r>
        <w:t xml:space="preserve">  In the notes on Zech. 11:11, 12:1 and 13:8, he refers to ‘the poor of the flock’, Jews who had not waited for Christ’s manifestation in glory, but believed in him at his first advent ‘and since’.</w:t>
      </w:r>
      <w:r>
        <w:rPr>
          <w:rStyle w:val="EndnoteReference"/>
        </w:rPr>
        <w:endnoteReference w:id="2752"/>
      </w:r>
      <w:r>
        <w:t xml:space="preserve">  After their suffering in the time </w:t>
      </w:r>
      <w:r w:rsidRPr="00A40CE7">
        <w:rPr>
          <w:i/>
        </w:rPr>
        <w:t>preceding</w:t>
      </w:r>
      <w:r>
        <w:t xml:space="preserve"> the great battle,</w:t>
      </w:r>
      <w:r>
        <w:rPr>
          <w:rStyle w:val="EndnoteReference"/>
        </w:rPr>
        <w:endnoteReference w:id="2753"/>
      </w:r>
      <w:r>
        <w:t xml:space="preserve"> Christ is to be revealed to them personally.</w:t>
      </w:r>
      <w:r>
        <w:rPr>
          <w:rStyle w:val="EndnoteReference"/>
        </w:rPr>
        <w:endnoteReference w:id="2754"/>
      </w:r>
      <w:r>
        <w:t xml:space="preserve">  It is not made clear why Scofield uses the same terminology for two different groups but it can be seen that these are Jews who remained faithful in the two situations of suffering, the Babylonian exile being seen as paralleled by the great tribulation.</w:t>
      </w:r>
    </w:p>
    <w:p w:rsidR="006A2E06" w:rsidRDefault="00F96441" w:rsidP="006A2E06">
      <w:pPr>
        <w:spacing w:after="120" w:line="360" w:lineRule="auto"/>
        <w:jc w:val="both"/>
        <w:rPr>
          <w:b/>
          <w:i/>
        </w:rPr>
      </w:pPr>
      <w:r>
        <w:rPr>
          <w:b/>
        </w:rPr>
        <w:t>8.4.16</w:t>
      </w:r>
      <w:r w:rsidR="006A2E06" w:rsidRPr="00C94929">
        <w:rPr>
          <w:b/>
          <w:i/>
        </w:rPr>
        <w:t xml:space="preserve">  </w:t>
      </w:r>
      <w:r w:rsidR="006A2E06" w:rsidRPr="00F96441">
        <w:rPr>
          <w:b/>
        </w:rPr>
        <w:t>Malachi</w:t>
      </w:r>
    </w:p>
    <w:p w:rsidR="006A2E06" w:rsidRPr="00661D74" w:rsidRDefault="006A2E06" w:rsidP="006A2E06">
      <w:pPr>
        <w:spacing w:after="120" w:line="360" w:lineRule="auto"/>
        <w:ind w:right="74"/>
        <w:jc w:val="both"/>
        <w:rPr>
          <w:b/>
          <w:i/>
        </w:rPr>
      </w:pPr>
      <w:r w:rsidRPr="00661D74">
        <w:rPr>
          <w:b/>
          <w:i/>
        </w:rPr>
        <w:t>Introduction</w:t>
      </w:r>
      <w:r>
        <w:rPr>
          <w:b/>
          <w:i/>
        </w:rPr>
        <w:t>:</w:t>
      </w:r>
      <w:r>
        <w:rPr>
          <w:rStyle w:val="EndnoteReference"/>
        </w:rPr>
        <w:endnoteReference w:id="2755"/>
      </w:r>
      <w:r>
        <w:rPr>
          <w:b/>
          <w:i/>
        </w:rPr>
        <w:t xml:space="preserve"> Key Points</w:t>
      </w:r>
    </w:p>
    <w:p w:rsidR="006A2E06" w:rsidRDefault="006A2E06" w:rsidP="006A2E06">
      <w:pPr>
        <w:spacing w:after="120" w:line="240" w:lineRule="auto"/>
        <w:ind w:left="567" w:right="74"/>
        <w:jc w:val="both"/>
      </w:pPr>
      <w:r>
        <w:t>Themes: God’s</w:t>
      </w:r>
      <w:r w:rsidRPr="005D00B9">
        <w:t xml:space="preserve"> love for Israel, rebuke of the sins of priests and people, and the day of the LORD.</w:t>
      </w:r>
      <w:r>
        <w:t xml:space="preserve">  </w:t>
      </w:r>
    </w:p>
    <w:p w:rsidR="006A2E06" w:rsidRDefault="006A2E06" w:rsidP="006A2E06">
      <w:pPr>
        <w:spacing w:after="120" w:line="240" w:lineRule="auto"/>
        <w:ind w:left="567" w:right="74"/>
        <w:jc w:val="both"/>
      </w:pPr>
      <w:r w:rsidRPr="005D00B9">
        <w:t>Malachi gives God’s moral judgment on th</w:t>
      </w:r>
      <w:r>
        <w:t>e</w:t>
      </w:r>
      <w:r w:rsidRPr="005D00B9">
        <w:t xml:space="preserve"> remnant, </w:t>
      </w:r>
      <w:r>
        <w:t xml:space="preserve">restored under Ezra and Nehemiah, </w:t>
      </w:r>
      <w:r w:rsidRPr="005D00B9">
        <w:t xml:space="preserve">whose worship </w:t>
      </w:r>
      <w:r>
        <w:t>had become</w:t>
      </w:r>
      <w:r w:rsidRPr="005D00B9">
        <w:t xml:space="preserve"> ‘formal and insincere’ </w:t>
      </w:r>
    </w:p>
    <w:p w:rsidR="006A2E06" w:rsidRDefault="006A2E06" w:rsidP="006A2E06">
      <w:pPr>
        <w:spacing w:after="240" w:line="240" w:lineRule="auto"/>
        <w:ind w:left="567" w:right="74"/>
        <w:jc w:val="both"/>
      </w:pPr>
      <w:r w:rsidRPr="005D00B9">
        <w:t>Malachi, too, ‘sees both advents and predicts two forerunners’.</w:t>
      </w:r>
      <w:r>
        <w:rPr>
          <w:rStyle w:val="EndnoteReference"/>
        </w:rPr>
        <w:endnoteReference w:id="2756"/>
      </w:r>
      <w:r w:rsidRPr="005D00B9">
        <w:t xml:space="preserve">  </w:t>
      </w:r>
      <w:r>
        <w:t>Distinction made</w:t>
      </w:r>
      <w:r w:rsidRPr="005D00B9">
        <w:t xml:space="preserve"> between ‘the messenger’</w:t>
      </w:r>
      <w:r>
        <w:rPr>
          <w:rStyle w:val="EndnoteReference"/>
        </w:rPr>
        <w:endnoteReference w:id="2757"/>
      </w:r>
      <w:r>
        <w:t xml:space="preserve"> </w:t>
      </w:r>
      <w:r w:rsidRPr="005D00B9">
        <w:t xml:space="preserve"> and ‘Elijah’.</w:t>
      </w:r>
      <w:r>
        <w:rPr>
          <w:rStyle w:val="EndnoteReference"/>
        </w:rPr>
        <w:endnoteReference w:id="2758"/>
      </w:r>
      <w:r>
        <w:t xml:space="preserve">  </w:t>
      </w:r>
    </w:p>
    <w:p w:rsidR="006A2E06" w:rsidRPr="00C71759" w:rsidRDefault="006A2E06" w:rsidP="006A2E06">
      <w:pPr>
        <w:spacing w:after="120" w:line="360" w:lineRule="auto"/>
        <w:ind w:right="74"/>
        <w:jc w:val="both"/>
        <w:rPr>
          <w:b/>
          <w:i/>
        </w:rPr>
      </w:pPr>
      <w:r w:rsidRPr="00C71759">
        <w:rPr>
          <w:b/>
          <w:i/>
        </w:rPr>
        <w:t>Annotation</w:t>
      </w:r>
      <w:r>
        <w:rPr>
          <w:b/>
          <w:i/>
        </w:rPr>
        <w:t>: Key Points</w:t>
      </w:r>
    </w:p>
    <w:p w:rsidR="006A2E06" w:rsidRDefault="006A2E06" w:rsidP="006A2E06">
      <w:pPr>
        <w:spacing w:after="120" w:line="240" w:lineRule="auto"/>
        <w:ind w:left="567" w:right="74"/>
        <w:jc w:val="both"/>
      </w:pPr>
      <w:r>
        <w:t>Notes open with the comment that the Jews are calling God ‘Father’ but failing to obey him.</w:t>
      </w:r>
      <w:r>
        <w:rPr>
          <w:rStyle w:val="EndnoteReference"/>
        </w:rPr>
        <w:endnoteReference w:id="2759"/>
      </w:r>
    </w:p>
    <w:p w:rsidR="006A2E06" w:rsidRDefault="006A2E06" w:rsidP="006A2E06">
      <w:pPr>
        <w:spacing w:after="120" w:line="240" w:lineRule="auto"/>
        <w:ind w:left="567" w:right="74"/>
        <w:jc w:val="both"/>
      </w:pPr>
      <w:r>
        <w:t>Brief references to Israel</w:t>
      </w:r>
      <w:r>
        <w:rPr>
          <w:rStyle w:val="EndnoteReference"/>
        </w:rPr>
        <w:endnoteReference w:id="2760"/>
      </w:r>
      <w:r>
        <w:t xml:space="preserve"> and the Church.</w:t>
      </w:r>
      <w:r>
        <w:rPr>
          <w:rStyle w:val="EndnoteReference"/>
        </w:rPr>
        <w:endnoteReference w:id="2761"/>
      </w:r>
      <w:r>
        <w:t xml:space="preserve"> </w:t>
      </w:r>
    </w:p>
    <w:p w:rsidR="006A2E06" w:rsidRDefault="006A2E06" w:rsidP="006A2E06">
      <w:pPr>
        <w:spacing w:after="120" w:line="240" w:lineRule="auto"/>
        <w:ind w:left="567" w:right="74"/>
        <w:jc w:val="both"/>
      </w:pPr>
      <w:r>
        <w:t>No references to types, the Gentiles or Gentile powers, the kingdom, near and far prophecy, dualism or eschatology except the comment on the second advent in the note on Mal. 3:1.</w:t>
      </w:r>
      <w:r>
        <w:rPr>
          <w:rStyle w:val="EndnoteReference"/>
        </w:rPr>
        <w:endnoteReference w:id="2762"/>
      </w:r>
      <w:r>
        <w:t xml:space="preserve">  </w:t>
      </w:r>
    </w:p>
    <w:p w:rsidR="006A2E06" w:rsidRDefault="006A2E06" w:rsidP="006A2E06">
      <w:pPr>
        <w:spacing w:after="240" w:line="240" w:lineRule="auto"/>
        <w:ind w:left="567" w:right="74"/>
        <w:jc w:val="both"/>
      </w:pPr>
      <w:r>
        <w:t>Brief references to creation</w:t>
      </w:r>
      <w:r>
        <w:rPr>
          <w:rStyle w:val="EndnoteReference"/>
        </w:rPr>
        <w:endnoteReference w:id="2763"/>
      </w:r>
      <w:r>
        <w:t xml:space="preserve"> and to the Davidic Covenant.</w:t>
      </w:r>
      <w:r>
        <w:rPr>
          <w:rStyle w:val="EndnoteReference"/>
        </w:rPr>
        <w:endnoteReference w:id="2764"/>
      </w:r>
    </w:p>
    <w:p w:rsidR="006A2E06" w:rsidRPr="00553F49" w:rsidRDefault="006A2E06" w:rsidP="006A2E06">
      <w:pPr>
        <w:spacing w:after="0" w:line="240" w:lineRule="auto"/>
        <w:ind w:left="567" w:right="74"/>
        <w:jc w:val="both"/>
        <w:rPr>
          <w:i/>
        </w:rPr>
      </w:pPr>
      <w:r>
        <w:rPr>
          <w:i/>
        </w:rPr>
        <w:t>Christ’s Two Advents</w:t>
      </w:r>
    </w:p>
    <w:p w:rsidR="006A2E06" w:rsidRDefault="006A2E06" w:rsidP="006A2E06">
      <w:pPr>
        <w:spacing w:after="120" w:line="240" w:lineRule="auto"/>
        <w:ind w:left="851" w:right="74"/>
        <w:jc w:val="both"/>
      </w:pPr>
      <w:r>
        <w:t xml:space="preserve">Malachi 3:1 is split into the phrase “my messenger”, quoted of John the Baptist in </w:t>
      </w:r>
      <w:r w:rsidRPr="0062189F">
        <w:t>Mt. 11:10</w:t>
      </w:r>
      <w:r>
        <w:t>,</w:t>
      </w:r>
      <w:r w:rsidRPr="0062189F">
        <w:t xml:space="preserve"> Mk 1:2</w:t>
      </w:r>
      <w:r>
        <w:t xml:space="preserve"> and</w:t>
      </w:r>
      <w:r w:rsidRPr="0062189F">
        <w:t xml:space="preserve"> Lk. 7:27</w:t>
      </w:r>
      <w:r>
        <w:t xml:space="preserve"> (which, by implication, means the first advent), and the two phrases, ‘“the Lord whom ye seek” and “the messenger of the covenant”’, which are assigned to the second coming.</w:t>
      </w:r>
      <w:r>
        <w:rPr>
          <w:rStyle w:val="EndnoteReference"/>
        </w:rPr>
        <w:endnoteReference w:id="2765"/>
      </w:r>
      <w:r>
        <w:t xml:space="preserve"> </w:t>
      </w:r>
    </w:p>
    <w:p w:rsidR="006A2E06" w:rsidRDefault="006A2E06" w:rsidP="006A2E06">
      <w:pPr>
        <w:spacing w:after="120" w:line="240" w:lineRule="auto"/>
        <w:ind w:left="851" w:right="74"/>
        <w:jc w:val="both"/>
      </w:pPr>
      <w:r>
        <w:t xml:space="preserve">‘Malachi 3:2-5 speaks of judgment, not of grace’.  </w:t>
      </w:r>
    </w:p>
    <w:p w:rsidR="006A2E06" w:rsidRDefault="006A2E06" w:rsidP="006A2E06">
      <w:pPr>
        <w:spacing w:after="240" w:line="240" w:lineRule="auto"/>
        <w:ind w:left="851" w:right="74"/>
        <w:jc w:val="both"/>
      </w:pPr>
      <w:r>
        <w:t>The Old Testament prophets, including Malachi, were unable to separate Messiah’s two advents, even though they prophesied both his suffering and his glory.</w:t>
      </w:r>
      <w:r>
        <w:rPr>
          <w:rStyle w:val="EndnoteReference"/>
        </w:rPr>
        <w:endnoteReference w:id="2766"/>
      </w:r>
    </w:p>
    <w:p w:rsidR="006A2E06" w:rsidRPr="00BA5DCA" w:rsidRDefault="006A2E06" w:rsidP="006A2E06">
      <w:pPr>
        <w:spacing w:after="0" w:line="240" w:lineRule="auto"/>
        <w:ind w:right="74" w:firstLine="567"/>
        <w:jc w:val="both"/>
        <w:rPr>
          <w:i/>
        </w:rPr>
      </w:pPr>
      <w:r w:rsidRPr="00BA5DCA">
        <w:rPr>
          <w:i/>
        </w:rPr>
        <w:t>Old Testament Theology</w:t>
      </w:r>
    </w:p>
    <w:p w:rsidR="006A2E06" w:rsidRDefault="006A2E06" w:rsidP="006A2E06">
      <w:pPr>
        <w:spacing w:after="120" w:line="240" w:lineRule="auto"/>
        <w:ind w:left="851" w:right="74"/>
        <w:jc w:val="both"/>
      </w:pPr>
      <w:r>
        <w:t>Annotation of Malachi includes Scofield’s doctrine of the Holy Spirit</w:t>
      </w:r>
      <w:r>
        <w:rPr>
          <w:rStyle w:val="EndnoteReference"/>
        </w:rPr>
        <w:endnoteReference w:id="2767"/>
      </w:r>
      <w:r>
        <w:t xml:space="preserve"> and a significant </w:t>
      </w:r>
      <w:r w:rsidRPr="00A1193D">
        <w:rPr>
          <w:spacing w:val="4"/>
        </w:rPr>
        <w:t xml:space="preserve">expansion of his interpretations of the divine identity which were found in Genesis </w:t>
      </w:r>
      <w:r w:rsidRPr="00A1193D">
        <w:rPr>
          <w:rStyle w:val="EndnoteReference"/>
          <w:spacing w:val="4"/>
        </w:rPr>
        <w:endnoteReference w:id="2768"/>
      </w:r>
      <w:r w:rsidRPr="00A1193D">
        <w:rPr>
          <w:spacing w:val="4"/>
        </w:rPr>
        <w:t xml:space="preserve"> and 1 Samuel.</w:t>
      </w:r>
      <w:r>
        <w:rPr>
          <w:rStyle w:val="EndnoteReference"/>
        </w:rPr>
        <w:endnoteReference w:id="2769"/>
      </w:r>
      <w:r>
        <w:t xml:space="preserve">  </w:t>
      </w:r>
    </w:p>
    <w:p w:rsidR="006A2E06" w:rsidRDefault="006A2E06" w:rsidP="006A2E06">
      <w:pPr>
        <w:spacing w:after="0" w:line="240" w:lineRule="auto"/>
        <w:ind w:right="74" w:firstLine="1134"/>
        <w:jc w:val="both"/>
        <w:rPr>
          <w:i/>
        </w:rPr>
      </w:pPr>
      <w:r w:rsidRPr="00A9428F">
        <w:rPr>
          <w:i/>
        </w:rPr>
        <w:t>a)</w:t>
      </w:r>
      <w:r>
        <w:t xml:space="preserve">  </w:t>
      </w:r>
      <w:r w:rsidRPr="00E32982">
        <w:rPr>
          <w:i/>
        </w:rPr>
        <w:t>The Doctrine of the Holy Spirit</w:t>
      </w:r>
    </w:p>
    <w:p w:rsidR="006A2E06" w:rsidRDefault="006A2E06" w:rsidP="006A2E06">
      <w:pPr>
        <w:spacing w:after="120" w:line="240" w:lineRule="auto"/>
        <w:ind w:left="1134" w:right="74"/>
        <w:jc w:val="both"/>
      </w:pPr>
      <w:r>
        <w:t>Scofield’s analysis of the Spirit’s qualities, characteristics and work surely reflects the ‘Bible Readings method’.</w:t>
      </w:r>
      <w:r>
        <w:rPr>
          <w:rStyle w:val="EndnoteReference"/>
        </w:rPr>
        <w:endnoteReference w:id="2770"/>
      </w:r>
      <w:r>
        <w:t xml:space="preserve">  </w:t>
      </w:r>
    </w:p>
    <w:p w:rsidR="006A2E06" w:rsidRDefault="006A2E06" w:rsidP="006A2E06">
      <w:pPr>
        <w:spacing w:after="120" w:line="240" w:lineRule="auto"/>
        <w:ind w:left="1134" w:right="74"/>
        <w:jc w:val="both"/>
        <w:rPr>
          <w:szCs w:val="18"/>
        </w:rPr>
      </w:pPr>
      <w:r>
        <w:t>An o</w:t>
      </w:r>
      <w:r w:rsidRPr="00FF0B8C">
        <w:t xml:space="preserve">bservation is made that, in the Old Testament, </w:t>
      </w:r>
      <w:r>
        <w:t xml:space="preserve">the Spirit comes as he wills upon people and even ‘a dumb beast’, in contrast with his indwelling of all believers, which was </w:t>
      </w:r>
      <w:r>
        <w:lastRenderedPageBreak/>
        <w:t xml:space="preserve">made </w:t>
      </w:r>
      <w:r w:rsidRPr="00715DCF">
        <w:rPr>
          <w:szCs w:val="18"/>
        </w:rPr>
        <w:t>possible only by the death and resurrection of Christ</w:t>
      </w:r>
      <w:r>
        <w:rPr>
          <w:szCs w:val="18"/>
        </w:rPr>
        <w:t xml:space="preserve"> and which is a New Testament blessing.  </w:t>
      </w:r>
    </w:p>
    <w:p w:rsidR="006A2E06" w:rsidRDefault="006A2E06" w:rsidP="006A2E06">
      <w:pPr>
        <w:spacing w:after="240" w:line="240" w:lineRule="auto"/>
        <w:ind w:left="1134" w:right="74"/>
        <w:jc w:val="both"/>
        <w:rPr>
          <w:szCs w:val="18"/>
        </w:rPr>
      </w:pPr>
      <w:r>
        <w:rPr>
          <w:szCs w:val="18"/>
        </w:rPr>
        <w:t>Brief reference to Israel’s future reception of the Spirit and its expectation both of the coming of Messiah and ‘such an effusion of the Spirit as the prophets described’.</w:t>
      </w:r>
    </w:p>
    <w:p w:rsidR="006A2E06" w:rsidRPr="00FF0B8C" w:rsidRDefault="006A2E06" w:rsidP="006A2E06">
      <w:pPr>
        <w:spacing w:after="0" w:line="240" w:lineRule="auto"/>
        <w:ind w:left="1134" w:right="74"/>
        <w:jc w:val="both"/>
        <w:rPr>
          <w:i/>
          <w:szCs w:val="18"/>
        </w:rPr>
      </w:pPr>
      <w:r w:rsidRPr="00FF0B8C">
        <w:rPr>
          <w:i/>
          <w:szCs w:val="18"/>
        </w:rPr>
        <w:t>b)  Divine Identity, Trinity and Incarnation</w:t>
      </w:r>
      <w:r>
        <w:rPr>
          <w:rStyle w:val="EndnoteReference"/>
          <w:i/>
          <w:szCs w:val="18"/>
        </w:rPr>
        <w:endnoteReference w:id="2771"/>
      </w:r>
      <w:r w:rsidRPr="00FF0B8C">
        <w:rPr>
          <w:i/>
          <w:szCs w:val="18"/>
        </w:rPr>
        <w:t xml:space="preserve"> </w:t>
      </w:r>
    </w:p>
    <w:p w:rsidR="006A2E06" w:rsidRDefault="006A2E06" w:rsidP="006A2E06">
      <w:pPr>
        <w:spacing w:after="240" w:line="240" w:lineRule="auto"/>
        <w:ind w:left="1134" w:right="74"/>
        <w:jc w:val="both"/>
      </w:pPr>
      <w:r>
        <w:t>A short section of the note on Mal. 3:18 is devoted to the incarnation, ‘intimated in the theophanies’ of Genesis and predicted in the promises connected with redemption and the Davidic Covenant.</w:t>
      </w:r>
      <w:r>
        <w:rPr>
          <w:rStyle w:val="EndnoteReference"/>
        </w:rPr>
        <w:endnoteReference w:id="2772"/>
      </w:r>
      <w:r>
        <w:t xml:space="preserve">  </w:t>
      </w:r>
    </w:p>
    <w:p w:rsidR="006A2E06" w:rsidRPr="006F0AFF" w:rsidRDefault="006A2E06" w:rsidP="006A2E06">
      <w:pPr>
        <w:spacing w:after="120" w:line="360" w:lineRule="auto"/>
        <w:ind w:right="74"/>
        <w:jc w:val="both"/>
        <w:rPr>
          <w:b/>
          <w:i/>
          <w:sz w:val="24"/>
        </w:rPr>
      </w:pPr>
      <w:r w:rsidRPr="006F0AFF">
        <w:rPr>
          <w:b/>
          <w:i/>
        </w:rPr>
        <w:t>Omissions</w:t>
      </w:r>
    </w:p>
    <w:p w:rsidR="006A2E06" w:rsidRPr="00FF0B8C" w:rsidRDefault="006A2E06" w:rsidP="006A2E06">
      <w:pPr>
        <w:spacing w:after="120" w:line="360" w:lineRule="auto"/>
        <w:ind w:right="74"/>
        <w:jc w:val="both"/>
      </w:pPr>
      <w:r w:rsidRPr="00FF0B8C">
        <w:t>As with other prophets, Scofield largely ignores the moral imperatives of Malachi.  Malachi 3:1, which Scofield interprets solely as concerning the first and second advents of Christ,</w:t>
      </w:r>
      <w:r w:rsidRPr="00FF0B8C">
        <w:rPr>
          <w:rStyle w:val="EndnoteReference"/>
        </w:rPr>
        <w:endnoteReference w:id="2773"/>
      </w:r>
      <w:r w:rsidRPr="00FF0B8C">
        <w:t xml:space="preserve"> is followed by a warning that few will be able to stand at the Lord’s coming (vv. 2-3) for he will ‘be a swift witness against … those that oppress the hireling in his wages, the widow, and the fatherless, and that turn aside the stranger from his right’. </w:t>
      </w:r>
    </w:p>
    <w:p w:rsidR="006A2E06" w:rsidRPr="00621773" w:rsidRDefault="006A2E06" w:rsidP="006A2E06">
      <w:pPr>
        <w:spacing w:after="120" w:line="360" w:lineRule="auto"/>
        <w:ind w:right="74"/>
        <w:jc w:val="both"/>
        <w:rPr>
          <w:b/>
        </w:rPr>
      </w:pPr>
      <w:r>
        <w:rPr>
          <w:b/>
        </w:rPr>
        <w:t>8</w:t>
      </w:r>
      <w:r w:rsidR="00F96441">
        <w:rPr>
          <w:b/>
        </w:rPr>
        <w:t>.4.17</w:t>
      </w:r>
      <w:r w:rsidRPr="00621773">
        <w:rPr>
          <w:b/>
        </w:rPr>
        <w:t xml:space="preserve">  Conclusion: </w:t>
      </w:r>
      <w:r w:rsidR="00756EB6">
        <w:rPr>
          <w:b/>
        </w:rPr>
        <w:t xml:space="preserve">Notes on </w:t>
      </w:r>
      <w:r w:rsidRPr="00621773">
        <w:rPr>
          <w:b/>
        </w:rPr>
        <w:t xml:space="preserve">the </w:t>
      </w:r>
      <w:r w:rsidR="00710C9C">
        <w:rPr>
          <w:b/>
        </w:rPr>
        <w:t>‘</w:t>
      </w:r>
      <w:r w:rsidRPr="00621773">
        <w:rPr>
          <w:b/>
        </w:rPr>
        <w:t>Prophetical Books</w:t>
      </w:r>
      <w:r w:rsidR="00710C9C">
        <w:rPr>
          <w:b/>
        </w:rPr>
        <w:t>’</w:t>
      </w:r>
    </w:p>
    <w:p w:rsidR="006A2E06" w:rsidRDefault="006A2E06" w:rsidP="006A2E06">
      <w:pPr>
        <w:spacing w:after="120" w:line="360" w:lineRule="auto"/>
        <w:ind w:right="74"/>
        <w:jc w:val="both"/>
      </w:pPr>
      <w:r>
        <w:t xml:space="preserve">After Genesis and Exodus, Scofield devotes the greatest proportion of his Old Testament notes to Daniel and Zechariah.  This is a strong indication of the importance he attaches to these books and thus their annotation provides a key to Scofield’s </w:t>
      </w:r>
      <w:r w:rsidRPr="006154C3">
        <w:t>interests</w:t>
      </w:r>
      <w:r>
        <w:rPr>
          <w:i/>
        </w:rPr>
        <w:t xml:space="preserve">. </w:t>
      </w:r>
      <w:r>
        <w:t xml:space="preserve"> Literality is assumed, eschatological material predominates and significant links are made between both books and Revelation.  </w:t>
      </w:r>
    </w:p>
    <w:p w:rsidR="006A2E06" w:rsidRPr="003B60F2" w:rsidRDefault="006A2E06" w:rsidP="006A2E06">
      <w:pPr>
        <w:spacing w:after="120" w:line="360" w:lineRule="auto"/>
        <w:ind w:right="74" w:firstLine="567"/>
        <w:jc w:val="both"/>
      </w:pPr>
      <w:r>
        <w:t>Scofield’s interpretation of the ‘seventy weeks’ of Daniel is foundational to his concept of the postponed kingdom, which is one of the essential elements in dualism.  The promises to Israel in the Abrahamic and Davidic Covenants cannot be broken and have yet to be fulfilled; since Israel rejected its Messiah at his first coming, the ‘prophetic clock’ has stopped and will not start again until the parenthetic church has been removed at the rapture.  It is then that Israel’s great tribulation under the beast can take place, culminating in Christ’s return, his defeat of the beast at the battle of Armageddon and his establishment of the millennial kingdom.  Further important annotation on Daniel covers ‘the times of the Gentiles’, encapsulated by the concept of the four empires, the power of the fourth of which only ends at Armageddon.  The notes on Joel also reflect upon ‘the times of the Gentiles’, Armageddon and ‘the day of the Lord’.</w:t>
      </w:r>
    </w:p>
    <w:p w:rsidR="006A2E06" w:rsidRDefault="006A2E06" w:rsidP="006A2E06">
      <w:pPr>
        <w:spacing w:after="120" w:line="360" w:lineRule="auto"/>
        <w:ind w:right="74" w:firstLine="567"/>
        <w:jc w:val="both"/>
      </w:pPr>
      <w:r>
        <w:t>Scofield’s eschatology as displayed in his notes on Zechariah has a greater focus on Israel and its two periods of dispersal – the physical exile in Babylon and the continuing diaspora – and also its future restoration.  The note on Zech. 12:8, which provides Scofield’s analysis of the kingdom in the Old Testament, is the key element in the commentary on Zechariah since it offers Scofield’s interpretation of the Old Testament as literal Israelite history and his tenets concerning its millennial future.  The kingdom is also an important element in the notes on Isaiah and Micah.</w:t>
      </w:r>
    </w:p>
    <w:p w:rsidR="006A2E06" w:rsidRDefault="006A2E06" w:rsidP="006A2E06">
      <w:pPr>
        <w:spacing w:after="120" w:line="360" w:lineRule="auto"/>
        <w:ind w:right="74" w:firstLine="567"/>
        <w:jc w:val="both"/>
      </w:pPr>
      <w:r>
        <w:lastRenderedPageBreak/>
        <w:t xml:space="preserve">Scofield’s notes on Isaiah, Jeremiah and Ezekiel similarly focus on Israel’s chastisement and future restoration, those on Ezekiel concentrating upon the future for the temple.  The temple also features in notes on Haggai.  Notes on Isaiah, Joel, Zephaniah and, especially, Jeremiah contain material concerning near and far prophecy and its ultimate eschatological fulfilment.  Of the other prophets, only the </w:t>
      </w:r>
      <w:r w:rsidRPr="00E5295B">
        <w:rPr>
          <w:i/>
        </w:rPr>
        <w:t>SRB</w:t>
      </w:r>
      <w:r>
        <w:t xml:space="preserve"> notes on Hosea and Jonah contain no obvious eschatological material.  Israel is also given detailed treatment in notes on Amos and Habakkuk.</w:t>
      </w:r>
    </w:p>
    <w:p w:rsidR="006A2E06" w:rsidRDefault="006A2E06" w:rsidP="006A2E06">
      <w:pPr>
        <w:spacing w:after="120" w:line="360" w:lineRule="auto"/>
        <w:ind w:right="74" w:firstLine="567"/>
        <w:jc w:val="both"/>
      </w:pPr>
      <w:r>
        <w:t>Commentary on Christ’s first and second comings is found in notes on Isaiah, Ezekiel, Nahum and Zechariah and on Israel/</w:t>
      </w:r>
      <w:r w:rsidR="00A50480">
        <w:t>C</w:t>
      </w:r>
      <w:r>
        <w:t>hurch dualism in notes on Hosea, Habakkuk and Zechariah.  However there are few typological references; these are found only in notes on Daniel, Jonah and Zechariah.</w:t>
      </w:r>
    </w:p>
    <w:p w:rsidR="006A2E06" w:rsidRDefault="006A2E06" w:rsidP="006A2E06">
      <w:pPr>
        <w:spacing w:after="120" w:line="360" w:lineRule="auto"/>
        <w:ind w:right="74" w:firstLine="567"/>
        <w:jc w:val="both"/>
      </w:pPr>
      <w:r w:rsidRPr="001B2AA2">
        <w:t xml:space="preserve">In his notes on </w:t>
      </w:r>
      <w:r>
        <w:t>all the prophets</w:t>
      </w:r>
      <w:r w:rsidRPr="001B2AA2">
        <w:t xml:space="preserve">, Scofield </w:t>
      </w:r>
      <w:r>
        <w:t>i</w:t>
      </w:r>
      <w:r w:rsidRPr="001B2AA2">
        <w:t xml:space="preserve">gnores many chapters and verses involving prophetic denunciation.  </w:t>
      </w:r>
      <w:r>
        <w:t>The prophets</w:t>
      </w:r>
      <w:r w:rsidRPr="001B2AA2">
        <w:t xml:space="preserve"> reflect in unfavourable terms upon their contemporary situations and pronounce God’s anger at oppression and injustice.  Scofield has very little to say about this important aspect of Old Testament prophecy, which can be seen as directly relevant to modern morality.</w:t>
      </w:r>
      <w:r>
        <w:t xml:space="preserve">  </w:t>
      </w:r>
      <w:r w:rsidRPr="001B2AA2">
        <w:t xml:space="preserve">  </w:t>
      </w:r>
    </w:p>
    <w:p w:rsidR="006A2E06" w:rsidRPr="00B8210C" w:rsidRDefault="006A2E06" w:rsidP="006A2E06">
      <w:pPr>
        <w:spacing w:after="120" w:line="360" w:lineRule="auto"/>
        <w:ind w:right="74"/>
        <w:jc w:val="both"/>
        <w:rPr>
          <w:b/>
        </w:rPr>
      </w:pPr>
      <w:r>
        <w:rPr>
          <w:b/>
        </w:rPr>
        <w:t xml:space="preserve">8.5  </w:t>
      </w:r>
      <w:r w:rsidRPr="00B8210C">
        <w:rPr>
          <w:b/>
        </w:rPr>
        <w:t>Conclusion</w:t>
      </w:r>
      <w:r>
        <w:rPr>
          <w:b/>
        </w:rPr>
        <w:t>:</w:t>
      </w:r>
      <w:r w:rsidRPr="00B8210C">
        <w:rPr>
          <w:b/>
        </w:rPr>
        <w:t xml:space="preserve"> </w:t>
      </w:r>
      <w:r>
        <w:rPr>
          <w:b/>
        </w:rPr>
        <w:t xml:space="preserve">Scofield’s Use of </w:t>
      </w:r>
      <w:r w:rsidR="0088005F">
        <w:rPr>
          <w:b/>
        </w:rPr>
        <w:t xml:space="preserve">the </w:t>
      </w:r>
      <w:r>
        <w:rPr>
          <w:b/>
        </w:rPr>
        <w:t>Old Testament</w:t>
      </w:r>
    </w:p>
    <w:p w:rsidR="006A2E06" w:rsidRDefault="006A2E06" w:rsidP="006A2E06">
      <w:pPr>
        <w:spacing w:after="120" w:line="360" w:lineRule="auto"/>
        <w:ind w:right="74"/>
        <w:jc w:val="both"/>
      </w:pPr>
      <w:r>
        <w:t>Probably Scofield’s most comprehensive statement of his interpretation of the function of the Old Testament is found at the very end of his Old Testament commentary in his note on Mal. 3:18.  ‘</w:t>
      </w:r>
      <w:r w:rsidRPr="005E4FC7">
        <w:t>The revelation of Deity in the N.T. so illuminates that of the O.T. that the latter is seen to be, from Genesis to Malachi, the foreshadowing of the coming incarnation of God in Jesus the Christ.</w:t>
      </w:r>
      <w:r w:rsidR="00225AA3">
        <w:t xml:space="preserve">  </w:t>
      </w:r>
      <w:r w:rsidRPr="005E4FC7">
        <w:t>In promise, covenant, type, and prophecy the O.T. points forward to Him.</w:t>
      </w:r>
      <w:r>
        <w:t>’</w:t>
      </w:r>
      <w:r>
        <w:rPr>
          <w:rStyle w:val="EndnoteReference"/>
        </w:rPr>
        <w:endnoteReference w:id="2774"/>
      </w:r>
      <w:r>
        <w:t xml:space="preserve">  </w:t>
      </w:r>
      <w:r w:rsidR="00DC341A">
        <w:t xml:space="preserve">It is true that Scofield sees the Old Testament mainly in terms of the New, as witness the number of typological and Christological interpretations in </w:t>
      </w:r>
      <w:r w:rsidR="00DC341A" w:rsidRPr="006154C3">
        <w:rPr>
          <w:i/>
        </w:rPr>
        <w:t>SRB</w:t>
      </w:r>
      <w:r w:rsidR="00DC341A">
        <w:t xml:space="preserve"> and the number of intertestamental links he makes between texts, especially in Daniel, Zechariah and Revelation.  </w:t>
      </w:r>
      <w:r>
        <w:t xml:space="preserve">Paradoxically, however, he also sees in it an entirely separate function and future for Israel in the eschatological kingdom in which all the ages culminate.  The original promises to Israel, especially couched in the Abrahamic and Davidic Covenants, have not been abrogated or superseded. </w:t>
      </w:r>
    </w:p>
    <w:p w:rsidR="006A2E06" w:rsidRDefault="006A2E06" w:rsidP="006A2E06">
      <w:pPr>
        <w:spacing w:after="120" w:line="360" w:lineRule="auto"/>
        <w:sectPr w:rsidR="006A2E06" w:rsidSect="00F1470F">
          <w:headerReference w:type="default" r:id="rId181"/>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Pr="008B6695" w:rsidRDefault="008B6695" w:rsidP="006A2E06">
      <w:pPr>
        <w:spacing w:after="120" w:line="360" w:lineRule="auto"/>
        <w:ind w:right="74"/>
        <w:jc w:val="center"/>
        <w:rPr>
          <w:sz w:val="28"/>
        </w:rPr>
      </w:pPr>
      <w:r w:rsidRPr="008B6695">
        <w:t>Page intentionally left blank</w:t>
      </w: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8B6695" w:rsidRDefault="008B6695" w:rsidP="006A2E06">
      <w:pPr>
        <w:spacing w:after="120" w:line="360" w:lineRule="auto"/>
        <w:ind w:right="74"/>
        <w:jc w:val="center"/>
        <w:rPr>
          <w:b/>
          <w:sz w:val="28"/>
        </w:rPr>
      </w:pPr>
    </w:p>
    <w:p w:rsidR="006A2E06" w:rsidRDefault="006A2E06" w:rsidP="006A2E06">
      <w:pPr>
        <w:spacing w:after="120" w:line="360" w:lineRule="auto"/>
        <w:ind w:right="74"/>
        <w:jc w:val="center"/>
        <w:rPr>
          <w:b/>
          <w:sz w:val="28"/>
        </w:rPr>
      </w:pPr>
      <w:bookmarkStart w:id="19" w:name="Chapter8Pt2"/>
      <w:bookmarkEnd w:id="19"/>
      <w:r>
        <w:rPr>
          <w:b/>
          <w:sz w:val="28"/>
        </w:rPr>
        <w:lastRenderedPageBreak/>
        <w:t>CHAPTER 8</w:t>
      </w:r>
    </w:p>
    <w:p w:rsidR="006A2E06" w:rsidRDefault="006A2E06" w:rsidP="006A2E06">
      <w:pPr>
        <w:pStyle w:val="PlainText"/>
        <w:spacing w:line="360" w:lineRule="auto"/>
        <w:jc w:val="center"/>
        <w:rPr>
          <w:rFonts w:ascii="Perpetua" w:hAnsi="Perpetua" w:cs="Times New Roman"/>
          <w:b/>
          <w:sz w:val="28"/>
          <w:szCs w:val="28"/>
        </w:rPr>
      </w:pPr>
      <w:r>
        <w:rPr>
          <w:rFonts w:ascii="Perpetua" w:hAnsi="Perpetua" w:cs="Times New Roman"/>
          <w:b/>
          <w:sz w:val="28"/>
          <w:szCs w:val="28"/>
        </w:rPr>
        <w:t>Analysis of t</w:t>
      </w:r>
      <w:r w:rsidRPr="0078322B">
        <w:rPr>
          <w:rFonts w:ascii="Perpetua" w:hAnsi="Perpetua" w:cs="Times New Roman"/>
          <w:b/>
          <w:sz w:val="28"/>
          <w:szCs w:val="28"/>
        </w:rPr>
        <w:t xml:space="preserve">he Content of </w:t>
      </w:r>
      <w:r w:rsidRPr="0078322B">
        <w:rPr>
          <w:rFonts w:ascii="Perpetua" w:hAnsi="Perpetua" w:cs="Times New Roman"/>
          <w:b/>
          <w:i/>
          <w:sz w:val="28"/>
          <w:szCs w:val="28"/>
        </w:rPr>
        <w:t>SRB</w:t>
      </w:r>
      <w:r w:rsidRPr="0078322B">
        <w:rPr>
          <w:rFonts w:ascii="Perpetua" w:hAnsi="Perpetua" w:cs="Times New Roman"/>
          <w:b/>
          <w:sz w:val="28"/>
          <w:szCs w:val="28"/>
        </w:rPr>
        <w:t xml:space="preserve"> Commentary</w:t>
      </w:r>
      <w:r>
        <w:rPr>
          <w:rFonts w:ascii="Perpetua" w:hAnsi="Perpetua" w:cs="Times New Roman"/>
          <w:b/>
          <w:sz w:val="28"/>
          <w:szCs w:val="28"/>
        </w:rPr>
        <w:t>:</w:t>
      </w:r>
    </w:p>
    <w:p w:rsidR="006A2E06" w:rsidRDefault="006A2E06" w:rsidP="006A2E06">
      <w:pPr>
        <w:pStyle w:val="PlainText"/>
        <w:spacing w:after="120" w:line="360" w:lineRule="auto"/>
        <w:jc w:val="center"/>
        <w:rPr>
          <w:rFonts w:ascii="Perpetua" w:hAnsi="Perpetua" w:cs="Times New Roman"/>
          <w:b/>
          <w:sz w:val="28"/>
          <w:szCs w:val="28"/>
        </w:rPr>
      </w:pPr>
      <w:r>
        <w:rPr>
          <w:rFonts w:ascii="Perpetua" w:hAnsi="Perpetua" w:cs="Times New Roman"/>
          <w:b/>
          <w:sz w:val="28"/>
          <w:szCs w:val="28"/>
        </w:rPr>
        <w:t>Scofield’s Use of the Text</w:t>
      </w:r>
      <w:r w:rsidRPr="0078322B">
        <w:rPr>
          <w:rFonts w:ascii="Perpetua" w:hAnsi="Perpetua" w:cs="Times New Roman"/>
          <w:b/>
          <w:sz w:val="28"/>
          <w:szCs w:val="28"/>
        </w:rPr>
        <w:t xml:space="preserve"> </w:t>
      </w:r>
    </w:p>
    <w:p w:rsidR="006A2E06" w:rsidRPr="00953098" w:rsidRDefault="006A2E06" w:rsidP="006A2E06">
      <w:pPr>
        <w:spacing w:after="120" w:line="360" w:lineRule="auto"/>
        <w:ind w:right="74"/>
        <w:jc w:val="center"/>
        <w:rPr>
          <w:b/>
          <w:sz w:val="28"/>
        </w:rPr>
      </w:pPr>
      <w:r w:rsidRPr="00953098">
        <w:rPr>
          <w:b/>
          <w:sz w:val="28"/>
        </w:rPr>
        <w:t xml:space="preserve">Part </w:t>
      </w:r>
      <w:r>
        <w:rPr>
          <w:b/>
          <w:sz w:val="28"/>
        </w:rPr>
        <w:t>2</w:t>
      </w:r>
      <w:r w:rsidRPr="00953098">
        <w:rPr>
          <w:b/>
          <w:sz w:val="28"/>
        </w:rPr>
        <w:t>: The</w:t>
      </w:r>
      <w:r>
        <w:rPr>
          <w:b/>
          <w:sz w:val="28"/>
        </w:rPr>
        <w:t xml:space="preserve"> New</w:t>
      </w:r>
      <w:r w:rsidRPr="00953098">
        <w:rPr>
          <w:b/>
          <w:sz w:val="28"/>
        </w:rPr>
        <w:t xml:space="preserve"> Testament</w:t>
      </w:r>
    </w:p>
    <w:p w:rsidR="006A2E06" w:rsidRDefault="006A2E06" w:rsidP="006A2E06">
      <w:pPr>
        <w:spacing w:after="120" w:line="360" w:lineRule="auto"/>
        <w:ind w:right="74"/>
        <w:jc w:val="both"/>
        <w:rPr>
          <w:b/>
          <w:color w:val="000000"/>
          <w:sz w:val="24"/>
        </w:rPr>
      </w:pPr>
      <w:r>
        <w:rPr>
          <w:b/>
          <w:color w:val="000000"/>
          <w:sz w:val="24"/>
        </w:rPr>
        <w:t>8</w:t>
      </w:r>
      <w:r w:rsidRPr="00953098">
        <w:rPr>
          <w:b/>
          <w:color w:val="000000"/>
          <w:sz w:val="24"/>
        </w:rPr>
        <w:t>.</w:t>
      </w:r>
      <w:r>
        <w:rPr>
          <w:b/>
          <w:color w:val="000000"/>
          <w:sz w:val="24"/>
        </w:rPr>
        <w:t>6</w:t>
      </w:r>
      <w:r w:rsidRPr="00953098">
        <w:rPr>
          <w:b/>
          <w:color w:val="000000"/>
          <w:sz w:val="24"/>
        </w:rPr>
        <w:t xml:space="preserve">  The </w:t>
      </w:r>
      <w:r>
        <w:rPr>
          <w:b/>
          <w:color w:val="000000"/>
          <w:sz w:val="24"/>
        </w:rPr>
        <w:t xml:space="preserve">Gospels and Acts </w:t>
      </w:r>
    </w:p>
    <w:p w:rsidR="006A2E06" w:rsidRPr="00C2615D" w:rsidRDefault="006A2E06" w:rsidP="006A2E06">
      <w:pPr>
        <w:spacing w:after="120" w:line="360" w:lineRule="auto"/>
        <w:jc w:val="both"/>
      </w:pPr>
      <w:r w:rsidRPr="00C2615D">
        <w:t xml:space="preserve">There is a marked contrast between the amounts of annotation on each of the four </w:t>
      </w:r>
      <w:r>
        <w:t>G</w:t>
      </w:r>
      <w:r w:rsidRPr="00C2615D">
        <w:t xml:space="preserve">ospels.  Matthew is the most heavily annotated book in the whole Bible compared with its volume in </w:t>
      </w:r>
      <w:r w:rsidRPr="00C2615D">
        <w:rPr>
          <w:i/>
        </w:rPr>
        <w:t>KJV</w:t>
      </w:r>
      <w:r w:rsidRPr="00C2615D">
        <w:t>, whereas only five verses in Mark are annotated.</w:t>
      </w:r>
      <w:r w:rsidRPr="00C2615D">
        <w:rPr>
          <w:rStyle w:val="EndnoteReference"/>
        </w:rPr>
        <w:endnoteReference w:id="2775"/>
      </w:r>
      <w:r w:rsidRPr="00C2615D">
        <w:t xml:space="preserve">  </w:t>
      </w:r>
      <w:r w:rsidRPr="004D049F">
        <w:t xml:space="preserve">The contrast in annotation is illustrated in the graphs below.  </w:t>
      </w:r>
      <w:r w:rsidRPr="00E83DE5">
        <w:t>All graphs are based on the table</w:t>
      </w:r>
      <w:r w:rsidR="00E83DE5" w:rsidRPr="00E83DE5">
        <w:t>s</w:t>
      </w:r>
      <w:r w:rsidRPr="00E83DE5">
        <w:t xml:space="preserve"> </w:t>
      </w:r>
      <w:r w:rsidR="00E83DE5" w:rsidRPr="00E83DE5">
        <w:t>in Volume 2</w:t>
      </w:r>
      <w:r w:rsidRPr="00E83DE5">
        <w:t>.</w:t>
      </w:r>
      <w:r w:rsidRPr="004D049F">
        <w:t xml:space="preserve">  </w:t>
      </w:r>
      <w:r w:rsidRPr="00C2615D">
        <w:t>Luke and John are more thoroughly annotated than Mark but some chapters have few notes and others none at all.  The annotation on Acts is also sporadic, only twelve of the twenty-eight chapters bearing any notes and five of these twelve having minimal annotation.</w:t>
      </w:r>
    </w:p>
    <w:p w:rsidR="006A2E06" w:rsidRDefault="006A2E06" w:rsidP="006A2E06">
      <w:pPr>
        <w:spacing w:after="120" w:line="240" w:lineRule="auto"/>
        <w:ind w:right="74"/>
        <w:jc w:val="both"/>
        <w:rPr>
          <w:b/>
          <w:i/>
          <w:color w:val="000000"/>
        </w:rPr>
      </w:pPr>
      <w:r w:rsidRPr="003526F4">
        <w:rPr>
          <w:b/>
          <w:i/>
          <w:color w:val="000000"/>
        </w:rPr>
        <w:t>Introduction</w:t>
      </w:r>
      <w:r>
        <w:rPr>
          <w:b/>
          <w:i/>
          <w:color w:val="000000"/>
        </w:rPr>
        <w:t>,</w:t>
      </w:r>
      <w:r w:rsidRPr="003526F4">
        <w:rPr>
          <w:b/>
          <w:i/>
          <w:color w:val="000000"/>
        </w:rPr>
        <w:t xml:space="preserve"> the Four Gospels</w:t>
      </w:r>
      <w:r>
        <w:rPr>
          <w:b/>
          <w:i/>
          <w:color w:val="000000"/>
        </w:rPr>
        <w:t>:</w:t>
      </w:r>
      <w:r w:rsidRPr="00DB0E2F">
        <w:rPr>
          <w:rStyle w:val="EndnoteReference"/>
        </w:rPr>
        <w:t xml:space="preserve"> </w:t>
      </w:r>
      <w:r w:rsidRPr="00355829">
        <w:rPr>
          <w:rStyle w:val="EndnoteReference"/>
        </w:rPr>
        <w:endnoteReference w:id="2776"/>
      </w:r>
      <w:r>
        <w:rPr>
          <w:b/>
          <w:i/>
          <w:color w:val="000000"/>
        </w:rPr>
        <w:t xml:space="preserve"> Key Points:</w:t>
      </w:r>
    </w:p>
    <w:p w:rsidR="006A2E06" w:rsidRDefault="006A2E06" w:rsidP="006A2E06">
      <w:pPr>
        <w:spacing w:after="120" w:line="360" w:lineRule="auto"/>
        <w:jc w:val="both"/>
      </w:pPr>
      <w:r>
        <w:t xml:space="preserve">Several principles important to Scofield’s interpretation of the New Testament emerge in this introduction.  </w:t>
      </w:r>
    </w:p>
    <w:p w:rsidR="006A2E06" w:rsidRDefault="006A2E06" w:rsidP="006A2E06">
      <w:pPr>
        <w:spacing w:after="120" w:line="360" w:lineRule="auto"/>
        <w:jc w:val="center"/>
      </w:pPr>
      <w:r>
        <w:rPr>
          <w:noProof/>
          <w:lang w:eastAsia="en-GB"/>
        </w:rPr>
        <w:drawing>
          <wp:inline distT="0" distB="0" distL="0" distR="0" wp14:anchorId="11D9AADC" wp14:editId="667C84FF">
            <wp:extent cx="5400040" cy="416052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 4 gospels points rev 11.5.18 crop.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400040" cy="4160520"/>
                    </a:xfrm>
                    <a:prstGeom prst="rect">
                      <a:avLst/>
                    </a:prstGeom>
                  </pic:spPr>
                </pic:pic>
              </a:graphicData>
            </a:graphic>
          </wp:inline>
        </w:drawing>
      </w:r>
    </w:p>
    <w:p w:rsidR="006A2E06" w:rsidRDefault="006A2E06" w:rsidP="006A2E06">
      <w:pPr>
        <w:spacing w:after="120" w:line="360" w:lineRule="auto"/>
        <w:jc w:val="both"/>
      </w:pPr>
      <w:r w:rsidRPr="00355829">
        <w:lastRenderedPageBreak/>
        <w:t xml:space="preserve">Scofield gives no </w:t>
      </w:r>
      <w:r>
        <w:t>reference</w:t>
      </w:r>
      <w:r w:rsidRPr="00355829">
        <w:t xml:space="preserve"> </w:t>
      </w:r>
      <w:r>
        <w:t xml:space="preserve">in Micah </w:t>
      </w:r>
      <w:r w:rsidRPr="00355829">
        <w:t xml:space="preserve">to support his statement that all the </w:t>
      </w:r>
      <w:r>
        <w:t xml:space="preserve">Evangelists </w:t>
      </w:r>
      <w:r w:rsidRPr="00355829">
        <w:t>record Christ’s offer of Himself as King according to Micah’</w:t>
      </w:r>
      <w:r w:rsidRPr="00355829">
        <w:rPr>
          <w:rStyle w:val="EndnoteReference"/>
        </w:rPr>
        <w:endnoteReference w:id="2777"/>
      </w:r>
      <w:r w:rsidRPr="00355829">
        <w:t xml:space="preserve"> and </w:t>
      </w:r>
      <w:r>
        <w:t>he</w:t>
      </w:r>
      <w:r w:rsidRPr="00355829">
        <w:t xml:space="preserve"> </w:t>
      </w:r>
      <w:r>
        <w:t xml:space="preserve">does not </w:t>
      </w:r>
      <w:r w:rsidRPr="00355829">
        <w:t>quote a</w:t>
      </w:r>
      <w:r>
        <w:t>ny</w:t>
      </w:r>
      <w:r w:rsidRPr="00355829">
        <w:t xml:space="preserve"> New Testament text which could be attributed to Christ himself </w:t>
      </w:r>
      <w:r>
        <w:t>as making this</w:t>
      </w:r>
      <w:r w:rsidRPr="00355829">
        <w:t xml:space="preserve"> offer.  Charles Weston states that ‘nowhere does Jesus ever suggest … that he is waiting for popular or national approval to establish his kingdom or to be an earthly king’.  As Weston points out, in Jn 6:15, Jesus departed when people were about forcibly to make him king.</w:t>
      </w:r>
      <w:r w:rsidRPr="00355829">
        <w:rPr>
          <w:rStyle w:val="EndnoteReference"/>
        </w:rPr>
        <w:endnoteReference w:id="2778"/>
      </w:r>
      <w:r w:rsidRPr="00355829">
        <w:t xml:space="preserve"> </w:t>
      </w:r>
      <w:r>
        <w:t xml:space="preserve"> Contradicting his assertion that ‘it is not important to piece together a connected story of [Christ’s] life from incomplete records, in his notes, Scofield</w:t>
      </w:r>
      <w:r w:rsidRPr="005D00B9">
        <w:t xml:space="preserve"> makes many attempts </w:t>
      </w:r>
      <w:r>
        <w:t xml:space="preserve">to make a connected story </w:t>
      </w:r>
      <w:r w:rsidRPr="005D00B9">
        <w:t xml:space="preserve">as he tries to harmonise the </w:t>
      </w:r>
      <w:r>
        <w:t>G</w:t>
      </w:r>
      <w:r w:rsidRPr="005D00B9">
        <w:t>ospel accounts, and produce ‘orders of events</w:t>
      </w:r>
      <w:r>
        <w:t>’</w:t>
      </w:r>
      <w:r w:rsidRPr="005D00B9">
        <w:t>.</w:t>
      </w:r>
      <w:r>
        <w:rPr>
          <w:rStyle w:val="EndnoteReference"/>
        </w:rPr>
        <w:endnoteReference w:id="2779"/>
      </w:r>
      <w:r w:rsidRPr="005D00B9">
        <w:t xml:space="preserve">  </w:t>
      </w:r>
    </w:p>
    <w:p w:rsidR="006A2E06" w:rsidRDefault="006A2E06" w:rsidP="006A2E06">
      <w:pPr>
        <w:spacing w:after="120" w:line="360" w:lineRule="auto"/>
        <w:jc w:val="both"/>
        <w:rPr>
          <w:b/>
        </w:rPr>
      </w:pPr>
      <w:r>
        <w:rPr>
          <w:b/>
        </w:rPr>
        <w:t>8</w:t>
      </w:r>
      <w:r w:rsidRPr="00C713C8">
        <w:rPr>
          <w:b/>
        </w:rPr>
        <w:t>.</w:t>
      </w:r>
      <w:r>
        <w:rPr>
          <w:b/>
        </w:rPr>
        <w:t>6</w:t>
      </w:r>
      <w:r w:rsidRPr="00C713C8">
        <w:rPr>
          <w:b/>
        </w:rPr>
        <w:t>.1  Matthew</w:t>
      </w:r>
    </w:p>
    <w:p w:rsidR="006A2E06" w:rsidRPr="002E5564" w:rsidRDefault="006A2E06" w:rsidP="006A2E06">
      <w:pPr>
        <w:spacing w:after="120" w:line="360" w:lineRule="auto"/>
        <w:jc w:val="both"/>
        <w:rPr>
          <w:b/>
          <w:i/>
        </w:rPr>
      </w:pPr>
      <w:r w:rsidRPr="002E5564">
        <w:rPr>
          <w:b/>
          <w:i/>
        </w:rPr>
        <w:t>Introduction</w:t>
      </w:r>
      <w:r>
        <w:rPr>
          <w:b/>
          <w:i/>
        </w:rPr>
        <w:t>:</w:t>
      </w:r>
      <w:r>
        <w:rPr>
          <w:rStyle w:val="EndnoteReference"/>
        </w:rPr>
        <w:endnoteReference w:id="2780"/>
      </w:r>
      <w:r>
        <w:rPr>
          <w:b/>
          <w:i/>
        </w:rPr>
        <w:t xml:space="preserve"> Key Points </w:t>
      </w:r>
    </w:p>
    <w:p w:rsidR="006A2E06" w:rsidRPr="00E2604D" w:rsidRDefault="006A2E06" w:rsidP="006A2E06">
      <w:pPr>
        <w:spacing w:after="0" w:line="240" w:lineRule="auto"/>
        <w:ind w:left="567"/>
        <w:jc w:val="both"/>
        <w:rPr>
          <w:i/>
        </w:rPr>
      </w:pPr>
      <w:r w:rsidRPr="00E2604D">
        <w:rPr>
          <w:i/>
        </w:rPr>
        <w:t>Date and Authorship</w:t>
      </w:r>
    </w:p>
    <w:p w:rsidR="006A2E06" w:rsidRDefault="006A2E06" w:rsidP="006A2E06">
      <w:pPr>
        <w:spacing w:after="120" w:line="240" w:lineRule="auto"/>
        <w:ind w:left="851"/>
        <w:jc w:val="both"/>
      </w:pPr>
      <w:r>
        <w:t>Confident identification of author and date of each Gospel.</w:t>
      </w:r>
    </w:p>
    <w:p w:rsidR="006A2E06" w:rsidRDefault="006A2E06" w:rsidP="006A2E06">
      <w:pPr>
        <w:spacing w:after="120" w:line="240" w:lineRule="auto"/>
        <w:ind w:left="851"/>
        <w:jc w:val="both"/>
        <w:rPr>
          <w:color w:val="000000"/>
        </w:rPr>
      </w:pPr>
      <w:r>
        <w:t>A</w:t>
      </w:r>
      <w:r>
        <w:rPr>
          <w:color w:val="000000"/>
        </w:rPr>
        <w:t>n unidentified ‘all’ ag</w:t>
      </w:r>
      <w:r w:rsidRPr="00957214">
        <w:rPr>
          <w:color w:val="000000"/>
        </w:rPr>
        <w:t xml:space="preserve">ree that the author </w:t>
      </w:r>
      <w:r>
        <w:rPr>
          <w:color w:val="000000"/>
        </w:rPr>
        <w:t xml:space="preserve">here </w:t>
      </w:r>
      <w:r w:rsidRPr="00957214">
        <w:rPr>
          <w:color w:val="000000"/>
        </w:rPr>
        <w:t xml:space="preserve">is ‘Matthew, also called Levi, a Jew of Galilee, who had taken service under the Roman oppressor’ and that ‘no convincing reason has been given for discrediting the traditional date of 37 AD’.  </w:t>
      </w:r>
    </w:p>
    <w:p w:rsidR="006A2E06" w:rsidRDefault="006A2E06" w:rsidP="006A2E06">
      <w:pPr>
        <w:spacing w:after="120" w:line="240" w:lineRule="auto"/>
        <w:ind w:left="1418"/>
        <w:jc w:val="both"/>
        <w:rPr>
          <w:color w:val="000000"/>
        </w:rPr>
      </w:pPr>
      <w:r w:rsidRPr="009F67A8">
        <w:rPr>
          <w:b/>
          <w:i/>
          <w:color w:val="000000"/>
        </w:rPr>
        <w:t>Comment</w:t>
      </w:r>
      <w:r>
        <w:rPr>
          <w:color w:val="000000"/>
        </w:rPr>
        <w:t xml:space="preserve">: </w:t>
      </w:r>
      <w:r>
        <w:t xml:space="preserve">W. D. </w:t>
      </w:r>
      <w:r w:rsidRPr="00957214">
        <w:t xml:space="preserve">Davies &amp; </w:t>
      </w:r>
      <w:r>
        <w:t xml:space="preserve">Dale </w:t>
      </w:r>
      <w:r w:rsidRPr="00957214">
        <w:t>Allison cite no date asserted by any scholar before 40 CE and indicate that some think Matthew was written after 100 CE.</w:t>
      </w:r>
      <w:r>
        <w:rPr>
          <w:rStyle w:val="EndnoteReference"/>
        </w:rPr>
        <w:endnoteReference w:id="2781"/>
      </w:r>
    </w:p>
    <w:p w:rsidR="006A2E06" w:rsidRDefault="006A2E06" w:rsidP="006A2E06">
      <w:pPr>
        <w:spacing w:after="120" w:line="240" w:lineRule="auto"/>
        <w:ind w:left="851"/>
        <w:jc w:val="both"/>
        <w:rPr>
          <w:color w:val="000000"/>
        </w:rPr>
      </w:pPr>
      <w:r>
        <w:t>M</w:t>
      </w:r>
      <w:r w:rsidRPr="005D00B9">
        <w:t>atthew is ‘peculiarly the Gospel for Israel, and, as flowing from the death of Christ, a Gospel for the whole world’.</w:t>
      </w:r>
      <w:r>
        <w:rPr>
          <w:rStyle w:val="EndnoteReference"/>
        </w:rPr>
        <w:endnoteReference w:id="2782"/>
      </w:r>
    </w:p>
    <w:p w:rsidR="006A2E06" w:rsidRPr="00E2604D" w:rsidRDefault="006A2E06" w:rsidP="006A2E06">
      <w:pPr>
        <w:spacing w:after="0" w:line="240" w:lineRule="auto"/>
        <w:ind w:left="567"/>
        <w:jc w:val="both"/>
        <w:rPr>
          <w:i/>
        </w:rPr>
      </w:pPr>
      <w:r w:rsidRPr="00E2604D">
        <w:rPr>
          <w:i/>
        </w:rPr>
        <w:t>Christolog</w:t>
      </w:r>
      <w:r>
        <w:rPr>
          <w:i/>
        </w:rPr>
        <w:t>ical Assertions:</w:t>
      </w:r>
    </w:p>
    <w:p w:rsidR="006A2E06" w:rsidRDefault="006A2E06" w:rsidP="006A2E06">
      <w:pPr>
        <w:spacing w:after="120" w:line="240" w:lineRule="auto"/>
        <w:ind w:left="851"/>
        <w:jc w:val="both"/>
      </w:pPr>
      <w:r w:rsidRPr="005D00B9">
        <w:t>Matthew connects Jesus with ‘two of the most important of Old Testament Covenants: the Davidic Covenant of kingship and the Abrahamic Covenant of promise’.</w:t>
      </w:r>
      <w:r>
        <w:rPr>
          <w:rStyle w:val="EndnoteReference"/>
        </w:rPr>
        <w:endnoteReference w:id="2783"/>
      </w:r>
      <w:r w:rsidRPr="005D00B9">
        <w:t xml:space="preserve">  </w:t>
      </w:r>
    </w:p>
    <w:p w:rsidR="006A2E06" w:rsidRDefault="006A2E06" w:rsidP="006A2E06">
      <w:pPr>
        <w:spacing w:after="120" w:line="240" w:lineRule="auto"/>
        <w:ind w:left="851"/>
        <w:jc w:val="both"/>
      </w:pPr>
      <w:r w:rsidRPr="005D00B9">
        <w:t>Matthew writes first of the King, the Son of David, and then of the Son of Abraham who, as typified by Isaac, was obedient unto death.</w:t>
      </w:r>
      <w:r>
        <w:rPr>
          <w:rStyle w:val="EndnoteReference"/>
        </w:rPr>
        <w:endnoteReference w:id="2784"/>
      </w:r>
      <w:r w:rsidRPr="005D00B9">
        <w:t xml:space="preserve">  </w:t>
      </w:r>
    </w:p>
    <w:p w:rsidR="006A2E06" w:rsidRDefault="006A2E06" w:rsidP="006A2E06">
      <w:pPr>
        <w:spacing w:after="120" w:line="240" w:lineRule="auto"/>
        <w:ind w:left="851"/>
        <w:jc w:val="both"/>
      </w:pPr>
      <w:r w:rsidRPr="005D00B9">
        <w:t>Following his accounts of Jesus’ genealogy and birth in the City of David, Matthew records the ministries of Jesus’ forerunner and of Jesus, and Jesus’ rejection by Israel and his predictions of his glorious second coming.  ‘Only then does Matthew turn to the earlier covenant, and record the sacrificial death of the Son of Abraham.  This determines the purpose and structure of Matthew.’</w:t>
      </w:r>
      <w:r>
        <w:rPr>
          <w:rStyle w:val="EndnoteReference"/>
        </w:rPr>
        <w:endnoteReference w:id="2785"/>
      </w:r>
      <w:r>
        <w:t xml:space="preserve">  </w:t>
      </w:r>
    </w:p>
    <w:p w:rsidR="006A2E06" w:rsidRDefault="006A2E06" w:rsidP="006A2E06">
      <w:pPr>
        <w:spacing w:after="120" w:line="240" w:lineRule="auto"/>
        <w:ind w:left="1418"/>
        <w:jc w:val="both"/>
      </w:pPr>
      <w:r w:rsidRPr="009F67A8">
        <w:rPr>
          <w:b/>
          <w:i/>
          <w:color w:val="000000"/>
        </w:rPr>
        <w:t>Comment</w:t>
      </w:r>
      <w:r>
        <w:rPr>
          <w:color w:val="000000"/>
        </w:rPr>
        <w:t xml:space="preserve">: </w:t>
      </w:r>
      <w:r w:rsidRPr="005D00B9">
        <w:t xml:space="preserve">This seems </w:t>
      </w:r>
      <w:r>
        <w:t>improbable</w:t>
      </w:r>
      <w:r w:rsidRPr="005D00B9">
        <w:t xml:space="preserve"> because the order is purely chronological and repeated in the other </w:t>
      </w:r>
      <w:r>
        <w:t>G</w:t>
      </w:r>
      <w:r w:rsidRPr="005D00B9">
        <w:t>ospels.  Also the term, ‘Son of Abraham’ is only applied to Christ in the genealogy</w:t>
      </w:r>
      <w:r>
        <w:rPr>
          <w:rStyle w:val="EndnoteReference"/>
        </w:rPr>
        <w:endnoteReference w:id="2786"/>
      </w:r>
      <w:r>
        <w:t xml:space="preserve"> </w:t>
      </w:r>
      <w:r w:rsidRPr="005D00B9">
        <w:t>and is not given any prominence in the account of the crucifixion.</w:t>
      </w:r>
    </w:p>
    <w:p w:rsidR="009148E0" w:rsidRPr="009148E0" w:rsidRDefault="009148E0" w:rsidP="006A2E06">
      <w:pPr>
        <w:rPr>
          <w:b/>
          <w:i/>
        </w:rPr>
      </w:pPr>
      <w:r w:rsidRPr="009148E0">
        <w:rPr>
          <w:b/>
          <w:i/>
        </w:rPr>
        <w:t>Continued overleaf</w:t>
      </w:r>
    </w:p>
    <w:p w:rsidR="006A2E06" w:rsidRDefault="006A2E06" w:rsidP="006A2E06">
      <w:r>
        <w:br w:type="page"/>
      </w:r>
    </w:p>
    <w:p w:rsidR="006A2E06" w:rsidRDefault="006A2E06" w:rsidP="006A2E06">
      <w:pPr>
        <w:spacing w:after="120" w:line="360" w:lineRule="auto"/>
        <w:jc w:val="center"/>
      </w:pPr>
      <w:r>
        <w:rPr>
          <w:noProof/>
          <w:lang w:eastAsia="en-GB"/>
        </w:rPr>
        <w:lastRenderedPageBreak/>
        <w:drawing>
          <wp:inline distT="0" distB="0" distL="0" distR="0" wp14:anchorId="52072AFD" wp14:editId="78090B84">
            <wp:extent cx="4151860" cy="5029200"/>
            <wp:effectExtent l="0" t="0" r="127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graph ed 27.1.18_Page_1 crop.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155172" cy="5033212"/>
                    </a:xfrm>
                    <a:prstGeom prst="rect">
                      <a:avLst/>
                    </a:prstGeom>
                  </pic:spPr>
                </pic:pic>
              </a:graphicData>
            </a:graphic>
          </wp:inline>
        </w:drawing>
      </w:r>
    </w:p>
    <w:p w:rsidR="006A2E06" w:rsidRPr="002E34CE" w:rsidRDefault="006A2E06" w:rsidP="006A2E06">
      <w:pPr>
        <w:spacing w:after="120" w:line="360" w:lineRule="auto"/>
        <w:jc w:val="center"/>
        <w:rPr>
          <w:b/>
        </w:rPr>
      </w:pPr>
      <w:r w:rsidRPr="002E34CE">
        <w:rPr>
          <w:b/>
        </w:rPr>
        <w:t>MATTHEW</w:t>
      </w:r>
    </w:p>
    <w:p w:rsidR="006A2E06" w:rsidRDefault="006A2E06" w:rsidP="006A2E06">
      <w:pPr>
        <w:spacing w:after="120" w:line="360" w:lineRule="auto"/>
        <w:jc w:val="center"/>
      </w:pPr>
      <w:r>
        <w:rPr>
          <w:noProof/>
          <w:lang w:eastAsia="en-GB"/>
        </w:rPr>
        <w:drawing>
          <wp:inline distT="0" distB="0" distL="0" distR="0" wp14:anchorId="0E0BBE78" wp14:editId="7396AA47">
            <wp:extent cx="3533775" cy="169821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graph ed 28.1.18 crop.jpg"/>
                    <pic:cNvPicPr/>
                  </pic:nvPicPr>
                  <pic:blipFill>
                    <a:blip r:embed="rId184">
                      <a:extLst>
                        <a:ext uri="{28A0092B-C50C-407E-A947-70E740481C1C}">
                          <a14:useLocalDpi xmlns:a14="http://schemas.microsoft.com/office/drawing/2010/main" val="0"/>
                        </a:ext>
                      </a:extLst>
                    </a:blip>
                    <a:stretch>
                      <a:fillRect/>
                    </a:stretch>
                  </pic:blipFill>
                  <pic:spPr>
                    <a:xfrm>
                      <a:off x="0" y="0"/>
                      <a:ext cx="3537598" cy="1700050"/>
                    </a:xfrm>
                    <a:prstGeom prst="rect">
                      <a:avLst/>
                    </a:prstGeom>
                  </pic:spPr>
                </pic:pic>
              </a:graphicData>
            </a:graphic>
          </wp:inline>
        </w:drawing>
      </w:r>
    </w:p>
    <w:p w:rsidR="006A2E06" w:rsidRDefault="006A2E06" w:rsidP="006A2E06">
      <w:pPr>
        <w:spacing w:after="120" w:line="360" w:lineRule="auto"/>
        <w:jc w:val="center"/>
        <w:rPr>
          <w:b/>
        </w:rPr>
      </w:pPr>
      <w:r w:rsidRPr="002913BB">
        <w:rPr>
          <w:b/>
        </w:rPr>
        <w:t>MARK</w:t>
      </w:r>
    </w:p>
    <w:p w:rsidR="006A2E06" w:rsidRDefault="006A2E06" w:rsidP="006A2E06">
      <w:pPr>
        <w:spacing w:after="120" w:line="360" w:lineRule="auto"/>
        <w:ind w:left="-1134"/>
        <w:jc w:val="right"/>
        <w:rPr>
          <w:b/>
        </w:rPr>
      </w:pPr>
      <w:r>
        <w:rPr>
          <w:b/>
          <w:noProof/>
          <w:lang w:eastAsia="en-GB"/>
        </w:rPr>
        <w:drawing>
          <wp:inline distT="0" distB="0" distL="0" distR="0" wp14:anchorId="760F57D5" wp14:editId="45A971E7">
            <wp:extent cx="5400040" cy="55816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amp; Mark titles 12.2.18 crop.jpg"/>
                    <pic:cNvPicPr/>
                  </pic:nvPicPr>
                  <pic:blipFill>
                    <a:blip r:embed="rId185">
                      <a:extLst>
                        <a:ext uri="{28A0092B-C50C-407E-A947-70E740481C1C}">
                          <a14:useLocalDpi xmlns:a14="http://schemas.microsoft.com/office/drawing/2010/main" val="0"/>
                        </a:ext>
                      </a:extLst>
                    </a:blip>
                    <a:stretch>
                      <a:fillRect/>
                    </a:stretch>
                  </pic:blipFill>
                  <pic:spPr>
                    <a:xfrm>
                      <a:off x="0" y="0"/>
                      <a:ext cx="5400040" cy="558165"/>
                    </a:xfrm>
                    <a:prstGeom prst="rect">
                      <a:avLst/>
                    </a:prstGeom>
                  </pic:spPr>
                </pic:pic>
              </a:graphicData>
            </a:graphic>
          </wp:inline>
        </w:drawing>
      </w:r>
    </w:p>
    <w:p w:rsidR="006A2E06" w:rsidRDefault="006A2E06" w:rsidP="006A2E06">
      <w:pPr>
        <w:pStyle w:val="EndnoteText"/>
        <w:spacing w:after="120" w:line="360" w:lineRule="auto"/>
        <w:jc w:val="center"/>
        <w:rPr>
          <w:sz w:val="22"/>
          <w:szCs w:val="22"/>
        </w:rPr>
      </w:pPr>
      <w:r>
        <w:rPr>
          <w:noProof/>
          <w:sz w:val="22"/>
          <w:szCs w:val="22"/>
          <w:lang w:eastAsia="en-GB"/>
        </w:rPr>
        <w:lastRenderedPageBreak/>
        <w:drawing>
          <wp:inline distT="0" distB="0" distL="0" distR="0" wp14:anchorId="10837793" wp14:editId="1E8EEEEA">
            <wp:extent cx="5400040" cy="75723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themes ed 11.5.18_Page_1 crop.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00040" cy="7572375"/>
                    </a:xfrm>
                    <a:prstGeom prst="rect">
                      <a:avLst/>
                    </a:prstGeom>
                  </pic:spPr>
                </pic:pic>
              </a:graphicData>
            </a:graphic>
          </wp:inline>
        </w:drawing>
      </w:r>
    </w:p>
    <w:p w:rsidR="006A2E06" w:rsidRPr="009148E0" w:rsidRDefault="009148E0" w:rsidP="009148E0">
      <w:pPr>
        <w:pStyle w:val="EndnoteText"/>
        <w:spacing w:after="120" w:line="360" w:lineRule="auto"/>
        <w:rPr>
          <w:b/>
          <w:i/>
          <w:sz w:val="22"/>
          <w:szCs w:val="22"/>
        </w:rPr>
      </w:pPr>
      <w:r w:rsidRPr="009148E0">
        <w:rPr>
          <w:b/>
          <w:i/>
          <w:sz w:val="22"/>
          <w:szCs w:val="22"/>
        </w:rPr>
        <w:t>Continued overleaf</w:t>
      </w:r>
    </w:p>
    <w:p w:rsidR="006A2E06" w:rsidRDefault="006A2E06" w:rsidP="006A2E06">
      <w:pPr>
        <w:pStyle w:val="EndnoteText"/>
        <w:spacing w:after="120" w:line="360" w:lineRule="auto"/>
        <w:jc w:val="center"/>
        <w:rPr>
          <w:sz w:val="22"/>
          <w:szCs w:val="22"/>
        </w:rPr>
      </w:pPr>
    </w:p>
    <w:p w:rsidR="006A2E06" w:rsidRDefault="006A2E06" w:rsidP="006A2E06">
      <w:pPr>
        <w:pStyle w:val="EndnoteText"/>
        <w:spacing w:after="120" w:line="360" w:lineRule="auto"/>
        <w:jc w:val="center"/>
        <w:rPr>
          <w:sz w:val="22"/>
          <w:szCs w:val="22"/>
        </w:rPr>
      </w:pPr>
    </w:p>
    <w:p w:rsidR="006A2E06" w:rsidRDefault="006A2E06" w:rsidP="006A2E06">
      <w:pPr>
        <w:pStyle w:val="EndnoteText"/>
        <w:spacing w:after="120" w:line="360" w:lineRule="auto"/>
        <w:jc w:val="center"/>
        <w:rPr>
          <w:sz w:val="22"/>
          <w:szCs w:val="22"/>
        </w:rPr>
      </w:pPr>
      <w:r>
        <w:rPr>
          <w:noProof/>
          <w:sz w:val="22"/>
          <w:szCs w:val="22"/>
          <w:lang w:eastAsia="en-GB"/>
        </w:rPr>
        <w:lastRenderedPageBreak/>
        <w:drawing>
          <wp:inline distT="0" distB="0" distL="0" distR="0" wp14:anchorId="6C70366F" wp14:editId="27E53FB4">
            <wp:extent cx="5400040" cy="568388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themes ed 11.5.18_Page_2 crop.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00040" cy="5683885"/>
                    </a:xfrm>
                    <a:prstGeom prst="rect">
                      <a:avLst/>
                    </a:prstGeom>
                  </pic:spPr>
                </pic:pic>
              </a:graphicData>
            </a:graphic>
          </wp:inline>
        </w:drawing>
      </w:r>
    </w:p>
    <w:p w:rsidR="006A2E06" w:rsidRDefault="006A2E06" w:rsidP="006A2E06">
      <w:pPr>
        <w:rPr>
          <w:b/>
          <w:i/>
        </w:rPr>
      </w:pPr>
      <w:r w:rsidRPr="00714C26">
        <w:rPr>
          <w:b/>
          <w:i/>
        </w:rPr>
        <w:t>Annotation: Key Points</w:t>
      </w:r>
    </w:p>
    <w:p w:rsidR="006A2E06" w:rsidRDefault="006A2E06" w:rsidP="006A2E06">
      <w:pPr>
        <w:spacing w:after="0" w:line="240" w:lineRule="auto"/>
        <w:ind w:left="567"/>
        <w:jc w:val="both"/>
        <w:rPr>
          <w:i/>
        </w:rPr>
      </w:pPr>
      <w:r w:rsidRPr="00016026">
        <w:rPr>
          <w:i/>
        </w:rPr>
        <w:t>The Kingdom</w:t>
      </w:r>
      <w:r>
        <w:rPr>
          <w:i/>
        </w:rPr>
        <w:t xml:space="preserve"> </w:t>
      </w:r>
    </w:p>
    <w:p w:rsidR="006A2E06" w:rsidRDefault="006A2E06" w:rsidP="006A2E06">
      <w:pPr>
        <w:spacing w:after="120" w:line="240" w:lineRule="auto"/>
        <w:ind w:left="851"/>
        <w:jc w:val="both"/>
      </w:pPr>
      <w:r>
        <w:t>M</w:t>
      </w:r>
      <w:r w:rsidRPr="00016026">
        <w:t xml:space="preserve">ost prominent theme in </w:t>
      </w:r>
      <w:r w:rsidRPr="00016026">
        <w:rPr>
          <w:i/>
        </w:rPr>
        <w:t>SRB</w:t>
      </w:r>
      <w:r w:rsidRPr="00016026">
        <w:t xml:space="preserve"> notes on Matthew</w:t>
      </w:r>
      <w:r>
        <w:t xml:space="preserve">, especially </w:t>
      </w:r>
      <w:r w:rsidR="00B27FEC">
        <w:t>notes on</w:t>
      </w:r>
      <w:r>
        <w:t xml:space="preserve"> chapters 3, 4 and 13.</w:t>
      </w:r>
    </w:p>
    <w:p w:rsidR="006A2E06" w:rsidRDefault="006A2E06" w:rsidP="006A2E06">
      <w:pPr>
        <w:spacing w:after="120" w:line="240" w:lineRule="auto"/>
        <w:ind w:left="851"/>
        <w:jc w:val="both"/>
      </w:pPr>
      <w:r>
        <w:t>Emphasis on Davidic, Messianic and terrestrial nature, and its connection with the kingdom referenced in Daniel 2 and 7, which is to be set up by God after ‘the destruction by “the stone cut without hands” of ‘the Gentile world-system’.</w:t>
      </w:r>
      <w:r>
        <w:rPr>
          <w:rStyle w:val="EndnoteReference"/>
        </w:rPr>
        <w:endnoteReference w:id="2787"/>
      </w:r>
    </w:p>
    <w:p w:rsidR="006A2E06" w:rsidRDefault="006A2E06" w:rsidP="006A2E06">
      <w:pPr>
        <w:spacing w:after="120" w:line="240" w:lineRule="auto"/>
        <w:ind w:left="851"/>
        <w:jc w:val="both"/>
      </w:pPr>
      <w:r>
        <w:t>Three aspects: the kingdom of heaven: as ‘at hand’, in its present ‘mystery-form’</w:t>
      </w:r>
      <w:r>
        <w:rPr>
          <w:rStyle w:val="EndnoteReference"/>
        </w:rPr>
        <w:endnoteReference w:id="2788"/>
      </w:r>
      <w:r>
        <w:t xml:space="preserve"> and in its ‘prophetic aspect’.  These three forms constitute an important element in Scofield’s concept of the kingdom of heaven.</w:t>
      </w:r>
      <w:r>
        <w:rPr>
          <w:rStyle w:val="EndnoteReference"/>
        </w:rPr>
        <w:endnoteReference w:id="2789"/>
      </w:r>
    </w:p>
    <w:p w:rsidR="006A2E06" w:rsidRDefault="006A2E06" w:rsidP="006A2E06">
      <w:pPr>
        <w:spacing w:after="120" w:line="240" w:lineRule="auto"/>
        <w:ind w:left="851"/>
        <w:jc w:val="both"/>
      </w:pPr>
      <w:r w:rsidRPr="001B2AA2">
        <w:t>‘</w:t>
      </w:r>
      <w:r>
        <w:t>A</w:t>
      </w:r>
      <w:r w:rsidRPr="001B2AA2">
        <w:t>t hand’</w:t>
      </w:r>
      <w:r>
        <w:t xml:space="preserve"> in relation to the kingdom</w:t>
      </w:r>
      <w:r w:rsidRPr="001B2AA2">
        <w:t xml:space="preserve"> is never a positive affirmation of an immediate </w:t>
      </w:r>
      <w:r w:rsidRPr="00AF5685">
        <w:t>appearance but ‘only that no known or predicted event must intervene’.</w:t>
      </w:r>
      <w:r>
        <w:rPr>
          <w:rStyle w:val="EndnoteReference"/>
        </w:rPr>
        <w:endnoteReference w:id="2790"/>
      </w:r>
      <w:r w:rsidRPr="00AF5685">
        <w:t xml:space="preserve">  </w:t>
      </w:r>
    </w:p>
    <w:p w:rsidR="006A2E06" w:rsidRDefault="006A2E06" w:rsidP="006A2E06">
      <w:pPr>
        <w:spacing w:after="120" w:line="240" w:lineRule="auto"/>
        <w:ind w:left="1418"/>
        <w:jc w:val="both"/>
      </w:pPr>
      <w:r w:rsidRPr="004E4685">
        <w:rPr>
          <w:b/>
          <w:i/>
        </w:rPr>
        <w:t>Comment</w:t>
      </w:r>
      <w:r>
        <w:t xml:space="preserve">: </w:t>
      </w:r>
      <w:r w:rsidRPr="00AF5685">
        <w:t>Weston dismisses Scofield’s view as ‘pompous nonsense’, asserting that ‘‘‘at hand” means something within your reach.  So the Scripture uses it continually’.</w:t>
      </w:r>
      <w:r w:rsidRPr="00AF5685">
        <w:rPr>
          <w:rStyle w:val="EndnoteReference"/>
        </w:rPr>
        <w:endnoteReference w:id="2791"/>
      </w:r>
    </w:p>
    <w:p w:rsidR="006A2E06" w:rsidRDefault="006A2E06" w:rsidP="006A2E06">
      <w:pPr>
        <w:spacing w:after="120" w:line="240" w:lineRule="auto"/>
        <w:ind w:left="851"/>
        <w:jc w:val="both"/>
      </w:pPr>
      <w:r>
        <w:lastRenderedPageBreak/>
        <w:t xml:space="preserve">Claim that </w:t>
      </w:r>
      <w:r w:rsidRPr="00AF5685">
        <w:t>the establishment of the Davidic kingdom should have followed upon Christ’s appearance.</w:t>
      </w:r>
      <w:r w:rsidRPr="00AF5685">
        <w:rPr>
          <w:rStyle w:val="EndnoteReference"/>
        </w:rPr>
        <w:endnoteReference w:id="2792"/>
      </w:r>
    </w:p>
    <w:p w:rsidR="006A2E06" w:rsidRDefault="006A2E06" w:rsidP="006A2E06">
      <w:pPr>
        <w:spacing w:after="120" w:line="240" w:lineRule="auto"/>
        <w:ind w:left="851"/>
        <w:jc w:val="both"/>
      </w:pPr>
      <w:r>
        <w:t>Discussing the Sermon on the Mount, Christ’s earthly ministry during his first advent was strongly identified with the dispensation of law, making application of it to Christians a minimal second function.</w:t>
      </w:r>
      <w:r>
        <w:rPr>
          <w:rStyle w:val="EndnoteReference"/>
        </w:rPr>
        <w:endnoteReference w:id="2793"/>
      </w:r>
      <w:r>
        <w:t xml:space="preserve"> </w:t>
      </w:r>
    </w:p>
    <w:p w:rsidR="006A2E06" w:rsidRDefault="006A2E06" w:rsidP="006A2E06">
      <w:pPr>
        <w:spacing w:after="120" w:line="240" w:lineRule="auto"/>
        <w:ind w:left="851"/>
        <w:jc w:val="both"/>
      </w:pPr>
      <w:r>
        <w:t>Claim that ‘the Jews … were never rebuked for expecting a powerful and visible kingdom, but the words of the prophets should have prepared them to expect also that only the poor in spirit and the meek could share in it’ r</w:t>
      </w:r>
      <w:r w:rsidRPr="00FF6B11">
        <w:t xml:space="preserve">einforces idea that Christ was at that time offering </w:t>
      </w:r>
      <w:r>
        <w:t>such a</w:t>
      </w:r>
      <w:r w:rsidRPr="00FF6B11">
        <w:t xml:space="preserve"> kingdom.</w:t>
      </w:r>
      <w:r w:rsidRPr="00FF6B11">
        <w:rPr>
          <w:rStyle w:val="EndnoteReference"/>
        </w:rPr>
        <w:endnoteReference w:id="2794"/>
      </w:r>
      <w:r w:rsidRPr="00FF6B11">
        <w:t xml:space="preserve">  </w:t>
      </w:r>
    </w:p>
    <w:p w:rsidR="006A2E06" w:rsidRDefault="006A2E06" w:rsidP="006A2E06">
      <w:pPr>
        <w:spacing w:after="120" w:line="240" w:lineRule="auto"/>
        <w:ind w:left="851"/>
        <w:jc w:val="both"/>
      </w:pPr>
      <w:r>
        <w:t>R</w:t>
      </w:r>
      <w:r w:rsidRPr="00FF6B11">
        <w:t>ejection of this kingdom</w:t>
      </w:r>
      <w:r>
        <w:t xml:space="preserve"> emphasised</w:t>
      </w:r>
      <w:r w:rsidRPr="00B2078C">
        <w:t>.</w:t>
      </w:r>
      <w:r w:rsidRPr="00B2078C">
        <w:rPr>
          <w:rStyle w:val="EndnoteReference"/>
        </w:rPr>
        <w:endnoteReference w:id="2795"/>
      </w:r>
      <w:r w:rsidRPr="00B2078C">
        <w:t xml:space="preserve">  </w:t>
      </w:r>
    </w:p>
    <w:p w:rsidR="006A2E06" w:rsidRDefault="006A2E06" w:rsidP="006A2E06">
      <w:pPr>
        <w:spacing w:after="120" w:line="240" w:lineRule="auto"/>
        <w:ind w:left="851"/>
        <w:jc w:val="both"/>
      </w:pPr>
      <w:r>
        <w:t xml:space="preserve">Seminal elements of differentiation between the kingdom of heaven and the kingdom of God outlined </w:t>
      </w:r>
      <w:r w:rsidRPr="00012B96">
        <w:rPr>
          <w:sz w:val="16"/>
          <w:szCs w:val="24"/>
        </w:rPr>
        <w:t>—</w:t>
      </w:r>
      <w:r>
        <w:t xml:space="preserve"> five ways in which the two kingdoms differ; emphasises that the kingdom of heaven is purely terrestrial and is, in this age, the arena of a mixture of true and false profession, whereas the kingdom of God is universal.</w:t>
      </w:r>
      <w:r>
        <w:rPr>
          <w:rStyle w:val="EndnoteReference"/>
        </w:rPr>
        <w:endnoteReference w:id="2796"/>
      </w:r>
    </w:p>
    <w:p w:rsidR="006A2E06" w:rsidRDefault="006A2E06" w:rsidP="006A2E06">
      <w:pPr>
        <w:spacing w:after="120" w:line="240" w:lineRule="auto"/>
        <w:ind w:left="1418"/>
        <w:jc w:val="both"/>
      </w:pPr>
      <w:r w:rsidRPr="004E4685">
        <w:rPr>
          <w:b/>
          <w:i/>
        </w:rPr>
        <w:t>Comment</w:t>
      </w:r>
      <w:r>
        <w:t>: Davies and Alison state that ‘most scholars assume that “kingdom of heaven” is the equivalent of “kingdom of God”’.</w:t>
      </w:r>
      <w:r>
        <w:rPr>
          <w:rStyle w:val="EndnoteReference"/>
        </w:rPr>
        <w:endnoteReference w:id="2797"/>
      </w:r>
    </w:p>
    <w:p w:rsidR="006A2E06" w:rsidRDefault="006A2E06" w:rsidP="006A2E06">
      <w:pPr>
        <w:spacing w:after="120" w:line="240" w:lineRule="auto"/>
        <w:ind w:left="851"/>
        <w:jc w:val="both"/>
      </w:pPr>
      <w:r>
        <w:t>Notes on Mt. 3:2, 10:2, 13:24, 16:19 and 25:1 also refer to the merely professing nature of ‘Christendom’.</w:t>
      </w:r>
      <w:r>
        <w:rPr>
          <w:rStyle w:val="EndnoteReference"/>
        </w:rPr>
        <w:endnoteReference w:id="2798"/>
      </w:r>
    </w:p>
    <w:p w:rsidR="006A2E06" w:rsidRDefault="006A2E06" w:rsidP="006A2E06">
      <w:pPr>
        <w:spacing w:after="120" w:line="240" w:lineRule="auto"/>
        <w:ind w:left="1418"/>
        <w:jc w:val="both"/>
      </w:pPr>
      <w:r w:rsidRPr="004E4685">
        <w:rPr>
          <w:b/>
          <w:i/>
        </w:rPr>
        <w:t>Comment</w:t>
      </w:r>
      <w:r>
        <w:t>: These remarks weight Scofield’s interpretation in favour of a negative assessment of the current age.</w:t>
      </w:r>
    </w:p>
    <w:p w:rsidR="006A2E06" w:rsidRDefault="006A2E06" w:rsidP="006A2E06">
      <w:pPr>
        <w:spacing w:after="120" w:line="240" w:lineRule="auto"/>
        <w:ind w:left="851"/>
        <w:jc w:val="both"/>
      </w:pPr>
      <w:r>
        <w:t>The kingdom of heaven is yet to be established but the kingdom of God is ‘taken from Israel nationally and given to the Gentiles’.</w:t>
      </w:r>
      <w:r>
        <w:rPr>
          <w:rStyle w:val="EndnoteReference"/>
        </w:rPr>
        <w:endnoteReference w:id="2799"/>
      </w:r>
    </w:p>
    <w:p w:rsidR="006A2E06" w:rsidRDefault="006A2E06" w:rsidP="006A2E06">
      <w:pPr>
        <w:spacing w:after="120" w:line="240" w:lineRule="auto"/>
        <w:ind w:left="851"/>
        <w:jc w:val="both"/>
      </w:pPr>
      <w:r>
        <w:t>The kingdom is not the Church.</w:t>
      </w:r>
      <w:r>
        <w:rPr>
          <w:rStyle w:val="EndnoteReference"/>
        </w:rPr>
        <w:endnoteReference w:id="2800"/>
      </w:r>
      <w:r>
        <w:t xml:space="preserve"> </w:t>
      </w:r>
    </w:p>
    <w:p w:rsidR="006A2E06" w:rsidRDefault="006A2E06" w:rsidP="006A2E06">
      <w:pPr>
        <w:spacing w:after="120" w:line="240" w:lineRule="auto"/>
        <w:ind w:left="851"/>
        <w:jc w:val="both"/>
      </w:pPr>
      <w:r>
        <w:t>When the kingdom comes, it ‘will be administered over Israel through the apostles, according to ancient theocratic judgeship’,</w:t>
      </w:r>
      <w:r>
        <w:rPr>
          <w:rStyle w:val="EndnoteReference"/>
        </w:rPr>
        <w:endnoteReference w:id="2801"/>
      </w:r>
      <w:r>
        <w:t xml:space="preserve"> thus fulfilling the promise of Isa. 1:26;</w:t>
      </w:r>
      <w:r>
        <w:rPr>
          <w:rStyle w:val="EndnoteReference"/>
        </w:rPr>
        <w:endnoteReference w:id="2802"/>
      </w:r>
      <w:r>
        <w:t xml:space="preserve"> </w:t>
      </w:r>
    </w:p>
    <w:p w:rsidR="006A2E06" w:rsidRDefault="006A2E06" w:rsidP="006A2E06">
      <w:pPr>
        <w:spacing w:after="120" w:line="240" w:lineRule="auto"/>
        <w:ind w:left="851"/>
        <w:jc w:val="both"/>
        <w:rPr>
          <w:i/>
        </w:rPr>
      </w:pPr>
      <w:r>
        <w:t>Jewish nature of the kingdom-age again emphasised in the assertion that the Sabbath will again be observed during it.</w:t>
      </w:r>
      <w:r>
        <w:rPr>
          <w:rStyle w:val="EndnoteReference"/>
        </w:rPr>
        <w:endnoteReference w:id="2803"/>
      </w:r>
    </w:p>
    <w:p w:rsidR="006A2E06" w:rsidRPr="00F47117" w:rsidRDefault="006A2E06" w:rsidP="006A2E06">
      <w:pPr>
        <w:spacing w:after="0" w:line="240" w:lineRule="auto"/>
        <w:ind w:left="567"/>
        <w:jc w:val="both"/>
        <w:rPr>
          <w:i/>
        </w:rPr>
      </w:pPr>
      <w:r w:rsidRPr="00F47117">
        <w:rPr>
          <w:i/>
        </w:rPr>
        <w:t xml:space="preserve">The Kingdom in </w:t>
      </w:r>
      <w:r>
        <w:rPr>
          <w:i/>
        </w:rPr>
        <w:t xml:space="preserve">Annotation of </w:t>
      </w:r>
      <w:r w:rsidRPr="00F47117">
        <w:rPr>
          <w:i/>
        </w:rPr>
        <w:t xml:space="preserve">Matthew 13 </w:t>
      </w:r>
    </w:p>
    <w:p w:rsidR="006A2E06" w:rsidRDefault="006A2E06" w:rsidP="006A2E06">
      <w:pPr>
        <w:spacing w:after="120" w:line="240" w:lineRule="auto"/>
        <w:ind w:left="851"/>
        <w:jc w:val="both"/>
      </w:pPr>
      <w:r>
        <w:t>Mingling of good and bad, true and false doctrine within the current kingdom of heaven.</w:t>
      </w:r>
      <w:r w:rsidRPr="00053607">
        <w:rPr>
          <w:rStyle w:val="EndnoteReference"/>
        </w:rPr>
        <w:endnoteReference w:id="2804"/>
      </w:r>
      <w:r>
        <w:t xml:space="preserve"> </w:t>
      </w:r>
    </w:p>
    <w:p w:rsidR="006A2E06" w:rsidRDefault="006A2E06" w:rsidP="006A2E06">
      <w:pPr>
        <w:spacing w:after="120" w:line="240" w:lineRule="auto"/>
        <w:ind w:left="851"/>
        <w:jc w:val="both"/>
      </w:pPr>
      <w:r>
        <w:t>Also references to the kingdom of heaven merely as ‘the sphere of profession’.</w:t>
      </w:r>
      <w:r>
        <w:rPr>
          <w:rStyle w:val="EndnoteReference"/>
        </w:rPr>
        <w:endnoteReference w:id="2805"/>
      </w:r>
      <w:r>
        <w:t xml:space="preserve">  </w:t>
      </w:r>
    </w:p>
    <w:p w:rsidR="006A2E06" w:rsidRDefault="006A2E06" w:rsidP="006A2E06">
      <w:pPr>
        <w:spacing w:after="120" w:line="240" w:lineRule="auto"/>
        <w:ind w:left="851"/>
        <w:jc w:val="both"/>
      </w:pPr>
      <w:r>
        <w:t xml:space="preserve">Many </w:t>
      </w:r>
      <w:r w:rsidRPr="00053607">
        <w:t>interpretations of the parables concerning the kingdom of heaven</w:t>
      </w:r>
      <w:r>
        <w:t xml:space="preserve"> – the parables of the sower,</w:t>
      </w:r>
      <w:r>
        <w:rPr>
          <w:rStyle w:val="EndnoteReference"/>
        </w:rPr>
        <w:endnoteReference w:id="2806"/>
      </w:r>
      <w:r>
        <w:t xml:space="preserve"> the wheat and tares,</w:t>
      </w:r>
      <w:r>
        <w:rPr>
          <w:rStyle w:val="EndnoteReference"/>
        </w:rPr>
        <w:endnoteReference w:id="2807"/>
      </w:r>
      <w:r>
        <w:t xml:space="preserve"> the mustard seed,</w:t>
      </w:r>
      <w:r>
        <w:rPr>
          <w:rStyle w:val="EndnoteReference"/>
        </w:rPr>
        <w:endnoteReference w:id="2808"/>
      </w:r>
      <w:r w:rsidRPr="00053607">
        <w:t xml:space="preserve"> </w:t>
      </w:r>
      <w:r>
        <w:t>the treasure,</w:t>
      </w:r>
      <w:r>
        <w:rPr>
          <w:rStyle w:val="EndnoteReference"/>
        </w:rPr>
        <w:endnoteReference w:id="2809"/>
      </w:r>
      <w:r>
        <w:t xml:space="preserve"> the pearl</w:t>
      </w:r>
      <w:r>
        <w:rPr>
          <w:rStyle w:val="EndnoteReference"/>
        </w:rPr>
        <w:endnoteReference w:id="2810"/>
      </w:r>
      <w:r>
        <w:t xml:space="preserve"> and the net.</w:t>
      </w:r>
      <w:r>
        <w:rPr>
          <w:rStyle w:val="EndnoteReference"/>
        </w:rPr>
        <w:endnoteReference w:id="2811"/>
      </w:r>
    </w:p>
    <w:p w:rsidR="006A2E06" w:rsidRDefault="006A2E06" w:rsidP="006A2E06">
      <w:pPr>
        <w:spacing w:after="120" w:line="240" w:lineRule="auto"/>
        <w:ind w:left="851"/>
        <w:jc w:val="both"/>
      </w:pPr>
      <w:r>
        <w:t xml:space="preserve">Inclusion of many negative aspects concerning the </w:t>
      </w:r>
      <w:r w:rsidRPr="00053607">
        <w:t>parable of the leaven, contrasting it with the parable of the mustard seed</w:t>
      </w:r>
      <w:r>
        <w:t>, which</w:t>
      </w:r>
      <w:r w:rsidRPr="00053607">
        <w:t xml:space="preserve"> is given a fairly positive treatment as developing from ‘an insignificant beginning … to a great place in the earth’, even though the refuge of the mustard tree is considered insecure.</w:t>
      </w:r>
      <w:r w:rsidRPr="00053607">
        <w:rPr>
          <w:rStyle w:val="EndnoteReference"/>
        </w:rPr>
        <w:endnoteReference w:id="2812"/>
      </w:r>
      <w:r w:rsidRPr="00053607">
        <w:t xml:space="preserve">  </w:t>
      </w:r>
    </w:p>
    <w:p w:rsidR="006A2E06" w:rsidRDefault="006A2E06" w:rsidP="006A2E06">
      <w:pPr>
        <w:spacing w:after="120" w:line="240" w:lineRule="auto"/>
        <w:ind w:left="1418"/>
        <w:jc w:val="both"/>
      </w:pPr>
      <w:r w:rsidRPr="004E4685">
        <w:rPr>
          <w:b/>
          <w:i/>
        </w:rPr>
        <w:t>Comment</w:t>
      </w:r>
      <w:r>
        <w:t>: F</w:t>
      </w:r>
      <w:r w:rsidRPr="00053607">
        <w:t>or Scofield, leaven always represents corruption;</w:t>
      </w:r>
      <w:r w:rsidRPr="00053607">
        <w:rPr>
          <w:rStyle w:val="EndnoteReference"/>
        </w:rPr>
        <w:endnoteReference w:id="2813"/>
      </w:r>
      <w:r w:rsidRPr="00053607">
        <w:t xml:space="preserve"> </w:t>
      </w:r>
      <w:r>
        <w:t>there is</w:t>
      </w:r>
      <w:r w:rsidRPr="00053607">
        <w:t xml:space="preserve"> no room for reinterpretation even by Jesus</w:t>
      </w:r>
      <w:r>
        <w:t>, who does not differentiate between the two parables</w:t>
      </w:r>
      <w:r w:rsidRPr="00053607">
        <w:t xml:space="preserve">. </w:t>
      </w:r>
      <w:r>
        <w:t xml:space="preserve"> Scofield’s discourse on leaven leads into a statement of his disapproval of women participating in religious practice.</w:t>
      </w:r>
      <w:r>
        <w:rPr>
          <w:rStyle w:val="EndnoteReference"/>
        </w:rPr>
        <w:endnoteReference w:id="2814"/>
      </w:r>
      <w:r>
        <w:t xml:space="preserve">  The scholars and commentaries quoted in my case study of Matthew disagree with Scofield.</w:t>
      </w:r>
      <w:r w:rsidR="0075462D">
        <w:rPr>
          <w:rStyle w:val="EndnoteReference"/>
        </w:rPr>
        <w:endnoteReference w:id="2815"/>
      </w:r>
    </w:p>
    <w:p w:rsidR="006A2E06" w:rsidRPr="00DA394B" w:rsidRDefault="006A2E06" w:rsidP="006A2E06">
      <w:pPr>
        <w:spacing w:after="0" w:line="240" w:lineRule="auto"/>
        <w:ind w:firstLine="567"/>
        <w:jc w:val="both"/>
        <w:rPr>
          <w:i/>
        </w:rPr>
      </w:pPr>
      <w:r w:rsidRPr="00DA394B">
        <w:rPr>
          <w:i/>
        </w:rPr>
        <w:t xml:space="preserve">The </w:t>
      </w:r>
      <w:r>
        <w:rPr>
          <w:i/>
        </w:rPr>
        <w:t xml:space="preserve">Kingdom and the </w:t>
      </w:r>
      <w:r w:rsidRPr="00DA394B">
        <w:rPr>
          <w:i/>
        </w:rPr>
        <w:t>Transfiguration</w:t>
      </w:r>
    </w:p>
    <w:p w:rsidR="006A2E06" w:rsidRDefault="006A2E06" w:rsidP="006A2E06">
      <w:pPr>
        <w:spacing w:after="120" w:line="240" w:lineRule="auto"/>
        <w:ind w:firstLine="851"/>
        <w:jc w:val="both"/>
      </w:pPr>
      <w:r>
        <w:t>Important analysis of the transfiguration in terms of the kingdom.</w:t>
      </w:r>
      <w:r>
        <w:rPr>
          <w:rStyle w:val="EndnoteReference"/>
        </w:rPr>
        <w:endnoteReference w:id="2816"/>
      </w:r>
    </w:p>
    <w:p w:rsidR="009148E0" w:rsidRDefault="009148E0" w:rsidP="006A2E06">
      <w:pPr>
        <w:spacing w:after="120" w:line="240" w:lineRule="auto"/>
        <w:ind w:firstLine="851"/>
        <w:jc w:val="both"/>
      </w:pPr>
    </w:p>
    <w:p w:rsidR="009148E0" w:rsidRDefault="009148E0" w:rsidP="006A2E06">
      <w:pPr>
        <w:spacing w:after="120" w:line="240" w:lineRule="auto"/>
        <w:ind w:firstLine="851"/>
        <w:jc w:val="both"/>
      </w:pPr>
    </w:p>
    <w:p w:rsidR="006A2E06" w:rsidRDefault="006A2E06" w:rsidP="006A2E06">
      <w:pPr>
        <w:spacing w:after="0" w:line="240" w:lineRule="auto"/>
        <w:ind w:left="567"/>
        <w:jc w:val="both"/>
        <w:rPr>
          <w:i/>
        </w:rPr>
      </w:pPr>
      <w:r w:rsidRPr="00B45636">
        <w:rPr>
          <w:i/>
        </w:rPr>
        <w:lastRenderedPageBreak/>
        <w:t>Christology</w:t>
      </w:r>
    </w:p>
    <w:p w:rsidR="006A2E06" w:rsidRDefault="006A2E06" w:rsidP="006A2E06">
      <w:pPr>
        <w:spacing w:after="120" w:line="240" w:lineRule="auto"/>
        <w:ind w:left="851"/>
        <w:jc w:val="both"/>
      </w:pPr>
      <w:r>
        <w:t>Assertions concerning Christ’s titles: ‘Christ or “Messiah”’ is our Lord’s ‘official name’ whereas “Jesus” is His ‘human name’.</w:t>
      </w:r>
      <w:r>
        <w:rPr>
          <w:rStyle w:val="EndnoteReference"/>
        </w:rPr>
        <w:endnoteReference w:id="2817"/>
      </w:r>
      <w:r>
        <w:t xml:space="preserve">  ‘“Son of man” is His racial name’; ‘“Son of David” is His distinctively Jewish name’ and ‘“Son of God” is His divine name’.</w:t>
      </w:r>
      <w:r>
        <w:rPr>
          <w:rStyle w:val="EndnoteReference"/>
        </w:rPr>
        <w:endnoteReference w:id="2818"/>
      </w:r>
    </w:p>
    <w:p w:rsidR="006A2E06" w:rsidRDefault="006A2E06" w:rsidP="006A2E06">
      <w:pPr>
        <w:spacing w:after="120" w:line="240" w:lineRule="auto"/>
        <w:ind w:left="851"/>
        <w:jc w:val="both"/>
      </w:pPr>
      <w:r>
        <w:t>Assertion that ‘the name or title “Christ” connects Him with the entire O.T. foreview</w:t>
      </w:r>
      <w:r>
        <w:rPr>
          <w:rStyle w:val="EndnoteReference"/>
        </w:rPr>
        <w:endnoteReference w:id="2819"/>
      </w:r>
      <w:r>
        <w:t xml:space="preserve"> … of a coming Prophet,</w:t>
      </w:r>
      <w:r>
        <w:rPr>
          <w:rStyle w:val="EndnoteReference"/>
        </w:rPr>
        <w:endnoteReference w:id="2820"/>
      </w:r>
      <w:r>
        <w:t xml:space="preserve"> Priest</w:t>
      </w:r>
      <w:r>
        <w:rPr>
          <w:rStyle w:val="EndnoteReference"/>
        </w:rPr>
        <w:endnoteReference w:id="2821"/>
      </w:r>
      <w:r>
        <w:t xml:space="preserve"> and King’.</w:t>
      </w:r>
      <w:r>
        <w:rPr>
          <w:rStyle w:val="EndnoteReference"/>
        </w:rPr>
        <w:endnoteReference w:id="2822"/>
      </w:r>
    </w:p>
    <w:p w:rsidR="006A2E06" w:rsidRDefault="006A2E06" w:rsidP="006A2E06">
      <w:pPr>
        <w:spacing w:after="120" w:line="240" w:lineRule="auto"/>
        <w:ind w:left="851"/>
        <w:jc w:val="both"/>
      </w:pPr>
      <w:r w:rsidRPr="005F2FB9">
        <w:rPr>
          <w:spacing w:val="2"/>
        </w:rPr>
        <w:t>Emphasis on ‘the intelligent use of the word of God’ and ‘”rightly dividing the word of truth” (2</w:t>
      </w:r>
      <w:r>
        <w:t xml:space="preserve"> Tim. 2:15)’ in </w:t>
      </w:r>
      <w:r w:rsidR="0002218A">
        <w:t xml:space="preserve">the </w:t>
      </w:r>
      <w:r>
        <w:t>comment on temptations of Christ.</w:t>
      </w:r>
      <w:r>
        <w:rPr>
          <w:rStyle w:val="EndnoteReference"/>
        </w:rPr>
        <w:endnoteReference w:id="2823"/>
      </w:r>
    </w:p>
    <w:p w:rsidR="006A2E06" w:rsidRDefault="006A2E06" w:rsidP="006A2E06">
      <w:pPr>
        <w:spacing w:after="120" w:line="240" w:lineRule="auto"/>
        <w:ind w:left="851"/>
        <w:jc w:val="both"/>
      </w:pPr>
      <w:r>
        <w:t>Christ’s relationship to the law emphasised.  Detailed analysis given.</w:t>
      </w:r>
      <w:r>
        <w:rPr>
          <w:rStyle w:val="EndnoteReference"/>
        </w:rPr>
        <w:endnoteReference w:id="2824"/>
      </w:r>
      <w:r>
        <w:t xml:space="preserve"> </w:t>
      </w:r>
    </w:p>
    <w:p w:rsidR="006A2E06" w:rsidRDefault="006A2E06" w:rsidP="006A2E06">
      <w:pPr>
        <w:spacing w:after="120" w:line="240" w:lineRule="auto"/>
        <w:ind w:left="851"/>
        <w:jc w:val="both"/>
      </w:pPr>
      <w:r>
        <w:t xml:space="preserve">Reference </w:t>
      </w:r>
      <w:r w:rsidRPr="00B45636">
        <w:t>to the veil of the temple as a type of Christ’s human body.</w:t>
      </w:r>
      <w:r w:rsidRPr="00B45636">
        <w:rPr>
          <w:rStyle w:val="EndnoteReference"/>
        </w:rPr>
        <w:endnoteReference w:id="2825"/>
      </w:r>
    </w:p>
    <w:p w:rsidR="006A2E06" w:rsidRPr="00FA19F5" w:rsidRDefault="006A2E06" w:rsidP="006A2E06">
      <w:pPr>
        <w:spacing w:after="120" w:line="240" w:lineRule="auto"/>
        <w:ind w:left="1418"/>
        <w:jc w:val="both"/>
        <w:rPr>
          <w:b/>
          <w:i/>
        </w:rPr>
      </w:pPr>
      <w:r w:rsidRPr="00F56B6C">
        <w:rPr>
          <w:b/>
          <w:i/>
        </w:rPr>
        <w:t>Comment</w:t>
      </w:r>
      <w:r>
        <w:t>: This is</w:t>
      </w:r>
      <w:r w:rsidRPr="00B45636">
        <w:t xml:space="preserve"> one of the rare examples of a justified typological assertion under Scofield’s own rubric.</w:t>
      </w:r>
    </w:p>
    <w:p w:rsidR="006A2E06" w:rsidRPr="00FA19F5" w:rsidRDefault="006A2E06" w:rsidP="006A2E06">
      <w:pPr>
        <w:spacing w:after="0" w:line="240" w:lineRule="auto"/>
        <w:ind w:left="851"/>
        <w:jc w:val="both"/>
        <w:rPr>
          <w:i/>
        </w:rPr>
      </w:pPr>
      <w:r w:rsidRPr="00FA19F5">
        <w:rPr>
          <w:i/>
        </w:rPr>
        <w:t>Christ’s Relationship to Jews and Gentiles</w:t>
      </w:r>
    </w:p>
    <w:p w:rsidR="006A2E06" w:rsidRDefault="006A2E06" w:rsidP="006A2E06">
      <w:pPr>
        <w:spacing w:after="120" w:line="240" w:lineRule="auto"/>
        <w:ind w:left="851"/>
        <w:jc w:val="both"/>
      </w:pPr>
      <w:r>
        <w:t xml:space="preserve">Assertion that </w:t>
      </w:r>
      <w:r w:rsidRPr="00B45636">
        <w:t>Christ is King only of the Jews, not of the Church;</w:t>
      </w:r>
      <w:r w:rsidRPr="00B45636">
        <w:rPr>
          <w:rStyle w:val="EndnoteReference"/>
        </w:rPr>
        <w:endnoteReference w:id="2826"/>
      </w:r>
      <w:r>
        <w:t xml:space="preserve"> </w:t>
      </w:r>
      <w:r w:rsidRPr="00B45636">
        <w:t xml:space="preserve">supported by </w:t>
      </w:r>
      <w:r>
        <w:t xml:space="preserve">the </w:t>
      </w:r>
      <w:r w:rsidRPr="00B45636">
        <w:t>statement that the reference to David in Mt. 12:3 implies that Christ was rejected as King rather than Saviour.</w:t>
      </w:r>
      <w:r w:rsidRPr="00B45636">
        <w:rPr>
          <w:rStyle w:val="EndnoteReference"/>
        </w:rPr>
        <w:endnoteReference w:id="2827"/>
      </w:r>
    </w:p>
    <w:p w:rsidR="006A2E06" w:rsidRDefault="006A2E06" w:rsidP="006A2E06">
      <w:pPr>
        <w:spacing w:after="120" w:line="240" w:lineRule="auto"/>
        <w:ind w:left="851"/>
        <w:jc w:val="both"/>
      </w:pPr>
      <w:r>
        <w:t xml:space="preserve">Assertion that </w:t>
      </w:r>
      <w:r w:rsidRPr="00B45636">
        <w:t>Christ ignored the Canaanite (Syrophoenician) woman’s request when addressed as ‘son of David’, to which a Gentile had ‘no claim upon Him’, but immediately responded on being addressed as ‘Lord’.</w:t>
      </w:r>
      <w:r w:rsidRPr="00B45636">
        <w:rPr>
          <w:rStyle w:val="EndnoteReference"/>
        </w:rPr>
        <w:endnoteReference w:id="2828"/>
      </w:r>
    </w:p>
    <w:p w:rsidR="006A2E06" w:rsidRDefault="006A2E06" w:rsidP="006A2E06">
      <w:pPr>
        <w:spacing w:after="120" w:line="240" w:lineRule="auto"/>
        <w:ind w:left="851"/>
        <w:jc w:val="both"/>
      </w:pPr>
      <w:r>
        <w:t xml:space="preserve">Claim that </w:t>
      </w:r>
      <w:r w:rsidRPr="00B45636">
        <w:t>Israel, especially Ephraim, interpreted as the treasure concealed in the field bought by Christ with his own blood in the parable of Mt. 13:44,</w:t>
      </w:r>
      <w:r w:rsidRPr="00B45636">
        <w:rPr>
          <w:rStyle w:val="EndnoteReference"/>
        </w:rPr>
        <w:endnoteReference w:id="2829"/>
      </w:r>
      <w:r w:rsidRPr="00B45636">
        <w:t xml:space="preserve"> whereas the true church is the pearl in Mt. 13:45.</w:t>
      </w:r>
      <w:r w:rsidRPr="00B45636">
        <w:rPr>
          <w:rStyle w:val="EndnoteReference"/>
        </w:rPr>
        <w:endnoteReference w:id="2830"/>
      </w:r>
    </w:p>
    <w:p w:rsidR="006A2E06" w:rsidRDefault="006A2E06" w:rsidP="006A2E06">
      <w:pPr>
        <w:spacing w:after="0" w:line="240" w:lineRule="auto"/>
        <w:ind w:left="567"/>
        <w:rPr>
          <w:i/>
        </w:rPr>
      </w:pPr>
      <w:r w:rsidRPr="00626783">
        <w:rPr>
          <w:i/>
        </w:rPr>
        <w:t>Israel, the Church and the Gentiles</w:t>
      </w:r>
      <w:r>
        <w:rPr>
          <w:i/>
        </w:rPr>
        <w:t xml:space="preserve"> </w:t>
      </w:r>
    </w:p>
    <w:p w:rsidR="006A2E06" w:rsidRDefault="006A2E06" w:rsidP="006A2E06">
      <w:pPr>
        <w:spacing w:after="120" w:line="240" w:lineRule="auto"/>
        <w:ind w:left="851"/>
      </w:pPr>
      <w:r w:rsidRPr="00575F4E">
        <w:t>Differences between Israel and the Church emphasised.</w:t>
      </w:r>
    </w:p>
    <w:p w:rsidR="006A2E06" w:rsidRDefault="006A2E06" w:rsidP="006A2E06">
      <w:pPr>
        <w:spacing w:after="120" w:line="240" w:lineRule="auto"/>
        <w:ind w:left="851"/>
      </w:pPr>
      <w:r>
        <w:t>Emphasis on Israel’s rejection of Christ as King and his turning to the Gentiles.</w:t>
      </w:r>
      <w:r>
        <w:rPr>
          <w:rStyle w:val="EndnoteReference"/>
        </w:rPr>
        <w:endnoteReference w:id="2831"/>
      </w:r>
    </w:p>
    <w:p w:rsidR="006A2E06" w:rsidRDefault="006A2E06" w:rsidP="006A2E06">
      <w:pPr>
        <w:spacing w:after="120" w:line="240" w:lineRule="auto"/>
        <w:ind w:left="851"/>
      </w:pPr>
      <w:r>
        <w:t>Israel’s fate is clearly bound up with that of the Gentiles; Israel will not be blessed by ‘the Deliverer’s’ coming from Zion until the Gentile world-power has ‘run its course’ and ‘the elect number of Gentiles’ been brought in.</w:t>
      </w:r>
      <w:r>
        <w:rPr>
          <w:rStyle w:val="EndnoteReference"/>
        </w:rPr>
        <w:endnoteReference w:id="2832"/>
      </w:r>
    </w:p>
    <w:p w:rsidR="006A2E06" w:rsidRDefault="006A2E06" w:rsidP="006A2E06">
      <w:pPr>
        <w:spacing w:after="120" w:line="240" w:lineRule="auto"/>
        <w:ind w:left="851"/>
      </w:pPr>
      <w:r>
        <w:t>Israel’s blindness in the current age is one of the ‘greater mysteries’.</w:t>
      </w:r>
      <w:r>
        <w:rPr>
          <w:rStyle w:val="EndnoteReference"/>
        </w:rPr>
        <w:endnoteReference w:id="2833"/>
      </w:r>
    </w:p>
    <w:p w:rsidR="006A2E06" w:rsidRDefault="006A2E06" w:rsidP="006A2E06">
      <w:pPr>
        <w:spacing w:after="120" w:line="240" w:lineRule="auto"/>
        <w:ind w:left="851"/>
      </w:pPr>
      <w:r>
        <w:t>Other mysteries are the Church as ‘one body composed of Jew and Gentile’ and as ‘the bride of Christ’.</w:t>
      </w:r>
      <w:r>
        <w:rPr>
          <w:rStyle w:val="EndnoteReference"/>
        </w:rPr>
        <w:endnoteReference w:id="2834"/>
      </w:r>
    </w:p>
    <w:p w:rsidR="006A2E06" w:rsidRDefault="006A2E06" w:rsidP="006A2E06">
      <w:pPr>
        <w:spacing w:after="120" w:line="240" w:lineRule="auto"/>
        <w:ind w:left="851"/>
      </w:pPr>
      <w:r>
        <w:t xml:space="preserve">Assertion of different relationships for ‘Christ as “the Stone”’ to Israel, the Church and the Gentiles; the </w:t>
      </w:r>
      <w:r w:rsidRPr="00FB1FB7">
        <w:t xml:space="preserve">rejected stone </w:t>
      </w:r>
      <w:r>
        <w:t xml:space="preserve">identified </w:t>
      </w:r>
      <w:r w:rsidRPr="00FB1FB7">
        <w:t xml:space="preserve">with Israel and the cornerstone with the Church, but ‘the smiting stone of </w:t>
      </w:r>
      <w:r>
        <w:t>destruction’</w:t>
      </w:r>
      <w:r>
        <w:rPr>
          <w:rStyle w:val="EndnoteReference"/>
        </w:rPr>
        <w:endnoteReference w:id="2835"/>
      </w:r>
      <w:r>
        <w:t xml:space="preserve"> is linked with the demise of the Gentile world-powers.</w:t>
      </w:r>
      <w:r>
        <w:rPr>
          <w:rStyle w:val="EndnoteReference"/>
        </w:rPr>
        <w:endnoteReference w:id="2836"/>
      </w:r>
    </w:p>
    <w:p w:rsidR="006A2E06" w:rsidRDefault="006A2E06" w:rsidP="006A2E06">
      <w:pPr>
        <w:spacing w:after="120" w:line="240" w:lineRule="auto"/>
        <w:ind w:left="1418"/>
        <w:jc w:val="both"/>
      </w:pPr>
      <w:r w:rsidRPr="00F56B6C">
        <w:rPr>
          <w:b/>
          <w:i/>
        </w:rPr>
        <w:t>Comment</w:t>
      </w:r>
      <w:r>
        <w:t xml:space="preserve">: Scofield’s note identifies the stone in Mt. 21:44 with the stone cut without hands which breaks the image </w:t>
      </w:r>
      <w:r w:rsidRPr="005F2FB9">
        <w:rPr>
          <w:spacing w:val="2"/>
        </w:rPr>
        <w:t>in Dan. 2:34-5, but the stone to which Christ refers in Mt. 21:44 is contextually linked to the stone in Mt.</w:t>
      </w:r>
      <w:r>
        <w:t xml:space="preserve"> 21:42, where the reference is to Ps. 118:22.  </w:t>
      </w:r>
    </w:p>
    <w:p w:rsidR="006A2E06" w:rsidRDefault="006A2E06" w:rsidP="006A2E06">
      <w:pPr>
        <w:spacing w:after="0" w:line="240" w:lineRule="auto"/>
        <w:ind w:left="567"/>
        <w:jc w:val="both"/>
        <w:rPr>
          <w:i/>
        </w:rPr>
      </w:pPr>
      <w:r w:rsidRPr="00514018">
        <w:rPr>
          <w:i/>
        </w:rPr>
        <w:t>Eschatology</w:t>
      </w:r>
    </w:p>
    <w:p w:rsidR="006A2E06" w:rsidRDefault="006A2E06" w:rsidP="006A2E06">
      <w:pPr>
        <w:spacing w:after="120" w:line="240" w:lineRule="auto"/>
        <w:ind w:left="851"/>
        <w:jc w:val="both"/>
      </w:pPr>
      <w:r w:rsidRPr="00603DCB">
        <w:rPr>
          <w:i/>
        </w:rPr>
        <w:t>SRB</w:t>
      </w:r>
      <w:r>
        <w:t xml:space="preserve"> note on Mt. 24:3 contains a virtual summary of Scofield’s eschatological concepts in an outline largely based upon associations with Daniel, including ‘the end of the age’, ie Daniel’s seventieth week, the Jewish remnant, the abomination and the great tribulation.  Assertion that ‘a careful study of Daniel 2, 7 and 9, and Revelation 13, will make the interpretation clear’.</w:t>
      </w:r>
      <w:r>
        <w:rPr>
          <w:rStyle w:val="EndnoteReference"/>
        </w:rPr>
        <w:endnoteReference w:id="2837"/>
      </w:r>
    </w:p>
    <w:p w:rsidR="006A2E06" w:rsidRDefault="006A2E06" w:rsidP="006A2E06">
      <w:pPr>
        <w:spacing w:after="120" w:line="240" w:lineRule="auto"/>
        <w:ind w:left="1418"/>
        <w:jc w:val="both"/>
      </w:pPr>
      <w:r w:rsidRPr="00F56B6C">
        <w:rPr>
          <w:b/>
          <w:i/>
        </w:rPr>
        <w:t>Comment</w:t>
      </w:r>
      <w:r>
        <w:t xml:space="preserve">: Much of the material in the note on Mt. 24:3 mirrors that in the text of Matthew 24 but there are subtle additions to Christ’s recorded speech.  Scofield defines </w:t>
      </w:r>
      <w:r>
        <w:lastRenderedPageBreak/>
        <w:t>‘these things’ in Mt. 24:6 as specifically concerning ‘the destruction of the temple and city’.</w:t>
      </w:r>
      <w:r>
        <w:rPr>
          <w:rStyle w:val="EndnoteReference"/>
        </w:rPr>
        <w:endnoteReference w:id="2838"/>
      </w:r>
      <w:r>
        <w:t xml:space="preserve">  He introduces ‘a double interpretation’ of Mt. 24:4-14, which differentiates between conditions in this age and their application to the end of the age.  The </w:t>
      </w:r>
      <w:r w:rsidRPr="00496E1C">
        <w:rPr>
          <w:i/>
        </w:rPr>
        <w:t>KJV</w:t>
      </w:r>
      <w:r>
        <w:t xml:space="preserve"> text includes no time-scale but provides a continuous sequence of events.  It does not mention Daniel’s seventieth week.  Scofield defines ‘the abomination of desolation, spoken of by Daniel the prophet’ as ‘“the man of sin” or “Beast”’;</w:t>
      </w:r>
      <w:r>
        <w:rPr>
          <w:rStyle w:val="EndnoteReference"/>
        </w:rPr>
        <w:endnoteReference w:id="2839"/>
      </w:r>
      <w:r>
        <w:t xml:space="preserve"> this identification is not made in the </w:t>
      </w:r>
      <w:r w:rsidRPr="00496E1C">
        <w:rPr>
          <w:i/>
        </w:rPr>
        <w:t>KJV</w:t>
      </w:r>
      <w:r>
        <w:t xml:space="preserve"> text.  Scofield also asserts the length of the great tribulation and its culmination in ‘the battle of Rev. 19:19-21’; he identifies Christ with the Smiting Stone of Daniel 2:34; and he links the coming of the son of man with ‘the smiting of the ‘Gentile world-power’.</w:t>
      </w:r>
      <w:r>
        <w:rPr>
          <w:rStyle w:val="EndnoteReference"/>
        </w:rPr>
        <w:endnoteReference w:id="2840"/>
      </w:r>
      <w:r>
        <w:t xml:space="preserve">  These are all features which do not appear in Matthew 24, </w:t>
      </w:r>
      <w:r w:rsidRPr="009530BF">
        <w:rPr>
          <w:i/>
        </w:rPr>
        <w:t>KJV</w:t>
      </w:r>
      <w:r>
        <w:t>.</w:t>
      </w:r>
    </w:p>
    <w:p w:rsidR="006A2E06" w:rsidRDefault="006A2E06" w:rsidP="006A2E06">
      <w:pPr>
        <w:spacing w:after="120" w:line="240" w:lineRule="auto"/>
        <w:ind w:left="851"/>
        <w:jc w:val="both"/>
      </w:pPr>
      <w:r>
        <w:t>Occurrence of o</w:t>
      </w:r>
      <w:r w:rsidRPr="009454AC">
        <w:t>ne of several assertions that the Old Testament prophets were not aware of the occurrence of any interval between Christ’s first and second comings.</w:t>
      </w:r>
      <w:r w:rsidRPr="009454AC">
        <w:rPr>
          <w:rStyle w:val="EndnoteReference"/>
        </w:rPr>
        <w:endnoteReference w:id="2841"/>
      </w:r>
      <w:r w:rsidRPr="009454AC">
        <w:t xml:space="preserve">  </w:t>
      </w:r>
    </w:p>
    <w:p w:rsidR="006A2E06" w:rsidRPr="009454AC" w:rsidRDefault="006A2E06" w:rsidP="006A2E06">
      <w:pPr>
        <w:spacing w:after="120" w:line="240" w:lineRule="auto"/>
        <w:ind w:left="851"/>
        <w:jc w:val="both"/>
      </w:pPr>
      <w:r w:rsidRPr="009454AC">
        <w:t>Assertion that ‘the ‘mysteries of the kingdom of heaven’ are to occur during this interval.</w:t>
      </w:r>
      <w:r>
        <w:rPr>
          <w:rStyle w:val="EndnoteReference"/>
        </w:rPr>
        <w:endnoteReference w:id="2842"/>
      </w:r>
    </w:p>
    <w:p w:rsidR="006A2E06" w:rsidRDefault="006A2E06" w:rsidP="006A2E06">
      <w:pPr>
        <w:spacing w:after="0" w:line="240" w:lineRule="auto"/>
        <w:ind w:left="851"/>
        <w:jc w:val="both"/>
        <w:rPr>
          <w:i/>
        </w:rPr>
      </w:pPr>
      <w:r>
        <w:rPr>
          <w:i/>
        </w:rPr>
        <w:t>Christ’s Second Coming</w:t>
      </w:r>
    </w:p>
    <w:p w:rsidR="006A2E06" w:rsidRDefault="006A2E06" w:rsidP="006A2E06">
      <w:pPr>
        <w:spacing w:after="120" w:line="240" w:lineRule="auto"/>
        <w:ind w:left="851"/>
        <w:jc w:val="both"/>
      </w:pPr>
      <w:r>
        <w:t>Claim that ‘when [Christ’s] messengers are cast out by the Jews, His thought leaps forward to the time when the Son of man shall come, not then to Israel only but to the race’.</w:t>
      </w:r>
      <w:r>
        <w:rPr>
          <w:rStyle w:val="EndnoteReference"/>
        </w:rPr>
        <w:endnoteReference w:id="2843"/>
      </w:r>
    </w:p>
    <w:p w:rsidR="006A2E06" w:rsidRDefault="006A2E06" w:rsidP="006A2E06">
      <w:pPr>
        <w:spacing w:after="120" w:line="240" w:lineRule="auto"/>
        <w:ind w:left="851"/>
        <w:jc w:val="both"/>
      </w:pPr>
      <w:r>
        <w:t>Claim that Mt. 10:23 concerns ‘the preaching of the remnant in tribulation and immediately preceding the Lord’s return in glory’.</w:t>
      </w:r>
      <w:r>
        <w:rPr>
          <w:rStyle w:val="EndnoteReference"/>
        </w:rPr>
        <w:endnoteReference w:id="2844"/>
      </w:r>
      <w:r>
        <w:t xml:space="preserve">  </w:t>
      </w:r>
    </w:p>
    <w:p w:rsidR="006A2E06" w:rsidRDefault="006A2E06" w:rsidP="006A2E06">
      <w:pPr>
        <w:spacing w:after="120" w:line="240" w:lineRule="auto"/>
        <w:ind w:left="851"/>
        <w:jc w:val="both"/>
      </w:pPr>
      <w:r>
        <w:t>Claim identifying ‘my brethren’ in the judgment of the nations as Jewish remnant.</w:t>
      </w:r>
      <w:r>
        <w:rPr>
          <w:rStyle w:val="EndnoteReference"/>
        </w:rPr>
        <w:endnoteReference w:id="2845"/>
      </w:r>
    </w:p>
    <w:p w:rsidR="006A2E06" w:rsidRDefault="006A2E06" w:rsidP="006A2E06">
      <w:pPr>
        <w:spacing w:after="120" w:line="240" w:lineRule="auto"/>
        <w:ind w:left="1418"/>
        <w:jc w:val="both"/>
      </w:pPr>
      <w:r w:rsidRPr="00F56B6C">
        <w:rPr>
          <w:b/>
          <w:i/>
        </w:rPr>
        <w:t>Comment</w:t>
      </w:r>
      <w:r>
        <w:t>: The two claims concerning the remnant in Mt. 10:23 and Matthew 25 are not justified within the text of Matthew and contain pure interpretation on Scofield’s part.  In context, Christ’s words in Mt. 10:23 are addressed to the disciples then being sent out and do not contain any eschatological element.  The ‘brethren’ in at the judgment in Matthew 25 simply represent Christ as he is treated well or badly by ‘the nations’; no single group is named here.</w:t>
      </w:r>
      <w:r>
        <w:rPr>
          <w:rStyle w:val="EndnoteReference"/>
        </w:rPr>
        <w:endnoteReference w:id="2846"/>
      </w:r>
    </w:p>
    <w:p w:rsidR="006A2E06" w:rsidRDefault="006A2E06" w:rsidP="006A2E06">
      <w:pPr>
        <w:spacing w:after="0" w:line="240" w:lineRule="auto"/>
        <w:ind w:left="567"/>
        <w:jc w:val="both"/>
        <w:rPr>
          <w:i/>
        </w:rPr>
      </w:pPr>
      <w:r>
        <w:rPr>
          <w:i/>
        </w:rPr>
        <w:t>Harmonisation and Rebuttal of Perceived Discrepancies</w:t>
      </w:r>
    </w:p>
    <w:p w:rsidR="006A2E06" w:rsidRDefault="006A2E06" w:rsidP="006A2E06">
      <w:pPr>
        <w:spacing w:after="120" w:line="240" w:lineRule="auto"/>
        <w:ind w:left="851"/>
        <w:jc w:val="both"/>
      </w:pPr>
      <w:r>
        <w:t xml:space="preserve">Much volume in annotation of Matthew 26 </w:t>
      </w:r>
      <w:r w:rsidRPr="00012B96">
        <w:rPr>
          <w:sz w:val="16"/>
          <w:szCs w:val="24"/>
        </w:rPr>
        <w:t>—</w:t>
      </w:r>
      <w:r>
        <w:rPr>
          <w:sz w:val="16"/>
          <w:szCs w:val="24"/>
        </w:rPr>
        <w:t xml:space="preserve"> </w:t>
      </w:r>
      <w:r>
        <w:t>28 is created by Scofield’s attempts to harmonise the Gospel accounts, to provide ‘orders of events’</w:t>
      </w:r>
      <w:r>
        <w:rPr>
          <w:rStyle w:val="EndnoteReference"/>
        </w:rPr>
        <w:endnoteReference w:id="2847"/>
      </w:r>
      <w:r>
        <w:t xml:space="preserve"> and to refute perceived discrepancies.</w:t>
      </w:r>
    </w:p>
    <w:p w:rsidR="006A2E06" w:rsidRDefault="006A2E06" w:rsidP="006A2E06">
      <w:pPr>
        <w:spacing w:after="120" w:line="240" w:lineRule="auto"/>
        <w:ind w:left="851"/>
        <w:jc w:val="both"/>
      </w:pPr>
      <w:r>
        <w:t xml:space="preserve">This synchronisation is </w:t>
      </w:r>
      <w:r w:rsidR="00E46000">
        <w:t>labell</w:t>
      </w:r>
      <w:r>
        <w:t xml:space="preserve">ed </w:t>
      </w:r>
      <w:r w:rsidRPr="007545DF">
        <w:t>‘combining the four narratives’</w:t>
      </w:r>
      <w:r>
        <w:t>.</w:t>
      </w:r>
      <w:r>
        <w:rPr>
          <w:rStyle w:val="EndnoteReference"/>
        </w:rPr>
        <w:endnoteReference w:id="2848"/>
      </w:r>
    </w:p>
    <w:p w:rsidR="006A2E06" w:rsidRPr="007545DF" w:rsidRDefault="006A2E06" w:rsidP="006A2E06">
      <w:pPr>
        <w:spacing w:after="120" w:line="240" w:lineRule="auto"/>
        <w:ind w:left="1418"/>
        <w:jc w:val="both"/>
      </w:pPr>
      <w:r w:rsidRPr="007D4241">
        <w:rPr>
          <w:b/>
          <w:i/>
        </w:rPr>
        <w:t>Comment</w:t>
      </w:r>
      <w:r>
        <w:t xml:space="preserve">: </w:t>
      </w:r>
      <w:r w:rsidRPr="007545DF">
        <w:t xml:space="preserve">Some of the events from different </w:t>
      </w:r>
      <w:r>
        <w:t>G</w:t>
      </w:r>
      <w:r w:rsidRPr="007545DF">
        <w:t xml:space="preserve">ospels cannot be reconciled without manipulation.  </w:t>
      </w:r>
      <w:r>
        <w:t>The method of</w:t>
      </w:r>
      <w:r w:rsidRPr="007545DF">
        <w:t xml:space="preserve"> ‘combining the four narratives’ is insupportable and it forces Scofield to make adaptations in order to maintain his literal interpretation.</w:t>
      </w:r>
      <w:r>
        <w:rPr>
          <w:rStyle w:val="EndnoteReference"/>
        </w:rPr>
        <w:endnoteReference w:id="2849"/>
      </w:r>
      <w:r>
        <w:t xml:space="preserve">  </w:t>
      </w:r>
    </w:p>
    <w:p w:rsidR="006A2E06" w:rsidRDefault="006A2E06" w:rsidP="006A2E06">
      <w:pPr>
        <w:spacing w:after="0" w:line="240" w:lineRule="auto"/>
        <w:ind w:left="567"/>
        <w:jc w:val="both"/>
        <w:rPr>
          <w:i/>
        </w:rPr>
      </w:pPr>
      <w:r w:rsidRPr="00DB5028">
        <w:rPr>
          <w:i/>
        </w:rPr>
        <w:t>Dispensational Material and Law/Grace Contrasts</w:t>
      </w:r>
    </w:p>
    <w:p w:rsidR="006A2E06" w:rsidRDefault="006A2E06" w:rsidP="006A2E06">
      <w:pPr>
        <w:spacing w:after="120" w:line="240" w:lineRule="auto"/>
        <w:ind w:left="851"/>
        <w:jc w:val="both"/>
      </w:pPr>
      <w:r w:rsidRPr="00835838">
        <w:t xml:space="preserve">Christ’s ministry </w:t>
      </w:r>
      <w:r>
        <w:t xml:space="preserve">is </w:t>
      </w:r>
      <w:r w:rsidRPr="00835838">
        <w:t xml:space="preserve">placed firmly within dispensation of law rather than grace: </w:t>
      </w:r>
      <w:r>
        <w:t>according to the ‘law of the kingdom’ (presumably the law of the ‘mystery-form’ of the kingdom, though the use of the word here is ambiguous), ‘no-one may hope for forgiveness who has not first forgiven’;</w:t>
      </w:r>
      <w:r>
        <w:rPr>
          <w:rStyle w:val="EndnoteReference"/>
        </w:rPr>
        <w:endnoteReference w:id="2850"/>
      </w:r>
      <w:r>
        <w:t xml:space="preserve"> the condition of divine forgiveness is our own exercise of forgiveness.</w:t>
      </w:r>
      <w:r>
        <w:rPr>
          <w:rStyle w:val="EndnoteReference"/>
        </w:rPr>
        <w:endnoteReference w:id="2851"/>
      </w:r>
    </w:p>
    <w:p w:rsidR="006A2E06" w:rsidRDefault="006A2E06" w:rsidP="006A2E06">
      <w:pPr>
        <w:spacing w:after="120" w:line="240" w:lineRule="auto"/>
        <w:ind w:left="851"/>
        <w:jc w:val="both"/>
      </w:pPr>
      <w:r>
        <w:t xml:space="preserve">Implication that </w:t>
      </w:r>
      <w:r w:rsidRPr="001B2AA2">
        <w:t>the Lord’s Prayer is not intended for Christians, especi</w:t>
      </w:r>
      <w:r>
        <w:t>ally in relation to forgiveness.</w:t>
      </w:r>
      <w:r>
        <w:rPr>
          <w:rStyle w:val="EndnoteReference"/>
        </w:rPr>
        <w:endnoteReference w:id="2852"/>
      </w:r>
    </w:p>
    <w:p w:rsidR="006A2E06" w:rsidRDefault="006A2E06" w:rsidP="006A2E06">
      <w:pPr>
        <w:spacing w:after="120" w:line="240" w:lineRule="auto"/>
        <w:ind w:left="851"/>
        <w:jc w:val="both"/>
      </w:pPr>
      <w:r w:rsidRPr="001B2AA2">
        <w:t>Jesus’ death and resurrection occasioned the beginning of the dispensation of grace</w:t>
      </w:r>
      <w:r>
        <w:t>.</w:t>
      </w:r>
      <w:r>
        <w:rPr>
          <w:rStyle w:val="EndnoteReference"/>
        </w:rPr>
        <w:endnoteReference w:id="2853"/>
      </w:r>
    </w:p>
    <w:p w:rsidR="006A2E06" w:rsidRDefault="006A2E06" w:rsidP="006A2E06">
      <w:pPr>
        <w:spacing w:after="120" w:line="240" w:lineRule="auto"/>
        <w:ind w:left="1418"/>
        <w:jc w:val="both"/>
      </w:pPr>
      <w:r w:rsidRPr="007D4241">
        <w:rPr>
          <w:b/>
          <w:i/>
        </w:rPr>
        <w:t>Comment</w:t>
      </w:r>
      <w:r>
        <w:t>: This reflects the</w:t>
      </w:r>
      <w:r w:rsidRPr="001B2AA2">
        <w:t xml:space="preserve"> very particular dispensationalist view</w:t>
      </w:r>
      <w:r>
        <w:t xml:space="preserve"> that the age of grace began only at Christ’s death</w:t>
      </w:r>
      <w:r w:rsidRPr="001B2AA2">
        <w:t xml:space="preserve">, </w:t>
      </w:r>
      <w:r>
        <w:t xml:space="preserve">which Scofield presents </w:t>
      </w:r>
      <w:r w:rsidRPr="001B2AA2">
        <w:t>as if it were axiomatic</w:t>
      </w:r>
      <w:r>
        <w:rPr>
          <w:rStyle w:val="EndnoteReference"/>
        </w:rPr>
        <w:endnoteReference w:id="2854"/>
      </w:r>
      <w:r>
        <w:t xml:space="preserve"> </w:t>
      </w:r>
      <w:r w:rsidRPr="001B2AA2">
        <w:t xml:space="preserve">but the opening words of Mark’s </w:t>
      </w:r>
      <w:r>
        <w:t>G</w:t>
      </w:r>
      <w:r w:rsidRPr="001B2AA2">
        <w:t>ospel make this questionable.</w:t>
      </w:r>
      <w:r w:rsidRPr="001B2AA2">
        <w:rPr>
          <w:rStyle w:val="FootnoteReference"/>
        </w:rPr>
        <w:footnoteReference w:id="96"/>
      </w:r>
      <w:r>
        <w:t xml:space="preserve">  </w:t>
      </w:r>
    </w:p>
    <w:p w:rsidR="009148E0" w:rsidRDefault="009148E0" w:rsidP="006A2E06">
      <w:pPr>
        <w:spacing w:after="120" w:line="240" w:lineRule="auto"/>
        <w:ind w:left="1418"/>
        <w:jc w:val="both"/>
      </w:pPr>
    </w:p>
    <w:p w:rsidR="009148E0" w:rsidRDefault="009148E0" w:rsidP="006A2E06">
      <w:pPr>
        <w:spacing w:after="120" w:line="240" w:lineRule="auto"/>
        <w:ind w:left="1418"/>
        <w:jc w:val="both"/>
      </w:pPr>
    </w:p>
    <w:p w:rsidR="006A2E06" w:rsidRPr="00EB775D" w:rsidRDefault="006A2E06" w:rsidP="006A2E06">
      <w:pPr>
        <w:spacing w:after="120" w:line="360" w:lineRule="auto"/>
        <w:jc w:val="both"/>
        <w:rPr>
          <w:b/>
          <w:i/>
        </w:rPr>
      </w:pPr>
      <w:r w:rsidRPr="00EB775D">
        <w:rPr>
          <w:b/>
          <w:i/>
        </w:rPr>
        <w:lastRenderedPageBreak/>
        <w:t>Excursi</w:t>
      </w:r>
      <w:r>
        <w:rPr>
          <w:rStyle w:val="EndnoteReference"/>
          <w:b/>
          <w:i/>
        </w:rPr>
        <w:endnoteReference w:id="2855"/>
      </w:r>
    </w:p>
    <w:p w:rsidR="006A2E06" w:rsidRDefault="006A2E06" w:rsidP="006A2E06">
      <w:pPr>
        <w:spacing w:after="120" w:line="360" w:lineRule="auto"/>
        <w:jc w:val="both"/>
      </w:pPr>
      <w:r>
        <w:t xml:space="preserve">Some </w:t>
      </w:r>
      <w:r w:rsidRPr="002C6F43">
        <w:rPr>
          <w:i/>
        </w:rPr>
        <w:t xml:space="preserve">excursi </w:t>
      </w:r>
      <w:r>
        <w:t>are simply informative and are similar to notes which might be found in conventional reference Bibles;</w:t>
      </w:r>
      <w:r>
        <w:rPr>
          <w:rStyle w:val="EndnoteReference"/>
        </w:rPr>
        <w:endnoteReference w:id="2856"/>
      </w:r>
      <w:r>
        <w:t xml:space="preserve"> others, which contain long lists of Bible verses, probably reflect Scofield’s use of the Bible Readings method.</w:t>
      </w:r>
      <w:r w:rsidRPr="002C6F43">
        <w:rPr>
          <w:rStyle w:val="EndnoteReference"/>
        </w:rPr>
        <w:endnoteReference w:id="2857"/>
      </w:r>
      <w:r>
        <w:t xml:space="preserve">  However, some of the information is not accurate, for example in the note on the scribes.</w:t>
      </w:r>
      <w:r>
        <w:rPr>
          <w:rStyle w:val="EndnoteReference"/>
        </w:rPr>
        <w:endnoteReference w:id="2858"/>
      </w:r>
      <w:r>
        <w:t xml:space="preserve">  </w:t>
      </w:r>
    </w:p>
    <w:p w:rsidR="006A2E06" w:rsidRDefault="006A2E06" w:rsidP="006A2E06">
      <w:pPr>
        <w:spacing w:after="120" w:line="360" w:lineRule="auto"/>
        <w:ind w:firstLine="567"/>
        <w:jc w:val="both"/>
      </w:pPr>
      <w:r>
        <w:rPr>
          <w:lang w:val="en-US" w:eastAsia="en-GB" w:bidi="he-IL"/>
        </w:rPr>
        <w:t xml:space="preserve">Scofield makes some anachronistic remarks in his </w:t>
      </w:r>
      <w:r w:rsidRPr="003A7E30">
        <w:rPr>
          <w:i/>
          <w:lang w:val="en-US" w:eastAsia="en-GB" w:bidi="he-IL"/>
        </w:rPr>
        <w:t>excursus</w:t>
      </w:r>
      <w:r>
        <w:rPr>
          <w:lang w:val="en-US" w:eastAsia="en-GB" w:bidi="he-IL"/>
        </w:rPr>
        <w:t xml:space="preserve"> on scribes.  He accuses </w:t>
      </w:r>
      <w:r w:rsidRPr="007F0CD9">
        <w:rPr>
          <w:lang w:val="en-US" w:eastAsia="en-GB" w:bidi="he-IL"/>
        </w:rPr>
        <w:t xml:space="preserve">the </w:t>
      </w:r>
      <w:r w:rsidRPr="007F0CD9">
        <w:rPr>
          <w:color w:val="000000"/>
        </w:rPr>
        <w:t xml:space="preserve">scribes </w:t>
      </w:r>
      <w:r>
        <w:rPr>
          <w:color w:val="000000"/>
        </w:rPr>
        <w:t xml:space="preserve">of Jesus’ time </w:t>
      </w:r>
      <w:r w:rsidRPr="007F0CD9">
        <w:rPr>
          <w:color w:val="000000"/>
        </w:rPr>
        <w:t>of adding to scripture with ‘Halachoth’, ‘Mishna’, ‘Gemara’</w:t>
      </w:r>
      <w:r>
        <w:rPr>
          <w:color w:val="000000"/>
        </w:rPr>
        <w:t xml:space="preserve"> (forming, together with the Mishna, the ‘Talmud’)</w:t>
      </w:r>
      <w:r w:rsidRPr="007F0CD9">
        <w:rPr>
          <w:color w:val="000000"/>
        </w:rPr>
        <w:t>, ‘Midrashim’, ‘Hagada’ and ‘mystical interpretations’ including ‘the Kabbala’</w:t>
      </w:r>
      <w:r>
        <w:rPr>
          <w:color w:val="000000"/>
        </w:rPr>
        <w:t xml:space="preserve">.  However, Joseph Telushkin states that </w:t>
      </w:r>
      <w:r w:rsidRPr="007F0CD9">
        <w:t>the Mishna is the result of a decision by Rabbi Judah the Prince around 200 CE ‘to record in writing the Oral Law’, a writing which had been resisted for centuries by ‘Judaism’s leading rabbis’</w:t>
      </w:r>
      <w:r>
        <w:t>, and that</w:t>
      </w:r>
      <w:r w:rsidRPr="007F0CD9">
        <w:t xml:space="preserve"> </w:t>
      </w:r>
      <w:r>
        <w:t>t</w:t>
      </w:r>
      <w:r w:rsidRPr="007F0CD9">
        <w:t>he Mishna is arranged topically.</w:t>
      </w:r>
      <w:r>
        <w:rPr>
          <w:rStyle w:val="EndnoteReference"/>
        </w:rPr>
        <w:endnoteReference w:id="2859"/>
      </w:r>
      <w:r w:rsidRPr="007F0CD9">
        <w:t xml:space="preserve"> </w:t>
      </w:r>
      <w:r w:rsidRPr="007F0CD9">
        <w:rPr>
          <w:color w:val="000000"/>
        </w:rPr>
        <w:t xml:space="preserve"> </w:t>
      </w:r>
      <w:r w:rsidRPr="007F0CD9">
        <w:t xml:space="preserve">This topical arrangement does not sound unlike Scofield’s own system of ‘connected topical lines of reference’ which ‘end in analytical summaries of the whole teaching of Scripture on that subject’, as described in the </w:t>
      </w:r>
      <w:r w:rsidRPr="007F0CD9">
        <w:rPr>
          <w:i/>
        </w:rPr>
        <w:t>SRB</w:t>
      </w:r>
      <w:r w:rsidRPr="007F0CD9">
        <w:t xml:space="preserve"> introduction,</w:t>
      </w:r>
      <w:r>
        <w:rPr>
          <w:rStyle w:val="EndnoteReference"/>
        </w:rPr>
        <w:endnoteReference w:id="2860"/>
      </w:r>
      <w:r w:rsidRPr="007F0CD9">
        <w:t xml:space="preserve"> </w:t>
      </w:r>
      <w:r>
        <w:t>and probably reflecting the ‘Bible Readings method’.</w:t>
      </w:r>
      <w:r>
        <w:rPr>
          <w:rStyle w:val="EndnoteReference"/>
        </w:rPr>
        <w:endnoteReference w:id="2861"/>
      </w:r>
      <w:r>
        <w:t xml:space="preserve">  </w:t>
      </w:r>
      <w:r w:rsidRPr="00AD1A27">
        <w:t>The Babylonian Talmud is even later than this; it consists of the Mishna, together with rabbinical discussions on it (the Gemara), and it was formulated ‘more than a century’ after the Palestinian Talmud of about 400 CE.</w:t>
      </w:r>
      <w:r>
        <w:rPr>
          <w:rStyle w:val="EndnoteReference"/>
        </w:rPr>
        <w:endnoteReference w:id="2862"/>
      </w:r>
      <w:r>
        <w:t xml:space="preserve">  </w:t>
      </w:r>
    </w:p>
    <w:p w:rsidR="006A2E06" w:rsidRPr="00C37347" w:rsidRDefault="006A2E06" w:rsidP="006A2E06">
      <w:pPr>
        <w:spacing w:after="120" w:line="240" w:lineRule="auto"/>
        <w:ind w:left="1134" w:right="1701"/>
        <w:jc w:val="both"/>
      </w:pPr>
      <w:r w:rsidRPr="00C37347">
        <w:t>Kabbalah is the traditional and most commonly used term for the esoteric teachings of Judaism and for Jewish mysticism, especially the forms which it assumed in the Middle Ages from the 12</w:t>
      </w:r>
      <w:r w:rsidRPr="00C37347">
        <w:rPr>
          <w:vertAlign w:val="superscript"/>
        </w:rPr>
        <w:t>th</w:t>
      </w:r>
      <w:r w:rsidRPr="00C37347">
        <w:t xml:space="preserve"> century onward. In its wider sense it signifies all the successive esoteric movements in Judaism that evolved from the end of the period of the Second Temple and became active factors in the history of Israel.</w:t>
      </w:r>
      <w:r w:rsidRPr="00C37347">
        <w:rPr>
          <w:rStyle w:val="EndnoteReference"/>
        </w:rPr>
        <w:endnoteReference w:id="2863"/>
      </w:r>
    </w:p>
    <w:p w:rsidR="006A2E06" w:rsidRDefault="006A2E06" w:rsidP="006A2E06">
      <w:pPr>
        <w:pStyle w:val="EndnoteText"/>
        <w:spacing w:after="120" w:line="360" w:lineRule="auto"/>
        <w:ind w:firstLine="567"/>
        <w:jc w:val="both"/>
        <w:rPr>
          <w:sz w:val="22"/>
        </w:rPr>
      </w:pPr>
      <w:r w:rsidRPr="00AD1A27">
        <w:rPr>
          <w:sz w:val="22"/>
        </w:rPr>
        <w:t>Scofield could thus be correct in implying that kabbalistic belief was extant at the time of Christ but he offers no evidence for his statement that scribes contemporary with Jesus were writing Kabbalah and this assertion is, therefore, unjustified.</w:t>
      </w:r>
    </w:p>
    <w:p w:rsidR="006A2E06" w:rsidRPr="00EB775D" w:rsidRDefault="006A2E06" w:rsidP="006A2E06">
      <w:pPr>
        <w:pStyle w:val="EndnoteText"/>
        <w:spacing w:after="120" w:line="360" w:lineRule="auto"/>
        <w:jc w:val="both"/>
        <w:rPr>
          <w:b/>
          <w:i/>
          <w:sz w:val="22"/>
        </w:rPr>
      </w:pPr>
      <w:r w:rsidRPr="00EB775D">
        <w:rPr>
          <w:b/>
          <w:i/>
          <w:sz w:val="22"/>
        </w:rPr>
        <w:t>Discourses</w:t>
      </w:r>
      <w:r>
        <w:rPr>
          <w:rStyle w:val="EndnoteReference"/>
          <w:b/>
          <w:i/>
          <w:sz w:val="22"/>
        </w:rPr>
        <w:endnoteReference w:id="2864"/>
      </w:r>
    </w:p>
    <w:p w:rsidR="006A2E06" w:rsidRDefault="006A2E06" w:rsidP="006A2E06">
      <w:pPr>
        <w:spacing w:after="120" w:line="360" w:lineRule="auto"/>
        <w:jc w:val="both"/>
      </w:pPr>
      <w:r>
        <w:t>Scofield lists eleven ‘greater mysteries’ in his discourse in his note on Mt. 13:11.</w:t>
      </w:r>
      <w:r>
        <w:rPr>
          <w:rStyle w:val="EndnoteReference"/>
        </w:rPr>
        <w:endnoteReference w:id="2865"/>
      </w:r>
      <w:r>
        <w:t xml:space="preserve">  The list is selective.</w:t>
      </w:r>
      <w:r>
        <w:rPr>
          <w:rStyle w:val="EndnoteReference"/>
        </w:rPr>
        <w:endnoteReference w:id="2866"/>
      </w:r>
      <w:r>
        <w:t xml:space="preserve">  Since Scofield differentiates between the kingdoms of heaven and of God, it is strange that he does not refer to ‘the mysteries of the kingdom of God’ in Mk. 4:11 and Lk. 8:10.  The word </w:t>
      </w:r>
      <w:r w:rsidRPr="005E08F8">
        <w:rPr>
          <w:rFonts w:ascii="Bwgrkl" w:hAnsi="Bwgrkl" w:cs="Bwgrkl"/>
          <w:lang w:val="en-US" w:bidi="he-IL"/>
        </w:rPr>
        <w:t>musth,rion</w:t>
      </w:r>
      <w:r w:rsidRPr="005E08F8">
        <w:rPr>
          <w:sz w:val="24"/>
        </w:rPr>
        <w:t xml:space="preserve"> </w:t>
      </w:r>
      <w:r>
        <w:t xml:space="preserve">does not appear in Mt. 13:33, where Scofield presumably uses ‘mystery of iniquity’ to reflect his own interpretation </w:t>
      </w:r>
      <w:r w:rsidRPr="008A48EF">
        <w:rPr>
          <w:spacing w:val="-4"/>
        </w:rPr>
        <w:t>of leaven as symbolising evil;</w:t>
      </w:r>
      <w:r>
        <w:rPr>
          <w:rStyle w:val="EndnoteReference"/>
          <w:spacing w:val="-4"/>
        </w:rPr>
        <w:endnoteReference w:id="2867"/>
      </w:r>
      <w:r w:rsidRPr="008A48EF">
        <w:rPr>
          <w:spacing w:val="-4"/>
        </w:rPr>
        <w:t xml:space="preserve"> the mystery of iniquity is actually mentioned in his other reference, 2 Thess. 2:7.</w:t>
      </w:r>
      <w:r>
        <w:t xml:space="preserve">  The word </w:t>
      </w:r>
      <w:r w:rsidRPr="005E08F8">
        <w:rPr>
          <w:rFonts w:ascii="Bwgrkl" w:hAnsi="Bwgrkl" w:cs="Bwgrkl"/>
          <w:lang w:val="en-US" w:bidi="he-IL"/>
        </w:rPr>
        <w:t>musth,rion</w:t>
      </w:r>
      <w:r>
        <w:t xml:space="preserve"> does not occur at all in 1 Thessalonians, where Scofield uses it to support his theory of translation, nor is translation mentioned in his other reference, 1 Cor. 15:51-2.</w:t>
      </w:r>
      <w:r>
        <w:rPr>
          <w:rStyle w:val="EndnoteReference"/>
        </w:rPr>
        <w:endnoteReference w:id="2868"/>
      </w:r>
      <w:r>
        <w:t xml:space="preserve">  The word </w:t>
      </w:r>
      <w:r w:rsidRPr="005E08F8">
        <w:rPr>
          <w:rFonts w:ascii="Bwgrkl" w:hAnsi="Bwgrkl" w:cs="Bwgrkl"/>
          <w:lang w:val="en-US" w:bidi="he-IL"/>
        </w:rPr>
        <w:t>musth,rion</w:t>
      </w:r>
      <w:r>
        <w:t xml:space="preserve"> does not appear in Galatians, though Gal. 2:20 might be summarised as describing Christ living in Christians.  Scofield also omits some important references to ‘mysteries’, for example, he does not refer to </w:t>
      </w:r>
      <w:r w:rsidRPr="00667EDB">
        <w:rPr>
          <w:spacing w:val="4"/>
        </w:rPr>
        <w:lastRenderedPageBreak/>
        <w:t>other important, named mysteries such as God’s hidden wisdom ‘ordained before the world unto our</w:t>
      </w:r>
      <w:r>
        <w:t xml:space="preserve"> glory’,</w:t>
      </w:r>
      <w:r>
        <w:rPr>
          <w:rStyle w:val="EndnoteReference"/>
        </w:rPr>
        <w:endnoteReference w:id="2869"/>
      </w:r>
      <w:r>
        <w:t xml:space="preserve"> God’s will,</w:t>
      </w:r>
      <w:r>
        <w:rPr>
          <w:rStyle w:val="EndnoteReference"/>
        </w:rPr>
        <w:endnoteReference w:id="2870"/>
      </w:r>
      <w:r>
        <w:t xml:space="preserve"> of the gospel,</w:t>
      </w:r>
      <w:r>
        <w:rPr>
          <w:rStyle w:val="EndnoteReference"/>
        </w:rPr>
        <w:endnoteReference w:id="2871"/>
      </w:r>
      <w:r>
        <w:t xml:space="preserve"> of the faith,</w:t>
      </w:r>
      <w:r>
        <w:rPr>
          <w:rStyle w:val="EndnoteReference"/>
        </w:rPr>
        <w:endnoteReference w:id="2872"/>
      </w:r>
      <w:r>
        <w:t xml:space="preserve"> of the seven lamps,</w:t>
      </w:r>
      <w:r>
        <w:rPr>
          <w:rStyle w:val="EndnoteReference"/>
        </w:rPr>
        <w:endnoteReference w:id="2873"/>
      </w:r>
      <w:r>
        <w:t xml:space="preserve"> of God</w:t>
      </w:r>
      <w:r>
        <w:rPr>
          <w:rStyle w:val="EndnoteReference"/>
        </w:rPr>
        <w:endnoteReference w:id="2874"/>
      </w:r>
      <w:r>
        <w:t xml:space="preserve"> or specifically of Christ.</w:t>
      </w:r>
      <w:r>
        <w:rPr>
          <w:rStyle w:val="EndnoteReference"/>
        </w:rPr>
        <w:endnoteReference w:id="2875"/>
      </w:r>
      <w:r>
        <w:t xml:space="preserve"> </w:t>
      </w:r>
    </w:p>
    <w:p w:rsidR="006A2E06" w:rsidRDefault="006A2E06" w:rsidP="006A2E06">
      <w:pPr>
        <w:spacing w:after="120" w:line="360" w:lineRule="auto"/>
        <w:ind w:firstLine="567"/>
        <w:jc w:val="both"/>
      </w:pPr>
      <w:r>
        <w:t>Scofield’s note on Mt. 16:19 appears keen to limit the importance of Peter’s role</w:t>
      </w:r>
      <w:r>
        <w:rPr>
          <w:rStyle w:val="EndnoteReference"/>
        </w:rPr>
        <w:endnoteReference w:id="2876"/>
      </w:r>
      <w:r>
        <w:t xml:space="preserve"> and is congruent with other notes which are critical of the Papacy.</w:t>
      </w:r>
      <w:r>
        <w:rPr>
          <w:rStyle w:val="EndnoteReference"/>
        </w:rPr>
        <w:endnoteReference w:id="2877"/>
      </w:r>
      <w:r>
        <w:t xml:space="preserve">  Scofield emphasises that Christ does not promise to build his church upon Peter, but upon himself.</w:t>
      </w:r>
      <w:r>
        <w:rPr>
          <w:rStyle w:val="EndnoteReference"/>
        </w:rPr>
        <w:endnoteReference w:id="2878"/>
      </w:r>
    </w:p>
    <w:p w:rsidR="006A2E06" w:rsidRDefault="006A2E06" w:rsidP="006A2E06">
      <w:pPr>
        <w:spacing w:after="120" w:line="360" w:lineRule="auto"/>
        <w:ind w:firstLine="567"/>
        <w:jc w:val="both"/>
        <w:rPr>
          <w:lang w:val="en-US" w:eastAsia="en-GB" w:bidi="he-IL"/>
        </w:rPr>
      </w:pPr>
      <w:r>
        <w:t>In his dis</w:t>
      </w:r>
      <w:r w:rsidR="00A4159F">
        <w:t>c</w:t>
      </w:r>
      <w:r>
        <w:t xml:space="preserve">ourse on </w:t>
      </w:r>
      <w:r w:rsidRPr="00B926DC">
        <w:rPr>
          <w:i/>
        </w:rPr>
        <w:t>genea</w:t>
      </w:r>
      <w:r>
        <w:t>, Scofield claims that all lexicons give ‘the primary definition’ of ‘race, kind, family, stock, breed’ and uses this as evidence that ‘the nation’ or ‘family of Israel’ will be preserved until ‘the world-wide preaching of the kingdom, the great tribulation, the return of the Lord in visible glory and the regathering of the elect’.</w:t>
      </w:r>
      <w:r w:rsidRPr="00F65E58">
        <w:rPr>
          <w:rStyle w:val="EndnoteReference"/>
        </w:rPr>
        <w:endnoteReference w:id="2879"/>
      </w:r>
      <w:r>
        <w:t xml:space="preserve">  </w:t>
      </w:r>
      <w:r w:rsidRPr="00F65E58">
        <w:t xml:space="preserve">Scofield’s definitions of </w:t>
      </w:r>
      <w:r w:rsidRPr="00BE2B51">
        <w:rPr>
          <w:rFonts w:ascii="Bwgrkl" w:hAnsi="Bwgrkl" w:cs="Bwgrkl"/>
          <w:lang w:val="en-US" w:eastAsia="en-GB" w:bidi="he-IL"/>
        </w:rPr>
        <w:t>genea</w:t>
      </w:r>
      <w:r w:rsidRPr="00F65E58">
        <w:rPr>
          <w:rFonts w:ascii="Bwgrkl" w:hAnsi="Bwgrkl" w:cs="Bwgrkl"/>
          <w:lang w:val="en-US" w:eastAsia="en-GB" w:bidi="he-IL"/>
        </w:rPr>
        <w:t>.</w:t>
      </w:r>
      <w:r w:rsidRPr="00F65E58">
        <w:t xml:space="preserve"> are included by some lexicons (for example, ‘race and clan’ are included amongst other translations in the </w:t>
      </w:r>
      <w:r w:rsidRPr="00F65E58">
        <w:rPr>
          <w:i/>
        </w:rPr>
        <w:t>Friberg Greek Lexicon</w:t>
      </w:r>
      <w:r w:rsidRPr="00F65E58">
        <w:t xml:space="preserve"> definition [5291], ‘clan, race, kind’ in the </w:t>
      </w:r>
      <w:r w:rsidRPr="00F65E58">
        <w:rPr>
          <w:i/>
        </w:rPr>
        <w:t>Gingrich Greek Lexicon</w:t>
      </w:r>
      <w:r w:rsidRPr="00F65E58">
        <w:t xml:space="preserve"> [1327] and ‘race, stock, family’ in the </w:t>
      </w:r>
      <w:r w:rsidRPr="00F65E58">
        <w:rPr>
          <w:i/>
        </w:rPr>
        <w:t>Thayer Greek Lexicon</w:t>
      </w:r>
      <w:r w:rsidRPr="00F65E58">
        <w:t xml:space="preserve"> [1124]) but not all lexicons, as Scofield claims.  The </w:t>
      </w:r>
      <w:r w:rsidRPr="00F65E58">
        <w:rPr>
          <w:i/>
        </w:rPr>
        <w:t>UBS Greek Dictionary</w:t>
      </w:r>
      <w:r w:rsidRPr="00F65E58">
        <w:t xml:space="preserve"> gives ‘generation, contemporaries, period, age (of time), posterity or, perhaps, origin’ [1267] and the </w:t>
      </w:r>
      <w:r w:rsidRPr="00F65E58">
        <w:rPr>
          <w:i/>
        </w:rPr>
        <w:t>Louw-Nida Lexicon</w:t>
      </w:r>
      <w:r w:rsidRPr="00F65E58">
        <w:t xml:space="preserve"> gives ‘</w:t>
      </w:r>
      <w:r w:rsidRPr="00F65E58">
        <w:rPr>
          <w:lang w:val="en-US" w:eastAsia="en-GB" w:bidi="he-IL"/>
        </w:rPr>
        <w:t>people living at the same time and belonging to the same reproductive age-class – those of the same time, those of the same generation</w:t>
      </w:r>
      <w:r w:rsidRPr="00F65E58">
        <w:t>’ [11.4].</w:t>
      </w:r>
      <w:r w:rsidRPr="00F65E58">
        <w:rPr>
          <w:lang w:val="en-US" w:eastAsia="en-GB" w:bidi="he-IL"/>
        </w:rPr>
        <w:t xml:space="preserve">  By </w:t>
      </w:r>
      <w:r>
        <w:rPr>
          <w:lang w:val="en-US" w:eastAsia="en-GB" w:bidi="he-IL"/>
        </w:rPr>
        <w:t xml:space="preserve">defining </w:t>
      </w:r>
      <w:r w:rsidRPr="00BE2B51">
        <w:rPr>
          <w:rFonts w:ascii="Bwgrkl" w:hAnsi="Bwgrkl"/>
          <w:lang w:val="en-US" w:eastAsia="en-GB" w:bidi="he-IL"/>
        </w:rPr>
        <w:t>genea.</w:t>
      </w:r>
      <w:r w:rsidRPr="00F65E58">
        <w:rPr>
          <w:lang w:val="en-US" w:eastAsia="en-GB" w:bidi="he-IL"/>
        </w:rPr>
        <w:t xml:space="preserve"> in the way he does, Scofield abandons the </w:t>
      </w:r>
      <w:r w:rsidRPr="00F65E58">
        <w:rPr>
          <w:i/>
          <w:lang w:val="en-US" w:eastAsia="en-GB" w:bidi="he-IL"/>
        </w:rPr>
        <w:t>KJV</w:t>
      </w:r>
      <w:r w:rsidRPr="00F65E58">
        <w:rPr>
          <w:lang w:val="en-US" w:eastAsia="en-GB" w:bidi="he-IL"/>
        </w:rPr>
        <w:t xml:space="preserve"> translation and refutes several other translations which render it ‘generation’, for example, </w:t>
      </w:r>
      <w:r w:rsidRPr="00F65E58">
        <w:rPr>
          <w:i/>
          <w:lang w:val="en-US" w:eastAsia="en-GB" w:bidi="he-IL"/>
        </w:rPr>
        <w:t>NRSV, NIV</w:t>
      </w:r>
      <w:r w:rsidRPr="00F65E58">
        <w:rPr>
          <w:lang w:val="en-US" w:eastAsia="en-GB" w:bidi="he-IL"/>
        </w:rPr>
        <w:t xml:space="preserve"> </w:t>
      </w:r>
      <w:r>
        <w:rPr>
          <w:lang w:val="en-US" w:eastAsia="en-GB" w:bidi="he-IL"/>
        </w:rPr>
        <w:t>and even the Darby translation.  Scofield’s definition also supports the concept of duality.</w:t>
      </w:r>
    </w:p>
    <w:p w:rsidR="006A2E06" w:rsidRPr="00EB775D" w:rsidRDefault="006A2E06" w:rsidP="006A2E06">
      <w:pPr>
        <w:spacing w:after="120" w:line="360" w:lineRule="auto"/>
        <w:jc w:val="both"/>
        <w:rPr>
          <w:b/>
          <w:i/>
        </w:rPr>
      </w:pPr>
      <w:r w:rsidRPr="00EB775D">
        <w:rPr>
          <w:b/>
          <w:i/>
        </w:rPr>
        <w:t>Omissions</w:t>
      </w:r>
    </w:p>
    <w:p w:rsidR="006A2E06" w:rsidRDefault="006A2E06" w:rsidP="006A2E06">
      <w:pPr>
        <w:spacing w:after="120" w:line="360" w:lineRule="auto"/>
        <w:jc w:val="both"/>
      </w:pPr>
      <w:r w:rsidRPr="00B51319">
        <w:t>Only Matthew 9, 14 and 18 are not annotated</w:t>
      </w:r>
      <w:r>
        <w:t xml:space="preserve"> within Matthew’s Gospel</w:t>
      </w:r>
      <w:r w:rsidRPr="00B51319">
        <w:t>.  Chapters 9 and 14 mainly contain accounts of Jesus’ miracles, exhortations about forgiveness and declarations about the people’s need.</w:t>
      </w:r>
      <w:r w:rsidRPr="00B51319">
        <w:rPr>
          <w:rStyle w:val="EndnoteReference"/>
        </w:rPr>
        <w:endnoteReference w:id="2880"/>
      </w:r>
      <w:r w:rsidRPr="00B51319">
        <w:t xml:space="preserve">  These matters do not seem to be of concern to Scofield.  It is, perhaps, not surprising that Scofield does not comment on Mt. 18:1-10, which gives a picture of the kingdom of heaven incompatible with Scofield’s concept of it as a political kingdom</w:t>
      </w:r>
      <w:r w:rsidRPr="00B51319">
        <w:rPr>
          <w:rStyle w:val="EndnoteReference"/>
        </w:rPr>
        <w:endnoteReference w:id="2881"/>
      </w:r>
      <w:r>
        <w:t xml:space="preserve"> </w:t>
      </w:r>
      <w:r w:rsidRPr="00B51319">
        <w:t>since it can only be entered by those who become like little children.</w:t>
      </w:r>
      <w:r w:rsidRPr="00B51319">
        <w:rPr>
          <w:rStyle w:val="EndnoteReference"/>
        </w:rPr>
        <w:endnoteReference w:id="2882"/>
      </w:r>
      <w:r w:rsidRPr="00B51319">
        <w:t xml:space="preserve">  The chapter also contains further intimations of Christ’s purpose ‘to save that which was lost’</w:t>
      </w:r>
      <w:r w:rsidRPr="00B51319">
        <w:rPr>
          <w:rStyle w:val="EndnoteReference"/>
        </w:rPr>
        <w:endnoteReference w:id="2883"/>
      </w:r>
      <w:r w:rsidRPr="00B51319">
        <w:t xml:space="preserve"> and of his Father’s will that not one of these should perish.</w:t>
      </w:r>
      <w:r w:rsidRPr="00B51319">
        <w:rPr>
          <w:rStyle w:val="EndnoteReference"/>
        </w:rPr>
        <w:endnoteReference w:id="2884"/>
      </w:r>
      <w:r w:rsidRPr="00B51319">
        <w:t xml:space="preserve">  Even though Scofield does not provide any notes on Matthew 18, he includes subheads to Mt. 18:15-19, ‘discipline in the future church’, and 18:20 ‘the simplest form of a local church’, and labels Mt. 18:21-35 ‘the law of forgiveness’; however, he does not comment on the parable about forgiveness.  It appears that Scofield</w:t>
      </w:r>
      <w:r>
        <w:t xml:space="preserve">’s main interest when annotating parables is to support his own </w:t>
      </w:r>
      <w:r w:rsidRPr="00B51319">
        <w:t>eschatological interests.</w:t>
      </w:r>
    </w:p>
    <w:p w:rsidR="009148E0" w:rsidRPr="009148E0" w:rsidRDefault="009148E0" w:rsidP="006A2E06">
      <w:pPr>
        <w:spacing w:after="120" w:line="360" w:lineRule="auto"/>
        <w:jc w:val="both"/>
        <w:rPr>
          <w:b/>
          <w:i/>
        </w:rPr>
      </w:pPr>
      <w:r w:rsidRPr="009148E0">
        <w:rPr>
          <w:b/>
          <w:i/>
        </w:rPr>
        <w:t>Continued overleaf</w:t>
      </w:r>
    </w:p>
    <w:p w:rsidR="009148E0" w:rsidRPr="00B51319" w:rsidRDefault="009148E0" w:rsidP="006A2E06">
      <w:pPr>
        <w:spacing w:after="120" w:line="360" w:lineRule="auto"/>
        <w:jc w:val="both"/>
      </w:pPr>
    </w:p>
    <w:p w:rsidR="006A2E06" w:rsidRDefault="006A2E06" w:rsidP="006A2E06">
      <w:pPr>
        <w:spacing w:after="120" w:line="360" w:lineRule="auto"/>
        <w:jc w:val="both"/>
        <w:rPr>
          <w:b/>
        </w:rPr>
      </w:pPr>
      <w:r>
        <w:rPr>
          <w:b/>
        </w:rPr>
        <w:lastRenderedPageBreak/>
        <w:t xml:space="preserve">8.6.2  </w:t>
      </w:r>
      <w:r w:rsidRPr="001B2AA2">
        <w:rPr>
          <w:b/>
        </w:rPr>
        <w:t>Mark</w:t>
      </w:r>
      <w:r w:rsidRPr="001E53C4">
        <w:rPr>
          <w:rStyle w:val="FootnoteReference"/>
        </w:rPr>
        <w:footnoteReference w:id="97"/>
      </w:r>
      <w:r>
        <w:rPr>
          <w:b/>
        </w:rPr>
        <w:t xml:space="preserve"> </w:t>
      </w:r>
    </w:p>
    <w:p w:rsidR="006A2E06" w:rsidRPr="00826117" w:rsidRDefault="006A2E06" w:rsidP="006A2E06">
      <w:pPr>
        <w:tabs>
          <w:tab w:val="left" w:pos="1134"/>
        </w:tabs>
        <w:spacing w:after="120" w:line="360" w:lineRule="auto"/>
        <w:jc w:val="both"/>
        <w:rPr>
          <w:b/>
          <w:i/>
        </w:rPr>
      </w:pPr>
      <w:r w:rsidRPr="00826117">
        <w:rPr>
          <w:b/>
          <w:i/>
        </w:rPr>
        <w:t>Introduction</w:t>
      </w:r>
      <w:r>
        <w:rPr>
          <w:b/>
          <w:i/>
        </w:rPr>
        <w:t>:</w:t>
      </w:r>
      <w:r>
        <w:rPr>
          <w:rStyle w:val="EndnoteReference"/>
        </w:rPr>
        <w:endnoteReference w:id="2885"/>
      </w:r>
      <w:r>
        <w:rPr>
          <w:b/>
          <w:i/>
        </w:rPr>
        <w:t xml:space="preserve"> Key Points</w:t>
      </w:r>
    </w:p>
    <w:p w:rsidR="006A2E06" w:rsidRDefault="006A2E06" w:rsidP="006A2E06">
      <w:pPr>
        <w:spacing w:after="120" w:line="240" w:lineRule="auto"/>
        <w:ind w:left="567"/>
        <w:jc w:val="both"/>
        <w:rPr>
          <w:color w:val="000000"/>
        </w:rPr>
      </w:pPr>
      <w:r w:rsidRPr="003526F4">
        <w:rPr>
          <w:color w:val="000000"/>
        </w:rPr>
        <w:t xml:space="preserve">Mark, also called John, was the ‘son of one of the New Testament Marys and nephew of Barnabas … an associate of the apostles, … mentioned in the writings of Paul and Luke’.  </w:t>
      </w:r>
    </w:p>
    <w:p w:rsidR="006A2E06" w:rsidRDefault="006A2E06" w:rsidP="006A2E06">
      <w:pPr>
        <w:spacing w:after="120" w:line="240" w:lineRule="auto"/>
        <w:ind w:left="567"/>
        <w:jc w:val="both"/>
        <w:rPr>
          <w:color w:val="000000"/>
        </w:rPr>
      </w:pPr>
      <w:r>
        <w:rPr>
          <w:color w:val="000000"/>
        </w:rPr>
        <w:t>Date:</w:t>
      </w:r>
      <w:r w:rsidRPr="003526F4">
        <w:rPr>
          <w:color w:val="000000"/>
        </w:rPr>
        <w:t xml:space="preserve"> ‘variou</w:t>
      </w:r>
      <w:r>
        <w:rPr>
          <w:color w:val="000000"/>
        </w:rPr>
        <w:t>sly placed between AD 57 and 63’</w:t>
      </w:r>
      <w:r w:rsidRPr="003526F4">
        <w:rPr>
          <w:color w:val="000000"/>
        </w:rPr>
        <w:t>.</w:t>
      </w:r>
    </w:p>
    <w:p w:rsidR="006A2E06" w:rsidRDefault="006A2E06" w:rsidP="006A2E06">
      <w:pPr>
        <w:spacing w:after="120" w:line="240" w:lineRule="auto"/>
        <w:ind w:left="1418"/>
        <w:jc w:val="both"/>
        <w:rPr>
          <w:color w:val="000000"/>
        </w:rPr>
      </w:pPr>
      <w:r w:rsidRPr="007D4241">
        <w:rPr>
          <w:b/>
          <w:i/>
          <w:color w:val="000000"/>
        </w:rPr>
        <w:t>Comment</w:t>
      </w:r>
      <w:r>
        <w:rPr>
          <w:color w:val="000000"/>
        </w:rPr>
        <w:t xml:space="preserve">: </w:t>
      </w:r>
      <w:r w:rsidRPr="003526F4">
        <w:rPr>
          <w:color w:val="000000"/>
        </w:rPr>
        <w:t xml:space="preserve">This indicates that Scofield regards Matthew (37 AD) as earlier than Mark.  </w:t>
      </w:r>
    </w:p>
    <w:p w:rsidR="006A2E06" w:rsidRDefault="006A2E06" w:rsidP="006A2E06">
      <w:pPr>
        <w:spacing w:after="120" w:line="240" w:lineRule="auto"/>
        <w:ind w:left="567"/>
        <w:jc w:val="both"/>
      </w:pPr>
      <w:r w:rsidRPr="005D00B9">
        <w:t>Mark is ‘the Gospel of Jehovah’s Servant the Branch’</w:t>
      </w:r>
      <w:r>
        <w:rPr>
          <w:rStyle w:val="EndnoteReference"/>
        </w:rPr>
        <w:endnoteReference w:id="2886"/>
      </w:r>
      <w:r>
        <w:t xml:space="preserve"> </w:t>
      </w:r>
      <w:r w:rsidRPr="005D00B9">
        <w:t xml:space="preserve">and as such contains no genealogy, ‘for who gives the genealogy of a servant?’  But this servant was also </w:t>
      </w:r>
      <w:r>
        <w:t>‘</w:t>
      </w:r>
      <w:r w:rsidRPr="005D00B9">
        <w:t xml:space="preserve">“the mighty God”, as Mark </w:t>
      </w:r>
      <w:r>
        <w:t xml:space="preserve">distinctly </w:t>
      </w:r>
      <w:r w:rsidRPr="005D00B9">
        <w:t>declares</w:t>
      </w:r>
      <w:r>
        <w:t>’</w:t>
      </w:r>
      <w:r w:rsidRPr="005D00B9">
        <w:t>.</w:t>
      </w:r>
      <w:r>
        <w:rPr>
          <w:rStyle w:val="EndnoteReference"/>
        </w:rPr>
        <w:endnoteReference w:id="2887"/>
      </w:r>
      <w:r w:rsidRPr="005D00B9">
        <w:t xml:space="preserve">  </w:t>
      </w:r>
    </w:p>
    <w:p w:rsidR="006A2E06" w:rsidRDefault="006A2E06" w:rsidP="006A2E06">
      <w:pPr>
        <w:spacing w:after="120" w:line="240" w:lineRule="auto"/>
        <w:ind w:left="567"/>
        <w:jc w:val="both"/>
      </w:pPr>
      <w:r w:rsidRPr="005D00B9">
        <w:t xml:space="preserve">It is a </w:t>
      </w:r>
      <w:r>
        <w:t>G</w:t>
      </w:r>
      <w:r w:rsidRPr="005D00B9">
        <w:t>ospel of deeds</w:t>
      </w:r>
      <w:r>
        <w:t>,</w:t>
      </w:r>
      <w:r w:rsidRPr="005D00B9">
        <w:t xml:space="preserve"> not of words.</w:t>
      </w:r>
      <w:r>
        <w:t xml:space="preserve">  </w:t>
      </w:r>
    </w:p>
    <w:p w:rsidR="006A2E06" w:rsidRPr="00826117" w:rsidRDefault="006A2E06" w:rsidP="006A2E06">
      <w:pPr>
        <w:spacing w:after="120" w:line="360" w:lineRule="auto"/>
        <w:jc w:val="both"/>
        <w:rPr>
          <w:b/>
          <w:i/>
        </w:rPr>
      </w:pPr>
      <w:r>
        <w:rPr>
          <w:b/>
          <w:i/>
        </w:rPr>
        <w:t>Annotation: Key Points</w:t>
      </w:r>
    </w:p>
    <w:p w:rsidR="006A2E06" w:rsidRDefault="006A2E06" w:rsidP="006A2E06">
      <w:pPr>
        <w:spacing w:after="120" w:line="240" w:lineRule="auto"/>
        <w:ind w:left="567" w:right="74"/>
        <w:jc w:val="both"/>
      </w:pPr>
      <w:r w:rsidRPr="006F4C25">
        <w:t>In stark contrast with annotation of</w:t>
      </w:r>
      <w:r>
        <w:rPr>
          <w:i/>
        </w:rPr>
        <w:t xml:space="preserve"> </w:t>
      </w:r>
      <w:r w:rsidRPr="001B2AA2">
        <w:t>Matthew</w:t>
      </w:r>
      <w:r>
        <w:t>;</w:t>
      </w:r>
      <w:r w:rsidRPr="001B2AA2">
        <w:t xml:space="preserve"> </w:t>
      </w:r>
      <w:r>
        <w:t>o</w:t>
      </w:r>
      <w:r w:rsidRPr="001B2AA2">
        <w:t xml:space="preserve">nly </w:t>
      </w:r>
      <w:r w:rsidR="00E46000">
        <w:t xml:space="preserve">five verses (in </w:t>
      </w:r>
      <w:r w:rsidRPr="001B2AA2">
        <w:t>three chapters</w:t>
      </w:r>
      <w:r w:rsidR="00E46000">
        <w:t>)</w:t>
      </w:r>
      <w:r w:rsidRPr="001B2AA2">
        <w:t xml:space="preserve"> </w:t>
      </w:r>
      <w:r>
        <w:t xml:space="preserve">in Mark </w:t>
      </w:r>
      <w:r w:rsidRPr="001B2AA2">
        <w:t>are annotated and those very sparsely.</w:t>
      </w:r>
      <w:r>
        <w:rPr>
          <w:rStyle w:val="EndnoteReference"/>
        </w:rPr>
        <w:endnoteReference w:id="2888"/>
      </w:r>
      <w:r w:rsidRPr="001B2AA2">
        <w:t xml:space="preserve">  </w:t>
      </w:r>
    </w:p>
    <w:p w:rsidR="006A2E06" w:rsidRDefault="006A2E06" w:rsidP="006A2E06">
      <w:pPr>
        <w:spacing w:after="120" w:line="240" w:lineRule="auto"/>
        <w:ind w:left="851" w:right="74"/>
        <w:jc w:val="both"/>
      </w:pPr>
      <w:r>
        <w:t>A</w:t>
      </w:r>
      <w:r w:rsidRPr="001B2AA2">
        <w:t xml:space="preserve">nother instance of Scofield’s homogenisation of the </w:t>
      </w:r>
      <w:r>
        <w:t>G</w:t>
      </w:r>
      <w:r w:rsidRPr="001B2AA2">
        <w:t xml:space="preserve">ospels.  Scofield takes a figurative saying of Jesus from one </w:t>
      </w:r>
      <w:r>
        <w:t>G</w:t>
      </w:r>
      <w:r w:rsidRPr="001B2AA2">
        <w:t>ospel and applies it literally to a physical situation in another.</w:t>
      </w:r>
      <w:r>
        <w:rPr>
          <w:rStyle w:val="EndnoteReference"/>
        </w:rPr>
        <w:endnoteReference w:id="2889"/>
      </w:r>
      <w:r w:rsidRPr="001B2AA2">
        <w:t xml:space="preserve">  </w:t>
      </w:r>
    </w:p>
    <w:p w:rsidR="006A2E06" w:rsidRDefault="006A2E06" w:rsidP="006A2E06">
      <w:pPr>
        <w:spacing w:after="120" w:line="240" w:lineRule="auto"/>
        <w:ind w:left="1418" w:right="74"/>
        <w:jc w:val="both"/>
      </w:pPr>
      <w:r w:rsidRPr="007D4241">
        <w:rPr>
          <w:b/>
          <w:i/>
        </w:rPr>
        <w:t>Comment</w:t>
      </w:r>
      <w:r>
        <w:t xml:space="preserve">: </w:t>
      </w:r>
      <w:r w:rsidRPr="007B1AE5">
        <w:t>Scofield notes that Jesus took the blind man out of Bethsaida before healing him and states that ‘having abandoned Bethsaida to judgment</w:t>
      </w:r>
      <w:r>
        <w:rPr>
          <w:rStyle w:val="EndnoteReference"/>
        </w:rPr>
        <w:endnoteReference w:id="2890"/>
      </w:r>
      <w:r w:rsidRPr="007B1AE5">
        <w:t xml:space="preserve"> He would neither heal in that village nor permit any further testimony there’.  This is also an extrapolation because the text of Matthew merely says that ‘if the mighty works, which were done in you, [Chorazin and Bethsaida] had been done in Tyre and Sidon, they would have repented long ago in sackcloth and ashes. </w:t>
      </w:r>
      <w:r w:rsidRPr="007B1AE5">
        <w:rPr>
          <w:vertAlign w:val="superscript"/>
        </w:rPr>
        <w:t>22</w:t>
      </w:r>
      <w:r w:rsidRPr="007B1AE5">
        <w:t>But I say unto you, It shall be more tolerable for Tyre and Sidon at the day of judgment, than for you.</w:t>
      </w:r>
      <w:r>
        <w:t>’</w:t>
      </w:r>
      <w:r>
        <w:rPr>
          <w:rStyle w:val="EndnoteReference"/>
        </w:rPr>
        <w:endnoteReference w:id="2891"/>
      </w:r>
      <w:r w:rsidRPr="007B1AE5">
        <w:t xml:space="preserve">  It says nothing about the performance of further miracles.</w:t>
      </w:r>
    </w:p>
    <w:p w:rsidR="006A2E06" w:rsidRDefault="006A2E06" w:rsidP="006A2E06">
      <w:pPr>
        <w:spacing w:after="120" w:line="240" w:lineRule="auto"/>
        <w:ind w:left="851" w:right="74"/>
        <w:jc w:val="both"/>
      </w:pPr>
      <w:r>
        <w:t>Assertion that the blessing of children was a Father’s act in Hebrew custom.</w:t>
      </w:r>
      <w:r>
        <w:rPr>
          <w:rStyle w:val="EndnoteReference"/>
        </w:rPr>
        <w:endnoteReference w:id="2892"/>
      </w:r>
    </w:p>
    <w:p w:rsidR="006A2E06" w:rsidRDefault="006A2E06" w:rsidP="006A2E06">
      <w:pPr>
        <w:spacing w:after="120" w:line="240" w:lineRule="auto"/>
        <w:ind w:left="851" w:right="74"/>
        <w:jc w:val="both"/>
      </w:pPr>
      <w:r>
        <w:t>N</w:t>
      </w:r>
      <w:r w:rsidRPr="001B2AA2">
        <w:t>ote on Mk 16:2,</w:t>
      </w:r>
      <w:r w:rsidRPr="001B2AA2">
        <w:rPr>
          <w:rStyle w:val="EndnoteReference"/>
        </w:rPr>
        <w:endnoteReference w:id="2893"/>
      </w:r>
      <w:r w:rsidRPr="001B2AA2">
        <w:t xml:space="preserve"> concerning the resurrection and Jesus’ appearances, merely refers to the ‘order’ </w:t>
      </w:r>
      <w:r>
        <w:t>averred in the</w:t>
      </w:r>
      <w:r w:rsidRPr="001B2AA2">
        <w:t xml:space="preserve"> homogenisation of the </w:t>
      </w:r>
      <w:r>
        <w:t>G</w:t>
      </w:r>
      <w:r w:rsidRPr="001B2AA2">
        <w:t>ospels in notes on Mt. 28:1 and 9.</w:t>
      </w:r>
      <w:r w:rsidRPr="001B2AA2">
        <w:rPr>
          <w:rStyle w:val="EndnoteReference"/>
        </w:rPr>
        <w:endnoteReference w:id="2894"/>
      </w:r>
    </w:p>
    <w:p w:rsidR="006A2E06" w:rsidRDefault="006A2E06" w:rsidP="006A2E06">
      <w:pPr>
        <w:spacing w:after="120" w:line="240" w:lineRule="auto"/>
        <w:ind w:left="851" w:right="74"/>
        <w:jc w:val="both"/>
      </w:pPr>
      <w:r>
        <w:t xml:space="preserve">Remark that </w:t>
      </w:r>
      <w:r w:rsidRPr="001B2AA2">
        <w:t>‘the passage Mk 16:9 to the end is not found in the two most ancient manuscripts, the Sinaitic and Vatican, and others have it with partial omissions and variations’.</w:t>
      </w:r>
    </w:p>
    <w:p w:rsidR="006A2E06" w:rsidRDefault="006A2E06" w:rsidP="006A2E06">
      <w:pPr>
        <w:spacing w:after="120" w:line="240" w:lineRule="auto"/>
        <w:ind w:left="1418" w:right="74"/>
        <w:jc w:val="both"/>
      </w:pPr>
      <w:r w:rsidRPr="007D4241">
        <w:rPr>
          <w:b/>
          <w:i/>
        </w:rPr>
        <w:t>Comment</w:t>
      </w:r>
      <w:r>
        <w:t xml:space="preserve">: This remark demonstrates </w:t>
      </w:r>
      <w:r w:rsidRPr="001B2AA2">
        <w:t>a scholarly rigor rare in Scofield</w:t>
      </w:r>
      <w:r>
        <w:t>.</w:t>
      </w:r>
    </w:p>
    <w:p w:rsidR="006A2E06" w:rsidRDefault="006A2E06" w:rsidP="006A2E06">
      <w:pPr>
        <w:spacing w:after="120" w:line="240" w:lineRule="auto"/>
        <w:ind w:left="851" w:right="74"/>
        <w:jc w:val="both"/>
      </w:pPr>
      <w:r>
        <w:t>Remark that ‘</w:t>
      </w:r>
      <w:r w:rsidRPr="001B2AA2">
        <w:t>the Eleven’ may not necessarily imply an actual number of eleven people present, but be a collective term equivalent to “The Sanhedrin” or “The Commons”.</w:t>
      </w:r>
      <w:r w:rsidRPr="001B2AA2">
        <w:rPr>
          <w:rStyle w:val="EndnoteReference"/>
        </w:rPr>
        <w:endnoteReference w:id="2895"/>
      </w:r>
    </w:p>
    <w:p w:rsidR="006A2E06" w:rsidRPr="001B2AA2" w:rsidRDefault="006A2E06" w:rsidP="006A2E06">
      <w:pPr>
        <w:spacing w:after="120" w:line="240" w:lineRule="auto"/>
        <w:ind w:left="1418" w:right="74"/>
        <w:jc w:val="both"/>
      </w:pPr>
      <w:r w:rsidRPr="007D4241">
        <w:rPr>
          <w:b/>
          <w:i/>
        </w:rPr>
        <w:t>Comment</w:t>
      </w:r>
      <w:r>
        <w:t>: Gordon Fee may concur with Scofield’s final comment concerning ‘the Eleven’.  Commenting on Mark 3:14, Fee suggests that ‘the use of the term “the Twelve” is a clear indication that in the early going this was a title given to the special group of twelve whom Jesus called to “be with him”.  Thus this is their collective designation; it does not imply that all twelve were on hand, since the evidence indicates otherwise.’</w:t>
      </w:r>
      <w:r>
        <w:rPr>
          <w:rStyle w:val="EndnoteReference"/>
        </w:rPr>
        <w:endnoteReference w:id="2896"/>
      </w:r>
    </w:p>
    <w:p w:rsidR="006A2E06" w:rsidRDefault="006A2E06" w:rsidP="006A2E06">
      <w:pPr>
        <w:spacing w:after="120" w:line="360" w:lineRule="auto"/>
        <w:ind w:right="74"/>
        <w:jc w:val="both"/>
      </w:pPr>
      <w:r>
        <w:t>Scofield’s five</w:t>
      </w:r>
      <w:r w:rsidRPr="001B2AA2">
        <w:t xml:space="preserve"> small and insignificant remarks seem a pitiful commentary upon what the common consensus among </w:t>
      </w:r>
      <w:r>
        <w:t>G</w:t>
      </w:r>
      <w:r w:rsidRPr="001B2AA2">
        <w:t xml:space="preserve">ospel scholars, according to Richard Burridge, regards as the earliest </w:t>
      </w:r>
      <w:r>
        <w:t>G</w:t>
      </w:r>
      <w:r w:rsidRPr="001B2AA2">
        <w:t>ospel.</w:t>
      </w:r>
      <w:r w:rsidRPr="001B2AA2">
        <w:rPr>
          <w:rStyle w:val="EndnoteReference"/>
        </w:rPr>
        <w:endnoteReference w:id="2897"/>
      </w:r>
      <w:r w:rsidRPr="001B2AA2">
        <w:t xml:space="preserve">  </w:t>
      </w:r>
      <w:r w:rsidRPr="001B2AA2">
        <w:lastRenderedPageBreak/>
        <w:t>Because so much of Mark is ignored, it is a lengthy operation to note all the omissions.</w:t>
      </w:r>
      <w:r w:rsidRPr="001B2AA2">
        <w:rPr>
          <w:rStyle w:val="EndnoteReference"/>
        </w:rPr>
        <w:endnoteReference w:id="2898"/>
      </w:r>
      <w:r w:rsidRPr="001B2AA2">
        <w:t xml:space="preserve">  Scofield is patently not interested in Jesus’ life, works and preaching as expressed by Mark.  Possibly too great a concentration on these aspects would interfere with Scofield’s contention that the age of grace only began at the crucifixion.  Perhaps the most notable omission is that of any comment on Mark 1:1, ‘the beginning of the gospel of Jesus Christ, the Son of God’.</w:t>
      </w:r>
      <w:r>
        <w:rPr>
          <w:rStyle w:val="EndnoteReference"/>
        </w:rPr>
        <w:endnoteReference w:id="2899"/>
      </w:r>
      <w:r>
        <w:t xml:space="preserve"> </w:t>
      </w:r>
    </w:p>
    <w:p w:rsidR="006A2E06" w:rsidRDefault="006A2E06" w:rsidP="006A2E06">
      <w:pPr>
        <w:spacing w:after="120" w:line="360" w:lineRule="auto"/>
        <w:jc w:val="both"/>
        <w:rPr>
          <w:b/>
        </w:rPr>
      </w:pPr>
      <w:r>
        <w:rPr>
          <w:b/>
        </w:rPr>
        <w:t xml:space="preserve">8.6.3  </w:t>
      </w:r>
      <w:r w:rsidRPr="005D00B9">
        <w:rPr>
          <w:b/>
        </w:rPr>
        <w:t>Luke</w:t>
      </w:r>
    </w:p>
    <w:p w:rsidR="009148E0" w:rsidRPr="00591B58" w:rsidRDefault="009148E0" w:rsidP="009148E0">
      <w:pPr>
        <w:spacing w:after="120" w:line="360" w:lineRule="auto"/>
        <w:jc w:val="both"/>
        <w:rPr>
          <w:b/>
          <w:i/>
        </w:rPr>
      </w:pPr>
      <w:r w:rsidRPr="00591B58">
        <w:rPr>
          <w:b/>
          <w:i/>
        </w:rPr>
        <w:t>Introduction:</w:t>
      </w:r>
      <w:r w:rsidRPr="00591B58">
        <w:rPr>
          <w:rStyle w:val="EndnoteReference"/>
        </w:rPr>
        <w:endnoteReference w:id="2900"/>
      </w:r>
      <w:r w:rsidRPr="00591B58">
        <w:rPr>
          <w:b/>
          <w:i/>
        </w:rPr>
        <w:t xml:space="preserve"> Key Points</w:t>
      </w:r>
    </w:p>
    <w:p w:rsidR="009148E0" w:rsidRPr="00591B58" w:rsidRDefault="009148E0" w:rsidP="009148E0">
      <w:pPr>
        <w:spacing w:after="120" w:line="240" w:lineRule="auto"/>
        <w:ind w:left="567" w:right="74"/>
        <w:jc w:val="both"/>
      </w:pPr>
      <w:r w:rsidRPr="00591B58">
        <w:t xml:space="preserve">Assertion that Luke was ‘of Jewish ancestry, but his correct Greek marks him as a Jew of the Dispersion’, traditionally of Antioch, and that his </w:t>
      </w:r>
      <w:r>
        <w:t>G</w:t>
      </w:r>
      <w:r w:rsidRPr="00591B58">
        <w:t xml:space="preserve">ospel was written between 63 and 68 AD.  </w:t>
      </w:r>
    </w:p>
    <w:p w:rsidR="009148E0" w:rsidRPr="00591B58" w:rsidRDefault="009148E0" w:rsidP="009148E0">
      <w:pPr>
        <w:spacing w:after="120" w:line="240" w:lineRule="auto"/>
        <w:ind w:left="567" w:right="74"/>
        <w:jc w:val="both"/>
      </w:pPr>
      <w:r w:rsidRPr="00591B58">
        <w:t xml:space="preserve">Assertion that the theme of Luke is ‘the Gospel of the human-divine One, as John is of the divine-human One’.  </w:t>
      </w:r>
    </w:p>
    <w:p w:rsidR="009148E0" w:rsidRPr="00591B58" w:rsidRDefault="009148E0" w:rsidP="009148E0">
      <w:pPr>
        <w:spacing w:after="120" w:line="240" w:lineRule="auto"/>
        <w:ind w:left="567" w:right="74"/>
        <w:jc w:val="both"/>
      </w:pPr>
      <w:r w:rsidRPr="00591B58">
        <w:t xml:space="preserve">Key phrase is ‘Son of Man’; </w:t>
      </w:r>
      <w:r>
        <w:t xml:space="preserve">assertion that Luke selects </w:t>
      </w:r>
      <w:r w:rsidRPr="00591B58">
        <w:t xml:space="preserve">elements </w:t>
      </w:r>
      <w:r>
        <w:t>which</w:t>
      </w:r>
      <w:r w:rsidRPr="00591B58">
        <w:t xml:space="preserve"> emphasise Jesus’ humanity, for example, </w:t>
      </w:r>
      <w:r>
        <w:t xml:space="preserve">a </w:t>
      </w:r>
      <w:r w:rsidRPr="00591B58">
        <w:t xml:space="preserve">genealogy traced to Adam, and detailed accounts of Jesus’ mother, infancy and boyhood, but </w:t>
      </w:r>
      <w:r>
        <w:t xml:space="preserve">Luke is also </w:t>
      </w:r>
      <w:r w:rsidRPr="00591B58">
        <w:t>‘careful to guard the Deity and Kingship of Jesus Christ’.</w:t>
      </w:r>
      <w:r w:rsidRPr="00591B58">
        <w:rPr>
          <w:rStyle w:val="EndnoteReference"/>
        </w:rPr>
        <w:endnoteReference w:id="2901"/>
      </w:r>
      <w:r w:rsidRPr="00591B58">
        <w:t xml:space="preserve">  </w:t>
      </w:r>
    </w:p>
    <w:p w:rsidR="009148E0" w:rsidRPr="00591B58" w:rsidRDefault="009148E0" w:rsidP="009148E0">
      <w:pPr>
        <w:spacing w:after="120" w:line="240" w:lineRule="auto"/>
        <w:ind w:left="567" w:right="74"/>
        <w:jc w:val="both"/>
      </w:pPr>
      <w:r w:rsidRPr="00591B58">
        <w:t xml:space="preserve">Assertion that emphasis is on seeking and saving the lost.  </w:t>
      </w:r>
    </w:p>
    <w:p w:rsidR="009148E0" w:rsidRPr="00591B58" w:rsidRDefault="009148E0" w:rsidP="009148E0">
      <w:pPr>
        <w:spacing w:after="120" w:line="240" w:lineRule="auto"/>
        <w:ind w:left="567" w:right="74"/>
        <w:jc w:val="both"/>
      </w:pPr>
      <w:r w:rsidRPr="00591B58">
        <w:t>Assertion that that Luke is ‘the Gospel of the man whose name is the BRANCH”’.</w:t>
      </w:r>
      <w:r w:rsidRPr="00591B58">
        <w:rPr>
          <w:rStyle w:val="EndnoteReference"/>
        </w:rPr>
        <w:endnoteReference w:id="2902"/>
      </w:r>
      <w:r w:rsidRPr="00591B58">
        <w:t xml:space="preserve">  </w:t>
      </w:r>
    </w:p>
    <w:p w:rsidR="009148E0" w:rsidRPr="00591B58" w:rsidRDefault="009148E0" w:rsidP="009148E0">
      <w:pPr>
        <w:spacing w:after="120" w:line="240" w:lineRule="auto"/>
        <w:ind w:left="567" w:right="74"/>
        <w:jc w:val="both"/>
      </w:pPr>
      <w:r>
        <w:t xml:space="preserve">Assertion of </w:t>
      </w:r>
      <w:r w:rsidRPr="00591B58">
        <w:t xml:space="preserve">seven divisions in Luke, </w:t>
      </w:r>
      <w:r>
        <w:t>the sixth being</w:t>
      </w:r>
      <w:r w:rsidRPr="00591B58">
        <w:t xml:space="preserve"> ‘the final offer of the Son of man as King to Israel: His rejection and sacrifice’.</w:t>
      </w:r>
      <w:r w:rsidRPr="00591B58">
        <w:rPr>
          <w:rStyle w:val="EndnoteReference"/>
        </w:rPr>
        <w:endnoteReference w:id="2903"/>
      </w:r>
      <w:r w:rsidRPr="00591B58">
        <w:t xml:space="preserve">  </w:t>
      </w:r>
    </w:p>
    <w:p w:rsidR="009148E0" w:rsidRDefault="009148E0" w:rsidP="009148E0">
      <w:pPr>
        <w:spacing w:after="0" w:line="240" w:lineRule="auto"/>
        <w:ind w:left="1418"/>
        <w:jc w:val="both"/>
      </w:pPr>
      <w:r w:rsidRPr="007D4241">
        <w:rPr>
          <w:b/>
          <w:i/>
        </w:rPr>
        <w:t>Comment</w:t>
      </w:r>
      <w:r>
        <w:t>: This</w:t>
      </w:r>
      <w:r w:rsidRPr="00591B58">
        <w:t xml:space="preserve"> statement echoes several statements already made in the note on </w:t>
      </w:r>
    </w:p>
    <w:p w:rsidR="009148E0" w:rsidRPr="00591B58" w:rsidRDefault="009148E0" w:rsidP="009148E0">
      <w:pPr>
        <w:spacing w:after="120" w:line="240" w:lineRule="auto"/>
        <w:ind w:left="1418"/>
        <w:jc w:val="both"/>
      </w:pPr>
      <w:r w:rsidRPr="00591B58">
        <w:t>Mt. 21:4.</w:t>
      </w:r>
      <w:r w:rsidRPr="00591B58">
        <w:rPr>
          <w:rStyle w:val="EndnoteReference"/>
        </w:rPr>
        <w:endnoteReference w:id="2904"/>
      </w:r>
      <w:r w:rsidRPr="00591B58">
        <w:t xml:space="preserve">  </w:t>
      </w:r>
    </w:p>
    <w:p w:rsidR="006A2E06" w:rsidRDefault="006A2E06" w:rsidP="006A2E06">
      <w:pPr>
        <w:spacing w:after="120" w:line="360" w:lineRule="auto"/>
        <w:ind w:right="74"/>
        <w:jc w:val="both"/>
      </w:pPr>
      <w:r>
        <w:rPr>
          <w:b/>
          <w:noProof/>
          <w:lang w:eastAsia="en-GB"/>
        </w:rPr>
        <w:drawing>
          <wp:inline distT="0" distB="0" distL="0" distR="0" wp14:anchorId="7994D70D" wp14:editId="5E0B0349">
            <wp:extent cx="5400040" cy="2811145"/>
            <wp:effectExtent l="0" t="0" r="0"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vertical axis 3.2.18 crop.jpg"/>
                    <pic:cNvPicPr/>
                  </pic:nvPicPr>
                  <pic:blipFill>
                    <a:blip r:embed="rId188">
                      <a:extLst>
                        <a:ext uri="{28A0092B-C50C-407E-A947-70E740481C1C}">
                          <a14:useLocalDpi xmlns:a14="http://schemas.microsoft.com/office/drawing/2010/main" val="0"/>
                        </a:ext>
                      </a:extLst>
                    </a:blip>
                    <a:stretch>
                      <a:fillRect/>
                    </a:stretch>
                  </pic:blipFill>
                  <pic:spPr>
                    <a:xfrm>
                      <a:off x="0" y="0"/>
                      <a:ext cx="5400040" cy="2811145"/>
                    </a:xfrm>
                    <a:prstGeom prst="rect">
                      <a:avLst/>
                    </a:prstGeom>
                  </pic:spPr>
                </pic:pic>
              </a:graphicData>
            </a:graphic>
          </wp:inline>
        </w:drawing>
      </w:r>
    </w:p>
    <w:p w:rsidR="006A2E06" w:rsidRDefault="006A2E06" w:rsidP="006A2E06">
      <w:pPr>
        <w:spacing w:after="120" w:line="360" w:lineRule="auto"/>
        <w:ind w:right="74"/>
        <w:jc w:val="both"/>
        <w:rPr>
          <w:b/>
          <w:i/>
        </w:rPr>
      </w:pPr>
      <w:r>
        <w:rPr>
          <w:b/>
          <w:i/>
          <w:noProof/>
          <w:lang w:eastAsia="en-GB"/>
        </w:rPr>
        <w:drawing>
          <wp:inline distT="0" distB="0" distL="0" distR="0" wp14:anchorId="6789E135" wp14:editId="2F91985B">
            <wp:extent cx="5400040" cy="704215"/>
            <wp:effectExtent l="0" t="0" r="0" b="63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title 12.2.18 crop.jpg"/>
                    <pic:cNvPicPr/>
                  </pic:nvPicPr>
                  <pic:blipFill>
                    <a:blip r:embed="rId189">
                      <a:extLst>
                        <a:ext uri="{28A0092B-C50C-407E-A947-70E740481C1C}">
                          <a14:useLocalDpi xmlns:a14="http://schemas.microsoft.com/office/drawing/2010/main" val="0"/>
                        </a:ext>
                      </a:extLst>
                    </a:blip>
                    <a:stretch>
                      <a:fillRect/>
                    </a:stretch>
                  </pic:blipFill>
                  <pic:spPr>
                    <a:xfrm>
                      <a:off x="0" y="0"/>
                      <a:ext cx="5400040" cy="704215"/>
                    </a:xfrm>
                    <a:prstGeom prst="rect">
                      <a:avLst/>
                    </a:prstGeom>
                  </pic:spPr>
                </pic:pic>
              </a:graphicData>
            </a:graphic>
          </wp:inline>
        </w:drawing>
      </w:r>
    </w:p>
    <w:p w:rsidR="00F5188D" w:rsidRDefault="00F5188D" w:rsidP="009148E0">
      <w:pPr>
        <w:spacing w:after="120" w:line="360" w:lineRule="auto"/>
        <w:jc w:val="both"/>
        <w:rPr>
          <w:b/>
          <w:i/>
        </w:rPr>
      </w:pPr>
    </w:p>
    <w:p w:rsidR="00F5188D" w:rsidRDefault="00F5188D" w:rsidP="009148E0">
      <w:pPr>
        <w:spacing w:after="120" w:line="360" w:lineRule="auto"/>
        <w:jc w:val="both"/>
        <w:rPr>
          <w:b/>
          <w:i/>
        </w:rPr>
      </w:pPr>
    </w:p>
    <w:p w:rsidR="006A2E06" w:rsidRDefault="006A2E06" w:rsidP="006A2E06">
      <w:pPr>
        <w:spacing w:after="120" w:line="240" w:lineRule="auto"/>
        <w:ind w:right="74"/>
        <w:jc w:val="center"/>
      </w:pPr>
      <w:r>
        <w:rPr>
          <w:noProof/>
          <w:lang w:eastAsia="en-GB"/>
        </w:rPr>
        <w:lastRenderedPageBreak/>
        <w:drawing>
          <wp:inline distT="0" distB="0" distL="0" distR="0" wp14:anchorId="7F8E9653" wp14:editId="1C29E1FE">
            <wp:extent cx="5400040" cy="417385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themes as table rev 1.5.18 crop.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00040" cy="4173855"/>
                    </a:xfrm>
                    <a:prstGeom prst="rect">
                      <a:avLst/>
                    </a:prstGeom>
                  </pic:spPr>
                </pic:pic>
              </a:graphicData>
            </a:graphic>
          </wp:inline>
        </w:drawing>
      </w:r>
    </w:p>
    <w:p w:rsidR="006A2E06" w:rsidRPr="00591B58" w:rsidRDefault="006A2E06" w:rsidP="006A2E06">
      <w:pPr>
        <w:spacing w:after="120" w:line="240" w:lineRule="auto"/>
        <w:ind w:right="74"/>
        <w:jc w:val="both"/>
        <w:rPr>
          <w:b/>
          <w:i/>
        </w:rPr>
      </w:pPr>
      <w:r w:rsidRPr="00591B58">
        <w:rPr>
          <w:b/>
          <w:i/>
        </w:rPr>
        <w:t>Annotation: Key Points</w:t>
      </w:r>
    </w:p>
    <w:p w:rsidR="006A2E06" w:rsidRDefault="006A2E06" w:rsidP="006A2E06">
      <w:pPr>
        <w:spacing w:after="120" w:line="240" w:lineRule="auto"/>
        <w:ind w:left="567" w:right="74"/>
        <w:jc w:val="both"/>
      </w:pPr>
      <w:r>
        <w:t>Ten chapters out of twenty-four not annotated.</w:t>
      </w:r>
      <w:r w:rsidRPr="00647385">
        <w:rPr>
          <w:rStyle w:val="EndnoteReference"/>
        </w:rPr>
        <w:endnoteReference w:id="2905"/>
      </w:r>
      <w:r w:rsidRPr="00647385">
        <w:t xml:space="preserve">  </w:t>
      </w:r>
    </w:p>
    <w:p w:rsidR="006A2E06" w:rsidRDefault="006A2E06" w:rsidP="006A2E06">
      <w:pPr>
        <w:spacing w:after="120" w:line="240" w:lineRule="auto"/>
        <w:ind w:left="567" w:right="74"/>
        <w:jc w:val="both"/>
      </w:pPr>
      <w:r>
        <w:t>Reiterates view that the Lord’s Prayer belongs to the dispensation of law, even though some positive remarks are included concerning its role as a model for all prayer.</w:t>
      </w:r>
      <w:r>
        <w:rPr>
          <w:rStyle w:val="EndnoteReference"/>
        </w:rPr>
        <w:endnoteReference w:id="2906"/>
      </w:r>
      <w:r>
        <w:t xml:space="preserve">  </w:t>
      </w:r>
    </w:p>
    <w:p w:rsidR="006A2E06" w:rsidRDefault="006A2E06" w:rsidP="006A2E06">
      <w:pPr>
        <w:spacing w:after="120" w:line="240" w:lineRule="auto"/>
        <w:ind w:left="567" w:right="74"/>
        <w:jc w:val="both"/>
      </w:pPr>
      <w:r>
        <w:t xml:space="preserve">Note </w:t>
      </w:r>
      <w:r w:rsidRPr="001B2AA2">
        <w:t>on L</w:t>
      </w:r>
      <w:r>
        <w:t>k.</w:t>
      </w:r>
      <w:r w:rsidRPr="001B2AA2">
        <w:t xml:space="preserve"> 16</w:t>
      </w:r>
      <w:r>
        <w:t>:23</w:t>
      </w:r>
      <w:r w:rsidRPr="001B2AA2">
        <w:t xml:space="preserve"> focus</w:t>
      </w:r>
      <w:r>
        <w:t>es</w:t>
      </w:r>
      <w:r w:rsidRPr="001B2AA2">
        <w:t xml:space="preserve"> upon </w:t>
      </w:r>
      <w:r>
        <w:t>Scofield’s</w:t>
      </w:r>
      <w:r w:rsidRPr="001B2AA2">
        <w:t xml:space="preserve"> interpretation of Jesus’ words concerning Lazarus and the rich man.  </w:t>
      </w:r>
      <w:r>
        <w:t xml:space="preserve">Used as </w:t>
      </w:r>
      <w:r w:rsidRPr="001B2AA2">
        <w:t xml:space="preserve">an </w:t>
      </w:r>
      <w:r w:rsidRPr="001B2AA2">
        <w:rPr>
          <w:i/>
        </w:rPr>
        <w:t>excursus</w:t>
      </w:r>
      <w:r w:rsidRPr="001B2AA2">
        <w:t xml:space="preserve"> on Hades and a springboard to an exposition of views about resurrection and judgment.</w:t>
      </w:r>
      <w:r w:rsidRPr="001B2AA2">
        <w:rPr>
          <w:rStyle w:val="EndnoteReference"/>
        </w:rPr>
        <w:endnoteReference w:id="2907"/>
      </w:r>
    </w:p>
    <w:p w:rsidR="006A2E06" w:rsidRDefault="006A2E06" w:rsidP="006A2E06">
      <w:pPr>
        <w:spacing w:after="120" w:line="240" w:lineRule="auto"/>
        <w:ind w:left="1418" w:right="74"/>
        <w:jc w:val="both"/>
      </w:pPr>
      <w:r w:rsidRPr="007D4241">
        <w:rPr>
          <w:b/>
          <w:i/>
        </w:rPr>
        <w:t>Comment</w:t>
      </w:r>
      <w:r>
        <w:t xml:space="preserve">: Scofield omits recognition of Jesus’ words in Luke 16 </w:t>
      </w:r>
      <w:r w:rsidRPr="001B2AA2">
        <w:t>as an injunction for moral behaviour in this world</w:t>
      </w:r>
      <w:r>
        <w:t xml:space="preserve">. </w:t>
      </w:r>
      <w:r w:rsidRPr="001B2AA2">
        <w:t xml:space="preserve"> </w:t>
      </w:r>
      <w:r>
        <w:t>The label ‘Talmudic’, which he applies to the designations, ‘paradise’ and ‘Abraham’s bosom’,</w:t>
      </w:r>
      <w:r>
        <w:rPr>
          <w:rStyle w:val="EndnoteReference"/>
        </w:rPr>
        <w:endnoteReference w:id="2908"/>
      </w:r>
      <w:r>
        <w:t xml:space="preserve"> is anachronistic.</w:t>
      </w:r>
      <w:r>
        <w:rPr>
          <w:rStyle w:val="EndnoteReference"/>
        </w:rPr>
        <w:endnoteReference w:id="2909"/>
      </w:r>
      <w:r>
        <w:t xml:space="preserve">  </w:t>
      </w:r>
      <w:r w:rsidRPr="0003780F">
        <w:rPr>
          <w:szCs w:val="18"/>
        </w:rPr>
        <w:t xml:space="preserve">Scofield’s comment here about being absent from the body, at home with the Lord, is a slight misquotation of 2 Cor. 5:8 </w:t>
      </w:r>
      <w:r w:rsidRPr="0003780F">
        <w:rPr>
          <w:i/>
          <w:szCs w:val="18"/>
        </w:rPr>
        <w:t>KJV</w:t>
      </w:r>
      <w:r w:rsidRPr="0003780F">
        <w:rPr>
          <w:szCs w:val="18"/>
        </w:rPr>
        <w:t>, which uses ‘</w:t>
      </w:r>
      <w:r>
        <w:rPr>
          <w:szCs w:val="18"/>
        </w:rPr>
        <w:t>present’ instead of ‘at home’.</w:t>
      </w:r>
    </w:p>
    <w:p w:rsidR="006A2E06" w:rsidRPr="00245134" w:rsidRDefault="006A2E06" w:rsidP="006A2E06">
      <w:pPr>
        <w:spacing w:after="0" w:line="240" w:lineRule="auto"/>
        <w:ind w:left="567" w:right="74"/>
        <w:jc w:val="both"/>
        <w:rPr>
          <w:i/>
        </w:rPr>
      </w:pPr>
      <w:r w:rsidRPr="00245134">
        <w:rPr>
          <w:i/>
        </w:rPr>
        <w:t>Christology</w:t>
      </w:r>
    </w:p>
    <w:p w:rsidR="006A2E06" w:rsidRDefault="006A2E06" w:rsidP="006A2E06">
      <w:pPr>
        <w:spacing w:after="120" w:line="240" w:lineRule="auto"/>
        <w:ind w:left="851" w:right="74"/>
        <w:jc w:val="both"/>
      </w:pPr>
      <w:r>
        <w:t>Assertion that Luke’s genealogy of Christ represents Mary’s genealogy whereas Matthew’s is that of Joseph; conclusion that either line of descent proves his Davidic ancestry.</w:t>
      </w:r>
      <w:r>
        <w:rPr>
          <w:rStyle w:val="EndnoteReference"/>
        </w:rPr>
        <w:endnoteReference w:id="2910"/>
      </w:r>
      <w:r>
        <w:t xml:space="preserve"> </w:t>
      </w:r>
    </w:p>
    <w:p w:rsidR="006A2E06" w:rsidRDefault="006A2E06" w:rsidP="006A2E06">
      <w:pPr>
        <w:spacing w:after="120" w:line="240" w:lineRule="auto"/>
        <w:ind w:left="1418" w:right="74"/>
        <w:jc w:val="both"/>
      </w:pPr>
      <w:r w:rsidRPr="007D4241">
        <w:rPr>
          <w:b/>
          <w:i/>
        </w:rPr>
        <w:t>Comment</w:t>
      </w:r>
      <w:r>
        <w:t xml:space="preserve">: By concentrating on the apparent discrepancy between the genealogies advanced by Luke and Matthew, Scofield misses a salient point </w:t>
      </w:r>
      <w:r w:rsidRPr="00C55264">
        <w:rPr>
          <w:spacing w:val="4"/>
        </w:rPr>
        <w:t xml:space="preserve">which is suggested by Eric Franklin.  Franklin points out that, unlike Matthew’s genealogy, which ‘is </w:t>
      </w:r>
      <w:r>
        <w:t>obviously meant to point to a climax in Jesus’,</w:t>
      </w:r>
      <w:r>
        <w:rPr>
          <w:rStyle w:val="EndnoteReference"/>
        </w:rPr>
        <w:endnoteReference w:id="2911"/>
      </w:r>
      <w:r>
        <w:t xml:space="preserve"> Luke’s genealogy goes backwards from Jesus, via David and Abraham, to Adam; ‘Jesus is effecting something for David – the restoration of the people of Israel; for Abraham – the fulfilment of God’s promise to him of a wider salvation;</w:t>
      </w:r>
      <w:r>
        <w:rPr>
          <w:rStyle w:val="EndnoteReference"/>
        </w:rPr>
        <w:endnoteReference w:id="2912"/>
      </w:r>
      <w:r>
        <w:t xml:space="preserve"> and for Adam </w:t>
      </w:r>
      <w:r w:rsidRPr="00012B96">
        <w:rPr>
          <w:sz w:val="16"/>
          <w:szCs w:val="24"/>
        </w:rPr>
        <w:t>—</w:t>
      </w:r>
      <w:r>
        <w:t xml:space="preserve"> the restoration of universal sonship which was lost at the Fall.  Luke here pictures Jesus as the Second Adam, the restorer of the </w:t>
      </w:r>
      <w:r>
        <w:lastRenderedPageBreak/>
        <w:t>human race …’</w:t>
      </w:r>
      <w:r>
        <w:rPr>
          <w:rStyle w:val="EndnoteReference"/>
        </w:rPr>
        <w:endnoteReference w:id="2913"/>
      </w:r>
      <w:r>
        <w:t xml:space="preserve">  These observations relate to Scofield’s own emphasis upon Christ as the second Adam in his notes on Mt. 4:1</w:t>
      </w:r>
      <w:r>
        <w:rPr>
          <w:rStyle w:val="EndnoteReference"/>
        </w:rPr>
        <w:endnoteReference w:id="2914"/>
      </w:r>
      <w:r>
        <w:t xml:space="preserve"> and Heb. 8:8.</w:t>
      </w:r>
      <w:r>
        <w:rPr>
          <w:rStyle w:val="EndnoteReference"/>
        </w:rPr>
        <w:endnoteReference w:id="2915"/>
      </w:r>
    </w:p>
    <w:p w:rsidR="006A2E06" w:rsidRDefault="006A2E06" w:rsidP="006A2E06">
      <w:pPr>
        <w:spacing w:after="120" w:line="240" w:lineRule="auto"/>
        <w:ind w:left="851" w:right="74"/>
        <w:jc w:val="both"/>
      </w:pPr>
      <w:r w:rsidRPr="00C37885">
        <w:rPr>
          <w:spacing w:val="6"/>
        </w:rPr>
        <w:t>Assertion that Christ’s stopping at “the acceptable year of the Lord” in his quotation of Isa. 61:1-2</w:t>
      </w:r>
      <w:r>
        <w:t xml:space="preserve"> in Lk. 4:19 indicates that this relates to his first advent and the dispensation of grace; the omitted phrase, ‘“the day of vengeance of our God” belongs to the second advent … and judgment’.</w:t>
      </w:r>
      <w:r>
        <w:rPr>
          <w:rStyle w:val="EndnoteReference"/>
        </w:rPr>
        <w:endnoteReference w:id="2916"/>
      </w:r>
    </w:p>
    <w:p w:rsidR="006A2E06" w:rsidRDefault="006A2E06" w:rsidP="006A2E06">
      <w:pPr>
        <w:spacing w:after="120" w:line="240" w:lineRule="auto"/>
        <w:ind w:left="851" w:right="74"/>
        <w:jc w:val="both"/>
      </w:pPr>
      <w:r>
        <w:t>Assertion that ‘Mary alone of the disciples understood Christ’s repeated declaration concerning His own death and resurrection’.</w:t>
      </w:r>
      <w:r>
        <w:rPr>
          <w:rStyle w:val="EndnoteReference"/>
        </w:rPr>
        <w:endnoteReference w:id="2917"/>
      </w:r>
    </w:p>
    <w:p w:rsidR="006A2E06" w:rsidRDefault="006A2E06" w:rsidP="006A2E06">
      <w:pPr>
        <w:spacing w:after="120" w:line="240" w:lineRule="auto"/>
        <w:ind w:left="1418" w:right="74"/>
        <w:jc w:val="both"/>
      </w:pPr>
      <w:r w:rsidRPr="007D4241">
        <w:rPr>
          <w:b/>
          <w:i/>
        </w:rPr>
        <w:t>Comment</w:t>
      </w:r>
      <w:r>
        <w:t xml:space="preserve">: Scofield </w:t>
      </w:r>
      <w:r w:rsidRPr="00593D2F">
        <w:t xml:space="preserve">neglects to mention </w:t>
      </w:r>
      <w:r>
        <w:t>Mary’s</w:t>
      </w:r>
      <w:r w:rsidRPr="00593D2F">
        <w:t xml:space="preserve"> sister Martha’s </w:t>
      </w:r>
      <w:r>
        <w:t>proclamation</w:t>
      </w:r>
      <w:r w:rsidRPr="00593D2F">
        <w:t xml:space="preserve"> of Jesus as ‘Christ, the Son of God, which should come into the world’</w:t>
      </w:r>
      <w:r>
        <w:t>.</w:t>
      </w:r>
      <w:r>
        <w:rPr>
          <w:rStyle w:val="EndnoteReference"/>
        </w:rPr>
        <w:endnoteReference w:id="2918"/>
      </w:r>
    </w:p>
    <w:p w:rsidR="006A2E06" w:rsidRPr="0044270F" w:rsidRDefault="006A2E06" w:rsidP="006A2E06">
      <w:pPr>
        <w:spacing w:after="0" w:line="240" w:lineRule="auto"/>
        <w:ind w:right="74" w:firstLine="567"/>
        <w:jc w:val="both"/>
        <w:rPr>
          <w:i/>
        </w:rPr>
      </w:pPr>
      <w:r w:rsidRPr="0044270F">
        <w:rPr>
          <w:i/>
        </w:rPr>
        <w:t>The Holy Spirit</w:t>
      </w:r>
    </w:p>
    <w:p w:rsidR="006A2E06" w:rsidRDefault="006A2E06" w:rsidP="006A2E06">
      <w:pPr>
        <w:spacing w:after="120" w:line="240" w:lineRule="auto"/>
        <w:ind w:left="851" w:right="74"/>
        <w:jc w:val="both"/>
      </w:pPr>
      <w:r>
        <w:t xml:space="preserve">Criticism of disciples </w:t>
      </w:r>
      <w:r w:rsidRPr="0044270F">
        <w:t>for failing to ask for the</w:t>
      </w:r>
      <w:r w:rsidRPr="00647385">
        <w:t xml:space="preserve"> Spirit in response to the promise that the heavenly Father would give the Holy Spirit to those who asked</w:t>
      </w:r>
      <w:r>
        <w:t>.</w:t>
      </w:r>
      <w:r w:rsidRPr="0044270F">
        <w:rPr>
          <w:rStyle w:val="EndnoteReference"/>
        </w:rPr>
        <w:t xml:space="preserve"> </w:t>
      </w:r>
      <w:r>
        <w:rPr>
          <w:rStyle w:val="EndnoteReference"/>
        </w:rPr>
        <w:endnoteReference w:id="2919"/>
      </w:r>
    </w:p>
    <w:p w:rsidR="006A2E06" w:rsidRDefault="006A2E06" w:rsidP="006A2E06">
      <w:pPr>
        <w:spacing w:after="120" w:line="240" w:lineRule="auto"/>
        <w:ind w:left="851" w:right="74"/>
        <w:jc w:val="both"/>
      </w:pPr>
      <w:r>
        <w:t>Assertion that ‘</w:t>
      </w:r>
      <w:r w:rsidRPr="00053A3F">
        <w:t>it was a new and staggering thing to a Jew that, in advance of the fulfilment of Joel 2:28, 29, all might receive the Spirit’.</w:t>
      </w:r>
      <w:r>
        <w:rPr>
          <w:rStyle w:val="EndnoteReference"/>
        </w:rPr>
        <w:endnoteReference w:id="2920"/>
      </w:r>
    </w:p>
    <w:p w:rsidR="006A2E06" w:rsidRDefault="006A2E06" w:rsidP="006A2E06">
      <w:pPr>
        <w:spacing w:after="0" w:line="240" w:lineRule="auto"/>
        <w:ind w:left="567" w:right="74"/>
        <w:jc w:val="both"/>
        <w:rPr>
          <w:i/>
        </w:rPr>
      </w:pPr>
      <w:r w:rsidRPr="002573E5">
        <w:rPr>
          <w:i/>
        </w:rPr>
        <w:t>Eschatology</w:t>
      </w:r>
    </w:p>
    <w:p w:rsidR="006A2E06" w:rsidRDefault="006A2E06" w:rsidP="006A2E06">
      <w:pPr>
        <w:spacing w:after="120" w:line="240" w:lineRule="auto"/>
        <w:ind w:left="851" w:right="74"/>
        <w:jc w:val="both"/>
      </w:pPr>
      <w:r w:rsidRPr="00E67C89">
        <w:t>Reference to Armageddon</w:t>
      </w:r>
      <w:r>
        <w:rPr>
          <w:i/>
        </w:rPr>
        <w:t>.</w:t>
      </w:r>
      <w:r w:rsidRPr="00E67C89">
        <w:rPr>
          <w:rStyle w:val="EndnoteReference"/>
        </w:rPr>
        <w:t xml:space="preserve"> </w:t>
      </w:r>
      <w:r w:rsidRPr="002573E5">
        <w:rPr>
          <w:rStyle w:val="EndnoteReference"/>
        </w:rPr>
        <w:endnoteReference w:id="2921"/>
      </w:r>
    </w:p>
    <w:p w:rsidR="006A2E06" w:rsidRDefault="006A2E06" w:rsidP="006A2E06">
      <w:pPr>
        <w:spacing w:after="120" w:line="240" w:lineRule="auto"/>
        <w:ind w:left="851" w:right="74"/>
        <w:jc w:val="both"/>
      </w:pPr>
      <w:r>
        <w:t>Assertion that ‘the Times of the Gentiles’ began with Nebuchadnezzar, ‘since which time Jerusalem has been under Gentile overlordship’.</w:t>
      </w:r>
      <w:r>
        <w:rPr>
          <w:rStyle w:val="EndnoteReference"/>
        </w:rPr>
        <w:endnoteReference w:id="2922"/>
      </w:r>
    </w:p>
    <w:p w:rsidR="006A2E06" w:rsidRDefault="006A2E06" w:rsidP="006A2E06">
      <w:pPr>
        <w:spacing w:after="120" w:line="240" w:lineRule="auto"/>
        <w:ind w:left="1418" w:right="74"/>
        <w:jc w:val="both"/>
        <w:rPr>
          <w:i/>
        </w:rPr>
      </w:pPr>
      <w:r w:rsidRPr="004E62DA">
        <w:rPr>
          <w:b/>
          <w:i/>
        </w:rPr>
        <w:t>Comment</w:t>
      </w:r>
      <w:r>
        <w:t xml:space="preserve">: </w:t>
      </w:r>
      <w:r w:rsidRPr="002573E5">
        <w:t>Luke 21:24 is the only place where Scofield’s frequent references to ‘the Times of the Gentiles’ is actually corroborated by the biblical text.</w:t>
      </w:r>
      <w:r w:rsidRPr="002573E5">
        <w:rPr>
          <w:rStyle w:val="EndnoteReference"/>
        </w:rPr>
        <w:endnoteReference w:id="2923"/>
      </w:r>
    </w:p>
    <w:p w:rsidR="006A2E06" w:rsidRDefault="006A2E06" w:rsidP="00811172">
      <w:pPr>
        <w:spacing w:after="0" w:line="240" w:lineRule="auto"/>
        <w:ind w:left="851" w:right="74" w:hanging="284"/>
        <w:jc w:val="both"/>
        <w:rPr>
          <w:i/>
        </w:rPr>
      </w:pPr>
      <w:r>
        <w:rPr>
          <w:i/>
        </w:rPr>
        <w:t>Near and Far’ Prophecy: the Two Sieges of Jerusalem</w:t>
      </w:r>
    </w:p>
    <w:p w:rsidR="006A2E06" w:rsidRDefault="006A2E06" w:rsidP="006A2E06">
      <w:pPr>
        <w:spacing w:after="120" w:line="240" w:lineRule="auto"/>
        <w:ind w:left="851" w:right="74"/>
        <w:jc w:val="both"/>
      </w:pPr>
      <w:r>
        <w:t xml:space="preserve">Assertion that </w:t>
      </w:r>
      <w:r w:rsidRPr="002573E5">
        <w:t>Matthew 24 and Mark 13 concern ‘the final siege at the end of this age’ prior to deliverance by ‘the Lord’s appearing’, whereas Luke 21 refers to the more immediate siege of Titus in AD 70, when Lk. 21:24 was ‘literally fulfilled’.</w:t>
      </w:r>
      <w:r w:rsidRPr="002573E5">
        <w:rPr>
          <w:rStyle w:val="EndnoteReference"/>
        </w:rPr>
        <w:endnoteReference w:id="2924"/>
      </w:r>
    </w:p>
    <w:p w:rsidR="006A2E06" w:rsidRPr="00AB4659" w:rsidRDefault="006A2E06" w:rsidP="006A2E06">
      <w:pPr>
        <w:spacing w:after="120" w:line="360" w:lineRule="auto"/>
        <w:ind w:right="74"/>
        <w:jc w:val="both"/>
        <w:rPr>
          <w:b/>
          <w:i/>
        </w:rPr>
      </w:pPr>
      <w:r w:rsidRPr="00AB4659">
        <w:rPr>
          <w:b/>
          <w:i/>
        </w:rPr>
        <w:t>The Kingdom</w:t>
      </w:r>
      <w:r>
        <w:rPr>
          <w:b/>
          <w:i/>
        </w:rPr>
        <w:t xml:space="preserve"> in Annotation of Luke</w:t>
      </w:r>
    </w:p>
    <w:p w:rsidR="006A2E06" w:rsidRDefault="006A2E06" w:rsidP="006A2E06">
      <w:pPr>
        <w:spacing w:after="120" w:line="360" w:lineRule="auto"/>
        <w:ind w:right="74"/>
        <w:jc w:val="both"/>
      </w:pPr>
      <w:r w:rsidRPr="002573E5">
        <w:t>Oddly, in his note on Lk. 17:21, Scofield seems to abandon the differentiation between the kingdoms of heaven and of God, which appears so often in his notes on Matthew.</w:t>
      </w:r>
      <w:r w:rsidRPr="002573E5">
        <w:rPr>
          <w:rStyle w:val="EndnoteReference"/>
        </w:rPr>
        <w:endnoteReference w:id="2925"/>
      </w:r>
      <w:r w:rsidRPr="002573E5">
        <w:t xml:space="preserve">  Here, Scofield is forced to refer to ‘the kingdom of God’ because that is Luke’s phrase, but </w:t>
      </w:r>
      <w:r>
        <w:t>he</w:t>
      </w:r>
      <w:r w:rsidRPr="002573E5">
        <w:t xml:space="preserve"> here applies ‘kingdom of God’ to the kingdom rejected by the Jews;</w:t>
      </w:r>
      <w:r w:rsidRPr="002573E5">
        <w:rPr>
          <w:rStyle w:val="EndnoteReference"/>
        </w:rPr>
        <w:endnoteReference w:id="2926"/>
      </w:r>
      <w:r w:rsidRPr="002573E5">
        <w:t xml:space="preserve"> this is in contrast the </w:t>
      </w:r>
      <w:r w:rsidRPr="002573E5">
        <w:rPr>
          <w:i/>
        </w:rPr>
        <w:t>SRB</w:t>
      </w:r>
      <w:r w:rsidRPr="002573E5">
        <w:t xml:space="preserve"> notes on Mt. 11:11 and 11:20, where it is the kingdom of heaven which is rejected.</w:t>
      </w:r>
      <w:r w:rsidRPr="002573E5">
        <w:rPr>
          <w:rStyle w:val="EndnoteReference"/>
        </w:rPr>
        <w:endnoteReference w:id="2927"/>
      </w:r>
      <w:r w:rsidRPr="002573E5">
        <w:t xml:space="preserve"> </w:t>
      </w:r>
    </w:p>
    <w:p w:rsidR="006A2E06" w:rsidRPr="00AB4659" w:rsidRDefault="006A2E06" w:rsidP="006A2E06">
      <w:pPr>
        <w:spacing w:after="120" w:line="360" w:lineRule="auto"/>
        <w:ind w:right="74"/>
        <w:jc w:val="both"/>
        <w:rPr>
          <w:b/>
          <w:i/>
        </w:rPr>
      </w:pPr>
      <w:r w:rsidRPr="00AB4659">
        <w:rPr>
          <w:b/>
          <w:i/>
        </w:rPr>
        <w:t>Omissions</w:t>
      </w:r>
    </w:p>
    <w:p w:rsidR="006A2E06" w:rsidRDefault="006A2E06" w:rsidP="006A2E06">
      <w:pPr>
        <w:spacing w:after="120" w:line="240" w:lineRule="auto"/>
        <w:ind w:left="567" w:right="74"/>
        <w:jc w:val="both"/>
      </w:pPr>
      <w:r>
        <w:t>Many details of Luke’s account of Jesus’ life, including the announcement and account of his birth.</w:t>
      </w:r>
      <w:r>
        <w:rPr>
          <w:rStyle w:val="EndnoteReference"/>
        </w:rPr>
        <w:endnoteReference w:id="2928"/>
      </w:r>
      <w:r>
        <w:t xml:space="preserve"> </w:t>
      </w:r>
    </w:p>
    <w:p w:rsidR="006A2E06" w:rsidRDefault="006A2E06" w:rsidP="006A2E06">
      <w:pPr>
        <w:spacing w:after="120" w:line="240" w:lineRule="auto"/>
        <w:ind w:left="567" w:right="74"/>
        <w:jc w:val="both"/>
      </w:pPr>
      <w:r>
        <w:t>The annunciation and the birth of John the Baptist.</w:t>
      </w:r>
      <w:r>
        <w:rPr>
          <w:rStyle w:val="EndnoteReference"/>
        </w:rPr>
        <w:endnoteReference w:id="2929"/>
      </w:r>
    </w:p>
    <w:p w:rsidR="006A2E06" w:rsidRDefault="006A2E06" w:rsidP="006A2E06">
      <w:pPr>
        <w:spacing w:after="120" w:line="240" w:lineRule="auto"/>
        <w:ind w:left="567" w:right="74"/>
        <w:jc w:val="both"/>
      </w:pPr>
      <w:r>
        <w:t>Jesus’ entry into Jerusalem, his lament over it and his cleansing of the temple.</w:t>
      </w:r>
      <w:r>
        <w:rPr>
          <w:rStyle w:val="EndnoteReference"/>
        </w:rPr>
        <w:endnoteReference w:id="2930"/>
      </w:r>
    </w:p>
    <w:p w:rsidR="006A2E06" w:rsidRDefault="006A2E06" w:rsidP="006A2E06">
      <w:pPr>
        <w:spacing w:after="120" w:line="240" w:lineRule="auto"/>
        <w:ind w:left="567" w:right="74"/>
        <w:jc w:val="both"/>
      </w:pPr>
      <w:r>
        <w:t>Jesus’ miracles</w:t>
      </w:r>
      <w:r w:rsidRPr="00647385">
        <w:rPr>
          <w:rStyle w:val="EndnoteReference"/>
        </w:rPr>
        <w:endnoteReference w:id="2931"/>
      </w:r>
      <w:r>
        <w:t xml:space="preserve"> and much of his teaching.</w:t>
      </w:r>
    </w:p>
    <w:p w:rsidR="006A2E06" w:rsidRDefault="006A2E06" w:rsidP="006A2E06">
      <w:pPr>
        <w:spacing w:after="120" w:line="240" w:lineRule="auto"/>
        <w:ind w:left="567" w:right="74"/>
        <w:jc w:val="both"/>
      </w:pPr>
      <w:r>
        <w:t>Many parables, including those concerning Israel.</w:t>
      </w:r>
      <w:r w:rsidRPr="00647385">
        <w:rPr>
          <w:rStyle w:val="EndnoteReference"/>
        </w:rPr>
        <w:endnoteReference w:id="2932"/>
      </w:r>
    </w:p>
    <w:p w:rsidR="006A2E06" w:rsidRDefault="006A2E06" w:rsidP="006A2E06">
      <w:pPr>
        <w:spacing w:after="120" w:line="240" w:lineRule="auto"/>
        <w:ind w:left="567" w:right="74"/>
        <w:jc w:val="both"/>
      </w:pPr>
      <w:r>
        <w:t>Jesus’ calling of disciples and naming of apostles.</w:t>
      </w:r>
      <w:r w:rsidRPr="00647385">
        <w:rPr>
          <w:rStyle w:val="EndnoteReference"/>
        </w:rPr>
        <w:endnoteReference w:id="2933"/>
      </w:r>
    </w:p>
    <w:p w:rsidR="006A2E06" w:rsidRDefault="006A2E06" w:rsidP="006A2E06">
      <w:pPr>
        <w:spacing w:after="240" w:line="240" w:lineRule="auto"/>
        <w:ind w:left="567" w:right="74"/>
        <w:jc w:val="both"/>
      </w:pPr>
      <w:r>
        <w:t>Jesus’ conflict with the Pharisees and Sadducees.</w:t>
      </w:r>
      <w:r w:rsidRPr="00647385">
        <w:rPr>
          <w:rStyle w:val="EndnoteReference"/>
        </w:rPr>
        <w:endnoteReference w:id="2934"/>
      </w:r>
    </w:p>
    <w:p w:rsidR="00F5188D" w:rsidRDefault="00F5188D" w:rsidP="006A2E06">
      <w:pPr>
        <w:spacing w:after="240" w:line="240" w:lineRule="auto"/>
        <w:ind w:left="567" w:right="74"/>
        <w:jc w:val="both"/>
      </w:pPr>
    </w:p>
    <w:p w:rsidR="006A2E06" w:rsidRPr="006D71CC" w:rsidRDefault="006A2E06" w:rsidP="006A2E06">
      <w:pPr>
        <w:spacing w:after="120" w:line="360" w:lineRule="auto"/>
        <w:ind w:left="567" w:right="74" w:hanging="567"/>
        <w:jc w:val="both"/>
        <w:rPr>
          <w:b/>
          <w:i/>
        </w:rPr>
      </w:pPr>
      <w:r w:rsidRPr="006D71CC">
        <w:rPr>
          <w:b/>
          <w:i/>
        </w:rPr>
        <w:lastRenderedPageBreak/>
        <w:t>Comment</w:t>
      </w:r>
      <w:r>
        <w:rPr>
          <w:b/>
          <w:i/>
        </w:rPr>
        <w:t>: Omissions</w:t>
      </w:r>
    </w:p>
    <w:p w:rsidR="006A2E06" w:rsidRDefault="006A2E06" w:rsidP="006A2E06">
      <w:pPr>
        <w:spacing w:after="120" w:line="360" w:lineRule="auto"/>
        <w:ind w:right="74"/>
        <w:jc w:val="both"/>
      </w:pPr>
      <w:r w:rsidRPr="00647385">
        <w:t xml:space="preserve">All these elements help to establish </w:t>
      </w:r>
      <w:r>
        <w:t xml:space="preserve">Jesus’ identity in Luke’s eyes </w:t>
      </w:r>
      <w:r w:rsidRPr="00647385">
        <w:t>and relate to Jesus’ self-pronouncement in Lk. 4:18-19.</w:t>
      </w:r>
      <w:r w:rsidRPr="00647385">
        <w:rPr>
          <w:rStyle w:val="FootnoteReference"/>
        </w:rPr>
        <w:footnoteReference w:id="98"/>
      </w:r>
      <w:r w:rsidRPr="00647385">
        <w:t xml:space="preserve">  </w:t>
      </w:r>
    </w:p>
    <w:p w:rsidR="006A2E06" w:rsidRDefault="006A2E06" w:rsidP="006A2E06">
      <w:pPr>
        <w:spacing w:after="120" w:line="360" w:lineRule="auto"/>
        <w:ind w:right="74" w:firstLine="567"/>
        <w:jc w:val="both"/>
      </w:pPr>
      <w:r w:rsidRPr="00647385">
        <w:t>Significantly Lk. 8:21 does not fall within the chapters annotated by Scofield</w:t>
      </w:r>
      <w:r>
        <w:t>; here Jesus declares</w:t>
      </w:r>
      <w:r w:rsidRPr="00647385">
        <w:t xml:space="preserve"> that those who hear and practise God’s word constitute his family</w:t>
      </w:r>
      <w:r>
        <w:t>.</w:t>
      </w:r>
      <w:r w:rsidRPr="00647385">
        <w:rPr>
          <w:rStyle w:val="EndnoteReference"/>
        </w:rPr>
        <w:endnoteReference w:id="2935"/>
      </w:r>
      <w:r>
        <w:t xml:space="preserve">  Jesus’ statement conflicts with </w:t>
      </w:r>
      <w:r w:rsidRPr="00647385">
        <w:t>Scofield’s identification of Jesus’ ‘brethren’ as the Jewish remnant</w:t>
      </w:r>
      <w:r>
        <w:t xml:space="preserve"> in his note on Mt. 25:32.</w:t>
      </w:r>
      <w:r w:rsidRPr="00647385">
        <w:rPr>
          <w:rStyle w:val="EndnoteReference"/>
        </w:rPr>
        <w:endnoteReference w:id="2936"/>
      </w:r>
      <w:r>
        <w:t xml:space="preserve">  </w:t>
      </w:r>
      <w:r w:rsidRPr="00593D2F">
        <w:t xml:space="preserve">Important omissions in the note on Luke 22 include comment on the role of Judas, and also any proper reference to the new covenant in Jesus’ blood, which is essential to the concept of atonement.  </w:t>
      </w:r>
      <w:r>
        <w:t>C</w:t>
      </w:r>
      <w:r w:rsidRPr="00593D2F">
        <w:t>ontent concerning Jesus’ prediction of Peter’s denial, his agony at Gethsemane, his arrest and the fulfilment of his prediction concerning Peter and his trial before the priests and elders</w:t>
      </w:r>
      <w:r>
        <w:t xml:space="preserve"> is also omitted</w:t>
      </w:r>
      <w:r w:rsidRPr="00593D2F">
        <w:t xml:space="preserve">.  In the notes on chapter 23 many particulars and nuances of Luke’s account of the crucifixion escape comment.  </w:t>
      </w:r>
      <w:r>
        <w:t>Many of these matters are merely covered by cross-references to notes on Matthew.</w:t>
      </w:r>
      <w:r>
        <w:rPr>
          <w:rStyle w:val="EndnoteReference"/>
        </w:rPr>
        <w:endnoteReference w:id="2937"/>
      </w:r>
      <w:r>
        <w:t xml:space="preserve">  </w:t>
      </w:r>
      <w:r w:rsidRPr="00593D2F">
        <w:t xml:space="preserve">These are all important matters </w:t>
      </w:r>
      <w:r>
        <w:t>and it is strange that they do not draw any</w:t>
      </w:r>
      <w:r w:rsidRPr="00593D2F">
        <w:t xml:space="preserve"> comment from Scofield.</w:t>
      </w:r>
      <w:r>
        <w:t xml:space="preserve">  </w:t>
      </w:r>
    </w:p>
    <w:p w:rsidR="006A2E06" w:rsidRDefault="006A2E06" w:rsidP="006A2E06">
      <w:pPr>
        <w:spacing w:after="120" w:line="360" w:lineRule="auto"/>
        <w:ind w:right="74"/>
        <w:jc w:val="both"/>
        <w:rPr>
          <w:b/>
        </w:rPr>
      </w:pPr>
      <w:r>
        <w:rPr>
          <w:b/>
        </w:rPr>
        <w:t xml:space="preserve">8.6.4  </w:t>
      </w:r>
      <w:r w:rsidRPr="00E77C5D">
        <w:rPr>
          <w:b/>
        </w:rPr>
        <w:t>John</w:t>
      </w:r>
    </w:p>
    <w:p w:rsidR="006A2E06" w:rsidRPr="00870259" w:rsidRDefault="006A2E06" w:rsidP="006A2E06">
      <w:pPr>
        <w:spacing w:after="120" w:line="360" w:lineRule="auto"/>
        <w:ind w:right="74"/>
        <w:jc w:val="both"/>
        <w:rPr>
          <w:b/>
          <w:i/>
        </w:rPr>
      </w:pPr>
      <w:r w:rsidRPr="00870259">
        <w:rPr>
          <w:b/>
          <w:i/>
        </w:rPr>
        <w:t>Introduction:</w:t>
      </w:r>
      <w:r w:rsidRPr="00870259">
        <w:rPr>
          <w:rStyle w:val="EndnoteReference"/>
        </w:rPr>
        <w:endnoteReference w:id="2938"/>
      </w:r>
      <w:r w:rsidRPr="00870259">
        <w:rPr>
          <w:b/>
          <w:i/>
        </w:rPr>
        <w:t xml:space="preserve"> Key Points</w:t>
      </w:r>
    </w:p>
    <w:p w:rsidR="006A2E06" w:rsidRPr="00870259" w:rsidRDefault="006A2E06" w:rsidP="006A2E06">
      <w:pPr>
        <w:spacing w:after="120" w:line="240" w:lineRule="auto"/>
        <w:ind w:left="567" w:right="74"/>
        <w:jc w:val="both"/>
      </w:pPr>
      <w:r w:rsidRPr="00870259">
        <w:t>Assertion that the theme of John is given in the prologue</w:t>
      </w:r>
      <w:r w:rsidRPr="00870259">
        <w:rPr>
          <w:rStyle w:val="EndnoteReference"/>
        </w:rPr>
        <w:endnoteReference w:id="2939"/>
      </w:r>
      <w:r w:rsidRPr="00870259">
        <w:t xml:space="preserve">  and in ‘the last verse of the Gospel proper’</w:t>
      </w:r>
      <w:r>
        <w:t>:</w:t>
      </w:r>
      <w:r w:rsidRPr="00870259">
        <w:rPr>
          <w:rStyle w:val="EndnoteReference"/>
        </w:rPr>
        <w:endnoteReference w:id="2940"/>
      </w:r>
      <w:r w:rsidRPr="00870259">
        <w:t xml:space="preserve"> ‘the incarnation of the eternal Word, and Son of God, Himself God, in Jesus the Christ’.</w:t>
      </w:r>
    </w:p>
    <w:p w:rsidR="006A2E06" w:rsidRPr="00870259" w:rsidRDefault="006A2E06" w:rsidP="006A2E06">
      <w:pPr>
        <w:spacing w:after="120" w:line="240" w:lineRule="auto"/>
        <w:ind w:left="567" w:right="74"/>
        <w:jc w:val="both"/>
      </w:pPr>
      <w:r w:rsidRPr="00870259">
        <w:t xml:space="preserve">Assertion that </w:t>
      </w:r>
      <w:r>
        <w:t xml:space="preserve">the </w:t>
      </w:r>
      <w:r w:rsidRPr="00870259">
        <w:t xml:space="preserve">object is ‘to reveal God in terms of a human life’ so that those who believe in Jesus as ‘Christ the Son of God’ may have eternal life.  </w:t>
      </w:r>
    </w:p>
    <w:p w:rsidR="006A2E06" w:rsidRPr="00870259" w:rsidRDefault="006A2E06" w:rsidP="006A2E06">
      <w:pPr>
        <w:spacing w:after="120" w:line="240" w:lineRule="auto"/>
        <w:ind w:left="567" w:right="74"/>
        <w:jc w:val="both"/>
      </w:pPr>
      <w:r w:rsidRPr="00870259">
        <w:t>The key words are ‘believed’ and ‘life’.</w:t>
      </w:r>
    </w:p>
    <w:p w:rsidR="006A2E06" w:rsidRPr="00870259" w:rsidRDefault="006A2E06" w:rsidP="006A2E06">
      <w:pPr>
        <w:spacing w:after="120" w:line="240" w:lineRule="auto"/>
        <w:ind w:left="567" w:right="74"/>
        <w:jc w:val="both"/>
      </w:pPr>
      <w:r w:rsidRPr="00870259">
        <w:t>Assertion that the writer is the apostle John</w:t>
      </w:r>
      <w:r>
        <w:t>;</w:t>
      </w:r>
      <w:r w:rsidRPr="00870259">
        <w:rPr>
          <w:rStyle w:val="EndnoteReference"/>
        </w:rPr>
        <w:endnoteReference w:id="2941"/>
      </w:r>
      <w:r w:rsidRPr="00870259">
        <w:t xml:space="preserve"> though ‘this has been questioned on critical grounds, but on the same grounds and with equal scholarship, the early date and Johanean authorship have been maintained’.  </w:t>
      </w:r>
    </w:p>
    <w:p w:rsidR="006A2E06" w:rsidRPr="00870259" w:rsidRDefault="006A2E06" w:rsidP="006A2E06">
      <w:pPr>
        <w:spacing w:after="120" w:line="240" w:lineRule="auto"/>
        <w:ind w:left="567" w:right="74"/>
        <w:jc w:val="both"/>
      </w:pPr>
      <w:r w:rsidRPr="00870259">
        <w:t>Asserted date:</w:t>
      </w:r>
      <w:r>
        <w:t xml:space="preserve"> </w:t>
      </w:r>
      <w:r w:rsidRPr="00870259">
        <w:t>‘85-90 A.D., probably the latter’.</w:t>
      </w:r>
    </w:p>
    <w:p w:rsidR="006A2E06" w:rsidRDefault="006A2E06" w:rsidP="006A2E06">
      <w:pPr>
        <w:spacing w:after="120" w:line="240" w:lineRule="auto"/>
        <w:ind w:left="1418" w:right="74"/>
        <w:jc w:val="both"/>
      </w:pPr>
      <w:r w:rsidRPr="004E62DA">
        <w:rPr>
          <w:b/>
          <w:i/>
        </w:rPr>
        <w:t>Comment</w:t>
      </w:r>
      <w:r>
        <w:t xml:space="preserve">: </w:t>
      </w:r>
      <w:r w:rsidR="00811172">
        <w:t xml:space="preserve">The dates given for each of the Gospels indicate that </w:t>
      </w:r>
      <w:r w:rsidRPr="00870259">
        <w:t xml:space="preserve">Scofield holds that the four </w:t>
      </w:r>
      <w:r>
        <w:t>G</w:t>
      </w:r>
      <w:r w:rsidRPr="00870259">
        <w:t>ospels appear in the New Testament in chronological order of writing.</w:t>
      </w:r>
    </w:p>
    <w:p w:rsidR="006A2E06" w:rsidRDefault="006A2E06" w:rsidP="00F5188D">
      <w:pPr>
        <w:spacing w:after="120" w:line="240" w:lineRule="auto"/>
        <w:ind w:left="1418" w:right="74" w:hanging="1418"/>
        <w:jc w:val="both"/>
      </w:pPr>
    </w:p>
    <w:p w:rsidR="006A2E06" w:rsidRDefault="006A2E06" w:rsidP="006A2E06">
      <w:pPr>
        <w:spacing w:after="120" w:line="240" w:lineRule="auto"/>
        <w:ind w:right="74"/>
        <w:jc w:val="center"/>
      </w:pPr>
    </w:p>
    <w:p w:rsidR="006A2E06" w:rsidRDefault="006A2E06" w:rsidP="006A2E06">
      <w:pPr>
        <w:spacing w:after="120" w:line="240" w:lineRule="auto"/>
        <w:ind w:right="74"/>
        <w:rPr>
          <w:b/>
          <w:i/>
        </w:rPr>
      </w:pPr>
    </w:p>
    <w:p w:rsidR="006A2E06" w:rsidRDefault="006A2E06" w:rsidP="006A2E06">
      <w:pPr>
        <w:spacing w:after="120" w:line="360" w:lineRule="auto"/>
        <w:ind w:right="74"/>
        <w:jc w:val="center"/>
        <w:rPr>
          <w:b/>
        </w:rPr>
      </w:pPr>
      <w:r>
        <w:rPr>
          <w:b/>
          <w:noProof/>
          <w:lang w:eastAsia="en-GB"/>
        </w:rPr>
        <w:lastRenderedPageBreak/>
        <w:drawing>
          <wp:inline distT="0" distB="0" distL="0" distR="0" wp14:anchorId="1A941DB4" wp14:editId="3F445496">
            <wp:extent cx="4469588" cy="3980793"/>
            <wp:effectExtent l="0" t="0" r="7620" b="127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vertical axis 16.4.16 rev 5.2.18 crop.jpg"/>
                    <pic:cNvPicPr/>
                  </pic:nvPicPr>
                  <pic:blipFill>
                    <a:blip r:embed="rId191">
                      <a:extLst>
                        <a:ext uri="{28A0092B-C50C-407E-A947-70E740481C1C}">
                          <a14:useLocalDpi xmlns:a14="http://schemas.microsoft.com/office/drawing/2010/main" val="0"/>
                        </a:ext>
                      </a:extLst>
                    </a:blip>
                    <a:stretch>
                      <a:fillRect/>
                    </a:stretch>
                  </pic:blipFill>
                  <pic:spPr>
                    <a:xfrm>
                      <a:off x="0" y="0"/>
                      <a:ext cx="4469588" cy="3980793"/>
                    </a:xfrm>
                    <a:prstGeom prst="rect">
                      <a:avLst/>
                    </a:prstGeom>
                  </pic:spPr>
                </pic:pic>
              </a:graphicData>
            </a:graphic>
          </wp:inline>
        </w:drawing>
      </w:r>
    </w:p>
    <w:p w:rsidR="006A2E06" w:rsidRDefault="006A2E06" w:rsidP="006A2E06">
      <w:pPr>
        <w:spacing w:after="120" w:line="360" w:lineRule="auto"/>
        <w:ind w:right="74"/>
        <w:jc w:val="both"/>
      </w:pPr>
      <w:r>
        <w:rPr>
          <w:noProof/>
          <w:lang w:eastAsia="en-GB"/>
        </w:rPr>
        <w:drawing>
          <wp:inline distT="0" distB="0" distL="0" distR="0" wp14:anchorId="3B6DE24C" wp14:editId="018F555B">
            <wp:extent cx="5400040" cy="69469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itle 12.2.18 crop.jpg"/>
                    <pic:cNvPicPr/>
                  </pic:nvPicPr>
                  <pic:blipFill>
                    <a:blip r:embed="rId192">
                      <a:extLst>
                        <a:ext uri="{28A0092B-C50C-407E-A947-70E740481C1C}">
                          <a14:useLocalDpi xmlns:a14="http://schemas.microsoft.com/office/drawing/2010/main" val="0"/>
                        </a:ext>
                      </a:extLst>
                    </a:blip>
                    <a:stretch>
                      <a:fillRect/>
                    </a:stretch>
                  </pic:blipFill>
                  <pic:spPr>
                    <a:xfrm>
                      <a:off x="0" y="0"/>
                      <a:ext cx="5400040" cy="694690"/>
                    </a:xfrm>
                    <a:prstGeom prst="rect">
                      <a:avLst/>
                    </a:prstGeom>
                  </pic:spPr>
                </pic:pic>
              </a:graphicData>
            </a:graphic>
          </wp:inline>
        </w:drawing>
      </w:r>
    </w:p>
    <w:p w:rsidR="00F5188D" w:rsidRDefault="00F5188D" w:rsidP="006A2E06">
      <w:pPr>
        <w:spacing w:after="120" w:line="360" w:lineRule="auto"/>
        <w:ind w:right="74"/>
        <w:jc w:val="both"/>
      </w:pPr>
      <w:r>
        <w:rPr>
          <w:noProof/>
          <w:lang w:eastAsia="en-GB"/>
        </w:rPr>
        <w:drawing>
          <wp:inline distT="0" distB="0" distL="0" distR="0" wp14:anchorId="19C40247" wp14:editId="0F9824FB">
            <wp:extent cx="5400040" cy="2589530"/>
            <wp:effectExtent l="0" t="0" r="0" b="127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hemes as table  SPLIT 12.5.18_Page_1 crop.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400040" cy="2589530"/>
                    </a:xfrm>
                    <a:prstGeom prst="rect">
                      <a:avLst/>
                    </a:prstGeom>
                  </pic:spPr>
                </pic:pic>
              </a:graphicData>
            </a:graphic>
          </wp:inline>
        </w:drawing>
      </w:r>
    </w:p>
    <w:p w:rsidR="00F5188D" w:rsidRPr="00F5188D" w:rsidRDefault="00F5188D" w:rsidP="006A2E06">
      <w:pPr>
        <w:spacing w:after="120" w:line="360" w:lineRule="auto"/>
        <w:ind w:right="74"/>
        <w:jc w:val="both"/>
        <w:rPr>
          <w:b/>
          <w:i/>
        </w:rPr>
      </w:pPr>
      <w:r w:rsidRPr="00F5188D">
        <w:rPr>
          <w:b/>
          <w:i/>
        </w:rPr>
        <w:t>Continued overleaf</w:t>
      </w:r>
    </w:p>
    <w:p w:rsidR="006A2E06" w:rsidRDefault="009005D1" w:rsidP="006A2E06">
      <w:pPr>
        <w:spacing w:after="120" w:line="360" w:lineRule="auto"/>
        <w:ind w:right="74"/>
        <w:jc w:val="center"/>
        <w:rPr>
          <w:noProof/>
          <w:lang w:eastAsia="en-GB"/>
        </w:rPr>
      </w:pPr>
      <w:r>
        <w:rPr>
          <w:b/>
          <w:i/>
          <w:noProof/>
          <w:lang w:eastAsia="en-GB"/>
        </w:rPr>
        <w:lastRenderedPageBreak/>
        <w:drawing>
          <wp:inline distT="0" distB="0" distL="0" distR="0" wp14:anchorId="72CA2C11" wp14:editId="5109883B">
            <wp:extent cx="5400040" cy="29019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themes as table  SPLIT 12.5.18 page 2 only crop.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00040" cy="2901950"/>
                    </a:xfrm>
                    <a:prstGeom prst="rect">
                      <a:avLst/>
                    </a:prstGeom>
                  </pic:spPr>
                </pic:pic>
              </a:graphicData>
            </a:graphic>
          </wp:inline>
        </w:drawing>
      </w:r>
    </w:p>
    <w:p w:rsidR="006A2E06" w:rsidRDefault="006A2E06" w:rsidP="006A2E06">
      <w:pPr>
        <w:spacing w:after="120" w:line="360" w:lineRule="auto"/>
        <w:ind w:right="74"/>
        <w:jc w:val="both"/>
      </w:pPr>
      <w:r>
        <w:rPr>
          <w:b/>
          <w:i/>
        </w:rPr>
        <w:t>Annotation: Key Points</w:t>
      </w:r>
    </w:p>
    <w:p w:rsidR="006A2E06" w:rsidRDefault="006A2E06" w:rsidP="006A2E06">
      <w:pPr>
        <w:spacing w:after="240" w:line="240" w:lineRule="auto"/>
        <w:ind w:left="567" w:right="74"/>
        <w:jc w:val="both"/>
      </w:pPr>
      <w:r w:rsidRPr="00E77C5D">
        <w:t xml:space="preserve">Eight chapters out of twenty-one </w:t>
      </w:r>
      <w:r>
        <w:t>are not annotated</w:t>
      </w:r>
      <w:r w:rsidRPr="00E77C5D">
        <w:t xml:space="preserve"> and some chapters are very briefly annotated, with isolated verses afforded commentary.</w:t>
      </w:r>
      <w:r w:rsidRPr="00E77C5D">
        <w:rPr>
          <w:rStyle w:val="EndnoteReference"/>
        </w:rPr>
        <w:endnoteReference w:id="2942"/>
      </w:r>
    </w:p>
    <w:p w:rsidR="006A2E06" w:rsidRDefault="006A2E06" w:rsidP="006A2E06">
      <w:pPr>
        <w:spacing w:after="240" w:line="240" w:lineRule="auto"/>
        <w:ind w:left="567" w:right="74"/>
        <w:jc w:val="both"/>
      </w:pPr>
      <w:r>
        <w:t>John 1:17 is chosen as the vehicle for the onset of the sixth dispensation, the Dispensation of Grace.</w:t>
      </w:r>
      <w:r>
        <w:rPr>
          <w:rStyle w:val="EndnoteReference"/>
        </w:rPr>
        <w:endnoteReference w:id="2943"/>
      </w:r>
    </w:p>
    <w:p w:rsidR="006A2E06" w:rsidRPr="006311AA" w:rsidRDefault="006A2E06" w:rsidP="006A2E06">
      <w:pPr>
        <w:spacing w:after="120" w:line="360" w:lineRule="auto"/>
        <w:ind w:right="74"/>
        <w:jc w:val="both"/>
        <w:rPr>
          <w:b/>
          <w:i/>
        </w:rPr>
      </w:pPr>
      <w:r w:rsidRPr="006311AA">
        <w:rPr>
          <w:b/>
          <w:i/>
        </w:rPr>
        <w:t>Discourses</w:t>
      </w:r>
      <w:r>
        <w:rPr>
          <w:b/>
          <w:i/>
        </w:rPr>
        <w:t>:</w:t>
      </w:r>
      <w:r w:rsidRPr="006311AA">
        <w:rPr>
          <w:b/>
          <w:i/>
        </w:rPr>
        <w:t xml:space="preserve"> Comment</w:t>
      </w:r>
    </w:p>
    <w:p w:rsidR="006A2E06" w:rsidRDefault="006A2E06" w:rsidP="006A2E06">
      <w:pPr>
        <w:spacing w:after="120" w:line="360" w:lineRule="auto"/>
        <w:ind w:right="74"/>
        <w:jc w:val="both"/>
      </w:pPr>
      <w:r>
        <w:t>The most striking feature of Scofield’s annotation of John is the number of discourses on a variety of subjects.  Many of these have an exhortative character and contain a wealth of references, again suggesting the influence of the Bible Readings method.</w:t>
      </w:r>
      <w:r>
        <w:rPr>
          <w:rStyle w:val="EndnoteReference"/>
        </w:rPr>
        <w:endnoteReference w:id="2944"/>
      </w:r>
      <w:r>
        <w:t xml:space="preserve">  There are notably fewer items which advance characteristically dispensationalist tenets and more which place Scofield more demonstrably within mainstream evangelical tradition.</w:t>
      </w:r>
      <w:r>
        <w:rPr>
          <w:rStyle w:val="EndnoteReference"/>
        </w:rPr>
        <w:endnoteReference w:id="2945"/>
      </w:r>
      <w:r>
        <w:t xml:space="preserve"> </w:t>
      </w:r>
    </w:p>
    <w:p w:rsidR="006A2E06" w:rsidRDefault="006A2E06" w:rsidP="006A2E06">
      <w:pPr>
        <w:spacing w:after="120" w:line="360" w:lineRule="auto"/>
        <w:ind w:right="74" w:firstLine="567"/>
        <w:jc w:val="both"/>
      </w:pPr>
      <w:r>
        <w:t>The first lengthy discourse is on differences between law and grace, a subject which has already been addressed in the note on Exod. 19:5.</w:t>
      </w:r>
      <w:r>
        <w:rPr>
          <w:rStyle w:val="EndnoteReference"/>
        </w:rPr>
        <w:endnoteReference w:id="2946"/>
      </w:r>
      <w:r>
        <w:t xml:space="preserve">  This is a very important note because, not only does it define grace as a concept of undeserved divine love, but it also demonstrates the case for the differences between the dispensations of law and of grace, establishing that the latter dispensation only begins with Christ’s death and resurrection.  It also makes one statement which has been the subject of controversy.  This is the implication that ‘legal obedience’ was ‘the condition of salvation’ in the age of law.  However, other statements from Scofield refute this implication.</w:t>
      </w:r>
      <w:r>
        <w:rPr>
          <w:rStyle w:val="EndnoteReference"/>
        </w:rPr>
        <w:endnoteReference w:id="2947"/>
      </w:r>
      <w:r>
        <w:t xml:space="preserve">  The notion that Christ was crucified ‘by Jew and Gentile’ is also controversial.</w:t>
      </w:r>
      <w:r>
        <w:rPr>
          <w:rStyle w:val="EndnoteReference"/>
        </w:rPr>
        <w:endnoteReference w:id="2948"/>
      </w:r>
    </w:p>
    <w:p w:rsidR="00F5188D" w:rsidRDefault="00F5188D" w:rsidP="006A2E06">
      <w:pPr>
        <w:spacing w:after="120" w:line="360" w:lineRule="auto"/>
        <w:ind w:right="74" w:firstLine="567"/>
        <w:jc w:val="both"/>
      </w:pPr>
    </w:p>
    <w:p w:rsidR="00F5188D" w:rsidRDefault="00F5188D" w:rsidP="006A2E06">
      <w:pPr>
        <w:spacing w:after="120" w:line="360" w:lineRule="auto"/>
        <w:ind w:right="74" w:firstLine="567"/>
        <w:jc w:val="both"/>
      </w:pPr>
    </w:p>
    <w:p w:rsidR="006A2E06" w:rsidRPr="00964D1D" w:rsidRDefault="006A2E06" w:rsidP="006A2E06">
      <w:pPr>
        <w:spacing w:after="120" w:line="360" w:lineRule="auto"/>
        <w:ind w:right="74"/>
        <w:jc w:val="both"/>
        <w:rPr>
          <w:b/>
          <w:i/>
        </w:rPr>
      </w:pPr>
      <w:r w:rsidRPr="00964D1D">
        <w:rPr>
          <w:b/>
          <w:i/>
        </w:rPr>
        <w:lastRenderedPageBreak/>
        <w:t>Christology: Comment</w:t>
      </w:r>
    </w:p>
    <w:p w:rsidR="006A2E06" w:rsidRDefault="006A2E06" w:rsidP="006A2E06">
      <w:pPr>
        <w:spacing w:after="120" w:line="360" w:lineRule="auto"/>
        <w:ind w:right="74"/>
        <w:jc w:val="both"/>
      </w:pPr>
      <w:r>
        <w:t>Commentary in the</w:t>
      </w:r>
      <w:r w:rsidRPr="00E77C5D">
        <w:t xml:space="preserve"> intensely annotated John 20</w:t>
      </w:r>
      <w:r w:rsidRPr="00E77C5D">
        <w:rPr>
          <w:rStyle w:val="EndnoteReference"/>
        </w:rPr>
        <w:endnoteReference w:id="2949"/>
      </w:r>
      <w:r w:rsidRPr="00E77C5D">
        <w:t xml:space="preserve"> contain</w:t>
      </w:r>
      <w:r>
        <w:t>s</w:t>
      </w:r>
      <w:r w:rsidRPr="00E77C5D">
        <w:t xml:space="preserve"> three suggestions as to why Jesus might have instructed Mary Magdalene not to touch him after his resurrection,</w:t>
      </w:r>
      <w:r>
        <w:rPr>
          <w:rStyle w:val="EndnoteReference"/>
        </w:rPr>
        <w:endnoteReference w:id="2950"/>
      </w:r>
      <w:r>
        <w:t xml:space="preserve"> </w:t>
      </w:r>
      <w:r w:rsidRPr="00E77C5D">
        <w:t>and a discourse on the deity of Christ occasioned by Thomas’ exclamation, ‘My Lord and my God’.</w:t>
      </w:r>
      <w:r>
        <w:rPr>
          <w:rStyle w:val="EndnoteReference"/>
        </w:rPr>
        <w:endnoteReference w:id="2951"/>
      </w:r>
      <w:r w:rsidRPr="00E77C5D">
        <w:t xml:space="preserve">  </w:t>
      </w:r>
      <w:r>
        <w:t xml:space="preserve">Having quoted several theophanies as evidence that Old Testament texts intimate ‘the appearance of God in human form’, Scofield makes several unjustified references to the Messiah.  While he correctly identifies New Testament quotations of these Old Testament verses, none of them actually includes the term, ‘Messiah’, which occurs in </w:t>
      </w:r>
      <w:r w:rsidRPr="005B6E6E">
        <w:rPr>
          <w:i/>
        </w:rPr>
        <w:t>KJV</w:t>
      </w:r>
      <w:r>
        <w:t xml:space="preserve"> only in Dan. 9:25-6.  Scofield applies the expression anachronistically to a range of biblical texts;</w:t>
      </w:r>
      <w:r>
        <w:rPr>
          <w:rStyle w:val="EndnoteReference"/>
        </w:rPr>
        <w:endnoteReference w:id="2952"/>
      </w:r>
      <w:r>
        <w:t xml:space="preserve"> the late development of this concept as a future anointed divine agent and national figure was discussed in 7.1.2.1 and </w:t>
      </w:r>
      <w:r w:rsidRPr="001373C3">
        <w:t>7.</w:t>
      </w:r>
      <w:r>
        <w:t xml:space="preserve">2.3.  </w:t>
      </w:r>
    </w:p>
    <w:p w:rsidR="006A2E06" w:rsidRDefault="006A2E06" w:rsidP="006A2E06">
      <w:pPr>
        <w:spacing w:after="120" w:line="360" w:lineRule="auto"/>
        <w:ind w:right="74" w:firstLine="567"/>
        <w:jc w:val="both"/>
        <w:rPr>
          <w:lang w:val="en-US"/>
        </w:rPr>
      </w:pPr>
      <w:r>
        <w:t>Scofield makes a valid point concerning the lack of ‘he’ as a predicate in Christ’s ‘I am’ sayings in Greek</w:t>
      </w:r>
      <w:r w:rsidRPr="00012C8B">
        <w:rPr>
          <w:rStyle w:val="EndnoteReference"/>
        </w:rPr>
        <w:t xml:space="preserve"> </w:t>
      </w:r>
      <w:r>
        <w:rPr>
          <w:rStyle w:val="EndnoteReference"/>
        </w:rPr>
        <w:endnoteReference w:id="2953"/>
      </w:r>
      <w:r>
        <w:t xml:space="preserve">  The Greek </w:t>
      </w:r>
      <w:r>
        <w:rPr>
          <w:lang w:val="en-US"/>
        </w:rPr>
        <w:t>phrase, ‘</w:t>
      </w:r>
      <w:r w:rsidRPr="00012C8B">
        <w:rPr>
          <w:rFonts w:ascii="Times New Roman" w:hAnsi="Times New Roman"/>
          <w:lang w:val="el-GR" w:bidi="he-IL"/>
        </w:rPr>
        <w:t>ἐγώ</w:t>
      </w:r>
      <w:r w:rsidRPr="00012C8B">
        <w:rPr>
          <w:rFonts w:ascii="Bwgrkl" w:hAnsi="Bwgrkl" w:cs="SBL Greek"/>
          <w:lang w:val="el-GR" w:bidi="he-IL"/>
        </w:rPr>
        <w:t xml:space="preserve"> </w:t>
      </w:r>
      <w:r w:rsidRPr="00012C8B">
        <w:rPr>
          <w:rFonts w:ascii="Times New Roman" w:hAnsi="Times New Roman"/>
          <w:lang w:val="el-GR" w:bidi="he-IL"/>
        </w:rPr>
        <w:t>εἰμι</w:t>
      </w:r>
      <w:r w:rsidRPr="00012C8B">
        <w:rPr>
          <w:rFonts w:ascii="Bwgrkl" w:hAnsi="Bwgrkl" w:cs="SBL Greek"/>
          <w:lang w:val="el-GR" w:bidi="he-IL"/>
        </w:rPr>
        <w:t xml:space="preserve"> </w:t>
      </w:r>
      <w:r w:rsidRPr="00012C8B">
        <w:rPr>
          <w:rFonts w:ascii="Times New Roman" w:hAnsi="Times New Roman"/>
          <w:lang w:val="el-GR" w:bidi="he-IL"/>
        </w:rPr>
        <w:t>αὐτὸς</w:t>
      </w:r>
      <w:r>
        <w:rPr>
          <w:lang w:val="en-US"/>
        </w:rPr>
        <w:t xml:space="preserve">’ is very rare, occurring only twice in </w:t>
      </w:r>
      <w:r w:rsidRPr="00726608">
        <w:rPr>
          <w:i/>
          <w:lang w:val="en-US"/>
        </w:rPr>
        <w:t>LXX</w:t>
      </w:r>
      <w:r w:rsidRPr="00822789">
        <w:rPr>
          <w:rStyle w:val="EndnoteReference"/>
          <w:lang w:val="en-US"/>
        </w:rPr>
        <w:endnoteReference w:id="2954"/>
      </w:r>
      <w:r>
        <w:rPr>
          <w:lang w:val="en-US"/>
        </w:rPr>
        <w:t xml:space="preserve"> and once in the New Testament.</w:t>
      </w:r>
      <w:r>
        <w:rPr>
          <w:rStyle w:val="EndnoteReference"/>
          <w:lang w:val="en-US"/>
        </w:rPr>
        <w:endnoteReference w:id="2955"/>
      </w:r>
      <w:r>
        <w:rPr>
          <w:lang w:val="en-US"/>
        </w:rPr>
        <w:t xml:space="preserve">  The references in Isaiah and Luke are significant.  In Isa. 52:6, </w:t>
      </w:r>
      <w:r w:rsidRPr="00726608">
        <w:rPr>
          <w:i/>
          <w:lang w:val="en-US"/>
        </w:rPr>
        <w:t>LXX</w:t>
      </w:r>
      <w:r>
        <w:rPr>
          <w:lang w:val="en-US"/>
        </w:rPr>
        <w:t>, Isaiah prophesies a time when God’s people will know his name: ‘therefore they shall know in that day that I am he that doth speak …’; this occurs in the context of passages often identified with the coming of Christ as God’s servant.</w:t>
      </w:r>
      <w:r>
        <w:rPr>
          <w:rStyle w:val="EndnoteReference"/>
          <w:lang w:val="en-US"/>
        </w:rPr>
        <w:endnoteReference w:id="2956"/>
      </w:r>
      <w:r>
        <w:rPr>
          <w:lang w:val="en-US"/>
        </w:rPr>
        <w:t xml:space="preserve">  In Lk. 24:39, the words ‘</w:t>
      </w:r>
      <w:r w:rsidRPr="00012C8B">
        <w:rPr>
          <w:rFonts w:ascii="Times New Roman" w:hAnsi="Times New Roman"/>
          <w:lang w:val="el-GR" w:bidi="he-IL"/>
        </w:rPr>
        <w:t>ἐγώ</w:t>
      </w:r>
      <w:r w:rsidRPr="00012C8B">
        <w:rPr>
          <w:rFonts w:ascii="Bwgrkl" w:hAnsi="Bwgrkl" w:cs="SBL Greek"/>
          <w:lang w:val="el-GR" w:bidi="he-IL"/>
        </w:rPr>
        <w:t xml:space="preserve"> </w:t>
      </w:r>
      <w:r w:rsidRPr="00012C8B">
        <w:rPr>
          <w:rFonts w:ascii="Times New Roman" w:hAnsi="Times New Roman"/>
          <w:lang w:val="el-GR" w:bidi="he-IL"/>
        </w:rPr>
        <w:t>εἰμι</w:t>
      </w:r>
      <w:r w:rsidRPr="00012C8B">
        <w:rPr>
          <w:rFonts w:ascii="Bwgrkl" w:hAnsi="Bwgrkl" w:cs="SBL Greek"/>
          <w:lang w:val="el-GR" w:bidi="he-IL"/>
        </w:rPr>
        <w:t xml:space="preserve"> </w:t>
      </w:r>
      <w:r w:rsidRPr="00012C8B">
        <w:rPr>
          <w:rFonts w:ascii="Times New Roman" w:hAnsi="Times New Roman"/>
          <w:lang w:val="el-GR" w:bidi="he-IL"/>
        </w:rPr>
        <w:t>αὐτὸς</w:t>
      </w:r>
      <w:r>
        <w:rPr>
          <w:lang w:val="en-US"/>
        </w:rPr>
        <w:t>’, translated as ‘it is I myself’, are used by Christ to reassure his disciples when he appears to them after his resurrection.  The phrase, ‘</w:t>
      </w:r>
      <w:r w:rsidRPr="00012C8B">
        <w:rPr>
          <w:rFonts w:ascii="Times New Roman" w:hAnsi="Times New Roman"/>
          <w:lang w:val="el-GR" w:bidi="he-IL"/>
        </w:rPr>
        <w:t>ἐγώ</w:t>
      </w:r>
      <w:r w:rsidRPr="00012C8B">
        <w:rPr>
          <w:rFonts w:ascii="Bwgrkl" w:hAnsi="Bwgrkl" w:cs="SBL Greek"/>
          <w:lang w:val="el-GR" w:bidi="he-IL"/>
        </w:rPr>
        <w:t xml:space="preserve"> </w:t>
      </w:r>
      <w:r w:rsidRPr="00012C8B">
        <w:rPr>
          <w:rFonts w:ascii="Times New Roman" w:hAnsi="Times New Roman"/>
          <w:lang w:val="el-GR" w:bidi="he-IL"/>
        </w:rPr>
        <w:t>εἰμι</w:t>
      </w:r>
      <w:r>
        <w:rPr>
          <w:lang w:val="en-US"/>
        </w:rPr>
        <w:t>’, without ‘</w:t>
      </w:r>
      <w:r w:rsidRPr="00012C8B">
        <w:rPr>
          <w:rFonts w:ascii="Times New Roman" w:hAnsi="Times New Roman"/>
          <w:lang w:val="el-GR" w:bidi="he-IL"/>
        </w:rPr>
        <w:t>αὐτὸς</w:t>
      </w:r>
      <w:r>
        <w:rPr>
          <w:lang w:val="en-US"/>
        </w:rPr>
        <w:t>’, is far more common and occurs in all Christ’s ‘I am’ sayings in John,</w:t>
      </w:r>
      <w:r>
        <w:rPr>
          <w:rStyle w:val="EndnoteReference"/>
          <w:lang w:val="en-US"/>
        </w:rPr>
        <w:endnoteReference w:id="2957"/>
      </w:r>
      <w:r>
        <w:rPr>
          <w:lang w:val="en-US"/>
        </w:rPr>
        <w:t xml:space="preserve"> and several further significant passages such as Jn 8:58.</w:t>
      </w:r>
    </w:p>
    <w:p w:rsidR="006A2E06" w:rsidRPr="00DF2F6B" w:rsidRDefault="006A2E06" w:rsidP="006A2E06">
      <w:pPr>
        <w:spacing w:after="120" w:line="360" w:lineRule="auto"/>
        <w:ind w:right="74"/>
        <w:jc w:val="both"/>
        <w:rPr>
          <w:b/>
          <w:i/>
          <w:lang w:val="en-US"/>
        </w:rPr>
      </w:pPr>
      <w:r w:rsidRPr="00DF2F6B">
        <w:rPr>
          <w:b/>
          <w:i/>
          <w:lang w:val="en-US"/>
        </w:rPr>
        <w:t>Typology: Comment</w:t>
      </w:r>
    </w:p>
    <w:p w:rsidR="006A2E06" w:rsidRDefault="006A2E06" w:rsidP="006A2E06">
      <w:pPr>
        <w:spacing w:after="120" w:line="360" w:lineRule="auto"/>
        <w:ind w:right="74"/>
        <w:jc w:val="both"/>
      </w:pPr>
      <w:r>
        <w:t>In a corollary of notes on Exodus and Leviticus, which assert typicality for the tabernacle and its contents, Scofield aligns John 12, 13 and 14-16 with ‘the order of approach to God in tabernacle types’</w:t>
      </w:r>
      <w:r w:rsidRPr="00E77C5D">
        <w:rPr>
          <w:rStyle w:val="EndnoteReference"/>
        </w:rPr>
        <w:endnoteReference w:id="2958"/>
      </w:r>
      <w:r>
        <w:t xml:space="preserve"> but offers no formal justification for this.  These connections fall more into the category of imaginative interpretation than into the strict typological conditions which Scofield previously instituted.</w:t>
      </w:r>
      <w:r>
        <w:rPr>
          <w:rStyle w:val="EndnoteReference"/>
        </w:rPr>
        <w:endnoteReference w:id="2959"/>
      </w:r>
      <w:r>
        <w:t xml:space="preserve">  </w:t>
      </w:r>
    </w:p>
    <w:p w:rsidR="006A2E06" w:rsidRPr="00DF2F6B" w:rsidRDefault="006A2E06" w:rsidP="006A2E06">
      <w:pPr>
        <w:spacing w:after="120" w:line="360" w:lineRule="auto"/>
        <w:ind w:right="74"/>
        <w:jc w:val="both"/>
        <w:rPr>
          <w:b/>
          <w:i/>
        </w:rPr>
      </w:pPr>
      <w:r w:rsidRPr="00DF2F6B">
        <w:rPr>
          <w:b/>
          <w:i/>
        </w:rPr>
        <w:t>Dualism</w:t>
      </w:r>
      <w:r>
        <w:rPr>
          <w:b/>
          <w:i/>
        </w:rPr>
        <w:t xml:space="preserve"> </w:t>
      </w:r>
      <w:r w:rsidRPr="00DF2F6B">
        <w:rPr>
          <w:b/>
          <w:i/>
        </w:rPr>
        <w:t>Comment</w:t>
      </w:r>
    </w:p>
    <w:p w:rsidR="006A2E06" w:rsidRDefault="006A2E06" w:rsidP="006A2E06">
      <w:pPr>
        <w:spacing w:after="120" w:line="360" w:lineRule="auto"/>
        <w:ind w:right="74"/>
        <w:jc w:val="both"/>
      </w:pPr>
      <w:r>
        <w:t>Scofield asserts in his note on Jn 12:23 that ‘Christ does not receive these Gentiles’, referring to some Greek worshippers whom Philip and Andrew mentioned to Jesus as wishing to see him.  Scofield here argues from silence; John does not state whether or not Jesus ‘received’ the Greeks.  However, Scofield uses his unjustified interpretation to argue that a fleshly Christ, as King of the Jews, could not be a ‘proper object of faith to the Gentiles’</w:t>
      </w:r>
      <w:r w:rsidRPr="00FF13AE">
        <w:rPr>
          <w:sz w:val="24"/>
        </w:rPr>
        <w:t xml:space="preserve">, and that, </w:t>
      </w:r>
      <w:r w:rsidRPr="00FF13AE">
        <w:rPr>
          <w:rFonts w:eastAsia="Perpetua" w:cs="Perpetua"/>
          <w:spacing w:val="-1"/>
        </w:rPr>
        <w:t>‘for</w:t>
      </w:r>
      <w:r w:rsidRPr="00FF13AE">
        <w:rPr>
          <w:rFonts w:eastAsia="Perpetua" w:cs="Perpetua"/>
        </w:rPr>
        <w:t xml:space="preserve"> </w:t>
      </w:r>
      <w:r w:rsidRPr="00FF13AE">
        <w:rPr>
          <w:rFonts w:eastAsia="Perpetua" w:cs="Perpetua"/>
          <w:spacing w:val="-1"/>
        </w:rPr>
        <w:t>the</w:t>
      </w:r>
      <w:r w:rsidRPr="00FF13AE">
        <w:rPr>
          <w:rFonts w:eastAsia="Perpetua" w:cs="Perpetua"/>
          <w:spacing w:val="-2"/>
        </w:rPr>
        <w:t xml:space="preserve"> </w:t>
      </w:r>
      <w:r w:rsidRPr="00FF13AE">
        <w:rPr>
          <w:rFonts w:eastAsia="Perpetua" w:cs="Perpetua"/>
          <w:spacing w:val="-1"/>
        </w:rPr>
        <w:t>Gentiles, the</w:t>
      </w:r>
      <w:r w:rsidRPr="00FF13AE">
        <w:rPr>
          <w:rFonts w:eastAsia="Perpetua" w:cs="Perpetua"/>
        </w:rPr>
        <w:t xml:space="preserve"> </w:t>
      </w:r>
      <w:r w:rsidRPr="00FF13AE">
        <w:rPr>
          <w:rFonts w:eastAsia="Perpetua" w:cs="Perpetua"/>
          <w:spacing w:val="-1"/>
        </w:rPr>
        <w:t>seed</w:t>
      </w:r>
      <w:r w:rsidRPr="00FF13AE">
        <w:rPr>
          <w:rFonts w:eastAsia="Perpetua" w:cs="Perpetua"/>
          <w:spacing w:val="43"/>
        </w:rPr>
        <w:t xml:space="preserve"> </w:t>
      </w:r>
      <w:r w:rsidRPr="00FF13AE">
        <w:rPr>
          <w:rFonts w:eastAsia="Perpetua" w:cs="Perpetua"/>
          <w:spacing w:val="-1"/>
        </w:rPr>
        <w:t>must</w:t>
      </w:r>
      <w:r w:rsidRPr="00FF13AE">
        <w:rPr>
          <w:rFonts w:eastAsia="Perpetua" w:cs="Perpetua"/>
        </w:rPr>
        <w:t xml:space="preserve"> </w:t>
      </w:r>
      <w:r w:rsidRPr="00FF13AE">
        <w:rPr>
          <w:rFonts w:eastAsia="Perpetua" w:cs="Perpetua"/>
          <w:spacing w:val="-1"/>
        </w:rPr>
        <w:t>fall into</w:t>
      </w:r>
      <w:r w:rsidRPr="00FF13AE">
        <w:rPr>
          <w:rFonts w:eastAsia="Perpetua" w:cs="Perpetua"/>
        </w:rPr>
        <w:t xml:space="preserve"> </w:t>
      </w:r>
      <w:r w:rsidRPr="00FF13AE">
        <w:rPr>
          <w:rFonts w:eastAsia="Perpetua" w:cs="Perpetua"/>
          <w:spacing w:val="-1"/>
        </w:rPr>
        <w:t>the</w:t>
      </w:r>
      <w:r w:rsidRPr="00FF13AE">
        <w:rPr>
          <w:rFonts w:eastAsia="Perpetua" w:cs="Perpetua"/>
        </w:rPr>
        <w:t xml:space="preserve"> </w:t>
      </w:r>
      <w:r w:rsidRPr="00FF13AE">
        <w:rPr>
          <w:rFonts w:eastAsia="Perpetua" w:cs="Perpetua"/>
          <w:spacing w:val="-1"/>
        </w:rPr>
        <w:t>ground,</w:t>
      </w:r>
      <w:r w:rsidRPr="00FF13AE">
        <w:rPr>
          <w:rFonts w:eastAsia="Perpetua" w:cs="Perpetua"/>
        </w:rPr>
        <w:t xml:space="preserve"> </w:t>
      </w:r>
      <w:r w:rsidRPr="00FF13AE">
        <w:rPr>
          <w:rFonts w:eastAsia="Perpetua" w:cs="Perpetua"/>
          <w:spacing w:val="-1"/>
        </w:rPr>
        <w:t>but</w:t>
      </w:r>
      <w:r w:rsidRPr="00FF13AE">
        <w:rPr>
          <w:rFonts w:eastAsia="Perpetua" w:cs="Perpetua"/>
        </w:rPr>
        <w:t xml:space="preserve"> </w:t>
      </w:r>
      <w:r w:rsidRPr="00FF13AE">
        <w:rPr>
          <w:rFonts w:eastAsia="Perpetua" w:cs="Perpetua"/>
          <w:spacing w:val="-1"/>
        </w:rPr>
        <w:t>as the</w:t>
      </w:r>
      <w:r w:rsidRPr="00FF13AE">
        <w:rPr>
          <w:rFonts w:eastAsia="Perpetua" w:cs="Perpetua"/>
        </w:rPr>
        <w:t xml:space="preserve"> </w:t>
      </w:r>
      <w:r w:rsidRPr="00FF13AE">
        <w:rPr>
          <w:rFonts w:eastAsia="Perpetua" w:cs="Perpetua"/>
          <w:spacing w:val="-1"/>
        </w:rPr>
        <w:t>seed</w:t>
      </w:r>
      <w:r w:rsidRPr="00FF13AE">
        <w:rPr>
          <w:rFonts w:eastAsia="Perpetua" w:cs="Perpetua"/>
          <w:spacing w:val="-2"/>
        </w:rPr>
        <w:t xml:space="preserve"> </w:t>
      </w:r>
      <w:r w:rsidRPr="00FF13AE">
        <w:rPr>
          <w:rFonts w:eastAsia="Perpetua" w:cs="Perpetua"/>
          <w:spacing w:val="-1"/>
        </w:rPr>
        <w:t>of</w:t>
      </w:r>
      <w:r w:rsidRPr="00FF13AE">
        <w:rPr>
          <w:rFonts w:eastAsia="Perpetua" w:cs="Perpetua"/>
        </w:rPr>
        <w:t xml:space="preserve"> </w:t>
      </w:r>
      <w:r w:rsidRPr="00FF13AE">
        <w:rPr>
          <w:rFonts w:eastAsia="Perpetua" w:cs="Perpetua"/>
          <w:spacing w:val="-1"/>
        </w:rPr>
        <w:t>Abraham,</w:t>
      </w:r>
      <w:r w:rsidRPr="00FF13AE">
        <w:rPr>
          <w:rFonts w:eastAsia="Perpetua" w:cs="Perpetua"/>
        </w:rPr>
        <w:t xml:space="preserve"> </w:t>
      </w:r>
      <w:r w:rsidRPr="00FF13AE">
        <w:rPr>
          <w:rFonts w:eastAsia="Perpetua" w:cs="Perpetua"/>
          <w:spacing w:val="-1"/>
        </w:rPr>
        <w:t>not</w:t>
      </w:r>
      <w:r w:rsidRPr="00FF13AE">
        <w:rPr>
          <w:rFonts w:eastAsia="Perpetua" w:cs="Perpetua"/>
        </w:rPr>
        <w:t xml:space="preserve"> </w:t>
      </w:r>
      <w:r w:rsidRPr="00FF13AE">
        <w:rPr>
          <w:rFonts w:eastAsia="Perpetua" w:cs="Perpetua"/>
          <w:spacing w:val="-1"/>
        </w:rPr>
        <w:t>David’.</w:t>
      </w:r>
      <w:r>
        <w:rPr>
          <w:rStyle w:val="EndnoteReference"/>
          <w:rFonts w:eastAsia="Perpetua" w:cs="Perpetua"/>
          <w:spacing w:val="-1"/>
        </w:rPr>
        <w:endnoteReference w:id="2960"/>
      </w:r>
      <w:r>
        <w:rPr>
          <w:rFonts w:eastAsia="Perpetua" w:cs="Perpetua"/>
          <w:spacing w:val="-1"/>
        </w:rPr>
        <w:t xml:space="preserve">  </w:t>
      </w:r>
      <w:r w:rsidRPr="00786F34">
        <w:rPr>
          <w:rFonts w:eastAsia="Perpetua" w:cs="Perpetua"/>
          <w:spacing w:val="-1"/>
        </w:rPr>
        <w:t xml:space="preserve">This is </w:t>
      </w:r>
      <w:r w:rsidRPr="00786F34">
        <w:t xml:space="preserve">another </w:t>
      </w:r>
      <w:r>
        <w:t>demonstration</w:t>
      </w:r>
      <w:r w:rsidRPr="00786F34">
        <w:t xml:space="preserve"> of Scofield’s deep-seated dualistic belief.</w:t>
      </w:r>
      <w:r w:rsidRPr="00786F34">
        <w:rPr>
          <w:rStyle w:val="EndnoteReference"/>
        </w:rPr>
        <w:endnoteReference w:id="2961"/>
      </w:r>
      <w:r w:rsidRPr="00786F34">
        <w:t xml:space="preserve">  </w:t>
      </w:r>
    </w:p>
    <w:p w:rsidR="00F5188D" w:rsidRDefault="00F5188D" w:rsidP="006A2E06">
      <w:pPr>
        <w:spacing w:after="120" w:line="360" w:lineRule="auto"/>
        <w:ind w:right="74"/>
        <w:jc w:val="both"/>
      </w:pPr>
    </w:p>
    <w:p w:rsidR="00F5188D" w:rsidRPr="00786F34" w:rsidRDefault="00F5188D" w:rsidP="006A2E06">
      <w:pPr>
        <w:spacing w:after="120" w:line="360" w:lineRule="auto"/>
        <w:ind w:right="74"/>
        <w:jc w:val="both"/>
      </w:pPr>
    </w:p>
    <w:p w:rsidR="006A2E06" w:rsidRPr="00DF2F6B" w:rsidRDefault="006A2E06" w:rsidP="006A2E06">
      <w:pPr>
        <w:spacing w:after="120" w:line="360" w:lineRule="auto"/>
        <w:ind w:right="74"/>
        <w:jc w:val="both"/>
        <w:rPr>
          <w:b/>
          <w:i/>
        </w:rPr>
      </w:pPr>
      <w:r w:rsidRPr="00DF2F6B">
        <w:rPr>
          <w:b/>
          <w:i/>
        </w:rPr>
        <w:lastRenderedPageBreak/>
        <w:t>Harmonisation and Perceived Discrepancy: Comment</w:t>
      </w:r>
    </w:p>
    <w:p w:rsidR="006A2E06" w:rsidRPr="00774D48" w:rsidRDefault="006A2E06" w:rsidP="006A2E06">
      <w:pPr>
        <w:pStyle w:val="EndnoteText"/>
        <w:spacing w:after="120" w:line="360" w:lineRule="auto"/>
        <w:jc w:val="both"/>
        <w:rPr>
          <w:sz w:val="22"/>
          <w:szCs w:val="22"/>
        </w:rPr>
      </w:pPr>
      <w:r w:rsidRPr="00774D48">
        <w:rPr>
          <w:sz w:val="22"/>
          <w:szCs w:val="22"/>
        </w:rPr>
        <w:t xml:space="preserve">As mentioned in </w:t>
      </w:r>
      <w:r w:rsidRPr="001373C3">
        <w:rPr>
          <w:sz w:val="22"/>
          <w:szCs w:val="22"/>
        </w:rPr>
        <w:t>2.1.2</w:t>
      </w:r>
      <w:r w:rsidRPr="00774D48">
        <w:rPr>
          <w:sz w:val="22"/>
          <w:szCs w:val="22"/>
        </w:rPr>
        <w:t>, Scofield regards Christ’s cleansing of the temple as recorded in Jn 2:13-17 as ‘the first purification’ at ‘the first passover’.</w:t>
      </w:r>
      <w:r w:rsidRPr="00774D48">
        <w:rPr>
          <w:rStyle w:val="EndnoteReference"/>
          <w:sz w:val="22"/>
          <w:szCs w:val="22"/>
        </w:rPr>
        <w:endnoteReference w:id="2962"/>
      </w:r>
      <w:r w:rsidRPr="00774D48">
        <w:rPr>
          <w:sz w:val="22"/>
          <w:szCs w:val="22"/>
        </w:rPr>
        <w:t xml:space="preserve">  It is congruent, therefore, that he refers to ‘the last passover’ in his note on Jn 13:1, referring to his previous note on Mt. 26:20 and making this an item of harmonisation.  Strangely, Scofield does not comment on the event he terms the ‘first purification of the temple’ but he sees the event described in Mt. 21:12-13 and Lk. 19:45-6 as ‘Jesus’ second purification of the temple’.  This seems to be the result of literal interpretation and </w:t>
      </w:r>
      <w:r>
        <w:rPr>
          <w:sz w:val="22"/>
          <w:szCs w:val="22"/>
        </w:rPr>
        <w:t>absence of any</w:t>
      </w:r>
      <w:r w:rsidRPr="00774D48">
        <w:rPr>
          <w:sz w:val="22"/>
          <w:szCs w:val="22"/>
        </w:rPr>
        <w:t xml:space="preserve"> attempt to analyse why John might have placed the purification at the beginning of Jesus’ ministry instead of at the end.  Scofield also fails to offer any reason as to why Jesus might have had to perform this task twice.</w:t>
      </w:r>
      <w:r w:rsidRPr="00774D48">
        <w:rPr>
          <w:rStyle w:val="EndnoteReference"/>
          <w:sz w:val="22"/>
          <w:szCs w:val="22"/>
        </w:rPr>
        <w:endnoteReference w:id="2963"/>
      </w:r>
      <w:r w:rsidRPr="00774D48">
        <w:rPr>
          <w:sz w:val="22"/>
          <w:szCs w:val="22"/>
        </w:rPr>
        <w:t xml:space="preserve">  </w:t>
      </w:r>
      <w:r>
        <w:rPr>
          <w:sz w:val="22"/>
          <w:szCs w:val="22"/>
        </w:rPr>
        <w:t>His</w:t>
      </w:r>
      <w:r w:rsidRPr="00774D48">
        <w:rPr>
          <w:sz w:val="22"/>
          <w:szCs w:val="22"/>
        </w:rPr>
        <w:t xml:space="preserve"> constant attempts to </w:t>
      </w:r>
      <w:r w:rsidRPr="0088408F">
        <w:rPr>
          <w:spacing w:val="4"/>
          <w:sz w:val="22"/>
          <w:szCs w:val="22"/>
        </w:rPr>
        <w:t xml:space="preserve">harmonise the </w:t>
      </w:r>
      <w:r>
        <w:rPr>
          <w:sz w:val="22"/>
          <w:szCs w:val="22"/>
        </w:rPr>
        <w:t>G</w:t>
      </w:r>
      <w:r w:rsidRPr="0088408F">
        <w:rPr>
          <w:spacing w:val="4"/>
          <w:sz w:val="22"/>
          <w:szCs w:val="22"/>
        </w:rPr>
        <w:t>ospels also lead to his difficulty over the seeming discrepancy between Jn 20:17 and Mt. 28:9</w:t>
      </w:r>
      <w:r w:rsidRPr="00774D48">
        <w:rPr>
          <w:sz w:val="22"/>
          <w:szCs w:val="22"/>
        </w:rPr>
        <w:t xml:space="preserve"> and his somewhat tenuous explanations in the note on the former verse.</w:t>
      </w:r>
      <w:r w:rsidRPr="00774D48">
        <w:rPr>
          <w:rStyle w:val="EndnoteReference"/>
          <w:sz w:val="22"/>
          <w:szCs w:val="22"/>
        </w:rPr>
        <w:endnoteReference w:id="2964"/>
      </w:r>
    </w:p>
    <w:p w:rsidR="006A2E06" w:rsidRPr="00DF2F6B" w:rsidRDefault="006A2E06" w:rsidP="006A2E06">
      <w:pPr>
        <w:spacing w:after="120" w:line="360" w:lineRule="auto"/>
        <w:ind w:right="74"/>
        <w:jc w:val="both"/>
        <w:rPr>
          <w:b/>
          <w:i/>
        </w:rPr>
      </w:pPr>
      <w:r w:rsidRPr="00DF2F6B">
        <w:rPr>
          <w:b/>
          <w:i/>
        </w:rPr>
        <w:t>Eschatology: Comment</w:t>
      </w:r>
    </w:p>
    <w:p w:rsidR="006A2E06" w:rsidRPr="007139FB" w:rsidRDefault="006A2E06" w:rsidP="006A2E06">
      <w:pPr>
        <w:spacing w:after="120" w:line="360" w:lineRule="auto"/>
        <w:ind w:right="74"/>
        <w:jc w:val="both"/>
        <w:rPr>
          <w:i/>
          <w:sz w:val="24"/>
        </w:rPr>
      </w:pPr>
      <w:r w:rsidRPr="00E77C5D">
        <w:t>Scofield selects the single word ‘perish’ in Jn 3:16 and comments that this never means ‘the cessation of existence or consciousness.  It is the condition of every non-believer’.</w:t>
      </w:r>
      <w:r>
        <w:rPr>
          <w:rStyle w:val="EndnoteReference"/>
        </w:rPr>
        <w:endnoteReference w:id="2965"/>
      </w:r>
      <w:r w:rsidRPr="00E77C5D">
        <w:t xml:space="preserve">  </w:t>
      </w:r>
      <w:r w:rsidRPr="007139FB">
        <w:t>Th</w:t>
      </w:r>
      <w:r>
        <w:t>e</w:t>
      </w:r>
      <w:r w:rsidRPr="007139FB">
        <w:t xml:space="preserve"> notion that existence never ceases is echoed in the note on Rev. 20:14, where Scofield states that ‘the second death is not annihilation’.</w:t>
      </w:r>
      <w:r>
        <w:rPr>
          <w:rStyle w:val="EndnoteReference"/>
        </w:rPr>
        <w:endnoteReference w:id="2966"/>
      </w:r>
      <w:r>
        <w:t xml:space="preserve">  ‘Perish’ seems </w:t>
      </w:r>
      <w:r w:rsidRPr="00E77C5D">
        <w:t xml:space="preserve">an odd word to emphasise in </w:t>
      </w:r>
      <w:r>
        <w:t xml:space="preserve">Jn 3:16, which is </w:t>
      </w:r>
      <w:r w:rsidRPr="00E77C5D">
        <w:t xml:space="preserve"> usually quoted as evidence of God’s enormous and saving love for his world</w:t>
      </w:r>
      <w:r>
        <w:t>.</w:t>
      </w:r>
      <w:r>
        <w:rPr>
          <w:rStyle w:val="EndnoteReference"/>
        </w:rPr>
        <w:endnoteReference w:id="2967"/>
      </w:r>
      <w:r>
        <w:t xml:space="preserve">  </w:t>
      </w:r>
    </w:p>
    <w:p w:rsidR="006A2E06" w:rsidRPr="00E77C5D" w:rsidRDefault="006A2E06" w:rsidP="006A2E06">
      <w:pPr>
        <w:spacing w:after="120" w:line="360" w:lineRule="auto"/>
        <w:ind w:right="74" w:firstLine="567"/>
        <w:jc w:val="both"/>
      </w:pPr>
      <w:r>
        <w:t>The note on Jn 14:3 is one of the places in which Scofield implies that there is more than one ‘second coming’ since ‘this promise of a second advent of Christ is to be distinguished from His return in glory to the earth’.</w:t>
      </w:r>
      <w:r>
        <w:rPr>
          <w:rStyle w:val="EndnoteReference"/>
        </w:rPr>
        <w:endnoteReference w:id="2968"/>
      </w:r>
    </w:p>
    <w:p w:rsidR="006A2E06" w:rsidRPr="00587050" w:rsidRDefault="006A2E06" w:rsidP="006A2E06">
      <w:pPr>
        <w:spacing w:after="120" w:line="360" w:lineRule="auto"/>
        <w:ind w:right="74"/>
        <w:jc w:val="both"/>
        <w:rPr>
          <w:b/>
          <w:i/>
        </w:rPr>
      </w:pPr>
      <w:r w:rsidRPr="00587050">
        <w:rPr>
          <w:b/>
          <w:i/>
        </w:rPr>
        <w:t>Omissions</w:t>
      </w:r>
    </w:p>
    <w:p w:rsidR="006A2E06" w:rsidRDefault="006A2E06" w:rsidP="006A2E06">
      <w:pPr>
        <w:pStyle w:val="EndnoteText"/>
        <w:spacing w:after="120"/>
        <w:ind w:left="567"/>
        <w:jc w:val="both"/>
        <w:rPr>
          <w:sz w:val="22"/>
          <w:szCs w:val="22"/>
        </w:rPr>
      </w:pPr>
      <w:r>
        <w:rPr>
          <w:sz w:val="22"/>
          <w:szCs w:val="22"/>
        </w:rPr>
        <w:t>I</w:t>
      </w:r>
      <w:r w:rsidRPr="009B1EF6">
        <w:rPr>
          <w:sz w:val="22"/>
          <w:szCs w:val="22"/>
        </w:rPr>
        <w:t>mportant events and activities in Jesus’ life</w:t>
      </w:r>
      <w:r>
        <w:rPr>
          <w:sz w:val="22"/>
          <w:szCs w:val="22"/>
        </w:rPr>
        <w:t>:</w:t>
      </w:r>
      <w:r w:rsidRPr="009B1EF6">
        <w:rPr>
          <w:sz w:val="22"/>
          <w:szCs w:val="22"/>
        </w:rPr>
        <w:t xml:space="preserve"> </w:t>
      </w:r>
    </w:p>
    <w:p w:rsidR="006A2E06" w:rsidRDefault="006A2E06" w:rsidP="006A2E06">
      <w:pPr>
        <w:pStyle w:val="EndnoteText"/>
        <w:spacing w:after="120"/>
        <w:ind w:left="567"/>
        <w:jc w:val="both"/>
        <w:rPr>
          <w:sz w:val="22"/>
          <w:szCs w:val="22"/>
        </w:rPr>
      </w:pPr>
      <w:r w:rsidRPr="009B1EF6">
        <w:rPr>
          <w:sz w:val="22"/>
          <w:szCs w:val="22"/>
        </w:rPr>
        <w:t>John the Baptist’s self-identification</w:t>
      </w:r>
      <w:r>
        <w:rPr>
          <w:rStyle w:val="EndnoteReference"/>
          <w:sz w:val="22"/>
          <w:szCs w:val="22"/>
        </w:rPr>
        <w:endnoteReference w:id="2969"/>
      </w:r>
      <w:r w:rsidRPr="009B1EF6">
        <w:rPr>
          <w:sz w:val="22"/>
          <w:szCs w:val="22"/>
        </w:rPr>
        <w:t xml:space="preserve"> and identification of Jesus</w:t>
      </w:r>
      <w:r>
        <w:rPr>
          <w:sz w:val="22"/>
          <w:szCs w:val="22"/>
        </w:rPr>
        <w:t xml:space="preserve"> as the ‘Lamb of God’.</w:t>
      </w:r>
      <w:r w:rsidRPr="009B1EF6">
        <w:rPr>
          <w:rStyle w:val="EndnoteReference"/>
          <w:sz w:val="22"/>
          <w:szCs w:val="22"/>
        </w:rPr>
        <w:endnoteReference w:id="2970"/>
      </w:r>
      <w:r w:rsidRPr="009B1EF6">
        <w:rPr>
          <w:sz w:val="22"/>
          <w:szCs w:val="22"/>
        </w:rPr>
        <w:t xml:space="preserve"> </w:t>
      </w:r>
    </w:p>
    <w:p w:rsidR="006A2E06" w:rsidRDefault="006A2E06" w:rsidP="006A2E06">
      <w:pPr>
        <w:pStyle w:val="EndnoteText"/>
        <w:spacing w:after="120"/>
        <w:ind w:left="567"/>
        <w:jc w:val="both"/>
        <w:rPr>
          <w:sz w:val="22"/>
          <w:szCs w:val="22"/>
        </w:rPr>
      </w:pPr>
      <w:r w:rsidRPr="009B1EF6">
        <w:rPr>
          <w:sz w:val="22"/>
          <w:szCs w:val="22"/>
        </w:rPr>
        <w:t>John’s account of Jesus’ baptism</w:t>
      </w:r>
      <w:r>
        <w:rPr>
          <w:sz w:val="22"/>
          <w:szCs w:val="22"/>
        </w:rPr>
        <w:t>.</w:t>
      </w:r>
      <w:r>
        <w:rPr>
          <w:rStyle w:val="EndnoteReference"/>
          <w:sz w:val="22"/>
          <w:szCs w:val="22"/>
        </w:rPr>
        <w:endnoteReference w:id="2971"/>
      </w:r>
      <w:r w:rsidRPr="009B1EF6">
        <w:rPr>
          <w:sz w:val="22"/>
          <w:szCs w:val="22"/>
        </w:rPr>
        <w:t xml:space="preserve"> </w:t>
      </w:r>
    </w:p>
    <w:p w:rsidR="006A2E06" w:rsidRDefault="006A2E06" w:rsidP="006A2E06">
      <w:pPr>
        <w:pStyle w:val="EndnoteText"/>
        <w:spacing w:after="120"/>
        <w:ind w:left="567"/>
        <w:jc w:val="both"/>
        <w:rPr>
          <w:sz w:val="22"/>
          <w:szCs w:val="22"/>
        </w:rPr>
      </w:pPr>
      <w:r>
        <w:rPr>
          <w:sz w:val="22"/>
          <w:szCs w:val="22"/>
        </w:rPr>
        <w:t>T</w:t>
      </w:r>
      <w:r w:rsidRPr="009B1EF6">
        <w:rPr>
          <w:sz w:val="22"/>
          <w:szCs w:val="22"/>
        </w:rPr>
        <w:t>he calling of Andrew, Simon (named Cephas by Jesus),</w:t>
      </w:r>
      <w:r>
        <w:rPr>
          <w:rStyle w:val="EndnoteReference"/>
          <w:sz w:val="22"/>
          <w:szCs w:val="22"/>
        </w:rPr>
        <w:endnoteReference w:id="2972"/>
      </w:r>
      <w:r w:rsidRPr="009B1EF6">
        <w:rPr>
          <w:rFonts w:ascii="Times New Roman" w:hAnsi="Times New Roman"/>
          <w:sz w:val="22"/>
          <w:szCs w:val="22"/>
        </w:rPr>
        <w:t xml:space="preserve"> </w:t>
      </w:r>
      <w:r w:rsidRPr="009B1EF6">
        <w:rPr>
          <w:sz w:val="22"/>
          <w:szCs w:val="22"/>
        </w:rPr>
        <w:t>Philip,</w:t>
      </w:r>
      <w:r>
        <w:rPr>
          <w:rStyle w:val="EndnoteReference"/>
          <w:sz w:val="22"/>
          <w:szCs w:val="22"/>
        </w:rPr>
        <w:endnoteReference w:id="2973"/>
      </w:r>
      <w:r w:rsidRPr="009B1EF6">
        <w:rPr>
          <w:sz w:val="22"/>
          <w:szCs w:val="22"/>
        </w:rPr>
        <w:t xml:space="preserve"> and especially Nathanael, who identifies Jesus as ‘Son of God’ and ‘King of Israel’.</w:t>
      </w:r>
      <w:r w:rsidRPr="009B1EF6">
        <w:rPr>
          <w:rStyle w:val="EndnoteReference"/>
          <w:sz w:val="22"/>
          <w:szCs w:val="22"/>
        </w:rPr>
        <w:endnoteReference w:id="2974"/>
      </w:r>
      <w:r w:rsidRPr="009B1EF6">
        <w:rPr>
          <w:sz w:val="22"/>
          <w:szCs w:val="22"/>
        </w:rPr>
        <w:t xml:space="preserve">  </w:t>
      </w:r>
    </w:p>
    <w:p w:rsidR="006A2E06" w:rsidRDefault="006A2E06" w:rsidP="006A2E06">
      <w:pPr>
        <w:pStyle w:val="EndnoteText"/>
        <w:spacing w:after="120"/>
        <w:ind w:left="1418"/>
        <w:jc w:val="both"/>
        <w:rPr>
          <w:sz w:val="22"/>
          <w:szCs w:val="22"/>
        </w:rPr>
      </w:pPr>
      <w:r w:rsidRPr="001373C3">
        <w:rPr>
          <w:b/>
          <w:i/>
          <w:sz w:val="22"/>
          <w:szCs w:val="22"/>
        </w:rPr>
        <w:t>Comment</w:t>
      </w:r>
      <w:r>
        <w:rPr>
          <w:sz w:val="22"/>
          <w:szCs w:val="22"/>
        </w:rPr>
        <w:t xml:space="preserve">: </w:t>
      </w:r>
      <w:r w:rsidRPr="009B1EF6">
        <w:rPr>
          <w:sz w:val="22"/>
          <w:szCs w:val="22"/>
        </w:rPr>
        <w:t>This omission is strange because the identification of Jesus as ‘King of Israel’ is extremely important to Scofield.</w:t>
      </w:r>
    </w:p>
    <w:p w:rsidR="006A2E06" w:rsidRDefault="006A2E06" w:rsidP="006A2E06">
      <w:pPr>
        <w:pStyle w:val="EndnoteText"/>
        <w:spacing w:after="120"/>
        <w:ind w:left="567"/>
        <w:jc w:val="both"/>
        <w:rPr>
          <w:sz w:val="22"/>
          <w:szCs w:val="22"/>
        </w:rPr>
      </w:pPr>
      <w:r>
        <w:rPr>
          <w:sz w:val="22"/>
          <w:szCs w:val="22"/>
        </w:rPr>
        <w:t>R</w:t>
      </w:r>
      <w:r w:rsidRPr="009B1EF6">
        <w:rPr>
          <w:sz w:val="22"/>
          <w:szCs w:val="22"/>
        </w:rPr>
        <w:t>ecords of Christ’s miracles</w:t>
      </w:r>
      <w:r>
        <w:rPr>
          <w:sz w:val="22"/>
          <w:szCs w:val="22"/>
        </w:rPr>
        <w:t xml:space="preserve"> and sayings.</w:t>
      </w:r>
      <w:r w:rsidRPr="009B1EF6">
        <w:rPr>
          <w:rStyle w:val="EndnoteReference"/>
          <w:sz w:val="22"/>
          <w:szCs w:val="22"/>
        </w:rPr>
        <w:endnoteReference w:id="2975"/>
      </w:r>
    </w:p>
    <w:p w:rsidR="006A2E06" w:rsidRDefault="006A2E06" w:rsidP="006A2E06">
      <w:pPr>
        <w:pStyle w:val="EndnoteText"/>
        <w:spacing w:after="120"/>
        <w:ind w:left="1418"/>
        <w:jc w:val="both"/>
        <w:rPr>
          <w:sz w:val="22"/>
          <w:szCs w:val="22"/>
        </w:rPr>
      </w:pPr>
      <w:r w:rsidRPr="001373C3">
        <w:rPr>
          <w:b/>
          <w:i/>
          <w:sz w:val="22"/>
          <w:szCs w:val="22"/>
        </w:rPr>
        <w:t>Comment</w:t>
      </w:r>
      <w:r>
        <w:rPr>
          <w:sz w:val="22"/>
          <w:szCs w:val="22"/>
        </w:rPr>
        <w:t xml:space="preserve">: </w:t>
      </w:r>
      <w:r w:rsidRPr="00002991">
        <w:rPr>
          <w:sz w:val="22"/>
          <w:szCs w:val="18"/>
        </w:rPr>
        <w:t>There is no focus on the light and darkness theme in John and</w:t>
      </w:r>
      <w:r>
        <w:rPr>
          <w:sz w:val="22"/>
          <w:szCs w:val="18"/>
        </w:rPr>
        <w:t>, apart from the brief reference to the Greek verb meaning I AM not being followed by ‘he’, there is</w:t>
      </w:r>
      <w:r w:rsidRPr="00002991">
        <w:rPr>
          <w:sz w:val="22"/>
          <w:szCs w:val="18"/>
        </w:rPr>
        <w:t xml:space="preserve"> no mention of Jesus’ ‘I am’ sayings, which are so characteristic of John’s </w:t>
      </w:r>
      <w:r>
        <w:rPr>
          <w:sz w:val="22"/>
          <w:szCs w:val="22"/>
        </w:rPr>
        <w:t>G</w:t>
      </w:r>
      <w:r w:rsidRPr="00002991">
        <w:rPr>
          <w:sz w:val="22"/>
          <w:szCs w:val="18"/>
        </w:rPr>
        <w:t>ospel.  Jesus’ statements that ‘He that believeth on me hath everlasting life’</w:t>
      </w:r>
      <w:r>
        <w:rPr>
          <w:rStyle w:val="EndnoteReference"/>
          <w:sz w:val="22"/>
          <w:szCs w:val="18"/>
        </w:rPr>
        <w:endnoteReference w:id="2976"/>
      </w:r>
      <w:r w:rsidRPr="00002991">
        <w:rPr>
          <w:sz w:val="22"/>
          <w:szCs w:val="18"/>
        </w:rPr>
        <w:t xml:space="preserve"> and ‘ye shall know the truth, and the truth shall make you free’</w:t>
      </w:r>
      <w:r>
        <w:rPr>
          <w:rStyle w:val="EndnoteReference"/>
          <w:sz w:val="22"/>
          <w:szCs w:val="18"/>
        </w:rPr>
        <w:endnoteReference w:id="2977"/>
      </w:r>
      <w:r w:rsidRPr="00002991">
        <w:rPr>
          <w:sz w:val="22"/>
          <w:szCs w:val="18"/>
        </w:rPr>
        <w:t xml:space="preserve"> also go unremarked, as does his reassurance that the disciples might have peace even though they experience tribulation in the world because he has ‘overcome the world’</w:t>
      </w:r>
      <w:r>
        <w:rPr>
          <w:sz w:val="22"/>
          <w:szCs w:val="18"/>
        </w:rPr>
        <w:t>.</w:t>
      </w:r>
      <w:r>
        <w:rPr>
          <w:rStyle w:val="EndnoteReference"/>
          <w:sz w:val="22"/>
          <w:szCs w:val="18"/>
        </w:rPr>
        <w:endnoteReference w:id="2978"/>
      </w:r>
      <w:r w:rsidRPr="00002991">
        <w:rPr>
          <w:sz w:val="22"/>
          <w:szCs w:val="18"/>
        </w:rPr>
        <w:t xml:space="preserve"> </w:t>
      </w:r>
      <w:r>
        <w:rPr>
          <w:sz w:val="22"/>
          <w:szCs w:val="18"/>
        </w:rPr>
        <w:t xml:space="preserve"> </w:t>
      </w:r>
      <w:r w:rsidRPr="00002991">
        <w:rPr>
          <w:sz w:val="22"/>
          <w:szCs w:val="18"/>
        </w:rPr>
        <w:t xml:space="preserve">The notes also neglect to mention Jesus’ declaration of purpose, that he has come to do his Father’s will, which is that everyone </w:t>
      </w:r>
      <w:r w:rsidRPr="00002991">
        <w:rPr>
          <w:sz w:val="22"/>
          <w:szCs w:val="18"/>
        </w:rPr>
        <w:lastRenderedPageBreak/>
        <w:t>who looks to the Son and believes in him will have eternal life and Jesus will raise him up at the last day</w:t>
      </w:r>
      <w:r>
        <w:rPr>
          <w:sz w:val="22"/>
          <w:szCs w:val="18"/>
        </w:rPr>
        <w:t>.</w:t>
      </w:r>
      <w:r>
        <w:rPr>
          <w:rStyle w:val="EndnoteReference"/>
          <w:sz w:val="22"/>
          <w:szCs w:val="18"/>
        </w:rPr>
        <w:endnoteReference w:id="2979"/>
      </w:r>
    </w:p>
    <w:p w:rsidR="006A2E06" w:rsidRDefault="006A2E06" w:rsidP="006A2E06">
      <w:pPr>
        <w:pStyle w:val="EndnoteText"/>
        <w:spacing w:after="120"/>
        <w:ind w:left="567"/>
        <w:jc w:val="both"/>
        <w:rPr>
          <w:sz w:val="22"/>
          <w:szCs w:val="22"/>
        </w:rPr>
      </w:pPr>
      <w:r w:rsidRPr="009B1EF6">
        <w:rPr>
          <w:sz w:val="22"/>
          <w:szCs w:val="22"/>
        </w:rPr>
        <w:t>Christ’s encounter with the Samaritan woman, with its implications for worship at Jerusalem and in Samaria</w:t>
      </w:r>
      <w:r>
        <w:rPr>
          <w:sz w:val="22"/>
          <w:szCs w:val="22"/>
        </w:rPr>
        <w:t>.</w:t>
      </w:r>
      <w:r w:rsidRPr="009B1EF6">
        <w:rPr>
          <w:rStyle w:val="EndnoteReference"/>
          <w:sz w:val="22"/>
          <w:szCs w:val="22"/>
        </w:rPr>
        <w:endnoteReference w:id="2980"/>
      </w:r>
      <w:r w:rsidRPr="009B1EF6">
        <w:rPr>
          <w:sz w:val="22"/>
          <w:szCs w:val="22"/>
        </w:rPr>
        <w:t xml:space="preserve"> </w:t>
      </w:r>
    </w:p>
    <w:p w:rsidR="006A2E06" w:rsidRDefault="006A2E06" w:rsidP="006A2E06">
      <w:pPr>
        <w:pStyle w:val="EndnoteText"/>
        <w:spacing w:after="120"/>
        <w:ind w:left="567"/>
        <w:jc w:val="both"/>
        <w:rPr>
          <w:sz w:val="22"/>
          <w:szCs w:val="22"/>
        </w:rPr>
      </w:pPr>
      <w:r w:rsidRPr="009B1EF6">
        <w:rPr>
          <w:sz w:val="22"/>
          <w:szCs w:val="22"/>
        </w:rPr>
        <w:t>Jesus’ self-declaration as Christ</w:t>
      </w:r>
      <w:r w:rsidRPr="009B1EF6">
        <w:rPr>
          <w:rStyle w:val="EndnoteReference"/>
          <w:sz w:val="22"/>
          <w:szCs w:val="22"/>
        </w:rPr>
        <w:endnoteReference w:id="2981"/>
      </w:r>
      <w:r w:rsidRPr="009B1EF6">
        <w:rPr>
          <w:sz w:val="22"/>
          <w:szCs w:val="22"/>
        </w:rPr>
        <w:t xml:space="preserve"> and his declaration concerning the readiness of the harvest</w:t>
      </w:r>
      <w:r>
        <w:rPr>
          <w:sz w:val="22"/>
          <w:szCs w:val="22"/>
        </w:rPr>
        <w:t>.</w:t>
      </w:r>
      <w:r w:rsidRPr="009B1EF6">
        <w:rPr>
          <w:rStyle w:val="EndnoteReference"/>
          <w:sz w:val="22"/>
          <w:szCs w:val="22"/>
        </w:rPr>
        <w:endnoteReference w:id="2982"/>
      </w:r>
      <w:r w:rsidRPr="009B1EF6">
        <w:rPr>
          <w:sz w:val="22"/>
          <w:szCs w:val="22"/>
        </w:rPr>
        <w:t xml:space="preserve"> </w:t>
      </w:r>
    </w:p>
    <w:p w:rsidR="006A2E06" w:rsidRDefault="006A2E06" w:rsidP="006A2E06">
      <w:pPr>
        <w:pStyle w:val="EndnoteText"/>
        <w:spacing w:after="120"/>
        <w:ind w:left="567"/>
        <w:jc w:val="both"/>
        <w:rPr>
          <w:sz w:val="22"/>
          <w:szCs w:val="22"/>
        </w:rPr>
      </w:pPr>
      <w:r w:rsidRPr="009B1EF6">
        <w:rPr>
          <w:sz w:val="22"/>
          <w:szCs w:val="22"/>
        </w:rPr>
        <w:t>Peter’s acknowledgement of Jesus as ‘the Holy One of God’</w:t>
      </w:r>
      <w:r>
        <w:rPr>
          <w:sz w:val="22"/>
          <w:szCs w:val="22"/>
        </w:rPr>
        <w:t>.</w:t>
      </w:r>
      <w:r w:rsidRPr="009B1EF6">
        <w:rPr>
          <w:rStyle w:val="EndnoteReference"/>
          <w:sz w:val="22"/>
          <w:szCs w:val="22"/>
        </w:rPr>
        <w:endnoteReference w:id="2983"/>
      </w:r>
      <w:r w:rsidRPr="009B1EF6">
        <w:rPr>
          <w:sz w:val="22"/>
          <w:szCs w:val="22"/>
        </w:rPr>
        <w:t xml:space="preserve"> </w:t>
      </w:r>
    </w:p>
    <w:p w:rsidR="006A2E06" w:rsidRDefault="006A2E06" w:rsidP="006A2E06">
      <w:pPr>
        <w:pStyle w:val="EndnoteText"/>
        <w:spacing w:after="120"/>
        <w:ind w:left="567"/>
        <w:jc w:val="both"/>
        <w:rPr>
          <w:sz w:val="22"/>
          <w:szCs w:val="22"/>
        </w:rPr>
      </w:pPr>
      <w:r w:rsidRPr="009B1EF6">
        <w:rPr>
          <w:sz w:val="22"/>
          <w:szCs w:val="22"/>
        </w:rPr>
        <w:t>Christ’s disputes with the Pharisees and Sadducees, for example disputes over healing on the Sabbath and implying that God was his Father</w:t>
      </w:r>
      <w:r w:rsidRPr="009B1EF6">
        <w:rPr>
          <w:rStyle w:val="EndnoteReference"/>
          <w:sz w:val="22"/>
          <w:szCs w:val="22"/>
        </w:rPr>
        <w:endnoteReference w:id="2984"/>
      </w:r>
      <w:r w:rsidRPr="009B1EF6">
        <w:rPr>
          <w:sz w:val="22"/>
          <w:szCs w:val="22"/>
        </w:rPr>
        <w:t xml:space="preserve"> and questioning by the Pharisees following Jesus’ healing of the blind man in John 9.</w:t>
      </w:r>
      <w:r>
        <w:rPr>
          <w:rStyle w:val="EndnoteReference"/>
          <w:sz w:val="22"/>
          <w:szCs w:val="22"/>
        </w:rPr>
        <w:endnoteReference w:id="2985"/>
      </w:r>
    </w:p>
    <w:p w:rsidR="006A2E06" w:rsidRDefault="006A2E06" w:rsidP="006A2E06">
      <w:pPr>
        <w:pStyle w:val="EndnoteText"/>
        <w:spacing w:after="120"/>
        <w:ind w:left="567"/>
        <w:jc w:val="both"/>
        <w:rPr>
          <w:sz w:val="22"/>
          <w:szCs w:val="22"/>
        </w:rPr>
      </w:pPr>
      <w:r w:rsidRPr="009B1EF6">
        <w:rPr>
          <w:sz w:val="22"/>
          <w:szCs w:val="22"/>
        </w:rPr>
        <w:t>Martha’s confession of Jesus as ‘Christ the Son of God’</w:t>
      </w:r>
      <w:r w:rsidRPr="009B1EF6">
        <w:rPr>
          <w:rStyle w:val="EndnoteReference"/>
          <w:sz w:val="22"/>
          <w:szCs w:val="22"/>
        </w:rPr>
        <w:endnoteReference w:id="2986"/>
      </w:r>
      <w:r w:rsidRPr="009B1EF6">
        <w:rPr>
          <w:sz w:val="22"/>
          <w:szCs w:val="22"/>
        </w:rPr>
        <w:t xml:space="preserve"> and Jesus’ anointing by Mary of Bethany,</w:t>
      </w:r>
      <w:r w:rsidRPr="009B1EF6">
        <w:rPr>
          <w:rStyle w:val="EndnoteReference"/>
          <w:sz w:val="22"/>
          <w:szCs w:val="22"/>
        </w:rPr>
        <w:endnoteReference w:id="2987"/>
      </w:r>
      <w:r w:rsidRPr="009B1EF6">
        <w:rPr>
          <w:sz w:val="22"/>
          <w:szCs w:val="22"/>
        </w:rPr>
        <w:t xml:space="preserve"> even though Scofield has commented on this in his note on Mt. 11:13.</w:t>
      </w:r>
      <w:r w:rsidRPr="009B1EF6">
        <w:rPr>
          <w:rStyle w:val="EndnoteReference"/>
          <w:sz w:val="22"/>
          <w:szCs w:val="22"/>
        </w:rPr>
        <w:endnoteReference w:id="2988"/>
      </w:r>
      <w:r w:rsidRPr="009B1EF6">
        <w:rPr>
          <w:sz w:val="22"/>
          <w:szCs w:val="22"/>
        </w:rPr>
        <w:t xml:space="preserve">  </w:t>
      </w:r>
    </w:p>
    <w:p w:rsidR="006A2E06" w:rsidRDefault="006A2E06" w:rsidP="006A2E06">
      <w:pPr>
        <w:pStyle w:val="EndnoteText"/>
        <w:spacing w:after="120"/>
        <w:ind w:left="567"/>
        <w:jc w:val="both"/>
        <w:rPr>
          <w:sz w:val="22"/>
          <w:szCs w:val="22"/>
        </w:rPr>
      </w:pPr>
      <w:r>
        <w:rPr>
          <w:sz w:val="22"/>
          <w:szCs w:val="22"/>
        </w:rPr>
        <w:t>Jesus’ entry to Jerusalem.</w:t>
      </w:r>
      <w:r>
        <w:rPr>
          <w:rStyle w:val="EndnoteReference"/>
          <w:sz w:val="22"/>
          <w:szCs w:val="22"/>
        </w:rPr>
        <w:endnoteReference w:id="2989"/>
      </w:r>
    </w:p>
    <w:p w:rsidR="006A2E06" w:rsidRDefault="006A2E06" w:rsidP="006A2E06">
      <w:pPr>
        <w:pStyle w:val="EndnoteText"/>
        <w:spacing w:after="120"/>
        <w:ind w:left="1418"/>
        <w:jc w:val="both"/>
        <w:rPr>
          <w:sz w:val="22"/>
          <w:szCs w:val="22"/>
        </w:rPr>
      </w:pPr>
      <w:r w:rsidRPr="001373C3">
        <w:rPr>
          <w:b/>
          <w:i/>
          <w:sz w:val="22"/>
          <w:szCs w:val="22"/>
        </w:rPr>
        <w:t>Comment</w:t>
      </w:r>
      <w:r>
        <w:rPr>
          <w:sz w:val="22"/>
          <w:szCs w:val="22"/>
        </w:rPr>
        <w:t xml:space="preserve">: </w:t>
      </w:r>
      <w:r w:rsidRPr="009B1EF6">
        <w:rPr>
          <w:sz w:val="22"/>
          <w:szCs w:val="22"/>
        </w:rPr>
        <w:t>It is noteworthy that Scofield comments upon Jesus’ entry into Jerusalem only in his note on Mt. 21:4,</w:t>
      </w:r>
      <w:r w:rsidRPr="009B1EF6">
        <w:rPr>
          <w:rStyle w:val="EndnoteReference"/>
          <w:sz w:val="22"/>
          <w:szCs w:val="22"/>
        </w:rPr>
        <w:endnoteReference w:id="2990"/>
      </w:r>
      <w:r w:rsidRPr="009B1EF6">
        <w:rPr>
          <w:sz w:val="22"/>
          <w:szCs w:val="22"/>
        </w:rPr>
        <w:t xml:space="preserve"> and ignores the parallel passages in Mark, Luke and John, as if nothing further were to be learned from them.  One particularly interesting omission is comment on Jn 12:16, which states that the disciples realised the significance of Jesus’ entry to Jerusalem </w:t>
      </w:r>
      <w:r>
        <w:rPr>
          <w:sz w:val="22"/>
          <w:szCs w:val="22"/>
        </w:rPr>
        <w:t>‘</w:t>
      </w:r>
      <w:r w:rsidRPr="009B1EF6">
        <w:rPr>
          <w:sz w:val="22"/>
          <w:szCs w:val="22"/>
        </w:rPr>
        <w:t>when Jesus was glorified</w:t>
      </w:r>
      <w:r>
        <w:rPr>
          <w:sz w:val="22"/>
          <w:szCs w:val="22"/>
        </w:rPr>
        <w:t>’</w:t>
      </w:r>
      <w:r w:rsidRPr="009B1EF6">
        <w:rPr>
          <w:sz w:val="22"/>
          <w:szCs w:val="22"/>
        </w:rPr>
        <w:t xml:space="preserve">.  This refutes Scofield’s claim that Jesus is yet to be glorified.  In his note on Mt. 13:17, Scofield states that </w:t>
      </w:r>
      <w:r w:rsidRPr="009B1EF6">
        <w:rPr>
          <w:sz w:val="22"/>
        </w:rPr>
        <w:t xml:space="preserve">Jesus’ </w:t>
      </w:r>
      <w:r>
        <w:rPr>
          <w:sz w:val="22"/>
        </w:rPr>
        <w:t xml:space="preserve">parables reveal his revelation that </w:t>
      </w:r>
      <w:r w:rsidRPr="009B1EF6">
        <w:rPr>
          <w:sz w:val="22"/>
          <w:szCs w:val="22"/>
        </w:rPr>
        <w:t xml:space="preserve">‘a period of time is to intervene between His sufferings and </w:t>
      </w:r>
      <w:r w:rsidRPr="009B1EF6">
        <w:rPr>
          <w:sz w:val="22"/>
        </w:rPr>
        <w:t>His glory’.</w:t>
      </w:r>
      <w:r w:rsidRPr="009B1EF6">
        <w:rPr>
          <w:rStyle w:val="EndnoteReference"/>
          <w:sz w:val="22"/>
        </w:rPr>
        <w:endnoteReference w:id="2991"/>
      </w:r>
    </w:p>
    <w:p w:rsidR="006A2E06" w:rsidRDefault="006A2E06" w:rsidP="006A2E06">
      <w:pPr>
        <w:pStyle w:val="EndnoteText"/>
        <w:spacing w:after="120"/>
        <w:ind w:left="567"/>
        <w:jc w:val="both"/>
        <w:rPr>
          <w:sz w:val="22"/>
          <w:szCs w:val="22"/>
        </w:rPr>
      </w:pPr>
      <w:r w:rsidRPr="009B1EF6">
        <w:rPr>
          <w:sz w:val="22"/>
          <w:szCs w:val="22"/>
        </w:rPr>
        <w:t>The plots by the Sanhedrin</w:t>
      </w:r>
      <w:r>
        <w:rPr>
          <w:sz w:val="22"/>
          <w:szCs w:val="22"/>
        </w:rPr>
        <w:t>.</w:t>
      </w:r>
      <w:r w:rsidRPr="009B1EF6">
        <w:rPr>
          <w:rStyle w:val="EndnoteReference"/>
          <w:sz w:val="22"/>
          <w:szCs w:val="22"/>
        </w:rPr>
        <w:endnoteReference w:id="2992"/>
      </w:r>
    </w:p>
    <w:p w:rsidR="006A2E06" w:rsidRDefault="006A2E06" w:rsidP="006A2E06">
      <w:pPr>
        <w:pStyle w:val="EndnoteText"/>
        <w:spacing w:after="120"/>
        <w:ind w:left="567"/>
        <w:jc w:val="both"/>
        <w:rPr>
          <w:sz w:val="22"/>
          <w:szCs w:val="18"/>
        </w:rPr>
      </w:pPr>
      <w:r w:rsidRPr="00FA19D1">
        <w:rPr>
          <w:sz w:val="22"/>
          <w:szCs w:val="18"/>
        </w:rPr>
        <w:t>Judas’ betrayal</w:t>
      </w:r>
      <w:r>
        <w:rPr>
          <w:rStyle w:val="EndnoteReference"/>
          <w:sz w:val="22"/>
          <w:szCs w:val="18"/>
        </w:rPr>
        <w:endnoteReference w:id="2993"/>
      </w:r>
      <w:r>
        <w:rPr>
          <w:sz w:val="22"/>
          <w:szCs w:val="18"/>
        </w:rPr>
        <w:t xml:space="preserve"> </w:t>
      </w:r>
    </w:p>
    <w:p w:rsidR="006A2E06" w:rsidRDefault="006A2E06" w:rsidP="006A2E06">
      <w:pPr>
        <w:pStyle w:val="EndnoteText"/>
        <w:spacing w:after="120"/>
        <w:ind w:left="567"/>
        <w:jc w:val="both"/>
        <w:rPr>
          <w:sz w:val="22"/>
          <w:szCs w:val="18"/>
        </w:rPr>
      </w:pPr>
      <w:r w:rsidRPr="00FA19D1">
        <w:rPr>
          <w:sz w:val="22"/>
          <w:szCs w:val="18"/>
        </w:rPr>
        <w:t>Jesus’ warning of Peter’s denial</w:t>
      </w:r>
      <w:r>
        <w:rPr>
          <w:rStyle w:val="EndnoteReference"/>
          <w:sz w:val="22"/>
          <w:szCs w:val="18"/>
        </w:rPr>
        <w:endnoteReference w:id="2994"/>
      </w:r>
      <w:r w:rsidRPr="00FA19D1">
        <w:rPr>
          <w:sz w:val="22"/>
          <w:szCs w:val="18"/>
        </w:rPr>
        <w:t xml:space="preserve"> </w:t>
      </w:r>
    </w:p>
    <w:p w:rsidR="006A2E06" w:rsidRDefault="006A2E06" w:rsidP="006A2E06">
      <w:pPr>
        <w:pStyle w:val="EndnoteText"/>
        <w:spacing w:after="120"/>
        <w:ind w:left="567"/>
        <w:jc w:val="both"/>
        <w:rPr>
          <w:sz w:val="22"/>
          <w:szCs w:val="18"/>
        </w:rPr>
      </w:pPr>
      <w:r w:rsidRPr="00FA19D1">
        <w:rPr>
          <w:sz w:val="22"/>
          <w:szCs w:val="18"/>
        </w:rPr>
        <w:t>Jesus’ promise of the Spirit</w:t>
      </w:r>
      <w:r>
        <w:rPr>
          <w:rStyle w:val="EndnoteReference"/>
          <w:sz w:val="22"/>
          <w:szCs w:val="18"/>
        </w:rPr>
        <w:endnoteReference w:id="2995"/>
      </w:r>
      <w:r w:rsidRPr="00FA19D1">
        <w:rPr>
          <w:sz w:val="22"/>
          <w:szCs w:val="18"/>
        </w:rPr>
        <w:t xml:space="preserve"> </w:t>
      </w:r>
    </w:p>
    <w:p w:rsidR="006A2E06" w:rsidRDefault="006A2E06" w:rsidP="006A2E06">
      <w:pPr>
        <w:pStyle w:val="EndnoteText"/>
        <w:spacing w:after="120"/>
        <w:ind w:left="567"/>
        <w:jc w:val="both"/>
        <w:rPr>
          <w:sz w:val="22"/>
          <w:szCs w:val="18"/>
        </w:rPr>
      </w:pPr>
      <w:r>
        <w:rPr>
          <w:sz w:val="22"/>
          <w:szCs w:val="18"/>
        </w:rPr>
        <w:t xml:space="preserve">Jesus’ </w:t>
      </w:r>
      <w:r w:rsidRPr="00FA19D1">
        <w:rPr>
          <w:sz w:val="22"/>
          <w:szCs w:val="18"/>
        </w:rPr>
        <w:t>arrest in Gethsemane, denial by Peter, and trials before the High Priest and Pilate</w:t>
      </w:r>
      <w:r>
        <w:rPr>
          <w:sz w:val="22"/>
          <w:szCs w:val="18"/>
        </w:rPr>
        <w:t>.</w:t>
      </w:r>
      <w:r>
        <w:rPr>
          <w:rStyle w:val="EndnoteReference"/>
          <w:sz w:val="22"/>
          <w:szCs w:val="18"/>
        </w:rPr>
        <w:endnoteReference w:id="2996"/>
      </w:r>
      <w:r w:rsidRPr="00FA19D1">
        <w:rPr>
          <w:sz w:val="22"/>
          <w:szCs w:val="18"/>
        </w:rPr>
        <w:t xml:space="preserve"> </w:t>
      </w:r>
    </w:p>
    <w:p w:rsidR="006A2E06" w:rsidRDefault="006A2E06" w:rsidP="006A2E06">
      <w:pPr>
        <w:pStyle w:val="EndnoteText"/>
        <w:spacing w:after="120"/>
        <w:ind w:left="567"/>
        <w:jc w:val="both"/>
        <w:rPr>
          <w:sz w:val="22"/>
          <w:szCs w:val="18"/>
        </w:rPr>
      </w:pPr>
      <w:r>
        <w:rPr>
          <w:sz w:val="22"/>
          <w:szCs w:val="18"/>
        </w:rPr>
        <w:t>T</w:t>
      </w:r>
      <w:r w:rsidRPr="00FA19D1">
        <w:rPr>
          <w:sz w:val="22"/>
          <w:szCs w:val="18"/>
        </w:rPr>
        <w:t>he crucifixion, especially in relation to fulfilment of scripture</w:t>
      </w:r>
      <w:r>
        <w:rPr>
          <w:sz w:val="22"/>
          <w:szCs w:val="18"/>
        </w:rPr>
        <w:t>.</w:t>
      </w:r>
      <w:r w:rsidRPr="00FA19D1">
        <w:rPr>
          <w:sz w:val="22"/>
          <w:szCs w:val="18"/>
        </w:rPr>
        <w:t xml:space="preserve"> </w:t>
      </w:r>
    </w:p>
    <w:p w:rsidR="006A2E06" w:rsidRDefault="006A2E06" w:rsidP="006A2E06">
      <w:pPr>
        <w:pStyle w:val="EndnoteText"/>
        <w:spacing w:after="120"/>
        <w:ind w:left="567"/>
        <w:jc w:val="both"/>
        <w:rPr>
          <w:sz w:val="22"/>
          <w:szCs w:val="18"/>
        </w:rPr>
      </w:pPr>
      <w:r w:rsidRPr="00FA19D1">
        <w:rPr>
          <w:sz w:val="22"/>
          <w:szCs w:val="18"/>
        </w:rPr>
        <w:t>Jesus’ burial</w:t>
      </w:r>
      <w:r>
        <w:rPr>
          <w:sz w:val="22"/>
          <w:szCs w:val="18"/>
        </w:rPr>
        <w:t>.</w:t>
      </w:r>
      <w:r>
        <w:rPr>
          <w:rStyle w:val="EndnoteReference"/>
          <w:sz w:val="22"/>
          <w:szCs w:val="18"/>
        </w:rPr>
        <w:endnoteReference w:id="2997"/>
      </w:r>
      <w:r w:rsidRPr="00FA19D1">
        <w:rPr>
          <w:sz w:val="22"/>
          <w:szCs w:val="18"/>
        </w:rPr>
        <w:t xml:space="preserve"> </w:t>
      </w:r>
    </w:p>
    <w:p w:rsidR="006A2E06" w:rsidRDefault="006A2E06" w:rsidP="006A2E06">
      <w:pPr>
        <w:pStyle w:val="EndnoteText"/>
        <w:spacing w:after="240"/>
        <w:ind w:left="567"/>
        <w:jc w:val="both"/>
        <w:rPr>
          <w:sz w:val="22"/>
          <w:szCs w:val="18"/>
        </w:rPr>
      </w:pPr>
      <w:r>
        <w:rPr>
          <w:sz w:val="22"/>
          <w:szCs w:val="18"/>
        </w:rPr>
        <w:t>T</w:t>
      </w:r>
      <w:r w:rsidRPr="00FA19D1">
        <w:rPr>
          <w:sz w:val="22"/>
          <w:szCs w:val="18"/>
        </w:rPr>
        <w:t>he reinstatement of Peter</w:t>
      </w:r>
      <w:r>
        <w:rPr>
          <w:sz w:val="22"/>
          <w:szCs w:val="18"/>
        </w:rPr>
        <w:t>.</w:t>
      </w:r>
      <w:r>
        <w:rPr>
          <w:rStyle w:val="EndnoteReference"/>
          <w:sz w:val="22"/>
          <w:szCs w:val="18"/>
        </w:rPr>
        <w:endnoteReference w:id="2998"/>
      </w:r>
      <w:r w:rsidRPr="00FA19D1">
        <w:rPr>
          <w:sz w:val="22"/>
          <w:szCs w:val="18"/>
        </w:rPr>
        <w:t xml:space="preserve"> </w:t>
      </w:r>
    </w:p>
    <w:p w:rsidR="006A2E06" w:rsidRPr="0045644C" w:rsidRDefault="006A2E06" w:rsidP="006A2E06">
      <w:pPr>
        <w:pStyle w:val="EndnoteText"/>
        <w:spacing w:after="120" w:line="360" w:lineRule="auto"/>
        <w:jc w:val="both"/>
        <w:rPr>
          <w:b/>
          <w:i/>
          <w:sz w:val="22"/>
        </w:rPr>
      </w:pPr>
      <w:r>
        <w:rPr>
          <w:b/>
          <w:i/>
          <w:sz w:val="22"/>
        </w:rPr>
        <w:t xml:space="preserve">Omissions: General </w:t>
      </w:r>
      <w:r w:rsidRPr="0045644C">
        <w:rPr>
          <w:b/>
          <w:i/>
          <w:sz w:val="22"/>
        </w:rPr>
        <w:t>Comment</w:t>
      </w:r>
    </w:p>
    <w:p w:rsidR="006A2E06" w:rsidRPr="00E77C5D" w:rsidRDefault="006A2E06" w:rsidP="006A2E06">
      <w:pPr>
        <w:pStyle w:val="EndnoteText"/>
        <w:spacing w:after="120" w:line="360" w:lineRule="auto"/>
        <w:jc w:val="both"/>
        <w:rPr>
          <w:sz w:val="22"/>
          <w:szCs w:val="22"/>
        </w:rPr>
      </w:pPr>
      <w:r>
        <w:rPr>
          <w:sz w:val="22"/>
          <w:szCs w:val="22"/>
        </w:rPr>
        <w:t>Much material in John which is foundational to the Christian faith is ignored and s</w:t>
      </w:r>
      <w:r w:rsidRPr="00E77C5D">
        <w:rPr>
          <w:sz w:val="22"/>
          <w:szCs w:val="22"/>
        </w:rPr>
        <w:t>ome of the omitted material is very important to the New Covenant.  Scofield does not comment on Jesus’ statement that, once destroyed, he will raise up the temple in three days</w:t>
      </w:r>
      <w:r w:rsidRPr="00E77C5D">
        <w:rPr>
          <w:rStyle w:val="EndnoteReference"/>
          <w:sz w:val="22"/>
          <w:szCs w:val="22"/>
        </w:rPr>
        <w:endnoteReference w:id="2999"/>
      </w:r>
      <w:r w:rsidRPr="00E77C5D">
        <w:rPr>
          <w:sz w:val="22"/>
          <w:szCs w:val="22"/>
        </w:rPr>
        <w:t xml:space="preserve"> or on the evangelist’s remark that </w:t>
      </w:r>
      <w:r>
        <w:rPr>
          <w:sz w:val="22"/>
          <w:szCs w:val="22"/>
        </w:rPr>
        <w:t>‘</w:t>
      </w:r>
      <w:r w:rsidRPr="00E77C5D">
        <w:rPr>
          <w:sz w:val="22"/>
          <w:szCs w:val="22"/>
        </w:rPr>
        <w:t>he spake of the temple of his body</w:t>
      </w:r>
      <w:r>
        <w:rPr>
          <w:sz w:val="22"/>
          <w:szCs w:val="22"/>
        </w:rPr>
        <w:t>’</w:t>
      </w:r>
      <w:r w:rsidRPr="00E77C5D">
        <w:rPr>
          <w:sz w:val="22"/>
          <w:szCs w:val="22"/>
        </w:rPr>
        <w:t>.</w:t>
      </w:r>
      <w:r w:rsidRPr="00E77C5D">
        <w:rPr>
          <w:rStyle w:val="EndnoteReference"/>
          <w:sz w:val="22"/>
          <w:szCs w:val="22"/>
        </w:rPr>
        <w:endnoteReference w:id="3000"/>
      </w:r>
      <w:r w:rsidRPr="00E77C5D">
        <w:rPr>
          <w:sz w:val="22"/>
          <w:szCs w:val="22"/>
        </w:rPr>
        <w:t xml:space="preserve">  Discussion of these clauses </w:t>
      </w:r>
      <w:r>
        <w:rPr>
          <w:sz w:val="22"/>
          <w:szCs w:val="22"/>
        </w:rPr>
        <w:t>might</w:t>
      </w:r>
      <w:r w:rsidRPr="00E77C5D">
        <w:rPr>
          <w:sz w:val="22"/>
          <w:szCs w:val="22"/>
        </w:rPr>
        <w:t xml:space="preserve"> undermine the concept of the rebuilding of a physical temple.</w:t>
      </w:r>
      <w:r>
        <w:rPr>
          <w:rStyle w:val="EndnoteReference"/>
          <w:sz w:val="22"/>
          <w:szCs w:val="22"/>
        </w:rPr>
        <w:endnoteReference w:id="3001"/>
      </w:r>
      <w:r w:rsidRPr="00E77C5D">
        <w:rPr>
          <w:sz w:val="22"/>
          <w:szCs w:val="22"/>
        </w:rPr>
        <w:t xml:space="preserve">  </w:t>
      </w:r>
    </w:p>
    <w:p w:rsidR="006A2E06" w:rsidRDefault="006A2E06" w:rsidP="006A2E06">
      <w:pPr>
        <w:spacing w:after="120" w:line="360" w:lineRule="auto"/>
        <w:ind w:right="74" w:firstLine="540"/>
        <w:jc w:val="both"/>
      </w:pPr>
      <w:r w:rsidRPr="00E77C5D">
        <w:t>Another serious omission is any note on the discussion following the feeding of five thousand people, during which Jesus declares that he is the bread of life, who has come down from heaven, and that, unlike those who ate manna in the wilderness and died, those who feed on his flesh will live for ever.</w:t>
      </w:r>
      <w:r>
        <w:rPr>
          <w:rStyle w:val="EndnoteReference"/>
        </w:rPr>
        <w:endnoteReference w:id="3002"/>
      </w:r>
      <w:r w:rsidRPr="00E77C5D">
        <w:t xml:space="preserve">  This statement would seem to belie any intimation that the old covenan</w:t>
      </w:r>
      <w:r>
        <w:t>t is to continue or be restored and fulfils Scofield’s rubric for a type.</w:t>
      </w:r>
      <w:r>
        <w:rPr>
          <w:rStyle w:val="EndnoteReference"/>
        </w:rPr>
        <w:endnoteReference w:id="3003"/>
      </w:r>
      <w:r>
        <w:t xml:space="preserve">  </w:t>
      </w:r>
      <w:r w:rsidRPr="00E77C5D">
        <w:t xml:space="preserve">There is also no comment on Jesus ‘new </w:t>
      </w:r>
      <w:r w:rsidRPr="00E77C5D">
        <w:lastRenderedPageBreak/>
        <w:t>commandment’ to ‘love one another’, by which ‘all men will know that you are my disciples’.</w:t>
      </w:r>
      <w:r>
        <w:rPr>
          <w:rStyle w:val="EndnoteReference"/>
        </w:rPr>
        <w:endnoteReference w:id="3004"/>
      </w:r>
      <w:r>
        <w:t xml:space="preserve"> </w:t>
      </w:r>
      <w:r w:rsidRPr="00E77C5D">
        <w:t xml:space="preserve">Again believers’ behaviour appears to be unimportant to Scofield.    </w:t>
      </w:r>
    </w:p>
    <w:p w:rsidR="006A2E06" w:rsidRDefault="006A2E06" w:rsidP="006A2E06">
      <w:pPr>
        <w:spacing w:after="120" w:line="360" w:lineRule="auto"/>
        <w:ind w:right="74"/>
        <w:jc w:val="both"/>
        <w:rPr>
          <w:b/>
        </w:rPr>
      </w:pPr>
      <w:r>
        <w:rPr>
          <w:b/>
        </w:rPr>
        <w:t>8</w:t>
      </w:r>
      <w:r w:rsidRPr="00B3414C">
        <w:rPr>
          <w:b/>
        </w:rPr>
        <w:t>.</w:t>
      </w:r>
      <w:r>
        <w:rPr>
          <w:b/>
        </w:rPr>
        <w:t>6</w:t>
      </w:r>
      <w:r w:rsidRPr="00B3414C">
        <w:rPr>
          <w:b/>
        </w:rPr>
        <w:t>.5  Acts</w:t>
      </w:r>
    </w:p>
    <w:p w:rsidR="006A2E06" w:rsidRDefault="006A2E06" w:rsidP="006A2E06">
      <w:pPr>
        <w:spacing w:after="120" w:line="360" w:lineRule="auto"/>
        <w:ind w:right="74"/>
        <w:jc w:val="both"/>
      </w:pPr>
      <w:r>
        <w:rPr>
          <w:b/>
          <w:noProof/>
          <w:lang w:eastAsia="en-GB"/>
        </w:rPr>
        <w:drawing>
          <wp:inline distT="0" distB="0" distL="0" distR="0" wp14:anchorId="75BC0EC8" wp14:editId="4A8FF635">
            <wp:extent cx="4794478" cy="3878318"/>
            <wp:effectExtent l="0" t="0" r="6350" b="825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s vertical axis 8.2.18_crop.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795703" cy="3879309"/>
                    </a:xfrm>
                    <a:prstGeom prst="rect">
                      <a:avLst/>
                    </a:prstGeom>
                  </pic:spPr>
                </pic:pic>
              </a:graphicData>
            </a:graphic>
          </wp:inline>
        </w:drawing>
      </w:r>
    </w:p>
    <w:p w:rsidR="006A2E06" w:rsidRDefault="006A2E06" w:rsidP="006A2E06">
      <w:pPr>
        <w:spacing w:after="120" w:line="360" w:lineRule="auto"/>
        <w:ind w:right="74"/>
        <w:jc w:val="both"/>
      </w:pPr>
      <w:r>
        <w:rPr>
          <w:b/>
          <w:noProof/>
          <w:lang w:eastAsia="en-GB"/>
        </w:rPr>
        <w:drawing>
          <wp:inline distT="0" distB="0" distL="0" distR="0" wp14:anchorId="0FE52A4C" wp14:editId="65944D52">
            <wp:extent cx="5400040" cy="698500"/>
            <wp:effectExtent l="0" t="0" r="0" b="635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s title 12.2.18 crop.jpg"/>
                    <pic:cNvPicPr/>
                  </pic:nvPicPr>
                  <pic:blipFill>
                    <a:blip r:embed="rId196">
                      <a:extLst>
                        <a:ext uri="{28A0092B-C50C-407E-A947-70E740481C1C}">
                          <a14:useLocalDpi xmlns:a14="http://schemas.microsoft.com/office/drawing/2010/main" val="0"/>
                        </a:ext>
                      </a:extLst>
                    </a:blip>
                    <a:stretch>
                      <a:fillRect/>
                    </a:stretch>
                  </pic:blipFill>
                  <pic:spPr>
                    <a:xfrm>
                      <a:off x="0" y="0"/>
                      <a:ext cx="5400040" cy="698500"/>
                    </a:xfrm>
                    <a:prstGeom prst="rect">
                      <a:avLst/>
                    </a:prstGeom>
                  </pic:spPr>
                </pic:pic>
              </a:graphicData>
            </a:graphic>
          </wp:inline>
        </w:drawing>
      </w:r>
    </w:p>
    <w:p w:rsidR="00F5188D" w:rsidRPr="001559CD" w:rsidRDefault="00F5188D" w:rsidP="00F5188D">
      <w:pPr>
        <w:spacing w:after="120" w:line="360" w:lineRule="auto"/>
        <w:ind w:right="74"/>
        <w:jc w:val="both"/>
        <w:rPr>
          <w:b/>
          <w:i/>
        </w:rPr>
      </w:pPr>
      <w:r w:rsidRPr="001559CD">
        <w:rPr>
          <w:b/>
          <w:i/>
        </w:rPr>
        <w:t>Introduction</w:t>
      </w:r>
      <w:r>
        <w:rPr>
          <w:b/>
          <w:i/>
        </w:rPr>
        <w:t>:</w:t>
      </w:r>
      <w:r w:rsidRPr="00126B4B">
        <w:rPr>
          <w:rStyle w:val="EndnoteReference"/>
        </w:rPr>
        <w:t xml:space="preserve"> </w:t>
      </w:r>
      <w:r>
        <w:rPr>
          <w:rStyle w:val="EndnoteReference"/>
        </w:rPr>
        <w:endnoteReference w:id="3005"/>
      </w:r>
      <w:r>
        <w:t xml:space="preserve"> </w:t>
      </w:r>
      <w:r>
        <w:rPr>
          <w:b/>
          <w:i/>
        </w:rPr>
        <w:t xml:space="preserve"> Key Points</w:t>
      </w:r>
    </w:p>
    <w:p w:rsidR="00F5188D" w:rsidRDefault="00F5188D" w:rsidP="00F5188D">
      <w:pPr>
        <w:spacing w:after="120" w:line="240" w:lineRule="auto"/>
        <w:ind w:left="567" w:right="74"/>
        <w:jc w:val="both"/>
      </w:pPr>
      <w:r>
        <w:t>A</w:t>
      </w:r>
      <w:r w:rsidRPr="001559CD">
        <w:t>uthor is Luke</w:t>
      </w:r>
      <w:r>
        <w:t>;</w:t>
      </w:r>
      <w:r w:rsidRPr="001559CD">
        <w:t xml:space="preserve"> Acts continues from Luke’s </w:t>
      </w:r>
      <w:r>
        <w:t>G</w:t>
      </w:r>
      <w:r w:rsidRPr="001559CD">
        <w:t xml:space="preserve">ospel.  </w:t>
      </w:r>
    </w:p>
    <w:p w:rsidR="00F5188D" w:rsidRDefault="00F5188D" w:rsidP="00F5188D">
      <w:pPr>
        <w:spacing w:after="120" w:line="240" w:lineRule="auto"/>
        <w:ind w:left="567" w:right="74"/>
        <w:jc w:val="both"/>
      </w:pPr>
      <w:r>
        <w:t xml:space="preserve">Suggestion </w:t>
      </w:r>
      <w:r w:rsidRPr="001559CD">
        <w:t>that ‘as Acts concludes with Paul’s earliest ministry in Rome, AD 65, Acts appears to have been written at or near that time’.</w:t>
      </w:r>
      <w:r>
        <w:t xml:space="preserve">  </w:t>
      </w:r>
    </w:p>
    <w:p w:rsidR="00F5188D" w:rsidRDefault="00F5188D" w:rsidP="00F5188D">
      <w:pPr>
        <w:spacing w:after="120" w:line="240" w:lineRule="auto"/>
        <w:ind w:left="567" w:right="74"/>
        <w:jc w:val="both"/>
      </w:pPr>
      <w:r w:rsidRPr="005D00B9">
        <w:t xml:space="preserve">Acts </w:t>
      </w:r>
      <w:r>
        <w:t>records</w:t>
      </w:r>
      <w:r w:rsidRPr="005D00B9">
        <w:t xml:space="preserve"> </w:t>
      </w:r>
      <w:r>
        <w:t>Jesus’ ‘</w:t>
      </w:r>
      <w:r w:rsidRPr="001559CD">
        <w:t>ascension and promised return</w:t>
      </w:r>
      <w:r>
        <w:t>’</w:t>
      </w:r>
      <w:r w:rsidRPr="001559CD">
        <w:t xml:space="preserve">; the </w:t>
      </w:r>
      <w:r>
        <w:t xml:space="preserve">Holy Spirit’s </w:t>
      </w:r>
      <w:r w:rsidRPr="001559CD">
        <w:t xml:space="preserve">descent </w:t>
      </w:r>
      <w:r>
        <w:t xml:space="preserve">at Pentecost; </w:t>
      </w:r>
      <w:r w:rsidRPr="0088408F">
        <w:rPr>
          <w:spacing w:val="4"/>
        </w:rPr>
        <w:t>‘Peter’s use of the keys, opening the kingdom (considered as the sphere of profession, as in Mt. 13)</w:t>
      </w:r>
      <w:r w:rsidRPr="001559CD">
        <w:t xml:space="preserve"> to the Jews at Pentecost and to the Gentiles at the house of Cornelius; and the</w:t>
      </w:r>
      <w:r>
        <w:t xml:space="preserve"> beginning of the Christian church and the</w:t>
      </w:r>
      <w:r w:rsidRPr="001559CD">
        <w:t xml:space="preserve"> conversion and ministry of Paul</w:t>
      </w:r>
      <w:r>
        <w:t>’</w:t>
      </w:r>
      <w:r w:rsidRPr="001559CD">
        <w:t>.</w:t>
      </w:r>
      <w:r w:rsidRPr="005D00B9">
        <w:t xml:space="preserve">  </w:t>
      </w:r>
    </w:p>
    <w:p w:rsidR="00F5188D" w:rsidRDefault="00F5188D" w:rsidP="00F5188D">
      <w:pPr>
        <w:spacing w:after="120" w:line="240" w:lineRule="auto"/>
        <w:ind w:left="567" w:right="74"/>
        <w:jc w:val="both"/>
      </w:pPr>
      <w:r w:rsidRPr="005D00B9">
        <w:t xml:space="preserve">The ‘great fact of Acts’ is the ‘presence of the Holy Spirit exalting and revealing the Son’.  </w:t>
      </w:r>
    </w:p>
    <w:p w:rsidR="00F5188D" w:rsidRDefault="00F5188D" w:rsidP="00F5188D">
      <w:pPr>
        <w:spacing w:after="120" w:line="240" w:lineRule="auto"/>
        <w:ind w:left="567" w:right="74"/>
        <w:jc w:val="both"/>
      </w:pPr>
      <w:r>
        <w:t xml:space="preserve">Assertion </w:t>
      </w:r>
      <w:r w:rsidRPr="005D00B9">
        <w:t>that Acts 11, 12 and 15 are ‘transitional, establishing finally the distinction, doctrinally, between law and grace’ and that ‘Galatians should be read in this connection’.</w:t>
      </w:r>
    </w:p>
    <w:p w:rsidR="005722EC" w:rsidRDefault="005722EC" w:rsidP="00F5188D">
      <w:pPr>
        <w:spacing w:after="0" w:line="240" w:lineRule="auto"/>
        <w:ind w:left="567" w:right="74"/>
        <w:jc w:val="both"/>
        <w:rPr>
          <w:i/>
        </w:rPr>
      </w:pPr>
    </w:p>
    <w:p w:rsidR="005722EC" w:rsidRDefault="005722EC" w:rsidP="00F5188D">
      <w:pPr>
        <w:spacing w:after="0" w:line="240" w:lineRule="auto"/>
        <w:ind w:left="567" w:right="74"/>
        <w:jc w:val="both"/>
        <w:rPr>
          <w:i/>
        </w:rPr>
      </w:pPr>
    </w:p>
    <w:p w:rsidR="00F5188D" w:rsidRPr="001373C3" w:rsidRDefault="00F5188D" w:rsidP="00F5188D">
      <w:pPr>
        <w:spacing w:after="0" w:line="240" w:lineRule="auto"/>
        <w:ind w:left="567" w:right="74"/>
        <w:jc w:val="both"/>
        <w:rPr>
          <w:i/>
        </w:rPr>
      </w:pPr>
      <w:r w:rsidRPr="001373C3">
        <w:rPr>
          <w:i/>
        </w:rPr>
        <w:lastRenderedPageBreak/>
        <w:t xml:space="preserve">Assertions concerning Peter and Paul: </w:t>
      </w:r>
    </w:p>
    <w:p w:rsidR="00F5188D" w:rsidRDefault="00F5188D" w:rsidP="005722EC">
      <w:pPr>
        <w:spacing w:after="60" w:line="240" w:lineRule="auto"/>
        <w:ind w:left="851" w:right="74"/>
        <w:jc w:val="both"/>
      </w:pPr>
      <w:r w:rsidRPr="005D00B9">
        <w:t>Peter is prominent in Acts 1:1</w:t>
      </w:r>
      <w:r>
        <w:t xml:space="preserve"> </w:t>
      </w:r>
      <w:r w:rsidRPr="00012B96">
        <w:rPr>
          <w:sz w:val="16"/>
          <w:szCs w:val="24"/>
        </w:rPr>
        <w:t>—</w:t>
      </w:r>
      <w:r>
        <w:rPr>
          <w:sz w:val="16"/>
          <w:szCs w:val="24"/>
        </w:rPr>
        <w:t xml:space="preserve"> </w:t>
      </w:r>
      <w:r w:rsidRPr="005D00B9">
        <w:t>9:43; the centre is Jerusalem and the ministry is to the Jews, who, though ‘in covenant relations with Jehovah’, had sinned ‘in rejecting Jesus as the Christ’</w:t>
      </w:r>
      <w:r>
        <w:t xml:space="preserve"> and needed to repent.</w:t>
      </w:r>
      <w:r w:rsidRPr="005D00B9">
        <w:t xml:space="preserve">  </w:t>
      </w:r>
    </w:p>
    <w:p w:rsidR="00F5188D" w:rsidRDefault="00F5188D" w:rsidP="005722EC">
      <w:pPr>
        <w:spacing w:after="60" w:line="240" w:lineRule="auto"/>
        <w:ind w:left="851" w:right="74"/>
        <w:jc w:val="both"/>
      </w:pPr>
      <w:r w:rsidRPr="005D00B9">
        <w:t>Paul is prominent in Acts 10:1</w:t>
      </w:r>
      <w:r>
        <w:t xml:space="preserve"> </w:t>
      </w:r>
      <w:r w:rsidRPr="00012B96">
        <w:rPr>
          <w:sz w:val="16"/>
          <w:szCs w:val="24"/>
        </w:rPr>
        <w:t>—</w:t>
      </w:r>
      <w:r>
        <w:rPr>
          <w:sz w:val="16"/>
          <w:szCs w:val="24"/>
        </w:rPr>
        <w:t xml:space="preserve"> </w:t>
      </w:r>
      <w:r w:rsidRPr="005D00B9">
        <w:t>28:31</w:t>
      </w:r>
      <w:r>
        <w:t>.  A</w:t>
      </w:r>
      <w:r w:rsidRPr="005D00B9">
        <w:t xml:space="preserve"> new centre was established in Antioch</w:t>
      </w:r>
      <w:r>
        <w:t>;</w:t>
      </w:r>
      <w:r w:rsidRPr="005D00B9">
        <w:t xml:space="preserve"> ministry was mainly to the Gentiles, who had merely to believe in Jesus to be saved.</w:t>
      </w:r>
    </w:p>
    <w:p w:rsidR="00F5188D" w:rsidRDefault="00F5188D" w:rsidP="00F5188D">
      <w:pPr>
        <w:spacing w:after="120" w:line="240" w:lineRule="auto"/>
        <w:ind w:left="1418" w:right="74"/>
        <w:jc w:val="both"/>
      </w:pPr>
      <w:r w:rsidRPr="001373C3">
        <w:rPr>
          <w:b/>
          <w:i/>
        </w:rPr>
        <w:t>Comment</w:t>
      </w:r>
      <w:r>
        <w:t>: I</w:t>
      </w:r>
      <w:r w:rsidRPr="005D00B9">
        <w:t>n fact Peter is prominent in Acts 10, 11 and 12</w:t>
      </w:r>
      <w:r>
        <w:t>;</w:t>
      </w:r>
      <w:r>
        <w:rPr>
          <w:rStyle w:val="EndnoteReference"/>
        </w:rPr>
        <w:endnoteReference w:id="3006"/>
      </w:r>
      <w:r>
        <w:t xml:space="preserve"> </w:t>
      </w:r>
      <w:r w:rsidRPr="005D00B9">
        <w:t>Paul does not become prominent, apart from his conversion,</w:t>
      </w:r>
      <w:r>
        <w:rPr>
          <w:rStyle w:val="EndnoteReference"/>
        </w:rPr>
        <w:endnoteReference w:id="3007"/>
      </w:r>
      <w:r>
        <w:t xml:space="preserve"> </w:t>
      </w:r>
      <w:r w:rsidRPr="005D00B9">
        <w:t xml:space="preserve">until Acts 13.  </w:t>
      </w:r>
      <w:r>
        <w:rPr>
          <w:rStyle w:val="EndnoteReference"/>
        </w:rPr>
        <w:endnoteReference w:id="3008"/>
      </w:r>
    </w:p>
    <w:p w:rsidR="006A2E06" w:rsidRDefault="00810EDA" w:rsidP="00810EDA">
      <w:pPr>
        <w:spacing w:after="120" w:line="360" w:lineRule="auto"/>
        <w:ind w:right="74"/>
        <w:jc w:val="center"/>
      </w:pPr>
      <w:r>
        <w:rPr>
          <w:noProof/>
          <w:lang w:eastAsia="en-GB"/>
        </w:rPr>
        <w:drawing>
          <wp:inline distT="0" distB="0" distL="0" distR="0">
            <wp:extent cx="5400040" cy="57550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s themes as table rev 26.6.18 crop.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00040" cy="5755005"/>
                    </a:xfrm>
                    <a:prstGeom prst="rect">
                      <a:avLst/>
                    </a:prstGeom>
                  </pic:spPr>
                </pic:pic>
              </a:graphicData>
            </a:graphic>
          </wp:inline>
        </w:drawing>
      </w:r>
    </w:p>
    <w:p w:rsidR="006A2E06" w:rsidRDefault="006A2E06" w:rsidP="005722EC">
      <w:pPr>
        <w:spacing w:after="60" w:line="240" w:lineRule="auto"/>
        <w:ind w:right="74"/>
        <w:jc w:val="both"/>
        <w:rPr>
          <w:b/>
          <w:i/>
        </w:rPr>
      </w:pPr>
      <w:r>
        <w:rPr>
          <w:b/>
          <w:i/>
        </w:rPr>
        <w:t>Annotation: Key Points</w:t>
      </w:r>
      <w:r w:rsidRPr="0096742E">
        <w:rPr>
          <w:b/>
          <w:i/>
        </w:rPr>
        <w:t xml:space="preserve">  </w:t>
      </w:r>
    </w:p>
    <w:p w:rsidR="006A2E06" w:rsidRPr="0096742E" w:rsidRDefault="006A2E06" w:rsidP="005722EC">
      <w:pPr>
        <w:spacing w:after="60" w:line="240" w:lineRule="auto"/>
        <w:ind w:left="567" w:right="74"/>
        <w:jc w:val="both"/>
        <w:rPr>
          <w:b/>
          <w:i/>
        </w:rPr>
      </w:pPr>
      <w:r w:rsidRPr="00777577">
        <w:t>Sixteen of the twenty-eight chapters are not annotated.</w:t>
      </w:r>
      <w:r w:rsidRPr="00777577">
        <w:rPr>
          <w:rStyle w:val="EndnoteReference"/>
        </w:rPr>
        <w:endnoteReference w:id="3009"/>
      </w:r>
    </w:p>
    <w:p w:rsidR="006A2E06" w:rsidRDefault="006A2E06" w:rsidP="005722EC">
      <w:pPr>
        <w:spacing w:after="60" w:line="240" w:lineRule="auto"/>
        <w:ind w:left="567"/>
        <w:jc w:val="both"/>
      </w:pPr>
      <w:r>
        <w:t>O</w:t>
      </w:r>
      <w:r w:rsidRPr="00777577">
        <w:t xml:space="preserve">nly chapters 1 and 2 bear notes of any significant length.  </w:t>
      </w:r>
      <w:r>
        <w:t>M</w:t>
      </w:r>
      <w:r w:rsidRPr="00777577">
        <w:t xml:space="preserve">any important references </w:t>
      </w:r>
      <w:r>
        <w:t>in</w:t>
      </w:r>
      <w:r w:rsidRPr="00777577">
        <w:t xml:space="preserve"> notes on Acts 1:11 and 2:4.</w:t>
      </w:r>
    </w:p>
    <w:p w:rsidR="006A2E06" w:rsidRDefault="006A2E06" w:rsidP="005722EC">
      <w:pPr>
        <w:spacing w:after="60" w:line="240" w:lineRule="auto"/>
        <w:ind w:left="567"/>
        <w:jc w:val="both"/>
      </w:pPr>
      <w:r>
        <w:t>References in Acts 1:6 note are to ‘the kingdom of God’ and then to ‘the kingdom’.</w:t>
      </w:r>
    </w:p>
    <w:p w:rsidR="006A2E06" w:rsidRPr="007438CE" w:rsidRDefault="006A2E06" w:rsidP="006A2E06">
      <w:pPr>
        <w:spacing w:after="0" w:line="240" w:lineRule="auto"/>
        <w:ind w:left="567" w:right="74"/>
        <w:jc w:val="both"/>
        <w:rPr>
          <w:i/>
        </w:rPr>
      </w:pPr>
      <w:r>
        <w:rPr>
          <w:i/>
        </w:rPr>
        <w:t>SRB Note on Acts 1:11:</w:t>
      </w:r>
      <w:r>
        <w:rPr>
          <w:rStyle w:val="EndnoteReference"/>
          <w:i/>
        </w:rPr>
        <w:endnoteReference w:id="3010"/>
      </w:r>
      <w:r>
        <w:rPr>
          <w:i/>
        </w:rPr>
        <w:t xml:space="preserve"> Christology, the Kingdom, Eschatology, Dualism</w:t>
      </w:r>
      <w:r w:rsidR="009F6529">
        <w:rPr>
          <w:i/>
        </w:rPr>
        <w:t xml:space="preserve"> </w:t>
      </w:r>
    </w:p>
    <w:p w:rsidR="006A2E06" w:rsidRDefault="006A2E06" w:rsidP="006A2E06">
      <w:pPr>
        <w:spacing w:after="120" w:line="240" w:lineRule="auto"/>
        <w:ind w:left="851" w:right="74"/>
        <w:jc w:val="both"/>
      </w:pPr>
      <w:r>
        <w:t xml:space="preserve">This note is entitled ‘Two Advents Summary’. </w:t>
      </w:r>
    </w:p>
    <w:p w:rsidR="006A2E06" w:rsidRDefault="006A2E06" w:rsidP="006A2E06">
      <w:pPr>
        <w:spacing w:after="120" w:line="240" w:lineRule="auto"/>
        <w:ind w:left="851" w:right="74"/>
        <w:jc w:val="both"/>
      </w:pPr>
      <w:r>
        <w:lastRenderedPageBreak/>
        <w:t>Emphasis on lack of perception of two advents in Old Testament prophecy concerning the Messiah.</w:t>
      </w:r>
    </w:p>
    <w:p w:rsidR="006A2E06" w:rsidRDefault="006A2E06" w:rsidP="006A2E06">
      <w:pPr>
        <w:spacing w:after="120" w:line="240" w:lineRule="auto"/>
        <w:ind w:left="851" w:right="74"/>
        <w:jc w:val="both"/>
      </w:pPr>
      <w:r>
        <w:t>Stress on the announcement and rejection of the kingdom at Christ’s first advent as in the notes on Matthew.</w:t>
      </w:r>
      <w:r>
        <w:rPr>
          <w:rStyle w:val="EndnoteReference"/>
        </w:rPr>
        <w:endnoteReference w:id="3011"/>
      </w:r>
      <w:r>
        <w:t xml:space="preserve">  </w:t>
      </w:r>
    </w:p>
    <w:p w:rsidR="006A2E06" w:rsidRDefault="006A2E06" w:rsidP="006A2E06">
      <w:pPr>
        <w:spacing w:after="120" w:line="240" w:lineRule="auto"/>
        <w:ind w:left="1418" w:right="74"/>
        <w:jc w:val="both"/>
      </w:pPr>
      <w:r w:rsidRPr="00E733A8">
        <w:rPr>
          <w:b/>
          <w:i/>
        </w:rPr>
        <w:t>Comment</w:t>
      </w:r>
      <w:r>
        <w:t>: It is interesting that, in this note, Scofield refers to ‘the kingdom’, as he did in the second phrase of his note on Acts 1:6 rather than ‘the kingdom of God’, as he did in the first phrase in that verse.</w:t>
      </w:r>
      <w:r>
        <w:rPr>
          <w:rStyle w:val="EndnoteReference"/>
        </w:rPr>
        <w:endnoteReference w:id="3012"/>
      </w:r>
      <w:r>
        <w:t xml:space="preserve">  As noted above, Scofield sometimes uses the terms, ‘kingdom of God’ and ‘kingdom’ interchangeably.</w:t>
      </w:r>
      <w:r>
        <w:rPr>
          <w:rStyle w:val="EndnoteReference"/>
        </w:rPr>
        <w:endnoteReference w:id="3013"/>
      </w:r>
    </w:p>
    <w:p w:rsidR="006A2E06" w:rsidRDefault="006A2E06" w:rsidP="006A2E06">
      <w:pPr>
        <w:spacing w:after="120" w:line="240" w:lineRule="auto"/>
        <w:ind w:left="851" w:right="74"/>
        <w:jc w:val="both"/>
      </w:pPr>
      <w:r>
        <w:t>Assertion that Christ ‘uttered predictions concerning the course of events between His departure and return’.</w:t>
      </w:r>
      <w:r>
        <w:rPr>
          <w:rStyle w:val="EndnoteReference"/>
        </w:rPr>
        <w:endnoteReference w:id="3014"/>
      </w:r>
      <w:r>
        <w:t xml:space="preserve"> </w:t>
      </w:r>
    </w:p>
    <w:p w:rsidR="006A2E06" w:rsidRDefault="006A2E06" w:rsidP="006A2E06">
      <w:pPr>
        <w:spacing w:after="120" w:line="240" w:lineRule="auto"/>
        <w:ind w:left="851" w:right="74"/>
        <w:jc w:val="both"/>
      </w:pPr>
      <w:r>
        <w:t>Assertion that Christ’s promised return ‘becomes a prominent theme in the Acts, Epistles, and Revelation’.</w:t>
      </w:r>
      <w:r>
        <w:rPr>
          <w:rStyle w:val="EndnoteReference"/>
        </w:rPr>
        <w:endnoteReference w:id="3015"/>
      </w:r>
    </w:p>
    <w:p w:rsidR="006A2E06" w:rsidRDefault="006A2E06" w:rsidP="006A2E06">
      <w:pPr>
        <w:spacing w:after="120" w:line="240" w:lineRule="auto"/>
        <w:ind w:left="851" w:right="74"/>
        <w:jc w:val="both"/>
      </w:pPr>
      <w:r>
        <w:t>The future predicted for the Church again focuses upon the ‘descent of the Lord into the air’, whereas that for Israel is fulfilment of prophecies concerning national regathering, conversion and implementation of the Davidic Covenant.</w:t>
      </w:r>
    </w:p>
    <w:p w:rsidR="006A2E06" w:rsidRDefault="006A2E06" w:rsidP="006A2E06">
      <w:pPr>
        <w:spacing w:after="120" w:line="240" w:lineRule="auto"/>
        <w:ind w:left="851" w:right="74"/>
        <w:jc w:val="both"/>
      </w:pPr>
      <w:r>
        <w:t>A third element is added: the separate future for the Gentile nations, in which the Gentiles are predicted to have the capacity for conversion and a share in kingdom blessings.</w:t>
      </w:r>
      <w:r>
        <w:rPr>
          <w:rStyle w:val="EndnoteReference"/>
        </w:rPr>
        <w:endnoteReference w:id="3016"/>
      </w:r>
      <w:r>
        <w:t xml:space="preserve">  </w:t>
      </w:r>
    </w:p>
    <w:p w:rsidR="006A2E06" w:rsidRDefault="006A2E06" w:rsidP="006A2E06">
      <w:pPr>
        <w:spacing w:after="0" w:line="240" w:lineRule="auto"/>
        <w:ind w:right="74" w:firstLine="567"/>
        <w:jc w:val="both"/>
        <w:rPr>
          <w:i/>
        </w:rPr>
      </w:pPr>
      <w:r w:rsidRPr="00525DA8">
        <w:rPr>
          <w:i/>
        </w:rPr>
        <w:t>The Holy Spirit</w:t>
      </w:r>
    </w:p>
    <w:p w:rsidR="006A2E06" w:rsidRDefault="006A2E06" w:rsidP="006A2E06">
      <w:pPr>
        <w:spacing w:after="120" w:line="240" w:lineRule="auto"/>
        <w:ind w:left="851" w:right="74"/>
        <w:jc w:val="both"/>
      </w:pPr>
      <w:r>
        <w:t>Discourse on ‘the Holy Spirit, N. T. Summary’, which Scofield indicates as the corollary to his note on Mal. 2:15.</w:t>
      </w:r>
      <w:r>
        <w:rPr>
          <w:rStyle w:val="EndnoteReference"/>
        </w:rPr>
        <w:endnoteReference w:id="3017"/>
      </w:r>
    </w:p>
    <w:p w:rsidR="006A2E06" w:rsidRDefault="006A2E06" w:rsidP="006A2E06">
      <w:pPr>
        <w:spacing w:after="120" w:line="240" w:lineRule="auto"/>
        <w:ind w:left="1418" w:right="74"/>
        <w:jc w:val="both"/>
      </w:pPr>
      <w:r w:rsidRPr="00E733A8">
        <w:rPr>
          <w:b/>
          <w:i/>
        </w:rPr>
        <w:t>Comment</w:t>
      </w:r>
      <w:r>
        <w:t>: As might be expected, the note on Acts 2:4 provides more detail than that on Mal. 2:15 about the activities of the Holy Spirit; it also includes new material concerning sins against the Spirit and symbols of the Spirit.</w:t>
      </w:r>
      <w:r>
        <w:rPr>
          <w:rStyle w:val="EndnoteReference"/>
        </w:rPr>
        <w:endnoteReference w:id="3018"/>
      </w:r>
    </w:p>
    <w:p w:rsidR="006A2E06" w:rsidRPr="0050429A" w:rsidRDefault="006A2E06" w:rsidP="006A2E06">
      <w:pPr>
        <w:spacing w:after="120" w:line="240" w:lineRule="auto"/>
        <w:ind w:left="851" w:right="74"/>
        <w:jc w:val="both"/>
      </w:pPr>
      <w:r w:rsidRPr="0050429A">
        <w:t>Malachi, O</w:t>
      </w:r>
      <w:r w:rsidR="00D044B5">
        <w:t>.</w:t>
      </w:r>
      <w:r w:rsidRPr="0050429A">
        <w:t>T</w:t>
      </w:r>
      <w:r w:rsidR="00D044B5">
        <w:t>.</w:t>
      </w:r>
      <w:r w:rsidRPr="0050429A">
        <w:t xml:space="preserve"> Summary</w:t>
      </w:r>
      <w:r>
        <w:t>,</w:t>
      </w:r>
      <w:r w:rsidRPr="0050429A">
        <w:t xml:space="preserve"> ‘the indwelling of every believer by the abiding Spirit’</w:t>
      </w:r>
      <w:r>
        <w:t xml:space="preserve"> and prediction of the future effusion of the Spirit on Israel and ‘all flesh’, is reflected in</w:t>
      </w:r>
      <w:r w:rsidRPr="0050429A">
        <w:t xml:space="preserve"> Acts N</w:t>
      </w:r>
      <w:r w:rsidR="00D044B5">
        <w:t>.</w:t>
      </w:r>
      <w:r w:rsidRPr="0050429A">
        <w:t>T</w:t>
      </w:r>
      <w:r w:rsidR="00D044B5">
        <w:t>.</w:t>
      </w:r>
      <w:r w:rsidRPr="0050429A">
        <w:t xml:space="preserve"> Summary</w:t>
      </w:r>
      <w:r>
        <w:t>.</w:t>
      </w:r>
      <w:r w:rsidRPr="0050429A">
        <w:t xml:space="preserve">  </w:t>
      </w:r>
      <w:r>
        <w:t>This includes t</w:t>
      </w:r>
      <w:r w:rsidR="00D044B5">
        <w:t>h</w:t>
      </w:r>
      <w:r>
        <w:t xml:space="preserve">e </w:t>
      </w:r>
      <w:r w:rsidRPr="0050429A">
        <w:t xml:space="preserve">progressive impartation of the Spirit by </w:t>
      </w:r>
      <w:r>
        <w:t xml:space="preserve">the </w:t>
      </w:r>
      <w:r w:rsidRPr="0050429A">
        <w:t>laying on of hands when the Gospel was preached to Jews only</w:t>
      </w:r>
      <w:r>
        <w:t xml:space="preserve"> after Pentecost</w:t>
      </w:r>
      <w:r w:rsidRPr="0050429A">
        <w:t>, but given to all believers when ‘the door of the kingdom’ was opened to Gentiles by Peter and ‘the Holy Spirit, without delay, or other condition than faith, was given to those who believed’.</w:t>
      </w:r>
      <w:r w:rsidRPr="0050429A">
        <w:rPr>
          <w:rStyle w:val="EndnoteReference"/>
        </w:rPr>
        <w:endnoteReference w:id="3019"/>
      </w:r>
    </w:p>
    <w:p w:rsidR="006A2E06" w:rsidRDefault="006A2E06" w:rsidP="006A2E06">
      <w:pPr>
        <w:spacing w:after="120" w:line="240" w:lineRule="auto"/>
        <w:ind w:left="851" w:right="74"/>
        <w:jc w:val="both"/>
      </w:pPr>
      <w:r>
        <w:t>This is corroborated in the notes on Acts 10:44 and 15:13.</w:t>
      </w:r>
      <w:r>
        <w:rPr>
          <w:rStyle w:val="EndnoteReference"/>
        </w:rPr>
        <w:endnoteReference w:id="3020"/>
      </w:r>
      <w:r>
        <w:t xml:space="preserve">  </w:t>
      </w:r>
    </w:p>
    <w:p w:rsidR="006A2E06" w:rsidRPr="00864F08" w:rsidRDefault="006A2E06" w:rsidP="006A2E06">
      <w:pPr>
        <w:spacing w:after="0" w:line="240" w:lineRule="auto"/>
        <w:ind w:left="567" w:right="74"/>
        <w:jc w:val="both"/>
        <w:rPr>
          <w:i/>
        </w:rPr>
      </w:pPr>
      <w:r w:rsidRPr="00864F08">
        <w:rPr>
          <w:i/>
        </w:rPr>
        <w:t>Israel</w:t>
      </w:r>
      <w:r>
        <w:rPr>
          <w:i/>
        </w:rPr>
        <w:t xml:space="preserve"> and the Kingdom</w:t>
      </w:r>
    </w:p>
    <w:p w:rsidR="006A2E06" w:rsidRDefault="006A2E06" w:rsidP="006A2E06">
      <w:pPr>
        <w:spacing w:after="120" w:line="240" w:lineRule="auto"/>
        <w:ind w:left="851" w:right="74"/>
        <w:jc w:val="both"/>
      </w:pPr>
      <w:r>
        <w:t>A distinction is made between the ‘last days’ for Israel and for the Church;</w:t>
      </w:r>
      <w:r>
        <w:rPr>
          <w:rStyle w:val="EndnoteReference"/>
        </w:rPr>
        <w:endnoteReference w:id="3021"/>
      </w:r>
      <w:r>
        <w:t xml:space="preserve"> this emphasises again the dichotomy between the futures for the two bodies; any supersession is also denied.</w:t>
      </w:r>
      <w:r>
        <w:rPr>
          <w:rStyle w:val="EndnoteReference"/>
        </w:rPr>
        <w:endnoteReference w:id="3022"/>
      </w:r>
      <w:r>
        <w:t xml:space="preserve">  </w:t>
      </w:r>
    </w:p>
    <w:p w:rsidR="006A2E06" w:rsidRDefault="006A2E06" w:rsidP="006A2E06">
      <w:pPr>
        <w:spacing w:after="120" w:line="240" w:lineRule="auto"/>
        <w:ind w:left="851" w:right="74"/>
        <w:jc w:val="both"/>
      </w:pPr>
      <w:r>
        <w:t>‘National repentance’ by Israel is to lead to ‘national deliverance’ and restoration.</w:t>
      </w:r>
      <w:r>
        <w:rPr>
          <w:rStyle w:val="EndnoteReference"/>
        </w:rPr>
        <w:endnoteReference w:id="3023"/>
      </w:r>
      <w:r>
        <w:t xml:space="preserve"> </w:t>
      </w:r>
    </w:p>
    <w:p w:rsidR="006A2E06" w:rsidRDefault="006A2E06" w:rsidP="006A2E06">
      <w:pPr>
        <w:spacing w:after="120" w:line="240" w:lineRule="auto"/>
        <w:ind w:left="851" w:right="74"/>
        <w:jc w:val="both"/>
      </w:pPr>
      <w:r>
        <w:t>The kingdom age is synonymous with its exaltation and blessing.</w:t>
      </w:r>
      <w:r>
        <w:rPr>
          <w:rStyle w:val="EndnoteReference"/>
        </w:rPr>
        <w:endnoteReference w:id="3024"/>
      </w:r>
      <w:r>
        <w:t xml:space="preserve">  </w:t>
      </w:r>
    </w:p>
    <w:p w:rsidR="006A2E06" w:rsidRDefault="006A2E06" w:rsidP="006A2E06">
      <w:pPr>
        <w:spacing w:after="240" w:line="240" w:lineRule="auto"/>
        <w:ind w:left="851" w:right="74"/>
        <w:jc w:val="both"/>
      </w:pPr>
      <w:r>
        <w:t>Israel is to be regathered under Davidic rule.</w:t>
      </w:r>
      <w:r>
        <w:rPr>
          <w:rStyle w:val="EndnoteReference"/>
        </w:rPr>
        <w:endnoteReference w:id="3025"/>
      </w:r>
      <w:r>
        <w:t xml:space="preserve">  </w:t>
      </w:r>
    </w:p>
    <w:p w:rsidR="006A2E06" w:rsidRPr="0095463C" w:rsidRDefault="006A2E06" w:rsidP="006A2E06">
      <w:pPr>
        <w:spacing w:after="120" w:line="360" w:lineRule="auto"/>
        <w:ind w:right="74"/>
        <w:jc w:val="both"/>
        <w:rPr>
          <w:b/>
          <w:i/>
        </w:rPr>
      </w:pPr>
      <w:r>
        <w:rPr>
          <w:b/>
          <w:i/>
        </w:rPr>
        <w:t>Israel and the Kingdom: General</w:t>
      </w:r>
      <w:r w:rsidRPr="0095463C">
        <w:rPr>
          <w:b/>
          <w:i/>
        </w:rPr>
        <w:t xml:space="preserve"> Comment</w:t>
      </w:r>
      <w:r>
        <w:rPr>
          <w:b/>
          <w:i/>
        </w:rPr>
        <w:t xml:space="preserve">: </w:t>
      </w:r>
    </w:p>
    <w:p w:rsidR="006A2E06" w:rsidRPr="00F52A5E" w:rsidRDefault="006A2E06" w:rsidP="006A2E06">
      <w:pPr>
        <w:spacing w:after="120" w:line="360" w:lineRule="auto"/>
        <w:ind w:right="74"/>
        <w:jc w:val="both"/>
        <w:rPr>
          <w:lang w:val="en-US"/>
        </w:rPr>
      </w:pPr>
      <w:r>
        <w:t>In his notes on Acts, Scofield makes three uncomfortable and probably inaccurate claims about the Jews, and Peter and Paul’s statements concerning them.  In his note on Acts 2:14, concerning ‘Peter’s sermon’, he states that the Jews ‘had rejected [Christ’s] Messianic claims, and crucified Him’.</w:t>
      </w:r>
      <w:r>
        <w:rPr>
          <w:rStyle w:val="EndnoteReference"/>
        </w:rPr>
        <w:endnoteReference w:id="3026"/>
      </w:r>
      <w:r>
        <w:t xml:space="preserve">  No direct reference is given here but, in his note on Acts 9:20, he references Acts 2:25-30 as evidence that ‘Peter’s charge was that the Jews had crucified the Son of David’.</w:t>
      </w:r>
      <w:r>
        <w:rPr>
          <w:rStyle w:val="EndnoteReference"/>
        </w:rPr>
        <w:endnoteReference w:id="3027"/>
      </w:r>
      <w:r>
        <w:t xml:space="preserve">  The verse in question is probably Acts 2:23, </w:t>
      </w:r>
      <w:r>
        <w:lastRenderedPageBreak/>
        <w:t xml:space="preserve">which reads in </w:t>
      </w:r>
      <w:r w:rsidRPr="00F52A5E">
        <w:rPr>
          <w:i/>
        </w:rPr>
        <w:t>KJV</w:t>
      </w:r>
      <w:r>
        <w:t xml:space="preserve">, ‘Him [Jesus of Nazareth] being delivered by the determinate counsel and foreknowledge of God, ye had taken, and by wicked hands have crucified and slain’.  However, the phrase translated ‘by wicked hands’ in </w:t>
      </w:r>
      <w:r w:rsidRPr="00F52A5E">
        <w:rPr>
          <w:i/>
        </w:rPr>
        <w:t>KJV</w:t>
      </w:r>
      <w:r>
        <w:t xml:space="preserve"> is </w:t>
      </w:r>
      <w:r>
        <w:rPr>
          <w:lang w:val="en-US"/>
        </w:rPr>
        <w:t>‘</w:t>
      </w:r>
      <w:r w:rsidRPr="00F52A5E">
        <w:rPr>
          <w:rFonts w:ascii="Times New Roman" w:hAnsi="Times New Roman"/>
          <w:lang w:val="el-GR" w:bidi="he-IL"/>
        </w:rPr>
        <w:t>διὰ</w:t>
      </w:r>
      <w:r w:rsidRPr="00F52A5E">
        <w:rPr>
          <w:rFonts w:ascii="Bwgrkl" w:hAnsi="Bwgrkl" w:cs="SBL Greek"/>
          <w:lang w:val="el-GR" w:bidi="he-IL"/>
        </w:rPr>
        <w:t xml:space="preserve"> </w:t>
      </w:r>
      <w:r w:rsidRPr="00F52A5E">
        <w:rPr>
          <w:rFonts w:ascii="Times New Roman" w:hAnsi="Times New Roman"/>
          <w:lang w:val="el-GR" w:bidi="he-IL"/>
        </w:rPr>
        <w:t>χειρῶν</w:t>
      </w:r>
      <w:r w:rsidRPr="00F52A5E">
        <w:rPr>
          <w:rFonts w:ascii="Bwgrkl" w:hAnsi="Bwgrkl" w:cs="SBL Greek"/>
          <w:lang w:val="el-GR" w:bidi="he-IL"/>
        </w:rPr>
        <w:t xml:space="preserve"> </w:t>
      </w:r>
      <w:r w:rsidRPr="00F52A5E">
        <w:rPr>
          <w:rFonts w:ascii="Times New Roman" w:hAnsi="Times New Roman"/>
          <w:lang w:val="el-GR" w:bidi="he-IL"/>
        </w:rPr>
        <w:t>ἀνόμων</w:t>
      </w:r>
      <w:r>
        <w:rPr>
          <w:lang w:val="en-US"/>
        </w:rPr>
        <w:t>’, ‘</w:t>
      </w:r>
      <w:r w:rsidRPr="00F52A5E">
        <w:rPr>
          <w:rFonts w:ascii="Times New Roman" w:hAnsi="Times New Roman"/>
          <w:lang w:val="el-GR" w:bidi="he-IL"/>
        </w:rPr>
        <w:t>ἀνόμων</w:t>
      </w:r>
      <w:r>
        <w:rPr>
          <w:lang w:val="en-US"/>
        </w:rPr>
        <w:t>’ meaning ‘lawless’ or ‘without the law’; this implies the agency of non-Jews.  In the note on Acts 9:20, Scofield also states that ‘Paul … charges them [unspecified] with crucifying “the Lord of glory”’.</w:t>
      </w:r>
      <w:r>
        <w:rPr>
          <w:rStyle w:val="EndnoteReference"/>
        </w:rPr>
        <w:endnoteReference w:id="3028"/>
      </w:r>
      <w:r>
        <w:rPr>
          <w:lang w:val="en-US"/>
        </w:rPr>
        <w:t xml:space="preserve">  Scofield here refers to 1 Cor. 2:8, where the subject is not the Jews but ‘the princes of this world’,</w:t>
      </w:r>
      <w:r>
        <w:rPr>
          <w:rStyle w:val="EndnoteReference"/>
          <w:lang w:val="en-US"/>
        </w:rPr>
        <w:endnoteReference w:id="3029"/>
      </w:r>
      <w:r>
        <w:rPr>
          <w:lang w:val="en-US"/>
        </w:rPr>
        <w:t xml:space="preserve">  (</w:t>
      </w:r>
      <w:r w:rsidRPr="001E4896">
        <w:rPr>
          <w:rFonts w:ascii="Times New Roman" w:hAnsi="Times New Roman"/>
          <w:lang w:val="el-GR" w:bidi="he-IL"/>
        </w:rPr>
        <w:t>οὐδεὶς</w:t>
      </w:r>
      <w:r w:rsidRPr="001E4896">
        <w:rPr>
          <w:rFonts w:ascii="Bwgrkl" w:hAnsi="Bwgrkl" w:cs="SBL Greek"/>
          <w:lang w:val="el-GR" w:bidi="he-IL"/>
        </w:rPr>
        <w:t xml:space="preserve"> </w:t>
      </w:r>
      <w:r w:rsidRPr="001E4896">
        <w:rPr>
          <w:rFonts w:ascii="Times New Roman" w:hAnsi="Times New Roman"/>
          <w:lang w:val="el-GR" w:bidi="he-IL"/>
        </w:rPr>
        <w:t>τῶν</w:t>
      </w:r>
      <w:r w:rsidRPr="001E4896">
        <w:rPr>
          <w:rFonts w:ascii="Bwgrkl" w:hAnsi="Bwgrkl" w:cs="SBL Greek"/>
          <w:lang w:val="el-GR" w:bidi="he-IL"/>
        </w:rPr>
        <w:t xml:space="preserve"> </w:t>
      </w:r>
      <w:r w:rsidRPr="001E4896">
        <w:rPr>
          <w:rFonts w:ascii="Times New Roman" w:hAnsi="Times New Roman"/>
          <w:lang w:val="el-GR" w:bidi="he-IL"/>
        </w:rPr>
        <w:t>ἀρχόντων</w:t>
      </w:r>
      <w:r w:rsidRPr="001E4896">
        <w:rPr>
          <w:rFonts w:ascii="Bwgrkl" w:hAnsi="Bwgrkl" w:cs="SBL Greek"/>
          <w:lang w:val="el-GR" w:bidi="he-IL"/>
        </w:rPr>
        <w:t xml:space="preserve"> </w:t>
      </w:r>
      <w:r w:rsidRPr="001E4896">
        <w:rPr>
          <w:rFonts w:ascii="Times New Roman" w:hAnsi="Times New Roman"/>
          <w:lang w:val="el-GR" w:bidi="he-IL"/>
        </w:rPr>
        <w:t>τοῦ</w:t>
      </w:r>
      <w:r w:rsidRPr="001E4896">
        <w:rPr>
          <w:rFonts w:ascii="Bwgrkl" w:hAnsi="Bwgrkl" w:cs="SBL Greek"/>
          <w:lang w:val="el-GR" w:bidi="he-IL"/>
        </w:rPr>
        <w:t xml:space="preserve"> </w:t>
      </w:r>
      <w:r w:rsidRPr="001E4896">
        <w:rPr>
          <w:rFonts w:ascii="Times New Roman" w:hAnsi="Times New Roman"/>
          <w:lang w:val="el-GR" w:bidi="he-IL"/>
        </w:rPr>
        <w:t>αἰῶνος</w:t>
      </w:r>
      <w:r>
        <w:rPr>
          <w:lang w:val="en-US"/>
        </w:rPr>
        <w:t>); also ‘</w:t>
      </w:r>
      <w:r w:rsidRPr="001E4896">
        <w:rPr>
          <w:rFonts w:ascii="Times New Roman" w:hAnsi="Times New Roman"/>
          <w:lang w:val="el-GR" w:bidi="he-IL"/>
        </w:rPr>
        <w:t>τοῦ</w:t>
      </w:r>
      <w:r w:rsidRPr="001E4896">
        <w:rPr>
          <w:rFonts w:ascii="Bwgrkl" w:hAnsi="Bwgrkl" w:cs="SBL Greek"/>
          <w:lang w:val="el-GR" w:bidi="he-IL"/>
        </w:rPr>
        <w:t xml:space="preserve"> </w:t>
      </w:r>
      <w:r w:rsidRPr="001E4896">
        <w:rPr>
          <w:rFonts w:ascii="Times New Roman" w:hAnsi="Times New Roman"/>
          <w:lang w:val="el-GR" w:bidi="he-IL"/>
        </w:rPr>
        <w:t>αἰῶνος</w:t>
      </w:r>
      <w:r>
        <w:rPr>
          <w:lang w:val="en-US"/>
        </w:rPr>
        <w:t xml:space="preserve">’ signifies ‘age’, rather than ‘world’.  </w:t>
      </w:r>
    </w:p>
    <w:p w:rsidR="006A2E06" w:rsidRPr="000A44FF" w:rsidRDefault="006A2E06" w:rsidP="006A2E06">
      <w:pPr>
        <w:spacing w:after="0" w:line="240" w:lineRule="auto"/>
        <w:ind w:left="567" w:right="74"/>
        <w:jc w:val="both"/>
        <w:rPr>
          <w:i/>
        </w:rPr>
      </w:pPr>
      <w:r w:rsidRPr="000A44FF">
        <w:rPr>
          <w:i/>
        </w:rPr>
        <w:t>Dispensations</w:t>
      </w:r>
    </w:p>
    <w:p w:rsidR="006A2E06" w:rsidRDefault="006A2E06" w:rsidP="006A2E06">
      <w:pPr>
        <w:spacing w:after="120" w:line="240" w:lineRule="auto"/>
        <w:ind w:left="851" w:right="74"/>
        <w:jc w:val="both"/>
      </w:pPr>
      <w:r>
        <w:t>The coming of the Holy S</w:t>
      </w:r>
      <w:r w:rsidRPr="00E77C5D">
        <w:t>pirit upon all who hear Peter’s message</w:t>
      </w:r>
      <w:r>
        <w:t xml:space="preserve"> is regarded </w:t>
      </w:r>
      <w:r w:rsidRPr="00E77C5D">
        <w:t>as ‘one of the pivotal points of scripture’</w:t>
      </w:r>
      <w:r>
        <w:t>; the bestowal of the Holy Spirit upon all with ‘simple faith in Jesus Christ’ is ‘the normal order for this age’.</w:t>
      </w:r>
      <w:r w:rsidRPr="00E77C5D">
        <w:rPr>
          <w:rStyle w:val="EndnoteReference"/>
        </w:rPr>
        <w:endnoteReference w:id="3030"/>
      </w:r>
      <w:r w:rsidRPr="00E77C5D">
        <w:t xml:space="preserve">  </w:t>
      </w:r>
    </w:p>
    <w:p w:rsidR="006A2E06" w:rsidRDefault="006A2E06" w:rsidP="006A2E06">
      <w:pPr>
        <w:spacing w:after="120" w:line="240" w:lineRule="auto"/>
        <w:ind w:left="851" w:right="74"/>
        <w:jc w:val="both"/>
      </w:pPr>
      <w:r w:rsidRPr="00E77C5D">
        <w:t xml:space="preserve">Peter’s account of the coming of the Holy Spirit upon the Gentiles </w:t>
      </w:r>
      <w:r>
        <w:t xml:space="preserve">is viewed </w:t>
      </w:r>
      <w:r w:rsidRPr="00E77C5D">
        <w:t>as ‘dispensationally the most important passage in the New Testament’</w:t>
      </w:r>
      <w:r>
        <w:t>; it reveals ‘the divine purpose for this age, and for the beginning of the next’.</w:t>
      </w:r>
      <w:r w:rsidRPr="00E77C5D">
        <w:rPr>
          <w:rStyle w:val="EndnoteReference"/>
        </w:rPr>
        <w:endnoteReference w:id="3031"/>
      </w:r>
    </w:p>
    <w:p w:rsidR="006A2E06" w:rsidRDefault="006A2E06" w:rsidP="006A2E06">
      <w:pPr>
        <w:spacing w:after="0" w:line="240" w:lineRule="auto"/>
        <w:ind w:left="1418" w:right="74"/>
        <w:jc w:val="both"/>
      </w:pPr>
      <w:r w:rsidRPr="00E733A8">
        <w:rPr>
          <w:b/>
          <w:i/>
        </w:rPr>
        <w:t>Comment</w:t>
      </w:r>
      <w:r>
        <w:t>: Scofield</w:t>
      </w:r>
      <w:r w:rsidRPr="00E77C5D">
        <w:t xml:space="preserve"> makes no comment on the narrative of the actual incident in </w:t>
      </w:r>
    </w:p>
    <w:p w:rsidR="006A2E06" w:rsidRDefault="006A2E06" w:rsidP="006A2E06">
      <w:pPr>
        <w:spacing w:after="120" w:line="240" w:lineRule="auto"/>
        <w:ind w:left="1418" w:right="74"/>
        <w:jc w:val="both"/>
      </w:pPr>
      <w:r w:rsidRPr="00E77C5D">
        <w:t>Acts 10</w:t>
      </w:r>
      <w:r>
        <w:t>.</w:t>
      </w:r>
    </w:p>
    <w:p w:rsidR="006A2E06" w:rsidRDefault="006A2E06" w:rsidP="006A2E06">
      <w:pPr>
        <w:spacing w:after="120" w:line="360" w:lineRule="auto"/>
        <w:ind w:right="74"/>
        <w:jc w:val="both"/>
        <w:rPr>
          <w:b/>
          <w:i/>
        </w:rPr>
      </w:pPr>
      <w:r w:rsidRPr="007B2C60">
        <w:rPr>
          <w:b/>
          <w:i/>
        </w:rPr>
        <w:t xml:space="preserve">Omissions </w:t>
      </w:r>
    </w:p>
    <w:p w:rsidR="006A2E06" w:rsidRPr="007B2C60" w:rsidRDefault="006A2E06" w:rsidP="006A2E06">
      <w:pPr>
        <w:spacing w:after="120" w:line="240" w:lineRule="auto"/>
        <w:ind w:left="567" w:right="74"/>
        <w:jc w:val="both"/>
        <w:rPr>
          <w:b/>
          <w:i/>
        </w:rPr>
      </w:pPr>
      <w:r>
        <w:t>T</w:t>
      </w:r>
      <w:r w:rsidRPr="00E77C5D">
        <w:t>he narrative which underpins the book of Acts</w:t>
      </w:r>
      <w:r w:rsidR="00D044B5">
        <w:t xml:space="preserve"> goes without comment</w:t>
      </w:r>
      <w:r>
        <w:t>; however Scofield</w:t>
      </w:r>
      <w:r w:rsidRPr="00E77C5D">
        <w:t xml:space="preserve"> split</w:t>
      </w:r>
      <w:r>
        <w:t>s</w:t>
      </w:r>
      <w:r w:rsidRPr="00E77C5D">
        <w:t xml:space="preserve"> the text with many subheads which indicate content.</w:t>
      </w:r>
    </w:p>
    <w:p w:rsidR="006A2E06" w:rsidRDefault="006A2E06" w:rsidP="006A2E06">
      <w:pPr>
        <w:spacing w:after="120" w:line="240" w:lineRule="auto"/>
        <w:ind w:left="567" w:right="74"/>
        <w:jc w:val="both"/>
      </w:pPr>
      <w:r>
        <w:t xml:space="preserve">Most biographical material concerning Paul, including any </w:t>
      </w:r>
      <w:r w:rsidRPr="00802973">
        <w:t>direct comment on Paul’s appearance at the stoning of Stephen</w:t>
      </w:r>
      <w:r>
        <w:t>,</w:t>
      </w:r>
      <w:r>
        <w:rPr>
          <w:rStyle w:val="EndnoteReference"/>
        </w:rPr>
        <w:endnoteReference w:id="3032"/>
      </w:r>
      <w:r w:rsidRPr="00802973">
        <w:t xml:space="preserve"> his conversion and his accounts of it</w:t>
      </w:r>
      <w:r>
        <w:t>;</w:t>
      </w:r>
      <w:r>
        <w:rPr>
          <w:rStyle w:val="EndnoteReference"/>
        </w:rPr>
        <w:endnoteReference w:id="3033"/>
      </w:r>
      <w:r>
        <w:t xml:space="preserve"> his </w:t>
      </w:r>
      <w:r w:rsidRPr="00802973">
        <w:t>escape from Damascus and journey to Jerusalem and Tarsus</w:t>
      </w:r>
      <w:r>
        <w:rPr>
          <w:rStyle w:val="EndnoteReference"/>
        </w:rPr>
        <w:endnoteReference w:id="3034"/>
      </w:r>
      <w:r w:rsidRPr="00802973">
        <w:t xml:space="preserve"> and of his missionary journeys</w:t>
      </w:r>
      <w:r>
        <w:t>,</w:t>
      </w:r>
      <w:r>
        <w:rPr>
          <w:rStyle w:val="EndnoteReference"/>
        </w:rPr>
        <w:endnoteReference w:id="3035"/>
      </w:r>
      <w:r>
        <w:t xml:space="preserve"> </w:t>
      </w:r>
      <w:r w:rsidRPr="00802973">
        <w:t>and the final record of his preaching in Rome</w:t>
      </w:r>
      <w:r>
        <w:t>.</w:t>
      </w:r>
      <w:r>
        <w:rPr>
          <w:rStyle w:val="EndnoteReference"/>
        </w:rPr>
        <w:endnoteReference w:id="3036"/>
      </w:r>
    </w:p>
    <w:p w:rsidR="006A2E06" w:rsidRDefault="006A2E06" w:rsidP="006A2E06">
      <w:pPr>
        <w:spacing w:after="120" w:line="240" w:lineRule="auto"/>
        <w:ind w:left="1418" w:right="74"/>
        <w:jc w:val="both"/>
      </w:pPr>
      <w:r w:rsidRPr="00E733A8">
        <w:rPr>
          <w:b/>
          <w:i/>
        </w:rPr>
        <w:t>Comment</w:t>
      </w:r>
      <w:r>
        <w:t xml:space="preserve">: </w:t>
      </w:r>
      <w:r w:rsidRPr="00802973">
        <w:t>Much of this narrative falls within chapters not annotated by Scofield.</w:t>
      </w:r>
    </w:p>
    <w:p w:rsidR="006A2E06" w:rsidRDefault="006A2E06" w:rsidP="006A2E06">
      <w:pPr>
        <w:spacing w:after="120" w:line="240" w:lineRule="auto"/>
        <w:ind w:left="567" w:right="74"/>
        <w:jc w:val="both"/>
      </w:pPr>
      <w:r>
        <w:t>Narratives concerning Peter.</w:t>
      </w:r>
      <w:r w:rsidRPr="00E77C5D">
        <w:rPr>
          <w:rStyle w:val="EndnoteReference"/>
        </w:rPr>
        <w:endnoteReference w:id="3037"/>
      </w:r>
    </w:p>
    <w:p w:rsidR="006A2E06" w:rsidRDefault="006A2E06" w:rsidP="006A2E06">
      <w:pPr>
        <w:spacing w:after="120" w:line="240" w:lineRule="auto"/>
        <w:ind w:left="567" w:right="74"/>
        <w:jc w:val="both"/>
      </w:pPr>
      <w:r>
        <w:t>The w</w:t>
      </w:r>
      <w:r w:rsidRPr="00E77C5D">
        <w:t>itness of Stephen</w:t>
      </w:r>
      <w:r>
        <w:t>, apart from a brief central column note on Acts 7:54.</w:t>
      </w:r>
      <w:r>
        <w:rPr>
          <w:rStyle w:val="EndnoteReference"/>
        </w:rPr>
        <w:endnoteReference w:id="3038"/>
      </w:r>
    </w:p>
    <w:p w:rsidR="006A2E06" w:rsidRDefault="006A2E06" w:rsidP="006A2E06">
      <w:pPr>
        <w:spacing w:after="120" w:line="240" w:lineRule="auto"/>
        <w:ind w:left="567" w:right="74"/>
        <w:jc w:val="both"/>
      </w:pPr>
      <w:r>
        <w:t xml:space="preserve">Philip’s </w:t>
      </w:r>
      <w:r w:rsidRPr="00E77C5D">
        <w:t>activities in Samaria and his meeting with the Ethiopian eunuch.</w:t>
      </w:r>
      <w:r w:rsidRPr="00E77C5D">
        <w:rPr>
          <w:rStyle w:val="EndnoteReference"/>
        </w:rPr>
        <w:endnoteReference w:id="3039"/>
      </w:r>
    </w:p>
    <w:p w:rsidR="006A2E06" w:rsidRDefault="006A2E06" w:rsidP="006A2E06">
      <w:pPr>
        <w:spacing w:after="120" w:line="240" w:lineRule="auto"/>
        <w:ind w:left="567" w:right="74"/>
        <w:jc w:val="both"/>
      </w:pPr>
      <w:r>
        <w:t xml:space="preserve">Passages concerning the life of the Church, </w:t>
      </w:r>
      <w:r w:rsidRPr="00E77C5D">
        <w:t>such as the accounts of the fate of Judas and choice of Matthias to replace him,</w:t>
      </w:r>
      <w:r w:rsidRPr="00E77C5D">
        <w:rPr>
          <w:rStyle w:val="EndnoteReference"/>
        </w:rPr>
        <w:endnoteReference w:id="3040"/>
      </w:r>
      <w:r w:rsidRPr="00E77C5D">
        <w:t xml:space="preserve"> the record of the fellowship, common ownership and worship of the believers,</w:t>
      </w:r>
      <w:r w:rsidRPr="00E77C5D">
        <w:rPr>
          <w:rStyle w:val="EndnoteReference"/>
        </w:rPr>
        <w:endnoteReference w:id="3041"/>
      </w:r>
      <w:r w:rsidRPr="00E77C5D">
        <w:t xml:space="preserve"> the appointment of deacons </w:t>
      </w:r>
      <w:r w:rsidRPr="00E77C5D">
        <w:rPr>
          <w:rStyle w:val="EndnoteReference"/>
        </w:rPr>
        <w:endnoteReference w:id="3042"/>
      </w:r>
      <w:r w:rsidRPr="00E77C5D">
        <w:t xml:space="preserve"> and the collection at Antioch for the Judean believers.</w:t>
      </w:r>
      <w:r w:rsidRPr="00E77C5D">
        <w:rPr>
          <w:rStyle w:val="EndnoteReference"/>
        </w:rPr>
        <w:endnoteReference w:id="3043"/>
      </w:r>
    </w:p>
    <w:p w:rsidR="006A2E06" w:rsidRPr="007B2C60" w:rsidRDefault="006A2E06" w:rsidP="006A2E06">
      <w:pPr>
        <w:spacing w:after="240" w:line="240" w:lineRule="auto"/>
        <w:ind w:left="567" w:right="74"/>
        <w:jc w:val="both"/>
      </w:pPr>
      <w:r>
        <w:t>Miracles performed by the apostles.</w:t>
      </w:r>
      <w:r w:rsidRPr="00E23765">
        <w:rPr>
          <w:rStyle w:val="EndnoteReference"/>
        </w:rPr>
        <w:t xml:space="preserve"> </w:t>
      </w:r>
      <w:r w:rsidRPr="00E77C5D">
        <w:rPr>
          <w:rStyle w:val="EndnoteReference"/>
        </w:rPr>
        <w:endnoteReference w:id="3044"/>
      </w:r>
    </w:p>
    <w:p w:rsidR="006A2E06" w:rsidRPr="00E23765" w:rsidRDefault="006A2E06" w:rsidP="006A2E06">
      <w:pPr>
        <w:spacing w:after="120" w:line="360" w:lineRule="auto"/>
        <w:ind w:right="74"/>
        <w:jc w:val="both"/>
        <w:rPr>
          <w:b/>
          <w:i/>
        </w:rPr>
      </w:pPr>
      <w:r w:rsidRPr="00E733A8">
        <w:rPr>
          <w:b/>
          <w:i/>
        </w:rPr>
        <w:t>Omissions: General</w:t>
      </w:r>
      <w:r>
        <w:t xml:space="preserve"> </w:t>
      </w:r>
      <w:r w:rsidRPr="00E23765">
        <w:rPr>
          <w:b/>
          <w:i/>
        </w:rPr>
        <w:t>Comment</w:t>
      </w:r>
      <w:r>
        <w:rPr>
          <w:b/>
          <w:i/>
        </w:rPr>
        <w:t>:</w:t>
      </w:r>
    </w:p>
    <w:p w:rsidR="006A2E06" w:rsidRDefault="006A2E06" w:rsidP="006A2E06">
      <w:pPr>
        <w:spacing w:after="120" w:line="360" w:lineRule="auto"/>
        <w:ind w:right="74"/>
        <w:jc w:val="both"/>
      </w:pPr>
      <w:r w:rsidRPr="00E77C5D">
        <w:t xml:space="preserve">Again, patterns of Christian behaviour are not emphasised.  Scofield </w:t>
      </w:r>
      <w:r>
        <w:t>appears uninterested</w:t>
      </w:r>
      <w:r w:rsidRPr="00E77C5D">
        <w:t xml:space="preserve"> in the growth of the Church</w:t>
      </w:r>
      <w:r>
        <w:t>.</w:t>
      </w:r>
      <w:r w:rsidRPr="00E77C5D">
        <w:rPr>
          <w:rStyle w:val="EndnoteReference"/>
        </w:rPr>
        <w:endnoteReference w:id="3045"/>
      </w:r>
      <w:r w:rsidRPr="00E77C5D">
        <w:t xml:space="preserve">  Strangely, </w:t>
      </w:r>
      <w:r>
        <w:t>he</w:t>
      </w:r>
      <w:r w:rsidRPr="00E77C5D">
        <w:t xml:space="preserve"> misses many opportunities to comment upon Old Testament quotations by various speakers,</w:t>
      </w:r>
      <w:r>
        <w:t xml:space="preserve"> including a reference to David in Acts 2:25.</w:t>
      </w:r>
      <w:r w:rsidRPr="00E77C5D">
        <w:t xml:space="preserve">  The omissions include a specific statement that all the prophets from Samuel onwards have foretold these days.</w:t>
      </w:r>
      <w:r w:rsidRPr="00E77C5D">
        <w:rPr>
          <w:rStyle w:val="EndnoteReference"/>
        </w:rPr>
        <w:endnoteReference w:id="3046"/>
      </w:r>
      <w:r w:rsidRPr="00E77C5D">
        <w:t xml:space="preserve">  </w:t>
      </w:r>
    </w:p>
    <w:p w:rsidR="00DF5751" w:rsidRDefault="00DF5751" w:rsidP="006A2E06">
      <w:pPr>
        <w:spacing w:after="120" w:line="360" w:lineRule="auto"/>
        <w:ind w:right="74"/>
        <w:jc w:val="both"/>
      </w:pPr>
    </w:p>
    <w:p w:rsidR="00DF5751" w:rsidRDefault="00DF5751" w:rsidP="006A2E06">
      <w:pPr>
        <w:spacing w:after="120" w:line="360" w:lineRule="auto"/>
        <w:ind w:right="74"/>
        <w:jc w:val="both"/>
      </w:pPr>
    </w:p>
    <w:p w:rsidR="006A2E06" w:rsidRPr="00136D5B" w:rsidRDefault="006A2E06" w:rsidP="006A2E06">
      <w:pPr>
        <w:spacing w:after="120" w:line="360" w:lineRule="auto"/>
        <w:ind w:right="74"/>
        <w:jc w:val="both"/>
      </w:pPr>
      <w:r>
        <w:rPr>
          <w:b/>
        </w:rPr>
        <w:lastRenderedPageBreak/>
        <w:t>8</w:t>
      </w:r>
      <w:r w:rsidRPr="00E67951">
        <w:rPr>
          <w:b/>
        </w:rPr>
        <w:t>.</w:t>
      </w:r>
      <w:r>
        <w:rPr>
          <w:b/>
        </w:rPr>
        <w:t>6</w:t>
      </w:r>
      <w:r w:rsidRPr="00E67951">
        <w:rPr>
          <w:b/>
        </w:rPr>
        <w:t xml:space="preserve">.6  Conclusion: </w:t>
      </w:r>
      <w:r w:rsidR="00756EB6">
        <w:rPr>
          <w:b/>
        </w:rPr>
        <w:t xml:space="preserve">Notes on </w:t>
      </w:r>
      <w:r w:rsidRPr="00E67951">
        <w:rPr>
          <w:b/>
        </w:rPr>
        <w:t xml:space="preserve">the </w:t>
      </w:r>
      <w:r w:rsidRPr="00136D5B">
        <w:rPr>
          <w:b/>
        </w:rPr>
        <w:t>Gospels and</w:t>
      </w:r>
      <w:r w:rsidRPr="00E67951">
        <w:rPr>
          <w:b/>
        </w:rPr>
        <w:t xml:space="preserve"> Acts</w:t>
      </w:r>
    </w:p>
    <w:p w:rsidR="006A2E06" w:rsidRPr="00E77C5D" w:rsidRDefault="006A2E06" w:rsidP="006A2E06">
      <w:pPr>
        <w:spacing w:after="120" w:line="360" w:lineRule="auto"/>
        <w:jc w:val="both"/>
      </w:pPr>
      <w:r w:rsidRPr="00136D5B">
        <w:t xml:space="preserve">As already noted, Matthew’s </w:t>
      </w:r>
      <w:r>
        <w:t>G</w:t>
      </w:r>
      <w:r w:rsidRPr="00136D5B">
        <w:t xml:space="preserve">ospel bears the greatest volume of </w:t>
      </w:r>
      <w:r w:rsidRPr="00136D5B">
        <w:rPr>
          <w:i/>
        </w:rPr>
        <w:t>SRB</w:t>
      </w:r>
      <w:r w:rsidRPr="00136D5B">
        <w:t xml:space="preserve"> annotation of any biblical book; </w:t>
      </w:r>
      <w:r w:rsidRPr="00136D5B">
        <w:rPr>
          <w:i/>
        </w:rPr>
        <w:t>SRB</w:t>
      </w:r>
      <w:r>
        <w:t>’s</w:t>
      </w:r>
      <w:r w:rsidRPr="00136D5B">
        <w:t xml:space="preserve"> concentration on the kingdom and eschatological material </w:t>
      </w:r>
      <w:r>
        <w:t>in annotation of Matthew</w:t>
      </w:r>
      <w:r w:rsidRPr="00136D5B">
        <w:t xml:space="preserve"> also act</w:t>
      </w:r>
      <w:r>
        <w:t>s</w:t>
      </w:r>
      <w:r w:rsidRPr="00136D5B">
        <w:t xml:space="preserve"> as a bridge between Old </w:t>
      </w:r>
      <w:r>
        <w:t xml:space="preserve">and New </w:t>
      </w:r>
      <w:r w:rsidRPr="00136D5B">
        <w:t xml:space="preserve">Testament </w:t>
      </w:r>
      <w:r>
        <w:t xml:space="preserve">eschatological </w:t>
      </w:r>
      <w:r w:rsidRPr="00136D5B">
        <w:t>themes</w:t>
      </w:r>
      <w:r>
        <w:t>.</w:t>
      </w:r>
      <w:r w:rsidRPr="00136D5B">
        <w:t xml:space="preserve">  </w:t>
      </w:r>
      <w:r>
        <w:t>Scofield’s most important theme in his</w:t>
      </w:r>
      <w:r w:rsidRPr="00E77C5D">
        <w:t xml:space="preserve"> notes on Matthew </w:t>
      </w:r>
      <w:r>
        <w:t>is</w:t>
      </w:r>
      <w:r w:rsidRPr="00E77C5D">
        <w:t xml:space="preserve"> the kingdom of heaven, which is one of his most </w:t>
      </w:r>
      <w:r>
        <w:t>significant</w:t>
      </w:r>
      <w:r w:rsidRPr="00E77C5D">
        <w:t xml:space="preserve"> eschatological concepts and appears in his notes on many parts of the Bible.  Since the term is unique to Matthew, it is natural that Scofield should concentrate upon it here.  The concept of different roles and futures for Israel and the Church is also an important theme, as is Scofield’s eschatology.  Scofield’s attempts to harmonise the </w:t>
      </w:r>
      <w:r>
        <w:t>G</w:t>
      </w:r>
      <w:r w:rsidRPr="00E77C5D">
        <w:t>ospels are also based on Matthew</w:t>
      </w:r>
      <w:r>
        <w:t xml:space="preserve"> with the result that</w:t>
      </w:r>
      <w:r w:rsidRPr="00E77C5D">
        <w:t xml:space="preserve"> notes on parallel passages in the other synoptic </w:t>
      </w:r>
      <w:r>
        <w:t>G</w:t>
      </w:r>
      <w:r w:rsidRPr="00E77C5D">
        <w:t xml:space="preserve">ospels </w:t>
      </w:r>
      <w:r w:rsidR="00DE1A7C">
        <w:t xml:space="preserve">often </w:t>
      </w:r>
      <w:r w:rsidRPr="00E77C5D">
        <w:t xml:space="preserve">merely refer to Matthew.  </w:t>
      </w:r>
      <w:r>
        <w:t xml:space="preserve">Mark’s Gospel is almost entirely neglected.  </w:t>
      </w:r>
      <w:r w:rsidRPr="00E77C5D">
        <w:t>Scofield shows little interest in Jesus’ life-story and miracles</w:t>
      </w:r>
      <w:r>
        <w:t xml:space="preserve"> in any of the Gospels.  He also ignores much of Christ’s teaching.  </w:t>
      </w:r>
      <w:r w:rsidRPr="00E77C5D">
        <w:t xml:space="preserve">Where </w:t>
      </w:r>
      <w:r>
        <w:t>he</w:t>
      </w:r>
      <w:r w:rsidRPr="00E77C5D">
        <w:t xml:space="preserve"> deals with parables, he concentrates on those where it is possible to elicit an eschatological meaning, ignoring those, for example in Luke, which deal with moral behaviour.  In his notes on John, Scofield ignores Jesus’s statements about his own significance and purpose, and his ‘I am’ sayings.</w:t>
      </w:r>
      <w:r>
        <w:t xml:space="preserve">  Scofield’s main concerns in his notes on Acts are </w:t>
      </w:r>
      <w:r w:rsidRPr="00E77C5D">
        <w:t>the work of the Holy Spirit and the restoration of the kingdom to Israel</w:t>
      </w:r>
      <w:r>
        <w:t>; he does not emphasise the narrative elements and shows little interest in Paul’s life and that of the early church.</w:t>
      </w:r>
    </w:p>
    <w:p w:rsidR="006A2E06" w:rsidRPr="000F5A88" w:rsidRDefault="006A2E06" w:rsidP="006A2E06">
      <w:pPr>
        <w:spacing w:after="120" w:line="360" w:lineRule="auto"/>
        <w:ind w:right="74"/>
        <w:jc w:val="both"/>
        <w:rPr>
          <w:b/>
          <w:sz w:val="24"/>
        </w:rPr>
      </w:pPr>
      <w:r>
        <w:rPr>
          <w:b/>
          <w:sz w:val="24"/>
        </w:rPr>
        <w:t>8</w:t>
      </w:r>
      <w:r w:rsidRPr="000F5A88">
        <w:rPr>
          <w:b/>
          <w:sz w:val="24"/>
        </w:rPr>
        <w:t>.</w:t>
      </w:r>
      <w:r>
        <w:rPr>
          <w:b/>
          <w:sz w:val="24"/>
        </w:rPr>
        <w:t>7</w:t>
      </w:r>
      <w:r w:rsidRPr="000F5A88">
        <w:rPr>
          <w:b/>
          <w:sz w:val="24"/>
        </w:rPr>
        <w:t xml:space="preserve">  The Epistles of Paul</w:t>
      </w:r>
    </w:p>
    <w:p w:rsidR="006A2E06" w:rsidRDefault="006A2E06" w:rsidP="006A2E06">
      <w:pPr>
        <w:spacing w:after="120" w:line="360" w:lineRule="auto"/>
        <w:ind w:right="74"/>
        <w:jc w:val="both"/>
      </w:pPr>
      <w:r w:rsidRPr="000F5A88">
        <w:t>Scofield counts the Deutero-Pauline letters as Pauline, listing seven Gentile churches of Rome, Corinth, Galatia, Ephesus, Philippi, Colosse and Thessalonica, and also the Pastoral Epistles, 1 and 2 Timothy and Titus.  He places them in ‘what is believe</w:t>
      </w:r>
      <w:r>
        <w:t>d</w:t>
      </w:r>
      <w:r w:rsidRPr="000F5A88">
        <w:t xml:space="preserve"> to be ‘the chronological order’</w:t>
      </w:r>
      <w:r>
        <w:rPr>
          <w:rStyle w:val="EndnoteReference"/>
        </w:rPr>
        <w:endnoteReference w:id="3047"/>
      </w:r>
      <w:r w:rsidRPr="000F5A88">
        <w:t xml:space="preserve"> and states that ‘Hebrews has a distinctive place, nor can the order of that book amongst the writ</w:t>
      </w:r>
      <w:r>
        <w:t>i</w:t>
      </w:r>
      <w:r w:rsidRPr="000F5A88">
        <w:t>ngs of Paul be definitely fixed’.</w:t>
      </w:r>
      <w:r>
        <w:rPr>
          <w:rStyle w:val="EndnoteReference"/>
        </w:rPr>
        <w:endnoteReference w:id="3048"/>
      </w:r>
      <w:r w:rsidRPr="000F5A88">
        <w:t xml:space="preserve">  </w:t>
      </w:r>
      <w:r>
        <w:t xml:space="preserve">However, he </w:t>
      </w:r>
      <w:r w:rsidRPr="000F5A88">
        <w:t>actually includes Hebrews amongst the ‘Jewish-Christian Epistles’</w:t>
      </w:r>
      <w:r>
        <w:t>, which follow those of Paul</w:t>
      </w:r>
      <w:r w:rsidRPr="000F5A88">
        <w:t>.</w:t>
      </w:r>
    </w:p>
    <w:p w:rsidR="006A2E06" w:rsidRPr="00F67101" w:rsidRDefault="006A2E06" w:rsidP="006A2E06">
      <w:pPr>
        <w:spacing w:after="120" w:line="360" w:lineRule="auto"/>
        <w:ind w:right="74"/>
        <w:jc w:val="both"/>
        <w:rPr>
          <w:b/>
          <w:i/>
        </w:rPr>
      </w:pPr>
      <w:r w:rsidRPr="00F67101">
        <w:rPr>
          <w:b/>
          <w:i/>
        </w:rPr>
        <w:t>Introduction: Key Points</w:t>
      </w:r>
    </w:p>
    <w:p w:rsidR="006A2E06" w:rsidRDefault="006A2E06" w:rsidP="006A2E06">
      <w:pPr>
        <w:spacing w:after="120" w:line="240" w:lineRule="auto"/>
        <w:ind w:left="567" w:right="74"/>
        <w:jc w:val="both"/>
      </w:pPr>
      <w:r>
        <w:t xml:space="preserve">Several dispensational tenets are developed: the beginning of the dispensation of grace at the crucifixion, dualism and the rapture.  </w:t>
      </w:r>
    </w:p>
    <w:p w:rsidR="006A2E06" w:rsidRPr="00F67101" w:rsidRDefault="006A2E06" w:rsidP="006A2E06">
      <w:pPr>
        <w:spacing w:after="120" w:line="240" w:lineRule="auto"/>
        <w:ind w:left="567" w:right="74"/>
        <w:jc w:val="both"/>
        <w:rPr>
          <w:i/>
        </w:rPr>
      </w:pPr>
      <w:r w:rsidRPr="00F67101">
        <w:rPr>
          <w:i/>
        </w:rPr>
        <w:t>Assertions:</w:t>
      </w:r>
    </w:p>
    <w:p w:rsidR="006A2E06" w:rsidRDefault="006A2E06" w:rsidP="006A2E06">
      <w:pPr>
        <w:spacing w:after="120" w:line="240" w:lineRule="auto"/>
        <w:ind w:left="851" w:right="74"/>
        <w:jc w:val="both"/>
      </w:pPr>
      <w:r w:rsidRPr="005D00B9">
        <w:t>‘</w:t>
      </w:r>
      <w:r>
        <w:t>A</w:t>
      </w:r>
      <w:r w:rsidRPr="005D00B9">
        <w:t>ll Scripture, up to the Gospel accounts of the crucifixion, looks forward to the cross, and has primarily in view Israel, and the blessing of the earth through the Messianic kingdom</w:t>
      </w:r>
      <w:r>
        <w:t>.</w:t>
      </w:r>
      <w:r w:rsidRPr="005D00B9">
        <w:t>’</w:t>
      </w:r>
      <w:r>
        <w:rPr>
          <w:rStyle w:val="EndnoteReference"/>
        </w:rPr>
        <w:endnoteReference w:id="3049"/>
      </w:r>
      <w:r w:rsidRPr="005D00B9">
        <w:t xml:space="preserve"> </w:t>
      </w:r>
    </w:p>
    <w:p w:rsidR="006A2E06" w:rsidRDefault="006A2E06" w:rsidP="006A2E06">
      <w:pPr>
        <w:spacing w:after="120" w:line="240" w:lineRule="auto"/>
        <w:ind w:left="1418" w:right="74"/>
        <w:jc w:val="both"/>
      </w:pPr>
      <w:r w:rsidRPr="00FD4C2C">
        <w:rPr>
          <w:b/>
          <w:i/>
        </w:rPr>
        <w:t>Comment</w:t>
      </w:r>
      <w:r>
        <w:t>: This contradicts the rather odd statement in the note on Gen. 11:10,</w:t>
      </w:r>
      <w:r w:rsidRPr="002970D7">
        <w:rPr>
          <w:rStyle w:val="EndnoteReference"/>
        </w:rPr>
        <w:endnoteReference w:id="3050"/>
      </w:r>
      <w:r>
        <w:t xml:space="preserve"> which states that </w:t>
      </w:r>
      <w:r w:rsidRPr="002769CF">
        <w:t>‘from Genesis 12 to Mt. 12:45,</w:t>
      </w:r>
      <w:r w:rsidRPr="002769CF">
        <w:rPr>
          <w:rStyle w:val="FootnoteReference"/>
        </w:rPr>
        <w:footnoteReference w:id="99"/>
      </w:r>
      <w:r w:rsidRPr="002769CF">
        <w:t xml:space="preserve"> the Scriptures have primarily in view Israel</w:t>
      </w:r>
      <w:r>
        <w:t>’.</w:t>
      </w:r>
      <w:r>
        <w:rPr>
          <w:rStyle w:val="EndnoteReference"/>
        </w:rPr>
        <w:endnoteReference w:id="3051"/>
      </w:r>
    </w:p>
    <w:p w:rsidR="006A2E06" w:rsidRDefault="006A2E06" w:rsidP="006A2E06">
      <w:pPr>
        <w:spacing w:after="120" w:line="240" w:lineRule="auto"/>
        <w:ind w:left="851" w:right="74"/>
        <w:jc w:val="both"/>
      </w:pPr>
      <w:r w:rsidRPr="005D00B9">
        <w:lastRenderedPageBreak/>
        <w:t>‘</w:t>
      </w:r>
      <w:r>
        <w:t>H</w:t>
      </w:r>
      <w:r w:rsidRPr="005D00B9">
        <w:t xml:space="preserve">id in God’ there was ‘an unrevealed </w:t>
      </w:r>
      <w:r w:rsidRPr="005D00B9">
        <w:rPr>
          <w:i/>
        </w:rPr>
        <w:t>fact</w:t>
      </w:r>
      <w:r w:rsidRPr="005D00B9">
        <w:t xml:space="preserve"> </w:t>
      </w:r>
      <w:r w:rsidRPr="00012B96">
        <w:rPr>
          <w:sz w:val="16"/>
          <w:szCs w:val="24"/>
        </w:rPr>
        <w:t>—</w:t>
      </w:r>
      <w:r w:rsidRPr="005D00B9">
        <w:t xml:space="preserve"> the interval between Christ’s death and resurrection, and his return’, and ‘an unrevealed </w:t>
      </w:r>
      <w:r w:rsidRPr="005D00B9">
        <w:rPr>
          <w:i/>
        </w:rPr>
        <w:t>purpose</w:t>
      </w:r>
      <w:r w:rsidRPr="005D00B9">
        <w:t xml:space="preserve"> – the outcalling of the </w:t>
      </w:r>
      <w:r w:rsidRPr="005D00B9">
        <w:rPr>
          <w:i/>
        </w:rPr>
        <w:t>ecclesia</w:t>
      </w:r>
      <w:r>
        <w:rPr>
          <w:i/>
        </w:rPr>
        <w:t>.</w:t>
      </w:r>
      <w:r w:rsidRPr="005D00B9">
        <w:t>’</w:t>
      </w:r>
      <w:r>
        <w:rPr>
          <w:rStyle w:val="EndnoteReference"/>
        </w:rPr>
        <w:endnoteReference w:id="3052"/>
      </w:r>
      <w:r w:rsidRPr="005D00B9">
        <w:t xml:space="preserve">  </w:t>
      </w:r>
    </w:p>
    <w:p w:rsidR="006A2E06" w:rsidRDefault="006A2E06" w:rsidP="006A2E06">
      <w:pPr>
        <w:spacing w:after="120" w:line="240" w:lineRule="auto"/>
        <w:ind w:left="851" w:right="74"/>
        <w:jc w:val="both"/>
      </w:pPr>
      <w:r w:rsidRPr="005D00B9">
        <w:t>Paul’s epistles develop the doctrine of the church,</w:t>
      </w:r>
      <w:r>
        <w:t xml:space="preserve"> </w:t>
      </w:r>
      <w:r w:rsidRPr="005D00B9">
        <w:t>which is an organism, not an organisation, ‘heavenly in calling, promise and destiny’</w:t>
      </w:r>
      <w:r>
        <w:t xml:space="preserve">; </w:t>
      </w:r>
    </w:p>
    <w:p w:rsidR="006A2E06" w:rsidRDefault="006A2E06" w:rsidP="006A2E06">
      <w:pPr>
        <w:spacing w:after="120" w:line="240" w:lineRule="auto"/>
        <w:ind w:left="851" w:right="74"/>
        <w:jc w:val="both"/>
      </w:pPr>
      <w:r>
        <w:t xml:space="preserve">Through Paul, we learn that ‘living saints shall be “changed” and caught up to meet the Lord at His return’.  </w:t>
      </w:r>
    </w:p>
    <w:p w:rsidR="006A2E06" w:rsidRDefault="006A2E06" w:rsidP="006A2E06">
      <w:pPr>
        <w:spacing w:after="120" w:line="240" w:lineRule="auto"/>
        <w:ind w:left="851" w:right="74"/>
        <w:jc w:val="both"/>
      </w:pPr>
      <w:r>
        <w:t xml:space="preserve">While in Arabia, Paul developed ‘the doctrinal explanation of salvation by grace through faith, wholly apart from the Law’ through revelation by the Holy Spirit. </w:t>
      </w:r>
    </w:p>
    <w:p w:rsidR="006A2E06" w:rsidRDefault="006A2E06" w:rsidP="006A2E06">
      <w:pPr>
        <w:spacing w:after="120" w:line="240" w:lineRule="auto"/>
        <w:ind w:left="851" w:right="74"/>
        <w:jc w:val="both"/>
      </w:pPr>
      <w:r>
        <w:t>Paul was commissioned to unfold ‘the doctrines of grace which were latent’ in Christ’s teachings.</w:t>
      </w:r>
    </w:p>
    <w:p w:rsidR="006A2E06" w:rsidRDefault="006A2E06" w:rsidP="006A2E06">
      <w:pPr>
        <w:spacing w:after="120" w:line="240" w:lineRule="auto"/>
        <w:ind w:left="851" w:right="74"/>
        <w:jc w:val="both"/>
      </w:pPr>
      <w:r>
        <w:t>‘Paul originates nothing but unfolds everything</w:t>
      </w:r>
      <w:r w:rsidRPr="00B95DF0">
        <w:t>, concerning</w:t>
      </w:r>
      <w:r w:rsidRPr="00B95DF0">
        <w:rPr>
          <w:b/>
        </w:rPr>
        <w:t xml:space="preserve"> </w:t>
      </w:r>
      <w:r w:rsidRPr="00B95DF0">
        <w:t xml:space="preserve">the nature and purpose of the law; the ground and means of the believer’s justification and glory; the meanings of the death and resurrection of Christ, and the position, conduct, expectation and service of the Christian.’  </w:t>
      </w:r>
    </w:p>
    <w:p w:rsidR="006A2E06" w:rsidRDefault="006A2E06" w:rsidP="006A2E06">
      <w:pPr>
        <w:spacing w:after="120" w:line="360" w:lineRule="auto"/>
        <w:ind w:right="74"/>
        <w:jc w:val="both"/>
        <w:rPr>
          <w:b/>
        </w:rPr>
      </w:pPr>
      <w:r>
        <w:rPr>
          <w:b/>
        </w:rPr>
        <w:t xml:space="preserve">8.7.1  </w:t>
      </w:r>
      <w:r w:rsidRPr="00E77C5D">
        <w:rPr>
          <w:b/>
        </w:rPr>
        <w:t>Romans</w:t>
      </w:r>
      <w:r>
        <w:rPr>
          <w:b/>
        </w:rPr>
        <w:t xml:space="preserve">  </w:t>
      </w:r>
    </w:p>
    <w:p w:rsidR="006A2E06" w:rsidRDefault="006A2E06" w:rsidP="006A2E06">
      <w:pPr>
        <w:spacing w:after="120" w:line="360" w:lineRule="auto"/>
        <w:ind w:right="74"/>
        <w:jc w:val="center"/>
        <w:rPr>
          <w:b/>
        </w:rPr>
      </w:pPr>
      <w:r>
        <w:rPr>
          <w:b/>
          <w:noProof/>
          <w:lang w:eastAsia="en-GB"/>
        </w:rPr>
        <w:drawing>
          <wp:inline distT="0" distB="0" distL="0" distR="0" wp14:anchorId="155B8E10" wp14:editId="7465C337">
            <wp:extent cx="2834640" cy="4806354"/>
            <wp:effectExtent l="0" t="0" r="381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s graph 12.2.18 crop.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39506" cy="4814605"/>
                    </a:xfrm>
                    <a:prstGeom prst="rect">
                      <a:avLst/>
                    </a:prstGeom>
                  </pic:spPr>
                </pic:pic>
              </a:graphicData>
            </a:graphic>
          </wp:inline>
        </w:drawing>
      </w:r>
    </w:p>
    <w:p w:rsidR="006A2E06" w:rsidRPr="001E53C4" w:rsidRDefault="006A2E06" w:rsidP="006A2E06">
      <w:pPr>
        <w:spacing w:after="120" w:line="360" w:lineRule="auto"/>
        <w:jc w:val="center"/>
        <w:rPr>
          <w:b/>
        </w:rPr>
      </w:pPr>
      <w:r>
        <w:rPr>
          <w:b/>
          <w:noProof/>
          <w:lang w:eastAsia="en-GB"/>
        </w:rPr>
        <w:drawing>
          <wp:inline distT="0" distB="0" distL="0" distR="0" wp14:anchorId="7EFF1927" wp14:editId="1B74D6E5">
            <wp:extent cx="5400040" cy="721995"/>
            <wp:effectExtent l="0" t="0" r="0"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s title 12.2.18 crop.jpg"/>
                    <pic:cNvPicPr/>
                  </pic:nvPicPr>
                  <pic:blipFill>
                    <a:blip r:embed="rId199">
                      <a:extLst>
                        <a:ext uri="{28A0092B-C50C-407E-A947-70E740481C1C}">
                          <a14:useLocalDpi xmlns:a14="http://schemas.microsoft.com/office/drawing/2010/main" val="0"/>
                        </a:ext>
                      </a:extLst>
                    </a:blip>
                    <a:stretch>
                      <a:fillRect/>
                    </a:stretch>
                  </pic:blipFill>
                  <pic:spPr>
                    <a:xfrm>
                      <a:off x="0" y="0"/>
                      <a:ext cx="5400040" cy="721995"/>
                    </a:xfrm>
                    <a:prstGeom prst="rect">
                      <a:avLst/>
                    </a:prstGeom>
                  </pic:spPr>
                </pic:pic>
              </a:graphicData>
            </a:graphic>
          </wp:inline>
        </w:drawing>
      </w:r>
    </w:p>
    <w:p w:rsidR="00DF5751" w:rsidRPr="00391E2B" w:rsidRDefault="00DF5751" w:rsidP="00DF5751">
      <w:pPr>
        <w:spacing w:after="120" w:line="360" w:lineRule="auto"/>
        <w:ind w:right="74"/>
        <w:jc w:val="both"/>
        <w:rPr>
          <w:b/>
          <w:i/>
        </w:rPr>
      </w:pPr>
      <w:bookmarkStart w:id="20" w:name="Romans"/>
      <w:bookmarkEnd w:id="20"/>
      <w:r w:rsidRPr="00391E2B">
        <w:rPr>
          <w:b/>
          <w:i/>
        </w:rPr>
        <w:lastRenderedPageBreak/>
        <w:t>Introduction</w:t>
      </w:r>
      <w:r>
        <w:rPr>
          <w:b/>
          <w:i/>
        </w:rPr>
        <w:t>:</w:t>
      </w:r>
      <w:r w:rsidRPr="001871B9">
        <w:rPr>
          <w:rStyle w:val="EndnoteReference"/>
        </w:rPr>
        <w:t xml:space="preserve"> </w:t>
      </w:r>
      <w:r>
        <w:rPr>
          <w:rStyle w:val="EndnoteReference"/>
        </w:rPr>
        <w:endnoteReference w:id="3053"/>
      </w:r>
      <w:r>
        <w:rPr>
          <w:b/>
          <w:i/>
        </w:rPr>
        <w:t xml:space="preserve"> Key Points</w:t>
      </w:r>
    </w:p>
    <w:p w:rsidR="00DF5751" w:rsidRDefault="00DF5751" w:rsidP="00DF5751">
      <w:pPr>
        <w:spacing w:after="120" w:line="240" w:lineRule="auto"/>
        <w:ind w:left="567"/>
        <w:jc w:val="both"/>
      </w:pPr>
      <w:r>
        <w:t>Assertion that t</w:t>
      </w:r>
      <w:r w:rsidRPr="005D00B9">
        <w:t>he theme of Romans is ‘the Gospel of God’ for Jew and Gentile.</w:t>
      </w:r>
      <w:r>
        <w:rPr>
          <w:rStyle w:val="EndnoteReference"/>
        </w:rPr>
        <w:endnoteReference w:id="3054"/>
      </w:r>
      <w:r w:rsidRPr="005D00B9">
        <w:t xml:space="preserve">  </w:t>
      </w:r>
    </w:p>
    <w:p w:rsidR="00DF5751" w:rsidRDefault="00DF5751" w:rsidP="00DF5751">
      <w:pPr>
        <w:spacing w:after="120" w:line="240" w:lineRule="auto"/>
        <w:ind w:left="567"/>
        <w:jc w:val="both"/>
      </w:pPr>
      <w:r w:rsidRPr="005D00B9">
        <w:t>Since ‘the whole world is found guilty before God’</w:t>
      </w:r>
      <w:r>
        <w:rPr>
          <w:rStyle w:val="EndnoteReference"/>
        </w:rPr>
        <w:endnoteReference w:id="3055"/>
      </w:r>
      <w:r>
        <w:t xml:space="preserve"> </w:t>
      </w:r>
      <w:r w:rsidRPr="005D00B9">
        <w:t xml:space="preserve">the remedy is redemption ‘upon the alone condition of faith’.  </w:t>
      </w:r>
    </w:p>
    <w:p w:rsidR="00DF5751" w:rsidRDefault="00DF5751" w:rsidP="00DF5751">
      <w:pPr>
        <w:spacing w:after="120" w:line="240" w:lineRule="auto"/>
        <w:ind w:left="567"/>
        <w:jc w:val="both"/>
      </w:pPr>
      <w:r w:rsidRPr="005D00B9">
        <w:t xml:space="preserve">Romans not only provides a full exposition of ‘the doctrine of </w:t>
      </w:r>
      <w:r>
        <w:t>grace in relation to salvation’ but also</w:t>
      </w:r>
      <w:r w:rsidRPr="005D00B9">
        <w:t xml:space="preserve"> </w:t>
      </w:r>
      <w:r>
        <w:t>here</w:t>
      </w:r>
      <w:r w:rsidRPr="005D00B9">
        <w:t xml:space="preserve"> reconciles the promises to Israel with the promises concerning the Gentiles.  The former will be fulfilled when the church is complete and the Deliverer comes from Zion.  </w:t>
      </w:r>
    </w:p>
    <w:p w:rsidR="00DF5751" w:rsidRPr="005D00B9" w:rsidRDefault="00DF5751" w:rsidP="00DF5751">
      <w:pPr>
        <w:spacing w:after="240" w:line="240" w:lineRule="auto"/>
        <w:ind w:left="567"/>
        <w:jc w:val="both"/>
      </w:pPr>
      <w:r>
        <w:t xml:space="preserve">Romans </w:t>
      </w:r>
      <w:r w:rsidRPr="005D00B9">
        <w:t>9</w:t>
      </w:r>
      <w:r>
        <w:t xml:space="preserve"> </w:t>
      </w:r>
      <w:r w:rsidRPr="00012B96">
        <w:rPr>
          <w:sz w:val="16"/>
          <w:szCs w:val="24"/>
        </w:rPr>
        <w:t>—</w:t>
      </w:r>
      <w:r>
        <w:t xml:space="preserve"> </w:t>
      </w:r>
      <w:r w:rsidRPr="005D00B9">
        <w:t xml:space="preserve">11 form the fifth of seven parts </w:t>
      </w:r>
      <w:r>
        <w:t>allotted</w:t>
      </w:r>
      <w:r w:rsidRPr="005D00B9">
        <w:t xml:space="preserve"> to Romans: ‘Parenthesis: the Gospel does not abolish the covenant promises to Israel.</w:t>
      </w:r>
      <w:r>
        <w:t>’</w:t>
      </w:r>
      <w:r>
        <w:rPr>
          <w:rStyle w:val="EndnoteReference"/>
        </w:rPr>
        <w:endnoteReference w:id="3056"/>
      </w:r>
      <w:r>
        <w:t xml:space="preserve"> </w:t>
      </w:r>
    </w:p>
    <w:p w:rsidR="006A2E06" w:rsidRDefault="006A2E06" w:rsidP="006A2E06">
      <w:pPr>
        <w:jc w:val="center"/>
      </w:pPr>
      <w:r>
        <w:rPr>
          <w:noProof/>
          <w:lang w:eastAsia="en-GB"/>
        </w:rPr>
        <w:drawing>
          <wp:inline distT="0" distB="0" distL="0" distR="0" wp14:anchorId="6C64CE0E" wp14:editId="7241D822">
            <wp:extent cx="5400040" cy="583184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s themes rev 11.5.18 crop.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400040" cy="5831840"/>
                    </a:xfrm>
                    <a:prstGeom prst="rect">
                      <a:avLst/>
                    </a:prstGeom>
                  </pic:spPr>
                </pic:pic>
              </a:graphicData>
            </a:graphic>
          </wp:inline>
        </w:drawing>
      </w:r>
    </w:p>
    <w:p w:rsidR="00DF5751" w:rsidRDefault="00DF5751" w:rsidP="006A2E06">
      <w:pPr>
        <w:spacing w:after="120" w:line="360" w:lineRule="auto"/>
        <w:ind w:right="74"/>
        <w:jc w:val="both"/>
        <w:rPr>
          <w:b/>
          <w:i/>
        </w:rPr>
      </w:pPr>
    </w:p>
    <w:p w:rsidR="00DF5751" w:rsidRDefault="00DF5751" w:rsidP="006A2E06">
      <w:pPr>
        <w:spacing w:after="120" w:line="360" w:lineRule="auto"/>
        <w:ind w:right="74"/>
        <w:jc w:val="both"/>
        <w:rPr>
          <w:b/>
          <w:i/>
        </w:rPr>
      </w:pPr>
    </w:p>
    <w:p w:rsidR="006A2E06" w:rsidRDefault="006A2E06" w:rsidP="006A2E06">
      <w:pPr>
        <w:spacing w:after="120" w:line="360" w:lineRule="auto"/>
        <w:ind w:right="74"/>
        <w:jc w:val="both"/>
        <w:rPr>
          <w:b/>
          <w:i/>
        </w:rPr>
      </w:pPr>
      <w:r>
        <w:rPr>
          <w:b/>
          <w:i/>
        </w:rPr>
        <w:lastRenderedPageBreak/>
        <w:t xml:space="preserve">Annotation: Key Points </w:t>
      </w:r>
    </w:p>
    <w:p w:rsidR="006A2E06" w:rsidRDefault="006A2E06" w:rsidP="006A2E06">
      <w:pPr>
        <w:spacing w:after="120" w:line="240" w:lineRule="auto"/>
        <w:ind w:left="567" w:right="74"/>
        <w:jc w:val="both"/>
      </w:pPr>
      <w:r>
        <w:t>S</w:t>
      </w:r>
      <w:r w:rsidRPr="005C7A96">
        <w:t>ignificant annotation of four chapters in Romans</w:t>
      </w:r>
      <w:r>
        <w:t>,</w:t>
      </w:r>
      <w:r w:rsidRPr="005C7A96">
        <w:rPr>
          <w:rStyle w:val="EndnoteReference"/>
        </w:rPr>
        <w:endnoteReference w:id="3057"/>
      </w:r>
      <w:r w:rsidRPr="005C7A96">
        <w:t xml:space="preserve"> </w:t>
      </w:r>
      <w:r>
        <w:t>especially chapter 3 (many discourses)</w:t>
      </w:r>
    </w:p>
    <w:p w:rsidR="006A2E06" w:rsidRDefault="006A2E06" w:rsidP="006A2E06">
      <w:pPr>
        <w:spacing w:after="240" w:line="240" w:lineRule="auto"/>
        <w:ind w:left="567" w:right="74"/>
        <w:jc w:val="both"/>
      </w:pPr>
      <w:r>
        <w:t>C</w:t>
      </w:r>
      <w:r w:rsidRPr="005C7A96">
        <w:t xml:space="preserve">hapters 2 and 12 – 16 are not annotated.  </w:t>
      </w:r>
    </w:p>
    <w:p w:rsidR="006A2E06" w:rsidRDefault="006A2E06" w:rsidP="006A2E06">
      <w:pPr>
        <w:spacing w:after="120" w:line="240" w:lineRule="auto"/>
        <w:ind w:left="1418" w:right="74"/>
        <w:jc w:val="both"/>
      </w:pPr>
      <w:r w:rsidRPr="00561814">
        <w:rPr>
          <w:b/>
          <w:i/>
        </w:rPr>
        <w:t>Comment</w:t>
      </w:r>
      <w:r>
        <w:t xml:space="preserve">: </w:t>
      </w:r>
      <w:r w:rsidR="00DE1A7C">
        <w:t xml:space="preserve">The lack of annotation of chapters 12 – 16 </w:t>
      </w:r>
      <w:r w:rsidRPr="005C7A96">
        <w:t xml:space="preserve">is </w:t>
      </w:r>
      <w:r>
        <w:t>noteworthy</w:t>
      </w:r>
      <w:r w:rsidRPr="005C7A96">
        <w:t xml:space="preserve"> because </w:t>
      </w:r>
      <w:r w:rsidR="00DE1A7C">
        <w:t xml:space="preserve">these </w:t>
      </w:r>
      <w:r w:rsidRPr="005C7A96">
        <w:t>chapters largely concern Christian behaviour, a subject in which Scofield has already shown a marked lack of interest.</w:t>
      </w:r>
      <w:r>
        <w:rPr>
          <w:rStyle w:val="EndnoteReference"/>
        </w:rPr>
        <w:endnoteReference w:id="3058"/>
      </w:r>
      <w:r w:rsidRPr="005C7A96">
        <w:t xml:space="preserve">  </w:t>
      </w:r>
      <w:r w:rsidRPr="001957B3">
        <w:t xml:space="preserve">In all these chapters, the emphasis is upon the Church and mutual support in witness.  </w:t>
      </w:r>
      <w:r w:rsidRPr="005C7A96">
        <w:t>Scofield discusses many theories and doctrines but rarely considers their application to Christian life.</w:t>
      </w:r>
      <w:r>
        <w:t xml:space="preserve">  </w:t>
      </w:r>
    </w:p>
    <w:p w:rsidR="006A2E06" w:rsidRPr="0032453E" w:rsidRDefault="006A2E06" w:rsidP="006A2E06">
      <w:pPr>
        <w:spacing w:after="0" w:line="240" w:lineRule="auto"/>
        <w:ind w:left="567" w:right="74"/>
        <w:jc w:val="both"/>
        <w:rPr>
          <w:i/>
        </w:rPr>
      </w:pPr>
      <w:r w:rsidRPr="0032453E">
        <w:rPr>
          <w:i/>
        </w:rPr>
        <w:t>Christian Doctrine</w:t>
      </w:r>
    </w:p>
    <w:p w:rsidR="006A2E06" w:rsidRDefault="006A2E06" w:rsidP="006A2E06">
      <w:pPr>
        <w:spacing w:after="120" w:line="240" w:lineRule="auto"/>
        <w:ind w:left="851" w:right="74"/>
        <w:jc w:val="both"/>
      </w:pPr>
      <w:r>
        <w:t xml:space="preserve">A significant proportion of notes </w:t>
      </w:r>
      <w:proofErr w:type="gramStart"/>
      <w:r>
        <w:t>comprise</w:t>
      </w:r>
      <w:r w:rsidR="00DE1A7C">
        <w:t>s</w:t>
      </w:r>
      <w:proofErr w:type="gramEnd"/>
      <w:r>
        <w:t xml:space="preserve"> </w:t>
      </w:r>
      <w:r w:rsidRPr="0032453E">
        <w:t xml:space="preserve">expositions of Christian doctrine concerning such matters as salvation, divine righteousness, sin, redemption, propitiation and justification.  </w:t>
      </w:r>
      <w:r>
        <w:t>Most</w:t>
      </w:r>
      <w:r w:rsidRPr="0032453E">
        <w:t xml:space="preserve"> of these, up to commentary on Romans 8, are Christological and reflect upon Christ’s work and its effects upon believers.  </w:t>
      </w:r>
    </w:p>
    <w:p w:rsidR="006A2E06" w:rsidRPr="0032453E" w:rsidRDefault="006A2E06" w:rsidP="006A2E06">
      <w:pPr>
        <w:spacing w:after="120" w:line="240" w:lineRule="auto"/>
        <w:ind w:left="1418" w:right="74"/>
        <w:jc w:val="both"/>
      </w:pPr>
      <w:r w:rsidRPr="00561814">
        <w:rPr>
          <w:b/>
          <w:i/>
        </w:rPr>
        <w:t>Comment</w:t>
      </w:r>
      <w:r>
        <w:t xml:space="preserve">: </w:t>
      </w:r>
      <w:r w:rsidRPr="0032453E">
        <w:t>Craig Hill states that these chapters were often regarded by the Protestant Reformers as ‘a kind of personal salvation manual, a road-map for guilty, lost souls in search of a forgiving, gracious God’.</w:t>
      </w:r>
      <w:r w:rsidRPr="0032453E">
        <w:rPr>
          <w:rStyle w:val="EndnoteReference"/>
        </w:rPr>
        <w:endnoteReference w:id="3059"/>
      </w:r>
      <w:r w:rsidRPr="0032453E">
        <w:t xml:space="preserve">  Scofield’s commentary focuses on these chapters, especially chapters 3, 5 and 7, and the material is largely consistent with the interpretation </w:t>
      </w:r>
      <w:r>
        <w:t xml:space="preserve">Hill </w:t>
      </w:r>
      <w:r w:rsidRPr="0032453E">
        <w:t>describe</w:t>
      </w:r>
      <w:r>
        <w:t>s</w:t>
      </w:r>
      <w:r w:rsidRPr="0032453E">
        <w:t>.</w:t>
      </w:r>
      <w:r>
        <w:rPr>
          <w:rStyle w:val="EndnoteReference"/>
        </w:rPr>
        <w:endnoteReference w:id="3060"/>
      </w:r>
      <w:r w:rsidRPr="0032453E">
        <w:t xml:space="preserve">  </w:t>
      </w:r>
    </w:p>
    <w:p w:rsidR="006A2E06" w:rsidRDefault="006A2E06" w:rsidP="006A2E06">
      <w:pPr>
        <w:spacing w:after="0" w:line="240" w:lineRule="auto"/>
        <w:ind w:left="567" w:right="74"/>
        <w:jc w:val="both"/>
        <w:rPr>
          <w:i/>
        </w:rPr>
      </w:pPr>
      <w:r w:rsidRPr="0032453E">
        <w:rPr>
          <w:i/>
        </w:rPr>
        <w:t>Israel</w:t>
      </w:r>
    </w:p>
    <w:p w:rsidR="006A2E06" w:rsidRDefault="006A2E06" w:rsidP="006A2E06">
      <w:pPr>
        <w:spacing w:after="120" w:line="240" w:lineRule="auto"/>
        <w:ind w:left="851" w:right="74"/>
        <w:jc w:val="both"/>
      </w:pPr>
      <w:r w:rsidRPr="00DE1A7C">
        <w:rPr>
          <w:spacing w:val="-2"/>
        </w:rPr>
        <w:t xml:space="preserve">Romans 9 </w:t>
      </w:r>
      <w:r w:rsidRPr="00DE1A7C">
        <w:rPr>
          <w:spacing w:val="-2"/>
          <w:sz w:val="16"/>
          <w:szCs w:val="24"/>
        </w:rPr>
        <w:t xml:space="preserve">— </w:t>
      </w:r>
      <w:r w:rsidRPr="00DE1A7C">
        <w:rPr>
          <w:spacing w:val="-2"/>
        </w:rPr>
        <w:t xml:space="preserve">11 </w:t>
      </w:r>
      <w:r w:rsidR="00DE1A7C" w:rsidRPr="00DE1A7C">
        <w:rPr>
          <w:spacing w:val="-2"/>
        </w:rPr>
        <w:t xml:space="preserve">are </w:t>
      </w:r>
      <w:r w:rsidRPr="00DE1A7C">
        <w:rPr>
          <w:spacing w:val="-2"/>
        </w:rPr>
        <w:t>described as ‘three remarkable chapters’ in which ‘the great promises to Israel are reconciled with the promises concerning the Gentiles, and the fulfilment of the former shown to await the completion of the church and the coming of the Deliverer out of Zion’</w:t>
      </w:r>
      <w:r w:rsidRPr="0032453E">
        <w:t>.</w:t>
      </w:r>
      <w:r w:rsidRPr="0032453E">
        <w:rPr>
          <w:rStyle w:val="EndnoteReference"/>
        </w:rPr>
        <w:endnoteReference w:id="3061"/>
      </w:r>
    </w:p>
    <w:p w:rsidR="006A2E06" w:rsidRDefault="006A2E06" w:rsidP="006A2E06">
      <w:pPr>
        <w:spacing w:after="120" w:line="240" w:lineRule="auto"/>
        <w:ind w:left="851" w:right="74"/>
        <w:jc w:val="both"/>
      </w:pPr>
      <w:r>
        <w:t>S</w:t>
      </w:r>
      <w:r w:rsidRPr="0032453E">
        <w:t xml:space="preserve">trangely these chapters </w:t>
      </w:r>
      <w:r>
        <w:t xml:space="preserve">are labelled as </w:t>
      </w:r>
      <w:r w:rsidRPr="0032453E">
        <w:t>‘parenthetic’,</w:t>
      </w:r>
      <w:r w:rsidRPr="0032453E">
        <w:rPr>
          <w:rStyle w:val="EndnoteReference"/>
        </w:rPr>
        <w:endnoteReference w:id="3062"/>
      </w:r>
      <w:r w:rsidRPr="0032453E">
        <w:t xml:space="preserve"> implying that they interrupt Paul’s thesis; however </w:t>
      </w:r>
      <w:r>
        <w:t>Scofield</w:t>
      </w:r>
      <w:r w:rsidRPr="0032453E">
        <w:t xml:space="preserve"> does not include any comment upon how Paul’s argument may continue in chapters 12 </w:t>
      </w:r>
      <w:r w:rsidRPr="00012B96">
        <w:rPr>
          <w:sz w:val="16"/>
          <w:szCs w:val="24"/>
        </w:rPr>
        <w:t>—</w:t>
      </w:r>
      <w:r w:rsidRPr="0032453E">
        <w:t xml:space="preserve"> 16.</w:t>
      </w:r>
    </w:p>
    <w:p w:rsidR="006A2E06" w:rsidRPr="0032453E" w:rsidRDefault="006A2E06" w:rsidP="006A2E06">
      <w:pPr>
        <w:spacing w:after="120" w:line="240" w:lineRule="auto"/>
        <w:ind w:left="1418" w:right="74"/>
        <w:jc w:val="both"/>
      </w:pPr>
      <w:r w:rsidRPr="00561814">
        <w:rPr>
          <w:b/>
          <w:i/>
        </w:rPr>
        <w:t>Comment:</w:t>
      </w:r>
      <w:r>
        <w:t xml:space="preserve"> </w:t>
      </w:r>
      <w:r w:rsidRPr="0032453E">
        <w:t>Hill asserts that Romans 9 – 11 is ‘at the centre (or, rhetorically, at the climax) of Paul’s argument.  The concern of Romans is not so much to explain justification by faith in Christ as to explain how such a soteriological system upholds God’s righteousness, especially … towards non-Christian Israel.’</w:t>
      </w:r>
      <w:r w:rsidRPr="0032453E">
        <w:rPr>
          <w:rStyle w:val="EndnoteReference"/>
        </w:rPr>
        <w:endnoteReference w:id="3063"/>
      </w:r>
      <w:r w:rsidRPr="0032453E">
        <w:t xml:space="preserve">  </w:t>
      </w:r>
    </w:p>
    <w:p w:rsidR="006A2E06" w:rsidRDefault="006A2E06" w:rsidP="006A2E06">
      <w:pPr>
        <w:spacing w:after="120" w:line="240" w:lineRule="auto"/>
        <w:ind w:left="851" w:right="74"/>
        <w:jc w:val="both"/>
      </w:pPr>
      <w:r>
        <w:t xml:space="preserve">Notes on </w:t>
      </w:r>
      <w:r w:rsidRPr="0032453E">
        <w:t>Romans 9 and 10 are insubstantial</w:t>
      </w:r>
      <w:r>
        <w:t>: c</w:t>
      </w:r>
      <w:r w:rsidRPr="0032453E">
        <w:t>hapter 9</w:t>
      </w:r>
      <w:r>
        <w:t>: commentary</w:t>
      </w:r>
      <w:r w:rsidRPr="0032453E">
        <w:t xml:space="preserve"> only on verse 6, expanding upon Paul’s statement that ‘they are not all Israel, which are of Israel’</w:t>
      </w:r>
      <w:r>
        <w:t>;</w:t>
      </w:r>
      <w:r w:rsidRPr="0032453E">
        <w:rPr>
          <w:rStyle w:val="EndnoteReference"/>
        </w:rPr>
        <w:endnoteReference w:id="3064"/>
      </w:r>
      <w:r>
        <w:t xml:space="preserve"> two verses annotated in</w:t>
      </w:r>
      <w:r w:rsidRPr="0032453E">
        <w:t xml:space="preserve"> Romans 10</w:t>
      </w:r>
      <w:r>
        <w:t xml:space="preserve"> whose</w:t>
      </w:r>
      <w:r w:rsidRPr="0032453E">
        <w:t xml:space="preserve"> subject is righteousness.</w:t>
      </w:r>
      <w:r w:rsidRPr="0032453E">
        <w:rPr>
          <w:rStyle w:val="EndnoteReference"/>
        </w:rPr>
        <w:endnoteReference w:id="3065"/>
      </w:r>
    </w:p>
    <w:p w:rsidR="006A2E06" w:rsidRDefault="006A2E06" w:rsidP="006A2E06">
      <w:pPr>
        <w:spacing w:after="120" w:line="240" w:lineRule="auto"/>
        <w:ind w:left="851" w:right="74"/>
        <w:jc w:val="both"/>
      </w:pPr>
      <w:r>
        <w:t xml:space="preserve">The focus in the </w:t>
      </w:r>
      <w:r w:rsidRPr="00561814">
        <w:rPr>
          <w:i/>
        </w:rPr>
        <w:t>SRB</w:t>
      </w:r>
      <w:r>
        <w:t xml:space="preserve"> notes on Romans 11 is on </w:t>
      </w:r>
      <w:r w:rsidRPr="0032453E">
        <w:t>the continuing existence of Israel as the earthly people of God, especially exemplified as the spiritual remnant within national Israel in its eschatological future.  This involves the necessity for the dualistic corollary: the Christian as ‘the heavenly seed of Abraham’, partaking of ‘the spiritual blessings of the Abrahamic Covenant’ but not inheriting any ‘distinctive Jewish promises’.</w:t>
      </w:r>
      <w:r w:rsidRPr="0032453E">
        <w:rPr>
          <w:rStyle w:val="EndnoteReference"/>
        </w:rPr>
        <w:endnoteReference w:id="3066"/>
      </w:r>
      <w:r>
        <w:t xml:space="preserve">  </w:t>
      </w:r>
    </w:p>
    <w:p w:rsidR="006A2E06" w:rsidRPr="0032453E" w:rsidRDefault="006A2E06" w:rsidP="006A2E06">
      <w:pPr>
        <w:spacing w:after="120" w:line="240" w:lineRule="auto"/>
        <w:ind w:left="1418" w:right="74"/>
        <w:jc w:val="both"/>
        <w:rPr>
          <w:i/>
        </w:rPr>
      </w:pPr>
      <w:r w:rsidRPr="00561814">
        <w:rPr>
          <w:b/>
          <w:i/>
        </w:rPr>
        <w:t>Comment</w:t>
      </w:r>
      <w:r>
        <w:t xml:space="preserve">: </w:t>
      </w:r>
      <w:r w:rsidRPr="0032453E">
        <w:t>Hill states that one of the consequences of Protestant concentration on Romans 1 – 8 was ‘the orphaning of the remainder of the epistle, especially chs. 9</w:t>
      </w:r>
      <w:r>
        <w:t xml:space="preserve"> </w:t>
      </w:r>
      <w:r w:rsidRPr="00012B96">
        <w:rPr>
          <w:sz w:val="16"/>
          <w:szCs w:val="24"/>
        </w:rPr>
        <w:t>—</w:t>
      </w:r>
      <w:r>
        <w:rPr>
          <w:sz w:val="16"/>
          <w:szCs w:val="24"/>
        </w:rPr>
        <w:t xml:space="preserve"> </w:t>
      </w:r>
      <w:r w:rsidRPr="0032453E">
        <w:t>11, whose interest in the fate of Israel was scarcely an ongoing or pivotal Christian concern’.</w:t>
      </w:r>
      <w:r>
        <w:rPr>
          <w:rStyle w:val="EndnoteReference"/>
        </w:rPr>
        <w:endnoteReference w:id="3067"/>
      </w:r>
      <w:r w:rsidRPr="0032453E">
        <w:t xml:space="preserve"> </w:t>
      </w:r>
      <w:r>
        <w:t xml:space="preserve"> but Scofield’s notes on Romans 11 distance him from the implication in Hill’s statement concerning lack of interest in Israel.  Scofield’s interest in Israel is palpable.</w:t>
      </w:r>
    </w:p>
    <w:p w:rsidR="006A2E06" w:rsidRPr="00E86979" w:rsidRDefault="006A2E06" w:rsidP="006A2E06">
      <w:pPr>
        <w:spacing w:after="0" w:line="240" w:lineRule="auto"/>
        <w:ind w:left="567" w:right="74"/>
        <w:jc w:val="both"/>
        <w:rPr>
          <w:i/>
        </w:rPr>
      </w:pPr>
      <w:r w:rsidRPr="00E86979">
        <w:rPr>
          <w:i/>
        </w:rPr>
        <w:t>Eschatology</w:t>
      </w:r>
    </w:p>
    <w:p w:rsidR="006A2E06" w:rsidRDefault="006A2E06" w:rsidP="006A2E06">
      <w:pPr>
        <w:spacing w:after="120" w:line="240" w:lineRule="auto"/>
        <w:ind w:left="851" w:right="74"/>
        <w:jc w:val="both"/>
      </w:pPr>
      <w:r>
        <w:t xml:space="preserve">Only brief eschatological references in the </w:t>
      </w:r>
      <w:r w:rsidRPr="00E86979">
        <w:rPr>
          <w:i/>
        </w:rPr>
        <w:t>SRB</w:t>
      </w:r>
      <w:r>
        <w:t xml:space="preserve"> notes on Romans, concerning Israel’s suffering in the great tribulation and its eventual participation in the Millennial Kingdom,</w:t>
      </w:r>
      <w:r>
        <w:rPr>
          <w:rStyle w:val="EndnoteReference"/>
        </w:rPr>
        <w:endnoteReference w:id="3068"/>
      </w:r>
      <w:r>
        <w:t xml:space="preserve"> its regathering, restoration to the land, and ‘greatest exaltation and glory’.</w:t>
      </w:r>
      <w:r>
        <w:rPr>
          <w:rStyle w:val="EndnoteReference"/>
        </w:rPr>
        <w:endnoteReference w:id="3069"/>
      </w:r>
    </w:p>
    <w:p w:rsidR="00DE1A7C" w:rsidRDefault="00DE1A7C" w:rsidP="006A2E06">
      <w:pPr>
        <w:spacing w:after="120" w:line="240" w:lineRule="auto"/>
        <w:ind w:left="851" w:right="74"/>
        <w:jc w:val="both"/>
      </w:pPr>
    </w:p>
    <w:p w:rsidR="006A2E06" w:rsidRPr="00B21B0B" w:rsidRDefault="006A2E06" w:rsidP="006A2E06">
      <w:pPr>
        <w:spacing w:after="120" w:line="360" w:lineRule="auto"/>
        <w:ind w:right="74"/>
        <w:jc w:val="both"/>
        <w:rPr>
          <w:b/>
          <w:i/>
        </w:rPr>
      </w:pPr>
      <w:r w:rsidRPr="00B21B0B">
        <w:rPr>
          <w:b/>
          <w:i/>
        </w:rPr>
        <w:lastRenderedPageBreak/>
        <w:t>Omissions</w:t>
      </w:r>
    </w:p>
    <w:p w:rsidR="006A2E06" w:rsidRDefault="006A2E06" w:rsidP="006A2E06">
      <w:pPr>
        <w:spacing w:after="120" w:line="240" w:lineRule="auto"/>
        <w:ind w:left="567" w:right="74"/>
        <w:jc w:val="both"/>
      </w:pPr>
      <w:r>
        <w:t xml:space="preserve">Statements in </w:t>
      </w:r>
      <w:r w:rsidRPr="0032453E">
        <w:t xml:space="preserve">Romans that there is no difference between Jews and Gentiles as far as their deeds and their consequences are concerned.  </w:t>
      </w:r>
    </w:p>
    <w:p w:rsidR="006A2E06" w:rsidRDefault="006A2E06" w:rsidP="006A2E06">
      <w:pPr>
        <w:spacing w:after="120" w:line="240" w:lineRule="auto"/>
        <w:ind w:left="567" w:right="74"/>
        <w:jc w:val="both"/>
      </w:pPr>
      <w:r>
        <w:t>Statements in at least six verses in Romans emphasising that c</w:t>
      </w:r>
      <w:r w:rsidRPr="0032453E">
        <w:t xml:space="preserve">alling comes to Jew and Gentile alike and </w:t>
      </w:r>
      <w:r>
        <w:t xml:space="preserve">that </w:t>
      </w:r>
      <w:r w:rsidRPr="0032453E">
        <w:t>for both, salvation comes about through faith, as stated in at least six verses in Romans.</w:t>
      </w:r>
      <w:r w:rsidRPr="0032453E">
        <w:rPr>
          <w:rStyle w:val="EndnoteReference"/>
        </w:rPr>
        <w:endnoteReference w:id="3070"/>
      </w:r>
      <w:r w:rsidRPr="0032453E">
        <w:t xml:space="preserve">  </w:t>
      </w:r>
    </w:p>
    <w:p w:rsidR="006A2E06" w:rsidRDefault="006A2E06" w:rsidP="006A2E06">
      <w:pPr>
        <w:spacing w:after="120" w:line="240" w:lineRule="auto"/>
        <w:ind w:left="1418" w:right="74"/>
        <w:jc w:val="both"/>
      </w:pPr>
      <w:r w:rsidRPr="007A5B47">
        <w:rPr>
          <w:b/>
          <w:i/>
        </w:rPr>
        <w:t>Comment</w:t>
      </w:r>
      <w:r>
        <w:t xml:space="preserve">: </w:t>
      </w:r>
      <w:r w:rsidRPr="00A36989">
        <w:t xml:space="preserve">Although </w:t>
      </w:r>
      <w:r>
        <w:t>Scofield</w:t>
      </w:r>
      <w:r w:rsidRPr="00A36989">
        <w:t xml:space="preserve"> provides notes on almost every verse in Romans 3 from 21 onwards, </w:t>
      </w:r>
      <w:r>
        <w:t>he</w:t>
      </w:r>
      <w:r w:rsidRPr="00A36989">
        <w:t xml:space="preserve"> neglects to comment on Rom. 3:29-30 which indicate parity between Jew and Gentile.  A particular omission is any discussion of the faith of Abraham in relation to Jews and Gentiles, and to the law.</w:t>
      </w:r>
      <w:r w:rsidRPr="0032453E">
        <w:rPr>
          <w:rStyle w:val="EndnoteReference"/>
        </w:rPr>
        <w:endnoteReference w:id="3071"/>
      </w:r>
      <w:r w:rsidRPr="00A36989">
        <w:t xml:space="preserve">  One possible conclusion is that Scofield ignores any passages which might suggest that the distinction between Israel and the Church is not intended to be perpetual.  Scofield does not comment upon Paul’s prayer that his Jewish brethren might be saved.</w:t>
      </w:r>
      <w:r w:rsidRPr="0032453E">
        <w:rPr>
          <w:rStyle w:val="EndnoteReference"/>
        </w:rPr>
        <w:endnoteReference w:id="3072"/>
      </w:r>
      <w:r w:rsidRPr="00A36989">
        <w:t xml:space="preserve">  Romans 10:4 states, ‘</w:t>
      </w:r>
      <w:r w:rsidRPr="00A36989">
        <w:rPr>
          <w:rFonts w:ascii="Bwgrkl" w:hAnsi="Bwgrkl"/>
          <w:szCs w:val="24"/>
        </w:rPr>
        <w:t>Te,loj ga.r no,mou cristo.j eivj dikaiosu,nhn panti. tw/| pisteu,onti</w:t>
      </w:r>
      <w:r w:rsidRPr="00A36989">
        <w:rPr>
          <w:rFonts w:ascii="Bwgrkl" w:hAnsi="Bwgrkl"/>
          <w:sz w:val="24"/>
          <w:szCs w:val="24"/>
        </w:rPr>
        <w:t>Å</w:t>
      </w:r>
      <w:r w:rsidRPr="00A36989">
        <w:rPr>
          <w:rFonts w:ascii="Times New Roman" w:hAnsi="Times New Roman"/>
        </w:rPr>
        <w:t>’</w:t>
      </w:r>
      <w:r w:rsidRPr="00A36989">
        <w:rPr>
          <w:rFonts w:ascii="Bwgrkl" w:hAnsi="Bwgrkl"/>
        </w:rPr>
        <w:t xml:space="preserve">  </w:t>
      </w:r>
      <w:r w:rsidRPr="00A36989">
        <w:t>If Christ is the</w:t>
      </w:r>
      <w:r w:rsidRPr="00A36989">
        <w:rPr>
          <w:rFonts w:ascii="Times New Roman" w:hAnsi="Times New Roman"/>
        </w:rPr>
        <w:t xml:space="preserve"> </w:t>
      </w:r>
      <w:r w:rsidRPr="00A36989">
        <w:rPr>
          <w:rFonts w:ascii="Bwgrkl" w:hAnsi="Bwgrkl" w:cs="Bwgrkl"/>
          <w:bCs/>
          <w:sz w:val="24"/>
          <w:szCs w:val="24"/>
          <w:lang w:bidi="he-IL"/>
        </w:rPr>
        <w:t>te,loj</w:t>
      </w:r>
      <w:r w:rsidRPr="00A36989">
        <w:t xml:space="preserve"> of the law, whether that be taken to mean ‘termination’ or ‘goal’, then the old distinctions must surely be abandoned.</w:t>
      </w:r>
    </w:p>
    <w:p w:rsidR="006A2E06" w:rsidRDefault="006A2E06" w:rsidP="006A2E06">
      <w:pPr>
        <w:spacing w:after="120" w:line="240" w:lineRule="auto"/>
        <w:ind w:left="567" w:right="74"/>
        <w:jc w:val="both"/>
      </w:pPr>
      <w:r>
        <w:t xml:space="preserve">Omission of comment upon some matters </w:t>
      </w:r>
      <w:r w:rsidRPr="0032453E">
        <w:t>which might occasion debate or require elucidation, such as obedience to secular authorities in chapter 13, the discussion of the role of the law in chapter 5 and the subject of election in chapter 9.</w:t>
      </w:r>
    </w:p>
    <w:p w:rsidR="006A2E06" w:rsidRPr="0032453E" w:rsidRDefault="006A2E06" w:rsidP="006A2E06">
      <w:pPr>
        <w:spacing w:after="120" w:line="240" w:lineRule="auto"/>
        <w:ind w:left="1418" w:right="74"/>
        <w:jc w:val="both"/>
      </w:pPr>
      <w:r w:rsidRPr="007A5B47">
        <w:rPr>
          <w:b/>
          <w:i/>
        </w:rPr>
        <w:t>Comment</w:t>
      </w:r>
      <w:r>
        <w:t xml:space="preserve">: </w:t>
      </w:r>
      <w:r w:rsidRPr="0032453E">
        <w:t xml:space="preserve">It is impossible to believe that Scofield has really provided explanatory notes for every ‘obscure or difficult’ passage, as he stated in his introduction to </w:t>
      </w:r>
      <w:r w:rsidRPr="0032453E">
        <w:rPr>
          <w:i/>
        </w:rPr>
        <w:t>SRB</w:t>
      </w:r>
      <w:r w:rsidRPr="0032453E">
        <w:t>.</w:t>
      </w:r>
      <w:r w:rsidRPr="0032453E">
        <w:rPr>
          <w:rStyle w:val="EndnoteReference"/>
        </w:rPr>
        <w:endnoteReference w:id="3073"/>
      </w:r>
      <w:r w:rsidRPr="0032453E">
        <w:t xml:space="preserve"> </w:t>
      </w:r>
    </w:p>
    <w:p w:rsidR="006A2E06" w:rsidRDefault="006A2E06" w:rsidP="006A2E06">
      <w:pPr>
        <w:spacing w:after="120" w:line="360" w:lineRule="auto"/>
        <w:ind w:right="74"/>
        <w:jc w:val="both"/>
        <w:rPr>
          <w:b/>
        </w:rPr>
      </w:pPr>
      <w:r>
        <w:rPr>
          <w:b/>
        </w:rPr>
        <w:t xml:space="preserve">8.7.2  </w:t>
      </w:r>
      <w:r w:rsidRPr="00E77C5D">
        <w:rPr>
          <w:b/>
        </w:rPr>
        <w:t xml:space="preserve">1 </w:t>
      </w:r>
      <w:r>
        <w:rPr>
          <w:b/>
        </w:rPr>
        <w:t>Corinthians</w:t>
      </w:r>
    </w:p>
    <w:p w:rsidR="00DF5751" w:rsidRDefault="00DF5751" w:rsidP="00DF5751">
      <w:pPr>
        <w:spacing w:after="120" w:line="360" w:lineRule="auto"/>
        <w:ind w:right="74"/>
        <w:jc w:val="both"/>
        <w:rPr>
          <w:b/>
          <w:i/>
        </w:rPr>
      </w:pPr>
      <w:r w:rsidRPr="00751CB2">
        <w:rPr>
          <w:b/>
          <w:i/>
        </w:rPr>
        <w:t>Introduction</w:t>
      </w:r>
      <w:r>
        <w:rPr>
          <w:b/>
          <w:i/>
        </w:rPr>
        <w:t>:</w:t>
      </w:r>
      <w:r w:rsidRPr="003E3539">
        <w:rPr>
          <w:rStyle w:val="EndnoteReference"/>
        </w:rPr>
        <w:t xml:space="preserve"> </w:t>
      </w:r>
      <w:r>
        <w:rPr>
          <w:rStyle w:val="EndnoteReference"/>
        </w:rPr>
        <w:endnoteReference w:id="3074"/>
      </w:r>
      <w:r>
        <w:rPr>
          <w:b/>
          <w:i/>
        </w:rPr>
        <w:t xml:space="preserve"> Key Points</w:t>
      </w:r>
    </w:p>
    <w:p w:rsidR="00DF5751" w:rsidRDefault="00DF5751" w:rsidP="00DF5751">
      <w:pPr>
        <w:spacing w:after="120" w:line="240" w:lineRule="auto"/>
        <w:ind w:left="567" w:right="74"/>
        <w:jc w:val="both"/>
      </w:pPr>
      <w:r>
        <w:t>Author: Paul; date: ‘A.D 59 at the close of Paul’s three years’ residence in Ephesus’.</w:t>
      </w:r>
    </w:p>
    <w:p w:rsidR="00DF5751" w:rsidRDefault="00DF5751" w:rsidP="00DF5751">
      <w:pPr>
        <w:spacing w:after="120" w:line="240" w:lineRule="auto"/>
        <w:ind w:left="567" w:right="74"/>
        <w:jc w:val="both"/>
      </w:pPr>
      <w:r>
        <w:t>Letter contains nine subjects.</w:t>
      </w:r>
      <w:r>
        <w:rPr>
          <w:rStyle w:val="EndnoteReference"/>
        </w:rPr>
        <w:endnoteReference w:id="3075"/>
      </w:r>
    </w:p>
    <w:p w:rsidR="00DF5751" w:rsidRPr="003E3539" w:rsidRDefault="00DF5751" w:rsidP="00DF5751">
      <w:pPr>
        <w:spacing w:after="0" w:line="240" w:lineRule="auto"/>
        <w:ind w:left="567" w:right="74"/>
        <w:jc w:val="both"/>
        <w:rPr>
          <w:i/>
        </w:rPr>
      </w:pPr>
      <w:r w:rsidRPr="003E3539">
        <w:rPr>
          <w:i/>
        </w:rPr>
        <w:t>Claims:</w:t>
      </w:r>
    </w:p>
    <w:p w:rsidR="00DF5751" w:rsidRDefault="00DF5751" w:rsidP="00DF5751">
      <w:pPr>
        <w:spacing w:after="120" w:line="240" w:lineRule="auto"/>
        <w:ind w:left="851" w:right="74"/>
        <w:jc w:val="both"/>
      </w:pPr>
      <w:r>
        <w:t xml:space="preserve">Theme encompasses </w:t>
      </w:r>
      <w:r w:rsidRPr="005D00B9">
        <w:t>several subjects ‘under the gene</w:t>
      </w:r>
      <w:r>
        <w:t xml:space="preserve">ral theme of Christian conduct’.  </w:t>
      </w:r>
      <w:r w:rsidRPr="005D00B9">
        <w:t>‘Even the tremendous revelation of the truth concerning resurrection is made to bear upon that theme.’</w:t>
      </w:r>
      <w:r>
        <w:rPr>
          <w:rStyle w:val="EndnoteReference"/>
        </w:rPr>
        <w:endnoteReference w:id="3076"/>
      </w:r>
    </w:p>
    <w:p w:rsidR="00DF5751" w:rsidRDefault="00DF5751" w:rsidP="00DF5751">
      <w:pPr>
        <w:spacing w:after="120" w:line="240" w:lineRule="auto"/>
        <w:ind w:left="851" w:right="74"/>
        <w:jc w:val="both"/>
      </w:pPr>
      <w:r>
        <w:t xml:space="preserve">Letter ‘occasioned by </w:t>
      </w:r>
      <w:r w:rsidRPr="005D00B9">
        <w:t>a letter of inquiry from Corinth concerning marriage and the use of meats offered to idols’ and refers to Paul’s concern about divisions in the church and ‘a case of incest which had not been judged’.</w:t>
      </w:r>
      <w:r>
        <w:t xml:space="preserve">  Letter </w:t>
      </w:r>
      <w:r w:rsidRPr="005D00B9">
        <w:t>‘came from the Spirit through the apostle’s grief, solicitude and holy indignation’.</w:t>
      </w:r>
    </w:p>
    <w:p w:rsidR="00DF5751" w:rsidRPr="00337830" w:rsidRDefault="00337830" w:rsidP="006A2E06">
      <w:pPr>
        <w:spacing w:after="120" w:line="360" w:lineRule="auto"/>
        <w:ind w:right="74"/>
        <w:jc w:val="both"/>
        <w:rPr>
          <w:b/>
          <w:i/>
        </w:rPr>
      </w:pPr>
      <w:r w:rsidRPr="00337830">
        <w:rPr>
          <w:b/>
          <w:i/>
        </w:rPr>
        <w:t>Continued overleaf</w:t>
      </w:r>
    </w:p>
    <w:p w:rsidR="006A2E06" w:rsidRDefault="006A2E06" w:rsidP="006A2E06">
      <w:pPr>
        <w:spacing w:after="120" w:line="360" w:lineRule="auto"/>
        <w:ind w:right="74"/>
        <w:jc w:val="center"/>
        <w:rPr>
          <w:b/>
        </w:rPr>
      </w:pPr>
      <w:r>
        <w:rPr>
          <w:b/>
          <w:noProof/>
          <w:lang w:eastAsia="en-GB"/>
        </w:rPr>
        <w:lastRenderedPageBreak/>
        <w:drawing>
          <wp:inline distT="0" distB="0" distL="0" distR="0" wp14:anchorId="630D83AA" wp14:editId="1880FF94">
            <wp:extent cx="3733800" cy="3753997"/>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rinthians graph 13.2.18 crop.jpg"/>
                    <pic:cNvPicPr/>
                  </pic:nvPicPr>
                  <pic:blipFill>
                    <a:blip r:embed="rId201">
                      <a:extLst>
                        <a:ext uri="{28A0092B-C50C-407E-A947-70E740481C1C}">
                          <a14:useLocalDpi xmlns:a14="http://schemas.microsoft.com/office/drawing/2010/main" val="0"/>
                        </a:ext>
                      </a:extLst>
                    </a:blip>
                    <a:stretch>
                      <a:fillRect/>
                    </a:stretch>
                  </pic:blipFill>
                  <pic:spPr>
                    <a:xfrm>
                      <a:off x="0" y="0"/>
                      <a:ext cx="3734047" cy="3754245"/>
                    </a:xfrm>
                    <a:prstGeom prst="rect">
                      <a:avLst/>
                    </a:prstGeom>
                  </pic:spPr>
                </pic:pic>
              </a:graphicData>
            </a:graphic>
          </wp:inline>
        </w:drawing>
      </w:r>
    </w:p>
    <w:p w:rsidR="006A2E06" w:rsidRDefault="006A2E06" w:rsidP="006A2E06">
      <w:pPr>
        <w:spacing w:after="120" w:line="360" w:lineRule="auto"/>
        <w:ind w:right="74"/>
        <w:jc w:val="both"/>
      </w:pPr>
      <w:r>
        <w:rPr>
          <w:noProof/>
          <w:lang w:eastAsia="en-GB"/>
        </w:rPr>
        <w:drawing>
          <wp:inline distT="0" distB="0" distL="0" distR="0" wp14:anchorId="27D99D0B" wp14:editId="626A8563">
            <wp:extent cx="5400040" cy="6731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rinthians title 13.2.18 crop.jpg"/>
                    <pic:cNvPicPr/>
                  </pic:nvPicPr>
                  <pic:blipFill>
                    <a:blip r:embed="rId202">
                      <a:extLst>
                        <a:ext uri="{28A0092B-C50C-407E-A947-70E740481C1C}">
                          <a14:useLocalDpi xmlns:a14="http://schemas.microsoft.com/office/drawing/2010/main" val="0"/>
                        </a:ext>
                      </a:extLst>
                    </a:blip>
                    <a:stretch>
                      <a:fillRect/>
                    </a:stretch>
                  </pic:blipFill>
                  <pic:spPr>
                    <a:xfrm>
                      <a:off x="0" y="0"/>
                      <a:ext cx="5400040" cy="673100"/>
                    </a:xfrm>
                    <a:prstGeom prst="rect">
                      <a:avLst/>
                    </a:prstGeom>
                  </pic:spPr>
                </pic:pic>
              </a:graphicData>
            </a:graphic>
          </wp:inline>
        </w:drawing>
      </w:r>
    </w:p>
    <w:p w:rsidR="00337830" w:rsidRDefault="00337830" w:rsidP="00337830">
      <w:pPr>
        <w:spacing w:after="120" w:line="360" w:lineRule="auto"/>
        <w:ind w:right="74"/>
        <w:jc w:val="center"/>
      </w:pPr>
      <w:r>
        <w:rPr>
          <w:noProof/>
          <w:lang w:eastAsia="en-GB"/>
        </w:rPr>
        <w:drawing>
          <wp:inline distT="0" distB="0" distL="0" distR="0">
            <wp:extent cx="5400040" cy="342773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rinthians themes as table rev 26.6.18_Page_1 crop.jpg"/>
                    <pic:cNvPicPr/>
                  </pic:nvPicPr>
                  <pic:blipFill>
                    <a:blip r:embed="rId203">
                      <a:extLst>
                        <a:ext uri="{28A0092B-C50C-407E-A947-70E740481C1C}">
                          <a14:useLocalDpi xmlns:a14="http://schemas.microsoft.com/office/drawing/2010/main" val="0"/>
                        </a:ext>
                      </a:extLst>
                    </a:blip>
                    <a:stretch>
                      <a:fillRect/>
                    </a:stretch>
                  </pic:blipFill>
                  <pic:spPr>
                    <a:xfrm>
                      <a:off x="0" y="0"/>
                      <a:ext cx="5400040" cy="3427730"/>
                    </a:xfrm>
                    <a:prstGeom prst="rect">
                      <a:avLst/>
                    </a:prstGeom>
                  </pic:spPr>
                </pic:pic>
              </a:graphicData>
            </a:graphic>
          </wp:inline>
        </w:drawing>
      </w:r>
    </w:p>
    <w:p w:rsidR="00337830" w:rsidRDefault="00337830" w:rsidP="00337830">
      <w:pPr>
        <w:spacing w:after="120" w:line="360" w:lineRule="auto"/>
        <w:ind w:right="74"/>
        <w:rPr>
          <w:b/>
          <w:i/>
        </w:rPr>
      </w:pPr>
      <w:r>
        <w:rPr>
          <w:b/>
          <w:i/>
        </w:rPr>
        <w:t>Continued overleaf</w:t>
      </w:r>
    </w:p>
    <w:p w:rsidR="00337830" w:rsidRDefault="00337830" w:rsidP="00337830">
      <w:pPr>
        <w:spacing w:after="120" w:line="360" w:lineRule="auto"/>
        <w:ind w:right="74"/>
        <w:rPr>
          <w:b/>
          <w:i/>
        </w:rPr>
      </w:pPr>
    </w:p>
    <w:p w:rsidR="00337830" w:rsidRPr="00337830" w:rsidRDefault="00337830" w:rsidP="00337830">
      <w:pPr>
        <w:spacing w:after="120" w:line="360" w:lineRule="auto"/>
        <w:ind w:right="74"/>
        <w:jc w:val="center"/>
      </w:pPr>
      <w:r>
        <w:rPr>
          <w:noProof/>
          <w:lang w:eastAsia="en-GB"/>
        </w:rPr>
        <w:lastRenderedPageBreak/>
        <w:drawing>
          <wp:inline distT="0" distB="0" distL="0" distR="0">
            <wp:extent cx="5400040" cy="4511040"/>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rinthians themes as table rev 26.6.18_Page_2 crop.jpg"/>
                    <pic:cNvPicPr/>
                  </pic:nvPicPr>
                  <pic:blipFill>
                    <a:blip r:embed="rId204">
                      <a:extLst>
                        <a:ext uri="{28A0092B-C50C-407E-A947-70E740481C1C}">
                          <a14:useLocalDpi xmlns:a14="http://schemas.microsoft.com/office/drawing/2010/main" val="0"/>
                        </a:ext>
                      </a:extLst>
                    </a:blip>
                    <a:stretch>
                      <a:fillRect/>
                    </a:stretch>
                  </pic:blipFill>
                  <pic:spPr>
                    <a:xfrm>
                      <a:off x="0" y="0"/>
                      <a:ext cx="5400040" cy="4511040"/>
                    </a:xfrm>
                    <a:prstGeom prst="rect">
                      <a:avLst/>
                    </a:prstGeom>
                  </pic:spPr>
                </pic:pic>
              </a:graphicData>
            </a:graphic>
          </wp:inline>
        </w:drawing>
      </w:r>
    </w:p>
    <w:p w:rsidR="006A2E06" w:rsidRDefault="006A2E06" w:rsidP="006A2E06">
      <w:pPr>
        <w:spacing w:after="120" w:line="360" w:lineRule="auto"/>
        <w:ind w:right="74"/>
        <w:jc w:val="both"/>
        <w:rPr>
          <w:b/>
          <w:i/>
        </w:rPr>
      </w:pPr>
      <w:r w:rsidRPr="003211CC">
        <w:rPr>
          <w:b/>
          <w:i/>
        </w:rPr>
        <w:t>Annotation</w:t>
      </w:r>
      <w:r>
        <w:rPr>
          <w:b/>
          <w:i/>
        </w:rPr>
        <w:t>: Key Points</w:t>
      </w:r>
    </w:p>
    <w:p w:rsidR="006A2E06" w:rsidRDefault="006A2E06" w:rsidP="006A2E06">
      <w:pPr>
        <w:spacing w:after="120" w:line="240" w:lineRule="auto"/>
        <w:ind w:left="567" w:right="74"/>
        <w:jc w:val="both"/>
      </w:pPr>
      <w:r>
        <w:t>Important assertion concerning the inspiration of Scripture.</w:t>
      </w:r>
      <w:r>
        <w:rPr>
          <w:rStyle w:val="EndnoteReference"/>
        </w:rPr>
        <w:endnoteReference w:id="3077"/>
      </w:r>
    </w:p>
    <w:p w:rsidR="006A2E06" w:rsidRDefault="006A2E06" w:rsidP="006A2E06">
      <w:pPr>
        <w:spacing w:after="120" w:line="240" w:lineRule="auto"/>
        <w:ind w:left="567" w:right="74"/>
        <w:jc w:val="both"/>
      </w:pPr>
      <w:r>
        <w:t>Most notes comprise discourses on Christian doctrine.</w:t>
      </w:r>
    </w:p>
    <w:p w:rsidR="006A2E06" w:rsidRDefault="006A2E06" w:rsidP="006A2E06">
      <w:pPr>
        <w:spacing w:after="120" w:line="240" w:lineRule="auto"/>
        <w:ind w:left="567" w:right="74"/>
        <w:jc w:val="both"/>
      </w:pPr>
      <w:r>
        <w:t>Some translations of Greek words.</w:t>
      </w:r>
      <w:r>
        <w:rPr>
          <w:rStyle w:val="EndnoteReference"/>
        </w:rPr>
        <w:endnoteReference w:id="3078"/>
      </w:r>
      <w:r>
        <w:t xml:space="preserve"> </w:t>
      </w:r>
    </w:p>
    <w:p w:rsidR="006A2E06" w:rsidRDefault="006A2E06" w:rsidP="006A2E06">
      <w:pPr>
        <w:spacing w:after="120" w:line="240" w:lineRule="auto"/>
        <w:ind w:left="567" w:right="74"/>
        <w:jc w:val="both"/>
      </w:pPr>
      <w:r>
        <w:t xml:space="preserve">An unusual grammatical </w:t>
      </w:r>
      <w:r w:rsidRPr="00FB5CB7">
        <w:rPr>
          <w:i/>
        </w:rPr>
        <w:t>excursus</w:t>
      </w:r>
      <w:r>
        <w:t xml:space="preserve"> on the </w:t>
      </w:r>
      <w:r w:rsidRPr="004035D8">
        <w:rPr>
          <w:i/>
        </w:rPr>
        <w:t>alpha</w:t>
      </w:r>
      <w:r>
        <w:t xml:space="preserve"> privative.</w:t>
      </w:r>
      <w:r>
        <w:rPr>
          <w:rStyle w:val="EndnoteReference"/>
        </w:rPr>
        <w:endnoteReference w:id="3079"/>
      </w:r>
    </w:p>
    <w:p w:rsidR="006A2E06" w:rsidRPr="00550BA8" w:rsidRDefault="006A2E06" w:rsidP="006A2E06">
      <w:pPr>
        <w:spacing w:after="240" w:line="240" w:lineRule="auto"/>
        <w:ind w:left="567" w:right="74"/>
        <w:jc w:val="both"/>
      </w:pPr>
      <w:r w:rsidRPr="00896DC4">
        <w:rPr>
          <w:i/>
        </w:rPr>
        <w:t>Excursus</w:t>
      </w:r>
      <w:r>
        <w:t xml:space="preserve"> on imagined discrepancy between Num. 25:9 and 1 Cor. 10:8.</w:t>
      </w:r>
      <w:r w:rsidRPr="00385175">
        <w:rPr>
          <w:rStyle w:val="EndnoteReference"/>
        </w:rPr>
        <w:t xml:space="preserve"> </w:t>
      </w:r>
      <w:r>
        <w:rPr>
          <w:rStyle w:val="EndnoteReference"/>
        </w:rPr>
        <w:endnoteReference w:id="3080"/>
      </w:r>
    </w:p>
    <w:p w:rsidR="006A2E06" w:rsidRDefault="006A2E06" w:rsidP="006A2E06">
      <w:pPr>
        <w:spacing w:after="120" w:line="240" w:lineRule="auto"/>
        <w:ind w:left="1418" w:right="74"/>
        <w:jc w:val="both"/>
      </w:pPr>
      <w:r w:rsidRPr="00AC3EFA">
        <w:rPr>
          <w:b/>
          <w:i/>
        </w:rPr>
        <w:t>Comment</w:t>
      </w:r>
      <w:r>
        <w:t>: This ‘imagined discrepancy’ concerns numbers of deaths (23,000 in Num. 25:9 and 24,000 in 1 Cor. 10:8).</w:t>
      </w:r>
      <w:r>
        <w:rPr>
          <w:rStyle w:val="EndnoteReference"/>
        </w:rPr>
        <w:endnoteReference w:id="3081"/>
      </w:r>
      <w:r>
        <w:t xml:space="preserve">  Admittedly it may be true, as Scofield claims, that deaths ‘in a day’ are not the same as deaths ‘in the plague’, but concentration on this tiny phrase avoids any discussion of Paul’s subject, which is fornication.</w:t>
      </w:r>
      <w:r>
        <w:rPr>
          <w:rStyle w:val="EndnoteReference"/>
        </w:rPr>
        <w:endnoteReference w:id="3082"/>
      </w:r>
      <w:r>
        <w:t xml:space="preserve">  It is also interesting that, in his discussion of the statistics involved in the two verses Scofield casts doubt upon the accuracy of the biblical text where numbers are concerned by arguing that error in ‘the transcription of Hebrew numbers’ is easy and ‘the preservation of numerical accuracy difficult’.</w:t>
      </w:r>
      <w:r>
        <w:rPr>
          <w:rStyle w:val="EndnoteReference"/>
        </w:rPr>
        <w:endnoteReference w:id="3083"/>
      </w:r>
    </w:p>
    <w:p w:rsidR="006A2E06" w:rsidRDefault="006A2E06" w:rsidP="006A2E06">
      <w:pPr>
        <w:spacing w:after="0" w:line="240" w:lineRule="auto"/>
        <w:ind w:left="567" w:right="74"/>
        <w:jc w:val="both"/>
        <w:rPr>
          <w:i/>
        </w:rPr>
      </w:pPr>
      <w:r w:rsidRPr="002C579D">
        <w:rPr>
          <w:i/>
        </w:rPr>
        <w:t>The Kingdom</w:t>
      </w:r>
      <w:r>
        <w:rPr>
          <w:i/>
        </w:rPr>
        <w:t xml:space="preserve"> </w:t>
      </w:r>
    </w:p>
    <w:p w:rsidR="006A2E06" w:rsidRDefault="006A2E06" w:rsidP="006A2E06">
      <w:pPr>
        <w:spacing w:after="240" w:line="240" w:lineRule="auto"/>
        <w:ind w:left="851" w:right="74"/>
        <w:jc w:val="both"/>
      </w:pPr>
      <w:r>
        <w:t>The New Testament Summary of the Kingdom</w:t>
      </w:r>
      <w:r>
        <w:rPr>
          <w:rStyle w:val="EndnoteReference"/>
        </w:rPr>
        <w:endnoteReference w:id="3084"/>
      </w:r>
      <w:r>
        <w:t xml:space="preserve"> is one of two substantial notes on 1 Corinthians 15.</w:t>
      </w:r>
      <w:r>
        <w:rPr>
          <w:rStyle w:val="EndnoteReference"/>
        </w:rPr>
        <w:endnoteReference w:id="3085"/>
      </w:r>
    </w:p>
    <w:p w:rsidR="00337830" w:rsidRDefault="00337830" w:rsidP="006A2E06">
      <w:pPr>
        <w:spacing w:after="240" w:line="240" w:lineRule="auto"/>
        <w:ind w:left="851" w:right="74"/>
        <w:jc w:val="both"/>
        <w:rPr>
          <w:i/>
        </w:rPr>
      </w:pPr>
    </w:p>
    <w:p w:rsidR="006A2E06" w:rsidRDefault="006A2E06" w:rsidP="006A2E06">
      <w:pPr>
        <w:spacing w:after="0" w:line="240" w:lineRule="auto"/>
        <w:ind w:left="567" w:right="74"/>
        <w:jc w:val="both"/>
        <w:rPr>
          <w:i/>
        </w:rPr>
      </w:pPr>
      <w:r w:rsidRPr="006C32A0">
        <w:rPr>
          <w:i/>
        </w:rPr>
        <w:lastRenderedPageBreak/>
        <w:t>Eschatology</w:t>
      </w:r>
    </w:p>
    <w:p w:rsidR="006A2E06" w:rsidRDefault="006A2E06" w:rsidP="006A2E06">
      <w:pPr>
        <w:spacing w:after="120" w:line="240" w:lineRule="auto"/>
        <w:ind w:left="851" w:right="74"/>
        <w:jc w:val="both"/>
      </w:pPr>
      <w:r>
        <w:t>Summary on resurrection.</w:t>
      </w:r>
      <w:r>
        <w:rPr>
          <w:rStyle w:val="EndnoteReference"/>
        </w:rPr>
        <w:endnoteReference w:id="3086"/>
      </w:r>
      <w:r>
        <w:t xml:space="preserve"> </w:t>
      </w:r>
    </w:p>
    <w:p w:rsidR="006A2E06" w:rsidRDefault="006A2E06" w:rsidP="006A2E06">
      <w:pPr>
        <w:spacing w:after="120" w:line="240" w:lineRule="auto"/>
        <w:ind w:left="851" w:right="74"/>
        <w:jc w:val="both"/>
      </w:pPr>
      <w:r>
        <w:t>This includes the dispensationalist ideas of a pretribulational rapture of believers and a second resurrection concerning ‘the wicked dead’; it also refers to the great tribulation.</w:t>
      </w:r>
      <w:r>
        <w:rPr>
          <w:rStyle w:val="EndnoteReference"/>
        </w:rPr>
        <w:endnoteReference w:id="3087"/>
      </w:r>
      <w:r>
        <w:t xml:space="preserve">  </w:t>
      </w:r>
    </w:p>
    <w:p w:rsidR="006A2E06" w:rsidRDefault="006A2E06" w:rsidP="006A2E06">
      <w:pPr>
        <w:spacing w:after="0" w:line="240" w:lineRule="auto"/>
        <w:ind w:left="567" w:right="74"/>
        <w:jc w:val="both"/>
        <w:rPr>
          <w:i/>
        </w:rPr>
      </w:pPr>
      <w:r w:rsidRPr="006C32A0">
        <w:rPr>
          <w:i/>
        </w:rPr>
        <w:t>Types</w:t>
      </w:r>
    </w:p>
    <w:p w:rsidR="006A2E06" w:rsidRPr="00DE5D41" w:rsidRDefault="006A2E06" w:rsidP="006A2E06">
      <w:pPr>
        <w:spacing w:after="240" w:line="240" w:lineRule="auto"/>
        <w:ind w:left="851" w:right="74"/>
        <w:jc w:val="both"/>
      </w:pPr>
      <w:r>
        <w:t>The note on 1 Cor. 15:22 focuses on Paul’s comparison in verse 45 between Adam as the first man and Christ as the last Adam; it rehearses many of Paul’s clauses in the chapter and incorporates ideas from other biblical books to demonstrate that Adam is a contrasting type of Christ.</w:t>
      </w:r>
      <w:r>
        <w:rPr>
          <w:rStyle w:val="EndnoteReference"/>
        </w:rPr>
        <w:endnoteReference w:id="3088"/>
      </w:r>
      <w:r>
        <w:t xml:space="preserve">  </w:t>
      </w:r>
    </w:p>
    <w:p w:rsidR="006A2E06" w:rsidRPr="00B13818" w:rsidRDefault="006A2E06" w:rsidP="006A2E06">
      <w:pPr>
        <w:spacing w:after="120" w:line="360" w:lineRule="auto"/>
        <w:ind w:right="74"/>
        <w:jc w:val="both"/>
        <w:rPr>
          <w:b/>
          <w:i/>
        </w:rPr>
      </w:pPr>
      <w:r w:rsidRPr="00B13818">
        <w:rPr>
          <w:b/>
          <w:i/>
        </w:rPr>
        <w:t>Omissions</w:t>
      </w:r>
    </w:p>
    <w:p w:rsidR="006A2E06" w:rsidRPr="00CB11E2" w:rsidRDefault="006A2E06" w:rsidP="006A2E06">
      <w:pPr>
        <w:spacing w:after="120" w:line="360" w:lineRule="auto"/>
        <w:ind w:right="74"/>
        <w:jc w:val="both"/>
      </w:pPr>
      <w:r w:rsidRPr="00CB11E2">
        <w:t>Some of Scofield’s omissions</w:t>
      </w:r>
      <w:r>
        <w:t xml:space="preserve"> in his notes on 1 Corinthians</w:t>
      </w:r>
      <w:r w:rsidRPr="00CB11E2">
        <w:t xml:space="preserve"> are surprising.  He does not comment on Paul’s analogous use of the word, ‘leaven,’</w:t>
      </w:r>
      <w:r w:rsidRPr="00CB11E2">
        <w:rPr>
          <w:rStyle w:val="EndnoteReference"/>
        </w:rPr>
        <w:endnoteReference w:id="3089"/>
      </w:r>
      <w:r w:rsidRPr="00CB11E2">
        <w:t xml:space="preserve"> which could have supported his argument in his notes on Matthew.</w:t>
      </w:r>
      <w:r w:rsidRPr="00CB11E2">
        <w:rPr>
          <w:rStyle w:val="EndnoteReference"/>
        </w:rPr>
        <w:endnoteReference w:id="3090"/>
      </w:r>
      <w:r w:rsidRPr="00CB11E2">
        <w:t xml:space="preserve"> </w:t>
      </w:r>
    </w:p>
    <w:p w:rsidR="006A2E06" w:rsidRDefault="006A2E06" w:rsidP="006A2E06">
      <w:pPr>
        <w:spacing w:after="120" w:line="360" w:lineRule="auto"/>
        <w:ind w:right="74" w:firstLine="851"/>
        <w:jc w:val="both"/>
      </w:pPr>
      <w:r w:rsidRPr="00CB11E2">
        <w:t>Many of the omitted chapters, and omitted verses in chapters which are covered, contain advice on aspects of behaviour in the church at Corinth</w:t>
      </w:r>
      <w:r>
        <w:t>.</w:t>
      </w:r>
      <w:r w:rsidRPr="00CB11E2">
        <w:rPr>
          <w:rStyle w:val="EndnoteReference"/>
        </w:rPr>
        <w:endnoteReference w:id="3091"/>
      </w:r>
      <w:r w:rsidRPr="00CB11E2">
        <w:t xml:space="preserve">  In view of Scofield’s </w:t>
      </w:r>
      <w:r>
        <w:t>separation from his first wife</w:t>
      </w:r>
      <w:r w:rsidRPr="00CB11E2">
        <w:rPr>
          <w:rStyle w:val="EndnoteReference"/>
        </w:rPr>
        <w:endnoteReference w:id="3092"/>
      </w:r>
      <w:r w:rsidRPr="00CB11E2">
        <w:t xml:space="preserve"> </w:t>
      </w:r>
      <w:r>
        <w:t>and the divorce case which she brought against him for desertion,</w:t>
      </w:r>
      <w:r>
        <w:rPr>
          <w:rStyle w:val="EndnoteReference"/>
          <w:color w:val="000000"/>
        </w:rPr>
        <w:endnoteReference w:id="3093"/>
      </w:r>
      <w:r>
        <w:t xml:space="preserve"> </w:t>
      </w:r>
      <w:r w:rsidRPr="00284FC4">
        <w:t>it is noteworthy that he does not dwell upon the strictures on sexual immorality in 1 Cor. 10:8,</w:t>
      </w:r>
      <w:r w:rsidRPr="00284FC4">
        <w:rPr>
          <w:rStyle w:val="EndnoteReference"/>
        </w:rPr>
        <w:endnoteReference w:id="3094"/>
      </w:r>
      <w:r w:rsidRPr="00284FC4">
        <w:t xml:space="preserve"> or in 1 Cor. 5:13,</w:t>
      </w:r>
      <w:r w:rsidRPr="00284FC4">
        <w:rPr>
          <w:rStyle w:val="EndnoteReference"/>
        </w:rPr>
        <w:endnoteReference w:id="3095"/>
      </w:r>
      <w:r w:rsidRPr="00284FC4">
        <w:t xml:space="preserve"> where Paul orders the Corinthians to ‘put away that wicked person’.</w:t>
      </w:r>
      <w:r w:rsidRPr="00284FC4">
        <w:rPr>
          <w:rStyle w:val="EndnoteReference"/>
        </w:rPr>
        <w:endnoteReference w:id="3096"/>
      </w:r>
      <w:r w:rsidRPr="00284FC4">
        <w:t xml:space="preserve">  </w:t>
      </w:r>
      <w:r>
        <w:t>Scofield</w:t>
      </w:r>
      <w:r w:rsidRPr="00284FC4">
        <w:t xml:space="preserve"> shows little interest in what he </w:t>
      </w:r>
      <w:r w:rsidR="007835AF">
        <w:t>calls</w:t>
      </w:r>
      <w:r w:rsidRPr="00284FC4">
        <w:t xml:space="preserve"> ‘this instance of gross sin’ in 1 Corinthians 5; instead, he concentrates on the divisions amongst Corinthians.</w:t>
      </w:r>
      <w:r w:rsidRPr="00284FC4">
        <w:rPr>
          <w:rStyle w:val="EndnoteReference"/>
        </w:rPr>
        <w:endnoteReference w:id="3097"/>
      </w:r>
      <w:r w:rsidRPr="00284FC4">
        <w:t xml:space="preserve">  </w:t>
      </w:r>
      <w:r>
        <w:t>He</w:t>
      </w:r>
      <w:r w:rsidRPr="00CB11E2">
        <w:t xml:space="preserve"> also suggests </w:t>
      </w:r>
      <w:r>
        <w:t xml:space="preserve">in his note on 1 Cor. 7:12 </w:t>
      </w:r>
      <w:r w:rsidRPr="00CB11E2">
        <w:t>that the words of Jesus concerning divorce in Mt. 5:31-2 and 19:5-9 ‘were an instruction, primarily, to Israel’.</w:t>
      </w:r>
      <w:r>
        <w:rPr>
          <w:rStyle w:val="EndnoteReference"/>
        </w:rPr>
        <w:endnoteReference w:id="3098"/>
      </w:r>
      <w:r>
        <w:t xml:space="preserve">  </w:t>
      </w:r>
    </w:p>
    <w:p w:rsidR="00455E1F" w:rsidRPr="00455E1F" w:rsidRDefault="00455E1F" w:rsidP="00455E1F">
      <w:pPr>
        <w:spacing w:after="120" w:line="360" w:lineRule="auto"/>
        <w:ind w:right="74"/>
        <w:jc w:val="both"/>
        <w:rPr>
          <w:b/>
        </w:rPr>
      </w:pPr>
      <w:r w:rsidRPr="00455E1F">
        <w:rPr>
          <w:b/>
        </w:rPr>
        <w:t>8.7.3  2 Corinthians</w:t>
      </w:r>
    </w:p>
    <w:p w:rsidR="00455E1F" w:rsidRPr="00455E1F" w:rsidRDefault="00455E1F" w:rsidP="00455E1F">
      <w:pPr>
        <w:spacing w:after="120" w:line="360" w:lineRule="auto"/>
        <w:ind w:right="74"/>
        <w:jc w:val="both"/>
        <w:rPr>
          <w:b/>
          <w:i/>
        </w:rPr>
      </w:pPr>
      <w:r w:rsidRPr="00455E1F">
        <w:rPr>
          <w:b/>
          <w:i/>
        </w:rPr>
        <w:t>Introduction:</w:t>
      </w:r>
      <w:r w:rsidRPr="00455E1F">
        <w:rPr>
          <w:rStyle w:val="EndnoteReference"/>
          <w:b/>
          <w:i/>
        </w:rPr>
        <w:endnoteReference w:id="3099"/>
      </w:r>
      <w:r w:rsidRPr="00455E1F">
        <w:rPr>
          <w:b/>
          <w:i/>
        </w:rPr>
        <w:t xml:space="preserve"> Key Points </w:t>
      </w:r>
    </w:p>
    <w:p w:rsidR="00455E1F" w:rsidRPr="00455E1F" w:rsidRDefault="00455E1F" w:rsidP="00455E1F">
      <w:pPr>
        <w:spacing w:after="120" w:line="240" w:lineRule="auto"/>
        <w:ind w:left="567"/>
        <w:jc w:val="both"/>
      </w:pPr>
      <w:r w:rsidRPr="00455E1F">
        <w:t>Author: Paul; date ‘A.D. 60, probably from Philippi’.</w:t>
      </w:r>
    </w:p>
    <w:p w:rsidR="00455E1F" w:rsidRPr="00455E1F" w:rsidRDefault="00455E1F" w:rsidP="00455E1F">
      <w:pPr>
        <w:spacing w:after="120" w:line="240" w:lineRule="auto"/>
        <w:ind w:left="567"/>
        <w:jc w:val="both"/>
      </w:pPr>
      <w:r w:rsidRPr="00455E1F">
        <w:t xml:space="preserve">Assertion that ‘it is evident that the really dangerous sect in Corinth was that which said “And I of Christ” (1 Cor. 1:12)’.  </w:t>
      </w:r>
    </w:p>
    <w:p w:rsidR="00455E1F" w:rsidRPr="00455E1F" w:rsidRDefault="00455E1F" w:rsidP="00455E1F">
      <w:pPr>
        <w:spacing w:after="120" w:line="240" w:lineRule="auto"/>
        <w:ind w:left="567"/>
        <w:jc w:val="both"/>
      </w:pPr>
      <w:r w:rsidRPr="00455E1F">
        <w:t>Assertion that these believers ‘rejected the new revelation through Paul of the doctrines (</w:t>
      </w:r>
      <w:r w:rsidRPr="00455E1F">
        <w:rPr>
          <w:i/>
        </w:rPr>
        <w:t>sic</w:t>
      </w:r>
      <w:r w:rsidRPr="00455E1F">
        <w:t>) of grace, grounding themselves, probably, on the kingdom teaching of our Lord as “a minister of the circumcision”,</w:t>
      </w:r>
      <w:r w:rsidRPr="00455E1F">
        <w:rPr>
          <w:rStyle w:val="EndnoteReference"/>
        </w:rPr>
        <w:endnoteReference w:id="3100"/>
      </w:r>
      <w:r w:rsidRPr="00455E1F">
        <w:t xml:space="preserve"> seemingly oblivious that a new dispensation had been introduced by Christ’s death’.</w:t>
      </w:r>
    </w:p>
    <w:p w:rsidR="00455E1F" w:rsidRPr="00455E1F" w:rsidRDefault="00455E1F" w:rsidP="00455E1F">
      <w:pPr>
        <w:spacing w:after="120" w:line="240" w:lineRule="auto"/>
        <w:ind w:left="1418"/>
        <w:jc w:val="both"/>
      </w:pPr>
      <w:r w:rsidRPr="00455E1F">
        <w:rPr>
          <w:b/>
          <w:i/>
        </w:rPr>
        <w:t>Comment</w:t>
      </w:r>
      <w:r w:rsidRPr="00455E1F">
        <w:t>: This statement is surprising. It implies that Christ taught circumcision, of which there is no evidence; that is, that Christ taught law and that it was Paul who introduced the whole concept of grace.  However, Christ told Nicodemus that no-one could enter the kingdom of God unless he had been born again of water and the Spirit.</w:t>
      </w:r>
      <w:r w:rsidRPr="00455E1F">
        <w:rPr>
          <w:rStyle w:val="EndnoteReference"/>
        </w:rPr>
        <w:endnoteReference w:id="3101"/>
      </w:r>
      <w:r w:rsidRPr="00455E1F">
        <w:t xml:space="preserve">  Weston calls Scofield’s statement ‘an outrageous heresy’.</w:t>
      </w:r>
      <w:r w:rsidRPr="00455E1F">
        <w:rPr>
          <w:rStyle w:val="EndnoteReference"/>
        </w:rPr>
        <w:endnoteReference w:id="3102"/>
      </w:r>
    </w:p>
    <w:p w:rsidR="00455E1F" w:rsidRPr="00455E1F" w:rsidRDefault="00455E1F" w:rsidP="00455E1F">
      <w:pPr>
        <w:spacing w:after="240" w:line="240" w:lineRule="auto"/>
        <w:ind w:left="567"/>
        <w:jc w:val="both"/>
      </w:pPr>
      <w:r w:rsidRPr="00455E1F">
        <w:t>Assertion that it was this which made a defence of Paul’s apostolic authority necessary.</w:t>
      </w:r>
    </w:p>
    <w:p w:rsidR="006A2E06" w:rsidRPr="00455E1F" w:rsidRDefault="00455E1F" w:rsidP="00455E1F">
      <w:pPr>
        <w:spacing w:after="120" w:line="360" w:lineRule="auto"/>
        <w:ind w:right="74"/>
        <w:jc w:val="both"/>
        <w:rPr>
          <w:b/>
          <w:i/>
        </w:rPr>
      </w:pPr>
      <w:r w:rsidRPr="00455E1F">
        <w:rPr>
          <w:b/>
          <w:i/>
        </w:rPr>
        <w:t>Continued overleaf</w:t>
      </w:r>
    </w:p>
    <w:p w:rsidR="006A2E06" w:rsidRDefault="006A2E06" w:rsidP="006A2E06">
      <w:r>
        <w:rPr>
          <w:noProof/>
          <w:lang w:eastAsia="en-GB"/>
        </w:rPr>
        <w:lastRenderedPageBreak/>
        <w:drawing>
          <wp:inline distT="0" distB="0" distL="0" distR="0" wp14:anchorId="35D4AE74" wp14:editId="3B356C70">
            <wp:extent cx="5400040" cy="7846060"/>
            <wp:effectExtent l="0" t="0" r="0" b="254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Cor etc 15.2.18 crop.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00040" cy="7846060"/>
                    </a:xfrm>
                    <a:prstGeom prst="rect">
                      <a:avLst/>
                    </a:prstGeom>
                  </pic:spPr>
                </pic:pic>
              </a:graphicData>
            </a:graphic>
          </wp:inline>
        </w:drawing>
      </w:r>
    </w:p>
    <w:p w:rsidR="006A2E06" w:rsidRDefault="006A2E06" w:rsidP="006A2E06">
      <w:r>
        <w:br w:type="page"/>
      </w:r>
    </w:p>
    <w:p w:rsidR="006A2E06" w:rsidRDefault="006A2E06" w:rsidP="006A2E06">
      <w:pPr>
        <w:spacing w:after="120" w:line="360" w:lineRule="auto"/>
        <w:ind w:right="74"/>
        <w:jc w:val="both"/>
        <w:rPr>
          <w:b/>
          <w:i/>
          <w:color w:val="000000"/>
        </w:rPr>
      </w:pPr>
      <w:r>
        <w:rPr>
          <w:b/>
          <w:i/>
          <w:color w:val="000000"/>
        </w:rPr>
        <w:lastRenderedPageBreak/>
        <w:t>Annotation</w:t>
      </w:r>
      <w:r w:rsidR="00455E1F">
        <w:rPr>
          <w:b/>
          <w:i/>
          <w:color w:val="000000"/>
        </w:rPr>
        <w:t>, 2 Corinthians</w:t>
      </w:r>
      <w:r>
        <w:rPr>
          <w:b/>
          <w:i/>
          <w:color w:val="000000"/>
        </w:rPr>
        <w:t>: Key Points</w:t>
      </w:r>
    </w:p>
    <w:p w:rsidR="006A2E06" w:rsidRDefault="006A2E06" w:rsidP="006A2E06">
      <w:pPr>
        <w:spacing w:after="120" w:line="240" w:lineRule="auto"/>
        <w:ind w:left="567" w:right="74"/>
        <w:jc w:val="both"/>
        <w:rPr>
          <w:color w:val="000000"/>
        </w:rPr>
      </w:pPr>
      <w:r>
        <w:rPr>
          <w:color w:val="000000"/>
        </w:rPr>
        <w:t>Only four verses annotated.</w:t>
      </w:r>
    </w:p>
    <w:p w:rsidR="006A2E06" w:rsidRDefault="006A2E06" w:rsidP="006A2E06">
      <w:pPr>
        <w:spacing w:after="120" w:line="240" w:lineRule="auto"/>
        <w:ind w:left="567" w:right="74"/>
        <w:jc w:val="both"/>
      </w:pPr>
      <w:r>
        <w:t xml:space="preserve">Discourses on </w:t>
      </w:r>
      <w:r w:rsidRPr="00CB11E2">
        <w:t>the judgment of believers’ works</w:t>
      </w:r>
      <w:r>
        <w:t xml:space="preserve"> following Christ’s return,</w:t>
      </w:r>
      <w:r>
        <w:rPr>
          <w:rStyle w:val="EndnoteReference"/>
        </w:rPr>
        <w:endnoteReference w:id="3103"/>
      </w:r>
      <w:r>
        <w:t xml:space="preserve"> the twofold nature of separation in Scripture – separation to God and separation from evil,</w:t>
      </w:r>
      <w:r>
        <w:rPr>
          <w:rStyle w:val="EndnoteReference"/>
        </w:rPr>
        <w:endnoteReference w:id="3104"/>
      </w:r>
      <w:r>
        <w:t xml:space="preserve"> and ‘the Christian doctrine of giving’.</w:t>
      </w:r>
      <w:r>
        <w:rPr>
          <w:rStyle w:val="EndnoteReference"/>
        </w:rPr>
        <w:endnoteReference w:id="3105"/>
      </w:r>
      <w:r w:rsidRPr="005C3801">
        <w:t xml:space="preserve"> </w:t>
      </w:r>
    </w:p>
    <w:p w:rsidR="006A2E06" w:rsidRPr="005C3801" w:rsidRDefault="006A2E06" w:rsidP="006A2E06">
      <w:pPr>
        <w:spacing w:after="120" w:line="240" w:lineRule="auto"/>
        <w:ind w:left="567" w:right="74"/>
        <w:jc w:val="both"/>
        <w:rPr>
          <w:color w:val="000000"/>
        </w:rPr>
      </w:pPr>
      <w:r>
        <w:t xml:space="preserve">An </w:t>
      </w:r>
      <w:r w:rsidRPr="00A616F6">
        <w:rPr>
          <w:i/>
        </w:rPr>
        <w:t>excursus</w:t>
      </w:r>
      <w:r>
        <w:t xml:space="preserve"> speculates about the nature of Paul’s ‘thorn in the flesh’ as being ‘</w:t>
      </w:r>
      <w:r w:rsidRPr="00A616F6">
        <w:t>chronic ophthalmia, inducing bodily weakness and repulsive appearance</w:t>
      </w:r>
      <w:r>
        <w:t>’.</w:t>
      </w:r>
      <w:r>
        <w:rPr>
          <w:rStyle w:val="EndnoteReference"/>
        </w:rPr>
        <w:endnoteReference w:id="3106"/>
      </w:r>
    </w:p>
    <w:p w:rsidR="006A2E06" w:rsidRDefault="006A2E06" w:rsidP="006A2E06">
      <w:pPr>
        <w:spacing w:after="120" w:line="240" w:lineRule="auto"/>
        <w:ind w:left="1418" w:right="74"/>
        <w:jc w:val="both"/>
      </w:pPr>
      <w:r w:rsidRPr="00452D05">
        <w:rPr>
          <w:b/>
          <w:i/>
        </w:rPr>
        <w:t>Comment</w:t>
      </w:r>
      <w:r>
        <w:t>: Scofield justly owns that this</w:t>
      </w:r>
      <w:r w:rsidRPr="00A616F6">
        <w:t xml:space="preserve"> cannot be positively known and </w:t>
      </w:r>
      <w:r>
        <w:t xml:space="preserve">states that </w:t>
      </w:r>
      <w:r w:rsidRPr="00A616F6">
        <w:t xml:space="preserve">‘the reserve of Scripture is as sure a mark of inspiration as its revelations’.  Paul’s thorn </w:t>
      </w:r>
      <w:r>
        <w:t xml:space="preserve">is </w:t>
      </w:r>
      <w:r w:rsidRPr="00A616F6">
        <w:t>not described so that ‘his consolations may avail for any to whom any thorn is given’.</w:t>
      </w:r>
      <w:r>
        <w:rPr>
          <w:rStyle w:val="EndnoteReference"/>
        </w:rPr>
        <w:endnoteReference w:id="3107"/>
      </w:r>
    </w:p>
    <w:p w:rsidR="006A2E06" w:rsidRPr="005C3801" w:rsidRDefault="006A2E06" w:rsidP="006A2E06">
      <w:pPr>
        <w:spacing w:after="120" w:line="360" w:lineRule="auto"/>
        <w:ind w:right="74"/>
        <w:jc w:val="both"/>
        <w:rPr>
          <w:b/>
          <w:i/>
          <w:sz w:val="24"/>
        </w:rPr>
      </w:pPr>
      <w:r w:rsidRPr="005C3801">
        <w:rPr>
          <w:b/>
          <w:i/>
        </w:rPr>
        <w:t>Omissions</w:t>
      </w:r>
    </w:p>
    <w:p w:rsidR="006A2E06" w:rsidRDefault="006A2E06" w:rsidP="006A2E06">
      <w:pPr>
        <w:spacing w:after="120" w:line="360" w:lineRule="auto"/>
        <w:ind w:right="74"/>
        <w:jc w:val="both"/>
      </w:pPr>
      <w:r>
        <w:t>There is no mention of the intensely personal tone of Paul’s letter or of his reliance upon Christ in his weakness.</w:t>
      </w:r>
      <w:r>
        <w:rPr>
          <w:rStyle w:val="EndnoteReference"/>
        </w:rPr>
        <w:endnoteReference w:id="3108"/>
      </w:r>
      <w:r>
        <w:t xml:space="preserve">  There is no comment on the encouragement Paul offers to the Corinthians. </w:t>
      </w:r>
    </w:p>
    <w:p w:rsidR="006A2E06" w:rsidRDefault="006A2E06" w:rsidP="006A2E06">
      <w:pPr>
        <w:spacing w:after="120" w:line="360" w:lineRule="auto"/>
        <w:ind w:right="74"/>
        <w:jc w:val="both"/>
        <w:rPr>
          <w:b/>
        </w:rPr>
      </w:pPr>
      <w:r>
        <w:rPr>
          <w:b/>
        </w:rPr>
        <w:t>8.7</w:t>
      </w:r>
      <w:r w:rsidRPr="00A616F6">
        <w:rPr>
          <w:b/>
        </w:rPr>
        <w:t>.4  Galatians</w:t>
      </w:r>
    </w:p>
    <w:p w:rsidR="006A2E06" w:rsidRDefault="006A2E06" w:rsidP="006A2E06">
      <w:pPr>
        <w:spacing w:after="120" w:line="360" w:lineRule="auto"/>
        <w:ind w:right="74"/>
        <w:jc w:val="both"/>
        <w:rPr>
          <w:b/>
          <w:i/>
        </w:rPr>
      </w:pPr>
      <w:r w:rsidRPr="00A616F6">
        <w:rPr>
          <w:b/>
          <w:i/>
        </w:rPr>
        <w:t>Introduction</w:t>
      </w:r>
      <w:r>
        <w:rPr>
          <w:b/>
          <w:i/>
        </w:rPr>
        <w:t>:</w:t>
      </w:r>
      <w:r>
        <w:rPr>
          <w:rStyle w:val="EndnoteReference"/>
        </w:rPr>
        <w:endnoteReference w:id="3109"/>
      </w:r>
      <w:r>
        <w:rPr>
          <w:b/>
          <w:i/>
        </w:rPr>
        <w:t xml:space="preserve"> Key Points</w:t>
      </w:r>
    </w:p>
    <w:p w:rsidR="006A2E06" w:rsidRDefault="006A2E06" w:rsidP="006A2E06">
      <w:pPr>
        <w:spacing w:after="120" w:line="240" w:lineRule="auto"/>
        <w:ind w:left="567" w:right="74"/>
        <w:jc w:val="both"/>
      </w:pPr>
      <w:r>
        <w:t>Author: Paul; date: ‘probably A.D 60’.</w:t>
      </w:r>
    </w:p>
    <w:p w:rsidR="006A2E06" w:rsidRDefault="006A2E06" w:rsidP="006A2E06">
      <w:pPr>
        <w:spacing w:after="120" w:line="240" w:lineRule="auto"/>
        <w:ind w:left="567" w:right="74"/>
        <w:jc w:val="both"/>
      </w:pPr>
      <w:r>
        <w:t xml:space="preserve">Theme: </w:t>
      </w:r>
      <w:r w:rsidRPr="005D00B9">
        <w:t>vindication of the Gospel of the grace of God against any mixture with conditions of law.</w:t>
      </w:r>
    </w:p>
    <w:p w:rsidR="006A2E06" w:rsidRDefault="006A2E06" w:rsidP="006A2E06">
      <w:pPr>
        <w:spacing w:after="120" w:line="240" w:lineRule="auto"/>
        <w:ind w:left="567" w:right="74"/>
        <w:jc w:val="both"/>
      </w:pPr>
      <w:r>
        <w:t>Paul had learned</w:t>
      </w:r>
      <w:r w:rsidRPr="00B6154B">
        <w:t xml:space="preserve"> that the Galatians had ‘become the prey of the legalizers, the Judaizing missionaries from Palestine’.</w:t>
      </w:r>
    </w:p>
    <w:p w:rsidR="006A2E06" w:rsidRDefault="006A2E06" w:rsidP="006A2E06">
      <w:pPr>
        <w:spacing w:after="120" w:line="240" w:lineRule="auto"/>
        <w:ind w:left="567" w:right="74"/>
        <w:jc w:val="both"/>
      </w:pPr>
      <w:r w:rsidRPr="005D00B9">
        <w:t>Two forms of Galatian error refuted: the teaching that obedience to the law, mixed with faith, is the basis of sinners’ justification, and that the justified believer is perfected through law-keeping.</w:t>
      </w:r>
    </w:p>
    <w:p w:rsidR="006A2E06" w:rsidRDefault="006A2E06" w:rsidP="006A2E06">
      <w:pPr>
        <w:spacing w:after="120" w:line="240" w:lineRule="auto"/>
        <w:ind w:left="567" w:right="74"/>
        <w:jc w:val="both"/>
        <w:rPr>
          <w:i/>
        </w:rPr>
      </w:pPr>
      <w:r w:rsidRPr="00D31D54">
        <w:t>Paul demonstrates that justification is through the Abrahamic Covenant</w:t>
      </w:r>
      <w:r w:rsidRPr="00D31D54">
        <w:rPr>
          <w:rStyle w:val="EndnoteReference"/>
        </w:rPr>
        <w:endnoteReference w:id="3110"/>
      </w:r>
      <w:r w:rsidRPr="00D31D54">
        <w:t xml:space="preserve"> and that </w:t>
      </w:r>
      <w:r>
        <w:t xml:space="preserve">‘the </w:t>
      </w:r>
      <w:r w:rsidRPr="00D31D54">
        <w:t xml:space="preserve">law, which </w:t>
      </w:r>
      <w:r>
        <w:t>was</w:t>
      </w:r>
      <w:r w:rsidRPr="00D31D54">
        <w:t xml:space="preserve"> 430 years after the </w:t>
      </w:r>
      <w:r>
        <w:t xml:space="preserve">confirmation of the </w:t>
      </w:r>
      <w:r w:rsidRPr="00D31D54">
        <w:t>covenant, and the true purpose of which was condemnation, not justification, cannot disannul a salvation which rests on earlier covenant</w:t>
      </w:r>
      <w:r>
        <w:t>’</w:t>
      </w:r>
      <w:r w:rsidRPr="000A48F0">
        <w:rPr>
          <w:i/>
        </w:rPr>
        <w:t>.</w:t>
      </w:r>
    </w:p>
    <w:p w:rsidR="006A2E06" w:rsidRPr="005C3801" w:rsidRDefault="006A2E06" w:rsidP="006A2E06">
      <w:pPr>
        <w:spacing w:after="240" w:line="240" w:lineRule="auto"/>
        <w:ind w:left="567" w:right="74"/>
        <w:jc w:val="both"/>
      </w:pPr>
      <w:r w:rsidRPr="005D00B9">
        <w:t>‘Paul’s Gospel’ is ‘a revelation’.</w:t>
      </w:r>
      <w:r>
        <w:t xml:space="preserve"> </w:t>
      </w:r>
      <w:r>
        <w:rPr>
          <w:rStyle w:val="EndnoteReference"/>
        </w:rPr>
        <w:endnoteReference w:id="3111"/>
      </w:r>
    </w:p>
    <w:p w:rsidR="006A2E06" w:rsidRDefault="006A2E06" w:rsidP="006A2E06">
      <w:pPr>
        <w:spacing w:after="120" w:line="240" w:lineRule="auto"/>
        <w:ind w:left="1418"/>
        <w:jc w:val="both"/>
      </w:pPr>
      <w:r w:rsidRPr="00452D05">
        <w:rPr>
          <w:b/>
          <w:i/>
        </w:rPr>
        <w:t>Comment</w:t>
      </w:r>
      <w:r>
        <w:t xml:space="preserve">: </w:t>
      </w:r>
      <w:r w:rsidRPr="00D31D54">
        <w:t xml:space="preserve">This assertion repeats </w:t>
      </w:r>
      <w:r>
        <w:t xml:space="preserve">the implication </w:t>
      </w:r>
      <w:r w:rsidRPr="00D31D54">
        <w:t>that ‘Paul’s Gospel’ is independent from the Gospel of Christ.</w:t>
      </w:r>
      <w:r>
        <w:rPr>
          <w:rStyle w:val="EndnoteReference"/>
        </w:rPr>
        <w:endnoteReference w:id="3112"/>
      </w:r>
    </w:p>
    <w:p w:rsidR="006A2E06" w:rsidRDefault="006A2E06" w:rsidP="006A2E06">
      <w:pPr>
        <w:spacing w:after="120" w:line="360" w:lineRule="auto"/>
        <w:ind w:right="74"/>
        <w:jc w:val="center"/>
        <w:rPr>
          <w:lang w:val="en-US"/>
        </w:rPr>
      </w:pPr>
      <w:r>
        <w:rPr>
          <w:noProof/>
          <w:lang w:eastAsia="en-GB"/>
        </w:rPr>
        <w:drawing>
          <wp:inline distT="0" distB="0" distL="0" distR="0" wp14:anchorId="0B8DC56E" wp14:editId="58DBBE0A">
            <wp:extent cx="5400040" cy="2226310"/>
            <wp:effectExtent l="0" t="0" r="0" b="254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atians themes as table 11.5.18 crop.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00040" cy="2226310"/>
                    </a:xfrm>
                    <a:prstGeom prst="rect">
                      <a:avLst/>
                    </a:prstGeom>
                  </pic:spPr>
                </pic:pic>
              </a:graphicData>
            </a:graphic>
          </wp:inline>
        </w:drawing>
      </w:r>
    </w:p>
    <w:p w:rsidR="00455E1F" w:rsidRPr="002604C3" w:rsidRDefault="00455E1F" w:rsidP="006A2E06">
      <w:pPr>
        <w:spacing w:after="120" w:line="360" w:lineRule="auto"/>
        <w:ind w:right="74"/>
        <w:jc w:val="center"/>
        <w:rPr>
          <w:lang w:val="en-US"/>
        </w:rPr>
      </w:pPr>
    </w:p>
    <w:p w:rsidR="006A2E06" w:rsidRPr="00BF7F10" w:rsidRDefault="006A2E06" w:rsidP="006A2E06">
      <w:pPr>
        <w:rPr>
          <w:b/>
          <w:i/>
        </w:rPr>
      </w:pPr>
      <w:r w:rsidRPr="00BF7F10">
        <w:rPr>
          <w:b/>
          <w:i/>
        </w:rPr>
        <w:lastRenderedPageBreak/>
        <w:t>Annotation</w:t>
      </w:r>
      <w:r>
        <w:rPr>
          <w:b/>
          <w:i/>
        </w:rPr>
        <w:t>: Key Points</w:t>
      </w:r>
    </w:p>
    <w:p w:rsidR="006A2E06" w:rsidRDefault="006A2E06" w:rsidP="006A2E06">
      <w:pPr>
        <w:spacing w:after="120" w:line="240" w:lineRule="auto"/>
        <w:ind w:left="567" w:right="74"/>
        <w:jc w:val="both"/>
      </w:pPr>
      <w:r>
        <w:t xml:space="preserve">Unusually, Scofield annotates every chapter in Galatians but, chapters 4, 5 and 6, with only single notes.  </w:t>
      </w:r>
    </w:p>
    <w:p w:rsidR="006A2E06" w:rsidRDefault="006A2E06" w:rsidP="006A2E06">
      <w:pPr>
        <w:spacing w:after="240" w:line="240" w:lineRule="auto"/>
        <w:ind w:left="567" w:right="74"/>
        <w:jc w:val="both"/>
      </w:pPr>
      <w:r>
        <w:t>Almost every note consists of a discourse which often repeats ideas in the text, with many references from both Testaments.</w:t>
      </w:r>
    </w:p>
    <w:p w:rsidR="006A2E06" w:rsidRDefault="006A2E06" w:rsidP="006A2E06">
      <w:pPr>
        <w:spacing w:after="120" w:line="240" w:lineRule="auto"/>
        <w:ind w:left="1418" w:right="74"/>
        <w:jc w:val="both"/>
      </w:pPr>
      <w:r w:rsidRPr="00452D05">
        <w:rPr>
          <w:b/>
          <w:i/>
        </w:rPr>
        <w:t>Comment</w:t>
      </w:r>
      <w:r>
        <w:t>: These references again suggest the employment of the Bible Readings method.</w:t>
      </w:r>
      <w:r>
        <w:rPr>
          <w:rStyle w:val="EndnoteReference"/>
        </w:rPr>
        <w:endnoteReference w:id="3113"/>
      </w:r>
      <w:r>
        <w:t xml:space="preserve">  </w:t>
      </w:r>
    </w:p>
    <w:p w:rsidR="006A2E06" w:rsidRPr="00656634" w:rsidRDefault="006A2E06" w:rsidP="006A2E06">
      <w:pPr>
        <w:spacing w:after="0" w:line="240" w:lineRule="auto"/>
        <w:ind w:left="567" w:right="74"/>
        <w:jc w:val="both"/>
        <w:rPr>
          <w:i/>
        </w:rPr>
      </w:pPr>
      <w:r w:rsidRPr="00656634">
        <w:rPr>
          <w:i/>
        </w:rPr>
        <w:t>Doctrinal Discourses</w:t>
      </w:r>
    </w:p>
    <w:p w:rsidR="006A2E06" w:rsidRDefault="006A2E06" w:rsidP="006A2E06">
      <w:pPr>
        <w:spacing w:after="240" w:line="240" w:lineRule="auto"/>
        <w:ind w:left="851" w:right="74"/>
        <w:jc w:val="both"/>
      </w:pPr>
      <w:r>
        <w:t>Notes on Galatians 3</w:t>
      </w:r>
      <w:r w:rsidRPr="007B310D">
        <w:t xml:space="preserve"> encapsulate discourses on the law and sin,</w:t>
      </w:r>
      <w:r w:rsidRPr="007B310D">
        <w:rPr>
          <w:rStyle w:val="EndnoteReference"/>
        </w:rPr>
        <w:endnoteReference w:id="3114"/>
      </w:r>
      <w:r w:rsidRPr="007B310D">
        <w:t xml:space="preserve"> the Mosaic law</w:t>
      </w:r>
      <w:r>
        <w:t xml:space="preserve"> </w:t>
      </w:r>
      <w:r w:rsidRPr="007B310D">
        <w:t>and Christian doctrine of the law,</w:t>
      </w:r>
      <w:r w:rsidRPr="007B310D">
        <w:rPr>
          <w:rStyle w:val="EndnoteReference"/>
        </w:rPr>
        <w:endnoteReference w:id="3115"/>
      </w:r>
      <w:r w:rsidRPr="007B310D">
        <w:t xml:space="preserve"> and the law in relation to faith.</w:t>
      </w:r>
      <w:r w:rsidRPr="007B310D">
        <w:rPr>
          <w:rStyle w:val="EndnoteReference"/>
        </w:rPr>
        <w:endnoteReference w:id="3116"/>
      </w:r>
      <w:r w:rsidRPr="007B310D">
        <w:t xml:space="preserve">  </w:t>
      </w:r>
    </w:p>
    <w:p w:rsidR="006A2E06" w:rsidRPr="00C9424F" w:rsidRDefault="006A2E06" w:rsidP="006A2E06">
      <w:pPr>
        <w:spacing w:after="120" w:line="360" w:lineRule="auto"/>
        <w:ind w:right="74"/>
        <w:jc w:val="both"/>
        <w:rPr>
          <w:b/>
          <w:i/>
        </w:rPr>
      </w:pPr>
      <w:r>
        <w:rPr>
          <w:b/>
          <w:i/>
        </w:rPr>
        <w:t xml:space="preserve">General </w:t>
      </w:r>
      <w:r w:rsidRPr="00C9424F">
        <w:rPr>
          <w:b/>
          <w:i/>
        </w:rPr>
        <w:t>Comment</w:t>
      </w:r>
      <w:r>
        <w:rPr>
          <w:b/>
          <w:i/>
        </w:rPr>
        <w:t xml:space="preserve"> on Discourse on the Law and Sin</w:t>
      </w:r>
    </w:p>
    <w:p w:rsidR="006A2E06" w:rsidRPr="007B310D" w:rsidRDefault="006A2E06" w:rsidP="006A2E06">
      <w:pPr>
        <w:spacing w:after="120" w:line="360" w:lineRule="auto"/>
        <w:ind w:right="74"/>
        <w:jc w:val="both"/>
        <w:rPr>
          <w:rFonts w:ascii="Times New Roman" w:hAnsi="Times New Roman"/>
        </w:rPr>
      </w:pPr>
      <w:r w:rsidRPr="007B310D">
        <w:t>Scofield’s interpretation of Gal. 3:19a</w:t>
      </w:r>
      <w:r>
        <w:rPr>
          <w:rStyle w:val="EndnoteReference"/>
        </w:rPr>
        <w:endnoteReference w:id="3117"/>
      </w:r>
      <w:r w:rsidRPr="007B310D">
        <w:t xml:space="preserve"> displays an odd reversal of cause and effect.  The text states that the law was added because of transgression, which implies that transgression came first, yet Scofield asserts that the law was added ‘to give to sin the character of transgression’, the implication being that sin came before transgression, as suggested by his reference to Rom. 5:13.  Furthermore, Scofield here defines ‘transgression’ as ‘personal guilt’,</w:t>
      </w:r>
      <w:r w:rsidRPr="007B310D">
        <w:rPr>
          <w:rStyle w:val="EndnoteReference"/>
        </w:rPr>
        <w:endnoteReference w:id="3118"/>
      </w:r>
      <w:r w:rsidRPr="007B310D">
        <w:t xml:space="preserve"> whereas, in his note on Rom. 3:23, he defines it as ‘overstepping the law’,</w:t>
      </w:r>
      <w:r w:rsidRPr="007B310D">
        <w:rPr>
          <w:rStyle w:val="EndnoteReference"/>
        </w:rPr>
        <w:endnoteReference w:id="3119"/>
      </w:r>
      <w:r w:rsidRPr="007B310D">
        <w:t xml:space="preserve"> which is actually closer to the meaning of </w:t>
      </w:r>
      <w:r w:rsidRPr="007B310D">
        <w:rPr>
          <w:rFonts w:ascii="Bwgrkl" w:hAnsi="Bwgrkl" w:cs="Bwgrkl"/>
          <w:bCs/>
          <w:szCs w:val="24"/>
          <w:lang w:bidi="he-IL"/>
        </w:rPr>
        <w:t>para,basij</w:t>
      </w:r>
      <w:r w:rsidRPr="007B310D">
        <w:t>.</w:t>
      </w:r>
      <w:r w:rsidRPr="007B310D">
        <w:rPr>
          <w:rStyle w:val="EndnoteReference"/>
        </w:rPr>
        <w:endnoteReference w:id="3120"/>
      </w:r>
      <w:r w:rsidRPr="007B310D">
        <w:t xml:space="preserve">  Scofield does not address some difficult interpretative issues in Galatians 3.  He does not try to explain the obscure statements in Gal. 3:19c and </w:t>
      </w:r>
      <w:r w:rsidRPr="00CD1C24">
        <w:t>20: ‘and it [the law] was ordained by angels in the hand of a mediator.  Now a mediator is not a mediator of one, but God is one’.</w:t>
      </w:r>
      <w:r w:rsidRPr="00CD1C24">
        <w:rPr>
          <w:rStyle w:val="EndnoteReference"/>
        </w:rPr>
        <w:endnoteReference w:id="3121"/>
      </w:r>
      <w:r w:rsidRPr="00CD1C24">
        <w:t xml:space="preserve">  Terrance Callan regards the latter verse as ‘</w:t>
      </w:r>
      <w:r w:rsidRPr="00CD1C24">
        <w:rPr>
          <w:rFonts w:cs="Humnst777 Lt BT"/>
        </w:rPr>
        <w:t>one of the most obscure verses in …. Paul’,</w:t>
      </w:r>
      <w:r w:rsidRPr="00CD1C24">
        <w:rPr>
          <w:rStyle w:val="EndnoteReference"/>
        </w:rPr>
        <w:endnoteReference w:id="3122"/>
      </w:r>
      <w:r w:rsidRPr="007B310D">
        <w:t xml:space="preserve"> and other modern scholars, such as Richard Longenecker</w:t>
      </w:r>
      <w:r w:rsidRPr="007B310D">
        <w:rPr>
          <w:rStyle w:val="EndnoteReference"/>
        </w:rPr>
        <w:endnoteReference w:id="3123"/>
      </w:r>
      <w:r w:rsidRPr="007B310D">
        <w:t xml:space="preserve"> Sam Williams</w:t>
      </w:r>
      <w:r w:rsidRPr="007B310D">
        <w:rPr>
          <w:rStyle w:val="EndnoteReference"/>
        </w:rPr>
        <w:endnoteReference w:id="3124"/>
      </w:r>
      <w:r w:rsidRPr="007B310D">
        <w:t xml:space="preserve"> and Ben Witherington III,</w:t>
      </w:r>
      <w:r w:rsidRPr="007B310D">
        <w:rPr>
          <w:rStyle w:val="EndnoteReference"/>
        </w:rPr>
        <w:endnoteReference w:id="3125"/>
      </w:r>
      <w:r w:rsidRPr="007B310D">
        <w:t xml:space="preserve"> all debate these verses thoroughly.</w:t>
      </w:r>
    </w:p>
    <w:p w:rsidR="006A2E06" w:rsidRDefault="006A2E06" w:rsidP="006A2E06">
      <w:pPr>
        <w:spacing w:after="120" w:line="360" w:lineRule="auto"/>
        <w:ind w:right="74" w:firstLine="567"/>
        <w:jc w:val="both"/>
      </w:pPr>
      <w:r w:rsidRPr="007B310D">
        <w:t>Scofield asserts that the inseparability of commandments and judgments in the Mosaic law means that ‘when an Israelite sinned, he was held “blameless” if he brought the required offering’;</w:t>
      </w:r>
      <w:r w:rsidRPr="007B310D">
        <w:rPr>
          <w:rStyle w:val="EndnoteReference"/>
        </w:rPr>
        <w:endnoteReference w:id="3126"/>
      </w:r>
      <w:r w:rsidRPr="007B310D">
        <w:t xml:space="preserve"> he thus admits, in effect, that Judaism was not a mere religion of works and that forgiveness was possible.  This would seem to contradict his earlier statement, with reference to </w:t>
      </w:r>
      <w:r w:rsidRPr="007B310D">
        <w:rPr>
          <w:i/>
        </w:rPr>
        <w:t>KJV</w:t>
      </w:r>
      <w:r w:rsidRPr="007B310D">
        <w:t>’s translation of</w:t>
      </w:r>
      <w:r w:rsidRPr="007B310D">
        <w:rPr>
          <w:sz w:val="24"/>
          <w:szCs w:val="24"/>
        </w:rPr>
        <w:t xml:space="preserve"> </w:t>
      </w:r>
      <w:r w:rsidRPr="007B310D">
        <w:rPr>
          <w:rFonts w:ascii="Bwgrkl" w:hAnsi="Bwgrkl" w:cs="Bwgrkl"/>
          <w:bCs/>
          <w:szCs w:val="24"/>
          <w:lang w:bidi="he-IL"/>
        </w:rPr>
        <w:t>Ioudai?smo,j</w:t>
      </w:r>
      <w:r w:rsidRPr="007B310D">
        <w:rPr>
          <w:rStyle w:val="EndnoteReference"/>
        </w:rPr>
        <w:endnoteReference w:id="3127"/>
      </w:r>
      <w:r w:rsidRPr="007B310D">
        <w:t xml:space="preserve"> as ‘Jews’ religion’.</w:t>
      </w:r>
      <w:r w:rsidRPr="007B310D">
        <w:rPr>
          <w:rStyle w:val="EndnoteReference"/>
        </w:rPr>
        <w:endnoteReference w:id="3128"/>
      </w:r>
      <w:r w:rsidRPr="007B310D">
        <w:t xml:space="preserve"> </w:t>
      </w:r>
    </w:p>
    <w:p w:rsidR="006A2E06" w:rsidRPr="007B310D" w:rsidRDefault="006A2E06" w:rsidP="006A2E06">
      <w:pPr>
        <w:spacing w:after="0" w:line="240" w:lineRule="auto"/>
        <w:ind w:left="567" w:right="74"/>
        <w:jc w:val="both"/>
        <w:rPr>
          <w:i/>
        </w:rPr>
      </w:pPr>
      <w:r w:rsidRPr="007B310D">
        <w:rPr>
          <w:i/>
        </w:rPr>
        <w:t>Dispensations</w:t>
      </w:r>
    </w:p>
    <w:p w:rsidR="006A2E06" w:rsidRDefault="006A2E06" w:rsidP="006A2E06">
      <w:pPr>
        <w:spacing w:after="240" w:line="240" w:lineRule="auto"/>
        <w:ind w:left="851" w:right="74"/>
        <w:jc w:val="both"/>
      </w:pPr>
      <w:r w:rsidRPr="007B310D">
        <w:t>Gal</w:t>
      </w:r>
      <w:r>
        <w:t>atians</w:t>
      </w:r>
      <w:r w:rsidRPr="007B310D">
        <w:t xml:space="preserve"> 3:24 </w:t>
      </w:r>
      <w:r>
        <w:t xml:space="preserve">is linked </w:t>
      </w:r>
      <w:r w:rsidRPr="007B310D">
        <w:t xml:space="preserve">with dispensational theory by </w:t>
      </w:r>
      <w:r>
        <w:t xml:space="preserve">the </w:t>
      </w:r>
      <w:r w:rsidRPr="007B310D">
        <w:t>asserti</w:t>
      </w:r>
      <w:r>
        <w:t>on</w:t>
      </w:r>
      <w:r w:rsidRPr="007B310D">
        <w:t xml:space="preserve"> that legalistic endeavours ‘to mingle law with grace’ in the current dispensation of grace constituted an attempt to return to the previous dispensation of law.</w:t>
      </w:r>
      <w:r>
        <w:rPr>
          <w:rStyle w:val="EndnoteReference"/>
        </w:rPr>
        <w:endnoteReference w:id="3129"/>
      </w:r>
      <w:r w:rsidRPr="007B310D">
        <w:t xml:space="preserve"> </w:t>
      </w:r>
    </w:p>
    <w:p w:rsidR="006A2E06" w:rsidRPr="00F06352" w:rsidRDefault="006A2E06" w:rsidP="006A2E06">
      <w:pPr>
        <w:spacing w:after="120" w:line="360" w:lineRule="auto"/>
        <w:ind w:right="74"/>
        <w:jc w:val="both"/>
        <w:rPr>
          <w:b/>
          <w:i/>
        </w:rPr>
      </w:pPr>
      <w:r w:rsidRPr="00F06352">
        <w:rPr>
          <w:b/>
          <w:i/>
        </w:rPr>
        <w:t>Omissions</w:t>
      </w:r>
    </w:p>
    <w:p w:rsidR="006A2E06" w:rsidRPr="00E77C5D" w:rsidRDefault="006A2E06" w:rsidP="006A2E06">
      <w:pPr>
        <w:spacing w:after="120" w:line="360" w:lineRule="auto"/>
        <w:ind w:right="74"/>
        <w:jc w:val="both"/>
      </w:pPr>
      <w:r w:rsidRPr="00E77C5D">
        <w:t xml:space="preserve">It is very noticeable that </w:t>
      </w:r>
      <w:r>
        <w:t xml:space="preserve">Scofield’s </w:t>
      </w:r>
      <w:r w:rsidRPr="00E77C5D">
        <w:t xml:space="preserve">notes </w:t>
      </w:r>
      <w:r>
        <w:t xml:space="preserve">on Galatians </w:t>
      </w:r>
      <w:r w:rsidRPr="00E77C5D">
        <w:t xml:space="preserve">lack the context which Paul is so careful to give, for example in chapter 2, where he sets out the occasion for his dispute with Peter over eating with Gentile Christians in Antioch.  </w:t>
      </w:r>
      <w:r>
        <w:t>Scofield merely comments that Paul is proving that ‘Peter and he were in perfect accord doctrinally’.</w:t>
      </w:r>
      <w:r>
        <w:rPr>
          <w:rStyle w:val="EndnoteReference"/>
        </w:rPr>
        <w:endnoteReference w:id="3130"/>
      </w:r>
      <w:r>
        <w:t xml:space="preserve">  </w:t>
      </w:r>
      <w:r w:rsidRPr="00E77C5D">
        <w:t xml:space="preserve">Galatians is essentially relational; Paul has preached the </w:t>
      </w:r>
      <w:r>
        <w:t>G</w:t>
      </w:r>
      <w:r w:rsidRPr="00E77C5D">
        <w:t xml:space="preserve">ospel to the Galatians and </w:t>
      </w:r>
      <w:r w:rsidRPr="009B5E35">
        <w:rPr>
          <w:spacing w:val="6"/>
        </w:rPr>
        <w:lastRenderedPageBreak/>
        <w:t>feels a personal tie to them.  Some of Paul’s admonishments are intensely personal, for example Gal. 4:12-16</w:t>
      </w:r>
      <w:r w:rsidRPr="006C6524">
        <w:t xml:space="preserve">, where Paul admits his situation of weakness and illness and then asks, surely displaying his hurt and love for the Galatians, what has happened to their joy that he has become their enemy for speaking the truth.  In Gal. 4:19-20, he </w:t>
      </w:r>
      <w:r>
        <w:t xml:space="preserve">even </w:t>
      </w:r>
      <w:r w:rsidRPr="006C6524">
        <w:t>compares his concern for them with the pangs of childbirth.  This relationship and context are entirely missed by Scofield, who concentrates on doctrine</w:t>
      </w:r>
      <w:r>
        <w:t>.  Paul</w:t>
      </w:r>
      <w:r w:rsidRPr="00E77C5D">
        <w:t xml:space="preserve"> is distressed that </w:t>
      </w:r>
      <w:r>
        <w:t>the Galatians</w:t>
      </w:r>
      <w:r w:rsidRPr="00E77C5D">
        <w:t xml:space="preserve"> appear to be receptive to other influences,</w:t>
      </w:r>
      <w:r w:rsidRPr="00E77C5D">
        <w:rPr>
          <w:rStyle w:val="EndnoteReference"/>
        </w:rPr>
        <w:endnoteReference w:id="3131"/>
      </w:r>
      <w:r w:rsidRPr="00E77C5D">
        <w:t xml:space="preserve"> which are poisoning their view of him, hence his effort to establish his credentials.</w:t>
      </w:r>
      <w:r w:rsidRPr="00E77C5D">
        <w:rPr>
          <w:rStyle w:val="EndnoteReference"/>
        </w:rPr>
        <w:endnoteReference w:id="3132"/>
      </w:r>
      <w:r w:rsidRPr="00E77C5D">
        <w:t xml:space="preserve">  The closest Scofield gets to Paul is a dry, itemised rehearsal of Paul’s own points about the course of his life since his conversion</w:t>
      </w:r>
      <w:r w:rsidRPr="00E77C5D">
        <w:rPr>
          <w:rStyle w:val="EndnoteReference"/>
        </w:rPr>
        <w:endnoteReference w:id="3133"/>
      </w:r>
      <w:r w:rsidRPr="00E77C5D">
        <w:t xml:space="preserve"> and a</w:t>
      </w:r>
      <w:r>
        <w:t xml:space="preserve"> speculative </w:t>
      </w:r>
      <w:r w:rsidRPr="006C6524">
        <w:rPr>
          <w:i/>
        </w:rPr>
        <w:t>excursus</w:t>
      </w:r>
      <w:r>
        <w:t xml:space="preserve"> on the reason for Paul’s writing</w:t>
      </w:r>
      <w:r w:rsidRPr="00E77C5D">
        <w:t xml:space="preserve"> with his own hand, </w:t>
      </w:r>
      <w:r>
        <w:t xml:space="preserve">and </w:t>
      </w:r>
      <w:r w:rsidRPr="00E77C5D">
        <w:t>using large letters.</w:t>
      </w:r>
      <w:r>
        <w:rPr>
          <w:rStyle w:val="EndnoteReference"/>
        </w:rPr>
        <w:endnoteReference w:id="3134"/>
      </w:r>
      <w:r>
        <w:t xml:space="preserve"> </w:t>
      </w:r>
    </w:p>
    <w:p w:rsidR="006A2E06" w:rsidRDefault="006A2E06" w:rsidP="006A2E06">
      <w:pPr>
        <w:spacing w:after="120" w:line="360" w:lineRule="auto"/>
        <w:ind w:right="74" w:firstLine="499"/>
        <w:jc w:val="both"/>
      </w:pPr>
      <w:r w:rsidRPr="00E77C5D">
        <w:t xml:space="preserve">Paul frequently refers to matters of believers’ behaviour, </w:t>
      </w:r>
      <w:r w:rsidRPr="00E77C5D">
        <w:rPr>
          <w:rStyle w:val="EndnoteReference"/>
        </w:rPr>
        <w:endnoteReference w:id="3135"/>
      </w:r>
      <w:r w:rsidRPr="00E77C5D">
        <w:t xml:space="preserve"> which, as </w:t>
      </w:r>
      <w:r>
        <w:t>is often the case</w:t>
      </w:r>
      <w:r w:rsidRPr="00E77C5D">
        <w:t>, Scofield ignores.</w:t>
      </w:r>
      <w:r>
        <w:rPr>
          <w:rStyle w:val="EndnoteReference"/>
        </w:rPr>
        <w:endnoteReference w:id="3136"/>
      </w:r>
      <w:r w:rsidRPr="00E77C5D">
        <w:t xml:space="preserve">  Scofield also fails to comment, as in his notes on Romans, on the parity of Jewish and Gentile believers.</w:t>
      </w:r>
      <w:r>
        <w:rPr>
          <w:rStyle w:val="EndnoteReference"/>
        </w:rPr>
        <w:endnoteReference w:id="3137"/>
      </w:r>
      <w:r w:rsidRPr="00E77C5D">
        <w:t xml:space="preserve">  Again, as with Romans, he fails to emphasise the faith of Abraham and the identity of his seed as primarily Christ, but also believers.</w:t>
      </w:r>
      <w:r w:rsidRPr="00E77C5D">
        <w:rPr>
          <w:rStyle w:val="EndnoteReference"/>
        </w:rPr>
        <w:endnoteReference w:id="3138"/>
      </w:r>
      <w:r w:rsidRPr="00E77C5D">
        <w:t xml:space="preserve">  He does not examine the Sarah-Hagar analogy,</w:t>
      </w:r>
      <w:r w:rsidRPr="00E77C5D">
        <w:rPr>
          <w:rStyle w:val="EndnoteReference"/>
        </w:rPr>
        <w:endnoteReference w:id="3139"/>
      </w:r>
      <w:r w:rsidRPr="00E77C5D">
        <w:t xml:space="preserve"> which has interesting implications for the roles of the Church and Israel.  Paul even compares believers with Isaac as children of promise.</w:t>
      </w:r>
      <w:r w:rsidRPr="00E77C5D">
        <w:rPr>
          <w:rStyle w:val="EndnoteReference"/>
        </w:rPr>
        <w:endnoteReference w:id="3140"/>
      </w:r>
    </w:p>
    <w:p w:rsidR="006A2E06" w:rsidRDefault="006A2E06" w:rsidP="006A2E06">
      <w:pPr>
        <w:spacing w:after="120" w:line="360" w:lineRule="auto"/>
        <w:ind w:right="74"/>
        <w:jc w:val="both"/>
        <w:rPr>
          <w:b/>
        </w:rPr>
      </w:pPr>
      <w:r>
        <w:rPr>
          <w:b/>
        </w:rPr>
        <w:t xml:space="preserve">8.7.5  </w:t>
      </w:r>
      <w:r w:rsidRPr="00E77C5D">
        <w:rPr>
          <w:b/>
        </w:rPr>
        <w:t>Ephesians</w:t>
      </w:r>
    </w:p>
    <w:p w:rsidR="006A2E06" w:rsidRDefault="006A2E06" w:rsidP="006A2E06">
      <w:pPr>
        <w:spacing w:after="120" w:line="360" w:lineRule="auto"/>
        <w:jc w:val="both"/>
        <w:rPr>
          <w:b/>
          <w:i/>
        </w:rPr>
      </w:pPr>
      <w:r w:rsidRPr="007B5FF7">
        <w:rPr>
          <w:b/>
          <w:i/>
        </w:rPr>
        <w:t>Introduction</w:t>
      </w:r>
      <w:r>
        <w:rPr>
          <w:b/>
          <w:i/>
        </w:rPr>
        <w:t>:</w:t>
      </w:r>
      <w:r>
        <w:rPr>
          <w:rStyle w:val="EndnoteReference"/>
        </w:rPr>
        <w:endnoteReference w:id="3141"/>
      </w:r>
      <w:r>
        <w:rPr>
          <w:b/>
          <w:i/>
        </w:rPr>
        <w:t xml:space="preserve"> Key Points</w:t>
      </w:r>
    </w:p>
    <w:p w:rsidR="006A2E06" w:rsidRDefault="006A2E06" w:rsidP="006A2E06">
      <w:pPr>
        <w:spacing w:after="120" w:line="240" w:lineRule="auto"/>
        <w:ind w:left="567"/>
        <w:jc w:val="both"/>
      </w:pPr>
      <w:r>
        <w:t>Author: Paul; ‘written from Rome in A.D.64’.</w:t>
      </w:r>
    </w:p>
    <w:p w:rsidR="006A2E06" w:rsidRPr="007B5FF7" w:rsidRDefault="006A2E06" w:rsidP="006A2E06">
      <w:pPr>
        <w:spacing w:after="240" w:line="240" w:lineRule="auto"/>
        <w:ind w:left="567"/>
        <w:jc w:val="both"/>
        <w:rPr>
          <w:b/>
          <w:i/>
        </w:rPr>
      </w:pPr>
      <w:r w:rsidRPr="005D00B9">
        <w:t xml:space="preserve">Ephesians </w:t>
      </w:r>
      <w:r>
        <w:t xml:space="preserve">again linked </w:t>
      </w:r>
      <w:r w:rsidRPr="005D00B9">
        <w:t>to Joshua</w:t>
      </w:r>
      <w:r>
        <w:t>.</w:t>
      </w:r>
      <w:r>
        <w:rPr>
          <w:rStyle w:val="EndnoteReference"/>
        </w:rPr>
        <w:endnoteReference w:id="3142"/>
      </w:r>
    </w:p>
    <w:p w:rsidR="006A2E06" w:rsidRDefault="006A2E06" w:rsidP="006A2E06">
      <w:pPr>
        <w:spacing w:after="0" w:line="240" w:lineRule="auto"/>
        <w:ind w:left="567"/>
        <w:jc w:val="both"/>
      </w:pPr>
      <w:r w:rsidRPr="00A41062">
        <w:rPr>
          <w:i/>
        </w:rPr>
        <w:t>Claims</w:t>
      </w:r>
      <w:r>
        <w:t>:</w:t>
      </w:r>
    </w:p>
    <w:p w:rsidR="006A2E06" w:rsidRDefault="006A2E06" w:rsidP="006A2E06">
      <w:pPr>
        <w:spacing w:after="120" w:line="240" w:lineRule="auto"/>
        <w:ind w:left="851"/>
        <w:jc w:val="both"/>
      </w:pPr>
      <w:r w:rsidRPr="005D00B9">
        <w:t xml:space="preserve">Ephesians ‘contains the highest church truth, but nothing about church order’.  </w:t>
      </w:r>
    </w:p>
    <w:p w:rsidR="006A2E06" w:rsidRDefault="006A2E06" w:rsidP="006A2E06">
      <w:pPr>
        <w:spacing w:after="120" w:line="240" w:lineRule="auto"/>
        <w:ind w:left="1418"/>
        <w:jc w:val="both"/>
      </w:pPr>
      <w:r w:rsidRPr="00452D05">
        <w:rPr>
          <w:b/>
          <w:i/>
        </w:rPr>
        <w:t>Comment</w:t>
      </w:r>
      <w:r>
        <w:t>: This runs counter to assertions by scholars like James Dunn, who outlines four elements in ‘the message of Ephesians’.  The first two of these concern human experience of God through life ‘in Christ’ and of the Holy Spirit and grace, and God’s purpose of ‘retrieving humanity from its state of death, and the bringing of all things into unity in Christ’.  Scofield does fulfil both these elements to some extent.  However, Dunn’s third and fourth propositions concerning the content of Ephesians are that ‘conduct and relationship modelled on those of Christ are also part of the restoration of creation to its original purpose’ and that ‘Christian households should have Christ as model and resource and thus provide a test bed for society in re-creation’.</w:t>
      </w:r>
      <w:r>
        <w:rPr>
          <w:rStyle w:val="EndnoteReference"/>
        </w:rPr>
        <w:endnoteReference w:id="3143"/>
      </w:r>
      <w:r>
        <w:t xml:space="preserve">  Scofield has thus omitted important elements as stated below.</w:t>
      </w:r>
      <w:r>
        <w:rPr>
          <w:rStyle w:val="EndnoteReference"/>
        </w:rPr>
        <w:endnoteReference w:id="3144"/>
      </w:r>
    </w:p>
    <w:p w:rsidR="006A2E06" w:rsidRDefault="006A2E06" w:rsidP="006A2E06">
      <w:pPr>
        <w:spacing w:after="120" w:line="240" w:lineRule="auto"/>
        <w:ind w:left="851"/>
        <w:jc w:val="both"/>
      </w:pPr>
      <w:r>
        <w:t xml:space="preserve">The Church in this epistle is ‘the true Church’, not the local church.  </w:t>
      </w:r>
    </w:p>
    <w:p w:rsidR="006A2E06" w:rsidRDefault="006A2E06" w:rsidP="006A2E06">
      <w:pPr>
        <w:spacing w:after="240" w:line="240" w:lineRule="auto"/>
        <w:ind w:left="851"/>
        <w:jc w:val="both"/>
      </w:pPr>
      <w:r w:rsidRPr="005D00B9">
        <w:t xml:space="preserve">The </w:t>
      </w:r>
      <w:r>
        <w:t xml:space="preserve">epistle concerns </w:t>
      </w:r>
      <w:r w:rsidRPr="005D00B9">
        <w:t xml:space="preserve">the believer’s exalted position through grace, the truth about the body of Christ and ‘a walk in accordance with that position’.  </w:t>
      </w:r>
    </w:p>
    <w:p w:rsidR="006A2E06" w:rsidRDefault="006A2E06" w:rsidP="006A2E06">
      <w:pPr>
        <w:spacing w:after="120" w:line="240" w:lineRule="auto"/>
        <w:ind w:right="74"/>
        <w:jc w:val="center"/>
      </w:pPr>
      <w:r>
        <w:rPr>
          <w:noProof/>
          <w:lang w:eastAsia="en-GB"/>
        </w:rPr>
        <w:lastRenderedPageBreak/>
        <w:drawing>
          <wp:inline distT="0" distB="0" distL="0" distR="0" wp14:anchorId="01165E80" wp14:editId="5234184F">
            <wp:extent cx="5400040" cy="3230245"/>
            <wp:effectExtent l="0" t="0" r="0" b="825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hesians themes as table ed 16.4.18 crop.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400040" cy="3230245"/>
                    </a:xfrm>
                    <a:prstGeom prst="rect">
                      <a:avLst/>
                    </a:prstGeom>
                  </pic:spPr>
                </pic:pic>
              </a:graphicData>
            </a:graphic>
          </wp:inline>
        </w:drawing>
      </w:r>
    </w:p>
    <w:p w:rsidR="006A2E06" w:rsidRDefault="006A2E06" w:rsidP="006A2E06">
      <w:pPr>
        <w:spacing w:after="120" w:line="360" w:lineRule="auto"/>
        <w:jc w:val="both"/>
        <w:rPr>
          <w:b/>
          <w:i/>
        </w:rPr>
      </w:pPr>
      <w:r w:rsidRPr="00A41062">
        <w:rPr>
          <w:b/>
          <w:i/>
        </w:rPr>
        <w:t>Annotation: Key Points</w:t>
      </w:r>
    </w:p>
    <w:p w:rsidR="006A2E06" w:rsidRDefault="006A2E06" w:rsidP="006A2E06">
      <w:pPr>
        <w:spacing w:after="120" w:line="240" w:lineRule="auto"/>
        <w:ind w:left="567"/>
        <w:jc w:val="both"/>
      </w:pPr>
      <w:r>
        <w:t>Annotation of all chapters except chapter 6.</w:t>
      </w:r>
    </w:p>
    <w:p w:rsidR="006A2E06" w:rsidRPr="00107172" w:rsidRDefault="006A2E06" w:rsidP="006A2E06">
      <w:pPr>
        <w:spacing w:after="0" w:line="240" w:lineRule="auto"/>
        <w:ind w:left="567"/>
        <w:jc w:val="both"/>
        <w:rPr>
          <w:i/>
        </w:rPr>
      </w:pPr>
      <w:r>
        <w:rPr>
          <w:i/>
        </w:rPr>
        <w:t>The Church and the Believer</w:t>
      </w:r>
    </w:p>
    <w:p w:rsidR="006A2E06" w:rsidRDefault="006A2E06" w:rsidP="006A2E06">
      <w:pPr>
        <w:spacing w:after="120" w:line="240" w:lineRule="auto"/>
        <w:ind w:left="851"/>
        <w:jc w:val="both"/>
      </w:pPr>
      <w:r>
        <w:t xml:space="preserve">Several discourses concerning the Church, the believer and the way in which the believer is connected to God through Christ as his body and bride.  </w:t>
      </w:r>
    </w:p>
    <w:p w:rsidR="006A2E06" w:rsidRDefault="006A2E06" w:rsidP="006A2E06">
      <w:pPr>
        <w:spacing w:after="120" w:line="240" w:lineRule="auto"/>
        <w:ind w:left="851"/>
        <w:jc w:val="both"/>
      </w:pPr>
      <w:r>
        <w:t>Several references to the concept of ‘the new man’ in Christ.</w:t>
      </w:r>
      <w:r>
        <w:rPr>
          <w:rStyle w:val="EndnoteReference"/>
        </w:rPr>
        <w:endnoteReference w:id="3145"/>
      </w:r>
      <w:r>
        <w:t xml:space="preserve">  </w:t>
      </w:r>
    </w:p>
    <w:p w:rsidR="006A2E06" w:rsidRDefault="006A2E06" w:rsidP="006A2E06">
      <w:pPr>
        <w:spacing w:after="120" w:line="240" w:lineRule="auto"/>
        <w:ind w:left="1418"/>
        <w:jc w:val="both"/>
      </w:pPr>
      <w:r w:rsidRPr="00452D05">
        <w:rPr>
          <w:b/>
          <w:i/>
        </w:rPr>
        <w:t>Comment</w:t>
      </w:r>
      <w:r>
        <w:t xml:space="preserve">: Scofield touches upon the Jewish/Gentile composition of the Church, but does not comment upon all verses concerning this important theme in Ephesians.  For example, he </w:t>
      </w:r>
      <w:r w:rsidRPr="00E77C5D">
        <w:t>ignores the context of Eph. 2:15, which is another powerful exposition of the parity of Jew and Gentile and their reconciliation in Christ</w:t>
      </w:r>
      <w:r>
        <w:t xml:space="preserve"> as part of the restoration of humanity</w:t>
      </w:r>
      <w:r w:rsidRPr="00E77C5D">
        <w:t>,</w:t>
      </w:r>
      <w:r w:rsidRPr="00E77C5D">
        <w:rPr>
          <w:rStyle w:val="EndnoteReference"/>
        </w:rPr>
        <w:endnoteReference w:id="3146"/>
      </w:r>
      <w:r w:rsidRPr="00E77C5D">
        <w:t xml:space="preserve"> and merely makes an assertion about the Church, which is not mentioned in the text.</w:t>
      </w:r>
      <w:r>
        <w:rPr>
          <w:rStyle w:val="EndnoteReference"/>
        </w:rPr>
        <w:endnoteReference w:id="3147"/>
      </w:r>
      <w:r>
        <w:t xml:space="preserve">  </w:t>
      </w:r>
    </w:p>
    <w:p w:rsidR="006A2E06" w:rsidRPr="0087329C" w:rsidRDefault="006A2E06" w:rsidP="006A2E06">
      <w:pPr>
        <w:spacing w:after="0" w:line="240" w:lineRule="auto"/>
        <w:ind w:left="567"/>
        <w:jc w:val="both"/>
        <w:rPr>
          <w:i/>
        </w:rPr>
      </w:pPr>
      <w:r>
        <w:rPr>
          <w:i/>
        </w:rPr>
        <w:t xml:space="preserve">The Final Dispensation: </w:t>
      </w:r>
      <w:r w:rsidRPr="0087329C">
        <w:rPr>
          <w:i/>
        </w:rPr>
        <w:t>The Kingdom</w:t>
      </w:r>
    </w:p>
    <w:p w:rsidR="006A2E06" w:rsidRDefault="006A2E06" w:rsidP="006A2E06">
      <w:pPr>
        <w:spacing w:after="120" w:line="240" w:lineRule="auto"/>
        <w:ind w:left="851"/>
        <w:jc w:val="both"/>
      </w:pPr>
      <w:r>
        <w:t xml:space="preserve">Reference to the kingdom as ‘the last of the ordered ages’ in the note on Eph. 1:10.  This is here designated ‘the dispensation of the fullness of times’, as in </w:t>
      </w:r>
      <w:r w:rsidRPr="00966F92">
        <w:rPr>
          <w:i/>
        </w:rPr>
        <w:t>KJV</w:t>
      </w:r>
      <w:r>
        <w:t>, and considered to be ‘identical with the kingdom covenanted to David’.</w:t>
      </w:r>
      <w:r>
        <w:rPr>
          <w:rStyle w:val="EndnoteReference"/>
        </w:rPr>
        <w:endnoteReference w:id="3148"/>
      </w:r>
      <w:r>
        <w:t xml:space="preserve">  </w:t>
      </w:r>
    </w:p>
    <w:p w:rsidR="006A2E06" w:rsidRPr="003F51CA" w:rsidRDefault="006A2E06" w:rsidP="006A2E06">
      <w:pPr>
        <w:spacing w:after="0" w:line="240" w:lineRule="auto"/>
        <w:ind w:left="567"/>
        <w:jc w:val="both"/>
        <w:rPr>
          <w:i/>
        </w:rPr>
      </w:pPr>
      <w:r w:rsidRPr="003F51CA">
        <w:rPr>
          <w:i/>
        </w:rPr>
        <w:t xml:space="preserve">The Translation of </w:t>
      </w:r>
      <w:r>
        <w:rPr>
          <w:i/>
        </w:rPr>
        <w:t xml:space="preserve">the </w:t>
      </w:r>
      <w:r w:rsidRPr="003F51CA">
        <w:rPr>
          <w:i/>
        </w:rPr>
        <w:t>Saints</w:t>
      </w:r>
    </w:p>
    <w:p w:rsidR="006A2E06" w:rsidRDefault="006A2E06" w:rsidP="006A2E06">
      <w:pPr>
        <w:spacing w:after="240" w:line="240" w:lineRule="auto"/>
        <w:ind w:left="851"/>
        <w:jc w:val="both"/>
      </w:pPr>
      <w:r>
        <w:t>As in his note on 1 Cor. 15:52, Scofield refers to ‘the redemption of the body’ but there is an added reference here to translation.</w:t>
      </w:r>
      <w:r>
        <w:rPr>
          <w:rStyle w:val="EndnoteReference"/>
        </w:rPr>
        <w:endnoteReference w:id="3149"/>
      </w:r>
      <w:r>
        <w:t xml:space="preserve"> </w:t>
      </w:r>
    </w:p>
    <w:p w:rsidR="006A2E06" w:rsidRPr="00BC0F8D" w:rsidRDefault="006A2E06" w:rsidP="006A2E06">
      <w:pPr>
        <w:spacing w:after="0" w:line="240" w:lineRule="auto"/>
        <w:ind w:left="567"/>
        <w:jc w:val="both"/>
        <w:rPr>
          <w:i/>
        </w:rPr>
      </w:pPr>
      <w:r w:rsidRPr="00BC0F8D">
        <w:rPr>
          <w:i/>
        </w:rPr>
        <w:t>Christology</w:t>
      </w:r>
    </w:p>
    <w:p w:rsidR="006A2E06" w:rsidRDefault="006A2E06" w:rsidP="006A2E06">
      <w:pPr>
        <w:spacing w:after="240" w:line="240" w:lineRule="auto"/>
        <w:ind w:left="851"/>
        <w:jc w:val="both"/>
      </w:pPr>
      <w:r>
        <w:t>Summary of Scofield’s view of Christ’s work for the Church.</w:t>
      </w:r>
      <w:r>
        <w:rPr>
          <w:rStyle w:val="EndnoteReference"/>
        </w:rPr>
        <w:endnoteReference w:id="3150"/>
      </w:r>
    </w:p>
    <w:p w:rsidR="006A2E06" w:rsidRDefault="006A2E06" w:rsidP="006A2E06">
      <w:pPr>
        <w:spacing w:after="120" w:line="240" w:lineRule="auto"/>
        <w:ind w:left="1418"/>
        <w:jc w:val="both"/>
      </w:pPr>
      <w:r w:rsidRPr="0096247F">
        <w:rPr>
          <w:b/>
          <w:i/>
        </w:rPr>
        <w:t>Comment</w:t>
      </w:r>
      <w:r>
        <w:t>: This also contains an inference of dualism in its reference to the Church as ‘one pearl of great price’.  This reflects Scofield’s interpretation of Mt. 13:46, in contrast to Israel, which was ‘the treasure’.</w:t>
      </w:r>
      <w:r>
        <w:rPr>
          <w:rStyle w:val="EndnoteReference"/>
        </w:rPr>
        <w:endnoteReference w:id="3151"/>
      </w:r>
    </w:p>
    <w:p w:rsidR="00455E1F" w:rsidRDefault="00455E1F" w:rsidP="006A2E06">
      <w:pPr>
        <w:spacing w:after="0" w:line="240" w:lineRule="auto"/>
        <w:ind w:left="567"/>
        <w:jc w:val="both"/>
        <w:rPr>
          <w:i/>
        </w:rPr>
      </w:pPr>
    </w:p>
    <w:p w:rsidR="00455E1F" w:rsidRDefault="00455E1F" w:rsidP="006A2E06">
      <w:pPr>
        <w:spacing w:after="0" w:line="240" w:lineRule="auto"/>
        <w:ind w:left="567"/>
        <w:jc w:val="both"/>
        <w:rPr>
          <w:i/>
        </w:rPr>
      </w:pPr>
    </w:p>
    <w:p w:rsidR="006A2E06" w:rsidRDefault="006A2E06" w:rsidP="006A2E06">
      <w:pPr>
        <w:spacing w:after="0" w:line="240" w:lineRule="auto"/>
        <w:ind w:left="567"/>
        <w:jc w:val="both"/>
        <w:rPr>
          <w:i/>
        </w:rPr>
      </w:pPr>
      <w:r w:rsidRPr="002E5373">
        <w:rPr>
          <w:i/>
        </w:rPr>
        <w:lastRenderedPageBreak/>
        <w:t>Types</w:t>
      </w:r>
    </w:p>
    <w:p w:rsidR="006A2E06" w:rsidRPr="002E5373" w:rsidRDefault="006A2E06" w:rsidP="006A2E06">
      <w:pPr>
        <w:spacing w:after="120" w:line="240" w:lineRule="auto"/>
        <w:ind w:left="851"/>
        <w:jc w:val="both"/>
        <w:rPr>
          <w:i/>
        </w:rPr>
      </w:pPr>
      <w:r>
        <w:t>Assertion that Eve is a ‘clear type of the church as the bride of Christ’.</w:t>
      </w:r>
      <w:r>
        <w:rPr>
          <w:rStyle w:val="EndnoteReference"/>
        </w:rPr>
        <w:endnoteReference w:id="3152"/>
      </w:r>
    </w:p>
    <w:p w:rsidR="006A2E06" w:rsidRDefault="006A2E06" w:rsidP="006A2E06">
      <w:pPr>
        <w:spacing w:after="120" w:line="240" w:lineRule="auto"/>
        <w:ind w:left="1418"/>
        <w:jc w:val="both"/>
      </w:pPr>
      <w:r w:rsidRPr="0096247F">
        <w:rPr>
          <w:b/>
          <w:i/>
        </w:rPr>
        <w:t>Comment</w:t>
      </w:r>
      <w:r>
        <w:t>: Scofield utilises the quotation of Gen. 2:24 in Eph. 5:32 to make this assertion.</w:t>
      </w:r>
      <w:r>
        <w:rPr>
          <w:rStyle w:val="EndnoteReference"/>
        </w:rPr>
        <w:endnoteReference w:id="3153"/>
      </w:r>
      <w:r>
        <w:t xml:space="preserve">  However, Eve is not mentioned by the writer of Ephesians and, while the passage makes a connection with Genesis 2, it does not meet the conditions for typicality which Scofield stipulates in his note on Exod. 25:1.</w:t>
      </w:r>
      <w:r>
        <w:rPr>
          <w:rStyle w:val="EndnoteReference"/>
        </w:rPr>
        <w:endnoteReference w:id="3154"/>
      </w:r>
      <w:r>
        <w:t xml:space="preserve">  </w:t>
      </w:r>
    </w:p>
    <w:p w:rsidR="006A2E06" w:rsidRPr="00F06352" w:rsidRDefault="006A2E06" w:rsidP="006A2E06">
      <w:pPr>
        <w:spacing w:after="120" w:line="360" w:lineRule="auto"/>
        <w:jc w:val="both"/>
        <w:rPr>
          <w:b/>
          <w:i/>
        </w:rPr>
      </w:pPr>
      <w:r w:rsidRPr="00F06352">
        <w:rPr>
          <w:b/>
          <w:i/>
        </w:rPr>
        <w:t xml:space="preserve">Omissions </w:t>
      </w:r>
    </w:p>
    <w:p w:rsidR="006A2E06" w:rsidRPr="0079229D" w:rsidRDefault="006A2E06" w:rsidP="006A2E06">
      <w:pPr>
        <w:spacing w:after="120" w:line="360" w:lineRule="auto"/>
        <w:jc w:val="both"/>
      </w:pPr>
      <w:r>
        <w:t xml:space="preserve">Scofield’s concentration on ‘bride-types’ in his note on Eph. 5:32, means that he ignores the context in which this verse is found.  </w:t>
      </w:r>
      <w:r w:rsidRPr="0079229D">
        <w:t>Ephesians 5:1-21 largely consists of admonitions concerning believers’ behaviour.  The human analogy of the love of a husband for a wife, used by the writer of Ephesians for Christ and the Church,</w:t>
      </w:r>
      <w:r w:rsidRPr="0079229D">
        <w:rPr>
          <w:rStyle w:val="EndnoteReference"/>
        </w:rPr>
        <w:endnoteReference w:id="3155"/>
      </w:r>
      <w:r w:rsidRPr="0079229D">
        <w:t xml:space="preserve"> is preceded by practical instructions about the marriage relationship.</w:t>
      </w:r>
      <w:r w:rsidRPr="0079229D">
        <w:rPr>
          <w:rStyle w:val="EndnoteReference"/>
        </w:rPr>
        <w:endnoteReference w:id="3156"/>
      </w:r>
      <w:r w:rsidRPr="0079229D">
        <w:t xml:space="preserve">  Similar instructions are given about the relationships between parents and children,</w:t>
      </w:r>
      <w:r w:rsidRPr="0079229D">
        <w:rPr>
          <w:rStyle w:val="EndnoteReference"/>
        </w:rPr>
        <w:endnoteReference w:id="3157"/>
      </w:r>
      <w:r w:rsidRPr="0079229D">
        <w:t xml:space="preserve"> and masters and servants.</w:t>
      </w:r>
      <w:r w:rsidRPr="0079229D">
        <w:rPr>
          <w:rStyle w:val="EndnoteReference"/>
        </w:rPr>
        <w:endnoteReference w:id="3158"/>
      </w:r>
      <w:r w:rsidRPr="0079229D">
        <w:t xml:space="preserve">  Scofield does not offer any notes on these.  Similarly, in his annotation of Ephesians 4, Scofield does not comment on injunctions concerning the life of believers </w:t>
      </w:r>
      <w:r w:rsidRPr="0079229D">
        <w:rPr>
          <w:rStyle w:val="EndnoteReference"/>
        </w:rPr>
        <w:endnoteReference w:id="3159"/>
      </w:r>
      <w:r w:rsidRPr="0079229D">
        <w:t xml:space="preserve"> and the need for unity</w:t>
      </w:r>
      <w:r w:rsidRPr="0079229D">
        <w:rPr>
          <w:rStyle w:val="EndnoteReference"/>
        </w:rPr>
        <w:endnoteReference w:id="3160"/>
      </w:r>
      <w:r w:rsidRPr="0079229D">
        <w:t xml:space="preserve"> which will build up the Church.</w:t>
      </w:r>
      <w:r w:rsidRPr="0079229D">
        <w:rPr>
          <w:rStyle w:val="EndnoteReference"/>
        </w:rPr>
        <w:endnoteReference w:id="3161"/>
      </w:r>
      <w:r w:rsidRPr="0079229D">
        <w:t xml:space="preserve">  </w:t>
      </w:r>
      <w:r>
        <w:t xml:space="preserve">These omissions reflect Scofield’s denial in his Introduction to Ephesians that the epistle contains material concerning the functioning of the local church. </w:t>
      </w:r>
    </w:p>
    <w:p w:rsidR="006A2E06" w:rsidRDefault="006A2E06" w:rsidP="006A2E06">
      <w:pPr>
        <w:spacing w:after="120" w:line="360" w:lineRule="auto"/>
        <w:ind w:firstLine="567"/>
        <w:jc w:val="both"/>
      </w:pPr>
      <w:r w:rsidRPr="009B5E35">
        <w:rPr>
          <w:spacing w:val="-2"/>
        </w:rPr>
        <w:t>Other significant omissions are consideration of the writer’s prayers for the recipients in Eph. 1:15-23</w:t>
      </w:r>
      <w:r>
        <w:t xml:space="preserve"> and 3:14-21, and any references to the important subject of spiritual warfare in Eph. 5:1-20 and especially Eph. 6:10-18.  Scofield calls Eph. 3:14-21 ‘parenthetic’ and does not annotate Ephesians 6.  However, some of this material is referenced in subheads.</w:t>
      </w:r>
      <w:r>
        <w:rPr>
          <w:rStyle w:val="EndnoteReference"/>
        </w:rPr>
        <w:endnoteReference w:id="3162"/>
      </w:r>
      <w:r>
        <w:t xml:space="preserve"> </w:t>
      </w:r>
    </w:p>
    <w:p w:rsidR="006A2E06" w:rsidRDefault="006A2E06" w:rsidP="006A2E06">
      <w:pPr>
        <w:spacing w:after="120" w:line="360" w:lineRule="auto"/>
        <w:jc w:val="both"/>
        <w:rPr>
          <w:b/>
        </w:rPr>
      </w:pPr>
      <w:r>
        <w:rPr>
          <w:b/>
        </w:rPr>
        <w:t xml:space="preserve">8.7.6  </w:t>
      </w:r>
      <w:r w:rsidRPr="003666BB">
        <w:rPr>
          <w:b/>
        </w:rPr>
        <w:t>Philippians</w:t>
      </w:r>
    </w:p>
    <w:p w:rsidR="006A2E06" w:rsidRPr="00BF7F10" w:rsidRDefault="006A2E06" w:rsidP="006A2E06">
      <w:pPr>
        <w:spacing w:after="120" w:line="360" w:lineRule="auto"/>
        <w:jc w:val="both"/>
        <w:rPr>
          <w:b/>
          <w:i/>
        </w:rPr>
      </w:pPr>
      <w:r w:rsidRPr="00BF7F10">
        <w:rPr>
          <w:b/>
          <w:i/>
        </w:rPr>
        <w:t>Introduction</w:t>
      </w:r>
      <w:r>
        <w:rPr>
          <w:b/>
          <w:i/>
        </w:rPr>
        <w:t>:</w:t>
      </w:r>
      <w:r>
        <w:rPr>
          <w:rStyle w:val="EndnoteReference"/>
          <w:b/>
          <w:i/>
        </w:rPr>
        <w:endnoteReference w:id="3163"/>
      </w:r>
      <w:r>
        <w:rPr>
          <w:b/>
          <w:i/>
        </w:rPr>
        <w:t xml:space="preserve"> Key Points</w:t>
      </w:r>
    </w:p>
    <w:p w:rsidR="006A2E06" w:rsidRDefault="006A2E06" w:rsidP="006A2E06">
      <w:pPr>
        <w:spacing w:after="120" w:line="240" w:lineRule="auto"/>
        <w:ind w:left="567"/>
        <w:jc w:val="both"/>
      </w:pPr>
      <w:r>
        <w:t>Author: Paul; date: uncertain.</w:t>
      </w:r>
    </w:p>
    <w:p w:rsidR="006A2E06" w:rsidRDefault="006A2E06" w:rsidP="006A2E06">
      <w:pPr>
        <w:spacing w:after="120" w:line="240" w:lineRule="auto"/>
        <w:ind w:left="567"/>
        <w:jc w:val="both"/>
      </w:pPr>
      <w:r>
        <w:t xml:space="preserve">Theme: </w:t>
      </w:r>
      <w:r w:rsidRPr="005D00B9">
        <w:t xml:space="preserve">Christian experience and ‘soundness of doctrine is assumed’.  </w:t>
      </w:r>
    </w:p>
    <w:p w:rsidR="006A2E06" w:rsidRDefault="006A2E06" w:rsidP="006A2E06">
      <w:pPr>
        <w:spacing w:after="120" w:line="240" w:lineRule="auto"/>
        <w:ind w:left="567"/>
        <w:jc w:val="both"/>
      </w:pPr>
      <w:r w:rsidRPr="005D00B9">
        <w:t xml:space="preserve">There is nothing to be set right in this ‘normal New Testament assembly’ with its ‘saints in Christ Jesus with the bishops (elders) and deacons’.  </w:t>
      </w:r>
    </w:p>
    <w:p w:rsidR="006A2E06" w:rsidRPr="005D00B9" w:rsidRDefault="006A2E06" w:rsidP="006A2E06">
      <w:pPr>
        <w:spacing w:after="240" w:line="240" w:lineRule="auto"/>
        <w:ind w:left="567"/>
        <w:jc w:val="both"/>
      </w:pPr>
      <w:r w:rsidRPr="005D00B9">
        <w:t>‘Right Christian experience … is the outworking, whatever one’s circumstances … of the life, nature and mind of Christ, living in us.’</w:t>
      </w:r>
      <w:r w:rsidRPr="00D505BD">
        <w:rPr>
          <w:rStyle w:val="FootnoteReference"/>
        </w:rPr>
        <w:t xml:space="preserve"> </w:t>
      </w:r>
    </w:p>
    <w:p w:rsidR="006A2E06" w:rsidRPr="00BF7F10" w:rsidRDefault="006A2E06" w:rsidP="006A2E06">
      <w:pPr>
        <w:spacing w:after="120" w:line="360" w:lineRule="auto"/>
        <w:jc w:val="both"/>
        <w:rPr>
          <w:b/>
          <w:i/>
        </w:rPr>
      </w:pPr>
      <w:bookmarkStart w:id="21" w:name="ColossiansIntro"/>
      <w:bookmarkEnd w:id="21"/>
      <w:r w:rsidRPr="00BF7F10">
        <w:rPr>
          <w:b/>
          <w:i/>
        </w:rPr>
        <w:t>Annotation</w:t>
      </w:r>
      <w:r>
        <w:rPr>
          <w:b/>
          <w:i/>
        </w:rPr>
        <w:t xml:space="preserve">: Key Points </w:t>
      </w:r>
    </w:p>
    <w:p w:rsidR="006A2E06" w:rsidRDefault="006A2E06" w:rsidP="006A2E06">
      <w:pPr>
        <w:spacing w:after="120" w:line="240" w:lineRule="auto"/>
        <w:ind w:left="567"/>
        <w:jc w:val="both"/>
      </w:pPr>
      <w:r>
        <w:t>Only two notes.</w:t>
      </w:r>
    </w:p>
    <w:p w:rsidR="006A2E06" w:rsidRDefault="006A2E06" w:rsidP="006A2E06">
      <w:pPr>
        <w:spacing w:after="120" w:line="240" w:lineRule="auto"/>
        <w:ind w:left="567"/>
        <w:jc w:val="both"/>
      </w:pPr>
      <w:r>
        <w:rPr>
          <w:i/>
        </w:rPr>
        <w:t>E</w:t>
      </w:r>
      <w:r w:rsidRPr="00B11C57">
        <w:rPr>
          <w:i/>
        </w:rPr>
        <w:t>xcursus</w:t>
      </w:r>
      <w:r>
        <w:t xml:space="preserve"> on the ‘local church’.</w:t>
      </w:r>
      <w:r w:rsidRPr="00B11C57">
        <w:rPr>
          <w:rStyle w:val="EndnoteReference"/>
        </w:rPr>
        <w:endnoteReference w:id="3164"/>
      </w:r>
      <w:r w:rsidRPr="00B11C57">
        <w:t xml:space="preserve"> </w:t>
      </w:r>
    </w:p>
    <w:p w:rsidR="006A2E06" w:rsidRDefault="006A2E06" w:rsidP="006A2E06">
      <w:pPr>
        <w:spacing w:after="120" w:line="240" w:lineRule="auto"/>
        <w:ind w:left="567"/>
        <w:jc w:val="both"/>
      </w:pPr>
      <w:r>
        <w:t>D</w:t>
      </w:r>
      <w:r w:rsidRPr="00B11C57">
        <w:t>efinition of ‘form’ (Christ’s being ‘in the form’ of God’) as ‘the external appearance’.</w:t>
      </w:r>
      <w:r w:rsidRPr="00B11C57">
        <w:rPr>
          <w:rStyle w:val="EndnoteReference"/>
        </w:rPr>
        <w:endnoteReference w:id="3165"/>
      </w:r>
      <w:r w:rsidRPr="00B11C57">
        <w:t xml:space="preserve">  </w:t>
      </w:r>
    </w:p>
    <w:p w:rsidR="006A2E06" w:rsidRDefault="006A2E06" w:rsidP="006A2E06">
      <w:pPr>
        <w:spacing w:after="240" w:line="240" w:lineRule="auto"/>
        <w:ind w:left="567"/>
        <w:jc w:val="both"/>
      </w:pPr>
      <w:r>
        <w:t>No comment upon Paul’s appeal for unity amongst the Philippians or upon his injunctions on behaviour.</w:t>
      </w:r>
    </w:p>
    <w:p w:rsidR="00455E1F" w:rsidRDefault="00455E1F" w:rsidP="006A2E06">
      <w:pPr>
        <w:spacing w:after="240" w:line="240" w:lineRule="auto"/>
        <w:ind w:left="567"/>
        <w:jc w:val="both"/>
      </w:pPr>
    </w:p>
    <w:p w:rsidR="00455E1F" w:rsidRDefault="00455E1F" w:rsidP="006A2E06">
      <w:pPr>
        <w:spacing w:after="240" w:line="240" w:lineRule="auto"/>
        <w:ind w:left="567"/>
        <w:jc w:val="both"/>
      </w:pPr>
    </w:p>
    <w:p w:rsidR="006A2E06" w:rsidRDefault="006A2E06" w:rsidP="006A2E06">
      <w:pPr>
        <w:spacing w:after="120" w:line="360" w:lineRule="auto"/>
        <w:jc w:val="both"/>
        <w:rPr>
          <w:b/>
        </w:rPr>
      </w:pPr>
      <w:r>
        <w:rPr>
          <w:b/>
        </w:rPr>
        <w:lastRenderedPageBreak/>
        <w:t xml:space="preserve">8.7.7  </w:t>
      </w:r>
      <w:r w:rsidRPr="00332ED9">
        <w:rPr>
          <w:b/>
        </w:rPr>
        <w:t>Colossians</w:t>
      </w:r>
    </w:p>
    <w:p w:rsidR="006A2E06" w:rsidRDefault="006A2E06" w:rsidP="006A2E06">
      <w:pPr>
        <w:spacing w:after="120" w:line="360" w:lineRule="auto"/>
        <w:jc w:val="both"/>
        <w:rPr>
          <w:b/>
          <w:i/>
        </w:rPr>
      </w:pPr>
      <w:r w:rsidRPr="00BF7F10">
        <w:rPr>
          <w:b/>
          <w:i/>
        </w:rPr>
        <w:t>Introduction</w:t>
      </w:r>
      <w:r>
        <w:rPr>
          <w:b/>
          <w:i/>
        </w:rPr>
        <w:t>:</w:t>
      </w:r>
      <w:r>
        <w:rPr>
          <w:rStyle w:val="EndnoteReference"/>
        </w:rPr>
        <w:endnoteReference w:id="3166"/>
      </w:r>
      <w:r>
        <w:rPr>
          <w:b/>
          <w:i/>
        </w:rPr>
        <w:t xml:space="preserve"> Key Points</w:t>
      </w:r>
    </w:p>
    <w:p w:rsidR="006A2E06" w:rsidRDefault="006A2E06" w:rsidP="006A2E06">
      <w:pPr>
        <w:spacing w:after="120" w:line="240" w:lineRule="auto"/>
        <w:ind w:left="567"/>
        <w:jc w:val="both"/>
      </w:pPr>
      <w:r>
        <w:t>Author: Paul; date: probably contemporary with Ephesians and Philemon.</w:t>
      </w:r>
    </w:p>
    <w:p w:rsidR="006A2E06" w:rsidRDefault="006A2E06" w:rsidP="006A2E06">
      <w:pPr>
        <w:spacing w:after="120" w:line="240" w:lineRule="auto"/>
        <w:ind w:left="567"/>
        <w:jc w:val="both"/>
      </w:pPr>
      <w:r>
        <w:t xml:space="preserve">Theme: excellent state of Colossian church but marred by two forms of error: </w:t>
      </w:r>
      <w:r w:rsidRPr="005D00B9">
        <w:t xml:space="preserve">‘legality in its Alexandrian form of asceticism’ and ‘false mysticism’.  </w:t>
      </w:r>
    </w:p>
    <w:p w:rsidR="006A2E06" w:rsidRPr="00BB3B21" w:rsidRDefault="006A2E06" w:rsidP="006A2E06">
      <w:pPr>
        <w:spacing w:after="240" w:line="240" w:lineRule="auto"/>
        <w:ind w:left="567"/>
        <w:jc w:val="both"/>
      </w:pPr>
      <w:r w:rsidRPr="005D00B9">
        <w:t>‘Because of these ever-present perils, Colossians was written, not for that day only, but for the warning of the church in all days.’</w:t>
      </w:r>
      <w:r>
        <w:rPr>
          <w:rStyle w:val="EndnoteReference"/>
        </w:rPr>
        <w:endnoteReference w:id="3167"/>
      </w:r>
    </w:p>
    <w:p w:rsidR="006A2E06" w:rsidRPr="00BF7F10" w:rsidRDefault="006A2E06" w:rsidP="006A2E06">
      <w:pPr>
        <w:spacing w:after="120" w:line="360" w:lineRule="auto"/>
        <w:jc w:val="both"/>
        <w:rPr>
          <w:b/>
          <w:i/>
        </w:rPr>
      </w:pPr>
      <w:r w:rsidRPr="00BF7F10">
        <w:rPr>
          <w:b/>
          <w:i/>
        </w:rPr>
        <w:t>Annotation</w:t>
      </w:r>
      <w:r>
        <w:rPr>
          <w:b/>
          <w:i/>
        </w:rPr>
        <w:t>: Key Points</w:t>
      </w:r>
    </w:p>
    <w:p w:rsidR="006A2E06" w:rsidRDefault="006A2E06" w:rsidP="006A2E06">
      <w:pPr>
        <w:spacing w:after="120" w:line="240" w:lineRule="auto"/>
        <w:ind w:left="567"/>
        <w:jc w:val="both"/>
      </w:pPr>
      <w:r>
        <w:t>Discourse on reconciliation, defined as ‘the effect of the death of Christ upon the believing sinner which, through divine power, works in him a “thorough change” toward God from enmity and aversion to love and trust …God is propitiated, the sinner reconciled’.</w:t>
      </w:r>
      <w:r>
        <w:rPr>
          <w:rStyle w:val="EndnoteReference"/>
        </w:rPr>
        <w:endnoteReference w:id="3168"/>
      </w:r>
      <w:r>
        <w:t xml:space="preserve">  </w:t>
      </w:r>
    </w:p>
    <w:p w:rsidR="006A2E06" w:rsidRDefault="006A2E06" w:rsidP="006A2E06">
      <w:pPr>
        <w:spacing w:after="120" w:line="240" w:lineRule="auto"/>
        <w:ind w:left="567"/>
        <w:jc w:val="both"/>
      </w:pPr>
      <w:r>
        <w:t>Definition of ‘the “mystery of God”’ as ‘Christ, as incarnating the fulness of the Godhead, and all the divine wisdom and knowledge for the redemption and reconciliation of man’.</w:t>
      </w:r>
      <w:r>
        <w:rPr>
          <w:rStyle w:val="EndnoteReference"/>
        </w:rPr>
        <w:endnoteReference w:id="3169"/>
      </w:r>
      <w:r>
        <w:t xml:space="preserve">  </w:t>
      </w:r>
    </w:p>
    <w:p w:rsidR="006A2E06" w:rsidRDefault="006A2E06" w:rsidP="006A2E06">
      <w:pPr>
        <w:spacing w:after="120" w:line="240" w:lineRule="auto"/>
        <w:ind w:left="567"/>
        <w:jc w:val="both"/>
      </w:pPr>
      <w:r w:rsidRPr="00BB3B21">
        <w:rPr>
          <w:i/>
        </w:rPr>
        <w:t>E</w:t>
      </w:r>
      <w:r w:rsidRPr="00161E53">
        <w:rPr>
          <w:i/>
        </w:rPr>
        <w:t>xcursus</w:t>
      </w:r>
      <w:r>
        <w:t xml:space="preserve"> on Gnosticism: the Gnostics were ‘the errorists against whom Paul warns the Colossians …’, who had ‘pretended “knowledge”’.</w:t>
      </w:r>
      <w:r>
        <w:rPr>
          <w:rStyle w:val="EndnoteReference"/>
        </w:rPr>
        <w:endnoteReference w:id="3170"/>
      </w:r>
      <w:r>
        <w:t xml:space="preserve">  </w:t>
      </w:r>
    </w:p>
    <w:p w:rsidR="006A2E06" w:rsidRDefault="006A2E06" w:rsidP="006A2E06">
      <w:pPr>
        <w:spacing w:after="240" w:line="240" w:lineRule="auto"/>
        <w:ind w:left="567"/>
        <w:jc w:val="both"/>
      </w:pPr>
      <w:r w:rsidRPr="00BB3B21">
        <w:rPr>
          <w:i/>
        </w:rPr>
        <w:t>E</w:t>
      </w:r>
      <w:r w:rsidRPr="00A23CD5">
        <w:rPr>
          <w:i/>
        </w:rPr>
        <w:t>xcursus</w:t>
      </w:r>
      <w:r>
        <w:t xml:space="preserve"> on Epaphras as ‘a touching illustration of priestly service’.</w:t>
      </w:r>
      <w:r>
        <w:rPr>
          <w:rStyle w:val="EndnoteReference"/>
        </w:rPr>
        <w:endnoteReference w:id="3171"/>
      </w:r>
      <w:r>
        <w:t xml:space="preserve">  </w:t>
      </w:r>
    </w:p>
    <w:p w:rsidR="006A2E06" w:rsidRPr="00A23CD5" w:rsidRDefault="006A2E06" w:rsidP="006A2E06">
      <w:pPr>
        <w:spacing w:after="120" w:line="360" w:lineRule="auto"/>
        <w:jc w:val="both"/>
        <w:rPr>
          <w:b/>
        </w:rPr>
      </w:pPr>
      <w:r>
        <w:rPr>
          <w:b/>
        </w:rPr>
        <w:t>8.7</w:t>
      </w:r>
      <w:r w:rsidRPr="00A23CD5">
        <w:rPr>
          <w:b/>
        </w:rPr>
        <w:t>.8  1 Thessalonians</w:t>
      </w:r>
    </w:p>
    <w:p w:rsidR="006A2E06" w:rsidRPr="00A23CD5" w:rsidRDefault="006A2E06" w:rsidP="006A2E06">
      <w:pPr>
        <w:spacing w:after="120" w:line="360" w:lineRule="auto"/>
        <w:jc w:val="both"/>
        <w:rPr>
          <w:b/>
        </w:rPr>
      </w:pPr>
      <w:r w:rsidRPr="00A23CD5">
        <w:rPr>
          <w:b/>
          <w:i/>
        </w:rPr>
        <w:t>Introduction</w:t>
      </w:r>
      <w:r>
        <w:rPr>
          <w:b/>
          <w:i/>
        </w:rPr>
        <w:t>:</w:t>
      </w:r>
      <w:r w:rsidRPr="00A23CD5">
        <w:rPr>
          <w:rStyle w:val="EndnoteReference"/>
        </w:rPr>
        <w:endnoteReference w:id="3172"/>
      </w:r>
      <w:r>
        <w:rPr>
          <w:b/>
          <w:i/>
        </w:rPr>
        <w:t xml:space="preserve"> Key Points</w:t>
      </w:r>
      <w:r w:rsidRPr="00A23CD5">
        <w:rPr>
          <w:b/>
          <w:i/>
        </w:rPr>
        <w:t xml:space="preserve"> </w:t>
      </w:r>
    </w:p>
    <w:p w:rsidR="006A2E06" w:rsidRDefault="006A2E06" w:rsidP="006A2E06">
      <w:pPr>
        <w:spacing w:after="120" w:line="240" w:lineRule="auto"/>
        <w:ind w:left="567"/>
        <w:jc w:val="both"/>
      </w:pPr>
      <w:r>
        <w:t>Author: Paul; date A.D. 54, written from Corinth.</w:t>
      </w:r>
    </w:p>
    <w:p w:rsidR="006A2E06" w:rsidRDefault="006A2E06" w:rsidP="006A2E06">
      <w:pPr>
        <w:spacing w:after="120" w:line="240" w:lineRule="auto"/>
        <w:ind w:left="567"/>
        <w:jc w:val="both"/>
      </w:pPr>
      <w:r>
        <w:t>Themes:</w:t>
      </w:r>
      <w:r w:rsidRPr="00A23CD5">
        <w:t xml:space="preserve"> reinforcement of truths already learned by young converts, exhortation of those converts to holiness and comforting them ‘concerning those who had fallen asleep’.  </w:t>
      </w:r>
    </w:p>
    <w:p w:rsidR="006A2E06" w:rsidRDefault="006A2E06" w:rsidP="006A2E06">
      <w:pPr>
        <w:spacing w:after="120" w:line="240" w:lineRule="auto"/>
        <w:ind w:left="567"/>
        <w:jc w:val="both"/>
      </w:pPr>
      <w:r w:rsidRPr="00A23CD5">
        <w:t xml:space="preserve">‘The second coming of Christ is prominent throughout.’  </w:t>
      </w:r>
    </w:p>
    <w:p w:rsidR="006A2E06" w:rsidRDefault="006A2E06" w:rsidP="006A2E06">
      <w:pPr>
        <w:spacing w:after="120" w:line="240" w:lineRule="auto"/>
        <w:ind w:left="567"/>
        <w:jc w:val="both"/>
      </w:pPr>
      <w:r w:rsidRPr="00A23CD5">
        <w:t>The epistle shows ‘the richness in doctrine of the primitive evangelism’</w:t>
      </w:r>
      <w:r>
        <w:t>.</w:t>
      </w:r>
      <w:r w:rsidRPr="00A23CD5">
        <w:t xml:space="preserve"> </w:t>
      </w:r>
    </w:p>
    <w:p w:rsidR="006A2E06" w:rsidRPr="00A23CD5" w:rsidRDefault="006A2E06" w:rsidP="006A2E06">
      <w:pPr>
        <w:spacing w:after="240" w:line="240" w:lineRule="auto"/>
        <w:ind w:left="567"/>
        <w:jc w:val="both"/>
      </w:pPr>
      <w:r>
        <w:t>Claim that,</w:t>
      </w:r>
      <w:r w:rsidRPr="00A23CD5">
        <w:t xml:space="preserve"> over about a month, ‘the apostle had taught all the great doctrines of the Christian faith’.</w:t>
      </w:r>
      <w:r w:rsidRPr="00A23CD5">
        <w:rPr>
          <w:rStyle w:val="EndnoteReference"/>
        </w:rPr>
        <w:endnoteReference w:id="3173"/>
      </w:r>
      <w:r w:rsidRPr="00A23CD5">
        <w:t xml:space="preserve">  </w:t>
      </w:r>
    </w:p>
    <w:p w:rsidR="006A2E06" w:rsidRPr="00A23CD5" w:rsidRDefault="006A2E06" w:rsidP="006A2E06">
      <w:pPr>
        <w:spacing w:after="120" w:line="360" w:lineRule="auto"/>
        <w:jc w:val="both"/>
        <w:rPr>
          <w:b/>
          <w:i/>
        </w:rPr>
      </w:pPr>
      <w:r w:rsidRPr="00A23CD5">
        <w:rPr>
          <w:b/>
          <w:i/>
        </w:rPr>
        <w:t>Annotation</w:t>
      </w:r>
      <w:r>
        <w:rPr>
          <w:b/>
          <w:i/>
        </w:rPr>
        <w:t>: Key Points</w:t>
      </w:r>
    </w:p>
    <w:p w:rsidR="006A2E06" w:rsidRDefault="006A2E06" w:rsidP="006A2E06">
      <w:pPr>
        <w:spacing w:after="120" w:line="240" w:lineRule="auto"/>
        <w:ind w:left="567"/>
        <w:jc w:val="both"/>
      </w:pPr>
      <w:r>
        <w:t>S</w:t>
      </w:r>
      <w:r w:rsidRPr="00A23CD5">
        <w:t xml:space="preserve">ingle notes on three verses.  </w:t>
      </w:r>
    </w:p>
    <w:p w:rsidR="006A2E06" w:rsidRPr="00A23CD5" w:rsidRDefault="006A2E06" w:rsidP="006A2E06">
      <w:pPr>
        <w:spacing w:after="120" w:line="240" w:lineRule="auto"/>
        <w:ind w:left="567"/>
        <w:jc w:val="both"/>
      </w:pPr>
      <w:r>
        <w:t xml:space="preserve">Assertion of </w:t>
      </w:r>
      <w:r w:rsidRPr="00A23CD5">
        <w:t>‘the tripartite nature of man’ as consisting of a ‘trinity’ of body, soul and spirit, each of which enables human beings to relate to God through a special quality.  ‘Because man is “spirit” he is capable of God-consciousness, and of communication with God;</w:t>
      </w:r>
      <w:r w:rsidRPr="00A23CD5">
        <w:rPr>
          <w:rStyle w:val="EndnoteReference"/>
        </w:rPr>
        <w:endnoteReference w:id="3174"/>
      </w:r>
      <w:r w:rsidRPr="00A23CD5">
        <w:t xml:space="preserve"> because he is “soul” he has self- consciousness;</w:t>
      </w:r>
      <w:r w:rsidRPr="00A23CD5">
        <w:rPr>
          <w:rStyle w:val="EndnoteReference"/>
        </w:rPr>
        <w:endnoteReference w:id="3175"/>
      </w:r>
      <w:r w:rsidRPr="00A23CD5">
        <w:t xml:space="preserve"> because he is “body” he has, through his senses, world consciousness.’</w:t>
      </w:r>
      <w:r w:rsidRPr="00A23CD5">
        <w:rPr>
          <w:rStyle w:val="EndnoteReference"/>
        </w:rPr>
        <w:endnoteReference w:id="3176"/>
      </w:r>
      <w:r w:rsidRPr="00A23CD5">
        <w:t xml:space="preserve">   </w:t>
      </w:r>
    </w:p>
    <w:p w:rsidR="006A2E06" w:rsidRDefault="006A2E06" w:rsidP="006A2E06">
      <w:pPr>
        <w:spacing w:after="120" w:line="240" w:lineRule="auto"/>
        <w:ind w:left="567"/>
        <w:jc w:val="both"/>
      </w:pPr>
      <w:r>
        <w:t>Assertion of</w:t>
      </w:r>
      <w:r w:rsidRPr="00A23CD5">
        <w:t xml:space="preserve"> the three stages or ‘tenses’ of a believer’s life, starting with conversion, continuing with service and finally experiencing ‘the “patience of hope”’, which is ‘to “wait for his Son from heaven”.</w:t>
      </w:r>
      <w:r w:rsidRPr="00A23CD5">
        <w:rPr>
          <w:rStyle w:val="EndnoteReference"/>
        </w:rPr>
        <w:endnoteReference w:id="3177"/>
      </w:r>
      <w:r w:rsidRPr="00A23CD5">
        <w:t xml:space="preserve">  </w:t>
      </w:r>
    </w:p>
    <w:p w:rsidR="006A2E06" w:rsidRDefault="006A2E06" w:rsidP="006A2E06">
      <w:pPr>
        <w:spacing w:after="120" w:line="240" w:lineRule="auto"/>
        <w:ind w:left="1418"/>
        <w:jc w:val="both"/>
      </w:pPr>
      <w:r w:rsidRPr="0096247F">
        <w:rPr>
          <w:b/>
          <w:i/>
        </w:rPr>
        <w:t>Comment</w:t>
      </w:r>
      <w:r>
        <w:t xml:space="preserve">: </w:t>
      </w:r>
      <w:r w:rsidRPr="00A23CD5">
        <w:t>This note is almost a paraphrase of 1 Thess. 1:9-10.</w:t>
      </w:r>
    </w:p>
    <w:p w:rsidR="006A2E06" w:rsidRDefault="006A2E06" w:rsidP="006A2E06">
      <w:pPr>
        <w:spacing w:after="240" w:line="240" w:lineRule="auto"/>
        <w:ind w:firstLine="567"/>
        <w:jc w:val="both"/>
      </w:pPr>
      <w:r>
        <w:t>Identifies 1 Thess. 4:14-17 with Christ’s second advent and refers to ‘the first resurrection’.</w:t>
      </w:r>
    </w:p>
    <w:p w:rsidR="006A2E06" w:rsidRDefault="006A2E06" w:rsidP="006A2E06">
      <w:pPr>
        <w:spacing w:after="240" w:line="240" w:lineRule="auto"/>
        <w:ind w:left="1418"/>
        <w:jc w:val="both"/>
      </w:pPr>
      <w:r w:rsidRPr="0096247F">
        <w:rPr>
          <w:b/>
          <w:i/>
        </w:rPr>
        <w:lastRenderedPageBreak/>
        <w:t>Comment</w:t>
      </w:r>
      <w:r>
        <w:t xml:space="preserve">: </w:t>
      </w:r>
      <w:r w:rsidRPr="00B84F2B">
        <w:rPr>
          <w:spacing w:val="4"/>
        </w:rPr>
        <w:t>It is interesting that Scofield identifies 1 Thess. 4:14-17 with Christ’s ‘second advent’ in his note on 1 Thess. 4:17</w:t>
      </w:r>
      <w:r w:rsidRPr="00A23CD5">
        <w:t>.</w:t>
      </w:r>
      <w:r w:rsidRPr="00A23CD5">
        <w:rPr>
          <w:rStyle w:val="EndnoteReference"/>
        </w:rPr>
        <w:endnoteReference w:id="3178"/>
      </w:r>
      <w:r w:rsidRPr="00A23CD5">
        <w:t xml:space="preserve">  This raises the question, discussed in 7.1.3, as to whether Scofield here implies a third advent</w:t>
      </w:r>
      <w:r>
        <w:t xml:space="preserve">. </w:t>
      </w:r>
      <w:r w:rsidRPr="00A23CD5">
        <w:t xml:space="preserve"> Strangely, considering the emphasis which Scofield puts upon 1 Thess. 4:13-17 in support of his thesis concerning the pretribulational rapture of the true church,</w:t>
      </w:r>
      <w:r w:rsidRPr="00A23CD5">
        <w:rPr>
          <w:rStyle w:val="EndnoteReference"/>
        </w:rPr>
        <w:endnoteReference w:id="3179"/>
      </w:r>
      <w:r w:rsidRPr="00A23CD5">
        <w:t xml:space="preserve"> his note on 1 Thess. 4:17 is the shortest note on 1 Thessalonians and merely comments upon the inclusion of ‘the bodies of the saved, from whatever dispensation’ in ‘the first resurrection’, which is, however, ‘peculiarly the hope of the Church’.</w:t>
      </w:r>
      <w:r w:rsidRPr="00A23CD5">
        <w:rPr>
          <w:rStyle w:val="EndnoteReference"/>
        </w:rPr>
        <w:endnoteReference w:id="3180"/>
      </w:r>
      <w:r w:rsidRPr="00A23CD5">
        <w:t xml:space="preserve"> </w:t>
      </w:r>
      <w:r>
        <w:t xml:space="preserve"> This </w:t>
      </w:r>
      <w:r w:rsidRPr="00A23CD5">
        <w:t xml:space="preserve">echoes </w:t>
      </w:r>
      <w:r>
        <w:t>Scofield’s</w:t>
      </w:r>
      <w:r w:rsidRPr="00A23CD5">
        <w:t xml:space="preserve"> note on 1 Cor. 15:52.</w:t>
      </w:r>
      <w:r w:rsidRPr="00A23CD5">
        <w:rPr>
          <w:rStyle w:val="EndnoteReference"/>
        </w:rPr>
        <w:endnoteReference w:id="3181"/>
      </w:r>
      <w:r w:rsidRPr="00A23CD5">
        <w:t xml:space="preserve">    </w:t>
      </w:r>
    </w:p>
    <w:p w:rsidR="006A2E06" w:rsidRPr="00A23CD5" w:rsidRDefault="006A2E06" w:rsidP="006A2E06">
      <w:pPr>
        <w:spacing w:after="120" w:line="360" w:lineRule="auto"/>
        <w:jc w:val="both"/>
        <w:rPr>
          <w:b/>
        </w:rPr>
      </w:pPr>
      <w:r w:rsidRPr="00101AF0">
        <w:rPr>
          <w:b/>
        </w:rPr>
        <w:t>8.7.9  2 Thessalonians</w:t>
      </w:r>
    </w:p>
    <w:p w:rsidR="006A2E06" w:rsidRPr="00A23CD5" w:rsidRDefault="006A2E06" w:rsidP="006A2E06">
      <w:pPr>
        <w:spacing w:after="120" w:line="360" w:lineRule="auto"/>
        <w:jc w:val="both"/>
        <w:rPr>
          <w:b/>
          <w:i/>
        </w:rPr>
      </w:pPr>
      <w:r w:rsidRPr="00A23CD5">
        <w:rPr>
          <w:b/>
          <w:i/>
        </w:rPr>
        <w:t>Introduction</w:t>
      </w:r>
      <w:r>
        <w:rPr>
          <w:b/>
          <w:i/>
        </w:rPr>
        <w:t>:</w:t>
      </w:r>
      <w:r w:rsidRPr="00A23CD5">
        <w:rPr>
          <w:rStyle w:val="EndnoteReference"/>
        </w:rPr>
        <w:endnoteReference w:id="3182"/>
      </w:r>
      <w:r>
        <w:rPr>
          <w:b/>
          <w:i/>
        </w:rPr>
        <w:t xml:space="preserve"> Key Points</w:t>
      </w:r>
    </w:p>
    <w:p w:rsidR="006A2E06" w:rsidRDefault="006A2E06" w:rsidP="006A2E06">
      <w:pPr>
        <w:spacing w:after="120" w:line="240" w:lineRule="auto"/>
        <w:ind w:left="567"/>
        <w:jc w:val="both"/>
      </w:pPr>
      <w:r>
        <w:t>Author: Paul, written soon after 1 Thessalonians.</w:t>
      </w:r>
    </w:p>
    <w:p w:rsidR="006A2E06" w:rsidRDefault="006A2E06" w:rsidP="006A2E06">
      <w:pPr>
        <w:spacing w:after="120" w:line="240" w:lineRule="auto"/>
        <w:ind w:left="567"/>
        <w:jc w:val="both"/>
      </w:pPr>
      <w:r>
        <w:t xml:space="preserve">Assertion </w:t>
      </w:r>
      <w:r w:rsidRPr="00A23CD5">
        <w:t>that 2 Thessalonians was written ‘to instruct the Thessalonians about the day of Christ “and our gathering together unto Him” and the relation of the “day of Christ” to the “day of the LORD”’.</w:t>
      </w:r>
      <w:r w:rsidRPr="00A23CD5">
        <w:rPr>
          <w:rStyle w:val="EndnoteReference"/>
        </w:rPr>
        <w:endnoteReference w:id="3183"/>
      </w:r>
      <w:r w:rsidRPr="00A23CD5">
        <w:t xml:space="preserve">  </w:t>
      </w:r>
    </w:p>
    <w:p w:rsidR="006A2E06" w:rsidRDefault="006A2E06" w:rsidP="006A2E06">
      <w:pPr>
        <w:spacing w:after="120" w:line="240" w:lineRule="auto"/>
        <w:ind w:left="567"/>
        <w:jc w:val="both"/>
      </w:pPr>
      <w:r>
        <w:t>Assertion that</w:t>
      </w:r>
      <w:r w:rsidRPr="00A23CD5">
        <w:t xml:space="preserve"> 1 Thessalonians primarily concerns ‘the day of Christ’, whereas 2 Thessalonians mainly concerns ‘the day of the LORD’.  </w:t>
      </w:r>
    </w:p>
    <w:p w:rsidR="006A2E06" w:rsidRDefault="006A2E06" w:rsidP="006A2E06">
      <w:pPr>
        <w:spacing w:after="120" w:line="240" w:lineRule="auto"/>
        <w:ind w:left="567"/>
        <w:jc w:val="both"/>
      </w:pPr>
      <w:r>
        <w:t xml:space="preserve">Argument </w:t>
      </w:r>
      <w:r w:rsidRPr="00A23CD5">
        <w:t>that ‘A.V.’ contains a mistranslation in 2 Thess. 2:2; ‘“</w:t>
      </w:r>
      <w:r>
        <w:t xml:space="preserve">the </w:t>
      </w:r>
      <w:r w:rsidRPr="00A23CD5">
        <w:t>day of Christ is at hand”</w:t>
      </w:r>
      <w:r w:rsidRPr="00A23CD5">
        <w:rPr>
          <w:rStyle w:val="EndnoteReference"/>
        </w:rPr>
        <w:endnoteReference w:id="3184"/>
      </w:r>
      <w:r w:rsidRPr="00A23CD5">
        <w:t xml:space="preserve"> should be “</w:t>
      </w:r>
      <w:r>
        <w:t xml:space="preserve">the </w:t>
      </w:r>
      <w:r w:rsidRPr="00A23CD5">
        <w:t>day of the LORD is now present”’.</w:t>
      </w:r>
      <w:r w:rsidRPr="00A23CD5">
        <w:rPr>
          <w:rStyle w:val="EndnoteReference"/>
        </w:rPr>
        <w:endnoteReference w:id="3185"/>
      </w:r>
      <w:r w:rsidRPr="00A23CD5">
        <w:t xml:space="preserve">  </w:t>
      </w:r>
    </w:p>
    <w:p w:rsidR="006A2E06" w:rsidRDefault="006A2E06" w:rsidP="006A2E06">
      <w:pPr>
        <w:spacing w:after="120" w:line="240" w:lineRule="auto"/>
        <w:ind w:left="1418"/>
        <w:jc w:val="both"/>
      </w:pPr>
      <w:r w:rsidRPr="0096247F">
        <w:rPr>
          <w:b/>
          <w:i/>
        </w:rPr>
        <w:t>Comment</w:t>
      </w:r>
      <w:r>
        <w:t xml:space="preserve">: </w:t>
      </w:r>
      <w:r w:rsidRPr="00A23CD5">
        <w:t>‘</w:t>
      </w:r>
      <w:r w:rsidRPr="00A23CD5">
        <w:rPr>
          <w:rFonts w:ascii="Bwgrkl" w:hAnsi="Bwgrkl" w:cs="Bwgrkl"/>
          <w:lang w:bidi="he-IL"/>
        </w:rPr>
        <w:t>h` h`me,ra tou/ kuri,ou</w:t>
      </w:r>
      <w:r w:rsidRPr="00A23CD5">
        <w:rPr>
          <w:rFonts w:ascii="Times New Roman" w:hAnsi="Times New Roman"/>
        </w:rPr>
        <w:t>’ and ‘</w:t>
      </w:r>
      <w:r w:rsidRPr="00A23CD5">
        <w:rPr>
          <w:rFonts w:ascii="Bwgrkl" w:hAnsi="Bwgrkl" w:cs="Bwgrkl"/>
          <w:lang w:bidi="he-IL"/>
        </w:rPr>
        <w:t>h` h`me,ra tou/ cristo</w:t>
      </w:r>
      <w:r w:rsidRPr="00A23CD5">
        <w:rPr>
          <w:rFonts w:ascii="Bwgrkl" w:hAnsi="Bwgrkl" w:cs="Bwgrkl"/>
          <w:sz w:val="24"/>
          <w:lang w:bidi="he-IL"/>
        </w:rPr>
        <w:t>u</w:t>
      </w:r>
      <w:r w:rsidRPr="00A23CD5">
        <w:t>’</w:t>
      </w:r>
      <w:r>
        <w:rPr>
          <w:rStyle w:val="EndnoteReference"/>
        </w:rPr>
        <w:endnoteReference w:id="3186"/>
      </w:r>
      <w:r w:rsidRPr="00A23CD5">
        <w:rPr>
          <w:rFonts w:ascii="Times New Roman" w:hAnsi="Times New Roman"/>
          <w:szCs w:val="18"/>
        </w:rPr>
        <w:t xml:space="preserve"> </w:t>
      </w:r>
      <w:r w:rsidRPr="00A23CD5">
        <w:t>both occur in different versions of the Greek.</w:t>
      </w:r>
      <w:r w:rsidRPr="00A23CD5">
        <w:rPr>
          <w:rStyle w:val="EndnoteReference"/>
        </w:rPr>
        <w:endnoteReference w:id="3187"/>
      </w:r>
    </w:p>
    <w:p w:rsidR="006A2E06" w:rsidRDefault="006A2E06" w:rsidP="006A2E06">
      <w:pPr>
        <w:spacing w:after="120" w:line="240" w:lineRule="auto"/>
        <w:ind w:left="567"/>
        <w:jc w:val="both"/>
      </w:pPr>
      <w:r>
        <w:t>Conjecture</w:t>
      </w:r>
      <w:r w:rsidRPr="00A23CD5">
        <w:t xml:space="preserve"> that ‘the Thessalonian converts were “shaken in mind” and “troubled,” supposing, perhaps on the authority of a forged letter as from Paul, that the persecutions from which they were suffering were those of the “great and terrible day of the LORD,” from which they had been taught to expect deliverance by “the day of Christ, and our gathering together unto him”’.</w:t>
      </w:r>
      <w:r w:rsidRPr="00A23CD5">
        <w:rPr>
          <w:rStyle w:val="EndnoteReference"/>
        </w:rPr>
        <w:endnoteReference w:id="3188"/>
      </w:r>
      <w:r w:rsidRPr="00A23CD5">
        <w:t xml:space="preserve">  </w:t>
      </w:r>
    </w:p>
    <w:p w:rsidR="006A2E06" w:rsidRPr="00A23CD5" w:rsidRDefault="006A2E06" w:rsidP="006A2E06">
      <w:pPr>
        <w:spacing w:after="120" w:line="360" w:lineRule="auto"/>
        <w:jc w:val="both"/>
        <w:rPr>
          <w:b/>
        </w:rPr>
      </w:pPr>
      <w:r w:rsidRPr="00A23CD5">
        <w:rPr>
          <w:b/>
          <w:i/>
        </w:rPr>
        <w:t>Annotation</w:t>
      </w:r>
      <w:r>
        <w:rPr>
          <w:b/>
          <w:i/>
        </w:rPr>
        <w:t>: Key Points</w:t>
      </w:r>
    </w:p>
    <w:p w:rsidR="006A2E06" w:rsidRPr="00A23CD5" w:rsidRDefault="006A2E06" w:rsidP="006A2E06">
      <w:pPr>
        <w:spacing w:after="120" w:line="240" w:lineRule="auto"/>
        <w:ind w:left="567"/>
        <w:jc w:val="both"/>
      </w:pPr>
      <w:r>
        <w:t xml:space="preserve">Single verse annotated: </w:t>
      </w:r>
      <w:r w:rsidRPr="00A23CD5">
        <w:t xml:space="preserve">‘the order of events’ for ‘that day’, which includes the apostasy of the professing church, the removal of restraint, </w:t>
      </w:r>
      <w:r>
        <w:t>identified</w:t>
      </w:r>
      <w:r w:rsidRPr="00A23CD5">
        <w:t xml:space="preserve"> as the Holy Spirit, ‘the manifestation of the lawless one’ and Christ’s coming, which destroys him.</w:t>
      </w:r>
      <w:r w:rsidRPr="00A23CD5">
        <w:rPr>
          <w:rStyle w:val="EndnoteReference"/>
        </w:rPr>
        <w:endnoteReference w:id="3189"/>
      </w:r>
    </w:p>
    <w:p w:rsidR="006A2E06" w:rsidRPr="0096247F" w:rsidRDefault="006A2E06" w:rsidP="006A2E06">
      <w:pPr>
        <w:spacing w:after="120" w:line="360" w:lineRule="auto"/>
        <w:jc w:val="both"/>
        <w:rPr>
          <w:b/>
        </w:rPr>
      </w:pPr>
      <w:r w:rsidRPr="0096247F">
        <w:rPr>
          <w:b/>
        </w:rPr>
        <w:t>8.7.10  1 Timothy</w:t>
      </w:r>
    </w:p>
    <w:p w:rsidR="006A2E06" w:rsidRPr="0096247F" w:rsidRDefault="006A2E06" w:rsidP="006A2E06">
      <w:pPr>
        <w:spacing w:after="120" w:line="360" w:lineRule="auto"/>
        <w:jc w:val="both"/>
        <w:rPr>
          <w:b/>
          <w:i/>
        </w:rPr>
      </w:pPr>
      <w:r w:rsidRPr="0096247F">
        <w:rPr>
          <w:b/>
          <w:i/>
        </w:rPr>
        <w:t>Introduction:</w:t>
      </w:r>
      <w:r w:rsidRPr="0096247F">
        <w:rPr>
          <w:rStyle w:val="EndnoteReference"/>
        </w:rPr>
        <w:endnoteReference w:id="3190"/>
      </w:r>
      <w:r w:rsidRPr="0096247F">
        <w:rPr>
          <w:b/>
          <w:i/>
        </w:rPr>
        <w:t xml:space="preserve"> Key Points </w:t>
      </w:r>
    </w:p>
    <w:p w:rsidR="006A2E06" w:rsidRPr="0096247F" w:rsidRDefault="006A2E06" w:rsidP="006A2E06">
      <w:pPr>
        <w:spacing w:after="120" w:line="240" w:lineRule="auto"/>
        <w:ind w:left="567"/>
        <w:jc w:val="both"/>
      </w:pPr>
      <w:r w:rsidRPr="0096247F">
        <w:t>Author: Paul; date: subject to interpretation of Paul’s imprisonment(s).</w:t>
      </w:r>
    </w:p>
    <w:p w:rsidR="006A2E06" w:rsidRPr="0096247F" w:rsidRDefault="006A2E06" w:rsidP="006A2E06">
      <w:pPr>
        <w:spacing w:after="120" w:line="240" w:lineRule="auto"/>
        <w:ind w:left="567"/>
        <w:jc w:val="both"/>
      </w:pPr>
      <w:r w:rsidRPr="0096247F">
        <w:t>Assertion that existence of increased numbers of churches necessitated ‘a clear revelation for church guidance’ concerning church order, faith and discipline.</w:t>
      </w:r>
    </w:p>
    <w:p w:rsidR="006A2E06" w:rsidRPr="0096247F" w:rsidRDefault="006A2E06" w:rsidP="006A2E06">
      <w:pPr>
        <w:spacing w:after="240" w:line="240" w:lineRule="auto"/>
        <w:ind w:left="567"/>
        <w:jc w:val="both"/>
      </w:pPr>
      <w:r w:rsidRPr="0096247F">
        <w:t xml:space="preserve">‘Well had it been with the churches if they had neither added to nor taken from the divine order.’  </w:t>
      </w:r>
    </w:p>
    <w:p w:rsidR="006A2E06" w:rsidRPr="00455E1F" w:rsidRDefault="00455E1F" w:rsidP="006A2E06">
      <w:pPr>
        <w:spacing w:after="120" w:line="360" w:lineRule="auto"/>
        <w:jc w:val="both"/>
        <w:rPr>
          <w:b/>
          <w:i/>
        </w:rPr>
      </w:pPr>
      <w:r w:rsidRPr="00455E1F">
        <w:rPr>
          <w:b/>
          <w:i/>
        </w:rPr>
        <w:t>Continued overleaf</w:t>
      </w:r>
    </w:p>
    <w:p w:rsidR="006A2E06" w:rsidRDefault="006A2E06" w:rsidP="006A2E06">
      <w:pPr>
        <w:spacing w:after="120" w:line="360" w:lineRule="auto"/>
        <w:jc w:val="both"/>
        <w:rPr>
          <w:b/>
        </w:rPr>
      </w:pPr>
    </w:p>
    <w:p w:rsidR="006A2E06" w:rsidRDefault="00455E1F" w:rsidP="006A2E06">
      <w:pPr>
        <w:spacing w:after="120" w:line="360" w:lineRule="auto"/>
        <w:jc w:val="both"/>
      </w:pPr>
      <w:r>
        <w:rPr>
          <w:noProof/>
          <w:lang w:eastAsia="en-GB"/>
        </w:rPr>
        <w:lastRenderedPageBreak/>
        <w:t xml:space="preserve"> </w:t>
      </w:r>
      <w:r w:rsidR="006A2E06">
        <w:rPr>
          <w:noProof/>
          <w:lang w:eastAsia="en-GB"/>
        </w:rPr>
        <w:drawing>
          <wp:inline distT="0" distB="0" distL="0" distR="0" wp14:anchorId="3395774D" wp14:editId="080E99CC">
            <wp:extent cx="5243657" cy="84963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 1 &amp; 2 Thess, 1 &amp; 2 Tim graphs page 17.2.18 crop.jpg"/>
                    <pic:cNvPicPr/>
                  </pic:nvPicPr>
                  <pic:blipFill>
                    <a:blip r:embed="rId208">
                      <a:extLst>
                        <a:ext uri="{28A0092B-C50C-407E-A947-70E740481C1C}">
                          <a14:useLocalDpi xmlns:a14="http://schemas.microsoft.com/office/drawing/2010/main" val="0"/>
                        </a:ext>
                      </a:extLst>
                    </a:blip>
                    <a:stretch>
                      <a:fillRect/>
                    </a:stretch>
                  </pic:blipFill>
                  <pic:spPr>
                    <a:xfrm>
                      <a:off x="0" y="0"/>
                      <a:ext cx="5248595" cy="8504300"/>
                    </a:xfrm>
                    <a:prstGeom prst="rect">
                      <a:avLst/>
                    </a:prstGeom>
                  </pic:spPr>
                </pic:pic>
              </a:graphicData>
            </a:graphic>
          </wp:inline>
        </w:drawing>
      </w:r>
      <w:r w:rsidR="006A2E06">
        <w:br w:type="page"/>
      </w:r>
    </w:p>
    <w:p w:rsidR="006A2E06" w:rsidRPr="0096247F" w:rsidRDefault="006A2E06" w:rsidP="006A2E06">
      <w:pPr>
        <w:spacing w:after="120" w:line="360" w:lineRule="auto"/>
        <w:jc w:val="both"/>
        <w:rPr>
          <w:b/>
          <w:i/>
        </w:rPr>
      </w:pPr>
      <w:r w:rsidRPr="0096247F">
        <w:rPr>
          <w:b/>
          <w:i/>
        </w:rPr>
        <w:lastRenderedPageBreak/>
        <w:t>Annotation, 1 Timothy: Key Points</w:t>
      </w:r>
    </w:p>
    <w:p w:rsidR="006A2E06" w:rsidRPr="0096247F" w:rsidRDefault="006A2E06" w:rsidP="006A2E06">
      <w:pPr>
        <w:spacing w:after="120" w:line="240" w:lineRule="auto"/>
        <w:ind w:left="567"/>
        <w:jc w:val="both"/>
      </w:pPr>
      <w:r w:rsidRPr="0096247F">
        <w:t>Notes on only two verses.</w:t>
      </w:r>
      <w:r w:rsidRPr="0096247F">
        <w:rPr>
          <w:rStyle w:val="EndnoteReference"/>
        </w:rPr>
        <w:endnoteReference w:id="3191"/>
      </w:r>
      <w:r w:rsidRPr="0096247F">
        <w:t xml:space="preserve"> </w:t>
      </w:r>
    </w:p>
    <w:p w:rsidR="006A2E06" w:rsidRDefault="006A2E06" w:rsidP="006A2E06">
      <w:pPr>
        <w:spacing w:after="120" w:line="240" w:lineRule="auto"/>
        <w:ind w:left="567"/>
        <w:jc w:val="both"/>
      </w:pPr>
      <w:r w:rsidRPr="0096247F">
        <w:t xml:space="preserve">The ‘delivery to Satan’ of Hymenaeus and Alexander linked with ‘the seriousness of false teaching, and particularly as related to resurrection’.  Further links made to 2 Tim. 2:17-18, asserting that ‘Paul calls it blasphemy to teach that “the resurrection is past already”’.  </w:t>
      </w:r>
    </w:p>
    <w:p w:rsidR="006A2E06" w:rsidRPr="0096247F" w:rsidRDefault="006A2E06" w:rsidP="006A2E06">
      <w:pPr>
        <w:spacing w:after="120" w:line="240" w:lineRule="auto"/>
        <w:ind w:left="1418"/>
        <w:jc w:val="both"/>
      </w:pPr>
      <w:r w:rsidRPr="0096247F">
        <w:rPr>
          <w:b/>
          <w:i/>
        </w:rPr>
        <w:t>Comment</w:t>
      </w:r>
      <w:r>
        <w:t>:</w:t>
      </w:r>
      <w:r w:rsidRPr="0096247F">
        <w:t xml:space="preserve"> Presumably this link is made because someone named Hymenaeus is mentioned in 2 Tim. 2:17, but there Hymenaeus is linked with Philetus in misapprehension concerning the resurrection.  As Clare Drury remarks, ‘It is impossible to say whether both refer to the same man.’</w:t>
      </w:r>
      <w:r w:rsidRPr="0096247F">
        <w:rPr>
          <w:rStyle w:val="EndnoteReference"/>
        </w:rPr>
        <w:endnoteReference w:id="3192"/>
      </w:r>
      <w:r w:rsidRPr="0096247F">
        <w:t xml:space="preserve">  Drury further states that ‘we cannot be sure whether [Hymenaeus and Philetus] were known to the community at the time of writing, if they were well-known historical figures, or if they are fictitious characters introduced to make the situation more vivid and realistic’.</w:t>
      </w:r>
      <w:r w:rsidRPr="0096247F">
        <w:rPr>
          <w:rStyle w:val="EndnoteReference"/>
        </w:rPr>
        <w:endnoteReference w:id="3193"/>
      </w:r>
    </w:p>
    <w:p w:rsidR="006A2E06" w:rsidRPr="0096247F" w:rsidRDefault="006A2E06" w:rsidP="006A2E06">
      <w:pPr>
        <w:spacing w:after="120" w:line="240" w:lineRule="auto"/>
        <w:ind w:left="567"/>
        <w:jc w:val="both"/>
      </w:pPr>
      <w:r w:rsidRPr="0096247F">
        <w:t>Assertion concerning the true and professing churches and their ‘predicted futures’.  The true Church has existed within the historical Church, which is the ‘visible body of professed believers’, whose ‘predicted future is apostasy, but that of the true Church, glory’.</w:t>
      </w:r>
      <w:r w:rsidRPr="0096247F">
        <w:rPr>
          <w:rStyle w:val="EndnoteReference"/>
        </w:rPr>
        <w:endnoteReference w:id="3194"/>
      </w:r>
      <w:r w:rsidRPr="0096247F">
        <w:t xml:space="preserve">  </w:t>
      </w:r>
    </w:p>
    <w:p w:rsidR="006A2E06" w:rsidRDefault="006A2E06" w:rsidP="006A2E06">
      <w:pPr>
        <w:spacing w:after="120" w:line="360" w:lineRule="auto"/>
        <w:jc w:val="both"/>
        <w:rPr>
          <w:b/>
        </w:rPr>
      </w:pPr>
      <w:r>
        <w:rPr>
          <w:b/>
        </w:rPr>
        <w:t xml:space="preserve">8.7.11  2 </w:t>
      </w:r>
      <w:r w:rsidRPr="003666BB">
        <w:rPr>
          <w:b/>
        </w:rPr>
        <w:t>Timothy</w:t>
      </w:r>
    </w:p>
    <w:p w:rsidR="006A2E06" w:rsidRPr="00BF7F10" w:rsidRDefault="006A2E06" w:rsidP="006A2E06">
      <w:pPr>
        <w:spacing w:after="120" w:line="360" w:lineRule="auto"/>
        <w:jc w:val="both"/>
        <w:rPr>
          <w:b/>
          <w:i/>
        </w:rPr>
      </w:pPr>
      <w:r w:rsidRPr="00BF7F10">
        <w:rPr>
          <w:b/>
          <w:i/>
        </w:rPr>
        <w:t>Introduction</w:t>
      </w:r>
      <w:r>
        <w:rPr>
          <w:b/>
          <w:i/>
        </w:rPr>
        <w:t>:</w:t>
      </w:r>
      <w:r>
        <w:rPr>
          <w:rStyle w:val="EndnoteReference"/>
          <w:b/>
          <w:i/>
        </w:rPr>
        <w:endnoteReference w:id="3195"/>
      </w:r>
      <w:r>
        <w:rPr>
          <w:b/>
          <w:i/>
        </w:rPr>
        <w:t xml:space="preserve"> Key Points</w:t>
      </w:r>
    </w:p>
    <w:p w:rsidR="006A2E06" w:rsidRDefault="006A2E06" w:rsidP="006A2E06">
      <w:pPr>
        <w:spacing w:after="120" w:line="240" w:lineRule="auto"/>
        <w:ind w:left="567"/>
        <w:jc w:val="both"/>
      </w:pPr>
      <w:r>
        <w:t>Author: Paul, ‘shortly before his martyrdom’.</w:t>
      </w:r>
    </w:p>
    <w:p w:rsidR="006A2E06" w:rsidRDefault="006A2E06" w:rsidP="006A2E06">
      <w:pPr>
        <w:spacing w:after="120" w:line="240" w:lineRule="auto"/>
        <w:ind w:left="567"/>
        <w:jc w:val="both"/>
      </w:pPr>
      <w:r>
        <w:t>Assertion</w:t>
      </w:r>
      <w:r w:rsidRPr="005D00B9">
        <w:t xml:space="preserve"> on the grounds of 2 Tim. 4:6-8 that the epistle ‘contains the last words of the great apostle which inspiration has preserved’.  </w:t>
      </w:r>
    </w:p>
    <w:p w:rsidR="006A2E06" w:rsidRDefault="006A2E06" w:rsidP="006A2E06">
      <w:pPr>
        <w:spacing w:after="240" w:line="240" w:lineRule="auto"/>
        <w:ind w:left="567"/>
        <w:jc w:val="both"/>
      </w:pPr>
      <w:r>
        <w:t>Theme:</w:t>
      </w:r>
      <w:r w:rsidRPr="005D00B9">
        <w:t xml:space="preserve"> ‘the personal walk and testimony of a true servant of Christ in a day of apostasy and declension’</w:t>
      </w:r>
      <w:r>
        <w:t>: assertion that this is</w:t>
      </w:r>
      <w:r w:rsidRPr="005D00B9">
        <w:t xml:space="preserve"> ‘proof that already apostasy had set in in its first form, legalism’.</w:t>
      </w:r>
    </w:p>
    <w:p w:rsidR="006A2E06" w:rsidRPr="00BF7F10" w:rsidRDefault="006A2E06" w:rsidP="006A2E06">
      <w:pPr>
        <w:spacing w:after="120" w:line="360" w:lineRule="auto"/>
        <w:jc w:val="both"/>
        <w:rPr>
          <w:b/>
          <w:i/>
        </w:rPr>
      </w:pPr>
      <w:r w:rsidRPr="00BF7F10">
        <w:rPr>
          <w:b/>
          <w:i/>
        </w:rPr>
        <w:t>Annotation</w:t>
      </w:r>
      <w:r>
        <w:rPr>
          <w:b/>
          <w:i/>
        </w:rPr>
        <w:t>: Key Points</w:t>
      </w:r>
    </w:p>
    <w:p w:rsidR="006A2E06" w:rsidRDefault="006A2E06" w:rsidP="006A2E06">
      <w:pPr>
        <w:spacing w:after="120" w:line="240" w:lineRule="auto"/>
        <w:ind w:left="567"/>
        <w:jc w:val="both"/>
      </w:pPr>
      <w:r>
        <w:t>List of ‘the believers’ resources’ in face of apostasy.</w:t>
      </w:r>
      <w:r w:rsidRPr="00E077A4">
        <w:rPr>
          <w:rStyle w:val="EndnoteReference"/>
        </w:rPr>
        <w:t xml:space="preserve"> </w:t>
      </w:r>
      <w:r>
        <w:rPr>
          <w:rStyle w:val="EndnoteReference"/>
        </w:rPr>
        <w:endnoteReference w:id="3196"/>
      </w:r>
      <w:r>
        <w:t xml:space="preserve">   </w:t>
      </w:r>
    </w:p>
    <w:p w:rsidR="006A2E06" w:rsidRDefault="006A2E06" w:rsidP="006A2E06">
      <w:pPr>
        <w:spacing w:after="120" w:line="240" w:lineRule="auto"/>
        <w:ind w:left="567"/>
        <w:jc w:val="both"/>
      </w:pPr>
      <w:r>
        <w:t>Definition of apostasy as ‘falling away: the acts of professed Christians who deliberately reject revealed truth’ concerning Christ’s deity and redemption through his sacrifice.</w:t>
      </w:r>
      <w:r>
        <w:rPr>
          <w:rStyle w:val="EndnoteReference"/>
        </w:rPr>
        <w:endnoteReference w:id="3197"/>
      </w:r>
      <w:r>
        <w:t xml:space="preserve">  </w:t>
      </w:r>
    </w:p>
    <w:p w:rsidR="006A2E06" w:rsidRDefault="006A2E06" w:rsidP="006A2E06">
      <w:pPr>
        <w:spacing w:after="120" w:line="240" w:lineRule="auto"/>
        <w:ind w:left="567"/>
        <w:jc w:val="both"/>
      </w:pPr>
      <w:r>
        <w:t>Assertion that apostasy differs from error, which may result from ignorance or heresy, ‘both of which may consist with true faith’; apostates ‘depart from the faith, but not from the outward profession of Christianity’.</w:t>
      </w:r>
      <w:r>
        <w:rPr>
          <w:rStyle w:val="EndnoteReference"/>
        </w:rPr>
        <w:endnoteReference w:id="3198"/>
      </w:r>
      <w:r>
        <w:t xml:space="preserve">  </w:t>
      </w:r>
    </w:p>
    <w:p w:rsidR="006A2E06" w:rsidRDefault="006A2E06" w:rsidP="006A2E06">
      <w:pPr>
        <w:spacing w:after="240" w:line="240" w:lineRule="auto"/>
        <w:ind w:left="567"/>
        <w:jc w:val="both"/>
      </w:pPr>
      <w:r>
        <w:t>Assertion that ‘apostasy in the church, as in Israel … is irremediable and awaits judgment’.</w:t>
      </w:r>
      <w:r>
        <w:rPr>
          <w:rStyle w:val="EndnoteReference"/>
        </w:rPr>
        <w:endnoteReference w:id="3199"/>
      </w:r>
    </w:p>
    <w:p w:rsidR="00455E1F" w:rsidRPr="00455E1F" w:rsidRDefault="00455E1F" w:rsidP="006A2E06">
      <w:pPr>
        <w:spacing w:after="240" w:line="240" w:lineRule="auto"/>
        <w:ind w:left="567"/>
        <w:jc w:val="both"/>
        <w:rPr>
          <w:b/>
          <w:i/>
        </w:rPr>
      </w:pPr>
      <w:r w:rsidRPr="00455E1F">
        <w:rPr>
          <w:b/>
          <w:i/>
        </w:rPr>
        <w:t>Continued overleaf</w:t>
      </w:r>
    </w:p>
    <w:p w:rsidR="006A2E06" w:rsidRPr="008C1FC0" w:rsidRDefault="006A2E06" w:rsidP="006A2E06">
      <w:pPr>
        <w:spacing w:after="120" w:line="360" w:lineRule="auto"/>
        <w:jc w:val="both"/>
        <w:rPr>
          <w:b/>
          <w:sz w:val="16"/>
          <w:szCs w:val="16"/>
        </w:rPr>
      </w:pPr>
      <w:r>
        <w:rPr>
          <w:b/>
          <w:noProof/>
          <w:sz w:val="16"/>
          <w:szCs w:val="16"/>
          <w:lang w:eastAsia="en-GB"/>
        </w:rPr>
        <w:lastRenderedPageBreak/>
        <w:drawing>
          <wp:inline distT="0" distB="0" distL="0" distR="0" wp14:anchorId="332ECBE6" wp14:editId="25511784">
            <wp:extent cx="5400040" cy="372300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s &amp; Philemon crop 18.6.16.jpg"/>
                    <pic:cNvPicPr/>
                  </pic:nvPicPr>
                  <pic:blipFill>
                    <a:blip r:embed="rId209">
                      <a:extLst>
                        <a:ext uri="{28A0092B-C50C-407E-A947-70E740481C1C}">
                          <a14:useLocalDpi xmlns:a14="http://schemas.microsoft.com/office/drawing/2010/main" val="0"/>
                        </a:ext>
                      </a:extLst>
                    </a:blip>
                    <a:stretch>
                      <a:fillRect/>
                    </a:stretch>
                  </pic:blipFill>
                  <pic:spPr>
                    <a:xfrm>
                      <a:off x="0" y="0"/>
                      <a:ext cx="5400040" cy="3723005"/>
                    </a:xfrm>
                    <a:prstGeom prst="rect">
                      <a:avLst/>
                    </a:prstGeom>
                  </pic:spPr>
                </pic:pic>
              </a:graphicData>
            </a:graphic>
          </wp:inline>
        </w:drawing>
      </w:r>
    </w:p>
    <w:p w:rsidR="006A2E06" w:rsidRDefault="006A2E06" w:rsidP="006A2E06">
      <w:pPr>
        <w:spacing w:after="120" w:line="360" w:lineRule="auto"/>
        <w:jc w:val="center"/>
        <w:rPr>
          <w:b/>
        </w:rPr>
      </w:pPr>
      <w:r>
        <w:rPr>
          <w:b/>
          <w:noProof/>
          <w:lang w:eastAsia="en-GB"/>
        </w:rPr>
        <w:drawing>
          <wp:inline distT="0" distB="0" distL="0" distR="0" wp14:anchorId="32FFD814" wp14:editId="1C1148CA">
            <wp:extent cx="5400040" cy="511175"/>
            <wp:effectExtent l="0" t="0" r="0" b="317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s &amp; Philemon titles 18.2.18 crop.jpg"/>
                    <pic:cNvPicPr/>
                  </pic:nvPicPr>
                  <pic:blipFill>
                    <a:blip r:embed="rId210">
                      <a:extLst>
                        <a:ext uri="{28A0092B-C50C-407E-A947-70E740481C1C}">
                          <a14:useLocalDpi xmlns:a14="http://schemas.microsoft.com/office/drawing/2010/main" val="0"/>
                        </a:ext>
                      </a:extLst>
                    </a:blip>
                    <a:stretch>
                      <a:fillRect/>
                    </a:stretch>
                  </pic:blipFill>
                  <pic:spPr>
                    <a:xfrm>
                      <a:off x="0" y="0"/>
                      <a:ext cx="5400040" cy="511175"/>
                    </a:xfrm>
                    <a:prstGeom prst="rect">
                      <a:avLst/>
                    </a:prstGeom>
                  </pic:spPr>
                </pic:pic>
              </a:graphicData>
            </a:graphic>
          </wp:inline>
        </w:drawing>
      </w:r>
    </w:p>
    <w:p w:rsidR="006A2E06" w:rsidRPr="00A23CD5" w:rsidRDefault="006A2E06" w:rsidP="006A2E06">
      <w:pPr>
        <w:spacing w:after="120" w:line="360" w:lineRule="auto"/>
        <w:jc w:val="both"/>
        <w:rPr>
          <w:b/>
        </w:rPr>
      </w:pPr>
      <w:r>
        <w:rPr>
          <w:b/>
        </w:rPr>
        <w:t>8.7.12</w:t>
      </w:r>
      <w:r w:rsidRPr="00A23CD5">
        <w:rPr>
          <w:b/>
        </w:rPr>
        <w:t xml:space="preserve">  Titus</w:t>
      </w:r>
    </w:p>
    <w:p w:rsidR="006A2E06" w:rsidRPr="00A23CD5" w:rsidRDefault="006A2E06" w:rsidP="006A2E06">
      <w:pPr>
        <w:spacing w:after="120" w:line="360" w:lineRule="auto"/>
        <w:jc w:val="both"/>
        <w:rPr>
          <w:b/>
          <w:i/>
        </w:rPr>
      </w:pPr>
      <w:r w:rsidRPr="00A23CD5">
        <w:rPr>
          <w:b/>
          <w:i/>
        </w:rPr>
        <w:t>Introduction</w:t>
      </w:r>
      <w:r>
        <w:rPr>
          <w:b/>
          <w:i/>
        </w:rPr>
        <w:t>:</w:t>
      </w:r>
      <w:r w:rsidRPr="00A23CD5">
        <w:rPr>
          <w:rStyle w:val="EndnoteReference"/>
        </w:rPr>
        <w:endnoteReference w:id="3200"/>
      </w:r>
      <w:r w:rsidRPr="00A23CD5">
        <w:t xml:space="preserve"> </w:t>
      </w:r>
      <w:r>
        <w:rPr>
          <w:b/>
          <w:i/>
        </w:rPr>
        <w:t xml:space="preserve"> Key Points</w:t>
      </w:r>
    </w:p>
    <w:p w:rsidR="006A2E06" w:rsidRDefault="006A2E06" w:rsidP="006A2E06">
      <w:pPr>
        <w:spacing w:after="120" w:line="240" w:lineRule="auto"/>
        <w:ind w:left="567"/>
        <w:jc w:val="both"/>
      </w:pPr>
      <w:r>
        <w:t>Author: Paul; date: contemporary with 1 Timothy.</w:t>
      </w:r>
    </w:p>
    <w:p w:rsidR="006A2E06" w:rsidRDefault="006A2E06" w:rsidP="006A2E06">
      <w:pPr>
        <w:spacing w:after="120" w:line="240" w:lineRule="auto"/>
        <w:ind w:left="567"/>
        <w:jc w:val="both"/>
      </w:pPr>
      <w:r>
        <w:t xml:space="preserve">Theme: </w:t>
      </w:r>
      <w:r w:rsidRPr="00A23CD5">
        <w:t xml:space="preserve">order in churches, especially in local churches.  </w:t>
      </w:r>
    </w:p>
    <w:p w:rsidR="006A2E06" w:rsidRPr="00A23CD5" w:rsidRDefault="006A2E06" w:rsidP="006A2E06">
      <w:pPr>
        <w:spacing w:after="240" w:line="240" w:lineRule="auto"/>
        <w:ind w:left="567"/>
        <w:jc w:val="both"/>
      </w:pPr>
      <w:r>
        <w:t xml:space="preserve">Assertion of application to </w:t>
      </w:r>
      <w:r w:rsidRPr="00A23CD5">
        <w:t>‘churches grown careless as to the truth of God’ and ‘churches careless as to the order of God’s house’.</w:t>
      </w:r>
      <w:r w:rsidRPr="00A23CD5">
        <w:rPr>
          <w:rStyle w:val="EndnoteReference"/>
        </w:rPr>
        <w:endnoteReference w:id="3201"/>
      </w:r>
      <w:r w:rsidRPr="00A23CD5">
        <w:t xml:space="preserve"> </w:t>
      </w:r>
    </w:p>
    <w:p w:rsidR="006A2E06" w:rsidRPr="00A23CD5" w:rsidRDefault="006A2E06" w:rsidP="006A2E06">
      <w:pPr>
        <w:spacing w:after="120" w:line="360" w:lineRule="auto"/>
        <w:jc w:val="both"/>
        <w:rPr>
          <w:b/>
          <w:i/>
        </w:rPr>
      </w:pPr>
      <w:r w:rsidRPr="00A23CD5">
        <w:rPr>
          <w:b/>
          <w:i/>
        </w:rPr>
        <w:t>Annotation</w:t>
      </w:r>
      <w:r>
        <w:rPr>
          <w:b/>
          <w:i/>
        </w:rPr>
        <w:t>: Key Points</w:t>
      </w:r>
    </w:p>
    <w:p w:rsidR="006A2E06" w:rsidRPr="00A23CD5" w:rsidRDefault="006A2E06" w:rsidP="006A2E06">
      <w:pPr>
        <w:spacing w:after="240" w:line="240" w:lineRule="auto"/>
        <w:ind w:firstLine="567"/>
        <w:jc w:val="both"/>
      </w:pPr>
      <w:r w:rsidRPr="00A23CD5">
        <w:t xml:space="preserve">Two notes on Titus 1 provide an </w:t>
      </w:r>
      <w:r w:rsidRPr="00A23CD5">
        <w:rPr>
          <w:i/>
        </w:rPr>
        <w:t>excursus</w:t>
      </w:r>
      <w:r w:rsidRPr="00A23CD5">
        <w:t xml:space="preserve"> on elders in local churches.</w:t>
      </w:r>
      <w:r w:rsidRPr="00A23CD5">
        <w:rPr>
          <w:rStyle w:val="EndnoteReference"/>
        </w:rPr>
        <w:endnoteReference w:id="3202"/>
      </w:r>
    </w:p>
    <w:p w:rsidR="006A2E06" w:rsidRPr="005D00B9" w:rsidRDefault="006A2E06" w:rsidP="006A2E06">
      <w:pPr>
        <w:spacing w:after="120" w:line="360" w:lineRule="auto"/>
        <w:jc w:val="both"/>
      </w:pPr>
      <w:bookmarkStart w:id="22" w:name="PhilemonIntro"/>
      <w:bookmarkEnd w:id="22"/>
      <w:r>
        <w:rPr>
          <w:b/>
        </w:rPr>
        <w:t xml:space="preserve">8.7.13  </w:t>
      </w:r>
      <w:r w:rsidRPr="005D00B9">
        <w:rPr>
          <w:b/>
        </w:rPr>
        <w:t>Philemon</w:t>
      </w:r>
    </w:p>
    <w:p w:rsidR="006A2E06" w:rsidRPr="00AF1EB2" w:rsidRDefault="006A2E06" w:rsidP="006A2E06">
      <w:pPr>
        <w:spacing w:after="120" w:line="360" w:lineRule="auto"/>
        <w:jc w:val="both"/>
        <w:rPr>
          <w:b/>
          <w:i/>
        </w:rPr>
      </w:pPr>
      <w:r w:rsidRPr="00BF7F10">
        <w:rPr>
          <w:b/>
          <w:i/>
        </w:rPr>
        <w:t>Introduction</w:t>
      </w:r>
      <w:r>
        <w:rPr>
          <w:b/>
          <w:i/>
        </w:rPr>
        <w:t>:</w:t>
      </w:r>
      <w:r w:rsidRPr="00AF1EB2">
        <w:rPr>
          <w:rStyle w:val="EndnoteReference"/>
        </w:rPr>
        <w:t xml:space="preserve"> </w:t>
      </w:r>
      <w:r>
        <w:rPr>
          <w:rStyle w:val="EndnoteReference"/>
        </w:rPr>
        <w:endnoteReference w:id="3203"/>
      </w:r>
      <w:r>
        <w:t xml:space="preserve"> </w:t>
      </w:r>
      <w:r w:rsidRPr="00AF1EB2">
        <w:rPr>
          <w:b/>
          <w:i/>
        </w:rPr>
        <w:t>Key Point</w:t>
      </w:r>
    </w:p>
    <w:p w:rsidR="006A2E06" w:rsidRDefault="006A2E06" w:rsidP="006A2E06">
      <w:pPr>
        <w:spacing w:after="240" w:line="240" w:lineRule="auto"/>
        <w:ind w:left="567"/>
        <w:jc w:val="both"/>
      </w:pPr>
      <w:r>
        <w:t xml:space="preserve">Summary of </w:t>
      </w:r>
      <w:r w:rsidRPr="005D00B9">
        <w:t>the occasion of the letter,</w:t>
      </w:r>
      <w:r>
        <w:t xml:space="preserve"> </w:t>
      </w:r>
      <w:r w:rsidRPr="005D00B9">
        <w:t xml:space="preserve">and </w:t>
      </w:r>
      <w:r>
        <w:t xml:space="preserve">assertion </w:t>
      </w:r>
      <w:r w:rsidRPr="005D00B9">
        <w:t>that it offers ‘priceless value as teaching in practical righteousness; Christian brotherhood; Christian courtesy and the law of love’.</w:t>
      </w:r>
    </w:p>
    <w:p w:rsidR="006A2E06" w:rsidRPr="00BF7F10" w:rsidRDefault="006A2E06" w:rsidP="006A2E06">
      <w:pPr>
        <w:spacing w:after="120" w:line="360" w:lineRule="auto"/>
        <w:jc w:val="both"/>
        <w:rPr>
          <w:b/>
          <w:i/>
        </w:rPr>
      </w:pPr>
      <w:r w:rsidRPr="00BF7F10">
        <w:rPr>
          <w:b/>
          <w:i/>
        </w:rPr>
        <w:t>Annotation</w:t>
      </w:r>
      <w:r>
        <w:rPr>
          <w:b/>
          <w:i/>
        </w:rPr>
        <w:t>: Key Point</w:t>
      </w:r>
    </w:p>
    <w:p w:rsidR="006A2E06" w:rsidRDefault="006A2E06" w:rsidP="006A2E06">
      <w:pPr>
        <w:spacing w:after="240" w:line="240" w:lineRule="auto"/>
        <w:ind w:firstLine="567"/>
        <w:jc w:val="both"/>
      </w:pPr>
      <w:r>
        <w:t>References vv. 17-18 as an example of imputation.</w:t>
      </w:r>
      <w:r>
        <w:rPr>
          <w:rStyle w:val="EndnoteReference"/>
        </w:rPr>
        <w:endnoteReference w:id="3204"/>
      </w:r>
    </w:p>
    <w:p w:rsidR="006A2E06" w:rsidRDefault="006A2E06" w:rsidP="006A2E06">
      <w:pPr>
        <w:spacing w:after="120" w:line="360" w:lineRule="auto"/>
        <w:jc w:val="both"/>
        <w:rPr>
          <w:b/>
        </w:rPr>
      </w:pPr>
      <w:r>
        <w:rPr>
          <w:b/>
        </w:rPr>
        <w:lastRenderedPageBreak/>
        <w:t>8.7.14</w:t>
      </w:r>
      <w:r w:rsidRPr="0041758E">
        <w:rPr>
          <w:b/>
        </w:rPr>
        <w:t xml:space="preserve">  Conclusion: </w:t>
      </w:r>
      <w:r w:rsidR="00756EB6">
        <w:rPr>
          <w:b/>
        </w:rPr>
        <w:t>Notes on t</w:t>
      </w:r>
      <w:r w:rsidRPr="0041758E">
        <w:rPr>
          <w:b/>
        </w:rPr>
        <w:t>he Pauline Epistles</w:t>
      </w:r>
    </w:p>
    <w:p w:rsidR="006A2E06" w:rsidRDefault="006A2E06" w:rsidP="006A2E06">
      <w:pPr>
        <w:spacing w:after="120" w:line="360" w:lineRule="auto"/>
        <w:jc w:val="both"/>
      </w:pPr>
      <w:r>
        <w:t>The most striking feature of Scofield’s annotation of the Pauline and Deutero-Pauline epistles is the number of discourses on doctrinal matters.  This is quite different from most of the annotation of the Old Testament and of Acts and of the Gospels, apart from Matthew and John.  The notes on Romans, in particular, appear to reflect the Bible Readings method as Scofield explicates various soteriological terms.</w:t>
      </w:r>
      <w:r>
        <w:rPr>
          <w:rStyle w:val="EndnoteReference"/>
        </w:rPr>
        <w:endnoteReference w:id="3205"/>
      </w:r>
      <w:r>
        <w:t xml:space="preserve">  These </w:t>
      </w:r>
      <w:r w:rsidRPr="00B84F2B">
        <w:rPr>
          <w:spacing w:val="4"/>
        </w:rPr>
        <w:t>notes form homilies which bear more similarity to those in other Reference Bibles.  The annotation of 1</w:t>
      </w:r>
      <w:r>
        <w:t xml:space="preserve"> Corinthians, Galatians and Ephesians contains more doctrinal material which is related to the text.</w:t>
      </w:r>
      <w:r>
        <w:rPr>
          <w:rStyle w:val="EndnoteReference"/>
        </w:rPr>
        <w:endnoteReference w:id="3206"/>
      </w:r>
      <w:r>
        <w:t xml:space="preserve">  After Ephesians, there is very little annotation of the Pauline epistles.</w:t>
      </w:r>
    </w:p>
    <w:p w:rsidR="006A2E06" w:rsidRDefault="006A2E06" w:rsidP="006A2E06">
      <w:pPr>
        <w:spacing w:after="120" w:line="360" w:lineRule="auto"/>
        <w:ind w:firstLine="567"/>
        <w:jc w:val="both"/>
      </w:pPr>
      <w:r>
        <w:t xml:space="preserve">There are correspondingly fewer eschatological references, though the translation of the church and </w:t>
      </w:r>
      <w:r w:rsidRPr="00B84F2B">
        <w:rPr>
          <w:spacing w:val="2"/>
        </w:rPr>
        <w:t>the great tribulation are mentioned in some notes, such as those on Rom. 11:5;</w:t>
      </w:r>
      <w:r w:rsidRPr="00B84F2B">
        <w:rPr>
          <w:rStyle w:val="EndnoteReference"/>
          <w:spacing w:val="2"/>
        </w:rPr>
        <w:endnoteReference w:id="3207"/>
      </w:r>
      <w:r w:rsidRPr="00B84F2B">
        <w:rPr>
          <w:spacing w:val="2"/>
        </w:rPr>
        <w:t xml:space="preserve"> 1 Cor. 15:52</w:t>
      </w:r>
      <w:r w:rsidRPr="00B84F2B">
        <w:rPr>
          <w:rStyle w:val="EndnoteReference"/>
          <w:spacing w:val="2"/>
        </w:rPr>
        <w:endnoteReference w:id="3208"/>
      </w:r>
      <w:r w:rsidRPr="00B84F2B">
        <w:rPr>
          <w:spacing w:val="2"/>
        </w:rPr>
        <w:t xml:space="preserve"> and Eph. 1:5.</w:t>
      </w:r>
      <w:r>
        <w:rPr>
          <w:rStyle w:val="EndnoteReference"/>
        </w:rPr>
        <w:endnoteReference w:id="3209"/>
      </w:r>
      <w:r>
        <w:t xml:space="preserve">  The note on 1 Cor. 15:24 contains an important summary of the kingdom in the New Testament and there are further brief references to the kingdom in a few notes on Romans</w:t>
      </w:r>
      <w:r>
        <w:rPr>
          <w:rStyle w:val="EndnoteReference"/>
        </w:rPr>
        <w:endnoteReference w:id="3210"/>
      </w:r>
      <w:r>
        <w:t xml:space="preserve"> and Ephesians.</w:t>
      </w:r>
      <w:r>
        <w:rPr>
          <w:rStyle w:val="EndnoteReference"/>
        </w:rPr>
        <w:endnoteReference w:id="3211"/>
      </w:r>
      <w:r>
        <w:t xml:space="preserve">  The note on Eph. 1:10 is important for its exposition of the final dispensation.</w:t>
      </w:r>
      <w:r>
        <w:rPr>
          <w:rStyle w:val="EndnoteReference"/>
        </w:rPr>
        <w:endnoteReference w:id="3212"/>
      </w:r>
    </w:p>
    <w:p w:rsidR="006A2E06" w:rsidRPr="0041758E" w:rsidRDefault="006A2E06" w:rsidP="006A2E06">
      <w:pPr>
        <w:spacing w:after="120" w:line="360" w:lineRule="auto"/>
        <w:ind w:firstLine="567"/>
        <w:jc w:val="both"/>
      </w:pPr>
      <w:r>
        <w:t>There are only two typological references: Adam as a type for Christ</w:t>
      </w:r>
      <w:r>
        <w:rPr>
          <w:rStyle w:val="EndnoteReference"/>
        </w:rPr>
        <w:endnoteReference w:id="3213"/>
      </w:r>
      <w:r>
        <w:t xml:space="preserve"> and the ‘bride-types’.</w:t>
      </w:r>
      <w:r>
        <w:rPr>
          <w:rStyle w:val="EndnoteReference"/>
        </w:rPr>
        <w:endnoteReference w:id="3214"/>
      </w:r>
    </w:p>
    <w:p w:rsidR="006A2E06" w:rsidRDefault="006A2E06" w:rsidP="006A2E06">
      <w:pPr>
        <w:spacing w:after="120" w:line="360" w:lineRule="auto"/>
        <w:rPr>
          <w:b/>
          <w:sz w:val="24"/>
        </w:rPr>
      </w:pPr>
      <w:r>
        <w:rPr>
          <w:b/>
          <w:sz w:val="24"/>
        </w:rPr>
        <w:t>8.8</w:t>
      </w:r>
      <w:r w:rsidRPr="00157161">
        <w:rPr>
          <w:b/>
          <w:sz w:val="24"/>
        </w:rPr>
        <w:t xml:space="preserve">  The </w:t>
      </w:r>
      <w:r>
        <w:rPr>
          <w:b/>
          <w:sz w:val="24"/>
        </w:rPr>
        <w:t>‘</w:t>
      </w:r>
      <w:r w:rsidRPr="00157161">
        <w:rPr>
          <w:b/>
          <w:sz w:val="24"/>
        </w:rPr>
        <w:t>Jewish-Christian</w:t>
      </w:r>
      <w:r>
        <w:rPr>
          <w:b/>
          <w:sz w:val="24"/>
        </w:rPr>
        <w:t>’</w:t>
      </w:r>
      <w:r w:rsidRPr="00157161">
        <w:rPr>
          <w:b/>
          <w:sz w:val="24"/>
        </w:rPr>
        <w:t xml:space="preserve"> Epistles</w:t>
      </w:r>
    </w:p>
    <w:p w:rsidR="006A2E06" w:rsidRPr="00BF7F10" w:rsidRDefault="006A2E06" w:rsidP="006A2E06">
      <w:pPr>
        <w:spacing w:after="120" w:line="360" w:lineRule="auto"/>
        <w:rPr>
          <w:b/>
          <w:i/>
        </w:rPr>
      </w:pPr>
      <w:r w:rsidRPr="00BF7F10">
        <w:rPr>
          <w:b/>
          <w:i/>
        </w:rPr>
        <w:t>Introduction</w:t>
      </w:r>
      <w:r>
        <w:rPr>
          <w:b/>
          <w:i/>
        </w:rPr>
        <w:t>:</w:t>
      </w:r>
      <w:r>
        <w:rPr>
          <w:rStyle w:val="EndnoteReference"/>
        </w:rPr>
        <w:endnoteReference w:id="3215"/>
      </w:r>
      <w:r>
        <w:rPr>
          <w:b/>
          <w:i/>
        </w:rPr>
        <w:t xml:space="preserve"> Key Points</w:t>
      </w:r>
    </w:p>
    <w:p w:rsidR="006A2E06" w:rsidRDefault="006A2E06" w:rsidP="006A2E06">
      <w:pPr>
        <w:spacing w:after="120" w:line="240" w:lineRule="auto"/>
        <w:ind w:left="567"/>
        <w:jc w:val="both"/>
      </w:pPr>
      <w:r>
        <w:t xml:space="preserve">Epistles listed as Hebrews, James, 1 and 2 Peter, and Jude.  </w:t>
      </w:r>
    </w:p>
    <w:p w:rsidR="006A2E06" w:rsidRDefault="006A2E06" w:rsidP="006A2E06">
      <w:pPr>
        <w:spacing w:after="120" w:line="240" w:lineRule="auto"/>
        <w:ind w:left="1418"/>
        <w:jc w:val="both"/>
      </w:pPr>
      <w:r w:rsidRPr="00A573DA">
        <w:rPr>
          <w:b/>
          <w:i/>
        </w:rPr>
        <w:t>Comment</w:t>
      </w:r>
      <w:r>
        <w:t xml:space="preserve">: </w:t>
      </w:r>
      <w:r w:rsidRPr="0032453E">
        <w:t>1</w:t>
      </w:r>
      <w:r w:rsidRPr="00586104">
        <w:t>, 2 and 3 John are not listed here, but do not fall under a new heading and so must be assumed to belong to Scofield’s group of ‘Jewish-Christian epistles’.</w:t>
      </w:r>
    </w:p>
    <w:p w:rsidR="006A2E06" w:rsidRDefault="006A2E06" w:rsidP="006A2E06">
      <w:pPr>
        <w:spacing w:after="120" w:line="240" w:lineRule="auto"/>
        <w:ind w:left="567"/>
        <w:jc w:val="both"/>
      </w:pPr>
      <w:r>
        <w:t>Assertion that the Jewish-Christian</w:t>
      </w:r>
      <w:r w:rsidRPr="005D00B9">
        <w:t xml:space="preserve"> epistles</w:t>
      </w:r>
      <w:r>
        <w:t xml:space="preserve"> </w:t>
      </w:r>
      <w:r w:rsidRPr="005D00B9">
        <w:t>present the same Christ, salvation and morality as the Pauline epistles but ‘the Jewish-Christian writings deal with the elementary and foundational things of the Gospel, whereas Paul was given revelations concerning the church, her place in the counsels of God, and the calling and hope of the believer as vitally united to Christ in the one body’.</w:t>
      </w:r>
      <w:r>
        <w:rPr>
          <w:rStyle w:val="EndnoteReference"/>
        </w:rPr>
        <w:endnoteReference w:id="3216"/>
      </w:r>
      <w:r w:rsidRPr="005D00B9">
        <w:t xml:space="preserve">  </w:t>
      </w:r>
    </w:p>
    <w:p w:rsidR="006A2E06" w:rsidRDefault="006A2E06" w:rsidP="006A2E06">
      <w:pPr>
        <w:spacing w:after="120" w:line="240" w:lineRule="auto"/>
        <w:ind w:left="567"/>
        <w:jc w:val="both"/>
      </w:pPr>
      <w:r>
        <w:t xml:space="preserve">Assertion that </w:t>
      </w:r>
      <w:r w:rsidRPr="005D00B9">
        <w:t>Paul is addressing ‘the body of true believers, who are therefore assuredly saved’, whereas ‘the Judaeo-Christian writers view the church as a professing body in which, during this age, the wheat and tares are mingled’.  There are thus many warnings ‘calculated to arouse and alarm the mere professor’.</w:t>
      </w:r>
      <w:r>
        <w:rPr>
          <w:rStyle w:val="EndnoteReference"/>
        </w:rPr>
        <w:endnoteReference w:id="3217"/>
      </w:r>
      <w:r w:rsidRPr="005D00B9">
        <w:t xml:space="preserve">  </w:t>
      </w:r>
    </w:p>
    <w:p w:rsidR="006A2E06" w:rsidRDefault="006A2E06" w:rsidP="006A2E06">
      <w:pPr>
        <w:spacing w:after="120" w:line="240" w:lineRule="auto"/>
        <w:ind w:left="1418"/>
        <w:jc w:val="both"/>
      </w:pPr>
      <w:r w:rsidRPr="00A573DA">
        <w:rPr>
          <w:b/>
          <w:i/>
        </w:rPr>
        <w:t>Comment</w:t>
      </w:r>
      <w:r>
        <w:t xml:space="preserve">: </w:t>
      </w:r>
      <w:r w:rsidRPr="000A1E3E">
        <w:t xml:space="preserve">Scofield repeats </w:t>
      </w:r>
      <w:r w:rsidR="00CB74FD">
        <w:t>the sentence concerning ‘the mere professor’</w:t>
      </w:r>
      <w:r w:rsidRPr="000A1E3E">
        <w:t xml:space="preserve"> almost verbatim in his introduction to Hebrews.</w:t>
      </w:r>
      <w:r w:rsidRPr="000A1E3E">
        <w:rPr>
          <w:rStyle w:val="EndnoteReference"/>
        </w:rPr>
        <w:endnoteReference w:id="3218"/>
      </w:r>
      <w:r w:rsidRPr="000A1E3E">
        <w:t xml:space="preserve">  </w:t>
      </w:r>
      <w:r>
        <w:t>He</w:t>
      </w:r>
      <w:r w:rsidRPr="005D00B9">
        <w:t xml:space="preserve"> mitigates this harsh view </w:t>
      </w:r>
      <w:r>
        <w:t>in both introductions</w:t>
      </w:r>
      <w:r>
        <w:rPr>
          <w:rStyle w:val="EndnoteReference"/>
        </w:rPr>
        <w:endnoteReference w:id="3219"/>
      </w:r>
      <w:r>
        <w:t xml:space="preserve"> and in his note on Heb. 6:4</w:t>
      </w:r>
      <w:r>
        <w:rPr>
          <w:rStyle w:val="EndnoteReference"/>
        </w:rPr>
        <w:endnoteReference w:id="3220"/>
      </w:r>
      <w:r>
        <w:t xml:space="preserve"> </w:t>
      </w:r>
      <w:r w:rsidRPr="005D00B9">
        <w:t>by stating that the people addressed were not hypocritical but had not gone the full distance in their faith journey, and were being urged to continue.</w:t>
      </w:r>
    </w:p>
    <w:p w:rsidR="006A2E06" w:rsidRDefault="006A2E06" w:rsidP="006A2E06">
      <w:pPr>
        <w:spacing w:after="120" w:line="240" w:lineRule="auto"/>
        <w:ind w:left="567"/>
        <w:jc w:val="both"/>
      </w:pPr>
      <w:r>
        <w:t>Assertion</w:t>
      </w:r>
      <w:r w:rsidRPr="005D00B9">
        <w:t xml:space="preserve"> that 1 and 2 Peter are ‘less Jewish and more truly catholic than the other Jewish-Christian writings’.</w:t>
      </w:r>
    </w:p>
    <w:p w:rsidR="006A2E06" w:rsidRPr="00455E1F" w:rsidRDefault="00455E1F" w:rsidP="006A2E06">
      <w:pPr>
        <w:spacing w:after="120" w:line="360" w:lineRule="auto"/>
        <w:jc w:val="both"/>
        <w:rPr>
          <w:b/>
          <w:i/>
        </w:rPr>
      </w:pPr>
      <w:r w:rsidRPr="00455E1F">
        <w:rPr>
          <w:b/>
          <w:i/>
        </w:rPr>
        <w:t>Continued overleaf</w:t>
      </w:r>
    </w:p>
    <w:p w:rsidR="006A2E06" w:rsidRDefault="006A2E06" w:rsidP="006A2E06">
      <w:pPr>
        <w:spacing w:after="120" w:line="360" w:lineRule="auto"/>
        <w:jc w:val="both"/>
        <w:rPr>
          <w:b/>
        </w:rPr>
      </w:pPr>
    </w:p>
    <w:p w:rsidR="006A2E06" w:rsidRDefault="006A2E06" w:rsidP="006A2E06">
      <w:pPr>
        <w:spacing w:after="120" w:line="360" w:lineRule="auto"/>
        <w:jc w:val="both"/>
        <w:rPr>
          <w:b/>
        </w:rPr>
      </w:pPr>
    </w:p>
    <w:p w:rsidR="006A2E06" w:rsidRDefault="006A2E06" w:rsidP="006A2E06">
      <w:pPr>
        <w:spacing w:after="120" w:line="360" w:lineRule="auto"/>
        <w:jc w:val="both"/>
        <w:rPr>
          <w:b/>
        </w:rPr>
      </w:pPr>
    </w:p>
    <w:p w:rsidR="006A2E06" w:rsidRDefault="006A2E06" w:rsidP="006A2E06">
      <w:pPr>
        <w:spacing w:after="120" w:line="360" w:lineRule="auto"/>
        <w:jc w:val="both"/>
        <w:rPr>
          <w:b/>
        </w:rPr>
      </w:pPr>
      <w:r>
        <w:rPr>
          <w:b/>
        </w:rPr>
        <w:lastRenderedPageBreak/>
        <w:t xml:space="preserve">8.8.1  </w:t>
      </w:r>
      <w:r w:rsidRPr="00E77C5D">
        <w:rPr>
          <w:b/>
        </w:rPr>
        <w:t>Hebrews</w:t>
      </w:r>
    </w:p>
    <w:p w:rsidR="006A2E06" w:rsidRDefault="006A2E06" w:rsidP="006A2E06">
      <w:pPr>
        <w:spacing w:after="120" w:line="360" w:lineRule="auto"/>
        <w:jc w:val="center"/>
        <w:rPr>
          <w:b/>
        </w:rPr>
      </w:pPr>
      <w:r>
        <w:rPr>
          <w:b/>
          <w:noProof/>
          <w:lang w:eastAsia="en-GB"/>
        </w:rPr>
        <w:drawing>
          <wp:inline distT="0" distB="0" distL="0" distR="0" wp14:anchorId="5E2238D6" wp14:editId="61EB4035">
            <wp:extent cx="2504995" cy="471095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ews graph rev 19.2.18 crop.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504995" cy="4710955"/>
                    </a:xfrm>
                    <a:prstGeom prst="rect">
                      <a:avLst/>
                    </a:prstGeom>
                  </pic:spPr>
                </pic:pic>
              </a:graphicData>
            </a:graphic>
          </wp:inline>
        </w:drawing>
      </w:r>
    </w:p>
    <w:p w:rsidR="006A2E06" w:rsidRDefault="006A2E06" w:rsidP="006A2E06">
      <w:pPr>
        <w:spacing w:after="120" w:line="360" w:lineRule="auto"/>
        <w:ind w:right="71"/>
        <w:jc w:val="both"/>
        <w:rPr>
          <w:b/>
          <w:i/>
        </w:rPr>
      </w:pPr>
      <w:r>
        <w:rPr>
          <w:b/>
          <w:i/>
          <w:noProof/>
          <w:lang w:eastAsia="en-GB"/>
        </w:rPr>
        <w:drawing>
          <wp:inline distT="0" distB="0" distL="0" distR="0" wp14:anchorId="190B22A0" wp14:editId="5B3C00C8">
            <wp:extent cx="5400040" cy="67500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ews title 19.2.18 crop.jpg"/>
                    <pic:cNvPicPr/>
                  </pic:nvPicPr>
                  <pic:blipFill>
                    <a:blip r:embed="rId212">
                      <a:extLst>
                        <a:ext uri="{28A0092B-C50C-407E-A947-70E740481C1C}">
                          <a14:useLocalDpi xmlns:a14="http://schemas.microsoft.com/office/drawing/2010/main" val="0"/>
                        </a:ext>
                      </a:extLst>
                    </a:blip>
                    <a:stretch>
                      <a:fillRect/>
                    </a:stretch>
                  </pic:blipFill>
                  <pic:spPr>
                    <a:xfrm>
                      <a:off x="0" y="0"/>
                      <a:ext cx="5400040" cy="675005"/>
                    </a:xfrm>
                    <a:prstGeom prst="rect">
                      <a:avLst/>
                    </a:prstGeom>
                  </pic:spPr>
                </pic:pic>
              </a:graphicData>
            </a:graphic>
          </wp:inline>
        </w:drawing>
      </w:r>
    </w:p>
    <w:p w:rsidR="006A2E06" w:rsidRPr="00C52673" w:rsidRDefault="006A2E06" w:rsidP="006A2E06">
      <w:pPr>
        <w:spacing w:after="120" w:line="360" w:lineRule="auto"/>
        <w:ind w:right="71"/>
        <w:jc w:val="both"/>
      </w:pPr>
      <w:r w:rsidRPr="00C52673">
        <w:t xml:space="preserve">It would initially seem that Hebrews is of particular importance to Scofield, because two of its chapters bear annotation of a volume far higher than that of the </w:t>
      </w:r>
      <w:r w:rsidRPr="00C52673">
        <w:rPr>
          <w:i/>
        </w:rPr>
        <w:t>KJV</w:t>
      </w:r>
      <w:r w:rsidRPr="00C52673">
        <w:t xml:space="preserve"> text of these chapters.  In fact, however, the annotation of single verses in each of these chapters accounts for these figures.</w:t>
      </w:r>
      <w:r w:rsidRPr="00C52673">
        <w:rPr>
          <w:rStyle w:val="EndnoteReference"/>
        </w:rPr>
        <w:endnoteReference w:id="3221"/>
      </w:r>
      <w:r w:rsidRPr="00C52673">
        <w:t xml:space="preserve">  Other chapters include much lower proportions of notes</w:t>
      </w:r>
      <w:r w:rsidRPr="00C52673">
        <w:rPr>
          <w:rStyle w:val="EndnoteReference"/>
        </w:rPr>
        <w:endnoteReference w:id="3222"/>
      </w:r>
      <w:r w:rsidRPr="00C52673">
        <w:t xml:space="preserve"> and five chapters are not annotated.</w:t>
      </w:r>
      <w:r w:rsidRPr="00C52673">
        <w:rPr>
          <w:rStyle w:val="EndnoteReference"/>
          <w:i/>
        </w:rPr>
        <w:endnoteReference w:id="3223"/>
      </w:r>
      <w:r w:rsidRPr="00C52673">
        <w:t xml:space="preserve">  Five notes also refer to single verses within their chapters</w:t>
      </w:r>
      <w:r w:rsidRPr="00C52673">
        <w:rPr>
          <w:rStyle w:val="EndnoteReference"/>
        </w:rPr>
        <w:endnoteReference w:id="3224"/>
      </w:r>
      <w:r w:rsidRPr="00C52673">
        <w:t xml:space="preserve"> and the sixth refers to only two verses.</w:t>
      </w:r>
      <w:r w:rsidRPr="00C52673">
        <w:rPr>
          <w:rStyle w:val="EndnoteReference"/>
        </w:rPr>
        <w:endnoteReference w:id="3225"/>
      </w:r>
      <w:r w:rsidRPr="00C52673">
        <w:t xml:space="preserve">  Thus Scofield annotates only nine verses in the whole of Hebrews.  Many notes consist of discourses which often depend upon the use of single words as springboards.</w:t>
      </w:r>
    </w:p>
    <w:p w:rsidR="006A2E06" w:rsidRDefault="006A2E06" w:rsidP="006A2E06">
      <w:pPr>
        <w:spacing w:after="120" w:line="360" w:lineRule="auto"/>
        <w:ind w:right="71"/>
        <w:jc w:val="center"/>
      </w:pPr>
      <w:r>
        <w:rPr>
          <w:noProof/>
          <w:lang w:eastAsia="en-GB"/>
        </w:rPr>
        <w:lastRenderedPageBreak/>
        <w:drawing>
          <wp:inline distT="0" distB="0" distL="0" distR="0" wp14:anchorId="27F6DC63" wp14:editId="447192BD">
            <wp:extent cx="5400040" cy="3975735"/>
            <wp:effectExtent l="0" t="0" r="0" b="571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ews themes as table 28.3.18 crop.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00040" cy="3975735"/>
                    </a:xfrm>
                    <a:prstGeom prst="rect">
                      <a:avLst/>
                    </a:prstGeom>
                  </pic:spPr>
                </pic:pic>
              </a:graphicData>
            </a:graphic>
          </wp:inline>
        </w:drawing>
      </w:r>
    </w:p>
    <w:p w:rsidR="006A2E06" w:rsidRPr="005E299A" w:rsidRDefault="006A2E06" w:rsidP="006A2E06">
      <w:pPr>
        <w:spacing w:after="120" w:line="360" w:lineRule="auto"/>
        <w:ind w:right="71"/>
        <w:jc w:val="both"/>
        <w:rPr>
          <w:b/>
          <w:i/>
        </w:rPr>
      </w:pPr>
      <w:r w:rsidRPr="005E299A">
        <w:rPr>
          <w:b/>
          <w:i/>
        </w:rPr>
        <w:t>Introduction</w:t>
      </w:r>
      <w:r>
        <w:rPr>
          <w:b/>
          <w:i/>
        </w:rPr>
        <w:t>:</w:t>
      </w:r>
      <w:r w:rsidRPr="005E299A">
        <w:rPr>
          <w:rStyle w:val="EndnoteReference"/>
        </w:rPr>
        <w:endnoteReference w:id="3226"/>
      </w:r>
      <w:r>
        <w:rPr>
          <w:b/>
          <w:i/>
        </w:rPr>
        <w:t xml:space="preserve"> Key Points </w:t>
      </w:r>
    </w:p>
    <w:p w:rsidR="006A2E06" w:rsidRDefault="006A2E06" w:rsidP="006A2E06">
      <w:pPr>
        <w:spacing w:after="120" w:line="240" w:lineRule="auto"/>
        <w:ind w:left="567"/>
        <w:jc w:val="both"/>
      </w:pPr>
      <w:r>
        <w:t xml:space="preserve">Assertion that </w:t>
      </w:r>
      <w:r w:rsidRPr="005E299A">
        <w:t xml:space="preserve">this book is anonymous but nevertheless </w:t>
      </w:r>
      <w:r>
        <w:t>includes claims</w:t>
      </w:r>
      <w:r w:rsidRPr="005E299A">
        <w:t xml:space="preserve"> that ‘2 Pet. 3:15 seems conclusive that Paul was the writer’</w:t>
      </w:r>
      <w:r w:rsidRPr="005E299A">
        <w:rPr>
          <w:rStyle w:val="EndnoteReference"/>
        </w:rPr>
        <w:endnoteReference w:id="3227"/>
      </w:r>
      <w:r>
        <w:t xml:space="preserve"> and t</w:t>
      </w:r>
      <w:r w:rsidRPr="005E299A">
        <w:t xml:space="preserve">hat another unidentified “all” ‘agree that, whether by Paul or another, the point of view is Pauline’.  ‘We undoubtedly have here the method of Paul’s synagogue addresses.’ </w:t>
      </w:r>
    </w:p>
    <w:p w:rsidR="006A2E06" w:rsidRDefault="006A2E06" w:rsidP="006A2E06">
      <w:pPr>
        <w:spacing w:after="120" w:line="240" w:lineRule="auto"/>
        <w:ind w:left="1418"/>
        <w:jc w:val="both"/>
      </w:pPr>
      <w:r w:rsidRPr="00A573DA">
        <w:rPr>
          <w:b/>
          <w:i/>
        </w:rPr>
        <w:t>Comment</w:t>
      </w:r>
      <w:r>
        <w:t xml:space="preserve">: </w:t>
      </w:r>
      <w:r w:rsidRPr="005E299A">
        <w:t>None of these statements is substantiated.</w:t>
      </w:r>
    </w:p>
    <w:p w:rsidR="006A2E06" w:rsidRDefault="006A2E06" w:rsidP="006A2E06">
      <w:pPr>
        <w:spacing w:after="120" w:line="240" w:lineRule="auto"/>
        <w:ind w:left="567"/>
        <w:jc w:val="both"/>
      </w:pPr>
      <w:r>
        <w:t xml:space="preserve">Assertion </w:t>
      </w:r>
      <w:r w:rsidRPr="005E299A">
        <w:t xml:space="preserve">that ‘no book of Scripture more fully authenticates itself as inspired’.  </w:t>
      </w:r>
    </w:p>
    <w:p w:rsidR="006A2E06" w:rsidRDefault="006A2E06" w:rsidP="006A2E06">
      <w:pPr>
        <w:spacing w:after="120" w:line="240" w:lineRule="auto"/>
        <w:ind w:left="1418"/>
        <w:jc w:val="both"/>
      </w:pPr>
      <w:r w:rsidRPr="00A573DA">
        <w:rPr>
          <w:b/>
          <w:i/>
        </w:rPr>
        <w:t>Comment</w:t>
      </w:r>
      <w:r>
        <w:t xml:space="preserve">: </w:t>
      </w:r>
      <w:r w:rsidRPr="005E299A">
        <w:t>This implies that degrees of inspiration are comparative; this effectively casts doubt upon the authenticity of other books, something which Scofield surely does not intend.</w:t>
      </w:r>
      <w:r w:rsidRPr="005E299A">
        <w:rPr>
          <w:rStyle w:val="EndnoteReference"/>
        </w:rPr>
        <w:endnoteReference w:id="3228"/>
      </w:r>
    </w:p>
    <w:p w:rsidR="006A2E06" w:rsidRDefault="006A2E06" w:rsidP="006A2E06">
      <w:pPr>
        <w:spacing w:after="120" w:line="240" w:lineRule="auto"/>
        <w:ind w:left="567"/>
        <w:jc w:val="both"/>
      </w:pPr>
      <w:r>
        <w:t xml:space="preserve">Assertion </w:t>
      </w:r>
      <w:r w:rsidRPr="005E299A">
        <w:t xml:space="preserve">that the purpose of Hebrews is to assure Jewish Christians that Judaism had ended through Christ’s fulfilment of the law and to warn against the dangers of their lapsing into Judaism or never reaching full faith in Christ.  </w:t>
      </w:r>
    </w:p>
    <w:p w:rsidR="006A2E06" w:rsidRPr="005E299A" w:rsidRDefault="006A2E06" w:rsidP="006A2E06">
      <w:pPr>
        <w:spacing w:after="120" w:line="240" w:lineRule="auto"/>
        <w:ind w:left="567"/>
        <w:jc w:val="both"/>
      </w:pPr>
      <w:r>
        <w:t>Assertion</w:t>
      </w:r>
      <w:r w:rsidRPr="005E299A">
        <w:t xml:space="preserve"> that ‘it is clear from the Acts</w:t>
      </w:r>
      <w:r w:rsidRPr="005E299A">
        <w:rPr>
          <w:rStyle w:val="EndnoteReference"/>
        </w:rPr>
        <w:endnoteReference w:id="3229"/>
      </w:r>
      <w:r w:rsidRPr="005E299A">
        <w:t xml:space="preserve"> that even the strongest believers in Palestine were held to a strange mingling of Judaism and Christianity … and that snare would be especially apt to entangle professed Christians amongst the Jews of the dispersion’. </w:t>
      </w:r>
    </w:p>
    <w:p w:rsidR="006A2E06" w:rsidRDefault="006A2E06" w:rsidP="006A2E06">
      <w:pPr>
        <w:spacing w:after="120" w:line="240" w:lineRule="auto"/>
        <w:ind w:left="1418"/>
        <w:jc w:val="both"/>
      </w:pPr>
      <w:r w:rsidRPr="00A573DA">
        <w:rPr>
          <w:b/>
          <w:i/>
        </w:rPr>
        <w:t>Comment</w:t>
      </w:r>
      <w:r>
        <w:t xml:space="preserve">: </w:t>
      </w:r>
      <w:r w:rsidRPr="005E299A">
        <w:t>No justification is given for this statement.  If Scofield believes this was so, it is odd that he devotes so little of his annotation to the relation of Christ to sacrifice and the high priestly function which features so prominently in the text of Hebrews, even though these passages do not come into the sections of Hebrews to which Scofield attaches the term, ‘parenthetical’</w:t>
      </w:r>
      <w:r>
        <w:t>,</w:t>
      </w:r>
      <w:r w:rsidRPr="005E299A">
        <w:rPr>
          <w:rStyle w:val="EndnoteReference"/>
        </w:rPr>
        <w:endnoteReference w:id="3230"/>
      </w:r>
      <w:r w:rsidRPr="005E299A">
        <w:t xml:space="preserve"> </w:t>
      </w:r>
      <w:r>
        <w:t xml:space="preserve">a term which seems unfortunate in the context. </w:t>
      </w:r>
      <w:r w:rsidRPr="005E299A">
        <w:t xml:space="preserve"> These passages mainly concern Christian belief and behaviour.  Unsurprisingly, Scofield ignores most of the ‘parenthetical’ sections and annotates just one verse within them, Hebrews 6:4.</w:t>
      </w:r>
    </w:p>
    <w:p w:rsidR="006A2E06" w:rsidRDefault="006A2E06" w:rsidP="006A2E06">
      <w:pPr>
        <w:spacing w:after="120" w:line="360" w:lineRule="auto"/>
        <w:ind w:right="71"/>
        <w:jc w:val="both"/>
        <w:rPr>
          <w:b/>
          <w:i/>
        </w:rPr>
      </w:pPr>
    </w:p>
    <w:p w:rsidR="006A2E06" w:rsidRPr="00C52673" w:rsidRDefault="006A2E06" w:rsidP="006A2E06">
      <w:pPr>
        <w:spacing w:after="120" w:line="360" w:lineRule="auto"/>
        <w:ind w:right="71"/>
        <w:jc w:val="both"/>
        <w:rPr>
          <w:b/>
          <w:i/>
        </w:rPr>
      </w:pPr>
      <w:r w:rsidRPr="00C52673">
        <w:rPr>
          <w:b/>
          <w:i/>
        </w:rPr>
        <w:lastRenderedPageBreak/>
        <w:t>Annotation: Key Points</w:t>
      </w:r>
    </w:p>
    <w:p w:rsidR="006A2E06" w:rsidRDefault="006A2E06" w:rsidP="006A2E06">
      <w:pPr>
        <w:spacing w:after="0" w:line="240" w:lineRule="auto"/>
        <w:ind w:left="567" w:right="74"/>
        <w:jc w:val="both"/>
        <w:rPr>
          <w:i/>
        </w:rPr>
      </w:pPr>
      <w:r w:rsidRPr="00F21BEE">
        <w:rPr>
          <w:i/>
        </w:rPr>
        <w:t xml:space="preserve">Angels </w:t>
      </w:r>
    </w:p>
    <w:p w:rsidR="006A2E06" w:rsidRDefault="006A2E06" w:rsidP="006A2E06">
      <w:pPr>
        <w:spacing w:after="120" w:line="240" w:lineRule="auto"/>
        <w:ind w:left="851" w:right="74"/>
        <w:jc w:val="both"/>
      </w:pPr>
      <w:r>
        <w:t>Concentration on angels in lengthy discourse.</w:t>
      </w:r>
      <w:r>
        <w:rPr>
          <w:rStyle w:val="EndnoteReference"/>
        </w:rPr>
        <w:endnoteReference w:id="3231"/>
      </w:r>
    </w:p>
    <w:p w:rsidR="006A2E06" w:rsidRDefault="006A2E06" w:rsidP="006A2E06">
      <w:pPr>
        <w:pStyle w:val="EndnoteText"/>
        <w:spacing w:after="120"/>
        <w:ind w:left="1418"/>
        <w:jc w:val="both"/>
        <w:rPr>
          <w:sz w:val="22"/>
          <w:szCs w:val="22"/>
        </w:rPr>
      </w:pPr>
      <w:r w:rsidRPr="00A573DA">
        <w:rPr>
          <w:b/>
          <w:i/>
          <w:sz w:val="22"/>
          <w:szCs w:val="22"/>
        </w:rPr>
        <w:t>Comment</w:t>
      </w:r>
      <w:r>
        <w:rPr>
          <w:sz w:val="22"/>
          <w:szCs w:val="22"/>
        </w:rPr>
        <w:t>: This</w:t>
      </w:r>
      <w:r w:rsidRPr="00E77C5D">
        <w:rPr>
          <w:sz w:val="22"/>
          <w:szCs w:val="22"/>
        </w:rPr>
        <w:t xml:space="preserve"> verse and, indeed, the whole chapter, concern Christ and his superiority to angels.  </w:t>
      </w:r>
    </w:p>
    <w:p w:rsidR="006A2E06" w:rsidRDefault="006A2E06" w:rsidP="006A2E06">
      <w:pPr>
        <w:spacing w:after="120" w:line="240" w:lineRule="auto"/>
        <w:ind w:left="851" w:right="74"/>
        <w:jc w:val="both"/>
      </w:pPr>
      <w:r>
        <w:t xml:space="preserve">Assertion that, </w:t>
      </w:r>
      <w:r w:rsidRPr="00271A5C">
        <w:t xml:space="preserve">in the Old Testament, </w:t>
      </w:r>
      <w:r>
        <w:t>‘</w:t>
      </w:r>
      <w:r w:rsidRPr="00271A5C">
        <w:t>the expression, “the angel of the LORD” usually implies the presence of God in angelic form’.</w:t>
      </w:r>
    </w:p>
    <w:p w:rsidR="006A2E06" w:rsidRDefault="006A2E06" w:rsidP="006A2E06">
      <w:pPr>
        <w:spacing w:after="120" w:line="240" w:lineRule="auto"/>
        <w:ind w:left="1418" w:right="74"/>
        <w:jc w:val="both"/>
      </w:pPr>
      <w:r w:rsidRPr="00A573DA">
        <w:rPr>
          <w:b/>
          <w:i/>
        </w:rPr>
        <w:t>Comment</w:t>
      </w:r>
      <w:r>
        <w:t xml:space="preserve">: </w:t>
      </w:r>
      <w:r w:rsidRPr="00271A5C">
        <w:t>It is true that the word, ‘angel’, does sometimes appear to be synonymous with God, for example in Gen. 16:10 and Jud</w:t>
      </w:r>
      <w:r w:rsidR="00CB74FD">
        <w:t>g</w:t>
      </w:r>
      <w:r w:rsidRPr="00271A5C">
        <w:t>. 2:1, where words which are put in the mouth of the angel of the LORD seem to be the words of God himself, but in many other cases an ‘angel’ is definitely a separate being, for example in Num. 22:22-3, where God sends an angel to stand in the way of Balaam’s donkey.</w:t>
      </w:r>
    </w:p>
    <w:p w:rsidR="006A2E06" w:rsidRDefault="006A2E06" w:rsidP="006A2E06">
      <w:pPr>
        <w:spacing w:after="120" w:line="240" w:lineRule="auto"/>
        <w:ind w:left="851" w:right="74"/>
        <w:jc w:val="both"/>
      </w:pPr>
      <w:r>
        <w:t xml:space="preserve">Assertion of instances where </w:t>
      </w:r>
      <w:r w:rsidRPr="00271A5C">
        <w:t>‘the word angel is used of men’</w:t>
      </w:r>
      <w:r>
        <w:t>.</w:t>
      </w:r>
      <w:r w:rsidRPr="00271A5C">
        <w:rPr>
          <w:rStyle w:val="EndnoteReference"/>
        </w:rPr>
        <w:endnoteReference w:id="3232"/>
      </w:r>
    </w:p>
    <w:p w:rsidR="006A2E06" w:rsidRDefault="006A2E06" w:rsidP="006A2E06">
      <w:pPr>
        <w:spacing w:after="120" w:line="240" w:lineRule="auto"/>
        <w:ind w:left="1418" w:right="74"/>
        <w:jc w:val="both"/>
      </w:pPr>
      <w:r w:rsidRPr="00A573DA">
        <w:rPr>
          <w:b/>
          <w:i/>
        </w:rPr>
        <w:t>Comment</w:t>
      </w:r>
      <w:r>
        <w:t xml:space="preserve">: </w:t>
      </w:r>
      <w:r w:rsidRPr="00271A5C">
        <w:t xml:space="preserve">Lk. 7:24 refers to messengers from John the Baptist, and Jas. 2:25 to messengers received by Rahab.  </w:t>
      </w:r>
      <w:r>
        <w:t>It is possible that</w:t>
      </w:r>
      <w:r w:rsidRPr="00271A5C">
        <w:t xml:space="preserve"> some confusion has arisen through the fact that the same Greek word,</w:t>
      </w:r>
      <w:r w:rsidRPr="006329CD">
        <w:t xml:space="preserve"> </w:t>
      </w:r>
      <w:r w:rsidRPr="006329CD">
        <w:rPr>
          <w:rFonts w:ascii="Bwgrkl" w:hAnsi="Bwgrkl" w:cs="Bwgrkl"/>
          <w:bCs/>
          <w:lang w:bidi="he-IL"/>
        </w:rPr>
        <w:t>a;ggeloj</w:t>
      </w:r>
      <w:r w:rsidRPr="006329CD">
        <w:t xml:space="preserve"> </w:t>
      </w:r>
      <w:r w:rsidRPr="00271A5C">
        <w:rPr>
          <w:szCs w:val="18"/>
        </w:rPr>
        <w:t>can mean ‘angel’ or ‘messenger’.</w:t>
      </w:r>
      <w:r w:rsidRPr="00271A5C">
        <w:rPr>
          <w:sz w:val="24"/>
        </w:rPr>
        <w:t xml:space="preserve">  </w:t>
      </w:r>
      <w:r w:rsidRPr="006329CD">
        <w:rPr>
          <w:rFonts w:ascii="Bwgrkl" w:hAnsi="Bwgrkl" w:cs="Bwgrkl"/>
          <w:bCs/>
          <w:lang w:bidi="he-IL"/>
        </w:rPr>
        <w:t>a;ggeloj</w:t>
      </w:r>
      <w:r w:rsidRPr="006329CD">
        <w:t xml:space="preserve"> </w:t>
      </w:r>
      <w:r w:rsidRPr="00271A5C">
        <w:t xml:space="preserve">is translated as ‘messenger’ in </w:t>
      </w:r>
      <w:r w:rsidRPr="00271A5C">
        <w:rPr>
          <w:i/>
        </w:rPr>
        <w:t>KJV</w:t>
      </w:r>
      <w:r w:rsidRPr="00271A5C">
        <w:t xml:space="preserve"> in both these cases.</w:t>
      </w:r>
      <w:r w:rsidRPr="00271A5C">
        <w:rPr>
          <w:rFonts w:ascii="Times New Roman" w:hAnsi="Times New Roman"/>
          <w:szCs w:val="18"/>
        </w:rPr>
        <w:t xml:space="preserve">  </w:t>
      </w:r>
      <w:r w:rsidRPr="00271A5C">
        <w:t xml:space="preserve">The other instances cited by Scofield in which he claims angels are men, refer to the angels of the seven </w:t>
      </w:r>
      <w:r w:rsidRPr="00F83E1C">
        <w:rPr>
          <w:spacing w:val="2"/>
        </w:rPr>
        <w:t xml:space="preserve">churches in Revelation.  Ford states that ‘scholars find it difficult to define exactly what </w:t>
      </w:r>
      <w:r w:rsidRPr="00271A5C">
        <w:t xml:space="preserve">is meant by the angels of the communities’.  </w:t>
      </w:r>
      <w:r>
        <w:t>She</w:t>
      </w:r>
      <w:r w:rsidRPr="00271A5C">
        <w:t xml:space="preserve"> cites three main suggestions: ‘angel guardians, bishops and heavenly counterparts of the respective kingdoms’.  Only one of these possibilities refers to human beings and Ford states that ‘in Revelation the term “angel” is used only of superterrestrial beings, and … nowhere in the NT is it used of bishops’.  </w:t>
      </w:r>
      <w:r>
        <w:t>She</w:t>
      </w:r>
      <w:r w:rsidRPr="00271A5C">
        <w:t xml:space="preserve"> states that the term in this context is best related to the concept of ‘the angels of the various kingdoms’ in Dan</w:t>
      </w:r>
      <w:r>
        <w:t>iel,</w:t>
      </w:r>
      <w:r>
        <w:rPr>
          <w:rStyle w:val="EndnoteReference"/>
        </w:rPr>
        <w:endnoteReference w:id="3233"/>
      </w:r>
      <w:r w:rsidRPr="00271A5C">
        <w:t xml:space="preserve"> where they are ‘a kin</w:t>
      </w:r>
      <w:r>
        <w:t>d</w:t>
      </w:r>
      <w:r w:rsidRPr="00271A5C">
        <w:t xml:space="preserve"> of heavenly counterpart of the respective kingdoms’.</w:t>
      </w:r>
      <w:r>
        <w:rPr>
          <w:rStyle w:val="EndnoteReference"/>
        </w:rPr>
        <w:endnoteReference w:id="3234"/>
      </w:r>
    </w:p>
    <w:p w:rsidR="006A2E06" w:rsidRDefault="006A2E06" w:rsidP="006A2E06">
      <w:pPr>
        <w:spacing w:after="120" w:line="240" w:lineRule="auto"/>
        <w:ind w:left="851" w:right="74"/>
        <w:jc w:val="both"/>
      </w:pPr>
      <w:r>
        <w:t xml:space="preserve">Assertion that </w:t>
      </w:r>
      <w:r w:rsidRPr="003C742D">
        <w:t>‘the word [angel] is always used in the masculine gender, though sex in a human sense is never ascribed to angels’.</w:t>
      </w:r>
    </w:p>
    <w:p w:rsidR="006A2E06" w:rsidRDefault="006A2E06" w:rsidP="006A2E06">
      <w:pPr>
        <w:spacing w:after="120" w:line="240" w:lineRule="auto"/>
        <w:ind w:left="1418" w:right="74"/>
        <w:jc w:val="both"/>
      </w:pPr>
      <w:r w:rsidRPr="00D415AC">
        <w:rPr>
          <w:b/>
          <w:i/>
        </w:rPr>
        <w:t>Comment</w:t>
      </w:r>
      <w:r>
        <w:t xml:space="preserve">: </w:t>
      </w:r>
      <w:r w:rsidRPr="003C742D">
        <w:t xml:space="preserve">It is not clear what Scofield means by </w:t>
      </w:r>
      <w:r>
        <w:t>this statement</w:t>
      </w:r>
      <w:r w:rsidRPr="003C742D">
        <w:t>.</w:t>
      </w:r>
      <w:r w:rsidRPr="003C742D">
        <w:rPr>
          <w:rStyle w:val="EndnoteReference"/>
        </w:rPr>
        <w:endnoteReference w:id="3235"/>
      </w:r>
      <w:r w:rsidRPr="003C742D">
        <w:t xml:space="preserve">  He may mean that pronouns referring to angels are usually masculine but then this is not surprising since</w:t>
      </w:r>
      <w:r w:rsidRPr="003C742D">
        <w:rPr>
          <w:rFonts w:ascii="Times New Roman" w:hAnsi="Times New Roman"/>
          <w:szCs w:val="18"/>
        </w:rPr>
        <w:t xml:space="preserve"> </w:t>
      </w:r>
      <w:r w:rsidRPr="006329CD">
        <w:rPr>
          <w:rFonts w:ascii="Bwhebb" w:hAnsi="Bwhebb" w:cs="Bwhebb"/>
          <w:sz w:val="32"/>
          <w:szCs w:val="32"/>
          <w:lang w:bidi="he-IL"/>
        </w:rPr>
        <w:t>%a'l.m</w:t>
      </w:r>
      <w:r w:rsidRPr="006329CD">
        <w:t xml:space="preserve"> </w:t>
      </w:r>
      <w:r w:rsidRPr="003C742D">
        <w:t>and</w:t>
      </w:r>
      <w:r w:rsidRPr="003C742D">
        <w:rPr>
          <w:rFonts w:ascii="Times New Roman" w:hAnsi="Times New Roman"/>
          <w:szCs w:val="18"/>
        </w:rPr>
        <w:t xml:space="preserve"> </w:t>
      </w:r>
      <w:r w:rsidRPr="006329CD">
        <w:rPr>
          <w:rFonts w:ascii="Bwgrkl" w:hAnsi="Bwgrkl" w:cs="Bwgrkl"/>
          <w:bCs/>
          <w:lang w:bidi="he-IL"/>
        </w:rPr>
        <w:t>a;ggeloj</w:t>
      </w:r>
      <w:r w:rsidRPr="006329CD">
        <w:t xml:space="preserve"> </w:t>
      </w:r>
      <w:r w:rsidRPr="003C742D">
        <w:rPr>
          <w:szCs w:val="18"/>
        </w:rPr>
        <w:t>are masculine nouns in Hebrew and Greek respectively</w:t>
      </w:r>
      <w:r w:rsidRPr="006329CD">
        <w:rPr>
          <w:szCs w:val="18"/>
        </w:rPr>
        <w:t>.</w:t>
      </w:r>
    </w:p>
    <w:p w:rsidR="006A2E06" w:rsidRDefault="006A2E06" w:rsidP="006A2E06">
      <w:pPr>
        <w:spacing w:after="120" w:line="240" w:lineRule="auto"/>
        <w:ind w:left="851" w:right="74"/>
        <w:jc w:val="both"/>
      </w:pPr>
      <w:r w:rsidRPr="008E354C">
        <w:rPr>
          <w:i/>
        </w:rPr>
        <w:t>Assertions</w:t>
      </w:r>
      <w:r>
        <w:t>: Very numerous</w:t>
      </w:r>
      <w:r>
        <w:rPr>
          <w:rStyle w:val="EndnoteReference"/>
        </w:rPr>
        <w:endnoteReference w:id="3236"/>
      </w:r>
      <w:r>
        <w:t xml:space="preserve"> and of inconceivable power.</w:t>
      </w:r>
      <w:r>
        <w:rPr>
          <w:rStyle w:val="EndnoteReference"/>
        </w:rPr>
        <w:endnoteReference w:id="3237"/>
      </w:r>
    </w:p>
    <w:p w:rsidR="006A2E06" w:rsidRDefault="006A2E06" w:rsidP="006A2E06">
      <w:pPr>
        <w:spacing w:after="120" w:line="240" w:lineRule="auto"/>
        <w:ind w:left="1701" w:right="74"/>
        <w:jc w:val="both"/>
      </w:pPr>
      <w:r>
        <w:t>Place is around God’s throne.</w:t>
      </w:r>
      <w:r>
        <w:rPr>
          <w:rStyle w:val="EndnoteReference"/>
        </w:rPr>
        <w:endnoteReference w:id="3238"/>
      </w:r>
    </w:p>
    <w:p w:rsidR="006A2E06" w:rsidRDefault="006A2E06" w:rsidP="006A2E06">
      <w:pPr>
        <w:spacing w:after="120" w:line="240" w:lineRule="auto"/>
        <w:ind w:left="1701" w:right="74"/>
        <w:jc w:val="both"/>
      </w:pPr>
      <w:r>
        <w:t xml:space="preserve">Relation to believers as ‘ministering spirits’, mainly with regard to </w:t>
      </w:r>
      <w:r w:rsidRPr="00027690">
        <w:rPr>
          <w:i/>
        </w:rPr>
        <w:t>physical</w:t>
      </w:r>
      <w:r>
        <w:t xml:space="preserve"> well-being.</w:t>
      </w:r>
      <w:r>
        <w:rPr>
          <w:rStyle w:val="EndnoteReference"/>
        </w:rPr>
        <w:endnoteReference w:id="3239"/>
      </w:r>
    </w:p>
    <w:p w:rsidR="006A2E06" w:rsidRDefault="006A2E06" w:rsidP="006A2E06">
      <w:pPr>
        <w:spacing w:after="120" w:line="240" w:lineRule="auto"/>
        <w:ind w:left="1701" w:right="74"/>
        <w:jc w:val="both"/>
      </w:pPr>
      <w:r>
        <w:t>Care begins in infancy and is life-long.  Angels’ observation should influence believers’ conduct.</w:t>
      </w:r>
      <w:r>
        <w:rPr>
          <w:rStyle w:val="EndnoteReference"/>
        </w:rPr>
        <w:endnoteReference w:id="3240"/>
      </w:r>
    </w:p>
    <w:p w:rsidR="006A2E06" w:rsidRDefault="006A2E06" w:rsidP="006A2E06">
      <w:pPr>
        <w:spacing w:after="120" w:line="240" w:lineRule="auto"/>
        <w:ind w:left="1701" w:right="74"/>
        <w:jc w:val="both"/>
      </w:pPr>
      <w:r>
        <w:t>Receive ‘departing saints’.</w:t>
      </w:r>
      <w:r>
        <w:rPr>
          <w:rStyle w:val="EndnoteReference"/>
        </w:rPr>
        <w:endnoteReference w:id="3241"/>
      </w:r>
    </w:p>
    <w:p w:rsidR="006A2E06" w:rsidRDefault="006A2E06" w:rsidP="006A2E06">
      <w:pPr>
        <w:spacing w:after="120" w:line="240" w:lineRule="auto"/>
        <w:ind w:left="1701"/>
      </w:pPr>
      <w:r w:rsidRPr="008F3619">
        <w:t xml:space="preserve">Man is made </w:t>
      </w:r>
      <w:r>
        <w:t>‘“</w:t>
      </w:r>
      <w:r w:rsidRPr="008F3619">
        <w:t>a little lower than the angels</w:t>
      </w:r>
      <w:r>
        <w:t>”</w:t>
      </w:r>
      <w:r w:rsidRPr="008F3619">
        <w:t xml:space="preserve">, and in incarnation Christ took </w:t>
      </w:r>
      <w:r>
        <w:t>‘</w:t>
      </w:r>
      <w:r w:rsidRPr="008F3619">
        <w:t>for a little (time) this lower place</w:t>
      </w:r>
      <w:r w:rsidRPr="008F3619">
        <w:rPr>
          <w:rStyle w:val="EndnoteReference"/>
        </w:rPr>
        <w:endnoteReference w:id="3242"/>
      </w:r>
      <w:r>
        <w:t xml:space="preserve"> </w:t>
      </w:r>
      <w:r w:rsidRPr="008F3619">
        <w:t xml:space="preserve">that He might lift the believer into His own sphere above </w:t>
      </w:r>
      <w:r>
        <w:t xml:space="preserve">the </w:t>
      </w:r>
      <w:r w:rsidRPr="008F3619">
        <w:t>angels</w:t>
      </w:r>
      <w:r>
        <w:t>’.</w:t>
      </w:r>
      <w:r w:rsidRPr="008F3619">
        <w:rPr>
          <w:rStyle w:val="EndnoteReference"/>
        </w:rPr>
        <w:endnoteReference w:id="3243"/>
      </w:r>
      <w:r w:rsidRPr="008F3619">
        <w:t xml:space="preserve"> </w:t>
      </w:r>
      <w:r>
        <w:t xml:space="preserve">  </w:t>
      </w:r>
    </w:p>
    <w:p w:rsidR="006A2E06" w:rsidRPr="008E354C" w:rsidRDefault="006A2E06" w:rsidP="006A2E06">
      <w:pPr>
        <w:pStyle w:val="EndnoteText"/>
        <w:ind w:left="567"/>
        <w:jc w:val="both"/>
        <w:rPr>
          <w:i/>
          <w:sz w:val="22"/>
          <w:szCs w:val="18"/>
        </w:rPr>
      </w:pPr>
      <w:r w:rsidRPr="008E354C">
        <w:rPr>
          <w:i/>
          <w:sz w:val="22"/>
          <w:szCs w:val="18"/>
        </w:rPr>
        <w:t>Eschatology</w:t>
      </w:r>
      <w:r>
        <w:rPr>
          <w:rStyle w:val="EndnoteReference"/>
          <w:sz w:val="22"/>
          <w:szCs w:val="22"/>
        </w:rPr>
        <w:endnoteReference w:id="3244"/>
      </w:r>
    </w:p>
    <w:p w:rsidR="006A2E06" w:rsidRDefault="006A2E06" w:rsidP="006A2E06">
      <w:pPr>
        <w:spacing w:after="120" w:line="240" w:lineRule="auto"/>
        <w:ind w:left="851"/>
        <w:jc w:val="both"/>
      </w:pPr>
      <w:r>
        <w:t>Assertion that angels are to accompany Christ at his second coming</w:t>
      </w:r>
      <w:r>
        <w:rPr>
          <w:rStyle w:val="EndnoteReference"/>
        </w:rPr>
        <w:endnoteReference w:id="3245"/>
      </w:r>
      <w:r>
        <w:t xml:space="preserve"> and will prepare the judgment of the nations.</w:t>
      </w:r>
      <w:r>
        <w:rPr>
          <w:rStyle w:val="EndnoteReference"/>
        </w:rPr>
        <w:endnoteReference w:id="3246"/>
      </w:r>
      <w:r>
        <w:t xml:space="preserve">  </w:t>
      </w:r>
    </w:p>
    <w:p w:rsidR="006A2E06" w:rsidRDefault="006A2E06" w:rsidP="006A2E06">
      <w:pPr>
        <w:spacing w:after="120" w:line="240" w:lineRule="auto"/>
        <w:ind w:left="851"/>
        <w:jc w:val="both"/>
      </w:pPr>
      <w:r>
        <w:lastRenderedPageBreak/>
        <w:t>The kingdom-age is not to be subject to angels but to Christ and ‘those for whom He was made a little lower than the angels’.</w:t>
      </w:r>
      <w:r>
        <w:rPr>
          <w:rStyle w:val="EndnoteReference"/>
        </w:rPr>
        <w:endnoteReference w:id="3247"/>
      </w:r>
      <w:r>
        <w:t xml:space="preserve">  </w:t>
      </w:r>
    </w:p>
    <w:p w:rsidR="006A2E06" w:rsidRPr="00A67863" w:rsidRDefault="006A2E06" w:rsidP="006A2E06">
      <w:pPr>
        <w:spacing w:after="120" w:line="240" w:lineRule="auto"/>
        <w:ind w:left="851"/>
        <w:jc w:val="both"/>
        <w:rPr>
          <w:sz w:val="24"/>
        </w:rPr>
      </w:pPr>
      <w:r>
        <w:rPr>
          <w:spacing w:val="-2"/>
        </w:rPr>
        <w:t>‘</w:t>
      </w:r>
      <w:r w:rsidRPr="00A67863">
        <w:rPr>
          <w:spacing w:val="-2"/>
        </w:rPr>
        <w:t>An archangel, Michael, is mentioned as having a particular relation to Israel and to the resurrections</w:t>
      </w:r>
      <w:r>
        <w:rPr>
          <w:spacing w:val="-2"/>
        </w:rPr>
        <w:t>.</w:t>
      </w:r>
      <w:r>
        <w:rPr>
          <w:rStyle w:val="EndnoteReference"/>
          <w:spacing w:val="-2"/>
        </w:rPr>
        <w:endnoteReference w:id="3248"/>
      </w:r>
      <w:r w:rsidRPr="00A67863">
        <w:rPr>
          <w:spacing w:val="-2"/>
        </w:rPr>
        <w:t xml:space="preserve">  The only other angel whose name is revealed, Gabriel, was employed in the most distinguished services</w:t>
      </w:r>
      <w:r>
        <w:rPr>
          <w:spacing w:val="-2"/>
        </w:rPr>
        <w:t>.’</w:t>
      </w:r>
      <w:r>
        <w:rPr>
          <w:rStyle w:val="EndnoteReference"/>
          <w:spacing w:val="-2"/>
        </w:rPr>
        <w:endnoteReference w:id="3249"/>
      </w:r>
    </w:p>
    <w:p w:rsidR="006A2E06" w:rsidRPr="00E27E3B" w:rsidRDefault="006A2E06" w:rsidP="006A2E06">
      <w:pPr>
        <w:spacing w:after="120" w:line="360" w:lineRule="auto"/>
        <w:jc w:val="both"/>
        <w:rPr>
          <w:b/>
          <w:i/>
        </w:rPr>
      </w:pPr>
      <w:r w:rsidRPr="00E27E3B">
        <w:rPr>
          <w:b/>
          <w:i/>
        </w:rPr>
        <w:t>Covenants</w:t>
      </w:r>
      <w:r>
        <w:rPr>
          <w:b/>
          <w:i/>
        </w:rPr>
        <w:t>: Comment</w:t>
      </w:r>
    </w:p>
    <w:p w:rsidR="006A2E06" w:rsidRDefault="006A2E06" w:rsidP="006A2E06">
      <w:pPr>
        <w:spacing w:after="120" w:line="360" w:lineRule="auto"/>
        <w:jc w:val="both"/>
      </w:pPr>
      <w:r w:rsidRPr="00E77C5D">
        <w:t>Scofield’s note on Heb. 8:8 focuses on the New Covenant and its superiority to the Mosaic Covenant</w:t>
      </w:r>
      <w:r>
        <w:t>;</w:t>
      </w:r>
      <w:r w:rsidRPr="00E77C5D">
        <w:rPr>
          <w:rStyle w:val="EndnoteReference"/>
        </w:rPr>
        <w:endnoteReference w:id="3250"/>
      </w:r>
      <w:r w:rsidRPr="00E77C5D">
        <w:t xml:space="preserve"> </w:t>
      </w:r>
      <w:r>
        <w:t>however, Scofield</w:t>
      </w:r>
      <w:r w:rsidRPr="00E77C5D">
        <w:t xml:space="preserve"> does not provide notes on Heb. 8:7 and 8:13, which are both relevant to the relationship between the old and new covenants.  Hebrews 8:7 mentions only two covenants, the first and the second.  It states that, had the first been faultless, there would have been no need of the second.  Despite drawing contrasts between only these two covenants, old and new, Scofield again summarises the eight covenants he sees in the Old and New Testaments.</w:t>
      </w:r>
      <w:r>
        <w:rPr>
          <w:rStyle w:val="EndnoteReference"/>
        </w:rPr>
        <w:endnoteReference w:id="3251"/>
      </w:r>
      <w:r w:rsidRPr="00E77C5D">
        <w:t xml:space="preserve">  Hebrews 8:13 states that ‘that which decayeth and waxeth old is ready to vanish away’.  This surely implies the demise of the ‘old covenant’, yet Scofield asserts in his comment on the so-called ‘Palestinian Covenant’ that ‘Christ will yet perform its gracious </w:t>
      </w:r>
      <w:r w:rsidRPr="00AA7143">
        <w:rPr>
          <w:spacing w:val="4"/>
        </w:rPr>
        <w:t>promises’.  It is not clear how Scofield’s seven preceding covenants relate to the ‘first covenant’ of Heb. 8:7</w:t>
      </w:r>
      <w:r w:rsidRPr="00E77C5D">
        <w:t>, but the implication in Scofield’s comment on Heb. 8:8 is that for him the Palestinian Covenant still holds sway because he expects Christ to perform it even though Scofield himself states that the New Covenant is ‘final and irreversible’.</w:t>
      </w:r>
      <w:r w:rsidRPr="00E77C5D">
        <w:rPr>
          <w:rStyle w:val="EndnoteReference"/>
        </w:rPr>
        <w:endnoteReference w:id="3252"/>
      </w:r>
      <w:r w:rsidRPr="00E77C5D">
        <w:t xml:space="preserve">  </w:t>
      </w:r>
    </w:p>
    <w:p w:rsidR="006A2E06" w:rsidRPr="00E27E3B" w:rsidRDefault="006A2E06" w:rsidP="006A2E06">
      <w:pPr>
        <w:spacing w:after="120" w:line="360" w:lineRule="auto"/>
        <w:jc w:val="both"/>
        <w:rPr>
          <w:b/>
          <w:i/>
        </w:rPr>
      </w:pPr>
      <w:r w:rsidRPr="00E27E3B">
        <w:rPr>
          <w:b/>
          <w:i/>
        </w:rPr>
        <w:t>Types: Comment</w:t>
      </w:r>
    </w:p>
    <w:p w:rsidR="006A2E06" w:rsidRPr="00D8162A" w:rsidRDefault="006A2E06" w:rsidP="006A2E06">
      <w:pPr>
        <w:spacing w:after="120" w:line="360" w:lineRule="auto"/>
        <w:jc w:val="both"/>
      </w:pPr>
      <w:r>
        <w:t>Scofield’s two typological assertions in commentary on Hebrews</w:t>
      </w:r>
      <w:r>
        <w:rPr>
          <w:rStyle w:val="EndnoteReference"/>
        </w:rPr>
        <w:endnoteReference w:id="3253"/>
      </w:r>
      <w:r>
        <w:t xml:space="preserve"> are discussed in 2.3.1.</w:t>
      </w:r>
      <w:r>
        <w:rPr>
          <w:rStyle w:val="EndnoteReference"/>
        </w:rPr>
        <w:endnoteReference w:id="3254"/>
      </w:r>
      <w:r>
        <w:t xml:space="preserve">  He does not </w:t>
      </w:r>
      <w:r w:rsidRPr="00D8162A">
        <w:t>cross-reference Heb. 10:20 with Mt. 27:51, as he does in his note on the latter verse.</w:t>
      </w:r>
      <w:r w:rsidRPr="00D8162A">
        <w:rPr>
          <w:rStyle w:val="EndnoteReference"/>
        </w:rPr>
        <w:endnoteReference w:id="3255"/>
      </w:r>
    </w:p>
    <w:p w:rsidR="006A2E06" w:rsidRPr="00E27E3B" w:rsidRDefault="006A2E06" w:rsidP="006A2E06">
      <w:pPr>
        <w:spacing w:after="120" w:line="360" w:lineRule="auto"/>
        <w:jc w:val="both"/>
        <w:rPr>
          <w:b/>
          <w:i/>
        </w:rPr>
      </w:pPr>
      <w:r w:rsidRPr="00E27E3B">
        <w:rPr>
          <w:b/>
          <w:i/>
        </w:rPr>
        <w:t>Omissions</w:t>
      </w:r>
    </w:p>
    <w:p w:rsidR="006A2E06" w:rsidRPr="00E77C5D" w:rsidRDefault="006A2E06" w:rsidP="006A2E06">
      <w:pPr>
        <w:spacing w:after="120" w:line="360" w:lineRule="auto"/>
        <w:ind w:firstLine="142"/>
        <w:jc w:val="both"/>
      </w:pPr>
      <w:r w:rsidRPr="00E77C5D">
        <w:t xml:space="preserve">In concentrating on covenants in his note on Heb. 8:8, Scofield </w:t>
      </w:r>
      <w:r>
        <w:t>fails</w:t>
      </w:r>
      <w:r w:rsidRPr="00E77C5D">
        <w:t xml:space="preserve"> to comment on text in Hebrews 8 concerning Christ’s role as high priest ‘on the right hand of the Majesty in the heavens’ in a tabernacle and sanctuary pitched by the Lord</w:t>
      </w:r>
      <w:r>
        <w:t>’</w:t>
      </w:r>
      <w:r w:rsidRPr="00E77C5D">
        <w:t>,</w:t>
      </w:r>
      <w:r w:rsidRPr="00E77C5D">
        <w:rPr>
          <w:rStyle w:val="EndnoteReference"/>
        </w:rPr>
        <w:endnoteReference w:id="3256"/>
      </w:r>
      <w:r w:rsidRPr="00E77C5D">
        <w:t xml:space="preserve"> and his superiority to earthly high priests who serve ‘unto the example </w:t>
      </w:r>
      <w:r w:rsidRPr="00AA7143">
        <w:rPr>
          <w:spacing w:val="2"/>
        </w:rPr>
        <w:t>and shadow of heavenly things’.</w:t>
      </w:r>
      <w:r w:rsidRPr="00AA7143">
        <w:rPr>
          <w:rStyle w:val="EndnoteReference"/>
          <w:spacing w:val="2"/>
        </w:rPr>
        <w:endnoteReference w:id="3257"/>
      </w:r>
      <w:r w:rsidRPr="00AA7143">
        <w:rPr>
          <w:spacing w:val="2"/>
        </w:rPr>
        <w:t xml:space="preserve">  The subject of Christ’s priesthood has already been raised in Hebrews 2</w:t>
      </w:r>
      <w:r w:rsidRPr="00AA7143">
        <w:rPr>
          <w:rStyle w:val="EndnoteReference"/>
          <w:spacing w:val="2"/>
        </w:rPr>
        <w:endnoteReference w:id="3258"/>
      </w:r>
      <w:r w:rsidRPr="00E77C5D">
        <w:t xml:space="preserve"> and his Melchizedek priesthood, not of the order of Aaron, has already been introduced in Hebrews 5.</w:t>
      </w:r>
      <w:r w:rsidRPr="00E77C5D">
        <w:rPr>
          <w:rStyle w:val="EndnoteReference"/>
        </w:rPr>
        <w:endnoteReference w:id="3259"/>
      </w:r>
      <w:r w:rsidRPr="00E77C5D">
        <w:t xml:space="preserve">  While Scofield confines himself to an explanation as to why Melchizedek is a</w:t>
      </w:r>
      <w:r>
        <w:t>n appropriate</w:t>
      </w:r>
      <w:r w:rsidRPr="00E77C5D">
        <w:t xml:space="preserve"> type </w:t>
      </w:r>
      <w:r>
        <w:t>of</w:t>
      </w:r>
      <w:r w:rsidRPr="00E77C5D">
        <w:t xml:space="preserve"> Christ,</w:t>
      </w:r>
      <w:r>
        <w:rPr>
          <w:rStyle w:val="EndnoteReference"/>
        </w:rPr>
        <w:endnoteReference w:id="3260"/>
      </w:r>
      <w:r>
        <w:t xml:space="preserve"> </w:t>
      </w:r>
      <w:r w:rsidRPr="00E77C5D">
        <w:t>Hebrews 5 also describes the empathy of the ordinary high priest for sinners, whose sin he shares, an empathy also present in Christ through his temptation and suffering,</w:t>
      </w:r>
      <w:r w:rsidRPr="00E77C5D">
        <w:rPr>
          <w:rStyle w:val="EndnoteReference"/>
        </w:rPr>
        <w:endnoteReference w:id="3261"/>
      </w:r>
      <w:r w:rsidRPr="00E77C5D">
        <w:t xml:space="preserve"> though not through experience of sin.</w:t>
      </w:r>
      <w:r w:rsidRPr="00E77C5D">
        <w:rPr>
          <w:rStyle w:val="EndnoteReference"/>
        </w:rPr>
        <w:endnoteReference w:id="3262"/>
      </w:r>
      <w:r w:rsidRPr="00E77C5D">
        <w:t xml:space="preserve">  Hebrews 2 is another chapter not annotated by Scofield.  Here it is stated that Christ was made like his brothers</w:t>
      </w:r>
      <w:r w:rsidRPr="00E77C5D">
        <w:rPr>
          <w:rStyle w:val="EndnoteReference"/>
        </w:rPr>
        <w:endnoteReference w:id="3263"/>
      </w:r>
      <w:r w:rsidRPr="00E77C5D">
        <w:t xml:space="preserve"> in every way so that he might make atonement for the sins of the people.</w:t>
      </w:r>
      <w:r w:rsidRPr="00E77C5D">
        <w:rPr>
          <w:rStyle w:val="EndnoteReference"/>
        </w:rPr>
        <w:endnoteReference w:id="3264"/>
      </w:r>
      <w:r w:rsidRPr="00E77C5D">
        <w:t xml:space="preserve">  Also, because he suffered when he was tempted, he can help those being tempted.</w:t>
      </w:r>
      <w:r w:rsidRPr="00E77C5D">
        <w:rPr>
          <w:rStyle w:val="EndnoteReference"/>
        </w:rPr>
        <w:endnoteReference w:id="3265"/>
      </w:r>
    </w:p>
    <w:p w:rsidR="006A2E06" w:rsidRPr="00E77C5D" w:rsidRDefault="006A2E06" w:rsidP="006A2E06">
      <w:pPr>
        <w:spacing w:after="120" w:line="360" w:lineRule="auto"/>
        <w:ind w:right="71" w:firstLine="500"/>
        <w:jc w:val="both"/>
      </w:pPr>
      <w:r w:rsidRPr="00E77C5D">
        <w:t>Hebrews 9 and 10 contain further important material concerning Christ’s role as high priest,</w:t>
      </w:r>
      <w:r>
        <w:rPr>
          <w:rStyle w:val="EndnoteReference"/>
        </w:rPr>
        <w:endnoteReference w:id="3266"/>
      </w:r>
      <w:r>
        <w:t xml:space="preserve"> </w:t>
      </w:r>
      <w:r w:rsidRPr="00E77C5D">
        <w:t>which is omitted by Scofield</w:t>
      </w:r>
      <w:r>
        <w:t>.</w:t>
      </w:r>
      <w:r w:rsidRPr="00E77C5D">
        <w:t xml:space="preserve">  This is surprising because, for example in his notes on Leviticus and Numbers, he lists several types for Christ which reference verses in Hebrews.</w:t>
      </w:r>
      <w:r w:rsidRPr="00E77C5D">
        <w:rPr>
          <w:rStyle w:val="EndnoteReference"/>
        </w:rPr>
        <w:endnoteReference w:id="3267"/>
      </w:r>
      <w:r w:rsidRPr="00E77C5D">
        <w:t xml:space="preserve">  It seems inconsistent </w:t>
      </w:r>
      <w:r w:rsidRPr="00E77C5D">
        <w:lastRenderedPageBreak/>
        <w:t>that Scofield does not comment Heb. 10:4,</w:t>
      </w:r>
      <w:r>
        <w:rPr>
          <w:rStyle w:val="EndnoteReference"/>
        </w:rPr>
        <w:endnoteReference w:id="3268"/>
      </w:r>
      <w:r>
        <w:t xml:space="preserve"> to which he refers in his note on </w:t>
      </w:r>
      <w:r w:rsidRPr="00AA7143">
        <w:t>Ezek. 43:19</w:t>
      </w:r>
      <w:r>
        <w:rPr>
          <w:rStyle w:val="EndnoteReference"/>
        </w:rPr>
        <w:endnoteReference w:id="3269"/>
      </w:r>
      <w:r w:rsidRPr="00AA7143">
        <w:t xml:space="preserve"> </w:t>
      </w:r>
      <w:r w:rsidRPr="00E77C5D">
        <w:t>but perhaps dwelling too much upon verses which state the obsolescence of the old tabernacle, high priestly function and sacrifices would be detrimental to the promotion of the concept of the reinstitution of sacrifices as a memorial of the cross in the ‘millennial temple’.</w:t>
      </w:r>
      <w:r w:rsidRPr="00E77C5D">
        <w:rPr>
          <w:rStyle w:val="EndnoteReference"/>
        </w:rPr>
        <w:endnoteReference w:id="3270"/>
      </w:r>
      <w:r w:rsidRPr="00E77C5D">
        <w:t xml:space="preserve"> </w:t>
      </w:r>
    </w:p>
    <w:p w:rsidR="006A2E06" w:rsidRPr="00E77C5D" w:rsidRDefault="006A2E06" w:rsidP="006A2E06">
      <w:pPr>
        <w:spacing w:after="120" w:line="360" w:lineRule="auto"/>
        <w:ind w:right="71" w:firstLine="500"/>
        <w:jc w:val="both"/>
      </w:pPr>
      <w:r w:rsidRPr="00E77C5D">
        <w:t>Commenting on the approximate quotation of part of Ps. 40:6 in Heb. 10:5,</w:t>
      </w:r>
      <w:r>
        <w:rPr>
          <w:rStyle w:val="EndnoteReference"/>
        </w:rPr>
        <w:endnoteReference w:id="3271"/>
      </w:r>
      <w:r>
        <w:t xml:space="preserve"> </w:t>
      </w:r>
      <w:r w:rsidRPr="00E77C5D">
        <w:t xml:space="preserve">Scofield is constrained, probably in the interests of defending the infallibility of scripture, to justify the slight variation.  </w:t>
      </w:r>
      <w:r w:rsidRPr="00733813">
        <w:t xml:space="preserve">Scofield </w:t>
      </w:r>
      <w:r w:rsidRPr="00733813">
        <w:rPr>
          <w:color w:val="000000"/>
        </w:rPr>
        <w:t>allows that ‘the rule, applicable to all modifications of form of quotations in the New Testament from Old Testament writings, is that the divine Author of both Testaments is perfectly free in using an earlier statement, to recast the mere literary form of it.  The variant form will be found invariably to give the deeper meaning of the earlier statement.’</w:t>
      </w:r>
      <w:r>
        <w:rPr>
          <w:rStyle w:val="EndnoteReference"/>
          <w:color w:val="000000"/>
        </w:rPr>
        <w:endnoteReference w:id="3272"/>
      </w:r>
      <w:r w:rsidRPr="00733813">
        <w:rPr>
          <w:color w:val="000000"/>
        </w:rPr>
        <w:t xml:space="preserve">  </w:t>
      </w:r>
      <w:r w:rsidRPr="00E77C5D">
        <w:t>The inefficacy of repeated animal sacrifice is not emphasised</w:t>
      </w:r>
      <w:r>
        <w:t xml:space="preserve"> in Scofield’s discourse on sacrifice in his note on Heb. 10:18.</w:t>
      </w:r>
      <w:r w:rsidRPr="00E77C5D">
        <w:rPr>
          <w:rStyle w:val="EndnoteReference"/>
        </w:rPr>
        <w:endnoteReference w:id="3273"/>
      </w:r>
      <w:r w:rsidRPr="00E77C5D">
        <w:t xml:space="preserve">  Instead </w:t>
      </w:r>
      <w:r>
        <w:t>he</w:t>
      </w:r>
      <w:r w:rsidRPr="00E77C5D">
        <w:t xml:space="preserve"> offers a </w:t>
      </w:r>
      <w:r>
        <w:t>short</w:t>
      </w:r>
      <w:r w:rsidRPr="00E77C5D">
        <w:t xml:space="preserve"> history of Old Testament sacrifices, </w:t>
      </w:r>
      <w:r>
        <w:t>emphasising</w:t>
      </w:r>
      <w:r w:rsidRPr="00E77C5D">
        <w:t xml:space="preserve"> their typical status in relation to Christ, and then provides a list of doctrinal terms and references concerning Christ’s sacrifice.  He does not engage with the main issue.</w:t>
      </w:r>
    </w:p>
    <w:p w:rsidR="006A2E06" w:rsidRDefault="006A2E06" w:rsidP="006A2E06">
      <w:pPr>
        <w:spacing w:after="120" w:line="360" w:lineRule="auto"/>
        <w:ind w:firstLine="499"/>
        <w:jc w:val="both"/>
      </w:pPr>
      <w:r>
        <w:t xml:space="preserve">Again Scofield neglects to comment upon </w:t>
      </w:r>
      <w:r w:rsidRPr="00E77C5D">
        <w:t xml:space="preserve">exhortations to the Hebrews </w:t>
      </w:r>
      <w:r>
        <w:t xml:space="preserve">in </w:t>
      </w:r>
      <w:r w:rsidRPr="00E77C5D">
        <w:t xml:space="preserve">Hebrews 12 </w:t>
      </w:r>
      <w:r>
        <w:t>and 13.</w:t>
      </w:r>
      <w:r w:rsidRPr="00E77C5D">
        <w:rPr>
          <w:rStyle w:val="EndnoteReference"/>
        </w:rPr>
        <w:endnoteReference w:id="3274"/>
      </w:r>
      <w:r w:rsidRPr="00E77C5D">
        <w:t xml:space="preserve">  Importantly, the writer reminds his audience that they have not come to a physical mountain but to Mount Zion, the city of the living God, the heavenly Jerusalem,</w:t>
      </w:r>
      <w:r w:rsidRPr="00E77C5D">
        <w:rPr>
          <w:rStyle w:val="EndnoteReference"/>
        </w:rPr>
        <w:endnoteReference w:id="3275"/>
      </w:r>
      <w:r w:rsidRPr="00E77C5D">
        <w:t xml:space="preserve"> and to Jesus, the mediator of the new covenant.</w:t>
      </w:r>
      <w:r w:rsidRPr="00E77C5D">
        <w:rPr>
          <w:rStyle w:val="EndnoteReference"/>
        </w:rPr>
        <w:endnoteReference w:id="3276"/>
      </w:r>
      <w:r w:rsidRPr="00E77C5D">
        <w:t xml:space="preserve">  They are receiving ‘a kingdom which cannot be moved’.</w:t>
      </w:r>
      <w:r w:rsidRPr="00E77C5D">
        <w:rPr>
          <w:rStyle w:val="EndnoteReference"/>
        </w:rPr>
        <w:endnoteReference w:id="3277"/>
      </w:r>
      <w:r w:rsidRPr="00E77C5D">
        <w:t xml:space="preserve">  They do not have an enduring city but look for the city to come.</w:t>
      </w:r>
      <w:r w:rsidRPr="00E77C5D">
        <w:rPr>
          <w:rStyle w:val="EndnoteReference"/>
        </w:rPr>
        <w:endnoteReference w:id="3278"/>
      </w:r>
      <w:r w:rsidRPr="00E77C5D">
        <w:t xml:space="preserve">  As </w:t>
      </w:r>
      <w:r>
        <w:t>often,</w:t>
      </w:r>
      <w:r w:rsidRPr="00E77C5D">
        <w:t xml:space="preserve"> the essentials of Christian living appear to be unimportant to Scofield.</w:t>
      </w:r>
    </w:p>
    <w:p w:rsidR="006A2E06" w:rsidRDefault="006A2E06" w:rsidP="006A2E06">
      <w:pPr>
        <w:spacing w:after="120" w:line="360" w:lineRule="auto"/>
        <w:jc w:val="both"/>
        <w:rPr>
          <w:b/>
        </w:rPr>
      </w:pPr>
      <w:r>
        <w:rPr>
          <w:b/>
        </w:rPr>
        <w:t xml:space="preserve">8.8.2  </w:t>
      </w:r>
      <w:r w:rsidRPr="00CF42EF">
        <w:rPr>
          <w:b/>
        </w:rPr>
        <w:t>James</w:t>
      </w:r>
    </w:p>
    <w:p w:rsidR="006A2E06" w:rsidRDefault="006A2E06" w:rsidP="006A2E06">
      <w:pPr>
        <w:spacing w:after="120" w:line="360" w:lineRule="auto"/>
        <w:jc w:val="both"/>
        <w:rPr>
          <w:b/>
          <w:i/>
        </w:rPr>
      </w:pPr>
      <w:r w:rsidRPr="00F83E1C">
        <w:rPr>
          <w:b/>
          <w:i/>
        </w:rPr>
        <w:t>Introduction</w:t>
      </w:r>
      <w:r w:rsidRPr="00E71421">
        <w:rPr>
          <w:rStyle w:val="EndnoteReference"/>
        </w:rPr>
        <w:t xml:space="preserve"> </w:t>
      </w:r>
      <w:r>
        <w:rPr>
          <w:rStyle w:val="EndnoteReference"/>
        </w:rPr>
        <w:endnoteReference w:id="3279"/>
      </w:r>
      <w:r>
        <w:rPr>
          <w:b/>
          <w:i/>
        </w:rPr>
        <w:t xml:space="preserve"> Key Points</w:t>
      </w:r>
    </w:p>
    <w:p w:rsidR="006A2E06" w:rsidRPr="00E71421" w:rsidRDefault="006A2E06" w:rsidP="006A2E06">
      <w:pPr>
        <w:spacing w:after="120" w:line="240" w:lineRule="auto"/>
        <w:ind w:left="567"/>
        <w:jc w:val="both"/>
      </w:pPr>
      <w:r>
        <w:t>Author: James ‘the Just’; presumably very early date.</w:t>
      </w:r>
    </w:p>
    <w:p w:rsidR="006A2E06" w:rsidRDefault="006A2E06" w:rsidP="006A2E06">
      <w:pPr>
        <w:spacing w:after="120" w:line="240" w:lineRule="auto"/>
        <w:ind w:left="567"/>
        <w:jc w:val="both"/>
      </w:pPr>
      <w:r>
        <w:t>Theme:</w:t>
      </w:r>
      <w:r w:rsidRPr="005D00B9">
        <w:t xml:space="preserve"> ‘</w:t>
      </w:r>
      <w:r>
        <w:t>“</w:t>
      </w:r>
      <w:r w:rsidRPr="005D00B9">
        <w:t>the twelve tribes scattered abroad”’</w:t>
      </w:r>
      <w:r>
        <w:t xml:space="preserve">, </w:t>
      </w:r>
      <w:r w:rsidRPr="005D00B9">
        <w:t>to be understood</w:t>
      </w:r>
      <w:r>
        <w:t>, not as Jews, but</w:t>
      </w:r>
      <w:r w:rsidRPr="005D00B9">
        <w:t xml:space="preserve"> as ‘Christian Jews of the Dispersion’.  </w:t>
      </w:r>
    </w:p>
    <w:p w:rsidR="006A2E06" w:rsidRDefault="006A2E06" w:rsidP="006A2E06">
      <w:pPr>
        <w:spacing w:after="120" w:line="240" w:lineRule="auto"/>
        <w:ind w:left="567"/>
        <w:jc w:val="both"/>
      </w:pPr>
      <w:r>
        <w:t xml:space="preserve">Assertion </w:t>
      </w:r>
      <w:r w:rsidRPr="005D00B9">
        <w:t xml:space="preserve">that James, who seems not to have left Jerusalem, would have felt ‘a particular pastoral responsibility for these scattered sheep’.  </w:t>
      </w:r>
    </w:p>
    <w:p w:rsidR="006A2E06" w:rsidRDefault="006A2E06" w:rsidP="006A2E06">
      <w:pPr>
        <w:spacing w:after="120" w:line="240" w:lineRule="auto"/>
        <w:ind w:left="1418"/>
        <w:jc w:val="both"/>
      </w:pPr>
      <w:r w:rsidRPr="00D415AC">
        <w:rPr>
          <w:b/>
          <w:i/>
        </w:rPr>
        <w:t>Comment</w:t>
      </w:r>
      <w:r>
        <w:t>: Scofield</w:t>
      </w:r>
      <w:r w:rsidRPr="005D00B9">
        <w:t xml:space="preserve"> does not justify this remark.</w:t>
      </w:r>
    </w:p>
    <w:p w:rsidR="006A2E06" w:rsidRDefault="006A2E06" w:rsidP="006A2E06">
      <w:pPr>
        <w:spacing w:after="120" w:line="240" w:lineRule="auto"/>
        <w:ind w:left="567"/>
        <w:jc w:val="both"/>
      </w:pPr>
      <w:r>
        <w:t xml:space="preserve">Assertions that James is ‘the first Epistle to Christians’, and </w:t>
      </w:r>
      <w:r w:rsidRPr="005D00B9">
        <w:t xml:space="preserve">that </w:t>
      </w:r>
      <w:r>
        <w:t>it is ‘</w:t>
      </w:r>
      <w:r w:rsidRPr="005D00B9">
        <w:t>elementary in the extreme</w:t>
      </w:r>
      <w:r>
        <w:t>’</w:t>
      </w:r>
      <w:r w:rsidRPr="005D00B9">
        <w:t xml:space="preserve">.  </w:t>
      </w:r>
      <w:r>
        <w:t>Further assertions: ‘T</w:t>
      </w:r>
      <w:r w:rsidRPr="005D00B9">
        <w:t>o suppose that Jas. 2:14-26 is a polemic against Paul’s doctrine of justification is absurd.  Neither Galatians nor Romans was yet written.’  James ‘does not exalt works as against faith, but faith as producing works’.</w:t>
      </w:r>
      <w:r>
        <w:rPr>
          <w:rStyle w:val="EndnoteReference"/>
        </w:rPr>
        <w:endnoteReference w:id="3280"/>
      </w:r>
    </w:p>
    <w:p w:rsidR="006A2E06" w:rsidRPr="005D00B9" w:rsidRDefault="006A2E06" w:rsidP="006A2E06">
      <w:pPr>
        <w:spacing w:after="120" w:line="360" w:lineRule="auto"/>
        <w:jc w:val="both"/>
      </w:pPr>
      <w:r>
        <w:rPr>
          <w:b/>
          <w:i/>
        </w:rPr>
        <w:t>Annotation: Key Points</w:t>
      </w:r>
    </w:p>
    <w:p w:rsidR="006A2E06" w:rsidRDefault="006A2E06" w:rsidP="006A2E06">
      <w:pPr>
        <w:spacing w:after="240" w:line="240" w:lineRule="auto"/>
        <w:ind w:left="567"/>
        <w:jc w:val="both"/>
      </w:pPr>
      <w:r>
        <w:t>T</w:t>
      </w:r>
      <w:r w:rsidRPr="00CF42EF">
        <w:t>wo notes</w:t>
      </w:r>
      <w:r>
        <w:t xml:space="preserve">: </w:t>
      </w:r>
      <w:r w:rsidRPr="00CF42EF">
        <w:t xml:space="preserve">definitions of </w:t>
      </w:r>
      <w:r>
        <w:t>‘</w:t>
      </w:r>
      <w:r w:rsidRPr="00CF42EF">
        <w:t>temptation</w:t>
      </w:r>
      <w:r>
        <w:t>’</w:t>
      </w:r>
      <w:r w:rsidRPr="00CF42EF">
        <w:t xml:space="preserve"> as both ‘solicitation to evil’ and ‘testing under trial’,</w:t>
      </w:r>
      <w:r w:rsidRPr="00CF42EF">
        <w:rPr>
          <w:rStyle w:val="EndnoteReference"/>
        </w:rPr>
        <w:endnoteReference w:id="3281"/>
      </w:r>
      <w:r w:rsidRPr="00CF42EF">
        <w:t xml:space="preserve"> and of imputation as God’s act of imputing Christ’s righteousness to the believer.</w:t>
      </w:r>
      <w:r w:rsidRPr="00CF42EF">
        <w:rPr>
          <w:rStyle w:val="EndnoteReference"/>
        </w:rPr>
        <w:endnoteReference w:id="3282"/>
      </w:r>
    </w:p>
    <w:p w:rsidR="006A2E06" w:rsidRDefault="006A2E06" w:rsidP="006A2E06">
      <w:pPr>
        <w:spacing w:after="120" w:line="360" w:lineRule="auto"/>
        <w:jc w:val="both"/>
        <w:rPr>
          <w:b/>
        </w:rPr>
      </w:pPr>
      <w:r>
        <w:rPr>
          <w:b/>
        </w:rPr>
        <w:lastRenderedPageBreak/>
        <w:t xml:space="preserve">8.8.3  </w:t>
      </w:r>
      <w:r w:rsidRPr="00CF42EF">
        <w:rPr>
          <w:b/>
        </w:rPr>
        <w:t>1 Peter</w:t>
      </w:r>
    </w:p>
    <w:p w:rsidR="006A2E06" w:rsidRPr="00F83E1C" w:rsidRDefault="006A2E06" w:rsidP="006A2E06">
      <w:pPr>
        <w:spacing w:after="120" w:line="360" w:lineRule="auto"/>
        <w:jc w:val="both"/>
        <w:rPr>
          <w:b/>
          <w:i/>
        </w:rPr>
      </w:pPr>
      <w:r w:rsidRPr="00F83E1C">
        <w:rPr>
          <w:b/>
          <w:i/>
        </w:rPr>
        <w:t>Introduction</w:t>
      </w:r>
      <w:r>
        <w:rPr>
          <w:b/>
          <w:i/>
        </w:rPr>
        <w:t>:</w:t>
      </w:r>
      <w:r>
        <w:rPr>
          <w:rStyle w:val="EndnoteReference"/>
        </w:rPr>
        <w:endnoteReference w:id="3283"/>
      </w:r>
      <w:r>
        <w:rPr>
          <w:b/>
          <w:i/>
        </w:rPr>
        <w:t xml:space="preserve"> Key Points</w:t>
      </w:r>
    </w:p>
    <w:p w:rsidR="006A2E06" w:rsidRDefault="006A2E06" w:rsidP="006A2E06">
      <w:pPr>
        <w:spacing w:after="120" w:line="240" w:lineRule="auto"/>
        <w:ind w:left="567"/>
        <w:jc w:val="both"/>
      </w:pPr>
      <w:r>
        <w:t>Author: the Apostle Peter; date: probably 60 A.D.</w:t>
      </w:r>
    </w:p>
    <w:p w:rsidR="006A2E06" w:rsidRPr="005D00B9" w:rsidRDefault="006A2E06" w:rsidP="006A2E06">
      <w:pPr>
        <w:spacing w:after="120" w:line="240" w:lineRule="auto"/>
        <w:ind w:left="567"/>
        <w:jc w:val="both"/>
      </w:pPr>
      <w:r>
        <w:t xml:space="preserve">Claim </w:t>
      </w:r>
      <w:r w:rsidRPr="005D00B9">
        <w:t>that ‘while Peter undoubtedly has scattered Jewish believers in mind, his Epistles comprehend Gentile believers also’.</w:t>
      </w:r>
      <w:r>
        <w:rPr>
          <w:rStyle w:val="EndnoteReference"/>
        </w:rPr>
        <w:endnoteReference w:id="3284"/>
      </w:r>
      <w:r w:rsidRPr="005D00B9">
        <w:t xml:space="preserve">  It includes all Christian foundational truths and specially emphasises the atonement.  Its distinctive feature is its emphasis on victory over suffering.</w:t>
      </w:r>
      <w:r>
        <w:rPr>
          <w:rStyle w:val="EndnoteReference"/>
        </w:rPr>
        <w:endnoteReference w:id="3285"/>
      </w:r>
    </w:p>
    <w:p w:rsidR="006A2E06" w:rsidRPr="00CF42EF" w:rsidRDefault="006A2E06" w:rsidP="006A2E06">
      <w:pPr>
        <w:spacing w:after="120" w:line="360" w:lineRule="auto"/>
        <w:jc w:val="center"/>
        <w:rPr>
          <w:b/>
        </w:rPr>
      </w:pPr>
      <w:r>
        <w:rPr>
          <w:b/>
          <w:noProof/>
          <w:lang w:eastAsia="en-GB"/>
        </w:rPr>
        <w:drawing>
          <wp:inline distT="0" distB="0" distL="0" distR="0" wp14:anchorId="54172F28" wp14:editId="1878EAD9">
            <wp:extent cx="5400040" cy="318579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eter themes as table 5.5.18 crop.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400040" cy="3185795"/>
                    </a:xfrm>
                    <a:prstGeom prst="rect">
                      <a:avLst/>
                    </a:prstGeom>
                  </pic:spPr>
                </pic:pic>
              </a:graphicData>
            </a:graphic>
          </wp:inline>
        </w:drawing>
      </w:r>
    </w:p>
    <w:p w:rsidR="006A2E06" w:rsidRDefault="006A2E06" w:rsidP="006A2E06">
      <w:pPr>
        <w:spacing w:after="120" w:line="360" w:lineRule="auto"/>
        <w:jc w:val="both"/>
        <w:rPr>
          <w:b/>
          <w:i/>
        </w:rPr>
      </w:pPr>
      <w:r>
        <w:rPr>
          <w:b/>
          <w:i/>
        </w:rPr>
        <w:t>Annotation: Key Points</w:t>
      </w:r>
    </w:p>
    <w:p w:rsidR="006A2E06" w:rsidRDefault="006A2E06" w:rsidP="006A2E06">
      <w:pPr>
        <w:spacing w:after="120" w:line="240" w:lineRule="auto"/>
        <w:ind w:left="567" w:right="74"/>
        <w:jc w:val="both"/>
      </w:pPr>
      <w:r>
        <w:t xml:space="preserve">Annotation of only five verses within </w:t>
      </w:r>
      <w:r w:rsidRPr="00CF42EF">
        <w:t>first two chapters of 1 Peter</w:t>
      </w:r>
      <w:r>
        <w:t>.</w:t>
      </w:r>
      <w:r>
        <w:rPr>
          <w:rStyle w:val="EndnoteReference"/>
        </w:rPr>
        <w:endnoteReference w:id="3286"/>
      </w:r>
      <w:r w:rsidRPr="00CF42EF">
        <w:t xml:space="preserve"> </w:t>
      </w:r>
    </w:p>
    <w:p w:rsidR="006A2E06" w:rsidRPr="00E112BF" w:rsidRDefault="006A2E06" w:rsidP="006A2E06">
      <w:pPr>
        <w:spacing w:after="120" w:line="240" w:lineRule="auto"/>
        <w:ind w:left="567" w:right="74"/>
        <w:jc w:val="both"/>
        <w:rPr>
          <w:i/>
        </w:rPr>
      </w:pPr>
      <w:r w:rsidRPr="00E112BF">
        <w:rPr>
          <w:i/>
        </w:rPr>
        <w:t>Election</w:t>
      </w:r>
    </w:p>
    <w:p w:rsidR="006A2E06" w:rsidRDefault="006A2E06" w:rsidP="006A2E06">
      <w:pPr>
        <w:spacing w:after="120" w:line="240" w:lineRule="auto"/>
        <w:ind w:left="851" w:right="74"/>
        <w:jc w:val="both"/>
      </w:pPr>
      <w:r>
        <w:t>Assertion that this is a sovereign action of divine grace, according to divine foreknowledge or predestination, and may be corporate or individual.  Election is certain for every believer on the basis of belief alone.</w:t>
      </w:r>
      <w:r>
        <w:rPr>
          <w:rStyle w:val="EndnoteReference"/>
        </w:rPr>
        <w:endnoteReference w:id="3287"/>
      </w:r>
      <w:r>
        <w:t xml:space="preserve">  </w:t>
      </w:r>
    </w:p>
    <w:p w:rsidR="006A2E06" w:rsidRPr="00401F70" w:rsidRDefault="006A2E06" w:rsidP="006A2E06">
      <w:pPr>
        <w:spacing w:after="120" w:line="240" w:lineRule="auto"/>
        <w:ind w:left="567" w:right="74"/>
        <w:jc w:val="both"/>
        <w:rPr>
          <w:i/>
        </w:rPr>
      </w:pPr>
      <w:r w:rsidRPr="00401F70">
        <w:rPr>
          <w:i/>
        </w:rPr>
        <w:t>Suffering</w:t>
      </w:r>
    </w:p>
    <w:p w:rsidR="006A2E06" w:rsidRDefault="006A2E06" w:rsidP="006A2E06">
      <w:pPr>
        <w:spacing w:after="240" w:line="240" w:lineRule="auto"/>
        <w:ind w:left="851" w:right="74"/>
        <w:jc w:val="both"/>
      </w:pPr>
      <w:r>
        <w:t>Assertion that believers’ salvation is assured even in the light of suffering, which reflects Christ’s suffering, and in the light of coming glory like that of Christ.  Suffering is disciplinary and Christ is glorified by it.</w:t>
      </w:r>
      <w:r>
        <w:rPr>
          <w:rStyle w:val="EndnoteReference"/>
        </w:rPr>
        <w:endnoteReference w:id="3288"/>
      </w:r>
    </w:p>
    <w:p w:rsidR="006A2E06" w:rsidRPr="00155E12" w:rsidRDefault="006A2E06" w:rsidP="006A2E06">
      <w:pPr>
        <w:spacing w:after="120" w:line="360" w:lineRule="auto"/>
        <w:ind w:right="74"/>
        <w:jc w:val="both"/>
        <w:rPr>
          <w:b/>
          <w:i/>
        </w:rPr>
      </w:pPr>
      <w:r w:rsidRPr="00155E12">
        <w:rPr>
          <w:b/>
          <w:i/>
        </w:rPr>
        <w:t>Christology and Eschatology, the Church, Israel and the Gentiles: Comment</w:t>
      </w:r>
    </w:p>
    <w:p w:rsidR="006A2E06" w:rsidRDefault="006A2E06" w:rsidP="006A2E06">
      <w:pPr>
        <w:spacing w:after="120" w:line="360" w:lineRule="auto"/>
        <w:ind w:right="74"/>
        <w:jc w:val="both"/>
      </w:pPr>
      <w:r>
        <w:t>Building upon the images of ‘stone of stumbling’ and ‘rock of offence’ in his note on 1 Pet. 2:8,</w:t>
      </w:r>
      <w:r>
        <w:rPr>
          <w:rStyle w:val="EndnoteReference"/>
        </w:rPr>
        <w:endnoteReference w:id="3289"/>
      </w:r>
      <w:r>
        <w:t xml:space="preserve"> Scofield draws eschatological conclusions concerning the futures of the Church, Israel and the Gentiles.  However, </w:t>
      </w:r>
      <w:r w:rsidRPr="00CB7FAB">
        <w:t>1 Pet</w:t>
      </w:r>
      <w:r>
        <w:t>.</w:t>
      </w:r>
      <w:r w:rsidRPr="00CB7FAB">
        <w:t xml:space="preserve"> 2:8 mentions no races</w:t>
      </w:r>
      <w:r>
        <w:t>,</w:t>
      </w:r>
      <w:r w:rsidRPr="00CB7FAB">
        <w:t xml:space="preserve"> religious groups</w:t>
      </w:r>
      <w:r>
        <w:t xml:space="preserve"> or comings of Christ.  This verse merely refers to those who are ‘disobedient’; in the two preceding verses, those to whom the ‘chief corner stone’</w:t>
      </w:r>
      <w:r>
        <w:rPr>
          <w:rStyle w:val="EndnoteReference"/>
        </w:rPr>
        <w:endnoteReference w:id="3290"/>
      </w:r>
      <w:r>
        <w:t xml:space="preserve"> is precious, are those who believe.</w:t>
      </w:r>
      <w:r>
        <w:rPr>
          <w:rStyle w:val="EndnoteReference"/>
        </w:rPr>
        <w:endnoteReference w:id="3291"/>
      </w:r>
      <w:r>
        <w:t xml:space="preserve">  Scofield also introduces a strange dichotomy between ‘the Jews’ at Christ’s first coming and ‘Israel’ at his second coming; this difference is particularly emphasised.  The </w:t>
      </w:r>
      <w:r>
        <w:lastRenderedPageBreak/>
        <w:t>note is similar to his note on Mt. 21:44,</w:t>
      </w:r>
      <w:r>
        <w:rPr>
          <w:rStyle w:val="EndnoteReference"/>
        </w:rPr>
        <w:endnoteReference w:id="3292"/>
      </w:r>
      <w:r>
        <w:t xml:space="preserve"> where it is Israel to which Christ is the stumbling stone and rock of offence.  </w:t>
      </w:r>
      <w:r w:rsidRPr="00CB7FAB">
        <w:t xml:space="preserve">Furthermore, </w:t>
      </w:r>
      <w:r>
        <w:t>Scofield</w:t>
      </w:r>
      <w:r w:rsidRPr="00CB7FAB">
        <w:t xml:space="preserve"> ignore</w:t>
      </w:r>
      <w:r>
        <w:t>s</w:t>
      </w:r>
      <w:r w:rsidRPr="00CB7FAB">
        <w:t xml:space="preserve"> the context of </w:t>
      </w:r>
      <w:r>
        <w:t>1 Pet. 2:8</w:t>
      </w:r>
      <w:r w:rsidRPr="00CB7FAB">
        <w:t>, which is that the believers addressed are to be like ‘living stones’.</w:t>
      </w:r>
      <w:r w:rsidRPr="00CB7FAB">
        <w:rPr>
          <w:rStyle w:val="EndnoteReference"/>
        </w:rPr>
        <w:endnoteReference w:id="3293"/>
      </w:r>
    </w:p>
    <w:p w:rsidR="006A2E06" w:rsidRPr="00155E12" w:rsidRDefault="006A2E06" w:rsidP="006A2E06">
      <w:pPr>
        <w:spacing w:after="120" w:line="360" w:lineRule="auto"/>
        <w:ind w:right="74"/>
        <w:jc w:val="both"/>
        <w:rPr>
          <w:b/>
          <w:i/>
        </w:rPr>
      </w:pPr>
      <w:r w:rsidRPr="00155E12">
        <w:rPr>
          <w:b/>
          <w:i/>
        </w:rPr>
        <w:t>Omissions</w:t>
      </w:r>
    </w:p>
    <w:p w:rsidR="006A2E06" w:rsidRDefault="006A2E06" w:rsidP="006A2E06">
      <w:pPr>
        <w:spacing w:after="120" w:line="360" w:lineRule="auto"/>
        <w:ind w:right="74"/>
        <w:jc w:val="both"/>
      </w:pPr>
      <w:r w:rsidRPr="00C04336">
        <w:t xml:space="preserve">While </w:t>
      </w:r>
      <w:r>
        <w:t>Scofield</w:t>
      </w:r>
      <w:r w:rsidRPr="00C04336">
        <w:t xml:space="preserve"> provides great detail on the chosen status of believers, their priestly function and role in glorifying Christ through their suffering, he ignores the effects these things should have on their lives according to 1 Peter.  The epistle points out their glorious position</w:t>
      </w:r>
      <w:r w:rsidRPr="00C04336">
        <w:rPr>
          <w:rStyle w:val="EndnoteReference"/>
        </w:rPr>
        <w:endnoteReference w:id="3294"/>
      </w:r>
      <w:r w:rsidRPr="00C04336">
        <w:t xml:space="preserve"> through </w:t>
      </w:r>
      <w:r>
        <w:t>Christ’s</w:t>
      </w:r>
      <w:r w:rsidRPr="00C04336">
        <w:t xml:space="preserve"> precious blood</w:t>
      </w:r>
      <w:r w:rsidRPr="00C04336">
        <w:rPr>
          <w:rStyle w:val="EndnoteReference"/>
        </w:rPr>
        <w:endnoteReference w:id="3295"/>
      </w:r>
      <w:r w:rsidRPr="00C04336">
        <w:t xml:space="preserve"> and how this should result in holiness</w:t>
      </w:r>
      <w:r w:rsidRPr="00C04336">
        <w:rPr>
          <w:rStyle w:val="EndnoteReference"/>
        </w:rPr>
        <w:endnoteReference w:id="3296"/>
      </w:r>
      <w:r w:rsidRPr="00C04336">
        <w:t xml:space="preserve"> and living in love from the heart.</w:t>
      </w:r>
      <w:r w:rsidRPr="00C04336">
        <w:rPr>
          <w:rStyle w:val="EndnoteReference"/>
        </w:rPr>
        <w:endnoteReference w:id="3297"/>
      </w:r>
      <w:r w:rsidRPr="00C04336">
        <w:t xml:space="preserve">  There are many practical instructions.</w:t>
      </w:r>
      <w:r w:rsidRPr="00C04336">
        <w:rPr>
          <w:rStyle w:val="EndnoteReference"/>
        </w:rPr>
        <w:endnoteReference w:id="3298"/>
      </w:r>
      <w:r w:rsidRPr="00C04336">
        <w:t xml:space="preserve">  The believers are now the people of God, another important point not noted by Scofield.</w:t>
      </w:r>
    </w:p>
    <w:p w:rsidR="006A2E06" w:rsidRPr="003B268B" w:rsidRDefault="006A2E06" w:rsidP="006A2E06">
      <w:pPr>
        <w:spacing w:after="120" w:line="360" w:lineRule="auto"/>
        <w:ind w:right="74" w:firstLine="567"/>
        <w:jc w:val="both"/>
      </w:pPr>
      <w:r w:rsidRPr="003B268B">
        <w:t xml:space="preserve">Several sections of 1 Peter would benefit from the ‘helps’ Scofield promises in his introduction to </w:t>
      </w:r>
      <w:r w:rsidRPr="003B268B">
        <w:rPr>
          <w:i/>
        </w:rPr>
        <w:t>SRB</w:t>
      </w:r>
      <w:r w:rsidRPr="003B268B">
        <w:t>.</w:t>
      </w:r>
      <w:r w:rsidRPr="003B268B">
        <w:rPr>
          <w:rStyle w:val="EndnoteReference"/>
        </w:rPr>
        <w:endnoteReference w:id="3299"/>
      </w:r>
      <w:r w:rsidRPr="003B268B">
        <w:t xml:space="preserve">  Scofield neglects to comment upon issues of submission of wives to husbands,</w:t>
      </w:r>
      <w:r w:rsidRPr="003B268B">
        <w:rPr>
          <w:rStyle w:val="EndnoteReference"/>
        </w:rPr>
        <w:endnoteReference w:id="3300"/>
      </w:r>
      <w:r w:rsidRPr="003B268B">
        <w:t xml:space="preserve"> of slaves to masters</w:t>
      </w:r>
      <w:r w:rsidRPr="003B268B">
        <w:rPr>
          <w:rStyle w:val="EndnoteReference"/>
        </w:rPr>
        <w:endnoteReference w:id="3301"/>
      </w:r>
      <w:r w:rsidRPr="003B268B">
        <w:t xml:space="preserve"> and of all to those in authority.</w:t>
      </w:r>
      <w:r w:rsidRPr="003B268B">
        <w:rPr>
          <w:rStyle w:val="EndnoteReference"/>
        </w:rPr>
        <w:endnoteReference w:id="3302"/>
      </w:r>
      <w:r w:rsidRPr="003B268B">
        <w:t xml:space="preserve">  Two verses not annotated include material about preaching to the dead.</w:t>
      </w:r>
      <w:r w:rsidRPr="003B268B">
        <w:rPr>
          <w:rStyle w:val="EndnoteReference"/>
        </w:rPr>
        <w:endnoteReference w:id="3303"/>
      </w:r>
      <w:r w:rsidRPr="003B268B">
        <w:t xml:space="preserve">  Scofield also fails to comment on the writer’s use of the rescue of Noah and his family from the flood as a symbol of baptism</w:t>
      </w:r>
      <w:r w:rsidRPr="003B268B">
        <w:rPr>
          <w:rStyle w:val="EndnoteReference"/>
        </w:rPr>
        <w:endnoteReference w:id="3304"/>
      </w:r>
      <w:r w:rsidRPr="003B268B">
        <w:t xml:space="preserve"> and his observations that ‘the end is near’</w:t>
      </w:r>
      <w:r w:rsidRPr="003B268B">
        <w:rPr>
          <w:rStyle w:val="EndnoteReference"/>
        </w:rPr>
        <w:endnoteReference w:id="3305"/>
      </w:r>
      <w:r w:rsidRPr="003B268B">
        <w:t xml:space="preserve"> and that ‘judgment must begin at the house of God’.</w:t>
      </w:r>
      <w:r w:rsidRPr="003B268B">
        <w:rPr>
          <w:rStyle w:val="EndnoteReference"/>
        </w:rPr>
        <w:endnoteReference w:id="3306"/>
      </w:r>
      <w:r w:rsidRPr="003B268B">
        <w:t xml:space="preserve">  Finally, it is surprising that Scofield has nothing to say about the reference to ‘the church that is at Babylon’.</w:t>
      </w:r>
      <w:r w:rsidRPr="003B268B">
        <w:rPr>
          <w:rStyle w:val="EndnoteReference"/>
        </w:rPr>
        <w:endnoteReference w:id="3307"/>
      </w:r>
    </w:p>
    <w:p w:rsidR="006A2E06" w:rsidRPr="003B268B" w:rsidRDefault="006A2E06" w:rsidP="006A2E06">
      <w:pPr>
        <w:spacing w:after="120" w:line="360" w:lineRule="auto"/>
        <w:ind w:right="74"/>
        <w:jc w:val="both"/>
        <w:rPr>
          <w:b/>
        </w:rPr>
      </w:pPr>
      <w:r>
        <w:rPr>
          <w:b/>
        </w:rPr>
        <w:t>8.8</w:t>
      </w:r>
      <w:r w:rsidRPr="003B268B">
        <w:rPr>
          <w:b/>
        </w:rPr>
        <w:t>.4  2 Peter</w:t>
      </w:r>
    </w:p>
    <w:p w:rsidR="006A2E06" w:rsidRPr="003B268B" w:rsidRDefault="006A2E06" w:rsidP="006A2E06">
      <w:pPr>
        <w:spacing w:after="120" w:line="360" w:lineRule="auto"/>
        <w:ind w:right="74"/>
        <w:jc w:val="both"/>
        <w:rPr>
          <w:b/>
          <w:i/>
        </w:rPr>
      </w:pPr>
      <w:r w:rsidRPr="003B268B">
        <w:rPr>
          <w:b/>
          <w:i/>
        </w:rPr>
        <w:t>Introduction</w:t>
      </w:r>
      <w:r>
        <w:rPr>
          <w:b/>
          <w:i/>
        </w:rPr>
        <w:t>: Key Points</w:t>
      </w:r>
    </w:p>
    <w:p w:rsidR="006A2E06" w:rsidRDefault="006A2E06" w:rsidP="006A2E06">
      <w:pPr>
        <w:spacing w:after="120" w:line="240" w:lineRule="auto"/>
        <w:ind w:left="567" w:right="74"/>
        <w:jc w:val="both"/>
      </w:pPr>
      <w:r>
        <w:t>Author: the Apostle Peter; date: probably 66 A.D.</w:t>
      </w:r>
    </w:p>
    <w:p w:rsidR="006A2E06" w:rsidRDefault="006A2E06" w:rsidP="006A2E06">
      <w:pPr>
        <w:spacing w:after="120" w:line="240" w:lineRule="auto"/>
        <w:ind w:left="567" w:right="74"/>
        <w:jc w:val="both"/>
      </w:pPr>
      <w:r>
        <w:t>Assertion that w</w:t>
      </w:r>
      <w:r w:rsidRPr="003B268B">
        <w:t>riter is aware of impending martyrdom and responds with joy</w:t>
      </w:r>
      <w:r>
        <w:t xml:space="preserve"> but foresees </w:t>
      </w:r>
      <w:r w:rsidRPr="003B268B">
        <w:t xml:space="preserve">the history of the professing church ending in apostasy.  </w:t>
      </w:r>
    </w:p>
    <w:p w:rsidR="006A2E06" w:rsidRDefault="006A2E06" w:rsidP="006A2E06">
      <w:pPr>
        <w:spacing w:after="120" w:line="240" w:lineRule="auto"/>
        <w:ind w:left="567" w:right="74"/>
        <w:contextualSpacing/>
        <w:jc w:val="both"/>
      </w:pPr>
      <w:r w:rsidRPr="003B268B">
        <w:t xml:space="preserve">‘Paul </w:t>
      </w:r>
      <w:r>
        <w:t xml:space="preserve">[in 2 Timothy] </w:t>
      </w:r>
      <w:r w:rsidRPr="003B268B">
        <w:t xml:space="preserve">finds </w:t>
      </w:r>
      <w:r>
        <w:t>that apostasy [i.e. the apostasy … in which the history of the professing church will end]</w:t>
      </w:r>
      <w:r w:rsidRPr="003B268B">
        <w:t xml:space="preserve"> in its last stage when the so-called laity</w:t>
      </w:r>
      <w:r w:rsidRPr="003B268B">
        <w:rPr>
          <w:rStyle w:val="EndnoteReference"/>
        </w:rPr>
        <w:endnoteReference w:id="3308"/>
      </w:r>
      <w:r w:rsidRPr="003B268B">
        <w:t xml:space="preserve"> have become infected’,</w:t>
      </w:r>
      <w:r w:rsidRPr="003B268B">
        <w:rPr>
          <w:rStyle w:val="EndnoteReference"/>
        </w:rPr>
        <w:endnoteReference w:id="3309"/>
      </w:r>
      <w:r w:rsidRPr="003B268B">
        <w:t xml:space="preserve"> whereas Peter sees the origin of apostasy as being false teachers,</w:t>
      </w:r>
      <w:r w:rsidRPr="003B268B">
        <w:rPr>
          <w:rStyle w:val="EndnoteReference"/>
        </w:rPr>
        <w:endnoteReference w:id="3310"/>
      </w:r>
      <w:r w:rsidRPr="003B268B">
        <w:t xml:space="preserve"> who deny the truth of redemption.</w:t>
      </w:r>
      <w:r w:rsidRPr="003B268B">
        <w:rPr>
          <w:rStyle w:val="EndnoteReference"/>
        </w:rPr>
        <w:endnoteReference w:id="3311"/>
      </w:r>
      <w:r w:rsidRPr="003B268B">
        <w:t xml:space="preserve">  </w:t>
      </w:r>
    </w:p>
    <w:p w:rsidR="006A2E06" w:rsidRPr="003B268B" w:rsidRDefault="006A2E06" w:rsidP="006A2E06">
      <w:pPr>
        <w:spacing w:after="240" w:line="240" w:lineRule="auto"/>
        <w:ind w:left="567" w:right="74"/>
        <w:contextualSpacing/>
        <w:jc w:val="both"/>
      </w:pPr>
    </w:p>
    <w:p w:rsidR="006A2E06" w:rsidRDefault="006A2E06" w:rsidP="006A2E06">
      <w:pPr>
        <w:spacing w:after="120" w:line="360" w:lineRule="auto"/>
        <w:ind w:right="74"/>
        <w:jc w:val="center"/>
        <w:rPr>
          <w:b/>
          <w:i/>
        </w:rPr>
      </w:pPr>
      <w:r>
        <w:rPr>
          <w:b/>
          <w:i/>
          <w:noProof/>
          <w:lang w:eastAsia="en-GB"/>
        </w:rPr>
        <w:drawing>
          <wp:inline distT="0" distB="0" distL="0" distR="0" wp14:anchorId="71D64E16" wp14:editId="457E983B">
            <wp:extent cx="5400040" cy="1082675"/>
            <wp:effectExtent l="0" t="0" r="0" b="317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Peter themes as table 28.3.18 crop.jpg"/>
                    <pic:cNvPicPr/>
                  </pic:nvPicPr>
                  <pic:blipFill>
                    <a:blip r:embed="rId215">
                      <a:extLst>
                        <a:ext uri="{28A0092B-C50C-407E-A947-70E740481C1C}">
                          <a14:useLocalDpi xmlns:a14="http://schemas.microsoft.com/office/drawing/2010/main" val="0"/>
                        </a:ext>
                      </a:extLst>
                    </a:blip>
                    <a:stretch>
                      <a:fillRect/>
                    </a:stretch>
                  </pic:blipFill>
                  <pic:spPr>
                    <a:xfrm>
                      <a:off x="0" y="0"/>
                      <a:ext cx="5400040" cy="1082675"/>
                    </a:xfrm>
                    <a:prstGeom prst="rect">
                      <a:avLst/>
                    </a:prstGeom>
                  </pic:spPr>
                </pic:pic>
              </a:graphicData>
            </a:graphic>
          </wp:inline>
        </w:drawing>
      </w:r>
    </w:p>
    <w:p w:rsidR="00902176" w:rsidRDefault="00902176" w:rsidP="006A2E06">
      <w:pPr>
        <w:spacing w:after="120" w:line="360" w:lineRule="auto"/>
        <w:ind w:right="74"/>
        <w:jc w:val="both"/>
        <w:rPr>
          <w:b/>
          <w:i/>
        </w:rPr>
      </w:pPr>
    </w:p>
    <w:p w:rsidR="00902176" w:rsidRDefault="00902176" w:rsidP="006A2E06">
      <w:pPr>
        <w:spacing w:after="120" w:line="360" w:lineRule="auto"/>
        <w:ind w:right="74"/>
        <w:jc w:val="both"/>
        <w:rPr>
          <w:b/>
          <w:i/>
        </w:rPr>
      </w:pPr>
    </w:p>
    <w:p w:rsidR="00902176" w:rsidRDefault="00902176" w:rsidP="006A2E06">
      <w:pPr>
        <w:spacing w:after="120" w:line="360" w:lineRule="auto"/>
        <w:ind w:right="74"/>
        <w:jc w:val="both"/>
        <w:rPr>
          <w:b/>
          <w:i/>
        </w:rPr>
      </w:pPr>
    </w:p>
    <w:p w:rsidR="00902176" w:rsidRDefault="00902176" w:rsidP="006A2E06">
      <w:pPr>
        <w:spacing w:after="120" w:line="360" w:lineRule="auto"/>
        <w:ind w:right="74"/>
        <w:jc w:val="both"/>
        <w:rPr>
          <w:b/>
          <w:i/>
        </w:rPr>
      </w:pPr>
    </w:p>
    <w:p w:rsidR="006A2E06" w:rsidRDefault="006A2E06" w:rsidP="006A2E06">
      <w:pPr>
        <w:spacing w:after="120" w:line="360" w:lineRule="auto"/>
        <w:ind w:right="74"/>
        <w:jc w:val="both"/>
        <w:rPr>
          <w:b/>
          <w:i/>
        </w:rPr>
      </w:pPr>
      <w:r w:rsidRPr="00871BA2">
        <w:rPr>
          <w:b/>
          <w:i/>
        </w:rPr>
        <w:lastRenderedPageBreak/>
        <w:t>Annotation</w:t>
      </w:r>
      <w:r w:rsidR="00902176">
        <w:rPr>
          <w:b/>
          <w:i/>
        </w:rPr>
        <w:t>, 2 Peter</w:t>
      </w:r>
      <w:r>
        <w:rPr>
          <w:b/>
          <w:i/>
        </w:rPr>
        <w:t>: Key Points</w:t>
      </w:r>
    </w:p>
    <w:p w:rsidR="006A2E06" w:rsidRDefault="006A2E06" w:rsidP="006A2E06">
      <w:pPr>
        <w:spacing w:after="120" w:line="240" w:lineRule="auto"/>
        <w:ind w:right="74" w:firstLine="567"/>
        <w:jc w:val="both"/>
        <w:rPr>
          <w:i/>
        </w:rPr>
      </w:pPr>
      <w:r w:rsidRPr="00272928">
        <w:rPr>
          <w:i/>
        </w:rPr>
        <w:t>Fulfilled Prophecy</w:t>
      </w:r>
    </w:p>
    <w:p w:rsidR="006A2E06" w:rsidRDefault="006A2E06" w:rsidP="006A2E06">
      <w:pPr>
        <w:spacing w:after="120" w:line="240" w:lineRule="auto"/>
        <w:ind w:right="74" w:firstLine="851"/>
        <w:jc w:val="both"/>
      </w:pPr>
      <w:r>
        <w:t>Important exposition concerning fulfilled prophecy as proof of inspiration.</w:t>
      </w:r>
      <w:r>
        <w:rPr>
          <w:rStyle w:val="EndnoteReference"/>
        </w:rPr>
        <w:endnoteReference w:id="3312"/>
      </w:r>
      <w:r>
        <w:t xml:space="preserve">  </w:t>
      </w:r>
    </w:p>
    <w:p w:rsidR="006A2E06" w:rsidRPr="00272928" w:rsidRDefault="006A2E06" w:rsidP="006A2E06">
      <w:pPr>
        <w:spacing w:after="120" w:line="240" w:lineRule="auto"/>
        <w:ind w:right="74" w:firstLine="567"/>
        <w:jc w:val="both"/>
        <w:rPr>
          <w:i/>
        </w:rPr>
      </w:pPr>
      <w:r w:rsidRPr="00272928">
        <w:rPr>
          <w:i/>
        </w:rPr>
        <w:t>Grace</w:t>
      </w:r>
    </w:p>
    <w:p w:rsidR="006A2E06" w:rsidRDefault="006A2E06" w:rsidP="006A2E06">
      <w:pPr>
        <w:spacing w:after="120" w:line="240" w:lineRule="auto"/>
        <w:ind w:left="851" w:right="74"/>
        <w:jc w:val="both"/>
      </w:pPr>
      <w:r>
        <w:t>Discourse on grace contains a plethora of cross-references and may be a good example of the Bible Readings Method.</w:t>
      </w:r>
      <w:r>
        <w:rPr>
          <w:rStyle w:val="EndnoteReference"/>
        </w:rPr>
        <w:endnoteReference w:id="3313"/>
      </w:r>
    </w:p>
    <w:p w:rsidR="00455E1F" w:rsidRPr="00455E1F" w:rsidRDefault="00455E1F" w:rsidP="00455E1F">
      <w:pPr>
        <w:spacing w:after="120" w:line="360" w:lineRule="auto"/>
        <w:ind w:right="74"/>
        <w:jc w:val="both"/>
        <w:rPr>
          <w:b/>
        </w:rPr>
      </w:pPr>
      <w:r w:rsidRPr="00455E1F">
        <w:rPr>
          <w:b/>
        </w:rPr>
        <w:t>8.8.5  1 John</w:t>
      </w:r>
    </w:p>
    <w:p w:rsidR="00455E1F" w:rsidRPr="00455E1F" w:rsidRDefault="00455E1F" w:rsidP="00455E1F">
      <w:pPr>
        <w:spacing w:after="120" w:line="360" w:lineRule="auto"/>
        <w:ind w:right="74"/>
        <w:jc w:val="both"/>
        <w:rPr>
          <w:b/>
          <w:i/>
        </w:rPr>
      </w:pPr>
      <w:r w:rsidRPr="00455E1F">
        <w:rPr>
          <w:b/>
          <w:i/>
        </w:rPr>
        <w:t>Introduction</w:t>
      </w:r>
      <w:r w:rsidRPr="00455E1F">
        <w:rPr>
          <w:rStyle w:val="EndnoteReference"/>
        </w:rPr>
        <w:t xml:space="preserve"> </w:t>
      </w:r>
      <w:r w:rsidRPr="00455E1F">
        <w:rPr>
          <w:rStyle w:val="EndnoteReference"/>
        </w:rPr>
        <w:endnoteReference w:id="3314"/>
      </w:r>
      <w:r w:rsidRPr="00455E1F">
        <w:rPr>
          <w:b/>
          <w:i/>
        </w:rPr>
        <w:t xml:space="preserve"> Key Points</w:t>
      </w:r>
    </w:p>
    <w:p w:rsidR="00455E1F" w:rsidRPr="00455E1F" w:rsidRDefault="00455E1F" w:rsidP="00455E1F">
      <w:pPr>
        <w:spacing w:after="120" w:line="240" w:lineRule="auto"/>
        <w:jc w:val="both"/>
      </w:pPr>
      <w:r w:rsidRPr="00455E1F">
        <w:t>Author: the Apostle John; date: probably 90 A.D.</w:t>
      </w:r>
    </w:p>
    <w:p w:rsidR="00455E1F" w:rsidRPr="00455E1F" w:rsidRDefault="00455E1F" w:rsidP="00455E1F">
      <w:pPr>
        <w:spacing w:after="240" w:line="240" w:lineRule="auto"/>
        <w:jc w:val="both"/>
      </w:pPr>
      <w:r w:rsidRPr="00455E1F">
        <w:t xml:space="preserve">Theme: is ‘a family letter from the Father to His “little children” who are in the world’.  ‘The sin of a believer is treated as a child’s offence against his Father and is dealt with as a family matter.’  </w:t>
      </w:r>
    </w:p>
    <w:p w:rsidR="00455E1F" w:rsidRPr="00455E1F" w:rsidRDefault="00455E1F" w:rsidP="00455E1F">
      <w:pPr>
        <w:spacing w:after="120" w:line="360" w:lineRule="auto"/>
        <w:ind w:right="74"/>
        <w:jc w:val="center"/>
        <w:rPr>
          <w:b/>
          <w:i/>
        </w:rPr>
      </w:pPr>
      <w:r w:rsidRPr="00455E1F">
        <w:rPr>
          <w:b/>
          <w:i/>
          <w:noProof/>
          <w:lang w:eastAsia="en-GB"/>
        </w:rPr>
        <w:drawing>
          <wp:inline distT="0" distB="0" distL="0" distR="0" wp14:anchorId="2D47A3CA" wp14:editId="306342B4">
            <wp:extent cx="5400040" cy="114236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John themes as table 28.3.18 crop.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400040" cy="1142365"/>
                    </a:xfrm>
                    <a:prstGeom prst="rect">
                      <a:avLst/>
                    </a:prstGeom>
                  </pic:spPr>
                </pic:pic>
              </a:graphicData>
            </a:graphic>
          </wp:inline>
        </w:drawing>
      </w:r>
    </w:p>
    <w:p w:rsidR="00455E1F" w:rsidRPr="00455E1F" w:rsidRDefault="00455E1F" w:rsidP="00455E1F">
      <w:pPr>
        <w:spacing w:after="120" w:line="360" w:lineRule="auto"/>
        <w:rPr>
          <w:b/>
        </w:rPr>
      </w:pPr>
      <w:r w:rsidRPr="00455E1F">
        <w:rPr>
          <w:b/>
        </w:rPr>
        <w:t>8.8.6  2 John</w:t>
      </w:r>
    </w:p>
    <w:p w:rsidR="00455E1F" w:rsidRPr="00455E1F" w:rsidRDefault="00455E1F" w:rsidP="00455E1F">
      <w:pPr>
        <w:spacing w:after="120" w:line="360" w:lineRule="auto"/>
        <w:rPr>
          <w:b/>
          <w:i/>
        </w:rPr>
      </w:pPr>
      <w:r w:rsidRPr="00455E1F">
        <w:rPr>
          <w:b/>
          <w:i/>
        </w:rPr>
        <w:t>Introduction:</w:t>
      </w:r>
      <w:r w:rsidRPr="00455E1F">
        <w:rPr>
          <w:rStyle w:val="EndnoteReference"/>
        </w:rPr>
        <w:endnoteReference w:id="3315"/>
      </w:r>
      <w:r w:rsidRPr="00455E1F">
        <w:t xml:space="preserve"> </w:t>
      </w:r>
      <w:r w:rsidRPr="00455E1F">
        <w:rPr>
          <w:b/>
          <w:i/>
        </w:rPr>
        <w:t>Key Points</w:t>
      </w:r>
    </w:p>
    <w:p w:rsidR="00455E1F" w:rsidRPr="00455E1F" w:rsidRDefault="00455E1F" w:rsidP="00455E1F">
      <w:pPr>
        <w:spacing w:after="120" w:line="240" w:lineRule="auto"/>
        <w:ind w:left="567"/>
      </w:pPr>
      <w:r w:rsidRPr="00455E1F">
        <w:t>Author: the Apostle John; date: probably 90 A.D.</w:t>
      </w:r>
    </w:p>
    <w:p w:rsidR="00455E1F" w:rsidRPr="00455E1F" w:rsidRDefault="00455E1F" w:rsidP="00455E1F">
      <w:pPr>
        <w:spacing w:after="120" w:line="240" w:lineRule="auto"/>
        <w:ind w:left="567"/>
      </w:pPr>
      <w:r w:rsidRPr="00455E1F">
        <w:t xml:space="preserve">Assertion that 2 John ‘gives the essentials of the personal walk of the believer when “many deceivers are entered into the world”’.  </w:t>
      </w:r>
    </w:p>
    <w:p w:rsidR="00455E1F" w:rsidRPr="00455E1F" w:rsidRDefault="00455E1F" w:rsidP="00455E1F">
      <w:pPr>
        <w:spacing w:after="240" w:line="240" w:lineRule="auto"/>
        <w:ind w:left="567"/>
      </w:pPr>
      <w:r w:rsidRPr="00455E1F">
        <w:t xml:space="preserve">Anachronistic assertion that ‘the Bible, as the only authority for doctrine and life is the believer’s resource in a time of declension and apostasy’.  </w:t>
      </w:r>
    </w:p>
    <w:p w:rsidR="00455E1F" w:rsidRPr="00455E1F" w:rsidRDefault="00455E1F" w:rsidP="00455E1F">
      <w:pPr>
        <w:spacing w:after="120" w:line="360" w:lineRule="auto"/>
        <w:rPr>
          <w:b/>
          <w:i/>
        </w:rPr>
      </w:pPr>
      <w:r w:rsidRPr="00455E1F">
        <w:rPr>
          <w:b/>
          <w:i/>
        </w:rPr>
        <w:t>Annotation, 2 John</w:t>
      </w:r>
    </w:p>
    <w:p w:rsidR="00455E1F" w:rsidRPr="00455E1F" w:rsidRDefault="00455E1F" w:rsidP="00455E1F">
      <w:pPr>
        <w:spacing w:after="240" w:line="240" w:lineRule="auto"/>
        <w:ind w:left="567"/>
      </w:pPr>
      <w:r w:rsidRPr="00455E1F">
        <w:t>Exposition of the law of Christ. Christ’s law is love whereas Moses’ external law demands love.  Christ’s law thus replaces ‘the external law by fulfilling it.  It is the “law written in the heart under the New Covenant”.’</w:t>
      </w:r>
      <w:r w:rsidRPr="00455E1F">
        <w:rPr>
          <w:rStyle w:val="EndnoteReference"/>
        </w:rPr>
        <w:endnoteReference w:id="3316"/>
      </w:r>
      <w:r w:rsidRPr="00455E1F">
        <w:t xml:space="preserve">   </w:t>
      </w:r>
    </w:p>
    <w:p w:rsidR="00455E1F" w:rsidRPr="00455E1F" w:rsidRDefault="00455E1F" w:rsidP="00455E1F">
      <w:pPr>
        <w:spacing w:after="120" w:line="360" w:lineRule="auto"/>
        <w:rPr>
          <w:b/>
        </w:rPr>
      </w:pPr>
      <w:r w:rsidRPr="00455E1F">
        <w:rPr>
          <w:b/>
        </w:rPr>
        <w:t>8.8.7  3 John</w:t>
      </w:r>
    </w:p>
    <w:p w:rsidR="00455E1F" w:rsidRPr="00455E1F" w:rsidRDefault="00455E1F" w:rsidP="00455E1F">
      <w:pPr>
        <w:spacing w:after="120" w:line="360" w:lineRule="auto"/>
        <w:rPr>
          <w:b/>
          <w:i/>
        </w:rPr>
      </w:pPr>
      <w:r w:rsidRPr="00455E1F">
        <w:rPr>
          <w:b/>
          <w:i/>
        </w:rPr>
        <w:t>Introduction:</w:t>
      </w:r>
      <w:r w:rsidRPr="00455E1F">
        <w:rPr>
          <w:rStyle w:val="EndnoteReference"/>
        </w:rPr>
        <w:endnoteReference w:id="3317"/>
      </w:r>
      <w:r w:rsidRPr="00455E1F">
        <w:rPr>
          <w:b/>
          <w:i/>
        </w:rPr>
        <w:t xml:space="preserve"> Key Points</w:t>
      </w:r>
    </w:p>
    <w:p w:rsidR="00455E1F" w:rsidRPr="00455E1F" w:rsidRDefault="00455E1F" w:rsidP="00455E1F">
      <w:pPr>
        <w:spacing w:after="120" w:line="240" w:lineRule="auto"/>
        <w:ind w:left="567"/>
      </w:pPr>
      <w:r w:rsidRPr="00455E1F">
        <w:t>Author: the Apostle John; date: probably 90 A.D.</w:t>
      </w:r>
    </w:p>
    <w:p w:rsidR="00455E1F" w:rsidRPr="00455E1F" w:rsidRDefault="00455E1F" w:rsidP="00455E1F">
      <w:pPr>
        <w:spacing w:after="120" w:line="240" w:lineRule="auto"/>
        <w:ind w:left="567"/>
        <w:rPr>
          <w:b/>
        </w:rPr>
      </w:pPr>
      <w:r w:rsidRPr="00455E1F">
        <w:t xml:space="preserve">Assertion of intimations of incipient clerical and priestly church domination and consequent loss of original church order.  Claim that this indicates the responsibility of individual believers in the local church amidst apostasy. </w:t>
      </w:r>
    </w:p>
    <w:p w:rsidR="00455E1F" w:rsidRPr="00455E1F" w:rsidRDefault="00455E1F" w:rsidP="00455E1F">
      <w:pPr>
        <w:spacing w:after="240" w:line="240" w:lineRule="auto"/>
        <w:ind w:left="567"/>
      </w:pPr>
      <w:r w:rsidRPr="00455E1F">
        <w:t xml:space="preserve">Scofield does not annotate 3 John. </w:t>
      </w:r>
    </w:p>
    <w:p w:rsidR="006A2E06" w:rsidRPr="00C04336" w:rsidRDefault="006A2E06" w:rsidP="006A2E06">
      <w:pPr>
        <w:spacing w:after="120" w:line="360" w:lineRule="auto"/>
        <w:ind w:right="74"/>
        <w:jc w:val="both"/>
      </w:pPr>
    </w:p>
    <w:p w:rsidR="006A2E06" w:rsidRDefault="006A2E06" w:rsidP="006A2E06">
      <w:pPr>
        <w:spacing w:after="120" w:line="360" w:lineRule="auto"/>
        <w:ind w:right="74" w:firstLine="499"/>
        <w:jc w:val="both"/>
      </w:pPr>
      <w:r>
        <w:rPr>
          <w:noProof/>
          <w:lang w:eastAsia="en-GB"/>
        </w:rPr>
        <w:lastRenderedPageBreak/>
        <w:drawing>
          <wp:inline distT="0" distB="0" distL="0" distR="0" wp14:anchorId="24A2DB30" wp14:editId="16BF8C6B">
            <wp:extent cx="5400040" cy="82550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s, Pets, Jns graphs 20.2.18 crop.jpg"/>
                    <pic:cNvPicPr/>
                  </pic:nvPicPr>
                  <pic:blipFill>
                    <a:blip r:embed="rId217">
                      <a:extLst>
                        <a:ext uri="{28A0092B-C50C-407E-A947-70E740481C1C}">
                          <a14:useLocalDpi xmlns:a14="http://schemas.microsoft.com/office/drawing/2010/main" val="0"/>
                        </a:ext>
                      </a:extLst>
                    </a:blip>
                    <a:stretch>
                      <a:fillRect/>
                    </a:stretch>
                  </pic:blipFill>
                  <pic:spPr>
                    <a:xfrm>
                      <a:off x="0" y="0"/>
                      <a:ext cx="5400040" cy="8255000"/>
                    </a:xfrm>
                    <a:prstGeom prst="rect">
                      <a:avLst/>
                    </a:prstGeom>
                  </pic:spPr>
                </pic:pic>
              </a:graphicData>
            </a:graphic>
          </wp:inline>
        </w:drawing>
      </w:r>
    </w:p>
    <w:p w:rsidR="006A2E06" w:rsidRDefault="006A2E06" w:rsidP="006A2E06">
      <w:pPr>
        <w:spacing w:after="120" w:line="360" w:lineRule="auto"/>
        <w:ind w:right="74"/>
        <w:jc w:val="both"/>
        <w:rPr>
          <w:b/>
        </w:rPr>
      </w:pPr>
      <w:r>
        <w:rPr>
          <w:b/>
        </w:rPr>
        <w:lastRenderedPageBreak/>
        <w:t xml:space="preserve">8.8.8  </w:t>
      </w:r>
      <w:r w:rsidRPr="0038661D">
        <w:rPr>
          <w:b/>
        </w:rPr>
        <w:t>Jude</w:t>
      </w:r>
    </w:p>
    <w:p w:rsidR="006A2E06" w:rsidRPr="00406EE3" w:rsidRDefault="006A2E06" w:rsidP="006A2E06">
      <w:pPr>
        <w:spacing w:after="120" w:line="360" w:lineRule="auto"/>
        <w:ind w:right="74"/>
        <w:jc w:val="both"/>
        <w:rPr>
          <w:b/>
          <w:i/>
        </w:rPr>
      </w:pPr>
      <w:r w:rsidRPr="00406EE3">
        <w:rPr>
          <w:b/>
          <w:i/>
        </w:rPr>
        <w:t>Introduction:</w:t>
      </w:r>
      <w:r w:rsidRPr="00406EE3">
        <w:rPr>
          <w:rStyle w:val="EndnoteReference"/>
        </w:rPr>
        <w:endnoteReference w:id="3318"/>
      </w:r>
      <w:r w:rsidRPr="00406EE3">
        <w:rPr>
          <w:b/>
          <w:i/>
        </w:rPr>
        <w:t xml:space="preserve"> Key Points</w:t>
      </w:r>
    </w:p>
    <w:p w:rsidR="006A2E06" w:rsidRPr="00406EE3" w:rsidRDefault="006A2E06" w:rsidP="006A2E06">
      <w:pPr>
        <w:spacing w:after="120" w:line="240" w:lineRule="auto"/>
        <w:ind w:left="567"/>
        <w:jc w:val="both"/>
      </w:pPr>
      <w:r w:rsidRPr="00406EE3">
        <w:t>Author: Jude, brother of James; date: probably 66 A.D.</w:t>
      </w:r>
    </w:p>
    <w:p w:rsidR="006A2E06" w:rsidRPr="00406EE3" w:rsidRDefault="006A2E06" w:rsidP="006A2E06">
      <w:pPr>
        <w:spacing w:after="120" w:line="240" w:lineRule="auto"/>
        <w:ind w:left="567"/>
        <w:jc w:val="both"/>
      </w:pPr>
      <w:r w:rsidRPr="00406EE3">
        <w:t xml:space="preserve">Assertion that it is the Holy Spirit rather than Jude himself who speaks.  </w:t>
      </w:r>
    </w:p>
    <w:p w:rsidR="006A2E06" w:rsidRPr="00406EE3" w:rsidRDefault="006A2E06" w:rsidP="006A2E06">
      <w:pPr>
        <w:spacing w:after="120" w:line="240" w:lineRule="auto"/>
        <w:ind w:left="567"/>
        <w:jc w:val="both"/>
      </w:pPr>
      <w:r w:rsidRPr="00406EE3">
        <w:t>Theme: is ‘contending for the faith’.</w:t>
      </w:r>
      <w:r w:rsidRPr="00406EE3">
        <w:rPr>
          <w:rStyle w:val="EndnoteReference"/>
        </w:rPr>
        <w:endnoteReference w:id="3319"/>
      </w:r>
      <w:r w:rsidRPr="00406EE3">
        <w:t xml:space="preserve">  </w:t>
      </w:r>
    </w:p>
    <w:p w:rsidR="006A2E06" w:rsidRPr="00406EE3" w:rsidRDefault="006A2E06" w:rsidP="006A2E06">
      <w:pPr>
        <w:spacing w:after="120" w:line="240" w:lineRule="auto"/>
        <w:ind w:left="567"/>
        <w:jc w:val="both"/>
      </w:pPr>
      <w:r w:rsidRPr="00406EE3">
        <w:t>Apostasy of the professing church, its cause and course predicted; shown as having already become established.</w:t>
      </w:r>
      <w:r w:rsidRPr="00406EE3">
        <w:rPr>
          <w:rStyle w:val="EndnoteReference"/>
        </w:rPr>
        <w:endnoteReference w:id="3320"/>
      </w:r>
      <w:r w:rsidRPr="00406EE3">
        <w:t xml:space="preserve"> </w:t>
      </w:r>
    </w:p>
    <w:p w:rsidR="006A2E06" w:rsidRDefault="006A2E06" w:rsidP="006A2E06">
      <w:pPr>
        <w:spacing w:after="120" w:line="360" w:lineRule="auto"/>
        <w:ind w:right="74"/>
        <w:jc w:val="both"/>
        <w:rPr>
          <w:b/>
        </w:rPr>
      </w:pPr>
    </w:p>
    <w:p w:rsidR="006A2E06" w:rsidRDefault="006A2E06" w:rsidP="006A2E06">
      <w:pPr>
        <w:spacing w:after="120" w:line="360" w:lineRule="auto"/>
        <w:ind w:firstLine="567"/>
        <w:jc w:val="both"/>
      </w:pPr>
      <w:r>
        <w:rPr>
          <w:b/>
          <w:noProof/>
          <w:lang w:eastAsia="en-GB"/>
        </w:rPr>
        <w:drawing>
          <wp:inline distT="0" distB="0" distL="0" distR="0" wp14:anchorId="12D1C17A" wp14:editId="13F8307A">
            <wp:extent cx="3999506" cy="3690042"/>
            <wp:effectExtent l="0" t="0" r="127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 graph 20.2.18 crop.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000325" cy="3690797"/>
                    </a:xfrm>
                    <a:prstGeom prst="rect">
                      <a:avLst/>
                    </a:prstGeom>
                  </pic:spPr>
                </pic:pic>
              </a:graphicData>
            </a:graphic>
          </wp:inline>
        </w:drawing>
      </w:r>
    </w:p>
    <w:p w:rsidR="006A2E06" w:rsidRDefault="006A2E06" w:rsidP="006A2E06">
      <w:pPr>
        <w:spacing w:after="120" w:line="360" w:lineRule="auto"/>
        <w:ind w:right="74"/>
        <w:jc w:val="both"/>
      </w:pPr>
      <w:r>
        <w:rPr>
          <w:b/>
          <w:noProof/>
          <w:lang w:eastAsia="en-GB"/>
        </w:rPr>
        <w:drawing>
          <wp:inline distT="0" distB="0" distL="0" distR="0" wp14:anchorId="336872EA" wp14:editId="490D567F">
            <wp:extent cx="5400040" cy="6686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 title 20.2.18 crop.jpg"/>
                    <pic:cNvPicPr/>
                  </pic:nvPicPr>
                  <pic:blipFill>
                    <a:blip r:embed="rId219">
                      <a:extLst>
                        <a:ext uri="{28A0092B-C50C-407E-A947-70E740481C1C}">
                          <a14:useLocalDpi xmlns:a14="http://schemas.microsoft.com/office/drawing/2010/main" val="0"/>
                        </a:ext>
                      </a:extLst>
                    </a:blip>
                    <a:stretch>
                      <a:fillRect/>
                    </a:stretch>
                  </pic:blipFill>
                  <pic:spPr>
                    <a:xfrm>
                      <a:off x="0" y="0"/>
                      <a:ext cx="5400040" cy="668655"/>
                    </a:xfrm>
                    <a:prstGeom prst="rect">
                      <a:avLst/>
                    </a:prstGeom>
                  </pic:spPr>
                </pic:pic>
              </a:graphicData>
            </a:graphic>
          </wp:inline>
        </w:drawing>
      </w:r>
    </w:p>
    <w:p w:rsidR="006A2E06" w:rsidRPr="00DC6387" w:rsidRDefault="006A2E06" w:rsidP="006A2E06">
      <w:pPr>
        <w:spacing w:after="120" w:line="360" w:lineRule="auto"/>
        <w:ind w:right="74"/>
        <w:jc w:val="both"/>
        <w:rPr>
          <w:b/>
          <w:i/>
        </w:rPr>
      </w:pPr>
      <w:r w:rsidRPr="00DC6387">
        <w:rPr>
          <w:b/>
          <w:i/>
        </w:rPr>
        <w:t>Annotation</w:t>
      </w:r>
      <w:r>
        <w:rPr>
          <w:b/>
          <w:i/>
        </w:rPr>
        <w:t>: Key Points</w:t>
      </w:r>
    </w:p>
    <w:p w:rsidR="006A2E06" w:rsidRDefault="006A2E06" w:rsidP="006A2E06">
      <w:pPr>
        <w:spacing w:after="120" w:line="240" w:lineRule="auto"/>
        <w:ind w:left="567" w:right="74"/>
        <w:jc w:val="both"/>
      </w:pPr>
      <w:r w:rsidRPr="00D06BB9">
        <w:t xml:space="preserve">It has to be admitted that, because Jude only consists of twenty-five verses, anything Scofield writes will represent a high number of words in relation to the </w:t>
      </w:r>
      <w:r w:rsidRPr="00D06BB9">
        <w:rPr>
          <w:i/>
        </w:rPr>
        <w:t>KJV</w:t>
      </w:r>
      <w:r w:rsidRPr="00D06BB9">
        <w:t xml:space="preserve"> text of the book, but, taken verse by verse, the notes on all four verses upon which Scofield comments reach exceptionally high numbers.</w:t>
      </w:r>
      <w:r w:rsidRPr="00D06BB9">
        <w:rPr>
          <w:rStyle w:val="EndnoteReference"/>
        </w:rPr>
        <w:endnoteReference w:id="3321"/>
      </w:r>
      <w:r w:rsidRPr="00D06BB9">
        <w:t xml:space="preserve"> </w:t>
      </w:r>
    </w:p>
    <w:p w:rsidR="006A2E06" w:rsidRDefault="006A2E06" w:rsidP="006A2E06">
      <w:pPr>
        <w:spacing w:after="120" w:line="240" w:lineRule="auto"/>
        <w:ind w:left="567" w:right="74"/>
        <w:jc w:val="both"/>
      </w:pPr>
      <w:r w:rsidRPr="008A2232">
        <w:t xml:space="preserve">Instead of commenting upon the whole subject of this short letter, Scofield again builds </w:t>
      </w:r>
      <w:r w:rsidRPr="008A2232">
        <w:rPr>
          <w:i/>
        </w:rPr>
        <w:t>excursi</w:t>
      </w:r>
      <w:r w:rsidRPr="008A2232">
        <w:t xml:space="preserve"> on odd words.  He uses the word ‘preserved’ in verse 1 to make an assertion about Scripture which is irrelevant to the context.  Scofield states that ‘assurance is the believer’s conviction that, through the work of Christ alone, received by faith, he is in possession of a salvation in which he will be eternally kept’.  This assurance ‘rests only upon the Scripture promises to him who believes’.</w:t>
      </w:r>
      <w:r w:rsidRPr="008A2232">
        <w:rPr>
          <w:rStyle w:val="EndnoteReference"/>
        </w:rPr>
        <w:endnoteReference w:id="3322"/>
      </w:r>
      <w:r w:rsidRPr="008A2232">
        <w:t xml:space="preserve">  </w:t>
      </w:r>
    </w:p>
    <w:p w:rsidR="006A2E06" w:rsidRPr="008A2232" w:rsidRDefault="006A2E06" w:rsidP="006A2E06">
      <w:pPr>
        <w:spacing w:after="120" w:line="240" w:lineRule="auto"/>
        <w:ind w:left="1418" w:right="74"/>
        <w:jc w:val="both"/>
      </w:pPr>
      <w:r w:rsidRPr="00406EE3">
        <w:rPr>
          <w:b/>
          <w:i/>
        </w:rPr>
        <w:lastRenderedPageBreak/>
        <w:t>Comment</w:t>
      </w:r>
      <w:r>
        <w:t>:</w:t>
      </w:r>
      <w:r w:rsidRPr="008A2232">
        <w:t xml:space="preserve"> Horrell states that the date of Jude is widely disputed but argues for a date between 75 and 90 CE;</w:t>
      </w:r>
      <w:r w:rsidRPr="008A2232">
        <w:rPr>
          <w:rStyle w:val="EndnoteReference"/>
        </w:rPr>
        <w:endnoteReference w:id="3323"/>
      </w:r>
      <w:r w:rsidRPr="008A2232">
        <w:t xml:space="preserve"> Scripture, in the sense intended by Scofield, would not have been available to the recipients of the letter.</w:t>
      </w:r>
    </w:p>
    <w:p w:rsidR="006A2E06" w:rsidRPr="008A2232" w:rsidRDefault="006A2E06" w:rsidP="006A2E06">
      <w:pPr>
        <w:spacing w:after="120" w:line="240" w:lineRule="auto"/>
        <w:ind w:left="567" w:right="74"/>
        <w:jc w:val="both"/>
      </w:pPr>
      <w:r w:rsidRPr="008A2232">
        <w:t>In his note on Jude v. 6, Scofield reverts to the subject of angels.</w:t>
      </w:r>
      <w:r w:rsidRPr="008A2232">
        <w:rPr>
          <w:rStyle w:val="EndnoteReference"/>
        </w:rPr>
        <w:endnoteReference w:id="3324"/>
      </w:r>
      <w:r w:rsidRPr="008A2232">
        <w:t xml:space="preserve">  Scofield asserts that the ‘great day’ mentioned in the verse is the ‘day of the Lord’ and, since the final judgment on Satan occurs after the thousand years and before the final judgment, it is ‘congruous to conclude that the other fallen angels are judged with him’.</w:t>
      </w:r>
      <w:r w:rsidRPr="008A2232">
        <w:rPr>
          <w:rStyle w:val="EndnoteReference"/>
        </w:rPr>
        <w:endnoteReference w:id="3325"/>
      </w:r>
    </w:p>
    <w:p w:rsidR="006A2E06" w:rsidRDefault="006A2E06" w:rsidP="006A2E06">
      <w:pPr>
        <w:spacing w:after="120" w:line="240" w:lineRule="auto"/>
        <w:ind w:left="567" w:right="74"/>
        <w:jc w:val="both"/>
      </w:pPr>
      <w:r w:rsidRPr="008A2232">
        <w:t>The lengthy note on Jude v. 11 concentrates on the three characters mentioned in the verse: Cain,</w:t>
      </w:r>
      <w:r w:rsidRPr="008A2232">
        <w:rPr>
          <w:rStyle w:val="EndnoteReference"/>
        </w:rPr>
        <w:endnoteReference w:id="3326"/>
      </w:r>
      <w:r w:rsidRPr="008A2232">
        <w:t xml:space="preserve"> Balaam and Core (Korah).</w:t>
      </w:r>
      <w:r w:rsidRPr="008A2232">
        <w:rPr>
          <w:rStyle w:val="EndnoteReference"/>
        </w:rPr>
        <w:endnoteReference w:id="3327"/>
      </w:r>
      <w:r w:rsidRPr="008A2232">
        <w:t xml:space="preserve">  </w:t>
      </w:r>
    </w:p>
    <w:p w:rsidR="006A2E06" w:rsidRPr="008A2232" w:rsidRDefault="006A2E06" w:rsidP="006A2E06">
      <w:pPr>
        <w:spacing w:after="120" w:line="240" w:lineRule="auto"/>
        <w:ind w:left="1418" w:right="74"/>
        <w:jc w:val="both"/>
      </w:pPr>
      <w:r w:rsidRPr="00406EE3">
        <w:rPr>
          <w:b/>
          <w:i/>
        </w:rPr>
        <w:t>Comment</w:t>
      </w:r>
      <w:r>
        <w:t>:</w:t>
      </w:r>
      <w:r w:rsidRPr="008A2232">
        <w:t xml:space="preserve"> Horrell notes the dependence of the author of Jude, not only on the scriptures where these names are mentioned, but also on ‘the interpretations of these scriptures in post-scriptural Jewish tradition’.</w:t>
      </w:r>
      <w:r w:rsidRPr="008A2232">
        <w:rPr>
          <w:rStyle w:val="EndnoteReference"/>
        </w:rPr>
        <w:endnoteReference w:id="3328"/>
      </w:r>
      <w:r w:rsidRPr="008A2232">
        <w:t xml:space="preserve">  </w:t>
      </w:r>
    </w:p>
    <w:p w:rsidR="006A2E06" w:rsidRDefault="006A2E06" w:rsidP="006A2E06">
      <w:pPr>
        <w:spacing w:after="120" w:line="240" w:lineRule="auto"/>
        <w:ind w:left="567" w:right="74"/>
        <w:jc w:val="both"/>
      </w:pPr>
      <w:r>
        <w:t>Assertion</w:t>
      </w:r>
      <w:r w:rsidRPr="008A2232">
        <w:t xml:space="preserve"> that ‘the “error” of Balaam was that, reasoning from natural morality, and seeing the evil in Israel, he supposed a righteous God </w:t>
      </w:r>
      <w:r w:rsidRPr="008A2232">
        <w:rPr>
          <w:i/>
        </w:rPr>
        <w:t>must</w:t>
      </w:r>
      <w:r w:rsidRPr="008A2232">
        <w:t xml:space="preserve"> curse them’.</w:t>
      </w:r>
      <w:r w:rsidRPr="008A2232">
        <w:rPr>
          <w:rStyle w:val="EndnoteReference"/>
        </w:rPr>
        <w:endnoteReference w:id="3329"/>
      </w:r>
      <w:r w:rsidRPr="008A2232">
        <w:t xml:space="preserve">  </w:t>
      </w:r>
    </w:p>
    <w:p w:rsidR="006A2E06" w:rsidRPr="008A2232" w:rsidRDefault="006A2E06" w:rsidP="006A2E06">
      <w:pPr>
        <w:spacing w:after="120" w:line="240" w:lineRule="auto"/>
        <w:ind w:left="1418" w:right="74"/>
        <w:jc w:val="both"/>
      </w:pPr>
      <w:r w:rsidRPr="00406EE3">
        <w:rPr>
          <w:b/>
          <w:i/>
        </w:rPr>
        <w:t>Comment</w:t>
      </w:r>
      <w:r>
        <w:t xml:space="preserve">: </w:t>
      </w:r>
      <w:r w:rsidRPr="008A2232">
        <w:t>This does not accord with the account of Balaam in Numbers 22 – 24, where Balaam consistently refuses to curse Israel and insists on saying nothing but the words the LORD provides.  Furthermore, even if Scofield were correct in his assessment of Balaam’s error, it is difficult to see how the apostate teachers for whom the writer of Jude is using Balaam as a symbol, could be accused of this.  Horrell suggests another instance of the influence of tradition upon the writer, asserting that, despite the biblical account in Numbers, Balaam in later Jewish tradition was held to be someone who ‘greedily accepted Balak’s rewards and led Israel into immorality’.</w:t>
      </w:r>
      <w:r w:rsidRPr="008A2232">
        <w:rPr>
          <w:rStyle w:val="EndnoteReference"/>
        </w:rPr>
        <w:endnoteReference w:id="3330"/>
      </w:r>
      <w:r w:rsidRPr="008A2232">
        <w:t>.  Both these charges seem far more likely to be levelled at the apostate teachers than does the error Scofield suggests.</w:t>
      </w:r>
    </w:p>
    <w:p w:rsidR="006A2E06" w:rsidRDefault="006A2E06" w:rsidP="006A2E06">
      <w:pPr>
        <w:spacing w:after="120" w:line="240" w:lineRule="auto"/>
        <w:ind w:left="567" w:right="74"/>
        <w:jc w:val="both"/>
      </w:pPr>
      <w:r>
        <w:t>Accusation that</w:t>
      </w:r>
      <w:r w:rsidRPr="008A2232">
        <w:t xml:space="preserve"> Balaam </w:t>
      </w:r>
      <w:r>
        <w:t>was</w:t>
      </w:r>
      <w:r w:rsidRPr="008A2232">
        <w:t xml:space="preserve"> ‘blind to the higher morality of the Cross, through which God maintains and enforces the authority and awful sanctions of His law, so that He can be just and the justifier of a believing sinner’.</w:t>
      </w:r>
    </w:p>
    <w:p w:rsidR="006A2E06" w:rsidRPr="008A2232" w:rsidRDefault="006A2E06" w:rsidP="006A2E06">
      <w:pPr>
        <w:spacing w:after="120" w:line="240" w:lineRule="auto"/>
        <w:ind w:left="1418" w:right="74"/>
        <w:jc w:val="both"/>
      </w:pPr>
      <w:r w:rsidRPr="00406EE3">
        <w:rPr>
          <w:b/>
          <w:i/>
        </w:rPr>
        <w:t>Comment</w:t>
      </w:r>
      <w:r>
        <w:t>:</w:t>
      </w:r>
      <w:r w:rsidRPr="008A2232">
        <w:t xml:space="preserve"> The charge is anachronistic because the time of Balaam occurred several millennia before the cross and the Christian doctrine found in the New Testament. </w:t>
      </w:r>
    </w:p>
    <w:p w:rsidR="006A2E06" w:rsidRPr="008A2232" w:rsidRDefault="006A2E06" w:rsidP="006A2E06">
      <w:pPr>
        <w:spacing w:after="120" w:line="240" w:lineRule="auto"/>
        <w:ind w:left="567" w:right="74"/>
        <w:jc w:val="both"/>
      </w:pPr>
      <w:r>
        <w:t>Assertion that</w:t>
      </w:r>
      <w:r w:rsidRPr="008A2232">
        <w:t xml:space="preserve"> Korah’s sin</w:t>
      </w:r>
      <w:r w:rsidRPr="008A2232">
        <w:rPr>
          <w:rStyle w:val="EndnoteReference"/>
        </w:rPr>
        <w:endnoteReference w:id="3331"/>
      </w:r>
      <w:r w:rsidRPr="008A2232">
        <w:t xml:space="preserve"> was the denial of Moses as God’s chosen spokesman and ‘intrusion into the priest’s office’.</w:t>
      </w:r>
      <w:r w:rsidRPr="008A2232">
        <w:rPr>
          <w:rStyle w:val="EndnoteReference"/>
        </w:rPr>
        <w:endnoteReference w:id="3332"/>
      </w:r>
      <w:r w:rsidRPr="008A2232">
        <w:t xml:space="preserve">  </w:t>
      </w:r>
    </w:p>
    <w:p w:rsidR="006A2E06" w:rsidRPr="008A2232" w:rsidRDefault="006A2E06" w:rsidP="006A2E06">
      <w:pPr>
        <w:spacing w:after="120" w:line="240" w:lineRule="auto"/>
        <w:ind w:left="1418" w:right="74"/>
        <w:jc w:val="both"/>
      </w:pPr>
      <w:r w:rsidRPr="00406EE3">
        <w:rPr>
          <w:b/>
          <w:i/>
        </w:rPr>
        <w:t>Comment</w:t>
      </w:r>
      <w:r>
        <w:t>:</w:t>
      </w:r>
      <w:r w:rsidRPr="008A2232">
        <w:t xml:space="preserve"> Horrell states that Korah was one of the leaders in a rebellion against Moses and Aaron who, in Jewish tradition, became a heretic who denied the law.  Horrell also notes that the verse speaks as if the apostate teachers had already suffered the fate of Korah, and been swallowed up into the earth.  He suggests that this is what the writer was convinced would happen to them.</w:t>
      </w:r>
      <w:r w:rsidRPr="008A2232">
        <w:rPr>
          <w:rStyle w:val="EndnoteReference"/>
        </w:rPr>
        <w:endnoteReference w:id="3333"/>
      </w:r>
    </w:p>
    <w:p w:rsidR="006A2E06" w:rsidRPr="00737EBA" w:rsidRDefault="006A2E06" w:rsidP="006A2E06">
      <w:pPr>
        <w:spacing w:after="120" w:line="360" w:lineRule="auto"/>
        <w:ind w:right="74"/>
        <w:jc w:val="both"/>
        <w:rPr>
          <w:b/>
          <w:i/>
        </w:rPr>
      </w:pPr>
      <w:r w:rsidRPr="00737EBA">
        <w:rPr>
          <w:b/>
          <w:i/>
        </w:rPr>
        <w:t>Omissions</w:t>
      </w:r>
    </w:p>
    <w:p w:rsidR="006A2E06" w:rsidRPr="003F7125" w:rsidRDefault="006A2E06" w:rsidP="006A2E06">
      <w:pPr>
        <w:spacing w:after="120" w:line="360" w:lineRule="auto"/>
        <w:ind w:right="74"/>
        <w:jc w:val="both"/>
      </w:pPr>
      <w:r w:rsidRPr="00D06BB9">
        <w:t xml:space="preserve">Again some difficult material receives no annotation, and some challenging theology passes </w:t>
      </w:r>
      <w:r w:rsidRPr="00D06BB9">
        <w:rPr>
          <w:spacing w:val="6"/>
        </w:rPr>
        <w:t>without comment, f</w:t>
      </w:r>
      <w:r w:rsidRPr="000600BC">
        <w:t xml:space="preserve">or example, verse 9, ‘Yet Michael the archangel, when contending with the devil he disputed about the body of Moses, durst not bring against him a railing accusation, but said, The Lord rebuke thee.’  Some word of explanation would </w:t>
      </w:r>
      <w:r>
        <w:t>be</w:t>
      </w:r>
      <w:r w:rsidRPr="000600BC">
        <w:t xml:space="preserve"> helpful.  Scofield also does not explain the allusion to Enoch or identify the quotation from 1 Enoch in Jude v 14.</w:t>
      </w:r>
      <w:r>
        <w:t xml:space="preserve">  He</w:t>
      </w:r>
      <w:r w:rsidRPr="00D06BB9">
        <w:t xml:space="preserve"> </w:t>
      </w:r>
      <w:r w:rsidRPr="00F9343B">
        <w:t>neglects the whole thru</w:t>
      </w:r>
      <w:r w:rsidRPr="00D06BB9">
        <w:t>st of the letter</w:t>
      </w:r>
      <w:r>
        <w:t>;</w:t>
      </w:r>
      <w:r w:rsidRPr="00D06BB9">
        <w:t xml:space="preserve"> Horrell states that Jude </w:t>
      </w:r>
      <w:r w:rsidRPr="003F7125">
        <w:t xml:space="preserve">is </w:t>
      </w:r>
      <w:r w:rsidRPr="003F7125">
        <w:rPr>
          <w:spacing w:val="2"/>
        </w:rPr>
        <w:t>‘dominated by sustained polemic against heretical opponents’.</w:t>
      </w:r>
      <w:r w:rsidRPr="003F7125">
        <w:rPr>
          <w:rStyle w:val="EndnoteReference"/>
          <w:spacing w:val="2"/>
        </w:rPr>
        <w:endnoteReference w:id="3334"/>
      </w:r>
      <w:r w:rsidRPr="003F7125">
        <w:rPr>
          <w:spacing w:val="2"/>
        </w:rPr>
        <w:t xml:space="preserve">  This is borne out by verses 4</w:t>
      </w:r>
      <w:r>
        <w:rPr>
          <w:spacing w:val="2"/>
        </w:rPr>
        <w:t xml:space="preserve"> and </w:t>
      </w:r>
      <w:r w:rsidRPr="003F7125">
        <w:rPr>
          <w:spacing w:val="2"/>
        </w:rPr>
        <w:t>10-19,</w:t>
      </w:r>
      <w:r w:rsidRPr="00AA0187">
        <w:rPr>
          <w:color w:val="00B050"/>
          <w:spacing w:val="2"/>
        </w:rPr>
        <w:t xml:space="preserve"> </w:t>
      </w:r>
      <w:r w:rsidRPr="003F7125">
        <w:t xml:space="preserve">where the writer inveighs in acerbic tones against those who are corrupting the faith </w:t>
      </w:r>
      <w:r w:rsidRPr="003F7125">
        <w:lastRenderedPageBreak/>
        <w:t>of the recipients of the letter.  Scofield misses the fact that the purpose of the letter is to ‘exhort you that ye should earnestly contend for the faith which was once delivered unto the saints’.</w:t>
      </w:r>
      <w:r w:rsidRPr="003F7125">
        <w:rPr>
          <w:rStyle w:val="EndnoteReference"/>
        </w:rPr>
        <w:endnoteReference w:id="3335"/>
      </w:r>
      <w:r w:rsidRPr="003F7125">
        <w:t xml:space="preserve">  Concern for the recipients</w:t>
      </w:r>
      <w:r w:rsidRPr="003F7125">
        <w:rPr>
          <w:rStyle w:val="EndnoteReference"/>
        </w:rPr>
        <w:endnoteReference w:id="3336"/>
      </w:r>
      <w:r w:rsidRPr="003F7125">
        <w:t xml:space="preserve"> balances to some extent the stringent denunciations of the opponents and there is </w:t>
      </w:r>
      <w:r>
        <w:t xml:space="preserve">a </w:t>
      </w:r>
      <w:r w:rsidRPr="003F7125">
        <w:t>certain amount of exhortation to Christian behaviour, which Scofield also ignores.</w:t>
      </w:r>
      <w:r w:rsidRPr="003F7125">
        <w:rPr>
          <w:rStyle w:val="EndnoteReference"/>
        </w:rPr>
        <w:endnoteReference w:id="3337"/>
      </w:r>
      <w:r w:rsidRPr="003F7125">
        <w:rPr>
          <w:spacing w:val="2"/>
        </w:rPr>
        <w:t xml:space="preserve"> </w:t>
      </w:r>
    </w:p>
    <w:p w:rsidR="006A2E06" w:rsidRDefault="006A2E06" w:rsidP="006A2E06">
      <w:pPr>
        <w:spacing w:after="120" w:line="360" w:lineRule="auto"/>
        <w:ind w:right="74" w:firstLine="500"/>
        <w:jc w:val="both"/>
        <w:rPr>
          <w:color w:val="000000"/>
          <w:szCs w:val="18"/>
        </w:rPr>
      </w:pPr>
      <w:r w:rsidRPr="00E77C5D">
        <w:t>Scofield does not attempt to explain the meaning of the final phrase in Jude v. 23,</w:t>
      </w:r>
      <w:r>
        <w:rPr>
          <w:rStyle w:val="EndnoteReference"/>
        </w:rPr>
        <w:endnoteReference w:id="3338"/>
      </w:r>
      <w:r>
        <w:t xml:space="preserve"> </w:t>
      </w:r>
      <w:r w:rsidRPr="00E77C5D">
        <w:t xml:space="preserve">which Horrell describes, along with the preceding verse, as ‘one of the most corrupt passages in New Testament literature’. </w:t>
      </w:r>
      <w:r>
        <w:t xml:space="preserve"> </w:t>
      </w:r>
      <w:r w:rsidRPr="006D6435">
        <w:rPr>
          <w:szCs w:val="18"/>
        </w:rPr>
        <w:t>Horrell notes the ‘rather large number of textual variations and uncertainties’ in Jude.</w:t>
      </w:r>
      <w:r>
        <w:rPr>
          <w:rStyle w:val="EndnoteReference"/>
          <w:szCs w:val="18"/>
        </w:rPr>
        <w:endnoteReference w:id="3339"/>
      </w:r>
      <w:r w:rsidRPr="006D6435">
        <w:rPr>
          <w:szCs w:val="18"/>
        </w:rPr>
        <w:t xml:space="preserve">  </w:t>
      </w:r>
      <w:r w:rsidRPr="00E77C5D">
        <w:t xml:space="preserve">Instead </w:t>
      </w:r>
      <w:r>
        <w:t xml:space="preserve">of addressing the difficulty of this verse, </w:t>
      </w:r>
      <w:r w:rsidRPr="00E77C5D">
        <w:t>Scofield takes the single word, ‘flesh’, and expands upon it.</w:t>
      </w:r>
      <w:r>
        <w:t xml:space="preserve"> He states that </w:t>
      </w:r>
      <w:r w:rsidRPr="006D6435">
        <w:rPr>
          <w:color w:val="000000"/>
          <w:szCs w:val="18"/>
        </w:rPr>
        <w:t>‘“flesh” in the ethical sense’ signifies the natural, unregenerate man, self-centred and liable to sinfulness and rebellion against God, whereas the regenerate man is not in the sphere of flesh but in that of the Spirit.  However, the flesh is still in him and he may choose to walk after the flesh and be ‘a carnal Christian’ or after the Spirit and be ‘a spiritual Christian’.  Believers who walk in the Spirit will consistently experience victory over the flesh</w:t>
      </w:r>
      <w:r>
        <w:rPr>
          <w:color w:val="000000"/>
          <w:szCs w:val="18"/>
        </w:rPr>
        <w:t>.</w:t>
      </w:r>
      <w:r>
        <w:rPr>
          <w:rStyle w:val="EndnoteReference"/>
          <w:color w:val="000000"/>
          <w:szCs w:val="18"/>
        </w:rPr>
        <w:endnoteReference w:id="3340"/>
      </w:r>
    </w:p>
    <w:p w:rsidR="006A2E06" w:rsidRPr="003C53D3" w:rsidRDefault="006A2E06" w:rsidP="006A2E06">
      <w:pPr>
        <w:spacing w:after="120" w:line="360" w:lineRule="auto"/>
        <w:ind w:right="74"/>
        <w:jc w:val="both"/>
        <w:rPr>
          <w:b/>
          <w:color w:val="000000"/>
          <w:szCs w:val="18"/>
        </w:rPr>
      </w:pPr>
      <w:r>
        <w:rPr>
          <w:b/>
        </w:rPr>
        <w:t>8.8.</w:t>
      </w:r>
      <w:r w:rsidRPr="003C53D3">
        <w:rPr>
          <w:b/>
          <w:color w:val="000000"/>
          <w:szCs w:val="18"/>
        </w:rPr>
        <w:t>9  Conclusion</w:t>
      </w:r>
      <w:r>
        <w:rPr>
          <w:b/>
          <w:color w:val="000000"/>
          <w:szCs w:val="18"/>
        </w:rPr>
        <w:t>:</w:t>
      </w:r>
      <w:r w:rsidRPr="003C53D3">
        <w:rPr>
          <w:b/>
          <w:color w:val="000000"/>
          <w:szCs w:val="18"/>
        </w:rPr>
        <w:t xml:space="preserve"> </w:t>
      </w:r>
      <w:r w:rsidR="00756EB6">
        <w:rPr>
          <w:b/>
          <w:color w:val="000000"/>
          <w:szCs w:val="18"/>
        </w:rPr>
        <w:t xml:space="preserve">Notes on </w:t>
      </w:r>
      <w:r w:rsidRPr="003C53D3">
        <w:rPr>
          <w:b/>
          <w:color w:val="000000"/>
          <w:szCs w:val="18"/>
        </w:rPr>
        <w:t xml:space="preserve">the </w:t>
      </w:r>
      <w:r w:rsidR="005F397F">
        <w:rPr>
          <w:b/>
          <w:color w:val="000000"/>
          <w:szCs w:val="18"/>
        </w:rPr>
        <w:t>‘</w:t>
      </w:r>
      <w:r w:rsidRPr="003C53D3">
        <w:rPr>
          <w:b/>
          <w:color w:val="000000"/>
          <w:szCs w:val="18"/>
        </w:rPr>
        <w:t>Jewish-Christian</w:t>
      </w:r>
      <w:r w:rsidR="005F397F">
        <w:rPr>
          <w:b/>
          <w:color w:val="000000"/>
          <w:szCs w:val="18"/>
        </w:rPr>
        <w:t>’</w:t>
      </w:r>
      <w:r w:rsidRPr="003C53D3">
        <w:rPr>
          <w:b/>
          <w:color w:val="000000"/>
          <w:szCs w:val="18"/>
        </w:rPr>
        <w:t xml:space="preserve"> Epistles</w:t>
      </w:r>
    </w:p>
    <w:p w:rsidR="006A2E06" w:rsidRDefault="006A2E06" w:rsidP="006A2E06">
      <w:pPr>
        <w:spacing w:after="120" w:line="360" w:lineRule="auto"/>
        <w:ind w:right="74"/>
        <w:jc w:val="both"/>
        <w:rPr>
          <w:color w:val="000000"/>
          <w:szCs w:val="18"/>
        </w:rPr>
      </w:pPr>
      <w:r>
        <w:rPr>
          <w:color w:val="000000"/>
          <w:szCs w:val="18"/>
        </w:rPr>
        <w:t>Like the notes on the Pauline and Deutero-Pauline epistles, those on the Jewish-Christian epistles contain doctrinal discourses.</w:t>
      </w:r>
      <w:r>
        <w:rPr>
          <w:rStyle w:val="EndnoteReference"/>
          <w:color w:val="000000"/>
          <w:szCs w:val="18"/>
        </w:rPr>
        <w:endnoteReference w:id="3341"/>
      </w:r>
      <w:r>
        <w:rPr>
          <w:color w:val="000000"/>
          <w:szCs w:val="18"/>
        </w:rPr>
        <w:t xml:space="preserve">  The note on Heb. 10:18 on sacrifice makes some points similar to those in the notes on Romans, and includes many cross-references and a reference to types.</w:t>
      </w:r>
      <w:r>
        <w:rPr>
          <w:rStyle w:val="EndnoteReference"/>
          <w:color w:val="000000"/>
          <w:szCs w:val="18"/>
        </w:rPr>
        <w:endnoteReference w:id="3342"/>
      </w:r>
      <w:r>
        <w:rPr>
          <w:color w:val="000000"/>
          <w:szCs w:val="18"/>
        </w:rPr>
        <w:t xml:space="preserve">  It also includes elements of Scofield’s Christology, as do those on Heb. 5:6 concerning Melchisedec as a type of Christ and 1 Pet. 2:8 concerning Christ as the stone of stumbling and rock of offence.</w:t>
      </w:r>
      <w:r>
        <w:rPr>
          <w:rStyle w:val="EndnoteReference"/>
          <w:color w:val="000000"/>
          <w:szCs w:val="18"/>
        </w:rPr>
        <w:endnoteReference w:id="3343"/>
      </w:r>
      <w:r>
        <w:rPr>
          <w:color w:val="000000"/>
          <w:szCs w:val="18"/>
        </w:rPr>
        <w:t xml:space="preserve">  Some of the discourses come close to being </w:t>
      </w:r>
      <w:r w:rsidRPr="003C5705">
        <w:rPr>
          <w:i/>
          <w:color w:val="000000"/>
          <w:szCs w:val="18"/>
        </w:rPr>
        <w:t>excursi</w:t>
      </w:r>
      <w:r>
        <w:rPr>
          <w:color w:val="000000"/>
          <w:szCs w:val="18"/>
        </w:rPr>
        <w:t>, especially the note on angels.</w:t>
      </w:r>
      <w:r>
        <w:rPr>
          <w:rStyle w:val="EndnoteReference"/>
          <w:color w:val="000000"/>
          <w:szCs w:val="18"/>
        </w:rPr>
        <w:endnoteReference w:id="3344"/>
      </w:r>
      <w:r>
        <w:rPr>
          <w:color w:val="000000"/>
          <w:szCs w:val="18"/>
        </w:rPr>
        <w:t xml:space="preserve">  This note also includes references to Christ’s second advent and the kingdom-age but, again as with the Pauline epistles, there is little eschatological material in these notes.  The triple note on covenants in Hebrews 8 forms the climax of Scofield’s annotation concerning this subject and is the object of cross-references from notes on all the other covenants.  As already stated, many significant elements in these epistles are not covered by Scofield.</w:t>
      </w:r>
    </w:p>
    <w:p w:rsidR="006A2E06" w:rsidRDefault="006A2E06" w:rsidP="006A2E06">
      <w:pPr>
        <w:spacing w:after="120" w:line="360" w:lineRule="auto"/>
        <w:ind w:right="74"/>
        <w:jc w:val="both"/>
        <w:rPr>
          <w:b/>
        </w:rPr>
      </w:pPr>
      <w:bookmarkStart w:id="23" w:name="Revelation"/>
      <w:bookmarkEnd w:id="23"/>
      <w:r>
        <w:rPr>
          <w:b/>
        </w:rPr>
        <w:t>8.9</w:t>
      </w:r>
      <w:r w:rsidRPr="00E77C5D">
        <w:rPr>
          <w:b/>
        </w:rPr>
        <w:t xml:space="preserve">  Revelation</w:t>
      </w:r>
    </w:p>
    <w:p w:rsidR="006A2E06" w:rsidRPr="00F76C72" w:rsidRDefault="006A2E06" w:rsidP="006A2E06">
      <w:pPr>
        <w:spacing w:after="120" w:line="360" w:lineRule="auto"/>
        <w:ind w:right="74"/>
        <w:jc w:val="both"/>
        <w:rPr>
          <w:b/>
          <w:i/>
        </w:rPr>
      </w:pPr>
      <w:r w:rsidRPr="00F76C72">
        <w:rPr>
          <w:b/>
          <w:i/>
        </w:rPr>
        <w:t>Introduction</w:t>
      </w:r>
      <w:r>
        <w:rPr>
          <w:b/>
          <w:i/>
        </w:rPr>
        <w:t>:</w:t>
      </w:r>
      <w:r>
        <w:rPr>
          <w:rStyle w:val="EndnoteReference"/>
        </w:rPr>
        <w:endnoteReference w:id="3345"/>
      </w:r>
      <w:r>
        <w:rPr>
          <w:b/>
          <w:i/>
        </w:rPr>
        <w:t xml:space="preserve"> Key Points</w:t>
      </w:r>
    </w:p>
    <w:p w:rsidR="006A2E06" w:rsidRDefault="006A2E06" w:rsidP="006A2E06">
      <w:pPr>
        <w:spacing w:after="120" w:line="240" w:lineRule="auto"/>
        <w:ind w:firstLine="567"/>
        <w:jc w:val="both"/>
      </w:pPr>
      <w:r>
        <w:t>Author: the Apostle John; date: 96 A.D.</w:t>
      </w:r>
    </w:p>
    <w:p w:rsidR="006A2E06" w:rsidRDefault="006A2E06" w:rsidP="006A2E06">
      <w:pPr>
        <w:spacing w:after="120" w:line="240" w:lineRule="auto"/>
        <w:ind w:left="567"/>
        <w:jc w:val="both"/>
      </w:pPr>
      <w:r>
        <w:t>Theme:</w:t>
      </w:r>
      <w:r w:rsidRPr="005D00B9">
        <w:t xml:space="preserve"> Jesus Christ, </w:t>
      </w:r>
      <w:r>
        <w:t>as the one who was and is and is to come,</w:t>
      </w:r>
      <w:r>
        <w:rPr>
          <w:rStyle w:val="EndnoteReference"/>
        </w:rPr>
        <w:endnoteReference w:id="3346"/>
      </w:r>
      <w:r>
        <w:t xml:space="preserve"> in relationship to the churches,</w:t>
      </w:r>
      <w:r>
        <w:rPr>
          <w:rStyle w:val="EndnoteReference"/>
        </w:rPr>
        <w:endnoteReference w:id="3347"/>
      </w:r>
      <w:r>
        <w:t xml:space="preserve"> the trib</w:t>
      </w:r>
      <w:r w:rsidRPr="005D00B9">
        <w:t>u</w:t>
      </w:r>
      <w:r>
        <w:t>lation</w:t>
      </w:r>
      <w:r>
        <w:rPr>
          <w:rStyle w:val="EndnoteReference"/>
        </w:rPr>
        <w:endnoteReference w:id="3348"/>
      </w:r>
      <w:r>
        <w:t xml:space="preserve"> and the kingdom,</w:t>
      </w:r>
      <w:r>
        <w:rPr>
          <w:rStyle w:val="EndnoteReference"/>
        </w:rPr>
        <w:endnoteReference w:id="3349"/>
      </w:r>
      <w:r>
        <w:t xml:space="preserve"> and in His offices as High Priest,</w:t>
      </w:r>
      <w:r>
        <w:rPr>
          <w:rStyle w:val="EndnoteReference"/>
        </w:rPr>
        <w:endnoteReference w:id="3350"/>
      </w:r>
      <w:r>
        <w:t xml:space="preserve"> Bridegroom</w:t>
      </w:r>
      <w:r>
        <w:rPr>
          <w:rStyle w:val="EndnoteReference"/>
        </w:rPr>
        <w:endnoteReference w:id="3351"/>
      </w:r>
      <w:r>
        <w:t xml:space="preserve"> and King-Judge.</w:t>
      </w:r>
      <w:r>
        <w:rPr>
          <w:rStyle w:val="EndnoteReference"/>
        </w:rPr>
        <w:endnoteReference w:id="3352"/>
      </w:r>
      <w:r>
        <w:t xml:space="preserve"> </w:t>
      </w:r>
      <w:r w:rsidRPr="005D00B9">
        <w:t xml:space="preserve"> </w:t>
      </w:r>
      <w:r>
        <w:t xml:space="preserve">However, </w:t>
      </w:r>
      <w:r w:rsidRPr="005D00B9">
        <w:t>‘</w:t>
      </w:r>
      <w:r>
        <w:t>a</w:t>
      </w:r>
      <w:r w:rsidRPr="005D00B9">
        <w:t xml:space="preserve">ll events move to one consummation – the bringing in of the covenanted kingdom’.  </w:t>
      </w:r>
    </w:p>
    <w:p w:rsidR="006A2E06" w:rsidRDefault="006A2E06" w:rsidP="006A2E06">
      <w:pPr>
        <w:spacing w:after="120" w:line="240" w:lineRule="auto"/>
        <w:ind w:left="567"/>
        <w:jc w:val="both"/>
      </w:pPr>
      <w:r>
        <w:t>Assertion</w:t>
      </w:r>
      <w:r w:rsidRPr="005D00B9">
        <w:t xml:space="preserve"> that </w:t>
      </w:r>
      <w:r>
        <w:t>Revelation is ‘a prophecy’;</w:t>
      </w:r>
      <w:r>
        <w:rPr>
          <w:rStyle w:val="EndnoteReference"/>
        </w:rPr>
        <w:endnoteReference w:id="3353"/>
      </w:r>
      <w:r>
        <w:t xml:space="preserve"> </w:t>
      </w:r>
      <w:r w:rsidRPr="005D00B9">
        <w:t xml:space="preserve">‘the key phrase is the prophetic declaration </w:t>
      </w:r>
      <w:r>
        <w:t>of the “great voices in heaven”,</w:t>
      </w:r>
      <w:r>
        <w:rPr>
          <w:rStyle w:val="EndnoteReference"/>
        </w:rPr>
        <w:endnoteReference w:id="3354"/>
      </w:r>
      <w:r>
        <w:t xml:space="preserve"> </w:t>
      </w:r>
      <w:r w:rsidRPr="005D00B9">
        <w:t>lit. “The world kingdom of our Lord and of his Christ has come”’.</w:t>
      </w:r>
      <w:r>
        <w:rPr>
          <w:rStyle w:val="EndnoteReference"/>
        </w:rPr>
        <w:endnoteReference w:id="3355"/>
      </w:r>
      <w:r>
        <w:t xml:space="preserve"> </w:t>
      </w:r>
    </w:p>
    <w:p w:rsidR="006A2E06" w:rsidRDefault="006A2E06" w:rsidP="006A2E06">
      <w:pPr>
        <w:spacing w:after="120" w:line="240" w:lineRule="auto"/>
        <w:ind w:left="567"/>
        <w:jc w:val="both"/>
      </w:pPr>
      <w:r w:rsidRPr="005D00B9">
        <w:t>John is commanded to write of things past,</w:t>
      </w:r>
      <w:r>
        <w:rPr>
          <w:rStyle w:val="EndnoteReference"/>
        </w:rPr>
        <w:endnoteReference w:id="3356"/>
      </w:r>
      <w:r>
        <w:t xml:space="preserve"> </w:t>
      </w:r>
      <w:r w:rsidRPr="005D00B9">
        <w:t>present</w:t>
      </w:r>
      <w:r>
        <w:rPr>
          <w:rStyle w:val="EndnoteReference"/>
        </w:rPr>
        <w:endnoteReference w:id="3357"/>
      </w:r>
      <w:r>
        <w:t xml:space="preserve"> </w:t>
      </w:r>
      <w:r w:rsidRPr="005D00B9">
        <w:t xml:space="preserve"> and future.</w:t>
      </w:r>
      <w:r>
        <w:rPr>
          <w:rStyle w:val="EndnoteReference"/>
        </w:rPr>
        <w:endnoteReference w:id="3358"/>
      </w:r>
      <w:r w:rsidRPr="005D00B9">
        <w:t xml:space="preserve">  </w:t>
      </w:r>
    </w:p>
    <w:p w:rsidR="006A2E06" w:rsidRDefault="006A2E06" w:rsidP="006A2E06">
      <w:pPr>
        <w:spacing w:after="120" w:line="360" w:lineRule="auto"/>
        <w:ind w:right="74"/>
        <w:jc w:val="both"/>
        <w:rPr>
          <w:b/>
        </w:rPr>
      </w:pPr>
    </w:p>
    <w:p w:rsidR="006A2E06" w:rsidRDefault="006A2E06" w:rsidP="006A2E06">
      <w:pPr>
        <w:spacing w:after="120" w:line="360" w:lineRule="auto"/>
        <w:ind w:right="74"/>
        <w:jc w:val="center"/>
        <w:rPr>
          <w:b/>
        </w:rPr>
      </w:pPr>
      <w:r>
        <w:rPr>
          <w:b/>
          <w:noProof/>
          <w:lang w:eastAsia="en-GB"/>
        </w:rPr>
        <w:lastRenderedPageBreak/>
        <w:drawing>
          <wp:inline distT="0" distB="0" distL="0" distR="0" wp14:anchorId="1FBC17A9" wp14:editId="0DE479DA">
            <wp:extent cx="3653322" cy="5080884"/>
            <wp:effectExtent l="0" t="0" r="4445"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lation graph 20.2.18_Page_1 crop.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53322" cy="5080884"/>
                    </a:xfrm>
                    <a:prstGeom prst="rect">
                      <a:avLst/>
                    </a:prstGeom>
                  </pic:spPr>
                </pic:pic>
              </a:graphicData>
            </a:graphic>
          </wp:inline>
        </w:drawing>
      </w:r>
    </w:p>
    <w:p w:rsidR="006A2E06" w:rsidRPr="00721B07" w:rsidRDefault="006A2E06" w:rsidP="006A2E06">
      <w:pPr>
        <w:spacing w:after="120" w:line="360" w:lineRule="auto"/>
        <w:jc w:val="center"/>
        <w:rPr>
          <w:b/>
        </w:rPr>
      </w:pPr>
      <w:r>
        <w:rPr>
          <w:b/>
          <w:noProof/>
          <w:lang w:eastAsia="en-GB"/>
        </w:rPr>
        <w:drawing>
          <wp:inline distT="0" distB="0" distL="0" distR="0" wp14:anchorId="1123504D" wp14:editId="12CC64FB">
            <wp:extent cx="5400040" cy="589915"/>
            <wp:effectExtent l="0" t="0" r="0"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lation Title 20.2.18 crop.jpg"/>
                    <pic:cNvPicPr/>
                  </pic:nvPicPr>
                  <pic:blipFill>
                    <a:blip r:embed="rId221">
                      <a:extLst>
                        <a:ext uri="{28A0092B-C50C-407E-A947-70E740481C1C}">
                          <a14:useLocalDpi xmlns:a14="http://schemas.microsoft.com/office/drawing/2010/main" val="0"/>
                        </a:ext>
                      </a:extLst>
                    </a:blip>
                    <a:stretch>
                      <a:fillRect/>
                    </a:stretch>
                  </pic:blipFill>
                  <pic:spPr>
                    <a:xfrm>
                      <a:off x="0" y="0"/>
                      <a:ext cx="5400040" cy="589915"/>
                    </a:xfrm>
                    <a:prstGeom prst="rect">
                      <a:avLst/>
                    </a:prstGeom>
                  </pic:spPr>
                </pic:pic>
              </a:graphicData>
            </a:graphic>
          </wp:inline>
        </w:drawing>
      </w:r>
    </w:p>
    <w:p w:rsidR="006A2E06" w:rsidRPr="00F76C72" w:rsidRDefault="006A2E06" w:rsidP="006A2E06">
      <w:pPr>
        <w:spacing w:after="120" w:line="360" w:lineRule="auto"/>
        <w:ind w:right="74"/>
        <w:jc w:val="both"/>
        <w:rPr>
          <w:b/>
          <w:i/>
        </w:rPr>
      </w:pPr>
      <w:r w:rsidRPr="00F76C72">
        <w:rPr>
          <w:b/>
          <w:i/>
        </w:rPr>
        <w:t>Introduction</w:t>
      </w:r>
      <w:r>
        <w:rPr>
          <w:b/>
          <w:i/>
        </w:rPr>
        <w:t>:</w:t>
      </w:r>
      <w:r>
        <w:rPr>
          <w:rStyle w:val="EndnoteReference"/>
        </w:rPr>
        <w:endnoteReference w:id="3359"/>
      </w:r>
      <w:r>
        <w:rPr>
          <w:b/>
          <w:i/>
        </w:rPr>
        <w:t xml:space="preserve"> Key Points</w:t>
      </w:r>
    </w:p>
    <w:p w:rsidR="006A2E06" w:rsidRDefault="006A2E06" w:rsidP="006A2E06">
      <w:pPr>
        <w:spacing w:after="120" w:line="240" w:lineRule="auto"/>
        <w:ind w:firstLine="567"/>
        <w:jc w:val="both"/>
      </w:pPr>
      <w:r>
        <w:t>Author: the Apostle John; date: 96 A.D.</w:t>
      </w:r>
    </w:p>
    <w:p w:rsidR="006A2E06" w:rsidRDefault="006A2E06" w:rsidP="006A2E06">
      <w:pPr>
        <w:spacing w:after="120" w:line="240" w:lineRule="auto"/>
        <w:ind w:left="567"/>
        <w:jc w:val="both"/>
      </w:pPr>
      <w:r>
        <w:t>Theme:</w:t>
      </w:r>
      <w:r w:rsidRPr="005D00B9">
        <w:t xml:space="preserve"> Jesus Christ, </w:t>
      </w:r>
      <w:r>
        <w:t>as the one who was and is and is to come,</w:t>
      </w:r>
      <w:r>
        <w:rPr>
          <w:rStyle w:val="EndnoteReference"/>
        </w:rPr>
        <w:endnoteReference w:id="3360"/>
      </w:r>
      <w:r>
        <w:t xml:space="preserve"> in relationship to the churches,</w:t>
      </w:r>
      <w:r>
        <w:rPr>
          <w:rStyle w:val="EndnoteReference"/>
        </w:rPr>
        <w:endnoteReference w:id="3361"/>
      </w:r>
      <w:r>
        <w:t xml:space="preserve"> the trib</w:t>
      </w:r>
      <w:r w:rsidRPr="005D00B9">
        <w:t>u</w:t>
      </w:r>
      <w:r>
        <w:t>lation</w:t>
      </w:r>
      <w:r>
        <w:rPr>
          <w:rStyle w:val="EndnoteReference"/>
        </w:rPr>
        <w:endnoteReference w:id="3362"/>
      </w:r>
      <w:r>
        <w:t xml:space="preserve"> and the kingdom,</w:t>
      </w:r>
      <w:r>
        <w:rPr>
          <w:rStyle w:val="EndnoteReference"/>
        </w:rPr>
        <w:endnoteReference w:id="3363"/>
      </w:r>
      <w:r>
        <w:t xml:space="preserve"> and in His offices as High Priest,</w:t>
      </w:r>
      <w:r>
        <w:rPr>
          <w:rStyle w:val="EndnoteReference"/>
        </w:rPr>
        <w:endnoteReference w:id="3364"/>
      </w:r>
      <w:r>
        <w:t xml:space="preserve"> Bridegroom</w:t>
      </w:r>
      <w:r>
        <w:rPr>
          <w:rStyle w:val="EndnoteReference"/>
        </w:rPr>
        <w:endnoteReference w:id="3365"/>
      </w:r>
      <w:r>
        <w:t xml:space="preserve"> and King-Judge.</w:t>
      </w:r>
      <w:r>
        <w:rPr>
          <w:rStyle w:val="EndnoteReference"/>
        </w:rPr>
        <w:endnoteReference w:id="3366"/>
      </w:r>
      <w:r>
        <w:t xml:space="preserve"> </w:t>
      </w:r>
      <w:r w:rsidRPr="005D00B9">
        <w:t xml:space="preserve"> </w:t>
      </w:r>
      <w:r>
        <w:t xml:space="preserve">However, </w:t>
      </w:r>
      <w:r w:rsidRPr="005D00B9">
        <w:t>‘</w:t>
      </w:r>
      <w:r>
        <w:t>a</w:t>
      </w:r>
      <w:r w:rsidRPr="005D00B9">
        <w:t xml:space="preserve">ll events move to one consummation – the bringing in of the covenanted kingdom’.  </w:t>
      </w:r>
    </w:p>
    <w:p w:rsidR="006A2E06" w:rsidRDefault="006A2E06" w:rsidP="006A2E06">
      <w:pPr>
        <w:spacing w:after="120" w:line="240" w:lineRule="auto"/>
        <w:ind w:left="567"/>
        <w:jc w:val="both"/>
      </w:pPr>
      <w:r>
        <w:t>Assertion</w:t>
      </w:r>
      <w:r w:rsidRPr="005D00B9">
        <w:t xml:space="preserve"> that </w:t>
      </w:r>
      <w:r>
        <w:t>Revelation is ‘a prophecy’;</w:t>
      </w:r>
      <w:r>
        <w:rPr>
          <w:rStyle w:val="EndnoteReference"/>
        </w:rPr>
        <w:endnoteReference w:id="3367"/>
      </w:r>
      <w:r>
        <w:t xml:space="preserve"> </w:t>
      </w:r>
      <w:r w:rsidRPr="005D00B9">
        <w:t xml:space="preserve">‘the key phrase is the prophetic declaration </w:t>
      </w:r>
      <w:r>
        <w:t>of the “great voices in heaven”,</w:t>
      </w:r>
      <w:r>
        <w:rPr>
          <w:rStyle w:val="EndnoteReference"/>
        </w:rPr>
        <w:endnoteReference w:id="3368"/>
      </w:r>
      <w:r>
        <w:t xml:space="preserve"> </w:t>
      </w:r>
      <w:r w:rsidRPr="005D00B9">
        <w:t>lit. “The world kingdom of our Lord and of his Christ has come”’.</w:t>
      </w:r>
      <w:r>
        <w:rPr>
          <w:rStyle w:val="EndnoteReference"/>
        </w:rPr>
        <w:endnoteReference w:id="3369"/>
      </w:r>
      <w:r>
        <w:t xml:space="preserve"> </w:t>
      </w:r>
    </w:p>
    <w:p w:rsidR="006A2E06" w:rsidRDefault="006A2E06" w:rsidP="006A2E06">
      <w:pPr>
        <w:spacing w:after="120" w:line="240" w:lineRule="auto"/>
        <w:ind w:left="1418"/>
        <w:jc w:val="both"/>
      </w:pPr>
      <w:r w:rsidRPr="007B4FC4">
        <w:rPr>
          <w:b/>
          <w:i/>
        </w:rPr>
        <w:t>Comment</w:t>
      </w:r>
      <w:r>
        <w:t xml:space="preserve">: </w:t>
      </w:r>
      <w:r w:rsidRPr="00637BB2">
        <w:rPr>
          <w:spacing w:val="6"/>
        </w:rPr>
        <w:t xml:space="preserve">This unusual translation supports Scofield’s own interpretation of the kingdom.  The Greek of Rev. 11:15 </w:t>
      </w:r>
      <w:r w:rsidRPr="00E30026">
        <w:t>reads,</w:t>
      </w:r>
      <w:r w:rsidRPr="00E30026">
        <w:rPr>
          <w:sz w:val="28"/>
          <w:szCs w:val="24"/>
        </w:rPr>
        <w:t xml:space="preserve"> </w:t>
      </w:r>
      <w:r w:rsidRPr="00E30026">
        <w:rPr>
          <w:szCs w:val="24"/>
        </w:rPr>
        <w:t>‘</w:t>
      </w:r>
      <w:r w:rsidRPr="00B96495">
        <w:rPr>
          <w:rFonts w:ascii="Bwgrkl" w:hAnsi="Bwgrkl" w:cs="Bwgrkl"/>
          <w:szCs w:val="24"/>
          <w:lang w:bidi="he-IL"/>
        </w:rPr>
        <w:t xml:space="preserve">evge,neto h` basilei,a tou/ ko,smou tou/ kuri,ou h`mw/n kai. tou/ cristou/ </w:t>
      </w:r>
      <w:r w:rsidRPr="00B96495">
        <w:rPr>
          <w:rFonts w:ascii="Bwgrkl" w:hAnsi="Bwgrkl"/>
          <w:szCs w:val="24"/>
          <w:lang w:bidi="he-IL"/>
        </w:rPr>
        <w:t>auvtou/</w:t>
      </w:r>
      <w:r w:rsidRPr="00E30026">
        <w:t>’</w:t>
      </w:r>
      <w:r w:rsidRPr="00E30026">
        <w:rPr>
          <w:sz w:val="24"/>
        </w:rPr>
        <w:t>.</w:t>
      </w:r>
      <w:r w:rsidRPr="00E30026">
        <w:t xml:space="preserve">  Most English translations make a contrast between the ‘kingdom of the world’ and that of ‘our Lord and his Christ’ by including a second use of the word, ‘kingdom’ (in italics in </w:t>
      </w:r>
      <w:r w:rsidRPr="00E30026">
        <w:rPr>
          <w:i/>
        </w:rPr>
        <w:t>KJV</w:t>
      </w:r>
      <w:r w:rsidRPr="00E30026">
        <w:t>),</w:t>
      </w:r>
      <w:r w:rsidRPr="00E30026">
        <w:rPr>
          <w:rStyle w:val="EndnoteReference"/>
        </w:rPr>
        <w:endnoteReference w:id="3370"/>
      </w:r>
      <w:r w:rsidRPr="00E30026">
        <w:t xml:space="preserve"> which is not in the Greek, where </w:t>
      </w:r>
      <w:r w:rsidRPr="00E30026">
        <w:rPr>
          <w:sz w:val="28"/>
          <w:szCs w:val="24"/>
        </w:rPr>
        <w:lastRenderedPageBreak/>
        <w:t>‘</w:t>
      </w:r>
      <w:r w:rsidRPr="00B96495">
        <w:rPr>
          <w:rFonts w:ascii="Bwgrkl" w:hAnsi="Bwgrkl" w:cs="Bwgrkl"/>
          <w:szCs w:val="24"/>
          <w:lang w:bidi="he-IL"/>
        </w:rPr>
        <w:t>h` basilei,a</w:t>
      </w:r>
      <w:r w:rsidRPr="00B942AB">
        <w:rPr>
          <w:szCs w:val="24"/>
        </w:rPr>
        <w:t>’</w:t>
      </w:r>
      <w:r w:rsidRPr="005E4080">
        <w:rPr>
          <w:sz w:val="24"/>
          <w:szCs w:val="24"/>
        </w:rPr>
        <w:t xml:space="preserve"> </w:t>
      </w:r>
      <w:r w:rsidRPr="00E30026">
        <w:t xml:space="preserve">occurs only once.  The </w:t>
      </w:r>
      <w:r w:rsidRPr="00B96495">
        <w:rPr>
          <w:i/>
        </w:rPr>
        <w:t>Geneva Bible</w:t>
      </w:r>
      <w:r w:rsidRPr="00E30026">
        <w:t xml:space="preserve"> has a different interpretation: ‘</w:t>
      </w:r>
      <w:r w:rsidRPr="00E30026">
        <w:rPr>
          <w:lang w:bidi="he-IL"/>
        </w:rPr>
        <w:t>The kingdomes of this worlde are our Lordes, and his Christes</w:t>
      </w:r>
      <w:r w:rsidRPr="00E30026">
        <w:t>’.  It is possible that Scofield has derived his translation from that of Darby, which reads, ‘</w:t>
      </w:r>
      <w:r w:rsidRPr="00E30026">
        <w:rPr>
          <w:lang w:bidi="he-IL"/>
        </w:rPr>
        <w:t>The kingdom of the world of our Lord and of his Christ is come</w:t>
      </w:r>
      <w:r w:rsidRPr="00E30026">
        <w:t xml:space="preserve">’.  </w:t>
      </w:r>
    </w:p>
    <w:p w:rsidR="006A2E06" w:rsidRDefault="006A2E06" w:rsidP="006A2E06">
      <w:pPr>
        <w:spacing w:after="120" w:line="240" w:lineRule="auto"/>
        <w:ind w:left="567"/>
        <w:jc w:val="both"/>
      </w:pPr>
      <w:r w:rsidRPr="005D00B9">
        <w:t>John is commanded to write of things past,</w:t>
      </w:r>
      <w:r>
        <w:rPr>
          <w:rStyle w:val="EndnoteReference"/>
        </w:rPr>
        <w:endnoteReference w:id="3371"/>
      </w:r>
      <w:r>
        <w:t xml:space="preserve"> </w:t>
      </w:r>
      <w:r w:rsidRPr="005D00B9">
        <w:t>present</w:t>
      </w:r>
      <w:r>
        <w:rPr>
          <w:rStyle w:val="EndnoteReference"/>
        </w:rPr>
        <w:endnoteReference w:id="3372"/>
      </w:r>
      <w:r>
        <w:t xml:space="preserve"> </w:t>
      </w:r>
      <w:r w:rsidRPr="005D00B9">
        <w:t xml:space="preserve"> and future.</w:t>
      </w:r>
      <w:r>
        <w:rPr>
          <w:rStyle w:val="EndnoteReference"/>
        </w:rPr>
        <w:endnoteReference w:id="3373"/>
      </w:r>
      <w:r w:rsidRPr="005D00B9">
        <w:t xml:space="preserve">  </w:t>
      </w:r>
    </w:p>
    <w:p w:rsidR="006A2E06" w:rsidRDefault="006A2E06" w:rsidP="006A2E06">
      <w:pPr>
        <w:spacing w:after="120" w:line="240" w:lineRule="auto"/>
        <w:ind w:left="567"/>
        <w:jc w:val="both"/>
      </w:pPr>
      <w:r>
        <w:t>Assertion</w:t>
      </w:r>
      <w:r w:rsidRPr="005D00B9">
        <w:t xml:space="preserve"> that the phrase ‘</w:t>
      </w:r>
      <w:r w:rsidRPr="00B96495">
        <w:rPr>
          <w:rFonts w:ascii="Bwgrkl" w:hAnsi="Bwgrkl" w:cs="Bwgrkl"/>
          <w:szCs w:val="24"/>
          <w:lang w:bidi="he-IL"/>
        </w:rPr>
        <w:t>meta. tau/ta</w:t>
      </w:r>
      <w:r w:rsidRPr="005D00B9">
        <w:t xml:space="preserve">’ in Rev. 4:1 means ‘after the church period ends’. </w:t>
      </w:r>
    </w:p>
    <w:p w:rsidR="006A2E06" w:rsidRDefault="006A2E06" w:rsidP="006A2E06">
      <w:pPr>
        <w:spacing w:after="120" w:line="240" w:lineRule="auto"/>
        <w:ind w:left="1418"/>
        <w:jc w:val="both"/>
      </w:pPr>
      <w:r w:rsidRPr="007B4FC4">
        <w:rPr>
          <w:b/>
          <w:i/>
        </w:rPr>
        <w:t>Comment</w:t>
      </w:r>
      <w:r>
        <w:t xml:space="preserve">: </w:t>
      </w:r>
      <w:r w:rsidRPr="005D00B9">
        <w:t>This is not justified since no church period is mentioned in the text and, in any case, the phrase is in the plural and would be better translated ‘after these things’, as indeed Darby translates it.</w:t>
      </w:r>
    </w:p>
    <w:p w:rsidR="006A2E06" w:rsidRDefault="006A2E06" w:rsidP="006A2E06">
      <w:pPr>
        <w:spacing w:after="120" w:line="240" w:lineRule="auto"/>
        <w:ind w:left="567"/>
        <w:jc w:val="both"/>
      </w:pPr>
      <w:r>
        <w:t>Assertion t</w:t>
      </w:r>
      <w:r w:rsidRPr="005D00B9">
        <w:t>hat this future period falls into ‘six sevens’,</w:t>
      </w:r>
      <w:r>
        <w:rPr>
          <w:rStyle w:val="EndnoteReference"/>
        </w:rPr>
        <w:endnoteReference w:id="3374"/>
      </w:r>
      <w:r>
        <w:t xml:space="preserve"> </w:t>
      </w:r>
      <w:r w:rsidRPr="005D00B9">
        <w:t xml:space="preserve">making seven sevens if the ‘church division’ is included.  </w:t>
      </w:r>
    </w:p>
    <w:p w:rsidR="006A2E06" w:rsidRPr="005D00B9" w:rsidRDefault="006A2E06" w:rsidP="006A2E06">
      <w:pPr>
        <w:spacing w:after="120" w:line="240" w:lineRule="auto"/>
        <w:ind w:left="567"/>
        <w:jc w:val="both"/>
      </w:pPr>
      <w:r>
        <w:t>Assertion of</w:t>
      </w:r>
      <w:r w:rsidRPr="005D00B9">
        <w:t xml:space="preserve"> five ‘parenthetical’ passages,</w:t>
      </w:r>
      <w:r>
        <w:rPr>
          <w:rStyle w:val="EndnoteReference"/>
        </w:rPr>
        <w:endnoteReference w:id="3375"/>
      </w:r>
      <w:r>
        <w:t xml:space="preserve"> </w:t>
      </w:r>
      <w:r w:rsidRPr="005D00B9">
        <w:t>which ‘do not advance the prophetic narrative’.  They look backward and forward to ‘sum up results accomplished and speak of results yet to come as if they had already come’.  The indeterminate end of the church period will come at the fulfilment of 1 Thess. 4:14-17.</w:t>
      </w:r>
    </w:p>
    <w:p w:rsidR="006A2E06" w:rsidRDefault="006A2E06" w:rsidP="006A2E06">
      <w:pPr>
        <w:spacing w:after="120" w:line="240" w:lineRule="auto"/>
        <w:ind w:left="567"/>
        <w:jc w:val="both"/>
      </w:pPr>
      <w:r>
        <w:t xml:space="preserve">Assertion </w:t>
      </w:r>
      <w:r w:rsidRPr="005D00B9">
        <w:t>that ‘[Revelation] chapters 4</w:t>
      </w:r>
      <w:r>
        <w:t xml:space="preserve"> </w:t>
      </w:r>
      <w:r w:rsidRPr="00012B96">
        <w:rPr>
          <w:sz w:val="16"/>
          <w:szCs w:val="24"/>
        </w:rPr>
        <w:t>—</w:t>
      </w:r>
      <w:r>
        <w:t xml:space="preserve"> </w:t>
      </w:r>
      <w:r w:rsidRPr="005D00B9">
        <w:t>19 are believed to synchronize with Daniel’s seventieth week’.</w:t>
      </w:r>
      <w:r>
        <w:rPr>
          <w:rStyle w:val="EndnoteReference"/>
        </w:rPr>
        <w:endnoteReference w:id="3376"/>
      </w:r>
      <w:r w:rsidRPr="005D00B9">
        <w:t xml:space="preserve"> </w:t>
      </w:r>
    </w:p>
    <w:p w:rsidR="006A2E06" w:rsidRDefault="006A2E06" w:rsidP="006A2E06">
      <w:pPr>
        <w:spacing w:after="120" w:line="240" w:lineRule="auto"/>
        <w:ind w:left="1418"/>
        <w:jc w:val="both"/>
      </w:pPr>
      <w:r w:rsidRPr="007B4FC4">
        <w:rPr>
          <w:b/>
          <w:i/>
        </w:rPr>
        <w:t>Comment</w:t>
      </w:r>
      <w:r>
        <w:t>: Scofield</w:t>
      </w:r>
      <w:r w:rsidRPr="005D00B9">
        <w:t xml:space="preserve"> does not state by whom this is believed.  </w:t>
      </w:r>
    </w:p>
    <w:p w:rsidR="006A2E06" w:rsidRDefault="006A2E06" w:rsidP="006A2E06">
      <w:pPr>
        <w:spacing w:after="120" w:line="240" w:lineRule="auto"/>
        <w:ind w:left="567"/>
        <w:jc w:val="both"/>
      </w:pPr>
      <w:r>
        <w:t>Assertion</w:t>
      </w:r>
      <w:r w:rsidRPr="005D00B9">
        <w:t xml:space="preserve"> that the great tribulation begins in the middle of the </w:t>
      </w:r>
      <w:r>
        <w:t>‘</w:t>
      </w:r>
      <w:r w:rsidRPr="005D00B9">
        <w:t>week</w:t>
      </w:r>
      <w:r>
        <w:t>’</w:t>
      </w:r>
      <w:r w:rsidRPr="005D00B9">
        <w:t xml:space="preserve"> and lasts three and a half years.</w:t>
      </w:r>
      <w:r>
        <w:rPr>
          <w:rStyle w:val="EndnoteReference"/>
        </w:rPr>
        <w:endnoteReference w:id="3377"/>
      </w:r>
      <w:r w:rsidRPr="005D00B9">
        <w:t xml:space="preserve">  It ends at the appearance of the Lord and the battle of Armageddon.</w:t>
      </w:r>
      <w:r>
        <w:rPr>
          <w:rStyle w:val="EndnoteReference"/>
        </w:rPr>
        <w:endnoteReference w:id="3378"/>
      </w:r>
      <w:r w:rsidRPr="005D00B9">
        <w:t xml:space="preserve">  The kingdom follows, succeeded by </w:t>
      </w:r>
      <w:r>
        <w:t>‘</w:t>
      </w:r>
      <w:r w:rsidRPr="005D00B9">
        <w:t xml:space="preserve">the “little season” and </w:t>
      </w:r>
      <w:r>
        <w:t xml:space="preserve">then </w:t>
      </w:r>
      <w:r w:rsidRPr="005D00B9">
        <w:t>eternity</w:t>
      </w:r>
      <w:r>
        <w:t>’</w:t>
      </w:r>
      <w:r w:rsidRPr="005D00B9">
        <w:t>.</w:t>
      </w:r>
      <w:r>
        <w:rPr>
          <w:rStyle w:val="EndnoteReference"/>
        </w:rPr>
        <w:endnoteReference w:id="3379"/>
      </w:r>
      <w:r w:rsidRPr="005D00B9">
        <w:t xml:space="preserve">  </w:t>
      </w:r>
    </w:p>
    <w:p w:rsidR="006A2E06" w:rsidRDefault="006A2E06" w:rsidP="006A2E06">
      <w:pPr>
        <w:spacing w:after="120" w:line="240" w:lineRule="auto"/>
        <w:ind w:left="567"/>
        <w:jc w:val="both"/>
      </w:pPr>
      <w:r>
        <w:t xml:space="preserve">Assertion that </w:t>
      </w:r>
      <w:r w:rsidRPr="005D00B9">
        <w:t>‘doubtless much which is designedly obscure to us will be clear to those for whom it was written as the time approaches’.</w:t>
      </w:r>
      <w:r>
        <w:t xml:space="preserve"> </w:t>
      </w:r>
      <w:r>
        <w:rPr>
          <w:rStyle w:val="EndnoteReference"/>
        </w:rPr>
        <w:endnoteReference w:id="3380"/>
      </w:r>
      <w:r>
        <w:t xml:space="preserve"> </w:t>
      </w:r>
    </w:p>
    <w:p w:rsidR="006A2E06" w:rsidRDefault="006A2E06" w:rsidP="006A2E06">
      <w:pPr>
        <w:spacing w:after="120" w:line="240" w:lineRule="auto"/>
        <w:ind w:left="1418"/>
        <w:jc w:val="both"/>
      </w:pPr>
      <w:r w:rsidRPr="007B4FC4">
        <w:rPr>
          <w:b/>
          <w:i/>
        </w:rPr>
        <w:t>Comment</w:t>
      </w:r>
      <w:r>
        <w:t>: The implication is that Revelation was written only for the future and has no bearing on events contemporary with its writing.</w:t>
      </w:r>
    </w:p>
    <w:p w:rsidR="00455E1F" w:rsidRDefault="006919A7" w:rsidP="006919A7">
      <w:pPr>
        <w:spacing w:after="120" w:line="240" w:lineRule="auto"/>
        <w:ind w:left="1418"/>
        <w:jc w:val="center"/>
      </w:pPr>
      <w:r>
        <w:rPr>
          <w:noProof/>
          <w:lang w:eastAsia="en-GB"/>
        </w:rPr>
        <w:drawing>
          <wp:inline distT="0" distB="0" distL="0" distR="0">
            <wp:extent cx="5400040" cy="3425190"/>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lation themes as table SPLIT  26.6.18_Page_1 crop.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00040" cy="3425190"/>
                    </a:xfrm>
                    <a:prstGeom prst="rect">
                      <a:avLst/>
                    </a:prstGeom>
                  </pic:spPr>
                </pic:pic>
              </a:graphicData>
            </a:graphic>
          </wp:inline>
        </w:drawing>
      </w:r>
    </w:p>
    <w:p w:rsidR="006919A7" w:rsidRPr="006919A7" w:rsidRDefault="006919A7" w:rsidP="006A2E06">
      <w:pPr>
        <w:spacing w:after="120" w:line="240" w:lineRule="auto"/>
        <w:ind w:left="1418"/>
        <w:jc w:val="both"/>
        <w:rPr>
          <w:b/>
          <w:i/>
        </w:rPr>
      </w:pPr>
      <w:r w:rsidRPr="006919A7">
        <w:rPr>
          <w:b/>
          <w:i/>
        </w:rPr>
        <w:t>Continued overleaf</w:t>
      </w:r>
    </w:p>
    <w:p w:rsidR="006A2E06" w:rsidRDefault="006A2E06" w:rsidP="006A2E06">
      <w:pPr>
        <w:spacing w:after="120" w:line="360" w:lineRule="auto"/>
        <w:ind w:right="74"/>
        <w:jc w:val="center"/>
      </w:pPr>
    </w:p>
    <w:p w:rsidR="006A2E06" w:rsidRDefault="006919A7" w:rsidP="006A2E06">
      <w:pPr>
        <w:spacing w:after="120" w:line="360" w:lineRule="auto"/>
        <w:ind w:right="74"/>
        <w:jc w:val="center"/>
      </w:pPr>
      <w:r>
        <w:rPr>
          <w:noProof/>
          <w:lang w:eastAsia="en-GB"/>
        </w:rPr>
        <w:lastRenderedPageBreak/>
        <w:drawing>
          <wp:inline distT="0" distB="0" distL="0" distR="0">
            <wp:extent cx="5400040" cy="60915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lation themes as table SPLIT  26.6.18_Page_2 crop.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400040" cy="6091555"/>
                    </a:xfrm>
                    <a:prstGeom prst="rect">
                      <a:avLst/>
                    </a:prstGeom>
                  </pic:spPr>
                </pic:pic>
              </a:graphicData>
            </a:graphic>
          </wp:inline>
        </w:drawing>
      </w:r>
    </w:p>
    <w:p w:rsidR="006A2E06" w:rsidRDefault="006A2E06" w:rsidP="006A2E06">
      <w:pPr>
        <w:spacing w:after="120" w:line="360" w:lineRule="auto"/>
        <w:jc w:val="both"/>
        <w:rPr>
          <w:b/>
          <w:i/>
        </w:rPr>
      </w:pPr>
      <w:r w:rsidRPr="00750531">
        <w:rPr>
          <w:b/>
          <w:i/>
        </w:rPr>
        <w:t>Annotation, Revelation</w:t>
      </w:r>
    </w:p>
    <w:p w:rsidR="006A2E06" w:rsidRDefault="006A2E06" w:rsidP="006A2E06">
      <w:pPr>
        <w:spacing w:after="120" w:line="240" w:lineRule="auto"/>
        <w:ind w:left="567" w:right="74"/>
        <w:jc w:val="both"/>
      </w:pPr>
      <w:r w:rsidRPr="00E77C5D">
        <w:t xml:space="preserve">After Zechariah 12, Revelation 20 bears the next highest </w:t>
      </w:r>
      <w:r>
        <w:t>volume</w:t>
      </w:r>
      <w:r w:rsidRPr="00E77C5D">
        <w:t xml:space="preserve"> of annotation compared with the corresponding </w:t>
      </w:r>
      <w:r w:rsidRPr="00E77C5D">
        <w:rPr>
          <w:i/>
        </w:rPr>
        <w:t>KJV</w:t>
      </w:r>
      <w:r w:rsidRPr="00E77C5D">
        <w:t xml:space="preserve"> text.</w:t>
      </w:r>
      <w:r>
        <w:rPr>
          <w:rStyle w:val="EndnoteReference"/>
        </w:rPr>
        <w:endnoteReference w:id="3381"/>
      </w:r>
      <w:r w:rsidRPr="00E77C5D">
        <w:t xml:space="preserve">  </w:t>
      </w:r>
    </w:p>
    <w:p w:rsidR="006A2E06" w:rsidRDefault="006A2E06" w:rsidP="006A2E06">
      <w:pPr>
        <w:spacing w:after="240" w:line="240" w:lineRule="auto"/>
        <w:ind w:left="567" w:right="74"/>
        <w:jc w:val="both"/>
      </w:pPr>
      <w:r w:rsidRPr="00E77C5D">
        <w:t xml:space="preserve">The large volume of notes on Revelation 20 is achieved by </w:t>
      </w:r>
      <w:r>
        <w:t>notes</w:t>
      </w:r>
      <w:r w:rsidRPr="00E77C5D">
        <w:t xml:space="preserve"> on </w:t>
      </w:r>
      <w:r>
        <w:t xml:space="preserve">six </w:t>
      </w:r>
      <w:r w:rsidRPr="00E77C5D">
        <w:t>verses</w:t>
      </w:r>
      <w:r>
        <w:t>.</w:t>
      </w:r>
      <w:r>
        <w:rPr>
          <w:rStyle w:val="EndnoteReference"/>
        </w:rPr>
        <w:endnoteReference w:id="3382"/>
      </w:r>
      <w:r w:rsidRPr="00E77C5D">
        <w:t xml:space="preserve"> </w:t>
      </w:r>
      <w:r>
        <w:t xml:space="preserve"> </w:t>
      </w:r>
    </w:p>
    <w:p w:rsidR="006A2E06" w:rsidRPr="00AE5762" w:rsidRDefault="006A2E06" w:rsidP="006A2E06">
      <w:pPr>
        <w:spacing w:after="0" w:line="240" w:lineRule="auto"/>
        <w:ind w:left="284" w:right="74"/>
        <w:jc w:val="both"/>
        <w:rPr>
          <w:i/>
        </w:rPr>
      </w:pPr>
      <w:r w:rsidRPr="005F2AD2">
        <w:rPr>
          <w:i/>
        </w:rPr>
        <w:t>Eschatology</w:t>
      </w:r>
    </w:p>
    <w:p w:rsidR="006A2E06" w:rsidRDefault="006A2E06" w:rsidP="006A2E06">
      <w:pPr>
        <w:spacing w:after="120" w:line="240" w:lineRule="auto"/>
        <w:ind w:left="851" w:right="74"/>
        <w:jc w:val="both"/>
      </w:pPr>
      <w:r w:rsidRPr="0098368D">
        <w:t>Many</w:t>
      </w:r>
      <w:r>
        <w:t xml:space="preserve"> notes on Revelation represent the summation of the eschatological ideas which have been outlined earlier and discussed in earlier chapters.</w:t>
      </w:r>
      <w:r>
        <w:rPr>
          <w:rStyle w:val="EndnoteReference"/>
        </w:rPr>
        <w:endnoteReference w:id="3383"/>
      </w:r>
      <w:r>
        <w:t xml:space="preserve">  </w:t>
      </w:r>
    </w:p>
    <w:p w:rsidR="006A2E06" w:rsidRDefault="006A2E06" w:rsidP="006A2E06">
      <w:pPr>
        <w:spacing w:after="120" w:line="240" w:lineRule="auto"/>
        <w:ind w:left="851" w:right="74"/>
        <w:jc w:val="both"/>
      </w:pPr>
      <w:r>
        <w:t>Several notes form the corollary to notes on Daniel and Zechariah.</w:t>
      </w:r>
      <w:r>
        <w:rPr>
          <w:rStyle w:val="EndnoteReference"/>
        </w:rPr>
        <w:endnoteReference w:id="3384"/>
      </w:r>
      <w:r>
        <w:t xml:space="preserve">    </w:t>
      </w:r>
    </w:p>
    <w:p w:rsidR="006A2E06" w:rsidRDefault="006A2E06" w:rsidP="006A2E06">
      <w:pPr>
        <w:spacing w:after="120" w:line="240" w:lineRule="auto"/>
        <w:ind w:left="851" w:right="74"/>
        <w:jc w:val="both"/>
      </w:pPr>
      <w:r>
        <w:t>Scofield’s futuristic interpretation of Revelation</w:t>
      </w:r>
      <w:r>
        <w:rPr>
          <w:rStyle w:val="EndnoteReference"/>
        </w:rPr>
        <w:endnoteReference w:id="3385"/>
      </w:r>
      <w:r>
        <w:t xml:space="preserve"> was discussed in </w:t>
      </w:r>
      <w:r w:rsidRPr="00234194">
        <w:t>7.1.1</w:t>
      </w:r>
      <w:r w:rsidRPr="00D21BF8">
        <w:rPr>
          <w:color w:val="FF0000"/>
        </w:rPr>
        <w:t xml:space="preserve"> </w:t>
      </w:r>
      <w:r>
        <w:t>and his notes concerning the great tribulation,</w:t>
      </w:r>
      <w:r>
        <w:rPr>
          <w:rStyle w:val="EndnoteReference"/>
        </w:rPr>
        <w:endnoteReference w:id="3386"/>
      </w:r>
      <w:r>
        <w:t xml:space="preserve"> Antichrist</w:t>
      </w:r>
      <w:r>
        <w:rPr>
          <w:rStyle w:val="EndnoteReference"/>
        </w:rPr>
        <w:endnoteReference w:id="3387"/>
      </w:r>
      <w:r>
        <w:t xml:space="preserve"> and the two Babylons</w:t>
      </w:r>
      <w:r>
        <w:rPr>
          <w:rStyle w:val="EndnoteReference"/>
        </w:rPr>
        <w:endnoteReference w:id="3388"/>
      </w:r>
      <w:r>
        <w:t xml:space="preserve"> in </w:t>
      </w:r>
      <w:r w:rsidRPr="00234194">
        <w:t>7.1.2.3</w:t>
      </w:r>
      <w:r>
        <w:t xml:space="preserve">.  </w:t>
      </w:r>
    </w:p>
    <w:p w:rsidR="006A2E06" w:rsidRDefault="006A2E06" w:rsidP="006A2E06">
      <w:pPr>
        <w:spacing w:after="120" w:line="240" w:lineRule="auto"/>
        <w:ind w:left="851" w:right="74"/>
        <w:jc w:val="both"/>
      </w:pPr>
      <w:r>
        <w:lastRenderedPageBreak/>
        <w:t>The final reference to ‘the Times of the Gentiles’ occurs in the note on Rev. 16:19, linking with several earlier references.</w:t>
      </w:r>
      <w:r>
        <w:rPr>
          <w:rStyle w:val="EndnoteReference"/>
        </w:rPr>
        <w:endnoteReference w:id="3389"/>
      </w:r>
      <w:r>
        <w:t xml:space="preserve">  </w:t>
      </w:r>
    </w:p>
    <w:p w:rsidR="006A2E06" w:rsidRDefault="006A2E06" w:rsidP="006A2E06">
      <w:pPr>
        <w:spacing w:after="120" w:line="240" w:lineRule="auto"/>
        <w:ind w:left="851" w:right="74"/>
        <w:jc w:val="both"/>
      </w:pPr>
      <w:r w:rsidRPr="00234194">
        <w:t xml:space="preserve">The </w:t>
      </w:r>
      <w:r>
        <w:rPr>
          <w:i/>
        </w:rPr>
        <w:t>e</w:t>
      </w:r>
      <w:r w:rsidRPr="00F71EA9">
        <w:rPr>
          <w:i/>
        </w:rPr>
        <w:t>xcursus</w:t>
      </w:r>
      <w:r>
        <w:t xml:space="preserve"> on Satan contains several eschatological assertions concerning the great tribulation and Christ’s return.</w:t>
      </w:r>
      <w:r>
        <w:rPr>
          <w:rStyle w:val="EndnoteReference"/>
        </w:rPr>
        <w:endnoteReference w:id="3390"/>
      </w:r>
      <w:r>
        <w:t xml:space="preserve">  </w:t>
      </w:r>
    </w:p>
    <w:p w:rsidR="006A2E06" w:rsidRDefault="006A2E06" w:rsidP="006A2E06">
      <w:pPr>
        <w:spacing w:after="120" w:line="240" w:lineRule="auto"/>
        <w:ind w:left="851" w:right="74"/>
        <w:jc w:val="both"/>
      </w:pPr>
      <w:r>
        <w:t>Biblical text amplified in a series of eschatological discourses placing strong emphasis on the thousand years mentioned in Rev. 20:2-7.</w:t>
      </w:r>
      <w:r w:rsidRPr="00994DC5">
        <w:rPr>
          <w:rStyle w:val="EndnoteReference"/>
        </w:rPr>
        <w:t xml:space="preserve"> </w:t>
      </w:r>
      <w:r w:rsidRPr="00E77C5D">
        <w:rPr>
          <w:rStyle w:val="EndnoteReference"/>
        </w:rPr>
        <w:endnoteReference w:id="3391"/>
      </w:r>
      <w:r>
        <w:t xml:space="preserve">  </w:t>
      </w:r>
    </w:p>
    <w:p w:rsidR="006A2E06" w:rsidRDefault="006A2E06" w:rsidP="006A2E06">
      <w:pPr>
        <w:spacing w:after="120" w:line="240" w:lineRule="auto"/>
        <w:ind w:left="851" w:right="74"/>
        <w:jc w:val="both"/>
      </w:pPr>
      <w:r>
        <w:t>Note on Rev. 19:17 provides the climax of many references to Armageddon.</w:t>
      </w:r>
      <w:r>
        <w:rPr>
          <w:rStyle w:val="EndnoteReference"/>
        </w:rPr>
        <w:endnoteReference w:id="3392"/>
      </w:r>
    </w:p>
    <w:p w:rsidR="006A2E06" w:rsidRDefault="006A2E06" w:rsidP="006A2E06">
      <w:pPr>
        <w:spacing w:after="120" w:line="240" w:lineRule="auto"/>
        <w:ind w:left="1418" w:right="74"/>
        <w:jc w:val="both"/>
      </w:pPr>
      <w:r w:rsidRPr="00234194">
        <w:rPr>
          <w:b/>
          <w:i/>
        </w:rPr>
        <w:t>Comment</w:t>
      </w:r>
      <w:r>
        <w:t xml:space="preserve">: The name, Armageddon appears only in Rev. 16:16. </w:t>
      </w:r>
    </w:p>
    <w:p w:rsidR="006A2E06" w:rsidRDefault="006A2E06" w:rsidP="006A2E06">
      <w:pPr>
        <w:spacing w:after="120" w:line="240" w:lineRule="auto"/>
        <w:ind w:left="851" w:right="74"/>
        <w:jc w:val="both"/>
      </w:pPr>
      <w:r>
        <w:t>Note on Rev. 19:19 is important for the exposition of Scofield’s view on ‘the Day of Jehovah’,</w:t>
      </w:r>
      <w:r>
        <w:rPr>
          <w:rStyle w:val="EndnoteReference"/>
        </w:rPr>
        <w:endnoteReference w:id="3393"/>
      </w:r>
      <w:r>
        <w:t xml:space="preserve"> </w:t>
      </w:r>
    </w:p>
    <w:p w:rsidR="006A2E06" w:rsidRDefault="006A2E06" w:rsidP="006A2E06">
      <w:pPr>
        <w:spacing w:after="120" w:line="240" w:lineRule="auto"/>
        <w:ind w:left="851" w:right="74"/>
        <w:jc w:val="both"/>
      </w:pPr>
      <w:r>
        <w:t>Note on Rev. 19:20 gives a summary concerning the beast, which it links with Dan. 7:24-6.</w:t>
      </w:r>
      <w:r>
        <w:rPr>
          <w:rStyle w:val="EndnoteReference"/>
        </w:rPr>
        <w:endnoteReference w:id="3394"/>
      </w:r>
      <w:r>
        <w:t xml:space="preserve">  </w:t>
      </w:r>
    </w:p>
    <w:p w:rsidR="006A2E06" w:rsidRPr="00944079" w:rsidRDefault="006A2E06" w:rsidP="006A2E06">
      <w:pPr>
        <w:spacing w:after="0" w:line="240" w:lineRule="auto"/>
        <w:ind w:right="74" w:firstLine="567"/>
        <w:jc w:val="both"/>
        <w:rPr>
          <w:i/>
        </w:rPr>
      </w:pPr>
      <w:r w:rsidRPr="00944079">
        <w:rPr>
          <w:i/>
        </w:rPr>
        <w:t>Dualism</w:t>
      </w:r>
    </w:p>
    <w:p w:rsidR="006A2E06" w:rsidRDefault="006A2E06" w:rsidP="006A2E06">
      <w:pPr>
        <w:spacing w:after="120" w:line="240" w:lineRule="auto"/>
        <w:ind w:left="851" w:right="74"/>
        <w:jc w:val="both"/>
      </w:pPr>
      <w:r>
        <w:t>The first section of the discourse on the four forms of Gospel in the note on Rev. 14:6 reflects Scofield’s dualistic concept; the first Gospel mentioned is that of ‘the kingdom’, which is ‘Israelitish’ and terrestrial, the fulfilment of the Davidic Covenant.</w:t>
      </w:r>
      <w:r>
        <w:rPr>
          <w:rStyle w:val="EndnoteReference"/>
        </w:rPr>
        <w:endnoteReference w:id="3395"/>
      </w:r>
      <w:r>
        <w:t xml:space="preserve">  </w:t>
      </w:r>
    </w:p>
    <w:p w:rsidR="006A2E06" w:rsidRDefault="006A2E06" w:rsidP="006A2E06">
      <w:pPr>
        <w:spacing w:after="120" w:line="240" w:lineRule="auto"/>
        <w:ind w:left="851" w:right="74"/>
        <w:jc w:val="both"/>
      </w:pPr>
      <w:r>
        <w:t xml:space="preserve">In the note on Rev. 19:7, Scofield contrasts </w:t>
      </w:r>
      <w:r w:rsidRPr="00E77C5D">
        <w:t xml:space="preserve">the Church, bride of the Lamb, with Israel, Jehovah’s ‘adulterous and repudiated wife’, yet to be restored.  </w:t>
      </w:r>
      <w:r>
        <w:t>He a</w:t>
      </w:r>
      <w:r w:rsidRPr="00F71EA9">
        <w:t>lso asserts that ‘a forgiven and restored wife could not b</w:t>
      </w:r>
      <w:r>
        <w:t>e called a virgin … or a bride’.</w:t>
      </w:r>
      <w:r>
        <w:rPr>
          <w:rStyle w:val="EndnoteReference"/>
        </w:rPr>
        <w:endnoteReference w:id="3396"/>
      </w:r>
    </w:p>
    <w:p w:rsidR="006A2E06" w:rsidRDefault="006A2E06" w:rsidP="006A2E06">
      <w:pPr>
        <w:spacing w:after="120" w:line="240" w:lineRule="auto"/>
        <w:ind w:left="1418" w:right="74"/>
        <w:jc w:val="both"/>
      </w:pPr>
      <w:r w:rsidRPr="00234194">
        <w:rPr>
          <w:b/>
          <w:i/>
        </w:rPr>
        <w:t>Comment</w:t>
      </w:r>
      <w:r>
        <w:t>: I</w:t>
      </w:r>
      <w:r w:rsidRPr="00F71EA9">
        <w:t>t is the ‘wife’</w:t>
      </w:r>
      <w:r w:rsidRPr="006329CD">
        <w:t xml:space="preserve"> (</w:t>
      </w:r>
      <w:r w:rsidRPr="006329CD">
        <w:rPr>
          <w:rFonts w:ascii="Bwgrkl" w:hAnsi="Bwgrkl"/>
          <w:bCs/>
          <w:lang w:bidi="he-IL"/>
        </w:rPr>
        <w:t>gunh</w:t>
      </w:r>
      <w:r w:rsidRPr="006329CD">
        <w:t xml:space="preserve">) </w:t>
      </w:r>
      <w:r w:rsidRPr="00F71EA9">
        <w:t xml:space="preserve">of the Lamb, not the ‘bride’ </w:t>
      </w:r>
      <w:r w:rsidRPr="006329CD">
        <w:t>(</w:t>
      </w:r>
      <w:r w:rsidRPr="006329CD">
        <w:rPr>
          <w:rFonts w:ascii="Bwgrkl" w:hAnsi="Bwgrkl"/>
          <w:bCs/>
          <w:lang w:bidi="he-IL"/>
        </w:rPr>
        <w:t>nu,mfh</w:t>
      </w:r>
      <w:r w:rsidRPr="006329CD">
        <w:t xml:space="preserve">) </w:t>
      </w:r>
      <w:r w:rsidRPr="00F71EA9">
        <w:t xml:space="preserve">who has prepared herself in the verse on which he is commenting, and ‘wife’ </w:t>
      </w:r>
      <w:r w:rsidRPr="006329CD">
        <w:t>(</w:t>
      </w:r>
      <w:r w:rsidRPr="006329CD">
        <w:rPr>
          <w:rFonts w:ascii="Bwgrkl" w:hAnsi="Bwgrkl"/>
          <w:bCs/>
          <w:lang w:bidi="he-IL"/>
        </w:rPr>
        <w:t>gunh</w:t>
      </w:r>
      <w:r w:rsidRPr="006329CD">
        <w:t xml:space="preserve">) </w:t>
      </w:r>
      <w:r w:rsidRPr="00F71EA9">
        <w:t xml:space="preserve">occurs as a synonym for ‘bride’ </w:t>
      </w:r>
      <w:r w:rsidRPr="006329CD">
        <w:t>(</w:t>
      </w:r>
      <w:r w:rsidRPr="006329CD">
        <w:rPr>
          <w:rFonts w:ascii="Bwgrkl" w:hAnsi="Bwgrkl"/>
          <w:bCs/>
          <w:lang w:bidi="he-IL"/>
        </w:rPr>
        <w:t>nu,mfh</w:t>
      </w:r>
      <w:r w:rsidRPr="006329CD">
        <w:t xml:space="preserve">) </w:t>
      </w:r>
      <w:r w:rsidRPr="00F71EA9">
        <w:t>in Rev. 21:9, Revelation 21 being one of the chapters upon which Scofield does not comment.</w:t>
      </w:r>
    </w:p>
    <w:p w:rsidR="006A2E06" w:rsidRPr="00CD6B77" w:rsidRDefault="006A2E06" w:rsidP="006A2E06">
      <w:pPr>
        <w:spacing w:after="0" w:line="240" w:lineRule="auto"/>
        <w:ind w:right="74" w:firstLine="567"/>
        <w:jc w:val="both"/>
        <w:rPr>
          <w:i/>
        </w:rPr>
      </w:pPr>
      <w:r w:rsidRPr="00CD6B77">
        <w:rPr>
          <w:i/>
        </w:rPr>
        <w:t>Biblical Inspiration</w:t>
      </w:r>
    </w:p>
    <w:p w:rsidR="006A2E06" w:rsidRDefault="006A2E06" w:rsidP="006A2E06">
      <w:pPr>
        <w:spacing w:after="120" w:line="240" w:lineRule="auto"/>
        <w:ind w:left="851" w:right="74"/>
        <w:jc w:val="both"/>
      </w:pPr>
      <w:r>
        <w:t>The note on Rev. 22:19</w:t>
      </w:r>
      <w:r>
        <w:rPr>
          <w:rStyle w:val="EndnoteReference"/>
        </w:rPr>
        <w:endnoteReference w:id="3397"/>
      </w:r>
      <w:r>
        <w:t xml:space="preserve"> contains a very important statement about biblical inspiration.</w:t>
      </w:r>
      <w:r>
        <w:rPr>
          <w:rStyle w:val="EndnoteReference"/>
        </w:rPr>
        <w:endnoteReference w:id="3398"/>
      </w:r>
      <w:r>
        <w:t xml:space="preserve">  </w:t>
      </w:r>
    </w:p>
    <w:p w:rsidR="006A2E06" w:rsidRPr="00662384" w:rsidRDefault="006A2E06" w:rsidP="006A2E06">
      <w:pPr>
        <w:spacing w:after="0" w:line="240" w:lineRule="auto"/>
        <w:ind w:left="567" w:right="74"/>
        <w:jc w:val="both"/>
        <w:rPr>
          <w:i/>
        </w:rPr>
      </w:pPr>
      <w:r w:rsidRPr="00662384">
        <w:rPr>
          <w:i/>
        </w:rPr>
        <w:t>Ecclesiology</w:t>
      </w:r>
    </w:p>
    <w:p w:rsidR="006A2E06" w:rsidRDefault="006A2E06" w:rsidP="006A2E06">
      <w:pPr>
        <w:spacing w:after="120" w:line="240" w:lineRule="auto"/>
        <w:ind w:left="851" w:right="74"/>
        <w:jc w:val="both"/>
      </w:pPr>
      <w:r w:rsidRPr="00234194">
        <w:t xml:space="preserve">The </w:t>
      </w:r>
      <w:r>
        <w:rPr>
          <w:i/>
        </w:rPr>
        <w:t>e</w:t>
      </w:r>
      <w:r w:rsidRPr="00CE4EDD">
        <w:rPr>
          <w:i/>
        </w:rPr>
        <w:t>xcursus</w:t>
      </w:r>
      <w:r>
        <w:t xml:space="preserve"> on the Nicolaitanes reveals Scofield’s </w:t>
      </w:r>
      <w:r w:rsidRPr="00E77C5D">
        <w:t>disagreement with the establishment of a priestly ord</w:t>
      </w:r>
      <w:r>
        <w:t>er.</w:t>
      </w:r>
      <w:r>
        <w:rPr>
          <w:rStyle w:val="EndnoteReference"/>
        </w:rPr>
        <w:endnoteReference w:id="3399"/>
      </w:r>
      <w:r>
        <w:t xml:space="preserve"> </w:t>
      </w:r>
    </w:p>
    <w:p w:rsidR="006A2E06" w:rsidRDefault="006A2E06" w:rsidP="006A2E06">
      <w:pPr>
        <w:spacing w:after="120" w:line="240" w:lineRule="auto"/>
        <w:ind w:left="851" w:right="74"/>
        <w:jc w:val="both"/>
      </w:pPr>
      <w:r>
        <w:t>The note on Rev. 2:14 indicates his view of an apostate church which has become united with the world.</w:t>
      </w:r>
      <w:r>
        <w:rPr>
          <w:rStyle w:val="EndnoteReference"/>
        </w:rPr>
        <w:endnoteReference w:id="3400"/>
      </w:r>
      <w:r>
        <w:t xml:space="preserve"> </w:t>
      </w:r>
    </w:p>
    <w:p w:rsidR="006A2E06" w:rsidRPr="004F087B" w:rsidRDefault="006A2E06" w:rsidP="006A2E06">
      <w:pPr>
        <w:spacing w:after="120" w:line="360" w:lineRule="auto"/>
        <w:ind w:right="74"/>
        <w:jc w:val="both"/>
        <w:rPr>
          <w:b/>
          <w:i/>
        </w:rPr>
      </w:pPr>
      <w:r w:rsidRPr="004F087B">
        <w:rPr>
          <w:b/>
          <w:i/>
        </w:rPr>
        <w:t>Omissions</w:t>
      </w:r>
    </w:p>
    <w:p w:rsidR="006A2E06" w:rsidRPr="00E77C5D" w:rsidRDefault="006A2E06" w:rsidP="006A2E06">
      <w:pPr>
        <w:spacing w:after="120" w:line="360" w:lineRule="auto"/>
        <w:ind w:right="74"/>
        <w:jc w:val="both"/>
      </w:pPr>
      <w:r w:rsidRPr="00E77C5D">
        <w:t xml:space="preserve">Scofield does not </w:t>
      </w:r>
      <w:r>
        <w:t xml:space="preserve">include </w:t>
      </w:r>
      <w:r w:rsidRPr="00E77C5D">
        <w:t>any context for John’s remarks about the seven churches in Revelation 1</w:t>
      </w:r>
      <w:r>
        <w:t xml:space="preserve"> </w:t>
      </w:r>
      <w:r w:rsidRPr="00012B96">
        <w:rPr>
          <w:sz w:val="16"/>
          <w:szCs w:val="24"/>
        </w:rPr>
        <w:t>—</w:t>
      </w:r>
      <w:r>
        <w:t xml:space="preserve"> </w:t>
      </w:r>
      <w:r w:rsidRPr="00E77C5D">
        <w:t>3</w:t>
      </w:r>
      <w:r>
        <w:t>; he does not</w:t>
      </w:r>
      <w:r w:rsidRPr="00E77C5D">
        <w:t xml:space="preserve"> analyse what these chapters </w:t>
      </w:r>
      <w:r>
        <w:t>may</w:t>
      </w:r>
      <w:r w:rsidRPr="00E77C5D">
        <w:t xml:space="preserve"> say about the condition of these churches or consider the implications for the behaviour of individuals and churches.  He uses these chapters to propagate his own ecclesiology and eschatology.  He theorises about the seven ‘angels’ of the churches and categorises the messages to the seven churches,</w:t>
      </w:r>
      <w:r>
        <w:rPr>
          <w:rStyle w:val="EndnoteReference"/>
        </w:rPr>
        <w:endnoteReference w:id="3401"/>
      </w:r>
      <w:r>
        <w:t xml:space="preserve"> </w:t>
      </w:r>
      <w:r w:rsidRPr="00E77C5D">
        <w:t xml:space="preserve">describing </w:t>
      </w:r>
      <w:r>
        <w:t>these</w:t>
      </w:r>
      <w:r w:rsidRPr="00E77C5D">
        <w:t xml:space="preserve"> as ‘an exact foreview … and in this precise order’.</w:t>
      </w:r>
      <w:r w:rsidRPr="00E77C5D">
        <w:rPr>
          <w:rStyle w:val="EndnoteReference"/>
        </w:rPr>
        <w:endnoteReference w:id="3402"/>
      </w:r>
      <w:r w:rsidRPr="00E77C5D">
        <w:t xml:space="preserve">  Scofield’s argument that the messages </w:t>
      </w:r>
      <w:r>
        <w:t xml:space="preserve">to the seven churches </w:t>
      </w:r>
      <w:r w:rsidRPr="00E77C5D">
        <w:t xml:space="preserve">must contain a foreview because it would be ‘incredible’ if they did not, is </w:t>
      </w:r>
      <w:r>
        <w:t>un</w:t>
      </w:r>
      <w:r w:rsidRPr="00E77C5D">
        <w:t>tenable.</w:t>
      </w:r>
    </w:p>
    <w:p w:rsidR="006A2E06" w:rsidRPr="00E77C5D" w:rsidRDefault="006A2E06" w:rsidP="006A2E06">
      <w:pPr>
        <w:spacing w:after="120" w:line="360" w:lineRule="auto"/>
        <w:ind w:right="74" w:firstLine="567"/>
        <w:jc w:val="both"/>
      </w:pPr>
      <w:r w:rsidRPr="00E77C5D">
        <w:t>Scofield advances many of his doctrinal beliefs in his notes on Revelation, but, as with his notes on other books throughout the Bible, he omits many important issues which would fall into the category of ‘obscure and difficult passages’.</w:t>
      </w:r>
      <w:r w:rsidRPr="00E77C5D">
        <w:rPr>
          <w:rStyle w:val="EndnoteReference"/>
        </w:rPr>
        <w:endnoteReference w:id="3403"/>
      </w:r>
      <w:r w:rsidRPr="00E77C5D">
        <w:t xml:space="preserve">  Strangely, examination of some of these might have reinforced his promotion of his eschatology.  Scofield fails to draw the parallel between John’s vision of Jesus</w:t>
      </w:r>
      <w:r w:rsidRPr="00E77C5D">
        <w:rPr>
          <w:rStyle w:val="EndnoteReference"/>
        </w:rPr>
        <w:endnoteReference w:id="3404"/>
      </w:r>
      <w:r w:rsidRPr="00E77C5D">
        <w:t xml:space="preserve"> and that of Daniel</w:t>
      </w:r>
      <w:r w:rsidRPr="00E77C5D">
        <w:rPr>
          <w:rStyle w:val="EndnoteReference"/>
        </w:rPr>
        <w:endnoteReference w:id="3405"/>
      </w:r>
      <w:r w:rsidRPr="00E77C5D">
        <w:t xml:space="preserve"> and omits Jesus’ command to write,</w:t>
      </w:r>
      <w:r w:rsidRPr="00E77C5D">
        <w:rPr>
          <w:rStyle w:val="EndnoteReference"/>
        </w:rPr>
        <w:endnoteReference w:id="3406"/>
      </w:r>
      <w:r w:rsidRPr="00E77C5D">
        <w:t xml:space="preserve"> which would have supported his contention </w:t>
      </w:r>
      <w:r w:rsidRPr="00E77C5D">
        <w:lastRenderedPageBreak/>
        <w:t>concerning the inspiration of scripture.  Very oddly, there are no notes on the opening of the seven seals,</w:t>
      </w:r>
      <w:r w:rsidRPr="00E77C5D">
        <w:rPr>
          <w:rStyle w:val="EndnoteReference"/>
        </w:rPr>
        <w:endnoteReference w:id="3407"/>
      </w:r>
      <w:r w:rsidRPr="00E77C5D">
        <w:t xml:space="preserve"> the sounding of the seven trumpets</w:t>
      </w:r>
      <w:r w:rsidRPr="00E77C5D">
        <w:rPr>
          <w:rStyle w:val="EndnoteReference"/>
        </w:rPr>
        <w:endnoteReference w:id="3408"/>
      </w:r>
      <w:r w:rsidRPr="00E77C5D">
        <w:t xml:space="preserve"> or the outpouring of the seven plagues.</w:t>
      </w:r>
      <w:r w:rsidRPr="00E77C5D">
        <w:rPr>
          <w:rStyle w:val="EndnoteReference"/>
        </w:rPr>
        <w:endnoteReference w:id="3409"/>
      </w:r>
      <w:r w:rsidRPr="00E77C5D">
        <w:t xml:space="preserve">  There is no comment on the detailed description of Babylon, its symbolism and its fate.</w:t>
      </w:r>
      <w:r w:rsidRPr="00E77C5D">
        <w:rPr>
          <w:rStyle w:val="EndnoteReference"/>
        </w:rPr>
        <w:endnoteReference w:id="3410"/>
      </w:r>
      <w:r w:rsidRPr="00E77C5D">
        <w:t xml:space="preserve">  There is no annotation of the description of the souls of witnesses beneath the altar,</w:t>
      </w:r>
      <w:r w:rsidRPr="00E77C5D">
        <w:rPr>
          <w:rStyle w:val="EndnoteReference"/>
        </w:rPr>
        <w:endnoteReference w:id="3411"/>
      </w:r>
      <w:r w:rsidRPr="00E77C5D">
        <w:t xml:space="preserve"> of the fate of the two witnesses</w:t>
      </w:r>
      <w:r w:rsidRPr="00E77C5D">
        <w:rPr>
          <w:rStyle w:val="EndnoteReference"/>
        </w:rPr>
        <w:endnoteReference w:id="3412"/>
      </w:r>
      <w:r w:rsidRPr="00E77C5D">
        <w:t xml:space="preserve"> or of earthquakes and their effects, the falling of stars, and lightning and thunder.</w:t>
      </w:r>
      <w:r w:rsidRPr="00E77C5D">
        <w:rPr>
          <w:rStyle w:val="EndnoteReference"/>
        </w:rPr>
        <w:endnoteReference w:id="3413"/>
      </w:r>
      <w:r w:rsidRPr="00E77C5D">
        <w:t xml:space="preserve">  Scofield does not comment on the incident involving the woman, child and dragon or on the war between the dragon and Michael.</w:t>
      </w:r>
      <w:r w:rsidRPr="00E77C5D">
        <w:rPr>
          <w:rStyle w:val="EndnoteReference"/>
        </w:rPr>
        <w:endnoteReference w:id="3414"/>
      </w:r>
      <w:r w:rsidRPr="00E77C5D">
        <w:t xml:space="preserve">  The relationship between the dragon and the beast from the sea is not emphasised</w:t>
      </w:r>
      <w:r>
        <w:t>,</w:t>
      </w:r>
      <w:r w:rsidRPr="00E77C5D">
        <w:rPr>
          <w:rStyle w:val="EndnoteReference"/>
        </w:rPr>
        <w:endnoteReference w:id="3415"/>
      </w:r>
      <w:r w:rsidRPr="00E77C5D">
        <w:t xml:space="preserve"> nor are the effects of the power of the two beasts on human beings.</w:t>
      </w:r>
      <w:r w:rsidRPr="00E77C5D">
        <w:rPr>
          <w:rStyle w:val="EndnoteReference"/>
        </w:rPr>
        <w:endnoteReference w:id="3416"/>
      </w:r>
      <w:r w:rsidRPr="00E77C5D">
        <w:t xml:space="preserve">  There is no comment upon the description of the angel with the sickle or of the grapes trampled in the winepress, from which blood flows ‘even unto the horses’ bridles by the space of a thousand and six hundred furlongs’.</w:t>
      </w:r>
      <w:r w:rsidRPr="00E77C5D">
        <w:rPr>
          <w:rStyle w:val="EndnoteReference"/>
        </w:rPr>
        <w:endnoteReference w:id="3417"/>
      </w:r>
      <w:r w:rsidRPr="00E77C5D">
        <w:t xml:space="preserve">  Very oddly, Scofield does not pick up the name of Armageddon in the sole place where it is actually mentioned.</w:t>
      </w:r>
      <w:r w:rsidRPr="00E77C5D">
        <w:rPr>
          <w:rStyle w:val="EndnoteReference"/>
        </w:rPr>
        <w:endnoteReference w:id="3418"/>
      </w:r>
      <w:r w:rsidRPr="00E77C5D">
        <w:t xml:space="preserve"> </w:t>
      </w:r>
    </w:p>
    <w:p w:rsidR="006A2E06" w:rsidRDefault="006A2E06" w:rsidP="006A2E06">
      <w:pPr>
        <w:spacing w:after="120" w:line="360" w:lineRule="auto"/>
        <w:ind w:right="74" w:firstLine="500"/>
        <w:jc w:val="both"/>
      </w:pPr>
      <w:r w:rsidRPr="00E77C5D">
        <w:t>Other omissions result in the absence of alternative themes of Revelation, such as the repeated worship of the company of heaven</w:t>
      </w:r>
      <w:r w:rsidRPr="00E77C5D">
        <w:rPr>
          <w:rStyle w:val="EndnoteReference"/>
        </w:rPr>
        <w:endnoteReference w:id="3419"/>
      </w:r>
      <w:r w:rsidRPr="00E77C5D">
        <w:t xml:space="preserve"> and the vision of the new heaven and new earth.</w:t>
      </w:r>
      <w:r w:rsidRPr="00E77C5D">
        <w:rPr>
          <w:rStyle w:val="EndnoteReference"/>
        </w:rPr>
        <w:endnoteReference w:id="3420"/>
      </w:r>
      <w:r w:rsidRPr="00E77C5D">
        <w:t xml:space="preserve">  </w:t>
      </w:r>
      <w:r>
        <w:t xml:space="preserve">In particular, </w:t>
      </w:r>
      <w:r w:rsidRPr="00E77C5D">
        <w:t>there is no comment upon the temple in heaven which John is told to measure and in which the ark of the covenant is seen,</w:t>
      </w:r>
      <w:r w:rsidRPr="00E77C5D">
        <w:rPr>
          <w:rStyle w:val="EndnoteReference"/>
        </w:rPr>
        <w:endnoteReference w:id="3421"/>
      </w:r>
      <w:r w:rsidRPr="00E77C5D">
        <w:t xml:space="preserve"> or of the coming of the new Jerusalem from heaven,</w:t>
      </w:r>
      <w:r w:rsidRPr="00E77C5D">
        <w:rPr>
          <w:rStyle w:val="EndnoteReference"/>
        </w:rPr>
        <w:endnoteReference w:id="3422"/>
      </w:r>
      <w:r w:rsidRPr="00E77C5D">
        <w:t xml:space="preserve"> </w:t>
      </w:r>
      <w:r>
        <w:t xml:space="preserve">and </w:t>
      </w:r>
      <w:r w:rsidRPr="00E77C5D">
        <w:t>especially the lack of need for a temple in it, God and the Lamb being its temple.</w:t>
      </w:r>
      <w:r w:rsidRPr="00E77C5D">
        <w:rPr>
          <w:rStyle w:val="EndnoteReference"/>
        </w:rPr>
        <w:endnoteReference w:id="3423"/>
      </w:r>
      <w:r w:rsidRPr="00E77C5D">
        <w:t xml:space="preserve">  It is strange, too, that Scofield gives no explanation as to the meaning of the white stone,</w:t>
      </w:r>
      <w:r w:rsidRPr="00E77C5D">
        <w:rPr>
          <w:rStyle w:val="EndnoteReference"/>
        </w:rPr>
        <w:endnoteReference w:id="3424"/>
      </w:r>
      <w:r w:rsidRPr="00E77C5D">
        <w:t xml:space="preserve"> the significance of the number of the Beast,</w:t>
      </w:r>
      <w:r w:rsidRPr="00E77C5D">
        <w:rPr>
          <w:rStyle w:val="EndnoteReference"/>
        </w:rPr>
        <w:endnoteReference w:id="3425"/>
      </w:r>
      <w:r w:rsidRPr="00E77C5D">
        <w:t xml:space="preserve"> the identity of the 144,000</w:t>
      </w:r>
      <w:r w:rsidRPr="00E77C5D">
        <w:rPr>
          <w:rStyle w:val="EndnoteReference"/>
        </w:rPr>
        <w:endnoteReference w:id="3426"/>
      </w:r>
      <w:r w:rsidRPr="00E77C5D">
        <w:t xml:space="preserve"> or the relevance of Jesus’ repeated statement that he is coming soon,</w:t>
      </w:r>
      <w:r w:rsidRPr="00E77C5D">
        <w:rPr>
          <w:rStyle w:val="EndnoteReference"/>
        </w:rPr>
        <w:endnoteReference w:id="3427"/>
      </w:r>
      <w:r w:rsidRPr="00E77C5D">
        <w:t xml:space="preserve"> a declaration of definite importance to Scofield’s thesis. </w:t>
      </w:r>
    </w:p>
    <w:p w:rsidR="006A2E06" w:rsidRPr="006546A3" w:rsidRDefault="006A2E06" w:rsidP="006A2E06">
      <w:pPr>
        <w:spacing w:after="120" w:line="360" w:lineRule="auto"/>
        <w:ind w:right="74"/>
        <w:jc w:val="both"/>
        <w:rPr>
          <w:b/>
        </w:rPr>
      </w:pPr>
      <w:r>
        <w:rPr>
          <w:b/>
        </w:rPr>
        <w:t>8</w:t>
      </w:r>
      <w:r w:rsidRPr="006546A3">
        <w:rPr>
          <w:b/>
        </w:rPr>
        <w:t>.</w:t>
      </w:r>
      <w:r>
        <w:rPr>
          <w:b/>
        </w:rPr>
        <w:t>9</w:t>
      </w:r>
      <w:r w:rsidRPr="006546A3">
        <w:rPr>
          <w:b/>
        </w:rPr>
        <w:t>.1  Conclusion</w:t>
      </w:r>
      <w:r w:rsidR="00756EB6">
        <w:rPr>
          <w:b/>
        </w:rPr>
        <w:t>:</w:t>
      </w:r>
      <w:r w:rsidRPr="006546A3">
        <w:rPr>
          <w:b/>
        </w:rPr>
        <w:t xml:space="preserve"> </w:t>
      </w:r>
      <w:r w:rsidR="00756EB6">
        <w:rPr>
          <w:b/>
        </w:rPr>
        <w:t xml:space="preserve">Notes on </w:t>
      </w:r>
      <w:r w:rsidRPr="006546A3">
        <w:rPr>
          <w:b/>
        </w:rPr>
        <w:t>Revelation</w:t>
      </w:r>
    </w:p>
    <w:p w:rsidR="006A2E06" w:rsidRDefault="006A2E06" w:rsidP="006A2E06">
      <w:pPr>
        <w:spacing w:after="120" w:line="360" w:lineRule="auto"/>
        <w:ind w:right="74"/>
        <w:jc w:val="both"/>
      </w:pPr>
      <w:r>
        <w:t>As might be anticipated, Scofield’s notes on Revelation largely revert to eschatological material, though there are also some doctrinal discourses.</w:t>
      </w:r>
      <w:r>
        <w:rPr>
          <w:rStyle w:val="EndnoteReference"/>
        </w:rPr>
        <w:endnoteReference w:id="3428"/>
      </w:r>
      <w:r>
        <w:t xml:space="preserve">  It is in the notes on Revelation that many of Scofield’s eschatological themes reach their climax, for example, in his notes on the great tribulation,</w:t>
      </w:r>
      <w:r>
        <w:rPr>
          <w:rStyle w:val="EndnoteReference"/>
        </w:rPr>
        <w:endnoteReference w:id="3429"/>
      </w:r>
      <w:r>
        <w:t xml:space="preserve"> the beast,</w:t>
      </w:r>
      <w:r>
        <w:rPr>
          <w:rStyle w:val="EndnoteReference"/>
        </w:rPr>
        <w:endnoteReference w:id="3430"/>
      </w:r>
      <w:r>
        <w:t xml:space="preserve"> Christ’s return</w:t>
      </w:r>
      <w:r>
        <w:rPr>
          <w:rStyle w:val="EndnoteReference"/>
        </w:rPr>
        <w:endnoteReference w:id="3431"/>
      </w:r>
      <w:r>
        <w:t xml:space="preserve"> and Armageddon.</w:t>
      </w:r>
      <w:r>
        <w:rPr>
          <w:rStyle w:val="EndnoteReference"/>
        </w:rPr>
        <w:endnoteReference w:id="3432"/>
      </w:r>
      <w:r>
        <w:t xml:space="preserve">  However, some themes which might be considered essential to Scofield’s eschatology are not given significant treatment in his notes on Revelation.  For example, the millennial kingdom receives only four brief references.</w:t>
      </w:r>
      <w:r>
        <w:rPr>
          <w:rStyle w:val="EndnoteReference"/>
        </w:rPr>
        <w:endnoteReference w:id="3433"/>
      </w:r>
      <w:r>
        <w:t xml:space="preserve">  This is probably because the kingdom has been fully dealt with in earlier annotation, particularly in the links made from Daniel and Zechariah, and also </w:t>
      </w:r>
      <w:r w:rsidRPr="00BE3AB6">
        <w:rPr>
          <w:spacing w:val="8"/>
        </w:rPr>
        <w:t>the expositions of the kingdom in the notes on Zech. 12:8,</w:t>
      </w:r>
      <w:r w:rsidRPr="00BE3AB6">
        <w:rPr>
          <w:rStyle w:val="EndnoteReference"/>
          <w:spacing w:val="8"/>
        </w:rPr>
        <w:endnoteReference w:id="3434"/>
      </w:r>
      <w:r w:rsidRPr="00BE3AB6">
        <w:rPr>
          <w:spacing w:val="8"/>
        </w:rPr>
        <w:t xml:space="preserve"> Matthew,</w:t>
      </w:r>
      <w:r w:rsidRPr="00BE3AB6">
        <w:rPr>
          <w:rStyle w:val="EndnoteReference"/>
          <w:spacing w:val="8"/>
        </w:rPr>
        <w:endnoteReference w:id="3435"/>
      </w:r>
      <w:r w:rsidRPr="00BE3AB6">
        <w:rPr>
          <w:spacing w:val="8"/>
        </w:rPr>
        <w:t xml:space="preserve"> 1 Cor. 15:24</w:t>
      </w:r>
      <w:r w:rsidRPr="00BE3AB6">
        <w:rPr>
          <w:rStyle w:val="EndnoteReference"/>
          <w:spacing w:val="8"/>
        </w:rPr>
        <w:endnoteReference w:id="3436"/>
      </w:r>
      <w:r w:rsidRPr="00BE3AB6">
        <w:rPr>
          <w:spacing w:val="8"/>
        </w:rPr>
        <w:t xml:space="preserve"> and Eph. 1:10</w:t>
      </w:r>
      <w:r>
        <w:t>.</w:t>
      </w:r>
      <w:r>
        <w:rPr>
          <w:rStyle w:val="EndnoteReference"/>
        </w:rPr>
        <w:endnoteReference w:id="3437"/>
      </w:r>
      <w:r>
        <w:t xml:space="preserve">  It is noticeable that many more links are made to Revelation from Old Testament books than are made from it.</w:t>
      </w:r>
      <w:r>
        <w:rPr>
          <w:rStyle w:val="EndnoteReference"/>
        </w:rPr>
        <w:endnoteReference w:id="3438"/>
      </w:r>
      <w:r>
        <w:t xml:space="preserve">  This illustrates Scofield’s contention that scenes in Daniel are ‘the same as’ or ‘identical to’ scenes in Revelation.</w:t>
      </w:r>
      <w:r>
        <w:rPr>
          <w:rStyle w:val="EndnoteReference"/>
        </w:rPr>
        <w:endnoteReference w:id="3439"/>
      </w:r>
      <w:r>
        <w:t xml:space="preserve">  Similarly, the Times of the Gentiles, which meet their nemesis in Revelation,</w:t>
      </w:r>
      <w:r>
        <w:rPr>
          <w:rStyle w:val="EndnoteReference"/>
        </w:rPr>
        <w:endnoteReference w:id="3440"/>
      </w:r>
      <w:r>
        <w:t xml:space="preserve"> have been given extensive treatment in earlier annotation.</w:t>
      </w:r>
      <w:r>
        <w:rPr>
          <w:rStyle w:val="EndnoteReference"/>
        </w:rPr>
        <w:endnoteReference w:id="3441"/>
      </w:r>
      <w:r>
        <w:t xml:space="preserve">  These matters present further evidence of the way Scofield regards the Old and New Testaments as intrinsically linked and mainly sees the former in terms of the latter.</w:t>
      </w:r>
    </w:p>
    <w:p w:rsidR="006A2E06" w:rsidRDefault="006A2E06" w:rsidP="006A2E06">
      <w:pPr>
        <w:spacing w:after="120" w:line="360" w:lineRule="auto"/>
        <w:ind w:right="74" w:firstLine="567"/>
        <w:jc w:val="both"/>
      </w:pPr>
      <w:r>
        <w:lastRenderedPageBreak/>
        <w:t>The reference in the notes on Revelation to two covenants is significant.  The allusion to the Davidic Covenant in the note on Rev. 3:21 is used to indicate that Christ is not yet seated on his own throne and that this covenant and its promises are yet to be fulfilled;</w:t>
      </w:r>
      <w:r>
        <w:rPr>
          <w:rStyle w:val="EndnoteReference"/>
        </w:rPr>
        <w:endnoteReference w:id="3442"/>
      </w:r>
      <w:r>
        <w:t xml:space="preserve"> that on 14:6 asserts that this covenant is to be fulfilled in the future kingdom.</w:t>
      </w:r>
      <w:r>
        <w:rPr>
          <w:rStyle w:val="EndnoteReference"/>
        </w:rPr>
        <w:endnoteReference w:id="3443"/>
      </w:r>
      <w:r>
        <w:t xml:space="preserve">  The reference to the Adamic Covenant, almost hidden amidst Scofield’s </w:t>
      </w:r>
      <w:r w:rsidRPr="00785B83">
        <w:rPr>
          <w:i/>
        </w:rPr>
        <w:t>excursus</w:t>
      </w:r>
      <w:r>
        <w:t xml:space="preserve"> on Satan,</w:t>
      </w:r>
      <w:r>
        <w:rPr>
          <w:rStyle w:val="EndnoteReference"/>
        </w:rPr>
        <w:endnoteReference w:id="3444"/>
      </w:r>
      <w:r>
        <w:t xml:space="preserve"> takes his annotation full circle to his assertion concerning this second covenant in his note on Gen. 3:14 and his first intimation concerning the promise of a Redeemer.</w:t>
      </w:r>
      <w:r>
        <w:rPr>
          <w:rStyle w:val="EndnoteReference"/>
        </w:rPr>
        <w:endnoteReference w:id="3445"/>
      </w:r>
    </w:p>
    <w:p w:rsidR="006A2E06" w:rsidRPr="006546A3" w:rsidRDefault="006A2E06" w:rsidP="006A2E06">
      <w:pPr>
        <w:spacing w:after="120" w:line="360" w:lineRule="auto"/>
        <w:ind w:right="74"/>
        <w:jc w:val="both"/>
        <w:rPr>
          <w:b/>
        </w:rPr>
      </w:pPr>
      <w:r>
        <w:rPr>
          <w:b/>
        </w:rPr>
        <w:t>8.10</w:t>
      </w:r>
      <w:r w:rsidRPr="006546A3">
        <w:rPr>
          <w:b/>
        </w:rPr>
        <w:t xml:space="preserve">  Conclusion</w:t>
      </w:r>
      <w:r w:rsidR="00756EB6">
        <w:rPr>
          <w:b/>
        </w:rPr>
        <w:t>:</w:t>
      </w:r>
      <w:r w:rsidR="00EB0E29">
        <w:rPr>
          <w:b/>
        </w:rPr>
        <w:t xml:space="preserve"> Scofield’s Use of</w:t>
      </w:r>
      <w:r w:rsidRPr="006546A3">
        <w:rPr>
          <w:b/>
        </w:rPr>
        <w:t xml:space="preserve"> the New Testament</w:t>
      </w:r>
    </w:p>
    <w:p w:rsidR="006A2E06" w:rsidRDefault="006A2E06" w:rsidP="006A2E06">
      <w:pPr>
        <w:spacing w:after="120" w:line="360" w:lineRule="auto"/>
        <w:ind w:right="74"/>
        <w:jc w:val="both"/>
      </w:pPr>
      <w:r>
        <w:t>As discussed above, Scofield’s annotation of the New Testament books can be roughly divided into the mainly eschatological and the mainly homilectic and doctrinal.  The notes on Matthew include many eschatological subjects, especially concerning the kingdom,</w:t>
      </w:r>
      <w:r>
        <w:rPr>
          <w:rStyle w:val="EndnoteReference"/>
        </w:rPr>
        <w:endnoteReference w:id="3446"/>
      </w:r>
      <w:r>
        <w:t xml:space="preserve"> Christ’s second coming,</w:t>
      </w:r>
      <w:r>
        <w:rPr>
          <w:rStyle w:val="EndnoteReference"/>
        </w:rPr>
        <w:endnoteReference w:id="3447"/>
      </w:r>
      <w:r>
        <w:t xml:space="preserve"> the translation of the saints,</w:t>
      </w:r>
      <w:r>
        <w:rPr>
          <w:rStyle w:val="EndnoteReference"/>
        </w:rPr>
        <w:endnoteReference w:id="3448"/>
      </w:r>
      <w:r>
        <w:t xml:space="preserve"> the great tribulation,</w:t>
      </w:r>
      <w:r>
        <w:rPr>
          <w:rStyle w:val="EndnoteReference"/>
        </w:rPr>
        <w:endnoteReference w:id="3449"/>
      </w:r>
      <w:r>
        <w:t xml:space="preserve"> the beast</w:t>
      </w:r>
      <w:r>
        <w:rPr>
          <w:rStyle w:val="EndnoteReference"/>
        </w:rPr>
        <w:endnoteReference w:id="3450"/>
      </w:r>
      <w:r>
        <w:t xml:space="preserve"> and Armageddon,</w:t>
      </w:r>
      <w:r>
        <w:rPr>
          <w:rStyle w:val="EndnoteReference"/>
        </w:rPr>
        <w:endnoteReference w:id="3451"/>
      </w:r>
      <w:r>
        <w:t xml:space="preserve"> even though they also include many </w:t>
      </w:r>
      <w:r w:rsidRPr="00CC5FC4">
        <w:rPr>
          <w:i/>
        </w:rPr>
        <w:t>excursi</w:t>
      </w:r>
      <w:r>
        <w:rPr>
          <w:rStyle w:val="EndnoteReference"/>
          <w:i/>
        </w:rPr>
        <w:endnoteReference w:id="3452"/>
      </w:r>
      <w:r w:rsidRPr="00CC5FC4">
        <w:rPr>
          <w:i/>
        </w:rPr>
        <w:t xml:space="preserve"> </w:t>
      </w:r>
      <w:r>
        <w:t>and notes concerning Christology,</w:t>
      </w:r>
      <w:r>
        <w:rPr>
          <w:rStyle w:val="EndnoteReference"/>
        </w:rPr>
        <w:endnoteReference w:id="3453"/>
      </w:r>
      <w:r>
        <w:t xml:space="preserve"> types</w:t>
      </w:r>
      <w:r>
        <w:rPr>
          <w:rStyle w:val="EndnoteReference"/>
        </w:rPr>
        <w:endnoteReference w:id="3454"/>
      </w:r>
      <w:r>
        <w:t xml:space="preserve"> and other subjects.  Matthew is also largely used as the basis for harmonisation with the other Gospels.  The annotation of Revelation, too, contains much eschatological material, but this is almost entirely lacking in the notes on the epistles, both Pauline and Jewish-Christian.  The notes here mainly concern doctrinal issues.  The annotation of Matthew and Revelation might be seen as continuing from that on Old Testament books whereas that on the epistles departs from it into largely Christian areas of doctrine.  It is these notes which are more akin to classical evangelical interpretations.</w:t>
      </w:r>
    </w:p>
    <w:p w:rsidR="006A2E06" w:rsidRDefault="006A2E06" w:rsidP="006A2E06">
      <w:pPr>
        <w:spacing w:after="120" w:line="360" w:lineRule="auto"/>
        <w:ind w:right="74"/>
        <w:jc w:val="both"/>
        <w:sectPr w:rsidR="006A2E06" w:rsidSect="00F1470F">
          <w:headerReference w:type="default" r:id="rId224"/>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6A2E06" w:rsidRDefault="006A2E06" w:rsidP="00B80A24">
      <w:pPr>
        <w:spacing w:after="120" w:line="360" w:lineRule="auto"/>
        <w:jc w:val="center"/>
        <w:rPr>
          <w:b/>
          <w:sz w:val="28"/>
        </w:rPr>
      </w:pPr>
      <w:bookmarkStart w:id="24" w:name="CONCLUSION"/>
      <w:bookmarkEnd w:id="24"/>
      <w:r w:rsidRPr="007C252C">
        <w:rPr>
          <w:b/>
          <w:sz w:val="28"/>
        </w:rPr>
        <w:lastRenderedPageBreak/>
        <w:t>CONCLUSION</w:t>
      </w:r>
    </w:p>
    <w:p w:rsidR="006A2E06" w:rsidRPr="00E8540E" w:rsidRDefault="006A2E06" w:rsidP="00F8592F">
      <w:pPr>
        <w:spacing w:after="120" w:line="360" w:lineRule="auto"/>
        <w:rPr>
          <w:b/>
          <w:sz w:val="24"/>
        </w:rPr>
      </w:pPr>
      <w:r w:rsidRPr="00E8540E">
        <w:rPr>
          <w:b/>
          <w:sz w:val="24"/>
        </w:rPr>
        <w:t>Research Questions</w:t>
      </w:r>
    </w:p>
    <w:p w:rsidR="006A2E06" w:rsidRDefault="006A2E06" w:rsidP="006A2E06">
      <w:pPr>
        <w:spacing w:after="120" w:line="360" w:lineRule="auto"/>
        <w:jc w:val="both"/>
      </w:pPr>
      <w:r w:rsidRPr="002D1615">
        <w:rPr>
          <w:i/>
        </w:rPr>
        <w:t>Dispensing Dispensationalism</w:t>
      </w:r>
      <w:r w:rsidRPr="00CD560F">
        <w:t xml:space="preserve"> set out to establish </w:t>
      </w:r>
      <w:r>
        <w:t xml:space="preserve">whether </w:t>
      </w:r>
      <w:r w:rsidRPr="00CD560F">
        <w:rPr>
          <w:i/>
        </w:rPr>
        <w:t>SRB</w:t>
      </w:r>
      <w:r w:rsidRPr="00CD560F">
        <w:t xml:space="preserve"> 1917 </w:t>
      </w:r>
      <w:r>
        <w:t>has an enduring place in the development and continued</w:t>
      </w:r>
      <w:r w:rsidRPr="00CD560F">
        <w:t xml:space="preserve"> propagation of dispensationalism.  </w:t>
      </w:r>
      <w:r>
        <w:t xml:space="preserve">The study had three objectives: to prove that </w:t>
      </w:r>
      <w:r w:rsidRPr="00B17A24">
        <w:rPr>
          <w:i/>
        </w:rPr>
        <w:t>SRB</w:t>
      </w:r>
      <w:r>
        <w:t xml:space="preserve"> indeed dispenses dispensationalism, to establish that the form taken by that dispensationalism is classical even within its modern setting and to set Scofield himself within his context, exploring his typicality or atypicality as a dispensationalist.  </w:t>
      </w:r>
    </w:p>
    <w:p w:rsidR="006A2E06" w:rsidRPr="00207DDC" w:rsidRDefault="006A2E06" w:rsidP="006A2E06">
      <w:pPr>
        <w:spacing w:after="120" w:line="360" w:lineRule="auto"/>
        <w:ind w:firstLine="709"/>
        <w:jc w:val="both"/>
      </w:pPr>
      <w:r>
        <w:t xml:space="preserve">My approach to the first objective was to assess the extent to which </w:t>
      </w:r>
      <w:r w:rsidRPr="00D65697">
        <w:rPr>
          <w:i/>
        </w:rPr>
        <w:t>SRB</w:t>
      </w:r>
      <w:r>
        <w:t xml:space="preserve"> </w:t>
      </w:r>
      <w:r w:rsidRPr="00DD112C">
        <w:t xml:space="preserve">fulfilled six characteristics </w:t>
      </w:r>
      <w:r w:rsidRPr="00207DDC">
        <w:t xml:space="preserve">of dispensationalism, </w:t>
      </w:r>
      <w:r w:rsidRPr="00DD112C">
        <w:t>developed from Mark Sweetnam’s paper, ‘Defining Dispensationalism’:</w:t>
      </w:r>
      <w:r w:rsidRPr="00DD112C">
        <w:rPr>
          <w:rStyle w:val="EndnoteReference"/>
        </w:rPr>
        <w:endnoteReference w:id="3455"/>
      </w:r>
      <w:r w:rsidRPr="00DD112C">
        <w:t xml:space="preserve"> commitment to a literal biblical hermeneutic, commitment to evangelical doctrine, dualism between Israel and the Church, the concept of dispensations and its relationship to covenants, the apprehension of the imminent pretribulational rapture of the true Church</w:t>
      </w:r>
      <w:r>
        <w:t>,</w:t>
      </w:r>
      <w:r w:rsidRPr="00DD112C">
        <w:t xml:space="preserve"> and apocalyptic and millennial expectations.  </w:t>
      </w:r>
      <w:r w:rsidRPr="00207DDC">
        <w:t xml:space="preserve">I examined </w:t>
      </w:r>
      <w:r>
        <w:t>each of these elements in a separate chapter</w:t>
      </w:r>
      <w:r>
        <w:rPr>
          <w:rStyle w:val="EndnoteReference"/>
        </w:rPr>
        <w:endnoteReference w:id="3456"/>
      </w:r>
      <w:r>
        <w:t xml:space="preserve"> and, by comparing </w:t>
      </w:r>
      <w:r w:rsidRPr="008D23BA">
        <w:rPr>
          <w:i/>
        </w:rPr>
        <w:t>SRB</w:t>
      </w:r>
      <w:r>
        <w:t xml:space="preserve"> with the works of such authors as Darby, Chafer, Ryrie, Blaising, Bock and Saucy, I was able to answer my second research objective.  I established that </w:t>
      </w:r>
      <w:r w:rsidRPr="008D23BA">
        <w:rPr>
          <w:i/>
        </w:rPr>
        <w:t>SRB</w:t>
      </w:r>
      <w:r>
        <w:t xml:space="preserve"> continues to advance the form of dispensationalism which Blaising terms ‘classical’,</w:t>
      </w:r>
      <w:r>
        <w:rPr>
          <w:rStyle w:val="EndnoteReference"/>
        </w:rPr>
        <w:endnoteReference w:id="3457"/>
      </w:r>
      <w:r>
        <w:t xml:space="preserve"> even though the system has changed in the hundred years since </w:t>
      </w:r>
      <w:r w:rsidRPr="008D23BA">
        <w:rPr>
          <w:i/>
        </w:rPr>
        <w:t>SRB</w:t>
      </w:r>
      <w:r>
        <w:t xml:space="preserve"> was published.  My third objective was also achieved through these comparisons between </w:t>
      </w:r>
      <w:r w:rsidRPr="00DD112C">
        <w:rPr>
          <w:i/>
        </w:rPr>
        <w:t>SRB</w:t>
      </w:r>
      <w:r>
        <w:t xml:space="preserve"> and other works.</w:t>
      </w:r>
    </w:p>
    <w:p w:rsidR="006A2E06" w:rsidRDefault="006A2E06" w:rsidP="006A2E06">
      <w:pPr>
        <w:spacing w:after="120" w:line="360" w:lineRule="auto"/>
        <w:ind w:firstLine="709"/>
        <w:jc w:val="both"/>
      </w:pPr>
      <w:r>
        <w:t xml:space="preserve">It was important first, however, to establish a definition of the term ‘dispensationalism’ and to examine its origins.  These considerations were discussed in the Preface and it was concluded that dispensationalism is a theological system which also contains the characteristics of a method of biblical interpretation, a concept of divine purpose for the world and an eschatological scheme.  The nineteenth century preacher, John Nelson Darby laid the foundations for modern dispensationalism.  </w:t>
      </w:r>
    </w:p>
    <w:p w:rsidR="006A2E06" w:rsidRDefault="006A2E06" w:rsidP="006A2E06">
      <w:pPr>
        <w:spacing w:after="120" w:line="360" w:lineRule="auto"/>
        <w:ind w:firstLine="709"/>
        <w:jc w:val="both"/>
      </w:pPr>
      <w:r>
        <w:t xml:space="preserve">Secondly, it was necessary to establish the nature and content of </w:t>
      </w:r>
      <w:r w:rsidRPr="00CC7AE6">
        <w:rPr>
          <w:i/>
        </w:rPr>
        <w:t>SRB</w:t>
      </w:r>
      <w:r>
        <w:t xml:space="preserve"> as a reference Bible; this was considered in the Introduction.  The Introduction also provided a guide to the contribution of footnotes and subheads to the content of </w:t>
      </w:r>
      <w:r w:rsidRPr="00EF7803">
        <w:rPr>
          <w:i/>
        </w:rPr>
        <w:t>SRB</w:t>
      </w:r>
      <w:r>
        <w:t>.</w:t>
      </w:r>
    </w:p>
    <w:p w:rsidR="006A2E06" w:rsidRDefault="006A2E06" w:rsidP="006A2E06">
      <w:pPr>
        <w:spacing w:after="120" w:line="360" w:lineRule="auto"/>
        <w:ind w:firstLine="709"/>
        <w:jc w:val="both"/>
      </w:pPr>
      <w:r>
        <w:t xml:space="preserve">Thirdly, it was essential to set the parameters of the general dispensationalist hermeneutic </w:t>
      </w:r>
      <w:r w:rsidRPr="00CA61D5">
        <w:rPr>
          <w:spacing w:val="-2"/>
        </w:rPr>
        <w:t xml:space="preserve">within which Scofield’s own hermeneutic was to be viewed.  These parameters </w:t>
      </w:r>
      <w:r>
        <w:rPr>
          <w:spacing w:val="-2"/>
        </w:rPr>
        <w:t>we</w:t>
      </w:r>
      <w:r w:rsidRPr="00CA61D5">
        <w:rPr>
          <w:spacing w:val="-2"/>
        </w:rPr>
        <w:t>re explored in Chapter 1</w:t>
      </w:r>
      <w:r>
        <w:t>.  Dispensationalism shares with more general evangelicalism a belief in the divine inspiration of Scripture and its most basic element is a consistent literal interpretation of the biblical text.  Dispensationalism differs from nondispensational evangelicalism in that its consistent application of the literal hermeneutic includes prophecy.</w:t>
      </w:r>
      <w:r>
        <w:rPr>
          <w:rStyle w:val="EndnoteReference"/>
        </w:rPr>
        <w:endnoteReference w:id="3458"/>
      </w:r>
      <w:r>
        <w:t xml:space="preserve">  This form of interpretation also encapsulates figurative, symbolic and typological language.  The use of typology is prominent in dispensational interpretation.</w:t>
      </w:r>
    </w:p>
    <w:p w:rsidR="006A2E06" w:rsidRDefault="006A2E06" w:rsidP="006A2E06">
      <w:pPr>
        <w:spacing w:after="120" w:line="360" w:lineRule="auto"/>
        <w:ind w:firstLine="567"/>
        <w:jc w:val="both"/>
      </w:pPr>
      <w:r>
        <w:t xml:space="preserve">Chapter 2 had a two-fold function; firstly it considered the extent to which Scofield’s hermeneutic in </w:t>
      </w:r>
      <w:r w:rsidRPr="00540BC7">
        <w:rPr>
          <w:i/>
        </w:rPr>
        <w:t>SRB</w:t>
      </w:r>
      <w:r>
        <w:t xml:space="preserve"> resembles the general dispensational hermeneutic established in Chapter 1; secondly it discussed the </w:t>
      </w:r>
      <w:r>
        <w:lastRenderedPageBreak/>
        <w:t xml:space="preserve">first of the six dispensational characteristics against which </w:t>
      </w:r>
      <w:r w:rsidRPr="006D1F6D">
        <w:rPr>
          <w:i/>
        </w:rPr>
        <w:t>SRB</w:t>
      </w:r>
      <w:r>
        <w:t xml:space="preserve"> was measured in the thesis as a whole.  I found that </w:t>
      </w:r>
      <w:r w:rsidRPr="0042016F">
        <w:rPr>
          <w:i/>
        </w:rPr>
        <w:t>SRB</w:t>
      </w:r>
      <w:r>
        <w:t xml:space="preserve"> puts forward the typical dispensationalist concept of the Bible as the inspired word of God; this is particularly perceptible in annotation which challenges apparent biblical discrepancies and in attempts to harmonise the Gospel accounts.  </w:t>
      </w:r>
      <w:r w:rsidRPr="00B17A24">
        <w:rPr>
          <w:i/>
        </w:rPr>
        <w:t>SRB</w:t>
      </w:r>
      <w:r>
        <w:t xml:space="preserve"> endorses a commitment to biblical literalism even though it does not mention this </w:t>
      </w:r>
      <w:r w:rsidRPr="006937C5">
        <w:rPr>
          <w:i/>
        </w:rPr>
        <w:t>per se</w:t>
      </w:r>
      <w:r>
        <w:t xml:space="preserve">.  In its harmonisations, </w:t>
      </w:r>
      <w:r w:rsidRPr="00B433FA">
        <w:rPr>
          <w:i/>
        </w:rPr>
        <w:t>SRB</w:t>
      </w:r>
      <w:r>
        <w:t xml:space="preserve"> steps outside a strictly literal interpretation.  Nevertheless, Scofield’s interpretation of prophecy is typically dispensational; </w:t>
      </w:r>
      <w:r w:rsidR="009220C5">
        <w:t>Scofield</w:t>
      </w:r>
      <w:r>
        <w:t xml:space="preserve"> sees the fulfilment of prophecy as evidence of the inspiration of Scripture and partial or non-fulfilment as a sign that such prophecies will be fulfilled in the future.  </w:t>
      </w:r>
    </w:p>
    <w:p w:rsidR="006A2E06" w:rsidRDefault="006A2E06" w:rsidP="006A2E06">
      <w:pPr>
        <w:spacing w:after="120" w:line="360" w:lineRule="auto"/>
        <w:ind w:firstLine="567"/>
        <w:jc w:val="both"/>
      </w:pPr>
      <w:r>
        <w:t>It is in his use of typology that Scofield moves furthest from the general dispensational hermeneutic described in Chapter 1.  He cites many instances of Old Testament typological association with the New Testament which are not justifiable under the terms advocated by such scholars as Ryrie, Tan and Campbell or indeed, under his own terms.</w:t>
      </w:r>
      <w:r>
        <w:rPr>
          <w:rStyle w:val="EndnoteReference"/>
        </w:rPr>
        <w:endnoteReference w:id="3459"/>
      </w:r>
      <w:r>
        <w:t xml:space="preserve">  These typological assertions appear particularly in annotation of Genesis, Exodus and Leviticus.  As suggested in 2.4, some of these associations may stem from Scofield’s apparent employment of the Bible Readings method, which I believe to be an important feature in his hermeneutic.</w:t>
      </w:r>
      <w:r>
        <w:rPr>
          <w:rStyle w:val="EndnoteReference"/>
        </w:rPr>
        <w:endnoteReference w:id="3460"/>
      </w:r>
      <w:r>
        <w:t xml:space="preserve">  It is interesting that Scofield seems to follow a non-dispensationalist model in his typology; this sees </w:t>
      </w:r>
      <w:r w:rsidRPr="00C46026">
        <w:t xml:space="preserve">types as shadows of which antitypes represent the reality, </w:t>
      </w:r>
      <w:r>
        <w:t xml:space="preserve">as opposed to a more normal </w:t>
      </w:r>
      <w:r w:rsidRPr="00C46026">
        <w:t>dispensationalist</w:t>
      </w:r>
      <w:r>
        <w:t xml:space="preserve"> view which</w:t>
      </w:r>
      <w:r w:rsidRPr="00C46026">
        <w:t xml:space="preserve"> regard</w:t>
      </w:r>
      <w:r>
        <w:t>s</w:t>
      </w:r>
      <w:r w:rsidRPr="00C46026">
        <w:t xml:space="preserve"> both type and antitype as having significance in their respective contexts.</w:t>
      </w:r>
      <w:r>
        <w:rPr>
          <w:rStyle w:val="EndnoteReference"/>
        </w:rPr>
        <w:endnoteReference w:id="3461"/>
      </w:r>
    </w:p>
    <w:p w:rsidR="006A2E06" w:rsidRPr="00186017" w:rsidRDefault="006A2E06" w:rsidP="006A2E06">
      <w:pPr>
        <w:spacing w:after="120" w:line="360" w:lineRule="auto"/>
        <w:ind w:firstLine="567"/>
        <w:jc w:val="both"/>
      </w:pPr>
      <w:r>
        <w:t xml:space="preserve">As shown in Chapter 3, Scofield like other dispensationalists, meets the Reformation criteria </w:t>
      </w:r>
      <w:r w:rsidRPr="003052CD">
        <w:rPr>
          <w:i/>
        </w:rPr>
        <w:t>sola scriptura</w:t>
      </w:r>
      <w:r>
        <w:t xml:space="preserve">, </w:t>
      </w:r>
      <w:r w:rsidRPr="003052CD">
        <w:rPr>
          <w:i/>
        </w:rPr>
        <w:t>sola gratia</w:t>
      </w:r>
      <w:r>
        <w:t xml:space="preserve"> and </w:t>
      </w:r>
      <w:r w:rsidRPr="003052CD">
        <w:rPr>
          <w:i/>
        </w:rPr>
        <w:t>sola fide</w:t>
      </w:r>
      <w:r>
        <w:t>, and engages in Conversionism and Activism in the form of evangelisation, in Biblicism</w:t>
      </w:r>
      <w:r>
        <w:rPr>
          <w:rStyle w:val="EndnoteReference"/>
        </w:rPr>
        <w:endnoteReference w:id="3462"/>
      </w:r>
      <w:r>
        <w:t xml:space="preserve"> in Crucicentrism,</w:t>
      </w:r>
      <w:r>
        <w:rPr>
          <w:rStyle w:val="EndnoteReference"/>
        </w:rPr>
        <w:endnoteReference w:id="3463"/>
      </w:r>
      <w:r>
        <w:t xml:space="preserve"> and in Christocentrism.</w:t>
      </w:r>
      <w:r>
        <w:rPr>
          <w:rStyle w:val="EndnoteReference"/>
        </w:rPr>
        <w:endnoteReference w:id="3464"/>
      </w:r>
      <w:r>
        <w:t xml:space="preserve">  With regard to Crucicentrism, dispensationalists like Darby and Chafer, and Scofield in some instances,</w:t>
      </w:r>
      <w:r>
        <w:rPr>
          <w:rStyle w:val="EndnoteReference"/>
        </w:rPr>
        <w:endnoteReference w:id="3465"/>
      </w:r>
      <w:r>
        <w:t xml:space="preserve"> endorse the importance and indeed, centrality of the cross in the Gospel.  However, Scofield, and later, Ice, sometimes treat the cross as of lesser importance than Christ’s second coming.</w:t>
      </w:r>
      <w:r>
        <w:rPr>
          <w:rStyle w:val="EndnoteReference"/>
        </w:rPr>
        <w:endnoteReference w:id="3466"/>
      </w:r>
      <w:r>
        <w:t xml:space="preserve">  This possibly indicates that Scofield sometimes projects a view of Christ’s two advents which does not conform to the opinions of his immediate predecessor Darby and successor Chafer, and in fact anticipates an attitude held by some later dispensationalists.  Like, for example, Darby and Tan, Scofield sees Christ as being the person central to the whole Bible but this Christocentricity is tempered by his insistence upon separate futures for Israel and the Church, in which Christ plays very different roles.  </w:t>
      </w:r>
      <w:r w:rsidRPr="00186017">
        <w:t>Progressive dispensationalists, Blaising and Bock contrast Christological centring with an anthropological centring upon two separate peoples.</w:t>
      </w:r>
      <w:r w:rsidRPr="00186017">
        <w:rPr>
          <w:rStyle w:val="EndnoteReference"/>
        </w:rPr>
        <w:endnoteReference w:id="3467"/>
      </w:r>
      <w:r w:rsidRPr="00186017">
        <w:t xml:space="preserve">  </w:t>
      </w:r>
    </w:p>
    <w:p w:rsidR="006A2E06" w:rsidRDefault="006A2E06" w:rsidP="006A2E06">
      <w:pPr>
        <w:spacing w:after="120" w:line="360" w:lineRule="auto"/>
        <w:ind w:firstLine="567"/>
        <w:jc w:val="both"/>
      </w:pPr>
      <w:r>
        <w:t xml:space="preserve">Eternal dualism between Israel and the Church arises from consistent literal interpretation of the biblical text and is foundational to classical and revised dispensationalism, as discussed in Chapter 4.  The concept of God’s earthly and heavenly peoples was expounded by Darby, reiterated by Chafer and named as the first of Ryrie’s </w:t>
      </w:r>
      <w:r w:rsidRPr="00E14591">
        <w:rPr>
          <w:i/>
        </w:rPr>
        <w:t>sine qua nons</w:t>
      </w:r>
      <w:r>
        <w:t xml:space="preserve"> of dispensationalism, but it is not endorsed in the same form by progressive dispensationalists like Blaising and Saucy, who view Israel and the Church as constantly separate entities who nevertheless receive the same eternal life.</w:t>
      </w:r>
      <w:r>
        <w:rPr>
          <w:rStyle w:val="EndnoteReference"/>
        </w:rPr>
        <w:endnoteReference w:id="3468"/>
      </w:r>
      <w:r>
        <w:t xml:space="preserve">  I argued in 4.1 that an enduring dualism </w:t>
      </w:r>
      <w:r>
        <w:lastRenderedPageBreak/>
        <w:t>between Israel and the Church is fundamental to Scofield’s theology and eschatology; it forms the bases for his interpretation of God’s purposes for the world, expressed in the concept of dispensations,</w:t>
      </w:r>
      <w:r>
        <w:rPr>
          <w:rStyle w:val="EndnoteReference"/>
        </w:rPr>
        <w:endnoteReference w:id="3469"/>
      </w:r>
      <w:r>
        <w:t xml:space="preserve"> and for his belief that the divine promises to Israel from Genesis onwards are yet to be fulfilled.  This apprehension of future fulfilment supports the notion that Christ’s terrestrial kingdom is to be set up over Israel at his second coming; it also engenders the concept of the parenthetical Church.</w:t>
      </w:r>
      <w:r>
        <w:rPr>
          <w:rStyle w:val="EndnoteReference"/>
        </w:rPr>
        <w:endnoteReference w:id="3470"/>
      </w:r>
      <w:r>
        <w:t xml:space="preserve">  I demonstrated in 4.1 that dualism even encompasses the existence of different ‘Gospels’, the first of which, significantly, is ‘the Gospel of the kingdom’, rather than ‘the Gospel of the grace of God’, which only comes second in Scofield’s discussion.  </w:t>
      </w:r>
    </w:p>
    <w:p w:rsidR="006A2E06" w:rsidRDefault="006A2E06" w:rsidP="006A2E06">
      <w:pPr>
        <w:spacing w:after="120" w:line="360" w:lineRule="auto"/>
        <w:ind w:firstLine="567"/>
        <w:jc w:val="both"/>
      </w:pPr>
      <w:r>
        <w:t xml:space="preserve">As shown in Chapter 5, the concept of dualism also appears in Scofield’s treatment of the dispensations.  The strongest emphasis in </w:t>
      </w:r>
      <w:r w:rsidRPr="00367FE1">
        <w:rPr>
          <w:i/>
        </w:rPr>
        <w:t>SRB</w:t>
      </w:r>
      <w:r>
        <w:t xml:space="preserve"> annotation regarding dispensations is on the contrast between the Dispensations of Law, Grace and the Kingdom.  The Dispensations of Law and the Kingdom are presented as Jewish ages and that of Grace as parenthetical, constituting an interruption imposed as a consequence of Jewish refusal of the physical kingdom offered by Christ at his first advent.</w:t>
      </w:r>
      <w:r>
        <w:rPr>
          <w:rStyle w:val="EndnoteReference"/>
        </w:rPr>
        <w:endnoteReference w:id="3471"/>
      </w:r>
      <w:r>
        <w:t xml:space="preserve">  This kingdom, ‘political, spiritual, Israelitish [and] universal’,</w:t>
      </w:r>
      <w:r>
        <w:rPr>
          <w:rStyle w:val="EndnoteReference"/>
        </w:rPr>
        <w:endnoteReference w:id="3472"/>
      </w:r>
      <w:r>
        <w:t xml:space="preserve">  is to be instituted as the seventh dispensation at </w:t>
      </w:r>
      <w:r w:rsidRPr="00AF62F0">
        <w:t xml:space="preserve">Christ’s return </w:t>
      </w:r>
      <w:r>
        <w:t xml:space="preserve">after the rapture of the true Church and will be </w:t>
      </w:r>
      <w:r w:rsidRPr="00AF62F0">
        <w:t>based in Jerus</w:t>
      </w:r>
      <w:r>
        <w:t xml:space="preserve">alem.  </w:t>
      </w:r>
    </w:p>
    <w:p w:rsidR="006A2E06" w:rsidRDefault="006A2E06" w:rsidP="006A2E06">
      <w:pPr>
        <w:spacing w:after="120" w:line="360" w:lineRule="auto"/>
        <w:ind w:firstLine="567"/>
        <w:jc w:val="both"/>
      </w:pPr>
      <w:r>
        <w:t>Scofield’s system involving seven dispensations echoes earlier schemes like that of Darby and is developed throughout his annotation, particularly in relation to Genesis and Exodus, where the existence of five out of the seven dispensations is asserted.  Some later dispensationalists like Ryrie continue with a seven-dispensation scheme but progressives like Blaising speak only of past, present and future dispensations</w:t>
      </w:r>
      <w:r>
        <w:rPr>
          <w:rStyle w:val="EndnoteReference"/>
        </w:rPr>
        <w:endnoteReference w:id="3473"/>
      </w:r>
      <w:r>
        <w:t xml:space="preserve"> and emphasise the successive nature of dispensations in progressive revelation.</w:t>
      </w:r>
      <w:r>
        <w:rPr>
          <w:rStyle w:val="EndnoteReference"/>
        </w:rPr>
        <w:endnoteReference w:id="3474"/>
      </w:r>
    </w:p>
    <w:p w:rsidR="006A2E06" w:rsidRDefault="006A2E06" w:rsidP="006A2E06">
      <w:pPr>
        <w:spacing w:after="120" w:line="360" w:lineRule="auto"/>
        <w:ind w:firstLine="567"/>
        <w:jc w:val="both"/>
      </w:pPr>
      <w:r>
        <w:t xml:space="preserve">The fifth characteristic of dispensationalism is belief in the imminent pretribulational removal of the true Church in advance of the great tribulation, as discussed in Chapter 6.  This may be regarded as the ultimate stage in dualism.  While the heavenly people, the Church, escape the terrestrial suffering preceding Christ’s second coming, the earthly people, Israel, are left to endure the depredations of the beast in the great tribulation.  Scofield only uses the term ‘rapture’ once in his annotation of </w:t>
      </w:r>
      <w:r w:rsidRPr="004F680B">
        <w:rPr>
          <w:i/>
        </w:rPr>
        <w:t>SRB</w:t>
      </w:r>
      <w:r>
        <w:rPr>
          <w:rStyle w:val="EndnoteReference"/>
          <w:i/>
        </w:rPr>
        <w:endnoteReference w:id="3475"/>
      </w:r>
      <w:r>
        <w:t xml:space="preserve"> and prefers terms like ‘caught up’, ‘meeting in the air’, Christ’s ‘coming for his Church’ and especially ‘translation’.  Significantly, the 1967 and 2003 editions of the Scofield Bible contain many more references to the removal of the Church, and specifically to the rapture, than does </w:t>
      </w:r>
      <w:r w:rsidRPr="00D5433F">
        <w:rPr>
          <w:i/>
        </w:rPr>
        <w:t>SRB</w:t>
      </w:r>
      <w:r>
        <w:t>; I argued that this may indicate the later influence of populist eschatological literature especially in the twenty-first century.  However, the concept of a pretribulational rapture is also found in Darby’s writings, though largely for ecclesiological rather than eschatological reasons.  Chafer, Ryrie and Walvoord also endorse its importance but progressive dispensationalists, Blaising and Saucy do not appear to assign such significance to it.</w:t>
      </w:r>
    </w:p>
    <w:p w:rsidR="006A2E06" w:rsidRDefault="006A2E06" w:rsidP="006A2E06">
      <w:pPr>
        <w:spacing w:after="120" w:line="360" w:lineRule="auto"/>
        <w:ind w:firstLine="567"/>
        <w:jc w:val="both"/>
      </w:pPr>
      <w:r>
        <w:t xml:space="preserve">As indicated in Chapter 7, </w:t>
      </w:r>
      <w:r w:rsidRPr="003C2A68">
        <w:rPr>
          <w:i/>
        </w:rPr>
        <w:t>SRB</w:t>
      </w:r>
      <w:r>
        <w:t xml:space="preserve"> fulfils the sixth element of dispensationalism, eschatological and millennial expectation.  The premillennialism expressed in it is mainly futurist in line with Darby, Chafer </w:t>
      </w:r>
      <w:r>
        <w:lastRenderedPageBreak/>
        <w:t xml:space="preserve">and Ryrie, though it does contain some historicist elements.  I noted here that Saucy, as a progressive dispensationalist, sees greater continuity between the present and future ages.  </w:t>
      </w:r>
    </w:p>
    <w:p w:rsidR="006A2E06" w:rsidRDefault="006A2E06" w:rsidP="006A2E06">
      <w:pPr>
        <w:spacing w:after="120" w:line="360" w:lineRule="auto"/>
        <w:ind w:firstLine="567"/>
        <w:jc w:val="both"/>
      </w:pPr>
      <w:r>
        <w:t>Scofield’s interpretation of Daniel 9 concerning the seventy weeks of years is very important to his eschatology since he holds that the whole church age exists in the hiatus between the 69</w:t>
      </w:r>
      <w:r w:rsidRPr="00250B36">
        <w:rPr>
          <w:vertAlign w:val="superscript"/>
        </w:rPr>
        <w:t>th</w:t>
      </w:r>
      <w:r>
        <w:t xml:space="preserve"> and 70</w:t>
      </w:r>
      <w:r w:rsidRPr="00250B36">
        <w:rPr>
          <w:vertAlign w:val="superscript"/>
        </w:rPr>
        <w:t>th</w:t>
      </w:r>
      <w:r>
        <w:t xml:space="preserve"> weeks.  This intercalation is to be ended at the rapture, when the 70</w:t>
      </w:r>
      <w:r w:rsidRPr="00470174">
        <w:rPr>
          <w:vertAlign w:val="superscript"/>
        </w:rPr>
        <w:t>th</w:t>
      </w:r>
      <w:r>
        <w:t xml:space="preserve"> week will commence and the great tribulation will ensue for Israel.  Darby, too, advanced this interpretation of the seventy weeks, as did Brookes and Mackintosh, but the concept is not so prominent in progressive dispensational works.  Another important feature is that </w:t>
      </w:r>
      <w:r w:rsidRPr="00E92B20">
        <w:rPr>
          <w:i/>
        </w:rPr>
        <w:t>SRB</w:t>
      </w:r>
      <w:r>
        <w:t xml:space="preserve"> makes extensive use of intertestamental references, especially between Daniel and Zechariah on the one hand and Revelation on the other. </w:t>
      </w:r>
    </w:p>
    <w:p w:rsidR="006A2E06" w:rsidRDefault="006A2E06" w:rsidP="006A2E06">
      <w:pPr>
        <w:spacing w:after="120" w:line="360" w:lineRule="auto"/>
        <w:ind w:firstLine="567"/>
        <w:jc w:val="both"/>
      </w:pPr>
      <w:r>
        <w:t>Scofield adopts Darby’s interpretation concerning the times of the Gentiles; this is taken up by Chafer but Ryrie, Blaising and Saucy do not devote as much attention to this subject.  The great tribulation and Armageddon are also subjects which appear to be of greater interest to the earlier dispensationalists including Scofield though even Chafer does not discuss the latter deeply.</w:t>
      </w:r>
    </w:p>
    <w:p w:rsidR="006A2E06" w:rsidRDefault="006A2E06" w:rsidP="006A2E06">
      <w:pPr>
        <w:spacing w:after="120" w:line="360" w:lineRule="auto"/>
        <w:ind w:firstLine="567"/>
        <w:jc w:val="both"/>
      </w:pPr>
      <w:r>
        <w:t xml:space="preserve">Both Chafer and Scofield place more emphasis on Christ’s second coming than his first.  Darby, Scofield and Chafer all differentiate between the comings of Christ for his saints and with his saints.  There is some ambiguity in </w:t>
      </w:r>
      <w:r w:rsidRPr="00225BA7">
        <w:rPr>
          <w:i/>
        </w:rPr>
        <w:t>SRB</w:t>
      </w:r>
      <w:r>
        <w:t xml:space="preserve"> as to whether the coming of Christ to the air ‘for his saints’ constitutes the second coming; Scofield seems to imply in his notes on Jn 14:3 and 1 Cor. 15:52 that this is indeed the second coming</w:t>
      </w:r>
      <w:r>
        <w:rPr>
          <w:rStyle w:val="EndnoteReference"/>
        </w:rPr>
        <w:endnoteReference w:id="3476"/>
      </w:r>
      <w:r>
        <w:t xml:space="preserve"> and that Christ’s return to establish the kingdom is, therefore, a third advent.  .</w:t>
      </w:r>
    </w:p>
    <w:p w:rsidR="006A2E06" w:rsidRDefault="006A2E06" w:rsidP="006A2E06">
      <w:pPr>
        <w:spacing w:after="120" w:line="360" w:lineRule="auto"/>
        <w:ind w:firstLine="567"/>
        <w:jc w:val="both"/>
      </w:pPr>
      <w:r>
        <w:t xml:space="preserve">Scofield follows Darby in seeing the millennial kingdom as a totally separate entity from the preceding church-age and succeeding eternal kingdom but progressive dispensationalists like Blaising and Saucy visualise much more integration between these ages.  It is significant that, with regard to Daniel’s Seventy Weeks, the great tribulation, Armageddon and the nature of the millennial kingdom, </w:t>
      </w:r>
      <w:r w:rsidRPr="006D5EBB">
        <w:rPr>
          <w:i/>
        </w:rPr>
        <w:t>SRB</w:t>
      </w:r>
      <w:r>
        <w:t xml:space="preserve"> continues to propagate classical dispensationalism.  This is happening at a time when progressive dispensationalism takes a different view but when popular eschatology is proliferating.   </w:t>
      </w:r>
    </w:p>
    <w:p w:rsidR="006A2E06" w:rsidRDefault="006A2E06" w:rsidP="006A2E06">
      <w:pPr>
        <w:spacing w:after="120" w:line="360" w:lineRule="auto"/>
        <w:ind w:firstLine="567"/>
        <w:jc w:val="both"/>
      </w:pPr>
      <w:r>
        <w:t xml:space="preserve">In Chapter 8, I analysed the content of </w:t>
      </w:r>
      <w:r w:rsidRPr="00057F77">
        <w:rPr>
          <w:i/>
        </w:rPr>
        <w:t>SRB</w:t>
      </w:r>
      <w:r>
        <w:t xml:space="preserve"> book-by-book and revealed its extensive use of introductions to individual biblical books and to groups of books.  The commentary on the Pentateuch is foundational to Scofield’s biblical annotation and establishes him as an evangelical believer in the divine inspiration of the Bible.  The commentary on Genesis, Exodus and Leviticus is particularly rich in typological assertions, which reveal Scofield’s interpretation of the whole Bible as relating to Christ.  Four dispensations and four covenants are outlined in annotation of the Pentateuch and Scofield’s interpretations of prophecy and dualistic attitudes are introduced.  </w:t>
      </w:r>
    </w:p>
    <w:p w:rsidR="006A2E06" w:rsidRDefault="006A2E06" w:rsidP="006A2E06">
      <w:pPr>
        <w:spacing w:after="120" w:line="360" w:lineRule="auto"/>
        <w:ind w:firstLine="567"/>
        <w:jc w:val="both"/>
      </w:pPr>
      <w:r>
        <w:t xml:space="preserve">The paucity of annotation of the historical books is compensated by extensive introductions to each book and a large number of subheads.  The commentary on these books also contains various discourses and </w:t>
      </w:r>
      <w:r w:rsidRPr="002E065D">
        <w:rPr>
          <w:i/>
        </w:rPr>
        <w:t xml:space="preserve">excursi </w:t>
      </w:r>
      <w:r>
        <w:t xml:space="preserve">in a format which becomes more prevalent in New Testament notes.  The Davidic Covenant is </w:t>
      </w:r>
      <w:r>
        <w:lastRenderedPageBreak/>
        <w:t>introduced in the note on 2 Sam. 7:16.</w:t>
      </w:r>
      <w:r>
        <w:rPr>
          <w:rStyle w:val="EndnoteReference"/>
        </w:rPr>
        <w:endnoteReference w:id="3477"/>
      </w:r>
      <w:r>
        <w:t xml:space="preserve">  Scofield’s treatment of the historical books provides evidence of his commitment to biblical historicity.</w:t>
      </w:r>
    </w:p>
    <w:p w:rsidR="006A2E06" w:rsidRDefault="006A2E06" w:rsidP="006A2E06">
      <w:pPr>
        <w:spacing w:after="120" w:line="360" w:lineRule="auto"/>
        <w:ind w:firstLine="567"/>
        <w:jc w:val="both"/>
      </w:pPr>
      <w:r>
        <w:t>Of the ‘poetic</w:t>
      </w:r>
      <w:r w:rsidR="003913AC">
        <w:t>al</w:t>
      </w:r>
      <w:r>
        <w:t xml:space="preserve"> books</w:t>
      </w:r>
      <w:r w:rsidR="003913AC">
        <w:t>’</w:t>
      </w:r>
      <w:r>
        <w:t xml:space="preserve">, only Psalms bears any significant annotation.  This includes material concerning the eschatological kingdom, Christ’s relationship to the Davidic Covenant and the future for Israel.  Amongst the prophets, Daniel and Zechariah receive a disproportionate amount of attention in </w:t>
      </w:r>
      <w:r w:rsidRPr="00247844">
        <w:rPr>
          <w:i/>
        </w:rPr>
        <w:t>SRB</w:t>
      </w:r>
      <w:r>
        <w:t xml:space="preserve">.  Many intertestamental references are made. Important subjects are Daniel’s Seventy Weeks, the Times of the Gentiles and the Old Testament Kingdom Summary in the note on Zech. 12:8.  Much of the annotation of the prophetic books concentrates on Israel’s chastisement and future restoration, including the erection of the millennial temple.  Prophetic hortatory material is conspicuously lacking in the </w:t>
      </w:r>
      <w:r w:rsidRPr="00E37C3A">
        <w:rPr>
          <w:i/>
        </w:rPr>
        <w:t>SRB</w:t>
      </w:r>
      <w:r>
        <w:t xml:space="preserve"> notes.</w:t>
      </w:r>
    </w:p>
    <w:p w:rsidR="006A2E06" w:rsidRDefault="006A2E06" w:rsidP="006A2E06">
      <w:pPr>
        <w:spacing w:after="120" w:line="360" w:lineRule="auto"/>
        <w:ind w:firstLine="567"/>
        <w:jc w:val="both"/>
      </w:pPr>
      <w:r>
        <w:t xml:space="preserve">Old Testament commentary in </w:t>
      </w:r>
      <w:r w:rsidRPr="0071276A">
        <w:rPr>
          <w:i/>
        </w:rPr>
        <w:t>SRB</w:t>
      </w:r>
      <w:r>
        <w:t xml:space="preserve"> generally looks forward to the New Testament in its typological and Christological interpretations but it also emphasises the unfulfilled promises made to Israel under the Abrahamic and Davidic Covenants.  Much material concerns the future for God’s ‘earthly people’.</w:t>
      </w:r>
    </w:p>
    <w:p w:rsidR="006A2E06" w:rsidRDefault="006A2E06" w:rsidP="006A2E06">
      <w:pPr>
        <w:spacing w:after="120" w:line="360" w:lineRule="auto"/>
        <w:ind w:firstLine="567"/>
        <w:jc w:val="both"/>
      </w:pPr>
      <w:r>
        <w:t xml:space="preserve">New Testament commentary in </w:t>
      </w:r>
      <w:r w:rsidRPr="0071276A">
        <w:rPr>
          <w:i/>
        </w:rPr>
        <w:t>SRB</w:t>
      </w:r>
      <w:r>
        <w:t xml:space="preserve"> includes an increased number of discourses and </w:t>
      </w:r>
      <w:r w:rsidRPr="0071276A">
        <w:rPr>
          <w:i/>
        </w:rPr>
        <w:t>excursi</w:t>
      </w:r>
      <w:r>
        <w:t xml:space="preserve">, especially concerning Christian doctrine; these occur most often in the annotation of John and of the Pauline and Jewish-Christian epistles.  I argued that employment of the Bible Readings method is evident here.  There is much eschatological material in the commentary on Matthew and Revelation which is akin to Old Testament commentary.  </w:t>
      </w:r>
    </w:p>
    <w:p w:rsidR="006A2E06" w:rsidRDefault="006A2E06" w:rsidP="006A2E06">
      <w:pPr>
        <w:spacing w:after="120" w:line="360" w:lineRule="auto"/>
        <w:ind w:firstLine="567"/>
        <w:jc w:val="both"/>
      </w:pPr>
      <w:r>
        <w:t xml:space="preserve">Matthew takes the lion’s share of annotation of the Gospels and indeed of commentary on the Bible as a whole.  The other Gospels are often related to Matthew in the interests of harmonisation and many chapters in them and in Acts are not annotated.  Much annotation of Matthew relates to the kingdom, especially in its relationship to the kingdom of heaven, which Scofield regards as a separate entity from the kingdom of God.  Mark is almost totally neglected; even the ‘little apocalypse’ of Mark 13 receives no </w:t>
      </w:r>
      <w:r w:rsidRPr="009446BA">
        <w:rPr>
          <w:spacing w:val="2"/>
        </w:rPr>
        <w:t>comment.  Intimation of the start of the sixth dispensation, the Dispensation of Grace, is attached to John 1:17.</w:t>
      </w:r>
      <w:r>
        <w:rPr>
          <w:rStyle w:val="EndnoteReference"/>
        </w:rPr>
        <w:endnoteReference w:id="3478"/>
      </w:r>
    </w:p>
    <w:p w:rsidR="006A2E06" w:rsidRDefault="006A2E06" w:rsidP="006A2E06">
      <w:pPr>
        <w:spacing w:after="120" w:line="360" w:lineRule="auto"/>
        <w:ind w:firstLine="567"/>
        <w:jc w:val="both"/>
      </w:pPr>
      <w:r>
        <w:t>Discourses on Christian doctrine are prevalent in the notes on the Pauline and Deutero-Pauline epistles, especially Romans, 1 Corinthians and Ephesians.  This is a notable change from Old Testament commentary.  Unsurprisingly, annotation of Romans 11 concentrates on the eschatological future for Israel as the earthly people of God.  Commentary on these epistles contains less eschatological material but the subject of the note on 1 Cor. 15:24 is Scofield’s New Testament summary of the kingdom.  The seventh dispensation, the Kingdom, is introduced in the note on Eph. 1:10.</w:t>
      </w:r>
      <w:r>
        <w:rPr>
          <w:rStyle w:val="EndnoteReference"/>
        </w:rPr>
        <w:endnoteReference w:id="3479"/>
      </w:r>
    </w:p>
    <w:p w:rsidR="006A2E06" w:rsidRDefault="006A2E06" w:rsidP="006A2E06">
      <w:pPr>
        <w:spacing w:after="120" w:line="360" w:lineRule="auto"/>
        <w:ind w:firstLine="567"/>
        <w:jc w:val="both"/>
      </w:pPr>
      <w:r>
        <w:t>The notes on the Jewish-Christian epistles also contain doctrinal discourses, notably the long discourse on angels in annotation of Hebrews 1.</w:t>
      </w:r>
      <w:r>
        <w:rPr>
          <w:rStyle w:val="EndnoteReference"/>
        </w:rPr>
        <w:endnoteReference w:id="3480"/>
      </w:r>
      <w:r>
        <w:t xml:space="preserve">  The triple note on Heb. 8:8 represents the climax of Scofield’s commentary on covenants.</w:t>
      </w:r>
    </w:p>
    <w:p w:rsidR="006A2E06" w:rsidRDefault="006A2E06" w:rsidP="006A2E06">
      <w:pPr>
        <w:spacing w:after="120" w:line="360" w:lineRule="auto"/>
        <w:ind w:firstLine="567"/>
        <w:jc w:val="both"/>
      </w:pPr>
      <w:r>
        <w:lastRenderedPageBreak/>
        <w:t xml:space="preserve">The annotation of Revelation is inevitably mainly eschatological, though it does also contain some doctrinal material.  The great tribulation, the beast, Christ’s return and Armageddon receive heavy annotation but, strangely, the subjects of the kingdom and times of the Gentiles are not emphasised.  This may be because Scofield </w:t>
      </w:r>
      <w:r w:rsidRPr="00524365">
        <w:rPr>
          <w:spacing w:val="-2"/>
        </w:rPr>
        <w:t>considered the</w:t>
      </w:r>
      <w:r>
        <w:rPr>
          <w:spacing w:val="-2"/>
        </w:rPr>
        <w:t>se</w:t>
      </w:r>
      <w:r w:rsidRPr="00524365">
        <w:rPr>
          <w:spacing w:val="-2"/>
        </w:rPr>
        <w:t xml:space="preserve"> subject</w:t>
      </w:r>
      <w:r>
        <w:rPr>
          <w:spacing w:val="-2"/>
        </w:rPr>
        <w:t>s</w:t>
      </w:r>
      <w:r w:rsidRPr="00524365">
        <w:rPr>
          <w:spacing w:val="-2"/>
        </w:rPr>
        <w:t xml:space="preserve"> as already covered, particularly in </w:t>
      </w:r>
      <w:r>
        <w:rPr>
          <w:spacing w:val="-2"/>
        </w:rPr>
        <w:t xml:space="preserve">annotation of Daniel 9, </w:t>
      </w:r>
      <w:r w:rsidRPr="00524365">
        <w:rPr>
          <w:spacing w:val="-2"/>
        </w:rPr>
        <w:t>Zech. 12:8, Matthew, 1 Cor. 15:24 and Eph</w:t>
      </w:r>
      <w:r>
        <w:t xml:space="preserve">. 1:10.  This illustrates again that Old and New Testaments are considered as one in </w:t>
      </w:r>
      <w:r w:rsidRPr="00524365">
        <w:rPr>
          <w:i/>
        </w:rPr>
        <w:t>SRB</w:t>
      </w:r>
      <w:r>
        <w:t xml:space="preserve">.  </w:t>
      </w:r>
    </w:p>
    <w:p w:rsidR="006A2E06" w:rsidRDefault="006A2E06" w:rsidP="006A2E06">
      <w:pPr>
        <w:spacing w:after="120" w:line="360" w:lineRule="auto"/>
        <w:jc w:val="both"/>
      </w:pPr>
      <w:r w:rsidRPr="0092675F">
        <w:rPr>
          <w:b/>
        </w:rPr>
        <w:t>Summary</w:t>
      </w:r>
      <w:r>
        <w:t xml:space="preserve">: </w:t>
      </w:r>
    </w:p>
    <w:p w:rsidR="006A2E06" w:rsidRDefault="00557B0B" w:rsidP="006A2E06">
      <w:pPr>
        <w:spacing w:after="120" w:line="360" w:lineRule="auto"/>
        <w:jc w:val="both"/>
      </w:pPr>
      <w:r>
        <w:t>My</w:t>
      </w:r>
      <w:r w:rsidR="006A2E06">
        <w:t xml:space="preserve"> research questions have been answered in the affirmative: I have shown that </w:t>
      </w:r>
      <w:r w:rsidR="006A2E06" w:rsidRPr="0092675F">
        <w:rPr>
          <w:i/>
        </w:rPr>
        <w:t>SRB</w:t>
      </w:r>
      <w:r w:rsidR="006A2E06">
        <w:t xml:space="preserve"> does dispense dispensationalism and that </w:t>
      </w:r>
      <w:r>
        <w:t xml:space="preserve">its </w:t>
      </w:r>
      <w:r w:rsidR="006A2E06">
        <w:t xml:space="preserve">dispensationalism is classical in nature even though Scofield makes his own adaptations.  Observation of the graphs in the Introduction and Chapter 8 indicates that </w:t>
      </w:r>
      <w:r w:rsidR="006A2E06" w:rsidRPr="0092675F">
        <w:rPr>
          <w:i/>
        </w:rPr>
        <w:t>SRB</w:t>
      </w:r>
      <w:r w:rsidR="006A2E06">
        <w:t xml:space="preserve"> is very sporadic in its coverage of the biblical text, which Scofield uses to propagate dispensationalist interpretations but also evangelical Christian doctrine, particularly in New Testament commentary.  I have </w:t>
      </w:r>
      <w:r w:rsidR="006A2E06" w:rsidRPr="002D4F16">
        <w:rPr>
          <w:spacing w:val="-2"/>
        </w:rPr>
        <w:t>also shown that Scofield belonged to a succession of dispensational writers from Darby until the present day</w:t>
      </w:r>
      <w:r w:rsidR="006A2E06">
        <w:t>.</w:t>
      </w:r>
    </w:p>
    <w:p w:rsidR="006A2E06" w:rsidRPr="001B39AF" w:rsidRDefault="006A2E06" w:rsidP="006A2E06">
      <w:pPr>
        <w:spacing w:after="120" w:line="360" w:lineRule="auto"/>
        <w:jc w:val="both"/>
        <w:rPr>
          <w:b/>
          <w:sz w:val="24"/>
        </w:rPr>
      </w:pPr>
      <w:r>
        <w:rPr>
          <w:b/>
          <w:sz w:val="24"/>
        </w:rPr>
        <w:t xml:space="preserve">Contribution to </w:t>
      </w:r>
      <w:r w:rsidR="004329AD">
        <w:rPr>
          <w:b/>
          <w:sz w:val="24"/>
        </w:rPr>
        <w:t>Research</w:t>
      </w:r>
    </w:p>
    <w:p w:rsidR="006A2E06" w:rsidRDefault="006A2E06" w:rsidP="006A2E06">
      <w:pPr>
        <w:spacing w:after="120" w:line="360" w:lineRule="auto"/>
        <w:jc w:val="both"/>
        <w:rPr>
          <w:rFonts w:cs="Perpetua"/>
        </w:rPr>
      </w:pPr>
      <w:r>
        <w:t xml:space="preserve">From my research, it appears that </w:t>
      </w:r>
      <w:r w:rsidRPr="00CD560F">
        <w:rPr>
          <w:rFonts w:cs="Perpetua"/>
        </w:rPr>
        <w:t>no detailed analysis of the</w:t>
      </w:r>
      <w:r w:rsidRPr="00CD560F">
        <w:rPr>
          <w:rFonts w:cs="Perpetua"/>
          <w:w w:val="99"/>
        </w:rPr>
        <w:t xml:space="preserve"> </w:t>
      </w:r>
      <w:r w:rsidRPr="00CD560F">
        <w:rPr>
          <w:rFonts w:cs="Perpetua"/>
        </w:rPr>
        <w:t xml:space="preserve">content of </w:t>
      </w:r>
      <w:r w:rsidRPr="00CD560F">
        <w:rPr>
          <w:rFonts w:cs="Perpetua"/>
          <w:i/>
        </w:rPr>
        <w:t>SRB</w:t>
      </w:r>
      <w:r w:rsidRPr="00A4439C">
        <w:rPr>
          <w:rFonts w:cs="Perpetua"/>
        </w:rPr>
        <w:t xml:space="preserve">, </w:t>
      </w:r>
      <w:r w:rsidRPr="008C546F">
        <w:rPr>
          <w:rFonts w:cs="Perpetua"/>
        </w:rPr>
        <w:t>especially</w:t>
      </w:r>
      <w:r>
        <w:rPr>
          <w:rFonts w:cs="Perpetua"/>
          <w:i/>
        </w:rPr>
        <w:t xml:space="preserve"> vis-à-vis </w:t>
      </w:r>
      <w:r w:rsidRPr="008C546F">
        <w:rPr>
          <w:rFonts w:cs="Perpetua"/>
        </w:rPr>
        <w:t xml:space="preserve">its dispensational </w:t>
      </w:r>
      <w:r>
        <w:rPr>
          <w:rFonts w:cs="Perpetua"/>
        </w:rPr>
        <w:t>elements,</w:t>
      </w:r>
      <w:r>
        <w:rPr>
          <w:rFonts w:cs="Perpetua"/>
          <w:i/>
        </w:rPr>
        <w:t xml:space="preserve"> </w:t>
      </w:r>
      <w:r w:rsidRPr="00CD560F">
        <w:rPr>
          <w:rFonts w:cs="Perpetua"/>
        </w:rPr>
        <w:t>has ever been undertaken before</w:t>
      </w:r>
      <w:r>
        <w:rPr>
          <w:rFonts w:cs="Perpetua"/>
        </w:rPr>
        <w:t xml:space="preserve">.  Previous studies have concentrated upon dispensationalism itself, often making reference to </w:t>
      </w:r>
      <w:r w:rsidRPr="00F52DAA">
        <w:rPr>
          <w:rFonts w:cs="Perpetua"/>
          <w:i/>
        </w:rPr>
        <w:t>SRB</w:t>
      </w:r>
      <w:r>
        <w:rPr>
          <w:rFonts w:cs="Perpetua"/>
        </w:rPr>
        <w:t>,</w:t>
      </w:r>
      <w:r>
        <w:rPr>
          <w:rStyle w:val="EndnoteReference"/>
          <w:rFonts w:cs="Perpetua"/>
        </w:rPr>
        <w:endnoteReference w:id="3481"/>
      </w:r>
      <w:r>
        <w:rPr>
          <w:rFonts w:cs="Perpetua"/>
        </w:rPr>
        <w:t xml:space="preserve"> upon premillennialism, prophecy and American culture,</w:t>
      </w:r>
      <w:r>
        <w:rPr>
          <w:rStyle w:val="EndnoteReference"/>
          <w:rFonts w:cs="Perpetua"/>
        </w:rPr>
        <w:endnoteReference w:id="3482"/>
      </w:r>
      <w:r>
        <w:rPr>
          <w:rFonts w:cs="Perpetua"/>
        </w:rPr>
        <w:t xml:space="preserve"> and upon Scofield’s life-story.</w:t>
      </w:r>
      <w:r>
        <w:rPr>
          <w:rStyle w:val="EndnoteReference"/>
          <w:rFonts w:cs="Perpetua"/>
        </w:rPr>
        <w:endnoteReference w:id="3483"/>
      </w:r>
      <w:r>
        <w:rPr>
          <w:rFonts w:cs="Perpetua"/>
        </w:rPr>
        <w:t xml:space="preserve">  In addition, works by Mangum and Sweetnam,</w:t>
      </w:r>
      <w:r>
        <w:rPr>
          <w:rStyle w:val="EndnoteReference"/>
          <w:rFonts w:cs="Perpetua"/>
        </w:rPr>
        <w:endnoteReference w:id="3484"/>
      </w:r>
      <w:r>
        <w:rPr>
          <w:rFonts w:cs="Perpetua"/>
        </w:rPr>
        <w:t xml:space="preserve"> Pieters,</w:t>
      </w:r>
      <w:r>
        <w:rPr>
          <w:rStyle w:val="EndnoteReference"/>
          <w:rFonts w:cs="Perpetua"/>
        </w:rPr>
        <w:endnoteReference w:id="3485"/>
      </w:r>
      <w:r>
        <w:rPr>
          <w:rFonts w:cs="Perpetua"/>
        </w:rPr>
        <w:t xml:space="preserve"> Sizer</w:t>
      </w:r>
      <w:r>
        <w:rPr>
          <w:rStyle w:val="EndnoteReference"/>
          <w:rFonts w:cs="Perpetua"/>
        </w:rPr>
        <w:endnoteReference w:id="3486"/>
      </w:r>
      <w:r>
        <w:rPr>
          <w:rFonts w:cs="Perpetua"/>
        </w:rPr>
        <w:t xml:space="preserve"> and Charles and Emma Weston</w:t>
      </w:r>
      <w:r>
        <w:rPr>
          <w:rStyle w:val="EndnoteReference"/>
          <w:rFonts w:cs="Perpetua"/>
        </w:rPr>
        <w:endnoteReference w:id="3487"/>
      </w:r>
      <w:r>
        <w:rPr>
          <w:rFonts w:cs="Perpetua"/>
        </w:rPr>
        <w:t xml:space="preserve"> focus more deeply upon </w:t>
      </w:r>
      <w:r w:rsidRPr="000F2341">
        <w:rPr>
          <w:rFonts w:cs="Perpetua"/>
          <w:i/>
        </w:rPr>
        <w:t>SRB</w:t>
      </w:r>
      <w:r>
        <w:rPr>
          <w:rFonts w:cs="Perpetua"/>
        </w:rPr>
        <w:t xml:space="preserve"> itself.</w:t>
      </w:r>
      <w:r>
        <w:rPr>
          <w:rStyle w:val="EndnoteReference"/>
          <w:rFonts w:cs="Perpetua"/>
        </w:rPr>
        <w:endnoteReference w:id="3488"/>
      </w:r>
      <w:r>
        <w:rPr>
          <w:rFonts w:cs="Perpetua"/>
        </w:rPr>
        <w:t xml:space="preserve">  However, although such studies have been very useful in providing background sources for my examination of </w:t>
      </w:r>
      <w:r w:rsidRPr="009C0EC9">
        <w:rPr>
          <w:rFonts w:cs="Perpetua"/>
          <w:i/>
        </w:rPr>
        <w:t>SRB</w:t>
      </w:r>
      <w:r>
        <w:rPr>
          <w:rFonts w:cs="Perpetua"/>
        </w:rPr>
        <w:t>, none has</w:t>
      </w:r>
      <w:r w:rsidRPr="009C0EC9">
        <w:rPr>
          <w:rFonts w:cs="Perpetua"/>
        </w:rPr>
        <w:t xml:space="preserve"> </w:t>
      </w:r>
      <w:r w:rsidRPr="00CD560F">
        <w:rPr>
          <w:rFonts w:cs="Perpetua"/>
        </w:rPr>
        <w:t xml:space="preserve">analysed the way in which </w:t>
      </w:r>
      <w:r w:rsidRPr="00CD560F">
        <w:rPr>
          <w:rFonts w:cs="Perpetua"/>
          <w:i/>
        </w:rPr>
        <w:t>SRB</w:t>
      </w:r>
      <w:r w:rsidRPr="00CD560F">
        <w:rPr>
          <w:rFonts w:cs="Perpetua"/>
        </w:rPr>
        <w:t xml:space="preserve"> has supplied and continues to supply a written</w:t>
      </w:r>
      <w:r w:rsidRPr="00CD560F">
        <w:rPr>
          <w:rFonts w:cs="Perpetua"/>
          <w:w w:val="99"/>
        </w:rPr>
        <w:t xml:space="preserve"> </w:t>
      </w:r>
      <w:r w:rsidRPr="00CD560F">
        <w:rPr>
          <w:rFonts w:cs="Perpetua"/>
        </w:rPr>
        <w:t xml:space="preserve">source for </w:t>
      </w:r>
      <w:r>
        <w:rPr>
          <w:rFonts w:cs="Perpetua"/>
        </w:rPr>
        <w:t>the</w:t>
      </w:r>
      <w:r w:rsidRPr="00CD560F">
        <w:rPr>
          <w:rFonts w:cs="Perpetua"/>
        </w:rPr>
        <w:t xml:space="preserve"> propagation</w:t>
      </w:r>
      <w:r>
        <w:rPr>
          <w:rFonts w:cs="Perpetua"/>
        </w:rPr>
        <w:t xml:space="preserve"> of one version of the dispensationalist system</w:t>
      </w:r>
      <w:r w:rsidRPr="00CD560F">
        <w:rPr>
          <w:rFonts w:cs="Perpetua"/>
        </w:rPr>
        <w:t>.</w:t>
      </w:r>
      <w:r>
        <w:rPr>
          <w:rFonts w:cs="Perpetua"/>
        </w:rPr>
        <w:t xml:space="preserve">  My study should, therefore, provide a useful basis for further studies, which might take into account the notes in the central columns of </w:t>
      </w:r>
      <w:r w:rsidRPr="00457ED4">
        <w:rPr>
          <w:rFonts w:cs="Perpetua"/>
          <w:i/>
        </w:rPr>
        <w:t>SRB</w:t>
      </w:r>
      <w:r>
        <w:rPr>
          <w:rFonts w:cs="Perpetua"/>
        </w:rPr>
        <w:t xml:space="preserve"> and examine more deeply the doctrinal material included in discourses in </w:t>
      </w:r>
      <w:r w:rsidRPr="00457ED4">
        <w:rPr>
          <w:rFonts w:cs="Perpetua"/>
          <w:i/>
        </w:rPr>
        <w:t>SRB</w:t>
      </w:r>
      <w:r>
        <w:rPr>
          <w:rFonts w:cs="Perpetua"/>
        </w:rPr>
        <w:t xml:space="preserve">.  Further study could also explore the influence which </w:t>
      </w:r>
      <w:r w:rsidRPr="00457ED4">
        <w:rPr>
          <w:rFonts w:cs="Perpetua"/>
          <w:i/>
        </w:rPr>
        <w:t>SRB</w:t>
      </w:r>
      <w:r>
        <w:rPr>
          <w:rFonts w:cs="Perpetua"/>
        </w:rPr>
        <w:t xml:space="preserve"> continues to exert a century after its publication.</w:t>
      </w:r>
    </w:p>
    <w:p w:rsidR="005E3315" w:rsidRDefault="005E3315" w:rsidP="006A2E06">
      <w:pPr>
        <w:spacing w:after="120" w:line="360" w:lineRule="auto"/>
        <w:jc w:val="both"/>
        <w:rPr>
          <w:rFonts w:cs="Perpetua"/>
        </w:rPr>
        <w:sectPr w:rsidR="005E3315" w:rsidSect="00F1470F">
          <w:headerReference w:type="default" r:id="rId225"/>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6A2E06" w:rsidRDefault="006A2E06" w:rsidP="00A44CBC">
      <w:pPr>
        <w:spacing w:after="120" w:line="360" w:lineRule="auto"/>
        <w:rPr>
          <w:rFonts w:cs="Perpetua"/>
        </w:rPr>
      </w:pPr>
    </w:p>
    <w:p w:rsidR="005D6C2A" w:rsidRPr="00E827E2" w:rsidRDefault="005D6C2A" w:rsidP="005D6C2A">
      <w:pPr>
        <w:jc w:val="center"/>
        <w:rPr>
          <w:sz w:val="56"/>
        </w:rPr>
      </w:pPr>
      <w:r>
        <w:rPr>
          <w:sz w:val="72"/>
        </w:rPr>
        <w:t>Dispensing Dispensationalism:</w:t>
      </w:r>
    </w:p>
    <w:p w:rsidR="005D6C2A" w:rsidRPr="00E827E2" w:rsidRDefault="005D6C2A" w:rsidP="005D6C2A">
      <w:pPr>
        <w:jc w:val="center"/>
        <w:rPr>
          <w:sz w:val="56"/>
        </w:rPr>
      </w:pPr>
      <w:r w:rsidRPr="00E827E2">
        <w:rPr>
          <w:sz w:val="56"/>
        </w:rPr>
        <w:t xml:space="preserve">A Critical Analysis of the </w:t>
      </w:r>
    </w:p>
    <w:p w:rsidR="005D6C2A" w:rsidRPr="00E827E2" w:rsidRDefault="005D6C2A" w:rsidP="005D6C2A">
      <w:pPr>
        <w:jc w:val="center"/>
        <w:rPr>
          <w:sz w:val="56"/>
        </w:rPr>
      </w:pPr>
      <w:r w:rsidRPr="00E827E2">
        <w:rPr>
          <w:sz w:val="56"/>
        </w:rPr>
        <w:t xml:space="preserve">1917 Scofield Reference Bible </w:t>
      </w:r>
    </w:p>
    <w:p w:rsidR="005D6C2A" w:rsidRPr="007C1A1D" w:rsidRDefault="005D6C2A" w:rsidP="005D6C2A">
      <w:pPr>
        <w:jc w:val="center"/>
        <w:rPr>
          <w:sz w:val="4"/>
        </w:rPr>
      </w:pPr>
    </w:p>
    <w:p w:rsidR="005D6C2A" w:rsidRDefault="00D17FEB" w:rsidP="005D6C2A">
      <w:pPr>
        <w:spacing w:after="240" w:line="240" w:lineRule="auto"/>
        <w:jc w:val="center"/>
        <w:rPr>
          <w:sz w:val="72"/>
        </w:rPr>
      </w:pPr>
      <w:r>
        <w:rPr>
          <w:sz w:val="72"/>
        </w:rPr>
        <w:t>Hilary Margaret</w:t>
      </w:r>
      <w:r w:rsidRPr="009514F5">
        <w:rPr>
          <w:sz w:val="72"/>
        </w:rPr>
        <w:t xml:space="preserve"> P</w:t>
      </w:r>
      <w:r>
        <w:rPr>
          <w:sz w:val="72"/>
        </w:rPr>
        <w:t>erry</w:t>
      </w:r>
    </w:p>
    <w:p w:rsidR="005D6C2A" w:rsidRPr="00C36189" w:rsidRDefault="005D6C2A" w:rsidP="005D6C2A">
      <w:pPr>
        <w:jc w:val="center"/>
        <w:rPr>
          <w:sz w:val="52"/>
        </w:rPr>
      </w:pPr>
      <w:r w:rsidRPr="00C36189">
        <w:rPr>
          <w:sz w:val="56"/>
        </w:rPr>
        <w:t xml:space="preserve">Volume </w:t>
      </w:r>
      <w:r>
        <w:rPr>
          <w:sz w:val="56"/>
        </w:rPr>
        <w:t>2</w:t>
      </w:r>
    </w:p>
    <w:p w:rsidR="005D6C2A" w:rsidRPr="00C36189" w:rsidRDefault="005D6C2A" w:rsidP="005D6C2A">
      <w:pPr>
        <w:spacing w:after="240" w:line="240" w:lineRule="auto"/>
        <w:jc w:val="center"/>
        <w:rPr>
          <w:sz w:val="2"/>
        </w:rPr>
      </w:pPr>
    </w:p>
    <w:p w:rsidR="005D6C2A" w:rsidRPr="007C1A1D" w:rsidRDefault="005D6C2A" w:rsidP="005D6C2A">
      <w:pPr>
        <w:spacing w:after="240" w:line="240" w:lineRule="auto"/>
        <w:jc w:val="center"/>
        <w:rPr>
          <w:sz w:val="4"/>
        </w:rPr>
      </w:pPr>
    </w:p>
    <w:p w:rsidR="005D6C2A" w:rsidRPr="00C36189" w:rsidRDefault="005D6C2A" w:rsidP="005D6C2A">
      <w:pPr>
        <w:jc w:val="center"/>
        <w:rPr>
          <w:sz w:val="52"/>
        </w:rPr>
      </w:pPr>
      <w:r w:rsidRPr="00C36189">
        <w:rPr>
          <w:sz w:val="52"/>
        </w:rPr>
        <w:t>Thesis Submitted for the Degree of</w:t>
      </w:r>
    </w:p>
    <w:p w:rsidR="005D6C2A" w:rsidRDefault="005D6C2A" w:rsidP="005D6C2A">
      <w:pPr>
        <w:jc w:val="center"/>
        <w:rPr>
          <w:sz w:val="52"/>
        </w:rPr>
      </w:pPr>
      <w:r w:rsidRPr="00C36189">
        <w:rPr>
          <w:sz w:val="52"/>
        </w:rPr>
        <w:t>Doctor of Philosophy</w:t>
      </w:r>
    </w:p>
    <w:p w:rsidR="005D6C2A" w:rsidRPr="00C36189" w:rsidRDefault="005D6C2A" w:rsidP="005D6C2A">
      <w:pPr>
        <w:jc w:val="center"/>
        <w:rPr>
          <w:sz w:val="52"/>
        </w:rPr>
      </w:pPr>
    </w:p>
    <w:p w:rsidR="005D6C2A" w:rsidRPr="007C1A1D" w:rsidRDefault="005D6C2A" w:rsidP="005D6C2A">
      <w:pPr>
        <w:jc w:val="center"/>
        <w:rPr>
          <w:sz w:val="4"/>
        </w:rPr>
      </w:pPr>
    </w:p>
    <w:p w:rsidR="005D6C2A" w:rsidRPr="005D6C2A" w:rsidRDefault="005D6C2A" w:rsidP="005D6C2A">
      <w:pPr>
        <w:spacing w:after="240" w:line="240" w:lineRule="auto"/>
        <w:jc w:val="center"/>
        <w:rPr>
          <w:sz w:val="52"/>
        </w:rPr>
      </w:pPr>
      <w:r w:rsidRPr="005D6C2A">
        <w:rPr>
          <w:sz w:val="52"/>
        </w:rPr>
        <w:t xml:space="preserve">Sheffield Institute of </w:t>
      </w:r>
    </w:p>
    <w:p w:rsidR="005D6C2A" w:rsidRPr="005D6C2A" w:rsidRDefault="005D6C2A" w:rsidP="005D6C2A">
      <w:pPr>
        <w:spacing w:after="240" w:line="240" w:lineRule="auto"/>
        <w:jc w:val="center"/>
        <w:rPr>
          <w:sz w:val="52"/>
        </w:rPr>
      </w:pPr>
      <w:r w:rsidRPr="005D6C2A">
        <w:rPr>
          <w:sz w:val="52"/>
        </w:rPr>
        <w:t>Interdisciplinary Biblical Studies:</w:t>
      </w:r>
    </w:p>
    <w:p w:rsidR="005D6C2A" w:rsidRPr="005D6C2A" w:rsidRDefault="005D6C2A" w:rsidP="005D6C2A">
      <w:pPr>
        <w:jc w:val="center"/>
        <w:rPr>
          <w:sz w:val="52"/>
        </w:rPr>
      </w:pPr>
      <w:r w:rsidRPr="005D6C2A">
        <w:rPr>
          <w:sz w:val="52"/>
        </w:rPr>
        <w:t>Department of History</w:t>
      </w:r>
    </w:p>
    <w:p w:rsidR="005D6C2A" w:rsidRPr="005D6C2A" w:rsidRDefault="005D6C2A" w:rsidP="005D6C2A">
      <w:pPr>
        <w:jc w:val="center"/>
        <w:rPr>
          <w:sz w:val="12"/>
        </w:rPr>
      </w:pPr>
    </w:p>
    <w:p w:rsidR="005D6C2A" w:rsidRPr="005D6C2A" w:rsidRDefault="005D6C2A" w:rsidP="005D6C2A">
      <w:pPr>
        <w:jc w:val="center"/>
        <w:rPr>
          <w:sz w:val="52"/>
          <w:szCs w:val="48"/>
        </w:rPr>
      </w:pPr>
      <w:r w:rsidRPr="005D6C2A">
        <w:rPr>
          <w:sz w:val="52"/>
          <w:szCs w:val="48"/>
        </w:rPr>
        <w:t>July 2018</w:t>
      </w: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096953" w:rsidRDefault="00096953" w:rsidP="006A2E06">
      <w:pPr>
        <w:spacing w:after="120" w:line="360" w:lineRule="auto"/>
        <w:jc w:val="both"/>
        <w:rPr>
          <w:rFonts w:cs="Perpetua"/>
        </w:rPr>
      </w:pPr>
    </w:p>
    <w:p w:rsidR="00096953" w:rsidRDefault="00096953" w:rsidP="00096953">
      <w:pPr>
        <w:autoSpaceDE w:val="0"/>
        <w:autoSpaceDN w:val="0"/>
        <w:adjustRightInd w:val="0"/>
        <w:spacing w:after="0" w:line="240" w:lineRule="auto"/>
        <w:jc w:val="center"/>
        <w:rPr>
          <w:rFonts w:cs="Symbol"/>
          <w:sz w:val="40"/>
        </w:rPr>
      </w:pPr>
      <w:r w:rsidRPr="005941BA">
        <w:rPr>
          <w:rFonts w:ascii="Symbol" w:hAnsi="Symbol" w:cs="Symbol"/>
          <w:sz w:val="56"/>
          <w:szCs w:val="23"/>
        </w:rPr>
        <w:t></w:t>
      </w:r>
      <w:r w:rsidRPr="005941BA">
        <w:rPr>
          <w:rFonts w:cs="Symbol"/>
          <w:sz w:val="40"/>
        </w:rPr>
        <w:t>201</w:t>
      </w:r>
      <w:r>
        <w:rPr>
          <w:rFonts w:cs="Symbol"/>
          <w:sz w:val="40"/>
        </w:rPr>
        <w:t>8</w:t>
      </w:r>
    </w:p>
    <w:p w:rsidR="00096953" w:rsidRDefault="00096953" w:rsidP="00096953">
      <w:pPr>
        <w:autoSpaceDE w:val="0"/>
        <w:autoSpaceDN w:val="0"/>
        <w:adjustRightInd w:val="0"/>
        <w:spacing w:after="0" w:line="240" w:lineRule="auto"/>
        <w:jc w:val="center"/>
        <w:rPr>
          <w:rFonts w:cs="Symbol"/>
          <w:sz w:val="40"/>
        </w:rPr>
      </w:pPr>
      <w:r>
        <w:rPr>
          <w:rFonts w:cs="Symbol"/>
          <w:sz w:val="40"/>
        </w:rPr>
        <w:t>Hilary Margaret Perry</w:t>
      </w:r>
    </w:p>
    <w:p w:rsidR="00096953" w:rsidRDefault="00096953" w:rsidP="00096953">
      <w:pPr>
        <w:autoSpaceDE w:val="0"/>
        <w:autoSpaceDN w:val="0"/>
        <w:adjustRightInd w:val="0"/>
        <w:spacing w:after="0" w:line="240" w:lineRule="auto"/>
        <w:jc w:val="center"/>
        <w:rPr>
          <w:rFonts w:cs="Symbol"/>
          <w:sz w:val="40"/>
        </w:rPr>
      </w:pPr>
      <w:r>
        <w:rPr>
          <w:rFonts w:cs="Symbol"/>
          <w:sz w:val="40"/>
        </w:rPr>
        <w:t>ALL RIGHTS RESERVED</w:t>
      </w:r>
    </w:p>
    <w:p w:rsidR="00F31C0D" w:rsidRDefault="00F31C0D" w:rsidP="00096953">
      <w:pPr>
        <w:spacing w:after="120" w:line="360" w:lineRule="auto"/>
        <w:jc w:val="center"/>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F31C0D" w:rsidRDefault="00F31C0D" w:rsidP="006A2E06">
      <w:pPr>
        <w:spacing w:after="120" w:line="360" w:lineRule="auto"/>
        <w:jc w:val="both"/>
        <w:rPr>
          <w:rFonts w:cs="Perpetua"/>
        </w:rPr>
      </w:pPr>
    </w:p>
    <w:p w:rsidR="005E3315" w:rsidRDefault="005E3315" w:rsidP="006A2E06">
      <w:pPr>
        <w:spacing w:after="120" w:line="360" w:lineRule="auto"/>
        <w:jc w:val="both"/>
        <w:rPr>
          <w:rFonts w:cs="Perpetua"/>
        </w:rPr>
        <w:sectPr w:rsidR="005E3315" w:rsidSect="00F1470F">
          <w:headerReference w:type="even" r:id="rId226"/>
          <w:headerReference w:type="default" r:id="rId227"/>
          <w:footerReference w:type="even" r:id="rId228"/>
          <w:footerReference w:type="default" r:id="rId229"/>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p>
    <w:p w:rsidR="00D90FE2" w:rsidRPr="00026173" w:rsidRDefault="00D90FE2" w:rsidP="00D90FE2">
      <w:pPr>
        <w:autoSpaceDE w:val="0"/>
        <w:autoSpaceDN w:val="0"/>
        <w:adjustRightInd w:val="0"/>
        <w:spacing w:after="120" w:line="360" w:lineRule="auto"/>
        <w:ind w:right="71"/>
        <w:jc w:val="center"/>
        <w:rPr>
          <w:b/>
          <w:sz w:val="28"/>
          <w:szCs w:val="24"/>
        </w:rPr>
      </w:pPr>
      <w:bookmarkStart w:id="25" w:name="CaseStudyZech"/>
      <w:bookmarkEnd w:id="25"/>
      <w:r w:rsidRPr="00026173">
        <w:rPr>
          <w:b/>
          <w:sz w:val="28"/>
          <w:szCs w:val="24"/>
        </w:rPr>
        <w:lastRenderedPageBreak/>
        <w:t xml:space="preserve">CASE STUDIES: </w:t>
      </w:r>
    </w:p>
    <w:p w:rsidR="00D90FE2" w:rsidRPr="009B2FE4" w:rsidRDefault="00D90FE2" w:rsidP="00D90FE2">
      <w:pPr>
        <w:autoSpaceDE w:val="0"/>
        <w:autoSpaceDN w:val="0"/>
        <w:adjustRightInd w:val="0"/>
        <w:spacing w:line="360" w:lineRule="auto"/>
        <w:ind w:right="74" w:firstLine="539"/>
        <w:jc w:val="center"/>
        <w:rPr>
          <w:b/>
          <w:sz w:val="28"/>
          <w:szCs w:val="28"/>
        </w:rPr>
      </w:pPr>
      <w:r w:rsidRPr="009B2FE4">
        <w:rPr>
          <w:b/>
          <w:i/>
          <w:sz w:val="28"/>
          <w:szCs w:val="28"/>
        </w:rPr>
        <w:t xml:space="preserve">Some Scholarly Interpretations of Key Texts Used by Scofield </w:t>
      </w:r>
      <w:r>
        <w:rPr>
          <w:b/>
          <w:i/>
          <w:sz w:val="28"/>
          <w:szCs w:val="28"/>
        </w:rPr>
        <w:t>Concerning The Kingdom</w:t>
      </w:r>
    </w:p>
    <w:p w:rsidR="00D90FE2" w:rsidRPr="00236B58" w:rsidRDefault="00D90FE2" w:rsidP="00D90FE2">
      <w:pPr>
        <w:autoSpaceDE w:val="0"/>
        <w:autoSpaceDN w:val="0"/>
        <w:adjustRightInd w:val="0"/>
        <w:spacing w:after="120" w:line="360" w:lineRule="auto"/>
        <w:ind w:right="71"/>
        <w:jc w:val="center"/>
        <w:rPr>
          <w:b/>
          <w:sz w:val="28"/>
          <w:szCs w:val="24"/>
        </w:rPr>
      </w:pPr>
      <w:r w:rsidRPr="00236B58">
        <w:rPr>
          <w:b/>
          <w:sz w:val="28"/>
          <w:szCs w:val="24"/>
        </w:rPr>
        <w:t>1  Zechariah 12</w:t>
      </w:r>
    </w:p>
    <w:p w:rsidR="00D90FE2" w:rsidRPr="00AE5303" w:rsidRDefault="00D90FE2" w:rsidP="00D90FE2">
      <w:pPr>
        <w:autoSpaceDE w:val="0"/>
        <w:autoSpaceDN w:val="0"/>
        <w:adjustRightInd w:val="0"/>
        <w:spacing w:after="120" w:line="360" w:lineRule="auto"/>
        <w:ind w:right="71"/>
        <w:jc w:val="both"/>
      </w:pPr>
      <w:r w:rsidRPr="00AE5303">
        <w:t xml:space="preserve">Scofield’s note on Zechariah 12:8 contains his summary of ‘the kingdom in the Old Testament’ and attracts more cross-references from other notes than any other in </w:t>
      </w:r>
      <w:r w:rsidRPr="00AE5303">
        <w:rPr>
          <w:i/>
        </w:rPr>
        <w:t>SRB</w:t>
      </w:r>
      <w:r w:rsidRPr="00AE5303">
        <w:t>.</w:t>
      </w:r>
      <w:r w:rsidRPr="00AE5303">
        <w:rPr>
          <w:rStyle w:val="EndnoteReference"/>
        </w:rPr>
        <w:endnoteReference w:id="3489"/>
      </w:r>
      <w:r w:rsidRPr="00AE5303">
        <w:t xml:space="preserve">  Scofield chooses an isolated verse as a peg on which to hang eschatological concepts which go far beyond its content.  In so doing, he neglects many aspects covered by modern scholarship.  </w:t>
      </w:r>
    </w:p>
    <w:p w:rsidR="00D90FE2" w:rsidRPr="00AE5303" w:rsidRDefault="00D90FE2" w:rsidP="00D90FE2">
      <w:pPr>
        <w:autoSpaceDE w:val="0"/>
        <w:autoSpaceDN w:val="0"/>
        <w:adjustRightInd w:val="0"/>
        <w:spacing w:after="120" w:line="360" w:lineRule="auto"/>
        <w:ind w:right="71" w:firstLine="567"/>
        <w:jc w:val="both"/>
      </w:pPr>
      <w:r w:rsidRPr="00AE5303">
        <w:t>David Petersen states that the last nine or ten chapters of the Old Testament, Zechariah 9 – 14 and Malachi, ‘constitute arguably the most difficult texts for the interpreter of the Old Testament’.  There are no identifiable historical events or specific authors and ‘the literature itself is, quite simply, difficult to understand’.</w:t>
      </w:r>
      <w:r w:rsidRPr="00AE5303">
        <w:rPr>
          <w:rStyle w:val="EndnoteReference"/>
        </w:rPr>
        <w:endnoteReference w:id="3490"/>
      </w:r>
      <w:r w:rsidRPr="00AE5303">
        <w:t xml:space="preserve">  Modern scholars are interested in the structure and authorship of Zechariah, and its historical context.  Of particular interest in Zechariah 12 is the relationship between Judah and Jerusalem and the status and role of the house of David.  Unlike Scofield, scholars offer exegeses of every verse in Zechariah and wrestle with particular problems, such as the meaning of Zech. 12:10. </w:t>
      </w:r>
    </w:p>
    <w:p w:rsidR="00D90FE2" w:rsidRPr="00AE5303" w:rsidRDefault="00D90FE2" w:rsidP="00D90FE2">
      <w:pPr>
        <w:autoSpaceDE w:val="0"/>
        <w:autoSpaceDN w:val="0"/>
        <w:adjustRightInd w:val="0"/>
        <w:spacing w:after="120" w:line="360" w:lineRule="auto"/>
        <w:ind w:right="71"/>
        <w:jc w:val="both"/>
        <w:rPr>
          <w:b/>
        </w:rPr>
      </w:pPr>
      <w:r w:rsidRPr="00AE5303">
        <w:rPr>
          <w:b/>
        </w:rPr>
        <w:t>1  The Structure and Authorship of Deutero-Zechariah</w:t>
      </w:r>
    </w:p>
    <w:p w:rsidR="00D90FE2" w:rsidRPr="00AE5303" w:rsidRDefault="00D90FE2" w:rsidP="00D90FE2">
      <w:pPr>
        <w:autoSpaceDE w:val="0"/>
        <w:autoSpaceDN w:val="0"/>
        <w:adjustRightInd w:val="0"/>
        <w:spacing w:after="120" w:line="360" w:lineRule="auto"/>
        <w:ind w:right="74"/>
        <w:jc w:val="both"/>
      </w:pPr>
      <w:r w:rsidRPr="00AE5303">
        <w:t>Zechariah 12:8 does not exist in a vacuum but is situated within Zechariah 9 – 14, recognised by many scholars</w:t>
      </w:r>
      <w:r w:rsidRPr="00AE5303">
        <w:rPr>
          <w:rStyle w:val="EndnoteReference"/>
        </w:rPr>
        <w:endnoteReference w:id="3491"/>
      </w:r>
      <w:r w:rsidRPr="00AE5303">
        <w:t xml:space="preserve"> as a separate entity from Zechariah 1 – 8 and known as Second- or Deutero-Zechariah.</w:t>
      </w:r>
      <w:r w:rsidRPr="00AE5303">
        <w:rPr>
          <w:rStyle w:val="EndnoteReference"/>
        </w:rPr>
        <w:endnoteReference w:id="3492"/>
      </w:r>
      <w:r w:rsidRPr="00AE5303">
        <w:t xml:space="preserve">  Eibert Tigchelaar remarks that virtually the sole thing upon which most scholars agree is that ‘Zech. 9 – 14 should not be attributed to the prophet Zechariah of Zech. 1 – 8’.  Differences between Deutero- and Proto-Zechariah in style and theological concerns suggest ‘different dates of origin’.</w:t>
      </w:r>
      <w:r w:rsidRPr="00AE5303">
        <w:rPr>
          <w:rStyle w:val="EndnoteReference"/>
        </w:rPr>
        <w:endnoteReference w:id="3493"/>
      </w:r>
      <w:r w:rsidRPr="00AE5303">
        <w:t xml:space="preserve">  Paul Redditt advances further reasons for this belief.</w:t>
      </w:r>
      <w:r w:rsidRPr="00AE5303">
        <w:rPr>
          <w:rStyle w:val="EndnoteReference"/>
        </w:rPr>
        <w:endnoteReference w:id="3494"/>
      </w:r>
      <w:r w:rsidRPr="00AE5303">
        <w:t xml:space="preserve">  Rex Mason notes similar themes in Proto- and Deutero-Zechariah,</w:t>
      </w:r>
      <w:r w:rsidRPr="00AE5303">
        <w:rPr>
          <w:rStyle w:val="EndnoteReference"/>
        </w:rPr>
        <w:endnoteReference w:id="3495"/>
      </w:r>
      <w:r w:rsidRPr="00AE5303">
        <w:t xml:space="preserve"> but states that differences between the two sections suggest that Zechariah 9 - 14 came from ‘different and later hands than Zechariah’, and concludes that ‘if so, they stand farther downstream in the history of the group which maintained and developed the tradition’.</w:t>
      </w:r>
      <w:r w:rsidRPr="00AE5303">
        <w:rPr>
          <w:rStyle w:val="EndnoteReference"/>
        </w:rPr>
        <w:endnoteReference w:id="3496"/>
      </w:r>
    </w:p>
    <w:p w:rsidR="00D90FE2" w:rsidRPr="00AE5303" w:rsidRDefault="00D90FE2" w:rsidP="00D90FE2">
      <w:pPr>
        <w:autoSpaceDE w:val="0"/>
        <w:autoSpaceDN w:val="0"/>
        <w:adjustRightInd w:val="0"/>
        <w:spacing w:after="120" w:line="360" w:lineRule="auto"/>
        <w:ind w:right="71" w:firstLine="567"/>
        <w:jc w:val="both"/>
      </w:pPr>
      <w:r w:rsidRPr="00AE5303">
        <w:t>Most scholars see the putative producers of Deutero-</w:t>
      </w:r>
      <w:r>
        <w:t>Zechariah</w:t>
      </w:r>
      <w:r w:rsidRPr="00AE5303">
        <w:t xml:space="preserve"> as a dissident group, disappointed with both the priestly group in charge at the Temple</w:t>
      </w:r>
      <w:r w:rsidRPr="00AE5303">
        <w:rPr>
          <w:rStyle w:val="EndnoteReference"/>
        </w:rPr>
        <w:endnoteReference w:id="3497"/>
      </w:r>
      <w:r w:rsidRPr="00AE5303">
        <w:t xml:space="preserve"> and with the ruling Jerusalem élite, with whom they were in ‘habitual conflict’.</w:t>
      </w:r>
      <w:r w:rsidRPr="00AE5303">
        <w:rPr>
          <w:rStyle w:val="EndnoteReference"/>
        </w:rPr>
        <w:endnoteReference w:id="3498"/>
      </w:r>
      <w:r w:rsidRPr="00AE5303">
        <w:t xml:space="preserve">  The redactors were also deeply suspicious of contemporary prophets</w:t>
      </w:r>
      <w:r w:rsidRPr="00AE5303">
        <w:rPr>
          <w:rStyle w:val="EndnoteReference"/>
        </w:rPr>
        <w:endnoteReference w:id="3499"/>
      </w:r>
      <w:r w:rsidRPr="00AE5303">
        <w:t xml:space="preserve"> and regarded them, together with the priests and royal family, as corrupt.</w:t>
      </w:r>
      <w:r w:rsidRPr="00AE5303">
        <w:rPr>
          <w:rStyle w:val="EndnoteReference"/>
        </w:rPr>
        <w:endnoteReference w:id="3500"/>
      </w:r>
      <w:r w:rsidRPr="00AE5303">
        <w:t xml:space="preserve">  Redditt sees them as probably ‘rural Judaeans’.</w:t>
      </w:r>
      <w:r w:rsidRPr="00AE5303">
        <w:rPr>
          <w:rStyle w:val="EndnoteReference"/>
        </w:rPr>
        <w:endnoteReference w:id="3501"/>
      </w:r>
      <w:r w:rsidRPr="00AE5303">
        <w:t xml:space="preserve">  The group established their identity through their sect theology and regarded themselves as ‘the true Israel’, appealing to earlier prophets to prove their own legitimacy.  They also proclaimed that the word of God was still relevant, despite suffering and apparent non-fulfilment of </w:t>
      </w:r>
      <w:r w:rsidRPr="00AE5303">
        <w:lastRenderedPageBreak/>
        <w:t>earlier prophecy.</w:t>
      </w:r>
      <w:r w:rsidRPr="00AE5303">
        <w:rPr>
          <w:rStyle w:val="EndnoteReference"/>
        </w:rPr>
        <w:endnoteReference w:id="3502"/>
      </w:r>
      <w:r w:rsidRPr="00AE5303">
        <w:t xml:space="preserve">  This encouraged visions of a new age, achievable only when the corrupt elements, including the Davidides,</w:t>
      </w:r>
      <w:r w:rsidRPr="00AE5303">
        <w:rPr>
          <w:rStyle w:val="EndnoteReference"/>
        </w:rPr>
        <w:endnoteReference w:id="3503"/>
      </w:r>
      <w:r w:rsidRPr="00AE5303">
        <w:t xml:space="preserve"> repented and were cleansed.  Jerusalem was not to be regarded as superior to Judah.</w:t>
      </w:r>
      <w:r w:rsidRPr="00AE5303">
        <w:rPr>
          <w:rStyle w:val="EndnoteReference"/>
        </w:rPr>
        <w:endnoteReference w:id="3504"/>
      </w:r>
      <w:r w:rsidRPr="00AE5303">
        <w:t xml:space="preserve">  There was also an element of a belief that God was the only king necessary.</w:t>
      </w:r>
      <w:r w:rsidRPr="00AE5303">
        <w:rPr>
          <w:rStyle w:val="EndnoteReference"/>
        </w:rPr>
        <w:endnoteReference w:id="3505"/>
      </w:r>
      <w:r w:rsidRPr="00AE5303">
        <w:t xml:space="preserve">  </w:t>
      </w:r>
    </w:p>
    <w:p w:rsidR="00D90FE2" w:rsidRPr="00AE5303" w:rsidRDefault="00D90FE2" w:rsidP="00D90FE2">
      <w:pPr>
        <w:autoSpaceDE w:val="0"/>
        <w:autoSpaceDN w:val="0"/>
        <w:adjustRightInd w:val="0"/>
        <w:spacing w:after="120" w:line="360" w:lineRule="auto"/>
        <w:ind w:right="71" w:firstLine="567"/>
        <w:jc w:val="both"/>
      </w:pPr>
      <w:r w:rsidRPr="00AE5303">
        <w:t>Tigchelaar suggests that editing and reduction may have been performed by several authors and editors, following a long process of oral transmission, with older material referenced or re-used and new additions made.</w:t>
      </w:r>
      <w:r w:rsidRPr="00AE5303">
        <w:rPr>
          <w:rStyle w:val="EndnoteReference"/>
        </w:rPr>
        <w:endnoteReference w:id="3506"/>
      </w:r>
      <w:r w:rsidRPr="00AE5303">
        <w:t xml:space="preserve">  Zech. 12:1 – 13:6 was originally a separate section, consisting of comments on older prophecies, and only later incorporated into Deutero-Zechariah.</w:t>
      </w:r>
      <w:r w:rsidRPr="00AE5303">
        <w:rPr>
          <w:rStyle w:val="EndnoteReference"/>
        </w:rPr>
        <w:endnoteReference w:id="3507"/>
      </w:r>
      <w:r w:rsidRPr="00AE5303">
        <w:t xml:space="preserve">  Redditt suggests that Zechariah 9 - 11 arose independently of Zechariah 12 – 14.  He regards Deutero-Zechariah as composed of six collections of materials.</w:t>
      </w:r>
      <w:r w:rsidRPr="00AE5303">
        <w:rPr>
          <w:rStyle w:val="EndnoteReference"/>
        </w:rPr>
        <w:endnoteReference w:id="3508"/>
      </w:r>
      <w:r w:rsidRPr="00AE5303">
        <w:t xml:space="preserve">  </w:t>
      </w:r>
    </w:p>
    <w:p w:rsidR="00D90FE2" w:rsidRPr="00AE5303" w:rsidRDefault="00D90FE2" w:rsidP="00D90FE2">
      <w:pPr>
        <w:autoSpaceDE w:val="0"/>
        <w:autoSpaceDN w:val="0"/>
        <w:adjustRightInd w:val="0"/>
        <w:spacing w:after="120" w:line="360" w:lineRule="auto"/>
        <w:ind w:right="71" w:firstLine="567"/>
        <w:jc w:val="both"/>
      </w:pPr>
      <w:r w:rsidRPr="00AE5303">
        <w:t>Carol and Eric Meyers see Deutero-Zechariah as probably ‘the collected sayings of one or more individuals’, possibly members of a circle of prophets, who especially revered the words of Zechariah ben-Berechiah ben-Iddo.</w:t>
      </w:r>
      <w:r w:rsidRPr="00AE5303">
        <w:rPr>
          <w:rStyle w:val="EndnoteReference"/>
        </w:rPr>
        <w:endnoteReference w:id="3509"/>
      </w:r>
      <w:r w:rsidRPr="00AE5303">
        <w:t xml:space="preserve">  Their expansion of Zechariah may have been due to awareness that traditional prophecy had ended and that earlier works needed to be collected for posterity.</w:t>
      </w:r>
      <w:r w:rsidRPr="00AE5303">
        <w:rPr>
          <w:rStyle w:val="EndnoteReference"/>
        </w:rPr>
        <w:endnoteReference w:id="3510"/>
      </w:r>
    </w:p>
    <w:p w:rsidR="00D90FE2" w:rsidRPr="00AE5303" w:rsidRDefault="00D90FE2" w:rsidP="00D90FE2">
      <w:pPr>
        <w:autoSpaceDE w:val="0"/>
        <w:autoSpaceDN w:val="0"/>
        <w:adjustRightInd w:val="0"/>
        <w:spacing w:after="120" w:line="360" w:lineRule="auto"/>
        <w:ind w:right="71"/>
        <w:jc w:val="both"/>
        <w:rPr>
          <w:b/>
        </w:rPr>
      </w:pPr>
      <w:r w:rsidRPr="00AE5303">
        <w:rPr>
          <w:b/>
        </w:rPr>
        <w:t>2  The Historical Context of Deutero-Zechariah</w:t>
      </w:r>
    </w:p>
    <w:p w:rsidR="00D90FE2" w:rsidRPr="00AE5303" w:rsidRDefault="00D90FE2" w:rsidP="00D90FE2">
      <w:pPr>
        <w:autoSpaceDE w:val="0"/>
        <w:autoSpaceDN w:val="0"/>
        <w:adjustRightInd w:val="0"/>
        <w:spacing w:after="120" w:line="360" w:lineRule="auto"/>
        <w:ind w:right="74"/>
        <w:jc w:val="both"/>
      </w:pPr>
      <w:r w:rsidRPr="00AE5303">
        <w:t>There is no real agreement on the date of the origin of Deutero-Zechariah; proposed dates range from C8 BCE to C2 BCE.</w:t>
      </w:r>
      <w:r w:rsidRPr="00AE5303">
        <w:rPr>
          <w:rStyle w:val="EndnoteReference"/>
        </w:rPr>
        <w:endnoteReference w:id="3511"/>
      </w:r>
      <w:r w:rsidRPr="00AE5303">
        <w:t xml:space="preserve">  </w:t>
      </w:r>
      <w:r>
        <w:t xml:space="preserve">Mason states, </w:t>
      </w:r>
      <w:r w:rsidRPr="00AE5303">
        <w:t>‘I</w:t>
      </w:r>
      <w:r>
        <w:t>t is notoriously difficult to “</w:t>
      </w:r>
      <w:r w:rsidRPr="00AE5303">
        <w:t>date</w:t>
      </w:r>
      <w:r>
        <w:t>”</w:t>
      </w:r>
      <w:r w:rsidRPr="00AE5303">
        <w:t xml:space="preserve"> these chapters by supposed historical allusions.’</w:t>
      </w:r>
      <w:r w:rsidRPr="00AE5303">
        <w:rPr>
          <w:rStyle w:val="EndnoteReference"/>
        </w:rPr>
        <w:endnoteReference w:id="3512"/>
      </w:r>
      <w:r w:rsidRPr="00AE5303">
        <w:t xml:space="preserve">  Tigchelaar regards such supposed allusions as too ambiguous to date Deutero-Zechariah to the end of C4 BCE. or C3 BCE., and believes that ‘it is virtually impossible to decide whether these chapters stem from the Persian or Hellenistic period’.  However, he suggests that they were composed ‘somewhere in the Persian period’.</w:t>
      </w:r>
      <w:r w:rsidRPr="00AE5303">
        <w:rPr>
          <w:rStyle w:val="EndnoteReference"/>
        </w:rPr>
        <w:endnoteReference w:id="3513"/>
      </w:r>
      <w:r w:rsidRPr="00AE5303">
        <w:t xml:space="preserve">  </w:t>
      </w:r>
    </w:p>
    <w:p w:rsidR="00D90FE2" w:rsidRPr="00AE5303" w:rsidRDefault="00D90FE2" w:rsidP="00D90FE2">
      <w:pPr>
        <w:autoSpaceDE w:val="0"/>
        <w:autoSpaceDN w:val="0"/>
        <w:adjustRightInd w:val="0"/>
        <w:spacing w:after="120" w:line="360" w:lineRule="auto"/>
        <w:ind w:right="74" w:firstLine="567"/>
        <w:jc w:val="both"/>
      </w:pPr>
      <w:r w:rsidRPr="00AE5303">
        <w:t xml:space="preserve">Redditt argues that Zech. 9:13 and 10:10-11, </w:t>
      </w:r>
      <w:r>
        <w:t xml:space="preserve">which are </w:t>
      </w:r>
      <w:r w:rsidRPr="00AE5303">
        <w:t>often used to prove dating to around the time of Alexander the Great’s invasion of the Mediterranean coast,</w:t>
      </w:r>
      <w:r w:rsidRPr="00AE5303">
        <w:rPr>
          <w:rStyle w:val="EndnoteReference"/>
        </w:rPr>
        <w:endnoteReference w:id="3514"/>
      </w:r>
      <w:r w:rsidRPr="00AE5303">
        <w:t xml:space="preserve"> show little evidence of allusion to Alexander and his generals and offer ‘too flimsy a basis for dating Zechariah 9 – 14 during the Greek period’.  He states that ‘the book contains much material from the first half of the Persian period, though it may have reached its final form some time after the career of Nehemiah’.</w:t>
      </w:r>
      <w:r w:rsidRPr="00AE5303">
        <w:rPr>
          <w:rStyle w:val="EndnoteReference"/>
        </w:rPr>
        <w:endnoteReference w:id="3515"/>
      </w:r>
      <w:r w:rsidRPr="00AE5303">
        <w:t xml:space="preserve">  </w:t>
      </w:r>
    </w:p>
    <w:p w:rsidR="00D90FE2" w:rsidRPr="00AE5303" w:rsidRDefault="00D90FE2" w:rsidP="00D90FE2">
      <w:pPr>
        <w:autoSpaceDE w:val="0"/>
        <w:autoSpaceDN w:val="0"/>
        <w:adjustRightInd w:val="0"/>
        <w:spacing w:after="120" w:line="360" w:lineRule="auto"/>
        <w:ind w:right="74" w:firstLine="567"/>
        <w:jc w:val="both"/>
      </w:pPr>
      <w:r w:rsidRPr="00AE5303">
        <w:t>Meyers</w:t>
      </w:r>
      <w:r>
        <w:t xml:space="preserve"> and </w:t>
      </w:r>
      <w:r w:rsidRPr="00AE5303">
        <w:t>Meyers believe that association of Deutero-Zechariah with Alexander’s time or with the Hellenistic era is unwarranted.  They suggest that, even though Deutero-Zechariah contains no historical and socio-political information like Proto-Zechariah, a reconstruction of world events between 515 B</w:t>
      </w:r>
      <w:r>
        <w:t>CE</w:t>
      </w:r>
      <w:r w:rsidRPr="00AE5303">
        <w:t xml:space="preserve"> and Nehemiah’s mission in 445 BCE justifies a date for Deutero-Zechariah towards the end of this period.</w:t>
      </w:r>
      <w:r w:rsidRPr="00AE5303">
        <w:rPr>
          <w:rStyle w:val="EndnoteReference"/>
        </w:rPr>
        <w:endnoteReference w:id="3516"/>
      </w:r>
      <w:r w:rsidRPr="00AE5303">
        <w:t xml:space="preserve">  The social setting for ‘the language of power’, especially ‘the military, or divine warrior, imagery of chapters 9, 10, 12 and 14’ also suggests a mid-fifth century date.</w:t>
      </w:r>
      <w:r w:rsidRPr="00AE5303">
        <w:rPr>
          <w:rStyle w:val="EndnoteReference"/>
        </w:rPr>
        <w:endnoteReference w:id="3517"/>
      </w:r>
      <w:r w:rsidRPr="00AE5303">
        <w:t xml:space="preserve">  Petersen holds that Deutero-Zechariah (and Malachi) were probably composed in fifth century Judah ‘on a critical flank of the Persian Empire, namely, its boundary with Egypt’.</w:t>
      </w:r>
      <w:r w:rsidRPr="00AE5303">
        <w:rPr>
          <w:rStyle w:val="EndnoteReference"/>
        </w:rPr>
        <w:endnoteReference w:id="3518"/>
      </w:r>
    </w:p>
    <w:p w:rsidR="00D90FE2" w:rsidRPr="00AE5303" w:rsidRDefault="00D90FE2" w:rsidP="00D90FE2">
      <w:pPr>
        <w:autoSpaceDE w:val="0"/>
        <w:autoSpaceDN w:val="0"/>
        <w:adjustRightInd w:val="0"/>
        <w:spacing w:after="120" w:line="360" w:lineRule="auto"/>
        <w:ind w:right="71" w:firstLine="567"/>
        <w:jc w:val="both"/>
      </w:pPr>
      <w:r w:rsidRPr="00AE5303">
        <w:lastRenderedPageBreak/>
        <w:t>Meyers</w:t>
      </w:r>
      <w:r>
        <w:t xml:space="preserve"> and </w:t>
      </w:r>
      <w:r w:rsidRPr="00AE5303">
        <w:t>Meyers note a decline in the mood of hope in Haggai and Proto-Zechariah ‘immediately preceding the completion of the rebuilding of the Temple’.</w:t>
      </w:r>
      <w:r w:rsidRPr="00AE5303">
        <w:rPr>
          <w:rStyle w:val="EndnoteReference"/>
        </w:rPr>
        <w:endnoteReference w:id="3519"/>
      </w:r>
      <w:r w:rsidRPr="00AE5303">
        <w:t xml:space="preserve">  Governors appointed by Persia were initially linked with the Davidic dynasty, like Zerubbabel, but the family apparently disappeared from public life around the turn of the sixth</w:t>
      </w:r>
      <w:r>
        <w:t xml:space="preserve"> </w:t>
      </w:r>
      <w:r w:rsidRPr="00AE5303">
        <w:t>–</w:t>
      </w:r>
      <w:r>
        <w:t xml:space="preserve"> </w:t>
      </w:r>
      <w:r w:rsidRPr="00AE5303">
        <w:t>fifth centuries</w:t>
      </w:r>
      <w:r>
        <w:t>; this is</w:t>
      </w:r>
      <w:r w:rsidRPr="00AE5303">
        <w:t xml:space="preserve"> evidence of a general decline in Yehudite internal affairs which is reflected in books like Deutero-Zechariah, Malachi, Ezra and Nehemiah.</w:t>
      </w:r>
      <w:r w:rsidRPr="00AE5303">
        <w:rPr>
          <w:rStyle w:val="EndnoteReference"/>
        </w:rPr>
        <w:endnoteReference w:id="3520"/>
      </w:r>
      <w:r w:rsidRPr="00AE5303">
        <w:t xml:space="preserve">  </w:t>
      </w:r>
    </w:p>
    <w:p w:rsidR="00D90FE2" w:rsidRPr="00AE5303" w:rsidRDefault="00D90FE2" w:rsidP="00D90FE2">
      <w:pPr>
        <w:autoSpaceDE w:val="0"/>
        <w:autoSpaceDN w:val="0"/>
        <w:adjustRightInd w:val="0"/>
        <w:spacing w:after="120" w:line="360" w:lineRule="auto"/>
        <w:ind w:right="71" w:firstLine="567"/>
        <w:jc w:val="both"/>
      </w:pPr>
      <w:r w:rsidRPr="00AE5303">
        <w:t xml:space="preserve">Domestic conditions in the first half of Persian administration in Yehud also induced pessimism.  Settlement evidence indicates </w:t>
      </w:r>
      <w:r>
        <w:t xml:space="preserve">that there was </w:t>
      </w:r>
      <w:r w:rsidRPr="00AE5303">
        <w:t xml:space="preserve">a scant population and </w:t>
      </w:r>
      <w:r>
        <w:t xml:space="preserve">that </w:t>
      </w:r>
      <w:r w:rsidRPr="00AE5303">
        <w:t xml:space="preserve">the demographic situation in Jerusalem, ‘the focus of Second Zechariah’s eschatology’, </w:t>
      </w:r>
      <w:r>
        <w:t xml:space="preserve">was </w:t>
      </w:r>
      <w:r w:rsidRPr="00AE5303">
        <w:t>even worse.</w:t>
      </w:r>
      <w:r w:rsidRPr="00AE5303">
        <w:rPr>
          <w:rStyle w:val="EndnoteReference"/>
        </w:rPr>
        <w:endnoteReference w:id="3521"/>
      </w:r>
      <w:r w:rsidRPr="00AE5303">
        <w:t xml:space="preserve">  The inland hill country of Yehud, with its agricultural economy, may have been particularly adversely affected by Persian domination and taxation and been unable to produce enough surplus goods to trade.</w:t>
      </w:r>
      <w:r w:rsidRPr="00AE5303">
        <w:rPr>
          <w:rStyle w:val="EndnoteReference"/>
        </w:rPr>
        <w:endnoteReference w:id="3522"/>
      </w:r>
    </w:p>
    <w:p w:rsidR="00D90FE2" w:rsidRPr="00AE5303" w:rsidRDefault="00D90FE2" w:rsidP="00D90FE2">
      <w:pPr>
        <w:autoSpaceDE w:val="0"/>
        <w:autoSpaceDN w:val="0"/>
        <w:adjustRightInd w:val="0"/>
        <w:spacing w:after="120" w:line="360" w:lineRule="auto"/>
        <w:ind w:right="71" w:firstLine="567"/>
        <w:jc w:val="both"/>
      </w:pPr>
      <w:r w:rsidRPr="00AE5303">
        <w:t>Redditt sees in parts of Ezra and Nehemiah,</w:t>
      </w:r>
      <w:r w:rsidRPr="00AE5303">
        <w:rPr>
          <w:rStyle w:val="EndnoteReference"/>
        </w:rPr>
        <w:endnoteReference w:id="3523"/>
      </w:r>
      <w:r w:rsidRPr="00AE5303">
        <w:t xml:space="preserve"> a small, struggling community, possibly threatened with internal disintegration.</w:t>
      </w:r>
      <w:r w:rsidRPr="00AE5303">
        <w:rPr>
          <w:rStyle w:val="EndnoteReference"/>
        </w:rPr>
        <w:endnoteReference w:id="3524"/>
      </w:r>
      <w:r w:rsidRPr="00AE5303">
        <w:t xml:space="preserve">  He notes economic advantage-taking by the wealthy</w:t>
      </w:r>
      <w:r w:rsidRPr="00AE5303">
        <w:rPr>
          <w:rStyle w:val="EndnoteReference"/>
        </w:rPr>
        <w:endnoteReference w:id="3525"/>
      </w:r>
      <w:r w:rsidRPr="00AE5303">
        <w:t xml:space="preserve"> and emphasises societal divisions.</w:t>
      </w:r>
      <w:r w:rsidRPr="00AE5303">
        <w:rPr>
          <w:rStyle w:val="EndnoteReference"/>
        </w:rPr>
        <w:endnoteReference w:id="3526"/>
      </w:r>
      <w:r w:rsidRPr="00AE5303">
        <w:t xml:space="preserve">  He claims that Deutero-Zechariah is most interested in these factional issues.</w:t>
      </w:r>
      <w:r w:rsidRPr="00AE5303">
        <w:rPr>
          <w:rStyle w:val="EndnoteReference"/>
        </w:rPr>
        <w:endnoteReference w:id="3527"/>
      </w:r>
      <w:r w:rsidRPr="00AE5303">
        <w:t xml:space="preserve">  Petersen emphasises Persian ethnic collectivisation policy, which placed different groups adjacent to each other, with the possibility of intermarriage and ‘a threat to the integrity of Yahweh’s people’.</w:t>
      </w:r>
      <w:r w:rsidRPr="00AE5303">
        <w:rPr>
          <w:rStyle w:val="EndnoteReference"/>
        </w:rPr>
        <w:endnoteReference w:id="3528"/>
      </w:r>
    </w:p>
    <w:p w:rsidR="00D90FE2" w:rsidRPr="00AE5303" w:rsidRDefault="00D90FE2" w:rsidP="00D90FE2">
      <w:pPr>
        <w:autoSpaceDE w:val="0"/>
        <w:autoSpaceDN w:val="0"/>
        <w:adjustRightInd w:val="0"/>
        <w:spacing w:after="120" w:line="360" w:lineRule="auto"/>
        <w:ind w:right="71" w:firstLine="567"/>
        <w:jc w:val="both"/>
      </w:pPr>
      <w:r w:rsidRPr="00AE5303">
        <w:t xml:space="preserve">Externally, the start of the Greek-Persian wars in the early fifth century, including Persian defeats in 490 and 480 </w:t>
      </w:r>
      <w:r>
        <w:t>BCE</w:t>
      </w:r>
      <w:r w:rsidRPr="00AE5303">
        <w:t>,</w:t>
      </w:r>
      <w:r w:rsidRPr="00AE5303">
        <w:rPr>
          <w:rStyle w:val="EndnoteReference"/>
        </w:rPr>
        <w:endnoteReference w:id="3529"/>
      </w:r>
      <w:r w:rsidRPr="00AE5303">
        <w:t xml:space="preserve"> the probable independence of the Babylonian satrapy by 481, and Egyptian revolts between 460 and 450, aided by the Athenian navy, occasioned stricter control by the Persian authorities in territories like Yehud, which bordered conflict areas.  Archaeological evidence suggests that the series of fortresses in the region were constructed a</w:t>
      </w:r>
      <w:r>
        <w:t>bout 450 BC</w:t>
      </w:r>
      <w:r w:rsidRPr="00AE5303">
        <w:t>E.</w:t>
      </w:r>
      <w:r w:rsidRPr="00AE5303">
        <w:rPr>
          <w:rStyle w:val="EndnoteReference"/>
        </w:rPr>
        <w:endnoteReference w:id="3530"/>
      </w:r>
      <w:r w:rsidRPr="00AE5303">
        <w:t xml:space="preserve">  These fortresses required material support from the local populace.</w:t>
      </w:r>
      <w:r w:rsidRPr="00AE5303">
        <w:rPr>
          <w:rStyle w:val="EndnoteReference"/>
        </w:rPr>
        <w:endnoteReference w:id="3531"/>
      </w:r>
      <w:r w:rsidRPr="00AE5303">
        <w:t xml:space="preserve">  </w:t>
      </w:r>
    </w:p>
    <w:p w:rsidR="00D90FE2" w:rsidRPr="00AE5303" w:rsidRDefault="00D90FE2" w:rsidP="00D90FE2">
      <w:pPr>
        <w:spacing w:after="120" w:line="360" w:lineRule="auto"/>
        <w:jc w:val="both"/>
        <w:rPr>
          <w:b/>
        </w:rPr>
      </w:pPr>
      <w:r w:rsidRPr="00AE5303">
        <w:rPr>
          <w:b/>
        </w:rPr>
        <w:t xml:space="preserve">3  </w:t>
      </w:r>
      <w:r w:rsidRPr="00D311EF">
        <w:rPr>
          <w:b/>
        </w:rPr>
        <w:t>The Genre of Deutero-Zechariah</w:t>
      </w:r>
      <w:r w:rsidRPr="00AE5303">
        <w:rPr>
          <w:b/>
        </w:rPr>
        <w:t xml:space="preserve"> </w:t>
      </w:r>
    </w:p>
    <w:p w:rsidR="00D90FE2" w:rsidRDefault="00D90FE2" w:rsidP="00D90FE2">
      <w:pPr>
        <w:autoSpaceDE w:val="0"/>
        <w:autoSpaceDN w:val="0"/>
        <w:adjustRightInd w:val="0"/>
        <w:spacing w:after="120" w:line="360" w:lineRule="auto"/>
        <w:ind w:right="71"/>
        <w:jc w:val="both"/>
      </w:pPr>
      <w:r w:rsidRPr="00AE5303">
        <w:t>Meyers</w:t>
      </w:r>
      <w:r>
        <w:t xml:space="preserve"> and </w:t>
      </w:r>
      <w:r w:rsidRPr="00AE5303">
        <w:t>Meyers suggest that Deutero-Zechariah’s ‘more lachrymose view of reality’ and ‘heightened eschatological thrust’ reflect conditions in daily Yehudite life.</w:t>
      </w:r>
      <w:r w:rsidRPr="00AE5303">
        <w:rPr>
          <w:rStyle w:val="EndnoteReference"/>
        </w:rPr>
        <w:endnoteReference w:id="3532"/>
      </w:r>
      <w:r w:rsidRPr="00AE5303">
        <w:t xml:space="preserve">  With earlier hopes of national restoration dashed by social and political reality, the inhabitants naturally turned to ‘the eschatological realm’.  ‘Only by supernatural and transhistorical means, through divine intervention, could a restoration be envisaged</w:t>
      </w:r>
      <w:r>
        <w:t>’</w:t>
      </w:r>
      <w:r w:rsidRPr="00AE5303">
        <w:t>.</w:t>
      </w:r>
      <w:r w:rsidRPr="00AE5303">
        <w:rPr>
          <w:rStyle w:val="EndnoteReference"/>
        </w:rPr>
        <w:endnoteReference w:id="3533"/>
      </w:r>
      <w:r w:rsidRPr="00AE5303">
        <w:t xml:space="preserve">  Meyers</w:t>
      </w:r>
      <w:r>
        <w:t xml:space="preserve"> and </w:t>
      </w:r>
      <w:r w:rsidRPr="00AE5303">
        <w:t>Meyers note the sevenfold use of the eschatological phrase ‘</w:t>
      </w:r>
      <w:r w:rsidRPr="009048C3">
        <w:rPr>
          <w:rFonts w:ascii="Bwhebb" w:hAnsi="Bwhebb" w:cs="Bwhebb"/>
          <w:sz w:val="36"/>
          <w:szCs w:val="36"/>
          <w:lang w:val="en-US" w:bidi="he-IL"/>
        </w:rPr>
        <w:t>aWhøh; ~AY“B</w:t>
      </w:r>
      <w:r>
        <w:t>’</w:t>
      </w:r>
      <w:r w:rsidRPr="00757FD9">
        <w:t xml:space="preserve"> in Zech. 12:2-11</w:t>
      </w:r>
      <w:r w:rsidRPr="00757FD9">
        <w:rPr>
          <w:rStyle w:val="EndnoteReference"/>
        </w:rPr>
        <w:endnoteReference w:id="3534"/>
      </w:r>
      <w:r w:rsidRPr="00757FD9">
        <w:t xml:space="preserve"> as does Mason.</w:t>
      </w:r>
      <w:r w:rsidRPr="00757FD9">
        <w:rPr>
          <w:rStyle w:val="EndnoteReference"/>
        </w:rPr>
        <w:endnoteReference w:id="3535"/>
      </w:r>
      <w:r>
        <w:t xml:space="preserve">  </w:t>
      </w:r>
    </w:p>
    <w:p w:rsidR="00D90FE2" w:rsidRPr="00757FD9" w:rsidRDefault="00D90FE2" w:rsidP="00D90FE2">
      <w:pPr>
        <w:autoSpaceDE w:val="0"/>
        <w:autoSpaceDN w:val="0"/>
        <w:adjustRightInd w:val="0"/>
        <w:spacing w:after="120" w:line="360" w:lineRule="auto"/>
        <w:ind w:right="71" w:firstLine="567"/>
        <w:jc w:val="both"/>
      </w:pPr>
      <w:r w:rsidRPr="00757FD9">
        <w:t>Scofield merely states in his introduction to Zechariah that Zechariah 9 – 14 concerns ‘Messiah in rejection and afterwards in power’</w:t>
      </w:r>
      <w:r w:rsidRPr="00757FD9">
        <w:rPr>
          <w:rStyle w:val="EndnoteReference"/>
        </w:rPr>
        <w:endnoteReference w:id="3536"/>
      </w:r>
      <w:r w:rsidRPr="00757FD9">
        <w:t xml:space="preserve"> but Mason notes different emphases in chapters 9 – 11, where traditional eschatological hopes are affirmed, and 12 – 14, where the hopes of the Zion tradition are rekindled.  Increased suffering is predicted in advance of Yahweh’s institution of the new age, offering an </w:t>
      </w:r>
      <w:r w:rsidRPr="00757FD9">
        <w:lastRenderedPageBreak/>
        <w:t>explanation of current suffering and lack of prophetic fulfilment.  The leadership is held responsible for the delay.</w:t>
      </w:r>
      <w:r w:rsidRPr="00757FD9">
        <w:rPr>
          <w:rStyle w:val="EndnoteReference"/>
        </w:rPr>
        <w:endnoteReference w:id="3537"/>
      </w:r>
      <w:r w:rsidRPr="00757FD9">
        <w:t xml:space="preserve">  The main concern of Zechariah 12 – 14 is ‘the last days’ of ‘the final cosmic struggle’ in which the nations attack Jerusalem but are defeated by divine intervention.</w:t>
      </w:r>
      <w:r w:rsidRPr="00757FD9">
        <w:rPr>
          <w:rStyle w:val="EndnoteReference"/>
        </w:rPr>
        <w:endnoteReference w:id="3538"/>
      </w:r>
      <w:r w:rsidRPr="00757FD9">
        <w:t xml:space="preserve">  However, ‘there is no suggestion … that a kind of timetable of the last events is being drawn up here.  All must be largely events contemporary with each other.</w:t>
      </w:r>
      <w:r>
        <w:t>’</w:t>
      </w:r>
      <w:r w:rsidRPr="00757FD9">
        <w:rPr>
          <w:rStyle w:val="EndnoteReference"/>
        </w:rPr>
        <w:endnoteReference w:id="3539"/>
      </w:r>
    </w:p>
    <w:p w:rsidR="00D90FE2" w:rsidRPr="00757FD9" w:rsidRDefault="00D90FE2" w:rsidP="00D90FE2">
      <w:pPr>
        <w:spacing w:after="120" w:line="360" w:lineRule="auto"/>
        <w:ind w:firstLine="567"/>
        <w:jc w:val="both"/>
      </w:pPr>
      <w:r w:rsidRPr="00757FD9">
        <w:t>Petersen posits that Zechariah 9 – 14, especially 12 – 14, is best understood as prophetic literature because of similarities to other prophetic material.</w:t>
      </w:r>
      <w:r w:rsidRPr="00757FD9">
        <w:rPr>
          <w:rStyle w:val="EndnoteReference"/>
        </w:rPr>
        <w:endnoteReference w:id="3540"/>
      </w:r>
      <w:r w:rsidRPr="00757FD9">
        <w:t xml:space="preserve">  Mason suggests that the theme of Zech. 12:1 – 13:6 and 14:1-21 is future hope, but ‘here more in terms of </w:t>
      </w:r>
      <w:r>
        <w:t>“</w:t>
      </w:r>
      <w:r w:rsidRPr="00757FD9">
        <w:t>apocalyptic</w:t>
      </w:r>
      <w:r>
        <w:t>”</w:t>
      </w:r>
      <w:r w:rsidRPr="00757FD9">
        <w:t>’.  However, these chapters are not ‘apocalyptic’ in the full sense.</w:t>
      </w:r>
      <w:r w:rsidRPr="00757FD9">
        <w:rPr>
          <w:rStyle w:val="EndnoteReference"/>
        </w:rPr>
        <w:endnoteReference w:id="3541"/>
      </w:r>
      <w:r w:rsidRPr="00757FD9">
        <w:t xml:space="preserve">  Tigchelaar sees ‘the historical days of Yahweh’ as being, in Zechariah 14, ‘a blueprint for the near-future day of Yahweh’.</w:t>
      </w:r>
      <w:r w:rsidRPr="00757FD9">
        <w:rPr>
          <w:rStyle w:val="EndnoteReference"/>
        </w:rPr>
        <w:endnoteReference w:id="3542"/>
      </w:r>
      <w:r w:rsidRPr="00757FD9">
        <w:t xml:space="preserve">  Eschatology and apocalyptic are not synonymous,</w:t>
      </w:r>
      <w:r w:rsidRPr="00757FD9">
        <w:rPr>
          <w:rStyle w:val="EndnoteReference"/>
        </w:rPr>
        <w:endnoteReference w:id="3543"/>
      </w:r>
      <w:r w:rsidRPr="00757FD9">
        <w:t xml:space="preserve"> but for Tigchelaar, Deutero-Zechariah represents ‘a forerunner to the apocalyptic mode’, warranting the label</w:t>
      </w:r>
      <w:r w:rsidR="000A6DF2">
        <w:t>,</w:t>
      </w:r>
      <w:r w:rsidRPr="00757FD9">
        <w:t xml:space="preserve"> ‘protoapocalyptic’.</w:t>
      </w:r>
      <w:r w:rsidRPr="00757FD9">
        <w:rPr>
          <w:rStyle w:val="EndnoteReference"/>
        </w:rPr>
        <w:endnoteReference w:id="3544"/>
      </w:r>
      <w:r w:rsidRPr="00757FD9">
        <w:t xml:space="preserve">  </w:t>
      </w:r>
    </w:p>
    <w:p w:rsidR="00D90FE2" w:rsidRPr="00757FD9" w:rsidRDefault="00D90FE2" w:rsidP="00D90FE2">
      <w:pPr>
        <w:autoSpaceDE w:val="0"/>
        <w:autoSpaceDN w:val="0"/>
        <w:adjustRightInd w:val="0"/>
        <w:spacing w:after="120" w:line="360" w:lineRule="auto"/>
        <w:ind w:right="71"/>
        <w:jc w:val="both"/>
        <w:rPr>
          <w:b/>
        </w:rPr>
      </w:pPr>
      <w:r w:rsidRPr="00757FD9">
        <w:rPr>
          <w:b/>
        </w:rPr>
        <w:t xml:space="preserve">4  Scholarly Exegesis of Zechariah 12 </w:t>
      </w:r>
    </w:p>
    <w:p w:rsidR="00D90FE2" w:rsidRPr="00757FD9" w:rsidRDefault="00D90FE2" w:rsidP="00D90FE2">
      <w:pPr>
        <w:spacing w:after="120" w:line="360" w:lineRule="auto"/>
        <w:jc w:val="both"/>
      </w:pPr>
      <w:r w:rsidRPr="00757FD9">
        <w:t xml:space="preserve">Scholars see difficulties of interpretation in several verses of Zechariah 12, including verses 1, 5 and 8, and verse 10, which Mason terms ‘the </w:t>
      </w:r>
      <w:r w:rsidRPr="00757FD9">
        <w:rPr>
          <w:i/>
        </w:rPr>
        <w:t>crux interpretatum</w:t>
      </w:r>
      <w:r w:rsidRPr="00757FD9">
        <w:t xml:space="preserve"> of Zechariah studies’.</w:t>
      </w:r>
      <w:r w:rsidRPr="00757FD9">
        <w:rPr>
          <w:rStyle w:val="EndnoteReference"/>
        </w:rPr>
        <w:endnoteReference w:id="3545"/>
      </w:r>
      <w:r w:rsidRPr="00757FD9">
        <w:t xml:space="preserve">  Despite claiming to ‘provide helps on every page where help is needed’ and to ‘make obscure and difficult passages … the subject of an explanatory footnote’, Scofield fails to engage adequately with any of these passages.</w:t>
      </w:r>
      <w:r w:rsidRPr="00757FD9">
        <w:rPr>
          <w:rStyle w:val="EndnoteReference"/>
        </w:rPr>
        <w:endnoteReference w:id="3546"/>
      </w:r>
      <w:r w:rsidRPr="00757FD9">
        <w:t xml:space="preserve"> </w:t>
      </w:r>
    </w:p>
    <w:p w:rsidR="00D90FE2" w:rsidRPr="00757FD9" w:rsidRDefault="00D90FE2" w:rsidP="00D90FE2">
      <w:pPr>
        <w:autoSpaceDE w:val="0"/>
        <w:autoSpaceDN w:val="0"/>
        <w:adjustRightInd w:val="0"/>
        <w:spacing w:after="120" w:line="360" w:lineRule="auto"/>
        <w:ind w:right="71"/>
        <w:jc w:val="both"/>
        <w:rPr>
          <w:b/>
        </w:rPr>
      </w:pPr>
      <w:r w:rsidRPr="00757FD9">
        <w:rPr>
          <w:b/>
        </w:rPr>
        <w:t>A  Commentary on Zech</w:t>
      </w:r>
      <w:r w:rsidR="00592EDA">
        <w:rPr>
          <w:b/>
        </w:rPr>
        <w:t>ariah</w:t>
      </w:r>
      <w:r w:rsidRPr="00757FD9">
        <w:rPr>
          <w:b/>
        </w:rPr>
        <w:t xml:space="preserve"> 12:2-4, 6-7, 9 and 11-14 </w:t>
      </w:r>
    </w:p>
    <w:p w:rsidR="00D90FE2" w:rsidRPr="00757FD9" w:rsidRDefault="00D90FE2" w:rsidP="00D90FE2">
      <w:pPr>
        <w:autoSpaceDE w:val="0"/>
        <w:autoSpaceDN w:val="0"/>
        <w:adjustRightInd w:val="0"/>
        <w:spacing w:after="120" w:line="360" w:lineRule="auto"/>
        <w:ind w:right="71"/>
        <w:jc w:val="both"/>
        <w:rPr>
          <w:b/>
        </w:rPr>
      </w:pPr>
      <w:r w:rsidRPr="00757FD9">
        <w:rPr>
          <w:b/>
        </w:rPr>
        <w:t>Zechariah 12:2</w:t>
      </w:r>
      <w:r w:rsidRPr="00757FD9">
        <w:rPr>
          <w:rStyle w:val="EndnoteReference"/>
        </w:rPr>
        <w:endnoteReference w:id="3547"/>
      </w:r>
    </w:p>
    <w:p w:rsidR="00D90FE2" w:rsidRPr="00757FD9" w:rsidRDefault="00D90FE2" w:rsidP="00D90FE2">
      <w:pPr>
        <w:autoSpaceDE w:val="0"/>
        <w:autoSpaceDN w:val="0"/>
        <w:adjustRightInd w:val="0"/>
        <w:spacing w:after="120" w:line="360" w:lineRule="auto"/>
        <w:ind w:right="71"/>
        <w:jc w:val="both"/>
      </w:pPr>
      <w:r w:rsidRPr="00757FD9">
        <w:t>Different translations of</w:t>
      </w:r>
      <w:r>
        <w:rPr>
          <w:szCs w:val="24"/>
        </w:rPr>
        <w:t xml:space="preserve"> </w:t>
      </w:r>
      <w:r>
        <w:rPr>
          <w:rFonts w:ascii="Bwhebb" w:hAnsi="Bwhebb" w:cs="Bwhebb"/>
          <w:sz w:val="36"/>
          <w:szCs w:val="24"/>
          <w:lang w:val="en-US" w:bidi="he-IL"/>
        </w:rPr>
        <w:t xml:space="preserve">@s; </w:t>
      </w:r>
      <w:r w:rsidRPr="00757FD9">
        <w:t>produce different interpretations of Zech. 12:2.  Petersen suggests that ‘the imagery in Zech. 12:2-3 reflects a postexilic understanding of the Zion tradition’.</w:t>
      </w:r>
      <w:r w:rsidRPr="00757FD9">
        <w:rPr>
          <w:rStyle w:val="EndnoteReference"/>
        </w:rPr>
        <w:endnoteReference w:id="3548"/>
      </w:r>
      <w:r w:rsidRPr="00757FD9">
        <w:t xml:space="preserve">  He possibly uses the </w:t>
      </w:r>
      <w:r w:rsidRPr="00757FD9">
        <w:rPr>
          <w:i/>
        </w:rPr>
        <w:t>LXX</w:t>
      </w:r>
      <w:r w:rsidRPr="00757FD9">
        <w:t xml:space="preserve"> translation of</w:t>
      </w:r>
      <w:r>
        <w:rPr>
          <w:szCs w:val="24"/>
        </w:rPr>
        <w:t xml:space="preserve"> </w:t>
      </w:r>
      <w:r>
        <w:rPr>
          <w:rFonts w:ascii="Bwhebb" w:hAnsi="Bwhebb" w:cs="Bwhebb"/>
          <w:sz w:val="36"/>
          <w:szCs w:val="24"/>
          <w:lang w:val="en-US" w:bidi="he-IL"/>
        </w:rPr>
        <w:t xml:space="preserve">l[;r:² </w:t>
      </w:r>
      <w:r w:rsidRPr="00757FD9">
        <w:t>(reeling) as</w:t>
      </w:r>
      <w:r>
        <w:rPr>
          <w:szCs w:val="24"/>
        </w:rPr>
        <w:t xml:space="preserve"> </w:t>
      </w:r>
      <w:r w:rsidRPr="00757FD9">
        <w:rPr>
          <w:rFonts w:ascii="Bwgrkl" w:hAnsi="Bwgrkl" w:cs="Bwgrkl"/>
          <w:szCs w:val="24"/>
          <w:lang w:val="en-US" w:bidi="he-IL"/>
        </w:rPr>
        <w:t>saleuo,mena</w:t>
      </w:r>
      <w:r w:rsidRPr="00757FD9">
        <w:t>, (shaking), to see Jerusalem as a ‘shaking foundation’ which will cause the enemy siege-works to collapse.</w:t>
      </w:r>
      <w:r w:rsidRPr="00757FD9">
        <w:rPr>
          <w:rStyle w:val="EndnoteReference"/>
        </w:rPr>
        <w:endnoteReference w:id="3549"/>
      </w:r>
      <w:r w:rsidRPr="00757FD9">
        <w:t xml:space="preserve">  </w:t>
      </w:r>
      <w:r w:rsidRPr="00757FD9">
        <w:rPr>
          <w:i/>
        </w:rPr>
        <w:t>The New English Bible</w:t>
      </w:r>
      <w:r w:rsidRPr="00757FD9">
        <w:t xml:space="preserve"> renders</w:t>
      </w:r>
      <w:r>
        <w:rPr>
          <w:szCs w:val="24"/>
        </w:rPr>
        <w:t xml:space="preserve"> </w:t>
      </w:r>
      <w:r>
        <w:rPr>
          <w:rFonts w:ascii="Bwhebb" w:hAnsi="Bwhebb" w:cs="Bwhebb"/>
          <w:sz w:val="36"/>
          <w:szCs w:val="24"/>
          <w:lang w:val="en-US" w:bidi="he-IL"/>
        </w:rPr>
        <w:t>@s</w:t>
      </w:r>
      <w:r w:rsidRPr="00757FD9">
        <w:t xml:space="preserve"> as ‘sill’ or ‘threshold’.</w:t>
      </w:r>
      <w:r w:rsidRPr="00757FD9">
        <w:rPr>
          <w:rStyle w:val="EndnoteReference"/>
        </w:rPr>
        <w:endnoteReference w:id="3550"/>
      </w:r>
      <w:r w:rsidRPr="00757FD9">
        <w:t xml:space="preserve">  Mason calls this ‘an ingenious translation’ but Tigchelaar states that</w:t>
      </w:r>
      <w:r>
        <w:rPr>
          <w:szCs w:val="24"/>
        </w:rPr>
        <w:t xml:space="preserve"> </w:t>
      </w:r>
      <w:r>
        <w:rPr>
          <w:rFonts w:ascii="Bwhebb" w:hAnsi="Bwhebb" w:cs="Bwhebb"/>
          <w:sz w:val="36"/>
          <w:szCs w:val="24"/>
          <w:lang w:val="en-US" w:bidi="he-IL"/>
        </w:rPr>
        <w:t>@s</w:t>
      </w:r>
      <w:r w:rsidRPr="00757FD9">
        <w:t xml:space="preserve"> should not be translated as ‘threshold’; the more common translation, ‘bowl’ (of reeling) is identical with ‘cup of wrath’, which is often concerned with divine judgment.  This does not necessarily imply God’s judgement on the nations but, together with the stone</w:t>
      </w:r>
      <w:r w:rsidRPr="00757FD9">
        <w:rPr>
          <w:rStyle w:val="EndnoteReference"/>
        </w:rPr>
        <w:endnoteReference w:id="3551"/>
      </w:r>
      <w:r w:rsidRPr="00757FD9">
        <w:t xml:space="preserve"> and panicking horses,</w:t>
      </w:r>
      <w:r w:rsidRPr="00757FD9">
        <w:rPr>
          <w:rStyle w:val="EndnoteReference"/>
        </w:rPr>
        <w:endnoteReference w:id="3552"/>
      </w:r>
      <w:r w:rsidRPr="00757FD9">
        <w:t xml:space="preserve"> illustrates ‘belief in the unassailability of Zion’.</w:t>
      </w:r>
      <w:r w:rsidRPr="00757FD9">
        <w:rPr>
          <w:rStyle w:val="EndnoteReference"/>
        </w:rPr>
        <w:endnoteReference w:id="3553"/>
      </w:r>
      <w:r w:rsidRPr="00757FD9">
        <w:t xml:space="preserve">  Mason suggests the concept of the nations’ attacking Jerusalem and being repulsed by God may reflect an ancient ritual drama of enthronement, adopted by the prophets as representative of God’s future deliverance of Jerusalem.</w:t>
      </w:r>
      <w:r w:rsidRPr="00757FD9">
        <w:rPr>
          <w:rStyle w:val="EndnoteReference"/>
        </w:rPr>
        <w:endnoteReference w:id="3554"/>
      </w:r>
      <w:r w:rsidRPr="00757FD9">
        <w:t xml:space="preserve">  </w:t>
      </w:r>
    </w:p>
    <w:p w:rsidR="00D90FE2" w:rsidRDefault="00D90FE2" w:rsidP="00D90FE2">
      <w:pPr>
        <w:autoSpaceDE w:val="0"/>
        <w:autoSpaceDN w:val="0"/>
        <w:adjustRightInd w:val="0"/>
        <w:spacing w:after="120" w:line="360" w:lineRule="auto"/>
        <w:ind w:right="71" w:firstLine="567"/>
        <w:jc w:val="both"/>
      </w:pPr>
      <w:r w:rsidRPr="00757FD9">
        <w:t>Several scholars, using the frequent translation of</w:t>
      </w:r>
      <w:r>
        <w:rPr>
          <w:szCs w:val="24"/>
        </w:rPr>
        <w:t xml:space="preserve"> </w:t>
      </w:r>
      <w:r>
        <w:rPr>
          <w:rFonts w:ascii="Bwhebb" w:hAnsi="Bwhebb" w:cs="Bwhebb"/>
          <w:sz w:val="36"/>
          <w:szCs w:val="24"/>
          <w:lang w:val="en-US" w:bidi="he-IL"/>
        </w:rPr>
        <w:t>@s</w:t>
      </w:r>
      <w:r w:rsidRPr="00757FD9">
        <w:t xml:space="preserve"> as ‘cup’, note the reversal of the usual pattern where Judah or Jerusalem is forced to drink the cup of Yahweh’s wrath: now the nations must </w:t>
      </w:r>
      <w:r w:rsidRPr="00757FD9">
        <w:lastRenderedPageBreak/>
        <w:t>imbibe.</w:t>
      </w:r>
      <w:r w:rsidRPr="00757FD9">
        <w:rPr>
          <w:rStyle w:val="EndnoteReference"/>
        </w:rPr>
        <w:endnoteReference w:id="3555"/>
      </w:r>
      <w:r w:rsidRPr="00757FD9">
        <w:t xml:space="preserve">  Edgar Conrad holds that a double meaning of</w:t>
      </w:r>
      <w:r>
        <w:rPr>
          <w:szCs w:val="24"/>
        </w:rPr>
        <w:t xml:space="preserve"> </w:t>
      </w:r>
      <w:r>
        <w:rPr>
          <w:rFonts w:ascii="Bwhebb" w:hAnsi="Bwhebb" w:cs="Bwhebb"/>
          <w:sz w:val="36"/>
          <w:szCs w:val="24"/>
          <w:lang w:val="en-US" w:bidi="he-IL"/>
        </w:rPr>
        <w:t xml:space="preserve">l[;r:²-@s; </w:t>
      </w:r>
      <w:r w:rsidRPr="00757FD9">
        <w:t>as both ‘cup of reeling’ and ‘shaking threshold or door-frame’, is appropriate in the context of the judgment of nations.</w:t>
      </w:r>
      <w:r w:rsidRPr="00757FD9">
        <w:rPr>
          <w:rStyle w:val="EndnoteReference"/>
        </w:rPr>
        <w:endnoteReference w:id="3556"/>
      </w:r>
    </w:p>
    <w:p w:rsidR="00D90FE2" w:rsidRPr="00757FD9" w:rsidRDefault="00D90FE2" w:rsidP="00D90FE2">
      <w:pPr>
        <w:autoSpaceDE w:val="0"/>
        <w:autoSpaceDN w:val="0"/>
        <w:adjustRightInd w:val="0"/>
        <w:spacing w:after="120" w:line="360" w:lineRule="auto"/>
        <w:ind w:right="71"/>
        <w:jc w:val="both"/>
        <w:rPr>
          <w:b/>
        </w:rPr>
      </w:pPr>
      <w:r w:rsidRPr="00757FD9">
        <w:rPr>
          <w:b/>
        </w:rPr>
        <w:t>Zechariah 12:3</w:t>
      </w:r>
      <w:r w:rsidRPr="00757FD9">
        <w:rPr>
          <w:rStyle w:val="EndnoteReference"/>
        </w:rPr>
        <w:endnoteReference w:id="3557"/>
      </w:r>
    </w:p>
    <w:p w:rsidR="00D90FE2" w:rsidRDefault="00D90FE2" w:rsidP="00D90FE2">
      <w:pPr>
        <w:autoSpaceDE w:val="0"/>
        <w:autoSpaceDN w:val="0"/>
        <w:adjustRightInd w:val="0"/>
        <w:spacing w:after="120" w:line="360" w:lineRule="auto"/>
        <w:ind w:right="71" w:firstLine="142"/>
        <w:jc w:val="both"/>
      </w:pPr>
      <w:r w:rsidRPr="00757FD9">
        <w:t xml:space="preserve">Mason asserts that the stone upon which the attackers </w:t>
      </w:r>
      <w:r>
        <w:t>‘</w:t>
      </w:r>
      <w:r w:rsidRPr="00757FD9">
        <w:t>gash themselves</w:t>
      </w:r>
      <w:r>
        <w:t>’</w:t>
      </w:r>
      <w:r w:rsidRPr="00757FD9">
        <w:t>,</w:t>
      </w:r>
      <w:r w:rsidRPr="00757FD9">
        <w:rPr>
          <w:rStyle w:val="EndnoteReference"/>
        </w:rPr>
        <w:endnoteReference w:id="3558"/>
      </w:r>
      <w:r w:rsidRPr="00757FD9">
        <w:t xml:space="preserve"> ‘evidently’ reflects ‘a pagan rite of mourning’; this was forbidden to the priests in Lev. 21:5.</w:t>
      </w:r>
      <w:r w:rsidRPr="00757FD9">
        <w:rPr>
          <w:rStyle w:val="EndnoteReference"/>
        </w:rPr>
        <w:endnoteReference w:id="3559"/>
      </w:r>
      <w:r w:rsidRPr="00757FD9">
        <w:t xml:space="preserve">  </w:t>
      </w:r>
      <w:r w:rsidRPr="00AE5303">
        <w:t>Meyers</w:t>
      </w:r>
      <w:r>
        <w:t xml:space="preserve"> and </w:t>
      </w:r>
      <w:r w:rsidRPr="00AE5303">
        <w:t>Meyers</w:t>
      </w:r>
      <w:r w:rsidRPr="00757FD9">
        <w:t xml:space="preserve"> interpret the image of ‘the burdensome stone’ as the prophet’s wish to make a link with Temple-vision material in Proto-Zechariah.  Jerusalem, a precious, though jagged, stone</w:t>
      </w:r>
      <w:r>
        <w:t>,</w:t>
      </w:r>
      <w:r w:rsidRPr="00757FD9">
        <w:t xml:space="preserve"> will cause severe wounds.  </w:t>
      </w:r>
    </w:p>
    <w:p w:rsidR="00D90FE2" w:rsidRPr="00757FD9" w:rsidRDefault="00D90FE2" w:rsidP="00D90FE2">
      <w:pPr>
        <w:autoSpaceDE w:val="0"/>
        <w:autoSpaceDN w:val="0"/>
        <w:adjustRightInd w:val="0"/>
        <w:spacing w:after="120" w:line="360" w:lineRule="auto"/>
        <w:ind w:right="71"/>
        <w:jc w:val="both"/>
        <w:rPr>
          <w:b/>
        </w:rPr>
      </w:pPr>
      <w:r w:rsidRPr="00757FD9">
        <w:rPr>
          <w:b/>
        </w:rPr>
        <w:t>Zechariah 12:4</w:t>
      </w:r>
      <w:r w:rsidRPr="00757FD9">
        <w:rPr>
          <w:rStyle w:val="EndnoteReference"/>
        </w:rPr>
        <w:endnoteReference w:id="3560"/>
      </w:r>
    </w:p>
    <w:p w:rsidR="00D90FE2" w:rsidRPr="00757FD9" w:rsidRDefault="00D90FE2" w:rsidP="00D90FE2">
      <w:pPr>
        <w:autoSpaceDE w:val="0"/>
        <w:autoSpaceDN w:val="0"/>
        <w:adjustRightInd w:val="0"/>
        <w:spacing w:after="120" w:line="360" w:lineRule="auto"/>
        <w:ind w:right="74"/>
        <w:jc w:val="both"/>
      </w:pPr>
      <w:r w:rsidRPr="00757FD9">
        <w:t>Yahweh is directly involved in military action, though he also empowers his people to ‘deliver the mortal blows’.</w:t>
      </w:r>
      <w:r w:rsidRPr="00757FD9">
        <w:rPr>
          <w:rStyle w:val="EndnoteReference"/>
        </w:rPr>
        <w:endnoteReference w:id="3561"/>
      </w:r>
      <w:r w:rsidRPr="00757FD9">
        <w:t xml:space="preserve">  ‘Israel’s holy war traditions’ are represented.</w:t>
      </w:r>
      <w:r w:rsidRPr="00757FD9">
        <w:rPr>
          <w:rStyle w:val="EndnoteReference"/>
        </w:rPr>
        <w:endnoteReference w:id="3562"/>
      </w:r>
      <w:r w:rsidRPr="00757FD9">
        <w:t xml:space="preserve">  Several scholars</w:t>
      </w:r>
      <w:r w:rsidRPr="00757FD9">
        <w:rPr>
          <w:rStyle w:val="EndnoteReference"/>
        </w:rPr>
        <w:endnoteReference w:id="3563"/>
      </w:r>
      <w:r w:rsidRPr="00757FD9">
        <w:t xml:space="preserve"> draw parallels to the Pentateuchal curses of madness, blindness and confusion of mind,</w:t>
      </w:r>
      <w:r w:rsidRPr="00757FD9">
        <w:rPr>
          <w:rStyle w:val="EndnoteReference"/>
        </w:rPr>
        <w:endnoteReference w:id="3564"/>
      </w:r>
      <w:r w:rsidRPr="00757FD9">
        <w:t xml:space="preserve"> threatened in response to potential Israelite disobedience, </w:t>
      </w:r>
      <w:r>
        <w:t xml:space="preserve"> and </w:t>
      </w:r>
      <w:r w:rsidRPr="00757FD9">
        <w:t>now extended ‘to all the nations who disobey [Yahweh] by attacking Jerusalem’.</w:t>
      </w:r>
      <w:r w:rsidRPr="00757FD9">
        <w:rPr>
          <w:rStyle w:val="EndnoteReference"/>
        </w:rPr>
        <w:endnoteReference w:id="3565"/>
      </w:r>
      <w:r w:rsidRPr="00757FD9">
        <w:t xml:space="preserve">  Deutero-Zechariah converts these curses into ‘a completely different genre’, indicating the way in which it ‘participates in the ongoing exegetical tradition in ancient Israel’.</w:t>
      </w:r>
      <w:r w:rsidRPr="00757FD9">
        <w:rPr>
          <w:rStyle w:val="EndnoteReference"/>
        </w:rPr>
        <w:endnoteReference w:id="3566"/>
      </w:r>
      <w:r w:rsidRPr="00757FD9">
        <w:t xml:space="preserve">  Again, malediction originally directed against Israel is turned upon her attackers.</w:t>
      </w:r>
    </w:p>
    <w:p w:rsidR="00D90FE2" w:rsidRPr="00757FD9" w:rsidRDefault="00D90FE2" w:rsidP="00D90FE2">
      <w:pPr>
        <w:autoSpaceDE w:val="0"/>
        <w:autoSpaceDN w:val="0"/>
        <w:adjustRightInd w:val="0"/>
        <w:spacing w:after="120" w:line="360" w:lineRule="auto"/>
        <w:ind w:right="71"/>
        <w:jc w:val="both"/>
      </w:pPr>
      <w:r w:rsidRPr="00757FD9">
        <w:rPr>
          <w:b/>
        </w:rPr>
        <w:t>Zechariah 12:6</w:t>
      </w:r>
      <w:r w:rsidRPr="00757FD9">
        <w:rPr>
          <w:rStyle w:val="EndnoteReference"/>
        </w:rPr>
        <w:endnoteReference w:id="3567"/>
      </w:r>
    </w:p>
    <w:p w:rsidR="00D90FE2" w:rsidRPr="00757FD9" w:rsidRDefault="00D90FE2" w:rsidP="00D90FE2">
      <w:pPr>
        <w:autoSpaceDE w:val="0"/>
        <w:autoSpaceDN w:val="0"/>
        <w:adjustRightInd w:val="0"/>
        <w:spacing w:after="120" w:line="360" w:lineRule="auto"/>
        <w:ind w:right="71"/>
        <w:jc w:val="both"/>
      </w:pPr>
      <w:r w:rsidRPr="00757FD9">
        <w:t xml:space="preserve">Fire is used in the Old Testament as symbolic of judgment and of God’s presence; the victory is God’s: it is he who empowers the men of Judah.  </w:t>
      </w:r>
      <w:r>
        <w:t>Mason states that t</w:t>
      </w:r>
      <w:r w:rsidRPr="00757FD9">
        <w:t xml:space="preserve">his is ‘not because of some guaranteed </w:t>
      </w:r>
      <w:r>
        <w:t>“</w:t>
      </w:r>
      <w:r w:rsidRPr="00757FD9">
        <w:t>inviolability</w:t>
      </w:r>
      <w:r>
        <w:t>”</w:t>
      </w:r>
      <w:r w:rsidRPr="00757FD9">
        <w:t xml:space="preserve"> of Jerusalem’.</w:t>
      </w:r>
      <w:r w:rsidRPr="00757FD9">
        <w:rPr>
          <w:rStyle w:val="EndnoteReference"/>
        </w:rPr>
        <w:endnoteReference w:id="3568"/>
      </w:r>
      <w:r w:rsidRPr="00757FD9">
        <w:t xml:space="preserve">  </w:t>
      </w:r>
      <w:r>
        <w:t xml:space="preserve">Meyers and Meyers aver that </w:t>
      </w:r>
      <w:r w:rsidRPr="00757FD9">
        <w:t>‘</w:t>
      </w:r>
      <w:r>
        <w:t>f</w:t>
      </w:r>
      <w:r w:rsidRPr="00757FD9">
        <w:t>ire’ and ‘consume’,</w:t>
      </w:r>
      <w:r w:rsidRPr="00757FD9">
        <w:rPr>
          <w:rStyle w:val="EndnoteReference"/>
        </w:rPr>
        <w:endnoteReference w:id="3569"/>
      </w:r>
      <w:r w:rsidRPr="00757FD9">
        <w:t xml:space="preserve"> when linked with Yahweh, imply divine judgment and ‘punishment against targets in the human realm’.  Individual dynasties are usually targeted, but here the target is ‘all the people around’,</w:t>
      </w:r>
      <w:r w:rsidRPr="00757FD9">
        <w:rPr>
          <w:rStyle w:val="EndnoteReference"/>
        </w:rPr>
        <w:endnoteReference w:id="3570"/>
      </w:r>
      <w:r w:rsidRPr="00757FD9">
        <w:t xml:space="preserve"> which sounds ‘a note of global destruction … as befits the eschatological thrust of this chapter’.</w:t>
      </w:r>
      <w:r w:rsidRPr="00757FD9">
        <w:rPr>
          <w:rStyle w:val="EndnoteReference"/>
        </w:rPr>
        <w:endnoteReference w:id="3571"/>
      </w:r>
    </w:p>
    <w:p w:rsidR="00D90FE2" w:rsidRPr="00757FD9" w:rsidRDefault="00D90FE2" w:rsidP="00D90FE2">
      <w:pPr>
        <w:autoSpaceDE w:val="0"/>
        <w:autoSpaceDN w:val="0"/>
        <w:adjustRightInd w:val="0"/>
        <w:spacing w:after="120" w:line="360" w:lineRule="auto"/>
        <w:ind w:right="71"/>
        <w:jc w:val="both"/>
        <w:rPr>
          <w:b/>
        </w:rPr>
      </w:pPr>
      <w:r w:rsidRPr="00757FD9">
        <w:rPr>
          <w:b/>
        </w:rPr>
        <w:t>Zechariah 12:7</w:t>
      </w:r>
      <w:r>
        <w:rPr>
          <w:b/>
        </w:rPr>
        <w:t>,</w:t>
      </w:r>
      <w:r w:rsidRPr="00757FD9">
        <w:rPr>
          <w:rStyle w:val="EndnoteReference"/>
        </w:rPr>
        <w:endnoteReference w:id="3572"/>
      </w:r>
      <w:r>
        <w:rPr>
          <w:b/>
        </w:rPr>
        <w:t xml:space="preserve"> </w:t>
      </w:r>
      <w:r w:rsidRPr="00757FD9">
        <w:rPr>
          <w:b/>
        </w:rPr>
        <w:t>9</w:t>
      </w:r>
      <w:r w:rsidRPr="00757FD9">
        <w:rPr>
          <w:rStyle w:val="EndnoteReference"/>
        </w:rPr>
        <w:endnoteReference w:id="3573"/>
      </w:r>
      <w:r w:rsidRPr="00757FD9">
        <w:rPr>
          <w:b/>
        </w:rPr>
        <w:t xml:space="preserve"> and 11</w:t>
      </w:r>
      <w:r w:rsidRPr="00757FD9">
        <w:rPr>
          <w:rStyle w:val="EndnoteReference"/>
        </w:rPr>
        <w:endnoteReference w:id="3574"/>
      </w:r>
    </w:p>
    <w:p w:rsidR="00D90FE2" w:rsidRPr="00757FD9" w:rsidRDefault="00D90FE2" w:rsidP="00D90FE2">
      <w:pPr>
        <w:autoSpaceDE w:val="0"/>
        <w:autoSpaceDN w:val="0"/>
        <w:adjustRightInd w:val="0"/>
        <w:spacing w:after="120" w:line="360" w:lineRule="auto"/>
        <w:ind w:right="71"/>
        <w:jc w:val="both"/>
      </w:pPr>
      <w:r>
        <w:t>Meyers and Meyers state that, w</w:t>
      </w:r>
      <w:r w:rsidRPr="00757FD9">
        <w:t>hereas the nations were previously gathering against Israel,</w:t>
      </w:r>
      <w:r w:rsidRPr="00757FD9">
        <w:rPr>
          <w:rStyle w:val="EndnoteReference"/>
        </w:rPr>
        <w:endnoteReference w:id="3575"/>
      </w:r>
      <w:r w:rsidRPr="00757FD9">
        <w:t xml:space="preserve"> here they are in motion, coming against Jerusalem, which they regard as symbolic of all Israel.  This makes ‘Yahweh’s destructive acts imminent indeed’.</w:t>
      </w:r>
      <w:r w:rsidRPr="00757FD9">
        <w:rPr>
          <w:rStyle w:val="EndnoteReference"/>
        </w:rPr>
        <w:endnoteReference w:id="3576"/>
      </w:r>
      <w:r w:rsidRPr="00757FD9">
        <w:t xml:space="preserve">  </w:t>
      </w:r>
    </w:p>
    <w:p w:rsidR="00D90FE2" w:rsidRDefault="00D90FE2" w:rsidP="00D90FE2">
      <w:pPr>
        <w:autoSpaceDE w:val="0"/>
        <w:autoSpaceDN w:val="0"/>
        <w:adjustRightInd w:val="0"/>
        <w:spacing w:after="120" w:line="360" w:lineRule="auto"/>
        <w:ind w:right="71" w:firstLine="567"/>
        <w:jc w:val="both"/>
      </w:pPr>
      <w:r>
        <w:t xml:space="preserve">Mason states that </w:t>
      </w:r>
      <w:r w:rsidRPr="00757FD9">
        <w:t>Hadad</w:t>
      </w:r>
      <w:r w:rsidRPr="00757FD9">
        <w:rPr>
          <w:rStyle w:val="EndnoteReference"/>
        </w:rPr>
        <w:endnoteReference w:id="3577"/>
      </w:r>
      <w:r w:rsidRPr="00757FD9">
        <w:t xml:space="preserve"> was the Syrian equivalent to Baal, whose death and descent to the underworld were ritually lamented annually.  The implication may be that the people returning to Yahweh will regard their former worship as near idolatry.</w:t>
      </w:r>
      <w:r w:rsidRPr="00757FD9">
        <w:rPr>
          <w:rStyle w:val="EndnoteReference"/>
        </w:rPr>
        <w:endnoteReference w:id="3578"/>
      </w:r>
    </w:p>
    <w:p w:rsidR="003D0877" w:rsidRDefault="003D0877" w:rsidP="00D90FE2">
      <w:pPr>
        <w:autoSpaceDE w:val="0"/>
        <w:autoSpaceDN w:val="0"/>
        <w:adjustRightInd w:val="0"/>
        <w:spacing w:after="120" w:line="360" w:lineRule="auto"/>
        <w:ind w:right="71" w:firstLine="567"/>
        <w:jc w:val="both"/>
      </w:pPr>
    </w:p>
    <w:p w:rsidR="003D0877" w:rsidRPr="00757FD9" w:rsidRDefault="003D0877" w:rsidP="00D90FE2">
      <w:pPr>
        <w:autoSpaceDE w:val="0"/>
        <w:autoSpaceDN w:val="0"/>
        <w:adjustRightInd w:val="0"/>
        <w:spacing w:after="120" w:line="360" w:lineRule="auto"/>
        <w:ind w:right="71" w:firstLine="567"/>
        <w:jc w:val="both"/>
      </w:pPr>
    </w:p>
    <w:p w:rsidR="00D90FE2" w:rsidRPr="00757FD9" w:rsidRDefault="00D90FE2" w:rsidP="00D90FE2">
      <w:pPr>
        <w:autoSpaceDE w:val="0"/>
        <w:autoSpaceDN w:val="0"/>
        <w:adjustRightInd w:val="0"/>
        <w:spacing w:after="120" w:line="360" w:lineRule="auto"/>
        <w:ind w:right="71"/>
        <w:jc w:val="both"/>
      </w:pPr>
      <w:r w:rsidRPr="00757FD9">
        <w:rPr>
          <w:b/>
        </w:rPr>
        <w:lastRenderedPageBreak/>
        <w:t>Zechariah 12:12-14</w:t>
      </w:r>
      <w:r w:rsidRPr="00757FD9">
        <w:rPr>
          <w:rStyle w:val="EndnoteReference"/>
        </w:rPr>
        <w:endnoteReference w:id="3579"/>
      </w:r>
    </w:p>
    <w:p w:rsidR="00D90FE2" w:rsidRDefault="00D90FE2" w:rsidP="00D90FE2">
      <w:pPr>
        <w:autoSpaceDE w:val="0"/>
        <w:autoSpaceDN w:val="0"/>
        <w:adjustRightInd w:val="0"/>
        <w:spacing w:after="120" w:line="360" w:lineRule="auto"/>
        <w:ind w:right="71"/>
        <w:jc w:val="both"/>
      </w:pPr>
      <w:r w:rsidRPr="00AE5303">
        <w:t>Meyers</w:t>
      </w:r>
      <w:r>
        <w:t xml:space="preserve"> and </w:t>
      </w:r>
      <w:r w:rsidRPr="00AE5303">
        <w:t>Meyers</w:t>
      </w:r>
      <w:r w:rsidRPr="00757FD9">
        <w:t xml:space="preserve"> state that it is difficult to determine which aspect of bureaucratic power is represented by David, Nathan, Levi and the Shimeites and whether the power structure represented by two royal and two priestly lineages ‘is meant to recapture preexilic realities or instead to depict a future that takes present circumstances into account’.</w:t>
      </w:r>
      <w:r w:rsidRPr="00757FD9">
        <w:rPr>
          <w:rStyle w:val="EndnoteReference"/>
        </w:rPr>
        <w:endnoteReference w:id="3580"/>
      </w:r>
      <w:r w:rsidRPr="00757FD9">
        <w:t xml:space="preserve">  For Petersen, the lineages ‘symbolize political and religious power’ in relation to the lament but the four names are balanced by the women, whose inclusion indicates universality; all the families will be involved.  However, the reference to women may reflect gender specific behaviour.</w:t>
      </w:r>
      <w:r w:rsidRPr="00757FD9">
        <w:rPr>
          <w:rStyle w:val="EndnoteReference"/>
        </w:rPr>
        <w:endnoteReference w:id="3581"/>
      </w:r>
      <w:r w:rsidRPr="00757FD9">
        <w:t xml:space="preserve">  Mason avers that the response of families suggests the totality of penitence and mourning in which the royal house of David shares.</w:t>
      </w:r>
      <w:r w:rsidRPr="00757FD9">
        <w:rPr>
          <w:rStyle w:val="EndnoteReference"/>
        </w:rPr>
        <w:endnoteReference w:id="3582"/>
      </w:r>
    </w:p>
    <w:p w:rsidR="00D90FE2" w:rsidRPr="00757FD9" w:rsidRDefault="00D90FE2" w:rsidP="00D90FE2">
      <w:pPr>
        <w:autoSpaceDE w:val="0"/>
        <w:autoSpaceDN w:val="0"/>
        <w:adjustRightInd w:val="0"/>
        <w:spacing w:after="120" w:line="360" w:lineRule="auto"/>
        <w:ind w:right="71"/>
        <w:jc w:val="both"/>
        <w:rPr>
          <w:b/>
        </w:rPr>
      </w:pPr>
      <w:r w:rsidRPr="00757FD9">
        <w:rPr>
          <w:b/>
        </w:rPr>
        <w:t>B  Commentary on Problematic Verses</w:t>
      </w:r>
    </w:p>
    <w:p w:rsidR="00D90FE2" w:rsidRPr="00757FD9" w:rsidRDefault="00D90FE2" w:rsidP="00D90FE2">
      <w:pPr>
        <w:autoSpaceDE w:val="0"/>
        <w:autoSpaceDN w:val="0"/>
        <w:adjustRightInd w:val="0"/>
        <w:spacing w:after="120" w:line="360" w:lineRule="auto"/>
        <w:ind w:right="71"/>
        <w:jc w:val="both"/>
      </w:pPr>
      <w:r w:rsidRPr="00757FD9">
        <w:rPr>
          <w:b/>
        </w:rPr>
        <w:t>Zechariah 12:1</w:t>
      </w:r>
      <w:r w:rsidRPr="00757FD9">
        <w:rPr>
          <w:rStyle w:val="EndnoteReference"/>
        </w:rPr>
        <w:endnoteReference w:id="3583"/>
      </w:r>
    </w:p>
    <w:p w:rsidR="00D90FE2" w:rsidRPr="00757FD9" w:rsidRDefault="00D90FE2" w:rsidP="00D90FE2">
      <w:pPr>
        <w:autoSpaceDE w:val="0"/>
        <w:autoSpaceDN w:val="0"/>
        <w:adjustRightInd w:val="0"/>
        <w:spacing w:after="120" w:line="360" w:lineRule="auto"/>
        <w:ind w:right="71"/>
        <w:jc w:val="both"/>
      </w:pPr>
      <w:r w:rsidRPr="00757FD9">
        <w:t>The use of the name, ‘Israel’ is anomalous.</w:t>
      </w:r>
      <w:r>
        <w:rPr>
          <w:rStyle w:val="EndnoteReference"/>
        </w:rPr>
        <w:endnoteReference w:id="3584"/>
      </w:r>
      <w:r w:rsidRPr="00757FD9">
        <w:t xml:space="preserve">  It may reflect the idea that ‘those [in Judah and Jerusalem] who experience the deliverance of Yahweh’s final victory and his work of cleansing and renewal will be the true Israel, heirs to all the promises relating to Israel from patriarchal times onwards …’.</w:t>
      </w:r>
      <w:r w:rsidRPr="00757FD9">
        <w:rPr>
          <w:rStyle w:val="EndnoteReference"/>
        </w:rPr>
        <w:endnoteReference w:id="3585"/>
      </w:r>
      <w:r w:rsidRPr="00757FD9">
        <w:t xml:space="preserve">  Alternatively, ‘Israel’ here is a generic, rather than a political term.</w:t>
      </w:r>
      <w:r w:rsidRPr="00757FD9">
        <w:rPr>
          <w:rStyle w:val="EndnoteReference"/>
        </w:rPr>
        <w:endnoteReference w:id="3586"/>
      </w:r>
      <w:r w:rsidRPr="00757FD9">
        <w:t xml:space="preserve">  Thirdly, ‘Israel’ may be used inclusively for all the people of Yahweh.</w:t>
      </w:r>
      <w:r w:rsidRPr="00757FD9">
        <w:rPr>
          <w:rStyle w:val="EndnoteReference"/>
        </w:rPr>
        <w:endnoteReference w:id="3587"/>
      </w:r>
      <w:r w:rsidRPr="00757FD9">
        <w:t xml:space="preserve">  </w:t>
      </w:r>
    </w:p>
    <w:p w:rsidR="00D90FE2" w:rsidRPr="00757FD9" w:rsidRDefault="00D90FE2" w:rsidP="00D90FE2">
      <w:pPr>
        <w:autoSpaceDE w:val="0"/>
        <w:autoSpaceDN w:val="0"/>
        <w:adjustRightInd w:val="0"/>
        <w:spacing w:after="120" w:line="360" w:lineRule="auto"/>
        <w:ind w:right="71"/>
        <w:jc w:val="both"/>
        <w:rPr>
          <w:b/>
        </w:rPr>
      </w:pPr>
      <w:r w:rsidRPr="00757FD9">
        <w:rPr>
          <w:b/>
        </w:rPr>
        <w:t>Zechariah 12:5</w:t>
      </w:r>
      <w:r w:rsidRPr="00757FD9">
        <w:rPr>
          <w:rStyle w:val="EndnoteReference"/>
        </w:rPr>
        <w:endnoteReference w:id="3588"/>
      </w:r>
    </w:p>
    <w:p w:rsidR="00D90FE2" w:rsidRDefault="00D90FE2" w:rsidP="00D90FE2">
      <w:pPr>
        <w:autoSpaceDE w:val="0"/>
        <w:autoSpaceDN w:val="0"/>
        <w:adjustRightInd w:val="0"/>
        <w:spacing w:after="120" w:line="360" w:lineRule="auto"/>
        <w:ind w:right="71"/>
        <w:jc w:val="both"/>
        <w:rPr>
          <w:szCs w:val="24"/>
        </w:rPr>
      </w:pPr>
      <w:r w:rsidRPr="00757FD9">
        <w:t>There is debate over whether</w:t>
      </w:r>
      <w:r>
        <w:rPr>
          <w:szCs w:val="24"/>
        </w:rPr>
        <w:t xml:space="preserve"> </w:t>
      </w:r>
      <w:r>
        <w:rPr>
          <w:rFonts w:ascii="Bwhebb" w:hAnsi="Bwhebb" w:cs="Bwhebb"/>
          <w:sz w:val="36"/>
          <w:szCs w:val="24"/>
          <w:lang w:val="en-US" w:bidi="he-IL"/>
        </w:rPr>
        <w:t>hd"ÞWhy&gt; ypeîLua</w:t>
      </w:r>
      <w:r w:rsidRPr="00757FD9">
        <w:t xml:space="preserve"> should be translated as clans or chieftains of Judah.  Redditt notes that </w:t>
      </w:r>
      <w:r w:rsidRPr="00757FD9">
        <w:rPr>
          <w:i/>
        </w:rPr>
        <w:t>NRSV</w:t>
      </w:r>
      <w:r w:rsidRPr="00757FD9">
        <w:t xml:space="preserve"> amends ‘chiefs’ to read ‘clans’.</w:t>
      </w:r>
      <w:r w:rsidRPr="00757FD9">
        <w:rPr>
          <w:rStyle w:val="EndnoteReference"/>
        </w:rPr>
        <w:endnoteReference w:id="3589"/>
      </w:r>
      <w:r w:rsidRPr="00757FD9">
        <w:t xml:space="preserve">  Conversely, Petersen argues that</w:t>
      </w:r>
      <w:r>
        <w:rPr>
          <w:szCs w:val="24"/>
        </w:rPr>
        <w:t xml:space="preserve"> </w:t>
      </w:r>
      <w:r>
        <w:rPr>
          <w:rFonts w:ascii="Bwhebb" w:hAnsi="Bwhebb" w:cs="Bwhebb"/>
          <w:sz w:val="36"/>
          <w:szCs w:val="24"/>
          <w:lang w:val="en-US" w:bidi="he-IL"/>
        </w:rPr>
        <w:t>ypeîLua</w:t>
      </w:r>
      <w:r w:rsidRPr="00757FD9">
        <w:t xml:space="preserve"> should be translated as ‘leaders’ because the language comes from a much earlier situation where the term usually referred to leaders of a territorial state, especially Edom.  Military leaders would have been summoned to set up defences.</w:t>
      </w:r>
      <w:r w:rsidRPr="00757FD9">
        <w:rPr>
          <w:rStyle w:val="EndnoteReference"/>
        </w:rPr>
        <w:endnoteReference w:id="3590"/>
      </w:r>
      <w:r w:rsidRPr="00757FD9">
        <w:t xml:space="preserve">  Petersen’s interpretation agrees with </w:t>
      </w:r>
      <w:r w:rsidRPr="00757FD9">
        <w:rPr>
          <w:i/>
        </w:rPr>
        <w:t>LXX</w:t>
      </w:r>
      <w:r w:rsidRPr="00757FD9">
        <w:t xml:space="preserve">, which gives </w:t>
      </w:r>
      <w:r w:rsidRPr="00757FD9">
        <w:rPr>
          <w:rFonts w:ascii="Bwgrkl" w:hAnsi="Bwgrkl" w:cs="Bwgrkl"/>
          <w:szCs w:val="24"/>
          <w:lang w:val="en-US" w:bidi="he-IL"/>
        </w:rPr>
        <w:t>cili,arcoi Iouda</w:t>
      </w:r>
      <w:r w:rsidRPr="00757FD9">
        <w:t>.</w:t>
      </w:r>
    </w:p>
    <w:p w:rsidR="00D90FE2" w:rsidRDefault="00D90FE2" w:rsidP="00D90FE2">
      <w:pPr>
        <w:autoSpaceDE w:val="0"/>
        <w:autoSpaceDN w:val="0"/>
        <w:adjustRightInd w:val="0"/>
        <w:spacing w:after="120" w:line="360" w:lineRule="auto"/>
        <w:ind w:right="71" w:firstLine="567"/>
        <w:jc w:val="both"/>
        <w:rPr>
          <w:szCs w:val="24"/>
        </w:rPr>
      </w:pPr>
      <w:r w:rsidRPr="00AE5303">
        <w:t>Meyers</w:t>
      </w:r>
      <w:r>
        <w:t xml:space="preserve"> and </w:t>
      </w:r>
      <w:r w:rsidRPr="00AE5303">
        <w:t>Meyers</w:t>
      </w:r>
      <w:r w:rsidRPr="00757FD9">
        <w:t xml:space="preserve">’ interpretation of </w:t>
      </w:r>
      <w:r>
        <w:rPr>
          <w:rFonts w:ascii="Bwhebb" w:hAnsi="Bwhebb" w:cs="Bwhebb"/>
          <w:sz w:val="36"/>
          <w:szCs w:val="24"/>
          <w:lang w:val="en-US" w:bidi="he-IL"/>
        </w:rPr>
        <w:t>hd"ÞWhy&gt; ypeîLua</w:t>
      </w:r>
      <w:r w:rsidRPr="00757FD9">
        <w:t xml:space="preserve"> is bound up with their interpretation of the whole phrase, ‘</w:t>
      </w:r>
      <w:r>
        <w:rPr>
          <w:rFonts w:ascii="Bwhebb" w:hAnsi="Bwhebb" w:cs="Bwhebb"/>
          <w:sz w:val="36"/>
          <w:szCs w:val="24"/>
          <w:lang w:val="en-US" w:bidi="he-IL"/>
        </w:rPr>
        <w:t>~Øil;êv'Wry</w:t>
      </w:r>
      <w:r>
        <w:rPr>
          <w:szCs w:val="24"/>
        </w:rPr>
        <w:t xml:space="preserve"> </w:t>
      </w:r>
      <w:r>
        <w:rPr>
          <w:rFonts w:ascii="Bwhebb" w:hAnsi="Bwhebb" w:cs="Bwhebb"/>
          <w:sz w:val="36"/>
          <w:szCs w:val="24"/>
          <w:lang w:val="en-US" w:bidi="he-IL"/>
        </w:rPr>
        <w:t>ybeäv.yO ‘yli hc'îm.a;</w:t>
      </w:r>
      <w:r w:rsidRPr="00757FD9">
        <w:t>’.</w:t>
      </w:r>
      <w:r>
        <w:rPr>
          <w:szCs w:val="24"/>
        </w:rPr>
        <w:t xml:space="preserve">  </w:t>
      </w:r>
      <w:r w:rsidRPr="00757FD9">
        <w:t>They question whether</w:t>
      </w:r>
      <w:r>
        <w:rPr>
          <w:szCs w:val="24"/>
        </w:rPr>
        <w:t xml:space="preserve"> </w:t>
      </w:r>
      <w:r>
        <w:rPr>
          <w:rFonts w:ascii="Bwhebb" w:hAnsi="Bwhebb" w:cs="Bwhebb"/>
          <w:sz w:val="36"/>
          <w:szCs w:val="24"/>
          <w:lang w:val="en-US" w:bidi="he-IL"/>
        </w:rPr>
        <w:t>hc'îm.a</w:t>
      </w:r>
      <w:r w:rsidRPr="00757FD9">
        <w:t xml:space="preserve"> </w:t>
      </w:r>
      <w:r w:rsidRPr="00983C02">
        <w:t>is a noun meaning ‘strength’</w:t>
      </w:r>
      <w:r w:rsidRPr="00983C02">
        <w:rPr>
          <w:rStyle w:val="EndnoteReference"/>
        </w:rPr>
        <w:endnoteReference w:id="3591"/>
      </w:r>
      <w:r w:rsidRPr="00983C02">
        <w:t xml:space="preserve"> or a verb meaning ‘to be strong’.  They prefer the former and thus render the whole phrase as ‘the leaders of Jerusalem are my strength’.  They quote </w:t>
      </w:r>
      <w:r>
        <w:t xml:space="preserve">‘the medieval commentator </w:t>
      </w:r>
      <w:r w:rsidRPr="00983C02">
        <w:t>Rashi</w:t>
      </w:r>
      <w:r>
        <w:t xml:space="preserve">’ </w:t>
      </w:r>
      <w:r w:rsidRPr="00983C02">
        <w:t>and two modern scholars</w:t>
      </w:r>
      <w:r>
        <w:rPr>
          <w:rStyle w:val="EndnoteReference"/>
        </w:rPr>
        <w:endnoteReference w:id="3592"/>
      </w:r>
      <w:r w:rsidRPr="00983C02">
        <w:t xml:space="preserve"> as taking this view, but not subscribing to the translation of </w:t>
      </w:r>
      <w:r>
        <w:rPr>
          <w:rFonts w:ascii="Bwhebb" w:hAnsi="Bwhebb" w:cs="Bwhebb"/>
          <w:sz w:val="36"/>
          <w:szCs w:val="24"/>
          <w:lang w:val="en-US" w:bidi="he-IL"/>
        </w:rPr>
        <w:t>~Øil;êv'Wry&gt; ybeäv.y</w:t>
      </w:r>
      <w:r w:rsidRPr="00983C02">
        <w:t xml:space="preserve"> as ‘leaders of Jer</w:t>
      </w:r>
      <w:r>
        <w:t>us</w:t>
      </w:r>
      <w:r w:rsidRPr="00983C02">
        <w:t>alem’.</w:t>
      </w:r>
      <w:r>
        <w:rPr>
          <w:szCs w:val="24"/>
        </w:rPr>
        <w:t xml:space="preserve">  </w:t>
      </w:r>
    </w:p>
    <w:p w:rsidR="00D90FE2" w:rsidRPr="00983C02"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983C02">
        <w:t xml:space="preserve"> state that the clans of Judah represent ‘the fighting forces, drawn from all the populace, under the leadership … of Jerusalem’.  They are ‘confident because they recognize that Yahweh has empowered their commanders’.  </w:t>
      </w:r>
    </w:p>
    <w:p w:rsidR="00D90FE2" w:rsidRDefault="00D90FE2" w:rsidP="00D90FE2">
      <w:pPr>
        <w:autoSpaceDE w:val="0"/>
        <w:autoSpaceDN w:val="0"/>
        <w:adjustRightInd w:val="0"/>
        <w:spacing w:after="120" w:line="360" w:lineRule="auto"/>
        <w:ind w:right="71" w:firstLine="567"/>
        <w:jc w:val="both"/>
      </w:pPr>
      <w:r w:rsidRPr="00AE5303">
        <w:lastRenderedPageBreak/>
        <w:t>Meyers</w:t>
      </w:r>
      <w:r>
        <w:t xml:space="preserve"> and </w:t>
      </w:r>
      <w:r w:rsidRPr="00AE5303">
        <w:t>Meyers</w:t>
      </w:r>
      <w:r w:rsidRPr="00D4601B">
        <w:t>’ translation of</w:t>
      </w:r>
      <w:r>
        <w:rPr>
          <w:szCs w:val="24"/>
        </w:rPr>
        <w:t xml:space="preserve"> </w:t>
      </w:r>
      <w:r>
        <w:rPr>
          <w:rFonts w:ascii="Bwhebb" w:hAnsi="Bwhebb" w:cs="Bwhebb"/>
          <w:sz w:val="36"/>
          <w:szCs w:val="24"/>
          <w:lang w:val="en-US" w:bidi="he-IL"/>
        </w:rPr>
        <w:t>ybeäv.yO,</w:t>
      </w:r>
      <w:r w:rsidRPr="00D4601B">
        <w:rPr>
          <w:rStyle w:val="EndnoteReference"/>
          <w:rFonts w:cs="Bwhebb"/>
          <w:lang w:val="en-US" w:bidi="he-IL"/>
        </w:rPr>
        <w:endnoteReference w:id="3593"/>
      </w:r>
      <w:r w:rsidRPr="00D4601B">
        <w:rPr>
          <w:rFonts w:cs="Bwhebb"/>
          <w:lang w:val="en-US" w:bidi="he-IL"/>
        </w:rPr>
        <w:t xml:space="preserve"> </w:t>
      </w:r>
      <w:r w:rsidRPr="00D4601B">
        <w:t>as ‘leaders’ or ‘commanders’ appears unusual as all English translations studied give ‘inhabitants’</w:t>
      </w:r>
      <w:r w:rsidRPr="00D4601B">
        <w:rPr>
          <w:rStyle w:val="EndnoteReference"/>
        </w:rPr>
        <w:endnoteReference w:id="3594"/>
      </w:r>
      <w:r w:rsidRPr="00D4601B">
        <w:t xml:space="preserve"> and several French and German translations give ‘les habitants’ and ‘</w:t>
      </w:r>
      <w:r w:rsidRPr="00D4601B">
        <w:rPr>
          <w:rFonts w:cs="Arial"/>
          <w:lang w:val="en-US" w:bidi="he-IL"/>
        </w:rPr>
        <w:t xml:space="preserve">die Bewohner’ or ‘die Bürger’ </w:t>
      </w:r>
      <w:r w:rsidRPr="00D4601B">
        <w:t>respectively.</w:t>
      </w:r>
      <w:r w:rsidRPr="00D4601B">
        <w:rPr>
          <w:rStyle w:val="EndnoteReference"/>
        </w:rPr>
        <w:endnoteReference w:id="3595"/>
      </w:r>
      <w:r w:rsidRPr="00D4601B">
        <w:t xml:space="preserve">  </w:t>
      </w:r>
      <w:r w:rsidRPr="00D4601B">
        <w:rPr>
          <w:i/>
        </w:rPr>
        <w:t>LXX</w:t>
      </w:r>
      <w:r w:rsidRPr="00D4601B">
        <w:t>, too, reads ‘</w:t>
      </w:r>
      <w:r>
        <w:rPr>
          <w:rFonts w:ascii="Bwgrkl" w:hAnsi="Bwgrkl" w:cs="Bwgrkl"/>
          <w:szCs w:val="24"/>
          <w:lang w:val="en-US" w:bidi="he-IL"/>
        </w:rPr>
        <w:t>tou.j katoikou/ntaj Ierousalhm</w:t>
      </w:r>
      <w:r w:rsidRPr="00D4601B">
        <w:t>’</w:t>
      </w:r>
      <w:r>
        <w:rPr>
          <w:szCs w:val="24"/>
        </w:rPr>
        <w:t xml:space="preserve">. </w:t>
      </w:r>
      <w:r w:rsidRPr="00AE5303">
        <w:t>Meyers</w:t>
      </w:r>
      <w:r>
        <w:t xml:space="preserve"> and </w:t>
      </w:r>
      <w:r w:rsidRPr="00AE5303">
        <w:t>Meyers</w:t>
      </w:r>
      <w:r w:rsidRPr="00D4601B">
        <w:t xml:space="preserve">’ justification for their translation requires some manipulation of participles and their argument that the word is masculine plural does not advance the matter since ‘inhabitants’ is also masculine plural.  </w:t>
      </w:r>
      <w:r w:rsidRPr="00AE5303">
        <w:t>Meyers</w:t>
      </w:r>
      <w:r>
        <w:t xml:space="preserve"> and </w:t>
      </w:r>
      <w:r w:rsidRPr="00AE5303">
        <w:t>Meyers</w:t>
      </w:r>
      <w:r w:rsidRPr="00D4601B">
        <w:t xml:space="preserve"> cite Norman Gottwald as accepting the word</w:t>
      </w:r>
      <w:r>
        <w:t xml:space="preserve">’s ‘technical use’ as ‘rulers’ </w:t>
      </w:r>
      <w:r w:rsidRPr="00D4601B">
        <w:t>for ‘a small but significant number of passages in the Hebrew Bible’.</w:t>
      </w:r>
      <w:r w:rsidRPr="00D4601B">
        <w:rPr>
          <w:rStyle w:val="EndnoteReference"/>
        </w:rPr>
        <w:endnoteReference w:id="3596"/>
      </w:r>
      <w:r w:rsidRPr="00D4601B">
        <w:t xml:space="preserve">  However, Gottwald does not include Zech. 12:5.</w:t>
      </w:r>
      <w:r w:rsidRPr="00D4601B">
        <w:rPr>
          <w:rStyle w:val="EndnoteReference"/>
        </w:rPr>
        <w:endnoteReference w:id="3597"/>
      </w:r>
      <w:r w:rsidRPr="00D4601B">
        <w:t xml:space="preserve">  Nevertheless, much of </w:t>
      </w:r>
      <w:r w:rsidRPr="00AE5303">
        <w:t>Meyers</w:t>
      </w:r>
      <w:r>
        <w:t xml:space="preserve"> and </w:t>
      </w:r>
      <w:r w:rsidRPr="00AE5303">
        <w:t>Meyers</w:t>
      </w:r>
      <w:r w:rsidRPr="00D4601B">
        <w:t xml:space="preserve">’ later commentary depends on this translation.  </w:t>
      </w:r>
      <w:r w:rsidRPr="00AE5303">
        <w:t>Meyers</w:t>
      </w:r>
      <w:r>
        <w:t xml:space="preserve"> and </w:t>
      </w:r>
      <w:r w:rsidRPr="00AE5303">
        <w:t>Meyers</w:t>
      </w:r>
      <w:r w:rsidRPr="00D4601B">
        <w:t xml:space="preserve"> aver that the term applied to pre-exile monarchic rule but ‘not to exilic and postexilic periods, when kingship and its associated governance structures ceased to exist’.  Thus they assert that ‘the use of </w:t>
      </w:r>
      <w:r>
        <w:t>“</w:t>
      </w:r>
      <w:r w:rsidRPr="00D4601B">
        <w:t>leaders of Jerusalem” and “house of David” in this context involves language of a past political organization being projected upon the eschatological future’.</w:t>
      </w:r>
      <w:r w:rsidRPr="00D4601B">
        <w:rPr>
          <w:rStyle w:val="EndnoteReference"/>
        </w:rPr>
        <w:endnoteReference w:id="3598"/>
      </w:r>
      <w:r w:rsidRPr="00D4601B">
        <w:t xml:space="preserve">  </w:t>
      </w:r>
    </w:p>
    <w:p w:rsidR="00D90FE2" w:rsidRPr="00D4601B" w:rsidRDefault="00D90FE2" w:rsidP="00D90FE2">
      <w:pPr>
        <w:autoSpaceDE w:val="0"/>
        <w:autoSpaceDN w:val="0"/>
        <w:adjustRightInd w:val="0"/>
        <w:spacing w:after="120" w:line="360" w:lineRule="auto"/>
        <w:ind w:right="71"/>
        <w:jc w:val="both"/>
      </w:pPr>
      <w:r w:rsidRPr="00D4601B">
        <w:rPr>
          <w:b/>
        </w:rPr>
        <w:t>Zechariah 12:10</w:t>
      </w:r>
      <w:r w:rsidRPr="00D4601B">
        <w:rPr>
          <w:rStyle w:val="EndnoteReference"/>
        </w:rPr>
        <w:endnoteReference w:id="3599"/>
      </w:r>
    </w:p>
    <w:p w:rsidR="00D90FE2" w:rsidRPr="004F783A" w:rsidRDefault="00D90FE2" w:rsidP="00D90FE2">
      <w:pPr>
        <w:autoSpaceDE w:val="0"/>
        <w:autoSpaceDN w:val="0"/>
        <w:adjustRightInd w:val="0"/>
        <w:spacing w:after="120" w:line="360" w:lineRule="auto"/>
        <w:ind w:right="74"/>
        <w:jc w:val="both"/>
      </w:pPr>
      <w:r w:rsidRPr="00D4601B">
        <w:t>The penitence engendered by Yahweh’s outpouring of the spirit of grace and supplication</w:t>
      </w:r>
      <w:r w:rsidRPr="00D4601B">
        <w:rPr>
          <w:rStyle w:val="EndnoteReference"/>
        </w:rPr>
        <w:endnoteReference w:id="3600"/>
      </w:r>
      <w:r w:rsidRPr="00D4601B">
        <w:t xml:space="preserve"> is directed towards ‘one whom they have pierced’.  Mason sees this as an important </w:t>
      </w:r>
      <w:r w:rsidRPr="00D4601B">
        <w:rPr>
          <w:i/>
        </w:rPr>
        <w:t>crux</w:t>
      </w:r>
      <w:r w:rsidRPr="00D4601B">
        <w:t>.  Who is meant and what action do the people mourn?  The preceding first person speech of Yahweh:</w:t>
      </w:r>
      <w:r>
        <w:t xml:space="preserve"> </w:t>
      </w:r>
      <w:r>
        <w:rPr>
          <w:rFonts w:ascii="Bwhebb" w:hAnsi="Bwhebb" w:cs="Bwhebb"/>
          <w:sz w:val="36"/>
          <w:szCs w:val="24"/>
          <w:lang w:val="en-US" w:bidi="he-IL"/>
        </w:rPr>
        <w:t>yl;Þae WjyBiîhiw&gt;</w:t>
      </w:r>
      <w:r w:rsidRPr="00D4601B">
        <w:t xml:space="preserve">, they shall look to </w:t>
      </w:r>
      <w:r w:rsidRPr="00D4601B">
        <w:rPr>
          <w:i/>
        </w:rPr>
        <w:t>me</w:t>
      </w:r>
      <w:r w:rsidRPr="00D4601B">
        <w:t>,</w:t>
      </w:r>
      <w:r>
        <w:rPr>
          <w:rStyle w:val="EndnoteReference"/>
        </w:rPr>
        <w:endnoteReference w:id="3601"/>
      </w:r>
      <w:r w:rsidRPr="00D4601B">
        <w:t xml:space="preserve"> ‘</w:t>
      </w:r>
      <w:r>
        <w:rPr>
          <w:rFonts w:ascii="Bwhebb" w:hAnsi="Bwhebb" w:cs="Bwhebb"/>
          <w:sz w:val="36"/>
          <w:szCs w:val="24"/>
          <w:lang w:val="en-US" w:bidi="he-IL"/>
        </w:rPr>
        <w:t>Wrq"+D"-rv,a</w:t>
      </w:r>
      <w:r>
        <w:t xml:space="preserve"> </w:t>
      </w:r>
      <w:r>
        <w:rPr>
          <w:rFonts w:ascii="Bwhebb" w:hAnsi="Bwhebb" w:cs="Bwhebb"/>
          <w:sz w:val="36"/>
          <w:szCs w:val="24"/>
          <w:lang w:val="en-US" w:bidi="he-IL"/>
        </w:rPr>
        <w:t>taeä</w:t>
      </w:r>
      <w:r w:rsidRPr="00D4601B">
        <w:t xml:space="preserve">’, the one whom they have pierced, implies that Yahweh is the pierced </w:t>
      </w:r>
      <w:r w:rsidRPr="00007BF3">
        <w:rPr>
          <w:spacing w:val="-2"/>
        </w:rPr>
        <w:t>one.  Some translators respond by giving, ‘they shall look to him whom they have pierced’, as in Jn</w:t>
      </w:r>
      <w:r w:rsidRPr="00D4601B">
        <w:t xml:space="preserve"> 19:37.</w:t>
      </w:r>
      <w:r w:rsidRPr="00D4601B">
        <w:rPr>
          <w:rStyle w:val="EndnoteReference"/>
        </w:rPr>
        <w:endnoteReference w:id="3602"/>
      </w:r>
      <w:r w:rsidRPr="00D4601B">
        <w:t xml:space="preserve">  Secondly, the first person</w:t>
      </w:r>
      <w:r>
        <w:t xml:space="preserve"> </w:t>
      </w:r>
      <w:r>
        <w:rPr>
          <w:rFonts w:ascii="Bwhebb" w:hAnsi="Bwhebb" w:cs="Bwhebb"/>
          <w:sz w:val="36"/>
          <w:szCs w:val="24"/>
          <w:lang w:val="en-US" w:bidi="he-IL"/>
        </w:rPr>
        <w:t>yl;Þae</w:t>
      </w:r>
      <w:r w:rsidRPr="00D4601B">
        <w:t xml:space="preserve"> is abruptly followed by the third person </w:t>
      </w:r>
      <w:r>
        <w:rPr>
          <w:rFonts w:ascii="Bwhebb" w:hAnsi="Bwhebb" w:cs="Bwhebb"/>
          <w:sz w:val="36"/>
          <w:szCs w:val="24"/>
          <w:lang w:val="en-US" w:bidi="he-IL"/>
        </w:rPr>
        <w:t>wyl'ª[' Wdåp.s'w&gt;eä</w:t>
      </w:r>
      <w:r w:rsidRPr="00D4601B">
        <w:t xml:space="preserve">, they shall mourn for </w:t>
      </w:r>
      <w:r w:rsidRPr="00D4601B">
        <w:rPr>
          <w:i/>
        </w:rPr>
        <w:t>him</w:t>
      </w:r>
      <w:r w:rsidRPr="00D4601B">
        <w:t>.</w:t>
      </w:r>
      <w:r>
        <w:rPr>
          <w:rStyle w:val="EndnoteReference"/>
        </w:rPr>
        <w:endnoteReference w:id="3603"/>
      </w:r>
      <w:r w:rsidRPr="00D4601B">
        <w:t xml:space="preserve">  Thirdly, the Hebrew construction is awkward: </w:t>
      </w:r>
      <w:r>
        <w:rPr>
          <w:rFonts w:ascii="Bwhebb" w:hAnsi="Bwhebb" w:cs="Bwhebb"/>
          <w:sz w:val="36"/>
          <w:szCs w:val="24"/>
          <w:lang w:val="en-US" w:bidi="he-IL"/>
        </w:rPr>
        <w:t>yl;Þa</w:t>
      </w:r>
      <w:r w:rsidRPr="00D4601B">
        <w:t xml:space="preserve"> is immediately followed by</w:t>
      </w:r>
      <w:r>
        <w:t xml:space="preserve"> </w:t>
      </w:r>
      <w:r>
        <w:rPr>
          <w:rFonts w:ascii="Bwhebb" w:hAnsi="Bwhebb" w:cs="Bwhebb"/>
          <w:sz w:val="36"/>
          <w:szCs w:val="24"/>
          <w:lang w:val="en-US" w:bidi="he-IL"/>
        </w:rPr>
        <w:t>ta</w:t>
      </w:r>
      <w:r w:rsidRPr="00D4601B">
        <w:t>, the accusative case indicator, followed by the relative</w:t>
      </w:r>
      <w:r>
        <w:t xml:space="preserve"> </w:t>
      </w:r>
      <w:r>
        <w:rPr>
          <w:rFonts w:ascii="Bwhebb" w:hAnsi="Bwhebb" w:cs="Bwhebb"/>
          <w:sz w:val="36"/>
          <w:szCs w:val="24"/>
          <w:lang w:val="en-US" w:bidi="he-IL"/>
        </w:rPr>
        <w:t>rv,a</w:t>
      </w:r>
      <w:r w:rsidRPr="00D4601B">
        <w:t>.</w:t>
      </w:r>
      <w:r w:rsidRPr="00D4601B">
        <w:rPr>
          <w:rStyle w:val="EndnoteReference"/>
        </w:rPr>
        <w:endnoteReference w:id="3604"/>
      </w:r>
    </w:p>
    <w:p w:rsidR="00D90FE2" w:rsidRPr="0081492C" w:rsidRDefault="00D90FE2" w:rsidP="00D90FE2">
      <w:pPr>
        <w:autoSpaceDE w:val="0"/>
        <w:autoSpaceDN w:val="0"/>
        <w:adjustRightInd w:val="0"/>
        <w:spacing w:after="120" w:line="360" w:lineRule="auto"/>
        <w:ind w:right="71" w:firstLine="567"/>
        <w:jc w:val="both"/>
      </w:pPr>
      <w:r w:rsidRPr="0081492C">
        <w:t>Mason states that repentance and weeping over the pierced one result from the outpouring of the spirit of grace; they are not caused by grief for sin.  It is thus necessary to be ‘careful here in assigning a vicarious role to the death of this one in the manner of the king in the earlier Jerusalem cult, or the Suffering Servant of Isa. 53’.  Also, since return to Yahweh is emphasised, ‘look to me’ seems appropriate.</w:t>
      </w:r>
      <w:r w:rsidRPr="0081492C">
        <w:rPr>
          <w:rStyle w:val="EndnoteReference"/>
        </w:rPr>
        <w:t xml:space="preserve"> </w:t>
      </w:r>
      <w:r w:rsidRPr="0081492C">
        <w:rPr>
          <w:rStyle w:val="EndnoteReference"/>
        </w:rPr>
        <w:endnoteReference w:id="3605"/>
      </w:r>
      <w:r w:rsidRPr="0081492C">
        <w:t xml:space="preserve">  The pierced one could be a reference to the prophet or his circle.  When the people repent, they realise that in rejecting them, they have rejected God and ‘they will look to God and mourn for the one they have treated wrongfully’.</w:t>
      </w:r>
      <w:r w:rsidRPr="0081492C">
        <w:rPr>
          <w:rStyle w:val="EndnoteReference"/>
        </w:rPr>
        <w:endnoteReference w:id="3606"/>
      </w:r>
      <w:r w:rsidRPr="0081492C">
        <w:t xml:space="preserve">  The first to third person change could intimate an association so strong between Yahweh and the prophet that Yahweh could be regarded as pierced through his representative.</w:t>
      </w:r>
      <w:r w:rsidRPr="0081492C">
        <w:rPr>
          <w:rStyle w:val="EndnoteReference"/>
        </w:rPr>
        <w:endnoteReference w:id="3607"/>
      </w:r>
      <w:r w:rsidRPr="0081492C">
        <w:rPr>
          <w:rStyle w:val="EndnoteReference"/>
        </w:rPr>
        <w:t xml:space="preserve"> </w:t>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lastRenderedPageBreak/>
        <w:t>Redditt holds that it is impossible to identify the pierced one but asserts that it may be said that ‘the author of 12:10 held the population of Jerusalem responsible for a past deed, perhaps an execution’.</w:t>
      </w:r>
      <w:r w:rsidRPr="0081492C">
        <w:rPr>
          <w:rStyle w:val="EndnoteReference"/>
        </w:rPr>
        <w:endnoteReference w:id="3608"/>
      </w:r>
      <w:r w:rsidRPr="0081492C">
        <w:t xml:space="preserve">  Petersen argues that the reference to lamentation as for an only son may involve child sacrifice rather than murder.  He suggests that some of this material stems from ‘the normative Zion tradition and a promissory note that Yahweh will act beneficently towards those in Jerusalem after they have made supplication and, possibly, engaged in human sacrifice as a way of averting attack’.</w:t>
      </w:r>
      <w:r w:rsidRPr="0081492C">
        <w:rPr>
          <w:rStyle w:val="EndnoteReference"/>
        </w:rPr>
        <w:endnoteReference w:id="3609"/>
      </w:r>
    </w:p>
    <w:p w:rsidR="00D90FE2" w:rsidRPr="0081492C"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81492C">
        <w:t xml:space="preserve"> assert that both the house of David and the leaders of Jerusalem are ‘implicated in the stabbing’, thus both mourn.</w:t>
      </w:r>
      <w:r w:rsidRPr="0081492C">
        <w:rPr>
          <w:rStyle w:val="EndnoteReference"/>
        </w:rPr>
        <w:endnoteReference w:id="3610"/>
      </w:r>
      <w:r w:rsidRPr="0081492C">
        <w:t xml:space="preserve">  They look to God and show remorse about the stabbed one.</w:t>
      </w:r>
      <w:r w:rsidRPr="0081492C">
        <w:rPr>
          <w:rStyle w:val="EndnoteReference"/>
        </w:rPr>
        <w:endnoteReference w:id="3611"/>
      </w:r>
      <w:r w:rsidRPr="0081492C">
        <w:t xml:space="preserve">  </w:t>
      </w:r>
      <w:r w:rsidRPr="00AE5303">
        <w:t>Meyers</w:t>
      </w:r>
      <w:r>
        <w:t xml:space="preserve"> and </w:t>
      </w:r>
      <w:r w:rsidRPr="00AE5303">
        <w:t>Meyers</w:t>
      </w:r>
      <w:r w:rsidRPr="0081492C">
        <w:t xml:space="preserve"> propose that ‘true prophecy is under attack in this verse’.  The author identifies strongly with the preexilic prophets and the suffering endured in conflict with those in power.  The use of preexilic terminology for those guilty of the stabbing may be ‘a retrospective reflection of the historical struggle between prophecy and the ruling establishment …’.  The author may well have been involved in an ongoing struggle between true and false prophets.</w:t>
      </w:r>
      <w:r w:rsidRPr="0081492C">
        <w:rPr>
          <w:rStyle w:val="EndnoteReference"/>
        </w:rPr>
        <w:endnoteReference w:id="3612"/>
      </w:r>
    </w:p>
    <w:p w:rsidR="00D90FE2" w:rsidRPr="0081492C" w:rsidRDefault="00D90FE2" w:rsidP="00D90FE2">
      <w:pPr>
        <w:autoSpaceDE w:val="0"/>
        <w:autoSpaceDN w:val="0"/>
        <w:adjustRightInd w:val="0"/>
        <w:spacing w:after="120" w:line="360" w:lineRule="auto"/>
        <w:ind w:right="71" w:firstLine="567"/>
        <w:jc w:val="both"/>
      </w:pPr>
      <w:r w:rsidRPr="0081492C">
        <w:t>Considering the obvious struggle of modern scholars with this verse and the varied attempted explanations, it is strange that Scofield totally ignores it.  Surely this of all verses is a candidate for one of his ‘helps’.  However, Scofield may simply be assuming that this is a reference to Christ at his first coming, a matter which is of less interest to him than Christ’s second coming.</w:t>
      </w:r>
    </w:p>
    <w:p w:rsidR="00D90FE2" w:rsidRPr="0081492C" w:rsidRDefault="00D90FE2" w:rsidP="00D90FE2">
      <w:pPr>
        <w:autoSpaceDE w:val="0"/>
        <w:autoSpaceDN w:val="0"/>
        <w:adjustRightInd w:val="0"/>
        <w:spacing w:after="120" w:line="360" w:lineRule="auto"/>
        <w:ind w:right="71"/>
        <w:jc w:val="both"/>
      </w:pPr>
      <w:r w:rsidRPr="0081492C">
        <w:rPr>
          <w:b/>
        </w:rPr>
        <w:t>C  Commentaries on Zechariah 12:8</w:t>
      </w:r>
      <w:r w:rsidRPr="0081492C">
        <w:rPr>
          <w:rStyle w:val="EndnoteReference"/>
        </w:rPr>
        <w:endnoteReference w:id="3613"/>
      </w:r>
    </w:p>
    <w:p w:rsidR="00D90FE2" w:rsidRPr="0081492C" w:rsidRDefault="00D90FE2" w:rsidP="00D90FE2">
      <w:pPr>
        <w:autoSpaceDE w:val="0"/>
        <w:autoSpaceDN w:val="0"/>
        <w:adjustRightInd w:val="0"/>
        <w:spacing w:after="120" w:line="360" w:lineRule="auto"/>
        <w:ind w:right="71"/>
        <w:jc w:val="both"/>
      </w:pPr>
      <w:r w:rsidRPr="0081492C">
        <w:t xml:space="preserve">Most of the commentary on this verse concerns its comparisons of the weakest Jerusalemites to David and the house of David to God and his angel.  Because Scofield barely relates his note to the text, he misses some extraordinary claims which really need explanation, especially the avouchment that the house of David will be like God. </w:t>
      </w:r>
    </w:p>
    <w:p w:rsidR="00D90FE2" w:rsidRPr="0081492C" w:rsidRDefault="00D90FE2" w:rsidP="00D90FE2">
      <w:pPr>
        <w:autoSpaceDE w:val="0"/>
        <w:autoSpaceDN w:val="0"/>
        <w:adjustRightInd w:val="0"/>
        <w:spacing w:after="120" w:line="360" w:lineRule="auto"/>
        <w:ind w:right="71" w:firstLine="567"/>
        <w:jc w:val="both"/>
      </w:pPr>
      <w:r w:rsidRPr="00623328">
        <w:t>According to Meyers and Meyers, Zech. 12:8 is linked with the inviolability of Zion and the Davidide tradition; God’s special relationship with the house of David has not been abandoned but it has been tempered by the prominence of Judah</w:t>
      </w:r>
      <w:r w:rsidRPr="00623328">
        <w:rPr>
          <w:rStyle w:val="EndnoteReference"/>
        </w:rPr>
        <w:endnoteReference w:id="3614"/>
      </w:r>
      <w:r w:rsidRPr="00623328">
        <w:t xml:space="preserve"> and of the need for repentance by the house of David along with other groups.</w:t>
      </w:r>
      <w:r w:rsidRPr="00623328">
        <w:rPr>
          <w:rStyle w:val="EndnoteReference"/>
        </w:rPr>
        <w:endnoteReference w:id="3615"/>
      </w:r>
      <w:r w:rsidRPr="00623328">
        <w:t xml:space="preserve">  Nevertheless, Meyers and Meyers note an assumption that Davidic rule will be part of the eschatological scheme.</w:t>
      </w:r>
      <w:r w:rsidRPr="00623328">
        <w:rPr>
          <w:rStyle w:val="EndnoteReference"/>
        </w:rPr>
        <w:endnoteReference w:id="3616"/>
      </w:r>
      <w:r w:rsidRPr="00623328">
        <w:t xml:space="preserve">  They suggest that the concept of a Davidic monarchy, supported by an unquestioning acceptance of God’s promise of eternal Davidic rule,</w:t>
      </w:r>
      <w:r w:rsidRPr="00623328">
        <w:rPr>
          <w:rStyle w:val="EndnoteReference"/>
        </w:rPr>
        <w:endnoteReference w:id="3617"/>
      </w:r>
      <w:r w:rsidRPr="00623328">
        <w:t xml:space="preserve"> was so intrinsic to Israelite belief that any idea of real change in a restored dynasty might appear critical of the sacred notion of kingship in political organisation.</w:t>
      </w:r>
      <w:r w:rsidRPr="00623328">
        <w:rPr>
          <w:rStyle w:val="EndnoteReference"/>
        </w:rPr>
        <w:endnoteReference w:id="3618"/>
      </w:r>
      <w:r w:rsidRPr="00623328">
        <w:t xml:space="preserve">  However, it seems that the powers of the preexilic royal bureaucracy were reduced.  The people [Judah] were to be rescued first</w:t>
      </w:r>
      <w:r w:rsidRPr="00623328">
        <w:rPr>
          <w:rStyle w:val="EndnoteReference"/>
        </w:rPr>
        <w:endnoteReference w:id="3619"/>
      </w:r>
      <w:r w:rsidRPr="00623328">
        <w:t xml:space="preserve"> and were no less important than the bureaucracy.</w:t>
      </w:r>
      <w:r w:rsidRPr="00623328">
        <w:rPr>
          <w:rStyle w:val="EndnoteReference"/>
        </w:rPr>
        <w:endnoteReference w:id="3620"/>
      </w:r>
      <w:r w:rsidRPr="00623328">
        <w:t xml:space="preserve">  Again, Meyers and Meyers rely here on their translation of </w:t>
      </w:r>
      <w:r w:rsidRPr="00623328">
        <w:rPr>
          <w:rFonts w:ascii="Bwhebb" w:hAnsi="Bwhebb" w:cs="Bwhebb"/>
          <w:sz w:val="36"/>
          <w:szCs w:val="24"/>
          <w:lang w:val="en-US" w:bidi="he-IL"/>
        </w:rPr>
        <w:t xml:space="preserve">ybeäv.y </w:t>
      </w:r>
      <w:r w:rsidRPr="00623328">
        <w:t>as ‘leaders’ or, in this case, ‘bureaucracy’.  Mason argues that the house of David would not have been mentioned if a process of democratisation had taken place.</w:t>
      </w:r>
      <w:r w:rsidRPr="00623328">
        <w:rPr>
          <w:rStyle w:val="EndnoteReference"/>
        </w:rPr>
        <w:endnoteReference w:id="3621"/>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lastRenderedPageBreak/>
        <w:t>Mason suggests that the word, ‘</w:t>
      </w:r>
      <w:r>
        <w:rPr>
          <w:rFonts w:ascii="Bwhebb" w:hAnsi="Bwhebb" w:cs="Bwhebb"/>
          <w:sz w:val="36"/>
          <w:szCs w:val="24"/>
          <w:lang w:val="en-US" w:bidi="he-IL"/>
        </w:rPr>
        <w:t>lv'îk.NIh;</w:t>
      </w:r>
      <w:r w:rsidRPr="0081492C">
        <w:t>’ (feeble) is possibly used in Zech. 12:8 to emphasise that Yahweh does not merely offer military strength but also requires the repentance of his people, who must rely on him alone.</w:t>
      </w:r>
      <w:r w:rsidRPr="0081492C">
        <w:rPr>
          <w:rStyle w:val="EndnoteReference"/>
        </w:rPr>
        <w:endnoteReference w:id="3622"/>
      </w:r>
      <w:r w:rsidRPr="0081492C">
        <w:t xml:space="preserve">  Petersen, however, sees a promise of protection to all Jerusalemites, especially the weak.</w:t>
      </w:r>
      <w:r w:rsidRPr="0081492C">
        <w:rPr>
          <w:rStyle w:val="EndnoteReference"/>
        </w:rPr>
        <w:endnoteReference w:id="3623"/>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81492C">
        <w:t xml:space="preserve"> remark that the image of ‘the weak ones’ seems strange when applied to leaders but that it is part of the striking comparisons in v. 8.  ‘If God is defending even an ineffectual member of the Jerusalemite leadership, then that person will be as strong as if he were the premier king of Israel, the paradigmatic dynastic figure and the symbol of future royal rule.’</w:t>
      </w:r>
      <w:r w:rsidRPr="0081492C">
        <w:rPr>
          <w:rStyle w:val="EndnoteReference"/>
        </w:rPr>
        <w:endnoteReference w:id="3624"/>
      </w:r>
      <w:r w:rsidRPr="0081492C">
        <w:t xml:space="preserve">  Holding to this rare translation of</w:t>
      </w:r>
      <w:r>
        <w:rPr>
          <w:szCs w:val="24"/>
        </w:rPr>
        <w:t xml:space="preserve"> </w:t>
      </w:r>
      <w:r>
        <w:rPr>
          <w:rFonts w:ascii="Bwhebb" w:hAnsi="Bwhebb" w:cs="Bwhebb"/>
          <w:sz w:val="36"/>
          <w:szCs w:val="24"/>
          <w:lang w:val="en-US" w:bidi="he-IL"/>
        </w:rPr>
        <w:t>bveäAy</w:t>
      </w:r>
      <w:r w:rsidRPr="0081492C">
        <w:t xml:space="preserve"> actually weakens </w:t>
      </w:r>
      <w:r w:rsidRPr="00AE5303">
        <w:t>Meyers</w:t>
      </w:r>
      <w:r>
        <w:t xml:space="preserve"> and </w:t>
      </w:r>
      <w:r w:rsidRPr="00AE5303">
        <w:t>Meyers</w:t>
      </w:r>
      <w:r w:rsidRPr="0081492C">
        <w:t xml:space="preserve">’ argument, however; the contrast would be more extreme if mere inhabitants were to become like David.  However, </w:t>
      </w:r>
      <w:r w:rsidRPr="00AE5303">
        <w:t>Meyers</w:t>
      </w:r>
      <w:r>
        <w:t xml:space="preserve"> and </w:t>
      </w:r>
      <w:r w:rsidRPr="00AE5303">
        <w:t>Meyers</w:t>
      </w:r>
      <w:r w:rsidRPr="0081492C">
        <w:t xml:space="preserve"> assert that it is the enfeebled bureaucrats who will become like David, suggesting that this comparison and that of David to God possibly indicate that ‘the historical opposition to Yahweh’s prophets will be utterly reversed in the future age of Davidic restoration’.</w:t>
      </w:r>
      <w:r w:rsidRPr="0081492C">
        <w:rPr>
          <w:rStyle w:val="EndnoteReference"/>
        </w:rPr>
        <w:endnoteReference w:id="3625"/>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Mason states that the promise of ordinary inhabitants’ being like David ‘recalls the special place [the David tradition] assigned to David and his relationship to Yahweh by virtue of divine choice’.</w:t>
      </w:r>
      <w:r w:rsidRPr="0081492C">
        <w:rPr>
          <w:rStyle w:val="EndnoteReference"/>
        </w:rPr>
        <w:endnoteReference w:id="3626"/>
      </w:r>
      <w:r w:rsidRPr="0081492C">
        <w:t xml:space="preserve">  However, the whole community will be renewed.  ‘All its members will know the relationship with God once thought to be the special prerogative of the </w:t>
      </w:r>
      <w:r>
        <w:t>“</w:t>
      </w:r>
      <w:r w:rsidRPr="0081492C">
        <w:t>sacral</w:t>
      </w:r>
      <w:r>
        <w:t>”</w:t>
      </w:r>
      <w:r w:rsidRPr="0081492C">
        <w:t xml:space="preserve"> king.</w:t>
      </w:r>
      <w:r>
        <w:t>’</w:t>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 xml:space="preserve">The likening of the house of David to God causes the greatest problems for exegetes.  Some scholars, and some translations, try to soften the implications of this.  </w:t>
      </w:r>
      <w:r w:rsidRPr="0081492C">
        <w:rPr>
          <w:i/>
        </w:rPr>
        <w:t>LXX</w:t>
      </w:r>
      <w:r w:rsidRPr="0081492C">
        <w:t xml:space="preserve"> gives ‘</w:t>
      </w:r>
      <w:r w:rsidRPr="0090077C">
        <w:rPr>
          <w:rFonts w:ascii="Bwgrkl" w:hAnsi="Bwgrkl" w:cs="Bwgrkl"/>
          <w:szCs w:val="24"/>
          <w:lang w:val="en-US" w:bidi="he-IL"/>
        </w:rPr>
        <w:t>w`j oi=koj qeou</w:t>
      </w:r>
      <w:r w:rsidRPr="001E1825">
        <w:rPr>
          <w:rFonts w:ascii="Bwgrkl" w:hAnsi="Bwgrkl" w:cs="Bwgrkl"/>
          <w:sz w:val="28"/>
          <w:szCs w:val="28"/>
          <w:lang w:val="en-US" w:bidi="he-IL"/>
        </w:rPr>
        <w:t>/</w:t>
      </w:r>
      <w:r w:rsidRPr="0081492C">
        <w:t>’</w:t>
      </w:r>
      <w:r>
        <w:t xml:space="preserve"> (like a house of God)</w:t>
      </w:r>
      <w:r w:rsidRPr="0081492C">
        <w:t xml:space="preserve">.  Presumably following </w:t>
      </w:r>
      <w:r w:rsidRPr="0081492C">
        <w:rPr>
          <w:i/>
        </w:rPr>
        <w:t>LXX</w:t>
      </w:r>
      <w:r w:rsidRPr="0081492C">
        <w:t xml:space="preserve">; the </w:t>
      </w:r>
      <w:r w:rsidRPr="00975183">
        <w:rPr>
          <w:i/>
        </w:rPr>
        <w:t>Geneva Bible</w:t>
      </w:r>
      <w:r w:rsidRPr="0081492C">
        <w:t xml:space="preserve"> and Luther’s 1545 German Bible give ‘house of God/</w:t>
      </w:r>
      <w:r w:rsidRPr="0081492C">
        <w:rPr>
          <w:rFonts w:cs="Arial"/>
          <w:lang w:val="en-US" w:bidi="he-IL"/>
        </w:rPr>
        <w:t>Gottes Haus’</w:t>
      </w:r>
      <w:r w:rsidRPr="0081492C">
        <w:t xml:space="preserve"> and the Jewish Publication Society gives ‘a godlike being’.  Petersen uses a translation which compares the house of David to ‘a deity’.</w:t>
      </w:r>
      <w:r w:rsidRPr="0081492C">
        <w:rPr>
          <w:rStyle w:val="EndnoteReference"/>
        </w:rPr>
        <w:endnoteReference w:id="3627"/>
      </w:r>
      <w:r w:rsidRPr="0081492C">
        <w:t xml:space="preserve">  For Redditt, the house of David becomes ‘god-like, indeed a view of a divine warrior’.</w:t>
      </w:r>
      <w:r w:rsidRPr="0081492C">
        <w:rPr>
          <w:rStyle w:val="EndnoteReference"/>
        </w:rPr>
        <w:endnoteReference w:id="3628"/>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81492C">
        <w:t xml:space="preserve"> </w:t>
      </w:r>
      <w:r>
        <w:t>call</w:t>
      </w:r>
      <w:r w:rsidRPr="0081492C">
        <w:t xml:space="preserve"> the house of David’s being like God ‘a stunningly bold idea’.</w:t>
      </w:r>
      <w:r w:rsidRPr="0081492C">
        <w:rPr>
          <w:rStyle w:val="EndnoteReference"/>
        </w:rPr>
        <w:endnoteReference w:id="3629"/>
      </w:r>
      <w:r w:rsidRPr="0081492C">
        <w:t xml:space="preserve">  They,</w:t>
      </w:r>
      <w:r w:rsidRPr="0081492C">
        <w:rPr>
          <w:rStyle w:val="EndnoteReference"/>
        </w:rPr>
        <w:endnoteReference w:id="3630"/>
      </w:r>
      <w:r w:rsidRPr="0081492C">
        <w:t xml:space="preserve"> and Mason,</w:t>
      </w:r>
      <w:r w:rsidRPr="0081492C">
        <w:rPr>
          <w:rStyle w:val="EndnoteReference"/>
        </w:rPr>
        <w:endnoteReference w:id="3631"/>
      </w:r>
      <w:r w:rsidRPr="0081492C">
        <w:t xml:space="preserve"> cite Exodus to prove a precedent for comparing a human being to God.  Moses is declared ‘like God to Aaron</w:t>
      </w:r>
      <w:r>
        <w:t>’</w:t>
      </w:r>
      <w:r w:rsidRPr="0081492C">
        <w:t>.</w:t>
      </w:r>
      <w:r w:rsidRPr="0081492C">
        <w:rPr>
          <w:rStyle w:val="EndnoteReference"/>
        </w:rPr>
        <w:endnoteReference w:id="3632"/>
      </w:r>
      <w:r w:rsidRPr="0081492C">
        <w:t xml:space="preserve">  Mason adds that Moses’ special relationship with Yahweh permits Aaron to speak God’s mind and purpose; the roles of both Moses and Aaron were necessary in bringing about deliverance.  He suggests that this may indicate that the restoration of the house of David to </w:t>
      </w:r>
      <w:r>
        <w:t xml:space="preserve">a </w:t>
      </w:r>
      <w:r w:rsidRPr="0081492C">
        <w:t xml:space="preserve">right relationship with God will be part of God’s renewal of the whole community, where the house of David will still have its role but ‘is no longer the </w:t>
      </w:r>
      <w:r w:rsidRPr="0081492C">
        <w:rPr>
          <w:i/>
        </w:rPr>
        <w:t>sole</w:t>
      </w:r>
      <w:r w:rsidRPr="0081492C">
        <w:t xml:space="preserve"> mediator of [God’s] life’.</w:t>
      </w:r>
      <w:r w:rsidRPr="0081492C">
        <w:rPr>
          <w:rStyle w:val="EndnoteReference"/>
        </w:rPr>
        <w:endnoteReference w:id="3633"/>
      </w:r>
      <w:r w:rsidRPr="0081492C">
        <w:t xml:space="preserve">  He even implies that ‘being like God’ indicates that the restored leadership plays ‘a vital part’ in the cleansing.</w:t>
      </w:r>
      <w:r w:rsidRPr="0081492C">
        <w:rPr>
          <w:rStyle w:val="EndnoteReference"/>
        </w:rPr>
        <w:endnoteReference w:id="3634"/>
      </w:r>
      <w:r w:rsidRPr="0081492C">
        <w:t xml:space="preserve">  </w:t>
      </w:r>
      <w:r w:rsidRPr="00AE5303">
        <w:t>Meyers</w:t>
      </w:r>
      <w:r>
        <w:t xml:space="preserve"> and </w:t>
      </w:r>
      <w:r w:rsidRPr="00AE5303">
        <w:t>Meyers</w:t>
      </w:r>
      <w:r w:rsidRPr="0081492C">
        <w:t xml:space="preserve"> suggest that the</w:t>
      </w:r>
      <w:r>
        <w:t>r</w:t>
      </w:r>
      <w:r w:rsidRPr="0081492C">
        <w:t xml:space="preserve">e is also a possible intimation that the leaders of Yehud/Judah must support the house of </w:t>
      </w:r>
      <w:r w:rsidRPr="0081492C">
        <w:lastRenderedPageBreak/>
        <w:t>David, but conclude that even in this verse there is evidence of ‘the postexilic tendency to idealize and exaggerate the Davidides’.</w:t>
      </w:r>
      <w:r w:rsidRPr="0081492C">
        <w:rPr>
          <w:rStyle w:val="EndnoteReference"/>
        </w:rPr>
        <w:endnoteReference w:id="3635"/>
      </w:r>
    </w:p>
    <w:p w:rsidR="00D90FE2" w:rsidRPr="0081492C" w:rsidRDefault="00D90FE2" w:rsidP="00D90FE2">
      <w:pPr>
        <w:autoSpaceDE w:val="0"/>
        <w:autoSpaceDN w:val="0"/>
        <w:adjustRightInd w:val="0"/>
        <w:spacing w:after="120" w:line="360" w:lineRule="auto"/>
        <w:ind w:right="71" w:firstLine="567"/>
        <w:jc w:val="both"/>
      </w:pPr>
      <w:r w:rsidRPr="0081492C">
        <w:t>Petersen relates David’s deified position to ‘a theologically elevated’ view of the king in ancient Israel, exemplified by David, as the adopted son of the deity.</w:t>
      </w:r>
      <w:r w:rsidRPr="0081492C">
        <w:rPr>
          <w:rStyle w:val="EndnoteReference"/>
        </w:rPr>
        <w:endnoteReference w:id="3636"/>
      </w:r>
      <w:r w:rsidRPr="0081492C">
        <w:t xml:space="preserve">  2 Samuel 14:17 refers to the king as ‘messenger of God’, which ‘can be a circumlocution for the deity’.  The author of Zech. 12:8 suggests that the inhabitants of Jerusalem, possibly symbolised by David/the house of David, ‘will achieve the sort of divine status associated with the king in Israelite royal ideology’.</w:t>
      </w:r>
      <w:r w:rsidRPr="0081492C">
        <w:rPr>
          <w:rStyle w:val="EndnoteReference"/>
        </w:rPr>
        <w:endnoteReference w:id="3637"/>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 xml:space="preserve">Mason states that many believe </w:t>
      </w:r>
      <w:r>
        <w:t>‘</w:t>
      </w:r>
      <w:r w:rsidRPr="0081492C">
        <w:t xml:space="preserve">the phrase </w:t>
      </w:r>
      <w:r w:rsidRPr="0081492C">
        <w:rPr>
          <w:i/>
        </w:rPr>
        <w:t>like the angel of the LORD</w:t>
      </w:r>
      <w:r w:rsidRPr="0081492C">
        <w:t xml:space="preserve"> is a later attempt to soften </w:t>
      </w:r>
      <w:r>
        <w:t>[</w:t>
      </w:r>
      <w:r w:rsidRPr="0081492C">
        <w:t>the comparison of the house of David to God</w:t>
      </w:r>
      <w:r>
        <w:t>]’</w:t>
      </w:r>
      <w:r w:rsidRPr="0081492C">
        <w:t>.</w:t>
      </w:r>
      <w:r w:rsidRPr="0081492C">
        <w:rPr>
          <w:rStyle w:val="EndnoteReference"/>
        </w:rPr>
        <w:endnoteReference w:id="3638"/>
      </w:r>
      <w:r w:rsidRPr="0081492C">
        <w:t xml:space="preserve">  This could, perhaps, be borne out by what appears to be an anti-climax from the high point of the series leading from ordinary people, to the house of David to God himself.  However, Mason also states that ‘the king had always been thought in a special way to be the mediator of God’s blessings to his people’.  At the end of time, these Davidic rulers would be so close to God that they would exactly act, speak and rule in accordance with his will.</w:t>
      </w:r>
      <w:r w:rsidRPr="0081492C">
        <w:rPr>
          <w:rStyle w:val="EndnoteReference"/>
        </w:rPr>
        <w:endnoteReference w:id="3639"/>
      </w:r>
      <w:r w:rsidRPr="0081492C">
        <w:t xml:space="preserve">  </w:t>
      </w:r>
      <w:r w:rsidRPr="00AE5303">
        <w:t>Meyers</w:t>
      </w:r>
      <w:r>
        <w:t xml:space="preserve"> and </w:t>
      </w:r>
      <w:r w:rsidRPr="00AE5303">
        <w:t>Meyers</w:t>
      </w:r>
      <w:r w:rsidRPr="0081492C">
        <w:t xml:space="preserve"> emphasise the common Old Testament idea of a divine being acting as a messenger but having some of the characteristics of God.  ‘Because of the extraordinary hope and praise attached to the house of David, it would not be surprising to find such an emphasis here on the special place of the Davidic line.’</w:t>
      </w:r>
      <w:r w:rsidRPr="0081492C">
        <w:rPr>
          <w:rStyle w:val="EndnoteReference"/>
        </w:rPr>
        <w:endnoteReference w:id="3640"/>
      </w:r>
    </w:p>
    <w:p w:rsidR="00D90FE2" w:rsidRPr="0081492C" w:rsidRDefault="00D90FE2" w:rsidP="00D90FE2">
      <w:pPr>
        <w:autoSpaceDE w:val="0"/>
        <w:autoSpaceDN w:val="0"/>
        <w:adjustRightInd w:val="0"/>
        <w:spacing w:after="120" w:line="360" w:lineRule="auto"/>
        <w:ind w:right="71" w:firstLine="567"/>
        <w:jc w:val="both"/>
      </w:pPr>
      <w:r w:rsidRPr="0081492C">
        <w:t xml:space="preserve">Tigchelaar </w:t>
      </w:r>
      <w:r>
        <w:t>remarks that</w:t>
      </w:r>
      <w:r w:rsidRPr="0081492C">
        <w:t xml:space="preserve"> some scholars’ espousal of the ‘polemic theory’ of the existence of pro-and anti-Jerusalemite strands in the text, Zech. 12:8, which favours Jerusalem and the house of David, need not be incompatible with Zech. 12:7, which favours Judah.  </w:t>
      </w:r>
      <w:r>
        <w:t>He</w:t>
      </w:r>
      <w:r w:rsidRPr="0081492C">
        <w:t xml:space="preserve"> wryly remarks that ‘In that case Zech. 12:8 might ironically mean: Yahweh shields Jerusalem, but what happens … all those dunces will think they’re like David, and those Davidic good-for-nothings that they’re supermen!’</w:t>
      </w:r>
      <w:r w:rsidRPr="0081492C">
        <w:rPr>
          <w:rStyle w:val="EndnoteReference"/>
        </w:rPr>
        <w:endnoteReference w:id="3641"/>
      </w:r>
    </w:p>
    <w:p w:rsidR="00D90FE2" w:rsidRPr="0081492C" w:rsidRDefault="00D90FE2" w:rsidP="00D90FE2">
      <w:pPr>
        <w:autoSpaceDE w:val="0"/>
        <w:autoSpaceDN w:val="0"/>
        <w:adjustRightInd w:val="0"/>
        <w:spacing w:after="120" w:line="360" w:lineRule="auto"/>
        <w:ind w:right="71"/>
        <w:jc w:val="both"/>
        <w:rPr>
          <w:b/>
        </w:rPr>
      </w:pPr>
      <w:r w:rsidRPr="0081492C">
        <w:rPr>
          <w:b/>
        </w:rPr>
        <w:t>5  The Role of the House of David and Possible Messianic References: Points Emerging from Scholarly Exegesis of Zechariah 12</w:t>
      </w:r>
    </w:p>
    <w:p w:rsidR="00D90FE2" w:rsidRPr="0081492C" w:rsidRDefault="00D90FE2" w:rsidP="00D90FE2">
      <w:pPr>
        <w:autoSpaceDE w:val="0"/>
        <w:autoSpaceDN w:val="0"/>
        <w:adjustRightInd w:val="0"/>
        <w:spacing w:after="120" w:line="360" w:lineRule="auto"/>
        <w:ind w:right="71"/>
        <w:jc w:val="both"/>
      </w:pPr>
      <w:r w:rsidRPr="0081492C">
        <w:t>Scofield idealises the Davidic Covenant and the house of David</w:t>
      </w:r>
      <w:r w:rsidRPr="0081492C">
        <w:rPr>
          <w:rStyle w:val="EndnoteReference"/>
        </w:rPr>
        <w:endnoteReference w:id="3642"/>
      </w:r>
      <w:r w:rsidRPr="0081492C">
        <w:t xml:space="preserve"> but scholarly commentaries on Zechariah 12 posit criticisms of the Davidic house and its future.  Firstly, some scholars have detected rivalry between Jerusalem and the house of David on the one hand and, on the other, the people of Judah.</w:t>
      </w:r>
      <w:r w:rsidRPr="0081492C">
        <w:rPr>
          <w:rStyle w:val="EndnoteReference"/>
        </w:rPr>
        <w:endnoteReference w:id="3643"/>
      </w:r>
      <w:r w:rsidRPr="0081492C">
        <w:t xml:space="preserve">  Secondly, the house of David needs repentance and cleansing.  Thirdly, few of the scholars find any real messianic references.</w:t>
      </w:r>
    </w:p>
    <w:p w:rsidR="00D90FE2" w:rsidRPr="0081492C" w:rsidRDefault="00D90FE2" w:rsidP="00D90FE2">
      <w:pPr>
        <w:autoSpaceDE w:val="0"/>
        <w:autoSpaceDN w:val="0"/>
        <w:adjustRightInd w:val="0"/>
        <w:spacing w:after="120" w:line="360" w:lineRule="auto"/>
        <w:ind w:right="71"/>
        <w:jc w:val="both"/>
        <w:rPr>
          <w:b/>
        </w:rPr>
      </w:pPr>
      <w:r w:rsidRPr="0081492C">
        <w:rPr>
          <w:b/>
        </w:rPr>
        <w:t>A  The Relationship between Jerusalem and Judah</w:t>
      </w:r>
    </w:p>
    <w:p w:rsidR="00D90FE2" w:rsidRDefault="00D90FE2" w:rsidP="00D90FE2">
      <w:pPr>
        <w:autoSpaceDE w:val="0"/>
        <w:autoSpaceDN w:val="0"/>
        <w:adjustRightInd w:val="0"/>
        <w:spacing w:after="120" w:line="360" w:lineRule="auto"/>
        <w:ind w:right="71"/>
        <w:jc w:val="both"/>
        <w:rPr>
          <w:rFonts w:cs="Bwhebb"/>
          <w:lang w:val="en-US" w:bidi="he-IL"/>
        </w:rPr>
      </w:pPr>
      <w:r w:rsidRPr="0081492C">
        <w:t>Zechariah 12:2b</w:t>
      </w:r>
      <w:r w:rsidRPr="0081492C">
        <w:rPr>
          <w:rStyle w:val="EndnoteReference"/>
        </w:rPr>
        <w:endnoteReference w:id="3644"/>
      </w:r>
      <w:r w:rsidRPr="0081492C">
        <w:t xml:space="preserve"> is problematic because it does not clarify whether Judah is for or against Jerusalem.  Petersen believes this question is insoluble.</w:t>
      </w:r>
      <w:r w:rsidRPr="0081492C">
        <w:rPr>
          <w:rStyle w:val="EndnoteReference"/>
        </w:rPr>
        <w:endnoteReference w:id="3645"/>
      </w:r>
      <w:r w:rsidRPr="0081492C">
        <w:t xml:space="preserve">  Mason suggests that</w:t>
      </w:r>
      <w:r w:rsidRPr="00613CA3">
        <w:rPr>
          <w:rFonts w:ascii="Bwhebb" w:hAnsi="Bwhebb" w:cs="Bwhebb"/>
          <w:sz w:val="36"/>
          <w:szCs w:val="24"/>
          <w:lang w:val="en-US" w:bidi="he-IL"/>
        </w:rPr>
        <w:t>;;</w:t>
      </w:r>
      <w:r w:rsidRPr="0081492C">
        <w:rPr>
          <w:rFonts w:cs="Bwhebb"/>
          <w:lang w:val="en-US" w:bidi="he-IL"/>
        </w:rPr>
        <w:t xml:space="preserve"> </w:t>
      </w:r>
    </w:p>
    <w:p w:rsidR="00D90FE2" w:rsidRDefault="00D90FE2" w:rsidP="00D90FE2">
      <w:pPr>
        <w:autoSpaceDE w:val="0"/>
        <w:autoSpaceDN w:val="0"/>
        <w:adjustRightInd w:val="0"/>
        <w:spacing w:after="120" w:line="360" w:lineRule="auto"/>
        <w:ind w:right="71"/>
        <w:jc w:val="center"/>
        <w:rPr>
          <w:rFonts w:cs="Bwhebb"/>
          <w:lang w:val="en-US" w:bidi="he-IL"/>
        </w:rPr>
      </w:pPr>
      <w:r>
        <w:rPr>
          <w:rFonts w:cs="Bwhebb"/>
          <w:noProof/>
          <w:lang w:eastAsia="en-GB"/>
        </w:rPr>
        <w:drawing>
          <wp:inline distT="0" distB="0" distL="0" distR="0" wp14:anchorId="71F82D17" wp14:editId="58E6B8F9">
            <wp:extent cx="2811780" cy="381000"/>
            <wp:effectExtent l="0" t="0" r="7620" b="0"/>
            <wp:docPr id="360" name="Picture 360" descr="Z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ch"/>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11780" cy="381000"/>
                    </a:xfrm>
                    <a:prstGeom prst="rect">
                      <a:avLst/>
                    </a:prstGeom>
                    <a:noFill/>
                    <a:ln>
                      <a:noFill/>
                    </a:ln>
                  </pic:spPr>
                </pic:pic>
              </a:graphicData>
            </a:graphic>
          </wp:inline>
        </w:drawing>
      </w:r>
    </w:p>
    <w:p w:rsidR="00D90FE2" w:rsidRPr="0081492C" w:rsidRDefault="00D90FE2" w:rsidP="00D90FE2">
      <w:pPr>
        <w:autoSpaceDE w:val="0"/>
        <w:autoSpaceDN w:val="0"/>
        <w:adjustRightInd w:val="0"/>
        <w:spacing w:after="120" w:line="360" w:lineRule="auto"/>
        <w:ind w:right="71"/>
        <w:jc w:val="both"/>
      </w:pPr>
      <w:r w:rsidRPr="0081492C">
        <w:lastRenderedPageBreak/>
        <w:t>could mean that Judah will be caught up in the siege of Jerusalem or that it will take part in it, but favours the former interpretation because Judah is encouraged by Jerusalem’s strength in Zech. 12:5.  He asserts that ‘there is little to suggest … open hostility between Judah and Jerusalem’; it was the men of Judah who first supported David.</w:t>
      </w:r>
      <w:r w:rsidRPr="0081492C">
        <w:rPr>
          <w:rStyle w:val="EndnoteReference"/>
        </w:rPr>
        <w:endnoteReference w:id="3646"/>
      </w:r>
      <w:r w:rsidRPr="0081492C">
        <w:t xml:space="preserve">  He also suggests that </w:t>
      </w:r>
      <w:r>
        <w:t>Zech. 12:</w:t>
      </w:r>
      <w:r w:rsidRPr="0081492C">
        <w:t>2b may be a later addition.</w:t>
      </w:r>
      <w:r w:rsidRPr="0081492C">
        <w:rPr>
          <w:rStyle w:val="EndnoteReference"/>
        </w:rPr>
        <w:endnoteReference w:id="3647"/>
      </w:r>
      <w:r w:rsidRPr="0081492C">
        <w:t xml:space="preserve">  Tigchelaar, however, believes it belongs to material assembled </w:t>
      </w:r>
      <w:r>
        <w:t xml:space="preserve">by </w:t>
      </w:r>
      <w:r w:rsidRPr="0081492C">
        <w:t>the original author-compiler.</w:t>
      </w:r>
      <w:r w:rsidRPr="0081492C">
        <w:rPr>
          <w:rStyle w:val="EndnoteReference"/>
        </w:rPr>
        <w:endnoteReference w:id="3648"/>
      </w:r>
      <w:r w:rsidRPr="0081492C">
        <w:t xml:space="preserve">  </w:t>
      </w:r>
      <w:r w:rsidRPr="00AE5303">
        <w:t>Meyers</w:t>
      </w:r>
      <w:r>
        <w:t xml:space="preserve"> and </w:t>
      </w:r>
      <w:r w:rsidRPr="00AE5303">
        <w:t>Meyers</w:t>
      </w:r>
      <w:r w:rsidRPr="0081492C">
        <w:t xml:space="preserve"> agree that Judah will be besieged as well as Jerusalem.</w:t>
      </w:r>
      <w:r w:rsidRPr="0081492C">
        <w:rPr>
          <w:rStyle w:val="EndnoteReference"/>
        </w:rPr>
        <w:endnoteReference w:id="3649"/>
      </w:r>
      <w:r w:rsidRPr="0081492C">
        <w:t xml:space="preserve">  Conrad sees Judah as a rampart and fiery wall around Jerusalem.</w:t>
      </w:r>
      <w:r w:rsidRPr="0081492C">
        <w:rPr>
          <w:rStyle w:val="EndnoteReference"/>
        </w:rPr>
        <w:endnoteReference w:id="3650"/>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Zechariah 12:7 is sometimes given in evidence of a possible enmity between the house of David/Jerusalem and Judah.</w:t>
      </w:r>
      <w:r w:rsidRPr="0081492C">
        <w:rPr>
          <w:rStyle w:val="EndnoteReference"/>
        </w:rPr>
        <w:endnoteReference w:id="3651"/>
      </w:r>
      <w:r w:rsidRPr="0081492C">
        <w:t xml:space="preserve">  Mason avers that this verse states that God will deliver Judah first in order to keep the house of David and Jerusalemites from ‘getting too </w:t>
      </w:r>
      <w:r>
        <w:t>“</w:t>
      </w:r>
      <w:r w:rsidRPr="0081492C">
        <w:t>uppity</w:t>
      </w:r>
      <w:r>
        <w:t>”</w:t>
      </w:r>
      <w:r w:rsidRPr="0081492C">
        <w:t>’.</w:t>
      </w:r>
      <w:r w:rsidRPr="0081492C">
        <w:rPr>
          <w:rStyle w:val="EndnoteReference"/>
        </w:rPr>
        <w:endnoteReference w:id="3652"/>
      </w:r>
      <w:r w:rsidRPr="0081492C">
        <w:t xml:space="preserve">  Nevertheless, there is no great enmity; Zech. 12:7 reinforces the idea that victory is God’s alone and that any glory for the house of David will consist of transformation of heart and spirit as well as victory.</w:t>
      </w:r>
      <w:r w:rsidRPr="0081492C">
        <w:rPr>
          <w:rStyle w:val="EndnoteReference"/>
        </w:rPr>
        <w:endnoteReference w:id="3653"/>
      </w:r>
      <w:r w:rsidRPr="0081492C">
        <w:t xml:space="preserve">  Victory itself ‘could not be taken as a </w:t>
      </w:r>
      <w:r>
        <w:t>“</w:t>
      </w:r>
      <w:r w:rsidRPr="0081492C">
        <w:t>right</w:t>
      </w:r>
      <w:r>
        <w:t>”</w:t>
      </w:r>
      <w:r w:rsidRPr="0081492C">
        <w:t xml:space="preserve"> of the community under the terms of a Davidic covenant or the special claims of Jerusalem on God’s protection’.</w:t>
      </w:r>
      <w:r w:rsidRPr="0081492C">
        <w:rPr>
          <w:rStyle w:val="EndnoteReference"/>
        </w:rPr>
        <w:endnoteReference w:id="3654"/>
      </w:r>
      <w:r w:rsidRPr="0081492C">
        <w:t xml:space="preserve">  This would seem to challenge Scofield’s contentions concerning the Davidic Covenant.</w:t>
      </w:r>
      <w:r w:rsidRPr="0081492C">
        <w:rPr>
          <w:rStyle w:val="EndnoteReference"/>
        </w:rPr>
        <w:endnoteReference w:id="3655"/>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81492C">
        <w:t xml:space="preserve"> state that Zech. 12:7-11 are concerned with internal affairs: Jerusalem, its leadership, and the house of David.  However, the notion of ‘tents of Judah’ ‘may be a way of highlighting Judah’s role against that of the house of David’.</w:t>
      </w:r>
      <w:r w:rsidRPr="0081492C">
        <w:rPr>
          <w:rStyle w:val="EndnoteReference"/>
        </w:rPr>
        <w:endnoteReference w:id="3656"/>
      </w:r>
      <w:r w:rsidRPr="0081492C">
        <w:t xml:space="preserve">  The people themselves will be first to be rescued by Yahweh because they are just as important as the traditional royal bureaucracy.  This represents a radical change in the status of the latter, but with ‘the strong sense of continuity with the past’, in Deutero-Zechariah’s ‘vision of the restored house of David’.  The Davidides have a new role.</w:t>
      </w:r>
      <w:r w:rsidRPr="0081492C">
        <w:rPr>
          <w:rStyle w:val="EndnoteReference"/>
        </w:rPr>
        <w:endnoteReference w:id="3657"/>
      </w:r>
      <w:r w:rsidRPr="0081492C">
        <w:t xml:space="preserve">  However, </w:t>
      </w:r>
      <w:r w:rsidRPr="00AE5303">
        <w:t>Meyers</w:t>
      </w:r>
      <w:r>
        <w:t xml:space="preserve"> and </w:t>
      </w:r>
      <w:r w:rsidRPr="00AE5303">
        <w:t>Meyers</w:t>
      </w:r>
      <w:r w:rsidRPr="0081492C">
        <w:t xml:space="preserve"> question whether the fate of the actual descendants of the last king of Judah is ‘connected to this perspective depicting a somewhat diminished place for the Davidides </w:t>
      </w:r>
      <w:r w:rsidRPr="005275CA">
        <w:rPr>
          <w:i/>
        </w:rPr>
        <w:t>vis-à-vis</w:t>
      </w:r>
      <w:r w:rsidRPr="0081492C">
        <w:t xml:space="preserve"> the rest of the people’.</w:t>
      </w:r>
      <w:r w:rsidRPr="0081492C">
        <w:rPr>
          <w:rStyle w:val="EndnoteReference"/>
        </w:rPr>
        <w:endnoteReference w:id="3658"/>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 xml:space="preserve">Redditt holds that verses 6-7 show that Jerusalem was not superior to Judah, but verses 8-9 indicate that ‘Jerusalem was above all the nations’.  He asserts that the author of vv. 6-7 (and v. 4b) </w:t>
      </w:r>
      <w:r>
        <w:t>probably</w:t>
      </w:r>
      <w:r w:rsidRPr="0081492C">
        <w:t xml:space="preserve"> sympathised with the Judeans rather than with the Jerusalemite élite.</w:t>
      </w:r>
      <w:r w:rsidRPr="0081492C">
        <w:rPr>
          <w:rStyle w:val="EndnoteReference"/>
        </w:rPr>
        <w:endnoteReference w:id="3659"/>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Petersen asserts that Yahweh acts through non-royal, non-Jerusalemite leaders to diminish any possibly Jerusalemite arrogance concerning association with ‘the regional capital and the old dynastic line’.</w:t>
      </w:r>
      <w:r w:rsidRPr="0081492C">
        <w:rPr>
          <w:rStyle w:val="EndnoteReference"/>
        </w:rPr>
        <w:endnoteReference w:id="3660"/>
      </w:r>
      <w:r w:rsidRPr="0081492C">
        <w:t xml:space="preserve">  Zechariah 12:7 presupposes that Judah and Jerusalem are distinct as ‘geographical realities and religious constructions’,</w:t>
      </w:r>
      <w:r w:rsidRPr="0081492C">
        <w:rPr>
          <w:rStyle w:val="EndnoteReference"/>
        </w:rPr>
        <w:endnoteReference w:id="3661"/>
      </w:r>
      <w:r w:rsidRPr="0081492C">
        <w:t xml:space="preserve"> but Petersen questions the extent to which 12:7 refers to the role of Davidides in C5 B.C.E. Judah.  It is inappropriate to assume Davidides are referenced here, especially since, as in 12:10 and 13:1, ‘house of David’ is twinned with ‘inhabitants of Jerusalem’.  However, there is some evidence for ‘identifiable members of David’s lineage in the postexilic period’, even though the phrase, </w:t>
      </w:r>
      <w:r w:rsidRPr="0081492C">
        <w:lastRenderedPageBreak/>
        <w:t>‘house of David’ does not occur often in postexilic literature.</w:t>
      </w:r>
      <w:r w:rsidRPr="0081492C">
        <w:rPr>
          <w:rStyle w:val="EndnoteReference"/>
        </w:rPr>
        <w:endnoteReference w:id="3662"/>
      </w:r>
      <w:r w:rsidRPr="0081492C">
        <w:t xml:space="preserve">  Nevertheless ‘it is inappropriate to think that the “house of David” signifies members of the Davidic lineage or aspirations for a renaissance of kingship associated with them’.</w:t>
      </w:r>
      <w:r w:rsidRPr="0081492C">
        <w:rPr>
          <w:rStyle w:val="EndnoteReference"/>
        </w:rPr>
        <w:endnoteReference w:id="3663"/>
      </w:r>
    </w:p>
    <w:p w:rsidR="00D90FE2" w:rsidRPr="0081492C" w:rsidRDefault="00D90FE2" w:rsidP="00D90FE2">
      <w:pPr>
        <w:autoSpaceDE w:val="0"/>
        <w:autoSpaceDN w:val="0"/>
        <w:adjustRightInd w:val="0"/>
        <w:spacing w:after="120" w:line="360" w:lineRule="auto"/>
        <w:ind w:right="71"/>
        <w:jc w:val="both"/>
        <w:rPr>
          <w:b/>
        </w:rPr>
      </w:pPr>
      <w:r w:rsidRPr="005275CA">
        <w:rPr>
          <w:b/>
        </w:rPr>
        <w:t>B  The Need for Repentance and Cleansing</w:t>
      </w:r>
    </w:p>
    <w:p w:rsidR="00D90FE2" w:rsidRPr="0081492C" w:rsidRDefault="00D90FE2" w:rsidP="00D90FE2">
      <w:pPr>
        <w:autoSpaceDE w:val="0"/>
        <w:autoSpaceDN w:val="0"/>
        <w:adjustRightInd w:val="0"/>
        <w:spacing w:after="120" w:line="360" w:lineRule="auto"/>
        <w:ind w:right="71"/>
        <w:jc w:val="both"/>
      </w:pPr>
      <w:r w:rsidRPr="0081492C">
        <w:t>Zechariah 12</w:t>
      </w:r>
      <w:r>
        <w:t xml:space="preserve"> – </w:t>
      </w:r>
      <w:r w:rsidRPr="0081492C">
        <w:t xml:space="preserve">14 contains much eschatological material concerning God’s protection, rescue and exaltation of Jerusalem and the Davidic house, but it also includes material which criticises Jerusalem and its inhabitants and emphasises their need of repentance and cleansing.  </w:t>
      </w:r>
    </w:p>
    <w:p w:rsidR="00D90FE2" w:rsidRPr="0081492C" w:rsidRDefault="00D90FE2" w:rsidP="00D90FE2">
      <w:pPr>
        <w:autoSpaceDE w:val="0"/>
        <w:autoSpaceDN w:val="0"/>
        <w:adjustRightInd w:val="0"/>
        <w:spacing w:after="120" w:line="360" w:lineRule="auto"/>
        <w:ind w:right="71" w:firstLine="567"/>
        <w:jc w:val="both"/>
      </w:pPr>
      <w:r w:rsidRPr="00AE5303">
        <w:t>Meyers</w:t>
      </w:r>
      <w:r>
        <w:t xml:space="preserve"> and </w:t>
      </w:r>
      <w:r w:rsidRPr="00AE5303">
        <w:t>Meyers</w:t>
      </w:r>
      <w:r w:rsidRPr="0081492C">
        <w:t xml:space="preserve"> aver that the future will not be a mere restoration of conditions in Israel’s past.</w:t>
      </w:r>
      <w:r w:rsidRPr="0081492C">
        <w:rPr>
          <w:rStyle w:val="EndnoteReference"/>
        </w:rPr>
        <w:endnoteReference w:id="3664"/>
      </w:r>
      <w:r w:rsidRPr="0081492C">
        <w:t xml:space="preserve">  Israel will ultimately be fully restored, all exiles will return and the nations will recognise Yahweh’s sovereignty</w:t>
      </w:r>
      <w:r w:rsidRPr="0081492C">
        <w:rPr>
          <w:rStyle w:val="EndnoteReference"/>
        </w:rPr>
        <w:endnoteReference w:id="3665"/>
      </w:r>
      <w:r w:rsidRPr="0081492C">
        <w:t>, the centre of the new order being Jerusalem and the Temple.</w:t>
      </w:r>
      <w:r w:rsidRPr="0081492C">
        <w:rPr>
          <w:rStyle w:val="EndnoteReference"/>
        </w:rPr>
        <w:endnoteReference w:id="3666"/>
      </w:r>
      <w:r w:rsidRPr="0081492C">
        <w:t xml:space="preserve">  The roles of Judah and Jerusalem are ‘central to the restorative process’,</w:t>
      </w:r>
      <w:r w:rsidRPr="0081492C">
        <w:rPr>
          <w:rStyle w:val="EndnoteReference"/>
        </w:rPr>
        <w:endnoteReference w:id="3667"/>
      </w:r>
      <w:r w:rsidRPr="0081492C">
        <w:t xml:space="preserve"> but there must be ‘a radical change in the attitudes of the people in the future’.</w:t>
      </w:r>
      <w:r w:rsidRPr="0081492C">
        <w:rPr>
          <w:rStyle w:val="EndnoteReference"/>
        </w:rPr>
        <w:endnoteReference w:id="3668"/>
      </w:r>
      <w:r w:rsidRPr="0081492C">
        <w:t xml:space="preserve">  The future status of Yahweh’s people </w:t>
      </w:r>
      <w:r w:rsidRPr="006F598E">
        <w:rPr>
          <w:i/>
        </w:rPr>
        <w:t>vis-à-vis</w:t>
      </w:r>
      <w:r w:rsidRPr="0081492C">
        <w:t xml:space="preserve"> the surrounding nations depends upon divine action but also upon absolute obedience to Yahweh’s word, ‘hence Yahweh will bring about the necessary changes’.</w:t>
      </w:r>
      <w:r w:rsidRPr="0081492C">
        <w:rPr>
          <w:rStyle w:val="EndnoteReference"/>
        </w:rPr>
        <w:endnoteReference w:id="3669"/>
      </w:r>
      <w:r w:rsidRPr="0081492C">
        <w:t xml:space="preserve">  Mourning for past deeds will ‘characterise restored royal rule in the future age’.</w:t>
      </w:r>
      <w:r w:rsidRPr="0081492C">
        <w:rPr>
          <w:rStyle w:val="EndnoteReference"/>
        </w:rPr>
        <w:endnoteReference w:id="3670"/>
      </w:r>
    </w:p>
    <w:p w:rsidR="00D90FE2" w:rsidRPr="0081492C" w:rsidRDefault="00D90FE2" w:rsidP="00D90FE2">
      <w:pPr>
        <w:autoSpaceDE w:val="0"/>
        <w:autoSpaceDN w:val="0"/>
        <w:adjustRightInd w:val="0"/>
        <w:spacing w:after="120" w:line="360" w:lineRule="auto"/>
        <w:ind w:right="71" w:firstLine="567"/>
        <w:jc w:val="both"/>
      </w:pPr>
      <w:r w:rsidRPr="0081492C">
        <w:t>Mason and Redditt also emphasise that Yahweh’s outward deliverance must be accompanied by inward cleansing, renewal and repentance.</w:t>
      </w:r>
      <w:r w:rsidRPr="0081492C">
        <w:rPr>
          <w:rStyle w:val="EndnoteReference"/>
        </w:rPr>
        <w:endnoteReference w:id="3671"/>
      </w:r>
      <w:r w:rsidRPr="0081492C">
        <w:t xml:space="preserve">  Mason avers that the Davidic line is not mentioned in Zechariah 9</w:t>
      </w:r>
      <w:r>
        <w:t xml:space="preserve"> – </w:t>
      </w:r>
      <w:r w:rsidRPr="0081492C">
        <w:t>14 in a ‘messianic’ or ‘triumphalist’ way.  The house of David needs to participate in repentance and mourning.</w:t>
      </w:r>
      <w:r w:rsidRPr="0081492C">
        <w:rPr>
          <w:rStyle w:val="EndnoteReference"/>
        </w:rPr>
        <w:endnoteReference w:id="3672"/>
      </w:r>
      <w:r w:rsidRPr="0081492C">
        <w:t xml:space="preserve">  </w:t>
      </w:r>
    </w:p>
    <w:p w:rsidR="00D90FE2" w:rsidRPr="0081492C" w:rsidRDefault="00D90FE2" w:rsidP="00D90FE2">
      <w:pPr>
        <w:autoSpaceDE w:val="0"/>
        <w:autoSpaceDN w:val="0"/>
        <w:adjustRightInd w:val="0"/>
        <w:spacing w:after="120" w:line="360" w:lineRule="auto"/>
        <w:ind w:right="71" w:firstLine="567"/>
        <w:jc w:val="both"/>
      </w:pPr>
      <w:r w:rsidRPr="0081492C">
        <w:t>Redditt states that Jerusalem, which is more important than its leaders, who need cleansing,</w:t>
      </w:r>
      <w:r w:rsidRPr="0081492C">
        <w:rPr>
          <w:rStyle w:val="EndnoteReference"/>
        </w:rPr>
        <w:endnoteReference w:id="3673"/>
      </w:r>
      <w:r w:rsidRPr="0081492C">
        <w:t xml:space="preserve"> ‘must be purged</w:t>
      </w:r>
      <w:r w:rsidRPr="0081492C">
        <w:rPr>
          <w:rStyle w:val="EndnoteReference"/>
        </w:rPr>
        <w:endnoteReference w:id="3674"/>
      </w:r>
      <w:r w:rsidRPr="0081492C">
        <w:t xml:space="preserve"> before it can take its significant place as the center for all nations to worship God’.</w:t>
      </w:r>
      <w:r w:rsidRPr="0081492C">
        <w:rPr>
          <w:rStyle w:val="EndnoteReference"/>
        </w:rPr>
        <w:endnoteReference w:id="3675"/>
      </w:r>
      <w:r w:rsidRPr="0081492C">
        <w:t xml:space="preserve">  The historical David is of little interest to the author of Deutero-Zechariah, who focuses on his contemporary Davidides and hope for a future David.  ‘… that hope has been seriously compromised by the conduct of the house of David.  The redactor’s hope is contingent on the repentance of the Davidides, and the position is even advanced that </w:t>
      </w:r>
      <w:r w:rsidRPr="0081492C">
        <w:rPr>
          <w:bCs/>
        </w:rPr>
        <w:t>God could rule directly without a Davidide.’</w:t>
      </w:r>
      <w:r w:rsidRPr="0081492C">
        <w:rPr>
          <w:rStyle w:val="EndnoteReference"/>
        </w:rPr>
        <w:endnoteReference w:id="3676"/>
      </w:r>
      <w:r w:rsidRPr="0081492C">
        <w:t xml:space="preserve">  </w:t>
      </w:r>
    </w:p>
    <w:p w:rsidR="00D90FE2" w:rsidRPr="0081492C" w:rsidRDefault="00D90FE2" w:rsidP="00D90FE2">
      <w:pPr>
        <w:autoSpaceDE w:val="0"/>
        <w:autoSpaceDN w:val="0"/>
        <w:adjustRightInd w:val="0"/>
        <w:spacing w:after="120" w:line="360" w:lineRule="auto"/>
        <w:ind w:right="71"/>
        <w:jc w:val="both"/>
        <w:rPr>
          <w:b/>
        </w:rPr>
      </w:pPr>
      <w:r w:rsidRPr="0081492C">
        <w:rPr>
          <w:b/>
        </w:rPr>
        <w:t>C  Messianic Pretensions</w:t>
      </w:r>
    </w:p>
    <w:p w:rsidR="00D90FE2" w:rsidRPr="0081492C" w:rsidRDefault="00D90FE2" w:rsidP="00D90FE2">
      <w:pPr>
        <w:autoSpaceDE w:val="0"/>
        <w:autoSpaceDN w:val="0"/>
        <w:adjustRightInd w:val="0"/>
        <w:spacing w:after="120" w:line="360" w:lineRule="auto"/>
        <w:ind w:right="71"/>
        <w:jc w:val="both"/>
      </w:pPr>
      <w:r w:rsidRPr="0081492C">
        <w:t xml:space="preserve">None of the scholars </w:t>
      </w:r>
      <w:r>
        <w:t xml:space="preserve">studied </w:t>
      </w:r>
      <w:r w:rsidRPr="0081492C">
        <w:t>sees any real messianic reference in Zechariah 12 – 14.  Redditt notes the revision of hopes for the future, including messianic expectations found in Haggai, Proto-Zechariah and even Zechariah 9</w:t>
      </w:r>
      <w:r>
        <w:t xml:space="preserve"> </w:t>
      </w:r>
      <w:r w:rsidRPr="0081492C">
        <w:t>–</w:t>
      </w:r>
      <w:r>
        <w:t xml:space="preserve"> </w:t>
      </w:r>
      <w:r w:rsidRPr="0081492C">
        <w:t>10.</w:t>
      </w:r>
      <w:r w:rsidRPr="0081492C">
        <w:rPr>
          <w:rStyle w:val="EndnoteReference"/>
        </w:rPr>
        <w:endnoteReference w:id="3677"/>
      </w:r>
      <w:r w:rsidRPr="0081492C">
        <w:t xml:space="preserve">  The group of writers is nonmessianic.</w:t>
      </w:r>
      <w:r w:rsidRPr="0081492C">
        <w:rPr>
          <w:rStyle w:val="EndnoteReference"/>
        </w:rPr>
        <w:endnoteReference w:id="3678"/>
      </w:r>
      <w:r w:rsidRPr="0081492C">
        <w:t xml:space="preserve">  </w:t>
      </w:r>
      <w:r w:rsidRPr="00AE5303">
        <w:t>Meyers</w:t>
      </w:r>
      <w:r>
        <w:t xml:space="preserve"> and </w:t>
      </w:r>
      <w:r w:rsidRPr="00AE5303">
        <w:t>Meyers</w:t>
      </w:r>
      <w:r w:rsidRPr="0081492C">
        <w:t xml:space="preserve"> find unacceptable the implication, which they find in traditional Jewish commentary on Zech. 12:10, that ‘the stabbed one becomes a martyred messianic figure’.</w:t>
      </w:r>
      <w:r w:rsidRPr="0081492C">
        <w:rPr>
          <w:rStyle w:val="EndnoteReference"/>
        </w:rPr>
        <w:endnoteReference w:id="3679"/>
      </w:r>
      <w:r w:rsidRPr="0081492C">
        <w:t xml:space="preserve">  Tigchelaar avers that interpretations of the individual in 12:10 </w:t>
      </w:r>
      <w:r w:rsidRPr="00D34329">
        <w:rPr>
          <w:spacing w:val="-2"/>
        </w:rPr>
        <w:t>as ‘a leading, perhaps royal, even messianic figure, are built on shaky grounds’.  Comparisons with Isa.</w:t>
      </w:r>
      <w:r w:rsidRPr="0081492C">
        <w:t xml:space="preserve"> 53:5 and Zech. 13:7 are unconvincing.</w:t>
      </w:r>
      <w:r w:rsidRPr="0081492C">
        <w:rPr>
          <w:rStyle w:val="EndnoteReference"/>
        </w:rPr>
        <w:endnoteReference w:id="3680"/>
      </w:r>
    </w:p>
    <w:p w:rsidR="00D90FE2" w:rsidRDefault="00D90FE2" w:rsidP="00D90FE2">
      <w:pPr>
        <w:autoSpaceDE w:val="0"/>
        <w:autoSpaceDN w:val="0"/>
        <w:adjustRightInd w:val="0"/>
        <w:spacing w:after="120" w:line="360" w:lineRule="auto"/>
        <w:ind w:right="71" w:firstLine="567"/>
        <w:jc w:val="both"/>
      </w:pPr>
      <w:r w:rsidRPr="0081492C">
        <w:lastRenderedPageBreak/>
        <w:t>Mason states that the messianism of Zech. 9:9 is strongly modified in Zechariah 12</w:t>
      </w:r>
      <w:r>
        <w:t xml:space="preserve"> </w:t>
      </w:r>
      <w:r w:rsidRPr="0081492C">
        <w:t>–</w:t>
      </w:r>
      <w:r>
        <w:t xml:space="preserve"> </w:t>
      </w:r>
      <w:r w:rsidRPr="0081492C">
        <w:t>14.  Traditional ‘Messianic’ hope is absent.  ‘This hardly fits a lively expectation of a Messiah whose miraculous intervention makes him the agent of salvation for the community as a whole.’  ‘A Messiah who needs to join in the general repentance is not quite the figure of traditional Messianic hope.’</w:t>
      </w:r>
      <w:r w:rsidRPr="0081492C">
        <w:rPr>
          <w:rStyle w:val="EndnoteReference"/>
        </w:rPr>
        <w:endnoteReference w:id="3681"/>
      </w:r>
      <w:r w:rsidRPr="0081492C">
        <w:t xml:space="preserve">  Zechariah 12:8 does not suggest a strongly messianic view of the Davidic line.  The fact that the whole community will share in the once exclusively royal relationship with God is, to some extent, a ‘democratizing’ of the messianic role.</w:t>
      </w:r>
      <w:r w:rsidRPr="0081492C">
        <w:rPr>
          <w:rStyle w:val="EndnoteReference"/>
        </w:rPr>
        <w:endnoteReference w:id="3682"/>
      </w:r>
      <w:r w:rsidRPr="0081492C">
        <w:t xml:space="preserve">  Dismissing the messianic references some have found in Zech. 12:10, Mason points out that mourning over the treatment of the pierced one is the work of God; it is the result of their repentance, not its cause.  ‘This does not suggest that the thought of a vicarious value in the death or sufferings of the </w:t>
      </w:r>
      <w:r>
        <w:t>“</w:t>
      </w:r>
      <w:r w:rsidRPr="0081492C">
        <w:t>pierced one</w:t>
      </w:r>
      <w:r>
        <w:t>”</w:t>
      </w:r>
      <w:r w:rsidRPr="0081492C">
        <w:t xml:space="preserve"> was prominent.  It hardly suggests for him t</w:t>
      </w:r>
      <w:r>
        <w:t>he role of a “Suffering Servant”</w:t>
      </w:r>
      <w:r w:rsidRPr="0081492C">
        <w:t>, still less a messianic one.’</w:t>
      </w:r>
      <w:r w:rsidRPr="0081492C">
        <w:rPr>
          <w:rStyle w:val="EndnoteReference"/>
        </w:rPr>
        <w:endnoteReference w:id="3683"/>
      </w:r>
      <w:r w:rsidRPr="0081492C">
        <w:t xml:space="preserve"> </w:t>
      </w:r>
    </w:p>
    <w:p w:rsidR="00D90FE2" w:rsidRPr="0081492C" w:rsidRDefault="00D90FE2" w:rsidP="00D90FE2">
      <w:pPr>
        <w:spacing w:after="120" w:line="360" w:lineRule="auto"/>
        <w:rPr>
          <w:b/>
        </w:rPr>
      </w:pPr>
      <w:r w:rsidRPr="0081492C">
        <w:rPr>
          <w:b/>
        </w:rPr>
        <w:t xml:space="preserve">6  Conclusion </w:t>
      </w:r>
      <w:r>
        <w:rPr>
          <w:b/>
        </w:rPr>
        <w:t>Concerning Scofield’s Note on Zechariah 12:8</w:t>
      </w:r>
      <w:r w:rsidRPr="0081492C">
        <w:rPr>
          <w:b/>
        </w:rPr>
        <w:t xml:space="preserve"> </w:t>
      </w:r>
    </w:p>
    <w:p w:rsidR="00D90FE2" w:rsidRDefault="00D90FE2" w:rsidP="00D90FE2">
      <w:pPr>
        <w:autoSpaceDE w:val="0"/>
        <w:autoSpaceDN w:val="0"/>
        <w:adjustRightInd w:val="0"/>
        <w:spacing w:after="120" w:line="360" w:lineRule="auto"/>
        <w:ind w:right="71"/>
        <w:jc w:val="both"/>
      </w:pPr>
      <w:r w:rsidRPr="0081492C">
        <w:t>The scholars studied present a much larger and more detailed picture than Scofield’s limited and tangential commentary allows.  Again, Scofield ignores important context and, as with his commentary on other passages, he makes unwarranted links with the New Testament and offers little reference to the actual text.  Yahweh, the divine warrior of Zechariah 9 – 14, is transformed into the Christ of Revelation.  Moreover, the full-blown apocalyptic genre of Revelation is imposed upon writing probably composed more than five hundred years earlier, whose genre can only be deemed ‘protoapocalyptic’.  By contrast, modern scholars examine the full context of Zech. 12:8, both within Deutero-Zechariah and within its probable historical setting.</w:t>
      </w:r>
    </w:p>
    <w:p w:rsidR="00D90FE2" w:rsidRDefault="00D90FE2" w:rsidP="00D90FE2">
      <w:pPr>
        <w:autoSpaceDE w:val="0"/>
        <w:autoSpaceDN w:val="0"/>
        <w:adjustRightInd w:val="0"/>
        <w:spacing w:after="120" w:line="360" w:lineRule="auto"/>
        <w:ind w:right="71"/>
        <w:jc w:val="both"/>
        <w:sectPr w:rsidR="00D90FE2" w:rsidSect="00B91EAF">
          <w:headerReference w:type="even" r:id="rId231"/>
          <w:headerReference w:type="default" r:id="rId232"/>
          <w:footerReference w:type="default" r:id="rId233"/>
          <w:footnotePr>
            <w:numFmt w:val="lowerRoman"/>
            <w:numRestart w:val="eachSect"/>
          </w:footnotePr>
          <w:endnotePr>
            <w:numFmt w:val="decimal"/>
            <w:numRestart w:val="eachSect"/>
          </w:endnotePr>
          <w:pgSz w:w="11906" w:h="16838" w:code="9"/>
          <w:pgMar w:top="1440" w:right="1134" w:bottom="1440" w:left="2268" w:header="709" w:footer="709" w:gutter="0"/>
          <w:pgNumType w:start="475"/>
          <w:cols w:space="708"/>
          <w:docGrid w:linePitch="360"/>
        </w:sectPr>
      </w:pPr>
    </w:p>
    <w:p w:rsidR="00D90FE2" w:rsidRPr="00896A6C" w:rsidRDefault="00D90FE2" w:rsidP="00D90FE2">
      <w:pPr>
        <w:autoSpaceDE w:val="0"/>
        <w:autoSpaceDN w:val="0"/>
        <w:adjustRightInd w:val="0"/>
        <w:spacing w:after="120" w:line="360" w:lineRule="auto"/>
        <w:ind w:right="71"/>
        <w:jc w:val="center"/>
        <w:rPr>
          <w:b/>
          <w:sz w:val="28"/>
          <w:szCs w:val="24"/>
        </w:rPr>
      </w:pPr>
      <w:bookmarkStart w:id="26" w:name="CaseStudyMatt"/>
      <w:bookmarkEnd w:id="26"/>
      <w:r w:rsidRPr="00896A6C">
        <w:rPr>
          <w:b/>
          <w:sz w:val="28"/>
          <w:szCs w:val="24"/>
        </w:rPr>
        <w:lastRenderedPageBreak/>
        <w:t xml:space="preserve">CASE STUDIES: </w:t>
      </w:r>
    </w:p>
    <w:p w:rsidR="00D90FE2" w:rsidRPr="009B2FE4" w:rsidRDefault="00D90FE2" w:rsidP="00D90FE2">
      <w:pPr>
        <w:autoSpaceDE w:val="0"/>
        <w:autoSpaceDN w:val="0"/>
        <w:adjustRightInd w:val="0"/>
        <w:spacing w:line="360" w:lineRule="auto"/>
        <w:ind w:right="74" w:firstLine="539"/>
        <w:jc w:val="center"/>
        <w:rPr>
          <w:b/>
          <w:sz w:val="28"/>
          <w:szCs w:val="28"/>
        </w:rPr>
      </w:pPr>
      <w:r w:rsidRPr="009B2FE4">
        <w:rPr>
          <w:b/>
          <w:i/>
          <w:sz w:val="28"/>
          <w:szCs w:val="28"/>
        </w:rPr>
        <w:t xml:space="preserve">Some Scholarly Interpretations of Key Texts Used by Scofield </w:t>
      </w:r>
      <w:r>
        <w:rPr>
          <w:b/>
          <w:i/>
          <w:sz w:val="28"/>
          <w:szCs w:val="28"/>
        </w:rPr>
        <w:t>Concerning The Kingdom</w:t>
      </w:r>
    </w:p>
    <w:p w:rsidR="00D90FE2" w:rsidRPr="00AD647E" w:rsidRDefault="00D90FE2" w:rsidP="00D90FE2">
      <w:pPr>
        <w:autoSpaceDE w:val="0"/>
        <w:autoSpaceDN w:val="0"/>
        <w:adjustRightInd w:val="0"/>
        <w:spacing w:after="120" w:line="360" w:lineRule="auto"/>
        <w:ind w:right="71"/>
        <w:jc w:val="center"/>
        <w:rPr>
          <w:b/>
          <w:sz w:val="28"/>
          <w:szCs w:val="24"/>
        </w:rPr>
      </w:pPr>
      <w:r w:rsidRPr="00AD647E">
        <w:rPr>
          <w:b/>
          <w:sz w:val="28"/>
          <w:szCs w:val="24"/>
        </w:rPr>
        <w:t>2  Matthew</w:t>
      </w:r>
    </w:p>
    <w:p w:rsidR="008D4C6E" w:rsidRDefault="008D4C6E" w:rsidP="008D4C6E">
      <w:pPr>
        <w:autoSpaceDE w:val="0"/>
        <w:autoSpaceDN w:val="0"/>
        <w:adjustRightInd w:val="0"/>
        <w:spacing w:after="120" w:line="360" w:lineRule="auto"/>
        <w:ind w:right="71"/>
        <w:jc w:val="both"/>
      </w:pPr>
      <w:r w:rsidRPr="00C3013D">
        <w:t xml:space="preserve">The </w:t>
      </w:r>
      <w:r>
        <w:t>G</w:t>
      </w:r>
      <w:r w:rsidRPr="00C3013D">
        <w:t>ospel of Matthew is one of the biblical books to which Scofield has added the highest proportion of notes</w:t>
      </w:r>
      <w:r w:rsidRPr="00ED124C">
        <w:t>.</w:t>
      </w:r>
      <w:r>
        <w:t xml:space="preserve">  Many of these concern the kingdom, both in its mystery-form in this age and in its eschatological form, as indicated in the table in 8.6.1.</w:t>
      </w:r>
      <w:r w:rsidRPr="00ED124C">
        <w:t xml:space="preserve">  </w:t>
      </w:r>
      <w:r>
        <w:t xml:space="preserve">This case study places some of these notes concerning the kingdom alongside scholarly interpretations.  </w:t>
      </w:r>
    </w:p>
    <w:p w:rsidR="008D4C6E" w:rsidRPr="00C3013D" w:rsidRDefault="008D4C6E" w:rsidP="008D4C6E">
      <w:pPr>
        <w:autoSpaceDE w:val="0"/>
        <w:autoSpaceDN w:val="0"/>
        <w:adjustRightInd w:val="0"/>
        <w:spacing w:after="120" w:line="360" w:lineRule="auto"/>
        <w:ind w:right="71"/>
        <w:jc w:val="both"/>
        <w:rPr>
          <w:b/>
        </w:rPr>
      </w:pPr>
      <w:r w:rsidRPr="00C3013D">
        <w:rPr>
          <w:b/>
        </w:rPr>
        <w:t>John the Baptist</w:t>
      </w:r>
      <w:r>
        <w:rPr>
          <w:b/>
        </w:rPr>
        <w:t xml:space="preserve"> and the Kingdom </w:t>
      </w:r>
      <w:r w:rsidRPr="00C3013D">
        <w:rPr>
          <w:b/>
        </w:rPr>
        <w:t xml:space="preserve">in Matthew </w:t>
      </w:r>
    </w:p>
    <w:p w:rsidR="008D4C6E" w:rsidRPr="00C3013D" w:rsidRDefault="008D4C6E" w:rsidP="008D4C6E">
      <w:pPr>
        <w:autoSpaceDE w:val="0"/>
        <w:autoSpaceDN w:val="0"/>
        <w:adjustRightInd w:val="0"/>
        <w:spacing w:after="120" w:line="360" w:lineRule="auto"/>
        <w:ind w:right="71"/>
        <w:jc w:val="both"/>
      </w:pPr>
      <w:r w:rsidRPr="00C3013D">
        <w:t xml:space="preserve">Unlike Scofield, who expounds </w:t>
      </w:r>
      <w:r>
        <w:t xml:space="preserve">upon </w:t>
      </w:r>
      <w:r w:rsidRPr="00C3013D">
        <w:t>the narrowly selected phrases, ‘kingdom of heaven’ from Mt. 3:2</w:t>
      </w:r>
      <w:r w:rsidRPr="00C3013D">
        <w:rPr>
          <w:rStyle w:val="EndnoteReference"/>
        </w:rPr>
        <w:endnoteReference w:id="3684"/>
      </w:r>
      <w:r w:rsidRPr="00C3013D">
        <w:t xml:space="preserve"> and ‘at hand’ from Mt. 4:17,</w:t>
      </w:r>
      <w:r w:rsidRPr="00C3013D">
        <w:rPr>
          <w:rStyle w:val="EndnoteReference"/>
        </w:rPr>
        <w:endnoteReference w:id="3685"/>
      </w:r>
      <w:r w:rsidRPr="00C3013D">
        <w:t xml:space="preserve"> other commentaries</w:t>
      </w:r>
      <w:r w:rsidRPr="00C3013D">
        <w:rPr>
          <w:rStyle w:val="EndnoteReference"/>
        </w:rPr>
        <w:endnoteReference w:id="3686"/>
      </w:r>
      <w:r w:rsidRPr="00C3013D">
        <w:t xml:space="preserve"> have a contextual approach.  W. D. Davies and Dale C. Allison</w:t>
      </w:r>
      <w:r>
        <w:t>,</w:t>
      </w:r>
      <w:r w:rsidRPr="00C3013D">
        <w:rPr>
          <w:rStyle w:val="EndnoteReference"/>
        </w:rPr>
        <w:endnoteReference w:id="3687"/>
      </w:r>
      <w:r w:rsidRPr="00C3013D">
        <w:t xml:space="preserve"> Margaret Pamment</w:t>
      </w:r>
      <w:r w:rsidRPr="00C3013D">
        <w:rPr>
          <w:rStyle w:val="EndnoteReference"/>
        </w:rPr>
        <w:endnoteReference w:id="3688"/>
      </w:r>
      <w:r w:rsidRPr="00C3013D">
        <w:t xml:space="preserve"> and the </w:t>
      </w:r>
      <w:r w:rsidRPr="00C3013D">
        <w:rPr>
          <w:i/>
        </w:rPr>
        <w:t>NRSV</w:t>
      </w:r>
      <w:r w:rsidRPr="00C3013D">
        <w:t>,</w:t>
      </w:r>
      <w:r w:rsidRPr="00C3013D">
        <w:rPr>
          <w:rStyle w:val="EndnoteReference"/>
        </w:rPr>
        <w:endnoteReference w:id="3689"/>
      </w:r>
      <w:r w:rsidRPr="00C3013D">
        <w:t xml:space="preserve"> </w:t>
      </w:r>
      <w:r w:rsidRPr="00C3013D">
        <w:rPr>
          <w:i/>
        </w:rPr>
        <w:t>NIV</w:t>
      </w:r>
      <w:r w:rsidRPr="00C3013D">
        <w:rPr>
          <w:rStyle w:val="EndnoteReference"/>
        </w:rPr>
        <w:endnoteReference w:id="3690"/>
      </w:r>
      <w:r w:rsidRPr="00C3013D">
        <w:t xml:space="preserve"> and Zondervan notes</w:t>
      </w:r>
      <w:r w:rsidRPr="00C3013D">
        <w:rPr>
          <w:rStyle w:val="EndnoteReference"/>
        </w:rPr>
        <w:endnoteReference w:id="3691"/>
      </w:r>
      <w:r w:rsidRPr="00C3013D">
        <w:t xml:space="preserve"> all place Mt. 3:2 within its setting in John the Baptist’s ministry.  All except the </w:t>
      </w:r>
      <w:r w:rsidRPr="00C3013D">
        <w:rPr>
          <w:i/>
        </w:rPr>
        <w:t>NIV</w:t>
      </w:r>
      <w:r w:rsidRPr="00C3013D">
        <w:t xml:space="preserve"> note stress the importance of John’s call to repentance, ‘repentance’ being the subject of the first clause in Mt. 3:2, a subject ignored by Scofield.  </w:t>
      </w:r>
    </w:p>
    <w:p w:rsidR="008D4C6E" w:rsidRPr="00C3013D" w:rsidRDefault="008D4C6E" w:rsidP="008D4C6E">
      <w:pPr>
        <w:autoSpaceDE w:val="0"/>
        <w:autoSpaceDN w:val="0"/>
        <w:adjustRightInd w:val="0"/>
        <w:spacing w:after="120" w:line="360" w:lineRule="auto"/>
        <w:ind w:right="71" w:firstLine="540"/>
        <w:jc w:val="both"/>
      </w:pPr>
      <w:r w:rsidRPr="00C3013D">
        <w:t>Davies and Allison</w:t>
      </w:r>
      <w:r>
        <w:t>,</w:t>
      </w:r>
      <w:r w:rsidRPr="00C3013D">
        <w:rPr>
          <w:rStyle w:val="EndnoteReference"/>
        </w:rPr>
        <w:endnoteReference w:id="3692"/>
      </w:r>
      <w:r w:rsidRPr="00C3013D">
        <w:t xml:space="preserve"> the </w:t>
      </w:r>
      <w:r w:rsidRPr="00C3013D">
        <w:rPr>
          <w:i/>
        </w:rPr>
        <w:t>NRSV</w:t>
      </w:r>
      <w:r w:rsidRPr="00C3013D">
        <w:t xml:space="preserve"> note</w:t>
      </w:r>
      <w:r w:rsidRPr="00C3013D">
        <w:rPr>
          <w:rStyle w:val="EndnoteReference"/>
        </w:rPr>
        <w:endnoteReference w:id="3693"/>
      </w:r>
      <w:r w:rsidRPr="00C3013D">
        <w:t xml:space="preserve"> and Pamment</w:t>
      </w:r>
      <w:r w:rsidRPr="00C3013D">
        <w:rPr>
          <w:rStyle w:val="EndnoteReference"/>
        </w:rPr>
        <w:endnoteReference w:id="3694"/>
      </w:r>
      <w:r w:rsidRPr="00C3013D">
        <w:t xml:space="preserve"> emphasise John’s link with Elijah, and Davies and Allison note his role as the messenger sent to prepare God’s people for the coming of their Messiah.</w:t>
      </w:r>
      <w:r w:rsidRPr="00C3013D">
        <w:rPr>
          <w:rStyle w:val="EndnoteReference"/>
        </w:rPr>
        <w:endnoteReference w:id="3695"/>
      </w:r>
      <w:r w:rsidRPr="00C3013D">
        <w:t xml:space="preserve">  It appears strange that Scofield, who often emphasises a type and antitype relationship between the </w:t>
      </w:r>
      <w:r>
        <w:t>T</w:t>
      </w:r>
      <w:r w:rsidRPr="00C3013D">
        <w:t>estaments, misses the opportunity to use the links inherent here and to comment upon Matthew’s near quotation of Isa. 40:3.</w:t>
      </w:r>
      <w:r w:rsidRPr="00C3013D">
        <w:rPr>
          <w:rStyle w:val="EndnoteReference"/>
        </w:rPr>
        <w:endnoteReference w:id="3696"/>
      </w:r>
      <w:r w:rsidRPr="00C3013D">
        <w:t xml:space="preserve">  He also fails to register, as do Davies and Allison,</w:t>
      </w:r>
      <w:r w:rsidRPr="00C3013D">
        <w:rPr>
          <w:rStyle w:val="EndnoteReference"/>
        </w:rPr>
        <w:endnoteReference w:id="3697"/>
      </w:r>
      <w:r w:rsidRPr="00C3013D">
        <w:t xml:space="preserve"> and the </w:t>
      </w:r>
      <w:r w:rsidRPr="00C3013D">
        <w:rPr>
          <w:i/>
        </w:rPr>
        <w:t>NRSV</w:t>
      </w:r>
      <w:r w:rsidRPr="00C3013D">
        <w:rPr>
          <w:rStyle w:val="EndnoteReference"/>
        </w:rPr>
        <w:endnoteReference w:id="3698"/>
      </w:r>
      <w:r w:rsidRPr="00C3013D">
        <w:t xml:space="preserve"> and </w:t>
      </w:r>
      <w:r w:rsidRPr="00C3013D">
        <w:rPr>
          <w:i/>
        </w:rPr>
        <w:t>NIV</w:t>
      </w:r>
      <w:r w:rsidRPr="00C3013D">
        <w:rPr>
          <w:rStyle w:val="EndnoteReference"/>
        </w:rPr>
        <w:endnoteReference w:id="3699"/>
      </w:r>
      <w:r w:rsidRPr="00C3013D">
        <w:t xml:space="preserve"> notes, that Jesus’ words in Mt. 4:17 are identical to those of John the Baptist in Mt. 3:2, linking Jesus’ ministry with John’s and thence with the prophetic utterances applied to John.  </w:t>
      </w:r>
    </w:p>
    <w:p w:rsidR="008D4C6E" w:rsidRDefault="008D4C6E" w:rsidP="008D4C6E">
      <w:pPr>
        <w:autoSpaceDE w:val="0"/>
        <w:autoSpaceDN w:val="0"/>
        <w:adjustRightInd w:val="0"/>
        <w:spacing w:after="120" w:line="360" w:lineRule="auto"/>
        <w:ind w:right="71" w:firstLine="540"/>
        <w:jc w:val="both"/>
      </w:pPr>
      <w:r w:rsidRPr="00C3013D">
        <w:t>Davies and Allison point out eight similarities between John the Baptist and Jesus.</w:t>
      </w:r>
      <w:r w:rsidRPr="00C3013D">
        <w:rPr>
          <w:rStyle w:val="EndnoteReference"/>
        </w:rPr>
        <w:endnoteReference w:id="3700"/>
      </w:r>
      <w:r w:rsidRPr="00C3013D">
        <w:t xml:space="preserve">  They, together with Pamment and Zondervan, also note that Matthew alone of the evangelists has John the Baptist proclaiming the kingdom of heaven.</w:t>
      </w:r>
      <w:r w:rsidRPr="00C3013D">
        <w:rPr>
          <w:rStyle w:val="EndnoteReference"/>
        </w:rPr>
        <w:endnoteReference w:id="3701"/>
      </w:r>
      <w:r w:rsidRPr="00C3013D">
        <w:t xml:space="preserve">  According to Davies and Allison, Mt. 11:11-15 ‘places John the Baptist in the days of the kingdom of heaven’, thus he and Jesus ‘belong to the same stage of salvation history’ and ‘proclaim the same kingdom and call upon Israel with the same words’.</w:t>
      </w:r>
      <w:r w:rsidRPr="00C3013D">
        <w:rPr>
          <w:rStyle w:val="EndnoteReference"/>
        </w:rPr>
        <w:endnoteReference w:id="3702"/>
      </w:r>
    </w:p>
    <w:p w:rsidR="008D4C6E" w:rsidRPr="00C3013D" w:rsidRDefault="008D4C6E" w:rsidP="008D4C6E">
      <w:pPr>
        <w:autoSpaceDE w:val="0"/>
        <w:autoSpaceDN w:val="0"/>
        <w:adjustRightInd w:val="0"/>
        <w:spacing w:after="120" w:line="360" w:lineRule="auto"/>
        <w:ind w:right="71"/>
        <w:jc w:val="both"/>
        <w:rPr>
          <w:b/>
        </w:rPr>
      </w:pPr>
      <w:r w:rsidRPr="00C3013D">
        <w:rPr>
          <w:b/>
        </w:rPr>
        <w:t>The Kingdom of Heaven and the Kingdom of God in Matthew</w:t>
      </w:r>
    </w:p>
    <w:p w:rsidR="008D4C6E" w:rsidRDefault="008D4C6E" w:rsidP="008D4C6E">
      <w:pPr>
        <w:autoSpaceDE w:val="0"/>
        <w:autoSpaceDN w:val="0"/>
        <w:adjustRightInd w:val="0"/>
        <w:spacing w:after="120" w:line="360" w:lineRule="auto"/>
        <w:ind w:right="71"/>
        <w:jc w:val="both"/>
      </w:pPr>
      <w:r w:rsidRPr="00C3013D">
        <w:t xml:space="preserve">Scofield draws a </w:t>
      </w:r>
      <w:r w:rsidRPr="00672B5D">
        <w:t>distinction between the kingdom</w:t>
      </w:r>
      <w:r w:rsidRPr="00C3013D">
        <w:t xml:space="preserve"> of heaven, an expression unique to Matthew,</w:t>
      </w:r>
      <w:r w:rsidRPr="00C3013D">
        <w:rPr>
          <w:rStyle w:val="EndnoteReference"/>
        </w:rPr>
        <w:endnoteReference w:id="3703"/>
      </w:r>
      <w:r w:rsidRPr="00C3013D">
        <w:t xml:space="preserve"> and the kingdom of God, a term used only four, or possibly five, times in Matthew.</w:t>
      </w:r>
      <w:r w:rsidRPr="00C3013D">
        <w:rPr>
          <w:rStyle w:val="EndnoteReference"/>
        </w:rPr>
        <w:endnoteReference w:id="3704"/>
      </w:r>
      <w:r w:rsidRPr="00C3013D">
        <w:t xml:space="preserve">  He holds the kingdom of heaven to be the future, earthly, post-</w:t>
      </w:r>
      <w:r w:rsidRPr="00C3013D">
        <w:rPr>
          <w:i/>
        </w:rPr>
        <w:t>parousia</w:t>
      </w:r>
      <w:r w:rsidRPr="00C3013D">
        <w:t xml:space="preserve"> kingdom of Jesus, covenanted to him as the Son of David, though he also regards it as being at hand and fulfilled in mystery-form in the present age.</w:t>
      </w:r>
      <w:r w:rsidRPr="00C3013D">
        <w:rPr>
          <w:rStyle w:val="EndnoteReference"/>
        </w:rPr>
        <w:endnoteReference w:id="3705"/>
      </w:r>
      <w:r w:rsidRPr="00C3013D">
        <w:t xml:space="preserve">  In fact, none </w:t>
      </w:r>
      <w:r w:rsidRPr="00C3013D">
        <w:lastRenderedPageBreak/>
        <w:t xml:space="preserve">of the </w:t>
      </w:r>
      <w:r w:rsidR="00975183">
        <w:t>G</w:t>
      </w:r>
      <w:r w:rsidRPr="00C3013D">
        <w:t xml:space="preserve">ospels refers to Jesus as ‘Son of David’ in the context of the kingdom of heaven or kingdom of God, and, apart from the </w:t>
      </w:r>
      <w:r w:rsidRPr="00C3013D">
        <w:rPr>
          <w:i/>
        </w:rPr>
        <w:t>NIV</w:t>
      </w:r>
      <w:r w:rsidRPr="00C3013D">
        <w:t xml:space="preserve"> note, the commentaries studied do not connect the name ‘Son of David’ with Jesus in this context.  </w:t>
      </w:r>
    </w:p>
    <w:p w:rsidR="008D4C6E" w:rsidRDefault="008D4C6E" w:rsidP="008D4C6E">
      <w:pPr>
        <w:autoSpaceDE w:val="0"/>
        <w:autoSpaceDN w:val="0"/>
        <w:adjustRightInd w:val="0"/>
        <w:spacing w:after="120" w:line="360" w:lineRule="auto"/>
        <w:ind w:right="71" w:firstLine="567"/>
        <w:jc w:val="both"/>
      </w:pPr>
      <w:r>
        <w:t>In his note on Mt. 6:33, Scofield outlines five ways in which ‘the kingdom of God is to be distinguished from the kingdom of heaven’.</w:t>
      </w:r>
      <w:r>
        <w:rPr>
          <w:rStyle w:val="EndnoteReference"/>
        </w:rPr>
        <w:endnoteReference w:id="3706"/>
      </w:r>
      <w:r>
        <w:t xml:space="preserve">  The distinction is very important to him: the kingdom of heaven is ‘Messianic, mediatorial and Davidic’ and, during this age, is ‘the sphere of a profession which may be real or false’; it is ‘organic and to be manifested in glory on the earth’.</w:t>
      </w:r>
      <w:r>
        <w:rPr>
          <w:rStyle w:val="EndnoteReference"/>
        </w:rPr>
        <w:endnoteReference w:id="3707"/>
      </w:r>
      <w:r>
        <w:t xml:space="preserve">  Furthermore, ‘the kingdom of heaven has three aspects in Matthew: ‘at hand’, in its present ‘mystery-form’</w:t>
      </w:r>
      <w:r>
        <w:rPr>
          <w:rStyle w:val="EndnoteReference"/>
        </w:rPr>
        <w:endnoteReference w:id="3708"/>
      </w:r>
      <w:r>
        <w:t xml:space="preserve"> and in its ‘prophetic aspect’.</w:t>
      </w:r>
      <w:r>
        <w:rPr>
          <w:rStyle w:val="EndnoteReference"/>
        </w:rPr>
        <w:endnoteReference w:id="3709"/>
      </w:r>
      <w:r>
        <w:t xml:space="preserve">  Conversely, the kingdom of God is universal but may only be entered by new birth; it is ‘mainly inward and spiritual’.</w:t>
      </w:r>
      <w:r>
        <w:rPr>
          <w:rStyle w:val="EndnoteReference"/>
        </w:rPr>
        <w:endnoteReference w:id="3710"/>
      </w:r>
      <w:r>
        <w:t xml:space="preserve">  </w:t>
      </w:r>
    </w:p>
    <w:p w:rsidR="008D4C6E" w:rsidRPr="00C3013D" w:rsidRDefault="008D4C6E" w:rsidP="008D4C6E">
      <w:pPr>
        <w:autoSpaceDE w:val="0"/>
        <w:autoSpaceDN w:val="0"/>
        <w:adjustRightInd w:val="0"/>
        <w:spacing w:after="120" w:line="360" w:lineRule="auto"/>
        <w:ind w:right="71" w:firstLine="540"/>
        <w:jc w:val="both"/>
      </w:pPr>
      <w:r w:rsidRPr="00C3013D">
        <w:t xml:space="preserve">Davies and Allison appear to use the terms ‘kingdom of heaven’ and ‘kingdom of God’ interchangeably.  In their note on Mt. 4:17, they compare Mt. 3:2 with Mt. 10:7, both of which refer to </w:t>
      </w:r>
      <w:r w:rsidRPr="00DB1244">
        <w:rPr>
          <w:rFonts w:ascii="Bwgrkl" w:hAnsi="Bwgrkl" w:cs="Bwgrkl"/>
          <w:lang w:bidi="he-IL"/>
        </w:rPr>
        <w:t>h` basilei,a tw/n ouvranw/n</w:t>
      </w:r>
      <w:r w:rsidRPr="00C3013D">
        <w:t>, but they write their commentary in terms of ‘the kingdom of God’, as if the two terms were synonymous.</w:t>
      </w:r>
      <w:r w:rsidRPr="00C3013D">
        <w:rPr>
          <w:rStyle w:val="EndnoteReference"/>
        </w:rPr>
        <w:endnoteReference w:id="3711"/>
      </w:r>
      <w:r w:rsidRPr="00C3013D">
        <w:t xml:space="preserve">  They claim that ‘most scholars assume that “kingdom of heaven” is the equivalent of “kingdom of God”, “heaven” being </w:t>
      </w:r>
      <w:r>
        <w:t xml:space="preserve">used as </w:t>
      </w:r>
      <w:r w:rsidRPr="00C3013D">
        <w:t>a periphrasis for God, perhaps under rabbinic i</w:t>
      </w:r>
      <w:r w:rsidRPr="00034C42">
        <w:t>nfluence</w:t>
      </w:r>
      <w:r w:rsidRPr="00C3013D">
        <w:t>’.</w:t>
      </w:r>
      <w:r w:rsidRPr="00C3013D">
        <w:rPr>
          <w:rStyle w:val="EndnoteReference"/>
        </w:rPr>
        <w:endnoteReference w:id="3712"/>
      </w:r>
      <w:r w:rsidRPr="00C3013D">
        <w:t xml:space="preserve">  The </w:t>
      </w:r>
      <w:r w:rsidRPr="00C3013D">
        <w:rPr>
          <w:i/>
        </w:rPr>
        <w:t>NIV</w:t>
      </w:r>
      <w:r w:rsidRPr="00C3013D">
        <w:t xml:space="preserve"> note concurs, stating that the use of ‘kingdom of heaven’ reflects ‘Jewish reverential reluctance to use the name of God’.</w:t>
      </w:r>
      <w:r w:rsidRPr="00C3013D">
        <w:rPr>
          <w:rStyle w:val="EndnoteReference"/>
        </w:rPr>
        <w:endnoteReference w:id="3713"/>
      </w:r>
      <w:r w:rsidRPr="00C3013D">
        <w:t xml:space="preserve">  Davies and Allison conclude that the two phrases merely demonstrate a ‘stylistic variation’, which also occurs in the apocryphal Gospel of Thomas; both terms ‘denote God’s rule, present and coming’.</w:t>
      </w:r>
      <w:r w:rsidRPr="00C3013D">
        <w:rPr>
          <w:rStyle w:val="EndnoteReference"/>
        </w:rPr>
        <w:endnoteReference w:id="3714"/>
      </w:r>
      <w:r w:rsidRPr="00C3013D">
        <w:t xml:space="preserve">  Davies and Allison note that Matthew also uses the phrases, ‘kingdom of my Father’, ‘kingdom of the Son of Man’ and simply ‘the kingdom’.</w:t>
      </w:r>
      <w:r w:rsidRPr="00C3013D">
        <w:rPr>
          <w:rStyle w:val="EndnoteReference"/>
        </w:rPr>
        <w:endnoteReference w:id="3715"/>
      </w:r>
      <w:r w:rsidRPr="00C3013D">
        <w:t xml:space="preserve">  Matthew ‘thinks in terms of a complex of prophesied events, some of which have taken place, … some of which are taking place … and some which will take place in the near future’.</w:t>
      </w:r>
      <w:r w:rsidRPr="00C3013D">
        <w:rPr>
          <w:rStyle w:val="EndnoteReference"/>
        </w:rPr>
        <w:endnoteReference w:id="3716"/>
      </w:r>
    </w:p>
    <w:p w:rsidR="008D4C6E" w:rsidRPr="00C3013D" w:rsidRDefault="008D4C6E" w:rsidP="008D4C6E">
      <w:pPr>
        <w:autoSpaceDE w:val="0"/>
        <w:autoSpaceDN w:val="0"/>
        <w:adjustRightInd w:val="0"/>
        <w:spacing w:after="120" w:line="360" w:lineRule="auto"/>
        <w:ind w:right="71" w:firstLine="540"/>
        <w:jc w:val="both"/>
      </w:pPr>
      <w:r w:rsidRPr="00C3013D">
        <w:t>Zondervan emphasises that the predominant meaning of ‘kingdom’ in both testaments is ‘reign’.  ‘The biblical goal is the manifest exercise of God’s sovereignty, his “reign” on earth and among humans.’</w:t>
      </w:r>
      <w:r w:rsidRPr="00C3013D">
        <w:rPr>
          <w:rStyle w:val="EndnoteReference"/>
        </w:rPr>
        <w:endnoteReference w:id="3717"/>
      </w:r>
      <w:r w:rsidRPr="00C3013D">
        <w:t xml:space="preserve">  Zondervan suggests that parallels among the synoptic gospels imply that ‘“kingdom of God” and “kingdom of heaven” denote the same thing’.</w:t>
      </w:r>
      <w:r w:rsidRPr="00C3013D">
        <w:rPr>
          <w:rStyle w:val="EndnoteReference"/>
        </w:rPr>
        <w:endnoteReference w:id="3718"/>
      </w:r>
      <w:r w:rsidRPr="00C3013D">
        <w:t xml:space="preserve">  It states that, according to Matthew, ‘the kingdom came with Jesus and his preaching and miracles, it came with his death and resurrection, and it will come at the end of the age’.</w:t>
      </w:r>
      <w:r w:rsidRPr="00C3013D">
        <w:rPr>
          <w:rStyle w:val="EndnoteReference"/>
        </w:rPr>
        <w:endnoteReference w:id="3719"/>
      </w:r>
    </w:p>
    <w:p w:rsidR="008D4C6E" w:rsidRDefault="008D4C6E" w:rsidP="008D4C6E">
      <w:pPr>
        <w:autoSpaceDE w:val="0"/>
        <w:autoSpaceDN w:val="0"/>
        <w:adjustRightInd w:val="0"/>
        <w:spacing w:after="120" w:line="360" w:lineRule="auto"/>
        <w:ind w:right="71" w:firstLine="540"/>
        <w:jc w:val="both"/>
      </w:pPr>
      <w:r w:rsidRPr="00C3013D">
        <w:t xml:space="preserve">Among the commentaries studied, Pamment’s is the only one which posits a complete separation between the kingdom of heaven and the kingdom of God.  Pamment asserts an even more extreme separation than does Scofield.  She argues that </w:t>
      </w:r>
      <w:r w:rsidRPr="00DB1244">
        <w:rPr>
          <w:rFonts w:ascii="Bwgrkl" w:hAnsi="Bwgrkl" w:cs="Bwgrkl"/>
          <w:lang w:bidi="he-IL"/>
        </w:rPr>
        <w:t>h` basilei,a tw/n ouvranw/n</w:t>
      </w:r>
      <w:r w:rsidRPr="00C3013D">
        <w:t xml:space="preserve"> is pictured as an imminent but entirely future reality</w:t>
      </w:r>
      <w:r>
        <w:t>,</w:t>
      </w:r>
      <w:r w:rsidRPr="00C3013D">
        <w:t xml:space="preserve"> unlike the five occurrences of </w:t>
      </w:r>
      <w:r w:rsidRPr="00DB1244">
        <w:rPr>
          <w:rFonts w:ascii="Bwgrkl" w:hAnsi="Bwgrkl" w:cs="Bwgrkl"/>
          <w:lang w:bidi="he-IL"/>
        </w:rPr>
        <w:t>h` basilei,a tou/ qeou/</w:t>
      </w:r>
      <w:r>
        <w:t xml:space="preserve">, </w:t>
      </w:r>
      <w:r w:rsidRPr="00C3013D">
        <w:t>which represent a present kingdom.</w:t>
      </w:r>
      <w:r w:rsidRPr="00C3013D">
        <w:rPr>
          <w:rStyle w:val="EndnoteReference"/>
        </w:rPr>
        <w:endnoteReference w:id="3720"/>
      </w:r>
      <w:r w:rsidRPr="00C3013D">
        <w:t xml:space="preserve">  She argues that, in the Beatitudes, the present tenses of Mt. 5:3 and 10 ‘do not indicate the presence of the kingdom but indicate that when it is present it belongs by right to</w:t>
      </w:r>
      <w:r w:rsidRPr="00DB1244">
        <w:t xml:space="preserve"> </w:t>
      </w:r>
      <w:r w:rsidRPr="00AA20E1">
        <w:rPr>
          <w:rFonts w:ascii="Bwgrkl" w:hAnsi="Bwgrkl" w:cs="Bwgrkl"/>
          <w:lang w:bidi="he-IL"/>
        </w:rPr>
        <w:t>oi` ptwcoi</w:t>
      </w:r>
      <w:r w:rsidRPr="00DB1244">
        <w:t xml:space="preserve"> and </w:t>
      </w:r>
      <w:r w:rsidRPr="00AA20E1">
        <w:rPr>
          <w:rFonts w:ascii="Bwgrkl" w:hAnsi="Bwgrkl" w:cs="Bwgrkl"/>
          <w:lang w:bidi="he-IL"/>
        </w:rPr>
        <w:t>oi</w:t>
      </w:r>
      <w:r w:rsidRPr="00AA20E1">
        <w:rPr>
          <w:rFonts w:ascii="Bwgrkl" w:hAnsi="Bwgrkl"/>
        </w:rPr>
        <w:t xml:space="preserve"> dediwgmenoi</w:t>
      </w:r>
      <w:r w:rsidRPr="00C3013D">
        <w:t xml:space="preserve">, i.e. they are futuristic presents’.  </w:t>
      </w:r>
      <w:r>
        <w:t>‘</w:t>
      </w:r>
      <w:r w:rsidRPr="00C3013D">
        <w:t xml:space="preserve">A reversal between the present situation and that of the </w:t>
      </w:r>
      <w:r w:rsidRPr="00C3013D">
        <w:lastRenderedPageBreak/>
        <w:t>future is envisaged.’</w:t>
      </w:r>
      <w:r w:rsidRPr="00C3013D">
        <w:rPr>
          <w:rStyle w:val="EndnoteReference"/>
        </w:rPr>
        <w:endnoteReference w:id="3721"/>
      </w:r>
      <w:r w:rsidRPr="00C3013D">
        <w:t xml:space="preserve">  ‘The “kingdom of heaven” is a place other than the world as it is known.’</w:t>
      </w:r>
      <w:r w:rsidRPr="00C3013D">
        <w:rPr>
          <w:rStyle w:val="EndnoteReference"/>
        </w:rPr>
        <w:endnoteReference w:id="3722"/>
      </w:r>
      <w:r w:rsidRPr="00C3013D">
        <w:t xml:space="preserve">  Discussing the futuristic implication of the words ‘</w:t>
      </w:r>
      <w:r w:rsidRPr="00AA20E1">
        <w:rPr>
          <w:rFonts w:ascii="Bwgrkl" w:hAnsi="Bwgrkl" w:cs="Bwgrkl"/>
          <w:lang w:bidi="he-IL"/>
        </w:rPr>
        <w:t>evlqe,tw h` basilei,a sou</w:t>
      </w:r>
      <w:r w:rsidRPr="00C3013D">
        <w:t>’,</w:t>
      </w:r>
      <w:r w:rsidRPr="00C3013D">
        <w:rPr>
          <w:rStyle w:val="EndnoteReference"/>
        </w:rPr>
        <w:endnoteReference w:id="3723"/>
      </w:r>
      <w:r w:rsidRPr="00C3013D">
        <w:t xml:space="preserve"> Pamment</w:t>
      </w:r>
      <w:r>
        <w:t xml:space="preserve"> </w:t>
      </w:r>
      <w:r w:rsidRPr="00C3013D">
        <w:t>asserts that, while these words might seem to suggest that the kingdom of God is a future reality like the kingdom of heaven, the difference is made clear by the second half of Mt. 6:10, ‘</w:t>
      </w:r>
      <w:r w:rsidRPr="00AA20E1">
        <w:rPr>
          <w:rFonts w:ascii="Bwgrkl" w:hAnsi="Bwgrkl" w:cs="Bwgrkl"/>
          <w:lang w:bidi="he-IL"/>
        </w:rPr>
        <w:t>enhqh,tw to. qe,lhma, sou( w`j evn ouvranw/| kai. evpi. gh/j</w:t>
      </w:r>
      <w:r w:rsidRPr="00C3013D">
        <w:t>’.</w:t>
      </w:r>
      <w:r w:rsidRPr="00DB1244">
        <w:t xml:space="preserve">  </w:t>
      </w:r>
      <w:r w:rsidRPr="00C3013D">
        <w:t>From this, she concludes that ‘the kingdom becomes a reality upon earth whenever and wherever the will of God is performed’.</w:t>
      </w:r>
      <w:r w:rsidRPr="00C3013D">
        <w:rPr>
          <w:rStyle w:val="EndnoteReference"/>
        </w:rPr>
        <w:endnoteReference w:id="3724"/>
      </w:r>
      <w:r w:rsidRPr="00C3013D">
        <w:t xml:space="preserve">  </w:t>
      </w:r>
    </w:p>
    <w:p w:rsidR="008D4C6E" w:rsidRPr="00C3013D" w:rsidRDefault="008D4C6E" w:rsidP="008D4C6E">
      <w:pPr>
        <w:autoSpaceDE w:val="0"/>
        <w:autoSpaceDN w:val="0"/>
        <w:adjustRightInd w:val="0"/>
        <w:spacing w:after="120" w:line="360" w:lineRule="auto"/>
        <w:ind w:right="71"/>
        <w:jc w:val="both"/>
        <w:rPr>
          <w:b/>
        </w:rPr>
      </w:pPr>
      <w:r>
        <w:rPr>
          <w:b/>
        </w:rPr>
        <w:t xml:space="preserve">The Kingdom in </w:t>
      </w:r>
      <w:r w:rsidR="00AA6EEC" w:rsidRPr="00AA6EEC">
        <w:rPr>
          <w:b/>
          <w:i/>
        </w:rPr>
        <w:t>SRB</w:t>
      </w:r>
      <w:r w:rsidR="00AA6EEC">
        <w:rPr>
          <w:b/>
        </w:rPr>
        <w:t xml:space="preserve"> </w:t>
      </w:r>
      <w:r>
        <w:rPr>
          <w:b/>
        </w:rPr>
        <w:t>Notes on Parables</w:t>
      </w:r>
      <w:r w:rsidR="00555034">
        <w:rPr>
          <w:b/>
        </w:rPr>
        <w:t xml:space="preserve"> in Matthew</w:t>
      </w:r>
    </w:p>
    <w:p w:rsidR="008D4C6E" w:rsidRPr="00C3013D" w:rsidRDefault="008D4C6E" w:rsidP="008D4C6E">
      <w:pPr>
        <w:autoSpaceDE w:val="0"/>
        <w:autoSpaceDN w:val="0"/>
        <w:adjustRightInd w:val="0"/>
        <w:spacing w:after="120" w:line="360" w:lineRule="auto"/>
        <w:ind w:right="71"/>
        <w:jc w:val="both"/>
      </w:pPr>
      <w:r>
        <w:t xml:space="preserve">As stated above, </w:t>
      </w:r>
      <w:r w:rsidRPr="00C3013D">
        <w:t>Scofield uses his note on Mt. 6:33 to differentiate between the kingdoms of heaven and of God.</w:t>
      </w:r>
      <w:r>
        <w:rPr>
          <w:rStyle w:val="EndnoteReference"/>
        </w:rPr>
        <w:endnoteReference w:id="3725"/>
      </w:r>
      <w:r w:rsidRPr="00C3013D">
        <w:t xml:space="preserve"> </w:t>
      </w:r>
      <w:r>
        <w:t xml:space="preserve"> Differentiation is also made in the note on Mt. 13:33 through Scofield’s</w:t>
      </w:r>
      <w:r w:rsidRPr="00C3013D">
        <w:t xml:space="preserve"> interpretations of the parables of the wheat and tares, net and yeast.</w:t>
      </w:r>
      <w:r w:rsidRPr="00C3013D">
        <w:rPr>
          <w:rStyle w:val="EndnoteReference"/>
        </w:rPr>
        <w:endnoteReference w:id="3726"/>
      </w:r>
      <w:r>
        <w:t xml:space="preserve">  </w:t>
      </w:r>
      <w:r w:rsidRPr="00C3013D">
        <w:t>The commentaries studied contextualise Mt. 6:33</w:t>
      </w:r>
      <w:r w:rsidRPr="00C3013D">
        <w:rPr>
          <w:rStyle w:val="EndnoteReference"/>
        </w:rPr>
        <w:endnoteReference w:id="3727"/>
      </w:r>
      <w:r w:rsidRPr="00C3013D">
        <w:t xml:space="preserve"> as following Jesus’ exhortations to his disciples not to be anxious but to rely on God’s foreknowledge and provision of all needs.  The pursuit of the kingdom is of paramount importance.</w:t>
      </w:r>
      <w:r w:rsidRPr="00C3013D">
        <w:rPr>
          <w:rStyle w:val="EndnoteReference"/>
        </w:rPr>
        <w:endnoteReference w:id="3728"/>
      </w:r>
      <w:r w:rsidRPr="00C3013D">
        <w:t xml:space="preserve">  As Davies and Allison state, ‘this verse succinctly wraps up the major theme of 6:25-34.  Those who seek first the kingdom and righteousness, who serve God and not mammon, will find their legitimate needs met: they shall be satisfied.’</w:t>
      </w:r>
      <w:r w:rsidRPr="00C3013D">
        <w:rPr>
          <w:rStyle w:val="EndnoteReference"/>
        </w:rPr>
        <w:endnoteReference w:id="3729"/>
      </w:r>
      <w:r w:rsidRPr="00C3013D">
        <w:t xml:space="preserve">  </w:t>
      </w:r>
    </w:p>
    <w:p w:rsidR="008D4C6E" w:rsidRPr="00C3013D" w:rsidRDefault="008D4C6E" w:rsidP="008D4C6E">
      <w:pPr>
        <w:autoSpaceDE w:val="0"/>
        <w:autoSpaceDN w:val="0"/>
        <w:adjustRightInd w:val="0"/>
        <w:spacing w:after="120" w:line="360" w:lineRule="auto"/>
        <w:ind w:right="71" w:firstLine="540"/>
        <w:jc w:val="both"/>
      </w:pPr>
      <w:r w:rsidRPr="00C3013D">
        <w:t xml:space="preserve">In his </w:t>
      </w:r>
      <w:r w:rsidRPr="00D14580">
        <w:t>notes on</w:t>
      </w:r>
      <w:r w:rsidRPr="00C3013D">
        <w:t xml:space="preserve"> Matthew 13, Scofield includes notes on verses </w:t>
      </w:r>
      <w:r>
        <w:t xml:space="preserve">3, </w:t>
      </w:r>
      <w:r w:rsidRPr="00C3013D">
        <w:t xml:space="preserve">17, 24, 30, 31, </w:t>
      </w:r>
      <w:r>
        <w:t xml:space="preserve">33, </w:t>
      </w:r>
      <w:r w:rsidRPr="00C3013D">
        <w:t>43-5 and 47, some of which contain parables to which he refers in his note on Mt. 6:33</w:t>
      </w:r>
      <w:r>
        <w:t>.</w:t>
      </w:r>
      <w:r w:rsidRPr="00C3013D">
        <w:t xml:space="preserve">  Like Zondervan,</w:t>
      </w:r>
      <w:r w:rsidRPr="00C3013D">
        <w:rPr>
          <w:rStyle w:val="EndnoteReference"/>
        </w:rPr>
        <w:endnoteReference w:id="3730"/>
      </w:r>
      <w:r w:rsidRPr="00C3013D">
        <w:t xml:space="preserve"> Davies and Allison emphasise that the parable of the sower,</w:t>
      </w:r>
      <w:r w:rsidRPr="00C3013D">
        <w:rPr>
          <w:rStyle w:val="EndnoteReference"/>
        </w:rPr>
        <w:endnoteReference w:id="3731"/>
      </w:r>
      <w:r w:rsidRPr="00C3013D">
        <w:t xml:space="preserve"> which Scofield labels as ‘foundational to the mysteries of the kingdom of heaven’</w:t>
      </w:r>
      <w:r>
        <w:t>,</w:t>
      </w:r>
      <w:r w:rsidRPr="00C3013D">
        <w:rPr>
          <w:rStyle w:val="EndnoteReference"/>
        </w:rPr>
        <w:endnoteReference w:id="3732"/>
      </w:r>
      <w:r w:rsidRPr="00C3013D">
        <w:t xml:space="preserve"> actually concerns the four types of soil at the start of a ‘chapter whose leading theme is the kingdom of heaven and its reception in the world’.</w:t>
      </w:r>
      <w:r w:rsidRPr="00C3013D">
        <w:rPr>
          <w:rStyle w:val="EndnoteReference"/>
        </w:rPr>
        <w:endnoteReference w:id="3733"/>
      </w:r>
      <w:r w:rsidRPr="00C3013D">
        <w:t xml:space="preserve">  The context is the rejection experienced by Jesus and his disciples.  Davies and Allison suggest that the parable indicates that ‘the course of salvation history is not predetermined’; God does not force his people to respond to his love.  They suggest that the main theme may be the contrast between the present and future of the kingdom.  If the start of the kingdom appears unpromising, its end will be glorious and the harvest will be plentiful.  The </w:t>
      </w:r>
      <w:r w:rsidRPr="00C3013D">
        <w:rPr>
          <w:i/>
        </w:rPr>
        <w:t>NRSV</w:t>
      </w:r>
      <w:r w:rsidRPr="00C3013D">
        <w:t xml:space="preserve"> note also emphasises the contrast between the mixed conditions under which the seed is sown and the ‘astonishingly rich results’.</w:t>
      </w:r>
      <w:r w:rsidRPr="00C3013D">
        <w:rPr>
          <w:rStyle w:val="EndnoteReference"/>
        </w:rPr>
        <w:endnoteReference w:id="3734"/>
      </w:r>
      <w:r w:rsidRPr="00C3013D">
        <w:t xml:space="preserve">  </w:t>
      </w:r>
    </w:p>
    <w:p w:rsidR="008D4C6E" w:rsidRPr="00C3013D" w:rsidRDefault="008D4C6E" w:rsidP="008D4C6E">
      <w:pPr>
        <w:autoSpaceDE w:val="0"/>
        <w:autoSpaceDN w:val="0"/>
        <w:adjustRightInd w:val="0"/>
        <w:spacing w:after="120" w:line="360" w:lineRule="auto"/>
        <w:ind w:right="71" w:firstLine="540"/>
        <w:jc w:val="both"/>
      </w:pPr>
      <w:r w:rsidRPr="00C3013D">
        <w:t>In making his note on Mt. 13:11 a vehicle for a detailed exposition of his theories on mysteries,</w:t>
      </w:r>
      <w:r w:rsidRPr="00C3013D">
        <w:rPr>
          <w:rStyle w:val="EndnoteReference"/>
        </w:rPr>
        <w:endnoteReference w:id="3735"/>
      </w:r>
      <w:r w:rsidRPr="00C3013D">
        <w:t xml:space="preserve"> Scofield ignores the context, which is Jesus’ explanation of the parable of the sower and the disciples’ question about his motive in using parables.</w:t>
      </w:r>
      <w:r w:rsidRPr="00C3013D">
        <w:rPr>
          <w:rStyle w:val="EndnoteReference"/>
        </w:rPr>
        <w:endnoteReference w:id="3736"/>
      </w:r>
      <w:r w:rsidRPr="00C3013D">
        <w:t xml:space="preserve">  As Davies and Allison state, Jesus speaks of ‘the differences between those who have been given the secrets of the kingdom of heaven and those who have not’.</w:t>
      </w:r>
      <w:r w:rsidRPr="00C3013D">
        <w:rPr>
          <w:rStyle w:val="EndnoteReference"/>
        </w:rPr>
        <w:endnoteReference w:id="3737"/>
      </w:r>
      <w:r w:rsidRPr="00C3013D">
        <w:t xml:space="preserve">  Davies and Allison assert that, according to the consensus of modern scholarship, the content of mystery mentioned in Mt. 13:11</w:t>
      </w:r>
      <w:r w:rsidRPr="00C3013D">
        <w:rPr>
          <w:rStyle w:val="EndnoteReference"/>
        </w:rPr>
        <w:endnoteReference w:id="3738"/>
      </w:r>
      <w:r w:rsidRPr="00C3013D">
        <w:t xml:space="preserve"> is the presence of the kingdom in Jesus and his ministry, which is only recognised by a minority.</w:t>
      </w:r>
      <w:r w:rsidRPr="00C3013D">
        <w:rPr>
          <w:rStyle w:val="EndnoteReference"/>
        </w:rPr>
        <w:endnoteReference w:id="3739"/>
      </w:r>
      <w:r w:rsidRPr="00C3013D">
        <w:t xml:space="preserve">  The emphasis is not upon those who are deprived through lack of understanding but upon God’s gracious gift to those who do understand, since humanity is normally </w:t>
      </w:r>
      <w:r w:rsidRPr="00C3013D">
        <w:lastRenderedPageBreak/>
        <w:t>ignorant of God’s eschatological secrets.  Human sin and moral failure are to blame.  Furthermore, it was the disciples’ mission after Easter to share the proclamation they had received.</w:t>
      </w:r>
      <w:r w:rsidRPr="00C3013D">
        <w:rPr>
          <w:rStyle w:val="EndnoteReference"/>
        </w:rPr>
        <w:endnoteReference w:id="3740"/>
      </w:r>
      <w:r w:rsidRPr="00C3013D">
        <w:t xml:space="preserve">    </w:t>
      </w:r>
    </w:p>
    <w:p w:rsidR="008D4C6E" w:rsidRPr="00C3013D" w:rsidRDefault="008D4C6E" w:rsidP="008D4C6E">
      <w:pPr>
        <w:autoSpaceDE w:val="0"/>
        <w:autoSpaceDN w:val="0"/>
        <w:adjustRightInd w:val="0"/>
        <w:spacing w:after="120" w:line="360" w:lineRule="auto"/>
        <w:ind w:right="71" w:firstLine="540"/>
        <w:jc w:val="both"/>
      </w:pPr>
      <w:r w:rsidRPr="00C3013D">
        <w:t>Zondervan states that the ‘mysteries of the kingdom’ are ‘divine plans or decrees, often passed on in veiled language, known only to the elect and usually relating to the events of the end time’.  It avers that Jesus is here revealing that the kingdom of God, ‘especially as foreseen in Daniel’, has entered the world and is secretly working among human beings.</w:t>
      </w:r>
      <w:r w:rsidRPr="00C3013D">
        <w:rPr>
          <w:rStyle w:val="EndnoteReference"/>
        </w:rPr>
        <w:endnoteReference w:id="3741"/>
      </w:r>
    </w:p>
    <w:p w:rsidR="008D4C6E" w:rsidRPr="00C3013D" w:rsidRDefault="008D4C6E" w:rsidP="008D4C6E">
      <w:pPr>
        <w:autoSpaceDE w:val="0"/>
        <w:autoSpaceDN w:val="0"/>
        <w:adjustRightInd w:val="0"/>
        <w:spacing w:after="120" w:line="360" w:lineRule="auto"/>
        <w:ind w:right="71" w:firstLine="540"/>
        <w:jc w:val="both"/>
      </w:pPr>
      <w:r w:rsidRPr="00C3013D">
        <w:t>All the commentaries studied see the parable of the leaven in Mt. 13:33 as a direct parallel to the parable of the mustard seed in Mt. 31-2, even though Pamment differs from the other commentaries in her interpretation of the two parables.  Davies and Allison claim a common theme for the two parables, based upon similarities between the two introductions (vv. 31, 33) and between the two stories, each of which concerns an organic process in which someone hides something which becomes great.  Both parables indicate that the kingdom begins in a small, secretive way and grows to be great.</w:t>
      </w:r>
      <w:r w:rsidRPr="00C3013D">
        <w:rPr>
          <w:rStyle w:val="EndnoteReference"/>
        </w:rPr>
        <w:endnoteReference w:id="3742"/>
      </w:r>
      <w:r w:rsidRPr="00C3013D">
        <w:t xml:space="preserve">  Davies and Allison do acknowledge, however, that the two parables ‘probably did not belong together from the first and that they could have been spoken on very different occasions and hence for different ends’.</w:t>
      </w:r>
      <w:r w:rsidRPr="00C3013D">
        <w:rPr>
          <w:rStyle w:val="EndnoteReference"/>
        </w:rPr>
        <w:endnoteReference w:id="3743"/>
      </w:r>
      <w:r w:rsidRPr="00C3013D">
        <w:t xml:space="preserve">  </w:t>
      </w:r>
      <w:r w:rsidR="00D71A96">
        <w:t xml:space="preserve">It may be significant that </w:t>
      </w:r>
      <w:r w:rsidR="007F56E4">
        <w:t>all three synoptics mention the parable of the mustard seed but only Matthew and Luke quote the parable of the leaven as sequential to it; Mark, regarded by many scholars as the earliest Gospel,</w:t>
      </w:r>
      <w:r w:rsidR="007F56E4">
        <w:rPr>
          <w:rStyle w:val="EndnoteReference"/>
        </w:rPr>
        <w:endnoteReference w:id="3744"/>
      </w:r>
      <w:r w:rsidR="007F56E4">
        <w:t xml:space="preserve"> does not mention the parable of the leaven at all.</w:t>
      </w:r>
      <w:r w:rsidR="00D71A96">
        <w:t xml:space="preserve">  </w:t>
      </w:r>
      <w:r w:rsidRPr="00C3013D">
        <w:t>Zondervan agrees that the parable of the leaven indicates that ‘the kingdom produces ultimate consequences out of all proportion to its insignificant beginnings</w:t>
      </w:r>
      <w:r>
        <w:t>’</w:t>
      </w:r>
      <w:r w:rsidRPr="00C3013D">
        <w:t>.</w:t>
      </w:r>
      <w:r w:rsidRPr="00C3013D">
        <w:rPr>
          <w:rStyle w:val="EndnoteReference"/>
        </w:rPr>
        <w:endnoteReference w:id="3745"/>
      </w:r>
      <w:r w:rsidRPr="00C3013D">
        <w:t xml:space="preserve">  Like Scofield, the </w:t>
      </w:r>
      <w:r w:rsidRPr="00C3013D">
        <w:rPr>
          <w:i/>
        </w:rPr>
        <w:t>NIV</w:t>
      </w:r>
      <w:r w:rsidRPr="00C3013D">
        <w:t xml:space="preserve"> note explains that yeast in the Bible usually symbolises evil or uncleanness but states that ‘here … it is a symbol of growth’.  This growth may be that of the kingdom of heaven in the life of an individual or that of the kingdom itself by the work of the Holy Spirit.</w:t>
      </w:r>
      <w:r w:rsidRPr="00C3013D">
        <w:rPr>
          <w:rStyle w:val="EndnoteReference"/>
        </w:rPr>
        <w:endnoteReference w:id="3746"/>
      </w:r>
      <w:r w:rsidRPr="00C3013D">
        <w:t xml:space="preserve">  The </w:t>
      </w:r>
      <w:r w:rsidRPr="00C3013D">
        <w:rPr>
          <w:i/>
        </w:rPr>
        <w:t>NRSV</w:t>
      </w:r>
      <w:r w:rsidRPr="00C3013D">
        <w:t xml:space="preserve"> note states that this parable ‘points to the hidden but effective power of the gospel’.</w:t>
      </w:r>
      <w:r w:rsidRPr="00C3013D">
        <w:rPr>
          <w:rStyle w:val="EndnoteReference"/>
        </w:rPr>
        <w:endnoteReference w:id="3747"/>
      </w:r>
    </w:p>
    <w:p w:rsidR="008D4C6E" w:rsidRPr="00C3013D" w:rsidRDefault="008D4C6E" w:rsidP="008D4C6E">
      <w:pPr>
        <w:autoSpaceDE w:val="0"/>
        <w:autoSpaceDN w:val="0"/>
        <w:adjustRightInd w:val="0"/>
        <w:spacing w:after="120" w:line="360" w:lineRule="auto"/>
        <w:ind w:right="71" w:firstLine="540"/>
        <w:jc w:val="both"/>
      </w:pPr>
      <w:r w:rsidRPr="00C3013D">
        <w:t xml:space="preserve">Pamment denies that the parable of the mustard seed indicates that the kingdom of heaven has a present as well as a future reality, holding that the planting of the seed represents only the imminence of the kingdom and that the contrast within the parable is that between the ‘meagre response to the preaching depicted in the Gospel and a larger response in future’.  Pamment’s interpretation of the parable of the leaven supports this view.  She argues that the operative word is </w:t>
      </w:r>
      <w:r w:rsidRPr="00D9198C">
        <w:rPr>
          <w:rFonts w:ascii="Bwgrkl" w:hAnsi="Bwgrkl" w:cs="Bwgrkl"/>
          <w:lang w:bidi="he-IL"/>
        </w:rPr>
        <w:t>evne,kruyen</w:t>
      </w:r>
      <w:r w:rsidRPr="00D9198C">
        <w:rPr>
          <w:sz w:val="20"/>
        </w:rPr>
        <w:t xml:space="preserve"> </w:t>
      </w:r>
      <w:r w:rsidRPr="00C3013D">
        <w:t>– the reality of the kingdom is hidden from most people just as the leaven is hidden in the meal.</w:t>
      </w:r>
    </w:p>
    <w:p w:rsidR="008D4C6E" w:rsidRPr="004A5F86" w:rsidRDefault="008D4C6E" w:rsidP="008D4C6E">
      <w:pPr>
        <w:autoSpaceDE w:val="0"/>
        <w:autoSpaceDN w:val="0"/>
        <w:adjustRightInd w:val="0"/>
        <w:spacing w:after="120" w:line="360" w:lineRule="auto"/>
        <w:ind w:right="71" w:firstLine="540"/>
        <w:jc w:val="both"/>
      </w:pPr>
      <w:r w:rsidRPr="004A5F86">
        <w:t xml:space="preserve">For Scofield, however, the parable of the leaven has only negative connotations.  </w:t>
      </w:r>
      <w:r>
        <w:t>He</w:t>
      </w:r>
      <w:r w:rsidRPr="004A5F86">
        <w:t xml:space="preserve"> expressly repudiates interpretations which regard the parables of the mustard seed and of the leaven as parallel.  Leaven invariably symbolises evil in the New Testament as well as in the Old, and ‘a woman in the bad ethical sense always symbolises something out of place </w:t>
      </w:r>
      <w:r w:rsidRPr="004A5F86">
        <w:rPr>
          <w:i/>
        </w:rPr>
        <w:t>religiously’</w:t>
      </w:r>
      <w:r w:rsidRPr="004A5F86">
        <w:t>.</w:t>
      </w:r>
      <w:r w:rsidRPr="004A5F86">
        <w:rPr>
          <w:rStyle w:val="EndnoteReference"/>
        </w:rPr>
        <w:endnoteReference w:id="3748"/>
      </w:r>
      <w:r w:rsidRPr="004A5F86">
        <w:t xml:space="preserve">  Interestingly, Davies and Allison point out that the woman in verse 33 ‘is no more symbolic than “the man” in verse 31’.</w:t>
      </w:r>
      <w:r w:rsidRPr="004A5F86">
        <w:rPr>
          <w:rStyle w:val="EndnoteReference"/>
        </w:rPr>
        <w:endnoteReference w:id="3749"/>
      </w:r>
      <w:r w:rsidRPr="004A5F86">
        <w:t xml:space="preserve">  For Scofield, the parable constitutes a warning against the pervasive corrupt teaching which would be mingled with </w:t>
      </w:r>
      <w:r w:rsidRPr="004A5F86">
        <w:lastRenderedPageBreak/>
        <w:t>true doctrine by the apostate church, symbolised by the leaven of the Sadducees, Pharisees and Herodians.</w:t>
      </w:r>
      <w:r w:rsidRPr="004A5F86">
        <w:rPr>
          <w:rStyle w:val="EndnoteReference"/>
        </w:rPr>
        <w:endnoteReference w:id="3750"/>
      </w:r>
    </w:p>
    <w:p w:rsidR="008D4C6E" w:rsidRPr="004A5F86" w:rsidRDefault="008D4C6E" w:rsidP="008D4C6E">
      <w:pPr>
        <w:autoSpaceDE w:val="0"/>
        <w:autoSpaceDN w:val="0"/>
        <w:adjustRightInd w:val="0"/>
        <w:spacing w:after="120" w:line="360" w:lineRule="auto"/>
        <w:ind w:right="71" w:firstLine="540"/>
        <w:jc w:val="both"/>
      </w:pPr>
      <w:r w:rsidRPr="004A5F86">
        <w:t>Apart from Pamment, the commentaries studied, unlike Scofield, do not see any real differentiation between the terms ‘kingdom of heaven’ and ‘kingdom of God’.  Unlike Scofield, all the commentaries are concerned for context and the elements of exhortation and behavioural guidance which are included in the parables.  Scofield ignores any possible contemporary meaning or application.</w:t>
      </w:r>
    </w:p>
    <w:p w:rsidR="008D4C6E" w:rsidRPr="004A5F86" w:rsidRDefault="008D4C6E" w:rsidP="008D4C6E">
      <w:pPr>
        <w:autoSpaceDE w:val="0"/>
        <w:autoSpaceDN w:val="0"/>
        <w:adjustRightInd w:val="0"/>
        <w:spacing w:after="120" w:line="360" w:lineRule="auto"/>
        <w:ind w:right="71"/>
        <w:jc w:val="both"/>
        <w:rPr>
          <w:b/>
        </w:rPr>
      </w:pPr>
      <w:bookmarkStart w:id="27" w:name="TransfigMatt"/>
      <w:bookmarkEnd w:id="27"/>
      <w:r w:rsidRPr="004A5F86">
        <w:rPr>
          <w:b/>
        </w:rPr>
        <w:t>The Transfiguration in Matthew</w:t>
      </w:r>
      <w:r w:rsidRPr="004A5F86">
        <w:rPr>
          <w:rStyle w:val="EndnoteReference"/>
        </w:rPr>
        <w:endnoteReference w:id="3751"/>
      </w:r>
      <w:r w:rsidRPr="004A5F86">
        <w:rPr>
          <w:b/>
        </w:rPr>
        <w:t xml:space="preserve"> </w:t>
      </w:r>
    </w:p>
    <w:p w:rsidR="008D4C6E" w:rsidRPr="004A5F86" w:rsidRDefault="008D4C6E" w:rsidP="008D4C6E">
      <w:pPr>
        <w:autoSpaceDE w:val="0"/>
        <w:autoSpaceDN w:val="0"/>
        <w:adjustRightInd w:val="0"/>
        <w:spacing w:after="120" w:line="360" w:lineRule="auto"/>
        <w:ind w:right="71"/>
        <w:jc w:val="both"/>
      </w:pPr>
      <w:r>
        <w:t>For Scofield, the Transfiguration has important eschatological connotations.  He states that it</w:t>
      </w:r>
      <w:r w:rsidRPr="004A5F86">
        <w:t xml:space="preserve"> ‘contains in miniature all the elements of the future kingdom in manifestation’ and is symbolic of Jesus in glory and of the different futures of Israel, the raptured Church, and the nations.</w:t>
      </w:r>
      <w:r w:rsidRPr="004A5F86">
        <w:rPr>
          <w:rStyle w:val="EndnoteReference"/>
        </w:rPr>
        <w:endnoteReference w:id="3752"/>
      </w:r>
      <w:r w:rsidRPr="004A5F86">
        <w:t xml:space="preserve">  While the other commentaries studied broadly agree with Scofield’s interpretation concerning Jesus, none shares his interpretation of the significance of the Transfiguration or the other figures involved in it </w:t>
      </w:r>
      <w:r w:rsidRPr="004A5F86">
        <w:rPr>
          <w:i/>
        </w:rPr>
        <w:t>vis-à-vis</w:t>
      </w:r>
      <w:r w:rsidRPr="004A5F86">
        <w:t xml:space="preserve"> the kingdom and the future.  </w:t>
      </w:r>
    </w:p>
    <w:p w:rsidR="008D4C6E" w:rsidRPr="004A5F86" w:rsidRDefault="008D4C6E" w:rsidP="008D4C6E">
      <w:pPr>
        <w:autoSpaceDE w:val="0"/>
        <w:autoSpaceDN w:val="0"/>
        <w:adjustRightInd w:val="0"/>
        <w:spacing w:after="120" w:line="360" w:lineRule="auto"/>
        <w:ind w:right="71" w:firstLine="540"/>
        <w:jc w:val="both"/>
      </w:pPr>
      <w:r w:rsidRPr="004A5F86">
        <w:t xml:space="preserve">The </w:t>
      </w:r>
      <w:r w:rsidRPr="004A5F86">
        <w:rPr>
          <w:i/>
        </w:rPr>
        <w:t>NRSV</w:t>
      </w:r>
      <w:r w:rsidRPr="004A5F86">
        <w:t xml:space="preserve"> note relates the Transfiguration to the ‘transforming experiences of Moses and Elijah’,</w:t>
      </w:r>
      <w:r w:rsidRPr="004A5F86">
        <w:rPr>
          <w:rStyle w:val="EndnoteReference"/>
        </w:rPr>
        <w:endnoteReference w:id="3753"/>
      </w:r>
      <w:r w:rsidRPr="004A5F86">
        <w:t xml:space="preserve"> </w:t>
      </w:r>
      <w:r>
        <w:t>because</w:t>
      </w:r>
      <w:r w:rsidRPr="004A5F86">
        <w:t xml:space="preserve"> through it </w:t>
      </w:r>
      <w:r>
        <w:t xml:space="preserve">Jesus, </w:t>
      </w:r>
      <w:r w:rsidRPr="004A5F86">
        <w:t>like them</w:t>
      </w:r>
      <w:r>
        <w:t>,</w:t>
      </w:r>
      <w:r w:rsidRPr="004A5F86">
        <w:t xml:space="preserve"> receives heavenly confirmation of his role in God’s purpose for his people.</w:t>
      </w:r>
      <w:r w:rsidRPr="004A5F86">
        <w:rPr>
          <w:rStyle w:val="EndnoteReference"/>
        </w:rPr>
        <w:endnoteReference w:id="3754"/>
      </w:r>
      <w:r w:rsidRPr="004A5F86">
        <w:t xml:space="preserve">  The </w:t>
      </w:r>
      <w:r w:rsidRPr="004A5F86">
        <w:rPr>
          <w:i/>
        </w:rPr>
        <w:t>NIV</w:t>
      </w:r>
      <w:r w:rsidRPr="004A5F86">
        <w:t xml:space="preserve"> note asserts that the Transfiguration was ‘the revelation of the glory of the Son of God … hidden now but to be fully revealed when he returns’ and also a confirmation of the difficult teaching the disciples had received at Caesarea Philippi</w:t>
      </w:r>
      <w:r w:rsidRPr="004A5F86">
        <w:rPr>
          <w:rStyle w:val="EndnoteReference"/>
        </w:rPr>
        <w:endnoteReference w:id="3755"/>
      </w:r>
      <w:r w:rsidRPr="004A5F86">
        <w:t xml:space="preserve"> and an encouragement to them after that difficult teaching.</w:t>
      </w:r>
      <w:r w:rsidRPr="004A5F86">
        <w:rPr>
          <w:rStyle w:val="EndnoteReference"/>
        </w:rPr>
        <w:endnoteReference w:id="3756"/>
      </w:r>
      <w:r w:rsidRPr="004A5F86">
        <w:t xml:space="preserve">  Moses appeared as the representative of the old covenant and promise of salvation, soon to be fulfilled in Jesus’ death; Elijah appeared as the appointed restorer of all things.</w:t>
      </w:r>
      <w:r w:rsidRPr="004A5F86">
        <w:rPr>
          <w:rStyle w:val="EndnoteReference"/>
        </w:rPr>
        <w:endnoteReference w:id="3757"/>
      </w:r>
      <w:r w:rsidRPr="004A5F86">
        <w:t xml:space="preserve">  In his desire to erect three tabernacles, Peter may have wanted to erect new tents of meeting or may have been thinking of the Feast of Tabernacles but in any case wished to expedite the promised glory.  This was not appropriate because Jesus had still to complete his work on earth.</w:t>
      </w:r>
      <w:r w:rsidRPr="004A5F86">
        <w:rPr>
          <w:rStyle w:val="EndnoteReference"/>
        </w:rPr>
        <w:endnoteReference w:id="3758"/>
      </w:r>
      <w:r w:rsidRPr="004A5F86">
        <w:t xml:space="preserve">  </w:t>
      </w:r>
    </w:p>
    <w:p w:rsidR="008D4C6E" w:rsidRPr="004A5F86" w:rsidRDefault="008D4C6E" w:rsidP="008D4C6E">
      <w:pPr>
        <w:autoSpaceDE w:val="0"/>
        <w:autoSpaceDN w:val="0"/>
        <w:adjustRightInd w:val="0"/>
        <w:spacing w:after="120" w:line="360" w:lineRule="auto"/>
        <w:ind w:right="71" w:firstLine="540"/>
        <w:jc w:val="both"/>
      </w:pPr>
      <w:r w:rsidRPr="004A5F86">
        <w:t>Like Zondervan</w:t>
      </w:r>
      <w:r w:rsidRPr="004A5F86">
        <w:rPr>
          <w:rStyle w:val="EndnoteReference"/>
        </w:rPr>
        <w:endnoteReference w:id="3759"/>
      </w:r>
      <w:r w:rsidRPr="004A5F86">
        <w:t xml:space="preserve"> and Davies and Allison,</w:t>
      </w:r>
      <w:r w:rsidRPr="004A5F86">
        <w:rPr>
          <w:rStyle w:val="EndnoteReference"/>
        </w:rPr>
        <w:endnoteReference w:id="3760"/>
      </w:r>
      <w:r w:rsidRPr="004A5F86">
        <w:t xml:space="preserve"> the </w:t>
      </w:r>
      <w:r w:rsidRPr="004A5F86">
        <w:rPr>
          <w:i/>
        </w:rPr>
        <w:t>NIV</w:t>
      </w:r>
      <w:r w:rsidRPr="004A5F86">
        <w:t xml:space="preserve"> note links the words spoken by the voice from the cloud</w:t>
      </w:r>
      <w:r w:rsidRPr="004A5F86">
        <w:rPr>
          <w:rStyle w:val="EndnoteReference"/>
        </w:rPr>
        <w:endnoteReference w:id="3761"/>
      </w:r>
      <w:r w:rsidRPr="004A5F86">
        <w:t xml:space="preserve"> with those spoken at Jesus’ baptism.</w:t>
      </w:r>
      <w:r w:rsidRPr="004A5F86">
        <w:rPr>
          <w:rStyle w:val="EndnoteReference"/>
        </w:rPr>
        <w:endnoteReference w:id="3762"/>
      </w:r>
      <w:r w:rsidRPr="004A5F86">
        <w:t xml:space="preserve">  Davies and Allison add that the words concerning God’s pleasure in his Son originate in Isa. 42:1, where they refer to the suffering servant.</w:t>
      </w:r>
      <w:r w:rsidRPr="004A5F86">
        <w:rPr>
          <w:rStyle w:val="EndnoteReference"/>
        </w:rPr>
        <w:endnoteReference w:id="3763"/>
      </w:r>
      <w:r w:rsidRPr="004A5F86">
        <w:t xml:space="preserve">  Zondervan states that the words ‘listen to him’, an allusion to Deut. 18:15, which are here added to the baptism saying,</w:t>
      </w:r>
      <w:r w:rsidRPr="004A5F86">
        <w:rPr>
          <w:rStyle w:val="EndnoteReference"/>
        </w:rPr>
        <w:endnoteReference w:id="3764"/>
      </w:r>
      <w:r w:rsidRPr="004A5F86">
        <w:t xml:space="preserve"> confirm that Jesus is the ‘Prophet like Moses’, not merely another prophet of Moses’ stature, but ‘the eschatological Prophet patterned on Moses as a type’, so far outstripping Moses that people must listen to him.</w:t>
      </w:r>
      <w:r w:rsidRPr="004A5F86">
        <w:rPr>
          <w:rStyle w:val="EndnoteReference"/>
        </w:rPr>
        <w:endnoteReference w:id="3765"/>
      </w:r>
    </w:p>
    <w:p w:rsidR="008D4C6E" w:rsidRPr="004A5F86" w:rsidRDefault="008D4C6E" w:rsidP="008D4C6E">
      <w:pPr>
        <w:autoSpaceDE w:val="0"/>
        <w:autoSpaceDN w:val="0"/>
        <w:adjustRightInd w:val="0"/>
        <w:spacing w:after="120" w:line="360" w:lineRule="auto"/>
        <w:ind w:right="71" w:firstLine="540"/>
        <w:jc w:val="both"/>
      </w:pPr>
      <w:r w:rsidRPr="004A5F86">
        <w:t xml:space="preserve">Zondervan suggests that the </w:t>
      </w:r>
      <w:r w:rsidRPr="006168B3">
        <w:t>words, ‘transfigured “before them</w:t>
      </w:r>
      <w:r>
        <w:rPr>
          <w:i/>
        </w:rPr>
        <w:t>”</w:t>
      </w:r>
      <w:r w:rsidRPr="004A5F86">
        <w:t>’ indicate that the Transfiguration occurred largely for the sakes of the disciples who witnessed it.  They were ‘privileged to glimpse something of his [Jesus’] preincarnate glory’</w:t>
      </w:r>
      <w:r w:rsidRPr="004A5F86">
        <w:rPr>
          <w:rStyle w:val="EndnoteReference"/>
        </w:rPr>
        <w:endnoteReference w:id="3766"/>
      </w:r>
      <w:r w:rsidRPr="004A5F86">
        <w:t xml:space="preserve"> and ‘anticipate his coming exultation’.</w:t>
      </w:r>
      <w:r w:rsidRPr="004A5F86">
        <w:rPr>
          <w:rStyle w:val="EndnoteReference"/>
        </w:rPr>
        <w:endnoteReference w:id="3767"/>
      </w:r>
      <w:r w:rsidRPr="004A5F86">
        <w:t xml:space="preserve">  Since the Feast of Tabernacles looks back to the tabernacle in the wilderness</w:t>
      </w:r>
      <w:r w:rsidRPr="004A5F86">
        <w:rPr>
          <w:rStyle w:val="EndnoteReference"/>
        </w:rPr>
        <w:endnoteReference w:id="3768"/>
      </w:r>
      <w:r w:rsidRPr="004A5F86">
        <w:t xml:space="preserve"> and also has eschatological overtones, Peter </w:t>
      </w:r>
      <w:r w:rsidRPr="004A5F86">
        <w:lastRenderedPageBreak/>
        <w:t>may have been recognising the dawn of the Messianic Age.</w:t>
      </w:r>
      <w:r>
        <w:rPr>
          <w:rStyle w:val="EndnoteReference"/>
        </w:rPr>
        <w:endnoteReference w:id="3769"/>
      </w:r>
      <w:r w:rsidRPr="004A5F86">
        <w:t xml:space="preserve">  Davies and Allison suggest that, since the Transfiguration account immediately follows a </w:t>
      </w:r>
      <w:r w:rsidRPr="004A5F86">
        <w:rPr>
          <w:i/>
        </w:rPr>
        <w:t>parousia</w:t>
      </w:r>
      <w:r w:rsidRPr="004A5F86">
        <w:t xml:space="preserve"> prediction</w:t>
      </w:r>
      <w:r w:rsidRPr="004A5F86">
        <w:rPr>
          <w:rStyle w:val="EndnoteReference"/>
        </w:rPr>
        <w:endnoteReference w:id="3770"/>
      </w:r>
      <w:r w:rsidRPr="004A5F86">
        <w:t xml:space="preserve"> and since early Christians believed it was their destiny to share in Jesus’ resurrection glory, this account may have been intended to ‘portray the eschatological glory of both the Messiah and his followers.  The narrative provides a glimpse of what eschatological resurrection will mean.’</w:t>
      </w:r>
      <w:r w:rsidRPr="004A5F86">
        <w:rPr>
          <w:rStyle w:val="EndnoteReference"/>
        </w:rPr>
        <w:endnoteReference w:id="3771"/>
      </w:r>
      <w:r w:rsidRPr="004A5F86">
        <w:t xml:space="preserve">  The </w:t>
      </w:r>
      <w:r w:rsidRPr="004A5F86">
        <w:rPr>
          <w:i/>
        </w:rPr>
        <w:t>parousia</w:t>
      </w:r>
      <w:r w:rsidRPr="004A5F86">
        <w:t xml:space="preserve"> has been foretold;</w:t>
      </w:r>
      <w:r w:rsidRPr="004A5F86">
        <w:rPr>
          <w:rStyle w:val="EndnoteReference"/>
        </w:rPr>
        <w:endnoteReference w:id="3772"/>
      </w:r>
      <w:r w:rsidRPr="004A5F86">
        <w:t xml:space="preserve"> now resurrection hope is verified for believers.</w:t>
      </w:r>
      <w:r w:rsidRPr="004A5F86">
        <w:rPr>
          <w:rStyle w:val="EndnoteReference"/>
        </w:rPr>
        <w:endnoteReference w:id="3773"/>
      </w:r>
    </w:p>
    <w:p w:rsidR="008D4C6E" w:rsidRPr="004A5F86" w:rsidRDefault="008D4C6E" w:rsidP="008D4C6E">
      <w:pPr>
        <w:autoSpaceDE w:val="0"/>
        <w:autoSpaceDN w:val="0"/>
        <w:adjustRightInd w:val="0"/>
        <w:spacing w:after="120" w:line="360" w:lineRule="auto"/>
        <w:ind w:right="71" w:firstLine="540"/>
        <w:jc w:val="both"/>
      </w:pPr>
      <w:r w:rsidRPr="004A5F86">
        <w:t>Davies and Allison hold that the major epiphany theme in Matthew would seem to be Jesus’ status as a new Moses and that Exodus 24 and 35 are important influences.</w:t>
      </w:r>
      <w:r w:rsidRPr="004A5F86">
        <w:rPr>
          <w:rStyle w:val="EndnoteReference"/>
        </w:rPr>
        <w:endnoteReference w:id="3774"/>
      </w:r>
      <w:r w:rsidRPr="004A5F86">
        <w:t xml:space="preserve">  They note that whereas Mark lists Elijah first in the appearances,</w:t>
      </w:r>
      <w:r w:rsidRPr="004A5F86">
        <w:rPr>
          <w:rStyle w:val="EndnoteReference"/>
        </w:rPr>
        <w:endnoteReference w:id="3775"/>
      </w:r>
      <w:r w:rsidRPr="004A5F86">
        <w:t xml:space="preserve"> Matthew puts him second to Moses.  They regard this as significant because no priority is given to Elijah, who is associated with John the Baptist.</w:t>
      </w:r>
      <w:r w:rsidRPr="004A5F86">
        <w:rPr>
          <w:rStyle w:val="EndnoteReference"/>
        </w:rPr>
        <w:endnoteReference w:id="3776"/>
      </w:r>
      <w:r w:rsidRPr="004A5F86">
        <w:t xml:space="preserve">  They list similarities between the Transfiguration and Moses’ Sinai experience: the high mountain,</w:t>
      </w:r>
      <w:r w:rsidRPr="004A5F86">
        <w:rPr>
          <w:rStyle w:val="EndnoteReference"/>
        </w:rPr>
        <w:endnoteReference w:id="3777"/>
      </w:r>
      <w:r w:rsidRPr="004A5F86">
        <w:t xml:space="preserve"> the cloud,</w:t>
      </w:r>
      <w:r w:rsidRPr="004A5F86">
        <w:rPr>
          <w:rStyle w:val="EndnoteReference"/>
        </w:rPr>
        <w:endnoteReference w:id="3778"/>
      </w:r>
      <w:r w:rsidRPr="004A5F86">
        <w:t xml:space="preserve"> the voice from the cloud,</w:t>
      </w:r>
      <w:r w:rsidRPr="004A5F86">
        <w:rPr>
          <w:rStyle w:val="EndnoteReference"/>
        </w:rPr>
        <w:endnoteReference w:id="3779"/>
      </w:r>
      <w:r w:rsidRPr="004A5F86">
        <w:t xml:space="preserve"> fearful witnesses,</w:t>
      </w:r>
      <w:r w:rsidRPr="004A5F86">
        <w:rPr>
          <w:rStyle w:val="EndnoteReference"/>
        </w:rPr>
        <w:endnoteReference w:id="3780"/>
      </w:r>
      <w:r w:rsidRPr="004A5F86">
        <w:t xml:space="preserve"> and event taking place after six days</w:t>
      </w:r>
      <w:r w:rsidRPr="004A5F86">
        <w:rPr>
          <w:rStyle w:val="EndnoteReference"/>
        </w:rPr>
        <w:endnoteReference w:id="3781"/>
      </w:r>
      <w:r w:rsidRPr="004A5F86">
        <w:t xml:space="preserve"> and the mention of a select group of three people.</w:t>
      </w:r>
      <w:r w:rsidRPr="004A5F86">
        <w:rPr>
          <w:rStyle w:val="EndnoteReference"/>
        </w:rPr>
        <w:endnoteReference w:id="3782"/>
      </w:r>
      <w:r w:rsidRPr="004A5F86">
        <w:t xml:space="preserve"> </w:t>
      </w:r>
      <w:r w:rsidRPr="004A5F86">
        <w:rPr>
          <w:rStyle w:val="EndnoteReference"/>
        </w:rPr>
        <w:endnoteReference w:id="3783"/>
      </w:r>
      <w:r w:rsidRPr="004A5F86">
        <w:t xml:space="preserve">  At the same time, the fact that Jesus takes Moses’ place and supersedes him is emphasised in Matthew by the words, ‘my beloved Son’</w:t>
      </w:r>
      <w:r w:rsidRPr="004A5F86">
        <w:rPr>
          <w:rStyle w:val="EndnoteReference"/>
        </w:rPr>
        <w:endnoteReference w:id="3784"/>
      </w:r>
      <w:r w:rsidRPr="004A5F86">
        <w:t xml:space="preserve"> and by the use of the emphatic pronoun, ‘</w:t>
      </w:r>
      <w:r w:rsidRPr="00DB1244">
        <w:rPr>
          <w:rFonts w:ascii="Bwgrkl" w:hAnsi="Bwgrkl" w:cs="Bwgrkl"/>
          <w:lang w:bidi="he-IL"/>
        </w:rPr>
        <w:t>auvto.n</w:t>
      </w:r>
      <w:r w:rsidRPr="004A5F86">
        <w:t xml:space="preserve">’ in Mt. 17:8, where Elijah and Moses disappear, leaving Jesus himself, ‘alone’.  ‘The eschatological prophet, the one like Moses and Elijah, has appeared and the light of the resurrection and </w:t>
      </w:r>
      <w:r w:rsidRPr="004A5F86">
        <w:rPr>
          <w:i/>
        </w:rPr>
        <w:t>parousia</w:t>
      </w:r>
      <w:r w:rsidRPr="004A5F86">
        <w:t xml:space="preserve"> has already shone forth.  Israel’s primal history is being recapitulated by her Messiah, God’s Son, the eschatological embodiment of true Israel.’</w:t>
      </w:r>
      <w:r w:rsidRPr="004A5F86">
        <w:rPr>
          <w:rStyle w:val="EndnoteReference"/>
        </w:rPr>
        <w:endnoteReference w:id="3785"/>
      </w:r>
    </w:p>
    <w:p w:rsidR="00D90FE2" w:rsidRDefault="008D4C6E" w:rsidP="00AA6EEC">
      <w:pPr>
        <w:autoSpaceDE w:val="0"/>
        <w:autoSpaceDN w:val="0"/>
        <w:adjustRightInd w:val="0"/>
        <w:spacing w:line="360" w:lineRule="auto"/>
        <w:ind w:right="74" w:firstLine="539"/>
        <w:jc w:val="both"/>
      </w:pPr>
      <w:r w:rsidRPr="004A5F86">
        <w:t xml:space="preserve">Davies and Allison and the </w:t>
      </w:r>
      <w:r w:rsidRPr="004A5F86">
        <w:rPr>
          <w:i/>
        </w:rPr>
        <w:t>NIV</w:t>
      </w:r>
      <w:r w:rsidRPr="004A5F86">
        <w:t xml:space="preserve"> and Zondervan commentaries take seriously the contemporary implications of the narration concerning the two Old Testament figures.  They are concerned to see the significance of the Transfiguration within its first century setting but also as it reflected the past in Old Testament texts.  Scofield makes these figures mere hastily-drawn ciphers serving his own theology.  As within his notes on earlier verses in Matthew, he fails to comment upon important links with other parts of the Bible, for instance the links between the Transfiguration and Baptism voices and links with the Old Testament, especially Exodus, Deuteronomy, 1 Kings and Isaiah.</w:t>
      </w:r>
      <w:r w:rsidR="00D90FE2" w:rsidRPr="004A5F86">
        <w:t xml:space="preserve"> </w:t>
      </w:r>
    </w:p>
    <w:p w:rsidR="00A1363A" w:rsidRPr="00A1363A" w:rsidRDefault="00A1363A" w:rsidP="00A1363A">
      <w:pPr>
        <w:rPr>
          <w:b/>
        </w:rPr>
      </w:pPr>
      <w:r w:rsidRPr="00A1363A">
        <w:rPr>
          <w:b/>
        </w:rPr>
        <w:t xml:space="preserve">Conclusion Concerning the Kingdom in </w:t>
      </w:r>
      <w:r w:rsidRPr="00A1363A">
        <w:rPr>
          <w:b/>
          <w:i/>
        </w:rPr>
        <w:t>SRB</w:t>
      </w:r>
      <w:r w:rsidRPr="00A1363A">
        <w:rPr>
          <w:b/>
        </w:rPr>
        <w:t xml:space="preserve"> notes on Matthew</w:t>
      </w:r>
    </w:p>
    <w:p w:rsidR="00A1363A" w:rsidRDefault="00A1363A" w:rsidP="00A1363A">
      <w:pPr>
        <w:autoSpaceDE w:val="0"/>
        <w:autoSpaceDN w:val="0"/>
        <w:adjustRightInd w:val="0"/>
        <w:spacing w:after="120" w:line="360" w:lineRule="auto"/>
        <w:ind w:right="71"/>
        <w:sectPr w:rsidR="00A1363A" w:rsidSect="00F1470F">
          <w:headerReference w:type="default" r:id="rId234"/>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pPr>
      <w:r>
        <w:t xml:space="preserve">As with his notes on Zech. 12:8 and 1 Cor. 15:24, Scofield displays a limited view of Matthew which is confined to the promotion of his view of the kingdom of heaven.  He largely ignores the context and actual content of the passages in Matthew 3 and 4.  He neglects to place Mt. 3:2 within the ministry of John the Baptist and to link Jesus’ injunction to repentance in Mt. 4:17 with John’s identical injunction in Mt. 3:2.  Unusually, he also misses some important intertestamental links between John and Elijah and, in his interpretation of the transfiguration, between Moses, Elijah and Jesus.  Scofield is unusual in his insistence that the kingdoms of heaven and of God are separate entities and in his conviction that leaven represents evil even in one of Jesus’ parables.  This interpretation of leaven stems from Scofield’s belief that the kingdom of heaven in its present ‘mystery form’ contains both good and evil.  Scofield shows a </w:t>
      </w:r>
      <w:r>
        <w:lastRenderedPageBreak/>
        <w:t>particularly limited view in his interpretation of the transfiguration; he confines this to a futuristic representation of elements in the eschatological kingdom and misses important links between Jesus and the past and between God’s declarations concerning his Son in Mt. 3:17 and 17:5.  In annotation of all these passages, the other commentaries display a much more comprehensive view.</w:t>
      </w:r>
    </w:p>
    <w:p w:rsidR="003D0877" w:rsidRDefault="003D0877" w:rsidP="00D90FE2">
      <w:pPr>
        <w:autoSpaceDE w:val="0"/>
        <w:autoSpaceDN w:val="0"/>
        <w:adjustRightInd w:val="0"/>
        <w:spacing w:after="120" w:line="360" w:lineRule="auto"/>
        <w:ind w:right="71"/>
        <w:jc w:val="center"/>
        <w:rPr>
          <w:b/>
          <w:sz w:val="28"/>
          <w:szCs w:val="28"/>
        </w:rPr>
      </w:pPr>
      <w:bookmarkStart w:id="28" w:name="CaseStudy1Cor"/>
      <w:bookmarkEnd w:id="28"/>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Pr="00715F13" w:rsidRDefault="00715F13" w:rsidP="00D90FE2">
      <w:pPr>
        <w:autoSpaceDE w:val="0"/>
        <w:autoSpaceDN w:val="0"/>
        <w:adjustRightInd w:val="0"/>
        <w:spacing w:after="120" w:line="360" w:lineRule="auto"/>
        <w:ind w:right="71"/>
        <w:jc w:val="center"/>
        <w:rPr>
          <w:szCs w:val="28"/>
        </w:rPr>
      </w:pPr>
      <w:r w:rsidRPr="00715F13">
        <w:rPr>
          <w:szCs w:val="28"/>
        </w:rPr>
        <w:t>Page intentionally left blank</w:t>
      </w: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3D0877" w:rsidRDefault="003D0877" w:rsidP="00D90FE2">
      <w:pPr>
        <w:autoSpaceDE w:val="0"/>
        <w:autoSpaceDN w:val="0"/>
        <w:adjustRightInd w:val="0"/>
        <w:spacing w:after="120" w:line="360" w:lineRule="auto"/>
        <w:ind w:right="71"/>
        <w:jc w:val="center"/>
        <w:rPr>
          <w:b/>
          <w:sz w:val="28"/>
          <w:szCs w:val="28"/>
        </w:rPr>
      </w:pPr>
    </w:p>
    <w:p w:rsidR="00D90FE2" w:rsidRPr="007D551D" w:rsidRDefault="00D90FE2" w:rsidP="00D90FE2">
      <w:pPr>
        <w:autoSpaceDE w:val="0"/>
        <w:autoSpaceDN w:val="0"/>
        <w:adjustRightInd w:val="0"/>
        <w:spacing w:after="120" w:line="360" w:lineRule="auto"/>
        <w:ind w:right="71"/>
        <w:jc w:val="center"/>
        <w:rPr>
          <w:b/>
          <w:sz w:val="28"/>
          <w:szCs w:val="28"/>
        </w:rPr>
      </w:pPr>
      <w:r w:rsidRPr="007D551D">
        <w:rPr>
          <w:b/>
          <w:sz w:val="28"/>
          <w:szCs w:val="28"/>
        </w:rPr>
        <w:lastRenderedPageBreak/>
        <w:t xml:space="preserve">CASE STUDIES: </w:t>
      </w:r>
    </w:p>
    <w:p w:rsidR="00D90FE2" w:rsidRPr="009B2FE4" w:rsidRDefault="00D90FE2" w:rsidP="00D90FE2">
      <w:pPr>
        <w:autoSpaceDE w:val="0"/>
        <w:autoSpaceDN w:val="0"/>
        <w:adjustRightInd w:val="0"/>
        <w:spacing w:line="360" w:lineRule="auto"/>
        <w:ind w:right="74" w:firstLine="539"/>
        <w:jc w:val="center"/>
        <w:rPr>
          <w:b/>
          <w:sz w:val="28"/>
          <w:szCs w:val="28"/>
        </w:rPr>
      </w:pPr>
      <w:r w:rsidRPr="009B2FE4">
        <w:rPr>
          <w:b/>
          <w:i/>
          <w:sz w:val="28"/>
          <w:szCs w:val="28"/>
        </w:rPr>
        <w:t xml:space="preserve">Some Scholarly Interpretations of Key Texts Used by Scofield </w:t>
      </w:r>
      <w:r>
        <w:rPr>
          <w:b/>
          <w:i/>
          <w:sz w:val="28"/>
          <w:szCs w:val="28"/>
        </w:rPr>
        <w:t>Concerning The Kingdom</w:t>
      </w:r>
    </w:p>
    <w:p w:rsidR="00D90FE2" w:rsidRPr="007D551D" w:rsidRDefault="00D90FE2" w:rsidP="00D90FE2">
      <w:pPr>
        <w:autoSpaceDE w:val="0"/>
        <w:autoSpaceDN w:val="0"/>
        <w:adjustRightInd w:val="0"/>
        <w:spacing w:after="120" w:line="360" w:lineRule="auto"/>
        <w:ind w:right="71"/>
        <w:jc w:val="center"/>
        <w:rPr>
          <w:b/>
          <w:sz w:val="28"/>
          <w:szCs w:val="28"/>
        </w:rPr>
      </w:pPr>
      <w:r w:rsidRPr="007D551D">
        <w:rPr>
          <w:b/>
          <w:sz w:val="28"/>
          <w:szCs w:val="28"/>
        </w:rPr>
        <w:t>3  1 Corinthians 15:24</w:t>
      </w:r>
    </w:p>
    <w:p w:rsidR="00D90FE2" w:rsidRPr="004A5F86" w:rsidRDefault="00D90FE2" w:rsidP="00D90FE2">
      <w:pPr>
        <w:autoSpaceDE w:val="0"/>
        <w:autoSpaceDN w:val="0"/>
        <w:adjustRightInd w:val="0"/>
        <w:spacing w:after="120" w:line="360" w:lineRule="auto"/>
        <w:ind w:right="71"/>
        <w:jc w:val="both"/>
      </w:pPr>
      <w:r w:rsidRPr="0015767D">
        <w:rPr>
          <w:spacing w:val="-2"/>
        </w:rPr>
        <w:t>Scofield annotates only four verses in 1 Corinthians 15: verses 8, 22, 24 and 52.  His note on 1 Co</w:t>
      </w:r>
      <w:r w:rsidRPr="004A5F86">
        <w:t>r. 15:24 concentrates on the single word, ‘kingdom’.  Scofield is not concerned with attempting to explicate Paul’s meaning or with contextualising the verse, but only with propounding his own interpretation of this isolated word.  According to Scofield, the kingdom is Davidic</w:t>
      </w:r>
      <w:r>
        <w:t xml:space="preserve">. </w:t>
      </w:r>
      <w:r w:rsidRPr="004A5F86">
        <w:t xml:space="preserve"> </w:t>
      </w:r>
      <w:r>
        <w:t>I</w:t>
      </w:r>
      <w:r w:rsidRPr="004A5F86">
        <w:t xml:space="preserve">t is ‘at hand’ but was rejected by the </w:t>
      </w:r>
      <w:r>
        <w:t xml:space="preserve">Jews. </w:t>
      </w:r>
      <w:r w:rsidRPr="004A5F86">
        <w:t xml:space="preserve"> </w:t>
      </w:r>
      <w:r>
        <w:t>I</w:t>
      </w:r>
      <w:r w:rsidRPr="004A5F86">
        <w:t>t is currently being fulfilled as a mystery simultaneously with the Church</w:t>
      </w:r>
      <w:r>
        <w:t xml:space="preserve">. </w:t>
      </w:r>
      <w:r w:rsidRPr="004A5F86">
        <w:t xml:space="preserve"> </w:t>
      </w:r>
      <w:r>
        <w:t>I</w:t>
      </w:r>
      <w:r w:rsidRPr="004A5F86">
        <w:t>ts mystery stage will end at the return of the king of glory, the Church having previously been caught up to meet him in the air</w:t>
      </w:r>
      <w:r>
        <w:t xml:space="preserve">. </w:t>
      </w:r>
      <w:r w:rsidRPr="004A5F86">
        <w:t xml:space="preserve"> </w:t>
      </w:r>
      <w:r>
        <w:t>I</w:t>
      </w:r>
      <w:r w:rsidRPr="004A5F86">
        <w:t>t will last for a thousand years throughout the earth with Israel regathered</w:t>
      </w:r>
      <w:r>
        <w:t xml:space="preserve">. </w:t>
      </w:r>
      <w:r w:rsidRPr="004A5F86">
        <w:t xml:space="preserve"> </w:t>
      </w:r>
      <w:r>
        <w:t>I</w:t>
      </w:r>
      <w:r w:rsidRPr="004A5F86">
        <w:t xml:space="preserve">t will constitute the re-establishment of divine authority on earth and it will be delivered up to the Father by the Son so that the triune God may be all in all.  It constitutes the seventh and final dispensation.  </w:t>
      </w:r>
    </w:p>
    <w:p w:rsidR="00D90FE2" w:rsidRPr="004A5F86" w:rsidRDefault="00D90FE2" w:rsidP="00D90FE2">
      <w:pPr>
        <w:autoSpaceDE w:val="0"/>
        <w:autoSpaceDN w:val="0"/>
        <w:adjustRightInd w:val="0"/>
        <w:spacing w:after="120" w:line="360" w:lineRule="auto"/>
        <w:ind w:right="71" w:firstLine="540"/>
        <w:jc w:val="both"/>
      </w:pPr>
      <w:r>
        <w:t>Commentaries on 1 Corinthians by Archibald Robertson and Alfred Plummer, Gordon Fee, Antony Thiselton, Joseph Plevnik and Wilber Wallis were studied.</w:t>
      </w:r>
      <w:r w:rsidRPr="004A5F86">
        <w:rPr>
          <w:rStyle w:val="EndnoteReference"/>
        </w:rPr>
        <w:endnoteReference w:id="3786"/>
      </w:r>
      <w:r w:rsidRPr="004A5F86">
        <w:t xml:space="preserve"> </w:t>
      </w:r>
      <w:r>
        <w:t xml:space="preserve"> Of these, </w:t>
      </w:r>
      <w:r w:rsidRPr="004A5F86">
        <w:t>only Wallis suggests that 1 Corinthians 15:20-28 allows for the possibility of a millennial kingdom.  Only he and Plevnik give any significant consideration to this and Plevnik comes to the opposite conclusion to Wallis.  None of the commentaries associates the kingdom with David or Israel, and none posits an earthly character for it.  None mentions any association with a dispensation.</w:t>
      </w:r>
    </w:p>
    <w:p w:rsidR="00D90FE2" w:rsidRPr="004A5F86" w:rsidRDefault="00D90FE2" w:rsidP="00D90FE2">
      <w:pPr>
        <w:autoSpaceDE w:val="0"/>
        <w:autoSpaceDN w:val="0"/>
        <w:adjustRightInd w:val="0"/>
        <w:spacing w:after="120" w:line="360" w:lineRule="auto"/>
        <w:ind w:right="71" w:firstLine="540"/>
        <w:jc w:val="both"/>
      </w:pPr>
      <w:r w:rsidRPr="004A5F86">
        <w:t>Like Plevnik, Robertson and Plummer</w:t>
      </w:r>
      <w:r>
        <w:t>;</w:t>
      </w:r>
      <w:r w:rsidRPr="004A5F86">
        <w:rPr>
          <w:rStyle w:val="EndnoteReference"/>
        </w:rPr>
        <w:endnoteReference w:id="3787"/>
      </w:r>
      <w:r w:rsidRPr="004A5F86">
        <w:t xml:space="preserve"> Fee</w:t>
      </w:r>
      <w:r w:rsidRPr="004A5F86">
        <w:rPr>
          <w:rStyle w:val="EndnoteReference"/>
        </w:rPr>
        <w:endnoteReference w:id="3788"/>
      </w:r>
      <w:r w:rsidRPr="004A5F86">
        <w:t xml:space="preserve"> and Thiselton</w:t>
      </w:r>
      <w:r w:rsidRPr="004A5F86">
        <w:rPr>
          <w:rStyle w:val="EndnoteReference"/>
        </w:rPr>
        <w:endnoteReference w:id="3789"/>
      </w:r>
      <w:r w:rsidRPr="004A5F86">
        <w:t xml:space="preserve"> place 1 Cor. 15:24 within its context in the chapter and in the letter as a whole, and analyse it and the surrounding verses comprehensively.  They agree with Plevnik that the subject of 1 Corinthians 15 is resurrection.</w:t>
      </w:r>
      <w:r w:rsidRPr="004A5F86">
        <w:rPr>
          <w:rStyle w:val="EndnoteReference"/>
        </w:rPr>
        <w:endnoteReference w:id="3790"/>
      </w:r>
      <w:r w:rsidRPr="004A5F86">
        <w:t xml:space="preserve">  </w:t>
      </w:r>
    </w:p>
    <w:p w:rsidR="00D90FE2" w:rsidRPr="004A5F86" w:rsidRDefault="00D90FE2" w:rsidP="00D90FE2">
      <w:pPr>
        <w:autoSpaceDE w:val="0"/>
        <w:autoSpaceDN w:val="0"/>
        <w:adjustRightInd w:val="0"/>
        <w:spacing w:after="120" w:line="360" w:lineRule="auto"/>
        <w:ind w:right="71" w:firstLine="540"/>
        <w:jc w:val="both"/>
      </w:pPr>
      <w:r w:rsidRPr="004A5F86">
        <w:t>Both Fee and Thiselton see the main subject of 1 Corinthians 15 as being Paul’s attempt to disabuse some Corinthian believers of their doubts that their own bodily resurrection would follow consequentially upon that of Christ.  Both focus on Paul’s argument to this effect in 1 Cor. 15:20-28.</w:t>
      </w:r>
      <w:r w:rsidRPr="004A5F86">
        <w:rPr>
          <w:rStyle w:val="EndnoteReference"/>
        </w:rPr>
        <w:endnoteReference w:id="3791"/>
      </w:r>
      <w:r w:rsidRPr="004A5F86">
        <w:t xml:space="preserve">  Fee notes that Paul ‘expected it [the letter] to be read in context of his argument with them [the Corinthians], not as a piece </w:t>
      </w:r>
      <w:r w:rsidRPr="0015767D">
        <w:rPr>
          <w:spacing w:val="-2"/>
        </w:rPr>
        <w:t>of abstract theology’.</w:t>
      </w:r>
      <w:r w:rsidRPr="0015767D">
        <w:rPr>
          <w:rStyle w:val="EndnoteReference"/>
          <w:spacing w:val="-2"/>
        </w:rPr>
        <w:endnoteReference w:id="3792"/>
      </w:r>
      <w:r w:rsidRPr="0015767D">
        <w:rPr>
          <w:spacing w:val="-2"/>
        </w:rPr>
        <w:t xml:space="preserve">  He summarises, ‘Given that you believed in the resurrection of Christ (vv. 1-2, 11</w:t>
      </w:r>
      <w:r w:rsidRPr="004A5F86">
        <w:t>), how is it that some of you are denying the future bodily resurrection of believers?’</w:t>
      </w:r>
      <w:r w:rsidRPr="004A5F86">
        <w:rPr>
          <w:rStyle w:val="EndnoteReference"/>
        </w:rPr>
        <w:endnoteReference w:id="3793"/>
      </w:r>
      <w:r w:rsidRPr="004A5F86">
        <w:t xml:space="preserve">  Thiselton states that </w:t>
      </w:r>
      <w:r w:rsidRPr="0015767D">
        <w:rPr>
          <w:rFonts w:ascii="Bwgrkl" w:hAnsi="Bwgrkl" w:cs="Bwgrkl"/>
          <w:lang w:bidi="he-IL"/>
        </w:rPr>
        <w:t>Nuni. de</w:t>
      </w:r>
      <w:r w:rsidRPr="00DB1244">
        <w:rPr>
          <w:rFonts w:ascii="Bwgrkl" w:hAnsi="Bwgrkl" w:cs="Bwgrkl"/>
          <w:lang w:bidi="he-IL"/>
        </w:rPr>
        <w:t>.</w:t>
      </w:r>
      <w:r w:rsidRPr="00DB1244">
        <w:t xml:space="preserve"> </w:t>
      </w:r>
      <w:r w:rsidRPr="004A5F86">
        <w:t>at the beginning of 1 Cor. 15:20, has the sense of introducing a real situation after the statement of a false one and may hence be translated as ‘in reality, however …’.</w:t>
      </w:r>
      <w:r w:rsidRPr="004A5F86">
        <w:rPr>
          <w:rStyle w:val="EndnoteReference"/>
        </w:rPr>
        <w:endnoteReference w:id="3794"/>
      </w:r>
      <w:r w:rsidRPr="004A5F86">
        <w:t xml:space="preserve">  Verses 20-28 reveal the divine purposive order: verses 20-25 give assurance that the resurrection of believers will follow that of Christ </w:t>
      </w:r>
      <w:r w:rsidRPr="004A5F86">
        <w:lastRenderedPageBreak/>
        <w:t>but also ‘prepare the way for vv. 26-8, which is about God and God’s purposes, as is this whole chapter’.</w:t>
      </w:r>
      <w:r w:rsidRPr="004A5F86">
        <w:rPr>
          <w:rStyle w:val="EndnoteReference"/>
        </w:rPr>
        <w:endnoteReference w:id="3795"/>
      </w:r>
    </w:p>
    <w:p w:rsidR="00D90FE2" w:rsidRPr="004A5F86" w:rsidRDefault="00D90FE2" w:rsidP="00D90FE2">
      <w:pPr>
        <w:autoSpaceDE w:val="0"/>
        <w:autoSpaceDN w:val="0"/>
        <w:adjustRightInd w:val="0"/>
        <w:spacing w:after="120" w:line="360" w:lineRule="auto"/>
        <w:ind w:right="71" w:firstLine="540"/>
        <w:jc w:val="both"/>
      </w:pPr>
      <w:r w:rsidRPr="004A5F86">
        <w:t>Fee states that, for Paul, Christ’s resurrection was the key to everything</w:t>
      </w:r>
      <w:r w:rsidRPr="004A5F86">
        <w:rPr>
          <w:rStyle w:val="EndnoteReference"/>
        </w:rPr>
        <w:endnoteReference w:id="3796"/>
      </w:r>
      <w:r w:rsidRPr="004A5F86">
        <w:t xml:space="preserve"> and the ultimate eschatological event.</w:t>
      </w:r>
      <w:r w:rsidRPr="004A5F86">
        <w:rPr>
          <w:rStyle w:val="EndnoteReference"/>
        </w:rPr>
        <w:endnoteReference w:id="3797"/>
      </w:r>
      <w:r w:rsidRPr="004A5F86">
        <w:t xml:space="preserve">  Through Christ’s death and resurrection and by sending the Spirit, God had inaugurated the events of the End, which must of divine necessity be consummated, so the resurrection of believers was guaranteed.</w:t>
      </w:r>
      <w:r w:rsidRPr="004A5F86">
        <w:rPr>
          <w:rStyle w:val="EndnoteReference"/>
        </w:rPr>
        <w:endnoteReference w:id="3798"/>
      </w:r>
      <w:r w:rsidRPr="004A5F86">
        <w:t xml:space="preserve">  God’s ‘two irreversibles’ are set out in 1 Corinthians 15: the resurrection of all believers (vv. 20-22) and the destruction of death itself (vv. 23-28).</w:t>
      </w:r>
      <w:r w:rsidRPr="004A5F86">
        <w:rPr>
          <w:rStyle w:val="EndnoteReference"/>
        </w:rPr>
        <w:endnoteReference w:id="3799"/>
      </w:r>
      <w:r w:rsidRPr="004A5F86">
        <w:t xml:space="preserve">  Plevnik holds that these two events will occur simultaneously.</w:t>
      </w:r>
      <w:r w:rsidRPr="004A5F86">
        <w:rPr>
          <w:rStyle w:val="EndnoteReference"/>
        </w:rPr>
        <w:endnoteReference w:id="3800"/>
      </w:r>
      <w:r w:rsidRPr="004A5F86">
        <w:t xml:space="preserve">  </w:t>
      </w:r>
    </w:p>
    <w:p w:rsidR="00D90FE2" w:rsidRPr="004A5F86" w:rsidRDefault="00D90FE2" w:rsidP="00D90FE2">
      <w:pPr>
        <w:autoSpaceDE w:val="0"/>
        <w:autoSpaceDN w:val="0"/>
        <w:adjustRightInd w:val="0"/>
        <w:spacing w:after="120" w:line="360" w:lineRule="auto"/>
        <w:ind w:right="71" w:firstLine="540"/>
        <w:jc w:val="both"/>
      </w:pPr>
      <w:r w:rsidRPr="004A5F86">
        <w:t>Taking a contextual approach, Plevnik states that 1 Cor. 15:20-22 affirms that Christ’s resurrection has a universal effect, while vv. 23-28 show the sequence in the implementation of the resurrection: Christ the firstfruits, then, at his coming, those who belong to him.</w:t>
      </w:r>
      <w:r w:rsidRPr="004A5F86">
        <w:rPr>
          <w:rStyle w:val="EndnoteReference"/>
        </w:rPr>
        <w:endnoteReference w:id="3801"/>
      </w:r>
      <w:r w:rsidRPr="004A5F86">
        <w:t xml:space="preserve">  Both Thiselton and Fee emphasise the importance of the concept of firstfruits as prior to and as the guarantee of the full harvest.</w:t>
      </w:r>
      <w:r w:rsidRPr="004A5F86">
        <w:rPr>
          <w:rStyle w:val="EndnoteReference"/>
        </w:rPr>
        <w:endnoteReference w:id="3802"/>
      </w:r>
      <w:r w:rsidRPr="004A5F86">
        <w:t xml:space="preserve">  Thiselton states that the adverb</w:t>
      </w:r>
      <w:r w:rsidRPr="00DB1244">
        <w:t xml:space="preserve"> </w:t>
      </w:r>
      <w:r w:rsidRPr="00781DDA">
        <w:rPr>
          <w:rFonts w:ascii="Bwgrkl" w:hAnsi="Bwgrkl" w:cs="Bwgrkl"/>
          <w:lang w:bidi="he-IL"/>
        </w:rPr>
        <w:t>e;peita</w:t>
      </w:r>
      <w:r w:rsidRPr="004A5F86">
        <w:t>, (then or thereupon, v. 23), indicates a firmly marked sequence, and notes the tenses used: because Christ, the firstfruits, has been raised (perfect), the full harvest of believers will be raised (future).</w:t>
      </w:r>
      <w:r w:rsidRPr="004A5F86">
        <w:rPr>
          <w:rStyle w:val="EndnoteReference"/>
        </w:rPr>
        <w:endnoteReference w:id="3803"/>
      </w:r>
      <w:r w:rsidRPr="004A5F86">
        <w:t xml:space="preserve">  </w:t>
      </w:r>
    </w:p>
    <w:p w:rsidR="00D90FE2" w:rsidRDefault="00D90FE2" w:rsidP="00D90FE2">
      <w:pPr>
        <w:autoSpaceDE w:val="0"/>
        <w:autoSpaceDN w:val="0"/>
        <w:adjustRightInd w:val="0"/>
        <w:spacing w:after="120" w:line="360" w:lineRule="auto"/>
        <w:ind w:right="71" w:firstLine="540"/>
        <w:jc w:val="both"/>
      </w:pPr>
      <w:r w:rsidRPr="004A5F86">
        <w:t>Wallis seeks to establish that there is room in 1 Cor. 15:20-28 for an intermediate Messianic kingdom.  He argues that</w:t>
      </w:r>
      <w:r w:rsidRPr="00DB1244">
        <w:t xml:space="preserve"> </w:t>
      </w:r>
      <w:r w:rsidRPr="00781DDA">
        <w:rPr>
          <w:rFonts w:ascii="Bwgrkl" w:hAnsi="Bwgrkl" w:cs="Bwgrkl"/>
          <w:lang w:bidi="he-IL"/>
        </w:rPr>
        <w:t>e;peita</w:t>
      </w:r>
      <w:r w:rsidRPr="00781DDA">
        <w:rPr>
          <w:sz w:val="20"/>
        </w:rPr>
        <w:t xml:space="preserve"> </w:t>
      </w:r>
      <w:r w:rsidRPr="004A5F86">
        <w:t>(v. 23), followed by</w:t>
      </w:r>
      <w:r w:rsidRPr="00DB1244">
        <w:t xml:space="preserve"> </w:t>
      </w:r>
      <w:r w:rsidRPr="00781DDA">
        <w:rPr>
          <w:rFonts w:ascii="Bwgrkl" w:hAnsi="Bwgrkl" w:cs="Bwgrkl"/>
          <w:lang w:bidi="he-IL"/>
        </w:rPr>
        <w:t>ei=ta</w:t>
      </w:r>
      <w:r w:rsidRPr="00781DDA">
        <w:rPr>
          <w:sz w:val="20"/>
        </w:rPr>
        <w:t xml:space="preserve"> </w:t>
      </w:r>
      <w:r w:rsidRPr="004A5F86">
        <w:t xml:space="preserve">(v. 24), implies an interval between the </w:t>
      </w:r>
      <w:r w:rsidRPr="004A5F86">
        <w:rPr>
          <w:i/>
        </w:rPr>
        <w:t>parousia</w:t>
      </w:r>
      <w:r w:rsidRPr="004A5F86">
        <w:t xml:space="preserve"> of Christ and </w:t>
      </w:r>
      <w:r w:rsidRPr="00781DDA">
        <w:rPr>
          <w:rFonts w:ascii="Bwgrkl" w:hAnsi="Bwgrkl" w:cs="Bwgrkl"/>
          <w:lang w:bidi="he-IL"/>
        </w:rPr>
        <w:t>to. te,loj</w:t>
      </w:r>
      <w:r w:rsidRPr="00781DDA">
        <w:rPr>
          <w:sz w:val="20"/>
        </w:rPr>
        <w:t xml:space="preserve"> </w:t>
      </w:r>
      <w:r w:rsidRPr="004A5F86">
        <w:t xml:space="preserve">and that the two clauses governed by </w:t>
      </w:r>
      <w:r w:rsidRPr="00781DDA">
        <w:rPr>
          <w:rFonts w:ascii="Bwgrkl" w:hAnsi="Bwgrkl" w:cs="Bwgrkl"/>
          <w:lang w:bidi="he-IL"/>
        </w:rPr>
        <w:t>o[tan</w:t>
      </w:r>
      <w:r w:rsidRPr="00781DDA">
        <w:rPr>
          <w:sz w:val="20"/>
        </w:rPr>
        <w:t xml:space="preserve"> </w:t>
      </w:r>
      <w:r w:rsidRPr="004A5F86">
        <w:t>(v. 24)</w:t>
      </w:r>
      <w:r w:rsidRPr="004A5F86">
        <w:rPr>
          <w:rStyle w:val="EndnoteReference"/>
        </w:rPr>
        <w:endnoteReference w:id="3804"/>
      </w:r>
      <w:r w:rsidRPr="004A5F86">
        <w:t xml:space="preserve"> imply a sequence of two events.</w:t>
      </w:r>
      <w:r w:rsidRPr="004A5F86">
        <w:rPr>
          <w:rStyle w:val="EndnoteReference"/>
        </w:rPr>
        <w:endnoteReference w:id="3805"/>
      </w:r>
      <w:r w:rsidRPr="004A5F86">
        <w:t xml:space="preserve">  He supports this view by noting the parallelism between this sequence and that in 1 Cor. 15:28,</w:t>
      </w:r>
      <w:r w:rsidRPr="004A5F86">
        <w:rPr>
          <w:rStyle w:val="EndnoteReference"/>
        </w:rPr>
        <w:endnoteReference w:id="3806"/>
      </w:r>
      <w:r w:rsidRPr="004A5F86">
        <w:t xml:space="preserve"> by emphasising ‘goal’ as one meaning of</w:t>
      </w:r>
      <w:r w:rsidRPr="00DB1244">
        <w:t xml:space="preserve"> </w:t>
      </w:r>
      <w:r w:rsidRPr="00781DDA">
        <w:rPr>
          <w:rFonts w:ascii="Bwgrkl" w:hAnsi="Bwgrkl" w:cs="Bwgrkl"/>
          <w:lang w:bidi="he-IL"/>
        </w:rPr>
        <w:t>te,loj</w:t>
      </w:r>
      <w:r w:rsidRPr="004A5F86">
        <w:t xml:space="preserve">, (which would permit seeing Paul’s focus as being on a goal beyond the </w:t>
      </w:r>
      <w:r w:rsidRPr="004A5F86">
        <w:rPr>
          <w:i/>
        </w:rPr>
        <w:t>parousia</w:t>
      </w:r>
      <w:r w:rsidRPr="004A5F86">
        <w:t xml:space="preserve"> to be reached after the judgment and the destruction of Christ’s enemies),</w:t>
      </w:r>
      <w:r w:rsidRPr="004A5F86">
        <w:rPr>
          <w:rStyle w:val="EndnoteReference"/>
        </w:rPr>
        <w:endnoteReference w:id="3807"/>
      </w:r>
      <w:r w:rsidRPr="004A5F86">
        <w:t xml:space="preserve"> and by stating that ‘</w:t>
      </w:r>
      <w:r>
        <w:t>a reign</w:t>
      </w:r>
      <w:r w:rsidRPr="004A5F86">
        <w:t xml:space="preserve"> is </w:t>
      </w:r>
      <w:r>
        <w:t>essential to the destruction of Christ’s enemies’ which ‘must follow the Parousia’.</w:t>
      </w:r>
      <w:r w:rsidRPr="004A5F86">
        <w:rPr>
          <w:rStyle w:val="EndnoteReference"/>
        </w:rPr>
        <w:endnoteReference w:id="3808"/>
      </w:r>
      <w:r w:rsidRPr="004A5F86">
        <w:t xml:space="preserve">  </w:t>
      </w:r>
    </w:p>
    <w:p w:rsidR="00D90FE2" w:rsidRPr="00AE5303" w:rsidRDefault="00D90FE2" w:rsidP="00D90FE2">
      <w:pPr>
        <w:autoSpaceDE w:val="0"/>
        <w:autoSpaceDN w:val="0"/>
        <w:adjustRightInd w:val="0"/>
        <w:spacing w:after="120" w:line="360" w:lineRule="auto"/>
        <w:ind w:right="71" w:firstLine="540"/>
        <w:jc w:val="both"/>
      </w:pPr>
      <w:r w:rsidRPr="00AE5303">
        <w:t>While acknowledging the sequence formed by</w:t>
      </w:r>
      <w:r w:rsidRPr="00DB1244">
        <w:t xml:space="preserve"> </w:t>
      </w:r>
      <w:r w:rsidRPr="00781DDA">
        <w:rPr>
          <w:rFonts w:ascii="Bwgrkl" w:hAnsi="Bwgrkl" w:cs="Bwgrkl"/>
          <w:lang w:bidi="he-IL"/>
        </w:rPr>
        <w:t>avparch</w:t>
      </w:r>
      <w:r w:rsidRPr="00DB1244">
        <w:rPr>
          <w:rFonts w:ascii="Bwgrkl" w:hAnsi="Bwgrkl" w:cs="Bwgrkl"/>
          <w:lang w:bidi="he-IL"/>
        </w:rPr>
        <w:t>.</w:t>
      </w:r>
      <w:r w:rsidRPr="00AE5303">
        <w:t xml:space="preserve">, </w:t>
      </w:r>
      <w:r w:rsidRPr="00781DDA">
        <w:rPr>
          <w:rFonts w:ascii="Bwgrkl" w:hAnsi="Bwgrkl" w:cs="Bwgrkl"/>
          <w:lang w:bidi="he-IL"/>
        </w:rPr>
        <w:t>e;peita</w:t>
      </w:r>
      <w:r w:rsidRPr="00AE5303">
        <w:t xml:space="preserve"> and </w:t>
      </w:r>
      <w:r w:rsidRPr="00781DDA">
        <w:rPr>
          <w:rFonts w:ascii="Bwgrkl" w:hAnsi="Bwgrkl" w:cs="Bwgrkl"/>
          <w:lang w:bidi="he-IL"/>
        </w:rPr>
        <w:t>ei=ta</w:t>
      </w:r>
      <w:r w:rsidRPr="00781DDA">
        <w:rPr>
          <w:sz w:val="20"/>
        </w:rPr>
        <w:t xml:space="preserve"> </w:t>
      </w:r>
      <w:r w:rsidRPr="00AE5303">
        <w:t>(vv. 23-4), Plevnik states that ‘…</w:t>
      </w:r>
      <w:r w:rsidRPr="00781DDA">
        <w:rPr>
          <w:rFonts w:ascii="Bwgrkl" w:hAnsi="Bwgrkl" w:cs="Bwgrkl"/>
          <w:lang w:bidi="he-IL"/>
        </w:rPr>
        <w:t>ei=ta</w:t>
      </w:r>
      <w:r w:rsidRPr="00781DDA">
        <w:rPr>
          <w:sz w:val="20"/>
        </w:rPr>
        <w:t xml:space="preserve"> </w:t>
      </w:r>
      <w:r w:rsidRPr="00AE5303">
        <w:t>does not indicate a later event or another phase between the resurrection [of the faithful] and the completion, but, rather, the beginning of the completion (</w:t>
      </w:r>
      <w:r w:rsidRPr="00781DDA">
        <w:rPr>
          <w:rFonts w:ascii="Bwgrkl" w:hAnsi="Bwgrkl" w:cs="Bwgrkl"/>
          <w:lang w:bidi="he-IL"/>
        </w:rPr>
        <w:t>te,loj</w:t>
      </w:r>
      <w:r w:rsidRPr="00AE5303">
        <w:t>)…’.</w:t>
      </w:r>
      <w:r w:rsidRPr="00AE5303">
        <w:rPr>
          <w:rStyle w:val="EndnoteReference"/>
        </w:rPr>
        <w:endnoteReference w:id="3809"/>
      </w:r>
      <w:r w:rsidRPr="00DB1244">
        <w:t xml:space="preserve">  </w:t>
      </w:r>
      <w:r w:rsidRPr="00AE5303">
        <w:t xml:space="preserve">He asserts that ‘only context can decide whether </w:t>
      </w:r>
      <w:r w:rsidRPr="00781DDA">
        <w:rPr>
          <w:rFonts w:ascii="Bwgrkl" w:hAnsi="Bwgrkl" w:cs="Bwgrkl"/>
          <w:lang w:bidi="he-IL"/>
        </w:rPr>
        <w:t>to. te,loj</w:t>
      </w:r>
      <w:r w:rsidRPr="00781DDA">
        <w:rPr>
          <w:sz w:val="20"/>
        </w:rPr>
        <w:t xml:space="preserve"> </w:t>
      </w:r>
      <w:r w:rsidRPr="00AE5303">
        <w:t>comes after or at the same time as the resurrection of the dead’.</w:t>
      </w:r>
      <w:r w:rsidRPr="00AE5303">
        <w:rPr>
          <w:rStyle w:val="EndnoteReference"/>
        </w:rPr>
        <w:endnoteReference w:id="3810"/>
      </w:r>
      <w:r w:rsidRPr="00AE5303">
        <w:t xml:space="preserve">  Robertson and Plummer make a similar point, stating that</w:t>
      </w:r>
      <w:r w:rsidRPr="00DB1244">
        <w:t xml:space="preserve"> </w:t>
      </w:r>
      <w:r w:rsidRPr="00781DDA">
        <w:rPr>
          <w:rFonts w:ascii="Bwgrkl" w:hAnsi="Bwgrkl" w:cs="Bwgrkl"/>
          <w:lang w:bidi="he-IL"/>
        </w:rPr>
        <w:t>o[tan</w:t>
      </w:r>
      <w:r w:rsidRPr="00781DDA">
        <w:rPr>
          <w:sz w:val="20"/>
        </w:rPr>
        <w:t xml:space="preserve"> </w:t>
      </w:r>
      <w:r w:rsidRPr="00AE5303">
        <w:t xml:space="preserve">in 1 Cor. 15:24 can introduce something ‘subsequent’ or something ‘immediately consequent’, thus </w:t>
      </w:r>
      <w:r w:rsidRPr="00781DDA">
        <w:rPr>
          <w:rFonts w:ascii="Bwgrkl" w:hAnsi="Bwgrkl" w:cs="Bwgrkl"/>
          <w:lang w:bidi="he-IL"/>
        </w:rPr>
        <w:t>o[tan</w:t>
      </w:r>
      <w:r w:rsidRPr="00781DDA">
        <w:rPr>
          <w:sz w:val="20"/>
        </w:rPr>
        <w:t xml:space="preserve"> </w:t>
      </w:r>
      <w:r w:rsidRPr="00AE5303">
        <w:t>indicates an indefinite time and has the sense of ‘whenever’.</w:t>
      </w:r>
      <w:r w:rsidRPr="00AE5303">
        <w:rPr>
          <w:rStyle w:val="EndnoteReference"/>
        </w:rPr>
        <w:endnoteReference w:id="3811"/>
      </w:r>
      <w:r w:rsidRPr="00AE5303">
        <w:t xml:space="preserve">  Fee and Thiselton concur, the latter drawing attention to the subjunctive mood.</w:t>
      </w:r>
      <w:r w:rsidRPr="00AE5303">
        <w:rPr>
          <w:rStyle w:val="EndnoteReference"/>
        </w:rPr>
        <w:endnoteReference w:id="3812"/>
      </w:r>
      <w:r w:rsidRPr="00AE5303">
        <w:t xml:space="preserve">  </w:t>
      </w:r>
    </w:p>
    <w:p w:rsidR="00D90FE2" w:rsidRPr="00AE5303" w:rsidRDefault="00D90FE2" w:rsidP="00D90FE2">
      <w:pPr>
        <w:autoSpaceDE w:val="0"/>
        <w:autoSpaceDN w:val="0"/>
        <w:adjustRightInd w:val="0"/>
        <w:spacing w:after="120" w:line="360" w:lineRule="auto"/>
        <w:ind w:right="71" w:firstLine="540"/>
        <w:jc w:val="both"/>
      </w:pPr>
      <w:r w:rsidRPr="00AE5303">
        <w:t xml:space="preserve">Wallis finds in Paul’s ‘construction’ a sequence of events beginning with the </w:t>
      </w:r>
      <w:r w:rsidRPr="00AE5303">
        <w:rPr>
          <w:i/>
        </w:rPr>
        <w:t>parousia</w:t>
      </w:r>
      <w:r w:rsidRPr="00AE5303">
        <w:t xml:space="preserve">, followed by the subjugation of Christ’s enemies and then by </w:t>
      </w:r>
      <w:r w:rsidRPr="00781DDA">
        <w:rPr>
          <w:rFonts w:ascii="Bwgrkl" w:hAnsi="Bwgrkl" w:cs="Bwgrkl"/>
          <w:lang w:bidi="he-IL"/>
        </w:rPr>
        <w:t>to. te,loj</w:t>
      </w:r>
      <w:r w:rsidRPr="00AE5303">
        <w:t>.</w:t>
      </w:r>
      <w:r w:rsidRPr="00AE5303">
        <w:rPr>
          <w:rStyle w:val="EndnoteReference"/>
        </w:rPr>
        <w:endnoteReference w:id="3813"/>
      </w:r>
      <w:r w:rsidRPr="00AE5303">
        <w:t xml:space="preserve">  He argues that</w:t>
      </w:r>
      <w:r>
        <w:t xml:space="preserve"> ‘</w:t>
      </w:r>
      <w:r w:rsidRPr="00781DDA">
        <w:rPr>
          <w:rFonts w:ascii="Bwgrkl" w:hAnsi="Bwgrkl" w:cs="Bwgrkl"/>
          <w:lang w:bidi="he-IL"/>
        </w:rPr>
        <w:t>to. te,loj</w:t>
      </w:r>
      <w:r w:rsidRPr="00781DDA">
        <w:rPr>
          <w:sz w:val="20"/>
        </w:rPr>
        <w:t xml:space="preserve"> </w:t>
      </w:r>
      <w:r w:rsidRPr="00AE5303">
        <w:t xml:space="preserve">cannot be simultaneous with the </w:t>
      </w:r>
      <w:r w:rsidRPr="00AE5303">
        <w:rPr>
          <w:i/>
        </w:rPr>
        <w:t>parousia</w:t>
      </w:r>
      <w:r w:rsidRPr="00AE5303">
        <w:t xml:space="preserve">; it must stand between the </w:t>
      </w:r>
      <w:r w:rsidRPr="00AE5303">
        <w:rPr>
          <w:i/>
        </w:rPr>
        <w:t>parousia</w:t>
      </w:r>
      <w:r w:rsidRPr="00AE5303">
        <w:t xml:space="preserve"> and the judgment</w:t>
      </w:r>
      <w:r>
        <w:t>’</w:t>
      </w:r>
      <w:r w:rsidRPr="00AE5303">
        <w:t>.</w:t>
      </w:r>
      <w:r w:rsidRPr="00AE5303">
        <w:rPr>
          <w:rStyle w:val="EndnoteReference"/>
        </w:rPr>
        <w:endnoteReference w:id="3814"/>
      </w:r>
      <w:r w:rsidRPr="00AE5303">
        <w:t xml:space="preserve">  At least part of Christ’s rule,</w:t>
      </w:r>
      <w:r w:rsidRPr="00AE5303">
        <w:rPr>
          <w:rStyle w:val="EndnoteReference"/>
        </w:rPr>
        <w:endnoteReference w:id="3815"/>
      </w:r>
      <w:r w:rsidRPr="00AE5303">
        <w:t xml:space="preserve"> which is to be handed over to the Father,</w:t>
      </w:r>
      <w:r w:rsidRPr="00AE5303">
        <w:rPr>
          <w:rStyle w:val="EndnoteReference"/>
        </w:rPr>
        <w:endnoteReference w:id="3816"/>
      </w:r>
      <w:r w:rsidRPr="00AE5303">
        <w:t xml:space="preserve"> must extend beyond the </w:t>
      </w:r>
      <w:r w:rsidRPr="00AE5303">
        <w:rPr>
          <w:i/>
        </w:rPr>
        <w:t>parousia</w:t>
      </w:r>
      <w:r w:rsidRPr="00AE5303">
        <w:t>.  Thus there is room within 1 Cor. 15:20-28 for an intermediate kingdom.</w:t>
      </w:r>
    </w:p>
    <w:p w:rsidR="00D90FE2" w:rsidRPr="00AE5303" w:rsidRDefault="00D90FE2" w:rsidP="00D90FE2">
      <w:pPr>
        <w:autoSpaceDE w:val="0"/>
        <w:autoSpaceDN w:val="0"/>
        <w:adjustRightInd w:val="0"/>
        <w:spacing w:after="120" w:line="360" w:lineRule="auto"/>
        <w:ind w:right="71" w:firstLine="540"/>
        <w:jc w:val="both"/>
      </w:pPr>
      <w:r w:rsidRPr="00AE5303">
        <w:lastRenderedPageBreak/>
        <w:t xml:space="preserve">Thiselton asserts that, in 1 Cor. 15:20-28 and elsewhere in Paul, the eschatological resurrection of believers happens at the </w:t>
      </w:r>
      <w:r w:rsidRPr="00AE5303">
        <w:rPr>
          <w:i/>
        </w:rPr>
        <w:t>parousia</w:t>
      </w:r>
      <w:r w:rsidRPr="00AE5303">
        <w:t>.</w:t>
      </w:r>
      <w:r w:rsidRPr="00AE5303">
        <w:rPr>
          <w:rStyle w:val="EndnoteReference"/>
        </w:rPr>
        <w:endnoteReference w:id="3817"/>
      </w:r>
      <w:r w:rsidRPr="00AE5303">
        <w:t xml:space="preserve">  Plevnik concurs.  He argues that, since this resurrection occurs at the </w:t>
      </w:r>
      <w:r w:rsidRPr="00AE5303">
        <w:rPr>
          <w:i/>
        </w:rPr>
        <w:t>parousia</w:t>
      </w:r>
      <w:r w:rsidRPr="00AE5303">
        <w:t>,</w:t>
      </w:r>
      <w:r w:rsidRPr="00AE5303">
        <w:rPr>
          <w:rStyle w:val="EndnoteReference"/>
        </w:rPr>
        <w:endnoteReference w:id="3818"/>
      </w:r>
      <w:r w:rsidRPr="00AE5303">
        <w:t xml:space="preserve"> and since it signifies Christ’s conquest of the final enemy, death,</w:t>
      </w:r>
      <w:r w:rsidRPr="00AE5303">
        <w:rPr>
          <w:rStyle w:val="EndnoteReference"/>
        </w:rPr>
        <w:endnoteReference w:id="3819"/>
      </w:r>
      <w:r w:rsidRPr="00AE5303">
        <w:t xml:space="preserve"> which is the ‘last act required of the reign of Christ’</w:t>
      </w:r>
      <w:r w:rsidRPr="00AE5303">
        <w:rPr>
          <w:rStyle w:val="EndnoteReference"/>
        </w:rPr>
        <w:endnoteReference w:id="3820"/>
      </w:r>
      <w:r w:rsidRPr="00AE5303">
        <w:t xml:space="preserve"> and indicates completion, which can only occur after death is conquered,</w:t>
      </w:r>
      <w:r w:rsidRPr="00AE5303">
        <w:rPr>
          <w:rStyle w:val="EndnoteReference"/>
        </w:rPr>
        <w:endnoteReference w:id="3821"/>
      </w:r>
      <w:r w:rsidRPr="00AE5303">
        <w:t xml:space="preserve"> then ‘… the interpretation that would posit a period of time between the resurrection of the faithful and completion is not supported by the conte</w:t>
      </w:r>
      <w:r>
        <w:t>x</w:t>
      </w:r>
      <w:r w:rsidRPr="00AE5303">
        <w:t>t of 1 Corinthians 15’.</w:t>
      </w:r>
      <w:r w:rsidRPr="00AE5303">
        <w:rPr>
          <w:rStyle w:val="EndnoteReference"/>
        </w:rPr>
        <w:endnoteReference w:id="3822"/>
      </w:r>
      <w:r w:rsidRPr="00AE5303">
        <w:t xml:space="preserve">  ‘The </w:t>
      </w:r>
      <w:r w:rsidRPr="00AE5303">
        <w:rPr>
          <w:i/>
        </w:rPr>
        <w:t>parousia</w:t>
      </w:r>
      <w:r w:rsidRPr="00AE5303">
        <w:t xml:space="preserve"> and the completion coincide’ and ‘there is no need to posit here successive apocalyptic periods’.</w:t>
      </w:r>
      <w:r w:rsidRPr="00AE5303">
        <w:rPr>
          <w:rStyle w:val="EndnoteReference"/>
        </w:rPr>
        <w:endnoteReference w:id="3823"/>
      </w:r>
      <w:r w:rsidRPr="00AE5303">
        <w:t xml:space="preserve">  Fee agrees, holding that it is presumptuous to see an intermediate stage between the resurrection of believers and Christ’s handing over the kingdom to God the Father.</w:t>
      </w:r>
      <w:r w:rsidRPr="00AE5303">
        <w:rPr>
          <w:rStyle w:val="EndnoteReference"/>
        </w:rPr>
        <w:endnoteReference w:id="3824"/>
      </w:r>
      <w:r w:rsidRPr="00AE5303">
        <w:t xml:space="preserve">  He states that Paul does not often employ kingdom language but, when he does, the referent is usually the consummation of the kingdom at Christ’s coming.</w:t>
      </w:r>
      <w:r w:rsidRPr="00AE5303">
        <w:rPr>
          <w:rStyle w:val="EndnoteReference"/>
        </w:rPr>
        <w:endnoteReference w:id="3825"/>
      </w:r>
      <w:r w:rsidRPr="00AE5303">
        <w:t xml:space="preserve">  </w:t>
      </w:r>
    </w:p>
    <w:p w:rsidR="00D90FE2" w:rsidRPr="00AE5303" w:rsidRDefault="00D90FE2" w:rsidP="00D90FE2">
      <w:pPr>
        <w:autoSpaceDE w:val="0"/>
        <w:autoSpaceDN w:val="0"/>
        <w:adjustRightInd w:val="0"/>
        <w:spacing w:after="120" w:line="360" w:lineRule="auto"/>
        <w:ind w:right="71" w:firstLine="540"/>
        <w:jc w:val="both"/>
      </w:pPr>
      <w:r w:rsidRPr="00AE5303">
        <w:t>Wallis also suggests that parallels may be drawn within Paul’s writings, including 1 Corinthians 15:20-28,</w:t>
      </w:r>
      <w:r w:rsidRPr="00AE5303">
        <w:rPr>
          <w:rStyle w:val="EndnoteReference"/>
        </w:rPr>
        <w:endnoteReference w:id="3826"/>
      </w:r>
      <w:r w:rsidRPr="00AE5303">
        <w:t xml:space="preserve"> with the ‘millennial kingdom of Rev. 20:4-6’ which ‘should be seen as one brief era but a </w:t>
      </w:r>
      <w:r w:rsidRPr="00781DDA">
        <w:rPr>
          <w:spacing w:val="4"/>
        </w:rPr>
        <w:t>necessary one for the destruction of the enemies of God’.</w:t>
      </w:r>
      <w:r w:rsidRPr="00781DDA">
        <w:rPr>
          <w:rStyle w:val="EndnoteReference"/>
          <w:spacing w:val="4"/>
        </w:rPr>
        <w:endnoteReference w:id="3827"/>
      </w:r>
      <w:r w:rsidRPr="00781DDA">
        <w:rPr>
          <w:spacing w:val="4"/>
        </w:rPr>
        <w:t xml:space="preserve">  Plevnik dismisses the notion of aligning 1</w:t>
      </w:r>
      <w:r w:rsidRPr="00AE5303">
        <w:t xml:space="preserve"> Cor. 15:23-8 with Rev. 20:2-4.  He states that there is ‘no hard evidence that Paul spoke of a millennial reign of Christ after the resurrection of the faithful’</w:t>
      </w:r>
      <w:r w:rsidRPr="00AE5303">
        <w:rPr>
          <w:rStyle w:val="EndnoteReference"/>
        </w:rPr>
        <w:endnoteReference w:id="3828"/>
      </w:r>
      <w:r w:rsidRPr="00AE5303">
        <w:t xml:space="preserve"> and argues that the concept of an intermediate </w:t>
      </w:r>
      <w:r w:rsidRPr="00781DDA">
        <w:rPr>
          <w:spacing w:val="4"/>
        </w:rPr>
        <w:t>millennial kingdom would place the climax not at the resurrection of the dead, which is the theme of 1</w:t>
      </w:r>
      <w:r w:rsidRPr="00AE5303">
        <w:t xml:space="preserve"> Corinthians 15, but on a subsequent action by Christ against death.</w:t>
      </w:r>
      <w:r w:rsidRPr="00AE5303">
        <w:rPr>
          <w:rStyle w:val="EndnoteReference"/>
        </w:rPr>
        <w:endnoteReference w:id="3829"/>
      </w:r>
      <w:r w:rsidRPr="00AE5303">
        <w:t xml:space="preserve">  </w:t>
      </w:r>
    </w:p>
    <w:p w:rsidR="00D90FE2" w:rsidRPr="00AE5303" w:rsidRDefault="00D90FE2" w:rsidP="00D90FE2">
      <w:pPr>
        <w:autoSpaceDE w:val="0"/>
        <w:autoSpaceDN w:val="0"/>
        <w:adjustRightInd w:val="0"/>
        <w:spacing w:after="120" w:line="360" w:lineRule="auto"/>
        <w:ind w:right="71" w:firstLine="540"/>
        <w:jc w:val="both"/>
      </w:pPr>
      <w:r w:rsidRPr="00AE5303">
        <w:t>Again arguing contextually, Plevnik points out that, unlike the writer of Revelation, Paul was not dealing with persecution and perseverance amidst suffering and does not offer faithful witnesses a privileged status.  Paul was delineating what had to happen before completion could occur.</w:t>
      </w:r>
      <w:r w:rsidRPr="00AE5303">
        <w:rPr>
          <w:rStyle w:val="EndnoteReference"/>
        </w:rPr>
        <w:endnoteReference w:id="3830"/>
      </w:r>
      <w:r w:rsidRPr="00AE5303">
        <w:t xml:space="preserve">  The sequence posited by some scholars, in which </w:t>
      </w:r>
      <w:r w:rsidRPr="00781DDA">
        <w:rPr>
          <w:rFonts w:ascii="Bwgrkl" w:hAnsi="Bwgrkl" w:cs="Bwgrkl"/>
          <w:lang w:bidi="he-IL"/>
        </w:rPr>
        <w:t>to. te,loj</w:t>
      </w:r>
      <w:r w:rsidRPr="00781DDA">
        <w:rPr>
          <w:sz w:val="20"/>
        </w:rPr>
        <w:t xml:space="preserve"> </w:t>
      </w:r>
      <w:r w:rsidRPr="00AE5303">
        <w:t>comes after the resurrection, ‘imports an apocalyptic millennium in order to explain the continuing struggle between Christ and the powers after the general resurrection’.</w:t>
      </w:r>
      <w:r w:rsidRPr="00AE5303">
        <w:rPr>
          <w:rStyle w:val="EndnoteReference"/>
        </w:rPr>
        <w:endnoteReference w:id="3831"/>
      </w:r>
      <w:r w:rsidRPr="00AE5303">
        <w:t xml:space="preserve">  Wallis comes into this category.  This critique of the method of combining contextually incompatible texts actually also offers implicit criticism of Scofield’s mode of interpretation.  </w:t>
      </w:r>
    </w:p>
    <w:p w:rsidR="00D90FE2" w:rsidRPr="00AE5303" w:rsidRDefault="00D90FE2" w:rsidP="00D90FE2">
      <w:pPr>
        <w:autoSpaceDE w:val="0"/>
        <w:autoSpaceDN w:val="0"/>
        <w:adjustRightInd w:val="0"/>
        <w:spacing w:after="120" w:line="360" w:lineRule="auto"/>
        <w:ind w:right="71" w:firstLine="540"/>
        <w:jc w:val="both"/>
      </w:pPr>
      <w:r w:rsidRPr="00AE5303">
        <w:t>Fee criticises a loose use of language which renders ‘apocalyptic’ and ‘eschatological’ almost synonymous.  He points out that anything in 1 Cor. 15:23-4 which ‘might be considered apocalyptic in this passage is purely conceptual.  … This is Pauline eschatology, undoubtedly influenced by his Jewish heritage, but it lacks the essential “stuff” of apocalyptic.’</w:t>
      </w:r>
      <w:r w:rsidRPr="00AE5303">
        <w:rPr>
          <w:rStyle w:val="EndnoteReference"/>
        </w:rPr>
        <w:endnoteReference w:id="3832"/>
      </w:r>
    </w:p>
    <w:p w:rsidR="00D90FE2" w:rsidRPr="00AE5303" w:rsidRDefault="00D90FE2" w:rsidP="00D90FE2">
      <w:pPr>
        <w:autoSpaceDE w:val="0"/>
        <w:autoSpaceDN w:val="0"/>
        <w:adjustRightInd w:val="0"/>
        <w:spacing w:after="120" w:line="360" w:lineRule="auto"/>
        <w:ind w:right="71" w:firstLine="540"/>
        <w:jc w:val="both"/>
      </w:pPr>
      <w:r w:rsidRPr="00AE5303">
        <w:t>According to Plevnik, Christ’s kingdom, which ‘began at the resurrection and exaltation of Christ’</w:t>
      </w:r>
      <w:r>
        <w:t>,</w:t>
      </w:r>
      <w:r w:rsidRPr="00AE5303">
        <w:rPr>
          <w:rStyle w:val="EndnoteReference"/>
        </w:rPr>
        <w:endnoteReference w:id="3833"/>
      </w:r>
      <w:r w:rsidRPr="00AE5303">
        <w:t xml:space="preserve"> is in progress; Christ is already at work, subjugating the hostile powers.  ‘Christ’s subjugation of the hostile powers and raising of the dead are part of Paul’s understanding of the lordship of the risen Christ.’</w:t>
      </w:r>
      <w:r w:rsidRPr="00AE5303">
        <w:rPr>
          <w:rStyle w:val="EndnoteReference"/>
        </w:rPr>
        <w:endnoteReference w:id="3834"/>
      </w:r>
      <w:r w:rsidRPr="00AE5303">
        <w:t xml:space="preserve">  Fee, too, holds that Christ’s rule is currently in effect, having begun, by implication, with his resurrection and ascension.</w:t>
      </w:r>
      <w:r w:rsidRPr="00AE5303">
        <w:rPr>
          <w:rStyle w:val="EndnoteReference"/>
        </w:rPr>
        <w:endnoteReference w:id="3835"/>
      </w:r>
      <w:r w:rsidRPr="00AE5303">
        <w:t xml:space="preserve">  Thiselton concurs, pointing out that the verb, </w:t>
      </w:r>
      <w:r w:rsidRPr="00781DDA">
        <w:rPr>
          <w:rFonts w:ascii="Bwgrkl" w:hAnsi="Bwgrkl"/>
          <w:lang w:bidi="he-IL"/>
        </w:rPr>
        <w:t>katargei/tai</w:t>
      </w:r>
      <w:r w:rsidRPr="00AE5303">
        <w:t xml:space="preserve"> (v. 26) is in the present tense, which may denote ‘the </w:t>
      </w:r>
      <w:r w:rsidRPr="00AE5303">
        <w:rPr>
          <w:i/>
        </w:rPr>
        <w:t>process</w:t>
      </w:r>
      <w:r w:rsidRPr="00AE5303">
        <w:t xml:space="preserve"> of annihilation [of death] </w:t>
      </w:r>
      <w:r w:rsidRPr="00AE5303">
        <w:rPr>
          <w:i/>
        </w:rPr>
        <w:t>already set in motion</w:t>
      </w:r>
      <w:r w:rsidRPr="00AE5303">
        <w:t xml:space="preserve"> by Christ’s </w:t>
      </w:r>
      <w:r w:rsidRPr="00AE5303">
        <w:lastRenderedPageBreak/>
        <w:t>(past) death and resurrection</w:t>
      </w:r>
      <w:r>
        <w:t>’</w:t>
      </w:r>
      <w:r w:rsidRPr="00AE5303">
        <w:t xml:space="preserve">.  ‘The “stingless” death experienced by Christians </w:t>
      </w:r>
      <w:r w:rsidRPr="00AE5303">
        <w:rPr>
          <w:i/>
        </w:rPr>
        <w:t xml:space="preserve">already represents a partial annihilation of </w:t>
      </w:r>
      <w:r w:rsidRPr="00AE5303">
        <w:rPr>
          <w:b/>
        </w:rPr>
        <w:t>death</w:t>
      </w:r>
      <w:r w:rsidRPr="00AE5303">
        <w:t xml:space="preserve"> in its fullest, most terrifying absolute sense.’</w:t>
      </w:r>
      <w:r w:rsidRPr="00AE5303">
        <w:rPr>
          <w:rStyle w:val="EndnoteReference"/>
        </w:rPr>
        <w:endnoteReference w:id="3836"/>
      </w:r>
      <w:r w:rsidRPr="00AE5303">
        <w:t xml:space="preserve">  Fee’s note on 1 Cor. 4:20 states that, for Paul, ‘the kingdom was “now” as well as “not yet”’.</w:t>
      </w:r>
      <w:r w:rsidRPr="00AE5303">
        <w:rPr>
          <w:rStyle w:val="EndnoteReference"/>
        </w:rPr>
        <w:endnoteReference w:id="3837"/>
      </w:r>
      <w:r w:rsidRPr="00AE5303">
        <w:t xml:space="preserve">  According to Thiselton, the messianic intermediate reign, which is currently in progress, must last until two future conditions are fulfilled: Christ hands over the rule to God, who is also the Father, and has annihilated every rule, authority and power.</w:t>
      </w:r>
      <w:r w:rsidRPr="00AE5303">
        <w:rPr>
          <w:rStyle w:val="EndnoteReference"/>
        </w:rPr>
        <w:endnoteReference w:id="3838"/>
      </w:r>
      <w:r w:rsidRPr="00AE5303">
        <w:t xml:space="preserve">  Fee suggests that these two conditions should probably be taken in reverse order.</w:t>
      </w:r>
      <w:r w:rsidRPr="00AE5303">
        <w:rPr>
          <w:rStyle w:val="EndnoteReference"/>
        </w:rPr>
        <w:endnoteReference w:id="3839"/>
      </w:r>
      <w:r w:rsidRPr="00AE5303">
        <w:t xml:space="preserve">    </w:t>
      </w:r>
    </w:p>
    <w:p w:rsidR="00D90FE2" w:rsidRPr="00AE5303" w:rsidRDefault="00D90FE2" w:rsidP="00D90FE2">
      <w:pPr>
        <w:autoSpaceDE w:val="0"/>
        <w:autoSpaceDN w:val="0"/>
        <w:adjustRightInd w:val="0"/>
        <w:spacing w:after="120" w:line="360" w:lineRule="auto"/>
        <w:ind w:right="71" w:firstLine="540"/>
        <w:jc w:val="both"/>
      </w:pPr>
      <w:r w:rsidRPr="00AE5303">
        <w:t>Fee states that Christ will destroy death through the resurrection of believers, with the result that all his enemies will then be subject to him, so that he may be made subject to God, the one who subjected all things to him.</w:t>
      </w:r>
      <w:r w:rsidRPr="00AE5303">
        <w:rPr>
          <w:rStyle w:val="EndnoteReference"/>
        </w:rPr>
        <w:endnoteReference w:id="3840"/>
      </w:r>
      <w:r w:rsidRPr="00AE5303">
        <w:t xml:space="preserve">  He suggests that the distinction between God and Christ is actually irrelevant;</w:t>
      </w:r>
      <w:r w:rsidRPr="00AE5303">
        <w:rPr>
          <w:rStyle w:val="EndnoteReference"/>
        </w:rPr>
        <w:endnoteReference w:id="3841"/>
      </w:r>
      <w:r w:rsidRPr="00AE5303">
        <w:t xml:space="preserve"> ‘the language of the subordination of the Son is functional, referring to his “work” of redemption, not ontological, referring to his being as such’.</w:t>
      </w:r>
      <w:r w:rsidRPr="00AE5303">
        <w:rPr>
          <w:rStyle w:val="EndnoteReference"/>
        </w:rPr>
        <w:endnoteReference w:id="3842"/>
      </w:r>
      <w:r w:rsidRPr="00AE5303">
        <w:t xml:space="preserve">  Thiselton states that ‘God remains the source and goal; Christ remains the means through which the goal which God purposes comes to be brought about’;</w:t>
      </w:r>
      <w:r w:rsidRPr="00AE5303">
        <w:rPr>
          <w:rStyle w:val="EndnoteReference"/>
        </w:rPr>
        <w:endnoteReference w:id="3843"/>
      </w:r>
      <w:r w:rsidRPr="00AE5303">
        <w:t xml:space="preserve"> the purposes of God and Christ remain one.</w:t>
      </w:r>
      <w:r w:rsidRPr="00AE5303">
        <w:rPr>
          <w:rStyle w:val="EndnoteReference"/>
        </w:rPr>
        <w:endnoteReference w:id="3844"/>
      </w:r>
      <w:r w:rsidRPr="00AE5303">
        <w:t xml:space="preserve">  When death is defeated, God will become all in all.  Fee states that ‘this is the whole point of 1 Cor. 15:23-8’.</w:t>
      </w:r>
      <w:r w:rsidRPr="00AE5303">
        <w:rPr>
          <w:rStyle w:val="EndnoteReference"/>
        </w:rPr>
        <w:endnoteReference w:id="3845"/>
      </w:r>
      <w:r w:rsidRPr="00AE5303">
        <w:t xml:space="preserve">  He points out that this is crucial to Paul’s argument and not a digression or an ‘apocalyptic chronology of resurrection’.  Paul’s theological point concerns God’s sovereign purposes for the universe as well as the resurrection of individuals.</w:t>
      </w:r>
      <w:r w:rsidRPr="00AE5303">
        <w:rPr>
          <w:rStyle w:val="EndnoteReference"/>
        </w:rPr>
        <w:endnoteReference w:id="3846"/>
      </w:r>
      <w:r w:rsidRPr="00AE5303">
        <w:t xml:space="preserve">  </w:t>
      </w:r>
    </w:p>
    <w:p w:rsidR="00D90FE2" w:rsidRPr="00DB1244" w:rsidRDefault="00D90FE2" w:rsidP="00D90FE2">
      <w:pPr>
        <w:autoSpaceDE w:val="0"/>
        <w:autoSpaceDN w:val="0"/>
        <w:adjustRightInd w:val="0"/>
        <w:spacing w:after="120" w:line="360" w:lineRule="auto"/>
        <w:ind w:right="71" w:firstLine="540"/>
        <w:jc w:val="both"/>
      </w:pPr>
      <w:r w:rsidRPr="00AE5303">
        <w:t xml:space="preserve">Both Fee and Thiselton link the statement </w:t>
      </w:r>
      <w:r>
        <w:t xml:space="preserve">‘so </w:t>
      </w:r>
      <w:r w:rsidRPr="00AE5303">
        <w:t>that God becomes all in all</w:t>
      </w:r>
      <w:r>
        <w:t>’</w:t>
      </w:r>
      <w:r w:rsidRPr="00AE5303">
        <w:t xml:space="preserve"> (</w:t>
      </w:r>
      <w:r w:rsidRPr="00D940BF">
        <w:rPr>
          <w:rFonts w:ascii="Bwgrkl" w:hAnsi="Bwgrkl" w:cs="Bwgrkl"/>
          <w:lang w:bidi="he-IL"/>
        </w:rPr>
        <w:t>i[na h=| o` qeo.j Îta.Ð pa,nta evn pa/sin</w:t>
      </w:r>
      <w:r w:rsidRPr="00AE5303">
        <w:t>)</w:t>
      </w:r>
      <w:r w:rsidRPr="00AE5303">
        <w:rPr>
          <w:rStyle w:val="EndnoteReference"/>
        </w:rPr>
        <w:endnoteReference w:id="3847"/>
      </w:r>
      <w:r w:rsidRPr="00AE5303">
        <w:t xml:space="preserve"> with Paul’s earlier phrase, ‘when he hands over the rule to the One who is God and Father’ (</w:t>
      </w:r>
      <w:r w:rsidRPr="00D940BF">
        <w:rPr>
          <w:rFonts w:ascii="Bwgrkl" w:hAnsi="Bwgrkl" w:cs="Bwgrkl"/>
          <w:lang w:bidi="he-IL"/>
        </w:rPr>
        <w:t>o[tan paradidw/| th.n basilei,an tw/| qew/| kai. p</w:t>
      </w:r>
      <w:r w:rsidRPr="00DB1244">
        <w:rPr>
          <w:rFonts w:ascii="Bwgrkl" w:hAnsi="Bwgrkl" w:cs="Bwgrkl"/>
          <w:lang w:bidi="he-IL"/>
        </w:rPr>
        <w:t>atri,</w:t>
      </w:r>
      <w:r w:rsidRPr="00D940BF">
        <w:t>)</w:t>
      </w:r>
      <w:r w:rsidRPr="00AE5303">
        <w:t>.</w:t>
      </w:r>
      <w:r w:rsidRPr="00AE5303">
        <w:rPr>
          <w:rStyle w:val="EndnoteReference"/>
        </w:rPr>
        <w:endnoteReference w:id="3848"/>
      </w:r>
      <w:r w:rsidRPr="00AE5303">
        <w:t xml:space="preserve">  Fee holds that 1 Cor. 15:28 ties together all that precedes it and also offers a further explanation of the dual clauses in verse 24.</w:t>
      </w:r>
      <w:r w:rsidRPr="00AE5303">
        <w:rPr>
          <w:rStyle w:val="EndnoteReference"/>
        </w:rPr>
        <w:endnoteReference w:id="3849"/>
      </w:r>
      <w:r w:rsidRPr="00AE5303">
        <w:t xml:space="preserve">  Thiselton regards it as forming a frame with v. 24 and as the climax of vv. 23-8, where Paul reveals ‘the ultimate purpose of the salvific and eschatological “ordered” process’.</w:t>
      </w:r>
      <w:r w:rsidRPr="00AE5303">
        <w:rPr>
          <w:rStyle w:val="EndnoteReference"/>
        </w:rPr>
        <w:endnoteReference w:id="3850"/>
      </w:r>
      <w:r w:rsidRPr="00DB1244">
        <w:t xml:space="preserve">  </w:t>
      </w:r>
    </w:p>
    <w:p w:rsidR="00D90FE2" w:rsidRPr="00AE5303" w:rsidRDefault="00D90FE2" w:rsidP="00D90FE2">
      <w:pPr>
        <w:autoSpaceDE w:val="0"/>
        <w:autoSpaceDN w:val="0"/>
        <w:adjustRightInd w:val="0"/>
        <w:spacing w:after="120" w:line="360" w:lineRule="auto"/>
        <w:ind w:right="71" w:firstLine="540"/>
        <w:jc w:val="both"/>
      </w:pPr>
      <w:r w:rsidRPr="00AE5303">
        <w:t>Scofield does discuss resurrection in his note on 1 Cor. 15:52, but he does not attempt to illuminate Paul’s reasoning concerning its logicality and inevitability.  Instead he avers that there are ‘two resurrections yet future, which are inclusive of all that are in the graves’: the resurrection ‘unto life’ and the resurrection ‘unto judgment’, separated by 1000 years.</w:t>
      </w:r>
      <w:r w:rsidRPr="00AE5303">
        <w:rPr>
          <w:rStyle w:val="EndnoteReference"/>
        </w:rPr>
        <w:endnoteReference w:id="3851"/>
      </w:r>
      <w:r w:rsidRPr="00AE5303">
        <w:t xml:space="preserve">  It is significant that Scofield is unable to support his assertion concerning either of these resurrections by a quotation from 1 Corinthians itself and relies instead on quotations from 2 Thessalonians and Revelation.  According to Scofield, the resurrection ‘unto life’ will be in two parts; the saints of the Old Testament and church ages will ‘meet him in the air’</w:t>
      </w:r>
      <w:r w:rsidRPr="00AE5303">
        <w:rPr>
          <w:rStyle w:val="EndnoteReference"/>
        </w:rPr>
        <w:endnoteReference w:id="3852"/>
      </w:r>
      <w:r w:rsidRPr="00AE5303">
        <w:t xml:space="preserve"> and the martyrs of the tribulation will be raised at the end of the tribulation period.</w:t>
      </w:r>
      <w:r w:rsidRPr="00AE5303">
        <w:rPr>
          <w:rStyle w:val="EndnoteReference"/>
        </w:rPr>
        <w:endnoteReference w:id="3853"/>
      </w:r>
      <w:r w:rsidRPr="00AE5303">
        <w:t xml:space="preserve">  The future resurrection ‘unto judgment’ will occur at the end of the thousand years, when the wicked dead will be raised, judged for their works and cast into the lake of fire.</w:t>
      </w:r>
      <w:r w:rsidRPr="00AE5303">
        <w:rPr>
          <w:rStyle w:val="EndnoteReference"/>
        </w:rPr>
        <w:endnoteReference w:id="3854"/>
      </w:r>
    </w:p>
    <w:p w:rsidR="00D90FE2" w:rsidRPr="00AE5303" w:rsidRDefault="00D90FE2" w:rsidP="00D90FE2">
      <w:pPr>
        <w:autoSpaceDE w:val="0"/>
        <w:autoSpaceDN w:val="0"/>
        <w:adjustRightInd w:val="0"/>
        <w:spacing w:after="120" w:line="360" w:lineRule="auto"/>
        <w:ind w:right="71" w:firstLine="540"/>
        <w:jc w:val="both"/>
      </w:pPr>
      <w:r w:rsidRPr="00AE5303">
        <w:t>Interestingly, in their comment on 1 Cor. 15:22, Robertson and Plummer state specifically that ‘nothing is said about the saints being “caught up in the clouds to meet the Lord in the air” … either here or in later Epistles’.</w:t>
      </w:r>
      <w:r w:rsidRPr="00AE5303">
        <w:rPr>
          <w:rStyle w:val="EndnoteReference"/>
        </w:rPr>
        <w:endnoteReference w:id="3855"/>
      </w:r>
      <w:r w:rsidRPr="00AE5303">
        <w:t xml:space="preserve">  They suggest that Paul may have recognised that such language was symbolic and </w:t>
      </w:r>
      <w:r w:rsidRPr="00AE5303">
        <w:lastRenderedPageBreak/>
        <w:t>might mislead.</w:t>
      </w:r>
      <w:r w:rsidRPr="00AE5303">
        <w:rPr>
          <w:rStyle w:val="EndnoteReference"/>
        </w:rPr>
        <w:endnoteReference w:id="3856"/>
      </w:r>
      <w:r w:rsidRPr="00AE5303">
        <w:t xml:space="preserve">  Since Robertson-Plummer was published only two years after </w:t>
      </w:r>
      <w:r w:rsidRPr="00AE5303">
        <w:rPr>
          <w:i/>
        </w:rPr>
        <w:t>SRB</w:t>
      </w:r>
      <w:r w:rsidRPr="00AE5303">
        <w:t xml:space="preserve">, one is led to wonder whether this commentary intended to refute Scofield’s assertions in </w:t>
      </w:r>
      <w:r>
        <w:rPr>
          <w:i/>
        </w:rPr>
        <w:t>SRB</w:t>
      </w:r>
      <w:r w:rsidRPr="00AE5303">
        <w:t xml:space="preserve"> or at least to counter views which were common at the time.</w:t>
      </w:r>
      <w:r w:rsidRPr="00AE5303">
        <w:rPr>
          <w:rStyle w:val="EndnoteReference"/>
        </w:rPr>
        <w:endnoteReference w:id="3857"/>
      </w:r>
    </w:p>
    <w:p w:rsidR="00D90FE2" w:rsidRPr="00AE5303" w:rsidRDefault="00D90FE2" w:rsidP="00D90FE2">
      <w:pPr>
        <w:autoSpaceDE w:val="0"/>
        <w:autoSpaceDN w:val="0"/>
        <w:adjustRightInd w:val="0"/>
        <w:spacing w:after="120" w:line="360" w:lineRule="auto"/>
        <w:ind w:right="71" w:firstLine="540"/>
        <w:jc w:val="both"/>
      </w:pPr>
      <w:r w:rsidRPr="00AE5303">
        <w:t xml:space="preserve">Wallis supports the notion of the resurrection of a third </w:t>
      </w:r>
      <w:r w:rsidRPr="00D940BF">
        <w:rPr>
          <w:rFonts w:ascii="Bwgrkl" w:hAnsi="Bwgrkl"/>
          <w:lang w:bidi="he-IL"/>
        </w:rPr>
        <w:t>ta,gma</w:t>
      </w:r>
      <w:r w:rsidRPr="00D940BF">
        <w:rPr>
          <w:sz w:val="20"/>
        </w:rPr>
        <w:t xml:space="preserve"> </w:t>
      </w:r>
      <w:r w:rsidRPr="00AE5303">
        <w:t>(order) associating it with the destruction of the last enemy, death’.</w:t>
      </w:r>
      <w:r w:rsidRPr="00AE5303">
        <w:rPr>
          <w:rStyle w:val="EndnoteReference"/>
        </w:rPr>
        <w:endnoteReference w:id="3858"/>
      </w:r>
      <w:r w:rsidRPr="00AE5303">
        <w:t xml:space="preserve">  Plevnik opposes it, stating that ‘only those who totally neglect the connection between v. 26 and vv. 25</w:t>
      </w:r>
      <w:r>
        <w:t xml:space="preserve"> and 27</w:t>
      </w:r>
      <w:r w:rsidRPr="00AE5303">
        <w:t xml:space="preserve"> maintain that there is a third order’.</w:t>
      </w:r>
      <w:r w:rsidRPr="00AE5303">
        <w:rPr>
          <w:rStyle w:val="EndnoteReference"/>
        </w:rPr>
        <w:endnoteReference w:id="3859"/>
      </w:r>
      <w:r w:rsidRPr="00AE5303">
        <w:t xml:space="preserve">  Fee, too, argues against the suggestion that Paul has in mind a third resurrection in 1 Corinthians 15.  It is ‘pure presumption to read a third resurrection here’, though that is not to say that Paul did not believe in the resurrection of the unjust, it was simply not his concern in this context.</w:t>
      </w:r>
      <w:r w:rsidRPr="00AE5303">
        <w:rPr>
          <w:rStyle w:val="EndnoteReference"/>
        </w:rPr>
        <w:endnoteReference w:id="3860"/>
      </w:r>
      <w:r w:rsidRPr="00AE5303">
        <w:t xml:space="preserve">  </w:t>
      </w:r>
    </w:p>
    <w:p w:rsidR="00D90FE2" w:rsidRPr="00AE5303" w:rsidRDefault="00D90FE2" w:rsidP="00D90FE2">
      <w:pPr>
        <w:autoSpaceDE w:val="0"/>
        <w:autoSpaceDN w:val="0"/>
        <w:adjustRightInd w:val="0"/>
        <w:spacing w:after="120" w:line="360" w:lineRule="auto"/>
        <w:ind w:right="71"/>
        <w:jc w:val="both"/>
        <w:rPr>
          <w:b/>
        </w:rPr>
      </w:pPr>
      <w:r>
        <w:rPr>
          <w:b/>
        </w:rPr>
        <w:t xml:space="preserve">Conclusion Concerning Scofield’s </w:t>
      </w:r>
      <w:r w:rsidR="00E522C1">
        <w:rPr>
          <w:b/>
        </w:rPr>
        <w:t>N</w:t>
      </w:r>
      <w:r>
        <w:rPr>
          <w:b/>
        </w:rPr>
        <w:t>ote on 1 Cor</w:t>
      </w:r>
      <w:r w:rsidR="00FD692B">
        <w:rPr>
          <w:b/>
        </w:rPr>
        <w:t>inthians</w:t>
      </w:r>
      <w:r>
        <w:rPr>
          <w:b/>
        </w:rPr>
        <w:t xml:space="preserve"> 15:24</w:t>
      </w:r>
    </w:p>
    <w:p w:rsidR="00D90FE2" w:rsidRPr="00AE5303" w:rsidRDefault="00D90FE2" w:rsidP="00D90FE2">
      <w:pPr>
        <w:autoSpaceDE w:val="0"/>
        <w:autoSpaceDN w:val="0"/>
        <w:adjustRightInd w:val="0"/>
        <w:spacing w:after="120" w:line="360" w:lineRule="auto"/>
        <w:ind w:right="71"/>
        <w:jc w:val="both"/>
      </w:pPr>
      <w:r w:rsidRPr="00AE5303">
        <w:t>In his note on 1 Cor. 15:24, Scofield again ignores context.  In offering a note on verse 24, it is not sufficient to take that verse alone, let alone to ignore the second half of the verse and to concentrate on a single word.  All the other commentaries studied place discussion of verse 24 within a grouping of verses including, at minimum, verses 20-28.  Fee and Thiselton both emphasise the essential links between</w:t>
      </w:r>
      <w:r w:rsidRPr="00DB1244">
        <w:t xml:space="preserve"> </w:t>
      </w:r>
      <w:r w:rsidRPr="00D940BF">
        <w:rPr>
          <w:rFonts w:ascii="Bwgrkl" w:hAnsi="Bwgrkl" w:cs="Bwgrkl"/>
          <w:lang w:bidi="he-IL"/>
        </w:rPr>
        <w:t>o[tan paradidw/| th.n basilei,an tw/| qew/| kai. patri</w:t>
      </w:r>
      <w:r w:rsidRPr="00DB1244">
        <w:rPr>
          <w:rFonts w:ascii="Bwgrkl" w:hAnsi="Bwgrkl" w:cs="Bwgrkl"/>
          <w:lang w:bidi="he-IL"/>
        </w:rPr>
        <w:t>,</w:t>
      </w:r>
      <w:r w:rsidRPr="00DB1244">
        <w:t xml:space="preserve"> </w:t>
      </w:r>
      <w:r w:rsidRPr="00B719EA">
        <w:t xml:space="preserve">(v. 24) </w:t>
      </w:r>
      <w:r w:rsidRPr="00516F25">
        <w:t xml:space="preserve">and the reason for this, </w:t>
      </w:r>
      <w:r w:rsidRPr="00D940BF">
        <w:rPr>
          <w:rFonts w:ascii="Bwgrkl" w:hAnsi="Bwgrkl" w:cs="Bwgrkl"/>
          <w:lang w:bidi="he-IL"/>
        </w:rPr>
        <w:t>i[na h=| o` qeo.j Îta.Ð pa,nta evn pa/sin</w:t>
      </w:r>
      <w:r w:rsidRPr="00AE5303">
        <w:t xml:space="preserve"> (v. 28).</w:t>
      </w:r>
      <w:r w:rsidRPr="00AE5303">
        <w:rPr>
          <w:rStyle w:val="EndnoteReference"/>
        </w:rPr>
        <w:endnoteReference w:id="3861"/>
      </w:r>
      <w:r w:rsidRPr="00AE5303">
        <w:t xml:space="preserve">  They, together with Plevnik and Robertson-Plummer, have already discussed what has been, and will be, involved Christ’s work in bringing about God’s future status as ‘all in all’, not least the resurrection of the dead, which results from Christ’s conquest of all powers and authorities, including the last enemy, death.</w:t>
      </w:r>
    </w:p>
    <w:p w:rsidR="00D90FE2" w:rsidRPr="00AE5303" w:rsidRDefault="00D90FE2" w:rsidP="00D90FE2">
      <w:pPr>
        <w:autoSpaceDE w:val="0"/>
        <w:autoSpaceDN w:val="0"/>
        <w:adjustRightInd w:val="0"/>
        <w:spacing w:after="120" w:line="360" w:lineRule="auto"/>
        <w:ind w:right="71" w:firstLine="540"/>
        <w:jc w:val="both"/>
      </w:pPr>
      <w:r w:rsidRPr="00AE5303">
        <w:t xml:space="preserve">Scofield again merely propagates material to build his own theological argument at the expense of any deep consideration of the biblical text on which he comments.  He reads into the text ideas which cannot be found within it and consequently has to resort to quotations from other biblical books, which have contexts and purposes very different from those of the text under discussion.  This is another instance of Scofield’s homogenisation of the biblical text and another indication that he is not really </w:t>
      </w:r>
      <w:r w:rsidRPr="00D940BF">
        <w:rPr>
          <w:spacing w:val="4"/>
        </w:rPr>
        <w:t>interested in helping others to understand it.  In commenting on only four of the fifty-eight verses of 1</w:t>
      </w:r>
      <w:r w:rsidRPr="00AE5303">
        <w:t xml:space="preserve"> Corinthians 15, </w:t>
      </w:r>
      <w:r>
        <w:t>Scofield</w:t>
      </w:r>
      <w:r w:rsidRPr="00AE5303">
        <w:t xml:space="preserve"> fails to illuminate adequately a chapter which is complex and doctrinally extremely important.  He cannot justly claim, as he does in his introduction, that ‘obscure and difficult passages, alleged discrepancies or contradictions, and every important type or symbol are elucidated by new references or made the subject of an explanatory footnote’.</w:t>
      </w:r>
      <w:r w:rsidRPr="00AE5303">
        <w:rPr>
          <w:rStyle w:val="EndnoteReference"/>
        </w:rPr>
        <w:endnoteReference w:id="3862"/>
      </w:r>
      <w:r w:rsidRPr="00AE5303">
        <w:t xml:space="preserve">  </w:t>
      </w:r>
    </w:p>
    <w:p w:rsidR="00D90FE2" w:rsidRPr="00AE5303" w:rsidRDefault="00D90FE2" w:rsidP="00D90FE2">
      <w:pPr>
        <w:autoSpaceDE w:val="0"/>
        <w:autoSpaceDN w:val="0"/>
        <w:adjustRightInd w:val="0"/>
        <w:spacing w:after="120" w:line="360" w:lineRule="auto"/>
        <w:ind w:right="71" w:firstLine="540"/>
        <w:jc w:val="both"/>
      </w:pPr>
      <w:r w:rsidRPr="00AE5303">
        <w:t xml:space="preserve">It might be argued that Scofield is providing Bible notes and not producing a detailed exegesis like Fee, Thiselton, Robertson-Plummer and Plevnik, but, even compared with annotation in other reference Bibles, Scofield’s is inadequate.  </w:t>
      </w:r>
      <w:r>
        <w:t>The reference versions of b</w:t>
      </w:r>
      <w:r w:rsidRPr="00AE5303">
        <w:t xml:space="preserve">oth </w:t>
      </w:r>
      <w:r w:rsidRPr="00AE5303">
        <w:rPr>
          <w:i/>
        </w:rPr>
        <w:t>NRSV</w:t>
      </w:r>
      <w:r w:rsidRPr="00AE5303">
        <w:t xml:space="preserve"> and </w:t>
      </w:r>
      <w:r w:rsidRPr="00AE5303">
        <w:rPr>
          <w:i/>
        </w:rPr>
        <w:t>NIV</w:t>
      </w:r>
      <w:r w:rsidRPr="00AE5303">
        <w:t xml:space="preserve"> include notes on all verses of 1 Corinthians 15,</w:t>
      </w:r>
      <w:r w:rsidRPr="00AE5303">
        <w:rPr>
          <w:rStyle w:val="EndnoteReference"/>
        </w:rPr>
        <w:endnoteReference w:id="3863"/>
      </w:r>
      <w:r w:rsidRPr="00AE5303">
        <w:t xml:space="preserve"> even though they, especially </w:t>
      </w:r>
      <w:r w:rsidRPr="00AE5303">
        <w:rPr>
          <w:i/>
        </w:rPr>
        <w:t>NRSV</w:t>
      </w:r>
      <w:r w:rsidRPr="00AE5303">
        <w:t xml:space="preserve">, group some verses together.  Both emphasise resurrection as the theme running throughout 1 Corinthians 15.  In both, the notes on 1 Cor. 15:12-19 </w:t>
      </w:r>
      <w:r w:rsidRPr="00AE5303">
        <w:lastRenderedPageBreak/>
        <w:t xml:space="preserve">emphasise the context of the Corinthians’ doubts about their own resurrection and the essential nature of this resurrection.  The </w:t>
      </w:r>
      <w:r w:rsidRPr="00AE5303">
        <w:rPr>
          <w:i/>
        </w:rPr>
        <w:t>NRSV</w:t>
      </w:r>
      <w:r w:rsidRPr="00AE5303">
        <w:t xml:space="preserve"> note on vv. 20-28 covers the concept of Christ’s resurrection being ‘the initial event in a series of God’s actions which will culminate in the final triumph of his purpose for the whole of the creation’, in which the subjection of everything to God includes that of Christ as God’s Son.  </w:t>
      </w:r>
    </w:p>
    <w:p w:rsidR="00D90FE2" w:rsidRPr="00AE5303" w:rsidRDefault="00D90FE2" w:rsidP="00D90FE2">
      <w:pPr>
        <w:autoSpaceDE w:val="0"/>
        <w:autoSpaceDN w:val="0"/>
        <w:adjustRightInd w:val="0"/>
        <w:spacing w:after="120" w:line="360" w:lineRule="auto"/>
        <w:ind w:right="71" w:firstLine="540"/>
        <w:jc w:val="both"/>
      </w:pPr>
      <w:r w:rsidRPr="00AE5303">
        <w:t xml:space="preserve">The </w:t>
      </w:r>
      <w:r w:rsidRPr="00AE5303">
        <w:rPr>
          <w:i/>
        </w:rPr>
        <w:t>NIV</w:t>
      </w:r>
      <w:r w:rsidRPr="00AE5303">
        <w:t xml:space="preserve"> notes give more detail about Christ’s resurrection as the firstfruits (v. 20), the relationship between Christ and Adam (vv. 21-2), the resurrection of believers (v. 23), the second coming of Christ and ‘all the events accompanying it</w:t>
      </w:r>
      <w:r>
        <w:t>’</w:t>
      </w:r>
      <w:r w:rsidRPr="00AE5303">
        <w:t xml:space="preserve">, including ‘his handing over the kingdom to the Father following his destroying all dominion, authority and power of the persons and forces who oppose him’ (v. 24), Christ’s reign (v. 25), the destruction of death (v. 26) and the subjection of Christ (v. 28).  The existence of alternative views is acknowledged in the note on v. 25 and, in the note on v. 28 there is discussion on the meaning of the Son’s subjection.  Interestingly, the </w:t>
      </w:r>
      <w:r w:rsidRPr="00AE5303">
        <w:rPr>
          <w:i/>
        </w:rPr>
        <w:t>NIV</w:t>
      </w:r>
      <w:r w:rsidRPr="00AE5303">
        <w:t xml:space="preserve"> note on v. 26 places the destruction of death ‘at the end of the second coming events after Christ conquers his enemies … at the great white throne judgment’ and refers to Rev. 19:11-21; 20:5-14.</w:t>
      </w:r>
      <w:r>
        <w:rPr>
          <w:rStyle w:val="EndnoteReference"/>
        </w:rPr>
        <w:endnoteReference w:id="3864"/>
      </w:r>
      <w:r w:rsidRPr="00AE5303">
        <w:t xml:space="preserve">  Like Scofield, this note draws on unrelated texts to make a statement not warranted by the content of the passage in hand.</w:t>
      </w:r>
    </w:p>
    <w:p w:rsidR="00D90FE2" w:rsidRDefault="005E1073" w:rsidP="00D90FE2">
      <w:pPr>
        <w:autoSpaceDE w:val="0"/>
        <w:autoSpaceDN w:val="0"/>
        <w:adjustRightInd w:val="0"/>
        <w:spacing w:line="360" w:lineRule="auto"/>
        <w:ind w:right="74" w:firstLine="539"/>
        <w:jc w:val="both"/>
        <w:sectPr w:rsidR="00D90FE2" w:rsidSect="00D90FE2">
          <w:headerReference w:type="default" r:id="rId235"/>
          <w:footerReference w:type="even" r:id="rId236"/>
          <w:footerReference w:type="default" r:id="rId237"/>
          <w:footnotePr>
            <w:numRestart w:val="eachSect"/>
          </w:footnotePr>
          <w:endnotePr>
            <w:numFmt w:val="decimal"/>
            <w:numRestart w:val="eachSect"/>
          </w:endnotePr>
          <w:pgSz w:w="11907" w:h="16840" w:code="9"/>
          <w:pgMar w:top="1418" w:right="1134" w:bottom="1418" w:left="2268" w:header="709" w:footer="709" w:gutter="0"/>
          <w:cols w:space="708"/>
          <w:docGrid w:linePitch="360"/>
        </w:sectPr>
      </w:pPr>
      <w:r w:rsidRPr="00AE5303">
        <w:t>Scofield’s notes on 1 Cor. 15:24 and 1 Cor. 15:52</w:t>
      </w:r>
      <w:r>
        <w:t xml:space="preserve"> </w:t>
      </w:r>
      <w:r w:rsidRPr="00AE5303">
        <w:t xml:space="preserve">ignore Paul’s whole argument in the chapter, his great treatise on the resurrection of Christ and consequent resurrection of believers, and the place of these in the fulfilment of the ultimate purposes of God.  </w:t>
      </w:r>
      <w:r w:rsidR="00D90FE2" w:rsidRPr="00AE5303">
        <w:t xml:space="preserve">Scofield’s treatment of these two verses appears crude compared to the majestic sweep of the whole chapter and indeed of the whole letter.  </w:t>
      </w:r>
      <w:r w:rsidR="00D90FE2" w:rsidRPr="00A52C87">
        <w:rPr>
          <w:spacing w:val="-4"/>
        </w:rPr>
        <w:t>His limited approach obviates much which could be gained from a fuller and more open reading</w:t>
      </w:r>
      <w:r w:rsidR="00D90FE2" w:rsidRPr="00AE5303">
        <w:t>.</w:t>
      </w:r>
    </w:p>
    <w:p w:rsidR="00555B3B" w:rsidRDefault="00555B3B" w:rsidP="005568FA">
      <w:pPr>
        <w:autoSpaceDE w:val="0"/>
        <w:autoSpaceDN w:val="0"/>
        <w:adjustRightInd w:val="0"/>
        <w:spacing w:after="120" w:line="360" w:lineRule="auto"/>
        <w:ind w:right="74" w:firstLine="539"/>
        <w:jc w:val="center"/>
        <w:rPr>
          <w:b/>
          <w:sz w:val="28"/>
        </w:rPr>
      </w:pPr>
      <w:bookmarkStart w:id="29" w:name="OneCor"/>
      <w:bookmarkStart w:id="30" w:name="Nearandfartables"/>
      <w:bookmarkEnd w:id="29"/>
      <w:bookmarkEnd w:id="30"/>
      <w:r w:rsidRPr="00555B3B">
        <w:rPr>
          <w:b/>
          <w:sz w:val="28"/>
        </w:rPr>
        <w:lastRenderedPageBreak/>
        <w:t>TABLES</w:t>
      </w:r>
    </w:p>
    <w:p w:rsidR="005568FA" w:rsidRDefault="00EB0C81" w:rsidP="005568FA">
      <w:pPr>
        <w:autoSpaceDE w:val="0"/>
        <w:autoSpaceDN w:val="0"/>
        <w:adjustRightInd w:val="0"/>
        <w:spacing w:after="120" w:line="360" w:lineRule="auto"/>
        <w:ind w:right="74" w:firstLine="539"/>
        <w:jc w:val="center"/>
        <w:rPr>
          <w:b/>
          <w:sz w:val="28"/>
        </w:rPr>
      </w:pPr>
      <w:r>
        <w:rPr>
          <w:b/>
          <w:noProof/>
          <w:sz w:val="28"/>
          <w:lang w:eastAsia="en-GB"/>
        </w:rPr>
        <w:drawing>
          <wp:inline distT="0" distB="0" distL="0" distR="0">
            <wp:extent cx="5400675" cy="7539990"/>
            <wp:effectExtent l="0" t="0" r="9525"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r &amp; Far Prophecy rev 22.6.18_Page_1 crop.jpg"/>
                    <pic:cNvPicPr/>
                  </pic:nvPicPr>
                  <pic:blipFill>
                    <a:blip r:embed="rId238">
                      <a:extLst>
                        <a:ext uri="{28A0092B-C50C-407E-A947-70E740481C1C}">
                          <a14:useLocalDpi xmlns:a14="http://schemas.microsoft.com/office/drawing/2010/main" val="0"/>
                        </a:ext>
                      </a:extLst>
                    </a:blip>
                    <a:stretch>
                      <a:fillRect/>
                    </a:stretch>
                  </pic:blipFill>
                  <pic:spPr>
                    <a:xfrm>
                      <a:off x="0" y="0"/>
                      <a:ext cx="5400675" cy="7539990"/>
                    </a:xfrm>
                    <a:prstGeom prst="rect">
                      <a:avLst/>
                    </a:prstGeom>
                  </pic:spPr>
                </pic:pic>
              </a:graphicData>
            </a:graphic>
          </wp:inline>
        </w:drawing>
      </w:r>
    </w:p>
    <w:p w:rsidR="005568FA" w:rsidRDefault="005568FA" w:rsidP="00555B3B">
      <w:pPr>
        <w:autoSpaceDE w:val="0"/>
        <w:autoSpaceDN w:val="0"/>
        <w:adjustRightInd w:val="0"/>
        <w:spacing w:line="360" w:lineRule="auto"/>
        <w:ind w:right="74" w:firstLine="539"/>
        <w:jc w:val="center"/>
        <w:rPr>
          <w:b/>
          <w:sz w:val="28"/>
        </w:rPr>
      </w:pPr>
    </w:p>
    <w:p w:rsidR="004F4CAA" w:rsidRDefault="004F4CAA" w:rsidP="00555B3B">
      <w:pPr>
        <w:autoSpaceDE w:val="0"/>
        <w:autoSpaceDN w:val="0"/>
        <w:adjustRightInd w:val="0"/>
        <w:spacing w:line="360" w:lineRule="auto"/>
        <w:ind w:right="74" w:firstLine="539"/>
        <w:jc w:val="center"/>
        <w:rPr>
          <w:b/>
          <w:sz w:val="28"/>
        </w:rPr>
      </w:pPr>
    </w:p>
    <w:p w:rsidR="004F4CAA" w:rsidRDefault="00EB0C81"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extent cx="5400675" cy="8359140"/>
            <wp:effectExtent l="0" t="0" r="9525"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r &amp; Far Prophecy rev 22.6.18_Page_2 crop.jpg"/>
                    <pic:cNvPicPr/>
                  </pic:nvPicPr>
                  <pic:blipFill>
                    <a:blip r:embed="rId239">
                      <a:extLst>
                        <a:ext uri="{28A0092B-C50C-407E-A947-70E740481C1C}">
                          <a14:useLocalDpi xmlns:a14="http://schemas.microsoft.com/office/drawing/2010/main" val="0"/>
                        </a:ext>
                      </a:extLst>
                    </a:blip>
                    <a:stretch>
                      <a:fillRect/>
                    </a:stretch>
                  </pic:blipFill>
                  <pic:spPr>
                    <a:xfrm>
                      <a:off x="0" y="0"/>
                      <a:ext cx="5400675" cy="8359140"/>
                    </a:xfrm>
                    <a:prstGeom prst="rect">
                      <a:avLst/>
                    </a:prstGeom>
                  </pic:spPr>
                </pic:pic>
              </a:graphicData>
            </a:graphic>
          </wp:inline>
        </w:drawing>
      </w:r>
    </w:p>
    <w:p w:rsidR="005568FA" w:rsidRDefault="005568FA" w:rsidP="00555B3B">
      <w:pPr>
        <w:autoSpaceDE w:val="0"/>
        <w:autoSpaceDN w:val="0"/>
        <w:adjustRightInd w:val="0"/>
        <w:spacing w:line="360" w:lineRule="auto"/>
        <w:ind w:right="74" w:firstLine="539"/>
        <w:jc w:val="center"/>
        <w:rPr>
          <w:b/>
          <w:sz w:val="28"/>
        </w:rPr>
      </w:pPr>
    </w:p>
    <w:p w:rsidR="004F4CAA" w:rsidRDefault="00EB0C81"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extent cx="5400675" cy="8218805"/>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r &amp; Far Prophecy rev 22.6.18_Page_3 crop.jpg"/>
                    <pic:cNvPicPr/>
                  </pic:nvPicPr>
                  <pic:blipFill>
                    <a:blip r:embed="rId240">
                      <a:extLst>
                        <a:ext uri="{28A0092B-C50C-407E-A947-70E740481C1C}">
                          <a14:useLocalDpi xmlns:a14="http://schemas.microsoft.com/office/drawing/2010/main" val="0"/>
                        </a:ext>
                      </a:extLst>
                    </a:blip>
                    <a:stretch>
                      <a:fillRect/>
                    </a:stretch>
                  </pic:blipFill>
                  <pic:spPr>
                    <a:xfrm>
                      <a:off x="0" y="0"/>
                      <a:ext cx="5400675" cy="8218805"/>
                    </a:xfrm>
                    <a:prstGeom prst="rect">
                      <a:avLst/>
                    </a:prstGeom>
                  </pic:spPr>
                </pic:pic>
              </a:graphicData>
            </a:graphic>
          </wp:inline>
        </w:drawing>
      </w:r>
    </w:p>
    <w:p w:rsidR="005568FA" w:rsidRDefault="005568FA" w:rsidP="00555B3B">
      <w:pPr>
        <w:autoSpaceDE w:val="0"/>
        <w:autoSpaceDN w:val="0"/>
        <w:adjustRightInd w:val="0"/>
        <w:spacing w:line="360" w:lineRule="auto"/>
        <w:ind w:right="74" w:firstLine="539"/>
        <w:jc w:val="center"/>
        <w:rPr>
          <w:b/>
          <w:sz w:val="28"/>
        </w:rPr>
      </w:pPr>
    </w:p>
    <w:p w:rsidR="004F4CAA" w:rsidRDefault="00EB0C81"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extent cx="5400675" cy="398907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r &amp; Far Prophecy rev 22.6.18_Page_4 crop.jpg"/>
                    <pic:cNvPicPr/>
                  </pic:nvPicPr>
                  <pic:blipFill>
                    <a:blip r:embed="rId241">
                      <a:extLst>
                        <a:ext uri="{28A0092B-C50C-407E-A947-70E740481C1C}">
                          <a14:useLocalDpi xmlns:a14="http://schemas.microsoft.com/office/drawing/2010/main" val="0"/>
                        </a:ext>
                      </a:extLst>
                    </a:blip>
                    <a:stretch>
                      <a:fillRect/>
                    </a:stretch>
                  </pic:blipFill>
                  <pic:spPr>
                    <a:xfrm>
                      <a:off x="0" y="0"/>
                      <a:ext cx="5400675" cy="3989070"/>
                    </a:xfrm>
                    <a:prstGeom prst="rect">
                      <a:avLst/>
                    </a:prstGeom>
                  </pic:spPr>
                </pic:pic>
              </a:graphicData>
            </a:graphic>
          </wp:inline>
        </w:drawing>
      </w:r>
    </w:p>
    <w:p w:rsidR="004F4CAA" w:rsidRDefault="004F4CAA" w:rsidP="00555B3B">
      <w:pPr>
        <w:autoSpaceDE w:val="0"/>
        <w:autoSpaceDN w:val="0"/>
        <w:adjustRightInd w:val="0"/>
        <w:spacing w:line="360" w:lineRule="auto"/>
        <w:ind w:right="74" w:firstLine="539"/>
        <w:jc w:val="center"/>
        <w:rPr>
          <w:b/>
          <w:sz w:val="28"/>
        </w:rPr>
      </w:pPr>
    </w:p>
    <w:p w:rsidR="00A862EB" w:rsidRDefault="00A862EB" w:rsidP="00555B3B">
      <w:pPr>
        <w:autoSpaceDE w:val="0"/>
        <w:autoSpaceDN w:val="0"/>
        <w:adjustRightInd w:val="0"/>
        <w:spacing w:line="360" w:lineRule="auto"/>
        <w:ind w:right="74" w:firstLine="539"/>
        <w:jc w:val="center"/>
        <w:rPr>
          <w:b/>
          <w:sz w:val="28"/>
        </w:rPr>
      </w:pPr>
    </w:p>
    <w:p w:rsidR="00A862EB" w:rsidRDefault="00A862EB" w:rsidP="00555B3B">
      <w:pPr>
        <w:autoSpaceDE w:val="0"/>
        <w:autoSpaceDN w:val="0"/>
        <w:adjustRightInd w:val="0"/>
        <w:spacing w:line="360" w:lineRule="auto"/>
        <w:ind w:right="74" w:firstLine="539"/>
        <w:jc w:val="center"/>
        <w:rPr>
          <w:b/>
          <w:sz w:val="28"/>
        </w:rPr>
      </w:pPr>
    </w:p>
    <w:p w:rsidR="00A862EB" w:rsidRDefault="00A862EB" w:rsidP="00555B3B">
      <w:pPr>
        <w:autoSpaceDE w:val="0"/>
        <w:autoSpaceDN w:val="0"/>
        <w:adjustRightInd w:val="0"/>
        <w:spacing w:line="360" w:lineRule="auto"/>
        <w:ind w:right="74" w:firstLine="539"/>
        <w:jc w:val="center"/>
        <w:rPr>
          <w:b/>
          <w:sz w:val="28"/>
        </w:rPr>
      </w:pPr>
    </w:p>
    <w:p w:rsidR="00A862EB" w:rsidRDefault="00A862EB" w:rsidP="00555B3B">
      <w:pPr>
        <w:autoSpaceDE w:val="0"/>
        <w:autoSpaceDN w:val="0"/>
        <w:adjustRightInd w:val="0"/>
        <w:spacing w:line="360" w:lineRule="auto"/>
        <w:ind w:right="74" w:firstLine="539"/>
        <w:jc w:val="center"/>
        <w:rPr>
          <w:b/>
          <w:sz w:val="28"/>
        </w:rPr>
      </w:pPr>
    </w:p>
    <w:p w:rsidR="00A862EB" w:rsidRDefault="00A862EB" w:rsidP="00555B3B">
      <w:pPr>
        <w:autoSpaceDE w:val="0"/>
        <w:autoSpaceDN w:val="0"/>
        <w:adjustRightInd w:val="0"/>
        <w:spacing w:line="360" w:lineRule="auto"/>
        <w:ind w:right="74" w:firstLine="539"/>
        <w:jc w:val="center"/>
        <w:rPr>
          <w:b/>
          <w:sz w:val="28"/>
        </w:rPr>
      </w:pPr>
    </w:p>
    <w:p w:rsidR="00A862EB" w:rsidRDefault="00A862EB" w:rsidP="00C9096F">
      <w:pPr>
        <w:autoSpaceDE w:val="0"/>
        <w:autoSpaceDN w:val="0"/>
        <w:adjustRightInd w:val="0"/>
        <w:spacing w:line="360" w:lineRule="auto"/>
        <w:ind w:right="74"/>
        <w:rPr>
          <w:b/>
          <w:sz w:val="28"/>
        </w:rPr>
      </w:pPr>
    </w:p>
    <w:p w:rsidR="00A862EB" w:rsidRDefault="00A862EB" w:rsidP="00555B3B">
      <w:pPr>
        <w:autoSpaceDE w:val="0"/>
        <w:autoSpaceDN w:val="0"/>
        <w:adjustRightInd w:val="0"/>
        <w:spacing w:line="360" w:lineRule="auto"/>
        <w:ind w:right="74" w:firstLine="539"/>
        <w:jc w:val="center"/>
        <w:rPr>
          <w:b/>
          <w:sz w:val="28"/>
        </w:rPr>
      </w:pPr>
    </w:p>
    <w:p w:rsidR="00C9096F" w:rsidRDefault="00C9096F" w:rsidP="00555B3B">
      <w:pPr>
        <w:autoSpaceDE w:val="0"/>
        <w:autoSpaceDN w:val="0"/>
        <w:adjustRightInd w:val="0"/>
        <w:spacing w:line="360" w:lineRule="auto"/>
        <w:ind w:right="74" w:firstLine="539"/>
        <w:jc w:val="center"/>
        <w:rPr>
          <w:b/>
          <w:sz w:val="28"/>
        </w:rPr>
        <w:sectPr w:rsidR="00C9096F" w:rsidSect="00C563BA">
          <w:headerReference w:type="default" r:id="rId242"/>
          <w:footerReference w:type="even" r:id="rId243"/>
          <w:footerReference w:type="default" r:id="rId244"/>
          <w:footnotePr>
            <w:numRestart w:val="eachSect"/>
          </w:footnotePr>
          <w:endnotePr>
            <w:numFmt w:val="decimal"/>
            <w:numRestart w:val="eachSect"/>
          </w:endnotePr>
          <w:pgSz w:w="11907" w:h="16840" w:code="9"/>
          <w:pgMar w:top="1418" w:right="1134" w:bottom="1418" w:left="2268" w:header="709" w:footer="709" w:gutter="0"/>
          <w:cols w:space="708"/>
          <w:docGrid w:linePitch="360"/>
        </w:sectPr>
      </w:pPr>
    </w:p>
    <w:p w:rsidR="004F4CAA" w:rsidRDefault="006E242D" w:rsidP="00555B3B">
      <w:pPr>
        <w:autoSpaceDE w:val="0"/>
        <w:autoSpaceDN w:val="0"/>
        <w:adjustRightInd w:val="0"/>
        <w:spacing w:line="360" w:lineRule="auto"/>
        <w:ind w:right="74" w:firstLine="539"/>
        <w:jc w:val="center"/>
        <w:rPr>
          <w:b/>
          <w:sz w:val="28"/>
        </w:rPr>
      </w:pPr>
      <w:bookmarkStart w:id="31" w:name="AsYetUnfulfilled"/>
      <w:bookmarkEnd w:id="31"/>
      <w:r>
        <w:rPr>
          <w:b/>
          <w:noProof/>
          <w:sz w:val="28"/>
          <w:lang w:eastAsia="en-GB"/>
        </w:rPr>
        <w:lastRenderedPageBreak/>
        <w:drawing>
          <wp:inline distT="0" distB="0" distL="0" distR="0" wp14:anchorId="5B8DDD58" wp14:editId="6C716A1C">
            <wp:extent cx="5400675" cy="8313420"/>
            <wp:effectExtent l="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ULF~1.JPG"/>
                    <pic:cNvPicPr/>
                  </pic:nvPicPr>
                  <pic:blipFill>
                    <a:blip r:embed="rId245">
                      <a:extLst>
                        <a:ext uri="{28A0092B-C50C-407E-A947-70E740481C1C}">
                          <a14:useLocalDpi xmlns:a14="http://schemas.microsoft.com/office/drawing/2010/main" val="0"/>
                        </a:ext>
                      </a:extLst>
                    </a:blip>
                    <a:stretch>
                      <a:fillRect/>
                    </a:stretch>
                  </pic:blipFill>
                  <pic:spPr>
                    <a:xfrm>
                      <a:off x="0" y="0"/>
                      <a:ext cx="5400675" cy="8313420"/>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60098A6" wp14:editId="6FED0878">
            <wp:extent cx="5400675" cy="8373745"/>
            <wp:effectExtent l="0" t="0" r="9525"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ULF~2.JPG"/>
                    <pic:cNvPicPr/>
                  </pic:nvPicPr>
                  <pic:blipFill>
                    <a:blip r:embed="rId246">
                      <a:extLst>
                        <a:ext uri="{28A0092B-C50C-407E-A947-70E740481C1C}">
                          <a14:useLocalDpi xmlns:a14="http://schemas.microsoft.com/office/drawing/2010/main" val="0"/>
                        </a:ext>
                      </a:extLst>
                    </a:blip>
                    <a:stretch>
                      <a:fillRect/>
                    </a:stretch>
                  </pic:blipFill>
                  <pic:spPr>
                    <a:xfrm>
                      <a:off x="0" y="0"/>
                      <a:ext cx="5400675" cy="8373745"/>
                    </a:xfrm>
                    <a:prstGeom prst="rect">
                      <a:avLst/>
                    </a:prstGeom>
                  </pic:spPr>
                </pic:pic>
              </a:graphicData>
            </a:graphic>
          </wp:inline>
        </w:drawing>
      </w:r>
    </w:p>
    <w:p w:rsidR="00D76B86" w:rsidRDefault="00D76B86"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736AE092" wp14:editId="66364057">
            <wp:extent cx="5400675" cy="7733665"/>
            <wp:effectExtent l="0" t="0" r="9525"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ULF~3.JPG"/>
                    <pic:cNvPicPr/>
                  </pic:nvPicPr>
                  <pic:blipFill>
                    <a:blip r:embed="rId247">
                      <a:extLst>
                        <a:ext uri="{28A0092B-C50C-407E-A947-70E740481C1C}">
                          <a14:useLocalDpi xmlns:a14="http://schemas.microsoft.com/office/drawing/2010/main" val="0"/>
                        </a:ext>
                      </a:extLst>
                    </a:blip>
                    <a:stretch>
                      <a:fillRect/>
                    </a:stretch>
                  </pic:blipFill>
                  <pic:spPr>
                    <a:xfrm>
                      <a:off x="0" y="0"/>
                      <a:ext cx="5400675" cy="7733665"/>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A4F3AD2" wp14:editId="5C9075BC">
            <wp:extent cx="5400675" cy="8359140"/>
            <wp:effectExtent l="0" t="0" r="9525"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ULF~4.JPG"/>
                    <pic:cNvPicPr/>
                  </pic:nvPicPr>
                  <pic:blipFill>
                    <a:blip r:embed="rId248">
                      <a:extLst>
                        <a:ext uri="{28A0092B-C50C-407E-A947-70E740481C1C}">
                          <a14:useLocalDpi xmlns:a14="http://schemas.microsoft.com/office/drawing/2010/main" val="0"/>
                        </a:ext>
                      </a:extLst>
                    </a:blip>
                    <a:stretch>
                      <a:fillRect/>
                    </a:stretch>
                  </pic:blipFill>
                  <pic:spPr>
                    <a:xfrm>
                      <a:off x="0" y="0"/>
                      <a:ext cx="5400675" cy="8359140"/>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2D019945" wp14:editId="3161BC17">
            <wp:extent cx="5400675" cy="7823835"/>
            <wp:effectExtent l="0" t="0" r="9525"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0EE8~1.JPG"/>
                    <pic:cNvPicPr/>
                  </pic:nvPicPr>
                  <pic:blipFill>
                    <a:blip r:embed="rId249">
                      <a:extLst>
                        <a:ext uri="{28A0092B-C50C-407E-A947-70E740481C1C}">
                          <a14:useLocalDpi xmlns:a14="http://schemas.microsoft.com/office/drawing/2010/main" val="0"/>
                        </a:ext>
                      </a:extLst>
                    </a:blip>
                    <a:stretch>
                      <a:fillRect/>
                    </a:stretch>
                  </pic:blipFill>
                  <pic:spPr>
                    <a:xfrm>
                      <a:off x="0" y="0"/>
                      <a:ext cx="5400675" cy="7823835"/>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0D7997E6" wp14:editId="0CC5085B">
            <wp:extent cx="5400675" cy="2558415"/>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9963~1.JPG"/>
                    <pic:cNvPicPr/>
                  </pic:nvPicPr>
                  <pic:blipFill>
                    <a:blip r:embed="rId250">
                      <a:extLst>
                        <a:ext uri="{28A0092B-C50C-407E-A947-70E740481C1C}">
                          <a14:useLocalDpi xmlns:a14="http://schemas.microsoft.com/office/drawing/2010/main" val="0"/>
                        </a:ext>
                      </a:extLst>
                    </a:blip>
                    <a:stretch>
                      <a:fillRect/>
                    </a:stretch>
                  </pic:blipFill>
                  <pic:spPr>
                    <a:xfrm>
                      <a:off x="0" y="0"/>
                      <a:ext cx="5400675" cy="2558415"/>
                    </a:xfrm>
                    <a:prstGeom prst="rect">
                      <a:avLst/>
                    </a:prstGeom>
                  </pic:spPr>
                </pic:pic>
              </a:graphicData>
            </a:graphic>
          </wp:inline>
        </w:drawing>
      </w:r>
    </w:p>
    <w:p w:rsidR="006E242D" w:rsidRPr="00A52C87" w:rsidRDefault="00A52C87" w:rsidP="00A52C87">
      <w:pPr>
        <w:autoSpaceDE w:val="0"/>
        <w:autoSpaceDN w:val="0"/>
        <w:adjustRightInd w:val="0"/>
        <w:spacing w:line="360" w:lineRule="auto"/>
        <w:ind w:right="74" w:firstLine="539"/>
        <w:rPr>
          <w:b/>
          <w:i/>
        </w:rPr>
      </w:pPr>
      <w:r w:rsidRPr="00A52C87">
        <w:rPr>
          <w:b/>
          <w:i/>
        </w:rPr>
        <w:t>Continued overleaf</w:t>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7DDE4E91" wp14:editId="547903C4">
            <wp:extent cx="5400675" cy="810133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25ED~1.JPG"/>
                    <pic:cNvPicPr/>
                  </pic:nvPicPr>
                  <pic:blipFill>
                    <a:blip r:embed="rId251">
                      <a:extLst>
                        <a:ext uri="{28A0092B-C50C-407E-A947-70E740481C1C}">
                          <a14:useLocalDpi xmlns:a14="http://schemas.microsoft.com/office/drawing/2010/main" val="0"/>
                        </a:ext>
                      </a:extLst>
                    </a:blip>
                    <a:stretch>
                      <a:fillRect/>
                    </a:stretch>
                  </pic:blipFill>
                  <pic:spPr>
                    <a:xfrm>
                      <a:off x="0" y="0"/>
                      <a:ext cx="5400675" cy="8101330"/>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192500B" wp14:editId="251587AB">
            <wp:extent cx="5400675" cy="6828155"/>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EFA~1.JPG"/>
                    <pic:cNvPicPr/>
                  </pic:nvPicPr>
                  <pic:blipFill>
                    <a:blip r:embed="rId252">
                      <a:extLst>
                        <a:ext uri="{28A0092B-C50C-407E-A947-70E740481C1C}">
                          <a14:useLocalDpi xmlns:a14="http://schemas.microsoft.com/office/drawing/2010/main" val="0"/>
                        </a:ext>
                      </a:extLst>
                    </a:blip>
                    <a:stretch>
                      <a:fillRect/>
                    </a:stretch>
                  </pic:blipFill>
                  <pic:spPr>
                    <a:xfrm>
                      <a:off x="0" y="0"/>
                      <a:ext cx="5400675" cy="6828155"/>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6028483" wp14:editId="69A263D0">
            <wp:extent cx="5400675" cy="6609715"/>
            <wp:effectExtent l="0" t="0" r="952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5380~1.JPG"/>
                    <pic:cNvPicPr/>
                  </pic:nvPicPr>
                  <pic:blipFill>
                    <a:blip r:embed="rId253">
                      <a:extLst>
                        <a:ext uri="{28A0092B-C50C-407E-A947-70E740481C1C}">
                          <a14:useLocalDpi xmlns:a14="http://schemas.microsoft.com/office/drawing/2010/main" val="0"/>
                        </a:ext>
                      </a:extLst>
                    </a:blip>
                    <a:stretch>
                      <a:fillRect/>
                    </a:stretch>
                  </pic:blipFill>
                  <pic:spPr>
                    <a:xfrm>
                      <a:off x="0" y="0"/>
                      <a:ext cx="5400675" cy="6609715"/>
                    </a:xfrm>
                    <a:prstGeom prst="rect">
                      <a:avLst/>
                    </a:prstGeom>
                  </pic:spPr>
                </pic:pic>
              </a:graphicData>
            </a:graphic>
          </wp:inline>
        </w:drawing>
      </w: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6E242D" w:rsidP="00555B3B">
      <w:pPr>
        <w:autoSpaceDE w:val="0"/>
        <w:autoSpaceDN w:val="0"/>
        <w:adjustRightInd w:val="0"/>
        <w:spacing w:line="360" w:lineRule="auto"/>
        <w:ind w:right="74" w:firstLine="539"/>
        <w:jc w:val="center"/>
        <w:rPr>
          <w:b/>
          <w:sz w:val="28"/>
        </w:rPr>
      </w:pPr>
    </w:p>
    <w:p w:rsidR="006E242D"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15DC14AE" wp14:editId="37122330">
            <wp:extent cx="5400675" cy="8036560"/>
            <wp:effectExtent l="0" t="0" r="9525"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0068~1.JPG"/>
                    <pic:cNvPicPr/>
                  </pic:nvPicPr>
                  <pic:blipFill>
                    <a:blip r:embed="rId254">
                      <a:extLst>
                        <a:ext uri="{28A0092B-C50C-407E-A947-70E740481C1C}">
                          <a14:useLocalDpi xmlns:a14="http://schemas.microsoft.com/office/drawing/2010/main" val="0"/>
                        </a:ext>
                      </a:extLst>
                    </a:blip>
                    <a:stretch>
                      <a:fillRect/>
                    </a:stretch>
                  </pic:blipFill>
                  <pic:spPr>
                    <a:xfrm>
                      <a:off x="0" y="0"/>
                      <a:ext cx="5400675" cy="803656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DDCC952" wp14:editId="2A24234F">
            <wp:extent cx="5400675" cy="5782310"/>
            <wp:effectExtent l="0" t="0" r="9525"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0C7F~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00675" cy="578231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76B6358" wp14:editId="7DCEF20B">
            <wp:extent cx="5400675" cy="5815965"/>
            <wp:effectExtent l="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7806~1.JPG"/>
                    <pic:cNvPicPr/>
                  </pic:nvPicPr>
                  <pic:blipFill>
                    <a:blip r:embed="rId256">
                      <a:extLst>
                        <a:ext uri="{28A0092B-C50C-407E-A947-70E740481C1C}">
                          <a14:useLocalDpi xmlns:a14="http://schemas.microsoft.com/office/drawing/2010/main" val="0"/>
                        </a:ext>
                      </a:extLst>
                    </a:blip>
                    <a:stretch>
                      <a:fillRect/>
                    </a:stretch>
                  </pic:blipFill>
                  <pic:spPr>
                    <a:xfrm>
                      <a:off x="0" y="0"/>
                      <a:ext cx="5400675" cy="5815965"/>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0728905A" wp14:editId="3A368604">
            <wp:extent cx="5400675" cy="7674610"/>
            <wp:effectExtent l="0" t="0" r="9525" b="254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C8B~1.JPG"/>
                    <pic:cNvPicPr/>
                  </pic:nvPicPr>
                  <pic:blipFill>
                    <a:blip r:embed="rId257">
                      <a:extLst>
                        <a:ext uri="{28A0092B-C50C-407E-A947-70E740481C1C}">
                          <a14:useLocalDpi xmlns:a14="http://schemas.microsoft.com/office/drawing/2010/main" val="0"/>
                        </a:ext>
                      </a:extLst>
                    </a:blip>
                    <a:stretch>
                      <a:fillRect/>
                    </a:stretch>
                  </pic:blipFill>
                  <pic:spPr>
                    <a:xfrm>
                      <a:off x="0" y="0"/>
                      <a:ext cx="5400675" cy="767461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8C01F91" wp14:editId="5D87EEE4">
            <wp:extent cx="5400675" cy="8319770"/>
            <wp:effectExtent l="0" t="0" r="9525" b="508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074~1.JPG"/>
                    <pic:cNvPicPr/>
                  </pic:nvPicPr>
                  <pic:blipFill>
                    <a:blip r:embed="rId258">
                      <a:extLst>
                        <a:ext uri="{28A0092B-C50C-407E-A947-70E740481C1C}">
                          <a14:useLocalDpi xmlns:a14="http://schemas.microsoft.com/office/drawing/2010/main" val="0"/>
                        </a:ext>
                      </a:extLst>
                    </a:blip>
                    <a:stretch>
                      <a:fillRect/>
                    </a:stretch>
                  </pic:blipFill>
                  <pic:spPr>
                    <a:xfrm>
                      <a:off x="0" y="0"/>
                      <a:ext cx="5400675" cy="831977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2E48C47" wp14:editId="54E64567">
            <wp:extent cx="5400675" cy="789051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45D~1.JPG"/>
                    <pic:cNvPicPr/>
                  </pic:nvPicPr>
                  <pic:blipFill>
                    <a:blip r:embed="rId259">
                      <a:extLst>
                        <a:ext uri="{28A0092B-C50C-407E-A947-70E740481C1C}">
                          <a14:useLocalDpi xmlns:a14="http://schemas.microsoft.com/office/drawing/2010/main" val="0"/>
                        </a:ext>
                      </a:extLst>
                    </a:blip>
                    <a:stretch>
                      <a:fillRect/>
                    </a:stretch>
                  </pic:blipFill>
                  <pic:spPr>
                    <a:xfrm>
                      <a:off x="0" y="0"/>
                      <a:ext cx="5400675" cy="789051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p>
    <w:p w:rsidR="00FB706F" w:rsidRDefault="00FB706F"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21015072" wp14:editId="4A77D897">
            <wp:extent cx="5400675" cy="8300720"/>
            <wp:effectExtent l="0" t="0" r="9525"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4AA~1.JPG"/>
                    <pic:cNvPicPr/>
                  </pic:nvPicPr>
                  <pic:blipFill>
                    <a:blip r:embed="rId260">
                      <a:extLst>
                        <a:ext uri="{28A0092B-C50C-407E-A947-70E740481C1C}">
                          <a14:useLocalDpi xmlns:a14="http://schemas.microsoft.com/office/drawing/2010/main" val="0"/>
                        </a:ext>
                      </a:extLst>
                    </a:blip>
                    <a:stretch>
                      <a:fillRect/>
                    </a:stretch>
                  </pic:blipFill>
                  <pic:spPr>
                    <a:xfrm>
                      <a:off x="0" y="0"/>
                      <a:ext cx="5400675" cy="8300720"/>
                    </a:xfrm>
                    <a:prstGeom prst="rect">
                      <a:avLst/>
                    </a:prstGeom>
                  </pic:spPr>
                </pic:pic>
              </a:graphicData>
            </a:graphic>
          </wp:inline>
        </w:drawing>
      </w:r>
    </w:p>
    <w:p w:rsidR="00FB706F" w:rsidRDefault="00FB706F" w:rsidP="00555B3B">
      <w:pPr>
        <w:autoSpaceDE w:val="0"/>
        <w:autoSpaceDN w:val="0"/>
        <w:adjustRightInd w:val="0"/>
        <w:spacing w:line="360" w:lineRule="auto"/>
        <w:ind w:right="74" w:firstLine="539"/>
        <w:jc w:val="center"/>
        <w:rPr>
          <w:b/>
          <w:sz w:val="28"/>
        </w:rPr>
      </w:pPr>
    </w:p>
    <w:p w:rsidR="00FB706F" w:rsidRDefault="0038584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72BCF504" wp14:editId="56108453">
            <wp:extent cx="5400675" cy="7571105"/>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0C1~1.JPG"/>
                    <pic:cNvPicPr/>
                  </pic:nvPicPr>
                  <pic:blipFill>
                    <a:blip r:embed="rId261">
                      <a:extLst>
                        <a:ext uri="{28A0092B-C50C-407E-A947-70E740481C1C}">
                          <a14:useLocalDpi xmlns:a14="http://schemas.microsoft.com/office/drawing/2010/main" val="0"/>
                        </a:ext>
                      </a:extLst>
                    </a:blip>
                    <a:stretch>
                      <a:fillRect/>
                    </a:stretch>
                  </pic:blipFill>
                  <pic:spPr>
                    <a:xfrm>
                      <a:off x="0" y="0"/>
                      <a:ext cx="5400675" cy="7571105"/>
                    </a:xfrm>
                    <a:prstGeom prst="rect">
                      <a:avLst/>
                    </a:prstGeom>
                  </pic:spPr>
                </pic:pic>
              </a:graphicData>
            </a:graphic>
          </wp:inline>
        </w:drawing>
      </w:r>
    </w:p>
    <w:p w:rsidR="00385845" w:rsidRDefault="00385845" w:rsidP="00555B3B">
      <w:pPr>
        <w:autoSpaceDE w:val="0"/>
        <w:autoSpaceDN w:val="0"/>
        <w:adjustRightInd w:val="0"/>
        <w:spacing w:line="360" w:lineRule="auto"/>
        <w:ind w:right="74" w:firstLine="539"/>
        <w:jc w:val="center"/>
        <w:rPr>
          <w:b/>
          <w:sz w:val="28"/>
        </w:rPr>
      </w:pPr>
    </w:p>
    <w:p w:rsidR="00385845" w:rsidRDefault="00385845" w:rsidP="00555B3B">
      <w:pPr>
        <w:autoSpaceDE w:val="0"/>
        <w:autoSpaceDN w:val="0"/>
        <w:adjustRightInd w:val="0"/>
        <w:spacing w:line="360" w:lineRule="auto"/>
        <w:ind w:right="74" w:firstLine="539"/>
        <w:jc w:val="center"/>
        <w:rPr>
          <w:b/>
          <w:sz w:val="28"/>
        </w:rPr>
      </w:pPr>
    </w:p>
    <w:p w:rsidR="00385845" w:rsidRDefault="00385845" w:rsidP="00555B3B">
      <w:pPr>
        <w:autoSpaceDE w:val="0"/>
        <w:autoSpaceDN w:val="0"/>
        <w:adjustRightInd w:val="0"/>
        <w:spacing w:line="360" w:lineRule="auto"/>
        <w:ind w:right="74" w:firstLine="539"/>
        <w:jc w:val="center"/>
        <w:rPr>
          <w:b/>
          <w:sz w:val="28"/>
        </w:rPr>
      </w:pPr>
    </w:p>
    <w:p w:rsidR="00385845" w:rsidRDefault="0038584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2B15751" wp14:editId="786F9F3B">
            <wp:extent cx="5400675" cy="7919085"/>
            <wp:effectExtent l="0" t="0" r="9525" b="57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CD8~1.JPG"/>
                    <pic:cNvPicPr/>
                  </pic:nvPicPr>
                  <pic:blipFill>
                    <a:blip r:embed="rId262">
                      <a:extLst>
                        <a:ext uri="{28A0092B-C50C-407E-A947-70E740481C1C}">
                          <a14:useLocalDpi xmlns:a14="http://schemas.microsoft.com/office/drawing/2010/main" val="0"/>
                        </a:ext>
                      </a:extLst>
                    </a:blip>
                    <a:stretch>
                      <a:fillRect/>
                    </a:stretch>
                  </pic:blipFill>
                  <pic:spPr>
                    <a:xfrm>
                      <a:off x="0" y="0"/>
                      <a:ext cx="5400675" cy="7919085"/>
                    </a:xfrm>
                    <a:prstGeom prst="rect">
                      <a:avLst/>
                    </a:prstGeom>
                  </pic:spPr>
                </pic:pic>
              </a:graphicData>
            </a:graphic>
          </wp:inline>
        </w:drawing>
      </w:r>
    </w:p>
    <w:p w:rsidR="00385845" w:rsidRDefault="00385845" w:rsidP="00555B3B">
      <w:pPr>
        <w:autoSpaceDE w:val="0"/>
        <w:autoSpaceDN w:val="0"/>
        <w:adjustRightInd w:val="0"/>
        <w:spacing w:line="360" w:lineRule="auto"/>
        <w:ind w:right="74" w:firstLine="539"/>
        <w:jc w:val="center"/>
        <w:rPr>
          <w:b/>
          <w:sz w:val="28"/>
        </w:rPr>
      </w:pPr>
    </w:p>
    <w:p w:rsidR="00385845" w:rsidRDefault="00385845" w:rsidP="00555B3B">
      <w:pPr>
        <w:autoSpaceDE w:val="0"/>
        <w:autoSpaceDN w:val="0"/>
        <w:adjustRightInd w:val="0"/>
        <w:spacing w:line="360" w:lineRule="auto"/>
        <w:ind w:right="74" w:firstLine="539"/>
        <w:jc w:val="center"/>
        <w:rPr>
          <w:b/>
          <w:sz w:val="28"/>
        </w:rPr>
      </w:pPr>
    </w:p>
    <w:p w:rsidR="00385845" w:rsidRDefault="0038584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D3C8E58" wp14:editId="472DC62C">
            <wp:extent cx="5400675" cy="821055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8853~1.JPG"/>
                    <pic:cNvPicPr/>
                  </pic:nvPicPr>
                  <pic:blipFill>
                    <a:blip r:embed="rId263">
                      <a:extLst>
                        <a:ext uri="{28A0092B-C50C-407E-A947-70E740481C1C}">
                          <a14:useLocalDpi xmlns:a14="http://schemas.microsoft.com/office/drawing/2010/main" val="0"/>
                        </a:ext>
                      </a:extLst>
                    </a:blip>
                    <a:stretch>
                      <a:fillRect/>
                    </a:stretch>
                  </pic:blipFill>
                  <pic:spPr>
                    <a:xfrm>
                      <a:off x="0" y="0"/>
                      <a:ext cx="5400675" cy="8210550"/>
                    </a:xfrm>
                    <a:prstGeom prst="rect">
                      <a:avLst/>
                    </a:prstGeom>
                  </pic:spPr>
                </pic:pic>
              </a:graphicData>
            </a:graphic>
          </wp:inline>
        </w:drawing>
      </w:r>
    </w:p>
    <w:p w:rsidR="00385845" w:rsidRDefault="00385845" w:rsidP="00555B3B">
      <w:pPr>
        <w:autoSpaceDE w:val="0"/>
        <w:autoSpaceDN w:val="0"/>
        <w:adjustRightInd w:val="0"/>
        <w:spacing w:line="360" w:lineRule="auto"/>
        <w:ind w:right="74" w:firstLine="539"/>
        <w:jc w:val="center"/>
        <w:rPr>
          <w:b/>
          <w:sz w:val="28"/>
        </w:rPr>
      </w:pPr>
    </w:p>
    <w:p w:rsidR="00385845" w:rsidRDefault="008A695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21857BB" wp14:editId="3AEA814B">
            <wp:extent cx="5400675" cy="82169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538A~1.JPG"/>
                    <pic:cNvPicPr/>
                  </pic:nvPicPr>
                  <pic:blipFill>
                    <a:blip r:embed="rId264">
                      <a:extLst>
                        <a:ext uri="{28A0092B-C50C-407E-A947-70E740481C1C}">
                          <a14:useLocalDpi xmlns:a14="http://schemas.microsoft.com/office/drawing/2010/main" val="0"/>
                        </a:ext>
                      </a:extLst>
                    </a:blip>
                    <a:stretch>
                      <a:fillRect/>
                    </a:stretch>
                  </pic:blipFill>
                  <pic:spPr>
                    <a:xfrm>
                      <a:off x="0" y="0"/>
                      <a:ext cx="5400675" cy="8216900"/>
                    </a:xfrm>
                    <a:prstGeom prst="rect">
                      <a:avLst/>
                    </a:prstGeom>
                  </pic:spPr>
                </pic:pic>
              </a:graphicData>
            </a:graphic>
          </wp:inline>
        </w:drawing>
      </w:r>
    </w:p>
    <w:p w:rsidR="008A6958" w:rsidRDefault="008A6958" w:rsidP="00555B3B">
      <w:pPr>
        <w:autoSpaceDE w:val="0"/>
        <w:autoSpaceDN w:val="0"/>
        <w:adjustRightInd w:val="0"/>
        <w:spacing w:line="360" w:lineRule="auto"/>
        <w:ind w:right="74" w:firstLine="539"/>
        <w:jc w:val="center"/>
        <w:rPr>
          <w:b/>
          <w:sz w:val="28"/>
        </w:rPr>
      </w:pPr>
    </w:p>
    <w:p w:rsidR="008A6958" w:rsidRDefault="00A954A1"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16EE459" wp14:editId="263B1CD3">
            <wp:extent cx="5400675" cy="8017510"/>
            <wp:effectExtent l="0" t="0" r="9525"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753~1.JPG"/>
                    <pic:cNvPicPr/>
                  </pic:nvPicPr>
                  <pic:blipFill>
                    <a:blip r:embed="rId265">
                      <a:extLst>
                        <a:ext uri="{28A0092B-C50C-407E-A947-70E740481C1C}">
                          <a14:useLocalDpi xmlns:a14="http://schemas.microsoft.com/office/drawing/2010/main" val="0"/>
                        </a:ext>
                      </a:extLst>
                    </a:blip>
                    <a:stretch>
                      <a:fillRect/>
                    </a:stretch>
                  </pic:blipFill>
                  <pic:spPr>
                    <a:xfrm>
                      <a:off x="0" y="0"/>
                      <a:ext cx="5400675" cy="8017510"/>
                    </a:xfrm>
                    <a:prstGeom prst="rect">
                      <a:avLst/>
                    </a:prstGeom>
                  </pic:spPr>
                </pic:pic>
              </a:graphicData>
            </a:graphic>
          </wp:inline>
        </w:drawing>
      </w:r>
    </w:p>
    <w:p w:rsidR="00A954A1" w:rsidRDefault="00A954A1" w:rsidP="00555B3B">
      <w:pPr>
        <w:autoSpaceDE w:val="0"/>
        <w:autoSpaceDN w:val="0"/>
        <w:adjustRightInd w:val="0"/>
        <w:spacing w:line="360" w:lineRule="auto"/>
        <w:ind w:right="74" w:firstLine="539"/>
        <w:jc w:val="center"/>
        <w:rPr>
          <w:b/>
          <w:sz w:val="28"/>
        </w:rPr>
      </w:pPr>
    </w:p>
    <w:p w:rsidR="00A954A1" w:rsidRDefault="00A954A1" w:rsidP="00555B3B">
      <w:pPr>
        <w:autoSpaceDE w:val="0"/>
        <w:autoSpaceDN w:val="0"/>
        <w:adjustRightInd w:val="0"/>
        <w:spacing w:line="360" w:lineRule="auto"/>
        <w:ind w:right="74" w:firstLine="539"/>
        <w:jc w:val="center"/>
        <w:rPr>
          <w:b/>
          <w:sz w:val="28"/>
        </w:rPr>
      </w:pPr>
    </w:p>
    <w:p w:rsidR="00A954A1" w:rsidRDefault="000F75DD" w:rsidP="00555B3B">
      <w:pPr>
        <w:autoSpaceDE w:val="0"/>
        <w:autoSpaceDN w:val="0"/>
        <w:adjustRightInd w:val="0"/>
        <w:spacing w:line="360" w:lineRule="auto"/>
        <w:ind w:right="74" w:firstLine="539"/>
        <w:jc w:val="center"/>
        <w:rPr>
          <w:b/>
          <w:sz w:val="28"/>
        </w:rPr>
      </w:pPr>
      <w:r>
        <w:rPr>
          <w:b/>
          <w:noProof/>
          <w:sz w:val="28"/>
          <w:lang w:eastAsia="en-GB"/>
        </w:rPr>
        <w:drawing>
          <wp:inline distT="0" distB="0" distL="0" distR="0" wp14:anchorId="44CD931C" wp14:editId="1D916574">
            <wp:extent cx="5400675" cy="6341745"/>
            <wp:effectExtent l="0" t="0" r="9525" b="190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63DD~1.JPG"/>
                    <pic:cNvPicPr/>
                  </pic:nvPicPr>
                  <pic:blipFill>
                    <a:blip r:embed="rId266">
                      <a:extLst>
                        <a:ext uri="{28A0092B-C50C-407E-A947-70E740481C1C}">
                          <a14:useLocalDpi xmlns:a14="http://schemas.microsoft.com/office/drawing/2010/main" val="0"/>
                        </a:ext>
                      </a:extLst>
                    </a:blip>
                    <a:stretch>
                      <a:fillRect/>
                    </a:stretch>
                  </pic:blipFill>
                  <pic:spPr>
                    <a:xfrm>
                      <a:off x="0" y="0"/>
                      <a:ext cx="5400675" cy="6341745"/>
                    </a:xfrm>
                    <a:prstGeom prst="rect">
                      <a:avLst/>
                    </a:prstGeom>
                  </pic:spPr>
                </pic:pic>
              </a:graphicData>
            </a:graphic>
          </wp:inline>
        </w:drawing>
      </w:r>
    </w:p>
    <w:p w:rsidR="000F75DD" w:rsidRDefault="000F75DD" w:rsidP="00555B3B">
      <w:pPr>
        <w:autoSpaceDE w:val="0"/>
        <w:autoSpaceDN w:val="0"/>
        <w:adjustRightInd w:val="0"/>
        <w:spacing w:line="360" w:lineRule="auto"/>
        <w:ind w:right="74" w:firstLine="539"/>
        <w:jc w:val="center"/>
        <w:rPr>
          <w:b/>
          <w:sz w:val="28"/>
        </w:rPr>
      </w:pPr>
    </w:p>
    <w:p w:rsidR="000F75DD" w:rsidRDefault="000F75DD" w:rsidP="00555B3B">
      <w:pPr>
        <w:autoSpaceDE w:val="0"/>
        <w:autoSpaceDN w:val="0"/>
        <w:adjustRightInd w:val="0"/>
        <w:spacing w:line="360" w:lineRule="auto"/>
        <w:ind w:right="74" w:firstLine="539"/>
        <w:jc w:val="center"/>
        <w:rPr>
          <w:b/>
          <w:sz w:val="28"/>
        </w:rPr>
      </w:pPr>
    </w:p>
    <w:p w:rsidR="000F75DD" w:rsidRDefault="000F75DD" w:rsidP="00555B3B">
      <w:pPr>
        <w:autoSpaceDE w:val="0"/>
        <w:autoSpaceDN w:val="0"/>
        <w:adjustRightInd w:val="0"/>
        <w:spacing w:line="360" w:lineRule="auto"/>
        <w:ind w:right="74" w:firstLine="539"/>
        <w:jc w:val="center"/>
        <w:rPr>
          <w:b/>
          <w:sz w:val="28"/>
        </w:rPr>
      </w:pPr>
    </w:p>
    <w:p w:rsidR="000F75DD" w:rsidRDefault="000F75DD" w:rsidP="00555B3B">
      <w:pPr>
        <w:autoSpaceDE w:val="0"/>
        <w:autoSpaceDN w:val="0"/>
        <w:adjustRightInd w:val="0"/>
        <w:spacing w:line="360" w:lineRule="auto"/>
        <w:ind w:right="74" w:firstLine="539"/>
        <w:jc w:val="center"/>
        <w:rPr>
          <w:b/>
          <w:sz w:val="28"/>
        </w:rPr>
      </w:pPr>
    </w:p>
    <w:p w:rsidR="000F75DD" w:rsidRDefault="000F75DD" w:rsidP="00555B3B">
      <w:pPr>
        <w:autoSpaceDE w:val="0"/>
        <w:autoSpaceDN w:val="0"/>
        <w:adjustRightInd w:val="0"/>
        <w:spacing w:line="360" w:lineRule="auto"/>
        <w:ind w:right="74" w:firstLine="539"/>
        <w:jc w:val="center"/>
        <w:rPr>
          <w:b/>
          <w:sz w:val="28"/>
        </w:rPr>
      </w:pPr>
    </w:p>
    <w:p w:rsidR="000F75DD" w:rsidRDefault="001E6CA3" w:rsidP="00555B3B">
      <w:pPr>
        <w:autoSpaceDE w:val="0"/>
        <w:autoSpaceDN w:val="0"/>
        <w:adjustRightInd w:val="0"/>
        <w:spacing w:line="360" w:lineRule="auto"/>
        <w:ind w:right="74" w:firstLine="539"/>
        <w:jc w:val="center"/>
        <w:rPr>
          <w:b/>
          <w:sz w:val="28"/>
        </w:rPr>
      </w:pPr>
      <w:r>
        <w:rPr>
          <w:b/>
          <w:noProof/>
          <w:sz w:val="28"/>
          <w:lang w:eastAsia="en-GB"/>
        </w:rPr>
        <w:drawing>
          <wp:inline distT="0" distB="0" distL="0" distR="0" wp14:anchorId="6DEDC32B" wp14:editId="55653305">
            <wp:extent cx="5400675" cy="7648575"/>
            <wp:effectExtent l="0" t="0" r="9525"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E48~1.JPG"/>
                    <pic:cNvPicPr/>
                  </pic:nvPicPr>
                  <pic:blipFill>
                    <a:blip r:embed="rId267">
                      <a:extLst>
                        <a:ext uri="{28A0092B-C50C-407E-A947-70E740481C1C}">
                          <a14:useLocalDpi xmlns:a14="http://schemas.microsoft.com/office/drawing/2010/main" val="0"/>
                        </a:ext>
                      </a:extLst>
                    </a:blip>
                    <a:stretch>
                      <a:fillRect/>
                    </a:stretch>
                  </pic:blipFill>
                  <pic:spPr>
                    <a:xfrm>
                      <a:off x="0" y="0"/>
                      <a:ext cx="5400675" cy="7648575"/>
                    </a:xfrm>
                    <a:prstGeom prst="rect">
                      <a:avLst/>
                    </a:prstGeom>
                  </pic:spPr>
                </pic:pic>
              </a:graphicData>
            </a:graphic>
          </wp:inline>
        </w:drawing>
      </w:r>
    </w:p>
    <w:p w:rsidR="001E6CA3" w:rsidRDefault="001E6CA3" w:rsidP="00555B3B">
      <w:pPr>
        <w:autoSpaceDE w:val="0"/>
        <w:autoSpaceDN w:val="0"/>
        <w:adjustRightInd w:val="0"/>
        <w:spacing w:line="360" w:lineRule="auto"/>
        <w:ind w:right="74" w:firstLine="539"/>
        <w:jc w:val="center"/>
        <w:rPr>
          <w:b/>
          <w:sz w:val="28"/>
        </w:rPr>
      </w:pPr>
    </w:p>
    <w:p w:rsidR="001E6CA3" w:rsidRDefault="001E6CA3" w:rsidP="00555B3B">
      <w:pPr>
        <w:autoSpaceDE w:val="0"/>
        <w:autoSpaceDN w:val="0"/>
        <w:adjustRightInd w:val="0"/>
        <w:spacing w:line="360" w:lineRule="auto"/>
        <w:ind w:right="74" w:firstLine="539"/>
        <w:jc w:val="center"/>
        <w:rPr>
          <w:b/>
          <w:sz w:val="28"/>
        </w:rPr>
      </w:pPr>
    </w:p>
    <w:p w:rsidR="001E6CA3" w:rsidRDefault="001E6CA3" w:rsidP="00555B3B">
      <w:pPr>
        <w:autoSpaceDE w:val="0"/>
        <w:autoSpaceDN w:val="0"/>
        <w:adjustRightInd w:val="0"/>
        <w:spacing w:line="360" w:lineRule="auto"/>
        <w:ind w:right="74" w:firstLine="539"/>
        <w:jc w:val="center"/>
        <w:rPr>
          <w:b/>
          <w:sz w:val="28"/>
        </w:rPr>
      </w:pPr>
      <w:r>
        <w:rPr>
          <w:b/>
          <w:noProof/>
          <w:sz w:val="28"/>
          <w:lang w:eastAsia="en-GB"/>
        </w:rPr>
        <w:drawing>
          <wp:inline distT="0" distB="0" distL="0" distR="0" wp14:anchorId="26631DF6" wp14:editId="4381235C">
            <wp:extent cx="5400675" cy="434848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1590~1.JPG"/>
                    <pic:cNvPicPr/>
                  </pic:nvPicPr>
                  <pic:blipFill>
                    <a:blip r:embed="rId268">
                      <a:extLst>
                        <a:ext uri="{28A0092B-C50C-407E-A947-70E740481C1C}">
                          <a14:useLocalDpi xmlns:a14="http://schemas.microsoft.com/office/drawing/2010/main" val="0"/>
                        </a:ext>
                      </a:extLst>
                    </a:blip>
                    <a:stretch>
                      <a:fillRect/>
                    </a:stretch>
                  </pic:blipFill>
                  <pic:spPr>
                    <a:xfrm>
                      <a:off x="0" y="0"/>
                      <a:ext cx="5400675" cy="4348480"/>
                    </a:xfrm>
                    <a:prstGeom prst="rect">
                      <a:avLst/>
                    </a:prstGeom>
                  </pic:spPr>
                </pic:pic>
              </a:graphicData>
            </a:graphic>
          </wp:inline>
        </w:drawing>
      </w:r>
    </w:p>
    <w:p w:rsidR="003B1378" w:rsidRDefault="003B1378" w:rsidP="00555B3B">
      <w:pPr>
        <w:autoSpaceDE w:val="0"/>
        <w:autoSpaceDN w:val="0"/>
        <w:adjustRightInd w:val="0"/>
        <w:spacing w:line="360" w:lineRule="auto"/>
        <w:ind w:right="74" w:firstLine="539"/>
        <w:jc w:val="center"/>
        <w:rPr>
          <w:b/>
          <w:sz w:val="28"/>
        </w:rPr>
        <w:sectPr w:rsidR="003B1378" w:rsidSect="00C563BA">
          <w:headerReference w:type="default" r:id="rId269"/>
          <w:footnotePr>
            <w:numRestart w:val="eachSect"/>
          </w:footnotePr>
          <w:endnotePr>
            <w:numFmt w:val="decimal"/>
            <w:numRestart w:val="eachSect"/>
          </w:endnotePr>
          <w:pgSz w:w="11907" w:h="16840" w:code="9"/>
          <w:pgMar w:top="1418" w:right="1134" w:bottom="1418" w:left="2268" w:header="709" w:footer="709" w:gutter="0"/>
          <w:cols w:space="708"/>
          <w:docGrid w:linePitch="360"/>
        </w:sectPr>
      </w:pPr>
    </w:p>
    <w:p w:rsidR="002F5C76" w:rsidRDefault="003B1378" w:rsidP="00555B3B">
      <w:pPr>
        <w:autoSpaceDE w:val="0"/>
        <w:autoSpaceDN w:val="0"/>
        <w:adjustRightInd w:val="0"/>
        <w:spacing w:line="360" w:lineRule="auto"/>
        <w:ind w:right="74" w:firstLine="539"/>
        <w:jc w:val="center"/>
        <w:rPr>
          <w:b/>
          <w:sz w:val="28"/>
        </w:rPr>
      </w:pPr>
      <w:bookmarkStart w:id="32" w:name="Tables4Chapter8"/>
      <w:bookmarkEnd w:id="32"/>
      <w:r>
        <w:rPr>
          <w:b/>
          <w:sz w:val="28"/>
        </w:rPr>
        <w:lastRenderedPageBreak/>
        <w:t xml:space="preserve">TABLES </w:t>
      </w:r>
      <w:r w:rsidR="00A52C87">
        <w:rPr>
          <w:b/>
          <w:sz w:val="28"/>
        </w:rPr>
        <w:t>ON WHICH</w:t>
      </w:r>
      <w:r>
        <w:rPr>
          <w:b/>
          <w:sz w:val="28"/>
        </w:rPr>
        <w:t xml:space="preserve"> </w:t>
      </w:r>
      <w:r w:rsidR="00C9096F">
        <w:rPr>
          <w:b/>
          <w:sz w:val="28"/>
        </w:rPr>
        <w:t xml:space="preserve">THE </w:t>
      </w:r>
      <w:r>
        <w:rPr>
          <w:b/>
          <w:sz w:val="28"/>
        </w:rPr>
        <w:t xml:space="preserve">GRAPHS IN CHAPTER 8 </w:t>
      </w:r>
      <w:r w:rsidR="00A52C87">
        <w:rPr>
          <w:b/>
          <w:sz w:val="28"/>
        </w:rPr>
        <w:t>ARE BASED</w:t>
      </w: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drawing>
          <wp:inline distT="0" distB="0" distL="0" distR="0" wp14:anchorId="2C9DFC14" wp14:editId="43DC537F">
            <wp:extent cx="5400675" cy="792924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1 crop.jpg"/>
                    <pic:cNvPicPr/>
                  </pic:nvPicPr>
                  <pic:blipFill>
                    <a:blip r:embed="rId270">
                      <a:extLst>
                        <a:ext uri="{28A0092B-C50C-407E-A947-70E740481C1C}">
                          <a14:useLocalDpi xmlns:a14="http://schemas.microsoft.com/office/drawing/2010/main" val="0"/>
                        </a:ext>
                      </a:extLst>
                    </a:blip>
                    <a:stretch>
                      <a:fillRect/>
                    </a:stretch>
                  </pic:blipFill>
                  <pic:spPr>
                    <a:xfrm>
                      <a:off x="0" y="0"/>
                      <a:ext cx="5400675" cy="792924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767C0CDE" wp14:editId="1006A9C5">
            <wp:extent cx="5400675" cy="8062595"/>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2 crop.jpg"/>
                    <pic:cNvPicPr/>
                  </pic:nvPicPr>
                  <pic:blipFill>
                    <a:blip r:embed="rId271">
                      <a:extLst>
                        <a:ext uri="{28A0092B-C50C-407E-A947-70E740481C1C}">
                          <a14:useLocalDpi xmlns:a14="http://schemas.microsoft.com/office/drawing/2010/main" val="0"/>
                        </a:ext>
                      </a:extLst>
                    </a:blip>
                    <a:stretch>
                      <a:fillRect/>
                    </a:stretch>
                  </pic:blipFill>
                  <pic:spPr>
                    <a:xfrm>
                      <a:off x="0" y="0"/>
                      <a:ext cx="5400675" cy="806259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AABADA0" wp14:editId="5730C2C4">
            <wp:extent cx="5400675" cy="7350760"/>
            <wp:effectExtent l="0" t="0" r="952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3 crop.jpg"/>
                    <pic:cNvPicPr/>
                  </pic:nvPicPr>
                  <pic:blipFill>
                    <a:blip r:embed="rId272">
                      <a:extLst>
                        <a:ext uri="{28A0092B-C50C-407E-A947-70E740481C1C}">
                          <a14:useLocalDpi xmlns:a14="http://schemas.microsoft.com/office/drawing/2010/main" val="0"/>
                        </a:ext>
                      </a:extLst>
                    </a:blip>
                    <a:stretch>
                      <a:fillRect/>
                    </a:stretch>
                  </pic:blipFill>
                  <pic:spPr>
                    <a:xfrm>
                      <a:off x="0" y="0"/>
                      <a:ext cx="5400675" cy="7350760"/>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04ACCBC6" wp14:editId="741213FD">
            <wp:extent cx="5400675" cy="7947025"/>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4 crop.jpg"/>
                    <pic:cNvPicPr/>
                  </pic:nvPicPr>
                  <pic:blipFill>
                    <a:blip r:embed="rId273">
                      <a:extLst>
                        <a:ext uri="{28A0092B-C50C-407E-A947-70E740481C1C}">
                          <a14:useLocalDpi xmlns:a14="http://schemas.microsoft.com/office/drawing/2010/main" val="0"/>
                        </a:ext>
                      </a:extLst>
                    </a:blip>
                    <a:stretch>
                      <a:fillRect/>
                    </a:stretch>
                  </pic:blipFill>
                  <pic:spPr>
                    <a:xfrm>
                      <a:off x="0" y="0"/>
                      <a:ext cx="5400675" cy="794702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7495BF6D" wp14:editId="2FDDB5CE">
            <wp:extent cx="5400675" cy="82359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5 crop.jpg"/>
                    <pic:cNvPicPr/>
                  </pic:nvPicPr>
                  <pic:blipFill>
                    <a:blip r:embed="rId274">
                      <a:extLst>
                        <a:ext uri="{28A0092B-C50C-407E-A947-70E740481C1C}">
                          <a14:useLocalDpi xmlns:a14="http://schemas.microsoft.com/office/drawing/2010/main" val="0"/>
                        </a:ext>
                      </a:extLst>
                    </a:blip>
                    <a:stretch>
                      <a:fillRect/>
                    </a:stretch>
                  </pic:blipFill>
                  <pic:spPr>
                    <a:xfrm>
                      <a:off x="0" y="0"/>
                      <a:ext cx="5400675" cy="8235950"/>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7946764" wp14:editId="434F5313">
            <wp:extent cx="5400675" cy="7729855"/>
            <wp:effectExtent l="0" t="0" r="9525"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6 crop.jpg"/>
                    <pic:cNvPicPr/>
                  </pic:nvPicPr>
                  <pic:blipFill>
                    <a:blip r:embed="rId275">
                      <a:extLst>
                        <a:ext uri="{28A0092B-C50C-407E-A947-70E740481C1C}">
                          <a14:useLocalDpi xmlns:a14="http://schemas.microsoft.com/office/drawing/2010/main" val="0"/>
                        </a:ext>
                      </a:extLst>
                    </a:blip>
                    <a:stretch>
                      <a:fillRect/>
                    </a:stretch>
                  </pic:blipFill>
                  <pic:spPr>
                    <a:xfrm>
                      <a:off x="0" y="0"/>
                      <a:ext cx="5400675" cy="772985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532E162" wp14:editId="1BFD5282">
            <wp:extent cx="5400675" cy="50673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7 crop.jpg"/>
                    <pic:cNvPicPr/>
                  </pic:nvPicPr>
                  <pic:blipFill>
                    <a:blip r:embed="rId276">
                      <a:extLst>
                        <a:ext uri="{28A0092B-C50C-407E-A947-70E740481C1C}">
                          <a14:useLocalDpi xmlns:a14="http://schemas.microsoft.com/office/drawing/2010/main" val="0"/>
                        </a:ext>
                      </a:extLst>
                    </a:blip>
                    <a:stretch>
                      <a:fillRect/>
                    </a:stretch>
                  </pic:blipFill>
                  <pic:spPr>
                    <a:xfrm>
                      <a:off x="0" y="0"/>
                      <a:ext cx="5400675" cy="5067300"/>
                    </a:xfrm>
                    <a:prstGeom prst="rect">
                      <a:avLst/>
                    </a:prstGeom>
                  </pic:spPr>
                </pic:pic>
              </a:graphicData>
            </a:graphic>
          </wp:inline>
        </w:drawing>
      </w:r>
    </w:p>
    <w:p w:rsidR="00F83208" w:rsidRPr="00F83208" w:rsidRDefault="00F83208" w:rsidP="00A52C87">
      <w:pPr>
        <w:autoSpaceDE w:val="0"/>
        <w:autoSpaceDN w:val="0"/>
        <w:adjustRightInd w:val="0"/>
        <w:spacing w:line="360" w:lineRule="auto"/>
        <w:ind w:right="74" w:firstLine="539"/>
        <w:rPr>
          <w:b/>
          <w:i/>
          <w:sz w:val="24"/>
        </w:rPr>
      </w:pPr>
      <w:r w:rsidRPr="00F83208">
        <w:rPr>
          <w:b/>
          <w:i/>
          <w:sz w:val="24"/>
        </w:rPr>
        <w:t>Continued overleaf</w:t>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052F9E6" wp14:editId="6A49E0FE">
            <wp:extent cx="5400675" cy="5528945"/>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8 crop.jpg"/>
                    <pic:cNvPicPr/>
                  </pic:nvPicPr>
                  <pic:blipFill>
                    <a:blip r:embed="rId277">
                      <a:extLst>
                        <a:ext uri="{28A0092B-C50C-407E-A947-70E740481C1C}">
                          <a14:useLocalDpi xmlns:a14="http://schemas.microsoft.com/office/drawing/2010/main" val="0"/>
                        </a:ext>
                      </a:extLst>
                    </a:blip>
                    <a:stretch>
                      <a:fillRect/>
                    </a:stretch>
                  </pic:blipFill>
                  <pic:spPr>
                    <a:xfrm>
                      <a:off x="0" y="0"/>
                      <a:ext cx="5400675" cy="552894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2F495474" wp14:editId="2B39BA5D">
            <wp:extent cx="5400675" cy="5349240"/>
            <wp:effectExtent l="0" t="0" r="9525"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09 crop.jpg"/>
                    <pic:cNvPicPr/>
                  </pic:nvPicPr>
                  <pic:blipFill>
                    <a:blip r:embed="rId278">
                      <a:extLst>
                        <a:ext uri="{28A0092B-C50C-407E-A947-70E740481C1C}">
                          <a14:useLocalDpi xmlns:a14="http://schemas.microsoft.com/office/drawing/2010/main" val="0"/>
                        </a:ext>
                      </a:extLst>
                    </a:blip>
                    <a:stretch>
                      <a:fillRect/>
                    </a:stretch>
                  </pic:blipFill>
                  <pic:spPr>
                    <a:xfrm>
                      <a:off x="0" y="0"/>
                      <a:ext cx="5400675" cy="5349240"/>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0AF3B8E" wp14:editId="3D8C9226">
            <wp:extent cx="5400675" cy="7746365"/>
            <wp:effectExtent l="0" t="0" r="952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0 crop.jpg"/>
                    <pic:cNvPicPr/>
                  </pic:nvPicPr>
                  <pic:blipFill>
                    <a:blip r:embed="rId279">
                      <a:extLst>
                        <a:ext uri="{28A0092B-C50C-407E-A947-70E740481C1C}">
                          <a14:useLocalDpi xmlns:a14="http://schemas.microsoft.com/office/drawing/2010/main" val="0"/>
                        </a:ext>
                      </a:extLst>
                    </a:blip>
                    <a:stretch>
                      <a:fillRect/>
                    </a:stretch>
                  </pic:blipFill>
                  <pic:spPr>
                    <a:xfrm>
                      <a:off x="0" y="0"/>
                      <a:ext cx="5400675" cy="774636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4CF944B" wp14:editId="3A78EEF1">
            <wp:extent cx="5400675" cy="7596505"/>
            <wp:effectExtent l="0" t="0" r="952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1crop.jpg"/>
                    <pic:cNvPicPr/>
                  </pic:nvPicPr>
                  <pic:blipFill>
                    <a:blip r:embed="rId280">
                      <a:extLst>
                        <a:ext uri="{28A0092B-C50C-407E-A947-70E740481C1C}">
                          <a14:useLocalDpi xmlns:a14="http://schemas.microsoft.com/office/drawing/2010/main" val="0"/>
                        </a:ext>
                      </a:extLst>
                    </a:blip>
                    <a:stretch>
                      <a:fillRect/>
                    </a:stretch>
                  </pic:blipFill>
                  <pic:spPr>
                    <a:xfrm>
                      <a:off x="0" y="0"/>
                      <a:ext cx="5400675" cy="759650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4C736A64" wp14:editId="02C56C2D">
            <wp:extent cx="5400675" cy="619252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2 crop.jpg"/>
                    <pic:cNvPicPr/>
                  </pic:nvPicPr>
                  <pic:blipFill>
                    <a:blip r:embed="rId281">
                      <a:extLst>
                        <a:ext uri="{28A0092B-C50C-407E-A947-70E740481C1C}">
                          <a14:useLocalDpi xmlns:a14="http://schemas.microsoft.com/office/drawing/2010/main" val="0"/>
                        </a:ext>
                      </a:extLst>
                    </a:blip>
                    <a:stretch>
                      <a:fillRect/>
                    </a:stretch>
                  </pic:blipFill>
                  <pic:spPr>
                    <a:xfrm>
                      <a:off x="0" y="0"/>
                      <a:ext cx="5400675" cy="6192520"/>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AD3B8C3" wp14:editId="5763F672">
            <wp:extent cx="5400675" cy="4819015"/>
            <wp:effectExtent l="0" t="0" r="9525"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3 crop.jpg"/>
                    <pic:cNvPicPr/>
                  </pic:nvPicPr>
                  <pic:blipFill>
                    <a:blip r:embed="rId282">
                      <a:extLst>
                        <a:ext uri="{28A0092B-C50C-407E-A947-70E740481C1C}">
                          <a14:useLocalDpi xmlns:a14="http://schemas.microsoft.com/office/drawing/2010/main" val="0"/>
                        </a:ext>
                      </a:extLst>
                    </a:blip>
                    <a:stretch>
                      <a:fillRect/>
                    </a:stretch>
                  </pic:blipFill>
                  <pic:spPr>
                    <a:xfrm>
                      <a:off x="0" y="0"/>
                      <a:ext cx="5400675" cy="4819015"/>
                    </a:xfrm>
                    <a:prstGeom prst="rect">
                      <a:avLst/>
                    </a:prstGeom>
                  </pic:spPr>
                </pic:pic>
              </a:graphicData>
            </a:graphic>
          </wp:inline>
        </w:drawing>
      </w: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F83208" w:rsidP="00555B3B">
      <w:pPr>
        <w:autoSpaceDE w:val="0"/>
        <w:autoSpaceDN w:val="0"/>
        <w:adjustRightInd w:val="0"/>
        <w:spacing w:line="360" w:lineRule="auto"/>
        <w:ind w:right="74" w:firstLine="539"/>
        <w:jc w:val="center"/>
        <w:rPr>
          <w:b/>
          <w:sz w:val="28"/>
        </w:rPr>
      </w:pPr>
    </w:p>
    <w:p w:rsidR="00F83208" w:rsidRDefault="00B53CF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30F249A8" wp14:editId="5A008E7E">
            <wp:extent cx="5400675" cy="6602095"/>
            <wp:effectExtent l="0" t="0" r="952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amp; Mark only 21.6.18 crop.jpg"/>
                    <pic:cNvPicPr/>
                  </pic:nvPicPr>
                  <pic:blipFill>
                    <a:blip r:embed="rId283">
                      <a:extLst>
                        <a:ext uri="{28A0092B-C50C-407E-A947-70E740481C1C}">
                          <a14:useLocalDpi xmlns:a14="http://schemas.microsoft.com/office/drawing/2010/main" val="0"/>
                        </a:ext>
                      </a:extLst>
                    </a:blip>
                    <a:stretch>
                      <a:fillRect/>
                    </a:stretch>
                  </pic:blipFill>
                  <pic:spPr>
                    <a:xfrm>
                      <a:off x="0" y="0"/>
                      <a:ext cx="5400675" cy="6602095"/>
                    </a:xfrm>
                    <a:prstGeom prst="rect">
                      <a:avLst/>
                    </a:prstGeom>
                  </pic:spPr>
                </pic:pic>
              </a:graphicData>
            </a:graphic>
          </wp:inline>
        </w:drawing>
      </w: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2675728" wp14:editId="31877C23">
            <wp:extent cx="5400675" cy="6393180"/>
            <wp:effectExtent l="0" t="0" r="9525"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5 crop.jpg"/>
                    <pic:cNvPicPr/>
                  </pic:nvPicPr>
                  <pic:blipFill>
                    <a:blip r:embed="rId284">
                      <a:extLst>
                        <a:ext uri="{28A0092B-C50C-407E-A947-70E740481C1C}">
                          <a14:useLocalDpi xmlns:a14="http://schemas.microsoft.com/office/drawing/2010/main" val="0"/>
                        </a:ext>
                      </a:extLst>
                    </a:blip>
                    <a:stretch>
                      <a:fillRect/>
                    </a:stretch>
                  </pic:blipFill>
                  <pic:spPr>
                    <a:xfrm>
                      <a:off x="0" y="0"/>
                      <a:ext cx="5400675" cy="6393180"/>
                    </a:xfrm>
                    <a:prstGeom prst="rect">
                      <a:avLst/>
                    </a:prstGeom>
                  </pic:spPr>
                </pic:pic>
              </a:graphicData>
            </a:graphic>
          </wp:inline>
        </w:drawing>
      </w: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35B2260E" wp14:editId="0E6AAAAD">
            <wp:extent cx="5400675" cy="82867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6 crop.jpg"/>
                    <pic:cNvPicPr/>
                  </pic:nvPicPr>
                  <pic:blipFill>
                    <a:blip r:embed="rId285">
                      <a:extLst>
                        <a:ext uri="{28A0092B-C50C-407E-A947-70E740481C1C}">
                          <a14:useLocalDpi xmlns:a14="http://schemas.microsoft.com/office/drawing/2010/main" val="0"/>
                        </a:ext>
                      </a:extLst>
                    </a:blip>
                    <a:stretch>
                      <a:fillRect/>
                    </a:stretch>
                  </pic:blipFill>
                  <pic:spPr>
                    <a:xfrm>
                      <a:off x="0" y="0"/>
                      <a:ext cx="5400675" cy="8286750"/>
                    </a:xfrm>
                    <a:prstGeom prst="rect">
                      <a:avLst/>
                    </a:prstGeom>
                  </pic:spPr>
                </pic:pic>
              </a:graphicData>
            </a:graphic>
          </wp:inline>
        </w:drawing>
      </w: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2D225C2E" wp14:editId="1A37266E">
            <wp:extent cx="5400675" cy="7517130"/>
            <wp:effectExtent l="0" t="0" r="952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7 crop.jpg"/>
                    <pic:cNvPicPr/>
                  </pic:nvPicPr>
                  <pic:blipFill>
                    <a:blip r:embed="rId286">
                      <a:extLst>
                        <a:ext uri="{28A0092B-C50C-407E-A947-70E740481C1C}">
                          <a14:useLocalDpi xmlns:a14="http://schemas.microsoft.com/office/drawing/2010/main" val="0"/>
                        </a:ext>
                      </a:extLst>
                    </a:blip>
                    <a:stretch>
                      <a:fillRect/>
                    </a:stretch>
                  </pic:blipFill>
                  <pic:spPr>
                    <a:xfrm>
                      <a:off x="0" y="0"/>
                      <a:ext cx="5400675" cy="7517130"/>
                    </a:xfrm>
                    <a:prstGeom prst="rect">
                      <a:avLst/>
                    </a:prstGeom>
                  </pic:spPr>
                </pic:pic>
              </a:graphicData>
            </a:graphic>
          </wp:inline>
        </w:drawing>
      </w: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B53CF5" w:rsidP="00555B3B">
      <w:pPr>
        <w:autoSpaceDE w:val="0"/>
        <w:autoSpaceDN w:val="0"/>
        <w:adjustRightInd w:val="0"/>
        <w:spacing w:line="360" w:lineRule="auto"/>
        <w:ind w:right="74" w:firstLine="539"/>
        <w:jc w:val="center"/>
        <w:rPr>
          <w:b/>
          <w:sz w:val="28"/>
        </w:rPr>
      </w:pPr>
    </w:p>
    <w:p w:rsidR="00B53CF5" w:rsidRDefault="003B137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0CA1C02" wp14:editId="74A14E97">
            <wp:extent cx="5400675" cy="7908925"/>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ssians etc p 18 21.6.18 crop.jpg"/>
                    <pic:cNvPicPr/>
                  </pic:nvPicPr>
                  <pic:blipFill>
                    <a:blip r:embed="rId287">
                      <a:extLst>
                        <a:ext uri="{28A0092B-C50C-407E-A947-70E740481C1C}">
                          <a14:useLocalDpi xmlns:a14="http://schemas.microsoft.com/office/drawing/2010/main" val="0"/>
                        </a:ext>
                      </a:extLst>
                    </a:blip>
                    <a:stretch>
                      <a:fillRect/>
                    </a:stretch>
                  </pic:blipFill>
                  <pic:spPr>
                    <a:xfrm>
                      <a:off x="0" y="0"/>
                      <a:ext cx="5400675" cy="7908925"/>
                    </a:xfrm>
                    <a:prstGeom prst="rect">
                      <a:avLst/>
                    </a:prstGeom>
                  </pic:spPr>
                </pic:pic>
              </a:graphicData>
            </a:graphic>
          </wp:inline>
        </w:drawing>
      </w: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6B50FD33" wp14:editId="1D0E8198">
            <wp:extent cx="5400675" cy="8324215"/>
            <wp:effectExtent l="0" t="0" r="9525"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19 crop.jpg"/>
                    <pic:cNvPicPr/>
                  </pic:nvPicPr>
                  <pic:blipFill>
                    <a:blip r:embed="rId288">
                      <a:extLst>
                        <a:ext uri="{28A0092B-C50C-407E-A947-70E740481C1C}">
                          <a14:useLocalDpi xmlns:a14="http://schemas.microsoft.com/office/drawing/2010/main" val="0"/>
                        </a:ext>
                      </a:extLst>
                    </a:blip>
                    <a:stretch>
                      <a:fillRect/>
                    </a:stretch>
                  </pic:blipFill>
                  <pic:spPr>
                    <a:xfrm>
                      <a:off x="0" y="0"/>
                      <a:ext cx="5400675" cy="8324215"/>
                    </a:xfrm>
                    <a:prstGeom prst="rect">
                      <a:avLst/>
                    </a:prstGeom>
                  </pic:spPr>
                </pic:pic>
              </a:graphicData>
            </a:graphic>
          </wp:inline>
        </w:drawing>
      </w: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508E65A1" wp14:editId="01DDC149">
            <wp:extent cx="5400675" cy="7097395"/>
            <wp:effectExtent l="0" t="0" r="9525"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John etc p 20 21.6.18 crop.jpg"/>
                    <pic:cNvPicPr/>
                  </pic:nvPicPr>
                  <pic:blipFill>
                    <a:blip r:embed="rId289">
                      <a:extLst>
                        <a:ext uri="{28A0092B-C50C-407E-A947-70E740481C1C}">
                          <a14:useLocalDpi xmlns:a14="http://schemas.microsoft.com/office/drawing/2010/main" val="0"/>
                        </a:ext>
                      </a:extLst>
                    </a:blip>
                    <a:stretch>
                      <a:fillRect/>
                    </a:stretch>
                  </pic:blipFill>
                  <pic:spPr>
                    <a:xfrm>
                      <a:off x="0" y="0"/>
                      <a:ext cx="5400675" cy="7097395"/>
                    </a:xfrm>
                    <a:prstGeom prst="rect">
                      <a:avLst/>
                    </a:prstGeom>
                  </pic:spPr>
                </pic:pic>
              </a:graphicData>
            </a:graphic>
          </wp:inline>
        </w:drawing>
      </w: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p>
    <w:p w:rsidR="003B1378" w:rsidRDefault="003B1378" w:rsidP="00555B3B">
      <w:pPr>
        <w:autoSpaceDE w:val="0"/>
        <w:autoSpaceDN w:val="0"/>
        <w:adjustRightInd w:val="0"/>
        <w:spacing w:line="360" w:lineRule="auto"/>
        <w:ind w:right="74" w:firstLine="539"/>
        <w:jc w:val="center"/>
        <w:rPr>
          <w:b/>
          <w:sz w:val="28"/>
        </w:rPr>
      </w:pPr>
      <w:r>
        <w:rPr>
          <w:b/>
          <w:noProof/>
          <w:sz w:val="28"/>
          <w:lang w:eastAsia="en-GB"/>
        </w:rPr>
        <w:lastRenderedPageBreak/>
        <w:drawing>
          <wp:inline distT="0" distB="0" distL="0" distR="0" wp14:anchorId="334CC14C" wp14:editId="22A047CC">
            <wp:extent cx="5400675" cy="305689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of wds in CHAPTERS rev 19.6.18_Page_21 crop.jpg"/>
                    <pic:cNvPicPr/>
                  </pic:nvPicPr>
                  <pic:blipFill>
                    <a:blip r:embed="rId290">
                      <a:extLst>
                        <a:ext uri="{28A0092B-C50C-407E-A947-70E740481C1C}">
                          <a14:useLocalDpi xmlns:a14="http://schemas.microsoft.com/office/drawing/2010/main" val="0"/>
                        </a:ext>
                      </a:extLst>
                    </a:blip>
                    <a:stretch>
                      <a:fillRect/>
                    </a:stretch>
                  </pic:blipFill>
                  <pic:spPr>
                    <a:xfrm>
                      <a:off x="0" y="0"/>
                      <a:ext cx="5400675" cy="3056890"/>
                    </a:xfrm>
                    <a:prstGeom prst="rect">
                      <a:avLst/>
                    </a:prstGeom>
                  </pic:spPr>
                </pic:pic>
              </a:graphicData>
            </a:graphic>
          </wp:inline>
        </w:drawing>
      </w:r>
    </w:p>
    <w:p w:rsidR="003B1378" w:rsidRDefault="003B1378" w:rsidP="00555B3B">
      <w:pPr>
        <w:autoSpaceDE w:val="0"/>
        <w:autoSpaceDN w:val="0"/>
        <w:adjustRightInd w:val="0"/>
        <w:spacing w:line="360" w:lineRule="auto"/>
        <w:ind w:right="74" w:firstLine="539"/>
        <w:jc w:val="center"/>
        <w:rPr>
          <w:b/>
          <w:sz w:val="28"/>
        </w:rPr>
        <w:sectPr w:rsidR="003B1378" w:rsidSect="00C563BA">
          <w:headerReference w:type="default" r:id="rId291"/>
          <w:footnotePr>
            <w:numRestart w:val="eachSect"/>
          </w:footnotePr>
          <w:endnotePr>
            <w:numFmt w:val="decimal"/>
            <w:numRestart w:val="eachSect"/>
          </w:endnotePr>
          <w:pgSz w:w="11907" w:h="16840" w:code="9"/>
          <w:pgMar w:top="1418" w:right="1134" w:bottom="1418" w:left="2268" w:header="709" w:footer="709" w:gutter="0"/>
          <w:cols w:space="708"/>
          <w:docGrid w:linePitch="360"/>
        </w:sect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Pr="008457FD" w:rsidRDefault="008457FD" w:rsidP="00C42EF2">
      <w:pPr>
        <w:autoSpaceDE w:val="0"/>
        <w:autoSpaceDN w:val="0"/>
        <w:adjustRightInd w:val="0"/>
        <w:spacing w:after="120" w:line="360" w:lineRule="auto"/>
        <w:ind w:right="74"/>
        <w:jc w:val="center"/>
        <w:rPr>
          <w:sz w:val="28"/>
        </w:rPr>
      </w:pPr>
      <w:r w:rsidRPr="008457FD">
        <w:t>Page intentionally left blank</w:t>
      </w: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47374A" w:rsidRDefault="0047374A" w:rsidP="00C42EF2">
      <w:pPr>
        <w:autoSpaceDE w:val="0"/>
        <w:autoSpaceDN w:val="0"/>
        <w:adjustRightInd w:val="0"/>
        <w:spacing w:after="120" w:line="360" w:lineRule="auto"/>
        <w:ind w:right="74"/>
        <w:jc w:val="center"/>
        <w:rPr>
          <w:b/>
          <w:sz w:val="28"/>
        </w:rPr>
      </w:pPr>
    </w:p>
    <w:p w:rsidR="00555B3B" w:rsidRDefault="00555B3B" w:rsidP="00C42EF2">
      <w:pPr>
        <w:autoSpaceDE w:val="0"/>
        <w:autoSpaceDN w:val="0"/>
        <w:adjustRightInd w:val="0"/>
        <w:spacing w:after="120" w:line="360" w:lineRule="auto"/>
        <w:ind w:right="74"/>
        <w:jc w:val="center"/>
        <w:rPr>
          <w:b/>
          <w:sz w:val="28"/>
        </w:rPr>
      </w:pPr>
      <w:bookmarkStart w:id="33" w:name="Bibliography"/>
      <w:bookmarkEnd w:id="33"/>
      <w:r>
        <w:rPr>
          <w:b/>
          <w:sz w:val="28"/>
        </w:rPr>
        <w:lastRenderedPageBreak/>
        <w:t>BIBLIOGRAPHY</w:t>
      </w:r>
    </w:p>
    <w:p w:rsidR="00616C1F" w:rsidRPr="00821735" w:rsidRDefault="00616C1F" w:rsidP="00616C1F">
      <w:pPr>
        <w:pStyle w:val="FootnoteText"/>
        <w:spacing w:after="120"/>
        <w:ind w:left="499" w:hanging="499"/>
        <w:jc w:val="center"/>
        <w:rPr>
          <w:rFonts w:ascii="Perpetua" w:hAnsi="Perpetua"/>
          <w:b/>
          <w:sz w:val="24"/>
        </w:rPr>
      </w:pPr>
      <w:bookmarkStart w:id="34" w:name="OLE_LINK1"/>
      <w:r w:rsidRPr="00821735">
        <w:rPr>
          <w:rFonts w:ascii="Perpetua" w:hAnsi="Perpetua"/>
          <w:b/>
          <w:sz w:val="24"/>
        </w:rPr>
        <w:t>Works Cited</w:t>
      </w:r>
    </w:p>
    <w:p w:rsidR="00616C1F" w:rsidRDefault="00616C1F" w:rsidP="00616C1F">
      <w:pPr>
        <w:pStyle w:val="FootnoteText"/>
        <w:ind w:left="499" w:hanging="499"/>
        <w:rPr>
          <w:rFonts w:ascii="Perpetua" w:hAnsi="Perpetua"/>
          <w:sz w:val="22"/>
          <w:szCs w:val="22"/>
        </w:rPr>
      </w:pPr>
      <w:r w:rsidRPr="00044FEE">
        <w:rPr>
          <w:rFonts w:ascii="Perpetua" w:hAnsi="Perpetua"/>
          <w:sz w:val="22"/>
        </w:rPr>
        <w:t xml:space="preserve">Aldrich, Roy L., ‘An Apologetic for Dispensationalism’, </w:t>
      </w:r>
      <w:r w:rsidRPr="00044FEE">
        <w:rPr>
          <w:rFonts w:ascii="Perpetua" w:hAnsi="Perpetua"/>
          <w:i/>
          <w:sz w:val="22"/>
          <w:szCs w:val="22"/>
        </w:rPr>
        <w:t>Bibliotheca Sacra</w:t>
      </w:r>
      <w:r w:rsidRPr="00044FEE">
        <w:rPr>
          <w:rFonts w:ascii="Perpetua" w:hAnsi="Perpetua"/>
          <w:sz w:val="22"/>
          <w:szCs w:val="22"/>
        </w:rPr>
        <w:t>, Vol. 112:445 (Jan. 1955),</w:t>
      </w:r>
    </w:p>
    <w:p w:rsidR="00616C1F" w:rsidRPr="00044FEE" w:rsidRDefault="00616C1F" w:rsidP="00616C1F">
      <w:pPr>
        <w:pStyle w:val="FootnoteText"/>
        <w:spacing w:after="120"/>
        <w:ind w:left="499" w:hanging="74"/>
        <w:rPr>
          <w:rFonts w:ascii="Perpetua" w:hAnsi="Perpetua"/>
          <w:sz w:val="22"/>
          <w:szCs w:val="22"/>
        </w:rPr>
      </w:pPr>
      <w:r w:rsidRPr="00044FEE">
        <w:rPr>
          <w:rFonts w:ascii="Perpetua" w:hAnsi="Perpetua"/>
          <w:sz w:val="22"/>
          <w:szCs w:val="22"/>
        </w:rPr>
        <w:t xml:space="preserve">pp. 46-54.  </w:t>
      </w:r>
    </w:p>
    <w:p w:rsidR="00616C1F" w:rsidRPr="00044FEE" w:rsidRDefault="00616C1F" w:rsidP="00616C1F">
      <w:pPr>
        <w:pStyle w:val="FootnoteText"/>
        <w:spacing w:after="120"/>
        <w:ind w:left="499" w:hanging="499"/>
        <w:rPr>
          <w:rFonts w:ascii="Perpetua" w:hAnsi="Perpetua"/>
          <w:bCs/>
          <w:sz w:val="22"/>
          <w:szCs w:val="36"/>
          <w:lang w:eastAsia="en-GB"/>
        </w:rPr>
      </w:pPr>
      <w:r w:rsidRPr="00044FEE">
        <w:rPr>
          <w:rFonts w:ascii="Perpetua" w:hAnsi="Perpetua"/>
          <w:sz w:val="22"/>
          <w:szCs w:val="22"/>
        </w:rPr>
        <w:t>Allis, Oswald, T., ‘</w:t>
      </w:r>
      <w:r w:rsidRPr="00044FEE">
        <w:rPr>
          <w:rFonts w:ascii="Perpetua" w:hAnsi="Perpetua"/>
          <w:bCs/>
          <w:sz w:val="22"/>
          <w:szCs w:val="36"/>
          <w:lang w:eastAsia="en-GB"/>
        </w:rPr>
        <w:t xml:space="preserve">Modern Dispensationalism and the Doctrine of the Unity of Scripture’, </w:t>
      </w:r>
      <w:r w:rsidRPr="00044FEE">
        <w:rPr>
          <w:rFonts w:ascii="Perpetua" w:hAnsi="Perpetua"/>
          <w:bCs/>
          <w:i/>
          <w:sz w:val="22"/>
          <w:szCs w:val="36"/>
          <w:lang w:eastAsia="en-GB"/>
        </w:rPr>
        <w:t xml:space="preserve">Evangelical Quarterly, </w:t>
      </w:r>
      <w:r w:rsidRPr="00044FEE">
        <w:rPr>
          <w:rFonts w:ascii="Perpetua" w:hAnsi="Perpetua"/>
          <w:bCs/>
          <w:sz w:val="22"/>
          <w:szCs w:val="36"/>
          <w:lang w:eastAsia="en-GB"/>
        </w:rPr>
        <w:t>Vol. VIII, No. 1, January 1936, reprinted by Reformed Literature.com &lt;</w:t>
      </w:r>
      <w:r w:rsidRPr="00044FEE">
        <w:rPr>
          <w:rFonts w:ascii="Perpetua" w:hAnsi="Perpetua"/>
          <w:bCs/>
          <w:spacing w:val="-5"/>
          <w:sz w:val="22"/>
          <w:szCs w:val="36"/>
          <w:lang w:eastAsia="en-GB"/>
        </w:rPr>
        <w:t>http://www.reformedliterature.com/allis-modern-dispensationalism-and-unity-of-scripture.php</w:t>
      </w:r>
      <w:r w:rsidRPr="00044FEE">
        <w:rPr>
          <w:rFonts w:ascii="Perpetua" w:hAnsi="Perpetua"/>
          <w:bCs/>
          <w:spacing w:val="-5"/>
          <w:sz w:val="14"/>
          <w:szCs w:val="36"/>
          <w:lang w:eastAsia="en-GB"/>
        </w:rPr>
        <w:t xml:space="preserve"> </w:t>
      </w:r>
      <w:r w:rsidRPr="00044FEE">
        <w:rPr>
          <w:rFonts w:ascii="Perpetua" w:hAnsi="Perpetua"/>
          <w:bCs/>
          <w:sz w:val="22"/>
          <w:szCs w:val="36"/>
          <w:lang w:eastAsia="en-GB"/>
        </w:rPr>
        <w:t xml:space="preserve">&gt; [accessed 23.4.17]. </w:t>
      </w:r>
    </w:p>
    <w:p w:rsidR="00616C1F" w:rsidRPr="00044FEE" w:rsidRDefault="00616C1F" w:rsidP="00616C1F">
      <w:pPr>
        <w:pStyle w:val="FootnoteText"/>
        <w:spacing w:after="120"/>
        <w:ind w:left="499" w:hanging="499"/>
        <w:rPr>
          <w:rFonts w:ascii="Perpetua" w:hAnsi="Perpetua"/>
          <w:sz w:val="22"/>
          <w:szCs w:val="22"/>
          <w:lang w:eastAsia="en-GB"/>
        </w:rPr>
      </w:pPr>
      <w:r w:rsidRPr="00044FEE">
        <w:rPr>
          <w:rFonts w:ascii="Perpetua" w:hAnsi="Perpetua"/>
          <w:sz w:val="22"/>
          <w:szCs w:val="22"/>
          <w:lang w:eastAsia="en-GB"/>
        </w:rPr>
        <w:t xml:space="preserve">Alonso-Núñez, J. M., ‘Aemilius Sura’, </w:t>
      </w:r>
      <w:r w:rsidRPr="00044FEE">
        <w:rPr>
          <w:rFonts w:ascii="Perpetua" w:hAnsi="Perpetua"/>
          <w:i/>
          <w:sz w:val="22"/>
          <w:szCs w:val="22"/>
          <w:lang w:eastAsia="en-GB"/>
        </w:rPr>
        <w:t>Latomus</w:t>
      </w:r>
      <w:r w:rsidRPr="00044FEE">
        <w:rPr>
          <w:rFonts w:ascii="Perpetua" w:hAnsi="Perpetua"/>
          <w:sz w:val="22"/>
          <w:szCs w:val="22"/>
          <w:lang w:eastAsia="en-GB"/>
        </w:rPr>
        <w:t>, T.48, Fasc. 1 (Janvier-Mars 1989).</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St Augustine,</w:t>
      </w:r>
      <w:r w:rsidRPr="00044FEE">
        <w:rPr>
          <w:rFonts w:ascii="Perpetua" w:hAnsi="Perpetua"/>
          <w:sz w:val="22"/>
        </w:rPr>
        <w:t>‘Letter to Marcellinus’, Letter 138 (412 AD), New Advent &lt;http://www.newadvent.org/fathers/1102138.htm&gt; [accessed 29.6.17].</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 xml:space="preserve">—  ‘Sermon 32’, </w:t>
      </w:r>
      <w:r w:rsidRPr="00044FEE">
        <w:rPr>
          <w:rFonts w:ascii="Perpetua" w:hAnsi="Perpetua"/>
          <w:i/>
          <w:sz w:val="22"/>
          <w:szCs w:val="22"/>
        </w:rPr>
        <w:t>Nicene and Post-Nicene Fathers</w:t>
      </w:r>
      <w:r w:rsidRPr="00044FEE">
        <w:rPr>
          <w:rFonts w:ascii="Perpetua" w:hAnsi="Perpetua"/>
          <w:sz w:val="22"/>
          <w:szCs w:val="22"/>
        </w:rPr>
        <w:t xml:space="preserve"> (ed. Philip Schaff, trans. R. G. MacMullen, First Series, Vol. 6 (Buffalo, NY: Christian Literature Publishing Co., 1888; revised and ed. for New Advent, Kevin Knight) &lt;http://www.newadvent.org/fathers/160332.htm&gt; [accessed 4.5.17]. (Sermon 82, Benedictine edition).</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  ‘Augustini Sermo LXXXII’, The Latin Library &lt;http://www.thelatinlibrary.com/augustine/serm82.shtml&gt; [accessed 4.5.17].</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Baker, David L., ‘Typology and the Christian Use of the Old Testament’, </w:t>
      </w:r>
      <w:r w:rsidRPr="00044FEE">
        <w:rPr>
          <w:rFonts w:ascii="Perpetua" w:hAnsi="Perpetua"/>
          <w:i/>
          <w:sz w:val="22"/>
          <w:szCs w:val="22"/>
        </w:rPr>
        <w:t>Scottish Journal of Theology</w:t>
      </w:r>
      <w:r w:rsidRPr="00044FEE">
        <w:rPr>
          <w:rFonts w:ascii="Perpetua" w:hAnsi="Perpetua"/>
          <w:sz w:val="22"/>
          <w:szCs w:val="22"/>
        </w:rPr>
        <w:t xml:space="preserve">, </w:t>
      </w:r>
    </w:p>
    <w:p w:rsidR="00616C1F" w:rsidRPr="00044FEE" w:rsidRDefault="00616C1F" w:rsidP="00616C1F">
      <w:pPr>
        <w:pStyle w:val="FootnoteText"/>
        <w:ind w:left="567"/>
        <w:rPr>
          <w:rFonts w:ascii="Perpetua" w:hAnsi="Perpetua"/>
          <w:sz w:val="22"/>
          <w:szCs w:val="22"/>
        </w:rPr>
      </w:pPr>
      <w:r w:rsidRPr="00044FEE">
        <w:rPr>
          <w:rFonts w:ascii="Perpetua" w:hAnsi="Perpetua"/>
          <w:sz w:val="22"/>
          <w:szCs w:val="22"/>
        </w:rPr>
        <w:t xml:space="preserve">Vol. 29, Issue 2, April, 1976.   </w:t>
      </w:r>
    </w:p>
    <w:p w:rsidR="00616C1F" w:rsidRDefault="00616C1F" w:rsidP="00616C1F">
      <w:pPr>
        <w:pStyle w:val="FootnoteText"/>
        <w:ind w:left="567"/>
        <w:rPr>
          <w:rFonts w:ascii="Perpetua" w:hAnsi="Perpetua"/>
          <w:sz w:val="22"/>
          <w:szCs w:val="22"/>
        </w:rPr>
      </w:pPr>
      <w:r w:rsidRPr="00044FEE">
        <w:rPr>
          <w:rFonts w:ascii="Perpetua" w:hAnsi="Perpetua"/>
          <w:sz w:val="22"/>
          <w:szCs w:val="22"/>
        </w:rPr>
        <w:t>&lt;https://www-cambridge-org.sheffield.idm.oclc.org/core/services/aop-cambridge-core/content/view/3FC16F2E8EAD51FB5863151BC33C5541/S0036930600042563a.pdf/</w:t>
      </w:r>
    </w:p>
    <w:p w:rsidR="00616C1F" w:rsidRPr="00044FEE" w:rsidRDefault="00616C1F" w:rsidP="00616C1F">
      <w:pPr>
        <w:pStyle w:val="FootnoteText"/>
        <w:spacing w:after="120"/>
        <w:ind w:left="567"/>
        <w:rPr>
          <w:rFonts w:ascii="Times New Roman" w:hAnsi="Times New Roman"/>
          <w:i/>
          <w:iCs/>
          <w:sz w:val="16"/>
          <w:szCs w:val="16"/>
          <w:lang w:eastAsia="en-GB"/>
        </w:rPr>
      </w:pPr>
      <w:r w:rsidRPr="00044FEE">
        <w:rPr>
          <w:rFonts w:ascii="Perpetua" w:hAnsi="Perpetua"/>
          <w:sz w:val="22"/>
          <w:szCs w:val="22"/>
        </w:rPr>
        <w:t>typology_and_the_christian_use_of_the_old_testament.pdf&gt; [accessed 19.9.17].</w:t>
      </w:r>
    </w:p>
    <w:p w:rsidR="00616C1F" w:rsidRPr="00044FEE" w:rsidRDefault="00616C1F" w:rsidP="00616C1F">
      <w:pPr>
        <w:pStyle w:val="FootnoteText"/>
        <w:spacing w:after="120"/>
        <w:ind w:left="499" w:hanging="499"/>
        <w:rPr>
          <w:rFonts w:ascii="Perpetua" w:hAnsi="Perpetua"/>
          <w:sz w:val="22"/>
          <w:szCs w:val="22"/>
          <w:lang w:val="en-US"/>
        </w:rPr>
      </w:pPr>
      <w:r w:rsidRPr="00044FEE">
        <w:rPr>
          <w:rFonts w:ascii="Perpetua" w:hAnsi="Perpetua"/>
          <w:sz w:val="22"/>
          <w:szCs w:val="22"/>
          <w:lang w:val="en-US"/>
        </w:rPr>
        <w:t xml:space="preserve">Bass, Clarence B., </w:t>
      </w:r>
      <w:r w:rsidRPr="00044FEE">
        <w:rPr>
          <w:rFonts w:ascii="Perpetua" w:hAnsi="Perpetua"/>
          <w:i/>
          <w:sz w:val="22"/>
          <w:szCs w:val="22"/>
          <w:lang w:val="en-US"/>
        </w:rPr>
        <w:t xml:space="preserve">Backgrounds to Dispensationalism: Its Historical Genesis and Ecclesiastical Implications </w:t>
      </w:r>
      <w:r w:rsidRPr="00044FEE">
        <w:rPr>
          <w:rFonts w:ascii="Perpetua" w:hAnsi="Perpetua"/>
          <w:sz w:val="22"/>
          <w:szCs w:val="22"/>
          <w:lang w:val="en-US"/>
        </w:rPr>
        <w:t>(Grand Rapids: Wm. B. Eerdmans Publishing Co., Baker Book House, 1960).</w:t>
      </w:r>
    </w:p>
    <w:p w:rsidR="00616C1F" w:rsidRPr="00044FEE" w:rsidRDefault="00616C1F" w:rsidP="00616C1F">
      <w:pPr>
        <w:pStyle w:val="FootnoteText"/>
        <w:spacing w:after="120"/>
        <w:ind w:left="499" w:hanging="499"/>
        <w:jc w:val="both"/>
        <w:rPr>
          <w:rFonts w:ascii="Perpetua" w:hAnsi="Perpetua"/>
          <w:sz w:val="22"/>
          <w:szCs w:val="22"/>
        </w:rPr>
      </w:pPr>
      <w:r w:rsidRPr="00044FEE">
        <w:rPr>
          <w:rFonts w:ascii="Perpetua" w:hAnsi="Perpetua"/>
          <w:sz w:val="22"/>
          <w:szCs w:val="22"/>
        </w:rPr>
        <w:t xml:space="preserve">Bauckham, Richard, ‘The Divinity of Jesus Christ in the Epistle to the Hebrews’ in Richard Bauckham, Daniel R. Driver, Trevor A. Hart &amp; Nathan MacDonald(eds) </w:t>
      </w:r>
      <w:r w:rsidRPr="00044FEE">
        <w:rPr>
          <w:rFonts w:ascii="Perpetua" w:hAnsi="Perpetua"/>
          <w:i/>
          <w:sz w:val="22"/>
          <w:szCs w:val="22"/>
        </w:rPr>
        <w:t xml:space="preserve">The Epistle to the Hebrews and Christian Theology </w:t>
      </w:r>
      <w:r w:rsidRPr="00044FEE">
        <w:rPr>
          <w:rFonts w:ascii="Perpetua" w:hAnsi="Perpetua"/>
          <w:sz w:val="22"/>
          <w:szCs w:val="22"/>
        </w:rPr>
        <w:t>(Grand Rapids: William B. Eerdmans Publishing Company, 2009).</w:t>
      </w:r>
    </w:p>
    <w:p w:rsidR="00616C1F" w:rsidRPr="00044FEE" w:rsidRDefault="00616C1F" w:rsidP="00616C1F">
      <w:pPr>
        <w:pStyle w:val="FootnoteText"/>
        <w:spacing w:after="120"/>
        <w:ind w:left="499" w:firstLine="68"/>
        <w:jc w:val="both"/>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The Theology of the Book of Revelation</w:t>
      </w:r>
      <w:r w:rsidRPr="00044FEE">
        <w:rPr>
          <w:rFonts w:ascii="Perpetua" w:hAnsi="Perpetua"/>
          <w:sz w:val="22"/>
          <w:szCs w:val="22"/>
        </w:rPr>
        <w:t xml:space="preserve"> (Cambridge: Cambridge University Press, 1993).</w:t>
      </w:r>
    </w:p>
    <w:p w:rsidR="00616C1F" w:rsidRPr="00044FEE" w:rsidRDefault="00616C1F" w:rsidP="00616C1F">
      <w:pPr>
        <w:pStyle w:val="FootnoteText"/>
        <w:spacing w:after="120"/>
        <w:ind w:left="499" w:hanging="499"/>
        <w:jc w:val="both"/>
        <w:rPr>
          <w:rFonts w:ascii="Perpetua" w:hAnsi="Perpetua"/>
          <w:sz w:val="22"/>
          <w:szCs w:val="22"/>
        </w:rPr>
      </w:pPr>
      <w:r w:rsidRPr="00044FEE">
        <w:rPr>
          <w:rFonts w:ascii="Perpetua" w:hAnsi="Perpetua"/>
          <w:sz w:val="22"/>
          <w:szCs w:val="22"/>
        </w:rPr>
        <w:t xml:space="preserve">Bebbington, David, </w:t>
      </w:r>
      <w:r w:rsidRPr="00044FEE">
        <w:rPr>
          <w:rFonts w:ascii="Perpetua" w:hAnsi="Perpetua"/>
          <w:i/>
          <w:sz w:val="22"/>
          <w:szCs w:val="22"/>
        </w:rPr>
        <w:t xml:space="preserve">Evangelicalism in Modern Britain: A History from the 1730s to the 1980s </w:t>
      </w:r>
      <w:r w:rsidRPr="00044FEE">
        <w:rPr>
          <w:rFonts w:ascii="Perpetua" w:hAnsi="Perpetua"/>
          <w:sz w:val="22"/>
          <w:szCs w:val="22"/>
        </w:rPr>
        <w:t>(London: Unwin Hyman/Routledge, 1989; paperback edition, Baker Book House, 1992).</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t>Bible.org, ‘The First Four Trumpet-Judgments (Rev. 8:1-13)’</w:t>
      </w:r>
    </w:p>
    <w:p w:rsidR="00616C1F" w:rsidRPr="00044FEE" w:rsidRDefault="00616C1F" w:rsidP="00616C1F">
      <w:pPr>
        <w:pStyle w:val="FootnoteText"/>
        <w:spacing w:after="120"/>
        <w:ind w:left="499" w:hanging="73"/>
        <w:rPr>
          <w:rFonts w:ascii="Perpetua" w:hAnsi="Perpetua"/>
          <w:sz w:val="22"/>
          <w:szCs w:val="22"/>
          <w:lang w:val="en-US"/>
        </w:rPr>
      </w:pPr>
      <w:r w:rsidRPr="00044FEE">
        <w:rPr>
          <w:rFonts w:ascii="Perpetua" w:hAnsi="Perpetua"/>
          <w:sz w:val="22"/>
          <w:szCs w:val="22"/>
        </w:rPr>
        <w:t>&lt;http://www.goodnewsarticles.com/Dec03-1.htm&gt; [accessed 24.7.11].</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Bingham, D. Jeffrey and Glenn R. Kreider (gen. eds), </w:t>
      </w:r>
      <w:r w:rsidRPr="00044FEE">
        <w:rPr>
          <w:rFonts w:ascii="Perpetua" w:hAnsi="Perpetua"/>
          <w:i/>
          <w:sz w:val="22"/>
          <w:szCs w:val="22"/>
        </w:rPr>
        <w:t>Dispensationalism and the History of Redemption: A Developing and Diverse Tradition</w:t>
      </w:r>
      <w:r w:rsidRPr="00044FEE">
        <w:rPr>
          <w:rFonts w:ascii="Perpetua" w:hAnsi="Perpetua"/>
          <w:sz w:val="22"/>
          <w:szCs w:val="22"/>
        </w:rPr>
        <w:t xml:space="preserve"> (Chicago: Moody Publishers, 2015).</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Blackstone, William E., </w:t>
      </w:r>
      <w:r w:rsidRPr="00044FEE">
        <w:rPr>
          <w:rFonts w:ascii="Perpetua" w:hAnsi="Perpetua"/>
          <w:i/>
          <w:sz w:val="22"/>
          <w:szCs w:val="22"/>
        </w:rPr>
        <w:t>Jesus is Coming: God’s Hope for a Restless World</w:t>
      </w:r>
      <w:r w:rsidRPr="00044FEE">
        <w:rPr>
          <w:rFonts w:ascii="Perpetua" w:hAnsi="Perpetua"/>
          <w:sz w:val="22"/>
          <w:szCs w:val="22"/>
        </w:rPr>
        <w:t xml:space="preserve"> (Grand Rapids: Kregel Publications, 1989; original publication: New York: F.H. Revell, 1908). </w:t>
      </w:r>
    </w:p>
    <w:p w:rsidR="00616C1F" w:rsidRPr="00A1719E" w:rsidRDefault="00616C1F" w:rsidP="00616C1F">
      <w:pPr>
        <w:pStyle w:val="FootnoteText"/>
        <w:spacing w:after="120"/>
        <w:ind w:left="499" w:firstLine="68"/>
        <w:rPr>
          <w:rFonts w:ascii="Perpetua" w:hAnsi="Perpetua"/>
          <w:sz w:val="22"/>
          <w:szCs w:val="22"/>
        </w:rPr>
      </w:pPr>
      <w:r w:rsidRPr="00A1719E">
        <w:rPr>
          <w:rFonts w:ascii="Perpetua" w:hAnsi="Perpetua"/>
          <w:sz w:val="22"/>
          <w:szCs w:val="22"/>
        </w:rPr>
        <w:t>Internet Archive, ‘Jesus is Coming’ &lt;https://archive.org/details/JesusIsComing-raptureByWilliamW.e.b.Blackstone&gt; [accessed 16.5.14].</w:t>
      </w:r>
    </w:p>
    <w:p w:rsidR="00616C1F" w:rsidRPr="00A1719E" w:rsidRDefault="00616C1F" w:rsidP="00616C1F">
      <w:pPr>
        <w:pStyle w:val="FootnoteText"/>
        <w:ind w:left="499" w:firstLine="68"/>
        <w:rPr>
          <w:rFonts w:ascii="Perpetua" w:hAnsi="Perpetua"/>
          <w:sz w:val="22"/>
          <w:szCs w:val="22"/>
        </w:rPr>
      </w:pPr>
      <w:r w:rsidRPr="00A1719E">
        <w:rPr>
          <w:rFonts w:ascii="Perpetua" w:hAnsi="Perpetua"/>
          <w:sz w:val="22"/>
          <w:szCs w:val="22"/>
        </w:rPr>
        <w:t xml:space="preserve">Library of Congress, W. E. Blackstone, </w:t>
      </w:r>
      <w:r w:rsidRPr="00A1719E">
        <w:rPr>
          <w:rFonts w:ascii="Perpetua" w:hAnsi="Perpetua"/>
          <w:i/>
          <w:sz w:val="22"/>
          <w:szCs w:val="22"/>
        </w:rPr>
        <w:t>Jesus is Coming</w:t>
      </w:r>
      <w:r w:rsidRPr="00A1719E">
        <w:rPr>
          <w:rFonts w:ascii="Perpetua" w:hAnsi="Perpetua"/>
          <w:sz w:val="22"/>
          <w:szCs w:val="22"/>
        </w:rPr>
        <w:t>, &lt;https://catalog.loc.gov/vwebv/holdingsInfo?searchId=5535&amp;recCount=25&amp;recPointer=6</w:t>
      </w:r>
    </w:p>
    <w:p w:rsidR="00616C1F" w:rsidRPr="00A1719E" w:rsidRDefault="00616C1F" w:rsidP="00616C1F">
      <w:pPr>
        <w:pStyle w:val="FootnoteText"/>
        <w:spacing w:after="120"/>
        <w:ind w:left="499" w:firstLine="68"/>
        <w:rPr>
          <w:rFonts w:ascii="Perpetua" w:hAnsi="Perpetua"/>
          <w:sz w:val="22"/>
          <w:szCs w:val="22"/>
        </w:rPr>
      </w:pPr>
      <w:r w:rsidRPr="00A1719E">
        <w:rPr>
          <w:rFonts w:ascii="Perpetua" w:hAnsi="Perpetua"/>
          <w:sz w:val="22"/>
          <w:szCs w:val="22"/>
        </w:rPr>
        <w:t>&amp;bibId=6266385 &gt; [accessed 16.5.14 ].</w:t>
      </w:r>
    </w:p>
    <w:p w:rsidR="00616C1F" w:rsidRPr="00A1719E" w:rsidRDefault="00616C1F" w:rsidP="00616C1F">
      <w:pPr>
        <w:pStyle w:val="FootnoteText"/>
        <w:spacing w:after="120"/>
        <w:ind w:left="499" w:firstLine="68"/>
        <w:rPr>
          <w:rFonts w:ascii="Perpetua" w:hAnsi="Perpetua"/>
          <w:sz w:val="22"/>
          <w:szCs w:val="22"/>
        </w:rPr>
      </w:pPr>
      <w:r w:rsidRPr="00A1719E">
        <w:rPr>
          <w:rFonts w:ascii="Perpetua" w:hAnsi="Perpetua"/>
          <w:sz w:val="22"/>
          <w:szCs w:val="22"/>
        </w:rPr>
        <w:t>Wholesome Words, ‘Jesus is Coming’ &lt;http://www.wholesomewords.org/etexts/blkstone/coming0.html&gt; [accessed 16.5.14].</w:t>
      </w:r>
    </w:p>
    <w:p w:rsidR="00616C1F" w:rsidRDefault="00616C1F" w:rsidP="00616C1F">
      <w:pPr>
        <w:pStyle w:val="FootnoteText"/>
        <w:spacing w:after="120"/>
        <w:ind w:left="499" w:hanging="499"/>
        <w:rPr>
          <w:rFonts w:ascii="Perpetua" w:hAnsi="Perpetua"/>
          <w:sz w:val="22"/>
          <w:szCs w:val="22"/>
        </w:rPr>
      </w:pP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lastRenderedPageBreak/>
        <w:t xml:space="preserve">Blaising, Craig A., ‘Developing Dispensationalism Part 2: Development of Dispensationalism by Contemporary Dispensationalists’, </w:t>
      </w:r>
      <w:r w:rsidRPr="00044FEE">
        <w:rPr>
          <w:rFonts w:ascii="Perpetua" w:hAnsi="Perpetua"/>
          <w:i/>
          <w:sz w:val="22"/>
          <w:szCs w:val="22"/>
        </w:rPr>
        <w:t>Bibliotheca Sacra</w:t>
      </w:r>
      <w:r w:rsidRPr="00044FEE">
        <w:rPr>
          <w:rFonts w:ascii="Perpetua" w:hAnsi="Perpetua"/>
          <w:sz w:val="22"/>
          <w:szCs w:val="22"/>
        </w:rPr>
        <w:t>, Vol. 145:579 (July 1988).</w:t>
      </w:r>
    </w:p>
    <w:p w:rsidR="00616C1F" w:rsidRPr="00044FEE" w:rsidRDefault="00616C1F" w:rsidP="00616C1F">
      <w:pPr>
        <w:pStyle w:val="FootnoteText"/>
        <w:spacing w:after="120"/>
        <w:ind w:left="499" w:hanging="499"/>
        <w:rPr>
          <w:rFonts w:ascii="Perpetua" w:hAnsi="Perpetua" w:cs="DejaVuSans"/>
          <w:sz w:val="22"/>
          <w:szCs w:val="22"/>
          <w:lang w:eastAsia="en-GB"/>
        </w:rPr>
      </w:pPr>
      <w:r w:rsidRPr="00044FEE">
        <w:rPr>
          <w:rFonts w:ascii="Perpetua" w:hAnsi="Perpetua"/>
          <w:sz w:val="22"/>
          <w:szCs w:val="22"/>
        </w:rPr>
        <w:t xml:space="preserve">           —  ‘</w:t>
      </w:r>
      <w:r w:rsidRPr="00044FEE">
        <w:rPr>
          <w:rFonts w:ascii="Perpetua" w:hAnsi="Perpetua" w:cs="DejaVuSans"/>
          <w:sz w:val="22"/>
          <w:szCs w:val="22"/>
          <w:lang w:eastAsia="en-GB"/>
        </w:rPr>
        <w:t xml:space="preserve">The Kingdom That Comes With Jesus: Premillennialism And The Harmony Of Scripture’, </w:t>
      </w:r>
      <w:r w:rsidRPr="00044FEE">
        <w:rPr>
          <w:rFonts w:ascii="Perpetua" w:hAnsi="Perpetua" w:cs="DejaVuSans"/>
          <w:i/>
          <w:sz w:val="22"/>
          <w:szCs w:val="22"/>
          <w:lang w:eastAsia="en-GB"/>
        </w:rPr>
        <w:t>Southern Baptist Journal of Theology, SBTJ 14:1</w:t>
      </w:r>
      <w:r w:rsidRPr="00044FEE">
        <w:rPr>
          <w:rFonts w:ascii="Perpetua" w:hAnsi="Perpetua" w:cs="DejaVuSans"/>
          <w:sz w:val="22"/>
          <w:szCs w:val="22"/>
          <w:lang w:eastAsia="en-GB"/>
        </w:rPr>
        <w:t xml:space="preserve"> (Spring 2010). </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Blaising, Craig A., and Darrell L. Bock (eds), </w:t>
      </w:r>
      <w:r w:rsidRPr="00044FEE">
        <w:rPr>
          <w:rFonts w:ascii="Perpetua" w:hAnsi="Perpetua"/>
          <w:i/>
          <w:sz w:val="22"/>
          <w:szCs w:val="22"/>
        </w:rPr>
        <w:t>Dispensationalism, Israel and the Church: The Search for Definition</w:t>
      </w:r>
      <w:r w:rsidRPr="00044FEE">
        <w:rPr>
          <w:rFonts w:ascii="Perpetua" w:hAnsi="Perpetua"/>
          <w:sz w:val="22"/>
          <w:szCs w:val="22"/>
        </w:rPr>
        <w:t xml:space="preserve"> (Grand Rapids, Michigan: Zondervan Publishing House, 1992).</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Blaising, Craig A., and Darrell L. Bock </w:t>
      </w:r>
      <w:r w:rsidRPr="00044FEE">
        <w:rPr>
          <w:rFonts w:ascii="Perpetua" w:hAnsi="Perpetua"/>
          <w:i/>
          <w:sz w:val="22"/>
          <w:szCs w:val="22"/>
        </w:rPr>
        <w:t>Progressive Dispensationalism</w:t>
      </w:r>
      <w:r w:rsidRPr="00044FEE">
        <w:rPr>
          <w:rFonts w:ascii="Perpetua" w:hAnsi="Perpetua"/>
          <w:sz w:val="22"/>
          <w:szCs w:val="22"/>
        </w:rPr>
        <w:t xml:space="preserve"> (Grand Rapids, Michigan: Bridgepoint Books, 1993, paperback, 2000). </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Blomberg, Craig, </w:t>
      </w:r>
      <w:r w:rsidRPr="00044FEE">
        <w:rPr>
          <w:rFonts w:ascii="Perpetua" w:hAnsi="Perpetua"/>
          <w:i/>
          <w:sz w:val="22"/>
          <w:szCs w:val="22"/>
        </w:rPr>
        <w:t>The Historical Reliability of the Gospels</w:t>
      </w:r>
      <w:r w:rsidRPr="00044FEE">
        <w:rPr>
          <w:rFonts w:ascii="Perpetua" w:hAnsi="Perpetua"/>
          <w:sz w:val="22"/>
          <w:szCs w:val="22"/>
        </w:rPr>
        <w:t xml:space="preserve"> (Leicester: Inter-Varsity Press, 1987).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Bock, Darrell L., ‘The Son of David and the Saints’ Task: The Hermeneutics of Initial Fulfillment’, </w:t>
      </w:r>
      <w:r w:rsidRPr="00044FEE">
        <w:rPr>
          <w:rFonts w:ascii="Perpetua" w:hAnsi="Perpetua"/>
          <w:i/>
          <w:sz w:val="22"/>
          <w:szCs w:val="22"/>
        </w:rPr>
        <w:t>Bibliotheca Sacra</w:t>
      </w:r>
      <w:r w:rsidRPr="00044FEE">
        <w:rPr>
          <w:rFonts w:ascii="Perpetua" w:hAnsi="Perpetua"/>
          <w:sz w:val="22"/>
          <w:szCs w:val="22"/>
        </w:rPr>
        <w:t xml:space="preserve">, </w:t>
      </w:r>
      <w:r w:rsidRPr="00044FEE">
        <w:rPr>
          <w:rFonts w:ascii="Perpetua" w:hAnsi="Perpetua"/>
          <w:i/>
          <w:sz w:val="22"/>
          <w:szCs w:val="22"/>
        </w:rPr>
        <w:t>Vol. 150:600</w:t>
      </w:r>
      <w:r w:rsidRPr="00044FEE">
        <w:rPr>
          <w:rFonts w:ascii="Perpetua" w:hAnsi="Perpetua"/>
          <w:sz w:val="22"/>
          <w:szCs w:val="22"/>
        </w:rPr>
        <w:t xml:space="preserve"> (Oct. 1993).</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cs="Humnst777 Lt BT"/>
          <w:sz w:val="22"/>
          <w:szCs w:val="22"/>
        </w:rPr>
        <w:t>Bovon, Fran</w:t>
      </w:r>
      <w:r w:rsidRPr="00044FEE">
        <w:rPr>
          <w:rFonts w:ascii="Perpetua" w:hAnsi="Perpetua" w:cs="Humnst777 Lt BT"/>
          <w:sz w:val="22"/>
          <w:szCs w:val="22"/>
          <w:lang w:val="en-US"/>
        </w:rPr>
        <w:t>ç</w:t>
      </w:r>
      <w:r w:rsidRPr="00044FEE">
        <w:rPr>
          <w:rFonts w:ascii="Perpetua" w:hAnsi="Perpetua" w:cs="Humnst777 Lt BT"/>
          <w:sz w:val="22"/>
          <w:szCs w:val="22"/>
        </w:rPr>
        <w:t xml:space="preserve">ois, </w:t>
      </w:r>
      <w:r w:rsidRPr="00044FEE">
        <w:rPr>
          <w:rFonts w:ascii="Perpetua" w:hAnsi="Perpetua" w:cs="Humnst777 Lt BT"/>
          <w:i/>
          <w:sz w:val="22"/>
          <w:szCs w:val="22"/>
        </w:rPr>
        <w:t>Luke 3:</w:t>
      </w:r>
      <w:r w:rsidRPr="00044FEE">
        <w:rPr>
          <w:rFonts w:ascii="Perpetua" w:hAnsi="Perpetua" w:cs="Humnst777 Lt BT"/>
          <w:sz w:val="22"/>
          <w:szCs w:val="22"/>
        </w:rPr>
        <w:t xml:space="preserve"> </w:t>
      </w:r>
      <w:r w:rsidRPr="00044FEE">
        <w:rPr>
          <w:rFonts w:ascii="Perpetua" w:hAnsi="Perpetua" w:cs="Humnst777 Lt BT"/>
          <w:i/>
          <w:sz w:val="22"/>
          <w:szCs w:val="22"/>
        </w:rPr>
        <w:t>A Commentary on the Gospel of Luke 19:28-24:53</w:t>
      </w:r>
      <w:r w:rsidRPr="00044FEE">
        <w:rPr>
          <w:rFonts w:ascii="Perpetua" w:hAnsi="Perpetua" w:cs="Humnst777 Lt BT"/>
          <w:sz w:val="22"/>
          <w:szCs w:val="22"/>
        </w:rPr>
        <w:t xml:space="preserve"> (William Foxwell Albright and David Noel Freedman [gen. eds], ed. Helmut Koester, trans. James Crouch, Semeia, Vol. 28A; Garden City, New York: Doubleday &amp; Company, Inc., 1985).</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Boyer, Paul, </w:t>
      </w:r>
      <w:r w:rsidRPr="00044FEE">
        <w:rPr>
          <w:rFonts w:ascii="Perpetua" w:hAnsi="Perpetua"/>
          <w:i/>
          <w:sz w:val="22"/>
          <w:szCs w:val="22"/>
        </w:rPr>
        <w:t xml:space="preserve">When Time Shall Be No More: Prophecy Belief in Modern American Culture </w:t>
      </w:r>
      <w:r w:rsidRPr="00044FEE">
        <w:rPr>
          <w:rFonts w:ascii="Perpetua" w:hAnsi="Perpetua"/>
          <w:sz w:val="22"/>
          <w:szCs w:val="22"/>
        </w:rPr>
        <w:t>(Cambridge, Mass., Belknap Press of Harvard University Press, 1992).</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Bradshaw, Robert I., ‘Covenant and Covenants in the Bible’ &lt;https://biblicalstudies.org.uk/article_covenant.html &gt; [accessed 28.3.17].</w:t>
      </w:r>
    </w:p>
    <w:p w:rsidR="00616C1F" w:rsidRPr="00044FEE" w:rsidRDefault="00616C1F" w:rsidP="00616C1F">
      <w:pPr>
        <w:pStyle w:val="FootnoteText"/>
        <w:spacing w:after="120"/>
        <w:ind w:left="499" w:hanging="499"/>
        <w:rPr>
          <w:rFonts w:ascii="Perpetua" w:hAnsi="Perpetua"/>
          <w:sz w:val="22"/>
        </w:rPr>
      </w:pPr>
      <w:r w:rsidRPr="00044FEE">
        <w:rPr>
          <w:rFonts w:ascii="Perpetua" w:hAnsi="Perpetua"/>
          <w:sz w:val="22"/>
        </w:rPr>
        <w:t xml:space="preserve">Brookes, James H., </w:t>
      </w:r>
      <w:r w:rsidRPr="00044FEE">
        <w:rPr>
          <w:rFonts w:ascii="Perpetua" w:hAnsi="Perpetua"/>
          <w:i/>
          <w:sz w:val="22"/>
        </w:rPr>
        <w:t>Bible Reading on the Second Coming of Christ</w:t>
      </w:r>
      <w:r w:rsidRPr="00044FEE">
        <w:rPr>
          <w:rFonts w:ascii="Perpetua" w:hAnsi="Perpetua"/>
          <w:sz w:val="22"/>
        </w:rPr>
        <w:t xml:space="preserve"> </w:t>
      </w:r>
      <w:r w:rsidR="00DD33A2" w:rsidRPr="00DD33A2">
        <w:rPr>
          <w:rFonts w:ascii="Perpetua" w:hAnsi="Perpetua"/>
          <w:i/>
          <w:sz w:val="22"/>
        </w:rPr>
        <w:t>According to the Scriptures</w:t>
      </w:r>
      <w:r w:rsidR="00DD33A2">
        <w:rPr>
          <w:rFonts w:ascii="Perpetua" w:hAnsi="Perpetua"/>
          <w:sz w:val="22"/>
        </w:rPr>
        <w:t xml:space="preserve"> </w:t>
      </w:r>
      <w:r w:rsidRPr="00044FEE">
        <w:rPr>
          <w:rFonts w:ascii="Perpetua" w:hAnsi="Perpetua"/>
          <w:sz w:val="22"/>
        </w:rPr>
        <w:t>(Springfield, Illinois: Edwin A. Wilson, 1877).</w:t>
      </w:r>
    </w:p>
    <w:p w:rsidR="00616C1F" w:rsidRPr="00044FEE" w:rsidRDefault="00616C1F" w:rsidP="00616C1F">
      <w:pPr>
        <w:pStyle w:val="FootnoteText"/>
        <w:spacing w:after="120"/>
        <w:ind w:left="499" w:hanging="499"/>
        <w:rPr>
          <w:rFonts w:ascii="Perpetua" w:hAnsi="Perpetua"/>
          <w:sz w:val="22"/>
        </w:rPr>
      </w:pPr>
      <w:r w:rsidRPr="00044FEE">
        <w:rPr>
          <w:rFonts w:ascii="Perpetua" w:hAnsi="Perpetua"/>
          <w:sz w:val="22"/>
          <w:szCs w:val="22"/>
        </w:rPr>
        <w:t xml:space="preserve">           —  </w:t>
      </w:r>
      <w:r w:rsidRPr="00044FEE">
        <w:rPr>
          <w:rFonts w:ascii="Perpetua" w:hAnsi="Perpetua"/>
          <w:i/>
          <w:sz w:val="22"/>
        </w:rPr>
        <w:t>Maranatha: or The Lord Cometh (1889)</w:t>
      </w:r>
      <w:r w:rsidRPr="00044FEE">
        <w:rPr>
          <w:rFonts w:ascii="Perpetua" w:hAnsi="Perpetua"/>
          <w:sz w:val="22"/>
        </w:rPr>
        <w:t xml:space="preserve"> &lt;https://archive.org/stream/J.H.BrookesMaranathaOrTheLordCometh1889/1889_brookes_maranatha_lordCometh_djvu.txt&gt; [accessed 22.2.17].</w:t>
      </w:r>
    </w:p>
    <w:p w:rsidR="00616C1F" w:rsidRPr="00044FEE" w:rsidRDefault="00616C1F" w:rsidP="00616C1F">
      <w:pPr>
        <w:pStyle w:val="FootnoteText"/>
        <w:spacing w:after="120"/>
        <w:ind w:left="499" w:firstLine="68"/>
        <w:rPr>
          <w:rFonts w:ascii="Perpetua" w:hAnsi="Perpetua"/>
          <w:sz w:val="22"/>
        </w:rPr>
      </w:pPr>
      <w:r w:rsidRPr="00044FEE">
        <w:rPr>
          <w:rFonts w:ascii="Perpetua" w:hAnsi="Perpetua"/>
          <w:sz w:val="22"/>
          <w:szCs w:val="22"/>
        </w:rPr>
        <w:t xml:space="preserve">—  </w:t>
      </w:r>
      <w:r w:rsidRPr="00044FEE">
        <w:rPr>
          <w:rFonts w:ascii="Perpetua" w:hAnsi="Perpetua"/>
          <w:i/>
          <w:sz w:val="22"/>
        </w:rPr>
        <w:t>The Truth</w:t>
      </w:r>
      <w:r w:rsidRPr="00044FEE">
        <w:rPr>
          <w:rFonts w:ascii="Perpetua" w:hAnsi="Perpetua"/>
          <w:sz w:val="22"/>
        </w:rPr>
        <w:t>, V (1879).</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Burge, Gary M., </w:t>
      </w:r>
      <w:r w:rsidRPr="00044FEE">
        <w:rPr>
          <w:rFonts w:ascii="Perpetua" w:hAnsi="Perpetua"/>
          <w:i/>
          <w:sz w:val="22"/>
          <w:szCs w:val="22"/>
        </w:rPr>
        <w:t>Jesus and the Land: The New Testament Challenge to ‘Holy Land’ Theology</w:t>
      </w:r>
      <w:r w:rsidRPr="00044FEE">
        <w:rPr>
          <w:rFonts w:ascii="Perpetua" w:hAnsi="Perpetua"/>
          <w:sz w:val="22"/>
          <w:szCs w:val="22"/>
        </w:rPr>
        <w:t xml:space="preserve"> (Grand Rapids: SPCK, Baker Academic, 2010).</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Burridge, Richard A., </w:t>
      </w:r>
      <w:r w:rsidRPr="00044FEE">
        <w:rPr>
          <w:rFonts w:ascii="Perpetua" w:hAnsi="Perpetua"/>
          <w:i/>
          <w:sz w:val="22"/>
          <w:szCs w:val="22"/>
        </w:rPr>
        <w:t>Four Gospels, One Jesus?  A Symbolic Reading</w:t>
      </w:r>
      <w:r w:rsidRPr="00044FEE">
        <w:rPr>
          <w:rFonts w:ascii="Perpetua" w:hAnsi="Perpetua"/>
          <w:sz w:val="22"/>
          <w:szCs w:val="22"/>
        </w:rPr>
        <w:t xml:space="preserve"> (2nd Edition, London: Society for Promoting Christian Knowledge, 2005).</w:t>
      </w:r>
    </w:p>
    <w:p w:rsidR="00616C1F" w:rsidRPr="00044FEE" w:rsidRDefault="00616C1F" w:rsidP="00616C1F">
      <w:pPr>
        <w:pStyle w:val="FootnoteText"/>
        <w:spacing w:after="120"/>
        <w:ind w:left="567"/>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John</w:t>
      </w:r>
      <w:r w:rsidRPr="00044FEE">
        <w:rPr>
          <w:rFonts w:ascii="Perpetua" w:hAnsi="Perpetua"/>
          <w:sz w:val="22"/>
          <w:szCs w:val="22"/>
        </w:rPr>
        <w:t xml:space="preserve"> (3</w:t>
      </w:r>
      <w:r w:rsidRPr="00044FEE">
        <w:rPr>
          <w:rFonts w:ascii="Perpetua" w:hAnsi="Perpetua"/>
          <w:sz w:val="22"/>
          <w:szCs w:val="22"/>
          <w:vertAlign w:val="superscript"/>
        </w:rPr>
        <w:t>rd</w:t>
      </w:r>
      <w:r w:rsidRPr="00044FEE">
        <w:rPr>
          <w:rFonts w:ascii="Perpetua" w:hAnsi="Perpetua"/>
          <w:sz w:val="22"/>
          <w:szCs w:val="22"/>
        </w:rPr>
        <w:t xml:space="preserve"> Edition, The People’s Bible Commentary: A Devotional Commentary for Study and Preaching, Abingdon: The Bible Reading Fellowship, 2010).</w:t>
      </w:r>
    </w:p>
    <w:p w:rsidR="00616C1F" w:rsidRPr="00044FEE" w:rsidRDefault="00616C1F" w:rsidP="00616C1F">
      <w:pPr>
        <w:pStyle w:val="FootnoteText"/>
        <w:ind w:left="499" w:hanging="499"/>
        <w:rPr>
          <w:rFonts w:ascii="Perpetua" w:hAnsi="Perpetua"/>
          <w:sz w:val="22"/>
        </w:rPr>
      </w:pPr>
      <w:r w:rsidRPr="00044FEE">
        <w:rPr>
          <w:rFonts w:ascii="Perpetua" w:hAnsi="Perpetua"/>
          <w:i/>
          <w:sz w:val="22"/>
        </w:rPr>
        <w:t>Cairn Magazine Online</w:t>
      </w:r>
      <w:r w:rsidRPr="00044FEE">
        <w:rPr>
          <w:rFonts w:ascii="Perpetua" w:hAnsi="Perpetua"/>
          <w:sz w:val="22"/>
        </w:rPr>
        <w:t>, June 2013.</w:t>
      </w:r>
    </w:p>
    <w:p w:rsidR="00616C1F" w:rsidRPr="00044FEE" w:rsidRDefault="00616C1F" w:rsidP="00616C1F">
      <w:pPr>
        <w:pStyle w:val="FootnoteText"/>
        <w:spacing w:after="120"/>
        <w:ind w:left="499" w:firstLine="68"/>
        <w:rPr>
          <w:rFonts w:ascii="Perpetua" w:hAnsi="Perpetua"/>
          <w:sz w:val="24"/>
          <w:szCs w:val="22"/>
        </w:rPr>
      </w:pPr>
      <w:r w:rsidRPr="00044FEE">
        <w:rPr>
          <w:rFonts w:ascii="Perpetua" w:hAnsi="Perpetua"/>
          <w:sz w:val="22"/>
        </w:rPr>
        <w:t>&lt;http://magazine.cairn.edu/2013/06/new-every-morning/&gt; [accessed 2.3.18].</w:t>
      </w:r>
    </w:p>
    <w:p w:rsidR="00616C1F" w:rsidRDefault="00616C1F" w:rsidP="00616C1F">
      <w:pPr>
        <w:pStyle w:val="FootnoteText"/>
        <w:ind w:left="499" w:hanging="499"/>
        <w:jc w:val="both"/>
        <w:rPr>
          <w:rFonts w:ascii="Perpetua" w:hAnsi="Perpetua"/>
          <w:sz w:val="22"/>
          <w:szCs w:val="24"/>
        </w:rPr>
      </w:pPr>
      <w:r w:rsidRPr="00044FEE">
        <w:rPr>
          <w:rFonts w:ascii="Perpetua" w:hAnsi="Perpetua"/>
          <w:sz w:val="22"/>
          <w:szCs w:val="24"/>
        </w:rPr>
        <w:t xml:space="preserve">Callan, Terrance, ‘Pauline Midrash: The Exegetical Background of Gal. 3:19b’ </w:t>
      </w:r>
    </w:p>
    <w:p w:rsidR="00616C1F" w:rsidRDefault="00616C1F" w:rsidP="00616C1F">
      <w:pPr>
        <w:pStyle w:val="FootnoteText"/>
        <w:ind w:left="499" w:firstLine="68"/>
        <w:jc w:val="both"/>
        <w:rPr>
          <w:rFonts w:ascii="Perpetua" w:hAnsi="Perpetua"/>
          <w:sz w:val="22"/>
          <w:szCs w:val="24"/>
        </w:rPr>
      </w:pPr>
      <w:r w:rsidRPr="00044FEE">
        <w:rPr>
          <w:rFonts w:ascii="Perpetua" w:hAnsi="Perpetua"/>
          <w:i/>
          <w:sz w:val="22"/>
          <w:szCs w:val="24"/>
        </w:rPr>
        <w:t>Journal of Biblical Literature</w:t>
      </w:r>
      <w:r w:rsidRPr="00044FEE">
        <w:rPr>
          <w:rFonts w:ascii="Perpetua" w:hAnsi="Perpetua"/>
          <w:sz w:val="22"/>
          <w:szCs w:val="24"/>
        </w:rPr>
        <w:t xml:space="preserve"> 99/4 (1980) &lt;http://uk.jstor.org/journals/00219231.html&gt; </w:t>
      </w:r>
    </w:p>
    <w:p w:rsidR="00616C1F" w:rsidRPr="00044FEE" w:rsidRDefault="00616C1F" w:rsidP="00616C1F">
      <w:pPr>
        <w:pStyle w:val="FootnoteText"/>
        <w:spacing w:after="120"/>
        <w:ind w:left="499" w:firstLine="68"/>
        <w:jc w:val="both"/>
        <w:rPr>
          <w:rFonts w:ascii="Perpetua" w:hAnsi="Perpetua"/>
          <w:szCs w:val="22"/>
        </w:rPr>
      </w:pPr>
      <w:r w:rsidRPr="00044FEE">
        <w:rPr>
          <w:rFonts w:ascii="Perpetua" w:hAnsi="Perpetua"/>
          <w:sz w:val="22"/>
          <w:szCs w:val="24"/>
        </w:rPr>
        <w:t>[accessed 5.1.08].</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Campbell, Donald K., ‘The Interpretation of Types’, </w:t>
      </w:r>
      <w:r w:rsidRPr="00044FEE">
        <w:rPr>
          <w:rFonts w:ascii="Perpetua" w:hAnsi="Perpetua"/>
          <w:i/>
          <w:sz w:val="22"/>
          <w:szCs w:val="22"/>
        </w:rPr>
        <w:t>Bibliotheca Sacra</w:t>
      </w:r>
      <w:r w:rsidRPr="00044FEE">
        <w:rPr>
          <w:rFonts w:ascii="Perpetua" w:hAnsi="Perpetua"/>
          <w:sz w:val="22"/>
          <w:szCs w:val="22"/>
        </w:rPr>
        <w:t xml:space="preserve">, </w:t>
      </w:r>
      <w:r w:rsidRPr="00044FEE">
        <w:rPr>
          <w:rFonts w:ascii="Perpetua" w:hAnsi="Perpetua"/>
          <w:sz w:val="22"/>
        </w:rPr>
        <w:t>CXII, No 447, July 1955.</w:t>
      </w:r>
    </w:p>
    <w:p w:rsidR="00616C1F" w:rsidRPr="00044FEE" w:rsidRDefault="00616C1F" w:rsidP="00616C1F">
      <w:pPr>
        <w:pStyle w:val="FootnoteText"/>
        <w:spacing w:after="120"/>
        <w:ind w:left="539" w:hanging="539"/>
        <w:rPr>
          <w:rFonts w:ascii="Perpetua" w:hAnsi="Perpetua"/>
          <w:sz w:val="22"/>
          <w:szCs w:val="22"/>
        </w:rPr>
      </w:pPr>
      <w:r w:rsidRPr="00044FEE">
        <w:rPr>
          <w:rFonts w:ascii="Perpetua" w:hAnsi="Perpetua"/>
          <w:sz w:val="22"/>
          <w:szCs w:val="22"/>
        </w:rPr>
        <w:t xml:space="preserve">Canfield, Joseph M., </w:t>
      </w:r>
      <w:r w:rsidRPr="00044FEE">
        <w:rPr>
          <w:rFonts w:ascii="Perpetua" w:hAnsi="Perpetua"/>
          <w:i/>
          <w:sz w:val="22"/>
          <w:szCs w:val="22"/>
        </w:rPr>
        <w:t>The Incredible Scofield and His Book</w:t>
      </w:r>
      <w:r w:rsidRPr="00044FEE">
        <w:rPr>
          <w:rFonts w:ascii="Perpetua" w:hAnsi="Perpetua"/>
          <w:sz w:val="22"/>
          <w:szCs w:val="22"/>
        </w:rPr>
        <w:t xml:space="preserve"> (Vallecito, California: Ross House Books, 1988).  </w:t>
      </w:r>
    </w:p>
    <w:p w:rsidR="00616C1F" w:rsidRPr="00044FEE" w:rsidRDefault="00616C1F" w:rsidP="00616C1F">
      <w:pPr>
        <w:autoSpaceDE w:val="0"/>
        <w:autoSpaceDN w:val="0"/>
        <w:adjustRightInd w:val="0"/>
        <w:spacing w:after="120" w:line="240" w:lineRule="auto"/>
        <w:ind w:left="499" w:hanging="499"/>
      </w:pPr>
      <w:r w:rsidRPr="00044FEE">
        <w:t xml:space="preserve">Chafer, Lewis Sperry, </w:t>
      </w:r>
      <w:r w:rsidRPr="00044FEE">
        <w:rPr>
          <w:i/>
        </w:rPr>
        <w:t>Dispensationalism</w:t>
      </w:r>
      <w:r w:rsidRPr="00044FEE">
        <w:t>, Second Reprint of article, Bibliotheca Sacra, Vol. 93, no. 372, Oct.-Dec. 1936 (Fort Worth, Texas: Exegetica Publishing, 1951).</w:t>
      </w:r>
    </w:p>
    <w:p w:rsidR="00616C1F" w:rsidRPr="00044FEE" w:rsidRDefault="00616C1F" w:rsidP="00616C1F">
      <w:pPr>
        <w:autoSpaceDE w:val="0"/>
        <w:autoSpaceDN w:val="0"/>
        <w:adjustRightInd w:val="0"/>
        <w:spacing w:after="120" w:line="240" w:lineRule="auto"/>
        <w:ind w:left="499" w:hanging="499"/>
      </w:pPr>
      <w:r w:rsidRPr="00044FEE">
        <w:t xml:space="preserve">           — </w:t>
      </w:r>
      <w:r w:rsidRPr="00044FEE">
        <w:rPr>
          <w:i/>
        </w:rPr>
        <w:t>Grace: An Exposition of God’s Marvelous Gift</w:t>
      </w:r>
      <w:r w:rsidRPr="00044FEE">
        <w:t xml:space="preserve"> &lt;http://www.baptistbiblebelievers.com/BookList/GracebyLewisSperryChafer1922.aspx &gt; [accessed 1.1.17].</w:t>
      </w:r>
    </w:p>
    <w:p w:rsidR="00616C1F" w:rsidRPr="00044FEE" w:rsidRDefault="00616C1F" w:rsidP="00616C1F">
      <w:pPr>
        <w:autoSpaceDE w:val="0"/>
        <w:autoSpaceDN w:val="0"/>
        <w:adjustRightInd w:val="0"/>
        <w:spacing w:after="120" w:line="240" w:lineRule="auto"/>
        <w:ind w:left="499" w:hanging="499"/>
      </w:pPr>
      <w:r w:rsidRPr="00044FEE">
        <w:t xml:space="preserve">           — </w:t>
      </w:r>
      <w:r w:rsidRPr="00044FEE">
        <w:rPr>
          <w:i/>
        </w:rPr>
        <w:t>The Kingdom in History and Prophecy</w:t>
      </w:r>
      <w:r w:rsidRPr="00044FEE">
        <w:t xml:space="preserve"> &lt;http://scofield.me/uploads/Kingdom_in_History.pdf&gt; [accessed 11.2.11].</w:t>
      </w:r>
    </w:p>
    <w:p w:rsidR="00616C1F" w:rsidRDefault="00616C1F" w:rsidP="00616C1F">
      <w:pPr>
        <w:autoSpaceDE w:val="0"/>
        <w:autoSpaceDN w:val="0"/>
        <w:adjustRightInd w:val="0"/>
        <w:spacing w:after="120" w:line="240" w:lineRule="auto"/>
        <w:ind w:left="499" w:hanging="499"/>
        <w:rPr>
          <w:rFonts w:cs="Arial"/>
          <w:lang w:val="en-US"/>
        </w:rPr>
      </w:pPr>
      <w:r w:rsidRPr="00044FEE">
        <w:lastRenderedPageBreak/>
        <w:t xml:space="preserve">Chafer, Lewis Sperry, </w:t>
      </w:r>
      <w:r w:rsidRPr="00044FEE">
        <w:rPr>
          <w:rFonts w:cs="Arial"/>
          <w:i/>
          <w:lang w:val="en-US"/>
        </w:rPr>
        <w:t xml:space="preserve">Major Bible themes, representing forty-nine vital doctrines of the Scriptures, abbreviated and simplified </w:t>
      </w:r>
      <w:r w:rsidRPr="00044FEE">
        <w:rPr>
          <w:rFonts w:cs="Arial"/>
          <w:lang w:val="en-US"/>
        </w:rPr>
        <w:t>(Grand Rapids: Dunham Publishing Company, 1965; copyright Dallas Theological Seminary, 1926 &amp; 1953).</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Cohn-Sherbok, Dan, </w:t>
      </w:r>
      <w:r w:rsidRPr="00044FEE">
        <w:rPr>
          <w:rFonts w:ascii="Perpetua" w:hAnsi="Perpetua"/>
          <w:i/>
          <w:sz w:val="22"/>
          <w:szCs w:val="22"/>
        </w:rPr>
        <w:t>The Politics of Apocalypse: The History and Influence of Christian Zionism</w:t>
      </w:r>
      <w:r w:rsidRPr="00044FEE">
        <w:rPr>
          <w:rFonts w:ascii="Perpetua" w:hAnsi="Perpetua"/>
          <w:sz w:val="22"/>
          <w:szCs w:val="22"/>
        </w:rPr>
        <w:t xml:space="preserve"> </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(Oxford: Oneworld Publications, Ltd., 2006).</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Collins, John J., ‘Apocalypses and Apocalypticism, IV: Early Jewish Apocalypticism’, in David Noel Freedman (ed. in chief), </w:t>
      </w:r>
      <w:r w:rsidRPr="00044FEE">
        <w:rPr>
          <w:rStyle w:val="italics"/>
          <w:rFonts w:ascii="Perpetua" w:hAnsi="Perpetua"/>
          <w:i/>
          <w:sz w:val="22"/>
          <w:szCs w:val="22"/>
        </w:rPr>
        <w:t>Anchor Bible Dictionary,</w:t>
      </w:r>
      <w:r w:rsidRPr="00044FEE">
        <w:rPr>
          <w:rFonts w:ascii="Perpetua" w:hAnsi="Perpetua"/>
          <w:i/>
          <w:sz w:val="22"/>
          <w:szCs w:val="22"/>
        </w:rPr>
        <w:t xml:space="preserve"> Vol. I</w:t>
      </w:r>
      <w:r w:rsidRPr="00044FEE">
        <w:rPr>
          <w:rFonts w:ascii="Perpetua" w:hAnsi="Perpetua"/>
          <w:sz w:val="22"/>
          <w:szCs w:val="22"/>
        </w:rPr>
        <w:t xml:space="preserve"> (London: Doubleday, 1992).</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Daniel: A Commentary on the Book of Daniel</w:t>
      </w:r>
      <w:r w:rsidRPr="00044FEE">
        <w:rPr>
          <w:rFonts w:ascii="Perpetua" w:hAnsi="Perpetua"/>
          <w:sz w:val="22"/>
          <w:szCs w:val="22"/>
        </w:rPr>
        <w:t xml:space="preserve"> (Minneapolis: Fortress Press, 1993).</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Conrad, Edgar W., </w:t>
      </w:r>
      <w:r w:rsidRPr="00044FEE">
        <w:rPr>
          <w:rFonts w:ascii="Perpetua" w:hAnsi="Perpetua"/>
          <w:i/>
          <w:sz w:val="22"/>
          <w:szCs w:val="22"/>
        </w:rPr>
        <w:t>Zechariah</w:t>
      </w:r>
      <w:r w:rsidRPr="00044FEE">
        <w:rPr>
          <w:rFonts w:ascii="Perpetua" w:hAnsi="Perpetua"/>
          <w:sz w:val="22"/>
          <w:szCs w:val="22"/>
        </w:rPr>
        <w:t xml:space="preserve"> (Sheffield: Sheffield Academic Press, 1999).</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Cox, William E., </w:t>
      </w:r>
      <w:r w:rsidRPr="00044FEE">
        <w:rPr>
          <w:rFonts w:ascii="Perpetua" w:hAnsi="Perpetua"/>
          <w:i/>
          <w:sz w:val="22"/>
          <w:szCs w:val="22"/>
        </w:rPr>
        <w:t>Amillennialism Today</w:t>
      </w:r>
      <w:r w:rsidRPr="00044FEE">
        <w:rPr>
          <w:rFonts w:ascii="Perpetua" w:hAnsi="Perpetua"/>
          <w:sz w:val="22"/>
          <w:szCs w:val="22"/>
        </w:rPr>
        <w:t xml:space="preserve"> (Phillipsburg, New Jersey: Presbyterian and Reformed Publishing Co., 1966).</w:t>
      </w:r>
    </w:p>
    <w:p w:rsidR="00616C1F" w:rsidRPr="00044FEE" w:rsidRDefault="00616C1F" w:rsidP="00616C1F">
      <w:pPr>
        <w:pStyle w:val="FootnoteText"/>
        <w:spacing w:after="120"/>
        <w:ind w:left="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Biblical Studies in Final Things</w:t>
      </w:r>
      <w:r w:rsidRPr="00044FEE">
        <w:rPr>
          <w:rFonts w:ascii="Perpetua" w:hAnsi="Perpetua"/>
          <w:sz w:val="22"/>
          <w:szCs w:val="22"/>
        </w:rPr>
        <w:t xml:space="preserve"> (</w:t>
      </w:r>
      <w:r w:rsidRPr="00616C1F">
        <w:rPr>
          <w:rFonts w:ascii="Perpetua" w:hAnsi="Perpetua"/>
          <w:spacing w:val="-4"/>
          <w:sz w:val="22"/>
          <w:szCs w:val="22"/>
        </w:rPr>
        <w:t>Phillipsburg, New Jersey: Presbyterian and Reformed Publishing Co., 1966</w:t>
      </w:r>
      <w:r w:rsidRPr="00044FEE">
        <w:rPr>
          <w:rFonts w:ascii="Perpetua" w:hAnsi="Perpetua"/>
          <w:sz w:val="22"/>
          <w:szCs w:val="22"/>
        </w:rPr>
        <w:t>).</w:t>
      </w:r>
    </w:p>
    <w:p w:rsidR="00616C1F" w:rsidRPr="00044FEE" w:rsidRDefault="00616C1F" w:rsidP="00616C1F">
      <w:pPr>
        <w:pStyle w:val="FootnoteText"/>
        <w:spacing w:after="120"/>
        <w:ind w:left="499" w:right="71" w:hanging="499"/>
        <w:rPr>
          <w:rFonts w:ascii="Perpetua" w:hAnsi="Perpetua"/>
          <w:sz w:val="22"/>
          <w:szCs w:val="22"/>
          <w:lang w:val="en-US"/>
        </w:rPr>
      </w:pPr>
      <w:r w:rsidRPr="00044FEE">
        <w:rPr>
          <w:rFonts w:ascii="Perpetua" w:hAnsi="Perpetua"/>
          <w:sz w:val="22"/>
          <w:szCs w:val="22"/>
        </w:rPr>
        <w:t xml:space="preserve">Craig, G. Y. and E. J. Jones, </w:t>
      </w:r>
      <w:r w:rsidRPr="00044FEE">
        <w:rPr>
          <w:rFonts w:ascii="Perpetua" w:hAnsi="Perpetua"/>
          <w:i/>
          <w:sz w:val="22"/>
          <w:szCs w:val="22"/>
        </w:rPr>
        <w:t>A Geological Miscellany</w:t>
      </w:r>
      <w:r w:rsidRPr="00044FEE">
        <w:rPr>
          <w:rFonts w:ascii="Perpetua" w:hAnsi="Perpetua"/>
          <w:sz w:val="22"/>
          <w:szCs w:val="22"/>
        </w:rPr>
        <w:t xml:space="preserve"> (Princeton: Princeton University Press, 1982) &lt;http://www.lhup.edu/~dsimanek/ussher.htm&gt; [accessed 19.3.11].</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Crouch, Carly, ‘Wicked Rulers and Prophets: Micah 3’ in </w:t>
      </w:r>
      <w:r w:rsidRPr="00044FEE">
        <w:rPr>
          <w:rFonts w:ascii="Perpetua" w:hAnsi="Perpetua"/>
          <w:i/>
          <w:sz w:val="22"/>
          <w:szCs w:val="22"/>
        </w:rPr>
        <w:t>Guidelines</w:t>
      </w:r>
      <w:r w:rsidRPr="00044FEE">
        <w:rPr>
          <w:rFonts w:ascii="Perpetua" w:hAnsi="Perpetua"/>
          <w:sz w:val="22"/>
          <w:szCs w:val="22"/>
        </w:rPr>
        <w:t xml:space="preserve">, Vol. 33, Part 1, January-April 2017 (ed. Lisa Cherrett, Abingdon: Bible Reading Fellowship, 2017). </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Crutchfield, Larry V., ‘John Nelson Darby: Defender of the Faith’, According to Prophecy Ministries, Pre-Trib Study Group &lt;http://www.according2prophecy.org/darby.html&gt; [accessed 17.2.10].</w:t>
      </w:r>
    </w:p>
    <w:p w:rsidR="0016696D" w:rsidRDefault="0016696D" w:rsidP="0016696D">
      <w:pPr>
        <w:pStyle w:val="FootnoteText"/>
        <w:ind w:left="499" w:hanging="499"/>
        <w:rPr>
          <w:rFonts w:ascii="Perpetua" w:hAnsi="Perpetua"/>
          <w:sz w:val="22"/>
          <w:szCs w:val="22"/>
        </w:rPr>
      </w:pPr>
      <w:r>
        <w:rPr>
          <w:rFonts w:ascii="Perpetua" w:hAnsi="Perpetua"/>
          <w:sz w:val="22"/>
          <w:szCs w:val="22"/>
        </w:rPr>
        <w:t xml:space="preserve">         </w:t>
      </w:r>
      <w:r w:rsidR="00616C1F" w:rsidRPr="00044FEE">
        <w:rPr>
          <w:rFonts w:ascii="Perpetua" w:hAnsi="Perpetua"/>
          <w:sz w:val="22"/>
          <w:szCs w:val="22"/>
        </w:rPr>
        <w:t xml:space="preserve">—  ‘The Early Church Fathers and the Foundations of Dispensationalism, Part 1 – Setting the Stage: The Participants and Theological Principles in the Debate’, </w:t>
      </w:r>
      <w:r w:rsidR="00616C1F" w:rsidRPr="00044FEE">
        <w:rPr>
          <w:rFonts w:ascii="Perpetua" w:hAnsi="Perpetua"/>
          <w:i/>
          <w:sz w:val="22"/>
          <w:szCs w:val="22"/>
        </w:rPr>
        <w:t>Conservative Theological Journal</w:t>
      </w:r>
      <w:r w:rsidR="00616C1F" w:rsidRPr="00044FEE">
        <w:rPr>
          <w:rFonts w:ascii="Perpetua" w:hAnsi="Perpetua"/>
          <w:sz w:val="22"/>
          <w:szCs w:val="22"/>
        </w:rPr>
        <w:t xml:space="preserve"> 02:4, </w:t>
      </w:r>
    </w:p>
    <w:p w:rsidR="00616C1F" w:rsidRDefault="00616C1F" w:rsidP="0016696D">
      <w:pPr>
        <w:pStyle w:val="FootnoteText"/>
        <w:spacing w:after="120"/>
        <w:ind w:left="499" w:firstLine="68"/>
        <w:rPr>
          <w:rFonts w:ascii="Perpetua" w:hAnsi="Perpetua"/>
          <w:sz w:val="22"/>
          <w:szCs w:val="22"/>
        </w:rPr>
      </w:pPr>
      <w:r w:rsidRPr="00044FEE">
        <w:rPr>
          <w:rFonts w:ascii="Perpetua" w:hAnsi="Perpetua"/>
          <w:sz w:val="22"/>
          <w:szCs w:val="22"/>
        </w:rPr>
        <w:t>Mar. 1998.</w:t>
      </w:r>
    </w:p>
    <w:p w:rsidR="00616C1F" w:rsidRPr="00044FEE" w:rsidRDefault="0016696D" w:rsidP="00616C1F">
      <w:pPr>
        <w:pStyle w:val="FootnoteText"/>
        <w:spacing w:after="120"/>
        <w:ind w:left="499" w:hanging="499"/>
        <w:rPr>
          <w:rFonts w:ascii="Perpetua" w:hAnsi="Perpetua"/>
          <w:sz w:val="22"/>
          <w:szCs w:val="22"/>
        </w:rPr>
      </w:pPr>
      <w:r>
        <w:rPr>
          <w:rFonts w:ascii="Perpetua" w:hAnsi="Perpetua"/>
          <w:sz w:val="22"/>
          <w:szCs w:val="22"/>
        </w:rPr>
        <w:t xml:space="preserve">        </w:t>
      </w:r>
      <w:r w:rsidR="00616C1F" w:rsidRPr="00044FEE">
        <w:rPr>
          <w:rFonts w:ascii="Perpetua" w:hAnsi="Perpetua"/>
          <w:sz w:val="22"/>
          <w:szCs w:val="22"/>
        </w:rPr>
        <w:t xml:space="preserve">—  </w:t>
      </w:r>
      <w:r w:rsidR="00616C1F" w:rsidRPr="002E542E">
        <w:rPr>
          <w:rFonts w:ascii="Perpetua" w:hAnsi="Perpetua"/>
          <w:sz w:val="22"/>
        </w:rPr>
        <w:t xml:space="preserve">‘The Early Church Fathers and the Foundations of Dispensationalism, Part 4 – Dispensational Concepts in the Apologists: Justin Martyr’, </w:t>
      </w:r>
      <w:r w:rsidR="00616C1F" w:rsidRPr="002E542E">
        <w:rPr>
          <w:rFonts w:ascii="Perpetua" w:hAnsi="Perpetua"/>
          <w:i/>
          <w:sz w:val="22"/>
        </w:rPr>
        <w:t>Conservative Theological Journal</w:t>
      </w:r>
      <w:r w:rsidR="00616C1F" w:rsidRPr="002E542E">
        <w:rPr>
          <w:rFonts w:ascii="Perpetua" w:hAnsi="Perpetua"/>
          <w:sz w:val="22"/>
        </w:rPr>
        <w:t xml:space="preserve"> 2.7, December. 1998</w:t>
      </w:r>
      <w:r w:rsidR="00616C1F">
        <w:rPr>
          <w:rFonts w:ascii="Perpetua" w:hAnsi="Perpetua"/>
          <w:sz w:val="22"/>
        </w:rPr>
        <w:t>.</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The Origins of Dispensationalism: The Darby Factor</w:t>
      </w:r>
      <w:r w:rsidRPr="00044FEE">
        <w:rPr>
          <w:rFonts w:ascii="Perpetua" w:hAnsi="Perpetua"/>
          <w:sz w:val="22"/>
          <w:szCs w:val="22"/>
        </w:rPr>
        <w:t xml:space="preserve"> (Lanham: University Press of America, 1992).</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‘The Rudiments of Dispensationalism in the Ante-Nicene Period’ Part 1, ‘Israel and the Church in the Ante-Nicene Fathers’, </w:t>
      </w:r>
      <w:r w:rsidRPr="00044FEE">
        <w:rPr>
          <w:rFonts w:ascii="Perpetua" w:hAnsi="Perpetua"/>
          <w:i/>
          <w:sz w:val="22"/>
          <w:szCs w:val="22"/>
        </w:rPr>
        <w:t>Bibliotheca Sacra</w:t>
      </w:r>
      <w:r w:rsidRPr="00044FEE">
        <w:rPr>
          <w:rFonts w:ascii="Perpetua" w:hAnsi="Perpetua"/>
          <w:sz w:val="22"/>
          <w:szCs w:val="22"/>
        </w:rPr>
        <w:t>, Vol. 144:575, July/September 1987, p. 254 &lt;https://www.galaxie.com/article/bsac144-575-02&gt; [accessed 29.3.17].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‘The Rudiments of Dispensationalism in the Ante-Nicene Period’ Part 2, ‘Ages and Dispensations in the Ante-Nicene Fathers’, </w:t>
      </w:r>
      <w:r w:rsidRPr="00044FEE">
        <w:rPr>
          <w:rFonts w:ascii="Perpetua" w:hAnsi="Perpetua"/>
          <w:i/>
          <w:sz w:val="22"/>
          <w:szCs w:val="22"/>
        </w:rPr>
        <w:t>Bibliotheca Sacra</w:t>
      </w:r>
      <w:r w:rsidRPr="00044FEE">
        <w:rPr>
          <w:rFonts w:ascii="Perpetua" w:hAnsi="Perpetua"/>
          <w:sz w:val="22"/>
          <w:szCs w:val="22"/>
        </w:rPr>
        <w:t>, Vol. 144:576, October 1987 &lt;https://www.galaxie.com/article/bsac144-576-02&gt; [accessed 29.3.17].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Currie, David B., </w:t>
      </w:r>
      <w:r w:rsidRPr="00044FEE">
        <w:rPr>
          <w:rFonts w:ascii="Perpetua" w:hAnsi="Perpetua"/>
          <w:i/>
          <w:sz w:val="22"/>
          <w:szCs w:val="22"/>
        </w:rPr>
        <w:t>Rapture: The End-Times Error That Leaves the Bible Behind</w:t>
      </w:r>
      <w:r w:rsidRPr="00044FEE">
        <w:rPr>
          <w:rFonts w:ascii="Perpetua" w:hAnsi="Perpetua"/>
          <w:sz w:val="22"/>
          <w:szCs w:val="22"/>
        </w:rPr>
        <w:t xml:space="preserve"> (Manchester, New Hampshire: Sophia Institute Press, 2003).</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Dallas Theological Seminary, History &lt;https://www.dts.edu/about/&gt; [accessed 2.3.18].</w:t>
      </w:r>
    </w:p>
    <w:p w:rsidR="00616C1F" w:rsidRPr="00044FEE" w:rsidRDefault="00616C1F" w:rsidP="00616C1F">
      <w:pPr>
        <w:pStyle w:val="FootnoteText"/>
        <w:ind w:left="499" w:hanging="499"/>
        <w:rPr>
          <w:rFonts w:ascii="Perpetua" w:hAnsi="Perpetua"/>
          <w:sz w:val="22"/>
        </w:rPr>
      </w:pPr>
      <w:r w:rsidRPr="00044FEE">
        <w:rPr>
          <w:rFonts w:ascii="Perpetua" w:hAnsi="Perpetua"/>
          <w:sz w:val="22"/>
          <w:szCs w:val="22"/>
          <w:lang w:val="en-US"/>
        </w:rPr>
        <w:t xml:space="preserve">Darby, John Nelson,  </w:t>
      </w:r>
      <w:r w:rsidRPr="00044FEE">
        <w:rPr>
          <w:rFonts w:ascii="Perpetua" w:hAnsi="Perpetua"/>
          <w:sz w:val="22"/>
        </w:rPr>
        <w:t xml:space="preserve">‘The Apostasy of Successive Dispensations’, </w:t>
      </w:r>
      <w:r w:rsidRPr="00044FEE">
        <w:rPr>
          <w:rFonts w:ascii="Perpetua" w:hAnsi="Perpetua"/>
          <w:i/>
          <w:sz w:val="22"/>
        </w:rPr>
        <w:t xml:space="preserve">Collected Works, Vol. 1, Ecclesiastical 1, </w:t>
      </w:r>
      <w:r w:rsidRPr="00044FEE">
        <w:rPr>
          <w:rFonts w:ascii="Perpetua" w:hAnsi="Perpetua"/>
          <w:sz w:val="22"/>
        </w:rPr>
        <w:t xml:space="preserve">&lt;http://www.stempublishing.com/authors/darby/ECCLESIA/01009E.html&gt; </w:t>
      </w:r>
    </w:p>
    <w:p w:rsidR="00616C1F" w:rsidRPr="00044FEE" w:rsidRDefault="00616C1F" w:rsidP="00616C1F">
      <w:pPr>
        <w:pStyle w:val="FootnoteText"/>
        <w:spacing w:after="120"/>
        <w:ind w:left="499" w:hanging="74"/>
        <w:rPr>
          <w:rFonts w:ascii="Perpetua" w:hAnsi="Perpetua"/>
          <w:sz w:val="24"/>
          <w:szCs w:val="22"/>
          <w:lang w:val="en-US"/>
        </w:rPr>
      </w:pPr>
      <w:r w:rsidRPr="00044FEE">
        <w:rPr>
          <w:rFonts w:ascii="Perpetua" w:hAnsi="Perpetua"/>
          <w:sz w:val="22"/>
        </w:rPr>
        <w:t>[accessed 22.1.10].</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‘Are There Two Half Weeks in the Apocalypse?’, </w:t>
      </w:r>
      <w:r w:rsidRPr="00044FEE">
        <w:rPr>
          <w:rFonts w:ascii="Perpetua" w:hAnsi="Perpetua"/>
          <w:i/>
          <w:sz w:val="22"/>
          <w:szCs w:val="22"/>
        </w:rPr>
        <w:t>Collected Writings</w:t>
      </w:r>
      <w:r w:rsidRPr="00044FEE">
        <w:rPr>
          <w:rFonts w:ascii="Perpetua" w:hAnsi="Perpetua"/>
          <w:sz w:val="22"/>
          <w:szCs w:val="22"/>
        </w:rPr>
        <w:t>, Vol. 11, Prophetic 4 &lt;http://www.stempublishing.com/authors/darby/PROPHET/11008E.html&gt; [accessed 2.8.09].</w:t>
      </w:r>
    </w:p>
    <w:p w:rsidR="00616C1F" w:rsidRDefault="00616C1F" w:rsidP="00616C1F">
      <w:pPr>
        <w:pStyle w:val="FootnoteText"/>
        <w:spacing w:after="120"/>
        <w:ind w:left="499" w:hanging="499"/>
        <w:rPr>
          <w:rFonts w:ascii="Perpetua" w:hAnsi="Perpetua"/>
          <w:bCs/>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w:t>
      </w:r>
      <w:r w:rsidRPr="00044FEE">
        <w:rPr>
          <w:rFonts w:ascii="Perpetua" w:hAnsi="Perpetua"/>
          <w:bCs/>
          <w:sz w:val="22"/>
          <w:szCs w:val="22"/>
        </w:rPr>
        <w:t xml:space="preserve">Brief Remarks on the Work of Rev. David Brown, D. D., entitled “Christ’s Second Coming, is it Premillennial?”’  </w:t>
      </w:r>
      <w:r w:rsidRPr="00044FEE">
        <w:rPr>
          <w:rFonts w:ascii="Perpetua" w:hAnsi="Perpetua"/>
          <w:bCs/>
          <w:i/>
          <w:sz w:val="22"/>
          <w:szCs w:val="22"/>
        </w:rPr>
        <w:t>Collected Writings</w:t>
      </w:r>
      <w:r w:rsidRPr="00044FEE">
        <w:rPr>
          <w:rFonts w:ascii="Perpetua" w:hAnsi="Perpetua"/>
          <w:bCs/>
          <w:sz w:val="22"/>
          <w:szCs w:val="22"/>
        </w:rPr>
        <w:t>, Vol. 11, Prophetic No. 4 &lt;http://www.stempublishing.com/authors/darby/PROPHET/11018E.html&gt; [accessed 2.8.09 ].</w:t>
      </w:r>
    </w:p>
    <w:p w:rsidR="00616C1F" w:rsidRPr="00044FEE" w:rsidRDefault="00616C1F" w:rsidP="00616C1F">
      <w:pPr>
        <w:pStyle w:val="FootnoteText"/>
        <w:spacing w:after="120"/>
        <w:ind w:left="499" w:hanging="499"/>
        <w:rPr>
          <w:rFonts w:ascii="Perpetua" w:hAnsi="Perpetua"/>
          <w:bCs/>
          <w:sz w:val="22"/>
          <w:szCs w:val="22"/>
        </w:rPr>
      </w:pPr>
      <w:r w:rsidRPr="00A1719E">
        <w:rPr>
          <w:rFonts w:ascii="Perpetua" w:hAnsi="Perpetua"/>
          <w:b/>
          <w:i/>
          <w:sz w:val="22"/>
          <w:szCs w:val="22"/>
        </w:rPr>
        <w:t>Continued overleaf</w:t>
      </w:r>
    </w:p>
    <w:p w:rsidR="00616C1F" w:rsidRDefault="00616C1F" w:rsidP="00616C1F">
      <w:pPr>
        <w:pStyle w:val="FootnoteText"/>
        <w:spacing w:after="120"/>
        <w:ind w:left="426" w:hanging="426"/>
        <w:rPr>
          <w:rFonts w:ascii="Perpetua" w:hAnsi="Perpetua"/>
          <w:sz w:val="22"/>
          <w:szCs w:val="22"/>
        </w:rPr>
      </w:pPr>
      <w:r w:rsidRPr="00044FEE">
        <w:rPr>
          <w:rFonts w:ascii="Perpetua" w:hAnsi="Perpetua"/>
          <w:sz w:val="22"/>
          <w:szCs w:val="22"/>
          <w:lang w:val="en-US"/>
        </w:rPr>
        <w:lastRenderedPageBreak/>
        <w:t xml:space="preserve">Darby, John Nelson, </w:t>
      </w:r>
      <w:r w:rsidRPr="00044FEE">
        <w:rPr>
          <w:rFonts w:ascii="Perpetua" w:hAnsi="Perpetua"/>
          <w:sz w:val="22"/>
          <w:szCs w:val="22"/>
        </w:rPr>
        <w:t xml:space="preserve">‘Connection of the cross with the entire development of God’s ways with man’ in </w:t>
      </w:r>
      <w:r w:rsidRPr="00044FEE">
        <w:rPr>
          <w:rFonts w:ascii="Perpetua" w:hAnsi="Perpetua"/>
          <w:i/>
          <w:sz w:val="22"/>
          <w:szCs w:val="22"/>
        </w:rPr>
        <w:t>Collected Works of J. N. Darby, Vol. 22, Doctrinal No. 6</w:t>
      </w:r>
      <w:r w:rsidRPr="00044FEE">
        <w:rPr>
          <w:rFonts w:ascii="Perpetua" w:hAnsi="Perpetua"/>
          <w:sz w:val="22"/>
          <w:szCs w:val="22"/>
        </w:rPr>
        <w:t xml:space="preserve">  &lt;http://www.stempublishing.com/authors/darby/DOCTRINE/22006E.html&gt; [accessed 2.8.09].</w:t>
      </w:r>
    </w:p>
    <w:p w:rsidR="00616C1F" w:rsidRPr="00044FEE" w:rsidRDefault="00616C1F" w:rsidP="00616C1F">
      <w:pPr>
        <w:pStyle w:val="FootnoteText"/>
        <w:spacing w:after="120"/>
        <w:ind w:left="499" w:hanging="499"/>
        <w:rPr>
          <w:rFonts w:ascii="Perpetua" w:hAnsi="Perpetua"/>
          <w:bCs/>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w:t>
      </w:r>
      <w:r w:rsidRPr="00044FEE">
        <w:rPr>
          <w:rFonts w:ascii="Perpetua" w:hAnsi="Perpetua"/>
          <w:bCs/>
          <w:sz w:val="22"/>
          <w:szCs w:val="22"/>
        </w:rPr>
        <w:t xml:space="preserve">Considerations addressed to the Archbishop of Dublin and the Clergy who signed the petition to the House of Commons for Protection’, </w:t>
      </w:r>
      <w:r w:rsidRPr="00044FEE">
        <w:rPr>
          <w:rFonts w:ascii="Perpetua" w:hAnsi="Perpetua"/>
          <w:bCs/>
          <w:i/>
          <w:sz w:val="22"/>
          <w:szCs w:val="22"/>
        </w:rPr>
        <w:t>Collected Writings, Vol. 1, Ecclesiastical 1</w:t>
      </w:r>
      <w:r w:rsidRPr="00044FEE">
        <w:rPr>
          <w:rFonts w:ascii="Perpetua" w:hAnsi="Perpetua"/>
          <w:bCs/>
          <w:sz w:val="22"/>
          <w:szCs w:val="22"/>
        </w:rPr>
        <w:t xml:space="preserve"> &lt;http://www.stempublishing.com/authors/darby/ECCLESIA/01001E.html&gt; [accessed 24/7/09].</w:t>
      </w:r>
    </w:p>
    <w:p w:rsidR="00616C1F" w:rsidRPr="00044FEE" w:rsidRDefault="00D16A42" w:rsidP="00D16A42">
      <w:pPr>
        <w:pStyle w:val="EndnoteText"/>
        <w:rPr>
          <w:sz w:val="22"/>
          <w:szCs w:val="22"/>
        </w:rPr>
      </w:pPr>
      <w:r w:rsidRPr="00044FEE">
        <w:rPr>
          <w:sz w:val="22"/>
          <w:szCs w:val="22"/>
        </w:rPr>
        <w:t xml:space="preserve">       —</w:t>
      </w:r>
      <w:r w:rsidRPr="00044FEE">
        <w:rPr>
          <w:sz w:val="22"/>
          <w:szCs w:val="22"/>
          <w:lang w:val="en-US"/>
        </w:rPr>
        <w:t xml:space="preserve"> </w:t>
      </w:r>
      <w:r w:rsidR="00616C1F" w:rsidRPr="00044FEE">
        <w:rPr>
          <w:sz w:val="22"/>
          <w:szCs w:val="22"/>
        </w:rPr>
        <w:t xml:space="preserve">The Dispensation of the Fulness of Times’, </w:t>
      </w:r>
      <w:r w:rsidR="00616C1F" w:rsidRPr="00044FEE">
        <w:rPr>
          <w:i/>
          <w:sz w:val="22"/>
          <w:szCs w:val="22"/>
        </w:rPr>
        <w:t>Collected Writings</w:t>
      </w:r>
      <w:r w:rsidR="00616C1F" w:rsidRPr="00044FEE">
        <w:rPr>
          <w:sz w:val="22"/>
          <w:szCs w:val="22"/>
        </w:rPr>
        <w:t xml:space="preserve">, </w:t>
      </w:r>
      <w:r w:rsidR="00616C1F" w:rsidRPr="00044FEE">
        <w:rPr>
          <w:i/>
          <w:sz w:val="22"/>
          <w:szCs w:val="22"/>
        </w:rPr>
        <w:t>Vol. 13, Critical No. 1</w:t>
      </w:r>
      <w:r w:rsidR="00616C1F" w:rsidRPr="00044FEE">
        <w:rPr>
          <w:sz w:val="22"/>
          <w:szCs w:val="22"/>
        </w:rPr>
        <w:t xml:space="preserve">, </w:t>
      </w:r>
    </w:p>
    <w:p w:rsidR="00616C1F" w:rsidRPr="00044FEE" w:rsidRDefault="00616C1F" w:rsidP="00616C1F">
      <w:pPr>
        <w:pStyle w:val="FootnoteText"/>
        <w:ind w:left="499" w:firstLine="68"/>
        <w:rPr>
          <w:rFonts w:ascii="Perpetua" w:hAnsi="Perpetua"/>
          <w:sz w:val="22"/>
          <w:szCs w:val="22"/>
        </w:rPr>
      </w:pPr>
      <w:r w:rsidRPr="00044FEE">
        <w:rPr>
          <w:rFonts w:ascii="Perpetua" w:hAnsi="Perpetua"/>
          <w:sz w:val="22"/>
          <w:szCs w:val="22"/>
        </w:rPr>
        <w:t xml:space="preserve">&lt;http://www.stempublishing.com/authors/darby/CRITICAL/13011E.html&gt; </w:t>
      </w:r>
    </w:p>
    <w:p w:rsidR="00616C1F" w:rsidRPr="00044FEE" w:rsidRDefault="00616C1F" w:rsidP="00616C1F">
      <w:pPr>
        <w:pStyle w:val="FootnoteText"/>
        <w:tabs>
          <w:tab w:val="left" w:pos="2788"/>
        </w:tabs>
        <w:spacing w:after="120"/>
        <w:ind w:left="499" w:firstLine="68"/>
        <w:rPr>
          <w:rFonts w:ascii="Perpetua" w:hAnsi="Perpetua"/>
          <w:bCs/>
          <w:sz w:val="22"/>
          <w:szCs w:val="22"/>
        </w:rPr>
      </w:pPr>
      <w:r w:rsidRPr="00044FEE">
        <w:rPr>
          <w:rFonts w:ascii="Perpetua" w:hAnsi="Perpetua"/>
          <w:sz w:val="22"/>
          <w:szCs w:val="22"/>
        </w:rPr>
        <w:t>[accessed 2.8.09].</w:t>
      </w:r>
    </w:p>
    <w:p w:rsidR="00616C1F" w:rsidRDefault="00616C1F" w:rsidP="00616C1F">
      <w:pPr>
        <w:pStyle w:val="EndnoteText"/>
        <w:ind w:left="567" w:hanging="567"/>
        <w:rPr>
          <w:sz w:val="22"/>
          <w:szCs w:val="22"/>
        </w:rPr>
      </w:pPr>
      <w:r w:rsidRPr="00044FEE">
        <w:rPr>
          <w:sz w:val="22"/>
          <w:szCs w:val="22"/>
        </w:rPr>
        <w:t xml:space="preserve">       — ‘The Dispensation of the Kingdom of Heaven, Matthew 13’, </w:t>
      </w:r>
      <w:r w:rsidRPr="00044FEE">
        <w:rPr>
          <w:i/>
          <w:sz w:val="22"/>
          <w:szCs w:val="22"/>
        </w:rPr>
        <w:t>Collected Writings, Vol. 2, Prophetic 1</w:t>
      </w:r>
      <w:r w:rsidRPr="00044FEE">
        <w:rPr>
          <w:sz w:val="22"/>
          <w:szCs w:val="22"/>
        </w:rPr>
        <w:t xml:space="preserve"> &lt;http://www.stempublishing.com/authors/darby/PROPHET/02004E.html &gt; </w:t>
      </w:r>
    </w:p>
    <w:p w:rsidR="00616C1F" w:rsidRPr="00044FEE" w:rsidRDefault="00616C1F" w:rsidP="00616C1F">
      <w:pPr>
        <w:pStyle w:val="EndnoteText"/>
        <w:spacing w:after="120"/>
        <w:ind w:left="567"/>
        <w:rPr>
          <w:sz w:val="22"/>
          <w:szCs w:val="22"/>
        </w:rPr>
      </w:pPr>
      <w:r w:rsidRPr="00044FEE">
        <w:rPr>
          <w:sz w:val="22"/>
          <w:szCs w:val="22"/>
        </w:rPr>
        <w:t>[accessed 2.8.09</w:t>
      </w:r>
      <w:r>
        <w:rPr>
          <w:sz w:val="22"/>
          <w:szCs w:val="22"/>
        </w:rPr>
        <w:t>].</w:t>
      </w:r>
    </w:p>
    <w:p w:rsidR="00616C1F" w:rsidRPr="00044FEE" w:rsidRDefault="00616C1F" w:rsidP="00616C1F">
      <w:pPr>
        <w:pStyle w:val="FootnoteText"/>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‘Divine Mercy in the Church and Toward Israel’, </w:t>
      </w:r>
      <w:r w:rsidRPr="00044FEE">
        <w:rPr>
          <w:rFonts w:ascii="Perpetua" w:hAnsi="Perpetua"/>
          <w:i/>
          <w:sz w:val="22"/>
          <w:szCs w:val="22"/>
        </w:rPr>
        <w:t>Collected Writings</w:t>
      </w:r>
      <w:r w:rsidRPr="00044FEE">
        <w:rPr>
          <w:rFonts w:ascii="Perpetua" w:hAnsi="Perpetua"/>
          <w:sz w:val="22"/>
          <w:szCs w:val="22"/>
        </w:rPr>
        <w:t xml:space="preserve">, Vol. 2, Prophetic No. 1 &lt;http://www.stempublishing.com/authors/darby/PROPHET/02008E.html&gt; </w:t>
      </w:r>
    </w:p>
    <w:p w:rsidR="00616C1F" w:rsidRPr="00044FEE" w:rsidRDefault="00616C1F" w:rsidP="00616C1F">
      <w:pPr>
        <w:pStyle w:val="FootnoteText"/>
        <w:spacing w:after="120"/>
        <w:ind w:left="567"/>
        <w:rPr>
          <w:rFonts w:ascii="Perpetua" w:hAnsi="Perpetua"/>
          <w:sz w:val="22"/>
          <w:szCs w:val="22"/>
        </w:rPr>
      </w:pPr>
      <w:r w:rsidRPr="00044FEE">
        <w:rPr>
          <w:rFonts w:ascii="Perpetua" w:hAnsi="Perpetua"/>
          <w:sz w:val="22"/>
          <w:szCs w:val="22"/>
        </w:rPr>
        <w:t>[accessed 24.7.09].</w:t>
      </w:r>
    </w:p>
    <w:p w:rsidR="00616C1F" w:rsidRDefault="00616C1F" w:rsidP="00616C1F">
      <w:pPr>
        <w:pStyle w:val="FootnoteText"/>
        <w:ind w:left="567" w:hanging="567"/>
        <w:rPr>
          <w:rFonts w:ascii="Perpetua" w:hAnsi="Perpetua"/>
          <w:bCs/>
          <w:sz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rPr>
        <w:t>‘</w:t>
      </w:r>
      <w:r w:rsidRPr="00044FEE">
        <w:rPr>
          <w:rFonts w:ascii="Perpetua" w:hAnsi="Perpetua"/>
          <w:bCs/>
          <w:sz w:val="22"/>
        </w:rPr>
        <w:t xml:space="preserve">Elements of Prophecy, in connection with the Church, the Jews, and the Gentiles’, </w:t>
      </w:r>
    </w:p>
    <w:p w:rsidR="00616C1F" w:rsidRPr="00044FEE" w:rsidRDefault="00616C1F" w:rsidP="00616C1F">
      <w:pPr>
        <w:pStyle w:val="FootnoteText"/>
        <w:spacing w:after="120"/>
        <w:ind w:left="567"/>
        <w:rPr>
          <w:rFonts w:ascii="Perpetua" w:hAnsi="Perpetua"/>
          <w:bCs/>
          <w:sz w:val="22"/>
        </w:rPr>
      </w:pPr>
      <w:r w:rsidRPr="00044FEE">
        <w:rPr>
          <w:rFonts w:ascii="Perpetua" w:hAnsi="Perpetua"/>
          <w:i/>
          <w:sz w:val="22"/>
        </w:rPr>
        <w:t>Collected Writings, Vol. 11, Prophetic, No. 4</w:t>
      </w:r>
      <w:r w:rsidRPr="00044FEE">
        <w:rPr>
          <w:rFonts w:ascii="Perpetua" w:hAnsi="Perpetua"/>
          <w:sz w:val="22"/>
        </w:rPr>
        <w:t xml:space="preserve">, </w:t>
      </w:r>
      <w:r w:rsidRPr="00044FEE">
        <w:rPr>
          <w:rFonts w:ascii="Perpetua" w:hAnsi="Perpetua"/>
          <w:bCs/>
          <w:sz w:val="22"/>
        </w:rPr>
        <w:t>p. 45</w:t>
      </w:r>
      <w:r w:rsidRPr="00044FEE">
        <w:rPr>
          <w:rFonts w:ascii="Perpetua" w:hAnsi="Perpetua"/>
          <w:sz w:val="22"/>
        </w:rPr>
        <w:t xml:space="preserve"> &lt;</w:t>
      </w:r>
      <w:r w:rsidRPr="00044FEE">
        <w:rPr>
          <w:rFonts w:ascii="Perpetua" w:hAnsi="Perpetua"/>
          <w:bCs/>
          <w:sz w:val="22"/>
        </w:rPr>
        <w:t>http://www.stempublishing.com/authors/darby/PROPHET/11003E.html&gt; [accessed 2.8.09].</w:t>
      </w:r>
    </w:p>
    <w:p w:rsidR="00616C1F" w:rsidRPr="00044FEE" w:rsidRDefault="00616C1F" w:rsidP="00616C1F">
      <w:pPr>
        <w:pStyle w:val="FootnoteText"/>
        <w:spacing w:after="120"/>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w:t>
      </w:r>
      <w:r w:rsidRPr="00044FEE">
        <w:rPr>
          <w:rFonts w:ascii="Perpetua" w:hAnsi="Perpetua"/>
          <w:sz w:val="22"/>
          <w:szCs w:val="22"/>
          <w:lang w:eastAsia="en-GB"/>
        </w:rPr>
        <w:t xml:space="preserve">Evidence from Scripture of the passing away of the present dispensation’, </w:t>
      </w:r>
      <w:r w:rsidRPr="00044FEE">
        <w:rPr>
          <w:rFonts w:ascii="Perpetua" w:hAnsi="Perpetua"/>
          <w:i/>
          <w:sz w:val="22"/>
          <w:szCs w:val="22"/>
          <w:lang w:eastAsia="en-GB"/>
        </w:rPr>
        <w:t>Collected Writings</w:t>
      </w:r>
      <w:r w:rsidRPr="00044FEE">
        <w:rPr>
          <w:rFonts w:ascii="Perpetua" w:hAnsi="Perpetua"/>
          <w:sz w:val="22"/>
          <w:szCs w:val="22"/>
          <w:lang w:eastAsia="en-GB"/>
        </w:rPr>
        <w:t xml:space="preserve">, </w:t>
      </w:r>
      <w:r w:rsidRPr="00044FEE">
        <w:rPr>
          <w:rFonts w:ascii="Perpetua" w:hAnsi="Perpetua"/>
          <w:i/>
          <w:sz w:val="22"/>
          <w:szCs w:val="22"/>
          <w:lang w:eastAsia="en-GB"/>
        </w:rPr>
        <w:t>Vol. 2, Prophetic No. 1</w:t>
      </w:r>
      <w:r w:rsidRPr="00044FEE">
        <w:rPr>
          <w:rFonts w:ascii="Perpetua" w:hAnsi="Perpetua"/>
          <w:sz w:val="22"/>
          <w:szCs w:val="22"/>
          <w:lang w:eastAsia="en-GB"/>
        </w:rPr>
        <w:t xml:space="preserve"> &lt;http://www.stempublishing.com/authors/darby/PROPHET/02007E.html&gt; [accessed 13.5.17].</w:t>
      </w:r>
    </w:p>
    <w:p w:rsidR="00616C1F" w:rsidRPr="00044FEE" w:rsidRDefault="00616C1F" w:rsidP="00616C1F">
      <w:pPr>
        <w:pStyle w:val="FootnoteText"/>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‘An Examination of Statements in Newton’s Apocalyptic Thoughts’, </w:t>
      </w:r>
      <w:r w:rsidRPr="00044FEE">
        <w:rPr>
          <w:rFonts w:ascii="Perpetua" w:hAnsi="Perpetua"/>
          <w:i/>
          <w:sz w:val="22"/>
          <w:szCs w:val="22"/>
        </w:rPr>
        <w:t>Collected Writings</w:t>
      </w:r>
      <w:r w:rsidRPr="00044FEE">
        <w:rPr>
          <w:rFonts w:ascii="Perpetua" w:hAnsi="Perpetua"/>
          <w:sz w:val="22"/>
          <w:szCs w:val="22"/>
        </w:rPr>
        <w:t xml:space="preserve">, Vol. 8, Prophetic 3, Part 4 &lt;stempublishing.com/authors/darby/PROPHET/08001E04.html&gt;  </w:t>
      </w:r>
    </w:p>
    <w:p w:rsidR="00616C1F" w:rsidRPr="00044FEE" w:rsidRDefault="00616C1F" w:rsidP="00616C1F">
      <w:pPr>
        <w:pStyle w:val="FootnoteText"/>
        <w:spacing w:after="120"/>
        <w:ind w:left="567"/>
        <w:rPr>
          <w:rFonts w:ascii="Perpetua" w:hAnsi="Perpetua"/>
          <w:sz w:val="22"/>
          <w:szCs w:val="22"/>
        </w:rPr>
      </w:pPr>
      <w:r w:rsidRPr="00044FEE">
        <w:rPr>
          <w:rFonts w:ascii="Perpetua" w:hAnsi="Perpetua"/>
          <w:sz w:val="22"/>
          <w:szCs w:val="22"/>
        </w:rPr>
        <w:t>[accessed 2.8.09].</w:t>
      </w:r>
    </w:p>
    <w:p w:rsidR="00616C1F" w:rsidRPr="00044FEE" w:rsidRDefault="00616C1F" w:rsidP="00616C1F">
      <w:pPr>
        <w:pStyle w:val="FootnoteText"/>
        <w:ind w:left="499" w:hanging="499"/>
        <w:rPr>
          <w:rFonts w:ascii="Perpetua" w:hAnsi="Perpetua"/>
          <w:sz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rPr>
        <w:t>‘</w:t>
      </w:r>
      <w:r w:rsidRPr="00044FEE">
        <w:rPr>
          <w:rFonts w:ascii="Perpetua" w:hAnsi="Perpetua"/>
          <w:bCs/>
          <w:sz w:val="22"/>
          <w:szCs w:val="28"/>
        </w:rPr>
        <w:t xml:space="preserve">A glance at various ecclesiastical principles and examination of the foundations on which the institutions of the church on earth are sought to be based. In reply to various writings’, </w:t>
      </w:r>
      <w:r w:rsidRPr="00044FEE">
        <w:rPr>
          <w:rFonts w:ascii="Perpetua" w:hAnsi="Perpetua"/>
          <w:i/>
          <w:sz w:val="22"/>
        </w:rPr>
        <w:t xml:space="preserve">Collected Works of J. N. Darby, </w:t>
      </w:r>
      <w:r w:rsidRPr="00044FEE">
        <w:rPr>
          <w:rFonts w:ascii="Perpetua" w:hAnsi="Perpetua"/>
          <w:bCs/>
          <w:i/>
          <w:sz w:val="22"/>
        </w:rPr>
        <w:t>Vol. 4, Ecclesiastical No 2</w:t>
      </w:r>
      <w:r w:rsidRPr="00044FEE">
        <w:rPr>
          <w:rFonts w:ascii="Perpetua" w:hAnsi="Perpetua"/>
          <w:bCs/>
          <w:sz w:val="22"/>
        </w:rPr>
        <w:t>, p 1</w:t>
      </w:r>
      <w:r w:rsidRPr="00044FEE">
        <w:rPr>
          <w:rFonts w:ascii="Perpetua" w:hAnsi="Perpetua"/>
          <w:sz w:val="22"/>
        </w:rPr>
        <w:t xml:space="preserve">.  &lt;http://www.stempublishing.com/authors/darby/ECCLESIA/04001F_A.html&gt; </w:t>
      </w:r>
    </w:p>
    <w:p w:rsidR="00616C1F" w:rsidRPr="00044FEE" w:rsidRDefault="00616C1F" w:rsidP="00616C1F">
      <w:pPr>
        <w:pStyle w:val="EndnoteText"/>
        <w:spacing w:after="120"/>
        <w:ind w:left="567"/>
        <w:rPr>
          <w:sz w:val="24"/>
          <w:szCs w:val="22"/>
          <w:lang w:val="en-US"/>
        </w:rPr>
      </w:pPr>
      <w:r w:rsidRPr="00044FEE">
        <w:rPr>
          <w:sz w:val="22"/>
        </w:rPr>
        <w:t>[accessed 31.7.09].</w:t>
      </w:r>
    </w:p>
    <w:p w:rsidR="00616C1F" w:rsidRPr="00044FEE" w:rsidRDefault="00616C1F" w:rsidP="00616C1F">
      <w:pPr>
        <w:pStyle w:val="FootnoteText"/>
        <w:rPr>
          <w:rFonts w:ascii="Perpetua" w:hAnsi="Perpetua"/>
          <w:bCs/>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w:t>
      </w:r>
      <w:r w:rsidRPr="00044FEE">
        <w:rPr>
          <w:rFonts w:ascii="Perpetua" w:hAnsi="Perpetua"/>
          <w:bCs/>
          <w:sz w:val="22"/>
          <w:szCs w:val="22"/>
        </w:rPr>
        <w:t xml:space="preserve">The Gospel and the Church According to Scripture’ </w:t>
      </w:r>
      <w:r w:rsidRPr="00044FEE">
        <w:rPr>
          <w:rFonts w:ascii="Perpetua" w:hAnsi="Perpetua"/>
          <w:bCs/>
          <w:i/>
          <w:sz w:val="22"/>
          <w:szCs w:val="22"/>
        </w:rPr>
        <w:t>Collected Writings</w:t>
      </w:r>
      <w:r w:rsidRPr="00044FEE">
        <w:rPr>
          <w:rFonts w:ascii="Perpetua" w:hAnsi="Perpetua"/>
          <w:bCs/>
          <w:sz w:val="22"/>
          <w:szCs w:val="22"/>
        </w:rPr>
        <w:t xml:space="preserve">, </w:t>
      </w:r>
      <w:r w:rsidRPr="00044FEE">
        <w:rPr>
          <w:rFonts w:ascii="Perpetua" w:hAnsi="Perpetua"/>
          <w:bCs/>
          <w:i/>
          <w:sz w:val="22"/>
          <w:szCs w:val="22"/>
        </w:rPr>
        <w:t>Vol. 29, Doctrinal No. 8</w:t>
      </w:r>
      <w:r w:rsidRPr="00044FEE">
        <w:rPr>
          <w:rFonts w:ascii="Perpetua" w:hAnsi="Perpetua"/>
          <w:bCs/>
          <w:sz w:val="22"/>
          <w:szCs w:val="22"/>
        </w:rPr>
        <w:t xml:space="preserve">, </w:t>
      </w:r>
    </w:p>
    <w:p w:rsidR="00616C1F" w:rsidRPr="00044FEE" w:rsidRDefault="00616C1F" w:rsidP="00616C1F">
      <w:pPr>
        <w:pStyle w:val="FootnoteText"/>
        <w:ind w:firstLine="567"/>
        <w:rPr>
          <w:rFonts w:ascii="Perpetua" w:hAnsi="Perpetua"/>
          <w:bCs/>
          <w:sz w:val="22"/>
          <w:szCs w:val="22"/>
        </w:rPr>
      </w:pPr>
      <w:r w:rsidRPr="00044FEE">
        <w:rPr>
          <w:rFonts w:ascii="Perpetua" w:hAnsi="Perpetua"/>
          <w:bCs/>
          <w:sz w:val="22"/>
          <w:szCs w:val="22"/>
        </w:rPr>
        <w:t xml:space="preserve">p 366 &lt;http://www.stempublishing.com/authors/darby/DOCTRINE/29014E.html &gt; </w:t>
      </w:r>
    </w:p>
    <w:p w:rsidR="00616C1F" w:rsidRPr="00044FEE" w:rsidRDefault="00616C1F" w:rsidP="00616C1F">
      <w:pPr>
        <w:pStyle w:val="FootnoteText"/>
        <w:spacing w:after="120"/>
        <w:ind w:firstLine="567"/>
        <w:rPr>
          <w:rFonts w:ascii="Perpetua" w:hAnsi="Perpetua"/>
          <w:sz w:val="22"/>
          <w:szCs w:val="22"/>
        </w:rPr>
      </w:pPr>
      <w:r w:rsidRPr="00044FEE">
        <w:rPr>
          <w:rFonts w:ascii="Perpetua" w:hAnsi="Perpetua"/>
          <w:bCs/>
          <w:sz w:val="22"/>
          <w:szCs w:val="22"/>
        </w:rPr>
        <w:t>[accessed 2.8.09 ].</w:t>
      </w:r>
    </w:p>
    <w:p w:rsidR="00616C1F" w:rsidRPr="00044FEE" w:rsidRDefault="00616C1F" w:rsidP="00616C1F">
      <w:pPr>
        <w:pStyle w:val="FootnoteText"/>
        <w:spacing w:after="120"/>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‘The Hopes of the Church of God’, Part 1, </w:t>
      </w:r>
      <w:r w:rsidRPr="00044FEE">
        <w:rPr>
          <w:rFonts w:ascii="Perpetua" w:hAnsi="Perpetua"/>
          <w:i/>
          <w:sz w:val="22"/>
          <w:szCs w:val="22"/>
        </w:rPr>
        <w:t>Collected Writings</w:t>
      </w:r>
      <w:r w:rsidRPr="00044FEE">
        <w:rPr>
          <w:rFonts w:ascii="Perpetua" w:hAnsi="Perpetua"/>
          <w:sz w:val="22"/>
          <w:szCs w:val="22"/>
        </w:rPr>
        <w:t>, Vol. 2, Prophetic No. 1 &lt;http://www.stempublishing.com/authors/darby/PROPHET/02011E.html&gt; [accessed 7.8.09].</w:t>
      </w:r>
    </w:p>
    <w:p w:rsidR="00616C1F" w:rsidRPr="00044FEE" w:rsidRDefault="00616C1F" w:rsidP="00616C1F">
      <w:pPr>
        <w:pStyle w:val="FootnoteText"/>
        <w:ind w:left="567" w:hanging="567"/>
        <w:rPr>
          <w:rFonts w:ascii="Perpetua" w:hAnsi="Perpetua"/>
          <w:i/>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‘The Hopes of the Church of God’, Lectures at Geneva, Lecture 11, </w:t>
      </w:r>
      <w:r w:rsidRPr="00044FEE">
        <w:rPr>
          <w:rFonts w:ascii="Perpetua" w:hAnsi="Perpetua"/>
          <w:i/>
          <w:sz w:val="22"/>
          <w:szCs w:val="22"/>
        </w:rPr>
        <w:t xml:space="preserve">Collected Writings, </w:t>
      </w:r>
    </w:p>
    <w:p w:rsidR="00616C1F" w:rsidRPr="00044FEE" w:rsidRDefault="00616C1F" w:rsidP="00616C1F">
      <w:pPr>
        <w:pStyle w:val="FootnoteText"/>
        <w:ind w:left="567"/>
        <w:rPr>
          <w:rFonts w:ascii="Perpetua" w:hAnsi="Perpetua"/>
          <w:sz w:val="22"/>
          <w:szCs w:val="22"/>
        </w:rPr>
      </w:pPr>
      <w:r w:rsidRPr="00044FEE">
        <w:rPr>
          <w:rFonts w:ascii="Perpetua" w:hAnsi="Perpetua"/>
          <w:i/>
          <w:sz w:val="22"/>
          <w:szCs w:val="22"/>
        </w:rPr>
        <w:t>Prophetic Vol. 2</w:t>
      </w:r>
      <w:r w:rsidRPr="00044FEE">
        <w:rPr>
          <w:rFonts w:ascii="Perpetua" w:hAnsi="Perpetua"/>
          <w:sz w:val="22"/>
          <w:szCs w:val="22"/>
        </w:rPr>
        <w:t xml:space="preserve"> &lt;http://www.stempublishing.com/authors/darby/PROPHET/02021E.html&gt; </w:t>
      </w:r>
    </w:p>
    <w:p w:rsidR="00616C1F" w:rsidRPr="00044FEE" w:rsidRDefault="00616C1F" w:rsidP="00616C1F">
      <w:pPr>
        <w:pStyle w:val="FootnoteText"/>
        <w:spacing w:after="120"/>
        <w:ind w:left="567"/>
        <w:rPr>
          <w:rFonts w:ascii="Perpetua" w:hAnsi="Perpetua"/>
          <w:sz w:val="22"/>
          <w:szCs w:val="22"/>
        </w:rPr>
      </w:pPr>
      <w:r w:rsidRPr="00044FEE">
        <w:rPr>
          <w:rFonts w:ascii="Perpetua" w:hAnsi="Perpetua"/>
          <w:sz w:val="22"/>
          <w:szCs w:val="22"/>
        </w:rPr>
        <w:t>[accessed 9.11.17].</w:t>
      </w:r>
    </w:p>
    <w:p w:rsidR="009357AC" w:rsidRDefault="00616C1F" w:rsidP="00616C1F">
      <w:pPr>
        <w:pStyle w:val="FootnoteText"/>
        <w:ind w:left="567" w:hanging="567"/>
        <w:rPr>
          <w:rFonts w:ascii="Perpetua" w:hAnsi="Perpetua"/>
          <w:i/>
          <w:sz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rPr>
        <w:t>‘Inspiration and Interpretation, 4</w:t>
      </w:r>
      <w:r w:rsidRPr="00044FEE">
        <w:rPr>
          <w:rFonts w:ascii="Perpetua" w:hAnsi="Perpetua"/>
          <w:sz w:val="22"/>
          <w:vertAlign w:val="superscript"/>
        </w:rPr>
        <w:t>th</w:t>
      </w:r>
      <w:r w:rsidRPr="00044FEE">
        <w:rPr>
          <w:rFonts w:ascii="Perpetua" w:hAnsi="Perpetua"/>
          <w:sz w:val="22"/>
        </w:rPr>
        <w:t xml:space="preserve"> Dialogue on Essays and Reviews’ in </w:t>
      </w:r>
      <w:r w:rsidRPr="00044FEE">
        <w:rPr>
          <w:rFonts w:ascii="Perpetua" w:hAnsi="Perpetua"/>
          <w:i/>
          <w:sz w:val="22"/>
        </w:rPr>
        <w:t xml:space="preserve">Collected Works of </w:t>
      </w:r>
    </w:p>
    <w:p w:rsidR="00616C1F" w:rsidRPr="00044FEE" w:rsidRDefault="00616C1F" w:rsidP="009357AC">
      <w:pPr>
        <w:pStyle w:val="FootnoteText"/>
        <w:ind w:left="567"/>
        <w:rPr>
          <w:rFonts w:ascii="Perpetua" w:hAnsi="Perpetua"/>
          <w:sz w:val="22"/>
        </w:rPr>
      </w:pPr>
      <w:r w:rsidRPr="00044FEE">
        <w:rPr>
          <w:rFonts w:ascii="Perpetua" w:hAnsi="Perpetua"/>
          <w:i/>
          <w:sz w:val="22"/>
        </w:rPr>
        <w:t>J. N. Darby, Vol. 9, Apologetic No. 2</w:t>
      </w:r>
      <w:r w:rsidRPr="00044FEE">
        <w:rPr>
          <w:rFonts w:ascii="Perpetua" w:hAnsi="Perpetua"/>
          <w:sz w:val="22"/>
        </w:rPr>
        <w:t xml:space="preserve">, p. 256  &lt;http://www.stempublishing.com/authors/darby/APOLOGY/09004E_A.html&gt; </w:t>
      </w:r>
    </w:p>
    <w:p w:rsidR="00616C1F" w:rsidRPr="00044FEE" w:rsidRDefault="00616C1F" w:rsidP="00616C1F">
      <w:pPr>
        <w:pStyle w:val="FootnoteText"/>
        <w:spacing w:after="120"/>
        <w:ind w:left="567"/>
        <w:rPr>
          <w:rFonts w:ascii="Perpetua" w:hAnsi="Perpetua"/>
          <w:sz w:val="22"/>
        </w:rPr>
      </w:pPr>
      <w:r w:rsidRPr="00044FEE">
        <w:rPr>
          <w:rFonts w:ascii="Perpetua" w:hAnsi="Perpetua"/>
          <w:sz w:val="22"/>
        </w:rPr>
        <w:t>[accessed 12.5.17].</w:t>
      </w:r>
    </w:p>
    <w:p w:rsidR="00616C1F" w:rsidRPr="00044FEE" w:rsidRDefault="00616C1F" w:rsidP="00616C1F">
      <w:pPr>
        <w:pStyle w:val="EndnoteText"/>
        <w:rPr>
          <w:sz w:val="22"/>
        </w:rPr>
      </w:pPr>
      <w:r w:rsidRPr="00044FEE">
        <w:rPr>
          <w:sz w:val="22"/>
          <w:szCs w:val="22"/>
        </w:rPr>
        <w:t xml:space="preserve">       —</w:t>
      </w:r>
      <w:r w:rsidRPr="00044FEE">
        <w:rPr>
          <w:sz w:val="22"/>
          <w:szCs w:val="22"/>
          <w:lang w:val="en-US"/>
        </w:rPr>
        <w:t xml:space="preserve"> </w:t>
      </w:r>
      <w:r w:rsidRPr="00044FEE">
        <w:t>‘</w:t>
      </w:r>
      <w:r w:rsidRPr="00044FEE">
        <w:rPr>
          <w:sz w:val="22"/>
        </w:rPr>
        <w:t xml:space="preserve">An Introduction to the Bible’, </w:t>
      </w:r>
      <w:r w:rsidRPr="00044FEE">
        <w:rPr>
          <w:i/>
          <w:sz w:val="22"/>
        </w:rPr>
        <w:t xml:space="preserve">Collected Works of J. N. Darby, </w:t>
      </w:r>
      <w:r w:rsidRPr="00044FEE">
        <w:rPr>
          <w:i/>
          <w:sz w:val="22"/>
          <w:szCs w:val="24"/>
          <w:lang w:eastAsia="en-GB"/>
        </w:rPr>
        <w:t>Vol. 34, Miscellaneous No 3</w:t>
      </w:r>
    </w:p>
    <w:p w:rsidR="00616C1F" w:rsidRDefault="00616C1F" w:rsidP="00616C1F">
      <w:pPr>
        <w:pStyle w:val="FootnoteText"/>
        <w:ind w:left="499" w:firstLine="68"/>
        <w:rPr>
          <w:rFonts w:ascii="Perpetua" w:hAnsi="Perpetua"/>
          <w:sz w:val="22"/>
        </w:rPr>
      </w:pPr>
      <w:r w:rsidRPr="00044FEE">
        <w:rPr>
          <w:rFonts w:ascii="Perpetua" w:hAnsi="Perpetua"/>
          <w:sz w:val="22"/>
        </w:rPr>
        <w:t xml:space="preserve">&lt;http://www.stempublishing.com/authors/darby/MISCELLA/34001F.html&gt; </w:t>
      </w:r>
    </w:p>
    <w:p w:rsidR="00616C1F" w:rsidRPr="00044FEE" w:rsidRDefault="00616C1F" w:rsidP="00616C1F">
      <w:pPr>
        <w:pStyle w:val="FootnoteText"/>
        <w:spacing w:after="120"/>
        <w:ind w:left="499" w:firstLine="68"/>
        <w:rPr>
          <w:rFonts w:ascii="Perpetua" w:hAnsi="Perpetua"/>
          <w:sz w:val="22"/>
          <w:szCs w:val="24"/>
          <w:lang w:eastAsia="en-GB"/>
        </w:rPr>
      </w:pPr>
      <w:r w:rsidRPr="00044FEE">
        <w:rPr>
          <w:rFonts w:ascii="Perpetua" w:hAnsi="Perpetua"/>
          <w:sz w:val="22"/>
        </w:rPr>
        <w:t xml:space="preserve">[accessed </w:t>
      </w:r>
      <w:r w:rsidRPr="00044FEE">
        <w:rPr>
          <w:rFonts w:ascii="Perpetua" w:hAnsi="Perpetua"/>
          <w:sz w:val="22"/>
          <w:szCs w:val="24"/>
          <w:lang w:eastAsia="en-GB"/>
        </w:rPr>
        <w:t>11.5.17].</w:t>
      </w:r>
    </w:p>
    <w:p w:rsidR="00D16A42" w:rsidRPr="00044FEE" w:rsidRDefault="00616C1F" w:rsidP="00D16A42">
      <w:pPr>
        <w:pStyle w:val="FootnoteText"/>
        <w:spacing w:after="120"/>
        <w:ind w:left="499" w:hanging="499"/>
        <w:rPr>
          <w:rFonts w:ascii="Perpetua" w:hAnsi="Perpetua"/>
          <w:bCs/>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rPr>
        <w:t xml:space="preserve">‘Introduction to the Prophets’ in </w:t>
      </w:r>
      <w:r w:rsidRPr="00044FEE">
        <w:rPr>
          <w:rFonts w:ascii="Perpetua" w:hAnsi="Perpetua"/>
          <w:i/>
          <w:sz w:val="22"/>
        </w:rPr>
        <w:t>Synopsis of the Books of the Bible, Vol. 2,  Ezra to Malachi</w:t>
      </w:r>
      <w:r w:rsidRPr="00044FEE">
        <w:rPr>
          <w:rFonts w:ascii="Perpetua" w:hAnsi="Perpetua"/>
          <w:sz w:val="22"/>
        </w:rPr>
        <w:t>, p. 209 &lt;http://bibletruthpublishers.com/introduction-to-the-prophets/john-nelson-darby-jnd/darby-synopsis-2-ezra-to-malachi/la72894&gt; [accessed 12.5.17].</w:t>
      </w:r>
      <w:r w:rsidR="00D16A42">
        <w:rPr>
          <w:rFonts w:ascii="Perpetua" w:hAnsi="Perpetua"/>
          <w:sz w:val="22"/>
        </w:rPr>
        <w:t xml:space="preserve">  </w:t>
      </w:r>
      <w:r w:rsidR="00D16A42" w:rsidRPr="00A1719E">
        <w:rPr>
          <w:rFonts w:ascii="Perpetua" w:hAnsi="Perpetua"/>
          <w:b/>
          <w:i/>
          <w:sz w:val="22"/>
          <w:szCs w:val="22"/>
        </w:rPr>
        <w:t>Continued overleaf</w:t>
      </w:r>
    </w:p>
    <w:p w:rsidR="00616C1F" w:rsidRPr="00044FEE" w:rsidRDefault="00D16A42" w:rsidP="00D16A42">
      <w:pPr>
        <w:pStyle w:val="FootnoteText"/>
        <w:ind w:left="567" w:hanging="567"/>
        <w:rPr>
          <w:rFonts w:ascii="Perpetua" w:hAnsi="Perpetua"/>
          <w:sz w:val="22"/>
        </w:rPr>
      </w:pPr>
      <w:r w:rsidRPr="00044FEE">
        <w:rPr>
          <w:rFonts w:ascii="Perpetua" w:hAnsi="Perpetua"/>
          <w:sz w:val="22"/>
          <w:szCs w:val="22"/>
          <w:lang w:val="en-US"/>
        </w:rPr>
        <w:lastRenderedPageBreak/>
        <w:t>Darby, John Nelson,</w:t>
      </w:r>
      <w:r>
        <w:rPr>
          <w:rFonts w:ascii="Perpetua" w:hAnsi="Perpetua"/>
          <w:sz w:val="22"/>
          <w:szCs w:val="22"/>
          <w:lang w:val="en-US"/>
        </w:rPr>
        <w:t xml:space="preserve"> </w:t>
      </w:r>
      <w:r w:rsidR="00616C1F" w:rsidRPr="00044FEE">
        <w:rPr>
          <w:rFonts w:ascii="Perpetua" w:hAnsi="Perpetua"/>
          <w:sz w:val="22"/>
        </w:rPr>
        <w:t xml:space="preserve">‘Isaiah’ in ‘The Prophets’ in </w:t>
      </w:r>
      <w:r w:rsidR="00616C1F" w:rsidRPr="00044FEE">
        <w:rPr>
          <w:rFonts w:ascii="Perpetua" w:hAnsi="Perpetua"/>
          <w:i/>
          <w:sz w:val="22"/>
        </w:rPr>
        <w:t>Synopsis of the Books of the Bible</w:t>
      </w:r>
      <w:r w:rsidR="00616C1F" w:rsidRPr="00044FEE">
        <w:rPr>
          <w:rFonts w:ascii="Perpetua" w:hAnsi="Perpetua"/>
          <w:sz w:val="22"/>
        </w:rPr>
        <w:t xml:space="preserve"> &lt;http://www.stempublishing.com/authors/darby/synopsis/isaiah/isaiah.htm&gt; </w:t>
      </w:r>
    </w:p>
    <w:p w:rsidR="00616C1F" w:rsidRPr="00044FEE" w:rsidRDefault="00616C1F" w:rsidP="00616C1F">
      <w:pPr>
        <w:pStyle w:val="FootnoteText"/>
        <w:spacing w:after="120"/>
        <w:ind w:left="567"/>
        <w:rPr>
          <w:rFonts w:ascii="Perpetua" w:hAnsi="Perpetua"/>
          <w:sz w:val="28"/>
          <w:szCs w:val="22"/>
        </w:rPr>
      </w:pPr>
      <w:r w:rsidRPr="00044FEE">
        <w:rPr>
          <w:rFonts w:ascii="Perpetua" w:hAnsi="Perpetua"/>
          <w:sz w:val="22"/>
        </w:rPr>
        <w:t>[accessed 11.10.17].</w:t>
      </w:r>
    </w:p>
    <w:p w:rsidR="00616C1F" w:rsidRPr="00044FEE" w:rsidRDefault="00616C1F" w:rsidP="00616C1F">
      <w:pPr>
        <w:pStyle w:val="FootnoteText"/>
        <w:spacing w:after="120"/>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w:t>
      </w:r>
      <w:r w:rsidRPr="009357AC">
        <w:rPr>
          <w:rFonts w:ascii="Perpetua" w:hAnsi="Perpetua"/>
          <w:spacing w:val="-2"/>
          <w:sz w:val="22"/>
          <w:szCs w:val="22"/>
        </w:rPr>
        <w:t xml:space="preserve">Lectures on the Second Coming of Christ, Lecture 1, 1 Thessalonians 1’, </w:t>
      </w:r>
      <w:r w:rsidRPr="009357AC">
        <w:rPr>
          <w:rFonts w:ascii="Perpetua" w:hAnsi="Perpetua"/>
          <w:i/>
          <w:spacing w:val="-2"/>
          <w:sz w:val="22"/>
          <w:szCs w:val="22"/>
        </w:rPr>
        <w:t>Collected Writings</w:t>
      </w:r>
      <w:r w:rsidRPr="009357AC">
        <w:rPr>
          <w:rFonts w:ascii="Perpetua" w:hAnsi="Perpetua"/>
          <w:spacing w:val="-2"/>
          <w:sz w:val="22"/>
          <w:szCs w:val="22"/>
        </w:rPr>
        <w:t>, Vol. 11</w:t>
      </w:r>
      <w:r w:rsidRPr="00044FEE">
        <w:rPr>
          <w:rFonts w:ascii="Perpetua" w:hAnsi="Perpetua"/>
          <w:sz w:val="22"/>
          <w:szCs w:val="22"/>
        </w:rPr>
        <w:t>, Prophetic 4 &lt;http://www.stempublishing.com/authors/darby/PROPHET/11012E.html&gt; [accessed 7.8.09]</w:t>
      </w:r>
      <w:r w:rsidR="00840F22">
        <w:rPr>
          <w:rFonts w:ascii="Perpetua" w:hAnsi="Perpetua"/>
          <w:sz w:val="22"/>
          <w:szCs w:val="22"/>
        </w:rPr>
        <w:t>.</w:t>
      </w:r>
      <w:r>
        <w:rPr>
          <w:rFonts w:ascii="Perpetua" w:hAnsi="Perpetua"/>
          <w:sz w:val="22"/>
          <w:szCs w:val="22"/>
        </w:rPr>
        <w:t xml:space="preserve">  </w:t>
      </w:r>
    </w:p>
    <w:p w:rsidR="00616C1F" w:rsidRPr="00044FEE" w:rsidRDefault="00D16A42" w:rsidP="00616C1F">
      <w:pPr>
        <w:pStyle w:val="FootnoteText"/>
        <w:spacing w:after="120"/>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00616C1F" w:rsidRPr="00044FEE">
        <w:rPr>
          <w:rFonts w:ascii="Perpetua" w:hAnsi="Perpetua"/>
          <w:sz w:val="22"/>
          <w:szCs w:val="22"/>
        </w:rPr>
        <w:t xml:space="preserve">‘Lectures on the Second Coming of Christ, Lecture 3, Revelation 12’, </w:t>
      </w:r>
      <w:r w:rsidR="00616C1F" w:rsidRPr="00044FEE">
        <w:rPr>
          <w:rFonts w:ascii="Perpetua" w:hAnsi="Perpetua"/>
          <w:i/>
          <w:sz w:val="22"/>
          <w:szCs w:val="22"/>
        </w:rPr>
        <w:t>Collected Writings</w:t>
      </w:r>
      <w:r w:rsidR="00616C1F" w:rsidRPr="00044FEE">
        <w:rPr>
          <w:rFonts w:ascii="Perpetua" w:hAnsi="Perpetua"/>
          <w:sz w:val="22"/>
          <w:szCs w:val="22"/>
        </w:rPr>
        <w:t>, Vol. 11, Prophetic 4 &lt;http://www.stempublishing.com/authors/darby/PROPHET/11014E.html&gt; [accessed 7.8.09]</w:t>
      </w:r>
      <w:r w:rsidR="00DE4A34">
        <w:rPr>
          <w:rFonts w:ascii="Perpetua" w:hAnsi="Perpetua"/>
          <w:sz w:val="22"/>
          <w:szCs w:val="22"/>
        </w:rPr>
        <w:t>.</w:t>
      </w:r>
    </w:p>
    <w:p w:rsidR="00616C1F" w:rsidRPr="00044FEE" w:rsidRDefault="00616C1F" w:rsidP="00616C1F">
      <w:pPr>
        <w:pStyle w:val="FootnoteText"/>
        <w:spacing w:after="120"/>
        <w:ind w:left="567" w:hanging="567"/>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‘Lectures on the Second Coming of Christ, Lecture 5, Matthew 13’, </w:t>
      </w:r>
      <w:r w:rsidRPr="00044FEE">
        <w:rPr>
          <w:rFonts w:ascii="Perpetua" w:hAnsi="Perpetua"/>
          <w:i/>
          <w:sz w:val="22"/>
          <w:szCs w:val="22"/>
        </w:rPr>
        <w:t>Collected Writings</w:t>
      </w:r>
      <w:r w:rsidRPr="00044FEE">
        <w:rPr>
          <w:rFonts w:ascii="Perpetua" w:hAnsi="Perpetua"/>
          <w:sz w:val="22"/>
          <w:szCs w:val="22"/>
        </w:rPr>
        <w:t>, Vol. 11, Prophetic 4 &lt;http://www.stempublishing.com/authors/darby/PROPHET/11016E.html&gt; [accessed 7.8.09]</w:t>
      </w:r>
      <w:r w:rsidR="00DE4A34">
        <w:rPr>
          <w:rFonts w:ascii="Perpetua" w:hAnsi="Perpetua"/>
          <w:sz w:val="22"/>
          <w:szCs w:val="22"/>
        </w:rPr>
        <w:t>.</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‘Letter to Major Lancey’, </w:t>
      </w:r>
      <w:r w:rsidRPr="00044FEE">
        <w:rPr>
          <w:rFonts w:ascii="Perpetua" w:hAnsi="Perpetua"/>
          <w:i/>
          <w:sz w:val="22"/>
          <w:szCs w:val="22"/>
        </w:rPr>
        <w:t>The Letters</w:t>
      </w:r>
      <w:r w:rsidRPr="00044FEE">
        <w:rPr>
          <w:rFonts w:ascii="Perpetua" w:hAnsi="Perpetua"/>
          <w:sz w:val="22"/>
          <w:szCs w:val="22"/>
        </w:rPr>
        <w:t>, Vol. 1 &lt;http://www.stempublishing.com/authors/darby/letters/51066E.html&gt; [accessed 13.5.17].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‘Letter to Professor Friedrich Tholuck, Letters, Vol. 3  &lt;http://www.stempublishing.com/authors/darby/letters/53226E.html&gt; [accessed 5.5.17].</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       — ‘Meditations on the Acts of the Apostles’, </w:t>
      </w:r>
      <w:r w:rsidRPr="00044FEE">
        <w:rPr>
          <w:rFonts w:ascii="Perpetua" w:hAnsi="Perpetua"/>
          <w:i/>
          <w:sz w:val="22"/>
          <w:szCs w:val="22"/>
        </w:rPr>
        <w:t>Collected Writings</w:t>
      </w:r>
      <w:r w:rsidRPr="00044FEE">
        <w:rPr>
          <w:rFonts w:ascii="Perpetua" w:hAnsi="Perpetua"/>
          <w:sz w:val="22"/>
          <w:szCs w:val="22"/>
        </w:rPr>
        <w:t xml:space="preserve">, Vol. 25, Expository &lt;http://www.stempublishing.com/authors/darby/EXPOSIT/25028_34E.html&gt; </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[accessed 11.5.17]</w:t>
      </w:r>
      <w:r w:rsidR="00DE4A34">
        <w:rPr>
          <w:rFonts w:ascii="Perpetua" w:hAnsi="Perpetua"/>
          <w:sz w:val="22"/>
          <w:szCs w:val="22"/>
        </w:rPr>
        <w:t>.</w:t>
      </w:r>
    </w:p>
    <w:p w:rsidR="00616C1F" w:rsidRPr="00044FEE" w:rsidRDefault="00616C1F" w:rsidP="00616C1F">
      <w:pPr>
        <w:pStyle w:val="EndnoteText"/>
        <w:spacing w:after="120"/>
        <w:ind w:left="567" w:hanging="567"/>
        <w:rPr>
          <w:sz w:val="22"/>
          <w:szCs w:val="22"/>
        </w:rPr>
      </w:pPr>
      <w:r w:rsidRPr="00044FEE">
        <w:rPr>
          <w:sz w:val="22"/>
          <w:szCs w:val="22"/>
        </w:rPr>
        <w:t xml:space="preserve">       —</w:t>
      </w:r>
      <w:r w:rsidRPr="00044FEE">
        <w:rPr>
          <w:sz w:val="22"/>
          <w:szCs w:val="22"/>
          <w:lang w:val="en-US"/>
        </w:rPr>
        <w:t xml:space="preserve"> </w:t>
      </w:r>
      <w:r w:rsidRPr="00044FEE">
        <w:rPr>
          <w:sz w:val="22"/>
          <w:szCs w:val="22"/>
        </w:rPr>
        <w:t>‘</w:t>
      </w:r>
      <w:r w:rsidRPr="00044FEE">
        <w:rPr>
          <w:bCs/>
          <w:sz w:val="22"/>
          <w:szCs w:val="22"/>
        </w:rPr>
        <w:t>Notes on the Apocalypse gleaned at lectures in Geneva, 1842</w:t>
      </w:r>
      <w:r w:rsidRPr="00044FEE">
        <w:rPr>
          <w:sz w:val="22"/>
          <w:szCs w:val="22"/>
        </w:rPr>
        <w:t xml:space="preserve">’, </w:t>
      </w:r>
      <w:r w:rsidRPr="00044FEE">
        <w:rPr>
          <w:i/>
          <w:sz w:val="22"/>
          <w:szCs w:val="22"/>
        </w:rPr>
        <w:t>Collected Writings</w:t>
      </w:r>
      <w:r w:rsidRPr="00044FEE">
        <w:rPr>
          <w:sz w:val="22"/>
          <w:szCs w:val="22"/>
        </w:rPr>
        <w:t>, Vol. 5, Prophetic 2 &lt;http://www.stempublishing.com/authors/darby/PROPHET/05001_7F.html#a1&gt; [accessed 7.8.09].</w:t>
      </w:r>
    </w:p>
    <w:p w:rsidR="00616C1F" w:rsidRPr="00044FEE" w:rsidRDefault="00616C1F" w:rsidP="00616C1F">
      <w:pPr>
        <w:pStyle w:val="EndnoteText"/>
        <w:ind w:left="567" w:hanging="567"/>
        <w:rPr>
          <w:sz w:val="22"/>
          <w:szCs w:val="22"/>
        </w:rPr>
      </w:pPr>
      <w:r w:rsidRPr="00044FEE">
        <w:rPr>
          <w:sz w:val="22"/>
          <w:szCs w:val="22"/>
        </w:rPr>
        <w:t xml:space="preserve">       — ‘Notes on the Gospel of Luke, Luke 3’ </w:t>
      </w:r>
      <w:r w:rsidRPr="00044FEE">
        <w:rPr>
          <w:i/>
          <w:sz w:val="22"/>
          <w:szCs w:val="22"/>
        </w:rPr>
        <w:t>Collected Writings</w:t>
      </w:r>
      <w:r w:rsidRPr="00044FEE">
        <w:rPr>
          <w:sz w:val="22"/>
          <w:szCs w:val="22"/>
        </w:rPr>
        <w:t xml:space="preserve">, Vol. 25, Expository No 4 &lt;http://www.stempublishing.com/authors/darby/EXPOSIT/25003_7E.html#a3&gt; </w:t>
      </w:r>
    </w:p>
    <w:p w:rsidR="00616C1F" w:rsidRPr="00044FEE" w:rsidRDefault="00616C1F" w:rsidP="00616C1F">
      <w:pPr>
        <w:pStyle w:val="EndnoteText"/>
        <w:spacing w:after="120"/>
        <w:ind w:left="567"/>
        <w:rPr>
          <w:sz w:val="22"/>
          <w:szCs w:val="22"/>
        </w:rPr>
      </w:pPr>
      <w:r w:rsidRPr="00044FEE">
        <w:rPr>
          <w:sz w:val="22"/>
          <w:szCs w:val="22"/>
        </w:rPr>
        <w:t>[accessed 15.5.17].</w:t>
      </w:r>
    </w:p>
    <w:p w:rsidR="00616C1F" w:rsidRPr="00044FEE" w:rsidRDefault="00616C1F" w:rsidP="00616C1F">
      <w:pPr>
        <w:pStyle w:val="EndnoteText"/>
        <w:ind w:left="567" w:hanging="567"/>
        <w:rPr>
          <w:sz w:val="22"/>
        </w:rPr>
      </w:pPr>
      <w:r w:rsidRPr="00044FEE">
        <w:rPr>
          <w:sz w:val="22"/>
          <w:szCs w:val="22"/>
        </w:rPr>
        <w:t xml:space="preserve">       — </w:t>
      </w:r>
      <w:r w:rsidRPr="00044FEE">
        <w:rPr>
          <w:sz w:val="22"/>
        </w:rPr>
        <w:t>‘</w:t>
      </w:r>
      <w:r w:rsidRPr="00044FEE">
        <w:rPr>
          <w:bCs/>
          <w:sz w:val="22"/>
        </w:rPr>
        <w:t>Observations on a tract, entitled “Plymouthism in view of the Word of God</w:t>
      </w:r>
      <w:r w:rsidR="00DE4A34">
        <w:rPr>
          <w:bCs/>
          <w:sz w:val="22"/>
        </w:rPr>
        <w:t>”</w:t>
      </w:r>
      <w:r w:rsidRPr="00044FEE">
        <w:rPr>
          <w:sz w:val="22"/>
        </w:rPr>
        <w:t>’,</w:t>
      </w:r>
      <w:r w:rsidRPr="00044FEE">
        <w:rPr>
          <w:i/>
          <w:sz w:val="22"/>
        </w:rPr>
        <w:t xml:space="preserve"> Collected Writings</w:t>
      </w:r>
      <w:r w:rsidRPr="00044FEE">
        <w:rPr>
          <w:sz w:val="22"/>
        </w:rPr>
        <w:t xml:space="preserve">, </w:t>
      </w:r>
      <w:r w:rsidRPr="00044FEE">
        <w:rPr>
          <w:i/>
          <w:sz w:val="22"/>
        </w:rPr>
        <w:t>Vol. 4, Ecclesiastical No. 2</w:t>
      </w:r>
      <w:r w:rsidRPr="00044FEE">
        <w:rPr>
          <w:sz w:val="22"/>
        </w:rPr>
        <w:t xml:space="preserve">, p. 272 &lt;http://www.stempublishing.com/authors/darby/ECCLESIA/04006F.html&gt; </w:t>
      </w:r>
    </w:p>
    <w:p w:rsidR="00616C1F" w:rsidRPr="00044FEE" w:rsidRDefault="00616C1F" w:rsidP="00616C1F">
      <w:pPr>
        <w:pStyle w:val="EndnoteText"/>
        <w:spacing w:after="120"/>
        <w:ind w:left="567"/>
        <w:rPr>
          <w:sz w:val="22"/>
          <w:szCs w:val="22"/>
        </w:rPr>
      </w:pPr>
      <w:r w:rsidRPr="00044FEE">
        <w:rPr>
          <w:sz w:val="22"/>
        </w:rPr>
        <w:t>[accessed 4.10.10].</w:t>
      </w:r>
    </w:p>
    <w:p w:rsidR="00616C1F" w:rsidRPr="00044FEE" w:rsidRDefault="00616C1F" w:rsidP="00616C1F">
      <w:pPr>
        <w:pStyle w:val="EndnoteText"/>
        <w:spacing w:after="120"/>
        <w:ind w:left="567" w:hanging="567"/>
        <w:rPr>
          <w:sz w:val="22"/>
          <w:szCs w:val="22"/>
        </w:rPr>
      </w:pPr>
      <w:r w:rsidRPr="00044FEE">
        <w:rPr>
          <w:sz w:val="22"/>
          <w:szCs w:val="22"/>
        </w:rPr>
        <w:t xml:space="preserve">       —</w:t>
      </w:r>
      <w:r w:rsidRPr="00044FEE">
        <w:rPr>
          <w:sz w:val="22"/>
          <w:szCs w:val="22"/>
          <w:lang w:val="en-US"/>
        </w:rPr>
        <w:t xml:space="preserve"> </w:t>
      </w:r>
      <w:r w:rsidRPr="00044FEE">
        <w:rPr>
          <w:sz w:val="22"/>
          <w:szCs w:val="22"/>
        </w:rPr>
        <w:t xml:space="preserve">‘On the Gospel of Luke’, </w:t>
      </w:r>
      <w:r w:rsidRPr="00044FEE">
        <w:rPr>
          <w:i/>
          <w:sz w:val="22"/>
          <w:szCs w:val="22"/>
        </w:rPr>
        <w:t>Collected Writings</w:t>
      </w:r>
      <w:r w:rsidRPr="00044FEE">
        <w:rPr>
          <w:sz w:val="22"/>
          <w:szCs w:val="22"/>
        </w:rPr>
        <w:t xml:space="preserve">, </w:t>
      </w:r>
      <w:r w:rsidRPr="00044FEE">
        <w:rPr>
          <w:i/>
          <w:sz w:val="22"/>
          <w:szCs w:val="22"/>
        </w:rPr>
        <w:t>Vol. 25, Expository</w:t>
      </w:r>
      <w:r w:rsidRPr="00044FEE">
        <w:rPr>
          <w:sz w:val="22"/>
          <w:szCs w:val="22"/>
        </w:rPr>
        <w:t xml:space="preserve"> &lt;http://www.stempublishing.com/authors/darby/EXPOSIT/25026E.html&gt; [accessed 15.5.17].</w:t>
      </w:r>
    </w:p>
    <w:p w:rsidR="00616C1F" w:rsidRPr="00044FEE" w:rsidRDefault="00616C1F" w:rsidP="00616C1F">
      <w:pPr>
        <w:pStyle w:val="EndnoteText"/>
        <w:ind w:left="567" w:hanging="567"/>
        <w:rPr>
          <w:i/>
          <w:sz w:val="22"/>
          <w:szCs w:val="22"/>
        </w:rPr>
      </w:pPr>
      <w:r w:rsidRPr="00044FEE">
        <w:rPr>
          <w:sz w:val="22"/>
          <w:szCs w:val="22"/>
        </w:rPr>
        <w:t xml:space="preserve">       —</w:t>
      </w:r>
      <w:r w:rsidRPr="00044FEE">
        <w:rPr>
          <w:sz w:val="22"/>
          <w:szCs w:val="22"/>
          <w:lang w:val="en-US"/>
        </w:rPr>
        <w:t xml:space="preserve"> </w:t>
      </w:r>
      <w:r w:rsidRPr="00044FEE">
        <w:rPr>
          <w:sz w:val="22"/>
          <w:szCs w:val="22"/>
        </w:rPr>
        <w:t>‘</w:t>
      </w:r>
      <w:r w:rsidRPr="00044FEE">
        <w:rPr>
          <w:bCs/>
          <w:sz w:val="22"/>
          <w:szCs w:val="22"/>
        </w:rPr>
        <w:t>The Principles displayed in the Ways of God, compared with His Ultimate Dealings</w:t>
      </w:r>
      <w:r w:rsidRPr="00044FEE">
        <w:rPr>
          <w:sz w:val="22"/>
          <w:szCs w:val="22"/>
        </w:rPr>
        <w:t>’,</w:t>
      </w:r>
      <w:r w:rsidRPr="00044FEE">
        <w:rPr>
          <w:i/>
          <w:sz w:val="22"/>
          <w:szCs w:val="22"/>
        </w:rPr>
        <w:t xml:space="preserve"> </w:t>
      </w:r>
    </w:p>
    <w:p w:rsidR="00616C1F" w:rsidRPr="00044FEE" w:rsidRDefault="00616C1F" w:rsidP="00616C1F">
      <w:pPr>
        <w:pStyle w:val="EndnoteText"/>
        <w:ind w:left="567"/>
        <w:rPr>
          <w:sz w:val="22"/>
          <w:szCs w:val="22"/>
        </w:rPr>
      </w:pPr>
      <w:r w:rsidRPr="00044FEE">
        <w:rPr>
          <w:i/>
          <w:sz w:val="22"/>
          <w:szCs w:val="22"/>
        </w:rPr>
        <w:t>Collected Writings</w:t>
      </w:r>
      <w:r w:rsidRPr="00044FEE">
        <w:rPr>
          <w:sz w:val="22"/>
          <w:szCs w:val="22"/>
        </w:rPr>
        <w:t xml:space="preserve">, </w:t>
      </w:r>
      <w:r w:rsidRPr="00044FEE">
        <w:rPr>
          <w:i/>
          <w:sz w:val="22"/>
          <w:szCs w:val="22"/>
        </w:rPr>
        <w:t>Vol. 5, Prophetic No. 2</w:t>
      </w:r>
      <w:r w:rsidRPr="00044FEE">
        <w:rPr>
          <w:sz w:val="22"/>
          <w:szCs w:val="22"/>
        </w:rPr>
        <w:t xml:space="preserve">, p. 384 &lt;http://www.stempublishing.com/authors/darby/PROPHET/05043E.html&gt; </w:t>
      </w:r>
    </w:p>
    <w:p w:rsidR="00616C1F" w:rsidRPr="00044FEE" w:rsidRDefault="00616C1F" w:rsidP="00616C1F">
      <w:pPr>
        <w:pStyle w:val="EndnoteText"/>
        <w:spacing w:after="120"/>
        <w:ind w:left="567"/>
        <w:rPr>
          <w:sz w:val="22"/>
          <w:szCs w:val="22"/>
        </w:rPr>
      </w:pPr>
      <w:r w:rsidRPr="00044FEE">
        <w:rPr>
          <w:sz w:val="22"/>
          <w:szCs w:val="22"/>
        </w:rPr>
        <w:t>[accessed 19.2.10].</w:t>
      </w:r>
    </w:p>
    <w:p w:rsidR="00616C1F" w:rsidRPr="00044FEE" w:rsidRDefault="00616C1F" w:rsidP="00616C1F">
      <w:pPr>
        <w:pStyle w:val="EndnoteText"/>
        <w:spacing w:after="120"/>
        <w:ind w:left="567" w:hanging="567"/>
        <w:rPr>
          <w:sz w:val="22"/>
          <w:szCs w:val="22"/>
        </w:rPr>
      </w:pPr>
      <w:r w:rsidRPr="00044FEE">
        <w:rPr>
          <w:sz w:val="22"/>
          <w:szCs w:val="22"/>
        </w:rPr>
        <w:t xml:space="preserve">       — ‘The Purpose of God’, </w:t>
      </w:r>
      <w:r w:rsidRPr="00044FEE">
        <w:rPr>
          <w:i/>
          <w:sz w:val="22"/>
          <w:szCs w:val="22"/>
        </w:rPr>
        <w:t>Collected Writings</w:t>
      </w:r>
      <w:r w:rsidRPr="00044FEE">
        <w:rPr>
          <w:sz w:val="22"/>
          <w:szCs w:val="22"/>
        </w:rPr>
        <w:t xml:space="preserve">, </w:t>
      </w:r>
      <w:r w:rsidRPr="00044FEE">
        <w:rPr>
          <w:i/>
          <w:sz w:val="22"/>
          <w:szCs w:val="22"/>
        </w:rPr>
        <w:t>Vol. 2, Prophetic 1 &lt;</w:t>
      </w:r>
      <w:r w:rsidRPr="00044FEE">
        <w:rPr>
          <w:sz w:val="22"/>
          <w:szCs w:val="22"/>
        </w:rPr>
        <w:t>http://www.stempublishing.com/authors/darby/PROPHET/02010E.html</w:t>
      </w:r>
      <w:r w:rsidRPr="00044FEE">
        <w:rPr>
          <w:i/>
          <w:sz w:val="22"/>
          <w:szCs w:val="22"/>
        </w:rPr>
        <w:t xml:space="preserve">&gt; </w:t>
      </w:r>
      <w:r w:rsidRPr="00044FEE">
        <w:rPr>
          <w:sz w:val="22"/>
          <w:szCs w:val="22"/>
        </w:rPr>
        <w:t>[accessed 2.8.09].</w:t>
      </w:r>
    </w:p>
    <w:p w:rsidR="00616C1F" w:rsidRPr="00044FEE" w:rsidRDefault="00616C1F" w:rsidP="00616C1F">
      <w:pPr>
        <w:pStyle w:val="EndnoteText"/>
        <w:ind w:left="567" w:hanging="567"/>
        <w:rPr>
          <w:sz w:val="22"/>
          <w:szCs w:val="22"/>
        </w:rPr>
      </w:pPr>
      <w:r w:rsidRPr="00044FEE">
        <w:rPr>
          <w:sz w:val="22"/>
          <w:szCs w:val="22"/>
        </w:rPr>
        <w:t xml:space="preserve">       —</w:t>
      </w:r>
      <w:r w:rsidRPr="00044FEE">
        <w:rPr>
          <w:sz w:val="22"/>
          <w:szCs w:val="22"/>
          <w:lang w:val="en-US"/>
        </w:rPr>
        <w:t xml:space="preserve"> </w:t>
      </w:r>
      <w:r w:rsidRPr="00044FEE">
        <w:rPr>
          <w:sz w:val="22"/>
          <w:szCs w:val="22"/>
        </w:rPr>
        <w:t xml:space="preserve">Synopsis: Epistle to the Hebrews, Chapter 9 &lt;http://www.stempublishing.com/authors/darby/synopsis/hebrews/hebrews9.html &gt; </w:t>
      </w:r>
    </w:p>
    <w:p w:rsidR="00616C1F" w:rsidRPr="00044FEE" w:rsidRDefault="00616C1F" w:rsidP="00616C1F">
      <w:pPr>
        <w:pStyle w:val="EndnoteText"/>
        <w:spacing w:after="120"/>
        <w:ind w:left="567"/>
        <w:rPr>
          <w:sz w:val="22"/>
          <w:szCs w:val="22"/>
        </w:rPr>
      </w:pPr>
      <w:r w:rsidRPr="00044FEE">
        <w:rPr>
          <w:sz w:val="22"/>
          <w:szCs w:val="22"/>
        </w:rPr>
        <w:t>[accessed 18.7.17]</w:t>
      </w:r>
      <w:r w:rsidR="00DE4A34">
        <w:rPr>
          <w:sz w:val="22"/>
          <w:szCs w:val="22"/>
        </w:rPr>
        <w:t>.</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 </w:t>
      </w:r>
      <w:r w:rsidRPr="00044FEE">
        <w:rPr>
          <w:rFonts w:ascii="Perpetua" w:hAnsi="Perpetua"/>
          <w:sz w:val="22"/>
          <w:szCs w:val="22"/>
        </w:rPr>
        <w:t xml:space="preserve">‘The Rapture of the Saints and the Character of the Jewish Remnant’, </w:t>
      </w:r>
      <w:r w:rsidRPr="00044FEE">
        <w:rPr>
          <w:rFonts w:ascii="Perpetua" w:hAnsi="Perpetua"/>
          <w:i/>
          <w:sz w:val="22"/>
          <w:szCs w:val="22"/>
        </w:rPr>
        <w:t>Collected Works</w:t>
      </w:r>
      <w:r w:rsidRPr="00044FEE">
        <w:rPr>
          <w:rFonts w:ascii="Perpetua" w:hAnsi="Perpetua"/>
          <w:sz w:val="22"/>
          <w:szCs w:val="22"/>
        </w:rPr>
        <w:t>, Vol. 11, Prophetic No. 4 &lt;http://www.stempublishing.com/authors/darby/PROPHET/11007E.html&gt; [accessed 9.7.17].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‘Thoughts on Isaiah the Prophet’, in </w:t>
      </w:r>
      <w:r w:rsidRPr="00044FEE">
        <w:rPr>
          <w:rFonts w:ascii="Perpetua" w:hAnsi="Perpetua"/>
          <w:i/>
          <w:sz w:val="22"/>
          <w:szCs w:val="22"/>
        </w:rPr>
        <w:t>Collected Works of J. N. Darby, Vol. 30, Expository No. 2</w:t>
      </w:r>
      <w:r w:rsidRPr="00044FEE">
        <w:rPr>
          <w:rFonts w:ascii="Perpetua" w:hAnsi="Perpetua"/>
          <w:sz w:val="22"/>
          <w:szCs w:val="22"/>
        </w:rPr>
        <w:t xml:space="preserve">  &lt;http://www.stempublishing.com/authors/darby/EXPOSIT/30027E.html &gt; [accessed 12.5.17].</w:t>
      </w:r>
    </w:p>
    <w:p w:rsidR="00616C1F" w:rsidRDefault="00616C1F" w:rsidP="00616C1F">
      <w:pPr>
        <w:pStyle w:val="FootnoteText"/>
        <w:rPr>
          <w:rFonts w:ascii="Perpetua" w:hAnsi="Perpetua"/>
          <w:sz w:val="22"/>
          <w:szCs w:val="22"/>
        </w:rPr>
      </w:pPr>
      <w:r w:rsidRPr="00044FEE">
        <w:rPr>
          <w:rFonts w:ascii="Perpetua" w:hAnsi="Perpetua"/>
          <w:sz w:val="22"/>
          <w:szCs w:val="22"/>
        </w:rPr>
        <w:t xml:space="preserve">       —  ‘What Saints will be in the Great Tribulation’, </w:t>
      </w:r>
      <w:r w:rsidRPr="00044FEE">
        <w:rPr>
          <w:rFonts w:ascii="Perpetua" w:hAnsi="Perpetua"/>
          <w:i/>
          <w:sz w:val="22"/>
          <w:szCs w:val="22"/>
        </w:rPr>
        <w:t>Collected Writings</w:t>
      </w:r>
      <w:r w:rsidRPr="00044FEE">
        <w:rPr>
          <w:rFonts w:ascii="Perpetua" w:hAnsi="Perpetua"/>
          <w:sz w:val="22"/>
          <w:szCs w:val="22"/>
        </w:rPr>
        <w:t xml:space="preserve">, Vol. 11, Prophetic No. 4 </w:t>
      </w:r>
    </w:p>
    <w:p w:rsidR="00616C1F" w:rsidRPr="00044FEE" w:rsidRDefault="00616C1F" w:rsidP="00616C1F">
      <w:pPr>
        <w:pStyle w:val="FootnoteText"/>
        <w:spacing w:after="120"/>
        <w:ind w:firstLine="567"/>
        <w:rPr>
          <w:rFonts w:ascii="Perpetua" w:hAnsi="Perpetua"/>
          <w:sz w:val="22"/>
          <w:szCs w:val="22"/>
          <w:lang w:val="en-US"/>
        </w:rPr>
      </w:pPr>
      <w:r w:rsidRPr="00044FEE">
        <w:rPr>
          <w:rFonts w:ascii="Perpetua" w:hAnsi="Perpetua"/>
          <w:sz w:val="22"/>
          <w:szCs w:val="22"/>
        </w:rPr>
        <w:t>&lt;http://www.stempublishing.com/authors/darby/PROPHET/11006E.html&gt; [accessed 2.8.09].</w:t>
      </w:r>
    </w:p>
    <w:p w:rsidR="00616C1F" w:rsidRPr="00044FEE" w:rsidRDefault="00616C1F" w:rsidP="00D16A42">
      <w:pPr>
        <w:pStyle w:val="FootnoteText"/>
        <w:spacing w:after="120"/>
        <w:ind w:left="499" w:hanging="499"/>
        <w:rPr>
          <w:rFonts w:ascii="Perpetua" w:hAnsi="Perpetua"/>
          <w:sz w:val="22"/>
          <w:szCs w:val="22"/>
          <w:lang w:val="en-US"/>
        </w:rPr>
      </w:pPr>
      <w:r w:rsidRPr="00044FEE">
        <w:rPr>
          <w:rFonts w:ascii="Perpetua" w:hAnsi="Perpetua"/>
          <w:sz w:val="22"/>
          <w:szCs w:val="22"/>
          <w:lang w:val="en-US"/>
        </w:rPr>
        <w:lastRenderedPageBreak/>
        <w:t xml:space="preserve">Davies, P. R., </w:t>
      </w:r>
      <w:r w:rsidRPr="00044FEE">
        <w:rPr>
          <w:rFonts w:ascii="Perpetua" w:hAnsi="Perpetua"/>
          <w:i/>
          <w:sz w:val="22"/>
          <w:szCs w:val="22"/>
          <w:lang w:val="en-US"/>
        </w:rPr>
        <w:t>Daniel</w:t>
      </w:r>
      <w:r w:rsidRPr="00044FEE">
        <w:rPr>
          <w:rFonts w:ascii="Perpetua" w:hAnsi="Perpetua"/>
          <w:sz w:val="22"/>
          <w:szCs w:val="22"/>
          <w:lang w:val="en-US"/>
        </w:rPr>
        <w:t xml:space="preserve"> (Sheffield: JSOT Press, 1985).</w:t>
      </w:r>
    </w:p>
    <w:p w:rsidR="00616C1F" w:rsidRPr="00044FEE" w:rsidRDefault="00616C1F" w:rsidP="00475D7F">
      <w:pPr>
        <w:pStyle w:val="FootnoteText"/>
        <w:spacing w:after="120"/>
        <w:ind w:left="499" w:hanging="499"/>
        <w:rPr>
          <w:rFonts w:ascii="Perpetua" w:hAnsi="Perpetua"/>
          <w:sz w:val="22"/>
          <w:szCs w:val="22"/>
          <w:lang w:val="en-US"/>
        </w:rPr>
      </w:pPr>
      <w:r w:rsidRPr="00044FEE">
        <w:rPr>
          <w:rFonts w:ascii="Perpetua" w:hAnsi="Perpetua"/>
          <w:sz w:val="22"/>
          <w:szCs w:val="22"/>
          <w:lang w:val="en-US"/>
        </w:rPr>
        <w:t xml:space="preserve">Davies, W. D., and Dale C. Allison, Jr., </w:t>
      </w:r>
      <w:r w:rsidRPr="00044FEE">
        <w:rPr>
          <w:rFonts w:ascii="Perpetua" w:hAnsi="Perpetua"/>
          <w:i/>
          <w:sz w:val="22"/>
          <w:szCs w:val="22"/>
          <w:lang w:val="en-US"/>
        </w:rPr>
        <w:t xml:space="preserve">A critical and Exegetical Commentary on the Gospel According to Saint </w:t>
      </w:r>
      <w:r w:rsidRPr="00475D7F">
        <w:rPr>
          <w:rFonts w:ascii="Perpetua" w:hAnsi="Perpetua"/>
          <w:i/>
          <w:spacing w:val="-2"/>
          <w:sz w:val="22"/>
          <w:szCs w:val="22"/>
          <w:lang w:val="en-US"/>
        </w:rPr>
        <w:t>Matthew, Vol. 1, Introduction and Commentary on Matthew 1 - 7</w:t>
      </w:r>
      <w:r w:rsidRPr="00475D7F">
        <w:rPr>
          <w:rFonts w:ascii="Perpetua" w:hAnsi="Perpetua"/>
          <w:spacing w:val="-2"/>
          <w:sz w:val="22"/>
          <w:szCs w:val="22"/>
          <w:lang w:val="en-US"/>
        </w:rPr>
        <w:t xml:space="preserve"> (Edinburgh: T. &amp; T. Clark Limited, 1988</w:t>
      </w:r>
      <w:r w:rsidRPr="00044FEE">
        <w:rPr>
          <w:rFonts w:ascii="Perpetua" w:hAnsi="Perpetua"/>
          <w:sz w:val="22"/>
          <w:szCs w:val="22"/>
          <w:lang w:val="en-US"/>
        </w:rPr>
        <w:t>).</w:t>
      </w:r>
    </w:p>
    <w:p w:rsidR="00616C1F" w:rsidRPr="00044FEE" w:rsidRDefault="00616C1F" w:rsidP="00616C1F">
      <w:pPr>
        <w:pStyle w:val="FootnoteText"/>
        <w:spacing w:after="120"/>
        <w:ind w:left="499"/>
        <w:rPr>
          <w:rFonts w:ascii="Perpetua" w:hAnsi="Perpetua"/>
          <w:sz w:val="22"/>
          <w:szCs w:val="22"/>
          <w:lang w:val="en-US"/>
        </w:rPr>
      </w:pPr>
      <w:r w:rsidRPr="00044FEE">
        <w:rPr>
          <w:rFonts w:ascii="Perpetua" w:hAnsi="Perpetua"/>
          <w:sz w:val="22"/>
          <w:szCs w:val="22"/>
        </w:rPr>
        <w:t xml:space="preserve">— </w:t>
      </w:r>
      <w:r w:rsidRPr="00044FEE">
        <w:rPr>
          <w:rFonts w:ascii="Perpetua" w:hAnsi="Perpetua"/>
          <w:i/>
          <w:sz w:val="22"/>
          <w:szCs w:val="22"/>
          <w:lang w:val="en-US"/>
        </w:rPr>
        <w:t>A critical and Exegetical Commentary on the Gospel According to Saint Matthew, Vol. 2, Commentary on Matthew 8 - 18</w:t>
      </w:r>
      <w:r w:rsidRPr="00044FEE">
        <w:rPr>
          <w:rFonts w:ascii="Perpetua" w:hAnsi="Perpetua"/>
          <w:sz w:val="22"/>
          <w:szCs w:val="22"/>
          <w:lang w:val="en-US"/>
        </w:rPr>
        <w:t xml:space="preserve"> (Edinburgh: T. &amp; T. Clark Limited, 1991).</w:t>
      </w:r>
    </w:p>
    <w:p w:rsidR="00616C1F" w:rsidRPr="00044FEE" w:rsidRDefault="00616C1F" w:rsidP="00616C1F">
      <w:pPr>
        <w:pStyle w:val="FootnoteText"/>
        <w:spacing w:after="120"/>
        <w:ind w:left="499" w:hanging="499"/>
        <w:rPr>
          <w:rFonts w:ascii="Perpetua" w:hAnsi="Perpetua"/>
          <w:sz w:val="24"/>
          <w:szCs w:val="22"/>
          <w:lang w:val="en-US"/>
        </w:rPr>
      </w:pPr>
      <w:r w:rsidRPr="00044FEE">
        <w:rPr>
          <w:rFonts w:ascii="Perpetua" w:hAnsi="Perpetua"/>
          <w:sz w:val="22"/>
        </w:rPr>
        <w:t xml:space="preserve">Dean, David Lance, </w:t>
      </w:r>
      <w:r w:rsidRPr="00044FEE">
        <w:rPr>
          <w:rFonts w:ascii="Perpetua" w:hAnsi="Perpetua"/>
          <w:i/>
          <w:sz w:val="22"/>
        </w:rPr>
        <w:t>Christian Zionism and the Scofield Reference Bible: A Critical Evaluation of Dispensational Theory</w:t>
      </w:r>
      <w:r w:rsidRPr="00044FEE">
        <w:rPr>
          <w:rFonts w:ascii="Perpetua" w:hAnsi="Perpetua"/>
          <w:sz w:val="22"/>
        </w:rPr>
        <w:t xml:space="preserve"> (Self-published through Xlibris.com, May 2015; purchased through Amazon.com).</w:t>
      </w:r>
    </w:p>
    <w:p w:rsidR="00616C1F" w:rsidRPr="00044FEE" w:rsidRDefault="00616C1F" w:rsidP="00616C1F">
      <w:pPr>
        <w:spacing w:after="120" w:line="240" w:lineRule="auto"/>
        <w:ind w:left="539" w:hanging="539"/>
      </w:pPr>
      <w:r w:rsidRPr="00044FEE">
        <w:t xml:space="preserve">Drury, Clare, ‘The Pastoral Epistles’ in John Barton and John Muddiman (eds.) </w:t>
      </w:r>
      <w:r w:rsidRPr="00044FEE">
        <w:rPr>
          <w:i/>
        </w:rPr>
        <w:t>The Oxford Bible Commentary</w:t>
      </w:r>
      <w:r w:rsidRPr="00044FEE">
        <w:t xml:space="preserve"> (Oxford: Oxford University Press, 2001).</w:t>
      </w:r>
    </w:p>
    <w:p w:rsidR="00616C1F" w:rsidRPr="00044FEE" w:rsidRDefault="00616C1F" w:rsidP="00616C1F">
      <w:pPr>
        <w:spacing w:after="120" w:line="240" w:lineRule="auto"/>
        <w:ind w:left="539" w:hanging="539"/>
      </w:pPr>
      <w:r w:rsidRPr="00044FEE">
        <w:t xml:space="preserve">Dunn, J. D. G., ‘Ephesians’ in John Barton and John Muddiman (eds.) </w:t>
      </w:r>
      <w:r w:rsidRPr="00044FEE">
        <w:rPr>
          <w:i/>
        </w:rPr>
        <w:t>The Oxford Bible Commentary</w:t>
      </w:r>
      <w:r w:rsidRPr="00044FEE">
        <w:t xml:space="preserve"> (Oxford: Oxford University Press, 2001).</w:t>
      </w:r>
    </w:p>
    <w:p w:rsidR="00616C1F" w:rsidRPr="00044FEE" w:rsidRDefault="00616C1F" w:rsidP="00616C1F">
      <w:pPr>
        <w:spacing w:after="120" w:line="240" w:lineRule="auto"/>
        <w:ind w:left="539" w:hanging="539"/>
      </w:pPr>
      <w:r w:rsidRPr="00044FEE">
        <w:t xml:space="preserve">Ehlert, Arnold D., ‘A Bibliography of Dispensationalism: Part 6’, </w:t>
      </w:r>
      <w:r w:rsidRPr="00044FEE">
        <w:rPr>
          <w:i/>
        </w:rPr>
        <w:t>Bibliotheca Sacra</w:t>
      </w:r>
      <w:r w:rsidRPr="00044FEE">
        <w:t>, 102:406 (Apr. 1945).</w:t>
      </w:r>
    </w:p>
    <w:p w:rsidR="00616C1F" w:rsidRPr="00044FEE" w:rsidRDefault="00616C1F" w:rsidP="00616C1F">
      <w:pPr>
        <w:pStyle w:val="FootnoteText"/>
        <w:ind w:left="499" w:right="74" w:hanging="499"/>
        <w:rPr>
          <w:rFonts w:ascii="Perpetua" w:hAnsi="Perpetua"/>
          <w:sz w:val="22"/>
          <w:szCs w:val="22"/>
          <w:lang w:val="en-US"/>
        </w:rPr>
      </w:pPr>
      <w:r w:rsidRPr="0076718B">
        <w:rPr>
          <w:rFonts w:ascii="Perpetua" w:hAnsi="Perpetua"/>
          <w:i/>
          <w:sz w:val="22"/>
          <w:szCs w:val="22"/>
          <w:lang w:val="en-US"/>
        </w:rPr>
        <w:t>Encyclopaedia Britannica</w:t>
      </w:r>
      <w:r w:rsidRPr="00044FEE">
        <w:rPr>
          <w:rFonts w:ascii="Perpetua" w:hAnsi="Perpetua"/>
          <w:sz w:val="22"/>
          <w:szCs w:val="22"/>
          <w:lang w:val="en-US"/>
        </w:rPr>
        <w:t xml:space="preserve">, ‘Brass’ </w:t>
      </w:r>
    </w:p>
    <w:p w:rsidR="00616C1F" w:rsidRPr="00044FEE" w:rsidRDefault="00616C1F" w:rsidP="00616C1F">
      <w:pPr>
        <w:pStyle w:val="FootnoteText"/>
        <w:spacing w:after="120"/>
        <w:ind w:left="499" w:right="71" w:firstLine="68"/>
        <w:rPr>
          <w:rFonts w:ascii="Perpetua" w:hAnsi="Perpetua"/>
          <w:sz w:val="22"/>
          <w:szCs w:val="22"/>
          <w:lang w:val="en-US"/>
        </w:rPr>
      </w:pPr>
      <w:r w:rsidRPr="00044FEE">
        <w:rPr>
          <w:rFonts w:ascii="Perpetua" w:hAnsi="Perpetua"/>
          <w:color w:val="000000"/>
        </w:rPr>
        <w:t>&lt;</w:t>
      </w:r>
      <w:r w:rsidRPr="00044FEE">
        <w:rPr>
          <w:rFonts w:ascii="Perpetua" w:hAnsi="Perpetua"/>
          <w:color w:val="000000"/>
          <w:sz w:val="22"/>
        </w:rPr>
        <w:t>http://www.britannica.com/EBchecked/topic/88760/calamine-brass&gt; [accessed 24.7.11]</w:t>
      </w:r>
      <w:r w:rsidR="00475D7F">
        <w:rPr>
          <w:rFonts w:ascii="Perpetua" w:hAnsi="Perpetua"/>
          <w:color w:val="000000"/>
          <w:sz w:val="22"/>
        </w:rPr>
        <w:t>.</w:t>
      </w:r>
    </w:p>
    <w:p w:rsidR="00616C1F" w:rsidRDefault="00616C1F" w:rsidP="00616C1F">
      <w:pPr>
        <w:pStyle w:val="FootnoteText"/>
        <w:ind w:left="499" w:right="74" w:hanging="74"/>
        <w:rPr>
          <w:rFonts w:ascii="Perpetua" w:hAnsi="Perpetua"/>
          <w:sz w:val="22"/>
          <w:szCs w:val="22"/>
        </w:rPr>
      </w:pPr>
      <w:r w:rsidRPr="00044FEE">
        <w:rPr>
          <w:rFonts w:ascii="Perpetua" w:hAnsi="Perpetua"/>
          <w:sz w:val="22"/>
          <w:szCs w:val="22"/>
        </w:rPr>
        <w:t xml:space="preserve">— </w:t>
      </w:r>
      <w:r w:rsidRPr="00044FEE">
        <w:rPr>
          <w:rFonts w:ascii="Perpetua" w:hAnsi="Perpetua"/>
          <w:sz w:val="22"/>
          <w:szCs w:val="22"/>
          <w:lang w:val="en-US"/>
        </w:rPr>
        <w:t xml:space="preserve">‘Crucifixion’ </w:t>
      </w:r>
      <w:r w:rsidRPr="00044FEE">
        <w:rPr>
          <w:rFonts w:ascii="Perpetua" w:hAnsi="Perpetua"/>
          <w:sz w:val="22"/>
          <w:szCs w:val="22"/>
        </w:rPr>
        <w:t xml:space="preserve">&lt;http://www.britannica.com/EBchecked/topic/144583/crucifixion&gt; </w:t>
      </w:r>
    </w:p>
    <w:p w:rsidR="00616C1F" w:rsidRPr="00044FEE" w:rsidRDefault="00616C1F" w:rsidP="00616C1F">
      <w:pPr>
        <w:pStyle w:val="FootnoteText"/>
        <w:spacing w:after="120"/>
        <w:ind w:left="499" w:right="71" w:hanging="73"/>
        <w:rPr>
          <w:rFonts w:ascii="Perpetua" w:hAnsi="Perpetua"/>
          <w:sz w:val="22"/>
          <w:szCs w:val="22"/>
          <w:lang w:val="en-US"/>
        </w:rPr>
      </w:pPr>
      <w:r w:rsidRPr="00044FEE">
        <w:rPr>
          <w:rFonts w:ascii="Perpetua" w:hAnsi="Perpetua"/>
          <w:sz w:val="22"/>
          <w:szCs w:val="22"/>
        </w:rPr>
        <w:t>[accessed 12.7.11].</w:t>
      </w:r>
      <w:r w:rsidRPr="00044FEE">
        <w:rPr>
          <w:rFonts w:ascii="Perpetua" w:hAnsi="Perpetua"/>
          <w:sz w:val="22"/>
          <w:szCs w:val="22"/>
          <w:lang w:val="en-US"/>
        </w:rPr>
        <w:t xml:space="preserve"> </w:t>
      </w:r>
    </w:p>
    <w:p w:rsidR="00616C1F" w:rsidRDefault="00616C1F" w:rsidP="00616C1F">
      <w:pPr>
        <w:pStyle w:val="FootnoteText"/>
        <w:ind w:left="499" w:hanging="499"/>
        <w:rPr>
          <w:rFonts w:ascii="Perpetua" w:hAnsi="Perpetua"/>
          <w:sz w:val="22"/>
          <w:szCs w:val="22"/>
        </w:rPr>
      </w:pPr>
      <w:r w:rsidRPr="00044FEE">
        <w:rPr>
          <w:rFonts w:ascii="Perpetua" w:hAnsi="Perpetua"/>
          <w:i/>
          <w:sz w:val="22"/>
          <w:szCs w:val="22"/>
        </w:rPr>
        <w:t>Encyclopaedia Judaica</w:t>
      </w:r>
      <w:r w:rsidRPr="00044FEE">
        <w:rPr>
          <w:rFonts w:ascii="Perpetua" w:hAnsi="Perpetua"/>
          <w:sz w:val="22"/>
          <w:szCs w:val="22"/>
        </w:rPr>
        <w:t xml:space="preserve">: © 2008 The Gale Group, Jewish Virtual Library, ‘Kabbalah’ </w:t>
      </w:r>
    </w:p>
    <w:p w:rsidR="00616C1F" w:rsidRPr="00044FEE" w:rsidRDefault="00616C1F" w:rsidP="00616C1F">
      <w:pPr>
        <w:pStyle w:val="FootnoteText"/>
        <w:spacing w:after="120"/>
        <w:ind w:left="499" w:hanging="73"/>
        <w:rPr>
          <w:rFonts w:ascii="Perpetua" w:hAnsi="Perpetua"/>
          <w:sz w:val="22"/>
          <w:szCs w:val="22"/>
        </w:rPr>
      </w:pPr>
      <w:r w:rsidRPr="00044FEE">
        <w:rPr>
          <w:rFonts w:ascii="Perpetua" w:hAnsi="Perpetua"/>
          <w:sz w:val="22"/>
          <w:szCs w:val="22"/>
        </w:rPr>
        <w:t>&lt;http://www.jewishvirtuallibrary.org/jsource/judaica/ejud_0002_0011_0_10514.html&gt; [accessed 5.5.11].</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Fee, Gordon D., </w:t>
      </w:r>
      <w:r w:rsidRPr="00044FEE">
        <w:rPr>
          <w:rFonts w:ascii="Perpetua" w:hAnsi="Perpetua"/>
          <w:i/>
          <w:sz w:val="22"/>
          <w:szCs w:val="22"/>
        </w:rPr>
        <w:t>Revelation: A New Covenant Commentary</w:t>
      </w:r>
      <w:r w:rsidRPr="00044FEE">
        <w:rPr>
          <w:rFonts w:ascii="Perpetua" w:hAnsi="Perpetua"/>
          <w:sz w:val="22"/>
          <w:szCs w:val="22"/>
        </w:rPr>
        <w:t xml:space="preserve"> (New Covenant Commentary Series, </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Michael F. Bird and Craig Keener, [eds]; Eugene, Oregon: Cascade Books, 2011).</w:t>
      </w:r>
    </w:p>
    <w:p w:rsidR="00616C1F" w:rsidRPr="00044FEE" w:rsidRDefault="00616C1F" w:rsidP="00616C1F">
      <w:pPr>
        <w:pStyle w:val="FootnoteText"/>
        <w:spacing w:after="120"/>
        <w:ind w:left="500" w:hanging="74"/>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The First Epistle to the Corinthians</w:t>
      </w:r>
      <w:r w:rsidRPr="00044FEE">
        <w:rPr>
          <w:rFonts w:ascii="Perpetua" w:hAnsi="Perpetua"/>
          <w:sz w:val="22"/>
          <w:szCs w:val="22"/>
        </w:rPr>
        <w:t xml:space="preserve"> (Grand Rapids: Wm. B. Eerdmans Publishing Co., 1987).</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Feinberg, Charles L., </w:t>
      </w:r>
      <w:r w:rsidRPr="00044FEE">
        <w:rPr>
          <w:rFonts w:ascii="Perpetua" w:hAnsi="Perpetua"/>
          <w:i/>
          <w:sz w:val="22"/>
          <w:szCs w:val="22"/>
        </w:rPr>
        <w:t>Millennialism: The Two Major Views: The Premillennial and Amillennial Systems of Biblical Interpretation Analyzed and Compared</w:t>
      </w:r>
      <w:r w:rsidRPr="00044FEE">
        <w:rPr>
          <w:rFonts w:ascii="Perpetua" w:hAnsi="Perpetua"/>
          <w:sz w:val="22"/>
          <w:szCs w:val="22"/>
        </w:rPr>
        <w:t xml:space="preserve"> (Third and Enlarged Edition, Winona Lake, Indiana: BMH Books, 1985, 2006, 2008, 2012).  [Original Title: Premillennialism or Amillennialism (Chicago: Moody Bible Institute of Chicago, 1936, 1954, 1961, 1980).]</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Feinberg, John S., ‘Systems of Discontinuity’ in John S. Feinberg (ed.) </w:t>
      </w:r>
      <w:r w:rsidRPr="00044FEE">
        <w:rPr>
          <w:rFonts w:ascii="Perpetua" w:hAnsi="Perpetua"/>
          <w:i/>
          <w:sz w:val="22"/>
          <w:szCs w:val="22"/>
        </w:rPr>
        <w:t>Continuity and Discontinuity: Perspectives on the Relationship Between the Old and New Testaments: Essays in Honor of S. Lewis Johnson, Jr.</w:t>
      </w:r>
      <w:r w:rsidRPr="00044FEE">
        <w:rPr>
          <w:rFonts w:ascii="Perpetua" w:hAnsi="Perpetua"/>
          <w:sz w:val="22"/>
          <w:szCs w:val="22"/>
        </w:rPr>
        <w:t xml:space="preserve"> (Crossway: Wheaton, Illinois, 1988) Google Books  &lt;https://books.google.co.uk/books?id=l6HXCgAAQBAJ&amp;printsec=frontcover&amp;source=gbs_ge_summary_r&amp;cad=0#v=onepage&amp;q&amp;f=false&gt; [accessed 3.7.17].</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Finkelstein, Israel and Neil Asher Silberman, </w:t>
      </w:r>
      <w:r w:rsidRPr="00044FEE">
        <w:rPr>
          <w:rFonts w:ascii="Perpetua" w:hAnsi="Perpetua"/>
          <w:i/>
          <w:sz w:val="22"/>
          <w:szCs w:val="22"/>
        </w:rPr>
        <w:t>The Bible Unearthed: Archaeology’s New Vision of Ancient Israel and the Origin of Its Sacred Texts</w:t>
      </w:r>
      <w:r w:rsidRPr="00044FEE">
        <w:rPr>
          <w:rFonts w:ascii="Perpetua" w:hAnsi="Perpetua"/>
          <w:sz w:val="22"/>
          <w:szCs w:val="22"/>
        </w:rPr>
        <w:t xml:space="preserve"> (New York: Touchstone, 2002).</w:t>
      </w:r>
    </w:p>
    <w:p w:rsidR="00616C1F" w:rsidRDefault="00616C1F" w:rsidP="00D16A42">
      <w:pPr>
        <w:autoSpaceDE w:val="0"/>
        <w:autoSpaceDN w:val="0"/>
        <w:adjustRightInd w:val="0"/>
        <w:spacing w:after="0" w:line="240" w:lineRule="auto"/>
        <w:ind w:left="567" w:hanging="567"/>
        <w:rPr>
          <w:rFonts w:cs="Humnst777 Lt BT"/>
        </w:rPr>
      </w:pPr>
      <w:r w:rsidRPr="00044FEE">
        <w:rPr>
          <w:rFonts w:cs="Humnst777 Lt BT"/>
        </w:rPr>
        <w:t xml:space="preserve">Fitzmyer, Joseph A., S.J., </w:t>
      </w:r>
      <w:r w:rsidRPr="00044FEE">
        <w:rPr>
          <w:rFonts w:cs="Humnst777 Lt BT"/>
          <w:i/>
        </w:rPr>
        <w:t>The Gospel According to Luke</w:t>
      </w:r>
      <w:r w:rsidRPr="00044FEE">
        <w:rPr>
          <w:rFonts w:cs="Humnst777 Lt BT"/>
        </w:rPr>
        <w:t xml:space="preserve"> (</w:t>
      </w:r>
      <w:r w:rsidRPr="00044FEE">
        <w:rPr>
          <w:rFonts w:cs="Humnst777 Lt BT"/>
          <w:i/>
        </w:rPr>
        <w:t>X-XXV</w:t>
      </w:r>
      <w:r w:rsidRPr="00044FEE">
        <w:rPr>
          <w:rFonts w:cs="Humnst777 Lt BT"/>
        </w:rPr>
        <w:t xml:space="preserve">) (The Anchor Bible, Vol. 28A, </w:t>
      </w:r>
    </w:p>
    <w:p w:rsidR="00616C1F" w:rsidRPr="00044FEE" w:rsidRDefault="00616C1F" w:rsidP="00616C1F">
      <w:pPr>
        <w:autoSpaceDE w:val="0"/>
        <w:autoSpaceDN w:val="0"/>
        <w:adjustRightInd w:val="0"/>
        <w:spacing w:after="120" w:line="240" w:lineRule="auto"/>
        <w:ind w:left="567"/>
        <w:rPr>
          <w:rFonts w:cs="Humnst777 Lt BT"/>
        </w:rPr>
      </w:pPr>
      <w:r w:rsidRPr="00044FEE">
        <w:rPr>
          <w:rFonts w:cs="Humnst777 Lt BT"/>
        </w:rPr>
        <w:t>William Foxwell Albright and David Noel Freedman [gen. eds]; Garden City, New York: Doubleday &amp; Company, Inc., 1985).</w:t>
      </w:r>
    </w:p>
    <w:p w:rsidR="00616C1F" w:rsidRPr="00044FEE" w:rsidRDefault="00616C1F" w:rsidP="00616C1F">
      <w:pPr>
        <w:autoSpaceDE w:val="0"/>
        <w:autoSpaceDN w:val="0"/>
        <w:adjustRightInd w:val="0"/>
        <w:spacing w:after="120" w:line="240" w:lineRule="auto"/>
        <w:ind w:left="567" w:hanging="141"/>
        <w:rPr>
          <w:rFonts w:cs="Humnst777 Lt BT"/>
        </w:rPr>
      </w:pPr>
      <w:r w:rsidRPr="00044FEE">
        <w:t xml:space="preserve">— </w:t>
      </w:r>
      <w:r w:rsidRPr="00044FEE">
        <w:rPr>
          <w:rFonts w:cs="Humnst777 Lt BT"/>
          <w:i/>
        </w:rPr>
        <w:t>The One Who Is To Come</w:t>
      </w:r>
      <w:r w:rsidRPr="00044FEE">
        <w:rPr>
          <w:rFonts w:cs="Humnst777 Lt BT"/>
        </w:rPr>
        <w:t xml:space="preserve"> (Grand Rapids: William B. Eerdmans Publishing Company, 2007).</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Ford, J. Massyngberde (</w:t>
      </w:r>
      <w:r w:rsidRPr="00044FEE">
        <w:rPr>
          <w:rFonts w:ascii="Perpetua" w:hAnsi="Perpetua"/>
          <w:i/>
          <w:sz w:val="22"/>
          <w:szCs w:val="22"/>
        </w:rPr>
        <w:t>The Anchor Bible, Revelation: Introduction, Translation and Commentary</w:t>
      </w:r>
      <w:r w:rsidRPr="00044FEE">
        <w:rPr>
          <w:rFonts w:ascii="Perpetua" w:hAnsi="Perpetua"/>
          <w:sz w:val="22"/>
          <w:szCs w:val="22"/>
        </w:rPr>
        <w:t xml:space="preserve"> (William Foxwell Albright and David Noel Freedman, eds., Vol. 38; New York: Doubleday &amp; Company, Inc., 1985).</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Franklin, Eric, ‘Luke’ in John Barton and John Muddiman (eds.) </w:t>
      </w:r>
      <w:r w:rsidRPr="00044FEE">
        <w:rPr>
          <w:rFonts w:ascii="Perpetua" w:hAnsi="Perpetua"/>
          <w:i/>
          <w:sz w:val="22"/>
          <w:szCs w:val="22"/>
        </w:rPr>
        <w:t>The Oxford Bible Commentary</w:t>
      </w:r>
      <w:r w:rsidRPr="00044FEE">
        <w:rPr>
          <w:rFonts w:ascii="Perpetua" w:hAnsi="Perpetua"/>
          <w:sz w:val="22"/>
          <w:szCs w:val="22"/>
        </w:rPr>
        <w:t xml:space="preserve"> </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(Oxford: Oxford University Press, 2001).</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Fruchtenbaum, Arnold G.,</w:t>
      </w:r>
      <w:r w:rsidRPr="00044FEE">
        <w:rPr>
          <w:rFonts w:ascii="Perpetua" w:hAnsi="Perpetua" w:cs="Arial"/>
          <w:sz w:val="22"/>
          <w:szCs w:val="22"/>
        </w:rPr>
        <w:t xml:space="preserve"> </w:t>
      </w:r>
      <w:r w:rsidRPr="00044FEE">
        <w:rPr>
          <w:rFonts w:ascii="Perpetua" w:hAnsi="Perpetua"/>
          <w:i/>
          <w:sz w:val="22"/>
          <w:szCs w:val="22"/>
        </w:rPr>
        <w:t>The Footsteps of the Messiah: A Study of the Sequence of Prophetic Events</w:t>
      </w:r>
      <w:r w:rsidRPr="00044FEE">
        <w:rPr>
          <w:rFonts w:ascii="Perpetua" w:hAnsi="Perpetua"/>
          <w:sz w:val="22"/>
          <w:szCs w:val="22"/>
        </w:rPr>
        <w:t xml:space="preserve"> (Tustin: Ariel Press, 1982, 3</w:t>
      </w:r>
      <w:r w:rsidRPr="00044FEE">
        <w:rPr>
          <w:rFonts w:ascii="Perpetua" w:hAnsi="Perpetua"/>
          <w:sz w:val="22"/>
          <w:szCs w:val="22"/>
          <w:vertAlign w:val="superscript"/>
        </w:rPr>
        <w:t>rd</w:t>
      </w:r>
      <w:r w:rsidRPr="00044FEE">
        <w:rPr>
          <w:rFonts w:ascii="Perpetua" w:hAnsi="Perpetua"/>
          <w:sz w:val="22"/>
          <w:szCs w:val="22"/>
        </w:rPr>
        <w:t xml:space="preserve"> printing 1990).</w:t>
      </w:r>
    </w:p>
    <w:p w:rsidR="008E1FEB" w:rsidRDefault="008E1FEB" w:rsidP="00616C1F">
      <w:pPr>
        <w:autoSpaceDE w:val="0"/>
        <w:autoSpaceDN w:val="0"/>
        <w:adjustRightInd w:val="0"/>
        <w:spacing w:after="120" w:line="240" w:lineRule="auto"/>
        <w:ind w:left="500" w:hanging="500"/>
      </w:pPr>
    </w:p>
    <w:p w:rsidR="00616C1F" w:rsidRPr="00044FEE" w:rsidRDefault="00616C1F" w:rsidP="00616C1F">
      <w:pPr>
        <w:autoSpaceDE w:val="0"/>
        <w:autoSpaceDN w:val="0"/>
        <w:adjustRightInd w:val="0"/>
        <w:spacing w:after="120" w:line="240" w:lineRule="auto"/>
        <w:ind w:left="500" w:hanging="500"/>
      </w:pPr>
      <w:r w:rsidRPr="00044FEE">
        <w:lastRenderedPageBreak/>
        <w:t xml:space="preserve">Fuller, Daniel P., </w:t>
      </w:r>
      <w:r w:rsidRPr="00044FEE">
        <w:rPr>
          <w:i/>
        </w:rPr>
        <w:t xml:space="preserve">Gospel and Law: </w:t>
      </w:r>
      <w:r w:rsidRPr="00044FEE">
        <w:rPr>
          <w:i/>
          <w:lang w:val="en-US"/>
        </w:rPr>
        <w:t>contrast or continuum? : The hermeneutics of dispensationalism and covenant theology</w:t>
      </w:r>
      <w:r w:rsidRPr="00044FEE">
        <w:rPr>
          <w:lang w:val="en-US"/>
        </w:rPr>
        <w:t xml:space="preserve"> (Grand Rapids: Eerdmans, 1980).</w:t>
      </w:r>
    </w:p>
    <w:p w:rsidR="00616C1F" w:rsidRPr="00044FEE" w:rsidRDefault="00616C1F" w:rsidP="00616C1F">
      <w:pPr>
        <w:pStyle w:val="FootnoteText"/>
        <w:spacing w:after="120"/>
        <w:ind w:left="500"/>
        <w:rPr>
          <w:rFonts w:ascii="Perpetua" w:hAnsi="Perpetua"/>
          <w:sz w:val="22"/>
          <w:szCs w:val="22"/>
        </w:rPr>
      </w:pPr>
      <w:r w:rsidRPr="00044FEE">
        <w:rPr>
          <w:rFonts w:ascii="Perpetua" w:hAnsi="Perpetua"/>
          <w:sz w:val="22"/>
          <w:szCs w:val="22"/>
        </w:rPr>
        <w:t xml:space="preserve">— ‘Progressive Dispensationalism and the Law/Gospel Contrast: A Case Study in Biblical Theology’, in Scott J. Hafemann (ed.) </w:t>
      </w:r>
      <w:r w:rsidRPr="00044FEE">
        <w:rPr>
          <w:rFonts w:ascii="Perpetua" w:hAnsi="Perpetua"/>
          <w:i/>
          <w:sz w:val="22"/>
          <w:szCs w:val="22"/>
        </w:rPr>
        <w:t>Biblical Theology: Retrospect and Prospect</w:t>
      </w:r>
      <w:r w:rsidRPr="00044FEE">
        <w:rPr>
          <w:rFonts w:ascii="Perpetua" w:hAnsi="Perpetua"/>
          <w:sz w:val="22"/>
          <w:szCs w:val="22"/>
        </w:rPr>
        <w:t xml:space="preserve"> (Downers Grove: InterVarsity Press, 2002).</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Gaebelein, A. C., </w:t>
      </w:r>
      <w:r w:rsidRPr="00044FEE">
        <w:rPr>
          <w:rFonts w:ascii="Perpetua" w:hAnsi="Perpetua"/>
          <w:i/>
          <w:sz w:val="22"/>
          <w:szCs w:val="22"/>
        </w:rPr>
        <w:t>C. I. Scofield: The History of the Scofield Reference Bible</w:t>
      </w:r>
      <w:r w:rsidRPr="00044FEE">
        <w:rPr>
          <w:rFonts w:ascii="Perpetua" w:hAnsi="Perpetua"/>
          <w:sz w:val="22"/>
          <w:szCs w:val="22"/>
        </w:rPr>
        <w:t>, The Brethren Writers Hall of Fame &lt;http://www.newble.co.uk/writers/Scofield/refbibhist.html&gt; [accessed 15.3.11].</w:t>
      </w:r>
      <w:r w:rsidRPr="00044FEE">
        <w:rPr>
          <w:rStyle w:val="FootnoteReference"/>
          <w:rFonts w:ascii="Perpetua" w:hAnsi="Perpetua"/>
          <w:sz w:val="22"/>
          <w:szCs w:val="22"/>
        </w:rPr>
        <w:footnoteReference w:id="100"/>
      </w:r>
      <w:r w:rsidRPr="00044FEE">
        <w:rPr>
          <w:rFonts w:ascii="Perpetua" w:hAnsi="Perpetua"/>
          <w:sz w:val="22"/>
          <w:szCs w:val="22"/>
        </w:rPr>
        <w:t xml:space="preserve">  </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Girdlestone, R. B., </w:t>
      </w:r>
      <w:r w:rsidRPr="00044FEE">
        <w:rPr>
          <w:rFonts w:ascii="Perpetua" w:hAnsi="Perpetua"/>
          <w:i/>
          <w:sz w:val="22"/>
          <w:szCs w:val="22"/>
        </w:rPr>
        <w:t>The Grammar of Prophecy: A Systematic Guide to Bible Prophecy</w:t>
      </w:r>
      <w:r w:rsidRPr="00044FEE">
        <w:rPr>
          <w:rFonts w:ascii="Perpetua" w:hAnsi="Perpetua"/>
          <w:sz w:val="22"/>
          <w:szCs w:val="22"/>
        </w:rPr>
        <w:t xml:space="preserve"> </w:t>
      </w:r>
    </w:p>
    <w:p w:rsidR="00616C1F" w:rsidRPr="00044FEE" w:rsidRDefault="00616C1F" w:rsidP="00616C1F">
      <w:pPr>
        <w:pStyle w:val="FootnoteText"/>
        <w:spacing w:after="120"/>
        <w:ind w:left="499" w:hanging="73"/>
        <w:rPr>
          <w:rFonts w:ascii="Perpetua" w:hAnsi="Perpetua"/>
          <w:sz w:val="22"/>
          <w:szCs w:val="22"/>
        </w:rPr>
      </w:pPr>
      <w:r w:rsidRPr="00044FEE">
        <w:rPr>
          <w:rFonts w:ascii="Perpetua" w:hAnsi="Perpetua"/>
          <w:sz w:val="22"/>
          <w:szCs w:val="22"/>
        </w:rPr>
        <w:t>(Grand Rapids, Michigan: Kregel Publications, 1955).</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Goldingay, John E., </w:t>
      </w:r>
      <w:r w:rsidRPr="00044FEE">
        <w:rPr>
          <w:rFonts w:ascii="Perpetua" w:hAnsi="Perpetua"/>
          <w:i/>
          <w:sz w:val="22"/>
          <w:szCs w:val="22"/>
        </w:rPr>
        <w:t xml:space="preserve">Daniel </w:t>
      </w:r>
      <w:r w:rsidRPr="00044FEE">
        <w:rPr>
          <w:rFonts w:ascii="Perpetua" w:hAnsi="Perpetua"/>
          <w:sz w:val="22"/>
          <w:szCs w:val="22"/>
        </w:rPr>
        <w:t>(Word Biblical Commentary, Vol. 30, Gen. Eds David A. Hubbard and Glenn W. Barker, Old Testament Editor, John D. W. Watts, Dallas: Word Books, 1989).</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rPr>
        <w:t>Goodwin, E. P., ‘</w:t>
      </w:r>
      <w:r w:rsidRPr="00044FEE">
        <w:rPr>
          <w:rStyle w:val="ind"/>
          <w:rFonts w:ascii="Perpetua" w:hAnsi="Perpetua"/>
        </w:rPr>
        <w:t>The Return of the Lord, Personal and Literal</w:t>
      </w:r>
      <w:r w:rsidRPr="00044FEE">
        <w:rPr>
          <w:rFonts w:ascii="Perpetua" w:hAnsi="Perpetua"/>
          <w:sz w:val="22"/>
        </w:rPr>
        <w:t xml:space="preserve">’, </w:t>
      </w:r>
      <w:r w:rsidRPr="00044FEE">
        <w:rPr>
          <w:rFonts w:ascii="Perpetua" w:hAnsi="Perpetua"/>
          <w:i/>
          <w:sz w:val="22"/>
        </w:rPr>
        <w:t>Prophetic Studies of the International Prophetic Conference, Chicago, November, 1886</w:t>
      </w:r>
      <w:r w:rsidRPr="00044FEE">
        <w:rPr>
          <w:rFonts w:ascii="Perpetua" w:hAnsi="Perpetua"/>
          <w:sz w:val="22"/>
        </w:rPr>
        <w:t xml:space="preserve"> </w:t>
      </w:r>
      <w:r w:rsidRPr="00044FEE">
        <w:rPr>
          <w:rFonts w:ascii="Perpetua" w:hAnsi="Perpetua"/>
          <w:sz w:val="22"/>
          <w:szCs w:val="22"/>
        </w:rPr>
        <w:t>(Chicago: F. H. Revell, 1886).</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Gottwald, Norman K., </w:t>
      </w:r>
      <w:r w:rsidRPr="00044FEE">
        <w:rPr>
          <w:rFonts w:ascii="Perpetua" w:hAnsi="Perpetua"/>
          <w:i/>
          <w:sz w:val="22"/>
          <w:szCs w:val="22"/>
        </w:rPr>
        <w:t>The Tribes of Yahweh: A Sociology of Religion of Liberated Israel 1250-1050 B.C.E</w:t>
      </w:r>
      <w:r w:rsidRPr="00044FEE">
        <w:rPr>
          <w:rFonts w:ascii="Perpetua" w:hAnsi="Perpetua"/>
          <w:sz w:val="22"/>
          <w:szCs w:val="22"/>
        </w:rPr>
        <w:t xml:space="preserve">. </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(First British edition; London: SCM Press Ltd., 1980).</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Goulder, Michael D., </w:t>
      </w:r>
      <w:r w:rsidRPr="00044FEE">
        <w:rPr>
          <w:rFonts w:ascii="Perpetua" w:hAnsi="Perpetua"/>
          <w:i/>
          <w:sz w:val="22"/>
          <w:szCs w:val="22"/>
        </w:rPr>
        <w:t xml:space="preserve">Luke A New Paradigm II </w:t>
      </w:r>
      <w:r w:rsidRPr="00044FEE">
        <w:rPr>
          <w:rFonts w:ascii="Perpetua" w:hAnsi="Perpetua"/>
          <w:sz w:val="22"/>
          <w:szCs w:val="22"/>
        </w:rPr>
        <w:t>(David Hill, [Executive Editor, Supplement Series], David E. Orton [Publishing Editor], Journal for the Study of the New Testament Supplement Series, 20, Sheffield: JSOT Press, 1989).</w:t>
      </w:r>
    </w:p>
    <w:p w:rsidR="00616C1F" w:rsidRPr="00044FEE" w:rsidRDefault="00616C1F" w:rsidP="000E3118">
      <w:pPr>
        <w:spacing w:after="120" w:line="240" w:lineRule="auto"/>
      </w:pPr>
      <w:r w:rsidRPr="000E3118">
        <w:rPr>
          <w:spacing w:val="-2"/>
        </w:rPr>
        <w:t xml:space="preserve">Hagee, John, </w:t>
      </w:r>
      <w:r w:rsidRPr="000E3118">
        <w:rPr>
          <w:i/>
          <w:spacing w:val="-2"/>
        </w:rPr>
        <w:t xml:space="preserve">Jerusalem Countdown (Revised and Updated): A Prelude to War, </w:t>
      </w:r>
      <w:r w:rsidRPr="000E3118">
        <w:rPr>
          <w:spacing w:val="-2"/>
        </w:rPr>
        <w:t>(Lake Mary: Frontline, 2006, 2007</w:t>
      </w:r>
      <w:r w:rsidRPr="00044FEE">
        <w:t>).</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Hartmann, Louis F. and Alexander A. DiLella, </w:t>
      </w:r>
      <w:r w:rsidRPr="00044FEE">
        <w:rPr>
          <w:rFonts w:ascii="Perpetua" w:hAnsi="Perpetua"/>
          <w:i/>
          <w:sz w:val="22"/>
          <w:szCs w:val="22"/>
        </w:rPr>
        <w:t>The Book of Daniel</w:t>
      </w:r>
      <w:r w:rsidRPr="00044FEE">
        <w:rPr>
          <w:rFonts w:ascii="Perpetua" w:hAnsi="Perpetua"/>
          <w:sz w:val="22"/>
          <w:szCs w:val="22"/>
        </w:rPr>
        <w:t xml:space="preserve"> (The Anchor Bible 23, William Foxwell Albright and David Noel Freeman, [gen. eds]; New York: Doubleday &amp; Company, Inc., 1978).</w:t>
      </w:r>
    </w:p>
    <w:p w:rsidR="00616C1F" w:rsidRPr="00044FEE" w:rsidRDefault="00616C1F" w:rsidP="00D16A42">
      <w:pPr>
        <w:spacing w:after="0" w:line="240" w:lineRule="auto"/>
        <w:rPr>
          <w:i/>
        </w:rPr>
      </w:pPr>
      <w:r w:rsidRPr="00044FEE">
        <w:t xml:space="preserve">Henzel, Ronald M., </w:t>
      </w:r>
      <w:r w:rsidRPr="00044FEE">
        <w:rPr>
          <w:i/>
        </w:rPr>
        <w:t xml:space="preserve">Darby, Dualism &amp; Decline of Dispensationalism: Reassessing the Nineteenth Century </w:t>
      </w:r>
    </w:p>
    <w:p w:rsidR="00616C1F" w:rsidRPr="00044FEE" w:rsidRDefault="00616C1F" w:rsidP="00616C1F">
      <w:pPr>
        <w:spacing w:after="120" w:line="240" w:lineRule="auto"/>
        <w:ind w:left="567"/>
      </w:pPr>
      <w:r w:rsidRPr="00044FEE">
        <w:rPr>
          <w:i/>
        </w:rPr>
        <w:t>Roots of a Twentieth Century Prophetic Movement for the Twenty-first Century</w:t>
      </w:r>
      <w:r w:rsidRPr="00044FEE">
        <w:t xml:space="preserve"> (Tucson, Arizona: Fenestra Books, 2003).</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Herzl, Theodore, </w:t>
      </w:r>
      <w:r w:rsidRPr="00044FEE">
        <w:rPr>
          <w:rFonts w:ascii="Perpetua" w:hAnsi="Perpetua"/>
          <w:i/>
          <w:sz w:val="22"/>
          <w:szCs w:val="22"/>
        </w:rPr>
        <w:t>The Jewish State (1896)</w:t>
      </w:r>
      <w:r w:rsidRPr="00044FEE">
        <w:rPr>
          <w:rFonts w:ascii="Perpetua" w:hAnsi="Perpetua"/>
          <w:sz w:val="22"/>
          <w:szCs w:val="22"/>
        </w:rPr>
        <w:t xml:space="preserve"> (trans. Sylvie D'Avigdor, 1946) &lt;http://www.jewishvirtuallibrary.org/jsource/Zionism/herzl2.html&gt; [accessed 24.6.11]. </w:t>
      </w:r>
    </w:p>
    <w:p w:rsidR="00616C1F" w:rsidRPr="00044FEE" w:rsidRDefault="00616C1F" w:rsidP="003B66AB">
      <w:pPr>
        <w:pStyle w:val="EndnoteText"/>
        <w:spacing w:after="120"/>
        <w:ind w:left="567" w:hanging="567"/>
        <w:rPr>
          <w:sz w:val="22"/>
          <w:szCs w:val="22"/>
        </w:rPr>
      </w:pPr>
      <w:r w:rsidRPr="00044FEE">
        <w:rPr>
          <w:sz w:val="22"/>
          <w:szCs w:val="22"/>
        </w:rPr>
        <w:t xml:space="preserve">Hill, Craig C., ‘God’s Righteousness Evident in the Treatment of Israel (9:1- 11:36) in ‘Romans’, </w:t>
      </w:r>
      <w:r w:rsidRPr="00044FEE">
        <w:rPr>
          <w:i/>
          <w:sz w:val="22"/>
          <w:szCs w:val="22"/>
        </w:rPr>
        <w:t>The Oxford Bible Commentary</w:t>
      </w:r>
      <w:r w:rsidRPr="00044FEE">
        <w:rPr>
          <w:sz w:val="22"/>
          <w:szCs w:val="22"/>
        </w:rPr>
        <w:t>, John Barton and John Muddiman (eds.), (Oxford: Oxford University Press, 2001).</w:t>
      </w:r>
    </w:p>
    <w:p w:rsidR="00616C1F" w:rsidRPr="00044FEE" w:rsidRDefault="00616C1F" w:rsidP="00616C1F">
      <w:pPr>
        <w:pStyle w:val="EndnoteText"/>
        <w:spacing w:after="120"/>
        <w:ind w:left="567" w:hanging="567"/>
        <w:rPr>
          <w:sz w:val="22"/>
          <w:szCs w:val="22"/>
        </w:rPr>
      </w:pPr>
      <w:r w:rsidRPr="00044FEE">
        <w:rPr>
          <w:sz w:val="22"/>
          <w:szCs w:val="22"/>
        </w:rPr>
        <w:t xml:space="preserve">Hilborn, David, ‘Evangelicalism: A Brief Definition’, Evangelical Alliance &lt;http://www.eauk.org/connect/about-us/upload/Evangelicalism-a-brief-definition.pdf&gt; [accessed 13/6/17]. </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Hindson, Edward, </w:t>
      </w:r>
      <w:r w:rsidRPr="00044FEE">
        <w:rPr>
          <w:rFonts w:ascii="Perpetua" w:hAnsi="Perpetua"/>
          <w:i/>
          <w:sz w:val="22"/>
          <w:szCs w:val="22"/>
        </w:rPr>
        <w:t>The Book of Revelation: Unlocking the Future</w:t>
      </w:r>
      <w:r w:rsidRPr="00044FEE">
        <w:rPr>
          <w:rFonts w:ascii="Perpetua" w:hAnsi="Perpetua"/>
          <w:sz w:val="22"/>
          <w:szCs w:val="22"/>
        </w:rPr>
        <w:t xml:space="preserve"> (Twenty-First Century Biblical Commentary Series, Mal Couch and Ed Hindson, [gen. eds]; Chattanooga, Tennessee: AMG Publishers, 2002).</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Holsteen, Nathan D., ‘The Hermeneutic of Dispensationalism’ in D. Jeffrey Bingham and Glenn R. Kreider (gen. eds), </w:t>
      </w:r>
      <w:r w:rsidRPr="00044FEE">
        <w:rPr>
          <w:rFonts w:ascii="Perpetua" w:hAnsi="Perpetua"/>
          <w:i/>
          <w:sz w:val="22"/>
          <w:szCs w:val="22"/>
        </w:rPr>
        <w:t>Dispensationalism and the History of Redemption: A Developing and Diverse Tradition</w:t>
      </w:r>
      <w:r w:rsidRPr="00044FEE">
        <w:rPr>
          <w:rFonts w:ascii="Perpetua" w:hAnsi="Perpetua"/>
          <w:sz w:val="22"/>
          <w:szCs w:val="22"/>
        </w:rPr>
        <w:t xml:space="preserve"> (Chicago: Moody Publishers, 2015).</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Horrell, David, </w:t>
      </w:r>
      <w:r w:rsidRPr="00044FEE">
        <w:rPr>
          <w:rFonts w:ascii="Perpetua" w:hAnsi="Perpetua"/>
          <w:i/>
          <w:sz w:val="22"/>
          <w:szCs w:val="22"/>
        </w:rPr>
        <w:t>The Epistles of Peter and Jude</w:t>
      </w:r>
      <w:r w:rsidRPr="00044FEE">
        <w:rPr>
          <w:rFonts w:ascii="Perpetua" w:hAnsi="Perpetua"/>
          <w:sz w:val="22"/>
          <w:szCs w:val="22"/>
        </w:rPr>
        <w:t xml:space="preserve"> (Peterborough: Epworth Press, 1998).</w:t>
      </w:r>
    </w:p>
    <w:p w:rsidR="00616C1F" w:rsidRPr="00044FEE" w:rsidRDefault="00616C1F" w:rsidP="00411DBE">
      <w:pPr>
        <w:pStyle w:val="FootnoteText"/>
        <w:spacing w:after="120"/>
        <w:ind w:left="499" w:hanging="499"/>
        <w:rPr>
          <w:rFonts w:ascii="Perpetua" w:hAnsi="Perpetua"/>
          <w:sz w:val="22"/>
          <w:szCs w:val="22"/>
        </w:rPr>
      </w:pPr>
      <w:r w:rsidRPr="00044FEE">
        <w:rPr>
          <w:rFonts w:ascii="Perpetua" w:hAnsi="Perpetua"/>
          <w:sz w:val="22"/>
          <w:szCs w:val="22"/>
        </w:rPr>
        <w:t xml:space="preserve">Hyatt, J. Philip, ‘Amos’ in Matthew Black (General Editor and New Testament Editor) and H. H. Rowley, (Old Testament Editor), </w:t>
      </w:r>
      <w:r w:rsidRPr="00044FEE">
        <w:rPr>
          <w:rFonts w:ascii="Perpetua" w:hAnsi="Perpetua"/>
          <w:i/>
          <w:sz w:val="22"/>
          <w:szCs w:val="22"/>
        </w:rPr>
        <w:t>Peake’s Commentary on the Bible</w:t>
      </w:r>
      <w:r w:rsidRPr="00044FEE">
        <w:rPr>
          <w:rFonts w:ascii="Perpetua" w:hAnsi="Perpetua"/>
          <w:sz w:val="22"/>
          <w:szCs w:val="22"/>
        </w:rPr>
        <w:t xml:space="preserve"> (Wokingham: Van Nostran</w:t>
      </w:r>
      <w:r>
        <w:rPr>
          <w:rFonts w:ascii="Perpetua" w:hAnsi="Perpetua"/>
          <w:sz w:val="22"/>
          <w:szCs w:val="22"/>
        </w:rPr>
        <w:t>d Reinhold (UK) Co. Ltd, 1962).</w:t>
      </w:r>
    </w:p>
    <w:p w:rsidR="006E0074" w:rsidRDefault="006E0074" w:rsidP="00D16A42">
      <w:pPr>
        <w:spacing w:after="0" w:line="240" w:lineRule="auto"/>
        <w:ind w:left="544" w:hanging="544"/>
      </w:pPr>
    </w:p>
    <w:p w:rsidR="00616C1F" w:rsidRPr="00044FEE" w:rsidRDefault="00616C1F" w:rsidP="00D16A42">
      <w:pPr>
        <w:spacing w:after="0" w:line="240" w:lineRule="auto"/>
        <w:ind w:left="544" w:hanging="544"/>
      </w:pPr>
      <w:r w:rsidRPr="00044FEE">
        <w:lastRenderedPageBreak/>
        <w:t>Ice, Thomas, ‘A Short History of Dispensationalism’, Pre-Trib Research Center</w:t>
      </w:r>
    </w:p>
    <w:p w:rsidR="00616C1F" w:rsidRPr="00044FEE" w:rsidRDefault="00616C1F" w:rsidP="00D16A42">
      <w:pPr>
        <w:spacing w:after="120" w:line="240" w:lineRule="auto"/>
        <w:ind w:left="544" w:firstLine="23"/>
      </w:pPr>
      <w:r w:rsidRPr="00044FEE">
        <w:t>&lt;http://www.pre-trib.org/data/pdf/Ice-AShortHistoryOfDispen.pdf&gt; [accessed 1.6.17].</w:t>
      </w:r>
    </w:p>
    <w:p w:rsidR="00616C1F" w:rsidRPr="00044FEE" w:rsidRDefault="00616C1F" w:rsidP="00616C1F">
      <w:pPr>
        <w:spacing w:after="120" w:line="240" w:lineRule="auto"/>
        <w:ind w:left="546" w:hanging="546"/>
        <w:rPr>
          <w:bCs/>
          <w:szCs w:val="24"/>
          <w:lang w:eastAsia="en-GB"/>
        </w:rPr>
      </w:pPr>
      <w:r w:rsidRPr="00044FEE">
        <w:t xml:space="preserve">            —  </w:t>
      </w:r>
      <w:r w:rsidRPr="00044FEE">
        <w:rPr>
          <w:bCs/>
          <w:szCs w:val="24"/>
          <w:lang w:eastAsia="en-GB"/>
        </w:rPr>
        <w:t>‘Dispensationalism, Date-Setting, and Distortion’, Chafer Theological Seminary &lt;http://www.chafer.edu/date-setting-distortion&gt; [accessed 1.6.17]</w:t>
      </w:r>
      <w:r w:rsidR="006E0074">
        <w:rPr>
          <w:bCs/>
          <w:szCs w:val="24"/>
          <w:lang w:eastAsia="en-GB"/>
        </w:rPr>
        <w:t>.</w:t>
      </w:r>
    </w:p>
    <w:p w:rsidR="00616C1F" w:rsidRPr="00044FEE" w:rsidRDefault="00616C1F" w:rsidP="00D16A42">
      <w:pPr>
        <w:spacing w:after="0" w:line="240" w:lineRule="auto"/>
        <w:ind w:left="544" w:hanging="544"/>
      </w:pPr>
      <w:r>
        <w:t xml:space="preserve">        </w:t>
      </w:r>
      <w:r w:rsidRPr="00044FEE">
        <w:t xml:space="preserve">     —  ‘Dispensational Hermeneutics’, Pre-trib Research Center </w:t>
      </w:r>
    </w:p>
    <w:p w:rsidR="00616C1F" w:rsidRPr="00044FEE" w:rsidRDefault="00616C1F" w:rsidP="00616C1F">
      <w:pPr>
        <w:spacing w:after="120" w:line="240" w:lineRule="auto"/>
        <w:ind w:left="546" w:firstLine="21"/>
      </w:pPr>
      <w:r w:rsidRPr="00044FEE">
        <w:t>&lt;http://www.pre-trib.org/data/pdf/Ice-DispensationalHermene.pdf&gt; [accessed 16.6.17].</w:t>
      </w:r>
    </w:p>
    <w:p w:rsidR="00616C1F" w:rsidRDefault="00616C1F" w:rsidP="00D16A42">
      <w:pPr>
        <w:spacing w:after="0" w:line="240" w:lineRule="auto"/>
      </w:pPr>
      <w:r>
        <w:t xml:space="preserve">        </w:t>
      </w:r>
      <w:r w:rsidRPr="00044FEE">
        <w:t xml:space="preserve">     —  ‘Morgan Edwards: A Pre-Darby Rapturist’, </w:t>
      </w:r>
      <w:r w:rsidRPr="00044FEE">
        <w:rPr>
          <w:i/>
        </w:rPr>
        <w:t>Conservative Theological Journal</w:t>
      </w:r>
      <w:r w:rsidRPr="00044FEE">
        <w:t xml:space="preserve"> CTJ01:1 </w:t>
      </w:r>
    </w:p>
    <w:p w:rsidR="00616C1F" w:rsidRPr="00044FEE" w:rsidRDefault="00616C1F" w:rsidP="00616C1F">
      <w:pPr>
        <w:spacing w:after="120" w:line="240" w:lineRule="auto"/>
        <w:ind w:firstLine="567"/>
      </w:pPr>
      <w:r w:rsidRPr="00044FEE">
        <w:t>(Apr. 1997), p. 4. &lt;https://www.galaxie.com/article/ctj01-1-02&gt; [accessed 12.6.17].</w:t>
      </w:r>
    </w:p>
    <w:p w:rsidR="00616C1F" w:rsidRPr="006E0074" w:rsidRDefault="00616C1F" w:rsidP="00616C1F">
      <w:pPr>
        <w:pStyle w:val="FootnoteText"/>
        <w:spacing w:after="120"/>
        <w:ind w:left="500" w:hanging="500"/>
        <w:rPr>
          <w:rFonts w:ascii="Perpetua" w:hAnsi="Perpetua"/>
          <w:sz w:val="22"/>
          <w:szCs w:val="22"/>
        </w:rPr>
      </w:pPr>
      <w:r w:rsidRPr="006E0074">
        <w:rPr>
          <w:rFonts w:ascii="Perpetua" w:hAnsi="Perpetua"/>
          <w:sz w:val="22"/>
          <w:szCs w:val="22"/>
        </w:rPr>
        <w:t xml:space="preserve">Ironside, Harry Allen, </w:t>
      </w:r>
      <w:r w:rsidRPr="006E0074">
        <w:rPr>
          <w:rFonts w:ascii="Perpetua" w:hAnsi="Perpetua"/>
          <w:i/>
          <w:sz w:val="22"/>
          <w:szCs w:val="22"/>
        </w:rPr>
        <w:t>A Historical Sketch of the Brethren Movement</w:t>
      </w:r>
      <w:r w:rsidRPr="006E0074">
        <w:rPr>
          <w:rFonts w:ascii="Perpetua" w:hAnsi="Perpetua"/>
          <w:sz w:val="22"/>
          <w:szCs w:val="22"/>
        </w:rPr>
        <w:t xml:space="preserve"> (Revised Edition, January 1985, Neptune, New Jersey: Loizeaux Brothers, Second Printing January 1988, Earlier Edition, Zondervan, 1942).</w:t>
      </w:r>
    </w:p>
    <w:p w:rsidR="006E0074" w:rsidRDefault="00616C1F" w:rsidP="006E0074">
      <w:pPr>
        <w:pStyle w:val="FootnoteText"/>
        <w:ind w:left="499" w:hanging="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The Mysteries of God</w:t>
      </w:r>
      <w:r w:rsidRPr="00044FEE">
        <w:rPr>
          <w:rFonts w:ascii="Perpetua" w:hAnsi="Perpetua"/>
          <w:sz w:val="22"/>
          <w:szCs w:val="22"/>
        </w:rPr>
        <w:t xml:space="preserve">, Bartimaeus Alliance of the Blind, Inc. </w:t>
      </w:r>
    </w:p>
    <w:p w:rsidR="00616C1F" w:rsidRPr="00044FEE" w:rsidRDefault="00616C1F" w:rsidP="006E0074">
      <w:pPr>
        <w:pStyle w:val="FootnoteText"/>
        <w:spacing w:after="120"/>
        <w:ind w:left="500" w:firstLine="67"/>
        <w:rPr>
          <w:rFonts w:ascii="Perpetua" w:hAnsi="Perpetua"/>
          <w:sz w:val="22"/>
          <w:szCs w:val="22"/>
        </w:rPr>
      </w:pPr>
      <w:r w:rsidRPr="00044FEE">
        <w:rPr>
          <w:rFonts w:ascii="Perpetua" w:hAnsi="Perpetua"/>
          <w:sz w:val="22"/>
          <w:szCs w:val="22"/>
        </w:rPr>
        <w:t xml:space="preserve">&lt;http://bartimaeus.us/pub_dom/the-mysteries-of-god.html&gt; [accessed 25.5.17]. </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Jacobson, David M., ‘Palestine and Israel’, </w:t>
      </w:r>
      <w:r w:rsidRPr="00044FEE">
        <w:rPr>
          <w:rFonts w:ascii="Perpetua" w:hAnsi="Perpetua"/>
          <w:i/>
          <w:sz w:val="22"/>
          <w:szCs w:val="22"/>
        </w:rPr>
        <w:t>Bulletin of the American Schools of Oriental Research</w:t>
      </w:r>
      <w:r w:rsidRPr="00044FEE">
        <w:rPr>
          <w:rFonts w:ascii="Perpetua" w:hAnsi="Perpetua"/>
          <w:sz w:val="22"/>
          <w:szCs w:val="22"/>
        </w:rPr>
        <w:t xml:space="preserve"> </w:t>
      </w:r>
      <w:r w:rsidRPr="00044FEE">
        <w:rPr>
          <w:rFonts w:ascii="Perpetua" w:hAnsi="Perpetua"/>
          <w:i/>
          <w:sz w:val="22"/>
          <w:szCs w:val="22"/>
        </w:rPr>
        <w:t>No. 313</w:t>
      </w:r>
      <w:r w:rsidRPr="00044FEE">
        <w:rPr>
          <w:rFonts w:ascii="Perpetua" w:hAnsi="Perpetua"/>
          <w:sz w:val="22"/>
          <w:szCs w:val="22"/>
        </w:rPr>
        <w:t xml:space="preserve">, </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(Feb. 1999), pp. 65-74  &lt;http://www.jstor.org/discover/10.2307/1357617?uid=3738032&amp;uid=2&amp;uid=4&amp;sid=21104237038797&gt; [accessed 1.7.14].</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Jewett, Robert and John Shelton Lawrence, </w:t>
      </w:r>
      <w:r w:rsidRPr="00044FEE">
        <w:rPr>
          <w:rFonts w:ascii="Perpetua" w:hAnsi="Perpetua"/>
          <w:i/>
          <w:sz w:val="22"/>
          <w:szCs w:val="22"/>
        </w:rPr>
        <w:t xml:space="preserve">Captain America and the Crusade Against Evil: The Dilemma of Zealous Nationalism </w:t>
      </w:r>
      <w:r w:rsidRPr="00044FEE">
        <w:rPr>
          <w:rFonts w:ascii="Perpetua" w:hAnsi="Perpetua"/>
          <w:sz w:val="22"/>
          <w:szCs w:val="22"/>
        </w:rPr>
        <w:t>(Grand Rapids: William B. Eerdmans Publishing Company, 2003).</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Karleen, Paul S.  </w:t>
      </w:r>
      <w:r w:rsidRPr="00044FEE">
        <w:rPr>
          <w:rFonts w:ascii="Perpetua" w:hAnsi="Perpetua"/>
          <w:i/>
          <w:sz w:val="22"/>
          <w:szCs w:val="22"/>
        </w:rPr>
        <w:t>The Handbook to Bible Study, With a Guide to the Scofield Study System</w:t>
      </w:r>
      <w:r w:rsidRPr="00044FEE">
        <w:rPr>
          <w:rFonts w:ascii="Perpetua" w:hAnsi="Perpetua"/>
          <w:sz w:val="22"/>
          <w:szCs w:val="22"/>
        </w:rPr>
        <w:t xml:space="preserve"> </w:t>
      </w:r>
    </w:p>
    <w:p w:rsidR="00616C1F"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(New York: Oxford University Press, 1987).</w:t>
      </w:r>
    </w:p>
    <w:p w:rsidR="004934C7" w:rsidRPr="00572D43" w:rsidRDefault="004934C7" w:rsidP="004934C7">
      <w:pPr>
        <w:pStyle w:val="FootnoteText"/>
        <w:spacing w:after="120"/>
        <w:ind w:left="500" w:hanging="500"/>
        <w:rPr>
          <w:rFonts w:ascii="Perpetua" w:hAnsi="Perpetua"/>
          <w:sz w:val="22"/>
          <w:szCs w:val="22"/>
        </w:rPr>
      </w:pPr>
      <w:r w:rsidRPr="00572D43">
        <w:rPr>
          <w:rFonts w:ascii="Perpetua" w:hAnsi="Perpetua"/>
          <w:sz w:val="22"/>
          <w:szCs w:val="22"/>
        </w:rPr>
        <w:t xml:space="preserve">Kellogg, Revd S. H., </w:t>
      </w:r>
      <w:r w:rsidRPr="00572D43">
        <w:rPr>
          <w:rFonts w:ascii="Perpetua" w:hAnsi="Perpetua"/>
          <w:bCs/>
          <w:kern w:val="36"/>
          <w:sz w:val="22"/>
          <w:szCs w:val="22"/>
          <w:lang w:eastAsia="en-GB"/>
        </w:rPr>
        <w:t>‘Premillennialism</w:t>
      </w:r>
      <w:r>
        <w:rPr>
          <w:rFonts w:ascii="Perpetua" w:hAnsi="Perpetua"/>
          <w:bCs/>
          <w:kern w:val="36"/>
          <w:sz w:val="22"/>
          <w:szCs w:val="22"/>
          <w:lang w:eastAsia="en-GB"/>
        </w:rPr>
        <w:t>:</w:t>
      </w:r>
      <w:r w:rsidRPr="00572D43">
        <w:rPr>
          <w:rFonts w:ascii="Perpetua" w:hAnsi="Perpetua"/>
          <w:bCs/>
          <w:kern w:val="36"/>
          <w:sz w:val="22"/>
          <w:szCs w:val="22"/>
          <w:lang w:eastAsia="en-GB"/>
        </w:rPr>
        <w:t xml:space="preserve"> Its Relations to Doctrine and Practice’, </w:t>
      </w:r>
      <w:r w:rsidRPr="00572D43">
        <w:rPr>
          <w:rFonts w:ascii="Perpetua" w:hAnsi="Perpetua"/>
          <w:bCs/>
          <w:i/>
          <w:kern w:val="36"/>
          <w:sz w:val="22"/>
          <w:szCs w:val="22"/>
          <w:lang w:eastAsia="en-GB"/>
        </w:rPr>
        <w:t>Bibliotheca Sacra</w:t>
      </w:r>
      <w:r w:rsidRPr="00572D43">
        <w:rPr>
          <w:rFonts w:ascii="Perpetua" w:hAnsi="Perpetua"/>
          <w:bCs/>
          <w:kern w:val="36"/>
          <w:sz w:val="22"/>
          <w:szCs w:val="22"/>
          <w:lang w:eastAsia="en-GB"/>
        </w:rPr>
        <w:t xml:space="preserve"> 45:178, April 1888.</w:t>
      </w:r>
    </w:p>
    <w:p w:rsidR="00616C1F" w:rsidRDefault="00616C1F" w:rsidP="00D16A42">
      <w:pPr>
        <w:spacing w:after="0" w:line="240" w:lineRule="auto"/>
        <w:ind w:left="539" w:hanging="539"/>
      </w:pPr>
      <w:r w:rsidRPr="00044FEE">
        <w:t xml:space="preserve">Kraus, C. Norman, </w:t>
      </w:r>
      <w:r w:rsidRPr="00044FEE">
        <w:rPr>
          <w:i/>
        </w:rPr>
        <w:t>Dispensationalism in America: Its Rise and Development</w:t>
      </w:r>
      <w:r w:rsidRPr="00044FEE">
        <w:t xml:space="preserve"> </w:t>
      </w:r>
    </w:p>
    <w:p w:rsidR="00616C1F" w:rsidRPr="00044FEE" w:rsidRDefault="00616C1F" w:rsidP="00616C1F">
      <w:pPr>
        <w:spacing w:after="120" w:line="240" w:lineRule="auto"/>
        <w:ind w:left="539" w:firstLine="28"/>
      </w:pPr>
      <w:r w:rsidRPr="00044FEE">
        <w:t>(Richmond, Virginia: John Knox Press, 1958).</w:t>
      </w:r>
    </w:p>
    <w:p w:rsidR="00616C1F" w:rsidRPr="00044FEE" w:rsidRDefault="00616C1F" w:rsidP="00616C1F">
      <w:pPr>
        <w:spacing w:after="120" w:line="240" w:lineRule="auto"/>
        <w:ind w:left="539" w:hanging="539"/>
      </w:pPr>
      <w:r w:rsidRPr="00044FEE">
        <w:t>Kraus, Donald, the Executive Editor of Bibles at Oxford University Press USA, personal email communications, 25.6.13 and 25.9.13.</w:t>
      </w:r>
    </w:p>
    <w:p w:rsidR="00616C1F" w:rsidRPr="00044FEE" w:rsidRDefault="00616C1F" w:rsidP="00616C1F">
      <w:pPr>
        <w:spacing w:after="120" w:line="240" w:lineRule="auto"/>
        <w:ind w:left="539" w:hanging="539"/>
      </w:pPr>
      <w:r w:rsidRPr="00044FEE">
        <w:t xml:space="preserve">Kreider, Glenn R., ‘What is Dispensationalism’ in D. Jeffrey Bingham and Glenn R. Kreider (gen. eds) </w:t>
      </w:r>
      <w:r w:rsidRPr="00044FEE">
        <w:rPr>
          <w:i/>
        </w:rPr>
        <w:t>Dispensationalism and the History of Redemption: A Developing and Diverse Tradition</w:t>
      </w:r>
      <w:r w:rsidRPr="00044FEE">
        <w:t xml:space="preserve"> (Chicago: Moody Publishers, 2015). </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Lacocque, Andr</w:t>
      </w:r>
      <w:r w:rsidRPr="00044FEE">
        <w:rPr>
          <w:rFonts w:ascii="Perpetua" w:hAnsi="Perpetua" w:cs="Humnst777 Lt BT"/>
          <w:sz w:val="22"/>
          <w:szCs w:val="22"/>
          <w:lang w:val="en-US"/>
        </w:rPr>
        <w:t>é</w:t>
      </w:r>
      <w:r w:rsidRPr="00044FEE">
        <w:rPr>
          <w:rFonts w:ascii="Perpetua" w:hAnsi="Perpetua"/>
          <w:sz w:val="22"/>
          <w:szCs w:val="22"/>
        </w:rPr>
        <w:t xml:space="preserve">, </w:t>
      </w:r>
      <w:r w:rsidRPr="00044FEE">
        <w:rPr>
          <w:rFonts w:ascii="Perpetua" w:hAnsi="Perpetua"/>
          <w:i/>
          <w:sz w:val="22"/>
          <w:szCs w:val="22"/>
        </w:rPr>
        <w:t>The Book of Daniel</w:t>
      </w:r>
      <w:r w:rsidRPr="00044FEE">
        <w:rPr>
          <w:rFonts w:ascii="Perpetua" w:hAnsi="Perpetua"/>
          <w:sz w:val="22"/>
          <w:szCs w:val="22"/>
        </w:rPr>
        <w:t xml:space="preserve"> (trans. David Pellauer, English edition revised by the author, London: SPCK, 1979).</w:t>
      </w:r>
    </w:p>
    <w:p w:rsidR="00184EBF" w:rsidRDefault="00616C1F" w:rsidP="00184EBF">
      <w:pPr>
        <w:pStyle w:val="FootnoteText"/>
        <w:ind w:left="499" w:hanging="499"/>
        <w:rPr>
          <w:rFonts w:ascii="Perpetua" w:hAnsi="Perpetua"/>
          <w:sz w:val="22"/>
          <w:szCs w:val="22"/>
        </w:rPr>
      </w:pPr>
      <w:r w:rsidRPr="00044FEE">
        <w:rPr>
          <w:rFonts w:ascii="Perpetua" w:hAnsi="Perpetua"/>
          <w:sz w:val="22"/>
          <w:szCs w:val="22"/>
        </w:rPr>
        <w:t xml:space="preserve">Ladd, George Eldon, </w:t>
      </w:r>
      <w:r w:rsidRPr="00044FEE">
        <w:rPr>
          <w:rFonts w:ascii="Perpetua" w:hAnsi="Perpetua"/>
          <w:i/>
          <w:sz w:val="22"/>
          <w:szCs w:val="22"/>
        </w:rPr>
        <w:t>The Blessed Hope: A Biblical Study of the Second Advent and Rapture</w:t>
      </w:r>
      <w:r w:rsidRPr="00044FEE">
        <w:rPr>
          <w:rFonts w:ascii="Perpetua" w:hAnsi="Perpetua"/>
          <w:sz w:val="22"/>
          <w:szCs w:val="22"/>
        </w:rPr>
        <w:t xml:space="preserve"> (Grand Rapids: </w:t>
      </w:r>
    </w:p>
    <w:p w:rsidR="00616C1F" w:rsidRPr="00044FEE" w:rsidRDefault="00616C1F" w:rsidP="00184EBF">
      <w:pPr>
        <w:pStyle w:val="FootnoteText"/>
        <w:spacing w:after="120"/>
        <w:ind w:left="499" w:firstLine="68"/>
        <w:rPr>
          <w:rFonts w:ascii="Perpetua" w:hAnsi="Perpetua"/>
          <w:sz w:val="22"/>
          <w:szCs w:val="22"/>
        </w:rPr>
      </w:pPr>
      <w:r w:rsidRPr="00044FEE">
        <w:rPr>
          <w:rFonts w:ascii="Perpetua" w:hAnsi="Perpetua"/>
          <w:sz w:val="22"/>
          <w:szCs w:val="22"/>
        </w:rPr>
        <w:t>Wm. B. Eerdmans Publishing Co., 1956).</w:t>
      </w:r>
    </w:p>
    <w:p w:rsidR="00616C1F" w:rsidRPr="00044FEE" w:rsidRDefault="00616C1F" w:rsidP="00616C1F">
      <w:pPr>
        <w:pStyle w:val="FootnoteText"/>
        <w:spacing w:after="120"/>
        <w:ind w:left="499" w:hanging="499"/>
        <w:jc w:val="both"/>
        <w:rPr>
          <w:rFonts w:ascii="Perpetua" w:hAnsi="Perpetua"/>
          <w:sz w:val="22"/>
          <w:szCs w:val="22"/>
        </w:rPr>
      </w:pPr>
      <w:r w:rsidRPr="00044FEE">
        <w:rPr>
          <w:rFonts w:ascii="Perpetua" w:hAnsi="Perpetua"/>
          <w:sz w:val="22"/>
          <w:szCs w:val="22"/>
        </w:rPr>
        <w:t xml:space="preserve">LaHaye, Tim and Jerry B. Jenkins, </w:t>
      </w:r>
      <w:r w:rsidRPr="00044FEE">
        <w:rPr>
          <w:rFonts w:ascii="Perpetua" w:hAnsi="Perpetua"/>
          <w:i/>
          <w:sz w:val="22"/>
          <w:szCs w:val="22"/>
        </w:rPr>
        <w:t>Left Behind</w:t>
      </w:r>
      <w:r w:rsidRPr="00044FEE">
        <w:rPr>
          <w:rFonts w:ascii="Perpetua" w:hAnsi="Perpetua"/>
          <w:sz w:val="22"/>
          <w:szCs w:val="22"/>
        </w:rPr>
        <w:t xml:space="preserve"> (Wheaton, Illinois: Tyndale House, 1999).</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Lange, John Peter, </w:t>
      </w:r>
      <w:r w:rsidRPr="00044FEE">
        <w:rPr>
          <w:rFonts w:ascii="Perpetua" w:hAnsi="Perpetua"/>
          <w:i/>
          <w:sz w:val="22"/>
          <w:szCs w:val="22"/>
        </w:rPr>
        <w:t>A Commentary on the Holy Scriptures: Critical, Doctrinal and Homiletical, with Special Reference to Ministers and Students: The Revelation of St John the Divine</w:t>
      </w:r>
      <w:r w:rsidRPr="00044FEE">
        <w:rPr>
          <w:rFonts w:ascii="Perpetua" w:hAnsi="Perpetua"/>
          <w:sz w:val="22"/>
          <w:szCs w:val="22"/>
        </w:rPr>
        <w:t xml:space="preserve"> (trans. Philip Schaff, New York: Scribner, Armstrong &amp; Co., 1874).</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Lindsey, Hal, </w:t>
      </w:r>
      <w:r w:rsidRPr="00044FEE">
        <w:rPr>
          <w:rFonts w:ascii="Perpetua" w:hAnsi="Perpetua"/>
          <w:i/>
          <w:sz w:val="22"/>
          <w:szCs w:val="22"/>
        </w:rPr>
        <w:t>Planet Earth 2000 A.D.: Will Mankind Survive?</w:t>
      </w:r>
      <w:r w:rsidRPr="00044FEE">
        <w:rPr>
          <w:rFonts w:ascii="Perpetua" w:hAnsi="Perpetua"/>
          <w:sz w:val="22"/>
          <w:szCs w:val="22"/>
        </w:rPr>
        <w:t xml:space="preserve"> </w:t>
      </w:r>
    </w:p>
    <w:p w:rsidR="00616C1F" w:rsidRPr="00044FEE" w:rsidRDefault="00616C1F" w:rsidP="00616C1F">
      <w:pPr>
        <w:pStyle w:val="FootnoteText"/>
        <w:spacing w:after="120"/>
        <w:ind w:left="500" w:hanging="74"/>
        <w:rPr>
          <w:rFonts w:ascii="Perpetua" w:hAnsi="Perpetua"/>
          <w:sz w:val="22"/>
          <w:szCs w:val="22"/>
        </w:rPr>
      </w:pPr>
      <w:r w:rsidRPr="00044FEE">
        <w:rPr>
          <w:rFonts w:ascii="Perpetua" w:hAnsi="Perpetua"/>
          <w:sz w:val="22"/>
          <w:szCs w:val="22"/>
        </w:rPr>
        <w:t>(Palos Verdes: Western Front, Ltd., 1994, 1996).</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The Late Great Planet Earth</w:t>
      </w:r>
      <w:r w:rsidRPr="00044FEE">
        <w:rPr>
          <w:rFonts w:ascii="Perpetua" w:hAnsi="Perpetua"/>
          <w:sz w:val="22"/>
          <w:szCs w:val="22"/>
        </w:rPr>
        <w:t xml:space="preserve"> (London: Lakeland, 1970).</w:t>
      </w:r>
    </w:p>
    <w:p w:rsidR="00616C1F" w:rsidRPr="00044FEE" w:rsidRDefault="00616C1F" w:rsidP="00616C1F">
      <w:pPr>
        <w:autoSpaceDE w:val="0"/>
        <w:autoSpaceDN w:val="0"/>
        <w:adjustRightInd w:val="0"/>
        <w:spacing w:after="120" w:line="240" w:lineRule="auto"/>
        <w:ind w:left="426" w:hanging="426"/>
      </w:pPr>
      <w:r w:rsidRPr="00044FEE">
        <w:t xml:space="preserve">Lockhart, Clinton, </w:t>
      </w:r>
      <w:r w:rsidRPr="00AE4E54">
        <w:rPr>
          <w:i/>
        </w:rPr>
        <w:t xml:space="preserve">Principles of Interpretation: </w:t>
      </w:r>
      <w:r w:rsidRPr="00AE4E54">
        <w:rPr>
          <w:i/>
          <w:lang w:eastAsia="en-GB"/>
        </w:rPr>
        <w:t xml:space="preserve">as </w:t>
      </w:r>
      <w:r w:rsidR="00AE4E54">
        <w:rPr>
          <w:i/>
          <w:lang w:eastAsia="en-GB"/>
        </w:rPr>
        <w:t>R</w:t>
      </w:r>
      <w:r w:rsidRPr="00AE4E54">
        <w:rPr>
          <w:i/>
          <w:lang w:eastAsia="en-GB"/>
        </w:rPr>
        <w:t xml:space="preserve">ecognized </w:t>
      </w:r>
      <w:r w:rsidR="00AE4E54">
        <w:rPr>
          <w:i/>
          <w:lang w:eastAsia="en-GB"/>
        </w:rPr>
        <w:t>G</w:t>
      </w:r>
      <w:r w:rsidRPr="00AE4E54">
        <w:rPr>
          <w:i/>
          <w:lang w:eastAsia="en-GB"/>
        </w:rPr>
        <w:t xml:space="preserve">enerally by </w:t>
      </w:r>
      <w:r w:rsidR="00AE4E54">
        <w:rPr>
          <w:i/>
          <w:lang w:eastAsia="en-GB"/>
        </w:rPr>
        <w:t>B</w:t>
      </w:r>
      <w:r w:rsidRPr="00AE4E54">
        <w:rPr>
          <w:i/>
          <w:lang w:eastAsia="en-GB"/>
        </w:rPr>
        <w:t xml:space="preserve">iblical </w:t>
      </w:r>
      <w:r w:rsidR="00AE4E54">
        <w:rPr>
          <w:i/>
          <w:lang w:eastAsia="en-GB"/>
        </w:rPr>
        <w:t>Sc</w:t>
      </w:r>
      <w:r w:rsidRPr="00AE4E54">
        <w:rPr>
          <w:i/>
          <w:lang w:eastAsia="en-GB"/>
        </w:rPr>
        <w:t xml:space="preserve">holars, </w:t>
      </w:r>
      <w:r w:rsidR="00AE4E54">
        <w:rPr>
          <w:i/>
          <w:lang w:eastAsia="en-GB"/>
        </w:rPr>
        <w:t>t</w:t>
      </w:r>
      <w:r w:rsidRPr="00AE4E54">
        <w:rPr>
          <w:i/>
          <w:lang w:eastAsia="en-GB"/>
        </w:rPr>
        <w:t xml:space="preserve">reated as a </w:t>
      </w:r>
      <w:r w:rsidR="00AE4E54">
        <w:rPr>
          <w:i/>
          <w:lang w:eastAsia="en-GB"/>
        </w:rPr>
        <w:t>S</w:t>
      </w:r>
      <w:r w:rsidRPr="00AE4E54">
        <w:rPr>
          <w:i/>
          <w:lang w:eastAsia="en-GB"/>
        </w:rPr>
        <w:t xml:space="preserve">cience, derived inductively from an </w:t>
      </w:r>
      <w:r w:rsidR="00AE4E54">
        <w:rPr>
          <w:i/>
          <w:lang w:eastAsia="en-GB"/>
        </w:rPr>
        <w:t>E</w:t>
      </w:r>
      <w:r w:rsidRPr="00AE4E54">
        <w:rPr>
          <w:i/>
          <w:lang w:eastAsia="en-GB"/>
        </w:rPr>
        <w:t xml:space="preserve">xegesis of </w:t>
      </w:r>
      <w:r w:rsidR="00AE4E54">
        <w:rPr>
          <w:i/>
          <w:lang w:eastAsia="en-GB"/>
        </w:rPr>
        <w:t>M</w:t>
      </w:r>
      <w:r w:rsidRPr="00AE4E54">
        <w:rPr>
          <w:i/>
          <w:lang w:eastAsia="en-GB"/>
        </w:rPr>
        <w:t xml:space="preserve">any </w:t>
      </w:r>
      <w:r w:rsidR="00AE4E54">
        <w:rPr>
          <w:i/>
          <w:lang w:eastAsia="en-GB"/>
        </w:rPr>
        <w:t>P</w:t>
      </w:r>
      <w:r w:rsidRPr="00AE4E54">
        <w:rPr>
          <w:i/>
          <w:lang w:eastAsia="en-GB"/>
        </w:rPr>
        <w:t xml:space="preserve">assages of </w:t>
      </w:r>
      <w:r w:rsidR="00AE4E54">
        <w:rPr>
          <w:i/>
          <w:lang w:eastAsia="en-GB"/>
        </w:rPr>
        <w:t>S</w:t>
      </w:r>
      <w:r w:rsidRPr="00AE4E54">
        <w:rPr>
          <w:i/>
          <w:lang w:eastAsia="en-GB"/>
        </w:rPr>
        <w:t>cripture</w:t>
      </w:r>
      <w:r w:rsidRPr="00AE4E54">
        <w:rPr>
          <w:lang w:eastAsia="en-GB"/>
        </w:rPr>
        <w:t xml:space="preserve"> (Delight, Arkansas: Gospel Light Publishing Company, Revised Edition, 1915).</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Loetscher, Lefferts A., Foreword to C. Norman Kraus, </w:t>
      </w:r>
      <w:r w:rsidRPr="00044FEE">
        <w:rPr>
          <w:rFonts w:ascii="Perpetua" w:hAnsi="Perpetua"/>
          <w:i/>
          <w:sz w:val="22"/>
          <w:szCs w:val="22"/>
        </w:rPr>
        <w:t>Dispensationalism in America: Its Rise and Development</w:t>
      </w:r>
      <w:r w:rsidRPr="00044FEE">
        <w:rPr>
          <w:rFonts w:ascii="Perpetua" w:hAnsi="Perpetua"/>
          <w:sz w:val="22"/>
          <w:szCs w:val="22"/>
        </w:rPr>
        <w:t xml:space="preserve"> (Richmond, Virginia: John Knox Press, 1958).</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lastRenderedPageBreak/>
        <w:t xml:space="preserve">Longenecker, Richard N., </w:t>
      </w:r>
      <w:r w:rsidRPr="00044FEE">
        <w:rPr>
          <w:rFonts w:ascii="Perpetua" w:hAnsi="Perpetua"/>
          <w:i/>
          <w:sz w:val="22"/>
          <w:szCs w:val="22"/>
        </w:rPr>
        <w:t>Galatians</w:t>
      </w:r>
      <w:r w:rsidRPr="00044FEE">
        <w:rPr>
          <w:rFonts w:ascii="Perpetua" w:hAnsi="Perpetua"/>
          <w:sz w:val="22"/>
          <w:szCs w:val="22"/>
        </w:rPr>
        <w:t xml:space="preserve"> (Nashville: Abingdon Press, 1997).</w:t>
      </w:r>
    </w:p>
    <w:p w:rsidR="00616C1F" w:rsidRPr="00044FEE" w:rsidRDefault="00616C1F" w:rsidP="00616C1F">
      <w:pPr>
        <w:spacing w:after="120" w:line="240" w:lineRule="auto"/>
        <w:ind w:left="539" w:hanging="539"/>
      </w:pPr>
      <w:r w:rsidRPr="00044FEE">
        <w:t xml:space="preserve">Lutzweiler, David, </w:t>
      </w:r>
      <w:r w:rsidRPr="00044FEE">
        <w:rPr>
          <w:i/>
        </w:rPr>
        <w:t>The Praise of Folly: The Enigmatic Life and Theology of C. I. Scofield</w:t>
      </w:r>
      <w:r w:rsidRPr="00044FEE">
        <w:t xml:space="preserve"> (Nashville, Tennessee: Lamplighter Educational Services, 2009).</w:t>
      </w:r>
    </w:p>
    <w:p w:rsidR="00FC3CAB" w:rsidRDefault="00616C1F" w:rsidP="00FC3CAB">
      <w:pPr>
        <w:spacing w:after="0" w:line="240" w:lineRule="auto"/>
        <w:ind w:left="539" w:hanging="539"/>
      </w:pPr>
      <w:r w:rsidRPr="00044FEE">
        <w:t xml:space="preserve">McClain, Alva J., ‘The Greatness of the Kingdom’, </w:t>
      </w:r>
      <w:r w:rsidRPr="00044FEE">
        <w:rPr>
          <w:i/>
          <w:iCs/>
        </w:rPr>
        <w:t>Bibliotheca Sacra,</w:t>
      </w:r>
      <w:r w:rsidRPr="00044FEE">
        <w:t xml:space="preserve"> 112:445 (Jan. 1955); 112:446 </w:t>
      </w:r>
    </w:p>
    <w:p w:rsidR="00616C1F" w:rsidRPr="00044FEE" w:rsidRDefault="00616C1F" w:rsidP="00FC3CAB">
      <w:pPr>
        <w:spacing w:after="120" w:line="240" w:lineRule="auto"/>
        <w:ind w:left="539" w:firstLine="28"/>
        <w:rPr>
          <w:b/>
        </w:rPr>
      </w:pPr>
      <w:r w:rsidRPr="00044FEE">
        <w:t>(Apr. 1955); 112:447 (July 1955); 112:448 (Oct. 1955).</w:t>
      </w:r>
    </w:p>
    <w:p w:rsidR="00DE7E39" w:rsidRDefault="00616C1F" w:rsidP="00DE7E39">
      <w:pPr>
        <w:spacing w:after="0" w:line="240" w:lineRule="auto"/>
        <w:ind w:left="539" w:hanging="539"/>
      </w:pPr>
      <w:r w:rsidRPr="00044FEE">
        <w:t xml:space="preserve">Mackintosh, C. H., </w:t>
      </w:r>
      <w:r w:rsidRPr="00044FEE">
        <w:rPr>
          <w:i/>
        </w:rPr>
        <w:t>Papers on the Lord’s Coming</w:t>
      </w:r>
      <w:r w:rsidRPr="00044FEE">
        <w:t xml:space="preserve">, Stem Publishing &lt;http://www.stempublishing.com/authors/mackintosh/Bk3/LORDSCMN.html&gt; </w:t>
      </w:r>
    </w:p>
    <w:p w:rsidR="00616C1F" w:rsidRPr="00044FEE" w:rsidRDefault="00616C1F" w:rsidP="00DE7E39">
      <w:pPr>
        <w:spacing w:after="120" w:line="240" w:lineRule="auto"/>
        <w:ind w:left="539" w:firstLine="28"/>
      </w:pPr>
      <w:r w:rsidRPr="00044FEE">
        <w:t xml:space="preserve">[accessed 23.2.17]. </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Mangina, Joseph L., </w:t>
      </w:r>
      <w:r w:rsidRPr="00044FEE">
        <w:rPr>
          <w:rFonts w:ascii="Perpetua" w:hAnsi="Perpetua"/>
          <w:i/>
          <w:sz w:val="22"/>
          <w:szCs w:val="22"/>
        </w:rPr>
        <w:t>Revelation</w:t>
      </w:r>
      <w:r w:rsidRPr="00044FEE">
        <w:rPr>
          <w:rFonts w:ascii="Perpetua" w:hAnsi="Perpetua"/>
          <w:sz w:val="22"/>
          <w:szCs w:val="22"/>
        </w:rPr>
        <w:t xml:space="preserve"> (SCM Theological Commentary on the Bible; R. R. Reno et al. [eds], London: SCM Press, 2010).</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Mangum, R. Todd and Mark S. Sweetnam, </w:t>
      </w:r>
      <w:r w:rsidRPr="00044FEE">
        <w:rPr>
          <w:rFonts w:ascii="Perpetua" w:hAnsi="Perpetua"/>
          <w:i/>
          <w:sz w:val="22"/>
          <w:szCs w:val="22"/>
        </w:rPr>
        <w:t>The Scofield Bible: Its History and Impact on the Evangelical Church</w:t>
      </w:r>
      <w:r w:rsidRPr="00044FEE">
        <w:rPr>
          <w:rFonts w:ascii="Perpetua" w:hAnsi="Perpetua"/>
          <w:sz w:val="22"/>
          <w:szCs w:val="22"/>
        </w:rPr>
        <w:t xml:space="preserve"> (Colorado Springs: Paternoster, 2009).</w:t>
      </w:r>
    </w:p>
    <w:p w:rsidR="00616C1F" w:rsidRDefault="00616C1F" w:rsidP="006C061B">
      <w:pPr>
        <w:pStyle w:val="FootnoteText"/>
        <w:spacing w:after="120"/>
        <w:ind w:left="499" w:hanging="499"/>
        <w:rPr>
          <w:rFonts w:ascii="Perpetua" w:hAnsi="Perpetua"/>
          <w:sz w:val="22"/>
          <w:szCs w:val="22"/>
        </w:rPr>
      </w:pPr>
      <w:r w:rsidRPr="00044FEE">
        <w:rPr>
          <w:rFonts w:ascii="Perpetua" w:hAnsi="Perpetua"/>
          <w:sz w:val="22"/>
          <w:szCs w:val="22"/>
        </w:rPr>
        <w:t xml:space="preserve">Marsden, George M., </w:t>
      </w:r>
      <w:r w:rsidRPr="00044FEE">
        <w:rPr>
          <w:rFonts w:ascii="Perpetua" w:hAnsi="Perpetua"/>
          <w:i/>
          <w:sz w:val="22"/>
          <w:szCs w:val="22"/>
        </w:rPr>
        <w:t>Fundamentalism and American Culture</w:t>
      </w:r>
      <w:r w:rsidRPr="00044FEE">
        <w:rPr>
          <w:rFonts w:ascii="Perpetua" w:hAnsi="Perpetua"/>
          <w:sz w:val="22"/>
          <w:szCs w:val="22"/>
        </w:rPr>
        <w:t xml:space="preserve"> (Second Edition, Oxford: Oxford University Press, 2006).</w:t>
      </w:r>
    </w:p>
    <w:p w:rsidR="00616C1F" w:rsidRDefault="00616C1F" w:rsidP="00616C1F">
      <w:pPr>
        <w:pStyle w:val="FootnoteText"/>
        <w:spacing w:after="120"/>
        <w:ind w:left="500" w:hanging="500"/>
        <w:rPr>
          <w:rFonts w:ascii="Perpetua" w:hAnsi="Perpetua"/>
          <w:sz w:val="22"/>
          <w:szCs w:val="22"/>
        </w:rPr>
      </w:pPr>
      <w:r w:rsidRPr="002616C0">
        <w:rPr>
          <w:rFonts w:ascii="Perpetua" w:hAnsi="Perpetua"/>
          <w:sz w:val="22"/>
          <w:szCs w:val="22"/>
        </w:rPr>
        <w:t xml:space="preserve">Marsh, Herbert, </w:t>
      </w:r>
      <w:r w:rsidRPr="002616C0">
        <w:rPr>
          <w:rFonts w:ascii="Perpetua" w:hAnsi="Perpetua"/>
          <w:i/>
          <w:sz w:val="22"/>
          <w:szCs w:val="22"/>
        </w:rPr>
        <w:t>Lectures on the Criticism and Interpretation of the Bible, with Two Preliminary Lectures on Theological Study and Theological Arrangement; to which are added Two Lectures on the History of Biblical Interpretation</w:t>
      </w:r>
      <w:r w:rsidRPr="002616C0">
        <w:rPr>
          <w:rFonts w:ascii="Perpetua" w:hAnsi="Perpetua"/>
          <w:sz w:val="22"/>
          <w:szCs w:val="22"/>
        </w:rPr>
        <w:t xml:space="preserve"> (London: J.G.F.&amp; J. Rivington, 1842) &lt;https://archive.org/details/lecturesonthebib00marsuoft&gt; [accessed 18.9.17].</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Mason, Rex, </w:t>
      </w:r>
      <w:r w:rsidRPr="00044FEE">
        <w:rPr>
          <w:rFonts w:ascii="Perpetua" w:hAnsi="Perpetua"/>
          <w:i/>
          <w:sz w:val="22"/>
          <w:szCs w:val="22"/>
        </w:rPr>
        <w:t xml:space="preserve">The Books of Haggai, Zechariah and Malachi: Commentary by Rex Mason, Lecturer in Hebrew and Old Testament Studies, Regent’s Park College, Oxford </w:t>
      </w:r>
      <w:r w:rsidRPr="00044FEE">
        <w:rPr>
          <w:rFonts w:ascii="Perpetua" w:hAnsi="Perpetua"/>
          <w:sz w:val="22"/>
          <w:szCs w:val="22"/>
        </w:rPr>
        <w:t>(Cambridge: Cambridge University Press, 1977).</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 xml:space="preserve">—  ‘Why is Second Zechariah so Full of Quotations?’ in Christopher Tuckett (ed.) </w:t>
      </w:r>
      <w:r w:rsidRPr="00044FEE">
        <w:rPr>
          <w:rFonts w:ascii="Perpetua" w:hAnsi="Perpetua"/>
          <w:i/>
          <w:sz w:val="22"/>
          <w:szCs w:val="22"/>
        </w:rPr>
        <w:t>The Book of Zechariah and its Influence</w:t>
      </w:r>
      <w:r w:rsidRPr="00044FEE">
        <w:rPr>
          <w:rFonts w:ascii="Perpetua" w:hAnsi="Perpetua"/>
          <w:sz w:val="22"/>
          <w:szCs w:val="22"/>
        </w:rPr>
        <w:t xml:space="preserve"> (Aldershot: Ashgate Publishing Limited, 2003).</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rPr>
        <w:t xml:space="preserve">—  ‘Zechariah 12.1-13.6’ in Mark J. Boda and Michael H. Floyd (eds) </w:t>
      </w:r>
      <w:r w:rsidRPr="00044FEE">
        <w:rPr>
          <w:rFonts w:ascii="Perpetua" w:hAnsi="Perpetua"/>
          <w:i/>
          <w:sz w:val="22"/>
          <w:szCs w:val="22"/>
        </w:rPr>
        <w:t>Bringing out the Treasure: Inner Biblical Allusion in Zechariah 9-14</w:t>
      </w:r>
      <w:r w:rsidRPr="00044FEE">
        <w:rPr>
          <w:rFonts w:ascii="Perpetua" w:hAnsi="Perpetua"/>
          <w:sz w:val="22"/>
          <w:szCs w:val="22"/>
        </w:rPr>
        <w:t xml:space="preserve"> (</w:t>
      </w:r>
      <w:r w:rsidRPr="00044FEE">
        <w:rPr>
          <w:rFonts w:ascii="Perpetua" w:hAnsi="Perpetua"/>
          <w:sz w:val="22"/>
          <w:szCs w:val="22"/>
          <w:lang w:val="en-US"/>
        </w:rPr>
        <w:t xml:space="preserve">JSOT supp. series; 370; </w:t>
      </w:r>
      <w:r w:rsidRPr="00044FEE">
        <w:rPr>
          <w:rFonts w:ascii="Perpetua" w:hAnsi="Perpetua"/>
          <w:sz w:val="22"/>
          <w:szCs w:val="22"/>
        </w:rPr>
        <w:t>London: Sheffield Academic Press, 2003).</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Mathison, Keith A., </w:t>
      </w:r>
      <w:r w:rsidRPr="00044FEE">
        <w:rPr>
          <w:rFonts w:ascii="Perpetua" w:hAnsi="Perpetua"/>
          <w:i/>
          <w:sz w:val="22"/>
          <w:szCs w:val="22"/>
        </w:rPr>
        <w:t>Postmillennialism: An Eschatology of Hope</w:t>
      </w:r>
      <w:r w:rsidRPr="00044FEE">
        <w:rPr>
          <w:rFonts w:ascii="Perpetua" w:hAnsi="Perpetua"/>
          <w:sz w:val="22"/>
          <w:szCs w:val="22"/>
        </w:rPr>
        <w:t xml:space="preserve"> (Phillipsburg, New Jersey: P&amp;R Publishing Company, 1999).</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Mendelsson, David, ‘From the First Zionist Congress (1897) to the Twelfth (1921)</w:t>
      </w:r>
      <w:r w:rsidR="006C061B">
        <w:rPr>
          <w:rFonts w:ascii="Perpetua" w:hAnsi="Perpetua"/>
          <w:sz w:val="22"/>
          <w:szCs w:val="22"/>
        </w:rPr>
        <w:t>’</w:t>
      </w:r>
      <w:r w:rsidRPr="00044FEE">
        <w:rPr>
          <w:rFonts w:ascii="Perpetua" w:hAnsi="Perpetua"/>
          <w:sz w:val="22"/>
          <w:szCs w:val="22"/>
        </w:rPr>
        <w:t xml:space="preserve"> &lt;http://www.jewishvirtuallibrary.org/jsource/Zionism/firstcong.html&gt; [accessed 24.6.11].</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Meyers, Carol L. and Eric M. Meyers, </w:t>
      </w:r>
      <w:r w:rsidRPr="00044FEE">
        <w:rPr>
          <w:rFonts w:ascii="Perpetua" w:hAnsi="Perpetua"/>
          <w:i/>
          <w:sz w:val="22"/>
          <w:szCs w:val="22"/>
        </w:rPr>
        <w:t>Haggai, Zechariah 1-8: A New Translation with Introduction and Commentary</w:t>
      </w:r>
      <w:r w:rsidRPr="00044FEE">
        <w:rPr>
          <w:rFonts w:ascii="Perpetua" w:hAnsi="Perpetua"/>
          <w:sz w:val="22"/>
          <w:szCs w:val="22"/>
        </w:rPr>
        <w:t xml:space="preserve"> (The Anchor Bible 25B, William Foxwell Albright and David Noel Freeman, [gen. eds]; New York: Doubleday &amp; Company, Inc., 1987).</w:t>
      </w:r>
    </w:p>
    <w:p w:rsidR="00616C1F" w:rsidRPr="00044FEE" w:rsidRDefault="00616C1F" w:rsidP="00616C1F">
      <w:pPr>
        <w:pStyle w:val="FootnoteText"/>
        <w:spacing w:after="120"/>
        <w:ind w:left="500"/>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Zechariah 9-14: A New Translation with Introduction and Commentary</w:t>
      </w:r>
      <w:r w:rsidRPr="00044FEE">
        <w:rPr>
          <w:rFonts w:ascii="Perpetua" w:hAnsi="Perpetua"/>
          <w:sz w:val="22"/>
          <w:szCs w:val="22"/>
        </w:rPr>
        <w:t xml:space="preserve"> (The Anchor Yale Bible 25C, William Foxwell Albright and David Noel Freeman, [gen. eds]; New Haven: Yale University Press, 1993).</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rPr>
        <w:t xml:space="preserve">Milton, John, ‘Ode on the Morning of Christ’s Nativity’, in Ernest Rhys (ed.) </w:t>
      </w:r>
      <w:r w:rsidRPr="00044FEE">
        <w:rPr>
          <w:rFonts w:ascii="Perpetua" w:hAnsi="Perpetua"/>
          <w:i/>
          <w:sz w:val="22"/>
        </w:rPr>
        <w:t>The Golden Treasury of Longer Poems</w:t>
      </w:r>
      <w:r w:rsidRPr="00044FEE">
        <w:rPr>
          <w:rFonts w:ascii="Perpetua" w:hAnsi="Perpetua"/>
          <w:sz w:val="22"/>
        </w:rPr>
        <w:t xml:space="preserve"> (London: E. P. Dutton &amp; Co., 1921).</w:t>
      </w:r>
    </w:p>
    <w:p w:rsidR="00616C1F" w:rsidRPr="00044FEE" w:rsidRDefault="00616C1F" w:rsidP="00616C1F">
      <w:pPr>
        <w:pStyle w:val="FootnoteText"/>
        <w:ind w:left="499" w:hanging="500"/>
        <w:rPr>
          <w:rFonts w:ascii="Perpetua" w:hAnsi="Perpetua"/>
          <w:sz w:val="22"/>
          <w:szCs w:val="22"/>
        </w:rPr>
      </w:pPr>
      <w:r w:rsidRPr="00044FEE">
        <w:rPr>
          <w:rFonts w:ascii="Perpetua" w:hAnsi="Perpetua"/>
          <w:sz w:val="22"/>
          <w:szCs w:val="22"/>
        </w:rPr>
        <w:t xml:space="preserve">Moody Bible Institute, History </w:t>
      </w:r>
    </w:p>
    <w:p w:rsidR="00616C1F" w:rsidRPr="00044FEE" w:rsidRDefault="00616C1F" w:rsidP="00616C1F">
      <w:pPr>
        <w:pStyle w:val="FootnoteText"/>
        <w:ind w:left="499" w:firstLine="67"/>
        <w:rPr>
          <w:rFonts w:ascii="Perpetua" w:hAnsi="Perpetua"/>
          <w:sz w:val="22"/>
        </w:rPr>
      </w:pPr>
      <w:r w:rsidRPr="00044FEE">
        <w:rPr>
          <w:rFonts w:ascii="Perpetua" w:hAnsi="Perpetua"/>
          <w:sz w:val="22"/>
        </w:rPr>
        <w:t>&lt;https://www.moody.edu/about/our-bold-legacy/history-of-moody-bible-institute/&gt;</w:t>
      </w:r>
    </w:p>
    <w:p w:rsidR="00616C1F" w:rsidRPr="00044FEE" w:rsidRDefault="00616C1F" w:rsidP="00616C1F">
      <w:pPr>
        <w:pStyle w:val="FootnoteText"/>
        <w:spacing w:after="120"/>
        <w:ind w:left="500" w:firstLine="67"/>
        <w:rPr>
          <w:rFonts w:ascii="Perpetua" w:hAnsi="Perpetua"/>
          <w:sz w:val="24"/>
          <w:szCs w:val="22"/>
        </w:rPr>
      </w:pPr>
      <w:r w:rsidRPr="00044FEE">
        <w:rPr>
          <w:rFonts w:ascii="Perpetua" w:hAnsi="Perpetua"/>
          <w:sz w:val="22"/>
        </w:rPr>
        <w:t>[accessed 2.3.18].</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Morris, Leon, </w:t>
      </w:r>
      <w:r w:rsidRPr="00044FEE">
        <w:rPr>
          <w:rFonts w:ascii="Perpetua" w:hAnsi="Perpetua"/>
          <w:i/>
          <w:sz w:val="22"/>
          <w:szCs w:val="22"/>
        </w:rPr>
        <w:t>Apocalyptic</w:t>
      </w:r>
      <w:r w:rsidRPr="00044FEE">
        <w:rPr>
          <w:rFonts w:ascii="Perpetua" w:hAnsi="Perpetua"/>
          <w:sz w:val="22"/>
          <w:szCs w:val="22"/>
        </w:rPr>
        <w:t xml:space="preserve"> (2</w:t>
      </w:r>
      <w:r w:rsidRPr="00044FEE">
        <w:rPr>
          <w:rFonts w:ascii="Perpetua" w:hAnsi="Perpetua"/>
          <w:sz w:val="22"/>
          <w:szCs w:val="22"/>
          <w:vertAlign w:val="superscript"/>
        </w:rPr>
        <w:t>nd</w:t>
      </w:r>
      <w:r w:rsidRPr="00044FEE">
        <w:rPr>
          <w:rFonts w:ascii="Perpetua" w:hAnsi="Perpetua"/>
          <w:sz w:val="22"/>
          <w:szCs w:val="22"/>
        </w:rPr>
        <w:t xml:space="preserve"> edition, 1973; London: Inter-Varsity Press, 1973) &lt;http://www.biblicalstudies.org.uk/pdf/apocalyptic_morris.pdf&gt;  [accessed 16.12.10]. </w:t>
      </w:r>
    </w:p>
    <w:p w:rsidR="00616C1F" w:rsidRPr="006D212A" w:rsidRDefault="00616C1F" w:rsidP="00616C1F">
      <w:pPr>
        <w:pStyle w:val="FootnoteText"/>
        <w:spacing w:after="120"/>
        <w:ind w:left="499" w:hanging="499"/>
        <w:rPr>
          <w:rFonts w:ascii="Perpetua" w:hAnsi="Perpetua"/>
          <w:sz w:val="22"/>
          <w:szCs w:val="22"/>
        </w:rPr>
      </w:pPr>
      <w:r w:rsidRPr="006D212A">
        <w:rPr>
          <w:rFonts w:ascii="Perpetua" w:hAnsi="Perpetua"/>
          <w:sz w:val="22"/>
          <w:szCs w:val="22"/>
        </w:rPr>
        <w:t xml:space="preserve">Needham, George C., Introduction to Brookes, </w:t>
      </w:r>
      <w:r w:rsidR="006D212A" w:rsidRPr="006D212A">
        <w:rPr>
          <w:rFonts w:ascii="Perpetua" w:hAnsi="Perpetua"/>
          <w:i/>
          <w:sz w:val="22"/>
          <w:szCs w:val="22"/>
        </w:rPr>
        <w:t>Bible Reading on the Second Coming of Christ According to the Scriptures</w:t>
      </w:r>
      <w:r w:rsidR="006D212A" w:rsidRPr="006D212A">
        <w:rPr>
          <w:rFonts w:ascii="Perpetua" w:hAnsi="Perpetua"/>
          <w:sz w:val="22"/>
          <w:szCs w:val="22"/>
        </w:rPr>
        <w:t xml:space="preserve"> (Springfield, Illinois: Edwin A. Wilson, 1877)</w:t>
      </w:r>
      <w:r w:rsidRPr="006D212A">
        <w:rPr>
          <w:rFonts w:ascii="Perpetua" w:hAnsi="Perpetua"/>
          <w:sz w:val="22"/>
          <w:szCs w:val="22"/>
        </w:rPr>
        <w:t xml:space="preserve">. </w:t>
      </w:r>
    </w:p>
    <w:p w:rsidR="00616C1F" w:rsidRPr="00044FEE" w:rsidRDefault="00616C1F" w:rsidP="00616C1F">
      <w:pPr>
        <w:spacing w:after="120" w:line="240" w:lineRule="auto"/>
        <w:ind w:left="567" w:hanging="567"/>
      </w:pPr>
      <w:r w:rsidRPr="00044FEE">
        <w:t>Neyrey, Jerome H., ‘</w:t>
      </w:r>
      <w:r w:rsidRPr="00044FEE">
        <w:rPr>
          <w:w w:val="105"/>
        </w:rPr>
        <w:t xml:space="preserve">“Without Beginning of Days or End of Life” (Hebrews 7:3): Topos for a True Deity’, Catholic Biblical Association, </w:t>
      </w:r>
      <w:r w:rsidRPr="00044FEE">
        <w:rPr>
          <w:i/>
          <w:w w:val="105"/>
        </w:rPr>
        <w:t>Catholic Biblical Quarterly</w:t>
      </w:r>
      <w:r w:rsidRPr="00044FEE">
        <w:rPr>
          <w:w w:val="105"/>
        </w:rPr>
        <w:t>, Vol.</w:t>
      </w:r>
      <w:r w:rsidRPr="00044FEE">
        <w:rPr>
          <w:spacing w:val="43"/>
          <w:w w:val="105"/>
        </w:rPr>
        <w:t xml:space="preserve"> </w:t>
      </w:r>
      <w:r w:rsidRPr="00044FEE">
        <w:rPr>
          <w:w w:val="105"/>
        </w:rPr>
        <w:t>53,</w:t>
      </w:r>
      <w:r w:rsidRPr="00044FEE">
        <w:rPr>
          <w:spacing w:val="44"/>
          <w:w w:val="105"/>
        </w:rPr>
        <w:t xml:space="preserve"> </w:t>
      </w:r>
      <w:r w:rsidRPr="00044FEE">
        <w:rPr>
          <w:w w:val="105"/>
        </w:rPr>
        <w:t>No.</w:t>
      </w:r>
      <w:r w:rsidRPr="00044FEE">
        <w:rPr>
          <w:spacing w:val="43"/>
          <w:w w:val="105"/>
        </w:rPr>
        <w:t xml:space="preserve"> </w:t>
      </w:r>
      <w:r w:rsidRPr="00044FEE">
        <w:rPr>
          <w:w w:val="105"/>
        </w:rPr>
        <w:t>3</w:t>
      </w:r>
      <w:r w:rsidRPr="00044FEE">
        <w:rPr>
          <w:spacing w:val="44"/>
          <w:w w:val="105"/>
        </w:rPr>
        <w:t xml:space="preserve"> </w:t>
      </w:r>
      <w:r w:rsidRPr="00044FEE">
        <w:rPr>
          <w:w w:val="105"/>
        </w:rPr>
        <w:t>(July,</w:t>
      </w:r>
      <w:r w:rsidRPr="00044FEE">
        <w:rPr>
          <w:spacing w:val="43"/>
          <w:w w:val="105"/>
        </w:rPr>
        <w:t xml:space="preserve"> </w:t>
      </w:r>
      <w:r w:rsidRPr="00044FEE">
        <w:rPr>
          <w:w w:val="105"/>
        </w:rPr>
        <w:t>1991),</w:t>
      </w:r>
      <w:r w:rsidRPr="00044FEE">
        <w:rPr>
          <w:spacing w:val="44"/>
          <w:w w:val="105"/>
        </w:rPr>
        <w:t xml:space="preserve"> </w:t>
      </w:r>
      <w:r w:rsidRPr="00044FEE">
        <w:rPr>
          <w:w w:val="105"/>
        </w:rPr>
        <w:t>pp.</w:t>
      </w:r>
      <w:r w:rsidRPr="00044FEE">
        <w:rPr>
          <w:spacing w:val="43"/>
          <w:w w:val="105"/>
        </w:rPr>
        <w:t xml:space="preserve"> </w:t>
      </w:r>
      <w:r w:rsidRPr="00044FEE">
        <w:rPr>
          <w:w w:val="105"/>
        </w:rPr>
        <w:t>439-455 &lt;http://www.jstor.org/stable/43718283&gt; [accessed 29.9.17].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lastRenderedPageBreak/>
        <w:t xml:space="preserve">North, Gary, ‘Publisher’s Preface’ to Dwight Wilson, </w:t>
      </w:r>
      <w:r w:rsidRPr="00044FEE">
        <w:rPr>
          <w:rFonts w:ascii="Perpetua" w:hAnsi="Perpetua"/>
          <w:i/>
          <w:sz w:val="22"/>
          <w:szCs w:val="22"/>
        </w:rPr>
        <w:t>Armageddon Now: The Premillenarian Response to Russia and Israel Since 1917</w:t>
      </w:r>
      <w:r w:rsidRPr="00044FEE">
        <w:rPr>
          <w:rFonts w:ascii="Perpetua" w:hAnsi="Perpetua"/>
          <w:sz w:val="22"/>
          <w:szCs w:val="22"/>
        </w:rPr>
        <w:t xml:space="preserve"> (Tyler, Texas: Institute for Christian Economics, 1991).</w:t>
      </w:r>
    </w:p>
    <w:p w:rsidR="00616C1F"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Pamment, Margaret, ‘The Kingdom of Heaven According to the First Gospel’, </w:t>
      </w:r>
      <w:r w:rsidRPr="00044FEE">
        <w:rPr>
          <w:rFonts w:ascii="Perpetua" w:hAnsi="Perpetua"/>
          <w:i/>
          <w:sz w:val="22"/>
          <w:szCs w:val="22"/>
        </w:rPr>
        <w:t xml:space="preserve">New Testament Studies </w:t>
      </w:r>
      <w:r w:rsidRPr="00044FEE">
        <w:rPr>
          <w:rFonts w:ascii="Perpetua" w:hAnsi="Perpetua"/>
          <w:sz w:val="22"/>
          <w:szCs w:val="22"/>
        </w:rPr>
        <w:t xml:space="preserve">27, issue 2, 1981 &lt;http://journals.cambridge.org.eresources.shef.ac.uk/action/displayFulltext?type=1&amp;pdftype=1&amp;fid=3392572&amp;jid=NTS&amp;volumeId=27&amp;issueId=&amp;aid=3392564&gt; [accessed 1.12.10]. </w:t>
      </w:r>
    </w:p>
    <w:p w:rsidR="00182FF7" w:rsidRPr="00182FF7" w:rsidRDefault="00182FF7" w:rsidP="00616C1F">
      <w:pPr>
        <w:pStyle w:val="FootnoteText"/>
        <w:spacing w:after="120"/>
        <w:ind w:left="499" w:hanging="499"/>
        <w:rPr>
          <w:rFonts w:ascii="Perpetua" w:hAnsi="Perpetua"/>
          <w:sz w:val="22"/>
          <w:szCs w:val="22"/>
        </w:rPr>
      </w:pPr>
      <w:r w:rsidRPr="00182FF7">
        <w:rPr>
          <w:rFonts w:ascii="Perpetua" w:hAnsi="Perpetua"/>
          <w:sz w:val="22"/>
          <w:szCs w:val="22"/>
        </w:rPr>
        <w:t xml:space="preserve">Perry, Hilary, ‘God’s Earthly People: C. I. Scofield and the Blessing of Israel’ in Michael J. Sandford (volume editor) </w:t>
      </w:r>
      <w:r w:rsidRPr="00182FF7">
        <w:rPr>
          <w:rFonts w:ascii="Perpetua" w:hAnsi="Perpetua"/>
          <w:i/>
          <w:sz w:val="22"/>
          <w:szCs w:val="22"/>
        </w:rPr>
        <w:t>The Bible, Zionism and Palestine: The Bible’s Role in Conflict and Liberation in Israel-Palestine</w:t>
      </w:r>
      <w:r w:rsidRPr="00182FF7">
        <w:rPr>
          <w:rFonts w:ascii="Perpetua" w:hAnsi="Perpetua"/>
          <w:sz w:val="22"/>
          <w:szCs w:val="22"/>
        </w:rPr>
        <w:t xml:space="preserve"> (Sean Durbin, Deane Galbraith, James E. Harding, Will Sweetman [series editors], Bible in Effect, Vol. 1; Dunedin, New Zealand: Relegere Academic Press, 2016).</w:t>
      </w:r>
    </w:p>
    <w:p w:rsidR="00616C1F" w:rsidRPr="00044FEE" w:rsidRDefault="00616C1F" w:rsidP="00B804B6">
      <w:pPr>
        <w:pStyle w:val="FootnoteText"/>
        <w:spacing w:after="120"/>
        <w:ind w:left="499" w:hanging="499"/>
        <w:rPr>
          <w:rFonts w:ascii="Perpetua" w:hAnsi="Perpetua"/>
          <w:sz w:val="22"/>
          <w:szCs w:val="22"/>
        </w:rPr>
      </w:pPr>
      <w:r w:rsidRPr="00044FEE">
        <w:rPr>
          <w:rFonts w:ascii="Perpetua" w:hAnsi="Perpetua"/>
          <w:sz w:val="22"/>
          <w:szCs w:val="22"/>
        </w:rPr>
        <w:t xml:space="preserve">Petersen, David L., </w:t>
      </w:r>
      <w:r w:rsidRPr="00044FEE">
        <w:rPr>
          <w:rFonts w:ascii="Perpetua" w:hAnsi="Perpetua"/>
          <w:i/>
          <w:sz w:val="22"/>
          <w:szCs w:val="22"/>
        </w:rPr>
        <w:t>Zechariah 9-14 and Malachi: a Commentary</w:t>
      </w:r>
      <w:r w:rsidRPr="00044FEE">
        <w:rPr>
          <w:rFonts w:ascii="Perpetua" w:hAnsi="Perpetua"/>
          <w:sz w:val="22"/>
          <w:szCs w:val="22"/>
        </w:rPr>
        <w:t xml:space="preserve"> (Old Testament Library, London: SCM Press, 1995).  </w:t>
      </w:r>
    </w:p>
    <w:p w:rsidR="00616C1F" w:rsidRPr="00044FEE" w:rsidRDefault="00616C1F" w:rsidP="00616C1F">
      <w:pPr>
        <w:pStyle w:val="Default"/>
        <w:spacing w:after="120"/>
        <w:ind w:left="425" w:hanging="425"/>
        <w:rPr>
          <w:rFonts w:ascii="Perpetua" w:hAnsi="Perpetua"/>
          <w:color w:val="auto"/>
          <w:sz w:val="22"/>
          <w:szCs w:val="22"/>
        </w:rPr>
      </w:pPr>
      <w:r w:rsidRPr="00044FEE">
        <w:rPr>
          <w:rFonts w:ascii="Perpetua" w:hAnsi="Perpetua"/>
          <w:sz w:val="22"/>
        </w:rPr>
        <w:t xml:space="preserve">Pierson, A. T., ‘Premillennial Motives to Evangelism’, </w:t>
      </w:r>
      <w:r w:rsidRPr="00044FEE">
        <w:rPr>
          <w:rFonts w:ascii="Perpetua" w:hAnsi="Perpetua"/>
          <w:i/>
          <w:sz w:val="22"/>
        </w:rPr>
        <w:t xml:space="preserve">Prophetic Studies of the International Prophetic Conference, Chicago, November, 1886 </w:t>
      </w:r>
      <w:r w:rsidRPr="00044FEE">
        <w:rPr>
          <w:rFonts w:ascii="Perpetua" w:hAnsi="Perpetua"/>
          <w:sz w:val="22"/>
          <w:szCs w:val="22"/>
        </w:rPr>
        <w:t>(Chicago: F. H. Revell, 1886).</w:t>
      </w:r>
    </w:p>
    <w:p w:rsidR="00616C1F" w:rsidRPr="00044FEE" w:rsidRDefault="00616C1F" w:rsidP="00616C1F">
      <w:pPr>
        <w:pStyle w:val="Default"/>
        <w:ind w:left="425" w:hanging="425"/>
        <w:rPr>
          <w:rFonts w:ascii="Perpetua" w:hAnsi="Perpetua"/>
          <w:color w:val="auto"/>
          <w:sz w:val="22"/>
          <w:szCs w:val="22"/>
        </w:rPr>
      </w:pPr>
      <w:r w:rsidRPr="00044FEE">
        <w:rPr>
          <w:rFonts w:ascii="Perpetua" w:hAnsi="Perpetua"/>
          <w:color w:val="auto"/>
          <w:sz w:val="22"/>
          <w:szCs w:val="22"/>
        </w:rPr>
        <w:t xml:space="preserve">Pieters, Albertus, ‘A Candid Examination of the Scofield Bible’ – Lecture before the Ministerial Association of the Christian Reformed Church, at Calvin College, Grand Rapids, Michigan, </w:t>
      </w:r>
    </w:p>
    <w:p w:rsidR="00616C1F" w:rsidRPr="00044FEE" w:rsidRDefault="00616C1F" w:rsidP="00616C1F">
      <w:pPr>
        <w:pStyle w:val="Default"/>
        <w:ind w:left="425" w:firstLine="1"/>
        <w:rPr>
          <w:rFonts w:ascii="Perpetua" w:hAnsi="Perpetua"/>
          <w:color w:val="auto"/>
          <w:sz w:val="22"/>
          <w:szCs w:val="22"/>
        </w:rPr>
      </w:pPr>
      <w:r w:rsidRPr="00044FEE">
        <w:rPr>
          <w:rFonts w:ascii="Perpetua" w:hAnsi="Perpetua"/>
          <w:color w:val="auto"/>
          <w:sz w:val="22"/>
          <w:szCs w:val="22"/>
        </w:rPr>
        <w:t xml:space="preserve">1 June 1938 </w:t>
      </w:r>
    </w:p>
    <w:p w:rsidR="00616C1F" w:rsidRPr="00044FEE" w:rsidRDefault="00616C1F" w:rsidP="00616C1F">
      <w:pPr>
        <w:pStyle w:val="Default"/>
        <w:ind w:left="425"/>
        <w:rPr>
          <w:rFonts w:ascii="Perpetua" w:hAnsi="Perpetua"/>
          <w:color w:val="auto"/>
          <w:sz w:val="22"/>
          <w:szCs w:val="22"/>
        </w:rPr>
      </w:pPr>
      <w:r w:rsidRPr="00044FEE">
        <w:rPr>
          <w:rFonts w:ascii="Perpetua" w:hAnsi="Perpetua"/>
          <w:color w:val="auto"/>
          <w:sz w:val="22"/>
          <w:szCs w:val="22"/>
        </w:rPr>
        <w:t>&lt;</w:t>
      </w:r>
      <w:r w:rsidRPr="00044FEE">
        <w:t xml:space="preserve"> </w:t>
      </w:r>
      <w:r w:rsidRPr="00044FEE">
        <w:rPr>
          <w:rFonts w:ascii="Perpetua" w:hAnsi="Perpetua"/>
          <w:color w:val="auto"/>
          <w:sz w:val="22"/>
          <w:szCs w:val="22"/>
        </w:rPr>
        <w:t xml:space="preserve">http://www.archive.org/stream/candidexaminatio00piet#page/n1/mode/2up &gt; </w:t>
      </w:r>
    </w:p>
    <w:p w:rsidR="00616C1F" w:rsidRPr="00044FEE" w:rsidRDefault="00616C1F" w:rsidP="00616C1F">
      <w:pPr>
        <w:pStyle w:val="Default"/>
        <w:spacing w:after="120"/>
        <w:ind w:left="426"/>
        <w:rPr>
          <w:rFonts w:ascii="Perpetua" w:hAnsi="Perpetua"/>
          <w:color w:val="auto"/>
          <w:sz w:val="22"/>
          <w:szCs w:val="22"/>
        </w:rPr>
      </w:pPr>
      <w:r w:rsidRPr="00044FEE">
        <w:rPr>
          <w:rFonts w:ascii="Perpetua" w:hAnsi="Perpetua"/>
          <w:color w:val="auto"/>
          <w:sz w:val="22"/>
          <w:szCs w:val="22"/>
        </w:rPr>
        <w:t>[accessed 26.6.16].</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Plevnik, Joseph, </w:t>
      </w:r>
      <w:r w:rsidRPr="00044FEE">
        <w:rPr>
          <w:rFonts w:ascii="Perpetua" w:hAnsi="Perpetua"/>
          <w:i/>
          <w:sz w:val="22"/>
          <w:szCs w:val="22"/>
        </w:rPr>
        <w:t>Paul and the Parousia: An Exegetical and Theological Investigation</w:t>
      </w:r>
      <w:r w:rsidRPr="00044FEE">
        <w:rPr>
          <w:rFonts w:ascii="Perpetua" w:hAnsi="Perpetua"/>
          <w:sz w:val="22"/>
          <w:szCs w:val="22"/>
        </w:rPr>
        <w:t xml:space="preserve"> (Peabody, Massachusetts: Hendrickson Publishers, Inc., 1997).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Porteous, Norman, </w:t>
      </w:r>
      <w:r w:rsidRPr="00044FEE">
        <w:rPr>
          <w:rFonts w:ascii="Perpetua" w:hAnsi="Perpetua"/>
          <w:i/>
          <w:sz w:val="22"/>
          <w:szCs w:val="22"/>
        </w:rPr>
        <w:t>Daniel: A Commentary</w:t>
      </w:r>
      <w:r w:rsidRPr="00044FEE">
        <w:rPr>
          <w:rFonts w:ascii="Perpetua" w:hAnsi="Perpetua"/>
          <w:sz w:val="22"/>
          <w:szCs w:val="22"/>
        </w:rPr>
        <w:t xml:space="preserve"> (London: SCM Press, Ltd., second revised edition, 1979).</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Poythress, Vern A., </w:t>
      </w:r>
      <w:r w:rsidRPr="00044FEE">
        <w:rPr>
          <w:rFonts w:ascii="Perpetua" w:hAnsi="Perpetua"/>
          <w:i/>
          <w:sz w:val="22"/>
          <w:szCs w:val="22"/>
        </w:rPr>
        <w:t>Understanding Dispensationalists</w:t>
      </w:r>
      <w:r w:rsidRPr="00044FEE">
        <w:rPr>
          <w:rFonts w:ascii="Perpetua" w:hAnsi="Perpetua"/>
          <w:sz w:val="22"/>
          <w:szCs w:val="22"/>
        </w:rPr>
        <w:t xml:space="preserve"> (Phillipsburg, New Jersey: Presbyterian &amp; Reformed Publishing, 2</w:t>
      </w:r>
      <w:r w:rsidRPr="00044FEE">
        <w:rPr>
          <w:rFonts w:ascii="Perpetua" w:hAnsi="Perpetua"/>
          <w:sz w:val="22"/>
          <w:szCs w:val="22"/>
          <w:vertAlign w:val="superscript"/>
        </w:rPr>
        <w:t>nd</w:t>
      </w:r>
      <w:r w:rsidRPr="00044FEE">
        <w:rPr>
          <w:rFonts w:ascii="Perpetua" w:hAnsi="Perpetua"/>
          <w:sz w:val="22"/>
          <w:szCs w:val="22"/>
        </w:rPr>
        <w:t xml:space="preserve"> Edition with Postscript, 1994).</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i/>
          <w:sz w:val="22"/>
          <w:szCs w:val="22"/>
        </w:rPr>
        <w:t>Prophetic Studies of the International Prophetic Conference</w:t>
      </w:r>
      <w:r w:rsidRPr="00044FEE">
        <w:rPr>
          <w:rFonts w:ascii="Perpetua" w:hAnsi="Perpetua"/>
          <w:sz w:val="22"/>
          <w:szCs w:val="22"/>
        </w:rPr>
        <w:t xml:space="preserve"> (Chicago: F. H. Revell, 1886).</w:t>
      </w:r>
    </w:p>
    <w:p w:rsidR="00616C1F" w:rsidRPr="00044FEE" w:rsidRDefault="00616C1F" w:rsidP="00616C1F">
      <w:pPr>
        <w:autoSpaceDE w:val="0"/>
        <w:autoSpaceDN w:val="0"/>
        <w:adjustRightInd w:val="0"/>
        <w:spacing w:after="120" w:line="240" w:lineRule="auto"/>
        <w:ind w:left="500" w:hanging="500"/>
        <w:rPr>
          <w:sz w:val="24"/>
        </w:rPr>
      </w:pPr>
      <w:r w:rsidRPr="00044FEE">
        <w:t xml:space="preserve">Rall, Harris Franklin, ‘Premillennialism. III. Where Premillennialism Leads’, University of Chicago Press Journals, </w:t>
      </w:r>
      <w:r w:rsidRPr="00044FEE">
        <w:rPr>
          <w:i/>
        </w:rPr>
        <w:t>The Biblical World</w:t>
      </w:r>
      <w:r w:rsidRPr="00044FEE">
        <w:t>, Vol. 53, No. 6 (Nov. 1919) &lt;http://www.jstor.org/stable/3135904&gt; [accessed 16.12.16]</w:t>
      </w:r>
      <w:r w:rsidRPr="00044FEE">
        <w:rPr>
          <w:sz w:val="24"/>
        </w:rPr>
        <w:t>.</w:t>
      </w:r>
    </w:p>
    <w:p w:rsidR="00616C1F" w:rsidRPr="00044FEE" w:rsidRDefault="00616C1F" w:rsidP="00616C1F">
      <w:pPr>
        <w:autoSpaceDE w:val="0"/>
        <w:autoSpaceDN w:val="0"/>
        <w:adjustRightInd w:val="0"/>
        <w:spacing w:after="120" w:line="240" w:lineRule="auto"/>
        <w:ind w:left="500" w:hanging="500"/>
      </w:pPr>
      <w:r w:rsidRPr="00044FEE">
        <w:t xml:space="preserve">Ramm, Bernard, </w:t>
      </w:r>
      <w:r w:rsidRPr="00044FEE">
        <w:rPr>
          <w:i/>
        </w:rPr>
        <w:t>Protestant Biblical Interpretation: A Textbook of Hermeneutics</w:t>
      </w:r>
      <w:r w:rsidRPr="00044FEE">
        <w:t xml:space="preserve"> (Grand Rapids, Michigan: Baker Books, 3</w:t>
      </w:r>
      <w:r w:rsidRPr="00044FEE">
        <w:rPr>
          <w:vertAlign w:val="superscript"/>
        </w:rPr>
        <w:t>rd</w:t>
      </w:r>
      <w:r w:rsidRPr="00044FEE">
        <w:t xml:space="preserve"> Revised Edition, 1970, Third Printing, October, 2001).</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Redditt, Paul L., </w:t>
      </w:r>
      <w:r w:rsidRPr="00044FEE">
        <w:rPr>
          <w:rFonts w:ascii="Perpetua" w:hAnsi="Perpetua"/>
          <w:i/>
          <w:sz w:val="22"/>
          <w:szCs w:val="22"/>
        </w:rPr>
        <w:t>Haggai, Zechariah, Malachi</w:t>
      </w:r>
      <w:r w:rsidRPr="00044FEE">
        <w:rPr>
          <w:rFonts w:ascii="Perpetua" w:hAnsi="Perpetua"/>
          <w:sz w:val="22"/>
          <w:szCs w:val="22"/>
        </w:rPr>
        <w:t xml:space="preserve"> (The New Century Bible Commentary; London: Marshall Pickering, 1995).</w:t>
      </w:r>
    </w:p>
    <w:p w:rsidR="00616C1F" w:rsidRPr="00044FEE" w:rsidRDefault="00616C1F" w:rsidP="00DE7E39">
      <w:pPr>
        <w:spacing w:after="0" w:line="240" w:lineRule="auto"/>
        <w:ind w:left="567" w:hanging="68"/>
      </w:pPr>
      <w:r w:rsidRPr="00044FEE">
        <w:t xml:space="preserve">— ‘Israel’s Shepherds: Hope and Pessimism in Zechariah 9-14’, </w:t>
      </w:r>
      <w:r w:rsidRPr="00044FEE">
        <w:rPr>
          <w:i/>
        </w:rPr>
        <w:t>Catholic Biblical Quarterly</w:t>
      </w:r>
      <w:r w:rsidRPr="00044FEE">
        <w:t xml:space="preserve"> 51 [1989], pp 631 – 642 </w:t>
      </w:r>
    </w:p>
    <w:p w:rsidR="00616C1F" w:rsidRPr="00044FEE" w:rsidRDefault="00616C1F" w:rsidP="00616C1F">
      <w:pPr>
        <w:spacing w:after="120" w:line="240" w:lineRule="auto"/>
        <w:ind w:left="567" w:hanging="68"/>
      </w:pPr>
      <w:r w:rsidRPr="00044FEE">
        <w:t>&lt;http://content.ebscohost.com/pdf19_22/pdf/ddd/rfh/n0008-912/atla0000819763.pdf?T=P&amp;P=AN&amp;K=ATLA0000819763&amp;S=R&amp;D=a6h&amp;EbscoContent=dGJyMNHX8kSeprc4yOvsOLCmr0qeprNSsqq4SrSWxWXS&amp;ContentCustomer=dGJyMPGssEyzqrFKubnAac7JuXvg5%2B6L&gt; [accessed 9.6.12].</w:t>
      </w:r>
    </w:p>
    <w:p w:rsidR="00616C1F" w:rsidRPr="00044FEE" w:rsidRDefault="00616C1F" w:rsidP="00616C1F">
      <w:pPr>
        <w:pStyle w:val="FootnoteText"/>
        <w:ind w:left="499" w:hanging="74"/>
        <w:rPr>
          <w:rFonts w:ascii="Perpetua" w:hAnsi="Perpetua"/>
          <w:sz w:val="22"/>
          <w:szCs w:val="22"/>
        </w:rPr>
      </w:pPr>
      <w:r w:rsidRPr="00044FEE">
        <w:rPr>
          <w:rFonts w:ascii="Perpetua" w:hAnsi="Perpetua"/>
          <w:sz w:val="22"/>
          <w:szCs w:val="22"/>
        </w:rPr>
        <w:t xml:space="preserve">—  ‘Themes in Haggai-Zechariah-Malachi’, </w:t>
      </w:r>
      <w:r w:rsidRPr="00044FEE">
        <w:rPr>
          <w:rFonts w:ascii="Perpetua" w:hAnsi="Perpetua"/>
          <w:i/>
          <w:iCs/>
          <w:sz w:val="22"/>
          <w:szCs w:val="22"/>
        </w:rPr>
        <w:t xml:space="preserve">Interpretation </w:t>
      </w:r>
      <w:r w:rsidRPr="00044FEE">
        <w:rPr>
          <w:rFonts w:ascii="Perpetua" w:hAnsi="Perpetua"/>
          <w:iCs/>
          <w:sz w:val="22"/>
          <w:szCs w:val="22"/>
        </w:rPr>
        <w:t>(</w:t>
      </w:r>
      <w:r w:rsidRPr="00044FEE">
        <w:rPr>
          <w:rFonts w:ascii="Perpetua" w:hAnsi="Perpetua"/>
          <w:sz w:val="22"/>
          <w:szCs w:val="22"/>
        </w:rPr>
        <w:t>2007, 61: 184). pp.: 184-9</w:t>
      </w:r>
    </w:p>
    <w:p w:rsidR="00616C1F" w:rsidRPr="00044FEE" w:rsidRDefault="00616C1F" w:rsidP="00616C1F">
      <w:pPr>
        <w:pStyle w:val="FootnoteText"/>
        <w:spacing w:after="120"/>
        <w:ind w:left="499" w:hanging="73"/>
        <w:rPr>
          <w:rFonts w:ascii="Perpetua" w:hAnsi="Perpetua"/>
          <w:sz w:val="22"/>
          <w:szCs w:val="22"/>
        </w:rPr>
      </w:pPr>
      <w:r w:rsidRPr="00044FEE">
        <w:rPr>
          <w:rFonts w:ascii="Perpetua" w:hAnsi="Perpetua"/>
          <w:sz w:val="22"/>
          <w:szCs w:val="22"/>
        </w:rPr>
        <w:t>&lt;http://int.sagepub.com/content/61/2/184&gt; [accessed 10.5.12].</w:t>
      </w:r>
    </w:p>
    <w:p w:rsidR="00616C1F" w:rsidRPr="00044FEE" w:rsidRDefault="00616C1F" w:rsidP="00616C1F">
      <w:pPr>
        <w:pStyle w:val="FootnoteText"/>
        <w:spacing w:after="120"/>
        <w:ind w:left="499" w:hanging="499"/>
        <w:rPr>
          <w:rFonts w:ascii="Perpetua" w:hAnsi="Perpetua" w:cs="Cambria,Bold"/>
          <w:bCs/>
          <w:sz w:val="22"/>
          <w:szCs w:val="24"/>
          <w:lang w:eastAsia="en-GB"/>
        </w:rPr>
      </w:pPr>
      <w:r w:rsidRPr="00044FEE">
        <w:rPr>
          <w:rFonts w:ascii="Perpetua" w:hAnsi="Perpetua"/>
          <w:sz w:val="22"/>
          <w:szCs w:val="22"/>
        </w:rPr>
        <w:t xml:space="preserve">Reese, Alexander, </w:t>
      </w:r>
      <w:r w:rsidRPr="00044FEE">
        <w:rPr>
          <w:rFonts w:ascii="Perpetua" w:hAnsi="Perpetua"/>
          <w:i/>
          <w:sz w:val="22"/>
          <w:szCs w:val="22"/>
        </w:rPr>
        <w:t>The Approaching Advent of Christ</w:t>
      </w:r>
      <w:r w:rsidRPr="00044FEE">
        <w:rPr>
          <w:rFonts w:ascii="Perpetua" w:hAnsi="Perpetua"/>
          <w:sz w:val="22"/>
          <w:szCs w:val="22"/>
        </w:rPr>
        <w:t xml:space="preserve"> (original publication, </w:t>
      </w:r>
      <w:r w:rsidRPr="00044FEE">
        <w:rPr>
          <w:rFonts w:ascii="Perpetua" w:hAnsi="Perpetua" w:cs="Cambria,Bold"/>
          <w:bCs/>
          <w:sz w:val="22"/>
          <w:szCs w:val="24"/>
          <w:lang w:eastAsia="en-GB"/>
        </w:rPr>
        <w:t>Marshall, Morgan and Scott, 1937) &lt;https://theologue.files.wordpress.com/2014/07/theapproachingadventofchrist-alexanderreese.pdf&gt; [accessed 8.7.17].</w:t>
      </w:r>
    </w:p>
    <w:p w:rsidR="00616C1F" w:rsidRPr="00044FEE" w:rsidRDefault="00616C1F" w:rsidP="00616C1F">
      <w:pPr>
        <w:spacing w:after="120" w:line="240" w:lineRule="auto"/>
        <w:ind w:left="539" w:hanging="539"/>
        <w:rPr>
          <w:sz w:val="24"/>
        </w:rPr>
      </w:pPr>
      <w:r w:rsidRPr="00044FEE">
        <w:t>Reform Judaism, ‘The Talmud’, reformjudaism.org.  &lt;http://www.reformjudaism.org/talmud#sthash.mPmsNVtr.dpuf&gt; [accessed 14.5.16].</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Robertson, Archibald and Alfred Plummer, </w:t>
      </w:r>
      <w:r w:rsidRPr="00044FEE">
        <w:rPr>
          <w:rFonts w:ascii="Perpetua" w:hAnsi="Perpetua"/>
          <w:i/>
          <w:sz w:val="22"/>
          <w:szCs w:val="22"/>
        </w:rPr>
        <w:t xml:space="preserve">A Critical and Exegetical Commentary of the First Epistle of St. Paul to the Corinthians </w:t>
      </w:r>
      <w:r w:rsidRPr="00044FEE">
        <w:rPr>
          <w:rFonts w:ascii="Perpetua" w:hAnsi="Perpetua"/>
          <w:sz w:val="22"/>
          <w:szCs w:val="22"/>
        </w:rPr>
        <w:t>(Edinburgh: T. &amp; T. Clark, 1911).</w:t>
      </w:r>
    </w:p>
    <w:p w:rsidR="00616C1F" w:rsidRPr="00044FEE" w:rsidRDefault="00616C1F" w:rsidP="00616C1F">
      <w:pPr>
        <w:pStyle w:val="FootnoteText"/>
        <w:ind w:left="499" w:hanging="499"/>
        <w:rPr>
          <w:rFonts w:ascii="Perpetua" w:hAnsi="Perpetua"/>
          <w:sz w:val="22"/>
          <w:szCs w:val="22"/>
        </w:rPr>
      </w:pPr>
      <w:r w:rsidRPr="00044FEE">
        <w:rPr>
          <w:rFonts w:ascii="Perpetua" w:hAnsi="Perpetua"/>
          <w:sz w:val="22"/>
          <w:szCs w:val="22"/>
        </w:rPr>
        <w:lastRenderedPageBreak/>
        <w:t xml:space="preserve">Robinson, Revd S. V., ‘Believers’ Meeting for Bible Study Report, stenographically reported by </w:t>
      </w:r>
    </w:p>
    <w:p w:rsidR="00616C1F"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Revd S. V. Robinson’ (Toronto:  Toronto Willard Tract Depository, 1888) &lt;https://archive.org/details/cihm_05879&gt; [accessed 12.9.17].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Ryrie, Charles C., </w:t>
      </w:r>
      <w:r w:rsidRPr="00044FEE">
        <w:rPr>
          <w:rFonts w:ascii="Perpetua" w:hAnsi="Perpetua"/>
          <w:i/>
          <w:sz w:val="22"/>
          <w:szCs w:val="22"/>
        </w:rPr>
        <w:t>Dispensationalism Today</w:t>
      </w:r>
      <w:r w:rsidRPr="00044FEE">
        <w:rPr>
          <w:rFonts w:ascii="Perpetua" w:hAnsi="Perpetua"/>
          <w:sz w:val="22"/>
          <w:szCs w:val="22"/>
        </w:rPr>
        <w:t xml:space="preserve"> (Chicago: Moody Press, 1965).</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Dispensationalism: Revised and Expanded</w:t>
      </w:r>
      <w:r w:rsidRPr="00044FEE">
        <w:rPr>
          <w:rFonts w:ascii="Perpetua" w:hAnsi="Perpetua"/>
          <w:sz w:val="22"/>
          <w:szCs w:val="22"/>
        </w:rPr>
        <w:t xml:space="preserve"> (Chicago: Moody Press, 1995, 2007).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Ryrie Study Bible</w:t>
      </w:r>
      <w:r w:rsidRPr="00044FEE">
        <w:rPr>
          <w:rFonts w:ascii="Perpetua" w:hAnsi="Perpetua"/>
          <w:sz w:val="22"/>
          <w:szCs w:val="22"/>
        </w:rPr>
        <w:t xml:space="preserve"> (Chicago: Moody Bible Institute of Chicago, 1976, 1978).</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         —  </w:t>
      </w:r>
      <w:r w:rsidRPr="00044FEE">
        <w:rPr>
          <w:rFonts w:ascii="Perpetua" w:hAnsi="Perpetua"/>
          <w:i/>
          <w:sz w:val="22"/>
          <w:szCs w:val="22"/>
        </w:rPr>
        <w:t>The Basis of Premillennial Faith</w:t>
      </w:r>
      <w:r w:rsidRPr="00044FEE">
        <w:rPr>
          <w:rFonts w:ascii="Perpetua" w:hAnsi="Perpetua"/>
          <w:sz w:val="22"/>
          <w:szCs w:val="22"/>
        </w:rPr>
        <w:t xml:space="preserve"> (Neptune, New Jersey: Loizeaux Brothers, Inc., 1953) &lt;http://bartimaeus.us/pub_dom/premille.html&gt; [accessed 18.9.17].</w:t>
      </w:r>
    </w:p>
    <w:p w:rsidR="00616C1F" w:rsidRPr="00044FEE" w:rsidRDefault="00616C1F" w:rsidP="00616C1F">
      <w:pPr>
        <w:pStyle w:val="FootnoteText"/>
        <w:spacing w:after="120"/>
        <w:ind w:left="500" w:hanging="500"/>
        <w:rPr>
          <w:rFonts w:ascii="Perpetua" w:hAnsi="Perpetua"/>
          <w:sz w:val="22"/>
          <w:szCs w:val="22"/>
        </w:rPr>
      </w:pPr>
      <w:r w:rsidRPr="00044FEE">
        <w:rPr>
          <w:rFonts w:ascii="Perpetua" w:hAnsi="Perpetua"/>
          <w:sz w:val="22"/>
          <w:szCs w:val="22"/>
        </w:rPr>
        <w:t xml:space="preserve">Sandeen, Ernest R., </w:t>
      </w:r>
      <w:r w:rsidRPr="00044FEE">
        <w:rPr>
          <w:rFonts w:ascii="Perpetua" w:hAnsi="Perpetua"/>
          <w:i/>
          <w:sz w:val="22"/>
          <w:szCs w:val="22"/>
        </w:rPr>
        <w:t>The Roots of Fundamentalism: British and American Millenarianism 1800-1930</w:t>
      </w:r>
      <w:r w:rsidRPr="00044FEE">
        <w:rPr>
          <w:rFonts w:ascii="Perpetua" w:hAnsi="Perpetua"/>
          <w:sz w:val="22"/>
          <w:szCs w:val="22"/>
        </w:rPr>
        <w:t xml:space="preserve"> (Chicago and London: The University of Chicago Press, 1970). </w:t>
      </w:r>
    </w:p>
    <w:p w:rsidR="00616C1F" w:rsidRPr="00044FEE" w:rsidRDefault="00616C1F" w:rsidP="00616C1F">
      <w:pPr>
        <w:pStyle w:val="FootnoteText"/>
        <w:spacing w:after="120"/>
        <w:ind w:left="500" w:hanging="500"/>
        <w:rPr>
          <w:rFonts w:ascii="Perpetua" w:hAnsi="Perpetua"/>
          <w:bCs/>
          <w:kern w:val="36"/>
          <w:sz w:val="22"/>
          <w:szCs w:val="22"/>
          <w:lang w:eastAsia="en-GB"/>
        </w:rPr>
      </w:pPr>
      <w:r w:rsidRPr="00044FEE">
        <w:rPr>
          <w:rFonts w:ascii="Perpetua" w:hAnsi="Perpetua"/>
          <w:sz w:val="22"/>
          <w:szCs w:val="22"/>
        </w:rPr>
        <w:t>Sarver, Mark, ‘</w:t>
      </w:r>
      <w:r w:rsidRPr="00044FEE">
        <w:rPr>
          <w:rFonts w:ascii="Perpetua" w:hAnsi="Perpetua"/>
          <w:bCs/>
          <w:kern w:val="36"/>
          <w:sz w:val="22"/>
          <w:szCs w:val="22"/>
          <w:lang w:eastAsia="en-GB"/>
        </w:rPr>
        <w:t>Dispensationalism: Part III – The Development and Spread of Dispensationalism in America’, Grace Online Library &lt;http://www.graceonlinelibrary.org/eschatology/dispensationalism/dispensationalism-part-iii-the-development-and-spread-of-dispensationalism-in-america-by-mark-sarver/&gt; [accessed 11.5.15].</w:t>
      </w:r>
    </w:p>
    <w:p w:rsidR="00616C1F" w:rsidRDefault="00616C1F" w:rsidP="00616C1F">
      <w:pPr>
        <w:pStyle w:val="FootnoteText"/>
        <w:ind w:left="499" w:hanging="499"/>
        <w:rPr>
          <w:rFonts w:ascii="Perpetua" w:hAnsi="Perpetua"/>
          <w:bCs/>
          <w:i/>
          <w:kern w:val="36"/>
          <w:sz w:val="22"/>
          <w:szCs w:val="22"/>
          <w:lang w:eastAsia="en-GB"/>
        </w:rPr>
      </w:pPr>
      <w:r w:rsidRPr="00044FEE">
        <w:rPr>
          <w:rFonts w:ascii="Perpetua" w:hAnsi="Perpetua"/>
          <w:bCs/>
          <w:kern w:val="36"/>
          <w:sz w:val="22"/>
          <w:szCs w:val="22"/>
          <w:lang w:eastAsia="en-GB"/>
        </w:rPr>
        <w:t xml:space="preserve">Saucy, Robert L., </w:t>
      </w:r>
      <w:r w:rsidRPr="00044FEE">
        <w:rPr>
          <w:rFonts w:ascii="Perpetua" w:hAnsi="Perpetua"/>
          <w:bCs/>
          <w:i/>
          <w:kern w:val="36"/>
          <w:sz w:val="22"/>
          <w:szCs w:val="22"/>
          <w:lang w:eastAsia="en-GB"/>
        </w:rPr>
        <w:t xml:space="preserve">The Case for Progressive Dispensationalism: The Interface Between Dispensational </w:t>
      </w:r>
    </w:p>
    <w:p w:rsidR="00616C1F" w:rsidRPr="00044FEE" w:rsidRDefault="00616C1F" w:rsidP="00616C1F">
      <w:pPr>
        <w:pStyle w:val="FootnoteText"/>
        <w:spacing w:after="120"/>
        <w:ind w:left="500" w:firstLine="67"/>
        <w:rPr>
          <w:rFonts w:ascii="Perpetua" w:hAnsi="Perpetua"/>
          <w:bCs/>
          <w:kern w:val="36"/>
          <w:sz w:val="22"/>
          <w:szCs w:val="22"/>
          <w:lang w:eastAsia="en-GB"/>
        </w:rPr>
      </w:pPr>
      <w:r w:rsidRPr="00044FEE">
        <w:rPr>
          <w:rFonts w:ascii="Perpetua" w:hAnsi="Perpetua"/>
          <w:bCs/>
          <w:i/>
          <w:kern w:val="36"/>
          <w:sz w:val="22"/>
          <w:szCs w:val="22"/>
          <w:lang w:eastAsia="en-GB"/>
        </w:rPr>
        <w:t>&amp; Non-Dispensational Theology</w:t>
      </w:r>
      <w:r w:rsidRPr="00044FEE">
        <w:rPr>
          <w:rFonts w:ascii="Perpetua" w:hAnsi="Perpetua"/>
          <w:bCs/>
          <w:kern w:val="36"/>
          <w:sz w:val="22"/>
          <w:szCs w:val="22"/>
          <w:lang w:eastAsia="en-GB"/>
        </w:rPr>
        <w:t xml:space="preserve"> (Grand Rapids, Michigan: Zondervan Publishing House, 1993).</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Scofield, Cyrus Ingersoll (</w:t>
      </w:r>
      <w:r w:rsidRPr="00044FEE">
        <w:rPr>
          <w:rFonts w:ascii="Perpetua" w:hAnsi="Perpetua"/>
          <w:i/>
          <w:sz w:val="22"/>
          <w:szCs w:val="22"/>
        </w:rPr>
        <w:t>sic</w:t>
      </w:r>
      <w:r w:rsidRPr="00044FEE">
        <w:rPr>
          <w:rFonts w:ascii="Perpetua" w:hAnsi="Perpetua"/>
          <w:sz w:val="22"/>
          <w:szCs w:val="22"/>
        </w:rPr>
        <w:t xml:space="preserve">), </w:t>
      </w:r>
      <w:r w:rsidRPr="00044FEE">
        <w:rPr>
          <w:rFonts w:ascii="Perpetua" w:hAnsi="Perpetua"/>
          <w:i/>
          <w:sz w:val="22"/>
          <w:szCs w:val="22"/>
        </w:rPr>
        <w:t xml:space="preserve">Rightly Dividing the Word of Truth: Being 10 Studies of the More Important Divisions of Scripture </w:t>
      </w:r>
      <w:r w:rsidRPr="00044FEE">
        <w:rPr>
          <w:rFonts w:ascii="Perpetua" w:hAnsi="Perpetua"/>
          <w:sz w:val="22"/>
          <w:szCs w:val="22"/>
        </w:rPr>
        <w:t>(Windber, Pennsylvania: Classic Reprint Press, 2007, original printing 1885).</w:t>
      </w:r>
    </w:p>
    <w:p w:rsidR="00616C1F" w:rsidRPr="00044FEE" w:rsidRDefault="00616C1F" w:rsidP="00616C1F">
      <w:pPr>
        <w:pStyle w:val="FootnoteText"/>
        <w:spacing w:after="120"/>
        <w:ind w:left="426" w:hanging="426"/>
        <w:rPr>
          <w:rFonts w:ascii="Perpetua" w:hAnsi="Perpetua"/>
          <w:sz w:val="22"/>
          <w:szCs w:val="22"/>
        </w:rPr>
      </w:pPr>
      <w:r w:rsidRPr="00044FEE">
        <w:rPr>
          <w:rFonts w:ascii="Perpetua" w:hAnsi="Perpetua"/>
          <w:sz w:val="22"/>
          <w:szCs w:val="22"/>
        </w:rPr>
        <w:t xml:space="preserve">Scofield, Cyrus Ingerson, </w:t>
      </w:r>
      <w:r w:rsidRPr="00044FEE">
        <w:rPr>
          <w:rFonts w:ascii="Perpetua" w:hAnsi="Perpetua"/>
          <w:i/>
          <w:sz w:val="22"/>
          <w:szCs w:val="22"/>
        </w:rPr>
        <w:t>The Scofield Reference Bible: the Holy Bible, containing the Old and New Testaments, edited by Rev. C. I. Scofield, D.D.</w:t>
      </w:r>
      <w:r w:rsidRPr="00044FEE">
        <w:rPr>
          <w:rFonts w:ascii="Perpetua" w:hAnsi="Perpetua"/>
          <w:sz w:val="22"/>
          <w:szCs w:val="22"/>
        </w:rPr>
        <w:t xml:space="preserve"> (Revised edition, London: Oxford University Press, 1917).</w:t>
      </w:r>
    </w:p>
    <w:p w:rsidR="00616C1F" w:rsidRPr="00044FEE" w:rsidRDefault="00616C1F" w:rsidP="00616C1F">
      <w:pPr>
        <w:pStyle w:val="FootnoteText"/>
        <w:spacing w:after="120"/>
        <w:ind w:left="499"/>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Holy Bible, Concordance, New Scofield Reference Edition</w:t>
      </w:r>
      <w:r w:rsidRPr="00044FEE">
        <w:rPr>
          <w:rFonts w:ascii="Perpetua" w:hAnsi="Perpetua"/>
          <w:sz w:val="22"/>
          <w:szCs w:val="22"/>
        </w:rPr>
        <w:t>, ed. C. I. Scofield, Editorial Committee of the new edition: E. Schuyler English, chairman (New York, Oxford University Press, 1967).</w:t>
      </w:r>
    </w:p>
    <w:p w:rsidR="00616C1F" w:rsidRPr="00044FEE" w:rsidRDefault="00616C1F" w:rsidP="00616C1F">
      <w:pPr>
        <w:pStyle w:val="FootnoteText"/>
        <w:spacing w:after="120"/>
        <w:ind w:left="499"/>
        <w:rPr>
          <w:rFonts w:ascii="Perpetua" w:hAnsi="Perpetua"/>
          <w:sz w:val="22"/>
          <w:szCs w:val="22"/>
        </w:rPr>
      </w:pPr>
      <w:r w:rsidRPr="00044FEE">
        <w:rPr>
          <w:rFonts w:ascii="Perpetua" w:hAnsi="Perpetua"/>
          <w:sz w:val="22"/>
          <w:szCs w:val="22"/>
        </w:rPr>
        <w:t xml:space="preserve">—   </w:t>
      </w:r>
      <w:r w:rsidRPr="00044FEE">
        <w:rPr>
          <w:rFonts w:ascii="Perpetua" w:hAnsi="Perpetua"/>
          <w:i/>
          <w:sz w:val="22"/>
          <w:szCs w:val="22"/>
        </w:rPr>
        <w:t>The Scofield Study Bible III, King James Version</w:t>
      </w:r>
      <w:r w:rsidRPr="00044FEE">
        <w:rPr>
          <w:rFonts w:ascii="Perpetua" w:hAnsi="Perpetua"/>
          <w:sz w:val="22"/>
          <w:szCs w:val="22"/>
        </w:rPr>
        <w:t>, ed. C. I. Scofield, Editorial Committee of the new edition: E. Schuyler English, chairman, contributing ed., 2003 edition, Doris W. Rikkers (New York, Oxford University Press, 2003).</w:t>
      </w:r>
    </w:p>
    <w:p w:rsidR="00616C1F" w:rsidRPr="00044FEE" w:rsidRDefault="00616C1F" w:rsidP="00616C1F">
      <w:pPr>
        <w:autoSpaceDE w:val="0"/>
        <w:autoSpaceDN w:val="0"/>
        <w:adjustRightInd w:val="0"/>
        <w:spacing w:after="120" w:line="240" w:lineRule="auto"/>
        <w:ind w:left="540" w:right="71" w:firstLine="27"/>
      </w:pPr>
      <w:r w:rsidRPr="00044FEE">
        <w:t xml:space="preserve">—   </w:t>
      </w:r>
      <w:r w:rsidRPr="00044FEE">
        <w:rPr>
          <w:i/>
        </w:rPr>
        <w:t>Prophecy Made Plain: “Addresses on Prophecy”</w:t>
      </w:r>
      <w:r w:rsidRPr="00044FEE">
        <w:t xml:space="preserve"> (Glasgow: Pickering and Inglis, Printers and Publishers, no date given).</w:t>
      </w:r>
      <w:r w:rsidRPr="00044FEE">
        <w:rPr>
          <w:rStyle w:val="FootnoteReference"/>
        </w:rPr>
        <w:footnoteReference w:id="101"/>
      </w:r>
    </w:p>
    <w:p w:rsidR="00616C1F" w:rsidRPr="00044FEE" w:rsidRDefault="00616C1F" w:rsidP="00616C1F">
      <w:pPr>
        <w:autoSpaceDE w:val="0"/>
        <w:autoSpaceDN w:val="0"/>
        <w:adjustRightInd w:val="0"/>
        <w:spacing w:after="120" w:line="240" w:lineRule="auto"/>
        <w:ind w:left="540" w:right="71" w:hanging="540"/>
      </w:pPr>
      <w:r w:rsidRPr="00044FEE">
        <w:t xml:space="preserve">           —   </w:t>
      </w:r>
      <w:r w:rsidRPr="00044FEE">
        <w:rPr>
          <w:i/>
        </w:rPr>
        <w:t>The Scofield Bible Correspondence Course, Vol. 1, Old Testament</w:t>
      </w:r>
      <w:r w:rsidRPr="00044FEE">
        <w:t xml:space="preserve"> (Chicago: Moody Bible Institute Correspondence Department, Fifteenth Edition, copyright by C. I. Scofield, 1907).</w:t>
      </w:r>
    </w:p>
    <w:p w:rsidR="00616C1F" w:rsidRPr="00044FEE" w:rsidRDefault="00616C1F" w:rsidP="00616C1F">
      <w:pPr>
        <w:autoSpaceDE w:val="0"/>
        <w:autoSpaceDN w:val="0"/>
        <w:adjustRightInd w:val="0"/>
        <w:spacing w:after="120" w:line="240" w:lineRule="auto"/>
        <w:ind w:left="540" w:right="71" w:hanging="540"/>
      </w:pPr>
      <w:r w:rsidRPr="00044FEE">
        <w:t xml:space="preserve">            —   </w:t>
      </w:r>
      <w:r w:rsidRPr="00044FEE">
        <w:rPr>
          <w:i/>
        </w:rPr>
        <w:t>The Scofield Bible Correspondence Course, Vol. 2, New Testament</w:t>
      </w:r>
      <w:r w:rsidRPr="00044FEE">
        <w:t xml:space="preserve"> (Chicago: Moody Bible Institute Correspondence Department, 1907, 20</w:t>
      </w:r>
      <w:r w:rsidRPr="00044FEE">
        <w:rPr>
          <w:vertAlign w:val="superscript"/>
        </w:rPr>
        <w:t>th</w:t>
      </w:r>
      <w:r w:rsidRPr="00044FEE">
        <w:t xml:space="preserve"> edition, 1934).</w:t>
      </w:r>
    </w:p>
    <w:p w:rsidR="00616C1F" w:rsidRPr="00044FEE" w:rsidRDefault="00616C1F" w:rsidP="00616C1F">
      <w:pPr>
        <w:autoSpaceDE w:val="0"/>
        <w:autoSpaceDN w:val="0"/>
        <w:adjustRightInd w:val="0"/>
        <w:spacing w:after="120" w:line="240" w:lineRule="auto"/>
        <w:ind w:left="540" w:right="71" w:hanging="540"/>
      </w:pPr>
      <w:r w:rsidRPr="00044FEE">
        <w:t xml:space="preserve">        —   </w:t>
      </w:r>
      <w:r w:rsidRPr="00044FEE">
        <w:rPr>
          <w:i/>
        </w:rPr>
        <w:t>Things Old and New: Old and New Testament Studies</w:t>
      </w:r>
      <w:r w:rsidRPr="00044FEE">
        <w:t xml:space="preserve"> (ed. Arno C. Gaebelein, New York: Publication Office “Our Hope”, 1920). </w:t>
      </w:r>
    </w:p>
    <w:p w:rsidR="00616C1F" w:rsidRDefault="00616C1F" w:rsidP="00616C1F">
      <w:pPr>
        <w:pStyle w:val="FootnoteText"/>
        <w:ind w:left="499" w:hanging="499"/>
        <w:rPr>
          <w:rFonts w:ascii="Perpetua" w:hAnsi="Perpetua"/>
          <w:sz w:val="22"/>
          <w:szCs w:val="22"/>
        </w:rPr>
      </w:pPr>
      <w:r w:rsidRPr="00044FEE">
        <w:rPr>
          <w:rFonts w:ascii="Perpetua" w:hAnsi="Perpetua"/>
          <w:sz w:val="22"/>
          <w:szCs w:val="22"/>
        </w:rPr>
        <w:t xml:space="preserve">Seitz, Christopher R., </w:t>
      </w:r>
      <w:r w:rsidRPr="00044FEE">
        <w:rPr>
          <w:rFonts w:ascii="Perpetua" w:hAnsi="Perpetua"/>
          <w:i/>
          <w:sz w:val="22"/>
          <w:szCs w:val="22"/>
        </w:rPr>
        <w:t>Prophecy and Hermeneutics: Toward a New Introduction to the Prophets</w:t>
      </w:r>
      <w:r w:rsidRPr="00044FEE">
        <w:rPr>
          <w:rFonts w:ascii="Perpetua" w:hAnsi="Perpetua"/>
          <w:sz w:val="22"/>
          <w:szCs w:val="22"/>
        </w:rPr>
        <w:t xml:space="preserve"> </w:t>
      </w:r>
    </w:p>
    <w:p w:rsidR="00616C1F" w:rsidRPr="00044FEE" w:rsidRDefault="00616C1F" w:rsidP="00616C1F">
      <w:pPr>
        <w:pStyle w:val="FootnoteText"/>
        <w:spacing w:after="120"/>
        <w:ind w:left="499" w:firstLine="68"/>
        <w:rPr>
          <w:rFonts w:ascii="Perpetua" w:hAnsi="Perpetua"/>
          <w:sz w:val="22"/>
          <w:szCs w:val="22"/>
        </w:rPr>
      </w:pPr>
      <w:r w:rsidRPr="00044FEE">
        <w:rPr>
          <w:rFonts w:ascii="Perpetua" w:hAnsi="Perpetua"/>
          <w:sz w:val="22"/>
          <w:szCs w:val="22"/>
        </w:rPr>
        <w:t>(Grand Rapids: Baker Academic, 2007).</w:t>
      </w:r>
    </w:p>
    <w:p w:rsidR="00616C1F" w:rsidRPr="00044FEE" w:rsidRDefault="00616C1F" w:rsidP="002750AB">
      <w:pPr>
        <w:pStyle w:val="FootnoteText"/>
        <w:spacing w:after="120"/>
        <w:ind w:left="499" w:hanging="499"/>
        <w:rPr>
          <w:rFonts w:ascii="Perpetua" w:hAnsi="Perpetua"/>
          <w:sz w:val="22"/>
          <w:szCs w:val="22"/>
        </w:rPr>
      </w:pPr>
      <w:r w:rsidRPr="00044FEE">
        <w:rPr>
          <w:rFonts w:ascii="Perpetua" w:hAnsi="Perpetua"/>
          <w:sz w:val="22"/>
          <w:szCs w:val="22"/>
        </w:rPr>
        <w:t xml:space="preserve">Sizer, Stephen, </w:t>
      </w:r>
      <w:r w:rsidRPr="00044FEE">
        <w:rPr>
          <w:rFonts w:ascii="Perpetua" w:hAnsi="Perpetua"/>
          <w:i/>
          <w:sz w:val="22"/>
          <w:szCs w:val="22"/>
        </w:rPr>
        <w:t>Christian Zionism: Road-map to Armageddon?</w:t>
      </w:r>
      <w:r w:rsidRPr="00044FEE">
        <w:rPr>
          <w:rFonts w:ascii="Perpetua" w:hAnsi="Perpetua"/>
          <w:sz w:val="22"/>
          <w:szCs w:val="22"/>
        </w:rPr>
        <w:t xml:space="preserve"> (Leicester: Inter-Varsity Press, 2004).</w:t>
      </w:r>
    </w:p>
    <w:p w:rsidR="00616C1F" w:rsidRPr="00044FEE" w:rsidRDefault="004D7049" w:rsidP="002750AB">
      <w:pPr>
        <w:pStyle w:val="FootnoteText"/>
        <w:ind w:left="499" w:hanging="499"/>
        <w:rPr>
          <w:rFonts w:ascii="Perpetua" w:hAnsi="Perpetua"/>
          <w:bCs/>
          <w:i/>
          <w:sz w:val="22"/>
          <w:szCs w:val="22"/>
        </w:rPr>
      </w:pPr>
      <w:r w:rsidRPr="00044FEE">
        <w:rPr>
          <w:rFonts w:ascii="Perpetua" w:hAnsi="Perpetua"/>
          <w:sz w:val="22"/>
          <w:szCs w:val="22"/>
        </w:rPr>
        <w:lastRenderedPageBreak/>
        <w:t xml:space="preserve">Sizer, Stephen, </w:t>
      </w:r>
      <w:proofErr w:type="gramStart"/>
      <w:r w:rsidR="00616C1F" w:rsidRPr="00044FEE">
        <w:rPr>
          <w:rFonts w:ascii="Perpetua" w:hAnsi="Perpetua"/>
          <w:sz w:val="22"/>
          <w:szCs w:val="22"/>
          <w:lang w:val="en-US"/>
        </w:rPr>
        <w:t>The</w:t>
      </w:r>
      <w:proofErr w:type="gramEnd"/>
      <w:r w:rsidR="00616C1F" w:rsidRPr="00044FEE">
        <w:rPr>
          <w:rFonts w:ascii="Perpetua" w:hAnsi="Perpetua"/>
          <w:sz w:val="22"/>
          <w:szCs w:val="22"/>
          <w:lang w:val="en-US"/>
        </w:rPr>
        <w:t xml:space="preserve"> Denigration of the Church Within the Purposes of God</w:t>
      </w:r>
      <w:r w:rsidR="00616C1F" w:rsidRPr="00044FEE">
        <w:rPr>
          <w:rFonts w:ascii="Perpetua" w:hAnsi="Perpetua"/>
          <w:sz w:val="22"/>
          <w:szCs w:val="22"/>
        </w:rPr>
        <w:t xml:space="preserve">’, in </w:t>
      </w:r>
      <w:r w:rsidR="00616C1F" w:rsidRPr="00044FEE">
        <w:rPr>
          <w:rFonts w:ascii="Perpetua" w:hAnsi="Perpetua"/>
          <w:bCs/>
          <w:i/>
          <w:sz w:val="22"/>
          <w:szCs w:val="22"/>
        </w:rPr>
        <w:t>Cyrus Ingerson Scofield</w:t>
      </w:r>
      <w:r w:rsidR="00616C1F" w:rsidRPr="00044FEE">
        <w:rPr>
          <w:rFonts w:ascii="Perpetua" w:hAnsi="Perpetua"/>
          <w:i/>
          <w:sz w:val="22"/>
          <w:szCs w:val="22"/>
        </w:rPr>
        <w:t xml:space="preserve"> </w:t>
      </w:r>
      <w:r w:rsidR="002750AB">
        <w:rPr>
          <w:rFonts w:ascii="Perpetua" w:hAnsi="Perpetua"/>
          <w:bCs/>
          <w:i/>
          <w:sz w:val="22"/>
          <w:szCs w:val="22"/>
        </w:rPr>
        <w:t>(1843-</w:t>
      </w:r>
      <w:r w:rsidR="00616C1F" w:rsidRPr="00044FEE">
        <w:rPr>
          <w:rFonts w:ascii="Perpetua" w:hAnsi="Perpetua"/>
          <w:bCs/>
          <w:i/>
          <w:sz w:val="22"/>
          <w:szCs w:val="22"/>
        </w:rPr>
        <w:t>1921)</w:t>
      </w:r>
      <w:r w:rsidR="00616C1F" w:rsidRPr="00044FEE">
        <w:rPr>
          <w:rFonts w:ascii="Perpetua" w:hAnsi="Perpetua"/>
          <w:i/>
          <w:sz w:val="22"/>
          <w:szCs w:val="22"/>
        </w:rPr>
        <w:t xml:space="preserve"> </w:t>
      </w:r>
      <w:r w:rsidR="00616C1F" w:rsidRPr="00044FEE">
        <w:rPr>
          <w:rFonts w:ascii="Perpetua" w:hAnsi="Perpetua"/>
          <w:bCs/>
          <w:i/>
          <w:sz w:val="22"/>
          <w:szCs w:val="22"/>
        </w:rPr>
        <w:t xml:space="preserve">The Author of the Scofield Reference Bible </w:t>
      </w:r>
    </w:p>
    <w:p w:rsidR="00616C1F" w:rsidRPr="00044FEE" w:rsidRDefault="00616C1F" w:rsidP="00616C1F">
      <w:pPr>
        <w:pStyle w:val="FootnoteText"/>
        <w:spacing w:after="120"/>
        <w:ind w:left="499" w:firstLine="68"/>
        <w:rPr>
          <w:rFonts w:ascii="Perpetua" w:hAnsi="Perpetua"/>
          <w:sz w:val="22"/>
          <w:szCs w:val="22"/>
          <w:lang w:val="en-US"/>
        </w:rPr>
      </w:pPr>
      <w:r w:rsidRPr="00044FEE">
        <w:rPr>
          <w:rFonts w:ascii="Perpetua" w:hAnsi="Perpetua"/>
          <w:sz w:val="22"/>
          <w:szCs w:val="22"/>
          <w:lang w:val="en-US"/>
        </w:rPr>
        <w:t>&lt;http://www.cc-vw.org/articles/scofield1.html&gt; [accessed 7.7.11].</w:t>
      </w:r>
      <w:r w:rsidR="00486516">
        <w:rPr>
          <w:rFonts w:ascii="Perpetua" w:hAnsi="Perpetua"/>
          <w:sz w:val="22"/>
          <w:szCs w:val="22"/>
          <w:lang w:val="en-US"/>
        </w:rPr>
        <w:t xml:space="preserve">  </w:t>
      </w:r>
    </w:p>
    <w:p w:rsidR="00616C1F" w:rsidRPr="00044FEE" w:rsidRDefault="004D7049" w:rsidP="00616C1F">
      <w:pPr>
        <w:pStyle w:val="FootnoteText"/>
        <w:ind w:left="499" w:firstLine="68"/>
        <w:rPr>
          <w:rFonts w:ascii="Perpetua" w:hAnsi="Perpetua"/>
          <w:bCs/>
          <w:i/>
          <w:sz w:val="22"/>
          <w:szCs w:val="22"/>
        </w:rPr>
      </w:pPr>
      <w:proofErr w:type="gramStart"/>
      <w:r w:rsidRPr="00044FEE">
        <w:rPr>
          <w:rFonts w:ascii="Perpetua" w:hAnsi="Perpetua"/>
          <w:sz w:val="22"/>
          <w:szCs w:val="22"/>
        </w:rPr>
        <w:t xml:space="preserve">—  </w:t>
      </w:r>
      <w:r w:rsidR="00616C1F" w:rsidRPr="00044FEE">
        <w:rPr>
          <w:rFonts w:ascii="Perpetua" w:hAnsi="Perpetua"/>
          <w:sz w:val="22"/>
          <w:szCs w:val="22"/>
        </w:rPr>
        <w:t>‘</w:t>
      </w:r>
      <w:r w:rsidR="00616C1F" w:rsidRPr="00044FEE">
        <w:rPr>
          <w:rFonts w:ascii="Perpetua" w:hAnsi="Perpetua"/>
          <w:sz w:val="22"/>
          <w:szCs w:val="22"/>
          <w:lang w:val="en-US"/>
        </w:rPr>
        <w:t>The</w:t>
      </w:r>
      <w:proofErr w:type="gramEnd"/>
      <w:r w:rsidR="00616C1F" w:rsidRPr="00044FEE">
        <w:rPr>
          <w:rFonts w:ascii="Perpetua" w:hAnsi="Perpetua"/>
          <w:sz w:val="22"/>
          <w:szCs w:val="22"/>
          <w:lang w:val="en-US"/>
        </w:rPr>
        <w:t xml:space="preserve"> Elevation of National Israel to a Superior Role over the Church</w:t>
      </w:r>
      <w:r w:rsidR="00616C1F" w:rsidRPr="00044FEE">
        <w:rPr>
          <w:rFonts w:ascii="Perpetua" w:hAnsi="Perpetua"/>
          <w:sz w:val="22"/>
          <w:szCs w:val="22"/>
        </w:rPr>
        <w:t xml:space="preserve">’, in </w:t>
      </w:r>
      <w:r w:rsidR="00616C1F" w:rsidRPr="00044FEE">
        <w:rPr>
          <w:rFonts w:ascii="Perpetua" w:hAnsi="Perpetua"/>
          <w:bCs/>
          <w:i/>
          <w:sz w:val="22"/>
          <w:szCs w:val="22"/>
        </w:rPr>
        <w:t>Cyrus Ingerson Scofield</w:t>
      </w:r>
      <w:r w:rsidR="00616C1F" w:rsidRPr="00044FEE">
        <w:rPr>
          <w:rFonts w:ascii="Perpetua" w:hAnsi="Perpetua"/>
          <w:i/>
          <w:sz w:val="22"/>
          <w:szCs w:val="22"/>
        </w:rPr>
        <w:t xml:space="preserve"> </w:t>
      </w:r>
      <w:r w:rsidR="00616C1F" w:rsidRPr="00044FEE">
        <w:rPr>
          <w:rFonts w:ascii="Perpetua" w:hAnsi="Perpetua"/>
          <w:bCs/>
          <w:i/>
          <w:sz w:val="22"/>
          <w:szCs w:val="22"/>
        </w:rPr>
        <w:t>(1843-1921)</w:t>
      </w:r>
      <w:r w:rsidR="00616C1F" w:rsidRPr="00044FEE">
        <w:rPr>
          <w:rFonts w:ascii="Perpetua" w:hAnsi="Perpetua"/>
          <w:i/>
          <w:sz w:val="22"/>
          <w:szCs w:val="22"/>
        </w:rPr>
        <w:t xml:space="preserve"> </w:t>
      </w:r>
      <w:r w:rsidR="00616C1F" w:rsidRPr="00044FEE">
        <w:rPr>
          <w:rFonts w:ascii="Perpetua" w:hAnsi="Perpetua"/>
          <w:bCs/>
          <w:i/>
          <w:sz w:val="22"/>
          <w:szCs w:val="22"/>
        </w:rPr>
        <w:t>The Author of the Scofield Reference Bible</w:t>
      </w:r>
    </w:p>
    <w:p w:rsidR="00616C1F" w:rsidRPr="00044FEE" w:rsidRDefault="00616C1F" w:rsidP="00616C1F">
      <w:pPr>
        <w:pStyle w:val="FootnoteText"/>
        <w:spacing w:after="120"/>
        <w:ind w:left="500" w:firstLine="67"/>
        <w:rPr>
          <w:rFonts w:ascii="Perpetua" w:hAnsi="Perpetua"/>
          <w:sz w:val="22"/>
          <w:szCs w:val="22"/>
        </w:rPr>
      </w:pPr>
      <w:r w:rsidRPr="00044FEE">
        <w:rPr>
          <w:rFonts w:ascii="Perpetua" w:hAnsi="Perpetua"/>
          <w:sz w:val="22"/>
          <w:szCs w:val="22"/>
          <w:lang w:val="en-US"/>
        </w:rPr>
        <w:t xml:space="preserve"> &lt;http://www.cc-vw.org/articles/scofield1.html&gt; [accessed 7.7.11].</w:t>
      </w:r>
      <w:r w:rsidRPr="00044FEE">
        <w:rPr>
          <w:rFonts w:ascii="Perpetua" w:hAnsi="Perpetua"/>
          <w:sz w:val="22"/>
          <w:szCs w:val="22"/>
        </w:rPr>
        <w:t xml:space="preserve"> </w:t>
      </w:r>
    </w:p>
    <w:p w:rsidR="00616C1F" w:rsidRPr="00044FEE" w:rsidRDefault="00616C1F" w:rsidP="00616C1F">
      <w:pPr>
        <w:pStyle w:val="FootnoteText"/>
        <w:ind w:left="499" w:firstLine="68"/>
        <w:rPr>
          <w:rFonts w:ascii="Perpetua" w:hAnsi="Perpetua"/>
          <w:sz w:val="22"/>
          <w:szCs w:val="22"/>
          <w:lang w:val="en-US"/>
        </w:rPr>
      </w:pPr>
      <w:r w:rsidRPr="00044FEE">
        <w:rPr>
          <w:rFonts w:ascii="Perpetua" w:hAnsi="Perpetua"/>
          <w:sz w:val="22"/>
          <w:szCs w:val="22"/>
        </w:rPr>
        <w:t>—  ‘</w:t>
      </w:r>
      <w:r w:rsidRPr="00044FEE">
        <w:rPr>
          <w:rFonts w:ascii="Perpetua" w:hAnsi="Perpetua"/>
          <w:sz w:val="22"/>
          <w:szCs w:val="22"/>
          <w:lang w:val="en-US"/>
        </w:rPr>
        <w:t>The Significance of the Scofield Reference Bible</w:t>
      </w:r>
      <w:r w:rsidRPr="00044FEE">
        <w:rPr>
          <w:rFonts w:ascii="Perpetua" w:hAnsi="Perpetua"/>
          <w:sz w:val="22"/>
          <w:szCs w:val="22"/>
        </w:rPr>
        <w:t xml:space="preserve">’, in </w:t>
      </w:r>
      <w:r w:rsidRPr="00044FEE">
        <w:rPr>
          <w:rFonts w:ascii="Perpetua" w:hAnsi="Perpetua"/>
          <w:bCs/>
          <w:i/>
          <w:sz w:val="22"/>
          <w:szCs w:val="22"/>
        </w:rPr>
        <w:t>Cyrus Ingerson Scofield</w:t>
      </w:r>
      <w:r w:rsidRPr="00044FEE">
        <w:rPr>
          <w:rFonts w:ascii="Perpetua" w:hAnsi="Perpetua"/>
          <w:i/>
          <w:sz w:val="22"/>
          <w:szCs w:val="22"/>
        </w:rPr>
        <w:t xml:space="preserve"> </w:t>
      </w:r>
      <w:r w:rsidRPr="00044FEE">
        <w:rPr>
          <w:rFonts w:ascii="Perpetua" w:hAnsi="Perpetua"/>
          <w:bCs/>
          <w:i/>
          <w:sz w:val="22"/>
          <w:szCs w:val="22"/>
        </w:rPr>
        <w:t>(1843-1921)</w:t>
      </w:r>
      <w:r w:rsidRPr="00044FEE">
        <w:rPr>
          <w:rFonts w:ascii="Perpetua" w:hAnsi="Perpetua"/>
          <w:i/>
          <w:sz w:val="22"/>
          <w:szCs w:val="22"/>
        </w:rPr>
        <w:t xml:space="preserve"> </w:t>
      </w:r>
      <w:r w:rsidRPr="00044FEE">
        <w:rPr>
          <w:rFonts w:ascii="Perpetua" w:hAnsi="Perpetua"/>
          <w:bCs/>
          <w:i/>
          <w:sz w:val="22"/>
          <w:szCs w:val="22"/>
        </w:rPr>
        <w:t>The Author of the Scofield Reference Bible</w:t>
      </w:r>
      <w:r w:rsidRPr="00044FEE">
        <w:rPr>
          <w:rFonts w:ascii="Perpetua" w:hAnsi="Perpetua"/>
          <w:sz w:val="22"/>
          <w:szCs w:val="22"/>
          <w:lang w:val="en-US"/>
        </w:rPr>
        <w:t xml:space="preserve"> </w:t>
      </w:r>
    </w:p>
    <w:p w:rsidR="00616C1F" w:rsidRPr="00044FEE" w:rsidRDefault="00616C1F" w:rsidP="00616C1F">
      <w:pPr>
        <w:pStyle w:val="FootnoteText"/>
        <w:spacing w:after="120"/>
        <w:rPr>
          <w:rFonts w:ascii="Perpetua" w:hAnsi="Perpetua"/>
          <w:sz w:val="22"/>
          <w:szCs w:val="22"/>
        </w:rPr>
      </w:pPr>
      <w:r w:rsidRPr="00044FEE">
        <w:rPr>
          <w:rFonts w:ascii="Perpetua" w:hAnsi="Perpetua"/>
          <w:sz w:val="22"/>
          <w:szCs w:val="22"/>
          <w:lang w:val="en-US"/>
        </w:rPr>
        <w:t xml:space="preserve">          &lt;http://www.cc-vw.org/articles/scofield1.html&gt; [accessed 7.7.11].</w:t>
      </w:r>
    </w:p>
    <w:p w:rsidR="00616C1F" w:rsidRPr="00044FEE" w:rsidRDefault="00616C1F" w:rsidP="00616C1F">
      <w:pPr>
        <w:autoSpaceDE w:val="0"/>
        <w:autoSpaceDN w:val="0"/>
        <w:adjustRightInd w:val="0"/>
        <w:spacing w:after="120" w:line="240" w:lineRule="auto"/>
        <w:ind w:left="500" w:hanging="500"/>
      </w:pPr>
      <w:r w:rsidRPr="00044FEE">
        <w:t xml:space="preserve">Smith-Christopher, Daniel L., ‘Ezra-Nehemiah’, in John Barton and John Muddiman (eds.) </w:t>
      </w:r>
      <w:r w:rsidRPr="00044FEE">
        <w:rPr>
          <w:i/>
        </w:rPr>
        <w:t>The Oxford Bible Commentary</w:t>
      </w:r>
      <w:r w:rsidRPr="00044FEE">
        <w:t xml:space="preserve"> (Oxford: Oxford University Press, 2001).</w:t>
      </w:r>
    </w:p>
    <w:p w:rsidR="00616C1F" w:rsidRPr="00044FEE" w:rsidRDefault="00616C1F" w:rsidP="00486516">
      <w:pPr>
        <w:autoSpaceDE w:val="0"/>
        <w:autoSpaceDN w:val="0"/>
        <w:adjustRightInd w:val="0"/>
        <w:spacing w:after="0" w:line="240" w:lineRule="auto"/>
        <w:ind w:left="499" w:hanging="499"/>
      </w:pPr>
      <w:r w:rsidRPr="00044FEE">
        <w:t xml:space="preserve">Sofield, Jack C., ‘The Gap Theory of Genesis Chapter 1’, Bible.org </w:t>
      </w:r>
    </w:p>
    <w:p w:rsidR="00616C1F" w:rsidRPr="00044FEE" w:rsidRDefault="00616C1F" w:rsidP="00616C1F">
      <w:pPr>
        <w:autoSpaceDE w:val="0"/>
        <w:autoSpaceDN w:val="0"/>
        <w:adjustRightInd w:val="0"/>
        <w:spacing w:after="120" w:line="240" w:lineRule="auto"/>
        <w:ind w:left="500" w:firstLine="67"/>
      </w:pPr>
      <w:r w:rsidRPr="00044FEE">
        <w:t>&lt;</w:t>
      </w:r>
      <w:r w:rsidRPr="00044FEE">
        <w:rPr>
          <w:bCs/>
          <w:lang w:eastAsia="en-GB"/>
        </w:rPr>
        <w:t>https://bible.org/article/gap-theory-genesis-chapter-one</w:t>
      </w:r>
      <w:r w:rsidRPr="00044FEE">
        <w:t xml:space="preserve">&gt; accessed 10.12.13.  </w:t>
      </w:r>
    </w:p>
    <w:p w:rsidR="00616C1F" w:rsidRPr="00044FEE" w:rsidRDefault="00616C1F" w:rsidP="00616C1F">
      <w:pPr>
        <w:autoSpaceDE w:val="0"/>
        <w:autoSpaceDN w:val="0"/>
        <w:adjustRightInd w:val="0"/>
        <w:spacing w:after="120" w:line="240" w:lineRule="auto"/>
        <w:ind w:left="500" w:hanging="500"/>
      </w:pPr>
      <w:r w:rsidRPr="00044FEE">
        <w:t xml:space="preserve">Stamper, Matthew, </w:t>
      </w:r>
      <w:r w:rsidRPr="00044FEE">
        <w:rPr>
          <w:i/>
        </w:rPr>
        <w:t>Covenantal Dispensationalism: An Examination of the Similarities and Differences Between Covenant Theology and Dispensationalism</w:t>
      </w:r>
      <w:r w:rsidRPr="00044FEE">
        <w:t xml:space="preserve"> (Bloomington, Indiana: West Bow Press, 2010).</w:t>
      </w:r>
    </w:p>
    <w:p w:rsidR="00616C1F" w:rsidRPr="00044FEE" w:rsidRDefault="00616C1F" w:rsidP="00616C1F">
      <w:pPr>
        <w:spacing w:after="120" w:line="240" w:lineRule="auto"/>
        <w:ind w:left="539" w:hanging="539"/>
      </w:pPr>
      <w:r w:rsidRPr="00525DC7">
        <w:rPr>
          <w:spacing w:val="-2"/>
        </w:rPr>
        <w:t xml:space="preserve">Sweet, John, </w:t>
      </w:r>
      <w:r w:rsidRPr="00525DC7">
        <w:rPr>
          <w:i/>
          <w:spacing w:val="-2"/>
        </w:rPr>
        <w:t>Revelation</w:t>
      </w:r>
      <w:r w:rsidRPr="00525DC7">
        <w:rPr>
          <w:spacing w:val="-2"/>
        </w:rPr>
        <w:t xml:space="preserve"> (SCM Pelican Commentaries, D. E. Nineham [ed.], London: SCM Press Ltd., 1979)</w:t>
      </w:r>
      <w:r w:rsidRPr="00044FEE">
        <w:t>.</w:t>
      </w:r>
    </w:p>
    <w:p w:rsidR="00616C1F" w:rsidRDefault="00616C1F" w:rsidP="00486516">
      <w:pPr>
        <w:spacing w:after="0" w:line="240" w:lineRule="auto"/>
        <w:ind w:left="539" w:hanging="539"/>
      </w:pPr>
      <w:r w:rsidRPr="00044FEE">
        <w:t xml:space="preserve">Sweetnam, Mark S., ‘Defining Dispensationalism: A Cultural Studies Perspective’, </w:t>
      </w:r>
    </w:p>
    <w:p w:rsidR="00616C1F" w:rsidRPr="00044FEE" w:rsidRDefault="00616C1F" w:rsidP="00616C1F">
      <w:pPr>
        <w:spacing w:after="120" w:line="240" w:lineRule="auto"/>
        <w:ind w:left="539" w:firstLine="28"/>
      </w:pPr>
      <w:r w:rsidRPr="00044FEE">
        <w:rPr>
          <w:i/>
        </w:rPr>
        <w:t>Journal of Religious History</w:t>
      </w:r>
      <w:r w:rsidRPr="00044FEE">
        <w:t xml:space="preserve">, Vol. 24, No. 2, June 2010. </w:t>
      </w:r>
    </w:p>
    <w:p w:rsidR="00616C1F" w:rsidRPr="00044FEE" w:rsidRDefault="00616C1F" w:rsidP="00616C1F">
      <w:pPr>
        <w:spacing w:after="120" w:line="240" w:lineRule="auto"/>
        <w:ind w:left="539" w:hanging="539"/>
      </w:pPr>
      <w:r w:rsidRPr="00044FEE">
        <w:t xml:space="preserve">Swain, Joseph Ward, ‘The Theory of the Four Monarchies: Opposition History under the Roman Empire’, </w:t>
      </w:r>
      <w:r w:rsidRPr="00044FEE">
        <w:rPr>
          <w:i/>
        </w:rPr>
        <w:t>Classical Philology</w:t>
      </w:r>
      <w:r w:rsidRPr="00044FEE">
        <w:t>, Vol. XXXV, January 1940, Number 1, pp. 1-21.</w:t>
      </w:r>
    </w:p>
    <w:p w:rsidR="00616C1F" w:rsidRPr="00044FEE" w:rsidRDefault="00616C1F" w:rsidP="00616C1F">
      <w:pPr>
        <w:spacing w:after="120" w:line="240" w:lineRule="auto"/>
        <w:ind w:left="539" w:hanging="539"/>
        <w:rPr>
          <w:rStyle w:val="sources"/>
        </w:rPr>
      </w:pPr>
      <w:r w:rsidRPr="00044FEE">
        <w:rPr>
          <w:rStyle w:val="sources"/>
        </w:rPr>
        <w:t xml:space="preserve">Tan, Paul Lee, </w:t>
      </w:r>
      <w:r w:rsidRPr="00044FEE">
        <w:rPr>
          <w:rStyle w:val="sources"/>
          <w:i/>
        </w:rPr>
        <w:t>The Interpretation of Prophecy</w:t>
      </w:r>
      <w:r w:rsidRPr="00044FEE">
        <w:rPr>
          <w:rStyle w:val="sources"/>
        </w:rPr>
        <w:t xml:space="preserve"> (Winona Lake, Indiana: BMH Books, 1974?)  (Date from Library of Congress – my copy contains no details of publication.)</w:t>
      </w:r>
    </w:p>
    <w:p w:rsidR="00616C1F" w:rsidRPr="00044FEE" w:rsidRDefault="00616C1F" w:rsidP="00616C1F">
      <w:pPr>
        <w:spacing w:after="120" w:line="240" w:lineRule="auto"/>
        <w:ind w:left="539" w:hanging="539"/>
        <w:rPr>
          <w:rStyle w:val="sources"/>
        </w:rPr>
      </w:pPr>
      <w:r w:rsidRPr="00044FEE">
        <w:rPr>
          <w:rStyle w:val="sources"/>
        </w:rPr>
        <w:t>Tangelder, Johan D., ‘Reformed Reflections: Darby and Scofield’, Reformed Reflections, March 1975 &lt;</w:t>
      </w:r>
      <w:r w:rsidRPr="00044FEE">
        <w:t>http://www.reformedreflections.ca/articles/th-dispensationalism-d-s.html</w:t>
      </w:r>
      <w:r w:rsidRPr="00044FEE">
        <w:rPr>
          <w:rStyle w:val="sources"/>
        </w:rPr>
        <w:t>&gt; [accessed 23.4.17].</w:t>
      </w:r>
    </w:p>
    <w:p w:rsidR="00616C1F" w:rsidRPr="00044FEE" w:rsidRDefault="00616C1F" w:rsidP="00486516">
      <w:pPr>
        <w:spacing w:after="0" w:line="240" w:lineRule="auto"/>
        <w:ind w:left="539" w:hanging="539"/>
        <w:rPr>
          <w:rStyle w:val="sources"/>
        </w:rPr>
      </w:pPr>
      <w:r w:rsidRPr="00044FEE">
        <w:t xml:space="preserve">             —  </w:t>
      </w:r>
      <w:r w:rsidRPr="00044FEE">
        <w:rPr>
          <w:rStyle w:val="sources"/>
        </w:rPr>
        <w:t>‘Reformed Reflections: Modern Dispensationalism: What Does It Teach?’, Reformed Reflections, April 1975</w:t>
      </w:r>
    </w:p>
    <w:p w:rsidR="00616C1F" w:rsidRDefault="00616C1F" w:rsidP="00486516">
      <w:pPr>
        <w:spacing w:after="0" w:line="240" w:lineRule="auto"/>
        <w:ind w:left="539" w:firstLine="28"/>
        <w:rPr>
          <w:rStyle w:val="sources"/>
        </w:rPr>
      </w:pPr>
      <w:r w:rsidRPr="00044FEE">
        <w:rPr>
          <w:rStyle w:val="sources"/>
        </w:rPr>
        <w:t xml:space="preserve"> &lt;</w:t>
      </w:r>
      <w:r w:rsidRPr="00044FEE">
        <w:t>http://www.reformedreflections.ca/articles/th-modern-dispensationalism.html</w:t>
      </w:r>
      <w:r w:rsidRPr="00044FEE">
        <w:rPr>
          <w:rStyle w:val="sources"/>
        </w:rPr>
        <w:t xml:space="preserve">&gt; </w:t>
      </w:r>
    </w:p>
    <w:p w:rsidR="00616C1F" w:rsidRPr="00044FEE" w:rsidRDefault="00616C1F" w:rsidP="00616C1F">
      <w:pPr>
        <w:spacing w:after="120" w:line="240" w:lineRule="auto"/>
        <w:ind w:left="539" w:firstLine="28"/>
        <w:rPr>
          <w:rStyle w:val="sources"/>
        </w:rPr>
      </w:pPr>
      <w:r w:rsidRPr="00044FEE">
        <w:rPr>
          <w:rStyle w:val="sources"/>
        </w:rPr>
        <w:t>[accessed 23.4.17].</w:t>
      </w:r>
    </w:p>
    <w:p w:rsidR="00616C1F" w:rsidRPr="00044FEE" w:rsidRDefault="00616C1F" w:rsidP="00616C1F">
      <w:pPr>
        <w:spacing w:after="120" w:line="240" w:lineRule="auto"/>
        <w:ind w:left="539" w:hanging="539"/>
      </w:pPr>
      <w:r w:rsidRPr="00525DC7">
        <w:rPr>
          <w:spacing w:val="-4"/>
        </w:rPr>
        <w:t xml:space="preserve">Tannehill, Robert C., </w:t>
      </w:r>
      <w:r w:rsidRPr="00525DC7">
        <w:rPr>
          <w:i/>
          <w:spacing w:val="-4"/>
        </w:rPr>
        <w:t xml:space="preserve">Luke </w:t>
      </w:r>
      <w:r w:rsidRPr="00525DC7">
        <w:rPr>
          <w:spacing w:val="-4"/>
        </w:rPr>
        <w:t>(Abingdon New Testament Commentaries: Luke; Nashville: Abingdon Press, 1996</w:t>
      </w:r>
      <w:r w:rsidRPr="00044FEE">
        <w:t>).</w:t>
      </w:r>
    </w:p>
    <w:p w:rsidR="00616C1F" w:rsidRDefault="00616C1F" w:rsidP="00486516">
      <w:pPr>
        <w:spacing w:after="0" w:line="240" w:lineRule="auto"/>
        <w:ind w:left="539" w:hanging="539"/>
        <w:rPr>
          <w:rStyle w:val="sources"/>
        </w:rPr>
      </w:pPr>
      <w:r w:rsidRPr="00044FEE">
        <w:rPr>
          <w:rStyle w:val="sources"/>
        </w:rPr>
        <w:t xml:space="preserve">Telushkin, Joseph, </w:t>
      </w:r>
      <w:r w:rsidRPr="00044FEE">
        <w:rPr>
          <w:rStyle w:val="sources"/>
          <w:i/>
        </w:rPr>
        <w:t>Jewish Literacy: The Most Important Things to Know About the Jewish Religion, Its People and Its History</w:t>
      </w:r>
      <w:r w:rsidRPr="00044FEE">
        <w:rPr>
          <w:rStyle w:val="sources"/>
        </w:rPr>
        <w:t xml:space="preserve">, (New York: William Morrow and Co., 1991), quoted by permission of the author in ‘Judaism: The Oral Law: Talmud and Mishnah’, Jewish Virtual Library &lt;http://www.jewishvirtuallibrary.org/jsource/Judaism/talmud_&amp;_mishna.html &gt; </w:t>
      </w:r>
    </w:p>
    <w:p w:rsidR="00616C1F" w:rsidRPr="00044FEE" w:rsidRDefault="00616C1F" w:rsidP="00616C1F">
      <w:pPr>
        <w:spacing w:after="120" w:line="240" w:lineRule="auto"/>
        <w:ind w:left="539" w:firstLine="28"/>
      </w:pPr>
      <w:r w:rsidRPr="00044FEE">
        <w:rPr>
          <w:rStyle w:val="sources"/>
        </w:rPr>
        <w:t>[accessed 3.5.11].</w:t>
      </w:r>
    </w:p>
    <w:p w:rsidR="00616C1F" w:rsidRDefault="00616C1F" w:rsidP="00486516">
      <w:pPr>
        <w:spacing w:after="0" w:line="240" w:lineRule="auto"/>
        <w:ind w:left="539" w:hanging="539"/>
      </w:pPr>
      <w:r w:rsidRPr="00044FEE">
        <w:t xml:space="preserve">Terry, Milton S., </w:t>
      </w:r>
      <w:r w:rsidRPr="00044FEE">
        <w:rPr>
          <w:i/>
        </w:rPr>
        <w:t>Biblical Hermeneutics: A Treatise on the Interpretation of the Old and New Testaments</w:t>
      </w:r>
      <w:r w:rsidRPr="00044FEE">
        <w:t xml:space="preserve"> </w:t>
      </w:r>
    </w:p>
    <w:p w:rsidR="00616C1F" w:rsidRPr="00044FEE" w:rsidRDefault="00616C1F" w:rsidP="00616C1F">
      <w:pPr>
        <w:spacing w:after="120" w:line="240" w:lineRule="auto"/>
        <w:ind w:left="539" w:firstLine="28"/>
      </w:pPr>
      <w:r w:rsidRPr="00044FEE">
        <w:t>(New York: Eaton &amp; Mains, 1890).</w:t>
      </w:r>
    </w:p>
    <w:p w:rsidR="00616C1F" w:rsidRPr="00044FEE" w:rsidRDefault="00616C1F" w:rsidP="00616C1F">
      <w:pPr>
        <w:spacing w:after="120" w:line="240" w:lineRule="auto"/>
      </w:pPr>
      <w:r w:rsidRPr="00044FEE">
        <w:t>The Good News, &lt;http://www.goodnewsarticles.com/Dec03-1.htm&gt; [accessed 24.7.11]</w:t>
      </w:r>
      <w:r w:rsidR="00F956E7">
        <w:t>.</w:t>
      </w:r>
    </w:p>
    <w:p w:rsidR="00616C1F" w:rsidRPr="00044FEE" w:rsidRDefault="00616C1F" w:rsidP="00616C1F">
      <w:pPr>
        <w:spacing w:after="120" w:line="240" w:lineRule="auto"/>
        <w:ind w:left="539" w:hanging="539"/>
      </w:pPr>
      <w:r w:rsidRPr="00044FEE">
        <w:t xml:space="preserve">Thiselton, Anthony C., </w:t>
      </w:r>
      <w:r w:rsidRPr="00044FEE">
        <w:rPr>
          <w:i/>
        </w:rPr>
        <w:t>The First Epistle to the Corinthians</w:t>
      </w:r>
      <w:r w:rsidRPr="00044FEE">
        <w:t xml:space="preserve"> (Carlisle: Paternoster Press, 2000).</w:t>
      </w:r>
    </w:p>
    <w:p w:rsidR="00616C1F" w:rsidRPr="00044FEE" w:rsidRDefault="00616C1F" w:rsidP="00616C1F">
      <w:pPr>
        <w:spacing w:after="120" w:line="240" w:lineRule="auto"/>
        <w:ind w:left="539" w:firstLine="28"/>
      </w:pPr>
      <w:r w:rsidRPr="00044FEE">
        <w:t>—   ‘Why Study Hermeneutics with Professor Anthony C. Thiselton’, an interview with Thomas O’Loughlin, University of Nottingham, 13 September, 2011  &lt;https://www.youtube.com/watch?v=J1UY7_KA8L0&gt; [accessed 4.9.17].</w:t>
      </w:r>
    </w:p>
    <w:p w:rsidR="00616C1F" w:rsidRPr="00044FEE" w:rsidRDefault="00616C1F" w:rsidP="00616C1F">
      <w:pPr>
        <w:pStyle w:val="FootnoteText"/>
        <w:spacing w:after="120"/>
        <w:ind w:left="499" w:hanging="499"/>
        <w:rPr>
          <w:rFonts w:ascii="Perpetua" w:hAnsi="Perpetua"/>
          <w:sz w:val="22"/>
          <w:szCs w:val="22"/>
        </w:rPr>
      </w:pPr>
      <w:r w:rsidRPr="00044FEE">
        <w:rPr>
          <w:rFonts w:ascii="Perpetua" w:hAnsi="Perpetua"/>
          <w:sz w:val="22"/>
          <w:szCs w:val="22"/>
        </w:rPr>
        <w:t xml:space="preserve">Tiede, David L., </w:t>
      </w:r>
      <w:r w:rsidRPr="00044FEE">
        <w:rPr>
          <w:rFonts w:ascii="Perpetua" w:hAnsi="Perpetua"/>
          <w:i/>
          <w:sz w:val="22"/>
          <w:szCs w:val="22"/>
        </w:rPr>
        <w:t xml:space="preserve">Luke </w:t>
      </w:r>
      <w:r w:rsidRPr="00044FEE">
        <w:rPr>
          <w:rFonts w:ascii="Perpetua" w:hAnsi="Perpetua"/>
          <w:sz w:val="22"/>
          <w:szCs w:val="22"/>
        </w:rPr>
        <w:t>(Augsburg Commentary on the New Testament; Minneapolis, Minnesota: Augsburg Publishing House, 1988).</w:t>
      </w:r>
    </w:p>
    <w:p w:rsidR="00616C1F" w:rsidRPr="00044FEE" w:rsidRDefault="00616C1F" w:rsidP="00616C1F">
      <w:pPr>
        <w:pStyle w:val="FootnoteText"/>
        <w:spacing w:after="120"/>
        <w:ind w:left="499" w:hanging="499"/>
        <w:jc w:val="both"/>
        <w:rPr>
          <w:rFonts w:ascii="Perpetua" w:hAnsi="Perpetua"/>
          <w:sz w:val="22"/>
          <w:szCs w:val="22"/>
        </w:rPr>
      </w:pPr>
      <w:r w:rsidRPr="00044FEE">
        <w:rPr>
          <w:rFonts w:ascii="Perpetua" w:hAnsi="Perpetua"/>
          <w:sz w:val="22"/>
          <w:szCs w:val="22"/>
        </w:rPr>
        <w:t xml:space="preserve">Tigchelaar, Eibert J. C., </w:t>
      </w:r>
      <w:r w:rsidRPr="00044FEE">
        <w:rPr>
          <w:rFonts w:ascii="Perpetua" w:hAnsi="Perpetua"/>
          <w:i/>
          <w:sz w:val="22"/>
          <w:szCs w:val="22"/>
        </w:rPr>
        <w:t>Prophets of Old and the Day of the End: Zechariah, the Book of Watchers and Apocalyptic</w:t>
      </w:r>
      <w:r w:rsidRPr="00044FEE">
        <w:rPr>
          <w:rFonts w:ascii="Perpetua" w:hAnsi="Perpetua"/>
          <w:sz w:val="22"/>
          <w:szCs w:val="22"/>
        </w:rPr>
        <w:t xml:space="preserve"> (Leiden: E. J. Brill, 1996).</w:t>
      </w:r>
    </w:p>
    <w:p w:rsidR="00616C1F" w:rsidRPr="00044FEE" w:rsidRDefault="00616C1F" w:rsidP="00F956E7">
      <w:pPr>
        <w:spacing w:after="120" w:line="240" w:lineRule="auto"/>
        <w:ind w:left="539" w:hanging="539"/>
      </w:pPr>
      <w:r w:rsidRPr="00044FEE">
        <w:lastRenderedPageBreak/>
        <w:t xml:space="preserve">Tolar, William B., ‘The Gramatical-Historical Method’ in Bruce Corley, Steve Lemke &amp; Grant Lovejoy (eds), </w:t>
      </w:r>
      <w:r w:rsidRPr="00044FEE">
        <w:rPr>
          <w:i/>
        </w:rPr>
        <w:t>Biblical Hermeneutics</w:t>
      </w:r>
      <w:r w:rsidRPr="00044FEE">
        <w:t xml:space="preserve">: </w:t>
      </w:r>
      <w:r w:rsidRPr="00044FEE">
        <w:rPr>
          <w:i/>
        </w:rPr>
        <w:t>A Comprehensive Introduction to Interpreting Scripture</w:t>
      </w:r>
      <w:r w:rsidRPr="00044FEE">
        <w:t xml:space="preserve"> (Nashville: Broadman &amp; Holman, 2002).</w:t>
      </w:r>
    </w:p>
    <w:p w:rsidR="00616C1F" w:rsidRPr="00044FEE" w:rsidRDefault="00616C1F" w:rsidP="00616C1F">
      <w:pPr>
        <w:spacing w:after="120" w:line="240" w:lineRule="auto"/>
        <w:ind w:left="539" w:hanging="539"/>
      </w:pPr>
      <w:r w:rsidRPr="00044FEE">
        <w:t xml:space="preserve">Trumbull, Charles Gallaudet, </w:t>
      </w:r>
      <w:r w:rsidRPr="00044FEE">
        <w:rPr>
          <w:i/>
        </w:rPr>
        <w:t>The Life Story of C.I. Scofield</w:t>
      </w:r>
      <w:r w:rsidRPr="00044FEE">
        <w:t xml:space="preserve"> (New York: Oxford University Press, 1920; digitized by WholesomeWords.org) &lt;http://www.wholesomewords.org/biography/bscofield.pdf&gt; [accessed 15.3.11].</w:t>
      </w:r>
    </w:p>
    <w:p w:rsidR="00616C1F" w:rsidRPr="00044FEE" w:rsidRDefault="00616C1F" w:rsidP="00616C1F">
      <w:pPr>
        <w:autoSpaceDE w:val="0"/>
        <w:autoSpaceDN w:val="0"/>
        <w:adjustRightInd w:val="0"/>
        <w:spacing w:after="120" w:line="240" w:lineRule="auto"/>
        <w:ind w:left="567" w:hanging="567"/>
      </w:pPr>
      <w:r w:rsidRPr="00044FEE">
        <w:t>Unger, Walter, ‘“Earnestly Contending for the Faith”: The Role of the Niagara Bible Conference in the Emergence of American Fundamentalism, 1875- 1900’.  National Library of Canada &lt;http://summit.sfu.ca, b12743276.pdf&gt; [accessed 8.6.17].</w:t>
      </w:r>
    </w:p>
    <w:p w:rsidR="00616C1F" w:rsidRPr="00044FEE" w:rsidRDefault="00616C1F" w:rsidP="00486516">
      <w:pPr>
        <w:spacing w:after="0" w:line="240" w:lineRule="auto"/>
        <w:ind w:left="499" w:hanging="499"/>
      </w:pPr>
      <w:r w:rsidRPr="00044FEE">
        <w:t xml:space="preserve">Wallis, Wilber B., ‘The Problem of an Intermediate Kingdom in 1 Corinthians 15:20-28’ in the </w:t>
      </w:r>
      <w:r w:rsidRPr="00044FEE">
        <w:rPr>
          <w:i/>
        </w:rPr>
        <w:t>Journal of the Evangelical Theological Society</w:t>
      </w:r>
      <w:r w:rsidRPr="00044FEE">
        <w:t xml:space="preserve">, 18, 1975, pp 229 – 242 </w:t>
      </w:r>
    </w:p>
    <w:p w:rsidR="00616C1F" w:rsidRPr="00044FEE" w:rsidRDefault="00616C1F" w:rsidP="00616C1F">
      <w:pPr>
        <w:spacing w:after="120" w:line="240" w:lineRule="auto"/>
        <w:ind w:left="500" w:firstLine="67"/>
      </w:pPr>
      <w:r w:rsidRPr="00044FEE">
        <w:t>&lt;http://www.etsjets.org/files/JETD-PDFs/18/18-4-pp229-242_JETS.pdf&gt; [accessed 6.10.10].</w:t>
      </w:r>
    </w:p>
    <w:p w:rsidR="00616C1F" w:rsidRPr="00044FEE" w:rsidRDefault="00616C1F" w:rsidP="00616C1F">
      <w:pPr>
        <w:spacing w:after="120" w:line="240" w:lineRule="auto"/>
        <w:ind w:left="567" w:hanging="567"/>
      </w:pPr>
      <w:r w:rsidRPr="00044FEE">
        <w:t xml:space="preserve">Walvoord, John F., </w:t>
      </w:r>
      <w:r w:rsidRPr="00044FEE">
        <w:rPr>
          <w:i/>
        </w:rPr>
        <w:t>The Millennial Kingdom</w:t>
      </w:r>
      <w:r w:rsidRPr="00044FEE">
        <w:t xml:space="preserve"> (Grand Rapids: Zondervan, Academie Books, 1959).</w:t>
      </w:r>
    </w:p>
    <w:p w:rsidR="00616C1F" w:rsidRPr="00044FEE" w:rsidRDefault="00616C1F" w:rsidP="00616C1F">
      <w:pPr>
        <w:spacing w:after="120" w:line="240" w:lineRule="auto"/>
        <w:ind w:left="851" w:hanging="284"/>
      </w:pPr>
      <w:r w:rsidRPr="00044FEE">
        <w:t xml:space="preserve">—  </w:t>
      </w:r>
      <w:r w:rsidRPr="00044FEE">
        <w:rPr>
          <w:i/>
        </w:rPr>
        <w:t>The Rapture Question</w:t>
      </w:r>
      <w:r w:rsidRPr="00044FEE">
        <w:t xml:space="preserve"> (Revised and Enlarged Edition, Grand Rapids: Academie Books, 1979; First Edition, Findlay, Ohio, Dunham Publishing Company, 1957).</w:t>
      </w:r>
    </w:p>
    <w:p w:rsidR="00616C1F" w:rsidRPr="00044FEE" w:rsidRDefault="00616C1F" w:rsidP="00616C1F">
      <w:pPr>
        <w:spacing w:after="120" w:line="240" w:lineRule="auto"/>
        <w:ind w:left="567"/>
      </w:pPr>
      <w:r w:rsidRPr="00044FEE">
        <w:t xml:space="preserve">—  ‘Book Review of Bass, </w:t>
      </w:r>
      <w:r w:rsidRPr="00044FEE">
        <w:rPr>
          <w:i/>
        </w:rPr>
        <w:t>Origins of Dispensationalism</w:t>
      </w:r>
      <w:r w:rsidRPr="00044FEE">
        <w:t xml:space="preserve">’, </w:t>
      </w:r>
      <w:r w:rsidRPr="00044FEE">
        <w:rPr>
          <w:i/>
          <w:iCs/>
        </w:rPr>
        <w:t>Bibliotheca Sacra,</w:t>
      </w:r>
      <w:r w:rsidRPr="00044FEE">
        <w:t xml:space="preserve"> 118:469 (Jan. 1961).</w:t>
      </w:r>
    </w:p>
    <w:p w:rsidR="00616C1F" w:rsidRPr="003656DE" w:rsidRDefault="00616C1F" w:rsidP="00616C1F">
      <w:pPr>
        <w:autoSpaceDE w:val="0"/>
        <w:autoSpaceDN w:val="0"/>
        <w:adjustRightInd w:val="0"/>
        <w:spacing w:after="120" w:line="240" w:lineRule="auto"/>
        <w:ind w:left="567"/>
      </w:pPr>
      <w:r w:rsidRPr="003656DE">
        <w:t xml:space="preserve">—  </w:t>
      </w:r>
      <w:r w:rsidRPr="003656DE">
        <w:rPr>
          <w:rFonts w:cs="DejaVuSans"/>
          <w:szCs w:val="31"/>
          <w:lang w:eastAsia="en-GB"/>
        </w:rPr>
        <w:t xml:space="preserve">Millennial Series: Part 12: ‘The Abrahamic Covenant and Premillennialism’, </w:t>
      </w:r>
      <w:r w:rsidRPr="003656DE">
        <w:rPr>
          <w:rFonts w:cs="DejaVuSans"/>
          <w:i/>
          <w:szCs w:val="31"/>
          <w:lang w:eastAsia="en-GB"/>
        </w:rPr>
        <w:t>Bibliotheca Sacra</w:t>
      </w:r>
      <w:r w:rsidRPr="003656DE">
        <w:rPr>
          <w:rFonts w:cs="DejaVuSans"/>
          <w:szCs w:val="31"/>
          <w:lang w:eastAsia="en-GB"/>
        </w:rPr>
        <w:t xml:space="preserve">, </w:t>
      </w:r>
      <w:r w:rsidRPr="003656DE">
        <w:t>Vol. 108:432 (Oct. 1951).</w:t>
      </w:r>
    </w:p>
    <w:p w:rsidR="00616C1F" w:rsidRPr="00044FEE" w:rsidRDefault="00616C1F" w:rsidP="00616C1F">
      <w:pPr>
        <w:spacing w:after="120" w:line="240" w:lineRule="auto"/>
        <w:ind w:left="567" w:hanging="567"/>
      </w:pPr>
      <w:r w:rsidRPr="00044FEE">
        <w:t xml:space="preserve">Watson, William C., </w:t>
      </w:r>
      <w:r w:rsidRPr="00044FEE">
        <w:rPr>
          <w:i/>
        </w:rPr>
        <w:t>Dispensationalism Before Darby</w:t>
      </w:r>
      <w:r w:rsidRPr="00044FEE">
        <w:t xml:space="preserve"> (Silverton, Oregon: Lampion Press, LLC, 2015).</w:t>
      </w:r>
    </w:p>
    <w:p w:rsidR="00616C1F" w:rsidRPr="00044FEE" w:rsidRDefault="00616C1F" w:rsidP="00616C1F">
      <w:pPr>
        <w:autoSpaceDE w:val="0"/>
        <w:autoSpaceDN w:val="0"/>
        <w:adjustRightInd w:val="0"/>
        <w:spacing w:after="120" w:line="240" w:lineRule="auto"/>
        <w:ind w:left="499" w:hanging="499"/>
      </w:pPr>
      <w:r w:rsidRPr="00044FEE">
        <w:t>Weber, Timothy P.,</w:t>
      </w:r>
      <w:r w:rsidRPr="00044FEE">
        <w:rPr>
          <w:b/>
        </w:rPr>
        <w:t xml:space="preserve"> </w:t>
      </w:r>
      <w:r w:rsidRPr="00044FEE">
        <w:rPr>
          <w:i/>
        </w:rPr>
        <w:t>Living in the Shadow of the Second Coming: American Premillennialism 1875 – 1925</w:t>
      </w:r>
      <w:r w:rsidRPr="00044FEE">
        <w:t xml:space="preserve"> (New York: Oxford University Press, 1979).</w:t>
      </w:r>
    </w:p>
    <w:p w:rsidR="00616C1F" w:rsidRPr="00044FEE" w:rsidRDefault="00616C1F" w:rsidP="00616C1F">
      <w:pPr>
        <w:autoSpaceDE w:val="0"/>
        <w:autoSpaceDN w:val="0"/>
        <w:adjustRightInd w:val="0"/>
        <w:spacing w:after="120" w:line="240" w:lineRule="auto"/>
        <w:ind w:left="499" w:firstLine="1"/>
      </w:pPr>
      <w:r w:rsidRPr="00044FEE">
        <w:t xml:space="preserve">— </w:t>
      </w:r>
      <w:r w:rsidRPr="00044FEE">
        <w:rPr>
          <w:i/>
        </w:rPr>
        <w:t>On the Road to Armageddon: How Evangelicals Became Israel’s Best Friend</w:t>
      </w:r>
      <w:r w:rsidRPr="00044FEE">
        <w:t xml:space="preserve"> (Grand Rapids: Baker Academic, 2005, paperback).</w:t>
      </w:r>
    </w:p>
    <w:p w:rsidR="00616C1F" w:rsidRPr="00044FEE" w:rsidRDefault="00616C1F" w:rsidP="00616C1F">
      <w:pPr>
        <w:autoSpaceDE w:val="0"/>
        <w:autoSpaceDN w:val="0"/>
        <w:adjustRightInd w:val="0"/>
        <w:spacing w:after="120" w:line="240" w:lineRule="auto"/>
        <w:ind w:left="499" w:hanging="499"/>
        <w:rPr>
          <w:rFonts w:cs="Arial"/>
          <w:lang w:val="en-US"/>
        </w:rPr>
      </w:pPr>
      <w:r w:rsidRPr="00044FEE">
        <w:t xml:space="preserve">West, Nathaniel (ed), </w:t>
      </w:r>
      <w:r w:rsidRPr="00044FEE">
        <w:rPr>
          <w:i/>
        </w:rPr>
        <w:t>Premillennial Essays of the Prophetic Conference</w:t>
      </w:r>
      <w:r w:rsidRPr="00044FEE">
        <w:t xml:space="preserve"> (Chicago: F. H. Revell, 1879).</w:t>
      </w:r>
    </w:p>
    <w:p w:rsidR="00616C1F" w:rsidRPr="00044FEE" w:rsidRDefault="00616C1F" w:rsidP="00486516">
      <w:pPr>
        <w:autoSpaceDE w:val="0"/>
        <w:autoSpaceDN w:val="0"/>
        <w:adjustRightInd w:val="0"/>
        <w:spacing w:after="0" w:line="240" w:lineRule="auto"/>
        <w:ind w:left="539" w:right="74" w:hanging="539"/>
      </w:pPr>
      <w:r w:rsidRPr="00044FEE">
        <w:t>Weston, Charles Gilbert, ‘Scofield’s Basic Errors’ in ‘Analyzing Scofield’  &lt;http://www.gospeltruth.net/scofield.htm&gt; [accessed 20.1.11].</w:t>
      </w:r>
    </w:p>
    <w:p w:rsidR="00616C1F" w:rsidRPr="00044FEE" w:rsidRDefault="00616C1F" w:rsidP="00486516">
      <w:pPr>
        <w:autoSpaceDE w:val="0"/>
        <w:autoSpaceDN w:val="0"/>
        <w:adjustRightInd w:val="0"/>
        <w:spacing w:after="0" w:line="240" w:lineRule="auto"/>
        <w:ind w:left="425" w:right="74"/>
      </w:pPr>
      <w:r w:rsidRPr="00044FEE">
        <w:t>http://www.regal-network.com/dispensationalism/files/pdfs/Analyzing%20Scofield.pdf</w:t>
      </w:r>
    </w:p>
    <w:p w:rsidR="00616C1F" w:rsidRPr="00044FEE" w:rsidRDefault="00616C1F" w:rsidP="00616C1F">
      <w:pPr>
        <w:autoSpaceDE w:val="0"/>
        <w:autoSpaceDN w:val="0"/>
        <w:adjustRightInd w:val="0"/>
        <w:spacing w:after="120" w:line="240" w:lineRule="auto"/>
        <w:ind w:left="425" w:right="74"/>
      </w:pPr>
      <w:r w:rsidRPr="00044FEE">
        <w:t>[accessed 20.1.11].</w:t>
      </w:r>
    </w:p>
    <w:p w:rsidR="00616C1F" w:rsidRPr="00044FEE" w:rsidRDefault="00616C1F" w:rsidP="00616C1F">
      <w:pPr>
        <w:spacing w:after="120" w:line="240" w:lineRule="auto"/>
        <w:ind w:left="539" w:hanging="539"/>
      </w:pPr>
      <w:r w:rsidRPr="00044FEE">
        <w:t>The Westminster Confession of Faith (1646) &lt;http://www.reformed.org/documents/index.html?mainframe=http://www.reformed.org/documents/westminster_conf_of_faith.html &gt; [accessed 24.9.11].</w:t>
      </w:r>
    </w:p>
    <w:p w:rsidR="00616C1F" w:rsidRDefault="00616C1F" w:rsidP="00486516">
      <w:pPr>
        <w:spacing w:after="0" w:line="240" w:lineRule="auto"/>
        <w:ind w:left="539" w:hanging="539"/>
      </w:pPr>
      <w:r w:rsidRPr="00044FEE">
        <w:t xml:space="preserve">Wilkinson, Paul Richard, </w:t>
      </w:r>
      <w:r w:rsidRPr="00044FEE">
        <w:rPr>
          <w:i/>
        </w:rPr>
        <w:t>For Zion’s Sake: Christian Zionism and the Role of John Nelson Darby</w:t>
      </w:r>
      <w:r w:rsidRPr="00044FEE">
        <w:t xml:space="preserve"> </w:t>
      </w:r>
    </w:p>
    <w:p w:rsidR="00616C1F" w:rsidRPr="00044FEE" w:rsidRDefault="00616C1F" w:rsidP="00616C1F">
      <w:pPr>
        <w:spacing w:after="120" w:line="240" w:lineRule="auto"/>
        <w:ind w:left="539" w:firstLine="28"/>
      </w:pPr>
      <w:r w:rsidRPr="00044FEE">
        <w:t>(Milton Keynes: Paternoster, 2007).</w:t>
      </w:r>
    </w:p>
    <w:p w:rsidR="00616C1F" w:rsidRPr="00044FEE" w:rsidRDefault="00616C1F" w:rsidP="00486516">
      <w:pPr>
        <w:spacing w:after="0" w:line="240" w:lineRule="auto"/>
        <w:ind w:left="539" w:hanging="539"/>
      </w:pPr>
      <w:r w:rsidRPr="00044FEE">
        <w:t xml:space="preserve">   —  ‘For Zion’s Sake: Darby and Christian Zionism’, Pre-Trib Research Center </w:t>
      </w:r>
    </w:p>
    <w:p w:rsidR="00616C1F" w:rsidRDefault="00616C1F" w:rsidP="00486516">
      <w:pPr>
        <w:spacing w:after="0" w:line="240" w:lineRule="auto"/>
        <w:ind w:left="539" w:firstLine="28"/>
      </w:pPr>
      <w:r w:rsidRPr="00044FEE">
        <w:t xml:space="preserve">&lt;http://www.pre-trib.org/articles/view/for-zions-sake-darby-and-christian-zionism&gt; </w:t>
      </w:r>
    </w:p>
    <w:p w:rsidR="00616C1F" w:rsidRPr="00044FEE" w:rsidRDefault="00616C1F" w:rsidP="00616C1F">
      <w:pPr>
        <w:spacing w:after="120" w:line="240" w:lineRule="auto"/>
        <w:ind w:left="539" w:firstLine="28"/>
      </w:pPr>
      <w:r w:rsidRPr="00044FEE">
        <w:t>[accessed 15.4.10].</w:t>
      </w:r>
    </w:p>
    <w:p w:rsidR="00ED1F83" w:rsidRDefault="00616C1F" w:rsidP="00ED1F83">
      <w:pPr>
        <w:spacing w:after="0" w:line="240" w:lineRule="auto"/>
        <w:ind w:left="539" w:hanging="539"/>
      </w:pPr>
      <w:r w:rsidRPr="00044FEE">
        <w:t xml:space="preserve">Williams, Michael, </w:t>
      </w:r>
      <w:r w:rsidRPr="00044FEE">
        <w:rPr>
          <w:i/>
        </w:rPr>
        <w:t>This World is Not My Home: The Origins and Development of Dispensationalism</w:t>
      </w:r>
      <w:r w:rsidRPr="00044FEE">
        <w:t xml:space="preserve"> (Fearn, </w:t>
      </w:r>
    </w:p>
    <w:p w:rsidR="00616C1F" w:rsidRPr="00044FEE" w:rsidRDefault="00616C1F" w:rsidP="00ED1F83">
      <w:pPr>
        <w:spacing w:after="120" w:line="240" w:lineRule="auto"/>
        <w:ind w:left="539" w:firstLine="28"/>
      </w:pPr>
      <w:r w:rsidRPr="00044FEE">
        <w:t>Ross-shire, Scotland: Christian Focus Publications, 2003).</w:t>
      </w:r>
    </w:p>
    <w:p w:rsidR="00616C1F" w:rsidRPr="00044FEE" w:rsidRDefault="00616C1F" w:rsidP="00616C1F">
      <w:pPr>
        <w:spacing w:after="120" w:line="240" w:lineRule="auto"/>
        <w:ind w:left="539" w:hanging="539"/>
      </w:pPr>
      <w:r w:rsidRPr="00044FEE">
        <w:t xml:space="preserve">Williams, Sam K., </w:t>
      </w:r>
      <w:r w:rsidRPr="00044FEE">
        <w:rPr>
          <w:i/>
        </w:rPr>
        <w:t>Galatians</w:t>
      </w:r>
      <w:r w:rsidRPr="00044FEE">
        <w:t xml:space="preserve"> (Nashville: Abingdon Press, 1997). </w:t>
      </w:r>
    </w:p>
    <w:p w:rsidR="00616C1F" w:rsidRDefault="00616C1F" w:rsidP="00ED1F83">
      <w:pPr>
        <w:spacing w:after="120" w:line="240" w:lineRule="auto"/>
        <w:ind w:left="539" w:hanging="539"/>
      </w:pPr>
      <w:r w:rsidRPr="00044FEE">
        <w:t xml:space="preserve">Witherington, Ben III, </w:t>
      </w:r>
      <w:r w:rsidRPr="00044FEE">
        <w:rPr>
          <w:i/>
        </w:rPr>
        <w:t>Grace in Galatia: A Commentary on St. Paul’s Letter to the Galatians</w:t>
      </w:r>
      <w:r w:rsidRPr="00044FEE">
        <w:t xml:space="preserve"> (Grand Rapids: William B. Eerdmans Publishing Company, 1998).</w:t>
      </w:r>
      <w:bookmarkEnd w:id="34"/>
    </w:p>
    <w:p w:rsidR="00486516" w:rsidRPr="00A52C87" w:rsidRDefault="00A52C87" w:rsidP="00A52C87">
      <w:pPr>
        <w:autoSpaceDE w:val="0"/>
        <w:autoSpaceDN w:val="0"/>
        <w:adjustRightInd w:val="0"/>
        <w:spacing w:line="240" w:lineRule="auto"/>
        <w:ind w:left="567" w:right="74" w:hanging="567"/>
        <w:rPr>
          <w:b/>
          <w:i/>
        </w:rPr>
      </w:pPr>
      <w:r w:rsidRPr="00A52C87">
        <w:rPr>
          <w:b/>
          <w:i/>
        </w:rPr>
        <w:t>Continued overleaf</w:t>
      </w:r>
    </w:p>
    <w:p w:rsidR="0047257C" w:rsidRDefault="0047257C" w:rsidP="00486516">
      <w:pPr>
        <w:autoSpaceDE w:val="0"/>
        <w:autoSpaceDN w:val="0"/>
        <w:adjustRightInd w:val="0"/>
        <w:spacing w:line="240" w:lineRule="auto"/>
        <w:ind w:left="567" w:right="74" w:hanging="28"/>
        <w:rPr>
          <w:b/>
          <w:sz w:val="28"/>
        </w:rPr>
      </w:pPr>
    </w:p>
    <w:p w:rsidR="0047257C" w:rsidRDefault="0047257C" w:rsidP="00486516">
      <w:pPr>
        <w:autoSpaceDE w:val="0"/>
        <w:autoSpaceDN w:val="0"/>
        <w:adjustRightInd w:val="0"/>
        <w:spacing w:line="240" w:lineRule="auto"/>
        <w:ind w:left="567" w:right="74" w:hanging="28"/>
        <w:rPr>
          <w:b/>
          <w:sz w:val="28"/>
        </w:rPr>
      </w:pPr>
    </w:p>
    <w:p w:rsidR="0047257C" w:rsidRDefault="0047257C"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Pr="00A05318" w:rsidRDefault="00A05318" w:rsidP="00A05318">
      <w:pPr>
        <w:autoSpaceDE w:val="0"/>
        <w:autoSpaceDN w:val="0"/>
        <w:adjustRightInd w:val="0"/>
        <w:spacing w:line="240" w:lineRule="auto"/>
        <w:ind w:left="567" w:right="74" w:hanging="28"/>
        <w:jc w:val="center"/>
        <w:rPr>
          <w:sz w:val="28"/>
        </w:rPr>
      </w:pPr>
      <w:r w:rsidRPr="00A05318">
        <w:t>Page intentionally left blank</w:t>
      </w: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A52C87" w:rsidRDefault="00A52C87" w:rsidP="00486516">
      <w:pPr>
        <w:autoSpaceDE w:val="0"/>
        <w:autoSpaceDN w:val="0"/>
        <w:adjustRightInd w:val="0"/>
        <w:spacing w:line="240" w:lineRule="auto"/>
        <w:ind w:left="567" w:right="74" w:hanging="28"/>
        <w:rPr>
          <w:b/>
          <w:sz w:val="28"/>
        </w:rPr>
      </w:pPr>
    </w:p>
    <w:p w:rsidR="0047257C" w:rsidRPr="0047257C" w:rsidRDefault="0047257C" w:rsidP="0047257C">
      <w:pPr>
        <w:jc w:val="center"/>
        <w:rPr>
          <w:b/>
          <w:sz w:val="28"/>
        </w:rPr>
      </w:pPr>
      <w:r w:rsidRPr="0047257C">
        <w:rPr>
          <w:b/>
          <w:sz w:val="28"/>
        </w:rPr>
        <w:t>Relevant Works Not Cited</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Balmer, Randall, </w:t>
      </w:r>
      <w:r w:rsidRPr="00CF0C99">
        <w:rPr>
          <w:rFonts w:ascii="Perpetua" w:hAnsi="Perpetua"/>
          <w:i/>
          <w:sz w:val="22"/>
          <w:szCs w:val="22"/>
        </w:rPr>
        <w:t>Mine Eyes Have Seen the Glory: A Journey into the Evangelical Subculture in America</w:t>
      </w:r>
      <w:r w:rsidRPr="00CF0C99">
        <w:rPr>
          <w:rFonts w:ascii="Perpetua" w:hAnsi="Perpetua"/>
          <w:sz w:val="22"/>
          <w:szCs w:val="22"/>
        </w:rPr>
        <w:t xml:space="preserve"> (New York: Oxford University Press, 1989, 1993).</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Barclay, John, ‘The Resurrection of Christ and the Resurrection Body, (1 Cor. 15:1-58)’ in John Barton and John Muddiman (eds) </w:t>
      </w:r>
      <w:r w:rsidRPr="00CF0C99">
        <w:rPr>
          <w:rFonts w:ascii="Perpetua" w:hAnsi="Perpetua"/>
          <w:i/>
          <w:sz w:val="22"/>
          <w:szCs w:val="22"/>
        </w:rPr>
        <w:t>The Oxford Bible Commentary</w:t>
      </w:r>
      <w:r w:rsidRPr="00CF0C99">
        <w:rPr>
          <w:rFonts w:ascii="Perpetua" w:hAnsi="Perpetua"/>
          <w:sz w:val="22"/>
          <w:szCs w:val="22"/>
        </w:rPr>
        <w:t xml:space="preserve"> (Oxford: Oxford University Press, 2001).</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Brenner, A., </w:t>
      </w:r>
      <w:r w:rsidRPr="00CF0C99">
        <w:rPr>
          <w:rFonts w:ascii="Perpetua" w:hAnsi="Perpetua"/>
          <w:i/>
          <w:sz w:val="22"/>
          <w:szCs w:val="22"/>
        </w:rPr>
        <w:t>The Song of Songs</w:t>
      </w:r>
      <w:r w:rsidRPr="00CF0C99">
        <w:rPr>
          <w:rFonts w:ascii="Perpetua" w:hAnsi="Perpetua"/>
          <w:sz w:val="22"/>
          <w:szCs w:val="22"/>
        </w:rPr>
        <w:t xml:space="preserve"> (Sheffield: JSOT Press, 1989, 2001).</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Cairn University, ‘Our History’ &lt;http://cairn.edu/about/history.cfm&gt; [accessed 6.9.13].</w:t>
      </w:r>
    </w:p>
    <w:p w:rsidR="0047257C" w:rsidRPr="00CF0C99" w:rsidRDefault="0047257C" w:rsidP="0047257C">
      <w:pPr>
        <w:autoSpaceDE w:val="0"/>
        <w:autoSpaceDN w:val="0"/>
        <w:adjustRightInd w:val="0"/>
        <w:spacing w:after="120" w:line="240" w:lineRule="auto"/>
        <w:ind w:left="499" w:hanging="499"/>
        <w:rPr>
          <w:rFonts w:cs="Arial"/>
          <w:lang w:val="en-US"/>
        </w:rPr>
      </w:pPr>
      <w:r w:rsidRPr="00CF0C99">
        <w:t>Chafer, Lewis Sperry,‘Soteriology’, Bibliotheca Sacra, Vol. 102:405 (Jan. 1945).</w:t>
      </w:r>
    </w:p>
    <w:p w:rsidR="0047257C" w:rsidRPr="00CF0C99" w:rsidRDefault="0047257C" w:rsidP="0047257C">
      <w:pPr>
        <w:pStyle w:val="EndnoteText"/>
        <w:rPr>
          <w:sz w:val="22"/>
          <w:szCs w:val="22"/>
        </w:rPr>
      </w:pPr>
      <w:r w:rsidRPr="00CF0C99">
        <w:rPr>
          <w:sz w:val="22"/>
          <w:szCs w:val="22"/>
        </w:rPr>
        <w:t xml:space="preserve">Christianity Today, ‘John Walvoord Dead at 92’ </w:t>
      </w:r>
    </w:p>
    <w:p w:rsidR="0047257C" w:rsidRDefault="0047257C" w:rsidP="0047257C">
      <w:pPr>
        <w:spacing w:after="0" w:line="240" w:lineRule="auto"/>
        <w:ind w:left="567"/>
      </w:pPr>
      <w:r w:rsidRPr="00CF0C99">
        <w:t xml:space="preserve">&lt;http://www.christianitytoday.com/ct/2002/decemberweb-only/12-23-14.0.html&gt; </w:t>
      </w:r>
    </w:p>
    <w:p w:rsidR="0047257C" w:rsidRPr="00CF0C99" w:rsidRDefault="0047257C" w:rsidP="0047257C">
      <w:pPr>
        <w:spacing w:after="120" w:line="240" w:lineRule="auto"/>
        <w:ind w:left="567"/>
      </w:pPr>
      <w:r w:rsidRPr="00CF0C99">
        <w:t>[accessed 11.3.15].</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Cox, William E., ‘C. I. Scofield’, Grace Online Library &lt;http://www.graceonlinelibrary.org/eschatology/dispensationalism/c-i-scofield-by-william-e-cox/&gt; [accessed 27.4.14].</w:t>
      </w:r>
    </w:p>
    <w:p w:rsidR="0047257C" w:rsidRDefault="0047257C" w:rsidP="008E1FEB">
      <w:pPr>
        <w:pStyle w:val="FootnoteText"/>
        <w:ind w:left="499" w:hanging="499"/>
        <w:rPr>
          <w:rFonts w:ascii="Perpetua" w:hAnsi="Perpetua"/>
          <w:sz w:val="22"/>
          <w:szCs w:val="22"/>
        </w:rPr>
      </w:pPr>
      <w:r w:rsidRPr="00CF0C99">
        <w:rPr>
          <w:rFonts w:ascii="Perpetua" w:hAnsi="Perpetua"/>
          <w:sz w:val="22"/>
          <w:szCs w:val="22"/>
          <w:lang w:val="en-US"/>
        </w:rPr>
        <w:t xml:space="preserve">Darby, John Nelson, </w:t>
      </w:r>
      <w:r w:rsidRPr="00CF0C99">
        <w:rPr>
          <w:rFonts w:ascii="Perpetua" w:hAnsi="Perpetua"/>
          <w:sz w:val="22"/>
          <w:szCs w:val="22"/>
        </w:rPr>
        <w:t xml:space="preserve">‘Lectures on the Second Coming of Christ, Lecture 2, Ephesians 1’, </w:t>
      </w:r>
      <w:r w:rsidRPr="00CF0C99">
        <w:rPr>
          <w:rFonts w:ascii="Perpetua" w:hAnsi="Perpetua"/>
          <w:i/>
          <w:sz w:val="22"/>
          <w:szCs w:val="22"/>
        </w:rPr>
        <w:t>Collected Writings</w:t>
      </w:r>
      <w:r w:rsidRPr="00CF0C99">
        <w:rPr>
          <w:rFonts w:ascii="Perpetua" w:hAnsi="Perpetua"/>
          <w:sz w:val="22"/>
          <w:szCs w:val="22"/>
        </w:rPr>
        <w:t xml:space="preserve">, Vol. 11, Prophetic 4 http://www.stempublishing.com/authors/darby/PROPHET/11013E.html&gt; </w:t>
      </w:r>
    </w:p>
    <w:p w:rsidR="0047257C" w:rsidRDefault="0047257C" w:rsidP="0047257C">
      <w:pPr>
        <w:pStyle w:val="FootnoteText"/>
        <w:spacing w:after="120"/>
        <w:ind w:left="499" w:firstLine="68"/>
        <w:rPr>
          <w:rFonts w:ascii="Perpetua" w:hAnsi="Perpetua"/>
          <w:sz w:val="22"/>
          <w:szCs w:val="22"/>
        </w:rPr>
      </w:pPr>
      <w:r w:rsidRPr="00CF0C99">
        <w:rPr>
          <w:rFonts w:ascii="Perpetua" w:hAnsi="Perpetua"/>
          <w:sz w:val="22"/>
          <w:szCs w:val="22"/>
        </w:rPr>
        <w:t>[accessed 7.8.09].</w:t>
      </w:r>
    </w:p>
    <w:p w:rsidR="0047257C" w:rsidRPr="00CF0C99" w:rsidRDefault="0047257C" w:rsidP="0047257C">
      <w:pPr>
        <w:pStyle w:val="FootnoteText"/>
        <w:spacing w:after="120"/>
        <w:ind w:left="499" w:hanging="499"/>
        <w:rPr>
          <w:rFonts w:ascii="Perpetua" w:hAnsi="Perpetua"/>
          <w:sz w:val="22"/>
          <w:szCs w:val="22"/>
        </w:rPr>
      </w:pPr>
      <w:r>
        <w:rPr>
          <w:rFonts w:ascii="Perpetua" w:hAnsi="Perpetua"/>
          <w:sz w:val="22"/>
          <w:szCs w:val="22"/>
        </w:rPr>
        <w:t xml:space="preserve">Davies, Philip R., </w:t>
      </w:r>
      <w:r w:rsidRPr="00044FEE">
        <w:rPr>
          <w:rFonts w:ascii="Perpetua" w:hAnsi="Perpetua"/>
          <w:i/>
          <w:iCs/>
          <w:sz w:val="22"/>
          <w:szCs w:val="22"/>
          <w:lang w:val="en-US"/>
        </w:rPr>
        <w:t>In Search of ‘Ancient Israel’</w:t>
      </w:r>
      <w:r w:rsidRPr="00044FEE">
        <w:rPr>
          <w:rFonts w:ascii="Perpetua" w:hAnsi="Perpetua"/>
          <w:sz w:val="22"/>
          <w:szCs w:val="22"/>
          <w:lang w:val="en-US"/>
        </w:rPr>
        <w:t xml:space="preserve"> (JSOT supp. series; 148; Sheffield: JSOT Press, 1992).</w:t>
      </w:r>
    </w:p>
    <w:p w:rsidR="0047257C" w:rsidRPr="00CF0C99" w:rsidRDefault="0047257C" w:rsidP="0047257C">
      <w:pPr>
        <w:spacing w:after="0" w:line="240" w:lineRule="auto"/>
        <w:ind w:left="567" w:hanging="567"/>
        <w:rPr>
          <w:lang w:val="en-US"/>
        </w:rPr>
      </w:pPr>
      <w:r w:rsidRPr="00CF0C99">
        <w:rPr>
          <w:lang w:val="en-US"/>
        </w:rPr>
        <w:t xml:space="preserve">Demy, Timothy, ‘James Hall Brookes’ </w:t>
      </w:r>
    </w:p>
    <w:p w:rsidR="0047257C" w:rsidRPr="00CF0C99" w:rsidRDefault="0047257C" w:rsidP="0047257C">
      <w:pPr>
        <w:spacing w:after="120" w:line="240" w:lineRule="auto"/>
        <w:ind w:left="567"/>
        <w:rPr>
          <w:lang w:val="en-US"/>
        </w:rPr>
      </w:pPr>
      <w:r w:rsidRPr="00CF0C99">
        <w:rPr>
          <w:lang w:val="en-US"/>
        </w:rPr>
        <w:t xml:space="preserve">&lt;http://www.pre-trib.org/articles/view/james-hall-brookes&gt; [accessed 15.4.10]. </w:t>
      </w:r>
    </w:p>
    <w:p w:rsidR="0047257C" w:rsidRDefault="0047257C" w:rsidP="0047257C">
      <w:pPr>
        <w:spacing w:after="120" w:line="240" w:lineRule="auto"/>
        <w:ind w:left="567"/>
        <w:rPr>
          <w:spacing w:val="-2"/>
        </w:rPr>
      </w:pPr>
      <w:r w:rsidRPr="00F904E9">
        <w:rPr>
          <w:spacing w:val="-2"/>
        </w:rPr>
        <w:t xml:space="preserve">— </w:t>
      </w:r>
      <w:r w:rsidRPr="00F904E9">
        <w:rPr>
          <w:spacing w:val="-2"/>
          <w:lang w:val="en-US"/>
        </w:rPr>
        <w:t xml:space="preserve">‘Arno C. Gaebelein’ </w:t>
      </w:r>
      <w:r w:rsidRPr="00F904E9">
        <w:rPr>
          <w:spacing w:val="-2"/>
        </w:rPr>
        <w:t>&lt;http://www.pre-trib.org/articles/view/arno-c-gaebelein&gt; [accessed 24.7.13].</w:t>
      </w:r>
    </w:p>
    <w:p w:rsidR="0047257C" w:rsidRPr="00CF0C99" w:rsidRDefault="0047257C" w:rsidP="0047257C">
      <w:pPr>
        <w:spacing w:after="120" w:line="240" w:lineRule="auto"/>
        <w:ind w:left="539" w:hanging="539"/>
      </w:pPr>
      <w:r>
        <w:t xml:space="preserve">Exum, J. Cheryl, </w:t>
      </w:r>
      <w:r w:rsidRPr="00F904E9">
        <w:rPr>
          <w:i/>
        </w:rPr>
        <w:t>Song of Songs</w:t>
      </w:r>
      <w:r>
        <w:t xml:space="preserve"> (Louisville, Kentucky: Westminster John Knox Press, 2005).</w:t>
      </w:r>
    </w:p>
    <w:p w:rsidR="0047257C" w:rsidRPr="0038679A" w:rsidRDefault="0047257C" w:rsidP="0047257C">
      <w:pPr>
        <w:pStyle w:val="FootnoteText"/>
        <w:spacing w:after="120"/>
        <w:ind w:left="499" w:hanging="499"/>
        <w:rPr>
          <w:rFonts w:ascii="Perpetua" w:hAnsi="Perpetua"/>
          <w:sz w:val="22"/>
          <w:szCs w:val="22"/>
        </w:rPr>
      </w:pPr>
      <w:r w:rsidRPr="0038679A">
        <w:rPr>
          <w:rFonts w:ascii="Perpetua" w:hAnsi="Perpetua"/>
          <w:sz w:val="22"/>
          <w:szCs w:val="22"/>
        </w:rPr>
        <w:t xml:space="preserve">Fruchtenbaum, Arnold G., ‘The Dispensations’, </w:t>
      </w:r>
      <w:r w:rsidRPr="0038679A">
        <w:rPr>
          <w:rFonts w:ascii="Perpetua" w:hAnsi="Perpetua"/>
          <w:i/>
          <w:sz w:val="22"/>
          <w:szCs w:val="22"/>
        </w:rPr>
        <w:t xml:space="preserve">Come and See: Messianic Bible Studies, </w:t>
      </w:r>
      <w:r w:rsidRPr="0038679A">
        <w:rPr>
          <w:rFonts w:ascii="Perpetua" w:hAnsi="Perpetua"/>
          <w:sz w:val="22"/>
          <w:szCs w:val="22"/>
        </w:rPr>
        <w:t>Ariel Ministries &lt;http://www.arielm.org/dcs/pdf/mbs041m.pdf&gt; [accessed 17.5.12].</w:t>
      </w:r>
    </w:p>
    <w:p w:rsidR="0047257C" w:rsidRPr="0038679A" w:rsidRDefault="0047257C" w:rsidP="0047257C">
      <w:pPr>
        <w:pStyle w:val="FootnoteText"/>
        <w:spacing w:after="120"/>
        <w:ind w:left="499" w:hanging="499"/>
        <w:rPr>
          <w:rFonts w:ascii="Perpetua" w:hAnsi="Perpetua"/>
          <w:sz w:val="22"/>
          <w:szCs w:val="22"/>
          <w:lang w:eastAsia="en-GB"/>
        </w:rPr>
      </w:pPr>
      <w:r w:rsidRPr="0038679A">
        <w:rPr>
          <w:rFonts w:ascii="Perpetua" w:hAnsi="Perpetua"/>
          <w:sz w:val="22"/>
          <w:szCs w:val="22"/>
        </w:rPr>
        <w:t>Goss, Glenn R., ‘</w:t>
      </w:r>
      <w:r w:rsidRPr="0038679A">
        <w:rPr>
          <w:rFonts w:ascii="Perpetua" w:hAnsi="Perpetua"/>
          <w:sz w:val="22"/>
          <w:szCs w:val="22"/>
          <w:lang w:eastAsia="en-GB"/>
        </w:rPr>
        <w:t>The Scofield Bible and C. I. Scofield’, Ray of Hope Church of Our Lord Jesus Christ &lt;http://www.rayofhopechurch.com/scofield.htm&gt; [accessed 20.1.13].</w:t>
      </w:r>
    </w:p>
    <w:p w:rsidR="0047257C" w:rsidRPr="0038679A" w:rsidRDefault="0047257C" w:rsidP="0047257C">
      <w:pPr>
        <w:pStyle w:val="FootnoteText"/>
        <w:spacing w:after="120"/>
        <w:ind w:left="499" w:hanging="499"/>
        <w:rPr>
          <w:rFonts w:ascii="Perpetua" w:hAnsi="Perpetua"/>
          <w:sz w:val="22"/>
          <w:szCs w:val="22"/>
        </w:rPr>
      </w:pPr>
      <w:r w:rsidRPr="0038679A">
        <w:rPr>
          <w:rFonts w:ascii="Perpetua" w:hAnsi="Perpetua"/>
          <w:sz w:val="22"/>
          <w:szCs w:val="22"/>
        </w:rPr>
        <w:t xml:space="preserve">Horrell, David, </w:t>
      </w:r>
      <w:r w:rsidRPr="0038679A">
        <w:rPr>
          <w:rFonts w:ascii="Perpetua" w:hAnsi="Perpetua"/>
          <w:i/>
          <w:sz w:val="22"/>
          <w:szCs w:val="22"/>
        </w:rPr>
        <w:t>An Introduction to the Study of Paul</w:t>
      </w:r>
      <w:r w:rsidRPr="0038679A">
        <w:rPr>
          <w:rFonts w:ascii="Perpetua" w:hAnsi="Perpetua"/>
          <w:sz w:val="22"/>
          <w:szCs w:val="22"/>
        </w:rPr>
        <w:t xml:space="preserve"> (London: Continuum, 2000).</w:t>
      </w:r>
    </w:p>
    <w:p w:rsidR="0047257C" w:rsidRPr="0038679A" w:rsidRDefault="0047257C" w:rsidP="0047257C">
      <w:pPr>
        <w:pStyle w:val="FootnoteText"/>
        <w:ind w:left="499" w:hanging="499"/>
        <w:rPr>
          <w:rFonts w:ascii="Perpetua" w:hAnsi="Perpetua"/>
          <w:sz w:val="22"/>
          <w:szCs w:val="22"/>
        </w:rPr>
      </w:pPr>
      <w:r w:rsidRPr="0038679A">
        <w:rPr>
          <w:rFonts w:ascii="Perpetua" w:hAnsi="Perpetua"/>
          <w:sz w:val="22"/>
          <w:szCs w:val="22"/>
        </w:rPr>
        <w:t xml:space="preserve">Hvalvik, Reidar, ‘A “Sonderweg” for Israel: A Critical Examination of a Current Interpretation of </w:t>
      </w:r>
    </w:p>
    <w:p w:rsidR="0047257C" w:rsidRPr="0038679A" w:rsidRDefault="0047257C" w:rsidP="0047257C">
      <w:pPr>
        <w:pStyle w:val="FootnoteText"/>
        <w:spacing w:after="120"/>
        <w:ind w:left="499" w:firstLine="68"/>
        <w:rPr>
          <w:rFonts w:ascii="Perpetua" w:hAnsi="Perpetua"/>
          <w:sz w:val="22"/>
          <w:szCs w:val="22"/>
        </w:rPr>
      </w:pPr>
      <w:r w:rsidRPr="0038679A">
        <w:rPr>
          <w:rFonts w:ascii="Perpetua" w:hAnsi="Perpetua"/>
          <w:sz w:val="22"/>
          <w:szCs w:val="22"/>
        </w:rPr>
        <w:t xml:space="preserve">Romans 11:25-27’, </w:t>
      </w:r>
      <w:r w:rsidRPr="0038679A">
        <w:rPr>
          <w:rFonts w:ascii="Perpetua" w:hAnsi="Perpetua"/>
          <w:i/>
          <w:sz w:val="22"/>
          <w:szCs w:val="22"/>
        </w:rPr>
        <w:t>Journal for the Study of the New Testament</w:t>
      </w:r>
      <w:r w:rsidRPr="0038679A">
        <w:rPr>
          <w:rFonts w:ascii="Perpetua" w:hAnsi="Perpetua"/>
          <w:sz w:val="22"/>
          <w:szCs w:val="22"/>
        </w:rPr>
        <w:t xml:space="preserve"> 38, (1990), pp. 87-107.</w:t>
      </w:r>
    </w:p>
    <w:p w:rsidR="0047257C" w:rsidRPr="00CF0C99" w:rsidRDefault="0047257C" w:rsidP="0047257C">
      <w:pPr>
        <w:spacing w:after="120" w:line="240" w:lineRule="auto"/>
        <w:ind w:left="544" w:hanging="544"/>
      </w:pPr>
      <w:r w:rsidRPr="0038679A">
        <w:t xml:space="preserve">Ice, Thomas, Foreword in Paul Richard Wilkinson, </w:t>
      </w:r>
      <w:r w:rsidRPr="0038679A">
        <w:rPr>
          <w:i/>
        </w:rPr>
        <w:t>For Zion’s Sake: Christian Zionism and the Role of John Nelson Darby</w:t>
      </w:r>
      <w:r w:rsidRPr="00CF0C99">
        <w:t xml:space="preserve"> (Milton Keynes: Paternoster, 2007).</w:t>
      </w:r>
    </w:p>
    <w:p w:rsidR="0047257C" w:rsidRPr="00CF0C99" w:rsidRDefault="0047257C" w:rsidP="0047257C">
      <w:pPr>
        <w:pStyle w:val="FootnoteText"/>
        <w:spacing w:after="120"/>
        <w:ind w:left="499" w:hanging="499"/>
        <w:rPr>
          <w:rFonts w:ascii="Perpetua" w:hAnsi="Perpetua"/>
          <w:bCs/>
          <w:sz w:val="22"/>
          <w:szCs w:val="22"/>
          <w:lang w:eastAsia="en-GB"/>
        </w:rPr>
      </w:pPr>
      <w:r w:rsidRPr="00CF0C99">
        <w:rPr>
          <w:rFonts w:ascii="Perpetua" w:hAnsi="Perpetua"/>
          <w:sz w:val="22"/>
          <w:szCs w:val="22"/>
          <w:lang w:eastAsia="en-GB"/>
        </w:rPr>
        <w:t xml:space="preserve">Josephus, Flavius, </w:t>
      </w:r>
      <w:r w:rsidRPr="00CF0C99">
        <w:rPr>
          <w:rFonts w:ascii="Perpetua" w:hAnsi="Perpetua"/>
          <w:i/>
          <w:sz w:val="22"/>
          <w:szCs w:val="22"/>
          <w:lang w:eastAsia="en-GB"/>
        </w:rPr>
        <w:t>Antiquities of the Jews</w:t>
      </w:r>
      <w:r w:rsidRPr="00CF0C99">
        <w:rPr>
          <w:rFonts w:ascii="Perpetua" w:hAnsi="Perpetua"/>
          <w:sz w:val="22"/>
          <w:szCs w:val="22"/>
          <w:lang w:eastAsia="en-GB"/>
        </w:rPr>
        <w:t>, Book 1, ‘</w:t>
      </w:r>
      <w:r w:rsidRPr="00CF0C99">
        <w:rPr>
          <w:rFonts w:ascii="Perpetua" w:hAnsi="Perpetua"/>
          <w:bCs/>
          <w:sz w:val="22"/>
          <w:szCs w:val="22"/>
          <w:lang w:eastAsia="en-GB"/>
        </w:rPr>
        <w:t xml:space="preserve">Chapter 6. How Every Nation Was Denominated From Their First Inhabitants’ Section 1.  </w:t>
      </w:r>
      <w:r w:rsidRPr="00CF0C99">
        <w:rPr>
          <w:rFonts w:ascii="Perpetua" w:hAnsi="Perpetua"/>
          <w:sz w:val="22"/>
          <w:szCs w:val="22"/>
          <w:lang w:eastAsia="en-GB"/>
        </w:rPr>
        <w:t xml:space="preserve">Gutenberg.org, (trans. William Whiston) </w:t>
      </w:r>
      <w:r w:rsidRPr="00CF0C99">
        <w:rPr>
          <w:rFonts w:ascii="Perpetua" w:hAnsi="Perpetua"/>
          <w:bCs/>
          <w:sz w:val="22"/>
          <w:szCs w:val="22"/>
          <w:lang w:eastAsia="en-GB"/>
        </w:rPr>
        <w:t>&lt;http://www.gutenberg.org/files/2848/2848-h/2848-h.htm#link2HCH0006 &gt; [accessed 16/3/15].</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Judaism 101, ‘Shavu’ot’ &lt;http://www.jewfaq.org/holidayc.htm&gt; [accessed 29.9.17].</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Kinzer, Mark S., </w:t>
      </w:r>
      <w:r w:rsidRPr="00CF0C99">
        <w:rPr>
          <w:rFonts w:ascii="Perpetua" w:hAnsi="Perpetua"/>
          <w:i/>
          <w:sz w:val="22"/>
          <w:szCs w:val="22"/>
        </w:rPr>
        <w:t>Israel’s Messiah and the People of God: A Vision for Messianic Jewish Covenant Fidelity</w:t>
      </w:r>
      <w:r w:rsidRPr="00CF0C99">
        <w:rPr>
          <w:rFonts w:ascii="Perpetua" w:hAnsi="Perpetua"/>
          <w:sz w:val="22"/>
          <w:szCs w:val="22"/>
        </w:rPr>
        <w:t xml:space="preserve"> (Jennifer M. Rosner, [ed.], Eugene, Oregon: Cascade Books, 2011).</w:t>
      </w:r>
    </w:p>
    <w:p w:rsidR="0047257C" w:rsidRPr="00F904E9" w:rsidRDefault="0047257C" w:rsidP="0047257C">
      <w:pPr>
        <w:pStyle w:val="FootnoteText"/>
        <w:spacing w:after="120"/>
        <w:ind w:left="499" w:hanging="499"/>
        <w:rPr>
          <w:rFonts w:ascii="Perpetua" w:hAnsi="Perpetua"/>
          <w:spacing w:val="-2"/>
          <w:sz w:val="22"/>
          <w:szCs w:val="22"/>
        </w:rPr>
      </w:pPr>
      <w:r w:rsidRPr="00F904E9">
        <w:rPr>
          <w:rFonts w:ascii="Perpetua" w:hAnsi="Perpetua" w:cs="Arial"/>
          <w:spacing w:val="-2"/>
          <w:sz w:val="22"/>
          <w:szCs w:val="22"/>
          <w:lang w:val="en-US"/>
        </w:rPr>
        <w:t xml:space="preserve">van der Kooij, Arie, ‘The Septuagint of Zechariah as Witness to an Early Interpretation of the Book’ in </w:t>
      </w:r>
      <w:r w:rsidRPr="00F904E9">
        <w:rPr>
          <w:rFonts w:ascii="Perpetua" w:hAnsi="Perpetua"/>
          <w:spacing w:val="-2"/>
          <w:sz w:val="22"/>
          <w:szCs w:val="22"/>
        </w:rPr>
        <w:t xml:space="preserve">Christopher Tuckett (ed.) </w:t>
      </w:r>
      <w:r w:rsidRPr="00F904E9">
        <w:rPr>
          <w:rFonts w:ascii="Perpetua" w:hAnsi="Perpetua"/>
          <w:i/>
          <w:spacing w:val="-2"/>
          <w:sz w:val="22"/>
          <w:szCs w:val="22"/>
        </w:rPr>
        <w:t>The Book of Zechariah and its Influence</w:t>
      </w:r>
      <w:r w:rsidRPr="00F904E9">
        <w:rPr>
          <w:rFonts w:ascii="Perpetua" w:hAnsi="Perpetua"/>
          <w:spacing w:val="-2"/>
          <w:sz w:val="22"/>
          <w:szCs w:val="22"/>
        </w:rPr>
        <w:t xml:space="preserve"> (Aldershot: Ashgate Publishing Limited, 2003).</w:t>
      </w:r>
    </w:p>
    <w:p w:rsidR="0047257C" w:rsidRDefault="0047257C" w:rsidP="0047257C">
      <w:pPr>
        <w:pStyle w:val="FootnoteText"/>
        <w:ind w:left="499" w:hanging="499"/>
        <w:rPr>
          <w:rFonts w:ascii="Perpetua" w:hAnsi="Perpetua"/>
          <w:sz w:val="22"/>
          <w:szCs w:val="22"/>
        </w:rPr>
      </w:pPr>
      <w:r w:rsidRPr="00CF0C99">
        <w:rPr>
          <w:rFonts w:ascii="Perpetua" w:hAnsi="Perpetua"/>
          <w:sz w:val="22"/>
          <w:szCs w:val="22"/>
        </w:rPr>
        <w:lastRenderedPageBreak/>
        <w:t xml:space="preserve">Ladd, George Eldon, </w:t>
      </w:r>
      <w:r w:rsidRPr="00CF0C99">
        <w:rPr>
          <w:rFonts w:ascii="Perpetua" w:hAnsi="Perpetua"/>
          <w:i/>
          <w:sz w:val="22"/>
          <w:szCs w:val="22"/>
        </w:rPr>
        <w:t>The Gospel of the Kingdom: Scriptural Studies in the Kingdom of God</w:t>
      </w:r>
      <w:r w:rsidRPr="00CF0C99">
        <w:rPr>
          <w:rFonts w:ascii="Perpetua" w:hAnsi="Perpetua"/>
          <w:sz w:val="22"/>
          <w:szCs w:val="22"/>
        </w:rPr>
        <w:t xml:space="preserve"> </w:t>
      </w:r>
    </w:p>
    <w:p w:rsidR="0047257C" w:rsidRPr="00CF0C99" w:rsidRDefault="0047257C" w:rsidP="0047257C">
      <w:pPr>
        <w:pStyle w:val="FootnoteText"/>
        <w:spacing w:after="120"/>
        <w:ind w:left="499" w:firstLine="68"/>
        <w:rPr>
          <w:rFonts w:ascii="Perpetua" w:hAnsi="Perpetua"/>
          <w:sz w:val="22"/>
          <w:szCs w:val="22"/>
        </w:rPr>
      </w:pPr>
      <w:r w:rsidRPr="00CF0C99">
        <w:rPr>
          <w:rFonts w:ascii="Perpetua" w:hAnsi="Perpetua"/>
          <w:sz w:val="22"/>
          <w:szCs w:val="22"/>
        </w:rPr>
        <w:t>(Grand Rapids: Wm. B. Eerdmans Publishing Company; Copyright, The Patenoster Press, 1959).</w:t>
      </w:r>
    </w:p>
    <w:p w:rsidR="0047257C" w:rsidRDefault="0047257C" w:rsidP="0047257C">
      <w:pPr>
        <w:spacing w:after="0" w:line="240" w:lineRule="auto"/>
        <w:ind w:left="544" w:hanging="544"/>
      </w:pPr>
      <w:r w:rsidRPr="00CF0C99">
        <w:t xml:space="preserve">Larsen, David, ‘John Nelson Darby: Pioneer of Dispensational Premillennialism’ </w:t>
      </w:r>
    </w:p>
    <w:p w:rsidR="0047257C" w:rsidRPr="00CF0C99" w:rsidRDefault="0047257C" w:rsidP="0047257C">
      <w:pPr>
        <w:spacing w:after="120" w:line="240" w:lineRule="auto"/>
        <w:ind w:left="544" w:firstLine="23"/>
      </w:pPr>
      <w:r w:rsidRPr="00CF0C99">
        <w:rPr>
          <w:lang w:val="en-US"/>
        </w:rPr>
        <w:t>&lt;http://www.pre-trib.org/articles/view/john-nelson-darby-pioneer-of-dispensational-premillennialism&gt; [accessed 15.4.10].</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Longenecker, Bruce W., ‘Defining the Faithful Character of the Covenant Community: Galatians 2:15-21 and Beyond: A Response to Jan Lambrecht’ in James D. G. Dunn (ed.) </w:t>
      </w:r>
      <w:r w:rsidRPr="00CF0C99">
        <w:rPr>
          <w:rFonts w:ascii="Perpetua" w:hAnsi="Perpetua"/>
          <w:i/>
          <w:sz w:val="22"/>
          <w:szCs w:val="22"/>
        </w:rPr>
        <w:t>Paul and the Mosaic Law</w:t>
      </w:r>
      <w:r w:rsidRPr="00CF0C99">
        <w:rPr>
          <w:rFonts w:ascii="Perpetua" w:hAnsi="Perpetua"/>
          <w:sz w:val="22"/>
          <w:szCs w:val="22"/>
        </w:rPr>
        <w:t xml:space="preserve"> (Cambridge, U.K.: William B. Eerdmans Publishing Company, 1996, 2001).</w:t>
      </w:r>
    </w:p>
    <w:p w:rsidR="0047257C" w:rsidRPr="00CF0C99" w:rsidRDefault="0047257C" w:rsidP="0047257C">
      <w:pPr>
        <w:autoSpaceDE w:val="0"/>
        <w:autoSpaceDN w:val="0"/>
        <w:adjustRightInd w:val="0"/>
        <w:spacing w:after="0" w:line="240" w:lineRule="auto"/>
        <w:ind w:left="403" w:hanging="403"/>
        <w:rPr>
          <w:rFonts w:cs="Courier New"/>
          <w:lang w:val="en-US"/>
        </w:rPr>
      </w:pPr>
      <w:r w:rsidRPr="00CF0C99">
        <w:t>Mangum, R. Todd, ‘</w:t>
      </w:r>
      <w:r w:rsidRPr="00CF0C99">
        <w:rPr>
          <w:lang w:val="en-US"/>
        </w:rPr>
        <w:t xml:space="preserve">High Hopes for 21st-Century Dispensationalism: A Response to “Hope and Dispensationalism: An Historical Overview and Assessment” (by Gary L. Nebeker)’, </w:t>
      </w:r>
      <w:r w:rsidRPr="00CF0C99">
        <w:rPr>
          <w:rFonts w:cs="Courier New"/>
          <w:lang w:val="en-US"/>
        </w:rPr>
        <w:t xml:space="preserve">presented to the Dispensational Study Group of the Evangelical Theological Society, Nashville, Tennessee, </w:t>
      </w:r>
    </w:p>
    <w:p w:rsidR="0047257C" w:rsidRPr="00CF0C99" w:rsidRDefault="0047257C" w:rsidP="0047257C">
      <w:pPr>
        <w:autoSpaceDE w:val="0"/>
        <w:autoSpaceDN w:val="0"/>
        <w:adjustRightInd w:val="0"/>
        <w:spacing w:after="120" w:line="240" w:lineRule="auto"/>
        <w:ind w:left="403" w:firstLine="28"/>
      </w:pPr>
      <w:r w:rsidRPr="00CF0C99">
        <w:rPr>
          <w:rFonts w:cs="Courier New"/>
          <w:lang w:val="en-US"/>
        </w:rPr>
        <w:t>16 November 2000 &lt;http://www.biblical.edu/images/stories/academics/progressive%20dispensationalism%20and%20pre-trib%20rapture.ets.pdf&gt; [accessed 7.10.11].</w:t>
      </w:r>
    </w:p>
    <w:p w:rsidR="0047257C" w:rsidRPr="00CF0C99" w:rsidRDefault="0047257C" w:rsidP="0047257C">
      <w:pPr>
        <w:pStyle w:val="FootnoteText"/>
        <w:spacing w:after="120"/>
        <w:ind w:left="500" w:hanging="500"/>
        <w:rPr>
          <w:rFonts w:ascii="Perpetua" w:hAnsi="Perpetua"/>
          <w:sz w:val="22"/>
          <w:szCs w:val="22"/>
        </w:rPr>
      </w:pPr>
      <w:r w:rsidRPr="00CF0C99">
        <w:rPr>
          <w:rFonts w:ascii="Perpetua" w:hAnsi="Perpetua"/>
          <w:sz w:val="22"/>
          <w:szCs w:val="22"/>
        </w:rPr>
        <w:t>Miller, J. Maxwell and John H. Hayes</w:t>
      </w:r>
      <w:r w:rsidRPr="00CF0C99">
        <w:rPr>
          <w:rFonts w:ascii="Perpetua" w:hAnsi="Perpetua"/>
          <w:i/>
          <w:sz w:val="22"/>
          <w:szCs w:val="22"/>
        </w:rPr>
        <w:t>, A History of Ancient Israel and Judah</w:t>
      </w:r>
      <w:r w:rsidRPr="00CF0C99">
        <w:rPr>
          <w:rFonts w:ascii="Perpetua" w:hAnsi="Perpetua"/>
          <w:sz w:val="22"/>
          <w:szCs w:val="22"/>
        </w:rPr>
        <w:t xml:space="preserve"> (London: SCM Press Ltd, 1986).</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Morris, Henry M., Answers in Genesis.org, ‘The Gap Theory – An Idea with Holes’ &lt;</w:t>
      </w:r>
      <w:r w:rsidRPr="00CF0C99">
        <w:rPr>
          <w:rFonts w:ascii="Perpetua" w:hAnsi="Perpetua"/>
          <w:bCs/>
          <w:kern w:val="36"/>
          <w:sz w:val="22"/>
          <w:szCs w:val="22"/>
          <w:lang w:eastAsia="en-GB"/>
        </w:rPr>
        <w:t>http://www.answersingenesis.org/articles/cm/v10/n1/gap-theory</w:t>
      </w:r>
      <w:r w:rsidRPr="00CF0C99">
        <w:rPr>
          <w:rFonts w:ascii="Perpetua" w:hAnsi="Perpetua"/>
          <w:sz w:val="22"/>
          <w:szCs w:val="22"/>
        </w:rPr>
        <w:t>&gt; [accessed 10.12.13].</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Motyer, Steve, </w:t>
      </w:r>
      <w:r w:rsidRPr="00CF0C99">
        <w:rPr>
          <w:rFonts w:ascii="Perpetua" w:hAnsi="Perpetua"/>
          <w:i/>
          <w:sz w:val="22"/>
          <w:szCs w:val="22"/>
        </w:rPr>
        <w:t>Israel in the Plan of God: Light on Today’s Debate</w:t>
      </w:r>
      <w:r w:rsidRPr="00CF0C99">
        <w:rPr>
          <w:rFonts w:ascii="Perpetua" w:hAnsi="Perpetua"/>
          <w:sz w:val="22"/>
          <w:szCs w:val="22"/>
        </w:rPr>
        <w:t xml:space="preserve"> (Leicester: Inter-Varsity Press, 1989).</w:t>
      </w:r>
    </w:p>
    <w:p w:rsidR="0047257C" w:rsidRPr="00CF0C99" w:rsidRDefault="0047257C" w:rsidP="0047257C">
      <w:pPr>
        <w:pStyle w:val="FootnoteText"/>
        <w:spacing w:after="120"/>
        <w:ind w:left="284" w:hanging="284"/>
        <w:rPr>
          <w:rFonts w:ascii="Perpetua" w:hAnsi="Perpetua"/>
          <w:sz w:val="22"/>
          <w:szCs w:val="22"/>
        </w:rPr>
      </w:pPr>
      <w:r w:rsidRPr="00CF0C99">
        <w:rPr>
          <w:rFonts w:ascii="Perpetua" w:hAnsi="Perpetua"/>
          <w:sz w:val="22"/>
          <w:szCs w:val="22"/>
          <w:lang w:eastAsia="en-GB"/>
        </w:rPr>
        <w:t xml:space="preserve">Pettingill, William L. </w:t>
      </w:r>
      <w:r w:rsidRPr="00CF0C99">
        <w:rPr>
          <w:rFonts w:ascii="Perpetua" w:hAnsi="Perpetua"/>
          <w:i/>
          <w:sz w:val="22"/>
          <w:szCs w:val="22"/>
        </w:rPr>
        <w:t xml:space="preserve">God’s Prophecies for Plain People </w:t>
      </w:r>
      <w:r w:rsidRPr="00CF0C99">
        <w:rPr>
          <w:rFonts w:ascii="Perpetua" w:hAnsi="Perpetua"/>
          <w:sz w:val="22"/>
          <w:szCs w:val="22"/>
        </w:rPr>
        <w:t>(Wheaton, Illinois: Van Kampen Press, 1923), reproduced on Baptist Bible Believer’s Website &lt;http://www.baptistbiblebelievers.com/Books/GODsPropheciesforPlainPeople/tabid/165/Default.aspx&gt; [accessed 24.7.13].</w:t>
      </w:r>
    </w:p>
    <w:p w:rsidR="0047257C" w:rsidRPr="00CF0C99" w:rsidRDefault="0047257C" w:rsidP="0047257C">
      <w:pPr>
        <w:autoSpaceDE w:val="0"/>
        <w:autoSpaceDN w:val="0"/>
        <w:adjustRightInd w:val="0"/>
        <w:spacing w:after="120" w:line="240" w:lineRule="auto"/>
        <w:ind w:left="425" w:hanging="425"/>
      </w:pPr>
      <w:r w:rsidRPr="00CF0C99">
        <w:t>Pyper, Hugh S., ‘</w:t>
      </w:r>
      <w:r w:rsidRPr="00CF0C99">
        <w:rPr>
          <w:rFonts w:cs="TimesNewRomanPS-BoldMT"/>
          <w:bCs/>
          <w:lang w:eastAsia="en-GB"/>
        </w:rPr>
        <w:t xml:space="preserve">Reading in the Dark: Zechariah, Daniel and the Difficulty of Scripture’, </w:t>
      </w:r>
      <w:r w:rsidRPr="00CF0C99">
        <w:rPr>
          <w:rFonts w:cs="TimesNewRomanPS-ItalicMT"/>
          <w:i/>
          <w:iCs/>
          <w:lang w:eastAsia="en-GB"/>
        </w:rPr>
        <w:t xml:space="preserve">JSOT </w:t>
      </w:r>
      <w:r w:rsidRPr="00CF0C99">
        <w:rPr>
          <w:rFonts w:cs="TimesNewRomanPSMT"/>
          <w:i/>
          <w:lang w:eastAsia="en-GB"/>
        </w:rPr>
        <w:t>29.4</w:t>
      </w:r>
      <w:r w:rsidRPr="00CF0C99">
        <w:rPr>
          <w:rFonts w:cs="TimesNewRomanPSMT"/>
          <w:lang w:eastAsia="en-GB"/>
        </w:rPr>
        <w:t xml:space="preserve"> (2005) &lt;http://www.swetswise.com.eresources.shef.ac.uk/FullTextProxy/swproxy?url=http%3A%2F%2Fjot.sagepub.com%2Fcgi%2Freprint%2F29%2F4%2F485.pdf%3Fxdata%3D143167002135&amp;ts=1340368866854&amp;cs=3966514938&amp;userName=8080034.ipdirect&amp;emCondId=12173&amp;articleID=25621201&amp;yevoID=1595369&amp;titleID=110448&amp;referer=2&amp;remoteAddr=143.167.2.135&amp;hostType=PRO&amp;swsSessionId=J+tZ7wtxyE3M73tpApr2HQ__.pasc1&gt; [accessed 9.2.11]</w:t>
      </w:r>
      <w:r w:rsidRPr="00CF0C99">
        <w:t>.</w:t>
      </w:r>
    </w:p>
    <w:p w:rsidR="0047257C" w:rsidRPr="00CF0C99" w:rsidRDefault="0047257C" w:rsidP="0047257C">
      <w:pPr>
        <w:spacing w:after="0" w:line="240" w:lineRule="auto"/>
        <w:ind w:left="539" w:hanging="539"/>
      </w:pPr>
      <w:r w:rsidRPr="00CF0C99">
        <w:t xml:space="preserve">Riddlebarger, Kim, ‘A Present or Future Millennium?’, Grace Online Library </w:t>
      </w:r>
    </w:p>
    <w:p w:rsidR="0047257C" w:rsidRPr="00CF0C99" w:rsidRDefault="0047257C" w:rsidP="0047257C">
      <w:pPr>
        <w:pStyle w:val="FootnoteText"/>
        <w:spacing w:after="120"/>
        <w:ind w:left="499" w:firstLine="68"/>
        <w:rPr>
          <w:rFonts w:ascii="Perpetua" w:hAnsi="Perpetua"/>
          <w:sz w:val="22"/>
          <w:szCs w:val="22"/>
        </w:rPr>
      </w:pPr>
      <w:r w:rsidRPr="00CF0C99">
        <w:rPr>
          <w:rFonts w:ascii="Perpetua" w:hAnsi="Perpetua"/>
          <w:sz w:val="22"/>
          <w:szCs w:val="22"/>
        </w:rPr>
        <w:t>&lt;http://www.graceonlinelibrary.org/eschatology/amillennialsm/a-present-or-future-millennium-by-kim-riddlebarger-2/&gt; [accessed 27.4.14].</w:t>
      </w:r>
    </w:p>
    <w:p w:rsidR="0047257C" w:rsidRPr="0038679A" w:rsidRDefault="0047257C" w:rsidP="0047257C">
      <w:pPr>
        <w:pStyle w:val="FootnoteText"/>
        <w:spacing w:after="120"/>
        <w:ind w:left="499" w:hanging="499"/>
        <w:rPr>
          <w:rFonts w:ascii="Perpetua" w:hAnsi="Perpetua"/>
          <w:sz w:val="22"/>
          <w:szCs w:val="22"/>
        </w:rPr>
      </w:pPr>
      <w:r w:rsidRPr="0038679A">
        <w:rPr>
          <w:rFonts w:ascii="Perpetua" w:hAnsi="Perpetua"/>
          <w:bCs/>
          <w:kern w:val="36"/>
          <w:sz w:val="22"/>
          <w:szCs w:val="22"/>
          <w:lang w:eastAsia="en-GB"/>
        </w:rPr>
        <w:t xml:space="preserve">Saucy, Robert L., </w:t>
      </w:r>
      <w:r w:rsidRPr="0038679A">
        <w:rPr>
          <w:rFonts w:ascii="Perpetua" w:hAnsi="Perpetua"/>
          <w:sz w:val="22"/>
          <w:szCs w:val="22"/>
        </w:rPr>
        <w:t xml:space="preserve">‘The Church as the Mystery of God’, </w:t>
      </w:r>
      <w:r w:rsidRPr="0038679A">
        <w:rPr>
          <w:rFonts w:ascii="Perpetua" w:hAnsi="Perpetua"/>
          <w:i/>
          <w:sz w:val="22"/>
          <w:szCs w:val="22"/>
        </w:rPr>
        <w:t xml:space="preserve">Dispensationalism, Israel and Church: The Search for Definition </w:t>
      </w:r>
      <w:r w:rsidRPr="0038679A">
        <w:rPr>
          <w:rFonts w:ascii="Perpetua" w:hAnsi="Perpetua"/>
          <w:sz w:val="22"/>
          <w:szCs w:val="22"/>
        </w:rPr>
        <w:t>(Grand Rapids, Michigan: Zondervan Publishing House, 1992).</w:t>
      </w:r>
    </w:p>
    <w:p w:rsidR="0047257C" w:rsidRPr="00CF0C99" w:rsidRDefault="0047257C" w:rsidP="0047257C">
      <w:pPr>
        <w:pStyle w:val="FootnoteText"/>
        <w:spacing w:after="120"/>
        <w:rPr>
          <w:rFonts w:ascii="Perpetua" w:hAnsi="Perpetua"/>
          <w:i/>
          <w:sz w:val="22"/>
          <w:szCs w:val="22"/>
        </w:rPr>
      </w:pPr>
      <w:r w:rsidRPr="0038679A">
        <w:rPr>
          <w:rFonts w:ascii="Perpetua" w:hAnsi="Perpetua"/>
          <w:sz w:val="22"/>
          <w:szCs w:val="22"/>
        </w:rPr>
        <w:t xml:space="preserve">Scofield, Cyrus Ingerson, </w:t>
      </w:r>
      <w:r w:rsidRPr="0038679A">
        <w:rPr>
          <w:rFonts w:ascii="Perpetua" w:hAnsi="Perpetua"/>
          <w:i/>
          <w:sz w:val="22"/>
          <w:szCs w:val="22"/>
        </w:rPr>
        <w:t>The Old Scofield</w:t>
      </w:r>
      <w:r w:rsidRPr="00CF0C99">
        <w:rPr>
          <w:rFonts w:ascii="Perpetua" w:hAnsi="Perpetua"/>
          <w:i/>
          <w:sz w:val="22"/>
          <w:szCs w:val="22"/>
        </w:rPr>
        <w:t xml:space="preserve"> Study Bible</w:t>
      </w:r>
      <w:r w:rsidRPr="00CF0C99">
        <w:rPr>
          <w:rFonts w:ascii="Perpetua" w:hAnsi="Perpetua"/>
          <w:sz w:val="22"/>
          <w:szCs w:val="22"/>
        </w:rPr>
        <w:t xml:space="preserve"> (New York: Oxford University Press, 1996).</w:t>
      </w:r>
    </w:p>
    <w:p w:rsidR="0047257C" w:rsidRDefault="0047257C" w:rsidP="0047257C">
      <w:pPr>
        <w:autoSpaceDE w:val="0"/>
        <w:autoSpaceDN w:val="0"/>
        <w:adjustRightInd w:val="0"/>
        <w:spacing w:after="0" w:line="240" w:lineRule="auto"/>
        <w:ind w:left="539" w:right="74" w:hanging="539"/>
      </w:pPr>
      <w:r w:rsidRPr="00CF0C99">
        <w:t xml:space="preserve">        —   </w:t>
      </w:r>
      <w:r w:rsidRPr="00CF0C99">
        <w:rPr>
          <w:i/>
        </w:rPr>
        <w:t>What do the Prophets Say?</w:t>
      </w:r>
      <w:r w:rsidRPr="00CF0C99">
        <w:t xml:space="preserve"> (Philadelphia: The Sun</w:t>
      </w:r>
      <w:r>
        <w:t>day School Times Company, 1918)</w:t>
      </w:r>
    </w:p>
    <w:p w:rsidR="0047257C" w:rsidRPr="00CF0C99" w:rsidRDefault="0047257C" w:rsidP="0047257C">
      <w:pPr>
        <w:autoSpaceDE w:val="0"/>
        <w:autoSpaceDN w:val="0"/>
        <w:adjustRightInd w:val="0"/>
        <w:spacing w:after="120" w:line="240" w:lineRule="auto"/>
        <w:ind w:left="539" w:right="74" w:firstLine="28"/>
      </w:pPr>
      <w:r w:rsidRPr="00CF0C99">
        <w:t>&lt;http://archive.org/details/whatdoprophetssa00scof&gt;[accessed 1.5.12].</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Sim, David C., </w:t>
      </w:r>
      <w:r w:rsidRPr="00CF0C99">
        <w:rPr>
          <w:rFonts w:ascii="Perpetua" w:hAnsi="Perpetua"/>
          <w:i/>
          <w:sz w:val="22"/>
          <w:szCs w:val="22"/>
        </w:rPr>
        <w:t>Apocalyptic Eschatology in the Gospel of Matthew</w:t>
      </w:r>
      <w:r w:rsidRPr="00CF0C99">
        <w:rPr>
          <w:rFonts w:ascii="Perpetua" w:hAnsi="Perpetua"/>
          <w:sz w:val="22"/>
          <w:szCs w:val="22"/>
        </w:rPr>
        <w:t xml:space="preserve"> (Cambridge: Cambridge University Press, 1996).</w:t>
      </w:r>
    </w:p>
    <w:p w:rsidR="0047257C" w:rsidRPr="00CF0C99" w:rsidRDefault="0047257C" w:rsidP="0047257C">
      <w:pPr>
        <w:pStyle w:val="FootnoteText"/>
        <w:spacing w:after="120"/>
        <w:ind w:left="500" w:hanging="500"/>
        <w:rPr>
          <w:rFonts w:ascii="Perpetua" w:hAnsi="Perpetua"/>
          <w:sz w:val="22"/>
          <w:szCs w:val="22"/>
        </w:rPr>
      </w:pPr>
      <w:r w:rsidRPr="00CF0C99">
        <w:rPr>
          <w:rFonts w:ascii="Perpetua" w:hAnsi="Perpetua"/>
          <w:sz w:val="22"/>
          <w:szCs w:val="22"/>
        </w:rPr>
        <w:t xml:space="preserve">Sizer, Stephen, </w:t>
      </w:r>
      <w:r w:rsidRPr="00CF0C99">
        <w:rPr>
          <w:rFonts w:ascii="Perpetua" w:hAnsi="Perpetua"/>
          <w:i/>
          <w:sz w:val="22"/>
          <w:szCs w:val="22"/>
        </w:rPr>
        <w:t>Zion’s Christian Soldiers?  The Bible, Israel and the Church</w:t>
      </w:r>
      <w:r w:rsidRPr="00CF0C99">
        <w:rPr>
          <w:rFonts w:ascii="Perpetua" w:hAnsi="Perpetua"/>
          <w:sz w:val="22"/>
          <w:szCs w:val="22"/>
        </w:rPr>
        <w:t xml:space="preserve"> (Nottingham: Inter-Varsity Press, 2007).</w:t>
      </w:r>
    </w:p>
    <w:p w:rsidR="0047257C" w:rsidRPr="00CF0C99" w:rsidRDefault="0047257C" w:rsidP="0047257C">
      <w:pPr>
        <w:tabs>
          <w:tab w:val="left" w:pos="142"/>
        </w:tabs>
        <w:spacing w:after="120" w:line="240" w:lineRule="auto"/>
        <w:ind w:left="567" w:hanging="567"/>
      </w:pPr>
      <w:r w:rsidRPr="00CF0C99">
        <w:t xml:space="preserve">Stendahl, Krister, ‘The Apostle Paul and the Introspective Conscience of the West’, in Krister Stendahl, </w:t>
      </w:r>
      <w:r w:rsidRPr="00CF0C99">
        <w:rPr>
          <w:i/>
        </w:rPr>
        <w:t>Paul Among Jews and Gentiles</w:t>
      </w:r>
      <w:r w:rsidRPr="00CF0C99">
        <w:t xml:space="preserve"> (London: Fortress Press, 1976).</w:t>
      </w:r>
    </w:p>
    <w:p w:rsidR="0047257C" w:rsidRDefault="0047257C" w:rsidP="0047257C">
      <w:pPr>
        <w:spacing w:after="120" w:line="240" w:lineRule="auto"/>
        <w:ind w:left="539" w:hanging="539"/>
      </w:pPr>
      <w:r w:rsidRPr="00CF0C99">
        <w:t xml:space="preserve">Stowers, Stanley K., </w:t>
      </w:r>
      <w:r w:rsidRPr="00CF0C99">
        <w:rPr>
          <w:i/>
        </w:rPr>
        <w:t>A Rereading of Romans: Justice, Jews, &amp; Gentiles</w:t>
      </w:r>
      <w:r w:rsidRPr="00CF0C99">
        <w:t xml:space="preserve"> (New Haven: Yale University Press, 1994).</w:t>
      </w:r>
    </w:p>
    <w:p w:rsidR="00182FF7" w:rsidRPr="00CF0C99" w:rsidRDefault="00182FF7" w:rsidP="0047257C">
      <w:pPr>
        <w:spacing w:after="120" w:line="240" w:lineRule="auto"/>
        <w:ind w:left="539" w:hanging="539"/>
      </w:pPr>
    </w:p>
    <w:p w:rsidR="0047257C" w:rsidRPr="00CF0C99" w:rsidRDefault="0047257C" w:rsidP="0047257C">
      <w:pPr>
        <w:spacing w:after="120" w:line="240" w:lineRule="auto"/>
        <w:ind w:left="539" w:hanging="539"/>
      </w:pPr>
      <w:r w:rsidRPr="00CF0C99">
        <w:lastRenderedPageBreak/>
        <w:t xml:space="preserve">Sweetnam, Mark, </w:t>
      </w:r>
      <w:r w:rsidRPr="00CF0C99">
        <w:rPr>
          <w:i/>
        </w:rPr>
        <w:t>The Dispensations: God’s Plan for the Ages</w:t>
      </w:r>
      <w:r w:rsidRPr="00CF0C99">
        <w:t xml:space="preserve"> (Lisburn: Scripture Teaching Library, 2013).</w:t>
      </w:r>
    </w:p>
    <w:p w:rsidR="0047257C" w:rsidRPr="00CF0C99" w:rsidRDefault="0047257C" w:rsidP="0047257C">
      <w:pPr>
        <w:spacing w:after="120" w:line="240" w:lineRule="auto"/>
        <w:ind w:left="539" w:firstLine="28"/>
      </w:pPr>
      <w:r w:rsidRPr="00CF0C99">
        <w:t xml:space="preserve">—  </w:t>
      </w:r>
      <w:r w:rsidRPr="00CF0C99">
        <w:rPr>
          <w:i/>
        </w:rPr>
        <w:t>To the Day of Eternity: Future Events in Biblical Prophecy</w:t>
      </w:r>
      <w:r w:rsidRPr="00CF0C99">
        <w:t xml:space="preserve"> (Cookstown: Scripture Teaching Library, 2014).</w:t>
      </w:r>
    </w:p>
    <w:p w:rsidR="0047257C" w:rsidRPr="00CF0C99" w:rsidRDefault="0047257C" w:rsidP="0047257C">
      <w:pPr>
        <w:spacing w:after="120" w:line="240" w:lineRule="auto"/>
        <w:ind w:left="539" w:hanging="539"/>
      </w:pPr>
      <w:r w:rsidRPr="00CF0C99">
        <w:t xml:space="preserve">Thatcher, Adrian, </w:t>
      </w:r>
      <w:r w:rsidRPr="00CF0C99">
        <w:rPr>
          <w:i/>
        </w:rPr>
        <w:t>The Savage Text, The Use and Abuse of the Bible</w:t>
      </w:r>
      <w:r w:rsidRPr="00CF0C99">
        <w:t xml:space="preserve"> (Chichester: Wiley-Blackwell, 2008).</w:t>
      </w:r>
    </w:p>
    <w:p w:rsidR="0047257C" w:rsidRPr="00CF0C99" w:rsidRDefault="0047257C" w:rsidP="0047257C">
      <w:pPr>
        <w:pStyle w:val="FootnoteText"/>
        <w:spacing w:after="120"/>
        <w:ind w:left="499" w:hanging="499"/>
        <w:jc w:val="both"/>
        <w:rPr>
          <w:rFonts w:ascii="Perpetua" w:hAnsi="Perpetua"/>
          <w:sz w:val="22"/>
          <w:szCs w:val="22"/>
        </w:rPr>
      </w:pPr>
      <w:r w:rsidRPr="00CF0C99">
        <w:rPr>
          <w:rFonts w:ascii="Perpetua" w:hAnsi="Perpetua"/>
          <w:sz w:val="22"/>
          <w:szCs w:val="22"/>
        </w:rPr>
        <w:t xml:space="preserve">Thompson, Leonard L., </w:t>
      </w:r>
      <w:r w:rsidRPr="00CF0C99">
        <w:rPr>
          <w:rFonts w:ascii="Perpetua" w:hAnsi="Perpetua"/>
          <w:i/>
          <w:sz w:val="22"/>
          <w:szCs w:val="22"/>
        </w:rPr>
        <w:t>The Book of Revelation: Apocalypse and Empire</w:t>
      </w:r>
      <w:r w:rsidRPr="00CF0C99">
        <w:rPr>
          <w:rFonts w:ascii="Perpetua" w:hAnsi="Perpetua"/>
          <w:sz w:val="22"/>
          <w:szCs w:val="22"/>
        </w:rPr>
        <w:t xml:space="preserve"> (Oxford: Oxford University Press, 1990).</w:t>
      </w:r>
    </w:p>
    <w:p w:rsidR="0047257C" w:rsidRPr="00CF0C99" w:rsidRDefault="0047257C" w:rsidP="0047257C">
      <w:pPr>
        <w:spacing w:after="120" w:line="240" w:lineRule="auto"/>
        <w:ind w:left="539" w:hanging="539"/>
      </w:pPr>
      <w:r w:rsidRPr="00CF0C99">
        <w:t xml:space="preserve">Towner, W. Sibley, </w:t>
      </w:r>
      <w:r w:rsidRPr="00CF0C99">
        <w:rPr>
          <w:i/>
        </w:rPr>
        <w:t xml:space="preserve">Daniel </w:t>
      </w:r>
      <w:r w:rsidRPr="00CF0C99">
        <w:t>(Interpretation: A Bible Commentary for Teaching and Preaching, James Luther Mays (ed.) and Patrick D. Miller, Jr., Old Testament ed., Atlanta: John Knox Press, 1984).</w:t>
      </w:r>
    </w:p>
    <w:p w:rsidR="0047257C" w:rsidRPr="00CF0C99" w:rsidRDefault="0047257C" w:rsidP="0047257C">
      <w:pPr>
        <w:spacing w:after="120" w:line="240" w:lineRule="auto"/>
        <w:ind w:left="567" w:hanging="567"/>
      </w:pPr>
      <w:r w:rsidRPr="00CF0C99">
        <w:t>Walvoord.com, John F. Walvoord &lt;http://www.walvoord.com/about-dr-john-walvoord&gt; [accessed 18.7.13].</w:t>
      </w:r>
    </w:p>
    <w:p w:rsidR="0047257C" w:rsidRPr="00CF0C99" w:rsidRDefault="0047257C" w:rsidP="0047257C">
      <w:pPr>
        <w:spacing w:after="0" w:line="240" w:lineRule="auto"/>
        <w:ind w:left="539" w:hanging="539"/>
      </w:pPr>
      <w:r w:rsidRPr="00CF0C99">
        <w:t xml:space="preserve">Westerholm, Stephen, </w:t>
      </w:r>
      <w:r w:rsidRPr="00CF0C99">
        <w:rPr>
          <w:i/>
        </w:rPr>
        <w:t>Understanding Paul: The Early Christian Worldview of the Letter to the Romans</w:t>
      </w:r>
      <w:r w:rsidRPr="00CF0C99">
        <w:t xml:space="preserve"> </w:t>
      </w:r>
    </w:p>
    <w:p w:rsidR="0047257C" w:rsidRPr="00CF0C99" w:rsidRDefault="0047257C" w:rsidP="0047257C">
      <w:pPr>
        <w:spacing w:after="120" w:line="240" w:lineRule="auto"/>
        <w:ind w:left="539" w:firstLine="28"/>
      </w:pPr>
      <w:r w:rsidRPr="00CF0C99">
        <w:t>(2</w:t>
      </w:r>
      <w:r w:rsidRPr="00CF0C99">
        <w:rPr>
          <w:vertAlign w:val="superscript"/>
        </w:rPr>
        <w:t>nd</w:t>
      </w:r>
      <w:r w:rsidRPr="00CF0C99">
        <w:t xml:space="preserve"> edition; Grand Rapids: Baker Academic, 1997, 2004).</w:t>
      </w:r>
    </w:p>
    <w:p w:rsidR="0047257C" w:rsidRPr="00CF0C99" w:rsidRDefault="0047257C" w:rsidP="0047257C">
      <w:pPr>
        <w:autoSpaceDE w:val="0"/>
        <w:autoSpaceDN w:val="0"/>
        <w:adjustRightInd w:val="0"/>
        <w:spacing w:after="120" w:line="240" w:lineRule="auto"/>
        <w:ind w:left="539" w:right="74" w:hanging="539"/>
      </w:pPr>
      <w:r w:rsidRPr="00CF0C99">
        <w:t>Weston, Charles Gilbert, ‘Cyrus I. Schofield (</w:t>
      </w:r>
      <w:r w:rsidRPr="00CF0C99">
        <w:rPr>
          <w:i/>
        </w:rPr>
        <w:t>sic</w:t>
      </w:r>
      <w:r w:rsidRPr="00CF0C99">
        <w:t>) in the Role of a Congregational Minister’ &lt;</w:t>
      </w:r>
      <w:r w:rsidRPr="00CF0C99">
        <w:rPr>
          <w:bCs/>
          <w:lang w:val="en-US"/>
        </w:rPr>
        <w:t>http://www.gospeltruth.net/scofield.htm</w:t>
      </w:r>
      <w:r w:rsidRPr="00CF0C99">
        <w:t>&gt; [accessed 20.1.11].</w:t>
      </w:r>
    </w:p>
    <w:p w:rsidR="0047257C" w:rsidRPr="00CF0C99" w:rsidRDefault="0047257C" w:rsidP="0047257C">
      <w:pPr>
        <w:autoSpaceDE w:val="0"/>
        <w:autoSpaceDN w:val="0"/>
        <w:adjustRightInd w:val="0"/>
        <w:spacing w:after="120" w:line="240" w:lineRule="auto"/>
        <w:ind w:left="538" w:right="74" w:hanging="113"/>
      </w:pPr>
      <w:r w:rsidRPr="00CF0C99">
        <w:t>—  ‘Scofield Notes Answered’ in ‘Analyzing Scofield’ &lt;http://www.gospeltruth.net/scofield.htm&gt; [accessed 20.1.11].</w:t>
      </w:r>
    </w:p>
    <w:p w:rsidR="0047257C" w:rsidRPr="00CF0C99" w:rsidRDefault="0047257C" w:rsidP="0047257C">
      <w:pPr>
        <w:autoSpaceDE w:val="0"/>
        <w:autoSpaceDN w:val="0"/>
        <w:adjustRightInd w:val="0"/>
        <w:spacing w:after="120" w:line="240" w:lineRule="auto"/>
        <w:ind w:left="539" w:right="74" w:hanging="539"/>
      </w:pPr>
      <w:r w:rsidRPr="00CF0C99">
        <w:t>Weston, Emma Moore, ‘Origin of Scofield Heresies’ in ‘Analyzing Scofield’ &lt;http://www.gospeltruth.net/scofield.htm&gt; [accessed 20.1.11].</w:t>
      </w:r>
    </w:p>
    <w:p w:rsidR="0047257C" w:rsidRPr="00CF0C99" w:rsidRDefault="0047257C" w:rsidP="0047257C">
      <w:pPr>
        <w:autoSpaceDE w:val="0"/>
        <w:autoSpaceDN w:val="0"/>
        <w:adjustRightInd w:val="0"/>
        <w:spacing w:after="0" w:line="240" w:lineRule="auto"/>
        <w:ind w:left="539" w:right="74" w:firstLine="28"/>
      </w:pPr>
      <w:r w:rsidRPr="00CF0C99">
        <w:t xml:space="preserve">—  ‘The Terrible Error of the Scofield Bible’ </w:t>
      </w:r>
    </w:p>
    <w:p w:rsidR="0047257C" w:rsidRPr="00CF0C99" w:rsidRDefault="0047257C" w:rsidP="0047257C">
      <w:pPr>
        <w:autoSpaceDE w:val="0"/>
        <w:autoSpaceDN w:val="0"/>
        <w:adjustRightInd w:val="0"/>
        <w:spacing w:after="120" w:line="240" w:lineRule="auto"/>
        <w:ind w:left="539" w:right="74" w:firstLine="28"/>
      </w:pPr>
      <w:r w:rsidRPr="00CF0C99">
        <w:t>&lt;</w:t>
      </w:r>
      <w:r w:rsidRPr="00CF0C99">
        <w:rPr>
          <w:bCs/>
          <w:kern w:val="36"/>
          <w:lang w:eastAsia="en-GB"/>
        </w:rPr>
        <w:t>http://www.fgcp.org/book/export/html/214</w:t>
      </w:r>
      <w:r w:rsidRPr="00CF0C99">
        <w:t>&gt; [accessed 17.5.12].</w:t>
      </w:r>
    </w:p>
    <w:p w:rsidR="0047257C" w:rsidRPr="00CF0C99" w:rsidRDefault="0047257C" w:rsidP="0047257C">
      <w:pPr>
        <w:spacing w:after="120" w:line="240" w:lineRule="auto"/>
        <w:ind w:left="539" w:hanging="539"/>
      </w:pPr>
      <w:r w:rsidRPr="00CF0C99">
        <w:t xml:space="preserve">Wilson, Dwight, </w:t>
      </w:r>
      <w:r w:rsidRPr="00CF0C99">
        <w:rPr>
          <w:i/>
        </w:rPr>
        <w:t>Armageddon Now: The Premillenarian Response to Russia and Israel Since 1917</w:t>
      </w:r>
      <w:r w:rsidRPr="00CF0C99">
        <w:t xml:space="preserve"> (Tyler, Texas: Institute for Christian Economics, 1991).</w:t>
      </w:r>
    </w:p>
    <w:p w:rsidR="0047257C" w:rsidRPr="00CF0C99" w:rsidRDefault="0047257C" w:rsidP="0047257C">
      <w:pPr>
        <w:spacing w:after="120" w:line="240" w:lineRule="auto"/>
        <w:ind w:left="539" w:hanging="539"/>
      </w:pPr>
      <w:r w:rsidRPr="00CF0C99">
        <w:t xml:space="preserve">Witherington, Ben III,  </w:t>
      </w:r>
      <w:r w:rsidRPr="00CF0C99">
        <w:rPr>
          <w:i/>
        </w:rPr>
        <w:t>The Problem with Evangelical Theology: Testing the Exegetical Foundations of Calvinism, Dispensationalism, and Wesleyanism</w:t>
      </w:r>
      <w:r w:rsidRPr="00CF0C99">
        <w:t xml:space="preserve"> (Waco: Baylor University Press, 2005). </w:t>
      </w:r>
    </w:p>
    <w:p w:rsidR="0047257C" w:rsidRDefault="0047257C" w:rsidP="0047257C">
      <w:pPr>
        <w:pStyle w:val="FootnoteText"/>
        <w:ind w:left="499" w:hanging="499"/>
        <w:rPr>
          <w:rFonts w:ascii="Perpetua" w:hAnsi="Perpetua"/>
          <w:sz w:val="22"/>
          <w:szCs w:val="22"/>
        </w:rPr>
      </w:pPr>
      <w:r w:rsidRPr="00CF0C99">
        <w:rPr>
          <w:rFonts w:ascii="Perpetua" w:hAnsi="Perpetua"/>
          <w:sz w:val="22"/>
          <w:szCs w:val="22"/>
        </w:rPr>
        <w:t xml:space="preserve">Wright, N. T., </w:t>
      </w:r>
      <w:r w:rsidRPr="00CF0C99">
        <w:rPr>
          <w:rFonts w:ascii="Perpetua" w:hAnsi="Perpetua"/>
          <w:i/>
          <w:sz w:val="22"/>
          <w:szCs w:val="22"/>
        </w:rPr>
        <w:t>The Climax of the Covenant: Christ and the Law in Pauline Theology</w:t>
      </w:r>
      <w:r w:rsidRPr="00CF0C99">
        <w:rPr>
          <w:rFonts w:ascii="Perpetua" w:hAnsi="Perpetua"/>
          <w:sz w:val="22"/>
          <w:szCs w:val="22"/>
        </w:rPr>
        <w:t xml:space="preserve"> </w:t>
      </w:r>
    </w:p>
    <w:p w:rsidR="0047257C" w:rsidRPr="00CF0C99" w:rsidRDefault="0047257C" w:rsidP="0047257C">
      <w:pPr>
        <w:pStyle w:val="FootnoteText"/>
        <w:spacing w:after="120"/>
        <w:ind w:left="499" w:firstLine="68"/>
        <w:rPr>
          <w:rFonts w:ascii="Perpetua" w:hAnsi="Perpetua"/>
          <w:sz w:val="22"/>
          <w:szCs w:val="22"/>
        </w:rPr>
      </w:pPr>
      <w:r w:rsidRPr="00CF0C99">
        <w:rPr>
          <w:rFonts w:ascii="Perpetua" w:hAnsi="Perpetua"/>
          <w:sz w:val="22"/>
          <w:szCs w:val="22"/>
        </w:rPr>
        <w:t>(Minneapolis: Fortress Press, 1993).</w:t>
      </w:r>
    </w:p>
    <w:p w:rsidR="0047257C" w:rsidRPr="0038679A" w:rsidRDefault="0047257C" w:rsidP="0047257C">
      <w:pPr>
        <w:spacing w:after="120" w:line="240" w:lineRule="auto"/>
        <w:rPr>
          <w:b/>
        </w:rPr>
      </w:pPr>
      <w:r w:rsidRPr="0038679A">
        <w:rPr>
          <w:b/>
        </w:rPr>
        <w:t>Postmillennialism and Amillennialism</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Boettner, Loraine, ‘Postmillennialism: An Introduction by Loraine Boettner’, Grace Online Library &lt;</w:t>
      </w:r>
      <w:r w:rsidRPr="00CF0C99">
        <w:rPr>
          <w:rFonts w:ascii="Perpetua" w:hAnsi="Perpetua"/>
          <w:bCs/>
          <w:kern w:val="36"/>
          <w:sz w:val="22"/>
          <w:szCs w:val="22"/>
          <w:lang w:eastAsia="en-GB"/>
        </w:rPr>
        <w:t>http://www.graceonlinelibrary.org/eschatology/postmillennialism/postmillennialism-introduction-by-loraine-boettner/</w:t>
      </w:r>
      <w:r w:rsidRPr="00CF0C99">
        <w:rPr>
          <w:rFonts w:ascii="Perpetua" w:hAnsi="Perpetua"/>
          <w:sz w:val="22"/>
          <w:szCs w:val="22"/>
        </w:rPr>
        <w:t>&gt; [accessed 27.4.14].</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Engelsma, David J. ‘Amillennialism: An Introduction’, Grace Online Library &lt;</w:t>
      </w:r>
      <w:r w:rsidRPr="00CF0C99">
        <w:rPr>
          <w:rFonts w:ascii="Perpetua" w:hAnsi="Perpetua"/>
          <w:bCs/>
          <w:kern w:val="36"/>
          <w:sz w:val="22"/>
          <w:szCs w:val="22"/>
          <w:lang w:eastAsia="en-GB"/>
        </w:rPr>
        <w:t>http://www.graceonlinelibrary.org/eschatology/amillennialsm/reformed-amillennialism-an-introduction-by-prof-david-j-engelsma/</w:t>
      </w:r>
      <w:r w:rsidRPr="00CF0C99">
        <w:rPr>
          <w:rFonts w:ascii="Perpetua" w:hAnsi="Perpetua"/>
          <w:sz w:val="22"/>
          <w:szCs w:val="22"/>
        </w:rPr>
        <w:t>&gt; [accessed 27.4.14].</w:t>
      </w:r>
    </w:p>
    <w:p w:rsidR="0047257C" w:rsidRPr="0038679A" w:rsidRDefault="0047257C" w:rsidP="0047257C">
      <w:pPr>
        <w:spacing w:after="120" w:line="240" w:lineRule="auto"/>
        <w:rPr>
          <w:b/>
        </w:rPr>
      </w:pPr>
      <w:r>
        <w:rPr>
          <w:b/>
        </w:rPr>
        <w:t xml:space="preserve">The </w:t>
      </w:r>
      <w:r w:rsidRPr="0038679A">
        <w:rPr>
          <w:b/>
        </w:rPr>
        <w:t>Two Covenant Theory</w:t>
      </w:r>
    </w:p>
    <w:p w:rsidR="0047257C" w:rsidRPr="00CF0C99" w:rsidRDefault="0047257C" w:rsidP="0047257C">
      <w:pPr>
        <w:pStyle w:val="FootnoteText"/>
        <w:ind w:left="499" w:hanging="499"/>
        <w:rPr>
          <w:rFonts w:ascii="Perpetua" w:hAnsi="Perpetua"/>
          <w:sz w:val="22"/>
          <w:szCs w:val="22"/>
        </w:rPr>
      </w:pPr>
      <w:r w:rsidRPr="00CF0C99">
        <w:rPr>
          <w:rFonts w:ascii="Perpetua" w:hAnsi="Perpetua"/>
          <w:sz w:val="22"/>
          <w:szCs w:val="22"/>
        </w:rPr>
        <w:t xml:space="preserve">Gudel, Joseph P., ‘The Two Covenant Challenge: “To the Jew First”: A Biblical Analysis of the “Two Covenant” Theory of Atonement’, </w:t>
      </w:r>
      <w:r w:rsidRPr="00CF0C99">
        <w:rPr>
          <w:rFonts w:ascii="Perpetua" w:hAnsi="Perpetua"/>
          <w:i/>
          <w:sz w:val="22"/>
          <w:szCs w:val="22"/>
        </w:rPr>
        <w:t>Christian Research Journal</w:t>
      </w:r>
      <w:r w:rsidRPr="00CF0C99">
        <w:rPr>
          <w:rFonts w:ascii="Perpetua" w:hAnsi="Perpetua"/>
          <w:sz w:val="22"/>
          <w:szCs w:val="22"/>
        </w:rPr>
        <w:t xml:space="preserve"> 20, (1998), pp. 36-42        </w:t>
      </w:r>
      <w:r w:rsidRPr="00CF0C99">
        <w:rPr>
          <w:rFonts w:ascii="Perpetua" w:hAnsi="Perpetua"/>
          <w:spacing w:val="-6"/>
          <w:sz w:val="22"/>
          <w:szCs w:val="22"/>
        </w:rPr>
        <w:t>&lt;http://www.applesofhiseye.org/FAQs/TotheJewFirstTheTwoCovenantTheoryExposed/&gt;</w:t>
      </w:r>
      <w:r w:rsidRPr="00CF0C99">
        <w:rPr>
          <w:rFonts w:ascii="Perpetua" w:hAnsi="Perpetua"/>
          <w:sz w:val="22"/>
          <w:szCs w:val="22"/>
        </w:rPr>
        <w:t xml:space="preserve">  </w:t>
      </w:r>
    </w:p>
    <w:p w:rsidR="0047257C" w:rsidRPr="00CF0C99"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          [accessed 18.2.09]. </w:t>
      </w:r>
    </w:p>
    <w:p w:rsidR="0047257C" w:rsidRDefault="0047257C" w:rsidP="0047257C">
      <w:pPr>
        <w:pStyle w:val="FootnoteText"/>
        <w:ind w:left="499" w:hanging="499"/>
        <w:rPr>
          <w:rFonts w:ascii="Perpetua" w:hAnsi="Perpetua"/>
          <w:sz w:val="22"/>
          <w:szCs w:val="22"/>
        </w:rPr>
      </w:pPr>
      <w:r w:rsidRPr="00CF0C99">
        <w:rPr>
          <w:rFonts w:ascii="Perpetua" w:hAnsi="Perpetua"/>
          <w:sz w:val="22"/>
          <w:szCs w:val="22"/>
        </w:rPr>
        <w:t xml:space="preserve">Holwerda, David E., </w:t>
      </w:r>
      <w:r w:rsidRPr="00CF0C99">
        <w:rPr>
          <w:rFonts w:ascii="Perpetua" w:hAnsi="Perpetua"/>
          <w:i/>
          <w:sz w:val="22"/>
          <w:szCs w:val="22"/>
        </w:rPr>
        <w:t>Jesus and Israel: One Covenant or Two?</w:t>
      </w:r>
      <w:r w:rsidRPr="00CF0C99">
        <w:rPr>
          <w:rFonts w:ascii="Perpetua" w:hAnsi="Perpetua"/>
          <w:sz w:val="22"/>
          <w:szCs w:val="22"/>
        </w:rPr>
        <w:t xml:space="preserve">  </w:t>
      </w:r>
    </w:p>
    <w:p w:rsidR="0047257C" w:rsidRPr="00CF0C99" w:rsidRDefault="0047257C" w:rsidP="0047257C">
      <w:pPr>
        <w:pStyle w:val="FootnoteText"/>
        <w:spacing w:after="120"/>
        <w:ind w:left="499" w:firstLine="68"/>
        <w:rPr>
          <w:rFonts w:ascii="Perpetua" w:hAnsi="Perpetua"/>
          <w:sz w:val="22"/>
          <w:szCs w:val="22"/>
        </w:rPr>
      </w:pPr>
      <w:r w:rsidRPr="00CF0C99">
        <w:rPr>
          <w:rFonts w:ascii="Perpetua" w:hAnsi="Perpetua"/>
          <w:sz w:val="22"/>
          <w:szCs w:val="22"/>
        </w:rPr>
        <w:t>(Grand Rapids: Wm. B. Eerdmans Publishing Co., 1995).</w:t>
      </w:r>
    </w:p>
    <w:p w:rsidR="0047257C" w:rsidRDefault="0047257C" w:rsidP="0047257C">
      <w:pPr>
        <w:pStyle w:val="FootnoteText"/>
        <w:spacing w:after="120"/>
        <w:ind w:left="499" w:hanging="499"/>
        <w:rPr>
          <w:rFonts w:ascii="Perpetua" w:hAnsi="Perpetua"/>
          <w:sz w:val="22"/>
          <w:szCs w:val="22"/>
        </w:rPr>
      </w:pPr>
      <w:r w:rsidRPr="00CF0C99">
        <w:rPr>
          <w:rFonts w:ascii="Perpetua" w:hAnsi="Perpetua"/>
          <w:sz w:val="22"/>
          <w:szCs w:val="22"/>
        </w:rPr>
        <w:t xml:space="preserve">Rosenzweig, Franz, </w:t>
      </w:r>
      <w:r w:rsidRPr="00CF0C99">
        <w:rPr>
          <w:rFonts w:ascii="Perpetua" w:hAnsi="Perpetua"/>
          <w:i/>
          <w:sz w:val="22"/>
          <w:szCs w:val="22"/>
        </w:rPr>
        <w:t>The Star of Redemption</w:t>
      </w:r>
      <w:r w:rsidRPr="00CF0C99">
        <w:rPr>
          <w:rFonts w:ascii="Perpetua" w:hAnsi="Perpetua"/>
          <w:sz w:val="22"/>
          <w:szCs w:val="22"/>
        </w:rPr>
        <w:t xml:space="preserve"> (trans. William W. Hallo; </w:t>
      </w:r>
      <w:r w:rsidRPr="00CF0C99">
        <w:rPr>
          <w:rFonts w:ascii="Perpetua" w:hAnsi="Perpetua"/>
          <w:i/>
          <w:sz w:val="22"/>
          <w:szCs w:val="22"/>
        </w:rPr>
        <w:t>Stern der Erl</w:t>
      </w:r>
      <w:r w:rsidRPr="00CF0C99">
        <w:rPr>
          <w:rFonts w:ascii="Perpetua" w:hAnsi="Perpetua" w:cs="Humnst777 Lt BT"/>
          <w:i/>
          <w:sz w:val="22"/>
          <w:szCs w:val="22"/>
          <w:lang w:val="en-US"/>
        </w:rPr>
        <w:t>ösung</w:t>
      </w:r>
      <w:r w:rsidRPr="00CF0C99">
        <w:rPr>
          <w:rFonts w:ascii="Perpetua" w:hAnsi="Perpetua" w:cs="Humnst777 Lt BT"/>
          <w:sz w:val="22"/>
          <w:szCs w:val="22"/>
          <w:lang w:val="en-US"/>
        </w:rPr>
        <w:t>,</w:t>
      </w:r>
      <w:r w:rsidRPr="00CF0C99">
        <w:rPr>
          <w:rFonts w:ascii="Perpetua" w:hAnsi="Perpetua"/>
          <w:sz w:val="22"/>
          <w:szCs w:val="22"/>
        </w:rPr>
        <w:t xml:space="preserve"> 2</w:t>
      </w:r>
      <w:r w:rsidRPr="00CF0C99">
        <w:rPr>
          <w:rFonts w:ascii="Perpetua" w:hAnsi="Perpetua"/>
          <w:sz w:val="22"/>
          <w:szCs w:val="22"/>
          <w:vertAlign w:val="superscript"/>
        </w:rPr>
        <w:t>nd</w:t>
      </w:r>
      <w:r w:rsidRPr="00CF0C99">
        <w:rPr>
          <w:rFonts w:ascii="Perpetua" w:hAnsi="Perpetua"/>
          <w:sz w:val="22"/>
          <w:szCs w:val="22"/>
        </w:rPr>
        <w:t xml:space="preserve"> edition, 1930; London: Routledge &amp; Kegan Paul, 1971).</w:t>
      </w:r>
    </w:p>
    <w:p w:rsidR="00C62C9C" w:rsidRDefault="00C62C9C" w:rsidP="0047257C">
      <w:pPr>
        <w:pStyle w:val="FootnoteText"/>
        <w:spacing w:after="120"/>
        <w:ind w:left="499" w:hanging="499"/>
        <w:rPr>
          <w:rFonts w:ascii="Perpetua" w:hAnsi="Perpetua"/>
          <w:sz w:val="22"/>
          <w:szCs w:val="22"/>
        </w:rPr>
      </w:pPr>
    </w:p>
    <w:p w:rsidR="00C62C9C" w:rsidRPr="00CF0C99" w:rsidRDefault="00C62C9C" w:rsidP="0047257C">
      <w:pPr>
        <w:pStyle w:val="FootnoteText"/>
        <w:spacing w:after="120"/>
        <w:ind w:left="499" w:hanging="499"/>
        <w:rPr>
          <w:rFonts w:ascii="Perpetua" w:hAnsi="Perpetua"/>
          <w:sz w:val="22"/>
          <w:szCs w:val="22"/>
        </w:rPr>
      </w:pPr>
    </w:p>
    <w:p w:rsidR="0047257C" w:rsidRPr="00CF0C99" w:rsidRDefault="0047257C" w:rsidP="00C62C9C">
      <w:pPr>
        <w:pStyle w:val="FootnoteText"/>
        <w:ind w:left="499" w:hanging="499"/>
        <w:rPr>
          <w:rFonts w:ascii="Perpetua" w:hAnsi="Perpetua"/>
          <w:sz w:val="22"/>
          <w:szCs w:val="22"/>
        </w:rPr>
      </w:pPr>
      <w:r w:rsidRPr="00CF0C99">
        <w:rPr>
          <w:rFonts w:ascii="Perpetua" w:hAnsi="Perpetua"/>
          <w:sz w:val="22"/>
          <w:szCs w:val="22"/>
        </w:rPr>
        <w:lastRenderedPageBreak/>
        <w:t xml:space="preserve">Sigal, Phillip, ‘Aspects of Dual Covenant Theology: Salvation’, </w:t>
      </w:r>
      <w:r w:rsidRPr="00CF0C99">
        <w:rPr>
          <w:rFonts w:ascii="Perpetua" w:hAnsi="Perpetua"/>
          <w:i/>
          <w:sz w:val="22"/>
          <w:szCs w:val="22"/>
        </w:rPr>
        <w:t>Horizons in Biblical Theology</w:t>
      </w:r>
      <w:r w:rsidRPr="00CF0C99">
        <w:rPr>
          <w:rFonts w:ascii="Perpetua" w:hAnsi="Perpetua"/>
          <w:sz w:val="22"/>
          <w:szCs w:val="22"/>
        </w:rPr>
        <w:t xml:space="preserve"> Vol. 3, No. 1 (1981)</w:t>
      </w:r>
      <w:r w:rsidR="00C62C9C">
        <w:rPr>
          <w:rFonts w:ascii="Perpetua" w:hAnsi="Perpetua"/>
          <w:sz w:val="22"/>
          <w:szCs w:val="22"/>
        </w:rPr>
        <w:t xml:space="preserve"> </w:t>
      </w:r>
      <w:r w:rsidRPr="00CF0C99">
        <w:rPr>
          <w:rFonts w:ascii="Perpetua" w:hAnsi="Perpetua"/>
          <w:sz w:val="22"/>
          <w:szCs w:val="22"/>
        </w:rPr>
        <w:t>&lt;http://www.ingentaconnect.com.eresources.shef.ac.uk/content/brill/hbl/1981/00000003/00000001/art00008 &gt; [accessed 16.2.09].</w:t>
      </w:r>
    </w:p>
    <w:p w:rsidR="0047257C" w:rsidRDefault="0047257C" w:rsidP="0047257C">
      <w:pPr>
        <w:spacing w:after="0" w:line="240" w:lineRule="auto"/>
        <w:ind w:left="567" w:hanging="567"/>
      </w:pPr>
      <w:r w:rsidRPr="00CF0C99">
        <w:t xml:space="preserve">Worthen, Jeremy, ‘Beginning without End: Christianity in Franz Rosenzweig’s “Star of Redemption”’, </w:t>
      </w:r>
    </w:p>
    <w:p w:rsidR="0047257C" w:rsidRDefault="0047257C" w:rsidP="0047257C">
      <w:pPr>
        <w:spacing w:after="0" w:line="240" w:lineRule="auto"/>
        <w:ind w:left="567"/>
      </w:pPr>
      <w:r w:rsidRPr="00CF0C99">
        <w:rPr>
          <w:i/>
        </w:rPr>
        <w:t>Journal of Ecumenical Studies</w:t>
      </w:r>
      <w:r w:rsidRPr="00CF0C99">
        <w:t xml:space="preserve"> (Summer-Fall 2002) </w:t>
      </w:r>
    </w:p>
    <w:p w:rsidR="0047257C" w:rsidRPr="00CF0C99" w:rsidRDefault="0047257C" w:rsidP="0047257C">
      <w:pPr>
        <w:spacing w:after="120" w:line="240" w:lineRule="auto"/>
        <w:ind w:left="567"/>
      </w:pPr>
      <w:r w:rsidRPr="00CF0C99">
        <w:t>&lt;http://findarticles.com/p/articles/mi_hb3236/is_3-4_39/ai_n28974687&gt; [accessed 10.3.09].</w:t>
      </w:r>
    </w:p>
    <w:p w:rsidR="0047257C" w:rsidRPr="00A05318" w:rsidRDefault="00A05318" w:rsidP="00A05318">
      <w:pPr>
        <w:autoSpaceDE w:val="0"/>
        <w:autoSpaceDN w:val="0"/>
        <w:adjustRightInd w:val="0"/>
        <w:spacing w:line="240" w:lineRule="auto"/>
        <w:ind w:left="567" w:right="74" w:hanging="567"/>
        <w:rPr>
          <w:b/>
          <w:i/>
        </w:rPr>
      </w:pPr>
      <w:r w:rsidRPr="00A05318">
        <w:rPr>
          <w:b/>
          <w:i/>
        </w:rPr>
        <w:t>Continued overleaf</w:t>
      </w: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C42EF2" w:rsidRDefault="00C42EF2"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4E5227" w:rsidRDefault="004E5227" w:rsidP="00486516">
      <w:pPr>
        <w:autoSpaceDE w:val="0"/>
        <w:autoSpaceDN w:val="0"/>
        <w:adjustRightInd w:val="0"/>
        <w:spacing w:line="240" w:lineRule="auto"/>
        <w:ind w:left="567" w:right="74" w:hanging="28"/>
        <w:rPr>
          <w:b/>
          <w:sz w:val="28"/>
        </w:rPr>
      </w:pPr>
    </w:p>
    <w:p w:rsidR="00342EC2" w:rsidRPr="00407497" w:rsidRDefault="00342EC2" w:rsidP="00342EC2">
      <w:pPr>
        <w:spacing w:after="120" w:line="240" w:lineRule="auto"/>
        <w:jc w:val="center"/>
        <w:rPr>
          <w:b/>
          <w:sz w:val="28"/>
        </w:rPr>
      </w:pPr>
      <w:r>
        <w:rPr>
          <w:b/>
          <w:sz w:val="28"/>
        </w:rPr>
        <w:lastRenderedPageBreak/>
        <w:t>Reference Books</w:t>
      </w:r>
    </w:p>
    <w:p w:rsidR="00342EC2" w:rsidRPr="004E0BCA" w:rsidRDefault="00342EC2" w:rsidP="00342EC2">
      <w:pPr>
        <w:spacing w:after="120" w:line="240" w:lineRule="auto"/>
        <w:rPr>
          <w:b/>
          <w:sz w:val="24"/>
        </w:rPr>
      </w:pPr>
      <w:r>
        <w:rPr>
          <w:b/>
          <w:sz w:val="24"/>
        </w:rPr>
        <w:t>Bibles</w:t>
      </w:r>
    </w:p>
    <w:p w:rsidR="00342EC2" w:rsidRPr="004E0BCA" w:rsidRDefault="00342EC2" w:rsidP="00342EC2">
      <w:pPr>
        <w:spacing w:after="120" w:line="240" w:lineRule="auto"/>
      </w:pPr>
      <w:r w:rsidRPr="004E0BCA">
        <w:t xml:space="preserve">Aland, Barbara, </w:t>
      </w:r>
      <w:r w:rsidRPr="004E0BCA">
        <w:rPr>
          <w:i/>
        </w:rPr>
        <w:t>et al.</w:t>
      </w:r>
      <w:r w:rsidRPr="004E0BCA">
        <w:t xml:space="preserve"> (eds.) </w:t>
      </w:r>
      <w:r w:rsidRPr="004E0BCA">
        <w:rPr>
          <w:i/>
        </w:rPr>
        <w:t>The Greek New Testament</w:t>
      </w:r>
      <w:r w:rsidRPr="004E0BCA">
        <w:t xml:space="preserve"> (N</w:t>
      </w:r>
      <w:r w:rsidRPr="004E0BCA">
        <w:rPr>
          <w:rFonts w:cs="Humnst777 Lt BT"/>
        </w:rPr>
        <w:t>ö</w:t>
      </w:r>
      <w:r w:rsidRPr="004E0BCA">
        <w:t>rdlingen: Deutsche Bibelgesellschaft, First Edition, 1966, 4</w:t>
      </w:r>
      <w:r w:rsidRPr="004E0BCA">
        <w:rPr>
          <w:vertAlign w:val="superscript"/>
        </w:rPr>
        <w:t>th</w:t>
      </w:r>
      <w:r w:rsidRPr="004E0BCA">
        <w:t xml:space="preserve"> Revised Edition, 1983, 8</w:t>
      </w:r>
      <w:r w:rsidRPr="004E0BCA">
        <w:rPr>
          <w:vertAlign w:val="superscript"/>
        </w:rPr>
        <w:t>th</w:t>
      </w:r>
      <w:r w:rsidRPr="004E0BCA">
        <w:t xml:space="preserve"> printing, 2004).</w:t>
      </w:r>
    </w:p>
    <w:p w:rsidR="00342EC2" w:rsidRPr="004E0BCA" w:rsidRDefault="00342EC2" w:rsidP="00342EC2">
      <w:pPr>
        <w:pStyle w:val="FootnoteText"/>
        <w:spacing w:after="120"/>
        <w:ind w:left="499" w:hanging="499"/>
        <w:rPr>
          <w:rFonts w:ascii="Perpetua" w:hAnsi="Perpetua"/>
          <w:sz w:val="22"/>
          <w:szCs w:val="22"/>
        </w:rPr>
      </w:pPr>
      <w:r w:rsidRPr="004E0BCA">
        <w:rPr>
          <w:rFonts w:ascii="Perpetua" w:hAnsi="Perpetua"/>
          <w:sz w:val="22"/>
          <w:szCs w:val="22"/>
        </w:rPr>
        <w:t>Alt, A., O. Ei</w:t>
      </w:r>
      <w:r w:rsidRPr="004E0BCA">
        <w:rPr>
          <w:rFonts w:ascii="Perpetua" w:hAnsi="Perpetua" w:cs="Humnst777 Lt BT"/>
          <w:sz w:val="22"/>
          <w:szCs w:val="22"/>
          <w:lang w:val="en-US"/>
        </w:rPr>
        <w:t xml:space="preserve">ßfeldt, P. Kahle, R. Kittel (eds), </w:t>
      </w:r>
      <w:r w:rsidRPr="004E0BCA">
        <w:rPr>
          <w:rFonts w:ascii="Perpetua" w:hAnsi="Perpetua" w:cs="Humnst777 Lt BT"/>
          <w:i/>
          <w:sz w:val="22"/>
          <w:szCs w:val="22"/>
          <w:lang w:val="en-US"/>
        </w:rPr>
        <w:t>Biblia Hebraica Stuttgartensia</w:t>
      </w:r>
      <w:r w:rsidRPr="004E0BCA">
        <w:rPr>
          <w:rFonts w:ascii="Perpetua" w:hAnsi="Perpetua" w:cs="Humnst777 Lt BT"/>
          <w:sz w:val="22"/>
          <w:szCs w:val="22"/>
          <w:lang w:val="en-US"/>
        </w:rPr>
        <w:t xml:space="preserve"> (Editio Funditus Renovata; Editio quinta emendate opera A. Schenker; Stuttgart: Deutsche Bibelgesellschaft, 1997).</w:t>
      </w:r>
    </w:p>
    <w:p w:rsidR="00342EC2" w:rsidRPr="0047796D" w:rsidRDefault="00342EC2" w:rsidP="00342EC2">
      <w:pPr>
        <w:pStyle w:val="FootnoteText"/>
        <w:spacing w:after="120"/>
        <w:ind w:left="499" w:hanging="499"/>
        <w:rPr>
          <w:rFonts w:ascii="Perpetua" w:hAnsi="Perpetua"/>
          <w:sz w:val="22"/>
          <w:szCs w:val="22"/>
        </w:rPr>
      </w:pPr>
      <w:r w:rsidRPr="004E0BCA">
        <w:rPr>
          <w:rFonts w:ascii="Perpetua" w:hAnsi="Perpetua"/>
          <w:sz w:val="22"/>
          <w:szCs w:val="22"/>
        </w:rPr>
        <w:t xml:space="preserve">Barker, Kenneth L., (gen. ed.), </w:t>
      </w:r>
      <w:r w:rsidRPr="004E0BCA">
        <w:rPr>
          <w:rFonts w:ascii="Perpetua" w:hAnsi="Perpetua"/>
          <w:i/>
          <w:sz w:val="22"/>
          <w:szCs w:val="22"/>
        </w:rPr>
        <w:t xml:space="preserve">The </w:t>
      </w:r>
      <w:r w:rsidRPr="0047796D">
        <w:rPr>
          <w:rFonts w:ascii="Perpetua" w:hAnsi="Perpetua"/>
          <w:i/>
          <w:sz w:val="22"/>
          <w:szCs w:val="22"/>
        </w:rPr>
        <w:t>NIV Study Bible, New International Version</w:t>
      </w:r>
      <w:r w:rsidRPr="0047796D">
        <w:rPr>
          <w:rFonts w:ascii="Perpetua" w:hAnsi="Perpetua"/>
          <w:sz w:val="22"/>
          <w:szCs w:val="22"/>
        </w:rPr>
        <w:t xml:space="preserve"> </w:t>
      </w:r>
      <w:r w:rsidRPr="0047796D">
        <w:rPr>
          <w:rFonts w:ascii="Perpetua" w:hAnsi="Perpetua"/>
          <w:i/>
          <w:sz w:val="22"/>
          <w:szCs w:val="22"/>
        </w:rPr>
        <w:t>with Study Notes and References, Concordance and Maps</w:t>
      </w:r>
      <w:r w:rsidRPr="0047796D">
        <w:rPr>
          <w:rFonts w:ascii="Perpetua" w:hAnsi="Perpetua"/>
          <w:sz w:val="22"/>
          <w:szCs w:val="22"/>
        </w:rPr>
        <w:t xml:space="preserve"> (London: Hodder &amp; Stoughton, 7</w:t>
      </w:r>
      <w:r w:rsidRPr="0047796D">
        <w:rPr>
          <w:rFonts w:ascii="Perpetua" w:hAnsi="Perpetua"/>
          <w:sz w:val="22"/>
          <w:szCs w:val="22"/>
          <w:vertAlign w:val="superscript"/>
        </w:rPr>
        <w:t>th</w:t>
      </w:r>
      <w:r w:rsidRPr="0047796D">
        <w:rPr>
          <w:rFonts w:ascii="Perpetua" w:hAnsi="Perpetua"/>
          <w:sz w:val="22"/>
          <w:szCs w:val="22"/>
        </w:rPr>
        <w:t xml:space="preserve"> impression, 1993).</w:t>
      </w:r>
    </w:p>
    <w:p w:rsidR="00342EC2" w:rsidRPr="0047796D" w:rsidRDefault="00342EC2" w:rsidP="00342EC2">
      <w:pPr>
        <w:pStyle w:val="FootnoteText"/>
        <w:spacing w:after="120"/>
        <w:ind w:left="499" w:hanging="499"/>
        <w:rPr>
          <w:rFonts w:ascii="Perpetua" w:hAnsi="Perpetua"/>
          <w:sz w:val="22"/>
          <w:szCs w:val="22"/>
        </w:rPr>
      </w:pPr>
      <w:r w:rsidRPr="0047796D">
        <w:rPr>
          <w:rFonts w:ascii="Perpetua" w:hAnsi="Perpetua"/>
          <w:sz w:val="22"/>
          <w:szCs w:val="22"/>
        </w:rPr>
        <w:t xml:space="preserve">Clark Kee, Howard, (ed.), </w:t>
      </w:r>
      <w:r w:rsidRPr="0047796D">
        <w:rPr>
          <w:rFonts w:ascii="Perpetua" w:hAnsi="Perpetua"/>
          <w:i/>
          <w:sz w:val="22"/>
          <w:szCs w:val="22"/>
        </w:rPr>
        <w:t>The Cambridge Annotated Study Bible: New Revised Standard Version</w:t>
      </w:r>
      <w:r w:rsidRPr="0047796D">
        <w:rPr>
          <w:rFonts w:ascii="Perpetua" w:hAnsi="Perpetua"/>
          <w:sz w:val="22"/>
          <w:szCs w:val="22"/>
        </w:rPr>
        <w:t xml:space="preserve"> (Cambridge: Cambridge University Press, 1989).</w:t>
      </w:r>
    </w:p>
    <w:p w:rsidR="00342EC2" w:rsidRPr="004E0BCA" w:rsidRDefault="00342EC2" w:rsidP="00342EC2">
      <w:pPr>
        <w:pStyle w:val="FootnoteText"/>
        <w:spacing w:after="120"/>
        <w:ind w:left="500" w:hanging="500"/>
        <w:rPr>
          <w:rFonts w:ascii="Perpetua" w:hAnsi="Perpetua"/>
          <w:sz w:val="22"/>
          <w:szCs w:val="22"/>
        </w:rPr>
      </w:pPr>
      <w:r w:rsidRPr="0047796D">
        <w:rPr>
          <w:rFonts w:ascii="Perpetua" w:hAnsi="Perpetua"/>
          <w:i/>
          <w:sz w:val="22"/>
          <w:szCs w:val="22"/>
        </w:rPr>
        <w:t>The Geneva Bible: A Facsimile of the 1560 Edition</w:t>
      </w:r>
      <w:r w:rsidRPr="0047796D">
        <w:rPr>
          <w:rFonts w:ascii="Perpetua" w:hAnsi="Perpetua"/>
          <w:sz w:val="22"/>
          <w:szCs w:val="22"/>
        </w:rPr>
        <w:t xml:space="preserve"> (Hendrickson Publishers, Inc.: Peabody, Massachusetts, 2007; original facsimile edition published by University of Wisconsin Press, 1969).</w:t>
      </w:r>
      <w:r w:rsidRPr="004E0BCA">
        <w:rPr>
          <w:rFonts w:ascii="Perpetua" w:hAnsi="Perpetua"/>
          <w:sz w:val="22"/>
          <w:szCs w:val="22"/>
        </w:rPr>
        <w:t xml:space="preserve"> </w:t>
      </w:r>
    </w:p>
    <w:p w:rsidR="00342EC2" w:rsidRPr="004E0BCA" w:rsidRDefault="00342EC2" w:rsidP="00342EC2">
      <w:pPr>
        <w:spacing w:after="120" w:line="240" w:lineRule="auto"/>
      </w:pPr>
      <w:r w:rsidRPr="004E0BCA">
        <w:rPr>
          <w:i/>
        </w:rPr>
        <w:t>Hebrew New Testament</w:t>
      </w:r>
      <w:r w:rsidRPr="004E0BCA">
        <w:t xml:space="preserve"> (London: The Trinitarian Bible Society, 1998).</w:t>
      </w:r>
    </w:p>
    <w:p w:rsidR="00342EC2" w:rsidRPr="004E0BCA" w:rsidRDefault="00342EC2" w:rsidP="00342EC2">
      <w:pPr>
        <w:pStyle w:val="FootnoteText"/>
        <w:spacing w:after="120"/>
        <w:ind w:left="499" w:right="71" w:hanging="499"/>
        <w:rPr>
          <w:rFonts w:ascii="Perpetua" w:hAnsi="Perpetua"/>
          <w:sz w:val="22"/>
          <w:szCs w:val="22"/>
        </w:rPr>
      </w:pPr>
      <w:r w:rsidRPr="004E0BCA">
        <w:rPr>
          <w:rFonts w:ascii="Perpetua" w:hAnsi="Perpetua"/>
          <w:i/>
          <w:sz w:val="22"/>
          <w:szCs w:val="22"/>
        </w:rPr>
        <w:t xml:space="preserve">The New English Bible with the Apocrypha </w:t>
      </w:r>
      <w:r w:rsidRPr="004E0BCA">
        <w:rPr>
          <w:rFonts w:ascii="Perpetua" w:hAnsi="Perpetua"/>
          <w:sz w:val="22"/>
          <w:szCs w:val="22"/>
        </w:rPr>
        <w:t>(Oxford: Oxford University Press, Cambridge University Press, 1970).</w:t>
      </w:r>
    </w:p>
    <w:p w:rsidR="00342EC2" w:rsidRPr="004E0BCA" w:rsidRDefault="00342EC2" w:rsidP="00342EC2">
      <w:pPr>
        <w:pStyle w:val="FootnoteText"/>
        <w:spacing w:after="120"/>
        <w:ind w:left="499" w:right="71" w:hanging="499"/>
        <w:rPr>
          <w:rFonts w:ascii="Perpetua" w:hAnsi="Perpetua"/>
          <w:sz w:val="22"/>
          <w:szCs w:val="22"/>
        </w:rPr>
      </w:pPr>
      <w:r w:rsidRPr="004E0BCA">
        <w:rPr>
          <w:rFonts w:ascii="Perpetua" w:hAnsi="Perpetua"/>
          <w:i/>
          <w:sz w:val="22"/>
          <w:szCs w:val="22"/>
        </w:rPr>
        <w:t>New English Translation</w:t>
      </w:r>
      <w:r w:rsidRPr="004E0BCA">
        <w:rPr>
          <w:rFonts w:ascii="Perpetua" w:hAnsi="Perpetua"/>
          <w:sz w:val="22"/>
          <w:szCs w:val="22"/>
        </w:rPr>
        <w:t>, NET Bible® copyright ©1996-2006 by Biblical Studies Press, L.L.C.  &lt;http://www.biblegateway.com/versions/New-English-Translation-NET-Bible/&gt; [accessed 25.6.14].</w:t>
      </w:r>
    </w:p>
    <w:p w:rsidR="00342EC2" w:rsidRPr="004E0BCA" w:rsidRDefault="00342EC2" w:rsidP="00342EC2">
      <w:pPr>
        <w:pStyle w:val="FootnoteText"/>
        <w:spacing w:after="120"/>
        <w:ind w:left="499" w:right="71" w:hanging="499"/>
        <w:rPr>
          <w:rFonts w:ascii="Perpetua" w:hAnsi="Perpetua"/>
          <w:sz w:val="22"/>
          <w:szCs w:val="22"/>
        </w:rPr>
      </w:pPr>
      <w:r w:rsidRPr="004E0BCA">
        <w:rPr>
          <w:rFonts w:ascii="Perpetua" w:hAnsi="Perpetua"/>
          <w:i/>
          <w:sz w:val="22"/>
          <w:szCs w:val="22"/>
        </w:rPr>
        <w:t>The Holy Bible, New International Version</w:t>
      </w:r>
      <w:r w:rsidRPr="004E0BCA">
        <w:rPr>
          <w:rFonts w:ascii="Perpetua" w:hAnsi="Perpetua"/>
          <w:sz w:val="22"/>
          <w:szCs w:val="22"/>
        </w:rPr>
        <w:t xml:space="preserve"> (London: Hodder &amp; Stoughton, 1990).</w:t>
      </w:r>
    </w:p>
    <w:p w:rsidR="00342EC2" w:rsidRDefault="00342EC2" w:rsidP="00342EC2">
      <w:pPr>
        <w:pStyle w:val="FootnoteText"/>
        <w:spacing w:after="120"/>
        <w:ind w:left="499" w:right="74" w:hanging="499"/>
        <w:rPr>
          <w:rFonts w:ascii="Perpetua" w:hAnsi="Perpetua"/>
          <w:sz w:val="22"/>
          <w:szCs w:val="22"/>
        </w:rPr>
      </w:pPr>
      <w:r w:rsidRPr="004E0BCA">
        <w:rPr>
          <w:rFonts w:ascii="Perpetua" w:hAnsi="Perpetua"/>
          <w:i/>
          <w:sz w:val="22"/>
          <w:szCs w:val="22"/>
        </w:rPr>
        <w:t>The New Jerusalem Bible, Study Edition</w:t>
      </w:r>
      <w:r w:rsidRPr="004E0BCA">
        <w:rPr>
          <w:rFonts w:ascii="Perpetua" w:hAnsi="Perpetua"/>
          <w:sz w:val="22"/>
          <w:szCs w:val="22"/>
        </w:rPr>
        <w:t xml:space="preserve"> (London: Darton, Longman &amp; Todd, 1994).</w:t>
      </w:r>
    </w:p>
    <w:p w:rsidR="00342EC2" w:rsidRDefault="00342EC2" w:rsidP="00342EC2">
      <w:pPr>
        <w:pStyle w:val="FootnoteText"/>
        <w:spacing w:after="120"/>
        <w:ind w:left="499" w:right="74" w:hanging="499"/>
        <w:rPr>
          <w:rFonts w:ascii="Perpetua" w:hAnsi="Perpetua"/>
          <w:sz w:val="22"/>
          <w:szCs w:val="22"/>
        </w:rPr>
      </w:pPr>
    </w:p>
    <w:p w:rsidR="00342EC2" w:rsidRPr="00EC16AE" w:rsidRDefault="00342EC2" w:rsidP="00342EC2">
      <w:pPr>
        <w:pStyle w:val="FootnoteText"/>
        <w:spacing w:after="120"/>
        <w:ind w:left="499" w:hanging="499"/>
        <w:rPr>
          <w:rFonts w:ascii="Perpetua" w:hAnsi="Perpetua"/>
          <w:b/>
          <w:sz w:val="24"/>
          <w:szCs w:val="22"/>
        </w:rPr>
      </w:pPr>
      <w:r w:rsidRPr="00EC16AE">
        <w:rPr>
          <w:rFonts w:ascii="Perpetua" w:hAnsi="Perpetua"/>
          <w:b/>
          <w:sz w:val="24"/>
          <w:szCs w:val="22"/>
        </w:rPr>
        <w:t>Electronic Resources</w:t>
      </w:r>
    </w:p>
    <w:p w:rsidR="00342EC2" w:rsidRDefault="00342EC2" w:rsidP="00342EC2">
      <w:pPr>
        <w:spacing w:after="120" w:line="240" w:lineRule="auto"/>
        <w:ind w:left="546" w:hanging="546"/>
      </w:pPr>
      <w:r w:rsidRPr="004E0BCA">
        <w:t xml:space="preserve">BibleWorks LLC, </w:t>
      </w:r>
      <w:r w:rsidRPr="004E0BCA">
        <w:rPr>
          <w:i/>
        </w:rPr>
        <w:t>BibleWorks</w:t>
      </w:r>
      <w:r w:rsidR="00217F60">
        <w:rPr>
          <w:i/>
        </w:rPr>
        <w:t>7</w:t>
      </w:r>
      <w:r w:rsidRPr="004E0BCA">
        <w:rPr>
          <w:i/>
        </w:rPr>
        <w:t xml:space="preserve"> </w:t>
      </w:r>
      <w:r w:rsidRPr="004E0BCA">
        <w:t>(Norfolk, Virginia: BibleWorks</w:t>
      </w:r>
      <w:r>
        <w:t xml:space="preserve">, </w:t>
      </w:r>
      <w:r w:rsidR="009C1734">
        <w:t>2006</w:t>
      </w:r>
      <w:r>
        <w:t>):</w:t>
      </w:r>
    </w:p>
    <w:p w:rsidR="00342EC2" w:rsidRDefault="00342EC2" w:rsidP="00342EC2">
      <w:pPr>
        <w:spacing w:after="120" w:line="240" w:lineRule="auto"/>
        <w:ind w:left="546" w:hanging="546"/>
      </w:pPr>
      <w:r>
        <w:t xml:space="preserve">American Standard Version </w:t>
      </w:r>
    </w:p>
    <w:p w:rsidR="00342EC2" w:rsidRDefault="00342EC2" w:rsidP="00342EC2">
      <w:pPr>
        <w:spacing w:after="120" w:line="240" w:lineRule="auto"/>
        <w:ind w:left="546" w:hanging="546"/>
      </w:pPr>
      <w:r>
        <w:t xml:space="preserve">Bible in Basic English </w:t>
      </w:r>
    </w:p>
    <w:p w:rsidR="00342EC2" w:rsidRDefault="00342EC2" w:rsidP="00342EC2">
      <w:pPr>
        <w:spacing w:after="120" w:line="240" w:lineRule="auto"/>
        <w:ind w:left="546" w:hanging="546"/>
      </w:pPr>
      <w:r>
        <w:t xml:space="preserve">Common English Bible </w:t>
      </w:r>
    </w:p>
    <w:p w:rsidR="00342EC2" w:rsidRDefault="00342EC2" w:rsidP="00342EC2">
      <w:pPr>
        <w:spacing w:after="120" w:line="240" w:lineRule="auto"/>
        <w:ind w:left="546" w:hanging="546"/>
      </w:pPr>
      <w:r>
        <w:t xml:space="preserve">Complete Jewish Bible </w:t>
      </w:r>
    </w:p>
    <w:p w:rsidR="00342EC2" w:rsidRDefault="00342EC2" w:rsidP="00342EC2">
      <w:pPr>
        <w:spacing w:after="120" w:line="240" w:lineRule="auto"/>
        <w:ind w:left="546" w:hanging="546"/>
      </w:pPr>
      <w:r>
        <w:t xml:space="preserve">Darby Bible </w:t>
      </w:r>
    </w:p>
    <w:p w:rsidR="00342EC2" w:rsidRDefault="00342EC2" w:rsidP="00342EC2">
      <w:pPr>
        <w:spacing w:after="120" w:line="240" w:lineRule="auto"/>
        <w:ind w:left="546" w:hanging="546"/>
      </w:pPr>
      <w:r>
        <w:t xml:space="preserve">Douai-Rheims American Version </w:t>
      </w:r>
    </w:p>
    <w:p w:rsidR="00342EC2" w:rsidRDefault="00342EC2" w:rsidP="00342EC2">
      <w:pPr>
        <w:spacing w:after="120" w:line="240" w:lineRule="auto"/>
        <w:ind w:left="546" w:hanging="546"/>
      </w:pPr>
      <w:r>
        <w:t xml:space="preserve">English Revised Version </w:t>
      </w:r>
    </w:p>
    <w:p w:rsidR="00342EC2" w:rsidRDefault="00342EC2" w:rsidP="00342EC2">
      <w:pPr>
        <w:spacing w:after="120" w:line="240" w:lineRule="auto"/>
        <w:ind w:left="546" w:hanging="546"/>
      </w:pPr>
      <w:r>
        <w:t xml:space="preserve">English Standard Version </w:t>
      </w:r>
    </w:p>
    <w:p w:rsidR="00342EC2" w:rsidRDefault="00342EC2" w:rsidP="00342EC2">
      <w:pPr>
        <w:spacing w:after="120" w:line="240" w:lineRule="auto"/>
        <w:ind w:left="546" w:hanging="546"/>
      </w:pPr>
      <w:r>
        <w:t xml:space="preserve">Geneva Bible </w:t>
      </w:r>
    </w:p>
    <w:p w:rsidR="00342EC2" w:rsidRDefault="00342EC2" w:rsidP="00342EC2">
      <w:pPr>
        <w:spacing w:after="120" w:line="240" w:lineRule="auto"/>
        <w:ind w:left="546" w:hanging="546"/>
      </w:pPr>
      <w:r>
        <w:t xml:space="preserve">Jewish Publication Society OT </w:t>
      </w:r>
    </w:p>
    <w:p w:rsidR="00342EC2" w:rsidRDefault="00342EC2" w:rsidP="00342EC2">
      <w:pPr>
        <w:spacing w:after="120" w:line="240" w:lineRule="auto"/>
        <w:ind w:left="546" w:hanging="546"/>
      </w:pPr>
      <w:r>
        <w:t xml:space="preserve">King James Version </w:t>
      </w:r>
    </w:p>
    <w:p w:rsidR="00342EC2" w:rsidRDefault="00342EC2" w:rsidP="00342EC2">
      <w:pPr>
        <w:spacing w:after="120" w:line="240" w:lineRule="auto"/>
        <w:ind w:left="546" w:hanging="546"/>
      </w:pPr>
      <w:r>
        <w:t xml:space="preserve">The New American Bible </w:t>
      </w:r>
    </w:p>
    <w:p w:rsidR="00342EC2" w:rsidRDefault="00342EC2" w:rsidP="00342EC2">
      <w:pPr>
        <w:spacing w:after="120" w:line="240" w:lineRule="auto"/>
        <w:ind w:left="546" w:hanging="546"/>
      </w:pPr>
      <w:r>
        <w:t xml:space="preserve">New English Translation </w:t>
      </w:r>
    </w:p>
    <w:p w:rsidR="00342EC2" w:rsidRDefault="00342EC2" w:rsidP="00342EC2">
      <w:pPr>
        <w:spacing w:after="120" w:line="240" w:lineRule="auto"/>
        <w:ind w:left="546" w:hanging="546"/>
      </w:pPr>
      <w:r>
        <w:t xml:space="preserve">New International Version (UK) </w:t>
      </w:r>
    </w:p>
    <w:p w:rsidR="00342EC2" w:rsidRDefault="00342EC2" w:rsidP="00342EC2">
      <w:pPr>
        <w:spacing w:after="120" w:line="240" w:lineRule="auto"/>
        <w:ind w:left="546" w:hanging="546"/>
      </w:pPr>
      <w:r>
        <w:t xml:space="preserve">New International Version (US) </w:t>
      </w:r>
    </w:p>
    <w:p w:rsidR="00342EC2" w:rsidRDefault="00342EC2" w:rsidP="00342EC2">
      <w:pPr>
        <w:spacing w:after="120" w:line="240" w:lineRule="auto"/>
        <w:ind w:left="546" w:hanging="546"/>
      </w:pPr>
      <w:r>
        <w:t xml:space="preserve">New International Reader’s Version </w:t>
      </w:r>
    </w:p>
    <w:p w:rsidR="00342EC2" w:rsidRDefault="00342EC2" w:rsidP="00342EC2">
      <w:pPr>
        <w:spacing w:after="120" w:line="240" w:lineRule="auto"/>
        <w:ind w:left="546" w:hanging="546"/>
      </w:pPr>
      <w:r>
        <w:t xml:space="preserve">New Jerusalem Bible </w:t>
      </w:r>
    </w:p>
    <w:p w:rsidR="00342EC2" w:rsidRDefault="00342EC2" w:rsidP="00342EC2">
      <w:pPr>
        <w:spacing w:after="120" w:line="240" w:lineRule="auto"/>
        <w:ind w:left="546" w:hanging="546"/>
      </w:pPr>
      <w:r>
        <w:lastRenderedPageBreak/>
        <w:t xml:space="preserve">New King James Bible </w:t>
      </w:r>
    </w:p>
    <w:p w:rsidR="00342EC2" w:rsidRDefault="00342EC2" w:rsidP="00342EC2">
      <w:pPr>
        <w:spacing w:after="120" w:line="240" w:lineRule="auto"/>
        <w:ind w:left="546" w:hanging="546"/>
      </w:pPr>
      <w:r>
        <w:t xml:space="preserve">New Living Translation </w:t>
      </w:r>
    </w:p>
    <w:p w:rsidR="00342EC2" w:rsidRDefault="00342EC2" w:rsidP="00342EC2">
      <w:pPr>
        <w:spacing w:after="120" w:line="240" w:lineRule="auto"/>
        <w:ind w:left="546" w:hanging="546"/>
      </w:pPr>
      <w:r>
        <w:t xml:space="preserve">New Revised Standard Version </w:t>
      </w:r>
    </w:p>
    <w:p w:rsidR="00342EC2" w:rsidRDefault="00342EC2" w:rsidP="00342EC2">
      <w:pPr>
        <w:spacing w:after="120" w:line="240" w:lineRule="auto"/>
        <w:ind w:left="546" w:hanging="546"/>
      </w:pPr>
      <w:r>
        <w:t xml:space="preserve">Revised Standard Version </w:t>
      </w:r>
    </w:p>
    <w:p w:rsidR="00342EC2" w:rsidRDefault="00342EC2" w:rsidP="00342EC2">
      <w:pPr>
        <w:spacing w:after="120" w:line="240" w:lineRule="auto"/>
        <w:ind w:left="546" w:hanging="546"/>
      </w:pPr>
      <w:r>
        <w:t xml:space="preserve">Rotherham Bible </w:t>
      </w:r>
    </w:p>
    <w:p w:rsidR="00342EC2" w:rsidRDefault="00342EC2" w:rsidP="00342EC2">
      <w:pPr>
        <w:spacing w:after="120" w:line="240" w:lineRule="auto"/>
        <w:ind w:left="546" w:hanging="546"/>
      </w:pPr>
      <w:r>
        <w:t xml:space="preserve">Tyndale’s NT </w:t>
      </w:r>
    </w:p>
    <w:p w:rsidR="00342EC2" w:rsidRDefault="00342EC2" w:rsidP="00342EC2">
      <w:pPr>
        <w:spacing w:after="120" w:line="240" w:lineRule="auto"/>
        <w:ind w:left="546" w:hanging="546"/>
      </w:pPr>
      <w:r>
        <w:t>Young’s Literal Translation</w:t>
      </w:r>
    </w:p>
    <w:p w:rsidR="00342EC2" w:rsidRDefault="00342EC2" w:rsidP="00342EC2">
      <w:pPr>
        <w:spacing w:after="120" w:line="240" w:lineRule="auto"/>
        <w:ind w:left="546" w:hanging="546"/>
      </w:pPr>
    </w:p>
    <w:p w:rsidR="00342EC2" w:rsidRDefault="00342EC2" w:rsidP="00342EC2">
      <w:pPr>
        <w:pStyle w:val="EndnoteText"/>
        <w:spacing w:after="120"/>
        <w:rPr>
          <w:sz w:val="22"/>
        </w:rPr>
      </w:pPr>
      <w:r w:rsidRPr="00683407">
        <w:rPr>
          <w:sz w:val="22"/>
        </w:rPr>
        <w:t>The</w:t>
      </w:r>
      <w:r>
        <w:rPr>
          <w:sz w:val="22"/>
        </w:rPr>
        <w:t xml:space="preserve"> Vulgate</w:t>
      </w:r>
    </w:p>
    <w:p w:rsidR="00342EC2" w:rsidRPr="00683407" w:rsidRDefault="00342EC2" w:rsidP="00342EC2">
      <w:pPr>
        <w:pStyle w:val="EndnoteText"/>
        <w:spacing w:after="120"/>
        <w:rPr>
          <w:sz w:val="22"/>
        </w:rPr>
      </w:pPr>
      <w:r w:rsidRPr="00683407">
        <w:rPr>
          <w:sz w:val="22"/>
        </w:rPr>
        <w:t>Luther 1545 German Bible,</w:t>
      </w:r>
      <w:r>
        <w:rPr>
          <w:sz w:val="22"/>
        </w:rPr>
        <w:t xml:space="preserve"> Revidierte Elberfelder [1993])</w:t>
      </w:r>
    </w:p>
    <w:p w:rsidR="00342EC2" w:rsidRPr="00683407" w:rsidRDefault="00342EC2" w:rsidP="00342EC2">
      <w:pPr>
        <w:pStyle w:val="FootnoteText"/>
        <w:spacing w:after="120"/>
        <w:rPr>
          <w:rFonts w:ascii="Perpetua" w:hAnsi="Perpetua"/>
          <w:sz w:val="22"/>
        </w:rPr>
      </w:pPr>
      <w:r w:rsidRPr="00683407">
        <w:rPr>
          <w:rFonts w:ascii="Perpetua" w:hAnsi="Perpetua"/>
          <w:sz w:val="22"/>
        </w:rPr>
        <w:t>B</w:t>
      </w:r>
      <w:r>
        <w:rPr>
          <w:rFonts w:ascii="Perpetua" w:hAnsi="Perpetua"/>
          <w:sz w:val="22"/>
        </w:rPr>
        <w:t>ible en Français courant (1997)</w:t>
      </w:r>
    </w:p>
    <w:p w:rsidR="00342EC2" w:rsidRPr="004E0BCA" w:rsidRDefault="00342EC2" w:rsidP="00342EC2">
      <w:pPr>
        <w:spacing w:after="120" w:line="240" w:lineRule="auto"/>
        <w:ind w:left="546" w:hanging="546"/>
      </w:pPr>
    </w:p>
    <w:p w:rsidR="00342EC2" w:rsidRDefault="00342EC2" w:rsidP="00342EC2">
      <w:pPr>
        <w:spacing w:after="120" w:line="240" w:lineRule="auto"/>
        <w:ind w:left="539" w:hanging="539"/>
      </w:pPr>
      <w:r w:rsidRPr="0047796D">
        <w:t xml:space="preserve">Zondervan, </w:t>
      </w:r>
      <w:r w:rsidRPr="0047796D">
        <w:rPr>
          <w:i/>
        </w:rPr>
        <w:t>The NIV Study Bible Complete Library Bible Reference Software</w:t>
      </w:r>
      <w:r w:rsidRPr="0047796D">
        <w:t xml:space="preserve"> (Grand Rapids: Zondervan Interactive,</w:t>
      </w:r>
      <w:r w:rsidRPr="004E0BCA">
        <w:t xml:space="preserve"> 1998).</w:t>
      </w:r>
    </w:p>
    <w:p w:rsidR="00342EC2" w:rsidRPr="004E0BCA" w:rsidRDefault="00342EC2" w:rsidP="00342EC2">
      <w:pPr>
        <w:spacing w:after="120" w:line="240" w:lineRule="auto"/>
        <w:ind w:left="539" w:hanging="539"/>
      </w:pPr>
    </w:p>
    <w:p w:rsidR="00342EC2" w:rsidRPr="00812899" w:rsidRDefault="00342EC2" w:rsidP="00342EC2">
      <w:pPr>
        <w:pStyle w:val="FootnoteText"/>
        <w:spacing w:after="120"/>
        <w:ind w:left="499" w:hanging="499"/>
        <w:rPr>
          <w:rFonts w:ascii="Perpetua" w:hAnsi="Perpetua"/>
          <w:b/>
          <w:sz w:val="24"/>
          <w:szCs w:val="22"/>
        </w:rPr>
      </w:pPr>
      <w:r w:rsidRPr="00812899">
        <w:rPr>
          <w:rFonts w:ascii="Perpetua" w:hAnsi="Perpetua"/>
          <w:b/>
          <w:sz w:val="24"/>
          <w:szCs w:val="22"/>
        </w:rPr>
        <w:t>Bible Commentaries</w:t>
      </w:r>
    </w:p>
    <w:p w:rsidR="00342EC2" w:rsidRDefault="00342EC2" w:rsidP="00342EC2">
      <w:pPr>
        <w:pStyle w:val="FootnoteText"/>
        <w:spacing w:after="120"/>
        <w:ind w:left="499" w:right="71" w:hanging="499"/>
        <w:rPr>
          <w:rFonts w:ascii="Perpetua" w:hAnsi="Perpetua"/>
          <w:sz w:val="22"/>
          <w:szCs w:val="22"/>
        </w:rPr>
      </w:pPr>
      <w:r w:rsidRPr="004E0BCA">
        <w:rPr>
          <w:rFonts w:ascii="Perpetua" w:hAnsi="Perpetua"/>
          <w:sz w:val="22"/>
          <w:szCs w:val="22"/>
        </w:rPr>
        <w:t xml:space="preserve">Barton, John and John Muddiman (eds), </w:t>
      </w:r>
      <w:r w:rsidRPr="004E0BCA">
        <w:rPr>
          <w:rFonts w:ascii="Perpetua" w:hAnsi="Perpetua"/>
          <w:i/>
          <w:sz w:val="22"/>
          <w:szCs w:val="22"/>
        </w:rPr>
        <w:t>The Oxford Bible Commentary</w:t>
      </w:r>
      <w:r w:rsidRPr="004E0BCA">
        <w:rPr>
          <w:rFonts w:ascii="Perpetua" w:hAnsi="Perpetua"/>
          <w:sz w:val="22"/>
          <w:szCs w:val="22"/>
        </w:rPr>
        <w:t>, (Oxford: Oxford University Press, 2001).</w:t>
      </w:r>
    </w:p>
    <w:p w:rsidR="00342EC2" w:rsidRPr="004E0BCA" w:rsidRDefault="00342EC2" w:rsidP="00342EC2">
      <w:pPr>
        <w:pStyle w:val="FootnoteText"/>
        <w:spacing w:after="120"/>
        <w:ind w:left="499" w:hanging="499"/>
        <w:rPr>
          <w:rFonts w:ascii="Perpetua" w:hAnsi="Perpetua"/>
          <w:sz w:val="22"/>
          <w:szCs w:val="22"/>
        </w:rPr>
      </w:pPr>
      <w:r w:rsidRPr="004E0BCA">
        <w:rPr>
          <w:rFonts w:ascii="Perpetua" w:hAnsi="Perpetua"/>
          <w:sz w:val="22"/>
          <w:szCs w:val="22"/>
        </w:rPr>
        <w:t xml:space="preserve">Black, Matthew (gen. editor and New Testament editor), </w:t>
      </w:r>
      <w:r w:rsidRPr="004E0BCA">
        <w:rPr>
          <w:rFonts w:ascii="Perpetua" w:hAnsi="Perpetua"/>
          <w:i/>
          <w:sz w:val="22"/>
          <w:szCs w:val="22"/>
        </w:rPr>
        <w:t>Peake’s Commentary on the Bible</w:t>
      </w:r>
      <w:r w:rsidRPr="004E0BCA">
        <w:rPr>
          <w:rFonts w:ascii="Perpetua" w:hAnsi="Perpetua"/>
          <w:sz w:val="22"/>
          <w:szCs w:val="22"/>
        </w:rPr>
        <w:t xml:space="preserve"> (Wokingham: Van Nostrand Reinhold (UK) Co. Ltd, 1962).</w:t>
      </w:r>
    </w:p>
    <w:p w:rsidR="00342EC2" w:rsidRDefault="00342EC2" w:rsidP="00342EC2">
      <w:pPr>
        <w:pStyle w:val="FootnoteText"/>
        <w:spacing w:after="120"/>
        <w:ind w:left="499" w:hanging="499"/>
        <w:rPr>
          <w:rFonts w:ascii="Perpetua" w:hAnsi="Perpetua"/>
          <w:sz w:val="22"/>
          <w:szCs w:val="22"/>
        </w:rPr>
      </w:pPr>
      <w:r w:rsidRPr="004E0BCA">
        <w:rPr>
          <w:rFonts w:ascii="Perpetua" w:hAnsi="Perpetua"/>
          <w:sz w:val="22"/>
          <w:szCs w:val="22"/>
        </w:rPr>
        <w:t xml:space="preserve">Rowley, H. H., (Old Testament Editor), </w:t>
      </w:r>
      <w:r w:rsidRPr="004E0BCA">
        <w:rPr>
          <w:rFonts w:ascii="Perpetua" w:hAnsi="Perpetua"/>
          <w:i/>
          <w:sz w:val="22"/>
          <w:szCs w:val="22"/>
        </w:rPr>
        <w:t>Peake’s Commentary on the Bible</w:t>
      </w:r>
      <w:r w:rsidRPr="004E0BCA">
        <w:rPr>
          <w:rFonts w:ascii="Perpetua" w:hAnsi="Perpetua"/>
          <w:sz w:val="22"/>
          <w:szCs w:val="22"/>
        </w:rPr>
        <w:t xml:space="preserve"> (Wokingham: Van Nostrand Reinhold (UK) Co. Ltd, 1962).</w:t>
      </w:r>
    </w:p>
    <w:p w:rsidR="00342EC2" w:rsidRDefault="00342EC2" w:rsidP="00342EC2">
      <w:pPr>
        <w:spacing w:after="120" w:line="240" w:lineRule="auto"/>
      </w:pPr>
      <w:r w:rsidRPr="004E0BCA">
        <w:t xml:space="preserve">Wiersbe, Warren W., </w:t>
      </w:r>
      <w:r w:rsidRPr="004E0BCA">
        <w:rPr>
          <w:i/>
        </w:rPr>
        <w:t>The Wiersbe Bible Commentary: The Complete New Testament</w:t>
      </w:r>
      <w:r w:rsidRPr="004E0BCA">
        <w:t xml:space="preserve"> &lt;https://asucru.files.wordpress.com/2008/01/wiersbe-commentary-new-testament.pdf&gt; [accessed 30.6.17].</w:t>
      </w:r>
    </w:p>
    <w:p w:rsidR="00342EC2" w:rsidRDefault="00342EC2" w:rsidP="00342EC2">
      <w:pPr>
        <w:spacing w:after="120" w:line="240" w:lineRule="auto"/>
      </w:pPr>
    </w:p>
    <w:p w:rsidR="00342EC2" w:rsidRPr="00812899" w:rsidRDefault="00342EC2" w:rsidP="00342EC2">
      <w:pPr>
        <w:pStyle w:val="FootnoteText"/>
        <w:spacing w:after="120"/>
        <w:ind w:left="499" w:right="71" w:hanging="499"/>
        <w:rPr>
          <w:rFonts w:ascii="Perpetua" w:hAnsi="Perpetua"/>
          <w:b/>
          <w:sz w:val="24"/>
          <w:szCs w:val="22"/>
        </w:rPr>
      </w:pPr>
      <w:r w:rsidRPr="00812899">
        <w:rPr>
          <w:rFonts w:ascii="Perpetua" w:hAnsi="Perpetua"/>
          <w:b/>
          <w:sz w:val="24"/>
          <w:szCs w:val="22"/>
        </w:rPr>
        <w:t>Dictionaries</w:t>
      </w:r>
    </w:p>
    <w:p w:rsidR="00342EC2" w:rsidRPr="0047796D" w:rsidRDefault="00342EC2" w:rsidP="00342EC2">
      <w:pPr>
        <w:pStyle w:val="FootnoteText"/>
        <w:spacing w:after="120"/>
        <w:ind w:left="499" w:hanging="499"/>
        <w:rPr>
          <w:rFonts w:ascii="Perpetua" w:hAnsi="Perpetua"/>
          <w:sz w:val="22"/>
          <w:szCs w:val="22"/>
        </w:rPr>
      </w:pPr>
      <w:r w:rsidRPr="0047796D">
        <w:rPr>
          <w:rFonts w:ascii="Perpetua" w:hAnsi="Perpetua"/>
          <w:sz w:val="22"/>
          <w:szCs w:val="22"/>
        </w:rPr>
        <w:t xml:space="preserve">Brown, Francis, with the cooperation of S. R. Driver and Charles A. Briggs, </w:t>
      </w:r>
      <w:r w:rsidRPr="0047796D">
        <w:rPr>
          <w:rFonts w:ascii="Perpetua" w:hAnsi="Perpetua"/>
          <w:i/>
          <w:sz w:val="22"/>
          <w:szCs w:val="22"/>
        </w:rPr>
        <w:t>The Brown-Driver-Briggs Hebrew and English Lexicon with an Appendix containing the Biblical Aramaic</w:t>
      </w:r>
      <w:r w:rsidRPr="0047796D">
        <w:rPr>
          <w:rFonts w:ascii="Perpetua" w:hAnsi="Perpetua"/>
          <w:sz w:val="22"/>
          <w:szCs w:val="22"/>
        </w:rPr>
        <w:t xml:space="preserve"> (Peabody, Massachusetts: Hendrickson Publishers, Inc., 9</w:t>
      </w:r>
      <w:r w:rsidRPr="0047796D">
        <w:rPr>
          <w:rFonts w:ascii="Perpetua" w:hAnsi="Perpetua"/>
          <w:sz w:val="22"/>
          <w:szCs w:val="22"/>
          <w:vertAlign w:val="superscript"/>
        </w:rPr>
        <w:t>th</w:t>
      </w:r>
      <w:r w:rsidRPr="0047796D">
        <w:rPr>
          <w:rFonts w:ascii="Perpetua" w:hAnsi="Perpetua"/>
          <w:sz w:val="22"/>
          <w:szCs w:val="22"/>
        </w:rPr>
        <w:t xml:space="preserve"> printing, 2005).</w:t>
      </w:r>
    </w:p>
    <w:p w:rsidR="00342EC2" w:rsidRPr="0047796D" w:rsidRDefault="00342EC2" w:rsidP="00342EC2">
      <w:pPr>
        <w:pStyle w:val="FootnoteText"/>
        <w:spacing w:after="120"/>
        <w:ind w:left="499" w:hanging="499"/>
        <w:rPr>
          <w:rFonts w:ascii="Perpetua" w:hAnsi="Perpetua"/>
          <w:sz w:val="22"/>
          <w:szCs w:val="22"/>
        </w:rPr>
      </w:pPr>
      <w:r w:rsidRPr="0047796D">
        <w:rPr>
          <w:rStyle w:val="ind"/>
          <w:rFonts w:ascii="Perpetua" w:hAnsi="Perpetua"/>
          <w:sz w:val="22"/>
          <w:szCs w:val="22"/>
        </w:rPr>
        <w:t>Century Dictionary Online &lt;http://www.global-language.com/century/&gt; [accessed 26.5.17].</w:t>
      </w:r>
    </w:p>
    <w:p w:rsidR="00342EC2" w:rsidRDefault="00342EC2" w:rsidP="00342EC2">
      <w:pPr>
        <w:pStyle w:val="FootnoteText"/>
        <w:ind w:left="499" w:hanging="499"/>
        <w:rPr>
          <w:rFonts w:ascii="Perpetua" w:hAnsi="Perpetua"/>
          <w:sz w:val="22"/>
          <w:szCs w:val="22"/>
        </w:rPr>
      </w:pPr>
      <w:r w:rsidRPr="0047796D">
        <w:rPr>
          <w:rFonts w:ascii="Perpetua" w:hAnsi="Perpetua"/>
          <w:sz w:val="22"/>
          <w:szCs w:val="22"/>
        </w:rPr>
        <w:t xml:space="preserve">Brookes, Ian (editor in chief), </w:t>
      </w:r>
      <w:r w:rsidRPr="0047796D">
        <w:rPr>
          <w:rFonts w:ascii="Perpetua" w:hAnsi="Perpetua"/>
          <w:i/>
          <w:sz w:val="22"/>
          <w:szCs w:val="22"/>
        </w:rPr>
        <w:t>The Chambers Dictionary, 11</w:t>
      </w:r>
      <w:r w:rsidRPr="0047796D">
        <w:rPr>
          <w:rFonts w:ascii="Perpetua" w:hAnsi="Perpetua"/>
          <w:i/>
          <w:sz w:val="22"/>
          <w:szCs w:val="22"/>
          <w:vertAlign w:val="superscript"/>
        </w:rPr>
        <w:t>th</w:t>
      </w:r>
      <w:r w:rsidRPr="0047796D">
        <w:rPr>
          <w:rFonts w:ascii="Perpetua" w:hAnsi="Perpetua"/>
          <w:i/>
          <w:sz w:val="22"/>
          <w:szCs w:val="22"/>
        </w:rPr>
        <w:t xml:space="preserve"> Edition</w:t>
      </w:r>
      <w:r w:rsidRPr="0047796D">
        <w:rPr>
          <w:rFonts w:ascii="Perpetua" w:hAnsi="Perpetua"/>
          <w:sz w:val="22"/>
          <w:szCs w:val="22"/>
        </w:rPr>
        <w:t xml:space="preserve"> </w:t>
      </w:r>
    </w:p>
    <w:p w:rsidR="00342EC2" w:rsidRPr="0047796D" w:rsidRDefault="00342EC2" w:rsidP="00342EC2">
      <w:pPr>
        <w:pStyle w:val="FootnoteText"/>
        <w:spacing w:after="120"/>
        <w:ind w:left="499" w:firstLine="68"/>
        <w:rPr>
          <w:rFonts w:ascii="Perpetua" w:hAnsi="Perpetua"/>
          <w:sz w:val="22"/>
          <w:szCs w:val="22"/>
        </w:rPr>
      </w:pPr>
      <w:r w:rsidRPr="0047796D">
        <w:rPr>
          <w:rFonts w:ascii="Perpetua" w:hAnsi="Perpetua"/>
          <w:sz w:val="22"/>
          <w:szCs w:val="22"/>
        </w:rPr>
        <w:t>(Edinburgh: Chambers Harrap Publishers Ltd., 2008).</w:t>
      </w:r>
    </w:p>
    <w:p w:rsidR="00342EC2" w:rsidRPr="0047796D" w:rsidRDefault="00342EC2" w:rsidP="00342EC2">
      <w:pPr>
        <w:autoSpaceDE w:val="0"/>
        <w:autoSpaceDN w:val="0"/>
        <w:adjustRightInd w:val="0"/>
        <w:spacing w:after="120" w:line="240" w:lineRule="auto"/>
        <w:ind w:left="499" w:hanging="499"/>
        <w:rPr>
          <w:rFonts w:cs="Arial"/>
          <w:lang w:val="en-US"/>
        </w:rPr>
      </w:pPr>
      <w:r w:rsidRPr="0047796D">
        <w:rPr>
          <w:rStyle w:val="ind"/>
        </w:rPr>
        <w:t>The Chambers Dictionary 12</w:t>
      </w:r>
      <w:r w:rsidRPr="0047796D">
        <w:rPr>
          <w:rStyle w:val="ind"/>
          <w:vertAlign w:val="superscript"/>
        </w:rPr>
        <w:t>th</w:t>
      </w:r>
      <w:r w:rsidRPr="0047796D">
        <w:rPr>
          <w:rStyle w:val="ind"/>
        </w:rPr>
        <w:t xml:space="preserve"> Edition, (London, Chambers Harrap Publishers Ltd., 2011). </w:t>
      </w:r>
    </w:p>
    <w:p w:rsidR="00342EC2" w:rsidRDefault="00342EC2" w:rsidP="00342EC2">
      <w:pPr>
        <w:pStyle w:val="FootnoteText"/>
        <w:ind w:left="499" w:hanging="499"/>
        <w:rPr>
          <w:rStyle w:val="ind"/>
          <w:rFonts w:ascii="Perpetua" w:hAnsi="Perpetua"/>
          <w:sz w:val="22"/>
          <w:szCs w:val="22"/>
        </w:rPr>
      </w:pPr>
      <w:r w:rsidRPr="0047796D">
        <w:rPr>
          <w:rStyle w:val="ind"/>
          <w:rFonts w:ascii="Perpetua" w:hAnsi="Perpetua"/>
          <w:sz w:val="22"/>
          <w:szCs w:val="22"/>
        </w:rPr>
        <w:t>Collins English Dictionary, 21</w:t>
      </w:r>
      <w:r w:rsidRPr="0047796D">
        <w:rPr>
          <w:rStyle w:val="ind"/>
          <w:rFonts w:ascii="Perpetua" w:hAnsi="Perpetua"/>
          <w:sz w:val="22"/>
          <w:szCs w:val="22"/>
          <w:vertAlign w:val="superscript"/>
        </w:rPr>
        <w:t>st</w:t>
      </w:r>
      <w:r w:rsidRPr="0047796D">
        <w:rPr>
          <w:rStyle w:val="ind"/>
          <w:rFonts w:ascii="Perpetua" w:hAnsi="Perpetua"/>
          <w:sz w:val="22"/>
          <w:szCs w:val="22"/>
        </w:rPr>
        <w:t xml:space="preserve"> Century Edition, 5</w:t>
      </w:r>
      <w:r w:rsidRPr="0047796D">
        <w:rPr>
          <w:rStyle w:val="ind"/>
          <w:rFonts w:ascii="Perpetua" w:hAnsi="Perpetua"/>
          <w:sz w:val="22"/>
          <w:szCs w:val="22"/>
          <w:vertAlign w:val="superscript"/>
        </w:rPr>
        <w:t>th</w:t>
      </w:r>
      <w:r w:rsidRPr="0047796D">
        <w:rPr>
          <w:rStyle w:val="ind"/>
          <w:rFonts w:ascii="Perpetua" w:hAnsi="Perpetua"/>
          <w:sz w:val="22"/>
          <w:szCs w:val="22"/>
        </w:rPr>
        <w:t xml:space="preserve"> edition, 2000, reprinted 2002 </w:t>
      </w:r>
    </w:p>
    <w:p w:rsidR="00342EC2" w:rsidRPr="0047796D" w:rsidRDefault="00342EC2" w:rsidP="00342EC2">
      <w:pPr>
        <w:pStyle w:val="FootnoteText"/>
        <w:spacing w:after="120"/>
        <w:ind w:left="499" w:firstLine="68"/>
        <w:rPr>
          <w:rFonts w:ascii="Perpetua" w:hAnsi="Perpetua"/>
          <w:sz w:val="22"/>
          <w:szCs w:val="22"/>
        </w:rPr>
      </w:pPr>
      <w:r w:rsidRPr="0047796D">
        <w:rPr>
          <w:rStyle w:val="ind"/>
          <w:rFonts w:ascii="Perpetua" w:hAnsi="Perpetua"/>
          <w:sz w:val="22"/>
          <w:szCs w:val="22"/>
        </w:rPr>
        <w:t xml:space="preserve">(Glasgow, HarperCollins Publishers). </w:t>
      </w:r>
    </w:p>
    <w:p w:rsidR="00342EC2" w:rsidRPr="0047796D" w:rsidRDefault="00342EC2" w:rsidP="00342EC2">
      <w:pPr>
        <w:pStyle w:val="FootnoteText"/>
        <w:spacing w:after="120"/>
        <w:ind w:left="499" w:hanging="499"/>
        <w:rPr>
          <w:rFonts w:ascii="Perpetua" w:hAnsi="Perpetua"/>
          <w:sz w:val="22"/>
          <w:szCs w:val="22"/>
        </w:rPr>
      </w:pPr>
      <w:r w:rsidRPr="0047796D">
        <w:rPr>
          <w:rFonts w:ascii="Perpetua" w:hAnsi="Perpetua"/>
          <w:sz w:val="22"/>
          <w:szCs w:val="22"/>
        </w:rPr>
        <w:t xml:space="preserve">Kessler, Edward and Neil Wenborn (eds.) </w:t>
      </w:r>
      <w:r w:rsidRPr="0047796D">
        <w:rPr>
          <w:rFonts w:ascii="Perpetua" w:hAnsi="Perpetua"/>
          <w:i/>
          <w:sz w:val="22"/>
          <w:szCs w:val="22"/>
        </w:rPr>
        <w:t>A Dictionary of Jewish-Christian Relations</w:t>
      </w:r>
      <w:r w:rsidRPr="0047796D">
        <w:rPr>
          <w:rFonts w:ascii="Perpetua" w:hAnsi="Perpetua"/>
          <w:sz w:val="22"/>
          <w:szCs w:val="22"/>
        </w:rPr>
        <w:t xml:space="preserve"> (Cambridge: Cambridge University Press, 2008 [paperback]).</w:t>
      </w:r>
    </w:p>
    <w:p w:rsidR="00342EC2" w:rsidRDefault="00342EC2" w:rsidP="00342EC2">
      <w:pPr>
        <w:pStyle w:val="FootnoteText"/>
        <w:spacing w:after="120"/>
        <w:ind w:left="499" w:hanging="499"/>
        <w:rPr>
          <w:rFonts w:ascii="Perpetua" w:hAnsi="Perpetua"/>
          <w:sz w:val="22"/>
          <w:szCs w:val="22"/>
        </w:rPr>
      </w:pPr>
      <w:r w:rsidRPr="0047796D">
        <w:rPr>
          <w:rFonts w:ascii="Perpetua" w:hAnsi="Perpetua"/>
          <w:sz w:val="22"/>
          <w:szCs w:val="22"/>
        </w:rPr>
        <w:t>Oxford Dictionary</w:t>
      </w:r>
      <w:r w:rsidRPr="004E0BCA">
        <w:rPr>
          <w:rFonts w:ascii="Perpetua" w:hAnsi="Perpetua"/>
          <w:sz w:val="22"/>
          <w:szCs w:val="22"/>
        </w:rPr>
        <w:t xml:space="preserve"> Online &lt;https://en.oxforddictionaries.com/&gt; [accessed 26.5.17].</w:t>
      </w:r>
    </w:p>
    <w:p w:rsidR="005E063F" w:rsidRDefault="005E063F" w:rsidP="00DC0EF0">
      <w:pPr>
        <w:autoSpaceDE w:val="0"/>
        <w:autoSpaceDN w:val="0"/>
        <w:adjustRightInd w:val="0"/>
        <w:spacing w:after="120" w:line="360" w:lineRule="auto"/>
        <w:ind w:right="71"/>
      </w:pPr>
    </w:p>
    <w:sectPr w:rsidR="005E063F" w:rsidSect="005E063F">
      <w:headerReference w:type="default" r:id="rId292"/>
      <w:footnotePr>
        <w:numFmt w:val="lowerRoman"/>
        <w:numRestart w:val="eachSect"/>
      </w:footnotePr>
      <w:endnotePr>
        <w:numFmt w:val="decimal"/>
        <w:numRestart w:val="eachSect"/>
      </w:endnotePr>
      <w:pgSz w:w="11906" w:h="16838" w:code="9"/>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6E14" w:rsidRDefault="00FC6E14" w:rsidP="00454403">
      <w:pPr>
        <w:spacing w:after="0" w:line="240" w:lineRule="auto"/>
      </w:pPr>
      <w:r>
        <w:separator/>
      </w:r>
    </w:p>
  </w:endnote>
  <w:endnote w:type="continuationSeparator" w:id="0">
    <w:p w:rsidR="00FC6E14" w:rsidRDefault="00FC6E14" w:rsidP="00454403">
      <w:pPr>
        <w:spacing w:after="0" w:line="240" w:lineRule="auto"/>
      </w:pPr>
      <w:r>
        <w:continuationSeparator/>
      </w:r>
    </w:p>
  </w:endnote>
  <w:endnote w:id="1">
    <w:p w:rsidR="00975183" w:rsidRPr="00D41234" w:rsidRDefault="00975183" w:rsidP="00935C95">
      <w:pPr>
        <w:pStyle w:val="EndnoteText"/>
      </w:pPr>
      <w:r w:rsidRPr="00D41234">
        <w:rPr>
          <w:rStyle w:val="FootnoteReference"/>
        </w:rPr>
        <w:endnoteRef/>
      </w:r>
      <w:r w:rsidRPr="00D41234">
        <w:t xml:space="preserve"> David Lutzweiler, </w:t>
      </w:r>
      <w:proofErr w:type="gramStart"/>
      <w:r w:rsidRPr="00D41234">
        <w:rPr>
          <w:i/>
        </w:rPr>
        <w:t>The</w:t>
      </w:r>
      <w:proofErr w:type="gramEnd"/>
      <w:r w:rsidRPr="00D41234">
        <w:rPr>
          <w:i/>
        </w:rPr>
        <w:t xml:space="preserve"> Praise of Folly: The Enigmatic Life and Theology of C. I. Scofield</w:t>
      </w:r>
      <w:r w:rsidRPr="00D41234">
        <w:t xml:space="preserve"> (Nashville, Tennessee: Lamplighter Educational Services, 2009), pp. 3, 9.</w:t>
      </w:r>
    </w:p>
  </w:endnote>
  <w:endnote w:id="2">
    <w:p w:rsidR="00975183" w:rsidRPr="00D41234" w:rsidRDefault="00975183" w:rsidP="00935C95">
      <w:pPr>
        <w:pStyle w:val="EndnoteText"/>
      </w:pPr>
      <w:r w:rsidRPr="00D41234">
        <w:rPr>
          <w:rStyle w:val="FootnoteReference"/>
        </w:rPr>
        <w:endnoteRef/>
      </w:r>
      <w:r w:rsidRPr="00D41234">
        <w:t xml:space="preserve"> Larry V. Crutchfield, </w:t>
      </w:r>
      <w:proofErr w:type="gramStart"/>
      <w:r w:rsidRPr="00D41234">
        <w:rPr>
          <w:i/>
        </w:rPr>
        <w:t>The</w:t>
      </w:r>
      <w:proofErr w:type="gramEnd"/>
      <w:r w:rsidRPr="00D41234">
        <w:rPr>
          <w:i/>
        </w:rPr>
        <w:t xml:space="preserve"> Origins of Dispensationalism: The Darby Factor</w:t>
      </w:r>
      <w:r w:rsidRPr="00D41234">
        <w:t xml:space="preserve"> (Lanham: University Press of America, 1992), p. 24.</w:t>
      </w:r>
    </w:p>
  </w:endnote>
  <w:endnote w:id="3">
    <w:p w:rsidR="00975183" w:rsidRPr="00D41234" w:rsidRDefault="00975183" w:rsidP="00935C95">
      <w:pPr>
        <w:pStyle w:val="EndnoteText"/>
      </w:pPr>
      <w:r w:rsidRPr="00D41234">
        <w:rPr>
          <w:rStyle w:val="FootnoteReference"/>
        </w:rPr>
        <w:endnoteRef/>
      </w:r>
      <w:r w:rsidRPr="00D41234">
        <w:t xml:space="preserve"> Matthew Stamper, </w:t>
      </w:r>
      <w:r w:rsidRPr="00D41234">
        <w:rPr>
          <w:i/>
        </w:rPr>
        <w:t xml:space="preserve">Covenantal Dispensationalism: An Examination of the Similarities and Differences </w:t>
      </w:r>
      <w:proofErr w:type="gramStart"/>
      <w:r w:rsidRPr="00D41234">
        <w:rPr>
          <w:i/>
        </w:rPr>
        <w:t>Between</w:t>
      </w:r>
      <w:proofErr w:type="gramEnd"/>
      <w:r w:rsidRPr="00D41234">
        <w:rPr>
          <w:i/>
        </w:rPr>
        <w:t xml:space="preserve"> Covenant Theology and Dispensationalism</w:t>
      </w:r>
      <w:r w:rsidRPr="00D41234">
        <w:t xml:space="preserve"> (Bloomington, Indiana: West Bow Press, 2010), p 68.</w:t>
      </w:r>
    </w:p>
  </w:endnote>
  <w:endnote w:id="4">
    <w:p w:rsidR="00975183" w:rsidRPr="00D41234" w:rsidRDefault="00975183" w:rsidP="00935C95">
      <w:pPr>
        <w:pStyle w:val="EndnoteText"/>
      </w:pPr>
      <w:r w:rsidRPr="00D41234">
        <w:rPr>
          <w:rStyle w:val="FootnoteReference"/>
        </w:rPr>
        <w:endnoteRef/>
      </w:r>
      <w:r w:rsidRPr="00D41234">
        <w:t xml:space="preserve"> Charles C. Ryrie, </w:t>
      </w:r>
      <w:r w:rsidRPr="00D41234">
        <w:rPr>
          <w:i/>
        </w:rPr>
        <w:t>Dispensationalism Today</w:t>
      </w:r>
      <w:r w:rsidRPr="00D41234">
        <w:t xml:space="preserve"> (Chicago: Moody Press, 1965), p. 22.</w:t>
      </w:r>
    </w:p>
  </w:endnote>
  <w:endnote w:id="5">
    <w:p w:rsidR="00975183" w:rsidRPr="00D41234" w:rsidRDefault="00975183" w:rsidP="00935C95">
      <w:pPr>
        <w:pStyle w:val="EndnoteText"/>
      </w:pPr>
      <w:r w:rsidRPr="00D41234">
        <w:rPr>
          <w:rStyle w:val="FootnoteReference"/>
        </w:rPr>
        <w:endnoteRef/>
      </w:r>
      <w:r w:rsidRPr="00D41234">
        <w:t xml:space="preserve"> Michael Williams, </w:t>
      </w:r>
      <w:r w:rsidRPr="00D41234">
        <w:rPr>
          <w:i/>
        </w:rPr>
        <w:t>This World is Not My Home: The Origins and Development of Dispensationalism</w:t>
      </w:r>
      <w:r w:rsidRPr="00D41234">
        <w:t xml:space="preserve"> (Fearn, Ross-shire, Scotland: Christian Focus Publications, 2003), p. 11.</w:t>
      </w:r>
    </w:p>
  </w:endnote>
  <w:endnote w:id="6">
    <w:p w:rsidR="00975183" w:rsidRDefault="00975183" w:rsidP="00935C95">
      <w:pPr>
        <w:pStyle w:val="EndnoteText"/>
      </w:pPr>
      <w:r w:rsidRPr="00D41234">
        <w:rPr>
          <w:rStyle w:val="FootnoteReference"/>
        </w:rPr>
        <w:endnoteRef/>
      </w:r>
      <w:r w:rsidRPr="00D41234">
        <w:t xml:space="preserve"> Mark S.Sweetnam, ‘Defining Dispensationalism: A Cultural Studies Perspective’, </w:t>
      </w:r>
      <w:r w:rsidRPr="00D41234">
        <w:rPr>
          <w:i/>
        </w:rPr>
        <w:t>Journal of Religious History</w:t>
      </w:r>
      <w:r w:rsidRPr="00D41234">
        <w:t xml:space="preserve">, </w:t>
      </w:r>
    </w:p>
    <w:p w:rsidR="00975183" w:rsidRPr="00D41234" w:rsidRDefault="00975183" w:rsidP="00935C95">
      <w:pPr>
        <w:pStyle w:val="EndnoteText"/>
      </w:pPr>
      <w:r w:rsidRPr="00D41234">
        <w:t>Vol. 24, No. 2, June 2010, p. 193.</w:t>
      </w:r>
    </w:p>
  </w:endnote>
  <w:endnote w:id="7">
    <w:p w:rsidR="00975183" w:rsidRPr="00D41234" w:rsidRDefault="00975183" w:rsidP="00935C95">
      <w:pPr>
        <w:pStyle w:val="EndnoteText"/>
      </w:pPr>
      <w:r w:rsidRPr="00D41234">
        <w:rPr>
          <w:rStyle w:val="FootnoteReference"/>
        </w:rPr>
        <w:endnoteRef/>
      </w:r>
      <w:r w:rsidRPr="00D41234">
        <w:t xml:space="preserve"> Sweetnam, ‘Defining Dispensationalism, p. 197.</w:t>
      </w:r>
    </w:p>
  </w:endnote>
  <w:endnote w:id="8">
    <w:p w:rsidR="00975183" w:rsidRPr="00D41234" w:rsidRDefault="00975183" w:rsidP="00935C95">
      <w:pPr>
        <w:pStyle w:val="EndnoteText"/>
      </w:pPr>
      <w:r w:rsidRPr="00D41234">
        <w:rPr>
          <w:rStyle w:val="FootnoteReference"/>
        </w:rPr>
        <w:endnoteRef/>
      </w:r>
      <w:r w:rsidRPr="00D41234">
        <w:t xml:space="preserve"> Craig A. Blaising, ‘Dispensationalism: The Search for Definition’ in Craig A. Blaising and Darrell L. Bock (</w:t>
      </w:r>
      <w:proofErr w:type="gramStart"/>
      <w:r w:rsidRPr="00D41234">
        <w:t>eds</w:t>
      </w:r>
      <w:proofErr w:type="gramEnd"/>
      <w:r w:rsidRPr="00D41234">
        <w:t xml:space="preserve">) </w:t>
      </w:r>
      <w:r w:rsidRPr="00D41234">
        <w:rPr>
          <w:i/>
        </w:rPr>
        <w:t>Dispensationalism, Israel and the Church: The Search for Definition</w:t>
      </w:r>
      <w:r w:rsidRPr="00D41234">
        <w:t xml:space="preserve"> (Grand Rapids, Michigan: Zondervan Publishing House, 1992), p. 30.</w:t>
      </w:r>
    </w:p>
  </w:endnote>
  <w:endnote w:id="9">
    <w:p w:rsidR="00975183" w:rsidRDefault="00975183" w:rsidP="00935C95">
      <w:pPr>
        <w:pStyle w:val="EndnoteText"/>
      </w:pPr>
      <w:r w:rsidRPr="00D41234">
        <w:rPr>
          <w:rStyle w:val="FootnoteReference"/>
        </w:rPr>
        <w:endnoteRef/>
      </w:r>
      <w:r w:rsidRPr="00D41234">
        <w:t xml:space="preserve"> Glenn R. Kreider, ‘What is Dispensationalism?’ in D. Jeffrey Bingham and Glenn R. Kreider (gen. eds) </w:t>
      </w:r>
      <w:r w:rsidRPr="00D41234">
        <w:rPr>
          <w:i/>
        </w:rPr>
        <w:t>Dispensationalism and the History of Redemption: A Developing and Diverse Tradition</w:t>
      </w:r>
      <w:r w:rsidRPr="00D41234">
        <w:t xml:space="preserve"> (Chicago: Moody Publishers, 2015), </w:t>
      </w:r>
    </w:p>
    <w:p w:rsidR="00975183" w:rsidRPr="00D41234" w:rsidRDefault="00975183" w:rsidP="00935C95">
      <w:pPr>
        <w:pStyle w:val="EndnoteText"/>
      </w:pPr>
      <w:proofErr w:type="gramStart"/>
      <w:r w:rsidRPr="00D41234">
        <w:t>p. 18.</w:t>
      </w:r>
      <w:proofErr w:type="gramEnd"/>
    </w:p>
  </w:endnote>
  <w:endnote w:id="10">
    <w:p w:rsidR="00975183" w:rsidRPr="00D41234" w:rsidRDefault="00975183" w:rsidP="00935C95">
      <w:pPr>
        <w:pStyle w:val="EndnoteText"/>
      </w:pPr>
      <w:r w:rsidRPr="00D41234">
        <w:rPr>
          <w:rStyle w:val="FootnoteReference"/>
        </w:rPr>
        <w:endnoteRef/>
      </w:r>
      <w:r w:rsidRPr="00D41234">
        <w:t xml:space="preserve"> Blaising, ‘Dispensationalism: Search for Definition’, </w:t>
      </w:r>
      <w:r w:rsidRPr="00D41234">
        <w:rPr>
          <w:i/>
        </w:rPr>
        <w:t>Dispensationalism, Israel &amp; Church</w:t>
      </w:r>
      <w:r w:rsidRPr="00D41234">
        <w:t>, p. 30.</w:t>
      </w:r>
    </w:p>
  </w:endnote>
  <w:endnote w:id="11">
    <w:p w:rsidR="00975183" w:rsidRPr="00D41234" w:rsidRDefault="00975183" w:rsidP="00935C95">
      <w:pPr>
        <w:pStyle w:val="EndnoteText"/>
      </w:pPr>
      <w:r w:rsidRPr="00D41234">
        <w:rPr>
          <w:rStyle w:val="FootnoteReference"/>
        </w:rPr>
        <w:endnoteRef/>
      </w:r>
      <w:r w:rsidRPr="00D41234">
        <w:t xml:space="preserve"> </w:t>
      </w:r>
      <w:proofErr w:type="gramStart"/>
      <w:r w:rsidRPr="00D41234">
        <w:t xml:space="preserve">Blaising, ‘The Extent and Varieties of Dispensationalism’ in Craig A. Blaising and Darrell L. Bock, </w:t>
      </w:r>
      <w:r w:rsidRPr="00D41234">
        <w:rPr>
          <w:i/>
        </w:rPr>
        <w:t>Progressive Dispensationalism</w:t>
      </w:r>
      <w:r w:rsidRPr="00D41234">
        <w:t xml:space="preserve"> (Grand Rapids, Michigan: Bridgepoint Books, 1993, paperback, 2000), p. 13.</w:t>
      </w:r>
      <w:proofErr w:type="gramEnd"/>
    </w:p>
  </w:endnote>
  <w:endnote w:id="12">
    <w:p w:rsidR="00975183" w:rsidRPr="00D41234" w:rsidRDefault="00975183" w:rsidP="00935C95">
      <w:pPr>
        <w:pStyle w:val="EndnoteText"/>
      </w:pPr>
      <w:r w:rsidRPr="00D41234">
        <w:rPr>
          <w:rStyle w:val="FootnoteReference"/>
        </w:rPr>
        <w:endnoteRef/>
      </w:r>
      <w:r w:rsidRPr="00D41234">
        <w:t xml:space="preserve"> Blaising, ‘Extent and Varieties of Dispensationalism’, </w:t>
      </w:r>
      <w:r w:rsidRPr="00D41234">
        <w:rPr>
          <w:i/>
        </w:rPr>
        <w:t>Progressive Dispensationalism</w:t>
      </w:r>
      <w:r w:rsidRPr="00D41234">
        <w:t>, p. 13.</w:t>
      </w:r>
    </w:p>
  </w:endnote>
  <w:endnote w:id="13">
    <w:p w:rsidR="00975183" w:rsidRPr="00D41234" w:rsidRDefault="00975183" w:rsidP="00935C95">
      <w:pPr>
        <w:pStyle w:val="EndnoteText"/>
      </w:pPr>
      <w:r w:rsidRPr="00D41234">
        <w:rPr>
          <w:rStyle w:val="FootnoteReference"/>
        </w:rPr>
        <w:endnoteRef/>
      </w:r>
      <w:r w:rsidRPr="00D41234">
        <w:t xml:space="preserve"> </w:t>
      </w:r>
      <w:r w:rsidRPr="00D41234">
        <w:rPr>
          <w:lang w:val="en-US"/>
        </w:rPr>
        <w:t xml:space="preserve">Clarence B. Bass, </w:t>
      </w:r>
      <w:r w:rsidRPr="00D41234">
        <w:rPr>
          <w:i/>
          <w:lang w:val="en-US"/>
        </w:rPr>
        <w:t xml:space="preserve">Backgrounds to Dispensationalism: Its Historical Genesis and Ecclesiastical Implications </w:t>
      </w:r>
      <w:r w:rsidRPr="00D41234">
        <w:rPr>
          <w:lang w:val="en-US"/>
        </w:rPr>
        <w:t>(Grand Rapids: Wm. B. Eerdmans Publishing Co., Baker Book House, 1960), p 17.</w:t>
      </w:r>
    </w:p>
  </w:endnote>
  <w:endnote w:id="14">
    <w:p w:rsidR="00975183" w:rsidRPr="00D41234" w:rsidRDefault="00975183" w:rsidP="00935C95">
      <w:pPr>
        <w:pStyle w:val="EndnoteText"/>
      </w:pPr>
      <w:r w:rsidRPr="00D41234">
        <w:rPr>
          <w:rStyle w:val="FootnoteReference"/>
        </w:rPr>
        <w:endnoteRef/>
      </w:r>
      <w:r w:rsidRPr="00D41234">
        <w:t xml:space="preserve"> Ryrie, </w:t>
      </w:r>
      <w:r w:rsidRPr="00D41234">
        <w:rPr>
          <w:i/>
        </w:rPr>
        <w:t xml:space="preserve">Dispensationalism Today, </w:t>
      </w:r>
      <w:r w:rsidRPr="00D41234">
        <w:t>p. 22.</w:t>
      </w:r>
    </w:p>
  </w:endnote>
  <w:endnote w:id="15">
    <w:p w:rsidR="00975183" w:rsidRPr="00BB4442" w:rsidRDefault="00975183" w:rsidP="00935C95">
      <w:pPr>
        <w:pStyle w:val="EndnoteText"/>
      </w:pPr>
      <w:r w:rsidRPr="00D41234">
        <w:rPr>
          <w:rStyle w:val="FootnoteReference"/>
        </w:rPr>
        <w:endnoteRef/>
      </w:r>
      <w:r w:rsidRPr="00D41234">
        <w:t xml:space="preserve"> John S. Feinberg, ‘Systems of Discontinuity’ in John S. Feinberg (ed.) </w:t>
      </w:r>
      <w:r w:rsidRPr="00D41234">
        <w:rPr>
          <w:i/>
        </w:rPr>
        <w:t xml:space="preserve">Continuity and Discontinuity: Perspectives on the Relationship </w:t>
      </w:r>
      <w:proofErr w:type="gramStart"/>
      <w:r w:rsidRPr="00D41234">
        <w:rPr>
          <w:i/>
        </w:rPr>
        <w:t>Between</w:t>
      </w:r>
      <w:proofErr w:type="gramEnd"/>
      <w:r w:rsidRPr="00D41234">
        <w:rPr>
          <w:i/>
        </w:rPr>
        <w:t xml:space="preserve"> the Old and New Testaments: Essays in Honor of S. Lewis Johnson, Jr.</w:t>
      </w:r>
      <w:r w:rsidRPr="00D41234">
        <w:t xml:space="preserve"> (Crossway: Wheaton, Illinois, 1988) Google Books </w:t>
      </w:r>
      <w:r w:rsidRPr="00BB4442">
        <w:t>&lt;https://books.google.co.uk/books?id=l6HXCgAAQBAJ&amp;printsec=frontcover&amp;source=gbs_ge_summary_r&amp;cad=0#v=onepage&amp;q&amp;f=false &gt; [accessed 3.7.17].</w:t>
      </w:r>
    </w:p>
  </w:endnote>
  <w:endnote w:id="16">
    <w:p w:rsidR="00975183" w:rsidRPr="00BB4442" w:rsidRDefault="00975183" w:rsidP="00935C95">
      <w:pPr>
        <w:pStyle w:val="FootnoteText"/>
        <w:rPr>
          <w:rFonts w:ascii="Perpetua" w:hAnsi="Perpetua"/>
          <w:szCs w:val="22"/>
        </w:rPr>
      </w:pPr>
      <w:r w:rsidRPr="00BB4442">
        <w:rPr>
          <w:rStyle w:val="FootnoteReference"/>
          <w:rFonts w:ascii="Perpetua" w:hAnsi="Perpetua"/>
          <w:szCs w:val="22"/>
        </w:rPr>
        <w:endnoteRef/>
      </w:r>
      <w:r w:rsidRPr="00BB4442">
        <w:rPr>
          <w:rFonts w:ascii="Perpetua" w:hAnsi="Perpetua"/>
          <w:szCs w:val="22"/>
        </w:rPr>
        <w:t xml:space="preserve"> This is true of </w:t>
      </w:r>
      <w:r w:rsidRPr="00BB4442">
        <w:rPr>
          <w:rStyle w:val="ind"/>
          <w:rFonts w:ascii="Perpetua" w:hAnsi="Perpetua"/>
          <w:szCs w:val="22"/>
        </w:rPr>
        <w:t>Collins English Dictionary, 21</w:t>
      </w:r>
      <w:r w:rsidRPr="00BB4442">
        <w:rPr>
          <w:rStyle w:val="ind"/>
          <w:rFonts w:ascii="Perpetua" w:hAnsi="Perpetua"/>
          <w:szCs w:val="22"/>
          <w:vertAlign w:val="superscript"/>
        </w:rPr>
        <w:t>st</w:t>
      </w:r>
      <w:r w:rsidRPr="00BB4442">
        <w:rPr>
          <w:rStyle w:val="ind"/>
          <w:rFonts w:ascii="Perpetua" w:hAnsi="Perpetua"/>
          <w:szCs w:val="22"/>
        </w:rPr>
        <w:t xml:space="preserve"> Century Edition, 5</w:t>
      </w:r>
      <w:r w:rsidRPr="00BB4442">
        <w:rPr>
          <w:rStyle w:val="ind"/>
          <w:rFonts w:ascii="Perpetua" w:hAnsi="Perpetua"/>
          <w:szCs w:val="22"/>
          <w:vertAlign w:val="superscript"/>
        </w:rPr>
        <w:t>th</w:t>
      </w:r>
      <w:r w:rsidRPr="00BB4442">
        <w:rPr>
          <w:rStyle w:val="ind"/>
          <w:rFonts w:ascii="Perpetua" w:hAnsi="Perpetua"/>
          <w:szCs w:val="22"/>
        </w:rPr>
        <w:t xml:space="preserve"> edition, 2000, reprinted 2002 (Glasgow, HarperCollins Publishers); The Chambers Dictionary 12</w:t>
      </w:r>
      <w:r w:rsidRPr="00BB4442">
        <w:rPr>
          <w:rStyle w:val="ind"/>
          <w:rFonts w:ascii="Perpetua" w:hAnsi="Perpetua"/>
          <w:szCs w:val="22"/>
          <w:vertAlign w:val="superscript"/>
        </w:rPr>
        <w:t>th</w:t>
      </w:r>
      <w:r w:rsidRPr="00BB4442">
        <w:rPr>
          <w:rStyle w:val="ind"/>
          <w:rFonts w:ascii="Perpetua" w:hAnsi="Perpetua"/>
          <w:szCs w:val="22"/>
        </w:rPr>
        <w:t xml:space="preserve"> Edition, (London, Chambers Harrap Publishers Ltd., 2011) and the Century Dictionary Online, &lt;http://www.global-language.com/century/&gt; [accessed 26.5.17].</w:t>
      </w:r>
    </w:p>
    <w:p w:rsidR="00975183" w:rsidRPr="00BB4442" w:rsidRDefault="00975183" w:rsidP="00935C95">
      <w:pPr>
        <w:pStyle w:val="FootnoteText"/>
        <w:rPr>
          <w:rFonts w:ascii="Perpetua" w:hAnsi="Perpetua"/>
          <w:szCs w:val="22"/>
        </w:rPr>
      </w:pPr>
      <w:r w:rsidRPr="00BB4442">
        <w:rPr>
          <w:rStyle w:val="FootnoteReference"/>
          <w:rFonts w:ascii="Perpetua" w:hAnsi="Perpetua"/>
          <w:szCs w:val="22"/>
        </w:rPr>
        <w:endnoteRef/>
      </w:r>
      <w:r w:rsidRPr="00BB4442">
        <w:rPr>
          <w:rFonts w:ascii="Perpetua" w:hAnsi="Perpetua"/>
          <w:szCs w:val="22"/>
        </w:rPr>
        <w:t xml:space="preserve"> Collins Dictionary and </w:t>
      </w:r>
    </w:p>
    <w:p w:rsidR="00975183" w:rsidRPr="00BB4442" w:rsidRDefault="00975183" w:rsidP="00935C95">
      <w:pPr>
        <w:pStyle w:val="EndnoteText"/>
      </w:pPr>
      <w:proofErr w:type="gramStart"/>
      <w:r w:rsidRPr="00BB4442">
        <w:rPr>
          <w:szCs w:val="22"/>
        </w:rPr>
        <w:t>Oxford Dictionary Online.</w:t>
      </w:r>
      <w:proofErr w:type="gramEnd"/>
      <w:r w:rsidRPr="00BB4442">
        <w:rPr>
          <w:szCs w:val="22"/>
        </w:rPr>
        <w:t xml:space="preserve"> &lt;https://en.oxforddictionaries.com/definition/dispensation&gt; [accessed 26/5/17].</w:t>
      </w:r>
    </w:p>
  </w:endnote>
  <w:endnote w:id="17">
    <w:p w:rsidR="00975183" w:rsidRPr="00BB4442" w:rsidRDefault="00975183" w:rsidP="00935C95">
      <w:pPr>
        <w:pStyle w:val="EndnoteText"/>
      </w:pPr>
      <w:r w:rsidRPr="00BB4442">
        <w:rPr>
          <w:rStyle w:val="FootnoteReference"/>
        </w:rPr>
        <w:endnoteRef/>
      </w:r>
      <w:r w:rsidRPr="00BB4442">
        <w:t xml:space="preserve"> </w:t>
      </w:r>
      <w:proofErr w:type="gramStart"/>
      <w:r w:rsidRPr="00BB4442">
        <w:t>Collins and Chambers Dictionaries; Century Dictionary Online.</w:t>
      </w:r>
      <w:proofErr w:type="gramEnd"/>
    </w:p>
  </w:endnote>
  <w:endnote w:id="18">
    <w:p w:rsidR="00975183" w:rsidRPr="00BB4442" w:rsidRDefault="00975183" w:rsidP="00935C95">
      <w:pPr>
        <w:pStyle w:val="FootnoteText"/>
        <w:rPr>
          <w:rFonts w:ascii="Perpetua" w:hAnsi="Perpetua"/>
          <w:szCs w:val="22"/>
        </w:rPr>
      </w:pPr>
      <w:r w:rsidRPr="00BB4442">
        <w:rPr>
          <w:rStyle w:val="FootnoteReference"/>
          <w:rFonts w:ascii="Perpetua" w:hAnsi="Perpetua"/>
          <w:szCs w:val="22"/>
        </w:rPr>
        <w:endnoteRef/>
      </w:r>
      <w:r w:rsidRPr="00BB4442">
        <w:rPr>
          <w:rFonts w:ascii="Perpetua" w:hAnsi="Perpetua"/>
          <w:szCs w:val="22"/>
        </w:rPr>
        <w:t xml:space="preserve"> Collins Dictionary and </w:t>
      </w:r>
    </w:p>
    <w:p w:rsidR="00975183" w:rsidRPr="00BB4442" w:rsidRDefault="00975183" w:rsidP="00935C95">
      <w:pPr>
        <w:pStyle w:val="EndnoteText"/>
      </w:pPr>
      <w:proofErr w:type="gramStart"/>
      <w:r w:rsidRPr="00BB4442">
        <w:rPr>
          <w:szCs w:val="22"/>
        </w:rPr>
        <w:t>Oxford Dictionary Online.</w:t>
      </w:r>
      <w:proofErr w:type="gramEnd"/>
      <w:r w:rsidRPr="00BB4442">
        <w:rPr>
          <w:szCs w:val="22"/>
        </w:rPr>
        <w:t xml:space="preserve"> &lt;https://en.oxforddictionaries.com/definition/dispensation&gt; [accessed 26/5/17].</w:t>
      </w:r>
    </w:p>
  </w:endnote>
  <w:endnote w:id="19">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Chambers Dictionary and Century Dictionary Online.</w:t>
      </w:r>
      <w:proofErr w:type="gramEnd"/>
    </w:p>
  </w:endnote>
  <w:endnote w:id="20">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Oxford Dictionary Online.</w:t>
      </w:r>
      <w:proofErr w:type="gramEnd"/>
    </w:p>
  </w:endnote>
  <w:endnote w:id="21">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Collins Dictionary.</w:t>
      </w:r>
      <w:proofErr w:type="gramEnd"/>
    </w:p>
  </w:endnote>
  <w:endnote w:id="22">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Chambers Dictionary.</w:t>
      </w:r>
      <w:proofErr w:type="gramEnd"/>
    </w:p>
  </w:endnote>
  <w:endnote w:id="23">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Century Dictionary Online.</w:t>
      </w:r>
      <w:proofErr w:type="gramEnd"/>
    </w:p>
  </w:endnote>
  <w:endnote w:id="24">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Lewis Sperry Chafer, </w:t>
      </w:r>
      <w:r w:rsidRPr="00BB4442">
        <w:rPr>
          <w:i/>
          <w:szCs w:val="22"/>
        </w:rPr>
        <w:t>Dispensationalism</w:t>
      </w:r>
      <w:r w:rsidRPr="00BB4442">
        <w:rPr>
          <w:szCs w:val="22"/>
        </w:rPr>
        <w:t xml:space="preserve">, Second Reprint of article, </w:t>
      </w:r>
      <w:r w:rsidRPr="00BB4442">
        <w:rPr>
          <w:i/>
          <w:szCs w:val="22"/>
        </w:rPr>
        <w:t>Bibliotheca Sacra</w:t>
      </w:r>
      <w:r w:rsidRPr="00BB4442">
        <w:rPr>
          <w:szCs w:val="22"/>
        </w:rPr>
        <w:t>, Vol. 93, no. 372, Oct.-Dec. 1936 (Fort Worth, Texas: Exegetica Publishing, 1951), p.11.</w:t>
      </w:r>
      <w:proofErr w:type="gramEnd"/>
      <w:r w:rsidRPr="00BB4442">
        <w:rPr>
          <w:szCs w:val="22"/>
        </w:rPr>
        <w:t xml:space="preserve">  </w:t>
      </w:r>
      <w:proofErr w:type="gramStart"/>
      <w:r w:rsidRPr="00BB4442">
        <w:rPr>
          <w:b/>
          <w:szCs w:val="22"/>
        </w:rPr>
        <w:t xml:space="preserve">See below, </w:t>
      </w:r>
      <w:r w:rsidRPr="00BB4442">
        <w:rPr>
          <w:b/>
          <w:i/>
          <w:szCs w:val="22"/>
        </w:rPr>
        <w:t>Origins of Dispensationalism</w:t>
      </w:r>
      <w:r w:rsidRPr="00BB4442">
        <w:rPr>
          <w:szCs w:val="22"/>
        </w:rPr>
        <w:t>.</w:t>
      </w:r>
      <w:proofErr w:type="gramEnd"/>
      <w:r w:rsidRPr="00BB4442">
        <w:rPr>
          <w:szCs w:val="22"/>
        </w:rPr>
        <w:t xml:space="preserve">  </w:t>
      </w:r>
    </w:p>
  </w:endnote>
  <w:endnote w:id="25">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Oxford Dictionary Online.</w:t>
      </w:r>
      <w:proofErr w:type="gramEnd"/>
    </w:p>
  </w:endnote>
  <w:endnote w:id="26">
    <w:p w:rsidR="00975183" w:rsidRPr="00BB4442" w:rsidRDefault="00975183" w:rsidP="00935C95">
      <w:pPr>
        <w:pStyle w:val="EndnoteText"/>
      </w:pPr>
      <w:r w:rsidRPr="00BB4442">
        <w:rPr>
          <w:rStyle w:val="FootnoteReference"/>
        </w:rPr>
        <w:endnoteRef/>
      </w:r>
      <w:r w:rsidRPr="00BB4442">
        <w:t xml:space="preserve"> </w:t>
      </w:r>
      <w:proofErr w:type="gramStart"/>
      <w:r w:rsidRPr="00BB4442">
        <w:rPr>
          <w:b/>
          <w:szCs w:val="22"/>
        </w:rPr>
        <w:t>See 5.1.1</w:t>
      </w:r>
      <w:r w:rsidRPr="00BB4442">
        <w:rPr>
          <w:szCs w:val="22"/>
        </w:rPr>
        <w:t>.</w:t>
      </w:r>
      <w:proofErr w:type="gramEnd"/>
    </w:p>
  </w:endnote>
  <w:endnote w:id="27">
    <w:p w:rsidR="00975183" w:rsidRPr="00BB4442" w:rsidRDefault="00975183" w:rsidP="00935C95">
      <w:pPr>
        <w:pStyle w:val="EndnoteText"/>
      </w:pPr>
      <w:r w:rsidRPr="00BB4442">
        <w:rPr>
          <w:rStyle w:val="FootnoteReference"/>
        </w:rPr>
        <w:endnoteRef/>
      </w:r>
      <w:r w:rsidRPr="00BB4442">
        <w:t xml:space="preserve"> </w:t>
      </w:r>
      <w:proofErr w:type="gramStart"/>
      <w:r w:rsidRPr="00BB4442">
        <w:t>Collins Dictionary.</w:t>
      </w:r>
      <w:proofErr w:type="gramEnd"/>
    </w:p>
  </w:endnote>
  <w:endnote w:id="28">
    <w:p w:rsidR="00975183" w:rsidRPr="00BB4442" w:rsidRDefault="00975183" w:rsidP="00935C95">
      <w:pPr>
        <w:pStyle w:val="EndnoteText"/>
      </w:pPr>
      <w:r w:rsidRPr="00BB4442">
        <w:rPr>
          <w:rStyle w:val="FootnoteReference"/>
        </w:rPr>
        <w:endnoteRef/>
      </w:r>
      <w:r w:rsidRPr="00BB4442">
        <w:t xml:space="preserve"> </w:t>
      </w:r>
      <w:proofErr w:type="gramStart"/>
      <w:r w:rsidRPr="00BB4442">
        <w:t>Chambers Dictionary.</w:t>
      </w:r>
      <w:proofErr w:type="gramEnd"/>
    </w:p>
  </w:endnote>
  <w:endnote w:id="29">
    <w:p w:rsidR="00975183" w:rsidRPr="00BB4442" w:rsidRDefault="00975183" w:rsidP="00935C95">
      <w:pPr>
        <w:pStyle w:val="EndnoteText"/>
      </w:pPr>
      <w:r w:rsidRPr="00BB4442">
        <w:rPr>
          <w:rStyle w:val="FootnoteReference"/>
        </w:rPr>
        <w:endnoteRef/>
      </w:r>
      <w:r w:rsidRPr="00BB4442">
        <w:t xml:space="preserve"> </w:t>
      </w:r>
      <w:proofErr w:type="gramStart"/>
      <w:r w:rsidRPr="00BB4442">
        <w:t>Oxford Dictionary Online.</w:t>
      </w:r>
      <w:proofErr w:type="gramEnd"/>
    </w:p>
  </w:endnote>
  <w:endnote w:id="30">
    <w:p w:rsidR="00975183" w:rsidRPr="00BB4442" w:rsidRDefault="00975183" w:rsidP="00935C95">
      <w:pPr>
        <w:pStyle w:val="EndnoteText"/>
      </w:pPr>
      <w:r w:rsidRPr="00BB4442">
        <w:rPr>
          <w:rStyle w:val="FootnoteReference"/>
        </w:rPr>
        <w:endnoteRef/>
      </w:r>
      <w:r w:rsidRPr="00BB4442">
        <w:t xml:space="preserve"> </w:t>
      </w:r>
      <w:proofErr w:type="gramStart"/>
      <w:r w:rsidRPr="00BB4442">
        <w:t>Century Dictionary Online.</w:t>
      </w:r>
      <w:proofErr w:type="gramEnd"/>
    </w:p>
  </w:endnote>
  <w:endnote w:id="31">
    <w:p w:rsidR="00975183" w:rsidRPr="00BB4442" w:rsidRDefault="00975183" w:rsidP="00935C95">
      <w:pPr>
        <w:pStyle w:val="EndnoteText"/>
      </w:pPr>
      <w:r w:rsidRPr="00BB4442">
        <w:rPr>
          <w:rStyle w:val="FootnoteReference"/>
        </w:rPr>
        <w:endnoteRef/>
      </w:r>
      <w:r w:rsidRPr="00BB4442">
        <w:t xml:space="preserve"> </w:t>
      </w:r>
      <w:proofErr w:type="gramStart"/>
      <w:r w:rsidRPr="00BB4442">
        <w:t>Collins and Chambers Dictionaries; Oxford Dictionary Online.</w:t>
      </w:r>
      <w:proofErr w:type="gramEnd"/>
      <w:r w:rsidRPr="00BB4442">
        <w:t xml:space="preserve">  Century Dictionary Online refers to this as ‘a relaxation’.</w:t>
      </w:r>
    </w:p>
  </w:endnote>
  <w:endnote w:id="32">
    <w:p w:rsidR="00975183" w:rsidRPr="00BB4442" w:rsidRDefault="00975183" w:rsidP="00935C95">
      <w:pPr>
        <w:pStyle w:val="EndnoteText"/>
      </w:pPr>
      <w:r w:rsidRPr="00BB4442">
        <w:rPr>
          <w:rStyle w:val="FootnoteReference"/>
        </w:rPr>
        <w:endnoteRef/>
      </w:r>
      <w:r w:rsidRPr="00BB4442">
        <w:t xml:space="preserve"> </w:t>
      </w:r>
      <w:proofErr w:type="gramStart"/>
      <w:r w:rsidRPr="00BB4442">
        <w:rPr>
          <w:rStyle w:val="ind"/>
        </w:rPr>
        <w:t>Collins English Dictionary; Chambers Dictionary; Oxford Dictionary Online.</w:t>
      </w:r>
      <w:proofErr w:type="gramEnd"/>
    </w:p>
  </w:endnote>
  <w:endnote w:id="33">
    <w:p w:rsidR="00975183" w:rsidRPr="00BB4442" w:rsidRDefault="00975183" w:rsidP="00935C95">
      <w:pPr>
        <w:pStyle w:val="EndnoteText"/>
      </w:pPr>
      <w:r w:rsidRPr="00BB4442">
        <w:rPr>
          <w:rStyle w:val="FootnoteReference"/>
        </w:rPr>
        <w:endnoteRef/>
      </w:r>
      <w:r w:rsidRPr="00BB4442">
        <w:t xml:space="preserve"> </w:t>
      </w:r>
      <w:proofErr w:type="gramStart"/>
      <w:r w:rsidRPr="00BB4442">
        <w:rPr>
          <w:rStyle w:val="ind"/>
        </w:rPr>
        <w:t>Collins English Dictionary.</w:t>
      </w:r>
      <w:proofErr w:type="gramEnd"/>
    </w:p>
  </w:endnote>
  <w:endnote w:id="34">
    <w:p w:rsidR="00975183" w:rsidRPr="00BB4442" w:rsidRDefault="00975183" w:rsidP="00935C95">
      <w:pPr>
        <w:pStyle w:val="EndnoteText"/>
      </w:pPr>
      <w:r w:rsidRPr="00BB4442">
        <w:rPr>
          <w:rStyle w:val="FootnoteReference"/>
        </w:rPr>
        <w:endnoteRef/>
      </w:r>
      <w:r w:rsidRPr="00BB4442">
        <w:t xml:space="preserve"> </w:t>
      </w:r>
      <w:proofErr w:type="gramStart"/>
      <w:r w:rsidRPr="00BB4442">
        <w:rPr>
          <w:rStyle w:val="ind"/>
        </w:rPr>
        <w:t>Oxford Dictionary Online.</w:t>
      </w:r>
      <w:proofErr w:type="gramEnd"/>
    </w:p>
  </w:endnote>
  <w:endnote w:id="35">
    <w:p w:rsidR="00975183" w:rsidRPr="00BB4442" w:rsidRDefault="00975183" w:rsidP="00935C95">
      <w:pPr>
        <w:pStyle w:val="EndnoteText"/>
      </w:pPr>
      <w:r w:rsidRPr="00BB4442">
        <w:rPr>
          <w:rStyle w:val="FootnoteReference"/>
        </w:rPr>
        <w:endnoteRef/>
      </w:r>
      <w:r w:rsidRPr="00BB4442">
        <w:rPr>
          <w:sz w:val="18"/>
        </w:rPr>
        <w:t xml:space="preserve"> </w:t>
      </w:r>
      <w:proofErr w:type="gramStart"/>
      <w:r w:rsidRPr="00BB4442">
        <w:t>Century Dictionary Online.</w:t>
      </w:r>
      <w:proofErr w:type="gramEnd"/>
    </w:p>
  </w:endnote>
  <w:endnote w:id="36">
    <w:p w:rsidR="00975183" w:rsidRPr="00BB4442" w:rsidRDefault="00975183" w:rsidP="00935C95">
      <w:pPr>
        <w:pStyle w:val="EndnoteText"/>
      </w:pPr>
      <w:r w:rsidRPr="00BB4442">
        <w:rPr>
          <w:rStyle w:val="FootnoteReference"/>
        </w:rPr>
        <w:endnoteRef/>
      </w:r>
      <w:r w:rsidRPr="00BB4442">
        <w:t xml:space="preserve"> Collins English Dictionary: ‘Chiefly Roman Catholic Church – a) permission to dispense with an obligation of church law, b)  a document authorizing such permission; Chambers Dictionary: Licence or permission to neglect a rule, especially of church law in Roman Catholic Church.  Oxford Dictionary Online gives ‘permission to be exempted from the laws or observances of the Church; Century Dictionary Online has ‘a license granted (as by the pope or a bishop) relieving or exempting a person in certain circumstances for the action, obligations, or penalties of some law or regulation.</w:t>
      </w:r>
    </w:p>
  </w:endnote>
  <w:endnote w:id="37">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Chafer, </w:t>
      </w:r>
      <w:r w:rsidRPr="00BB4442">
        <w:rPr>
          <w:i/>
          <w:szCs w:val="22"/>
        </w:rPr>
        <w:t>Dispensationalism</w:t>
      </w:r>
      <w:r w:rsidRPr="00BB4442">
        <w:rPr>
          <w:szCs w:val="22"/>
        </w:rPr>
        <w:t>, p.12.</w:t>
      </w:r>
      <w:proofErr w:type="gramEnd"/>
    </w:p>
  </w:endnote>
  <w:endnote w:id="38">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Century Dictionary Online.</w:t>
      </w:r>
      <w:proofErr w:type="gramEnd"/>
    </w:p>
  </w:endnote>
  <w:endnote w:id="39">
    <w:p w:rsidR="00975183" w:rsidRPr="00BB4442" w:rsidRDefault="00975183" w:rsidP="00935C95">
      <w:pPr>
        <w:pStyle w:val="EndnoteText"/>
      </w:pPr>
      <w:r w:rsidRPr="00BB4442">
        <w:rPr>
          <w:rStyle w:val="FootnoteReference"/>
          <w:szCs w:val="22"/>
        </w:rPr>
        <w:endnoteRef/>
      </w:r>
      <w:r w:rsidRPr="00BB4442">
        <w:rPr>
          <w:szCs w:val="22"/>
        </w:rPr>
        <w:t xml:space="preserve"> </w:t>
      </w:r>
      <w:r w:rsidRPr="00BB4442">
        <w:rPr>
          <w:rFonts w:eastAsia="Times New Roman" w:cs="Times New Roman"/>
          <w:bCs/>
          <w:kern w:val="36"/>
          <w:szCs w:val="22"/>
          <w:lang w:eastAsia="en-GB"/>
        </w:rPr>
        <w:t xml:space="preserve"> C</w:t>
      </w:r>
      <w:r w:rsidRPr="00BB4442">
        <w:rPr>
          <w:rFonts w:eastAsia="Times New Roman" w:cs="Times New Roman"/>
          <w:bCs/>
          <w:kern w:val="36"/>
          <w:lang w:eastAsia="en-GB"/>
        </w:rPr>
        <w:t xml:space="preserve">hafer, </w:t>
      </w:r>
      <w:r w:rsidRPr="00BB4442">
        <w:rPr>
          <w:rFonts w:eastAsia="Times New Roman" w:cs="Times New Roman"/>
          <w:bCs/>
          <w:i/>
          <w:kern w:val="36"/>
          <w:lang w:eastAsia="en-GB"/>
        </w:rPr>
        <w:t>Dispensationalism</w:t>
      </w:r>
      <w:r w:rsidRPr="00BB4442">
        <w:rPr>
          <w:rFonts w:eastAsia="Times New Roman" w:cs="Times New Roman"/>
          <w:bCs/>
          <w:kern w:val="36"/>
          <w:lang w:eastAsia="en-GB"/>
        </w:rPr>
        <w:t>, p 12</w:t>
      </w:r>
      <w:proofErr w:type="gramStart"/>
      <w:r w:rsidRPr="00BB4442">
        <w:rPr>
          <w:rFonts w:eastAsia="Times New Roman" w:cs="Times New Roman"/>
          <w:bCs/>
          <w:kern w:val="36"/>
          <w:lang w:eastAsia="en-GB"/>
        </w:rPr>
        <w:t>, quoting</w:t>
      </w:r>
      <w:proofErr w:type="gramEnd"/>
      <w:r w:rsidRPr="00BB4442">
        <w:rPr>
          <w:rFonts w:eastAsia="Times New Roman" w:cs="Times New Roman"/>
          <w:bCs/>
          <w:kern w:val="36"/>
          <w:lang w:eastAsia="en-GB"/>
        </w:rPr>
        <w:t xml:space="preserve"> </w:t>
      </w:r>
      <w:r>
        <w:rPr>
          <w:rFonts w:eastAsia="Times New Roman" w:cs="Times New Roman"/>
          <w:bCs/>
          <w:kern w:val="36"/>
          <w:lang w:eastAsia="en-GB"/>
        </w:rPr>
        <w:t>‘</w:t>
      </w:r>
      <w:r w:rsidRPr="00BB4442">
        <w:rPr>
          <w:rFonts w:eastAsia="Times New Roman" w:cs="Times New Roman"/>
          <w:bCs/>
          <w:i/>
          <w:kern w:val="36"/>
          <w:lang w:eastAsia="en-GB"/>
        </w:rPr>
        <w:t xml:space="preserve">Bibliotheca Sacra </w:t>
      </w:r>
      <w:r w:rsidRPr="00BB4442">
        <w:rPr>
          <w:rFonts w:eastAsia="Times New Roman" w:cs="Times New Roman"/>
          <w:bCs/>
          <w:kern w:val="36"/>
          <w:lang w:eastAsia="en-GB"/>
        </w:rPr>
        <w:t>XLV, p. 237</w:t>
      </w:r>
      <w:r>
        <w:rPr>
          <w:rFonts w:eastAsia="Times New Roman" w:cs="Times New Roman"/>
          <w:bCs/>
          <w:kern w:val="36"/>
          <w:lang w:eastAsia="en-GB"/>
        </w:rPr>
        <w:t>’</w:t>
      </w:r>
      <w:r w:rsidRPr="00BB4442">
        <w:rPr>
          <w:rFonts w:eastAsia="Times New Roman" w:cs="Times New Roman"/>
          <w:bCs/>
          <w:kern w:val="36"/>
          <w:lang w:eastAsia="en-GB"/>
        </w:rPr>
        <w:t xml:space="preserve">.  This Century Dictionary entry is actually included under ‘dispensational’.  </w:t>
      </w:r>
      <w:r>
        <w:rPr>
          <w:rFonts w:eastAsia="Times New Roman" w:cs="Times New Roman"/>
          <w:bCs/>
          <w:kern w:val="36"/>
          <w:lang w:eastAsia="en-GB"/>
        </w:rPr>
        <w:t xml:space="preserve">I have identified this quotation as coming from an article by Revd S. H. Kellogg, entitled ‘Premillennialism: Its Relations to Doctrine and Practice’, which is found in </w:t>
      </w:r>
      <w:r w:rsidRPr="004934C7">
        <w:rPr>
          <w:rFonts w:eastAsia="Times New Roman" w:cs="Times New Roman"/>
          <w:bCs/>
          <w:i/>
          <w:kern w:val="36"/>
          <w:lang w:eastAsia="en-GB"/>
        </w:rPr>
        <w:t>Bibliotheca Sacra</w:t>
      </w:r>
      <w:r>
        <w:rPr>
          <w:rFonts w:eastAsia="Times New Roman" w:cs="Times New Roman"/>
          <w:bCs/>
          <w:kern w:val="36"/>
          <w:lang w:eastAsia="en-GB"/>
        </w:rPr>
        <w:t xml:space="preserve"> 45:178, April 1888, pp. 237-8.  </w:t>
      </w:r>
    </w:p>
  </w:endnote>
  <w:endnote w:id="40">
    <w:p w:rsidR="00975183" w:rsidRPr="00BB4442" w:rsidRDefault="00975183" w:rsidP="00935C95">
      <w:pPr>
        <w:pStyle w:val="EndnoteText"/>
      </w:pPr>
      <w:r w:rsidRPr="00BB4442">
        <w:rPr>
          <w:rStyle w:val="FootnoteReference"/>
        </w:rPr>
        <w:endnoteRef/>
      </w:r>
      <w:r w:rsidRPr="00BB4442">
        <w:t xml:space="preserve"> &lt;https://en.oxforddictionaries.com/definition/dispensationalism&gt; [accessed 26.5.17].</w:t>
      </w:r>
    </w:p>
  </w:endnote>
  <w:endnote w:id="41">
    <w:p w:rsidR="00975183" w:rsidRPr="00BB4442" w:rsidRDefault="00975183" w:rsidP="00935C95">
      <w:pPr>
        <w:pStyle w:val="EndnoteText"/>
      </w:pPr>
      <w:r w:rsidRPr="00BB4442">
        <w:rPr>
          <w:rStyle w:val="FootnoteReference"/>
        </w:rPr>
        <w:endnoteRef/>
      </w:r>
      <w:r w:rsidRPr="00BB4442">
        <w:t xml:space="preserve"> Blaising ‘Extent and Varieties’,</w:t>
      </w:r>
      <w:r w:rsidRPr="00BB4442">
        <w:rPr>
          <w:szCs w:val="22"/>
        </w:rPr>
        <w:t xml:space="preserve"> </w:t>
      </w:r>
      <w:r w:rsidRPr="00BB4442">
        <w:rPr>
          <w:i/>
          <w:szCs w:val="22"/>
        </w:rPr>
        <w:t>Progressive Dispensationalism</w:t>
      </w:r>
      <w:r w:rsidRPr="00BB4442">
        <w:rPr>
          <w:szCs w:val="22"/>
        </w:rPr>
        <w:t>, p. 56.</w:t>
      </w:r>
    </w:p>
  </w:endnote>
  <w:endnote w:id="42">
    <w:p w:rsidR="00975183" w:rsidRPr="00BB4442" w:rsidRDefault="00975183" w:rsidP="00935C95">
      <w:pPr>
        <w:pStyle w:val="EndnoteText"/>
      </w:pPr>
      <w:r w:rsidRPr="00BB4442">
        <w:rPr>
          <w:rStyle w:val="FootnoteReference"/>
          <w:sz w:val="18"/>
        </w:rPr>
        <w:endnoteRef/>
      </w:r>
      <w:r w:rsidRPr="00BB4442">
        <w:rPr>
          <w:sz w:val="18"/>
        </w:rPr>
        <w:t xml:space="preserve"> C. Norman Kraus, </w:t>
      </w:r>
      <w:r w:rsidRPr="00BB4442">
        <w:rPr>
          <w:i/>
          <w:sz w:val="18"/>
        </w:rPr>
        <w:t>Dispensationalism in America: Its Rise and Development</w:t>
      </w:r>
      <w:r w:rsidRPr="00BB4442">
        <w:rPr>
          <w:sz w:val="18"/>
        </w:rPr>
        <w:t xml:space="preserve"> (Richmond, Virginia: John Knox Press, 1958), p. 43.</w:t>
      </w:r>
    </w:p>
  </w:endnote>
  <w:endnote w:id="43">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19.</w:t>
      </w:r>
    </w:p>
  </w:endnote>
  <w:endnote w:id="44">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For example, Tim LaHaye and Jerry B. Jenkins, </w:t>
      </w:r>
      <w:r w:rsidRPr="00BB4442">
        <w:rPr>
          <w:i/>
          <w:szCs w:val="22"/>
        </w:rPr>
        <w:t>Left Behind</w:t>
      </w:r>
      <w:r w:rsidRPr="00BB4442">
        <w:rPr>
          <w:szCs w:val="22"/>
        </w:rPr>
        <w:t xml:space="preserve"> (Wheaton, Illinois: Tyndale House, 1999).</w:t>
      </w:r>
      <w:proofErr w:type="gramEnd"/>
    </w:p>
  </w:endnote>
  <w:endnote w:id="45">
    <w:p w:rsidR="00975183" w:rsidRPr="00BB4442" w:rsidRDefault="00975183" w:rsidP="00935C95">
      <w:pPr>
        <w:pStyle w:val="EndnoteText"/>
      </w:pPr>
      <w:r w:rsidRPr="00BB4442">
        <w:rPr>
          <w:rStyle w:val="FootnoteReference"/>
        </w:rPr>
        <w:endnoteRef/>
      </w:r>
      <w:r w:rsidRPr="00BB4442">
        <w:t xml:space="preserve"> Hal Lindsey, </w:t>
      </w:r>
      <w:proofErr w:type="gramStart"/>
      <w:r w:rsidRPr="00BB4442">
        <w:rPr>
          <w:i/>
        </w:rPr>
        <w:t>The</w:t>
      </w:r>
      <w:proofErr w:type="gramEnd"/>
      <w:r w:rsidRPr="00BB4442">
        <w:rPr>
          <w:i/>
        </w:rPr>
        <w:t xml:space="preserve"> Late Great Planet Earth</w:t>
      </w:r>
      <w:r w:rsidRPr="00BB4442">
        <w:t xml:space="preserve"> (London: Lakeland, 1970).</w:t>
      </w:r>
    </w:p>
  </w:endnote>
  <w:endnote w:id="46">
    <w:p w:rsidR="00975183" w:rsidRPr="00BB4442" w:rsidRDefault="00975183" w:rsidP="00935C95">
      <w:pPr>
        <w:pStyle w:val="EndnoteText"/>
      </w:pPr>
      <w:r w:rsidRPr="00BB4442">
        <w:rPr>
          <w:rStyle w:val="FootnoteReference"/>
        </w:rPr>
        <w:endnoteRef/>
      </w:r>
      <w:r w:rsidRPr="00BB4442">
        <w:t xml:space="preserve"> Hal Lindsey, </w:t>
      </w:r>
      <w:r w:rsidRPr="00BB4442">
        <w:rPr>
          <w:i/>
        </w:rPr>
        <w:t>Planet Earth 2000 A.D.: Will Mankind Survive?</w:t>
      </w:r>
      <w:r w:rsidRPr="00BB4442">
        <w:t xml:space="preserve"> </w:t>
      </w:r>
      <w:proofErr w:type="gramStart"/>
      <w:r w:rsidRPr="00BB4442">
        <w:t>(Palos Verdes: Western Front, Ltd., 1994, 1996).</w:t>
      </w:r>
      <w:proofErr w:type="gramEnd"/>
    </w:p>
  </w:endnote>
  <w:endnote w:id="47">
    <w:p w:rsidR="00975183" w:rsidRPr="00BB4442" w:rsidRDefault="00975183" w:rsidP="00935C95">
      <w:pPr>
        <w:pStyle w:val="FootnoteText"/>
        <w:rPr>
          <w:rFonts w:ascii="Perpetua" w:hAnsi="Perpetua"/>
        </w:rPr>
      </w:pPr>
      <w:r w:rsidRPr="00BB4442">
        <w:rPr>
          <w:rStyle w:val="FootnoteReference"/>
          <w:rFonts w:ascii="Perpetua" w:hAnsi="Perpetua"/>
        </w:rPr>
        <w:endnoteRef/>
      </w:r>
      <w:r w:rsidRPr="00BB4442">
        <w:rPr>
          <w:rFonts w:ascii="Perpetua" w:hAnsi="Perpetua"/>
        </w:rPr>
        <w:t xml:space="preserve"> For example (in order of date of publication): </w:t>
      </w:r>
    </w:p>
    <w:p w:rsidR="00975183" w:rsidRPr="00BB4442" w:rsidRDefault="00975183" w:rsidP="00935C95">
      <w:pPr>
        <w:pStyle w:val="FootnoteText"/>
        <w:rPr>
          <w:rFonts w:ascii="Perpetua" w:hAnsi="Perpetua"/>
          <w:szCs w:val="22"/>
        </w:rPr>
      </w:pPr>
      <w:r w:rsidRPr="00BB4442">
        <w:rPr>
          <w:rFonts w:ascii="Perpetua" w:hAnsi="Perpetua"/>
        </w:rPr>
        <w:t xml:space="preserve">C. Norman Kraus, </w:t>
      </w:r>
      <w:r w:rsidRPr="00BB4442">
        <w:rPr>
          <w:rFonts w:ascii="Perpetua" w:hAnsi="Perpetua"/>
          <w:i/>
        </w:rPr>
        <w:t>Dispensationalism in America: Its Rise and Development</w:t>
      </w:r>
      <w:r w:rsidRPr="00BB4442">
        <w:rPr>
          <w:rFonts w:ascii="Perpetua" w:hAnsi="Perpetua"/>
        </w:rPr>
        <w:t xml:space="preserve"> (Richmond, Virginia: John Knox Press, 1958);</w:t>
      </w:r>
    </w:p>
    <w:p w:rsidR="00975183" w:rsidRPr="00BB4442" w:rsidRDefault="00975183" w:rsidP="00935C95">
      <w:pPr>
        <w:pStyle w:val="FootnoteText"/>
        <w:rPr>
          <w:rFonts w:ascii="Perpetua" w:hAnsi="Perpetua"/>
          <w:szCs w:val="22"/>
        </w:rPr>
      </w:pPr>
      <w:r w:rsidRPr="00BB4442">
        <w:rPr>
          <w:rFonts w:ascii="Perpetua" w:hAnsi="Perpetua"/>
          <w:szCs w:val="22"/>
        </w:rPr>
        <w:t xml:space="preserve">Charles C. Ryrie, </w:t>
      </w:r>
      <w:r w:rsidRPr="00BB4442">
        <w:rPr>
          <w:rFonts w:ascii="Perpetua" w:hAnsi="Perpetua"/>
          <w:i/>
          <w:szCs w:val="22"/>
        </w:rPr>
        <w:t>Dispensationalism Today</w:t>
      </w:r>
      <w:r w:rsidRPr="00BB4442">
        <w:rPr>
          <w:rFonts w:ascii="Perpetua" w:hAnsi="Perpetua"/>
          <w:szCs w:val="22"/>
        </w:rPr>
        <w:t xml:space="preserve"> (Chicago: Moody Press, 1965);</w:t>
      </w:r>
    </w:p>
    <w:p w:rsidR="00975183" w:rsidRPr="00BB4442" w:rsidRDefault="00975183" w:rsidP="00935C95">
      <w:pPr>
        <w:pStyle w:val="FootnoteText"/>
        <w:rPr>
          <w:rFonts w:ascii="Perpetua" w:hAnsi="Perpetua"/>
          <w:szCs w:val="22"/>
        </w:rPr>
      </w:pPr>
      <w:r w:rsidRPr="00BB4442">
        <w:rPr>
          <w:rStyle w:val="sources"/>
          <w:rFonts w:ascii="Perpetua" w:eastAsia="Book Antiqua" w:hAnsi="Perpetua"/>
        </w:rPr>
        <w:t>Johan D.Tangelder, ‘Reformed Reflections: Darby and Scofield’, Reformed Reflections, March 1975 &lt;</w:t>
      </w:r>
      <w:r w:rsidRPr="00BB4442">
        <w:rPr>
          <w:rFonts w:ascii="Perpetua" w:hAnsi="Perpetua"/>
        </w:rPr>
        <w:t>http://www.reformedreflections.ca/articles/th-dispensationalism-d-s.html</w:t>
      </w:r>
      <w:r w:rsidRPr="00BB4442">
        <w:rPr>
          <w:rStyle w:val="sources"/>
          <w:rFonts w:ascii="Perpetua" w:eastAsia="Book Antiqua" w:hAnsi="Perpetua"/>
        </w:rPr>
        <w:t>&gt; [accessed 23.4.17];</w:t>
      </w:r>
    </w:p>
    <w:p w:rsidR="00975183" w:rsidRPr="00BB4442" w:rsidRDefault="00975183" w:rsidP="00935C95">
      <w:pPr>
        <w:pStyle w:val="FootnoteText"/>
        <w:rPr>
          <w:rFonts w:ascii="Perpetua" w:hAnsi="Perpetua"/>
          <w:szCs w:val="22"/>
        </w:rPr>
      </w:pPr>
      <w:r w:rsidRPr="00BB4442">
        <w:rPr>
          <w:rFonts w:ascii="Perpetua" w:hAnsi="Perpetua"/>
          <w:szCs w:val="22"/>
        </w:rPr>
        <w:t>Timothy P. Weber,</w:t>
      </w:r>
      <w:r w:rsidRPr="00BB4442">
        <w:rPr>
          <w:rFonts w:ascii="Perpetua" w:hAnsi="Perpetua"/>
          <w:b/>
          <w:szCs w:val="22"/>
        </w:rPr>
        <w:t xml:space="preserve"> </w:t>
      </w:r>
      <w:r w:rsidRPr="00BB4442">
        <w:rPr>
          <w:rFonts w:ascii="Perpetua" w:hAnsi="Perpetua"/>
          <w:i/>
          <w:szCs w:val="22"/>
        </w:rPr>
        <w:t>Living in the Shadow of the Second Coming: American Premillennialism 1875 – 1925</w:t>
      </w:r>
      <w:r w:rsidRPr="00BB4442">
        <w:rPr>
          <w:rFonts w:ascii="Perpetua" w:hAnsi="Perpetua"/>
          <w:szCs w:val="22"/>
        </w:rPr>
        <w:t xml:space="preserve"> (New York: Oxford University Press, 1979);</w:t>
      </w:r>
    </w:p>
    <w:p w:rsidR="00975183" w:rsidRPr="00BB4442" w:rsidRDefault="00975183" w:rsidP="00935C95">
      <w:pPr>
        <w:pStyle w:val="FootnoteText"/>
        <w:rPr>
          <w:rFonts w:ascii="Perpetua" w:hAnsi="Perpetua"/>
          <w:szCs w:val="22"/>
        </w:rPr>
      </w:pPr>
      <w:r w:rsidRPr="00BB4442">
        <w:rPr>
          <w:rFonts w:ascii="Perpetua" w:hAnsi="Perpetua"/>
          <w:szCs w:val="22"/>
        </w:rPr>
        <w:t xml:space="preserve">Paul S. Karleen, </w:t>
      </w:r>
      <w:r w:rsidRPr="00BB4442">
        <w:rPr>
          <w:rFonts w:ascii="Perpetua" w:hAnsi="Perpetua"/>
          <w:i/>
          <w:szCs w:val="22"/>
        </w:rPr>
        <w:t>The Handbook to Bible Study, With a Guide to the Scofield Study System</w:t>
      </w:r>
      <w:r w:rsidRPr="00BB4442">
        <w:rPr>
          <w:rFonts w:ascii="Perpetua" w:hAnsi="Perpetua"/>
          <w:szCs w:val="22"/>
        </w:rPr>
        <w:t xml:space="preserve"> (New York: Oxford University Press, 1987);</w:t>
      </w:r>
    </w:p>
    <w:p w:rsidR="00975183" w:rsidRPr="00BB4442" w:rsidRDefault="00975183" w:rsidP="00935C95">
      <w:pPr>
        <w:pStyle w:val="FootnoteText"/>
        <w:rPr>
          <w:rFonts w:ascii="Perpetua" w:hAnsi="Perpetua"/>
          <w:szCs w:val="22"/>
        </w:rPr>
      </w:pPr>
      <w:r w:rsidRPr="00BB4442">
        <w:rPr>
          <w:rFonts w:ascii="Perpetua" w:hAnsi="Perpetua"/>
          <w:szCs w:val="22"/>
        </w:rPr>
        <w:t>Craig A. Blaising and Darrell L. Bock (eds) ‘</w:t>
      </w:r>
      <w:r w:rsidRPr="00BB4442">
        <w:rPr>
          <w:rFonts w:ascii="Perpetua" w:hAnsi="Perpetua"/>
          <w:i/>
          <w:szCs w:val="22"/>
        </w:rPr>
        <w:t>Dispensationalism, Israel and the Church: The Search for Definition</w:t>
      </w:r>
      <w:r w:rsidRPr="00BB4442">
        <w:rPr>
          <w:rFonts w:ascii="Perpetua" w:hAnsi="Perpetua"/>
          <w:szCs w:val="22"/>
        </w:rPr>
        <w:t xml:space="preserve"> (Grand Rapids, Michigan: Zondervan Publishing House, 1992);</w:t>
      </w:r>
    </w:p>
    <w:p w:rsidR="00975183" w:rsidRPr="00BB4442" w:rsidRDefault="00975183" w:rsidP="00935C95">
      <w:pPr>
        <w:pStyle w:val="FootnoteText"/>
        <w:rPr>
          <w:rFonts w:ascii="Perpetua" w:hAnsi="Perpetua"/>
          <w:szCs w:val="22"/>
        </w:rPr>
      </w:pPr>
      <w:r w:rsidRPr="00BB4442">
        <w:rPr>
          <w:rFonts w:ascii="Perpetua" w:hAnsi="Perpetua"/>
          <w:szCs w:val="22"/>
        </w:rPr>
        <w:t xml:space="preserve">Larry V. Crutchfield, </w:t>
      </w:r>
      <w:r w:rsidRPr="00BB4442">
        <w:rPr>
          <w:rFonts w:ascii="Perpetua" w:hAnsi="Perpetua"/>
          <w:i/>
          <w:szCs w:val="22"/>
        </w:rPr>
        <w:t>The Origins of Dispensationalism: The Darby Factor</w:t>
      </w:r>
      <w:r w:rsidRPr="00BB4442">
        <w:rPr>
          <w:rFonts w:ascii="Perpetua" w:hAnsi="Perpetua"/>
          <w:szCs w:val="22"/>
        </w:rPr>
        <w:t xml:space="preserve"> (Lanham: University Press of America, 1992);</w:t>
      </w:r>
    </w:p>
    <w:p w:rsidR="00975183" w:rsidRPr="00BB4442" w:rsidRDefault="00975183" w:rsidP="00935C95">
      <w:pPr>
        <w:pStyle w:val="FootnoteText"/>
        <w:rPr>
          <w:rFonts w:ascii="Perpetua" w:hAnsi="Perpetua"/>
          <w:szCs w:val="22"/>
        </w:rPr>
      </w:pPr>
      <w:r w:rsidRPr="00BB4442">
        <w:rPr>
          <w:rFonts w:ascii="Perpetua" w:hAnsi="Perpetua"/>
          <w:szCs w:val="22"/>
        </w:rPr>
        <w:t xml:space="preserve">Craig A. Blaising and Darrell L. Bock, </w:t>
      </w:r>
      <w:r w:rsidRPr="00BB4442">
        <w:rPr>
          <w:rFonts w:ascii="Perpetua" w:hAnsi="Perpetua"/>
          <w:i/>
          <w:szCs w:val="22"/>
        </w:rPr>
        <w:t>Progressive Dispensationalism</w:t>
      </w:r>
      <w:r w:rsidRPr="00BB4442">
        <w:rPr>
          <w:rFonts w:ascii="Perpetua" w:hAnsi="Perpetua"/>
          <w:szCs w:val="22"/>
        </w:rPr>
        <w:t xml:space="preserve"> (Grand Rapids, Michigan: Bridgepoint Books, 1993, paperback, 2000);</w:t>
      </w:r>
    </w:p>
    <w:p w:rsidR="00975183" w:rsidRPr="00BB4442" w:rsidRDefault="00975183" w:rsidP="00935C95">
      <w:pPr>
        <w:pStyle w:val="FootnoteText"/>
        <w:rPr>
          <w:sz w:val="16"/>
        </w:rPr>
      </w:pPr>
      <w:r w:rsidRPr="00BB4442">
        <w:rPr>
          <w:rFonts w:ascii="Perpetua" w:hAnsi="Perpetua"/>
          <w:bCs/>
          <w:kern w:val="36"/>
          <w:szCs w:val="22"/>
          <w:lang w:eastAsia="en-GB"/>
        </w:rPr>
        <w:t xml:space="preserve">Robert L.Saucy, </w:t>
      </w:r>
      <w:r w:rsidRPr="00BB4442">
        <w:rPr>
          <w:rFonts w:ascii="Perpetua" w:hAnsi="Perpetua"/>
          <w:bCs/>
          <w:i/>
          <w:kern w:val="36"/>
          <w:szCs w:val="22"/>
          <w:lang w:eastAsia="en-GB"/>
        </w:rPr>
        <w:t>The Case for Progressive Dispensationalism: The Interface Between Dispensational &amp; Non-Dispensational Theology</w:t>
      </w:r>
      <w:r w:rsidRPr="00BB4442">
        <w:rPr>
          <w:rFonts w:ascii="Perpetua" w:hAnsi="Perpetua"/>
          <w:bCs/>
          <w:kern w:val="36"/>
          <w:szCs w:val="22"/>
          <w:lang w:eastAsia="en-GB"/>
        </w:rPr>
        <w:t xml:space="preserve"> (Grand Rapids, Michigan: Zondervan Publishing House, 1993);</w:t>
      </w:r>
    </w:p>
    <w:p w:rsidR="00975183" w:rsidRPr="00BB4442" w:rsidRDefault="00975183" w:rsidP="00935C95">
      <w:pPr>
        <w:pStyle w:val="FootnoteText"/>
        <w:rPr>
          <w:rFonts w:ascii="Perpetua" w:hAnsi="Perpetua"/>
          <w:szCs w:val="22"/>
        </w:rPr>
      </w:pPr>
      <w:r w:rsidRPr="00BB4442">
        <w:rPr>
          <w:rFonts w:ascii="Perpetua" w:hAnsi="Perpetua"/>
          <w:szCs w:val="22"/>
        </w:rPr>
        <w:t xml:space="preserve">Vern A. Poythress, </w:t>
      </w:r>
      <w:r w:rsidRPr="00BB4442">
        <w:rPr>
          <w:rFonts w:ascii="Perpetua" w:hAnsi="Perpetua"/>
          <w:i/>
          <w:szCs w:val="22"/>
        </w:rPr>
        <w:t>Understanding Dispensationalists</w:t>
      </w:r>
      <w:r w:rsidRPr="00BB4442">
        <w:rPr>
          <w:rFonts w:ascii="Perpetua" w:hAnsi="Perpetua"/>
          <w:szCs w:val="22"/>
        </w:rPr>
        <w:t xml:space="preserve"> (Phillipsburg, New Jersey: Presbyterian &amp; Reformed Publishing, 2</w:t>
      </w:r>
      <w:r w:rsidRPr="00BB4442">
        <w:rPr>
          <w:rFonts w:ascii="Perpetua" w:hAnsi="Perpetua"/>
          <w:szCs w:val="22"/>
          <w:vertAlign w:val="superscript"/>
        </w:rPr>
        <w:t>nd</w:t>
      </w:r>
      <w:r w:rsidRPr="00BB4442">
        <w:rPr>
          <w:rFonts w:ascii="Perpetua" w:hAnsi="Perpetua"/>
          <w:szCs w:val="22"/>
        </w:rPr>
        <w:t xml:space="preserve"> Edition with Postscript, 1994);</w:t>
      </w:r>
    </w:p>
    <w:p w:rsidR="00975183" w:rsidRPr="00BB4442" w:rsidRDefault="00975183" w:rsidP="00935C95">
      <w:pPr>
        <w:spacing w:after="0" w:line="240" w:lineRule="auto"/>
        <w:rPr>
          <w:i/>
          <w:sz w:val="20"/>
        </w:rPr>
      </w:pPr>
      <w:r w:rsidRPr="00BB4442">
        <w:rPr>
          <w:sz w:val="20"/>
        </w:rPr>
        <w:t xml:space="preserve">Ronald M. Henzel, </w:t>
      </w:r>
      <w:r w:rsidRPr="00BB4442">
        <w:rPr>
          <w:i/>
          <w:sz w:val="20"/>
        </w:rPr>
        <w:t xml:space="preserve">Darby, Dualism &amp; Decline of Dispensationalism: Reassessing the Nineteenth Century </w:t>
      </w:r>
    </w:p>
    <w:p w:rsidR="00975183" w:rsidRPr="00BB4442" w:rsidRDefault="00975183" w:rsidP="00935C95">
      <w:pPr>
        <w:pStyle w:val="FootnoteText"/>
        <w:rPr>
          <w:rFonts w:ascii="Perpetua" w:hAnsi="Perpetua"/>
        </w:rPr>
      </w:pPr>
      <w:r w:rsidRPr="00BB4442">
        <w:rPr>
          <w:rFonts w:ascii="Perpetua" w:hAnsi="Perpetua"/>
          <w:i/>
        </w:rPr>
        <w:t>Roots of a Twentieth Century Prophetic Movement for the Twenty-first Century</w:t>
      </w:r>
      <w:r w:rsidRPr="00BB4442">
        <w:rPr>
          <w:rFonts w:ascii="Perpetua" w:hAnsi="Perpetua"/>
        </w:rPr>
        <w:t xml:space="preserve"> (Tucson, Arizona: Fenestra Books, 2003);</w:t>
      </w:r>
    </w:p>
    <w:p w:rsidR="00975183" w:rsidRPr="00BB4442" w:rsidRDefault="00975183" w:rsidP="00935C95">
      <w:pPr>
        <w:pStyle w:val="FootnoteText"/>
        <w:rPr>
          <w:rFonts w:ascii="Perpetua" w:hAnsi="Perpetua"/>
          <w:szCs w:val="22"/>
        </w:rPr>
      </w:pPr>
      <w:r w:rsidRPr="00BB4442">
        <w:rPr>
          <w:rFonts w:ascii="Perpetua" w:hAnsi="Perpetua"/>
          <w:szCs w:val="22"/>
        </w:rPr>
        <w:t xml:space="preserve">Timothy P. Weber, </w:t>
      </w:r>
      <w:r w:rsidRPr="00BB4442">
        <w:rPr>
          <w:rFonts w:ascii="Perpetua" w:hAnsi="Perpetua"/>
          <w:i/>
          <w:szCs w:val="22"/>
        </w:rPr>
        <w:t>On the Road to Armageddon: How Evangelicals Became Israel’s Best Friend</w:t>
      </w:r>
      <w:r w:rsidRPr="00BB4442">
        <w:rPr>
          <w:rFonts w:ascii="Perpetua" w:hAnsi="Perpetua"/>
          <w:szCs w:val="22"/>
        </w:rPr>
        <w:t xml:space="preserve"> (Grand Rapids: Baker Academic, 2005, paperback);</w:t>
      </w:r>
    </w:p>
    <w:p w:rsidR="00975183" w:rsidRPr="00BB4442" w:rsidRDefault="00975183" w:rsidP="00935C95">
      <w:pPr>
        <w:pStyle w:val="FootnoteText"/>
        <w:rPr>
          <w:rFonts w:ascii="Perpetua" w:hAnsi="Perpetua"/>
          <w:szCs w:val="22"/>
        </w:rPr>
      </w:pPr>
      <w:r w:rsidRPr="00BB4442">
        <w:rPr>
          <w:rFonts w:ascii="Perpetua" w:hAnsi="Perpetua"/>
          <w:szCs w:val="22"/>
        </w:rPr>
        <w:t xml:space="preserve">Charles C. Ryrie, </w:t>
      </w:r>
      <w:r w:rsidRPr="00BB4442">
        <w:rPr>
          <w:rFonts w:ascii="Perpetua" w:hAnsi="Perpetua"/>
          <w:i/>
          <w:szCs w:val="22"/>
        </w:rPr>
        <w:t>Dispensationalism: Revised and Expanded</w:t>
      </w:r>
      <w:r w:rsidRPr="00BB4442">
        <w:rPr>
          <w:rFonts w:ascii="Perpetua" w:hAnsi="Perpetua"/>
          <w:szCs w:val="22"/>
        </w:rPr>
        <w:t xml:space="preserve"> (Chicago: Moody Press, 1995, 2007);</w:t>
      </w:r>
    </w:p>
    <w:p w:rsidR="00975183" w:rsidRPr="00BB4442" w:rsidRDefault="00975183" w:rsidP="00935C95">
      <w:pPr>
        <w:pStyle w:val="FootnoteText"/>
        <w:rPr>
          <w:rFonts w:ascii="Perpetua" w:hAnsi="Perpetua"/>
          <w:szCs w:val="22"/>
        </w:rPr>
      </w:pPr>
      <w:r w:rsidRPr="00BB4442">
        <w:rPr>
          <w:rFonts w:ascii="Perpetua" w:hAnsi="Perpetua"/>
          <w:szCs w:val="22"/>
        </w:rPr>
        <w:t xml:space="preserve">Paul Richard Wilkinson, </w:t>
      </w:r>
      <w:r w:rsidRPr="00BB4442">
        <w:rPr>
          <w:rFonts w:ascii="Perpetua" w:hAnsi="Perpetua"/>
          <w:i/>
          <w:szCs w:val="22"/>
        </w:rPr>
        <w:t>For Zion’s Sake: Christian Zionism and the Role of John Nelson Darby</w:t>
      </w:r>
      <w:r w:rsidRPr="00BB4442">
        <w:rPr>
          <w:rFonts w:ascii="Perpetua" w:hAnsi="Perpetua"/>
          <w:szCs w:val="22"/>
        </w:rPr>
        <w:t xml:space="preserve"> (Milton Keynes: Paternoster, 2007);</w:t>
      </w:r>
    </w:p>
    <w:p w:rsidR="00975183" w:rsidRPr="00BB4442" w:rsidRDefault="00975183" w:rsidP="00935C95">
      <w:pPr>
        <w:pStyle w:val="FootnoteText"/>
      </w:pPr>
      <w:r w:rsidRPr="00BB4442">
        <w:rPr>
          <w:rFonts w:ascii="Perpetua" w:hAnsi="Perpetua"/>
          <w:szCs w:val="22"/>
        </w:rPr>
        <w:t xml:space="preserve">Matthew Stamper, </w:t>
      </w:r>
      <w:r w:rsidRPr="00BB4442">
        <w:rPr>
          <w:rFonts w:ascii="Perpetua" w:hAnsi="Perpetua"/>
          <w:i/>
          <w:szCs w:val="22"/>
        </w:rPr>
        <w:t xml:space="preserve">Covenantal Dispensationalism: </w:t>
      </w:r>
      <w:r w:rsidRPr="00BB4442">
        <w:rPr>
          <w:rFonts w:ascii="Perpetua" w:hAnsi="Perpetua"/>
          <w:i/>
        </w:rPr>
        <w:t xml:space="preserve">An Examination of the Similarities and Differences </w:t>
      </w:r>
      <w:proofErr w:type="gramStart"/>
      <w:r w:rsidRPr="00BB4442">
        <w:rPr>
          <w:rFonts w:ascii="Perpetua" w:hAnsi="Perpetua"/>
          <w:i/>
        </w:rPr>
        <w:t>Between</w:t>
      </w:r>
      <w:proofErr w:type="gramEnd"/>
      <w:r w:rsidRPr="00BB4442">
        <w:rPr>
          <w:rFonts w:ascii="Perpetua" w:hAnsi="Perpetua"/>
          <w:i/>
        </w:rPr>
        <w:t xml:space="preserve"> Covenant Theology and Dispensationalism</w:t>
      </w:r>
      <w:r w:rsidRPr="00BB4442">
        <w:rPr>
          <w:rFonts w:ascii="Perpetua" w:hAnsi="Perpetua"/>
        </w:rPr>
        <w:t xml:space="preserve"> (Bloomington, Indiana: West Bow Press, 2010).</w:t>
      </w:r>
    </w:p>
  </w:endnote>
  <w:endnote w:id="48">
    <w:p w:rsidR="00975183" w:rsidRPr="00BB4442" w:rsidRDefault="00975183" w:rsidP="00935C95">
      <w:pPr>
        <w:pStyle w:val="EndnoteText"/>
      </w:pPr>
      <w:r w:rsidRPr="00BB4442">
        <w:rPr>
          <w:rStyle w:val="FootnoteReference"/>
          <w:szCs w:val="22"/>
        </w:rPr>
        <w:endnoteRef/>
      </w:r>
      <w:r w:rsidRPr="00BB4442">
        <w:rPr>
          <w:szCs w:val="22"/>
        </w:rPr>
        <w:t xml:space="preserve"> Ryrie, </w:t>
      </w:r>
      <w:r w:rsidRPr="00BB4442">
        <w:rPr>
          <w:i/>
          <w:szCs w:val="22"/>
        </w:rPr>
        <w:t>Dispensationalism</w:t>
      </w:r>
      <w:r w:rsidRPr="00BB4442">
        <w:rPr>
          <w:szCs w:val="22"/>
        </w:rPr>
        <w:t xml:space="preserve">, p. 71.  </w:t>
      </w:r>
      <w:proofErr w:type="gramStart"/>
      <w:r w:rsidRPr="00BB4442">
        <w:rPr>
          <w:szCs w:val="22"/>
        </w:rPr>
        <w:t>[</w:t>
      </w:r>
      <w:r w:rsidRPr="00BB4442">
        <w:rPr>
          <w:i/>
          <w:szCs w:val="22"/>
        </w:rPr>
        <w:t>Ryrie’s emphasis</w:t>
      </w:r>
      <w:r w:rsidRPr="00BB4442">
        <w:rPr>
          <w:szCs w:val="22"/>
        </w:rPr>
        <w:t>.]</w:t>
      </w:r>
      <w:proofErr w:type="gramEnd"/>
    </w:p>
  </w:endnote>
  <w:endnote w:id="49">
    <w:p w:rsidR="00975183" w:rsidRPr="00BB4442" w:rsidRDefault="00975183" w:rsidP="00935C95">
      <w:pPr>
        <w:pStyle w:val="EndnoteText"/>
      </w:pPr>
      <w:r w:rsidRPr="00BB4442">
        <w:rPr>
          <w:rStyle w:val="FootnoteReference"/>
          <w:sz w:val="18"/>
        </w:rPr>
        <w:endnoteRef/>
      </w:r>
      <w:r w:rsidRPr="00BB4442">
        <w:rPr>
          <w:sz w:val="18"/>
        </w:rPr>
        <w:t xml:space="preserve"> </w:t>
      </w:r>
      <w:r w:rsidRPr="00BB4442">
        <w:rPr>
          <w:szCs w:val="22"/>
        </w:rPr>
        <w:t xml:space="preserve">Crutchfield, </w:t>
      </w:r>
      <w:r w:rsidRPr="00BB4442">
        <w:rPr>
          <w:i/>
          <w:szCs w:val="22"/>
        </w:rPr>
        <w:t>Origins</w:t>
      </w:r>
      <w:r w:rsidRPr="00BB4442">
        <w:rPr>
          <w:szCs w:val="22"/>
        </w:rPr>
        <w:t xml:space="preserve">, p. 24.  </w:t>
      </w:r>
      <w:proofErr w:type="gramStart"/>
      <w:r w:rsidRPr="00BB4442">
        <w:rPr>
          <w:rStyle w:val="ind"/>
          <w:sz w:val="18"/>
        </w:rPr>
        <w:t>(</w:t>
      </w:r>
      <w:r w:rsidRPr="00BB4442">
        <w:rPr>
          <w:rStyle w:val="ind"/>
          <w:i/>
          <w:sz w:val="18"/>
        </w:rPr>
        <w:t>See full quotation at 1.1 above</w:t>
      </w:r>
      <w:r w:rsidRPr="00BB4442">
        <w:rPr>
          <w:rStyle w:val="ind"/>
          <w:sz w:val="18"/>
        </w:rPr>
        <w:t xml:space="preserve">); </w:t>
      </w:r>
      <w:r w:rsidRPr="00BB4442">
        <w:rPr>
          <w:rStyle w:val="sources"/>
          <w:szCs w:val="22"/>
        </w:rPr>
        <w:t>Tangelder, ‘Darby and Scofield’.</w:t>
      </w:r>
      <w:proofErr w:type="gramEnd"/>
    </w:p>
  </w:endnote>
  <w:endnote w:id="50">
    <w:p w:rsidR="00975183" w:rsidRPr="00BB4442" w:rsidRDefault="00975183" w:rsidP="00935C95">
      <w:pPr>
        <w:pStyle w:val="EndnoteText"/>
      </w:pPr>
      <w:r w:rsidRPr="00BB4442">
        <w:rPr>
          <w:rStyle w:val="FootnoteReference"/>
          <w:szCs w:val="22"/>
        </w:rPr>
        <w:endnoteRef/>
      </w:r>
      <w:r w:rsidRPr="00BB4442">
        <w:rPr>
          <w:szCs w:val="22"/>
        </w:rPr>
        <w:t xml:space="preserve"> Poythress, </w:t>
      </w:r>
      <w:r w:rsidRPr="00BB4442">
        <w:rPr>
          <w:i/>
          <w:szCs w:val="22"/>
        </w:rPr>
        <w:t>Understanding Dispensationalists</w:t>
      </w:r>
      <w:r w:rsidRPr="00BB4442">
        <w:rPr>
          <w:szCs w:val="22"/>
        </w:rPr>
        <w:t>, p. 52.</w:t>
      </w:r>
    </w:p>
  </w:endnote>
  <w:endnote w:id="51">
    <w:p w:rsidR="00975183" w:rsidRPr="00BB4442" w:rsidRDefault="00975183" w:rsidP="00935C95">
      <w:pPr>
        <w:pStyle w:val="EndnoteText"/>
      </w:pPr>
      <w:r w:rsidRPr="00BB4442">
        <w:rPr>
          <w:rStyle w:val="FootnoteReference"/>
          <w:szCs w:val="22"/>
        </w:rPr>
        <w:endnoteRef/>
      </w:r>
      <w:r w:rsidRPr="00BB4442">
        <w:rPr>
          <w:szCs w:val="22"/>
        </w:rPr>
        <w:t xml:space="preserve"> Poythress, </w:t>
      </w:r>
      <w:r w:rsidRPr="00BB4442">
        <w:rPr>
          <w:i/>
          <w:szCs w:val="22"/>
        </w:rPr>
        <w:t>Understanding Dispensationalists</w:t>
      </w:r>
      <w:r w:rsidRPr="00BB4442">
        <w:rPr>
          <w:szCs w:val="22"/>
        </w:rPr>
        <w:t>, p. 10.</w:t>
      </w:r>
    </w:p>
  </w:endnote>
  <w:endnote w:id="52">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Wilkinson, </w:t>
      </w:r>
      <w:r w:rsidRPr="00BB4442">
        <w:rPr>
          <w:i/>
          <w:szCs w:val="22"/>
        </w:rPr>
        <w:t xml:space="preserve">For Zion’s Sake, </w:t>
      </w:r>
      <w:r w:rsidRPr="00BB4442">
        <w:rPr>
          <w:szCs w:val="22"/>
        </w:rPr>
        <w:t>p. 98.</w:t>
      </w:r>
      <w:proofErr w:type="gramEnd"/>
    </w:p>
  </w:endnote>
  <w:endnote w:id="53">
    <w:p w:rsidR="00975183" w:rsidRPr="00BB4442" w:rsidRDefault="00975183" w:rsidP="00935C95">
      <w:pPr>
        <w:pStyle w:val="EndnoteText"/>
      </w:pPr>
      <w:r w:rsidRPr="00BB4442">
        <w:rPr>
          <w:rStyle w:val="FootnoteReference"/>
          <w:szCs w:val="22"/>
        </w:rPr>
        <w:endnoteRef/>
      </w:r>
      <w:r w:rsidRPr="00BB4442">
        <w:rPr>
          <w:szCs w:val="22"/>
        </w:rPr>
        <w:t xml:space="preserve"> Henzel, </w:t>
      </w:r>
      <w:r w:rsidRPr="00BB4442">
        <w:rPr>
          <w:i/>
          <w:szCs w:val="22"/>
        </w:rPr>
        <w:t xml:space="preserve">Darby, Dualism &amp; Decline of Dispensationalism, </w:t>
      </w:r>
      <w:r w:rsidRPr="00BB4442">
        <w:rPr>
          <w:szCs w:val="22"/>
        </w:rPr>
        <w:t>p. 150.</w:t>
      </w:r>
    </w:p>
  </w:endnote>
  <w:endnote w:id="54">
    <w:p w:rsidR="00975183" w:rsidRPr="00BB4442" w:rsidRDefault="00975183" w:rsidP="00935C95">
      <w:pPr>
        <w:pStyle w:val="EndnoteText"/>
      </w:pPr>
      <w:r w:rsidRPr="00BB4442">
        <w:rPr>
          <w:rStyle w:val="FootnoteReference"/>
          <w:szCs w:val="22"/>
        </w:rPr>
        <w:endnoteRef/>
      </w:r>
      <w:r w:rsidRPr="00BB4442">
        <w:rPr>
          <w:szCs w:val="22"/>
        </w:rPr>
        <w:t xml:space="preserve"> Kraus, </w:t>
      </w:r>
      <w:r w:rsidRPr="00BB4442">
        <w:rPr>
          <w:i/>
          <w:szCs w:val="22"/>
        </w:rPr>
        <w:t>Dispensationalism in America</w:t>
      </w:r>
      <w:r w:rsidRPr="00BB4442">
        <w:rPr>
          <w:szCs w:val="22"/>
        </w:rPr>
        <w:t xml:space="preserve">, p. 15. </w:t>
      </w:r>
      <w:proofErr w:type="gramStart"/>
      <w:r w:rsidRPr="00BB4442">
        <w:rPr>
          <w:szCs w:val="22"/>
        </w:rPr>
        <w:t>[</w:t>
      </w:r>
      <w:r w:rsidRPr="00BB4442">
        <w:rPr>
          <w:i/>
          <w:szCs w:val="22"/>
        </w:rPr>
        <w:t>Kraus’ emphasis</w:t>
      </w:r>
      <w:r w:rsidRPr="00BB4442">
        <w:rPr>
          <w:szCs w:val="22"/>
        </w:rPr>
        <w:t>.]</w:t>
      </w:r>
      <w:proofErr w:type="gramEnd"/>
    </w:p>
  </w:endnote>
  <w:endnote w:id="55">
    <w:p w:rsidR="00975183" w:rsidRPr="00BB4442" w:rsidRDefault="00975183" w:rsidP="00935C95">
      <w:pPr>
        <w:pStyle w:val="EndnoteText"/>
      </w:pPr>
      <w:r w:rsidRPr="00BB4442">
        <w:rPr>
          <w:rStyle w:val="FootnoteReference"/>
          <w:szCs w:val="22"/>
        </w:rPr>
        <w:endnoteRef/>
      </w:r>
      <w:r w:rsidRPr="00BB4442">
        <w:rPr>
          <w:szCs w:val="22"/>
        </w:rPr>
        <w:t xml:space="preserve"> Kraus, </w:t>
      </w:r>
      <w:r w:rsidRPr="00BB4442">
        <w:rPr>
          <w:i/>
          <w:szCs w:val="22"/>
        </w:rPr>
        <w:t>Dispensationalism in America</w:t>
      </w:r>
      <w:r w:rsidRPr="00BB4442">
        <w:rPr>
          <w:szCs w:val="22"/>
        </w:rPr>
        <w:t>, p. 43.</w:t>
      </w:r>
    </w:p>
  </w:endnote>
  <w:endnote w:id="56">
    <w:p w:rsidR="00975183" w:rsidRPr="00BB4442" w:rsidRDefault="00975183" w:rsidP="00935C95">
      <w:pPr>
        <w:pStyle w:val="EndnoteText"/>
      </w:pPr>
      <w:r w:rsidRPr="00BB4442">
        <w:rPr>
          <w:rStyle w:val="FootnoteReference"/>
          <w:szCs w:val="22"/>
        </w:rPr>
        <w:endnoteRef/>
      </w:r>
      <w:r w:rsidRPr="00BB4442">
        <w:rPr>
          <w:szCs w:val="22"/>
        </w:rPr>
        <w:t xml:space="preserve"> </w:t>
      </w:r>
      <w:r w:rsidRPr="00BB4442">
        <w:rPr>
          <w:bCs/>
          <w:kern w:val="36"/>
          <w:szCs w:val="22"/>
          <w:lang w:eastAsia="en-GB"/>
        </w:rPr>
        <w:t xml:space="preserve">Saucy, </w:t>
      </w:r>
      <w:r w:rsidRPr="00BB4442">
        <w:rPr>
          <w:bCs/>
          <w:i/>
          <w:kern w:val="36"/>
          <w:szCs w:val="22"/>
          <w:lang w:eastAsia="en-GB"/>
        </w:rPr>
        <w:t>Case for Progressive Dispensationalism</w:t>
      </w:r>
      <w:r w:rsidRPr="00BB4442">
        <w:rPr>
          <w:szCs w:val="22"/>
        </w:rPr>
        <w:t>, p. 8.</w:t>
      </w:r>
    </w:p>
  </w:endnote>
  <w:endnote w:id="57">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17.</w:t>
      </w:r>
    </w:p>
  </w:endnote>
  <w:endnote w:id="58">
    <w:p w:rsidR="00975183" w:rsidRPr="00BB4442" w:rsidRDefault="00975183" w:rsidP="00935C95">
      <w:pPr>
        <w:pStyle w:val="EndnoteText"/>
      </w:pPr>
      <w:r w:rsidRPr="00BB4442">
        <w:rPr>
          <w:rStyle w:val="FootnoteReference"/>
          <w:sz w:val="18"/>
        </w:rPr>
        <w:endnoteRef/>
      </w:r>
      <w:r w:rsidRPr="00BB4442">
        <w:rPr>
          <w:sz w:val="18"/>
        </w:rPr>
        <w:t xml:space="preserve"> </w:t>
      </w:r>
      <w:r w:rsidRPr="00BB4442">
        <w:rPr>
          <w:szCs w:val="22"/>
        </w:rPr>
        <w:t>Blaising and Bock (</w:t>
      </w:r>
      <w:proofErr w:type="gramStart"/>
      <w:r w:rsidRPr="00BB4442">
        <w:rPr>
          <w:szCs w:val="22"/>
        </w:rPr>
        <w:t>eds</w:t>
      </w:r>
      <w:proofErr w:type="gramEnd"/>
      <w:r w:rsidRPr="00BB4442">
        <w:rPr>
          <w:szCs w:val="22"/>
        </w:rPr>
        <w:t xml:space="preserve">) </w:t>
      </w:r>
      <w:r w:rsidRPr="00BB4442">
        <w:rPr>
          <w:i/>
          <w:szCs w:val="22"/>
        </w:rPr>
        <w:t>Dispensationalism, Israel and the Church</w:t>
      </w:r>
      <w:r w:rsidRPr="00BB4442">
        <w:rPr>
          <w:szCs w:val="22"/>
        </w:rPr>
        <w:t>, p. 379.</w:t>
      </w:r>
    </w:p>
  </w:endnote>
  <w:endnote w:id="59">
    <w:p w:rsidR="00975183" w:rsidRPr="00BB4442" w:rsidRDefault="00975183" w:rsidP="00935C95">
      <w:pPr>
        <w:pStyle w:val="EndnoteText"/>
      </w:pPr>
      <w:r w:rsidRPr="00BB4442">
        <w:rPr>
          <w:rStyle w:val="FootnoteReference"/>
        </w:rPr>
        <w:endnoteRef/>
      </w:r>
      <w:r w:rsidRPr="00BB4442">
        <w:t xml:space="preserve"> </w:t>
      </w:r>
      <w:r w:rsidRPr="00BB4442">
        <w:rPr>
          <w:szCs w:val="22"/>
        </w:rPr>
        <w:t xml:space="preserve">George M. Marsden, </w:t>
      </w:r>
      <w:r w:rsidRPr="00BB4442">
        <w:rPr>
          <w:i/>
          <w:szCs w:val="22"/>
        </w:rPr>
        <w:t>Fundamentalism and American Culture</w:t>
      </w:r>
      <w:r w:rsidRPr="00BB4442">
        <w:rPr>
          <w:szCs w:val="22"/>
        </w:rPr>
        <w:t xml:space="preserve"> (Second Edition, Oxford: Oxford University Press, 2006), p. 6.</w:t>
      </w:r>
    </w:p>
  </w:endnote>
  <w:endnote w:id="60">
    <w:p w:rsidR="00975183" w:rsidRPr="00BB4442" w:rsidRDefault="00975183" w:rsidP="00935C95">
      <w:pPr>
        <w:pStyle w:val="EndnoteText"/>
      </w:pPr>
      <w:r w:rsidRPr="00BB4442">
        <w:rPr>
          <w:rStyle w:val="FootnoteReference"/>
          <w:szCs w:val="22"/>
        </w:rPr>
        <w:endnoteRef/>
      </w:r>
      <w:r w:rsidRPr="00BB4442">
        <w:rPr>
          <w:szCs w:val="22"/>
        </w:rPr>
        <w:t xml:space="preserve"> Sweetnam, ‘Defining Dispensationalism, p. 199.</w:t>
      </w:r>
    </w:p>
  </w:endnote>
  <w:endnote w:id="61">
    <w:p w:rsidR="00975183" w:rsidRPr="00BB4442" w:rsidRDefault="00975183" w:rsidP="00935C95">
      <w:pPr>
        <w:pStyle w:val="EndnoteText"/>
      </w:pPr>
      <w:r w:rsidRPr="00BB4442">
        <w:rPr>
          <w:rStyle w:val="FootnoteReference"/>
        </w:rPr>
        <w:endnoteRef/>
      </w:r>
      <w:r w:rsidRPr="00BB4442">
        <w:t xml:space="preserve"> Weber, </w:t>
      </w:r>
      <w:r w:rsidRPr="00BB4442">
        <w:rPr>
          <w:i/>
        </w:rPr>
        <w:t>Armageddon</w:t>
      </w:r>
      <w:r w:rsidRPr="00BB4442">
        <w:t>, p. 19.</w:t>
      </w:r>
    </w:p>
  </w:endnote>
  <w:endnote w:id="62">
    <w:p w:rsidR="00975183" w:rsidRPr="00BB4442" w:rsidRDefault="00975183" w:rsidP="00935C95">
      <w:pPr>
        <w:pStyle w:val="EndnoteText"/>
      </w:pPr>
      <w:r w:rsidRPr="00BB4442">
        <w:rPr>
          <w:rStyle w:val="FootnoteReference"/>
          <w:szCs w:val="22"/>
        </w:rPr>
        <w:endnoteRef/>
      </w:r>
      <w:r w:rsidRPr="00BB4442">
        <w:rPr>
          <w:szCs w:val="22"/>
        </w:rPr>
        <w:t xml:space="preserve"> Ryrie, </w:t>
      </w:r>
      <w:r w:rsidRPr="00BB4442">
        <w:rPr>
          <w:i/>
          <w:szCs w:val="22"/>
        </w:rPr>
        <w:t>Dispensationalism Today</w:t>
      </w:r>
      <w:r w:rsidRPr="00BB4442">
        <w:rPr>
          <w:szCs w:val="22"/>
        </w:rPr>
        <w:t>, p. 157.</w:t>
      </w:r>
    </w:p>
  </w:endnote>
  <w:endnote w:id="63">
    <w:p w:rsidR="00975183" w:rsidRPr="00BB4442" w:rsidRDefault="00975183" w:rsidP="00935C95">
      <w:pPr>
        <w:pStyle w:val="EndnoteText"/>
      </w:pPr>
      <w:r w:rsidRPr="00BB4442">
        <w:rPr>
          <w:rStyle w:val="FootnoteReference"/>
          <w:szCs w:val="22"/>
        </w:rPr>
        <w:endnoteRef/>
      </w:r>
      <w:r w:rsidRPr="00BB4442">
        <w:rPr>
          <w:szCs w:val="22"/>
        </w:rPr>
        <w:t xml:space="preserve"> Karleen, </w:t>
      </w:r>
      <w:r w:rsidRPr="00BB4442">
        <w:rPr>
          <w:i/>
          <w:szCs w:val="22"/>
        </w:rPr>
        <w:t>Handbook to Bible Study</w:t>
      </w:r>
      <w:r w:rsidRPr="00BB4442">
        <w:rPr>
          <w:szCs w:val="22"/>
        </w:rPr>
        <w:t>, p. 24.</w:t>
      </w:r>
    </w:p>
  </w:endnote>
  <w:endnote w:id="64">
    <w:p w:rsidR="00975183" w:rsidRPr="00BB4442" w:rsidRDefault="00975183" w:rsidP="00935C95">
      <w:pPr>
        <w:pStyle w:val="EndnoteText"/>
      </w:pPr>
      <w:r w:rsidRPr="00BB4442">
        <w:rPr>
          <w:rStyle w:val="FootnoteReference"/>
        </w:rPr>
        <w:endnoteRef/>
      </w:r>
      <w:r w:rsidRPr="00BB4442">
        <w:t xml:space="preserve"> </w:t>
      </w:r>
      <w:r w:rsidRPr="00BB4442">
        <w:rPr>
          <w:lang w:val="en-US"/>
        </w:rPr>
        <w:t xml:space="preserve">Williams, </w:t>
      </w:r>
      <w:r w:rsidRPr="00BB4442">
        <w:rPr>
          <w:i/>
          <w:lang w:val="en-US"/>
        </w:rPr>
        <w:t>Not My Home</w:t>
      </w:r>
      <w:r w:rsidRPr="00BB4442">
        <w:rPr>
          <w:lang w:val="en-US"/>
        </w:rPr>
        <w:t>, p. 7.</w:t>
      </w:r>
    </w:p>
  </w:endnote>
  <w:endnote w:id="65">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18.</w:t>
      </w:r>
    </w:p>
  </w:endnote>
  <w:endnote w:id="66">
    <w:p w:rsidR="00975183" w:rsidRPr="00BB4442" w:rsidRDefault="00975183" w:rsidP="00935C95">
      <w:pPr>
        <w:pStyle w:val="EndnoteText"/>
      </w:pPr>
      <w:r w:rsidRPr="00BB4442">
        <w:rPr>
          <w:rStyle w:val="FootnoteReference"/>
        </w:rPr>
        <w:endnoteRef/>
      </w:r>
      <w:r w:rsidRPr="00BB4442">
        <w:t xml:space="preserve"> </w:t>
      </w:r>
      <w:r w:rsidRPr="00BB4442">
        <w:rPr>
          <w:sz w:val="18"/>
        </w:rPr>
        <w:t xml:space="preserve">Kraus, </w:t>
      </w:r>
      <w:r w:rsidRPr="00BB4442">
        <w:rPr>
          <w:i/>
          <w:sz w:val="18"/>
        </w:rPr>
        <w:t>Dispensationalism in America</w:t>
      </w:r>
      <w:r w:rsidRPr="00BB4442">
        <w:rPr>
          <w:sz w:val="18"/>
        </w:rPr>
        <w:t>, p. 57.</w:t>
      </w:r>
    </w:p>
  </w:endnote>
  <w:endnote w:id="67">
    <w:p w:rsidR="00975183" w:rsidRPr="00BB4442" w:rsidRDefault="00975183" w:rsidP="00935C95">
      <w:pPr>
        <w:pStyle w:val="EndnoteText"/>
      </w:pPr>
      <w:r w:rsidRPr="00BB4442">
        <w:rPr>
          <w:rStyle w:val="FootnoteReference"/>
        </w:rPr>
        <w:endnoteRef/>
      </w:r>
      <w:r w:rsidRPr="00BB4442">
        <w:rPr>
          <w:sz w:val="18"/>
        </w:rPr>
        <w:t xml:space="preserve"> </w:t>
      </w:r>
      <w:r w:rsidRPr="00BB4442">
        <w:t xml:space="preserve">Blaising, ‘Extent &amp; Varieties’, </w:t>
      </w:r>
      <w:r w:rsidRPr="00BB4442">
        <w:rPr>
          <w:i/>
        </w:rPr>
        <w:t>Progressive Dispensationalism</w:t>
      </w:r>
      <w:r w:rsidRPr="00BB4442">
        <w:t>, p. 13.</w:t>
      </w:r>
    </w:p>
  </w:endnote>
  <w:endnote w:id="68">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20.</w:t>
      </w:r>
    </w:p>
  </w:endnote>
  <w:endnote w:id="69">
    <w:p w:rsidR="00975183" w:rsidRPr="00BB4442" w:rsidRDefault="00975183" w:rsidP="00935C95">
      <w:pPr>
        <w:pStyle w:val="EndnoteText"/>
      </w:pPr>
      <w:r w:rsidRPr="00BB4442">
        <w:rPr>
          <w:rStyle w:val="FootnoteReference"/>
          <w:szCs w:val="22"/>
        </w:rPr>
        <w:endnoteRef/>
      </w:r>
      <w:r w:rsidRPr="00BB4442">
        <w:rPr>
          <w:szCs w:val="22"/>
        </w:rPr>
        <w:t xml:space="preserve"> Williams, </w:t>
      </w:r>
      <w:r w:rsidRPr="00BB4442">
        <w:rPr>
          <w:i/>
          <w:szCs w:val="22"/>
        </w:rPr>
        <w:t>Not My Home</w:t>
      </w:r>
      <w:r w:rsidRPr="00BB4442">
        <w:rPr>
          <w:szCs w:val="22"/>
        </w:rPr>
        <w:t>, p. 7.</w:t>
      </w:r>
    </w:p>
  </w:endnote>
  <w:endnote w:id="70">
    <w:p w:rsidR="00975183" w:rsidRPr="00BB4442" w:rsidRDefault="00975183" w:rsidP="00935C95">
      <w:pPr>
        <w:pStyle w:val="EndnoteText"/>
      </w:pPr>
      <w:r w:rsidRPr="00BB4442">
        <w:rPr>
          <w:rStyle w:val="FootnoteReference"/>
        </w:rPr>
        <w:endnoteRef/>
      </w:r>
      <w:r w:rsidRPr="00BB4442">
        <w:t xml:space="preserve"> Weber, </w:t>
      </w:r>
      <w:r w:rsidRPr="00BB4442">
        <w:rPr>
          <w:i/>
        </w:rPr>
        <w:t>Armageddon</w:t>
      </w:r>
      <w:r w:rsidRPr="00BB4442">
        <w:t>, p. 20.</w:t>
      </w:r>
    </w:p>
  </w:endnote>
  <w:endnote w:id="71">
    <w:p w:rsidR="00975183" w:rsidRPr="00BB4442" w:rsidRDefault="00975183" w:rsidP="00935C95">
      <w:pPr>
        <w:pStyle w:val="EndnoteText"/>
      </w:pPr>
      <w:r w:rsidRPr="00BB4442">
        <w:rPr>
          <w:rStyle w:val="FootnoteReference"/>
        </w:rPr>
        <w:endnoteRef/>
      </w:r>
      <w:r w:rsidRPr="00BB4442">
        <w:t xml:space="preserve"> </w:t>
      </w:r>
      <w:proofErr w:type="gramStart"/>
      <w:r w:rsidRPr="00BB4442">
        <w:t xml:space="preserve">Blaising, ‘Extent &amp; Varieties’, </w:t>
      </w:r>
      <w:r w:rsidRPr="00BB4442">
        <w:rPr>
          <w:i/>
        </w:rPr>
        <w:t>Progressive Dispensationalism</w:t>
      </w:r>
      <w:r w:rsidRPr="00BB4442">
        <w:t>, pp. 11 and 14.</w:t>
      </w:r>
      <w:proofErr w:type="gramEnd"/>
    </w:p>
  </w:endnote>
  <w:endnote w:id="72">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Wilkinson, </w:t>
      </w:r>
      <w:r w:rsidRPr="00BB4442">
        <w:rPr>
          <w:i/>
          <w:szCs w:val="22"/>
        </w:rPr>
        <w:t xml:space="preserve">For Zion’s Sake, </w:t>
      </w:r>
      <w:r w:rsidRPr="00BB4442">
        <w:rPr>
          <w:szCs w:val="22"/>
        </w:rPr>
        <w:t>p. 98.</w:t>
      </w:r>
      <w:proofErr w:type="gramEnd"/>
    </w:p>
  </w:endnote>
  <w:endnote w:id="73">
    <w:p w:rsidR="00975183" w:rsidRPr="00BB4442" w:rsidRDefault="00975183" w:rsidP="00935C95">
      <w:pPr>
        <w:pStyle w:val="EndnoteText"/>
      </w:pPr>
      <w:r w:rsidRPr="00BB4442">
        <w:rPr>
          <w:rStyle w:val="FootnoteReference"/>
          <w:sz w:val="18"/>
        </w:rPr>
        <w:endnoteRef/>
      </w:r>
      <w:r w:rsidRPr="00BB4442">
        <w:rPr>
          <w:sz w:val="18"/>
        </w:rPr>
        <w:t xml:space="preserve"> Kraus, </w:t>
      </w:r>
      <w:r w:rsidRPr="00BB4442">
        <w:rPr>
          <w:i/>
          <w:sz w:val="18"/>
        </w:rPr>
        <w:t>Dispensationalism in America</w:t>
      </w:r>
      <w:r w:rsidRPr="00BB4442">
        <w:rPr>
          <w:sz w:val="18"/>
        </w:rPr>
        <w:t>, p. 43.</w:t>
      </w:r>
    </w:p>
  </w:endnote>
  <w:endnote w:id="74">
    <w:p w:rsidR="00975183" w:rsidRPr="00BB4442" w:rsidRDefault="00975183" w:rsidP="00935C95">
      <w:pPr>
        <w:pStyle w:val="EndnoteText"/>
      </w:pPr>
      <w:r w:rsidRPr="00BB4442">
        <w:rPr>
          <w:rStyle w:val="FootnoteReference"/>
          <w:sz w:val="18"/>
        </w:rPr>
        <w:endnoteRef/>
      </w:r>
      <w:r w:rsidRPr="00BB4442">
        <w:rPr>
          <w:sz w:val="18"/>
        </w:rPr>
        <w:t xml:space="preserve"> Kraus, </w:t>
      </w:r>
      <w:r w:rsidRPr="00BB4442">
        <w:rPr>
          <w:i/>
          <w:sz w:val="18"/>
        </w:rPr>
        <w:t>Dispensationalism in America</w:t>
      </w:r>
      <w:r w:rsidRPr="00BB4442">
        <w:rPr>
          <w:sz w:val="18"/>
        </w:rPr>
        <w:t>, p. 57.</w:t>
      </w:r>
    </w:p>
  </w:endnote>
  <w:endnote w:id="75">
    <w:p w:rsidR="00975183" w:rsidRPr="00BB4442" w:rsidRDefault="00975183" w:rsidP="00935C95">
      <w:pPr>
        <w:pStyle w:val="EndnoteText"/>
      </w:pPr>
      <w:r w:rsidRPr="00BB4442">
        <w:rPr>
          <w:rStyle w:val="FootnoteReference"/>
        </w:rPr>
        <w:endnoteRef/>
      </w:r>
      <w:r w:rsidRPr="00BB4442">
        <w:t xml:space="preserve"> Weber, </w:t>
      </w:r>
      <w:r w:rsidRPr="00BB4442">
        <w:rPr>
          <w:i/>
        </w:rPr>
        <w:t>Armageddon</w:t>
      </w:r>
      <w:r w:rsidRPr="00BB4442">
        <w:t>, p. 9.</w:t>
      </w:r>
    </w:p>
  </w:endnote>
  <w:endnote w:id="76">
    <w:p w:rsidR="00975183" w:rsidRPr="00BB4442" w:rsidRDefault="00975183" w:rsidP="00935C95">
      <w:pPr>
        <w:pStyle w:val="EndnoteText"/>
      </w:pPr>
      <w:r w:rsidRPr="00BB4442">
        <w:rPr>
          <w:rStyle w:val="FootnoteReference"/>
          <w:szCs w:val="22"/>
        </w:rPr>
        <w:endnoteRef/>
      </w:r>
      <w:r w:rsidRPr="00BB4442">
        <w:rPr>
          <w:szCs w:val="22"/>
        </w:rPr>
        <w:t xml:space="preserve"> William C. Watson, </w:t>
      </w:r>
      <w:r w:rsidRPr="00BB4442">
        <w:rPr>
          <w:i/>
          <w:szCs w:val="22"/>
        </w:rPr>
        <w:t xml:space="preserve">Dispensationalism </w:t>
      </w:r>
      <w:proofErr w:type="gramStart"/>
      <w:r w:rsidRPr="00BB4442">
        <w:rPr>
          <w:i/>
          <w:szCs w:val="22"/>
        </w:rPr>
        <w:t>Before</w:t>
      </w:r>
      <w:proofErr w:type="gramEnd"/>
      <w:r w:rsidRPr="00BB4442">
        <w:rPr>
          <w:i/>
          <w:szCs w:val="22"/>
        </w:rPr>
        <w:t xml:space="preserve"> Darby</w:t>
      </w:r>
      <w:r w:rsidRPr="00BB4442">
        <w:rPr>
          <w:szCs w:val="22"/>
        </w:rPr>
        <w:t xml:space="preserve"> (Silverton, Oregon: Lampion Press, LLC, 2015), p. 3.</w:t>
      </w:r>
    </w:p>
  </w:endnote>
  <w:endnote w:id="77">
    <w:p w:rsidR="00975183" w:rsidRPr="00BB4442" w:rsidRDefault="00975183" w:rsidP="00935C95">
      <w:pPr>
        <w:pStyle w:val="EndnoteText"/>
      </w:pPr>
      <w:r w:rsidRPr="00BB4442">
        <w:rPr>
          <w:rStyle w:val="FootnoteReference"/>
          <w:szCs w:val="22"/>
        </w:rPr>
        <w:endnoteRef/>
      </w:r>
      <w:r w:rsidRPr="00BB4442">
        <w:rPr>
          <w:szCs w:val="22"/>
        </w:rPr>
        <w:t xml:space="preserve"> Ryrie, </w:t>
      </w:r>
      <w:r w:rsidRPr="00BB4442">
        <w:rPr>
          <w:i/>
          <w:szCs w:val="22"/>
        </w:rPr>
        <w:t>Dispensationalism Today</w:t>
      </w:r>
      <w:r w:rsidRPr="00BB4442">
        <w:rPr>
          <w:szCs w:val="22"/>
        </w:rPr>
        <w:t>, p. 77.</w:t>
      </w:r>
    </w:p>
  </w:endnote>
  <w:endnote w:id="78">
    <w:p w:rsidR="00975183" w:rsidRPr="00BB4442" w:rsidRDefault="00975183" w:rsidP="00935C95">
      <w:pPr>
        <w:pStyle w:val="EndnoteText"/>
      </w:pPr>
      <w:r w:rsidRPr="00BB4442">
        <w:rPr>
          <w:rStyle w:val="FootnoteReference"/>
          <w:szCs w:val="22"/>
        </w:rPr>
        <w:endnoteRef/>
      </w:r>
      <w:r w:rsidRPr="00BB4442">
        <w:rPr>
          <w:szCs w:val="22"/>
        </w:rPr>
        <w:t xml:space="preserve"> Ryrie, </w:t>
      </w:r>
      <w:r w:rsidRPr="00BB4442">
        <w:rPr>
          <w:i/>
          <w:szCs w:val="22"/>
        </w:rPr>
        <w:t>Dispensationalism Today</w:t>
      </w:r>
      <w:r w:rsidRPr="00BB4442">
        <w:rPr>
          <w:szCs w:val="22"/>
        </w:rPr>
        <w:t>, p. 157.</w:t>
      </w:r>
    </w:p>
  </w:endnote>
  <w:endnote w:id="79">
    <w:p w:rsidR="00975183" w:rsidRPr="00BB4442" w:rsidRDefault="00975183" w:rsidP="00935C95">
      <w:pPr>
        <w:pStyle w:val="EndnoteText"/>
      </w:pPr>
      <w:r w:rsidRPr="00BB4442">
        <w:rPr>
          <w:rStyle w:val="FootnoteReference"/>
        </w:rPr>
        <w:endnoteRef/>
      </w:r>
      <w:r w:rsidRPr="00BB4442">
        <w:t xml:space="preserve"> Crutchfield, </w:t>
      </w:r>
      <w:r w:rsidRPr="00BB4442">
        <w:rPr>
          <w:i/>
        </w:rPr>
        <w:t>Origins</w:t>
      </w:r>
      <w:r w:rsidRPr="00BB4442">
        <w:t>, p. 33.</w:t>
      </w:r>
    </w:p>
  </w:endnote>
  <w:endnote w:id="80">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19.</w:t>
      </w:r>
    </w:p>
  </w:endnote>
  <w:endnote w:id="81">
    <w:p w:rsidR="00975183" w:rsidRPr="00BB4442" w:rsidRDefault="00975183" w:rsidP="00935C95">
      <w:pPr>
        <w:pStyle w:val="EndnoteText"/>
      </w:pPr>
      <w:r w:rsidRPr="00BB4442">
        <w:rPr>
          <w:rStyle w:val="FootnoteReference"/>
          <w:sz w:val="18"/>
        </w:rPr>
        <w:endnoteRef/>
      </w:r>
      <w:r w:rsidRPr="00BB4442">
        <w:rPr>
          <w:sz w:val="18"/>
        </w:rPr>
        <w:t xml:space="preserve"> </w:t>
      </w:r>
      <w:r w:rsidRPr="00BB4442">
        <w:t xml:space="preserve">Blaising, ‘Extent &amp; Varieties’, </w:t>
      </w:r>
      <w:r w:rsidRPr="00BB4442">
        <w:rPr>
          <w:i/>
        </w:rPr>
        <w:t>Progressive Dispensationalism</w:t>
      </w:r>
      <w:r w:rsidRPr="00BB4442">
        <w:t>, p. 17.</w:t>
      </w:r>
    </w:p>
  </w:endnote>
  <w:endnote w:id="82">
    <w:p w:rsidR="00975183" w:rsidRPr="00BB4442" w:rsidRDefault="00975183" w:rsidP="00935C95">
      <w:pPr>
        <w:pStyle w:val="EndnoteText"/>
      </w:pPr>
      <w:r w:rsidRPr="00BB4442">
        <w:rPr>
          <w:rStyle w:val="FootnoteReference"/>
        </w:rPr>
        <w:endnoteRef/>
      </w:r>
      <w:r w:rsidRPr="00BB4442">
        <w:rPr>
          <w:sz w:val="18"/>
        </w:rPr>
        <w:t xml:space="preserve"> </w:t>
      </w:r>
      <w:r w:rsidRPr="00BB4442">
        <w:rPr>
          <w:szCs w:val="22"/>
        </w:rPr>
        <w:t>Blaising and Bock (</w:t>
      </w:r>
      <w:proofErr w:type="gramStart"/>
      <w:r w:rsidRPr="00BB4442">
        <w:rPr>
          <w:szCs w:val="22"/>
        </w:rPr>
        <w:t>eds</w:t>
      </w:r>
      <w:proofErr w:type="gramEnd"/>
      <w:r w:rsidRPr="00BB4442">
        <w:rPr>
          <w:szCs w:val="22"/>
        </w:rPr>
        <w:t xml:space="preserve">) </w:t>
      </w:r>
      <w:r w:rsidRPr="00BB4442">
        <w:rPr>
          <w:i/>
          <w:szCs w:val="22"/>
        </w:rPr>
        <w:t>Dispensationalism, Israel &amp; Church</w:t>
      </w:r>
      <w:r w:rsidRPr="00BB4442">
        <w:rPr>
          <w:szCs w:val="22"/>
        </w:rPr>
        <w:t>, p. 380.</w:t>
      </w:r>
    </w:p>
  </w:endnote>
  <w:endnote w:id="83">
    <w:p w:rsidR="00975183" w:rsidRPr="00BB4442" w:rsidRDefault="00975183" w:rsidP="00935C95">
      <w:pPr>
        <w:pStyle w:val="EndnoteText"/>
      </w:pPr>
      <w:r w:rsidRPr="00BB4442">
        <w:rPr>
          <w:rStyle w:val="FootnoteReference"/>
          <w:szCs w:val="22"/>
        </w:rPr>
        <w:endnoteRef/>
      </w:r>
      <w:r w:rsidRPr="00BB4442">
        <w:rPr>
          <w:szCs w:val="22"/>
        </w:rPr>
        <w:t xml:space="preserve"> Kreider, ‘What is Dispensationalism?</w:t>
      </w:r>
      <w:proofErr w:type="gramStart"/>
      <w:r w:rsidRPr="00BB4442">
        <w:rPr>
          <w:szCs w:val="22"/>
        </w:rPr>
        <w:t>’,</w:t>
      </w:r>
      <w:proofErr w:type="gramEnd"/>
      <w:r w:rsidRPr="00BB4442">
        <w:rPr>
          <w:szCs w:val="22"/>
        </w:rPr>
        <w:t xml:space="preserve"> </w:t>
      </w:r>
      <w:r w:rsidRPr="00BB4442">
        <w:rPr>
          <w:i/>
          <w:szCs w:val="22"/>
        </w:rPr>
        <w:t>Dispensationalism &amp; History of Redemption</w:t>
      </w:r>
      <w:r w:rsidRPr="00BB4442">
        <w:rPr>
          <w:szCs w:val="22"/>
        </w:rPr>
        <w:t>, p. 18.</w:t>
      </w:r>
    </w:p>
  </w:endnote>
  <w:endnote w:id="84">
    <w:p w:rsidR="00975183" w:rsidRPr="00BB4442" w:rsidRDefault="00975183" w:rsidP="00935C95">
      <w:pPr>
        <w:pStyle w:val="EndnoteText"/>
      </w:pPr>
      <w:r w:rsidRPr="00BB4442">
        <w:rPr>
          <w:rStyle w:val="FootnoteReference"/>
        </w:rPr>
        <w:endnoteRef/>
      </w:r>
      <w:r w:rsidRPr="00BB4442">
        <w:t xml:space="preserve"> </w:t>
      </w:r>
      <w:r w:rsidRPr="00BB4442">
        <w:rPr>
          <w:szCs w:val="22"/>
        </w:rPr>
        <w:t xml:space="preserve">Ernest R. Sandeen, </w:t>
      </w:r>
      <w:proofErr w:type="gramStart"/>
      <w:r w:rsidRPr="00BB4442">
        <w:rPr>
          <w:i/>
          <w:szCs w:val="22"/>
        </w:rPr>
        <w:t>The</w:t>
      </w:r>
      <w:proofErr w:type="gramEnd"/>
      <w:r w:rsidRPr="00BB4442">
        <w:rPr>
          <w:i/>
          <w:szCs w:val="22"/>
        </w:rPr>
        <w:t xml:space="preserve"> Roots of Fundamentalism: British and American Millenarianism 1800-1930</w:t>
      </w:r>
      <w:r w:rsidRPr="00BB4442">
        <w:rPr>
          <w:szCs w:val="22"/>
        </w:rPr>
        <w:t xml:space="preserve"> (Chicago and London: The University of Chicago Press, 1970), pp. 62, 79.</w:t>
      </w:r>
    </w:p>
  </w:endnote>
  <w:endnote w:id="85">
    <w:p w:rsidR="00975183" w:rsidRPr="00BB4442" w:rsidRDefault="00975183" w:rsidP="00935C95">
      <w:pPr>
        <w:pStyle w:val="EndnoteText"/>
      </w:pPr>
      <w:r w:rsidRPr="00BB4442">
        <w:rPr>
          <w:rStyle w:val="FootnoteReference"/>
        </w:rPr>
        <w:endnoteRef/>
      </w:r>
      <w:r w:rsidRPr="00BB4442">
        <w:t xml:space="preserve"> </w:t>
      </w:r>
      <w:r w:rsidRPr="00BB4442">
        <w:rPr>
          <w:b/>
        </w:rPr>
        <w:t xml:space="preserve">See Chapter 1, </w:t>
      </w:r>
      <w:r w:rsidRPr="00BB4442">
        <w:rPr>
          <w:b/>
          <w:i/>
        </w:rPr>
        <w:t>The Biblical Basis for Dispensational Hermeneutics</w:t>
      </w:r>
      <w:r w:rsidRPr="00BB4442">
        <w:t xml:space="preserve">. </w:t>
      </w:r>
    </w:p>
  </w:endnote>
  <w:endnote w:id="86">
    <w:p w:rsidR="00975183" w:rsidRPr="00BB4442" w:rsidRDefault="00975183" w:rsidP="00935C95">
      <w:pPr>
        <w:pStyle w:val="EndnoteText"/>
      </w:pPr>
      <w:r w:rsidRPr="00BB4442">
        <w:rPr>
          <w:rStyle w:val="FootnoteReference"/>
        </w:rPr>
        <w:endnoteRef/>
      </w:r>
      <w:r w:rsidRPr="00BB4442">
        <w:t xml:space="preserve"> The Niagara Creed, 1878, cited by Walter Unger, ‘“Earnestly Contending for the Faith”: The Role of the Niagara Bible Conference in the Emergence of American Fundamentalism, 1875-1900’, Appendix A, The Niagara Creed, p. 322.  </w:t>
      </w:r>
      <w:proofErr w:type="gramStart"/>
      <w:r w:rsidRPr="00BB4442">
        <w:t xml:space="preserve">National Library of Canada &lt;http://summit.sfu.ca, b12743276.pdf&gt; [accessed 8.6.17], and by </w:t>
      </w:r>
      <w:r w:rsidRPr="00BB4442">
        <w:rPr>
          <w:szCs w:val="22"/>
        </w:rPr>
        <w:t xml:space="preserve">Sandeen, </w:t>
      </w:r>
      <w:r w:rsidRPr="00BB4442">
        <w:rPr>
          <w:i/>
          <w:szCs w:val="22"/>
        </w:rPr>
        <w:t>Roots</w:t>
      </w:r>
      <w:r w:rsidRPr="00BB4442">
        <w:rPr>
          <w:szCs w:val="22"/>
        </w:rPr>
        <w:t>, p. 275.</w:t>
      </w:r>
      <w:proofErr w:type="gramEnd"/>
      <w:r w:rsidRPr="00BB4442">
        <w:rPr>
          <w:szCs w:val="22"/>
        </w:rPr>
        <w:t xml:space="preserve">  </w:t>
      </w:r>
    </w:p>
  </w:endnote>
  <w:endnote w:id="87">
    <w:p w:rsidR="00975183" w:rsidRPr="00BB4442" w:rsidRDefault="00975183" w:rsidP="00935C95">
      <w:pPr>
        <w:pStyle w:val="EndnoteText"/>
      </w:pPr>
      <w:r w:rsidRPr="00BB4442">
        <w:rPr>
          <w:rStyle w:val="FootnoteReference"/>
        </w:rPr>
        <w:endnoteRef/>
      </w:r>
      <w:r w:rsidRPr="00BB4442">
        <w:t xml:space="preserve"> Kraus, </w:t>
      </w:r>
      <w:r w:rsidRPr="00BB4442">
        <w:rPr>
          <w:i/>
        </w:rPr>
        <w:t>Dispensationalism in America</w:t>
      </w:r>
      <w:r w:rsidRPr="00BB4442">
        <w:t xml:space="preserve">, pp. 55-6.  </w:t>
      </w:r>
      <w:proofErr w:type="gramStart"/>
      <w:r w:rsidRPr="00BB4442">
        <w:t>[</w:t>
      </w:r>
      <w:r w:rsidRPr="00BB4442">
        <w:rPr>
          <w:i/>
        </w:rPr>
        <w:t>Kraus’ emphases</w:t>
      </w:r>
      <w:r w:rsidRPr="00BB4442">
        <w:t>.]</w:t>
      </w:r>
      <w:proofErr w:type="gramEnd"/>
    </w:p>
  </w:endnote>
  <w:endnote w:id="88">
    <w:p w:rsidR="00975183" w:rsidRPr="00BB4442" w:rsidRDefault="00975183" w:rsidP="00935C95">
      <w:pPr>
        <w:pStyle w:val="EndnoteText"/>
      </w:pPr>
      <w:r w:rsidRPr="00BB4442">
        <w:rPr>
          <w:rStyle w:val="FootnoteReference"/>
        </w:rPr>
        <w:endnoteRef/>
      </w:r>
      <w:r w:rsidRPr="00BB4442">
        <w:t xml:space="preserve"> Ryrie, </w:t>
      </w:r>
      <w:r w:rsidRPr="00BB4442">
        <w:rPr>
          <w:i/>
        </w:rPr>
        <w:t>Dispensationalism Today</w:t>
      </w:r>
      <w:r w:rsidRPr="00BB4442">
        <w:t>, p. 45.</w:t>
      </w:r>
    </w:p>
  </w:endnote>
  <w:endnote w:id="89">
    <w:p w:rsidR="00975183" w:rsidRPr="00BB4442" w:rsidRDefault="00975183" w:rsidP="00935C95">
      <w:pPr>
        <w:pStyle w:val="EndnoteText"/>
      </w:pPr>
      <w:r w:rsidRPr="00BB4442">
        <w:rPr>
          <w:rStyle w:val="EndnoteReference"/>
        </w:rPr>
        <w:endnoteRef/>
      </w:r>
      <w:r w:rsidRPr="00BB4442">
        <w:t xml:space="preserve"> Some dispensationalists would disagree with the term ‘two-stage’ return, for example, Chafer, </w:t>
      </w:r>
      <w:r w:rsidRPr="00BB4442">
        <w:rPr>
          <w:rFonts w:cs="Arial"/>
          <w:i/>
          <w:szCs w:val="22"/>
          <w:lang w:val="en-US"/>
        </w:rPr>
        <w:t xml:space="preserve">Major Bible Themes, representing forty-nine vital doctrines of the Scriptures, abbreviated and simplified </w:t>
      </w:r>
      <w:r w:rsidRPr="00BB4442">
        <w:rPr>
          <w:rFonts w:cs="Arial"/>
          <w:szCs w:val="22"/>
          <w:lang w:val="en-US"/>
        </w:rPr>
        <w:t>(Grand Rapids: Dunham Publishing Company, 1965; copyright Dallas Theological Seminary, 1926 &amp; 1953)</w:t>
      </w:r>
      <w:r w:rsidRPr="00BB4442">
        <w:t xml:space="preserve">, pp. 57-8.  </w:t>
      </w:r>
      <w:proofErr w:type="gramStart"/>
      <w:r w:rsidRPr="00BB4442">
        <w:t>S</w:t>
      </w:r>
      <w:r w:rsidRPr="00BB4442">
        <w:rPr>
          <w:b/>
        </w:rPr>
        <w:t>ee 7.1.3</w:t>
      </w:r>
      <w:r w:rsidRPr="00BB4442">
        <w:t>.</w:t>
      </w:r>
      <w:proofErr w:type="gramEnd"/>
    </w:p>
  </w:endnote>
  <w:endnote w:id="90">
    <w:p w:rsidR="00975183" w:rsidRPr="00BB4442" w:rsidRDefault="00975183" w:rsidP="00935C95">
      <w:pPr>
        <w:pStyle w:val="EndnoteText"/>
      </w:pPr>
      <w:r w:rsidRPr="00BB4442">
        <w:rPr>
          <w:rStyle w:val="FootnoteReference"/>
        </w:rPr>
        <w:endnoteRef/>
      </w:r>
      <w:r w:rsidRPr="00BB4442">
        <w:t xml:space="preserve"> Daniel P. Fuller, </w:t>
      </w:r>
      <w:r w:rsidRPr="00BB4442">
        <w:rPr>
          <w:i/>
        </w:rPr>
        <w:t xml:space="preserve">Gospel and Law: </w:t>
      </w:r>
      <w:r w:rsidRPr="00BB4442">
        <w:rPr>
          <w:i/>
          <w:lang w:val="en-US"/>
        </w:rPr>
        <w:t>contrast or continuum? : The hermeneutics of dispensationalism and covenant theology</w:t>
      </w:r>
      <w:r w:rsidRPr="00BB4442">
        <w:rPr>
          <w:lang w:val="en-US"/>
        </w:rPr>
        <w:t xml:space="preserve"> (Grand Rapids: Eerdmans, 1980), p. 10.</w:t>
      </w:r>
    </w:p>
  </w:endnote>
  <w:endnote w:id="91">
    <w:p w:rsidR="00975183" w:rsidRPr="00BB4442" w:rsidRDefault="00975183" w:rsidP="00935C95">
      <w:pPr>
        <w:pStyle w:val="EndnoteText"/>
      </w:pPr>
      <w:r w:rsidRPr="00BB4442">
        <w:rPr>
          <w:rStyle w:val="FootnoteReference"/>
        </w:rPr>
        <w:endnoteRef/>
      </w:r>
      <w:r w:rsidRPr="00BB4442">
        <w:t xml:space="preserve"> John </w:t>
      </w:r>
      <w:r w:rsidRPr="00BB4442">
        <w:rPr>
          <w:szCs w:val="22"/>
        </w:rPr>
        <w:t>Feinberg, ‘Systems of Discontinuity’.</w:t>
      </w:r>
    </w:p>
  </w:endnote>
  <w:endnote w:id="92">
    <w:p w:rsidR="00975183" w:rsidRPr="00BB4442" w:rsidRDefault="00975183" w:rsidP="00935C95">
      <w:pPr>
        <w:pStyle w:val="EndnoteText"/>
      </w:pPr>
      <w:r w:rsidRPr="00BB4442">
        <w:rPr>
          <w:rStyle w:val="EndnoteReference"/>
        </w:rPr>
        <w:endnoteRef/>
      </w:r>
      <w:r w:rsidRPr="00BB4442">
        <w:t xml:space="preserve"> Ref. Arnold D. Ehlert, ‘A Bibliography of Dispensationalism’, </w:t>
      </w:r>
      <w:r w:rsidRPr="00BB4442">
        <w:rPr>
          <w:i/>
        </w:rPr>
        <w:t>Bibliotheca Sacra</w:t>
      </w:r>
      <w:r w:rsidRPr="00BB4442">
        <w:t>, 101:401 (Jan. 1944) – 103:401 (Jan. 1946).</w:t>
      </w:r>
    </w:p>
  </w:endnote>
  <w:endnote w:id="93">
    <w:p w:rsidR="00975183" w:rsidRPr="00BB4442" w:rsidRDefault="00975183" w:rsidP="00935C95">
      <w:pPr>
        <w:pStyle w:val="EndnoteText"/>
      </w:pPr>
      <w:r w:rsidRPr="00BB4442">
        <w:rPr>
          <w:rStyle w:val="FootnoteReference"/>
        </w:rPr>
        <w:endnoteRef/>
      </w:r>
      <w:r w:rsidRPr="00BB4442">
        <w:t xml:space="preserve"> Henzel, </w:t>
      </w:r>
      <w:r w:rsidRPr="00BB4442">
        <w:rPr>
          <w:i/>
        </w:rPr>
        <w:t>Darby, Dualism &amp; Decline of Dispensationalism</w:t>
      </w:r>
      <w:r w:rsidRPr="00BB4442">
        <w:t>, pp. 25-6.</w:t>
      </w:r>
    </w:p>
  </w:endnote>
  <w:endnote w:id="94">
    <w:p w:rsidR="00975183" w:rsidRPr="00BB4442" w:rsidRDefault="00975183" w:rsidP="00935C95">
      <w:pPr>
        <w:pStyle w:val="EndnoteText"/>
      </w:pPr>
      <w:r w:rsidRPr="00BB4442">
        <w:rPr>
          <w:rStyle w:val="FootnoteReference"/>
        </w:rPr>
        <w:endnoteRef/>
      </w:r>
      <w:r w:rsidRPr="00BB4442">
        <w:t xml:space="preserve"> John H. Gerstner, Wrongly Dividing the Word of Truth: A Critique of Dispensationalism (Brentwood, Tennessee: Wolgemuth &amp; Hyatt Publications, Inc., 1991), p. 8.</w:t>
      </w:r>
    </w:p>
  </w:endnote>
  <w:endnote w:id="95">
    <w:p w:rsidR="00975183" w:rsidRPr="00BB4442" w:rsidRDefault="00975183" w:rsidP="00935C95">
      <w:pPr>
        <w:pStyle w:val="EndnoteText"/>
      </w:pPr>
      <w:r w:rsidRPr="00BB4442">
        <w:rPr>
          <w:rStyle w:val="FootnoteReference"/>
        </w:rPr>
        <w:endnoteRef/>
      </w:r>
      <w:r w:rsidRPr="00BB4442">
        <w:t xml:space="preserve"> Poythress, </w:t>
      </w:r>
      <w:r w:rsidRPr="00BB4442">
        <w:rPr>
          <w:i/>
        </w:rPr>
        <w:t>Understanding Dispensationalists</w:t>
      </w:r>
      <w:r w:rsidRPr="00BB4442">
        <w:t>, pp. 9 – 10.</w:t>
      </w:r>
    </w:p>
  </w:endnote>
  <w:endnote w:id="96">
    <w:p w:rsidR="00975183" w:rsidRPr="00BB4442" w:rsidRDefault="00975183" w:rsidP="00935C95">
      <w:pPr>
        <w:pStyle w:val="EndnoteText"/>
      </w:pPr>
      <w:r w:rsidRPr="00BB4442">
        <w:rPr>
          <w:rStyle w:val="FootnoteReference"/>
        </w:rPr>
        <w:endnoteRef/>
      </w:r>
      <w:r w:rsidRPr="00BB4442">
        <w:t xml:space="preserve"> David J. MacLeod, ‘Walter Scott, A Link in Dispensationalism between Darby and Scofield?’, </w:t>
      </w:r>
      <w:r w:rsidRPr="00BB4442">
        <w:rPr>
          <w:i/>
        </w:rPr>
        <w:t>Bibiotheca Sacra</w:t>
      </w:r>
      <w:r w:rsidRPr="00BB4442">
        <w:t>, 153:610 (Apr. 96), p. 158</w:t>
      </w:r>
    </w:p>
  </w:endnote>
  <w:endnote w:id="97">
    <w:p w:rsidR="00975183" w:rsidRPr="00BB4442" w:rsidRDefault="00975183" w:rsidP="00935C95">
      <w:pPr>
        <w:pStyle w:val="EndnoteText"/>
      </w:pPr>
      <w:r w:rsidRPr="00BB4442">
        <w:rPr>
          <w:rStyle w:val="FootnoteReference"/>
        </w:rPr>
        <w:endnoteRef/>
      </w:r>
      <w:r w:rsidRPr="00BB4442">
        <w:t xml:space="preserve"> Arnold D. Ehlert, ‘A Bibliography of Dispensationalism: Part 1’, </w:t>
      </w:r>
      <w:r w:rsidRPr="00BB4442">
        <w:rPr>
          <w:i/>
        </w:rPr>
        <w:t>Bibliotheca Sacra</w:t>
      </w:r>
      <w:r w:rsidRPr="00BB4442">
        <w:t>, 101:401 (Jan. 1944), p. 95.</w:t>
      </w:r>
    </w:p>
  </w:endnote>
  <w:endnote w:id="98">
    <w:p w:rsidR="00975183" w:rsidRPr="00BB4442" w:rsidRDefault="00975183" w:rsidP="00935C95">
      <w:pPr>
        <w:pStyle w:val="EndnoteText"/>
        <w:rPr>
          <w:sz w:val="22"/>
        </w:rPr>
      </w:pPr>
      <w:r w:rsidRPr="00BB4442">
        <w:rPr>
          <w:rStyle w:val="FootnoteReference"/>
        </w:rPr>
        <w:endnoteRef/>
      </w:r>
      <w:r w:rsidRPr="00BB4442">
        <w:t xml:space="preserve"> Ehlert, ‘Bibliography’, p. 95.</w:t>
      </w:r>
    </w:p>
  </w:endnote>
  <w:endnote w:id="99">
    <w:p w:rsidR="00975183" w:rsidRPr="00BB4442" w:rsidRDefault="00975183" w:rsidP="00935C95">
      <w:pPr>
        <w:pStyle w:val="EndnoteText"/>
      </w:pPr>
      <w:r w:rsidRPr="00BB4442">
        <w:rPr>
          <w:rStyle w:val="EndnoteReference"/>
        </w:rPr>
        <w:endnoteRef/>
      </w:r>
      <w:r w:rsidRPr="00BB4442">
        <w:t xml:space="preserve"> Crutchfield, </w:t>
      </w:r>
      <w:r w:rsidRPr="00BB4442">
        <w:rPr>
          <w:i/>
        </w:rPr>
        <w:t>Origins</w:t>
      </w:r>
      <w:r w:rsidRPr="00BB4442">
        <w:t>, p. 28.</w:t>
      </w:r>
    </w:p>
  </w:endnote>
  <w:endnote w:id="100">
    <w:p w:rsidR="00975183" w:rsidRPr="00BB4442" w:rsidRDefault="00975183" w:rsidP="00935C95">
      <w:pPr>
        <w:pStyle w:val="EndnoteText"/>
      </w:pPr>
      <w:r w:rsidRPr="00BB4442">
        <w:rPr>
          <w:rStyle w:val="FootnoteReference"/>
        </w:rPr>
        <w:endnoteRef/>
      </w:r>
      <w:r w:rsidRPr="00BB4442">
        <w:t xml:space="preserve"> Scofield, ‘Introduction’, 1909 edition of the </w:t>
      </w:r>
      <w:r w:rsidRPr="00BB4442">
        <w:rPr>
          <w:i/>
        </w:rPr>
        <w:t>Scofield Reference Bible</w:t>
      </w:r>
      <w:r w:rsidRPr="00BB4442">
        <w:t xml:space="preserve">, repeated in the 1917 Edition, p. iii.  </w:t>
      </w:r>
    </w:p>
    <w:p w:rsidR="00975183" w:rsidRPr="00BB4442" w:rsidRDefault="00975183" w:rsidP="00935C95">
      <w:pPr>
        <w:pStyle w:val="EndnoteText"/>
      </w:pPr>
      <w:proofErr w:type="gramStart"/>
      <w:r w:rsidRPr="00BB4442">
        <w:t>(</w:t>
      </w:r>
      <w:r w:rsidRPr="00BB4442">
        <w:rPr>
          <w:i/>
        </w:rPr>
        <w:t>My emphasis</w:t>
      </w:r>
      <w:r w:rsidRPr="00BB4442">
        <w:t>.)</w:t>
      </w:r>
      <w:proofErr w:type="gramEnd"/>
    </w:p>
  </w:endnote>
  <w:endnote w:id="101">
    <w:p w:rsidR="00975183" w:rsidRPr="00BB4442" w:rsidRDefault="00975183" w:rsidP="00935C95">
      <w:pPr>
        <w:pStyle w:val="EndnoteText"/>
      </w:pPr>
      <w:r w:rsidRPr="00BB4442">
        <w:rPr>
          <w:rStyle w:val="FootnoteReference"/>
        </w:rPr>
        <w:endnoteRef/>
      </w:r>
      <w:r w:rsidRPr="00BB4442">
        <w:t xml:space="preserve"> </w:t>
      </w:r>
      <w:proofErr w:type="gramStart"/>
      <w:r w:rsidRPr="00BB4442">
        <w:rPr>
          <w:szCs w:val="22"/>
        </w:rPr>
        <w:t xml:space="preserve">Harry Allen Ironside, </w:t>
      </w:r>
      <w:r w:rsidRPr="00BB4442">
        <w:rPr>
          <w:i/>
          <w:szCs w:val="22"/>
        </w:rPr>
        <w:t>The Mysteries of God</w:t>
      </w:r>
      <w:r w:rsidRPr="00BB4442">
        <w:rPr>
          <w:szCs w:val="22"/>
        </w:rPr>
        <w:t>, Bartimaeus Alliance of the Blind, Inc. &lt;http://bartimaeus.us/pub_dom/the-mysteries-of-god.html&gt; [accessed 25.5.17], Chapter IV.</w:t>
      </w:r>
      <w:proofErr w:type="gramEnd"/>
    </w:p>
  </w:endnote>
  <w:endnote w:id="102">
    <w:p w:rsidR="00975183" w:rsidRPr="00BB4442" w:rsidRDefault="00975183" w:rsidP="00935C95">
      <w:pPr>
        <w:pStyle w:val="EndnoteText"/>
      </w:pPr>
      <w:r w:rsidRPr="00BB4442">
        <w:rPr>
          <w:rStyle w:val="FootnoteReference"/>
        </w:rPr>
        <w:endnoteRef/>
      </w:r>
      <w:r w:rsidRPr="00BB4442">
        <w:t xml:space="preserve"> Chafer, </w:t>
      </w:r>
      <w:r w:rsidRPr="00BB4442">
        <w:rPr>
          <w:i/>
        </w:rPr>
        <w:t>Dispensationalism</w:t>
      </w:r>
      <w:r w:rsidRPr="00BB4442">
        <w:t>, p. 14.</w:t>
      </w:r>
    </w:p>
  </w:endnote>
  <w:endnote w:id="103">
    <w:p w:rsidR="00975183" w:rsidRPr="00BB4442" w:rsidRDefault="00975183" w:rsidP="00935C95">
      <w:pPr>
        <w:pStyle w:val="EndnoteText"/>
      </w:pPr>
      <w:r w:rsidRPr="00BB4442">
        <w:rPr>
          <w:rStyle w:val="FootnoteReference"/>
        </w:rPr>
        <w:endnoteRef/>
      </w:r>
      <w:r w:rsidRPr="00BB4442">
        <w:t xml:space="preserve"> Warren W. Wiersbe, </w:t>
      </w:r>
      <w:r w:rsidRPr="00BB4442">
        <w:rPr>
          <w:i/>
          <w:szCs w:val="22"/>
        </w:rPr>
        <w:t>The Wiersbe Bible Commentary: The Complete New Testament</w:t>
      </w:r>
      <w:r w:rsidRPr="00BB4442">
        <w:rPr>
          <w:szCs w:val="22"/>
        </w:rPr>
        <w:t xml:space="preserve"> &lt;https://asucru.files.wordpress.com/2008/01/wiersbe-commentary-new-testament.pdf&gt; [accessed 30.6.17]</w:t>
      </w:r>
      <w:r w:rsidRPr="00BB4442">
        <w:t xml:space="preserve">, </w:t>
      </w:r>
    </w:p>
    <w:p w:rsidR="00975183" w:rsidRPr="00BB4442" w:rsidRDefault="00975183" w:rsidP="00935C95">
      <w:pPr>
        <w:pStyle w:val="EndnoteText"/>
      </w:pPr>
      <w:proofErr w:type="gramStart"/>
      <w:r w:rsidRPr="00BB4442">
        <w:t>p. 599.</w:t>
      </w:r>
      <w:proofErr w:type="gramEnd"/>
    </w:p>
  </w:endnote>
  <w:endnote w:id="104">
    <w:p w:rsidR="00975183" w:rsidRPr="00BB4442" w:rsidRDefault="00975183" w:rsidP="00935C95">
      <w:pPr>
        <w:pStyle w:val="EndnoteText"/>
      </w:pPr>
      <w:r w:rsidRPr="00BB4442">
        <w:rPr>
          <w:rStyle w:val="FootnoteReference"/>
        </w:rPr>
        <w:endnoteRef/>
      </w:r>
      <w:r w:rsidRPr="00BB4442">
        <w:t xml:space="preserve"> ‘Here’s the Difference: Differing Ages’, Faithful Generations &lt;http://www.faithfulgenerations.com/index.php/church-doctrine/basic-doctrine/heres-the-difference&gt; </w:t>
      </w:r>
    </w:p>
    <w:p w:rsidR="00975183" w:rsidRPr="00BB4442" w:rsidRDefault="00975183" w:rsidP="00935C95">
      <w:pPr>
        <w:pStyle w:val="EndnoteText"/>
      </w:pPr>
      <w:r w:rsidRPr="00BB4442">
        <w:t>[</w:t>
      </w:r>
      <w:proofErr w:type="gramStart"/>
      <w:r w:rsidRPr="00BB4442">
        <w:t>accessed</w:t>
      </w:r>
      <w:proofErr w:type="gramEnd"/>
      <w:r w:rsidRPr="00BB4442">
        <w:t xml:space="preserve"> 30.6.17].</w:t>
      </w:r>
    </w:p>
  </w:endnote>
  <w:endnote w:id="105">
    <w:p w:rsidR="00975183" w:rsidRPr="00BB4442" w:rsidRDefault="00975183" w:rsidP="00935C95">
      <w:pPr>
        <w:pStyle w:val="EndnoteText"/>
      </w:pPr>
      <w:r w:rsidRPr="00BB4442">
        <w:rPr>
          <w:rStyle w:val="FootnoteReference"/>
        </w:rPr>
        <w:endnoteRef/>
      </w:r>
      <w:r w:rsidRPr="00BB4442">
        <w:t xml:space="preserve"> Stamper, </w:t>
      </w:r>
      <w:r w:rsidRPr="00BB4442">
        <w:rPr>
          <w:i/>
        </w:rPr>
        <w:t>Covenantal Dispensationalism</w:t>
      </w:r>
      <w:r w:rsidRPr="00BB4442">
        <w:t>, p. 68.</w:t>
      </w:r>
    </w:p>
  </w:endnote>
  <w:endnote w:id="106">
    <w:p w:rsidR="00975183" w:rsidRPr="00BB4442" w:rsidRDefault="00975183" w:rsidP="00935C95">
      <w:pPr>
        <w:pStyle w:val="EndnoteText"/>
      </w:pPr>
      <w:r w:rsidRPr="00BB4442">
        <w:rPr>
          <w:rStyle w:val="FootnoteReference"/>
        </w:rPr>
        <w:endnoteRef/>
      </w:r>
      <w:r w:rsidRPr="00BB4442">
        <w:t xml:space="preserve"> Augustine, </w:t>
      </w:r>
      <w:r w:rsidRPr="00BB4442">
        <w:rPr>
          <w:szCs w:val="22"/>
        </w:rPr>
        <w:t xml:space="preserve">‘Sermon 32’, </w:t>
      </w:r>
      <w:r w:rsidRPr="00BB4442">
        <w:rPr>
          <w:i/>
          <w:szCs w:val="22"/>
        </w:rPr>
        <w:t>Nicene and Post-Nicene Fathers</w:t>
      </w:r>
      <w:r w:rsidRPr="00BB4442">
        <w:rPr>
          <w:szCs w:val="22"/>
        </w:rPr>
        <w:t xml:space="preserve"> (ed. Philip Schaff, trans. R. G. MacMullen, First Series, Vol. 6 (Buffalo, NY: Christian Literature Publishing Co., 1888; revised and ed. for New Advent, Kevin Knight) &lt;http://www.newadvent.org/fathers/160332.htm&gt; [accessed 4.5.17]. </w:t>
      </w:r>
      <w:proofErr w:type="gramStart"/>
      <w:r w:rsidRPr="00BB4442">
        <w:rPr>
          <w:szCs w:val="22"/>
        </w:rPr>
        <w:t>(Sermon 82, Benedictine edition).</w:t>
      </w:r>
      <w:proofErr w:type="gramEnd"/>
    </w:p>
  </w:endnote>
  <w:endnote w:id="107">
    <w:p w:rsidR="00975183" w:rsidRPr="00BB4442" w:rsidRDefault="00975183" w:rsidP="00935C95">
      <w:pPr>
        <w:pStyle w:val="EndnoteText"/>
      </w:pPr>
      <w:r w:rsidRPr="00BB4442">
        <w:rPr>
          <w:rStyle w:val="FootnoteReference"/>
        </w:rPr>
        <w:endnoteRef/>
      </w:r>
      <w:r w:rsidRPr="00BB4442">
        <w:t xml:space="preserve"> Henzel, </w:t>
      </w:r>
      <w:r w:rsidRPr="00BB4442">
        <w:rPr>
          <w:i/>
          <w:szCs w:val="22"/>
        </w:rPr>
        <w:t xml:space="preserve">Darby, Dualism &amp; Decline of Dispensationalism, </w:t>
      </w:r>
      <w:r w:rsidRPr="00BB4442">
        <w:rPr>
          <w:szCs w:val="22"/>
        </w:rPr>
        <w:t>p. 28 and footnote 52.</w:t>
      </w:r>
    </w:p>
  </w:endnote>
  <w:endnote w:id="108">
    <w:p w:rsidR="00975183" w:rsidRPr="00BB4442" w:rsidRDefault="00975183" w:rsidP="00935C95">
      <w:pPr>
        <w:pStyle w:val="EndnoteText"/>
      </w:pPr>
      <w:r w:rsidRPr="00BB4442">
        <w:rPr>
          <w:rStyle w:val="FootnoteReference"/>
        </w:rPr>
        <w:endnoteRef/>
      </w:r>
      <w:r w:rsidRPr="00BB4442">
        <w:t xml:space="preserve"> Bernard Ramm, </w:t>
      </w:r>
      <w:r w:rsidRPr="00BB4442">
        <w:rPr>
          <w:i/>
        </w:rPr>
        <w:t>Protestant Biblical Interpretation: A Textbook of Hermeneutics</w:t>
      </w:r>
      <w:r w:rsidRPr="00BB4442">
        <w:t xml:space="preserve"> (Grand Rapids, Michigan: Baker Books, 3</w:t>
      </w:r>
      <w:r w:rsidRPr="00BB4442">
        <w:rPr>
          <w:vertAlign w:val="superscript"/>
        </w:rPr>
        <w:t>rd</w:t>
      </w:r>
      <w:r w:rsidRPr="00BB4442">
        <w:t xml:space="preserve"> Revised Edition, 1970, Third Printing, October, 2001), p. 37.</w:t>
      </w:r>
    </w:p>
  </w:endnote>
  <w:endnote w:id="109">
    <w:p w:rsidR="00975183" w:rsidRPr="00BB4442" w:rsidRDefault="00975183" w:rsidP="00935C95">
      <w:pPr>
        <w:pStyle w:val="EndnoteText"/>
      </w:pPr>
      <w:r w:rsidRPr="00BB4442">
        <w:rPr>
          <w:rStyle w:val="FootnoteReference"/>
        </w:rPr>
        <w:endnoteRef/>
      </w:r>
      <w:r w:rsidRPr="00BB4442">
        <w:t xml:space="preserve"> Ehlert, ‘Bibliography of Dispensationalism’, Part 3, </w:t>
      </w:r>
      <w:r w:rsidRPr="00BB4442">
        <w:rPr>
          <w:i/>
        </w:rPr>
        <w:t>Bibliotheca Sacra</w:t>
      </w:r>
      <w:r w:rsidRPr="00BB4442">
        <w:t xml:space="preserve"> 101:403 (July 1944), p. 323.</w:t>
      </w:r>
    </w:p>
  </w:endnote>
  <w:endnote w:id="110">
    <w:p w:rsidR="00975183" w:rsidRPr="00BB4442" w:rsidRDefault="00975183" w:rsidP="00935C95">
      <w:pPr>
        <w:pStyle w:val="EndnoteText"/>
      </w:pPr>
      <w:r w:rsidRPr="00BB4442">
        <w:rPr>
          <w:rStyle w:val="FootnoteReference"/>
        </w:rPr>
        <w:endnoteRef/>
      </w:r>
      <w:r w:rsidRPr="00BB4442">
        <w:t xml:space="preserve"> Ehlert, ‘Bibliography’, Part 3, pp. 323-4.</w:t>
      </w:r>
    </w:p>
  </w:endnote>
  <w:endnote w:id="111">
    <w:p w:rsidR="00975183" w:rsidRPr="00BB4442" w:rsidRDefault="00975183" w:rsidP="00935C95">
      <w:pPr>
        <w:pStyle w:val="EndnoteText"/>
      </w:pPr>
      <w:r w:rsidRPr="00BB4442">
        <w:rPr>
          <w:rStyle w:val="FootnoteReference"/>
        </w:rPr>
        <w:endnoteRef/>
      </w:r>
      <w:r w:rsidRPr="00BB4442">
        <w:t xml:space="preserve"> Crutchfield, </w:t>
      </w:r>
      <w:r w:rsidRPr="00BB4442">
        <w:rPr>
          <w:i/>
        </w:rPr>
        <w:t>Origins</w:t>
      </w:r>
      <w:r w:rsidRPr="00BB4442">
        <w:t>, p. 28.</w:t>
      </w:r>
    </w:p>
  </w:endnote>
  <w:endnote w:id="112">
    <w:p w:rsidR="00975183" w:rsidRPr="00BB4442" w:rsidRDefault="00975183" w:rsidP="00935C95">
      <w:pPr>
        <w:pStyle w:val="EndnoteText"/>
      </w:pPr>
      <w:r w:rsidRPr="00BB4442">
        <w:rPr>
          <w:rStyle w:val="FootnoteReference"/>
        </w:rPr>
        <w:endnoteRef/>
      </w:r>
      <w:r w:rsidRPr="00BB4442">
        <w:t xml:space="preserve"> Ryrie, </w:t>
      </w:r>
      <w:r w:rsidRPr="00BB4442">
        <w:rPr>
          <w:i/>
        </w:rPr>
        <w:t>Dispensationalism</w:t>
      </w:r>
      <w:r w:rsidRPr="00BB4442">
        <w:t>, p. 73.</w:t>
      </w:r>
    </w:p>
  </w:endnote>
  <w:endnote w:id="113">
    <w:p w:rsidR="00975183" w:rsidRPr="00BB4442" w:rsidRDefault="00975183" w:rsidP="00935C95">
      <w:pPr>
        <w:pStyle w:val="EndnoteText"/>
      </w:pPr>
      <w:r w:rsidRPr="00BB4442">
        <w:rPr>
          <w:rStyle w:val="FootnoteReference"/>
        </w:rPr>
        <w:endnoteRef/>
      </w:r>
      <w:r w:rsidRPr="00BB4442">
        <w:t xml:space="preserve"> Watson, </w:t>
      </w:r>
      <w:r w:rsidRPr="00BB4442">
        <w:rPr>
          <w:i/>
        </w:rPr>
        <w:t xml:space="preserve">Dispensationalism </w:t>
      </w:r>
      <w:proofErr w:type="gramStart"/>
      <w:r w:rsidRPr="00BB4442">
        <w:rPr>
          <w:i/>
        </w:rPr>
        <w:t>Before</w:t>
      </w:r>
      <w:proofErr w:type="gramEnd"/>
      <w:r w:rsidRPr="00BB4442">
        <w:rPr>
          <w:i/>
        </w:rPr>
        <w:t xml:space="preserve"> Darby</w:t>
      </w:r>
      <w:r w:rsidRPr="00BB4442">
        <w:t>, p. 7.</w:t>
      </w:r>
    </w:p>
  </w:endnote>
  <w:endnote w:id="114">
    <w:p w:rsidR="00975183" w:rsidRPr="00BB4442" w:rsidRDefault="00975183" w:rsidP="00935C95">
      <w:pPr>
        <w:pStyle w:val="EndnoteText"/>
      </w:pPr>
      <w:r w:rsidRPr="00BB4442">
        <w:rPr>
          <w:rStyle w:val="FootnoteReference"/>
        </w:rPr>
        <w:endnoteRef/>
      </w:r>
      <w:r w:rsidRPr="00BB4442">
        <w:t xml:space="preserve"> Augustine, </w:t>
      </w:r>
      <w:r w:rsidRPr="00BB4442">
        <w:rPr>
          <w:sz w:val="22"/>
        </w:rPr>
        <w:t>‘</w:t>
      </w:r>
      <w:r w:rsidRPr="00BB4442">
        <w:t>Letter to Marcellinus’, Letter 138 (412 AD), New Advent &lt;http://www.newadvent.org/fathers/1102138.htm&gt; [accessed 29.6.17].</w:t>
      </w:r>
    </w:p>
  </w:endnote>
  <w:endnote w:id="115">
    <w:p w:rsidR="00975183" w:rsidRPr="00BB4442" w:rsidRDefault="00975183" w:rsidP="00935C95">
      <w:pPr>
        <w:pStyle w:val="EndnoteText"/>
      </w:pPr>
      <w:r w:rsidRPr="00BB4442">
        <w:rPr>
          <w:rStyle w:val="FootnoteReference"/>
        </w:rPr>
        <w:endnoteRef/>
      </w:r>
      <w:r w:rsidRPr="00BB4442">
        <w:t xml:space="preserve"> Bass, </w:t>
      </w:r>
      <w:r w:rsidRPr="00BB4442">
        <w:rPr>
          <w:i/>
        </w:rPr>
        <w:t>Backgrounds</w:t>
      </w:r>
      <w:r w:rsidRPr="00BB4442">
        <w:t xml:space="preserve">, p. 7.  </w:t>
      </w:r>
      <w:proofErr w:type="gramStart"/>
      <w:r w:rsidRPr="00BB4442">
        <w:t>(</w:t>
      </w:r>
      <w:r w:rsidRPr="00BB4442">
        <w:rPr>
          <w:i/>
        </w:rPr>
        <w:t>His emphasis</w:t>
      </w:r>
      <w:r w:rsidRPr="00BB4442">
        <w:t>.)</w:t>
      </w:r>
      <w:proofErr w:type="gramEnd"/>
    </w:p>
  </w:endnote>
  <w:endnote w:id="116">
    <w:p w:rsidR="00975183" w:rsidRPr="00BB4442" w:rsidRDefault="00975183" w:rsidP="00935C95">
      <w:pPr>
        <w:pStyle w:val="EndnoteText"/>
      </w:pPr>
      <w:r w:rsidRPr="00BB4442">
        <w:rPr>
          <w:rStyle w:val="FootnoteReference"/>
        </w:rPr>
        <w:endnoteRef/>
      </w:r>
      <w:r w:rsidRPr="00BB4442">
        <w:t xml:space="preserve"> Bass, </w:t>
      </w:r>
      <w:r w:rsidRPr="00BB4442">
        <w:rPr>
          <w:i/>
        </w:rPr>
        <w:t>Backgrounds</w:t>
      </w:r>
      <w:r w:rsidRPr="00BB4442">
        <w:t>, p. 17.</w:t>
      </w:r>
    </w:p>
  </w:endnote>
  <w:endnote w:id="117">
    <w:p w:rsidR="00975183" w:rsidRPr="00BB4442" w:rsidRDefault="00975183" w:rsidP="00935C95">
      <w:pPr>
        <w:pStyle w:val="EndnoteText"/>
      </w:pPr>
      <w:r w:rsidRPr="00BB4442">
        <w:rPr>
          <w:rStyle w:val="FootnoteReference"/>
        </w:rPr>
        <w:endnoteRef/>
      </w:r>
      <w:r w:rsidRPr="00BB4442">
        <w:t xml:space="preserve"> </w:t>
      </w:r>
      <w:r w:rsidRPr="00BB4442">
        <w:rPr>
          <w:sz w:val="18"/>
        </w:rPr>
        <w:t xml:space="preserve">Henzel, </w:t>
      </w:r>
      <w:r w:rsidRPr="00BB4442">
        <w:rPr>
          <w:i/>
          <w:sz w:val="18"/>
        </w:rPr>
        <w:t>Darby, Dualism &amp; Decline of Dispensationalism</w:t>
      </w:r>
      <w:r w:rsidRPr="00BB4442">
        <w:rPr>
          <w:sz w:val="18"/>
        </w:rPr>
        <w:t>, pp. 2 and 1.</w:t>
      </w:r>
    </w:p>
  </w:endnote>
  <w:endnote w:id="118">
    <w:p w:rsidR="00975183" w:rsidRPr="00BB4442" w:rsidRDefault="00975183" w:rsidP="00935C95">
      <w:pPr>
        <w:pStyle w:val="EndnoteText"/>
      </w:pPr>
      <w:r w:rsidRPr="00BB4442">
        <w:rPr>
          <w:rStyle w:val="FootnoteReference"/>
        </w:rPr>
        <w:endnoteRef/>
      </w:r>
      <w:r w:rsidRPr="00BB4442">
        <w:t xml:space="preserve"> Blaising, ‘Extent and Varieties’,</w:t>
      </w:r>
      <w:r w:rsidRPr="00BB4442">
        <w:rPr>
          <w:szCs w:val="22"/>
        </w:rPr>
        <w:t xml:space="preserve"> </w:t>
      </w:r>
      <w:r w:rsidRPr="00BB4442">
        <w:rPr>
          <w:i/>
          <w:szCs w:val="22"/>
        </w:rPr>
        <w:t>Progressive Dispensationalism</w:t>
      </w:r>
      <w:r w:rsidRPr="00BB4442">
        <w:rPr>
          <w:szCs w:val="22"/>
        </w:rPr>
        <w:t>, p. 11.</w:t>
      </w:r>
    </w:p>
  </w:endnote>
  <w:endnote w:id="119">
    <w:p w:rsidR="00975183" w:rsidRPr="00BB4442" w:rsidRDefault="00975183" w:rsidP="00935C95">
      <w:pPr>
        <w:pStyle w:val="EndnoteText"/>
      </w:pPr>
      <w:r w:rsidRPr="00BB4442">
        <w:rPr>
          <w:rStyle w:val="FootnoteReference"/>
          <w:szCs w:val="22"/>
        </w:rPr>
        <w:endnoteRef/>
      </w:r>
      <w:r w:rsidRPr="00BB4442">
        <w:rPr>
          <w:szCs w:val="22"/>
        </w:rPr>
        <w:t xml:space="preserve"> Bass, </w:t>
      </w:r>
      <w:r w:rsidRPr="00BB4442">
        <w:rPr>
          <w:i/>
          <w:szCs w:val="22"/>
        </w:rPr>
        <w:t>Backgrounds</w:t>
      </w:r>
      <w:r w:rsidRPr="00BB4442">
        <w:rPr>
          <w:szCs w:val="22"/>
        </w:rPr>
        <w:t>, p. 14.</w:t>
      </w:r>
    </w:p>
  </w:endnote>
  <w:endnote w:id="120">
    <w:p w:rsidR="00975183" w:rsidRPr="00BB4442" w:rsidRDefault="00975183" w:rsidP="00935C95">
      <w:pPr>
        <w:pStyle w:val="EndnoteText"/>
      </w:pPr>
      <w:r w:rsidRPr="00BB4442">
        <w:rPr>
          <w:rStyle w:val="FootnoteReference"/>
        </w:rPr>
        <w:endnoteRef/>
      </w:r>
      <w:r w:rsidRPr="00BB4442">
        <w:t xml:space="preserve"> Crutchfield, </w:t>
      </w:r>
      <w:r w:rsidRPr="00BB4442">
        <w:rPr>
          <w:szCs w:val="22"/>
        </w:rPr>
        <w:t xml:space="preserve">‘The Rudiments of Dispensationalism in the Ante-Nicene Period’ Part 1, ‘Israel and the Church in the Ante-Nicene Fathers’, </w:t>
      </w:r>
      <w:r w:rsidRPr="00BB4442">
        <w:rPr>
          <w:i/>
          <w:szCs w:val="22"/>
        </w:rPr>
        <w:t>Bibliotheca Sacra</w:t>
      </w:r>
      <w:r w:rsidRPr="00BB4442">
        <w:rPr>
          <w:szCs w:val="22"/>
        </w:rPr>
        <w:t>, Vol. 144:575, July 1987, p. 255.</w:t>
      </w:r>
    </w:p>
  </w:endnote>
  <w:endnote w:id="121">
    <w:p w:rsidR="00975183" w:rsidRPr="00BB4442" w:rsidRDefault="00975183" w:rsidP="00935C95">
      <w:pPr>
        <w:spacing w:after="0" w:line="240" w:lineRule="auto"/>
        <w:ind w:left="34"/>
        <w:rPr>
          <w:w w:val="115"/>
          <w:sz w:val="20"/>
          <w:szCs w:val="20"/>
        </w:rPr>
      </w:pPr>
      <w:r w:rsidRPr="00BB4442">
        <w:rPr>
          <w:rStyle w:val="EndnoteReference"/>
        </w:rPr>
        <w:endnoteRef/>
      </w:r>
      <w:r w:rsidRPr="00BB4442">
        <w:rPr>
          <w:sz w:val="20"/>
          <w:szCs w:val="20"/>
        </w:rPr>
        <w:t xml:space="preserve"> Larry V. Crutchfield, ‘</w:t>
      </w:r>
      <w:proofErr w:type="gramStart"/>
      <w:r w:rsidRPr="00BB4442">
        <w:rPr>
          <w:sz w:val="20"/>
          <w:szCs w:val="20"/>
        </w:rPr>
        <w:t>The</w:t>
      </w:r>
      <w:proofErr w:type="gramEnd"/>
      <w:r w:rsidRPr="00BB4442">
        <w:rPr>
          <w:sz w:val="20"/>
          <w:szCs w:val="20"/>
        </w:rPr>
        <w:t xml:space="preserve"> Early Church Fathers and the Foundations of Dispensationalism, Part 4 – Dispensational Concepts in the Apologists: Justin Martyr’, </w:t>
      </w:r>
      <w:r w:rsidRPr="00BB4442">
        <w:rPr>
          <w:i/>
          <w:sz w:val="20"/>
          <w:szCs w:val="20"/>
        </w:rPr>
        <w:t>Conservative Theological Journal</w:t>
      </w:r>
      <w:r w:rsidRPr="00BB4442">
        <w:rPr>
          <w:sz w:val="20"/>
          <w:szCs w:val="20"/>
        </w:rPr>
        <w:t xml:space="preserve"> 2.7, December. 1998</w:t>
      </w:r>
      <w:r w:rsidRPr="00BB4442">
        <w:rPr>
          <w:w w:val="115"/>
          <w:sz w:val="20"/>
          <w:szCs w:val="20"/>
        </w:rPr>
        <w:t xml:space="preserve">, </w:t>
      </w:r>
    </w:p>
    <w:p w:rsidR="00975183" w:rsidRPr="00BB4442" w:rsidRDefault="00975183" w:rsidP="00935C95">
      <w:pPr>
        <w:spacing w:after="0" w:line="240" w:lineRule="auto"/>
        <w:ind w:left="34"/>
        <w:rPr>
          <w:sz w:val="20"/>
          <w:szCs w:val="20"/>
        </w:rPr>
      </w:pPr>
      <w:proofErr w:type="gramStart"/>
      <w:r w:rsidRPr="00BB4442">
        <w:rPr>
          <w:w w:val="115"/>
          <w:sz w:val="20"/>
          <w:szCs w:val="20"/>
        </w:rPr>
        <w:t>p. 376.</w:t>
      </w:r>
      <w:proofErr w:type="gramEnd"/>
    </w:p>
  </w:endnote>
  <w:endnote w:id="122">
    <w:p w:rsidR="00975183" w:rsidRPr="00BB4442" w:rsidRDefault="00975183" w:rsidP="00935C95">
      <w:pPr>
        <w:pStyle w:val="EndnoteText"/>
      </w:pPr>
      <w:r w:rsidRPr="00BB4442">
        <w:rPr>
          <w:rStyle w:val="EndnoteReference"/>
        </w:rPr>
        <w:endnoteRef/>
      </w:r>
      <w:r w:rsidRPr="00BB4442">
        <w:t xml:space="preserve"> Chafer, </w:t>
      </w:r>
      <w:r w:rsidRPr="00BB4442">
        <w:rPr>
          <w:i/>
        </w:rPr>
        <w:t>Dispensationalism</w:t>
      </w:r>
      <w:r w:rsidRPr="00BB4442">
        <w:t>, pp. 14-15.</w:t>
      </w:r>
    </w:p>
  </w:endnote>
  <w:endnote w:id="123">
    <w:p w:rsidR="00975183" w:rsidRPr="00BB4442" w:rsidRDefault="00975183" w:rsidP="00935C95">
      <w:pPr>
        <w:pStyle w:val="EndnoteText"/>
      </w:pPr>
      <w:r w:rsidRPr="00BB4442">
        <w:rPr>
          <w:rStyle w:val="FootnoteReference"/>
        </w:rPr>
        <w:endnoteRef/>
      </w:r>
      <w:r w:rsidRPr="00BB4442">
        <w:t xml:space="preserve"> Crutchfield, ‘The Early Church Fathers and the Foundations of Dispensationalism’, Part I – Setting the Stage: The Participants and Theological Principles in the Debate’, </w:t>
      </w:r>
      <w:r w:rsidRPr="00BB4442">
        <w:rPr>
          <w:i/>
        </w:rPr>
        <w:t>Conservative Theological Journal</w:t>
      </w:r>
      <w:r w:rsidRPr="00BB4442">
        <w:t xml:space="preserve"> 02:4, March 1998, p. 20.</w:t>
      </w:r>
    </w:p>
  </w:endnote>
  <w:endnote w:id="124">
    <w:p w:rsidR="00975183" w:rsidRPr="00BB4442" w:rsidRDefault="00975183" w:rsidP="00935C95">
      <w:pPr>
        <w:pStyle w:val="EndnoteText"/>
      </w:pPr>
      <w:r w:rsidRPr="00BB4442">
        <w:rPr>
          <w:rStyle w:val="FootnoteReference"/>
        </w:rPr>
        <w:endnoteRef/>
      </w:r>
      <w:r w:rsidRPr="00BB4442">
        <w:t xml:space="preserve"> Ryrie, </w:t>
      </w:r>
      <w:r w:rsidRPr="00BB4442">
        <w:rPr>
          <w:i/>
        </w:rPr>
        <w:t>Dispensationalism Today</w:t>
      </w:r>
      <w:r w:rsidRPr="00BB4442">
        <w:t>, p. 74.</w:t>
      </w:r>
    </w:p>
  </w:endnote>
  <w:endnote w:id="125">
    <w:p w:rsidR="00975183" w:rsidRPr="00BB4442" w:rsidRDefault="00975183" w:rsidP="00935C95">
      <w:pPr>
        <w:pStyle w:val="EndnoteText"/>
      </w:pPr>
      <w:r w:rsidRPr="00BB4442">
        <w:rPr>
          <w:rStyle w:val="FootnoteReference"/>
          <w:szCs w:val="22"/>
        </w:rPr>
        <w:endnoteRef/>
      </w:r>
      <w:r w:rsidRPr="00BB4442">
        <w:rPr>
          <w:szCs w:val="22"/>
        </w:rPr>
        <w:t xml:space="preserve"> </w:t>
      </w:r>
      <w:proofErr w:type="gramStart"/>
      <w:r w:rsidRPr="00BB4442">
        <w:rPr>
          <w:szCs w:val="22"/>
        </w:rPr>
        <w:t xml:space="preserve">Blaising, ‘The Extent and Varieties of Dispensationalism’ in Craig A. Blaising and Darrell L. Bock, </w:t>
      </w:r>
      <w:r w:rsidRPr="00BB4442">
        <w:rPr>
          <w:i/>
          <w:szCs w:val="22"/>
        </w:rPr>
        <w:t>Progressive Dispensationalism</w:t>
      </w:r>
      <w:r w:rsidRPr="00BB4442">
        <w:rPr>
          <w:szCs w:val="22"/>
        </w:rPr>
        <w:t xml:space="preserve"> (Grand Rapids, Michigan: Bridgepoint Books, 1993, paperback, 2000), p. 22.</w:t>
      </w:r>
      <w:proofErr w:type="gramEnd"/>
    </w:p>
  </w:endnote>
  <w:endnote w:id="126">
    <w:p w:rsidR="00975183" w:rsidRPr="00BB4442" w:rsidRDefault="00975183" w:rsidP="00935C95">
      <w:pPr>
        <w:pStyle w:val="EndnoteText"/>
        <w:rPr>
          <w:szCs w:val="22"/>
        </w:rPr>
      </w:pPr>
      <w:r w:rsidRPr="00BB4442">
        <w:rPr>
          <w:rStyle w:val="EndnoteReference"/>
        </w:rPr>
        <w:endnoteRef/>
      </w:r>
      <w:r w:rsidRPr="00BB4442">
        <w:t xml:space="preserve"> </w:t>
      </w:r>
      <w:r w:rsidRPr="00BB4442">
        <w:rPr>
          <w:i/>
          <w:szCs w:val="22"/>
        </w:rPr>
        <w:t>Holy Bible, Concordance, New Scofield Reference Edition</w:t>
      </w:r>
      <w:r w:rsidRPr="00BB4442">
        <w:rPr>
          <w:szCs w:val="22"/>
        </w:rPr>
        <w:t xml:space="preserve">, ed. C. I. Scofield, Editorial Committee of the new edition: </w:t>
      </w:r>
    </w:p>
    <w:p w:rsidR="00975183" w:rsidRPr="00BB4442" w:rsidRDefault="00975183" w:rsidP="00935C95">
      <w:pPr>
        <w:pStyle w:val="EndnoteText"/>
      </w:pPr>
      <w:r w:rsidRPr="00BB4442">
        <w:rPr>
          <w:szCs w:val="22"/>
        </w:rPr>
        <w:t xml:space="preserve">E. Schuyler English, chairman (New York, Oxford University Press, 1967). </w:t>
      </w:r>
    </w:p>
  </w:endnote>
  <w:endnote w:id="127">
    <w:p w:rsidR="00975183" w:rsidRPr="00BB4442" w:rsidRDefault="00975183" w:rsidP="00935C95">
      <w:pPr>
        <w:pStyle w:val="EndnoteText"/>
      </w:pPr>
      <w:r w:rsidRPr="00BB4442">
        <w:rPr>
          <w:rStyle w:val="FootnoteReference"/>
          <w:szCs w:val="22"/>
        </w:rPr>
        <w:endnoteRef/>
      </w:r>
      <w:r w:rsidRPr="00BB4442">
        <w:rPr>
          <w:szCs w:val="22"/>
        </w:rPr>
        <w:t xml:space="preserve"> Blaising, ‘Extent and Varieties of Dispensationalism’, </w:t>
      </w:r>
      <w:r w:rsidRPr="00BB4442">
        <w:rPr>
          <w:i/>
          <w:szCs w:val="22"/>
        </w:rPr>
        <w:t>Progressive Dispensationalism</w:t>
      </w:r>
      <w:r w:rsidRPr="00BB4442">
        <w:rPr>
          <w:szCs w:val="22"/>
        </w:rPr>
        <w:t>, p. 22.</w:t>
      </w:r>
    </w:p>
  </w:endnote>
  <w:endnote w:id="128">
    <w:p w:rsidR="00975183" w:rsidRPr="00BB4442" w:rsidRDefault="00975183" w:rsidP="00935C95">
      <w:pPr>
        <w:pStyle w:val="EndnoteText"/>
        <w:rPr>
          <w:szCs w:val="22"/>
        </w:rPr>
      </w:pPr>
      <w:r w:rsidRPr="00BB4442">
        <w:rPr>
          <w:rStyle w:val="EndnoteReference"/>
        </w:rPr>
        <w:endnoteRef/>
      </w:r>
      <w:r w:rsidRPr="00BB4442">
        <w:t xml:space="preserve"> </w:t>
      </w:r>
      <w:r w:rsidRPr="00BB4442">
        <w:rPr>
          <w:i/>
          <w:szCs w:val="22"/>
        </w:rPr>
        <w:t>The Scofield Study Bible III, King James Version</w:t>
      </w:r>
      <w:r w:rsidRPr="00BB4442">
        <w:rPr>
          <w:szCs w:val="22"/>
        </w:rPr>
        <w:t xml:space="preserve">, ed. C. I. Scofield, Editorial Committee of the new edition: </w:t>
      </w:r>
    </w:p>
    <w:p w:rsidR="00975183" w:rsidRPr="00BB4442" w:rsidRDefault="00975183" w:rsidP="00935C95">
      <w:pPr>
        <w:pStyle w:val="EndnoteText"/>
      </w:pPr>
      <w:r w:rsidRPr="00BB4442">
        <w:rPr>
          <w:szCs w:val="22"/>
        </w:rPr>
        <w:t>E. Schuyler English, chairman, contributing ed., 2003 edition, Doris W. Rikkers (New York, Oxford University Press, 2003).</w:t>
      </w:r>
    </w:p>
  </w:endnote>
  <w:endnote w:id="129">
    <w:p w:rsidR="00975183" w:rsidRPr="003F33D2" w:rsidRDefault="00975183" w:rsidP="00F1470F">
      <w:pPr>
        <w:pStyle w:val="EndnoteText"/>
      </w:pPr>
      <w:r w:rsidRPr="003F33D2">
        <w:rPr>
          <w:rStyle w:val="EndnoteReference"/>
        </w:rPr>
        <w:endnoteRef/>
      </w:r>
      <w:r w:rsidRPr="003F33D2">
        <w:t xml:space="preserve"> </w:t>
      </w:r>
      <w:proofErr w:type="gramStart"/>
      <w:r>
        <w:t>Personal email communication from Donald Kraus, the Executive Editor of Bibles at Oxford University Press, USA, 25.6.13.</w:t>
      </w:r>
      <w:proofErr w:type="gramEnd"/>
    </w:p>
  </w:endnote>
  <w:endnote w:id="130">
    <w:p w:rsidR="00975183" w:rsidRPr="00875885" w:rsidRDefault="00975183" w:rsidP="00F1470F">
      <w:pPr>
        <w:pStyle w:val="EndnoteText"/>
      </w:pPr>
      <w:r w:rsidRPr="00875885">
        <w:rPr>
          <w:rStyle w:val="EndnoteReference"/>
        </w:rPr>
        <w:endnoteRef/>
      </w:r>
      <w:r w:rsidRPr="00875885">
        <w:t xml:space="preserve"> </w:t>
      </w:r>
      <w:r w:rsidRPr="00875885">
        <w:rPr>
          <w:rFonts w:eastAsia="Perpetua" w:cs="Perpetua"/>
          <w:spacing w:val="-1"/>
        </w:rPr>
        <w:t>Sweetnam, ‘The</w:t>
      </w:r>
      <w:r w:rsidRPr="00875885">
        <w:rPr>
          <w:rFonts w:eastAsia="Perpetua" w:cs="Perpetua"/>
        </w:rPr>
        <w:t xml:space="preserve"> </w:t>
      </w:r>
      <w:r w:rsidRPr="00875885">
        <w:rPr>
          <w:rFonts w:eastAsia="Perpetua" w:cs="Perpetua"/>
          <w:spacing w:val="-1"/>
        </w:rPr>
        <w:t>Scofield</w:t>
      </w:r>
      <w:r w:rsidRPr="00875885">
        <w:rPr>
          <w:rFonts w:eastAsia="Perpetua" w:cs="Perpetua"/>
        </w:rPr>
        <w:t xml:space="preserve"> </w:t>
      </w:r>
      <w:r w:rsidRPr="00875885">
        <w:rPr>
          <w:rFonts w:eastAsia="Perpetua" w:cs="Perpetua"/>
          <w:spacing w:val="-1"/>
        </w:rPr>
        <w:t>Reference</w:t>
      </w:r>
      <w:r w:rsidRPr="00875885">
        <w:rPr>
          <w:rFonts w:eastAsia="Perpetua" w:cs="Perpetua"/>
          <w:spacing w:val="1"/>
        </w:rPr>
        <w:t xml:space="preserve"> </w:t>
      </w:r>
      <w:r w:rsidRPr="00875885">
        <w:rPr>
          <w:rFonts w:eastAsia="Perpetua" w:cs="Perpetua"/>
          <w:spacing w:val="-1"/>
        </w:rPr>
        <w:t>Bible</w:t>
      </w:r>
      <w:r w:rsidRPr="00875885">
        <w:rPr>
          <w:rFonts w:eastAsia="Perpetua" w:cs="Perpetua"/>
          <w:spacing w:val="-2"/>
        </w:rPr>
        <w:t xml:space="preserve"> </w:t>
      </w:r>
      <w:r w:rsidRPr="00875885">
        <w:rPr>
          <w:rFonts w:eastAsia="Perpetua" w:cs="Perpetua"/>
          <w:spacing w:val="-1"/>
        </w:rPr>
        <w:t>and</w:t>
      </w:r>
      <w:r w:rsidRPr="00875885">
        <w:rPr>
          <w:rFonts w:eastAsia="Perpetua" w:cs="Perpetua"/>
        </w:rPr>
        <w:t xml:space="preserve"> </w:t>
      </w:r>
      <w:r w:rsidRPr="00875885">
        <w:rPr>
          <w:rFonts w:eastAsia="Perpetua" w:cs="Perpetua"/>
          <w:spacing w:val="-1"/>
        </w:rPr>
        <w:t>Evangelical</w:t>
      </w:r>
      <w:r w:rsidRPr="00875885">
        <w:rPr>
          <w:rFonts w:eastAsia="Perpetua" w:cs="Perpetua"/>
        </w:rPr>
        <w:t xml:space="preserve"> </w:t>
      </w:r>
      <w:r w:rsidRPr="00875885">
        <w:rPr>
          <w:rFonts w:eastAsia="Perpetua" w:cs="Perpetua"/>
          <w:spacing w:val="-1"/>
        </w:rPr>
        <w:t>Thought: One</w:t>
      </w:r>
      <w:r w:rsidRPr="00875885">
        <w:rPr>
          <w:rFonts w:eastAsia="Perpetua" w:cs="Perpetua"/>
        </w:rPr>
        <w:t xml:space="preserve"> </w:t>
      </w:r>
      <w:r w:rsidRPr="00875885">
        <w:rPr>
          <w:rFonts w:eastAsia="Perpetua" w:cs="Perpetua"/>
          <w:spacing w:val="-1"/>
        </w:rPr>
        <w:t>Hundred</w:t>
      </w:r>
      <w:r w:rsidRPr="00875885">
        <w:rPr>
          <w:rFonts w:eastAsia="Perpetua" w:cs="Perpetua"/>
        </w:rPr>
        <w:t xml:space="preserve"> </w:t>
      </w:r>
      <w:r w:rsidRPr="00875885">
        <w:rPr>
          <w:rFonts w:eastAsia="Perpetua" w:cs="Perpetua"/>
          <w:spacing w:val="-1"/>
        </w:rPr>
        <w:t>Years</w:t>
      </w:r>
      <w:r w:rsidRPr="00875885">
        <w:rPr>
          <w:rFonts w:eastAsia="Perpetua" w:cs="Perpetua"/>
        </w:rPr>
        <w:t xml:space="preserve"> </w:t>
      </w:r>
      <w:r w:rsidRPr="00875885">
        <w:rPr>
          <w:rFonts w:eastAsia="Perpetua" w:cs="Perpetua"/>
          <w:spacing w:val="-1"/>
        </w:rPr>
        <w:t>and</w:t>
      </w:r>
      <w:r w:rsidRPr="00875885">
        <w:rPr>
          <w:rFonts w:eastAsia="Perpetua" w:cs="Perpetua"/>
        </w:rPr>
        <w:t xml:space="preserve"> </w:t>
      </w:r>
      <w:r w:rsidRPr="00875885">
        <w:rPr>
          <w:rFonts w:eastAsia="Perpetua" w:cs="Perpetua"/>
          <w:spacing w:val="-1"/>
        </w:rPr>
        <w:t>Counting,’</w:t>
      </w:r>
      <w:r w:rsidRPr="00875885">
        <w:rPr>
          <w:rFonts w:eastAsia="Perpetua" w:cs="Perpetua"/>
        </w:rPr>
        <w:t xml:space="preserve"> </w:t>
      </w:r>
      <w:r w:rsidRPr="00875885">
        <w:rPr>
          <w:rFonts w:eastAsia="Perpetua" w:cs="Perpetua"/>
          <w:spacing w:val="-1"/>
        </w:rPr>
        <w:t>in</w:t>
      </w:r>
      <w:r w:rsidRPr="00875885">
        <w:rPr>
          <w:rFonts w:eastAsia="Perpetua" w:cs="Perpetua"/>
          <w:spacing w:val="36"/>
        </w:rPr>
        <w:t xml:space="preserve"> </w:t>
      </w:r>
      <w:r w:rsidRPr="00875885">
        <w:t xml:space="preserve">R. Todd Mangum and Mark S. Sweetnam, </w:t>
      </w:r>
      <w:r w:rsidRPr="00875885">
        <w:rPr>
          <w:i/>
        </w:rPr>
        <w:t>The Scofield Bible: Its History and Impact on the Evangelical Church</w:t>
      </w:r>
      <w:r w:rsidRPr="00875885">
        <w:t xml:space="preserve"> (Colorado Springs: Paternoster, 2009), </w:t>
      </w:r>
      <w:r w:rsidRPr="00875885">
        <w:rPr>
          <w:rFonts w:eastAsia="Perpetua" w:cs="Perpetua"/>
          <w:spacing w:val="-1"/>
        </w:rPr>
        <w:t>p.</w:t>
      </w:r>
      <w:r w:rsidRPr="00875885">
        <w:rPr>
          <w:rFonts w:eastAsia="Perpetua" w:cs="Perpetua"/>
        </w:rPr>
        <w:t xml:space="preserve"> </w:t>
      </w:r>
      <w:r w:rsidRPr="00875885">
        <w:rPr>
          <w:rFonts w:eastAsia="Perpetua" w:cs="Perpetua"/>
          <w:spacing w:val="-1"/>
        </w:rPr>
        <w:t>202.</w:t>
      </w:r>
    </w:p>
  </w:endnote>
  <w:endnote w:id="131">
    <w:p w:rsidR="00975183" w:rsidRPr="00875885" w:rsidRDefault="00975183" w:rsidP="00F1470F">
      <w:pPr>
        <w:pStyle w:val="EndnoteText"/>
      </w:pPr>
      <w:r w:rsidRPr="00875885">
        <w:rPr>
          <w:rStyle w:val="EndnoteReference"/>
        </w:rPr>
        <w:endnoteRef/>
      </w:r>
      <w:r w:rsidRPr="00875885">
        <w:t xml:space="preserve"> Sweetnam</w:t>
      </w:r>
      <w:r>
        <w:t>, ‘</w:t>
      </w:r>
      <w:r>
        <w:rPr>
          <w:rFonts w:eastAsia="Perpetua" w:cs="Perpetua"/>
          <w:spacing w:val="-1"/>
        </w:rPr>
        <w:t>One</w:t>
      </w:r>
      <w:r>
        <w:rPr>
          <w:rFonts w:eastAsia="Perpetua" w:cs="Perpetua"/>
        </w:rPr>
        <w:t xml:space="preserve"> </w:t>
      </w:r>
      <w:r>
        <w:rPr>
          <w:rFonts w:eastAsia="Perpetua" w:cs="Perpetua"/>
          <w:spacing w:val="-1"/>
        </w:rPr>
        <w:t>Hundred</w:t>
      </w:r>
      <w:r>
        <w:rPr>
          <w:rFonts w:eastAsia="Perpetua" w:cs="Perpetua"/>
        </w:rPr>
        <w:t xml:space="preserve"> </w:t>
      </w:r>
      <w:r>
        <w:rPr>
          <w:rFonts w:eastAsia="Perpetua" w:cs="Perpetua"/>
          <w:spacing w:val="-1"/>
        </w:rPr>
        <w:t>Years</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 xml:space="preserve">Counting’ in Mangum and Sweetnam, </w:t>
      </w:r>
      <w:r w:rsidRPr="00875885">
        <w:rPr>
          <w:rFonts w:eastAsia="Perpetua" w:cs="Perpetua"/>
          <w:i/>
          <w:spacing w:val="-1"/>
        </w:rPr>
        <w:t>History and Impact</w:t>
      </w:r>
      <w:r>
        <w:rPr>
          <w:rFonts w:eastAsia="Perpetua" w:cs="Perpetua"/>
          <w:spacing w:val="-1"/>
        </w:rPr>
        <w:t>, p. 199.</w:t>
      </w:r>
    </w:p>
  </w:endnote>
  <w:endnote w:id="132">
    <w:p w:rsidR="00975183" w:rsidRDefault="00975183" w:rsidP="00F1470F">
      <w:pPr>
        <w:pStyle w:val="FootnoteText"/>
      </w:pPr>
      <w:r w:rsidRPr="00320C6D">
        <w:rPr>
          <w:rStyle w:val="EndnoteReference"/>
          <w:rFonts w:ascii="Perpetua" w:hAnsi="Perpetua"/>
        </w:rPr>
        <w:endnoteRef/>
      </w:r>
      <w:r w:rsidRPr="00320C6D">
        <w:rPr>
          <w:rFonts w:ascii="Perpetua" w:hAnsi="Perpetua"/>
        </w:rPr>
        <w:t xml:space="preserve"> </w:t>
      </w:r>
      <w:r w:rsidRPr="00320C6D">
        <w:rPr>
          <w:rFonts w:ascii="Perpetua" w:hAnsi="Perpetua"/>
          <w:color w:val="000000"/>
        </w:rPr>
        <w:t>This information was received in personal email correspondence on 5 February, 2016, from R. Todd Mangum, Academic Dean and Professor of Theology, Biblical Theological Seminary, Hatfield, PA.</w:t>
      </w:r>
    </w:p>
  </w:endnote>
  <w:endnote w:id="133">
    <w:p w:rsidR="00975183" w:rsidRDefault="00975183" w:rsidP="00F1470F">
      <w:pPr>
        <w:pStyle w:val="EndnoteText"/>
      </w:pPr>
      <w:r w:rsidRPr="00DA01AD">
        <w:rPr>
          <w:rStyle w:val="FootnoteReference"/>
          <w:szCs w:val="22"/>
        </w:rPr>
        <w:endnoteRef/>
      </w:r>
      <w:r w:rsidRPr="00DA01AD">
        <w:rPr>
          <w:szCs w:val="22"/>
        </w:rPr>
        <w:t xml:space="preserve"> Blaising, ‘Extent and Varieties’, </w:t>
      </w:r>
      <w:r w:rsidRPr="00DA01AD">
        <w:rPr>
          <w:i/>
          <w:szCs w:val="22"/>
        </w:rPr>
        <w:t>Progressive Dispensationalism</w:t>
      </w:r>
      <w:r w:rsidRPr="00DA01AD">
        <w:rPr>
          <w:szCs w:val="22"/>
        </w:rPr>
        <w:t xml:space="preserve">, p. </w:t>
      </w:r>
      <w:r>
        <w:rPr>
          <w:szCs w:val="22"/>
        </w:rPr>
        <w:t>22.</w:t>
      </w:r>
    </w:p>
  </w:endnote>
  <w:endnote w:id="134">
    <w:p w:rsidR="00975183" w:rsidRDefault="00975183" w:rsidP="00F1470F">
      <w:pPr>
        <w:pStyle w:val="EndnoteText"/>
      </w:pPr>
      <w:r w:rsidRPr="00D41234">
        <w:rPr>
          <w:rStyle w:val="FootnoteReference"/>
        </w:rPr>
        <w:endnoteRef/>
      </w:r>
      <w:r w:rsidRPr="00D41234">
        <w:t xml:space="preserve"> Mark S.Sweetnam, ‘Defining Dispensationalism: A Cultural Studies Perspective’, </w:t>
      </w:r>
      <w:r w:rsidRPr="00D41234">
        <w:rPr>
          <w:i/>
        </w:rPr>
        <w:t>Journal of Religious History</w:t>
      </w:r>
      <w:r w:rsidRPr="00D41234">
        <w:t xml:space="preserve">, </w:t>
      </w:r>
    </w:p>
    <w:p w:rsidR="00975183" w:rsidRDefault="00975183" w:rsidP="00F1470F">
      <w:pPr>
        <w:pStyle w:val="EndnoteText"/>
      </w:pPr>
      <w:r w:rsidRPr="00D41234">
        <w:t>Vol. 24, No. 2, June 2010, p. 19</w:t>
      </w:r>
      <w:r>
        <w:t>8</w:t>
      </w:r>
      <w:r w:rsidRPr="00D41234">
        <w:t>.</w:t>
      </w:r>
      <w:r>
        <w:t xml:space="preserve">  </w:t>
      </w:r>
    </w:p>
    <w:p w:rsidR="00975183" w:rsidRDefault="00975183" w:rsidP="00F1470F">
      <w:pPr>
        <w:pStyle w:val="EndnoteText"/>
      </w:pPr>
      <w:r>
        <w:t>1.  A commitment to Evangelical doctrine.</w:t>
      </w:r>
    </w:p>
    <w:p w:rsidR="00975183" w:rsidRDefault="00975183" w:rsidP="00F1470F">
      <w:pPr>
        <w:pStyle w:val="EndnoteText"/>
      </w:pPr>
      <w:r>
        <w:t>2.  A commitment to a literal Biblical hermeneutic.</w:t>
      </w:r>
    </w:p>
    <w:p w:rsidR="00975183" w:rsidRDefault="00975183" w:rsidP="00F1470F">
      <w:pPr>
        <w:pStyle w:val="EndnoteText"/>
      </w:pPr>
      <w:proofErr w:type="gramStart"/>
      <w:r>
        <w:t>3.  A recognition</w:t>
      </w:r>
      <w:proofErr w:type="gramEnd"/>
      <w:r>
        <w:t xml:space="preserve"> in manifestation of Divine dealing with mankind, which insists on the uniqueness and importance of both Israel and the Church in the Divine plan.</w:t>
      </w:r>
    </w:p>
    <w:p w:rsidR="00975183" w:rsidRDefault="00975183" w:rsidP="00F1470F">
      <w:pPr>
        <w:pStyle w:val="EndnoteText"/>
      </w:pPr>
      <w:r>
        <w:t>4.  An expectation of the imminent return of Christ in the Rapture.</w:t>
      </w:r>
    </w:p>
    <w:p w:rsidR="00975183" w:rsidRDefault="00975183" w:rsidP="00F1470F">
      <w:pPr>
        <w:pStyle w:val="EndnoteText"/>
      </w:pPr>
      <w:r>
        <w:t>5.  An emphasis on apocalyptic and millennial expectation.</w:t>
      </w:r>
    </w:p>
  </w:endnote>
  <w:endnote w:id="135">
    <w:p w:rsidR="00975183" w:rsidRDefault="00975183" w:rsidP="00F1470F">
      <w:pPr>
        <w:pStyle w:val="EndnoteText"/>
      </w:pPr>
      <w:r w:rsidRPr="00580AF7">
        <w:rPr>
          <w:rStyle w:val="EndnoteReference"/>
        </w:rPr>
        <w:endnoteRef/>
      </w:r>
      <w:r>
        <w:t xml:space="preserve"> </w:t>
      </w:r>
      <w:r w:rsidRPr="00316D38">
        <w:rPr>
          <w:szCs w:val="22"/>
        </w:rPr>
        <w:t xml:space="preserve">David Bebbington, </w:t>
      </w:r>
      <w:r w:rsidRPr="00316D38">
        <w:rPr>
          <w:i/>
          <w:szCs w:val="22"/>
        </w:rPr>
        <w:t xml:space="preserve">Evangelicalism in Modern Britain: A History from the 1730s to the 1980s </w:t>
      </w:r>
      <w:r w:rsidRPr="00316D38">
        <w:rPr>
          <w:szCs w:val="22"/>
        </w:rPr>
        <w:t>(London: Unwin Hyman/Routledge, 1989; paperback edition, Baker Book House, 1992),</w:t>
      </w:r>
      <w:r w:rsidRPr="00DA01AD">
        <w:rPr>
          <w:szCs w:val="22"/>
        </w:rPr>
        <w:t xml:space="preserve"> pp. 1 - </w:t>
      </w:r>
      <w:r>
        <w:rPr>
          <w:szCs w:val="22"/>
        </w:rPr>
        <w:t>3</w:t>
      </w:r>
      <w:r w:rsidRPr="00DA01AD">
        <w:rPr>
          <w:szCs w:val="22"/>
        </w:rPr>
        <w:t>.</w:t>
      </w:r>
      <w:r>
        <w:rPr>
          <w:szCs w:val="22"/>
        </w:rPr>
        <w:t xml:space="preserve">  </w:t>
      </w:r>
      <w:r w:rsidRPr="00257F55">
        <w:rPr>
          <w:b/>
          <w:szCs w:val="22"/>
        </w:rPr>
        <w:t>See Chapter 3</w:t>
      </w:r>
      <w:r>
        <w:rPr>
          <w:szCs w:val="22"/>
        </w:rPr>
        <w:t>.</w:t>
      </w:r>
    </w:p>
  </w:endnote>
  <w:endnote w:id="136">
    <w:p w:rsidR="00975183" w:rsidRDefault="00975183" w:rsidP="00F1470F">
      <w:pPr>
        <w:pStyle w:val="EndnoteText"/>
      </w:pPr>
      <w:r w:rsidRPr="00DA01AD">
        <w:rPr>
          <w:rStyle w:val="FootnoteReference"/>
        </w:rPr>
        <w:endnoteRef/>
      </w:r>
      <w:r w:rsidRPr="00DA01AD">
        <w:t xml:space="preserve"> David Hilborn, ‘Evangelicalism: a brief definition’, Evangelical Alliance, UK &lt;http://www.eauk.org/connect/about-us/upload/Evangelicalism-a-brief-definition.pdf&gt; [accessed 13.6.17], p. 1.</w:t>
      </w:r>
    </w:p>
  </w:endnote>
  <w:endnote w:id="137">
    <w:p w:rsidR="00975183" w:rsidRPr="005B2DF9" w:rsidRDefault="00975183" w:rsidP="00F1470F">
      <w:pPr>
        <w:pStyle w:val="EndnoteText"/>
      </w:pPr>
      <w:r w:rsidRPr="005B2DF9">
        <w:rPr>
          <w:rStyle w:val="EndnoteReference"/>
        </w:rPr>
        <w:endnoteRef/>
      </w:r>
      <w:r w:rsidRPr="005B2DF9">
        <w:t xml:space="preserve"> </w:t>
      </w:r>
      <w:proofErr w:type="gramStart"/>
      <w:r>
        <w:t>‘… the uniqueness and importance of both Israel and the Church in the Divine plan.’</w:t>
      </w:r>
      <w:proofErr w:type="gramEnd"/>
      <w:r>
        <w:t xml:space="preserve">  </w:t>
      </w:r>
      <w:r w:rsidRPr="005B2DF9">
        <w:t>Sweetnam</w:t>
      </w:r>
      <w:r>
        <w:t>, ‘Defining Dispensationalism’, p. 198.</w:t>
      </w:r>
    </w:p>
  </w:endnote>
  <w:endnote w:id="138">
    <w:p w:rsidR="00975183" w:rsidRDefault="00975183" w:rsidP="00F1470F">
      <w:pPr>
        <w:pStyle w:val="EndnoteText"/>
      </w:pPr>
      <w:r w:rsidRPr="005B2DF9">
        <w:rPr>
          <w:rStyle w:val="EndnoteReference"/>
        </w:rPr>
        <w:endnoteRef/>
      </w:r>
      <w:r w:rsidRPr="005B2DF9">
        <w:t xml:space="preserve"> </w:t>
      </w:r>
      <w:r>
        <w:t>‘A recognition in manifestation of Divine dealing with mankind …</w:t>
      </w:r>
      <w:proofErr w:type="gramStart"/>
      <w:r>
        <w:t>’.</w:t>
      </w:r>
      <w:proofErr w:type="gramEnd"/>
      <w:r>
        <w:t xml:space="preserve">  </w:t>
      </w:r>
      <w:r w:rsidRPr="005B2DF9">
        <w:t>Sweetnam</w:t>
      </w:r>
      <w:r>
        <w:t xml:space="preserve">, ‘Defining Dispensationalism’, </w:t>
      </w:r>
    </w:p>
    <w:p w:rsidR="00975183" w:rsidRDefault="00975183" w:rsidP="00F1470F">
      <w:pPr>
        <w:pStyle w:val="EndnoteText"/>
      </w:pPr>
      <w:proofErr w:type="gramStart"/>
      <w:r>
        <w:t>p. 198.</w:t>
      </w:r>
      <w:proofErr w:type="gramEnd"/>
    </w:p>
  </w:endnote>
  <w:endnote w:id="139">
    <w:p w:rsidR="00975183" w:rsidRPr="005E748F" w:rsidRDefault="00975183" w:rsidP="00F1470F">
      <w:pPr>
        <w:pStyle w:val="EndnoteText"/>
      </w:pPr>
      <w:r w:rsidRPr="005E748F">
        <w:rPr>
          <w:rStyle w:val="EndnoteReference"/>
        </w:rPr>
        <w:endnoteRef/>
      </w:r>
      <w:r w:rsidRPr="005E748F">
        <w:t xml:space="preserve"> </w:t>
      </w:r>
      <w:proofErr w:type="gramStart"/>
      <w:r>
        <w:t>T</w:t>
      </w:r>
      <w:r w:rsidRPr="005E748F">
        <w:t>he Pentateuch, ‘</w:t>
      </w:r>
      <w:r>
        <w:t>H</w:t>
      </w:r>
      <w:r w:rsidRPr="005E748F">
        <w:t xml:space="preserve">istorical </w:t>
      </w:r>
      <w:r>
        <w:t>B</w:t>
      </w:r>
      <w:r w:rsidRPr="005E748F">
        <w:t>ooks</w:t>
      </w:r>
      <w:r>
        <w:t>’</w:t>
      </w:r>
      <w:r w:rsidRPr="005E748F">
        <w:t>, ‘</w:t>
      </w:r>
      <w:r>
        <w:t>P</w:t>
      </w:r>
      <w:r w:rsidRPr="005E748F">
        <w:t xml:space="preserve">oetical </w:t>
      </w:r>
      <w:r>
        <w:t>B</w:t>
      </w:r>
      <w:r w:rsidRPr="005E748F">
        <w:t>ooks, ‘</w:t>
      </w:r>
      <w:r>
        <w:t>P</w:t>
      </w:r>
      <w:r w:rsidRPr="005E748F">
        <w:t>rophetical</w:t>
      </w:r>
      <w:r>
        <w:t xml:space="preserve"> B</w:t>
      </w:r>
      <w:r w:rsidRPr="005E748F">
        <w:t>ooks</w:t>
      </w:r>
      <w:r>
        <w:t>’</w:t>
      </w:r>
      <w:r w:rsidRPr="005E748F">
        <w:t xml:space="preserve">, </w:t>
      </w:r>
      <w:r>
        <w:t>G</w:t>
      </w:r>
      <w:r w:rsidRPr="005E748F">
        <w:t xml:space="preserve">ospels and Acts, Pauline </w:t>
      </w:r>
      <w:r>
        <w:t>E</w:t>
      </w:r>
      <w:r w:rsidRPr="005E748F">
        <w:t xml:space="preserve">pistles, </w:t>
      </w:r>
      <w:r>
        <w:t>‘</w:t>
      </w:r>
      <w:r w:rsidRPr="005E748F">
        <w:t>Jewish-Christian</w:t>
      </w:r>
      <w:r>
        <w:t>’</w:t>
      </w:r>
      <w:r w:rsidRPr="005E748F">
        <w:t xml:space="preserve"> </w:t>
      </w:r>
      <w:r>
        <w:t>E</w:t>
      </w:r>
      <w:r w:rsidRPr="005E748F">
        <w:t>pistles and Revelation</w:t>
      </w:r>
      <w:r>
        <w:t>.</w:t>
      </w:r>
      <w:proofErr w:type="gramEnd"/>
    </w:p>
  </w:endnote>
  <w:endnote w:id="140">
    <w:p w:rsidR="00975183" w:rsidRPr="00A305E0" w:rsidRDefault="00975183" w:rsidP="00F1470F">
      <w:pPr>
        <w:pStyle w:val="EndnoteText"/>
      </w:pPr>
      <w:r w:rsidRPr="00A305E0">
        <w:rPr>
          <w:rStyle w:val="EndnoteReference"/>
        </w:rPr>
        <w:endnoteRef/>
      </w:r>
      <w:r w:rsidRPr="00A305E0">
        <w:t xml:space="preserve"> </w:t>
      </w:r>
      <w:r w:rsidRPr="00A305E0">
        <w:rPr>
          <w:i/>
        </w:rPr>
        <w:t>The Geneva Bible: A Facsimile of the 1560 Edition</w:t>
      </w:r>
      <w:r w:rsidRPr="00A305E0">
        <w:t xml:space="preserve"> (Hendrickson Publishers, Inc.: Peabody, Massachusetts, 2007; original facsimile edition published by University of Wisconsin Press, 1969).</w:t>
      </w:r>
    </w:p>
  </w:endnote>
  <w:endnote w:id="141">
    <w:p w:rsidR="00975183" w:rsidRPr="00253E12" w:rsidRDefault="00975183" w:rsidP="00F1470F">
      <w:pPr>
        <w:pStyle w:val="EndnoteText"/>
      </w:pPr>
      <w:r w:rsidRPr="00253E12">
        <w:rPr>
          <w:rStyle w:val="EndnoteReference"/>
        </w:rPr>
        <w:endnoteRef/>
      </w:r>
      <w:r w:rsidRPr="00253E12">
        <w:t xml:space="preserve"> Charles C. Ryrie, </w:t>
      </w:r>
      <w:r w:rsidRPr="00253E12">
        <w:rPr>
          <w:i/>
        </w:rPr>
        <w:t>Ryrie Study Bible</w:t>
      </w:r>
      <w:r w:rsidRPr="00253E12">
        <w:t xml:space="preserve"> (Chicago: Moody Bible Institute of Chicago, 1976, 1978).</w:t>
      </w:r>
    </w:p>
  </w:endnote>
  <w:endnote w:id="142">
    <w:p w:rsidR="00975183" w:rsidRPr="00957015" w:rsidRDefault="00975183" w:rsidP="00F1470F">
      <w:pPr>
        <w:pStyle w:val="EndnoteText"/>
      </w:pPr>
      <w:r w:rsidRPr="00957015">
        <w:rPr>
          <w:rStyle w:val="EndnoteReference"/>
        </w:rPr>
        <w:endnoteRef/>
      </w:r>
      <w:r w:rsidRPr="00957015">
        <w:t xml:space="preserve"> </w:t>
      </w:r>
      <w:proofErr w:type="gramStart"/>
      <w:r w:rsidRPr="00957015">
        <w:t xml:space="preserve">Kenneth L. Barker, (gen. ed.), </w:t>
      </w:r>
      <w:r w:rsidRPr="00957015">
        <w:rPr>
          <w:i/>
        </w:rPr>
        <w:t>The NIV Study Bible, New International Version</w:t>
      </w:r>
      <w:r w:rsidRPr="00957015">
        <w:t xml:space="preserve"> </w:t>
      </w:r>
      <w:r w:rsidRPr="00957015">
        <w:rPr>
          <w:i/>
        </w:rPr>
        <w:t>with Study Notes and References, Concordance and Maps</w:t>
      </w:r>
      <w:r w:rsidRPr="00957015">
        <w:t xml:space="preserve"> (London: Hodder &amp; Stoughton, 7</w:t>
      </w:r>
      <w:r w:rsidRPr="00957015">
        <w:rPr>
          <w:vertAlign w:val="superscript"/>
        </w:rPr>
        <w:t>th</w:t>
      </w:r>
      <w:r w:rsidRPr="00957015">
        <w:t xml:space="preserve"> impression, 1993).</w:t>
      </w:r>
      <w:proofErr w:type="gramEnd"/>
    </w:p>
  </w:endnote>
  <w:endnote w:id="143">
    <w:p w:rsidR="00975183" w:rsidRPr="004004CA" w:rsidRDefault="00975183" w:rsidP="00F1470F">
      <w:pPr>
        <w:pStyle w:val="EndnoteText"/>
      </w:pPr>
      <w:r w:rsidRPr="004004CA">
        <w:rPr>
          <w:rStyle w:val="EndnoteReference"/>
        </w:rPr>
        <w:endnoteRef/>
      </w:r>
      <w:r w:rsidRPr="004004CA">
        <w:t xml:space="preserve"> Howard Clark Kee, </w:t>
      </w:r>
      <w:r>
        <w:t>(</w:t>
      </w:r>
      <w:r w:rsidRPr="004004CA">
        <w:t>ed.</w:t>
      </w:r>
      <w:r>
        <w:t>)</w:t>
      </w:r>
      <w:r w:rsidRPr="004004CA">
        <w:t xml:space="preserve">, </w:t>
      </w:r>
      <w:proofErr w:type="gramStart"/>
      <w:r w:rsidRPr="004004CA">
        <w:rPr>
          <w:i/>
        </w:rPr>
        <w:t>The</w:t>
      </w:r>
      <w:proofErr w:type="gramEnd"/>
      <w:r w:rsidRPr="004004CA">
        <w:rPr>
          <w:i/>
        </w:rPr>
        <w:t xml:space="preserve"> Cambridge Annotated Study Bible: New Revised Standard Version</w:t>
      </w:r>
      <w:r w:rsidRPr="004004CA">
        <w:t xml:space="preserve"> (Cambridge: Cambridge University Press, 1989).</w:t>
      </w:r>
    </w:p>
  </w:endnote>
  <w:endnote w:id="144">
    <w:p w:rsidR="00975183" w:rsidRDefault="00975183" w:rsidP="00F1470F">
      <w:pPr>
        <w:pStyle w:val="EndnoteText"/>
      </w:pPr>
      <w:r w:rsidRPr="00C05340">
        <w:rPr>
          <w:rStyle w:val="EndnoteReference"/>
        </w:rPr>
        <w:endnoteRef/>
      </w:r>
      <w:r w:rsidRPr="00C05340">
        <w:t xml:space="preserve"> </w:t>
      </w:r>
      <w:r w:rsidRPr="00C05340">
        <w:rPr>
          <w:i/>
        </w:rPr>
        <w:t>SRB</w:t>
      </w:r>
      <w:r w:rsidRPr="00C05340">
        <w:t>, p. iii</w:t>
      </w:r>
      <w:r>
        <w:t>, point 1.</w:t>
      </w:r>
    </w:p>
  </w:endnote>
  <w:endnote w:id="145">
    <w:p w:rsidR="00975183" w:rsidRDefault="00975183" w:rsidP="00F1470F">
      <w:pPr>
        <w:pStyle w:val="EndnoteText"/>
      </w:pPr>
      <w:r w:rsidRPr="00C05340">
        <w:rPr>
          <w:rStyle w:val="EndnoteReference"/>
        </w:rPr>
        <w:endnoteRef/>
      </w:r>
      <w:r w:rsidRPr="00C05340">
        <w:t xml:space="preserve"> </w:t>
      </w:r>
      <w:r w:rsidRPr="00C05340">
        <w:rPr>
          <w:i/>
        </w:rPr>
        <w:t>SRB</w:t>
      </w:r>
      <w:r w:rsidRPr="00C05340">
        <w:t>, p. iii</w:t>
      </w:r>
      <w:r>
        <w:t>, point 3.</w:t>
      </w:r>
    </w:p>
  </w:endnote>
  <w:endnote w:id="146">
    <w:p w:rsidR="00975183" w:rsidRPr="006329CD" w:rsidRDefault="00975183" w:rsidP="00F1470F">
      <w:pPr>
        <w:pStyle w:val="EndnoteText"/>
        <w:rPr>
          <w:szCs w:val="18"/>
        </w:rPr>
      </w:pPr>
      <w:r w:rsidRPr="00B21319">
        <w:rPr>
          <w:rStyle w:val="EndnoteReference"/>
          <w:szCs w:val="18"/>
        </w:rPr>
        <w:endnoteRef/>
      </w:r>
      <w:r w:rsidRPr="00B21319">
        <w:rPr>
          <w:szCs w:val="18"/>
        </w:rPr>
        <w:t xml:space="preserve"> </w:t>
      </w:r>
      <w:proofErr w:type="gramStart"/>
      <w:r w:rsidRPr="00B21319">
        <w:rPr>
          <w:i/>
          <w:szCs w:val="18"/>
        </w:rPr>
        <w:t>SRB</w:t>
      </w:r>
      <w:r w:rsidRPr="0023362B">
        <w:rPr>
          <w:szCs w:val="18"/>
        </w:rPr>
        <w:t>,</w:t>
      </w:r>
      <w:r w:rsidRPr="00B21319">
        <w:rPr>
          <w:szCs w:val="18"/>
        </w:rPr>
        <w:t xml:space="preserve"> p. iii</w:t>
      </w:r>
      <w:r>
        <w:rPr>
          <w:szCs w:val="18"/>
        </w:rPr>
        <w:t>, point IV</w:t>
      </w:r>
      <w:r w:rsidRPr="006329CD">
        <w:rPr>
          <w:szCs w:val="18"/>
        </w:rPr>
        <w:t>.</w:t>
      </w:r>
      <w:proofErr w:type="gramEnd"/>
      <w:r w:rsidRPr="006329CD">
        <w:rPr>
          <w:szCs w:val="18"/>
        </w:rPr>
        <w:t xml:space="preserve">  </w:t>
      </w:r>
      <w:r w:rsidRPr="00346907">
        <w:rPr>
          <w:b/>
          <w:szCs w:val="18"/>
        </w:rPr>
        <w:t>See 2.3</w:t>
      </w:r>
      <w:r w:rsidRPr="006329CD">
        <w:rPr>
          <w:b/>
          <w:szCs w:val="18"/>
        </w:rPr>
        <w:t>.</w:t>
      </w:r>
    </w:p>
  </w:endnote>
  <w:endnote w:id="147">
    <w:p w:rsidR="00975183" w:rsidRPr="001E28D6" w:rsidRDefault="00975183" w:rsidP="00F1470F">
      <w:pPr>
        <w:pStyle w:val="EndnoteText"/>
      </w:pPr>
      <w:r w:rsidRPr="001E28D6">
        <w:rPr>
          <w:rStyle w:val="EndnoteReference"/>
        </w:rPr>
        <w:endnoteRef/>
      </w:r>
      <w:r w:rsidRPr="001E28D6">
        <w:t xml:space="preserve"> </w:t>
      </w:r>
      <w:r w:rsidRPr="00075701">
        <w:rPr>
          <w:b/>
        </w:rPr>
        <w:t>See Chapter 2</w:t>
      </w:r>
      <w:r w:rsidRPr="001E28D6">
        <w:t>.</w:t>
      </w:r>
    </w:p>
  </w:endnote>
  <w:endnote w:id="148">
    <w:p w:rsidR="00975183" w:rsidRPr="006329CD" w:rsidRDefault="00975183" w:rsidP="00F1470F">
      <w:pPr>
        <w:pStyle w:val="EndnoteText"/>
      </w:pPr>
      <w:r w:rsidRPr="006329CD">
        <w:rPr>
          <w:rStyle w:val="FootnoteReference"/>
        </w:rPr>
        <w:endnoteRef/>
      </w:r>
      <w:r w:rsidRPr="006329CD">
        <w:t xml:space="preserve"> </w:t>
      </w:r>
      <w:proofErr w:type="gramStart"/>
      <w:r w:rsidRPr="006329CD">
        <w:t>Old Testament.</w:t>
      </w:r>
      <w:proofErr w:type="gramEnd"/>
    </w:p>
  </w:endnote>
  <w:endnote w:id="149">
    <w:p w:rsidR="00975183" w:rsidRPr="006329CD" w:rsidRDefault="00975183" w:rsidP="00F1470F">
      <w:pPr>
        <w:pStyle w:val="EndnoteText"/>
      </w:pPr>
      <w:r w:rsidRPr="006329CD">
        <w:rPr>
          <w:rStyle w:val="EndnoteReference"/>
        </w:rPr>
        <w:endnoteRef/>
      </w:r>
      <w:r w:rsidRPr="006329CD">
        <w:t xml:space="preserve"> </w:t>
      </w:r>
      <w:proofErr w:type="gramStart"/>
      <w:r w:rsidRPr="006329CD">
        <w:t>New Testament.</w:t>
      </w:r>
      <w:proofErr w:type="gramEnd"/>
    </w:p>
  </w:endnote>
  <w:endnote w:id="150">
    <w:p w:rsidR="00975183" w:rsidRPr="00B05E02" w:rsidRDefault="00975183" w:rsidP="00F1470F">
      <w:pPr>
        <w:pStyle w:val="EndnoteText"/>
      </w:pPr>
      <w:r w:rsidRPr="00B05E02">
        <w:rPr>
          <w:rStyle w:val="EndnoteReference"/>
        </w:rPr>
        <w:endnoteRef/>
      </w:r>
      <w:r w:rsidRPr="00B05E02">
        <w:t xml:space="preserve"> </w:t>
      </w:r>
      <w:r>
        <w:t xml:space="preserve">An electronic version of </w:t>
      </w:r>
      <w:r w:rsidRPr="00B05E02">
        <w:rPr>
          <w:i/>
        </w:rPr>
        <w:t>SRB</w:t>
      </w:r>
      <w:r>
        <w:t xml:space="preserve"> is available at </w:t>
      </w:r>
      <w:r w:rsidRPr="00B05E02">
        <w:t>https://www.biblestudytools.com/commentaries/scofield-reference-notes/</w:t>
      </w:r>
      <w:r>
        <w:t xml:space="preserve">, but the notes reproduced here are not always accurate.  They also include the shorter notes which appear in the central columns of </w:t>
      </w:r>
      <w:r w:rsidRPr="00B05E02">
        <w:rPr>
          <w:i/>
        </w:rPr>
        <w:t>SRB</w:t>
      </w:r>
      <w:r>
        <w:t xml:space="preserve">; these do not form part of the current study.  These notes, therefore, could not be used in the calculation of numbers of words in the footnotes of </w:t>
      </w:r>
      <w:r w:rsidRPr="00B05E02">
        <w:rPr>
          <w:i/>
        </w:rPr>
        <w:t>SRB</w:t>
      </w:r>
      <w:r>
        <w:t>.</w:t>
      </w:r>
    </w:p>
  </w:endnote>
  <w:endnote w:id="151">
    <w:p w:rsidR="00975183" w:rsidRDefault="00975183" w:rsidP="00F1470F">
      <w:pPr>
        <w:pStyle w:val="EndnoteText"/>
      </w:pPr>
      <w:r w:rsidRPr="00361C09">
        <w:rPr>
          <w:rStyle w:val="FootnoteReference"/>
          <w:szCs w:val="18"/>
        </w:rPr>
        <w:endnoteRef/>
      </w:r>
      <w:r w:rsidRPr="00361C09">
        <w:rPr>
          <w:szCs w:val="18"/>
        </w:rPr>
        <w:t xml:space="preserve"> This happens with Obadiah, Philemon, 2 John, 3 John and Jude in </w:t>
      </w:r>
      <w:r w:rsidRPr="00361C09">
        <w:rPr>
          <w:i/>
          <w:szCs w:val="18"/>
        </w:rPr>
        <w:t>KJV</w:t>
      </w:r>
      <w:r w:rsidRPr="00361C09">
        <w:rPr>
          <w:szCs w:val="18"/>
        </w:rPr>
        <w:t xml:space="preserve">, and with 2 Kings and Philemon in </w:t>
      </w:r>
      <w:r w:rsidRPr="00361C09">
        <w:rPr>
          <w:i/>
          <w:szCs w:val="18"/>
        </w:rPr>
        <w:t>SRB</w:t>
      </w:r>
      <w:r w:rsidRPr="00361C09">
        <w:rPr>
          <w:szCs w:val="18"/>
        </w:rPr>
        <w:t>.</w:t>
      </w:r>
    </w:p>
  </w:endnote>
  <w:endnote w:id="152">
    <w:p w:rsidR="00975183" w:rsidRDefault="00975183" w:rsidP="00F1470F">
      <w:pPr>
        <w:pStyle w:val="EndnoteText"/>
      </w:pPr>
      <w:r w:rsidRPr="00361C09">
        <w:rPr>
          <w:rStyle w:val="FootnoteReference"/>
          <w:szCs w:val="18"/>
        </w:rPr>
        <w:endnoteRef/>
      </w:r>
      <w:r w:rsidRPr="00361C09">
        <w:rPr>
          <w:szCs w:val="18"/>
        </w:rPr>
        <w:t xml:space="preserve"> </w:t>
      </w:r>
      <w:r w:rsidRPr="005D2A5C">
        <w:t xml:space="preserve">Todd Mangum, ‘The Theology of the Scofield Reference Bible’ in R. Todd Mangum and Mark S. Sweetnam, </w:t>
      </w:r>
      <w:proofErr w:type="gramStart"/>
      <w:r w:rsidRPr="005D2A5C">
        <w:rPr>
          <w:i/>
        </w:rPr>
        <w:t>The</w:t>
      </w:r>
      <w:proofErr w:type="gramEnd"/>
      <w:r w:rsidRPr="005D2A5C">
        <w:rPr>
          <w:i/>
        </w:rPr>
        <w:t xml:space="preserve"> Scofield Bible: Its History and Impact on the Evangelical Church</w:t>
      </w:r>
      <w:r w:rsidRPr="005D2A5C">
        <w:t xml:space="preserve"> (Colorado Springs: Paternoster, 2009), p. 117.  Mangum does not attempt to estimate the number of words in the </w:t>
      </w:r>
      <w:r w:rsidRPr="005D2A5C">
        <w:rPr>
          <w:i/>
        </w:rPr>
        <w:t>SRB</w:t>
      </w:r>
      <w:r w:rsidRPr="005D2A5C">
        <w:t xml:space="preserve"> notes.</w:t>
      </w:r>
    </w:p>
  </w:endnote>
  <w:endnote w:id="153">
    <w:p w:rsidR="00975183" w:rsidRDefault="00975183" w:rsidP="00F1470F">
      <w:pPr>
        <w:pStyle w:val="EndnoteText"/>
      </w:pPr>
      <w:r w:rsidRPr="00361C09">
        <w:rPr>
          <w:rStyle w:val="FootnoteReference"/>
          <w:szCs w:val="18"/>
        </w:rPr>
        <w:endnoteRef/>
      </w:r>
      <w:r w:rsidRPr="00361C09">
        <w:rPr>
          <w:szCs w:val="18"/>
        </w:rPr>
        <w:t xml:space="preserve"> </w:t>
      </w:r>
      <w:proofErr w:type="gramStart"/>
      <w:r>
        <w:rPr>
          <w:szCs w:val="18"/>
        </w:rPr>
        <w:t xml:space="preserve">Stephen </w:t>
      </w:r>
      <w:r w:rsidRPr="00361C09">
        <w:rPr>
          <w:szCs w:val="18"/>
        </w:rPr>
        <w:t xml:space="preserve">Sizer, </w:t>
      </w:r>
      <w:r w:rsidRPr="00361C09">
        <w:rPr>
          <w:szCs w:val="18"/>
          <w:lang w:val="en-US"/>
        </w:rPr>
        <w:t>The Significance of the Scofield Reference Bible</w:t>
      </w:r>
      <w:r w:rsidRPr="00361C09">
        <w:rPr>
          <w:szCs w:val="18"/>
        </w:rPr>
        <w:t xml:space="preserve">’, in </w:t>
      </w:r>
      <w:r w:rsidRPr="00361C09">
        <w:rPr>
          <w:bCs/>
          <w:i/>
          <w:szCs w:val="18"/>
        </w:rPr>
        <w:t>Cyrus Ingerson Scofield</w:t>
      </w:r>
      <w:r w:rsidRPr="00361C09">
        <w:rPr>
          <w:i/>
          <w:szCs w:val="18"/>
        </w:rPr>
        <w:t xml:space="preserve"> </w:t>
      </w:r>
      <w:r w:rsidRPr="00361C09">
        <w:rPr>
          <w:bCs/>
          <w:i/>
          <w:szCs w:val="18"/>
        </w:rPr>
        <w:t>(1843-1921)</w:t>
      </w:r>
      <w:r w:rsidRPr="00361C09">
        <w:rPr>
          <w:i/>
          <w:szCs w:val="18"/>
        </w:rPr>
        <w:t xml:space="preserve"> </w:t>
      </w:r>
      <w:r w:rsidRPr="00361C09">
        <w:rPr>
          <w:bCs/>
          <w:i/>
          <w:szCs w:val="18"/>
        </w:rPr>
        <w:t>The Author of the Scofield Reference Bible</w:t>
      </w:r>
      <w:r w:rsidRPr="00361C09">
        <w:rPr>
          <w:szCs w:val="18"/>
          <w:lang w:val="en-US"/>
        </w:rPr>
        <w:t xml:space="preserve"> &lt;http://www.cc-vw.org/articles/scofield1.html&gt; [accessed 7.7.11].</w:t>
      </w:r>
      <w:proofErr w:type="gramEnd"/>
      <w:r w:rsidRPr="00361C09">
        <w:rPr>
          <w:szCs w:val="18"/>
          <w:lang w:val="en-US"/>
        </w:rPr>
        <w:t xml:space="preserve">  </w:t>
      </w:r>
    </w:p>
  </w:endnote>
  <w:endnote w:id="154">
    <w:p w:rsidR="00975183" w:rsidRDefault="00975183" w:rsidP="00F1470F">
      <w:pPr>
        <w:pStyle w:val="FootnoteText"/>
        <w:rPr>
          <w:rFonts w:ascii="Perpetua" w:hAnsi="Perpetua"/>
        </w:rPr>
      </w:pPr>
      <w:r w:rsidRPr="000E3A75">
        <w:rPr>
          <w:rStyle w:val="FootnoteReference"/>
          <w:rFonts w:ascii="Perpetua" w:hAnsi="Perpetua"/>
        </w:rPr>
        <w:endnoteRef/>
      </w:r>
      <w:r w:rsidRPr="000E3A75">
        <w:rPr>
          <w:rFonts w:ascii="Perpetua" w:hAnsi="Perpetua"/>
        </w:rPr>
        <w:t xml:space="preserve"> </w:t>
      </w:r>
      <w:r w:rsidRPr="000E3A75">
        <w:rPr>
          <w:rFonts w:ascii="Perpetua" w:hAnsi="Perpetua"/>
          <w:i/>
        </w:rPr>
        <w:t>SRB</w:t>
      </w:r>
      <w:r>
        <w:rPr>
          <w:rFonts w:ascii="Perpetua" w:hAnsi="Perpetua"/>
        </w:rPr>
        <w:t xml:space="preserve"> notes on </w:t>
      </w:r>
      <w:r w:rsidRPr="000C01E0">
        <w:rPr>
          <w:rFonts w:ascii="Perpetua" w:hAnsi="Perpetua"/>
        </w:rPr>
        <w:t xml:space="preserve">Genesis, </w:t>
      </w:r>
      <w:r>
        <w:rPr>
          <w:rFonts w:ascii="Perpetua" w:hAnsi="Perpetua"/>
        </w:rPr>
        <w:t>plus</w:t>
      </w:r>
      <w:r w:rsidRPr="000C01E0">
        <w:rPr>
          <w:rFonts w:ascii="Perpetua" w:hAnsi="Perpetua"/>
        </w:rPr>
        <w:t xml:space="preserve"> 6.5%; Malachi, </w:t>
      </w:r>
      <w:r>
        <w:rPr>
          <w:rFonts w:ascii="Perpetua" w:hAnsi="Perpetua"/>
        </w:rPr>
        <w:t>plus</w:t>
      </w:r>
      <w:r w:rsidRPr="000C01E0">
        <w:rPr>
          <w:rFonts w:ascii="Perpetua" w:hAnsi="Perpetua"/>
        </w:rPr>
        <w:t xml:space="preserve"> 4.5%; Zechariah, </w:t>
      </w:r>
      <w:r>
        <w:rPr>
          <w:rFonts w:ascii="Perpetua" w:hAnsi="Perpetua"/>
        </w:rPr>
        <w:t>plus</w:t>
      </w:r>
      <w:r w:rsidRPr="000C01E0">
        <w:rPr>
          <w:rFonts w:ascii="Perpetua" w:hAnsi="Perpetua"/>
        </w:rPr>
        <w:t xml:space="preserve"> 3.7%; </w:t>
      </w:r>
    </w:p>
    <w:p w:rsidR="00975183" w:rsidRDefault="00975183" w:rsidP="00F1470F">
      <w:pPr>
        <w:pStyle w:val="EndnoteText"/>
      </w:pPr>
      <w:r w:rsidRPr="000C01E0">
        <w:t xml:space="preserve">Habakkuk, </w:t>
      </w:r>
      <w:r>
        <w:t>plus</w:t>
      </w:r>
      <w:r w:rsidRPr="000C01E0">
        <w:t xml:space="preserve"> 3.5%; Daniel, </w:t>
      </w:r>
      <w:r>
        <w:t>plus</w:t>
      </w:r>
      <w:r w:rsidRPr="000C01E0">
        <w:t xml:space="preserve"> 3.4%, compared to </w:t>
      </w:r>
      <w:r w:rsidRPr="000C01E0">
        <w:rPr>
          <w:i/>
        </w:rPr>
        <w:t>KJV</w:t>
      </w:r>
      <w:r w:rsidRPr="000C01E0">
        <w:t xml:space="preserve"> text.</w:t>
      </w:r>
    </w:p>
  </w:endnote>
  <w:endnote w:id="155">
    <w:p w:rsidR="00975183" w:rsidRDefault="00975183" w:rsidP="00F1470F">
      <w:pPr>
        <w:pStyle w:val="EndnoteText"/>
      </w:pPr>
      <w:r w:rsidRPr="00955A95">
        <w:rPr>
          <w:rStyle w:val="FootnoteReference"/>
        </w:rPr>
        <w:endnoteRef/>
      </w:r>
      <w:r w:rsidRPr="00955A95">
        <w:t xml:space="preserve"> </w:t>
      </w:r>
      <w:proofErr w:type="gramStart"/>
      <w:r w:rsidRPr="00955A95">
        <w:rPr>
          <w:i/>
        </w:rPr>
        <w:t>SRB</w:t>
      </w:r>
      <w:r w:rsidRPr="00955A95">
        <w:t xml:space="preserve"> notes on Micah, plus 2%; Joel, plus 1.5%; Exodus, plus 1.4%; Leviticus, plus 1%; Nahum, plus 1%; Haggai, plus 0.5%; Jonah</w:t>
      </w:r>
      <w:r>
        <w:t>,</w:t>
      </w:r>
      <w:r w:rsidRPr="00955A95">
        <w:t xml:space="preserve"> plus 0.02%; Zephaniah, plus 0.02%, compared to </w:t>
      </w:r>
      <w:r w:rsidRPr="00955A95">
        <w:rPr>
          <w:i/>
        </w:rPr>
        <w:t>KJV</w:t>
      </w:r>
      <w:r w:rsidRPr="00955A95">
        <w:t xml:space="preserve"> text.</w:t>
      </w:r>
      <w:proofErr w:type="gramEnd"/>
    </w:p>
  </w:endnote>
  <w:endnote w:id="156">
    <w:p w:rsidR="00975183" w:rsidRDefault="00975183" w:rsidP="00F1470F">
      <w:pPr>
        <w:pStyle w:val="EndnoteText"/>
      </w:pPr>
      <w:r w:rsidRPr="00955A95">
        <w:rPr>
          <w:rStyle w:val="FootnoteReference"/>
        </w:rPr>
        <w:endnoteRef/>
      </w:r>
      <w:r w:rsidRPr="00955A95">
        <w:t xml:space="preserve"> </w:t>
      </w:r>
      <w:r w:rsidRPr="00955A95">
        <w:rPr>
          <w:i/>
        </w:rPr>
        <w:t>SRB</w:t>
      </w:r>
      <w:r w:rsidRPr="00955A95">
        <w:t xml:space="preserve"> notes on 2 Chronicles, minus 3.2%; 2 Kings, minus 2.9%; 1 Samuel, minus 2.7%; 1 Kings, minus 2.5%; Joshua, minus 2.1%; 1 Chronicles, minus 2.1%; Judges, minus 1.9%; 2 Samuel, minus 1.9%; Nehemiah, minus 1.1%; Esther, minus 0.71%; Ruth, minus 0.5%; Ezra, minus 0.5%, compared to </w:t>
      </w:r>
      <w:r w:rsidRPr="00955A95">
        <w:rPr>
          <w:i/>
        </w:rPr>
        <w:t xml:space="preserve">KJV </w:t>
      </w:r>
      <w:r w:rsidRPr="00955A95">
        <w:t>text.</w:t>
      </w:r>
    </w:p>
  </w:endnote>
  <w:endnote w:id="157">
    <w:p w:rsidR="00975183" w:rsidRDefault="00975183" w:rsidP="00F1470F">
      <w:pPr>
        <w:pStyle w:val="EndnoteText"/>
      </w:pPr>
      <w:r w:rsidRPr="00955A95">
        <w:rPr>
          <w:rStyle w:val="FootnoteReference"/>
        </w:rPr>
        <w:endnoteRef/>
      </w:r>
      <w:r w:rsidRPr="00955A95">
        <w:t xml:space="preserve"> </w:t>
      </w:r>
      <w:r w:rsidRPr="00955A95">
        <w:rPr>
          <w:i/>
        </w:rPr>
        <w:t>SRB</w:t>
      </w:r>
      <w:r w:rsidRPr="00955A95">
        <w:t xml:space="preserve"> notes on Psalms, minus 2% compared to </w:t>
      </w:r>
      <w:r w:rsidRPr="00955A95">
        <w:rPr>
          <w:i/>
        </w:rPr>
        <w:t>KJV</w:t>
      </w:r>
      <w:r w:rsidRPr="00955A95">
        <w:t xml:space="preserve"> text.  Only twenty-four Psalms are annotated</w:t>
      </w:r>
    </w:p>
  </w:endnote>
  <w:endnote w:id="158">
    <w:p w:rsidR="00975183" w:rsidRDefault="00975183" w:rsidP="00F1470F">
      <w:pPr>
        <w:pStyle w:val="EndnoteText"/>
      </w:pPr>
      <w:r w:rsidRPr="00955A95">
        <w:rPr>
          <w:rStyle w:val="FootnoteReference"/>
        </w:rPr>
        <w:endnoteRef/>
      </w:r>
      <w:r w:rsidRPr="00955A95">
        <w:t xml:space="preserve"> </w:t>
      </w:r>
      <w:proofErr w:type="gramStart"/>
      <w:r w:rsidRPr="00955A95">
        <w:rPr>
          <w:i/>
        </w:rPr>
        <w:t>SRB</w:t>
      </w:r>
      <w:r w:rsidRPr="00955A95">
        <w:t xml:space="preserve"> notes on Proverbs, minus 1.8%; Job, minus 1.4%; Ecclesiastes, minus 0.5%; Song of Songs, minus 0.2%, compared to </w:t>
      </w:r>
      <w:r w:rsidRPr="00955A95">
        <w:rPr>
          <w:i/>
        </w:rPr>
        <w:t>KJV</w:t>
      </w:r>
      <w:r w:rsidRPr="00955A95">
        <w:t xml:space="preserve"> text.</w:t>
      </w:r>
      <w:proofErr w:type="gramEnd"/>
    </w:p>
  </w:endnote>
  <w:endnote w:id="159">
    <w:p w:rsidR="00975183" w:rsidRDefault="00975183" w:rsidP="00F1470F">
      <w:pPr>
        <w:pStyle w:val="EndnoteText"/>
      </w:pPr>
      <w:r w:rsidRPr="00955A95">
        <w:rPr>
          <w:rStyle w:val="FootnoteReference"/>
        </w:rPr>
        <w:endnoteRef/>
      </w:r>
      <w:r w:rsidRPr="00955A95">
        <w:t xml:space="preserve"> </w:t>
      </w:r>
      <w:r w:rsidRPr="00955A95">
        <w:rPr>
          <w:i/>
        </w:rPr>
        <w:t>SRB</w:t>
      </w:r>
      <w:r w:rsidRPr="00955A95">
        <w:t xml:space="preserve"> notes on Jeremiah, minus 3.8%; Ezekiel, minus 3.2%, compared to </w:t>
      </w:r>
      <w:r w:rsidRPr="00955A95">
        <w:rPr>
          <w:i/>
        </w:rPr>
        <w:t>KJV</w:t>
      </w:r>
      <w:r w:rsidRPr="00955A95">
        <w:t xml:space="preserve"> text.</w:t>
      </w:r>
    </w:p>
  </w:endnote>
  <w:endnote w:id="160">
    <w:p w:rsidR="00975183" w:rsidRDefault="00975183" w:rsidP="00F1470F">
      <w:pPr>
        <w:pStyle w:val="EndnoteText"/>
      </w:pPr>
      <w:r w:rsidRPr="00955A95">
        <w:rPr>
          <w:rStyle w:val="FootnoteReference"/>
        </w:rPr>
        <w:endnoteRef/>
      </w:r>
      <w:r w:rsidRPr="00955A95">
        <w:t xml:space="preserve"> </w:t>
      </w:r>
      <w:proofErr w:type="gramStart"/>
      <w:r w:rsidRPr="00955A95">
        <w:rPr>
          <w:i/>
        </w:rPr>
        <w:t>SRB</w:t>
      </w:r>
      <w:r w:rsidRPr="00955A95">
        <w:t xml:space="preserve"> notes on Isaiah, minus 0.6%; Hosea, minus 0.4%; Lamentations, minus 0.3%; Amos, minus 0.1%, compared to </w:t>
      </w:r>
      <w:r w:rsidRPr="00955A95">
        <w:rPr>
          <w:i/>
        </w:rPr>
        <w:t>KJV</w:t>
      </w:r>
      <w:r w:rsidRPr="00955A95">
        <w:t xml:space="preserve"> text.</w:t>
      </w:r>
      <w:proofErr w:type="gramEnd"/>
    </w:p>
  </w:endnote>
  <w:endnote w:id="161">
    <w:p w:rsidR="00975183" w:rsidRDefault="00975183" w:rsidP="00F1470F">
      <w:pPr>
        <w:pStyle w:val="EndnoteText"/>
      </w:pPr>
      <w:r w:rsidRPr="00955A95">
        <w:rPr>
          <w:rStyle w:val="FootnoteReference"/>
        </w:rPr>
        <w:endnoteRef/>
      </w:r>
      <w:r w:rsidRPr="00955A95">
        <w:t xml:space="preserve"> The proportion of </w:t>
      </w:r>
      <w:r w:rsidRPr="00955A95">
        <w:rPr>
          <w:i/>
        </w:rPr>
        <w:t>SRB</w:t>
      </w:r>
      <w:r w:rsidRPr="00955A95">
        <w:t xml:space="preserve"> notes on Matthew exceeds by 10.3% the proportion of </w:t>
      </w:r>
      <w:r w:rsidRPr="00955A95">
        <w:rPr>
          <w:i/>
        </w:rPr>
        <w:t>KJV</w:t>
      </w:r>
      <w:r w:rsidRPr="00955A95">
        <w:t xml:space="preserve"> text taken up by Matthew</w:t>
      </w:r>
      <w:r>
        <w:t>.</w:t>
      </w:r>
    </w:p>
  </w:endnote>
  <w:endnote w:id="162">
    <w:p w:rsidR="00975183" w:rsidRDefault="00975183" w:rsidP="00F1470F">
      <w:pPr>
        <w:pStyle w:val="EndnoteText"/>
      </w:pPr>
      <w:r w:rsidRPr="00955A95">
        <w:rPr>
          <w:rStyle w:val="FootnoteReference"/>
        </w:rPr>
        <w:endnoteRef/>
      </w:r>
      <w:r w:rsidRPr="00955A95">
        <w:t xml:space="preserve">The proportion of </w:t>
      </w:r>
      <w:r w:rsidRPr="00955A95">
        <w:rPr>
          <w:i/>
        </w:rPr>
        <w:t>SRB</w:t>
      </w:r>
      <w:r w:rsidRPr="00955A95">
        <w:t xml:space="preserve"> notes on Revelation exceeds by 3.5% the proportion of </w:t>
      </w:r>
      <w:r w:rsidRPr="00955A95">
        <w:rPr>
          <w:i/>
        </w:rPr>
        <w:t>KJV</w:t>
      </w:r>
      <w:r w:rsidRPr="00955A95">
        <w:t xml:space="preserve"> text taken up by Revelation.</w:t>
      </w:r>
    </w:p>
  </w:endnote>
  <w:endnote w:id="163">
    <w:p w:rsidR="00975183" w:rsidRDefault="00975183" w:rsidP="00F1470F">
      <w:pPr>
        <w:pStyle w:val="FootnoteText"/>
        <w:rPr>
          <w:rFonts w:ascii="Perpetua" w:hAnsi="Perpetua"/>
        </w:rPr>
      </w:pPr>
      <w:r w:rsidRPr="00F40C6A">
        <w:rPr>
          <w:rStyle w:val="FootnoteReference"/>
          <w:rFonts w:ascii="Perpetua" w:hAnsi="Perpetua"/>
        </w:rPr>
        <w:endnoteRef/>
      </w:r>
      <w:r w:rsidRPr="00F40C6A">
        <w:rPr>
          <w:rFonts w:ascii="Perpetua" w:hAnsi="Perpetua"/>
        </w:rPr>
        <w:t xml:space="preserve"> </w:t>
      </w:r>
      <w:r w:rsidRPr="000E3A75">
        <w:rPr>
          <w:rFonts w:ascii="Perpetua" w:hAnsi="Perpetua"/>
          <w:i/>
        </w:rPr>
        <w:t>SRB</w:t>
      </w:r>
      <w:r w:rsidRPr="000E3A75">
        <w:rPr>
          <w:rFonts w:ascii="Perpetua" w:hAnsi="Perpetua"/>
        </w:rPr>
        <w:t xml:space="preserve"> notes</w:t>
      </w:r>
      <w:r>
        <w:rPr>
          <w:rFonts w:ascii="Perpetua" w:hAnsi="Perpetua"/>
        </w:rPr>
        <w:t xml:space="preserve"> on Romans, plus 2.6%; </w:t>
      </w:r>
      <w:r w:rsidRPr="00F40C6A">
        <w:rPr>
          <w:rFonts w:ascii="Perpetua" w:hAnsi="Perpetua"/>
        </w:rPr>
        <w:t>1 Co</w:t>
      </w:r>
      <w:r>
        <w:rPr>
          <w:rFonts w:ascii="Perpetua" w:hAnsi="Perpetua"/>
        </w:rPr>
        <w:t xml:space="preserve">rinthians, plus 1.9%; </w:t>
      </w:r>
      <w:r w:rsidRPr="00F40C6A">
        <w:rPr>
          <w:rFonts w:ascii="Perpetua" w:hAnsi="Perpetua"/>
        </w:rPr>
        <w:t xml:space="preserve">Hebrews, </w:t>
      </w:r>
      <w:r>
        <w:rPr>
          <w:rFonts w:ascii="Perpetua" w:hAnsi="Perpetua"/>
        </w:rPr>
        <w:t>plus</w:t>
      </w:r>
      <w:r w:rsidRPr="00F40C6A">
        <w:rPr>
          <w:rFonts w:ascii="Perpetua" w:hAnsi="Perpetua"/>
        </w:rPr>
        <w:t xml:space="preserve"> 1.4%;</w:t>
      </w:r>
      <w:r>
        <w:rPr>
          <w:rFonts w:ascii="Perpetua" w:hAnsi="Perpetua"/>
        </w:rPr>
        <w:t xml:space="preserve"> </w:t>
      </w:r>
    </w:p>
    <w:p w:rsidR="00975183" w:rsidRDefault="00975183" w:rsidP="00F1470F">
      <w:pPr>
        <w:pStyle w:val="EndnoteText"/>
      </w:pPr>
      <w:r>
        <w:t>Galatians, plus</w:t>
      </w:r>
      <w:r w:rsidRPr="00F40C6A">
        <w:t xml:space="preserve"> 1.2%;</w:t>
      </w:r>
      <w:r>
        <w:t xml:space="preserve"> Ephesians, plus 1%,</w:t>
      </w:r>
      <w:r w:rsidRPr="00F40C6A">
        <w:t xml:space="preserve"> </w:t>
      </w:r>
      <w:r w:rsidRPr="000C01E0">
        <w:t xml:space="preserve">compared to </w:t>
      </w:r>
      <w:r w:rsidRPr="000C01E0">
        <w:rPr>
          <w:i/>
        </w:rPr>
        <w:t>KJV</w:t>
      </w:r>
      <w:r w:rsidRPr="000C01E0">
        <w:t xml:space="preserve"> text.</w:t>
      </w:r>
    </w:p>
  </w:endnote>
  <w:endnote w:id="164">
    <w:p w:rsidR="00975183" w:rsidRDefault="00975183" w:rsidP="00F1470F">
      <w:pPr>
        <w:pStyle w:val="FootnoteText"/>
      </w:pPr>
      <w:r w:rsidRPr="000C01E0">
        <w:rPr>
          <w:rStyle w:val="FootnoteReference"/>
          <w:rFonts w:ascii="Perpetua" w:hAnsi="Perpetua"/>
        </w:rPr>
        <w:endnoteRef/>
      </w:r>
      <w:r w:rsidRPr="000C01E0">
        <w:rPr>
          <w:rFonts w:ascii="Perpetua" w:hAnsi="Perpetua"/>
        </w:rPr>
        <w:t xml:space="preserve"> </w:t>
      </w:r>
      <w:r w:rsidRPr="000C01E0">
        <w:rPr>
          <w:rFonts w:ascii="Perpetua" w:hAnsi="Perpetua"/>
          <w:i/>
        </w:rPr>
        <w:t>SRB</w:t>
      </w:r>
      <w:r w:rsidRPr="000C01E0">
        <w:rPr>
          <w:rFonts w:ascii="Perpetua" w:hAnsi="Perpetua"/>
        </w:rPr>
        <w:t xml:space="preserve"> notes on 1 Peter, </w:t>
      </w:r>
      <w:r>
        <w:rPr>
          <w:rFonts w:ascii="Perpetua" w:hAnsi="Perpetua"/>
        </w:rPr>
        <w:t>plus</w:t>
      </w:r>
      <w:r w:rsidRPr="000C01E0">
        <w:rPr>
          <w:rFonts w:ascii="Perpetua" w:hAnsi="Perpetua"/>
        </w:rPr>
        <w:t xml:space="preserve"> 0.6%; Jude, </w:t>
      </w:r>
      <w:r>
        <w:rPr>
          <w:rFonts w:ascii="Perpetua" w:hAnsi="Perpetua"/>
        </w:rPr>
        <w:t>plus</w:t>
      </w:r>
      <w:r w:rsidRPr="000C01E0">
        <w:rPr>
          <w:rFonts w:ascii="Perpetua" w:hAnsi="Perpetua"/>
        </w:rPr>
        <w:t xml:space="preserve"> 0.4%; 2 Peter, </w:t>
      </w:r>
      <w:r>
        <w:rPr>
          <w:rFonts w:ascii="Perpetua" w:hAnsi="Perpetua"/>
        </w:rPr>
        <w:t>plus</w:t>
      </w:r>
      <w:r w:rsidRPr="000C01E0">
        <w:rPr>
          <w:rFonts w:ascii="Perpetua" w:hAnsi="Perpetua"/>
        </w:rPr>
        <w:t xml:space="preserve"> 0.3%; 1 Thessalonians, </w:t>
      </w:r>
      <w:proofErr w:type="gramStart"/>
      <w:r>
        <w:rPr>
          <w:rFonts w:ascii="Perpetua" w:hAnsi="Perpetua"/>
        </w:rPr>
        <w:t>plus</w:t>
      </w:r>
      <w:r w:rsidRPr="000C01E0">
        <w:rPr>
          <w:rFonts w:ascii="Perpetua" w:hAnsi="Perpetua"/>
        </w:rPr>
        <w:t xml:space="preserve">  0.3</w:t>
      </w:r>
      <w:proofErr w:type="gramEnd"/>
      <w:r w:rsidRPr="000C01E0">
        <w:rPr>
          <w:rFonts w:ascii="Perpetua" w:hAnsi="Perpetua"/>
        </w:rPr>
        <w:t xml:space="preserve">%; Colossians, </w:t>
      </w:r>
      <w:r>
        <w:rPr>
          <w:rFonts w:ascii="Perpetua" w:hAnsi="Perpetua"/>
        </w:rPr>
        <w:t>plus</w:t>
      </w:r>
      <w:r w:rsidRPr="000C01E0">
        <w:rPr>
          <w:rFonts w:ascii="Perpetua" w:hAnsi="Perpetua"/>
        </w:rPr>
        <w:t xml:space="preserve"> 0.1%; 2 Thessalonians,  </w:t>
      </w:r>
      <w:r>
        <w:rPr>
          <w:rFonts w:ascii="Perpetua" w:hAnsi="Perpetua"/>
        </w:rPr>
        <w:t>plus</w:t>
      </w:r>
      <w:r w:rsidRPr="000C01E0">
        <w:rPr>
          <w:rFonts w:ascii="Perpetua" w:hAnsi="Perpetua"/>
        </w:rPr>
        <w:t xml:space="preserve"> 0.1%; 2 Timothy, </w:t>
      </w:r>
      <w:r>
        <w:rPr>
          <w:rFonts w:ascii="Perpetua" w:hAnsi="Perpetua"/>
        </w:rPr>
        <w:t>plus</w:t>
      </w:r>
      <w:r w:rsidRPr="000C01E0">
        <w:rPr>
          <w:rFonts w:ascii="Perpetua" w:hAnsi="Perpetua"/>
        </w:rPr>
        <w:t xml:space="preserve">  0.1%; Titus, </w:t>
      </w:r>
      <w:r>
        <w:rPr>
          <w:rFonts w:ascii="Perpetua" w:hAnsi="Perpetua"/>
        </w:rPr>
        <w:t>plus</w:t>
      </w:r>
      <w:r w:rsidRPr="000C01E0">
        <w:rPr>
          <w:rFonts w:ascii="Perpetua" w:hAnsi="Perpetua"/>
        </w:rPr>
        <w:t xml:space="preserve"> 0.1%; 2 John, </w:t>
      </w:r>
      <w:r>
        <w:rPr>
          <w:rFonts w:ascii="Perpetua" w:hAnsi="Perpetua"/>
        </w:rPr>
        <w:t>plus</w:t>
      </w:r>
      <w:r w:rsidRPr="000C01E0">
        <w:rPr>
          <w:rFonts w:ascii="Perpetua" w:hAnsi="Perpetua"/>
        </w:rPr>
        <w:t xml:space="preserve"> 0.1%, compared to </w:t>
      </w:r>
      <w:r w:rsidRPr="000C01E0">
        <w:rPr>
          <w:rFonts w:ascii="Perpetua" w:hAnsi="Perpetua"/>
          <w:i/>
        </w:rPr>
        <w:t>KJV</w:t>
      </w:r>
      <w:r w:rsidRPr="000C01E0">
        <w:rPr>
          <w:rFonts w:ascii="Perpetua" w:hAnsi="Perpetua"/>
        </w:rPr>
        <w:t xml:space="preserve"> text.</w:t>
      </w:r>
    </w:p>
  </w:endnote>
  <w:endnote w:id="165">
    <w:p w:rsidR="00975183" w:rsidRDefault="00975183" w:rsidP="00F1470F">
      <w:pPr>
        <w:pStyle w:val="EndnoteText"/>
      </w:pPr>
      <w:r w:rsidRPr="00EF68D7">
        <w:rPr>
          <w:rStyle w:val="FootnoteReference"/>
        </w:rPr>
        <w:endnoteRef/>
      </w:r>
      <w:r w:rsidRPr="00EF68D7">
        <w:t xml:space="preserve"> </w:t>
      </w:r>
      <w:proofErr w:type="gramStart"/>
      <w:r>
        <w:rPr>
          <w:i/>
        </w:rPr>
        <w:t xml:space="preserve">SRB </w:t>
      </w:r>
      <w:r>
        <w:t xml:space="preserve">notes on Philippians, minus 0.03%; 1 John, minus 0.02%; Philemon, minus 0.01%, compared to </w:t>
      </w:r>
      <w:r w:rsidRPr="00382CEC">
        <w:rPr>
          <w:i/>
        </w:rPr>
        <w:t>KJV</w:t>
      </w:r>
      <w:r>
        <w:t xml:space="preserve"> text.</w:t>
      </w:r>
      <w:proofErr w:type="gramEnd"/>
    </w:p>
  </w:endnote>
  <w:endnote w:id="166">
    <w:p w:rsidR="00975183" w:rsidRDefault="00975183" w:rsidP="00F1470F">
      <w:pPr>
        <w:pStyle w:val="EndnoteText"/>
      </w:pPr>
      <w:r w:rsidRPr="00F67CDD">
        <w:rPr>
          <w:rStyle w:val="FootnoteReference"/>
        </w:rPr>
        <w:endnoteRef/>
      </w:r>
      <w:r w:rsidRPr="00F67CDD">
        <w:t xml:space="preserve"> </w:t>
      </w:r>
      <w:proofErr w:type="gramStart"/>
      <w:r w:rsidRPr="00F67CDD">
        <w:rPr>
          <w:i/>
        </w:rPr>
        <w:t>SRB</w:t>
      </w:r>
      <w:r w:rsidRPr="00F67CDD">
        <w:t xml:space="preserve"> notes on Mark</w:t>
      </w:r>
      <w:r>
        <w:t>, minus</w:t>
      </w:r>
      <w:r w:rsidRPr="00F67CDD">
        <w:t xml:space="preserve"> 1.6%</w:t>
      </w:r>
      <w:r>
        <w:t>;</w:t>
      </w:r>
      <w:r w:rsidRPr="00F67CDD">
        <w:t xml:space="preserve"> Luke </w:t>
      </w:r>
      <w:r>
        <w:t>minus</w:t>
      </w:r>
      <w:r w:rsidRPr="00F67CDD">
        <w:t xml:space="preserve"> 0.7%</w:t>
      </w:r>
      <w:r>
        <w:t xml:space="preserve">; </w:t>
      </w:r>
      <w:r w:rsidRPr="00F67CDD">
        <w:t>John</w:t>
      </w:r>
      <w:r>
        <w:t xml:space="preserve">, minus </w:t>
      </w:r>
      <w:r w:rsidRPr="00F67CDD">
        <w:t>0.7%</w:t>
      </w:r>
      <w:r>
        <w:t>, compared to KJV text.</w:t>
      </w:r>
      <w:proofErr w:type="gramEnd"/>
    </w:p>
  </w:endnote>
  <w:endnote w:id="167">
    <w:p w:rsidR="00975183" w:rsidRDefault="00975183" w:rsidP="00F1470F">
      <w:pPr>
        <w:pStyle w:val="EndnoteText"/>
      </w:pPr>
      <w:r w:rsidRPr="00EF68D7">
        <w:rPr>
          <w:rStyle w:val="FootnoteReference"/>
        </w:rPr>
        <w:endnoteRef/>
      </w:r>
      <w:r w:rsidRPr="00EF68D7">
        <w:t xml:space="preserve"> </w:t>
      </w:r>
      <w:r w:rsidRPr="00504CD2">
        <w:rPr>
          <w:i/>
        </w:rPr>
        <w:t>SRB</w:t>
      </w:r>
      <w:r w:rsidRPr="00504CD2">
        <w:t xml:space="preserve"> notes on James, minus 0.2%; 2 Corinthians, minus 0.1%</w:t>
      </w:r>
      <w:r>
        <w:t>;</w:t>
      </w:r>
      <w:r w:rsidRPr="00504CD2">
        <w:t xml:space="preserve"> </w:t>
      </w:r>
      <w:proofErr w:type="gramStart"/>
      <w:r w:rsidRPr="00504CD2">
        <w:t>1 Timothy</w:t>
      </w:r>
      <w:proofErr w:type="gramEnd"/>
      <w:r w:rsidRPr="00504CD2">
        <w:t xml:space="preserve">, minus 0.1%, compared to </w:t>
      </w:r>
      <w:r w:rsidRPr="00504CD2">
        <w:rPr>
          <w:i/>
        </w:rPr>
        <w:t xml:space="preserve">KJV </w:t>
      </w:r>
      <w:r w:rsidRPr="00504CD2">
        <w:t>text.</w:t>
      </w:r>
    </w:p>
  </w:endnote>
  <w:endnote w:id="168">
    <w:p w:rsidR="00975183" w:rsidRDefault="00975183" w:rsidP="00F1470F">
      <w:pPr>
        <w:pStyle w:val="EndnoteText"/>
      </w:pPr>
      <w:r w:rsidRPr="00F40C6A">
        <w:rPr>
          <w:rStyle w:val="FootnoteReference"/>
        </w:rPr>
        <w:endnoteRef/>
      </w:r>
      <w:r w:rsidRPr="00F40C6A">
        <w:t xml:space="preserve"> </w:t>
      </w:r>
      <w:r>
        <w:t xml:space="preserve">According to my estimation, </w:t>
      </w:r>
      <w:r w:rsidRPr="007C0859">
        <w:rPr>
          <w:i/>
        </w:rPr>
        <w:t>SRB</w:t>
      </w:r>
      <w:r w:rsidRPr="00F40C6A">
        <w:t xml:space="preserve"> note</w:t>
      </w:r>
      <w:r>
        <w:t xml:space="preserve">s on Mark represent only 0.26% of Scofield’s notes, whereas Mark occupies 1.92% of </w:t>
      </w:r>
      <w:r w:rsidRPr="00B64667">
        <w:rPr>
          <w:i/>
        </w:rPr>
        <w:t>KJV</w:t>
      </w:r>
      <w:r>
        <w:t>.  Other books, like Philippians, 2 Thessalonians, 1 Timothy, 2 Timothy, Philemon, James and 2 John, receive lower percentages of notes than does Mark, but these books are all much shorter.  This illustrates the value of comparing the percentages of words for both biblical books and Scofield notes.</w:t>
      </w:r>
    </w:p>
  </w:endnote>
  <w:endnote w:id="169">
    <w:p w:rsidR="00975183" w:rsidRDefault="00975183" w:rsidP="00F1470F">
      <w:pPr>
        <w:pStyle w:val="FootnoteText"/>
      </w:pPr>
      <w:r w:rsidRPr="00F40C6A">
        <w:rPr>
          <w:rStyle w:val="FootnoteReference"/>
          <w:rFonts w:ascii="Perpetua" w:hAnsi="Perpetua"/>
        </w:rPr>
        <w:endnoteRef/>
      </w:r>
      <w:r w:rsidRPr="00F40C6A">
        <w:rPr>
          <w:rFonts w:ascii="Perpetua" w:hAnsi="Perpetua"/>
        </w:rPr>
        <w:t xml:space="preserve"> </w:t>
      </w:r>
      <w:proofErr w:type="gramStart"/>
      <w:r w:rsidRPr="00F40C6A">
        <w:rPr>
          <w:rFonts w:ascii="Perpetua" w:hAnsi="Perpetua"/>
        </w:rPr>
        <w:t xml:space="preserve">Matthew, </w:t>
      </w:r>
      <w:r>
        <w:rPr>
          <w:rFonts w:ascii="Perpetua" w:hAnsi="Perpetua"/>
        </w:rPr>
        <w:t>plus</w:t>
      </w:r>
      <w:r w:rsidRPr="00F40C6A">
        <w:rPr>
          <w:rFonts w:ascii="Perpetua" w:hAnsi="Perpetua"/>
        </w:rPr>
        <w:t xml:space="preserve"> 10.3%; Genesis, </w:t>
      </w:r>
      <w:r>
        <w:rPr>
          <w:rFonts w:ascii="Perpetua" w:hAnsi="Perpetua"/>
        </w:rPr>
        <w:t>plus</w:t>
      </w:r>
      <w:r w:rsidRPr="00F40C6A">
        <w:rPr>
          <w:rFonts w:ascii="Perpetua" w:hAnsi="Perpetua"/>
        </w:rPr>
        <w:t xml:space="preserve"> 6.5%; Zechariah, </w:t>
      </w:r>
      <w:r>
        <w:rPr>
          <w:rFonts w:ascii="Perpetua" w:hAnsi="Perpetua"/>
        </w:rPr>
        <w:t>plus</w:t>
      </w:r>
      <w:r w:rsidRPr="00F40C6A">
        <w:rPr>
          <w:rFonts w:ascii="Perpetua" w:hAnsi="Perpetua"/>
        </w:rPr>
        <w:t xml:space="preserve"> 3.7%; Revelation, </w:t>
      </w:r>
      <w:r>
        <w:rPr>
          <w:rFonts w:ascii="Perpetua" w:hAnsi="Perpetua"/>
        </w:rPr>
        <w:t>plus</w:t>
      </w:r>
      <w:r w:rsidRPr="00F40C6A">
        <w:rPr>
          <w:rFonts w:ascii="Perpetua" w:hAnsi="Perpetua"/>
        </w:rPr>
        <w:t xml:space="preserve"> 3.5%; Daniel, </w:t>
      </w:r>
      <w:r>
        <w:rPr>
          <w:rFonts w:ascii="Perpetua" w:hAnsi="Perpetua"/>
        </w:rPr>
        <w:t>plus</w:t>
      </w:r>
      <w:r w:rsidRPr="00F40C6A">
        <w:rPr>
          <w:rFonts w:ascii="Perpetua" w:hAnsi="Perpetua"/>
        </w:rPr>
        <w:t xml:space="preserve"> 3.4%; Romans, </w:t>
      </w:r>
      <w:r>
        <w:rPr>
          <w:rFonts w:ascii="Perpetua" w:hAnsi="Perpetua"/>
        </w:rPr>
        <w:t>plus</w:t>
      </w:r>
      <w:r w:rsidRPr="00F40C6A">
        <w:rPr>
          <w:rFonts w:ascii="Perpetua" w:hAnsi="Perpetua"/>
        </w:rPr>
        <w:t xml:space="preserve"> 2.6%; 1 Corinthians, </w:t>
      </w:r>
      <w:r>
        <w:rPr>
          <w:rFonts w:ascii="Perpetua" w:hAnsi="Perpetua"/>
        </w:rPr>
        <w:t>plus</w:t>
      </w:r>
      <w:r w:rsidRPr="00F40C6A">
        <w:rPr>
          <w:rFonts w:ascii="Perpetua" w:hAnsi="Perpetua"/>
        </w:rPr>
        <w:t xml:space="preserve"> 1.9%; Exodus and Hebrews, </w:t>
      </w:r>
      <w:r>
        <w:rPr>
          <w:rFonts w:ascii="Perpetua" w:hAnsi="Perpetua"/>
        </w:rPr>
        <w:t>plus</w:t>
      </w:r>
      <w:r w:rsidRPr="00F40C6A">
        <w:rPr>
          <w:rFonts w:ascii="Perpetua" w:hAnsi="Perpetua"/>
        </w:rPr>
        <w:t xml:space="preserve"> 1.4%; Galatians, </w:t>
      </w:r>
      <w:r>
        <w:rPr>
          <w:rFonts w:ascii="Perpetua" w:hAnsi="Perpetua"/>
        </w:rPr>
        <w:t>plus</w:t>
      </w:r>
      <w:r w:rsidRPr="00F40C6A">
        <w:rPr>
          <w:rFonts w:ascii="Perpetua" w:hAnsi="Perpetua"/>
        </w:rPr>
        <w:t xml:space="preserve"> 1.2%</w:t>
      </w:r>
      <w:r>
        <w:rPr>
          <w:rFonts w:ascii="Perpetua" w:hAnsi="Perpetua"/>
        </w:rPr>
        <w:t xml:space="preserve">; </w:t>
      </w:r>
      <w:r w:rsidRPr="00F40C6A">
        <w:rPr>
          <w:rFonts w:ascii="Perpetua" w:hAnsi="Perpetua"/>
        </w:rPr>
        <w:t xml:space="preserve">Leviticus, Malachi and Ephesians, </w:t>
      </w:r>
      <w:r>
        <w:rPr>
          <w:rFonts w:ascii="Perpetua" w:hAnsi="Perpetua"/>
        </w:rPr>
        <w:t>plus</w:t>
      </w:r>
      <w:r w:rsidRPr="00F40C6A">
        <w:rPr>
          <w:rFonts w:ascii="Perpetua" w:hAnsi="Perpetua"/>
        </w:rPr>
        <w:t xml:space="preserve"> 1%.</w:t>
      </w:r>
      <w:proofErr w:type="gramEnd"/>
    </w:p>
  </w:endnote>
  <w:endnote w:id="170">
    <w:p w:rsidR="00975183" w:rsidRDefault="00975183" w:rsidP="00F1470F">
      <w:pPr>
        <w:pStyle w:val="FootnoteText"/>
        <w:rPr>
          <w:rFonts w:ascii="Perpetua" w:hAnsi="Perpetua"/>
        </w:rPr>
      </w:pPr>
      <w:r w:rsidRPr="00F40C6A">
        <w:rPr>
          <w:rStyle w:val="FootnoteReference"/>
          <w:rFonts w:ascii="Perpetua" w:hAnsi="Perpetua"/>
        </w:rPr>
        <w:endnoteRef/>
      </w:r>
      <w:r w:rsidRPr="00F40C6A">
        <w:rPr>
          <w:rFonts w:ascii="Perpetua" w:hAnsi="Perpetua"/>
        </w:rPr>
        <w:t xml:space="preserve"> Habakkuk and John, </w:t>
      </w:r>
      <w:r>
        <w:rPr>
          <w:rFonts w:ascii="Perpetua" w:hAnsi="Perpetua"/>
        </w:rPr>
        <w:t>plus</w:t>
      </w:r>
      <w:r w:rsidRPr="00F40C6A">
        <w:rPr>
          <w:rFonts w:ascii="Perpetua" w:hAnsi="Perpetua"/>
        </w:rPr>
        <w:t xml:space="preserve"> 0.7%; 1 Peter, </w:t>
      </w:r>
      <w:r>
        <w:rPr>
          <w:rFonts w:ascii="Perpetua" w:hAnsi="Perpetua"/>
        </w:rPr>
        <w:t>plus</w:t>
      </w:r>
      <w:r w:rsidRPr="00F40C6A">
        <w:rPr>
          <w:rFonts w:ascii="Perpetua" w:hAnsi="Perpetua"/>
        </w:rPr>
        <w:t xml:space="preserve"> 0.6%; Acts, </w:t>
      </w:r>
      <w:r>
        <w:rPr>
          <w:rFonts w:ascii="Perpetua" w:hAnsi="Perpetua"/>
        </w:rPr>
        <w:t>plus</w:t>
      </w:r>
      <w:r w:rsidRPr="00F40C6A">
        <w:rPr>
          <w:rFonts w:ascii="Perpetua" w:hAnsi="Perpetua"/>
        </w:rPr>
        <w:t xml:space="preserve"> 0.5%; Micah and Jude, </w:t>
      </w:r>
      <w:r>
        <w:rPr>
          <w:rFonts w:ascii="Perpetua" w:hAnsi="Perpetua"/>
        </w:rPr>
        <w:t>plus</w:t>
      </w:r>
      <w:r w:rsidRPr="00F40C6A">
        <w:rPr>
          <w:rFonts w:ascii="Perpetua" w:hAnsi="Perpetua"/>
        </w:rPr>
        <w:t xml:space="preserve"> 0.4%; </w:t>
      </w:r>
    </w:p>
    <w:p w:rsidR="00975183" w:rsidRDefault="00975183" w:rsidP="00F1470F">
      <w:pPr>
        <w:pStyle w:val="FootnoteText"/>
        <w:rPr>
          <w:rFonts w:ascii="Perpetua" w:hAnsi="Perpetua"/>
        </w:rPr>
      </w:pPr>
      <w:r w:rsidRPr="00F40C6A">
        <w:rPr>
          <w:rFonts w:ascii="Perpetua" w:hAnsi="Perpetua"/>
        </w:rPr>
        <w:t xml:space="preserve">Joel, 1 Thessalonians and 2 Peter, </w:t>
      </w:r>
      <w:r>
        <w:rPr>
          <w:rFonts w:ascii="Perpetua" w:hAnsi="Perpetua"/>
        </w:rPr>
        <w:t>plus</w:t>
      </w:r>
      <w:r w:rsidRPr="00F40C6A">
        <w:rPr>
          <w:rFonts w:ascii="Perpetua" w:hAnsi="Perpetua"/>
        </w:rPr>
        <w:t xml:space="preserve"> 0.3%; Song of Songs, Nahum and Titus, </w:t>
      </w:r>
      <w:r>
        <w:rPr>
          <w:rFonts w:ascii="Perpetua" w:hAnsi="Perpetua"/>
        </w:rPr>
        <w:t>plus</w:t>
      </w:r>
      <w:r w:rsidRPr="00F40C6A">
        <w:rPr>
          <w:rFonts w:ascii="Perpetua" w:hAnsi="Perpetua"/>
        </w:rPr>
        <w:t xml:space="preserve"> 0.2% and </w:t>
      </w:r>
    </w:p>
    <w:p w:rsidR="00975183" w:rsidRDefault="00975183" w:rsidP="00F1470F">
      <w:pPr>
        <w:pStyle w:val="EndnoteText"/>
      </w:pPr>
      <w:proofErr w:type="gramStart"/>
      <w:r w:rsidRPr="00F40C6A">
        <w:t xml:space="preserve">Haggai, Colossians, 2 Thessalonians, 2 Timothy and 2 John, </w:t>
      </w:r>
      <w:r>
        <w:t>plus</w:t>
      </w:r>
      <w:r w:rsidRPr="00F40C6A">
        <w:t xml:space="preserve"> 0.1%.</w:t>
      </w:r>
      <w:proofErr w:type="gramEnd"/>
    </w:p>
  </w:endnote>
  <w:endnote w:id="171">
    <w:p w:rsidR="00975183" w:rsidRDefault="00975183" w:rsidP="00F1470F">
      <w:pPr>
        <w:pStyle w:val="EndnoteText"/>
      </w:pPr>
      <w:r w:rsidRPr="00F40C6A">
        <w:rPr>
          <w:rStyle w:val="FootnoteReference"/>
        </w:rPr>
        <w:endnoteRef/>
      </w:r>
      <w:r w:rsidRPr="00F40C6A">
        <w:t xml:space="preserve"> </w:t>
      </w:r>
      <w:proofErr w:type="gramStart"/>
      <w:r w:rsidRPr="00F40C6A">
        <w:t>Jonah, Zephaniah, Philippians, Philemon and 1 John.</w:t>
      </w:r>
      <w:proofErr w:type="gramEnd"/>
    </w:p>
  </w:endnote>
  <w:endnote w:id="172">
    <w:p w:rsidR="00975183" w:rsidRDefault="00975183" w:rsidP="00F1470F">
      <w:pPr>
        <w:pStyle w:val="EndnoteText"/>
      </w:pPr>
      <w:r w:rsidRPr="00F40C6A">
        <w:rPr>
          <w:rStyle w:val="FootnoteReference"/>
        </w:rPr>
        <w:endnoteRef/>
      </w:r>
      <w:r w:rsidRPr="00F40C6A">
        <w:t xml:space="preserve"> 2 Corinthians and 1 Timothy, </w:t>
      </w:r>
      <w:r>
        <w:t xml:space="preserve">minus </w:t>
      </w:r>
      <w:r w:rsidRPr="00F40C6A">
        <w:t xml:space="preserve">0.1%; Amos and James, </w:t>
      </w:r>
      <w:r>
        <w:t>minus</w:t>
      </w:r>
      <w:r w:rsidRPr="00F40C6A">
        <w:t xml:space="preserve"> 0.2%; Lamentations, </w:t>
      </w:r>
      <w:r>
        <w:t>minus</w:t>
      </w:r>
      <w:r w:rsidRPr="00F40C6A">
        <w:t xml:space="preserve"> 0.3%; Hosea, </w:t>
      </w:r>
      <w:r>
        <w:t>minus</w:t>
      </w:r>
      <w:r w:rsidRPr="00F40C6A">
        <w:t xml:space="preserve"> 0.4%; Ecclesiastes, </w:t>
      </w:r>
      <w:r>
        <w:t>minus</w:t>
      </w:r>
      <w:r w:rsidRPr="00F40C6A">
        <w:t xml:space="preserve"> 0.5%; Ezra and Isaiah, </w:t>
      </w:r>
      <w:r>
        <w:t>minus</w:t>
      </w:r>
      <w:r w:rsidRPr="00F40C6A">
        <w:t xml:space="preserve"> 0.6%; Luke, </w:t>
      </w:r>
      <w:r>
        <w:t>minus</w:t>
      </w:r>
      <w:r w:rsidRPr="00F40C6A">
        <w:t xml:space="preserve"> 0.7%; Numbers, </w:t>
      </w:r>
      <w:r>
        <w:t>minus</w:t>
      </w:r>
      <w:r w:rsidRPr="00F40C6A">
        <w:t xml:space="preserve"> 1.1%; Nehemiah, </w:t>
      </w:r>
      <w:r>
        <w:t>minus</w:t>
      </w:r>
      <w:r w:rsidRPr="00F40C6A">
        <w:t xml:space="preserve"> 1.2%; Job, </w:t>
      </w:r>
      <w:r>
        <w:t>minus</w:t>
      </w:r>
      <w:r w:rsidRPr="00F40C6A">
        <w:t xml:space="preserve"> 1.4%; Mark, </w:t>
      </w:r>
      <w:r>
        <w:t>minus</w:t>
      </w:r>
      <w:r w:rsidRPr="00F40C6A">
        <w:t xml:space="preserve"> 1.7%; Joshua and Proverbs, </w:t>
      </w:r>
      <w:r>
        <w:t>minus</w:t>
      </w:r>
      <w:r w:rsidRPr="00F40C6A">
        <w:t xml:space="preserve"> 1.8%; Judges and </w:t>
      </w:r>
    </w:p>
    <w:p w:rsidR="00975183" w:rsidRDefault="00975183" w:rsidP="00F1470F">
      <w:pPr>
        <w:pStyle w:val="EndnoteText"/>
      </w:pPr>
      <w:r w:rsidRPr="00F40C6A">
        <w:t xml:space="preserve">2 Samuel, </w:t>
      </w:r>
      <w:r>
        <w:t>minus</w:t>
      </w:r>
      <w:r w:rsidRPr="00F40C6A">
        <w:t xml:space="preserve"> 1.9%; Psalms, </w:t>
      </w:r>
      <w:r>
        <w:t>minus</w:t>
      </w:r>
      <w:r w:rsidRPr="00F40C6A">
        <w:t xml:space="preserve"> 2%; 1 Chronicles, </w:t>
      </w:r>
      <w:r>
        <w:t>minus</w:t>
      </w:r>
      <w:r w:rsidRPr="00F40C6A">
        <w:t xml:space="preserve"> 2.1%; 1 Kings, </w:t>
      </w:r>
      <w:r>
        <w:t>minus</w:t>
      </w:r>
      <w:r w:rsidRPr="00F40C6A">
        <w:t xml:space="preserve"> 2.5%; 1 Samuel, </w:t>
      </w:r>
      <w:r>
        <w:t>minus</w:t>
      </w:r>
      <w:r w:rsidRPr="00F40C6A">
        <w:t xml:space="preserve"> 2.7%; </w:t>
      </w:r>
    </w:p>
    <w:p w:rsidR="00975183" w:rsidRDefault="00975183" w:rsidP="00F1470F">
      <w:pPr>
        <w:pStyle w:val="EndnoteText"/>
      </w:pPr>
      <w:proofErr w:type="gramStart"/>
      <w:r w:rsidRPr="00F40C6A">
        <w:t xml:space="preserve">2 Kings, </w:t>
      </w:r>
      <w:r>
        <w:t>minus</w:t>
      </w:r>
      <w:r w:rsidRPr="00F40C6A">
        <w:t xml:space="preserve"> 2.9%; Deuteronomy, 2 Chronicles and Ezekiel, </w:t>
      </w:r>
      <w:r>
        <w:t xml:space="preserve">minus 3.2%; </w:t>
      </w:r>
      <w:r w:rsidRPr="00F40C6A">
        <w:t xml:space="preserve">Jeremiah, </w:t>
      </w:r>
      <w:r>
        <w:t>minus</w:t>
      </w:r>
      <w:r w:rsidRPr="00F40C6A">
        <w:t xml:space="preserve"> 3.76%.</w:t>
      </w:r>
      <w:proofErr w:type="gramEnd"/>
      <w:r>
        <w:t xml:space="preserve">  </w:t>
      </w:r>
      <w:r w:rsidRPr="00F53033">
        <w:rPr>
          <w:color w:val="000000"/>
        </w:rPr>
        <w:t>Ruth, Esther, Obadiah and 3 John are not annotated.</w:t>
      </w:r>
    </w:p>
  </w:endnote>
  <w:endnote w:id="173">
    <w:p w:rsidR="00975183" w:rsidRDefault="00975183" w:rsidP="00F1470F">
      <w:pPr>
        <w:pStyle w:val="EndnoteText"/>
      </w:pPr>
      <w:r w:rsidRPr="00F40C6A">
        <w:rPr>
          <w:rStyle w:val="FootnoteReference"/>
        </w:rPr>
        <w:endnoteRef/>
      </w:r>
      <w:r w:rsidRPr="00F40C6A">
        <w:t xml:space="preserve"> C I Scofield, </w:t>
      </w:r>
      <w:r w:rsidRPr="00F40C6A">
        <w:rPr>
          <w:i/>
        </w:rPr>
        <w:t>Prophecy Made Plain: “Addresses on Prophecy”</w:t>
      </w:r>
      <w:r w:rsidRPr="00F40C6A">
        <w:t xml:space="preserve"> (Glasgow: Pickering and Inglis, Printers and Publishers, no date given), p. 12.  (After a conversation with the grandson of one of the original publishers, I was able to ascertain that this book must have been published after 1893 when Pickering and Inglis </w:t>
      </w:r>
      <w:proofErr w:type="gramStart"/>
      <w:r w:rsidRPr="00F40C6A">
        <w:t>was</w:t>
      </w:r>
      <w:proofErr w:type="gramEnd"/>
      <w:r w:rsidRPr="00F40C6A">
        <w:t xml:space="preserve"> formed, but I am unable to give a more accurate date.  This is unfortunate because it would be interesting to know whether this volume preceded or antedated the publication of</w:t>
      </w:r>
      <w:r>
        <w:t xml:space="preserve"> the first edition of</w:t>
      </w:r>
      <w:r w:rsidRPr="00F40C6A">
        <w:t xml:space="preserve"> </w:t>
      </w:r>
      <w:r w:rsidRPr="00F40C6A">
        <w:rPr>
          <w:i/>
        </w:rPr>
        <w:t xml:space="preserve">SRB </w:t>
      </w:r>
      <w:r w:rsidRPr="00F40C6A">
        <w:t>in 1909.)</w:t>
      </w:r>
    </w:p>
  </w:endnote>
  <w:endnote w:id="174">
    <w:p w:rsidR="00975183" w:rsidRDefault="00975183" w:rsidP="00F1470F">
      <w:pPr>
        <w:pStyle w:val="EndnoteText"/>
      </w:pPr>
      <w:r w:rsidRPr="00F40C6A">
        <w:rPr>
          <w:rStyle w:val="FootnoteReference"/>
        </w:rPr>
        <w:endnoteRef/>
      </w:r>
      <w:r w:rsidRPr="00F40C6A">
        <w:t xml:space="preserve"> </w:t>
      </w:r>
      <w:r>
        <w:t>An estimated</w:t>
      </w:r>
      <w:r w:rsidRPr="00F40C6A">
        <w:t xml:space="preserve"> 4.1% of the </w:t>
      </w:r>
      <w:r w:rsidRPr="00F40C6A">
        <w:rPr>
          <w:i/>
        </w:rPr>
        <w:t>SRB</w:t>
      </w:r>
      <w:r w:rsidRPr="00F40C6A">
        <w:t xml:space="preserve"> notes, as against 4.7% </w:t>
      </w:r>
      <w:r w:rsidRPr="00F40C6A">
        <w:rPr>
          <w:i/>
        </w:rPr>
        <w:t>KJV</w:t>
      </w:r>
      <w:r w:rsidRPr="00F40C6A">
        <w:t xml:space="preserve"> text.</w:t>
      </w:r>
    </w:p>
  </w:endnote>
  <w:endnote w:id="175">
    <w:p w:rsidR="00975183" w:rsidRDefault="00975183" w:rsidP="00F1470F">
      <w:pPr>
        <w:pStyle w:val="EndnoteText"/>
      </w:pPr>
      <w:r w:rsidRPr="00F40C6A">
        <w:rPr>
          <w:rStyle w:val="FootnoteReference"/>
        </w:rPr>
        <w:endnoteRef/>
      </w:r>
      <w:r w:rsidRPr="00F40C6A">
        <w:t xml:space="preserve"> </w:t>
      </w:r>
      <w:r>
        <w:t>An estimated</w:t>
      </w:r>
      <w:r w:rsidRPr="00F40C6A">
        <w:t xml:space="preserve"> 1.3% of the </w:t>
      </w:r>
      <w:r w:rsidRPr="00F40C6A">
        <w:rPr>
          <w:i/>
        </w:rPr>
        <w:t xml:space="preserve">SRB </w:t>
      </w:r>
      <w:r w:rsidRPr="00F40C6A">
        <w:t xml:space="preserve">notes on Jeremiah, as against 5.2% </w:t>
      </w:r>
      <w:r w:rsidRPr="00F40C6A">
        <w:rPr>
          <w:i/>
        </w:rPr>
        <w:t>KJV</w:t>
      </w:r>
      <w:r w:rsidRPr="00F40C6A">
        <w:t xml:space="preserve"> text; and </w:t>
      </w:r>
      <w:r>
        <w:t>an estimated</w:t>
      </w:r>
      <w:r w:rsidRPr="00F40C6A">
        <w:t xml:space="preserve"> 1.8% of the </w:t>
      </w:r>
      <w:r w:rsidRPr="00F40C6A">
        <w:rPr>
          <w:i/>
        </w:rPr>
        <w:t>SRB</w:t>
      </w:r>
      <w:r w:rsidRPr="00F40C6A">
        <w:t xml:space="preserve"> notes on Ezekiel, as against 5% </w:t>
      </w:r>
      <w:r w:rsidRPr="00F40C6A">
        <w:rPr>
          <w:i/>
        </w:rPr>
        <w:t>KJV</w:t>
      </w:r>
      <w:r w:rsidRPr="00F40C6A">
        <w:t xml:space="preserve"> text.</w:t>
      </w:r>
    </w:p>
  </w:endnote>
  <w:endnote w:id="176">
    <w:p w:rsidR="00975183" w:rsidRDefault="00975183" w:rsidP="00F1470F">
      <w:pPr>
        <w:pStyle w:val="EndnoteText"/>
      </w:pPr>
      <w:r w:rsidRPr="00F40C6A">
        <w:rPr>
          <w:rStyle w:val="FootnoteReference"/>
        </w:rPr>
        <w:endnoteRef/>
      </w:r>
      <w:r w:rsidRPr="00F40C6A">
        <w:t xml:space="preserve"> </w:t>
      </w:r>
      <w:r>
        <w:t>An estimated</w:t>
      </w:r>
      <w:r w:rsidRPr="00F40C6A">
        <w:t xml:space="preserve"> 4.9% of the </w:t>
      </w:r>
      <w:r w:rsidRPr="00F40C6A">
        <w:rPr>
          <w:i/>
        </w:rPr>
        <w:t xml:space="preserve">SRB </w:t>
      </w:r>
      <w:r w:rsidRPr="00F40C6A">
        <w:t xml:space="preserve">notes on Daniel, as against 1.5% </w:t>
      </w:r>
      <w:r w:rsidRPr="00F40C6A">
        <w:rPr>
          <w:i/>
        </w:rPr>
        <w:t>KJV</w:t>
      </w:r>
      <w:r w:rsidRPr="00F40C6A">
        <w:t xml:space="preserve"> text; and </w:t>
      </w:r>
      <w:r>
        <w:t>an estimated</w:t>
      </w:r>
      <w:r w:rsidRPr="00F40C6A">
        <w:t xml:space="preserve"> 4.5% of the </w:t>
      </w:r>
      <w:r w:rsidRPr="00F40C6A">
        <w:rPr>
          <w:i/>
        </w:rPr>
        <w:t>SRB</w:t>
      </w:r>
      <w:r w:rsidRPr="00F40C6A">
        <w:t xml:space="preserve"> notes on Zechariah, as against 0.8% </w:t>
      </w:r>
      <w:r w:rsidRPr="00F40C6A">
        <w:rPr>
          <w:i/>
        </w:rPr>
        <w:t>KJV</w:t>
      </w:r>
      <w:r w:rsidRPr="00F40C6A">
        <w:t xml:space="preserve"> text</w:t>
      </w:r>
      <w:r>
        <w:t>.</w:t>
      </w:r>
    </w:p>
  </w:endnote>
  <w:endnote w:id="177">
    <w:p w:rsidR="00975183" w:rsidRDefault="00975183" w:rsidP="00F1470F">
      <w:pPr>
        <w:pStyle w:val="EndnoteText"/>
      </w:pPr>
      <w:r w:rsidRPr="00F40C6A">
        <w:rPr>
          <w:rStyle w:val="FootnoteReference"/>
        </w:rPr>
        <w:endnoteRef/>
      </w:r>
      <w:r w:rsidRPr="00F40C6A">
        <w:t xml:space="preserve"> </w:t>
      </w:r>
      <w:proofErr w:type="gramStart"/>
      <w:r w:rsidRPr="00F40C6A">
        <w:rPr>
          <w:i/>
        </w:rPr>
        <w:t>SRB</w:t>
      </w:r>
      <w:r w:rsidRPr="00F40C6A">
        <w:t xml:space="preserve"> p. iii.</w:t>
      </w:r>
      <w:proofErr w:type="gramEnd"/>
      <w:r w:rsidRPr="00F40C6A">
        <w:t xml:space="preserve">  Scofield himself admits here that prophecy constitutes nearly one quarter of the Bible.</w:t>
      </w:r>
    </w:p>
  </w:endnote>
  <w:endnote w:id="178">
    <w:p w:rsidR="00975183" w:rsidRPr="00230B24" w:rsidRDefault="00975183" w:rsidP="00F1470F">
      <w:pPr>
        <w:pStyle w:val="EndnoteText"/>
      </w:pPr>
      <w:r w:rsidRPr="00230B24">
        <w:rPr>
          <w:rStyle w:val="EndnoteReference"/>
        </w:rPr>
        <w:endnoteRef/>
      </w:r>
      <w:r w:rsidRPr="00230B24">
        <w:t xml:space="preserve"> </w:t>
      </w:r>
      <w:proofErr w:type="gramStart"/>
      <w:r w:rsidRPr="00346907">
        <w:rPr>
          <w:b/>
        </w:rPr>
        <w:t>See 2.2.1</w:t>
      </w:r>
      <w:r>
        <w:t>.</w:t>
      </w:r>
      <w:proofErr w:type="gramEnd"/>
    </w:p>
  </w:endnote>
  <w:endnote w:id="179">
    <w:p w:rsidR="00975183" w:rsidRPr="00346907" w:rsidRDefault="00975183" w:rsidP="00F1470F">
      <w:pPr>
        <w:pStyle w:val="EndnoteText"/>
      </w:pPr>
      <w:r w:rsidRPr="00346907">
        <w:rPr>
          <w:rStyle w:val="EndnoteReference"/>
        </w:rPr>
        <w:endnoteRef/>
      </w:r>
      <w:r w:rsidRPr="00346907">
        <w:t xml:space="preserve"> </w:t>
      </w:r>
      <w:r w:rsidRPr="00346907">
        <w:rPr>
          <w:b/>
        </w:rPr>
        <w:t>See 8.5</w:t>
      </w:r>
      <w:r w:rsidRPr="00346907">
        <w:t>.</w:t>
      </w:r>
    </w:p>
  </w:endnote>
  <w:endnote w:id="180">
    <w:p w:rsidR="00975183" w:rsidRPr="00346907" w:rsidRDefault="00975183" w:rsidP="00F1470F">
      <w:pPr>
        <w:pStyle w:val="EndnoteText"/>
      </w:pPr>
      <w:r w:rsidRPr="00346907">
        <w:rPr>
          <w:rStyle w:val="FootnoteReference"/>
        </w:rPr>
        <w:endnoteRef/>
      </w:r>
      <w:r w:rsidRPr="00346907">
        <w:t xml:space="preserve"> </w:t>
      </w:r>
      <w:r w:rsidRPr="00346907">
        <w:rPr>
          <w:b/>
        </w:rPr>
        <w:t>See 8.2</w:t>
      </w:r>
      <w:r w:rsidRPr="00346907">
        <w:t>.</w:t>
      </w:r>
    </w:p>
  </w:endnote>
  <w:endnote w:id="181">
    <w:p w:rsidR="00975183" w:rsidRDefault="00975183" w:rsidP="00F1470F">
      <w:pPr>
        <w:pStyle w:val="EndnoteText"/>
      </w:pPr>
      <w:r w:rsidRPr="00DA01AD">
        <w:rPr>
          <w:rStyle w:val="FootnoteReference"/>
        </w:rPr>
        <w:endnoteRef/>
      </w:r>
      <w:r w:rsidRPr="00DA01AD">
        <w:t xml:space="preserve"> </w:t>
      </w:r>
      <w:r w:rsidRPr="00DA01AD">
        <w:rPr>
          <w:szCs w:val="22"/>
        </w:rPr>
        <w:t xml:space="preserve">Marsden, </w:t>
      </w:r>
      <w:r w:rsidRPr="00DA01AD">
        <w:rPr>
          <w:i/>
          <w:szCs w:val="22"/>
        </w:rPr>
        <w:t>Fundamentalism and American Culture</w:t>
      </w:r>
      <w:r w:rsidRPr="00DA01AD">
        <w:rPr>
          <w:szCs w:val="22"/>
        </w:rPr>
        <w:t xml:space="preserve">, p. </w:t>
      </w:r>
      <w:r>
        <w:rPr>
          <w:szCs w:val="22"/>
        </w:rPr>
        <w:t>59</w:t>
      </w:r>
      <w:r w:rsidRPr="00DA01AD">
        <w:rPr>
          <w:szCs w:val="22"/>
        </w:rPr>
        <w:t>.</w:t>
      </w:r>
    </w:p>
  </w:endnote>
  <w:endnote w:id="182">
    <w:p w:rsidR="00975183" w:rsidRPr="00D80CF6" w:rsidRDefault="00975183" w:rsidP="00F1470F">
      <w:pPr>
        <w:pStyle w:val="FootnoteText"/>
        <w:rPr>
          <w:rFonts w:ascii="Perpetua" w:hAnsi="Perpetua"/>
        </w:rPr>
      </w:pPr>
      <w:r w:rsidRPr="00D80CF6">
        <w:rPr>
          <w:rStyle w:val="FootnoteReference"/>
          <w:rFonts w:ascii="Perpetua" w:hAnsi="Perpetua"/>
        </w:rPr>
        <w:endnoteRef/>
      </w:r>
      <w:r w:rsidRPr="00D80CF6">
        <w:rPr>
          <w:rFonts w:ascii="Perpetua" w:hAnsi="Perpetua"/>
        </w:rPr>
        <w:t xml:space="preserve"> Isaiah (2 parts: Chapters 1</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39, p. 713, and 40</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 xml:space="preserve">66, p. 747); </w:t>
      </w:r>
    </w:p>
    <w:p w:rsidR="00975183" w:rsidRPr="00D80CF6" w:rsidRDefault="00975183" w:rsidP="00F1470F">
      <w:pPr>
        <w:pStyle w:val="FootnoteText"/>
        <w:rPr>
          <w:rFonts w:ascii="Perpetua" w:hAnsi="Perpetua"/>
        </w:rPr>
      </w:pPr>
      <w:r w:rsidRPr="00D80CF6">
        <w:rPr>
          <w:rFonts w:ascii="Perpetua" w:hAnsi="Perpetua"/>
        </w:rPr>
        <w:t>Jeremiah (5 parts: Chapters 1</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29, p. 772; 30</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36, p. 804; 37</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39, p. 813; 40</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42, p. 817; 43</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 xml:space="preserve">44, p. 820 and 45 – 52, p. 822); </w:t>
      </w:r>
    </w:p>
    <w:p w:rsidR="00975183" w:rsidRDefault="00975183" w:rsidP="00F1470F">
      <w:pPr>
        <w:pStyle w:val="FootnoteText"/>
        <w:spacing w:after="40"/>
        <w:rPr>
          <w:rFonts w:ascii="Perpetua" w:hAnsi="Perpetua"/>
        </w:rPr>
      </w:pPr>
      <w:r>
        <w:rPr>
          <w:rFonts w:ascii="Perpetua" w:hAnsi="Perpetua"/>
        </w:rPr>
        <w:t xml:space="preserve">Ezekiel (7 parts: Ezekiel 1 </w:t>
      </w:r>
      <w:r w:rsidRPr="00012B96">
        <w:rPr>
          <w:rFonts w:ascii="Perpetua" w:hAnsi="Perpetua"/>
          <w:sz w:val="16"/>
          <w:szCs w:val="24"/>
        </w:rPr>
        <w:t>—</w:t>
      </w:r>
      <w:r>
        <w:rPr>
          <w:rFonts w:ascii="Perpetua" w:hAnsi="Perpetua"/>
        </w:rPr>
        <w:t xml:space="preserve"> </w:t>
      </w:r>
      <w:r w:rsidRPr="00D80CF6">
        <w:rPr>
          <w:rFonts w:ascii="Perpetua" w:hAnsi="Perpetua"/>
        </w:rPr>
        <w:t>3:9; 3:10-</w:t>
      </w:r>
      <w:r>
        <w:rPr>
          <w:rFonts w:ascii="Perpetua" w:hAnsi="Perpetua"/>
        </w:rPr>
        <w:t>2</w:t>
      </w:r>
      <w:r w:rsidRPr="00D80CF6">
        <w:rPr>
          <w:rFonts w:ascii="Perpetua" w:hAnsi="Perpetua"/>
        </w:rPr>
        <w:t>1; 3:22</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7:27; 8</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33:20; 33:21</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36:38; 37:1</w:t>
      </w:r>
      <w:r>
        <w:rPr>
          <w:rFonts w:ascii="Perpetua" w:hAnsi="Perpetua"/>
        </w:rPr>
        <w:t xml:space="preserve"> </w:t>
      </w:r>
      <w:r w:rsidRPr="00012B96">
        <w:rPr>
          <w:rFonts w:ascii="Perpetua" w:hAnsi="Perpetua"/>
          <w:sz w:val="16"/>
          <w:szCs w:val="24"/>
        </w:rPr>
        <w:t>—</w:t>
      </w:r>
      <w:r>
        <w:rPr>
          <w:rFonts w:ascii="Perpetua" w:hAnsi="Perpetua"/>
          <w:sz w:val="16"/>
          <w:szCs w:val="24"/>
        </w:rPr>
        <w:t xml:space="preserve"> </w:t>
      </w:r>
      <w:r w:rsidRPr="00D80CF6">
        <w:rPr>
          <w:rFonts w:ascii="Perpetua" w:hAnsi="Perpetua"/>
        </w:rPr>
        <w:t xml:space="preserve">39:29 and </w:t>
      </w:r>
    </w:p>
    <w:p w:rsidR="00975183" w:rsidRPr="00D80CF6" w:rsidRDefault="00975183" w:rsidP="00F1470F">
      <w:pPr>
        <w:pStyle w:val="FootnoteText"/>
        <w:spacing w:after="40"/>
        <w:rPr>
          <w:rFonts w:ascii="Perpetua" w:hAnsi="Perpetua"/>
        </w:rPr>
      </w:pPr>
      <w:r w:rsidRPr="00D80CF6">
        <w:rPr>
          <w:rFonts w:ascii="Perpetua" w:hAnsi="Perpetua"/>
        </w:rPr>
        <w:t>40:1</w:t>
      </w:r>
      <w:r>
        <w:rPr>
          <w:rFonts w:ascii="Perpetua" w:hAnsi="Perpetua"/>
        </w:rPr>
        <w:t xml:space="preserve"> </w:t>
      </w:r>
      <w:r w:rsidRPr="00012B96">
        <w:rPr>
          <w:rFonts w:ascii="Perpetua" w:hAnsi="Perpetua"/>
          <w:sz w:val="16"/>
          <w:szCs w:val="24"/>
        </w:rPr>
        <w:t>—</w:t>
      </w:r>
      <w:r>
        <w:rPr>
          <w:rFonts w:ascii="Perpetua" w:hAnsi="Perpetua"/>
          <w:sz w:val="16"/>
          <w:szCs w:val="24"/>
        </w:rPr>
        <w:t xml:space="preserve"> </w:t>
      </w:r>
      <w:r w:rsidRPr="00D80CF6">
        <w:rPr>
          <w:rFonts w:ascii="Perpetua" w:hAnsi="Perpetua"/>
        </w:rPr>
        <w:t xml:space="preserve">48:35.  </w:t>
      </w:r>
    </w:p>
    <w:p w:rsidR="00975183" w:rsidRDefault="00975183" w:rsidP="00F1470F">
      <w:pPr>
        <w:pStyle w:val="EndnoteText"/>
      </w:pPr>
      <w:r w:rsidRPr="00D80CF6">
        <w:t>Psalms is divided into ‘books’ in the same way: Book I: Pss 1 – 41, p. 599; Book II: 42</w:t>
      </w:r>
      <w:r>
        <w:t xml:space="preserve"> </w:t>
      </w:r>
      <w:r w:rsidRPr="00012B96">
        <w:rPr>
          <w:sz w:val="16"/>
          <w:szCs w:val="24"/>
        </w:rPr>
        <w:t>—</w:t>
      </w:r>
      <w:r>
        <w:t xml:space="preserve"> </w:t>
      </w:r>
      <w:r w:rsidRPr="00D80CF6">
        <w:t xml:space="preserve">72, p. 619; </w:t>
      </w:r>
    </w:p>
    <w:p w:rsidR="00975183" w:rsidRDefault="00975183" w:rsidP="00F1470F">
      <w:pPr>
        <w:pStyle w:val="EndnoteText"/>
      </w:pPr>
      <w:r w:rsidRPr="00D80CF6">
        <w:t>Book III: 73</w:t>
      </w:r>
      <w:r>
        <w:t xml:space="preserve"> </w:t>
      </w:r>
      <w:r w:rsidRPr="00012B96">
        <w:rPr>
          <w:sz w:val="16"/>
          <w:szCs w:val="24"/>
        </w:rPr>
        <w:t>—</w:t>
      </w:r>
      <w:r>
        <w:t xml:space="preserve"> </w:t>
      </w:r>
      <w:r w:rsidRPr="00D80CF6">
        <w:t>89, p. 634; Book IV: 90</w:t>
      </w:r>
      <w:r>
        <w:t xml:space="preserve"> </w:t>
      </w:r>
      <w:r w:rsidRPr="00012B96">
        <w:rPr>
          <w:sz w:val="16"/>
          <w:szCs w:val="24"/>
        </w:rPr>
        <w:t>—</w:t>
      </w:r>
      <w:r>
        <w:t xml:space="preserve"> </w:t>
      </w:r>
      <w:r w:rsidRPr="00D80CF6">
        <w:t>106, p 644; Book V: 107</w:t>
      </w:r>
      <w:r>
        <w:t xml:space="preserve"> </w:t>
      </w:r>
      <w:r w:rsidRPr="00012B96">
        <w:rPr>
          <w:sz w:val="16"/>
          <w:szCs w:val="24"/>
        </w:rPr>
        <w:t>—</w:t>
      </w:r>
      <w:r>
        <w:t xml:space="preserve"> </w:t>
      </w:r>
      <w:r w:rsidRPr="00D80CF6">
        <w:t>150, p. 652.</w:t>
      </w:r>
    </w:p>
  </w:endnote>
  <w:endnote w:id="183">
    <w:p w:rsidR="00975183" w:rsidRDefault="00975183" w:rsidP="00F1470F">
      <w:pPr>
        <w:pStyle w:val="EndnoteText"/>
      </w:pPr>
      <w:r w:rsidRPr="00D80CF6">
        <w:rPr>
          <w:rStyle w:val="FootnoteReference"/>
        </w:rPr>
        <w:endnoteRef/>
      </w:r>
      <w:r w:rsidRPr="00D80CF6">
        <w:t xml:space="preserve"> Italicised ‘parts’ subheads are included in Job, Proverbs, Ecclesiastes, Song of Solomon, Daniel, Hosea, Joel, Amos, Obadiah, Micah, Habakkuk, Zephaniah, Haggai, Zechariah, Malachi, 1 Corinthians, 2 Corinthians, Galatians, Ephesians, Philippians, Colossians, 1 Thessalonian</w:t>
      </w:r>
      <w:r>
        <w:t xml:space="preserve">s, 2 Thessalonians, 1 Timothy, </w:t>
      </w:r>
      <w:r w:rsidRPr="00D80CF6">
        <w:t>2 Timothy, Titus, Hebrews, James, 1 Peter, 2 Peter, 1 John, Revelation and even Philemon, 2 John, 3 John and Jude which are single-chaptered.</w:t>
      </w:r>
    </w:p>
  </w:endnote>
  <w:endnote w:id="184">
    <w:p w:rsidR="00975183" w:rsidRDefault="00975183" w:rsidP="00F1470F">
      <w:pPr>
        <w:pStyle w:val="FootnoteText"/>
        <w:rPr>
          <w:rFonts w:ascii="Perpetua" w:hAnsi="Perpetua"/>
        </w:rPr>
      </w:pPr>
      <w:r w:rsidRPr="00D80CF6">
        <w:rPr>
          <w:rStyle w:val="FootnoteReference"/>
          <w:rFonts w:ascii="Perpetua" w:hAnsi="Perpetua"/>
        </w:rPr>
        <w:endnoteRef/>
      </w:r>
      <w:r w:rsidRPr="00D80CF6">
        <w:rPr>
          <w:rFonts w:ascii="Perpetua" w:hAnsi="Perpetua"/>
        </w:rPr>
        <w:t xml:space="preserve"> Subheads to Exod. 12:1, ‘The contest with Pharaoh: Parenthesis </w:t>
      </w:r>
      <w:r w:rsidRPr="00012B96">
        <w:rPr>
          <w:rFonts w:ascii="Perpetua" w:hAnsi="Perpetua"/>
          <w:sz w:val="16"/>
          <w:szCs w:val="24"/>
        </w:rPr>
        <w:t>—</w:t>
      </w:r>
      <w:r w:rsidRPr="00D80CF6">
        <w:rPr>
          <w:rFonts w:ascii="Perpetua" w:hAnsi="Perpetua"/>
        </w:rPr>
        <w:t xml:space="preserve"> the Passover’, and Rom. 9:1, </w:t>
      </w:r>
    </w:p>
    <w:p w:rsidR="00975183" w:rsidRPr="00D80CF6" w:rsidRDefault="00975183" w:rsidP="00F1470F">
      <w:pPr>
        <w:pStyle w:val="FootnoteText"/>
        <w:spacing w:after="40"/>
        <w:rPr>
          <w:rFonts w:ascii="Perpetua" w:hAnsi="Perpetua"/>
        </w:rPr>
      </w:pPr>
      <w:proofErr w:type="gramStart"/>
      <w:r w:rsidRPr="00D80CF6">
        <w:rPr>
          <w:rFonts w:ascii="Perpetua" w:hAnsi="Perpetua"/>
        </w:rPr>
        <w:t>‘Part V.</w:t>
      </w:r>
      <w:proofErr w:type="gramEnd"/>
      <w:r w:rsidRPr="00D80CF6">
        <w:rPr>
          <w:rFonts w:ascii="Perpetua" w:hAnsi="Perpetua"/>
        </w:rPr>
        <w:t xml:space="preserve">  </w:t>
      </w:r>
      <w:proofErr w:type="gramStart"/>
      <w:r w:rsidRPr="00D80CF6">
        <w:rPr>
          <w:rFonts w:ascii="Perpetua" w:hAnsi="Perpetua"/>
        </w:rPr>
        <w:t>Parenthetic (Rom. 9</w:t>
      </w:r>
      <w:r>
        <w:rPr>
          <w:rFonts w:ascii="Perpetua" w:hAnsi="Perpetua"/>
        </w:rPr>
        <w:t xml:space="preserve"> </w:t>
      </w:r>
      <w:r w:rsidRPr="00012B96">
        <w:rPr>
          <w:rFonts w:ascii="Perpetua" w:hAnsi="Perpetua"/>
          <w:sz w:val="16"/>
          <w:szCs w:val="24"/>
        </w:rPr>
        <w:t>—</w:t>
      </w:r>
      <w:r>
        <w:rPr>
          <w:rFonts w:ascii="Perpetua" w:hAnsi="Perpetua"/>
        </w:rPr>
        <w:t xml:space="preserve"> </w:t>
      </w:r>
      <w:r w:rsidRPr="00D80CF6">
        <w:rPr>
          <w:rFonts w:ascii="Perpetua" w:hAnsi="Perpetua"/>
        </w:rPr>
        <w:t>11)’.</w:t>
      </w:r>
      <w:proofErr w:type="gramEnd"/>
    </w:p>
    <w:p w:rsidR="00975183" w:rsidRDefault="00975183" w:rsidP="00F1470F">
      <w:pPr>
        <w:pStyle w:val="EndnoteText"/>
      </w:pPr>
      <w:r w:rsidRPr="00D80CF6">
        <w:t xml:space="preserve">Other uses of ‘parenthetic’ in subheads include Gen. 9:20; Gen. 31:11; Exod. 13:1; Exod. 32:1; Jer. 19:14; </w:t>
      </w:r>
    </w:p>
    <w:p w:rsidR="00975183" w:rsidRDefault="00975183" w:rsidP="00F1470F">
      <w:pPr>
        <w:pStyle w:val="EndnoteText"/>
      </w:pPr>
      <w:r w:rsidRPr="00D80CF6">
        <w:t>Mic. 5:1; Mic. 5:3; Mal. 3:1; Eph. 3:13; Heb. 2:1</w:t>
      </w:r>
      <w:r>
        <w:t xml:space="preserve">; 3:1; </w:t>
      </w:r>
      <w:r w:rsidRPr="00D80CF6">
        <w:t>5:11; 10:26; 12:3-17; 1 Jn 4:1; Rev. 7:1; 10:1</w:t>
      </w:r>
      <w:r>
        <w:t xml:space="preserve"> - </w:t>
      </w:r>
      <w:r w:rsidRPr="00D80CF6">
        <w:t>11:14; 14:1; 16:13-16 and 19:1.</w:t>
      </w:r>
    </w:p>
  </w:endnote>
  <w:endnote w:id="185">
    <w:p w:rsidR="00975183" w:rsidRDefault="00975183" w:rsidP="00F1470F">
      <w:pPr>
        <w:pStyle w:val="EndnoteText"/>
      </w:pPr>
      <w:r w:rsidRPr="00D80CF6">
        <w:rPr>
          <w:rStyle w:val="FootnoteReference"/>
        </w:rPr>
        <w:endnoteRef/>
      </w:r>
      <w:r w:rsidRPr="00D80CF6">
        <w:t xml:space="preserve"> Craig C. Hill, ‘God’s Righteousness Evident in the Treatment of Israel (9:1</w:t>
      </w:r>
      <w:r>
        <w:t xml:space="preserve"> </w:t>
      </w:r>
      <w:r w:rsidRPr="00012B96">
        <w:rPr>
          <w:sz w:val="16"/>
          <w:szCs w:val="24"/>
        </w:rPr>
        <w:t>—</w:t>
      </w:r>
      <w:r w:rsidRPr="00D80CF6">
        <w:t xml:space="preserve">11:36)’ in ‘Romans’, </w:t>
      </w:r>
      <w:r w:rsidRPr="00D80CF6">
        <w:rPr>
          <w:i/>
        </w:rPr>
        <w:t>The Oxford Bible Commentary</w:t>
      </w:r>
      <w:r w:rsidRPr="00D80CF6">
        <w:t>, John Barton and John Muddiman (eds.), (Oxford: Oxford University Press, 2001), p. 1099.</w:t>
      </w:r>
    </w:p>
  </w:endnote>
  <w:endnote w:id="186">
    <w:p w:rsidR="00975183" w:rsidRDefault="00975183" w:rsidP="00F1470F">
      <w:pPr>
        <w:pStyle w:val="EndnoteText"/>
      </w:pPr>
      <w:r w:rsidRPr="00D80CF6">
        <w:rPr>
          <w:rStyle w:val="FootnoteReference"/>
        </w:rPr>
        <w:endnoteRef/>
      </w:r>
      <w:r w:rsidRPr="00D80CF6">
        <w:t xml:space="preserve"> Subheads to Lev. 18:1, Lev.19:1 and Lev. 20:1, pp. 150-2: </w:t>
      </w:r>
      <w:r w:rsidRPr="00D80CF6">
        <w:rPr>
          <w:color w:val="000000"/>
        </w:rPr>
        <w:t xml:space="preserve">‘The relationships </w:t>
      </w:r>
      <w:r>
        <w:rPr>
          <w:color w:val="000000"/>
        </w:rPr>
        <w:t>and</w:t>
      </w:r>
      <w:r w:rsidRPr="00D80CF6">
        <w:rPr>
          <w:color w:val="000000"/>
        </w:rPr>
        <w:t xml:space="preserve"> walk of God’s earthly people’ repeated for each chapter.</w:t>
      </w:r>
    </w:p>
  </w:endnote>
  <w:endnote w:id="187">
    <w:p w:rsidR="00975183" w:rsidRDefault="00975183" w:rsidP="00F1470F">
      <w:pPr>
        <w:pStyle w:val="EndnoteText"/>
      </w:pPr>
      <w:r w:rsidRPr="00D80CF6">
        <w:rPr>
          <w:rStyle w:val="FootnoteReference"/>
        </w:rPr>
        <w:endnoteRef/>
      </w:r>
      <w:r w:rsidRPr="00D80CF6">
        <w:t xml:space="preserve"> </w:t>
      </w:r>
      <w:proofErr w:type="gramStart"/>
      <w:r w:rsidRPr="00D80CF6">
        <w:t>Gaebelein, ‘History of the Scofield Reference Bible’</w:t>
      </w:r>
      <w:r w:rsidRPr="00D80CF6">
        <w:rPr>
          <w:i/>
        </w:rPr>
        <w:t xml:space="preserve">, </w:t>
      </w:r>
      <w:r w:rsidRPr="00D80CF6">
        <w:t>chapter 5.</w:t>
      </w:r>
      <w:proofErr w:type="gramEnd"/>
    </w:p>
  </w:endnote>
  <w:endnote w:id="188">
    <w:p w:rsidR="00975183" w:rsidRPr="006E7DD2" w:rsidRDefault="00975183" w:rsidP="00F1470F">
      <w:pPr>
        <w:pStyle w:val="EndnoteText"/>
      </w:pPr>
      <w:r w:rsidRPr="006E7DD2">
        <w:rPr>
          <w:rStyle w:val="EndnoteReference"/>
        </w:rPr>
        <w:endnoteRef/>
      </w:r>
      <w:r w:rsidRPr="006E7DD2">
        <w:t xml:space="preserve"> Non-typological intertestamental comparisons occur especially in Genesis, Leviticus, Daniel, Joel, Micah, Zechariah and Malachi</w:t>
      </w:r>
      <w:r>
        <w:t>.</w:t>
      </w:r>
    </w:p>
  </w:endnote>
  <w:endnote w:id="189">
    <w:p w:rsidR="00975183" w:rsidRPr="00B8222A" w:rsidRDefault="00975183" w:rsidP="00F1470F">
      <w:pPr>
        <w:pStyle w:val="EndnoteText"/>
        <w:rPr>
          <w:b/>
        </w:rPr>
      </w:pPr>
      <w:r w:rsidRPr="00E55AE8">
        <w:rPr>
          <w:rStyle w:val="FootnoteReference"/>
        </w:rPr>
        <w:endnoteRef/>
      </w:r>
      <w:r w:rsidRPr="00E55AE8">
        <w:t xml:space="preserve"> </w:t>
      </w:r>
      <w:r>
        <w:t>Subhead to</w:t>
      </w:r>
      <w:r w:rsidRPr="00E55AE8">
        <w:t xml:space="preserve"> Gen. 4:6, p. 10.  ‘Cain exhorted even yet to bring a sin-offering’</w:t>
      </w:r>
      <w:r>
        <w:t>.</w:t>
      </w:r>
    </w:p>
  </w:endnote>
  <w:endnote w:id="190">
    <w:p w:rsidR="00975183" w:rsidRDefault="00975183" w:rsidP="00F1470F">
      <w:pPr>
        <w:pStyle w:val="EndnoteText"/>
      </w:pPr>
      <w:r w:rsidRPr="00596679">
        <w:rPr>
          <w:rStyle w:val="FootnoteReference"/>
        </w:rPr>
        <w:endnoteRef/>
      </w:r>
      <w:r w:rsidRPr="00596679">
        <w:t xml:space="preserve"> Subhead to </w:t>
      </w:r>
      <w:r>
        <w:rPr>
          <w:color w:val="000000"/>
        </w:rPr>
        <w:t xml:space="preserve">2 Cor. 9:6, p. 1236. </w:t>
      </w:r>
      <w:r w:rsidRPr="00596679">
        <w:rPr>
          <w:color w:val="000000"/>
        </w:rPr>
        <w:t xml:space="preserve"> ‘The encouragement: God loves a cheerful giver; if we give, he will give</w:t>
      </w:r>
      <w:r>
        <w:rPr>
          <w:color w:val="000000"/>
        </w:rPr>
        <w:t>.</w:t>
      </w:r>
      <w:r w:rsidRPr="00596679">
        <w:rPr>
          <w:color w:val="000000"/>
        </w:rPr>
        <w:t>’</w:t>
      </w:r>
    </w:p>
  </w:endnote>
  <w:endnote w:id="191">
    <w:p w:rsidR="00975183" w:rsidRDefault="00975183" w:rsidP="00F1470F">
      <w:pPr>
        <w:pStyle w:val="EndnoteText"/>
      </w:pPr>
      <w:r w:rsidRPr="001167F5">
        <w:rPr>
          <w:rStyle w:val="EndnoteReference"/>
        </w:rPr>
        <w:endnoteRef/>
      </w:r>
      <w:r w:rsidRPr="001167F5">
        <w:t xml:space="preserve"> </w:t>
      </w:r>
      <w:r>
        <w:t xml:space="preserve">Subheads to Gen. 1:28, p. 5 (First Dispensation and First Covenant); 3:14, p. 9 (Second, or Adamic Covenant); 3:23, p. 10 (Second Dispensation: Conscience); 8:20, p. 16 (Third Dispensation: Human Government; Third, or Noahic Covenant); 12:1, p. 20 (Fourth Dispensation: Promise; Fourth, or Abrahamic Covenant); 15:1, p. 23 (Abrahamic Covenant confirmed; spiritual seed promised); 26:1, p. 38 (Abrahamic Covenant confirmed to Isaac); 28:1, p. 42 (Jacob at Bethel: the Abrahamic Covenant confirmed to him); Exod. 19:8, p. 94 (Fifth Dispensation, Law [extends to the Cross]; 20:1, p. 95 (Fifth, or Mosaic covenant); Deut. 29:1, p 248 (Palestinian Covenant); </w:t>
      </w:r>
    </w:p>
    <w:p w:rsidR="00975183" w:rsidRPr="001167F5" w:rsidRDefault="00975183" w:rsidP="00F1470F">
      <w:pPr>
        <w:pStyle w:val="EndnoteText"/>
      </w:pPr>
      <w:r>
        <w:t>30:1, p. 249 (Sixth, or Palestinian Covenant: … the covenant declared); 2 Sam. 7:4, p. 362 (Seventh, or Davidic Covenant); Heb. 8:7, p. 1297 (The new covenant better than the old).</w:t>
      </w:r>
    </w:p>
  </w:endnote>
  <w:endnote w:id="192">
    <w:p w:rsidR="00975183" w:rsidRPr="007B127A" w:rsidRDefault="00975183" w:rsidP="00F1470F">
      <w:pPr>
        <w:pStyle w:val="EndnoteText"/>
      </w:pPr>
      <w:r w:rsidRPr="007B127A">
        <w:rPr>
          <w:rStyle w:val="EndnoteReference"/>
        </w:rPr>
        <w:endnoteRef/>
      </w:r>
      <w:r w:rsidRPr="007B127A">
        <w:t xml:space="preserve"> </w:t>
      </w:r>
      <w:proofErr w:type="gramStart"/>
      <w:r w:rsidRPr="007B127A">
        <w:t xml:space="preserve">For example, in </w:t>
      </w:r>
      <w:r>
        <w:t>Isaiah,</w:t>
      </w:r>
      <w:r w:rsidRPr="00D80CF6">
        <w:t xml:space="preserve"> Jeremiah, Ezekiel, Hosea, Joel, Amos, Micah, Zephaniah, Zechariah, Acts, Romans and Revelation</w:t>
      </w:r>
      <w:r>
        <w:t>.</w:t>
      </w:r>
      <w:proofErr w:type="gramEnd"/>
    </w:p>
  </w:endnote>
  <w:endnote w:id="193">
    <w:p w:rsidR="00975183" w:rsidRDefault="00975183" w:rsidP="00F1470F">
      <w:pPr>
        <w:pStyle w:val="EndnoteText"/>
      </w:pPr>
      <w:r w:rsidRPr="00D80CF6">
        <w:rPr>
          <w:rStyle w:val="FootnoteReference"/>
        </w:rPr>
        <w:endnoteRef/>
      </w:r>
      <w:r w:rsidRPr="00D80CF6">
        <w:t xml:space="preserve"> Subhead to Mic. 5:3, p. 949</w:t>
      </w:r>
      <w:r>
        <w:t xml:space="preserve">. </w:t>
      </w:r>
      <w:r w:rsidRPr="00D80CF6">
        <w:t xml:space="preserve"> </w:t>
      </w:r>
      <w:proofErr w:type="gramStart"/>
      <w:r w:rsidRPr="00D80CF6">
        <w:t>‘The interval between the rejection and return of the King’.</w:t>
      </w:r>
      <w:proofErr w:type="gramEnd"/>
    </w:p>
  </w:endnote>
  <w:endnote w:id="194">
    <w:p w:rsidR="00975183" w:rsidRDefault="00975183" w:rsidP="00F1470F">
      <w:pPr>
        <w:pStyle w:val="EndnoteText"/>
      </w:pPr>
      <w:r w:rsidRPr="00D80CF6">
        <w:rPr>
          <w:rStyle w:val="FootnoteReference"/>
        </w:rPr>
        <w:endnoteRef/>
      </w:r>
      <w:r w:rsidRPr="00D80CF6">
        <w:t xml:space="preserve"> Subheads to Mt. 21:1, p. 1027: ‘The King’s public offer of himself as King’, and Mk 11:1, p. 1060: ‘The official presentation of Jesus as King’</w:t>
      </w:r>
    </w:p>
  </w:endnote>
  <w:endnote w:id="195">
    <w:p w:rsidR="00975183" w:rsidRDefault="00975183" w:rsidP="00F1470F">
      <w:pPr>
        <w:pStyle w:val="EndnoteText"/>
      </w:pPr>
      <w:r w:rsidRPr="003A10D2">
        <w:rPr>
          <w:rStyle w:val="FootnoteReference"/>
        </w:rPr>
        <w:endnoteRef/>
      </w:r>
      <w:r w:rsidRPr="003A10D2">
        <w:t xml:space="preserve"> Subheads to Jn 14:1, p. 1135, ‘Jesus foretells his coming for his own (1 Thess. 4:14-17)’ and Jn 21:20, p. 1146, ‘</w:t>
      </w:r>
      <w:proofErr w:type="gramStart"/>
      <w:r w:rsidRPr="003A10D2">
        <w:t>If</w:t>
      </w:r>
      <w:proofErr w:type="gramEnd"/>
      <w:r w:rsidRPr="003A10D2">
        <w:t xml:space="preserve"> the Lord returns the servants will not die (cf. 1 Cor. 15:51-2; 1 Thess. 4:14-18</w:t>
      </w:r>
      <w:r>
        <w:t>.)’</w:t>
      </w:r>
    </w:p>
  </w:endnote>
  <w:endnote w:id="196">
    <w:p w:rsidR="00975183" w:rsidRDefault="00975183" w:rsidP="00F1470F">
      <w:pPr>
        <w:pStyle w:val="EndnoteText"/>
      </w:pPr>
      <w:r w:rsidRPr="00877037">
        <w:rPr>
          <w:rStyle w:val="FootnoteReference"/>
        </w:rPr>
        <w:endnoteRef/>
      </w:r>
      <w:r w:rsidRPr="00877037">
        <w:t xml:space="preserve"> </w:t>
      </w:r>
      <w:r w:rsidRPr="00346907">
        <w:rPr>
          <w:b/>
        </w:rPr>
        <w:t>See Chapter 6</w:t>
      </w:r>
      <w:r w:rsidRPr="00877037">
        <w:rPr>
          <w:b/>
        </w:rPr>
        <w:t>.</w:t>
      </w:r>
    </w:p>
  </w:endnote>
  <w:endnote w:id="197">
    <w:p w:rsidR="00975183" w:rsidRDefault="00975183" w:rsidP="00F1470F">
      <w:pPr>
        <w:pStyle w:val="EndnoteText"/>
      </w:pPr>
      <w:r w:rsidRPr="00D80CF6">
        <w:rPr>
          <w:rStyle w:val="FootnoteReference"/>
        </w:rPr>
        <w:endnoteRef/>
      </w:r>
      <w:r w:rsidRPr="00D80CF6">
        <w:t xml:space="preserve"> Subhead to Dan. 11:21, p. 917</w:t>
      </w:r>
      <w:r>
        <w:t>.  ‘The “little horn” of Dan. 8</w:t>
      </w:r>
      <w:r w:rsidRPr="00D80CF6">
        <w:t xml:space="preserve">: </w:t>
      </w:r>
      <w:r>
        <w:t>[</w:t>
      </w:r>
      <w:r w:rsidRPr="00F1255A">
        <w:rPr>
          <w:i/>
        </w:rPr>
        <w:t>sic</w:t>
      </w:r>
      <w:r>
        <w:t xml:space="preserve">] </w:t>
      </w:r>
      <w:r w:rsidRPr="00D80CF6">
        <w:t xml:space="preserve">Antiochus Epiphanes (to v. 35).  (See Dan. 11:2 </w:t>
      </w:r>
      <w:proofErr w:type="gramStart"/>
      <w:r w:rsidRPr="00D80CF6">
        <w:t>note</w:t>
      </w:r>
      <w:proofErr w:type="gramEnd"/>
      <w:r w:rsidRPr="00D80CF6">
        <w:t>.)</w:t>
      </w:r>
      <w:r>
        <w:t>’</w:t>
      </w:r>
      <w:r w:rsidRPr="00D80CF6">
        <w:rPr>
          <w:b/>
        </w:rPr>
        <w:t>.</w:t>
      </w:r>
      <w:r>
        <w:rPr>
          <w:b/>
        </w:rPr>
        <w:t xml:space="preserve">  </w:t>
      </w:r>
      <w:r w:rsidRPr="00346907">
        <w:rPr>
          <w:b/>
        </w:rPr>
        <w:t>See 2.1; 7.1.2.1; 7.1.2.2; 8.4.4</w:t>
      </w:r>
      <w:r>
        <w:rPr>
          <w:b/>
        </w:rPr>
        <w:t>.</w:t>
      </w:r>
    </w:p>
  </w:endnote>
  <w:endnote w:id="198">
    <w:p w:rsidR="00975183" w:rsidRDefault="00975183" w:rsidP="00442D33">
      <w:pPr>
        <w:pStyle w:val="EndnoteText"/>
      </w:pPr>
      <w:r w:rsidRPr="000A26C9">
        <w:rPr>
          <w:rStyle w:val="FootnoteReference"/>
        </w:rPr>
        <w:endnoteRef/>
      </w:r>
      <w:r w:rsidRPr="000A26C9">
        <w:t xml:space="preserve"> Nathan D. Holsteen, ‘The Hermeneutic of Dispensationalism’ in D. Jeffrey Bingham and Glenn R. Kreider (gen. eds), </w:t>
      </w:r>
      <w:r w:rsidRPr="000A26C9">
        <w:rPr>
          <w:i/>
        </w:rPr>
        <w:t>Dispensationalism and the History of Redemption: A Developing and Diverse Tradition</w:t>
      </w:r>
      <w:r w:rsidRPr="000A26C9">
        <w:t xml:space="preserve"> (Chicago: Moody Publishers, 2015), </w:t>
      </w:r>
    </w:p>
    <w:p w:rsidR="00975183" w:rsidRDefault="00975183" w:rsidP="00442D33">
      <w:pPr>
        <w:pStyle w:val="EndnoteText"/>
      </w:pPr>
      <w:proofErr w:type="gramStart"/>
      <w:r w:rsidRPr="000A26C9">
        <w:t>p. 102.</w:t>
      </w:r>
      <w:proofErr w:type="gramEnd"/>
      <w:r w:rsidRPr="000A26C9">
        <w:t xml:space="preserve">  </w:t>
      </w:r>
      <w:proofErr w:type="gramStart"/>
      <w:r w:rsidRPr="000A26C9">
        <w:t>(</w:t>
      </w:r>
      <w:r w:rsidRPr="000A26C9">
        <w:rPr>
          <w:i/>
        </w:rPr>
        <w:t>Holsteen’s emphasis</w:t>
      </w:r>
      <w:r w:rsidRPr="000A26C9">
        <w:t>.)</w:t>
      </w:r>
      <w:proofErr w:type="gramEnd"/>
    </w:p>
  </w:endnote>
  <w:endnote w:id="199">
    <w:p w:rsidR="00975183" w:rsidRDefault="00975183" w:rsidP="00442D33">
      <w:pPr>
        <w:pStyle w:val="EndnoteText"/>
      </w:pPr>
      <w:r w:rsidRPr="000A26C9">
        <w:rPr>
          <w:rStyle w:val="FootnoteReference"/>
        </w:rPr>
        <w:endnoteRef/>
      </w:r>
      <w:r w:rsidRPr="000A26C9">
        <w:t xml:space="preserve"> Anthony C. Thiselton, ‘Why Study Hermeneutics with Professor Anthony C. Thiselton’, an interview with Thomas O’Loughlin, Department of Theology and Religious Studies, University of Nottingham, 13 September, 2011.  &lt;https://www.youtube.com/watch?v=J1UY7_KA8L0&gt; [accessed 4.9.17].</w:t>
      </w:r>
    </w:p>
  </w:endnote>
  <w:endnote w:id="200">
    <w:p w:rsidR="00975183" w:rsidRDefault="00975183" w:rsidP="00442D33">
      <w:pPr>
        <w:pStyle w:val="EndnoteText"/>
      </w:pPr>
      <w:r w:rsidRPr="000A26C9">
        <w:rPr>
          <w:rStyle w:val="FootnoteReference"/>
        </w:rPr>
        <w:endnoteRef/>
      </w:r>
      <w:r w:rsidRPr="000A26C9">
        <w:t xml:space="preserve"> Bernard Ramm, </w:t>
      </w:r>
      <w:r w:rsidRPr="000A26C9">
        <w:rPr>
          <w:i/>
        </w:rPr>
        <w:t>Protestant Biblical Interpretation: A Textbook of Hermeneutics</w:t>
      </w:r>
      <w:r w:rsidRPr="000A26C9">
        <w:t xml:space="preserve"> (Grand Rapids, Michigan: Baker Books, 3</w:t>
      </w:r>
      <w:r w:rsidRPr="000A26C9">
        <w:rPr>
          <w:vertAlign w:val="superscript"/>
        </w:rPr>
        <w:t>rd</w:t>
      </w:r>
      <w:r w:rsidRPr="000A26C9">
        <w:t xml:space="preserve"> Revised Edition, 1970, Third Printing, October, 2001), p. 11.</w:t>
      </w:r>
    </w:p>
  </w:endnote>
  <w:endnote w:id="201">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12.</w:t>
      </w:r>
    </w:p>
  </w:endnote>
  <w:endnote w:id="202">
    <w:p w:rsidR="00975183" w:rsidRPr="0045078F" w:rsidRDefault="00975183" w:rsidP="00442D33">
      <w:pPr>
        <w:pStyle w:val="EndnoteText"/>
      </w:pPr>
      <w:r w:rsidRPr="0045078F">
        <w:rPr>
          <w:rStyle w:val="FootnoteReference"/>
        </w:rPr>
        <w:endnoteRef/>
      </w:r>
      <w:r w:rsidRPr="0045078F">
        <w:t xml:space="preserve"> </w:t>
      </w:r>
      <w:proofErr w:type="gramStart"/>
      <w:r w:rsidRPr="0045078F">
        <w:t>Thiselton, ‘Why Study Hermeneutics’.</w:t>
      </w:r>
      <w:proofErr w:type="gramEnd"/>
    </w:p>
  </w:endnote>
  <w:endnote w:id="203">
    <w:p w:rsidR="00975183" w:rsidRPr="0045078F" w:rsidRDefault="00975183" w:rsidP="00442D33">
      <w:pPr>
        <w:pStyle w:val="EndnoteText"/>
      </w:pPr>
      <w:r w:rsidRPr="0045078F">
        <w:rPr>
          <w:rStyle w:val="FootnoteReference"/>
        </w:rPr>
        <w:endnoteRef/>
      </w:r>
      <w:r w:rsidRPr="0045078F">
        <w:t xml:space="preserve"> Holsteen, ‘Hermeneutic of Dispensationalism’, </w:t>
      </w:r>
      <w:r w:rsidRPr="0045078F">
        <w:rPr>
          <w:i/>
        </w:rPr>
        <w:t>Dispensationalism and the History of Redemption,</w:t>
      </w:r>
      <w:r w:rsidRPr="0045078F">
        <w:t xml:space="preserve"> p. 103.</w:t>
      </w:r>
    </w:p>
  </w:endnote>
  <w:endnote w:id="204">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4.</w:t>
      </w:r>
    </w:p>
  </w:endnote>
  <w:endnote w:id="205">
    <w:p w:rsidR="00975183" w:rsidRDefault="00975183" w:rsidP="00442D33">
      <w:pPr>
        <w:pStyle w:val="EndnoteText"/>
      </w:pPr>
      <w:r w:rsidRPr="00874849">
        <w:rPr>
          <w:rStyle w:val="FootnoteReference"/>
        </w:rPr>
        <w:endnoteRef/>
      </w:r>
      <w:r w:rsidRPr="00874849">
        <w:t xml:space="preserve"> Ryrie, </w:t>
      </w:r>
      <w:r w:rsidRPr="00874849">
        <w:rPr>
          <w:i/>
        </w:rPr>
        <w:t>Dispensationalism Today</w:t>
      </w:r>
      <w:r w:rsidRPr="00874849">
        <w:t>, p. 86.</w:t>
      </w:r>
    </w:p>
  </w:endnote>
  <w:endnote w:id="206">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93.</w:t>
      </w:r>
    </w:p>
  </w:endnote>
  <w:endnote w:id="207">
    <w:p w:rsidR="00975183" w:rsidRDefault="00975183" w:rsidP="00442D33">
      <w:pPr>
        <w:pStyle w:val="EndnoteText"/>
      </w:pPr>
      <w:r w:rsidRPr="00874849">
        <w:rPr>
          <w:rStyle w:val="FootnoteReference"/>
        </w:rPr>
        <w:endnoteRef/>
      </w:r>
      <w:r w:rsidRPr="00874849">
        <w:t xml:space="preserve"> </w:t>
      </w:r>
      <w:proofErr w:type="gramStart"/>
      <w:r w:rsidRPr="00874849">
        <w:t>Weber,</w:t>
      </w:r>
      <w:r w:rsidRPr="00874849">
        <w:rPr>
          <w:b/>
        </w:rPr>
        <w:t xml:space="preserve"> </w:t>
      </w:r>
      <w:r w:rsidRPr="00874849">
        <w:rPr>
          <w:i/>
        </w:rPr>
        <w:t>Living in the Shadow of the Second Coming</w:t>
      </w:r>
      <w:r w:rsidRPr="00874849">
        <w:t>, pp. 24-5.</w:t>
      </w:r>
      <w:proofErr w:type="gramEnd"/>
    </w:p>
  </w:endnote>
  <w:endnote w:id="208">
    <w:p w:rsidR="00975183" w:rsidRPr="0045078F" w:rsidRDefault="00975183" w:rsidP="00442D33">
      <w:pPr>
        <w:pStyle w:val="EndnoteText"/>
      </w:pPr>
      <w:r w:rsidRPr="0045078F">
        <w:rPr>
          <w:rStyle w:val="FootnoteReference"/>
        </w:rPr>
        <w:endnoteRef/>
      </w:r>
      <w:r w:rsidRPr="0045078F">
        <w:t xml:space="preserve"> Weber, </w:t>
      </w:r>
      <w:r w:rsidRPr="0045078F">
        <w:rPr>
          <w:i/>
        </w:rPr>
        <w:t>Shadow</w:t>
      </w:r>
      <w:r w:rsidRPr="0045078F">
        <w:t>, pp. 26-7.</w:t>
      </w:r>
      <w:r>
        <w:t xml:space="preserve">  See Chapter 4, table with quotation of Clause 1 of the </w:t>
      </w:r>
      <w:r w:rsidRPr="00874849">
        <w:t>Report of Believers’ Meeting for Bible Study, stenographically reported by Revd S. V. Robinson (Toronto:  Toronto Willard Tract Depository, 1888), p. 13. &lt;https://archive.org/details/cihm_05879&gt; [accessed 12.9.17].</w:t>
      </w:r>
      <w:r>
        <w:t xml:space="preserve"> </w:t>
      </w:r>
    </w:p>
  </w:endnote>
  <w:endnote w:id="209">
    <w:p w:rsidR="00975183" w:rsidRPr="0045078F" w:rsidRDefault="00975183" w:rsidP="00442D33">
      <w:pPr>
        <w:pStyle w:val="EndnoteText"/>
      </w:pPr>
      <w:r w:rsidRPr="0045078F">
        <w:rPr>
          <w:rStyle w:val="FootnoteReference"/>
        </w:rPr>
        <w:endnoteRef/>
      </w:r>
      <w:r w:rsidRPr="0045078F">
        <w:t xml:space="preserve"> Weber, </w:t>
      </w:r>
      <w:r w:rsidRPr="0045078F">
        <w:rPr>
          <w:i/>
        </w:rPr>
        <w:t>Shadow</w:t>
      </w:r>
      <w:r w:rsidRPr="0045078F">
        <w:t>, p. 36.</w:t>
      </w:r>
    </w:p>
  </w:endnote>
  <w:endnote w:id="210">
    <w:p w:rsidR="00975183" w:rsidRDefault="00975183" w:rsidP="00442D33">
      <w:pPr>
        <w:pStyle w:val="EndnoteText"/>
      </w:pPr>
      <w:r w:rsidRPr="00874849">
        <w:rPr>
          <w:rStyle w:val="FootnoteReference"/>
        </w:rPr>
        <w:endnoteRef/>
      </w:r>
      <w:r w:rsidRPr="00874849">
        <w:t xml:space="preserve"> Kraus, </w:t>
      </w:r>
      <w:r w:rsidRPr="00874849">
        <w:rPr>
          <w:i/>
        </w:rPr>
        <w:t>Dispensationalism in America</w:t>
      </w:r>
      <w:r w:rsidRPr="00874849">
        <w:t>, p. 66.</w:t>
      </w:r>
    </w:p>
  </w:endnote>
  <w:endnote w:id="211">
    <w:p w:rsidR="00975183" w:rsidRDefault="00975183" w:rsidP="00442D33">
      <w:pPr>
        <w:pStyle w:val="EndnoteText"/>
      </w:pPr>
      <w:r w:rsidRPr="00DA01AD">
        <w:rPr>
          <w:rStyle w:val="FootnoteReference"/>
          <w:szCs w:val="22"/>
        </w:rPr>
        <w:endnoteRef/>
      </w:r>
      <w:r w:rsidRPr="00DA01AD">
        <w:rPr>
          <w:szCs w:val="22"/>
        </w:rPr>
        <w:t xml:space="preserve"> </w:t>
      </w:r>
      <w:r w:rsidRPr="00DA01AD">
        <w:rPr>
          <w:szCs w:val="22"/>
          <w:lang w:val="en-US"/>
        </w:rPr>
        <w:t xml:space="preserve">Bass, </w:t>
      </w:r>
      <w:r w:rsidRPr="00DA01AD">
        <w:rPr>
          <w:i/>
          <w:szCs w:val="22"/>
          <w:lang w:val="en-US"/>
        </w:rPr>
        <w:t>Backgrounds to Dispensationalism</w:t>
      </w:r>
      <w:r>
        <w:rPr>
          <w:szCs w:val="22"/>
          <w:lang w:val="en-US"/>
        </w:rPr>
        <w:t>,</w:t>
      </w:r>
      <w:r w:rsidRPr="000A26C9">
        <w:t xml:space="preserve"> p. 21.</w:t>
      </w:r>
    </w:p>
  </w:endnote>
  <w:endnote w:id="212">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107.</w:t>
      </w:r>
    </w:p>
  </w:endnote>
  <w:endnote w:id="213">
    <w:p w:rsidR="00975183" w:rsidRDefault="00975183" w:rsidP="00442D33">
      <w:pPr>
        <w:pStyle w:val="EndnoteText"/>
      </w:pPr>
      <w:r w:rsidRPr="000A26C9">
        <w:rPr>
          <w:rStyle w:val="FootnoteReference"/>
        </w:rPr>
        <w:endnoteRef/>
      </w:r>
      <w:r w:rsidRPr="000A26C9">
        <w:t xml:space="preserve"> Darrell L. Bock, ‘Interpreting the Bible – How Texts Speak to Us’ in </w:t>
      </w:r>
      <w:r w:rsidRPr="000A26C9">
        <w:rPr>
          <w:i/>
        </w:rPr>
        <w:t>Progressive Dispensationalism</w:t>
      </w:r>
      <w:r w:rsidRPr="000A26C9">
        <w:t xml:space="preserve"> (Grand Rapids, Michigan: Bridgepoint Books, 1993, paperback, 2000), p. 73.  </w:t>
      </w:r>
      <w:proofErr w:type="gramStart"/>
      <w:r w:rsidRPr="000A26C9">
        <w:t xml:space="preserve">(See </w:t>
      </w:r>
      <w:r w:rsidRPr="000A26C9">
        <w:rPr>
          <w:rStyle w:val="ind"/>
          <w:i/>
        </w:rPr>
        <w:t>Grammatical-Historical Interpretation and Literary-Theological Interpretation</w:t>
      </w:r>
      <w:r w:rsidRPr="000A26C9">
        <w:rPr>
          <w:rStyle w:val="ind"/>
          <w:b/>
          <w:i/>
        </w:rPr>
        <w:t xml:space="preserve"> </w:t>
      </w:r>
      <w:r w:rsidRPr="000A26C9">
        <w:rPr>
          <w:rStyle w:val="ind"/>
        </w:rPr>
        <w:t>below.)</w:t>
      </w:r>
      <w:proofErr w:type="gramEnd"/>
    </w:p>
  </w:endnote>
  <w:endnote w:id="214">
    <w:p w:rsidR="00975183" w:rsidRDefault="00975183" w:rsidP="00442D33">
      <w:pPr>
        <w:pStyle w:val="EndnoteText"/>
      </w:pPr>
      <w:r w:rsidRPr="000A26C9">
        <w:rPr>
          <w:rStyle w:val="FootnoteReference"/>
        </w:rPr>
        <w:endnoteRef/>
      </w:r>
      <w:r w:rsidRPr="000A26C9">
        <w:t xml:space="preserve"> </w:t>
      </w:r>
      <w:r w:rsidRPr="000A26C9">
        <w:rPr>
          <w:rStyle w:val="sources"/>
        </w:rPr>
        <w:t xml:space="preserve">Paul Lee Tan, </w:t>
      </w:r>
      <w:proofErr w:type="gramStart"/>
      <w:r w:rsidRPr="000A26C9">
        <w:rPr>
          <w:rStyle w:val="sources"/>
          <w:i/>
        </w:rPr>
        <w:t>The</w:t>
      </w:r>
      <w:proofErr w:type="gramEnd"/>
      <w:r w:rsidRPr="000A26C9">
        <w:rPr>
          <w:rStyle w:val="sources"/>
          <w:i/>
        </w:rPr>
        <w:t xml:space="preserve"> Interpretation of Prophecy</w:t>
      </w:r>
      <w:r w:rsidRPr="000A26C9">
        <w:rPr>
          <w:rStyle w:val="sources"/>
        </w:rPr>
        <w:t xml:space="preserve"> (Winona Lake, Indiana: BMH Books, 1974?), pp. 109-110.  (Date from Library of Congress – my copy contains no details of publication.)</w:t>
      </w:r>
    </w:p>
  </w:endnote>
  <w:endnote w:id="215">
    <w:p w:rsidR="00975183" w:rsidRPr="0045078F" w:rsidRDefault="00975183" w:rsidP="00442D33">
      <w:pPr>
        <w:pStyle w:val="EndnoteText"/>
      </w:pPr>
      <w:r w:rsidRPr="0045078F">
        <w:rPr>
          <w:rStyle w:val="FootnoteReference"/>
        </w:rPr>
        <w:endnoteRef/>
      </w:r>
      <w:r w:rsidRPr="0045078F">
        <w:t xml:space="preserve"> </w:t>
      </w:r>
      <w:proofErr w:type="gramStart"/>
      <w:r w:rsidRPr="0045078F">
        <w:t xml:space="preserve">Bock, How Texts Speak to Us’, </w:t>
      </w:r>
      <w:r w:rsidRPr="0045078F">
        <w:rPr>
          <w:i/>
        </w:rPr>
        <w:t xml:space="preserve">Progressive Dispensationalism, </w:t>
      </w:r>
      <w:r w:rsidRPr="0045078F">
        <w:t>p. 73</w:t>
      </w:r>
      <w:r w:rsidRPr="0045078F">
        <w:rPr>
          <w:i/>
        </w:rPr>
        <w:t>.</w:t>
      </w:r>
      <w:proofErr w:type="gramEnd"/>
    </w:p>
  </w:endnote>
  <w:endnote w:id="216">
    <w:p w:rsidR="00975183" w:rsidRDefault="00975183" w:rsidP="00442D33">
      <w:pPr>
        <w:pStyle w:val="EndnoteText"/>
        <w:rPr>
          <w:bCs/>
          <w:i/>
          <w:lang w:eastAsia="en-GB"/>
        </w:rPr>
      </w:pPr>
      <w:r w:rsidRPr="000A26C9">
        <w:rPr>
          <w:rStyle w:val="FootnoteReference"/>
        </w:rPr>
        <w:endnoteRef/>
      </w:r>
      <w:r w:rsidRPr="000A26C9">
        <w:t xml:space="preserve"> Oswald, T. Allis, ‘</w:t>
      </w:r>
      <w:r w:rsidRPr="000A26C9">
        <w:rPr>
          <w:bCs/>
          <w:lang w:eastAsia="en-GB"/>
        </w:rPr>
        <w:t xml:space="preserve">Modern Dispensationalism and the Doctrine of the Unity of Scripture’, </w:t>
      </w:r>
      <w:r w:rsidRPr="000A26C9">
        <w:rPr>
          <w:bCs/>
          <w:i/>
          <w:lang w:eastAsia="en-GB"/>
        </w:rPr>
        <w:t xml:space="preserve">Evangelical Quarterly, </w:t>
      </w:r>
    </w:p>
    <w:p w:rsidR="00975183" w:rsidRDefault="00975183" w:rsidP="00442D33">
      <w:pPr>
        <w:pStyle w:val="EndnoteText"/>
      </w:pPr>
      <w:r w:rsidRPr="000A26C9">
        <w:rPr>
          <w:bCs/>
          <w:lang w:eastAsia="en-GB"/>
        </w:rPr>
        <w:t>Vol. VIII, No. 1, January 1936, reprinted by Reformed Literature.com, p. 1 &lt;</w:t>
      </w:r>
      <w:r w:rsidRPr="000A26C9">
        <w:rPr>
          <w:bCs/>
          <w:spacing w:val="-5"/>
          <w:lang w:eastAsia="en-GB"/>
        </w:rPr>
        <w:t xml:space="preserve">http://www.reformedliterature.com/allis-modern-dispensationalism-and-unity-of-scripture.php </w:t>
      </w:r>
      <w:r w:rsidRPr="000A26C9">
        <w:rPr>
          <w:bCs/>
          <w:lang w:eastAsia="en-GB"/>
        </w:rPr>
        <w:t>&gt; [accessed 23.4.17].</w:t>
      </w:r>
    </w:p>
  </w:endnote>
  <w:endnote w:id="217">
    <w:p w:rsidR="00975183" w:rsidRDefault="00975183" w:rsidP="00442D33">
      <w:pPr>
        <w:pStyle w:val="FootnoteText"/>
        <w:rPr>
          <w:rFonts w:ascii="Perpetua" w:hAnsi="Perpetua"/>
        </w:rPr>
      </w:pPr>
      <w:r w:rsidRPr="000A26C9">
        <w:rPr>
          <w:rStyle w:val="FootnoteReference"/>
          <w:rFonts w:ascii="Perpetua" w:hAnsi="Perpetua"/>
        </w:rPr>
        <w:endnoteRef/>
      </w:r>
      <w:r w:rsidRPr="000A26C9">
        <w:rPr>
          <w:rFonts w:ascii="Perpetua" w:hAnsi="Perpetua"/>
        </w:rPr>
        <w:t xml:space="preserve"> The Westminster Confession of Faith (1646) &lt;http://www.reformed.org/documents/index.html?mainframe=http://www.reformed.org/documents/</w:t>
      </w:r>
    </w:p>
    <w:p w:rsidR="00975183" w:rsidRDefault="00975183" w:rsidP="00442D33">
      <w:pPr>
        <w:pStyle w:val="EndnoteText"/>
      </w:pPr>
      <w:r w:rsidRPr="000A26C9">
        <w:t>westminster_conf_of_faith.html &gt; [accessed 24.9.11], ‘</w:t>
      </w:r>
      <w:r w:rsidRPr="000A26C9">
        <w:rPr>
          <w:lang w:val="en-US"/>
        </w:rPr>
        <w:t>IX. The infallible rule of interpretation of Scripture, is the Scripture itself; and therefore, when there is a question about the true and full sense of any scripture (which is not manifold, but one), it may be searched and known by other places that speak more clearly.’</w:t>
      </w:r>
    </w:p>
  </w:endnote>
  <w:endnote w:id="218">
    <w:p w:rsidR="00975183" w:rsidRPr="0045078F" w:rsidRDefault="00975183" w:rsidP="00442D33">
      <w:pPr>
        <w:pStyle w:val="EndnoteText"/>
      </w:pPr>
      <w:r w:rsidRPr="0045078F">
        <w:rPr>
          <w:rStyle w:val="FootnoteReference"/>
        </w:rPr>
        <w:endnoteRef/>
      </w:r>
      <w:r w:rsidRPr="0045078F">
        <w:t xml:space="preserve"> </w:t>
      </w:r>
      <w:r w:rsidRPr="0045078F">
        <w:rPr>
          <w:rStyle w:val="sources"/>
        </w:rPr>
        <w:t xml:space="preserve">Tan, </w:t>
      </w:r>
      <w:r w:rsidRPr="0045078F">
        <w:rPr>
          <w:rStyle w:val="sources"/>
          <w:i/>
        </w:rPr>
        <w:t>Interpretation of Prophecy</w:t>
      </w:r>
      <w:r w:rsidRPr="0045078F">
        <w:rPr>
          <w:rStyle w:val="sources"/>
        </w:rPr>
        <w:t xml:space="preserve">, p. 76.  </w:t>
      </w:r>
    </w:p>
  </w:endnote>
  <w:endnote w:id="219">
    <w:p w:rsidR="00975183" w:rsidRDefault="00975183" w:rsidP="00442D33">
      <w:pPr>
        <w:pStyle w:val="EndnoteText"/>
      </w:pPr>
      <w:r w:rsidRPr="000A26C9">
        <w:rPr>
          <w:rStyle w:val="FootnoteReference"/>
        </w:rPr>
        <w:endnoteRef/>
      </w:r>
      <w:r w:rsidRPr="000A26C9">
        <w:t xml:space="preserve"> Ryrie, </w:t>
      </w:r>
      <w:r w:rsidRPr="000A26C9">
        <w:rPr>
          <w:i/>
        </w:rPr>
        <w:t>Dispensationalism Today</w:t>
      </w:r>
      <w:r w:rsidRPr="000A26C9">
        <w:t xml:space="preserve">, p. 45; </w:t>
      </w:r>
      <w:r w:rsidRPr="000A26C9">
        <w:rPr>
          <w:i/>
        </w:rPr>
        <w:t>Dispensationalism</w:t>
      </w:r>
      <w:r w:rsidRPr="000A26C9">
        <w:t xml:space="preserve">: </w:t>
      </w:r>
      <w:r w:rsidRPr="000A26C9">
        <w:rPr>
          <w:i/>
        </w:rPr>
        <w:t>Revised and Expanded</w:t>
      </w:r>
      <w:r w:rsidRPr="000A26C9">
        <w:t>, p. 47.</w:t>
      </w:r>
    </w:p>
  </w:endnote>
  <w:endnote w:id="220">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 46; </w:t>
      </w:r>
      <w:r w:rsidRPr="0045078F">
        <w:rPr>
          <w:i/>
        </w:rPr>
        <w:t>Dispensationalism</w:t>
      </w:r>
      <w:r w:rsidRPr="0045078F">
        <w:t>, p. 47.</w:t>
      </w:r>
    </w:p>
  </w:endnote>
  <w:endnote w:id="221">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 86; </w:t>
      </w:r>
      <w:r w:rsidRPr="0045078F">
        <w:rPr>
          <w:i/>
        </w:rPr>
        <w:t>Dispensationalism</w:t>
      </w:r>
      <w:r w:rsidRPr="0045078F">
        <w:t>, p. 91.</w:t>
      </w:r>
    </w:p>
  </w:endnote>
  <w:endnote w:id="222">
    <w:p w:rsidR="00975183" w:rsidRPr="004E0F4D" w:rsidRDefault="00975183" w:rsidP="00442D33">
      <w:pPr>
        <w:pStyle w:val="EndnoteText"/>
      </w:pPr>
      <w:r w:rsidRPr="004E0F4D">
        <w:rPr>
          <w:rStyle w:val="EndnoteReference"/>
        </w:rPr>
        <w:endnoteRef/>
      </w:r>
      <w:r w:rsidRPr="004E0F4D">
        <w:t xml:space="preserve"> </w:t>
      </w:r>
      <w:proofErr w:type="gramStart"/>
      <w:r>
        <w:t>Chambers Dictionary, 2008.</w:t>
      </w:r>
      <w:proofErr w:type="gramEnd"/>
    </w:p>
  </w:endnote>
  <w:endnote w:id="223">
    <w:p w:rsidR="00975183" w:rsidRPr="004E0F4D" w:rsidRDefault="00975183" w:rsidP="00442D33">
      <w:pPr>
        <w:pStyle w:val="EndnoteText"/>
      </w:pPr>
      <w:r w:rsidRPr="004E0F4D">
        <w:rPr>
          <w:rStyle w:val="EndnoteReference"/>
        </w:rPr>
        <w:endnoteRef/>
      </w:r>
      <w:r w:rsidRPr="004E0F4D">
        <w:t xml:space="preserve"> </w:t>
      </w:r>
      <w:r>
        <w:t xml:space="preserve">For example, </w:t>
      </w:r>
      <w:r w:rsidRPr="005367F5">
        <w:rPr>
          <w:i/>
        </w:rPr>
        <w:t>English Standard Version</w:t>
      </w:r>
      <w:r>
        <w:t xml:space="preserve">, </w:t>
      </w:r>
      <w:r w:rsidRPr="005367F5">
        <w:rPr>
          <w:i/>
        </w:rPr>
        <w:t>New American Standard Version</w:t>
      </w:r>
      <w:r>
        <w:t xml:space="preserve">, </w:t>
      </w:r>
      <w:r w:rsidRPr="005367F5">
        <w:rPr>
          <w:i/>
        </w:rPr>
        <w:t>NET Bible</w:t>
      </w:r>
      <w:r>
        <w:t xml:space="preserve">, </w:t>
      </w:r>
      <w:r w:rsidRPr="005367F5">
        <w:rPr>
          <w:i/>
        </w:rPr>
        <w:t>NIV</w:t>
      </w:r>
      <w:r>
        <w:t xml:space="preserve">, </w:t>
      </w:r>
      <w:r w:rsidRPr="005367F5">
        <w:rPr>
          <w:i/>
        </w:rPr>
        <w:t>NJB</w:t>
      </w:r>
      <w:r>
        <w:t>, NRSV.</w:t>
      </w:r>
    </w:p>
  </w:endnote>
  <w:endnote w:id="224">
    <w:p w:rsidR="00975183" w:rsidRPr="00AD2BD9" w:rsidRDefault="00975183" w:rsidP="00442D33">
      <w:pPr>
        <w:pStyle w:val="EndnoteText"/>
        <w:rPr>
          <w:lang w:val="en-US"/>
        </w:rPr>
      </w:pPr>
      <w:r w:rsidRPr="00AD2BD9">
        <w:rPr>
          <w:rStyle w:val="EndnoteReference"/>
        </w:rPr>
        <w:endnoteRef/>
      </w:r>
      <w:r w:rsidRPr="00AD2BD9">
        <w:t xml:space="preserve"> </w:t>
      </w:r>
      <w:r>
        <w:t>‘</w:t>
      </w:r>
      <w:proofErr w:type="gramStart"/>
      <w:r w:rsidRPr="007E16C8">
        <w:rPr>
          <w:rFonts w:ascii="Times New Roman" w:hAnsi="Times New Roman" w:cs="Times New Roman"/>
          <w:b/>
          <w:sz w:val="18"/>
          <w:lang w:val="el-GR" w:bidi="he-IL"/>
        </w:rPr>
        <w:t>ἄφετε</w:t>
      </w:r>
      <w:proofErr w:type="gramEnd"/>
      <w:r w:rsidRPr="00AD2BD9">
        <w:rPr>
          <w:rFonts w:ascii="Bwgrkl" w:hAnsi="Bwgrkl" w:cs="SBL Greek"/>
          <w:sz w:val="18"/>
          <w:lang w:val="el-GR" w:bidi="he-IL"/>
        </w:rPr>
        <w:t xml:space="preserve"> </w:t>
      </w:r>
      <w:r w:rsidRPr="00AD2BD9">
        <w:rPr>
          <w:rFonts w:ascii="Times New Roman" w:hAnsi="Times New Roman" w:cs="Times New Roman"/>
          <w:sz w:val="18"/>
          <w:lang w:val="el-GR" w:bidi="he-IL"/>
        </w:rPr>
        <w:t>τὰ</w:t>
      </w:r>
      <w:r w:rsidRPr="00AD2BD9">
        <w:rPr>
          <w:rFonts w:ascii="Bwgrkl" w:hAnsi="Bwgrkl" w:cs="SBL Greek"/>
          <w:sz w:val="18"/>
          <w:lang w:val="el-GR" w:bidi="he-IL"/>
        </w:rPr>
        <w:t xml:space="preserve"> </w:t>
      </w:r>
      <w:r w:rsidRPr="00AD2BD9">
        <w:rPr>
          <w:rFonts w:ascii="Times New Roman" w:hAnsi="Times New Roman" w:cs="Times New Roman"/>
          <w:sz w:val="18"/>
          <w:lang w:val="el-GR" w:bidi="he-IL"/>
        </w:rPr>
        <w:t>παιδία</w:t>
      </w:r>
      <w:r w:rsidRPr="00AD2BD9">
        <w:rPr>
          <w:rFonts w:ascii="Bwgrkl" w:hAnsi="Bwgrkl" w:cs="SBL Greek"/>
          <w:sz w:val="18"/>
          <w:lang w:val="el-GR" w:bidi="he-IL"/>
        </w:rPr>
        <w:t xml:space="preserve"> </w:t>
      </w:r>
      <w:r w:rsidRPr="00AD2BD9">
        <w:rPr>
          <w:rFonts w:ascii="Times New Roman" w:hAnsi="Times New Roman" w:cs="Times New Roman"/>
          <w:sz w:val="18"/>
          <w:lang w:val="el-GR" w:bidi="he-IL"/>
        </w:rPr>
        <w:t>ἔρχεσθαι</w:t>
      </w:r>
      <w:r w:rsidRPr="00AD2BD9">
        <w:rPr>
          <w:rFonts w:ascii="Bwgrkl" w:hAnsi="Bwgrkl" w:cs="SBL Greek"/>
          <w:sz w:val="18"/>
          <w:lang w:val="el-GR" w:bidi="he-IL"/>
        </w:rPr>
        <w:t xml:space="preserve"> </w:t>
      </w:r>
      <w:r w:rsidRPr="00AD2BD9">
        <w:rPr>
          <w:rFonts w:ascii="Times New Roman" w:hAnsi="Times New Roman" w:cs="Times New Roman"/>
          <w:sz w:val="18"/>
          <w:lang w:val="el-GR" w:bidi="he-IL"/>
        </w:rPr>
        <w:t>πρός</w:t>
      </w:r>
      <w:r w:rsidRPr="00AD2BD9">
        <w:rPr>
          <w:rFonts w:ascii="Bwgrkl" w:hAnsi="Bwgrkl" w:cs="SBL Greek"/>
          <w:sz w:val="18"/>
          <w:lang w:val="el-GR" w:bidi="he-IL"/>
        </w:rPr>
        <w:t xml:space="preserve"> </w:t>
      </w:r>
      <w:r w:rsidRPr="00AD2BD9">
        <w:rPr>
          <w:rFonts w:ascii="Times New Roman" w:hAnsi="Times New Roman" w:cs="Times New Roman"/>
          <w:sz w:val="18"/>
          <w:lang w:val="el-GR" w:bidi="he-IL"/>
        </w:rPr>
        <w:t>με</w:t>
      </w:r>
      <w:r>
        <w:t>’, Mk 10:14.</w:t>
      </w:r>
    </w:p>
  </w:endnote>
  <w:endnote w:id="225">
    <w:p w:rsidR="00975183" w:rsidRPr="00010E82" w:rsidRDefault="00975183" w:rsidP="00442D33">
      <w:pPr>
        <w:pStyle w:val="EndnoteText"/>
        <w:rPr>
          <w:lang w:val="en-US"/>
        </w:rPr>
      </w:pPr>
      <w:r w:rsidRPr="00010E82">
        <w:rPr>
          <w:rStyle w:val="EndnoteReference"/>
        </w:rPr>
        <w:endnoteRef/>
      </w:r>
      <w:r w:rsidRPr="00010E82">
        <w:t xml:space="preserve"> </w:t>
      </w:r>
      <w:r>
        <w:t>‘</w:t>
      </w:r>
      <w:r w:rsidRPr="00010E82">
        <w:rPr>
          <w:rFonts w:ascii="Times New Roman" w:hAnsi="Times New Roman" w:cs="Times New Roman"/>
          <w:sz w:val="18"/>
          <w:lang w:val="el-GR" w:bidi="he-IL"/>
        </w:rPr>
        <w:t>Οὕτως</w:t>
      </w:r>
      <w:r w:rsidRPr="00010E82">
        <w:rPr>
          <w:rFonts w:ascii="Bwgrkl" w:hAnsi="Bwgrkl" w:cs="SBL Greek"/>
          <w:sz w:val="18"/>
          <w:lang w:val="el-GR" w:bidi="he-IL"/>
        </w:rPr>
        <w:t xml:space="preserve"> </w:t>
      </w:r>
      <w:r w:rsidRPr="00010E82">
        <w:rPr>
          <w:rFonts w:ascii="Times New Roman" w:hAnsi="Times New Roman" w:cs="Times New Roman"/>
          <w:sz w:val="18"/>
          <w:lang w:val="el-GR" w:bidi="he-IL"/>
        </w:rPr>
        <w:t>γέγραπται</w:t>
      </w:r>
      <w:r w:rsidRPr="00010E82">
        <w:rPr>
          <w:rFonts w:ascii="Bwgrkl" w:hAnsi="Bwgrkl" w:cs="SBL Greek"/>
          <w:sz w:val="18"/>
          <w:lang w:val="el-GR" w:bidi="he-IL"/>
        </w:rPr>
        <w:t xml:space="preserve">, </w:t>
      </w:r>
      <w:r w:rsidRPr="00010E82">
        <w:rPr>
          <w:rFonts w:ascii="Times New Roman" w:hAnsi="Times New Roman" w:cs="Times New Roman"/>
          <w:sz w:val="18"/>
          <w:lang w:val="el-GR" w:bidi="he-IL"/>
        </w:rPr>
        <w:t>καὶ</w:t>
      </w:r>
      <w:r w:rsidRPr="00010E82">
        <w:rPr>
          <w:rFonts w:ascii="Bwgrkl" w:hAnsi="Bwgrkl" w:cs="SBL Greek"/>
          <w:sz w:val="18"/>
          <w:lang w:val="el-GR" w:bidi="he-IL"/>
        </w:rPr>
        <w:t xml:space="preserve"> </w:t>
      </w:r>
      <w:r w:rsidRPr="00010E82">
        <w:rPr>
          <w:rFonts w:ascii="Times New Roman" w:hAnsi="Times New Roman" w:cs="Times New Roman"/>
          <w:sz w:val="18"/>
          <w:lang w:val="el-GR" w:bidi="he-IL"/>
        </w:rPr>
        <w:t>οὕτως</w:t>
      </w:r>
      <w:r w:rsidRPr="00010E82">
        <w:rPr>
          <w:rFonts w:ascii="Bwgrkl" w:hAnsi="Bwgrkl" w:cs="SBL Greek"/>
          <w:sz w:val="18"/>
          <w:lang w:val="el-GR" w:bidi="he-IL"/>
        </w:rPr>
        <w:t xml:space="preserve"> </w:t>
      </w:r>
      <w:r w:rsidRPr="00010E82">
        <w:rPr>
          <w:rFonts w:ascii="Times New Roman" w:hAnsi="Times New Roman" w:cs="Times New Roman"/>
          <w:sz w:val="18"/>
          <w:lang w:val="el-GR" w:bidi="he-IL"/>
        </w:rPr>
        <w:t>ἔδει</w:t>
      </w:r>
      <w:r w:rsidRPr="00010E82">
        <w:rPr>
          <w:rFonts w:ascii="Bwgrkl" w:hAnsi="Bwgrkl" w:cs="SBL Greek"/>
          <w:sz w:val="18"/>
          <w:lang w:val="el-GR" w:bidi="he-IL"/>
        </w:rPr>
        <w:t xml:space="preserve"> </w:t>
      </w:r>
      <w:r w:rsidRPr="007E16C8">
        <w:rPr>
          <w:rFonts w:ascii="Times New Roman" w:hAnsi="Times New Roman" w:cs="Times New Roman"/>
          <w:b/>
          <w:sz w:val="18"/>
          <w:lang w:val="el-GR" w:bidi="he-IL"/>
        </w:rPr>
        <w:t>παθεῖν</w:t>
      </w:r>
      <w:r w:rsidRPr="00010E82">
        <w:rPr>
          <w:rFonts w:ascii="Bwgrkl" w:hAnsi="Bwgrkl" w:cs="SBL Greek"/>
          <w:sz w:val="18"/>
          <w:lang w:val="el-GR" w:bidi="he-IL"/>
        </w:rPr>
        <w:t xml:space="preserve"> </w:t>
      </w:r>
      <w:r w:rsidRPr="00010E82">
        <w:rPr>
          <w:rFonts w:ascii="Times New Roman" w:hAnsi="Times New Roman" w:cs="Times New Roman"/>
          <w:sz w:val="18"/>
          <w:lang w:val="el-GR" w:bidi="he-IL"/>
        </w:rPr>
        <w:t>τὸν</w:t>
      </w:r>
      <w:r w:rsidRPr="00010E82">
        <w:rPr>
          <w:rFonts w:ascii="Bwgrkl" w:hAnsi="Bwgrkl" w:cs="SBL Greek"/>
          <w:sz w:val="18"/>
          <w:lang w:val="el-GR" w:bidi="he-IL"/>
        </w:rPr>
        <w:t xml:space="preserve"> </w:t>
      </w:r>
      <w:proofErr w:type="gramStart"/>
      <w:r w:rsidRPr="00010E82">
        <w:rPr>
          <w:rFonts w:ascii="Times New Roman" w:hAnsi="Times New Roman" w:cs="Times New Roman"/>
          <w:sz w:val="18"/>
          <w:lang w:val="el-GR" w:bidi="he-IL"/>
        </w:rPr>
        <w:t>χριστόν</w:t>
      </w:r>
      <w:r>
        <w:t>’  Lk.24:46</w:t>
      </w:r>
      <w:proofErr w:type="gramEnd"/>
      <w:r>
        <w:t>.</w:t>
      </w:r>
    </w:p>
  </w:endnote>
  <w:endnote w:id="226">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120.</w:t>
      </w:r>
    </w:p>
  </w:endnote>
  <w:endnote w:id="227">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121.</w:t>
      </w:r>
    </w:p>
  </w:endnote>
  <w:endnote w:id="228">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pp. 123-4.</w:t>
      </w:r>
    </w:p>
  </w:endnote>
  <w:endnote w:id="229">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125.</w:t>
      </w:r>
    </w:p>
  </w:endnote>
  <w:endnote w:id="230">
    <w:p w:rsidR="00975183" w:rsidRPr="0045078F" w:rsidRDefault="00975183" w:rsidP="00442D33">
      <w:pPr>
        <w:pStyle w:val="EndnoteText"/>
      </w:pPr>
      <w:r w:rsidRPr="0045078F">
        <w:rPr>
          <w:rStyle w:val="FootnoteReference"/>
        </w:rPr>
        <w:endnoteRef/>
      </w:r>
      <w:r w:rsidRPr="0045078F">
        <w:t xml:space="preserve"> Tan, </w:t>
      </w:r>
      <w:r w:rsidRPr="0045078F">
        <w:rPr>
          <w:rStyle w:val="sources"/>
          <w:i/>
        </w:rPr>
        <w:t>Interpretation of Prophecy</w:t>
      </w:r>
      <w:r w:rsidRPr="0045078F">
        <w:rPr>
          <w:rStyle w:val="sources"/>
        </w:rPr>
        <w:t>, pp. 33.34.</w:t>
      </w:r>
    </w:p>
  </w:endnote>
  <w:endnote w:id="231">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w:t>
      </w:r>
      <w:r w:rsidRPr="0045078F">
        <w:t>, p. 97.</w:t>
      </w:r>
    </w:p>
  </w:endnote>
  <w:endnote w:id="232">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pp. 87-88; </w:t>
      </w:r>
      <w:r w:rsidRPr="0045078F">
        <w:rPr>
          <w:i/>
        </w:rPr>
        <w:t>Dispensationalism</w:t>
      </w:r>
      <w:r w:rsidRPr="0045078F">
        <w:t>, pp. 91-2.</w:t>
      </w:r>
    </w:p>
  </w:endnote>
  <w:endnote w:id="233">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pp. 88-9; </w:t>
      </w:r>
      <w:r w:rsidRPr="0045078F">
        <w:rPr>
          <w:i/>
        </w:rPr>
        <w:t>Dispensationalism</w:t>
      </w:r>
      <w:r w:rsidRPr="0045078F">
        <w:t xml:space="preserve">, pp. 92-3.  </w:t>
      </w:r>
      <w:proofErr w:type="gramStart"/>
      <w:r w:rsidRPr="0045078F">
        <w:t>(</w:t>
      </w:r>
      <w:r w:rsidRPr="0045078F">
        <w:rPr>
          <w:i/>
        </w:rPr>
        <w:t>Ryrie’s emphases</w:t>
      </w:r>
      <w:r w:rsidRPr="0045078F">
        <w:t>.)</w:t>
      </w:r>
      <w:proofErr w:type="gramEnd"/>
    </w:p>
  </w:endnote>
  <w:endnote w:id="234">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 89; </w:t>
      </w:r>
      <w:r w:rsidRPr="0045078F">
        <w:rPr>
          <w:i/>
        </w:rPr>
        <w:t>Dispensationalism</w:t>
      </w:r>
      <w:r w:rsidRPr="0045078F">
        <w:t xml:space="preserve">, p. 93.  </w:t>
      </w:r>
      <w:r w:rsidRPr="00FF1DBA">
        <w:t xml:space="preserve">The interpretation of prophecy is discussed below.  </w:t>
      </w:r>
      <w:r w:rsidRPr="00FF1DBA">
        <w:rPr>
          <w:b/>
        </w:rPr>
        <w:t>See 1.2.</w:t>
      </w:r>
    </w:p>
  </w:endnote>
  <w:endnote w:id="235">
    <w:p w:rsidR="00975183" w:rsidRDefault="00975183" w:rsidP="00442D33">
      <w:pPr>
        <w:pStyle w:val="EndnoteText"/>
      </w:pPr>
      <w:r w:rsidRPr="00874849">
        <w:rPr>
          <w:rStyle w:val="FootnoteReference"/>
        </w:rPr>
        <w:endnoteRef/>
      </w:r>
      <w:r w:rsidRPr="00874849">
        <w:t xml:space="preserve"> Charles L. Feinberg, </w:t>
      </w:r>
      <w:r w:rsidRPr="00874849">
        <w:rPr>
          <w:i/>
        </w:rPr>
        <w:t>Millennialism: The Two Major Views: The Premillennial and Amillennial Systems of Biblical Interpretation Analyzed and Compared</w:t>
      </w:r>
      <w:r w:rsidRPr="00874849">
        <w:t xml:space="preserve"> (Third and Enlarged Edition, Winona Lake, Indiana: BMH Books, 1985, 2006, 2008, 2012)</w:t>
      </w:r>
      <w:r>
        <w:t xml:space="preserve">, </w:t>
      </w:r>
      <w:r w:rsidRPr="00874849">
        <w:t>p. 48.  [Original Title: Premillennialism or Amillennialism (Chicago: Moody Bible Institute of Chi</w:t>
      </w:r>
      <w:r>
        <w:t>cago, 1936, 1954, 1961, 1980).]</w:t>
      </w:r>
    </w:p>
  </w:endnote>
  <w:endnote w:id="236">
    <w:p w:rsidR="00975183" w:rsidRPr="0045078F" w:rsidRDefault="00975183" w:rsidP="00442D33">
      <w:pPr>
        <w:pStyle w:val="EndnoteText"/>
      </w:pPr>
      <w:r w:rsidRPr="0045078F">
        <w:rPr>
          <w:rStyle w:val="FootnoteReference"/>
        </w:rPr>
        <w:endnoteRef/>
      </w:r>
      <w:r w:rsidRPr="0045078F">
        <w:t xml:space="preserve"> Holsteen, ‘Hermeneutic of Dispensationalism’, </w:t>
      </w:r>
      <w:r w:rsidRPr="0045078F">
        <w:rPr>
          <w:i/>
        </w:rPr>
        <w:t>Dispensationalism and the History of Redemption,</w:t>
      </w:r>
      <w:r w:rsidRPr="0045078F">
        <w:t xml:space="preserve"> p. 113.</w:t>
      </w:r>
    </w:p>
  </w:endnote>
  <w:endnote w:id="237">
    <w:p w:rsidR="00975183" w:rsidRPr="0045078F" w:rsidRDefault="00975183" w:rsidP="00442D33">
      <w:pPr>
        <w:pStyle w:val="EndnoteText"/>
      </w:pPr>
      <w:r w:rsidRPr="0045078F">
        <w:rPr>
          <w:rStyle w:val="FootnoteReference"/>
        </w:rPr>
        <w:endnoteRef/>
      </w:r>
      <w:r w:rsidRPr="0045078F">
        <w:t xml:space="preserve"> Tan, </w:t>
      </w:r>
      <w:r w:rsidRPr="0045078F">
        <w:rPr>
          <w:i/>
        </w:rPr>
        <w:t>Interpretation of Prophecy</w:t>
      </w:r>
      <w:r w:rsidRPr="0045078F">
        <w:t xml:space="preserve">, p. 264.  </w:t>
      </w:r>
      <w:proofErr w:type="gramStart"/>
      <w:r w:rsidRPr="0045078F">
        <w:t>(</w:t>
      </w:r>
      <w:r w:rsidRPr="0045078F">
        <w:rPr>
          <w:i/>
        </w:rPr>
        <w:t>Tan’s emphasis</w:t>
      </w:r>
      <w:r w:rsidRPr="0045078F">
        <w:t>.)</w:t>
      </w:r>
      <w:proofErr w:type="gramEnd"/>
    </w:p>
  </w:endnote>
  <w:endnote w:id="238">
    <w:p w:rsidR="00975183" w:rsidRPr="0045078F" w:rsidRDefault="00975183" w:rsidP="00442D33">
      <w:pPr>
        <w:pStyle w:val="EndnoteText"/>
      </w:pPr>
      <w:r w:rsidRPr="0045078F">
        <w:rPr>
          <w:rStyle w:val="FootnoteReference"/>
        </w:rPr>
        <w:endnoteRef/>
      </w:r>
      <w:r w:rsidRPr="0045078F">
        <w:t xml:space="preserve"> </w:t>
      </w:r>
      <w:proofErr w:type="gramStart"/>
      <w:r w:rsidRPr="00FF1DBA">
        <w:rPr>
          <w:b/>
        </w:rPr>
        <w:t>See 1.1.4 below</w:t>
      </w:r>
      <w:r w:rsidRPr="0045078F">
        <w:t>.</w:t>
      </w:r>
      <w:proofErr w:type="gramEnd"/>
    </w:p>
  </w:endnote>
  <w:endnote w:id="239">
    <w:p w:rsidR="00975183" w:rsidRPr="0045078F" w:rsidRDefault="00975183" w:rsidP="00442D33">
      <w:pPr>
        <w:pStyle w:val="EndnoteText"/>
      </w:pPr>
      <w:r w:rsidRPr="0045078F">
        <w:rPr>
          <w:rStyle w:val="FootnoteReference"/>
        </w:rPr>
        <w:endnoteRef/>
      </w:r>
      <w:r w:rsidRPr="0045078F">
        <w:t xml:space="preserve"> </w:t>
      </w:r>
      <w:r w:rsidRPr="00FF1DBA">
        <w:rPr>
          <w:b/>
        </w:rPr>
        <w:t>See 1.3 below</w:t>
      </w:r>
      <w:r w:rsidRPr="0045078F">
        <w:t>.</w:t>
      </w:r>
    </w:p>
  </w:endnote>
  <w:endnote w:id="240">
    <w:p w:rsidR="00975183" w:rsidRPr="0045078F" w:rsidRDefault="00975183" w:rsidP="00442D33">
      <w:pPr>
        <w:pStyle w:val="EndnoteText"/>
      </w:pPr>
      <w:r w:rsidRPr="0045078F">
        <w:rPr>
          <w:rStyle w:val="FootnoteReference"/>
        </w:rPr>
        <w:endnoteRef/>
      </w:r>
      <w:r w:rsidRPr="0045078F">
        <w:t xml:space="preserve"> Tan, </w:t>
      </w:r>
      <w:r w:rsidRPr="0045078F">
        <w:rPr>
          <w:i/>
        </w:rPr>
        <w:t>Interpretation of Prophecy</w:t>
      </w:r>
      <w:r w:rsidRPr="0045078F">
        <w:t xml:space="preserve">, p. 264.  </w:t>
      </w:r>
    </w:p>
  </w:endnote>
  <w:endnote w:id="241">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pp. 128-148.</w:t>
      </w:r>
    </w:p>
  </w:endnote>
  <w:endnote w:id="242">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xml:space="preserve">, p. 86; </w:t>
      </w:r>
      <w:r w:rsidRPr="0045078F">
        <w:rPr>
          <w:i/>
        </w:rPr>
        <w:t>Dispensationalism</w:t>
      </w:r>
      <w:r w:rsidRPr="0045078F">
        <w:t>, p. 91.</w:t>
      </w:r>
      <w:r>
        <w:t xml:space="preserve"> In literal interpretation, every word is given ‘</w:t>
      </w:r>
      <w:r w:rsidRPr="002D5CE5">
        <w:rPr>
          <w:rStyle w:val="ind"/>
        </w:rPr>
        <w:t>the same meaning it would have in normal usage, whether employed in writing, speaking or thinking</w:t>
      </w:r>
      <w:r>
        <w:rPr>
          <w:rStyle w:val="ind"/>
        </w:rPr>
        <w:t>’.</w:t>
      </w:r>
    </w:p>
  </w:endnote>
  <w:endnote w:id="243">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w:t>
      </w:r>
      <w:r w:rsidRPr="0045078F">
        <w:t>, p. 93.</w:t>
      </w:r>
    </w:p>
  </w:endnote>
  <w:endnote w:id="244">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pp. 128-135.</w:t>
      </w:r>
    </w:p>
  </w:endnote>
  <w:endnote w:id="245">
    <w:p w:rsidR="00975183" w:rsidRPr="0045078F" w:rsidRDefault="00975183" w:rsidP="00442D33">
      <w:pPr>
        <w:pStyle w:val="EndnoteText"/>
      </w:pPr>
      <w:r w:rsidRPr="0045078F">
        <w:rPr>
          <w:rStyle w:val="FootnoteReference"/>
        </w:rPr>
        <w:endnoteRef/>
      </w:r>
      <w:r w:rsidRPr="0045078F">
        <w:t xml:space="preserve"> </w:t>
      </w:r>
      <w:r w:rsidRPr="0045078F">
        <w:rPr>
          <w:rStyle w:val="sources"/>
        </w:rPr>
        <w:t xml:space="preserve">Tan, </w:t>
      </w:r>
      <w:r w:rsidRPr="0045078F">
        <w:rPr>
          <w:rStyle w:val="sources"/>
          <w:i/>
        </w:rPr>
        <w:t>Interpretation of Prophecy</w:t>
      </w:r>
      <w:r w:rsidRPr="0045078F">
        <w:rPr>
          <w:rStyle w:val="sources"/>
        </w:rPr>
        <w:t>, pp. 97-98.</w:t>
      </w:r>
    </w:p>
  </w:endnote>
  <w:endnote w:id="246">
    <w:p w:rsidR="00975183" w:rsidRPr="0045078F" w:rsidRDefault="00975183" w:rsidP="00442D33">
      <w:pPr>
        <w:pStyle w:val="EndnoteText"/>
      </w:pPr>
      <w:r w:rsidRPr="0045078F">
        <w:rPr>
          <w:rStyle w:val="FootnoteReference"/>
        </w:rPr>
        <w:endnoteRef/>
      </w:r>
      <w:r w:rsidRPr="0045078F">
        <w:t xml:space="preserve"> Feinberg, </w:t>
      </w:r>
      <w:r w:rsidRPr="0045078F">
        <w:rPr>
          <w:i/>
        </w:rPr>
        <w:t xml:space="preserve">Millennialism, </w:t>
      </w:r>
      <w:r w:rsidRPr="0045078F">
        <w:t>p. 38.</w:t>
      </w:r>
    </w:p>
  </w:endnote>
  <w:endnote w:id="247">
    <w:p w:rsidR="00975183" w:rsidRPr="001414DA" w:rsidRDefault="00975183" w:rsidP="00442D33">
      <w:pPr>
        <w:spacing w:after="0" w:line="240" w:lineRule="auto"/>
        <w:ind w:left="544" w:hanging="544"/>
        <w:rPr>
          <w:sz w:val="20"/>
          <w:szCs w:val="20"/>
        </w:rPr>
      </w:pPr>
      <w:r w:rsidRPr="001414DA">
        <w:rPr>
          <w:rStyle w:val="FootnoteReference"/>
          <w:sz w:val="20"/>
          <w:szCs w:val="20"/>
        </w:rPr>
        <w:endnoteRef/>
      </w:r>
      <w:r w:rsidRPr="001414DA">
        <w:rPr>
          <w:sz w:val="20"/>
          <w:szCs w:val="20"/>
        </w:rPr>
        <w:t xml:space="preserve"> Thomas Ice, ‘Dispensational Hermeneutics’, Pre-trib Research Center </w:t>
      </w:r>
    </w:p>
    <w:p w:rsidR="00975183" w:rsidRDefault="00975183" w:rsidP="00442D33">
      <w:pPr>
        <w:pStyle w:val="EndnoteText"/>
      </w:pPr>
      <w:r w:rsidRPr="001414DA">
        <w:t>&lt;http://www.pre-trib.org/data/pdf/Ice-DispensationalHermene.pdf&gt; [accessed 16.6.17].</w:t>
      </w:r>
    </w:p>
  </w:endnote>
  <w:endnote w:id="248">
    <w:p w:rsidR="00975183" w:rsidRDefault="00975183" w:rsidP="00442D33">
      <w:pPr>
        <w:pStyle w:val="EndnoteText"/>
      </w:pPr>
      <w:r w:rsidRPr="001414DA">
        <w:rPr>
          <w:rStyle w:val="FootnoteReference"/>
        </w:rPr>
        <w:endnoteRef/>
      </w:r>
      <w:r w:rsidRPr="001414DA">
        <w:t xml:space="preserve"> Cyrus I. Scofield, </w:t>
      </w:r>
      <w:r w:rsidRPr="001414DA">
        <w:rPr>
          <w:i/>
        </w:rPr>
        <w:t>The Scofield Bible Correspondence Course, Vol. 1, Old Testament</w:t>
      </w:r>
      <w:r w:rsidRPr="001414DA">
        <w:t xml:space="preserve"> (Chicago: Moody Bible Institute Correspondence Department, Fifteenth Edition, copyright by C. I. Scofield, 1907), p. 46.</w:t>
      </w:r>
      <w:r w:rsidRPr="00490CFD">
        <w:rPr>
          <w:sz w:val="22"/>
          <w:szCs w:val="22"/>
        </w:rPr>
        <w:t xml:space="preserve">  </w:t>
      </w:r>
    </w:p>
  </w:endnote>
  <w:endnote w:id="249">
    <w:p w:rsidR="00975183" w:rsidRDefault="00975183" w:rsidP="00442D33">
      <w:pPr>
        <w:pStyle w:val="EndnoteText"/>
      </w:pPr>
      <w:r w:rsidRPr="0089775F">
        <w:rPr>
          <w:rStyle w:val="FootnoteReference"/>
          <w:sz w:val="22"/>
          <w:szCs w:val="22"/>
        </w:rPr>
        <w:endnoteRef/>
      </w:r>
      <w:r w:rsidRPr="0089775F">
        <w:rPr>
          <w:sz w:val="22"/>
          <w:szCs w:val="22"/>
        </w:rPr>
        <w:t xml:space="preserve"> </w:t>
      </w:r>
      <w:r w:rsidRPr="00DA01AD">
        <w:rPr>
          <w:szCs w:val="22"/>
        </w:rPr>
        <w:t xml:space="preserve">Williams, </w:t>
      </w:r>
      <w:r w:rsidRPr="00DA01AD">
        <w:rPr>
          <w:i/>
          <w:szCs w:val="22"/>
        </w:rPr>
        <w:t>This World is Not My Home</w:t>
      </w:r>
      <w:r w:rsidRPr="00DA01AD">
        <w:rPr>
          <w:szCs w:val="22"/>
        </w:rPr>
        <w:t>,</w:t>
      </w:r>
      <w:r w:rsidRPr="0089775F">
        <w:rPr>
          <w:sz w:val="22"/>
          <w:szCs w:val="22"/>
        </w:rPr>
        <w:t xml:space="preserve"> </w:t>
      </w:r>
      <w:r w:rsidRPr="00CA7905">
        <w:rPr>
          <w:szCs w:val="22"/>
        </w:rPr>
        <w:t>p. 90.</w:t>
      </w:r>
    </w:p>
  </w:endnote>
  <w:endnote w:id="250">
    <w:p w:rsidR="00975183" w:rsidRDefault="00975183" w:rsidP="00442D33">
      <w:pPr>
        <w:pStyle w:val="EndnoteText"/>
      </w:pPr>
      <w:r w:rsidRPr="00874849">
        <w:rPr>
          <w:rStyle w:val="FootnoteReference"/>
        </w:rPr>
        <w:endnoteRef/>
      </w:r>
      <w:r w:rsidRPr="00874849">
        <w:t xml:space="preserve"> Carly Crouch, ‘Wicked Rulers and Prophets: Micah 3’ in </w:t>
      </w:r>
      <w:r w:rsidRPr="00874849">
        <w:rPr>
          <w:i/>
        </w:rPr>
        <w:t>Guidelines</w:t>
      </w:r>
      <w:r w:rsidRPr="00874849">
        <w:t>, Vol. 33, Part 1, January-April 2017 (ed. Lisa Cherrett, Abingdon: Bible Reading Fellowship, 2017), p. 98.</w:t>
      </w:r>
    </w:p>
  </w:endnote>
  <w:endnote w:id="251">
    <w:p w:rsidR="00975183" w:rsidRDefault="00975183" w:rsidP="00442D33">
      <w:pPr>
        <w:pStyle w:val="EndnoteText"/>
        <w:rPr>
          <w:szCs w:val="22"/>
        </w:rPr>
      </w:pPr>
      <w:r w:rsidRPr="00874849">
        <w:rPr>
          <w:rStyle w:val="FootnoteReference"/>
        </w:rPr>
        <w:endnoteRef/>
      </w:r>
      <w:r w:rsidRPr="00874849">
        <w:t xml:space="preserve"> John Hagee, </w:t>
      </w:r>
      <w:r w:rsidRPr="00874849">
        <w:rPr>
          <w:i/>
          <w:szCs w:val="22"/>
        </w:rPr>
        <w:t xml:space="preserve">Jerusalem Countdown (Revised and Updated): A Prelude to War, </w:t>
      </w:r>
      <w:r w:rsidRPr="00874849">
        <w:rPr>
          <w:szCs w:val="22"/>
        </w:rPr>
        <w:t xml:space="preserve">(Lake Mary: Frontline, 2006, 2007), </w:t>
      </w:r>
    </w:p>
    <w:p w:rsidR="00975183" w:rsidRDefault="00975183" w:rsidP="00442D33">
      <w:pPr>
        <w:pStyle w:val="EndnoteText"/>
      </w:pPr>
      <w:proofErr w:type="gramStart"/>
      <w:r w:rsidRPr="00874849">
        <w:rPr>
          <w:szCs w:val="22"/>
        </w:rPr>
        <w:t>p. 131.</w:t>
      </w:r>
      <w:proofErr w:type="gramEnd"/>
    </w:p>
  </w:endnote>
  <w:endnote w:id="252">
    <w:p w:rsidR="00975183" w:rsidRDefault="00975183" w:rsidP="00442D33">
      <w:pPr>
        <w:pStyle w:val="EndnoteText"/>
      </w:pPr>
      <w:r w:rsidRPr="00874849">
        <w:rPr>
          <w:rStyle w:val="FootnoteReference"/>
        </w:rPr>
        <w:endnoteRef/>
      </w:r>
      <w:r w:rsidRPr="00874849">
        <w:t xml:space="preserve"> Poythress, </w:t>
      </w:r>
      <w:r w:rsidRPr="00874849">
        <w:rPr>
          <w:i/>
        </w:rPr>
        <w:t>Understanding Dispensationalists</w:t>
      </w:r>
      <w:r w:rsidRPr="00874849">
        <w:t>, pp. 79-82.</w:t>
      </w:r>
    </w:p>
  </w:endnote>
  <w:endnote w:id="253">
    <w:p w:rsidR="00975183" w:rsidRPr="0045078F" w:rsidRDefault="00975183" w:rsidP="00442D33">
      <w:pPr>
        <w:pStyle w:val="EndnoteText"/>
      </w:pPr>
      <w:r w:rsidRPr="0045078F">
        <w:rPr>
          <w:rStyle w:val="FootnoteReference"/>
        </w:rPr>
        <w:endnoteRef/>
      </w:r>
      <w:r w:rsidRPr="0045078F">
        <w:t xml:space="preserve"> Poythress, </w:t>
      </w:r>
      <w:r w:rsidRPr="0045078F">
        <w:rPr>
          <w:i/>
        </w:rPr>
        <w:t>Understanding Dispensationalists</w:t>
      </w:r>
      <w:r w:rsidRPr="0045078F">
        <w:t>, pp. 82-4.</w:t>
      </w:r>
    </w:p>
  </w:endnote>
  <w:endnote w:id="254">
    <w:p w:rsidR="00975183" w:rsidRDefault="00975183" w:rsidP="00442D33">
      <w:pPr>
        <w:pStyle w:val="EndnoteText"/>
      </w:pPr>
      <w:r w:rsidRPr="00534A2B">
        <w:rPr>
          <w:rStyle w:val="FootnoteReference"/>
        </w:rPr>
        <w:endnoteRef/>
      </w:r>
      <w:r w:rsidRPr="00534A2B">
        <w:t xml:space="preserve"> See </w:t>
      </w:r>
      <w:r w:rsidRPr="00DC5A3F">
        <w:rPr>
          <w:rStyle w:val="ind"/>
          <w:i/>
        </w:rPr>
        <w:t>Grammatical-Historical Interpretation and Literary-T</w:t>
      </w:r>
      <w:r w:rsidRPr="00FF1DBA">
        <w:rPr>
          <w:rStyle w:val="ind"/>
          <w:i/>
        </w:rPr>
        <w:t>heological</w:t>
      </w:r>
      <w:r w:rsidRPr="00DC5A3F">
        <w:rPr>
          <w:rStyle w:val="ind"/>
          <w:i/>
        </w:rPr>
        <w:t xml:space="preserve"> Interpretation</w:t>
      </w:r>
      <w:r>
        <w:rPr>
          <w:rStyle w:val="ind"/>
          <w:b/>
          <w:i/>
        </w:rPr>
        <w:t xml:space="preserve"> </w:t>
      </w:r>
      <w:r w:rsidRPr="00DC5A3F">
        <w:rPr>
          <w:rStyle w:val="ind"/>
        </w:rPr>
        <w:t>below</w:t>
      </w:r>
      <w:r>
        <w:rPr>
          <w:rStyle w:val="ind"/>
        </w:rPr>
        <w:t xml:space="preserve"> (</w:t>
      </w:r>
      <w:r w:rsidRPr="00635307">
        <w:rPr>
          <w:rStyle w:val="ind"/>
          <w:b/>
        </w:rPr>
        <w:t>1.1.2</w:t>
      </w:r>
      <w:r>
        <w:rPr>
          <w:rStyle w:val="ind"/>
        </w:rPr>
        <w:t>)</w:t>
      </w:r>
      <w:r w:rsidRPr="00534A2B">
        <w:rPr>
          <w:rStyle w:val="ind"/>
          <w:b/>
          <w:i/>
        </w:rPr>
        <w:t>.</w:t>
      </w:r>
      <w:r>
        <w:rPr>
          <w:rStyle w:val="ind"/>
          <w:b/>
          <w:i/>
        </w:rPr>
        <w:t xml:space="preserve"> </w:t>
      </w:r>
    </w:p>
  </w:endnote>
  <w:endnote w:id="255">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136.</w:t>
      </w:r>
    </w:p>
  </w:endnote>
  <w:endnote w:id="256">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w:t>
      </w:r>
      <w:r w:rsidRPr="0045078F">
        <w:t>, p. 91.</w:t>
      </w:r>
    </w:p>
  </w:endnote>
  <w:endnote w:id="257">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pp. 138-9.</w:t>
      </w:r>
    </w:p>
  </w:endnote>
  <w:endnote w:id="258">
    <w:p w:rsidR="00975183" w:rsidRPr="0045078F" w:rsidRDefault="00975183" w:rsidP="00442D33">
      <w:pPr>
        <w:pStyle w:val="EndnoteText"/>
      </w:pPr>
      <w:r w:rsidRPr="0045078F">
        <w:rPr>
          <w:rStyle w:val="FootnoteReference"/>
        </w:rPr>
        <w:endnoteRef/>
      </w:r>
      <w:r w:rsidRPr="0045078F">
        <w:t xml:space="preserve"> Feinberg, </w:t>
      </w:r>
      <w:r w:rsidRPr="0045078F">
        <w:rPr>
          <w:i/>
        </w:rPr>
        <w:t xml:space="preserve">Millennialism, </w:t>
      </w:r>
      <w:r w:rsidRPr="0045078F">
        <w:t>p. 38.</w:t>
      </w:r>
    </w:p>
  </w:endnote>
  <w:endnote w:id="259">
    <w:p w:rsidR="00975183" w:rsidRPr="0045078F" w:rsidRDefault="00975183" w:rsidP="00442D33">
      <w:pPr>
        <w:pStyle w:val="EndnoteText"/>
      </w:pPr>
      <w:r w:rsidRPr="0045078F">
        <w:rPr>
          <w:rStyle w:val="FootnoteReference"/>
        </w:rPr>
        <w:endnoteRef/>
      </w:r>
      <w:r w:rsidRPr="0045078F">
        <w:t xml:space="preserve"> Tan, </w:t>
      </w:r>
      <w:r w:rsidRPr="0045078F">
        <w:rPr>
          <w:i/>
        </w:rPr>
        <w:t>Interpretation of Prophecy</w:t>
      </w:r>
      <w:r w:rsidRPr="0045078F">
        <w:t>, p. 97.</w:t>
      </w:r>
    </w:p>
  </w:endnote>
  <w:endnote w:id="260">
    <w:p w:rsidR="00975183" w:rsidRDefault="00975183" w:rsidP="00442D33">
      <w:pPr>
        <w:pStyle w:val="EndnoteText"/>
      </w:pPr>
      <w:r w:rsidRPr="00F42E37">
        <w:rPr>
          <w:rStyle w:val="FootnoteReference"/>
        </w:rPr>
        <w:endnoteRef/>
      </w:r>
      <w:r w:rsidRPr="00F42E37">
        <w:t xml:space="preserve"> Bock, ‘How Texts Speak to Us’ </w:t>
      </w:r>
      <w:r w:rsidRPr="00F42E37">
        <w:rPr>
          <w:i/>
        </w:rPr>
        <w:t>Progressive Dispensationalism</w:t>
      </w:r>
      <w:r w:rsidRPr="00F42E37">
        <w:t xml:space="preserve">, p. 82.  See </w:t>
      </w:r>
      <w:r w:rsidRPr="00FF1DBA">
        <w:rPr>
          <w:rStyle w:val="ind"/>
          <w:i/>
        </w:rPr>
        <w:t>Grammatic</w:t>
      </w:r>
      <w:r w:rsidRPr="00F42E37">
        <w:rPr>
          <w:rStyle w:val="ind"/>
          <w:i/>
        </w:rPr>
        <w:t>al-Historical Interpretation and Literary-Theological Interpretation</w:t>
      </w:r>
      <w:r w:rsidRPr="00F42E37">
        <w:rPr>
          <w:rStyle w:val="ind"/>
          <w:b/>
          <w:i/>
        </w:rPr>
        <w:t xml:space="preserve"> </w:t>
      </w:r>
      <w:r w:rsidRPr="00F42E37">
        <w:rPr>
          <w:rStyle w:val="ind"/>
        </w:rPr>
        <w:t>below</w:t>
      </w:r>
      <w:r>
        <w:rPr>
          <w:rStyle w:val="ind"/>
        </w:rPr>
        <w:t xml:space="preserve"> (</w:t>
      </w:r>
      <w:r w:rsidRPr="00635307">
        <w:rPr>
          <w:rStyle w:val="ind"/>
          <w:b/>
        </w:rPr>
        <w:t>1.1.2</w:t>
      </w:r>
      <w:r>
        <w:rPr>
          <w:rStyle w:val="ind"/>
        </w:rPr>
        <w:t>)</w:t>
      </w:r>
      <w:r w:rsidRPr="00F42E37">
        <w:rPr>
          <w:rStyle w:val="ind"/>
        </w:rPr>
        <w:t>.</w:t>
      </w:r>
    </w:p>
  </w:endnote>
  <w:endnote w:id="261">
    <w:p w:rsidR="00975183" w:rsidRPr="0045078F" w:rsidRDefault="00975183" w:rsidP="00442D33">
      <w:pPr>
        <w:pStyle w:val="EndnoteText"/>
      </w:pPr>
      <w:r w:rsidRPr="0045078F">
        <w:rPr>
          <w:rStyle w:val="FootnoteReference"/>
        </w:rPr>
        <w:endnoteRef/>
      </w:r>
      <w:r w:rsidRPr="0045078F">
        <w:t xml:space="preserve"> </w:t>
      </w:r>
      <w:proofErr w:type="gramStart"/>
      <w:r w:rsidRPr="00FF1DBA">
        <w:rPr>
          <w:b/>
        </w:rPr>
        <w:t>See 1.1.3 below</w:t>
      </w:r>
      <w:r w:rsidRPr="0045078F">
        <w:t>.</w:t>
      </w:r>
      <w:proofErr w:type="gramEnd"/>
    </w:p>
  </w:endnote>
  <w:endnote w:id="262">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143.</w:t>
      </w:r>
    </w:p>
  </w:endnote>
  <w:endnote w:id="263">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144.</w:t>
      </w:r>
    </w:p>
  </w:endnote>
  <w:endnote w:id="264">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pp. 146-7.</w:t>
      </w:r>
    </w:p>
  </w:endnote>
  <w:endnote w:id="265">
    <w:p w:rsidR="00975183" w:rsidRDefault="00975183" w:rsidP="00442D33">
      <w:pPr>
        <w:pStyle w:val="EndnoteText"/>
      </w:pPr>
      <w:r w:rsidRPr="00F42E37">
        <w:rPr>
          <w:rStyle w:val="FootnoteReference"/>
        </w:rPr>
        <w:endnoteRef/>
      </w:r>
      <w:r w:rsidRPr="00F42E37">
        <w:t xml:space="preserve"> </w:t>
      </w:r>
      <w:r w:rsidRPr="00717487">
        <w:rPr>
          <w:spacing w:val="-2"/>
        </w:rPr>
        <w:t>Ramm here includes ‘(Israel and the Lord, Christ and the Church, Christ and the believer, God and the believer, etc)’.</w:t>
      </w:r>
    </w:p>
  </w:endnote>
  <w:endnote w:id="266">
    <w:p w:rsidR="00975183" w:rsidRPr="0045078F" w:rsidRDefault="00975183" w:rsidP="00442D33">
      <w:pPr>
        <w:pStyle w:val="EndnoteText"/>
      </w:pPr>
      <w:r w:rsidRPr="0045078F">
        <w:rPr>
          <w:rStyle w:val="FootnoteReference"/>
        </w:rPr>
        <w:endnoteRef/>
      </w:r>
      <w:r w:rsidRPr="0045078F">
        <w:t xml:space="preserve"> Ramm, </w:t>
      </w:r>
      <w:r w:rsidRPr="0045078F">
        <w:rPr>
          <w:i/>
        </w:rPr>
        <w:t>Protestant Biblical Interpretation</w:t>
      </w:r>
      <w:r w:rsidRPr="0045078F">
        <w:t>, p. 145.</w:t>
      </w:r>
    </w:p>
  </w:endnote>
  <w:endnote w:id="267">
    <w:p w:rsidR="00975183" w:rsidRPr="0045078F" w:rsidRDefault="00975183" w:rsidP="00442D33">
      <w:pPr>
        <w:pStyle w:val="EndnoteText"/>
      </w:pPr>
      <w:r w:rsidRPr="0045078F">
        <w:rPr>
          <w:rStyle w:val="FootnoteReference"/>
        </w:rPr>
        <w:endnoteRef/>
      </w:r>
      <w:r w:rsidRPr="0045078F">
        <w:t xml:space="preserve"> </w:t>
      </w:r>
      <w:r w:rsidRPr="0045078F">
        <w:rPr>
          <w:i/>
        </w:rPr>
        <w:t>SRB</w:t>
      </w:r>
      <w:r w:rsidRPr="0045078F">
        <w:t>, Introduction to the Song of Solomon, p. 705.</w:t>
      </w:r>
    </w:p>
  </w:endnote>
  <w:endnote w:id="268">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86-7.</w:t>
      </w:r>
    </w:p>
  </w:endnote>
  <w:endnote w:id="269">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87-8.</w:t>
      </w:r>
    </w:p>
  </w:endnote>
  <w:endnote w:id="270">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 88.</w:t>
      </w:r>
    </w:p>
  </w:endnote>
  <w:endnote w:id="271">
    <w:p w:rsidR="00975183" w:rsidRDefault="00975183" w:rsidP="00442D33">
      <w:pPr>
        <w:pStyle w:val="EndnoteText"/>
      </w:pPr>
      <w:r w:rsidRPr="00F42E37">
        <w:rPr>
          <w:rStyle w:val="FootnoteReference"/>
        </w:rPr>
        <w:endnoteRef/>
      </w:r>
      <w:r w:rsidRPr="00F42E37">
        <w:t xml:space="preserve"> </w:t>
      </w:r>
      <w:r w:rsidRPr="00F42E37">
        <w:rPr>
          <w:rStyle w:val="ind"/>
        </w:rPr>
        <w:t>‘</w:t>
      </w:r>
      <w:r w:rsidRPr="00F42E37">
        <w:rPr>
          <w:rFonts w:cs="Arial"/>
          <w:lang w:val="en-US" w:bidi="he-IL"/>
        </w:rPr>
        <w:t xml:space="preserve">Do not answer fools according to their folly, or you will be a fool yourself. </w:t>
      </w:r>
      <w:r w:rsidRPr="00F42E37">
        <w:rPr>
          <w:rFonts w:cs="Arial"/>
          <w:vertAlign w:val="superscript"/>
          <w:lang w:val="en-US" w:bidi="he-IL"/>
        </w:rPr>
        <w:t>5</w:t>
      </w:r>
      <w:r w:rsidRPr="00F42E37">
        <w:rPr>
          <w:rFonts w:cs="Arial"/>
          <w:lang w:val="en-US" w:bidi="he-IL"/>
        </w:rPr>
        <w:t xml:space="preserve"> Answer fools according to their folly, or they will be wise in their own eyes.’  Prov. 26:4-5.</w:t>
      </w:r>
    </w:p>
  </w:endnote>
  <w:endnote w:id="272">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89-90.</w:t>
      </w:r>
    </w:p>
  </w:endnote>
  <w:endnote w:id="273">
    <w:p w:rsidR="00975183" w:rsidRPr="0045078F" w:rsidRDefault="00975183" w:rsidP="00442D33">
      <w:pPr>
        <w:pStyle w:val="EndnoteText"/>
      </w:pPr>
      <w:r w:rsidRPr="0045078F">
        <w:rPr>
          <w:rStyle w:val="FootnoteReference"/>
        </w:rPr>
        <w:endnoteRef/>
      </w:r>
      <w:r w:rsidRPr="0045078F">
        <w:t xml:space="preserve"> Tan, </w:t>
      </w:r>
      <w:r w:rsidRPr="0045078F">
        <w:rPr>
          <w:i/>
        </w:rPr>
        <w:t>Interpretation of Prophecy</w:t>
      </w:r>
      <w:r w:rsidRPr="0045078F">
        <w:t>, p. 76.</w:t>
      </w:r>
    </w:p>
  </w:endnote>
  <w:endnote w:id="274">
    <w:p w:rsidR="00975183" w:rsidRPr="0045078F" w:rsidRDefault="00975183" w:rsidP="00442D33">
      <w:pPr>
        <w:pStyle w:val="EndnoteText"/>
      </w:pPr>
      <w:r w:rsidRPr="00FF1DBA">
        <w:rPr>
          <w:rStyle w:val="FootnoteReference"/>
        </w:rPr>
        <w:endnoteRef/>
      </w:r>
      <w:r w:rsidRPr="00FF1DBA">
        <w:t xml:space="preserve"> </w:t>
      </w:r>
      <w:r w:rsidRPr="00FF1DBA">
        <w:rPr>
          <w:b/>
        </w:rPr>
        <w:t xml:space="preserve">See 2.2. </w:t>
      </w:r>
      <w:proofErr w:type="gramStart"/>
      <w:r w:rsidRPr="00FF1DBA">
        <w:rPr>
          <w:b/>
        </w:rPr>
        <w:t>and</w:t>
      </w:r>
      <w:proofErr w:type="gramEnd"/>
      <w:r w:rsidRPr="00FF1DBA">
        <w:rPr>
          <w:b/>
        </w:rPr>
        <w:t xml:space="preserve"> 2.2.1.</w:t>
      </w:r>
    </w:p>
  </w:endnote>
  <w:endnote w:id="275">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88-9.</w:t>
      </w:r>
    </w:p>
  </w:endnote>
  <w:endnote w:id="276">
    <w:p w:rsidR="00975183" w:rsidRPr="0045078F" w:rsidRDefault="00975183" w:rsidP="00442D33">
      <w:pPr>
        <w:pStyle w:val="EndnoteText"/>
      </w:pPr>
      <w:r w:rsidRPr="0045078F">
        <w:rPr>
          <w:rStyle w:val="FootnoteReference"/>
        </w:rPr>
        <w:endnoteRef/>
      </w:r>
      <w:r w:rsidRPr="0045078F">
        <w:t xml:space="preserve"> Chafer, </w:t>
      </w:r>
      <w:r w:rsidRPr="0045078F">
        <w:rPr>
          <w:i/>
        </w:rPr>
        <w:t>Dispensationalism</w:t>
      </w:r>
      <w:r w:rsidRPr="0045078F">
        <w:t>, pp. 26-35.</w:t>
      </w:r>
    </w:p>
  </w:endnote>
  <w:endnote w:id="277">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w:t>
      </w:r>
      <w:r w:rsidRPr="0045078F">
        <w:t>, pp. 91-3.</w:t>
      </w:r>
    </w:p>
  </w:endnote>
  <w:endnote w:id="278">
    <w:p w:rsidR="00975183" w:rsidRPr="0045078F" w:rsidRDefault="00975183" w:rsidP="00442D33">
      <w:pPr>
        <w:pStyle w:val="EndnoteText"/>
      </w:pPr>
      <w:r w:rsidRPr="0045078F">
        <w:rPr>
          <w:rStyle w:val="FootnoteReference"/>
        </w:rPr>
        <w:endnoteRef/>
      </w:r>
      <w:r w:rsidRPr="0045078F">
        <w:t xml:space="preserve"> Feinberg, </w:t>
      </w:r>
      <w:r w:rsidRPr="0045078F">
        <w:rPr>
          <w:i/>
        </w:rPr>
        <w:t>Millennialism</w:t>
      </w:r>
      <w:r w:rsidRPr="0045078F">
        <w:t>, pp. 39-41, 46-8.</w:t>
      </w:r>
    </w:p>
  </w:endnote>
  <w:endnote w:id="279">
    <w:p w:rsidR="00975183" w:rsidRPr="0045078F" w:rsidRDefault="00975183" w:rsidP="00442D33">
      <w:pPr>
        <w:pStyle w:val="EndnoteText"/>
      </w:pPr>
      <w:r w:rsidRPr="00FF1DBA">
        <w:rPr>
          <w:rStyle w:val="FootnoteReference"/>
        </w:rPr>
        <w:endnoteRef/>
      </w:r>
      <w:r w:rsidRPr="00FF1DBA">
        <w:t xml:space="preserve"> </w:t>
      </w:r>
      <w:r w:rsidRPr="00FF1DBA">
        <w:rPr>
          <w:b/>
        </w:rPr>
        <w:t xml:space="preserve">See 2.2. </w:t>
      </w:r>
      <w:proofErr w:type="gramStart"/>
      <w:r w:rsidRPr="00FF1DBA">
        <w:rPr>
          <w:b/>
        </w:rPr>
        <w:t>and</w:t>
      </w:r>
      <w:proofErr w:type="gramEnd"/>
      <w:r w:rsidRPr="00FF1DBA">
        <w:rPr>
          <w:b/>
        </w:rPr>
        <w:t xml:space="preserve"> 2.2.1</w:t>
      </w:r>
      <w:r>
        <w:t>.</w:t>
      </w:r>
    </w:p>
  </w:endnote>
  <w:endnote w:id="280">
    <w:p w:rsidR="00975183" w:rsidRPr="0045078F" w:rsidRDefault="00975183" w:rsidP="00442D33">
      <w:pPr>
        <w:pStyle w:val="EndnoteText"/>
      </w:pPr>
      <w:r w:rsidRPr="0045078F">
        <w:rPr>
          <w:rStyle w:val="FootnoteReference"/>
        </w:rPr>
        <w:endnoteRef/>
      </w:r>
      <w:r w:rsidRPr="0045078F">
        <w:t xml:space="preserve"> Tan, </w:t>
      </w:r>
      <w:r w:rsidRPr="0045078F">
        <w:rPr>
          <w:i/>
        </w:rPr>
        <w:t>Interpretation of Prophecy</w:t>
      </w:r>
      <w:r w:rsidRPr="0045078F">
        <w:t>, p. 250.</w:t>
      </w:r>
    </w:p>
  </w:endnote>
  <w:endnote w:id="281">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 90.</w:t>
      </w:r>
    </w:p>
  </w:endnote>
  <w:endnote w:id="282">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91-2.</w:t>
      </w:r>
    </w:p>
  </w:endnote>
  <w:endnote w:id="283">
    <w:p w:rsidR="00975183" w:rsidRPr="0045078F" w:rsidRDefault="00975183" w:rsidP="00442D33">
      <w:pPr>
        <w:pStyle w:val="EndnoteText"/>
      </w:pPr>
      <w:r w:rsidRPr="0045078F">
        <w:rPr>
          <w:rStyle w:val="FootnoteReference"/>
        </w:rPr>
        <w:endnoteRef/>
      </w:r>
      <w:r w:rsidRPr="0045078F">
        <w:t xml:space="preserve"> </w:t>
      </w:r>
      <w:proofErr w:type="gramStart"/>
      <w:r w:rsidRPr="0045078F">
        <w:t>Revelation 7.</w:t>
      </w:r>
      <w:proofErr w:type="gramEnd"/>
    </w:p>
  </w:endnote>
  <w:endnote w:id="284">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pp. 92-3.</w:t>
      </w:r>
    </w:p>
  </w:endnote>
  <w:endnote w:id="285">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p. 93.</w:t>
      </w:r>
    </w:p>
  </w:endnote>
  <w:endnote w:id="286">
    <w:p w:rsidR="00975183" w:rsidRPr="0045078F" w:rsidRDefault="00975183" w:rsidP="00442D33">
      <w:pPr>
        <w:pStyle w:val="EndnoteText"/>
      </w:pPr>
      <w:r w:rsidRPr="0045078F">
        <w:rPr>
          <w:rStyle w:val="FootnoteReference"/>
        </w:rPr>
        <w:endnoteRef/>
      </w:r>
      <w:r w:rsidRPr="0045078F">
        <w:t xml:space="preserve"> Refs Ryrie, </w:t>
      </w:r>
      <w:r w:rsidRPr="0045078F">
        <w:rPr>
          <w:i/>
        </w:rPr>
        <w:t>Dispensationalism Today</w:t>
      </w:r>
      <w:r w:rsidRPr="0045078F">
        <w:t xml:space="preserve">, p. 46; Ryrie, </w:t>
      </w:r>
      <w:r w:rsidRPr="0045078F">
        <w:rPr>
          <w:i/>
        </w:rPr>
        <w:t>Dispensationalism</w:t>
      </w:r>
      <w:r w:rsidRPr="0045078F">
        <w:t xml:space="preserve">: </w:t>
      </w:r>
      <w:r w:rsidRPr="0045078F">
        <w:rPr>
          <w:i/>
        </w:rPr>
        <w:t>Revised and Expanded</w:t>
      </w:r>
      <w:r w:rsidRPr="0045078F">
        <w:t xml:space="preserve">, p. 91.  </w:t>
      </w:r>
      <w:r w:rsidRPr="00635307">
        <w:rPr>
          <w:b/>
        </w:rPr>
        <w:t>See 1.1</w:t>
      </w:r>
      <w:r w:rsidRPr="00635307">
        <w:t>.</w:t>
      </w:r>
    </w:p>
  </w:endnote>
  <w:endnote w:id="287">
    <w:p w:rsidR="00975183" w:rsidRPr="0045078F" w:rsidRDefault="00975183" w:rsidP="00442D33">
      <w:pPr>
        <w:pStyle w:val="EndnoteText"/>
      </w:pPr>
      <w:r w:rsidRPr="0045078F">
        <w:rPr>
          <w:rStyle w:val="FootnoteReference"/>
        </w:rPr>
        <w:endnoteRef/>
      </w:r>
      <w:r w:rsidRPr="0045078F">
        <w:t xml:space="preserve"> </w:t>
      </w:r>
      <w:proofErr w:type="gramStart"/>
      <w:r w:rsidRPr="0045078F">
        <w:t xml:space="preserve">Poythress, </w:t>
      </w:r>
      <w:r w:rsidRPr="0045078F">
        <w:rPr>
          <w:i/>
        </w:rPr>
        <w:t>Understanding Dispensationalists</w:t>
      </w:r>
      <w:r w:rsidRPr="0045078F">
        <w:t>, pp. 79, 85.</w:t>
      </w:r>
      <w:proofErr w:type="gramEnd"/>
    </w:p>
  </w:endnote>
  <w:endnote w:id="288">
    <w:p w:rsidR="00975183" w:rsidRPr="0045078F" w:rsidRDefault="00975183" w:rsidP="00442D33">
      <w:pPr>
        <w:pStyle w:val="EndnoteText"/>
      </w:pPr>
      <w:r w:rsidRPr="0045078F">
        <w:rPr>
          <w:rStyle w:val="FootnoteReference"/>
        </w:rPr>
        <w:endnoteRef/>
      </w:r>
      <w:r w:rsidRPr="0045078F">
        <w:t xml:space="preserve"> Feinberg, </w:t>
      </w:r>
      <w:r w:rsidRPr="0045078F">
        <w:rPr>
          <w:i/>
        </w:rPr>
        <w:t xml:space="preserve">Millennialism, </w:t>
      </w:r>
      <w:r w:rsidRPr="0045078F">
        <w:t>p. 38.</w:t>
      </w:r>
    </w:p>
  </w:endnote>
  <w:endnote w:id="289">
    <w:p w:rsidR="00975183" w:rsidRPr="0045078F" w:rsidRDefault="00975183" w:rsidP="00442D33">
      <w:pPr>
        <w:pStyle w:val="EndnoteText"/>
      </w:pPr>
      <w:r w:rsidRPr="0045078F">
        <w:rPr>
          <w:rStyle w:val="FootnoteReference"/>
        </w:rPr>
        <w:endnoteRef/>
      </w:r>
      <w:r w:rsidRPr="0045078F">
        <w:t xml:space="preserve"> Bock, ‘How Texts Speak to Us’, </w:t>
      </w:r>
      <w:r w:rsidRPr="0045078F">
        <w:rPr>
          <w:i/>
        </w:rPr>
        <w:t>Progressive Dispensationalism</w:t>
      </w:r>
      <w:r w:rsidRPr="0045078F">
        <w:t xml:space="preserve">, p. 96.  </w:t>
      </w:r>
      <w:proofErr w:type="gramStart"/>
      <w:r w:rsidRPr="0045078F">
        <w:t xml:space="preserve">(See </w:t>
      </w:r>
      <w:r w:rsidRPr="0045078F">
        <w:rPr>
          <w:rStyle w:val="ind"/>
          <w:i/>
        </w:rPr>
        <w:t>Grammatical-Historical Interpretation and Literary-Theological Interpretation</w:t>
      </w:r>
      <w:r w:rsidRPr="0045078F">
        <w:rPr>
          <w:rStyle w:val="ind"/>
          <w:b/>
          <w:i/>
        </w:rPr>
        <w:t xml:space="preserve"> </w:t>
      </w:r>
      <w:r w:rsidRPr="0045078F">
        <w:rPr>
          <w:rStyle w:val="ind"/>
        </w:rPr>
        <w:t>below.)</w:t>
      </w:r>
      <w:proofErr w:type="gramEnd"/>
    </w:p>
  </w:endnote>
  <w:endnote w:id="290">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 Today</w:t>
      </w:r>
      <w:r w:rsidRPr="0045078F">
        <w:t>, p. 45.</w:t>
      </w:r>
    </w:p>
  </w:endnote>
  <w:endnote w:id="291">
    <w:p w:rsidR="00975183" w:rsidRPr="0045078F" w:rsidRDefault="00975183" w:rsidP="00442D33">
      <w:pPr>
        <w:pStyle w:val="EndnoteText"/>
      </w:pPr>
      <w:r w:rsidRPr="0045078F">
        <w:rPr>
          <w:rStyle w:val="FootnoteReference"/>
        </w:rPr>
        <w:endnoteRef/>
      </w:r>
      <w:r w:rsidRPr="0045078F">
        <w:t xml:space="preserve"> Ryrie, </w:t>
      </w:r>
      <w:r w:rsidRPr="0045078F">
        <w:rPr>
          <w:i/>
        </w:rPr>
        <w:t>Dispensationalism</w:t>
      </w:r>
      <w:r w:rsidRPr="0045078F">
        <w:t>, p. 47.</w:t>
      </w:r>
    </w:p>
  </w:endnote>
  <w:endnote w:id="292">
    <w:p w:rsidR="00975183" w:rsidRPr="0045078F" w:rsidRDefault="00975183" w:rsidP="00442D33">
      <w:pPr>
        <w:pStyle w:val="EndnoteText"/>
      </w:pPr>
      <w:r w:rsidRPr="0045078F">
        <w:rPr>
          <w:rStyle w:val="FootnoteReference"/>
        </w:rPr>
        <w:endnoteRef/>
      </w:r>
      <w:r w:rsidRPr="0045078F">
        <w:t xml:space="preserve"> See </w:t>
      </w:r>
      <w:proofErr w:type="gramStart"/>
      <w:r w:rsidRPr="0045078F">
        <w:t>Introductory</w:t>
      </w:r>
      <w:proofErr w:type="gramEnd"/>
      <w:r w:rsidRPr="0045078F">
        <w:t xml:space="preserve"> chapter, </w:t>
      </w:r>
      <w:r w:rsidRPr="0045078F">
        <w:rPr>
          <w:i/>
        </w:rPr>
        <w:t xml:space="preserve">What is Hermeneutics?  </w:t>
      </w:r>
    </w:p>
  </w:endnote>
  <w:endnote w:id="293">
    <w:p w:rsidR="00975183" w:rsidRDefault="00975183" w:rsidP="00442D33">
      <w:pPr>
        <w:pStyle w:val="EndnoteText"/>
        <w:rPr>
          <w:szCs w:val="22"/>
        </w:rPr>
      </w:pPr>
      <w:r w:rsidRPr="00FD710E">
        <w:rPr>
          <w:rStyle w:val="FootnoteReference"/>
        </w:rPr>
        <w:endnoteRef/>
      </w:r>
      <w:r w:rsidRPr="00FD710E">
        <w:t xml:space="preserve"> </w:t>
      </w:r>
      <w:r w:rsidRPr="00FD710E">
        <w:rPr>
          <w:szCs w:val="22"/>
        </w:rPr>
        <w:t xml:space="preserve">William B., Tolar, ‘The Grammatical-Historical Method’ in Bruce Corley, Steve Lemke &amp; Grant Lovejoy (eds), </w:t>
      </w:r>
      <w:r w:rsidRPr="00FD710E">
        <w:rPr>
          <w:i/>
          <w:szCs w:val="22"/>
        </w:rPr>
        <w:t>Biblical Hermeneutics</w:t>
      </w:r>
      <w:r w:rsidRPr="00FD710E">
        <w:rPr>
          <w:szCs w:val="22"/>
        </w:rPr>
        <w:t xml:space="preserve">: </w:t>
      </w:r>
      <w:r w:rsidRPr="00FD710E">
        <w:rPr>
          <w:i/>
          <w:szCs w:val="22"/>
        </w:rPr>
        <w:t>A Comprehensive Introduction to Interpreting Scripture</w:t>
      </w:r>
      <w:r w:rsidRPr="00FD710E">
        <w:rPr>
          <w:szCs w:val="22"/>
        </w:rPr>
        <w:t xml:space="preserve"> (Nashville: Broadman &amp; Holman, 2002), </w:t>
      </w:r>
    </w:p>
    <w:p w:rsidR="00975183" w:rsidRDefault="00975183" w:rsidP="00442D33">
      <w:pPr>
        <w:pStyle w:val="EndnoteText"/>
      </w:pPr>
      <w:proofErr w:type="gramStart"/>
      <w:r w:rsidRPr="00FD710E">
        <w:rPr>
          <w:szCs w:val="22"/>
        </w:rPr>
        <w:t>p. 21.</w:t>
      </w:r>
      <w:proofErr w:type="gramEnd"/>
    </w:p>
  </w:endnote>
  <w:endnote w:id="294">
    <w:p w:rsidR="00975183" w:rsidRPr="0045078F" w:rsidRDefault="00975183" w:rsidP="00442D33">
      <w:pPr>
        <w:pStyle w:val="EndnoteText"/>
      </w:pPr>
      <w:r w:rsidRPr="0045078F">
        <w:rPr>
          <w:rStyle w:val="FootnoteReference"/>
        </w:rPr>
        <w:endnoteRef/>
      </w:r>
      <w:r w:rsidRPr="0045078F">
        <w:t xml:space="preserve"> Poythress, </w:t>
      </w:r>
      <w:r w:rsidRPr="0045078F">
        <w:rPr>
          <w:i/>
        </w:rPr>
        <w:t>Understanding Dispensationalists</w:t>
      </w:r>
      <w:r w:rsidRPr="0045078F">
        <w:t>, p. 97.</w:t>
      </w:r>
    </w:p>
  </w:endnote>
  <w:endnote w:id="295">
    <w:p w:rsidR="00975183" w:rsidRPr="0045078F" w:rsidRDefault="00975183" w:rsidP="00442D33">
      <w:pPr>
        <w:pStyle w:val="EndnoteText"/>
      </w:pPr>
      <w:r w:rsidRPr="0045078F">
        <w:rPr>
          <w:rStyle w:val="FootnoteReference"/>
        </w:rPr>
        <w:endnoteRef/>
      </w:r>
      <w:r w:rsidRPr="0045078F">
        <w:t xml:space="preserve"> </w:t>
      </w:r>
      <w:r w:rsidRPr="0045078F">
        <w:rPr>
          <w:rStyle w:val="sources"/>
        </w:rPr>
        <w:t xml:space="preserve">Tan, </w:t>
      </w:r>
      <w:r w:rsidRPr="0045078F">
        <w:rPr>
          <w:rStyle w:val="sources"/>
          <w:i/>
        </w:rPr>
        <w:t>Interpretation of Prophecy</w:t>
      </w:r>
      <w:r w:rsidRPr="0045078F">
        <w:rPr>
          <w:rStyle w:val="sources"/>
        </w:rPr>
        <w:t xml:space="preserve">, pp. 29-30.  </w:t>
      </w:r>
    </w:p>
  </w:endnote>
  <w:endnote w:id="296">
    <w:p w:rsidR="00975183" w:rsidRPr="0045078F" w:rsidRDefault="00975183" w:rsidP="00442D33">
      <w:pPr>
        <w:pStyle w:val="EndnoteText"/>
      </w:pPr>
      <w:r w:rsidRPr="0045078F">
        <w:rPr>
          <w:rStyle w:val="FootnoteReference"/>
        </w:rPr>
        <w:endnoteRef/>
      </w:r>
      <w:r w:rsidRPr="0045078F">
        <w:t xml:space="preserve"> </w:t>
      </w:r>
      <w:r w:rsidRPr="0045078F">
        <w:rPr>
          <w:rStyle w:val="sources"/>
        </w:rPr>
        <w:t xml:space="preserve">Tan, </w:t>
      </w:r>
      <w:r w:rsidRPr="0045078F">
        <w:rPr>
          <w:rStyle w:val="sources"/>
          <w:i/>
        </w:rPr>
        <w:t>Interpretation of Prophecy</w:t>
      </w:r>
      <w:r w:rsidRPr="0045078F">
        <w:rPr>
          <w:rStyle w:val="sources"/>
        </w:rPr>
        <w:t>, pp. 102-4.</w:t>
      </w:r>
    </w:p>
  </w:endnote>
  <w:endnote w:id="297">
    <w:p w:rsidR="00975183" w:rsidRDefault="00975183" w:rsidP="00442D33">
      <w:pPr>
        <w:pStyle w:val="EndnoteText"/>
      </w:pPr>
      <w:r w:rsidRPr="00FD710E">
        <w:rPr>
          <w:rStyle w:val="FootnoteReference"/>
        </w:rPr>
        <w:endnoteRef/>
      </w:r>
      <w:r w:rsidRPr="00FD710E">
        <w:t xml:space="preserve"> Ramm, </w:t>
      </w:r>
      <w:r w:rsidRPr="00FD710E">
        <w:rPr>
          <w:i/>
        </w:rPr>
        <w:t>Protestant Biblical Interpretation</w:t>
      </w:r>
      <w:r w:rsidRPr="00FD710E">
        <w:t xml:space="preserve">, p. 55.  </w:t>
      </w:r>
      <w:proofErr w:type="gramStart"/>
      <w:r w:rsidRPr="00FD710E">
        <w:t>(</w:t>
      </w:r>
      <w:r w:rsidRPr="00FD710E">
        <w:rPr>
          <w:i/>
        </w:rPr>
        <w:t>Ramm’s emphases</w:t>
      </w:r>
      <w:r w:rsidRPr="00FD710E">
        <w:t>.)</w:t>
      </w:r>
      <w:proofErr w:type="gramEnd"/>
    </w:p>
  </w:endnote>
  <w:endnote w:id="298">
    <w:p w:rsidR="00975183" w:rsidRDefault="00975183" w:rsidP="00442D33">
      <w:pPr>
        <w:pStyle w:val="EndnoteText"/>
      </w:pPr>
      <w:r w:rsidRPr="00FD710E">
        <w:rPr>
          <w:rStyle w:val="FootnoteReference"/>
        </w:rPr>
        <w:endnoteRef/>
      </w:r>
      <w:r w:rsidRPr="00FD710E">
        <w:t xml:space="preserve"> Bock, ‘Interpreting the Bible – How We Read Texts’</w:t>
      </w:r>
      <w:r>
        <w:t>,</w:t>
      </w:r>
      <w:r w:rsidRPr="00FD710E">
        <w:t xml:space="preserve"> in </w:t>
      </w:r>
      <w:r w:rsidRPr="00FD710E">
        <w:rPr>
          <w:i/>
        </w:rPr>
        <w:t>Progressive Dispensationalism</w:t>
      </w:r>
      <w:r w:rsidRPr="00FD710E">
        <w:t xml:space="preserve"> (Grand Rapids, Michigan: Bridgepoint Books, 1993, paperback, 2000), pp. 59-60.</w:t>
      </w:r>
    </w:p>
  </w:endnote>
  <w:endnote w:id="299">
    <w:p w:rsidR="00975183" w:rsidRDefault="00975183" w:rsidP="00442D33">
      <w:pPr>
        <w:pStyle w:val="EndnoteText"/>
      </w:pPr>
      <w:r w:rsidRPr="00FD710E">
        <w:rPr>
          <w:rStyle w:val="FootnoteReference"/>
        </w:rPr>
        <w:endnoteRef/>
      </w:r>
      <w:r w:rsidRPr="00FD710E">
        <w:t xml:space="preserve"> Bock, ‘Interpreting the Bible – How We Read Texts’, </w:t>
      </w:r>
      <w:r w:rsidRPr="00FD710E">
        <w:rPr>
          <w:i/>
        </w:rPr>
        <w:t>Progressive Dispensationalism</w:t>
      </w:r>
      <w:r w:rsidRPr="00FD710E">
        <w:t>, p. 62.</w:t>
      </w:r>
    </w:p>
  </w:endnote>
  <w:endnote w:id="300">
    <w:p w:rsidR="00975183" w:rsidRDefault="00975183" w:rsidP="00442D33">
      <w:pPr>
        <w:pStyle w:val="EndnoteText"/>
      </w:pPr>
      <w:r w:rsidRPr="00FD710E">
        <w:rPr>
          <w:rStyle w:val="FootnoteReference"/>
        </w:rPr>
        <w:endnoteRef/>
      </w:r>
      <w:r w:rsidRPr="00FD710E">
        <w:t xml:space="preserve"> Bock, ‘How Texts Speak to Us’, </w:t>
      </w:r>
      <w:r w:rsidRPr="00FD710E">
        <w:rPr>
          <w:i/>
        </w:rPr>
        <w:t>Progressive Dispensationalism</w:t>
      </w:r>
      <w:r w:rsidRPr="00FD710E">
        <w:t>, pp. 86-96.</w:t>
      </w:r>
    </w:p>
  </w:endnote>
  <w:endnote w:id="301">
    <w:p w:rsidR="00975183" w:rsidRDefault="00975183" w:rsidP="00442D33">
      <w:pPr>
        <w:pStyle w:val="EndnoteText"/>
      </w:pPr>
      <w:r w:rsidRPr="004A0397">
        <w:rPr>
          <w:rStyle w:val="FootnoteReference"/>
        </w:rPr>
        <w:endnoteRef/>
      </w:r>
      <w:r w:rsidRPr="004A0397">
        <w:t xml:space="preserve"> Bock, ‘The Son of David and the Saints’ Task: The Hermeneutics of Initial Fulfillment’, </w:t>
      </w:r>
      <w:r w:rsidRPr="004A0397">
        <w:rPr>
          <w:i/>
        </w:rPr>
        <w:t>Bibliotheca Sacra</w:t>
      </w:r>
      <w:r w:rsidRPr="004A0397">
        <w:t xml:space="preserve">, </w:t>
      </w:r>
    </w:p>
    <w:p w:rsidR="00975183" w:rsidRDefault="00975183" w:rsidP="00442D33">
      <w:pPr>
        <w:pStyle w:val="EndnoteText"/>
      </w:pPr>
      <w:r w:rsidRPr="004A0397">
        <w:t>Vol. 150:600 (Oct. 1993), pp. 446-7.</w:t>
      </w:r>
    </w:p>
  </w:endnote>
  <w:endnote w:id="302">
    <w:p w:rsidR="00975183" w:rsidRDefault="00975183" w:rsidP="00442D33">
      <w:pPr>
        <w:pStyle w:val="EndnoteText"/>
      </w:pPr>
      <w:r w:rsidRPr="004A0397">
        <w:rPr>
          <w:rStyle w:val="FootnoteReference"/>
        </w:rPr>
        <w:endnoteRef/>
      </w:r>
      <w:r w:rsidRPr="004A0397">
        <w:t xml:space="preserve"> Blaising, ‘Developing Dispensationalism Part 2: Development of Dispensationalism by Contemporary Dispensationalists’, </w:t>
      </w:r>
      <w:r w:rsidRPr="004A0397">
        <w:rPr>
          <w:i/>
        </w:rPr>
        <w:t>Bibliotheca Sacra</w:t>
      </w:r>
      <w:r w:rsidRPr="004A0397">
        <w:t>, Vol. 145:579 (July 1988), pp. 257-8.</w:t>
      </w:r>
    </w:p>
  </w:endnote>
  <w:endnote w:id="303">
    <w:p w:rsidR="00975183" w:rsidRDefault="00975183" w:rsidP="00442D33">
      <w:pPr>
        <w:pStyle w:val="EndnoteText"/>
      </w:pPr>
      <w:r w:rsidRPr="004A0397">
        <w:rPr>
          <w:rStyle w:val="FootnoteReference"/>
        </w:rPr>
        <w:endnoteRef/>
      </w:r>
      <w:r w:rsidRPr="004A0397">
        <w:t xml:space="preserve"> </w:t>
      </w:r>
      <w:proofErr w:type="gramStart"/>
      <w:r w:rsidRPr="004A0397">
        <w:t>Ice, ‘Dispensational Hermeneutics’</w:t>
      </w:r>
      <w:r>
        <w:t>.</w:t>
      </w:r>
      <w:proofErr w:type="gramEnd"/>
    </w:p>
  </w:endnote>
  <w:endnote w:id="304">
    <w:p w:rsidR="00975183" w:rsidRDefault="00975183" w:rsidP="00442D33">
      <w:pPr>
        <w:pStyle w:val="EndnoteText"/>
      </w:pPr>
      <w:r w:rsidRPr="004A0397">
        <w:rPr>
          <w:rStyle w:val="FootnoteReference"/>
        </w:rPr>
        <w:endnoteRef/>
      </w:r>
      <w:r w:rsidRPr="004A0397">
        <w:t xml:space="preserve"> Ryrie, </w:t>
      </w:r>
      <w:r w:rsidRPr="004A0397">
        <w:rPr>
          <w:i/>
        </w:rPr>
        <w:t>Dispensationalism: Revised and Expanded</w:t>
      </w:r>
      <w:r w:rsidRPr="004A0397">
        <w:t>.</w:t>
      </w:r>
    </w:p>
  </w:endnote>
  <w:endnote w:id="305">
    <w:p w:rsidR="00975183" w:rsidRDefault="00975183" w:rsidP="00442D33">
      <w:pPr>
        <w:pStyle w:val="EndnoteText"/>
      </w:pPr>
      <w:r w:rsidRPr="004A0397">
        <w:rPr>
          <w:rStyle w:val="FootnoteReference"/>
        </w:rPr>
        <w:endnoteRef/>
      </w:r>
      <w:r w:rsidRPr="004A0397">
        <w:t xml:space="preserve"> Ryrie, </w:t>
      </w:r>
      <w:r w:rsidRPr="004A0397">
        <w:rPr>
          <w:i/>
        </w:rPr>
        <w:t>Dispensationalism Today</w:t>
      </w:r>
      <w:r w:rsidRPr="004A0397">
        <w:t>.</w:t>
      </w:r>
    </w:p>
  </w:endnote>
  <w:endnote w:id="306">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pp. 91-7.</w:t>
      </w:r>
    </w:p>
  </w:endnote>
  <w:endnote w:id="307">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pp. 97-100.</w:t>
      </w:r>
    </w:p>
  </w:endnote>
  <w:endnote w:id="308">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pp. 100-102.</w:t>
      </w:r>
    </w:p>
  </w:endnote>
  <w:endnote w:id="309">
    <w:p w:rsidR="00975183" w:rsidRDefault="00975183" w:rsidP="00442D33">
      <w:pPr>
        <w:pStyle w:val="EndnoteText"/>
      </w:pPr>
      <w:r w:rsidRPr="004A0397">
        <w:rPr>
          <w:rStyle w:val="FootnoteReference"/>
        </w:rPr>
        <w:endnoteRef/>
      </w:r>
      <w:r w:rsidRPr="004A0397">
        <w:t xml:space="preserve"> Reference: Blaising and Bock, </w:t>
      </w:r>
      <w:r w:rsidRPr="004A0397">
        <w:rPr>
          <w:rStyle w:val="ind"/>
          <w:i/>
        </w:rPr>
        <w:t>Dispensationalism, Israel and the Church</w:t>
      </w:r>
      <w:r w:rsidRPr="004A0397">
        <w:rPr>
          <w:rStyle w:val="ind"/>
        </w:rPr>
        <w:t>, p. 392.</w:t>
      </w:r>
    </w:p>
  </w:endnote>
  <w:endnote w:id="310">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pp. 100-101.</w:t>
      </w:r>
    </w:p>
  </w:endnote>
  <w:endnote w:id="311">
    <w:p w:rsidR="00975183" w:rsidRDefault="00975183" w:rsidP="00442D33">
      <w:pPr>
        <w:pStyle w:val="EndnoteText"/>
      </w:pPr>
      <w:r w:rsidRPr="004A0397">
        <w:rPr>
          <w:rStyle w:val="FootnoteReference"/>
        </w:rPr>
        <w:endnoteRef/>
      </w:r>
      <w:r w:rsidRPr="004A0397">
        <w:t xml:space="preserve"> Reference: Blaising and Bock, </w:t>
      </w:r>
      <w:r w:rsidRPr="004A0397">
        <w:rPr>
          <w:rStyle w:val="ind"/>
          <w:i/>
        </w:rPr>
        <w:t>Dispensationalism, Israel and the Church</w:t>
      </w:r>
      <w:r w:rsidRPr="004A0397">
        <w:rPr>
          <w:rStyle w:val="ind"/>
        </w:rPr>
        <w:t>, pp. 392-3.</w:t>
      </w:r>
    </w:p>
  </w:endnote>
  <w:endnote w:id="312">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 102.</w:t>
      </w:r>
    </w:p>
  </w:endnote>
  <w:endnote w:id="313">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xml:space="preserve">, p. 101.  Reference: Blaising and Bock, </w:t>
      </w:r>
      <w:r w:rsidRPr="004A0397">
        <w:rPr>
          <w:rStyle w:val="ind"/>
          <w:i/>
        </w:rPr>
        <w:t>Dispensationalism, Israel and the Church</w:t>
      </w:r>
      <w:r w:rsidRPr="004A0397">
        <w:rPr>
          <w:rStyle w:val="ind"/>
        </w:rPr>
        <w:t>, p. 348.  ‘[</w:t>
      </w:r>
      <w:proofErr w:type="gramStart"/>
      <w:r w:rsidRPr="004A0397">
        <w:rPr>
          <w:rStyle w:val="ind"/>
        </w:rPr>
        <w:t>normative</w:t>
      </w:r>
      <w:proofErr w:type="gramEnd"/>
      <w:r w:rsidRPr="004A0397">
        <w:rPr>
          <w:rStyle w:val="ind"/>
        </w:rPr>
        <w:t>]’ added by Ryrie.</w:t>
      </w:r>
    </w:p>
  </w:endnote>
  <w:endnote w:id="314">
    <w:p w:rsidR="00975183" w:rsidRDefault="00975183" w:rsidP="00442D33">
      <w:pPr>
        <w:pStyle w:val="EndnoteText"/>
      </w:pPr>
      <w:r w:rsidRPr="004A0397">
        <w:rPr>
          <w:rStyle w:val="FootnoteReference"/>
        </w:rPr>
        <w:endnoteRef/>
      </w:r>
      <w:r w:rsidRPr="004A0397">
        <w:t xml:space="preserve"> Blaising, ‘The Extent and Varieties of Dispensationalism, </w:t>
      </w:r>
      <w:r w:rsidRPr="004A0397">
        <w:rPr>
          <w:i/>
        </w:rPr>
        <w:t>Progressive Dispensationalism</w:t>
      </w:r>
      <w:r w:rsidRPr="004A0397">
        <w:t>, p. 36.</w:t>
      </w:r>
    </w:p>
  </w:endnote>
  <w:endnote w:id="315">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 101.</w:t>
      </w:r>
    </w:p>
  </w:endnote>
  <w:endnote w:id="316">
    <w:p w:rsidR="00975183" w:rsidRDefault="00975183" w:rsidP="00442D33">
      <w:pPr>
        <w:pStyle w:val="EndnoteText"/>
      </w:pPr>
      <w:r w:rsidRPr="004A0397">
        <w:rPr>
          <w:rStyle w:val="FootnoteReference"/>
        </w:rPr>
        <w:endnoteRef/>
      </w:r>
      <w:r w:rsidRPr="004A0397">
        <w:t xml:space="preserve"> Ryrie, </w:t>
      </w:r>
      <w:r w:rsidRPr="004A0397">
        <w:rPr>
          <w:i/>
        </w:rPr>
        <w:t>Dispensationalism</w:t>
      </w:r>
      <w:r w:rsidRPr="004A0397">
        <w:t>, p. 91.</w:t>
      </w:r>
    </w:p>
  </w:endnote>
  <w:endnote w:id="317">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137.</w:t>
      </w:r>
    </w:p>
  </w:endnote>
  <w:endnote w:id="318">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31.</w:t>
      </w:r>
    </w:p>
  </w:endnote>
  <w:endnote w:id="319">
    <w:p w:rsidR="00975183" w:rsidRDefault="00975183" w:rsidP="00442D33">
      <w:pPr>
        <w:pStyle w:val="EndnoteText"/>
      </w:pPr>
      <w:r w:rsidRPr="004A0397">
        <w:rPr>
          <w:rStyle w:val="FootnoteReference"/>
        </w:rPr>
        <w:endnoteRef/>
      </w:r>
      <w:r w:rsidRPr="004A0397">
        <w:t xml:space="preserve"> Tan, </w:t>
      </w:r>
      <w:r w:rsidRPr="004A0397">
        <w:rPr>
          <w:rStyle w:val="sources"/>
          <w:i/>
        </w:rPr>
        <w:t>Interpretation of Prophecy</w:t>
      </w:r>
      <w:r w:rsidRPr="004A0397">
        <w:rPr>
          <w:rStyle w:val="sources"/>
        </w:rPr>
        <w:t>, pp. 143-4.</w:t>
      </w:r>
    </w:p>
  </w:endnote>
  <w:endnote w:id="320">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140-141.</w:t>
      </w:r>
    </w:p>
  </w:endnote>
  <w:endnote w:id="321">
    <w:p w:rsidR="00975183" w:rsidRDefault="00975183" w:rsidP="00442D33">
      <w:pPr>
        <w:pStyle w:val="EndnoteText"/>
      </w:pPr>
      <w:r w:rsidRPr="004A0397">
        <w:rPr>
          <w:rStyle w:val="FootnoteReference"/>
        </w:rPr>
        <w:endnoteRef/>
      </w:r>
      <w:r w:rsidRPr="004A0397">
        <w:t xml:space="preserve"> </w:t>
      </w:r>
      <w:proofErr w:type="gramStart"/>
      <w:r w:rsidRPr="004A0397">
        <w:t xml:space="preserve">Tan, </w:t>
      </w:r>
      <w:r w:rsidRPr="004A0397">
        <w:rPr>
          <w:i/>
        </w:rPr>
        <w:t>Interpretation of Prophecy</w:t>
      </w:r>
      <w:r w:rsidRPr="004A0397">
        <w:t>, p. 141 and footnote.</w:t>
      </w:r>
      <w:proofErr w:type="gramEnd"/>
    </w:p>
  </w:endnote>
  <w:endnote w:id="322">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31.</w:t>
      </w:r>
    </w:p>
  </w:endnote>
  <w:endnote w:id="323">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138.</w:t>
      </w:r>
    </w:p>
  </w:endnote>
  <w:endnote w:id="324">
    <w:p w:rsidR="00975183" w:rsidRDefault="00975183" w:rsidP="00442D33">
      <w:pPr>
        <w:pStyle w:val="EndnoteText"/>
      </w:pPr>
      <w:r w:rsidRPr="004A0397">
        <w:rPr>
          <w:rStyle w:val="FootnoteReference"/>
        </w:rPr>
        <w:endnoteRef/>
      </w:r>
      <w:r w:rsidRPr="004A0397">
        <w:t xml:space="preserve"> John Peter Lange, </w:t>
      </w:r>
      <w:r w:rsidRPr="004A0397">
        <w:rPr>
          <w:i/>
        </w:rPr>
        <w:t>A Commentary on the Holy Scriptures: Critical, Doctrinal and Homiletical, with Special Reference to Ministers and Students: The Revelation of St John the Divine</w:t>
      </w:r>
      <w:r w:rsidRPr="004A0397">
        <w:t xml:space="preserve"> (trans. Philip Schaff, New York: Scribner, Armstrong &amp; Co., 1874), footnote, p. 98.  </w:t>
      </w:r>
      <w:proofErr w:type="gramStart"/>
      <w:r w:rsidRPr="004A0397">
        <w:t>(</w:t>
      </w:r>
      <w:r w:rsidRPr="004A0397">
        <w:rPr>
          <w:i/>
        </w:rPr>
        <w:t>Lange’s emphases</w:t>
      </w:r>
      <w:r w:rsidRPr="004A0397">
        <w:t>.)</w:t>
      </w:r>
      <w:proofErr w:type="gramEnd"/>
    </w:p>
  </w:endnote>
  <w:endnote w:id="325">
    <w:p w:rsidR="00975183" w:rsidRDefault="00975183" w:rsidP="00442D33">
      <w:pPr>
        <w:pStyle w:val="EndnoteText"/>
      </w:pPr>
      <w:r w:rsidRPr="004A0397">
        <w:rPr>
          <w:rStyle w:val="FootnoteReference"/>
        </w:rPr>
        <w:endnoteRef/>
      </w:r>
      <w:r w:rsidRPr="004A0397">
        <w:t xml:space="preserve"> See ‘Genre’ section above.</w:t>
      </w:r>
    </w:p>
  </w:endnote>
  <w:endnote w:id="326">
    <w:p w:rsidR="00975183" w:rsidRDefault="00975183" w:rsidP="00442D33">
      <w:pPr>
        <w:pStyle w:val="EndnoteText"/>
      </w:pPr>
      <w:r w:rsidRPr="004A0397">
        <w:rPr>
          <w:rStyle w:val="FootnoteReference"/>
        </w:rPr>
        <w:endnoteRef/>
      </w:r>
      <w:r w:rsidRPr="004A0397">
        <w:t xml:space="preserve"> Clinton Lockhart, </w:t>
      </w:r>
      <w:r w:rsidRPr="004A0397">
        <w:rPr>
          <w:i/>
        </w:rPr>
        <w:t xml:space="preserve">Principles of Interpretation: </w:t>
      </w:r>
      <w:r w:rsidRPr="004A0397">
        <w:rPr>
          <w:i/>
          <w:lang w:eastAsia="en-GB"/>
        </w:rPr>
        <w:t>as recognized generally by biblical scholars, treated as a science, derived inductively from an exegesis of many passages of scripture</w:t>
      </w:r>
      <w:r w:rsidRPr="004A0397">
        <w:rPr>
          <w:lang w:eastAsia="en-GB"/>
        </w:rPr>
        <w:t xml:space="preserve"> (Delight, Arkansas: Gospel Light Publishing Company, Revised Edition, 1915), p. 49.</w:t>
      </w:r>
    </w:p>
  </w:endnote>
  <w:endnote w:id="327">
    <w:p w:rsidR="00975183" w:rsidRDefault="00975183" w:rsidP="00442D33">
      <w:pPr>
        <w:pStyle w:val="EndnoteText"/>
      </w:pPr>
      <w:r w:rsidRPr="004A0397">
        <w:rPr>
          <w:rStyle w:val="FootnoteReference"/>
        </w:rPr>
        <w:endnoteRef/>
      </w:r>
      <w:r w:rsidRPr="004A0397">
        <w:t xml:space="preserve"> Jn 15:1.</w:t>
      </w:r>
    </w:p>
  </w:endnote>
  <w:endnote w:id="328">
    <w:p w:rsidR="00975183" w:rsidRDefault="00975183" w:rsidP="00442D33">
      <w:pPr>
        <w:pStyle w:val="EndnoteText"/>
      </w:pPr>
      <w:r w:rsidRPr="004A0397">
        <w:rPr>
          <w:rStyle w:val="FootnoteReference"/>
        </w:rPr>
        <w:endnoteRef/>
      </w:r>
      <w:r w:rsidRPr="004A0397">
        <w:t xml:space="preserve"> Lockhart, </w:t>
      </w:r>
      <w:r w:rsidRPr="004A0397">
        <w:rPr>
          <w:i/>
        </w:rPr>
        <w:t>Principles of Interpretation</w:t>
      </w:r>
      <w:r w:rsidRPr="004A0397">
        <w:t>, p 50.</w:t>
      </w:r>
    </w:p>
  </w:endnote>
  <w:endnote w:id="329">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 41.</w:t>
      </w:r>
    </w:p>
  </w:endnote>
  <w:endnote w:id="330">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62.</w:t>
      </w:r>
    </w:p>
  </w:endnote>
  <w:endnote w:id="331">
    <w:p w:rsidR="00975183" w:rsidRDefault="00975183" w:rsidP="00442D33">
      <w:pPr>
        <w:pStyle w:val="EndnoteText"/>
      </w:pPr>
      <w:r w:rsidRPr="004A0397">
        <w:rPr>
          <w:rStyle w:val="FootnoteReference"/>
        </w:rPr>
        <w:endnoteRef/>
      </w:r>
      <w:r w:rsidRPr="004A0397">
        <w:t xml:space="preserve"> Blaising, ‘Dispensationalism: Search for Definition’, </w:t>
      </w:r>
      <w:r w:rsidRPr="004A0397">
        <w:rPr>
          <w:i/>
        </w:rPr>
        <w:t>Dispensationalism, Israel and the Church</w:t>
      </w:r>
      <w:r w:rsidRPr="004A0397">
        <w:t>, p. 13.</w:t>
      </w:r>
    </w:p>
  </w:endnote>
  <w:endnote w:id="332">
    <w:p w:rsidR="00975183" w:rsidRDefault="00975183" w:rsidP="00442D33">
      <w:pPr>
        <w:pStyle w:val="EndnoteText"/>
      </w:pPr>
      <w:r w:rsidRPr="004A0397">
        <w:rPr>
          <w:rStyle w:val="FootnoteReference"/>
        </w:rPr>
        <w:endnoteRef/>
      </w:r>
      <w:r w:rsidRPr="004A0397">
        <w:t xml:space="preserve"> </w:t>
      </w:r>
      <w:r w:rsidRPr="00DA01AD">
        <w:rPr>
          <w:szCs w:val="22"/>
        </w:rPr>
        <w:t xml:space="preserve">Weber, </w:t>
      </w:r>
      <w:r w:rsidRPr="00DA01AD">
        <w:rPr>
          <w:i/>
          <w:szCs w:val="22"/>
        </w:rPr>
        <w:t>On the Road to Armageddon</w:t>
      </w:r>
      <w:r w:rsidRPr="004A0397">
        <w:t>, p. 10.</w:t>
      </w:r>
      <w:r>
        <w:t xml:space="preserve">  </w:t>
      </w:r>
      <w:r w:rsidRPr="00635307">
        <w:rPr>
          <w:b/>
        </w:rPr>
        <w:t>See Chapter 7</w:t>
      </w:r>
      <w:r>
        <w:t>.</w:t>
      </w:r>
    </w:p>
  </w:endnote>
  <w:endnote w:id="333">
    <w:p w:rsidR="00975183" w:rsidRDefault="00975183" w:rsidP="00442D33">
      <w:pPr>
        <w:pStyle w:val="EndnoteText"/>
      </w:pPr>
      <w:r w:rsidRPr="004A0397">
        <w:rPr>
          <w:rStyle w:val="FootnoteReference"/>
        </w:rPr>
        <w:endnoteRef/>
      </w:r>
      <w:r w:rsidRPr="004A0397">
        <w:t xml:space="preserve"> Blaising, ‘Dispensationalism: Search for Definition’, </w:t>
      </w:r>
      <w:r w:rsidRPr="004A0397">
        <w:rPr>
          <w:i/>
        </w:rPr>
        <w:t>Dispensationalism, Israel and the Church</w:t>
      </w:r>
      <w:r w:rsidRPr="004A0397">
        <w:t>, p. 13.</w:t>
      </w:r>
    </w:p>
  </w:endnote>
  <w:endnote w:id="334">
    <w:p w:rsidR="00975183" w:rsidRDefault="00975183" w:rsidP="00442D33">
      <w:pPr>
        <w:pStyle w:val="EndnoteText"/>
      </w:pPr>
      <w:r w:rsidRPr="00DA01AD">
        <w:rPr>
          <w:rStyle w:val="FootnoteReference"/>
          <w:sz w:val="18"/>
        </w:rPr>
        <w:endnoteRef/>
      </w:r>
      <w:r w:rsidRPr="00DA01AD">
        <w:rPr>
          <w:sz w:val="18"/>
        </w:rPr>
        <w:t xml:space="preserve"> </w:t>
      </w:r>
      <w:r w:rsidRPr="00DA01AD">
        <w:t xml:space="preserve">Weber, </w:t>
      </w:r>
      <w:r>
        <w:rPr>
          <w:i/>
        </w:rPr>
        <w:t>Armageddon</w:t>
      </w:r>
      <w:r w:rsidRPr="00DA01AD">
        <w:t>,</w:t>
      </w:r>
      <w:r>
        <w:t xml:space="preserve"> </w:t>
      </w:r>
      <w:r w:rsidRPr="00DA01AD">
        <w:t>p. 1</w:t>
      </w:r>
      <w:r>
        <w:t>0</w:t>
      </w:r>
      <w:r w:rsidRPr="00DA01AD">
        <w:t>.</w:t>
      </w:r>
    </w:p>
  </w:endnote>
  <w:endnote w:id="335">
    <w:p w:rsidR="00975183" w:rsidRDefault="00975183" w:rsidP="00442D33">
      <w:pPr>
        <w:pStyle w:val="EndnoteText"/>
      </w:pPr>
      <w:r w:rsidRPr="004A0397">
        <w:rPr>
          <w:rStyle w:val="FootnoteReference"/>
        </w:rPr>
        <w:endnoteRef/>
      </w:r>
      <w:r w:rsidRPr="004A0397">
        <w:t xml:space="preserve"> Blaising, ‘Dispensationalism: Search for Definition’, </w:t>
      </w:r>
      <w:r w:rsidRPr="004A0397">
        <w:rPr>
          <w:i/>
        </w:rPr>
        <w:t>Dispensationalism, Israel and the Church</w:t>
      </w:r>
      <w:r w:rsidRPr="004A0397">
        <w:t>, pp. 14-15, footnote 3.</w:t>
      </w:r>
    </w:p>
  </w:endnote>
  <w:endnote w:id="336">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 46.</w:t>
      </w:r>
    </w:p>
  </w:endnote>
  <w:endnote w:id="337">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59.</w:t>
      </w:r>
    </w:p>
  </w:endnote>
  <w:endnote w:id="338">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 47.</w:t>
      </w:r>
    </w:p>
  </w:endnote>
  <w:endnote w:id="339">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194.</w:t>
      </w:r>
    </w:p>
  </w:endnote>
  <w:endnote w:id="340">
    <w:p w:rsidR="00975183" w:rsidRDefault="00975183" w:rsidP="00442D33">
      <w:pPr>
        <w:pStyle w:val="EndnoteText"/>
      </w:pPr>
      <w:r w:rsidRPr="004A0397">
        <w:rPr>
          <w:rStyle w:val="FootnoteReference"/>
        </w:rPr>
        <w:endnoteRef/>
      </w:r>
      <w:r w:rsidRPr="004A0397">
        <w:t xml:space="preserve"> Poythress, </w:t>
      </w:r>
      <w:r w:rsidRPr="004A0397">
        <w:rPr>
          <w:i/>
        </w:rPr>
        <w:t>Understanding Dispensationalists</w:t>
      </w:r>
      <w:r w:rsidRPr="004A0397">
        <w:t>, p. 54.</w:t>
      </w:r>
    </w:p>
  </w:endnote>
  <w:endnote w:id="341">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194.</w:t>
      </w:r>
    </w:p>
  </w:endnote>
  <w:endnote w:id="342">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 47.</w:t>
      </w:r>
    </w:p>
  </w:endnote>
  <w:endnote w:id="343">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245-7.</w:t>
      </w:r>
    </w:p>
  </w:endnote>
  <w:endnote w:id="344">
    <w:p w:rsidR="00975183" w:rsidRDefault="00975183" w:rsidP="00442D33">
      <w:pPr>
        <w:pStyle w:val="EndnoteText"/>
      </w:pPr>
      <w:r w:rsidRPr="004A0397">
        <w:rPr>
          <w:rStyle w:val="FootnoteReference"/>
        </w:rPr>
        <w:endnoteRef/>
      </w:r>
      <w:r w:rsidRPr="004A0397">
        <w:t xml:space="preserve"> Rev. 5:5.</w:t>
      </w:r>
    </w:p>
  </w:endnote>
  <w:endnote w:id="345">
    <w:p w:rsidR="00975183" w:rsidRDefault="00975183" w:rsidP="00442D33">
      <w:pPr>
        <w:pStyle w:val="EndnoteText"/>
      </w:pPr>
      <w:r w:rsidRPr="004A0397">
        <w:rPr>
          <w:rStyle w:val="FootnoteReference"/>
        </w:rPr>
        <w:endnoteRef/>
      </w:r>
      <w:r w:rsidRPr="004A0397">
        <w:t xml:space="preserve"> 1 Pet. 5:8.</w:t>
      </w:r>
    </w:p>
  </w:endnote>
  <w:endnote w:id="346">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247-51.</w:t>
      </w:r>
    </w:p>
  </w:endnote>
  <w:endnote w:id="347">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251-3.</w:t>
      </w:r>
    </w:p>
  </w:endnote>
  <w:endnote w:id="348">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267-8.</w:t>
      </w:r>
    </w:p>
  </w:endnote>
  <w:endnote w:id="349">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268.</w:t>
      </w:r>
    </w:p>
  </w:endnote>
  <w:endnote w:id="350">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268-9.</w:t>
      </w:r>
      <w:r>
        <w:t xml:space="preserve">  Ref. </w:t>
      </w:r>
      <w:r w:rsidRPr="004A0397">
        <w:rPr>
          <w:lang w:val="en-US"/>
        </w:rPr>
        <w:t>Rev. 17:9.</w:t>
      </w:r>
    </w:p>
  </w:endnote>
  <w:endnote w:id="351">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268-9.</w:t>
      </w:r>
      <w:r>
        <w:t xml:space="preserve">  Ref. </w:t>
      </w:r>
      <w:r w:rsidRPr="004A0397">
        <w:t xml:space="preserve">Rev. 1:16.  </w:t>
      </w:r>
    </w:p>
  </w:endnote>
  <w:endnote w:id="352">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263-4.</w:t>
      </w:r>
    </w:p>
  </w:endnote>
  <w:endnote w:id="353">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269.</w:t>
      </w:r>
    </w:p>
  </w:endnote>
  <w:endnote w:id="354">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152.</w:t>
      </w:r>
    </w:p>
  </w:endnote>
  <w:endnote w:id="355">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233-4.</w:t>
      </w:r>
      <w:r>
        <w:t xml:space="preserve">  There is a reflection with regard to this warning in </w:t>
      </w:r>
      <w:r w:rsidRPr="00E04231">
        <w:rPr>
          <w:b/>
        </w:rPr>
        <w:t>2.4 below</w:t>
      </w:r>
      <w:r>
        <w:t>.</w:t>
      </w:r>
    </w:p>
  </w:endnote>
  <w:endnote w:id="356">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w:t>
      </w:r>
      <w:r>
        <w:t>p</w:t>
      </w:r>
      <w:r w:rsidRPr="004A0397">
        <w:t>. 152</w:t>
      </w:r>
      <w:r>
        <w:t>-3</w:t>
      </w:r>
      <w:r w:rsidRPr="004A0397">
        <w:t>.</w:t>
      </w:r>
    </w:p>
  </w:endnote>
  <w:endnote w:id="357">
    <w:p w:rsidR="00975183" w:rsidRDefault="00975183" w:rsidP="00442D33">
      <w:pPr>
        <w:pStyle w:val="EndnoteText"/>
      </w:pPr>
      <w:r w:rsidRPr="004A0397">
        <w:rPr>
          <w:rStyle w:val="FootnoteReference"/>
        </w:rPr>
        <w:endnoteRef/>
      </w:r>
      <w:r w:rsidRPr="004A0397">
        <w:t xml:space="preserve"> Ryrie, </w:t>
      </w:r>
      <w:proofErr w:type="gramStart"/>
      <w:r w:rsidRPr="004A0397">
        <w:rPr>
          <w:i/>
        </w:rPr>
        <w:t>The</w:t>
      </w:r>
      <w:proofErr w:type="gramEnd"/>
      <w:r w:rsidRPr="004A0397">
        <w:rPr>
          <w:i/>
        </w:rPr>
        <w:t xml:space="preserve"> Basis of Premillennial Faith</w:t>
      </w:r>
      <w:r w:rsidRPr="004A0397">
        <w:t xml:space="preserve"> (Neptune, New Jersey: Loizeaux Brothers, Inc., 1953), pp. 42-3. &lt;http://bartimaeus.us/pub_dom/premille.html&gt; [accessed 18.9.17].</w:t>
      </w:r>
    </w:p>
  </w:endnote>
  <w:endnote w:id="358">
    <w:p w:rsidR="00975183" w:rsidRDefault="00975183" w:rsidP="00442D33">
      <w:pPr>
        <w:pStyle w:val="EndnoteText"/>
      </w:pPr>
      <w:r w:rsidRPr="004A0397">
        <w:rPr>
          <w:rStyle w:val="FootnoteReference"/>
        </w:rPr>
        <w:endnoteRef/>
      </w:r>
      <w:r w:rsidRPr="004A0397">
        <w:t xml:space="preserve"> Zechariah 5.</w:t>
      </w:r>
    </w:p>
  </w:endnote>
  <w:endnote w:id="359">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155-6.</w:t>
      </w:r>
    </w:p>
  </w:endnote>
  <w:endnote w:id="360">
    <w:p w:rsidR="00975183" w:rsidRDefault="00975183" w:rsidP="00442D33">
      <w:pPr>
        <w:pStyle w:val="EndnoteText"/>
      </w:pPr>
      <w:r w:rsidRPr="004A0397">
        <w:rPr>
          <w:rStyle w:val="FootnoteReference"/>
        </w:rPr>
        <w:endnoteRef/>
      </w:r>
      <w:r w:rsidRPr="004A0397">
        <w:t xml:space="preserve"> </w:t>
      </w:r>
      <w:r w:rsidRPr="004A0397">
        <w:rPr>
          <w:lang w:val="en-US"/>
        </w:rPr>
        <w:t>Rev. 12:1.</w:t>
      </w:r>
    </w:p>
  </w:endnote>
  <w:endnote w:id="361">
    <w:p w:rsidR="00975183" w:rsidRDefault="00975183" w:rsidP="00442D33">
      <w:pPr>
        <w:pStyle w:val="EndnoteText"/>
      </w:pPr>
      <w:r w:rsidRPr="004A0397">
        <w:rPr>
          <w:rStyle w:val="FootnoteReference"/>
        </w:rPr>
        <w:endnoteRef/>
      </w:r>
      <w:r w:rsidRPr="004A0397">
        <w:t xml:space="preserve"> </w:t>
      </w:r>
      <w:r w:rsidRPr="004A0397">
        <w:rPr>
          <w:lang w:val="en-US"/>
        </w:rPr>
        <w:t>Rev. 17:3.</w:t>
      </w:r>
    </w:p>
  </w:endnote>
  <w:endnote w:id="362">
    <w:p w:rsidR="00975183" w:rsidRDefault="00975183" w:rsidP="00442D33">
      <w:pPr>
        <w:pStyle w:val="EndnoteText"/>
      </w:pPr>
      <w:r w:rsidRPr="004A0397">
        <w:rPr>
          <w:rStyle w:val="FootnoteReference"/>
        </w:rPr>
        <w:endnoteRef/>
      </w:r>
      <w:r w:rsidRPr="004A0397">
        <w:t xml:space="preserve"> </w:t>
      </w:r>
      <w:r w:rsidRPr="004A0397">
        <w:rPr>
          <w:lang w:val="en-US"/>
        </w:rPr>
        <w:t>Ezek. 8:3.</w:t>
      </w:r>
    </w:p>
  </w:endnote>
  <w:endnote w:id="363">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158, 159, 166.</w:t>
      </w:r>
    </w:p>
  </w:endnote>
  <w:endnote w:id="364">
    <w:p w:rsidR="00975183" w:rsidRDefault="00975183" w:rsidP="00442D33">
      <w:pPr>
        <w:pStyle w:val="EndnoteText"/>
      </w:pPr>
      <w:r w:rsidRPr="004A0397">
        <w:rPr>
          <w:rStyle w:val="FootnoteReference"/>
        </w:rPr>
        <w:endnoteRef/>
      </w:r>
      <w:r w:rsidRPr="004A0397">
        <w:t xml:space="preserve"> Isa. 11:7.</w:t>
      </w:r>
    </w:p>
  </w:endnote>
  <w:endnote w:id="365">
    <w:p w:rsidR="00975183" w:rsidRDefault="00975183" w:rsidP="00442D33">
      <w:pPr>
        <w:pStyle w:val="EndnoteText"/>
      </w:pPr>
      <w:r w:rsidRPr="004A0397">
        <w:rPr>
          <w:rStyle w:val="FootnoteReference"/>
        </w:rPr>
        <w:endnoteRef/>
      </w:r>
      <w:r w:rsidRPr="004A0397">
        <w:t xml:space="preserve"> Rev. 21:21.</w:t>
      </w:r>
    </w:p>
  </w:endnote>
  <w:endnote w:id="366">
    <w:p w:rsidR="00975183" w:rsidRDefault="00975183" w:rsidP="00442D33">
      <w:pPr>
        <w:pStyle w:val="EndnoteText"/>
      </w:pPr>
      <w:r w:rsidRPr="004A0397">
        <w:rPr>
          <w:rStyle w:val="FootnoteReference"/>
        </w:rPr>
        <w:endnoteRef/>
      </w:r>
      <w:r w:rsidRPr="004A0397">
        <w:t xml:space="preserve"> Rev. 9:16.</w:t>
      </w:r>
    </w:p>
  </w:endnote>
  <w:endnote w:id="367">
    <w:p w:rsidR="00975183" w:rsidRDefault="00975183" w:rsidP="00442D33">
      <w:pPr>
        <w:pStyle w:val="EndnoteText"/>
      </w:pPr>
      <w:r w:rsidRPr="003755E6">
        <w:rPr>
          <w:rStyle w:val="FootnoteReference"/>
        </w:rPr>
        <w:endnoteRef/>
      </w:r>
      <w:r w:rsidRPr="003755E6">
        <w:t xml:space="preserve"> </w:t>
      </w:r>
      <w:r>
        <w:t xml:space="preserve">Ramm, </w:t>
      </w:r>
      <w:r w:rsidRPr="00D80E58">
        <w:rPr>
          <w:i/>
        </w:rPr>
        <w:t>Protestant Bible Interpretation</w:t>
      </w:r>
      <w:r>
        <w:t>, p. 235.</w:t>
      </w:r>
    </w:p>
  </w:endnote>
  <w:endnote w:id="368">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165-6.</w:t>
      </w:r>
    </w:p>
  </w:endnote>
  <w:endnote w:id="369">
    <w:p w:rsidR="00975183" w:rsidRDefault="00975183" w:rsidP="00442D33">
      <w:pPr>
        <w:pStyle w:val="EndnoteText"/>
      </w:pPr>
      <w:r w:rsidRPr="004A0397">
        <w:rPr>
          <w:rStyle w:val="FootnoteReference"/>
        </w:rPr>
        <w:endnoteRef/>
      </w:r>
      <w:r w:rsidRPr="004A0397">
        <w:t xml:space="preserve"> </w:t>
      </w:r>
      <w:proofErr w:type="gramStart"/>
      <w:r w:rsidRPr="004A0397">
        <w:t>Rev. 20:2-7.</w:t>
      </w:r>
      <w:proofErr w:type="gramEnd"/>
    </w:p>
  </w:endnote>
  <w:endnote w:id="370">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pp. 42-3.</w:t>
      </w:r>
    </w:p>
  </w:endnote>
  <w:endnote w:id="371">
    <w:p w:rsidR="00975183" w:rsidRDefault="00975183" w:rsidP="00442D33">
      <w:pPr>
        <w:pStyle w:val="EndnoteText"/>
      </w:pPr>
      <w:r w:rsidRPr="004A0397">
        <w:rPr>
          <w:rStyle w:val="FootnoteReference"/>
        </w:rPr>
        <w:endnoteRef/>
      </w:r>
      <w:r w:rsidRPr="004A0397">
        <w:t xml:space="preserve"> Isa. 7:8.</w:t>
      </w:r>
    </w:p>
  </w:endnote>
  <w:endnote w:id="372">
    <w:p w:rsidR="00975183" w:rsidRDefault="00975183" w:rsidP="00442D33">
      <w:pPr>
        <w:pStyle w:val="EndnoteText"/>
      </w:pPr>
      <w:r w:rsidRPr="00636AE4">
        <w:rPr>
          <w:rStyle w:val="FootnoteReference"/>
        </w:rPr>
        <w:endnoteRef/>
      </w:r>
      <w:r w:rsidRPr="00636AE4">
        <w:t xml:space="preserve"> </w:t>
      </w:r>
      <w:proofErr w:type="gramStart"/>
      <w:r w:rsidRPr="00635307">
        <w:rPr>
          <w:b/>
        </w:rPr>
        <w:t>See 7.1.2.1</w:t>
      </w:r>
      <w:r w:rsidRPr="00635307">
        <w:t>.</w:t>
      </w:r>
      <w:proofErr w:type="gramEnd"/>
    </w:p>
  </w:endnote>
  <w:endnote w:id="373">
    <w:p w:rsidR="00975183" w:rsidRDefault="00975183" w:rsidP="00442D33">
      <w:pPr>
        <w:pStyle w:val="EndnoteText"/>
      </w:pPr>
      <w:r w:rsidRPr="004A0397">
        <w:rPr>
          <w:rStyle w:val="FootnoteReference"/>
        </w:rPr>
        <w:endnoteRef/>
      </w:r>
      <w:r w:rsidRPr="004A0397">
        <w:t xml:space="preserve"> Dan. 7:25, 12:7; Rev. 12:14.</w:t>
      </w:r>
    </w:p>
  </w:endnote>
  <w:endnote w:id="374">
    <w:p w:rsidR="00975183" w:rsidRDefault="00975183" w:rsidP="00442D33">
      <w:pPr>
        <w:pStyle w:val="EndnoteText"/>
      </w:pPr>
      <w:r w:rsidRPr="004A0397">
        <w:rPr>
          <w:rStyle w:val="FootnoteReference"/>
        </w:rPr>
        <w:endnoteRef/>
      </w:r>
      <w:r w:rsidRPr="004A0397">
        <w:t xml:space="preserve"> Rev. 11:3, 12:6.</w:t>
      </w:r>
    </w:p>
  </w:endnote>
  <w:endnote w:id="375">
    <w:p w:rsidR="00975183" w:rsidRDefault="00975183" w:rsidP="00442D33">
      <w:pPr>
        <w:pStyle w:val="EndnoteText"/>
      </w:pPr>
      <w:r w:rsidRPr="004A0397">
        <w:rPr>
          <w:rStyle w:val="FootnoteReference"/>
        </w:rPr>
        <w:endnoteRef/>
      </w:r>
      <w:r w:rsidRPr="004A0397">
        <w:t xml:space="preserve"> </w:t>
      </w:r>
      <w:r w:rsidRPr="004A0397">
        <w:rPr>
          <w:lang w:val="en-US"/>
        </w:rPr>
        <w:t>Dan. 8:14.</w:t>
      </w:r>
    </w:p>
  </w:endnote>
  <w:endnote w:id="376">
    <w:p w:rsidR="00975183" w:rsidRDefault="00975183" w:rsidP="00442D33">
      <w:pPr>
        <w:pStyle w:val="EndnoteText"/>
      </w:pPr>
      <w:r w:rsidRPr="004A0397">
        <w:rPr>
          <w:rStyle w:val="FootnoteReference"/>
        </w:rPr>
        <w:endnoteRef/>
      </w:r>
      <w:r w:rsidRPr="004A0397">
        <w:t xml:space="preserve"> </w:t>
      </w:r>
      <w:r w:rsidRPr="004A0397">
        <w:rPr>
          <w:lang w:val="en-US"/>
        </w:rPr>
        <w:t>Dan. 12:11, 12.</w:t>
      </w:r>
    </w:p>
  </w:endnote>
  <w:endnote w:id="377">
    <w:p w:rsidR="00975183" w:rsidRDefault="00975183" w:rsidP="00442D33">
      <w:pPr>
        <w:pStyle w:val="EndnoteText"/>
      </w:pPr>
      <w:r w:rsidRPr="004A0397">
        <w:rPr>
          <w:rStyle w:val="FootnoteReference"/>
        </w:rPr>
        <w:endnoteRef/>
      </w:r>
      <w:r w:rsidRPr="004A0397">
        <w:t xml:space="preserve"> </w:t>
      </w:r>
      <w:r w:rsidRPr="004A0397">
        <w:rPr>
          <w:lang w:val="en-US"/>
        </w:rPr>
        <w:t>Rev. 11:2, 13:5.</w:t>
      </w:r>
    </w:p>
  </w:endnote>
  <w:endnote w:id="378">
    <w:p w:rsidR="00975183" w:rsidRDefault="00975183" w:rsidP="00442D33">
      <w:pPr>
        <w:pStyle w:val="EndnoteText"/>
      </w:pPr>
      <w:r w:rsidRPr="004A0397">
        <w:rPr>
          <w:rStyle w:val="FootnoteReference"/>
        </w:rPr>
        <w:endnoteRef/>
      </w:r>
      <w:r w:rsidRPr="004A0397">
        <w:t xml:space="preserve"> Lockhart, </w:t>
      </w:r>
      <w:r w:rsidRPr="004A0397">
        <w:rPr>
          <w:i/>
        </w:rPr>
        <w:t>Principles of Interpretation</w:t>
      </w:r>
      <w:r w:rsidRPr="004A0397">
        <w:t>, pp. 211, 214-5.</w:t>
      </w:r>
    </w:p>
  </w:endnote>
  <w:endnote w:id="379">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249.</w:t>
      </w:r>
    </w:p>
  </w:endnote>
  <w:endnote w:id="380">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91-2.</w:t>
      </w:r>
    </w:p>
  </w:endnote>
  <w:endnote w:id="381">
    <w:p w:rsidR="00975183" w:rsidRDefault="00975183" w:rsidP="00442D33">
      <w:pPr>
        <w:pStyle w:val="EndnoteText"/>
      </w:pPr>
      <w:r w:rsidRPr="004A0397">
        <w:rPr>
          <w:rStyle w:val="FootnoteReference"/>
        </w:rPr>
        <w:endnoteRef/>
      </w:r>
      <w:r w:rsidRPr="004A0397">
        <w:t xml:space="preserve"> </w:t>
      </w:r>
      <w:r w:rsidRPr="004A0397">
        <w:rPr>
          <w:lang w:val="en-US"/>
        </w:rPr>
        <w:t>Jer. 31:15; Mt. 2:18.</w:t>
      </w:r>
    </w:p>
  </w:endnote>
  <w:endnote w:id="382">
    <w:p w:rsidR="00975183" w:rsidRDefault="00975183" w:rsidP="00442D33">
      <w:pPr>
        <w:pStyle w:val="EndnoteText"/>
      </w:pPr>
      <w:r w:rsidRPr="004A0397">
        <w:rPr>
          <w:rStyle w:val="FootnoteReference"/>
        </w:rPr>
        <w:endnoteRef/>
      </w:r>
      <w:r w:rsidRPr="004A0397">
        <w:t xml:space="preserve"> Feinberg, </w:t>
      </w:r>
      <w:r w:rsidRPr="004A0397">
        <w:rPr>
          <w:i/>
        </w:rPr>
        <w:t>Millennialism</w:t>
      </w:r>
      <w:r w:rsidRPr="004A0397">
        <w:t>, p. 40.</w:t>
      </w:r>
    </w:p>
  </w:endnote>
  <w:endnote w:id="383">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92.</w:t>
      </w:r>
    </w:p>
  </w:endnote>
  <w:endnote w:id="384">
    <w:p w:rsidR="00975183" w:rsidRDefault="00975183" w:rsidP="00442D33">
      <w:pPr>
        <w:pStyle w:val="EndnoteText"/>
      </w:pPr>
      <w:r w:rsidRPr="004A0397">
        <w:rPr>
          <w:rStyle w:val="FootnoteReference"/>
        </w:rPr>
        <w:endnoteRef/>
      </w:r>
      <w:r w:rsidRPr="004A0397">
        <w:t xml:space="preserve"> David L. Baker, ‘Typology and the Christian Use of the Old Testament’, </w:t>
      </w:r>
      <w:r w:rsidRPr="004A0397">
        <w:rPr>
          <w:i/>
        </w:rPr>
        <w:t>Scottish Journal of Theology</w:t>
      </w:r>
      <w:r w:rsidRPr="004A0397">
        <w:t xml:space="preserve">, Vol. 29, Issue 2, April, 1976, p. 153.   &lt;https://www-cambridge-org.sheffield.idm.oclc.org/core/services/aop-cambridge-core/content/view/3FC16F2E8EAD51FB5863151BC33C5541/S0036930600042563a.pdf/typology_and_the_christian_use_of_the_old_testament.pdf&gt; [accessed 19.9.17].    Baker, ‘Typology and Christian Use of Old Testament’, </w:t>
      </w:r>
    </w:p>
    <w:p w:rsidR="00975183" w:rsidRDefault="00975183" w:rsidP="00442D33">
      <w:pPr>
        <w:pStyle w:val="EndnoteText"/>
      </w:pPr>
      <w:proofErr w:type="gramStart"/>
      <w:r w:rsidRPr="004A0397">
        <w:t>p. 153.</w:t>
      </w:r>
      <w:proofErr w:type="gramEnd"/>
    </w:p>
  </w:endnote>
  <w:endnote w:id="385">
    <w:p w:rsidR="00975183" w:rsidRDefault="00975183" w:rsidP="00442D33">
      <w:pPr>
        <w:pStyle w:val="EndnoteText"/>
      </w:pPr>
      <w:r w:rsidRPr="004A0397">
        <w:rPr>
          <w:rStyle w:val="FootnoteReference"/>
        </w:rPr>
        <w:endnoteRef/>
      </w:r>
      <w:r w:rsidRPr="004A0397">
        <w:t xml:space="preserve"> Donald K. Campbell, ‘The Interpretation of Types’, </w:t>
      </w:r>
      <w:r w:rsidRPr="004A0397">
        <w:rPr>
          <w:i/>
        </w:rPr>
        <w:t>Bibliotheca Sacra</w:t>
      </w:r>
      <w:r w:rsidRPr="004A0397">
        <w:t>, CXII, No 447, July 1955, p. 250.</w:t>
      </w:r>
    </w:p>
  </w:endnote>
  <w:endnote w:id="386">
    <w:p w:rsidR="00975183" w:rsidRDefault="00975183" w:rsidP="00442D33">
      <w:pPr>
        <w:pStyle w:val="EndnoteText"/>
      </w:pPr>
      <w:r w:rsidRPr="004A0397">
        <w:rPr>
          <w:rStyle w:val="FootnoteReference"/>
        </w:rPr>
        <w:endnoteRef/>
      </w:r>
      <w:r w:rsidRPr="004A0397">
        <w:t xml:space="preserve"> Baker, ‘Typology and the Christian Use of the Old Testament’, p. 152.</w:t>
      </w:r>
    </w:p>
  </w:endnote>
  <w:endnote w:id="387">
    <w:p w:rsidR="00975183" w:rsidRDefault="00975183" w:rsidP="00442D33">
      <w:pPr>
        <w:pStyle w:val="EndnoteText"/>
      </w:pPr>
      <w:r w:rsidRPr="004A0397">
        <w:rPr>
          <w:rStyle w:val="FootnoteReference"/>
        </w:rPr>
        <w:endnoteRef/>
      </w:r>
      <w:r w:rsidRPr="004A0397">
        <w:t xml:space="preserve"> John S. Feinberg, ‘Systems of Discontinuity’ in John S. Feinberg (ed.) </w:t>
      </w:r>
      <w:r w:rsidRPr="004A0397">
        <w:rPr>
          <w:i/>
        </w:rPr>
        <w:t>Continuity and Discontinuity</w:t>
      </w:r>
      <w:r>
        <w:rPr>
          <w:i/>
        </w:rPr>
        <w:t>.</w:t>
      </w:r>
    </w:p>
  </w:endnote>
  <w:endnote w:id="388">
    <w:p w:rsidR="00975183" w:rsidRDefault="00975183" w:rsidP="00442D33">
      <w:pPr>
        <w:pStyle w:val="EndnoteText"/>
      </w:pPr>
      <w:r w:rsidRPr="004A0397">
        <w:rPr>
          <w:rStyle w:val="FootnoteReference"/>
        </w:rPr>
        <w:endnoteRef/>
      </w:r>
      <w:r w:rsidRPr="004A0397">
        <w:t xml:space="preserve"> </w:t>
      </w:r>
      <w:r w:rsidRPr="004A0397">
        <w:rPr>
          <w:i/>
        </w:rPr>
        <w:t>SRB</w:t>
      </w:r>
      <w:r w:rsidRPr="004A0397">
        <w:t xml:space="preserve"> note on Lev. 16:6, p. 148.  </w:t>
      </w:r>
      <w:r w:rsidRPr="00635307">
        <w:rPr>
          <w:b/>
        </w:rPr>
        <w:t>See Leviticus table in 2.3.1, a), i).</w:t>
      </w:r>
    </w:p>
  </w:endnote>
  <w:endnote w:id="389">
    <w:p w:rsidR="00975183" w:rsidRDefault="00975183" w:rsidP="00442D33">
      <w:pPr>
        <w:pStyle w:val="EndnoteText"/>
      </w:pPr>
      <w:r w:rsidRPr="004A0397">
        <w:rPr>
          <w:rStyle w:val="FootnoteReference"/>
        </w:rPr>
        <w:endnoteRef/>
      </w:r>
      <w:r w:rsidRPr="004A0397">
        <w:t xml:space="preserve"> Campbell, ‘Interpretation of Types’, p. 254.</w:t>
      </w:r>
    </w:p>
  </w:endnote>
  <w:endnote w:id="390">
    <w:p w:rsidR="00975183" w:rsidRDefault="00975183" w:rsidP="00442D33">
      <w:pPr>
        <w:pStyle w:val="EndnoteText"/>
      </w:pPr>
      <w:r w:rsidRPr="004A0397">
        <w:rPr>
          <w:rStyle w:val="FootnoteReference"/>
        </w:rPr>
        <w:endnoteRef/>
      </w:r>
      <w:r w:rsidRPr="004A0397">
        <w:t xml:space="preserve"> Feinberg, ‘Systems of Discontinuity’.</w:t>
      </w:r>
    </w:p>
  </w:endnote>
  <w:endnote w:id="391">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pp. 168-9.</w:t>
      </w:r>
    </w:p>
  </w:endnote>
  <w:endnote w:id="392">
    <w:p w:rsidR="00975183" w:rsidRDefault="00975183" w:rsidP="00442D33">
      <w:pPr>
        <w:pStyle w:val="EndnoteText"/>
      </w:pPr>
      <w:r w:rsidRPr="004A0397">
        <w:rPr>
          <w:rStyle w:val="FootnoteReference"/>
        </w:rPr>
        <w:endnoteRef/>
      </w:r>
      <w:r w:rsidRPr="004A0397">
        <w:t xml:space="preserve"> Ryrie, </w:t>
      </w:r>
      <w:r w:rsidRPr="004A0397">
        <w:rPr>
          <w:i/>
        </w:rPr>
        <w:t>Basis of Premillennial Faith</w:t>
      </w:r>
      <w:r w:rsidRPr="004A0397">
        <w:t>, p. 43.</w:t>
      </w:r>
    </w:p>
  </w:endnote>
  <w:endnote w:id="393">
    <w:p w:rsidR="00975183" w:rsidRDefault="00975183" w:rsidP="00442D33">
      <w:pPr>
        <w:pStyle w:val="EndnoteText"/>
      </w:pPr>
      <w:r w:rsidRPr="004A0397">
        <w:rPr>
          <w:rStyle w:val="FootnoteReference"/>
        </w:rPr>
        <w:endnoteRef/>
      </w:r>
      <w:r w:rsidRPr="004A0397">
        <w:t xml:space="preserve"> Baker, ‘Typology and the Christian Use of the Old Testament’, p. 149.</w:t>
      </w:r>
    </w:p>
  </w:endnote>
  <w:endnote w:id="394">
    <w:p w:rsidR="00975183" w:rsidRPr="004A0397" w:rsidRDefault="00975183" w:rsidP="00442D33">
      <w:pPr>
        <w:pStyle w:val="FootnoteText"/>
        <w:rPr>
          <w:rFonts w:ascii="Perpetua" w:hAnsi="Perpetua"/>
        </w:rPr>
      </w:pPr>
      <w:r w:rsidRPr="0026092F">
        <w:rPr>
          <w:rStyle w:val="FootnoteReference"/>
          <w:rFonts w:ascii="Perpetua" w:hAnsi="Perpetua"/>
        </w:rPr>
        <w:endnoteRef/>
      </w:r>
      <w:r w:rsidRPr="0026092F">
        <w:rPr>
          <w:rFonts w:ascii="Perpetua" w:hAnsi="Perpetua"/>
        </w:rPr>
        <w:t xml:space="preserve"> This is a paraphrase, quoted, for example, by Ramm (</w:t>
      </w:r>
      <w:r w:rsidRPr="0026092F">
        <w:rPr>
          <w:rFonts w:ascii="Perpetua" w:hAnsi="Perpetua"/>
          <w:i/>
        </w:rPr>
        <w:t>Protestant Biblical Interpretation</w:t>
      </w:r>
      <w:r w:rsidRPr="0026092F">
        <w:rPr>
          <w:rFonts w:ascii="Perpetua" w:hAnsi="Perpetua"/>
        </w:rPr>
        <w:t>, p. 219), Campbell</w:t>
      </w:r>
      <w:r w:rsidRPr="004A0397">
        <w:rPr>
          <w:rFonts w:ascii="Perpetua" w:hAnsi="Perpetua"/>
        </w:rPr>
        <w:t xml:space="preserve"> (‘Interpretation of Types’, p. 252) and Tan (</w:t>
      </w:r>
      <w:r w:rsidRPr="004A0397">
        <w:rPr>
          <w:rFonts w:ascii="Perpetua" w:hAnsi="Perpetua"/>
          <w:i/>
        </w:rPr>
        <w:t>Interpretation of Prophecy</w:t>
      </w:r>
      <w:r w:rsidRPr="004A0397">
        <w:rPr>
          <w:rFonts w:ascii="Perpetua" w:hAnsi="Perpetua"/>
        </w:rPr>
        <w:t xml:space="preserve">, p. 170), of a three page passage in </w:t>
      </w:r>
      <w:r w:rsidRPr="004A0397">
        <w:rPr>
          <w:rFonts w:ascii="Perpetua" w:hAnsi="Perpetua"/>
          <w:i/>
        </w:rPr>
        <w:t>Lectures on the Criticism and Interpretation of the Bible</w:t>
      </w:r>
      <w:r w:rsidRPr="004A0397">
        <w:rPr>
          <w:rFonts w:ascii="Perpetua" w:hAnsi="Perpetua"/>
        </w:rPr>
        <w:t xml:space="preserve"> by Bishop Herbert Marsh (1757-1839).  Marsh stated that to qualify as a type, something more than resemblance is required; ‘it must have been designed [in its original situation] as something preparatory to the latter [situation]’.  Both type and antitype must have been preordained.  Only people or objects from the Old Testament ‘expressly declared by Christ or by His apostles, to have been designed as pre-figurations of persons or things relating to the New Testament, so recorded in the former, are types of the persons or things, with which they are compared in the latter’.  ‘…where no such pre-figuration has been declared by divine </w:t>
      </w:r>
      <w:proofErr w:type="gramStart"/>
      <w:r w:rsidRPr="00367CE2">
        <w:rPr>
          <w:rFonts w:ascii="Perpetua" w:hAnsi="Perpetua"/>
          <w:szCs w:val="24"/>
        </w:rPr>
        <w:t>authority, …</w:t>
      </w:r>
      <w:proofErr w:type="gramEnd"/>
      <w:r w:rsidRPr="00367CE2">
        <w:rPr>
          <w:rFonts w:ascii="Perpetua" w:hAnsi="Perpetua"/>
          <w:szCs w:val="24"/>
        </w:rPr>
        <w:t xml:space="preserve"> we neither have, nor can have, the slightest foundation.’  ‘Even when comparisons are instituted in the New Testament … we </w:t>
      </w:r>
      <w:r w:rsidRPr="004A0397">
        <w:rPr>
          <w:rFonts w:ascii="Perpetua" w:hAnsi="Perpetua"/>
        </w:rPr>
        <w:t xml:space="preserve">must be careful to distinguish the examples where a comparison is instituted merely for the sake of illustration, from the examples, where such a connexion is declared, as exists in the relation of a type to its antitype.’  </w:t>
      </w:r>
    </w:p>
    <w:p w:rsidR="00975183" w:rsidRDefault="00975183" w:rsidP="00442D33">
      <w:pPr>
        <w:pStyle w:val="EndnoteText"/>
      </w:pPr>
      <w:r w:rsidRPr="004A0397">
        <w:t xml:space="preserve">Herbert Marsh, </w:t>
      </w:r>
      <w:r w:rsidRPr="004A0397">
        <w:rPr>
          <w:i/>
        </w:rPr>
        <w:t>Lectures on the Criticism and Interpretation of the Bible, with Two Preliminary Lectures on Theological Study and Theological Arrangement; to which are added Two Lectures on the History of Biblical Interpretation</w:t>
      </w:r>
      <w:r w:rsidRPr="004A0397">
        <w:t xml:space="preserve"> (London: J.G.F</w:t>
      </w:r>
      <w:proofErr w:type="gramStart"/>
      <w:r w:rsidRPr="004A0397">
        <w:t>.&amp;</w:t>
      </w:r>
      <w:proofErr w:type="gramEnd"/>
      <w:r w:rsidRPr="004A0397">
        <w:t xml:space="preserve"> J. Rivington, 1842), pp. 371-3 &lt;https://archive.org/details/lecturesonthebib00marsuoft&gt; [accessed 18.9.17].</w:t>
      </w:r>
    </w:p>
  </w:endnote>
  <w:endnote w:id="395">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219.</w:t>
      </w:r>
    </w:p>
  </w:endnote>
  <w:endnote w:id="396">
    <w:p w:rsidR="00975183" w:rsidRDefault="00975183" w:rsidP="00442D33">
      <w:pPr>
        <w:pStyle w:val="EndnoteText"/>
      </w:pPr>
      <w:r w:rsidRPr="00CA635E">
        <w:rPr>
          <w:rStyle w:val="FootnoteReference"/>
        </w:rPr>
        <w:endnoteRef/>
      </w:r>
      <w:r w:rsidRPr="00CA635E">
        <w:t xml:space="preserve"> </w:t>
      </w:r>
      <w:r w:rsidRPr="00635307">
        <w:rPr>
          <w:b/>
        </w:rPr>
        <w:t>See 2.3.</w:t>
      </w:r>
    </w:p>
  </w:endnote>
  <w:endnote w:id="397">
    <w:p w:rsidR="00975183" w:rsidRDefault="00975183" w:rsidP="00442D33">
      <w:pPr>
        <w:pStyle w:val="EndnoteText"/>
      </w:pPr>
      <w:r w:rsidRPr="004A0397">
        <w:rPr>
          <w:rStyle w:val="FootnoteReference"/>
        </w:rPr>
        <w:endnoteRef/>
      </w:r>
      <w:r w:rsidRPr="004A0397">
        <w:t xml:space="preserve"> Campbell, ‘Interpretation of Types’, p. 249.</w:t>
      </w:r>
    </w:p>
  </w:endnote>
  <w:endnote w:id="398">
    <w:p w:rsidR="00975183" w:rsidRDefault="00975183" w:rsidP="00442D33">
      <w:pPr>
        <w:pStyle w:val="EndnoteText"/>
      </w:pPr>
      <w:r w:rsidRPr="004A0397">
        <w:rPr>
          <w:rStyle w:val="FootnoteReference"/>
        </w:rPr>
        <w:endnoteRef/>
      </w:r>
      <w:r w:rsidRPr="004A0397">
        <w:t xml:space="preserve"> Milton S. Terry, </w:t>
      </w:r>
      <w:r w:rsidRPr="004A0397">
        <w:rPr>
          <w:i/>
        </w:rPr>
        <w:t>Biblical Hermeneutics: A Treatise on the Interpretation of the Old and New Testaments</w:t>
      </w:r>
      <w:r w:rsidRPr="004A0397">
        <w:t xml:space="preserve"> (New York: Eaton &amp; Mains, 1890),</w:t>
      </w:r>
      <w:r w:rsidRPr="004A0397">
        <w:rPr>
          <w:i/>
        </w:rPr>
        <w:t xml:space="preserve"> </w:t>
      </w:r>
      <w:r w:rsidRPr="004A0397">
        <w:t>p. 255.</w:t>
      </w:r>
    </w:p>
  </w:endnote>
  <w:endnote w:id="399">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171.</w:t>
      </w:r>
    </w:p>
  </w:endnote>
  <w:endnote w:id="400">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221.</w:t>
      </w:r>
    </w:p>
  </w:endnote>
  <w:endnote w:id="401">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pp. 229-30.</w:t>
      </w:r>
    </w:p>
  </w:endnote>
  <w:endnote w:id="402">
    <w:p w:rsidR="00975183" w:rsidRDefault="00975183" w:rsidP="00442D33">
      <w:pPr>
        <w:pStyle w:val="EndnoteText"/>
      </w:pPr>
      <w:r w:rsidRPr="00635307">
        <w:rPr>
          <w:rStyle w:val="FootnoteReference"/>
        </w:rPr>
        <w:endnoteRef/>
      </w:r>
      <w:r w:rsidRPr="00635307">
        <w:t xml:space="preserve"> </w:t>
      </w:r>
      <w:r w:rsidRPr="00635307">
        <w:rPr>
          <w:b/>
        </w:rPr>
        <w:t>See 2.3</w:t>
      </w:r>
      <w:r w:rsidRPr="00635307">
        <w:t>.</w:t>
      </w:r>
    </w:p>
  </w:endnote>
  <w:endnote w:id="403">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231.</w:t>
      </w:r>
    </w:p>
  </w:endnote>
  <w:endnote w:id="404">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249.</w:t>
      </w:r>
    </w:p>
  </w:endnote>
  <w:endnote w:id="405">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168.</w:t>
      </w:r>
    </w:p>
  </w:endnote>
  <w:endnote w:id="406">
    <w:p w:rsidR="00975183" w:rsidRDefault="00975183" w:rsidP="00442D33">
      <w:pPr>
        <w:pStyle w:val="EndnoteText"/>
      </w:pPr>
      <w:r w:rsidRPr="004A0397">
        <w:rPr>
          <w:rStyle w:val="FootnoteReference"/>
        </w:rPr>
        <w:endnoteRef/>
      </w:r>
      <w:r w:rsidRPr="004A0397">
        <w:t xml:space="preserve"> Tan, </w:t>
      </w:r>
      <w:r w:rsidRPr="004A0397">
        <w:rPr>
          <w:i/>
        </w:rPr>
        <w:t>Interpretation of Prophecy</w:t>
      </w:r>
      <w:r w:rsidRPr="004A0397">
        <w:t>, p. 168.</w:t>
      </w:r>
    </w:p>
  </w:endnote>
  <w:endnote w:id="407">
    <w:p w:rsidR="00975183" w:rsidRDefault="00975183" w:rsidP="00442D33">
      <w:pPr>
        <w:pStyle w:val="EndnoteText"/>
      </w:pPr>
      <w:r w:rsidRPr="004A0397">
        <w:rPr>
          <w:rStyle w:val="FootnoteReference"/>
        </w:rPr>
        <w:endnoteRef/>
      </w:r>
      <w:r w:rsidRPr="004A0397">
        <w:t xml:space="preserve"> Baker, ‘Typology and the Christian Use of the Old Testament’, p. 149.  </w:t>
      </w:r>
      <w:proofErr w:type="gramStart"/>
      <w:r w:rsidRPr="004A0397">
        <w:t>(</w:t>
      </w:r>
      <w:r w:rsidRPr="004A0397">
        <w:rPr>
          <w:i/>
        </w:rPr>
        <w:t>Baker’s emphases</w:t>
      </w:r>
      <w:r w:rsidRPr="004A0397">
        <w:t>.)</w:t>
      </w:r>
      <w:proofErr w:type="gramEnd"/>
    </w:p>
  </w:endnote>
  <w:endnote w:id="408">
    <w:p w:rsidR="00975183" w:rsidRDefault="00975183" w:rsidP="00442D33">
      <w:pPr>
        <w:pStyle w:val="EndnoteText"/>
      </w:pPr>
      <w:r w:rsidRPr="004A0397">
        <w:rPr>
          <w:rStyle w:val="FootnoteReference"/>
        </w:rPr>
        <w:endnoteRef/>
      </w:r>
      <w:r w:rsidRPr="004A0397">
        <w:t xml:space="preserve"> Baker, ‘Typology and the Christian Use of the Old Testament’, pp. 149-50.</w:t>
      </w:r>
    </w:p>
  </w:endnote>
  <w:endnote w:id="409">
    <w:p w:rsidR="00975183" w:rsidRDefault="00975183" w:rsidP="00442D33">
      <w:pPr>
        <w:pStyle w:val="EndnoteText"/>
      </w:pPr>
      <w:r w:rsidRPr="004A0397">
        <w:rPr>
          <w:rStyle w:val="FootnoteReference"/>
        </w:rPr>
        <w:endnoteRef/>
      </w:r>
      <w:r w:rsidRPr="004A0397">
        <w:t xml:space="preserve"> Terry, </w:t>
      </w:r>
      <w:r w:rsidRPr="004A0397">
        <w:rPr>
          <w:i/>
        </w:rPr>
        <w:t>Biblical Hermeneutics</w:t>
      </w:r>
      <w:r w:rsidRPr="004A0397">
        <w:t>, p. 244.</w:t>
      </w:r>
    </w:p>
  </w:endnote>
  <w:endnote w:id="410">
    <w:p w:rsidR="00975183" w:rsidRDefault="00975183" w:rsidP="00442D33">
      <w:pPr>
        <w:pStyle w:val="EndnoteText"/>
      </w:pPr>
      <w:r w:rsidRPr="004A0397">
        <w:rPr>
          <w:rStyle w:val="FootnoteReference"/>
        </w:rPr>
        <w:endnoteRef/>
      </w:r>
      <w:r w:rsidRPr="004A0397">
        <w:t xml:space="preserve"> Terry, </w:t>
      </w:r>
      <w:r w:rsidRPr="004A0397">
        <w:rPr>
          <w:i/>
        </w:rPr>
        <w:t xml:space="preserve">Biblical Hermeneutics, </w:t>
      </w:r>
      <w:r w:rsidRPr="004A0397">
        <w:t>p. 246.</w:t>
      </w:r>
    </w:p>
  </w:endnote>
  <w:endnote w:id="411">
    <w:p w:rsidR="00975183" w:rsidRDefault="00975183" w:rsidP="00442D33">
      <w:pPr>
        <w:pStyle w:val="EndnoteText"/>
      </w:pPr>
      <w:r w:rsidRPr="004A0397">
        <w:rPr>
          <w:rStyle w:val="FootnoteReference"/>
        </w:rPr>
        <w:endnoteRef/>
      </w:r>
      <w:r w:rsidRPr="004A0397">
        <w:t xml:space="preserve"> Campbell, ‘The Interpretation of Types’, p. 250.</w:t>
      </w:r>
    </w:p>
  </w:endnote>
  <w:endnote w:id="412">
    <w:p w:rsidR="00975183" w:rsidRDefault="00975183" w:rsidP="00442D33">
      <w:pPr>
        <w:pStyle w:val="EndnoteText"/>
      </w:pPr>
      <w:r w:rsidRPr="004A0397">
        <w:rPr>
          <w:rStyle w:val="FootnoteReference"/>
        </w:rPr>
        <w:endnoteRef/>
      </w:r>
      <w:r w:rsidRPr="004A0397">
        <w:t xml:space="preserve"> Williams, </w:t>
      </w:r>
      <w:r w:rsidRPr="004A0397">
        <w:rPr>
          <w:i/>
        </w:rPr>
        <w:t>This World is Not My Home</w:t>
      </w:r>
      <w:r w:rsidRPr="004A0397">
        <w:t>, p. 218.</w:t>
      </w:r>
    </w:p>
  </w:endnote>
  <w:endnote w:id="413">
    <w:p w:rsidR="00975183" w:rsidRDefault="00975183" w:rsidP="00442D33">
      <w:pPr>
        <w:pStyle w:val="EndnoteText"/>
      </w:pPr>
      <w:r w:rsidRPr="004A0397">
        <w:rPr>
          <w:rStyle w:val="FootnoteReference"/>
        </w:rPr>
        <w:endnoteRef/>
      </w:r>
      <w:r w:rsidRPr="004A0397">
        <w:t xml:space="preserve"> Blaising, ‘Extent and Varieties of Dispensationalism’, </w:t>
      </w:r>
      <w:r w:rsidRPr="004A0397">
        <w:rPr>
          <w:i/>
        </w:rPr>
        <w:t>Progressive Dispensationalism</w:t>
      </w:r>
      <w:r w:rsidRPr="004A0397">
        <w:t>, p. 52.</w:t>
      </w:r>
    </w:p>
  </w:endnote>
  <w:endnote w:id="414">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223.</w:t>
      </w:r>
    </w:p>
  </w:endnote>
  <w:endnote w:id="415">
    <w:p w:rsidR="00975183" w:rsidRDefault="00975183" w:rsidP="00442D33">
      <w:pPr>
        <w:pStyle w:val="EndnoteText"/>
      </w:pPr>
      <w:r w:rsidRPr="004A0397">
        <w:rPr>
          <w:rStyle w:val="FootnoteReference"/>
        </w:rPr>
        <w:endnoteRef/>
      </w:r>
      <w:r w:rsidRPr="004A0397">
        <w:t xml:space="preserve"> Campbell, ‘The Interpretation of Types’, pp. 250-251.</w:t>
      </w:r>
    </w:p>
  </w:endnote>
  <w:endnote w:id="416">
    <w:p w:rsidR="00975183" w:rsidRDefault="00975183" w:rsidP="00442D33">
      <w:pPr>
        <w:pStyle w:val="EndnoteText"/>
      </w:pPr>
      <w:r w:rsidRPr="004A0397">
        <w:rPr>
          <w:rStyle w:val="FootnoteReference"/>
        </w:rPr>
        <w:endnoteRef/>
      </w:r>
      <w:r w:rsidRPr="004A0397">
        <w:t xml:space="preserve"> Ramm, </w:t>
      </w:r>
      <w:r w:rsidRPr="004A0397">
        <w:rPr>
          <w:i/>
        </w:rPr>
        <w:t>Protestant Bible Interpretation</w:t>
      </w:r>
      <w:r w:rsidRPr="004A0397">
        <w:t>, p. 222.</w:t>
      </w:r>
    </w:p>
  </w:endnote>
  <w:endnote w:id="417">
    <w:p w:rsidR="00975183" w:rsidRDefault="00975183" w:rsidP="00442D33">
      <w:pPr>
        <w:pStyle w:val="EndnoteText"/>
      </w:pPr>
      <w:r w:rsidRPr="006F49AF">
        <w:rPr>
          <w:rStyle w:val="EndnoteReference"/>
        </w:rPr>
        <w:endnoteRef/>
      </w:r>
      <w:r w:rsidRPr="006F49AF">
        <w:t xml:space="preserve"> </w:t>
      </w:r>
      <w:r>
        <w:t>Revd S. V. Robinson, ‘</w:t>
      </w:r>
      <w:r w:rsidRPr="006F49AF">
        <w:t>Report of Believers’ Meeting for Bible Study, stenographically reported by Revd S. V. Robinson</w:t>
      </w:r>
      <w:r>
        <w:t>’</w:t>
      </w:r>
      <w:r w:rsidRPr="006F49AF">
        <w:t xml:space="preserve"> (Toronto: Toronto Willard Tract Depository, 1888), p. 13. &lt;https://archive.org/details/cihm_05879&gt; [accessed 12.9.17].</w:t>
      </w:r>
    </w:p>
  </w:endnote>
  <w:endnote w:id="418">
    <w:p w:rsidR="00975183" w:rsidRDefault="00975183" w:rsidP="00442D33">
      <w:pPr>
        <w:pStyle w:val="EndnoteText"/>
      </w:pPr>
      <w:r w:rsidRPr="006F49AF">
        <w:rPr>
          <w:rStyle w:val="FootnoteReference"/>
        </w:rPr>
        <w:endnoteRef/>
      </w:r>
      <w:r w:rsidRPr="006F49AF">
        <w:t xml:space="preserve"> Ramm, </w:t>
      </w:r>
      <w:r w:rsidRPr="006F49AF">
        <w:rPr>
          <w:i/>
        </w:rPr>
        <w:t>Protestant Biblical Interpretation</w:t>
      </w:r>
      <w:r w:rsidRPr="006F49AF">
        <w:t>, p. 93.</w:t>
      </w:r>
    </w:p>
  </w:endnote>
  <w:endnote w:id="419">
    <w:p w:rsidR="00975183" w:rsidRDefault="00975183" w:rsidP="00442D33">
      <w:pPr>
        <w:pStyle w:val="EndnoteText"/>
      </w:pPr>
      <w:r w:rsidRPr="006F49AF">
        <w:rPr>
          <w:rStyle w:val="EndnoteReference"/>
        </w:rPr>
        <w:endnoteRef/>
      </w:r>
      <w:r w:rsidRPr="006F49AF">
        <w:t xml:space="preserve"> </w:t>
      </w:r>
      <w:r w:rsidRPr="006F49AF">
        <w:rPr>
          <w:rStyle w:val="sources"/>
        </w:rPr>
        <w:t xml:space="preserve">Tan, </w:t>
      </w:r>
      <w:r w:rsidRPr="006F49AF">
        <w:rPr>
          <w:rStyle w:val="sources"/>
          <w:i/>
        </w:rPr>
        <w:t>Interpretation of Prophecy</w:t>
      </w:r>
      <w:r w:rsidRPr="006F49AF">
        <w:rPr>
          <w:rStyle w:val="sources"/>
        </w:rPr>
        <w:t>, p. 76.</w:t>
      </w:r>
    </w:p>
  </w:endnote>
  <w:endnote w:id="420">
    <w:p w:rsidR="00975183" w:rsidRDefault="00975183" w:rsidP="00442D33">
      <w:pPr>
        <w:pStyle w:val="EndnoteText"/>
      </w:pPr>
      <w:r w:rsidRPr="006F49AF">
        <w:rPr>
          <w:rStyle w:val="EndnoteReference"/>
        </w:rPr>
        <w:endnoteRef/>
      </w:r>
      <w:r w:rsidRPr="006F49AF">
        <w:t xml:space="preserve"> ‘A Panoramic View of the Bible’, </w:t>
      </w:r>
      <w:r w:rsidRPr="006F49AF">
        <w:rPr>
          <w:i/>
        </w:rPr>
        <w:t>SRB</w:t>
      </w:r>
      <w:r w:rsidRPr="006F49AF">
        <w:t>, pp. v -</w:t>
      </w:r>
      <w:proofErr w:type="gramStart"/>
      <w:r w:rsidRPr="006F49AF">
        <w:t>vi</w:t>
      </w:r>
      <w:proofErr w:type="gramEnd"/>
      <w:r w:rsidRPr="006F49AF">
        <w:t xml:space="preserve">.  </w:t>
      </w:r>
      <w:r w:rsidRPr="00847EEB">
        <w:rPr>
          <w:b/>
        </w:rPr>
        <w:t>See 3.4</w:t>
      </w:r>
      <w:r w:rsidRPr="00847EEB">
        <w:t>.</w:t>
      </w:r>
    </w:p>
  </w:endnote>
  <w:endnote w:id="421">
    <w:p w:rsidR="00975183" w:rsidRPr="006F49AF" w:rsidRDefault="00975183" w:rsidP="00442D33">
      <w:pPr>
        <w:pStyle w:val="EndnoteText"/>
      </w:pPr>
      <w:r w:rsidRPr="006F49AF">
        <w:rPr>
          <w:rStyle w:val="EndnoteReference"/>
        </w:rPr>
        <w:endnoteRef/>
      </w:r>
      <w:r w:rsidRPr="006F49AF">
        <w:t xml:space="preserve"> </w:t>
      </w:r>
      <w:proofErr w:type="gramStart"/>
      <w:r w:rsidRPr="006F49AF">
        <w:t xml:space="preserve">‘A Panoramic View of the Bible’, </w:t>
      </w:r>
      <w:r w:rsidRPr="006F49AF">
        <w:rPr>
          <w:i/>
        </w:rPr>
        <w:t>SRB</w:t>
      </w:r>
      <w:r w:rsidRPr="006F49AF">
        <w:t>, p. v.</w:t>
      </w:r>
      <w:proofErr w:type="gramEnd"/>
    </w:p>
  </w:endnote>
  <w:endnote w:id="422">
    <w:p w:rsidR="00975183" w:rsidRPr="006F49AF" w:rsidRDefault="00975183" w:rsidP="00442D33">
      <w:pPr>
        <w:pStyle w:val="EndnoteText"/>
      </w:pPr>
      <w:r w:rsidRPr="006F49AF">
        <w:rPr>
          <w:rStyle w:val="EndnoteReference"/>
        </w:rPr>
        <w:endnoteRef/>
      </w:r>
      <w:r w:rsidRPr="006F49AF">
        <w:t xml:space="preserve"> ‘Panoramic View’, </w:t>
      </w:r>
      <w:r w:rsidRPr="006F49AF">
        <w:rPr>
          <w:i/>
        </w:rPr>
        <w:t>SRB</w:t>
      </w:r>
      <w:r w:rsidRPr="006F49AF">
        <w:t>, p. v</w:t>
      </w:r>
      <w:r w:rsidRPr="006F49AF">
        <w:rPr>
          <w:lang w:eastAsia="en-GB"/>
        </w:rPr>
        <w:t>.</w:t>
      </w:r>
      <w:r w:rsidRPr="006F49AF">
        <w:t xml:space="preserve">  </w:t>
      </w:r>
    </w:p>
  </w:endnote>
  <w:endnote w:id="423">
    <w:p w:rsidR="00975183" w:rsidRPr="006F49AF" w:rsidRDefault="00975183" w:rsidP="00442D33">
      <w:pPr>
        <w:pStyle w:val="EndnoteText"/>
      </w:pPr>
      <w:r w:rsidRPr="006F49AF">
        <w:rPr>
          <w:rStyle w:val="EndnoteReference"/>
        </w:rPr>
        <w:endnoteRef/>
      </w:r>
      <w:r w:rsidRPr="006F49AF">
        <w:t xml:space="preserve"> ‘Panoramic View’, </w:t>
      </w:r>
      <w:r w:rsidRPr="006F49AF">
        <w:rPr>
          <w:i/>
        </w:rPr>
        <w:t>SRB</w:t>
      </w:r>
      <w:r w:rsidRPr="006F49AF">
        <w:t>, p. v.</w:t>
      </w:r>
    </w:p>
  </w:endnote>
  <w:endnote w:id="424">
    <w:p w:rsidR="00975183" w:rsidRPr="006F49AF" w:rsidRDefault="00975183" w:rsidP="00442D33">
      <w:pPr>
        <w:pStyle w:val="EndnoteText"/>
      </w:pPr>
      <w:r w:rsidRPr="006F49AF">
        <w:rPr>
          <w:rStyle w:val="EndnoteReference"/>
        </w:rPr>
        <w:endnoteRef/>
      </w:r>
      <w:r w:rsidRPr="006F49AF">
        <w:t xml:space="preserve"> Ramm, </w:t>
      </w:r>
      <w:r w:rsidRPr="006F49AF">
        <w:rPr>
          <w:i/>
        </w:rPr>
        <w:t>Protestant Biblical Interpretation</w:t>
      </w:r>
      <w:r w:rsidRPr="006F49AF">
        <w:t>, p. 107.</w:t>
      </w:r>
    </w:p>
  </w:endnote>
  <w:endnote w:id="425">
    <w:p w:rsidR="00975183" w:rsidRDefault="00975183" w:rsidP="00442D33">
      <w:pPr>
        <w:pStyle w:val="EndnoteText"/>
      </w:pPr>
      <w:r w:rsidRPr="006F49AF">
        <w:rPr>
          <w:rStyle w:val="EndnoteReference"/>
        </w:rPr>
        <w:endnoteRef/>
      </w:r>
      <w:r w:rsidRPr="006F49AF">
        <w:t xml:space="preserve"> Bock, ‘How Texts Speak to Us’ </w:t>
      </w:r>
      <w:r w:rsidRPr="006F49AF">
        <w:rPr>
          <w:i/>
        </w:rPr>
        <w:t>Progressive Dispensationalism</w:t>
      </w:r>
      <w:r w:rsidRPr="006F49AF">
        <w:t>, p. 73</w:t>
      </w:r>
      <w:r>
        <w:t>.</w:t>
      </w:r>
    </w:p>
  </w:endnote>
  <w:endnote w:id="426">
    <w:p w:rsidR="00975183" w:rsidRDefault="00975183" w:rsidP="00442D33">
      <w:pPr>
        <w:pStyle w:val="EndnoteText"/>
      </w:pPr>
      <w:r w:rsidRPr="005A4949">
        <w:rPr>
          <w:rStyle w:val="FootnoteReference"/>
        </w:rPr>
        <w:endnoteRef/>
      </w:r>
      <w:r w:rsidRPr="005A4949">
        <w:t xml:space="preserve"> </w:t>
      </w:r>
      <w:r w:rsidRPr="005A4949">
        <w:rPr>
          <w:rStyle w:val="sources"/>
        </w:rPr>
        <w:t xml:space="preserve">Tan, </w:t>
      </w:r>
      <w:r w:rsidRPr="005A4949">
        <w:rPr>
          <w:rStyle w:val="sources"/>
          <w:i/>
        </w:rPr>
        <w:t>Interpretation of Prophecy</w:t>
      </w:r>
      <w:r w:rsidRPr="005A4949">
        <w:rPr>
          <w:rStyle w:val="sources"/>
        </w:rPr>
        <w:t>, pp. 109-110.</w:t>
      </w:r>
    </w:p>
  </w:endnote>
  <w:endnote w:id="427">
    <w:p w:rsidR="00975183" w:rsidRDefault="00975183" w:rsidP="00442D33">
      <w:pPr>
        <w:pStyle w:val="EndnoteText"/>
      </w:pPr>
      <w:r w:rsidRPr="005A4949">
        <w:rPr>
          <w:rStyle w:val="FootnoteReference"/>
        </w:rPr>
        <w:endnoteRef/>
      </w:r>
      <w:r w:rsidRPr="005A4949">
        <w:t xml:space="preserve"> </w:t>
      </w:r>
      <w:proofErr w:type="gramStart"/>
      <w:r w:rsidRPr="005A4949">
        <w:t>Allis, ‘</w:t>
      </w:r>
      <w:r w:rsidRPr="005A4949">
        <w:rPr>
          <w:bCs/>
          <w:lang w:eastAsia="en-GB"/>
        </w:rPr>
        <w:t xml:space="preserve">Modern Dispensationalism </w:t>
      </w:r>
      <w:r>
        <w:rPr>
          <w:bCs/>
          <w:lang w:eastAsia="en-GB"/>
        </w:rPr>
        <w:t xml:space="preserve">&amp; Doctrine of </w:t>
      </w:r>
      <w:r w:rsidRPr="005A4949">
        <w:rPr>
          <w:bCs/>
          <w:lang w:eastAsia="en-GB"/>
        </w:rPr>
        <w:t>Unity of Scripture’</w:t>
      </w:r>
      <w:r>
        <w:rPr>
          <w:bCs/>
          <w:lang w:eastAsia="en-GB"/>
        </w:rPr>
        <w:t xml:space="preserve">, </w:t>
      </w:r>
      <w:r w:rsidRPr="005A4949">
        <w:rPr>
          <w:bCs/>
          <w:lang w:eastAsia="en-GB"/>
        </w:rPr>
        <w:t>p. 1.</w:t>
      </w:r>
      <w:proofErr w:type="gramEnd"/>
    </w:p>
  </w:endnote>
  <w:endnote w:id="428">
    <w:p w:rsidR="00975183" w:rsidRPr="007502A1" w:rsidRDefault="00975183" w:rsidP="00442D33">
      <w:pPr>
        <w:pStyle w:val="EndnoteText"/>
      </w:pPr>
      <w:r w:rsidRPr="005A4949">
        <w:rPr>
          <w:rStyle w:val="FootnoteReference"/>
        </w:rPr>
        <w:endnoteRef/>
      </w:r>
      <w:r w:rsidRPr="005A4949">
        <w:t xml:space="preserve"> </w:t>
      </w:r>
      <w:proofErr w:type="gramStart"/>
      <w:r w:rsidRPr="007502A1">
        <w:rPr>
          <w:i/>
        </w:rPr>
        <w:t>SRB</w:t>
      </w:r>
      <w:r>
        <w:t xml:space="preserve"> note on Rev. </w:t>
      </w:r>
      <w:r w:rsidRPr="007502A1">
        <w:t>22:19, p. 1353.</w:t>
      </w:r>
      <w:proofErr w:type="gramEnd"/>
      <w:r w:rsidRPr="007502A1">
        <w:t xml:space="preserve">  Ref. 1 Cor. 2:7-15.</w:t>
      </w:r>
    </w:p>
  </w:endnote>
  <w:endnote w:id="429">
    <w:p w:rsidR="00975183" w:rsidRDefault="00975183" w:rsidP="00442D33">
      <w:pPr>
        <w:pStyle w:val="EndnoteText"/>
      </w:pPr>
      <w:r w:rsidRPr="005A4949">
        <w:rPr>
          <w:rStyle w:val="FootnoteReference"/>
        </w:rPr>
        <w:endnoteRef/>
      </w:r>
      <w:r w:rsidRPr="005A4949">
        <w:t xml:space="preserve"> </w:t>
      </w:r>
      <w:proofErr w:type="gramStart"/>
      <w:r w:rsidRPr="007502A1">
        <w:rPr>
          <w:i/>
        </w:rPr>
        <w:t>SRB</w:t>
      </w:r>
      <w:r>
        <w:t xml:space="preserve"> note on Rev. </w:t>
      </w:r>
      <w:r w:rsidRPr="007502A1">
        <w:t>22:19, p. 1353.</w:t>
      </w:r>
      <w:proofErr w:type="gramEnd"/>
    </w:p>
  </w:endnote>
  <w:endnote w:id="430">
    <w:p w:rsidR="00975183" w:rsidRDefault="00975183" w:rsidP="00442D33">
      <w:pPr>
        <w:pStyle w:val="EndnoteText"/>
      </w:pPr>
      <w:r w:rsidRPr="005D00B9">
        <w:rPr>
          <w:rStyle w:val="FootnoteReference"/>
        </w:rPr>
        <w:endnoteRef/>
      </w:r>
      <w:r w:rsidRPr="005D00B9">
        <w:t xml:space="preserve"> Mt. 12:39-41.</w:t>
      </w:r>
    </w:p>
  </w:endnote>
  <w:endnote w:id="431">
    <w:p w:rsidR="00975183" w:rsidRPr="003F24D1" w:rsidRDefault="00975183" w:rsidP="00442D33">
      <w:pPr>
        <w:pStyle w:val="EndnoteText"/>
      </w:pPr>
      <w:r w:rsidRPr="003F24D1">
        <w:rPr>
          <w:rStyle w:val="EndnoteReference"/>
        </w:rPr>
        <w:endnoteRef/>
      </w:r>
      <w:r w:rsidRPr="003F24D1">
        <w:t xml:space="preserve"> Ref. Mt. 12: 39-40.</w:t>
      </w:r>
    </w:p>
  </w:endnote>
  <w:endnote w:id="432">
    <w:p w:rsidR="00975183" w:rsidRPr="003F24D1" w:rsidRDefault="00975183" w:rsidP="00442D33">
      <w:pPr>
        <w:pStyle w:val="EndnoteText"/>
      </w:pPr>
      <w:r w:rsidRPr="00625B2F">
        <w:rPr>
          <w:rStyle w:val="FootnoteReference"/>
        </w:rPr>
        <w:endnoteRef/>
      </w:r>
      <w:r w:rsidRPr="00625B2F">
        <w:t xml:space="preserve"> </w:t>
      </w:r>
      <w:r w:rsidRPr="00625B2F">
        <w:rPr>
          <w:i/>
        </w:rPr>
        <w:t>SRB</w:t>
      </w:r>
      <w:r w:rsidRPr="00625B2F">
        <w:t xml:space="preserve"> note on Jn 1:17, p. 944.</w:t>
      </w:r>
      <w:r>
        <w:t xml:space="preserve"> Ref. </w:t>
      </w:r>
      <w:r w:rsidRPr="003F24D1">
        <w:t>Rom. 8:19-23.</w:t>
      </w:r>
      <w:r>
        <w:t xml:space="preserve">  </w:t>
      </w:r>
    </w:p>
  </w:endnote>
  <w:endnote w:id="433">
    <w:p w:rsidR="00975183" w:rsidRPr="00847EEB" w:rsidRDefault="00975183" w:rsidP="00442D33">
      <w:pPr>
        <w:pStyle w:val="EndnoteText"/>
      </w:pPr>
      <w:r w:rsidRPr="005A4949">
        <w:rPr>
          <w:rStyle w:val="FootnoteReference"/>
        </w:rPr>
        <w:endnoteRef/>
      </w:r>
      <w:r w:rsidRPr="005A4949">
        <w:t xml:space="preserve"> </w:t>
      </w:r>
      <w:r w:rsidRPr="007502A1">
        <w:rPr>
          <w:i/>
        </w:rPr>
        <w:t>SRB</w:t>
      </w:r>
      <w:r>
        <w:t xml:space="preserve"> n</w:t>
      </w:r>
      <w:r w:rsidRPr="005A4949">
        <w:t xml:space="preserve">ote on 1 Cor. 2:13, p. 1213.  </w:t>
      </w:r>
      <w:proofErr w:type="gramStart"/>
      <w:r w:rsidRPr="00847EEB">
        <w:rPr>
          <w:b/>
        </w:rPr>
        <w:t>See 8.7.2</w:t>
      </w:r>
      <w:r w:rsidRPr="00847EEB">
        <w:t>.</w:t>
      </w:r>
      <w:proofErr w:type="gramEnd"/>
    </w:p>
  </w:endnote>
  <w:endnote w:id="434">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SRB</w:t>
      </w:r>
      <w:r w:rsidRPr="003A0F58">
        <w:t xml:space="preserve"> note on Rev. 22:19, p. 1353.</w:t>
      </w:r>
      <w:proofErr w:type="gramEnd"/>
      <w:r w:rsidRPr="003A0F58">
        <w:t xml:space="preserve">  </w:t>
      </w:r>
    </w:p>
  </w:endnote>
  <w:endnote w:id="435">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Introduction to Ecclesiastes, p. 696.</w:t>
      </w:r>
    </w:p>
  </w:endnote>
  <w:endnote w:id="436">
    <w:p w:rsidR="00975183" w:rsidRPr="003A0F58" w:rsidRDefault="00975183" w:rsidP="00442D33">
      <w:pPr>
        <w:pStyle w:val="EndnoteText"/>
      </w:pPr>
      <w:r w:rsidRPr="003A0F58">
        <w:rPr>
          <w:rStyle w:val="FootnoteReference"/>
        </w:rPr>
        <w:endnoteRef/>
      </w:r>
      <w:r w:rsidRPr="003A0F58">
        <w:t xml:space="preserve"> </w:t>
      </w:r>
      <w:r w:rsidRPr="003A0F58">
        <w:rPr>
          <w:i/>
        </w:rPr>
        <w:t>SRB</w:t>
      </w:r>
      <w:r w:rsidRPr="003A0F58">
        <w:t xml:space="preserve"> Introduction to Ecclesiastes, p. 696.</w:t>
      </w:r>
    </w:p>
  </w:endnote>
  <w:endnote w:id="437">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w:t>
      </w:r>
      <w:r>
        <w:rPr>
          <w:i/>
        </w:rPr>
        <w:t xml:space="preserve">B </w:t>
      </w:r>
      <w:r w:rsidRPr="00EC68EB">
        <w:t>n</w:t>
      </w:r>
      <w:r w:rsidRPr="003A0F58">
        <w:t>ote on Ecc.</w:t>
      </w:r>
      <w:proofErr w:type="gramEnd"/>
      <w:r w:rsidRPr="003A0F58">
        <w:t xml:space="preserve"> 9:10, p.702</w:t>
      </w:r>
      <w:r w:rsidRPr="003A0F58">
        <w:rPr>
          <w:lang w:eastAsia="en-GB"/>
        </w:rPr>
        <w:t>.</w:t>
      </w:r>
    </w:p>
  </w:endnote>
  <w:endnote w:id="438">
    <w:p w:rsidR="00975183" w:rsidRDefault="00975183" w:rsidP="00442D33">
      <w:pPr>
        <w:pStyle w:val="EndnoteText"/>
      </w:pPr>
      <w:r w:rsidRPr="003A0F58">
        <w:rPr>
          <w:rStyle w:val="EndnoteReference"/>
        </w:rPr>
        <w:endnoteRef/>
      </w:r>
      <w:r w:rsidRPr="003A0F58">
        <w:t xml:space="preserve"> </w:t>
      </w:r>
      <w:proofErr w:type="gramStart"/>
      <w:r w:rsidRPr="00495386">
        <w:rPr>
          <w:i/>
        </w:rPr>
        <w:t>SRB</w:t>
      </w:r>
      <w:r w:rsidRPr="003A0F58">
        <w:t xml:space="preserve"> </w:t>
      </w:r>
      <w:r>
        <w:t>note on Ecc.</w:t>
      </w:r>
      <w:proofErr w:type="gramEnd"/>
      <w:r>
        <w:t xml:space="preserve"> 9:10, p. 702.</w:t>
      </w:r>
    </w:p>
  </w:endnote>
  <w:endnote w:id="439">
    <w:p w:rsidR="00975183" w:rsidRPr="009924D6" w:rsidRDefault="00975183" w:rsidP="00442D33">
      <w:pPr>
        <w:pStyle w:val="EndnoteText"/>
      </w:pPr>
      <w:r w:rsidRPr="009924D6">
        <w:rPr>
          <w:rStyle w:val="EndnoteReference"/>
        </w:rPr>
        <w:endnoteRef/>
      </w:r>
      <w:r w:rsidRPr="009924D6">
        <w:t xml:space="preserve"> </w:t>
      </w:r>
      <w:r w:rsidRPr="009924D6">
        <w:rPr>
          <w:i/>
        </w:rPr>
        <w:t>SRB</w:t>
      </w:r>
      <w:r w:rsidRPr="009924D6">
        <w:t>, p. 3.</w:t>
      </w:r>
    </w:p>
  </w:endnote>
  <w:endnote w:id="440">
    <w:p w:rsidR="00975183" w:rsidRPr="0072228E" w:rsidRDefault="00975183" w:rsidP="00442D33">
      <w:pPr>
        <w:pStyle w:val="EndnoteText"/>
      </w:pPr>
      <w:r w:rsidRPr="0072228E">
        <w:rPr>
          <w:rStyle w:val="EndnoteReference"/>
        </w:rPr>
        <w:endnoteRef/>
      </w:r>
      <w:r w:rsidRPr="0072228E">
        <w:t xml:space="preserve"> </w:t>
      </w:r>
      <w:r>
        <w:t xml:space="preserve">References to Ussher’s estimations of durations of books appear in Scofield Introductions to Genesis, Exodus, Number, Isaiah, Jeremiah, Ezekiel, Daniel, Hosea, Micah and Matthew.  The </w:t>
      </w:r>
      <w:r w:rsidRPr="0072228E">
        <w:rPr>
          <w:i/>
        </w:rPr>
        <w:t>SRB</w:t>
      </w:r>
      <w:r>
        <w:t xml:space="preserve"> Introductions to Deuteronomy, Mark, Luke, John and Acts contain estimations of durations but without any ascriptions.</w:t>
      </w:r>
    </w:p>
  </w:endnote>
  <w:endnote w:id="441">
    <w:p w:rsidR="00975183" w:rsidRDefault="00975183" w:rsidP="00442D33">
      <w:pPr>
        <w:pStyle w:val="EndnoteText"/>
      </w:pPr>
      <w:r w:rsidRPr="00A10443">
        <w:rPr>
          <w:rStyle w:val="FootnoteReference"/>
        </w:rPr>
        <w:endnoteRef/>
      </w:r>
      <w:r w:rsidRPr="00A10443">
        <w:t xml:space="preserve"> G. Y. Craig and E. J Jones, </w:t>
      </w:r>
      <w:r w:rsidRPr="00A10443">
        <w:rPr>
          <w:i/>
        </w:rPr>
        <w:t>A Geological Miscellany</w:t>
      </w:r>
      <w:r w:rsidRPr="00A10443">
        <w:t xml:space="preserve"> (Princeton: Princeton University Press, 1982) &lt;http://www.lhup.edu/~dsimanek/ussher.htm&gt; [accessed 19.3.11].  </w:t>
      </w:r>
    </w:p>
  </w:endnote>
  <w:endnote w:id="442">
    <w:p w:rsidR="00975183" w:rsidRDefault="00975183" w:rsidP="00442D33">
      <w:pPr>
        <w:pStyle w:val="EndnoteText"/>
      </w:pPr>
      <w:r w:rsidRPr="008129C6">
        <w:rPr>
          <w:rStyle w:val="EndnoteReference"/>
        </w:rPr>
        <w:endnoteRef/>
      </w:r>
      <w:r w:rsidRPr="008129C6">
        <w:t xml:space="preserve"> </w:t>
      </w:r>
      <w:r w:rsidRPr="00A10443">
        <w:t xml:space="preserve">It is noteworthy that Ussher’s dates do not appear in all editions of </w:t>
      </w:r>
      <w:r w:rsidRPr="00A10443">
        <w:rPr>
          <w:i/>
        </w:rPr>
        <w:t>KJV</w:t>
      </w:r>
      <w:r w:rsidRPr="00A10443">
        <w:t>, but their inclusion may have been more common in Scofield’s time.</w:t>
      </w:r>
    </w:p>
  </w:endnote>
  <w:endnote w:id="443">
    <w:p w:rsidR="00975183" w:rsidRPr="009924D6" w:rsidRDefault="00975183" w:rsidP="00442D33">
      <w:pPr>
        <w:pStyle w:val="EndnoteText"/>
      </w:pPr>
      <w:r w:rsidRPr="009924D6">
        <w:rPr>
          <w:rStyle w:val="EndnoteReference"/>
        </w:rPr>
        <w:endnoteRef/>
      </w:r>
      <w:r w:rsidRPr="009924D6">
        <w:t xml:space="preserve"> Craig and Jones, </w:t>
      </w:r>
      <w:proofErr w:type="gramStart"/>
      <w:r w:rsidRPr="009924D6">
        <w:rPr>
          <w:i/>
        </w:rPr>
        <w:t>A</w:t>
      </w:r>
      <w:proofErr w:type="gramEnd"/>
      <w:r w:rsidRPr="009924D6">
        <w:rPr>
          <w:i/>
        </w:rPr>
        <w:t xml:space="preserve"> Geological Miscellany</w:t>
      </w:r>
      <w:r w:rsidRPr="009924D6">
        <w:t>.</w:t>
      </w:r>
    </w:p>
  </w:endnote>
  <w:endnote w:id="444">
    <w:p w:rsidR="00975183" w:rsidRPr="000572CF" w:rsidRDefault="00975183" w:rsidP="00442D33">
      <w:pPr>
        <w:pStyle w:val="EndnoteText"/>
      </w:pPr>
      <w:r w:rsidRPr="000572CF">
        <w:rPr>
          <w:rStyle w:val="EndnoteReference"/>
        </w:rPr>
        <w:endnoteRef/>
      </w:r>
      <w:r w:rsidRPr="000572CF">
        <w:t xml:space="preserve"> </w:t>
      </w:r>
      <w:r>
        <w:t>Joshua – Esther.</w:t>
      </w:r>
    </w:p>
  </w:endnote>
  <w:endnote w:id="445">
    <w:p w:rsidR="00975183" w:rsidRDefault="00975183" w:rsidP="00442D33">
      <w:pPr>
        <w:pStyle w:val="EndnoteText"/>
      </w:pPr>
      <w:r w:rsidRPr="005A4949">
        <w:rPr>
          <w:rStyle w:val="FootnoteReference"/>
        </w:rPr>
        <w:endnoteRef/>
      </w:r>
      <w:r w:rsidRPr="005A4949">
        <w:t xml:space="preserve"> Ramm, </w:t>
      </w:r>
      <w:r w:rsidRPr="005A4949">
        <w:rPr>
          <w:i/>
        </w:rPr>
        <w:t>Protestant Biblical Interpretation</w:t>
      </w:r>
      <w:r w:rsidRPr="005A4949">
        <w:t>, p. 154.</w:t>
      </w:r>
    </w:p>
  </w:endnote>
  <w:endnote w:id="446">
    <w:p w:rsidR="00975183" w:rsidRDefault="00975183" w:rsidP="00442D33">
      <w:pPr>
        <w:pStyle w:val="EndnoteText"/>
      </w:pPr>
      <w:r w:rsidRPr="005A4949">
        <w:rPr>
          <w:rStyle w:val="FootnoteReference"/>
        </w:rPr>
        <w:endnoteRef/>
      </w:r>
      <w:r w:rsidRPr="005A4949">
        <w:t xml:space="preserve"> Campbell, ‘Interpretation of Types’, p. 250.</w:t>
      </w:r>
    </w:p>
  </w:endnote>
  <w:endnote w:id="447">
    <w:p w:rsidR="00975183" w:rsidRDefault="00975183" w:rsidP="00442D33">
      <w:pPr>
        <w:pStyle w:val="EndnoteText"/>
      </w:pPr>
      <w:r w:rsidRPr="005A4949">
        <w:rPr>
          <w:rStyle w:val="FootnoteReference"/>
        </w:rPr>
        <w:endnoteRef/>
      </w:r>
      <w:r w:rsidRPr="005A4949">
        <w:t xml:space="preserve"> R. B. Girdlestone, </w:t>
      </w:r>
      <w:r w:rsidRPr="005A4949">
        <w:rPr>
          <w:i/>
        </w:rPr>
        <w:t>The Grammar of Prophecy: A Systematic Guide to Bible Prophecy</w:t>
      </w:r>
      <w:r w:rsidRPr="005A4949">
        <w:t xml:space="preserve"> (Grand Rapids, Michigan: Kregel Publications, 1955), p.29.</w:t>
      </w:r>
    </w:p>
  </w:endnote>
  <w:endnote w:id="448">
    <w:p w:rsidR="00975183" w:rsidRDefault="00975183" w:rsidP="00442D33">
      <w:pPr>
        <w:pStyle w:val="EndnoteText"/>
      </w:pPr>
      <w:r w:rsidRPr="005A4949">
        <w:rPr>
          <w:rStyle w:val="FootnoteReference"/>
        </w:rPr>
        <w:endnoteRef/>
      </w:r>
      <w:r w:rsidRPr="005A4949">
        <w:t xml:space="preserve"> Terry, </w:t>
      </w:r>
      <w:r w:rsidRPr="005A4949">
        <w:rPr>
          <w:i/>
        </w:rPr>
        <w:t xml:space="preserve">Biblical Hermeneutics, </w:t>
      </w:r>
      <w:r w:rsidRPr="005A4949">
        <w:t>p. 18.</w:t>
      </w:r>
    </w:p>
  </w:endnote>
  <w:endnote w:id="449">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Introduction to the Historical Books, p. 257</w:t>
      </w:r>
      <w:r w:rsidRPr="003A0F58">
        <w:rPr>
          <w:lang w:eastAsia="en-GB"/>
        </w:rPr>
        <w:t>.</w:t>
      </w:r>
    </w:p>
  </w:endnote>
  <w:endnote w:id="450">
    <w:p w:rsidR="00975183" w:rsidRPr="00847EEB" w:rsidRDefault="00975183" w:rsidP="00442D33">
      <w:pPr>
        <w:pStyle w:val="EndnoteText"/>
      </w:pPr>
      <w:r w:rsidRPr="0082218A">
        <w:rPr>
          <w:rStyle w:val="EndnoteReference"/>
        </w:rPr>
        <w:endnoteRef/>
      </w:r>
      <w:r w:rsidRPr="0082218A">
        <w:t xml:space="preserve"> </w:t>
      </w:r>
      <w:r w:rsidRPr="00847EEB">
        <w:rPr>
          <w:b/>
        </w:rPr>
        <w:t>See 8.2</w:t>
      </w:r>
      <w:r w:rsidRPr="00847EEB">
        <w:t>.</w:t>
      </w:r>
    </w:p>
  </w:endnote>
  <w:endnote w:id="451">
    <w:p w:rsidR="00975183" w:rsidRDefault="00975183" w:rsidP="00442D33">
      <w:pPr>
        <w:pStyle w:val="EndnoteText"/>
      </w:pPr>
      <w:r w:rsidRPr="005A4949">
        <w:rPr>
          <w:rStyle w:val="FootnoteReference"/>
        </w:rPr>
        <w:endnoteRef/>
      </w:r>
      <w:r w:rsidRPr="005A4949">
        <w:t xml:space="preserve"> Ramm, </w:t>
      </w:r>
      <w:r w:rsidRPr="005A4949">
        <w:rPr>
          <w:i/>
        </w:rPr>
        <w:t xml:space="preserve">Protestant Biblical </w:t>
      </w:r>
      <w:r w:rsidRPr="00511916">
        <w:rPr>
          <w:i/>
        </w:rPr>
        <w:t>Interpretation</w:t>
      </w:r>
      <w:r w:rsidRPr="00511916">
        <w:t>, p.</w:t>
      </w:r>
      <w:r w:rsidRPr="005A4949">
        <w:t xml:space="preserve"> 94.</w:t>
      </w:r>
    </w:p>
  </w:endnote>
  <w:endnote w:id="452">
    <w:p w:rsidR="00975183" w:rsidRDefault="00975183" w:rsidP="00442D33">
      <w:pPr>
        <w:pStyle w:val="EndnoteText"/>
      </w:pPr>
      <w:r w:rsidRPr="005A4949">
        <w:rPr>
          <w:rStyle w:val="FootnoteReference"/>
        </w:rPr>
        <w:endnoteRef/>
      </w:r>
      <w:r w:rsidRPr="005A4949">
        <w:t xml:space="preserve"> Israel Finkelstein and Neil Asher Silberman, </w:t>
      </w:r>
      <w:r w:rsidRPr="005A4949">
        <w:rPr>
          <w:i/>
        </w:rPr>
        <w:t>The Bible Unearthed: Archaeology’s New Vision of Ancient Israel and the Origin of Its Sacred Texts</w:t>
      </w:r>
      <w:r w:rsidRPr="005A4949">
        <w:t xml:space="preserve"> (New York: Touchstone, 2002), p. 3.</w:t>
      </w:r>
    </w:p>
  </w:endnote>
  <w:endnote w:id="453">
    <w:p w:rsidR="00975183" w:rsidRDefault="00975183" w:rsidP="00442D33">
      <w:pPr>
        <w:pStyle w:val="EndnoteText"/>
      </w:pPr>
      <w:r w:rsidRPr="00AB5F31">
        <w:rPr>
          <w:rStyle w:val="FootnoteReference"/>
        </w:rPr>
        <w:endnoteRef/>
      </w:r>
      <w:r w:rsidRPr="00AB5F31">
        <w:t xml:space="preserve"> </w:t>
      </w:r>
      <w:proofErr w:type="gramStart"/>
      <w:r w:rsidRPr="00AB5F31">
        <w:rPr>
          <w:b/>
        </w:rPr>
        <w:t>See 1.1.2</w:t>
      </w:r>
      <w:r w:rsidRPr="00AB5F31">
        <w:t>.</w:t>
      </w:r>
      <w:proofErr w:type="gramEnd"/>
    </w:p>
  </w:endnote>
  <w:endnote w:id="454">
    <w:p w:rsidR="00975183" w:rsidRDefault="00975183" w:rsidP="00442D33">
      <w:pPr>
        <w:pStyle w:val="EndnoteText"/>
      </w:pPr>
      <w:r w:rsidRPr="00412CC3">
        <w:rPr>
          <w:rStyle w:val="FootnoteReference"/>
        </w:rPr>
        <w:endnoteRef/>
      </w:r>
      <w:r w:rsidRPr="00412CC3">
        <w:t xml:space="preserve"> </w:t>
      </w:r>
      <w:r w:rsidRPr="00BF121E">
        <w:rPr>
          <w:i/>
        </w:rPr>
        <w:t>SRB</w:t>
      </w:r>
      <w:r>
        <w:t xml:space="preserve"> </w:t>
      </w:r>
      <w:r w:rsidRPr="00412CC3">
        <w:t>Introduction to the Historical Books, p. 257.</w:t>
      </w:r>
    </w:p>
  </w:endnote>
  <w:endnote w:id="455">
    <w:p w:rsidR="00975183" w:rsidRPr="003A0F58" w:rsidRDefault="00975183" w:rsidP="00442D33">
      <w:pPr>
        <w:pStyle w:val="EndnoteText"/>
      </w:pPr>
      <w:r w:rsidRPr="003A0F58">
        <w:rPr>
          <w:rStyle w:val="EndnoteReference"/>
        </w:rPr>
        <w:endnoteRef/>
      </w:r>
      <w:r w:rsidRPr="003A0F58">
        <w:t xml:space="preserve"> </w:t>
      </w:r>
      <w:proofErr w:type="gramStart"/>
      <w:r w:rsidRPr="003A0F58">
        <w:t>‘From Malachi to Matthew’,</w:t>
      </w:r>
      <w:r w:rsidRPr="003A0F58">
        <w:rPr>
          <w:i/>
        </w:rPr>
        <w:t xml:space="preserve"> SRB</w:t>
      </w:r>
      <w:r w:rsidRPr="003A0F58">
        <w:t xml:space="preserve"> pp. 985-6</w:t>
      </w:r>
      <w:r w:rsidRPr="003A0F58">
        <w:rPr>
          <w:lang w:eastAsia="en-GB"/>
        </w:rPr>
        <w:t>.</w:t>
      </w:r>
      <w:proofErr w:type="gramEnd"/>
    </w:p>
  </w:endnote>
  <w:endnote w:id="456">
    <w:p w:rsidR="00975183" w:rsidRPr="003A0F58" w:rsidRDefault="00975183" w:rsidP="00442D33">
      <w:pPr>
        <w:pStyle w:val="EndnoteText"/>
      </w:pPr>
      <w:r w:rsidRPr="003A0F58">
        <w:rPr>
          <w:rStyle w:val="EndnoteReference"/>
        </w:rPr>
        <w:endnoteRef/>
      </w:r>
      <w:r w:rsidRPr="003A0F58">
        <w:t xml:space="preserve"> </w:t>
      </w:r>
      <w:proofErr w:type="gramStart"/>
      <w:r w:rsidRPr="003A0F58">
        <w:t>Notes on Daniel 7 – 9 and Daniel 11.</w:t>
      </w:r>
      <w:proofErr w:type="gramEnd"/>
      <w:r w:rsidRPr="003A0F58">
        <w:t xml:space="preserve">  </w:t>
      </w:r>
    </w:p>
  </w:endnote>
  <w:endnote w:id="457">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c</w:t>
      </w:r>
      <w:r w:rsidRPr="003A0F58">
        <w:t xml:space="preserve">ommentary on Dan. 2:31, p. 901; </w:t>
      </w:r>
      <w:r w:rsidRPr="003A0F58">
        <w:rPr>
          <w:lang w:eastAsia="en-GB"/>
        </w:rPr>
        <w:t xml:space="preserve">Dan. 8:9, </w:t>
      </w:r>
      <w:r w:rsidRPr="003A0F58">
        <w:t>p. 912;</w:t>
      </w:r>
      <w:r w:rsidRPr="003A0F58">
        <w:rPr>
          <w:lang w:eastAsia="en-GB"/>
        </w:rPr>
        <w:t xml:space="preserve"> Dan. 11:35, </w:t>
      </w:r>
      <w:r w:rsidRPr="003A0F58">
        <w:t xml:space="preserve">p. 918; </w:t>
      </w:r>
      <w:r w:rsidRPr="003A0F58">
        <w:rPr>
          <w:lang w:eastAsia="en-GB"/>
        </w:rPr>
        <w:t xml:space="preserve">Zech. 9:8, </w:t>
      </w:r>
      <w:r w:rsidRPr="003A0F58">
        <w:t>p. 973</w:t>
      </w:r>
      <w:r w:rsidRPr="003A0F58">
        <w:rPr>
          <w:lang w:eastAsia="en-GB"/>
        </w:rPr>
        <w:t xml:space="preserve">.  </w:t>
      </w:r>
    </w:p>
  </w:endnote>
  <w:endnote w:id="458">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w:t>
      </w:r>
      <w:r>
        <w:t>n</w:t>
      </w:r>
      <w:r w:rsidRPr="003A0F58">
        <w:t>otes on Dan. 2:31, p. 900</w:t>
      </w:r>
      <w:r w:rsidRPr="003A0F58">
        <w:rPr>
          <w:lang w:eastAsia="en-GB"/>
        </w:rPr>
        <w:t xml:space="preserve">; Dan. 2:41, </w:t>
      </w:r>
      <w:r w:rsidRPr="003A0F58">
        <w:t>p. 901</w:t>
      </w:r>
      <w:r w:rsidRPr="003A0F58">
        <w:rPr>
          <w:lang w:eastAsia="en-GB"/>
        </w:rPr>
        <w:t xml:space="preserve">; Dan. 8:9, p. 912; Dan. 8:22; Rev. 13:2, </w:t>
      </w:r>
      <w:r w:rsidRPr="003A0F58">
        <w:t>p. 1341</w:t>
      </w:r>
      <w:r w:rsidRPr="003A0F58">
        <w:rPr>
          <w:lang w:eastAsia="en-GB"/>
        </w:rPr>
        <w:t xml:space="preserve">.  </w:t>
      </w:r>
    </w:p>
  </w:endnote>
  <w:endnote w:id="459">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w:t>
      </w:r>
      <w:r w:rsidRPr="003A0F58">
        <w:t>Introduction to the Historical Books, p. 257</w:t>
      </w:r>
      <w:r w:rsidRPr="003A0F58">
        <w:rPr>
          <w:lang w:eastAsia="en-GB"/>
        </w:rPr>
        <w:t>.</w:t>
      </w:r>
    </w:p>
  </w:endnote>
  <w:endnote w:id="460">
    <w:p w:rsidR="00975183" w:rsidRDefault="00975183" w:rsidP="00442D33">
      <w:pPr>
        <w:pStyle w:val="EndnoteText"/>
      </w:pPr>
      <w:r w:rsidRPr="006E633E">
        <w:rPr>
          <w:rStyle w:val="FootnoteReference"/>
        </w:rPr>
        <w:endnoteRef/>
      </w:r>
      <w:r w:rsidRPr="006E633E">
        <w:t xml:space="preserve"> </w:t>
      </w:r>
      <w:r w:rsidRPr="006E633E">
        <w:rPr>
          <w:i/>
        </w:rPr>
        <w:t>SRB</w:t>
      </w:r>
      <w:r w:rsidRPr="006E633E">
        <w:t xml:space="preserve"> Introduction to the Historical Books, p. 257.</w:t>
      </w:r>
    </w:p>
  </w:endnote>
  <w:endnote w:id="461">
    <w:p w:rsidR="00975183" w:rsidRPr="003A0F58" w:rsidRDefault="00975183" w:rsidP="00442D33">
      <w:pPr>
        <w:pStyle w:val="EndnoteText"/>
      </w:pPr>
      <w:r w:rsidRPr="003A0F58">
        <w:rPr>
          <w:rStyle w:val="EndnoteReference"/>
        </w:rPr>
        <w:endnoteRef/>
      </w:r>
      <w:r w:rsidRPr="003A0F58">
        <w:t xml:space="preserve"> </w:t>
      </w:r>
      <w:r w:rsidRPr="00EC68EB">
        <w:rPr>
          <w:i/>
        </w:rPr>
        <w:t>SRB</w:t>
      </w:r>
      <w:r>
        <w:t xml:space="preserve"> n</w:t>
      </w:r>
      <w:r w:rsidRPr="003A0F58">
        <w:t>ote on Ezra 2:1, p. 530.</w:t>
      </w:r>
    </w:p>
  </w:endnote>
  <w:endnote w:id="462">
    <w:p w:rsidR="00975183" w:rsidRDefault="00975183" w:rsidP="00442D33">
      <w:pPr>
        <w:pStyle w:val="EndnoteText"/>
      </w:pPr>
      <w:r w:rsidRPr="00412CC3">
        <w:rPr>
          <w:rStyle w:val="FootnoteReference"/>
        </w:rPr>
        <w:endnoteRef/>
      </w:r>
      <w:r w:rsidRPr="00412CC3">
        <w:t xml:space="preserve"> Ref. Ezra 7:7.</w:t>
      </w:r>
    </w:p>
  </w:endnote>
  <w:endnote w:id="463">
    <w:p w:rsidR="00975183" w:rsidRDefault="00975183" w:rsidP="00442D33">
      <w:pPr>
        <w:pStyle w:val="EndnoteText"/>
      </w:pPr>
      <w:r w:rsidRPr="003A0F58">
        <w:rPr>
          <w:rStyle w:val="EndnoteReference"/>
        </w:rPr>
        <w:endnoteRef/>
      </w:r>
      <w:r w:rsidRPr="003A0F58">
        <w:t xml:space="preserve"> Daniel L. Smith-Christopher, ‘Ezra-Nehemiah’, in John Barton and John Muddiman (eds.) </w:t>
      </w:r>
      <w:proofErr w:type="gramStart"/>
      <w:r w:rsidRPr="003A0F58">
        <w:rPr>
          <w:i/>
        </w:rPr>
        <w:t>The</w:t>
      </w:r>
      <w:proofErr w:type="gramEnd"/>
      <w:r w:rsidRPr="003A0F58">
        <w:rPr>
          <w:i/>
        </w:rPr>
        <w:t xml:space="preserve"> Oxford Bible Commentary</w:t>
      </w:r>
      <w:r w:rsidRPr="003A0F58">
        <w:t xml:space="preserve"> (Oxford: Oxford University Press, 2001), pp. 307-308.</w:t>
      </w:r>
    </w:p>
  </w:endnote>
  <w:endnote w:id="464">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w:t>
      </w:r>
      <w:r>
        <w:t>n</w:t>
      </w:r>
      <w:r w:rsidRPr="005A4949">
        <w:t>ote on Dan. 5:31, pp. 907-8.  The kings listed are Nebuchadnezzar (B.C. 604-561); Belshazzar (probably B.C. 556</w:t>
      </w:r>
      <w:r>
        <w:t>)</w:t>
      </w:r>
      <w:r w:rsidRPr="005A4949">
        <w:t xml:space="preserve">; Darius the Mede; and Cyrus.  </w:t>
      </w:r>
      <w:proofErr w:type="gramStart"/>
      <w:r w:rsidRPr="00145727">
        <w:rPr>
          <w:b/>
          <w:lang w:eastAsia="en-GB"/>
        </w:rPr>
        <w:t>See 8.4.4</w:t>
      </w:r>
      <w:r w:rsidRPr="00145727">
        <w:rPr>
          <w:lang w:eastAsia="en-GB"/>
        </w:rPr>
        <w:t>.</w:t>
      </w:r>
      <w:proofErr w:type="gramEnd"/>
    </w:p>
  </w:endnote>
  <w:endnote w:id="465">
    <w:p w:rsidR="00975183" w:rsidRDefault="00975183" w:rsidP="00442D33">
      <w:pPr>
        <w:pStyle w:val="EndnoteText"/>
      </w:pPr>
      <w:r w:rsidRPr="005A4949">
        <w:rPr>
          <w:rStyle w:val="FootnoteReference"/>
        </w:rPr>
        <w:endnoteRef/>
      </w:r>
      <w:r w:rsidRPr="005A4949">
        <w:t xml:space="preserve"> </w:t>
      </w:r>
      <w:proofErr w:type="gramStart"/>
      <w:r w:rsidRPr="00145727">
        <w:rPr>
          <w:b/>
        </w:rPr>
        <w:t>See 7.1.2.2</w:t>
      </w:r>
      <w:r w:rsidRPr="00145727">
        <w:t>.</w:t>
      </w:r>
      <w:proofErr w:type="gramEnd"/>
    </w:p>
  </w:endnote>
  <w:endnote w:id="466">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Introduction, item 3, p. iii.</w:t>
      </w:r>
    </w:p>
  </w:endnote>
  <w:endnote w:id="467">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SRB</w:t>
      </w:r>
      <w:r w:rsidRPr="003A0F58">
        <w:t xml:space="preserve"> note on Rev. 22:19, p. 1353.</w:t>
      </w:r>
      <w:proofErr w:type="gramEnd"/>
      <w:r w:rsidRPr="003A0F58">
        <w:t xml:space="preserve">   Ref. 1 Cor. 2:7-</w:t>
      </w:r>
      <w:proofErr w:type="gramStart"/>
      <w:r w:rsidRPr="003A0F58">
        <w:t xml:space="preserve">15  </w:t>
      </w:r>
      <w:r w:rsidRPr="00145727">
        <w:rPr>
          <w:b/>
        </w:rPr>
        <w:t>See</w:t>
      </w:r>
      <w:proofErr w:type="gramEnd"/>
      <w:r w:rsidRPr="00145727">
        <w:rPr>
          <w:b/>
        </w:rPr>
        <w:t xml:space="preserve"> 2.1 above</w:t>
      </w:r>
      <w:r w:rsidRPr="00145727">
        <w:t>.</w:t>
      </w:r>
    </w:p>
  </w:endnote>
  <w:endnote w:id="468">
    <w:p w:rsidR="00975183" w:rsidRDefault="00975183" w:rsidP="00442D33">
      <w:pPr>
        <w:pStyle w:val="EndnoteText"/>
      </w:pPr>
      <w:r w:rsidRPr="005A4949">
        <w:rPr>
          <w:rStyle w:val="FootnoteReference"/>
        </w:rPr>
        <w:endnoteRef/>
      </w:r>
      <w:r w:rsidRPr="005A4949">
        <w:t xml:space="preserve"> </w:t>
      </w:r>
      <w:proofErr w:type="gramStart"/>
      <w:r w:rsidRPr="00145727">
        <w:rPr>
          <w:b/>
        </w:rPr>
        <w:t>See 2.1.2 below</w:t>
      </w:r>
      <w:r w:rsidRPr="005A4949">
        <w:t>.</w:t>
      </w:r>
      <w:proofErr w:type="gramEnd"/>
    </w:p>
  </w:endnote>
  <w:endnote w:id="469">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w:t>
      </w:r>
      <w:r>
        <w:t>n</w:t>
      </w:r>
      <w:r w:rsidRPr="003A0F58">
        <w:t>ote on Acts 7:14, p. 1157.</w:t>
      </w:r>
    </w:p>
  </w:endnote>
  <w:endnote w:id="470">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note on Acts 7:38, p. 1158</w:t>
      </w:r>
      <w:r>
        <w:t>; central column note on Acts 7:54, p. 1158.</w:t>
      </w:r>
      <w:r w:rsidRPr="003A0F58">
        <w:t xml:space="preserve">  </w:t>
      </w:r>
    </w:p>
  </w:endnote>
  <w:endnote w:id="471">
    <w:p w:rsidR="00975183" w:rsidRDefault="00975183" w:rsidP="00442D33">
      <w:pPr>
        <w:pStyle w:val="EndnoteText"/>
      </w:pPr>
      <w:r w:rsidRPr="005A4949">
        <w:rPr>
          <w:rStyle w:val="FootnoteReference"/>
        </w:rPr>
        <w:endnoteRef/>
      </w:r>
      <w:r w:rsidRPr="005A4949">
        <w:t xml:space="preserve"> </w:t>
      </w:r>
      <w:proofErr w:type="gramStart"/>
      <w:r w:rsidRPr="005A4949">
        <w:rPr>
          <w:i/>
        </w:rPr>
        <w:t>SRB</w:t>
      </w:r>
      <w:r>
        <w:t xml:space="preserve"> n</w:t>
      </w:r>
      <w:r w:rsidRPr="005A4949">
        <w:t>ote on 1 Cor. 2:8, p. 1160.</w:t>
      </w:r>
      <w:proofErr w:type="gramEnd"/>
    </w:p>
  </w:endnote>
  <w:endnote w:id="472">
    <w:p w:rsidR="00975183" w:rsidRDefault="00975183" w:rsidP="00442D33">
      <w:pPr>
        <w:pStyle w:val="EndnoteText"/>
      </w:pPr>
      <w:r w:rsidRPr="0006294E">
        <w:rPr>
          <w:rStyle w:val="FootnoteReference"/>
        </w:rPr>
        <w:endnoteRef/>
      </w:r>
      <w:r w:rsidRPr="0006294E">
        <w:t xml:space="preserve"> </w:t>
      </w:r>
      <w:proofErr w:type="gramStart"/>
      <w:r w:rsidRPr="0006294E">
        <w:rPr>
          <w:i/>
        </w:rPr>
        <w:t>SRB</w:t>
      </w:r>
      <w:r w:rsidRPr="0006294E">
        <w:t xml:space="preserve"> </w:t>
      </w:r>
      <w:r>
        <w:t>n</w:t>
      </w:r>
      <w:r w:rsidRPr="0006294E">
        <w:t xml:space="preserve">ote on </w:t>
      </w:r>
      <w:r w:rsidRPr="0096564E">
        <w:t>1 Cor. 10:8</w:t>
      </w:r>
      <w:r w:rsidRPr="0006294E">
        <w:t>, p. 1220.</w:t>
      </w:r>
      <w:proofErr w:type="gramEnd"/>
    </w:p>
  </w:endnote>
  <w:endnote w:id="473">
    <w:p w:rsidR="00975183" w:rsidRDefault="00975183" w:rsidP="00442D33">
      <w:pPr>
        <w:pStyle w:val="EndnoteText"/>
      </w:pPr>
      <w:r w:rsidRPr="00412CC3">
        <w:rPr>
          <w:rStyle w:val="FootnoteReference"/>
        </w:rPr>
        <w:endnoteRef/>
      </w:r>
      <w:r w:rsidRPr="00412CC3">
        <w:t xml:space="preserve"> </w:t>
      </w:r>
      <w:r w:rsidRPr="00D138B7">
        <w:rPr>
          <w:i/>
        </w:rPr>
        <w:t>SRB</w:t>
      </w:r>
      <w:r>
        <w:t xml:space="preserve"> n</w:t>
      </w:r>
      <w:r w:rsidRPr="00412CC3">
        <w:t xml:space="preserve">ote on 1 Sam. 16:21.  </w:t>
      </w:r>
    </w:p>
  </w:endnote>
  <w:endnote w:id="474">
    <w:p w:rsidR="00975183" w:rsidRDefault="00975183" w:rsidP="00442D33">
      <w:pPr>
        <w:pStyle w:val="EndnoteText"/>
      </w:pPr>
      <w:r w:rsidRPr="00412CC3">
        <w:rPr>
          <w:rStyle w:val="FootnoteReference"/>
        </w:rPr>
        <w:endnoteRef/>
      </w:r>
      <w:r w:rsidRPr="00412CC3">
        <w:t xml:space="preserve"> Accounts in 1 Sam. 31:3 and 2 Sam. 1:10.</w:t>
      </w:r>
    </w:p>
  </w:endnote>
  <w:endnote w:id="475">
    <w:p w:rsidR="00975183" w:rsidRPr="00CE7C92" w:rsidRDefault="00975183" w:rsidP="00442D33">
      <w:pPr>
        <w:pStyle w:val="EndnoteText"/>
      </w:pPr>
      <w:r w:rsidRPr="00CE7C92">
        <w:rPr>
          <w:rStyle w:val="EndnoteReference"/>
        </w:rPr>
        <w:endnoteRef/>
      </w:r>
      <w:r w:rsidRPr="00CE7C92">
        <w:t xml:space="preserve"> </w:t>
      </w:r>
      <w:r>
        <w:t>See table above.</w:t>
      </w:r>
    </w:p>
  </w:endnote>
  <w:endnote w:id="476">
    <w:p w:rsidR="00975183" w:rsidRDefault="00975183" w:rsidP="00442D33">
      <w:pPr>
        <w:pStyle w:val="EndnoteText"/>
      </w:pPr>
      <w:r w:rsidRPr="00412CC3">
        <w:rPr>
          <w:rStyle w:val="FootnoteReference"/>
        </w:rPr>
        <w:endnoteRef/>
      </w:r>
      <w:r w:rsidRPr="00412CC3">
        <w:t xml:space="preserve"> </w:t>
      </w:r>
      <w:proofErr w:type="gramStart"/>
      <w:r w:rsidRPr="00412CC3">
        <w:rPr>
          <w:i/>
        </w:rPr>
        <w:t>SRB</w:t>
      </w:r>
      <w:r w:rsidRPr="00412CC3">
        <w:t xml:space="preserve"> note on </w:t>
      </w:r>
      <w:r>
        <w:t>Gen. 23:4, p. 34.</w:t>
      </w:r>
      <w:proofErr w:type="gramEnd"/>
    </w:p>
  </w:endnote>
  <w:endnote w:id="477">
    <w:p w:rsidR="00975183" w:rsidRDefault="00975183" w:rsidP="00442D33">
      <w:pPr>
        <w:pStyle w:val="EndnoteText"/>
      </w:pPr>
      <w:r w:rsidRPr="00412CC3">
        <w:rPr>
          <w:rStyle w:val="EndnoteReference"/>
        </w:rPr>
        <w:endnoteRef/>
      </w:r>
      <w:r w:rsidRPr="00412CC3">
        <w:t xml:space="preserve"> </w:t>
      </w:r>
      <w:r w:rsidRPr="00412CC3">
        <w:rPr>
          <w:i/>
        </w:rPr>
        <w:t>SRB</w:t>
      </w:r>
      <w:r w:rsidRPr="00412CC3">
        <w:t xml:space="preserve"> note on 1 Chron. 21:25, p. 480.</w:t>
      </w:r>
    </w:p>
  </w:endnote>
  <w:endnote w:id="478">
    <w:p w:rsidR="00975183" w:rsidRDefault="00975183" w:rsidP="00442D33">
      <w:pPr>
        <w:pStyle w:val="EndnoteText"/>
      </w:pPr>
      <w:r w:rsidRPr="00A2269B">
        <w:rPr>
          <w:rStyle w:val="FootnoteReference"/>
        </w:rPr>
        <w:endnoteRef/>
      </w:r>
      <w:r w:rsidRPr="00A2269B">
        <w:t xml:space="preserve"> </w:t>
      </w:r>
      <w:r>
        <w:t>Matthew 20:29-30; Mk 10:46.</w:t>
      </w:r>
    </w:p>
  </w:endnote>
  <w:endnote w:id="479">
    <w:p w:rsidR="00975183" w:rsidRDefault="00975183" w:rsidP="00442D33">
      <w:pPr>
        <w:pStyle w:val="EndnoteText"/>
      </w:pPr>
      <w:r w:rsidRPr="00BC4762">
        <w:rPr>
          <w:rStyle w:val="FootnoteReference"/>
        </w:rPr>
        <w:endnoteRef/>
      </w:r>
      <w:r w:rsidRPr="00BC4762">
        <w:t xml:space="preserve"> </w:t>
      </w:r>
      <w:r>
        <w:t>Luke 18:35.</w:t>
      </w:r>
    </w:p>
  </w:endnote>
  <w:endnote w:id="480">
    <w:p w:rsidR="00975183" w:rsidRPr="003A0F58" w:rsidRDefault="00975183" w:rsidP="00442D33">
      <w:pPr>
        <w:pStyle w:val="EndnoteText"/>
      </w:pPr>
      <w:r w:rsidRPr="003A0F58">
        <w:rPr>
          <w:rStyle w:val="EndnoteReference"/>
        </w:rPr>
        <w:endnoteRef/>
      </w:r>
      <w:r w:rsidRPr="003A0F58">
        <w:t xml:space="preserve"> </w:t>
      </w:r>
      <w:r w:rsidRPr="003A0F58">
        <w:rPr>
          <w:rFonts w:cs="Perpetua-Italic"/>
          <w:i/>
          <w:iCs/>
        </w:rPr>
        <w:t xml:space="preserve">SRB </w:t>
      </w:r>
      <w:r w:rsidRPr="003A0F58">
        <w:rPr>
          <w:rFonts w:cs="Perpetua"/>
        </w:rPr>
        <w:t>note on Mt. 20:30, p. 1027.</w:t>
      </w:r>
    </w:p>
  </w:endnote>
  <w:endnote w:id="481">
    <w:p w:rsidR="00975183" w:rsidRPr="00D27798" w:rsidRDefault="00975183" w:rsidP="00442D33">
      <w:pPr>
        <w:pStyle w:val="EndnoteText"/>
      </w:pPr>
      <w:r w:rsidRPr="00D27798">
        <w:rPr>
          <w:rStyle w:val="EndnoteReference"/>
        </w:rPr>
        <w:endnoteRef/>
      </w:r>
      <w:r w:rsidRPr="00D27798">
        <w:t xml:space="preserve"> </w:t>
      </w:r>
      <w:r w:rsidRPr="00D27798">
        <w:rPr>
          <w:rFonts w:cs="Perpetua"/>
        </w:rPr>
        <w:t>Lk. 7: 38 and 46</w:t>
      </w:r>
      <w:r>
        <w:rPr>
          <w:rFonts w:cs="Perpetua"/>
        </w:rPr>
        <w:t>.</w:t>
      </w:r>
    </w:p>
  </w:endnote>
  <w:endnote w:id="482">
    <w:p w:rsidR="00975183" w:rsidRPr="00D27798" w:rsidRDefault="00975183" w:rsidP="00442D33">
      <w:pPr>
        <w:pStyle w:val="EndnoteText"/>
      </w:pPr>
      <w:r w:rsidRPr="00D27798">
        <w:rPr>
          <w:rStyle w:val="EndnoteReference"/>
        </w:rPr>
        <w:endnoteRef/>
      </w:r>
      <w:r w:rsidRPr="00D27798">
        <w:t xml:space="preserve"> </w:t>
      </w:r>
      <w:r>
        <w:t>Mt. 26:6; Jn 12:1.</w:t>
      </w:r>
    </w:p>
  </w:endnote>
  <w:endnote w:id="483">
    <w:p w:rsidR="00975183" w:rsidRDefault="00975183" w:rsidP="00442D33">
      <w:pPr>
        <w:pStyle w:val="EndnoteText"/>
      </w:pPr>
      <w:r w:rsidRPr="00D27798">
        <w:rPr>
          <w:rStyle w:val="EndnoteReference"/>
        </w:rPr>
        <w:endnoteRef/>
      </w:r>
      <w:r w:rsidRPr="00D27798">
        <w:t xml:space="preserve"> </w:t>
      </w:r>
      <w:r>
        <w:t>Mt. 26:6.</w:t>
      </w:r>
    </w:p>
  </w:endnote>
  <w:endnote w:id="484">
    <w:p w:rsidR="00975183" w:rsidRPr="00D27798" w:rsidRDefault="00975183" w:rsidP="00442D33">
      <w:pPr>
        <w:pStyle w:val="EndnoteText"/>
      </w:pPr>
      <w:r w:rsidRPr="00D27798">
        <w:rPr>
          <w:rStyle w:val="EndnoteReference"/>
        </w:rPr>
        <w:endnoteRef/>
      </w:r>
      <w:r w:rsidRPr="00D27798">
        <w:t xml:space="preserve"> </w:t>
      </w:r>
      <w:r>
        <w:t>Jn 12:1.</w:t>
      </w:r>
    </w:p>
  </w:endnote>
  <w:endnote w:id="485">
    <w:p w:rsidR="00975183" w:rsidRPr="00D27798" w:rsidRDefault="00975183" w:rsidP="00442D33">
      <w:pPr>
        <w:pStyle w:val="EndnoteText"/>
      </w:pPr>
      <w:r w:rsidRPr="00D27798">
        <w:rPr>
          <w:rStyle w:val="EndnoteReference"/>
        </w:rPr>
        <w:endnoteRef/>
      </w:r>
      <w:r w:rsidRPr="00D27798">
        <w:t xml:space="preserve"> </w:t>
      </w:r>
      <w:r>
        <w:t>Lk. 7:36.</w:t>
      </w:r>
    </w:p>
  </w:endnote>
  <w:endnote w:id="486">
    <w:p w:rsidR="00975183" w:rsidRDefault="00975183" w:rsidP="00442D33">
      <w:pPr>
        <w:pStyle w:val="EndnoteText"/>
      </w:pPr>
      <w:r w:rsidRPr="00412CC3">
        <w:rPr>
          <w:rStyle w:val="FootnoteReference"/>
        </w:rPr>
        <w:endnoteRef/>
      </w:r>
      <w:r w:rsidRPr="00412CC3">
        <w:t xml:space="preserve"> Matthew 26:71.</w:t>
      </w:r>
    </w:p>
  </w:endnote>
  <w:endnote w:id="487">
    <w:p w:rsidR="00975183" w:rsidRPr="005530FA" w:rsidRDefault="00975183" w:rsidP="00442D33">
      <w:pPr>
        <w:pStyle w:val="EndnoteText"/>
      </w:pPr>
      <w:r w:rsidRPr="005530FA">
        <w:rPr>
          <w:rStyle w:val="EndnoteReference"/>
        </w:rPr>
        <w:endnoteRef/>
      </w:r>
      <w:r w:rsidRPr="005530FA">
        <w:t xml:space="preserve"> </w:t>
      </w:r>
      <w:r>
        <w:t>See table.</w:t>
      </w:r>
    </w:p>
  </w:endnote>
  <w:endnote w:id="488">
    <w:p w:rsidR="00975183" w:rsidRDefault="00975183" w:rsidP="00442D33">
      <w:pPr>
        <w:pStyle w:val="EndnoteText"/>
      </w:pPr>
      <w:r w:rsidRPr="00412CC3">
        <w:rPr>
          <w:rStyle w:val="FootnoteReference"/>
        </w:rPr>
        <w:endnoteRef/>
      </w:r>
      <w:r w:rsidRPr="00412CC3">
        <w:t xml:space="preserve"> Matthew 26:69-75.</w:t>
      </w:r>
    </w:p>
  </w:endnote>
  <w:endnote w:id="489">
    <w:p w:rsidR="00975183" w:rsidRDefault="00975183" w:rsidP="00442D33">
      <w:pPr>
        <w:pStyle w:val="EndnoteText"/>
      </w:pPr>
      <w:r w:rsidRPr="00412CC3">
        <w:rPr>
          <w:rStyle w:val="FootnoteReference"/>
        </w:rPr>
        <w:endnoteRef/>
      </w:r>
      <w:r w:rsidRPr="00412CC3">
        <w:t xml:space="preserve"> Mark 14:66-72.</w:t>
      </w:r>
    </w:p>
  </w:endnote>
  <w:endnote w:id="490">
    <w:p w:rsidR="00975183" w:rsidRDefault="00975183" w:rsidP="00442D33">
      <w:pPr>
        <w:pStyle w:val="EndnoteText"/>
      </w:pPr>
      <w:r w:rsidRPr="00412CC3">
        <w:rPr>
          <w:rStyle w:val="FootnoteReference"/>
        </w:rPr>
        <w:endnoteRef/>
      </w:r>
      <w:r w:rsidRPr="00412CC3">
        <w:t xml:space="preserve"> Luke 22:54-62.</w:t>
      </w:r>
    </w:p>
  </w:endnote>
  <w:endnote w:id="491">
    <w:p w:rsidR="00975183" w:rsidRDefault="00975183" w:rsidP="00442D33">
      <w:pPr>
        <w:pStyle w:val="EndnoteText"/>
      </w:pPr>
      <w:r w:rsidRPr="00412CC3">
        <w:rPr>
          <w:rStyle w:val="FootnoteReference"/>
        </w:rPr>
        <w:endnoteRef/>
      </w:r>
      <w:r w:rsidRPr="00412CC3">
        <w:t xml:space="preserve"> John 18:17, 25-7.</w:t>
      </w:r>
    </w:p>
  </w:endnote>
  <w:endnote w:id="492">
    <w:p w:rsidR="00975183" w:rsidRDefault="00975183" w:rsidP="00442D33">
      <w:pPr>
        <w:pStyle w:val="EndnoteText"/>
      </w:pPr>
      <w:r w:rsidRPr="00412CC3">
        <w:rPr>
          <w:rStyle w:val="FootnoteReference"/>
        </w:rPr>
        <w:endnoteRef/>
      </w:r>
      <w:r w:rsidRPr="00412CC3">
        <w:t xml:space="preserve"> </w:t>
      </w:r>
      <w:r w:rsidRPr="00412CC3">
        <w:rPr>
          <w:i/>
        </w:rPr>
        <w:t>SRB</w:t>
      </w:r>
      <w:r w:rsidRPr="00412CC3">
        <w:t xml:space="preserve"> subhead to Jn 2:13, p. 1116.  </w:t>
      </w:r>
      <w:proofErr w:type="gramStart"/>
      <w:r w:rsidRPr="00145727">
        <w:rPr>
          <w:b/>
        </w:rPr>
        <w:t>See 8.6.</w:t>
      </w:r>
      <w:r>
        <w:rPr>
          <w:b/>
        </w:rPr>
        <w:t>4</w:t>
      </w:r>
      <w:r w:rsidRPr="00412CC3">
        <w:t>.</w:t>
      </w:r>
      <w:proofErr w:type="gramEnd"/>
      <w:r w:rsidRPr="00412CC3">
        <w:t xml:space="preserve">  </w:t>
      </w:r>
    </w:p>
  </w:endnote>
  <w:endnote w:id="493">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subheads to Mt. 21:12, p. 1028; Lk. 19:45, p. 1103.  </w:t>
      </w:r>
      <w:proofErr w:type="gramStart"/>
      <w:r w:rsidRPr="00145727">
        <w:rPr>
          <w:b/>
        </w:rPr>
        <w:t>See 8.6.</w:t>
      </w:r>
      <w:r>
        <w:rPr>
          <w:b/>
        </w:rPr>
        <w:t>4</w:t>
      </w:r>
      <w:r w:rsidRPr="00412CC3">
        <w:t>.</w:t>
      </w:r>
      <w:proofErr w:type="gramEnd"/>
      <w:r w:rsidRPr="003A0F58">
        <w:rPr>
          <w:b/>
        </w:rPr>
        <w:t xml:space="preserve">  </w:t>
      </w:r>
    </w:p>
  </w:endnote>
  <w:endnote w:id="494">
    <w:p w:rsidR="00975183" w:rsidRDefault="00975183" w:rsidP="00442D33">
      <w:pPr>
        <w:pStyle w:val="EndnoteText"/>
      </w:pPr>
      <w:r w:rsidRPr="003A0F58">
        <w:rPr>
          <w:rStyle w:val="EndnoteReference"/>
        </w:rPr>
        <w:endnoteRef/>
      </w:r>
      <w:r w:rsidRPr="003A0F58">
        <w:t xml:space="preserve"> </w:t>
      </w:r>
      <w:r>
        <w:t xml:space="preserve">Richard </w:t>
      </w:r>
      <w:r w:rsidRPr="003A0F58">
        <w:t xml:space="preserve">Burridge, </w:t>
      </w:r>
      <w:r w:rsidRPr="003A0F58">
        <w:rPr>
          <w:i/>
        </w:rPr>
        <w:t>John</w:t>
      </w:r>
      <w:r w:rsidRPr="003A0F58">
        <w:t xml:space="preserve"> (3</w:t>
      </w:r>
      <w:r w:rsidRPr="003A0F58">
        <w:rPr>
          <w:vertAlign w:val="superscript"/>
        </w:rPr>
        <w:t>rd</w:t>
      </w:r>
      <w:r w:rsidRPr="003A0F58">
        <w:t xml:space="preserve"> Edition, The People’s Bible Commentary: A Devotional Commentary for Study and Preaching, Abingdon: The Bible Reading Fellowship, 2010), pp. 50-51.  </w:t>
      </w:r>
    </w:p>
  </w:endnote>
  <w:endnote w:id="495">
    <w:p w:rsidR="00975183" w:rsidRDefault="00975183" w:rsidP="00442D33">
      <w:pPr>
        <w:pStyle w:val="EndnoteText"/>
      </w:pPr>
      <w:r w:rsidRPr="003A0F58">
        <w:rPr>
          <w:rStyle w:val="EndnoteReference"/>
        </w:rPr>
        <w:endnoteRef/>
      </w:r>
      <w:r w:rsidRPr="003A0F58">
        <w:t xml:space="preserve"> Craig Blomberg, </w:t>
      </w:r>
      <w:proofErr w:type="gramStart"/>
      <w:r w:rsidRPr="003A0F58">
        <w:rPr>
          <w:i/>
        </w:rPr>
        <w:t>The</w:t>
      </w:r>
      <w:proofErr w:type="gramEnd"/>
      <w:r w:rsidRPr="003A0F58">
        <w:rPr>
          <w:i/>
        </w:rPr>
        <w:t xml:space="preserve"> Historical Reliability of the Gospels</w:t>
      </w:r>
      <w:r w:rsidRPr="003A0F58">
        <w:t xml:space="preserve"> (Leicester: Inter-Varsity Press, 1987), pp. 171-72.</w:t>
      </w:r>
    </w:p>
  </w:endnote>
  <w:endnote w:id="496">
    <w:p w:rsidR="00975183" w:rsidRDefault="00975183" w:rsidP="00442D33">
      <w:pPr>
        <w:pStyle w:val="EndnoteText"/>
      </w:pPr>
      <w:r w:rsidRPr="005A4949">
        <w:rPr>
          <w:rStyle w:val="FootnoteReference"/>
        </w:rPr>
        <w:endnoteRef/>
      </w:r>
      <w:r w:rsidRPr="005A4949">
        <w:t xml:space="preserve"> Mt. 16:17; Mk 14:12; Lk. 22:7.</w:t>
      </w:r>
    </w:p>
  </w:endnote>
  <w:endnote w:id="497">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note on Mt. 26:57, p. 1039.</w:t>
      </w:r>
    </w:p>
  </w:endnote>
  <w:endnote w:id="498">
    <w:p w:rsidR="00975183" w:rsidRPr="00145727" w:rsidRDefault="00975183" w:rsidP="00442D33">
      <w:pPr>
        <w:pStyle w:val="EndnoteText"/>
      </w:pPr>
      <w:r w:rsidRPr="00145727">
        <w:rPr>
          <w:rStyle w:val="FootnoteReference"/>
        </w:rPr>
        <w:endnoteRef/>
      </w:r>
      <w:r w:rsidRPr="00145727">
        <w:rPr>
          <w:b/>
        </w:rPr>
        <w:t xml:space="preserve"> </w:t>
      </w:r>
      <w:proofErr w:type="gramStart"/>
      <w:r w:rsidRPr="00145727">
        <w:rPr>
          <w:b/>
        </w:rPr>
        <w:t>See 7.2.2</w:t>
      </w:r>
      <w:r w:rsidRPr="00145727">
        <w:t>.</w:t>
      </w:r>
      <w:proofErr w:type="gramEnd"/>
    </w:p>
  </w:endnote>
  <w:endnote w:id="499">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 xml:space="preserve">ote on Mt. 27:37, p. 1042.  </w:t>
      </w:r>
    </w:p>
  </w:endnote>
  <w:endnote w:id="500">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w:t>
      </w:r>
      <w:r>
        <w:t>n</w:t>
      </w:r>
      <w:r w:rsidRPr="003A0F58">
        <w:t xml:space="preserve">ote on Mt. 27:37, p. 1042.  </w:t>
      </w:r>
    </w:p>
  </w:endnote>
  <w:endnote w:id="501">
    <w:p w:rsidR="00975183" w:rsidRPr="00D048E3" w:rsidRDefault="00975183" w:rsidP="00442D33">
      <w:pPr>
        <w:pStyle w:val="EndnoteText"/>
      </w:pPr>
      <w:r w:rsidRPr="00D048E3">
        <w:rPr>
          <w:rStyle w:val="EndnoteReference"/>
        </w:rPr>
        <w:endnoteRef/>
      </w:r>
      <w:r w:rsidRPr="00D048E3">
        <w:t xml:space="preserve"> </w:t>
      </w:r>
      <w:r w:rsidRPr="00D048E3">
        <w:rPr>
          <w:i/>
        </w:rPr>
        <w:t>SRB</w:t>
      </w:r>
      <w:r>
        <w:t xml:space="preserve"> note on Mt. 27:33, p. 1041.</w:t>
      </w:r>
    </w:p>
  </w:endnote>
  <w:endnote w:id="502">
    <w:p w:rsidR="00975183" w:rsidRPr="003A0F58" w:rsidRDefault="00975183" w:rsidP="00442D33">
      <w:pPr>
        <w:pStyle w:val="EndnoteText"/>
      </w:pPr>
      <w:r w:rsidRPr="003A0F58">
        <w:rPr>
          <w:rStyle w:val="EndnoteReference"/>
        </w:rPr>
        <w:endnoteRef/>
      </w:r>
      <w:r w:rsidRPr="003A0F58">
        <w:t xml:space="preserve"> Mk. 27:44; Mk 15:32.</w:t>
      </w:r>
    </w:p>
  </w:endnote>
  <w:endnote w:id="503">
    <w:p w:rsidR="00975183" w:rsidRPr="003A0F58" w:rsidRDefault="00975183" w:rsidP="00442D33">
      <w:pPr>
        <w:pStyle w:val="EndnoteText"/>
      </w:pPr>
      <w:r w:rsidRPr="003A0F58">
        <w:rPr>
          <w:rStyle w:val="EndnoteReference"/>
        </w:rPr>
        <w:endnoteRef/>
      </w:r>
      <w:r w:rsidRPr="003A0F58">
        <w:t xml:space="preserve"> Lk. 23:39-43.</w:t>
      </w:r>
    </w:p>
  </w:endnote>
  <w:endnote w:id="504">
    <w:p w:rsidR="00975183" w:rsidRDefault="00975183" w:rsidP="00442D33">
      <w:pPr>
        <w:pStyle w:val="EndnoteText"/>
      </w:pPr>
      <w:r w:rsidRPr="0006294E">
        <w:rPr>
          <w:rStyle w:val="FootnoteReference"/>
        </w:rPr>
        <w:endnoteRef/>
      </w:r>
      <w:r w:rsidRPr="0006294E">
        <w:t xml:space="preserve"> </w:t>
      </w:r>
      <w:r w:rsidRPr="0006294E">
        <w:rPr>
          <w:i/>
        </w:rPr>
        <w:t>SRB</w:t>
      </w:r>
      <w:r w:rsidRPr="0006294E">
        <w:t xml:space="preserve"> note on Mt. 28:1, p. 1043.  </w:t>
      </w:r>
    </w:p>
  </w:endnote>
  <w:endnote w:id="505">
    <w:p w:rsidR="00975183" w:rsidRDefault="00975183" w:rsidP="00442D33">
      <w:pPr>
        <w:pStyle w:val="EndnoteText"/>
      </w:pPr>
      <w:r w:rsidRPr="0006294E">
        <w:rPr>
          <w:rStyle w:val="FootnoteReference"/>
        </w:rPr>
        <w:endnoteRef/>
      </w:r>
      <w:r w:rsidRPr="0006294E">
        <w:t xml:space="preserve"> </w:t>
      </w:r>
      <w:r w:rsidRPr="0006294E">
        <w:rPr>
          <w:i/>
        </w:rPr>
        <w:t>SRB</w:t>
      </w:r>
      <w:r w:rsidRPr="0006294E">
        <w:t xml:space="preserve"> note on Mt. 28:1, p. 1043.</w:t>
      </w:r>
    </w:p>
  </w:endnote>
  <w:endnote w:id="506">
    <w:p w:rsidR="00975183" w:rsidRDefault="00975183" w:rsidP="00442D33">
      <w:pPr>
        <w:pStyle w:val="EndnoteText"/>
      </w:pPr>
      <w:r w:rsidRPr="0006294E">
        <w:rPr>
          <w:rStyle w:val="FootnoteReference"/>
        </w:rPr>
        <w:endnoteRef/>
      </w:r>
      <w:r w:rsidRPr="0006294E">
        <w:t xml:space="preserve"> Lk. 24:10.</w:t>
      </w:r>
    </w:p>
  </w:endnote>
  <w:endnote w:id="507">
    <w:p w:rsidR="00975183" w:rsidRDefault="00975183" w:rsidP="00442D33">
      <w:pPr>
        <w:pStyle w:val="EndnoteText"/>
      </w:pPr>
      <w:r w:rsidRPr="0006294E">
        <w:rPr>
          <w:rStyle w:val="FootnoteReference"/>
        </w:rPr>
        <w:endnoteRef/>
      </w:r>
      <w:r w:rsidRPr="0006294E">
        <w:t xml:space="preserve"> </w:t>
      </w:r>
      <w:proofErr w:type="gramStart"/>
      <w:r w:rsidRPr="0006294E">
        <w:rPr>
          <w:i/>
        </w:rPr>
        <w:t>My emphases</w:t>
      </w:r>
      <w:r w:rsidRPr="0006294E">
        <w:t>.</w:t>
      </w:r>
      <w:proofErr w:type="gramEnd"/>
      <w:r w:rsidRPr="0006294E">
        <w:t xml:space="preserve">  Lk. 24:10.</w:t>
      </w:r>
    </w:p>
  </w:endnote>
  <w:endnote w:id="508">
    <w:p w:rsidR="00975183" w:rsidRDefault="00975183" w:rsidP="00442D33">
      <w:pPr>
        <w:pStyle w:val="EndnoteText"/>
      </w:pPr>
      <w:r w:rsidRPr="00373406">
        <w:rPr>
          <w:rStyle w:val="FootnoteReference"/>
        </w:rPr>
        <w:endnoteRef/>
      </w:r>
      <w:r w:rsidRPr="00373406">
        <w:t xml:space="preserve"> Lk. 23:55.</w:t>
      </w:r>
    </w:p>
  </w:endnote>
  <w:endnote w:id="509">
    <w:p w:rsidR="00975183" w:rsidRDefault="00975183" w:rsidP="00442D33">
      <w:pPr>
        <w:pStyle w:val="EndnoteText"/>
      </w:pPr>
      <w:r w:rsidRPr="00373406">
        <w:rPr>
          <w:rStyle w:val="FootnoteReference"/>
        </w:rPr>
        <w:endnoteRef/>
      </w:r>
      <w:r w:rsidRPr="00373406">
        <w:t xml:space="preserve"> Lk. 24:1</w:t>
      </w:r>
      <w:r>
        <w:t xml:space="preserve">, </w:t>
      </w:r>
      <w:r w:rsidRPr="000F607C">
        <w:rPr>
          <w:i/>
        </w:rPr>
        <w:t>KJV</w:t>
      </w:r>
      <w:r w:rsidRPr="00373406">
        <w:t>.</w:t>
      </w:r>
    </w:p>
  </w:endnote>
  <w:endnote w:id="510">
    <w:p w:rsidR="00975183" w:rsidRDefault="00975183" w:rsidP="00442D33">
      <w:pPr>
        <w:pStyle w:val="EndnoteText"/>
      </w:pPr>
      <w:r w:rsidRPr="00373406">
        <w:rPr>
          <w:rStyle w:val="FootnoteReference"/>
        </w:rPr>
        <w:endnoteRef/>
      </w:r>
      <w:r w:rsidRPr="00373406">
        <w:t xml:space="preserve"> ‘</w:t>
      </w:r>
      <w:r w:rsidRPr="00373406">
        <w:rPr>
          <w:lang w:val="en-US"/>
        </w:rPr>
        <w:t xml:space="preserve">And the women also, which came with him from Galilee, followed after, and beheld the sepulchre, and how his body was laid. </w:t>
      </w:r>
      <w:r w:rsidRPr="00373406">
        <w:rPr>
          <w:vertAlign w:val="superscript"/>
          <w:lang w:val="en-US"/>
        </w:rPr>
        <w:t>56</w:t>
      </w:r>
      <w:r w:rsidRPr="00373406">
        <w:rPr>
          <w:lang w:val="en-US"/>
        </w:rPr>
        <w:t xml:space="preserve">And they returned, and prepared spices and ointments: and rested the </w:t>
      </w:r>
      <w:proofErr w:type="gramStart"/>
      <w:r w:rsidRPr="00373406">
        <w:rPr>
          <w:lang w:val="en-US"/>
        </w:rPr>
        <w:t>sabbath</w:t>
      </w:r>
      <w:proofErr w:type="gramEnd"/>
      <w:r w:rsidRPr="00373406">
        <w:rPr>
          <w:lang w:val="en-US"/>
        </w:rPr>
        <w:t xml:space="preserve"> day according to the commandment.  </w:t>
      </w:r>
      <w:r w:rsidRPr="00373406">
        <w:rPr>
          <w:vertAlign w:val="superscript"/>
          <w:lang w:val="en-US"/>
        </w:rPr>
        <w:t>24:1</w:t>
      </w:r>
      <w:r w:rsidRPr="00373406">
        <w:rPr>
          <w:lang w:val="en-US"/>
        </w:rPr>
        <w:t xml:space="preserve">Now upon the first </w:t>
      </w:r>
      <w:r w:rsidRPr="00373406">
        <w:rPr>
          <w:i/>
          <w:iCs/>
          <w:lang w:val="en-US"/>
        </w:rPr>
        <w:t>day</w:t>
      </w:r>
      <w:r w:rsidRPr="00373406">
        <w:rPr>
          <w:lang w:val="en-US"/>
        </w:rPr>
        <w:t xml:space="preserve"> of the week, very early in the morning, they came unto the sepulchre, bringing the spices which they had prepared, and certain </w:t>
      </w:r>
      <w:r w:rsidRPr="00373406">
        <w:rPr>
          <w:i/>
          <w:iCs/>
          <w:lang w:val="en-US"/>
        </w:rPr>
        <w:t>others</w:t>
      </w:r>
      <w:r w:rsidRPr="00373406">
        <w:rPr>
          <w:lang w:val="en-US"/>
        </w:rPr>
        <w:t xml:space="preserve"> with them.</w:t>
      </w:r>
      <w:r w:rsidRPr="00373406">
        <w:t xml:space="preserve">’  </w:t>
      </w:r>
      <w:proofErr w:type="gramStart"/>
      <w:r w:rsidRPr="00373406">
        <w:t xml:space="preserve">Lk. 23:55 – 24:1, </w:t>
      </w:r>
      <w:r w:rsidRPr="00373406">
        <w:rPr>
          <w:i/>
        </w:rPr>
        <w:t>KJV</w:t>
      </w:r>
      <w:r w:rsidRPr="00373406">
        <w:t>.</w:t>
      </w:r>
      <w:proofErr w:type="gramEnd"/>
    </w:p>
  </w:endnote>
  <w:endnote w:id="511">
    <w:p w:rsidR="00975183" w:rsidRDefault="00975183" w:rsidP="00442D33">
      <w:pPr>
        <w:pStyle w:val="EndnoteText"/>
      </w:pPr>
      <w:r w:rsidRPr="00373406">
        <w:rPr>
          <w:rStyle w:val="FootnoteReference"/>
        </w:rPr>
        <w:endnoteRef/>
      </w:r>
      <w:r w:rsidRPr="00373406">
        <w:t xml:space="preserve"> </w:t>
      </w:r>
      <w:r w:rsidRPr="00373406">
        <w:rPr>
          <w:i/>
        </w:rPr>
        <w:t>SRB</w:t>
      </w:r>
      <w:r w:rsidRPr="00373406">
        <w:t xml:space="preserve"> note on Mt. 28:1, p. 1043.  Texts used are Mt. 28:2, 8-10; Mk 16:5; Lk. 23:55 – 24:9; Jn 20:1-19.</w:t>
      </w:r>
    </w:p>
  </w:endnote>
  <w:endnote w:id="512">
    <w:p w:rsidR="00975183" w:rsidRDefault="00975183" w:rsidP="00442D33">
      <w:pPr>
        <w:pStyle w:val="EndnoteText"/>
      </w:pPr>
      <w:r w:rsidRPr="0017170C">
        <w:rPr>
          <w:rStyle w:val="FootnoteReference"/>
        </w:rPr>
        <w:endnoteRef/>
      </w:r>
      <w:r w:rsidRPr="0017170C">
        <w:t xml:space="preserve"> </w:t>
      </w:r>
      <w:r w:rsidRPr="0017170C">
        <w:rPr>
          <w:i/>
        </w:rPr>
        <w:t xml:space="preserve">SRB </w:t>
      </w:r>
      <w:r w:rsidRPr="0017170C">
        <w:t>note on Mt. 28:9, pp. 1043-4</w:t>
      </w:r>
      <w:r w:rsidRPr="00425C24">
        <w:rPr>
          <w:b/>
        </w:rPr>
        <w:t xml:space="preserve">.  </w:t>
      </w:r>
    </w:p>
  </w:endnote>
  <w:endnote w:id="513">
    <w:p w:rsidR="00975183" w:rsidRDefault="00975183" w:rsidP="00442D33">
      <w:pPr>
        <w:spacing w:after="0" w:line="240" w:lineRule="auto"/>
      </w:pPr>
      <w:r w:rsidRPr="003A0F58">
        <w:rPr>
          <w:rStyle w:val="EndnoteReference"/>
        </w:rPr>
        <w:endnoteRef/>
      </w:r>
      <w:r w:rsidRPr="003A0F58">
        <w:t xml:space="preserve"> Jn 20:14-18; Mt. 28:8-10; Lk. 24:34; 1 Cor. 15:5; Lk. 24:13-31; Lk 24:36-43; Jn 20:19-24; </w:t>
      </w:r>
    </w:p>
    <w:p w:rsidR="00975183" w:rsidRDefault="00975183" w:rsidP="00442D33">
      <w:pPr>
        <w:spacing w:after="0" w:line="240" w:lineRule="auto"/>
      </w:pPr>
      <w:r w:rsidRPr="003A0F58">
        <w:t xml:space="preserve">Jn 21:1-23; </w:t>
      </w:r>
    </w:p>
    <w:p w:rsidR="00975183" w:rsidRPr="003A0F58" w:rsidRDefault="00975183" w:rsidP="00442D33">
      <w:pPr>
        <w:spacing w:after="0" w:line="240" w:lineRule="auto"/>
      </w:pPr>
      <w:r w:rsidRPr="003A0F58">
        <w:t xml:space="preserve">1 Cor. 15:6; 1 Cor. 15:7; Mt. 28:16-20; Mk 16:14-20; Lk. 24:33-53; Acts 1:3-12.  </w:t>
      </w:r>
    </w:p>
  </w:endnote>
  <w:endnote w:id="514">
    <w:p w:rsidR="00975183" w:rsidRPr="003A0F58" w:rsidRDefault="00975183" w:rsidP="00442D33">
      <w:pPr>
        <w:pStyle w:val="EndnoteText"/>
      </w:pPr>
      <w:r w:rsidRPr="003A0F58">
        <w:rPr>
          <w:rStyle w:val="EndnoteReference"/>
        </w:rPr>
        <w:endnoteRef/>
      </w:r>
      <w:r w:rsidRPr="003A0F58">
        <w:t xml:space="preserve"> Acts 9:3-6, 22:17-21, 23:11; 1 Cor. 15:8. </w:t>
      </w:r>
    </w:p>
  </w:endnote>
  <w:endnote w:id="515">
    <w:p w:rsidR="00975183" w:rsidRPr="003A0F58" w:rsidRDefault="00975183" w:rsidP="00442D33">
      <w:pPr>
        <w:pStyle w:val="EndnoteText"/>
      </w:pPr>
      <w:r w:rsidRPr="003A0F58">
        <w:rPr>
          <w:rStyle w:val="EndnoteReference"/>
        </w:rPr>
        <w:endnoteRef/>
      </w:r>
      <w:r w:rsidRPr="003A0F58">
        <w:t xml:space="preserve"> </w:t>
      </w:r>
      <w:proofErr w:type="gramStart"/>
      <w:r w:rsidRPr="003A0F58">
        <w:t>Acts 7:55.</w:t>
      </w:r>
      <w:proofErr w:type="gramEnd"/>
    </w:p>
  </w:endnote>
  <w:endnote w:id="516">
    <w:p w:rsidR="00975183" w:rsidRPr="003A0F58" w:rsidRDefault="00975183" w:rsidP="00442D33">
      <w:pPr>
        <w:pStyle w:val="EndnoteText"/>
      </w:pPr>
      <w:r w:rsidRPr="003A0F58">
        <w:rPr>
          <w:rStyle w:val="EndnoteReference"/>
        </w:rPr>
        <w:endnoteRef/>
      </w:r>
      <w:r w:rsidRPr="003A0F58">
        <w:t xml:space="preserve"> </w:t>
      </w:r>
      <w:proofErr w:type="gramStart"/>
      <w:r w:rsidRPr="003A0F58">
        <w:t>Rev. 1:10-19.</w:t>
      </w:r>
      <w:proofErr w:type="gramEnd"/>
      <w:r w:rsidRPr="003A0F58">
        <w:t xml:space="preserve"> </w:t>
      </w:r>
    </w:p>
  </w:endnote>
  <w:endnote w:id="517">
    <w:p w:rsidR="00975183" w:rsidRDefault="00975183" w:rsidP="00442D33">
      <w:pPr>
        <w:pStyle w:val="EndnoteText"/>
      </w:pPr>
      <w:r w:rsidRPr="005A4949">
        <w:rPr>
          <w:rStyle w:val="FootnoteReference"/>
        </w:rPr>
        <w:endnoteRef/>
      </w:r>
      <w:r w:rsidRPr="005A4949">
        <w:t xml:space="preserve"> Chafer, </w:t>
      </w:r>
      <w:r w:rsidRPr="005A4949">
        <w:rPr>
          <w:i/>
        </w:rPr>
        <w:t>Dispensationalism</w:t>
      </w:r>
      <w:r w:rsidRPr="005A4949">
        <w:t>, p. 18.</w:t>
      </w:r>
    </w:p>
  </w:endnote>
  <w:endnote w:id="518">
    <w:p w:rsidR="00975183" w:rsidRDefault="00975183" w:rsidP="00442D33">
      <w:pPr>
        <w:pStyle w:val="EndnoteText"/>
      </w:pPr>
      <w:r w:rsidRPr="005A4949">
        <w:rPr>
          <w:rStyle w:val="FootnoteReference"/>
        </w:rPr>
        <w:endnoteRef/>
      </w:r>
      <w:r w:rsidRPr="005A4949">
        <w:t xml:space="preserve"> Feinberg, </w:t>
      </w:r>
      <w:r w:rsidRPr="005A4949">
        <w:rPr>
          <w:i/>
        </w:rPr>
        <w:t>Millennialism</w:t>
      </w:r>
      <w:r w:rsidRPr="005A4949">
        <w:t>, p. 37.</w:t>
      </w:r>
    </w:p>
  </w:endnote>
  <w:endnote w:id="519">
    <w:p w:rsidR="00975183" w:rsidRDefault="00975183" w:rsidP="00442D33">
      <w:pPr>
        <w:pStyle w:val="EndnoteText"/>
      </w:pPr>
      <w:r w:rsidRPr="005A4949">
        <w:rPr>
          <w:rStyle w:val="FootnoteReference"/>
        </w:rPr>
        <w:endnoteRef/>
      </w:r>
      <w:r w:rsidRPr="005A4949">
        <w:t xml:space="preserve"> Bock, ‘How We Read Texts’, </w:t>
      </w:r>
      <w:r w:rsidRPr="005A4949">
        <w:rPr>
          <w:i/>
        </w:rPr>
        <w:t>Progressive Dispensationalism</w:t>
      </w:r>
      <w:r w:rsidRPr="005A4949">
        <w:t>, p. 62.</w:t>
      </w:r>
    </w:p>
  </w:endnote>
  <w:endnote w:id="520">
    <w:p w:rsidR="00975183" w:rsidRDefault="00975183" w:rsidP="00442D33">
      <w:pPr>
        <w:pStyle w:val="EndnoteText"/>
      </w:pPr>
      <w:r w:rsidRPr="005A4949">
        <w:rPr>
          <w:rStyle w:val="FootnoteReference"/>
        </w:rPr>
        <w:endnoteRef/>
      </w:r>
      <w:r w:rsidRPr="005A4949">
        <w:t xml:space="preserve"> Blaising, ‘Extent &amp; Varieties of Dispensationalism’, </w:t>
      </w:r>
      <w:r w:rsidRPr="005A4949">
        <w:rPr>
          <w:i/>
        </w:rPr>
        <w:t>Progressive Dispensationalism</w:t>
      </w:r>
      <w:r w:rsidRPr="005A4949">
        <w:t>, p. 52.</w:t>
      </w:r>
    </w:p>
  </w:endnote>
  <w:endnote w:id="521">
    <w:p w:rsidR="00975183" w:rsidRDefault="00975183" w:rsidP="00442D33">
      <w:pPr>
        <w:pStyle w:val="EndnoteText"/>
      </w:pPr>
      <w:r w:rsidRPr="005A4949">
        <w:rPr>
          <w:rStyle w:val="FootnoteReference"/>
        </w:rPr>
        <w:endnoteRef/>
      </w:r>
      <w:r w:rsidRPr="005A4949">
        <w:t xml:space="preserve"> Blaising, ‘Extent &amp; Varieties of Dispensationalism’, </w:t>
      </w:r>
      <w:r w:rsidRPr="005A4949">
        <w:rPr>
          <w:i/>
        </w:rPr>
        <w:t>Progressive Dispensationalism</w:t>
      </w:r>
      <w:r w:rsidRPr="005A4949">
        <w:t>, p. 22.</w:t>
      </w:r>
    </w:p>
  </w:endnote>
  <w:endnote w:id="522">
    <w:p w:rsidR="00975183" w:rsidRDefault="00975183" w:rsidP="00442D33">
      <w:pPr>
        <w:pStyle w:val="EndnoteText"/>
      </w:pPr>
      <w:r w:rsidRPr="005A4949">
        <w:rPr>
          <w:rStyle w:val="FootnoteReference"/>
        </w:rPr>
        <w:endnoteRef/>
      </w:r>
      <w:r w:rsidRPr="005A4949">
        <w:t xml:space="preserve"> Blaising, ‘Extent &amp; Varieties of Dispensationalism’, </w:t>
      </w:r>
      <w:r w:rsidRPr="005A4949">
        <w:rPr>
          <w:i/>
        </w:rPr>
        <w:t>Progressive Dispensationalism</w:t>
      </w:r>
      <w:r w:rsidRPr="005A4949">
        <w:t>, p. 22.</w:t>
      </w:r>
    </w:p>
  </w:endnote>
  <w:endnote w:id="523">
    <w:p w:rsidR="00975183" w:rsidRPr="00203EDE" w:rsidRDefault="00975183" w:rsidP="00442D33">
      <w:pPr>
        <w:pStyle w:val="EndnoteText"/>
      </w:pPr>
      <w:r w:rsidRPr="00203EDE">
        <w:rPr>
          <w:rStyle w:val="EndnoteReference"/>
        </w:rPr>
        <w:endnoteRef/>
      </w:r>
      <w:r w:rsidRPr="00203EDE">
        <w:t xml:space="preserve"> Significant references are especially found in the </w:t>
      </w:r>
      <w:r w:rsidRPr="005E644E">
        <w:rPr>
          <w:i/>
        </w:rPr>
        <w:t xml:space="preserve">SRB </w:t>
      </w:r>
      <w:r w:rsidRPr="00203EDE">
        <w:t xml:space="preserve">notes on: </w:t>
      </w:r>
    </w:p>
    <w:p w:rsidR="00975183" w:rsidRPr="00F76006" w:rsidRDefault="00975183" w:rsidP="00442D33">
      <w:pPr>
        <w:pStyle w:val="EndnoteText"/>
      </w:pPr>
      <w:r w:rsidRPr="00F76006">
        <w:rPr>
          <w:b/>
        </w:rPr>
        <w:t>Genesis:</w:t>
      </w:r>
      <w:r w:rsidRPr="00F76006">
        <w:t xml:space="preserve"> Gen. 3:15, p. 9; 9:1, p. 16; 14:18, p. 23; 36:1. p. 51; </w:t>
      </w:r>
    </w:p>
    <w:p w:rsidR="00975183" w:rsidRPr="00F76006" w:rsidRDefault="00975183" w:rsidP="00442D33">
      <w:pPr>
        <w:pStyle w:val="EndnoteText"/>
      </w:pPr>
      <w:r w:rsidRPr="00F76006">
        <w:rPr>
          <w:b/>
        </w:rPr>
        <w:t xml:space="preserve">Isaiah: </w:t>
      </w:r>
      <w:r w:rsidRPr="00F76006">
        <w:t>Isa. 7:13, p. 719; 10:20, p. 722; 11:1, p. 723; 13:1, p. 724;</w:t>
      </w:r>
      <w:r w:rsidRPr="00F76006">
        <w:rPr>
          <w:i/>
        </w:rPr>
        <w:t xml:space="preserve"> </w:t>
      </w:r>
      <w:r w:rsidRPr="00F76006">
        <w:t xml:space="preserve">29:3, p. 737; 40:1, p. 747; </w:t>
      </w:r>
    </w:p>
    <w:p w:rsidR="00975183" w:rsidRDefault="00975183" w:rsidP="00442D33">
      <w:pPr>
        <w:pStyle w:val="EndnoteText"/>
      </w:pPr>
      <w:r w:rsidRPr="00F76006">
        <w:rPr>
          <w:b/>
        </w:rPr>
        <w:t>Ezekiel:</w:t>
      </w:r>
      <w:r w:rsidRPr="00F76006">
        <w:t xml:space="preserve"> </w:t>
      </w:r>
      <w:r w:rsidRPr="005E644E">
        <w:rPr>
          <w:i/>
        </w:rPr>
        <w:t>SRB</w:t>
      </w:r>
      <w:r>
        <w:t xml:space="preserve"> </w:t>
      </w:r>
      <w:r w:rsidRPr="00F76006">
        <w:t xml:space="preserve">Introduction to Ezekiel, p. 840; </w:t>
      </w:r>
      <w:r w:rsidRPr="00F76006">
        <w:rPr>
          <w:i/>
        </w:rPr>
        <w:t>SRB</w:t>
      </w:r>
      <w:r w:rsidRPr="00F76006">
        <w:t xml:space="preserve">, </w:t>
      </w:r>
      <w:r>
        <w:t xml:space="preserve">notes on Ezek. 20:37, </w:t>
      </w:r>
      <w:r w:rsidRPr="00F76006">
        <w:t>p. 861;</w:t>
      </w:r>
      <w:r>
        <w:t xml:space="preserve"> </w:t>
      </w:r>
      <w:r w:rsidRPr="00F76006">
        <w:t xml:space="preserve">25:8, p. 868; 36:1, p. 879; </w:t>
      </w:r>
    </w:p>
    <w:p w:rsidR="00975183" w:rsidRPr="00F76006" w:rsidRDefault="00975183" w:rsidP="00442D33">
      <w:pPr>
        <w:pStyle w:val="EndnoteText"/>
      </w:pPr>
      <w:r w:rsidRPr="00F76006">
        <w:t>38:1, p. 883; 38:2, p. 883; 39:1, p. 884</w:t>
      </w:r>
      <w:r>
        <w:t>;</w:t>
      </w:r>
      <w:r w:rsidRPr="00F76006">
        <w:t xml:space="preserve"> </w:t>
      </w:r>
    </w:p>
    <w:p w:rsidR="00975183" w:rsidRPr="00F76006" w:rsidRDefault="00975183" w:rsidP="00442D33">
      <w:pPr>
        <w:pStyle w:val="EndnoteText"/>
      </w:pPr>
      <w:r w:rsidRPr="00F76006">
        <w:rPr>
          <w:b/>
        </w:rPr>
        <w:t>Daniel:</w:t>
      </w:r>
      <w:r w:rsidRPr="00F76006">
        <w:t xml:space="preserve"> </w:t>
      </w:r>
      <w:r w:rsidRPr="005E644E">
        <w:rPr>
          <w:i/>
        </w:rPr>
        <w:t>SRB</w:t>
      </w:r>
      <w:r>
        <w:t xml:space="preserve"> </w:t>
      </w:r>
      <w:r w:rsidRPr="00F76006">
        <w:t>Introduction to Daniel, p. 898</w:t>
      </w:r>
      <w:r>
        <w:t xml:space="preserve">, </w:t>
      </w:r>
      <w:r w:rsidRPr="007F783B">
        <w:t xml:space="preserve">and notes and subheads on Dan. 5:31, p. 908 </w:t>
      </w:r>
      <w:r w:rsidRPr="00145727">
        <w:t>(s</w:t>
      </w:r>
      <w:r w:rsidRPr="00145727">
        <w:rPr>
          <w:b/>
        </w:rPr>
        <w:t>ee 8.4.4</w:t>
      </w:r>
      <w:r w:rsidRPr="00145727">
        <w:t>);</w:t>
      </w:r>
      <w:r w:rsidRPr="00145727">
        <w:rPr>
          <w:b/>
        </w:rPr>
        <w:t xml:space="preserve"> </w:t>
      </w:r>
      <w:r w:rsidRPr="00F76006">
        <w:t xml:space="preserve">Dan. 7:26, p. 911; Dan. 8:9, </w:t>
      </w:r>
      <w:r>
        <w:t xml:space="preserve">10, </w:t>
      </w:r>
      <w:r w:rsidRPr="00F76006">
        <w:t>p. 912; Dan. 8:19, p. 913; Dan. 9:</w:t>
      </w:r>
      <w:r>
        <w:t xml:space="preserve">24, </w:t>
      </w:r>
      <w:r w:rsidRPr="00F76006">
        <w:t>25, p. 915</w:t>
      </w:r>
      <w:r>
        <w:t>;</w:t>
      </w:r>
      <w:r w:rsidRPr="00F76006">
        <w:t xml:space="preserve"> Dan. 11:35, p. 918; Dan. 12:4, p. 919; Dan. 12:12, p. 920; </w:t>
      </w:r>
    </w:p>
    <w:p w:rsidR="00975183" w:rsidRDefault="00975183" w:rsidP="00442D33">
      <w:pPr>
        <w:pStyle w:val="EndnoteText"/>
      </w:pPr>
      <w:r w:rsidRPr="00F76006">
        <w:rPr>
          <w:b/>
        </w:rPr>
        <w:t>Zechariah:</w:t>
      </w:r>
      <w:r w:rsidRPr="00F76006">
        <w:t xml:space="preserve"> </w:t>
      </w:r>
      <w:r w:rsidRPr="00F76006">
        <w:rPr>
          <w:i/>
        </w:rPr>
        <w:t>SRB</w:t>
      </w:r>
      <w:r>
        <w:t xml:space="preserve"> </w:t>
      </w:r>
      <w:r w:rsidRPr="00F76006">
        <w:t xml:space="preserve">Introduction to Zechariah, p. 965; </w:t>
      </w:r>
      <w:r w:rsidRPr="00F76006">
        <w:rPr>
          <w:i/>
        </w:rPr>
        <w:t>SRB</w:t>
      </w:r>
      <w:r>
        <w:t xml:space="preserve"> notes on </w:t>
      </w:r>
      <w:r w:rsidRPr="00F76006">
        <w:t xml:space="preserve">Zech. 2:1, p. 966; 4:2, p. 468; 5:6, p. 968; </w:t>
      </w:r>
    </w:p>
    <w:p w:rsidR="00975183" w:rsidRPr="00F76006" w:rsidRDefault="00975183" w:rsidP="00442D33">
      <w:pPr>
        <w:pStyle w:val="EndnoteText"/>
      </w:pPr>
      <w:r w:rsidRPr="00F76006">
        <w:t xml:space="preserve">6:11, p. 970; 11:15, p. 975; 12:1, p. 976; 12:8, p. 976; </w:t>
      </w:r>
    </w:p>
    <w:p w:rsidR="00975183" w:rsidRPr="00F76006" w:rsidRDefault="00975183" w:rsidP="00442D33">
      <w:pPr>
        <w:pStyle w:val="EndnoteText"/>
      </w:pPr>
      <w:r w:rsidRPr="00F76006">
        <w:rPr>
          <w:b/>
        </w:rPr>
        <w:t>Malachi:</w:t>
      </w:r>
      <w:r w:rsidRPr="00F76006">
        <w:t xml:space="preserve"> </w:t>
      </w:r>
      <w:r w:rsidRPr="000500ED">
        <w:rPr>
          <w:i/>
        </w:rPr>
        <w:t>SRB</w:t>
      </w:r>
      <w:r>
        <w:t xml:space="preserve"> note on </w:t>
      </w:r>
      <w:r w:rsidRPr="00F76006">
        <w:t xml:space="preserve">Mal. 3:1, p. 982; </w:t>
      </w:r>
    </w:p>
    <w:p w:rsidR="00975183" w:rsidRPr="00F76006" w:rsidRDefault="00975183" w:rsidP="00442D33">
      <w:pPr>
        <w:pStyle w:val="EndnoteText"/>
      </w:pPr>
      <w:r w:rsidRPr="005C3545">
        <w:rPr>
          <w:b/>
          <w:i/>
        </w:rPr>
        <w:t>SRB</w:t>
      </w:r>
      <w:r w:rsidRPr="005C3545">
        <w:rPr>
          <w:b/>
        </w:rPr>
        <w:t xml:space="preserve"> </w:t>
      </w:r>
      <w:r w:rsidRPr="00F76006">
        <w:rPr>
          <w:b/>
        </w:rPr>
        <w:t>Introduction to the Four Gospels,</w:t>
      </w:r>
      <w:r w:rsidRPr="00F76006">
        <w:t xml:space="preserve"> p. 989; </w:t>
      </w:r>
    </w:p>
    <w:p w:rsidR="00975183" w:rsidRPr="00381984" w:rsidRDefault="00975183" w:rsidP="00442D33">
      <w:pPr>
        <w:pStyle w:val="EndnoteText"/>
      </w:pPr>
      <w:r w:rsidRPr="00F76006">
        <w:rPr>
          <w:b/>
        </w:rPr>
        <w:t>Matthew:</w:t>
      </w:r>
      <w:r w:rsidRPr="00F76006">
        <w:t xml:space="preserve"> </w:t>
      </w:r>
      <w:r w:rsidRPr="00F76006">
        <w:rPr>
          <w:i/>
        </w:rPr>
        <w:t>SRB</w:t>
      </w:r>
      <w:r>
        <w:t xml:space="preserve"> notes on </w:t>
      </w:r>
      <w:r w:rsidRPr="00F76006">
        <w:t xml:space="preserve">Mt. 2:15, p. 995; 3:2, p. 996; 13:17, p. 1015; </w:t>
      </w:r>
      <w:r w:rsidRPr="00381984">
        <w:t xml:space="preserve">13:44, p. 1017; 17:10, p. 1023; </w:t>
      </w:r>
    </w:p>
    <w:p w:rsidR="00975183" w:rsidRPr="00381984" w:rsidRDefault="00975183" w:rsidP="00442D33">
      <w:pPr>
        <w:pStyle w:val="EndnoteText"/>
      </w:pPr>
      <w:r w:rsidRPr="00381984">
        <w:rPr>
          <w:b/>
        </w:rPr>
        <w:t>Acts:</w:t>
      </w:r>
      <w:r w:rsidRPr="00381984">
        <w:t xml:space="preserve"> </w:t>
      </w:r>
      <w:r w:rsidRPr="00F76006">
        <w:rPr>
          <w:i/>
        </w:rPr>
        <w:t>SRB</w:t>
      </w:r>
      <w:r>
        <w:t xml:space="preserve"> notes on </w:t>
      </w:r>
      <w:r w:rsidRPr="00381984">
        <w:t>Acts 1:11, p. 1148; 2:14, p. 1150</w:t>
      </w:r>
      <w:r>
        <w:t xml:space="preserve">; </w:t>
      </w:r>
      <w:r w:rsidRPr="00381984">
        <w:t>3:20,</w:t>
      </w:r>
      <w:r>
        <w:t xml:space="preserve"> 21</w:t>
      </w:r>
      <w:r w:rsidRPr="00381984">
        <w:t xml:space="preserve">, p. 1153; 15:13, pp. 1169-70; </w:t>
      </w:r>
    </w:p>
    <w:p w:rsidR="00975183" w:rsidRPr="003A0F58" w:rsidRDefault="00975183" w:rsidP="00442D33">
      <w:pPr>
        <w:pStyle w:val="EndnoteText"/>
      </w:pPr>
      <w:r w:rsidRPr="003A0F58">
        <w:rPr>
          <w:b/>
        </w:rPr>
        <w:t>Revelation:</w:t>
      </w:r>
      <w:r w:rsidRPr="003A0F58">
        <w:t xml:space="preserve"> </w:t>
      </w:r>
      <w:r w:rsidRPr="00542EA1">
        <w:rPr>
          <w:i/>
        </w:rPr>
        <w:t>SRB</w:t>
      </w:r>
      <w:r>
        <w:t xml:space="preserve"> </w:t>
      </w:r>
      <w:r w:rsidRPr="003A0F58">
        <w:t xml:space="preserve">Introduction to Revelation, p. 1330; and </w:t>
      </w:r>
      <w:r w:rsidRPr="00542EA1">
        <w:rPr>
          <w:i/>
        </w:rPr>
        <w:t>SRB</w:t>
      </w:r>
      <w:r w:rsidRPr="003A0F58">
        <w:t xml:space="preserve"> notes on Rev. 1:20, p. 1331; (</w:t>
      </w:r>
      <w:r w:rsidRPr="003A0F58">
        <w:rPr>
          <w:i/>
        </w:rPr>
        <w:t>SRB</w:t>
      </w:r>
      <w:r w:rsidRPr="003A0F58">
        <w:t xml:space="preserve"> lists seven aspects of prophecy); 3:21, p. 1334; 13:3, p. 1342; 18:2, pp. 1346-7; 19:17, pp. 1348-9.</w:t>
      </w:r>
    </w:p>
  </w:endnote>
  <w:endnote w:id="524">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SRB</w:t>
      </w:r>
      <w:r w:rsidRPr="003A0F58">
        <w:t xml:space="preserve"> </w:t>
      </w:r>
      <w:r>
        <w:t>n</w:t>
      </w:r>
      <w:r w:rsidRPr="003A0F58">
        <w:t>ote on 1 Cor. 14:1, p. 1224.</w:t>
      </w:r>
      <w:proofErr w:type="gramEnd"/>
      <w:r w:rsidRPr="003A0F58">
        <w:t xml:space="preserve"> </w:t>
      </w:r>
    </w:p>
  </w:endnote>
  <w:endnote w:id="525">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w:t>
      </w:r>
      <w:r w:rsidRPr="003A0F58">
        <w:t>Introduction to the Prophetical Books, p. 712.</w:t>
      </w:r>
    </w:p>
  </w:endnote>
  <w:endnote w:id="526">
    <w:p w:rsidR="00975183" w:rsidRDefault="00975183" w:rsidP="00442D33">
      <w:pPr>
        <w:pStyle w:val="EndnoteText"/>
      </w:pPr>
      <w:r w:rsidRPr="005A4949">
        <w:rPr>
          <w:rStyle w:val="FootnoteReference"/>
        </w:rPr>
        <w:endnoteRef/>
      </w:r>
      <w:r w:rsidRPr="005A4949">
        <w:t xml:space="preserve"> </w:t>
      </w:r>
      <w:r w:rsidRPr="003A0F58">
        <w:rPr>
          <w:i/>
        </w:rPr>
        <w:t>SRB</w:t>
      </w:r>
      <w:r>
        <w:t xml:space="preserve"> </w:t>
      </w:r>
      <w:r w:rsidRPr="005A4949">
        <w:t>Introduction to the Prophetical Books, p. 711.</w:t>
      </w:r>
    </w:p>
  </w:endnote>
  <w:endnote w:id="527">
    <w:p w:rsidR="00975183" w:rsidRDefault="00975183" w:rsidP="00442D33">
      <w:pPr>
        <w:pStyle w:val="EndnoteText"/>
      </w:pPr>
      <w:r w:rsidRPr="005A4949">
        <w:rPr>
          <w:rStyle w:val="FootnoteReference"/>
        </w:rPr>
        <w:endnoteRef/>
      </w:r>
      <w:r w:rsidRPr="005A4949">
        <w:t xml:space="preserve"> </w:t>
      </w:r>
      <w:r w:rsidRPr="003A0F58">
        <w:rPr>
          <w:i/>
        </w:rPr>
        <w:t>SRB</w:t>
      </w:r>
      <w:r>
        <w:t xml:space="preserve"> </w:t>
      </w:r>
      <w:r w:rsidRPr="005A4949">
        <w:t>Introduction to the Prophetical Books, p. 711.</w:t>
      </w:r>
    </w:p>
  </w:endnote>
  <w:endnote w:id="528">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note on Zech. 11:11, p. 975.  </w:t>
      </w:r>
    </w:p>
  </w:endnote>
  <w:endnote w:id="529">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note on Mal. 3:1, p. 982.</w:t>
      </w:r>
      <w:r>
        <w:t xml:space="preserve">  </w:t>
      </w:r>
    </w:p>
  </w:endnote>
  <w:endnote w:id="530">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SRB</w:t>
      </w:r>
      <w:r>
        <w:t xml:space="preserve"> </w:t>
      </w:r>
      <w:r w:rsidRPr="003A0F58">
        <w:t>Introduction to the Four Gospels, p 989.</w:t>
      </w:r>
      <w:proofErr w:type="gramEnd"/>
    </w:p>
  </w:endnote>
  <w:endnote w:id="531">
    <w:p w:rsidR="00975183" w:rsidRDefault="00975183" w:rsidP="00442D33">
      <w:pPr>
        <w:pStyle w:val="EndnoteText"/>
      </w:pPr>
      <w:r w:rsidRPr="003A0F58">
        <w:rPr>
          <w:rStyle w:val="EndnoteReference"/>
        </w:rPr>
        <w:endnoteRef/>
      </w:r>
      <w:r w:rsidRPr="003A0F58">
        <w:t xml:space="preserve"> Examples neglected include passages like Isa. 3:13-15; 16:5; 57:2; Isaiah 22, 24, 25, 28, 33, 56, 58; Jer. 17:4; 24:4-7; 29:16-19; 35:13-16; Jeremiah 5, 6, 8, 9, 13, 21, 22; Ezek. 5:11; Ezekiel 22; Amos 2:6-8; 5:10-15, 24; </w:t>
      </w:r>
    </w:p>
    <w:p w:rsidR="00975183" w:rsidRPr="003A0F58" w:rsidRDefault="00975183" w:rsidP="00442D33">
      <w:pPr>
        <w:pStyle w:val="EndnoteText"/>
      </w:pPr>
      <w:r w:rsidRPr="003A0F58">
        <w:t xml:space="preserve">6:4-7; 8:4-6; Mic. 1:2; 6:8; Micah 2, 3, 7; Hab. 1:2-3; Mal. 3:1. </w:t>
      </w:r>
    </w:p>
  </w:endnote>
  <w:endnote w:id="532">
    <w:p w:rsidR="00975183" w:rsidRPr="007A7BDD" w:rsidRDefault="00975183" w:rsidP="00442D33">
      <w:pPr>
        <w:pStyle w:val="EndnoteText"/>
      </w:pPr>
      <w:r w:rsidRPr="009A0703">
        <w:rPr>
          <w:rStyle w:val="FootnoteReference"/>
          <w:sz w:val="22"/>
        </w:rPr>
        <w:endnoteRef/>
      </w:r>
      <w:r w:rsidRPr="009A0703">
        <w:rPr>
          <w:sz w:val="22"/>
        </w:rPr>
        <w:t xml:space="preserve"> </w:t>
      </w:r>
      <w:r w:rsidRPr="00746420">
        <w:rPr>
          <w:sz w:val="22"/>
          <w:szCs w:val="22"/>
        </w:rPr>
        <w:t>Bock, ‘</w:t>
      </w:r>
      <w:r>
        <w:rPr>
          <w:sz w:val="22"/>
          <w:szCs w:val="22"/>
        </w:rPr>
        <w:t>How Texts Speak to Us</w:t>
      </w:r>
      <w:r w:rsidRPr="00746420">
        <w:rPr>
          <w:sz w:val="22"/>
          <w:szCs w:val="22"/>
        </w:rPr>
        <w:t>’</w:t>
      </w:r>
      <w:r>
        <w:rPr>
          <w:sz w:val="22"/>
          <w:szCs w:val="22"/>
        </w:rPr>
        <w:t>,</w:t>
      </w:r>
      <w:r w:rsidRPr="00746420">
        <w:rPr>
          <w:sz w:val="22"/>
          <w:szCs w:val="22"/>
        </w:rPr>
        <w:t xml:space="preserve"> </w:t>
      </w:r>
      <w:r w:rsidRPr="00746420">
        <w:rPr>
          <w:i/>
          <w:sz w:val="22"/>
          <w:szCs w:val="22"/>
        </w:rPr>
        <w:t>Progressive Dispensationalism</w:t>
      </w:r>
      <w:r w:rsidRPr="009A0703">
        <w:rPr>
          <w:sz w:val="22"/>
          <w:szCs w:val="22"/>
        </w:rPr>
        <w:t xml:space="preserve">, </w:t>
      </w:r>
      <w:r>
        <w:rPr>
          <w:sz w:val="22"/>
          <w:szCs w:val="22"/>
        </w:rPr>
        <w:t xml:space="preserve">pp. 88-9.  </w:t>
      </w:r>
      <w:proofErr w:type="gramStart"/>
      <w:r>
        <w:t xml:space="preserve">See 1.1.1, </w:t>
      </w:r>
      <w:r w:rsidRPr="007A7BDD">
        <w:rPr>
          <w:i/>
        </w:rPr>
        <w:t>c) Genre</w:t>
      </w:r>
      <w:r>
        <w:t>.</w:t>
      </w:r>
      <w:proofErr w:type="gramEnd"/>
    </w:p>
  </w:endnote>
  <w:endnote w:id="533">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w:t>
      </w:r>
      <w:r>
        <w:t>n</w:t>
      </w:r>
      <w:r w:rsidRPr="003A0F58">
        <w:t>ote on 1 Cor. 12:10, p. 1223.</w:t>
      </w:r>
    </w:p>
  </w:endnote>
  <w:endnote w:id="534">
    <w:p w:rsidR="00975183" w:rsidRDefault="00975183" w:rsidP="00442D33">
      <w:pPr>
        <w:pStyle w:val="EndnoteText"/>
      </w:pPr>
      <w:r w:rsidRPr="005A4949">
        <w:rPr>
          <w:rStyle w:val="FootnoteReference"/>
        </w:rPr>
        <w:endnoteRef/>
      </w:r>
      <w:r w:rsidRPr="005A4949">
        <w:t xml:space="preserve"> Feinberg, </w:t>
      </w:r>
      <w:r w:rsidRPr="005A4949">
        <w:rPr>
          <w:i/>
        </w:rPr>
        <w:t>Millennialism</w:t>
      </w:r>
      <w:r w:rsidRPr="005A4949">
        <w:t>, p. 40.</w:t>
      </w:r>
      <w:r>
        <w:t xml:space="preserve">  </w:t>
      </w:r>
      <w:proofErr w:type="gramStart"/>
      <w:r w:rsidRPr="007A7BDD">
        <w:rPr>
          <w:b/>
        </w:rPr>
        <w:t xml:space="preserve">See 1.1.5, </w:t>
      </w:r>
      <w:r w:rsidRPr="007A7BDD">
        <w:rPr>
          <w:b/>
          <w:i/>
        </w:rPr>
        <w:t>c) Foreshortening</w:t>
      </w:r>
      <w:r>
        <w:rPr>
          <w:b/>
          <w:i/>
        </w:rPr>
        <w:t xml:space="preserve"> in Prophecy</w:t>
      </w:r>
      <w:r>
        <w:t>.</w:t>
      </w:r>
      <w:proofErr w:type="gramEnd"/>
    </w:p>
  </w:endnote>
  <w:endnote w:id="535">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Mt. 2:15, p. 995</w:t>
      </w:r>
      <w:r w:rsidRPr="003A0F58">
        <w:rPr>
          <w:b/>
        </w:rPr>
        <w:t>.</w:t>
      </w:r>
    </w:p>
  </w:endnote>
  <w:endnote w:id="536">
    <w:p w:rsidR="00975183" w:rsidRDefault="00975183" w:rsidP="00442D33">
      <w:pPr>
        <w:pStyle w:val="EndnoteText"/>
      </w:pPr>
      <w:r w:rsidRPr="005A4949">
        <w:rPr>
          <w:rStyle w:val="FootnoteReference"/>
        </w:rPr>
        <w:endnoteRef/>
      </w:r>
      <w:r w:rsidRPr="005A4949">
        <w:t xml:space="preserve"> </w:t>
      </w:r>
      <w:r w:rsidRPr="00145727">
        <w:rPr>
          <w:b/>
        </w:rPr>
        <w:t>See 1.2</w:t>
      </w:r>
      <w:r w:rsidRPr="005A4949">
        <w:t>.</w:t>
      </w:r>
    </w:p>
  </w:endnote>
  <w:endnote w:id="537">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Introduction to the Prophetical Books, p. 711.  </w:t>
      </w:r>
    </w:p>
  </w:endnote>
  <w:endnote w:id="538">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Mic. 7:7, p. 951.</w:t>
      </w:r>
    </w:p>
  </w:endnote>
  <w:endnote w:id="539">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w:t>
      </w:r>
      <w:r w:rsidRPr="003A0F58">
        <w:t xml:space="preserve">Introduction to the Prophetical Books, p. 711.  </w:t>
      </w:r>
    </w:p>
  </w:endnote>
  <w:endnote w:id="540">
    <w:p w:rsidR="00975183" w:rsidRDefault="00975183" w:rsidP="00442D33">
      <w:pPr>
        <w:pStyle w:val="EndnoteText"/>
      </w:pPr>
      <w:r w:rsidRPr="003A0F58">
        <w:rPr>
          <w:rStyle w:val="EndnoteReference"/>
        </w:rPr>
        <w:endnoteRef/>
      </w:r>
      <w:r w:rsidRPr="003A0F58">
        <w:t xml:space="preserve"> </w:t>
      </w:r>
      <w:r w:rsidRPr="003A0F58">
        <w:rPr>
          <w:i/>
        </w:rPr>
        <w:t>SRB</w:t>
      </w:r>
      <w:r w:rsidRPr="003A0F58">
        <w:t xml:space="preserve"> note on</w:t>
      </w:r>
      <w:r>
        <w:t xml:space="preserve"> Dan. 2:41, p. 901.  </w:t>
      </w:r>
      <w:proofErr w:type="gramStart"/>
      <w:r w:rsidRPr="00145727">
        <w:rPr>
          <w:b/>
        </w:rPr>
        <w:t>See 8.4.4</w:t>
      </w:r>
      <w:r>
        <w:t>.</w:t>
      </w:r>
      <w:proofErr w:type="gramEnd"/>
    </w:p>
  </w:endnote>
  <w:endnote w:id="541">
    <w:p w:rsidR="00975183" w:rsidRDefault="00975183" w:rsidP="00442D33">
      <w:pPr>
        <w:pStyle w:val="EndnoteText"/>
      </w:pPr>
      <w:r w:rsidRPr="0098724A">
        <w:rPr>
          <w:rStyle w:val="EndnoteReference"/>
        </w:rPr>
        <w:endnoteRef/>
      </w:r>
      <w:r w:rsidRPr="0098724A">
        <w:t xml:space="preserve"> </w:t>
      </w:r>
      <w:r w:rsidRPr="0098724A">
        <w:rPr>
          <w:i/>
        </w:rPr>
        <w:t xml:space="preserve">SRB </w:t>
      </w:r>
      <w:r>
        <w:t xml:space="preserve">notes on Rev. 1:20, pp. 1331-2; 2:6, p. 1332; 2:14, pp. 1332-3; and subheads to Rev. 2:1, p. 1332; </w:t>
      </w:r>
    </w:p>
    <w:p w:rsidR="00975183" w:rsidRPr="0098724A" w:rsidRDefault="00975183" w:rsidP="00442D33">
      <w:pPr>
        <w:pStyle w:val="EndnoteText"/>
      </w:pPr>
      <w:r>
        <w:t>2:8, p. 1332; 2:12, p. 1332; 2:18, p. 1333; 3:1, p. 1333; 3:7, p. 1333; 3:14, p. 1334.</w:t>
      </w:r>
    </w:p>
  </w:endnote>
  <w:endnote w:id="542">
    <w:p w:rsidR="00975183"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 xml:space="preserve">otes on Isa. 10:20, p. 722; Isa. 15:1, p. 727; Isa. 17:1p. 728; Isa. 29:3, p. 737; Isa. 32:1, p. 740; </w:t>
      </w:r>
    </w:p>
    <w:p w:rsidR="00975183" w:rsidRPr="003A0F58" w:rsidRDefault="00975183" w:rsidP="00442D33">
      <w:pPr>
        <w:pStyle w:val="EndnoteText"/>
      </w:pPr>
      <w:r w:rsidRPr="003A0F58">
        <w:t xml:space="preserve">Mic. 1:6, p. 946.  </w:t>
      </w:r>
    </w:p>
  </w:endnote>
  <w:endnote w:id="543">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note on Isa. 29:3, p. 737.</w:t>
      </w:r>
    </w:p>
  </w:endnote>
  <w:endnote w:id="544">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otes on Isa. 13:19, p. 725, and Jer. 25:29, p. 799.</w:t>
      </w:r>
    </w:p>
  </w:endnote>
  <w:endnote w:id="545">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Isa. 13:1, pp. 724-5.</w:t>
      </w:r>
    </w:p>
  </w:endnote>
  <w:endnote w:id="546">
    <w:p w:rsidR="00975183" w:rsidRPr="003A0F58" w:rsidRDefault="00975183" w:rsidP="00442D33">
      <w:pPr>
        <w:pStyle w:val="EndnoteText"/>
      </w:pPr>
      <w:r w:rsidRPr="003A0F58">
        <w:rPr>
          <w:rStyle w:val="EndnoteReference"/>
        </w:rPr>
        <w:endnoteRef/>
      </w:r>
      <w:r w:rsidRPr="003A0F58">
        <w:t xml:space="preserve"> </w:t>
      </w:r>
      <w:r w:rsidRPr="003A0F58">
        <w:rPr>
          <w:i/>
        </w:rPr>
        <w:t>SRB</w:t>
      </w:r>
      <w:r w:rsidRPr="003A0F58">
        <w:t xml:space="preserve"> note on Jer. 46:1, pp. 822-3.</w:t>
      </w:r>
    </w:p>
  </w:endnote>
  <w:endnote w:id="547">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 xml:space="preserve">ote on Zech. 5:6, p. 968.  </w:t>
      </w:r>
    </w:p>
  </w:endnote>
  <w:endnote w:id="548">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Zeph. 1:7, p. 959.</w:t>
      </w:r>
    </w:p>
  </w:endnote>
  <w:endnote w:id="549">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Zech. 9:8, p. 973.</w:t>
      </w:r>
    </w:p>
  </w:endnote>
  <w:endnote w:id="550">
    <w:p w:rsidR="00975183" w:rsidRDefault="00975183" w:rsidP="00442D33">
      <w:pPr>
        <w:pStyle w:val="EndnoteText"/>
      </w:pPr>
      <w:r w:rsidRPr="003A0F58">
        <w:rPr>
          <w:rStyle w:val="EndnoteReference"/>
        </w:rPr>
        <w:endnoteRef/>
      </w:r>
      <w:r w:rsidRPr="003A0F58">
        <w:t xml:space="preserve"> </w:t>
      </w:r>
      <w:r>
        <w:t xml:space="preserve">Paul </w:t>
      </w:r>
      <w:r w:rsidRPr="00CC6C3C">
        <w:rPr>
          <w:sz w:val="22"/>
          <w:szCs w:val="22"/>
        </w:rPr>
        <w:t xml:space="preserve">Boyer, </w:t>
      </w:r>
      <w:r w:rsidRPr="00CC6C3C">
        <w:rPr>
          <w:i/>
          <w:sz w:val="22"/>
          <w:szCs w:val="22"/>
        </w:rPr>
        <w:t xml:space="preserve">When Time Shall Be No More: Prophecy Belief in Modern American Culture </w:t>
      </w:r>
      <w:r w:rsidRPr="00CC6C3C">
        <w:rPr>
          <w:sz w:val="22"/>
          <w:szCs w:val="22"/>
        </w:rPr>
        <w:t xml:space="preserve">(Cambridge, Mass., Belknap Press of </w:t>
      </w:r>
      <w:r>
        <w:rPr>
          <w:sz w:val="22"/>
          <w:szCs w:val="22"/>
        </w:rPr>
        <w:t>Harvard University Press, 1992)</w:t>
      </w:r>
      <w:r w:rsidRPr="003A0F58">
        <w:t>, p. xi.</w:t>
      </w:r>
    </w:p>
  </w:endnote>
  <w:endnote w:id="551">
    <w:p w:rsidR="00975183" w:rsidRPr="003A0F58" w:rsidRDefault="00975183" w:rsidP="00442D33">
      <w:pPr>
        <w:pStyle w:val="EndnoteText"/>
      </w:pPr>
      <w:r w:rsidRPr="003A0F58">
        <w:rPr>
          <w:rStyle w:val="EndnoteReference"/>
        </w:rPr>
        <w:endnoteRef/>
      </w:r>
      <w:r w:rsidRPr="003A0F58">
        <w:t xml:space="preserve"> </w:t>
      </w:r>
      <w:proofErr w:type="gramStart"/>
      <w:r w:rsidRPr="003A0F58">
        <w:rPr>
          <w:i/>
        </w:rPr>
        <w:t>SRB</w:t>
      </w:r>
      <w:r>
        <w:t xml:space="preserve"> n</w:t>
      </w:r>
      <w:r w:rsidRPr="003A0F58">
        <w:t>ote on Gen. 15:18, p. 25.</w:t>
      </w:r>
      <w:proofErr w:type="gramEnd"/>
      <w:r w:rsidRPr="003A0F58">
        <w:t xml:space="preserve">  </w:t>
      </w:r>
    </w:p>
  </w:endnote>
  <w:endnote w:id="552">
    <w:p w:rsidR="00975183" w:rsidRPr="003A0F58" w:rsidRDefault="00975183" w:rsidP="00442D33">
      <w:pPr>
        <w:pStyle w:val="EndnoteText"/>
      </w:pPr>
      <w:r w:rsidRPr="003A0F58">
        <w:rPr>
          <w:rStyle w:val="EndnoteReference"/>
        </w:rPr>
        <w:endnoteRef/>
      </w:r>
      <w:r w:rsidRPr="003A0F58">
        <w:t xml:space="preserve"> </w:t>
      </w:r>
      <w:proofErr w:type="gramStart"/>
      <w:r w:rsidRPr="003A0F58">
        <w:t xml:space="preserve">Boyer, </w:t>
      </w:r>
      <w:r w:rsidRPr="003A0F58">
        <w:rPr>
          <w:i/>
        </w:rPr>
        <w:t>Time No More</w:t>
      </w:r>
      <w:r w:rsidRPr="003A0F58">
        <w:t>, p. 77.</w:t>
      </w:r>
      <w:proofErr w:type="gramEnd"/>
    </w:p>
  </w:endnote>
  <w:endnote w:id="553">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 xml:space="preserve">ote on 2 Pet. 1:19, p. 1318.  </w:t>
      </w:r>
    </w:p>
  </w:endnote>
  <w:endnote w:id="554">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no</w:t>
      </w:r>
      <w:r w:rsidRPr="003A0F58">
        <w:t>te on 2 Pet. 1:19, p. 1318.</w:t>
      </w:r>
    </w:p>
  </w:endnote>
  <w:endnote w:id="555">
    <w:p w:rsidR="00975183" w:rsidRDefault="00975183" w:rsidP="00442D33">
      <w:pPr>
        <w:pStyle w:val="EndnoteText"/>
      </w:pPr>
      <w:r w:rsidRPr="005A4949">
        <w:rPr>
          <w:rStyle w:val="FootnoteReference"/>
        </w:rPr>
        <w:endnoteRef/>
      </w:r>
      <w:r w:rsidRPr="005A4949">
        <w:t xml:space="preserve"> ‘</w:t>
      </w:r>
      <w:r w:rsidRPr="005A4949">
        <w:rPr>
          <w:lang w:val="en-US"/>
        </w:rPr>
        <w:t xml:space="preserve">He restored the coast of Israel from the entering of Hamath unto the sea of the plain, according to the word of the LORD God of Israel, which he spake by the hand of his servant Jonah, the son of Amittai, the prophet, which </w:t>
      </w:r>
      <w:r w:rsidRPr="005A4949">
        <w:rPr>
          <w:i/>
          <w:iCs/>
          <w:lang w:val="en-US"/>
        </w:rPr>
        <w:t>was</w:t>
      </w:r>
      <w:r w:rsidRPr="005A4949">
        <w:rPr>
          <w:lang w:val="en-US"/>
        </w:rPr>
        <w:t xml:space="preserve"> of Gath-hepher.</w:t>
      </w:r>
      <w:r w:rsidRPr="005A4949">
        <w:t xml:space="preserve">’  2 Kgs 14:25, </w:t>
      </w:r>
      <w:r w:rsidRPr="005A4949">
        <w:rPr>
          <w:i/>
        </w:rPr>
        <w:t>KJV</w:t>
      </w:r>
      <w:r w:rsidRPr="005A4949">
        <w:t>.</w:t>
      </w:r>
    </w:p>
  </w:endnote>
  <w:endnote w:id="556">
    <w:p w:rsidR="00975183" w:rsidRDefault="00975183" w:rsidP="00442D33">
      <w:pPr>
        <w:pStyle w:val="EndnoteText"/>
      </w:pPr>
      <w:r w:rsidRPr="005A4949">
        <w:rPr>
          <w:rStyle w:val="FootnoteReference"/>
        </w:rPr>
        <w:endnoteRef/>
      </w:r>
      <w:r w:rsidRPr="005A4949">
        <w:t xml:space="preserve"> </w:t>
      </w:r>
      <w:r w:rsidRPr="005A4949">
        <w:rPr>
          <w:i/>
        </w:rPr>
        <w:t>SRB</w:t>
      </w:r>
      <w:r>
        <w:t xml:space="preserve"> </w:t>
      </w:r>
      <w:r w:rsidRPr="005A4949">
        <w:t>Introduction to Jonah, p. 943.</w:t>
      </w:r>
    </w:p>
  </w:endnote>
  <w:endnote w:id="557">
    <w:p w:rsidR="00975183" w:rsidRDefault="00975183" w:rsidP="00442D33">
      <w:pPr>
        <w:pStyle w:val="EndnoteText"/>
      </w:pPr>
      <w:r w:rsidRPr="005A4949">
        <w:rPr>
          <w:rStyle w:val="FootnoteReference"/>
        </w:rPr>
        <w:endnoteRef/>
      </w:r>
      <w:r w:rsidRPr="005A4949">
        <w:t xml:space="preserve"> </w:t>
      </w:r>
      <w:r w:rsidRPr="005A4949">
        <w:rPr>
          <w:i/>
          <w:lang w:val="en-US"/>
        </w:rPr>
        <w:t>SRB</w:t>
      </w:r>
      <w:r>
        <w:rPr>
          <w:lang w:val="en-US"/>
        </w:rPr>
        <w:t xml:space="preserve"> n</w:t>
      </w:r>
      <w:r w:rsidRPr="005A4949">
        <w:t xml:space="preserve">ote on </w:t>
      </w:r>
      <w:r w:rsidRPr="005A4949">
        <w:rPr>
          <w:lang w:val="en-US"/>
        </w:rPr>
        <w:t>Dan. 2:31, pp. 900-901.</w:t>
      </w:r>
      <w:r>
        <w:rPr>
          <w:lang w:val="en-US"/>
        </w:rPr>
        <w:t xml:space="preserve">  cf </w:t>
      </w:r>
      <w:r w:rsidRPr="00DB200B">
        <w:rPr>
          <w:i/>
        </w:rPr>
        <w:t>SRB</w:t>
      </w:r>
      <w:r>
        <w:t xml:space="preserve"> n</w:t>
      </w:r>
      <w:r w:rsidRPr="006F47F2">
        <w:t>ote on Zech. 1:18, p. 966</w:t>
      </w:r>
      <w:r>
        <w:t>: ‘</w:t>
      </w:r>
      <w:proofErr w:type="gramStart"/>
      <w:r>
        <w:t>The</w:t>
      </w:r>
      <w:proofErr w:type="gramEnd"/>
      <w:r>
        <w:t xml:space="preserve"> vision is of the four world empires (Dan. 2:36-44; 7:3-7) which have scattered Judah, Israel, and Jerusalem (Zech. 1:19).’</w:t>
      </w:r>
    </w:p>
  </w:endnote>
  <w:endnote w:id="558">
    <w:p w:rsidR="00975183" w:rsidRPr="00BC3D6E" w:rsidRDefault="00975183" w:rsidP="00442D33">
      <w:pPr>
        <w:pStyle w:val="EndnoteText"/>
      </w:pPr>
      <w:r w:rsidRPr="005A4949">
        <w:rPr>
          <w:rStyle w:val="FootnoteReference"/>
        </w:rPr>
        <w:endnoteRef/>
      </w:r>
      <w:r w:rsidRPr="005A4949">
        <w:t xml:space="preserve"> </w:t>
      </w:r>
      <w:proofErr w:type="gramStart"/>
      <w:r w:rsidRPr="00145727">
        <w:rPr>
          <w:b/>
        </w:rPr>
        <w:t>cf Introduction.</w:t>
      </w:r>
      <w:proofErr w:type="gramEnd"/>
    </w:p>
  </w:endnote>
  <w:endnote w:id="559">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Dan, 2:37, p. 901: (a) </w:t>
      </w:r>
      <w:proofErr w:type="gramStart"/>
      <w:r w:rsidRPr="005A4949">
        <w:t>The</w:t>
      </w:r>
      <w:proofErr w:type="gramEnd"/>
      <w:r w:rsidRPr="005A4949">
        <w:t xml:space="preserve"> first world-empire: Babylon.  </w:t>
      </w:r>
    </w:p>
  </w:endnote>
  <w:endnote w:id="560">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Dan, 2:39, p. 901: (b) The second world-empire: Media-Persia; (c) The third world-empire: Greece.  </w:t>
      </w:r>
    </w:p>
  </w:endnote>
  <w:endnote w:id="561">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Dan, 2:40, p. 901: (d) The fourth world-empire: Rome.</w:t>
      </w:r>
    </w:p>
  </w:endnote>
  <w:endnote w:id="562">
    <w:p w:rsidR="00975183" w:rsidRDefault="00975183" w:rsidP="00442D33">
      <w:pPr>
        <w:pStyle w:val="EndnoteText"/>
      </w:pPr>
      <w:r w:rsidRPr="005A4949">
        <w:rPr>
          <w:rStyle w:val="FootnoteReference"/>
        </w:rPr>
        <w:endnoteRef/>
      </w:r>
      <w:r w:rsidRPr="005A4949">
        <w:t xml:space="preserve"> </w:t>
      </w:r>
      <w:proofErr w:type="gramStart"/>
      <w:r w:rsidRPr="005A4949">
        <w:rPr>
          <w:i/>
        </w:rPr>
        <w:t>SRB</w:t>
      </w:r>
      <w:r w:rsidRPr="005A4949">
        <w:t xml:space="preserve"> subhead to Dan. 7:4, p. 909, ‘The world-empire of Nebuchadnezzar’.</w:t>
      </w:r>
      <w:proofErr w:type="gramEnd"/>
    </w:p>
  </w:endnote>
  <w:endnote w:id="563">
    <w:p w:rsidR="00975183" w:rsidRDefault="00975183" w:rsidP="00442D33">
      <w:pPr>
        <w:pStyle w:val="EndnoteText"/>
      </w:pPr>
      <w:r w:rsidRPr="005A4949">
        <w:rPr>
          <w:rStyle w:val="FootnoteReference"/>
        </w:rPr>
        <w:endnoteRef/>
      </w:r>
      <w:r w:rsidRPr="005A4949">
        <w:t xml:space="preserve"> </w:t>
      </w:r>
      <w:proofErr w:type="gramStart"/>
      <w:r w:rsidRPr="005A4949">
        <w:rPr>
          <w:i/>
        </w:rPr>
        <w:t>SRB</w:t>
      </w:r>
      <w:r w:rsidRPr="005A4949">
        <w:t xml:space="preserve"> subhead to Dan. 7:5, p. 909, ‘The world-empire of Media-Persia’.</w:t>
      </w:r>
      <w:proofErr w:type="gramEnd"/>
    </w:p>
  </w:endnote>
  <w:endnote w:id="564">
    <w:p w:rsidR="00975183" w:rsidRDefault="00975183" w:rsidP="00442D33">
      <w:pPr>
        <w:pStyle w:val="EndnoteText"/>
      </w:pPr>
      <w:r w:rsidRPr="005A4949">
        <w:rPr>
          <w:rStyle w:val="FootnoteReference"/>
        </w:rPr>
        <w:endnoteRef/>
      </w:r>
      <w:r w:rsidRPr="005A4949">
        <w:t xml:space="preserve"> </w:t>
      </w:r>
      <w:proofErr w:type="gramStart"/>
      <w:r w:rsidRPr="005A4949">
        <w:rPr>
          <w:i/>
        </w:rPr>
        <w:t>SRB</w:t>
      </w:r>
      <w:r w:rsidRPr="005A4949">
        <w:t xml:space="preserve"> subhead to Dan. 7:6, p. 909, ‘The world-empire of Greece un</w:t>
      </w:r>
      <w:r>
        <w:t>d</w:t>
      </w:r>
      <w:r w:rsidRPr="005A4949">
        <w:t>er Alexander’.</w:t>
      </w:r>
      <w:proofErr w:type="gramEnd"/>
    </w:p>
  </w:endnote>
  <w:endnote w:id="565">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Dan. 7:7, p. 909, ‘The Roman world-empire’.</w:t>
      </w:r>
    </w:p>
  </w:endnote>
  <w:endnote w:id="566">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and note on Dan. 2:44, p. 902.</w:t>
      </w:r>
    </w:p>
  </w:endnote>
  <w:endnote w:id="567">
    <w:p w:rsidR="00975183" w:rsidRPr="005A4949" w:rsidRDefault="00975183" w:rsidP="00442D33">
      <w:pPr>
        <w:spacing w:after="0" w:line="240" w:lineRule="auto"/>
        <w:rPr>
          <w:lang w:eastAsia="en-GB"/>
        </w:rPr>
      </w:pPr>
      <w:r w:rsidRPr="005A4949">
        <w:rPr>
          <w:rStyle w:val="FootnoteReference"/>
        </w:rPr>
        <w:endnoteRef/>
      </w:r>
      <w:r w:rsidRPr="005A4949">
        <w:t xml:space="preserve"> </w:t>
      </w:r>
      <w:r w:rsidRPr="005A4949">
        <w:rPr>
          <w:lang w:eastAsia="en-GB"/>
        </w:rPr>
        <w:t xml:space="preserve">J. M. Alonso-Núñez, ‘Aemilius Sura’, </w:t>
      </w:r>
      <w:r w:rsidRPr="005A4949">
        <w:rPr>
          <w:i/>
          <w:lang w:eastAsia="en-GB"/>
        </w:rPr>
        <w:t>Latomus</w:t>
      </w:r>
      <w:r w:rsidRPr="005A4949">
        <w:rPr>
          <w:lang w:eastAsia="en-GB"/>
        </w:rPr>
        <w:t xml:space="preserve">, T.48, Fasc. 1 (Janvier-Mars 1989), pp. 110-113.  </w:t>
      </w:r>
    </w:p>
    <w:p w:rsidR="00975183" w:rsidRDefault="00975183" w:rsidP="00442D33">
      <w:pPr>
        <w:pStyle w:val="EndnoteText"/>
      </w:pPr>
      <w:r w:rsidRPr="005A4949">
        <w:rPr>
          <w:color w:val="000000"/>
          <w:lang w:val="en-US"/>
        </w:rPr>
        <w:t xml:space="preserve">Joseph Ward Swain </w:t>
      </w:r>
      <w:r w:rsidRPr="005A4949">
        <w:t>‘</w:t>
      </w:r>
      <w:proofErr w:type="gramStart"/>
      <w:r w:rsidRPr="005A4949">
        <w:t>The</w:t>
      </w:r>
      <w:proofErr w:type="gramEnd"/>
      <w:r w:rsidRPr="005A4949">
        <w:t xml:space="preserve"> Theory of the Four Monarchies: Opposition History under the Roman Empire’, </w:t>
      </w:r>
      <w:r w:rsidRPr="005A4949">
        <w:rPr>
          <w:i/>
        </w:rPr>
        <w:t>Classical Philology</w:t>
      </w:r>
      <w:r w:rsidRPr="005A4949">
        <w:t>, Vol. XXXV, January 1940, Number 1, pp. 1, 10, 19.</w:t>
      </w:r>
    </w:p>
  </w:endnote>
  <w:endnote w:id="568">
    <w:p w:rsidR="00975183" w:rsidRPr="00E320C2" w:rsidRDefault="00975183" w:rsidP="00442D33">
      <w:pPr>
        <w:pStyle w:val="EndnoteText"/>
      </w:pPr>
      <w:r w:rsidRPr="00E320C2">
        <w:rPr>
          <w:rStyle w:val="EndnoteReference"/>
        </w:rPr>
        <w:endnoteRef/>
      </w:r>
      <w:r w:rsidRPr="00E320C2">
        <w:t xml:space="preserve"> </w:t>
      </w:r>
      <w:proofErr w:type="gramStart"/>
      <w:r w:rsidRPr="00E320C2">
        <w:rPr>
          <w:lang w:eastAsia="en-GB"/>
        </w:rPr>
        <w:t>A fifth century BCE historian</w:t>
      </w:r>
      <w:r>
        <w:rPr>
          <w:lang w:eastAsia="en-GB"/>
        </w:rPr>
        <w:t>.</w:t>
      </w:r>
      <w:proofErr w:type="gramEnd"/>
    </w:p>
  </w:endnote>
  <w:endnote w:id="569">
    <w:p w:rsidR="00975183" w:rsidRDefault="00975183" w:rsidP="00442D33">
      <w:pPr>
        <w:pStyle w:val="EndnoteText"/>
      </w:pPr>
      <w:r w:rsidRPr="005A4949">
        <w:rPr>
          <w:rStyle w:val="FootnoteReference"/>
        </w:rPr>
        <w:endnoteRef/>
      </w:r>
      <w:r w:rsidRPr="005A4949">
        <w:t xml:space="preserve"> </w:t>
      </w:r>
      <w:r w:rsidRPr="005A4949">
        <w:rPr>
          <w:lang w:eastAsia="en-GB"/>
        </w:rPr>
        <w:t xml:space="preserve">Alonso-Núñez, ‘Aemilius Sura’, </w:t>
      </w:r>
      <w:r w:rsidRPr="005A4949">
        <w:rPr>
          <w:i/>
          <w:lang w:eastAsia="en-GB"/>
        </w:rPr>
        <w:t>Latomus</w:t>
      </w:r>
      <w:r w:rsidRPr="005A4949">
        <w:rPr>
          <w:lang w:eastAsia="en-GB"/>
        </w:rPr>
        <w:t>, (Janvier-Mars 1989), pp. 110-113.</w:t>
      </w:r>
    </w:p>
  </w:endnote>
  <w:endnote w:id="570">
    <w:p w:rsidR="00975183" w:rsidRDefault="00975183" w:rsidP="00442D33">
      <w:pPr>
        <w:pStyle w:val="EndnoteText"/>
      </w:pPr>
      <w:r w:rsidRPr="005A4949">
        <w:rPr>
          <w:rStyle w:val="FootnoteReference"/>
        </w:rPr>
        <w:endnoteRef/>
      </w:r>
      <w:r w:rsidRPr="005A4949">
        <w:t xml:space="preserve"> </w:t>
      </w:r>
      <w:r w:rsidRPr="005A4949">
        <w:rPr>
          <w:color w:val="000000"/>
          <w:lang w:val="en-US"/>
        </w:rPr>
        <w:t xml:space="preserve">Swain </w:t>
      </w:r>
      <w:r w:rsidRPr="005A4949">
        <w:t>‘Theory of Four Monarchies, pp. 1, 10, 19.</w:t>
      </w:r>
    </w:p>
  </w:endnote>
  <w:endnote w:id="571">
    <w:p w:rsidR="00975183" w:rsidRPr="004E15D5" w:rsidRDefault="00975183" w:rsidP="00442D33">
      <w:pPr>
        <w:pStyle w:val="EndnoteText"/>
      </w:pPr>
      <w:r w:rsidRPr="004E15D5">
        <w:rPr>
          <w:rStyle w:val="EndnoteReference"/>
        </w:rPr>
        <w:endnoteRef/>
      </w:r>
      <w:r w:rsidRPr="004E15D5">
        <w:t xml:space="preserve"> </w:t>
      </w:r>
      <w:r w:rsidRPr="004E15D5">
        <w:rPr>
          <w:i/>
        </w:rPr>
        <w:t>SRB</w:t>
      </w:r>
      <w:r>
        <w:t xml:space="preserve"> note on Dan. 2:41, p. 901.</w:t>
      </w:r>
    </w:p>
  </w:endnote>
  <w:endnote w:id="572">
    <w:p w:rsidR="00975183" w:rsidRDefault="00975183" w:rsidP="00442D33">
      <w:pPr>
        <w:pStyle w:val="EndnoteText"/>
      </w:pPr>
      <w:r w:rsidRPr="007F783B">
        <w:rPr>
          <w:rStyle w:val="EndnoteReference"/>
        </w:rPr>
        <w:endnoteRef/>
      </w:r>
      <w:r w:rsidRPr="007F783B">
        <w:t xml:space="preserve"> </w:t>
      </w:r>
      <w:r w:rsidRPr="007F783B">
        <w:rPr>
          <w:i/>
        </w:rPr>
        <w:t>SRB</w:t>
      </w:r>
      <w:r>
        <w:t xml:space="preserve"> </w:t>
      </w:r>
      <w:r w:rsidRPr="007F783B">
        <w:t>Introduction to the Four Gospels, p. 989,</w:t>
      </w:r>
      <w:r w:rsidRPr="007F783B">
        <w:rPr>
          <w:b/>
        </w:rPr>
        <w:t xml:space="preserve"> </w:t>
      </w:r>
      <w:r w:rsidRPr="007F783B">
        <w:t xml:space="preserve">and </w:t>
      </w:r>
      <w:r w:rsidRPr="005B388C">
        <w:rPr>
          <w:i/>
        </w:rPr>
        <w:t xml:space="preserve">SRB </w:t>
      </w:r>
      <w:r w:rsidRPr="007F783B">
        <w:t>note</w:t>
      </w:r>
      <w:r>
        <w:t>s</w:t>
      </w:r>
      <w:r w:rsidRPr="007F783B">
        <w:t xml:space="preserve"> on Mt. 13:17</w:t>
      </w:r>
      <w:r>
        <w:t>,</w:t>
      </w:r>
      <w:r w:rsidRPr="007F783B">
        <w:t xml:space="preserve"> p. 1015, </w:t>
      </w:r>
      <w:r w:rsidRPr="00832CD8">
        <w:rPr>
          <w:b/>
        </w:rPr>
        <w:t>see 8.6.4</w:t>
      </w:r>
      <w:r w:rsidRPr="00832CD8">
        <w:t xml:space="preserve">; </w:t>
      </w:r>
    </w:p>
    <w:p w:rsidR="00975183" w:rsidRPr="007F783B" w:rsidRDefault="00975183" w:rsidP="00442D33">
      <w:pPr>
        <w:pStyle w:val="EndnoteText"/>
      </w:pPr>
      <w:r w:rsidRPr="007F783B">
        <w:t>Acts 1:11, p. 1148</w:t>
      </w:r>
      <w:r w:rsidRPr="00832CD8">
        <w:t xml:space="preserve">, see </w:t>
      </w:r>
      <w:r w:rsidRPr="00832CD8">
        <w:rPr>
          <w:b/>
        </w:rPr>
        <w:t>8.3.1, Psalm 118</w:t>
      </w:r>
      <w:r>
        <w:rPr>
          <w:i/>
          <w:color w:val="FF0000"/>
        </w:rPr>
        <w:t>.</w:t>
      </w:r>
    </w:p>
  </w:endnote>
  <w:endnote w:id="573">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w:t>
      </w:r>
      <w:r w:rsidRPr="007F783B">
        <w:t xml:space="preserve">Introduction to the Four Gospels, </w:t>
      </w:r>
      <w:r>
        <w:t>p. 989 and</w:t>
      </w:r>
      <w:r w:rsidRPr="007F783B">
        <w:t xml:space="preserve"> </w:t>
      </w:r>
      <w:r w:rsidRPr="007F783B">
        <w:rPr>
          <w:i/>
        </w:rPr>
        <w:t>SRB</w:t>
      </w:r>
      <w:r>
        <w:t xml:space="preserve"> </w:t>
      </w:r>
      <w:r w:rsidRPr="007F783B">
        <w:t>note on Acts 1:11, p. 1148.</w:t>
      </w:r>
    </w:p>
  </w:endnote>
  <w:endnote w:id="574">
    <w:p w:rsidR="00975183" w:rsidRPr="007F783B" w:rsidRDefault="00975183" w:rsidP="00442D33">
      <w:pPr>
        <w:pStyle w:val="EndnoteText"/>
      </w:pPr>
      <w:r w:rsidRPr="007F783B">
        <w:rPr>
          <w:rStyle w:val="EndnoteReference"/>
        </w:rPr>
        <w:endnoteRef/>
      </w:r>
      <w:r w:rsidRPr="007F783B">
        <w:t xml:space="preserve"> For example, the </w:t>
      </w:r>
      <w:r w:rsidRPr="007F783B">
        <w:rPr>
          <w:i/>
        </w:rPr>
        <w:t>SRB</w:t>
      </w:r>
      <w:r>
        <w:t xml:space="preserve"> </w:t>
      </w:r>
      <w:r w:rsidRPr="007F783B">
        <w:t>Introduction to Zechariah, p. 965</w:t>
      </w:r>
      <w:r>
        <w:t>,</w:t>
      </w:r>
      <w:r w:rsidRPr="007F783B">
        <w:t xml:space="preserve"> and </w:t>
      </w:r>
      <w:r w:rsidRPr="007F783B">
        <w:rPr>
          <w:i/>
        </w:rPr>
        <w:t>SRB</w:t>
      </w:r>
      <w:r>
        <w:t xml:space="preserve"> </w:t>
      </w:r>
      <w:r w:rsidRPr="007F783B">
        <w:t>notes on Mal. 3:1, p. 982</w:t>
      </w:r>
      <w:r>
        <w:t>;</w:t>
      </w:r>
      <w:r w:rsidRPr="007F783B">
        <w:t xml:space="preserve"> Acts 1:11, p. 11488.</w:t>
      </w:r>
      <w:r w:rsidRPr="007F783B">
        <w:rPr>
          <w:i/>
        </w:rPr>
        <w:t xml:space="preserve"> </w:t>
      </w:r>
      <w:r w:rsidRPr="007F783B">
        <w:t xml:space="preserve"> </w:t>
      </w:r>
      <w:proofErr w:type="gramStart"/>
      <w:r>
        <w:t>S</w:t>
      </w:r>
      <w:r w:rsidRPr="00832CD8">
        <w:t xml:space="preserve">ee </w:t>
      </w:r>
      <w:r w:rsidRPr="00832CD8">
        <w:rPr>
          <w:b/>
        </w:rPr>
        <w:t>8.3.1, Psalm 118</w:t>
      </w:r>
      <w:r>
        <w:rPr>
          <w:i/>
          <w:color w:val="FF0000"/>
        </w:rPr>
        <w:t>.</w:t>
      </w:r>
      <w:proofErr w:type="gramEnd"/>
    </w:p>
  </w:endnote>
  <w:endnote w:id="575">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w:t>
      </w:r>
      <w:r w:rsidRPr="007F783B">
        <w:t xml:space="preserve">Introduction to the Four Gospels, p. 990.  </w:t>
      </w:r>
    </w:p>
  </w:endnote>
  <w:endnote w:id="576">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w:t>
      </w:r>
      <w:r w:rsidRPr="007F783B">
        <w:t xml:space="preserve">Introduction to the Prophetical Books, p. 711. </w:t>
      </w:r>
    </w:p>
  </w:endnote>
  <w:endnote w:id="577">
    <w:p w:rsidR="00975183" w:rsidRDefault="00975183" w:rsidP="00442D33">
      <w:pPr>
        <w:pStyle w:val="EndnoteText"/>
      </w:pPr>
      <w:r w:rsidRPr="005A4949">
        <w:rPr>
          <w:rStyle w:val="FootnoteReference"/>
        </w:rPr>
        <w:endnoteRef/>
      </w:r>
      <w:r w:rsidRPr="005A4949">
        <w:t xml:space="preserve"> </w:t>
      </w:r>
      <w:proofErr w:type="gramStart"/>
      <w:r w:rsidRPr="005A4949">
        <w:rPr>
          <w:i/>
        </w:rPr>
        <w:t>SRB</w:t>
      </w:r>
      <w:r>
        <w:t xml:space="preserve"> n</w:t>
      </w:r>
      <w:r w:rsidRPr="005A4949">
        <w:t>ote on Gen. 3:15, p. 9.</w:t>
      </w:r>
      <w:proofErr w:type="gramEnd"/>
    </w:p>
  </w:endnote>
  <w:endnote w:id="578">
    <w:p w:rsidR="00975183" w:rsidRPr="007F783B" w:rsidRDefault="00975183" w:rsidP="00442D33">
      <w:pPr>
        <w:pStyle w:val="EndnoteText"/>
      </w:pPr>
      <w:r w:rsidRPr="007F783B">
        <w:rPr>
          <w:rStyle w:val="EndnoteReference"/>
        </w:rPr>
        <w:endnoteRef/>
      </w:r>
      <w:r w:rsidRPr="007F783B">
        <w:t xml:space="preserve"> Ref. Isaiah 10.</w:t>
      </w:r>
    </w:p>
  </w:endnote>
  <w:endnote w:id="579">
    <w:p w:rsidR="00975183" w:rsidRPr="007F783B" w:rsidRDefault="00975183" w:rsidP="00442D33">
      <w:pPr>
        <w:pStyle w:val="EndnoteText"/>
      </w:pPr>
      <w:r w:rsidRPr="007F783B">
        <w:rPr>
          <w:rStyle w:val="EndnoteReference"/>
        </w:rPr>
        <w:endnoteRef/>
      </w:r>
      <w:r w:rsidRPr="007F783B">
        <w:t xml:space="preserve"> Ref. Isaiah 11.</w:t>
      </w:r>
    </w:p>
  </w:endnote>
  <w:endnote w:id="580">
    <w:p w:rsidR="00975183" w:rsidRPr="007F783B" w:rsidRDefault="00975183" w:rsidP="00442D33">
      <w:pPr>
        <w:pStyle w:val="EndnoteText"/>
      </w:pPr>
      <w:r w:rsidRPr="007F783B">
        <w:rPr>
          <w:rStyle w:val="FootnoteReference"/>
        </w:rPr>
        <w:endnoteRef/>
      </w:r>
      <w:r w:rsidRPr="007F783B">
        <w:t xml:space="preserve"> </w:t>
      </w:r>
      <w:r w:rsidRPr="007F783B">
        <w:rPr>
          <w:i/>
        </w:rPr>
        <w:t>SRB</w:t>
      </w:r>
      <w:r w:rsidRPr="007F783B">
        <w:t xml:space="preserve"> note on subhead to Isa. 11:1, p. 723.  </w:t>
      </w:r>
      <w:proofErr w:type="gramStart"/>
      <w:r w:rsidRPr="00832CD8">
        <w:rPr>
          <w:b/>
        </w:rPr>
        <w:t>See 8.4.1</w:t>
      </w:r>
      <w:r w:rsidRPr="00832CD8">
        <w:t>.</w:t>
      </w:r>
      <w:proofErr w:type="gramEnd"/>
    </w:p>
  </w:endnote>
  <w:endnote w:id="581">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n</w:t>
      </w:r>
      <w:r w:rsidRPr="007F783B">
        <w:t xml:space="preserve">ote on Zeph. 3:15, p. 961.  </w:t>
      </w:r>
    </w:p>
  </w:endnote>
  <w:endnote w:id="582">
    <w:p w:rsidR="00975183" w:rsidRPr="00832CD8" w:rsidRDefault="00975183" w:rsidP="00442D33">
      <w:pPr>
        <w:pStyle w:val="EndnoteText"/>
      </w:pPr>
      <w:r w:rsidRPr="005A4949">
        <w:rPr>
          <w:rStyle w:val="FootnoteReference"/>
        </w:rPr>
        <w:endnoteRef/>
      </w:r>
      <w:r w:rsidRPr="005A4949">
        <w:t xml:space="preserve"> </w:t>
      </w:r>
      <w:r w:rsidRPr="005A4949">
        <w:rPr>
          <w:i/>
        </w:rPr>
        <w:t>SRB</w:t>
      </w:r>
      <w:r w:rsidRPr="005A4949">
        <w:t xml:space="preserve"> notes on Dan. 9:24, 25, pp. 914-5.  </w:t>
      </w:r>
      <w:r w:rsidRPr="00832CD8">
        <w:rPr>
          <w:b/>
        </w:rPr>
        <w:t>See interpretations of the “weeks” in 7.1.2.1</w:t>
      </w:r>
      <w:r w:rsidRPr="00832CD8">
        <w:t>.</w:t>
      </w:r>
    </w:p>
  </w:endnote>
  <w:endnote w:id="583">
    <w:p w:rsidR="00975183" w:rsidRPr="007F783B" w:rsidRDefault="00975183" w:rsidP="00442D33">
      <w:pPr>
        <w:pStyle w:val="EndnoteText"/>
      </w:pPr>
      <w:r w:rsidRPr="007F783B">
        <w:rPr>
          <w:rStyle w:val="EndnoteReference"/>
        </w:rPr>
        <w:endnoteRef/>
      </w:r>
      <w:r w:rsidRPr="007F783B">
        <w:t xml:space="preserve"> </w:t>
      </w:r>
      <w:r w:rsidRPr="007F783B">
        <w:rPr>
          <w:i/>
        </w:rPr>
        <w:t>SRB</w:t>
      </w:r>
      <w:r w:rsidRPr="007F783B">
        <w:t xml:space="preserve"> note on Dan. 9:25, p. 915. </w:t>
      </w:r>
    </w:p>
  </w:endnote>
  <w:endnote w:id="584">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subhead to Lk. 19:11, p. 1102.</w:t>
      </w:r>
    </w:p>
  </w:endnote>
  <w:endnote w:id="585">
    <w:p w:rsidR="00975183" w:rsidRDefault="00975183" w:rsidP="00442D33">
      <w:pPr>
        <w:pStyle w:val="EndnoteText"/>
      </w:pPr>
      <w:r w:rsidRPr="005A4949">
        <w:rPr>
          <w:rStyle w:val="FootnoteReference"/>
        </w:rPr>
        <w:endnoteRef/>
      </w:r>
      <w:r w:rsidRPr="005A4949">
        <w:t xml:space="preserve"> Bass, </w:t>
      </w:r>
      <w:r w:rsidRPr="005A4949">
        <w:rPr>
          <w:i/>
        </w:rPr>
        <w:t>Backgrounds</w:t>
      </w:r>
      <w:r w:rsidRPr="005A4949">
        <w:t>, p. 32.</w:t>
      </w:r>
    </w:p>
  </w:endnote>
  <w:endnote w:id="586">
    <w:p w:rsidR="00975183" w:rsidRDefault="00975183" w:rsidP="00442D33">
      <w:pPr>
        <w:pStyle w:val="EndnoteText"/>
      </w:pPr>
      <w:r w:rsidRPr="005A4949">
        <w:rPr>
          <w:rStyle w:val="FootnoteReference"/>
        </w:rPr>
        <w:endnoteRef/>
      </w:r>
      <w:r w:rsidRPr="005A4949">
        <w:t xml:space="preserve"> Ref. Ezek. 30:3.</w:t>
      </w:r>
    </w:p>
  </w:endnote>
  <w:endnote w:id="587">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n</w:t>
      </w:r>
      <w:r w:rsidRPr="007F783B">
        <w:t xml:space="preserve">ote on </w:t>
      </w:r>
      <w:r w:rsidRPr="00EC2542">
        <w:t>Ezek. 25:8, p. 8</w:t>
      </w:r>
      <w:r w:rsidRPr="007F783B">
        <w:t>68.</w:t>
      </w:r>
      <w:r>
        <w:t xml:space="preserve">  </w:t>
      </w:r>
      <w:proofErr w:type="gramStart"/>
      <w:r w:rsidRPr="00832CD8">
        <w:rPr>
          <w:b/>
        </w:rPr>
        <w:t>See 7.1.2.2</w:t>
      </w:r>
      <w:r>
        <w:t>.</w:t>
      </w:r>
      <w:proofErr w:type="gramEnd"/>
    </w:p>
  </w:endnote>
  <w:endnote w:id="588">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n</w:t>
      </w:r>
      <w:r w:rsidRPr="007F783B">
        <w:t>ote on Mt. 17:10, p. 1023.</w:t>
      </w:r>
    </w:p>
  </w:endnote>
  <w:endnote w:id="589">
    <w:p w:rsidR="00975183" w:rsidRDefault="00975183" w:rsidP="00442D33">
      <w:pPr>
        <w:pStyle w:val="EndnoteText"/>
      </w:pPr>
      <w:r w:rsidRPr="005A4949">
        <w:rPr>
          <w:rStyle w:val="EndnoteReference"/>
        </w:rPr>
        <w:endnoteRef/>
      </w:r>
      <w:r w:rsidRPr="005A4949">
        <w:t xml:space="preserve"> </w:t>
      </w:r>
      <w:r w:rsidRPr="00832CD8">
        <w:rPr>
          <w:b/>
        </w:rPr>
        <w:t>See 7.1.2.3</w:t>
      </w:r>
      <w:r w:rsidRPr="00664621">
        <w:rPr>
          <w:color w:val="FF0000"/>
        </w:rPr>
        <w:t xml:space="preserve"> </w:t>
      </w:r>
      <w:r w:rsidRPr="005A4949">
        <w:t xml:space="preserve">for examples.  In its note on its subhead to Isa. 11:1, p. 723, </w:t>
      </w:r>
      <w:r w:rsidRPr="005A4949">
        <w:rPr>
          <w:i/>
        </w:rPr>
        <w:t>SRB</w:t>
      </w:r>
      <w:r w:rsidRPr="005A4949">
        <w:t xml:space="preserve"> avers that ‘precisely the same order [of events] is found in Revelation 19 and 20’ as is found in Isaiah 10 and 11.</w:t>
      </w:r>
    </w:p>
  </w:endnote>
  <w:endnote w:id="590">
    <w:p w:rsidR="00975183" w:rsidRDefault="00975183" w:rsidP="00442D33">
      <w:pPr>
        <w:pStyle w:val="EndnoteText"/>
      </w:pPr>
      <w:r w:rsidRPr="00425C24">
        <w:rPr>
          <w:rStyle w:val="EndnoteReference"/>
        </w:rPr>
        <w:endnoteRef/>
      </w:r>
      <w:r w:rsidRPr="00425C24">
        <w:t xml:space="preserve"> Sweetnam, </w:t>
      </w:r>
      <w:r>
        <w:t>‘</w:t>
      </w:r>
      <w:r w:rsidRPr="00425C24">
        <w:t xml:space="preserve">The Impact of the Scofield Reference Bible on British Premillennialism’ in Mangum and </w:t>
      </w:r>
      <w:r w:rsidRPr="00373406">
        <w:t xml:space="preserve">Sweetnam, </w:t>
      </w:r>
      <w:r w:rsidRPr="00373406">
        <w:rPr>
          <w:i/>
          <w:color w:val="000000"/>
        </w:rPr>
        <w:t>History and Impact</w:t>
      </w:r>
      <w:r w:rsidRPr="00373406">
        <w:rPr>
          <w:color w:val="000000"/>
        </w:rPr>
        <w:t>, pp. 159-60.</w:t>
      </w:r>
    </w:p>
  </w:endnote>
  <w:endnote w:id="591">
    <w:p w:rsidR="00975183" w:rsidRDefault="00975183" w:rsidP="00442D33">
      <w:pPr>
        <w:pStyle w:val="EndnoteText"/>
      </w:pPr>
      <w:r w:rsidRPr="005A4949">
        <w:rPr>
          <w:rStyle w:val="FootnoteReference"/>
        </w:rPr>
        <w:endnoteRef/>
      </w:r>
      <w:r w:rsidRPr="005A4949">
        <w:t xml:space="preserve"> Ryrie, </w:t>
      </w:r>
      <w:r w:rsidRPr="005A4949">
        <w:rPr>
          <w:i/>
        </w:rPr>
        <w:t>Dispensationalism</w:t>
      </w:r>
      <w:r w:rsidRPr="005A4949">
        <w:t>, p. 91.</w:t>
      </w:r>
    </w:p>
  </w:endnote>
  <w:endnote w:id="592">
    <w:p w:rsidR="00975183" w:rsidRPr="00F8612F" w:rsidRDefault="00975183" w:rsidP="00442D33">
      <w:pPr>
        <w:pStyle w:val="EndnoteText"/>
        <w:rPr>
          <w:b/>
        </w:rPr>
      </w:pPr>
      <w:r w:rsidRPr="008774AC">
        <w:rPr>
          <w:rStyle w:val="EndnoteReference"/>
        </w:rPr>
        <w:endnoteRef/>
      </w:r>
      <w:r w:rsidRPr="008774AC">
        <w:t xml:space="preserve"> </w:t>
      </w:r>
      <w:proofErr w:type="gramStart"/>
      <w:r w:rsidRPr="00832CD8">
        <w:t xml:space="preserve">See </w:t>
      </w:r>
      <w:r w:rsidRPr="00832CD8">
        <w:rPr>
          <w:b/>
        </w:rPr>
        <w:t>1.1.4</w:t>
      </w:r>
      <w:r w:rsidRPr="005A4949">
        <w:t>.</w:t>
      </w:r>
      <w:proofErr w:type="gramEnd"/>
      <w:r w:rsidRPr="005A4949">
        <w:t xml:space="preserve">  Tan, </w:t>
      </w:r>
      <w:r w:rsidRPr="005A4949">
        <w:rPr>
          <w:i/>
        </w:rPr>
        <w:t>Interpretation of Prophecy</w:t>
      </w:r>
      <w:r w:rsidRPr="005A4949">
        <w:t xml:space="preserve">, </w:t>
      </w:r>
      <w:r>
        <w:t xml:space="preserve">pp. 31, 137, 138, 140-41 and 143-4.  </w:t>
      </w:r>
    </w:p>
  </w:endnote>
  <w:endnote w:id="593">
    <w:p w:rsidR="00975183" w:rsidRDefault="00975183" w:rsidP="00442D33">
      <w:pPr>
        <w:pStyle w:val="EndnoteText"/>
      </w:pPr>
      <w:r w:rsidRPr="005A4949">
        <w:rPr>
          <w:rStyle w:val="FootnoteReference"/>
        </w:rPr>
        <w:endnoteRef/>
      </w:r>
      <w:r w:rsidRPr="005A4949">
        <w:t xml:space="preserve">  Baker, ‘Typology and the Christian Use of the Old Testament’, p. 149.</w:t>
      </w:r>
    </w:p>
  </w:endnote>
  <w:endnote w:id="594">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rsidRPr="00373406">
        <w:t xml:space="preserve"> note on Gen. 1:16, p. 4</w:t>
      </w:r>
      <w:r w:rsidRPr="00373406">
        <w:rPr>
          <w:b/>
        </w:rPr>
        <w:t>.</w:t>
      </w:r>
      <w:proofErr w:type="gramEnd"/>
      <w:r w:rsidRPr="00373406">
        <w:rPr>
          <w:b/>
        </w:rPr>
        <w:t xml:space="preserve">  </w:t>
      </w:r>
    </w:p>
  </w:endnote>
  <w:endnote w:id="595">
    <w:p w:rsidR="00975183" w:rsidRPr="00373406" w:rsidRDefault="00975183" w:rsidP="00442D33">
      <w:pPr>
        <w:pStyle w:val="EndnoteText"/>
      </w:pPr>
      <w:r w:rsidRPr="00373406">
        <w:rPr>
          <w:rStyle w:val="EndnoteReference"/>
        </w:rPr>
        <w:endnoteRef/>
      </w:r>
      <w:r w:rsidRPr="00373406">
        <w:t xml:space="preserve"> Ref. Rom. 5:14.</w:t>
      </w:r>
    </w:p>
  </w:endnote>
  <w:endnote w:id="596">
    <w:p w:rsidR="00975183" w:rsidRPr="00373406" w:rsidRDefault="00975183" w:rsidP="00442D33">
      <w:pPr>
        <w:pStyle w:val="EndnoteText"/>
      </w:pPr>
      <w:r w:rsidRPr="00373406">
        <w:rPr>
          <w:rStyle w:val="EndnoteReference"/>
        </w:rPr>
        <w:endnoteRef/>
      </w:r>
      <w:r w:rsidRPr="00373406">
        <w:t xml:space="preserve"> Ref. 1 Cor. 10:11.</w:t>
      </w:r>
    </w:p>
  </w:endnote>
  <w:endnote w:id="597">
    <w:p w:rsidR="00975183" w:rsidRPr="00373406" w:rsidRDefault="00975183" w:rsidP="00442D33">
      <w:pPr>
        <w:pStyle w:val="EndnoteText"/>
      </w:pPr>
      <w:r w:rsidRPr="00373406">
        <w:rPr>
          <w:rStyle w:val="EndnoteReference"/>
        </w:rPr>
        <w:endnoteRef/>
      </w:r>
      <w:r w:rsidRPr="00373406">
        <w:t xml:space="preserve"> Ref. Heb. 10:20.</w:t>
      </w:r>
    </w:p>
  </w:endnote>
  <w:endnote w:id="598">
    <w:p w:rsidR="00975183" w:rsidRPr="00373406" w:rsidRDefault="00975183" w:rsidP="00442D33">
      <w:pPr>
        <w:pStyle w:val="EndnoteText"/>
      </w:pPr>
      <w:r w:rsidRPr="00373406">
        <w:rPr>
          <w:rStyle w:val="EndnoteReference"/>
        </w:rPr>
        <w:endnoteRef/>
      </w:r>
      <w:r w:rsidRPr="00373406">
        <w:t xml:space="preserve"> Ref. Heb. 9:11.</w:t>
      </w:r>
    </w:p>
  </w:endnote>
  <w:endnote w:id="599">
    <w:p w:rsidR="00975183" w:rsidRPr="00373406" w:rsidRDefault="00975183" w:rsidP="00442D33">
      <w:pPr>
        <w:pStyle w:val="EndnoteText"/>
      </w:pPr>
      <w:r w:rsidRPr="00373406">
        <w:rPr>
          <w:rStyle w:val="EndnoteReference"/>
        </w:rPr>
        <w:endnoteRef/>
      </w:r>
      <w:r w:rsidRPr="00373406">
        <w:t xml:space="preserve"> Ref. 1 Cor. 5:7.</w:t>
      </w:r>
    </w:p>
  </w:endnote>
  <w:endnote w:id="600">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rsidRPr="00373406">
        <w:t xml:space="preserve"> note on Gen. 1:16, p. 4</w:t>
      </w:r>
      <w:r w:rsidRPr="00373406">
        <w:rPr>
          <w:b/>
        </w:rPr>
        <w:t>.</w:t>
      </w:r>
      <w:proofErr w:type="gramEnd"/>
      <w:r w:rsidRPr="00373406">
        <w:rPr>
          <w:b/>
        </w:rPr>
        <w:t xml:space="preserve">  </w:t>
      </w:r>
    </w:p>
  </w:endnote>
  <w:endnote w:id="601">
    <w:p w:rsidR="00975183" w:rsidRPr="00373406" w:rsidRDefault="00975183" w:rsidP="00442D33">
      <w:pPr>
        <w:pStyle w:val="EndnoteText"/>
      </w:pPr>
      <w:r w:rsidRPr="00373406">
        <w:rPr>
          <w:rStyle w:val="EndnoteReference"/>
        </w:rPr>
        <w:endnoteRef/>
      </w:r>
      <w:r w:rsidRPr="00373406">
        <w:t xml:space="preserve"> </w:t>
      </w:r>
      <w:r w:rsidRPr="00373406">
        <w:rPr>
          <w:i/>
        </w:rPr>
        <w:t>SRB</w:t>
      </w:r>
      <w:r w:rsidRPr="00373406">
        <w:t xml:space="preserve"> Introduction to the </w:t>
      </w:r>
      <w:r>
        <w:t>F</w:t>
      </w:r>
      <w:r w:rsidRPr="00373406">
        <w:t xml:space="preserve">our </w:t>
      </w:r>
      <w:r>
        <w:t>G</w:t>
      </w:r>
      <w:r w:rsidRPr="00373406">
        <w:t>ospels, p. 989</w:t>
      </w:r>
      <w:r w:rsidRPr="00373406">
        <w:rPr>
          <w:lang w:eastAsia="en-GB"/>
        </w:rPr>
        <w:t>.</w:t>
      </w:r>
    </w:p>
  </w:endnote>
  <w:endnote w:id="602">
    <w:p w:rsidR="00975183" w:rsidRPr="00832CD8" w:rsidRDefault="00975183" w:rsidP="00442D33">
      <w:pPr>
        <w:pStyle w:val="EndnoteText"/>
      </w:pPr>
      <w:r w:rsidRPr="00832CD8">
        <w:rPr>
          <w:rStyle w:val="FootnoteReference"/>
        </w:rPr>
        <w:endnoteRef/>
      </w:r>
      <w:r w:rsidRPr="00832CD8">
        <w:t xml:space="preserve"> </w:t>
      </w:r>
      <w:r w:rsidRPr="00832CD8">
        <w:rPr>
          <w:b/>
        </w:rPr>
        <w:t>See 1.3</w:t>
      </w:r>
      <w:r w:rsidRPr="00832CD8">
        <w:t>.</w:t>
      </w:r>
    </w:p>
  </w:endnote>
  <w:endnote w:id="603">
    <w:p w:rsidR="00975183" w:rsidRDefault="00975183" w:rsidP="00442D33">
      <w:pPr>
        <w:pStyle w:val="EndnoteText"/>
      </w:pPr>
      <w:r w:rsidRPr="005A4949">
        <w:rPr>
          <w:rStyle w:val="FootnoteReference"/>
        </w:rPr>
        <w:endnoteRef/>
      </w:r>
      <w:r w:rsidRPr="005A4949">
        <w:t xml:space="preserve"> Scofield, </w:t>
      </w:r>
      <w:proofErr w:type="gramStart"/>
      <w:r w:rsidRPr="005A4949">
        <w:rPr>
          <w:i/>
        </w:rPr>
        <w:t>The</w:t>
      </w:r>
      <w:proofErr w:type="gramEnd"/>
      <w:r w:rsidRPr="005A4949">
        <w:rPr>
          <w:i/>
        </w:rPr>
        <w:t xml:space="preserve"> Scofield Bible Correspondence Course, Old Testament</w:t>
      </w:r>
      <w:r w:rsidRPr="005A4949">
        <w:t>, p. 45.</w:t>
      </w:r>
    </w:p>
  </w:endnote>
  <w:endnote w:id="604">
    <w:p w:rsidR="00975183" w:rsidRDefault="00975183" w:rsidP="00442D33">
      <w:pPr>
        <w:pStyle w:val="EndnoteText"/>
      </w:pPr>
      <w:r w:rsidRPr="005A4949">
        <w:rPr>
          <w:rStyle w:val="FootnoteReference"/>
        </w:rPr>
        <w:endnoteRef/>
      </w:r>
      <w:r w:rsidRPr="005A4949">
        <w:t xml:space="preserve"> </w:t>
      </w:r>
      <w:r w:rsidRPr="005A4949">
        <w:rPr>
          <w:i/>
        </w:rPr>
        <w:t>SRB</w:t>
      </w:r>
      <w:r w:rsidRPr="005A4949">
        <w:t xml:space="preserve"> note on Exod. 25:1, p. 100.  </w:t>
      </w:r>
      <w:proofErr w:type="gramStart"/>
      <w:r w:rsidRPr="005A4949">
        <w:t>(</w:t>
      </w:r>
      <w:r w:rsidRPr="005A4949">
        <w:rPr>
          <w:i/>
        </w:rPr>
        <w:t>Scofield’s emphases</w:t>
      </w:r>
      <w:r w:rsidRPr="005A4949">
        <w:t>.)</w:t>
      </w:r>
      <w:proofErr w:type="gramEnd"/>
    </w:p>
  </w:endnote>
  <w:endnote w:id="605">
    <w:p w:rsidR="00975183" w:rsidRDefault="00975183" w:rsidP="00442D33">
      <w:pPr>
        <w:pStyle w:val="EndnoteText"/>
      </w:pPr>
      <w:r w:rsidRPr="005A4949">
        <w:rPr>
          <w:rStyle w:val="FootnoteReference"/>
        </w:rPr>
        <w:endnoteRef/>
      </w:r>
      <w:r w:rsidRPr="005A4949">
        <w:t xml:space="preserve"> Bock, ‘How Texts Speak to Us’, </w:t>
      </w:r>
      <w:r w:rsidRPr="005A4949">
        <w:rPr>
          <w:i/>
        </w:rPr>
        <w:t>Progressive Dispensationalism</w:t>
      </w:r>
      <w:r w:rsidRPr="005A4949">
        <w:t>, p. 97.</w:t>
      </w:r>
    </w:p>
  </w:endnote>
  <w:endnote w:id="606">
    <w:p w:rsidR="00975183" w:rsidRPr="00E94835" w:rsidRDefault="00975183" w:rsidP="00442D33">
      <w:pPr>
        <w:pStyle w:val="Default"/>
        <w:rPr>
          <w:rFonts w:ascii="Perpetua" w:hAnsi="Perpetua"/>
          <w:color w:val="auto"/>
          <w:sz w:val="20"/>
          <w:szCs w:val="20"/>
        </w:rPr>
      </w:pPr>
      <w:r w:rsidRPr="00E94835">
        <w:rPr>
          <w:rStyle w:val="EndnoteReference"/>
          <w:rFonts w:ascii="Perpetua" w:hAnsi="Perpetua"/>
          <w:sz w:val="20"/>
          <w:szCs w:val="20"/>
        </w:rPr>
        <w:endnoteRef/>
      </w:r>
      <w:r w:rsidRPr="00E94835">
        <w:rPr>
          <w:rFonts w:ascii="Perpetua" w:hAnsi="Perpetua"/>
          <w:sz w:val="20"/>
          <w:szCs w:val="20"/>
        </w:rPr>
        <w:t xml:space="preserve"> Albertus </w:t>
      </w:r>
      <w:r w:rsidRPr="00E94835">
        <w:rPr>
          <w:rFonts w:ascii="Perpetua" w:hAnsi="Perpetua" w:cs="Courier New"/>
          <w:sz w:val="20"/>
          <w:szCs w:val="20"/>
          <w:lang w:eastAsia="en-GB"/>
        </w:rPr>
        <w:t>Pieters, ‘A Candid Examination of the Scofield Bible’</w:t>
      </w:r>
      <w:r w:rsidRPr="00E94835">
        <w:rPr>
          <w:rFonts w:ascii="Perpetua" w:hAnsi="Perpetua"/>
          <w:color w:val="auto"/>
          <w:sz w:val="20"/>
          <w:szCs w:val="20"/>
        </w:rPr>
        <w:t xml:space="preserve">– Lecture before the Ministerial Association of the Christian Reformed Church, at Calvin College, Grand Rapids, Michigan, 1 June 1938, </w:t>
      </w:r>
      <w:r w:rsidRPr="00E94835">
        <w:rPr>
          <w:rFonts w:ascii="Perpetua" w:hAnsi="Perpetua" w:cs="Courier New"/>
          <w:sz w:val="20"/>
          <w:szCs w:val="20"/>
          <w:lang w:eastAsia="en-GB"/>
        </w:rPr>
        <w:t>pp. 12-13.</w:t>
      </w:r>
      <w:r w:rsidRPr="00E94835">
        <w:rPr>
          <w:rFonts w:ascii="Perpetua" w:hAnsi="Perpetua"/>
          <w:color w:val="auto"/>
          <w:sz w:val="20"/>
          <w:szCs w:val="20"/>
        </w:rPr>
        <w:t xml:space="preserve"> </w:t>
      </w:r>
    </w:p>
    <w:p w:rsidR="00975183" w:rsidRDefault="00975183" w:rsidP="00442D33">
      <w:pPr>
        <w:pStyle w:val="EndnoteText"/>
      </w:pPr>
      <w:r w:rsidRPr="00E94835">
        <w:t>&lt; http://www.archive.org/stream/candidexaminatio00piet#page/n1/mode/2up &gt; [accessed 26.6.16].</w:t>
      </w:r>
    </w:p>
  </w:endnote>
  <w:endnote w:id="607">
    <w:p w:rsidR="00975183" w:rsidRDefault="00975183" w:rsidP="00442D33">
      <w:pPr>
        <w:pStyle w:val="EndnoteText"/>
        <w:rPr>
          <w:sz w:val="22"/>
          <w:szCs w:val="22"/>
        </w:rPr>
      </w:pPr>
      <w:r w:rsidRPr="00373406">
        <w:rPr>
          <w:rStyle w:val="EndnoteReference"/>
        </w:rPr>
        <w:endnoteRef/>
      </w:r>
      <w:r>
        <w:t xml:space="preserve"> R. Todd Mangum, ‘The Theology of </w:t>
      </w:r>
      <w:r w:rsidRPr="00841204">
        <w:rPr>
          <w:i/>
        </w:rPr>
        <w:t>The Scofield Reference Bible</w:t>
      </w:r>
      <w:r w:rsidRPr="00373406">
        <w:t xml:space="preserve">’ </w:t>
      </w:r>
      <w:r>
        <w:t xml:space="preserve">in </w:t>
      </w:r>
      <w:r w:rsidRPr="00CC6C3C">
        <w:rPr>
          <w:sz w:val="22"/>
          <w:szCs w:val="22"/>
        </w:rPr>
        <w:t xml:space="preserve">R. Todd </w:t>
      </w:r>
      <w:r>
        <w:rPr>
          <w:sz w:val="22"/>
          <w:szCs w:val="22"/>
        </w:rPr>
        <w:t>Mangum</w:t>
      </w:r>
      <w:r w:rsidRPr="00CC6C3C">
        <w:rPr>
          <w:sz w:val="22"/>
          <w:szCs w:val="22"/>
        </w:rPr>
        <w:t xml:space="preserve"> and Mark S. Sweetnam, </w:t>
      </w:r>
      <w:r w:rsidRPr="00CC6C3C">
        <w:rPr>
          <w:i/>
          <w:sz w:val="22"/>
          <w:szCs w:val="22"/>
        </w:rPr>
        <w:t>The Scofield Bible: Its History and Impact on the Evangelical Church</w:t>
      </w:r>
      <w:r w:rsidRPr="00CC6C3C">
        <w:rPr>
          <w:sz w:val="22"/>
          <w:szCs w:val="22"/>
        </w:rPr>
        <w:t xml:space="preserve"> (Colorado Springs: Paternoster, 2009)</w:t>
      </w:r>
      <w:r>
        <w:rPr>
          <w:sz w:val="22"/>
          <w:szCs w:val="22"/>
        </w:rPr>
        <w:t xml:space="preserve">, </w:t>
      </w:r>
    </w:p>
    <w:p w:rsidR="00975183" w:rsidRDefault="00975183" w:rsidP="00442D33">
      <w:pPr>
        <w:pStyle w:val="EndnoteText"/>
      </w:pPr>
      <w:proofErr w:type="gramStart"/>
      <w:r>
        <w:rPr>
          <w:sz w:val="22"/>
          <w:szCs w:val="22"/>
        </w:rPr>
        <w:t>p.</w:t>
      </w:r>
      <w:r w:rsidRPr="00373406">
        <w:rPr>
          <w:color w:val="000000"/>
        </w:rPr>
        <w:t xml:space="preserve"> 108.</w:t>
      </w:r>
      <w:proofErr w:type="gramEnd"/>
      <w:r>
        <w:rPr>
          <w:color w:val="000000"/>
        </w:rPr>
        <w:t xml:space="preserve">  </w:t>
      </w:r>
      <w:proofErr w:type="gramStart"/>
      <w:r w:rsidRPr="00D44E94">
        <w:rPr>
          <w:b/>
          <w:color w:val="000000"/>
        </w:rPr>
        <w:t>cf 4.1</w:t>
      </w:r>
      <w:r>
        <w:rPr>
          <w:color w:val="000000"/>
        </w:rPr>
        <w:t>.</w:t>
      </w:r>
      <w:proofErr w:type="gramEnd"/>
    </w:p>
  </w:endnote>
  <w:endnote w:id="608">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rsidRPr="00373406">
        <w:t xml:space="preserve"> </w:t>
      </w:r>
      <w:r>
        <w:t>n</w:t>
      </w:r>
      <w:r w:rsidRPr="00373406">
        <w:t>ote on Gen. 1:16, p. 4.</w:t>
      </w:r>
      <w:proofErr w:type="gramEnd"/>
    </w:p>
  </w:endnote>
  <w:endnote w:id="609">
    <w:p w:rsidR="00975183" w:rsidRPr="00EC2B76" w:rsidRDefault="00975183" w:rsidP="00442D33">
      <w:pPr>
        <w:pStyle w:val="EndnoteText"/>
      </w:pPr>
      <w:r w:rsidRPr="00EC2B76">
        <w:rPr>
          <w:rStyle w:val="EndnoteReference"/>
        </w:rPr>
        <w:endnoteRef/>
      </w:r>
      <w:r w:rsidRPr="00EC2B76">
        <w:t xml:space="preserve"> </w:t>
      </w:r>
      <w:r w:rsidRPr="00832CD8">
        <w:rPr>
          <w:b/>
        </w:rPr>
        <w:t xml:space="preserve">See </w:t>
      </w:r>
      <w:r w:rsidRPr="00832CD8">
        <w:t xml:space="preserve">1.3; </w:t>
      </w:r>
      <w:r w:rsidRPr="00832CD8">
        <w:rPr>
          <w:b/>
        </w:rPr>
        <w:t>2.3</w:t>
      </w:r>
      <w:r w:rsidRPr="00832CD8">
        <w:t>.</w:t>
      </w:r>
    </w:p>
  </w:endnote>
  <w:endnote w:id="610">
    <w:p w:rsidR="00975183" w:rsidRPr="00F8184B" w:rsidRDefault="00975183" w:rsidP="00442D33">
      <w:pPr>
        <w:pStyle w:val="EndnoteText"/>
      </w:pPr>
      <w:r w:rsidRPr="00F8184B">
        <w:rPr>
          <w:rStyle w:val="EndnoteReference"/>
        </w:rPr>
        <w:endnoteRef/>
      </w:r>
      <w:r w:rsidRPr="00F8184B">
        <w:t xml:space="preserve"> </w:t>
      </w:r>
      <w:r>
        <w:t xml:space="preserve">Tan, </w:t>
      </w:r>
      <w:r w:rsidRPr="00F8184B">
        <w:rPr>
          <w:i/>
        </w:rPr>
        <w:t>Interpretation of Prophecy</w:t>
      </w:r>
      <w:r>
        <w:t>, p. 171.</w:t>
      </w:r>
    </w:p>
  </w:endnote>
  <w:endnote w:id="611">
    <w:p w:rsidR="00975183" w:rsidRPr="00882433" w:rsidRDefault="00975183" w:rsidP="00442D33">
      <w:pPr>
        <w:pStyle w:val="EndnoteText"/>
      </w:pPr>
      <w:r w:rsidRPr="00882433">
        <w:rPr>
          <w:rStyle w:val="EndnoteReference"/>
        </w:rPr>
        <w:endnoteRef/>
      </w:r>
      <w:r w:rsidRPr="00882433">
        <w:t xml:space="preserve"> </w:t>
      </w:r>
      <w:r>
        <w:t>Campbell, ‘The Interpretation of Types’, p. 249.</w:t>
      </w:r>
    </w:p>
  </w:endnote>
  <w:endnote w:id="612">
    <w:p w:rsidR="00975183" w:rsidRPr="009418E6" w:rsidRDefault="00975183" w:rsidP="00442D33">
      <w:pPr>
        <w:pStyle w:val="EndnoteText"/>
        <w:rPr>
          <w:rFonts w:ascii="Times New Roman" w:hAnsi="Times New Roman"/>
          <w:sz w:val="18"/>
          <w:szCs w:val="18"/>
        </w:rPr>
      </w:pPr>
      <w:r w:rsidRPr="009418E6">
        <w:rPr>
          <w:rStyle w:val="EndnoteReference"/>
          <w:szCs w:val="18"/>
        </w:rPr>
        <w:endnoteRef/>
      </w:r>
      <w:r w:rsidRPr="009418E6">
        <w:rPr>
          <w:szCs w:val="18"/>
        </w:rPr>
        <w:t xml:space="preserve"> </w:t>
      </w:r>
      <w:proofErr w:type="gramStart"/>
      <w:r w:rsidRPr="009418E6">
        <w:rPr>
          <w:i/>
          <w:szCs w:val="18"/>
        </w:rPr>
        <w:t xml:space="preserve">SRB </w:t>
      </w:r>
      <w:r w:rsidRPr="009418E6">
        <w:rPr>
          <w:szCs w:val="18"/>
        </w:rPr>
        <w:t>note on Gen. 3:14, p. 9.</w:t>
      </w:r>
      <w:proofErr w:type="gramEnd"/>
      <w:r w:rsidRPr="009418E6">
        <w:rPr>
          <w:rFonts w:ascii="Times New Roman" w:hAnsi="Times New Roman"/>
          <w:szCs w:val="18"/>
        </w:rPr>
        <w:t xml:space="preserve">  </w:t>
      </w:r>
      <w:proofErr w:type="gramStart"/>
      <w:r w:rsidRPr="009418E6">
        <w:rPr>
          <w:b/>
          <w:sz w:val="18"/>
          <w:szCs w:val="18"/>
        </w:rPr>
        <w:t>See 5.4.2</w:t>
      </w:r>
      <w:r w:rsidRPr="009418E6">
        <w:rPr>
          <w:rFonts w:ascii="Times New Roman" w:hAnsi="Times New Roman"/>
          <w:sz w:val="18"/>
          <w:szCs w:val="18"/>
        </w:rPr>
        <w:t>.</w:t>
      </w:r>
      <w:proofErr w:type="gramEnd"/>
    </w:p>
  </w:endnote>
  <w:endnote w:id="613">
    <w:p w:rsidR="00975183" w:rsidRDefault="00975183" w:rsidP="00442D33">
      <w:pPr>
        <w:pStyle w:val="EndnoteText"/>
      </w:pPr>
      <w:r w:rsidRPr="00412CC3">
        <w:rPr>
          <w:rStyle w:val="FootnoteReference"/>
        </w:rPr>
        <w:endnoteRef/>
      </w:r>
      <w:r w:rsidRPr="00412CC3">
        <w:t xml:space="preserve"> ‘</w:t>
      </w:r>
      <w:r w:rsidRPr="00412CC3">
        <w:rPr>
          <w:lang w:val="en-US"/>
        </w:rPr>
        <w:t xml:space="preserve">And as Moses lifted up the serpent in the wilderness, even so must the Son of man be lifted up: </w:t>
      </w:r>
      <w:r w:rsidRPr="00412CC3">
        <w:rPr>
          <w:vertAlign w:val="superscript"/>
          <w:lang w:val="en-US"/>
        </w:rPr>
        <w:t>15</w:t>
      </w:r>
      <w:r w:rsidRPr="00412CC3">
        <w:rPr>
          <w:lang w:val="en-US"/>
        </w:rPr>
        <w:t>That whosoever believeth in him should not perish, but have eternal life.</w:t>
      </w:r>
      <w:r w:rsidRPr="00412CC3">
        <w:t xml:space="preserve">’  Jn 2:14, 15, </w:t>
      </w:r>
      <w:r w:rsidRPr="00412CC3">
        <w:rPr>
          <w:i/>
        </w:rPr>
        <w:t>KJV</w:t>
      </w:r>
      <w:r>
        <w:rPr>
          <w:i/>
        </w:rPr>
        <w:t>.</w:t>
      </w:r>
    </w:p>
  </w:endnote>
  <w:endnote w:id="614">
    <w:p w:rsidR="00975183" w:rsidRPr="00F336F1" w:rsidRDefault="00975183" w:rsidP="00442D33">
      <w:pPr>
        <w:pStyle w:val="EndnoteText"/>
        <w:rPr>
          <w:rFonts w:ascii="Times New Roman" w:hAnsi="Times New Roman"/>
          <w:sz w:val="18"/>
          <w:szCs w:val="18"/>
        </w:rPr>
      </w:pPr>
      <w:r w:rsidRPr="00F336F1">
        <w:rPr>
          <w:rStyle w:val="EndnoteReference"/>
          <w:rFonts w:ascii="Times New Roman" w:hAnsi="Times New Roman"/>
          <w:sz w:val="18"/>
          <w:szCs w:val="18"/>
        </w:rPr>
        <w:endnoteRef/>
      </w:r>
      <w:r w:rsidRPr="00F336F1">
        <w:rPr>
          <w:rFonts w:ascii="Times New Roman" w:hAnsi="Times New Roman"/>
          <w:sz w:val="18"/>
          <w:szCs w:val="18"/>
        </w:rPr>
        <w:t xml:space="preserve"> </w:t>
      </w:r>
      <w:proofErr w:type="gramStart"/>
      <w:r w:rsidRPr="00F336F1">
        <w:rPr>
          <w:rFonts w:ascii="Times New Roman" w:hAnsi="Times New Roman"/>
          <w:i/>
          <w:sz w:val="18"/>
          <w:szCs w:val="18"/>
        </w:rPr>
        <w:t xml:space="preserve">SRB </w:t>
      </w:r>
      <w:r w:rsidRPr="00F336F1">
        <w:rPr>
          <w:rFonts w:ascii="Times New Roman" w:hAnsi="Times New Roman"/>
          <w:sz w:val="18"/>
          <w:szCs w:val="18"/>
        </w:rPr>
        <w:t>note on Gen. 5:1, p. 12.</w:t>
      </w:r>
      <w:proofErr w:type="gramEnd"/>
    </w:p>
  </w:endnote>
  <w:endnote w:id="615">
    <w:p w:rsidR="00975183" w:rsidRDefault="00975183" w:rsidP="00442D33">
      <w:pPr>
        <w:pStyle w:val="EndnoteText"/>
      </w:pPr>
      <w:r w:rsidRPr="00412CC3">
        <w:rPr>
          <w:rStyle w:val="FootnoteReference"/>
        </w:rPr>
        <w:endnoteRef/>
      </w:r>
      <w:r w:rsidRPr="00412CC3">
        <w:t xml:space="preserve"> </w:t>
      </w:r>
      <w:r w:rsidRPr="00412CC3">
        <w:rPr>
          <w:lang w:eastAsia="en-GB"/>
        </w:rPr>
        <w:t>‘</w:t>
      </w:r>
      <w:r w:rsidRPr="00412CC3">
        <w:rPr>
          <w:lang w:val="en-US"/>
        </w:rPr>
        <w:t xml:space="preserve">Nevertheless death reigned from Adam to Moses, even over them that had not sinned after the similitude of Adam's transgression, who is the figure of him that was to come.’  Rom. 5:14, </w:t>
      </w:r>
      <w:r w:rsidRPr="00412CC3">
        <w:rPr>
          <w:i/>
          <w:lang w:val="en-US"/>
        </w:rPr>
        <w:t>KJV</w:t>
      </w:r>
      <w:r w:rsidRPr="00412CC3">
        <w:rPr>
          <w:lang w:eastAsia="en-GB"/>
        </w:rPr>
        <w:t>.</w:t>
      </w:r>
    </w:p>
  </w:endnote>
  <w:endnote w:id="616">
    <w:p w:rsidR="00975183" w:rsidRPr="00412CC3" w:rsidRDefault="00975183" w:rsidP="00442D33">
      <w:pPr>
        <w:pStyle w:val="FootnoteText"/>
        <w:rPr>
          <w:rFonts w:ascii="Perpetua" w:hAnsi="Perpetua"/>
          <w:lang w:eastAsia="en-GB"/>
        </w:rPr>
      </w:pPr>
      <w:r w:rsidRPr="00412CC3">
        <w:rPr>
          <w:rStyle w:val="FootnoteReference"/>
          <w:rFonts w:ascii="Perpetua" w:hAnsi="Perpetua"/>
        </w:rPr>
        <w:endnoteRef/>
      </w:r>
      <w:r w:rsidRPr="00412CC3">
        <w:rPr>
          <w:rFonts w:ascii="Perpetua" w:hAnsi="Perpetua"/>
        </w:rPr>
        <w:t xml:space="preserve"> </w:t>
      </w:r>
      <w:r w:rsidRPr="00412CC3">
        <w:rPr>
          <w:rFonts w:ascii="Perpetua" w:hAnsi="Perpetua"/>
          <w:lang w:eastAsia="en-GB"/>
        </w:rPr>
        <w:t>‘</w:t>
      </w:r>
      <w:r w:rsidRPr="00412CC3">
        <w:rPr>
          <w:rFonts w:ascii="Perpetua" w:eastAsiaTheme="minorHAnsi" w:hAnsi="Perpetua"/>
          <w:lang w:val="en-US"/>
        </w:rPr>
        <w:t xml:space="preserve">For since by man </w:t>
      </w:r>
      <w:r w:rsidRPr="00412CC3">
        <w:rPr>
          <w:rFonts w:ascii="Perpetua" w:eastAsiaTheme="minorHAnsi" w:hAnsi="Perpetua"/>
          <w:i/>
          <w:iCs/>
          <w:lang w:val="en-US"/>
        </w:rPr>
        <w:t>came</w:t>
      </w:r>
      <w:r w:rsidRPr="00412CC3">
        <w:rPr>
          <w:rFonts w:ascii="Perpetua" w:eastAsiaTheme="minorHAnsi" w:hAnsi="Perpetua"/>
          <w:lang w:val="en-US"/>
        </w:rPr>
        <w:t xml:space="preserve"> death, by man </w:t>
      </w:r>
      <w:r w:rsidRPr="00412CC3">
        <w:rPr>
          <w:rFonts w:ascii="Perpetua" w:eastAsiaTheme="minorHAnsi" w:hAnsi="Perpetua"/>
          <w:i/>
          <w:iCs/>
          <w:lang w:val="en-US"/>
        </w:rPr>
        <w:t>came</w:t>
      </w:r>
      <w:r w:rsidRPr="00412CC3">
        <w:rPr>
          <w:rFonts w:ascii="Perpetua" w:eastAsiaTheme="minorHAnsi" w:hAnsi="Perpetua"/>
          <w:lang w:val="en-US"/>
        </w:rPr>
        <w:t xml:space="preserve"> also the resurrection of the dead. </w:t>
      </w:r>
      <w:r w:rsidRPr="00412CC3">
        <w:rPr>
          <w:rFonts w:ascii="Perpetua" w:eastAsiaTheme="minorHAnsi" w:hAnsi="Perpetua"/>
          <w:vertAlign w:val="superscript"/>
          <w:lang w:val="en-US"/>
        </w:rPr>
        <w:t>22</w:t>
      </w:r>
      <w:r w:rsidRPr="00412CC3">
        <w:rPr>
          <w:rFonts w:ascii="Perpetua" w:eastAsiaTheme="minorHAnsi" w:hAnsi="Perpetua"/>
          <w:lang w:val="en-US"/>
        </w:rPr>
        <w:t>For as in Adam all die, even so in Christ shall all be made alive.</w:t>
      </w:r>
      <w:r w:rsidRPr="00412CC3">
        <w:rPr>
          <w:rFonts w:ascii="Perpetua" w:hAnsi="Perpetua"/>
          <w:lang w:eastAsia="en-GB"/>
        </w:rPr>
        <w:t xml:space="preserve">’ 1 Cor. 15:21, 22, </w:t>
      </w:r>
      <w:r w:rsidRPr="00412CC3">
        <w:rPr>
          <w:rFonts w:ascii="Perpetua" w:hAnsi="Perpetua"/>
          <w:i/>
          <w:lang w:eastAsia="en-GB"/>
        </w:rPr>
        <w:t>KJV</w:t>
      </w:r>
      <w:r w:rsidRPr="00412CC3">
        <w:rPr>
          <w:rFonts w:ascii="Perpetua" w:hAnsi="Perpetua"/>
          <w:lang w:eastAsia="en-GB"/>
        </w:rPr>
        <w:t>;</w:t>
      </w:r>
    </w:p>
    <w:p w:rsidR="00975183" w:rsidRDefault="00975183" w:rsidP="00442D33">
      <w:pPr>
        <w:pStyle w:val="EndnoteText"/>
      </w:pPr>
      <w:r w:rsidRPr="00412CC3">
        <w:rPr>
          <w:lang w:eastAsia="en-GB"/>
        </w:rPr>
        <w:t>‘</w:t>
      </w:r>
      <w:r w:rsidRPr="00412CC3">
        <w:rPr>
          <w:lang w:val="en-US"/>
        </w:rPr>
        <w:t xml:space="preserve">And so it is written, </w:t>
      </w:r>
      <w:proofErr w:type="gramStart"/>
      <w:r w:rsidRPr="00412CC3">
        <w:rPr>
          <w:lang w:val="en-US"/>
        </w:rPr>
        <w:t>The</w:t>
      </w:r>
      <w:proofErr w:type="gramEnd"/>
      <w:r w:rsidRPr="00412CC3">
        <w:rPr>
          <w:lang w:val="en-US"/>
        </w:rPr>
        <w:t xml:space="preserve"> first man Adam was made a living soul; the last Adam </w:t>
      </w:r>
      <w:r w:rsidRPr="00412CC3">
        <w:rPr>
          <w:i/>
          <w:iCs/>
          <w:lang w:val="en-US"/>
        </w:rPr>
        <w:t>was made</w:t>
      </w:r>
      <w:r w:rsidRPr="00412CC3">
        <w:rPr>
          <w:lang w:val="en-US"/>
        </w:rPr>
        <w:t xml:space="preserve"> a quickening spirit. </w:t>
      </w:r>
      <w:proofErr w:type="gramStart"/>
      <w:r w:rsidRPr="00412CC3">
        <w:rPr>
          <w:vertAlign w:val="superscript"/>
          <w:lang w:val="en-US"/>
        </w:rPr>
        <w:t>46</w:t>
      </w:r>
      <w:r w:rsidRPr="00412CC3">
        <w:rPr>
          <w:lang w:val="en-US"/>
        </w:rPr>
        <w:t xml:space="preserve">Howbeit that </w:t>
      </w:r>
      <w:r w:rsidRPr="00412CC3">
        <w:rPr>
          <w:i/>
          <w:iCs/>
          <w:lang w:val="en-US"/>
        </w:rPr>
        <w:t>was</w:t>
      </w:r>
      <w:r w:rsidRPr="00412CC3">
        <w:rPr>
          <w:lang w:val="en-US"/>
        </w:rPr>
        <w:t xml:space="preserve"> not first which is spiritual, but that which is natural; and afterward that which is spiritual.</w:t>
      </w:r>
      <w:proofErr w:type="gramEnd"/>
      <w:r w:rsidRPr="00412CC3">
        <w:rPr>
          <w:lang w:val="en-US"/>
        </w:rPr>
        <w:t xml:space="preserve"> </w:t>
      </w:r>
      <w:r w:rsidRPr="00412CC3">
        <w:rPr>
          <w:vertAlign w:val="superscript"/>
          <w:lang w:val="en-US"/>
        </w:rPr>
        <w:t>47</w:t>
      </w:r>
      <w:r w:rsidRPr="00412CC3">
        <w:rPr>
          <w:lang w:val="en-US"/>
        </w:rPr>
        <w:t xml:space="preserve">The first man </w:t>
      </w:r>
      <w:r w:rsidRPr="00412CC3">
        <w:rPr>
          <w:i/>
          <w:iCs/>
          <w:lang w:val="en-US"/>
        </w:rPr>
        <w:t>is</w:t>
      </w:r>
      <w:r w:rsidRPr="00412CC3">
        <w:rPr>
          <w:lang w:val="en-US"/>
        </w:rPr>
        <w:t xml:space="preserve"> of the earth, earthy: the second man </w:t>
      </w:r>
      <w:r w:rsidRPr="00412CC3">
        <w:rPr>
          <w:i/>
          <w:iCs/>
          <w:lang w:val="en-US"/>
        </w:rPr>
        <w:t>is</w:t>
      </w:r>
      <w:r w:rsidRPr="00412CC3">
        <w:rPr>
          <w:lang w:val="en-US"/>
        </w:rPr>
        <w:t xml:space="preserve"> the Lord from heaven.</w:t>
      </w:r>
      <w:r w:rsidRPr="00412CC3">
        <w:rPr>
          <w:lang w:eastAsia="en-GB"/>
        </w:rPr>
        <w:t xml:space="preserve">’ 1 Cor. 15:45-6, </w:t>
      </w:r>
      <w:r w:rsidRPr="00412CC3">
        <w:rPr>
          <w:i/>
          <w:lang w:eastAsia="en-GB"/>
        </w:rPr>
        <w:t>KJV</w:t>
      </w:r>
      <w:r w:rsidRPr="00412CC3">
        <w:rPr>
          <w:lang w:eastAsia="en-GB"/>
        </w:rPr>
        <w:t>.</w:t>
      </w:r>
    </w:p>
  </w:endnote>
  <w:endnote w:id="617">
    <w:p w:rsidR="00975183" w:rsidRDefault="00975183" w:rsidP="00442D33">
      <w:pPr>
        <w:pStyle w:val="EndnoteText"/>
      </w:pPr>
      <w:r w:rsidRPr="006E633E">
        <w:rPr>
          <w:rStyle w:val="FootnoteReference"/>
        </w:rPr>
        <w:endnoteRef/>
      </w:r>
      <w:r w:rsidRPr="006E633E">
        <w:t xml:space="preserve"> </w:t>
      </w:r>
      <w:r w:rsidRPr="006E633E">
        <w:rPr>
          <w:lang w:eastAsia="en-GB"/>
        </w:rPr>
        <w:t>‘</w:t>
      </w:r>
      <w:r w:rsidRPr="006E633E">
        <w:rPr>
          <w:lang w:val="en-US"/>
        </w:rPr>
        <w:t xml:space="preserve">Whither the forerunner is for us entered, </w:t>
      </w:r>
      <w:r w:rsidRPr="006E633E">
        <w:rPr>
          <w:i/>
          <w:iCs/>
          <w:lang w:val="en-US"/>
        </w:rPr>
        <w:t>even</w:t>
      </w:r>
      <w:r w:rsidRPr="006E633E">
        <w:rPr>
          <w:lang w:val="en-US"/>
        </w:rPr>
        <w:t xml:space="preserve"> Jesus, made </w:t>
      </w:r>
      <w:proofErr w:type="gramStart"/>
      <w:r w:rsidRPr="006E633E">
        <w:rPr>
          <w:lang w:val="en-US"/>
        </w:rPr>
        <w:t>an</w:t>
      </w:r>
      <w:proofErr w:type="gramEnd"/>
      <w:r w:rsidRPr="006E633E">
        <w:rPr>
          <w:lang w:val="en-US"/>
        </w:rPr>
        <w:t xml:space="preserve"> high priest for ever after the order of Melchisedec.</w:t>
      </w:r>
      <w:r w:rsidRPr="006E633E">
        <w:rPr>
          <w:lang w:eastAsia="en-GB"/>
        </w:rPr>
        <w:t xml:space="preserve">’ Heb. 6:20, </w:t>
      </w:r>
      <w:r w:rsidRPr="006E633E">
        <w:rPr>
          <w:i/>
          <w:lang w:eastAsia="en-GB"/>
        </w:rPr>
        <w:t>KJV</w:t>
      </w:r>
      <w:r w:rsidRPr="006E633E">
        <w:rPr>
          <w:lang w:eastAsia="en-GB"/>
        </w:rPr>
        <w:t>.</w:t>
      </w:r>
    </w:p>
  </w:endnote>
  <w:endnote w:id="618">
    <w:p w:rsidR="00975183" w:rsidRDefault="00975183" w:rsidP="00442D33">
      <w:pPr>
        <w:pStyle w:val="EndnoteText"/>
      </w:pPr>
      <w:r w:rsidRPr="006E633E">
        <w:rPr>
          <w:rStyle w:val="EndnoteReference"/>
        </w:rPr>
        <w:endnoteRef/>
      </w:r>
      <w:r w:rsidRPr="006E633E">
        <w:t xml:space="preserve"> </w:t>
      </w:r>
      <w:proofErr w:type="gramStart"/>
      <w:r w:rsidRPr="006E633E">
        <w:rPr>
          <w:i/>
        </w:rPr>
        <w:t>SRB</w:t>
      </w:r>
      <w:r>
        <w:t xml:space="preserve"> n</w:t>
      </w:r>
      <w:r w:rsidRPr="006E633E">
        <w:t>ote on Gen. 14:18, p. 23</w:t>
      </w:r>
      <w:r w:rsidRPr="006E633E">
        <w:rPr>
          <w:lang w:eastAsia="en-GB"/>
        </w:rPr>
        <w:t>.</w:t>
      </w:r>
      <w:proofErr w:type="gramEnd"/>
      <w:r w:rsidRPr="006E633E">
        <w:rPr>
          <w:lang w:eastAsia="en-GB"/>
        </w:rPr>
        <w:t xml:space="preserve">  cf </w:t>
      </w:r>
      <w:r>
        <w:t>n</w:t>
      </w:r>
      <w:r w:rsidRPr="006E633E">
        <w:t>ote</w:t>
      </w:r>
      <w:r>
        <w:t>s</w:t>
      </w:r>
      <w:r w:rsidRPr="006E633E">
        <w:t xml:space="preserve"> on Exod. 28:1, p. 106, and Heb. 5:6, p. 1295.  </w:t>
      </w:r>
      <w:proofErr w:type="gramStart"/>
      <w:r w:rsidRPr="00832CD8">
        <w:rPr>
          <w:b/>
        </w:rPr>
        <w:t>See 8.8.1</w:t>
      </w:r>
      <w:r w:rsidRPr="00832CD8">
        <w:t>.</w:t>
      </w:r>
      <w:proofErr w:type="gramEnd"/>
    </w:p>
  </w:endnote>
  <w:endnote w:id="619">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t xml:space="preserve"> n</w:t>
      </w:r>
      <w:r w:rsidRPr="00373406">
        <w:t>ote on Gen. 14:18, p. 23</w:t>
      </w:r>
      <w:r w:rsidRPr="00373406">
        <w:rPr>
          <w:lang w:eastAsia="en-GB"/>
        </w:rPr>
        <w:t>.</w:t>
      </w:r>
      <w:proofErr w:type="gramEnd"/>
    </w:p>
  </w:endnote>
  <w:endnote w:id="620">
    <w:p w:rsidR="00975183" w:rsidRDefault="00975183" w:rsidP="00442D33">
      <w:pPr>
        <w:pStyle w:val="EndnoteText"/>
      </w:pPr>
      <w:r w:rsidRPr="00DD252A">
        <w:rPr>
          <w:rStyle w:val="FootnoteReference"/>
        </w:rPr>
        <w:endnoteRef/>
      </w:r>
      <w:r w:rsidRPr="00DD252A">
        <w:t xml:space="preserve"> </w:t>
      </w:r>
      <w:r w:rsidRPr="00DD252A">
        <w:rPr>
          <w:lang w:eastAsia="en-GB"/>
        </w:rPr>
        <w:t>‘</w:t>
      </w:r>
      <w:r w:rsidRPr="00DD252A">
        <w:rPr>
          <w:lang w:val="en-US"/>
        </w:rPr>
        <w:t xml:space="preserve">If therefore perfection were by the Levitical priesthood, (for under it the people received the law,) what further need </w:t>
      </w:r>
      <w:r w:rsidRPr="00DD252A">
        <w:rPr>
          <w:i/>
          <w:iCs/>
          <w:lang w:val="en-US"/>
        </w:rPr>
        <w:t>was there</w:t>
      </w:r>
      <w:r w:rsidRPr="00DD252A">
        <w:rPr>
          <w:lang w:val="en-US"/>
        </w:rPr>
        <w:t xml:space="preserve"> that another priest should rise after the order of Melchisedec, and not be called after the order of Aaron?</w:t>
      </w:r>
      <w:r w:rsidRPr="00DD252A">
        <w:rPr>
          <w:lang w:eastAsia="en-GB"/>
        </w:rPr>
        <w:t xml:space="preserve">’ Heb. 7:11, </w:t>
      </w:r>
      <w:r w:rsidRPr="00DD252A">
        <w:rPr>
          <w:i/>
          <w:lang w:eastAsia="en-GB"/>
        </w:rPr>
        <w:t>KJV</w:t>
      </w:r>
      <w:r w:rsidRPr="00DD252A">
        <w:rPr>
          <w:lang w:eastAsia="en-GB"/>
        </w:rPr>
        <w:t>.</w:t>
      </w:r>
    </w:p>
  </w:endnote>
  <w:endnote w:id="621">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n</w:t>
      </w:r>
      <w:r w:rsidRPr="00373406">
        <w:t xml:space="preserve">ote on Exod. 28:1, p. 106.  </w:t>
      </w:r>
      <w:proofErr w:type="gramStart"/>
      <w:r w:rsidRPr="00373406">
        <w:t>Refs Hebrews 7 and 9.</w:t>
      </w:r>
      <w:proofErr w:type="gramEnd"/>
    </w:p>
  </w:endnote>
  <w:endnote w:id="622">
    <w:p w:rsidR="00975183" w:rsidRPr="00DD252A" w:rsidRDefault="00975183" w:rsidP="00442D33">
      <w:pPr>
        <w:pStyle w:val="FootnoteText"/>
        <w:rPr>
          <w:rFonts w:ascii="Perpetua" w:hAnsi="Perpetua"/>
        </w:rPr>
      </w:pPr>
      <w:r w:rsidRPr="00DD252A">
        <w:rPr>
          <w:rStyle w:val="FootnoteReference"/>
          <w:rFonts w:ascii="Perpetua" w:hAnsi="Perpetua"/>
        </w:rPr>
        <w:endnoteRef/>
      </w:r>
      <w:r w:rsidRPr="00DD252A">
        <w:rPr>
          <w:rFonts w:ascii="Perpetua" w:hAnsi="Perpetua"/>
        </w:rPr>
        <w:t xml:space="preserve"> </w:t>
      </w:r>
      <w:r w:rsidRPr="00DD252A">
        <w:rPr>
          <w:rFonts w:ascii="Perpetua" w:hAnsi="Perpetua"/>
          <w:i/>
        </w:rPr>
        <w:t>SR</w:t>
      </w:r>
      <w:r>
        <w:rPr>
          <w:rFonts w:ascii="Perpetua" w:hAnsi="Perpetua"/>
          <w:i/>
        </w:rPr>
        <w:t xml:space="preserve">B </w:t>
      </w:r>
      <w:r w:rsidRPr="00291F4C">
        <w:rPr>
          <w:rFonts w:ascii="Perpetua" w:hAnsi="Perpetua"/>
        </w:rPr>
        <w:t>n</w:t>
      </w:r>
      <w:r w:rsidRPr="00DD252A">
        <w:rPr>
          <w:rFonts w:ascii="Perpetua" w:hAnsi="Perpetua"/>
        </w:rPr>
        <w:t xml:space="preserve">ote on Lev. 16:5, p. 147.  Refs Heb. 9:11, 12, 24.  </w:t>
      </w:r>
    </w:p>
    <w:p w:rsidR="00975183" w:rsidRPr="00DD252A" w:rsidRDefault="00975183" w:rsidP="00442D33">
      <w:pPr>
        <w:pStyle w:val="FootnoteText"/>
        <w:rPr>
          <w:rFonts w:ascii="Perpetua" w:eastAsiaTheme="minorHAnsi" w:hAnsi="Perpetua"/>
          <w:i/>
          <w:iCs/>
          <w:lang w:val="en-US"/>
        </w:rPr>
      </w:pPr>
      <w:r w:rsidRPr="00DD252A">
        <w:rPr>
          <w:rFonts w:ascii="Perpetua" w:hAnsi="Perpetua"/>
        </w:rPr>
        <w:t>‘</w:t>
      </w:r>
      <w:r w:rsidRPr="00DD252A">
        <w:rPr>
          <w:rFonts w:ascii="Perpetua" w:eastAsiaTheme="minorHAnsi" w:hAnsi="Perpetua"/>
          <w:lang w:val="en-US"/>
        </w:rPr>
        <w:t xml:space="preserve">But Christ being come an high priest of good things to come, by a greater and more perfect tabernacle, not made with hands, that is to say, not of this building; </w:t>
      </w:r>
      <w:r w:rsidRPr="00DD252A">
        <w:rPr>
          <w:rFonts w:ascii="Perpetua" w:eastAsiaTheme="minorHAnsi" w:hAnsi="Perpetua"/>
          <w:vertAlign w:val="superscript"/>
          <w:lang w:val="en-US"/>
        </w:rPr>
        <w:t>12</w:t>
      </w:r>
      <w:r w:rsidRPr="00DD252A">
        <w:rPr>
          <w:rFonts w:ascii="Perpetua" w:eastAsiaTheme="minorHAnsi" w:hAnsi="Perpetua"/>
          <w:lang w:val="en-US"/>
        </w:rPr>
        <w:t xml:space="preserve">Neither by the blood of goats and calves, but by his own blood he entered in once into the holy place, having obtained eternal redemption </w:t>
      </w:r>
      <w:r w:rsidRPr="00DD252A">
        <w:rPr>
          <w:rFonts w:ascii="Perpetua" w:eastAsiaTheme="minorHAnsi" w:hAnsi="Perpetua"/>
          <w:i/>
          <w:iCs/>
          <w:lang w:val="en-US"/>
        </w:rPr>
        <w:t>for us.</w:t>
      </w:r>
      <w:r w:rsidRPr="00DD252A">
        <w:rPr>
          <w:rFonts w:ascii="Perpetua" w:eastAsiaTheme="minorHAnsi" w:hAnsi="Perpetua"/>
          <w:iCs/>
          <w:lang w:val="en-US"/>
        </w:rPr>
        <w:t>’</w:t>
      </w:r>
      <w:r w:rsidRPr="00DD252A">
        <w:rPr>
          <w:rFonts w:ascii="Perpetua" w:eastAsiaTheme="minorHAnsi" w:hAnsi="Perpetua"/>
          <w:i/>
          <w:iCs/>
          <w:lang w:val="en-US"/>
        </w:rPr>
        <w:t xml:space="preserve">  </w:t>
      </w:r>
      <w:r w:rsidRPr="00DD252A">
        <w:rPr>
          <w:rFonts w:ascii="Perpetua" w:eastAsiaTheme="minorHAnsi" w:hAnsi="Perpetua"/>
          <w:iCs/>
          <w:lang w:val="en-US"/>
        </w:rPr>
        <w:t>Heb. 9:11, 12,</w:t>
      </w:r>
      <w:r w:rsidRPr="00DD252A">
        <w:rPr>
          <w:rFonts w:ascii="Perpetua" w:eastAsiaTheme="minorHAnsi" w:hAnsi="Perpetua"/>
          <w:i/>
          <w:iCs/>
          <w:lang w:val="en-US"/>
        </w:rPr>
        <w:t xml:space="preserve"> KJV.  </w:t>
      </w:r>
    </w:p>
    <w:p w:rsidR="00975183" w:rsidRDefault="00975183" w:rsidP="00442D33">
      <w:pPr>
        <w:pStyle w:val="EndnoteText"/>
      </w:pPr>
      <w:r w:rsidRPr="00DD252A">
        <w:rPr>
          <w:iCs/>
          <w:lang w:val="en-US"/>
        </w:rPr>
        <w:t>‘F</w:t>
      </w:r>
      <w:r w:rsidRPr="00DD252A">
        <w:rPr>
          <w:lang w:val="en-US"/>
        </w:rPr>
        <w:t xml:space="preserve">or Christ is not entered into the holy places made with hands, </w:t>
      </w:r>
      <w:r w:rsidRPr="00DD252A">
        <w:rPr>
          <w:i/>
          <w:iCs/>
          <w:lang w:val="en-US"/>
        </w:rPr>
        <w:t>which are</w:t>
      </w:r>
      <w:r w:rsidRPr="00DD252A">
        <w:rPr>
          <w:lang w:val="en-US"/>
        </w:rPr>
        <w:t xml:space="preserve"> the figures of the true; but into heaven itself, now to appear in the presence of God for us:’  Heb. 9:24, </w:t>
      </w:r>
      <w:r w:rsidRPr="00DD252A">
        <w:rPr>
          <w:i/>
          <w:lang w:val="en-US"/>
        </w:rPr>
        <w:t>KJV</w:t>
      </w:r>
      <w:r w:rsidRPr="00DD252A">
        <w:rPr>
          <w:lang w:val="en-US"/>
        </w:rPr>
        <w:t>.</w:t>
      </w:r>
    </w:p>
  </w:endnote>
  <w:endnote w:id="623">
    <w:p w:rsidR="00975183" w:rsidRPr="00DD252A" w:rsidRDefault="00975183" w:rsidP="00442D33">
      <w:pPr>
        <w:pStyle w:val="FootnoteText"/>
        <w:rPr>
          <w:rFonts w:ascii="Perpetua" w:hAnsi="Perpetua"/>
        </w:rPr>
      </w:pPr>
      <w:r w:rsidRPr="00DD252A">
        <w:rPr>
          <w:rStyle w:val="FootnoteReference"/>
          <w:rFonts w:ascii="Perpetua" w:hAnsi="Perpetua"/>
        </w:rPr>
        <w:endnoteRef/>
      </w:r>
      <w:r w:rsidRPr="00DD252A">
        <w:rPr>
          <w:rFonts w:ascii="Perpetua" w:hAnsi="Perpetua"/>
        </w:rPr>
        <w:t xml:space="preserve"> </w:t>
      </w:r>
      <w:r w:rsidRPr="00DD252A">
        <w:rPr>
          <w:rFonts w:ascii="Perpetua" w:hAnsi="Perpetua"/>
          <w:i/>
        </w:rPr>
        <w:t>SRB</w:t>
      </w:r>
      <w:r>
        <w:rPr>
          <w:rFonts w:ascii="Perpetua" w:hAnsi="Perpetua"/>
        </w:rPr>
        <w:t xml:space="preserve"> n</w:t>
      </w:r>
      <w:r w:rsidRPr="00DD252A">
        <w:rPr>
          <w:rFonts w:ascii="Perpetua" w:hAnsi="Perpetua"/>
        </w:rPr>
        <w:t>ote on Exod. 29:4, p. 108.  Refs Exod. 29:4, 7; Mt. 3:14-16.  ‘</w:t>
      </w:r>
      <w:r w:rsidRPr="00DD252A">
        <w:rPr>
          <w:rFonts w:ascii="Perpetua" w:eastAsiaTheme="minorHAnsi" w:hAnsi="Perpetua"/>
          <w:lang w:val="en-US"/>
        </w:rPr>
        <w:t>And Aaron and his sons thou shalt bring unto the door of the tabernacle of the congregation, and shalt wash them with water. …</w:t>
      </w:r>
      <w:r w:rsidRPr="00DD252A">
        <w:rPr>
          <w:rFonts w:ascii="Perpetua" w:eastAsiaTheme="minorHAnsi" w:hAnsi="Perpetua"/>
          <w:position w:val="7"/>
          <w:lang w:val="en-US"/>
        </w:rPr>
        <w:t xml:space="preserve"> </w:t>
      </w:r>
      <w:r w:rsidRPr="00DD252A">
        <w:rPr>
          <w:rFonts w:ascii="Perpetua" w:eastAsiaTheme="minorHAnsi" w:hAnsi="Perpetua"/>
          <w:vertAlign w:val="superscript"/>
          <w:lang w:val="en-US"/>
        </w:rPr>
        <w:t>7</w:t>
      </w:r>
      <w:r w:rsidRPr="00DD252A">
        <w:rPr>
          <w:rFonts w:ascii="Perpetua" w:eastAsiaTheme="minorHAnsi" w:hAnsi="Perpetua"/>
          <w:lang w:val="en-US"/>
        </w:rPr>
        <w:t xml:space="preserve">Then shalt thou take the anointing oil, and pour </w:t>
      </w:r>
      <w:r w:rsidRPr="00DD252A">
        <w:rPr>
          <w:rFonts w:ascii="Perpetua" w:eastAsiaTheme="minorHAnsi" w:hAnsi="Perpetua"/>
          <w:i/>
          <w:iCs/>
          <w:lang w:val="en-US"/>
        </w:rPr>
        <w:t>it</w:t>
      </w:r>
      <w:r w:rsidRPr="00DD252A">
        <w:rPr>
          <w:rFonts w:ascii="Perpetua" w:eastAsiaTheme="minorHAnsi" w:hAnsi="Perpetua"/>
          <w:lang w:val="en-US"/>
        </w:rPr>
        <w:t xml:space="preserve"> upon his head, and anoint him.</w:t>
      </w:r>
      <w:r w:rsidRPr="00DD252A">
        <w:rPr>
          <w:rFonts w:ascii="Perpetua" w:hAnsi="Perpetua"/>
        </w:rPr>
        <w:t xml:space="preserve">’  </w:t>
      </w:r>
      <w:proofErr w:type="gramStart"/>
      <w:r w:rsidRPr="00DD252A">
        <w:rPr>
          <w:rFonts w:ascii="Perpetua" w:hAnsi="Perpetua"/>
        </w:rPr>
        <w:t xml:space="preserve">Exod. 29:4, 7, </w:t>
      </w:r>
      <w:r w:rsidRPr="00DD252A">
        <w:rPr>
          <w:rFonts w:ascii="Perpetua" w:hAnsi="Perpetua"/>
          <w:i/>
        </w:rPr>
        <w:t>KJV</w:t>
      </w:r>
      <w:r w:rsidRPr="00DD252A">
        <w:rPr>
          <w:rFonts w:ascii="Perpetua" w:hAnsi="Perpetua"/>
        </w:rPr>
        <w:t>.</w:t>
      </w:r>
      <w:proofErr w:type="gramEnd"/>
    </w:p>
    <w:p w:rsidR="00975183" w:rsidRDefault="00975183" w:rsidP="00442D33">
      <w:pPr>
        <w:pStyle w:val="EndnoteText"/>
      </w:pPr>
      <w:r w:rsidRPr="00DD252A">
        <w:t>‘</w:t>
      </w:r>
      <w:r w:rsidRPr="00DD252A">
        <w:rPr>
          <w:lang w:val="en-US"/>
        </w:rPr>
        <w:t xml:space="preserve">But John forbad him, saying, I have need to be baptized of thee, and comest thou to me?  </w:t>
      </w:r>
      <w:r w:rsidRPr="00DD252A">
        <w:rPr>
          <w:vertAlign w:val="superscript"/>
          <w:lang w:val="en-US"/>
        </w:rPr>
        <w:t>15</w:t>
      </w:r>
      <w:r w:rsidRPr="00DD252A">
        <w:rPr>
          <w:lang w:val="en-US"/>
        </w:rPr>
        <w:t xml:space="preserve">And Jesus answering said unto him, </w:t>
      </w:r>
      <w:proofErr w:type="gramStart"/>
      <w:r w:rsidRPr="00DD252A">
        <w:rPr>
          <w:lang w:val="en-US"/>
        </w:rPr>
        <w:t>Suffer</w:t>
      </w:r>
      <w:proofErr w:type="gramEnd"/>
      <w:r w:rsidRPr="00DD252A">
        <w:rPr>
          <w:lang w:val="en-US"/>
        </w:rPr>
        <w:t xml:space="preserve"> </w:t>
      </w:r>
      <w:r w:rsidRPr="00DD252A">
        <w:rPr>
          <w:i/>
          <w:iCs/>
          <w:lang w:val="en-US"/>
        </w:rPr>
        <w:t>it to be so</w:t>
      </w:r>
      <w:r w:rsidRPr="00DD252A">
        <w:rPr>
          <w:lang w:val="en-US"/>
        </w:rPr>
        <w:t xml:space="preserve"> now: for thus it becometh us to fulfil all righteousness. Then he suffered him. </w:t>
      </w:r>
      <w:r w:rsidRPr="00DD252A">
        <w:rPr>
          <w:vertAlign w:val="superscript"/>
          <w:lang w:val="en-US"/>
        </w:rPr>
        <w:t>16</w:t>
      </w:r>
      <w:r w:rsidRPr="00DD252A">
        <w:rPr>
          <w:lang w:val="en-US"/>
        </w:rPr>
        <w:t xml:space="preserve">And Jesus, when he was baptized, went up straightway out of the water: and, lo, the heavens were opened unto him, and he saw the Spirit of God descending like a dove, and lighting upon </w:t>
      </w:r>
      <w:proofErr w:type="gramStart"/>
      <w:r w:rsidRPr="00DD252A">
        <w:rPr>
          <w:lang w:val="en-US"/>
        </w:rPr>
        <w:t>him:</w:t>
      </w:r>
      <w:r w:rsidRPr="00DD252A">
        <w:t>’  Mt</w:t>
      </w:r>
      <w:proofErr w:type="gramEnd"/>
      <w:r w:rsidRPr="00DD252A">
        <w:t xml:space="preserve">. 3:14-16, </w:t>
      </w:r>
      <w:r w:rsidRPr="00DD252A">
        <w:rPr>
          <w:i/>
        </w:rPr>
        <w:t>KJV</w:t>
      </w:r>
      <w:r w:rsidRPr="00DD252A">
        <w:t>.</w:t>
      </w:r>
    </w:p>
  </w:endnote>
  <w:endnote w:id="624">
    <w:p w:rsidR="00975183" w:rsidRDefault="00975183" w:rsidP="00442D33">
      <w:pPr>
        <w:pStyle w:val="EndnoteText"/>
      </w:pPr>
      <w:r w:rsidRPr="00DD252A">
        <w:rPr>
          <w:rStyle w:val="FootnoteReference"/>
        </w:rPr>
        <w:endnoteRef/>
      </w:r>
      <w:r w:rsidRPr="00DD252A">
        <w:t xml:space="preserve"> Ref. Mal 4:2.</w:t>
      </w:r>
    </w:p>
  </w:endnote>
  <w:endnote w:id="625">
    <w:p w:rsidR="00975183" w:rsidRDefault="00975183" w:rsidP="00442D33">
      <w:pPr>
        <w:pStyle w:val="EndnoteText"/>
      </w:pPr>
      <w:r w:rsidRPr="00DD252A">
        <w:rPr>
          <w:rStyle w:val="FootnoteReference"/>
        </w:rPr>
        <w:endnoteRef/>
      </w:r>
      <w:r w:rsidRPr="00DD252A">
        <w:t xml:space="preserve"> </w:t>
      </w:r>
      <w:proofErr w:type="gramStart"/>
      <w:r w:rsidRPr="00DD252A">
        <w:rPr>
          <w:i/>
        </w:rPr>
        <w:t xml:space="preserve">SRB </w:t>
      </w:r>
      <w:r w:rsidRPr="00DD252A">
        <w:t>note on Gen. 1:16, p. 4</w:t>
      </w:r>
      <w:r w:rsidRPr="00DD252A">
        <w:rPr>
          <w:b/>
        </w:rPr>
        <w:t>.</w:t>
      </w:r>
      <w:proofErr w:type="gramEnd"/>
      <w:r w:rsidRPr="00DD252A">
        <w:t xml:space="preserve">  </w:t>
      </w:r>
      <w:r w:rsidRPr="00832CD8">
        <w:rPr>
          <w:b/>
        </w:rPr>
        <w:t>See below – Non-Typical representations</w:t>
      </w:r>
      <w:r w:rsidRPr="00DD252A">
        <w:t>.</w:t>
      </w:r>
    </w:p>
  </w:endnote>
  <w:endnote w:id="626">
    <w:p w:rsidR="00975183" w:rsidRDefault="00975183" w:rsidP="00442D33">
      <w:pPr>
        <w:pStyle w:val="EndnoteText"/>
      </w:pPr>
      <w:r w:rsidRPr="00DD252A">
        <w:rPr>
          <w:rStyle w:val="EndnoteReference"/>
        </w:rPr>
        <w:endnoteRef/>
      </w:r>
      <w:r w:rsidRPr="00DD252A">
        <w:t xml:space="preserve"> </w:t>
      </w:r>
      <w:proofErr w:type="gramStart"/>
      <w:r w:rsidRPr="00DD252A">
        <w:rPr>
          <w:i/>
        </w:rPr>
        <w:t>SRB</w:t>
      </w:r>
      <w:r>
        <w:t xml:space="preserve"> n</w:t>
      </w:r>
      <w:r w:rsidRPr="00DD252A">
        <w:t>ote on Gen. 3:21, p. 9</w:t>
      </w:r>
      <w:r w:rsidRPr="00DD252A">
        <w:rPr>
          <w:lang w:eastAsia="en-GB"/>
        </w:rPr>
        <w:t>.</w:t>
      </w:r>
      <w:proofErr w:type="gramEnd"/>
      <w:r w:rsidRPr="00DD252A">
        <w:rPr>
          <w:lang w:eastAsia="en-GB"/>
        </w:rPr>
        <w:t xml:space="preserve">  Ref. Rev. 19:8. </w:t>
      </w:r>
      <w:r w:rsidRPr="00DD252A">
        <w:t xml:space="preserve"> </w:t>
      </w:r>
      <w:proofErr w:type="gramStart"/>
      <w:r w:rsidRPr="00832CD8">
        <w:rPr>
          <w:b/>
        </w:rPr>
        <w:t>See 8.8.1</w:t>
      </w:r>
      <w:r w:rsidRPr="00DD252A">
        <w:t>.</w:t>
      </w:r>
      <w:proofErr w:type="gramEnd"/>
      <w:r w:rsidRPr="00DD252A">
        <w:t xml:space="preserve">  </w:t>
      </w:r>
    </w:p>
  </w:endnote>
  <w:endnote w:id="627">
    <w:p w:rsidR="00975183" w:rsidRDefault="00975183" w:rsidP="00442D33">
      <w:pPr>
        <w:pStyle w:val="EndnoteText"/>
      </w:pPr>
      <w:r w:rsidRPr="00DD252A">
        <w:rPr>
          <w:rStyle w:val="FootnoteReference"/>
        </w:rPr>
        <w:endnoteRef/>
      </w:r>
      <w:r w:rsidRPr="00DD252A">
        <w:t xml:space="preserve"> ‘</w:t>
      </w:r>
      <w:r w:rsidRPr="00DD252A">
        <w:rPr>
          <w:lang w:val="en-US"/>
        </w:rPr>
        <w:t>And to her was granted that she should be arrayed in fine linen, clean and white: for the fine linen is the righteousness of saints.</w:t>
      </w:r>
      <w:r w:rsidRPr="00DD252A">
        <w:t xml:space="preserve">’  Rev. 19:8, </w:t>
      </w:r>
      <w:r w:rsidRPr="00DD252A">
        <w:rPr>
          <w:i/>
        </w:rPr>
        <w:t>KJV</w:t>
      </w:r>
      <w:r w:rsidRPr="00DD252A">
        <w:t xml:space="preserve">.  </w:t>
      </w:r>
    </w:p>
  </w:endnote>
  <w:endnote w:id="628">
    <w:p w:rsidR="00975183" w:rsidRDefault="00975183" w:rsidP="00442D33">
      <w:pPr>
        <w:pStyle w:val="EndnoteText"/>
      </w:pPr>
      <w:r w:rsidRPr="00DD252A">
        <w:rPr>
          <w:rStyle w:val="EndnoteReference"/>
        </w:rPr>
        <w:endnoteRef/>
      </w:r>
      <w:r w:rsidRPr="00DD252A">
        <w:t xml:space="preserve"> </w:t>
      </w:r>
      <w:proofErr w:type="gramStart"/>
      <w:r w:rsidRPr="00DD252A">
        <w:rPr>
          <w:i/>
        </w:rPr>
        <w:t>SRB</w:t>
      </w:r>
      <w:r>
        <w:t xml:space="preserve"> n</w:t>
      </w:r>
      <w:r w:rsidRPr="00DD252A">
        <w:t>ote on Gen. 3:21, p. 9</w:t>
      </w:r>
      <w:r w:rsidRPr="00DD252A">
        <w:rPr>
          <w:lang w:eastAsia="en-GB"/>
        </w:rPr>
        <w:t>.</w:t>
      </w:r>
      <w:proofErr w:type="gramEnd"/>
      <w:r w:rsidRPr="00DD252A">
        <w:rPr>
          <w:lang w:eastAsia="en-GB"/>
        </w:rPr>
        <w:t xml:space="preserve">  Ref. Rev. 19:8. </w:t>
      </w:r>
      <w:r w:rsidRPr="00DD252A">
        <w:t xml:space="preserve"> </w:t>
      </w:r>
      <w:r w:rsidRPr="00832CD8">
        <w:rPr>
          <w:b/>
        </w:rPr>
        <w:t>See 8.8.1</w:t>
      </w:r>
      <w:proofErr w:type="gramStart"/>
      <w:r w:rsidRPr="00DD252A">
        <w:t>..</w:t>
      </w:r>
      <w:proofErr w:type="gramEnd"/>
      <w:r w:rsidRPr="00DD252A">
        <w:t xml:space="preserve">  </w:t>
      </w:r>
    </w:p>
  </w:endnote>
  <w:endnote w:id="629">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t xml:space="preserve"> n</w:t>
      </w:r>
      <w:r w:rsidRPr="00373406">
        <w:t>ote on Gen. 4:4, p. 10.</w:t>
      </w:r>
      <w:proofErr w:type="gramEnd"/>
      <w:r w:rsidRPr="00373406">
        <w:t xml:space="preserve">  </w:t>
      </w:r>
    </w:p>
  </w:endnote>
  <w:endnote w:id="630">
    <w:p w:rsidR="00975183" w:rsidRDefault="00975183" w:rsidP="00442D33">
      <w:pPr>
        <w:pStyle w:val="EndnoteText"/>
      </w:pPr>
      <w:r w:rsidRPr="00DD252A">
        <w:rPr>
          <w:rStyle w:val="FootnoteReference"/>
        </w:rPr>
        <w:endnoteRef/>
      </w:r>
      <w:r w:rsidRPr="00DD252A">
        <w:t xml:space="preserve"> John 1:29:  ‘</w:t>
      </w:r>
      <w:r w:rsidRPr="00DD252A">
        <w:rPr>
          <w:lang w:val="en-US"/>
        </w:rPr>
        <w:t xml:space="preserve">The next day John seeth Jesus coming unto him, and saith, Behold the Lamb of God, which taketh away the sin of the world.’  Jn 1:29, </w:t>
      </w:r>
      <w:r w:rsidRPr="00DD252A">
        <w:rPr>
          <w:i/>
          <w:lang w:val="en-US"/>
        </w:rPr>
        <w:t>KJV</w:t>
      </w:r>
      <w:r w:rsidRPr="00DD252A">
        <w:rPr>
          <w:lang w:val="en-US"/>
        </w:rPr>
        <w:t>.</w:t>
      </w:r>
    </w:p>
  </w:endnote>
  <w:endnote w:id="631">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t xml:space="preserve"> n</w:t>
      </w:r>
      <w:r w:rsidRPr="00373406">
        <w:t>ote on Gen. 4:4, p. 10.</w:t>
      </w:r>
      <w:proofErr w:type="gramEnd"/>
      <w:r w:rsidRPr="00373406">
        <w:t xml:space="preserve">  </w:t>
      </w:r>
    </w:p>
  </w:endnote>
  <w:endnote w:id="632">
    <w:p w:rsidR="00975183" w:rsidRDefault="00975183" w:rsidP="00442D33">
      <w:pPr>
        <w:pStyle w:val="EndnoteText"/>
      </w:pPr>
      <w:r w:rsidRPr="00412CC3">
        <w:rPr>
          <w:rStyle w:val="EndnoteReference"/>
        </w:rPr>
        <w:endnoteRef/>
      </w:r>
      <w:r w:rsidRPr="00412CC3">
        <w:t xml:space="preserve"> </w:t>
      </w:r>
      <w:proofErr w:type="gramStart"/>
      <w:r w:rsidRPr="00412CC3">
        <w:rPr>
          <w:i/>
        </w:rPr>
        <w:t>SRB</w:t>
      </w:r>
      <w:r>
        <w:t xml:space="preserve"> n</w:t>
      </w:r>
      <w:r w:rsidRPr="00412CC3">
        <w:t>ote on Gen. 6:14, pp. 13-14.</w:t>
      </w:r>
      <w:proofErr w:type="gramEnd"/>
      <w:r w:rsidRPr="00412CC3">
        <w:t xml:space="preserve">  Ref. Heb. 11:7.  </w:t>
      </w:r>
      <w:proofErr w:type="gramStart"/>
      <w:r w:rsidRPr="00832CD8">
        <w:rPr>
          <w:b/>
        </w:rPr>
        <w:t>See 6.1.1 and 6.1.3</w:t>
      </w:r>
      <w:r w:rsidRPr="00832CD8">
        <w:t>.</w:t>
      </w:r>
      <w:proofErr w:type="gramEnd"/>
    </w:p>
  </w:endnote>
  <w:endnote w:id="633">
    <w:p w:rsidR="00975183" w:rsidRPr="00F336F1" w:rsidRDefault="00975183" w:rsidP="00442D33">
      <w:pPr>
        <w:pStyle w:val="EndnoteText"/>
        <w:rPr>
          <w:rFonts w:ascii="Times New Roman" w:hAnsi="Times New Roman"/>
          <w:sz w:val="18"/>
          <w:szCs w:val="18"/>
        </w:rPr>
      </w:pPr>
      <w:r w:rsidRPr="00F336F1">
        <w:rPr>
          <w:rStyle w:val="EndnoteReference"/>
          <w:rFonts w:ascii="Times New Roman" w:hAnsi="Times New Roman"/>
          <w:sz w:val="18"/>
          <w:szCs w:val="18"/>
        </w:rPr>
        <w:endnoteRef/>
      </w:r>
      <w:r w:rsidRPr="00F336F1">
        <w:rPr>
          <w:rFonts w:ascii="Times New Roman" w:hAnsi="Times New Roman"/>
          <w:sz w:val="18"/>
          <w:szCs w:val="18"/>
        </w:rPr>
        <w:t xml:space="preserve"> </w:t>
      </w:r>
      <w:proofErr w:type="gramStart"/>
      <w:r w:rsidRPr="00F336F1">
        <w:rPr>
          <w:rFonts w:ascii="Times New Roman" w:hAnsi="Times New Roman"/>
          <w:i/>
          <w:sz w:val="18"/>
          <w:szCs w:val="18"/>
        </w:rPr>
        <w:t xml:space="preserve">SRB </w:t>
      </w:r>
      <w:r w:rsidRPr="00F336F1">
        <w:rPr>
          <w:rFonts w:ascii="Times New Roman" w:hAnsi="Times New Roman"/>
          <w:sz w:val="18"/>
          <w:szCs w:val="18"/>
        </w:rPr>
        <w:t>note on Gen. 14:18, p. 23</w:t>
      </w:r>
      <w:r w:rsidRPr="00F336F1">
        <w:rPr>
          <w:rFonts w:ascii="Times New Roman" w:hAnsi="Times New Roman"/>
          <w:b/>
          <w:sz w:val="18"/>
          <w:szCs w:val="18"/>
        </w:rPr>
        <w:t>.</w:t>
      </w:r>
      <w:proofErr w:type="gramEnd"/>
    </w:p>
  </w:endnote>
  <w:endnote w:id="634">
    <w:p w:rsidR="00975183" w:rsidRDefault="00975183" w:rsidP="00442D33">
      <w:pPr>
        <w:pStyle w:val="EndnoteText"/>
      </w:pPr>
      <w:r w:rsidRPr="00DD415D">
        <w:rPr>
          <w:rStyle w:val="FootnoteReference"/>
        </w:rPr>
        <w:endnoteRef/>
      </w:r>
      <w:r w:rsidRPr="00DD415D">
        <w:t xml:space="preserve"> </w:t>
      </w:r>
      <w:r>
        <w:t xml:space="preserve">Heb. 7:14, </w:t>
      </w:r>
      <w:r w:rsidRPr="00DD415D">
        <w:rPr>
          <w:i/>
        </w:rPr>
        <w:t>NRSV</w:t>
      </w:r>
      <w:r>
        <w:t>.</w:t>
      </w:r>
    </w:p>
  </w:endnote>
  <w:endnote w:id="635">
    <w:p w:rsidR="00975183" w:rsidRDefault="00975183" w:rsidP="00442D33">
      <w:pPr>
        <w:pStyle w:val="FootnoteText"/>
        <w:rPr>
          <w:rFonts w:ascii="Perpetua" w:hAnsi="Perpetua"/>
        </w:rPr>
      </w:pPr>
      <w:r w:rsidRPr="006E633E">
        <w:rPr>
          <w:rStyle w:val="FootnoteReference"/>
          <w:rFonts w:ascii="Perpetua" w:hAnsi="Perpetua"/>
        </w:rPr>
        <w:endnoteRef/>
      </w:r>
      <w:r w:rsidRPr="006E633E">
        <w:rPr>
          <w:rFonts w:ascii="Perpetua" w:hAnsi="Perpetua"/>
        </w:rPr>
        <w:t xml:space="preserve"> </w:t>
      </w:r>
      <w:r w:rsidRPr="00CF7BE7">
        <w:rPr>
          <w:rFonts w:ascii="Perpetua" w:hAnsi="Perpetua"/>
          <w:i/>
        </w:rPr>
        <w:t>SRB</w:t>
      </w:r>
      <w:r>
        <w:rPr>
          <w:rFonts w:ascii="Perpetua" w:hAnsi="Perpetua"/>
        </w:rPr>
        <w:t xml:space="preserve"> n</w:t>
      </w:r>
      <w:r w:rsidRPr="006E633E">
        <w:rPr>
          <w:rFonts w:ascii="Perpetua" w:hAnsi="Perpetua"/>
        </w:rPr>
        <w:t>ote</w:t>
      </w:r>
      <w:r>
        <w:rPr>
          <w:rFonts w:ascii="Perpetua" w:hAnsi="Perpetua"/>
        </w:rPr>
        <w:t>s</w:t>
      </w:r>
      <w:r w:rsidRPr="006E633E">
        <w:rPr>
          <w:rFonts w:ascii="Perpetua" w:hAnsi="Perpetua"/>
        </w:rPr>
        <w:t xml:space="preserve"> on Gen. 21:3, p. 31</w:t>
      </w:r>
      <w:r>
        <w:rPr>
          <w:rFonts w:ascii="Perpetua" w:hAnsi="Perpetua"/>
        </w:rPr>
        <w:t xml:space="preserve">, </w:t>
      </w:r>
      <w:r w:rsidRPr="006E633E">
        <w:rPr>
          <w:rFonts w:ascii="Perpetua" w:hAnsi="Perpetua"/>
          <w:lang w:eastAsia="en-GB"/>
        </w:rPr>
        <w:t xml:space="preserve">and </w:t>
      </w:r>
      <w:r w:rsidRPr="006E633E">
        <w:rPr>
          <w:rFonts w:ascii="Perpetua" w:hAnsi="Perpetua"/>
        </w:rPr>
        <w:t xml:space="preserve">Gen. 22:9, p. 33.  Refs in both notes, Phil. 2:2-8; </w:t>
      </w:r>
    </w:p>
    <w:p w:rsidR="00975183" w:rsidRDefault="00975183" w:rsidP="00442D33">
      <w:pPr>
        <w:pStyle w:val="FootnoteText"/>
      </w:pPr>
      <w:r w:rsidRPr="006E633E">
        <w:rPr>
          <w:rFonts w:ascii="Perpetua" w:hAnsi="Perpetua"/>
        </w:rPr>
        <w:t xml:space="preserve">Heb. 10:5-10.  Philippians 2:5-8 refers to Christ’s incarnation, and Heb. 10:5-10 to the inefficacy of animal sacrifice. </w:t>
      </w:r>
      <w:r w:rsidRPr="006E633E">
        <w:rPr>
          <w:rFonts w:ascii="Perpetua" w:hAnsi="Perpetua"/>
          <w:color w:val="FF0000"/>
        </w:rPr>
        <w:t xml:space="preserve"> </w:t>
      </w:r>
      <w:r w:rsidRPr="006E633E">
        <w:rPr>
          <w:rFonts w:ascii="Perpetua" w:hAnsi="Perpetua"/>
        </w:rPr>
        <w:t xml:space="preserve">Two further references to Heb. 11:17-19 and Jas 2:21-3 </w:t>
      </w:r>
      <w:proofErr w:type="gramStart"/>
      <w:r w:rsidRPr="006E633E">
        <w:rPr>
          <w:rFonts w:ascii="Perpetua" w:hAnsi="Perpetua"/>
        </w:rPr>
        <w:t>concern</w:t>
      </w:r>
      <w:proofErr w:type="gramEnd"/>
      <w:r w:rsidRPr="006E633E">
        <w:rPr>
          <w:rFonts w:ascii="Perpetua" w:hAnsi="Perpetua"/>
        </w:rPr>
        <w:t xml:space="preserve"> Abraham’s faith rather than any self-sacrifice on the part of Isaac.  </w:t>
      </w:r>
    </w:p>
  </w:endnote>
  <w:endnote w:id="636">
    <w:p w:rsidR="00975183" w:rsidRPr="00373406" w:rsidRDefault="00975183" w:rsidP="00442D33">
      <w:pPr>
        <w:pStyle w:val="EndnoteText"/>
      </w:pPr>
      <w:r w:rsidRPr="00373406">
        <w:rPr>
          <w:rStyle w:val="EndnoteReference"/>
        </w:rPr>
        <w:endnoteRef/>
      </w:r>
      <w:r w:rsidRPr="00373406">
        <w:t xml:space="preserve"> </w:t>
      </w:r>
      <w:proofErr w:type="gramStart"/>
      <w:r w:rsidRPr="00373406">
        <w:rPr>
          <w:i/>
        </w:rPr>
        <w:t>SRB</w:t>
      </w:r>
      <w:r>
        <w:t xml:space="preserve"> n</w:t>
      </w:r>
      <w:r w:rsidRPr="00373406">
        <w:t>ote on Gen. 24:1, p. 34.</w:t>
      </w:r>
      <w:proofErr w:type="gramEnd"/>
    </w:p>
  </w:endnote>
  <w:endnote w:id="637">
    <w:p w:rsidR="00975183" w:rsidRDefault="00975183" w:rsidP="00442D33">
      <w:pPr>
        <w:pStyle w:val="EndnoteText"/>
      </w:pPr>
      <w:r w:rsidRPr="006E633E">
        <w:rPr>
          <w:rStyle w:val="FootnoteReference"/>
        </w:rPr>
        <w:endnoteRef/>
      </w:r>
      <w:r w:rsidRPr="006E633E">
        <w:t xml:space="preserve"> </w:t>
      </w:r>
      <w:proofErr w:type="gramStart"/>
      <w:r w:rsidRPr="006E633E">
        <w:rPr>
          <w:i/>
        </w:rPr>
        <w:t>SRB</w:t>
      </w:r>
      <w:r w:rsidRPr="006E633E">
        <w:t xml:space="preserve"> </w:t>
      </w:r>
      <w:r>
        <w:t>n</w:t>
      </w:r>
      <w:r w:rsidRPr="006E633E">
        <w:t>ote on Gen. 21:3, p. 31.</w:t>
      </w:r>
      <w:proofErr w:type="gramEnd"/>
      <w:r w:rsidRPr="006E633E">
        <w:t xml:space="preserve">  Scofield capitalises ‘Bridegroom’ in each case, implying that the bridegroom is Christ.</w:t>
      </w:r>
    </w:p>
  </w:endnote>
  <w:endnote w:id="638">
    <w:p w:rsidR="00975183" w:rsidRDefault="00975183" w:rsidP="00442D33">
      <w:pPr>
        <w:pStyle w:val="EndnoteText"/>
      </w:pPr>
      <w:r w:rsidRPr="006E633E">
        <w:rPr>
          <w:rStyle w:val="FootnoteReference"/>
        </w:rPr>
        <w:endnoteRef/>
      </w:r>
      <w:r w:rsidRPr="006E633E">
        <w:t xml:space="preserve"> </w:t>
      </w:r>
      <w:proofErr w:type="gramStart"/>
      <w:r w:rsidRPr="005B79A4">
        <w:rPr>
          <w:i/>
        </w:rPr>
        <w:t>SRB</w:t>
      </w:r>
      <w:r>
        <w:t xml:space="preserve"> n</w:t>
      </w:r>
      <w:r w:rsidRPr="006E633E">
        <w:t xml:space="preserve">ote on </w:t>
      </w:r>
      <w:r w:rsidRPr="005B79A4">
        <w:t>Gen. 24:1, p. 34.</w:t>
      </w:r>
      <w:proofErr w:type="gramEnd"/>
      <w:r w:rsidRPr="005B79A4">
        <w:t xml:space="preserve">  The reference for this is 1 Pet. 1:8: ‘</w:t>
      </w:r>
      <w:r w:rsidRPr="005B79A4">
        <w:rPr>
          <w:lang w:val="en-US"/>
        </w:rPr>
        <w:t xml:space="preserve">Whom having not seen, ye love; in whom, though now ye see </w:t>
      </w:r>
      <w:r w:rsidRPr="005B79A4">
        <w:rPr>
          <w:i/>
          <w:iCs/>
          <w:lang w:val="en-US"/>
        </w:rPr>
        <w:t>him</w:t>
      </w:r>
      <w:r w:rsidRPr="005B79A4">
        <w:rPr>
          <w:lang w:val="en-US"/>
        </w:rPr>
        <w:t xml:space="preserve"> not, yet believing, ye rejoice with joy unspeakable and full of </w:t>
      </w:r>
      <w:proofErr w:type="gramStart"/>
      <w:r w:rsidRPr="005B79A4">
        <w:rPr>
          <w:lang w:val="en-US"/>
        </w:rPr>
        <w:t>glory:</w:t>
      </w:r>
      <w:r w:rsidRPr="005B79A4">
        <w:t>’  1</w:t>
      </w:r>
      <w:proofErr w:type="gramEnd"/>
      <w:r w:rsidRPr="005B79A4">
        <w:t xml:space="preserve"> Pet. 1:8, </w:t>
      </w:r>
      <w:r w:rsidRPr="005B79A4">
        <w:rPr>
          <w:i/>
        </w:rPr>
        <w:t>KJV</w:t>
      </w:r>
      <w:r w:rsidRPr="005B79A4">
        <w:t>.</w:t>
      </w:r>
    </w:p>
  </w:endnote>
  <w:endnote w:id="639">
    <w:p w:rsidR="00975183" w:rsidRDefault="00975183" w:rsidP="00442D33">
      <w:pPr>
        <w:pStyle w:val="EndnoteText"/>
      </w:pPr>
      <w:r w:rsidRPr="005B79A4">
        <w:rPr>
          <w:rStyle w:val="FootnoteReference"/>
        </w:rPr>
        <w:endnoteRef/>
      </w:r>
      <w:r w:rsidRPr="005B79A4">
        <w:t xml:space="preserve"> </w:t>
      </w:r>
      <w:proofErr w:type="gramStart"/>
      <w:r w:rsidRPr="005B79A4">
        <w:rPr>
          <w:i/>
        </w:rPr>
        <w:t>SRB</w:t>
      </w:r>
      <w:r w:rsidRPr="005B79A4">
        <w:t xml:space="preserve"> </w:t>
      </w:r>
      <w:r>
        <w:t>n</w:t>
      </w:r>
      <w:r w:rsidRPr="005B79A4">
        <w:t>ote on Gen. 24:1, p. 34.</w:t>
      </w:r>
      <w:proofErr w:type="gramEnd"/>
      <w:r w:rsidRPr="005B79A4">
        <w:t xml:space="preserve">  The refer</w:t>
      </w:r>
      <w:r w:rsidRPr="006E633E">
        <w:t>ence given here is to 1 Thess. 4:14-16: ‘</w:t>
      </w:r>
      <w:r w:rsidRPr="006E633E">
        <w:rPr>
          <w:lang w:val="en-US"/>
        </w:rPr>
        <w:t xml:space="preserve">For if we believe that Jesus died and rose again, even so them also which sleep in Jesus will God bring with him. </w:t>
      </w:r>
      <w:r w:rsidRPr="006E633E">
        <w:rPr>
          <w:vertAlign w:val="superscript"/>
          <w:lang w:val="en-US"/>
        </w:rPr>
        <w:t>15</w:t>
      </w:r>
      <w:r w:rsidRPr="006E633E">
        <w:rPr>
          <w:lang w:val="en-US"/>
        </w:rPr>
        <w:t xml:space="preserve">For this we say unto you by the word of the Lord, that we which are alive </w:t>
      </w:r>
      <w:r w:rsidRPr="006E633E">
        <w:rPr>
          <w:i/>
          <w:iCs/>
          <w:lang w:val="en-US"/>
        </w:rPr>
        <w:t>and</w:t>
      </w:r>
      <w:r w:rsidRPr="006E633E">
        <w:rPr>
          <w:lang w:val="en-US"/>
        </w:rPr>
        <w:t xml:space="preserve"> remain unto the coming of the Lord shall not prevent them which are asleep. </w:t>
      </w:r>
      <w:r w:rsidRPr="006E633E">
        <w:rPr>
          <w:vertAlign w:val="superscript"/>
          <w:lang w:val="en-US"/>
        </w:rPr>
        <w:t>16</w:t>
      </w:r>
      <w:r w:rsidRPr="006E633E">
        <w:rPr>
          <w:lang w:val="en-US"/>
        </w:rPr>
        <w:t xml:space="preserve">For the Lord himself shall descend from heaven with a shout, with the voice of the archangel, and with the trump of God: and the dead in Christ shall rise </w:t>
      </w:r>
      <w:proofErr w:type="gramStart"/>
      <w:r w:rsidRPr="006E633E">
        <w:rPr>
          <w:lang w:val="en-US"/>
        </w:rPr>
        <w:t>first:</w:t>
      </w:r>
      <w:r w:rsidRPr="006E633E">
        <w:t>’  1</w:t>
      </w:r>
      <w:proofErr w:type="gramEnd"/>
      <w:r w:rsidRPr="006E633E">
        <w:t xml:space="preserve"> Thess. 4:14-16</w:t>
      </w:r>
      <w:r w:rsidRPr="00667DC5">
        <w:t xml:space="preserve">, </w:t>
      </w:r>
      <w:r w:rsidRPr="00667DC5">
        <w:rPr>
          <w:i/>
        </w:rPr>
        <w:t>KJV</w:t>
      </w:r>
      <w:r w:rsidRPr="006E633E">
        <w:t>.</w:t>
      </w:r>
    </w:p>
  </w:endnote>
  <w:endnote w:id="640">
    <w:p w:rsidR="00975183" w:rsidRDefault="00975183" w:rsidP="00442D33">
      <w:pPr>
        <w:pStyle w:val="EndnoteText"/>
      </w:pPr>
      <w:r w:rsidRPr="00412CC3">
        <w:rPr>
          <w:rStyle w:val="FootnoteReference"/>
        </w:rPr>
        <w:endnoteRef/>
      </w:r>
      <w:r w:rsidRPr="00412CC3">
        <w:t xml:space="preserve"> </w:t>
      </w:r>
      <w:proofErr w:type="gramStart"/>
      <w:r w:rsidRPr="00412CC3">
        <w:rPr>
          <w:i/>
        </w:rPr>
        <w:t>SRB</w:t>
      </w:r>
      <w:r>
        <w:t xml:space="preserve"> n</w:t>
      </w:r>
      <w:r w:rsidRPr="00412CC3">
        <w:t>ote on Gen. 24:1, p. 34.</w:t>
      </w:r>
      <w:proofErr w:type="gramEnd"/>
      <w:r>
        <w:t xml:space="preserve">  </w:t>
      </w:r>
      <w:r w:rsidRPr="00412CC3">
        <w:t>cf Gen. 24:66-7: ‘</w:t>
      </w:r>
      <w:r w:rsidRPr="00412CC3">
        <w:rPr>
          <w:lang w:val="en-US"/>
        </w:rPr>
        <w:t xml:space="preserve">And the servant told Isaac all things that he had done. </w:t>
      </w:r>
      <w:r w:rsidRPr="00412CC3">
        <w:rPr>
          <w:vertAlign w:val="superscript"/>
          <w:lang w:val="en-US"/>
        </w:rPr>
        <w:t>67</w:t>
      </w:r>
      <w:r w:rsidRPr="00412CC3">
        <w:rPr>
          <w:lang w:val="en-US"/>
        </w:rPr>
        <w:t xml:space="preserve">And Isaac brought her into his mother Sarah's tent, and took Rebekah, and she became his wife; and he loved her: and Isaac was comforted after his mother's </w:t>
      </w:r>
      <w:r w:rsidRPr="00412CC3">
        <w:rPr>
          <w:i/>
          <w:iCs/>
          <w:lang w:val="en-US"/>
        </w:rPr>
        <w:t>death.</w:t>
      </w:r>
      <w:r w:rsidRPr="00412CC3">
        <w:rPr>
          <w:iCs/>
          <w:lang w:val="en-US"/>
        </w:rPr>
        <w:t xml:space="preserve">’  </w:t>
      </w:r>
      <w:proofErr w:type="gramStart"/>
      <w:r w:rsidRPr="00412CC3">
        <w:rPr>
          <w:iCs/>
          <w:lang w:val="en-US"/>
        </w:rPr>
        <w:t xml:space="preserve">Gen. 24:66-7, </w:t>
      </w:r>
      <w:r w:rsidRPr="00412CC3">
        <w:rPr>
          <w:i/>
          <w:iCs/>
          <w:lang w:val="en-US"/>
        </w:rPr>
        <w:t>KJV</w:t>
      </w:r>
      <w:r w:rsidRPr="00412CC3">
        <w:rPr>
          <w:iCs/>
          <w:lang w:val="en-US"/>
        </w:rPr>
        <w:t>.</w:t>
      </w:r>
      <w:proofErr w:type="gramEnd"/>
    </w:p>
  </w:endnote>
  <w:endnote w:id="641">
    <w:p w:rsidR="00975183" w:rsidRDefault="00975183" w:rsidP="00442D33">
      <w:pPr>
        <w:pStyle w:val="EndnoteText"/>
      </w:pPr>
      <w:r w:rsidRPr="00412CC3">
        <w:rPr>
          <w:rStyle w:val="FootnoteReference"/>
        </w:rPr>
        <w:endnoteRef/>
      </w:r>
      <w:r w:rsidRPr="00412CC3">
        <w:t xml:space="preserve"> </w:t>
      </w:r>
      <w:proofErr w:type="gramStart"/>
      <w:r w:rsidRPr="00412CC3">
        <w:rPr>
          <w:i/>
        </w:rPr>
        <w:t>SRB</w:t>
      </w:r>
      <w:r w:rsidRPr="00412CC3">
        <w:t xml:space="preserve"> note on Gen. 35:1</w:t>
      </w:r>
      <w:r>
        <w:t>8</w:t>
      </w:r>
      <w:r w:rsidRPr="00412CC3">
        <w:t>, p. 51.</w:t>
      </w:r>
      <w:proofErr w:type="gramEnd"/>
      <w:r w:rsidRPr="00412CC3">
        <w:t xml:space="preserve">  </w:t>
      </w:r>
    </w:p>
  </w:endnote>
  <w:endnote w:id="642">
    <w:p w:rsidR="00975183" w:rsidRDefault="00975183" w:rsidP="00442D33">
      <w:pPr>
        <w:pStyle w:val="EndnoteText"/>
      </w:pPr>
      <w:r w:rsidRPr="00412CC3">
        <w:rPr>
          <w:rStyle w:val="FootnoteReference"/>
        </w:rPr>
        <w:endnoteRef/>
      </w:r>
      <w:r w:rsidRPr="00412CC3">
        <w:t xml:space="preserve"> Ref. Lk. 2:35: ‘</w:t>
      </w:r>
      <w:r w:rsidRPr="00412CC3">
        <w:rPr>
          <w:lang w:val="en-US"/>
        </w:rPr>
        <w:t>Yea, a sword shall pierce through thy own soul also, that the thoughts of many hearts may be revealed.</w:t>
      </w:r>
      <w:r w:rsidRPr="00412CC3">
        <w:t xml:space="preserve">’  Lk. 2:35, </w:t>
      </w:r>
      <w:r w:rsidRPr="00BC4F97">
        <w:rPr>
          <w:i/>
        </w:rPr>
        <w:t>KJV</w:t>
      </w:r>
      <w:r w:rsidRPr="00412CC3">
        <w:t>.  This is a clause in Simeon’s prophecy to Mary.</w:t>
      </w:r>
    </w:p>
  </w:endnote>
  <w:endnote w:id="643">
    <w:p w:rsidR="00975183" w:rsidRPr="00B72F46" w:rsidRDefault="00975183" w:rsidP="00442D33">
      <w:pPr>
        <w:pStyle w:val="EndnoteText"/>
      </w:pPr>
      <w:r w:rsidRPr="00B72F46">
        <w:rPr>
          <w:rStyle w:val="EndnoteReference"/>
        </w:rPr>
        <w:endnoteRef/>
      </w:r>
      <w:r w:rsidRPr="00B72F46">
        <w:t xml:space="preserve"> </w:t>
      </w:r>
      <w:proofErr w:type="gramStart"/>
      <w:r w:rsidRPr="00D05350">
        <w:rPr>
          <w:i/>
        </w:rPr>
        <w:t>SRB</w:t>
      </w:r>
      <w:r>
        <w:t xml:space="preserve"> note on Gen. 43:34, p. 62.</w:t>
      </w:r>
      <w:proofErr w:type="gramEnd"/>
    </w:p>
  </w:endnote>
  <w:endnote w:id="644">
    <w:p w:rsidR="00975183" w:rsidRDefault="00975183" w:rsidP="00442D33">
      <w:pPr>
        <w:pStyle w:val="EndnoteText"/>
      </w:pPr>
      <w:r w:rsidRPr="00412CC3">
        <w:rPr>
          <w:rStyle w:val="FootnoteReference"/>
        </w:rPr>
        <w:endnoteRef/>
      </w:r>
      <w:r w:rsidRPr="00412CC3">
        <w:t xml:space="preserve"> </w:t>
      </w:r>
      <w:proofErr w:type="gramStart"/>
      <w:r w:rsidRPr="00412CC3">
        <w:rPr>
          <w:i/>
        </w:rPr>
        <w:t>SRB</w:t>
      </w:r>
      <w:r w:rsidRPr="00412CC3">
        <w:t xml:space="preserve"> </w:t>
      </w:r>
      <w:r>
        <w:t>n</w:t>
      </w:r>
      <w:r w:rsidRPr="00412CC3">
        <w:t>ote on Gen. 37:2, p. 53.</w:t>
      </w:r>
      <w:proofErr w:type="gramEnd"/>
      <w:r w:rsidRPr="00412CC3">
        <w:t xml:space="preserve">  </w:t>
      </w:r>
      <w:r>
        <w:t>Scofield states that</w:t>
      </w:r>
      <w:r w:rsidRPr="00412CC3">
        <w:t xml:space="preserve"> ‘each </w:t>
      </w:r>
      <w:r>
        <w:t xml:space="preserve">[Joseph and Christ] </w:t>
      </w:r>
      <w:r w:rsidRPr="00412CC3">
        <w:t>becam</w:t>
      </w:r>
      <w:r>
        <w:t>e a blessing among the Gentiles</w:t>
      </w:r>
      <w:r w:rsidRPr="00412CC3">
        <w:t xml:space="preserve"> and gained a </w:t>
      </w:r>
      <w:r>
        <w:t xml:space="preserve">Gentile </w:t>
      </w:r>
      <w:r w:rsidRPr="00412CC3">
        <w:t>bride</w:t>
      </w:r>
      <w:r>
        <w:t>’</w:t>
      </w:r>
      <w:r w:rsidRPr="00412CC3">
        <w:t>.</w:t>
      </w:r>
    </w:p>
  </w:endnote>
  <w:endnote w:id="645">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2:2, p. 72</w:t>
      </w:r>
      <w:r w:rsidRPr="00DD252A">
        <w:rPr>
          <w:lang w:eastAsia="en-GB"/>
        </w:rPr>
        <w:t xml:space="preserve">. </w:t>
      </w:r>
      <w:r w:rsidRPr="00DD252A">
        <w:t xml:space="preserve"> Refs Isa. 61:1; Lk. 4:18; 2 Cor. 1:10; 1 Thess. 1:10.</w:t>
      </w:r>
    </w:p>
  </w:endnote>
  <w:endnote w:id="646">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2:2, p. 72</w:t>
      </w:r>
      <w:r w:rsidRPr="00DD252A">
        <w:rPr>
          <w:lang w:eastAsia="en-GB"/>
        </w:rPr>
        <w:t xml:space="preserve">. </w:t>
      </w:r>
      <w:r w:rsidRPr="00DD252A">
        <w:t xml:space="preserve"> Ref. Acts 3:22, 23.</w:t>
      </w:r>
    </w:p>
  </w:endnote>
  <w:endnote w:id="647">
    <w:p w:rsidR="00975183" w:rsidRDefault="00975183" w:rsidP="00442D33">
      <w:pPr>
        <w:pStyle w:val="EndnoteText"/>
      </w:pPr>
      <w:r w:rsidRPr="00DD252A">
        <w:rPr>
          <w:rStyle w:val="FootnoteReference"/>
        </w:rPr>
        <w:endnoteRef/>
      </w:r>
      <w:r w:rsidRPr="00DD252A">
        <w:t xml:space="preserve"> </w:t>
      </w:r>
      <w:r w:rsidRPr="00DD252A">
        <w:rPr>
          <w:i/>
        </w:rPr>
        <w:t>SRB</w:t>
      </w:r>
      <w:r>
        <w:t>, n</w:t>
      </w:r>
      <w:r w:rsidRPr="00DD252A">
        <w:t>ote on Exod. 2:2, p. 72.  Ref. Exod. 32:31-5; 1 Jn 2:1,</w:t>
      </w:r>
      <w:r>
        <w:t xml:space="preserve"> </w:t>
      </w:r>
      <w:r w:rsidRPr="00DD252A">
        <w:t>2.</w:t>
      </w:r>
    </w:p>
  </w:endnote>
  <w:endnote w:id="648">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2:2, p. 72.  Refs Exod. 17:1-6, Heb. 7:25.</w:t>
      </w:r>
    </w:p>
  </w:endnote>
  <w:endnote w:id="649">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 on Exod. 2:2, p. 72.  Refs Deut. 33:4, 5, Isa. 55:4, Heb. 2:10.  </w:t>
      </w:r>
    </w:p>
  </w:endnote>
  <w:endnote w:id="650">
    <w:p w:rsidR="00975183" w:rsidRDefault="00975183" w:rsidP="00442D33">
      <w:pPr>
        <w:pStyle w:val="EndnoteText"/>
      </w:pPr>
      <w:r w:rsidRPr="00DD252A">
        <w:rPr>
          <w:rStyle w:val="FootnoteReference"/>
        </w:rPr>
        <w:endnoteRef/>
      </w:r>
      <w:r w:rsidRPr="00DD252A">
        <w:t xml:space="preserve"> ‘</w:t>
      </w:r>
      <w:r w:rsidRPr="00DD252A">
        <w:rPr>
          <w:lang w:val="en-US"/>
        </w:rPr>
        <w:t xml:space="preserve">For Moses truly said unto the fathers, A prophet shall the Lord your God raise up unto you of your brethren, like unto me; him shall ye hear in all things whatsoever he shall say unto you. </w:t>
      </w:r>
      <w:r w:rsidRPr="00DD252A">
        <w:rPr>
          <w:vertAlign w:val="superscript"/>
          <w:lang w:val="en-US"/>
        </w:rPr>
        <w:t>23</w:t>
      </w:r>
      <w:r w:rsidRPr="00DD252A">
        <w:rPr>
          <w:lang w:val="en-US"/>
        </w:rPr>
        <w:t xml:space="preserve">And it shall come to pass, </w:t>
      </w:r>
      <w:r w:rsidRPr="00DD252A">
        <w:rPr>
          <w:i/>
          <w:iCs/>
          <w:lang w:val="en-US"/>
        </w:rPr>
        <w:t>that</w:t>
      </w:r>
      <w:r w:rsidRPr="00DD252A">
        <w:rPr>
          <w:lang w:val="en-US"/>
        </w:rPr>
        <w:t xml:space="preserve"> every soul, which will not hear that prophet, shall be destroyed from among the people.</w:t>
      </w:r>
      <w:r w:rsidRPr="00DD252A">
        <w:t xml:space="preserve">’  Acts 3:22-3 </w:t>
      </w:r>
      <w:r w:rsidRPr="00DD252A">
        <w:rPr>
          <w:i/>
        </w:rPr>
        <w:t>KJV</w:t>
      </w:r>
      <w:r w:rsidRPr="00DD252A">
        <w:t>.</w:t>
      </w:r>
    </w:p>
  </w:endnote>
  <w:endnote w:id="651">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2:2, p. 72.  Ref. Heb. 3:5, 6.  ‘</w:t>
      </w:r>
      <w:r w:rsidRPr="00DD252A">
        <w:rPr>
          <w:lang w:val="en-US"/>
        </w:rPr>
        <w:t xml:space="preserve">And Moses verily </w:t>
      </w:r>
      <w:r w:rsidRPr="00DD252A">
        <w:rPr>
          <w:i/>
          <w:iCs/>
          <w:lang w:val="en-US"/>
        </w:rPr>
        <w:t>was</w:t>
      </w:r>
      <w:r w:rsidRPr="00DD252A">
        <w:rPr>
          <w:lang w:val="en-US"/>
        </w:rPr>
        <w:t xml:space="preserve"> faithful in all his house, as a servant, for a testimony of those things which were to be spoken after; </w:t>
      </w:r>
      <w:r w:rsidRPr="00DD252A">
        <w:rPr>
          <w:vertAlign w:val="superscript"/>
          <w:lang w:val="en-US"/>
        </w:rPr>
        <w:t>6</w:t>
      </w:r>
      <w:r w:rsidRPr="00DD252A">
        <w:rPr>
          <w:lang w:val="en-US"/>
        </w:rPr>
        <w:t>But Christ as a son over his own house; whose house are we, if we hold fast the confidence and the rejoicing of the hope firm unto the end.</w:t>
      </w:r>
      <w:r w:rsidRPr="00DD252A">
        <w:t xml:space="preserve">’  Heb. 3:5-6, </w:t>
      </w:r>
      <w:r w:rsidRPr="00DD252A">
        <w:rPr>
          <w:i/>
        </w:rPr>
        <w:t>KJV</w:t>
      </w:r>
      <w:r w:rsidRPr="00DD252A">
        <w:t>.</w:t>
      </w:r>
    </w:p>
  </w:endnote>
  <w:endnote w:id="652">
    <w:p w:rsidR="00975183" w:rsidRDefault="00975183" w:rsidP="00442D33">
      <w:pPr>
        <w:pStyle w:val="EndnoteText"/>
      </w:pPr>
      <w:r w:rsidRPr="00DD252A">
        <w:rPr>
          <w:rStyle w:val="FootnoteReference"/>
        </w:rPr>
        <w:endnoteRef/>
      </w:r>
      <w:r w:rsidRPr="00DD252A">
        <w:t xml:space="preserve"> Refs Exod. 2:11-15, Acts 7:25, Acts 18:5, 6, 28:17-28.</w:t>
      </w:r>
    </w:p>
  </w:endnote>
  <w:endnote w:id="653">
    <w:p w:rsidR="00975183" w:rsidRDefault="00975183" w:rsidP="00442D33">
      <w:pPr>
        <w:pStyle w:val="EndnoteText"/>
      </w:pPr>
      <w:r w:rsidRPr="00DD252A">
        <w:rPr>
          <w:rStyle w:val="FootnoteReference"/>
        </w:rPr>
        <w:endnoteRef/>
      </w:r>
      <w:r w:rsidRPr="00DD252A">
        <w:t xml:space="preserve"> Refs Exod. 2:16-21, Mt. 12:14-21, 2 Cor. 11:2, Eph. 5:30-32.</w:t>
      </w:r>
    </w:p>
  </w:endnote>
  <w:endnote w:id="654">
    <w:p w:rsidR="00975183" w:rsidRDefault="00975183" w:rsidP="00442D33">
      <w:pPr>
        <w:pStyle w:val="EndnoteText"/>
      </w:pPr>
      <w:r w:rsidRPr="00DD252A">
        <w:rPr>
          <w:rStyle w:val="FootnoteReference"/>
        </w:rPr>
        <w:endnoteRef/>
      </w:r>
      <w:r w:rsidRPr="00DD252A">
        <w:t xml:space="preserve"> Refs Exod. 4:29-31; Rom. 11:24-6; Acts 15:14-17.</w:t>
      </w:r>
    </w:p>
  </w:endnote>
  <w:endnote w:id="655">
    <w:p w:rsidR="00975183" w:rsidRPr="00F461CD" w:rsidRDefault="00975183" w:rsidP="00442D33">
      <w:pPr>
        <w:pStyle w:val="EndnoteText"/>
      </w:pPr>
      <w:r w:rsidRPr="00AC09DE">
        <w:rPr>
          <w:rStyle w:val="EndnoteReference"/>
        </w:rPr>
        <w:endnoteRef/>
      </w:r>
      <w:r w:rsidRPr="00AC09DE">
        <w:t xml:space="preserve"> </w:t>
      </w:r>
      <w:proofErr w:type="gramStart"/>
      <w:r w:rsidRPr="00F461CD">
        <w:t xml:space="preserve">For example, </w:t>
      </w:r>
      <w:r w:rsidRPr="00F461CD">
        <w:rPr>
          <w:i/>
        </w:rPr>
        <w:t>English Standard Version</w:t>
      </w:r>
      <w:r w:rsidRPr="00F461CD">
        <w:t xml:space="preserve">, 2007; </w:t>
      </w:r>
      <w:r w:rsidRPr="00F461CD">
        <w:rPr>
          <w:i/>
        </w:rPr>
        <w:t>New English Translation</w:t>
      </w:r>
      <w:r w:rsidRPr="00F461CD">
        <w:t xml:space="preserve">; </w:t>
      </w:r>
      <w:r w:rsidRPr="00F461CD">
        <w:rPr>
          <w:i/>
        </w:rPr>
        <w:t>RSV</w:t>
      </w:r>
      <w:r w:rsidRPr="00F461CD">
        <w:t>, 1952.</w:t>
      </w:r>
      <w:proofErr w:type="gramEnd"/>
    </w:p>
  </w:endnote>
  <w:endnote w:id="656">
    <w:p w:rsidR="00975183" w:rsidRPr="00F461CD" w:rsidRDefault="00975183" w:rsidP="00442D33">
      <w:pPr>
        <w:pStyle w:val="EndnoteText"/>
      </w:pPr>
      <w:r w:rsidRPr="00F461CD">
        <w:rPr>
          <w:rStyle w:val="EndnoteReference"/>
        </w:rPr>
        <w:endnoteRef/>
      </w:r>
      <w:r w:rsidRPr="00F461CD">
        <w:t xml:space="preserve"> </w:t>
      </w:r>
      <w:proofErr w:type="gramStart"/>
      <w:r w:rsidRPr="00F461CD">
        <w:t>For example, Bible en Fran</w:t>
      </w:r>
      <w:r w:rsidRPr="00F461CD">
        <w:rPr>
          <w:lang w:val="en-US"/>
        </w:rPr>
        <w:t>ç</w:t>
      </w:r>
      <w:r w:rsidRPr="00F461CD">
        <w:t>ais Courant, 1997.</w:t>
      </w:r>
      <w:proofErr w:type="gramEnd"/>
    </w:p>
  </w:endnote>
  <w:endnote w:id="657">
    <w:p w:rsidR="00975183" w:rsidRPr="00F461CD" w:rsidRDefault="00975183" w:rsidP="00442D33">
      <w:pPr>
        <w:pStyle w:val="EndnoteText"/>
      </w:pPr>
      <w:r w:rsidRPr="00F461CD">
        <w:rPr>
          <w:rStyle w:val="EndnoteReference"/>
        </w:rPr>
        <w:endnoteRef/>
      </w:r>
      <w:r w:rsidRPr="00F461CD">
        <w:t xml:space="preserve"> </w:t>
      </w:r>
      <w:proofErr w:type="gramStart"/>
      <w:r w:rsidRPr="00F461CD">
        <w:t>For example, Revidierte Lutherbibel, 1984.</w:t>
      </w:r>
      <w:proofErr w:type="gramEnd"/>
    </w:p>
  </w:endnote>
  <w:endnote w:id="658">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w:t>
      </w:r>
      <w:r>
        <w:t>s</w:t>
      </w:r>
      <w:r w:rsidRPr="00DD252A">
        <w:t xml:space="preserve"> on Exod. 12:11, </w:t>
      </w:r>
      <w:r>
        <w:t>p. 84, and Lev. 23:5, p. 156.  Refs in Exod, 12:11 note:</w:t>
      </w:r>
      <w:r w:rsidRPr="00DD252A">
        <w:t xml:space="preserve"> Exod 12:1-28, Jn 1:29, </w:t>
      </w:r>
    </w:p>
    <w:p w:rsidR="00975183" w:rsidRDefault="00975183" w:rsidP="00442D33">
      <w:pPr>
        <w:pStyle w:val="EndnoteText"/>
      </w:pPr>
      <w:r w:rsidRPr="00DD252A">
        <w:t xml:space="preserve">1 Cor. 5:6, 7, 1 Pet. 1:18, 19.  Exodus 12 gives the instructions for the institution of the Passover.  In 1 Jn 1:29. John the Baptist describes Jesus as ‘the Lamb of God’; 1 Cor. 5:7 describes Christ as ‘our Passover’; and </w:t>
      </w:r>
    </w:p>
    <w:p w:rsidR="00975183" w:rsidRDefault="00975183" w:rsidP="00442D33">
      <w:pPr>
        <w:pStyle w:val="EndnoteText"/>
      </w:pPr>
      <w:r w:rsidRPr="00DD252A">
        <w:t xml:space="preserve">1 Pet. 1:18-19 describes redemption as being by Christ’s blood, ‘as of a lamb without blemish’.  The Passover feast is also declared to be ‘a type of Christ, the bread of life, answering to the memorial supper’.  </w:t>
      </w:r>
      <w:r w:rsidRPr="00DD252A">
        <w:rPr>
          <w:i/>
        </w:rPr>
        <w:t>SRB</w:t>
      </w:r>
      <w:r w:rsidRPr="00DD252A">
        <w:t xml:space="preserve"> </w:t>
      </w:r>
      <w:r>
        <w:t>s</w:t>
      </w:r>
      <w:r w:rsidRPr="00DD252A">
        <w:t>ubhead to Lev. 23:5, p. 156</w:t>
      </w:r>
      <w:r w:rsidRPr="00DD252A">
        <w:rPr>
          <w:lang w:eastAsia="en-GB"/>
        </w:rPr>
        <w:t>.  Ref. 1 Cor. 5:7.</w:t>
      </w:r>
    </w:p>
  </w:endnote>
  <w:endnote w:id="659">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16:35, p. 91.</w:t>
      </w:r>
    </w:p>
  </w:endnote>
  <w:endnote w:id="660">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Josh. 5:11, p. 263.</w:t>
      </w:r>
    </w:p>
  </w:endnote>
  <w:endnote w:id="661">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Exod. 16:14, p. 90.  Ref. Jn 6:30-63</w:t>
      </w:r>
      <w:r>
        <w:t>.</w:t>
      </w:r>
    </w:p>
  </w:endnote>
  <w:endnote w:id="662">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Exod. 17:5, p. 91.  Ref. Jn 7:37-9.  </w:t>
      </w:r>
    </w:p>
  </w:endnote>
  <w:endnote w:id="663">
    <w:p w:rsidR="00975183" w:rsidRDefault="00975183" w:rsidP="00442D33">
      <w:pPr>
        <w:pStyle w:val="EndnoteText"/>
      </w:pPr>
      <w:r w:rsidRPr="00DD252A">
        <w:rPr>
          <w:rStyle w:val="FootnoteReference"/>
        </w:rPr>
        <w:endnoteRef/>
      </w:r>
      <w:r w:rsidRPr="00DD252A">
        <w:t xml:space="preserve"> ‘</w:t>
      </w:r>
      <w:r w:rsidRPr="00DD252A">
        <w:rPr>
          <w:lang w:val="en-US"/>
        </w:rPr>
        <w:t xml:space="preserve">Our fathers did eat manna in the desert; as it is written, He gave them bread from heaven to eat. </w:t>
      </w:r>
      <w:r w:rsidRPr="00DD252A">
        <w:rPr>
          <w:vertAlign w:val="superscript"/>
          <w:lang w:val="en-US"/>
        </w:rPr>
        <w:t>32</w:t>
      </w:r>
      <w:r w:rsidRPr="00DD252A">
        <w:rPr>
          <w:lang w:val="en-US"/>
        </w:rPr>
        <w:t xml:space="preserve">Then Jesus said unto them, Verily, verily, I say unto you, Moses gave you not that bread from heaven; but my Father giveth you the true bread from heaven. </w:t>
      </w:r>
      <w:r w:rsidRPr="00DD252A">
        <w:rPr>
          <w:vertAlign w:val="superscript"/>
          <w:lang w:val="en-US"/>
        </w:rPr>
        <w:t>33</w:t>
      </w:r>
      <w:r w:rsidRPr="00DD252A">
        <w:rPr>
          <w:lang w:val="en-US"/>
        </w:rPr>
        <w:t>For the bread of God is he which cometh down from heaven, and giveth life unto the world.</w:t>
      </w:r>
      <w:r w:rsidRPr="00DD252A">
        <w:t xml:space="preserve">’  </w:t>
      </w:r>
      <w:r w:rsidRPr="00E0095E">
        <w:t xml:space="preserve">Jn 6:32-3, </w:t>
      </w:r>
      <w:r w:rsidRPr="00E0095E">
        <w:rPr>
          <w:i/>
        </w:rPr>
        <w:t>KJV</w:t>
      </w:r>
      <w:r w:rsidRPr="00DD252A">
        <w:t>.</w:t>
      </w:r>
    </w:p>
  </w:endnote>
  <w:endnote w:id="664">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Exod. 25:30, p. 102.</w:t>
      </w:r>
      <w:r>
        <w:t xml:space="preserve">  </w:t>
      </w:r>
    </w:p>
  </w:endnote>
  <w:endnote w:id="665">
    <w:p w:rsidR="00975183" w:rsidRPr="00D05350" w:rsidRDefault="00975183" w:rsidP="00442D33">
      <w:pPr>
        <w:pStyle w:val="EndnoteText"/>
      </w:pPr>
      <w:r w:rsidRPr="00D05350">
        <w:rPr>
          <w:rStyle w:val="EndnoteReference"/>
        </w:rPr>
        <w:endnoteRef/>
      </w:r>
      <w:r w:rsidRPr="00D05350">
        <w:t xml:space="preserve"> </w:t>
      </w:r>
      <w:r w:rsidRPr="00412CC3">
        <w:rPr>
          <w:i/>
        </w:rPr>
        <w:t>SRB</w:t>
      </w:r>
      <w:r>
        <w:t xml:space="preserve"> n</w:t>
      </w:r>
      <w:r w:rsidRPr="00412CC3">
        <w:t>ote on Exod. 25:30, p. 102</w:t>
      </w:r>
      <w:r>
        <w:t>.</w:t>
      </w:r>
    </w:p>
  </w:endnote>
  <w:endnote w:id="666">
    <w:p w:rsidR="00975183" w:rsidRPr="00996F81" w:rsidRDefault="00975183" w:rsidP="00442D33">
      <w:pPr>
        <w:pStyle w:val="EndnoteText"/>
      </w:pPr>
      <w:r w:rsidRPr="00996F81">
        <w:rPr>
          <w:rStyle w:val="EndnoteReference"/>
        </w:rPr>
        <w:endnoteRef/>
      </w:r>
      <w:r w:rsidRPr="00996F81">
        <w:t xml:space="preserve"> </w:t>
      </w:r>
      <w:r w:rsidRPr="00996F81">
        <w:rPr>
          <w:i/>
        </w:rPr>
        <w:t>SRB</w:t>
      </w:r>
      <w:r>
        <w:t xml:space="preserve"> note on Exod. 15:25, p. 89.</w:t>
      </w:r>
    </w:p>
  </w:endnote>
  <w:endnote w:id="667">
    <w:p w:rsidR="00975183" w:rsidRPr="00373406" w:rsidRDefault="00975183" w:rsidP="00442D33">
      <w:pPr>
        <w:pStyle w:val="FootnoteText"/>
        <w:rPr>
          <w:rFonts w:ascii="Perpetua" w:hAnsi="Perpetua"/>
        </w:rPr>
      </w:pPr>
      <w:r w:rsidRPr="00373406">
        <w:rPr>
          <w:rStyle w:val="FootnoteReference"/>
          <w:rFonts w:ascii="Perpetua" w:hAnsi="Perpetua"/>
        </w:rPr>
        <w:endnoteRef/>
      </w:r>
      <w:r w:rsidRPr="00373406">
        <w:rPr>
          <w:rFonts w:ascii="Perpetua" w:hAnsi="Perpetua"/>
        </w:rPr>
        <w:t xml:space="preserve"> </w:t>
      </w:r>
      <w:r w:rsidRPr="00996F81">
        <w:rPr>
          <w:rFonts w:ascii="Perpetua" w:hAnsi="Perpetua"/>
          <w:i/>
        </w:rPr>
        <w:t>SRB</w:t>
      </w:r>
      <w:r w:rsidRPr="00373406">
        <w:rPr>
          <w:rFonts w:ascii="Perpetua" w:hAnsi="Perpetua"/>
        </w:rPr>
        <w:t xml:space="preserve"> </w:t>
      </w:r>
      <w:r>
        <w:rPr>
          <w:rFonts w:ascii="Perpetua" w:hAnsi="Perpetua"/>
        </w:rPr>
        <w:t>n</w:t>
      </w:r>
      <w:r w:rsidRPr="00373406">
        <w:rPr>
          <w:rFonts w:ascii="Perpetua" w:hAnsi="Perpetua"/>
        </w:rPr>
        <w:t>ote</w:t>
      </w:r>
      <w:r>
        <w:rPr>
          <w:rFonts w:ascii="Perpetua" w:hAnsi="Perpetua"/>
        </w:rPr>
        <w:t>s</w:t>
      </w:r>
      <w:r w:rsidRPr="00373406">
        <w:rPr>
          <w:rFonts w:ascii="Perpetua" w:hAnsi="Perpetua"/>
        </w:rPr>
        <w:t xml:space="preserve"> on Exod. 25:9, </w:t>
      </w:r>
      <w:r>
        <w:rPr>
          <w:rFonts w:ascii="Perpetua" w:hAnsi="Perpetua"/>
        </w:rPr>
        <w:t xml:space="preserve">p. 100; </w:t>
      </w:r>
      <w:r w:rsidRPr="00373406">
        <w:rPr>
          <w:rFonts w:ascii="Perpetua" w:hAnsi="Perpetua"/>
        </w:rPr>
        <w:t xml:space="preserve">Exod. 25:10, </w:t>
      </w:r>
      <w:r>
        <w:rPr>
          <w:rFonts w:ascii="Perpetua" w:hAnsi="Perpetua"/>
        </w:rPr>
        <w:t xml:space="preserve">p. 101; </w:t>
      </w:r>
      <w:r w:rsidRPr="00373406">
        <w:rPr>
          <w:rFonts w:ascii="Perpetua" w:hAnsi="Perpetua"/>
        </w:rPr>
        <w:t>Exod. 25:30, p. 102</w:t>
      </w:r>
      <w:r>
        <w:rPr>
          <w:rFonts w:ascii="Perpetua" w:hAnsi="Perpetua"/>
        </w:rPr>
        <w:t xml:space="preserve">; </w:t>
      </w:r>
      <w:r w:rsidRPr="00373406">
        <w:rPr>
          <w:rFonts w:ascii="Perpetua" w:hAnsi="Perpetua"/>
        </w:rPr>
        <w:t>Exod. 25:31, p. 102; Exod. 26:15, p. 103; 26:31, p. 104; Exod. 27:1, p. 104; Exod. 30:1</w:t>
      </w:r>
      <w:r>
        <w:rPr>
          <w:rFonts w:ascii="Perpetua" w:hAnsi="Perpetua"/>
        </w:rPr>
        <w:t xml:space="preserve">, </w:t>
      </w:r>
      <w:r w:rsidRPr="00373406">
        <w:rPr>
          <w:rFonts w:ascii="Perpetua" w:hAnsi="Perpetua"/>
        </w:rPr>
        <w:t xml:space="preserve">p. 110; Exod. 30:18, </w:t>
      </w:r>
      <w:r>
        <w:rPr>
          <w:rFonts w:ascii="Perpetua" w:hAnsi="Perpetua"/>
        </w:rPr>
        <w:t>p. 111</w:t>
      </w:r>
      <w:r w:rsidRPr="00373406">
        <w:rPr>
          <w:rFonts w:ascii="Perpetua" w:hAnsi="Perpetua"/>
        </w:rPr>
        <w:t>.</w:t>
      </w:r>
    </w:p>
  </w:endnote>
  <w:endnote w:id="668">
    <w:p w:rsidR="00975183" w:rsidRPr="00373406" w:rsidRDefault="00975183" w:rsidP="00442D33">
      <w:pPr>
        <w:pStyle w:val="EndnoteText"/>
      </w:pPr>
      <w:r w:rsidRPr="00373406">
        <w:rPr>
          <w:rStyle w:val="EndnoteReference"/>
        </w:rPr>
        <w:endnoteRef/>
      </w:r>
      <w:r w:rsidRPr="00373406">
        <w:t xml:space="preserve"> </w:t>
      </w:r>
      <w:r w:rsidRPr="00373406">
        <w:rPr>
          <w:i/>
        </w:rPr>
        <w:t>SRB</w:t>
      </w:r>
      <w:r w:rsidRPr="00373406">
        <w:t xml:space="preserve"> </w:t>
      </w:r>
      <w:r>
        <w:t>n</w:t>
      </w:r>
      <w:r w:rsidRPr="00373406">
        <w:t>ote on Exod. 25:1, p. 100</w:t>
      </w:r>
      <w:r w:rsidRPr="00373406">
        <w:rPr>
          <w:lang w:eastAsia="en-GB"/>
        </w:rPr>
        <w:t>.</w:t>
      </w:r>
    </w:p>
  </w:endnote>
  <w:endnote w:id="669">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Lev. 11:2, p. 139</w:t>
      </w:r>
      <w:r w:rsidRPr="00996F81">
        <w:t xml:space="preserve">.  </w:t>
      </w:r>
    </w:p>
  </w:endnote>
  <w:endnote w:id="670">
    <w:p w:rsidR="00975183" w:rsidRPr="00373406" w:rsidRDefault="00975183" w:rsidP="00442D33">
      <w:pPr>
        <w:pStyle w:val="EndnoteText"/>
      </w:pPr>
      <w:r w:rsidRPr="00373406">
        <w:rPr>
          <w:rStyle w:val="EndnoteReference"/>
        </w:rPr>
        <w:endnoteRef/>
      </w:r>
      <w:r w:rsidRPr="00373406">
        <w:t xml:space="preserve"> </w:t>
      </w:r>
      <w:r w:rsidRPr="00373406">
        <w:rPr>
          <w:i/>
        </w:rPr>
        <w:t>SRB</w:t>
      </w:r>
      <w:r w:rsidRPr="00373406">
        <w:t xml:space="preserve"> </w:t>
      </w:r>
      <w:r>
        <w:t>n</w:t>
      </w:r>
      <w:r w:rsidRPr="00373406">
        <w:t>ote on Exod. 25:1, p. 100</w:t>
      </w:r>
      <w:r w:rsidRPr="00373406">
        <w:rPr>
          <w:lang w:eastAsia="en-GB"/>
        </w:rPr>
        <w:t>.</w:t>
      </w:r>
    </w:p>
  </w:endnote>
  <w:endnote w:id="671">
    <w:p w:rsidR="00975183" w:rsidRDefault="00975183" w:rsidP="00442D33">
      <w:pPr>
        <w:pStyle w:val="EndnoteText"/>
      </w:pPr>
      <w:r w:rsidRPr="00DD252A">
        <w:rPr>
          <w:rStyle w:val="FootnoteReference"/>
        </w:rPr>
        <w:endnoteRef/>
      </w:r>
      <w:r w:rsidRPr="00DD252A">
        <w:t xml:space="preserve"> Ramm, </w:t>
      </w:r>
      <w:r w:rsidRPr="00DD252A">
        <w:rPr>
          <w:i/>
        </w:rPr>
        <w:t>Protestant Biblical Interpretation</w:t>
      </w:r>
      <w:r w:rsidRPr="00DD252A">
        <w:t>, p. 230.</w:t>
      </w:r>
    </w:p>
  </w:endnote>
  <w:endnote w:id="672">
    <w:p w:rsidR="00975183" w:rsidRDefault="00975183" w:rsidP="00442D33">
      <w:pPr>
        <w:pStyle w:val="EndnoteText"/>
      </w:pPr>
      <w:r w:rsidRPr="00DD252A">
        <w:rPr>
          <w:rStyle w:val="FootnoteReference"/>
        </w:rPr>
        <w:endnoteRef/>
      </w:r>
      <w:r w:rsidRPr="00DD252A">
        <w:t xml:space="preserve"> Campbell, ‘Interpretation of Types’, p. 254.</w:t>
      </w:r>
    </w:p>
  </w:endnote>
  <w:endnote w:id="673">
    <w:p w:rsidR="00975183" w:rsidRDefault="00975183" w:rsidP="00442D33">
      <w:pPr>
        <w:pStyle w:val="EndnoteText"/>
      </w:pPr>
      <w:r w:rsidRPr="00DD252A">
        <w:rPr>
          <w:rStyle w:val="FootnoteReference"/>
        </w:rPr>
        <w:endnoteRef/>
      </w:r>
      <w:r w:rsidRPr="00DD252A">
        <w:t xml:space="preserve"> Tan, </w:t>
      </w:r>
      <w:r w:rsidRPr="00DD252A">
        <w:rPr>
          <w:i/>
        </w:rPr>
        <w:t>Interpretation of Prophecy</w:t>
      </w:r>
      <w:r w:rsidRPr="00DD252A">
        <w:t>, p. 171.</w:t>
      </w:r>
    </w:p>
  </w:endnote>
  <w:endnote w:id="674">
    <w:p w:rsidR="00975183" w:rsidRDefault="00975183" w:rsidP="00442D33">
      <w:pPr>
        <w:pStyle w:val="EndnoteText"/>
      </w:pPr>
      <w:r w:rsidRPr="00DD252A">
        <w:rPr>
          <w:rStyle w:val="EndnoteReference"/>
        </w:rPr>
        <w:endnoteRef/>
      </w:r>
      <w:r w:rsidRPr="00DD252A">
        <w:t xml:space="preserve"> </w:t>
      </w:r>
      <w:r w:rsidRPr="00DD252A">
        <w:rPr>
          <w:i/>
        </w:rPr>
        <w:t>SRB</w:t>
      </w:r>
      <w:r>
        <w:t xml:space="preserve"> n</w:t>
      </w:r>
      <w:r w:rsidRPr="00DD252A">
        <w:t xml:space="preserve">ote on Exod. 25:9, p. 100.  </w:t>
      </w:r>
    </w:p>
  </w:endnote>
  <w:endnote w:id="675">
    <w:p w:rsidR="00975183" w:rsidRDefault="00975183" w:rsidP="00442D33">
      <w:pPr>
        <w:pStyle w:val="EndnoteText"/>
      </w:pPr>
      <w:r w:rsidRPr="00DD252A">
        <w:rPr>
          <w:rStyle w:val="FootnoteReference"/>
          <w:szCs w:val="22"/>
        </w:rPr>
        <w:endnoteRef/>
      </w:r>
      <w:r w:rsidRPr="00DD252A">
        <w:rPr>
          <w:szCs w:val="22"/>
        </w:rPr>
        <w:t xml:space="preserve"> </w:t>
      </w:r>
      <w:r w:rsidRPr="00DD252A">
        <w:rPr>
          <w:i/>
          <w:szCs w:val="22"/>
        </w:rPr>
        <w:t>SRB</w:t>
      </w:r>
      <w:r>
        <w:rPr>
          <w:szCs w:val="22"/>
        </w:rPr>
        <w:t xml:space="preserve"> n</w:t>
      </w:r>
      <w:r w:rsidRPr="00DD252A">
        <w:rPr>
          <w:szCs w:val="22"/>
        </w:rPr>
        <w:t>ote on Lev. 14:5, p. 144</w:t>
      </w:r>
      <w:r>
        <w:rPr>
          <w:szCs w:val="22"/>
        </w:rPr>
        <w:t>.</w:t>
      </w:r>
    </w:p>
  </w:endnote>
  <w:endnote w:id="676">
    <w:p w:rsidR="00975183" w:rsidRDefault="00975183" w:rsidP="00442D33">
      <w:pPr>
        <w:pStyle w:val="EndnoteText"/>
      </w:pPr>
      <w:r w:rsidRPr="00DD252A">
        <w:rPr>
          <w:rStyle w:val="EndnoteReference"/>
          <w:szCs w:val="22"/>
        </w:rPr>
        <w:endnoteRef/>
      </w:r>
      <w:r w:rsidRPr="00DD252A">
        <w:rPr>
          <w:szCs w:val="22"/>
        </w:rPr>
        <w:t xml:space="preserve"> </w:t>
      </w:r>
      <w:r w:rsidRPr="00DD252A">
        <w:rPr>
          <w:i/>
          <w:szCs w:val="22"/>
        </w:rPr>
        <w:t>SRB</w:t>
      </w:r>
      <w:r>
        <w:rPr>
          <w:szCs w:val="22"/>
        </w:rPr>
        <w:t xml:space="preserve"> n</w:t>
      </w:r>
      <w:r w:rsidRPr="00DD252A">
        <w:rPr>
          <w:szCs w:val="22"/>
        </w:rPr>
        <w:t xml:space="preserve">ote on Exod. 25:30, p. 102.  </w:t>
      </w:r>
    </w:p>
  </w:endnote>
  <w:endnote w:id="677">
    <w:p w:rsidR="00975183" w:rsidRDefault="00975183" w:rsidP="00442D33">
      <w:pPr>
        <w:pStyle w:val="EndnoteText"/>
      </w:pPr>
      <w:r w:rsidRPr="00DD252A">
        <w:rPr>
          <w:rStyle w:val="EndnoteReference"/>
        </w:rPr>
        <w:endnoteRef/>
      </w:r>
      <w:r w:rsidRPr="00DD252A">
        <w:t xml:space="preserve"> </w:t>
      </w:r>
      <w:r w:rsidRPr="00DD252A">
        <w:rPr>
          <w:i/>
        </w:rPr>
        <w:t>SRB</w:t>
      </w:r>
      <w:r>
        <w:t xml:space="preserve"> n</w:t>
      </w:r>
      <w:r w:rsidRPr="00DD252A">
        <w:t>ote on Exod. 25:31, p. 102.</w:t>
      </w:r>
    </w:p>
  </w:endnote>
  <w:endnote w:id="678">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26:15, p. 103.</w:t>
      </w:r>
    </w:p>
  </w:endnote>
  <w:endnote w:id="679">
    <w:p w:rsidR="00975183" w:rsidRPr="00373406" w:rsidRDefault="00975183" w:rsidP="00442D33">
      <w:pPr>
        <w:pStyle w:val="FootnoteText"/>
        <w:spacing w:after="40"/>
        <w:rPr>
          <w:rFonts w:ascii="Perpetua" w:hAnsi="Perpetua"/>
        </w:rPr>
      </w:pPr>
      <w:r w:rsidRPr="00373406">
        <w:rPr>
          <w:rStyle w:val="EndnoteReference"/>
          <w:rFonts w:ascii="Perpetua" w:hAnsi="Perpetua"/>
        </w:rPr>
        <w:endnoteRef/>
      </w:r>
      <w:r w:rsidRPr="00373406">
        <w:rPr>
          <w:rFonts w:ascii="Perpetua" w:hAnsi="Perpetua"/>
        </w:rPr>
        <w:t xml:space="preserve"> </w:t>
      </w:r>
      <w:r w:rsidRPr="00373406">
        <w:rPr>
          <w:rFonts w:ascii="Perpetua" w:hAnsi="Perpetua"/>
          <w:i/>
        </w:rPr>
        <w:t>SRB</w:t>
      </w:r>
      <w:r>
        <w:rPr>
          <w:rFonts w:ascii="Perpetua" w:hAnsi="Perpetua"/>
        </w:rPr>
        <w:t xml:space="preserve"> no</w:t>
      </w:r>
      <w:r w:rsidRPr="00373406">
        <w:rPr>
          <w:rFonts w:ascii="Perpetua" w:hAnsi="Perpetua"/>
        </w:rPr>
        <w:t xml:space="preserve">te on Exod. 25:31, p. 102.  The candlestick is a type </w:t>
      </w:r>
      <w:r>
        <w:rPr>
          <w:rFonts w:ascii="Perpetua" w:hAnsi="Perpetua"/>
          <w:sz w:val="22"/>
          <w:szCs w:val="22"/>
        </w:rPr>
        <w:t>of</w:t>
      </w:r>
      <w:r w:rsidRPr="00373406">
        <w:rPr>
          <w:rFonts w:ascii="Perpetua" w:hAnsi="Perpetua"/>
        </w:rPr>
        <w:t xml:space="preserve"> Christ as light, shining in the ‘power of the seven-fold Spirit’s power</w:t>
      </w:r>
      <w:r>
        <w:rPr>
          <w:rFonts w:ascii="Perpetua" w:hAnsi="Perpetua"/>
        </w:rPr>
        <w:t>’</w:t>
      </w:r>
      <w:r w:rsidRPr="00373406">
        <w:rPr>
          <w:rFonts w:ascii="Perpetua" w:hAnsi="Perpetua"/>
        </w:rPr>
        <w:t>.  (Refs Isa. 11:2; Heb. 1:9; Rev. 1:4.)</w:t>
      </w:r>
    </w:p>
    <w:p w:rsidR="00975183" w:rsidRPr="00373406" w:rsidRDefault="00975183" w:rsidP="00442D33">
      <w:pPr>
        <w:pStyle w:val="FootnoteText"/>
        <w:spacing w:after="40"/>
        <w:rPr>
          <w:rFonts w:ascii="Perpetua" w:hAnsi="Perpetua"/>
        </w:rPr>
      </w:pPr>
      <w:r w:rsidRPr="00373406">
        <w:rPr>
          <w:rFonts w:ascii="Perpetua" w:hAnsi="Perpetua"/>
        </w:rPr>
        <w:t>‘</w:t>
      </w:r>
      <w:r w:rsidRPr="00373406">
        <w:rPr>
          <w:rFonts w:ascii="Perpetua" w:eastAsiaTheme="minorHAnsi" w:hAnsi="Perpetua"/>
          <w:lang w:val="en-US"/>
        </w:rPr>
        <w:t>And the spirit of the LORD shall rest upon him, the spirit of wisdom and understanding, the spirit of counsel and might, the spirit of knowledge and of the fear of the LORD;</w:t>
      </w:r>
      <w:r w:rsidRPr="00373406">
        <w:rPr>
          <w:rFonts w:ascii="Perpetua" w:hAnsi="Perpetua"/>
        </w:rPr>
        <w:t xml:space="preserve">’  Isa. 11:2, </w:t>
      </w:r>
      <w:r w:rsidRPr="00373406">
        <w:rPr>
          <w:rFonts w:ascii="Perpetua" w:hAnsi="Perpetua"/>
          <w:i/>
        </w:rPr>
        <w:t>KJV</w:t>
      </w:r>
      <w:r w:rsidRPr="00373406">
        <w:rPr>
          <w:rFonts w:ascii="Perpetua" w:hAnsi="Perpetua"/>
        </w:rPr>
        <w:t>;</w:t>
      </w:r>
    </w:p>
    <w:p w:rsidR="00975183" w:rsidRPr="00373406" w:rsidRDefault="00975183" w:rsidP="00442D33">
      <w:pPr>
        <w:pStyle w:val="FootnoteText"/>
        <w:spacing w:after="40"/>
        <w:rPr>
          <w:rFonts w:ascii="Perpetua" w:hAnsi="Perpetua"/>
        </w:rPr>
      </w:pPr>
      <w:r w:rsidRPr="00373406">
        <w:rPr>
          <w:rFonts w:ascii="Perpetua" w:hAnsi="Perpetua"/>
        </w:rPr>
        <w:t>‘</w:t>
      </w:r>
      <w:r w:rsidRPr="00373406">
        <w:rPr>
          <w:rFonts w:ascii="Perpetua" w:eastAsiaTheme="minorHAnsi" w:hAnsi="Perpetua"/>
          <w:lang w:val="en-US"/>
        </w:rPr>
        <w:t xml:space="preserve">Thou hast loved righteousness, and hated iniquity; therefore God, </w:t>
      </w:r>
      <w:r w:rsidRPr="00373406">
        <w:rPr>
          <w:rFonts w:ascii="Perpetua" w:eastAsiaTheme="minorHAnsi" w:hAnsi="Perpetua"/>
          <w:i/>
          <w:iCs/>
          <w:lang w:val="en-US"/>
        </w:rPr>
        <w:t>even</w:t>
      </w:r>
      <w:r w:rsidRPr="00373406">
        <w:rPr>
          <w:rFonts w:ascii="Perpetua" w:eastAsiaTheme="minorHAnsi" w:hAnsi="Perpetua"/>
          <w:lang w:val="en-US"/>
        </w:rPr>
        <w:t xml:space="preserve"> thy God, hath anointed thee with the oil of gladness above thy fellows.</w:t>
      </w:r>
      <w:r w:rsidRPr="00373406">
        <w:rPr>
          <w:rFonts w:ascii="Perpetua" w:hAnsi="Perpetua"/>
        </w:rPr>
        <w:t xml:space="preserve">’  Heb. 1:9, </w:t>
      </w:r>
      <w:r w:rsidRPr="00373406">
        <w:rPr>
          <w:rFonts w:ascii="Perpetua" w:hAnsi="Perpetua"/>
          <w:i/>
        </w:rPr>
        <w:t>KJV</w:t>
      </w:r>
      <w:r w:rsidRPr="00373406">
        <w:rPr>
          <w:rFonts w:ascii="Perpetua" w:hAnsi="Perpetua"/>
        </w:rPr>
        <w:t>;</w:t>
      </w:r>
    </w:p>
    <w:p w:rsidR="00975183" w:rsidRPr="00373406" w:rsidRDefault="00975183" w:rsidP="00442D33">
      <w:pPr>
        <w:pStyle w:val="EndnoteText"/>
      </w:pPr>
      <w:r w:rsidRPr="00373406">
        <w:t>‘</w:t>
      </w:r>
      <w:r w:rsidRPr="00373406">
        <w:rPr>
          <w:lang w:val="en-US"/>
        </w:rPr>
        <w:t xml:space="preserve">John to the seven churches which are in Asia: Grace </w:t>
      </w:r>
      <w:r w:rsidRPr="00373406">
        <w:rPr>
          <w:i/>
          <w:iCs/>
          <w:lang w:val="en-US"/>
        </w:rPr>
        <w:t>be</w:t>
      </w:r>
      <w:r w:rsidRPr="00373406">
        <w:rPr>
          <w:lang w:val="en-US"/>
        </w:rPr>
        <w:t xml:space="preserve"> unto you, and peace, from him which is, and which was, and which is to come; and from the seven Spirits which are before his throne;</w:t>
      </w:r>
      <w:proofErr w:type="gramStart"/>
      <w:r w:rsidRPr="00373406">
        <w:t>’  Rev</w:t>
      </w:r>
      <w:proofErr w:type="gramEnd"/>
      <w:r w:rsidRPr="00373406">
        <w:t xml:space="preserve">. 1:4, </w:t>
      </w:r>
      <w:r w:rsidRPr="00373406">
        <w:rPr>
          <w:i/>
        </w:rPr>
        <w:t>KJV</w:t>
      </w:r>
      <w:r w:rsidRPr="00373406">
        <w:t>.</w:t>
      </w:r>
    </w:p>
  </w:endnote>
  <w:endnote w:id="680">
    <w:p w:rsidR="00975183" w:rsidRDefault="00975183" w:rsidP="00442D33">
      <w:pPr>
        <w:pStyle w:val="EndnoteText"/>
      </w:pPr>
      <w:r w:rsidRPr="00DD252A">
        <w:rPr>
          <w:rStyle w:val="FootnoteReference"/>
        </w:rPr>
        <w:endnoteRef/>
      </w:r>
      <w:r w:rsidRPr="00DD252A">
        <w:t xml:space="preserve"> </w:t>
      </w:r>
      <w:proofErr w:type="gramStart"/>
      <w:r w:rsidRPr="00DD252A">
        <w:t>Refs Isa. 11:2; Heb. 1:9; Rev. 1:4.</w:t>
      </w:r>
      <w:proofErr w:type="gramEnd"/>
    </w:p>
  </w:endnote>
  <w:endnote w:id="681">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 on Exod. 26:31, p. 104.  </w:t>
      </w:r>
      <w:r w:rsidRPr="00832CD8">
        <w:t xml:space="preserve">This remark is repeated in the note on Mt. 27:51, p. 1047.  </w:t>
      </w:r>
      <w:r w:rsidRPr="00832CD8">
        <w:rPr>
          <w:b/>
        </w:rPr>
        <w:t>See below</w:t>
      </w:r>
      <w:r w:rsidRPr="001F1A31">
        <w:rPr>
          <w:b/>
        </w:rPr>
        <w:t>.</w:t>
      </w:r>
    </w:p>
  </w:endnote>
  <w:endnote w:id="682">
    <w:p w:rsidR="00975183" w:rsidRDefault="00975183" w:rsidP="00442D33">
      <w:pPr>
        <w:pStyle w:val="FootnoteText"/>
        <w:rPr>
          <w:rFonts w:ascii="Perpetua" w:hAnsi="Perpetua"/>
        </w:rPr>
      </w:pPr>
      <w:r w:rsidRPr="00DD252A">
        <w:rPr>
          <w:rStyle w:val="FootnoteReference"/>
          <w:rFonts w:ascii="Perpetua" w:hAnsi="Perpetua"/>
        </w:rPr>
        <w:endnoteRef/>
      </w:r>
      <w:r w:rsidRPr="00DD252A">
        <w:rPr>
          <w:rFonts w:ascii="Perpetua" w:hAnsi="Perpetua"/>
        </w:rPr>
        <w:t xml:space="preserve"> ‘</w:t>
      </w:r>
      <w:r w:rsidRPr="00DD252A">
        <w:rPr>
          <w:rFonts w:ascii="Perpetua" w:eastAsiaTheme="minorHAnsi" w:hAnsi="Perpetua"/>
          <w:lang w:val="en-US"/>
        </w:rPr>
        <w:t>By a new and living way, which he hath consecrated for us, through the veil, that is to say, his flesh;</w:t>
      </w:r>
      <w:r w:rsidRPr="00DD252A">
        <w:rPr>
          <w:rFonts w:ascii="Perpetua" w:hAnsi="Perpetua"/>
        </w:rPr>
        <w:t xml:space="preserve">’ </w:t>
      </w:r>
    </w:p>
    <w:p w:rsidR="00975183" w:rsidRDefault="00975183" w:rsidP="00442D33">
      <w:pPr>
        <w:pStyle w:val="EndnoteText"/>
      </w:pPr>
      <w:r w:rsidRPr="00DD252A">
        <w:t xml:space="preserve">Heb. 10:20, </w:t>
      </w:r>
      <w:r w:rsidRPr="00DD252A">
        <w:rPr>
          <w:i/>
        </w:rPr>
        <w:t>KJV</w:t>
      </w:r>
      <w:r w:rsidRPr="00DD252A">
        <w:t>.</w:t>
      </w:r>
    </w:p>
  </w:endnote>
  <w:endnote w:id="683">
    <w:p w:rsidR="00975183" w:rsidRDefault="00975183" w:rsidP="00442D33">
      <w:pPr>
        <w:pStyle w:val="EndnoteText"/>
      </w:pPr>
      <w:r w:rsidRPr="00DD252A">
        <w:rPr>
          <w:rStyle w:val="FootnoteReference"/>
        </w:rPr>
        <w:endnoteRef/>
      </w:r>
      <w:r w:rsidRPr="00DD252A">
        <w:t xml:space="preserve"> </w:t>
      </w:r>
      <w:proofErr w:type="gramStart"/>
      <w:r w:rsidRPr="00DD252A">
        <w:rPr>
          <w:i/>
        </w:rPr>
        <w:t>SRB</w:t>
      </w:r>
      <w:r>
        <w:t xml:space="preserve"> n</w:t>
      </w:r>
      <w:r w:rsidRPr="00DD252A">
        <w:t>ote on 1 Pet. 2:9, pp. 1313-4.</w:t>
      </w:r>
      <w:proofErr w:type="gramEnd"/>
      <w:r w:rsidRPr="00DD252A">
        <w:t xml:space="preserve">  </w:t>
      </w:r>
    </w:p>
  </w:endnote>
  <w:endnote w:id="684">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otes on Exod. 25:10, p. 101 and Exod. 27:1, p. 104.  </w:t>
      </w:r>
    </w:p>
  </w:endnote>
  <w:endnote w:id="685">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Exod. 30:1, p. 11</w:t>
      </w:r>
      <w:r>
        <w:t>0.  (Refs Jn 17:1-26; Heb. 7:25</w:t>
      </w:r>
      <w:r w:rsidRPr="00DD252A">
        <w:t>).</w:t>
      </w:r>
    </w:p>
  </w:endnote>
  <w:endnote w:id="686">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 on Exod. 30:18, p. 111.  (Refs Jn 13:2-10; Eph. 5:25-7.)  </w:t>
      </w:r>
    </w:p>
  </w:endnote>
  <w:endnote w:id="687">
    <w:p w:rsidR="00975183" w:rsidRDefault="00975183" w:rsidP="00442D33">
      <w:pPr>
        <w:pStyle w:val="EndnoteText"/>
      </w:pPr>
      <w:r w:rsidRPr="00DD252A">
        <w:rPr>
          <w:rStyle w:val="FootnoteReference"/>
        </w:rPr>
        <w:endnoteRef/>
      </w:r>
      <w:r w:rsidRPr="00DD252A">
        <w:t xml:space="preserve"> See table above.</w:t>
      </w:r>
    </w:p>
  </w:endnote>
  <w:endnote w:id="688">
    <w:p w:rsidR="00975183" w:rsidRDefault="00975183" w:rsidP="00442D33">
      <w:pPr>
        <w:pStyle w:val="EndnoteText"/>
      </w:pPr>
      <w:r w:rsidRPr="00DD252A">
        <w:rPr>
          <w:rStyle w:val="FootnoteReference"/>
        </w:rPr>
        <w:endnoteRef/>
      </w:r>
      <w:r w:rsidRPr="00DD252A">
        <w:t xml:space="preserve"> Ramm, </w:t>
      </w:r>
      <w:r w:rsidRPr="00DD252A">
        <w:rPr>
          <w:i/>
        </w:rPr>
        <w:t>Protestant Biblical Interpretation</w:t>
      </w:r>
      <w:r w:rsidRPr="00DD252A">
        <w:t>, p. 230.</w:t>
      </w:r>
    </w:p>
  </w:endnote>
  <w:endnote w:id="689">
    <w:p w:rsidR="00975183" w:rsidRDefault="00975183" w:rsidP="00442D33">
      <w:pPr>
        <w:pStyle w:val="EndnoteText"/>
        <w:rPr>
          <w:b/>
        </w:rPr>
      </w:pPr>
      <w:r w:rsidRPr="00373406">
        <w:rPr>
          <w:rStyle w:val="EndnoteReference"/>
        </w:rPr>
        <w:endnoteRef/>
      </w:r>
      <w:r w:rsidRPr="00373406">
        <w:t xml:space="preserve"> </w:t>
      </w:r>
      <w:r w:rsidRPr="00373406">
        <w:rPr>
          <w:i/>
        </w:rPr>
        <w:t>SRB</w:t>
      </w:r>
      <w:r w:rsidRPr="00373406">
        <w:t xml:space="preserve"> </w:t>
      </w:r>
      <w:r>
        <w:t>n</w:t>
      </w:r>
      <w:r w:rsidRPr="00373406">
        <w:t>ote on Lev. 1:3, p. 126.</w:t>
      </w:r>
      <w:r w:rsidRPr="00373406">
        <w:rPr>
          <w:b/>
        </w:rPr>
        <w:t xml:space="preserve">  </w:t>
      </w:r>
    </w:p>
    <w:p w:rsidR="00975183" w:rsidRPr="00C15889" w:rsidRDefault="00975183" w:rsidP="00442D33">
      <w:pPr>
        <w:pStyle w:val="EndnoteText"/>
      </w:pPr>
      <w:r w:rsidRPr="00373406">
        <w:t xml:space="preserve">The </w:t>
      </w:r>
      <w:r w:rsidRPr="00C15889">
        <w:t xml:space="preserve">burnt offering is a type </w:t>
      </w:r>
      <w:r>
        <w:rPr>
          <w:sz w:val="22"/>
          <w:szCs w:val="22"/>
        </w:rPr>
        <w:t>of</w:t>
      </w:r>
      <w:r w:rsidRPr="00C15889">
        <w:t xml:space="preserve"> Christ, atoning and substitutional.  </w:t>
      </w:r>
    </w:p>
    <w:p w:rsidR="00975183" w:rsidRDefault="00975183" w:rsidP="00442D33">
      <w:pPr>
        <w:pStyle w:val="EndnoteText"/>
      </w:pPr>
      <w:r w:rsidRPr="00C15889">
        <w:t xml:space="preserve">The </w:t>
      </w:r>
      <w:r w:rsidRPr="00677E62">
        <w:rPr>
          <w:b/>
        </w:rPr>
        <w:t>bullock or ox</w:t>
      </w:r>
      <w:r w:rsidRPr="00C15889">
        <w:t xml:space="preserve"> typified</w:t>
      </w:r>
      <w:r w:rsidRPr="00373406">
        <w:t xml:space="preserve"> Christ as the patient and enduring servant</w:t>
      </w:r>
      <w:r>
        <w:t xml:space="preserve">. </w:t>
      </w:r>
      <w:r w:rsidRPr="00373406">
        <w:t xml:space="preserve"> (</w:t>
      </w:r>
      <w:r>
        <w:t>R</w:t>
      </w:r>
      <w:r w:rsidRPr="00373406">
        <w:t>efs 1 Cor. 9:9, 10</w:t>
      </w:r>
      <w:r>
        <w:t>;</w:t>
      </w:r>
      <w:r w:rsidRPr="00373406">
        <w:t xml:space="preserve"> Heb. 12:2, 3;</w:t>
      </w:r>
    </w:p>
    <w:p w:rsidR="00975183" w:rsidRPr="00373406" w:rsidRDefault="00975183" w:rsidP="00442D33">
      <w:pPr>
        <w:pStyle w:val="EndnoteText"/>
      </w:pPr>
      <w:r w:rsidRPr="00373406">
        <w:t xml:space="preserve">Isa. 52:13-15; Phil. 2:5-8): </w:t>
      </w:r>
    </w:p>
    <w:p w:rsidR="00975183" w:rsidRDefault="00975183" w:rsidP="00442D33">
      <w:pPr>
        <w:pStyle w:val="EndnoteText"/>
        <w:rPr>
          <w:lang w:val="en-US"/>
        </w:rPr>
      </w:pPr>
      <w:r w:rsidRPr="00373406">
        <w:rPr>
          <w:lang w:val="en-US"/>
        </w:rPr>
        <w:t xml:space="preserve">‘For it is written in the </w:t>
      </w:r>
      <w:proofErr w:type="gramStart"/>
      <w:r w:rsidRPr="00373406">
        <w:rPr>
          <w:lang w:val="en-US"/>
        </w:rPr>
        <w:t>law</w:t>
      </w:r>
      <w:proofErr w:type="gramEnd"/>
      <w:r w:rsidRPr="00373406">
        <w:rPr>
          <w:lang w:val="en-US"/>
        </w:rPr>
        <w:t xml:space="preserve"> of Moses, Thou shalt not muzzle the mouth of the ox that treadeth out the corn. Doth God take care for oxen? </w:t>
      </w:r>
      <w:r w:rsidRPr="00373406">
        <w:rPr>
          <w:vertAlign w:val="superscript"/>
          <w:lang w:val="en-US"/>
        </w:rPr>
        <w:t>10</w:t>
      </w:r>
      <w:r w:rsidRPr="00373406">
        <w:rPr>
          <w:lang w:val="en-US"/>
        </w:rPr>
        <w:t xml:space="preserve">Or saith </w:t>
      </w:r>
      <w:proofErr w:type="gramStart"/>
      <w:r w:rsidRPr="00373406">
        <w:rPr>
          <w:lang w:val="en-US"/>
        </w:rPr>
        <w:t>he</w:t>
      </w:r>
      <w:proofErr w:type="gramEnd"/>
      <w:r w:rsidRPr="00373406">
        <w:rPr>
          <w:lang w:val="en-US"/>
        </w:rPr>
        <w:t xml:space="preserve"> </w:t>
      </w:r>
      <w:r w:rsidRPr="00373406">
        <w:rPr>
          <w:i/>
          <w:iCs/>
          <w:lang w:val="en-US"/>
        </w:rPr>
        <w:t>it</w:t>
      </w:r>
      <w:r w:rsidRPr="00373406">
        <w:rPr>
          <w:lang w:val="en-US"/>
        </w:rPr>
        <w:t xml:space="preserve"> altogether for our sakes? For our sakes, no doubt, </w:t>
      </w:r>
      <w:r w:rsidRPr="00373406">
        <w:rPr>
          <w:i/>
          <w:iCs/>
          <w:lang w:val="en-US"/>
        </w:rPr>
        <w:t>this</w:t>
      </w:r>
      <w:r w:rsidRPr="00373406">
        <w:rPr>
          <w:lang w:val="en-US"/>
        </w:rPr>
        <w:t xml:space="preserve"> is written: that he that plougheth should plough in hope; and that he that thresheth in hope should be partaker of his hope.’  </w:t>
      </w:r>
    </w:p>
    <w:p w:rsidR="00975183" w:rsidRPr="00373406" w:rsidRDefault="00975183" w:rsidP="00442D33">
      <w:pPr>
        <w:pStyle w:val="EndnoteText"/>
      </w:pPr>
      <w:r w:rsidRPr="00373406">
        <w:rPr>
          <w:lang w:val="en-US"/>
        </w:rPr>
        <w:t xml:space="preserve">1 Cor. 9:9, 10, </w:t>
      </w:r>
      <w:r w:rsidRPr="00373406">
        <w:rPr>
          <w:i/>
          <w:lang w:val="en-US"/>
        </w:rPr>
        <w:t>KJV</w:t>
      </w:r>
      <w:r w:rsidRPr="00373406">
        <w:rPr>
          <w:lang w:val="en-US"/>
        </w:rPr>
        <w:t>;</w:t>
      </w:r>
    </w:p>
    <w:p w:rsidR="00975183" w:rsidRDefault="00975183" w:rsidP="00442D33">
      <w:pPr>
        <w:pStyle w:val="EndnoteText"/>
        <w:spacing w:after="40"/>
        <w:rPr>
          <w:lang w:val="en-US"/>
        </w:rPr>
      </w:pPr>
      <w:r w:rsidRPr="00373406">
        <w:t>‘</w:t>
      </w:r>
      <w:r w:rsidRPr="00373406">
        <w:rPr>
          <w:lang w:val="en-US"/>
        </w:rPr>
        <w:t xml:space="preserve">Looking unto Jesus the author and finisher of </w:t>
      </w:r>
      <w:r w:rsidRPr="00373406">
        <w:rPr>
          <w:i/>
          <w:iCs/>
          <w:lang w:val="en-US"/>
        </w:rPr>
        <w:t>our</w:t>
      </w:r>
      <w:r w:rsidRPr="00373406">
        <w:rPr>
          <w:lang w:val="en-US"/>
        </w:rPr>
        <w:t xml:space="preserve"> faith; who for the joy that was set before him endured the cross, despising the shame, and is set down at the right hand of the throne of God. </w:t>
      </w:r>
      <w:r w:rsidRPr="00373406">
        <w:rPr>
          <w:vertAlign w:val="superscript"/>
          <w:lang w:val="en-US"/>
        </w:rPr>
        <w:t>3</w:t>
      </w:r>
      <w:r w:rsidRPr="00373406">
        <w:rPr>
          <w:lang w:val="en-US"/>
        </w:rPr>
        <w:t xml:space="preserve">For consider him that endured such contradiction of sinners against himself, lest ye be wearied and faint in your minds.’  Heb. 12:2, 3,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 xml:space="preserve">‘Behold, my servant shall deal prudently, he shall be exalted and extolled, and be very high. </w:t>
      </w:r>
      <w:r w:rsidRPr="00373406">
        <w:rPr>
          <w:vertAlign w:val="superscript"/>
          <w:lang w:val="en-US"/>
        </w:rPr>
        <w:t>14</w:t>
      </w:r>
      <w:r w:rsidRPr="00373406">
        <w:rPr>
          <w:lang w:val="en-US"/>
        </w:rPr>
        <w:t xml:space="preserve">As many were astonied at thee; his visage was so marred more than any man, and his form more than the sons of men: </w:t>
      </w:r>
      <w:r w:rsidRPr="00373406">
        <w:rPr>
          <w:vertAlign w:val="superscript"/>
          <w:lang w:val="en-US"/>
        </w:rPr>
        <w:t>15</w:t>
      </w:r>
      <w:r w:rsidRPr="00373406">
        <w:rPr>
          <w:lang w:val="en-US"/>
        </w:rPr>
        <w:t xml:space="preserve">So shall he sprinkle many nations; the kings shall shut their mouths at him: for </w:t>
      </w:r>
      <w:r w:rsidRPr="00373406">
        <w:rPr>
          <w:i/>
          <w:iCs/>
          <w:lang w:val="en-US"/>
        </w:rPr>
        <w:t>that</w:t>
      </w:r>
      <w:r w:rsidRPr="00373406">
        <w:rPr>
          <w:lang w:val="en-US"/>
        </w:rPr>
        <w:t xml:space="preserve"> which had not been told them shall they see; and </w:t>
      </w:r>
      <w:r w:rsidRPr="00373406">
        <w:rPr>
          <w:i/>
          <w:iCs/>
          <w:lang w:val="en-US"/>
        </w:rPr>
        <w:t>that</w:t>
      </w:r>
      <w:r w:rsidRPr="00373406">
        <w:rPr>
          <w:lang w:val="en-US"/>
        </w:rPr>
        <w:t xml:space="preserve"> which they had not heard shall they consider.’  Isa. 52:13-15, </w:t>
      </w:r>
      <w:r w:rsidRPr="00373406">
        <w:rPr>
          <w:i/>
          <w:lang w:val="en-US"/>
        </w:rPr>
        <w:t>KJV</w:t>
      </w:r>
      <w:r w:rsidRPr="00373406">
        <w:rPr>
          <w:lang w:val="en-US"/>
        </w:rPr>
        <w:t>;</w:t>
      </w:r>
    </w:p>
    <w:p w:rsidR="00975183" w:rsidRPr="00373406" w:rsidRDefault="00975183" w:rsidP="00442D33">
      <w:pPr>
        <w:pStyle w:val="EndnoteText"/>
      </w:pPr>
      <w:r w:rsidRPr="00373406">
        <w:rPr>
          <w:lang w:val="en-US"/>
        </w:rPr>
        <w:t xml:space="preserve">‘Let this mind be in you, which was also in Christ Jesus: </w:t>
      </w:r>
      <w:r w:rsidRPr="00373406">
        <w:rPr>
          <w:vertAlign w:val="superscript"/>
          <w:lang w:val="en-US"/>
        </w:rPr>
        <w:t>6</w:t>
      </w:r>
      <w:r w:rsidRPr="00373406">
        <w:rPr>
          <w:lang w:val="en-US"/>
        </w:rPr>
        <w:t xml:space="preserve">Who, being in the form of God, thought it not robbery to be equal with God: </w:t>
      </w:r>
      <w:r w:rsidRPr="00373406">
        <w:rPr>
          <w:vertAlign w:val="superscript"/>
          <w:lang w:val="en-US"/>
        </w:rPr>
        <w:t>7</w:t>
      </w:r>
      <w:r w:rsidRPr="00373406">
        <w:rPr>
          <w:lang w:val="en-US"/>
        </w:rPr>
        <w:t xml:space="preserve">But made himself of no reputation, and took upon him the form of a servant, and was made in the likeness of men: </w:t>
      </w:r>
      <w:r w:rsidRPr="00373406">
        <w:rPr>
          <w:vertAlign w:val="superscript"/>
          <w:lang w:val="en-US"/>
        </w:rPr>
        <w:t>8</w:t>
      </w:r>
      <w:r w:rsidRPr="00373406">
        <w:rPr>
          <w:lang w:val="en-US"/>
        </w:rPr>
        <w:t xml:space="preserve">And being found in fashion as a man, he humbled himself, and became obedient unto death, even the death of the cross.’  Phil. 2:5-8, </w:t>
      </w:r>
      <w:r w:rsidRPr="00373406">
        <w:rPr>
          <w:i/>
          <w:lang w:val="en-US"/>
        </w:rPr>
        <w:t>KJV</w:t>
      </w:r>
      <w:r w:rsidRPr="00373406">
        <w:rPr>
          <w:lang w:val="en-US"/>
        </w:rPr>
        <w:t>.</w:t>
      </w:r>
    </w:p>
    <w:p w:rsidR="00975183" w:rsidRPr="00373406" w:rsidRDefault="00975183" w:rsidP="00442D33">
      <w:pPr>
        <w:pStyle w:val="EndnoteText"/>
      </w:pPr>
      <w:r w:rsidRPr="00373406">
        <w:t xml:space="preserve">The </w:t>
      </w:r>
      <w:r w:rsidRPr="00E24F24">
        <w:rPr>
          <w:b/>
        </w:rPr>
        <w:t>sheep</w:t>
      </w:r>
      <w:r w:rsidRPr="00373406">
        <w:t xml:space="preserve"> typified his unresisting surrender to death on the cross (refs Isa. 53:7; Acts 8:32-5): </w:t>
      </w:r>
    </w:p>
    <w:p w:rsidR="00975183" w:rsidRPr="00373406" w:rsidRDefault="00975183" w:rsidP="00442D33">
      <w:pPr>
        <w:pStyle w:val="EndnoteText"/>
        <w:rPr>
          <w:lang w:val="en-US"/>
        </w:rPr>
      </w:pPr>
      <w:r w:rsidRPr="00373406">
        <w:t>‘</w:t>
      </w:r>
      <w:r w:rsidRPr="00373406">
        <w:rPr>
          <w:lang w:val="en-US"/>
        </w:rPr>
        <w:t xml:space="preserve">He was oppressed, and he was afflicted, yet he opened not his mouth: he is brought as a lamb to the slaughter, and as a sheep before her shearers is dumb, so he openeth not his mouth.’  Isa. 53:7, </w:t>
      </w:r>
      <w:r w:rsidRPr="00373406">
        <w:rPr>
          <w:i/>
          <w:lang w:val="en-US"/>
        </w:rPr>
        <w:t>KJV</w:t>
      </w:r>
      <w:r w:rsidRPr="00373406">
        <w:rPr>
          <w:lang w:val="en-US"/>
        </w:rPr>
        <w:t>;</w:t>
      </w:r>
    </w:p>
    <w:p w:rsidR="00975183" w:rsidRPr="00373406" w:rsidRDefault="00975183" w:rsidP="00442D33">
      <w:pPr>
        <w:pStyle w:val="EndnoteText"/>
      </w:pPr>
      <w:r w:rsidRPr="00373406">
        <w:rPr>
          <w:lang w:val="en-US"/>
        </w:rPr>
        <w:t xml:space="preserve">‘The place of the scripture which he read was this, He was led as a sheep to the slaughter; and like a lamb dumb before his shearer, so opened he not his mouth: </w:t>
      </w:r>
      <w:r w:rsidRPr="00373406">
        <w:rPr>
          <w:vertAlign w:val="superscript"/>
          <w:lang w:val="en-US"/>
        </w:rPr>
        <w:t>33</w:t>
      </w:r>
      <w:r w:rsidRPr="00373406">
        <w:rPr>
          <w:lang w:val="en-US"/>
        </w:rPr>
        <w:t xml:space="preserve">In his humiliation his judgment was taken away: and who shall declare his generation? </w:t>
      </w:r>
      <w:proofErr w:type="gramStart"/>
      <w:r w:rsidRPr="00373406">
        <w:rPr>
          <w:lang w:val="en-US"/>
        </w:rPr>
        <w:t>for</w:t>
      </w:r>
      <w:proofErr w:type="gramEnd"/>
      <w:r w:rsidRPr="00373406">
        <w:rPr>
          <w:lang w:val="en-US"/>
        </w:rPr>
        <w:t xml:space="preserve"> his life is taken from the earth. </w:t>
      </w:r>
      <w:r w:rsidRPr="00373406">
        <w:rPr>
          <w:vertAlign w:val="superscript"/>
          <w:lang w:val="en-US"/>
        </w:rPr>
        <w:t>34</w:t>
      </w:r>
      <w:r w:rsidRPr="00373406">
        <w:rPr>
          <w:lang w:val="en-US"/>
        </w:rPr>
        <w:t xml:space="preserve">And the eunuch answered Philip, and said, I pray thee, of whom speaketh the prophet this? </w:t>
      </w:r>
      <w:proofErr w:type="gramStart"/>
      <w:r w:rsidRPr="00373406">
        <w:rPr>
          <w:lang w:val="en-US"/>
        </w:rPr>
        <w:t>of</w:t>
      </w:r>
      <w:proofErr w:type="gramEnd"/>
      <w:r w:rsidRPr="00373406">
        <w:rPr>
          <w:lang w:val="en-US"/>
        </w:rPr>
        <w:t xml:space="preserve"> himself, or of some other man? </w:t>
      </w:r>
      <w:r w:rsidRPr="00373406">
        <w:rPr>
          <w:vertAlign w:val="superscript"/>
          <w:lang w:val="en-US"/>
        </w:rPr>
        <w:t>35</w:t>
      </w:r>
      <w:r w:rsidRPr="00373406">
        <w:rPr>
          <w:lang w:val="en-US"/>
        </w:rPr>
        <w:t xml:space="preserve">Then Philip opened his mouth, and began at the same scripture, and preached unto him Jesus.’  Acts 8:32-5, </w:t>
      </w:r>
      <w:r w:rsidRPr="00373406">
        <w:rPr>
          <w:i/>
          <w:lang w:val="en-US"/>
        </w:rPr>
        <w:t>KJV</w:t>
      </w:r>
      <w:r w:rsidRPr="00373406">
        <w:rPr>
          <w:lang w:val="en-US"/>
        </w:rPr>
        <w:t>.</w:t>
      </w:r>
    </w:p>
    <w:p w:rsidR="00975183" w:rsidRPr="00373406" w:rsidRDefault="00975183" w:rsidP="00442D33">
      <w:pPr>
        <w:pStyle w:val="EndnoteText"/>
      </w:pPr>
      <w:r w:rsidRPr="00373406">
        <w:t xml:space="preserve">The </w:t>
      </w:r>
      <w:r w:rsidRPr="00E24F24">
        <w:rPr>
          <w:b/>
        </w:rPr>
        <w:t>goat</w:t>
      </w:r>
      <w:r w:rsidRPr="00373406">
        <w:t xml:space="preserve"> typified Christ’s role as the sinner’s substitute (refs Isa. 53:12; Lk. 23:33; Gal. 3:13; 2 Cor. 5:21):</w:t>
      </w:r>
    </w:p>
    <w:p w:rsidR="00975183" w:rsidRPr="00373406" w:rsidRDefault="00975183" w:rsidP="00442D33">
      <w:pPr>
        <w:autoSpaceDE w:val="0"/>
        <w:autoSpaceDN w:val="0"/>
        <w:adjustRightInd w:val="0"/>
        <w:spacing w:after="0" w:line="240" w:lineRule="auto"/>
        <w:rPr>
          <w:lang w:val="en-US"/>
        </w:rPr>
      </w:pPr>
      <w:r w:rsidRPr="00373406">
        <w:t>‘</w:t>
      </w:r>
      <w:r w:rsidRPr="00373406">
        <w:rPr>
          <w:lang w:val="en-US"/>
        </w:rPr>
        <w:t xml:space="preserve">Therefore will I divide him </w:t>
      </w:r>
      <w:r w:rsidRPr="00373406">
        <w:rPr>
          <w:i/>
          <w:iCs/>
          <w:lang w:val="en-US"/>
        </w:rPr>
        <w:t>a portion</w:t>
      </w:r>
      <w:r w:rsidRPr="00373406">
        <w:rPr>
          <w:lang w:val="en-US"/>
        </w:rPr>
        <w:t xml:space="preserve"> with the great, and he shall divide the spoil with the strong; because he hath poured out his soul unto death: and he was numbered with the transgressors; and he </w:t>
      </w:r>
      <w:proofErr w:type="gramStart"/>
      <w:r w:rsidRPr="00373406">
        <w:rPr>
          <w:lang w:val="en-US"/>
        </w:rPr>
        <w:t>bare</w:t>
      </w:r>
      <w:proofErr w:type="gramEnd"/>
      <w:r w:rsidRPr="00373406">
        <w:rPr>
          <w:lang w:val="en-US"/>
        </w:rPr>
        <w:t xml:space="preserve"> the sin of many, and made intercession for the transgressors.’  Isa. 53:12, </w:t>
      </w:r>
      <w:r w:rsidRPr="003A0F58">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 xml:space="preserve">‘And when they were come to the place, which is called Calvary, there they crucified him, and the malefactors, one on the right hand, and the other on the left.’  Lk. 12:33, </w:t>
      </w:r>
      <w:r w:rsidRPr="003A0F58">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 xml:space="preserve">‘Christ hath redeemed us from the curse of the law, being made a curse for us: for it is written, Cursed </w:t>
      </w:r>
      <w:r w:rsidRPr="00373406">
        <w:rPr>
          <w:i/>
          <w:iCs/>
          <w:lang w:val="en-US"/>
        </w:rPr>
        <w:t>is</w:t>
      </w:r>
      <w:r w:rsidRPr="00373406">
        <w:rPr>
          <w:lang w:val="en-US"/>
        </w:rPr>
        <w:t xml:space="preserve"> every one that hangeth on a tree:’  Gal. 3:13,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 xml:space="preserve">‘For he hath made him </w:t>
      </w:r>
      <w:r w:rsidRPr="00373406">
        <w:rPr>
          <w:i/>
          <w:iCs/>
          <w:lang w:val="en-US"/>
        </w:rPr>
        <w:t>to be</w:t>
      </w:r>
      <w:r w:rsidRPr="00373406">
        <w:rPr>
          <w:lang w:val="en-US"/>
        </w:rPr>
        <w:t xml:space="preserve"> sin for us, who knew no sin; that we might be made the righteousness of God in him.’  2 Cor. 5:21, </w:t>
      </w:r>
      <w:r w:rsidRPr="00373406">
        <w:rPr>
          <w:i/>
          <w:lang w:val="en-US"/>
        </w:rPr>
        <w:t>KJV</w:t>
      </w:r>
      <w:r w:rsidRPr="00373406">
        <w:rPr>
          <w:lang w:val="en-US"/>
        </w:rPr>
        <w:t>.</w:t>
      </w:r>
    </w:p>
    <w:p w:rsidR="00975183" w:rsidRPr="00373406" w:rsidRDefault="00975183" w:rsidP="00442D33">
      <w:pPr>
        <w:pStyle w:val="EndnoteText"/>
      </w:pPr>
      <w:r w:rsidRPr="00373406">
        <w:t xml:space="preserve">All these animals are held to be types but the </w:t>
      </w:r>
      <w:r w:rsidRPr="00E24F24">
        <w:rPr>
          <w:b/>
        </w:rPr>
        <w:t>turtle-dove or pigeon</w:t>
      </w:r>
      <w:r w:rsidRPr="00373406">
        <w:t xml:space="preserve"> only ‘speaks of’ his poverty (refs Isa. 38:14; 59:11; Mt. 23:37; Heb. 7:26; Lev. 5:7; Lk. 9:58; 2 Cor. 8:9; Phil. 2:6-8).  </w:t>
      </w:r>
    </w:p>
    <w:p w:rsidR="00975183" w:rsidRPr="00373406" w:rsidRDefault="00975183" w:rsidP="00442D33">
      <w:pPr>
        <w:pStyle w:val="EndnoteText"/>
        <w:rPr>
          <w:lang w:val="en-US"/>
        </w:rPr>
      </w:pPr>
      <w:r w:rsidRPr="00373406">
        <w:t>‘</w:t>
      </w:r>
      <w:r w:rsidRPr="00373406">
        <w:rPr>
          <w:lang w:val="en-US"/>
        </w:rPr>
        <w:t xml:space="preserve">Like a crane </w:t>
      </w:r>
      <w:r w:rsidRPr="00373406">
        <w:rPr>
          <w:i/>
          <w:iCs/>
          <w:lang w:val="en-US"/>
        </w:rPr>
        <w:t>or</w:t>
      </w:r>
      <w:r w:rsidRPr="00373406">
        <w:rPr>
          <w:lang w:val="en-US"/>
        </w:rPr>
        <w:t xml:space="preserve"> a swallow, so did I chatter: I did mourn as a dove: mine eyes fail </w:t>
      </w:r>
      <w:r w:rsidRPr="00373406">
        <w:rPr>
          <w:i/>
          <w:iCs/>
          <w:lang w:val="en-US"/>
        </w:rPr>
        <w:t>with looking</w:t>
      </w:r>
      <w:r w:rsidRPr="00373406">
        <w:rPr>
          <w:lang w:val="en-US"/>
        </w:rPr>
        <w:t xml:space="preserve"> upward: O LORD, I am oppressed; undertake for me.’  Isa. 38:14, </w:t>
      </w:r>
      <w:r w:rsidRPr="00373406">
        <w:rPr>
          <w:i/>
          <w:lang w:val="en-US"/>
        </w:rPr>
        <w:t>KJV</w:t>
      </w:r>
      <w:r w:rsidRPr="00373406">
        <w:rPr>
          <w:lang w:val="en-US"/>
        </w:rPr>
        <w:t>;</w:t>
      </w:r>
    </w:p>
    <w:p w:rsidR="00975183" w:rsidRPr="00373406" w:rsidRDefault="00975183" w:rsidP="00442D33">
      <w:pPr>
        <w:pStyle w:val="EndnoteText"/>
        <w:rPr>
          <w:lang w:val="en-US"/>
        </w:rPr>
      </w:pPr>
      <w:r w:rsidRPr="00373406">
        <w:rPr>
          <w:lang w:val="en-US"/>
        </w:rPr>
        <w:t xml:space="preserve">‘We roar all like bears, and mourn sore like doves: we look for judgment, but </w:t>
      </w:r>
      <w:r w:rsidRPr="00373406">
        <w:rPr>
          <w:i/>
          <w:iCs/>
          <w:lang w:val="en-US"/>
        </w:rPr>
        <w:t>there is</w:t>
      </w:r>
      <w:r w:rsidRPr="00373406">
        <w:rPr>
          <w:lang w:val="en-US"/>
        </w:rPr>
        <w:t xml:space="preserve"> none; for salvation, </w:t>
      </w:r>
      <w:r w:rsidRPr="00373406">
        <w:rPr>
          <w:i/>
          <w:iCs/>
          <w:lang w:val="en-US"/>
        </w:rPr>
        <w:t>but</w:t>
      </w:r>
      <w:r w:rsidRPr="00373406">
        <w:rPr>
          <w:lang w:val="en-US"/>
        </w:rPr>
        <w:t xml:space="preserve"> it is far off from us.’  Isa. 59:11, </w:t>
      </w:r>
      <w:r w:rsidRPr="00373406">
        <w:rPr>
          <w:i/>
          <w:lang w:val="en-US"/>
        </w:rPr>
        <w:t>KJV</w:t>
      </w:r>
      <w:r w:rsidRPr="00373406">
        <w:rPr>
          <w:lang w:val="en-US"/>
        </w:rPr>
        <w:t>;</w:t>
      </w:r>
    </w:p>
    <w:p w:rsidR="00975183" w:rsidRDefault="00975183" w:rsidP="00442D33">
      <w:pPr>
        <w:pStyle w:val="EndnoteText"/>
        <w:rPr>
          <w:lang w:val="en-US"/>
        </w:rPr>
      </w:pPr>
      <w:r w:rsidRPr="00373406">
        <w:rPr>
          <w:lang w:val="en-US"/>
        </w:rPr>
        <w:t xml:space="preserve">‘O Jerusalem, Jerusalem, </w:t>
      </w:r>
      <w:r w:rsidRPr="00373406">
        <w:rPr>
          <w:i/>
          <w:iCs/>
          <w:lang w:val="en-US"/>
        </w:rPr>
        <w:t>thou</w:t>
      </w:r>
      <w:r w:rsidRPr="00373406">
        <w:rPr>
          <w:lang w:val="en-US"/>
        </w:rPr>
        <w:t xml:space="preserve"> that killest the prophets, and stonest them which are sent unto thee, how often would I have gathered thy children together, even as a hen gathereth her chickens under </w:t>
      </w:r>
      <w:r w:rsidRPr="00373406">
        <w:rPr>
          <w:i/>
          <w:iCs/>
          <w:lang w:val="en-US"/>
        </w:rPr>
        <w:t>her</w:t>
      </w:r>
      <w:r w:rsidRPr="00373406">
        <w:rPr>
          <w:lang w:val="en-US"/>
        </w:rPr>
        <w:t xml:space="preserve"> wings, and ye would not!’  </w:t>
      </w:r>
    </w:p>
    <w:p w:rsidR="00975183" w:rsidRPr="00373406" w:rsidRDefault="00975183" w:rsidP="00442D33">
      <w:pPr>
        <w:pStyle w:val="EndnoteText"/>
        <w:rPr>
          <w:lang w:val="en-US"/>
        </w:rPr>
      </w:pPr>
      <w:r w:rsidRPr="00373406">
        <w:rPr>
          <w:lang w:val="en-US"/>
        </w:rPr>
        <w:t xml:space="preserve">Mt. 23:37, </w:t>
      </w:r>
      <w:r w:rsidRPr="00373406">
        <w:rPr>
          <w:i/>
          <w:lang w:val="en-US"/>
        </w:rPr>
        <w:t>KJV</w:t>
      </w:r>
      <w:r w:rsidRPr="00373406">
        <w:rPr>
          <w:lang w:val="en-US"/>
        </w:rPr>
        <w:t>;</w:t>
      </w:r>
    </w:p>
    <w:p w:rsidR="00975183" w:rsidRPr="00373406" w:rsidRDefault="00975183" w:rsidP="00442D33">
      <w:pPr>
        <w:pStyle w:val="EndnoteText"/>
        <w:rPr>
          <w:lang w:val="en-US"/>
        </w:rPr>
      </w:pPr>
      <w:r w:rsidRPr="00373406">
        <w:rPr>
          <w:lang w:val="en-US"/>
        </w:rPr>
        <w:t xml:space="preserve">‘And if he be not able to bring a lamb, then he shall bring for his trespass, which he hath committed, two turtledoves, or two young pigeons, unto the LORD; one for a sin offering, and the other for a burnt offering.’  Lev. 5:7, </w:t>
      </w:r>
      <w:r w:rsidRPr="00373406">
        <w:rPr>
          <w:i/>
          <w:lang w:val="en-US"/>
        </w:rPr>
        <w:t>KJV</w:t>
      </w:r>
      <w:r w:rsidRPr="00373406">
        <w:rPr>
          <w:lang w:val="en-US"/>
        </w:rPr>
        <w:t>;</w:t>
      </w:r>
    </w:p>
    <w:p w:rsidR="00975183" w:rsidRPr="00373406" w:rsidRDefault="00975183" w:rsidP="00442D33">
      <w:pPr>
        <w:pStyle w:val="EndnoteText"/>
        <w:rPr>
          <w:lang w:val="en-US"/>
        </w:rPr>
      </w:pPr>
      <w:r w:rsidRPr="00373406">
        <w:rPr>
          <w:lang w:val="en-US"/>
        </w:rPr>
        <w:t xml:space="preserve">‘And Jesus said unto him, Foxes have holes, and birds of the air </w:t>
      </w:r>
      <w:r w:rsidRPr="00373406">
        <w:rPr>
          <w:i/>
          <w:iCs/>
          <w:lang w:val="en-US"/>
        </w:rPr>
        <w:t>have</w:t>
      </w:r>
      <w:r w:rsidRPr="00373406">
        <w:rPr>
          <w:lang w:val="en-US"/>
        </w:rPr>
        <w:t xml:space="preserve"> nests; but the Son of man hath not where to lay </w:t>
      </w:r>
      <w:r w:rsidRPr="00373406">
        <w:rPr>
          <w:i/>
          <w:iCs/>
          <w:lang w:val="en-US"/>
        </w:rPr>
        <w:t>his</w:t>
      </w:r>
      <w:r w:rsidRPr="00373406">
        <w:rPr>
          <w:lang w:val="en-US"/>
        </w:rPr>
        <w:t xml:space="preserve"> head.’  Lk. 9:58, </w:t>
      </w:r>
      <w:r w:rsidRPr="00373406">
        <w:rPr>
          <w:i/>
          <w:lang w:val="en-US"/>
        </w:rPr>
        <w:t>KJV</w:t>
      </w:r>
      <w:r w:rsidRPr="00373406">
        <w:rPr>
          <w:lang w:val="en-US"/>
        </w:rPr>
        <w:t>;</w:t>
      </w:r>
    </w:p>
    <w:p w:rsidR="00975183" w:rsidRPr="00373406" w:rsidRDefault="00975183" w:rsidP="00442D33">
      <w:pPr>
        <w:pStyle w:val="EndnoteText"/>
        <w:rPr>
          <w:lang w:val="en-US"/>
        </w:rPr>
      </w:pPr>
      <w:r w:rsidRPr="00373406">
        <w:rPr>
          <w:lang w:val="en-US"/>
        </w:rPr>
        <w:t>‘For ye know the grace of our Lord Jesus Christ, that, though he was rich, yet for your sakes he became poor, that ye through his poverty might be rich.’  2 Cor. 8:9</w:t>
      </w:r>
      <w:r>
        <w:rPr>
          <w:lang w:val="en-US"/>
        </w:rPr>
        <w:t xml:space="preserve">, </w:t>
      </w:r>
      <w:r w:rsidRPr="003A0F58">
        <w:rPr>
          <w:i/>
          <w:lang w:val="en-US"/>
        </w:rPr>
        <w:t>KJV</w:t>
      </w:r>
      <w:r w:rsidRPr="00373406">
        <w:rPr>
          <w:lang w:val="en-US"/>
        </w:rPr>
        <w:t>;</w:t>
      </w:r>
    </w:p>
    <w:p w:rsidR="00975183" w:rsidRPr="00373406" w:rsidRDefault="00975183" w:rsidP="00442D33">
      <w:pPr>
        <w:pStyle w:val="EndnoteText"/>
      </w:pPr>
      <w:r w:rsidRPr="00373406">
        <w:rPr>
          <w:lang w:val="en-US"/>
        </w:rPr>
        <w:t xml:space="preserve">‘Who, being in the form of God, thought it not robbery to be equal with God: </w:t>
      </w:r>
      <w:r w:rsidRPr="00373406">
        <w:rPr>
          <w:vertAlign w:val="superscript"/>
          <w:lang w:val="en-US"/>
        </w:rPr>
        <w:t>7</w:t>
      </w:r>
      <w:r w:rsidRPr="00373406">
        <w:rPr>
          <w:lang w:val="en-US"/>
        </w:rPr>
        <w:t xml:space="preserve">But made himself of no reputation, and took upon him the form of a servant, and was made in the likeness of men: </w:t>
      </w:r>
      <w:r w:rsidRPr="00373406">
        <w:rPr>
          <w:vertAlign w:val="superscript"/>
          <w:lang w:val="en-US"/>
        </w:rPr>
        <w:t>8</w:t>
      </w:r>
      <w:r w:rsidRPr="00373406">
        <w:rPr>
          <w:lang w:val="en-US"/>
        </w:rPr>
        <w:t xml:space="preserve">And being found in fashion as a man, he humbled himself, and became obedient unto death, even the death of the cross.’  Phil. 2:6-8, </w:t>
      </w:r>
      <w:r w:rsidRPr="00373406">
        <w:rPr>
          <w:i/>
          <w:lang w:val="en-US"/>
        </w:rPr>
        <w:t>KJV</w:t>
      </w:r>
    </w:p>
  </w:endnote>
  <w:endnote w:id="690">
    <w:p w:rsidR="00975183" w:rsidRDefault="00975183" w:rsidP="00442D33">
      <w:pPr>
        <w:pStyle w:val="FootnoteText"/>
      </w:pPr>
      <w:r w:rsidRPr="00DD252A">
        <w:rPr>
          <w:rStyle w:val="FootnoteReference"/>
          <w:rFonts w:ascii="Perpetua" w:hAnsi="Perpetua"/>
        </w:rPr>
        <w:endnoteRef/>
      </w:r>
      <w:r w:rsidRPr="00DD252A">
        <w:rPr>
          <w:rFonts w:ascii="Perpetua" w:hAnsi="Perpetua"/>
        </w:rPr>
        <w:t xml:space="preserve"> </w:t>
      </w:r>
      <w:r w:rsidRPr="00DD252A">
        <w:rPr>
          <w:rFonts w:ascii="Perpetua" w:hAnsi="Perpetua"/>
          <w:i/>
        </w:rPr>
        <w:t>SRB</w:t>
      </w:r>
      <w:r w:rsidRPr="00DD252A">
        <w:rPr>
          <w:rFonts w:ascii="Perpetua" w:hAnsi="Perpetua"/>
        </w:rPr>
        <w:t xml:space="preserve"> </w:t>
      </w:r>
      <w:r>
        <w:rPr>
          <w:rFonts w:ascii="Perpetua" w:hAnsi="Perpetua"/>
        </w:rPr>
        <w:t>s</w:t>
      </w:r>
      <w:r w:rsidRPr="00DD252A">
        <w:rPr>
          <w:rFonts w:ascii="Perpetua" w:hAnsi="Perpetua"/>
        </w:rPr>
        <w:t>ubhead to Lev. 22:17, p. 155.  Ref. Heb. 9:14, ‘</w:t>
      </w:r>
      <w:r w:rsidRPr="00DD252A">
        <w:rPr>
          <w:rFonts w:ascii="Perpetua" w:eastAsiaTheme="minorHAnsi" w:hAnsi="Perpetua"/>
          <w:lang w:val="en-US"/>
        </w:rPr>
        <w:t xml:space="preserve">How much more shall the blood of Christ, who through the eternal Spirit offered himself without spot to God, purge your conscience from dead works to serve the living God?’  Heb. 9:14, </w:t>
      </w:r>
      <w:r w:rsidRPr="00DD252A">
        <w:rPr>
          <w:rFonts w:ascii="Perpetua" w:eastAsiaTheme="minorHAnsi" w:hAnsi="Perpetua"/>
          <w:i/>
          <w:lang w:val="en-US"/>
        </w:rPr>
        <w:t>KJV</w:t>
      </w:r>
      <w:r w:rsidRPr="00DD252A">
        <w:rPr>
          <w:rFonts w:ascii="Perpetua" w:eastAsiaTheme="minorHAnsi" w:hAnsi="Perpetua"/>
          <w:lang w:val="en-US"/>
        </w:rPr>
        <w:t xml:space="preserve">.  </w:t>
      </w:r>
      <w:r w:rsidRPr="00DD252A">
        <w:rPr>
          <w:rFonts w:ascii="Perpetua" w:hAnsi="Perpetua"/>
          <w:i/>
        </w:rPr>
        <w:t>SRB</w:t>
      </w:r>
      <w:r w:rsidRPr="00DD252A">
        <w:rPr>
          <w:rFonts w:ascii="Perpetua" w:hAnsi="Perpetua"/>
        </w:rPr>
        <w:t xml:space="preserve"> </w:t>
      </w:r>
      <w:r>
        <w:rPr>
          <w:rFonts w:ascii="Perpetua" w:hAnsi="Perpetua"/>
        </w:rPr>
        <w:t>n</w:t>
      </w:r>
      <w:r w:rsidRPr="00DD252A">
        <w:rPr>
          <w:rFonts w:ascii="Perpetua" w:hAnsi="Perpetua"/>
        </w:rPr>
        <w:t xml:space="preserve">ote on Lev. 1:9, p. 127.  </w:t>
      </w:r>
    </w:p>
  </w:endnote>
  <w:endnote w:id="691">
    <w:p w:rsidR="00975183" w:rsidRPr="00C80AE5" w:rsidRDefault="00975183" w:rsidP="00442D33">
      <w:pPr>
        <w:pStyle w:val="EndnoteText"/>
        <w:rPr>
          <w:b/>
        </w:rPr>
      </w:pPr>
      <w:r w:rsidRPr="003A0F58">
        <w:rPr>
          <w:rStyle w:val="EndnoteReference"/>
        </w:rPr>
        <w:endnoteRef/>
      </w:r>
      <w:r w:rsidRPr="003A0F58">
        <w:t xml:space="preserve"> </w:t>
      </w:r>
      <w:r w:rsidRPr="003A0F58">
        <w:rPr>
          <w:i/>
        </w:rPr>
        <w:t>SRB</w:t>
      </w:r>
      <w:r w:rsidRPr="003A0F58">
        <w:t xml:space="preserve"> note on Lev. 1:9, p. 127.  </w:t>
      </w:r>
      <w:proofErr w:type="gramStart"/>
      <w:r w:rsidRPr="00C80AE5">
        <w:rPr>
          <w:b/>
        </w:rPr>
        <w:t>See 8.1.3</w:t>
      </w:r>
      <w:r>
        <w:t>.</w:t>
      </w:r>
      <w:proofErr w:type="gramEnd"/>
      <w:r>
        <w:t xml:space="preserve"> </w:t>
      </w:r>
    </w:p>
  </w:endnote>
  <w:endnote w:id="692">
    <w:p w:rsidR="00975183" w:rsidRPr="003A0F58" w:rsidRDefault="00975183" w:rsidP="00442D33">
      <w:pPr>
        <w:pStyle w:val="EndnoteText"/>
      </w:pPr>
      <w:r w:rsidRPr="003A0F58">
        <w:rPr>
          <w:rStyle w:val="EndnoteReference"/>
        </w:rPr>
        <w:endnoteRef/>
      </w:r>
      <w:r w:rsidRPr="003A0F58">
        <w:t xml:space="preserve"> </w:t>
      </w:r>
      <w:r w:rsidRPr="003A0F58">
        <w:rPr>
          <w:i/>
        </w:rPr>
        <w:t>SRB</w:t>
      </w:r>
      <w:r>
        <w:t xml:space="preserve"> n</w:t>
      </w:r>
      <w:r w:rsidRPr="003A0F58">
        <w:t>ote on Lev. 3:1, p. 128</w:t>
      </w:r>
      <w:r w:rsidRPr="003A0F58">
        <w:rPr>
          <w:lang w:eastAsia="en-GB"/>
        </w:rPr>
        <w:t xml:space="preserve">. </w:t>
      </w:r>
      <w:r w:rsidRPr="003A0F58">
        <w:t xml:space="preserve"> (Refs Col. 1:20; Eph. 2:14, 17; Lev. 7:31-34; 1 Pet. 2:9; Lev. 7:11, 12):</w:t>
      </w:r>
    </w:p>
    <w:p w:rsidR="00975183" w:rsidRPr="003A0F58" w:rsidRDefault="00975183" w:rsidP="00442D33">
      <w:pPr>
        <w:pStyle w:val="EndnoteText"/>
      </w:pPr>
      <w:r w:rsidRPr="003A0F58">
        <w:t>‘</w:t>
      </w:r>
      <w:r w:rsidRPr="003A0F58">
        <w:rPr>
          <w:lang w:val="en-US"/>
        </w:rPr>
        <w:t xml:space="preserve">And, having made peace through the blood of his cross, by him to reconcile all things unto himself; by him, </w:t>
      </w:r>
      <w:r w:rsidRPr="003A0F58">
        <w:rPr>
          <w:i/>
          <w:iCs/>
          <w:lang w:val="en-US"/>
        </w:rPr>
        <w:t>I say,</w:t>
      </w:r>
      <w:r w:rsidRPr="003A0F58">
        <w:rPr>
          <w:lang w:val="en-US"/>
        </w:rPr>
        <w:t xml:space="preserve"> whether </w:t>
      </w:r>
      <w:r w:rsidRPr="003A0F58">
        <w:rPr>
          <w:i/>
          <w:iCs/>
          <w:lang w:val="en-US"/>
        </w:rPr>
        <w:t xml:space="preserve">they </w:t>
      </w:r>
      <w:proofErr w:type="gramStart"/>
      <w:r w:rsidRPr="003A0F58">
        <w:rPr>
          <w:i/>
          <w:iCs/>
          <w:lang w:val="en-US"/>
        </w:rPr>
        <w:t>be</w:t>
      </w:r>
      <w:proofErr w:type="gramEnd"/>
      <w:r w:rsidRPr="003A0F58">
        <w:rPr>
          <w:lang w:val="en-US"/>
        </w:rPr>
        <w:t xml:space="preserve"> things in earth, or things in heaven.</w:t>
      </w:r>
      <w:r w:rsidRPr="003A0F58">
        <w:t xml:space="preserve">’  Col. 1:20, </w:t>
      </w:r>
      <w:r w:rsidRPr="003A0F58">
        <w:rPr>
          <w:i/>
        </w:rPr>
        <w:t>KJV</w:t>
      </w:r>
      <w:r w:rsidRPr="003A0F58">
        <w:t>;</w:t>
      </w:r>
    </w:p>
    <w:p w:rsidR="00975183" w:rsidRPr="003A0F58" w:rsidRDefault="00975183" w:rsidP="00442D33">
      <w:pPr>
        <w:pStyle w:val="EndnoteText"/>
        <w:rPr>
          <w:b/>
          <w:i/>
        </w:rPr>
      </w:pPr>
      <w:r w:rsidRPr="003A0F58">
        <w:t>‘</w:t>
      </w:r>
      <w:r w:rsidRPr="003A0F58">
        <w:rPr>
          <w:lang w:val="en-US"/>
        </w:rPr>
        <w:t xml:space="preserve">For he is our peace, who hath made both one, and hath broken down the middle wall of partition </w:t>
      </w:r>
      <w:r w:rsidRPr="003A0F58">
        <w:rPr>
          <w:i/>
          <w:iCs/>
          <w:lang w:val="en-US"/>
        </w:rPr>
        <w:t>between us;</w:t>
      </w:r>
      <w:r w:rsidRPr="003A0F58">
        <w:t xml:space="preserve">’  Eph. 2:14, </w:t>
      </w:r>
      <w:r w:rsidRPr="003A0F58">
        <w:rPr>
          <w:i/>
        </w:rPr>
        <w:t>KJV</w:t>
      </w:r>
      <w:r w:rsidRPr="003A0F58">
        <w:t xml:space="preserve">;  </w:t>
      </w:r>
    </w:p>
    <w:p w:rsidR="00975183" w:rsidRPr="00373406" w:rsidRDefault="00975183" w:rsidP="00442D33">
      <w:pPr>
        <w:autoSpaceDE w:val="0"/>
        <w:autoSpaceDN w:val="0"/>
        <w:adjustRightInd w:val="0"/>
        <w:spacing w:after="0" w:line="240" w:lineRule="auto"/>
        <w:rPr>
          <w:lang w:val="en-US"/>
        </w:rPr>
      </w:pPr>
      <w:r w:rsidRPr="00373406">
        <w:t>‘</w:t>
      </w:r>
      <w:r w:rsidRPr="00373406">
        <w:rPr>
          <w:lang w:val="en-US"/>
        </w:rPr>
        <w:t xml:space="preserve">And the priest shall burn the fat upon the altar: but the breast shall be Aaron's and his sons'. </w:t>
      </w:r>
      <w:r w:rsidRPr="00373406">
        <w:rPr>
          <w:vertAlign w:val="superscript"/>
          <w:lang w:val="en-US"/>
        </w:rPr>
        <w:t>32</w:t>
      </w:r>
      <w:r w:rsidRPr="00373406">
        <w:rPr>
          <w:lang w:val="en-US"/>
        </w:rPr>
        <w:t xml:space="preserve">And the right shoulder shall ye give unto the priest </w:t>
      </w:r>
      <w:r w:rsidRPr="00373406">
        <w:rPr>
          <w:i/>
          <w:iCs/>
          <w:lang w:val="en-US"/>
        </w:rPr>
        <w:t>for</w:t>
      </w:r>
      <w:r w:rsidRPr="00373406">
        <w:rPr>
          <w:lang w:val="en-US"/>
        </w:rPr>
        <w:t xml:space="preserve"> </w:t>
      </w:r>
      <w:proofErr w:type="gramStart"/>
      <w:r w:rsidRPr="00373406">
        <w:rPr>
          <w:lang w:val="en-US"/>
        </w:rPr>
        <w:t>an</w:t>
      </w:r>
      <w:proofErr w:type="gramEnd"/>
      <w:r w:rsidRPr="00373406">
        <w:rPr>
          <w:lang w:val="en-US"/>
        </w:rPr>
        <w:t xml:space="preserve"> heave offering of the sacrifices of your peace offerings. </w:t>
      </w:r>
      <w:r w:rsidRPr="00373406">
        <w:rPr>
          <w:vertAlign w:val="superscript"/>
          <w:lang w:val="en-US"/>
        </w:rPr>
        <w:t>33</w:t>
      </w:r>
      <w:r w:rsidRPr="00373406">
        <w:rPr>
          <w:lang w:val="en-US"/>
        </w:rPr>
        <w:t xml:space="preserve">He among the sons of Aaron, that offereth the blood of the peace offerings, and the fat, shall have the right shoulder for </w:t>
      </w:r>
      <w:r w:rsidRPr="00373406">
        <w:rPr>
          <w:i/>
          <w:iCs/>
          <w:lang w:val="en-US"/>
        </w:rPr>
        <w:t>his</w:t>
      </w:r>
      <w:r w:rsidRPr="00373406">
        <w:rPr>
          <w:lang w:val="en-US"/>
        </w:rPr>
        <w:t xml:space="preserve"> part. </w:t>
      </w:r>
      <w:r w:rsidRPr="00373406">
        <w:rPr>
          <w:vertAlign w:val="superscript"/>
          <w:lang w:val="en-US"/>
        </w:rPr>
        <w:t>34</w:t>
      </w:r>
      <w:r w:rsidRPr="00373406">
        <w:rPr>
          <w:lang w:val="en-US"/>
        </w:rPr>
        <w:t xml:space="preserve">For the wave breast and the heave shoulder have I taken of the children of Israel from off the sacrifices of their peace offerings, and have given them unto Aaron the priest and unto his sons by a statute for ever from among the children of Israel.’  Lev. 7:31-4, </w:t>
      </w:r>
      <w:r w:rsidRPr="00373406">
        <w:rPr>
          <w:i/>
          <w:lang w:val="en-US"/>
        </w:rPr>
        <w:t>KJV</w:t>
      </w:r>
      <w:r w:rsidRPr="00373406">
        <w:rPr>
          <w:lang w:val="en-US"/>
        </w:rPr>
        <w:t>;</w:t>
      </w:r>
    </w:p>
    <w:p w:rsidR="00975183" w:rsidRPr="00373406" w:rsidRDefault="00975183" w:rsidP="00442D33">
      <w:pPr>
        <w:pStyle w:val="EndnoteText"/>
      </w:pPr>
      <w:r w:rsidRPr="00373406">
        <w:t>‘</w:t>
      </w:r>
      <w:r w:rsidRPr="00373406">
        <w:rPr>
          <w:lang w:val="en-US"/>
        </w:rPr>
        <w:t xml:space="preserve">But ye </w:t>
      </w:r>
      <w:r w:rsidRPr="00373406">
        <w:rPr>
          <w:i/>
          <w:iCs/>
          <w:lang w:val="en-US"/>
        </w:rPr>
        <w:t>are</w:t>
      </w:r>
      <w:r w:rsidRPr="00373406">
        <w:rPr>
          <w:lang w:val="en-US"/>
        </w:rPr>
        <w:t xml:space="preserve"> a chosen generation, a royal priesthood, an holy nation, a peculiar people; that ye should show forth the praises of him who hath called you out of darkness into his marvellous light:</w:t>
      </w:r>
      <w:r w:rsidRPr="00373406">
        <w:t xml:space="preserve">’  1 Pet. 2:9, </w:t>
      </w:r>
      <w:r w:rsidRPr="00373406">
        <w:rPr>
          <w:i/>
        </w:rPr>
        <w:t>KJV</w:t>
      </w:r>
      <w:r w:rsidRPr="00373406">
        <w:t>;</w:t>
      </w:r>
    </w:p>
    <w:p w:rsidR="00975183" w:rsidRPr="00373406" w:rsidRDefault="00975183" w:rsidP="00442D33">
      <w:pPr>
        <w:pStyle w:val="EndnoteText"/>
      </w:pPr>
      <w:r w:rsidRPr="00373406">
        <w:t>‘</w:t>
      </w:r>
      <w:r w:rsidRPr="00373406">
        <w:rPr>
          <w:lang w:val="en-US"/>
        </w:rPr>
        <w:t xml:space="preserve">And this </w:t>
      </w:r>
      <w:r w:rsidRPr="00373406">
        <w:rPr>
          <w:i/>
          <w:iCs/>
          <w:lang w:val="en-US"/>
        </w:rPr>
        <w:t>is</w:t>
      </w:r>
      <w:r w:rsidRPr="00373406">
        <w:rPr>
          <w:lang w:val="en-US"/>
        </w:rPr>
        <w:t xml:space="preserve"> the law of the sacrifice of peace offerings, which he shall offer unto the LORD. </w:t>
      </w:r>
      <w:r w:rsidRPr="00373406">
        <w:rPr>
          <w:vertAlign w:val="superscript"/>
          <w:lang w:val="en-US"/>
        </w:rPr>
        <w:t>12</w:t>
      </w:r>
      <w:r w:rsidRPr="00373406">
        <w:rPr>
          <w:lang w:val="en-US"/>
        </w:rPr>
        <w:t>If he offer it for a thanksgiving, then he shall offer with the sacrifice of thanksgiving unleavened cakes mingled with oil, and unleavened wafers anointed with oil, and cakes mingled with oil, of fine flour, fried.</w:t>
      </w:r>
      <w:r w:rsidRPr="00373406">
        <w:t xml:space="preserve">’  Lev. 7:11, 12, </w:t>
      </w:r>
      <w:r w:rsidRPr="00373406">
        <w:rPr>
          <w:i/>
        </w:rPr>
        <w:t>KJV</w:t>
      </w:r>
      <w:r w:rsidRPr="00373406">
        <w:t>.</w:t>
      </w:r>
    </w:p>
    <w:p w:rsidR="00975183" w:rsidRPr="00373406" w:rsidRDefault="00975183" w:rsidP="00442D33">
      <w:pPr>
        <w:pStyle w:val="EndnoteText"/>
      </w:pPr>
      <w:r w:rsidRPr="00373406">
        <w:t xml:space="preserve">Note on Lev. 7:13, p. 134; </w:t>
      </w:r>
      <w:r>
        <w:t>r</w:t>
      </w:r>
      <w:r w:rsidRPr="00373406">
        <w:t>ef.</w:t>
      </w:r>
      <w:r>
        <w:t xml:space="preserve"> </w:t>
      </w:r>
      <w:r w:rsidRPr="00373406">
        <w:t>Eph. 2:13:</w:t>
      </w:r>
    </w:p>
    <w:p w:rsidR="00975183" w:rsidRPr="00373406" w:rsidRDefault="00975183" w:rsidP="00442D33">
      <w:pPr>
        <w:pStyle w:val="EndnoteText"/>
      </w:pPr>
      <w:r w:rsidRPr="00373406">
        <w:t>‘</w:t>
      </w:r>
      <w:r w:rsidRPr="00373406">
        <w:rPr>
          <w:lang w:val="en-US"/>
        </w:rPr>
        <w:t xml:space="preserve">But now in Christ Jesus ye who sometimes were far off are made nigh by the blood of Christ. </w:t>
      </w:r>
      <w:r w:rsidRPr="00373406">
        <w:rPr>
          <w:vertAlign w:val="superscript"/>
          <w:lang w:val="en-US"/>
        </w:rPr>
        <w:t>14</w:t>
      </w:r>
      <w:r w:rsidRPr="00373406">
        <w:rPr>
          <w:lang w:val="en-US"/>
        </w:rPr>
        <w:t xml:space="preserve">For he is our peace, who hath made both one, and hath broken down the middle wall of partition </w:t>
      </w:r>
      <w:r w:rsidRPr="00373406">
        <w:rPr>
          <w:i/>
          <w:iCs/>
          <w:lang w:val="en-US"/>
        </w:rPr>
        <w:t>between us;</w:t>
      </w:r>
      <w:r w:rsidRPr="00373406">
        <w:rPr>
          <w:lang w:val="en-US"/>
        </w:rPr>
        <w:t xml:space="preserve"> </w:t>
      </w:r>
      <w:r w:rsidRPr="00373406">
        <w:rPr>
          <w:vertAlign w:val="superscript"/>
          <w:lang w:val="en-US"/>
        </w:rPr>
        <w:t>15</w:t>
      </w:r>
      <w:r w:rsidRPr="00373406">
        <w:rPr>
          <w:lang w:val="en-US"/>
        </w:rPr>
        <w:t xml:space="preserve">Having abolished in his flesh the enmity, </w:t>
      </w:r>
      <w:r w:rsidRPr="00373406">
        <w:rPr>
          <w:i/>
          <w:iCs/>
          <w:lang w:val="en-US"/>
        </w:rPr>
        <w:t>even</w:t>
      </w:r>
      <w:r w:rsidRPr="00373406">
        <w:rPr>
          <w:lang w:val="en-US"/>
        </w:rPr>
        <w:t xml:space="preserve"> the law of commandments </w:t>
      </w:r>
      <w:r w:rsidRPr="00373406">
        <w:rPr>
          <w:i/>
          <w:iCs/>
          <w:lang w:val="en-US"/>
        </w:rPr>
        <w:t>contained</w:t>
      </w:r>
      <w:r w:rsidRPr="00373406">
        <w:rPr>
          <w:lang w:val="en-US"/>
        </w:rPr>
        <w:t xml:space="preserve"> in ordinances; for to make in himself of twain one new man, </w:t>
      </w:r>
      <w:r w:rsidRPr="00373406">
        <w:rPr>
          <w:i/>
          <w:iCs/>
          <w:lang w:val="en-US"/>
        </w:rPr>
        <w:t>so</w:t>
      </w:r>
      <w:r w:rsidRPr="00373406">
        <w:rPr>
          <w:lang w:val="en-US"/>
        </w:rPr>
        <w:t xml:space="preserve"> making peace; </w:t>
      </w:r>
      <w:r w:rsidRPr="00373406">
        <w:rPr>
          <w:vertAlign w:val="superscript"/>
          <w:lang w:val="en-US"/>
        </w:rPr>
        <w:t>16</w:t>
      </w:r>
      <w:r w:rsidRPr="00373406">
        <w:rPr>
          <w:lang w:val="en-US"/>
        </w:rPr>
        <w:t xml:space="preserve">And that he might reconcile both unto God in one body by the cross, having slain the enmity thereby: </w:t>
      </w:r>
      <w:r w:rsidRPr="00373406">
        <w:rPr>
          <w:vertAlign w:val="superscript"/>
          <w:lang w:val="en-US"/>
        </w:rPr>
        <w:t>17</w:t>
      </w:r>
      <w:r w:rsidRPr="00373406">
        <w:rPr>
          <w:lang w:val="en-US"/>
        </w:rPr>
        <w:t xml:space="preserve">And came and preached peace to you which were afar off, and to them that were nigh. </w:t>
      </w:r>
      <w:r w:rsidRPr="00373406">
        <w:rPr>
          <w:vertAlign w:val="superscript"/>
          <w:lang w:val="en-US"/>
        </w:rPr>
        <w:t>18</w:t>
      </w:r>
      <w:r w:rsidRPr="00373406">
        <w:rPr>
          <w:lang w:val="en-US"/>
        </w:rPr>
        <w:t>For through him we both have access by one Spirit unto the Father.</w:t>
      </w:r>
      <w:r w:rsidRPr="00373406">
        <w:t xml:space="preserve">’  Eph. 2:13-18, </w:t>
      </w:r>
      <w:r w:rsidRPr="00373406">
        <w:rPr>
          <w:i/>
        </w:rPr>
        <w:t>KJV</w:t>
      </w:r>
      <w:r w:rsidRPr="00373406">
        <w:t>.</w:t>
      </w:r>
    </w:p>
  </w:endnote>
  <w:endnote w:id="693">
    <w:p w:rsidR="00975183" w:rsidRDefault="00975183" w:rsidP="00442D33">
      <w:pPr>
        <w:pStyle w:val="EndnoteText"/>
      </w:pPr>
      <w:r w:rsidRPr="00FE1063">
        <w:rPr>
          <w:rStyle w:val="FootnoteReference"/>
        </w:rPr>
        <w:endnoteRef/>
      </w:r>
      <w:r w:rsidRPr="00FE1063">
        <w:t xml:space="preserve"> </w:t>
      </w:r>
      <w:r>
        <w:t>Lev. 7:8.</w:t>
      </w:r>
    </w:p>
  </w:endnote>
  <w:endnote w:id="694">
    <w:p w:rsidR="00975183" w:rsidRDefault="00975183" w:rsidP="00442D33">
      <w:pPr>
        <w:pStyle w:val="EndnoteText"/>
      </w:pPr>
      <w:r w:rsidRPr="00A0234A">
        <w:rPr>
          <w:rStyle w:val="FootnoteReference"/>
        </w:rPr>
        <w:endnoteRef/>
      </w:r>
      <w:r w:rsidRPr="00A0234A">
        <w:t xml:space="preserve"> </w:t>
      </w:r>
      <w:r w:rsidRPr="00A6039D">
        <w:t>‘</w:t>
      </w:r>
      <w:r w:rsidRPr="00A6039D">
        <w:rPr>
          <w:rFonts w:cs="Arial"/>
          <w:lang w:val="en-US" w:bidi="he-IL"/>
        </w:rPr>
        <w:t xml:space="preserve">And this </w:t>
      </w:r>
      <w:r w:rsidRPr="00A6039D">
        <w:rPr>
          <w:rFonts w:cs="Arial"/>
          <w:i/>
          <w:iCs/>
          <w:lang w:val="en-US" w:bidi="he-IL"/>
        </w:rPr>
        <w:t xml:space="preserve">is </w:t>
      </w:r>
      <w:r w:rsidRPr="00A6039D">
        <w:rPr>
          <w:rFonts w:cs="Arial"/>
          <w:lang w:val="en-US" w:bidi="he-IL"/>
        </w:rPr>
        <w:t xml:space="preserve">the law of the sacrifice of peace offerings, which he shall offer unto the LORD. </w:t>
      </w:r>
      <w:r w:rsidRPr="00A6039D">
        <w:rPr>
          <w:rFonts w:cs="Arial"/>
          <w:vertAlign w:val="superscript"/>
          <w:lang w:val="en-US" w:bidi="he-IL"/>
        </w:rPr>
        <w:t>12</w:t>
      </w:r>
      <w:r w:rsidRPr="00A6039D">
        <w:rPr>
          <w:rFonts w:cs="Arial"/>
          <w:lang w:val="en-US" w:bidi="he-IL"/>
        </w:rPr>
        <w:t xml:space="preserve"> If he offer it for a thanksgiving, then he shall offer with the sacrifice of thanksgiving unleavened cakes mingled with oil, and unleavened wafers anointed with oil, and cakes mingled with oil, of fine flour, fried.’</w:t>
      </w:r>
      <w:r>
        <w:rPr>
          <w:rFonts w:cs="Arial"/>
          <w:lang w:val="en-US" w:bidi="he-IL"/>
        </w:rPr>
        <w:t xml:space="preserve"> </w:t>
      </w:r>
      <w:r w:rsidRPr="00A6039D">
        <w:rPr>
          <w:rFonts w:cs="Arial"/>
          <w:lang w:val="en-US" w:bidi="he-IL"/>
        </w:rPr>
        <w:t xml:space="preserve"> </w:t>
      </w:r>
      <w:proofErr w:type="gramStart"/>
      <w:r w:rsidRPr="00A6039D">
        <w:rPr>
          <w:rFonts w:cs="Arial"/>
          <w:lang w:val="en-US" w:bidi="he-IL"/>
        </w:rPr>
        <w:t xml:space="preserve">Lev 7:11-12, </w:t>
      </w:r>
      <w:r w:rsidRPr="00A6039D">
        <w:rPr>
          <w:rFonts w:cs="Arial"/>
          <w:i/>
          <w:lang w:val="en-US" w:bidi="he-IL"/>
        </w:rPr>
        <w:t>KJV</w:t>
      </w:r>
      <w:r w:rsidRPr="00A6039D">
        <w:rPr>
          <w:rFonts w:cs="Arial"/>
          <w:lang w:val="en-US" w:bidi="he-IL"/>
        </w:rPr>
        <w:t>.</w:t>
      </w:r>
      <w:proofErr w:type="gramEnd"/>
    </w:p>
  </w:endnote>
  <w:endnote w:id="695">
    <w:p w:rsidR="00975183" w:rsidRPr="00EB2A45" w:rsidRDefault="00975183" w:rsidP="00442D33">
      <w:pPr>
        <w:pStyle w:val="EndnoteText"/>
      </w:pPr>
      <w:r w:rsidRPr="00A6039D">
        <w:rPr>
          <w:rStyle w:val="FootnoteReference"/>
        </w:rPr>
        <w:endnoteRef/>
      </w:r>
      <w:r w:rsidRPr="00A6039D">
        <w:t xml:space="preserve"> </w:t>
      </w:r>
      <w:r>
        <w:t>‘</w:t>
      </w:r>
      <w:r w:rsidRPr="00A6039D">
        <w:rPr>
          <w:rFonts w:cs="Arial"/>
          <w:lang w:val="en-US" w:bidi="he-IL"/>
        </w:rPr>
        <w:t xml:space="preserve">Besides the cakes, he shall offer </w:t>
      </w:r>
      <w:r w:rsidRPr="00A6039D">
        <w:rPr>
          <w:rFonts w:cs="Arial"/>
          <w:i/>
          <w:iCs/>
          <w:lang w:val="en-US" w:bidi="he-IL"/>
        </w:rPr>
        <w:t xml:space="preserve">for </w:t>
      </w:r>
      <w:r w:rsidRPr="00A6039D">
        <w:rPr>
          <w:rFonts w:cs="Arial"/>
          <w:lang w:val="en-US" w:bidi="he-IL"/>
        </w:rPr>
        <w:t>his offering leavened bread with the sacrifice of thanks</w:t>
      </w:r>
      <w:r>
        <w:rPr>
          <w:rFonts w:cs="Arial"/>
          <w:lang w:val="en-US" w:bidi="he-IL"/>
        </w:rPr>
        <w:t xml:space="preserve">giving of his peace offerings.’  </w:t>
      </w:r>
      <w:proofErr w:type="gramStart"/>
      <w:r w:rsidRPr="00A6039D">
        <w:rPr>
          <w:rFonts w:cs="Arial"/>
          <w:lang w:val="en-US" w:bidi="he-IL"/>
        </w:rPr>
        <w:t>Lev 7:11</w:t>
      </w:r>
      <w:r>
        <w:rPr>
          <w:rFonts w:cs="Arial"/>
          <w:lang w:val="en-US" w:bidi="he-IL"/>
        </w:rPr>
        <w:t>,</w:t>
      </w:r>
      <w:r w:rsidRPr="00A6039D">
        <w:rPr>
          <w:rFonts w:cs="Arial"/>
          <w:lang w:val="en-US" w:bidi="he-IL"/>
        </w:rPr>
        <w:t xml:space="preserve"> </w:t>
      </w:r>
      <w:r w:rsidRPr="00A6039D">
        <w:rPr>
          <w:rFonts w:cs="Arial"/>
          <w:i/>
          <w:lang w:val="en-US" w:bidi="he-IL"/>
        </w:rPr>
        <w:t>KJV</w:t>
      </w:r>
      <w:r w:rsidRPr="00EB2A45">
        <w:rPr>
          <w:rFonts w:cs="Arial"/>
          <w:lang w:val="en-US" w:bidi="he-IL"/>
        </w:rPr>
        <w:t>.</w:t>
      </w:r>
      <w:proofErr w:type="gramEnd"/>
    </w:p>
  </w:endnote>
  <w:endnote w:id="696">
    <w:p w:rsidR="00975183" w:rsidRDefault="00975183" w:rsidP="00442D33">
      <w:pPr>
        <w:pStyle w:val="EndnoteText"/>
      </w:pPr>
      <w:r w:rsidRPr="00A24580">
        <w:rPr>
          <w:rStyle w:val="FootnoteReference"/>
        </w:rPr>
        <w:endnoteRef/>
      </w:r>
      <w:r w:rsidRPr="00A24580">
        <w:t xml:space="preserve"> </w:t>
      </w:r>
      <w:r>
        <w:t>‘</w:t>
      </w:r>
      <w:r w:rsidRPr="00A24580">
        <w:rPr>
          <w:rFonts w:cs="Arial"/>
          <w:lang w:val="en-US" w:bidi="he-IL"/>
        </w:rPr>
        <w:t xml:space="preserve">And offer a sacrifice of thanksgiving with leaven, and proclaim </w:t>
      </w:r>
      <w:r w:rsidRPr="00A24580">
        <w:rPr>
          <w:rFonts w:cs="Arial"/>
          <w:i/>
          <w:iCs/>
          <w:lang w:val="en-US" w:bidi="he-IL"/>
        </w:rPr>
        <w:t xml:space="preserve">and </w:t>
      </w:r>
      <w:r w:rsidRPr="00A24580">
        <w:rPr>
          <w:rFonts w:cs="Arial"/>
          <w:lang w:val="en-US" w:bidi="he-IL"/>
        </w:rPr>
        <w:t>publish the free offerings: for this liketh you, O ye children of Israel, saith the Lord GOD.</w:t>
      </w:r>
      <w:r>
        <w:rPr>
          <w:rFonts w:cs="Arial"/>
          <w:lang w:val="en-US" w:bidi="he-IL"/>
        </w:rPr>
        <w:t>’</w:t>
      </w:r>
      <w:r w:rsidRPr="00A24580">
        <w:rPr>
          <w:rFonts w:cs="Arial"/>
          <w:lang w:val="en-US" w:bidi="he-IL"/>
        </w:rPr>
        <w:t xml:space="preserve"> </w:t>
      </w:r>
      <w:r>
        <w:rPr>
          <w:rFonts w:cs="Arial"/>
          <w:lang w:val="en-US" w:bidi="he-IL"/>
        </w:rPr>
        <w:t xml:space="preserve"> </w:t>
      </w:r>
      <w:r w:rsidRPr="00A24580">
        <w:rPr>
          <w:rFonts w:cs="Arial"/>
          <w:lang w:val="en-US" w:bidi="he-IL"/>
        </w:rPr>
        <w:t>Amo</w:t>
      </w:r>
      <w:r>
        <w:rPr>
          <w:rFonts w:cs="Arial"/>
          <w:lang w:val="en-US" w:bidi="he-IL"/>
        </w:rPr>
        <w:t>s</w:t>
      </w:r>
      <w:r w:rsidRPr="00A24580">
        <w:rPr>
          <w:rFonts w:cs="Arial"/>
          <w:lang w:val="en-US" w:bidi="he-IL"/>
        </w:rPr>
        <w:t xml:space="preserve"> 4:5</w:t>
      </w:r>
      <w:r>
        <w:rPr>
          <w:rFonts w:cs="Arial"/>
          <w:lang w:val="en-US" w:bidi="he-IL"/>
        </w:rPr>
        <w:t>,</w:t>
      </w:r>
      <w:r w:rsidRPr="00A24580">
        <w:rPr>
          <w:rFonts w:cs="Arial"/>
          <w:lang w:val="en-US" w:bidi="he-IL"/>
        </w:rPr>
        <w:t xml:space="preserve"> </w:t>
      </w:r>
      <w:r w:rsidRPr="00A24580">
        <w:rPr>
          <w:rFonts w:cs="Arial"/>
          <w:i/>
          <w:lang w:val="en-US" w:bidi="he-IL"/>
        </w:rPr>
        <w:t>KJV</w:t>
      </w:r>
      <w:r>
        <w:rPr>
          <w:rFonts w:cs="Arial"/>
          <w:lang w:val="en-US" w:bidi="he-IL"/>
        </w:rPr>
        <w:t>.</w:t>
      </w:r>
    </w:p>
  </w:endnote>
  <w:endnote w:id="697">
    <w:p w:rsidR="00975183" w:rsidRDefault="00975183" w:rsidP="00442D33">
      <w:pPr>
        <w:pStyle w:val="EndnoteText"/>
      </w:pPr>
      <w:r w:rsidRPr="00410385">
        <w:rPr>
          <w:rStyle w:val="FootnoteReference"/>
        </w:rPr>
        <w:endnoteRef/>
      </w:r>
      <w:r w:rsidRPr="00410385">
        <w:t xml:space="preserve"> Kee, (ed.), </w:t>
      </w:r>
      <w:proofErr w:type="gramStart"/>
      <w:r w:rsidRPr="00410385">
        <w:rPr>
          <w:i/>
        </w:rPr>
        <w:t>The</w:t>
      </w:r>
      <w:proofErr w:type="gramEnd"/>
      <w:r w:rsidRPr="00410385">
        <w:rPr>
          <w:i/>
        </w:rPr>
        <w:t xml:space="preserve"> Cambridge Annotated Study Bible: New Revised Standard Version</w:t>
      </w:r>
      <w:r w:rsidRPr="00410385">
        <w:t>, p. 781.</w:t>
      </w:r>
    </w:p>
  </w:endnote>
  <w:endnote w:id="698">
    <w:p w:rsidR="00975183" w:rsidRDefault="00975183" w:rsidP="00442D33">
      <w:pPr>
        <w:pStyle w:val="EndnoteText"/>
      </w:pPr>
      <w:r w:rsidRPr="00410385">
        <w:rPr>
          <w:rStyle w:val="FootnoteReference"/>
        </w:rPr>
        <w:endnoteRef/>
      </w:r>
      <w:r w:rsidRPr="00410385">
        <w:t xml:space="preserve"> Barker, (gen. ed.), </w:t>
      </w:r>
      <w:proofErr w:type="gramStart"/>
      <w:r w:rsidRPr="00410385">
        <w:rPr>
          <w:i/>
        </w:rPr>
        <w:t>The</w:t>
      </w:r>
      <w:proofErr w:type="gramEnd"/>
      <w:r w:rsidRPr="00410385">
        <w:rPr>
          <w:i/>
        </w:rPr>
        <w:t xml:space="preserve"> NIV Study Bible, New International Version</w:t>
      </w:r>
      <w:r>
        <w:t>, p. 1330</w:t>
      </w:r>
      <w:r w:rsidRPr="00410385">
        <w:t>.</w:t>
      </w:r>
    </w:p>
  </w:endnote>
  <w:endnote w:id="699">
    <w:p w:rsidR="00975183" w:rsidRDefault="00975183" w:rsidP="00442D33">
      <w:pPr>
        <w:pStyle w:val="EndnoteText"/>
      </w:pPr>
      <w:r w:rsidRPr="006D06A9">
        <w:rPr>
          <w:rStyle w:val="FootnoteReference"/>
        </w:rPr>
        <w:endnoteRef/>
      </w:r>
      <w:r w:rsidRPr="006D06A9">
        <w:t xml:space="preserve"> J. Philip</w:t>
      </w:r>
      <w:r>
        <w:t xml:space="preserve"> </w:t>
      </w:r>
      <w:r w:rsidRPr="006D06A9">
        <w:t xml:space="preserve">Hyatt, ‘Amos’ in Matthew Black (General Editor and New Testament Editor) and H. H. Rowley, (Old Testament Editor), </w:t>
      </w:r>
      <w:r w:rsidRPr="006D06A9">
        <w:rPr>
          <w:i/>
        </w:rPr>
        <w:t>Peake’s Commentary on the Bible</w:t>
      </w:r>
      <w:r w:rsidRPr="006D06A9">
        <w:t xml:space="preserve"> (Wokingham: Van Nostrand Reinhold (UK) Co. Ltd, 1962)</w:t>
      </w:r>
      <w:r>
        <w:t xml:space="preserve">, </w:t>
      </w:r>
    </w:p>
    <w:p w:rsidR="00975183" w:rsidRDefault="00975183" w:rsidP="00442D33">
      <w:pPr>
        <w:pStyle w:val="EndnoteText"/>
      </w:pPr>
      <w:proofErr w:type="gramStart"/>
      <w:r>
        <w:t>p. 620</w:t>
      </w:r>
      <w:r w:rsidRPr="006D06A9">
        <w:t>.</w:t>
      </w:r>
      <w:proofErr w:type="gramEnd"/>
    </w:p>
  </w:endnote>
  <w:endnote w:id="700">
    <w:p w:rsidR="00975183" w:rsidRPr="00955098" w:rsidRDefault="00975183" w:rsidP="00442D33">
      <w:pPr>
        <w:pStyle w:val="EndnoteText"/>
      </w:pPr>
      <w:r w:rsidRPr="00955098">
        <w:rPr>
          <w:rStyle w:val="EndnoteReference"/>
        </w:rPr>
        <w:endnoteRef/>
      </w:r>
      <w:r w:rsidRPr="00955098">
        <w:t xml:space="preserve"> </w:t>
      </w:r>
      <w:r w:rsidRPr="00C80AE5">
        <w:rPr>
          <w:b/>
        </w:rPr>
        <w:t>See 2.</w:t>
      </w:r>
      <w:r>
        <w:rPr>
          <w:b/>
        </w:rPr>
        <w:t>4</w:t>
      </w:r>
      <w:r w:rsidRPr="00C80AE5">
        <w:rPr>
          <w:b/>
        </w:rPr>
        <w:t xml:space="preserve"> </w:t>
      </w:r>
      <w:r>
        <w:rPr>
          <w:b/>
        </w:rPr>
        <w:t>below</w:t>
      </w:r>
      <w:r w:rsidRPr="00C80AE5">
        <w:t>.</w:t>
      </w:r>
    </w:p>
  </w:endnote>
  <w:endnote w:id="701">
    <w:p w:rsidR="00975183" w:rsidRPr="006D06A9" w:rsidRDefault="00975183" w:rsidP="00442D33">
      <w:pPr>
        <w:pStyle w:val="EndnoteText"/>
        <w:rPr>
          <w:lang w:val="en-US"/>
        </w:rPr>
      </w:pPr>
      <w:r w:rsidRPr="006329CD">
        <w:rPr>
          <w:rStyle w:val="EndnoteReference"/>
          <w:szCs w:val="18"/>
        </w:rPr>
        <w:endnoteRef/>
      </w:r>
      <w:r w:rsidRPr="006329CD">
        <w:rPr>
          <w:szCs w:val="18"/>
        </w:rPr>
        <w:t xml:space="preserve"> </w:t>
      </w:r>
      <w:proofErr w:type="gramStart"/>
      <w:r w:rsidRPr="00C80AE5">
        <w:rPr>
          <w:b/>
          <w:szCs w:val="18"/>
        </w:rPr>
        <w:t>See 8.6.1</w:t>
      </w:r>
      <w:r>
        <w:rPr>
          <w:szCs w:val="18"/>
        </w:rPr>
        <w:t>.</w:t>
      </w:r>
      <w:proofErr w:type="gramEnd"/>
      <w:r>
        <w:rPr>
          <w:szCs w:val="18"/>
        </w:rPr>
        <w:t xml:space="preserve">  </w:t>
      </w:r>
      <w:r w:rsidRPr="006329CD">
        <w:rPr>
          <w:i/>
          <w:szCs w:val="18"/>
        </w:rPr>
        <w:t>SRB</w:t>
      </w:r>
      <w:r w:rsidRPr="006329CD">
        <w:rPr>
          <w:szCs w:val="18"/>
        </w:rPr>
        <w:t xml:space="preserve"> note on </w:t>
      </w:r>
      <w:r>
        <w:rPr>
          <w:szCs w:val="18"/>
        </w:rPr>
        <w:t>Mt. 6:33</w:t>
      </w:r>
      <w:r w:rsidRPr="006329CD">
        <w:rPr>
          <w:szCs w:val="18"/>
        </w:rPr>
        <w:t>, p. 1</w:t>
      </w:r>
      <w:r>
        <w:rPr>
          <w:szCs w:val="18"/>
        </w:rPr>
        <w:t xml:space="preserve">003 and </w:t>
      </w:r>
      <w:r w:rsidRPr="006329CD">
        <w:rPr>
          <w:i/>
          <w:szCs w:val="18"/>
        </w:rPr>
        <w:t>SRB</w:t>
      </w:r>
      <w:r w:rsidRPr="006329CD">
        <w:rPr>
          <w:szCs w:val="18"/>
        </w:rPr>
        <w:t xml:space="preserve"> note on </w:t>
      </w:r>
      <w:r>
        <w:rPr>
          <w:szCs w:val="18"/>
        </w:rPr>
        <w:t>Mt. 13:33</w:t>
      </w:r>
      <w:r w:rsidRPr="006329CD">
        <w:rPr>
          <w:szCs w:val="18"/>
        </w:rPr>
        <w:t>, p. 1</w:t>
      </w:r>
      <w:r>
        <w:rPr>
          <w:szCs w:val="18"/>
        </w:rPr>
        <w:t>016</w:t>
      </w:r>
      <w:r w:rsidRPr="006329CD">
        <w:rPr>
          <w:szCs w:val="18"/>
        </w:rPr>
        <w:t>.</w:t>
      </w:r>
    </w:p>
  </w:endnote>
  <w:endnote w:id="702">
    <w:p w:rsidR="00975183" w:rsidRPr="00DF0522" w:rsidRDefault="00975183" w:rsidP="00442D33">
      <w:pPr>
        <w:pStyle w:val="EndnoteText"/>
      </w:pPr>
      <w:r w:rsidRPr="00DF0522">
        <w:rPr>
          <w:rStyle w:val="EndnoteReference"/>
        </w:rPr>
        <w:endnoteRef/>
      </w:r>
      <w:r w:rsidRPr="00DF0522">
        <w:t xml:space="preserve"> </w:t>
      </w:r>
      <w:r w:rsidRPr="00DF0522">
        <w:rPr>
          <w:i/>
        </w:rPr>
        <w:t>SRB</w:t>
      </w:r>
      <w:r w:rsidRPr="00DF0522">
        <w:t xml:space="preserve"> note on</w:t>
      </w:r>
      <w:r>
        <w:t xml:space="preserve"> Lev. 25:49, p. 161.</w:t>
      </w:r>
    </w:p>
  </w:endnote>
  <w:endnote w:id="703">
    <w:p w:rsidR="00975183" w:rsidRPr="00DF0522" w:rsidRDefault="00975183" w:rsidP="00442D33">
      <w:pPr>
        <w:pStyle w:val="EndnoteText"/>
      </w:pPr>
      <w:r w:rsidRPr="00DF0522">
        <w:rPr>
          <w:rStyle w:val="EndnoteReference"/>
        </w:rPr>
        <w:endnoteRef/>
      </w:r>
      <w:r w:rsidRPr="00DF0522">
        <w:t xml:space="preserve"> </w:t>
      </w:r>
      <w:r w:rsidRPr="00DF0522">
        <w:rPr>
          <w:i/>
        </w:rPr>
        <w:t>SRB</w:t>
      </w:r>
      <w:r w:rsidRPr="00DF0522">
        <w:t xml:space="preserve"> note on Isa. 59:20, p. 765.</w:t>
      </w:r>
    </w:p>
  </w:endnote>
  <w:endnote w:id="704">
    <w:p w:rsidR="00975183" w:rsidRPr="00DD252A" w:rsidRDefault="00975183" w:rsidP="00442D33">
      <w:pPr>
        <w:pStyle w:val="FootnoteText"/>
        <w:rPr>
          <w:rFonts w:ascii="Perpetua" w:hAnsi="Perpetua"/>
          <w:lang w:eastAsia="en-GB"/>
        </w:rPr>
      </w:pPr>
      <w:r w:rsidRPr="00DD252A">
        <w:rPr>
          <w:rStyle w:val="FootnoteReference"/>
          <w:rFonts w:ascii="Perpetua" w:hAnsi="Perpetua"/>
        </w:rPr>
        <w:endnoteRef/>
      </w:r>
      <w:r w:rsidRPr="00DD252A">
        <w:rPr>
          <w:rFonts w:ascii="Perpetua" w:hAnsi="Perpetua"/>
        </w:rPr>
        <w:t xml:space="preserve"> </w:t>
      </w:r>
      <w:r w:rsidRPr="00DD252A">
        <w:rPr>
          <w:rFonts w:ascii="Perpetua" w:hAnsi="Perpetua"/>
          <w:i/>
        </w:rPr>
        <w:t>SRB</w:t>
      </w:r>
      <w:r>
        <w:rPr>
          <w:rFonts w:ascii="Perpetua" w:hAnsi="Perpetua"/>
        </w:rPr>
        <w:t xml:space="preserve"> n</w:t>
      </w:r>
      <w:r w:rsidRPr="00DD252A">
        <w:rPr>
          <w:rFonts w:ascii="Perpetua" w:hAnsi="Perpetua"/>
        </w:rPr>
        <w:t>ote on Lev. 8:12, p. 136</w:t>
      </w:r>
      <w:r w:rsidRPr="00DD252A">
        <w:rPr>
          <w:rFonts w:ascii="Perpetua" w:hAnsi="Perpetua"/>
          <w:lang w:eastAsia="en-GB"/>
        </w:rPr>
        <w:t xml:space="preserve">.  Refs Jn 3:34; Heb. 1:9. </w:t>
      </w:r>
    </w:p>
    <w:p w:rsidR="00975183" w:rsidRDefault="00975183" w:rsidP="00442D33">
      <w:pPr>
        <w:pStyle w:val="FootnoteText"/>
        <w:rPr>
          <w:rFonts w:ascii="Perpetua" w:eastAsiaTheme="minorHAnsi" w:hAnsi="Perpetua"/>
          <w:iCs/>
          <w:lang w:val="en-US"/>
        </w:rPr>
      </w:pPr>
      <w:r w:rsidRPr="00DD252A">
        <w:rPr>
          <w:rFonts w:ascii="Perpetua" w:hAnsi="Perpetua"/>
          <w:lang w:eastAsia="en-GB"/>
        </w:rPr>
        <w:t>‘</w:t>
      </w:r>
      <w:r w:rsidRPr="00DD252A">
        <w:rPr>
          <w:rFonts w:ascii="Perpetua" w:eastAsiaTheme="minorHAnsi" w:hAnsi="Perpetua"/>
          <w:lang w:val="en-US"/>
        </w:rPr>
        <w:t xml:space="preserve">For he whom God hath sent speaketh the words of God: for God giveth not the Spirit by measure </w:t>
      </w:r>
      <w:r w:rsidRPr="00DD252A">
        <w:rPr>
          <w:rFonts w:ascii="Perpetua" w:eastAsiaTheme="minorHAnsi" w:hAnsi="Perpetua"/>
          <w:i/>
          <w:iCs/>
          <w:lang w:val="en-US"/>
        </w:rPr>
        <w:t>unto him.</w:t>
      </w:r>
      <w:r w:rsidRPr="00DD252A">
        <w:rPr>
          <w:rFonts w:ascii="Perpetua" w:eastAsiaTheme="minorHAnsi" w:hAnsi="Perpetua"/>
          <w:iCs/>
          <w:lang w:val="en-US"/>
        </w:rPr>
        <w:t xml:space="preserve">’ </w:t>
      </w:r>
    </w:p>
    <w:p w:rsidR="00975183" w:rsidRPr="00DD252A" w:rsidRDefault="00975183" w:rsidP="00442D33">
      <w:pPr>
        <w:pStyle w:val="FootnoteText"/>
        <w:rPr>
          <w:rFonts w:ascii="Perpetua" w:eastAsiaTheme="minorHAnsi" w:hAnsi="Perpetua"/>
          <w:i/>
          <w:iCs/>
          <w:lang w:val="en-US"/>
        </w:rPr>
      </w:pPr>
      <w:r w:rsidRPr="00DD252A">
        <w:rPr>
          <w:rFonts w:ascii="Perpetua" w:eastAsiaTheme="minorHAnsi" w:hAnsi="Perpetua"/>
          <w:iCs/>
          <w:lang w:val="en-US"/>
        </w:rPr>
        <w:t>Jn 3:34,</w:t>
      </w:r>
      <w:r w:rsidRPr="00DD252A">
        <w:rPr>
          <w:rFonts w:ascii="Perpetua" w:eastAsiaTheme="minorHAnsi" w:hAnsi="Perpetua"/>
          <w:i/>
          <w:iCs/>
          <w:lang w:val="en-US"/>
        </w:rPr>
        <w:t xml:space="preserve"> KJV.</w:t>
      </w:r>
      <w:r>
        <w:rPr>
          <w:rFonts w:ascii="Perpetua" w:eastAsiaTheme="minorHAnsi" w:hAnsi="Perpetua"/>
          <w:i/>
          <w:iCs/>
          <w:lang w:val="en-US"/>
        </w:rPr>
        <w:t xml:space="preserve"> </w:t>
      </w:r>
    </w:p>
    <w:p w:rsidR="00975183" w:rsidRDefault="00975183" w:rsidP="00442D33">
      <w:pPr>
        <w:pStyle w:val="EndnoteText"/>
      </w:pPr>
      <w:r w:rsidRPr="00DD252A">
        <w:rPr>
          <w:i/>
          <w:iCs/>
          <w:lang w:val="en-US"/>
        </w:rPr>
        <w:t>‘</w:t>
      </w:r>
      <w:r w:rsidRPr="00DD252A">
        <w:rPr>
          <w:lang w:val="en-US"/>
        </w:rPr>
        <w:t xml:space="preserve">Thou hast loved righteousness, and hated iniquity; therefore God, </w:t>
      </w:r>
      <w:r w:rsidRPr="00DD252A">
        <w:rPr>
          <w:i/>
          <w:iCs/>
          <w:lang w:val="en-US"/>
        </w:rPr>
        <w:t>even</w:t>
      </w:r>
      <w:r w:rsidRPr="00DD252A">
        <w:rPr>
          <w:lang w:val="en-US"/>
        </w:rPr>
        <w:t xml:space="preserve"> thy God, hath anointed thee with the oil of gladness above thy fellows.</w:t>
      </w:r>
      <w:r w:rsidRPr="00DD252A">
        <w:rPr>
          <w:iCs/>
          <w:lang w:val="en-US"/>
        </w:rPr>
        <w:t>’  Heb. 1:9,</w:t>
      </w:r>
      <w:r w:rsidRPr="00DD252A">
        <w:rPr>
          <w:i/>
          <w:iCs/>
          <w:lang w:val="en-US"/>
        </w:rPr>
        <w:t xml:space="preserve"> KJV.</w:t>
      </w:r>
    </w:p>
  </w:endnote>
  <w:endnote w:id="705">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n</w:t>
      </w:r>
      <w:r w:rsidRPr="00373406">
        <w:t>ote on Num. 6:2, p. 174</w:t>
      </w:r>
      <w:r w:rsidRPr="00373406">
        <w:rPr>
          <w:lang w:eastAsia="en-GB"/>
        </w:rPr>
        <w:t xml:space="preserve">.  </w:t>
      </w:r>
    </w:p>
  </w:endnote>
  <w:endnote w:id="706">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ote on Num. 17:8, p. 190</w:t>
      </w:r>
      <w:r w:rsidRPr="00DD252A">
        <w:rPr>
          <w:lang w:eastAsia="en-GB"/>
        </w:rPr>
        <w:t xml:space="preserve">.  </w:t>
      </w:r>
    </w:p>
  </w:endnote>
  <w:endnote w:id="707">
    <w:p w:rsidR="00975183" w:rsidRPr="00373406" w:rsidRDefault="00975183" w:rsidP="00442D33">
      <w:pPr>
        <w:pStyle w:val="FootnoteText"/>
        <w:rPr>
          <w:rFonts w:ascii="Perpetua" w:hAnsi="Perpetua"/>
          <w:color w:val="000000"/>
        </w:rPr>
      </w:pPr>
      <w:r w:rsidRPr="00DD252A">
        <w:rPr>
          <w:rStyle w:val="EndnoteReference"/>
          <w:rFonts w:ascii="Perpetua" w:hAnsi="Perpetua"/>
        </w:rPr>
        <w:endnoteRef/>
      </w:r>
      <w:r w:rsidRPr="00DD252A">
        <w:rPr>
          <w:rFonts w:ascii="Perpetua" w:hAnsi="Perpetua"/>
        </w:rPr>
        <w:t xml:space="preserve"> </w:t>
      </w:r>
      <w:r w:rsidRPr="00DD252A">
        <w:rPr>
          <w:rFonts w:ascii="Perpetua" w:hAnsi="Perpetua"/>
          <w:i/>
        </w:rPr>
        <w:t>SRB</w:t>
      </w:r>
      <w:r w:rsidRPr="00DD252A">
        <w:rPr>
          <w:rFonts w:ascii="Perpetua" w:hAnsi="Perpetua"/>
        </w:rPr>
        <w:t xml:space="preserve"> </w:t>
      </w:r>
      <w:r>
        <w:rPr>
          <w:rFonts w:ascii="Perpetua" w:hAnsi="Perpetua"/>
        </w:rPr>
        <w:t>n</w:t>
      </w:r>
      <w:r w:rsidRPr="00DD252A">
        <w:rPr>
          <w:rFonts w:ascii="Perpetua" w:hAnsi="Perpetua"/>
        </w:rPr>
        <w:t>ote on Num. 19:2, p. 192</w:t>
      </w:r>
      <w:r w:rsidRPr="00DD252A">
        <w:rPr>
          <w:rFonts w:ascii="Perpetua" w:hAnsi="Perpetua"/>
          <w:lang w:eastAsia="en-GB"/>
        </w:rPr>
        <w:t xml:space="preserve">.  </w:t>
      </w:r>
      <w:r w:rsidRPr="00373406">
        <w:rPr>
          <w:rFonts w:ascii="Perpetua" w:hAnsi="Perpetua"/>
          <w:lang w:eastAsia="en-GB"/>
        </w:rPr>
        <w:t>Refs regarding the blood-sprinkling:</w:t>
      </w:r>
    </w:p>
    <w:p w:rsidR="00975183" w:rsidRDefault="00975183" w:rsidP="00442D33">
      <w:pPr>
        <w:pStyle w:val="FootnoteText"/>
        <w:rPr>
          <w:rFonts w:ascii="Perpetua" w:hAnsi="Perpetua"/>
          <w:color w:val="000000"/>
        </w:rPr>
      </w:pPr>
      <w:r w:rsidRPr="00373406">
        <w:rPr>
          <w:rFonts w:ascii="Perpetua" w:hAnsi="Perpetua"/>
          <w:color w:val="000000"/>
        </w:rPr>
        <w:t>‘</w:t>
      </w:r>
      <w:r w:rsidRPr="00373406">
        <w:rPr>
          <w:rFonts w:ascii="Perpetua" w:eastAsiaTheme="minorHAnsi" w:hAnsi="Perpetua"/>
          <w:lang w:val="en-US"/>
        </w:rPr>
        <w:t xml:space="preserve">Neither by the blood of goats and calves, but by his own </w:t>
      </w:r>
      <w:proofErr w:type="gramStart"/>
      <w:r w:rsidRPr="00373406">
        <w:rPr>
          <w:rFonts w:ascii="Perpetua" w:eastAsiaTheme="minorHAnsi" w:hAnsi="Perpetua"/>
          <w:lang w:val="en-US"/>
        </w:rPr>
        <w:t>blood he</w:t>
      </w:r>
      <w:proofErr w:type="gramEnd"/>
      <w:r w:rsidRPr="00373406">
        <w:rPr>
          <w:rFonts w:ascii="Perpetua" w:eastAsiaTheme="minorHAnsi" w:hAnsi="Perpetua"/>
          <w:lang w:val="en-US"/>
        </w:rPr>
        <w:t xml:space="preserve"> entered in once into the holy place, having obtained eternal redemption </w:t>
      </w:r>
      <w:r w:rsidRPr="00373406">
        <w:rPr>
          <w:rFonts w:ascii="Perpetua" w:eastAsiaTheme="minorHAnsi" w:hAnsi="Perpetua"/>
          <w:i/>
          <w:iCs/>
          <w:lang w:val="en-US"/>
        </w:rPr>
        <w:t>for us.</w:t>
      </w:r>
      <w:r w:rsidRPr="00373406">
        <w:rPr>
          <w:rFonts w:ascii="Perpetua" w:eastAsiaTheme="minorHAnsi" w:hAnsi="Perpetua"/>
          <w:lang w:val="en-US"/>
        </w:rPr>
        <w:t xml:space="preserve"> </w:t>
      </w:r>
      <w:r w:rsidRPr="00373406">
        <w:rPr>
          <w:rFonts w:ascii="Perpetua" w:eastAsiaTheme="minorHAnsi" w:hAnsi="Perpetua"/>
          <w:vertAlign w:val="superscript"/>
          <w:lang w:val="en-US"/>
        </w:rPr>
        <w:t>13</w:t>
      </w:r>
      <w:r w:rsidRPr="00373406">
        <w:rPr>
          <w:rFonts w:ascii="Perpetua" w:eastAsiaTheme="minorHAnsi" w:hAnsi="Perpetua"/>
          <w:lang w:val="en-US"/>
        </w:rPr>
        <w:t xml:space="preserve">For if the blood of bulls and of goats, and the ashes of an heifer sprinkling the unclean, sanctifieth to the purifying of the flesh: </w:t>
      </w:r>
      <w:r w:rsidRPr="00373406">
        <w:rPr>
          <w:rFonts w:ascii="Perpetua" w:eastAsiaTheme="minorHAnsi" w:hAnsi="Perpetua"/>
          <w:vertAlign w:val="superscript"/>
          <w:lang w:val="en-US"/>
        </w:rPr>
        <w:t>14</w:t>
      </w:r>
      <w:r w:rsidRPr="00373406">
        <w:rPr>
          <w:rFonts w:ascii="Perpetua" w:eastAsiaTheme="minorHAnsi" w:hAnsi="Perpetua"/>
          <w:lang w:val="en-US"/>
        </w:rPr>
        <w:t>How much more shall the blood of Christ, who through the eternal Spirit offered himself without spot to God, purge your conscience from dead works to serve the living God?</w:t>
      </w:r>
      <w:r w:rsidRPr="00373406">
        <w:rPr>
          <w:rFonts w:ascii="Perpetua" w:hAnsi="Perpetua"/>
          <w:color w:val="000000"/>
        </w:rPr>
        <w:t xml:space="preserve">’  </w:t>
      </w:r>
    </w:p>
    <w:p w:rsidR="00975183" w:rsidRPr="00373406" w:rsidRDefault="00975183" w:rsidP="00442D33">
      <w:pPr>
        <w:pStyle w:val="FootnoteText"/>
        <w:rPr>
          <w:rFonts w:ascii="Perpetua" w:hAnsi="Perpetua"/>
          <w:color w:val="000000"/>
        </w:rPr>
      </w:pPr>
      <w:r w:rsidRPr="00E609FB">
        <w:rPr>
          <w:rFonts w:ascii="Times New Roman" w:hAnsi="Times New Roman"/>
          <w:color w:val="000000"/>
          <w:sz w:val="18"/>
        </w:rPr>
        <w:t>H</w:t>
      </w:r>
      <w:r w:rsidRPr="00373406">
        <w:rPr>
          <w:rFonts w:ascii="Perpetua" w:hAnsi="Perpetua"/>
          <w:color w:val="000000"/>
        </w:rPr>
        <w:t xml:space="preserve">eb. 9:12-14, </w:t>
      </w:r>
      <w:r w:rsidRPr="00373406">
        <w:rPr>
          <w:rFonts w:ascii="Perpetua" w:hAnsi="Perpetua"/>
          <w:i/>
          <w:color w:val="000000"/>
        </w:rPr>
        <w:t>KJV</w:t>
      </w:r>
      <w:r w:rsidRPr="00373406">
        <w:rPr>
          <w:rFonts w:ascii="Perpetua" w:hAnsi="Perpetua"/>
          <w:color w:val="000000"/>
        </w:rPr>
        <w:t>;</w:t>
      </w:r>
    </w:p>
    <w:p w:rsidR="00975183" w:rsidRDefault="00975183" w:rsidP="00442D33">
      <w:pPr>
        <w:pStyle w:val="EndnoteText"/>
      </w:pPr>
      <w:r w:rsidRPr="00373406">
        <w:rPr>
          <w:color w:val="000000"/>
        </w:rPr>
        <w:t>‘</w:t>
      </w:r>
      <w:r w:rsidRPr="00373406">
        <w:rPr>
          <w:lang w:val="en-US"/>
        </w:rPr>
        <w:t xml:space="preserve">By </w:t>
      </w:r>
      <w:proofErr w:type="gramStart"/>
      <w:r w:rsidRPr="00373406">
        <w:rPr>
          <w:lang w:val="en-US"/>
        </w:rPr>
        <w:t>the which</w:t>
      </w:r>
      <w:proofErr w:type="gramEnd"/>
      <w:r w:rsidRPr="00373406">
        <w:rPr>
          <w:lang w:val="en-US"/>
        </w:rPr>
        <w:t xml:space="preserve"> will we are sanctified through the offering of the body of Jesus Christ once </w:t>
      </w:r>
      <w:r w:rsidRPr="00373406">
        <w:rPr>
          <w:i/>
          <w:iCs/>
          <w:lang w:val="en-US"/>
        </w:rPr>
        <w:t>for all.</w:t>
      </w:r>
      <w:r w:rsidRPr="00373406">
        <w:rPr>
          <w:lang w:val="en-US"/>
        </w:rPr>
        <w:t xml:space="preserve"> </w:t>
      </w:r>
      <w:r w:rsidRPr="00373406">
        <w:rPr>
          <w:vertAlign w:val="superscript"/>
          <w:lang w:val="en-US"/>
        </w:rPr>
        <w:t>11</w:t>
      </w:r>
      <w:r w:rsidRPr="00373406">
        <w:rPr>
          <w:lang w:val="en-US"/>
        </w:rPr>
        <w:t xml:space="preserve">And every priest standeth daily ministering and offering oftentimes the same sacrifices, which can never take away sins: </w:t>
      </w:r>
      <w:r w:rsidRPr="00373406">
        <w:rPr>
          <w:vertAlign w:val="superscript"/>
          <w:lang w:val="en-US"/>
        </w:rPr>
        <w:t>12</w:t>
      </w:r>
      <w:r w:rsidRPr="00373406">
        <w:rPr>
          <w:lang w:val="en-US"/>
        </w:rPr>
        <w:t>But this man, after he had offered one sacrifice for sins for ever, sat down on the right hand of God;</w:t>
      </w:r>
      <w:r w:rsidRPr="00373406">
        <w:rPr>
          <w:color w:val="000000"/>
        </w:rPr>
        <w:t xml:space="preserve">’  </w:t>
      </w:r>
      <w:r w:rsidRPr="00E609FB">
        <w:rPr>
          <w:rFonts w:ascii="Times New Roman" w:hAnsi="Times New Roman"/>
          <w:color w:val="000000"/>
          <w:sz w:val="18"/>
        </w:rPr>
        <w:t>H</w:t>
      </w:r>
      <w:r w:rsidRPr="00373406">
        <w:rPr>
          <w:color w:val="000000"/>
        </w:rPr>
        <w:t xml:space="preserve">eb. 10:10-12, </w:t>
      </w:r>
      <w:r w:rsidRPr="00373406">
        <w:rPr>
          <w:i/>
          <w:color w:val="000000"/>
        </w:rPr>
        <w:t>KJV</w:t>
      </w:r>
      <w:r w:rsidRPr="00373406">
        <w:rPr>
          <w:color w:val="000000"/>
        </w:rPr>
        <w:t>.</w:t>
      </w:r>
    </w:p>
  </w:endnote>
  <w:endnote w:id="708">
    <w:p w:rsidR="00975183" w:rsidRPr="00373406" w:rsidRDefault="00975183" w:rsidP="00442D33">
      <w:pPr>
        <w:pStyle w:val="EndnoteText"/>
      </w:pPr>
      <w:r w:rsidRPr="00373406">
        <w:rPr>
          <w:rStyle w:val="EndnoteReference"/>
        </w:rPr>
        <w:endnoteRef/>
      </w:r>
      <w:r w:rsidRPr="00373406">
        <w:t xml:space="preserve"> </w:t>
      </w:r>
      <w:r w:rsidRPr="00373406">
        <w:rPr>
          <w:i/>
        </w:rPr>
        <w:t>SRB</w:t>
      </w:r>
      <w:r w:rsidRPr="00373406">
        <w:t xml:space="preserve"> note on Num. 35:6, p. 213.  References:</w:t>
      </w:r>
    </w:p>
    <w:p w:rsidR="00975183" w:rsidRPr="00373406" w:rsidRDefault="00975183" w:rsidP="00442D33">
      <w:pPr>
        <w:pStyle w:val="EndnoteText"/>
        <w:rPr>
          <w:lang w:val="en-US"/>
        </w:rPr>
      </w:pPr>
      <w:r w:rsidRPr="00D41D2B">
        <w:t>Exod. 21:3</w:t>
      </w:r>
      <w:r w:rsidRPr="00373406">
        <w:t xml:space="preserve"> </w:t>
      </w:r>
      <w:r w:rsidRPr="00012B96">
        <w:rPr>
          <w:sz w:val="16"/>
          <w:szCs w:val="24"/>
        </w:rPr>
        <w:t>—</w:t>
      </w:r>
      <w:r w:rsidRPr="00373406">
        <w:t xml:space="preserve"> this is probably a misprint for Exod. 21:13: ‘</w:t>
      </w:r>
      <w:r w:rsidRPr="00373406">
        <w:rPr>
          <w:lang w:val="en-US"/>
        </w:rPr>
        <w:t xml:space="preserve">And if a man lie not in wait, but God deliver </w:t>
      </w:r>
      <w:r w:rsidRPr="00373406">
        <w:rPr>
          <w:i/>
          <w:iCs/>
          <w:lang w:val="en-US"/>
        </w:rPr>
        <w:t>him</w:t>
      </w:r>
      <w:r w:rsidRPr="00373406">
        <w:rPr>
          <w:lang w:val="en-US"/>
        </w:rPr>
        <w:t xml:space="preserve"> into his hand; then I will appoint thee a place whither he shall flee.</w:t>
      </w:r>
      <w:r w:rsidRPr="00373406">
        <w:t>’  Exod. 21:13, KJV.  Exod. 21:3 reads, ‘</w:t>
      </w:r>
      <w:proofErr w:type="gramStart"/>
      <w:r w:rsidRPr="00373406">
        <w:rPr>
          <w:lang w:val="en-US"/>
        </w:rPr>
        <w:t>If</w:t>
      </w:r>
      <w:proofErr w:type="gramEnd"/>
      <w:r w:rsidRPr="00373406">
        <w:rPr>
          <w:lang w:val="en-US"/>
        </w:rPr>
        <w:t xml:space="preserve"> he came in by himself, he shall go out by himself: if he were married, then h</w:t>
      </w:r>
      <w:r>
        <w:rPr>
          <w:lang w:val="en-US"/>
        </w:rPr>
        <w:t>is wife shall go out with him.’</w:t>
      </w:r>
    </w:p>
    <w:p w:rsidR="00975183" w:rsidRPr="00373406" w:rsidRDefault="00975183" w:rsidP="00442D33">
      <w:pPr>
        <w:pStyle w:val="EndnoteText"/>
      </w:pPr>
      <w:r w:rsidRPr="00D41D2B">
        <w:rPr>
          <w:lang w:val="en-US"/>
        </w:rPr>
        <w:t>Deut. 19:2-9</w:t>
      </w:r>
      <w:r>
        <w:rPr>
          <w:lang w:val="en-US"/>
        </w:rPr>
        <w:t>,</w:t>
      </w:r>
      <w:r w:rsidRPr="00373406">
        <w:rPr>
          <w:lang w:val="en-US"/>
        </w:rPr>
        <w:t xml:space="preserve"> </w:t>
      </w:r>
      <w:r w:rsidRPr="00373406">
        <w:t>this passage merely gives details about the establishment of the cities of refuge</w:t>
      </w:r>
      <w:r>
        <w:t>.</w:t>
      </w:r>
    </w:p>
    <w:p w:rsidR="00975183" w:rsidRPr="00373406" w:rsidRDefault="00975183" w:rsidP="00442D33">
      <w:pPr>
        <w:pStyle w:val="EndnoteText"/>
        <w:rPr>
          <w:lang w:val="en-US"/>
        </w:rPr>
      </w:pPr>
      <w:r w:rsidRPr="00D41D2B">
        <w:t>Ps. 46:1</w:t>
      </w:r>
      <w:r>
        <w:t>,</w:t>
      </w:r>
      <w:r w:rsidRPr="00373406">
        <w:t xml:space="preserve"> ‘</w:t>
      </w:r>
      <w:r w:rsidRPr="00373406">
        <w:rPr>
          <w:lang w:val="en-US"/>
        </w:rPr>
        <w:t xml:space="preserve">God </w:t>
      </w:r>
      <w:r w:rsidRPr="00373406">
        <w:rPr>
          <w:i/>
          <w:iCs/>
          <w:lang w:val="en-US"/>
        </w:rPr>
        <w:t>is</w:t>
      </w:r>
      <w:r w:rsidRPr="00373406">
        <w:rPr>
          <w:lang w:val="en-US"/>
        </w:rPr>
        <w:t xml:space="preserve"> our refuge and strength, a very present help in trouble.’  Ps. 46:1, </w:t>
      </w:r>
      <w:r w:rsidRPr="00373406">
        <w:rPr>
          <w:i/>
          <w:lang w:val="en-US"/>
        </w:rPr>
        <w:t>KJV</w:t>
      </w:r>
      <w:r w:rsidRPr="00373406">
        <w:rPr>
          <w:lang w:val="en-US"/>
        </w:rPr>
        <w:t>.</w:t>
      </w:r>
    </w:p>
    <w:p w:rsidR="00975183" w:rsidRDefault="00975183" w:rsidP="00442D33">
      <w:pPr>
        <w:pStyle w:val="EndnoteText"/>
        <w:rPr>
          <w:lang w:val="en-US"/>
        </w:rPr>
      </w:pPr>
      <w:r w:rsidRPr="00D41D2B">
        <w:rPr>
          <w:lang w:val="en-US"/>
        </w:rPr>
        <w:t>Ps. 142:5</w:t>
      </w:r>
      <w:r>
        <w:rPr>
          <w:lang w:val="en-US"/>
        </w:rPr>
        <w:t>,</w:t>
      </w:r>
      <w:r w:rsidRPr="00373406">
        <w:rPr>
          <w:lang w:val="en-US"/>
        </w:rPr>
        <w:t xml:space="preserve"> ‘I cried unto thee, O LORD: I said, Thou </w:t>
      </w:r>
      <w:r w:rsidRPr="00373406">
        <w:rPr>
          <w:i/>
          <w:iCs/>
          <w:lang w:val="en-US"/>
        </w:rPr>
        <w:t>art</w:t>
      </w:r>
      <w:r w:rsidRPr="00373406">
        <w:rPr>
          <w:lang w:val="en-US"/>
        </w:rPr>
        <w:t xml:space="preserve"> my refuge </w:t>
      </w:r>
      <w:r w:rsidRPr="00373406">
        <w:rPr>
          <w:i/>
          <w:iCs/>
          <w:lang w:val="en-US"/>
        </w:rPr>
        <w:t>and</w:t>
      </w:r>
      <w:r w:rsidRPr="00373406">
        <w:rPr>
          <w:lang w:val="en-US"/>
        </w:rPr>
        <w:t xml:space="preserve"> my portion in the land of the living.’  </w:t>
      </w:r>
    </w:p>
    <w:p w:rsidR="00975183" w:rsidRPr="00373406" w:rsidRDefault="00975183" w:rsidP="00442D33">
      <w:pPr>
        <w:pStyle w:val="EndnoteText"/>
        <w:rPr>
          <w:lang w:val="en-US"/>
        </w:rPr>
      </w:pPr>
      <w:r w:rsidRPr="00373406">
        <w:rPr>
          <w:lang w:val="en-US"/>
        </w:rPr>
        <w:t xml:space="preserve">Ps. 142:5, </w:t>
      </w:r>
      <w:r w:rsidRPr="00373406">
        <w:rPr>
          <w:i/>
          <w:lang w:val="en-US"/>
        </w:rPr>
        <w:t>KJV</w:t>
      </w:r>
      <w:r w:rsidRPr="00373406">
        <w:rPr>
          <w:lang w:val="en-US"/>
        </w:rPr>
        <w:t>.</w:t>
      </w:r>
    </w:p>
    <w:p w:rsidR="00975183" w:rsidRPr="00373406" w:rsidRDefault="00975183" w:rsidP="00442D33">
      <w:pPr>
        <w:pStyle w:val="EndnoteText"/>
      </w:pPr>
      <w:r w:rsidRPr="00D41D2B">
        <w:t>Isa. 4:6</w:t>
      </w:r>
      <w:r>
        <w:t>,</w:t>
      </w:r>
      <w:r w:rsidRPr="00373406">
        <w:t xml:space="preserve"> ‘</w:t>
      </w:r>
      <w:r w:rsidRPr="00373406">
        <w:rPr>
          <w:lang w:val="en-US"/>
        </w:rPr>
        <w:t>And there shall be a tabernacle for a shadow in the daytime from the heat, and for a place of refuge, and for a covert from storm and from rain.</w:t>
      </w:r>
      <w:r w:rsidRPr="00373406">
        <w:t xml:space="preserve">’  Isa. 4:6, </w:t>
      </w:r>
      <w:r w:rsidRPr="00373406">
        <w:rPr>
          <w:i/>
        </w:rPr>
        <w:t>KJV</w:t>
      </w:r>
      <w:r w:rsidRPr="00373406">
        <w:t>.</w:t>
      </w:r>
    </w:p>
    <w:p w:rsidR="00975183" w:rsidRPr="00373406" w:rsidRDefault="00975183" w:rsidP="00442D33">
      <w:pPr>
        <w:pStyle w:val="EndnoteText"/>
        <w:rPr>
          <w:lang w:val="en-US"/>
        </w:rPr>
      </w:pPr>
      <w:r w:rsidRPr="00D41D2B">
        <w:t>Rom. 8:1</w:t>
      </w:r>
      <w:r>
        <w:t>,</w:t>
      </w:r>
      <w:r w:rsidRPr="00373406">
        <w:t xml:space="preserve"> ‘</w:t>
      </w:r>
      <w:r w:rsidRPr="00373406">
        <w:rPr>
          <w:i/>
          <w:iCs/>
          <w:lang w:val="en-US"/>
        </w:rPr>
        <w:t>There is</w:t>
      </w:r>
      <w:r w:rsidRPr="00373406">
        <w:rPr>
          <w:lang w:val="en-US"/>
        </w:rPr>
        <w:t xml:space="preserve"> therefore now no condemnation to them which are in Christ Jesus, who walk not after the flesh, but after the Spirit.’  Rom. 8:1, </w:t>
      </w:r>
      <w:r w:rsidRPr="00373406">
        <w:rPr>
          <w:i/>
          <w:lang w:val="en-US"/>
        </w:rPr>
        <w:t>KJV</w:t>
      </w:r>
      <w:r w:rsidRPr="00373406">
        <w:rPr>
          <w:lang w:val="en-US"/>
        </w:rPr>
        <w:t>.</w:t>
      </w:r>
    </w:p>
    <w:p w:rsidR="00975183" w:rsidRPr="00373406" w:rsidRDefault="00975183" w:rsidP="00442D33">
      <w:pPr>
        <w:pStyle w:val="EndnoteText"/>
        <w:rPr>
          <w:lang w:val="en-US"/>
        </w:rPr>
      </w:pPr>
      <w:r w:rsidRPr="00D41D2B">
        <w:rPr>
          <w:lang w:val="en-US"/>
        </w:rPr>
        <w:t>Rom. 8:33-4</w:t>
      </w:r>
      <w:r>
        <w:rPr>
          <w:lang w:val="en-US"/>
        </w:rPr>
        <w:t>,</w:t>
      </w:r>
      <w:r w:rsidRPr="00373406">
        <w:rPr>
          <w:lang w:val="en-US"/>
        </w:rPr>
        <w:t xml:space="preserve"> ‘Who shall lay any thing to the charge of God's elect? </w:t>
      </w:r>
      <w:r w:rsidRPr="00373406">
        <w:rPr>
          <w:i/>
          <w:iCs/>
          <w:lang w:val="en-US"/>
        </w:rPr>
        <w:t>It is</w:t>
      </w:r>
      <w:r w:rsidRPr="00373406">
        <w:rPr>
          <w:lang w:val="en-US"/>
        </w:rPr>
        <w:t xml:space="preserve"> God that justifieth. </w:t>
      </w:r>
      <w:r w:rsidRPr="00373406">
        <w:rPr>
          <w:vertAlign w:val="superscript"/>
          <w:lang w:val="en-US"/>
        </w:rPr>
        <w:t>34</w:t>
      </w:r>
      <w:r w:rsidRPr="00373406">
        <w:rPr>
          <w:lang w:val="en-US"/>
        </w:rPr>
        <w:t xml:space="preserve">Who </w:t>
      </w:r>
      <w:r w:rsidRPr="00373406">
        <w:rPr>
          <w:i/>
          <w:iCs/>
          <w:lang w:val="en-US"/>
        </w:rPr>
        <w:t>is</w:t>
      </w:r>
      <w:r w:rsidRPr="00373406">
        <w:rPr>
          <w:lang w:val="en-US"/>
        </w:rPr>
        <w:t xml:space="preserve"> he that condemneth? </w:t>
      </w:r>
      <w:r w:rsidRPr="00373406">
        <w:rPr>
          <w:i/>
          <w:iCs/>
          <w:lang w:val="en-US"/>
        </w:rPr>
        <w:t>It is</w:t>
      </w:r>
      <w:r w:rsidRPr="00373406">
        <w:rPr>
          <w:lang w:val="en-US"/>
        </w:rPr>
        <w:t xml:space="preserve"> Christ that died, yea rather, that is </w:t>
      </w:r>
      <w:proofErr w:type="gramStart"/>
      <w:r w:rsidRPr="00373406">
        <w:rPr>
          <w:lang w:val="en-US"/>
        </w:rPr>
        <w:t>risen</w:t>
      </w:r>
      <w:proofErr w:type="gramEnd"/>
      <w:r w:rsidRPr="00373406">
        <w:rPr>
          <w:lang w:val="en-US"/>
        </w:rPr>
        <w:t xml:space="preserve"> again, who is even at the right hand of God, who also maketh intercession for us.’  Rom. 8:33-4, </w:t>
      </w:r>
      <w:r w:rsidRPr="00373406">
        <w:rPr>
          <w:i/>
          <w:lang w:val="en-US"/>
        </w:rPr>
        <w:t>KJV</w:t>
      </w:r>
      <w:r w:rsidRPr="00373406">
        <w:rPr>
          <w:lang w:val="en-US"/>
        </w:rPr>
        <w:t>.</w:t>
      </w:r>
    </w:p>
    <w:p w:rsidR="00975183" w:rsidRPr="00373406" w:rsidRDefault="00975183" w:rsidP="00442D33">
      <w:pPr>
        <w:pStyle w:val="EndnoteText"/>
        <w:rPr>
          <w:lang w:val="en-US"/>
        </w:rPr>
      </w:pPr>
      <w:r w:rsidRPr="00D41D2B">
        <w:rPr>
          <w:lang w:val="en-US"/>
        </w:rPr>
        <w:t>Phil. 3:9</w:t>
      </w:r>
      <w:r>
        <w:rPr>
          <w:lang w:val="en-US"/>
        </w:rPr>
        <w:t>,</w:t>
      </w:r>
      <w:r w:rsidRPr="00373406">
        <w:rPr>
          <w:lang w:val="en-US"/>
        </w:rPr>
        <w:t xml:space="preserve"> ‘And be found in him, not having mine own righteousness, which is of the law, but that which is through the faith of Christ, the righteousness which is of God by faith:’  Phil. 3:9, </w:t>
      </w:r>
      <w:r w:rsidRPr="00373406">
        <w:rPr>
          <w:i/>
          <w:lang w:val="en-US"/>
        </w:rPr>
        <w:t>KJV</w:t>
      </w:r>
      <w:r w:rsidRPr="00373406">
        <w:rPr>
          <w:lang w:val="en-US"/>
        </w:rPr>
        <w:t>.</w:t>
      </w:r>
    </w:p>
    <w:p w:rsidR="00975183" w:rsidRPr="00373406" w:rsidRDefault="00975183" w:rsidP="00442D33">
      <w:pPr>
        <w:pStyle w:val="EndnoteText"/>
      </w:pPr>
      <w:r w:rsidRPr="00D41D2B">
        <w:rPr>
          <w:lang w:val="en-US"/>
        </w:rPr>
        <w:t>Heb. 6:18-19</w:t>
      </w:r>
      <w:r>
        <w:rPr>
          <w:lang w:val="en-US"/>
        </w:rPr>
        <w:t>,</w:t>
      </w:r>
      <w:r w:rsidRPr="00373406">
        <w:rPr>
          <w:lang w:val="en-US"/>
        </w:rPr>
        <w:t xml:space="preserve"> ‘That by two immutable things, in which </w:t>
      </w:r>
      <w:r w:rsidRPr="00373406">
        <w:rPr>
          <w:i/>
          <w:iCs/>
          <w:lang w:val="en-US"/>
        </w:rPr>
        <w:t>it was</w:t>
      </w:r>
      <w:r w:rsidRPr="00373406">
        <w:rPr>
          <w:lang w:val="en-US"/>
        </w:rPr>
        <w:t xml:space="preserve"> impossible for God to lie, we might have a strong consolation, who have fled for refuge to lay hold upon the hope set before us: </w:t>
      </w:r>
      <w:r w:rsidRPr="00373406">
        <w:rPr>
          <w:vertAlign w:val="superscript"/>
          <w:lang w:val="en-US"/>
        </w:rPr>
        <w:t>19</w:t>
      </w:r>
      <w:r w:rsidRPr="00373406">
        <w:rPr>
          <w:lang w:val="en-US"/>
        </w:rPr>
        <w:t xml:space="preserve">Which </w:t>
      </w:r>
      <w:r w:rsidRPr="00373406">
        <w:rPr>
          <w:i/>
          <w:iCs/>
          <w:lang w:val="en-US"/>
        </w:rPr>
        <w:t>hope</w:t>
      </w:r>
      <w:r w:rsidRPr="00373406">
        <w:rPr>
          <w:lang w:val="en-US"/>
        </w:rPr>
        <w:t xml:space="preserve"> we have as an anchor of the soul, both sure and steadfast, and which entereth into that within the veil;</w:t>
      </w:r>
      <w:proofErr w:type="gramStart"/>
      <w:r w:rsidRPr="00373406">
        <w:rPr>
          <w:lang w:val="en-US"/>
        </w:rPr>
        <w:t>’  Heb</w:t>
      </w:r>
      <w:proofErr w:type="gramEnd"/>
      <w:r w:rsidRPr="00373406">
        <w:rPr>
          <w:lang w:val="en-US"/>
        </w:rPr>
        <w:t xml:space="preserve">. 6:18, 19, </w:t>
      </w:r>
      <w:r w:rsidRPr="00373406">
        <w:rPr>
          <w:i/>
          <w:lang w:val="en-US"/>
        </w:rPr>
        <w:t>KJV</w:t>
      </w:r>
      <w:r w:rsidRPr="00373406">
        <w:rPr>
          <w:lang w:val="en-US"/>
        </w:rPr>
        <w:t>.</w:t>
      </w:r>
    </w:p>
  </w:endnote>
  <w:endnote w:id="709">
    <w:p w:rsidR="00975183" w:rsidRDefault="00975183" w:rsidP="00442D33">
      <w:pPr>
        <w:pStyle w:val="EndnoteText"/>
      </w:pPr>
      <w:r w:rsidRPr="00DD252A">
        <w:rPr>
          <w:rStyle w:val="EndnoteReference"/>
        </w:rPr>
        <w:endnoteRef/>
      </w:r>
      <w:r w:rsidRPr="00DD252A">
        <w:t xml:space="preserve"> </w:t>
      </w:r>
      <w:r w:rsidRPr="00DD252A">
        <w:rPr>
          <w:i/>
        </w:rPr>
        <w:t>SRB</w:t>
      </w:r>
      <w:r>
        <w:t xml:space="preserve"> n</w:t>
      </w:r>
      <w:r w:rsidRPr="00DD252A">
        <w:t>ote on Josh. 1:1, p. 259.  Ref. Heb. 2:10, 11.</w:t>
      </w:r>
    </w:p>
  </w:endnote>
  <w:endnote w:id="710">
    <w:p w:rsidR="00975183" w:rsidRDefault="00975183" w:rsidP="00442D33">
      <w:pPr>
        <w:pStyle w:val="EndnoteText"/>
      </w:pPr>
      <w:r w:rsidRPr="00DD252A">
        <w:rPr>
          <w:rStyle w:val="FootnoteReference"/>
        </w:rPr>
        <w:endnoteRef/>
      </w:r>
      <w:r w:rsidRPr="00DD252A">
        <w:t xml:space="preserve"> </w:t>
      </w:r>
      <w:proofErr w:type="gramStart"/>
      <w:r w:rsidRPr="00DD252A">
        <w:rPr>
          <w:i/>
        </w:rPr>
        <w:t>SRB</w:t>
      </w:r>
      <w:r w:rsidRPr="00DD252A">
        <w:t xml:space="preserve"> note on 1 Kgs 8:1, p. 396.</w:t>
      </w:r>
      <w:proofErr w:type="gramEnd"/>
      <w:r w:rsidRPr="00DD252A">
        <w:t xml:space="preserve">  </w:t>
      </w:r>
      <w:r w:rsidRPr="00C80AE5">
        <w:rPr>
          <w:b/>
        </w:rPr>
        <w:t>See note on Exod. 25:9 in 2.3.1, a) i) ‘Exodus’ above; and c) i) ‘The Church’, c) ii) Believers, and e) Further Types (tabernacle), below</w:t>
      </w:r>
      <w:r>
        <w:t xml:space="preserve">. </w:t>
      </w:r>
    </w:p>
  </w:endnote>
  <w:endnote w:id="711">
    <w:p w:rsidR="00975183" w:rsidRDefault="00975183" w:rsidP="00442D33">
      <w:pPr>
        <w:pStyle w:val="FootnoteText"/>
        <w:rPr>
          <w:rFonts w:ascii="Perpetua" w:eastAsiaTheme="minorHAnsi" w:hAnsi="Perpetua"/>
          <w:lang w:val="en-US"/>
        </w:rPr>
      </w:pPr>
      <w:r w:rsidRPr="00DD252A">
        <w:rPr>
          <w:rStyle w:val="FootnoteReference"/>
          <w:rFonts w:ascii="Perpetua" w:hAnsi="Perpetua"/>
        </w:rPr>
        <w:endnoteRef/>
      </w:r>
      <w:r w:rsidRPr="00DD252A">
        <w:rPr>
          <w:rFonts w:ascii="Perpetua" w:hAnsi="Perpetua"/>
        </w:rPr>
        <w:t xml:space="preserve"> Refs: Rom. 12:1-3: ‘</w:t>
      </w:r>
      <w:r w:rsidRPr="00DD252A">
        <w:rPr>
          <w:rFonts w:ascii="Perpetua" w:eastAsiaTheme="minorHAnsi" w:hAnsi="Perpetua"/>
          <w:lang w:val="en-US"/>
        </w:rPr>
        <w:t xml:space="preserve">I beseech you therefore, brethren, by the mercies of God, that ye present your bodies a living sacrifice, holy, acceptable unto God, </w:t>
      </w:r>
      <w:r w:rsidRPr="00DD252A">
        <w:rPr>
          <w:rFonts w:ascii="Perpetua" w:eastAsiaTheme="minorHAnsi" w:hAnsi="Perpetua"/>
          <w:i/>
          <w:iCs/>
          <w:lang w:val="en-US"/>
        </w:rPr>
        <w:t>which is</w:t>
      </w:r>
      <w:r w:rsidRPr="00DD252A">
        <w:rPr>
          <w:rFonts w:ascii="Perpetua" w:eastAsiaTheme="minorHAnsi" w:hAnsi="Perpetua"/>
          <w:lang w:val="en-US"/>
        </w:rPr>
        <w:t xml:space="preserve"> your reasonable service. </w:t>
      </w:r>
      <w:r w:rsidRPr="00DD252A">
        <w:rPr>
          <w:rFonts w:ascii="Perpetua" w:eastAsiaTheme="minorHAnsi" w:hAnsi="Perpetua"/>
          <w:vertAlign w:val="superscript"/>
          <w:lang w:val="en-US"/>
        </w:rPr>
        <w:t>2</w:t>
      </w:r>
      <w:r w:rsidRPr="00DD252A">
        <w:rPr>
          <w:rFonts w:ascii="Perpetua" w:eastAsiaTheme="minorHAnsi" w:hAnsi="Perpetua"/>
          <w:lang w:val="en-US"/>
        </w:rPr>
        <w:t xml:space="preserve">And be not conformed to this world: but </w:t>
      </w:r>
      <w:proofErr w:type="gramStart"/>
      <w:r w:rsidRPr="00DD252A">
        <w:rPr>
          <w:rFonts w:ascii="Perpetua" w:eastAsiaTheme="minorHAnsi" w:hAnsi="Perpetua"/>
          <w:lang w:val="en-US"/>
        </w:rPr>
        <w:t>be</w:t>
      </w:r>
      <w:proofErr w:type="gramEnd"/>
      <w:r w:rsidRPr="00DD252A">
        <w:rPr>
          <w:rFonts w:ascii="Perpetua" w:eastAsiaTheme="minorHAnsi" w:hAnsi="Perpetua"/>
          <w:lang w:val="en-US"/>
        </w:rPr>
        <w:t xml:space="preserve"> ye transformed by the renewing of your mind, that ye may prove what </w:t>
      </w:r>
      <w:r w:rsidRPr="00DD252A">
        <w:rPr>
          <w:rFonts w:ascii="Perpetua" w:eastAsiaTheme="minorHAnsi" w:hAnsi="Perpetua"/>
          <w:i/>
          <w:iCs/>
          <w:lang w:val="en-US"/>
        </w:rPr>
        <w:t>is</w:t>
      </w:r>
      <w:r w:rsidRPr="00DD252A">
        <w:rPr>
          <w:rFonts w:ascii="Perpetua" w:eastAsiaTheme="minorHAnsi" w:hAnsi="Perpetua"/>
          <w:lang w:val="en-US"/>
        </w:rPr>
        <w:t xml:space="preserve"> that good, and acceptable, and perfect, will of God. </w:t>
      </w:r>
      <w:r w:rsidRPr="00DD252A">
        <w:rPr>
          <w:rFonts w:ascii="Perpetua" w:eastAsiaTheme="minorHAnsi" w:hAnsi="Perpetua"/>
          <w:vertAlign w:val="superscript"/>
          <w:lang w:val="en-US"/>
        </w:rPr>
        <w:t>3</w:t>
      </w:r>
      <w:r w:rsidRPr="00DD252A">
        <w:rPr>
          <w:rFonts w:ascii="Perpetua" w:eastAsiaTheme="minorHAnsi" w:hAnsi="Perpetua"/>
          <w:lang w:val="en-US"/>
        </w:rPr>
        <w:t xml:space="preserve">For I say, through the grace given unto me, to every man that is among you, not to think </w:t>
      </w:r>
      <w:r w:rsidRPr="00DD252A">
        <w:rPr>
          <w:rFonts w:ascii="Perpetua" w:eastAsiaTheme="minorHAnsi" w:hAnsi="Perpetua"/>
          <w:i/>
          <w:iCs/>
          <w:lang w:val="en-US"/>
        </w:rPr>
        <w:t xml:space="preserve">of </w:t>
      </w:r>
      <w:proofErr w:type="gramStart"/>
      <w:r w:rsidRPr="00DD252A">
        <w:rPr>
          <w:rFonts w:ascii="Perpetua" w:eastAsiaTheme="minorHAnsi" w:hAnsi="Perpetua"/>
          <w:i/>
          <w:iCs/>
          <w:lang w:val="en-US"/>
        </w:rPr>
        <w:t>himself</w:t>
      </w:r>
      <w:proofErr w:type="gramEnd"/>
      <w:r w:rsidRPr="00DD252A">
        <w:rPr>
          <w:rFonts w:ascii="Perpetua" w:eastAsiaTheme="minorHAnsi" w:hAnsi="Perpetua"/>
          <w:lang w:val="en-US"/>
        </w:rPr>
        <w:t xml:space="preserve"> more highly than he ought to think; but to think soberly, according as God hath dealt to every man the measure of faith.’  </w:t>
      </w:r>
    </w:p>
    <w:p w:rsidR="00975183" w:rsidRPr="00DD252A" w:rsidRDefault="00975183" w:rsidP="00442D33">
      <w:pPr>
        <w:pStyle w:val="FootnoteText"/>
        <w:rPr>
          <w:rFonts w:ascii="Perpetua" w:eastAsiaTheme="minorHAnsi" w:hAnsi="Perpetua"/>
          <w:lang w:val="en-US"/>
        </w:rPr>
      </w:pPr>
      <w:r w:rsidRPr="00DD252A">
        <w:rPr>
          <w:rFonts w:ascii="Perpetua" w:eastAsiaTheme="minorHAnsi" w:hAnsi="Perpetua"/>
          <w:lang w:val="en-US"/>
        </w:rPr>
        <w:t xml:space="preserve">Rom. 12:1-3  </w:t>
      </w:r>
      <w:r w:rsidRPr="00DD252A">
        <w:rPr>
          <w:rFonts w:ascii="Perpetua" w:eastAsiaTheme="minorHAnsi" w:hAnsi="Perpetua"/>
          <w:i/>
          <w:lang w:val="en-US"/>
        </w:rPr>
        <w:t>KJV</w:t>
      </w:r>
      <w:r w:rsidRPr="00DD252A">
        <w:rPr>
          <w:rFonts w:ascii="Perpetua" w:eastAsiaTheme="minorHAnsi" w:hAnsi="Perpetua"/>
          <w:lang w:val="en-US"/>
        </w:rPr>
        <w:t>;</w:t>
      </w:r>
    </w:p>
    <w:p w:rsidR="00975183" w:rsidRPr="00DD252A" w:rsidRDefault="00975183" w:rsidP="00442D33">
      <w:pPr>
        <w:pStyle w:val="FootnoteText"/>
        <w:rPr>
          <w:rFonts w:ascii="Perpetua" w:hAnsi="Perpetua"/>
        </w:rPr>
      </w:pPr>
      <w:r w:rsidRPr="00DD252A">
        <w:rPr>
          <w:rFonts w:ascii="Perpetua" w:eastAsiaTheme="minorHAnsi" w:hAnsi="Perpetua"/>
          <w:lang w:val="en-US"/>
        </w:rPr>
        <w:t xml:space="preserve"> ‘And be not drunk with wine, wherein is excess; but be filled with the Spirit; </w:t>
      </w:r>
      <w:r w:rsidRPr="00DD252A">
        <w:rPr>
          <w:rFonts w:ascii="Perpetua" w:eastAsiaTheme="minorHAnsi" w:hAnsi="Perpetua"/>
          <w:vertAlign w:val="superscript"/>
          <w:lang w:val="en-US"/>
        </w:rPr>
        <w:t>19</w:t>
      </w:r>
      <w:r w:rsidRPr="00DD252A">
        <w:rPr>
          <w:rFonts w:ascii="Perpetua" w:eastAsiaTheme="minorHAnsi" w:hAnsi="Perpetua"/>
          <w:lang w:val="en-US"/>
        </w:rPr>
        <w:t>Speaking to yourselves in psalms and hymns and spiritual songs, singing and making melody in your heart to the Lord;</w:t>
      </w:r>
      <w:proofErr w:type="gramStart"/>
      <w:r w:rsidRPr="00DD252A">
        <w:rPr>
          <w:rFonts w:ascii="Perpetua" w:eastAsiaTheme="minorHAnsi" w:hAnsi="Perpetua"/>
          <w:lang w:val="en-US"/>
        </w:rPr>
        <w:t>’  Eph</w:t>
      </w:r>
      <w:proofErr w:type="gramEnd"/>
      <w:r w:rsidRPr="00DD252A">
        <w:rPr>
          <w:rFonts w:ascii="Perpetua" w:eastAsiaTheme="minorHAnsi" w:hAnsi="Perpetua"/>
          <w:lang w:val="en-US"/>
        </w:rPr>
        <w:t xml:space="preserve">. 5:18-19 </w:t>
      </w:r>
      <w:r w:rsidRPr="00DD252A">
        <w:rPr>
          <w:rFonts w:ascii="Perpetua" w:eastAsiaTheme="minorHAnsi" w:hAnsi="Perpetua"/>
          <w:i/>
          <w:lang w:val="en-US"/>
        </w:rPr>
        <w:t>KJV</w:t>
      </w:r>
      <w:r w:rsidRPr="00DD252A">
        <w:rPr>
          <w:rFonts w:ascii="Perpetua" w:eastAsiaTheme="minorHAnsi" w:hAnsi="Perpetua"/>
          <w:lang w:val="en-US"/>
        </w:rPr>
        <w:t>.</w:t>
      </w:r>
    </w:p>
    <w:p w:rsidR="00975183" w:rsidRDefault="00975183" w:rsidP="00442D33">
      <w:pPr>
        <w:pStyle w:val="EndnoteText"/>
      </w:pPr>
      <w:r w:rsidRPr="00DD252A">
        <w:rPr>
          <w:rStyle w:val="FootnoteReference"/>
        </w:rPr>
        <w:endnoteRef/>
      </w:r>
      <w:r w:rsidRPr="00DD252A">
        <w:t xml:space="preserve"> </w:t>
      </w:r>
      <w:proofErr w:type="gramStart"/>
      <w:r w:rsidRPr="00DD252A">
        <w:t>Ref. Rev. 19:19-21.</w:t>
      </w:r>
      <w:proofErr w:type="gramEnd"/>
      <w:r w:rsidRPr="00DD252A">
        <w:t xml:space="preserve">  These verses describe the defeat and destruction of the beast and false prophet.</w:t>
      </w:r>
    </w:p>
  </w:endnote>
  <w:endnote w:id="712">
    <w:p w:rsidR="00975183" w:rsidRPr="00425C24" w:rsidRDefault="00975183" w:rsidP="00442D33">
      <w:pPr>
        <w:pStyle w:val="EndnoteText"/>
      </w:pPr>
      <w:r w:rsidRPr="00425C24">
        <w:rPr>
          <w:rStyle w:val="EndnoteReference"/>
        </w:rPr>
        <w:endnoteRef/>
      </w:r>
      <w:r w:rsidRPr="00425C24">
        <w:t xml:space="preserve"> </w:t>
      </w:r>
      <w:proofErr w:type="gramStart"/>
      <w:r w:rsidRPr="00A42309">
        <w:rPr>
          <w:i/>
        </w:rPr>
        <w:t>SRB</w:t>
      </w:r>
      <w:r w:rsidRPr="00425C24">
        <w:t xml:space="preserve"> </w:t>
      </w:r>
      <w:r>
        <w:t>n</w:t>
      </w:r>
      <w:r w:rsidRPr="00425C24">
        <w:t>ote on 1 Chron. 17:7, p. 475.</w:t>
      </w:r>
      <w:proofErr w:type="gramEnd"/>
      <w:r w:rsidRPr="00425C24">
        <w:t xml:space="preserve">  </w:t>
      </w:r>
    </w:p>
  </w:endnote>
  <w:endnote w:id="713">
    <w:p w:rsidR="00975183" w:rsidRPr="00373406" w:rsidRDefault="00975183" w:rsidP="00442D33">
      <w:pPr>
        <w:pStyle w:val="EndnoteText"/>
      </w:pPr>
      <w:r w:rsidRPr="00373406">
        <w:rPr>
          <w:rStyle w:val="EndnoteReference"/>
        </w:rPr>
        <w:endnoteRef/>
      </w:r>
      <w:r w:rsidRPr="00373406">
        <w:t xml:space="preserve"> </w:t>
      </w:r>
      <w:r w:rsidRPr="00373406">
        <w:rPr>
          <w:i/>
        </w:rPr>
        <w:t>SRB</w:t>
      </w:r>
      <w:r w:rsidRPr="00373406">
        <w:t xml:space="preserve"> </w:t>
      </w:r>
      <w:r>
        <w:t>n</w:t>
      </w:r>
      <w:r w:rsidRPr="00373406">
        <w:t>ote on Isa. 59:20, p. 765.</w:t>
      </w:r>
    </w:p>
  </w:endnote>
  <w:endnote w:id="714">
    <w:p w:rsidR="00975183" w:rsidRDefault="00975183" w:rsidP="00442D33">
      <w:pPr>
        <w:pStyle w:val="EndnoteText"/>
      </w:pPr>
      <w:r w:rsidRPr="00DD252A">
        <w:rPr>
          <w:rStyle w:val="FootnoteReference"/>
        </w:rPr>
        <w:endnoteRef/>
      </w:r>
      <w:r w:rsidRPr="00DD252A">
        <w:t xml:space="preserve"> Refs Isa. 44:28 and Zech. 14:1-11.  </w:t>
      </w:r>
    </w:p>
  </w:endnote>
  <w:endnote w:id="715">
    <w:p w:rsidR="00975183" w:rsidRDefault="00975183" w:rsidP="00442D33">
      <w:pPr>
        <w:pStyle w:val="EndnoteText"/>
      </w:pPr>
      <w:r w:rsidRPr="00DD252A">
        <w:rPr>
          <w:rStyle w:val="FootnoteReference"/>
        </w:rPr>
        <w:endnoteRef/>
      </w:r>
      <w:r w:rsidRPr="00DD252A">
        <w:t xml:space="preserve"> Refs Isa. 45:6: and 1 Cor. 15:28.</w:t>
      </w:r>
    </w:p>
  </w:endnote>
  <w:endnote w:id="716">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Isa. 45:1, p. 753.  </w:t>
      </w:r>
    </w:p>
  </w:endnote>
  <w:endnote w:id="717">
    <w:p w:rsidR="00975183" w:rsidRPr="00425C24" w:rsidRDefault="00975183" w:rsidP="00442D33">
      <w:pPr>
        <w:pStyle w:val="EndnoteText"/>
      </w:pPr>
      <w:r w:rsidRPr="00425C24">
        <w:rPr>
          <w:rStyle w:val="EndnoteReference"/>
        </w:rPr>
        <w:endnoteRef/>
      </w:r>
      <w:r w:rsidRPr="00425C24">
        <w:t xml:space="preserve"> </w:t>
      </w:r>
      <w:r w:rsidRPr="00425C24">
        <w:rPr>
          <w:i/>
        </w:rPr>
        <w:t>SRB</w:t>
      </w:r>
      <w:r>
        <w:t xml:space="preserve"> n</w:t>
      </w:r>
      <w:r w:rsidRPr="00425C24">
        <w:t xml:space="preserve">ote on Ezek. 1:5. </w:t>
      </w:r>
      <w:proofErr w:type="gramStart"/>
      <w:r w:rsidRPr="00425C24">
        <w:t>p. 840</w:t>
      </w:r>
      <w:r w:rsidRPr="00425C24">
        <w:rPr>
          <w:lang w:eastAsia="en-GB"/>
        </w:rPr>
        <w:t>.</w:t>
      </w:r>
      <w:proofErr w:type="gramEnd"/>
    </w:p>
  </w:endnote>
  <w:endnote w:id="718">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w:t>
      </w:r>
      <w:r w:rsidRPr="00373406">
        <w:t>Introduction to Jonah, p. 943.</w:t>
      </w:r>
      <w:r>
        <w:t xml:space="preserve">  </w:t>
      </w:r>
    </w:p>
  </w:endnote>
  <w:endnote w:id="719">
    <w:p w:rsidR="00975183" w:rsidRPr="009418E6" w:rsidRDefault="00975183" w:rsidP="00442D33">
      <w:pPr>
        <w:pStyle w:val="EndnoteText"/>
      </w:pPr>
      <w:r w:rsidRPr="00425C24">
        <w:rPr>
          <w:rStyle w:val="EndnoteReference"/>
        </w:rPr>
        <w:endnoteRef/>
      </w:r>
      <w:r w:rsidRPr="00425C24">
        <w:t xml:space="preserve"> </w:t>
      </w:r>
      <w:r w:rsidRPr="00425C24">
        <w:rPr>
          <w:i/>
        </w:rPr>
        <w:t>SRB</w:t>
      </w:r>
      <w:r w:rsidRPr="00425C24">
        <w:t xml:space="preserve"> </w:t>
      </w:r>
      <w:r>
        <w:t>n</w:t>
      </w:r>
      <w:r w:rsidRPr="00425C24">
        <w:t xml:space="preserve">ote on Zech. 4:2, p. 968.  </w:t>
      </w:r>
      <w:r>
        <w:t>Scofield</w:t>
      </w:r>
      <w:r w:rsidRPr="00425C24">
        <w:t xml:space="preserve"> refer</w:t>
      </w:r>
      <w:r>
        <w:t>s</w:t>
      </w:r>
      <w:r w:rsidRPr="00425C24">
        <w:t xml:space="preserve"> to the two witnesses of Revelation 11</w:t>
      </w:r>
      <w:r w:rsidRPr="009418E6">
        <w:t xml:space="preserve">.  </w:t>
      </w:r>
      <w:proofErr w:type="gramStart"/>
      <w:r w:rsidRPr="009418E6">
        <w:rPr>
          <w:b/>
        </w:rPr>
        <w:t>See 5.6.2; 8.4.15.</w:t>
      </w:r>
      <w:proofErr w:type="gramEnd"/>
      <w:r w:rsidRPr="009418E6">
        <w:rPr>
          <w:b/>
        </w:rPr>
        <w:t xml:space="preserve"> </w:t>
      </w:r>
    </w:p>
  </w:endnote>
  <w:endnote w:id="720">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otes on Mt. 5:17, p. 1000, and Mt. 27:51, p. 1047.  cf note on Exod. </w:t>
      </w:r>
      <w:proofErr w:type="gramStart"/>
      <w:r w:rsidRPr="00DD252A">
        <w:t>26:31,</w:t>
      </w:r>
      <w:proofErr w:type="gramEnd"/>
      <w:r w:rsidRPr="00DD252A">
        <w:t xml:space="preserve"> see </w:t>
      </w:r>
      <w:r w:rsidRPr="00DD252A">
        <w:rPr>
          <w:color w:val="002060"/>
        </w:rPr>
        <w:t>above</w:t>
      </w:r>
      <w:r w:rsidRPr="00DD252A">
        <w:t>.  The references are to Heb. 9:11-26 and to Heb. 10:20.</w:t>
      </w:r>
    </w:p>
  </w:endnote>
  <w:endnote w:id="721">
    <w:p w:rsidR="00975183" w:rsidRPr="00425C24" w:rsidRDefault="00975183" w:rsidP="00442D33">
      <w:pPr>
        <w:pStyle w:val="EndnoteText"/>
      </w:pPr>
      <w:r w:rsidRPr="00373406">
        <w:rPr>
          <w:rStyle w:val="EndnoteReference"/>
        </w:rPr>
        <w:endnoteRef/>
      </w:r>
      <w:r w:rsidRPr="00373406">
        <w:t xml:space="preserve"> </w:t>
      </w:r>
      <w:r w:rsidRPr="00373406">
        <w:rPr>
          <w:i/>
        </w:rPr>
        <w:t>SRB</w:t>
      </w:r>
      <w:r w:rsidRPr="00373406">
        <w:t xml:space="preserve"> note </w:t>
      </w:r>
      <w:r w:rsidRPr="00F87778">
        <w:t>on Jn 20:17</w:t>
      </w:r>
      <w:r>
        <w:t xml:space="preserve">, pp. </w:t>
      </w:r>
      <w:r w:rsidRPr="00655AF9">
        <w:t>1143-4</w:t>
      </w:r>
      <w:r w:rsidRPr="00425C24">
        <w:t xml:space="preserve">.  </w:t>
      </w:r>
      <w:proofErr w:type="gramStart"/>
      <w:r w:rsidRPr="00C80AE5">
        <w:rPr>
          <w:b/>
        </w:rPr>
        <w:t>See 8.6.4</w:t>
      </w:r>
      <w:r w:rsidRPr="00C80AE5">
        <w:t>.</w:t>
      </w:r>
      <w:proofErr w:type="gramEnd"/>
      <w:r w:rsidRPr="00C80AE5">
        <w:t xml:space="preserve">  </w:t>
      </w:r>
    </w:p>
  </w:endnote>
  <w:endnote w:id="722">
    <w:p w:rsidR="00975183" w:rsidRPr="00304EDC" w:rsidRDefault="00975183" w:rsidP="00442D33">
      <w:pPr>
        <w:pStyle w:val="EndnoteText"/>
      </w:pPr>
      <w:r w:rsidRPr="00373406">
        <w:rPr>
          <w:rStyle w:val="EndnoteReference"/>
        </w:rPr>
        <w:endnoteRef/>
      </w:r>
      <w:r w:rsidRPr="00373406">
        <w:t xml:space="preserve"> </w:t>
      </w:r>
      <w:r w:rsidRPr="00373406">
        <w:rPr>
          <w:i/>
        </w:rPr>
        <w:t>SRB</w:t>
      </w:r>
      <w:r>
        <w:t xml:space="preserve"> n</w:t>
      </w:r>
      <w:r w:rsidRPr="00373406">
        <w:t xml:space="preserve">ote on Rom. 3:24, </w:t>
      </w:r>
      <w:r>
        <w:t>p. 1195.</w:t>
      </w:r>
      <w:r w:rsidRPr="00373406">
        <w:t xml:space="preserve">  Words which are ‘translated redemption’: </w:t>
      </w:r>
      <w:r w:rsidRPr="00304EDC">
        <w:rPr>
          <w:rFonts w:ascii="Bwgrkl" w:hAnsi="Bwgrkl"/>
          <w:sz w:val="22"/>
          <w:szCs w:val="22"/>
        </w:rPr>
        <w:t>avgora,zw</w:t>
      </w:r>
      <w:r w:rsidRPr="00304EDC">
        <w:t xml:space="preserve">, </w:t>
      </w:r>
      <w:r w:rsidRPr="00304EDC">
        <w:rPr>
          <w:rFonts w:ascii="Bwgrkl" w:hAnsi="Bwgrkl"/>
          <w:sz w:val="22"/>
          <w:szCs w:val="22"/>
        </w:rPr>
        <w:t xml:space="preserve">evxagora,zw </w:t>
      </w:r>
      <w:r w:rsidRPr="00304EDC">
        <w:rPr>
          <w:lang w:val="en-US"/>
        </w:rPr>
        <w:t xml:space="preserve">and </w:t>
      </w:r>
      <w:r w:rsidRPr="00304EDC">
        <w:rPr>
          <w:rFonts w:ascii="Bwgrkl" w:hAnsi="Bwgrkl"/>
          <w:sz w:val="22"/>
          <w:szCs w:val="22"/>
        </w:rPr>
        <w:t>lutro,w</w:t>
      </w:r>
    </w:p>
    <w:p w:rsidR="00975183" w:rsidRPr="00C15889" w:rsidRDefault="00975183" w:rsidP="00442D33">
      <w:pPr>
        <w:autoSpaceDE w:val="0"/>
        <w:autoSpaceDN w:val="0"/>
        <w:adjustRightInd w:val="0"/>
        <w:spacing w:after="0" w:line="240" w:lineRule="auto"/>
      </w:pPr>
      <w:r w:rsidRPr="00304EDC">
        <w:rPr>
          <w:rFonts w:ascii="Bwgrkl" w:hAnsi="Bwgrkl"/>
          <w:b/>
        </w:rPr>
        <w:t>avgora,zw</w:t>
      </w:r>
      <w:r w:rsidRPr="00304EDC">
        <w:t xml:space="preserve"> – refs:</w:t>
      </w:r>
      <w:r w:rsidRPr="00C15889">
        <w:t xml:space="preserve"> </w:t>
      </w:r>
    </w:p>
    <w:p w:rsidR="00975183" w:rsidRPr="00373406" w:rsidRDefault="00975183" w:rsidP="00442D33">
      <w:pPr>
        <w:autoSpaceDE w:val="0"/>
        <w:autoSpaceDN w:val="0"/>
        <w:adjustRightInd w:val="0"/>
        <w:spacing w:after="0" w:line="240" w:lineRule="auto"/>
        <w:rPr>
          <w:lang w:val="en-US"/>
        </w:rPr>
      </w:pPr>
      <w:r w:rsidRPr="00373406">
        <w:t xml:space="preserve">Gal. 3:13 </w:t>
      </w:r>
      <w:r>
        <w:t>(</w:t>
      </w:r>
      <w:r w:rsidRPr="00373406">
        <w:t>‘</w:t>
      </w:r>
      <w:r w:rsidRPr="00373406">
        <w:rPr>
          <w:lang w:val="en-US"/>
        </w:rPr>
        <w:t xml:space="preserve">Christ hath redeemed us from the curse of the law, being made a curse for us: for it is written, Cursed </w:t>
      </w:r>
      <w:r w:rsidRPr="00373406">
        <w:rPr>
          <w:i/>
          <w:iCs/>
          <w:lang w:val="en-US"/>
        </w:rPr>
        <w:t>is</w:t>
      </w:r>
      <w:r w:rsidRPr="00373406">
        <w:rPr>
          <w:lang w:val="en-US"/>
        </w:rPr>
        <w:t xml:space="preserve"> every one that hangeth on a tree</w:t>
      </w:r>
      <w:r>
        <w:rPr>
          <w:lang w:val="en-US"/>
        </w:rPr>
        <w:t>’</w:t>
      </w:r>
      <w:r w:rsidRPr="00373406">
        <w:rPr>
          <w:lang w:val="en-US"/>
        </w:rPr>
        <w:t xml:space="preserve">, Gal. 3:13, </w:t>
      </w:r>
      <w:r w:rsidRPr="00373406">
        <w:rPr>
          <w:i/>
          <w:lang w:val="en-US"/>
        </w:rPr>
        <w:t>KJV</w:t>
      </w:r>
      <w:r w:rsidRPr="00304EDC">
        <w:rPr>
          <w:lang w:val="en-US"/>
        </w:rPr>
        <w:t>)</w:t>
      </w:r>
      <w:r w:rsidRPr="00373406">
        <w:rPr>
          <w:lang w:val="en-US"/>
        </w:rPr>
        <w:t xml:space="preserve">; </w:t>
      </w:r>
    </w:p>
    <w:p w:rsidR="00975183" w:rsidRPr="00373406" w:rsidRDefault="00975183" w:rsidP="00442D33">
      <w:pPr>
        <w:autoSpaceDE w:val="0"/>
        <w:autoSpaceDN w:val="0"/>
        <w:adjustRightInd w:val="0"/>
        <w:spacing w:after="0" w:line="240" w:lineRule="auto"/>
        <w:rPr>
          <w:lang w:val="en-US"/>
        </w:rPr>
      </w:pPr>
      <w:r w:rsidRPr="00373406">
        <w:rPr>
          <w:lang w:val="en-US"/>
        </w:rPr>
        <w:t>2 Cor. 5:21 (</w:t>
      </w:r>
      <w:r>
        <w:rPr>
          <w:lang w:val="en-US"/>
        </w:rPr>
        <w:t>‘</w:t>
      </w:r>
      <w:r w:rsidRPr="00373406">
        <w:rPr>
          <w:lang w:val="en-US"/>
        </w:rPr>
        <w:t xml:space="preserve">For he hath made him </w:t>
      </w:r>
      <w:r w:rsidRPr="00373406">
        <w:rPr>
          <w:i/>
          <w:iCs/>
          <w:lang w:val="en-US"/>
        </w:rPr>
        <w:t>to be</w:t>
      </w:r>
      <w:r w:rsidRPr="00373406">
        <w:rPr>
          <w:lang w:val="en-US"/>
        </w:rPr>
        <w:t xml:space="preserve"> sin for us, who knew no sin; that we might be made the righteousness of God in him</w:t>
      </w:r>
      <w:r>
        <w:rPr>
          <w:lang w:val="en-US"/>
        </w:rPr>
        <w:t>’,</w:t>
      </w:r>
      <w:r w:rsidRPr="00373406">
        <w:rPr>
          <w:lang w:val="en-US"/>
        </w:rPr>
        <w:t xml:space="preserve"> 2 Cor. 5:21, </w:t>
      </w:r>
      <w:r w:rsidRPr="00373406">
        <w:rPr>
          <w:i/>
          <w:lang w:val="en-US"/>
        </w:rPr>
        <w:t>KJV</w:t>
      </w:r>
      <w:r w:rsidRPr="00373406">
        <w:rPr>
          <w:lang w:val="en-US"/>
        </w:rPr>
        <w:t>);</w:t>
      </w:r>
    </w:p>
    <w:p w:rsidR="00975183" w:rsidRPr="00373406" w:rsidRDefault="00975183" w:rsidP="00442D33">
      <w:pPr>
        <w:pStyle w:val="EndnoteText"/>
        <w:rPr>
          <w:lang w:val="en-US"/>
        </w:rPr>
      </w:pPr>
      <w:r w:rsidRPr="00373406">
        <w:t>Mt. 20:28 (</w:t>
      </w:r>
      <w:r>
        <w:t>‘</w:t>
      </w:r>
      <w:r w:rsidRPr="00373406">
        <w:rPr>
          <w:lang w:val="en-US"/>
        </w:rPr>
        <w:t>Even as the Son of man came not to be ministered unto, but to minister, and to give his life a ransom for many</w:t>
      </w:r>
      <w:r>
        <w:rPr>
          <w:lang w:val="en-US"/>
        </w:rPr>
        <w:t>’</w:t>
      </w:r>
      <w:r w:rsidRPr="00373406">
        <w:rPr>
          <w:lang w:val="en-US"/>
        </w:rPr>
        <w:t xml:space="preserve"> Mt. 20:28,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t>Mk 10:45 (</w:t>
      </w:r>
      <w:proofErr w:type="gramStart"/>
      <w:r>
        <w:t>‘</w:t>
      </w:r>
      <w:r w:rsidRPr="00373406">
        <w:rPr>
          <w:lang w:val="en-US"/>
        </w:rPr>
        <w:t>For</w:t>
      </w:r>
      <w:proofErr w:type="gramEnd"/>
      <w:r w:rsidRPr="00373406">
        <w:rPr>
          <w:lang w:val="en-US"/>
        </w:rPr>
        <w:t xml:space="preserve"> even the Son of man came not to be ministered unto, but to minister, and to give his life a ransom for many.</w:t>
      </w:r>
      <w:r>
        <w:rPr>
          <w:lang w:val="en-US"/>
        </w:rPr>
        <w:t>’</w:t>
      </w:r>
      <w:r w:rsidRPr="00373406">
        <w:rPr>
          <w:lang w:val="en-US"/>
        </w:rPr>
        <w:t xml:space="preserve">  Mk 10:45,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1 Tim. 2:6 (</w:t>
      </w:r>
      <w:proofErr w:type="gramStart"/>
      <w:r>
        <w:rPr>
          <w:lang w:val="en-US"/>
        </w:rPr>
        <w:t>‘</w:t>
      </w:r>
      <w:r w:rsidRPr="00373406">
        <w:rPr>
          <w:lang w:val="en-US"/>
        </w:rPr>
        <w:t>Who</w:t>
      </w:r>
      <w:proofErr w:type="gramEnd"/>
      <w:r w:rsidRPr="00373406">
        <w:rPr>
          <w:lang w:val="en-US"/>
        </w:rPr>
        <w:t xml:space="preserve"> gave himself a ransom for all, to be testified in due time.</w:t>
      </w:r>
      <w:r>
        <w:rPr>
          <w:lang w:val="en-US"/>
        </w:rPr>
        <w:t>’</w:t>
      </w:r>
      <w:r w:rsidRPr="00373406">
        <w:rPr>
          <w:lang w:val="en-US"/>
        </w:rPr>
        <w:t xml:space="preserve">  1 Tim. 2:6, </w:t>
      </w:r>
      <w:r w:rsidRPr="00373406">
        <w:rPr>
          <w:i/>
          <w:lang w:val="en-US"/>
        </w:rPr>
        <w:t>KJV</w:t>
      </w:r>
      <w:r w:rsidRPr="00373406">
        <w:rPr>
          <w:lang w:val="en-US"/>
        </w:rPr>
        <w:t xml:space="preserve">); </w:t>
      </w:r>
    </w:p>
    <w:p w:rsidR="00975183" w:rsidRPr="00373406" w:rsidRDefault="00975183" w:rsidP="00442D33">
      <w:pPr>
        <w:autoSpaceDE w:val="0"/>
        <w:autoSpaceDN w:val="0"/>
        <w:adjustRightInd w:val="0"/>
        <w:spacing w:after="0" w:line="240" w:lineRule="auto"/>
        <w:rPr>
          <w:lang w:val="en-US"/>
        </w:rPr>
      </w:pPr>
      <w:r w:rsidRPr="00373406">
        <w:rPr>
          <w:lang w:val="en-US"/>
        </w:rPr>
        <w:t>1 Pet. 1:18 (</w:t>
      </w:r>
      <w:r>
        <w:rPr>
          <w:lang w:val="en-US"/>
        </w:rPr>
        <w:t>‘</w:t>
      </w:r>
      <w:r w:rsidRPr="00373406">
        <w:rPr>
          <w:lang w:val="en-US"/>
        </w:rPr>
        <w:t xml:space="preserve">Forasmuch as ye know that ye were not redeemed with corruptible things, </w:t>
      </w:r>
      <w:r w:rsidRPr="00373406">
        <w:rPr>
          <w:i/>
          <w:iCs/>
          <w:lang w:val="en-US"/>
        </w:rPr>
        <w:t>as</w:t>
      </w:r>
      <w:r w:rsidRPr="00373406">
        <w:rPr>
          <w:lang w:val="en-US"/>
        </w:rPr>
        <w:t xml:space="preserve"> silver and gold, from your vain conversation </w:t>
      </w:r>
      <w:r w:rsidRPr="00373406">
        <w:rPr>
          <w:i/>
          <w:iCs/>
          <w:lang w:val="en-US"/>
        </w:rPr>
        <w:t>received</w:t>
      </w:r>
      <w:r w:rsidRPr="00373406">
        <w:rPr>
          <w:lang w:val="en-US"/>
        </w:rPr>
        <w:t xml:space="preserve"> by tradition from your fathers;</w:t>
      </w:r>
      <w:r>
        <w:rPr>
          <w:lang w:val="en-US"/>
        </w:rPr>
        <w:t>’</w:t>
      </w:r>
      <w:r w:rsidRPr="00373406">
        <w:rPr>
          <w:lang w:val="en-US"/>
        </w:rPr>
        <w:t xml:space="preserve"> 1 Pet. 1:18, </w:t>
      </w:r>
      <w:r w:rsidRPr="00373406">
        <w:rPr>
          <w:i/>
          <w:lang w:val="en-US"/>
        </w:rPr>
        <w:t>KJV</w:t>
      </w:r>
      <w:r w:rsidRPr="00373406">
        <w:rPr>
          <w:lang w:val="en-US"/>
        </w:rPr>
        <w:t>).</w:t>
      </w:r>
    </w:p>
    <w:p w:rsidR="00975183" w:rsidRPr="00304EDC" w:rsidRDefault="00975183" w:rsidP="00442D33">
      <w:pPr>
        <w:pStyle w:val="EndnoteText"/>
      </w:pPr>
      <w:proofErr w:type="gramStart"/>
      <w:r w:rsidRPr="00304EDC">
        <w:rPr>
          <w:rFonts w:ascii="Bwgrkl" w:hAnsi="Bwgrkl"/>
          <w:b/>
          <w:sz w:val="22"/>
          <w:szCs w:val="22"/>
        </w:rPr>
        <w:t>evxagora,</w:t>
      </w:r>
      <w:proofErr w:type="gramEnd"/>
      <w:r w:rsidRPr="00304EDC">
        <w:rPr>
          <w:rFonts w:ascii="Bwgrkl" w:hAnsi="Bwgrkl"/>
          <w:b/>
          <w:sz w:val="22"/>
          <w:szCs w:val="22"/>
        </w:rPr>
        <w:t>zw</w:t>
      </w:r>
      <w:r w:rsidRPr="00304EDC">
        <w:rPr>
          <w:i/>
        </w:rPr>
        <w:t>:</w:t>
      </w:r>
      <w:r>
        <w:t xml:space="preserve"> </w:t>
      </w:r>
      <w:r w:rsidRPr="00304EDC">
        <w:t xml:space="preserve"> no refs.</w:t>
      </w:r>
    </w:p>
    <w:p w:rsidR="00975183" w:rsidRPr="00373406" w:rsidRDefault="00975183" w:rsidP="00442D33">
      <w:pPr>
        <w:pStyle w:val="EndnoteText"/>
        <w:rPr>
          <w:lang w:val="en-US"/>
        </w:rPr>
      </w:pPr>
      <w:proofErr w:type="gramStart"/>
      <w:r w:rsidRPr="00304EDC">
        <w:rPr>
          <w:rFonts w:ascii="Bwgrkl" w:hAnsi="Bwgrkl"/>
          <w:b/>
          <w:sz w:val="22"/>
          <w:szCs w:val="22"/>
        </w:rPr>
        <w:t>lutro,</w:t>
      </w:r>
      <w:proofErr w:type="gramEnd"/>
      <w:r w:rsidRPr="00304EDC">
        <w:rPr>
          <w:rFonts w:ascii="Bwgrkl" w:hAnsi="Bwgrkl"/>
          <w:b/>
          <w:sz w:val="22"/>
          <w:szCs w:val="22"/>
        </w:rPr>
        <w:t>w</w:t>
      </w:r>
      <w:r>
        <w:t xml:space="preserve"> – refs</w:t>
      </w:r>
      <w:r w:rsidRPr="00304EDC">
        <w:t>:</w:t>
      </w:r>
      <w:r>
        <w:t xml:space="preserve"> </w:t>
      </w:r>
      <w:r w:rsidRPr="00304EDC">
        <w:t>Jn 8:32 (</w:t>
      </w:r>
      <w:r>
        <w:t>‘</w:t>
      </w:r>
      <w:r w:rsidRPr="00304EDC">
        <w:rPr>
          <w:lang w:val="en-US"/>
        </w:rPr>
        <w:t xml:space="preserve">And ye shall know the truth, </w:t>
      </w:r>
      <w:r w:rsidRPr="00373406">
        <w:rPr>
          <w:lang w:val="en-US"/>
        </w:rPr>
        <w:t>and the truth shall make you free.</w:t>
      </w:r>
      <w:r>
        <w:rPr>
          <w:lang w:val="en-US"/>
        </w:rPr>
        <w:t>’</w:t>
      </w:r>
      <w:r w:rsidRPr="00373406">
        <w:rPr>
          <w:lang w:val="en-US"/>
        </w:rPr>
        <w:t xml:space="preserve">  Jn 8:32,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Gal. 4:4, 5, 31 (</w:t>
      </w:r>
      <w:r>
        <w:rPr>
          <w:lang w:val="en-US"/>
        </w:rPr>
        <w:t>‘</w:t>
      </w:r>
      <w:r w:rsidRPr="00373406">
        <w:rPr>
          <w:lang w:val="en-US"/>
        </w:rPr>
        <w:t xml:space="preserve">But when the fullness of the time was come, God sent forth his Son, made of a woman, made under the law, </w:t>
      </w:r>
      <w:r w:rsidRPr="00373406">
        <w:rPr>
          <w:vertAlign w:val="superscript"/>
          <w:lang w:val="en-US"/>
        </w:rPr>
        <w:t>5</w:t>
      </w:r>
      <w:r w:rsidRPr="00373406">
        <w:rPr>
          <w:lang w:val="en-US"/>
        </w:rPr>
        <w:t xml:space="preserve">To redeem them that were under the law, that we might receive the adoption of sons. … </w:t>
      </w:r>
      <w:r w:rsidRPr="00373406">
        <w:rPr>
          <w:vertAlign w:val="superscript"/>
          <w:lang w:val="en-US"/>
        </w:rPr>
        <w:t>31</w:t>
      </w:r>
      <w:r w:rsidRPr="00373406">
        <w:rPr>
          <w:lang w:val="en-US"/>
        </w:rPr>
        <w:t xml:space="preserve"> So then, brethren, we are not children of the bondwoman, but of the free.</w:t>
      </w:r>
      <w:r>
        <w:rPr>
          <w:lang w:val="en-US"/>
        </w:rPr>
        <w:t>’</w:t>
      </w:r>
      <w:r w:rsidRPr="00373406">
        <w:rPr>
          <w:lang w:val="en-US"/>
        </w:rPr>
        <w:t xml:space="preserve">  Gal. 4:4, 5, 31,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rPr>
          <w:lang w:val="en-US"/>
        </w:rPr>
      </w:pPr>
      <w:r w:rsidRPr="00373406">
        <w:rPr>
          <w:lang w:val="en-US"/>
        </w:rPr>
        <w:t>Gal. 5:13 (</w:t>
      </w:r>
      <w:proofErr w:type="gramStart"/>
      <w:r>
        <w:rPr>
          <w:lang w:val="en-US"/>
        </w:rPr>
        <w:t>‘</w:t>
      </w:r>
      <w:r w:rsidRPr="00373406">
        <w:rPr>
          <w:lang w:val="en-US"/>
        </w:rPr>
        <w:t>For</w:t>
      </w:r>
      <w:proofErr w:type="gramEnd"/>
      <w:r w:rsidRPr="00373406">
        <w:rPr>
          <w:lang w:val="en-US"/>
        </w:rPr>
        <w:t xml:space="preserve">, brethren, ye have been called unto liberty; only </w:t>
      </w:r>
      <w:r w:rsidRPr="00373406">
        <w:rPr>
          <w:i/>
          <w:iCs/>
          <w:lang w:val="en-US"/>
        </w:rPr>
        <w:t>use</w:t>
      </w:r>
      <w:r w:rsidRPr="00373406">
        <w:rPr>
          <w:lang w:val="en-US"/>
        </w:rPr>
        <w:t xml:space="preserve"> not liberty for an occasion to the flesh, but by love serve one another.</w:t>
      </w:r>
      <w:r>
        <w:rPr>
          <w:lang w:val="en-US"/>
        </w:rPr>
        <w:t>’</w:t>
      </w:r>
      <w:r w:rsidRPr="00373406">
        <w:rPr>
          <w:lang w:val="en-US"/>
        </w:rPr>
        <w:t xml:space="preserve">  Gal. 5:13, </w:t>
      </w:r>
      <w:r w:rsidRPr="00373406">
        <w:rPr>
          <w:i/>
          <w:lang w:val="en-US"/>
        </w:rPr>
        <w:t>KJV</w:t>
      </w:r>
      <w:r w:rsidRPr="00373406">
        <w:rPr>
          <w:lang w:val="en-US"/>
        </w:rPr>
        <w:t>);</w:t>
      </w:r>
    </w:p>
    <w:p w:rsidR="00975183" w:rsidRPr="00373406" w:rsidRDefault="00975183" w:rsidP="00442D33">
      <w:pPr>
        <w:autoSpaceDE w:val="0"/>
        <w:autoSpaceDN w:val="0"/>
        <w:adjustRightInd w:val="0"/>
        <w:spacing w:after="0" w:line="240" w:lineRule="auto"/>
      </w:pPr>
      <w:r w:rsidRPr="00373406">
        <w:rPr>
          <w:lang w:val="en-US"/>
        </w:rPr>
        <w:t xml:space="preserve">Rom. 8:21 </w:t>
      </w:r>
      <w:r>
        <w:rPr>
          <w:lang w:val="en-US"/>
        </w:rPr>
        <w:t>‘</w:t>
      </w:r>
      <w:r w:rsidRPr="00373406">
        <w:rPr>
          <w:lang w:val="en-US"/>
        </w:rPr>
        <w:t>Because the creature itself also shall be delivered from the bondage of corruption into the glorious liberty of the children of God.</w:t>
      </w:r>
      <w:r>
        <w:rPr>
          <w:lang w:val="en-US"/>
        </w:rPr>
        <w:t>’</w:t>
      </w:r>
      <w:r w:rsidRPr="00373406">
        <w:rPr>
          <w:lang w:val="en-US"/>
        </w:rPr>
        <w:t xml:space="preserve">  Rom. 8:21, </w:t>
      </w:r>
      <w:r w:rsidRPr="00373406">
        <w:rPr>
          <w:i/>
          <w:lang w:val="en-US"/>
        </w:rPr>
        <w:t>KJV</w:t>
      </w:r>
      <w:r w:rsidRPr="00373406">
        <w:rPr>
          <w:lang w:val="en-US"/>
        </w:rPr>
        <w:t>.</w:t>
      </w:r>
    </w:p>
  </w:endnote>
  <w:endnote w:id="723">
    <w:p w:rsidR="00975183" w:rsidRDefault="00975183" w:rsidP="00442D33">
      <w:pPr>
        <w:pStyle w:val="EndnoteText"/>
      </w:pPr>
      <w:r w:rsidRPr="00DD252A">
        <w:rPr>
          <w:rStyle w:val="FootnoteReference"/>
        </w:rPr>
        <w:endnoteRef/>
      </w:r>
      <w:r w:rsidRPr="00DD252A">
        <w:t xml:space="preserve"> Refs Gen. 2:7; Jn 1:4, 5:21, 10:10, 12:24; 1 Cor. 15:45; 1 Jn 5:12</w:t>
      </w:r>
    </w:p>
  </w:endnote>
  <w:endnote w:id="724">
    <w:p w:rsidR="00975183" w:rsidRDefault="00975183" w:rsidP="00442D33">
      <w:pPr>
        <w:pStyle w:val="EndnoteText"/>
      </w:pPr>
      <w:r w:rsidRPr="00DD252A">
        <w:rPr>
          <w:rStyle w:val="FootnoteReference"/>
        </w:rPr>
        <w:endnoteRef/>
      </w:r>
      <w:r w:rsidRPr="00DD252A">
        <w:t xml:space="preserve"> </w:t>
      </w:r>
      <w:r w:rsidRPr="00DD252A">
        <w:rPr>
          <w:i/>
        </w:rPr>
        <w:t>SRB</w:t>
      </w:r>
      <w:r>
        <w:t xml:space="preserve"> n</w:t>
      </w:r>
      <w:r w:rsidRPr="00DD252A">
        <w:t xml:space="preserve">ote on 1 Cor. 15:22, p. 1226.  </w:t>
      </w:r>
    </w:p>
  </w:endnote>
  <w:endnote w:id="725">
    <w:p w:rsidR="00975183" w:rsidRDefault="00975183" w:rsidP="00442D33">
      <w:pPr>
        <w:pStyle w:val="EndnoteText"/>
      </w:pPr>
      <w:r w:rsidRPr="00DD252A">
        <w:rPr>
          <w:rStyle w:val="FootnoteReference"/>
        </w:rPr>
        <w:endnoteRef/>
      </w:r>
      <w:r w:rsidRPr="00DD252A">
        <w:t xml:space="preserve"> </w:t>
      </w:r>
      <w:proofErr w:type="gramStart"/>
      <w:r w:rsidRPr="00C80AE5">
        <w:rPr>
          <w:b/>
        </w:rPr>
        <w:t>See 2.3.1.</w:t>
      </w:r>
      <w:proofErr w:type="gramEnd"/>
      <w:r w:rsidRPr="00C80AE5">
        <w:rPr>
          <w:b/>
        </w:rPr>
        <w:t xml:space="preserve"> a) </w:t>
      </w:r>
      <w:proofErr w:type="gramStart"/>
      <w:r w:rsidRPr="00C80AE5">
        <w:rPr>
          <w:b/>
        </w:rPr>
        <w:t>i</w:t>
      </w:r>
      <w:proofErr w:type="gramEnd"/>
      <w:r w:rsidRPr="00C80AE5">
        <w:rPr>
          <w:b/>
        </w:rPr>
        <w:t>) above (</w:t>
      </w:r>
      <w:r w:rsidRPr="00C80AE5">
        <w:rPr>
          <w:b/>
          <w:i/>
        </w:rPr>
        <w:t>Genesis</w:t>
      </w:r>
      <w:r w:rsidRPr="00C80AE5">
        <w:rPr>
          <w:b/>
        </w:rPr>
        <w:t>)</w:t>
      </w:r>
      <w:r w:rsidRPr="00C80AE5">
        <w:t>.</w:t>
      </w:r>
    </w:p>
  </w:endnote>
  <w:endnote w:id="726">
    <w:p w:rsidR="00975183" w:rsidRDefault="00975183" w:rsidP="00442D33">
      <w:pPr>
        <w:pStyle w:val="EndnoteText"/>
      </w:pPr>
      <w:r w:rsidRPr="00DD252A">
        <w:rPr>
          <w:rStyle w:val="FootnoteReference"/>
        </w:rPr>
        <w:endnoteRef/>
      </w:r>
      <w:r w:rsidRPr="00DD252A">
        <w:t xml:space="preserve"> Refs Gen. 14:18 with Zech. 6:12, 13.</w:t>
      </w:r>
    </w:p>
  </w:endnote>
  <w:endnote w:id="727">
    <w:p w:rsidR="00975183" w:rsidRDefault="00975183" w:rsidP="00442D33">
      <w:pPr>
        <w:pStyle w:val="EndnoteText"/>
      </w:pPr>
      <w:r w:rsidRPr="00DD252A">
        <w:rPr>
          <w:rStyle w:val="FootnoteReference"/>
        </w:rPr>
        <w:endnoteRef/>
      </w:r>
      <w:r w:rsidRPr="00DD252A">
        <w:t xml:space="preserve"> Ref. Isa. 11:5-9.</w:t>
      </w:r>
    </w:p>
  </w:endnote>
  <w:endnote w:id="728">
    <w:p w:rsidR="00975183" w:rsidRDefault="00975183" w:rsidP="00442D33">
      <w:pPr>
        <w:pStyle w:val="EndnoteText"/>
      </w:pPr>
      <w:r w:rsidRPr="00DD252A">
        <w:rPr>
          <w:rStyle w:val="FootnoteReference"/>
        </w:rPr>
        <w:endnoteRef/>
      </w:r>
      <w:r>
        <w:t xml:space="preserve"> Ref. cf</w:t>
      </w:r>
      <w:r w:rsidRPr="00DD252A">
        <w:t xml:space="preserve"> Jn 1:1.</w:t>
      </w:r>
    </w:p>
  </w:endnote>
  <w:endnote w:id="729">
    <w:p w:rsidR="00975183" w:rsidRDefault="00975183" w:rsidP="00442D33">
      <w:pPr>
        <w:pStyle w:val="EndnoteText"/>
      </w:pPr>
      <w:r w:rsidRPr="00DD252A">
        <w:rPr>
          <w:rStyle w:val="FootnoteReference"/>
        </w:rPr>
        <w:endnoteRef/>
      </w:r>
      <w:r>
        <w:t xml:space="preserve"> </w:t>
      </w:r>
      <w:proofErr w:type="gramStart"/>
      <w:r>
        <w:t>Refs</w:t>
      </w:r>
      <w:proofErr w:type="gramEnd"/>
      <w:r>
        <w:t xml:space="preserve"> cf</w:t>
      </w:r>
      <w:r w:rsidRPr="00DD252A">
        <w:t xml:space="preserve"> Rom. 6:9; Heb. 7:23-5.</w:t>
      </w:r>
    </w:p>
  </w:endnote>
  <w:endnote w:id="730">
    <w:p w:rsidR="00975183" w:rsidRDefault="00975183" w:rsidP="00442D33">
      <w:pPr>
        <w:pStyle w:val="EndnoteText"/>
      </w:pPr>
      <w:r w:rsidRPr="00DD252A">
        <w:rPr>
          <w:rStyle w:val="FootnoteReference"/>
        </w:rPr>
        <w:endnoteRef/>
      </w:r>
      <w:r w:rsidRPr="00DD252A">
        <w:t xml:space="preserve"> </w:t>
      </w:r>
      <w:r w:rsidRPr="00DF7AC0">
        <w:rPr>
          <w:i/>
        </w:rPr>
        <w:t xml:space="preserve">SRB </w:t>
      </w:r>
      <w:r>
        <w:t>n</w:t>
      </w:r>
      <w:r w:rsidRPr="00DD252A">
        <w:t>ote on Heb. 5:6, p. 1295.  Ref. Ps. 110:4.</w:t>
      </w:r>
    </w:p>
  </w:endnote>
  <w:endnote w:id="731">
    <w:p w:rsidR="00975183" w:rsidRDefault="00975183" w:rsidP="00442D33">
      <w:pPr>
        <w:pStyle w:val="EndnoteText"/>
      </w:pPr>
      <w:r w:rsidRPr="00DD252A">
        <w:rPr>
          <w:rStyle w:val="FootnoteReference"/>
        </w:rPr>
        <w:endnoteRef/>
      </w:r>
      <w:r w:rsidRPr="00DD252A">
        <w:t xml:space="preserve"> Hebrews 7:1-4.</w:t>
      </w:r>
    </w:p>
  </w:endnote>
  <w:endnote w:id="732">
    <w:p w:rsidR="00975183" w:rsidRDefault="00975183" w:rsidP="00442D33">
      <w:pPr>
        <w:pStyle w:val="EndnoteText"/>
      </w:pPr>
      <w:r w:rsidRPr="00DD252A">
        <w:rPr>
          <w:rStyle w:val="FootnoteReference"/>
        </w:rPr>
        <w:endnoteRef/>
      </w:r>
      <w:r w:rsidRPr="00DD252A">
        <w:t xml:space="preserve"> Hebrews 7:17, 21.</w:t>
      </w:r>
    </w:p>
  </w:endnote>
  <w:endnote w:id="733">
    <w:p w:rsidR="00975183" w:rsidRDefault="00975183" w:rsidP="00442D33">
      <w:pPr>
        <w:pStyle w:val="EndnoteText"/>
      </w:pPr>
      <w:r w:rsidRPr="00DD252A">
        <w:rPr>
          <w:rStyle w:val="FootnoteReference"/>
        </w:rPr>
        <w:endnoteRef/>
      </w:r>
      <w:r w:rsidRPr="00DD252A">
        <w:t xml:space="preserve"> Genesis 14:17-20.</w:t>
      </w:r>
    </w:p>
  </w:endnote>
  <w:endnote w:id="734">
    <w:p w:rsidR="00975183" w:rsidRDefault="00975183" w:rsidP="00442D33">
      <w:pPr>
        <w:pStyle w:val="EndnoteText"/>
      </w:pPr>
      <w:r w:rsidRPr="00DD252A">
        <w:rPr>
          <w:rStyle w:val="FootnoteReference"/>
        </w:rPr>
        <w:endnoteRef/>
      </w:r>
      <w:r w:rsidRPr="00DD252A">
        <w:t xml:space="preserve"> </w:t>
      </w:r>
      <w:r>
        <w:t xml:space="preserve">Richard </w:t>
      </w:r>
      <w:r w:rsidRPr="00DD252A">
        <w:t>Bauckham, ‘</w:t>
      </w:r>
      <w:r>
        <w:t xml:space="preserve">The </w:t>
      </w:r>
      <w:r w:rsidRPr="00DD252A">
        <w:t xml:space="preserve">Divinity of Jesus Christ in </w:t>
      </w:r>
      <w:r>
        <w:t xml:space="preserve">the Epistle to the </w:t>
      </w:r>
      <w:r w:rsidRPr="00DD252A">
        <w:t xml:space="preserve">Hebrews’ in Richard Bauckham, Daniel R. Driver, Trevor A. Hart &amp; Nathan MacDonald(eds) </w:t>
      </w:r>
      <w:r w:rsidRPr="00DD252A">
        <w:rPr>
          <w:i/>
        </w:rPr>
        <w:t xml:space="preserve">The Epistle to the Hebrews and Christian Theology </w:t>
      </w:r>
      <w:r w:rsidRPr="00DD252A">
        <w:t>(Grand Rapids: William B. Eerdmans Publishing Company, 2009), p. 27.</w:t>
      </w:r>
    </w:p>
  </w:endnote>
  <w:endnote w:id="735">
    <w:p w:rsidR="00975183" w:rsidRDefault="00975183" w:rsidP="00442D33">
      <w:pPr>
        <w:pStyle w:val="EndnoteText"/>
      </w:pPr>
      <w:r w:rsidRPr="00DD252A">
        <w:rPr>
          <w:rStyle w:val="FootnoteReference"/>
        </w:rPr>
        <w:endnoteRef/>
      </w:r>
      <w:r w:rsidRPr="00DD252A">
        <w:t xml:space="preserve"> Bauckham, ‘Divinity of Jesus Christ in Hebrews’, p. 31.</w:t>
      </w:r>
    </w:p>
  </w:endnote>
  <w:endnote w:id="736">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w:t>
      </w:r>
      <w:r>
        <w:t>n</w:t>
      </w:r>
      <w:r w:rsidRPr="00DD252A">
        <w:t>ote on Heb. 1:4, pp. 1291-2.</w:t>
      </w:r>
      <w:r>
        <w:t xml:space="preserve">  </w:t>
      </w:r>
      <w:r w:rsidRPr="009B6564">
        <w:rPr>
          <w:b/>
        </w:rPr>
        <w:t>See 2.4 below</w:t>
      </w:r>
      <w:r>
        <w:t>.</w:t>
      </w:r>
    </w:p>
  </w:endnote>
  <w:endnote w:id="737">
    <w:p w:rsidR="00975183" w:rsidRDefault="00975183" w:rsidP="00442D33">
      <w:pPr>
        <w:pStyle w:val="EndnoteText"/>
      </w:pPr>
      <w:r w:rsidRPr="00DD252A">
        <w:rPr>
          <w:rStyle w:val="FootnoteReference"/>
        </w:rPr>
        <w:endnoteRef/>
      </w:r>
      <w:r w:rsidRPr="00DD252A">
        <w:t xml:space="preserve"> </w:t>
      </w:r>
      <w:r w:rsidRPr="00DD252A">
        <w:rPr>
          <w:szCs w:val="22"/>
        </w:rPr>
        <w:t>Jerome H.Neyrey, ‘</w:t>
      </w:r>
      <w:r w:rsidRPr="00DD252A">
        <w:rPr>
          <w:w w:val="105"/>
        </w:rPr>
        <w:t xml:space="preserve">“Without Beginning of Days or End of Life” (Hebrews 7:3): Topos for a True Deity’, Catholic Biblical Association, </w:t>
      </w:r>
      <w:r w:rsidRPr="00DD252A">
        <w:rPr>
          <w:i/>
          <w:w w:val="105"/>
        </w:rPr>
        <w:t>Catholic Biblical Quarterly</w:t>
      </w:r>
      <w:r w:rsidRPr="00DD252A">
        <w:rPr>
          <w:w w:val="105"/>
        </w:rPr>
        <w:t>, Vol.</w:t>
      </w:r>
      <w:r w:rsidRPr="00DD252A">
        <w:rPr>
          <w:spacing w:val="43"/>
          <w:w w:val="105"/>
        </w:rPr>
        <w:t xml:space="preserve"> </w:t>
      </w:r>
      <w:r w:rsidRPr="00DD252A">
        <w:rPr>
          <w:w w:val="105"/>
        </w:rPr>
        <w:t>53,</w:t>
      </w:r>
      <w:r w:rsidRPr="00DD252A">
        <w:rPr>
          <w:spacing w:val="44"/>
          <w:w w:val="105"/>
        </w:rPr>
        <w:t xml:space="preserve"> </w:t>
      </w:r>
      <w:r w:rsidRPr="00DD252A">
        <w:rPr>
          <w:w w:val="105"/>
        </w:rPr>
        <w:t>No.</w:t>
      </w:r>
      <w:r w:rsidRPr="00DD252A">
        <w:rPr>
          <w:spacing w:val="43"/>
          <w:w w:val="105"/>
        </w:rPr>
        <w:t xml:space="preserve"> </w:t>
      </w:r>
      <w:r w:rsidRPr="00DD252A">
        <w:rPr>
          <w:w w:val="105"/>
        </w:rPr>
        <w:t>3</w:t>
      </w:r>
      <w:r w:rsidRPr="00DD252A">
        <w:rPr>
          <w:spacing w:val="44"/>
          <w:w w:val="105"/>
        </w:rPr>
        <w:t xml:space="preserve"> </w:t>
      </w:r>
      <w:r w:rsidRPr="00DD252A">
        <w:rPr>
          <w:w w:val="105"/>
        </w:rPr>
        <w:t>(July,</w:t>
      </w:r>
      <w:r w:rsidRPr="00DD252A">
        <w:rPr>
          <w:spacing w:val="43"/>
          <w:w w:val="105"/>
        </w:rPr>
        <w:t xml:space="preserve"> </w:t>
      </w:r>
      <w:r w:rsidRPr="00DD252A">
        <w:rPr>
          <w:w w:val="105"/>
        </w:rPr>
        <w:t>1991),</w:t>
      </w:r>
      <w:r w:rsidRPr="00DD252A">
        <w:rPr>
          <w:spacing w:val="44"/>
          <w:w w:val="105"/>
        </w:rPr>
        <w:t xml:space="preserve"> </w:t>
      </w:r>
      <w:r w:rsidRPr="00DD252A">
        <w:rPr>
          <w:w w:val="105"/>
        </w:rPr>
        <w:t>pp.</w:t>
      </w:r>
      <w:r w:rsidRPr="00DD252A">
        <w:rPr>
          <w:spacing w:val="43"/>
          <w:w w:val="105"/>
        </w:rPr>
        <w:t xml:space="preserve"> </w:t>
      </w:r>
      <w:r w:rsidRPr="00DD252A">
        <w:rPr>
          <w:w w:val="105"/>
        </w:rPr>
        <w:t>440, 448 &lt;http://www.jstor.org/stable/43718283&gt; [accessed 29.9.17].</w:t>
      </w:r>
    </w:p>
  </w:endnote>
  <w:endnote w:id="738">
    <w:p w:rsidR="00975183" w:rsidRDefault="00975183" w:rsidP="00442D33">
      <w:pPr>
        <w:pStyle w:val="EndnoteText"/>
      </w:pPr>
      <w:r w:rsidRPr="00DD252A">
        <w:rPr>
          <w:rStyle w:val="FootnoteReference"/>
        </w:rPr>
        <w:endnoteRef/>
      </w:r>
      <w:r w:rsidRPr="00DD252A">
        <w:t xml:space="preserve"> </w:t>
      </w:r>
      <w:r w:rsidRPr="00DD252A">
        <w:rPr>
          <w:szCs w:val="22"/>
        </w:rPr>
        <w:t>Bauckham, ‘Divinity of Jesus Christ in Hebrews’, pp. 29, 31.</w:t>
      </w:r>
    </w:p>
  </w:endnote>
  <w:endnote w:id="739">
    <w:p w:rsidR="00975183" w:rsidRDefault="00975183" w:rsidP="00442D33">
      <w:pPr>
        <w:pStyle w:val="EndnoteText"/>
      </w:pPr>
      <w:r w:rsidRPr="00DD252A">
        <w:rPr>
          <w:rStyle w:val="EndnoteReference"/>
        </w:rPr>
        <w:endnoteRef/>
      </w:r>
      <w:r w:rsidRPr="00DD252A">
        <w:t xml:space="preserve"> </w:t>
      </w:r>
      <w:r w:rsidRPr="00DD252A">
        <w:rPr>
          <w:i/>
        </w:rPr>
        <w:t>SRB</w:t>
      </w:r>
      <w:r>
        <w:t xml:space="preserve"> n</w:t>
      </w:r>
      <w:r w:rsidRPr="00DD252A">
        <w:t xml:space="preserve">ote on Heb. 10:18, p. 1300.  </w:t>
      </w:r>
      <w:proofErr w:type="gramStart"/>
      <w:r w:rsidRPr="00C80AE5">
        <w:rPr>
          <w:b/>
        </w:rPr>
        <w:t>See 8.8.1.</w:t>
      </w:r>
      <w:proofErr w:type="gramEnd"/>
    </w:p>
  </w:endnote>
  <w:endnote w:id="740">
    <w:p w:rsidR="00975183" w:rsidRDefault="00975183" w:rsidP="00442D33">
      <w:pPr>
        <w:pStyle w:val="EndnoteText"/>
      </w:pPr>
      <w:r w:rsidRPr="00DD252A">
        <w:rPr>
          <w:rStyle w:val="FootnoteReference"/>
        </w:rPr>
        <w:endnoteRef/>
      </w:r>
      <w:r w:rsidRPr="00DD252A">
        <w:t xml:space="preserve"> </w:t>
      </w:r>
      <w:r w:rsidRPr="00DD252A">
        <w:rPr>
          <w:szCs w:val="22"/>
        </w:rPr>
        <w:t>Refs Gal. 3:13; 2 Cor. 5:21.</w:t>
      </w:r>
    </w:p>
  </w:endnote>
  <w:endnote w:id="741">
    <w:p w:rsidR="00975183" w:rsidRDefault="00975183" w:rsidP="00442D33">
      <w:pPr>
        <w:pStyle w:val="EndnoteText"/>
      </w:pPr>
      <w:r w:rsidRPr="00DD252A">
        <w:rPr>
          <w:rStyle w:val="FootnoteReference"/>
        </w:rPr>
        <w:endnoteRef/>
      </w:r>
      <w:r w:rsidRPr="00DD252A">
        <w:t xml:space="preserve"> </w:t>
      </w:r>
      <w:r w:rsidRPr="00DD252A">
        <w:rPr>
          <w:szCs w:val="22"/>
        </w:rPr>
        <w:t>Refs Lev. 1:4; Isa. 53:5, 6; 2 Cor. 5:21; 1 Pet. 2:24.</w:t>
      </w:r>
    </w:p>
  </w:endnote>
  <w:endnote w:id="742">
    <w:p w:rsidR="00975183" w:rsidRDefault="00975183" w:rsidP="00442D33">
      <w:pPr>
        <w:pStyle w:val="EndnoteText"/>
      </w:pPr>
      <w:r w:rsidRPr="00DD252A">
        <w:rPr>
          <w:rStyle w:val="FootnoteReference"/>
        </w:rPr>
        <w:endnoteRef/>
      </w:r>
      <w:r w:rsidRPr="00DD252A">
        <w:rPr>
          <w:szCs w:val="22"/>
        </w:rPr>
        <w:t xml:space="preserve"> </w:t>
      </w:r>
      <w:proofErr w:type="gramStart"/>
      <w:r w:rsidRPr="00DD252A">
        <w:rPr>
          <w:szCs w:val="22"/>
        </w:rPr>
        <w:t>Refs Gen. 22:9</w:t>
      </w:r>
      <w:r>
        <w:rPr>
          <w:szCs w:val="22"/>
        </w:rPr>
        <w:t xml:space="preserve"> (Aqedah)</w:t>
      </w:r>
      <w:r w:rsidRPr="00DD252A">
        <w:rPr>
          <w:szCs w:val="22"/>
        </w:rPr>
        <w:t>; Jn 10:18.</w:t>
      </w:r>
      <w:proofErr w:type="gramEnd"/>
      <w:r w:rsidRPr="00DD252A">
        <w:rPr>
          <w:szCs w:val="22"/>
        </w:rPr>
        <w:t xml:space="preserve">  </w:t>
      </w:r>
    </w:p>
  </w:endnote>
  <w:endnote w:id="743">
    <w:p w:rsidR="00975183" w:rsidRDefault="00975183" w:rsidP="00442D33">
      <w:pPr>
        <w:pStyle w:val="EndnoteText"/>
      </w:pPr>
      <w:r w:rsidRPr="00DD252A">
        <w:rPr>
          <w:rStyle w:val="FootnoteReference"/>
        </w:rPr>
        <w:endnoteRef/>
      </w:r>
      <w:r w:rsidRPr="00DD252A">
        <w:rPr>
          <w:szCs w:val="22"/>
        </w:rPr>
        <w:t xml:space="preserve"> Refs Gal. 3:13; Eph. 1:7; 1 Cor. 6:20.</w:t>
      </w:r>
    </w:p>
  </w:endnote>
  <w:endnote w:id="744">
    <w:p w:rsidR="00975183" w:rsidRDefault="00975183" w:rsidP="00442D33">
      <w:pPr>
        <w:pStyle w:val="EndnoteText"/>
      </w:pPr>
      <w:r w:rsidRPr="00DD252A">
        <w:rPr>
          <w:rStyle w:val="FootnoteReference"/>
        </w:rPr>
        <w:endnoteRef/>
      </w:r>
      <w:r w:rsidRPr="00DD252A">
        <w:rPr>
          <w:szCs w:val="22"/>
        </w:rPr>
        <w:t xml:space="preserve"> Refs 2 Cor. 5:18-19; Col. 1:21-2.</w:t>
      </w:r>
    </w:p>
  </w:endnote>
  <w:endnote w:id="745">
    <w:p w:rsidR="00975183" w:rsidRDefault="00975183" w:rsidP="00442D33">
      <w:pPr>
        <w:pStyle w:val="EndnoteText"/>
        <w:rPr>
          <w:szCs w:val="22"/>
        </w:rPr>
      </w:pPr>
      <w:r w:rsidRPr="00DD252A">
        <w:rPr>
          <w:rStyle w:val="FootnoteReference"/>
        </w:rPr>
        <w:endnoteRef/>
      </w:r>
      <w:r w:rsidRPr="00DD252A">
        <w:rPr>
          <w:szCs w:val="22"/>
        </w:rPr>
        <w:t xml:space="preserve"> Refs </w:t>
      </w:r>
      <w:r w:rsidRPr="00E2795C">
        <w:rPr>
          <w:szCs w:val="22"/>
        </w:rPr>
        <w:t>Jn 12:32, 33 (lifted up); Rom. 5:9-10; 2 Cor. 5:21; Eph. 2:13; Heb. 9:11-12, 26; 10:10-17</w:t>
      </w:r>
      <w:r w:rsidRPr="00DD252A">
        <w:rPr>
          <w:szCs w:val="22"/>
        </w:rPr>
        <w:t xml:space="preserve">; 1 Jn 1:7; </w:t>
      </w:r>
    </w:p>
    <w:p w:rsidR="00975183" w:rsidRDefault="00975183" w:rsidP="00442D33">
      <w:pPr>
        <w:pStyle w:val="EndnoteText"/>
      </w:pPr>
      <w:r w:rsidRPr="00DD252A">
        <w:rPr>
          <w:szCs w:val="22"/>
        </w:rPr>
        <w:t>Rev. 1:5.</w:t>
      </w:r>
    </w:p>
  </w:endnote>
  <w:endnote w:id="746">
    <w:p w:rsidR="00975183" w:rsidRDefault="00975183" w:rsidP="00442D33">
      <w:pPr>
        <w:pStyle w:val="EndnoteText"/>
      </w:pPr>
      <w:r w:rsidRPr="00DD252A">
        <w:rPr>
          <w:rStyle w:val="FootnoteReference"/>
        </w:rPr>
        <w:endnoteRef/>
      </w:r>
      <w:r w:rsidRPr="00DD252A">
        <w:rPr>
          <w:szCs w:val="22"/>
        </w:rPr>
        <w:t xml:space="preserve"> Refs Jn 3:16; 1 Jn 4:9-10.</w:t>
      </w:r>
    </w:p>
  </w:endnote>
  <w:endnote w:id="747">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Exod. 30:34, p. 112.</w:t>
      </w:r>
    </w:p>
  </w:endnote>
  <w:endnote w:id="748">
    <w:p w:rsidR="00975183" w:rsidRPr="002A612D" w:rsidRDefault="00975183" w:rsidP="00442D33">
      <w:pPr>
        <w:pStyle w:val="EndnoteText"/>
        <w:rPr>
          <w:color w:val="000000"/>
        </w:rPr>
      </w:pPr>
      <w:r w:rsidRPr="002A612D">
        <w:rPr>
          <w:rStyle w:val="EndnoteReference"/>
        </w:rPr>
        <w:endnoteRef/>
      </w:r>
      <w:r w:rsidRPr="002A612D">
        <w:t xml:space="preserve"> </w:t>
      </w:r>
      <w:r w:rsidRPr="00850C93">
        <w:rPr>
          <w:i/>
          <w:spacing w:val="-4"/>
        </w:rPr>
        <w:t>SRB</w:t>
      </w:r>
      <w:r w:rsidRPr="00850C93">
        <w:rPr>
          <w:spacing w:val="-4"/>
        </w:rPr>
        <w:t xml:space="preserve"> subheads to Lev. 1:1, p. 126.  </w:t>
      </w:r>
      <w:r w:rsidRPr="00850C93">
        <w:rPr>
          <w:b/>
          <w:spacing w:val="-4"/>
        </w:rPr>
        <w:t>See Introduction, Subheads Tables</w:t>
      </w:r>
      <w:r w:rsidRPr="00850C93">
        <w:rPr>
          <w:spacing w:val="-4"/>
        </w:rPr>
        <w:t xml:space="preserve">.  Ref. ‘See Law of </w:t>
      </w:r>
      <w:proofErr w:type="gramStart"/>
      <w:r w:rsidRPr="00850C93">
        <w:rPr>
          <w:spacing w:val="-4"/>
        </w:rPr>
        <w:t>this offering</w:t>
      </w:r>
      <w:proofErr w:type="gramEnd"/>
      <w:r w:rsidRPr="00850C93">
        <w:rPr>
          <w:spacing w:val="-4"/>
        </w:rPr>
        <w:t xml:space="preserve"> </w:t>
      </w:r>
      <w:r w:rsidRPr="00850C93">
        <w:rPr>
          <w:color w:val="000000"/>
          <w:spacing w:val="-4"/>
        </w:rPr>
        <w:t>Lev. 6:8-13’</w:t>
      </w:r>
      <w:r>
        <w:rPr>
          <w:color w:val="000000"/>
        </w:rPr>
        <w:t>.</w:t>
      </w:r>
    </w:p>
    <w:p w:rsidR="00975183" w:rsidRPr="00850C93" w:rsidRDefault="00975183" w:rsidP="00442D33">
      <w:pPr>
        <w:pStyle w:val="EndnoteText"/>
        <w:rPr>
          <w:color w:val="000000"/>
          <w:spacing w:val="-4"/>
        </w:rPr>
      </w:pPr>
      <w:r w:rsidRPr="00850C93">
        <w:rPr>
          <w:i/>
          <w:spacing w:val="-4"/>
        </w:rPr>
        <w:t>SRB</w:t>
      </w:r>
      <w:r w:rsidRPr="00850C93">
        <w:rPr>
          <w:spacing w:val="-4"/>
        </w:rPr>
        <w:t xml:space="preserve"> subhead to Lev. 2:1, p. 127</w:t>
      </w:r>
      <w:r w:rsidRPr="00850C93">
        <w:rPr>
          <w:color w:val="000000"/>
          <w:spacing w:val="-4"/>
        </w:rPr>
        <w:t xml:space="preserve">.  </w:t>
      </w:r>
      <w:r w:rsidRPr="00850C93">
        <w:rPr>
          <w:b/>
          <w:spacing w:val="-4"/>
        </w:rPr>
        <w:t>See Introduction, Subheads Tables</w:t>
      </w:r>
      <w:r w:rsidRPr="00850C93">
        <w:rPr>
          <w:spacing w:val="-4"/>
        </w:rPr>
        <w:t xml:space="preserve">.  </w:t>
      </w:r>
      <w:proofErr w:type="gramStart"/>
      <w:r w:rsidRPr="00850C93">
        <w:rPr>
          <w:spacing w:val="-4"/>
        </w:rPr>
        <w:t xml:space="preserve">Ref. ‘See Law of this offering </w:t>
      </w:r>
      <w:r w:rsidRPr="00850C93">
        <w:rPr>
          <w:color w:val="000000"/>
          <w:spacing w:val="-4"/>
        </w:rPr>
        <w:t>Lev. 6:14-23’.</w:t>
      </w:r>
      <w:proofErr w:type="gramEnd"/>
    </w:p>
    <w:p w:rsidR="00975183" w:rsidRPr="00850C93" w:rsidRDefault="00975183" w:rsidP="00442D33">
      <w:pPr>
        <w:pStyle w:val="EndnoteText"/>
        <w:rPr>
          <w:color w:val="000000"/>
          <w:spacing w:val="-4"/>
        </w:rPr>
      </w:pPr>
      <w:r w:rsidRPr="00850C93">
        <w:rPr>
          <w:i/>
          <w:spacing w:val="-4"/>
        </w:rPr>
        <w:t>SRB</w:t>
      </w:r>
      <w:r w:rsidRPr="00850C93">
        <w:rPr>
          <w:spacing w:val="-4"/>
        </w:rPr>
        <w:t xml:space="preserve"> subhead to </w:t>
      </w:r>
      <w:r w:rsidRPr="00850C93">
        <w:rPr>
          <w:color w:val="000000"/>
          <w:spacing w:val="-4"/>
        </w:rPr>
        <w:t xml:space="preserve">Lev. 3:1, p. 128.  </w:t>
      </w:r>
      <w:r w:rsidRPr="00850C93">
        <w:rPr>
          <w:b/>
          <w:spacing w:val="-4"/>
        </w:rPr>
        <w:t>See Introduction, Subheads Tables</w:t>
      </w:r>
      <w:r w:rsidRPr="00850C93">
        <w:rPr>
          <w:spacing w:val="-4"/>
        </w:rPr>
        <w:t>.</w:t>
      </w:r>
      <w:r w:rsidRPr="00850C93">
        <w:rPr>
          <w:color w:val="000000"/>
          <w:spacing w:val="-4"/>
        </w:rPr>
        <w:t xml:space="preserve">  </w:t>
      </w:r>
      <w:proofErr w:type="gramStart"/>
      <w:r w:rsidRPr="00850C93">
        <w:rPr>
          <w:spacing w:val="-4"/>
        </w:rPr>
        <w:t>Ref. ‘</w:t>
      </w:r>
      <w:r w:rsidRPr="00850C93">
        <w:rPr>
          <w:color w:val="000000"/>
          <w:spacing w:val="-4"/>
        </w:rPr>
        <w:t>See Law of this offering Lev. 7:11-21’.</w:t>
      </w:r>
      <w:proofErr w:type="gramEnd"/>
    </w:p>
    <w:p w:rsidR="00975183" w:rsidRPr="00850C93" w:rsidRDefault="00975183" w:rsidP="00442D33">
      <w:pPr>
        <w:pStyle w:val="EndnoteText"/>
        <w:rPr>
          <w:color w:val="000000"/>
          <w:spacing w:val="-4"/>
        </w:rPr>
      </w:pPr>
      <w:r w:rsidRPr="00850C93">
        <w:rPr>
          <w:i/>
          <w:spacing w:val="-4"/>
        </w:rPr>
        <w:t>SRB</w:t>
      </w:r>
      <w:r w:rsidRPr="00850C93">
        <w:rPr>
          <w:spacing w:val="-4"/>
        </w:rPr>
        <w:t xml:space="preserve"> subhead to </w:t>
      </w:r>
      <w:r w:rsidRPr="00850C93">
        <w:rPr>
          <w:color w:val="000000"/>
          <w:spacing w:val="-4"/>
        </w:rPr>
        <w:t xml:space="preserve">Lev. 4:1, p. 129.  </w:t>
      </w:r>
      <w:r w:rsidRPr="00850C93">
        <w:rPr>
          <w:b/>
          <w:spacing w:val="-4"/>
        </w:rPr>
        <w:t>See Introduction, Subheads Tables</w:t>
      </w:r>
      <w:r w:rsidRPr="00850C93">
        <w:rPr>
          <w:spacing w:val="-4"/>
        </w:rPr>
        <w:t>.</w:t>
      </w:r>
      <w:r w:rsidRPr="00850C93">
        <w:rPr>
          <w:color w:val="000000"/>
          <w:spacing w:val="-4"/>
        </w:rPr>
        <w:t xml:space="preserve">  </w:t>
      </w:r>
      <w:proofErr w:type="gramStart"/>
      <w:r w:rsidRPr="00850C93">
        <w:rPr>
          <w:spacing w:val="-4"/>
        </w:rPr>
        <w:t>Ref. ‘</w:t>
      </w:r>
      <w:r w:rsidRPr="00850C93">
        <w:rPr>
          <w:color w:val="000000"/>
          <w:spacing w:val="-4"/>
        </w:rPr>
        <w:t>See Law of this offering Lev. 6:25-30’.</w:t>
      </w:r>
      <w:proofErr w:type="gramEnd"/>
    </w:p>
    <w:p w:rsidR="00975183" w:rsidRPr="002A612D" w:rsidRDefault="00975183" w:rsidP="00442D33">
      <w:pPr>
        <w:pStyle w:val="EndnoteText"/>
      </w:pPr>
      <w:r w:rsidRPr="00850C93">
        <w:rPr>
          <w:i/>
          <w:spacing w:val="-4"/>
        </w:rPr>
        <w:t>SRB</w:t>
      </w:r>
      <w:r w:rsidRPr="00850C93">
        <w:rPr>
          <w:spacing w:val="-4"/>
        </w:rPr>
        <w:t xml:space="preserve"> subhead to </w:t>
      </w:r>
      <w:r w:rsidRPr="00850C93">
        <w:rPr>
          <w:color w:val="000000"/>
          <w:spacing w:val="-4"/>
        </w:rPr>
        <w:t xml:space="preserve">Lev. 5:1, p. 131.  </w:t>
      </w:r>
      <w:r w:rsidRPr="00850C93">
        <w:rPr>
          <w:b/>
          <w:spacing w:val="-4"/>
        </w:rPr>
        <w:t>See Introduction, Subheads Tables</w:t>
      </w:r>
      <w:r w:rsidRPr="00850C93">
        <w:rPr>
          <w:spacing w:val="-4"/>
        </w:rPr>
        <w:t xml:space="preserve">.  </w:t>
      </w:r>
      <w:proofErr w:type="gramStart"/>
      <w:r w:rsidRPr="00850C93">
        <w:rPr>
          <w:spacing w:val="-4"/>
        </w:rPr>
        <w:t>Ref.</w:t>
      </w:r>
      <w:proofErr w:type="gramEnd"/>
      <w:r w:rsidRPr="00850C93">
        <w:rPr>
          <w:spacing w:val="-4"/>
        </w:rPr>
        <w:t xml:space="preserve"> </w:t>
      </w:r>
      <w:r w:rsidRPr="00850C93">
        <w:rPr>
          <w:color w:val="000000"/>
          <w:spacing w:val="-4"/>
        </w:rPr>
        <w:t>See Law of this offering,</w:t>
      </w:r>
      <w:r w:rsidRPr="00850C93">
        <w:rPr>
          <w:spacing w:val="-4"/>
        </w:rPr>
        <w:t xml:space="preserve"> Lev. 7:1-7.</w:t>
      </w:r>
    </w:p>
  </w:endnote>
  <w:endnote w:id="749">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Lev. 1:1, p. 126.</w:t>
      </w:r>
    </w:p>
  </w:endnote>
  <w:endnote w:id="750">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Lev. 2:1, p. 127.</w:t>
      </w:r>
    </w:p>
  </w:endnote>
  <w:endnote w:id="751">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Lev. 2:1, p. 128.</w:t>
      </w:r>
    </w:p>
  </w:endnote>
  <w:endnote w:id="752">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Lev. 4:1, p. 129.</w:t>
      </w:r>
    </w:p>
  </w:endnote>
  <w:endnote w:id="753">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subhead to Lev. 5:1, p. 131.</w:t>
      </w:r>
    </w:p>
  </w:endnote>
  <w:endnote w:id="754">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Lev. 2:1, p. 127.</w:t>
      </w:r>
    </w:p>
  </w:endnote>
  <w:endnote w:id="755">
    <w:p w:rsidR="00975183" w:rsidRPr="00016942" w:rsidRDefault="00975183" w:rsidP="00442D33">
      <w:pPr>
        <w:pStyle w:val="EndnoteText"/>
      </w:pPr>
      <w:r w:rsidRPr="00016942">
        <w:rPr>
          <w:rStyle w:val="EndnoteReference"/>
        </w:rPr>
        <w:endnoteRef/>
      </w:r>
      <w:r w:rsidRPr="00016942">
        <w:t xml:space="preserve"> </w:t>
      </w:r>
      <w:r w:rsidRPr="00016942">
        <w:rPr>
          <w:i/>
        </w:rPr>
        <w:t>SRB</w:t>
      </w:r>
      <w:r>
        <w:t xml:space="preserve"> subheads to Lev. 23:4, 6 and 9, p. 156.</w:t>
      </w:r>
    </w:p>
  </w:endnote>
  <w:endnote w:id="756">
    <w:p w:rsidR="00975183" w:rsidRDefault="00975183" w:rsidP="00442D33">
      <w:pPr>
        <w:pStyle w:val="EndnoteText"/>
      </w:pPr>
      <w:r w:rsidRPr="00DD252A">
        <w:rPr>
          <w:rStyle w:val="FootnoteReference"/>
        </w:rPr>
        <w:endnoteRef/>
      </w:r>
      <w:r w:rsidRPr="00DD252A">
        <w:t xml:space="preserve"> </w:t>
      </w:r>
      <w:r w:rsidRPr="00DD252A">
        <w:rPr>
          <w:i/>
        </w:rPr>
        <w:t>SRB</w:t>
      </w:r>
      <w:r w:rsidRPr="00DD252A">
        <w:t xml:space="preserve"> note on Lev. 23:17, p. 157.</w:t>
      </w:r>
    </w:p>
  </w:endnote>
  <w:endnote w:id="757">
    <w:p w:rsidR="00975183" w:rsidRPr="00DB429C" w:rsidRDefault="00975183" w:rsidP="00442D33">
      <w:pPr>
        <w:pStyle w:val="EndnoteText"/>
      </w:pPr>
      <w:r w:rsidRPr="00DB429C">
        <w:rPr>
          <w:rStyle w:val="EndnoteReference"/>
        </w:rPr>
        <w:endnoteRef/>
      </w:r>
      <w:r w:rsidRPr="00DB429C">
        <w:t xml:space="preserve"> </w:t>
      </w:r>
      <w:r>
        <w:t xml:space="preserve">For example, the </w:t>
      </w:r>
      <w:r w:rsidRPr="00DB429C">
        <w:rPr>
          <w:i/>
        </w:rPr>
        <w:t>SRB</w:t>
      </w:r>
      <w:r>
        <w:t xml:space="preserve"> notes on Exod. 30:34, p. 112 and Lev. 2:1, p. 127.  </w:t>
      </w:r>
      <w:r w:rsidRPr="00850C93">
        <w:rPr>
          <w:b/>
        </w:rPr>
        <w:t xml:space="preserve">See Exodus and Leviticus </w:t>
      </w:r>
      <w:r>
        <w:rPr>
          <w:b/>
        </w:rPr>
        <w:t>T</w:t>
      </w:r>
      <w:r w:rsidRPr="00850C93">
        <w:rPr>
          <w:b/>
        </w:rPr>
        <w:t>ables above</w:t>
      </w:r>
      <w:r>
        <w:t>.</w:t>
      </w:r>
    </w:p>
  </w:endnote>
  <w:endnote w:id="758">
    <w:p w:rsidR="00975183" w:rsidRDefault="00975183" w:rsidP="00442D33">
      <w:pPr>
        <w:pStyle w:val="EndnoteText"/>
      </w:pPr>
      <w:r w:rsidRPr="00DD252A">
        <w:rPr>
          <w:rStyle w:val="FootnoteReference"/>
        </w:rPr>
        <w:endnoteRef/>
      </w:r>
      <w:r w:rsidRPr="00DD252A">
        <w:t xml:space="preserve"> </w:t>
      </w:r>
      <w:r w:rsidRPr="00394B11">
        <w:rPr>
          <w:i/>
        </w:rPr>
        <w:t>SRB</w:t>
      </w:r>
      <w:r w:rsidRPr="00394B11">
        <w:t xml:space="preserve"> subhead</w:t>
      </w:r>
      <w:r w:rsidRPr="00DD252A">
        <w:t xml:space="preserve"> to Lev. 16:1, p. 147.</w:t>
      </w:r>
    </w:p>
  </w:endnote>
  <w:endnote w:id="759">
    <w:p w:rsidR="00975183" w:rsidRPr="00DD252A" w:rsidRDefault="00975183" w:rsidP="00442D33">
      <w:pPr>
        <w:pStyle w:val="FootnoteText"/>
        <w:rPr>
          <w:rFonts w:ascii="Perpetua" w:hAnsi="Perpetua"/>
        </w:rPr>
      </w:pPr>
      <w:r w:rsidRPr="00DD252A">
        <w:rPr>
          <w:rStyle w:val="FootnoteReference"/>
          <w:rFonts w:ascii="Perpetua" w:hAnsi="Perpetua"/>
        </w:rPr>
        <w:endnoteRef/>
      </w:r>
      <w:r w:rsidRPr="00DD252A">
        <w:rPr>
          <w:rFonts w:ascii="Perpetua" w:hAnsi="Perpetua"/>
        </w:rPr>
        <w:t xml:space="preserve"> ‘</w:t>
      </w:r>
      <w:r w:rsidRPr="00DD252A">
        <w:rPr>
          <w:rFonts w:ascii="Perpetua" w:eastAsiaTheme="minorHAnsi" w:hAnsi="Perpetua"/>
          <w:lang w:val="en-US"/>
        </w:rPr>
        <w:t xml:space="preserve">And the feast of harvest, the firstfruits of thy labours, which thou hast sown in the field: and the feast of ingathering, </w:t>
      </w:r>
      <w:r w:rsidRPr="00DD252A">
        <w:rPr>
          <w:rFonts w:ascii="Perpetua" w:eastAsiaTheme="minorHAnsi" w:hAnsi="Perpetua"/>
          <w:i/>
          <w:iCs/>
          <w:lang w:val="en-US"/>
        </w:rPr>
        <w:t>which is</w:t>
      </w:r>
      <w:r w:rsidRPr="00DD252A">
        <w:rPr>
          <w:rFonts w:ascii="Perpetua" w:eastAsiaTheme="minorHAnsi" w:hAnsi="Perpetua"/>
          <w:lang w:val="en-US"/>
        </w:rPr>
        <w:t xml:space="preserve"> in the end of the year, when thou hast gathered in thy labours out of the field.</w:t>
      </w:r>
      <w:r w:rsidRPr="00DD252A">
        <w:rPr>
          <w:rFonts w:ascii="Perpetua" w:hAnsi="Perpetua"/>
        </w:rPr>
        <w:t xml:space="preserve">’  Lev. 23:16, </w:t>
      </w:r>
      <w:r w:rsidRPr="00DD252A">
        <w:rPr>
          <w:rFonts w:ascii="Perpetua" w:hAnsi="Perpetua"/>
          <w:i/>
        </w:rPr>
        <w:t>KJV</w:t>
      </w:r>
      <w:r w:rsidRPr="00DD252A">
        <w:rPr>
          <w:rFonts w:ascii="Perpetua" w:hAnsi="Perpetua"/>
        </w:rPr>
        <w:t>.</w:t>
      </w:r>
    </w:p>
    <w:p w:rsidR="00975183" w:rsidRDefault="00975183" w:rsidP="00442D33">
      <w:pPr>
        <w:pStyle w:val="EndnoteText"/>
        <w:rPr>
          <w:lang w:val="en-US"/>
        </w:rPr>
      </w:pPr>
      <w:r w:rsidRPr="00DD252A">
        <w:t>‘</w:t>
      </w:r>
      <w:r w:rsidRPr="00DD252A">
        <w:rPr>
          <w:lang w:val="en-US"/>
        </w:rPr>
        <w:t xml:space="preserve">But every man in his own order: Christ the firstfruits; afterward they that are Christ's at his coming.’  </w:t>
      </w:r>
    </w:p>
    <w:p w:rsidR="00975183" w:rsidRDefault="00975183" w:rsidP="00442D33">
      <w:pPr>
        <w:pStyle w:val="EndnoteText"/>
      </w:pPr>
      <w:r w:rsidRPr="00DD252A">
        <w:rPr>
          <w:lang w:val="en-US"/>
        </w:rPr>
        <w:t xml:space="preserve">1 Cor. 15:23, </w:t>
      </w:r>
      <w:r w:rsidRPr="00DD252A">
        <w:rPr>
          <w:i/>
          <w:lang w:val="en-US"/>
        </w:rPr>
        <w:t>KJV</w:t>
      </w:r>
      <w:r w:rsidRPr="00DD252A">
        <w:rPr>
          <w:lang w:val="en-US"/>
        </w:rPr>
        <w:t>.</w:t>
      </w:r>
    </w:p>
  </w:endnote>
  <w:endnote w:id="760">
    <w:p w:rsidR="00975183" w:rsidRPr="002A612D" w:rsidRDefault="00975183" w:rsidP="00442D33">
      <w:pPr>
        <w:pStyle w:val="EndnoteText"/>
      </w:pPr>
      <w:r w:rsidRPr="002A612D">
        <w:rPr>
          <w:rStyle w:val="EndnoteReference"/>
        </w:rPr>
        <w:endnoteRef/>
      </w:r>
      <w:r w:rsidRPr="002A612D">
        <w:t xml:space="preserve"> </w:t>
      </w:r>
      <w:r w:rsidRPr="002A612D">
        <w:rPr>
          <w:i/>
        </w:rPr>
        <w:t>SRB</w:t>
      </w:r>
      <w:r>
        <w:t xml:space="preserve"> n</w:t>
      </w:r>
      <w:r w:rsidRPr="002A612D">
        <w:t>ote on subhead to Num. 15:1, p. 186</w:t>
      </w:r>
      <w:r w:rsidRPr="002A612D">
        <w:rPr>
          <w:lang w:eastAsia="en-GB"/>
        </w:rPr>
        <w:t>.</w:t>
      </w:r>
      <w:r w:rsidRPr="002A612D">
        <w:t xml:space="preserve"> </w:t>
      </w:r>
    </w:p>
  </w:endnote>
  <w:endnote w:id="761">
    <w:p w:rsidR="00975183" w:rsidRDefault="00975183" w:rsidP="00442D33">
      <w:pPr>
        <w:pStyle w:val="EndnoteText"/>
      </w:pPr>
      <w:r w:rsidRPr="00DD252A">
        <w:rPr>
          <w:rStyle w:val="FootnoteReference"/>
        </w:rPr>
        <w:endnoteRef/>
      </w:r>
      <w:r w:rsidRPr="00DD252A">
        <w:t xml:space="preserve"> ‘</w:t>
      </w:r>
      <w:r w:rsidRPr="00DD252A">
        <w:rPr>
          <w:lang w:val="en-US"/>
        </w:rPr>
        <w:t xml:space="preserve">But God forbid that I should glory, save in the cross of our Lord Jesus Christ, by whom the world is crucified unto me, and I unto the world.’  Gal. 6:14, </w:t>
      </w:r>
      <w:r w:rsidRPr="00DD252A">
        <w:rPr>
          <w:i/>
          <w:lang w:val="en-US"/>
        </w:rPr>
        <w:t>KJV</w:t>
      </w:r>
      <w:r w:rsidRPr="00DD252A">
        <w:rPr>
          <w:lang w:val="en-US"/>
        </w:rPr>
        <w:t>.</w:t>
      </w:r>
    </w:p>
  </w:endnote>
  <w:endnote w:id="762">
    <w:p w:rsidR="00975183" w:rsidRPr="00DD252A" w:rsidRDefault="00975183" w:rsidP="00442D33">
      <w:pPr>
        <w:pStyle w:val="FootnoteText"/>
        <w:rPr>
          <w:rFonts w:ascii="Perpetua" w:eastAsiaTheme="minorHAnsi" w:hAnsi="Perpetua"/>
          <w:lang w:val="en-US"/>
        </w:rPr>
      </w:pPr>
      <w:r w:rsidRPr="0013555F">
        <w:rPr>
          <w:rStyle w:val="EndnoteReference"/>
          <w:rFonts w:ascii="Perpetua" w:hAnsi="Perpetua"/>
        </w:rPr>
        <w:endnoteRef/>
      </w:r>
      <w:r w:rsidRPr="0013555F">
        <w:rPr>
          <w:rFonts w:ascii="Perpetua" w:hAnsi="Perpetua"/>
        </w:rPr>
        <w:t xml:space="preserve"> </w:t>
      </w:r>
      <w:r w:rsidRPr="00DD252A">
        <w:rPr>
          <w:rFonts w:ascii="Perpetua" w:hAnsi="Perpetua"/>
        </w:rPr>
        <w:t>‘</w:t>
      </w:r>
      <w:r w:rsidRPr="00DD252A">
        <w:rPr>
          <w:rFonts w:ascii="Perpetua" w:eastAsiaTheme="minorHAnsi" w:hAnsi="Perpetua"/>
          <w:lang w:val="en-US"/>
        </w:rPr>
        <w:t xml:space="preserve">For God so loved the </w:t>
      </w:r>
      <w:proofErr w:type="gramStart"/>
      <w:r w:rsidRPr="00DD252A">
        <w:rPr>
          <w:rFonts w:ascii="Perpetua" w:eastAsiaTheme="minorHAnsi" w:hAnsi="Perpetua"/>
          <w:lang w:val="en-US"/>
        </w:rPr>
        <w:t>world, that</w:t>
      </w:r>
      <w:proofErr w:type="gramEnd"/>
      <w:r w:rsidRPr="00DD252A">
        <w:rPr>
          <w:rFonts w:ascii="Perpetua" w:eastAsiaTheme="minorHAnsi" w:hAnsi="Perpetua"/>
          <w:lang w:val="en-US"/>
        </w:rPr>
        <w:t xml:space="preserve"> he gave his only begotten Son, that whosoever believeth in him should not perish, but have everlasting life.’  Jn 3:16, </w:t>
      </w:r>
      <w:r w:rsidRPr="00DD252A">
        <w:rPr>
          <w:rFonts w:ascii="Perpetua" w:eastAsiaTheme="minorHAnsi" w:hAnsi="Perpetua"/>
          <w:i/>
          <w:lang w:val="en-US"/>
        </w:rPr>
        <w:t>KJV</w:t>
      </w:r>
      <w:r w:rsidRPr="00DD252A">
        <w:rPr>
          <w:rFonts w:ascii="Perpetua" w:eastAsiaTheme="minorHAnsi" w:hAnsi="Perpetua"/>
          <w:lang w:val="en-US"/>
        </w:rPr>
        <w:t>;</w:t>
      </w:r>
    </w:p>
    <w:p w:rsidR="00975183" w:rsidRDefault="00975183" w:rsidP="00442D33">
      <w:pPr>
        <w:pStyle w:val="FootnoteText"/>
      </w:pPr>
      <w:r w:rsidRPr="00DD252A">
        <w:rPr>
          <w:rFonts w:ascii="Perpetua" w:eastAsiaTheme="minorHAnsi" w:hAnsi="Perpetua"/>
          <w:lang w:val="en-US"/>
        </w:rPr>
        <w:t xml:space="preserve">‘He that spared not his own Son, but delivered him up for us all, how shall he not with him also freely give us all things?’  Rom. 8:32, </w:t>
      </w:r>
      <w:r w:rsidRPr="00DD252A">
        <w:rPr>
          <w:rFonts w:ascii="Perpetua" w:eastAsiaTheme="minorHAnsi" w:hAnsi="Perpetua"/>
          <w:i/>
          <w:lang w:val="en-US"/>
        </w:rPr>
        <w:t>KJV</w:t>
      </w:r>
      <w:r w:rsidRPr="00DD252A">
        <w:rPr>
          <w:rFonts w:ascii="Perpetua" w:eastAsiaTheme="minorHAnsi" w:hAnsi="Perpetua"/>
          <w:lang w:val="en-US"/>
        </w:rPr>
        <w:t>.</w:t>
      </w:r>
    </w:p>
  </w:endnote>
  <w:endnote w:id="763">
    <w:p w:rsidR="00975183" w:rsidRPr="002A612D" w:rsidRDefault="00975183" w:rsidP="00442D33">
      <w:pPr>
        <w:pStyle w:val="FootnoteText"/>
        <w:rPr>
          <w:rFonts w:ascii="Perpetua" w:hAnsi="Perpetua"/>
        </w:rPr>
      </w:pPr>
      <w:r w:rsidRPr="002A612D">
        <w:rPr>
          <w:rStyle w:val="FootnoteReference"/>
          <w:rFonts w:ascii="Perpetua" w:hAnsi="Perpetua"/>
        </w:rPr>
        <w:endnoteRef/>
      </w:r>
      <w:r w:rsidRPr="002A612D">
        <w:rPr>
          <w:rFonts w:ascii="Perpetua" w:hAnsi="Perpetua"/>
        </w:rPr>
        <w:t xml:space="preserve"> </w:t>
      </w:r>
      <w:proofErr w:type="gramStart"/>
      <w:r w:rsidRPr="002A612D">
        <w:rPr>
          <w:rFonts w:ascii="Perpetua" w:hAnsi="Perpetua"/>
          <w:i/>
        </w:rPr>
        <w:t>SRB</w:t>
      </w:r>
      <w:r>
        <w:rPr>
          <w:rFonts w:ascii="Perpetua" w:hAnsi="Perpetua"/>
        </w:rPr>
        <w:t xml:space="preserve"> n</w:t>
      </w:r>
      <w:r w:rsidRPr="002A612D">
        <w:rPr>
          <w:rFonts w:ascii="Perpetua" w:hAnsi="Perpetua"/>
        </w:rPr>
        <w:t>ote on Gen. 22:9, pp. 33-4.</w:t>
      </w:r>
      <w:proofErr w:type="gramEnd"/>
      <w:r w:rsidRPr="002A612D">
        <w:rPr>
          <w:rFonts w:ascii="Perpetua" w:hAnsi="Perpetua"/>
        </w:rPr>
        <w:t xml:space="preserve">  </w:t>
      </w:r>
    </w:p>
  </w:endnote>
  <w:endnote w:id="764">
    <w:p w:rsidR="00975183" w:rsidRDefault="00975183" w:rsidP="00442D33">
      <w:pPr>
        <w:pStyle w:val="FootnoteText"/>
        <w:rPr>
          <w:rFonts w:ascii="Perpetua" w:hAnsi="Perpetua"/>
        </w:rPr>
      </w:pPr>
      <w:r w:rsidRPr="00DD252A">
        <w:rPr>
          <w:rStyle w:val="FootnoteReference"/>
          <w:rFonts w:ascii="Perpetua" w:hAnsi="Perpetua"/>
        </w:rPr>
        <w:endnoteRef/>
      </w:r>
      <w:r w:rsidRPr="00DD252A">
        <w:rPr>
          <w:rFonts w:ascii="Perpetua" w:hAnsi="Perpetua"/>
        </w:rPr>
        <w:t xml:space="preserve"> </w:t>
      </w:r>
      <w:r w:rsidRPr="002A612D">
        <w:rPr>
          <w:rFonts w:ascii="Perpetua" w:hAnsi="Perpetua"/>
          <w:i/>
        </w:rPr>
        <w:t>SRB</w:t>
      </w:r>
      <w:r>
        <w:rPr>
          <w:rFonts w:ascii="Perpetua" w:hAnsi="Perpetua"/>
        </w:rPr>
        <w:t xml:space="preserve"> n</w:t>
      </w:r>
      <w:r w:rsidRPr="00DD252A">
        <w:rPr>
          <w:rFonts w:ascii="Perpetua" w:hAnsi="Perpetua"/>
        </w:rPr>
        <w:t>ote on Gen</w:t>
      </w:r>
      <w:proofErr w:type="gramStart"/>
      <w:r w:rsidRPr="00DD252A">
        <w:rPr>
          <w:rFonts w:ascii="Perpetua" w:hAnsi="Perpetua"/>
        </w:rPr>
        <w:t>:24</w:t>
      </w:r>
      <w:r w:rsidRPr="00DD252A">
        <w:rPr>
          <w:rFonts w:ascii="Perpetua" w:hAnsi="Perpetua"/>
          <w:b/>
        </w:rPr>
        <w:t>:</w:t>
      </w:r>
      <w:r w:rsidRPr="00DD252A">
        <w:rPr>
          <w:rFonts w:ascii="Perpetua" w:hAnsi="Perpetua"/>
        </w:rPr>
        <w:t>1</w:t>
      </w:r>
      <w:proofErr w:type="gramEnd"/>
      <w:r w:rsidRPr="00DD252A">
        <w:rPr>
          <w:rFonts w:ascii="Perpetua" w:hAnsi="Perpetua"/>
        </w:rPr>
        <w:t xml:space="preserve">, p. 34.  (Refs Jn 16:13-14; Gal. 5:22; 1 Cor. 12:7-11; Acts 13:4; 16:6, 7; Rom. 8:11; </w:t>
      </w:r>
    </w:p>
    <w:p w:rsidR="00975183" w:rsidRPr="00DD252A" w:rsidRDefault="00975183" w:rsidP="00442D33">
      <w:pPr>
        <w:pStyle w:val="FootnoteText"/>
        <w:rPr>
          <w:rFonts w:ascii="Perpetua" w:hAnsi="Perpetua"/>
        </w:rPr>
      </w:pPr>
      <w:r w:rsidRPr="00DD252A">
        <w:rPr>
          <w:rFonts w:ascii="Perpetua" w:hAnsi="Perpetua"/>
        </w:rPr>
        <w:t xml:space="preserve">1 Thess. 4:14-16.)  </w:t>
      </w:r>
    </w:p>
    <w:p w:rsidR="00975183" w:rsidRPr="00DD252A" w:rsidRDefault="00975183" w:rsidP="00442D33">
      <w:pPr>
        <w:pStyle w:val="FootnoteText"/>
        <w:rPr>
          <w:rFonts w:ascii="Perpetua" w:hAnsi="Perpetua"/>
        </w:rPr>
      </w:pPr>
      <w:r w:rsidRPr="00DD252A">
        <w:rPr>
          <w:rFonts w:ascii="Perpetua" w:hAnsi="Perpetua"/>
        </w:rPr>
        <w:t>‘</w:t>
      </w:r>
      <w:r w:rsidRPr="00DD252A">
        <w:rPr>
          <w:rFonts w:ascii="Perpetua" w:eastAsiaTheme="minorHAnsi" w:hAnsi="Perpetua"/>
          <w:lang w:val="en-US"/>
        </w:rPr>
        <w:t xml:space="preserve">Howbeit when he, the Spirit of truth, is come, he will guide you into all truth: for he shall not speak of himself; but whatsoever he shall hear, </w:t>
      </w:r>
      <w:r w:rsidRPr="00DD252A">
        <w:rPr>
          <w:rFonts w:ascii="Perpetua" w:eastAsiaTheme="minorHAnsi" w:hAnsi="Perpetua"/>
          <w:i/>
          <w:iCs/>
          <w:lang w:val="en-US"/>
        </w:rPr>
        <w:t>that</w:t>
      </w:r>
      <w:r w:rsidRPr="00DD252A">
        <w:rPr>
          <w:rFonts w:ascii="Perpetua" w:eastAsiaTheme="minorHAnsi" w:hAnsi="Perpetua"/>
          <w:lang w:val="en-US"/>
        </w:rPr>
        <w:t xml:space="preserve"> shall he speak: and he will show you things to come. </w:t>
      </w:r>
      <w:r w:rsidRPr="00DD252A">
        <w:rPr>
          <w:rFonts w:ascii="Perpetua" w:eastAsiaTheme="minorHAnsi" w:hAnsi="Perpetua"/>
          <w:vertAlign w:val="superscript"/>
          <w:lang w:val="en-US"/>
        </w:rPr>
        <w:t>14</w:t>
      </w:r>
      <w:r w:rsidRPr="00DD252A">
        <w:rPr>
          <w:rFonts w:ascii="Perpetua" w:eastAsiaTheme="minorHAnsi" w:hAnsi="Perpetua"/>
          <w:lang w:val="en-US"/>
        </w:rPr>
        <w:t xml:space="preserve">He shall glorify me: for he shall receive of mine, and shall show </w:t>
      </w:r>
      <w:r w:rsidRPr="00DD252A">
        <w:rPr>
          <w:rFonts w:ascii="Perpetua" w:eastAsiaTheme="minorHAnsi" w:hAnsi="Perpetua"/>
          <w:i/>
          <w:iCs/>
          <w:lang w:val="en-US"/>
        </w:rPr>
        <w:t>it</w:t>
      </w:r>
      <w:r w:rsidRPr="00DD252A">
        <w:rPr>
          <w:rFonts w:ascii="Perpetua" w:eastAsiaTheme="minorHAnsi" w:hAnsi="Perpetua"/>
          <w:lang w:val="en-US"/>
        </w:rPr>
        <w:t xml:space="preserve"> unto you.’  Jn 16:13-14, </w:t>
      </w:r>
      <w:r w:rsidRPr="00DD252A">
        <w:rPr>
          <w:rFonts w:ascii="Perpetua" w:eastAsiaTheme="minorHAnsi" w:hAnsi="Perpetua"/>
          <w:i/>
          <w:lang w:val="en-US"/>
        </w:rPr>
        <w:t>KJV</w:t>
      </w:r>
      <w:r w:rsidRPr="00DD252A">
        <w:rPr>
          <w:rFonts w:ascii="Perpetua" w:eastAsiaTheme="minorHAnsi" w:hAnsi="Perpetua"/>
          <w:lang w:val="en-US"/>
        </w:rPr>
        <w:t>.</w:t>
      </w:r>
    </w:p>
    <w:p w:rsidR="00975183" w:rsidRPr="00DD252A" w:rsidRDefault="00975183" w:rsidP="00442D33">
      <w:pPr>
        <w:pStyle w:val="FootnoteText"/>
        <w:rPr>
          <w:rFonts w:ascii="Perpetua" w:eastAsiaTheme="minorHAnsi" w:hAnsi="Perpetua"/>
          <w:lang w:val="en-US"/>
        </w:rPr>
      </w:pPr>
      <w:r w:rsidRPr="00DD252A">
        <w:rPr>
          <w:rFonts w:ascii="Perpetua" w:hAnsi="Perpetua"/>
        </w:rPr>
        <w:t xml:space="preserve"> ‘</w:t>
      </w:r>
      <w:r w:rsidRPr="00DD252A">
        <w:rPr>
          <w:rFonts w:ascii="Perpetua" w:eastAsiaTheme="minorHAnsi" w:hAnsi="Perpetua"/>
          <w:lang w:val="en-US"/>
        </w:rPr>
        <w:t xml:space="preserve">But the fruit of the Spirit is love, joy, peace, longsuffering, gentleness, goodness, faith,’  Gal. 5:22, </w:t>
      </w:r>
      <w:r w:rsidRPr="00DD252A">
        <w:rPr>
          <w:rFonts w:ascii="Perpetua" w:eastAsiaTheme="minorHAnsi" w:hAnsi="Perpetua"/>
          <w:i/>
          <w:lang w:val="en-US"/>
        </w:rPr>
        <w:t>KJV</w:t>
      </w:r>
      <w:r w:rsidRPr="00DD252A">
        <w:rPr>
          <w:rFonts w:ascii="Perpetua" w:eastAsiaTheme="minorHAnsi" w:hAnsi="Perpetua"/>
          <w:lang w:val="en-US"/>
        </w:rPr>
        <w:t>;</w:t>
      </w:r>
    </w:p>
    <w:p w:rsidR="00975183" w:rsidRPr="00DD252A" w:rsidRDefault="00975183" w:rsidP="00442D33">
      <w:pPr>
        <w:pStyle w:val="FootnoteText"/>
        <w:rPr>
          <w:rFonts w:ascii="Perpetua" w:hAnsi="Perpetua"/>
        </w:rPr>
      </w:pPr>
      <w:r w:rsidRPr="00DD252A">
        <w:rPr>
          <w:rFonts w:ascii="Perpetua" w:eastAsiaTheme="minorHAnsi" w:hAnsi="Perpetua"/>
          <w:lang w:val="en-US"/>
        </w:rPr>
        <w:t xml:space="preserve">‘But the manifestation of the Spirit is given to every man to profit withal. </w:t>
      </w:r>
      <w:r w:rsidRPr="00DD252A">
        <w:rPr>
          <w:rFonts w:ascii="Perpetua" w:eastAsiaTheme="minorHAnsi" w:hAnsi="Perpetua"/>
          <w:vertAlign w:val="superscript"/>
          <w:lang w:val="en-US"/>
        </w:rPr>
        <w:t>8</w:t>
      </w:r>
      <w:r w:rsidRPr="00DD252A">
        <w:rPr>
          <w:rFonts w:ascii="Perpetua" w:eastAsiaTheme="minorHAnsi" w:hAnsi="Perpetua"/>
          <w:lang w:val="en-US"/>
        </w:rPr>
        <w:t xml:space="preserve">For to one is given by the Spirit the word of wisdom; to another the word of knowledge by the same Spirit; </w:t>
      </w:r>
      <w:r w:rsidRPr="00DD252A">
        <w:rPr>
          <w:rFonts w:ascii="Perpetua" w:eastAsiaTheme="minorHAnsi" w:hAnsi="Perpetua"/>
          <w:vertAlign w:val="superscript"/>
          <w:lang w:val="en-US"/>
        </w:rPr>
        <w:t>9</w:t>
      </w:r>
      <w:r w:rsidRPr="00DD252A">
        <w:rPr>
          <w:rFonts w:ascii="Perpetua" w:eastAsiaTheme="minorHAnsi" w:hAnsi="Perpetua"/>
          <w:lang w:val="en-US"/>
        </w:rPr>
        <w:t>To another faith by the same Spirit; to</w:t>
      </w:r>
      <w:r w:rsidRPr="00DD252A">
        <w:rPr>
          <w:rFonts w:ascii="Times New Roman" w:eastAsiaTheme="minorHAnsi" w:hAnsi="Times New Roman"/>
          <w:lang w:val="en-US"/>
        </w:rPr>
        <w:t xml:space="preserve"> </w:t>
      </w:r>
      <w:r w:rsidRPr="00DD252A">
        <w:rPr>
          <w:rFonts w:ascii="Perpetua" w:eastAsiaTheme="minorHAnsi" w:hAnsi="Perpetua"/>
          <w:lang w:val="en-US"/>
        </w:rPr>
        <w:t xml:space="preserve">another the gifts of healing by the same Spirit; </w:t>
      </w:r>
      <w:r w:rsidRPr="00DD252A">
        <w:rPr>
          <w:rFonts w:ascii="Perpetua" w:eastAsiaTheme="minorHAnsi" w:hAnsi="Perpetua"/>
          <w:vertAlign w:val="superscript"/>
          <w:lang w:val="en-US"/>
        </w:rPr>
        <w:t>10</w:t>
      </w:r>
      <w:r w:rsidRPr="00DD252A">
        <w:rPr>
          <w:rFonts w:ascii="Perpetua" w:eastAsiaTheme="minorHAnsi" w:hAnsi="Perpetua"/>
          <w:lang w:val="en-US"/>
        </w:rPr>
        <w:t xml:space="preserve">To another the working of miracles; to another prophecy; to another discerning of spirits; to another </w:t>
      </w:r>
      <w:r w:rsidRPr="00DD252A">
        <w:rPr>
          <w:rFonts w:ascii="Perpetua" w:eastAsiaTheme="minorHAnsi" w:hAnsi="Perpetua"/>
          <w:i/>
          <w:iCs/>
          <w:lang w:val="en-US"/>
        </w:rPr>
        <w:t>divers</w:t>
      </w:r>
      <w:r w:rsidRPr="00DD252A">
        <w:rPr>
          <w:rFonts w:ascii="Perpetua" w:eastAsiaTheme="minorHAnsi" w:hAnsi="Perpetua"/>
          <w:lang w:val="en-US"/>
        </w:rPr>
        <w:t xml:space="preserve"> kinds of tongues; to another the interpretation of tongues: </w:t>
      </w:r>
      <w:r w:rsidRPr="00DD252A">
        <w:rPr>
          <w:rFonts w:ascii="Perpetua" w:eastAsiaTheme="minorHAnsi" w:hAnsi="Perpetua"/>
          <w:vertAlign w:val="superscript"/>
          <w:lang w:val="en-US"/>
        </w:rPr>
        <w:t>11</w:t>
      </w:r>
      <w:r w:rsidRPr="00DD252A">
        <w:rPr>
          <w:rFonts w:ascii="Perpetua" w:eastAsiaTheme="minorHAnsi" w:hAnsi="Perpetua"/>
          <w:lang w:val="en-US"/>
        </w:rPr>
        <w:t>But all these worketh that one and the selfsame Spirit, dividing to every man sever</w:t>
      </w:r>
      <w:r>
        <w:rPr>
          <w:rFonts w:ascii="Perpetua" w:eastAsiaTheme="minorHAnsi" w:hAnsi="Perpetua"/>
          <w:lang w:val="en-US"/>
        </w:rPr>
        <w:t>ally as he will.’  1 Cor. 12:7-11</w:t>
      </w:r>
      <w:r w:rsidRPr="00DD252A">
        <w:rPr>
          <w:rFonts w:ascii="Perpetua" w:eastAsiaTheme="minorHAnsi" w:hAnsi="Perpetua"/>
          <w:lang w:val="en-US"/>
        </w:rPr>
        <w:t xml:space="preserve">, </w:t>
      </w:r>
      <w:r w:rsidRPr="00DD252A">
        <w:rPr>
          <w:rFonts w:ascii="Perpetua" w:eastAsiaTheme="minorHAnsi" w:hAnsi="Perpetua"/>
          <w:i/>
          <w:lang w:val="en-US"/>
        </w:rPr>
        <w:t>KJV</w:t>
      </w:r>
      <w:r w:rsidRPr="00DD252A">
        <w:rPr>
          <w:rFonts w:ascii="Perpetua" w:eastAsiaTheme="minorHAnsi" w:hAnsi="Perpetua"/>
          <w:lang w:val="en-US"/>
        </w:rPr>
        <w:t>.</w:t>
      </w:r>
    </w:p>
    <w:p w:rsidR="00975183" w:rsidRPr="00DD252A" w:rsidRDefault="00975183" w:rsidP="00442D33">
      <w:pPr>
        <w:pStyle w:val="FootnoteText"/>
        <w:rPr>
          <w:rFonts w:ascii="Perpetua" w:eastAsiaTheme="minorHAnsi" w:hAnsi="Perpetua"/>
          <w:szCs w:val="22"/>
          <w:lang w:val="en-US"/>
        </w:rPr>
      </w:pPr>
      <w:r w:rsidRPr="00DD252A">
        <w:rPr>
          <w:rFonts w:ascii="Perpetua" w:hAnsi="Perpetua"/>
          <w:szCs w:val="22"/>
        </w:rPr>
        <w:t>‘</w:t>
      </w:r>
      <w:r w:rsidRPr="00DD252A">
        <w:rPr>
          <w:rFonts w:ascii="Perpetua" w:eastAsiaTheme="minorHAnsi" w:hAnsi="Perpetua"/>
          <w:szCs w:val="22"/>
          <w:lang w:val="en-US"/>
        </w:rPr>
        <w:t xml:space="preserve">So they, being sent forth by the Holy Ghost, departed unto Seleucia; and from thence they sailed to Cyprus.’  Acts 13:4, </w:t>
      </w:r>
      <w:r w:rsidRPr="00DD252A">
        <w:rPr>
          <w:rFonts w:ascii="Perpetua" w:eastAsiaTheme="minorHAnsi" w:hAnsi="Perpetua"/>
          <w:i/>
          <w:szCs w:val="22"/>
          <w:lang w:val="en-US"/>
        </w:rPr>
        <w:t>KJV</w:t>
      </w:r>
      <w:r w:rsidRPr="00DD252A">
        <w:rPr>
          <w:rFonts w:ascii="Perpetua" w:eastAsiaTheme="minorHAnsi" w:hAnsi="Perpetua"/>
          <w:szCs w:val="22"/>
          <w:lang w:val="en-US"/>
        </w:rPr>
        <w:t>;</w:t>
      </w:r>
    </w:p>
    <w:p w:rsidR="00975183" w:rsidRPr="00DD252A" w:rsidRDefault="00975183" w:rsidP="00442D33">
      <w:pPr>
        <w:pStyle w:val="FootnoteText"/>
        <w:rPr>
          <w:rFonts w:ascii="Perpetua" w:eastAsiaTheme="minorHAnsi" w:hAnsi="Perpetua"/>
          <w:szCs w:val="22"/>
          <w:lang w:val="en-US"/>
        </w:rPr>
      </w:pPr>
      <w:r w:rsidRPr="00DD252A">
        <w:rPr>
          <w:rFonts w:ascii="Perpetua" w:eastAsiaTheme="minorHAnsi" w:hAnsi="Perpetua"/>
          <w:szCs w:val="22"/>
          <w:lang w:val="en-US"/>
        </w:rPr>
        <w:t xml:space="preserve">‘Now when they had gone throughout Phrygia and the region of Galatia, and were forbidden of the Holy Ghost to preach the word in Asia, </w:t>
      </w:r>
      <w:r w:rsidRPr="00DD252A">
        <w:rPr>
          <w:rFonts w:ascii="Perpetua" w:eastAsiaTheme="minorHAnsi" w:hAnsi="Perpetua"/>
          <w:szCs w:val="22"/>
          <w:vertAlign w:val="superscript"/>
          <w:lang w:val="en-US"/>
        </w:rPr>
        <w:t>7</w:t>
      </w:r>
      <w:r w:rsidRPr="00DD252A">
        <w:rPr>
          <w:rFonts w:ascii="Perpetua" w:eastAsiaTheme="minorHAnsi" w:hAnsi="Perpetua"/>
          <w:szCs w:val="22"/>
          <w:lang w:val="en-US"/>
        </w:rPr>
        <w:t xml:space="preserve">After they were come to Mysia, they assayed to go into Bithynia: but the Spirit suffered them not.’  Acts 16:6-7, </w:t>
      </w:r>
      <w:r w:rsidRPr="00DD252A">
        <w:rPr>
          <w:rFonts w:ascii="Perpetua" w:eastAsiaTheme="minorHAnsi" w:hAnsi="Perpetua"/>
          <w:i/>
          <w:szCs w:val="22"/>
          <w:lang w:val="en-US"/>
        </w:rPr>
        <w:t>KJV</w:t>
      </w:r>
      <w:r w:rsidRPr="00DD252A">
        <w:rPr>
          <w:rFonts w:ascii="Perpetua" w:eastAsiaTheme="minorHAnsi" w:hAnsi="Perpetua"/>
          <w:szCs w:val="22"/>
          <w:lang w:val="en-US"/>
        </w:rPr>
        <w:t>;</w:t>
      </w:r>
    </w:p>
    <w:p w:rsidR="00975183" w:rsidRPr="00DD252A" w:rsidRDefault="00975183" w:rsidP="00442D33">
      <w:pPr>
        <w:pStyle w:val="FootnoteText"/>
        <w:rPr>
          <w:rFonts w:ascii="Perpetua" w:eastAsiaTheme="minorHAnsi" w:hAnsi="Perpetua"/>
          <w:szCs w:val="22"/>
          <w:lang w:val="en-US"/>
        </w:rPr>
      </w:pPr>
      <w:r w:rsidRPr="00DD252A">
        <w:rPr>
          <w:rFonts w:ascii="Perpetua" w:eastAsiaTheme="minorHAnsi" w:hAnsi="Perpetua"/>
          <w:szCs w:val="22"/>
          <w:lang w:val="en-US"/>
        </w:rPr>
        <w:t xml:space="preserve">‘But if the Spirit of him that raised up Jesus from the dead dwell in you, he that raised up Christ from the dead shall also quicken your mortal bodies by his Spirit that dwelleth in you.’  Rom. 8:11, </w:t>
      </w:r>
      <w:r w:rsidRPr="00DD252A">
        <w:rPr>
          <w:rFonts w:ascii="Perpetua" w:eastAsiaTheme="minorHAnsi" w:hAnsi="Perpetua"/>
          <w:i/>
          <w:szCs w:val="22"/>
          <w:lang w:val="en-US"/>
        </w:rPr>
        <w:t>KJV</w:t>
      </w:r>
      <w:r w:rsidRPr="00DD252A">
        <w:rPr>
          <w:rFonts w:ascii="Perpetua" w:eastAsiaTheme="minorHAnsi" w:hAnsi="Perpetua"/>
          <w:szCs w:val="22"/>
          <w:lang w:val="en-US"/>
        </w:rPr>
        <w:t>;</w:t>
      </w:r>
    </w:p>
    <w:p w:rsidR="00975183" w:rsidRDefault="00975183" w:rsidP="00442D33">
      <w:pPr>
        <w:pStyle w:val="FootnoteText"/>
      </w:pPr>
      <w:r w:rsidRPr="00DD252A">
        <w:rPr>
          <w:rFonts w:ascii="Perpetua" w:eastAsiaTheme="minorHAnsi" w:hAnsi="Perpetua"/>
          <w:szCs w:val="22"/>
          <w:lang w:val="en-US"/>
        </w:rPr>
        <w:t xml:space="preserve">‘For if we believe that Jesus died and rose again, even so them also which </w:t>
      </w:r>
      <w:proofErr w:type="gramStart"/>
      <w:r w:rsidRPr="00DD252A">
        <w:rPr>
          <w:rFonts w:ascii="Perpetua" w:eastAsiaTheme="minorHAnsi" w:hAnsi="Perpetua"/>
          <w:szCs w:val="22"/>
          <w:lang w:val="en-US"/>
        </w:rPr>
        <w:t>sleep in Jesus will</w:t>
      </w:r>
      <w:proofErr w:type="gramEnd"/>
      <w:r w:rsidRPr="00DD252A">
        <w:rPr>
          <w:rFonts w:ascii="Perpetua" w:eastAsiaTheme="minorHAnsi" w:hAnsi="Perpetua"/>
          <w:szCs w:val="22"/>
          <w:lang w:val="en-US"/>
        </w:rPr>
        <w:t xml:space="preserve"> God bring with him. </w:t>
      </w:r>
      <w:r w:rsidRPr="00DD252A">
        <w:rPr>
          <w:rFonts w:ascii="Perpetua" w:eastAsiaTheme="minorHAnsi" w:hAnsi="Perpetua"/>
          <w:szCs w:val="22"/>
          <w:vertAlign w:val="superscript"/>
          <w:lang w:val="en-US"/>
        </w:rPr>
        <w:t>15</w:t>
      </w:r>
      <w:r w:rsidRPr="00DD252A">
        <w:rPr>
          <w:rFonts w:ascii="Perpetua" w:eastAsiaTheme="minorHAnsi" w:hAnsi="Perpetua"/>
          <w:szCs w:val="22"/>
          <w:lang w:val="en-US"/>
        </w:rPr>
        <w:t xml:space="preserve">For this we say unto you by the word of the Lord, that we which are alive </w:t>
      </w:r>
      <w:r w:rsidRPr="00DD252A">
        <w:rPr>
          <w:rFonts w:ascii="Perpetua" w:eastAsiaTheme="minorHAnsi" w:hAnsi="Perpetua"/>
          <w:i/>
          <w:iCs/>
          <w:szCs w:val="22"/>
          <w:lang w:val="en-US"/>
        </w:rPr>
        <w:t>and</w:t>
      </w:r>
      <w:r w:rsidRPr="00DD252A">
        <w:rPr>
          <w:rFonts w:ascii="Perpetua" w:eastAsiaTheme="minorHAnsi" w:hAnsi="Perpetua"/>
          <w:szCs w:val="22"/>
          <w:lang w:val="en-US"/>
        </w:rPr>
        <w:t xml:space="preserve"> remain unto the coming of the Lord shall not prevent them which are asleep. </w:t>
      </w:r>
      <w:r w:rsidRPr="00DD252A">
        <w:rPr>
          <w:rFonts w:ascii="Perpetua" w:eastAsiaTheme="minorHAnsi" w:hAnsi="Perpetua"/>
          <w:szCs w:val="22"/>
          <w:vertAlign w:val="superscript"/>
          <w:lang w:val="en-US"/>
        </w:rPr>
        <w:t>16</w:t>
      </w:r>
      <w:r w:rsidRPr="00DD252A">
        <w:rPr>
          <w:rFonts w:ascii="Perpetua" w:eastAsiaTheme="minorHAnsi" w:hAnsi="Perpetua"/>
          <w:szCs w:val="22"/>
          <w:lang w:val="en-US"/>
        </w:rPr>
        <w:t xml:space="preserve">For the Lord himself shall descend from heaven with a shout, with the voice of the archangel, and with the trump of God: and the dead in Christ shall rise </w:t>
      </w:r>
      <w:proofErr w:type="gramStart"/>
      <w:r w:rsidRPr="00DD252A">
        <w:rPr>
          <w:rFonts w:ascii="Perpetua" w:eastAsiaTheme="minorHAnsi" w:hAnsi="Perpetua"/>
          <w:szCs w:val="22"/>
          <w:lang w:val="en-US"/>
        </w:rPr>
        <w:t>first:’  1</w:t>
      </w:r>
      <w:proofErr w:type="gramEnd"/>
      <w:r w:rsidRPr="00DD252A">
        <w:rPr>
          <w:rFonts w:ascii="Perpetua" w:eastAsiaTheme="minorHAnsi" w:hAnsi="Perpetua"/>
          <w:szCs w:val="22"/>
          <w:lang w:val="en-US"/>
        </w:rPr>
        <w:t xml:space="preserve"> Thess. 4:14-16, </w:t>
      </w:r>
      <w:r w:rsidRPr="00DD252A">
        <w:rPr>
          <w:rFonts w:ascii="Perpetua" w:eastAsiaTheme="minorHAnsi" w:hAnsi="Perpetua"/>
          <w:i/>
          <w:szCs w:val="22"/>
          <w:lang w:val="en-US"/>
        </w:rPr>
        <w:t>KJV</w:t>
      </w:r>
      <w:r w:rsidRPr="00DD252A">
        <w:rPr>
          <w:rFonts w:ascii="Perpetua" w:eastAsiaTheme="minorHAnsi" w:hAnsi="Perpetua"/>
          <w:szCs w:val="22"/>
          <w:lang w:val="en-US"/>
        </w:rPr>
        <w:t>.</w:t>
      </w:r>
    </w:p>
  </w:endnote>
  <w:endnote w:id="765">
    <w:p w:rsidR="00975183" w:rsidRPr="009B6564" w:rsidRDefault="00975183" w:rsidP="00442D33">
      <w:pPr>
        <w:pStyle w:val="EndnoteText"/>
      </w:pPr>
      <w:r w:rsidRPr="009B6564">
        <w:rPr>
          <w:rStyle w:val="EndnoteReference"/>
        </w:rPr>
        <w:endnoteRef/>
      </w:r>
      <w:r w:rsidRPr="009B6564">
        <w:t xml:space="preserve"> </w:t>
      </w:r>
      <w:r w:rsidRPr="009B6564">
        <w:rPr>
          <w:b/>
        </w:rPr>
        <w:t>See 2.4 below</w:t>
      </w:r>
      <w:r>
        <w:t>.</w:t>
      </w:r>
    </w:p>
  </w:endnote>
  <w:endnote w:id="766">
    <w:p w:rsidR="00975183" w:rsidRDefault="00975183" w:rsidP="00442D33">
      <w:pPr>
        <w:pStyle w:val="EndnoteText"/>
      </w:pPr>
      <w:r w:rsidRPr="00DD252A">
        <w:rPr>
          <w:rStyle w:val="FootnoteReference"/>
          <w:szCs w:val="22"/>
        </w:rPr>
        <w:endnoteRef/>
      </w:r>
      <w:r w:rsidRPr="00DD252A">
        <w:rPr>
          <w:szCs w:val="22"/>
        </w:rPr>
        <w:t xml:space="preserve"> </w:t>
      </w:r>
      <w:r w:rsidRPr="002A612D">
        <w:rPr>
          <w:i/>
        </w:rPr>
        <w:t>SRB</w:t>
      </w:r>
      <w:r>
        <w:t xml:space="preserve"> n</w:t>
      </w:r>
      <w:r w:rsidRPr="00DD252A">
        <w:rPr>
          <w:szCs w:val="22"/>
        </w:rPr>
        <w:t>otes on Exod. 30:31, p. 112, and Lev. 14:5, p. 144.</w:t>
      </w:r>
    </w:p>
  </w:endnote>
  <w:endnote w:id="767">
    <w:p w:rsidR="00975183" w:rsidRPr="00DD252A" w:rsidRDefault="00975183" w:rsidP="00442D33">
      <w:pPr>
        <w:autoSpaceDE w:val="0"/>
        <w:autoSpaceDN w:val="0"/>
        <w:adjustRightInd w:val="0"/>
        <w:spacing w:after="0" w:line="240" w:lineRule="auto"/>
      </w:pPr>
      <w:r w:rsidRPr="00DD252A">
        <w:rPr>
          <w:rStyle w:val="EndnoteReference"/>
        </w:rPr>
        <w:endnoteRef/>
      </w:r>
      <w:r w:rsidRPr="00DD252A">
        <w:t xml:space="preserve"> </w:t>
      </w:r>
      <w:r w:rsidRPr="00DD252A">
        <w:rPr>
          <w:i/>
        </w:rPr>
        <w:t>SRB</w:t>
      </w:r>
      <w:r w:rsidRPr="00DD252A">
        <w:t xml:space="preserve"> </w:t>
      </w:r>
      <w:r>
        <w:t>n</w:t>
      </w:r>
      <w:r w:rsidRPr="00DD252A">
        <w:t>ote on Num. 19:2, p. 192.  Refs Jn 7:37-9; Eph. 5:26.</w:t>
      </w:r>
    </w:p>
    <w:p w:rsidR="00975183" w:rsidRPr="00DD252A" w:rsidRDefault="00975183" w:rsidP="00442D33">
      <w:pPr>
        <w:autoSpaceDE w:val="0"/>
        <w:autoSpaceDN w:val="0"/>
        <w:adjustRightInd w:val="0"/>
        <w:spacing w:after="0" w:line="240" w:lineRule="auto"/>
        <w:rPr>
          <w:lang w:val="en-US"/>
        </w:rPr>
      </w:pPr>
      <w:r w:rsidRPr="00DD252A">
        <w:t>‘</w:t>
      </w:r>
      <w:r w:rsidRPr="00DD252A">
        <w:rPr>
          <w:lang w:val="en-US"/>
        </w:rPr>
        <w:t xml:space="preserve">In the last day, that great </w:t>
      </w:r>
      <w:r w:rsidRPr="00DD252A">
        <w:rPr>
          <w:i/>
          <w:iCs/>
          <w:lang w:val="en-US"/>
        </w:rPr>
        <w:t>day</w:t>
      </w:r>
      <w:r w:rsidRPr="00DD252A">
        <w:rPr>
          <w:lang w:val="en-US"/>
        </w:rPr>
        <w:t xml:space="preserve"> of the feast, Jesus stood and cried, saying, If any man thirst, let him come unto me, and drink. </w:t>
      </w:r>
      <w:r w:rsidRPr="00DD252A">
        <w:rPr>
          <w:vertAlign w:val="superscript"/>
          <w:lang w:val="en-US"/>
        </w:rPr>
        <w:t>38</w:t>
      </w:r>
      <w:r w:rsidRPr="00DD252A">
        <w:rPr>
          <w:lang w:val="en-US"/>
        </w:rPr>
        <w:t xml:space="preserve">He that believeth on me, as the scripture hath said, out of his belly shall flow rivers of living water. </w:t>
      </w:r>
      <w:r w:rsidRPr="00DD252A">
        <w:rPr>
          <w:vertAlign w:val="superscript"/>
          <w:lang w:val="en-US"/>
        </w:rPr>
        <w:t>39</w:t>
      </w:r>
      <w:r w:rsidRPr="00DD252A">
        <w:rPr>
          <w:lang w:val="en-US"/>
        </w:rPr>
        <w:t xml:space="preserve">(But this spake he of the Spirit, which they that believe on him should receive: for the Holy Ghost was not yet </w:t>
      </w:r>
      <w:r w:rsidRPr="00DD252A">
        <w:rPr>
          <w:i/>
          <w:iCs/>
          <w:lang w:val="en-US"/>
        </w:rPr>
        <w:t>given;</w:t>
      </w:r>
      <w:r w:rsidRPr="00DD252A">
        <w:rPr>
          <w:lang w:val="en-US"/>
        </w:rPr>
        <w:t xml:space="preserve"> because that Jesus was not yet glorified.)’  Jn 7:37-9, </w:t>
      </w:r>
      <w:r w:rsidRPr="00DD252A">
        <w:rPr>
          <w:i/>
          <w:lang w:val="en-US"/>
        </w:rPr>
        <w:t>KJV</w:t>
      </w:r>
      <w:r w:rsidRPr="00DD252A">
        <w:rPr>
          <w:lang w:val="en-US"/>
        </w:rPr>
        <w:t>;</w:t>
      </w:r>
    </w:p>
    <w:p w:rsidR="00975183" w:rsidRDefault="00975183" w:rsidP="00442D33">
      <w:pPr>
        <w:pStyle w:val="EndnoteText"/>
      </w:pPr>
      <w:r w:rsidRPr="00DD252A">
        <w:rPr>
          <w:szCs w:val="22"/>
          <w:lang w:val="en-US"/>
        </w:rPr>
        <w:t xml:space="preserve">‘That he might sanctify and cleanse it with the washing of water by the </w:t>
      </w:r>
      <w:proofErr w:type="gramStart"/>
      <w:r w:rsidRPr="00DD252A">
        <w:rPr>
          <w:szCs w:val="22"/>
          <w:lang w:val="en-US"/>
        </w:rPr>
        <w:t>word,’  Eph</w:t>
      </w:r>
      <w:proofErr w:type="gramEnd"/>
      <w:r w:rsidRPr="00DD252A">
        <w:rPr>
          <w:szCs w:val="22"/>
          <w:lang w:val="en-US"/>
        </w:rPr>
        <w:t xml:space="preserve">. 5:26, </w:t>
      </w:r>
      <w:r w:rsidRPr="00DD252A">
        <w:rPr>
          <w:i/>
          <w:szCs w:val="22"/>
          <w:lang w:val="en-US"/>
        </w:rPr>
        <w:t>KJV</w:t>
      </w:r>
      <w:r w:rsidRPr="00DD252A">
        <w:rPr>
          <w:szCs w:val="22"/>
          <w:lang w:val="en-US"/>
        </w:rPr>
        <w:t>.</w:t>
      </w:r>
    </w:p>
  </w:endnote>
  <w:endnote w:id="768">
    <w:p w:rsidR="00975183" w:rsidRDefault="00975183" w:rsidP="00442D33">
      <w:pPr>
        <w:pStyle w:val="EndnoteText"/>
      </w:pPr>
      <w:r w:rsidRPr="00DD252A">
        <w:rPr>
          <w:rStyle w:val="FootnoteReference"/>
          <w:szCs w:val="22"/>
        </w:rPr>
        <w:endnoteRef/>
      </w:r>
      <w:r w:rsidRPr="00DD252A">
        <w:rPr>
          <w:szCs w:val="22"/>
        </w:rPr>
        <w:t xml:space="preserve"> </w:t>
      </w:r>
      <w:r w:rsidRPr="00DD252A">
        <w:rPr>
          <w:i/>
          <w:szCs w:val="22"/>
        </w:rPr>
        <w:t>SRB</w:t>
      </w:r>
      <w:r>
        <w:rPr>
          <w:szCs w:val="22"/>
        </w:rPr>
        <w:t xml:space="preserve"> n</w:t>
      </w:r>
      <w:r w:rsidRPr="00DD252A">
        <w:rPr>
          <w:szCs w:val="22"/>
        </w:rPr>
        <w:t xml:space="preserve">ote on Exod. 25:1, p. 100.  </w:t>
      </w:r>
      <w:r w:rsidRPr="009418E6">
        <w:rPr>
          <w:b/>
          <w:szCs w:val="22"/>
        </w:rPr>
        <w:t xml:space="preserve">See 5.4.2 </w:t>
      </w:r>
      <w:r w:rsidRPr="00DD252A">
        <w:rPr>
          <w:szCs w:val="22"/>
        </w:rPr>
        <w:t>for comments on the use of ‘</w:t>
      </w:r>
      <w:proofErr w:type="gramStart"/>
      <w:r w:rsidRPr="00DD252A">
        <w:rPr>
          <w:szCs w:val="22"/>
        </w:rPr>
        <w:t>brass’</w:t>
      </w:r>
      <w:proofErr w:type="gramEnd"/>
      <w:r w:rsidRPr="00DD252A">
        <w:rPr>
          <w:szCs w:val="22"/>
        </w:rPr>
        <w:t xml:space="preserve"> as a symbol of judgment.</w:t>
      </w:r>
    </w:p>
  </w:endnote>
  <w:endnote w:id="769">
    <w:p w:rsidR="00975183" w:rsidRDefault="00975183" w:rsidP="00442D33">
      <w:pPr>
        <w:pStyle w:val="EndnoteText"/>
      </w:pPr>
      <w:r w:rsidRPr="00DD252A">
        <w:rPr>
          <w:rStyle w:val="FootnoteReference"/>
          <w:szCs w:val="22"/>
        </w:rPr>
        <w:endnoteRef/>
      </w:r>
      <w:r w:rsidRPr="00DD252A">
        <w:rPr>
          <w:szCs w:val="22"/>
        </w:rPr>
        <w:t xml:space="preserve"> </w:t>
      </w:r>
      <w:r w:rsidRPr="00DD252A">
        <w:rPr>
          <w:i/>
          <w:szCs w:val="22"/>
        </w:rPr>
        <w:t>SRB</w:t>
      </w:r>
      <w:r>
        <w:rPr>
          <w:szCs w:val="22"/>
        </w:rPr>
        <w:t xml:space="preserve"> n</w:t>
      </w:r>
      <w:r w:rsidRPr="00DD252A">
        <w:rPr>
          <w:szCs w:val="22"/>
        </w:rPr>
        <w:t xml:space="preserve">ote on Exod. 25:1, p. 100.  </w:t>
      </w:r>
      <w:r w:rsidRPr="003B738E">
        <w:rPr>
          <w:b/>
          <w:szCs w:val="22"/>
        </w:rPr>
        <w:t>See 2.3 above</w:t>
      </w:r>
      <w:r w:rsidRPr="00DD252A">
        <w:rPr>
          <w:szCs w:val="22"/>
        </w:rPr>
        <w:t>.</w:t>
      </w:r>
    </w:p>
  </w:endnote>
  <w:endnote w:id="770">
    <w:p w:rsidR="00975183" w:rsidRPr="002A612D" w:rsidRDefault="00975183" w:rsidP="00442D33">
      <w:pPr>
        <w:pStyle w:val="EndnoteText"/>
      </w:pPr>
      <w:r w:rsidRPr="002A612D">
        <w:rPr>
          <w:rStyle w:val="EndnoteReference"/>
        </w:rPr>
        <w:endnoteRef/>
      </w:r>
      <w:r w:rsidRPr="002A612D">
        <w:t xml:space="preserve"> </w:t>
      </w:r>
      <w:proofErr w:type="gramStart"/>
      <w:r w:rsidRPr="002A612D">
        <w:rPr>
          <w:i/>
        </w:rPr>
        <w:t xml:space="preserve">SRB </w:t>
      </w:r>
      <w:r w:rsidRPr="002A612D">
        <w:t>note on Gen. 1:16, p. 4.</w:t>
      </w:r>
      <w:proofErr w:type="gramEnd"/>
      <w:r w:rsidRPr="002A612D">
        <w:t xml:space="preserve">  </w:t>
      </w:r>
    </w:p>
  </w:endnote>
  <w:endnote w:id="771">
    <w:p w:rsidR="00975183" w:rsidRPr="002A612D" w:rsidRDefault="00975183" w:rsidP="00442D33">
      <w:pPr>
        <w:pStyle w:val="EndnoteText"/>
      </w:pPr>
      <w:r w:rsidRPr="002A612D">
        <w:rPr>
          <w:rStyle w:val="EndnoteReference"/>
        </w:rPr>
        <w:endnoteRef/>
      </w:r>
      <w:r w:rsidRPr="002A612D">
        <w:t xml:space="preserve"> </w:t>
      </w:r>
      <w:r w:rsidRPr="00B21F66">
        <w:rPr>
          <w:i/>
          <w:spacing w:val="-2"/>
        </w:rPr>
        <w:t>SRB</w:t>
      </w:r>
      <w:r w:rsidRPr="00B21F66">
        <w:rPr>
          <w:spacing w:val="-2"/>
        </w:rPr>
        <w:t xml:space="preserve"> subhead to Gen. 2:23 and </w:t>
      </w:r>
      <w:r w:rsidRPr="00B21F66">
        <w:rPr>
          <w:i/>
          <w:spacing w:val="-2"/>
        </w:rPr>
        <w:t>SRB</w:t>
      </w:r>
      <w:r w:rsidRPr="00B21F66">
        <w:rPr>
          <w:spacing w:val="-2"/>
        </w:rPr>
        <w:t xml:space="preserve"> notes on Gen. 2:23, p. 8</w:t>
      </w:r>
      <w:r w:rsidRPr="00B21F66">
        <w:rPr>
          <w:spacing w:val="-2"/>
          <w:lang w:eastAsia="en-GB"/>
        </w:rPr>
        <w:t xml:space="preserve">; </w:t>
      </w:r>
      <w:r w:rsidRPr="00B21F66">
        <w:rPr>
          <w:spacing w:val="-2"/>
        </w:rPr>
        <w:t xml:space="preserve">Eph. 5:32, p. 1255.  </w:t>
      </w:r>
      <w:r w:rsidRPr="00B21F66">
        <w:rPr>
          <w:spacing w:val="-2"/>
          <w:szCs w:val="18"/>
        </w:rPr>
        <w:t>In the note on Eph. 5:32, Scofield asserts that the reference in Eph. 5:30, 31 to Gen. 2:23 and 24</w:t>
      </w:r>
      <w:r w:rsidRPr="00B21F66">
        <w:rPr>
          <w:b/>
          <w:spacing w:val="-2"/>
          <w:szCs w:val="18"/>
        </w:rPr>
        <w:t xml:space="preserve"> ‘</w:t>
      </w:r>
      <w:r w:rsidRPr="00B21F66">
        <w:rPr>
          <w:spacing w:val="-2"/>
          <w:szCs w:val="18"/>
        </w:rPr>
        <w:t>excludes the interpretation that the reference to the church is merely as the body of Christ’ but to ‘bone of his bone and flesh of his flesh’ as Eve was of Adam.</w:t>
      </w:r>
    </w:p>
  </w:endnote>
  <w:endnote w:id="772">
    <w:p w:rsidR="00975183" w:rsidRPr="002A612D" w:rsidRDefault="00975183" w:rsidP="00442D33">
      <w:pPr>
        <w:pStyle w:val="EndnoteText"/>
      </w:pPr>
      <w:r w:rsidRPr="002A612D">
        <w:rPr>
          <w:rStyle w:val="EndnoteReference"/>
        </w:rPr>
        <w:endnoteRef/>
      </w:r>
      <w:r w:rsidRPr="002A612D">
        <w:t xml:space="preserve"> Jn 3:28, Jn 3:29; 2 Cor. 11:2; Eph. 5:25-32; Rev. 19:7, 8.</w:t>
      </w:r>
    </w:p>
  </w:endnote>
  <w:endnote w:id="773">
    <w:p w:rsidR="00975183" w:rsidRPr="00425C24" w:rsidRDefault="00975183" w:rsidP="00442D33">
      <w:pPr>
        <w:pStyle w:val="EndnoteText"/>
      </w:pPr>
      <w:r w:rsidRPr="00425C24">
        <w:rPr>
          <w:rStyle w:val="EndnoteReference"/>
        </w:rPr>
        <w:endnoteRef/>
      </w:r>
      <w:r w:rsidRPr="00425C24">
        <w:t xml:space="preserve"> Stephen Sizer, ‘The Denigration of the Church within the Purposes of God’ in ‘Cyrus Ingerson Scofield – The Author of the Scofield Reference Bible’, chapter 7, revised 1998</w:t>
      </w:r>
    </w:p>
    <w:p w:rsidR="00975183" w:rsidRPr="00425C24" w:rsidRDefault="00975183" w:rsidP="00442D33">
      <w:pPr>
        <w:pStyle w:val="EndnoteText"/>
      </w:pPr>
      <w:r w:rsidRPr="00425C24">
        <w:t>&lt;http://www.theologue.org/CIScofield-SSizer.htm&gt; [accessed 24.6.11].</w:t>
      </w:r>
    </w:p>
  </w:endnote>
  <w:endnote w:id="774">
    <w:p w:rsidR="00975183" w:rsidRPr="00425C24" w:rsidRDefault="00975183" w:rsidP="00442D33">
      <w:pPr>
        <w:pStyle w:val="EndnoteText"/>
      </w:pPr>
      <w:r w:rsidRPr="00425C24">
        <w:rPr>
          <w:rStyle w:val="EndnoteReference"/>
        </w:rPr>
        <w:endnoteRef/>
      </w:r>
      <w:r w:rsidRPr="00425C24">
        <w:t xml:space="preserve">  </w:t>
      </w:r>
      <w:proofErr w:type="gramStart"/>
      <w:r w:rsidRPr="00425C24">
        <w:t>Sizer, ‘The Denigration of the Chu</w:t>
      </w:r>
      <w:r>
        <w:t>rch within the Purposes of God’.</w:t>
      </w:r>
      <w:proofErr w:type="gramEnd"/>
    </w:p>
  </w:endnote>
  <w:endnote w:id="775">
    <w:p w:rsidR="00975183" w:rsidRPr="00425C24" w:rsidRDefault="00975183" w:rsidP="00442D33">
      <w:pPr>
        <w:pStyle w:val="EndnoteText"/>
      </w:pPr>
      <w:r w:rsidRPr="00425C24">
        <w:rPr>
          <w:rStyle w:val="EndnoteReference"/>
        </w:rPr>
        <w:endnoteRef/>
      </w:r>
      <w:r w:rsidRPr="00425C24">
        <w:t xml:space="preserve"> </w:t>
      </w:r>
      <w:r w:rsidRPr="009668EF">
        <w:t>Most of the notes and subheads in Scofield’s annotation of Song of Solomon stress the inferiority of the ‘bride’ to the ‘Bridegroom’; the use of the capital letter for ‘Bridegroom’ is also significant as an indication of his identity as Christ in Scofield’s eyes.  The bride is ‘unperfected’ and the Bridegroom ‘tender’; Scofield states that</w:t>
      </w:r>
      <w:r w:rsidRPr="009668EF">
        <w:rPr>
          <w:i/>
        </w:rPr>
        <w:t xml:space="preserve"> </w:t>
      </w:r>
      <w:r w:rsidRPr="009668EF">
        <w:t>‘it is comforting to see that all these tender thoughts of Christ are for His Bride in her unperfected state’</w:t>
      </w:r>
      <w:r>
        <w:t>.</w:t>
      </w:r>
      <w:r w:rsidRPr="009668EF">
        <w:t xml:space="preserve"> </w:t>
      </w:r>
      <w:proofErr w:type="gramStart"/>
      <w:r w:rsidRPr="009668EF">
        <w:t>(</w:t>
      </w:r>
      <w:r w:rsidRPr="009668EF">
        <w:rPr>
          <w:i/>
        </w:rPr>
        <w:t>SRB</w:t>
      </w:r>
      <w:r w:rsidRPr="009668EF">
        <w:t xml:space="preserve"> note on Song 1:1,</w:t>
      </w:r>
      <w:r>
        <w:t xml:space="preserve"> </w:t>
      </w:r>
      <w:r w:rsidRPr="009668EF">
        <w:t>p. 705</w:t>
      </w:r>
      <w:r>
        <w:t>.</w:t>
      </w:r>
      <w:r w:rsidRPr="009668EF">
        <w:t>)</w:t>
      </w:r>
      <w:proofErr w:type="gramEnd"/>
      <w:r w:rsidRPr="009668EF">
        <w:t xml:space="preserve">  Her ‘similes’ are poor compared to His: a ‘lily among thorns’, compared to ‘the apple tree among the trees of the wood’</w:t>
      </w:r>
      <w:r>
        <w:t>.</w:t>
      </w:r>
      <w:r w:rsidRPr="009668EF">
        <w:t xml:space="preserve"> </w:t>
      </w:r>
      <w:proofErr w:type="gramStart"/>
      <w:r w:rsidRPr="009668EF">
        <w:t>(</w:t>
      </w:r>
      <w:r w:rsidRPr="009668EF">
        <w:rPr>
          <w:i/>
        </w:rPr>
        <w:t>SRB</w:t>
      </w:r>
      <w:r w:rsidRPr="009668EF">
        <w:t xml:space="preserve"> note on Song. 2:2, p. 706</w:t>
      </w:r>
      <w:r>
        <w:t>.</w:t>
      </w:r>
      <w:r w:rsidRPr="009668EF">
        <w:t>)</w:t>
      </w:r>
      <w:proofErr w:type="gramEnd"/>
      <w:r w:rsidRPr="009668EF">
        <w:t xml:space="preserve">  The bride, though ‘in herself most faulty; in Him “blameless and harmless”, the very character of the dove.  In her rocky hiding-place, she is ‘hidden … in the wounds of Christ’</w:t>
      </w:r>
      <w:r>
        <w:t xml:space="preserve">. </w:t>
      </w:r>
      <w:r w:rsidRPr="009668EF">
        <w:t xml:space="preserve"> </w:t>
      </w:r>
      <w:proofErr w:type="gramStart"/>
      <w:r w:rsidRPr="009668EF">
        <w:t>(</w:t>
      </w:r>
      <w:r w:rsidRPr="009668EF">
        <w:rPr>
          <w:i/>
        </w:rPr>
        <w:t>SRB</w:t>
      </w:r>
      <w:r w:rsidRPr="009668EF">
        <w:t xml:space="preserve"> note on Song. 2:14, p. 706</w:t>
      </w:r>
      <w:r>
        <w:t>.</w:t>
      </w:r>
      <w:r w:rsidRPr="009668EF">
        <w:t>)</w:t>
      </w:r>
      <w:proofErr w:type="gramEnd"/>
      <w:r w:rsidRPr="009668EF">
        <w:t xml:space="preserve">  In the note on Song 5:2, Scofield brings his interpretation completely into the New Testament: the bride is not in a state of sin but is in ‘neglect of service’, ‘preoccupied with the graces which she has in Christ through the Spirit’.  </w:t>
      </w:r>
      <w:r>
        <w:t>‘</w:t>
      </w:r>
      <w:proofErr w:type="gramStart"/>
      <w:r>
        <w:t>So</w:t>
      </w:r>
      <w:proofErr w:type="gramEnd"/>
      <w:r>
        <w:t xml:space="preserve"> soon as the bride witnesses to the Bridegroom’s own personal loveliness, a desire is awakened in the daughters of Jerusalem to seek Him.’  </w:t>
      </w:r>
      <w:proofErr w:type="gramStart"/>
      <w:r>
        <w:t>(</w:t>
      </w:r>
      <w:r w:rsidRPr="009668EF">
        <w:rPr>
          <w:i/>
        </w:rPr>
        <w:t>SRB</w:t>
      </w:r>
      <w:r>
        <w:t xml:space="preserve"> note on Song 6:1, p. 708.)</w:t>
      </w:r>
      <w:proofErr w:type="gramEnd"/>
    </w:p>
  </w:endnote>
  <w:endnote w:id="776">
    <w:p w:rsidR="00975183" w:rsidRPr="00425C24" w:rsidRDefault="00975183" w:rsidP="00442D33">
      <w:pPr>
        <w:pStyle w:val="EndnoteText"/>
      </w:pPr>
      <w:r w:rsidRPr="00425C24">
        <w:rPr>
          <w:rStyle w:val="EndnoteReference"/>
        </w:rPr>
        <w:endnoteRef/>
      </w:r>
      <w:r w:rsidRPr="00425C24">
        <w:t xml:space="preserve"> </w:t>
      </w:r>
      <w:proofErr w:type="gramStart"/>
      <w:r w:rsidRPr="00425C24">
        <w:rPr>
          <w:i/>
        </w:rPr>
        <w:t>SRB</w:t>
      </w:r>
      <w:r>
        <w:t xml:space="preserve"> n</w:t>
      </w:r>
      <w:r w:rsidRPr="00425C24">
        <w:t>ote on Gen. 6:14, p. 13.</w:t>
      </w:r>
      <w:proofErr w:type="gramEnd"/>
      <w:r w:rsidRPr="00425C24">
        <w:t xml:space="preserve">  </w:t>
      </w:r>
      <w:proofErr w:type="gramStart"/>
      <w:r w:rsidRPr="003B738E">
        <w:rPr>
          <w:b/>
        </w:rPr>
        <w:t>See 6.1.1 and 6.1.3</w:t>
      </w:r>
      <w:r w:rsidRPr="008E5182">
        <w:t>.</w:t>
      </w:r>
      <w:proofErr w:type="gramEnd"/>
    </w:p>
  </w:endnote>
  <w:endnote w:id="777">
    <w:p w:rsidR="00975183" w:rsidRPr="00425C24" w:rsidRDefault="00975183" w:rsidP="00442D33">
      <w:pPr>
        <w:pStyle w:val="EndnoteText"/>
      </w:pPr>
      <w:r w:rsidRPr="00425C24">
        <w:rPr>
          <w:rStyle w:val="EndnoteReference"/>
        </w:rPr>
        <w:endnoteRef/>
      </w:r>
      <w:r w:rsidRPr="00425C24">
        <w:t xml:space="preserve"> </w:t>
      </w:r>
      <w:proofErr w:type="gramStart"/>
      <w:r w:rsidRPr="00425C24">
        <w:rPr>
          <w:i/>
        </w:rPr>
        <w:t>SRB</w:t>
      </w:r>
      <w:r>
        <w:t xml:space="preserve"> n</w:t>
      </w:r>
      <w:r w:rsidRPr="00425C24">
        <w:t>ote on Gen. 11:1, p. 18.</w:t>
      </w:r>
      <w:proofErr w:type="gramEnd"/>
      <w:r w:rsidRPr="00425C24">
        <w:t xml:space="preserve">  </w:t>
      </w:r>
    </w:p>
  </w:endnote>
  <w:endnote w:id="778">
    <w:p w:rsidR="00975183" w:rsidRPr="006C5477" w:rsidRDefault="00975183" w:rsidP="00442D33">
      <w:pPr>
        <w:spacing w:after="0" w:line="240" w:lineRule="auto"/>
      </w:pPr>
      <w:r w:rsidRPr="00DD252A">
        <w:rPr>
          <w:rStyle w:val="FootnoteReference"/>
        </w:rPr>
        <w:endnoteRef/>
      </w:r>
      <w:r>
        <w:t xml:space="preserve"> </w:t>
      </w:r>
      <w:proofErr w:type="gramStart"/>
      <w:r w:rsidRPr="00425C24">
        <w:rPr>
          <w:i/>
        </w:rPr>
        <w:t>SRB</w:t>
      </w:r>
      <w:r>
        <w:t xml:space="preserve"> n</w:t>
      </w:r>
      <w:r w:rsidRPr="00425C24">
        <w:t>ote on Gen. 11:1, p. 18.</w:t>
      </w:r>
      <w:proofErr w:type="gramEnd"/>
      <w:r w:rsidRPr="00425C24">
        <w:t xml:space="preserve"> </w:t>
      </w:r>
      <w:r>
        <w:t xml:space="preserve">  ‘The history of Babel (“confusion”) strikingly parallels that of the professing Church: Ambition (Gen. 11:4), using worldly, not spiritual, means (Gen. 11:3), ending in a manmade unity – the papacy; the confusion of tongues (Gen. 11:7) – Protestantism with its innumerable sects.’  </w:t>
      </w:r>
      <w:proofErr w:type="gramStart"/>
      <w:r>
        <w:t xml:space="preserve">cf </w:t>
      </w:r>
      <w:r w:rsidRPr="006C5477">
        <w:rPr>
          <w:i/>
        </w:rPr>
        <w:t>SRB</w:t>
      </w:r>
      <w:r>
        <w:t xml:space="preserve"> note on Rev. 1:20, p. 1332.</w:t>
      </w:r>
      <w:proofErr w:type="gramEnd"/>
      <w:r>
        <w:t xml:space="preserve">  ‘</w:t>
      </w:r>
      <w:r w:rsidRPr="00F307AB">
        <w:t>Thyatira is the Papacy, developed out of the Pergamos state: Balaamism (worldliness) and Nicolaitanism (priestly assumption) having conquered.  As Jezebel brought idolatry into Israel, so Romanism weds Christi</w:t>
      </w:r>
      <w:r>
        <w:t xml:space="preserve">an doctrine to pagan ceremonies.  </w:t>
      </w:r>
      <w:r w:rsidRPr="00F307AB">
        <w:t xml:space="preserve">Sardis is the Protestant Reformation, whose works were not </w:t>
      </w:r>
      <w:r>
        <w:t>“</w:t>
      </w:r>
      <w:r w:rsidRPr="00F307AB">
        <w:t>fulfilled</w:t>
      </w:r>
      <w:r>
        <w:t>”</w:t>
      </w:r>
      <w:r w:rsidRPr="00F307AB">
        <w:t>.</w:t>
      </w:r>
      <w:r>
        <w:t>’</w:t>
      </w:r>
      <w:r w:rsidRPr="00DD252A">
        <w:t xml:space="preserve"> </w:t>
      </w:r>
      <w:r>
        <w:rPr>
          <w:b/>
        </w:rPr>
        <w:t xml:space="preserve">See 2.2.1 above; 7.1.1; 8.9 and endnote 100. </w:t>
      </w:r>
    </w:p>
  </w:endnote>
  <w:endnote w:id="779">
    <w:p w:rsidR="00975183" w:rsidRPr="00162A59" w:rsidRDefault="00975183" w:rsidP="00442D33">
      <w:pPr>
        <w:pStyle w:val="EndnoteText"/>
        <w:rPr>
          <w:rStyle w:val="EndnoteReference"/>
        </w:rPr>
      </w:pPr>
      <w:r w:rsidRPr="00162A59">
        <w:rPr>
          <w:rStyle w:val="EndnoteReference"/>
        </w:rPr>
        <w:endnoteRef/>
      </w:r>
      <w:r w:rsidRPr="00162A59">
        <w:t xml:space="preserve"> </w:t>
      </w:r>
      <w:r w:rsidRPr="00CC344C">
        <w:rPr>
          <w:i/>
        </w:rPr>
        <w:t>SRB</w:t>
      </w:r>
      <w:r>
        <w:t xml:space="preserve"> n</w:t>
      </w:r>
      <w:r w:rsidRPr="00162A59">
        <w:t>ote on Gen. 21:3</w:t>
      </w:r>
      <w:proofErr w:type="gramStart"/>
      <w:r w:rsidRPr="00162A59">
        <w:t>,</w:t>
      </w:r>
      <w:proofErr w:type="gramEnd"/>
      <w:r w:rsidRPr="00162A59">
        <w:rPr>
          <w:rStyle w:val="EndnoteReference"/>
        </w:rPr>
        <w:t xml:space="preserve"> </w:t>
      </w:r>
      <w:r w:rsidRPr="00CC344C">
        <w:t>p. 31</w:t>
      </w:r>
      <w:r>
        <w:t>.</w:t>
      </w:r>
    </w:p>
  </w:endnote>
  <w:endnote w:id="780">
    <w:p w:rsidR="00975183" w:rsidRPr="00162A59" w:rsidRDefault="00975183" w:rsidP="00442D33">
      <w:pPr>
        <w:pStyle w:val="EndnoteText"/>
      </w:pPr>
      <w:r w:rsidRPr="00162A59">
        <w:rPr>
          <w:rStyle w:val="EndnoteReference"/>
        </w:rPr>
        <w:endnoteRef/>
      </w:r>
      <w:r w:rsidRPr="00162A59">
        <w:t xml:space="preserve"> </w:t>
      </w:r>
      <w:proofErr w:type="gramStart"/>
      <w:r w:rsidRPr="00CC344C">
        <w:rPr>
          <w:i/>
        </w:rPr>
        <w:t>SRB</w:t>
      </w:r>
      <w:r>
        <w:t xml:space="preserve"> note on Gen. 24:1, </w:t>
      </w:r>
      <w:r w:rsidRPr="00CC344C">
        <w:t xml:space="preserve">p. </w:t>
      </w:r>
      <w:r>
        <w:t>34.</w:t>
      </w:r>
      <w:proofErr w:type="gramEnd"/>
      <w:r>
        <w:t xml:space="preserve">  Refs 2 Cor. 11:2; Eph. 5:25-32.</w:t>
      </w:r>
    </w:p>
  </w:endnote>
  <w:endnote w:id="781">
    <w:p w:rsidR="00975183" w:rsidRPr="00221DA4" w:rsidRDefault="00975183" w:rsidP="00442D33">
      <w:pPr>
        <w:pStyle w:val="EndnoteText"/>
        <w:rPr>
          <w:szCs w:val="18"/>
        </w:rPr>
      </w:pPr>
      <w:r w:rsidRPr="00221DA4">
        <w:rPr>
          <w:rStyle w:val="EndnoteReference"/>
          <w:szCs w:val="18"/>
        </w:rPr>
        <w:endnoteRef/>
      </w:r>
      <w:r w:rsidRPr="00221DA4">
        <w:rPr>
          <w:szCs w:val="18"/>
        </w:rPr>
        <w:t xml:space="preserve"> </w:t>
      </w:r>
      <w:proofErr w:type="gramStart"/>
      <w:r w:rsidRPr="00221DA4">
        <w:rPr>
          <w:i/>
          <w:szCs w:val="18"/>
        </w:rPr>
        <w:t xml:space="preserve">SRB </w:t>
      </w:r>
      <w:r w:rsidRPr="00221DA4">
        <w:rPr>
          <w:szCs w:val="18"/>
        </w:rPr>
        <w:t>note on Gen. 41:45, p. 59.</w:t>
      </w:r>
      <w:proofErr w:type="gramEnd"/>
      <w:r w:rsidRPr="00221DA4">
        <w:rPr>
          <w:szCs w:val="18"/>
        </w:rPr>
        <w:t xml:space="preserve">  </w:t>
      </w:r>
    </w:p>
  </w:endnote>
  <w:endnote w:id="782">
    <w:p w:rsidR="00975183" w:rsidRPr="00425C24" w:rsidRDefault="00975183" w:rsidP="00442D33">
      <w:pPr>
        <w:pStyle w:val="EndnoteText"/>
      </w:pPr>
      <w:r w:rsidRPr="00425C24">
        <w:rPr>
          <w:rStyle w:val="EndnoteReference"/>
        </w:rPr>
        <w:endnoteRef/>
      </w:r>
      <w:r w:rsidRPr="00425C24">
        <w:t xml:space="preserve"> </w:t>
      </w:r>
      <w:proofErr w:type="gramStart"/>
      <w:r w:rsidRPr="00425C24">
        <w:rPr>
          <w:i/>
        </w:rPr>
        <w:t>SRB</w:t>
      </w:r>
      <w:r>
        <w:t xml:space="preserve"> n</w:t>
      </w:r>
      <w:r w:rsidRPr="00425C24">
        <w:t>ote on Gen. 41:45, p. 59.</w:t>
      </w:r>
      <w:proofErr w:type="gramEnd"/>
      <w:r w:rsidRPr="00425C24">
        <w:t xml:space="preserve">  </w:t>
      </w:r>
    </w:p>
  </w:endnote>
  <w:endnote w:id="783">
    <w:p w:rsidR="00975183" w:rsidRDefault="00975183" w:rsidP="00442D33">
      <w:pPr>
        <w:pStyle w:val="FootnoteText"/>
        <w:rPr>
          <w:rFonts w:ascii="Perpetua" w:hAnsi="Perpetua"/>
        </w:rPr>
      </w:pPr>
      <w:r w:rsidRPr="00162A59">
        <w:rPr>
          <w:rStyle w:val="EndnoteReference"/>
          <w:rFonts w:ascii="Perpetua" w:hAnsi="Perpetua"/>
        </w:rPr>
        <w:endnoteRef/>
      </w:r>
      <w:r w:rsidRPr="00162A59">
        <w:rPr>
          <w:rFonts w:ascii="Perpetua" w:hAnsi="Perpetua"/>
        </w:rPr>
        <w:t xml:space="preserve"> </w:t>
      </w:r>
      <w:r w:rsidRPr="00CC344C">
        <w:rPr>
          <w:rFonts w:ascii="Perpetua" w:hAnsi="Perpetua"/>
          <w:i/>
        </w:rPr>
        <w:t>SRB</w:t>
      </w:r>
      <w:r>
        <w:rPr>
          <w:rFonts w:ascii="Perpetua" w:hAnsi="Perpetua"/>
        </w:rPr>
        <w:t xml:space="preserve"> note on Exod. 25:9, </w:t>
      </w:r>
      <w:r w:rsidRPr="00CC344C">
        <w:rPr>
          <w:rFonts w:ascii="Perpetua" w:hAnsi="Perpetua"/>
        </w:rPr>
        <w:t xml:space="preserve">p. </w:t>
      </w:r>
      <w:r>
        <w:rPr>
          <w:rFonts w:ascii="Perpetua" w:hAnsi="Perpetua"/>
        </w:rPr>
        <w:t>101.  Ref.s Exod. 25:8; Eph. 2:19-22.</w:t>
      </w:r>
    </w:p>
    <w:p w:rsidR="00975183" w:rsidRPr="0006294E" w:rsidRDefault="00975183" w:rsidP="00442D33">
      <w:pPr>
        <w:pStyle w:val="FootnoteText"/>
        <w:rPr>
          <w:rFonts w:ascii="Perpetua" w:eastAsiaTheme="minorHAnsi" w:hAnsi="Perpetua"/>
          <w:lang w:val="en-US"/>
        </w:rPr>
      </w:pPr>
      <w:r w:rsidRPr="0006294E">
        <w:rPr>
          <w:rFonts w:ascii="Perpetua" w:hAnsi="Perpetua"/>
        </w:rPr>
        <w:t>‘</w:t>
      </w:r>
      <w:r w:rsidRPr="0006294E">
        <w:rPr>
          <w:rFonts w:ascii="Perpetua" w:eastAsiaTheme="minorHAnsi" w:hAnsi="Perpetua"/>
          <w:lang w:val="en-US"/>
        </w:rPr>
        <w:t xml:space="preserve">And let them make me a sanctuary; that I may dwell among them.’  Exod. 25:8, </w:t>
      </w:r>
      <w:r w:rsidRPr="00D141D1">
        <w:rPr>
          <w:rFonts w:ascii="Perpetua" w:eastAsiaTheme="minorHAnsi" w:hAnsi="Perpetua"/>
          <w:i/>
          <w:lang w:val="en-US"/>
        </w:rPr>
        <w:t>KJV</w:t>
      </w:r>
      <w:r w:rsidRPr="0006294E">
        <w:rPr>
          <w:rFonts w:ascii="Perpetua" w:eastAsiaTheme="minorHAnsi" w:hAnsi="Perpetua"/>
          <w:lang w:val="en-US"/>
        </w:rPr>
        <w:t>.</w:t>
      </w:r>
    </w:p>
    <w:p w:rsidR="00975183" w:rsidRPr="00162A59" w:rsidRDefault="00975183" w:rsidP="00442D33">
      <w:pPr>
        <w:pStyle w:val="EndnoteText"/>
      </w:pPr>
      <w:r w:rsidRPr="0006294E">
        <w:rPr>
          <w:b/>
        </w:rPr>
        <w:t>‘</w:t>
      </w:r>
      <w:r w:rsidRPr="0006294E">
        <w:rPr>
          <w:lang w:val="en-US"/>
        </w:rPr>
        <w:t xml:space="preserve">Now therefore ye are no more strangers and foreigners, but fellow citizens with the saints, and of the household of God; </w:t>
      </w:r>
      <w:r w:rsidRPr="0006294E">
        <w:rPr>
          <w:vertAlign w:val="superscript"/>
          <w:lang w:val="en-US"/>
        </w:rPr>
        <w:t>20</w:t>
      </w:r>
      <w:r w:rsidRPr="0006294E">
        <w:rPr>
          <w:lang w:val="en-US"/>
        </w:rPr>
        <w:t xml:space="preserve">And are built upon the foundation of the apostles and prophets, Jesus Christ himself being the chief corner </w:t>
      </w:r>
      <w:r w:rsidRPr="0006294E">
        <w:rPr>
          <w:i/>
          <w:iCs/>
          <w:lang w:val="en-US"/>
        </w:rPr>
        <w:t>stone;</w:t>
      </w:r>
      <w:r w:rsidRPr="0006294E">
        <w:rPr>
          <w:lang w:val="en-US"/>
        </w:rPr>
        <w:t xml:space="preserve"> </w:t>
      </w:r>
      <w:r w:rsidRPr="0006294E">
        <w:rPr>
          <w:vertAlign w:val="superscript"/>
          <w:lang w:val="en-US"/>
        </w:rPr>
        <w:t>21</w:t>
      </w:r>
      <w:r w:rsidRPr="0006294E">
        <w:rPr>
          <w:lang w:val="en-US"/>
        </w:rPr>
        <w:t xml:space="preserve">In whom all the building fitly framed together groweth unto an holy temple in the Lord:  </w:t>
      </w:r>
      <w:r w:rsidRPr="0006294E">
        <w:rPr>
          <w:vertAlign w:val="superscript"/>
          <w:lang w:val="en-US"/>
        </w:rPr>
        <w:t>22</w:t>
      </w:r>
      <w:r w:rsidRPr="0006294E">
        <w:rPr>
          <w:lang w:val="en-US"/>
        </w:rPr>
        <w:t xml:space="preserve">In whom ye also are builded together for an habitation of God through the Spirit.’  Eph. 2:19-22, </w:t>
      </w:r>
      <w:r w:rsidRPr="0006294E">
        <w:rPr>
          <w:i/>
          <w:lang w:val="en-US"/>
        </w:rPr>
        <w:t>KJV</w:t>
      </w:r>
      <w:r w:rsidRPr="0006294E">
        <w:rPr>
          <w:lang w:val="en-US"/>
        </w:rPr>
        <w:t>.</w:t>
      </w:r>
    </w:p>
  </w:endnote>
  <w:endnote w:id="784">
    <w:p w:rsidR="00975183" w:rsidRDefault="00975183" w:rsidP="00442D33">
      <w:pPr>
        <w:pStyle w:val="EndnoteText"/>
      </w:pPr>
      <w:r w:rsidRPr="00DD252A">
        <w:rPr>
          <w:rStyle w:val="FootnoteReference"/>
        </w:rPr>
        <w:endnoteRef/>
      </w:r>
      <w:r w:rsidRPr="00DD252A">
        <w:t xml:space="preserve"> </w:t>
      </w:r>
      <w:r w:rsidRPr="00DD252A">
        <w:rPr>
          <w:i/>
        </w:rPr>
        <w:t>SRB</w:t>
      </w:r>
      <w:r>
        <w:t xml:space="preserve"> </w:t>
      </w:r>
      <w:r w:rsidRPr="00DD252A">
        <w:t xml:space="preserve">Introduction to Ruth, p. 315.  </w:t>
      </w:r>
    </w:p>
  </w:endnote>
  <w:endnote w:id="785">
    <w:p w:rsidR="00975183" w:rsidRPr="000F5BE6" w:rsidRDefault="00975183" w:rsidP="00442D33">
      <w:pPr>
        <w:pStyle w:val="EndnoteText"/>
      </w:pPr>
      <w:r w:rsidRPr="000F5BE6">
        <w:rPr>
          <w:rStyle w:val="EndnoteReference"/>
        </w:rPr>
        <w:endnoteRef/>
      </w:r>
      <w:r w:rsidRPr="000F5BE6">
        <w:t xml:space="preserve"> </w:t>
      </w:r>
      <w:r w:rsidRPr="00CC344C">
        <w:rPr>
          <w:i/>
        </w:rPr>
        <w:t>SRB</w:t>
      </w:r>
      <w:r>
        <w:t xml:space="preserve"> note on Lev. 23:16, </w:t>
      </w:r>
      <w:r w:rsidRPr="00CC344C">
        <w:t xml:space="preserve">p. </w:t>
      </w:r>
      <w:r>
        <w:t>156.</w:t>
      </w:r>
    </w:p>
  </w:endnote>
  <w:endnote w:id="786">
    <w:p w:rsidR="00975183" w:rsidRDefault="00975183" w:rsidP="00442D33">
      <w:pPr>
        <w:pStyle w:val="EndnoteText"/>
      </w:pPr>
      <w:r w:rsidRPr="00DD252A">
        <w:rPr>
          <w:rStyle w:val="FootnoteReference"/>
        </w:rPr>
        <w:endnoteRef/>
      </w:r>
      <w:r w:rsidRPr="00DD252A">
        <w:t xml:space="preserve"> Judaism 101, ‘Shavu’ot’ &lt;http://www.jewfaq.org/holidayc.htm&gt; [accessed 29.9.17].</w:t>
      </w:r>
    </w:p>
  </w:endnote>
  <w:endnote w:id="787">
    <w:p w:rsidR="00975183" w:rsidRPr="000F5BE6" w:rsidRDefault="00975183" w:rsidP="00442D33">
      <w:pPr>
        <w:pStyle w:val="EndnoteText"/>
      </w:pPr>
      <w:r w:rsidRPr="000F5BE6">
        <w:rPr>
          <w:rStyle w:val="EndnoteReference"/>
        </w:rPr>
        <w:endnoteRef/>
      </w:r>
      <w:r w:rsidRPr="000F5BE6">
        <w:t xml:space="preserve"> </w:t>
      </w:r>
      <w:r w:rsidRPr="00CC344C">
        <w:rPr>
          <w:i/>
        </w:rPr>
        <w:t>SRB</w:t>
      </w:r>
      <w:r>
        <w:t xml:space="preserve"> note on Lev. 23:17, </w:t>
      </w:r>
      <w:r w:rsidRPr="00CC344C">
        <w:t xml:space="preserve">p. </w:t>
      </w:r>
      <w:r>
        <w:t>157.</w:t>
      </w:r>
    </w:p>
  </w:endnote>
  <w:endnote w:id="788">
    <w:p w:rsidR="00975183" w:rsidRPr="00CC344C" w:rsidRDefault="00975183" w:rsidP="00442D33">
      <w:pPr>
        <w:pStyle w:val="EndnoteText"/>
      </w:pPr>
      <w:r w:rsidRPr="00CC344C">
        <w:rPr>
          <w:rStyle w:val="EndnoteReference"/>
        </w:rPr>
        <w:endnoteRef/>
      </w:r>
      <w:r w:rsidRPr="00CC344C">
        <w:t xml:space="preserve"> </w:t>
      </w:r>
      <w:r w:rsidRPr="00CC344C">
        <w:rPr>
          <w:i/>
        </w:rPr>
        <w:t>SRB</w:t>
      </w:r>
      <w:r>
        <w:t xml:space="preserve"> n</w:t>
      </w:r>
      <w:r w:rsidRPr="00CC344C">
        <w:t>otes on Gen. 2:</w:t>
      </w:r>
      <w:r>
        <w:t>2</w:t>
      </w:r>
      <w:r w:rsidRPr="00CC344C">
        <w:t>3, p. 31, and Exod. 25:9, p. 101</w:t>
      </w:r>
      <w:r>
        <w:t>.</w:t>
      </w:r>
    </w:p>
  </w:endnote>
  <w:endnote w:id="789">
    <w:p w:rsidR="00975183" w:rsidRPr="00CC344C" w:rsidRDefault="00975183" w:rsidP="00442D33">
      <w:pPr>
        <w:pStyle w:val="EndnoteText"/>
      </w:pPr>
      <w:r w:rsidRPr="00CC344C">
        <w:rPr>
          <w:rStyle w:val="EndnoteReference"/>
        </w:rPr>
        <w:endnoteRef/>
      </w:r>
      <w:r w:rsidRPr="00CC344C">
        <w:t xml:space="preserve"> </w:t>
      </w:r>
      <w:r>
        <w:rPr>
          <w:i/>
        </w:rPr>
        <w:t xml:space="preserve">SRB </w:t>
      </w:r>
      <w:r w:rsidRPr="00394B11">
        <w:t>n</w:t>
      </w:r>
      <w:r w:rsidRPr="00CC344C">
        <w:t>ote on subhead to Num. 15:1, p. 186</w:t>
      </w:r>
      <w:r>
        <w:t>.</w:t>
      </w:r>
    </w:p>
  </w:endnote>
  <w:endnote w:id="790">
    <w:p w:rsidR="00975183" w:rsidRDefault="00975183" w:rsidP="00442D33">
      <w:pPr>
        <w:pStyle w:val="EndnoteText"/>
      </w:pPr>
      <w:r w:rsidRPr="00412CC3">
        <w:rPr>
          <w:rStyle w:val="FootnoteReference"/>
        </w:rPr>
        <w:endnoteRef/>
      </w:r>
      <w:r w:rsidRPr="00412CC3">
        <w:t xml:space="preserve"> </w:t>
      </w:r>
      <w:r w:rsidRPr="00412CC3">
        <w:rPr>
          <w:i/>
        </w:rPr>
        <w:t>SRB</w:t>
      </w:r>
      <w:r>
        <w:t xml:space="preserve"> n</w:t>
      </w:r>
      <w:r w:rsidRPr="00412CC3">
        <w:t>ote on subhead to Num. 15:1, p. 186.  .</w:t>
      </w:r>
    </w:p>
  </w:endnote>
  <w:endnote w:id="791">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s</w:t>
      </w:r>
      <w:r w:rsidRPr="00373406">
        <w:t>ubhead to Gen. 2:1, p. 6</w:t>
      </w:r>
      <w:r w:rsidRPr="00373406">
        <w:rPr>
          <w:lang w:eastAsia="en-GB"/>
        </w:rPr>
        <w:t xml:space="preserve">; </w:t>
      </w:r>
      <w:r w:rsidRPr="00373406">
        <w:rPr>
          <w:i/>
        </w:rPr>
        <w:t>SRB</w:t>
      </w:r>
      <w:r>
        <w:t xml:space="preserve"> </w:t>
      </w:r>
      <w:r w:rsidRPr="00373406">
        <w:rPr>
          <w:lang w:eastAsia="en-GB"/>
        </w:rPr>
        <w:t>note</w:t>
      </w:r>
      <w:r>
        <w:rPr>
          <w:lang w:eastAsia="en-GB"/>
        </w:rPr>
        <w:t>s</w:t>
      </w:r>
      <w:r w:rsidRPr="00373406">
        <w:rPr>
          <w:lang w:eastAsia="en-GB"/>
        </w:rPr>
        <w:t xml:space="preserve"> on Gen. 6:14, </w:t>
      </w:r>
      <w:r w:rsidRPr="00373406">
        <w:t>pp. 13-14</w:t>
      </w:r>
      <w:r w:rsidRPr="00373406">
        <w:rPr>
          <w:lang w:eastAsia="en-GB"/>
        </w:rPr>
        <w:t xml:space="preserve">; Heb. 4:1, </w:t>
      </w:r>
      <w:r w:rsidRPr="00373406">
        <w:t>p. 1294</w:t>
      </w:r>
      <w:r w:rsidRPr="00373406">
        <w:rPr>
          <w:lang w:eastAsia="en-GB"/>
        </w:rPr>
        <w:t>.</w:t>
      </w:r>
    </w:p>
  </w:endnote>
  <w:endnote w:id="792">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n</w:t>
      </w:r>
      <w:r w:rsidRPr="00373406">
        <w:t>ote on Exod. 17:8, p. 91.</w:t>
      </w:r>
    </w:p>
  </w:endnote>
  <w:endnote w:id="793">
    <w:p w:rsidR="00975183" w:rsidRPr="00373406" w:rsidRDefault="00975183" w:rsidP="00442D33">
      <w:pPr>
        <w:pStyle w:val="EndnoteText"/>
      </w:pPr>
      <w:r w:rsidRPr="00373406">
        <w:rPr>
          <w:rStyle w:val="EndnoteReference"/>
        </w:rPr>
        <w:endnoteRef/>
      </w:r>
      <w:r w:rsidRPr="00373406">
        <w:t xml:space="preserve"> ‘</w:t>
      </w:r>
      <w:r w:rsidRPr="00373406">
        <w:rPr>
          <w:lang w:val="en-US"/>
        </w:rPr>
        <w:t xml:space="preserve">For it is written, that Abraham had two sons, the one by a bondmaid, the other by a freewoman. </w:t>
      </w:r>
      <w:r w:rsidRPr="00373406">
        <w:rPr>
          <w:vertAlign w:val="superscript"/>
          <w:lang w:val="en-US"/>
        </w:rPr>
        <w:t>23</w:t>
      </w:r>
      <w:r w:rsidRPr="00373406">
        <w:rPr>
          <w:lang w:val="en-US"/>
        </w:rPr>
        <w:t xml:space="preserve">But he </w:t>
      </w:r>
      <w:r w:rsidRPr="00373406">
        <w:rPr>
          <w:i/>
          <w:iCs/>
          <w:lang w:val="en-US"/>
        </w:rPr>
        <w:t>who was</w:t>
      </w:r>
      <w:r w:rsidRPr="00373406">
        <w:rPr>
          <w:lang w:val="en-US"/>
        </w:rPr>
        <w:t xml:space="preserve"> of the bondwoman was born after the flesh; but he of the freewoman </w:t>
      </w:r>
      <w:r w:rsidRPr="00373406">
        <w:rPr>
          <w:i/>
          <w:iCs/>
          <w:lang w:val="en-US"/>
        </w:rPr>
        <w:t>was</w:t>
      </w:r>
      <w:r w:rsidRPr="00373406">
        <w:rPr>
          <w:lang w:val="en-US"/>
        </w:rPr>
        <w:t xml:space="preserve"> by promise. </w:t>
      </w:r>
      <w:r w:rsidRPr="00373406">
        <w:rPr>
          <w:vertAlign w:val="superscript"/>
          <w:lang w:val="en-US"/>
        </w:rPr>
        <w:t>24</w:t>
      </w:r>
      <w:r w:rsidRPr="00373406">
        <w:rPr>
          <w:lang w:val="en-US"/>
        </w:rPr>
        <w:t xml:space="preserve">Which things are an allegory: for these are the two covenants; the one from the </w:t>
      </w:r>
      <w:proofErr w:type="gramStart"/>
      <w:r w:rsidRPr="00373406">
        <w:rPr>
          <w:lang w:val="en-US"/>
        </w:rPr>
        <w:t>mount</w:t>
      </w:r>
      <w:proofErr w:type="gramEnd"/>
      <w:r w:rsidRPr="00373406">
        <w:rPr>
          <w:lang w:val="en-US"/>
        </w:rPr>
        <w:t xml:space="preserve"> Sinai, which gendereth to bondage, which is Agar. </w:t>
      </w:r>
      <w:r w:rsidRPr="00373406">
        <w:rPr>
          <w:vertAlign w:val="superscript"/>
          <w:lang w:val="en-US"/>
        </w:rPr>
        <w:t>25</w:t>
      </w:r>
      <w:r w:rsidRPr="00373406">
        <w:rPr>
          <w:lang w:val="en-US"/>
        </w:rPr>
        <w:t xml:space="preserve">For this Agar is </w:t>
      </w:r>
      <w:proofErr w:type="gramStart"/>
      <w:r w:rsidRPr="00373406">
        <w:rPr>
          <w:lang w:val="en-US"/>
        </w:rPr>
        <w:t>mount</w:t>
      </w:r>
      <w:proofErr w:type="gramEnd"/>
      <w:r w:rsidRPr="00373406">
        <w:rPr>
          <w:lang w:val="en-US"/>
        </w:rPr>
        <w:t xml:space="preserve"> Sinai in Arabia, and answereth to Jerusalem which now is, and is in bondage with her children. </w:t>
      </w:r>
      <w:r w:rsidRPr="00373406">
        <w:rPr>
          <w:vertAlign w:val="superscript"/>
          <w:lang w:val="en-US"/>
        </w:rPr>
        <w:t>26</w:t>
      </w:r>
      <w:r w:rsidRPr="00373406">
        <w:rPr>
          <w:lang w:val="en-US"/>
        </w:rPr>
        <w:t xml:space="preserve">But Jerusalem which is above is free, which is the mother of us all. </w:t>
      </w:r>
      <w:r w:rsidRPr="00373406">
        <w:rPr>
          <w:vertAlign w:val="superscript"/>
          <w:lang w:val="en-US"/>
        </w:rPr>
        <w:t>27</w:t>
      </w:r>
      <w:r w:rsidRPr="00373406">
        <w:rPr>
          <w:lang w:val="en-US"/>
        </w:rPr>
        <w:t xml:space="preserve">For it is written, Rejoice, </w:t>
      </w:r>
      <w:r w:rsidRPr="00373406">
        <w:rPr>
          <w:i/>
          <w:iCs/>
          <w:lang w:val="en-US"/>
        </w:rPr>
        <w:t>thou</w:t>
      </w:r>
      <w:r w:rsidRPr="00373406">
        <w:rPr>
          <w:lang w:val="en-US"/>
        </w:rPr>
        <w:t xml:space="preserve"> barren that bearest not; break forth and cry, thou that travailest not: for the desolate hath many more children than she </w:t>
      </w:r>
      <w:proofErr w:type="gramStart"/>
      <w:r w:rsidRPr="00373406">
        <w:rPr>
          <w:lang w:val="en-US"/>
        </w:rPr>
        <w:t>which</w:t>
      </w:r>
      <w:proofErr w:type="gramEnd"/>
      <w:r w:rsidRPr="00373406">
        <w:rPr>
          <w:lang w:val="en-US"/>
        </w:rPr>
        <w:t xml:space="preserve"> hath an husband. </w:t>
      </w:r>
      <w:r w:rsidRPr="00373406">
        <w:rPr>
          <w:vertAlign w:val="superscript"/>
          <w:lang w:val="en-US"/>
        </w:rPr>
        <w:t>28</w:t>
      </w:r>
      <w:r w:rsidRPr="00373406">
        <w:rPr>
          <w:lang w:val="en-US"/>
        </w:rPr>
        <w:t xml:space="preserve">Now we, brethren, as Isaac was, are the children of promise. </w:t>
      </w:r>
      <w:r w:rsidRPr="00373406">
        <w:rPr>
          <w:vertAlign w:val="superscript"/>
          <w:lang w:val="en-US"/>
        </w:rPr>
        <w:t>29</w:t>
      </w:r>
      <w:r w:rsidRPr="00373406">
        <w:rPr>
          <w:lang w:val="en-US"/>
        </w:rPr>
        <w:t xml:space="preserve">But as then he that was born after the flesh persecuted him </w:t>
      </w:r>
      <w:r w:rsidRPr="00373406">
        <w:rPr>
          <w:i/>
          <w:iCs/>
          <w:lang w:val="en-US"/>
        </w:rPr>
        <w:t>that was born</w:t>
      </w:r>
      <w:r w:rsidRPr="00373406">
        <w:rPr>
          <w:lang w:val="en-US"/>
        </w:rPr>
        <w:t xml:space="preserve"> after the Spirit, even so </w:t>
      </w:r>
      <w:r w:rsidRPr="00373406">
        <w:rPr>
          <w:i/>
          <w:iCs/>
          <w:lang w:val="en-US"/>
        </w:rPr>
        <w:t>it is</w:t>
      </w:r>
      <w:r w:rsidRPr="00373406">
        <w:rPr>
          <w:lang w:val="en-US"/>
        </w:rPr>
        <w:t xml:space="preserve"> now.’  Gal. 4:22-9, </w:t>
      </w:r>
      <w:r w:rsidRPr="00373406">
        <w:rPr>
          <w:i/>
          <w:lang w:val="en-US"/>
        </w:rPr>
        <w:t>KJV</w:t>
      </w:r>
      <w:r w:rsidRPr="00373406">
        <w:rPr>
          <w:lang w:val="en-US"/>
        </w:rPr>
        <w:t>.</w:t>
      </w:r>
    </w:p>
  </w:endnote>
  <w:endnote w:id="794">
    <w:p w:rsidR="00975183" w:rsidRPr="00373406" w:rsidRDefault="00975183" w:rsidP="00442D33">
      <w:pPr>
        <w:pStyle w:val="EndnoteText"/>
      </w:pPr>
      <w:r w:rsidRPr="00373406">
        <w:rPr>
          <w:rStyle w:val="EndnoteReference"/>
        </w:rPr>
        <w:endnoteRef/>
      </w:r>
      <w:r w:rsidRPr="00373406">
        <w:t xml:space="preserve"> </w:t>
      </w:r>
      <w:r w:rsidRPr="00373406">
        <w:rPr>
          <w:i/>
        </w:rPr>
        <w:t>SRB</w:t>
      </w:r>
      <w:r>
        <w:t xml:space="preserve"> s</w:t>
      </w:r>
      <w:r w:rsidRPr="00373406">
        <w:t>ubhead to Exod. 28:1, p. 106.</w:t>
      </w:r>
    </w:p>
  </w:endnote>
  <w:endnote w:id="795">
    <w:p w:rsidR="00975183" w:rsidRDefault="00975183" w:rsidP="00442D33">
      <w:pPr>
        <w:pStyle w:val="EndnoteText"/>
      </w:pPr>
      <w:r w:rsidRPr="00DB5646">
        <w:rPr>
          <w:rStyle w:val="FootnoteReference"/>
        </w:rPr>
        <w:endnoteRef/>
      </w:r>
      <w:r w:rsidRPr="00DB5646">
        <w:t xml:space="preserve"> </w:t>
      </w:r>
      <w:r w:rsidRPr="00DB5646">
        <w:rPr>
          <w:i/>
        </w:rPr>
        <w:t>SRB</w:t>
      </w:r>
      <w:r w:rsidRPr="00DB5646">
        <w:t xml:space="preserve"> note on Num. 23:7, p. 198.</w:t>
      </w:r>
    </w:p>
  </w:endnote>
  <w:endnote w:id="796">
    <w:p w:rsidR="00975183" w:rsidRDefault="00975183" w:rsidP="00442D33">
      <w:pPr>
        <w:pStyle w:val="EndnoteText"/>
      </w:pPr>
      <w:r w:rsidRPr="00DB5646">
        <w:rPr>
          <w:rStyle w:val="FootnoteReference"/>
        </w:rPr>
        <w:endnoteRef/>
      </w:r>
      <w:r w:rsidRPr="00DB5646">
        <w:t xml:space="preserve"> </w:t>
      </w:r>
      <w:r w:rsidRPr="00DB5646">
        <w:rPr>
          <w:i/>
        </w:rPr>
        <w:t>SRB</w:t>
      </w:r>
      <w:r>
        <w:t xml:space="preserve"> n</w:t>
      </w:r>
      <w:r w:rsidRPr="00DB5646">
        <w:t xml:space="preserve">ote on Num. 32:1, p. 209.  </w:t>
      </w:r>
    </w:p>
  </w:endnote>
  <w:endnote w:id="797">
    <w:p w:rsidR="00975183" w:rsidRDefault="00975183" w:rsidP="00442D33">
      <w:pPr>
        <w:pStyle w:val="EndnoteText"/>
      </w:pPr>
      <w:r w:rsidRPr="00373406">
        <w:rPr>
          <w:rStyle w:val="EndnoteReference"/>
        </w:rPr>
        <w:endnoteRef/>
      </w:r>
      <w:r w:rsidRPr="00373406">
        <w:t xml:space="preserve"> </w:t>
      </w:r>
      <w:r w:rsidRPr="00DB5646">
        <w:rPr>
          <w:i/>
        </w:rPr>
        <w:t>SRB</w:t>
      </w:r>
      <w:r>
        <w:t xml:space="preserve"> n</w:t>
      </w:r>
      <w:r w:rsidRPr="00DB5646">
        <w:t xml:space="preserve">ote on Josh. 3:1, p. 261. </w:t>
      </w:r>
      <w:r>
        <w:t xml:space="preserve"> Refs Rom. 6:6-11; Eph. 2:5, 6; Col. 3:1-3.</w:t>
      </w:r>
    </w:p>
  </w:endnote>
  <w:endnote w:id="798">
    <w:p w:rsidR="00975183" w:rsidRPr="00373406" w:rsidRDefault="00975183" w:rsidP="00442D33">
      <w:pPr>
        <w:pStyle w:val="EndnoteText"/>
        <w:rPr>
          <w:lang w:val="en-US"/>
        </w:rPr>
      </w:pPr>
      <w:r w:rsidRPr="00373406">
        <w:rPr>
          <w:rStyle w:val="EndnoteReference"/>
        </w:rPr>
        <w:endnoteRef/>
      </w:r>
      <w:r w:rsidRPr="00373406">
        <w:t xml:space="preserve"> </w:t>
      </w:r>
      <w:proofErr w:type="gramStart"/>
      <w:r w:rsidRPr="00373406">
        <w:rPr>
          <w:lang w:val="en-US"/>
        </w:rPr>
        <w:t xml:space="preserve">‘Knowing this, that our old man is crucified with </w:t>
      </w:r>
      <w:r w:rsidRPr="00373406">
        <w:rPr>
          <w:i/>
          <w:iCs/>
          <w:lang w:val="en-US"/>
        </w:rPr>
        <w:t>him,</w:t>
      </w:r>
      <w:r w:rsidRPr="00373406">
        <w:rPr>
          <w:lang w:val="en-US"/>
        </w:rPr>
        <w:t xml:space="preserve"> that the body of sin might be destroyed, that henceforth we should not serve sin.</w:t>
      </w:r>
      <w:proofErr w:type="gramEnd"/>
      <w:r w:rsidRPr="00373406">
        <w:rPr>
          <w:lang w:val="en-US"/>
        </w:rPr>
        <w:t xml:space="preserve"> </w:t>
      </w:r>
      <w:r w:rsidRPr="00373406">
        <w:rPr>
          <w:vertAlign w:val="superscript"/>
          <w:lang w:val="en-US"/>
        </w:rPr>
        <w:t>7</w:t>
      </w:r>
      <w:r w:rsidRPr="00373406">
        <w:rPr>
          <w:lang w:val="en-US"/>
        </w:rPr>
        <w:t xml:space="preserve">For he that is dead is freed from sin. </w:t>
      </w:r>
      <w:r w:rsidRPr="00373406">
        <w:rPr>
          <w:vertAlign w:val="superscript"/>
          <w:lang w:val="en-US"/>
        </w:rPr>
        <w:t>8</w:t>
      </w:r>
      <w:r w:rsidRPr="00373406">
        <w:rPr>
          <w:lang w:val="en-US"/>
        </w:rPr>
        <w:t xml:space="preserve">Now if we be dead with Christ, we believe that we shall also live with him: </w:t>
      </w:r>
      <w:r w:rsidRPr="00373406">
        <w:rPr>
          <w:vertAlign w:val="superscript"/>
          <w:lang w:val="en-US"/>
        </w:rPr>
        <w:t>9</w:t>
      </w:r>
      <w:r w:rsidRPr="00373406">
        <w:rPr>
          <w:lang w:val="en-US"/>
        </w:rPr>
        <w:t xml:space="preserve">Knowing that Christ being raised from the dead dieth no more; death hath no more dominion over him. </w:t>
      </w:r>
      <w:r w:rsidRPr="00373406">
        <w:rPr>
          <w:vertAlign w:val="superscript"/>
          <w:lang w:val="en-US"/>
        </w:rPr>
        <w:t>10</w:t>
      </w:r>
      <w:r w:rsidRPr="00373406">
        <w:rPr>
          <w:lang w:val="en-US"/>
        </w:rPr>
        <w:t xml:space="preserve">For in that he died, he died unto sin once: but in that he liveth, he liveth unto God. </w:t>
      </w:r>
      <w:r w:rsidRPr="00373406">
        <w:rPr>
          <w:vertAlign w:val="superscript"/>
          <w:lang w:val="en-US"/>
        </w:rPr>
        <w:t>11</w:t>
      </w:r>
      <w:r w:rsidRPr="00373406">
        <w:rPr>
          <w:lang w:val="en-US"/>
        </w:rPr>
        <w:t xml:space="preserve">Likewise reckon </w:t>
      </w:r>
      <w:proofErr w:type="gramStart"/>
      <w:r w:rsidRPr="00373406">
        <w:rPr>
          <w:lang w:val="en-US"/>
        </w:rPr>
        <w:t>ye</w:t>
      </w:r>
      <w:proofErr w:type="gramEnd"/>
      <w:r w:rsidRPr="00373406">
        <w:rPr>
          <w:lang w:val="en-US"/>
        </w:rPr>
        <w:t xml:space="preserve"> also yourselves to be dead indeed unto sin, but alive unto God through Jesus Christ our Lord.’  Rom. 6:6-11, </w:t>
      </w:r>
      <w:r w:rsidRPr="00373406">
        <w:rPr>
          <w:i/>
          <w:lang w:val="en-US"/>
        </w:rPr>
        <w:t>KJV</w:t>
      </w:r>
      <w:r w:rsidRPr="00373406">
        <w:rPr>
          <w:lang w:val="en-US"/>
        </w:rPr>
        <w:t>;</w:t>
      </w:r>
    </w:p>
    <w:p w:rsidR="00975183" w:rsidRPr="00373406" w:rsidRDefault="00975183" w:rsidP="00442D33">
      <w:pPr>
        <w:pStyle w:val="EndnoteText"/>
        <w:rPr>
          <w:lang w:val="en-US"/>
        </w:rPr>
      </w:pPr>
      <w:r w:rsidRPr="00373406">
        <w:rPr>
          <w:lang w:val="en-US"/>
        </w:rPr>
        <w:t xml:space="preserve">‘Even when we were dead in sins, hath quickened us together with Christ, (by grace ye are </w:t>
      </w:r>
      <w:proofErr w:type="gramStart"/>
      <w:r w:rsidRPr="00373406">
        <w:rPr>
          <w:lang w:val="en-US"/>
        </w:rPr>
        <w:t>saved;</w:t>
      </w:r>
      <w:proofErr w:type="gramEnd"/>
      <w:r w:rsidRPr="00373406">
        <w:rPr>
          <w:lang w:val="en-US"/>
        </w:rPr>
        <w:t xml:space="preserve">) </w:t>
      </w:r>
      <w:r w:rsidRPr="00373406">
        <w:rPr>
          <w:vertAlign w:val="superscript"/>
          <w:lang w:val="en-US"/>
        </w:rPr>
        <w:t>6</w:t>
      </w:r>
      <w:r w:rsidRPr="00373406">
        <w:rPr>
          <w:lang w:val="en-US"/>
        </w:rPr>
        <w:t xml:space="preserve">And hath raised </w:t>
      </w:r>
      <w:r w:rsidRPr="00373406">
        <w:rPr>
          <w:i/>
          <w:iCs/>
          <w:lang w:val="en-US"/>
        </w:rPr>
        <w:t>us</w:t>
      </w:r>
      <w:r w:rsidRPr="00373406">
        <w:rPr>
          <w:lang w:val="en-US"/>
        </w:rPr>
        <w:t xml:space="preserve"> up together, and made </w:t>
      </w:r>
      <w:r w:rsidRPr="00373406">
        <w:rPr>
          <w:i/>
          <w:iCs/>
          <w:lang w:val="en-US"/>
        </w:rPr>
        <w:t>us</w:t>
      </w:r>
      <w:r w:rsidRPr="00373406">
        <w:rPr>
          <w:lang w:val="en-US"/>
        </w:rPr>
        <w:t xml:space="preserve"> sit together in heavenly </w:t>
      </w:r>
      <w:r w:rsidRPr="00373406">
        <w:rPr>
          <w:i/>
          <w:iCs/>
          <w:lang w:val="en-US"/>
        </w:rPr>
        <w:t>places</w:t>
      </w:r>
      <w:r w:rsidRPr="00373406">
        <w:rPr>
          <w:lang w:val="en-US"/>
        </w:rPr>
        <w:t xml:space="preserve"> in Christ Jesus:.’  Eph. 2:5-6, </w:t>
      </w:r>
      <w:r w:rsidRPr="00373406">
        <w:rPr>
          <w:i/>
          <w:lang w:val="en-US"/>
        </w:rPr>
        <w:t>KJV</w:t>
      </w:r>
      <w:r w:rsidRPr="00373406">
        <w:rPr>
          <w:lang w:val="en-US"/>
        </w:rPr>
        <w:t>;</w:t>
      </w:r>
    </w:p>
    <w:p w:rsidR="00975183" w:rsidRPr="00373406" w:rsidRDefault="00975183" w:rsidP="00442D33">
      <w:pPr>
        <w:pStyle w:val="EndnoteText"/>
      </w:pPr>
      <w:r w:rsidRPr="00373406">
        <w:rPr>
          <w:lang w:val="en-US"/>
        </w:rPr>
        <w:t xml:space="preserve">‘If ye then be </w:t>
      </w:r>
      <w:proofErr w:type="gramStart"/>
      <w:r w:rsidRPr="00373406">
        <w:rPr>
          <w:lang w:val="en-US"/>
        </w:rPr>
        <w:t>risen</w:t>
      </w:r>
      <w:proofErr w:type="gramEnd"/>
      <w:r w:rsidRPr="00373406">
        <w:rPr>
          <w:lang w:val="en-US"/>
        </w:rPr>
        <w:t xml:space="preserve"> with Christ, seek those things which are above, where Christ sitteth on the right hand of God. </w:t>
      </w:r>
      <w:proofErr w:type="gramStart"/>
      <w:r w:rsidRPr="00373406">
        <w:rPr>
          <w:vertAlign w:val="superscript"/>
          <w:lang w:val="en-US"/>
        </w:rPr>
        <w:t>2</w:t>
      </w:r>
      <w:r w:rsidRPr="00373406">
        <w:rPr>
          <w:lang w:val="en-US"/>
        </w:rPr>
        <w:t>Set your affection on things above, not on things on the earth.</w:t>
      </w:r>
      <w:proofErr w:type="gramEnd"/>
      <w:r w:rsidRPr="00373406">
        <w:rPr>
          <w:lang w:val="en-US"/>
        </w:rPr>
        <w:t xml:space="preserve"> </w:t>
      </w:r>
      <w:r w:rsidRPr="00373406">
        <w:rPr>
          <w:vertAlign w:val="superscript"/>
          <w:lang w:val="en-US"/>
        </w:rPr>
        <w:t>3</w:t>
      </w:r>
      <w:r w:rsidRPr="00373406">
        <w:rPr>
          <w:lang w:val="en-US"/>
        </w:rPr>
        <w:t xml:space="preserve">For ye are </w:t>
      </w:r>
      <w:proofErr w:type="gramStart"/>
      <w:r w:rsidRPr="00373406">
        <w:rPr>
          <w:lang w:val="en-US"/>
        </w:rPr>
        <w:t>dead,</w:t>
      </w:r>
      <w:proofErr w:type="gramEnd"/>
      <w:r w:rsidRPr="00373406">
        <w:rPr>
          <w:lang w:val="en-US"/>
        </w:rPr>
        <w:t xml:space="preserve"> and your life is hid with Christ in God.’  </w:t>
      </w:r>
      <w:proofErr w:type="gramStart"/>
      <w:r w:rsidRPr="00373406">
        <w:rPr>
          <w:lang w:val="en-US"/>
        </w:rPr>
        <w:t xml:space="preserve">Col. 3:1-3, </w:t>
      </w:r>
      <w:r w:rsidRPr="00373406">
        <w:rPr>
          <w:i/>
          <w:lang w:val="en-US"/>
        </w:rPr>
        <w:t>KJV</w:t>
      </w:r>
      <w:r w:rsidRPr="00373406">
        <w:rPr>
          <w:lang w:val="en-US"/>
        </w:rPr>
        <w:t>.</w:t>
      </w:r>
      <w:proofErr w:type="gramEnd"/>
    </w:p>
  </w:endnote>
  <w:endnote w:id="799">
    <w:p w:rsidR="00975183" w:rsidRDefault="00975183" w:rsidP="00442D33">
      <w:pPr>
        <w:pStyle w:val="EndnoteText"/>
      </w:pPr>
      <w:r w:rsidRPr="00DB5646">
        <w:rPr>
          <w:rStyle w:val="FootnoteReference"/>
        </w:rPr>
        <w:endnoteRef/>
      </w:r>
      <w:r w:rsidRPr="00DB5646">
        <w:t xml:space="preserve"> </w:t>
      </w:r>
      <w:proofErr w:type="gramStart"/>
      <w:r w:rsidRPr="00DB5646">
        <w:rPr>
          <w:i/>
        </w:rPr>
        <w:t>SRB</w:t>
      </w:r>
      <w:r>
        <w:t xml:space="preserve"> n</w:t>
      </w:r>
      <w:r w:rsidRPr="00DB5646">
        <w:t>ote on Gen. 1:16, p. 4.</w:t>
      </w:r>
      <w:proofErr w:type="gramEnd"/>
    </w:p>
  </w:endnote>
  <w:endnote w:id="800">
    <w:p w:rsidR="00975183" w:rsidRDefault="00975183" w:rsidP="00442D33">
      <w:pPr>
        <w:pStyle w:val="EndnoteText"/>
      </w:pPr>
      <w:r w:rsidRPr="00DB5646">
        <w:rPr>
          <w:rStyle w:val="FootnoteReference"/>
        </w:rPr>
        <w:endnoteRef/>
      </w:r>
      <w:r w:rsidRPr="00DB5646">
        <w:t xml:space="preserve"> </w:t>
      </w:r>
      <w:proofErr w:type="gramStart"/>
      <w:r w:rsidRPr="00DB5646">
        <w:rPr>
          <w:i/>
        </w:rPr>
        <w:t>SRB</w:t>
      </w:r>
      <w:r w:rsidRPr="00DB5646">
        <w:t xml:space="preserve"> note on Gen. 15:18, p. 24.</w:t>
      </w:r>
      <w:proofErr w:type="gramEnd"/>
      <w:r w:rsidRPr="00DB5646">
        <w:t xml:space="preserve"> </w:t>
      </w:r>
      <w:r>
        <w:t xml:space="preserve"> </w:t>
      </w:r>
      <w:r w:rsidRPr="008E5182">
        <w:rPr>
          <w:b/>
        </w:rPr>
        <w:t>See 4.1.</w:t>
      </w:r>
    </w:p>
  </w:endnote>
  <w:endnote w:id="801">
    <w:p w:rsidR="00975183" w:rsidRPr="007C4A3A" w:rsidRDefault="00975183" w:rsidP="00442D33">
      <w:pPr>
        <w:spacing w:after="0" w:line="240" w:lineRule="auto"/>
        <w:jc w:val="both"/>
      </w:pPr>
      <w:r w:rsidRPr="007C4A3A">
        <w:rPr>
          <w:rStyle w:val="EndnoteReference"/>
        </w:rPr>
        <w:endnoteRef/>
      </w:r>
      <w:r w:rsidRPr="007C4A3A">
        <w:t xml:space="preserve"> </w:t>
      </w:r>
      <w:proofErr w:type="gramStart"/>
      <w:r w:rsidRPr="007C4A3A">
        <w:rPr>
          <w:i/>
          <w:color w:val="000000"/>
        </w:rPr>
        <w:t>SRB</w:t>
      </w:r>
      <w:r>
        <w:rPr>
          <w:color w:val="000000"/>
        </w:rPr>
        <w:t xml:space="preserve"> n</w:t>
      </w:r>
      <w:r w:rsidRPr="007C4A3A">
        <w:t xml:space="preserve">ote on </w:t>
      </w:r>
      <w:r w:rsidRPr="007C4A3A">
        <w:rPr>
          <w:color w:val="000000"/>
        </w:rPr>
        <w:t>Gen. 25.1</w:t>
      </w:r>
      <w:r>
        <w:rPr>
          <w:color w:val="000000"/>
        </w:rPr>
        <w:t>, p. 37.</w:t>
      </w:r>
      <w:proofErr w:type="gramEnd"/>
    </w:p>
  </w:endnote>
  <w:endnote w:id="802">
    <w:p w:rsidR="00975183" w:rsidRDefault="00975183" w:rsidP="00442D33">
      <w:pPr>
        <w:pStyle w:val="EndnoteText"/>
      </w:pPr>
      <w:r w:rsidRPr="00DB5646">
        <w:rPr>
          <w:rStyle w:val="FootnoteReference"/>
        </w:rPr>
        <w:endnoteRef/>
      </w:r>
      <w:r w:rsidRPr="00DB5646">
        <w:t xml:space="preserve"> Heb. 11:11.</w:t>
      </w:r>
    </w:p>
  </w:endnote>
  <w:endnote w:id="803">
    <w:p w:rsidR="00975183" w:rsidRDefault="00975183" w:rsidP="00442D33">
      <w:pPr>
        <w:pStyle w:val="EndnoteText"/>
      </w:pPr>
      <w:r w:rsidRPr="00DB5646">
        <w:rPr>
          <w:rStyle w:val="FootnoteReference"/>
        </w:rPr>
        <w:endnoteRef/>
      </w:r>
      <w:r w:rsidRPr="00DB5646">
        <w:t xml:space="preserve"> </w:t>
      </w:r>
      <w:r>
        <w:t>‘</w:t>
      </w:r>
      <w:r w:rsidRPr="00DB5646">
        <w:t xml:space="preserve">Sarah </w:t>
      </w:r>
      <w:r>
        <w:t>stands for “the mother of us all”.’</w:t>
      </w:r>
    </w:p>
  </w:endnote>
  <w:endnote w:id="804">
    <w:p w:rsidR="00975183" w:rsidRPr="002A612D" w:rsidRDefault="00975183" w:rsidP="00442D33">
      <w:pPr>
        <w:pStyle w:val="EndnoteText"/>
      </w:pPr>
      <w:r w:rsidRPr="002A612D">
        <w:rPr>
          <w:rStyle w:val="EndnoteReference"/>
        </w:rPr>
        <w:endnoteRef/>
      </w:r>
      <w:r w:rsidRPr="002A612D">
        <w:t xml:space="preserve"> </w:t>
      </w:r>
      <w:proofErr w:type="gramStart"/>
      <w:r w:rsidRPr="002A612D">
        <w:rPr>
          <w:i/>
        </w:rPr>
        <w:t>SRB</w:t>
      </w:r>
      <w:r w:rsidRPr="002A612D">
        <w:t xml:space="preserve"> note on Gen. 25:1, p. 37.</w:t>
      </w:r>
      <w:proofErr w:type="gramEnd"/>
      <w:r w:rsidRPr="002A612D">
        <w:t xml:space="preserve">  (Refs Hos. 2:1-23 and Deut. 30:1-9 note.)  </w:t>
      </w:r>
    </w:p>
  </w:endnote>
  <w:endnote w:id="805">
    <w:p w:rsidR="00975183" w:rsidRPr="002A612D" w:rsidRDefault="00975183" w:rsidP="00442D33">
      <w:pPr>
        <w:pStyle w:val="EndnoteText"/>
      </w:pPr>
      <w:r w:rsidRPr="002A612D">
        <w:rPr>
          <w:rStyle w:val="EndnoteReference"/>
        </w:rPr>
        <w:endnoteRef/>
      </w:r>
      <w:r w:rsidRPr="002A612D">
        <w:t xml:space="preserve"> </w:t>
      </w:r>
      <w:proofErr w:type="gramStart"/>
      <w:r w:rsidRPr="002A612D">
        <w:rPr>
          <w:i/>
        </w:rPr>
        <w:t>SRB</w:t>
      </w:r>
      <w:r w:rsidRPr="002A612D">
        <w:t xml:space="preserve"> note on Gen. 29:1, p. 43.</w:t>
      </w:r>
      <w:proofErr w:type="gramEnd"/>
      <w:r w:rsidRPr="002A612D">
        <w:t xml:space="preserve">  </w:t>
      </w:r>
    </w:p>
  </w:endnote>
  <w:endnote w:id="806">
    <w:p w:rsidR="00975183" w:rsidRPr="009418E6" w:rsidRDefault="00975183" w:rsidP="00442D33">
      <w:pPr>
        <w:pStyle w:val="EndnoteText"/>
      </w:pPr>
      <w:r w:rsidRPr="002A612D">
        <w:rPr>
          <w:rStyle w:val="EndnoteReference"/>
        </w:rPr>
        <w:endnoteRef/>
      </w:r>
      <w:r w:rsidRPr="002A612D">
        <w:t xml:space="preserve"> </w:t>
      </w:r>
      <w:r w:rsidRPr="002A612D">
        <w:rPr>
          <w:i/>
        </w:rPr>
        <w:t>SRB</w:t>
      </w:r>
      <w:r w:rsidRPr="002A612D">
        <w:t xml:space="preserve"> </w:t>
      </w:r>
      <w:r>
        <w:t>I</w:t>
      </w:r>
      <w:r w:rsidRPr="002A612D">
        <w:t>ntroduction to Jonah, p. 943</w:t>
      </w:r>
      <w:r>
        <w:t xml:space="preserve">.  </w:t>
      </w:r>
      <w:proofErr w:type="gramStart"/>
      <w:r w:rsidRPr="009418E6">
        <w:rPr>
          <w:b/>
        </w:rPr>
        <w:t>See 8.4.9</w:t>
      </w:r>
      <w:r w:rsidRPr="009418E6">
        <w:t>.</w:t>
      </w:r>
      <w:proofErr w:type="gramEnd"/>
      <w:r w:rsidRPr="009418E6">
        <w:t xml:space="preserve"> </w:t>
      </w:r>
    </w:p>
  </w:endnote>
  <w:endnote w:id="807">
    <w:p w:rsidR="00975183" w:rsidRPr="002A612D" w:rsidRDefault="00975183" w:rsidP="00442D33">
      <w:pPr>
        <w:pStyle w:val="EndnoteText"/>
      </w:pPr>
      <w:r w:rsidRPr="002A612D">
        <w:rPr>
          <w:rStyle w:val="EndnoteReference"/>
        </w:rPr>
        <w:endnoteRef/>
      </w:r>
      <w:r w:rsidRPr="002A612D">
        <w:t xml:space="preserve"> </w:t>
      </w:r>
      <w:proofErr w:type="gramStart"/>
      <w:r w:rsidRPr="002A612D">
        <w:rPr>
          <w:i/>
        </w:rPr>
        <w:t>SRB</w:t>
      </w:r>
      <w:r w:rsidRPr="002A612D">
        <w:t xml:space="preserve"> note on Gen. 5:22, p. 12.</w:t>
      </w:r>
      <w:proofErr w:type="gramEnd"/>
      <w:r w:rsidRPr="002A612D">
        <w:t xml:space="preserve"> </w:t>
      </w:r>
      <w:r>
        <w:t xml:space="preserve"> </w:t>
      </w:r>
      <w:r w:rsidRPr="00A239DF">
        <w:rPr>
          <w:b/>
        </w:rPr>
        <w:t>See 4.1; 6.1.1; 8.2</w:t>
      </w:r>
      <w:r>
        <w:t>.</w:t>
      </w:r>
    </w:p>
  </w:endnote>
  <w:endnote w:id="808">
    <w:p w:rsidR="00975183" w:rsidRPr="002A612D" w:rsidRDefault="00975183" w:rsidP="00442D33">
      <w:pPr>
        <w:pStyle w:val="EndnoteText"/>
      </w:pPr>
      <w:r w:rsidRPr="002A612D">
        <w:rPr>
          <w:rStyle w:val="EndnoteReference"/>
        </w:rPr>
        <w:endnoteRef/>
      </w:r>
      <w:r w:rsidRPr="002A612D">
        <w:t xml:space="preserve"> </w:t>
      </w:r>
      <w:proofErr w:type="gramStart"/>
      <w:r w:rsidRPr="002A612D">
        <w:rPr>
          <w:i/>
        </w:rPr>
        <w:t>SRB</w:t>
      </w:r>
      <w:r w:rsidRPr="002A612D">
        <w:t xml:space="preserve"> note on Gen. 6:9, p. 13</w:t>
      </w:r>
      <w:r>
        <w:t>.</w:t>
      </w:r>
      <w:proofErr w:type="gramEnd"/>
      <w:r>
        <w:t xml:space="preserve">  </w:t>
      </w:r>
      <w:proofErr w:type="gramStart"/>
      <w:r w:rsidRPr="00A239DF">
        <w:rPr>
          <w:b/>
        </w:rPr>
        <w:t>See 4.1; 6.1.3</w:t>
      </w:r>
      <w:r>
        <w:t>.</w:t>
      </w:r>
      <w:proofErr w:type="gramEnd"/>
      <w:r>
        <w:t xml:space="preserve"> </w:t>
      </w:r>
      <w:r w:rsidRPr="002A612D">
        <w:t xml:space="preserve"> </w:t>
      </w:r>
    </w:p>
  </w:endnote>
  <w:endnote w:id="809">
    <w:p w:rsidR="00975183" w:rsidRPr="002A612D" w:rsidRDefault="00975183" w:rsidP="00442D33">
      <w:pPr>
        <w:pStyle w:val="EndnoteText"/>
      </w:pPr>
      <w:r w:rsidRPr="002A612D">
        <w:rPr>
          <w:rStyle w:val="EndnoteReference"/>
        </w:rPr>
        <w:endnoteRef/>
      </w:r>
      <w:r w:rsidRPr="002A612D">
        <w:t xml:space="preserve"> </w:t>
      </w:r>
      <w:r w:rsidRPr="002A612D">
        <w:rPr>
          <w:i/>
        </w:rPr>
        <w:t>SRB</w:t>
      </w:r>
      <w:r>
        <w:t xml:space="preserve"> n</w:t>
      </w:r>
      <w:r w:rsidRPr="002A612D">
        <w:t>ote on Exod. 15:25, p. 89</w:t>
      </w:r>
      <w:r w:rsidRPr="002A612D">
        <w:rPr>
          <w:lang w:eastAsia="en-GB"/>
        </w:rPr>
        <w:t xml:space="preserve">. </w:t>
      </w:r>
    </w:p>
  </w:endnote>
  <w:endnote w:id="810">
    <w:p w:rsidR="00975183" w:rsidRPr="002A612D" w:rsidRDefault="00975183" w:rsidP="00442D33">
      <w:pPr>
        <w:pStyle w:val="EndnoteText"/>
      </w:pPr>
      <w:r w:rsidRPr="002A612D">
        <w:rPr>
          <w:rStyle w:val="EndnoteReference"/>
        </w:rPr>
        <w:endnoteRef/>
      </w:r>
      <w:r w:rsidRPr="002A612D">
        <w:t xml:space="preserve"> </w:t>
      </w:r>
      <w:r w:rsidRPr="002A612D">
        <w:rPr>
          <w:i/>
        </w:rPr>
        <w:t>SRB</w:t>
      </w:r>
      <w:r>
        <w:t xml:space="preserve"> </w:t>
      </w:r>
      <w:r w:rsidRPr="002A612D">
        <w:t>Introduction to Numbers, p. 165</w:t>
      </w:r>
      <w:r w:rsidRPr="002A612D">
        <w:rPr>
          <w:lang w:eastAsia="en-GB"/>
        </w:rPr>
        <w:t xml:space="preserve">.  </w:t>
      </w:r>
      <w:proofErr w:type="gramStart"/>
      <w:r w:rsidRPr="00A239DF">
        <w:rPr>
          <w:b/>
          <w:lang w:eastAsia="en-GB"/>
        </w:rPr>
        <w:t>S</w:t>
      </w:r>
      <w:r w:rsidRPr="00A239DF">
        <w:rPr>
          <w:b/>
        </w:rPr>
        <w:t>ee 8.1.4</w:t>
      </w:r>
      <w:r w:rsidRPr="00650335">
        <w:t>.</w:t>
      </w:r>
      <w:proofErr w:type="gramEnd"/>
      <w:r w:rsidRPr="002A612D">
        <w:rPr>
          <w:lang w:eastAsia="en-GB"/>
        </w:rPr>
        <w:t xml:space="preserve">  </w:t>
      </w:r>
    </w:p>
  </w:endnote>
  <w:endnote w:id="811">
    <w:p w:rsidR="00975183" w:rsidRPr="002A612D" w:rsidRDefault="00975183" w:rsidP="00442D33">
      <w:pPr>
        <w:pStyle w:val="EndnoteText"/>
      </w:pPr>
      <w:r w:rsidRPr="002A612D">
        <w:rPr>
          <w:rStyle w:val="EndnoteReference"/>
        </w:rPr>
        <w:endnoteRef/>
      </w:r>
      <w:r w:rsidRPr="002A612D">
        <w:t xml:space="preserve"> </w:t>
      </w:r>
      <w:r w:rsidRPr="002A612D">
        <w:rPr>
          <w:i/>
        </w:rPr>
        <w:t>SRB</w:t>
      </w:r>
      <w:r w:rsidRPr="002A612D">
        <w:t xml:space="preserve"> Introduction to 1 Chronicles, p. 456.</w:t>
      </w:r>
    </w:p>
  </w:endnote>
  <w:endnote w:id="812">
    <w:p w:rsidR="00975183" w:rsidRPr="00DB5646" w:rsidRDefault="00975183" w:rsidP="00442D33">
      <w:pPr>
        <w:pStyle w:val="FootnoteText"/>
        <w:rPr>
          <w:rFonts w:ascii="Perpetua" w:hAnsi="Perpetua"/>
        </w:rPr>
      </w:pPr>
      <w:r w:rsidRPr="00DB5646">
        <w:rPr>
          <w:rStyle w:val="EndnoteReference"/>
          <w:rFonts w:ascii="Perpetua" w:hAnsi="Perpetua"/>
        </w:rPr>
        <w:endnoteRef/>
      </w:r>
      <w:r w:rsidRPr="00DB5646">
        <w:rPr>
          <w:rFonts w:ascii="Perpetua" w:hAnsi="Perpetua"/>
        </w:rPr>
        <w:t xml:space="preserve"> </w:t>
      </w:r>
      <w:r w:rsidRPr="00DB5646">
        <w:rPr>
          <w:rFonts w:ascii="Perpetua" w:hAnsi="Perpetua"/>
          <w:i/>
        </w:rPr>
        <w:t xml:space="preserve">SRB </w:t>
      </w:r>
      <w:r w:rsidRPr="00DB5646">
        <w:rPr>
          <w:rFonts w:ascii="Perpetua" w:hAnsi="Perpetua"/>
        </w:rPr>
        <w:t xml:space="preserve">subhead to Exod. 16:23, p. 90.  Ref Heb. 4:8-9.  </w:t>
      </w:r>
    </w:p>
    <w:p w:rsidR="00975183" w:rsidRDefault="00975183" w:rsidP="00442D33">
      <w:pPr>
        <w:pStyle w:val="EndnoteText"/>
      </w:pPr>
      <w:r w:rsidRPr="00DB5646">
        <w:t>‘</w:t>
      </w:r>
      <w:r w:rsidRPr="00DB5646">
        <w:rPr>
          <w:lang w:val="en-US"/>
        </w:rPr>
        <w:t xml:space="preserve">For if Jesus had given them rest, </w:t>
      </w:r>
      <w:proofErr w:type="gramStart"/>
      <w:r w:rsidRPr="00DB5646">
        <w:rPr>
          <w:lang w:val="en-US"/>
        </w:rPr>
        <w:t>then</w:t>
      </w:r>
      <w:proofErr w:type="gramEnd"/>
      <w:r w:rsidRPr="00DB5646">
        <w:rPr>
          <w:lang w:val="en-US"/>
        </w:rPr>
        <w:t xml:space="preserve"> would he not afterward have spoken of another day. </w:t>
      </w:r>
      <w:r w:rsidRPr="00DB5646">
        <w:rPr>
          <w:vertAlign w:val="superscript"/>
          <w:lang w:val="en-US"/>
        </w:rPr>
        <w:t>9</w:t>
      </w:r>
      <w:r w:rsidRPr="00DB5646">
        <w:rPr>
          <w:lang w:val="en-US"/>
        </w:rPr>
        <w:t xml:space="preserve">There remaineth therefore a rest to the people of God.’  Heb. 4:8-9, </w:t>
      </w:r>
      <w:r w:rsidRPr="00DB5646">
        <w:rPr>
          <w:i/>
          <w:lang w:val="en-US"/>
        </w:rPr>
        <w:t>KJV</w:t>
      </w:r>
      <w:r w:rsidRPr="00DB5646">
        <w:rPr>
          <w:lang w:val="en-US"/>
        </w:rPr>
        <w:t>.</w:t>
      </w:r>
    </w:p>
  </w:endnote>
  <w:endnote w:id="813">
    <w:p w:rsidR="00975183" w:rsidRPr="002A612D" w:rsidRDefault="00975183" w:rsidP="00442D33">
      <w:pPr>
        <w:pStyle w:val="EndnoteText"/>
        <w:rPr>
          <w:color w:val="002060"/>
        </w:rPr>
      </w:pPr>
      <w:r w:rsidRPr="002A612D">
        <w:rPr>
          <w:rStyle w:val="EndnoteReference"/>
        </w:rPr>
        <w:endnoteRef/>
      </w:r>
      <w:r w:rsidRPr="002A612D">
        <w:t xml:space="preserve"> </w:t>
      </w:r>
      <w:r w:rsidRPr="002A612D">
        <w:rPr>
          <w:i/>
        </w:rPr>
        <w:t>SRB</w:t>
      </w:r>
      <w:r>
        <w:t xml:space="preserve"> I</w:t>
      </w:r>
      <w:r w:rsidRPr="002A612D">
        <w:t>nt</w:t>
      </w:r>
      <w:r>
        <w:t>roduction to the Psalms, p. 599</w:t>
      </w:r>
      <w:r w:rsidRPr="002A612D">
        <w:t xml:space="preserve">. </w:t>
      </w:r>
    </w:p>
  </w:endnote>
  <w:endnote w:id="814">
    <w:p w:rsidR="00975183" w:rsidRPr="002A612D" w:rsidRDefault="00975183" w:rsidP="00442D33">
      <w:pPr>
        <w:pStyle w:val="EndnoteText"/>
      </w:pPr>
      <w:r w:rsidRPr="002A612D">
        <w:rPr>
          <w:rStyle w:val="EndnoteReference"/>
        </w:rPr>
        <w:endnoteRef/>
      </w:r>
      <w:r w:rsidRPr="002A612D">
        <w:t xml:space="preserve"> </w:t>
      </w:r>
      <w:r w:rsidRPr="002A612D">
        <w:rPr>
          <w:i/>
        </w:rPr>
        <w:t>SRB</w:t>
      </w:r>
      <w:r w:rsidRPr="002A612D">
        <w:t xml:space="preserve"> note on Dan. 3:17, p. 903</w:t>
      </w:r>
      <w:r>
        <w:t xml:space="preserve">.  </w:t>
      </w:r>
      <w:proofErr w:type="gramStart"/>
      <w:r w:rsidRPr="00650335">
        <w:rPr>
          <w:b/>
        </w:rPr>
        <w:t>See 8.4.4</w:t>
      </w:r>
      <w:r>
        <w:t>.</w:t>
      </w:r>
      <w:proofErr w:type="gramEnd"/>
      <w:r w:rsidRPr="002A612D">
        <w:t xml:space="preserve">  </w:t>
      </w:r>
    </w:p>
  </w:endnote>
  <w:endnote w:id="815">
    <w:p w:rsidR="00975183" w:rsidRPr="009418E6" w:rsidRDefault="00975183" w:rsidP="00442D33">
      <w:pPr>
        <w:pStyle w:val="EndnoteText"/>
      </w:pPr>
      <w:r w:rsidRPr="002A612D">
        <w:rPr>
          <w:rStyle w:val="EndnoteReference"/>
        </w:rPr>
        <w:endnoteRef/>
      </w:r>
      <w:r w:rsidRPr="002A612D">
        <w:t xml:space="preserve"> </w:t>
      </w:r>
      <w:r w:rsidRPr="002A612D">
        <w:rPr>
          <w:i/>
        </w:rPr>
        <w:t>SRB</w:t>
      </w:r>
      <w:r w:rsidRPr="002A612D">
        <w:t xml:space="preserve"> note on Lev. 23:24, p. 157. </w:t>
      </w:r>
      <w:r>
        <w:t xml:space="preserve"> </w:t>
      </w:r>
      <w:proofErr w:type="gramStart"/>
      <w:r w:rsidRPr="009418E6">
        <w:rPr>
          <w:b/>
        </w:rPr>
        <w:t>See 5.6.1</w:t>
      </w:r>
      <w:r w:rsidRPr="009418E6">
        <w:t>.</w:t>
      </w:r>
      <w:proofErr w:type="gramEnd"/>
    </w:p>
  </w:endnote>
  <w:endnote w:id="816">
    <w:p w:rsidR="00975183" w:rsidRPr="002A612D" w:rsidRDefault="00975183" w:rsidP="00442D33">
      <w:pPr>
        <w:pStyle w:val="EndnoteText"/>
      </w:pPr>
      <w:r w:rsidRPr="002A612D">
        <w:rPr>
          <w:rStyle w:val="EndnoteReference"/>
        </w:rPr>
        <w:endnoteRef/>
      </w:r>
      <w:r w:rsidRPr="002A612D">
        <w:t xml:space="preserve"> </w:t>
      </w:r>
      <w:r w:rsidRPr="002A612D">
        <w:rPr>
          <w:i/>
        </w:rPr>
        <w:t xml:space="preserve">SRB </w:t>
      </w:r>
      <w:r w:rsidRPr="002A612D">
        <w:t>subhead to Exod. 16:23</w:t>
      </w:r>
      <w:proofErr w:type="gramStart"/>
      <w:r w:rsidRPr="002A612D">
        <w:t>,.</w:t>
      </w:r>
      <w:proofErr w:type="gramEnd"/>
    </w:p>
  </w:endnote>
  <w:endnote w:id="817">
    <w:p w:rsidR="00975183" w:rsidRPr="002A612D" w:rsidRDefault="00975183" w:rsidP="00442D33">
      <w:pPr>
        <w:pStyle w:val="EndnoteText"/>
      </w:pPr>
      <w:r w:rsidRPr="002A612D">
        <w:rPr>
          <w:rStyle w:val="EndnoteReference"/>
        </w:rPr>
        <w:endnoteRef/>
      </w:r>
      <w:r w:rsidRPr="002A612D">
        <w:t xml:space="preserve"> </w:t>
      </w:r>
      <w:r w:rsidRPr="002A612D">
        <w:rPr>
          <w:i/>
        </w:rPr>
        <w:t xml:space="preserve">SRB </w:t>
      </w:r>
      <w:r w:rsidRPr="002A612D">
        <w:t xml:space="preserve">subhead to Isa. 29:17, p. 738.  </w:t>
      </w:r>
    </w:p>
  </w:endnote>
  <w:endnote w:id="818">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Introduction to the Pentateuch, p. 2</w:t>
      </w:r>
      <w:r w:rsidRPr="00DB5646">
        <w:rPr>
          <w:bCs/>
          <w:spacing w:val="-1"/>
        </w:rPr>
        <w:t>.</w:t>
      </w:r>
    </w:p>
  </w:endnote>
  <w:endnote w:id="819">
    <w:p w:rsidR="00975183" w:rsidRDefault="00975183" w:rsidP="00442D33">
      <w:pPr>
        <w:pStyle w:val="EndnoteText"/>
      </w:pPr>
      <w:r w:rsidRPr="00DB5646">
        <w:rPr>
          <w:rStyle w:val="FootnoteReference"/>
        </w:rPr>
        <w:endnoteRef/>
      </w:r>
      <w:r w:rsidRPr="00DB5646">
        <w:t xml:space="preserve"> </w:t>
      </w:r>
      <w:proofErr w:type="gramStart"/>
      <w:r w:rsidRPr="00DB5646">
        <w:rPr>
          <w:i/>
        </w:rPr>
        <w:t>SRB</w:t>
      </w:r>
      <w:r w:rsidRPr="00DB5646">
        <w:rPr>
          <w:i/>
          <w:spacing w:val="-1"/>
        </w:rPr>
        <w:t xml:space="preserve"> </w:t>
      </w:r>
      <w:r w:rsidRPr="00DB5646">
        <w:rPr>
          <w:spacing w:val="-1"/>
        </w:rPr>
        <w:t>note on Gen. 4:1, p. 10</w:t>
      </w:r>
      <w:r w:rsidRPr="00DB5646">
        <w:rPr>
          <w:bCs/>
          <w:spacing w:val="-1"/>
        </w:rPr>
        <w:t>.</w:t>
      </w:r>
      <w:proofErr w:type="gramEnd"/>
    </w:p>
  </w:endnote>
  <w:endnote w:id="820">
    <w:p w:rsidR="00975183" w:rsidRPr="004C7799"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Jude, v. 11, pp. 1328-9</w:t>
      </w:r>
      <w:r w:rsidRPr="00DB5646">
        <w:rPr>
          <w:bCs/>
          <w:spacing w:val="-1"/>
        </w:rPr>
        <w:t xml:space="preserve">.  </w:t>
      </w:r>
      <w:proofErr w:type="gramStart"/>
      <w:r w:rsidRPr="004C7799">
        <w:rPr>
          <w:b/>
          <w:bCs/>
          <w:spacing w:val="-1"/>
        </w:rPr>
        <w:t>See 8.8.8</w:t>
      </w:r>
      <w:r w:rsidRPr="004C7799">
        <w:rPr>
          <w:bCs/>
          <w:spacing w:val="-1"/>
        </w:rPr>
        <w:t>.</w:t>
      </w:r>
      <w:proofErr w:type="gramEnd"/>
    </w:p>
  </w:endnote>
  <w:endnote w:id="821">
    <w:p w:rsidR="00975183" w:rsidRPr="004C7799" w:rsidRDefault="00975183" w:rsidP="00442D33">
      <w:pPr>
        <w:pStyle w:val="EndnoteText"/>
      </w:pPr>
      <w:r w:rsidRPr="004C7799">
        <w:rPr>
          <w:rStyle w:val="FootnoteReference"/>
        </w:rPr>
        <w:endnoteRef/>
      </w:r>
      <w:r w:rsidRPr="004C7799">
        <w:t xml:space="preserve"> </w:t>
      </w:r>
      <w:r w:rsidRPr="004C7799">
        <w:rPr>
          <w:i/>
        </w:rPr>
        <w:t>SRB</w:t>
      </w:r>
      <w:r w:rsidRPr="004C7799">
        <w:rPr>
          <w:i/>
          <w:spacing w:val="-1"/>
        </w:rPr>
        <w:t xml:space="preserve"> </w:t>
      </w:r>
      <w:r w:rsidRPr="004C7799">
        <w:rPr>
          <w:spacing w:val="-1"/>
        </w:rPr>
        <w:t>note on Jude, v. 11, pp. 1328-9</w:t>
      </w:r>
      <w:r w:rsidRPr="004C7799">
        <w:rPr>
          <w:bCs/>
          <w:spacing w:val="-1"/>
        </w:rPr>
        <w:t xml:space="preserve">.  </w:t>
      </w:r>
      <w:proofErr w:type="gramStart"/>
      <w:r w:rsidRPr="004C7799">
        <w:rPr>
          <w:b/>
          <w:bCs/>
          <w:spacing w:val="-1"/>
        </w:rPr>
        <w:t>See 8.8.8</w:t>
      </w:r>
      <w:r w:rsidRPr="004C7799">
        <w:rPr>
          <w:bCs/>
          <w:spacing w:val="-1"/>
        </w:rPr>
        <w:t>.</w:t>
      </w:r>
      <w:proofErr w:type="gramEnd"/>
    </w:p>
  </w:endnote>
  <w:endnote w:id="822">
    <w:p w:rsidR="00975183" w:rsidRDefault="00975183" w:rsidP="00442D33">
      <w:pPr>
        <w:pStyle w:val="EndnoteText"/>
      </w:pPr>
      <w:r w:rsidRPr="00DB5646">
        <w:rPr>
          <w:rStyle w:val="FootnoteReference"/>
        </w:rPr>
        <w:endnoteRef/>
      </w:r>
      <w:r w:rsidRPr="00DB5646">
        <w:t xml:space="preserve"> David Horrell, </w:t>
      </w:r>
      <w:proofErr w:type="gramStart"/>
      <w:r w:rsidRPr="00DB5646">
        <w:rPr>
          <w:i/>
        </w:rPr>
        <w:t>The</w:t>
      </w:r>
      <w:proofErr w:type="gramEnd"/>
      <w:r w:rsidRPr="00DB5646">
        <w:rPr>
          <w:i/>
        </w:rPr>
        <w:t xml:space="preserve"> Epistles of Peter and Jude</w:t>
      </w:r>
      <w:r w:rsidRPr="00DB5646">
        <w:t xml:space="preserve"> (Peterborough: Epworth Press, 1998), p. 123.</w:t>
      </w:r>
    </w:p>
  </w:endnote>
  <w:endnote w:id="823">
    <w:p w:rsidR="00975183" w:rsidRDefault="00975183" w:rsidP="00442D33">
      <w:pPr>
        <w:pStyle w:val="EndnoteText"/>
      </w:pPr>
      <w:r w:rsidRPr="00DB5646">
        <w:rPr>
          <w:rStyle w:val="FootnoteReference"/>
        </w:rPr>
        <w:endnoteRef/>
      </w:r>
      <w:r w:rsidRPr="00DB5646">
        <w:t xml:space="preserve"> </w:t>
      </w:r>
      <w:proofErr w:type="gramStart"/>
      <w:r w:rsidRPr="00DB5646">
        <w:rPr>
          <w:i/>
        </w:rPr>
        <w:t>SRB</w:t>
      </w:r>
      <w:r w:rsidRPr="00DB5646">
        <w:rPr>
          <w:i/>
          <w:spacing w:val="-1"/>
        </w:rPr>
        <w:t xml:space="preserve"> </w:t>
      </w:r>
      <w:r w:rsidRPr="00DB5646">
        <w:rPr>
          <w:spacing w:val="-1"/>
        </w:rPr>
        <w:t>note on Gen. 4:2, p. 10</w:t>
      </w:r>
      <w:r w:rsidRPr="00DB5646">
        <w:rPr>
          <w:bCs/>
          <w:spacing w:val="-1"/>
        </w:rPr>
        <w:t>.</w:t>
      </w:r>
      <w:proofErr w:type="gramEnd"/>
      <w:r w:rsidRPr="00DB5646">
        <w:rPr>
          <w:bCs/>
          <w:spacing w:val="-1"/>
        </w:rPr>
        <w:t xml:space="preserve">  Ref.Heb. 11:4.</w:t>
      </w:r>
      <w:r>
        <w:rPr>
          <w:bCs/>
          <w:spacing w:val="-1"/>
        </w:rPr>
        <w:t xml:space="preserve"> </w:t>
      </w:r>
    </w:p>
  </w:endnote>
  <w:endnote w:id="824">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Exod. 25:1, p. 100</w:t>
      </w:r>
      <w:r w:rsidRPr="00DB5646">
        <w:rPr>
          <w:b/>
          <w:bCs/>
          <w:spacing w:val="-1"/>
        </w:rPr>
        <w:t>.</w:t>
      </w:r>
    </w:p>
  </w:endnote>
  <w:endnote w:id="825">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Exod. 25:9, p. 101</w:t>
      </w:r>
      <w:r w:rsidRPr="00DB5646">
        <w:rPr>
          <w:b/>
          <w:bCs/>
          <w:spacing w:val="-1"/>
        </w:rPr>
        <w:t>.</w:t>
      </w:r>
    </w:p>
  </w:endnote>
  <w:endnote w:id="826">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 xml:space="preserve">Introduction to Joshua, p. 259.  Refs Josh. 21:43-5; Eph. 1:3.  </w:t>
      </w:r>
    </w:p>
  </w:endnote>
  <w:endnote w:id="827">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Jn 12:24, p. 1133</w:t>
      </w:r>
      <w:r w:rsidRPr="00DB5646">
        <w:rPr>
          <w:b/>
          <w:bCs/>
          <w:spacing w:val="-1"/>
        </w:rPr>
        <w:t>.</w:t>
      </w:r>
    </w:p>
  </w:endnote>
  <w:endnote w:id="828">
    <w:p w:rsidR="00975183" w:rsidRDefault="00975183" w:rsidP="00442D33">
      <w:pPr>
        <w:pStyle w:val="EndnoteText"/>
      </w:pPr>
      <w:r w:rsidRPr="00DB5646">
        <w:rPr>
          <w:rStyle w:val="FootnoteReference"/>
        </w:rPr>
        <w:endnoteRef/>
      </w:r>
      <w:r w:rsidRPr="00DB5646">
        <w:t xml:space="preserve"> </w:t>
      </w:r>
      <w:r w:rsidRPr="00DB5646">
        <w:rPr>
          <w:spacing w:val="-1"/>
        </w:rPr>
        <w:t>Ref. Exod</w:t>
      </w:r>
      <w:r w:rsidRPr="00DB5646">
        <w:rPr>
          <w:bCs/>
          <w:spacing w:val="-1"/>
        </w:rPr>
        <w:t>. 30:17-31.</w:t>
      </w:r>
    </w:p>
  </w:endnote>
  <w:endnote w:id="829">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Jn 13:10, p. 1134</w:t>
      </w:r>
      <w:r w:rsidRPr="00DB5646">
        <w:rPr>
          <w:b/>
          <w:bCs/>
          <w:spacing w:val="-1"/>
        </w:rPr>
        <w:t>.</w:t>
      </w:r>
    </w:p>
  </w:endnote>
  <w:endnote w:id="830">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Exod. 27:9, p. 104</w:t>
      </w:r>
      <w:r w:rsidRPr="00DB5646">
        <w:rPr>
          <w:b/>
          <w:bCs/>
          <w:spacing w:val="-1"/>
        </w:rPr>
        <w:t>.</w:t>
      </w:r>
    </w:p>
  </w:endnote>
  <w:endnote w:id="831">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Exod. 29:1, p. 108</w:t>
      </w:r>
      <w:r w:rsidRPr="00DB5646">
        <w:rPr>
          <w:b/>
          <w:bCs/>
          <w:spacing w:val="-1"/>
        </w:rPr>
        <w:t>.</w:t>
      </w:r>
    </w:p>
  </w:endnote>
  <w:endnote w:id="832">
    <w:p w:rsidR="00975183" w:rsidRDefault="00975183" w:rsidP="00442D33">
      <w:pPr>
        <w:pStyle w:val="EndnoteText"/>
      </w:pPr>
      <w:r w:rsidRPr="00DB5646">
        <w:rPr>
          <w:rStyle w:val="FootnoteReference"/>
        </w:rPr>
        <w:endnoteRef/>
      </w:r>
      <w:r w:rsidRPr="00DB5646">
        <w:t xml:space="preserve"> </w:t>
      </w:r>
      <w:proofErr w:type="gramStart"/>
      <w:r w:rsidRPr="00DB5646">
        <w:rPr>
          <w:i/>
        </w:rPr>
        <w:t>SRB</w:t>
      </w:r>
      <w:r w:rsidRPr="00DB5646">
        <w:rPr>
          <w:i/>
          <w:spacing w:val="-1"/>
        </w:rPr>
        <w:t xml:space="preserve"> </w:t>
      </w:r>
      <w:r w:rsidRPr="00DB5646">
        <w:rPr>
          <w:spacing w:val="-1"/>
        </w:rPr>
        <w:t>note on 1 Pet. 2:9, pp. 1313-4</w:t>
      </w:r>
      <w:r w:rsidRPr="00DB5646">
        <w:rPr>
          <w:b/>
          <w:bCs/>
          <w:spacing w:val="-1"/>
        </w:rPr>
        <w:t>.</w:t>
      </w:r>
      <w:proofErr w:type="gramEnd"/>
      <w:r w:rsidRPr="00DB5646">
        <w:rPr>
          <w:b/>
          <w:bCs/>
          <w:spacing w:val="-1"/>
        </w:rPr>
        <w:t xml:space="preserve">  </w:t>
      </w:r>
      <w:proofErr w:type="gramStart"/>
      <w:r w:rsidRPr="00DB5646">
        <w:rPr>
          <w:bCs/>
          <w:spacing w:val="-1"/>
        </w:rPr>
        <w:t>Refs Expd.</w:t>
      </w:r>
      <w:proofErr w:type="gramEnd"/>
      <w:r w:rsidRPr="00DB5646">
        <w:rPr>
          <w:bCs/>
          <w:spacing w:val="-1"/>
        </w:rPr>
        <w:t xml:space="preserve"> 19:6 and Exod. 28:1.</w:t>
      </w:r>
    </w:p>
  </w:endnote>
  <w:endnote w:id="833">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subhead to Heb. 9:1, p. 1298</w:t>
      </w:r>
      <w:r w:rsidRPr="00DB5646">
        <w:rPr>
          <w:b/>
          <w:bCs/>
          <w:spacing w:val="-1"/>
        </w:rPr>
        <w:t>.</w:t>
      </w:r>
    </w:p>
  </w:endnote>
  <w:endnote w:id="834">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10:1, p. 138</w:t>
      </w:r>
      <w:r w:rsidRPr="00DB5646">
        <w:rPr>
          <w:b/>
          <w:bCs/>
          <w:spacing w:val="-1"/>
        </w:rPr>
        <w:t>.</w:t>
      </w:r>
    </w:p>
  </w:endnote>
  <w:endnote w:id="835">
    <w:p w:rsidR="00975183" w:rsidRPr="00544CAC" w:rsidRDefault="00975183" w:rsidP="00442D33">
      <w:pPr>
        <w:pStyle w:val="EndnoteText"/>
      </w:pPr>
      <w:r w:rsidRPr="00544CAC">
        <w:rPr>
          <w:rStyle w:val="FootnoteReference"/>
        </w:rPr>
        <w:endnoteRef/>
      </w:r>
      <w:r w:rsidRPr="00544CAC">
        <w:t xml:space="preserve"> </w:t>
      </w:r>
      <w:r w:rsidRPr="00544CAC">
        <w:rPr>
          <w:i/>
        </w:rPr>
        <w:t>SRB</w:t>
      </w:r>
      <w:r w:rsidRPr="00544CAC">
        <w:rPr>
          <w:i/>
          <w:spacing w:val="-1"/>
        </w:rPr>
        <w:t xml:space="preserve"> </w:t>
      </w:r>
      <w:r w:rsidRPr="00544CAC">
        <w:rPr>
          <w:spacing w:val="-1"/>
        </w:rPr>
        <w:t>subhead to Lev. 13:1, p. 141</w:t>
      </w:r>
      <w:r w:rsidRPr="00544CAC">
        <w:rPr>
          <w:b/>
          <w:bCs/>
          <w:spacing w:val="-1"/>
        </w:rPr>
        <w:t>.  See Introduction, Subheads Table, ‘</w:t>
      </w:r>
      <w:r w:rsidRPr="00544CAC">
        <w:rPr>
          <w:b/>
        </w:rPr>
        <w:t>Typological and Non-Typological Intertestamental References in Subheads’.</w:t>
      </w:r>
    </w:p>
  </w:endnote>
  <w:endnote w:id="836">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13:2, p. 141</w:t>
      </w:r>
      <w:r w:rsidRPr="00DB5646">
        <w:rPr>
          <w:b/>
          <w:bCs/>
          <w:spacing w:val="-1"/>
        </w:rPr>
        <w:t xml:space="preserve">.  </w:t>
      </w:r>
      <w:r w:rsidRPr="00DB5646">
        <w:rPr>
          <w:bCs/>
          <w:spacing w:val="-1"/>
        </w:rPr>
        <w:t>Ref. 1 Cor. 11:31.</w:t>
      </w:r>
    </w:p>
  </w:endnote>
  <w:endnote w:id="837">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13:2, p. 141</w:t>
      </w:r>
      <w:r w:rsidRPr="00DB5646">
        <w:rPr>
          <w:b/>
          <w:bCs/>
          <w:spacing w:val="-1"/>
        </w:rPr>
        <w:t xml:space="preserve">.  </w:t>
      </w:r>
      <w:r w:rsidRPr="00DB5646">
        <w:rPr>
          <w:bCs/>
          <w:spacing w:val="-1"/>
        </w:rPr>
        <w:t>Ref. 1 Jn 1:9.</w:t>
      </w:r>
    </w:p>
  </w:endnote>
  <w:endnote w:id="838">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14:3, p. 143</w:t>
      </w:r>
      <w:r w:rsidRPr="00DB5646">
        <w:rPr>
          <w:b/>
          <w:bCs/>
          <w:spacing w:val="-1"/>
        </w:rPr>
        <w:t>.</w:t>
      </w:r>
    </w:p>
  </w:endnote>
  <w:endnote w:id="839">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13:3, p. 141</w:t>
      </w:r>
      <w:r w:rsidRPr="00DB5646">
        <w:rPr>
          <w:b/>
          <w:bCs/>
          <w:spacing w:val="-1"/>
        </w:rPr>
        <w:t>.</w:t>
      </w:r>
    </w:p>
  </w:endnote>
  <w:endnote w:id="840">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Introduction</w:t>
      </w:r>
      <w:r w:rsidRPr="00DB5646">
        <w:t xml:space="preserve"> to</w:t>
      </w:r>
      <w:r w:rsidRPr="00DB5646">
        <w:rPr>
          <w:spacing w:val="-1"/>
        </w:rPr>
        <w:t xml:space="preserve"> </w:t>
      </w:r>
      <w:r w:rsidRPr="00DB5646">
        <w:t xml:space="preserve">Exodus, </w:t>
      </w:r>
      <w:r w:rsidRPr="00DB5646">
        <w:rPr>
          <w:spacing w:val="-1"/>
        </w:rPr>
        <w:t>p.</w:t>
      </w:r>
      <w:r w:rsidRPr="00DB5646">
        <w:rPr>
          <w:spacing w:val="1"/>
        </w:rPr>
        <w:t xml:space="preserve"> </w:t>
      </w:r>
      <w:r w:rsidRPr="00DB5646">
        <w:rPr>
          <w:spacing w:val="-1"/>
        </w:rPr>
        <w:t>71</w:t>
      </w:r>
      <w:r w:rsidRPr="00DB5646">
        <w:rPr>
          <w:b/>
          <w:bCs/>
          <w:spacing w:val="-1"/>
        </w:rPr>
        <w:t>.</w:t>
      </w:r>
    </w:p>
  </w:endnote>
  <w:endnote w:id="841">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14:4, p. 144</w:t>
      </w:r>
      <w:r w:rsidRPr="00DB5646">
        <w:rPr>
          <w:b/>
          <w:bCs/>
          <w:spacing w:val="-1"/>
        </w:rPr>
        <w:t>.</w:t>
      </w:r>
    </w:p>
  </w:endnote>
  <w:endnote w:id="842">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notes on Exod. 25:1, p. 100, and Exod. 26:19, p. 103.</w:t>
      </w:r>
    </w:p>
  </w:endnote>
  <w:endnote w:id="843">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Lev. 25:49, p. 161</w:t>
      </w:r>
      <w:r w:rsidRPr="00DB5646">
        <w:rPr>
          <w:b/>
          <w:bCs/>
          <w:spacing w:val="-1"/>
        </w:rPr>
        <w:t>.</w:t>
      </w:r>
    </w:p>
  </w:endnote>
  <w:endnote w:id="844">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Exod. 25:1, p. 100</w:t>
      </w:r>
      <w:r w:rsidRPr="00DB5646">
        <w:rPr>
          <w:b/>
          <w:bCs/>
          <w:spacing w:val="-1"/>
        </w:rPr>
        <w:t>.</w:t>
      </w:r>
    </w:p>
  </w:endnote>
  <w:endnote w:id="845">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Num. 21:9, p. 195</w:t>
      </w:r>
      <w:r w:rsidRPr="00DB5646">
        <w:rPr>
          <w:b/>
          <w:bCs/>
          <w:spacing w:val="-1"/>
        </w:rPr>
        <w:t>.</w:t>
      </w:r>
    </w:p>
  </w:endnote>
  <w:endnote w:id="846">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Joel 1:15, p. 931</w:t>
      </w:r>
      <w:r w:rsidRPr="00DB5646">
        <w:rPr>
          <w:b/>
          <w:bCs/>
          <w:spacing w:val="-1"/>
        </w:rPr>
        <w:t xml:space="preserve">.  </w:t>
      </w:r>
    </w:p>
  </w:endnote>
  <w:endnote w:id="847">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Dan. 7:8, p. 910</w:t>
      </w:r>
      <w:r w:rsidRPr="00DB5646">
        <w:rPr>
          <w:bCs/>
          <w:spacing w:val="-1"/>
        </w:rPr>
        <w:t>.  Ref. Dan. 8:23-5.</w:t>
      </w:r>
    </w:p>
  </w:endnote>
  <w:endnote w:id="848">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Dan. 8:9, p. 912</w:t>
      </w:r>
      <w:r w:rsidRPr="00DB5646">
        <w:rPr>
          <w:bCs/>
          <w:spacing w:val="-1"/>
        </w:rPr>
        <w:t xml:space="preserve">.  </w:t>
      </w:r>
    </w:p>
  </w:endnote>
  <w:endnote w:id="849">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Dan. 11:35, p. 918</w:t>
      </w:r>
      <w:r w:rsidRPr="00DB5646">
        <w:rPr>
          <w:bCs/>
          <w:spacing w:val="-1"/>
        </w:rPr>
        <w:t xml:space="preserve">.  </w:t>
      </w:r>
      <w:proofErr w:type="gramStart"/>
      <w:r w:rsidRPr="00DB5646">
        <w:rPr>
          <w:bCs/>
          <w:spacing w:val="-1"/>
        </w:rPr>
        <w:t>Ref. Rev. 13:4-10.</w:t>
      </w:r>
      <w:proofErr w:type="gramEnd"/>
      <w:r w:rsidRPr="00DB5646">
        <w:rPr>
          <w:bCs/>
          <w:spacing w:val="-1"/>
        </w:rPr>
        <w:t xml:space="preserve">  </w:t>
      </w:r>
      <w:proofErr w:type="gramStart"/>
      <w:r w:rsidRPr="00544CAC">
        <w:rPr>
          <w:b/>
          <w:bCs/>
          <w:spacing w:val="-1"/>
        </w:rPr>
        <w:t>See 7.1.2.3</w:t>
      </w:r>
      <w:r>
        <w:rPr>
          <w:bCs/>
          <w:spacing w:val="-1"/>
        </w:rPr>
        <w:t>.</w:t>
      </w:r>
      <w:proofErr w:type="gramEnd"/>
      <w:r>
        <w:rPr>
          <w:bCs/>
          <w:spacing w:val="-1"/>
        </w:rPr>
        <w:t xml:space="preserve"> </w:t>
      </w:r>
    </w:p>
  </w:endnote>
  <w:endnote w:id="850">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note on Isa. 13:19, p. 725</w:t>
      </w:r>
      <w:r w:rsidRPr="00DB5646">
        <w:rPr>
          <w:bCs/>
          <w:spacing w:val="-1"/>
        </w:rPr>
        <w:t xml:space="preserve">.  </w:t>
      </w:r>
    </w:p>
  </w:endnote>
  <w:endnote w:id="851">
    <w:p w:rsidR="00975183" w:rsidRDefault="00975183" w:rsidP="00442D33">
      <w:pPr>
        <w:pStyle w:val="EndnoteText"/>
      </w:pPr>
      <w:r w:rsidRPr="00DB5646">
        <w:rPr>
          <w:rStyle w:val="FootnoteReference"/>
        </w:rPr>
        <w:endnoteRef/>
      </w:r>
      <w:r w:rsidRPr="00DB5646">
        <w:t xml:space="preserve"> </w:t>
      </w:r>
      <w:r w:rsidRPr="00DB5646">
        <w:rPr>
          <w:i/>
        </w:rPr>
        <w:t>SRB</w:t>
      </w:r>
      <w:r w:rsidRPr="00DB5646">
        <w:rPr>
          <w:i/>
          <w:spacing w:val="-1"/>
        </w:rPr>
        <w:t xml:space="preserve"> </w:t>
      </w:r>
      <w:r w:rsidRPr="00DB5646">
        <w:rPr>
          <w:spacing w:val="-1"/>
        </w:rPr>
        <w:t>Introduction to Genesis, p. 3</w:t>
      </w:r>
      <w:r w:rsidRPr="00DB5646">
        <w:rPr>
          <w:bCs/>
          <w:spacing w:val="-1"/>
        </w:rPr>
        <w:t>.</w:t>
      </w:r>
    </w:p>
  </w:endnote>
  <w:endnote w:id="852">
    <w:p w:rsidR="00975183" w:rsidRDefault="00975183" w:rsidP="00442D33">
      <w:pPr>
        <w:pStyle w:val="EndnoteText"/>
      </w:pPr>
      <w:r w:rsidRPr="00FB7916">
        <w:rPr>
          <w:rStyle w:val="FootnoteReference"/>
        </w:rPr>
        <w:endnoteRef/>
      </w:r>
      <w:r w:rsidRPr="00FB7916">
        <w:t xml:space="preserve"> </w:t>
      </w:r>
      <w:r w:rsidRPr="00FB7916">
        <w:rPr>
          <w:i/>
        </w:rPr>
        <w:t>SRB</w:t>
      </w:r>
      <w:r w:rsidRPr="00FB7916">
        <w:rPr>
          <w:i/>
          <w:spacing w:val="-1"/>
        </w:rPr>
        <w:t xml:space="preserve"> </w:t>
      </w:r>
      <w:r w:rsidRPr="00FB7916">
        <w:rPr>
          <w:spacing w:val="-1"/>
        </w:rPr>
        <w:t>note on Mt. 17:10, p. 1023</w:t>
      </w:r>
      <w:r w:rsidRPr="00FB7916">
        <w:rPr>
          <w:bCs/>
          <w:spacing w:val="-1"/>
        </w:rPr>
        <w:t>.</w:t>
      </w:r>
    </w:p>
  </w:endnote>
  <w:endnote w:id="853">
    <w:p w:rsidR="00975183" w:rsidRDefault="00975183" w:rsidP="00442D33">
      <w:pPr>
        <w:pStyle w:val="EndnoteText"/>
      </w:pPr>
      <w:r w:rsidRPr="00FB7916">
        <w:rPr>
          <w:rStyle w:val="FootnoteReference"/>
        </w:rPr>
        <w:endnoteRef/>
      </w:r>
      <w:r w:rsidRPr="00FB7916">
        <w:t xml:space="preserve"> </w:t>
      </w:r>
      <w:proofErr w:type="gramStart"/>
      <w:r w:rsidRPr="00FB7916">
        <w:rPr>
          <w:i/>
        </w:rPr>
        <w:t>SRB</w:t>
      </w:r>
      <w:r w:rsidRPr="00FB7916">
        <w:rPr>
          <w:i/>
          <w:spacing w:val="-1"/>
        </w:rPr>
        <w:t xml:space="preserve"> </w:t>
      </w:r>
      <w:r w:rsidRPr="00FB7916">
        <w:rPr>
          <w:spacing w:val="-1"/>
        </w:rPr>
        <w:t>note on Gen. 16:3, p. 25</w:t>
      </w:r>
      <w:r w:rsidRPr="00FB7916">
        <w:rPr>
          <w:bCs/>
          <w:spacing w:val="-1"/>
        </w:rPr>
        <w:t>.</w:t>
      </w:r>
      <w:proofErr w:type="gramEnd"/>
    </w:p>
  </w:endnote>
  <w:endnote w:id="854">
    <w:p w:rsidR="00975183" w:rsidRDefault="00975183" w:rsidP="00442D33">
      <w:pPr>
        <w:pStyle w:val="EndnoteText"/>
      </w:pPr>
      <w:r w:rsidRPr="00FB7916">
        <w:rPr>
          <w:rStyle w:val="FootnoteReference"/>
        </w:rPr>
        <w:endnoteRef/>
      </w:r>
      <w:r w:rsidRPr="00FB7916">
        <w:t xml:space="preserve"> </w:t>
      </w:r>
      <w:proofErr w:type="gramStart"/>
      <w:r w:rsidRPr="00FB7916">
        <w:rPr>
          <w:i/>
        </w:rPr>
        <w:t>SRB</w:t>
      </w:r>
      <w:r w:rsidRPr="00FB7916">
        <w:rPr>
          <w:i/>
          <w:spacing w:val="-1"/>
        </w:rPr>
        <w:t xml:space="preserve"> </w:t>
      </w:r>
      <w:r w:rsidRPr="00FB7916">
        <w:rPr>
          <w:spacing w:val="-1"/>
        </w:rPr>
        <w:t>note on Gen. 21:3, p. 31</w:t>
      </w:r>
      <w:r w:rsidRPr="00FB7916">
        <w:rPr>
          <w:bCs/>
          <w:spacing w:val="-1"/>
        </w:rPr>
        <w:t>.</w:t>
      </w:r>
      <w:proofErr w:type="gramEnd"/>
    </w:p>
  </w:endnote>
  <w:endnote w:id="855">
    <w:p w:rsidR="00975183" w:rsidRDefault="00975183" w:rsidP="00442D33">
      <w:pPr>
        <w:pStyle w:val="EndnoteText"/>
      </w:pPr>
      <w:r w:rsidRPr="00FB7916">
        <w:rPr>
          <w:rStyle w:val="FootnoteReference"/>
        </w:rPr>
        <w:endnoteRef/>
      </w:r>
      <w:r w:rsidRPr="00FB7916">
        <w:t xml:space="preserve"> </w:t>
      </w:r>
      <w:r w:rsidRPr="00FB7916">
        <w:rPr>
          <w:i/>
        </w:rPr>
        <w:t>SRB</w:t>
      </w:r>
      <w:r w:rsidRPr="00FB7916">
        <w:rPr>
          <w:i/>
          <w:spacing w:val="-1"/>
        </w:rPr>
        <w:t xml:space="preserve"> </w:t>
      </w:r>
      <w:r w:rsidRPr="00FB7916">
        <w:rPr>
          <w:spacing w:val="-1"/>
        </w:rPr>
        <w:t>note on Lev. 23:10, p. 156</w:t>
      </w:r>
      <w:r w:rsidRPr="00FB7916">
        <w:rPr>
          <w:bCs/>
          <w:spacing w:val="-1"/>
        </w:rPr>
        <w:t>.</w:t>
      </w:r>
    </w:p>
  </w:endnote>
  <w:endnote w:id="856">
    <w:p w:rsidR="00975183" w:rsidRDefault="00975183" w:rsidP="00442D33">
      <w:pPr>
        <w:pStyle w:val="EndnoteText"/>
      </w:pPr>
      <w:r w:rsidRPr="00FB7916">
        <w:rPr>
          <w:rStyle w:val="FootnoteReference"/>
        </w:rPr>
        <w:endnoteRef/>
      </w:r>
      <w:r w:rsidRPr="00FB7916">
        <w:t xml:space="preserve"> </w:t>
      </w:r>
      <w:r w:rsidRPr="00FB7916">
        <w:rPr>
          <w:i/>
        </w:rPr>
        <w:t>SRB</w:t>
      </w:r>
      <w:r w:rsidRPr="00FB7916">
        <w:rPr>
          <w:i/>
          <w:spacing w:val="-1"/>
        </w:rPr>
        <w:t xml:space="preserve"> </w:t>
      </w:r>
      <w:r w:rsidRPr="00FB7916">
        <w:rPr>
          <w:spacing w:val="-1"/>
        </w:rPr>
        <w:t>note on Ps. 69:1, p. 631</w:t>
      </w:r>
      <w:r w:rsidRPr="00FB7916">
        <w:rPr>
          <w:bCs/>
          <w:spacing w:val="-1"/>
        </w:rPr>
        <w:t>.</w:t>
      </w:r>
    </w:p>
  </w:endnote>
  <w:endnote w:id="857">
    <w:p w:rsidR="00975183" w:rsidRDefault="00975183" w:rsidP="00442D33">
      <w:pPr>
        <w:pStyle w:val="EndnoteText"/>
      </w:pPr>
      <w:r w:rsidRPr="00FB7916">
        <w:rPr>
          <w:rStyle w:val="FootnoteReference"/>
        </w:rPr>
        <w:endnoteRef/>
      </w:r>
      <w:r w:rsidRPr="00FB7916">
        <w:t xml:space="preserve"> </w:t>
      </w:r>
      <w:r w:rsidRPr="00FB7916">
        <w:rPr>
          <w:i/>
        </w:rPr>
        <w:t>SRB</w:t>
      </w:r>
      <w:r w:rsidRPr="00FB7916">
        <w:rPr>
          <w:i/>
          <w:spacing w:val="-1"/>
        </w:rPr>
        <w:t xml:space="preserve"> </w:t>
      </w:r>
      <w:r w:rsidRPr="00FB7916">
        <w:rPr>
          <w:spacing w:val="-1"/>
        </w:rPr>
        <w:t>note on Exod. 25:1, p. 100</w:t>
      </w:r>
      <w:r w:rsidRPr="00FB7916">
        <w:rPr>
          <w:bCs/>
          <w:spacing w:val="-1"/>
        </w:rPr>
        <w:t>.</w:t>
      </w:r>
    </w:p>
  </w:endnote>
  <w:endnote w:id="858">
    <w:p w:rsidR="00975183" w:rsidRDefault="00975183" w:rsidP="00442D33">
      <w:pPr>
        <w:pStyle w:val="EndnoteText"/>
      </w:pPr>
      <w:r w:rsidRPr="00FB7916">
        <w:rPr>
          <w:rStyle w:val="FootnoteReference"/>
        </w:rPr>
        <w:endnoteRef/>
      </w:r>
      <w:r w:rsidRPr="00FB7916">
        <w:t xml:space="preserve"> </w:t>
      </w:r>
      <w:r w:rsidRPr="00FB7916">
        <w:rPr>
          <w:i/>
        </w:rPr>
        <w:t>SRB</w:t>
      </w:r>
      <w:r w:rsidRPr="00FB7916">
        <w:t xml:space="preserve">, note on Exod. 25:1, p. 100.  </w:t>
      </w:r>
      <w:proofErr w:type="gramStart"/>
      <w:r w:rsidRPr="00FB7916">
        <w:t>(</w:t>
      </w:r>
      <w:r w:rsidRPr="00FB7916">
        <w:rPr>
          <w:i/>
        </w:rPr>
        <w:t>Scofield’s emphases</w:t>
      </w:r>
      <w:r w:rsidRPr="00FB7916">
        <w:t>.)</w:t>
      </w:r>
      <w:proofErr w:type="gramEnd"/>
    </w:p>
  </w:endnote>
  <w:endnote w:id="859">
    <w:p w:rsidR="00975183" w:rsidRDefault="00975183" w:rsidP="00442D33">
      <w:pPr>
        <w:pStyle w:val="EndnoteText"/>
      </w:pPr>
      <w:r w:rsidRPr="00FB7916">
        <w:rPr>
          <w:rStyle w:val="FootnoteReference"/>
        </w:rPr>
        <w:endnoteRef/>
      </w:r>
      <w:r w:rsidRPr="00FB7916">
        <w:t xml:space="preserve"> Campbell, ‘Interpretation of Types’, p. 249.</w:t>
      </w:r>
    </w:p>
  </w:endnote>
  <w:endnote w:id="860">
    <w:p w:rsidR="00975183" w:rsidRDefault="00975183" w:rsidP="00442D33">
      <w:pPr>
        <w:pStyle w:val="EndnoteText"/>
      </w:pPr>
      <w:r w:rsidRPr="005A4949">
        <w:rPr>
          <w:rStyle w:val="FootnoteReference"/>
        </w:rPr>
        <w:endnoteRef/>
      </w:r>
      <w:r w:rsidRPr="005A4949">
        <w:t xml:space="preserve"> Weber, </w:t>
      </w:r>
      <w:r w:rsidRPr="005A4949">
        <w:rPr>
          <w:i/>
        </w:rPr>
        <w:t>Armageddon</w:t>
      </w:r>
      <w:r w:rsidRPr="005A4949">
        <w:t>, p. 37.</w:t>
      </w:r>
    </w:p>
  </w:endnote>
  <w:endnote w:id="861">
    <w:p w:rsidR="00975183" w:rsidRDefault="00975183" w:rsidP="00442D33">
      <w:pPr>
        <w:pStyle w:val="EndnoteText"/>
      </w:pPr>
      <w:r w:rsidRPr="005A4949">
        <w:rPr>
          <w:rStyle w:val="FootnoteReference"/>
        </w:rPr>
        <w:endnoteRef/>
      </w:r>
      <w:r w:rsidRPr="005A4949">
        <w:t xml:space="preserve"> James, H. Brookes, The Truth, V (1879), p. 314, cited in Weber, </w:t>
      </w:r>
      <w:r w:rsidRPr="005A4949">
        <w:rPr>
          <w:i/>
        </w:rPr>
        <w:t>Shadow</w:t>
      </w:r>
      <w:r w:rsidRPr="005A4949">
        <w:t>, p. 37.</w:t>
      </w:r>
    </w:p>
  </w:endnote>
  <w:endnote w:id="862">
    <w:p w:rsidR="00975183" w:rsidRDefault="00975183" w:rsidP="00442D33">
      <w:pPr>
        <w:pStyle w:val="EndnoteText"/>
      </w:pPr>
      <w:r w:rsidRPr="005A4949">
        <w:rPr>
          <w:rStyle w:val="FootnoteReference"/>
        </w:rPr>
        <w:endnoteRef/>
      </w:r>
      <w:r w:rsidRPr="005A4949">
        <w:t xml:space="preserve"> Blaising, ‘Extent and Varieties of Dispensationalism’, </w:t>
      </w:r>
      <w:r w:rsidRPr="005A4949">
        <w:rPr>
          <w:i/>
        </w:rPr>
        <w:t>Progressive Dispensationalism</w:t>
      </w:r>
      <w:r w:rsidRPr="005A4949">
        <w:t>, p. 28.</w:t>
      </w:r>
    </w:p>
  </w:endnote>
  <w:endnote w:id="863">
    <w:p w:rsidR="00975183" w:rsidRDefault="00975183" w:rsidP="00442D33">
      <w:pPr>
        <w:pStyle w:val="EndnoteText"/>
      </w:pPr>
      <w:r w:rsidRPr="005A4949">
        <w:rPr>
          <w:rStyle w:val="FootnoteReference"/>
        </w:rPr>
        <w:endnoteRef/>
      </w:r>
      <w:r w:rsidRPr="005A4949">
        <w:t xml:space="preserve"> Blaising, ‘Dispensationalism, Search for Definition’, </w:t>
      </w:r>
      <w:r w:rsidRPr="005A4949">
        <w:rPr>
          <w:i/>
        </w:rPr>
        <w:t>Dispensationalism, Israel &amp; Church</w:t>
      </w:r>
      <w:r w:rsidRPr="005A4949">
        <w:t>, p. 18.</w:t>
      </w:r>
    </w:p>
  </w:endnote>
  <w:endnote w:id="864">
    <w:p w:rsidR="00975183" w:rsidRDefault="00975183" w:rsidP="00442D33">
      <w:pPr>
        <w:pStyle w:val="EndnoteText"/>
      </w:pPr>
      <w:r w:rsidRPr="005A4949">
        <w:rPr>
          <w:rStyle w:val="FootnoteReference"/>
        </w:rPr>
        <w:endnoteRef/>
      </w:r>
      <w:r w:rsidRPr="005A4949">
        <w:t xml:space="preserve"> Brookes, </w:t>
      </w:r>
      <w:r w:rsidRPr="005A4949">
        <w:rPr>
          <w:i/>
        </w:rPr>
        <w:t>Bible Reading on the Second Coming of Christ</w:t>
      </w:r>
      <w:r>
        <w:rPr>
          <w:i/>
        </w:rPr>
        <w:t xml:space="preserve"> According to the Scriptures</w:t>
      </w:r>
      <w:r w:rsidRPr="005A4949">
        <w:t xml:space="preserve"> (Springfield, Illinois: Edwin A. Wilson, 1877).</w:t>
      </w:r>
    </w:p>
  </w:endnote>
  <w:endnote w:id="865">
    <w:p w:rsidR="00975183" w:rsidRDefault="00975183" w:rsidP="00442D33">
      <w:pPr>
        <w:pStyle w:val="EndnoteText"/>
      </w:pPr>
      <w:r w:rsidRPr="005A4949">
        <w:rPr>
          <w:rStyle w:val="FootnoteReference"/>
        </w:rPr>
        <w:endnoteRef/>
      </w:r>
      <w:r w:rsidRPr="005A4949">
        <w:t xml:space="preserve"> William E. Blackstone, </w:t>
      </w:r>
      <w:r w:rsidRPr="005A4949">
        <w:rPr>
          <w:i/>
        </w:rPr>
        <w:t xml:space="preserve">Jesus is </w:t>
      </w:r>
      <w:proofErr w:type="gramStart"/>
      <w:r w:rsidRPr="005A4949">
        <w:rPr>
          <w:i/>
        </w:rPr>
        <w:t>Coming</w:t>
      </w:r>
      <w:proofErr w:type="gramEnd"/>
      <w:r w:rsidRPr="005A4949">
        <w:rPr>
          <w:i/>
        </w:rPr>
        <w:t>: God’s Hope for a Restless World</w:t>
      </w:r>
      <w:r w:rsidRPr="005A4949">
        <w:t xml:space="preserve"> (Grand Rapids: Kregel Publications, 1989; original publication: New York: F.H. Revell, 1908).</w:t>
      </w:r>
    </w:p>
  </w:endnote>
  <w:endnote w:id="866">
    <w:p w:rsidR="00975183" w:rsidRDefault="00975183" w:rsidP="00442D33">
      <w:pPr>
        <w:pStyle w:val="EndnoteText"/>
      </w:pPr>
      <w:r w:rsidRPr="00D95096">
        <w:rPr>
          <w:rStyle w:val="FootnoteReference"/>
        </w:rPr>
        <w:endnoteRef/>
      </w:r>
      <w:r w:rsidRPr="00D95096">
        <w:t xml:space="preserve"> Scofield, Cyrus Ingersoll (</w:t>
      </w:r>
      <w:r w:rsidRPr="00D95096">
        <w:rPr>
          <w:i/>
        </w:rPr>
        <w:t>sic</w:t>
      </w:r>
      <w:r w:rsidRPr="00D95096">
        <w:t xml:space="preserve">), </w:t>
      </w:r>
      <w:r w:rsidRPr="00D95096">
        <w:rPr>
          <w:i/>
        </w:rPr>
        <w:t xml:space="preserve">Rightly Dividing the Word of Truth: Being 10 Studies of the More Important Divisions of Scripture </w:t>
      </w:r>
      <w:r w:rsidRPr="00D95096">
        <w:t>(Windber, Pennsylvania: Classic Reprint Press, 2007, original printing 1885).</w:t>
      </w:r>
    </w:p>
  </w:endnote>
  <w:endnote w:id="867">
    <w:p w:rsidR="00975183" w:rsidRPr="00432E49" w:rsidRDefault="00975183" w:rsidP="00442D33">
      <w:pPr>
        <w:pStyle w:val="EndnoteText"/>
      </w:pPr>
      <w:r w:rsidRPr="00432E49">
        <w:rPr>
          <w:rStyle w:val="EndnoteReference"/>
        </w:rPr>
        <w:endnoteRef/>
      </w:r>
      <w:r w:rsidRPr="00432E49">
        <w:t xml:space="preserve"> Blaising, </w:t>
      </w:r>
      <w:r w:rsidRPr="005A4949">
        <w:t xml:space="preserve">‘Dispensationalism, Search for Definition’, </w:t>
      </w:r>
      <w:r w:rsidRPr="005A4949">
        <w:rPr>
          <w:i/>
        </w:rPr>
        <w:t>Dispensationalism, Israel &amp; Church</w:t>
      </w:r>
      <w:r w:rsidRPr="005A4949">
        <w:t xml:space="preserve">, p. </w:t>
      </w:r>
      <w:r>
        <w:t>22</w:t>
      </w:r>
      <w:r w:rsidRPr="005A4949">
        <w:t>.</w:t>
      </w:r>
      <w:r>
        <w:t xml:space="preserve"> </w:t>
      </w:r>
    </w:p>
  </w:endnote>
  <w:endnote w:id="868">
    <w:p w:rsidR="00975183" w:rsidRDefault="00975183" w:rsidP="00442D33">
      <w:pPr>
        <w:pStyle w:val="FootnoteText"/>
        <w:rPr>
          <w:rFonts w:ascii="Perpetua" w:hAnsi="Perpetua"/>
        </w:rPr>
      </w:pPr>
      <w:r w:rsidRPr="005A4949">
        <w:rPr>
          <w:rStyle w:val="FootnoteReference"/>
          <w:rFonts w:ascii="Perpetua" w:hAnsi="Perpetua"/>
        </w:rPr>
        <w:endnoteRef/>
      </w:r>
      <w:r w:rsidRPr="005A4949">
        <w:rPr>
          <w:rFonts w:ascii="Perpetua" w:hAnsi="Perpetua"/>
        </w:rPr>
        <w:t xml:space="preserve"> </w:t>
      </w:r>
      <w:r w:rsidRPr="005A4949">
        <w:rPr>
          <w:rFonts w:ascii="Perpetua"/>
          <w:spacing w:val="-1"/>
        </w:rPr>
        <w:t>1883-97</w:t>
      </w:r>
      <w:proofErr w:type="gramStart"/>
      <w:r w:rsidRPr="005A4949">
        <w:rPr>
          <w:rFonts w:ascii="Perpetua"/>
          <w:spacing w:val="-1"/>
        </w:rPr>
        <w:t xml:space="preserve">.  </w:t>
      </w:r>
      <w:r w:rsidRPr="005A4949">
        <w:rPr>
          <w:rFonts w:ascii="Perpetua" w:eastAsia="Perpetua" w:hAnsi="Perpetua" w:cs="Perpetua"/>
          <w:spacing w:val="-1"/>
        </w:rPr>
        <w:t>Other</w:t>
      </w:r>
      <w:proofErr w:type="gramEnd"/>
      <w:r w:rsidRPr="005A4949">
        <w:rPr>
          <w:rFonts w:ascii="Perpetua" w:eastAsia="Perpetua" w:hAnsi="Perpetua" w:cs="Perpetua"/>
        </w:rPr>
        <w:t xml:space="preserve"> </w:t>
      </w:r>
      <w:r w:rsidRPr="005A4949">
        <w:rPr>
          <w:rFonts w:ascii="Perpetua" w:eastAsia="Perpetua" w:hAnsi="Perpetua" w:cs="Perpetua"/>
          <w:spacing w:val="-1"/>
        </w:rPr>
        <w:t>speakers included</w:t>
      </w:r>
      <w:r w:rsidRPr="005A4949">
        <w:rPr>
          <w:rFonts w:ascii="Perpetua" w:eastAsia="Perpetua" w:hAnsi="Perpetua" w:cs="Perpetua"/>
        </w:rPr>
        <w:t xml:space="preserve"> </w:t>
      </w:r>
      <w:r w:rsidRPr="005A4949">
        <w:rPr>
          <w:rFonts w:ascii="Perpetua" w:eastAsia="Perpetua" w:hAnsi="Perpetua" w:cs="Perpetua"/>
          <w:spacing w:val="-1"/>
        </w:rPr>
        <w:t>Brookes;</w:t>
      </w:r>
      <w:r w:rsidRPr="005A4949">
        <w:rPr>
          <w:rFonts w:ascii="Perpetua" w:eastAsia="Perpetua" w:hAnsi="Perpetua" w:cs="Perpetua"/>
          <w:spacing w:val="1"/>
        </w:rPr>
        <w:t xml:space="preserve"> </w:t>
      </w:r>
      <w:r w:rsidRPr="005A4949">
        <w:rPr>
          <w:rFonts w:ascii="Perpetua" w:eastAsia="Perpetua" w:hAnsi="Perpetua" w:cs="Perpetua"/>
          <w:spacing w:val="-1"/>
        </w:rPr>
        <w:t>W.</w:t>
      </w:r>
      <w:r w:rsidRPr="005A4949">
        <w:rPr>
          <w:rFonts w:ascii="Perpetua" w:eastAsia="Perpetua" w:hAnsi="Perpetua" w:cs="Perpetua"/>
        </w:rPr>
        <w:t xml:space="preserve"> </w:t>
      </w:r>
      <w:r w:rsidRPr="005A4949">
        <w:rPr>
          <w:rFonts w:ascii="Perpetua" w:eastAsia="Perpetua" w:hAnsi="Perpetua" w:cs="Perpetua"/>
          <w:spacing w:val="-1"/>
        </w:rPr>
        <w:t>H. Moorehead;</w:t>
      </w:r>
      <w:r w:rsidRPr="005A4949">
        <w:rPr>
          <w:rFonts w:ascii="Perpetua" w:eastAsia="Perpetua" w:hAnsi="Perpetua" w:cs="Perpetua"/>
        </w:rPr>
        <w:t xml:space="preserve"> </w:t>
      </w:r>
      <w:r w:rsidRPr="005A4949">
        <w:rPr>
          <w:rFonts w:ascii="Perpetua" w:eastAsia="Perpetua" w:hAnsi="Perpetua" w:cs="Perpetua"/>
          <w:spacing w:val="-1"/>
        </w:rPr>
        <w:t>and</w:t>
      </w:r>
      <w:r w:rsidRPr="005A4949">
        <w:rPr>
          <w:rFonts w:ascii="Perpetua" w:eastAsia="Perpetua" w:hAnsi="Perpetua" w:cs="Perpetua"/>
        </w:rPr>
        <w:t xml:space="preserve"> </w:t>
      </w:r>
      <w:r w:rsidRPr="005A4949">
        <w:rPr>
          <w:rFonts w:ascii="Perpetua" w:eastAsia="Perpetua" w:hAnsi="Perpetua" w:cs="Perpetua"/>
          <w:spacing w:val="-1"/>
        </w:rPr>
        <w:t>W.</w:t>
      </w:r>
      <w:r w:rsidRPr="005A4949">
        <w:rPr>
          <w:rFonts w:ascii="Perpetua" w:eastAsia="Perpetua" w:hAnsi="Perpetua" w:cs="Perpetua"/>
        </w:rPr>
        <w:t xml:space="preserve"> </w:t>
      </w:r>
      <w:r w:rsidRPr="005A4949">
        <w:rPr>
          <w:rFonts w:ascii="Perpetua" w:eastAsia="Perpetua" w:hAnsi="Perpetua" w:cs="Perpetua"/>
          <w:spacing w:val="-1"/>
        </w:rPr>
        <w:t>J. Erdman and</w:t>
      </w:r>
      <w:r w:rsidRPr="005A4949">
        <w:rPr>
          <w:rFonts w:ascii="Perpetua" w:eastAsia="Perpetua" w:hAnsi="Perpetua" w:cs="Perpetua"/>
        </w:rPr>
        <w:t xml:space="preserve"> </w:t>
      </w:r>
      <w:r w:rsidRPr="005A4949">
        <w:rPr>
          <w:rFonts w:ascii="Perpetua" w:eastAsia="Perpetua" w:hAnsi="Perpetua" w:cs="Perpetua"/>
          <w:spacing w:val="-1"/>
        </w:rPr>
        <w:t>Arthur</w:t>
      </w:r>
      <w:r w:rsidRPr="005A4949">
        <w:rPr>
          <w:rFonts w:ascii="Perpetua" w:eastAsia="Perpetua" w:hAnsi="Perpetua" w:cs="Perpetua"/>
        </w:rPr>
        <w:t xml:space="preserve"> </w:t>
      </w:r>
      <w:r w:rsidRPr="005A4949">
        <w:rPr>
          <w:rFonts w:ascii="Perpetua" w:eastAsia="Perpetua" w:hAnsi="Perpetua" w:cs="Perpetua"/>
          <w:spacing w:val="-1"/>
        </w:rPr>
        <w:t>T.</w:t>
      </w:r>
      <w:r w:rsidRPr="005A4949">
        <w:rPr>
          <w:rFonts w:ascii="Perpetua" w:eastAsia="Perpetua" w:hAnsi="Perpetua" w:cs="Perpetua"/>
        </w:rPr>
        <w:t xml:space="preserve"> </w:t>
      </w:r>
      <w:r w:rsidRPr="005A4949">
        <w:rPr>
          <w:rFonts w:ascii="Perpetua" w:eastAsia="Perpetua" w:hAnsi="Perpetua" w:cs="Perpetua"/>
          <w:spacing w:val="-1"/>
        </w:rPr>
        <w:t>Pierson who</w:t>
      </w:r>
      <w:r w:rsidRPr="005A4949">
        <w:rPr>
          <w:rFonts w:ascii="Perpetua" w:eastAsia="Perpetua" w:hAnsi="Perpetua" w:cs="Perpetua"/>
        </w:rPr>
        <w:t xml:space="preserve"> </w:t>
      </w:r>
      <w:r w:rsidRPr="005A4949">
        <w:rPr>
          <w:rFonts w:ascii="Perpetua" w:eastAsia="Perpetua" w:hAnsi="Perpetua" w:cs="Perpetua"/>
          <w:spacing w:val="-1"/>
        </w:rPr>
        <w:t>also</w:t>
      </w:r>
      <w:r w:rsidRPr="005A4949">
        <w:rPr>
          <w:rFonts w:ascii="Perpetua" w:eastAsia="Perpetua" w:hAnsi="Perpetua" w:cs="Perpetua"/>
          <w:spacing w:val="34"/>
        </w:rPr>
        <w:t xml:space="preserve"> </w:t>
      </w:r>
      <w:r w:rsidRPr="005A4949">
        <w:rPr>
          <w:rFonts w:ascii="Perpetua" w:eastAsia="Perpetua" w:hAnsi="Perpetua" w:cs="Perpetua"/>
          <w:spacing w:val="-1"/>
        </w:rPr>
        <w:t>became ‘Consulting</w:t>
      </w:r>
      <w:r w:rsidRPr="005A4949">
        <w:rPr>
          <w:rFonts w:ascii="Perpetua" w:eastAsia="Perpetua" w:hAnsi="Perpetua" w:cs="Perpetua"/>
        </w:rPr>
        <w:t xml:space="preserve"> </w:t>
      </w:r>
      <w:r w:rsidRPr="005A4949">
        <w:rPr>
          <w:rFonts w:ascii="Perpetua" w:eastAsia="Perpetua" w:hAnsi="Perpetua" w:cs="Perpetua"/>
          <w:spacing w:val="-1"/>
        </w:rPr>
        <w:t>Editors’ for</w:t>
      </w:r>
      <w:r w:rsidRPr="005A4949">
        <w:rPr>
          <w:rFonts w:ascii="Perpetua" w:eastAsia="Perpetua" w:hAnsi="Perpetua" w:cs="Perpetua"/>
        </w:rPr>
        <w:t xml:space="preserve"> </w:t>
      </w:r>
      <w:r w:rsidRPr="005A4949">
        <w:rPr>
          <w:rFonts w:ascii="Perpetua" w:eastAsia="Perpetua" w:hAnsi="Perpetua" w:cs="Perpetua"/>
          <w:i/>
          <w:spacing w:val="-1"/>
        </w:rPr>
        <w:t>SRB</w:t>
      </w:r>
      <w:r w:rsidRPr="005A4949">
        <w:rPr>
          <w:rFonts w:ascii="Perpetua" w:eastAsia="Perpetua" w:hAnsi="Perpetua" w:cs="Perpetua"/>
          <w:spacing w:val="-1"/>
        </w:rPr>
        <w:t>.</w:t>
      </w:r>
      <w:r w:rsidRPr="005A4949">
        <w:rPr>
          <w:rFonts w:ascii="Perpetua" w:eastAsia="Perpetua" w:hAnsi="Perpetua" w:cs="Perpetua"/>
        </w:rPr>
        <w:t xml:space="preserve">  A. C. </w:t>
      </w:r>
      <w:r w:rsidRPr="005A4949">
        <w:rPr>
          <w:rFonts w:ascii="Perpetua" w:hAnsi="Perpetua"/>
        </w:rPr>
        <w:t xml:space="preserve">Gaebelein, </w:t>
      </w:r>
      <w:r w:rsidRPr="005A4949">
        <w:rPr>
          <w:rFonts w:ascii="Perpetua" w:hAnsi="Perpetua"/>
          <w:i/>
        </w:rPr>
        <w:t>C. I. Scofield: The History of the Scofield Reference Bible</w:t>
      </w:r>
      <w:r w:rsidRPr="005A4949">
        <w:rPr>
          <w:rFonts w:ascii="Perpetua" w:hAnsi="Perpetua"/>
        </w:rPr>
        <w:t xml:space="preserve">, </w:t>
      </w:r>
    </w:p>
    <w:p w:rsidR="00975183" w:rsidRDefault="00975183" w:rsidP="00442D33">
      <w:pPr>
        <w:pStyle w:val="FootnoteText"/>
        <w:rPr>
          <w:rFonts w:ascii="Perpetua" w:hAnsi="Perpetua"/>
        </w:rPr>
      </w:pPr>
      <w:proofErr w:type="gramStart"/>
      <w:r w:rsidRPr="005A4949">
        <w:rPr>
          <w:rFonts w:ascii="Perpetua" w:hAnsi="Perpetua"/>
        </w:rPr>
        <w:t>Chapter 3.</w:t>
      </w:r>
      <w:proofErr w:type="gramEnd"/>
      <w:r w:rsidRPr="005A4949">
        <w:rPr>
          <w:rFonts w:ascii="Perpetua" w:hAnsi="Perpetua"/>
        </w:rPr>
        <w:t xml:space="preserve">  The Brethren Writers Hall of Fame &lt;http://www.newble.co.uk/writers/Scofield/refbibhist.html&gt; </w:t>
      </w:r>
    </w:p>
    <w:p w:rsidR="00975183" w:rsidRDefault="00975183" w:rsidP="00442D33">
      <w:pPr>
        <w:pStyle w:val="FootnoteText"/>
        <w:rPr>
          <w:rFonts w:ascii="Perpetua" w:hAnsi="Perpetua"/>
        </w:rPr>
      </w:pPr>
      <w:r w:rsidRPr="005A4949">
        <w:rPr>
          <w:rFonts w:ascii="Perpetua" w:hAnsi="Perpetua"/>
        </w:rPr>
        <w:t>[</w:t>
      </w:r>
      <w:proofErr w:type="gramStart"/>
      <w:r w:rsidRPr="005A4949">
        <w:rPr>
          <w:rFonts w:ascii="Perpetua" w:hAnsi="Perpetua"/>
        </w:rPr>
        <w:t>accessed</w:t>
      </w:r>
      <w:proofErr w:type="gramEnd"/>
      <w:r w:rsidRPr="005A4949">
        <w:rPr>
          <w:rFonts w:ascii="Perpetua" w:hAnsi="Perpetua"/>
        </w:rPr>
        <w:t xml:space="preserve"> 15.3.11].  This was originally published by Our Hope Publications, 1943 – information from Abe Books &lt;http://www.abebooks.co.uk/servlet/SearchResults?an=Gaebelein&amp;sts=t&amp;tn=History+of+the+Scofield+</w:t>
      </w:r>
    </w:p>
    <w:p w:rsidR="00975183" w:rsidRDefault="00975183" w:rsidP="00442D33">
      <w:pPr>
        <w:pStyle w:val="EndnoteText"/>
      </w:pPr>
      <w:r w:rsidRPr="005A4949">
        <w:t>Reference+Bible&gt; [accessed 11.7.15].</w:t>
      </w:r>
    </w:p>
  </w:endnote>
  <w:endnote w:id="869">
    <w:p w:rsidR="00975183" w:rsidRDefault="00975183" w:rsidP="00442D33">
      <w:pPr>
        <w:pStyle w:val="EndnoteText"/>
      </w:pPr>
      <w:r w:rsidRPr="005A4949">
        <w:rPr>
          <w:rStyle w:val="FootnoteReference"/>
        </w:rPr>
        <w:endnoteRef/>
      </w:r>
      <w:r w:rsidRPr="005A4949">
        <w:t xml:space="preserve"> Gaebelein, </w:t>
      </w:r>
      <w:r w:rsidRPr="005A4949">
        <w:rPr>
          <w:i/>
        </w:rPr>
        <w:t>History</w:t>
      </w:r>
      <w:r w:rsidRPr="005A4949">
        <w:t>, Chapter 4.</w:t>
      </w:r>
    </w:p>
  </w:endnote>
  <w:endnote w:id="870">
    <w:p w:rsidR="00975183" w:rsidRDefault="00975183" w:rsidP="00442D33">
      <w:pPr>
        <w:pStyle w:val="EndnoteText"/>
      </w:pPr>
      <w:r w:rsidRPr="005A4949">
        <w:rPr>
          <w:rStyle w:val="FootnoteReference"/>
        </w:rPr>
        <w:endnoteRef/>
      </w:r>
      <w:r w:rsidRPr="005A4949">
        <w:t xml:space="preserve"> Weber, </w:t>
      </w:r>
      <w:r w:rsidRPr="005A4949">
        <w:rPr>
          <w:i/>
        </w:rPr>
        <w:t>Shadow</w:t>
      </w:r>
      <w:r w:rsidRPr="005A4949">
        <w:t>, p. 38.</w:t>
      </w:r>
    </w:p>
  </w:endnote>
  <w:endnote w:id="871">
    <w:p w:rsidR="00975183" w:rsidRDefault="00975183" w:rsidP="00442D33">
      <w:pPr>
        <w:pStyle w:val="EndnoteText"/>
      </w:pPr>
      <w:r w:rsidRPr="005A4949">
        <w:rPr>
          <w:rStyle w:val="FootnoteReference"/>
        </w:rPr>
        <w:endnoteRef/>
      </w:r>
      <w:r w:rsidRPr="005A4949">
        <w:t xml:space="preserve"> George C. Needham, Introduction to Brookes, </w:t>
      </w:r>
      <w:r w:rsidRPr="005A4949">
        <w:rPr>
          <w:i/>
        </w:rPr>
        <w:t>Bible Reading on the Second Coming of Christ</w:t>
      </w:r>
      <w:r>
        <w:rPr>
          <w:i/>
        </w:rPr>
        <w:t xml:space="preserve"> According to the Scriptures</w:t>
      </w:r>
      <w:r w:rsidRPr="005A4949">
        <w:t xml:space="preserve"> (Springfield, Illinois: Edwin A. Wilson, 1877)., p. viii.</w:t>
      </w:r>
    </w:p>
  </w:endnote>
  <w:endnote w:id="872">
    <w:p w:rsidR="00975183" w:rsidRDefault="00975183" w:rsidP="00442D33">
      <w:pPr>
        <w:pStyle w:val="EndnoteText"/>
      </w:pPr>
      <w:r w:rsidRPr="005A4949">
        <w:rPr>
          <w:rStyle w:val="FootnoteReference"/>
        </w:rPr>
        <w:endnoteRef/>
      </w:r>
      <w:r w:rsidRPr="005A4949">
        <w:t xml:space="preserve"> Weber, </w:t>
      </w:r>
      <w:r w:rsidRPr="005A4949">
        <w:rPr>
          <w:i/>
        </w:rPr>
        <w:t>Armageddon</w:t>
      </w:r>
      <w:r w:rsidRPr="005A4949">
        <w:t>, p. 37.</w:t>
      </w:r>
    </w:p>
  </w:endnote>
  <w:endnote w:id="873">
    <w:p w:rsidR="00975183" w:rsidRDefault="00975183" w:rsidP="00442D33">
      <w:pPr>
        <w:pStyle w:val="EndnoteText"/>
      </w:pPr>
      <w:r w:rsidRPr="005A4949">
        <w:rPr>
          <w:rStyle w:val="FootnoteReference"/>
        </w:rPr>
        <w:endnoteRef/>
      </w:r>
      <w:r w:rsidRPr="005A4949">
        <w:t xml:space="preserve"> Blaising, ‘Extent and Varieties of Dispensationalism’, </w:t>
      </w:r>
      <w:r w:rsidRPr="005A4949">
        <w:rPr>
          <w:i/>
        </w:rPr>
        <w:t>Progressive Dispensationalism</w:t>
      </w:r>
      <w:r w:rsidRPr="005A4949">
        <w:t>, p. 28.</w:t>
      </w:r>
    </w:p>
  </w:endnote>
  <w:endnote w:id="874">
    <w:p w:rsidR="00975183" w:rsidRDefault="00975183" w:rsidP="0008585B">
      <w:pPr>
        <w:pStyle w:val="EndnoteText"/>
      </w:pPr>
      <w:r w:rsidRPr="004A0397">
        <w:rPr>
          <w:rStyle w:val="FootnoteReference"/>
        </w:rPr>
        <w:endnoteRef/>
      </w:r>
      <w:r w:rsidRPr="004A0397">
        <w:t xml:space="preserve"> Ramm, </w:t>
      </w:r>
      <w:r w:rsidRPr="004A0397">
        <w:rPr>
          <w:i/>
        </w:rPr>
        <w:t>Protestant Bible Interpretation</w:t>
      </w:r>
      <w:r w:rsidRPr="004A0397">
        <w:t>, pp. 233-4.</w:t>
      </w:r>
    </w:p>
  </w:endnote>
  <w:endnote w:id="875">
    <w:p w:rsidR="00975183" w:rsidRDefault="00975183" w:rsidP="00442D33">
      <w:pPr>
        <w:pStyle w:val="EndnoteText"/>
      </w:pPr>
      <w:r w:rsidRPr="005A4949">
        <w:rPr>
          <w:rStyle w:val="FootnoteReference"/>
        </w:rPr>
        <w:endnoteRef/>
      </w:r>
      <w:r w:rsidRPr="005A4949">
        <w:t xml:space="preserve"> Bock, ‘How Texts Speak to Us’, </w:t>
      </w:r>
      <w:r w:rsidRPr="005A4949">
        <w:rPr>
          <w:i/>
        </w:rPr>
        <w:t>Progressive Dispensationalism</w:t>
      </w:r>
      <w:r w:rsidRPr="005A4949">
        <w:t>, p. 96.</w:t>
      </w:r>
    </w:p>
  </w:endnote>
  <w:endnote w:id="876">
    <w:p w:rsidR="00975183" w:rsidRPr="00703C7D" w:rsidRDefault="00975183" w:rsidP="00442D33">
      <w:pPr>
        <w:pStyle w:val="EndnoteText"/>
      </w:pPr>
      <w:r w:rsidRPr="00703C7D">
        <w:rPr>
          <w:rStyle w:val="EndnoteReference"/>
        </w:rPr>
        <w:endnoteRef/>
      </w:r>
      <w:r w:rsidRPr="00703C7D">
        <w:t xml:space="preserve"> </w:t>
      </w:r>
      <w:r w:rsidRPr="005A4949">
        <w:t xml:space="preserve">Blaising, ‘Dispensationalism, Search for Definition’, </w:t>
      </w:r>
      <w:r w:rsidRPr="005A4949">
        <w:rPr>
          <w:i/>
        </w:rPr>
        <w:t>Dispensationalism, Israel &amp; Church</w:t>
      </w:r>
      <w:r w:rsidRPr="005A4949">
        <w:t xml:space="preserve">, p. </w:t>
      </w:r>
      <w:r>
        <w:t>21</w:t>
      </w:r>
      <w:r w:rsidRPr="005A4949">
        <w:t>.</w:t>
      </w:r>
    </w:p>
  </w:endnote>
  <w:endnote w:id="877">
    <w:p w:rsidR="00975183" w:rsidRDefault="00975183" w:rsidP="00442D33">
      <w:pPr>
        <w:pStyle w:val="EndnoteText"/>
      </w:pPr>
      <w:r w:rsidRPr="00703C7D">
        <w:rPr>
          <w:rStyle w:val="EndnoteReference"/>
        </w:rPr>
        <w:endnoteRef/>
      </w:r>
      <w:r w:rsidRPr="00703C7D">
        <w:t xml:space="preserve"> </w:t>
      </w:r>
      <w:r w:rsidRPr="005A4949">
        <w:t xml:space="preserve">Blaising, ‘Dispensationalism, Search for Definition’, </w:t>
      </w:r>
      <w:r w:rsidRPr="005A4949">
        <w:rPr>
          <w:i/>
        </w:rPr>
        <w:t>Dispensationalism, Israel &amp; Church</w:t>
      </w:r>
      <w:r w:rsidRPr="005A4949">
        <w:t xml:space="preserve">, p. </w:t>
      </w:r>
      <w:r>
        <w:t>21</w:t>
      </w:r>
      <w:r w:rsidRPr="005A4949">
        <w:t>.</w:t>
      </w:r>
    </w:p>
  </w:endnote>
  <w:endnote w:id="878">
    <w:p w:rsidR="00975183" w:rsidRDefault="00975183" w:rsidP="00442D33">
      <w:pPr>
        <w:pStyle w:val="EndnoteText"/>
      </w:pPr>
      <w:r w:rsidRPr="00DA01AD">
        <w:rPr>
          <w:rStyle w:val="FootnoteReference"/>
          <w:szCs w:val="22"/>
        </w:rPr>
        <w:endnoteRef/>
      </w:r>
      <w:r w:rsidRPr="00DA01AD">
        <w:rPr>
          <w:szCs w:val="22"/>
        </w:rPr>
        <w:t xml:space="preserve"> Sweetnam, ‘Defining Dispensationalism, p. </w:t>
      </w:r>
      <w:r>
        <w:rPr>
          <w:szCs w:val="22"/>
        </w:rPr>
        <w:t>201</w:t>
      </w:r>
      <w:r w:rsidRPr="00DA01AD">
        <w:rPr>
          <w:szCs w:val="22"/>
        </w:rPr>
        <w:t>.</w:t>
      </w:r>
    </w:p>
  </w:endnote>
  <w:endnote w:id="879">
    <w:p w:rsidR="00975183" w:rsidRDefault="00975183" w:rsidP="00442D33">
      <w:pPr>
        <w:pStyle w:val="EndnoteText"/>
      </w:pPr>
      <w:r w:rsidRPr="005E7AA6">
        <w:rPr>
          <w:rStyle w:val="EndnoteReference"/>
        </w:rPr>
        <w:endnoteRef/>
      </w:r>
      <w:r w:rsidRPr="005E7AA6">
        <w:t xml:space="preserve"> </w:t>
      </w:r>
      <w:r>
        <w:t xml:space="preserve">Scofield, </w:t>
      </w:r>
      <w:r w:rsidRPr="005E7AA6">
        <w:rPr>
          <w:i/>
        </w:rPr>
        <w:t>Bible Correspondence Course</w:t>
      </w:r>
      <w:r>
        <w:t xml:space="preserve">, </w:t>
      </w:r>
      <w:r w:rsidRPr="005E7AA6">
        <w:rPr>
          <w:i/>
        </w:rPr>
        <w:t>Vol. 1, Old Testament</w:t>
      </w:r>
      <w:r>
        <w:t xml:space="preserve">, p. 46.  </w:t>
      </w:r>
      <w:proofErr w:type="gramStart"/>
      <w:r>
        <w:t>(</w:t>
      </w:r>
      <w:r w:rsidRPr="00544CAC">
        <w:rPr>
          <w:i/>
        </w:rPr>
        <w:t>Scofield’s emphasis</w:t>
      </w:r>
      <w:r>
        <w:t>.)</w:t>
      </w:r>
      <w:proofErr w:type="gramEnd"/>
    </w:p>
  </w:endnote>
  <w:endnote w:id="880">
    <w:p w:rsidR="00975183" w:rsidRDefault="00975183" w:rsidP="00442D33">
      <w:pPr>
        <w:pStyle w:val="EndnoteText"/>
      </w:pPr>
      <w:r w:rsidRPr="00937BD2">
        <w:rPr>
          <w:rStyle w:val="FootnoteReference"/>
        </w:rPr>
        <w:endnoteRef/>
      </w:r>
      <w:r w:rsidRPr="00937BD2">
        <w:t xml:space="preserve"> </w:t>
      </w:r>
      <w:r>
        <w:t xml:space="preserve">J. N. Darby, ‘Thoughts on Isaiah the Prophet’ </w:t>
      </w:r>
      <w:r w:rsidRPr="00DA01AD">
        <w:t xml:space="preserve">in </w:t>
      </w:r>
      <w:r w:rsidRPr="00DA01AD">
        <w:rPr>
          <w:i/>
        </w:rPr>
        <w:t xml:space="preserve">Collected Works of J. N. Darby, </w:t>
      </w:r>
      <w:r w:rsidRPr="00937BD2">
        <w:rPr>
          <w:i/>
        </w:rPr>
        <w:t>Vol. 30, Expository No. 2</w:t>
      </w:r>
      <w:r w:rsidRPr="00DA01AD">
        <w:t xml:space="preserve">, p. </w:t>
      </w:r>
      <w:r>
        <w:t>178</w:t>
      </w:r>
      <w:r w:rsidRPr="00DA01AD">
        <w:t>.  &lt;</w:t>
      </w:r>
      <w:r w:rsidRPr="00937BD2">
        <w:t xml:space="preserve">http://www.stempublishing.com/authors/darby/EXPOSIT/30027E.html </w:t>
      </w:r>
      <w:r w:rsidRPr="00DA01AD">
        <w:t xml:space="preserve">&gt; [accessed </w:t>
      </w:r>
      <w:r>
        <w:t>12</w:t>
      </w:r>
      <w:r w:rsidRPr="00DA01AD">
        <w:t>.5.17].</w:t>
      </w:r>
    </w:p>
  </w:endnote>
  <w:endnote w:id="881">
    <w:p w:rsidR="00975183" w:rsidRPr="004E529A" w:rsidRDefault="00975183" w:rsidP="00442D33">
      <w:pPr>
        <w:pStyle w:val="EndnoteText"/>
      </w:pPr>
      <w:r w:rsidRPr="004E529A">
        <w:rPr>
          <w:rStyle w:val="FootnoteReference"/>
        </w:rPr>
        <w:endnoteRef/>
      </w:r>
      <w:r w:rsidRPr="004E529A">
        <w:t xml:space="preserve"> Darby, ‘Introduction to the Prophets’ in </w:t>
      </w:r>
      <w:r w:rsidRPr="004E529A">
        <w:rPr>
          <w:i/>
        </w:rPr>
        <w:t>Synopsis of the Books of the Bible, Vol. 2,  Ezra to Malachi</w:t>
      </w:r>
      <w:r w:rsidRPr="004E529A">
        <w:t>, p. 209 &lt;http://bibletruthpublishers.com/introduction-to-the-prophets/john-nelson-darby-jnd/darby-synopsis-2-ezra-to-malachi/la72894&gt; [accessed 12.5.17].</w:t>
      </w:r>
    </w:p>
  </w:endnote>
  <w:endnote w:id="882">
    <w:p w:rsidR="00975183" w:rsidRPr="004E529A" w:rsidRDefault="00975183" w:rsidP="00442D33">
      <w:pPr>
        <w:pStyle w:val="FootnoteText"/>
      </w:pPr>
      <w:r w:rsidRPr="004E529A">
        <w:rPr>
          <w:rStyle w:val="FootnoteReference"/>
          <w:rFonts w:ascii="Perpetua" w:hAnsi="Perpetua"/>
        </w:rPr>
        <w:endnoteRef/>
      </w:r>
      <w:r w:rsidRPr="004E529A">
        <w:rPr>
          <w:rFonts w:ascii="Perpetua" w:hAnsi="Perpetua"/>
        </w:rPr>
        <w:t xml:space="preserve"> Darby, ‘Isaiah’ in ‘The Prophets’ in </w:t>
      </w:r>
      <w:r w:rsidRPr="004E529A">
        <w:rPr>
          <w:rFonts w:ascii="Perpetua" w:hAnsi="Perpetua"/>
          <w:i/>
        </w:rPr>
        <w:t>Synopsis of the Books of the Bible</w:t>
      </w:r>
      <w:r w:rsidRPr="004E529A">
        <w:rPr>
          <w:rFonts w:ascii="Perpetua" w:hAnsi="Perpetua"/>
        </w:rPr>
        <w:t xml:space="preserve"> &lt;http://www.stempublishing.com/authors/darby/synopsis/isaiah/isaiah.htm&gt; [accessed 11.10.17].</w:t>
      </w:r>
    </w:p>
  </w:endnote>
  <w:endnote w:id="883">
    <w:p w:rsidR="00975183" w:rsidRDefault="00975183" w:rsidP="00442D33">
      <w:pPr>
        <w:pStyle w:val="EndnoteText"/>
      </w:pPr>
      <w:r w:rsidRPr="004E529A">
        <w:rPr>
          <w:rStyle w:val="FootnoteReference"/>
        </w:rPr>
        <w:endnoteRef/>
      </w:r>
      <w:r w:rsidRPr="004E529A">
        <w:t xml:space="preserve"> Darby, ‘Inspiration and Interpretation, 4</w:t>
      </w:r>
      <w:r w:rsidRPr="004E529A">
        <w:rPr>
          <w:vertAlign w:val="superscript"/>
        </w:rPr>
        <w:t>th</w:t>
      </w:r>
      <w:r w:rsidRPr="004E529A">
        <w:t xml:space="preserve"> Dialogue on Essays and Reviews’ in </w:t>
      </w:r>
      <w:r w:rsidRPr="004E529A">
        <w:rPr>
          <w:i/>
        </w:rPr>
        <w:t>Collected Works of J. N. Darby, Vol. 9, Apologetic No. 2</w:t>
      </w:r>
      <w:r w:rsidRPr="004E529A">
        <w:t>, p. 256.  &lt;http://www.stempublishing.com/authors/darby/APOLOGY/09004E_A.html&gt; [accessed 12.5.17].</w:t>
      </w:r>
    </w:p>
  </w:endnote>
  <w:endnote w:id="884">
    <w:p w:rsidR="00975183" w:rsidRDefault="00975183" w:rsidP="00442D33">
      <w:pPr>
        <w:pStyle w:val="EndnoteText"/>
      </w:pPr>
      <w:r w:rsidRPr="00703C7D">
        <w:rPr>
          <w:rStyle w:val="EndnoteReference"/>
        </w:rPr>
        <w:endnoteRef/>
      </w:r>
      <w:r w:rsidRPr="00703C7D">
        <w:t xml:space="preserve"> </w:t>
      </w:r>
      <w:r w:rsidRPr="005A4949">
        <w:t xml:space="preserve">Blaising, ‘Dispensationalism, Search for Definition’, </w:t>
      </w:r>
      <w:r w:rsidRPr="005A4949">
        <w:rPr>
          <w:i/>
        </w:rPr>
        <w:t>Dispensationalism, Israel &amp; Church</w:t>
      </w:r>
      <w:r w:rsidRPr="005A4949">
        <w:t xml:space="preserve">, p. </w:t>
      </w:r>
      <w:r>
        <w:t>15</w:t>
      </w:r>
      <w:r w:rsidRPr="005A4949">
        <w:t>.</w:t>
      </w:r>
    </w:p>
  </w:endnote>
  <w:endnote w:id="885">
    <w:p w:rsidR="00975183" w:rsidRDefault="00975183" w:rsidP="00442D33">
      <w:pPr>
        <w:pStyle w:val="EndnoteText"/>
      </w:pPr>
      <w:r w:rsidRPr="00DA01AD">
        <w:rPr>
          <w:rStyle w:val="FootnoteReference"/>
        </w:rPr>
        <w:endnoteRef/>
      </w:r>
      <w:r w:rsidRPr="00DA01AD">
        <w:t xml:space="preserve"> Blaising, ‘Extent and Varieties’, </w:t>
      </w:r>
      <w:r w:rsidRPr="00DA01AD">
        <w:rPr>
          <w:i/>
        </w:rPr>
        <w:t>Progressive Dispensationalism</w:t>
      </w:r>
      <w:r w:rsidRPr="00DA01AD">
        <w:t>, p. 13.</w:t>
      </w:r>
    </w:p>
  </w:endnote>
  <w:endnote w:id="886">
    <w:p w:rsidR="00975183" w:rsidRDefault="00975183" w:rsidP="00442D33">
      <w:pPr>
        <w:pStyle w:val="EndnoteText"/>
      </w:pPr>
      <w:r w:rsidRPr="00DA01AD">
        <w:rPr>
          <w:rStyle w:val="FootnoteReference"/>
        </w:rPr>
        <w:endnoteRef/>
      </w:r>
      <w:r w:rsidRPr="00DA01AD">
        <w:t xml:space="preserve"> David Hilborn, </w:t>
      </w:r>
      <w:r w:rsidRPr="00DA01AD">
        <w:rPr>
          <w:rStyle w:val="ind"/>
          <w:sz w:val="18"/>
        </w:rPr>
        <w:t>Head of Theology, Evangelical Alliance, UK.</w:t>
      </w:r>
    </w:p>
  </w:endnote>
  <w:endnote w:id="887">
    <w:p w:rsidR="00975183" w:rsidRDefault="00975183" w:rsidP="00442D33">
      <w:pPr>
        <w:pStyle w:val="EndnoteText"/>
      </w:pPr>
      <w:r w:rsidRPr="00DA01AD">
        <w:rPr>
          <w:rStyle w:val="FootnoteReference"/>
        </w:rPr>
        <w:endnoteRef/>
      </w:r>
      <w:r w:rsidRPr="00DA01AD">
        <w:t xml:space="preserve"> David Hilborn, ‘Evangelicalism: a brief definition’, Evangelical Alliance, UK &lt;http://www.eauk.org/connect/about-us/upload/Evangelicalism-a-brief-definition.pdf&gt; [accessed 13.6.17], p. 1.</w:t>
      </w:r>
    </w:p>
  </w:endnote>
  <w:endnote w:id="888">
    <w:p w:rsidR="00975183" w:rsidRPr="00375602" w:rsidRDefault="00975183" w:rsidP="00442D33">
      <w:pPr>
        <w:pStyle w:val="EndnoteText"/>
      </w:pPr>
      <w:r w:rsidRPr="00375602">
        <w:rPr>
          <w:rStyle w:val="EndnoteReference"/>
        </w:rPr>
        <w:endnoteRef/>
      </w:r>
      <w:r w:rsidRPr="00375602">
        <w:t xml:space="preserve"> </w:t>
      </w:r>
      <w:proofErr w:type="gramStart"/>
      <w:r w:rsidRPr="009925C4">
        <w:rPr>
          <w:b/>
        </w:rPr>
        <w:t>See Preface, Scholarly Definitions,</w:t>
      </w:r>
      <w:r w:rsidRPr="009925C4">
        <w:rPr>
          <w:b/>
          <w:i/>
        </w:rPr>
        <w:t xml:space="preserve"> a) A Theological System</w:t>
      </w:r>
      <w:r w:rsidRPr="009925C4">
        <w:t>.</w:t>
      </w:r>
      <w:proofErr w:type="gramEnd"/>
    </w:p>
  </w:endnote>
  <w:endnote w:id="889">
    <w:p w:rsidR="00975183" w:rsidRDefault="00975183" w:rsidP="00442D33">
      <w:pPr>
        <w:pStyle w:val="EndnoteText"/>
      </w:pPr>
      <w:r w:rsidRPr="00DA01AD">
        <w:rPr>
          <w:rStyle w:val="FootnoteReference"/>
          <w:szCs w:val="22"/>
        </w:rPr>
        <w:endnoteRef/>
      </w:r>
      <w:r w:rsidRPr="00DA01AD">
        <w:rPr>
          <w:szCs w:val="22"/>
        </w:rPr>
        <w:t xml:space="preserve"> Kreider, ‘What is Dispensationalism?’ </w:t>
      </w:r>
      <w:r w:rsidRPr="00DA01AD">
        <w:rPr>
          <w:i/>
          <w:szCs w:val="22"/>
        </w:rPr>
        <w:t>Dispensationalism &amp; History of Redemption</w:t>
      </w:r>
      <w:r w:rsidRPr="00DA01AD">
        <w:rPr>
          <w:szCs w:val="22"/>
        </w:rPr>
        <w:t>, p. 17.</w:t>
      </w:r>
    </w:p>
  </w:endnote>
  <w:endnote w:id="890">
    <w:p w:rsidR="00975183" w:rsidRPr="00375602" w:rsidRDefault="00975183" w:rsidP="00442D33">
      <w:pPr>
        <w:pStyle w:val="EndnoteText"/>
        <w:rPr>
          <w:b/>
        </w:rPr>
      </w:pPr>
      <w:r w:rsidRPr="00DA01AD">
        <w:rPr>
          <w:rStyle w:val="FootnoteReference"/>
        </w:rPr>
        <w:endnoteRef/>
      </w:r>
      <w:r w:rsidRPr="00DA01AD">
        <w:t xml:space="preserve"> </w:t>
      </w:r>
      <w:proofErr w:type="gramStart"/>
      <w:r w:rsidRPr="00A900B0">
        <w:rPr>
          <w:b/>
        </w:rPr>
        <w:t>See 5.6.1</w:t>
      </w:r>
      <w:r w:rsidRPr="00A900B0">
        <w:t>.</w:t>
      </w:r>
      <w:proofErr w:type="gramEnd"/>
    </w:p>
  </w:endnote>
  <w:endnote w:id="891">
    <w:p w:rsidR="00975183" w:rsidRPr="009925C4" w:rsidRDefault="00975183" w:rsidP="00442D33">
      <w:pPr>
        <w:pStyle w:val="EndnoteText"/>
      </w:pPr>
      <w:r w:rsidRPr="00DA01AD">
        <w:rPr>
          <w:rStyle w:val="FootnoteReference"/>
        </w:rPr>
        <w:endnoteRef/>
      </w:r>
      <w:r w:rsidRPr="00DA01AD">
        <w:t xml:space="preserve"> </w:t>
      </w:r>
      <w:r w:rsidRPr="009925C4">
        <w:rPr>
          <w:b/>
        </w:rPr>
        <w:t>See Preface</w:t>
      </w:r>
      <w:r w:rsidRPr="00757596">
        <w:t>.</w:t>
      </w:r>
    </w:p>
  </w:endnote>
  <w:endnote w:id="892">
    <w:p w:rsidR="00975183" w:rsidRDefault="00975183" w:rsidP="00442D33">
      <w:pPr>
        <w:pStyle w:val="EndnoteText"/>
      </w:pPr>
      <w:r w:rsidRPr="00DA01AD">
        <w:rPr>
          <w:rStyle w:val="FootnoteReference"/>
          <w:szCs w:val="22"/>
        </w:rPr>
        <w:endnoteRef/>
      </w:r>
      <w:r w:rsidRPr="00DA01AD">
        <w:rPr>
          <w:szCs w:val="22"/>
        </w:rPr>
        <w:t xml:space="preserve"> </w:t>
      </w:r>
      <w:r w:rsidRPr="00316D38">
        <w:rPr>
          <w:szCs w:val="22"/>
        </w:rPr>
        <w:t xml:space="preserve">David Bebbington, </w:t>
      </w:r>
      <w:r w:rsidRPr="00316D38">
        <w:rPr>
          <w:i/>
          <w:szCs w:val="22"/>
        </w:rPr>
        <w:t xml:space="preserve">Evangelicalism in Modern Britain: A History from the 1730s to the 1980s </w:t>
      </w:r>
      <w:r w:rsidRPr="00316D38">
        <w:rPr>
          <w:szCs w:val="22"/>
        </w:rPr>
        <w:t>(London: Unwin Hyman/Routledge, 1989; paperback edition, Baker Book House, 1992),</w:t>
      </w:r>
      <w:r>
        <w:rPr>
          <w:szCs w:val="22"/>
        </w:rPr>
        <w:t xml:space="preserve"> pp. 1-</w:t>
      </w:r>
      <w:r w:rsidRPr="00DA01AD">
        <w:rPr>
          <w:szCs w:val="22"/>
        </w:rPr>
        <w:t>2.</w:t>
      </w:r>
    </w:p>
  </w:endnote>
  <w:endnote w:id="893">
    <w:p w:rsidR="00975183" w:rsidRDefault="00975183" w:rsidP="00442D33">
      <w:pPr>
        <w:pStyle w:val="EndnoteText"/>
      </w:pPr>
      <w:r w:rsidRPr="00DA01AD">
        <w:rPr>
          <w:rStyle w:val="FootnoteReference"/>
          <w:szCs w:val="22"/>
        </w:rPr>
        <w:endnoteRef/>
      </w:r>
      <w:r w:rsidRPr="00DA01AD">
        <w:rPr>
          <w:szCs w:val="22"/>
        </w:rPr>
        <w:t xml:space="preserve"> Bebbington, </w:t>
      </w:r>
      <w:r w:rsidRPr="00DA01AD">
        <w:rPr>
          <w:i/>
          <w:szCs w:val="22"/>
        </w:rPr>
        <w:t>Evangelicalism in Modern Britain</w:t>
      </w:r>
      <w:r w:rsidRPr="00D17708">
        <w:rPr>
          <w:szCs w:val="22"/>
        </w:rPr>
        <w:t>,</w:t>
      </w:r>
      <w:r>
        <w:rPr>
          <w:i/>
          <w:szCs w:val="22"/>
        </w:rPr>
        <w:t xml:space="preserve"> </w:t>
      </w:r>
      <w:r w:rsidRPr="00DA01AD">
        <w:rPr>
          <w:szCs w:val="22"/>
        </w:rPr>
        <w:t xml:space="preserve">p. </w:t>
      </w:r>
      <w:r>
        <w:rPr>
          <w:szCs w:val="22"/>
        </w:rPr>
        <w:t>3</w:t>
      </w:r>
      <w:r w:rsidRPr="00DA01AD">
        <w:rPr>
          <w:szCs w:val="22"/>
        </w:rPr>
        <w:t>.</w:t>
      </w:r>
    </w:p>
  </w:endnote>
  <w:endnote w:id="894">
    <w:p w:rsidR="00975183" w:rsidRDefault="00975183" w:rsidP="00442D33">
      <w:pPr>
        <w:pStyle w:val="EndnoteText"/>
      </w:pPr>
      <w:r w:rsidRPr="00DA01AD">
        <w:rPr>
          <w:rStyle w:val="FootnoteReference"/>
        </w:rPr>
        <w:endnoteRef/>
      </w:r>
      <w:r>
        <w:t xml:space="preserve"> Hil</w:t>
      </w:r>
      <w:r w:rsidRPr="00DA01AD">
        <w:t>born, ‘Evangelicalism’, p. 2.</w:t>
      </w:r>
    </w:p>
  </w:endnote>
  <w:endnote w:id="895">
    <w:p w:rsidR="00975183" w:rsidRPr="00757596" w:rsidRDefault="00975183" w:rsidP="00442D33">
      <w:pPr>
        <w:pStyle w:val="EndnoteText"/>
      </w:pPr>
      <w:r w:rsidRPr="00DA01AD">
        <w:rPr>
          <w:rStyle w:val="FootnoteReference"/>
        </w:rPr>
        <w:endnoteRef/>
      </w:r>
      <w:r w:rsidRPr="00DA01AD">
        <w:t xml:space="preserve"> Blaising and Bock, ‘Dispensationalism, Israel and the Church: Assessment and Dialogue’ in </w:t>
      </w:r>
      <w:r w:rsidRPr="00DA01AD">
        <w:rPr>
          <w:i/>
        </w:rPr>
        <w:t>Dispensationalism, Israel &amp; Church</w:t>
      </w:r>
      <w:r w:rsidRPr="00DA01AD">
        <w:t>, pp. 382-3</w:t>
      </w:r>
      <w:r w:rsidRPr="00757596">
        <w:t xml:space="preserve">.  </w:t>
      </w:r>
      <w:r w:rsidRPr="00757596">
        <w:rPr>
          <w:b/>
        </w:rPr>
        <w:t>See 3.4 below</w:t>
      </w:r>
      <w:r>
        <w:t>.</w:t>
      </w:r>
    </w:p>
  </w:endnote>
  <w:endnote w:id="896">
    <w:p w:rsidR="00975183" w:rsidRDefault="00975183" w:rsidP="00442D33">
      <w:pPr>
        <w:pStyle w:val="EndnoteText"/>
      </w:pPr>
      <w:r w:rsidRPr="00DA01AD">
        <w:rPr>
          <w:rStyle w:val="FootnoteReference"/>
        </w:rPr>
        <w:endnoteRef/>
      </w:r>
      <w:r w:rsidRPr="00DA01AD">
        <w:t xml:space="preserve"> </w:t>
      </w:r>
      <w:r w:rsidRPr="00DA01AD">
        <w:rPr>
          <w:szCs w:val="22"/>
        </w:rPr>
        <w:t xml:space="preserve">Bebbington, </w:t>
      </w:r>
      <w:r w:rsidRPr="00DA01AD">
        <w:rPr>
          <w:i/>
          <w:szCs w:val="22"/>
        </w:rPr>
        <w:t>Evangelicalism in Modern Britain</w:t>
      </w:r>
      <w:r w:rsidRPr="00DA01AD">
        <w:rPr>
          <w:szCs w:val="22"/>
        </w:rPr>
        <w:t xml:space="preserve"> pp. 3, 4.</w:t>
      </w:r>
    </w:p>
  </w:endnote>
  <w:endnote w:id="897">
    <w:p w:rsidR="00975183" w:rsidRDefault="00975183" w:rsidP="00442D33">
      <w:pPr>
        <w:pStyle w:val="EndnoteText"/>
      </w:pPr>
      <w:r w:rsidRPr="00DA01AD">
        <w:rPr>
          <w:rStyle w:val="FootnoteReference"/>
        </w:rPr>
        <w:endnoteRef/>
      </w:r>
      <w:r w:rsidRPr="00DA01AD">
        <w:t xml:space="preserve"> </w:t>
      </w:r>
      <w:r w:rsidRPr="00DA01AD">
        <w:rPr>
          <w:szCs w:val="22"/>
        </w:rPr>
        <w:t xml:space="preserve">Bebbington, </w:t>
      </w:r>
      <w:r w:rsidRPr="00DA01AD">
        <w:rPr>
          <w:i/>
          <w:szCs w:val="22"/>
        </w:rPr>
        <w:t>Evangelicalism in Modern Britain</w:t>
      </w:r>
      <w:r w:rsidRPr="00DA01AD">
        <w:rPr>
          <w:szCs w:val="22"/>
        </w:rPr>
        <w:t xml:space="preserve"> p. 10.</w:t>
      </w:r>
    </w:p>
  </w:endnote>
  <w:endnote w:id="898">
    <w:p w:rsidR="00975183" w:rsidRDefault="00975183" w:rsidP="00442D33">
      <w:pPr>
        <w:pStyle w:val="EndnoteText"/>
      </w:pPr>
      <w:r w:rsidRPr="00DA01AD">
        <w:rPr>
          <w:rStyle w:val="FootnoteReference"/>
        </w:rPr>
        <w:endnoteRef/>
      </w:r>
      <w:r w:rsidRPr="00DA01AD">
        <w:t xml:space="preserve"> </w:t>
      </w:r>
      <w:r w:rsidRPr="00DA01AD">
        <w:rPr>
          <w:szCs w:val="22"/>
        </w:rPr>
        <w:t xml:space="preserve">Bebbington, </w:t>
      </w:r>
      <w:r w:rsidRPr="00DA01AD">
        <w:rPr>
          <w:i/>
          <w:szCs w:val="22"/>
        </w:rPr>
        <w:t>Evangelicalism in Modern Britain</w:t>
      </w:r>
      <w:r w:rsidRPr="00DA01AD">
        <w:rPr>
          <w:szCs w:val="22"/>
        </w:rPr>
        <w:t>, p. 12.</w:t>
      </w:r>
    </w:p>
  </w:endnote>
  <w:endnote w:id="899">
    <w:p w:rsidR="00975183" w:rsidRPr="00425A14" w:rsidRDefault="00975183" w:rsidP="00442D33">
      <w:pPr>
        <w:pStyle w:val="EndnoteText"/>
        <w:rPr>
          <w:sz w:val="18"/>
        </w:rPr>
      </w:pPr>
      <w:r w:rsidRPr="0059721A">
        <w:rPr>
          <w:rStyle w:val="FootnoteReference"/>
        </w:rPr>
        <w:endnoteRef/>
      </w:r>
      <w:r w:rsidRPr="0059721A">
        <w:t xml:space="preserve"> Charles Gallaudet Trumbull, </w:t>
      </w:r>
      <w:r w:rsidRPr="0059721A">
        <w:rPr>
          <w:i/>
        </w:rPr>
        <w:t>The Life Story of C.I. Scofield</w:t>
      </w:r>
      <w:r w:rsidRPr="0059721A">
        <w:t xml:space="preserve"> (New York: Oxford University Press, 1920; digitized by WholesomeWords.org), pp. 35-7, 44, 52.</w:t>
      </w:r>
      <w:r w:rsidRPr="00CC6C3C">
        <w:rPr>
          <w:sz w:val="22"/>
          <w:szCs w:val="22"/>
        </w:rPr>
        <w:t xml:space="preserve"> &lt;http://www.wholesomewords.org/biography/bscofield.pdf&gt; </w:t>
      </w:r>
      <w:r w:rsidRPr="00425A14">
        <w:rPr>
          <w:szCs w:val="22"/>
        </w:rPr>
        <w:t>[accessed 15.3.11].</w:t>
      </w:r>
    </w:p>
  </w:endnote>
  <w:endnote w:id="900">
    <w:p w:rsidR="00975183" w:rsidRDefault="00975183" w:rsidP="00442D33">
      <w:pPr>
        <w:pStyle w:val="EndnoteText"/>
      </w:pPr>
      <w:r w:rsidRPr="00DA01AD">
        <w:rPr>
          <w:rStyle w:val="FootnoteReference"/>
        </w:rPr>
        <w:endnoteRef/>
      </w:r>
      <w:r w:rsidRPr="00DA01AD">
        <w:t xml:space="preserve"> Kraus, </w:t>
      </w:r>
      <w:r w:rsidRPr="00DA01AD">
        <w:rPr>
          <w:i/>
        </w:rPr>
        <w:t>Dispensationalism in America</w:t>
      </w:r>
      <w:r w:rsidRPr="00DA01AD">
        <w:t>, p. 59.</w:t>
      </w:r>
    </w:p>
  </w:endnote>
  <w:endnote w:id="901">
    <w:p w:rsidR="00975183" w:rsidRDefault="00975183" w:rsidP="00442D33">
      <w:pPr>
        <w:pStyle w:val="EndnoteText"/>
      </w:pPr>
      <w:r w:rsidRPr="00DA01AD">
        <w:rPr>
          <w:rStyle w:val="FootnoteReference"/>
        </w:rPr>
        <w:endnoteRef/>
      </w:r>
      <w:r w:rsidRPr="00DA01AD">
        <w:t xml:space="preserve"> Marsden, </w:t>
      </w:r>
      <w:r w:rsidRPr="00DA01AD">
        <w:rPr>
          <w:i/>
        </w:rPr>
        <w:t xml:space="preserve">Fundamentalism </w:t>
      </w:r>
      <w:r>
        <w:rPr>
          <w:i/>
        </w:rPr>
        <w:t>and</w:t>
      </w:r>
      <w:r w:rsidRPr="00DA01AD">
        <w:rPr>
          <w:i/>
        </w:rPr>
        <w:t xml:space="preserve"> American Culture</w:t>
      </w:r>
      <w:r w:rsidRPr="00DA01AD">
        <w:t>, p. 252.</w:t>
      </w:r>
    </w:p>
  </w:endnote>
  <w:endnote w:id="902">
    <w:p w:rsidR="00975183" w:rsidRDefault="00975183" w:rsidP="00442D33">
      <w:pPr>
        <w:pStyle w:val="EndnoteText"/>
      </w:pPr>
      <w:r w:rsidRPr="00DA01AD">
        <w:rPr>
          <w:rStyle w:val="FootnoteReference"/>
        </w:rPr>
        <w:endnoteRef/>
      </w:r>
      <w:r w:rsidRPr="00DA01AD">
        <w:t xml:space="preserve"> Niagara Creed, Clause V, quoted in Sandeen, Appendix A, </w:t>
      </w:r>
      <w:r w:rsidRPr="00DA01AD">
        <w:rPr>
          <w:i/>
        </w:rPr>
        <w:t>Roots</w:t>
      </w:r>
      <w:r w:rsidRPr="00DA01AD">
        <w:t>, p. 274.</w:t>
      </w:r>
    </w:p>
  </w:endnote>
  <w:endnote w:id="903">
    <w:p w:rsidR="00975183" w:rsidRPr="00DA01AD" w:rsidRDefault="00975183" w:rsidP="00442D33">
      <w:pPr>
        <w:spacing w:after="0" w:line="240" w:lineRule="auto"/>
        <w:ind w:left="539" w:hanging="539"/>
        <w:rPr>
          <w:sz w:val="20"/>
        </w:rPr>
      </w:pPr>
      <w:r w:rsidRPr="00DA01AD">
        <w:rPr>
          <w:rStyle w:val="FootnoteReference"/>
          <w:sz w:val="20"/>
        </w:rPr>
        <w:endnoteRef/>
      </w:r>
      <w:r w:rsidRPr="00DA01AD">
        <w:rPr>
          <w:sz w:val="20"/>
        </w:rPr>
        <w:t xml:space="preserve"> Paul Wilkinson, ‘For Zion’s Sake: Darby and Christian Zionism’, Pre-Trib Research Center </w:t>
      </w:r>
    </w:p>
    <w:p w:rsidR="00975183" w:rsidRDefault="00975183" w:rsidP="00442D33">
      <w:pPr>
        <w:pStyle w:val="EndnoteText"/>
      </w:pPr>
      <w:r w:rsidRPr="00DA01AD">
        <w:rPr>
          <w:szCs w:val="22"/>
        </w:rPr>
        <w:t>&lt;http://www.pre-trib.org/articles/view/for-zions-sake-darby-and-christian-zionism&gt; [accessed 15.4.10].</w:t>
      </w:r>
    </w:p>
  </w:endnote>
  <w:endnote w:id="904">
    <w:p w:rsidR="00975183" w:rsidRDefault="00975183" w:rsidP="00442D33">
      <w:pPr>
        <w:pStyle w:val="EndnoteText"/>
      </w:pPr>
      <w:r w:rsidRPr="00DA01AD">
        <w:rPr>
          <w:rStyle w:val="FootnoteReference"/>
        </w:rPr>
        <w:endnoteRef/>
      </w:r>
      <w:r w:rsidRPr="00DA01AD">
        <w:t xml:space="preserve"> </w:t>
      </w:r>
      <w:r>
        <w:t xml:space="preserve">J. N. </w:t>
      </w:r>
      <w:r w:rsidRPr="00DA01AD">
        <w:t>Darby, ‘</w:t>
      </w:r>
      <w:r w:rsidRPr="00DA01AD">
        <w:rPr>
          <w:bCs/>
          <w:szCs w:val="28"/>
        </w:rPr>
        <w:t xml:space="preserve">Considerations addressed to the Archbishop of Dublin and the Clergy who signed the petition to the House of Commons for Protection’, </w:t>
      </w:r>
      <w:r w:rsidRPr="00DA01AD">
        <w:rPr>
          <w:bCs/>
          <w:i/>
          <w:szCs w:val="28"/>
        </w:rPr>
        <w:t>Collected Writings, Vol. 1, Ecclesiastical 1</w:t>
      </w:r>
      <w:r w:rsidRPr="00DA01AD">
        <w:rPr>
          <w:bCs/>
          <w:szCs w:val="28"/>
        </w:rPr>
        <w:t xml:space="preserve">, para. </w:t>
      </w:r>
      <w:proofErr w:type="gramStart"/>
      <w:r w:rsidRPr="00DA01AD">
        <w:rPr>
          <w:bCs/>
          <w:szCs w:val="28"/>
        </w:rPr>
        <w:t>1 &lt;http://www.stempublishing.com/authors/darby/ECCLESIA/01001E.html&gt; [accessed 24</w:t>
      </w:r>
      <w:r>
        <w:rPr>
          <w:bCs/>
          <w:szCs w:val="28"/>
        </w:rPr>
        <w:t>.</w:t>
      </w:r>
      <w:r w:rsidRPr="00DA01AD">
        <w:rPr>
          <w:bCs/>
          <w:szCs w:val="28"/>
        </w:rPr>
        <w:t>7</w:t>
      </w:r>
      <w:r>
        <w:rPr>
          <w:bCs/>
          <w:szCs w:val="28"/>
        </w:rPr>
        <w:t>.</w:t>
      </w:r>
      <w:r w:rsidRPr="00DA01AD">
        <w:rPr>
          <w:bCs/>
          <w:szCs w:val="28"/>
        </w:rPr>
        <w:t>09].</w:t>
      </w:r>
      <w:proofErr w:type="gramEnd"/>
    </w:p>
  </w:endnote>
  <w:endnote w:id="905">
    <w:p w:rsidR="00975183" w:rsidRDefault="00975183" w:rsidP="00442D33">
      <w:pPr>
        <w:pStyle w:val="EndnoteText"/>
      </w:pPr>
      <w:r w:rsidRPr="00DA01AD">
        <w:rPr>
          <w:rStyle w:val="FootnoteReference"/>
        </w:rPr>
        <w:endnoteRef/>
      </w:r>
      <w:r w:rsidRPr="00DA01AD">
        <w:t xml:space="preserve"> Sandeen, </w:t>
      </w:r>
      <w:r w:rsidRPr="00DA01AD">
        <w:rPr>
          <w:i/>
        </w:rPr>
        <w:t>Roots</w:t>
      </w:r>
      <w:r w:rsidRPr="00DA01AD">
        <w:t>, p. 71.</w:t>
      </w:r>
    </w:p>
  </w:endnote>
  <w:endnote w:id="906">
    <w:p w:rsidR="00975183" w:rsidRDefault="00975183" w:rsidP="00442D33">
      <w:pPr>
        <w:pStyle w:val="EndnoteText"/>
      </w:pPr>
      <w:r w:rsidRPr="00DA01AD">
        <w:rPr>
          <w:rStyle w:val="FootnoteReference"/>
        </w:rPr>
        <w:endnoteRef/>
      </w:r>
      <w:r w:rsidRPr="00DA01AD">
        <w:t xml:space="preserve"> Weber, </w:t>
      </w:r>
      <w:r w:rsidRPr="00DA01AD">
        <w:rPr>
          <w:i/>
        </w:rPr>
        <w:t>Shadow</w:t>
      </w:r>
      <w:r w:rsidRPr="00DA01AD">
        <w:t xml:space="preserve">, p. 53, quoting D. L. Moody, </w:t>
      </w:r>
      <w:r w:rsidRPr="00DA01AD">
        <w:rPr>
          <w:i/>
        </w:rPr>
        <w:t>New Sermons</w:t>
      </w:r>
      <w:r w:rsidRPr="00DA01AD">
        <w:t>, p. 535.</w:t>
      </w:r>
    </w:p>
  </w:endnote>
  <w:endnote w:id="907">
    <w:p w:rsidR="00975183" w:rsidRDefault="00975183" w:rsidP="00442D33">
      <w:pPr>
        <w:pStyle w:val="EndnoteText"/>
      </w:pPr>
      <w:r w:rsidRPr="00DA01AD">
        <w:rPr>
          <w:rStyle w:val="FootnoteReference"/>
        </w:rPr>
        <w:endnoteRef/>
      </w:r>
      <w:r w:rsidRPr="00DA01AD">
        <w:t xml:space="preserve"> Weber, </w:t>
      </w:r>
      <w:r w:rsidRPr="00DA01AD">
        <w:rPr>
          <w:i/>
        </w:rPr>
        <w:t>Shadow</w:t>
      </w:r>
      <w:r w:rsidRPr="00DA01AD">
        <w:t xml:space="preserve">, p. 71.  </w:t>
      </w:r>
    </w:p>
  </w:endnote>
  <w:endnote w:id="908">
    <w:p w:rsidR="00975183" w:rsidRDefault="00975183" w:rsidP="00442D33">
      <w:pPr>
        <w:pStyle w:val="EndnoteText"/>
      </w:pPr>
      <w:r w:rsidRPr="00DA01AD">
        <w:rPr>
          <w:rStyle w:val="FootnoteReference"/>
        </w:rPr>
        <w:endnoteRef/>
      </w:r>
      <w:r w:rsidRPr="00DA01AD">
        <w:t xml:space="preserve"> Weber, </w:t>
      </w:r>
      <w:r w:rsidRPr="00DA01AD">
        <w:rPr>
          <w:i/>
        </w:rPr>
        <w:t>Shadow</w:t>
      </w:r>
      <w:r w:rsidRPr="00DA01AD">
        <w:t>, p. 54.</w:t>
      </w:r>
    </w:p>
  </w:endnote>
  <w:endnote w:id="909">
    <w:p w:rsidR="00975183" w:rsidRDefault="00975183" w:rsidP="00442D33">
      <w:pPr>
        <w:pStyle w:val="EndnoteText"/>
      </w:pPr>
      <w:r w:rsidRPr="00DA01AD">
        <w:rPr>
          <w:rStyle w:val="FootnoteReference"/>
        </w:rPr>
        <w:endnoteRef/>
      </w:r>
      <w:r w:rsidRPr="00DA01AD">
        <w:t xml:space="preserve"> Weber, </w:t>
      </w:r>
      <w:r w:rsidRPr="00DA01AD">
        <w:rPr>
          <w:i/>
        </w:rPr>
        <w:t>Shadow</w:t>
      </w:r>
      <w:r w:rsidRPr="00DA01AD">
        <w:t>, p. 70.</w:t>
      </w:r>
    </w:p>
  </w:endnote>
  <w:endnote w:id="910">
    <w:p w:rsidR="00975183" w:rsidRDefault="00975183" w:rsidP="00442D33">
      <w:pPr>
        <w:pStyle w:val="EndnoteText"/>
      </w:pPr>
      <w:r w:rsidRPr="00DA01AD">
        <w:rPr>
          <w:rStyle w:val="FootnoteReference"/>
        </w:rPr>
        <w:endnoteRef/>
      </w:r>
      <w:r w:rsidRPr="00DA01AD">
        <w:t xml:space="preserve"> A. T. Pierson, ‘Premillennial Motives to Evangelism’, </w:t>
      </w:r>
      <w:r w:rsidRPr="00DA01AD">
        <w:rPr>
          <w:i/>
        </w:rPr>
        <w:t>Prophetic Studies of the International Prophetic Conference, Chicago, November, 1886</w:t>
      </w:r>
      <w:r w:rsidRPr="00DA01AD">
        <w:t>, p. 38.</w:t>
      </w:r>
    </w:p>
  </w:endnote>
  <w:endnote w:id="911">
    <w:p w:rsidR="00975183" w:rsidRDefault="00975183" w:rsidP="00442D33">
      <w:pPr>
        <w:pStyle w:val="EndnoteText"/>
      </w:pPr>
      <w:r w:rsidRPr="00DA01AD">
        <w:rPr>
          <w:rStyle w:val="FootnoteReference"/>
        </w:rPr>
        <w:endnoteRef/>
      </w:r>
      <w:r w:rsidRPr="00DA01AD">
        <w:t xml:space="preserve"> Weber, </w:t>
      </w:r>
      <w:r w:rsidRPr="00DA01AD">
        <w:rPr>
          <w:i/>
        </w:rPr>
        <w:t>Shadow</w:t>
      </w:r>
      <w:r w:rsidRPr="00DA01AD">
        <w:t>, pp. 74-6.</w:t>
      </w:r>
    </w:p>
  </w:endnote>
  <w:endnote w:id="912">
    <w:p w:rsidR="00975183" w:rsidRDefault="00975183" w:rsidP="00442D33">
      <w:pPr>
        <w:pStyle w:val="EndnoteText"/>
      </w:pPr>
      <w:r w:rsidRPr="00DA01AD">
        <w:rPr>
          <w:rStyle w:val="FootnoteReference"/>
        </w:rPr>
        <w:endnoteRef/>
      </w:r>
      <w:r w:rsidRPr="00DA01AD">
        <w:t xml:space="preserve"> </w:t>
      </w:r>
      <w:r w:rsidRPr="00DA01AD">
        <w:rPr>
          <w:szCs w:val="22"/>
        </w:rPr>
        <w:t xml:space="preserve">Trumbull, </w:t>
      </w:r>
      <w:r w:rsidRPr="00DA01AD">
        <w:rPr>
          <w:i/>
          <w:szCs w:val="22"/>
        </w:rPr>
        <w:t>Life Story of C.I. Scofield</w:t>
      </w:r>
      <w:r>
        <w:rPr>
          <w:szCs w:val="22"/>
        </w:rPr>
        <w:t xml:space="preserve">, p. 73. </w:t>
      </w:r>
    </w:p>
  </w:endnote>
  <w:endnote w:id="913">
    <w:p w:rsidR="00975183" w:rsidRDefault="00975183" w:rsidP="00442D33">
      <w:pPr>
        <w:pStyle w:val="EndnoteText"/>
      </w:pPr>
      <w:r w:rsidRPr="00DA01AD">
        <w:rPr>
          <w:rStyle w:val="FootnoteReference"/>
        </w:rPr>
        <w:endnoteRef/>
      </w:r>
      <w:r w:rsidRPr="00DA01AD">
        <w:t xml:space="preserve"> Sandeen, </w:t>
      </w:r>
      <w:r w:rsidRPr="00DA01AD">
        <w:rPr>
          <w:i/>
        </w:rPr>
        <w:t>Roots</w:t>
      </w:r>
      <w:r w:rsidRPr="00DA01AD">
        <w:t>, p. 172.</w:t>
      </w:r>
    </w:p>
  </w:endnote>
  <w:endnote w:id="914">
    <w:p w:rsidR="00975183" w:rsidRDefault="00975183" w:rsidP="00442D33">
      <w:pPr>
        <w:pStyle w:val="EndnoteText"/>
      </w:pPr>
      <w:r w:rsidRPr="00DA01AD">
        <w:rPr>
          <w:rStyle w:val="FootnoteReference"/>
        </w:rPr>
        <w:endnoteRef/>
      </w:r>
      <w:r w:rsidRPr="00DA01AD">
        <w:t xml:space="preserve"> Sandeen, </w:t>
      </w:r>
      <w:r w:rsidRPr="00DA01AD">
        <w:rPr>
          <w:i/>
        </w:rPr>
        <w:t>Roots</w:t>
      </w:r>
      <w:r w:rsidRPr="00DA01AD">
        <w:t>, p. 132.</w:t>
      </w:r>
      <w:r>
        <w:t xml:space="preserve">  </w:t>
      </w:r>
      <w:r w:rsidRPr="00757596">
        <w:rPr>
          <w:b/>
        </w:rPr>
        <w:t xml:space="preserve">See Chapter 1, </w:t>
      </w:r>
      <w:r w:rsidRPr="00757596">
        <w:rPr>
          <w:b/>
          <w:i/>
        </w:rPr>
        <w:t>The Biblical Basis for Dispensational Hermeneutics,</w:t>
      </w:r>
      <w:r w:rsidRPr="00757596">
        <w:rPr>
          <w:b/>
        </w:rPr>
        <w:t xml:space="preserve"> and 2.3.</w:t>
      </w:r>
      <w:r w:rsidRPr="00757596">
        <w:t xml:space="preserve"> </w:t>
      </w:r>
    </w:p>
  </w:endnote>
  <w:endnote w:id="915">
    <w:p w:rsidR="00975183" w:rsidRDefault="00975183" w:rsidP="00442D33">
      <w:pPr>
        <w:pStyle w:val="EndnoteText"/>
      </w:pPr>
      <w:r w:rsidRPr="007D77B1">
        <w:rPr>
          <w:rStyle w:val="EndnoteReference"/>
        </w:rPr>
        <w:endnoteRef/>
      </w:r>
      <w:r w:rsidRPr="007D77B1">
        <w:t xml:space="preserve"> </w:t>
      </w:r>
      <w:r>
        <w:t xml:space="preserve">History of </w:t>
      </w:r>
      <w:r w:rsidRPr="007D77B1">
        <w:t xml:space="preserve">Moody </w:t>
      </w:r>
      <w:r>
        <w:t xml:space="preserve">Bible Institute </w:t>
      </w:r>
    </w:p>
    <w:p w:rsidR="00975183" w:rsidRPr="007D77B1" w:rsidRDefault="00975183" w:rsidP="00442D33">
      <w:pPr>
        <w:pStyle w:val="EndnoteText"/>
      </w:pPr>
      <w:r>
        <w:t>&lt;</w:t>
      </w:r>
      <w:r w:rsidRPr="007D77B1">
        <w:t>https://www.moody.edu/about/our-bold-legacy/history-of-moody-bible-institute/</w:t>
      </w:r>
      <w:r>
        <w:t>&gt; [accessed 2.3.18].</w:t>
      </w:r>
    </w:p>
  </w:endnote>
  <w:endnote w:id="916">
    <w:p w:rsidR="00975183" w:rsidRDefault="00975183" w:rsidP="00442D33">
      <w:pPr>
        <w:pStyle w:val="EndnoteText"/>
      </w:pPr>
      <w:r w:rsidRPr="00655CD5">
        <w:rPr>
          <w:rStyle w:val="EndnoteReference"/>
        </w:rPr>
        <w:endnoteRef/>
      </w:r>
      <w:r w:rsidRPr="00655CD5">
        <w:t xml:space="preserve"> </w:t>
      </w:r>
      <w:r w:rsidRPr="00655CD5">
        <w:rPr>
          <w:spacing w:val="-1"/>
        </w:rPr>
        <w:t>The Philadelphia</w:t>
      </w:r>
      <w:r w:rsidRPr="00655CD5">
        <w:t xml:space="preserve"> </w:t>
      </w:r>
      <w:r w:rsidRPr="00655CD5">
        <w:rPr>
          <w:spacing w:val="-1"/>
        </w:rPr>
        <w:t>School of</w:t>
      </w:r>
      <w:r w:rsidRPr="00655CD5">
        <w:t xml:space="preserve"> </w:t>
      </w:r>
      <w:r w:rsidRPr="00655CD5">
        <w:rPr>
          <w:spacing w:val="-1"/>
        </w:rPr>
        <w:t>the</w:t>
      </w:r>
      <w:r w:rsidRPr="00655CD5">
        <w:t xml:space="preserve"> </w:t>
      </w:r>
      <w:r w:rsidRPr="00655CD5">
        <w:rPr>
          <w:spacing w:val="-1"/>
        </w:rPr>
        <w:t>Bible</w:t>
      </w:r>
      <w:r w:rsidRPr="00655CD5">
        <w:t xml:space="preserve"> </w:t>
      </w:r>
      <w:r w:rsidRPr="00655CD5">
        <w:rPr>
          <w:spacing w:val="-1"/>
        </w:rPr>
        <w:t>later</w:t>
      </w:r>
      <w:r w:rsidRPr="00655CD5">
        <w:rPr>
          <w:spacing w:val="38"/>
        </w:rPr>
        <w:t xml:space="preserve"> </w:t>
      </w:r>
      <w:r w:rsidRPr="00655CD5">
        <w:rPr>
          <w:spacing w:val="-1"/>
        </w:rPr>
        <w:t>amalgamated</w:t>
      </w:r>
      <w:r w:rsidRPr="00655CD5">
        <w:t xml:space="preserve"> </w:t>
      </w:r>
      <w:r w:rsidRPr="00655CD5">
        <w:rPr>
          <w:spacing w:val="-1"/>
        </w:rPr>
        <w:t>with</w:t>
      </w:r>
      <w:r w:rsidRPr="00655CD5">
        <w:t xml:space="preserve"> </w:t>
      </w:r>
      <w:r w:rsidRPr="00655CD5">
        <w:rPr>
          <w:spacing w:val="-1"/>
        </w:rPr>
        <w:t>the</w:t>
      </w:r>
      <w:r w:rsidRPr="00655CD5">
        <w:t xml:space="preserve"> </w:t>
      </w:r>
      <w:r w:rsidRPr="00655CD5">
        <w:rPr>
          <w:spacing w:val="-1"/>
        </w:rPr>
        <w:t>Bible</w:t>
      </w:r>
      <w:r w:rsidRPr="00655CD5">
        <w:t xml:space="preserve"> </w:t>
      </w:r>
      <w:r w:rsidRPr="00655CD5">
        <w:rPr>
          <w:spacing w:val="-1"/>
        </w:rPr>
        <w:t>Institute of</w:t>
      </w:r>
      <w:r w:rsidRPr="00655CD5">
        <w:t xml:space="preserve"> </w:t>
      </w:r>
      <w:r w:rsidRPr="00655CD5">
        <w:rPr>
          <w:spacing w:val="-1"/>
        </w:rPr>
        <w:t>Pennsylvania</w:t>
      </w:r>
      <w:r w:rsidRPr="00655CD5">
        <w:t xml:space="preserve"> </w:t>
      </w:r>
      <w:r w:rsidRPr="00655CD5">
        <w:rPr>
          <w:spacing w:val="-1"/>
        </w:rPr>
        <w:t>and</w:t>
      </w:r>
      <w:r w:rsidRPr="00655CD5">
        <w:t xml:space="preserve"> </w:t>
      </w:r>
      <w:r w:rsidRPr="00655CD5">
        <w:rPr>
          <w:spacing w:val="-1"/>
        </w:rPr>
        <w:t>became</w:t>
      </w:r>
      <w:r w:rsidRPr="00655CD5">
        <w:rPr>
          <w:spacing w:val="2"/>
        </w:rPr>
        <w:t xml:space="preserve"> </w:t>
      </w:r>
      <w:r w:rsidRPr="00655CD5">
        <w:rPr>
          <w:spacing w:val="-1"/>
        </w:rPr>
        <w:t>the</w:t>
      </w:r>
      <w:r>
        <w:rPr>
          <w:spacing w:val="-1"/>
        </w:rPr>
        <w:t xml:space="preserve"> </w:t>
      </w:r>
      <w:r>
        <w:t>Philadelphia</w:t>
      </w:r>
      <w:r>
        <w:rPr>
          <w:spacing w:val="-1"/>
        </w:rPr>
        <w:t xml:space="preserve"> College </w:t>
      </w:r>
      <w:r>
        <w:t>of the</w:t>
      </w:r>
      <w:r>
        <w:rPr>
          <w:spacing w:val="-1"/>
        </w:rPr>
        <w:t xml:space="preserve"> Bible.  Later known as Philadelphia Biblical University, it is now Cairn University.</w:t>
      </w:r>
    </w:p>
  </w:endnote>
  <w:endnote w:id="917">
    <w:p w:rsidR="00975183" w:rsidRDefault="00975183" w:rsidP="00442D33">
      <w:pPr>
        <w:pStyle w:val="EndnoteText"/>
      </w:pPr>
      <w:r w:rsidRPr="00FE3019">
        <w:rPr>
          <w:rStyle w:val="EndnoteReference"/>
        </w:rPr>
        <w:endnoteRef/>
      </w:r>
      <w:r w:rsidRPr="00FE3019">
        <w:t xml:space="preserve"> </w:t>
      </w:r>
      <w:r w:rsidRPr="00FE3019">
        <w:rPr>
          <w:i/>
        </w:rPr>
        <w:t>Cairn Magazine Online</w:t>
      </w:r>
      <w:r>
        <w:t>, June 2013. &lt;</w:t>
      </w:r>
      <w:r w:rsidRPr="00FE3019">
        <w:t>http://magazine.cairn.edu/2013/06/new-every-morning/</w:t>
      </w:r>
      <w:r>
        <w:t xml:space="preserve">&gt; </w:t>
      </w:r>
    </w:p>
    <w:p w:rsidR="00975183" w:rsidRPr="00FE3019" w:rsidRDefault="00975183" w:rsidP="00442D33">
      <w:pPr>
        <w:pStyle w:val="EndnoteText"/>
      </w:pPr>
      <w:r>
        <w:t>[</w:t>
      </w:r>
      <w:proofErr w:type="gramStart"/>
      <w:r>
        <w:t>accessed</w:t>
      </w:r>
      <w:proofErr w:type="gramEnd"/>
      <w:r>
        <w:t xml:space="preserve"> 2.3.18].</w:t>
      </w:r>
    </w:p>
  </w:endnote>
  <w:endnote w:id="918">
    <w:p w:rsidR="00975183" w:rsidRPr="00655CD5" w:rsidRDefault="00975183" w:rsidP="00442D33">
      <w:pPr>
        <w:pStyle w:val="EndnoteText"/>
      </w:pPr>
      <w:r w:rsidRPr="00655CD5">
        <w:rPr>
          <w:rStyle w:val="EndnoteReference"/>
        </w:rPr>
        <w:endnoteRef/>
      </w:r>
      <w:r w:rsidRPr="00655CD5">
        <w:t xml:space="preserve"> </w:t>
      </w:r>
      <w:r>
        <w:t>See below.</w:t>
      </w:r>
    </w:p>
  </w:endnote>
  <w:endnote w:id="919">
    <w:p w:rsidR="00975183" w:rsidRPr="00DF71A0" w:rsidRDefault="00975183" w:rsidP="00442D33">
      <w:pPr>
        <w:tabs>
          <w:tab w:val="right" w:pos="8504"/>
        </w:tabs>
        <w:spacing w:after="0" w:line="240" w:lineRule="auto"/>
        <w:rPr>
          <w:sz w:val="20"/>
          <w:szCs w:val="20"/>
        </w:rPr>
      </w:pPr>
      <w:r w:rsidRPr="000353CA">
        <w:rPr>
          <w:rStyle w:val="EndnoteReference"/>
        </w:rPr>
        <w:endnoteRef/>
      </w:r>
      <w:r w:rsidRPr="000353CA">
        <w:t xml:space="preserve"> </w:t>
      </w:r>
      <w:r w:rsidRPr="00DF71A0">
        <w:rPr>
          <w:sz w:val="20"/>
          <w:szCs w:val="20"/>
        </w:rPr>
        <w:t>Thomas Ice, ‘A Short History of Dispensationalism’, Pre-Trib Research Center</w:t>
      </w:r>
    </w:p>
    <w:p w:rsidR="00975183" w:rsidRDefault="00975183" w:rsidP="00442D33">
      <w:pPr>
        <w:pStyle w:val="EndnoteText"/>
      </w:pPr>
      <w:r w:rsidRPr="00DF71A0">
        <w:t xml:space="preserve">&lt;http://www.pre-trib.org/data/pdf/Ice-AShortHistoryOfDispen.pdf&gt; [accessed 1.6.17].  </w:t>
      </w:r>
    </w:p>
  </w:endnote>
  <w:endnote w:id="920">
    <w:p w:rsidR="00975183" w:rsidRPr="0096016C" w:rsidRDefault="00975183" w:rsidP="00442D33">
      <w:pPr>
        <w:pStyle w:val="EndnoteText"/>
      </w:pPr>
      <w:r w:rsidRPr="0096016C">
        <w:rPr>
          <w:rStyle w:val="EndnoteReference"/>
        </w:rPr>
        <w:endnoteRef/>
      </w:r>
      <w:r w:rsidRPr="0096016C">
        <w:t xml:space="preserve"> </w:t>
      </w:r>
      <w:r>
        <w:t xml:space="preserve">History of Dallas Theological Seminary </w:t>
      </w:r>
      <w:r w:rsidRPr="0096016C">
        <w:t>&lt;https://www.dts.edu/about/&gt;</w:t>
      </w:r>
      <w:r>
        <w:t xml:space="preserve"> [accessed 2.3.18].</w:t>
      </w:r>
    </w:p>
  </w:endnote>
  <w:endnote w:id="921">
    <w:p w:rsidR="00975183" w:rsidRDefault="00975183" w:rsidP="00442D33">
      <w:pPr>
        <w:pStyle w:val="EndnoteText"/>
      </w:pPr>
      <w:r w:rsidRPr="00DA01AD">
        <w:rPr>
          <w:rStyle w:val="FootnoteReference"/>
        </w:rPr>
        <w:endnoteRef/>
      </w:r>
      <w:r w:rsidRPr="00DA01AD">
        <w:t xml:space="preserve"> </w:t>
      </w:r>
      <w:r w:rsidRPr="00DA01AD">
        <w:rPr>
          <w:szCs w:val="22"/>
        </w:rPr>
        <w:t xml:space="preserve">John F. Walvoord, Book Review, Bass, </w:t>
      </w:r>
      <w:r w:rsidRPr="00DA01AD">
        <w:rPr>
          <w:i/>
          <w:szCs w:val="22"/>
        </w:rPr>
        <w:t>Origins of Dispensationalism</w:t>
      </w:r>
      <w:r w:rsidRPr="00DA01AD">
        <w:rPr>
          <w:szCs w:val="22"/>
        </w:rPr>
        <w:t xml:space="preserve">, </w:t>
      </w:r>
      <w:r w:rsidRPr="00DA01AD">
        <w:rPr>
          <w:i/>
          <w:iCs/>
          <w:szCs w:val="22"/>
        </w:rPr>
        <w:t>Bibliotheca Sacra,</w:t>
      </w:r>
      <w:r w:rsidRPr="00DA01AD">
        <w:rPr>
          <w:szCs w:val="22"/>
        </w:rPr>
        <w:t xml:space="preserve"> 118:469 (Jan. 1961), p. 68.</w:t>
      </w:r>
    </w:p>
  </w:endnote>
  <w:endnote w:id="922">
    <w:p w:rsidR="00975183" w:rsidRDefault="00975183" w:rsidP="00442D33">
      <w:pPr>
        <w:pStyle w:val="EndnoteText"/>
      </w:pPr>
      <w:r w:rsidRPr="00DA01AD">
        <w:rPr>
          <w:rStyle w:val="FootnoteReference"/>
        </w:rPr>
        <w:endnoteRef/>
      </w:r>
      <w:r w:rsidRPr="00DA01AD">
        <w:t xml:space="preserve"> Bass, </w:t>
      </w:r>
      <w:r w:rsidRPr="00DA01AD">
        <w:rPr>
          <w:i/>
        </w:rPr>
        <w:t>Backgrounds</w:t>
      </w:r>
      <w:r w:rsidRPr="00DA01AD">
        <w:t>, p. 149.</w:t>
      </w:r>
    </w:p>
  </w:endnote>
  <w:endnote w:id="923">
    <w:p w:rsidR="00975183" w:rsidRDefault="00975183" w:rsidP="00442D33">
      <w:pPr>
        <w:pStyle w:val="EndnoteText"/>
      </w:pPr>
      <w:r w:rsidRPr="00DA01AD">
        <w:rPr>
          <w:rStyle w:val="FootnoteReference"/>
          <w:sz w:val="18"/>
        </w:rPr>
        <w:endnoteRef/>
      </w:r>
      <w:r w:rsidRPr="00DA01AD">
        <w:rPr>
          <w:sz w:val="18"/>
        </w:rPr>
        <w:t xml:space="preserve"> </w:t>
      </w:r>
      <w:r w:rsidRPr="00DA01AD">
        <w:rPr>
          <w:szCs w:val="22"/>
        </w:rPr>
        <w:t xml:space="preserve">Bebbington, </w:t>
      </w:r>
      <w:r w:rsidRPr="00DA01AD">
        <w:rPr>
          <w:i/>
          <w:szCs w:val="22"/>
        </w:rPr>
        <w:t>Evangelicalism in Modern Britain</w:t>
      </w:r>
      <w:r w:rsidRPr="00DA01AD">
        <w:rPr>
          <w:szCs w:val="22"/>
        </w:rPr>
        <w:t xml:space="preserve"> p. 12.</w:t>
      </w:r>
    </w:p>
  </w:endnote>
  <w:endnote w:id="924">
    <w:p w:rsidR="00975183" w:rsidRDefault="00975183" w:rsidP="00442D33">
      <w:pPr>
        <w:pStyle w:val="EndnoteText"/>
      </w:pPr>
      <w:r w:rsidRPr="00A26EB6">
        <w:rPr>
          <w:rStyle w:val="EndnoteReference"/>
        </w:rPr>
        <w:endnoteRef/>
      </w:r>
      <w:r w:rsidRPr="00A26EB6">
        <w:t xml:space="preserve"> </w:t>
      </w:r>
      <w:r>
        <w:t xml:space="preserve">Darby, ‘An Introduction to the Bible’, </w:t>
      </w:r>
      <w:r w:rsidRPr="00DA01AD">
        <w:rPr>
          <w:i/>
        </w:rPr>
        <w:t xml:space="preserve">Collected Works of J. N. Darby, </w:t>
      </w:r>
      <w:r w:rsidRPr="002E67A5">
        <w:rPr>
          <w:rFonts w:eastAsia="Times New Roman" w:cs="Times New Roman"/>
          <w:i/>
          <w:szCs w:val="24"/>
          <w:lang w:eastAsia="en-GB"/>
        </w:rPr>
        <w:t>Vol. 34, Miscellaneous No 3</w:t>
      </w:r>
      <w:r w:rsidRPr="00DA01AD">
        <w:t xml:space="preserve">, p. </w:t>
      </w:r>
      <w:r>
        <w:t>23</w:t>
      </w:r>
    </w:p>
    <w:p w:rsidR="00975183" w:rsidRPr="002E67A5" w:rsidRDefault="00975183" w:rsidP="00442D33">
      <w:pPr>
        <w:pStyle w:val="EndnoteText"/>
        <w:rPr>
          <w:sz w:val="16"/>
        </w:rPr>
      </w:pPr>
      <w:r>
        <w:t>&lt;</w:t>
      </w:r>
      <w:r w:rsidRPr="002E67A5">
        <w:t>http://www.stempublishing.com/authors/darby/MISCELLA/34001F.html</w:t>
      </w:r>
      <w:r>
        <w:t xml:space="preserve">&gt; [accessed </w:t>
      </w:r>
      <w:r w:rsidRPr="002E67A5">
        <w:rPr>
          <w:rFonts w:eastAsia="Times New Roman" w:cs="Times New Roman"/>
          <w:szCs w:val="24"/>
          <w:lang w:eastAsia="en-GB"/>
        </w:rPr>
        <w:t>11.5.17].</w:t>
      </w:r>
    </w:p>
  </w:endnote>
  <w:endnote w:id="925">
    <w:p w:rsidR="00975183" w:rsidRDefault="00975183" w:rsidP="00442D33">
      <w:pPr>
        <w:pStyle w:val="EndnoteText"/>
      </w:pPr>
      <w:r w:rsidRPr="002E67A5">
        <w:rPr>
          <w:rStyle w:val="EndnoteReference"/>
        </w:rPr>
        <w:endnoteRef/>
      </w:r>
      <w:r w:rsidRPr="002E67A5">
        <w:t xml:space="preserve"> </w:t>
      </w:r>
      <w:proofErr w:type="gramStart"/>
      <w:r w:rsidRPr="002E67A5">
        <w:t xml:space="preserve">Darby, </w:t>
      </w:r>
      <w:r>
        <w:t>‘</w:t>
      </w:r>
      <w:r w:rsidRPr="00C42461">
        <w:rPr>
          <w:bCs/>
          <w:szCs w:val="28"/>
        </w:rPr>
        <w:t>A glance at various ecclesiastical principles and examination of the foundations on which the institutions of the church on earth are sought to be based.</w:t>
      </w:r>
      <w:proofErr w:type="gramEnd"/>
      <w:r w:rsidRPr="00C42461">
        <w:rPr>
          <w:bCs/>
          <w:szCs w:val="28"/>
        </w:rPr>
        <w:t xml:space="preserve"> In reply to various writings</w:t>
      </w:r>
      <w:r>
        <w:rPr>
          <w:bCs/>
          <w:szCs w:val="28"/>
        </w:rPr>
        <w:t xml:space="preserve">’, </w:t>
      </w:r>
      <w:r w:rsidRPr="00DA01AD">
        <w:rPr>
          <w:i/>
        </w:rPr>
        <w:t xml:space="preserve">Collected Works of J. N. Darby, </w:t>
      </w:r>
      <w:r w:rsidRPr="00C42461">
        <w:rPr>
          <w:bCs/>
          <w:i/>
        </w:rPr>
        <w:t>Vol. 4, Ecclesiastical No 2</w:t>
      </w:r>
      <w:r w:rsidRPr="00C42461">
        <w:rPr>
          <w:bCs/>
        </w:rPr>
        <w:t xml:space="preserve">, </w:t>
      </w:r>
      <w:r>
        <w:rPr>
          <w:bCs/>
        </w:rPr>
        <w:t>p</w:t>
      </w:r>
      <w:r w:rsidRPr="00C42461">
        <w:rPr>
          <w:bCs/>
        </w:rPr>
        <w:t xml:space="preserve"> 1</w:t>
      </w:r>
      <w:r w:rsidRPr="00C42461">
        <w:t>.</w:t>
      </w:r>
      <w:r>
        <w:t xml:space="preserve">  &lt;</w:t>
      </w:r>
      <w:r w:rsidRPr="00C42461">
        <w:t>http://www.stempublishing.com/authors/darby/ECCLESIA/04001F_A.html</w:t>
      </w:r>
      <w:r>
        <w:t xml:space="preserve">&gt; </w:t>
      </w:r>
    </w:p>
    <w:p w:rsidR="00975183" w:rsidRPr="00C42461" w:rsidRDefault="00975183" w:rsidP="00442D33">
      <w:pPr>
        <w:pStyle w:val="EndnoteText"/>
      </w:pPr>
      <w:r>
        <w:t>[</w:t>
      </w:r>
      <w:proofErr w:type="gramStart"/>
      <w:r>
        <w:t>accessed</w:t>
      </w:r>
      <w:proofErr w:type="gramEnd"/>
      <w:r>
        <w:t xml:space="preserve"> 31.7.09].</w:t>
      </w:r>
    </w:p>
  </w:endnote>
  <w:endnote w:id="926">
    <w:p w:rsidR="00975183" w:rsidRDefault="00975183" w:rsidP="00442D33">
      <w:pPr>
        <w:pStyle w:val="EndnoteText"/>
      </w:pPr>
      <w:r w:rsidRPr="00DA01AD">
        <w:rPr>
          <w:rStyle w:val="FootnoteReference"/>
          <w:szCs w:val="22"/>
        </w:rPr>
        <w:endnoteRef/>
      </w:r>
      <w:r w:rsidRPr="00DA01AD">
        <w:rPr>
          <w:szCs w:val="22"/>
        </w:rPr>
        <w:t xml:space="preserve"> Blaising, ‘Dispensationalism: Search for Definition’, </w:t>
      </w:r>
      <w:r w:rsidRPr="00DA01AD">
        <w:rPr>
          <w:i/>
          <w:szCs w:val="22"/>
        </w:rPr>
        <w:t>Dispensationalism, Israel &amp; Church</w:t>
      </w:r>
      <w:r w:rsidRPr="00DA01AD">
        <w:rPr>
          <w:szCs w:val="22"/>
        </w:rPr>
        <w:t>, p. 17.</w:t>
      </w:r>
    </w:p>
  </w:endnote>
  <w:endnote w:id="927">
    <w:p w:rsidR="00975183" w:rsidRDefault="00975183" w:rsidP="00442D33">
      <w:pPr>
        <w:pStyle w:val="EndnoteText"/>
      </w:pPr>
      <w:r w:rsidRPr="00DA01AD">
        <w:rPr>
          <w:rStyle w:val="FootnoteReference"/>
        </w:rPr>
        <w:endnoteRef/>
      </w:r>
      <w:r w:rsidRPr="00DA01AD">
        <w:t xml:space="preserve"> </w:t>
      </w:r>
      <w:r w:rsidRPr="00DA01AD">
        <w:rPr>
          <w:szCs w:val="22"/>
        </w:rPr>
        <w:t>Nathaniel West, (</w:t>
      </w:r>
      <w:proofErr w:type="gramStart"/>
      <w:r w:rsidRPr="00DA01AD">
        <w:rPr>
          <w:szCs w:val="22"/>
        </w:rPr>
        <w:t>ed</w:t>
      </w:r>
      <w:proofErr w:type="gramEnd"/>
      <w:r w:rsidRPr="00DA01AD">
        <w:rPr>
          <w:szCs w:val="22"/>
        </w:rPr>
        <w:t xml:space="preserve">) </w:t>
      </w:r>
      <w:r w:rsidRPr="00DA01AD">
        <w:rPr>
          <w:i/>
          <w:szCs w:val="22"/>
        </w:rPr>
        <w:t>Premillennial Essays of the Prophetic Conference</w:t>
      </w:r>
      <w:r w:rsidRPr="00DA01AD">
        <w:rPr>
          <w:szCs w:val="22"/>
        </w:rPr>
        <w:t xml:space="preserve"> (Chicago: F. H. Revell, 1879), p. 11.</w:t>
      </w:r>
    </w:p>
  </w:endnote>
  <w:endnote w:id="928">
    <w:p w:rsidR="00975183" w:rsidRDefault="00975183" w:rsidP="00442D33">
      <w:pPr>
        <w:pStyle w:val="EndnoteText"/>
      </w:pPr>
      <w:r w:rsidRPr="00DA01AD">
        <w:rPr>
          <w:rStyle w:val="FootnoteReference"/>
        </w:rPr>
        <w:endnoteRef/>
      </w:r>
      <w:r w:rsidRPr="00DA01AD">
        <w:t xml:space="preserve"> E. P. Goodwin, ‘</w:t>
      </w:r>
      <w:r w:rsidRPr="00DA01AD">
        <w:rPr>
          <w:rStyle w:val="ind"/>
          <w:sz w:val="18"/>
        </w:rPr>
        <w:t>The Return of the Lord, Personal and Literal</w:t>
      </w:r>
      <w:r w:rsidRPr="00DA01AD">
        <w:t xml:space="preserve">’, </w:t>
      </w:r>
      <w:r w:rsidRPr="00DA01AD">
        <w:rPr>
          <w:i/>
        </w:rPr>
        <w:t>Prophetic Studies of the International Prophetic Conference, Chicago, November, 1886</w:t>
      </w:r>
      <w:r w:rsidRPr="00DA01AD">
        <w:t>, p. 7.</w:t>
      </w:r>
    </w:p>
  </w:endnote>
  <w:endnote w:id="929">
    <w:p w:rsidR="00975183" w:rsidRDefault="00975183" w:rsidP="00442D33">
      <w:pPr>
        <w:pStyle w:val="EndnoteText"/>
      </w:pPr>
      <w:r w:rsidRPr="00DA01AD">
        <w:rPr>
          <w:rStyle w:val="FootnoteReference"/>
          <w:sz w:val="18"/>
        </w:rPr>
        <w:endnoteRef/>
      </w:r>
      <w:r w:rsidRPr="00DA01AD">
        <w:rPr>
          <w:sz w:val="18"/>
        </w:rPr>
        <w:t xml:space="preserve"> </w:t>
      </w:r>
      <w:r w:rsidRPr="00DA01AD">
        <w:rPr>
          <w:szCs w:val="22"/>
        </w:rPr>
        <w:t xml:space="preserve">Chafer, </w:t>
      </w:r>
      <w:r w:rsidRPr="00DA01AD">
        <w:rPr>
          <w:i/>
          <w:szCs w:val="22"/>
        </w:rPr>
        <w:t>Dispensationalism</w:t>
      </w:r>
      <w:r w:rsidRPr="00DA01AD">
        <w:rPr>
          <w:szCs w:val="22"/>
        </w:rPr>
        <w:t>, p. 18.</w:t>
      </w:r>
    </w:p>
  </w:endnote>
  <w:endnote w:id="930">
    <w:p w:rsidR="00975183" w:rsidRPr="00DA01AD" w:rsidRDefault="00975183" w:rsidP="00442D33">
      <w:pPr>
        <w:pStyle w:val="FootnoteText"/>
        <w:rPr>
          <w:rFonts w:ascii="Perpetua" w:hAnsi="Perpetua"/>
        </w:rPr>
      </w:pPr>
      <w:r w:rsidRPr="00DA01AD">
        <w:rPr>
          <w:rStyle w:val="FootnoteReference"/>
          <w:rFonts w:ascii="Perpetua" w:hAnsi="Perpetua"/>
        </w:rPr>
        <w:endnoteRef/>
      </w:r>
      <w:r w:rsidRPr="00DA01AD">
        <w:rPr>
          <w:rFonts w:ascii="Perpetua" w:hAnsi="Perpetua"/>
        </w:rPr>
        <w:t xml:space="preserve"> The Westminster Confession of Faith (1646) &lt;http://www.reformed.org/documents/index.html?mainframe=http://www.reformed.org/documents/</w:t>
      </w:r>
    </w:p>
    <w:p w:rsidR="00975183" w:rsidRDefault="00975183" w:rsidP="00442D33">
      <w:pPr>
        <w:pStyle w:val="EndnoteText"/>
      </w:pPr>
      <w:r w:rsidRPr="00DA01AD">
        <w:t>westminster_conf_of_faith.html &gt; [accessed 24.9.11].</w:t>
      </w:r>
    </w:p>
  </w:endnote>
  <w:endnote w:id="931">
    <w:p w:rsidR="00975183" w:rsidRPr="003B66ED" w:rsidRDefault="00975183" w:rsidP="00442D33">
      <w:pPr>
        <w:pStyle w:val="EndnoteText"/>
      </w:pPr>
      <w:r w:rsidRPr="003B66ED">
        <w:rPr>
          <w:rStyle w:val="EndnoteReference"/>
        </w:rPr>
        <w:endnoteRef/>
      </w:r>
      <w:r w:rsidRPr="003B66ED">
        <w:t xml:space="preserve"> </w:t>
      </w:r>
      <w:r w:rsidRPr="003B66ED">
        <w:rPr>
          <w:i/>
        </w:rPr>
        <w:t xml:space="preserve">SRB </w:t>
      </w:r>
      <w:r>
        <w:t xml:space="preserve">note on 1 Cor. 2:13, p.1213.  </w:t>
      </w:r>
      <w:proofErr w:type="gramStart"/>
      <w:r>
        <w:t>(</w:t>
      </w:r>
      <w:r w:rsidRPr="003B66ED">
        <w:rPr>
          <w:i/>
        </w:rPr>
        <w:t>Scofield’s emphasis</w:t>
      </w:r>
      <w:r>
        <w:t>.)</w:t>
      </w:r>
      <w:proofErr w:type="gramEnd"/>
    </w:p>
  </w:endnote>
  <w:endnote w:id="932">
    <w:p w:rsidR="00975183" w:rsidRPr="00646875" w:rsidRDefault="00975183" w:rsidP="00442D33">
      <w:pPr>
        <w:pStyle w:val="EndnoteText"/>
      </w:pPr>
      <w:r w:rsidRPr="00646875">
        <w:rPr>
          <w:rStyle w:val="EndnoteReference"/>
        </w:rPr>
        <w:endnoteRef/>
      </w:r>
      <w:r w:rsidRPr="00646875">
        <w:t xml:space="preserve"> </w:t>
      </w:r>
      <w:r w:rsidRPr="00757596">
        <w:rPr>
          <w:b/>
        </w:rPr>
        <w:t>See Introduction and 2.1</w:t>
      </w:r>
      <w:r w:rsidRPr="00646875">
        <w:t>.</w:t>
      </w:r>
    </w:p>
  </w:endnote>
  <w:endnote w:id="933">
    <w:p w:rsidR="00975183" w:rsidRDefault="00975183" w:rsidP="00442D33">
      <w:pPr>
        <w:pStyle w:val="EndnoteText"/>
      </w:pPr>
      <w:r w:rsidRPr="00646875">
        <w:rPr>
          <w:rStyle w:val="EndnoteReference"/>
        </w:rPr>
        <w:endnoteRef/>
      </w:r>
      <w:r w:rsidRPr="00646875">
        <w:t xml:space="preserve"> </w:t>
      </w:r>
      <w:r w:rsidRPr="00646875">
        <w:rPr>
          <w:i/>
        </w:rPr>
        <w:t>SRB</w:t>
      </w:r>
      <w:r>
        <w:t>, p. 3.</w:t>
      </w:r>
    </w:p>
  </w:endnote>
  <w:endnote w:id="934">
    <w:p w:rsidR="00975183" w:rsidRDefault="00975183" w:rsidP="00442D33">
      <w:pPr>
        <w:pStyle w:val="EndnoteText"/>
      </w:pPr>
      <w:r w:rsidRPr="006329CD">
        <w:rPr>
          <w:rStyle w:val="EndnoteReference"/>
          <w:szCs w:val="18"/>
        </w:rPr>
        <w:endnoteRef/>
      </w:r>
      <w:r w:rsidRPr="006329CD">
        <w:rPr>
          <w:szCs w:val="18"/>
        </w:rPr>
        <w:t xml:space="preserve"> </w:t>
      </w:r>
      <w:r w:rsidRPr="00785A97">
        <w:rPr>
          <w:i/>
          <w:szCs w:val="18"/>
        </w:rPr>
        <w:t xml:space="preserve">SRB </w:t>
      </w:r>
      <w:r>
        <w:rPr>
          <w:szCs w:val="18"/>
        </w:rPr>
        <w:t>notes on Gen. 1:2 and 3, p. 3, and 1:11, p. 4.</w:t>
      </w:r>
    </w:p>
  </w:endnote>
  <w:endnote w:id="935">
    <w:p w:rsidR="00975183" w:rsidRDefault="00975183" w:rsidP="00442D33">
      <w:pPr>
        <w:pStyle w:val="EndnoteText"/>
      </w:pPr>
      <w:r w:rsidRPr="00F40C6A">
        <w:rPr>
          <w:rStyle w:val="FootnoteReference"/>
        </w:rPr>
        <w:endnoteRef/>
      </w:r>
      <w:r w:rsidRPr="00F40C6A">
        <w:t xml:space="preserve"> </w:t>
      </w:r>
      <w:proofErr w:type="gramStart"/>
      <w:r w:rsidRPr="00F40C6A">
        <w:rPr>
          <w:i/>
        </w:rPr>
        <w:t>SRB</w:t>
      </w:r>
      <w:r w:rsidRPr="00F40C6A">
        <w:t xml:space="preserve"> note on Gen. 1:2, p. 3.</w:t>
      </w:r>
      <w:proofErr w:type="gramEnd"/>
      <w:r w:rsidRPr="00F40C6A">
        <w:t xml:space="preserve">  </w:t>
      </w:r>
      <w:proofErr w:type="gramStart"/>
      <w:r w:rsidRPr="00F40C6A">
        <w:t>(</w:t>
      </w:r>
      <w:r w:rsidRPr="00F40C6A">
        <w:rPr>
          <w:i/>
        </w:rPr>
        <w:t>Scofield’s emphasis</w:t>
      </w:r>
      <w:r>
        <w:rPr>
          <w:i/>
        </w:rPr>
        <w:t>.</w:t>
      </w:r>
      <w:r w:rsidRPr="00F40C6A">
        <w:t>)</w:t>
      </w:r>
      <w:proofErr w:type="gramEnd"/>
    </w:p>
  </w:endnote>
  <w:endnote w:id="936">
    <w:p w:rsidR="00975183" w:rsidRPr="006329CD" w:rsidRDefault="00975183" w:rsidP="00442D33">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Gen. 1:3, p. 3, refs Jer. 4:23-6; Isa. 24:1, 45:18.</w:t>
      </w:r>
      <w:r>
        <w:rPr>
          <w:szCs w:val="18"/>
        </w:rPr>
        <w:t xml:space="preserve">  In the note on Jer. 4:23, p. 776, Scofield states that ‘“without form and void” describes the condition of the earth as the result of judgment which overthrew the primal order of Gen.1:1’.  </w:t>
      </w:r>
    </w:p>
  </w:endnote>
  <w:endnote w:id="937">
    <w:p w:rsidR="00975183" w:rsidRPr="006329CD" w:rsidRDefault="00975183" w:rsidP="00442D33">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Gen. 1:11, p. 4.</w:t>
      </w:r>
      <w:proofErr w:type="gramEnd"/>
      <w:r w:rsidRPr="006329CD">
        <w:rPr>
          <w:szCs w:val="18"/>
        </w:rPr>
        <w:t xml:space="preserve">  </w:t>
      </w:r>
    </w:p>
  </w:endnote>
  <w:endnote w:id="938">
    <w:p w:rsidR="00975183" w:rsidRDefault="00975183" w:rsidP="00442D33">
      <w:pPr>
        <w:pStyle w:val="EndnoteText"/>
      </w:pPr>
      <w:r w:rsidRPr="00F40C6A">
        <w:rPr>
          <w:rStyle w:val="FootnoteReference"/>
        </w:rPr>
        <w:endnoteRef/>
      </w:r>
      <w:r w:rsidRPr="00F40C6A">
        <w:t xml:space="preserve"> Jack C. Sofield, Bible. </w:t>
      </w:r>
      <w:proofErr w:type="gramStart"/>
      <w:r w:rsidRPr="00F40C6A">
        <w:t>org</w:t>
      </w:r>
      <w:proofErr w:type="gramEnd"/>
      <w:r w:rsidRPr="00F40C6A">
        <w:t>, ‘Definition’ and ‘History and Purpose’ in ‘The Gap Theory of Genesis Chapter 1’ &lt;</w:t>
      </w:r>
      <w:r w:rsidRPr="00F40C6A">
        <w:rPr>
          <w:bCs/>
          <w:lang w:eastAsia="en-GB"/>
        </w:rPr>
        <w:t>https://bible.org/article/gap-theory-genesis-chapter-one</w:t>
      </w:r>
      <w:r w:rsidRPr="00F40C6A">
        <w:t>&gt; [accessed 10.12.13].</w:t>
      </w:r>
    </w:p>
  </w:endnote>
  <w:endnote w:id="939">
    <w:p w:rsidR="00975183" w:rsidRPr="006329CD" w:rsidRDefault="00975183" w:rsidP="00442D33">
      <w:pPr>
        <w:pStyle w:val="EndnoteText"/>
        <w:rPr>
          <w:sz w:val="22"/>
        </w:rPr>
      </w:pPr>
      <w:r w:rsidRPr="006329CD">
        <w:rPr>
          <w:rStyle w:val="EndnoteReference"/>
          <w:szCs w:val="18"/>
        </w:rPr>
        <w:endnoteRef/>
      </w:r>
      <w:r w:rsidRPr="006329CD">
        <w:rPr>
          <w:szCs w:val="18"/>
        </w:rPr>
        <w:t xml:space="preserve"> </w:t>
      </w:r>
      <w:proofErr w:type="gramStart"/>
      <w:r w:rsidRPr="006329CD">
        <w:rPr>
          <w:i/>
          <w:szCs w:val="18"/>
        </w:rPr>
        <w:t xml:space="preserve">SRB </w:t>
      </w:r>
      <w:r w:rsidRPr="006329CD">
        <w:rPr>
          <w:szCs w:val="18"/>
        </w:rPr>
        <w:t>note on Gen. 1:26, p. 5.</w:t>
      </w:r>
      <w:proofErr w:type="gramEnd"/>
      <w:r w:rsidRPr="006329CD">
        <w:rPr>
          <w:szCs w:val="18"/>
        </w:rPr>
        <w:t xml:space="preserve">  </w:t>
      </w:r>
      <w:proofErr w:type="gramStart"/>
      <w:r>
        <w:rPr>
          <w:szCs w:val="18"/>
        </w:rPr>
        <w:t>(</w:t>
      </w:r>
      <w:r w:rsidRPr="006329CD">
        <w:rPr>
          <w:i/>
          <w:szCs w:val="18"/>
        </w:rPr>
        <w:t>Scofield’s emphasis</w:t>
      </w:r>
      <w:r w:rsidRPr="006329CD">
        <w:rPr>
          <w:szCs w:val="18"/>
        </w:rPr>
        <w:t>.</w:t>
      </w:r>
      <w:r>
        <w:rPr>
          <w:szCs w:val="18"/>
        </w:rPr>
        <w:t>)</w:t>
      </w:r>
      <w:proofErr w:type="gramEnd"/>
      <w:r>
        <w:rPr>
          <w:szCs w:val="18"/>
        </w:rPr>
        <w:t xml:space="preserve"> </w:t>
      </w:r>
    </w:p>
  </w:endnote>
  <w:endnote w:id="940">
    <w:p w:rsidR="00975183" w:rsidRDefault="00975183" w:rsidP="00442D33">
      <w:pPr>
        <w:pStyle w:val="EndnoteText"/>
      </w:pPr>
      <w:r w:rsidRPr="006329CD">
        <w:rPr>
          <w:rStyle w:val="EndnoteReference"/>
          <w:szCs w:val="18"/>
        </w:rPr>
        <w:endnoteRef/>
      </w:r>
      <w:r w:rsidRPr="006329CD">
        <w:rPr>
          <w:szCs w:val="18"/>
        </w:rPr>
        <w:t xml:space="preserve"> </w:t>
      </w:r>
      <w:r w:rsidRPr="004D2C83">
        <w:rPr>
          <w:szCs w:val="18"/>
        </w:rPr>
        <w:t xml:space="preserve">Weber, </w:t>
      </w:r>
      <w:r>
        <w:rPr>
          <w:i/>
          <w:szCs w:val="18"/>
        </w:rPr>
        <w:t>Shadow</w:t>
      </w:r>
      <w:r w:rsidRPr="004D2C83">
        <w:rPr>
          <w:szCs w:val="18"/>
        </w:rPr>
        <w:t>, pp. 24-5.</w:t>
      </w:r>
    </w:p>
  </w:endnote>
  <w:endnote w:id="941">
    <w:p w:rsidR="00975183" w:rsidRDefault="00975183" w:rsidP="00442D33">
      <w:pPr>
        <w:pStyle w:val="EndnoteText"/>
      </w:pPr>
      <w:r w:rsidRPr="006329CD">
        <w:rPr>
          <w:rStyle w:val="EndnoteReference"/>
          <w:szCs w:val="18"/>
        </w:rPr>
        <w:endnoteRef/>
      </w:r>
      <w:r w:rsidRPr="006329CD">
        <w:rPr>
          <w:szCs w:val="18"/>
        </w:rPr>
        <w:t xml:space="preserve"> </w:t>
      </w:r>
      <w:r w:rsidRPr="004D2C83">
        <w:rPr>
          <w:szCs w:val="18"/>
        </w:rPr>
        <w:t xml:space="preserve">Weber, </w:t>
      </w:r>
      <w:r>
        <w:rPr>
          <w:i/>
          <w:szCs w:val="18"/>
        </w:rPr>
        <w:t>Shadow</w:t>
      </w:r>
      <w:r w:rsidRPr="004D2C83">
        <w:rPr>
          <w:szCs w:val="18"/>
        </w:rPr>
        <w:t>, p. 25.</w:t>
      </w:r>
    </w:p>
  </w:endnote>
  <w:endnote w:id="942">
    <w:p w:rsidR="00975183" w:rsidRPr="008942BE" w:rsidRDefault="00975183" w:rsidP="00442D33">
      <w:pPr>
        <w:pStyle w:val="EndnoteText"/>
      </w:pPr>
      <w:r w:rsidRPr="00027EED">
        <w:rPr>
          <w:rStyle w:val="EndnoteReference"/>
        </w:rPr>
        <w:endnoteRef/>
      </w:r>
      <w:r w:rsidRPr="00027EED">
        <w:t xml:space="preserve"> </w:t>
      </w:r>
      <w:r w:rsidRPr="00027EED">
        <w:rPr>
          <w:i/>
        </w:rPr>
        <w:t>SRB</w:t>
      </w:r>
      <w:r w:rsidRPr="00027EED">
        <w:t xml:space="preserve"> notes on Gen. </w:t>
      </w:r>
      <w:r>
        <w:t xml:space="preserve">1:1, p. 3; </w:t>
      </w:r>
      <w:r w:rsidRPr="00027EED">
        <w:t>2:4, pp. 6-7; 14:18, p. 23; 15:2, p. 24; 17:1, p. 26 and 21:33, p. 32.</w:t>
      </w:r>
    </w:p>
  </w:endnote>
  <w:endnote w:id="943">
    <w:p w:rsidR="00975183" w:rsidRDefault="00975183" w:rsidP="00442D33">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w:t>
      </w:r>
      <w:r>
        <w:rPr>
          <w:szCs w:val="18"/>
        </w:rPr>
        <w:t xml:space="preserve"> on 1 Sam. 1:3, p. 319.</w:t>
      </w:r>
      <w:proofErr w:type="gramEnd"/>
      <w:r>
        <w:rPr>
          <w:szCs w:val="18"/>
        </w:rPr>
        <w:t xml:space="preserve"> </w:t>
      </w:r>
    </w:p>
  </w:endnote>
  <w:endnote w:id="944">
    <w:p w:rsidR="00975183" w:rsidRPr="00C74AEB" w:rsidRDefault="00975183" w:rsidP="00442D33">
      <w:pPr>
        <w:pStyle w:val="EndnoteText"/>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note on</w:t>
      </w:r>
      <w:r>
        <w:rPr>
          <w:szCs w:val="18"/>
        </w:rPr>
        <w:t xml:space="preserve"> Mal. 3:18, pp. 983-4.  </w:t>
      </w:r>
    </w:p>
  </w:endnote>
  <w:endnote w:id="945">
    <w:p w:rsidR="00975183" w:rsidRDefault="00975183" w:rsidP="00442D33">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w:t>
      </w:r>
      <w:r>
        <w:rPr>
          <w:szCs w:val="18"/>
        </w:rPr>
        <w:t xml:space="preserve"> on 1 Sam. 1:3, p. 319.</w:t>
      </w:r>
      <w:proofErr w:type="gramEnd"/>
      <w:r>
        <w:rPr>
          <w:szCs w:val="18"/>
        </w:rPr>
        <w:t xml:space="preserve"> </w:t>
      </w:r>
    </w:p>
  </w:endnote>
  <w:endnote w:id="946">
    <w:p w:rsidR="00975183" w:rsidRPr="0095410A" w:rsidRDefault="00975183" w:rsidP="00442D33">
      <w:pPr>
        <w:pStyle w:val="EndnoteText"/>
      </w:pPr>
      <w:r w:rsidRPr="0095410A">
        <w:rPr>
          <w:rStyle w:val="EndnoteReference"/>
        </w:rPr>
        <w:endnoteRef/>
      </w:r>
      <w:r w:rsidRPr="0095410A">
        <w:t xml:space="preserve"> </w:t>
      </w:r>
      <w:r>
        <w:t xml:space="preserve">Refs </w:t>
      </w:r>
      <w:r w:rsidRPr="0095410A">
        <w:rPr>
          <w:szCs w:val="22"/>
        </w:rPr>
        <w:t>Gen. 1:26; 3:22; Ps. 110:1; Isa. 6:8</w:t>
      </w:r>
      <w:r>
        <w:rPr>
          <w:szCs w:val="22"/>
        </w:rPr>
        <w:t>.</w:t>
      </w:r>
    </w:p>
  </w:endnote>
  <w:endnote w:id="947">
    <w:p w:rsidR="00975183" w:rsidRPr="0095410A" w:rsidRDefault="00975183" w:rsidP="00442D33">
      <w:pPr>
        <w:pStyle w:val="EndnoteText"/>
      </w:pPr>
      <w:r w:rsidRPr="0095410A">
        <w:rPr>
          <w:rStyle w:val="EndnoteReference"/>
        </w:rPr>
        <w:endnoteRef/>
      </w:r>
      <w:r w:rsidRPr="0095410A">
        <w:t xml:space="preserve"> Refs Ps. 2:7; Heb. 1:5.</w:t>
      </w:r>
    </w:p>
  </w:endnote>
  <w:endnote w:id="948">
    <w:p w:rsidR="00975183" w:rsidRPr="00C74AEB" w:rsidRDefault="00975183" w:rsidP="00442D33">
      <w:pPr>
        <w:pStyle w:val="EndnoteText"/>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note on</w:t>
      </w:r>
      <w:r>
        <w:rPr>
          <w:szCs w:val="18"/>
        </w:rPr>
        <w:t xml:space="preserve"> Mal. 3:18, pp. 983-4.  </w:t>
      </w:r>
    </w:p>
  </w:endnote>
  <w:endnote w:id="949">
    <w:p w:rsidR="00975183" w:rsidRDefault="00975183" w:rsidP="00442D33">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3:18, pp. 983-4.</w:t>
      </w:r>
    </w:p>
  </w:endnote>
  <w:endnote w:id="950">
    <w:p w:rsidR="00975183" w:rsidRDefault="00975183" w:rsidP="00442D33">
      <w:pPr>
        <w:pStyle w:val="EndnoteText"/>
      </w:pPr>
      <w:r w:rsidRPr="008C6918">
        <w:rPr>
          <w:rStyle w:val="EndnoteReference"/>
        </w:rPr>
        <w:endnoteRef/>
      </w:r>
      <w:r w:rsidRPr="008C6918">
        <w:t xml:space="preserve"> </w:t>
      </w:r>
      <w:proofErr w:type="gramStart"/>
      <w:r w:rsidRPr="008C6918">
        <w:rPr>
          <w:i/>
        </w:rPr>
        <w:t xml:space="preserve">SRB </w:t>
      </w:r>
      <w:r>
        <w:t>note on Gen. 1:1, p. 3.</w:t>
      </w:r>
      <w:proofErr w:type="gramEnd"/>
      <w:r>
        <w:t xml:space="preserve">  Also </w:t>
      </w:r>
      <w:r w:rsidRPr="00E00A97">
        <w:rPr>
          <w:i/>
        </w:rPr>
        <w:t>SRB</w:t>
      </w:r>
      <w:r>
        <w:t xml:space="preserve"> notes on Gen. 2:4, p. 4; 14:18, p. 23; 15:2, p. 24; 17:1, p. 26; </w:t>
      </w:r>
    </w:p>
    <w:p w:rsidR="00975183" w:rsidRPr="008C6918" w:rsidRDefault="00975183" w:rsidP="00442D33">
      <w:pPr>
        <w:pStyle w:val="EndnoteText"/>
      </w:pPr>
      <w:r>
        <w:t>21:33, p. 32.</w:t>
      </w:r>
    </w:p>
  </w:endnote>
  <w:endnote w:id="951">
    <w:p w:rsidR="00975183" w:rsidRDefault="00975183" w:rsidP="00442D33">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Dan</w:t>
      </w:r>
      <w:r>
        <w:rPr>
          <w:szCs w:val="18"/>
        </w:rPr>
        <w:t>. 2:4, p. 899.</w:t>
      </w:r>
    </w:p>
  </w:endnote>
  <w:endnote w:id="952">
    <w:p w:rsidR="00975183" w:rsidRPr="00681AAE" w:rsidRDefault="00975183" w:rsidP="00442D33">
      <w:pPr>
        <w:pStyle w:val="FootnoteText"/>
        <w:rPr>
          <w:rFonts w:ascii="Perpetua" w:hAnsi="Perpetua"/>
        </w:rPr>
      </w:pPr>
      <w:r w:rsidRPr="00681AAE">
        <w:rPr>
          <w:rStyle w:val="EndnoteReference"/>
          <w:rFonts w:ascii="Perpetua" w:hAnsi="Perpetua"/>
        </w:rPr>
        <w:endnoteRef/>
      </w:r>
      <w:r w:rsidRPr="00681AAE">
        <w:rPr>
          <w:rFonts w:ascii="Perpetua" w:hAnsi="Perpetua"/>
        </w:rPr>
        <w:t xml:space="preserve"> John J. Collins, </w:t>
      </w:r>
      <w:r w:rsidRPr="00681AAE">
        <w:rPr>
          <w:rFonts w:ascii="Perpetua" w:hAnsi="Perpetua"/>
          <w:i/>
        </w:rPr>
        <w:t>Daniel: A Commentary on the Book of Daniel</w:t>
      </w:r>
      <w:r w:rsidRPr="00681AAE">
        <w:rPr>
          <w:rFonts w:ascii="Perpetua" w:hAnsi="Perpetua"/>
        </w:rPr>
        <w:t xml:space="preserve"> (Minneapolis: Fortress Press, 1993), p. 12.</w:t>
      </w:r>
    </w:p>
  </w:endnote>
  <w:endnote w:id="953">
    <w:p w:rsidR="00975183" w:rsidRPr="00681AAE" w:rsidRDefault="00975183" w:rsidP="00442D33">
      <w:pPr>
        <w:pStyle w:val="EndnoteText"/>
      </w:pPr>
      <w:r w:rsidRPr="00681AAE">
        <w:rPr>
          <w:rStyle w:val="EndnoteReference"/>
        </w:rPr>
        <w:endnoteRef/>
      </w:r>
      <w:r w:rsidRPr="00681AAE">
        <w:t xml:space="preserve"> Collins, </w:t>
      </w:r>
      <w:r w:rsidRPr="00681AAE">
        <w:rPr>
          <w:i/>
        </w:rPr>
        <w:t xml:space="preserve">Daniel, </w:t>
      </w:r>
      <w:r w:rsidRPr="00681AAE">
        <w:t>p. 12.</w:t>
      </w:r>
    </w:p>
  </w:endnote>
  <w:endnote w:id="954">
    <w:p w:rsidR="00975183" w:rsidRDefault="00975183" w:rsidP="00442D33">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Dan</w:t>
      </w:r>
      <w:r>
        <w:rPr>
          <w:szCs w:val="18"/>
        </w:rPr>
        <w:t>. 2:4, p. 899.</w:t>
      </w:r>
    </w:p>
  </w:endnote>
  <w:endnote w:id="955">
    <w:p w:rsidR="00975183" w:rsidRDefault="00975183" w:rsidP="00442D33">
      <w:pPr>
        <w:pStyle w:val="EndnoteText"/>
      </w:pPr>
      <w:r w:rsidRPr="00681AAE">
        <w:rPr>
          <w:rStyle w:val="EndnoteReference"/>
        </w:rPr>
        <w:endnoteRef/>
      </w:r>
      <w:r w:rsidRPr="00681AAE">
        <w:t xml:space="preserve"> Collins, </w:t>
      </w:r>
      <w:r w:rsidRPr="00681AAE">
        <w:rPr>
          <w:i/>
        </w:rPr>
        <w:t xml:space="preserve">Daniel, </w:t>
      </w:r>
      <w:r w:rsidRPr="00681AAE">
        <w:t>p. 12.</w:t>
      </w:r>
    </w:p>
  </w:endnote>
  <w:endnote w:id="956">
    <w:p w:rsidR="00975183" w:rsidRDefault="00975183" w:rsidP="00442D33">
      <w:pPr>
        <w:pStyle w:val="EndnoteText"/>
      </w:pPr>
      <w:r w:rsidRPr="00681AAE">
        <w:rPr>
          <w:rStyle w:val="EndnoteReference"/>
        </w:rPr>
        <w:endnoteRef/>
      </w:r>
      <w:r w:rsidRPr="00681AAE">
        <w:t xml:space="preserve"> Collins, </w:t>
      </w:r>
      <w:r w:rsidRPr="00681AAE">
        <w:rPr>
          <w:i/>
        </w:rPr>
        <w:t xml:space="preserve">Daniel, </w:t>
      </w:r>
      <w:r w:rsidRPr="00681AAE">
        <w:t>p</w:t>
      </w:r>
      <w:r>
        <w:t>p</w:t>
      </w:r>
      <w:r w:rsidRPr="00681AAE">
        <w:t xml:space="preserve">. </w:t>
      </w:r>
      <w:r>
        <w:t>13-15</w:t>
      </w:r>
      <w:r w:rsidRPr="00681AAE">
        <w:t>.</w:t>
      </w:r>
    </w:p>
  </w:endnote>
  <w:endnote w:id="957">
    <w:p w:rsidR="00975183" w:rsidRDefault="00975183" w:rsidP="00442D33">
      <w:pPr>
        <w:pStyle w:val="EndnoteText"/>
      </w:pPr>
      <w:r w:rsidRPr="00681AAE">
        <w:rPr>
          <w:rStyle w:val="EndnoteReference"/>
        </w:rPr>
        <w:endnoteRef/>
      </w:r>
      <w:r w:rsidRPr="00681AAE">
        <w:t xml:space="preserve"> Collins, </w:t>
      </w:r>
      <w:r w:rsidRPr="00681AAE">
        <w:rPr>
          <w:i/>
        </w:rPr>
        <w:t xml:space="preserve">Daniel, </w:t>
      </w:r>
      <w:r w:rsidRPr="00681AAE">
        <w:t>p</w:t>
      </w:r>
      <w:r>
        <w:t>p</w:t>
      </w:r>
      <w:r w:rsidRPr="00681AAE">
        <w:t xml:space="preserve">. </w:t>
      </w:r>
      <w:r>
        <w:t>15-17</w:t>
      </w:r>
      <w:r w:rsidRPr="00681AAE">
        <w:t>.</w:t>
      </w:r>
    </w:p>
  </w:endnote>
  <w:endnote w:id="958">
    <w:p w:rsidR="00975183" w:rsidRDefault="00975183" w:rsidP="00442D33">
      <w:pPr>
        <w:pStyle w:val="EndnoteText"/>
      </w:pPr>
      <w:r w:rsidRPr="00681AAE">
        <w:rPr>
          <w:rStyle w:val="EndnoteReference"/>
        </w:rPr>
        <w:endnoteRef/>
      </w:r>
      <w:r w:rsidRPr="00681AAE">
        <w:t xml:space="preserve"> Collins, </w:t>
      </w:r>
      <w:r w:rsidRPr="00681AAE">
        <w:rPr>
          <w:i/>
        </w:rPr>
        <w:t xml:space="preserve">Daniel, </w:t>
      </w:r>
      <w:r>
        <w:t>p</w:t>
      </w:r>
      <w:r w:rsidRPr="00681AAE">
        <w:t xml:space="preserve">. </w:t>
      </w:r>
      <w:r>
        <w:t>15</w:t>
      </w:r>
      <w:r w:rsidRPr="00681AAE">
        <w:t>.</w:t>
      </w:r>
    </w:p>
  </w:endnote>
  <w:endnote w:id="959">
    <w:p w:rsidR="00975183" w:rsidRDefault="00975183" w:rsidP="00442D33">
      <w:pPr>
        <w:pStyle w:val="EndnoteText"/>
      </w:pPr>
      <w:r w:rsidRPr="00681AAE">
        <w:rPr>
          <w:rStyle w:val="EndnoteReference"/>
        </w:rPr>
        <w:endnoteRef/>
      </w:r>
      <w:r w:rsidRPr="00681AAE">
        <w:t xml:space="preserve"> Collins, </w:t>
      </w:r>
      <w:r w:rsidRPr="00681AAE">
        <w:rPr>
          <w:i/>
        </w:rPr>
        <w:t xml:space="preserve">Daniel, </w:t>
      </w:r>
      <w:r w:rsidRPr="00681AAE">
        <w:t>p. 1</w:t>
      </w:r>
      <w:r>
        <w:t>7</w:t>
      </w:r>
      <w:r w:rsidRPr="00681AAE">
        <w:t>.</w:t>
      </w:r>
    </w:p>
  </w:endnote>
  <w:endnote w:id="960">
    <w:p w:rsidR="00975183" w:rsidRDefault="00975183" w:rsidP="00442D33">
      <w:pPr>
        <w:pStyle w:val="EndnoteText"/>
      </w:pPr>
      <w:r w:rsidRPr="00DA01AD">
        <w:rPr>
          <w:rStyle w:val="FootnoteReference"/>
        </w:rPr>
        <w:endnoteRef/>
      </w:r>
      <w:r w:rsidRPr="00DA01AD">
        <w:t xml:space="preserve"> </w:t>
      </w:r>
      <w:r w:rsidRPr="00DA01AD">
        <w:rPr>
          <w:szCs w:val="22"/>
        </w:rPr>
        <w:t xml:space="preserve">Bebbington, </w:t>
      </w:r>
      <w:r w:rsidRPr="00DA01AD">
        <w:rPr>
          <w:i/>
          <w:szCs w:val="22"/>
        </w:rPr>
        <w:t>Evangelicalism in Modern Britain</w:t>
      </w:r>
      <w:r w:rsidRPr="00DA01AD">
        <w:rPr>
          <w:szCs w:val="22"/>
        </w:rPr>
        <w:t>, pp. 5-17.</w:t>
      </w:r>
    </w:p>
  </w:endnote>
  <w:endnote w:id="961">
    <w:p w:rsidR="00975183" w:rsidRDefault="00975183" w:rsidP="00442D33">
      <w:pPr>
        <w:pStyle w:val="EndnoteText"/>
      </w:pPr>
      <w:r w:rsidRPr="00DA01AD">
        <w:rPr>
          <w:rStyle w:val="FootnoteReference"/>
        </w:rPr>
        <w:endnoteRef/>
      </w:r>
      <w:r w:rsidRPr="00DA01AD">
        <w:t xml:space="preserve"> Darby, ‘Connection of the cross with the entire development of God’s ways with man’</w:t>
      </w:r>
      <w:r>
        <w:t>,</w:t>
      </w:r>
      <w:r w:rsidRPr="00DA01AD">
        <w:t xml:space="preserve"> </w:t>
      </w:r>
      <w:r w:rsidRPr="00DA01AD">
        <w:rPr>
          <w:i/>
        </w:rPr>
        <w:t>Collected Works of J. N. Darby, Vol. 22, Doctrinal No. 6</w:t>
      </w:r>
      <w:r w:rsidRPr="00DA01AD">
        <w:t>, p. 365.  &lt;http://www.stempublishing.com/authors/darby/DOCTRINE/22006E.html&gt; [accessed 2.8.09].</w:t>
      </w:r>
    </w:p>
  </w:endnote>
  <w:endnote w:id="962">
    <w:p w:rsidR="00975183" w:rsidRDefault="00975183" w:rsidP="00442D33">
      <w:pPr>
        <w:pStyle w:val="EndnoteText"/>
      </w:pPr>
      <w:r w:rsidRPr="00DA01AD">
        <w:rPr>
          <w:rStyle w:val="FootnoteReference"/>
          <w:sz w:val="18"/>
        </w:rPr>
        <w:endnoteRef/>
      </w:r>
      <w:r w:rsidRPr="00DA01AD">
        <w:rPr>
          <w:sz w:val="18"/>
        </w:rPr>
        <w:t xml:space="preserve"> </w:t>
      </w:r>
      <w:r w:rsidRPr="00DA01AD">
        <w:t>Darby, ‘Letter to Professor Friedrich Tholuck</w:t>
      </w:r>
      <w:r>
        <w:t>’</w:t>
      </w:r>
      <w:r w:rsidRPr="00DA01AD">
        <w:t>, Letters, Vol. 3, p. 297.  &lt;http://www.stempublishing.com/authors/darby/letters/53226E.html&gt; [accessed 5.5.17].</w:t>
      </w:r>
    </w:p>
  </w:endnote>
  <w:endnote w:id="963">
    <w:p w:rsidR="00975183" w:rsidRDefault="00975183" w:rsidP="00442D33">
      <w:pPr>
        <w:pStyle w:val="EndnoteText"/>
      </w:pPr>
      <w:r w:rsidRPr="00DA01AD">
        <w:rPr>
          <w:rStyle w:val="FootnoteReference"/>
        </w:rPr>
        <w:endnoteRef/>
      </w:r>
      <w:r w:rsidRPr="00DA01AD">
        <w:t xml:space="preserve"> </w:t>
      </w:r>
      <w:r w:rsidRPr="00DA01AD">
        <w:rPr>
          <w:szCs w:val="22"/>
        </w:rPr>
        <w:t xml:space="preserve">Chafer, </w:t>
      </w:r>
      <w:r w:rsidRPr="00DA01AD">
        <w:rPr>
          <w:i/>
          <w:szCs w:val="22"/>
        </w:rPr>
        <w:t>Grace: An Exposition of God’s Marvelous Gift</w:t>
      </w:r>
      <w:r w:rsidRPr="00DA01AD">
        <w:rPr>
          <w:szCs w:val="22"/>
        </w:rPr>
        <w:t xml:space="preserve"> &lt;http://www.baptistbiblebelievers.com/BookList/GracebyLewisSperryChafer1922.aspx &gt; [accessed 1.1.17], chapter 1, points 1 and 6.</w:t>
      </w:r>
    </w:p>
  </w:endnote>
  <w:endnote w:id="964">
    <w:p w:rsidR="00975183" w:rsidRDefault="00975183" w:rsidP="00442D33">
      <w:pPr>
        <w:pStyle w:val="EndnoteText"/>
      </w:pPr>
      <w:r w:rsidRPr="00DA01AD">
        <w:rPr>
          <w:rStyle w:val="FootnoteReference"/>
        </w:rPr>
        <w:endnoteRef/>
      </w:r>
      <w:r w:rsidRPr="00DA01AD">
        <w:t xml:space="preserve"> </w:t>
      </w:r>
      <w:r w:rsidRPr="00DA01AD">
        <w:rPr>
          <w:szCs w:val="22"/>
        </w:rPr>
        <w:t xml:space="preserve">Chafer, </w:t>
      </w:r>
      <w:r w:rsidRPr="00DA01AD">
        <w:rPr>
          <w:i/>
          <w:szCs w:val="22"/>
        </w:rPr>
        <w:t>The Kingdom in History and Prophecy</w:t>
      </w:r>
      <w:r w:rsidRPr="00DA01AD">
        <w:rPr>
          <w:szCs w:val="22"/>
        </w:rPr>
        <w:t xml:space="preserve"> &lt;http://scofield.me/uploads/Kingdom_in_History.pdf&gt; [accessed 11.2.11].</w:t>
      </w:r>
    </w:p>
  </w:endnote>
  <w:endnote w:id="965">
    <w:p w:rsidR="00975183" w:rsidRDefault="00975183" w:rsidP="00442D33">
      <w:pPr>
        <w:pStyle w:val="EndnoteText"/>
      </w:pPr>
      <w:r w:rsidRPr="002C1086">
        <w:rPr>
          <w:rStyle w:val="EndnoteReference"/>
        </w:rPr>
        <w:endnoteRef/>
      </w:r>
      <w:r w:rsidRPr="002C1086">
        <w:t xml:space="preserve"> </w:t>
      </w:r>
      <w:r>
        <w:t xml:space="preserve">Chafer, </w:t>
      </w:r>
      <w:r w:rsidRPr="004F2C92">
        <w:rPr>
          <w:i/>
        </w:rPr>
        <w:t>Major Bible Themes</w:t>
      </w:r>
      <w:r>
        <w:t xml:space="preserve">, p. 63.  </w:t>
      </w:r>
      <w:proofErr w:type="gramStart"/>
      <w:r w:rsidRPr="00757596">
        <w:rPr>
          <w:b/>
        </w:rPr>
        <w:t>See 7.1.3</w:t>
      </w:r>
      <w:r>
        <w:t>.</w:t>
      </w:r>
      <w:proofErr w:type="gramEnd"/>
    </w:p>
  </w:endnote>
  <w:endnote w:id="966">
    <w:p w:rsidR="00975183" w:rsidRDefault="00975183" w:rsidP="00442D33">
      <w:pPr>
        <w:pStyle w:val="EndnoteText"/>
      </w:pPr>
      <w:r w:rsidRPr="00DA01AD">
        <w:rPr>
          <w:rStyle w:val="FootnoteReference"/>
        </w:rPr>
        <w:endnoteRef/>
      </w:r>
      <w:r w:rsidRPr="00DA01AD">
        <w:t xml:space="preserve"> Roy L. Aldrich, ‘An Apologetic for Dispensationalism’, </w:t>
      </w:r>
      <w:r w:rsidRPr="00DA01AD">
        <w:rPr>
          <w:i/>
          <w:szCs w:val="22"/>
        </w:rPr>
        <w:t>Bibliotheca Sacra</w:t>
      </w:r>
      <w:r w:rsidRPr="00DA01AD">
        <w:rPr>
          <w:szCs w:val="22"/>
        </w:rPr>
        <w:t>, Vol. 112:445 (Jan. 1955).  &lt;https://www.galaxie.com/article/bsac112-445-05&gt; [accessed 6.6.17].</w:t>
      </w:r>
    </w:p>
  </w:endnote>
  <w:endnote w:id="967">
    <w:p w:rsidR="00975183" w:rsidRPr="00600750" w:rsidRDefault="00975183" w:rsidP="00442D33">
      <w:pPr>
        <w:pStyle w:val="EndnoteText"/>
      </w:pPr>
      <w:r w:rsidRPr="00600750">
        <w:rPr>
          <w:rStyle w:val="EndnoteReference"/>
        </w:rPr>
        <w:endnoteRef/>
      </w:r>
      <w:r w:rsidRPr="00600750">
        <w:t xml:space="preserve"> </w:t>
      </w:r>
      <w:proofErr w:type="gramStart"/>
      <w:r w:rsidRPr="00757596">
        <w:rPr>
          <w:b/>
        </w:rPr>
        <w:t>See 2.3.1, a) i) and ii</w:t>
      </w:r>
      <w:r w:rsidRPr="00756197">
        <w:rPr>
          <w:b/>
        </w:rPr>
        <w:t>)</w:t>
      </w:r>
      <w:r w:rsidRPr="00756197">
        <w:t>.</w:t>
      </w:r>
      <w:proofErr w:type="gramEnd"/>
    </w:p>
  </w:endnote>
  <w:endnote w:id="968">
    <w:p w:rsidR="00975183" w:rsidRPr="00552449" w:rsidRDefault="00975183" w:rsidP="00442D33">
      <w:pPr>
        <w:pStyle w:val="EndnoteText"/>
      </w:pPr>
      <w:r w:rsidRPr="00552449">
        <w:rPr>
          <w:rStyle w:val="EndnoteReference"/>
        </w:rPr>
        <w:endnoteRef/>
      </w:r>
      <w:r w:rsidRPr="00552449">
        <w:t xml:space="preserve"> </w:t>
      </w:r>
      <w:r w:rsidRPr="00757596">
        <w:rPr>
          <w:b/>
        </w:rPr>
        <w:t>See Introduction, Discourses Table</w:t>
      </w:r>
      <w:r w:rsidRPr="00757596">
        <w:rPr>
          <w:color w:val="FF0000"/>
        </w:rPr>
        <w:t>.</w:t>
      </w:r>
      <w:r>
        <w:t xml:space="preserve">  Doctrinal discourses are highlighted.</w:t>
      </w:r>
    </w:p>
  </w:endnote>
  <w:endnote w:id="969">
    <w:p w:rsidR="00975183" w:rsidRPr="00757596"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r w:rsidRPr="00757596">
        <w:rPr>
          <w:b/>
        </w:rPr>
        <w:t xml:space="preserve">See 4.1.  </w:t>
      </w:r>
    </w:p>
  </w:endnote>
  <w:endnote w:id="970">
    <w:p w:rsidR="00975183" w:rsidRDefault="00975183" w:rsidP="00442D33">
      <w:pPr>
        <w:tabs>
          <w:tab w:val="right" w:pos="8504"/>
        </w:tabs>
        <w:spacing w:after="0" w:line="240" w:lineRule="auto"/>
      </w:pPr>
      <w:r w:rsidRPr="00DF71A0">
        <w:rPr>
          <w:rStyle w:val="FootnoteReference"/>
        </w:rPr>
        <w:endnoteRef/>
      </w:r>
      <w:r w:rsidRPr="00DF71A0">
        <w:t xml:space="preserve"> </w:t>
      </w:r>
      <w:r w:rsidRPr="00DF71A0">
        <w:rPr>
          <w:sz w:val="20"/>
          <w:szCs w:val="20"/>
        </w:rPr>
        <w:t xml:space="preserve">Thomas Ice, ‘A Short History of Dispensataionalism’.  </w:t>
      </w:r>
      <w:proofErr w:type="gramStart"/>
      <w:r w:rsidRPr="00DF71A0">
        <w:rPr>
          <w:sz w:val="20"/>
          <w:szCs w:val="20"/>
        </w:rPr>
        <w:t>(</w:t>
      </w:r>
      <w:r w:rsidRPr="00DF71A0">
        <w:rPr>
          <w:i/>
          <w:sz w:val="20"/>
          <w:szCs w:val="20"/>
        </w:rPr>
        <w:t>My emphasis</w:t>
      </w:r>
      <w:r w:rsidRPr="00DF71A0">
        <w:rPr>
          <w:sz w:val="20"/>
          <w:szCs w:val="20"/>
        </w:rPr>
        <w:t>.)</w:t>
      </w:r>
      <w:proofErr w:type="gramEnd"/>
    </w:p>
  </w:endnote>
  <w:endnote w:id="971">
    <w:p w:rsidR="00975183" w:rsidRDefault="00975183" w:rsidP="00442D33">
      <w:pPr>
        <w:pStyle w:val="EndnoteText"/>
      </w:pPr>
      <w:r w:rsidRPr="00DA01AD">
        <w:rPr>
          <w:rStyle w:val="FootnoteReference"/>
        </w:rPr>
        <w:endnoteRef/>
      </w:r>
      <w:r w:rsidRPr="00DA01AD">
        <w:t xml:space="preserve"> Johan D. Tangelder, </w:t>
      </w:r>
      <w:r w:rsidRPr="00DA01AD">
        <w:rPr>
          <w:rStyle w:val="sources"/>
        </w:rPr>
        <w:t>‘Reformed Reflections: Modern Dispensationalism: What Does It Teach?</w:t>
      </w:r>
      <w:proofErr w:type="gramStart"/>
      <w:r w:rsidRPr="00DA01AD">
        <w:rPr>
          <w:rStyle w:val="sources"/>
        </w:rPr>
        <w:t>’,</w:t>
      </w:r>
      <w:proofErr w:type="gramEnd"/>
      <w:r w:rsidRPr="00DA01AD">
        <w:rPr>
          <w:rStyle w:val="sources"/>
        </w:rPr>
        <w:t xml:space="preserve"> Reformed Reflections, April 1975 &lt;</w:t>
      </w:r>
      <w:r w:rsidRPr="00DA01AD">
        <w:t>http://www.reformedreflections.ca/articles/th-modern-dispensationalism.html</w:t>
      </w:r>
      <w:r w:rsidRPr="00DA01AD">
        <w:rPr>
          <w:rStyle w:val="sources"/>
        </w:rPr>
        <w:t>&gt; [accessed 23.4.17], ‘What it teaches’, No. 3.</w:t>
      </w:r>
    </w:p>
  </w:endnote>
  <w:endnote w:id="972">
    <w:p w:rsidR="00975183" w:rsidRDefault="00975183" w:rsidP="00442D33">
      <w:pPr>
        <w:pStyle w:val="EndnoteText"/>
      </w:pPr>
      <w:r w:rsidRPr="00DA01AD">
        <w:rPr>
          <w:rStyle w:val="FootnoteReference"/>
        </w:rPr>
        <w:endnoteRef/>
      </w:r>
      <w:r w:rsidRPr="00DA01AD">
        <w:t xml:space="preserve"> Tangelder, ‘Modern Dispensationalism’, ‘An Evaluation’, No. 3.</w:t>
      </w:r>
    </w:p>
  </w:endnote>
  <w:endnote w:id="973">
    <w:p w:rsidR="00975183" w:rsidRDefault="00975183" w:rsidP="00442D33">
      <w:pPr>
        <w:pStyle w:val="EndnoteText"/>
      </w:pPr>
      <w:r w:rsidRPr="00DA01AD">
        <w:rPr>
          <w:rStyle w:val="FootnoteReference"/>
          <w:sz w:val="18"/>
        </w:rPr>
        <w:endnoteRef/>
      </w:r>
      <w:r w:rsidRPr="00DA01AD">
        <w:rPr>
          <w:sz w:val="18"/>
        </w:rPr>
        <w:t xml:space="preserve"> </w:t>
      </w:r>
      <w:proofErr w:type="gramStart"/>
      <w:r w:rsidRPr="00DA01AD">
        <w:t>Darby, ‘Letter to Professor Friedrich Tholuck</w:t>
      </w:r>
      <w:r>
        <w:t>’</w:t>
      </w:r>
      <w:r w:rsidRPr="00DA01AD">
        <w:t>, Letters, Vol. 3</w:t>
      </w:r>
      <w:r>
        <w:t xml:space="preserve"> (</w:t>
      </w:r>
      <w:r w:rsidRPr="00EB56B3">
        <w:rPr>
          <w:i/>
        </w:rPr>
        <w:t>no page numberavailable</w:t>
      </w:r>
      <w:r>
        <w:t>)</w:t>
      </w:r>
      <w:r w:rsidRPr="00DA01AD">
        <w:t>.</w:t>
      </w:r>
      <w:proofErr w:type="gramEnd"/>
      <w:r w:rsidRPr="00DA01AD">
        <w:t xml:space="preserve">  &lt;http://www.stempublishing.com/authors/darby/letters/53226E.html&gt; [accessed 5.5.17].</w:t>
      </w:r>
    </w:p>
  </w:endnote>
  <w:endnote w:id="974">
    <w:p w:rsidR="00975183" w:rsidRDefault="00975183" w:rsidP="00442D33">
      <w:pPr>
        <w:pStyle w:val="EndnoteText"/>
      </w:pPr>
      <w:r>
        <w:rPr>
          <w:rStyle w:val="EndnoteReference"/>
        </w:rPr>
        <w:endnoteRef/>
      </w:r>
      <w:r>
        <w:t xml:space="preserve"> </w:t>
      </w:r>
      <w:r w:rsidRPr="00EB56B3">
        <w:t xml:space="preserve">Darby, ‘The Hopes of the Church of God’, Lectures at Geneva, Lecture 11, </w:t>
      </w:r>
      <w:r w:rsidRPr="00EB56B3">
        <w:rPr>
          <w:i/>
        </w:rPr>
        <w:t>Collected Writings, Prophetic Vol. 2</w:t>
      </w:r>
      <w:r w:rsidRPr="00EB56B3">
        <w:t xml:space="preserve">, </w:t>
      </w:r>
    </w:p>
    <w:p w:rsidR="00975183" w:rsidRPr="00EB56B3" w:rsidRDefault="00975183" w:rsidP="00442D33">
      <w:pPr>
        <w:pStyle w:val="EndnoteText"/>
        <w:rPr>
          <w:sz w:val="14"/>
        </w:rPr>
      </w:pPr>
      <w:r>
        <w:t>p. 372</w:t>
      </w:r>
      <w:r w:rsidRPr="00EB56B3">
        <w:t xml:space="preserve"> &lt;http://www.stempublishing.com/authors/darby/PROPHET/02021E.html&gt; [accessed 9.11.17].</w:t>
      </w:r>
    </w:p>
  </w:endnote>
  <w:endnote w:id="975">
    <w:p w:rsidR="00975183" w:rsidRDefault="00975183" w:rsidP="00442D33">
      <w:pPr>
        <w:pStyle w:val="EndnoteText"/>
      </w:pPr>
      <w:r w:rsidRPr="005A4949">
        <w:rPr>
          <w:rStyle w:val="FootnoteReference"/>
        </w:rPr>
        <w:endnoteRef/>
      </w:r>
      <w:r w:rsidRPr="005A4949">
        <w:t xml:space="preserve"> Ramm, </w:t>
      </w:r>
      <w:r w:rsidRPr="005A4949">
        <w:rPr>
          <w:i/>
        </w:rPr>
        <w:t>Protestant Biblical Interpretation</w:t>
      </w:r>
      <w:r w:rsidRPr="005A4949">
        <w:t xml:space="preserve">, pp. 267-8.  </w:t>
      </w:r>
      <w:r w:rsidRPr="00757596">
        <w:rPr>
          <w:b/>
        </w:rPr>
        <w:t xml:space="preserve">See 1.2, </w:t>
      </w:r>
      <w:r w:rsidRPr="00757596">
        <w:rPr>
          <w:b/>
          <w:i/>
        </w:rPr>
        <w:t>The Interpretation of Prophecy</w:t>
      </w:r>
      <w:r w:rsidRPr="00757596">
        <w:t>.</w:t>
      </w:r>
    </w:p>
  </w:endnote>
  <w:endnote w:id="976">
    <w:p w:rsidR="00975183" w:rsidRDefault="00975183" w:rsidP="00442D33">
      <w:pPr>
        <w:pStyle w:val="EndnoteText"/>
      </w:pPr>
      <w:r w:rsidRPr="005A4949">
        <w:rPr>
          <w:rStyle w:val="FootnoteReference"/>
        </w:rPr>
        <w:endnoteRef/>
      </w:r>
      <w:r w:rsidRPr="005A4949">
        <w:t xml:space="preserve"> </w:t>
      </w:r>
      <w:r w:rsidRPr="005A4949">
        <w:rPr>
          <w:rStyle w:val="sources"/>
        </w:rPr>
        <w:t xml:space="preserve">Tan, </w:t>
      </w:r>
      <w:r w:rsidRPr="005A4949">
        <w:rPr>
          <w:rStyle w:val="sources"/>
          <w:i/>
        </w:rPr>
        <w:t>Interpretation of Prophecy</w:t>
      </w:r>
      <w:r w:rsidRPr="005A4949">
        <w:rPr>
          <w:rStyle w:val="sources"/>
        </w:rPr>
        <w:t>, p. 104.</w:t>
      </w:r>
    </w:p>
  </w:endnote>
  <w:endnote w:id="977">
    <w:p w:rsidR="00975183" w:rsidRDefault="00975183" w:rsidP="00442D33">
      <w:pPr>
        <w:pStyle w:val="EndnoteText"/>
      </w:pPr>
      <w:r w:rsidRPr="0044037F">
        <w:rPr>
          <w:rStyle w:val="EndnoteReference"/>
        </w:rPr>
        <w:endnoteRef/>
      </w:r>
      <w:r w:rsidRPr="0044037F">
        <w:t xml:space="preserve"> </w:t>
      </w:r>
      <w:proofErr w:type="gramStart"/>
      <w:r w:rsidRPr="003A0F58">
        <w:t>‘</w:t>
      </w:r>
      <w:r>
        <w:t xml:space="preserve">A </w:t>
      </w:r>
      <w:r w:rsidRPr="003A0F58">
        <w:t>Panoramic View</w:t>
      </w:r>
      <w:r>
        <w:t xml:space="preserve"> of the Bible</w:t>
      </w:r>
      <w:r w:rsidRPr="003A0F58">
        <w:t xml:space="preserve">’, </w:t>
      </w:r>
      <w:r w:rsidRPr="003A0F58">
        <w:rPr>
          <w:i/>
        </w:rPr>
        <w:t>SRB</w:t>
      </w:r>
      <w:r w:rsidRPr="003A0F58">
        <w:t>, p</w:t>
      </w:r>
      <w:r>
        <w:t>p</w:t>
      </w:r>
      <w:r w:rsidRPr="003A0F58">
        <w:t xml:space="preserve">. </w:t>
      </w:r>
      <w:r>
        <w:t>v-</w:t>
      </w:r>
      <w:r w:rsidRPr="003A0F58">
        <w:t>vi.</w:t>
      </w:r>
      <w:proofErr w:type="gramEnd"/>
    </w:p>
  </w:endnote>
  <w:endnote w:id="978">
    <w:p w:rsidR="00975183" w:rsidRPr="001145E9" w:rsidRDefault="00975183" w:rsidP="00442D33">
      <w:pPr>
        <w:pStyle w:val="EndnoteText"/>
      </w:pPr>
      <w:r w:rsidRPr="001145E9">
        <w:rPr>
          <w:rStyle w:val="EndnoteReference"/>
        </w:rPr>
        <w:endnoteRef/>
      </w:r>
      <w:r w:rsidRPr="001145E9">
        <w:t xml:space="preserve"> ‘A P</w:t>
      </w:r>
      <w:r>
        <w:t>a</w:t>
      </w:r>
      <w:r w:rsidRPr="001145E9">
        <w:t>n</w:t>
      </w:r>
      <w:r>
        <w:t xml:space="preserve">oramic View of </w:t>
      </w:r>
      <w:proofErr w:type="gramStart"/>
      <w:r>
        <w:t>The</w:t>
      </w:r>
      <w:proofErr w:type="gramEnd"/>
      <w:r>
        <w:t xml:space="preserve"> Bible’, </w:t>
      </w:r>
      <w:r w:rsidRPr="001145E9">
        <w:rPr>
          <w:i/>
        </w:rPr>
        <w:t>SRB</w:t>
      </w:r>
      <w:r>
        <w:t xml:space="preserve">, p. v.  </w:t>
      </w:r>
      <w:proofErr w:type="gramStart"/>
      <w:r>
        <w:t>(</w:t>
      </w:r>
      <w:r w:rsidRPr="001145E9">
        <w:rPr>
          <w:i/>
        </w:rPr>
        <w:t>Scofield’s emphases</w:t>
      </w:r>
      <w:r>
        <w:t>.)</w:t>
      </w:r>
      <w:proofErr w:type="gramEnd"/>
    </w:p>
  </w:endnote>
  <w:endnote w:id="979">
    <w:p w:rsidR="00975183" w:rsidRPr="003A0F58" w:rsidRDefault="00975183" w:rsidP="00442D33">
      <w:pPr>
        <w:pStyle w:val="EndnoteText"/>
      </w:pPr>
      <w:r w:rsidRPr="003A0F58">
        <w:rPr>
          <w:rStyle w:val="EndnoteReference"/>
        </w:rPr>
        <w:endnoteRef/>
      </w:r>
      <w:r w:rsidRPr="003A0F58">
        <w:t xml:space="preserve"> ‘Panoramic View’ </w:t>
      </w:r>
      <w:r w:rsidRPr="003A0F58">
        <w:rPr>
          <w:i/>
        </w:rPr>
        <w:t>SRB</w:t>
      </w:r>
      <w:r w:rsidRPr="003A0F58">
        <w:t xml:space="preserve">, p. </w:t>
      </w:r>
      <w:proofErr w:type="gramStart"/>
      <w:r w:rsidRPr="003A0F58">
        <w:t>vi</w:t>
      </w:r>
      <w:proofErr w:type="gramEnd"/>
      <w:r w:rsidRPr="003A0F58">
        <w:t>.</w:t>
      </w:r>
    </w:p>
  </w:endnote>
  <w:endnote w:id="980">
    <w:p w:rsidR="00975183" w:rsidRPr="00425FB1" w:rsidRDefault="00975183" w:rsidP="00442D33">
      <w:pPr>
        <w:pStyle w:val="EndnoteText"/>
      </w:pPr>
      <w:r w:rsidRPr="00425FB1">
        <w:rPr>
          <w:rStyle w:val="EndnoteReference"/>
        </w:rPr>
        <w:endnoteRef/>
      </w:r>
      <w:r w:rsidRPr="00425FB1">
        <w:t xml:space="preserve"> </w:t>
      </w:r>
      <w:r w:rsidRPr="006F49AF">
        <w:t xml:space="preserve">‘Panoramic View’, </w:t>
      </w:r>
      <w:r w:rsidRPr="006F49AF">
        <w:rPr>
          <w:i/>
        </w:rPr>
        <w:t>SRB</w:t>
      </w:r>
      <w:r w:rsidRPr="006F49AF">
        <w:t xml:space="preserve">, p. </w:t>
      </w:r>
      <w:proofErr w:type="gramStart"/>
      <w:r w:rsidRPr="006F49AF">
        <w:t>v</w:t>
      </w:r>
      <w:r>
        <w:t>i</w:t>
      </w:r>
      <w:proofErr w:type="gramEnd"/>
      <w:r w:rsidRPr="006F49AF">
        <w:t>.</w:t>
      </w:r>
      <w:r>
        <w:t xml:space="preserve">  Ref. Gen. 3:15.</w:t>
      </w:r>
    </w:p>
  </w:endnote>
  <w:endnote w:id="981">
    <w:p w:rsidR="00975183" w:rsidRDefault="00975183" w:rsidP="00442D33">
      <w:pPr>
        <w:pStyle w:val="EndnoteText"/>
      </w:pPr>
      <w:r w:rsidRPr="00425FB1">
        <w:rPr>
          <w:rStyle w:val="EndnoteReference"/>
        </w:rPr>
        <w:endnoteRef/>
      </w:r>
      <w:r w:rsidRPr="00425FB1">
        <w:t xml:space="preserve"> </w:t>
      </w:r>
      <w:r w:rsidRPr="006F49AF">
        <w:t xml:space="preserve">‘Panoramic View’, </w:t>
      </w:r>
      <w:r w:rsidRPr="006F49AF">
        <w:rPr>
          <w:i/>
        </w:rPr>
        <w:t>SRB</w:t>
      </w:r>
      <w:r w:rsidRPr="006F49AF">
        <w:t xml:space="preserve">, p. </w:t>
      </w:r>
      <w:proofErr w:type="gramStart"/>
      <w:r w:rsidRPr="006F49AF">
        <w:t>v</w:t>
      </w:r>
      <w:r>
        <w:t>i</w:t>
      </w:r>
      <w:proofErr w:type="gramEnd"/>
      <w:r w:rsidRPr="006F49AF">
        <w:t>.</w:t>
      </w:r>
      <w:r>
        <w:t xml:space="preserve">  Ref. Jn 14:1-3.</w:t>
      </w:r>
    </w:p>
  </w:endnote>
  <w:endnote w:id="982">
    <w:p w:rsidR="00975183" w:rsidRPr="0039447B" w:rsidRDefault="00975183" w:rsidP="00442D33">
      <w:pPr>
        <w:pStyle w:val="EndnoteText"/>
      </w:pPr>
      <w:r w:rsidRPr="0039447B">
        <w:rPr>
          <w:rStyle w:val="EndnoteReference"/>
        </w:rPr>
        <w:endnoteRef/>
      </w:r>
      <w:r w:rsidRPr="0039447B">
        <w:t xml:space="preserve"> </w:t>
      </w:r>
      <w:r w:rsidRPr="00757596">
        <w:rPr>
          <w:b/>
        </w:rPr>
        <w:t>See Chapter 4</w:t>
      </w:r>
      <w:r>
        <w:t>.</w:t>
      </w:r>
    </w:p>
  </w:endnote>
  <w:endnote w:id="983">
    <w:p w:rsidR="00975183" w:rsidRPr="00C37B5E" w:rsidRDefault="00975183" w:rsidP="00442D33">
      <w:pPr>
        <w:pStyle w:val="EndnoteText"/>
      </w:pPr>
      <w:r w:rsidRPr="00C37B5E">
        <w:rPr>
          <w:rStyle w:val="EndnoteReference"/>
        </w:rPr>
        <w:endnoteRef/>
      </w:r>
      <w:r w:rsidRPr="00C37B5E">
        <w:t xml:space="preserve"> Blaising and Bock</w:t>
      </w:r>
      <w:r>
        <w:t xml:space="preserve">, </w:t>
      </w:r>
      <w:r w:rsidRPr="00DA01AD">
        <w:t xml:space="preserve">‘Dispensationalism, Israel and the Church: Assessment and Dialogue’ in </w:t>
      </w:r>
      <w:r w:rsidRPr="00DA01AD">
        <w:rPr>
          <w:i/>
        </w:rPr>
        <w:t>Dispensationalism, Israel &amp; Church</w:t>
      </w:r>
      <w:r w:rsidRPr="00DA01AD">
        <w:t>, p. 38</w:t>
      </w:r>
      <w:r w:rsidRPr="00C37B5E">
        <w:t xml:space="preserve">3.  </w:t>
      </w:r>
    </w:p>
  </w:endnote>
  <w:endnote w:id="984">
    <w:p w:rsidR="00975183" w:rsidRDefault="00975183" w:rsidP="00442D33">
      <w:pPr>
        <w:pStyle w:val="EndnoteText"/>
      </w:pPr>
      <w:r w:rsidRPr="006727AA">
        <w:rPr>
          <w:rStyle w:val="FootnoteReference"/>
        </w:rPr>
        <w:endnoteRef/>
      </w:r>
      <w:r w:rsidRPr="006727AA">
        <w:t xml:space="preserve"> </w:t>
      </w:r>
      <w:r w:rsidRPr="00DA01AD">
        <w:rPr>
          <w:lang w:val="en-US"/>
        </w:rPr>
        <w:t xml:space="preserve">Williams, </w:t>
      </w:r>
      <w:r w:rsidRPr="00DA01AD">
        <w:rPr>
          <w:i/>
          <w:lang w:val="en-US"/>
        </w:rPr>
        <w:t>Not My Home</w:t>
      </w:r>
      <w:r w:rsidRPr="00DA01AD">
        <w:rPr>
          <w:lang w:val="en-US"/>
        </w:rPr>
        <w:t>, p</w:t>
      </w:r>
      <w:r>
        <w:rPr>
          <w:lang w:val="en-US"/>
        </w:rPr>
        <w:t>p</w:t>
      </w:r>
      <w:r w:rsidRPr="00DA01AD">
        <w:rPr>
          <w:lang w:val="en-US"/>
        </w:rPr>
        <w:t xml:space="preserve">. </w:t>
      </w:r>
      <w:r>
        <w:rPr>
          <w:lang w:val="en-US"/>
        </w:rPr>
        <w:t>8-9</w:t>
      </w:r>
    </w:p>
  </w:endnote>
  <w:endnote w:id="985">
    <w:p w:rsidR="00975183" w:rsidRDefault="00975183" w:rsidP="00442D33">
      <w:pPr>
        <w:pStyle w:val="EndnoteText"/>
      </w:pPr>
      <w:r w:rsidRPr="00DA01AD">
        <w:rPr>
          <w:rStyle w:val="FootnoteReference"/>
        </w:rPr>
        <w:endnoteRef/>
      </w:r>
      <w:r w:rsidRPr="00DA01AD">
        <w:t xml:space="preserve"> Ryrie, </w:t>
      </w:r>
      <w:r w:rsidRPr="00DA01AD">
        <w:rPr>
          <w:i/>
        </w:rPr>
        <w:t>Dispensationalism Today</w:t>
      </w:r>
      <w:r w:rsidRPr="00DA01AD">
        <w:t>, p. 4</w:t>
      </w:r>
      <w:r>
        <w:t>7</w:t>
      </w:r>
      <w:r w:rsidRPr="00DA01AD">
        <w:t>.</w:t>
      </w:r>
    </w:p>
  </w:endnote>
  <w:endnote w:id="986">
    <w:p w:rsidR="00975183" w:rsidRDefault="00975183" w:rsidP="00442D33">
      <w:pPr>
        <w:pStyle w:val="EndnoteText"/>
      </w:pPr>
      <w:r w:rsidRPr="00DA01AD">
        <w:rPr>
          <w:rStyle w:val="FootnoteReference"/>
        </w:rPr>
        <w:endnoteRef/>
      </w:r>
      <w:r w:rsidRPr="00DA01AD">
        <w:t xml:space="preserve"> Ryrie, </w:t>
      </w:r>
      <w:r w:rsidRPr="00DA01AD">
        <w:rPr>
          <w:i/>
        </w:rPr>
        <w:t>Dispensationalism Today</w:t>
      </w:r>
      <w:r w:rsidRPr="00DA01AD">
        <w:t>, pp. 44-5.</w:t>
      </w:r>
    </w:p>
  </w:endnote>
  <w:endnote w:id="987">
    <w:p w:rsidR="00975183" w:rsidRDefault="00975183" w:rsidP="00442D33">
      <w:pPr>
        <w:pStyle w:val="EndnoteText"/>
      </w:pPr>
      <w:r w:rsidRPr="00DA01AD">
        <w:rPr>
          <w:rStyle w:val="FootnoteReference"/>
        </w:rPr>
        <w:endnoteRef/>
      </w:r>
      <w:r w:rsidRPr="00DA01AD">
        <w:t xml:space="preserve"> Ryrie, </w:t>
      </w:r>
      <w:r w:rsidRPr="00DA01AD">
        <w:rPr>
          <w:i/>
        </w:rPr>
        <w:t>Dispensationalism Today</w:t>
      </w:r>
      <w:r>
        <w:t xml:space="preserve">, </w:t>
      </w:r>
      <w:r w:rsidRPr="00DA01AD">
        <w:t>p. 45.</w:t>
      </w:r>
    </w:p>
  </w:endnote>
  <w:endnote w:id="988">
    <w:p w:rsidR="00975183" w:rsidRDefault="00975183" w:rsidP="00442D33">
      <w:pPr>
        <w:pStyle w:val="EndnoteText"/>
      </w:pPr>
      <w:r w:rsidRPr="000E6B11">
        <w:rPr>
          <w:rStyle w:val="FootnoteReference"/>
        </w:rPr>
        <w:endnoteRef/>
      </w:r>
      <w:r w:rsidRPr="000E6B11">
        <w:t xml:space="preserve"> </w:t>
      </w:r>
      <w:r w:rsidRPr="0058131B">
        <w:rPr>
          <w:szCs w:val="22"/>
        </w:rPr>
        <w:t xml:space="preserve">Feinberg, ‘System of </w:t>
      </w:r>
      <w:r w:rsidRPr="00DC2744">
        <w:rPr>
          <w:szCs w:val="22"/>
        </w:rPr>
        <w:t>Discontinuity’</w:t>
      </w:r>
      <w:r>
        <w:rPr>
          <w:szCs w:val="22"/>
        </w:rPr>
        <w:t>, ‘Multiple Senses of Terms Like “Jew,” “Seed of Abraham”’.</w:t>
      </w:r>
    </w:p>
  </w:endnote>
  <w:endnote w:id="989">
    <w:p w:rsidR="00975183" w:rsidRDefault="00975183" w:rsidP="00442D33">
      <w:pPr>
        <w:pStyle w:val="EndnoteText"/>
      </w:pPr>
      <w:r w:rsidRPr="00356CF2">
        <w:rPr>
          <w:rStyle w:val="FootnoteReference"/>
        </w:rPr>
        <w:endnoteRef/>
      </w:r>
      <w:r w:rsidRPr="00356CF2">
        <w:t xml:space="preserve"> </w:t>
      </w:r>
      <w:r w:rsidRPr="00DA01AD">
        <w:rPr>
          <w:lang w:val="en-US"/>
        </w:rPr>
        <w:t xml:space="preserve">Williams, </w:t>
      </w:r>
      <w:r w:rsidRPr="00DA01AD">
        <w:rPr>
          <w:i/>
          <w:lang w:val="en-US"/>
        </w:rPr>
        <w:t>Not My Home</w:t>
      </w:r>
      <w:r w:rsidRPr="00DA01AD">
        <w:rPr>
          <w:lang w:val="en-US"/>
        </w:rPr>
        <w:t xml:space="preserve">, p. </w:t>
      </w:r>
      <w:r>
        <w:rPr>
          <w:lang w:val="en-US"/>
        </w:rPr>
        <w:t>9</w:t>
      </w:r>
      <w:r w:rsidRPr="00DA01AD">
        <w:rPr>
          <w:lang w:val="en-US"/>
        </w:rPr>
        <w:t>.</w:t>
      </w:r>
    </w:p>
  </w:endnote>
  <w:endnote w:id="990">
    <w:p w:rsidR="00975183" w:rsidRDefault="00975183" w:rsidP="00442D33">
      <w:pPr>
        <w:pStyle w:val="EndnoteText"/>
      </w:pPr>
      <w:r w:rsidRPr="00AA7DD9">
        <w:rPr>
          <w:rStyle w:val="EndnoteReference"/>
        </w:rPr>
        <w:endnoteRef/>
      </w:r>
      <w:r w:rsidRPr="00AA7DD9">
        <w:t xml:space="preserve"> </w:t>
      </w:r>
      <w:r w:rsidRPr="005860A1">
        <w:t>Sweetnam, ‘British and Irish Roo</w:t>
      </w:r>
      <w:r>
        <w:t xml:space="preserve">ts of </w:t>
      </w:r>
      <w:proofErr w:type="gramStart"/>
      <w:r w:rsidRPr="008F18BB">
        <w:rPr>
          <w:i/>
        </w:rPr>
        <w:t>The</w:t>
      </w:r>
      <w:proofErr w:type="gramEnd"/>
      <w:r w:rsidRPr="008F18BB">
        <w:rPr>
          <w:i/>
        </w:rPr>
        <w:t xml:space="preserve"> Scofield Reference Bible</w:t>
      </w:r>
      <w:r w:rsidRPr="005860A1">
        <w:t>’ in ‘Theological Roots of The Scofield Reference Bible’</w:t>
      </w:r>
      <w:r>
        <w:t>,</w:t>
      </w:r>
      <w:r w:rsidRPr="005860A1">
        <w:t xml:space="preserve"> in Mangum and Sweetnam, </w:t>
      </w:r>
      <w:r w:rsidRPr="005860A1">
        <w:rPr>
          <w:i/>
        </w:rPr>
        <w:t>History and Impact</w:t>
      </w:r>
      <w:r w:rsidRPr="005860A1">
        <w:t>, p. 69.</w:t>
      </w:r>
    </w:p>
  </w:endnote>
  <w:endnote w:id="991">
    <w:p w:rsidR="00975183" w:rsidRDefault="00975183" w:rsidP="00442D33">
      <w:pPr>
        <w:pStyle w:val="EndnoteText"/>
      </w:pPr>
      <w:r w:rsidRPr="00DA01AD">
        <w:rPr>
          <w:rStyle w:val="FootnoteReference"/>
        </w:rPr>
        <w:endnoteRef/>
      </w:r>
      <w:r w:rsidRPr="00DA01AD">
        <w:t xml:space="preserve"> Sweetnam, ‘Defining Dispensationalism’, p. 203.</w:t>
      </w:r>
    </w:p>
  </w:endnote>
  <w:endnote w:id="992">
    <w:p w:rsidR="00975183" w:rsidRDefault="00975183" w:rsidP="00442D33">
      <w:pPr>
        <w:pStyle w:val="EndnoteText"/>
      </w:pPr>
      <w:r w:rsidRPr="004339A8">
        <w:rPr>
          <w:rStyle w:val="FootnoteReference"/>
        </w:rPr>
        <w:endnoteRef/>
      </w:r>
      <w:r w:rsidRPr="004339A8">
        <w:t xml:space="preserve"> </w:t>
      </w:r>
      <w:r w:rsidRPr="00DA01AD">
        <w:t xml:space="preserve">Ryrie, </w:t>
      </w:r>
      <w:r w:rsidRPr="00DA01AD">
        <w:rPr>
          <w:i/>
        </w:rPr>
        <w:t>Dispensationalism Today</w:t>
      </w:r>
      <w:r>
        <w:t xml:space="preserve">, </w:t>
      </w:r>
      <w:r w:rsidRPr="00DA01AD">
        <w:t>p. 4</w:t>
      </w:r>
      <w:r>
        <w:t>7</w:t>
      </w:r>
      <w:r w:rsidRPr="00DA01AD">
        <w:t>.</w:t>
      </w:r>
    </w:p>
  </w:endnote>
  <w:endnote w:id="993">
    <w:p w:rsidR="00975183" w:rsidRDefault="00975183" w:rsidP="00442D33">
      <w:pPr>
        <w:pStyle w:val="EndnoteText"/>
      </w:pPr>
      <w:r w:rsidRPr="004339A8">
        <w:rPr>
          <w:rStyle w:val="FootnoteReference"/>
        </w:rPr>
        <w:endnoteRef/>
      </w:r>
      <w:r w:rsidRPr="004339A8">
        <w:t xml:space="preserve"> </w:t>
      </w:r>
      <w:proofErr w:type="gramStart"/>
      <w:r>
        <w:t xml:space="preserve">Henzel, </w:t>
      </w:r>
      <w:r w:rsidRPr="005C5439">
        <w:rPr>
          <w:i/>
        </w:rPr>
        <w:t xml:space="preserve">Darby, Dualism, </w:t>
      </w:r>
      <w:r>
        <w:rPr>
          <w:i/>
        </w:rPr>
        <w:t xml:space="preserve">&amp; </w:t>
      </w:r>
      <w:r w:rsidRPr="005C5439">
        <w:rPr>
          <w:i/>
        </w:rPr>
        <w:t>Decline of Dispensationalism</w:t>
      </w:r>
      <w:r>
        <w:t>, pp. 76, 74.</w:t>
      </w:r>
      <w:proofErr w:type="gramEnd"/>
      <w:r>
        <w:t xml:space="preserve">  </w:t>
      </w:r>
      <w:proofErr w:type="gramStart"/>
      <w:r>
        <w:t>ref</w:t>
      </w:r>
      <w:proofErr w:type="gramEnd"/>
      <w:r>
        <w:t xml:space="preserve">. </w:t>
      </w:r>
      <w:r w:rsidRPr="00484FB1">
        <w:rPr>
          <w:i/>
        </w:rPr>
        <w:t>Darby, Letters</w:t>
      </w:r>
      <w:r>
        <w:t>, Stem Publishing &lt;</w:t>
      </w:r>
      <w:r w:rsidRPr="005C5439">
        <w:t>http://www.stempublishing.com/authors/darby/letters/53226E.html</w:t>
      </w:r>
      <w:r>
        <w:t>&gt; [accessed 5.5.17].</w:t>
      </w:r>
    </w:p>
  </w:endnote>
  <w:endnote w:id="994">
    <w:p w:rsidR="00975183" w:rsidRDefault="00975183" w:rsidP="00442D33">
      <w:pPr>
        <w:pStyle w:val="EndnoteText"/>
      </w:pPr>
      <w:r w:rsidRPr="005039BE">
        <w:rPr>
          <w:rStyle w:val="FootnoteReference"/>
        </w:rPr>
        <w:endnoteRef/>
      </w:r>
      <w:r w:rsidRPr="005039BE">
        <w:t xml:space="preserve"> </w:t>
      </w:r>
      <w:r>
        <w:t xml:space="preserve">Henzel, </w:t>
      </w:r>
      <w:r w:rsidRPr="005039BE">
        <w:rPr>
          <w:i/>
        </w:rPr>
        <w:t>Darby, Dualism, &amp; Decline of Dispensationalism</w:t>
      </w:r>
      <w:r>
        <w:t>, p. 68.</w:t>
      </w:r>
    </w:p>
  </w:endnote>
  <w:endnote w:id="995">
    <w:p w:rsidR="00975183" w:rsidRDefault="00975183" w:rsidP="00442D33">
      <w:pPr>
        <w:pStyle w:val="EndnoteText"/>
      </w:pPr>
      <w:r w:rsidRPr="007C5C61">
        <w:rPr>
          <w:rStyle w:val="FootnoteReference"/>
        </w:rPr>
        <w:endnoteRef/>
      </w:r>
      <w:r w:rsidRPr="007C5C61">
        <w:t xml:space="preserve"> </w:t>
      </w:r>
      <w:r>
        <w:t>Darby, ‘</w:t>
      </w:r>
      <w:r w:rsidRPr="007C5C61">
        <w:rPr>
          <w:bCs/>
        </w:rPr>
        <w:t>Brief Remarks on the W</w:t>
      </w:r>
      <w:r>
        <w:rPr>
          <w:bCs/>
        </w:rPr>
        <w:t>or</w:t>
      </w:r>
      <w:r w:rsidRPr="007C5C61">
        <w:rPr>
          <w:bCs/>
        </w:rPr>
        <w:t>k of Rev</w:t>
      </w:r>
      <w:r>
        <w:rPr>
          <w:bCs/>
        </w:rPr>
        <w:t>.</w:t>
      </w:r>
      <w:r w:rsidRPr="007C5C61">
        <w:rPr>
          <w:bCs/>
        </w:rPr>
        <w:t xml:space="preserve"> David Brown,</w:t>
      </w:r>
      <w:r>
        <w:rPr>
          <w:bCs/>
        </w:rPr>
        <w:t xml:space="preserve"> D. D., entitled</w:t>
      </w:r>
      <w:r w:rsidRPr="007C5C61">
        <w:rPr>
          <w:bCs/>
        </w:rPr>
        <w:t xml:space="preserve"> </w:t>
      </w:r>
      <w:r>
        <w:rPr>
          <w:bCs/>
        </w:rPr>
        <w:t>“Christ</w:t>
      </w:r>
      <w:r w:rsidRPr="007C5C61">
        <w:rPr>
          <w:bCs/>
        </w:rPr>
        <w:t>’s</w:t>
      </w:r>
      <w:r>
        <w:rPr>
          <w:bCs/>
        </w:rPr>
        <w:t xml:space="preserve"> Second </w:t>
      </w:r>
      <w:r w:rsidRPr="007C5C61">
        <w:rPr>
          <w:bCs/>
        </w:rPr>
        <w:t>Coming, is it Premill</w:t>
      </w:r>
      <w:r>
        <w:rPr>
          <w:bCs/>
        </w:rPr>
        <w:t>ennial</w:t>
      </w:r>
      <w:r w:rsidRPr="007C5C61">
        <w:rPr>
          <w:bCs/>
        </w:rPr>
        <w:t>?</w:t>
      </w:r>
      <w:r>
        <w:rPr>
          <w:bCs/>
        </w:rPr>
        <w:t>”’</w:t>
      </w:r>
      <w:r w:rsidRPr="007C5C61">
        <w:rPr>
          <w:bCs/>
        </w:rPr>
        <w:t xml:space="preserve">  </w:t>
      </w:r>
      <w:proofErr w:type="gramStart"/>
      <w:r w:rsidRPr="00B45A2B">
        <w:rPr>
          <w:bCs/>
          <w:i/>
        </w:rPr>
        <w:t>Collected Writings</w:t>
      </w:r>
      <w:r>
        <w:rPr>
          <w:bCs/>
        </w:rPr>
        <w:t xml:space="preserve">, </w:t>
      </w:r>
      <w:r w:rsidRPr="00E65E69">
        <w:rPr>
          <w:bCs/>
          <w:i/>
        </w:rPr>
        <w:t>Vol. 11, Prophetic No. 4</w:t>
      </w:r>
      <w:r>
        <w:rPr>
          <w:bCs/>
        </w:rPr>
        <w:t>, p 344.</w:t>
      </w:r>
      <w:proofErr w:type="gramEnd"/>
      <w:r>
        <w:rPr>
          <w:bCs/>
        </w:rPr>
        <w:t xml:space="preserve"> &lt;</w:t>
      </w:r>
      <w:r w:rsidRPr="007C5C61">
        <w:rPr>
          <w:bCs/>
        </w:rPr>
        <w:t>http://www.stempublishing.com/authors/darby/PROPHET/11018E.html</w:t>
      </w:r>
      <w:r>
        <w:rPr>
          <w:bCs/>
        </w:rPr>
        <w:t xml:space="preserve">&gt; [accessed </w:t>
      </w:r>
      <w:proofErr w:type="gramStart"/>
      <w:r>
        <w:rPr>
          <w:bCs/>
        </w:rPr>
        <w:t>2.8.09 ]</w:t>
      </w:r>
      <w:proofErr w:type="gramEnd"/>
      <w:r>
        <w:rPr>
          <w:bCs/>
        </w:rPr>
        <w:t>.</w:t>
      </w:r>
    </w:p>
  </w:endnote>
  <w:endnote w:id="996">
    <w:p w:rsidR="00975183" w:rsidRDefault="00975183" w:rsidP="00442D33">
      <w:pPr>
        <w:pStyle w:val="EndnoteText"/>
      </w:pPr>
      <w:r w:rsidRPr="005F4D35">
        <w:rPr>
          <w:rStyle w:val="FootnoteReference"/>
        </w:rPr>
        <w:endnoteRef/>
      </w:r>
      <w:r w:rsidRPr="005F4D35">
        <w:t xml:space="preserve"> </w:t>
      </w:r>
      <w:r>
        <w:t xml:space="preserve">Ref. Daniel 9.  </w:t>
      </w:r>
      <w:proofErr w:type="gramStart"/>
      <w:r w:rsidRPr="009C0780">
        <w:rPr>
          <w:b/>
        </w:rPr>
        <w:t>See 7.1.2.1</w:t>
      </w:r>
      <w:r>
        <w:t>.</w:t>
      </w:r>
      <w:proofErr w:type="gramEnd"/>
    </w:p>
  </w:endnote>
  <w:endnote w:id="997">
    <w:p w:rsidR="00975183" w:rsidRDefault="00975183" w:rsidP="00442D33">
      <w:pPr>
        <w:pStyle w:val="EndnoteText"/>
      </w:pPr>
      <w:r w:rsidRPr="005C5439">
        <w:rPr>
          <w:rStyle w:val="FootnoteReference"/>
        </w:rPr>
        <w:endnoteRef/>
      </w:r>
      <w:r w:rsidRPr="005C5439">
        <w:t xml:space="preserve"> </w:t>
      </w:r>
      <w:r>
        <w:t xml:space="preserve">Sandeen, </w:t>
      </w:r>
      <w:r w:rsidRPr="005C5439">
        <w:rPr>
          <w:i/>
        </w:rPr>
        <w:t>Roots</w:t>
      </w:r>
      <w:r>
        <w:t>, p. 67.</w:t>
      </w:r>
    </w:p>
  </w:endnote>
  <w:endnote w:id="998">
    <w:p w:rsidR="00975183" w:rsidRDefault="00975183" w:rsidP="00442D33">
      <w:pPr>
        <w:pStyle w:val="EndnoteText"/>
      </w:pPr>
      <w:r w:rsidRPr="00EA05CF">
        <w:rPr>
          <w:rStyle w:val="FootnoteReference"/>
        </w:rPr>
        <w:endnoteRef/>
      </w:r>
      <w:r w:rsidRPr="00EA05CF">
        <w:t xml:space="preserve"> </w:t>
      </w:r>
      <w:r>
        <w:t xml:space="preserve">Williams, </w:t>
      </w:r>
      <w:r w:rsidRPr="00EA05CF">
        <w:rPr>
          <w:i/>
        </w:rPr>
        <w:t>Not My Home</w:t>
      </w:r>
      <w:r>
        <w:t>, p. 16.</w:t>
      </w:r>
    </w:p>
  </w:endnote>
  <w:endnote w:id="999">
    <w:p w:rsidR="00975183" w:rsidRPr="00F96242" w:rsidRDefault="00975183" w:rsidP="00442D33">
      <w:pPr>
        <w:pStyle w:val="NormalWeb"/>
        <w:spacing w:before="0" w:beforeAutospacing="0" w:after="0" w:afterAutospacing="0"/>
        <w:rPr>
          <w:rFonts w:ascii="Perpetua" w:hAnsi="Perpetua"/>
        </w:rPr>
      </w:pPr>
      <w:r w:rsidRPr="00F96242">
        <w:rPr>
          <w:rStyle w:val="EndnoteReference"/>
          <w:rFonts w:ascii="Perpetua" w:hAnsi="Perpetua"/>
          <w:sz w:val="20"/>
        </w:rPr>
        <w:endnoteRef/>
      </w:r>
      <w:r w:rsidRPr="00F96242">
        <w:rPr>
          <w:rFonts w:ascii="Perpetua" w:hAnsi="Perpetua"/>
          <w:sz w:val="20"/>
        </w:rPr>
        <w:t xml:space="preserve"> J. N. Darby, </w:t>
      </w:r>
      <w:r>
        <w:rPr>
          <w:rFonts w:ascii="Perpetua" w:hAnsi="Perpetua"/>
          <w:sz w:val="20"/>
        </w:rPr>
        <w:t>‘</w:t>
      </w:r>
      <w:r w:rsidRPr="00F96242">
        <w:rPr>
          <w:rFonts w:ascii="Perpetua" w:hAnsi="Perpetua"/>
          <w:bCs/>
          <w:sz w:val="20"/>
          <w:szCs w:val="20"/>
        </w:rPr>
        <w:t>Elements of Prophecy, in connection with the Church, the Jews, and the Gentiles</w:t>
      </w:r>
      <w:r>
        <w:rPr>
          <w:rFonts w:ascii="Perpetua" w:hAnsi="Perpetua"/>
          <w:bCs/>
          <w:sz w:val="20"/>
          <w:szCs w:val="20"/>
        </w:rPr>
        <w:t xml:space="preserve">’, </w:t>
      </w:r>
      <w:r w:rsidRPr="00F96242">
        <w:rPr>
          <w:rFonts w:ascii="Perpetua" w:hAnsi="Perpetua"/>
          <w:i/>
          <w:sz w:val="20"/>
        </w:rPr>
        <w:t>Collected Writings, Vol. 11, Prophetic, No. 4</w:t>
      </w:r>
      <w:r>
        <w:rPr>
          <w:rFonts w:ascii="Perpetua" w:hAnsi="Perpetua"/>
          <w:sz w:val="20"/>
        </w:rPr>
        <w:t xml:space="preserve">, </w:t>
      </w:r>
      <w:r>
        <w:rPr>
          <w:rFonts w:ascii="Perpetua" w:hAnsi="Perpetua"/>
          <w:bCs/>
          <w:sz w:val="20"/>
          <w:szCs w:val="20"/>
        </w:rPr>
        <w:t>p. 45</w:t>
      </w:r>
      <w:r>
        <w:rPr>
          <w:rFonts w:ascii="Perpetua" w:hAnsi="Perpetua"/>
        </w:rPr>
        <w:t xml:space="preserve"> &lt;</w:t>
      </w:r>
      <w:r w:rsidRPr="00F96242">
        <w:rPr>
          <w:rFonts w:ascii="Perpetua" w:hAnsi="Perpetua"/>
          <w:bCs/>
          <w:sz w:val="20"/>
          <w:szCs w:val="20"/>
        </w:rPr>
        <w:t>http://www.stempublishing.com/authors/darby/PROPHET/11003E.html</w:t>
      </w:r>
      <w:r>
        <w:rPr>
          <w:rFonts w:ascii="Perpetua" w:hAnsi="Perpetua"/>
          <w:bCs/>
          <w:sz w:val="20"/>
          <w:szCs w:val="20"/>
        </w:rPr>
        <w:t>&gt; [</w:t>
      </w:r>
      <w:r w:rsidRPr="00F96242">
        <w:rPr>
          <w:rFonts w:ascii="Perpetua" w:hAnsi="Perpetua"/>
          <w:bCs/>
          <w:sz w:val="20"/>
          <w:szCs w:val="20"/>
        </w:rPr>
        <w:t>accessed 2.8.09</w:t>
      </w:r>
      <w:r>
        <w:rPr>
          <w:rFonts w:ascii="Perpetua" w:hAnsi="Perpetua"/>
          <w:bCs/>
          <w:sz w:val="20"/>
          <w:szCs w:val="20"/>
        </w:rPr>
        <w:t>].</w:t>
      </w:r>
    </w:p>
  </w:endnote>
  <w:endnote w:id="1000">
    <w:p w:rsidR="00975183" w:rsidRDefault="00975183" w:rsidP="00442D33">
      <w:pPr>
        <w:pStyle w:val="EndnoteText"/>
      </w:pPr>
      <w:r w:rsidRPr="00E65B81">
        <w:rPr>
          <w:rStyle w:val="FootnoteReference"/>
          <w:szCs w:val="18"/>
        </w:rPr>
        <w:endnoteRef/>
      </w:r>
      <w:r w:rsidRPr="00E65B81">
        <w:rPr>
          <w:szCs w:val="18"/>
        </w:rPr>
        <w:t xml:space="preserve"> </w:t>
      </w:r>
      <w:r w:rsidRPr="00E65B81">
        <w:rPr>
          <w:i/>
          <w:szCs w:val="18"/>
        </w:rPr>
        <w:t>SRB</w:t>
      </w:r>
      <w:r w:rsidRPr="00E65B81">
        <w:rPr>
          <w:szCs w:val="18"/>
        </w:rPr>
        <w:t xml:space="preserve"> note on</w:t>
      </w:r>
      <w:r>
        <w:rPr>
          <w:szCs w:val="18"/>
        </w:rPr>
        <w:t xml:space="preserve"> Zech. 11:11, p. 975.</w:t>
      </w:r>
    </w:p>
  </w:endnote>
  <w:endnote w:id="1001">
    <w:p w:rsidR="00975183" w:rsidRPr="00EE0444" w:rsidRDefault="00975183" w:rsidP="00442D33">
      <w:pPr>
        <w:pStyle w:val="EndnoteText"/>
      </w:pPr>
      <w:r w:rsidRPr="00EE0444">
        <w:rPr>
          <w:rStyle w:val="EndnoteReference"/>
        </w:rPr>
        <w:endnoteRef/>
      </w:r>
      <w:r w:rsidRPr="00EE0444">
        <w:t xml:space="preserve"> </w:t>
      </w:r>
      <w:r w:rsidRPr="00EE0444">
        <w:rPr>
          <w:i/>
        </w:rPr>
        <w:t>SRB</w:t>
      </w:r>
      <w:r w:rsidRPr="00EE0444">
        <w:t xml:space="preserve"> </w:t>
      </w:r>
      <w:r>
        <w:t>I</w:t>
      </w:r>
      <w:r w:rsidRPr="00EE0444">
        <w:t xml:space="preserve">ntroduction to the </w:t>
      </w:r>
      <w:r>
        <w:t>P</w:t>
      </w:r>
      <w:r w:rsidRPr="00EE0444">
        <w:t xml:space="preserve">rophetical </w:t>
      </w:r>
      <w:r>
        <w:t>B</w:t>
      </w:r>
      <w:r w:rsidRPr="00EE0444">
        <w:t>ooks, p. 711</w:t>
      </w:r>
      <w:r w:rsidRPr="00EE0444">
        <w:rPr>
          <w:b/>
        </w:rPr>
        <w:t>.</w:t>
      </w:r>
    </w:p>
  </w:endnote>
  <w:endnote w:id="1002">
    <w:p w:rsidR="00975183" w:rsidRPr="00EE0444" w:rsidRDefault="00975183" w:rsidP="00442D33">
      <w:pPr>
        <w:pStyle w:val="EndnoteText"/>
      </w:pPr>
      <w:r w:rsidRPr="00EE0444">
        <w:rPr>
          <w:rStyle w:val="EndnoteReference"/>
        </w:rPr>
        <w:endnoteRef/>
      </w:r>
      <w:r w:rsidRPr="00EE0444">
        <w:t xml:space="preserve"> </w:t>
      </w:r>
      <w:r w:rsidRPr="00EE0444">
        <w:rPr>
          <w:i/>
        </w:rPr>
        <w:t>SRB</w:t>
      </w:r>
      <w:r w:rsidRPr="00EE0444">
        <w:t xml:space="preserve"> </w:t>
      </w:r>
      <w:r>
        <w:t>I</w:t>
      </w:r>
      <w:r w:rsidRPr="00EE0444">
        <w:t>ntroduction to Isaiah, p. 713.</w:t>
      </w:r>
    </w:p>
  </w:endnote>
  <w:endnote w:id="1003">
    <w:p w:rsidR="00975183" w:rsidRDefault="00975183" w:rsidP="00442D33">
      <w:pPr>
        <w:pStyle w:val="EndnoteText"/>
      </w:pPr>
      <w:r w:rsidRPr="00E65B81">
        <w:rPr>
          <w:rStyle w:val="FootnoteReference"/>
          <w:szCs w:val="18"/>
        </w:rPr>
        <w:endnoteRef/>
      </w:r>
      <w:r w:rsidRPr="00E65B81">
        <w:rPr>
          <w:szCs w:val="18"/>
        </w:rPr>
        <w:t xml:space="preserve"> </w:t>
      </w:r>
      <w:r w:rsidRPr="00E65B81">
        <w:rPr>
          <w:i/>
          <w:szCs w:val="18"/>
        </w:rPr>
        <w:t>SRB</w:t>
      </w:r>
      <w:r w:rsidRPr="00E65B81">
        <w:rPr>
          <w:szCs w:val="18"/>
        </w:rPr>
        <w:t xml:space="preserve"> note on</w:t>
      </w:r>
      <w:r>
        <w:rPr>
          <w:szCs w:val="18"/>
        </w:rPr>
        <w:t xml:space="preserve"> Mal. 3:1, p. 982.</w:t>
      </w:r>
    </w:p>
  </w:endnote>
  <w:endnote w:id="1004">
    <w:p w:rsidR="00975183" w:rsidRPr="00221DA4" w:rsidRDefault="00975183" w:rsidP="00442D33">
      <w:pPr>
        <w:pStyle w:val="EndnoteText"/>
      </w:pPr>
      <w:r w:rsidRPr="00221DA4">
        <w:rPr>
          <w:rStyle w:val="EndnoteReference"/>
        </w:rPr>
        <w:endnoteRef/>
      </w:r>
      <w:r w:rsidRPr="00221DA4">
        <w:t xml:space="preserve"> </w:t>
      </w:r>
      <w:r w:rsidRPr="00221DA4">
        <w:rPr>
          <w:i/>
        </w:rPr>
        <w:t>SRB</w:t>
      </w:r>
      <w:r w:rsidRPr="00221DA4">
        <w:t xml:space="preserve"> note on Rom. 9:25, p. 1203.  </w:t>
      </w:r>
    </w:p>
  </w:endnote>
  <w:endnote w:id="1005">
    <w:p w:rsidR="00975183" w:rsidRPr="00221DA4" w:rsidRDefault="00975183" w:rsidP="00442D33">
      <w:pPr>
        <w:pStyle w:val="EndnoteText"/>
      </w:pPr>
      <w:r w:rsidRPr="00221DA4">
        <w:rPr>
          <w:rStyle w:val="EndnoteReference"/>
        </w:rPr>
        <w:endnoteRef/>
      </w:r>
      <w:r w:rsidRPr="00221DA4">
        <w:t xml:space="preserve"> </w:t>
      </w:r>
      <w:r w:rsidRPr="00221DA4">
        <w:rPr>
          <w:i/>
        </w:rPr>
        <w:t>SRB</w:t>
      </w:r>
      <w:r w:rsidRPr="00221DA4">
        <w:t xml:space="preserve"> note on Acts 15:13, p. 1169.  </w:t>
      </w:r>
    </w:p>
  </w:endnote>
  <w:endnote w:id="1006">
    <w:p w:rsidR="00975183" w:rsidRPr="00221DA4" w:rsidRDefault="00975183" w:rsidP="00442D33">
      <w:pPr>
        <w:pStyle w:val="EndnoteText"/>
      </w:pPr>
      <w:r w:rsidRPr="00221DA4">
        <w:rPr>
          <w:rStyle w:val="EndnoteReference"/>
        </w:rPr>
        <w:endnoteRef/>
      </w:r>
      <w:r w:rsidRPr="00221DA4">
        <w:t xml:space="preserve"> </w:t>
      </w:r>
      <w:r w:rsidRPr="00221DA4">
        <w:rPr>
          <w:i/>
        </w:rPr>
        <w:t>SRB</w:t>
      </w:r>
      <w:r w:rsidRPr="00221DA4">
        <w:t xml:space="preserve"> note on Mt. 21:43, p. 1029.  Reference to Rom. 9:30-33.</w:t>
      </w:r>
    </w:p>
  </w:endnote>
  <w:endnote w:id="1007">
    <w:p w:rsidR="00975183" w:rsidRPr="00221DA4" w:rsidRDefault="00975183" w:rsidP="00442D33">
      <w:pPr>
        <w:pStyle w:val="EndnoteText"/>
      </w:pPr>
      <w:r w:rsidRPr="00221DA4">
        <w:rPr>
          <w:rStyle w:val="EndnoteReference"/>
        </w:rPr>
        <w:endnoteRef/>
      </w:r>
      <w:r w:rsidRPr="00221DA4">
        <w:t xml:space="preserve"> </w:t>
      </w:r>
      <w:r w:rsidRPr="00221DA4">
        <w:rPr>
          <w:i/>
        </w:rPr>
        <w:t>SRB</w:t>
      </w:r>
      <w:r w:rsidRPr="00221DA4">
        <w:t xml:space="preserve"> subhead to Rom. 11:13, p. 1205.</w:t>
      </w:r>
    </w:p>
  </w:endnote>
  <w:endnote w:id="1008">
    <w:p w:rsidR="00975183" w:rsidRDefault="00975183" w:rsidP="00442D33">
      <w:pPr>
        <w:pStyle w:val="EndnoteText"/>
      </w:pPr>
      <w:r w:rsidRPr="00227748">
        <w:rPr>
          <w:rStyle w:val="FootnoteReference"/>
        </w:rPr>
        <w:endnoteRef/>
      </w:r>
      <w:r w:rsidRPr="00227748">
        <w:t xml:space="preserve"> </w:t>
      </w:r>
      <w:proofErr w:type="gramStart"/>
      <w:r>
        <w:t>Darby ‘</w:t>
      </w:r>
      <w:r w:rsidRPr="00227748">
        <w:t>Divine Mercy in the Church and Toward Israel</w:t>
      </w:r>
      <w:r>
        <w:t>’</w:t>
      </w:r>
      <w:r w:rsidRPr="00227748">
        <w:t>,</w:t>
      </w:r>
      <w:r>
        <w:t xml:space="preserve"> </w:t>
      </w:r>
      <w:r w:rsidRPr="00227748">
        <w:rPr>
          <w:i/>
        </w:rPr>
        <w:t>Collected Writings</w:t>
      </w:r>
      <w:r>
        <w:t xml:space="preserve">, </w:t>
      </w:r>
      <w:r w:rsidRPr="00484FB1">
        <w:rPr>
          <w:i/>
        </w:rPr>
        <w:t>Vol. 2, Prophetic No. 1</w:t>
      </w:r>
      <w:r>
        <w:t>, pp. 122-3 &lt;</w:t>
      </w:r>
      <w:r w:rsidRPr="00227748">
        <w:t>http://www.stempublishing.com/authors/darby/PROPHET/02008E.html</w:t>
      </w:r>
      <w:r>
        <w:t>&gt; [accessed 24.7.09].</w:t>
      </w:r>
      <w:proofErr w:type="gramEnd"/>
    </w:p>
  </w:endnote>
  <w:endnote w:id="1009">
    <w:p w:rsidR="00975183" w:rsidRPr="007F783B" w:rsidRDefault="00975183" w:rsidP="00442D33">
      <w:pPr>
        <w:pStyle w:val="EndnoteText"/>
      </w:pPr>
      <w:r w:rsidRPr="007F783B">
        <w:rPr>
          <w:rStyle w:val="EndnoteReference"/>
        </w:rPr>
        <w:endnoteRef/>
      </w:r>
      <w:r w:rsidRPr="007F783B">
        <w:t xml:space="preserve"> </w:t>
      </w:r>
      <w:r w:rsidRPr="007F783B">
        <w:rPr>
          <w:i/>
        </w:rPr>
        <w:t>SRB</w:t>
      </w:r>
      <w:r>
        <w:t xml:space="preserve"> n</w:t>
      </w:r>
      <w:r w:rsidRPr="007F783B">
        <w:t>ote on Jn 16:12, p. 1138.</w:t>
      </w:r>
    </w:p>
  </w:endnote>
  <w:endnote w:id="1010">
    <w:p w:rsidR="00975183" w:rsidRPr="00E85988" w:rsidRDefault="00975183" w:rsidP="00442D33">
      <w:pPr>
        <w:pStyle w:val="EndnoteText"/>
      </w:pPr>
      <w:r w:rsidRPr="00E85988">
        <w:rPr>
          <w:rStyle w:val="EndnoteReference"/>
        </w:rPr>
        <w:endnoteRef/>
      </w:r>
      <w:r w:rsidRPr="00E85988">
        <w:t xml:space="preserve"> </w:t>
      </w:r>
      <w:proofErr w:type="gramStart"/>
      <w:r w:rsidRPr="007F783B">
        <w:rPr>
          <w:i/>
        </w:rPr>
        <w:t>SRB</w:t>
      </w:r>
      <w:r>
        <w:t xml:space="preserve"> note on Rev. 1:20, </w:t>
      </w:r>
      <w:r w:rsidRPr="007F783B">
        <w:t>p. 1</w:t>
      </w:r>
      <w:r>
        <w:t>331</w:t>
      </w:r>
      <w:r w:rsidRPr="007F783B">
        <w:t>.</w:t>
      </w:r>
      <w:proofErr w:type="gramEnd"/>
    </w:p>
  </w:endnote>
  <w:endnote w:id="1011">
    <w:p w:rsidR="00975183" w:rsidRPr="007F783B" w:rsidRDefault="00975183" w:rsidP="00442D33">
      <w:pPr>
        <w:pStyle w:val="EndnoteText"/>
      </w:pPr>
      <w:r w:rsidRPr="007F783B">
        <w:rPr>
          <w:rStyle w:val="EndnoteReference"/>
        </w:rPr>
        <w:endnoteRef/>
      </w:r>
      <w:r w:rsidRPr="007F783B">
        <w:t xml:space="preserve"> </w:t>
      </w:r>
      <w:proofErr w:type="gramStart"/>
      <w:r w:rsidRPr="007F783B">
        <w:rPr>
          <w:i/>
        </w:rPr>
        <w:t>SRB</w:t>
      </w:r>
      <w:r>
        <w:t xml:space="preserve"> n</w:t>
      </w:r>
      <w:r w:rsidRPr="007F783B">
        <w:t>ote on 1 Cor. 14:1, p. 1224.</w:t>
      </w:r>
      <w:proofErr w:type="gramEnd"/>
      <w:r w:rsidRPr="007F783B">
        <w:t xml:space="preserve">  </w:t>
      </w:r>
      <w:r w:rsidRPr="009C0780">
        <w:rPr>
          <w:b/>
        </w:rPr>
        <w:t xml:space="preserve">See 2.2; </w:t>
      </w:r>
      <w:r w:rsidRPr="00FE4A57">
        <w:rPr>
          <w:b/>
        </w:rPr>
        <w:t>5.6.1</w:t>
      </w:r>
      <w:r w:rsidRPr="009C0780">
        <w:rPr>
          <w:b/>
        </w:rPr>
        <w:t>; 8.7.2 (table)</w:t>
      </w:r>
      <w:r w:rsidRPr="007F783B">
        <w:t>.</w:t>
      </w:r>
    </w:p>
  </w:endnote>
  <w:endnote w:id="1012">
    <w:p w:rsidR="00975183" w:rsidRDefault="00975183" w:rsidP="00442D33">
      <w:pPr>
        <w:pStyle w:val="EndnoteText"/>
      </w:pPr>
      <w:r w:rsidRPr="007F783B">
        <w:rPr>
          <w:rStyle w:val="FootnoteReference"/>
        </w:rPr>
        <w:endnoteRef/>
      </w:r>
      <w:r w:rsidRPr="007F783B">
        <w:t xml:space="preserve"> </w:t>
      </w:r>
      <w:r w:rsidRPr="007F783B">
        <w:rPr>
          <w:i/>
        </w:rPr>
        <w:t>SRB</w:t>
      </w:r>
      <w:r w:rsidRPr="007F783B">
        <w:t xml:space="preserve"> </w:t>
      </w:r>
      <w:r>
        <w:t>I</w:t>
      </w:r>
      <w:r w:rsidRPr="007F783B">
        <w:t xml:space="preserve">ntroduction to Revelation, p. 1330.  ‘The world kingdom of our Lord and of his Christ has come’.  </w:t>
      </w:r>
      <w:r w:rsidRPr="009C0780">
        <w:rPr>
          <w:b/>
        </w:rPr>
        <w:t>See 8.9</w:t>
      </w:r>
      <w:r w:rsidRPr="007F783B">
        <w:t xml:space="preserve">.  </w:t>
      </w:r>
    </w:p>
  </w:endnote>
  <w:endnote w:id="1013">
    <w:p w:rsidR="00975183" w:rsidRPr="001C48FC" w:rsidRDefault="00975183" w:rsidP="00442D33">
      <w:pPr>
        <w:pStyle w:val="EndnoteText"/>
        <w:tabs>
          <w:tab w:val="left" w:pos="6521"/>
        </w:tabs>
      </w:pPr>
      <w:r w:rsidRPr="001C48FC">
        <w:rPr>
          <w:rStyle w:val="EndnoteReference"/>
        </w:rPr>
        <w:endnoteRef/>
      </w:r>
      <w:r w:rsidRPr="001C48FC">
        <w:t xml:space="preserve"> </w:t>
      </w:r>
      <w:r>
        <w:t>Darby, ‘</w:t>
      </w:r>
      <w:r w:rsidRPr="001C48FC">
        <w:rPr>
          <w:bCs/>
          <w:szCs w:val="28"/>
        </w:rPr>
        <w:t>Elements of Prophecy</w:t>
      </w:r>
      <w:r>
        <w:rPr>
          <w:bCs/>
          <w:szCs w:val="28"/>
        </w:rPr>
        <w:t>’.</w:t>
      </w:r>
    </w:p>
  </w:endnote>
  <w:endnote w:id="1014">
    <w:p w:rsidR="00975183" w:rsidRDefault="00975183" w:rsidP="00442D33">
      <w:pPr>
        <w:pStyle w:val="EndnoteText"/>
      </w:pPr>
      <w:r w:rsidRPr="00DA01AD">
        <w:rPr>
          <w:rStyle w:val="FootnoteReference"/>
        </w:rPr>
        <w:endnoteRef/>
      </w:r>
      <w:r w:rsidRPr="00DA01AD">
        <w:t xml:space="preserve"> </w:t>
      </w:r>
      <w:r w:rsidRPr="00227052">
        <w:t xml:space="preserve">Darby, ‘The Hopes of the Church of God’, Part 1, </w:t>
      </w:r>
      <w:r w:rsidRPr="00227052">
        <w:rPr>
          <w:i/>
        </w:rPr>
        <w:t>Collected Writings</w:t>
      </w:r>
      <w:r w:rsidRPr="00227052">
        <w:t xml:space="preserve">, </w:t>
      </w:r>
      <w:r w:rsidRPr="00484FB1">
        <w:rPr>
          <w:i/>
        </w:rPr>
        <w:t>Vol. 2, Prophetic No. 1</w:t>
      </w:r>
      <w:r w:rsidRPr="00227052">
        <w:t>, pp. 279-80 &lt;http://www.stempublishing.com/authors/darby/PROPHET/02011E.html&gt; [accessed 7.8.09].</w:t>
      </w:r>
    </w:p>
  </w:endnote>
  <w:endnote w:id="1015">
    <w:p w:rsidR="00975183" w:rsidRDefault="00975183" w:rsidP="00442D33">
      <w:pPr>
        <w:pStyle w:val="EndnoteText"/>
      </w:pPr>
      <w:r w:rsidRPr="005D203D">
        <w:rPr>
          <w:rStyle w:val="FootnoteReference"/>
        </w:rPr>
        <w:endnoteRef/>
      </w:r>
      <w:r w:rsidRPr="005D203D">
        <w:t xml:space="preserve"> </w:t>
      </w:r>
      <w:r>
        <w:t xml:space="preserve">Darby, ‘An Examination of Statements in Newton’s Apocalyptic Thoughts’, </w:t>
      </w:r>
      <w:r w:rsidRPr="005D203D">
        <w:rPr>
          <w:i/>
        </w:rPr>
        <w:t>Collected Writings</w:t>
      </w:r>
      <w:r>
        <w:t xml:space="preserve">, </w:t>
      </w:r>
      <w:r w:rsidRPr="00484FB1">
        <w:rPr>
          <w:i/>
        </w:rPr>
        <w:t>Vol. 8, Prophetic 3</w:t>
      </w:r>
      <w:r>
        <w:t>, Part 4, p. 107 &lt;</w:t>
      </w:r>
      <w:r w:rsidRPr="00E9794F">
        <w:t>stempublishing.com/authors/darby/PROPHET/08001E04.html</w:t>
      </w:r>
      <w:r>
        <w:t>&gt;  [accessed 2.8.09].</w:t>
      </w:r>
    </w:p>
  </w:endnote>
  <w:endnote w:id="1016">
    <w:p w:rsidR="00975183" w:rsidRDefault="00975183" w:rsidP="00442D33">
      <w:pPr>
        <w:pStyle w:val="EndnoteText"/>
      </w:pPr>
      <w:r w:rsidRPr="00DA01AD">
        <w:rPr>
          <w:rStyle w:val="FootnoteReference"/>
        </w:rPr>
        <w:endnoteRef/>
      </w:r>
      <w:r w:rsidRPr="00DA01AD">
        <w:t xml:space="preserve"> Bass, </w:t>
      </w:r>
      <w:r w:rsidRPr="00DA01AD">
        <w:rPr>
          <w:i/>
        </w:rPr>
        <w:t>Backgrounds</w:t>
      </w:r>
      <w:r w:rsidRPr="00DA01AD">
        <w:t>, p. 132.</w:t>
      </w:r>
    </w:p>
  </w:endnote>
  <w:endnote w:id="1017">
    <w:p w:rsidR="00975183" w:rsidRPr="00CB28B5" w:rsidRDefault="00975183" w:rsidP="00442D33">
      <w:pPr>
        <w:pStyle w:val="EndnoteText"/>
      </w:pPr>
      <w:r w:rsidRPr="00CB28B5">
        <w:rPr>
          <w:rStyle w:val="EndnoteReference"/>
        </w:rPr>
        <w:endnoteRef/>
      </w:r>
      <w:r w:rsidRPr="00CB28B5">
        <w:t xml:space="preserve"> Williams, </w:t>
      </w:r>
      <w:r w:rsidRPr="00CB28B5">
        <w:rPr>
          <w:i/>
        </w:rPr>
        <w:t>Not My Home</w:t>
      </w:r>
      <w:r>
        <w:t>, p. 23.</w:t>
      </w:r>
    </w:p>
  </w:endnote>
  <w:endnote w:id="1018">
    <w:p w:rsidR="00975183" w:rsidRDefault="00975183" w:rsidP="00442D33">
      <w:pPr>
        <w:pStyle w:val="EndnoteText"/>
      </w:pPr>
      <w:r w:rsidRPr="00DA01AD">
        <w:rPr>
          <w:rStyle w:val="FootnoteReference"/>
        </w:rPr>
        <w:endnoteRef/>
      </w:r>
      <w:r w:rsidRPr="00DA01AD">
        <w:t xml:space="preserve"> Chafer, </w:t>
      </w:r>
      <w:r w:rsidRPr="00DA01AD">
        <w:rPr>
          <w:i/>
        </w:rPr>
        <w:t>Dispensationalism</w:t>
      </w:r>
      <w:r w:rsidRPr="00DA01AD">
        <w:t>, p. 103.</w:t>
      </w:r>
    </w:p>
  </w:endnote>
  <w:endnote w:id="1019">
    <w:p w:rsidR="00975183" w:rsidRDefault="00975183" w:rsidP="00442D33">
      <w:pPr>
        <w:pStyle w:val="EndnoteText"/>
      </w:pPr>
      <w:r w:rsidRPr="0049263B">
        <w:rPr>
          <w:rStyle w:val="FootnoteReference"/>
        </w:rPr>
        <w:endnoteRef/>
      </w:r>
      <w:r w:rsidRPr="0049263B">
        <w:t xml:space="preserve"> </w:t>
      </w:r>
      <w:r>
        <w:t xml:space="preserve">Chafer, </w:t>
      </w:r>
      <w:r w:rsidRPr="0049263B">
        <w:rPr>
          <w:i/>
        </w:rPr>
        <w:t>Dispensationalism</w:t>
      </w:r>
      <w:r>
        <w:t>, p. 27.</w:t>
      </w:r>
    </w:p>
  </w:endnote>
  <w:endnote w:id="1020">
    <w:p w:rsidR="00975183" w:rsidRDefault="00975183" w:rsidP="00442D33">
      <w:pPr>
        <w:pStyle w:val="EndnoteText"/>
      </w:pPr>
      <w:r w:rsidRPr="0049263B">
        <w:rPr>
          <w:rStyle w:val="FootnoteReference"/>
        </w:rPr>
        <w:endnoteRef/>
      </w:r>
      <w:r w:rsidRPr="0049263B">
        <w:t xml:space="preserve"> </w:t>
      </w:r>
      <w:r>
        <w:t xml:space="preserve">Chafer, </w:t>
      </w:r>
      <w:r w:rsidRPr="0049263B">
        <w:rPr>
          <w:i/>
        </w:rPr>
        <w:t>Dispensationalism</w:t>
      </w:r>
      <w:r>
        <w:t>, p. 75.</w:t>
      </w:r>
    </w:p>
  </w:endnote>
  <w:endnote w:id="1021">
    <w:p w:rsidR="00975183" w:rsidRPr="001C531E" w:rsidRDefault="00975183" w:rsidP="00442D33">
      <w:pPr>
        <w:pStyle w:val="EndnoteText"/>
      </w:pPr>
      <w:r w:rsidRPr="00DA01AD">
        <w:rPr>
          <w:rStyle w:val="FootnoteReference"/>
        </w:rPr>
        <w:endnoteRef/>
      </w:r>
      <w:r w:rsidRPr="00DA01AD">
        <w:t xml:space="preserve"> Chafer, </w:t>
      </w:r>
      <w:r w:rsidRPr="00DA01AD">
        <w:rPr>
          <w:rFonts w:cs="Arial"/>
          <w:i/>
          <w:szCs w:val="22"/>
          <w:lang w:val="en-US"/>
        </w:rPr>
        <w:t xml:space="preserve">Major Bible </w:t>
      </w:r>
      <w:r>
        <w:rPr>
          <w:rFonts w:cs="Arial"/>
          <w:i/>
          <w:szCs w:val="22"/>
          <w:lang w:val="en-US"/>
        </w:rPr>
        <w:t>T</w:t>
      </w:r>
      <w:r w:rsidRPr="00DA01AD">
        <w:rPr>
          <w:rFonts w:cs="Arial"/>
          <w:i/>
          <w:szCs w:val="22"/>
          <w:lang w:val="en-US"/>
        </w:rPr>
        <w:t>hemes</w:t>
      </w:r>
      <w:proofErr w:type="gramStart"/>
      <w:r w:rsidRPr="00DA01AD">
        <w:rPr>
          <w:rFonts w:cs="Arial"/>
          <w:i/>
          <w:szCs w:val="22"/>
          <w:lang w:val="en-US"/>
        </w:rPr>
        <w:t xml:space="preserve">, </w:t>
      </w:r>
      <w:r w:rsidRPr="00DA01AD">
        <w:rPr>
          <w:rFonts w:cs="Arial"/>
          <w:szCs w:val="22"/>
          <w:lang w:val="en-US"/>
        </w:rPr>
        <w:t xml:space="preserve"> p</w:t>
      </w:r>
      <w:proofErr w:type="gramEnd"/>
      <w:r w:rsidRPr="00DA01AD">
        <w:rPr>
          <w:rFonts w:cs="Arial"/>
          <w:szCs w:val="22"/>
          <w:lang w:val="en-US"/>
        </w:rPr>
        <w:t xml:space="preserve">. </w:t>
      </w:r>
      <w:r>
        <w:rPr>
          <w:rFonts w:cs="Arial"/>
          <w:szCs w:val="22"/>
          <w:lang w:val="en-US"/>
        </w:rPr>
        <w:t>206</w:t>
      </w:r>
      <w:r w:rsidRPr="00DA01AD">
        <w:rPr>
          <w:rFonts w:cs="Arial"/>
          <w:szCs w:val="22"/>
          <w:lang w:val="en-US"/>
        </w:rPr>
        <w:t>.</w:t>
      </w:r>
      <w:r>
        <w:t xml:space="preserve">  </w:t>
      </w:r>
      <w:r w:rsidRPr="003D47F3">
        <w:t>Ref. Isa. 62:1-12</w:t>
      </w:r>
      <w:r>
        <w:t>.</w:t>
      </w:r>
    </w:p>
  </w:endnote>
  <w:endnote w:id="1022">
    <w:p w:rsidR="00975183" w:rsidRDefault="00975183" w:rsidP="00442D33">
      <w:pPr>
        <w:pStyle w:val="EndnoteText"/>
      </w:pPr>
      <w:r w:rsidRPr="0049263B">
        <w:rPr>
          <w:rStyle w:val="FootnoteReference"/>
        </w:rPr>
        <w:endnoteRef/>
      </w:r>
      <w:r w:rsidRPr="0049263B">
        <w:t xml:space="preserve"> </w:t>
      </w:r>
      <w:r>
        <w:t xml:space="preserve">Chafer, </w:t>
      </w:r>
      <w:r w:rsidRPr="0049263B">
        <w:rPr>
          <w:i/>
        </w:rPr>
        <w:t>Dispensationalism</w:t>
      </w:r>
      <w:r>
        <w:t>, pp. 32-3.</w:t>
      </w:r>
    </w:p>
  </w:endnote>
  <w:endnote w:id="1023">
    <w:p w:rsidR="00975183" w:rsidRDefault="00975183" w:rsidP="00442D33">
      <w:pPr>
        <w:pStyle w:val="EndnoteText"/>
      </w:pPr>
      <w:r w:rsidRPr="0049263B">
        <w:rPr>
          <w:rStyle w:val="FootnoteReference"/>
        </w:rPr>
        <w:endnoteRef/>
      </w:r>
      <w:r w:rsidRPr="0049263B">
        <w:t xml:space="preserve"> </w:t>
      </w:r>
      <w:r>
        <w:t xml:space="preserve">Chafer, </w:t>
      </w:r>
      <w:r w:rsidRPr="0049263B">
        <w:rPr>
          <w:i/>
        </w:rPr>
        <w:t>Dispensationalism</w:t>
      </w:r>
      <w:r>
        <w:t>, p. 33.</w:t>
      </w:r>
    </w:p>
  </w:endnote>
  <w:endnote w:id="1024">
    <w:p w:rsidR="00975183" w:rsidRDefault="00975183" w:rsidP="00442D33">
      <w:pPr>
        <w:pStyle w:val="EndnoteText"/>
      </w:pPr>
      <w:r w:rsidRPr="0049263B">
        <w:rPr>
          <w:rStyle w:val="FootnoteReference"/>
        </w:rPr>
        <w:endnoteRef/>
      </w:r>
      <w:r w:rsidRPr="0049263B">
        <w:t xml:space="preserve"> </w:t>
      </w:r>
      <w:r>
        <w:t xml:space="preserve">Chafer, </w:t>
      </w:r>
      <w:r w:rsidRPr="0049263B">
        <w:rPr>
          <w:i/>
        </w:rPr>
        <w:t>Dispensationalism</w:t>
      </w:r>
      <w:r>
        <w:t>, p. 57.</w:t>
      </w:r>
    </w:p>
  </w:endnote>
  <w:endnote w:id="1025">
    <w:p w:rsidR="00975183" w:rsidRPr="006723DA" w:rsidRDefault="00975183" w:rsidP="00442D33">
      <w:pPr>
        <w:pStyle w:val="EndnoteText"/>
      </w:pPr>
      <w:r w:rsidRPr="006723DA">
        <w:rPr>
          <w:rStyle w:val="EndnoteReference"/>
        </w:rPr>
        <w:endnoteRef/>
      </w:r>
      <w:r w:rsidRPr="006723DA">
        <w:t xml:space="preserve"> </w:t>
      </w:r>
      <w:r>
        <w:t>Ref. Jn 3:5.</w:t>
      </w:r>
    </w:p>
  </w:endnote>
  <w:endnote w:id="1026">
    <w:p w:rsidR="00975183" w:rsidRDefault="00975183" w:rsidP="00442D33">
      <w:pPr>
        <w:pStyle w:val="EndnoteText"/>
      </w:pPr>
      <w:r w:rsidRPr="006723DA">
        <w:rPr>
          <w:rStyle w:val="EndnoteReference"/>
        </w:rPr>
        <w:endnoteRef/>
      </w:r>
      <w:r w:rsidRPr="006723DA">
        <w:t xml:space="preserve"> </w:t>
      </w:r>
      <w:r>
        <w:t xml:space="preserve">Ref. </w:t>
      </w:r>
      <w:r w:rsidRPr="006723DA">
        <w:t>2 Cor. 5:17, 18</w:t>
      </w:r>
      <w:r>
        <w:t>.</w:t>
      </w:r>
    </w:p>
  </w:endnote>
  <w:endnote w:id="1027">
    <w:p w:rsidR="00975183" w:rsidRPr="00FA57DC" w:rsidRDefault="00975183" w:rsidP="00442D33">
      <w:pPr>
        <w:pStyle w:val="EndnoteText"/>
      </w:pPr>
      <w:r w:rsidRPr="00FA57DC">
        <w:rPr>
          <w:rStyle w:val="EndnoteReference"/>
        </w:rPr>
        <w:endnoteRef/>
      </w:r>
      <w:r w:rsidRPr="00FA57DC">
        <w:t xml:space="preserve"> </w:t>
      </w:r>
      <w:r w:rsidRPr="00DA01AD">
        <w:t xml:space="preserve">Chafer, </w:t>
      </w:r>
      <w:r w:rsidRPr="00DA01AD">
        <w:rPr>
          <w:rFonts w:cs="Arial"/>
          <w:i/>
          <w:szCs w:val="22"/>
          <w:lang w:val="en-US"/>
        </w:rPr>
        <w:t xml:space="preserve">Major Bible </w:t>
      </w:r>
      <w:r>
        <w:rPr>
          <w:rFonts w:cs="Arial"/>
          <w:i/>
          <w:szCs w:val="22"/>
          <w:lang w:val="en-US"/>
        </w:rPr>
        <w:t>T</w:t>
      </w:r>
      <w:r w:rsidRPr="00DA01AD">
        <w:rPr>
          <w:rFonts w:cs="Arial"/>
          <w:i/>
          <w:szCs w:val="22"/>
          <w:lang w:val="en-US"/>
        </w:rPr>
        <w:t>hemes,</w:t>
      </w:r>
      <w:r>
        <w:rPr>
          <w:rFonts w:cs="Arial"/>
          <w:szCs w:val="22"/>
          <w:lang w:val="en-US"/>
        </w:rPr>
        <w:t xml:space="preserve"> p. 207.  </w:t>
      </w:r>
    </w:p>
  </w:endnote>
  <w:endnote w:id="1028">
    <w:p w:rsidR="00975183" w:rsidRDefault="00975183" w:rsidP="00442D33">
      <w:pPr>
        <w:pStyle w:val="EndnoteText"/>
      </w:pPr>
      <w:r w:rsidRPr="003C115A">
        <w:rPr>
          <w:rStyle w:val="FootnoteReference"/>
        </w:rPr>
        <w:endnoteRef/>
      </w:r>
      <w:r w:rsidRPr="003C115A">
        <w:t xml:space="preserve"> </w:t>
      </w:r>
      <w:proofErr w:type="gramStart"/>
      <w:r>
        <w:t xml:space="preserve">Blaising, ‘Extent and Varieties’, </w:t>
      </w:r>
      <w:r w:rsidRPr="00D47343">
        <w:rPr>
          <w:i/>
        </w:rPr>
        <w:t>Progressive Dispensationalism</w:t>
      </w:r>
      <w:r>
        <w:t xml:space="preserve">, pp. 22, 23; Williams, </w:t>
      </w:r>
      <w:r w:rsidRPr="003C115A">
        <w:rPr>
          <w:i/>
        </w:rPr>
        <w:t>Not My Home</w:t>
      </w:r>
      <w:r>
        <w:t>, pp. 9, 12, 16, 35.</w:t>
      </w:r>
      <w:proofErr w:type="gramEnd"/>
    </w:p>
  </w:endnote>
  <w:endnote w:id="1029">
    <w:p w:rsidR="00975183" w:rsidRDefault="00975183" w:rsidP="00442D33">
      <w:pPr>
        <w:pStyle w:val="EndnoteText"/>
      </w:pPr>
      <w:r w:rsidRPr="0095577D">
        <w:rPr>
          <w:rStyle w:val="FootnoteReference"/>
        </w:rPr>
        <w:endnoteRef/>
      </w:r>
      <w:r w:rsidRPr="0095577D">
        <w:t xml:space="preserve"> </w:t>
      </w:r>
      <w:r w:rsidRPr="00DA01AD">
        <w:rPr>
          <w:szCs w:val="22"/>
        </w:rPr>
        <w:t xml:space="preserve">Blaising, ‘Dispensationalism: Search for Definition’, </w:t>
      </w:r>
      <w:r w:rsidRPr="00DA01AD">
        <w:rPr>
          <w:i/>
          <w:szCs w:val="22"/>
        </w:rPr>
        <w:t>Dispensationalism, Israel &amp; Church</w:t>
      </w:r>
      <w:r w:rsidRPr="00DA01AD">
        <w:rPr>
          <w:szCs w:val="22"/>
        </w:rPr>
        <w:t xml:space="preserve">, p. </w:t>
      </w:r>
      <w:r>
        <w:rPr>
          <w:szCs w:val="22"/>
        </w:rPr>
        <w:t>25</w:t>
      </w:r>
      <w:r w:rsidRPr="00DA01AD">
        <w:rPr>
          <w:szCs w:val="22"/>
        </w:rPr>
        <w:t>.</w:t>
      </w:r>
    </w:p>
  </w:endnote>
  <w:endnote w:id="1030">
    <w:p w:rsidR="00975183" w:rsidRDefault="00975183">
      <w:pPr>
        <w:pStyle w:val="EndnoteText"/>
      </w:pPr>
      <w:r>
        <w:rPr>
          <w:rStyle w:val="EndnoteReference"/>
        </w:rPr>
        <w:endnoteRef/>
      </w:r>
      <w:r>
        <w:t xml:space="preserve"> Ryrie, </w:t>
      </w:r>
      <w:r w:rsidRPr="00E61700">
        <w:rPr>
          <w:i/>
        </w:rPr>
        <w:t>Dispensationalism Today</w:t>
      </w:r>
      <w:r>
        <w:t>, pp. 146-7.</w:t>
      </w:r>
    </w:p>
  </w:endnote>
  <w:endnote w:id="1031">
    <w:p w:rsidR="00975183" w:rsidRDefault="00975183" w:rsidP="00442D33">
      <w:pPr>
        <w:pStyle w:val="EndnoteText"/>
      </w:pPr>
      <w:r w:rsidRPr="003C115A">
        <w:rPr>
          <w:rStyle w:val="FootnoteReference"/>
        </w:rPr>
        <w:endnoteRef/>
      </w:r>
      <w:r w:rsidRPr="003C115A">
        <w:t xml:space="preserve"> </w:t>
      </w:r>
      <w:r>
        <w:t xml:space="preserve">Blaising, ‘Extent and Varieties’, </w:t>
      </w:r>
      <w:r w:rsidRPr="00D47343">
        <w:rPr>
          <w:i/>
        </w:rPr>
        <w:t>Progressive Dispensationalism</w:t>
      </w:r>
      <w:r>
        <w:t>, p. 32.</w:t>
      </w:r>
    </w:p>
  </w:endnote>
  <w:endnote w:id="1032">
    <w:p w:rsidR="00975183" w:rsidRDefault="00975183" w:rsidP="00442D33">
      <w:pPr>
        <w:pStyle w:val="EndnoteText"/>
      </w:pPr>
      <w:r w:rsidRPr="0019389B">
        <w:rPr>
          <w:rStyle w:val="FootnoteReference"/>
        </w:rPr>
        <w:endnoteRef/>
      </w:r>
      <w:r w:rsidRPr="0019389B">
        <w:t xml:space="preserve"> </w:t>
      </w:r>
      <w:r>
        <w:t xml:space="preserve">Blaising, ‘Extent and Varieties’, </w:t>
      </w:r>
      <w:r w:rsidRPr="00D47343">
        <w:rPr>
          <w:i/>
        </w:rPr>
        <w:t>Progressive Dispensationalism</w:t>
      </w:r>
      <w:r>
        <w:t>, p. 49.</w:t>
      </w:r>
    </w:p>
  </w:endnote>
  <w:endnote w:id="1033">
    <w:p w:rsidR="00975183" w:rsidRPr="005300AF" w:rsidRDefault="00975183" w:rsidP="00442D33">
      <w:pPr>
        <w:pStyle w:val="EndnoteText"/>
      </w:pPr>
      <w:r w:rsidRPr="005A4949">
        <w:rPr>
          <w:rStyle w:val="FootnoteReference"/>
        </w:rPr>
        <w:endnoteRef/>
      </w:r>
      <w:r w:rsidRPr="005A4949">
        <w:t xml:space="preserve"> Blaising and </w:t>
      </w:r>
      <w:r w:rsidRPr="00FD3F8D">
        <w:t>Bock, ‘Dispensationalism</w:t>
      </w:r>
      <w:r w:rsidRPr="005A4949">
        <w:t xml:space="preserve">, Israel and the Church: Assessment and Dialogue’, </w:t>
      </w:r>
      <w:r w:rsidRPr="005A4949">
        <w:rPr>
          <w:i/>
        </w:rPr>
        <w:t>Dispensationalism, Israel &amp; Church</w:t>
      </w:r>
      <w:r w:rsidRPr="005A4949">
        <w:t>, p</w:t>
      </w:r>
      <w:r>
        <w:t>p</w:t>
      </w:r>
      <w:r w:rsidRPr="005A4949">
        <w:t>. 382</w:t>
      </w:r>
      <w:r>
        <w:t>-3</w:t>
      </w:r>
      <w:r w:rsidRPr="005A4949">
        <w:t>.</w:t>
      </w:r>
      <w:r>
        <w:t xml:space="preserve">  </w:t>
      </w:r>
      <w:r w:rsidRPr="00FD3F8D">
        <w:rPr>
          <w:b/>
        </w:rPr>
        <w:t>See quotation in 3.4</w:t>
      </w:r>
      <w:r>
        <w:t>.</w:t>
      </w:r>
    </w:p>
  </w:endnote>
  <w:endnote w:id="1034">
    <w:p w:rsidR="00975183" w:rsidRDefault="00975183" w:rsidP="00442D33">
      <w:pPr>
        <w:pStyle w:val="EndnoteText"/>
      </w:pPr>
      <w:r w:rsidRPr="0019389B">
        <w:rPr>
          <w:rStyle w:val="FootnoteReference"/>
        </w:rPr>
        <w:endnoteRef/>
      </w:r>
      <w:r w:rsidRPr="0019389B">
        <w:t xml:space="preserve"> </w:t>
      </w:r>
      <w:r w:rsidRPr="00DA01AD">
        <w:rPr>
          <w:bCs/>
          <w:kern w:val="36"/>
          <w:szCs w:val="22"/>
          <w:lang w:eastAsia="en-GB"/>
        </w:rPr>
        <w:t xml:space="preserve">Saucy, </w:t>
      </w:r>
      <w:r w:rsidRPr="00DA01AD">
        <w:rPr>
          <w:bCs/>
          <w:i/>
          <w:kern w:val="36"/>
          <w:szCs w:val="22"/>
          <w:lang w:eastAsia="en-GB"/>
        </w:rPr>
        <w:t>Case for Progressive Dispensationalism</w:t>
      </w:r>
      <w:r>
        <w:rPr>
          <w:bCs/>
          <w:kern w:val="36"/>
          <w:szCs w:val="22"/>
          <w:lang w:eastAsia="en-GB"/>
        </w:rPr>
        <w:t>, p. 187.</w:t>
      </w:r>
    </w:p>
  </w:endnote>
  <w:endnote w:id="1035">
    <w:p w:rsidR="00975183" w:rsidRDefault="00975183" w:rsidP="00442D33">
      <w:pPr>
        <w:pStyle w:val="EndnoteText"/>
      </w:pPr>
      <w:r w:rsidRPr="0019389B">
        <w:rPr>
          <w:rStyle w:val="FootnoteReference"/>
        </w:rPr>
        <w:endnoteRef/>
      </w:r>
      <w:r w:rsidRPr="0019389B">
        <w:t xml:space="preserve"> </w:t>
      </w:r>
      <w:r w:rsidRPr="00DA01AD">
        <w:rPr>
          <w:bCs/>
          <w:kern w:val="36"/>
          <w:szCs w:val="22"/>
          <w:lang w:eastAsia="en-GB"/>
        </w:rPr>
        <w:t xml:space="preserve">Saucy, </w:t>
      </w:r>
      <w:r w:rsidRPr="00DA01AD">
        <w:rPr>
          <w:bCs/>
          <w:i/>
          <w:kern w:val="36"/>
          <w:szCs w:val="22"/>
          <w:lang w:eastAsia="en-GB"/>
        </w:rPr>
        <w:t>Case for Progressive Dispensationalism</w:t>
      </w:r>
      <w:r>
        <w:rPr>
          <w:bCs/>
          <w:kern w:val="36"/>
          <w:szCs w:val="22"/>
          <w:lang w:eastAsia="en-GB"/>
        </w:rPr>
        <w:t>, p. 187.</w:t>
      </w:r>
    </w:p>
  </w:endnote>
  <w:endnote w:id="1036">
    <w:p w:rsidR="00975183" w:rsidRPr="00027AE7" w:rsidRDefault="00975183" w:rsidP="00442D33">
      <w:pPr>
        <w:pStyle w:val="EndnoteText"/>
      </w:pPr>
      <w:r w:rsidRPr="00027AE7">
        <w:rPr>
          <w:rStyle w:val="EndnoteReference"/>
        </w:rPr>
        <w:endnoteRef/>
      </w:r>
      <w:r w:rsidRPr="00027AE7">
        <w:t xml:space="preserve"> </w:t>
      </w:r>
      <w:r w:rsidRPr="00DA01AD">
        <w:rPr>
          <w:bCs/>
          <w:kern w:val="36"/>
          <w:szCs w:val="22"/>
          <w:lang w:eastAsia="en-GB"/>
        </w:rPr>
        <w:t xml:space="preserve">Saucy, </w:t>
      </w:r>
      <w:r w:rsidRPr="00DA01AD">
        <w:rPr>
          <w:bCs/>
          <w:i/>
          <w:kern w:val="36"/>
          <w:szCs w:val="22"/>
          <w:lang w:eastAsia="en-GB"/>
        </w:rPr>
        <w:t>Case for Progressive Dispensationalism</w:t>
      </w:r>
      <w:r>
        <w:rPr>
          <w:bCs/>
          <w:kern w:val="36"/>
          <w:szCs w:val="22"/>
          <w:lang w:eastAsia="en-GB"/>
        </w:rPr>
        <w:t>, p. 28.</w:t>
      </w:r>
    </w:p>
  </w:endnote>
  <w:endnote w:id="1037">
    <w:p w:rsidR="00975183" w:rsidRDefault="00975183" w:rsidP="00442D33">
      <w:pPr>
        <w:pStyle w:val="EndnoteText"/>
      </w:pPr>
      <w:r w:rsidRPr="0019389B">
        <w:rPr>
          <w:rStyle w:val="FootnoteReference"/>
        </w:rPr>
        <w:endnoteRef/>
      </w:r>
      <w:r w:rsidRPr="0019389B">
        <w:t xml:space="preserve"> </w:t>
      </w:r>
      <w:r>
        <w:t xml:space="preserve">Blaising, ‘Extent and Varieties’, </w:t>
      </w:r>
      <w:r w:rsidRPr="00D47343">
        <w:rPr>
          <w:i/>
        </w:rPr>
        <w:t>Progressive Dispensationalism</w:t>
      </w:r>
      <w:r>
        <w:t xml:space="preserve">, p. 47.  </w:t>
      </w:r>
      <w:proofErr w:type="gramStart"/>
      <w:r>
        <w:t>(</w:t>
      </w:r>
      <w:r w:rsidRPr="00E21045">
        <w:rPr>
          <w:i/>
        </w:rPr>
        <w:t>My emphas</w:t>
      </w:r>
      <w:r>
        <w:rPr>
          <w:i/>
        </w:rPr>
        <w:t>e</w:t>
      </w:r>
      <w:r w:rsidRPr="00E21045">
        <w:rPr>
          <w:i/>
        </w:rPr>
        <w:t>s</w:t>
      </w:r>
      <w:r>
        <w:t>.)</w:t>
      </w:r>
      <w:proofErr w:type="gramEnd"/>
    </w:p>
  </w:endnote>
  <w:endnote w:id="1038">
    <w:p w:rsidR="00975183" w:rsidRPr="002D546D" w:rsidRDefault="00975183" w:rsidP="00442D33">
      <w:pPr>
        <w:pStyle w:val="EndnoteText"/>
      </w:pPr>
      <w:r w:rsidRPr="002D546D">
        <w:rPr>
          <w:rStyle w:val="EndnoteReference"/>
        </w:rPr>
        <w:endnoteRef/>
      </w:r>
      <w:r w:rsidRPr="002D546D">
        <w:t xml:space="preserve"> </w:t>
      </w:r>
      <w:r w:rsidRPr="002D546D">
        <w:rPr>
          <w:i/>
        </w:rPr>
        <w:t>SRB</w:t>
      </w:r>
      <w:r w:rsidRPr="002D546D">
        <w:t xml:space="preserve"> Introduction to Romans, p. 1191 and</w:t>
      </w:r>
      <w:r w:rsidRPr="002D546D">
        <w:rPr>
          <w:b/>
        </w:rPr>
        <w:t xml:space="preserve"> </w:t>
      </w:r>
      <w:r>
        <w:t xml:space="preserve">subhead to Rom. 9:1, p. 1202.  </w:t>
      </w:r>
      <w:proofErr w:type="gramStart"/>
      <w:r w:rsidRPr="00FD3F8D">
        <w:t>S</w:t>
      </w:r>
      <w:r w:rsidRPr="00FD3F8D">
        <w:rPr>
          <w:b/>
        </w:rPr>
        <w:t>ee 8.7.1.</w:t>
      </w:r>
      <w:proofErr w:type="gramEnd"/>
    </w:p>
  </w:endnote>
  <w:endnote w:id="1039">
    <w:p w:rsidR="00975183" w:rsidRPr="00221DA4" w:rsidRDefault="00975183" w:rsidP="00442D33">
      <w:pPr>
        <w:pStyle w:val="EndnoteText"/>
      </w:pPr>
      <w:r w:rsidRPr="00221DA4">
        <w:rPr>
          <w:rStyle w:val="EndnoteReference"/>
        </w:rPr>
        <w:endnoteRef/>
      </w:r>
      <w:r w:rsidRPr="00221DA4">
        <w:t xml:space="preserve"> </w:t>
      </w:r>
      <w:r w:rsidRPr="00221DA4">
        <w:rPr>
          <w:i/>
        </w:rPr>
        <w:t xml:space="preserve">SRB </w:t>
      </w:r>
      <w:r>
        <w:t>I</w:t>
      </w:r>
      <w:r w:rsidRPr="00221DA4">
        <w:t xml:space="preserve">ntroduction to the Four Gospels, p. 989.  Ref. Lk. 1:33.  </w:t>
      </w:r>
    </w:p>
  </w:endnote>
  <w:endnote w:id="1040">
    <w:p w:rsidR="00975183" w:rsidRPr="00221DA4" w:rsidRDefault="00975183" w:rsidP="00442D33">
      <w:pPr>
        <w:pStyle w:val="EndnoteText"/>
      </w:pPr>
      <w:r w:rsidRPr="00221DA4">
        <w:rPr>
          <w:rStyle w:val="EndnoteReference"/>
        </w:rPr>
        <w:endnoteRef/>
      </w:r>
      <w:r w:rsidRPr="00221DA4">
        <w:t xml:space="preserve"> </w:t>
      </w:r>
      <w:r w:rsidRPr="00221DA4">
        <w:rPr>
          <w:i/>
        </w:rPr>
        <w:t>SRB</w:t>
      </w:r>
      <w:r w:rsidRPr="00221DA4">
        <w:t xml:space="preserve"> note on Acts 2:14, p. 1150.  </w:t>
      </w:r>
      <w:proofErr w:type="gramStart"/>
      <w:r w:rsidRPr="00FD3F8D">
        <w:rPr>
          <w:b/>
        </w:rPr>
        <w:t>See 7.2.2.</w:t>
      </w:r>
      <w:proofErr w:type="gramEnd"/>
    </w:p>
  </w:endnote>
  <w:endnote w:id="1041">
    <w:p w:rsidR="00975183" w:rsidRDefault="00975183" w:rsidP="00442D33">
      <w:pPr>
        <w:pStyle w:val="EndnoteText"/>
      </w:pPr>
      <w:r w:rsidRPr="00F57F6A">
        <w:rPr>
          <w:rStyle w:val="FootnoteReference"/>
        </w:rPr>
        <w:endnoteRef/>
      </w:r>
      <w:r w:rsidRPr="00F57F6A">
        <w:t xml:space="preserve"> </w:t>
      </w:r>
      <w:proofErr w:type="gramStart"/>
      <w:r w:rsidRPr="00CC6C3C">
        <w:rPr>
          <w:sz w:val="22"/>
          <w:szCs w:val="22"/>
        </w:rPr>
        <w:t xml:space="preserve">Scofield, </w:t>
      </w:r>
      <w:r w:rsidRPr="00CC6C3C">
        <w:rPr>
          <w:i/>
          <w:sz w:val="22"/>
          <w:szCs w:val="22"/>
        </w:rPr>
        <w:t>Rightly Dividing the Word of Truth</w:t>
      </w:r>
      <w:r>
        <w:rPr>
          <w:sz w:val="22"/>
          <w:szCs w:val="22"/>
        </w:rPr>
        <w:t>, pp. 13-15</w:t>
      </w:r>
      <w:r w:rsidRPr="00CC6C3C">
        <w:rPr>
          <w:sz w:val="22"/>
          <w:szCs w:val="22"/>
        </w:rPr>
        <w:t>.</w:t>
      </w:r>
      <w:proofErr w:type="gramEnd"/>
      <w:r>
        <w:rPr>
          <w:sz w:val="22"/>
          <w:szCs w:val="22"/>
        </w:rPr>
        <w:t xml:space="preserve">  </w:t>
      </w:r>
      <w:proofErr w:type="gramStart"/>
      <w:r>
        <w:rPr>
          <w:sz w:val="22"/>
          <w:szCs w:val="22"/>
        </w:rPr>
        <w:t>(</w:t>
      </w:r>
      <w:r w:rsidRPr="00215A17">
        <w:rPr>
          <w:i/>
          <w:sz w:val="22"/>
          <w:szCs w:val="22"/>
        </w:rPr>
        <w:t>Scofield’s emphases</w:t>
      </w:r>
      <w:r>
        <w:rPr>
          <w:sz w:val="22"/>
          <w:szCs w:val="22"/>
        </w:rPr>
        <w:t>.)</w:t>
      </w:r>
      <w:proofErr w:type="gramEnd"/>
      <w:r>
        <w:rPr>
          <w:sz w:val="22"/>
          <w:szCs w:val="22"/>
        </w:rPr>
        <w:t xml:space="preserve">  </w:t>
      </w:r>
    </w:p>
  </w:endnote>
  <w:endnote w:id="1042">
    <w:p w:rsidR="00975183" w:rsidRDefault="00975183" w:rsidP="00442D33">
      <w:pPr>
        <w:pStyle w:val="EndnoteText"/>
      </w:pPr>
      <w:r w:rsidRPr="008914ED">
        <w:rPr>
          <w:rStyle w:val="EndnoteReference"/>
        </w:rPr>
        <w:endnoteRef/>
      </w:r>
      <w:r w:rsidRPr="008914ED">
        <w:t xml:space="preserve"> </w:t>
      </w:r>
      <w:r w:rsidRPr="002011B0">
        <w:rPr>
          <w:i/>
        </w:rPr>
        <w:t>SRB</w:t>
      </w:r>
      <w:r>
        <w:t xml:space="preserve"> notes on Gen. 5:22, p. 12; 15:18, p. 24; Hos. 2:2, p. 922; Hab. 3:1, p. 957; Mt. 2:2, p. 995; 16:18, p. 1021; Acts 2:17, p. 1151; 7:38, p. 1158; Rom. 11:1, p. 1204 and Rev. 19:7, p. 1348; subheads to Lev. 18:1, 19:1, 20:1, pp. 150, 151, 152; Acts 2:1, p. 1149; 10:1, p. 1162; Heb. 12:18, p. 1303; and Introductions to </w:t>
      </w:r>
    </w:p>
    <w:p w:rsidR="00975183" w:rsidRDefault="00975183" w:rsidP="00442D33">
      <w:pPr>
        <w:pStyle w:val="EndnoteText"/>
      </w:pPr>
      <w:r>
        <w:t>1 Chronicles, p. 456; the Psalms, p. 599 and the Four Gospels, pp. 989-90.</w:t>
      </w:r>
    </w:p>
  </w:endnote>
  <w:endnote w:id="1043">
    <w:p w:rsidR="00975183" w:rsidRDefault="00975183" w:rsidP="00442D33">
      <w:pPr>
        <w:pStyle w:val="EndnoteText"/>
        <w:tabs>
          <w:tab w:val="left" w:pos="3261"/>
        </w:tabs>
      </w:pPr>
      <w:r w:rsidRPr="00A23721">
        <w:rPr>
          <w:rStyle w:val="EndnoteReference"/>
        </w:rPr>
        <w:endnoteRef/>
      </w:r>
      <w:r w:rsidRPr="00A23721">
        <w:t xml:space="preserve"> </w:t>
      </w:r>
      <w:proofErr w:type="gramStart"/>
      <w:r w:rsidRPr="00A23721">
        <w:rPr>
          <w:i/>
        </w:rPr>
        <w:t xml:space="preserve">SRB </w:t>
      </w:r>
      <w:r w:rsidRPr="00A23721">
        <w:t>note on Gen. 5:22, p. 12.</w:t>
      </w:r>
      <w:proofErr w:type="gramEnd"/>
      <w:r w:rsidRPr="00A23721">
        <w:t xml:space="preserve">  </w:t>
      </w:r>
      <w:proofErr w:type="gramStart"/>
      <w:r w:rsidRPr="00FD3F8D">
        <w:rPr>
          <w:b/>
        </w:rPr>
        <w:t>See 2.3.1, d)</w:t>
      </w:r>
      <w:r w:rsidRPr="00FD3F8D">
        <w:t>.</w:t>
      </w:r>
      <w:proofErr w:type="gramEnd"/>
    </w:p>
  </w:endnote>
  <w:endnote w:id="1044">
    <w:p w:rsidR="00975183" w:rsidRPr="004A1274" w:rsidRDefault="00975183" w:rsidP="00442D33">
      <w:pPr>
        <w:pStyle w:val="EndnoteText"/>
      </w:pPr>
      <w:r w:rsidRPr="004A1274">
        <w:rPr>
          <w:rStyle w:val="EndnoteReference"/>
        </w:rPr>
        <w:endnoteRef/>
      </w:r>
      <w:r w:rsidRPr="004A1274">
        <w:t xml:space="preserve"> </w:t>
      </w:r>
      <w:r w:rsidRPr="00FD3F8D">
        <w:rPr>
          <w:b/>
        </w:rPr>
        <w:t>See below</w:t>
      </w:r>
      <w:r>
        <w:t>.</w:t>
      </w:r>
    </w:p>
  </w:endnote>
  <w:endnote w:id="1045">
    <w:p w:rsidR="00975183" w:rsidRPr="005F0FCC" w:rsidRDefault="00975183" w:rsidP="00442D33">
      <w:pPr>
        <w:pStyle w:val="EndnoteText"/>
      </w:pPr>
      <w:r w:rsidRPr="00A23721">
        <w:rPr>
          <w:rStyle w:val="EndnoteReference"/>
        </w:rPr>
        <w:endnoteRef/>
      </w:r>
      <w:r w:rsidRPr="00A23721">
        <w:t xml:space="preserve"> </w:t>
      </w:r>
      <w:proofErr w:type="gramStart"/>
      <w:r w:rsidRPr="00A23721">
        <w:rPr>
          <w:i/>
        </w:rPr>
        <w:t xml:space="preserve">SRB </w:t>
      </w:r>
      <w:r w:rsidRPr="00A23721">
        <w:t>note on Gen. 5:22, p. 12.</w:t>
      </w:r>
      <w:proofErr w:type="gramEnd"/>
      <w:r w:rsidRPr="00A23721">
        <w:t xml:space="preserve">  </w:t>
      </w:r>
      <w:proofErr w:type="gramStart"/>
      <w:r w:rsidRPr="005F0FCC">
        <w:rPr>
          <w:b/>
        </w:rPr>
        <w:t>See 2.3.1, d).</w:t>
      </w:r>
      <w:proofErr w:type="gramEnd"/>
      <w:r w:rsidRPr="005F0FCC">
        <w:rPr>
          <w:b/>
        </w:rPr>
        <w:t xml:space="preserve"> </w:t>
      </w:r>
    </w:p>
  </w:endnote>
  <w:endnote w:id="1046">
    <w:p w:rsidR="00975183" w:rsidRPr="00795795" w:rsidRDefault="00975183" w:rsidP="00442D33">
      <w:pPr>
        <w:pStyle w:val="EndnoteText"/>
      </w:pPr>
      <w:r w:rsidRPr="005F0FCC">
        <w:rPr>
          <w:rStyle w:val="EndnoteReference"/>
        </w:rPr>
        <w:endnoteRef/>
      </w:r>
      <w:r w:rsidRPr="005F0FCC">
        <w:t xml:space="preserve"> </w:t>
      </w:r>
      <w:proofErr w:type="gramStart"/>
      <w:r w:rsidRPr="005F0FCC">
        <w:rPr>
          <w:i/>
        </w:rPr>
        <w:t>SRB</w:t>
      </w:r>
      <w:r w:rsidRPr="005F0FCC">
        <w:t xml:space="preserve"> note on Gen. 6:9, p. 13.</w:t>
      </w:r>
      <w:proofErr w:type="gramEnd"/>
      <w:r w:rsidRPr="005F0FCC">
        <w:t xml:space="preserve">  </w:t>
      </w:r>
      <w:proofErr w:type="gramStart"/>
      <w:r w:rsidRPr="005F0FCC">
        <w:rPr>
          <w:b/>
        </w:rPr>
        <w:t>See 2.3.1, d).</w:t>
      </w:r>
      <w:proofErr w:type="gramEnd"/>
    </w:p>
  </w:endnote>
  <w:endnote w:id="1047">
    <w:p w:rsidR="00975183" w:rsidRPr="002D546D" w:rsidRDefault="00975183" w:rsidP="00442D33">
      <w:pPr>
        <w:pStyle w:val="EndnoteText"/>
      </w:pPr>
      <w:r w:rsidRPr="002D546D">
        <w:rPr>
          <w:rStyle w:val="EndnoteReference"/>
        </w:rPr>
        <w:endnoteRef/>
      </w:r>
      <w:r w:rsidRPr="002D546D">
        <w:t xml:space="preserve"> </w:t>
      </w:r>
      <w:proofErr w:type="gramStart"/>
      <w:r w:rsidRPr="002D546D">
        <w:rPr>
          <w:i/>
        </w:rPr>
        <w:t>SRB</w:t>
      </w:r>
      <w:r>
        <w:t xml:space="preserve"> n</w:t>
      </w:r>
      <w:r w:rsidRPr="002D546D">
        <w:t>ote on Gen. 11:10, p. 19.</w:t>
      </w:r>
      <w:proofErr w:type="gramEnd"/>
    </w:p>
  </w:endnote>
  <w:endnote w:id="1048">
    <w:p w:rsidR="00975183" w:rsidRPr="002D546D" w:rsidRDefault="00975183" w:rsidP="00442D33">
      <w:pPr>
        <w:pStyle w:val="EndnoteText"/>
      </w:pPr>
      <w:r w:rsidRPr="002D546D">
        <w:rPr>
          <w:rStyle w:val="EndnoteReference"/>
        </w:rPr>
        <w:endnoteRef/>
      </w:r>
      <w:r w:rsidRPr="002D546D">
        <w:t xml:space="preserve"> </w:t>
      </w:r>
      <w:proofErr w:type="gramStart"/>
      <w:r w:rsidRPr="002D546D">
        <w:rPr>
          <w:i/>
        </w:rPr>
        <w:t>SRB</w:t>
      </w:r>
      <w:r w:rsidRPr="002D546D">
        <w:t xml:space="preserve"> note on Gen. 11:10, p. 19</w:t>
      </w:r>
      <w:r w:rsidRPr="002D546D">
        <w:rPr>
          <w:b/>
        </w:rPr>
        <w:t>.</w:t>
      </w:r>
      <w:proofErr w:type="gramEnd"/>
      <w:r w:rsidRPr="002D546D">
        <w:rPr>
          <w:b/>
        </w:rPr>
        <w:t xml:space="preserve">  </w:t>
      </w:r>
      <w:proofErr w:type="gramStart"/>
      <w:r w:rsidRPr="00FE4A57">
        <w:rPr>
          <w:b/>
        </w:rPr>
        <w:t>See 5.4.3</w:t>
      </w:r>
      <w:r w:rsidRPr="002D546D">
        <w:rPr>
          <w:b/>
        </w:rPr>
        <w:t>.</w:t>
      </w:r>
      <w:proofErr w:type="gramEnd"/>
    </w:p>
  </w:endnote>
  <w:endnote w:id="1049">
    <w:p w:rsidR="00975183" w:rsidRPr="00424C4F" w:rsidRDefault="00975183" w:rsidP="00442D33">
      <w:pPr>
        <w:pStyle w:val="EndnoteText"/>
      </w:pPr>
      <w:r w:rsidRPr="00424C4F">
        <w:rPr>
          <w:rStyle w:val="EndnoteReference"/>
        </w:rPr>
        <w:endnoteRef/>
      </w:r>
      <w:r w:rsidRPr="00424C4F">
        <w:t xml:space="preserve"> </w:t>
      </w:r>
      <w:r>
        <w:t xml:space="preserve">These are extrapolations from Rom. 3:1, which Scofield acknowledges in his references, and Rom. 9:4-5, which he does not.  These remarks are repeated almost verbatim in the </w:t>
      </w:r>
      <w:r w:rsidRPr="00A23721">
        <w:rPr>
          <w:i/>
        </w:rPr>
        <w:t>SRB</w:t>
      </w:r>
      <w:r w:rsidRPr="00A23721">
        <w:t xml:space="preserve"> note on Rom. 11:26, p. 1206</w:t>
      </w:r>
      <w:r w:rsidRPr="00A23721">
        <w:rPr>
          <w:b/>
        </w:rPr>
        <w:t>.</w:t>
      </w:r>
      <w:r>
        <w:rPr>
          <w:b/>
        </w:rPr>
        <w:t xml:space="preserve">  </w:t>
      </w:r>
      <w:r w:rsidRPr="00E203C8">
        <w:rPr>
          <w:b/>
        </w:rPr>
        <w:t>See below</w:t>
      </w:r>
      <w:r>
        <w:rPr>
          <w:b/>
        </w:rPr>
        <w:t>.</w:t>
      </w:r>
    </w:p>
  </w:endnote>
  <w:endnote w:id="1050">
    <w:p w:rsidR="00975183" w:rsidRPr="00A23721" w:rsidRDefault="00975183" w:rsidP="00442D33">
      <w:pPr>
        <w:pStyle w:val="EndnoteText"/>
        <w:rPr>
          <w:sz w:val="18"/>
        </w:rPr>
      </w:pPr>
      <w:r w:rsidRPr="00A23721">
        <w:rPr>
          <w:rStyle w:val="EndnoteReference"/>
        </w:rPr>
        <w:endnoteRef/>
      </w:r>
      <w:r w:rsidRPr="00A23721">
        <w:t xml:space="preserve"> </w:t>
      </w:r>
      <w:proofErr w:type="gramStart"/>
      <w:r w:rsidRPr="00A23721">
        <w:rPr>
          <w:i/>
        </w:rPr>
        <w:t>SRB</w:t>
      </w:r>
      <w:r w:rsidRPr="00A23721">
        <w:t xml:space="preserve"> subhead to Gen. 13:14.</w:t>
      </w:r>
      <w:proofErr w:type="gramEnd"/>
      <w:r w:rsidRPr="00A23721">
        <w:t xml:space="preserve"> </w:t>
      </w:r>
      <w:proofErr w:type="gramStart"/>
      <w:r w:rsidRPr="00A23721">
        <w:t>p. 22.</w:t>
      </w:r>
      <w:proofErr w:type="gramEnd"/>
      <w:r w:rsidRPr="00A23721">
        <w:t xml:space="preserve">  Ref. Gen. 13: 16.  </w:t>
      </w:r>
    </w:p>
  </w:endnote>
  <w:endnote w:id="1051">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subhead to Gen. 15:1, p. 23.</w:t>
      </w:r>
      <w:proofErr w:type="gramEnd"/>
      <w:r w:rsidRPr="00A23721">
        <w:t xml:space="preserve">  Ref. Gen. 15: 5.  </w:t>
      </w:r>
    </w:p>
  </w:endnote>
  <w:endnote w:id="1052">
    <w:p w:rsidR="00975183" w:rsidRPr="00A23721" w:rsidRDefault="00975183" w:rsidP="00442D33">
      <w:pPr>
        <w:pStyle w:val="EndnoteText"/>
      </w:pPr>
      <w:r w:rsidRPr="00A23721">
        <w:rPr>
          <w:rStyle w:val="EndnoteReference"/>
        </w:rPr>
        <w:endnoteRef/>
      </w:r>
      <w:r w:rsidRPr="00A23721">
        <w:t xml:space="preserve"> References Gen. 13:16; Jn 8:37.  </w:t>
      </w:r>
    </w:p>
  </w:endnote>
  <w:endnote w:id="1053">
    <w:p w:rsidR="00975183" w:rsidRPr="00A23721" w:rsidRDefault="00975183" w:rsidP="00442D33">
      <w:pPr>
        <w:pStyle w:val="EndnoteText"/>
      </w:pPr>
      <w:r w:rsidRPr="00A23721">
        <w:rPr>
          <w:rStyle w:val="EndnoteReference"/>
        </w:rPr>
        <w:endnoteRef/>
      </w:r>
      <w:r w:rsidRPr="00A23721">
        <w:t xml:space="preserve"> </w:t>
      </w:r>
      <w:proofErr w:type="gramStart"/>
      <w:r w:rsidRPr="00A23721">
        <w:t>References Jn 8:39; Rom. 4:16, 17; Gal. 3:6, 7.</w:t>
      </w:r>
      <w:proofErr w:type="gramEnd"/>
    </w:p>
  </w:endnote>
  <w:endnote w:id="1054">
    <w:p w:rsidR="00975183" w:rsidRDefault="00975183" w:rsidP="00442D33">
      <w:pPr>
        <w:pStyle w:val="EndnoteText"/>
      </w:pPr>
      <w:r w:rsidRPr="007B79E5">
        <w:rPr>
          <w:rStyle w:val="FootnoteReference"/>
        </w:rPr>
        <w:endnoteRef/>
      </w:r>
      <w:r w:rsidRPr="007B79E5">
        <w:t xml:space="preserve"> </w:t>
      </w:r>
      <w:proofErr w:type="gramStart"/>
      <w:r w:rsidRPr="007B79E5">
        <w:rPr>
          <w:i/>
        </w:rPr>
        <w:t>SRB</w:t>
      </w:r>
      <w:r w:rsidRPr="007B79E5">
        <w:t xml:space="preserve"> note on Gen. 15:18, p. 24</w:t>
      </w:r>
      <w:r w:rsidRPr="00A23721">
        <w:t>.</w:t>
      </w:r>
      <w:proofErr w:type="gramEnd"/>
      <w:r w:rsidRPr="00A23721">
        <w:t xml:space="preserve">  </w:t>
      </w:r>
    </w:p>
  </w:endnote>
  <w:endnote w:id="1055">
    <w:p w:rsidR="00975183" w:rsidRDefault="00975183" w:rsidP="00442D33">
      <w:pPr>
        <w:pStyle w:val="EndnoteText"/>
        <w:rPr>
          <w:szCs w:val="22"/>
        </w:rPr>
      </w:pPr>
      <w:r w:rsidRPr="007F7D62">
        <w:rPr>
          <w:rStyle w:val="EndnoteReference"/>
        </w:rPr>
        <w:endnoteRef/>
      </w:r>
      <w:r w:rsidRPr="007F7D62">
        <w:t xml:space="preserve"> </w:t>
      </w:r>
      <w:r w:rsidRPr="001E3501">
        <w:rPr>
          <w:i/>
          <w:szCs w:val="22"/>
        </w:rPr>
        <w:t>Holy Bible, Concordance, New Scofield Reference Edition</w:t>
      </w:r>
      <w:r w:rsidRPr="001E3501">
        <w:rPr>
          <w:szCs w:val="22"/>
        </w:rPr>
        <w:t xml:space="preserve">, ed. C. I. Scofield, Editorial Committee of the new edition: </w:t>
      </w:r>
    </w:p>
    <w:p w:rsidR="00975183" w:rsidRDefault="00975183" w:rsidP="00442D33">
      <w:pPr>
        <w:pStyle w:val="EndnoteText"/>
      </w:pPr>
      <w:r w:rsidRPr="001E3501">
        <w:rPr>
          <w:szCs w:val="22"/>
        </w:rPr>
        <w:t>E. Schuyler English, chairman (New York, Oxford University Press, 1967)</w:t>
      </w:r>
      <w:r>
        <w:rPr>
          <w:szCs w:val="22"/>
        </w:rPr>
        <w:t xml:space="preserve">, note on Gen. 12:2, p. 19. </w:t>
      </w:r>
    </w:p>
  </w:endnote>
  <w:endnote w:id="1056">
    <w:p w:rsidR="00975183" w:rsidRDefault="00975183" w:rsidP="00442D33">
      <w:pPr>
        <w:pStyle w:val="EndnoteText"/>
      </w:pPr>
      <w:r w:rsidRPr="009917C0">
        <w:rPr>
          <w:rStyle w:val="EndnoteReference"/>
        </w:rPr>
        <w:endnoteRef/>
      </w:r>
      <w:r w:rsidRPr="009917C0">
        <w:t xml:space="preserve"> </w:t>
      </w:r>
      <w:r w:rsidRPr="001E3501">
        <w:rPr>
          <w:i/>
          <w:szCs w:val="22"/>
        </w:rPr>
        <w:t>The Scofield Study Bible III, King James Version</w:t>
      </w:r>
      <w:r w:rsidRPr="001E3501">
        <w:rPr>
          <w:szCs w:val="22"/>
        </w:rPr>
        <w:t>, ed. C. I. Scofield, Editorial Committee of the new edition: E. Schuyler English, chairman, contributing ed., 2003 edition, Doris W. Rikkers (New York, Oxford University Press, 2003)</w:t>
      </w:r>
      <w:r>
        <w:rPr>
          <w:szCs w:val="22"/>
        </w:rPr>
        <w:t>, note on Gen. 12:2, p. 24.</w:t>
      </w:r>
    </w:p>
  </w:endnote>
  <w:endnote w:id="1057">
    <w:p w:rsidR="00975183"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w:t>
      </w:r>
      <w:r>
        <w:t xml:space="preserve"> Gen. 36:31, p 53.</w:t>
      </w:r>
      <w:proofErr w:type="gramEnd"/>
    </w:p>
  </w:endnote>
  <w:endnote w:id="1058">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subheads to Lev. 18:1, Lev. 19:1 and Lev. 20:1, pp. 150-2.</w:t>
      </w:r>
    </w:p>
  </w:endnote>
  <w:endnote w:id="1059">
    <w:p w:rsidR="00975183" w:rsidRPr="00A23721" w:rsidRDefault="00975183" w:rsidP="00442D33">
      <w:pPr>
        <w:pStyle w:val="EndnoteText"/>
      </w:pPr>
      <w:r w:rsidRPr="00A23721">
        <w:rPr>
          <w:rStyle w:val="EndnoteReference"/>
        </w:rPr>
        <w:endnoteRef/>
      </w:r>
      <w:r w:rsidRPr="00A23721">
        <w:t xml:space="preserve"> </w:t>
      </w:r>
      <w:r w:rsidRPr="00A23721">
        <w:rPr>
          <w:i/>
        </w:rPr>
        <w:t xml:space="preserve">SRB </w:t>
      </w:r>
      <w:r w:rsidRPr="00A23721">
        <w:t>Introduction to 1 Chronicles, p. 456</w:t>
      </w:r>
      <w:r w:rsidRPr="00A23721">
        <w:rPr>
          <w:b/>
        </w:rPr>
        <w:t>.</w:t>
      </w:r>
      <w:r w:rsidRPr="00A23721">
        <w:t xml:space="preserve">  </w:t>
      </w:r>
    </w:p>
  </w:endnote>
  <w:endnote w:id="1060">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Introduction to the Psalms, p. 599.   </w:t>
      </w:r>
      <w:r w:rsidRPr="00A23721">
        <w:rPr>
          <w:b/>
        </w:rPr>
        <w:t>See 4.4.</w:t>
      </w:r>
      <w:r w:rsidRPr="00A23721">
        <w:t xml:space="preserve">    </w:t>
      </w:r>
    </w:p>
  </w:endnote>
  <w:endnote w:id="1061">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Hab. 3:1, p. 957.</w:t>
      </w:r>
    </w:p>
  </w:endnote>
  <w:endnote w:id="1062">
    <w:p w:rsidR="00975183" w:rsidRPr="004B78A6" w:rsidRDefault="00975183" w:rsidP="00442D33">
      <w:pPr>
        <w:pStyle w:val="EndnoteText"/>
      </w:pPr>
      <w:r w:rsidRPr="004B78A6">
        <w:rPr>
          <w:rStyle w:val="EndnoteReference"/>
        </w:rPr>
        <w:endnoteRef/>
      </w:r>
      <w:r w:rsidRPr="004B78A6">
        <w:t xml:space="preserve"> </w:t>
      </w:r>
      <w:r>
        <w:t>Ref. Heb. 1:2.</w:t>
      </w:r>
    </w:p>
  </w:endnote>
  <w:endnote w:id="1063">
    <w:p w:rsidR="00975183" w:rsidRDefault="00975183" w:rsidP="00442D33">
      <w:pPr>
        <w:pStyle w:val="EndnoteText"/>
      </w:pPr>
      <w:r w:rsidRPr="00A23721">
        <w:rPr>
          <w:rStyle w:val="FootnoteReference"/>
        </w:rPr>
        <w:endnoteRef/>
      </w:r>
      <w:r w:rsidRPr="00A23721">
        <w:t xml:space="preserve"> </w:t>
      </w:r>
      <w:r w:rsidRPr="00A23721">
        <w:rPr>
          <w:i/>
        </w:rPr>
        <w:t>SRB</w:t>
      </w:r>
      <w:r w:rsidRPr="00A23721">
        <w:t xml:space="preserve"> note on Acts 2:17, p. 62-3.  </w:t>
      </w:r>
      <w:r>
        <w:t xml:space="preserve">Refs Ref. Heb. 1:2, 2 Tim. 3:1, 4:4.  </w:t>
      </w:r>
      <w:proofErr w:type="gramStart"/>
      <w:r w:rsidRPr="00FE4A57">
        <w:rPr>
          <w:b/>
        </w:rPr>
        <w:t>See 5.6.1; 5.6.2</w:t>
      </w:r>
      <w:r>
        <w:t>.</w:t>
      </w:r>
      <w:proofErr w:type="gramEnd"/>
      <w:r w:rsidRPr="00A23721">
        <w:t xml:space="preserve">  </w:t>
      </w:r>
    </w:p>
  </w:endnote>
  <w:endnote w:id="1064">
    <w:p w:rsidR="00975183" w:rsidRDefault="00975183" w:rsidP="00442D33">
      <w:pPr>
        <w:pStyle w:val="EndnoteText"/>
      </w:pPr>
      <w:r w:rsidRPr="009917C0">
        <w:rPr>
          <w:rStyle w:val="EndnoteReference"/>
        </w:rPr>
        <w:endnoteRef/>
      </w:r>
      <w:r w:rsidRPr="009917C0">
        <w:t xml:space="preserve"> </w:t>
      </w:r>
      <w:r w:rsidRPr="00A23721">
        <w:t xml:space="preserve">Scofield also discusses this in his note on Joel 2:28, p. 932.  </w:t>
      </w:r>
      <w:proofErr w:type="gramStart"/>
      <w:r w:rsidRPr="00FE4A57">
        <w:rPr>
          <w:b/>
        </w:rPr>
        <w:t>See 8.4.6</w:t>
      </w:r>
      <w:r w:rsidRPr="00930C61">
        <w:rPr>
          <w:b/>
        </w:rPr>
        <w:t>; 8.5.3</w:t>
      </w:r>
      <w:r w:rsidRPr="00930C61">
        <w:t>.</w:t>
      </w:r>
      <w:proofErr w:type="gramEnd"/>
    </w:p>
  </w:endnote>
  <w:endnote w:id="1065">
    <w:p w:rsidR="00975183" w:rsidRPr="00C3421F" w:rsidRDefault="00975183" w:rsidP="00442D33">
      <w:pPr>
        <w:pStyle w:val="EndnoteText"/>
      </w:pPr>
      <w:r w:rsidRPr="00A23721">
        <w:rPr>
          <w:rStyle w:val="EndnoteReference"/>
        </w:rPr>
        <w:endnoteRef/>
      </w:r>
      <w:r w:rsidRPr="00A23721">
        <w:t xml:space="preserve"> </w:t>
      </w:r>
      <w:r w:rsidRPr="00A23721">
        <w:rPr>
          <w:i/>
        </w:rPr>
        <w:t>SRB</w:t>
      </w:r>
      <w:r>
        <w:t xml:space="preserve"> note on Hos. 2:2, p. 922.  </w:t>
      </w:r>
      <w:r w:rsidRPr="00A23721">
        <w:t xml:space="preserve">Refs Jn 3:29; Rev. 19:6-8; Hos. 2:23; Rev. 19:7.  </w:t>
      </w:r>
    </w:p>
  </w:endnote>
  <w:endnote w:id="1066">
    <w:p w:rsidR="00975183" w:rsidRPr="00A23721" w:rsidRDefault="00975183" w:rsidP="00442D33">
      <w:pPr>
        <w:pStyle w:val="EndnoteText"/>
      </w:pPr>
      <w:r w:rsidRPr="00A23721">
        <w:rPr>
          <w:rStyle w:val="EndnoteReference"/>
        </w:rPr>
        <w:endnoteRef/>
      </w:r>
      <w:r w:rsidRPr="00A23721">
        <w:t xml:space="preserve"> Ref. Rev. 21:9.</w:t>
      </w:r>
    </w:p>
  </w:endnote>
  <w:endnote w:id="1067">
    <w:p w:rsidR="00975183" w:rsidRPr="00A23721" w:rsidRDefault="00975183" w:rsidP="00442D33">
      <w:pPr>
        <w:pStyle w:val="EndnoteText"/>
      </w:pPr>
      <w:r w:rsidRPr="00A23721">
        <w:rPr>
          <w:rStyle w:val="EndnoteReference"/>
        </w:rPr>
        <w:endnoteRef/>
      </w:r>
      <w:r w:rsidRPr="00A23721">
        <w:t xml:space="preserve"> Refs Rev. 21:9</w:t>
      </w:r>
      <w:r>
        <w:t>;</w:t>
      </w:r>
      <w:r w:rsidRPr="00A23721">
        <w:t xml:space="preserve"> Heb. 12:22, 23.</w:t>
      </w:r>
    </w:p>
  </w:endnote>
  <w:endnote w:id="1068">
    <w:p w:rsidR="00975183" w:rsidRPr="00A23721" w:rsidRDefault="00975183" w:rsidP="00442D33">
      <w:pPr>
        <w:pStyle w:val="EndnoteText"/>
      </w:pPr>
      <w:r w:rsidRPr="00A23721">
        <w:rPr>
          <w:rStyle w:val="EndnoteReference"/>
        </w:rPr>
        <w:endnoteRef/>
      </w:r>
      <w:r w:rsidRPr="00A23721">
        <w:t xml:space="preserve"> </w:t>
      </w:r>
      <w:proofErr w:type="gramStart"/>
      <w:r w:rsidRPr="00A23721">
        <w:t>Refs.</w:t>
      </w:r>
      <w:proofErr w:type="gramEnd"/>
      <w:r w:rsidRPr="00A23721">
        <w:t xml:space="preserve"> Isa. 54:1-10; Hos. 2:1-17.</w:t>
      </w:r>
    </w:p>
  </w:endnote>
  <w:endnote w:id="1069">
    <w:p w:rsidR="00975183" w:rsidRPr="00C3421F" w:rsidRDefault="00975183" w:rsidP="00442D33">
      <w:pPr>
        <w:spacing w:after="0" w:line="240" w:lineRule="auto"/>
        <w:rPr>
          <w:i/>
        </w:rPr>
      </w:pPr>
      <w:r w:rsidRPr="00A23721">
        <w:rPr>
          <w:rStyle w:val="EndnoteReference"/>
        </w:rPr>
        <w:endnoteRef/>
      </w:r>
      <w:r w:rsidRPr="00A23721">
        <w:t xml:space="preserve"> </w:t>
      </w:r>
      <w:proofErr w:type="gramStart"/>
      <w:r w:rsidRPr="00A23721">
        <w:rPr>
          <w:i/>
        </w:rPr>
        <w:t>SRB</w:t>
      </w:r>
      <w:r w:rsidRPr="00A23721">
        <w:t xml:space="preserve"> note on Rev. 19:7, p. 1348.</w:t>
      </w:r>
      <w:proofErr w:type="gramEnd"/>
      <w:r w:rsidRPr="00A23721">
        <w:t xml:space="preserve">  Ref. Hos. 2:23.  </w:t>
      </w:r>
    </w:p>
  </w:endnote>
  <w:endnote w:id="1070">
    <w:p w:rsidR="00975183" w:rsidRPr="00A23721" w:rsidRDefault="00975183" w:rsidP="00442D33">
      <w:pPr>
        <w:pStyle w:val="EndnoteText"/>
      </w:pPr>
      <w:r w:rsidRPr="00B746E2">
        <w:rPr>
          <w:rStyle w:val="EndnoteReference"/>
          <w:i/>
        </w:rPr>
        <w:endnoteRef/>
      </w:r>
      <w:r w:rsidRPr="00B746E2">
        <w:rPr>
          <w:i/>
        </w:rPr>
        <w:t xml:space="preserve"> </w:t>
      </w:r>
      <w:r w:rsidRPr="008F18BB">
        <w:t>Mangum,</w:t>
      </w:r>
      <w:r w:rsidRPr="00B746E2">
        <w:rPr>
          <w:i/>
        </w:rPr>
        <w:t xml:space="preserve"> ‘</w:t>
      </w:r>
      <w:r w:rsidRPr="008F18BB">
        <w:t>The Theology of</w:t>
      </w:r>
      <w:r>
        <w:t xml:space="preserve"> </w:t>
      </w:r>
      <w:r w:rsidRPr="008F18BB">
        <w:rPr>
          <w:i/>
        </w:rPr>
        <w:t>The Scofield Reference Bible</w:t>
      </w:r>
      <w:r w:rsidRPr="00A23721">
        <w:t xml:space="preserve">’ </w:t>
      </w:r>
      <w:r w:rsidRPr="005860A1">
        <w:t>in ‘Theological Roots of The Scofield Reference Bible’</w:t>
      </w:r>
      <w:r>
        <w:t xml:space="preserve">, in </w:t>
      </w:r>
      <w:r>
        <w:rPr>
          <w:sz w:val="22"/>
          <w:szCs w:val="22"/>
        </w:rPr>
        <w:t>Mangum</w:t>
      </w:r>
      <w:r w:rsidRPr="00CC6C3C">
        <w:rPr>
          <w:sz w:val="22"/>
          <w:szCs w:val="22"/>
        </w:rPr>
        <w:t xml:space="preserve"> and Sweetnam, </w:t>
      </w:r>
      <w:r w:rsidRPr="00CC6C3C">
        <w:rPr>
          <w:i/>
          <w:sz w:val="22"/>
          <w:szCs w:val="22"/>
        </w:rPr>
        <w:t>History and Impact</w:t>
      </w:r>
      <w:r>
        <w:rPr>
          <w:sz w:val="22"/>
          <w:szCs w:val="22"/>
        </w:rPr>
        <w:t xml:space="preserve">, </w:t>
      </w:r>
      <w:r w:rsidRPr="00A23721">
        <w:t>pp. 111 and 112.</w:t>
      </w:r>
      <w:r>
        <w:t xml:space="preserve">  </w:t>
      </w:r>
      <w:proofErr w:type="gramStart"/>
      <w:r w:rsidRPr="00F92379">
        <w:rPr>
          <w:b/>
        </w:rPr>
        <w:t>cf 2.3</w:t>
      </w:r>
      <w:r>
        <w:t>.</w:t>
      </w:r>
      <w:proofErr w:type="gramEnd"/>
    </w:p>
  </w:endnote>
  <w:endnote w:id="1071">
    <w:p w:rsidR="00975183" w:rsidRPr="00A23721" w:rsidRDefault="00975183" w:rsidP="00442D33">
      <w:pPr>
        <w:pStyle w:val="EndnoteText"/>
      </w:pPr>
      <w:r w:rsidRPr="00A23721">
        <w:rPr>
          <w:rStyle w:val="EndnoteReference"/>
        </w:rPr>
        <w:endnoteRef/>
      </w:r>
      <w:r w:rsidRPr="00A23721">
        <w:t xml:space="preserve"> Sizer, ‘</w:t>
      </w:r>
      <w:r w:rsidRPr="00A23721">
        <w:rPr>
          <w:lang w:val="en-US"/>
        </w:rPr>
        <w:t>Elevation of National Israel’ &lt;http://www.theologue.org/CIScofield-SSizer.htm&gt; [accessed 24.6.11].</w:t>
      </w:r>
    </w:p>
  </w:endnote>
  <w:endnote w:id="1072">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Introduction to the Four Gospels, p. 990.  </w:t>
      </w:r>
    </w:p>
  </w:endnote>
  <w:endnote w:id="1073">
    <w:p w:rsidR="00975183" w:rsidRPr="00A23721" w:rsidRDefault="00975183" w:rsidP="00442D33">
      <w:pPr>
        <w:pStyle w:val="EndnoteText"/>
      </w:pPr>
      <w:r w:rsidRPr="00A23721">
        <w:rPr>
          <w:rStyle w:val="EndnoteReference"/>
        </w:rPr>
        <w:endnoteRef/>
      </w:r>
      <w:r w:rsidRPr="00A23721">
        <w:t xml:space="preserve"> See </w:t>
      </w:r>
      <w:r w:rsidRPr="00A23721">
        <w:rPr>
          <w:i/>
        </w:rPr>
        <w:t>SRB</w:t>
      </w:r>
      <w:r w:rsidRPr="00A23721">
        <w:t xml:space="preserve"> note on Exod. 19:8, p. 94</w:t>
      </w:r>
      <w:r w:rsidRPr="00FE4A57">
        <w:t xml:space="preserve">.  </w:t>
      </w:r>
      <w:proofErr w:type="gramStart"/>
      <w:r w:rsidRPr="00FE4A57">
        <w:rPr>
          <w:b/>
        </w:rPr>
        <w:t>See 5.4.4; 5.4.5</w:t>
      </w:r>
      <w:r w:rsidRPr="000A3BFD">
        <w:t>.</w:t>
      </w:r>
      <w:proofErr w:type="gramEnd"/>
      <w:r w:rsidRPr="000A3BFD">
        <w:t xml:space="preserve">  </w:t>
      </w:r>
      <w:r>
        <w:t xml:space="preserve">cf </w:t>
      </w:r>
      <w:r w:rsidRPr="00A23721">
        <w:rPr>
          <w:i/>
        </w:rPr>
        <w:t>SRB</w:t>
      </w:r>
      <w:r w:rsidRPr="00A23721">
        <w:t xml:space="preserve"> subhead to Exod. 19:8.</w:t>
      </w:r>
    </w:p>
  </w:endnote>
  <w:endnote w:id="1074">
    <w:p w:rsidR="00975183" w:rsidRPr="001E5960" w:rsidRDefault="00975183" w:rsidP="00442D33">
      <w:pPr>
        <w:pStyle w:val="EndnoteText"/>
      </w:pPr>
      <w:r w:rsidRPr="001E5960">
        <w:rPr>
          <w:rStyle w:val="EndnoteReference"/>
        </w:rPr>
        <w:endnoteRef/>
      </w:r>
      <w:r w:rsidRPr="001E5960">
        <w:t xml:space="preserve"> </w:t>
      </w:r>
      <w:r w:rsidRPr="001E5960">
        <w:rPr>
          <w:i/>
        </w:rPr>
        <w:t>SRB</w:t>
      </w:r>
      <w:r>
        <w:t xml:space="preserve"> Introduction to the Epistles of Paul, p. 1189.</w:t>
      </w:r>
    </w:p>
  </w:endnote>
  <w:endnote w:id="1075">
    <w:p w:rsidR="00975183" w:rsidRPr="00A23721" w:rsidRDefault="00975183" w:rsidP="00442D33">
      <w:pPr>
        <w:pStyle w:val="EndnoteText"/>
      </w:pPr>
      <w:r w:rsidRPr="00A23721">
        <w:rPr>
          <w:rStyle w:val="EndnoteReference"/>
        </w:rPr>
        <w:endnoteRef/>
      </w:r>
      <w:r w:rsidRPr="00A23721">
        <w:t xml:space="preserve"> Ref. Ps. 110:16.</w:t>
      </w:r>
    </w:p>
  </w:endnote>
  <w:endnote w:id="1076">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Mt. 2:2, p. 995.  </w:t>
      </w:r>
    </w:p>
  </w:endnote>
  <w:endnote w:id="1077">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Mt. 16:18, p. 1021. </w:t>
      </w:r>
    </w:p>
  </w:endnote>
  <w:endnote w:id="1078">
    <w:p w:rsidR="00975183" w:rsidRDefault="00975183" w:rsidP="00442D33">
      <w:pPr>
        <w:pStyle w:val="EndnoteText"/>
      </w:pPr>
      <w:r w:rsidRPr="007B79E5">
        <w:rPr>
          <w:rStyle w:val="FootnoteReference"/>
        </w:rPr>
        <w:endnoteRef/>
      </w:r>
      <w:r w:rsidRPr="007B79E5">
        <w:t xml:space="preserve"> </w:t>
      </w:r>
      <w:r w:rsidRPr="007B79E5">
        <w:rPr>
          <w:i/>
        </w:rPr>
        <w:t>SRB</w:t>
      </w:r>
      <w:r w:rsidRPr="007B79E5">
        <w:t xml:space="preserve"> note on Acts 7:38, p. 1158</w:t>
      </w:r>
      <w:r w:rsidRPr="00A23721">
        <w:t xml:space="preserve">.  </w:t>
      </w:r>
      <w:proofErr w:type="gramStart"/>
      <w:r w:rsidRPr="000A3BFD">
        <w:rPr>
          <w:b/>
        </w:rPr>
        <w:t>See 2.1.1, a)</w:t>
      </w:r>
      <w:r w:rsidRPr="000A3BFD">
        <w:t>.</w:t>
      </w:r>
      <w:proofErr w:type="gramEnd"/>
    </w:p>
  </w:endnote>
  <w:endnote w:id="1079">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Mt. 16:18, p. 1021. </w:t>
      </w:r>
    </w:p>
  </w:endnote>
  <w:endnote w:id="1080">
    <w:p w:rsidR="00975183"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w:t>
      </w:r>
      <w:r>
        <w:t xml:space="preserve"> Mt. 13:44, p. 1017.</w:t>
      </w:r>
    </w:p>
  </w:endnote>
  <w:endnote w:id="1081">
    <w:p w:rsidR="00975183"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w:t>
      </w:r>
      <w:r>
        <w:t xml:space="preserve"> Mt. 13:45, p. 1017.  </w:t>
      </w:r>
      <w:proofErr w:type="gramStart"/>
      <w:r>
        <w:t xml:space="preserve">cf Chafer, </w:t>
      </w:r>
      <w:r w:rsidRPr="005F218C">
        <w:rPr>
          <w:i/>
        </w:rPr>
        <w:t>Major Bible Themes</w:t>
      </w:r>
      <w:r>
        <w:t>, p. 213.</w:t>
      </w:r>
      <w:proofErr w:type="gramEnd"/>
      <w:r>
        <w:t xml:space="preserve">  Chafer makes the same distinction.</w:t>
      </w:r>
    </w:p>
  </w:endnote>
  <w:endnote w:id="1082">
    <w:p w:rsidR="00975183"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w:t>
      </w:r>
      <w:r>
        <w:t xml:space="preserve"> Mt. 13:47, p. 1017.</w:t>
      </w:r>
    </w:p>
  </w:endnote>
  <w:endnote w:id="1083">
    <w:p w:rsidR="00975183" w:rsidRPr="00284540" w:rsidRDefault="00975183" w:rsidP="00442D33">
      <w:pPr>
        <w:spacing w:after="0" w:line="240" w:lineRule="auto"/>
        <w:rPr>
          <w:sz w:val="20"/>
          <w:szCs w:val="20"/>
        </w:rPr>
      </w:pPr>
      <w:r w:rsidRPr="00284540">
        <w:rPr>
          <w:rStyle w:val="EndnoteReference"/>
          <w:sz w:val="20"/>
          <w:szCs w:val="20"/>
        </w:rPr>
        <w:endnoteRef/>
      </w:r>
      <w:r w:rsidRPr="00284540">
        <w:rPr>
          <w:sz w:val="20"/>
          <w:szCs w:val="20"/>
        </w:rPr>
        <w:t xml:space="preserve"> </w:t>
      </w:r>
      <w:r w:rsidRPr="00284540">
        <w:rPr>
          <w:i/>
          <w:spacing w:val="-2"/>
          <w:sz w:val="20"/>
          <w:szCs w:val="20"/>
        </w:rPr>
        <w:t>SRB</w:t>
      </w:r>
      <w:r w:rsidRPr="00284540">
        <w:rPr>
          <w:spacing w:val="-2"/>
          <w:sz w:val="20"/>
          <w:szCs w:val="20"/>
        </w:rPr>
        <w:t xml:space="preserve"> note on Rom. 11:26, p. 1206</w:t>
      </w:r>
      <w:r w:rsidRPr="00284540">
        <w:rPr>
          <w:b/>
          <w:spacing w:val="-2"/>
          <w:sz w:val="20"/>
          <w:szCs w:val="20"/>
        </w:rPr>
        <w:t xml:space="preserve">.  </w:t>
      </w:r>
      <w:r w:rsidRPr="00284540">
        <w:rPr>
          <w:spacing w:val="-2"/>
          <w:sz w:val="20"/>
          <w:szCs w:val="20"/>
        </w:rPr>
        <w:t xml:space="preserve">This statement is almost identical to that in the </w:t>
      </w:r>
      <w:r w:rsidRPr="00284540">
        <w:rPr>
          <w:i/>
          <w:spacing w:val="-2"/>
          <w:sz w:val="20"/>
          <w:szCs w:val="20"/>
        </w:rPr>
        <w:t>SRB</w:t>
      </w:r>
      <w:r w:rsidRPr="00284540">
        <w:rPr>
          <w:spacing w:val="-2"/>
          <w:sz w:val="20"/>
          <w:szCs w:val="20"/>
        </w:rPr>
        <w:t xml:space="preserve"> note on Gen. 11:10, p. 19.  ‘Israel was called to be a witness to the unity of God in the midst of universal idolatry (Deut. 6:4; Isa. 43:10-12); to illustrate blessedness of serving true God (Deut. 33:26-29); to receive and preserve the divine revelations (Rom. 3:1, 2; Deut. 4:5-8); and to produce the Messiah (Gen. 3:15; 21:12; 28:10, 14; 49:10; 2 Sam. 7:16-17; Isa. 4:3, 4; Mt. 1:1).’</w:t>
      </w:r>
    </w:p>
  </w:endnote>
  <w:endnote w:id="1084">
    <w:p w:rsidR="00975183" w:rsidRDefault="00975183" w:rsidP="00442D33">
      <w:pPr>
        <w:pStyle w:val="EndnoteText"/>
      </w:pPr>
      <w:r w:rsidRPr="00A23721">
        <w:rPr>
          <w:rStyle w:val="EndnoteReference"/>
        </w:rPr>
        <w:endnoteRef/>
      </w:r>
      <w:r w:rsidRPr="00A23721">
        <w:t xml:space="preserve"> </w:t>
      </w:r>
      <w:proofErr w:type="gramStart"/>
      <w:r w:rsidRPr="00A23721">
        <w:t>Refs</w:t>
      </w:r>
      <w:proofErr w:type="gramEnd"/>
      <w:r w:rsidRPr="00A23721">
        <w:t xml:space="preserve"> </w:t>
      </w:r>
      <w:r>
        <w:t>Gen. 15:5-6; Gal. 3:29.</w:t>
      </w:r>
    </w:p>
  </w:endnote>
  <w:endnote w:id="1085">
    <w:p w:rsidR="00975183" w:rsidRDefault="00975183" w:rsidP="00442D33">
      <w:pPr>
        <w:pStyle w:val="EndnoteText"/>
      </w:pPr>
      <w:r w:rsidRPr="00A23721">
        <w:rPr>
          <w:rStyle w:val="EndnoteReference"/>
        </w:rPr>
        <w:endnoteRef/>
      </w:r>
      <w:r>
        <w:t xml:space="preserve"> Ref. </w:t>
      </w:r>
      <w:r w:rsidRPr="00232B69">
        <w:rPr>
          <w:i/>
        </w:rPr>
        <w:t>SRB</w:t>
      </w:r>
      <w:r>
        <w:t xml:space="preserve"> note on Gen. 15:8.</w:t>
      </w:r>
    </w:p>
  </w:endnote>
  <w:endnote w:id="1086">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Rom. 11:1, p. 1204.</w:t>
      </w:r>
    </w:p>
  </w:endnote>
  <w:endnote w:id="1087">
    <w:p w:rsidR="00975183" w:rsidRPr="00A23721" w:rsidRDefault="00975183" w:rsidP="00442D33">
      <w:pPr>
        <w:pStyle w:val="EndnoteText"/>
      </w:pPr>
      <w:r w:rsidRPr="00A23721">
        <w:rPr>
          <w:rStyle w:val="EndnoteReference"/>
        </w:rPr>
        <w:endnoteRef/>
      </w:r>
      <w:r w:rsidRPr="00A23721">
        <w:t xml:space="preserve"> Refs Rom 1:17</w:t>
      </w:r>
      <w:r>
        <w:t>;</w:t>
      </w:r>
      <w:r w:rsidRPr="00A23721">
        <w:t xml:space="preserve"> Gal 3:11-14</w:t>
      </w:r>
      <w:r>
        <w:t>;</w:t>
      </w:r>
      <w:r w:rsidRPr="00A23721">
        <w:t xml:space="preserve"> Heb. 10:38.</w:t>
      </w:r>
    </w:p>
  </w:endnote>
  <w:endnote w:id="1088">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Hab. 2:3, p. 956.  </w:t>
      </w:r>
      <w:proofErr w:type="gramStart"/>
      <w:r w:rsidRPr="00FE4A57">
        <w:rPr>
          <w:b/>
        </w:rPr>
        <w:t>See 5.6.1; 8.4.12</w:t>
      </w:r>
      <w:r w:rsidRPr="00284540">
        <w:t>.</w:t>
      </w:r>
      <w:proofErr w:type="gramEnd"/>
    </w:p>
  </w:endnote>
  <w:endnote w:id="1089">
    <w:p w:rsidR="00975183" w:rsidRPr="00A23721" w:rsidRDefault="00975183" w:rsidP="00442D33">
      <w:pPr>
        <w:pStyle w:val="EndnoteText"/>
      </w:pPr>
      <w:r w:rsidRPr="00A23721">
        <w:rPr>
          <w:rStyle w:val="EndnoteReference"/>
        </w:rPr>
        <w:endnoteRef/>
      </w:r>
      <w:r w:rsidRPr="00A23721">
        <w:t xml:space="preserve"> </w:t>
      </w:r>
      <w:r w:rsidRPr="00A23721">
        <w:rPr>
          <w:i/>
        </w:rPr>
        <w:t>SRB</w:t>
      </w:r>
      <w:r w:rsidRPr="00A23721">
        <w:t xml:space="preserve"> note on Rom. 11:1, p. 1204</w:t>
      </w:r>
      <w:r w:rsidRPr="00A23721">
        <w:rPr>
          <w:b/>
        </w:rPr>
        <w:t>.</w:t>
      </w:r>
    </w:p>
  </w:endnote>
  <w:endnote w:id="1090">
    <w:p w:rsidR="00975183" w:rsidRDefault="00975183" w:rsidP="00442D33">
      <w:pPr>
        <w:pStyle w:val="EndnoteText"/>
      </w:pPr>
      <w:r w:rsidRPr="00A23721">
        <w:rPr>
          <w:rStyle w:val="EndnoteReference"/>
        </w:rPr>
        <w:endnoteRef/>
      </w:r>
      <w:r w:rsidRPr="00A23721">
        <w:t xml:space="preserve"> For example, Rom 2</w:t>
      </w:r>
      <w:r>
        <w:t>:</w:t>
      </w:r>
      <w:r w:rsidRPr="00A23721">
        <w:t xml:space="preserve">9-10; Rom 3:29; Rom. 9:24; Rom. 10:12; Rom. 11:11-13; 1 Cor. 1:24; </w:t>
      </w:r>
    </w:p>
    <w:p w:rsidR="00975183" w:rsidRPr="00A23721" w:rsidRDefault="00975183" w:rsidP="00442D33">
      <w:pPr>
        <w:pStyle w:val="EndnoteText"/>
      </w:pPr>
      <w:r w:rsidRPr="00A23721">
        <w:t>1 Cor. 12:13; Gal. 3:28.</w:t>
      </w:r>
    </w:p>
  </w:endnote>
  <w:endnote w:id="1091">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r w:rsidRPr="00284540">
        <w:rPr>
          <w:b/>
        </w:rPr>
        <w:t>See 3.3; 8.9</w:t>
      </w:r>
      <w:r w:rsidRPr="00A23721">
        <w:t>.</w:t>
      </w:r>
    </w:p>
  </w:endnote>
  <w:endnote w:id="1092">
    <w:p w:rsidR="00975183" w:rsidRPr="00A23721" w:rsidRDefault="00975183" w:rsidP="00442D33">
      <w:pPr>
        <w:pStyle w:val="EndnoteText"/>
      </w:pPr>
      <w:r w:rsidRPr="00A23721">
        <w:rPr>
          <w:rStyle w:val="EndnoteReference"/>
        </w:rPr>
        <w:endnoteRef/>
      </w:r>
      <w:r w:rsidRPr="00A23721">
        <w:t xml:space="preserve"> Rev. 14:6.</w:t>
      </w:r>
    </w:p>
  </w:endnote>
  <w:endnote w:id="1093">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p>
  </w:endnote>
  <w:endnote w:id="1094">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r w:rsidRPr="00FE4A57">
        <w:rPr>
          <w:b/>
        </w:rPr>
        <w:t>See 5.6.1; 5.6.2</w:t>
      </w:r>
      <w:r w:rsidRPr="00B74D84">
        <w:rPr>
          <w:b/>
        </w:rPr>
        <w:t>; 7.2; 7.2.2.</w:t>
      </w:r>
    </w:p>
  </w:endnote>
  <w:endnote w:id="1095">
    <w:p w:rsidR="00975183" w:rsidRPr="000E337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r w:rsidRPr="000E3371">
        <w:rPr>
          <w:b/>
        </w:rPr>
        <w:t>See 3.3</w:t>
      </w:r>
      <w:r>
        <w:t xml:space="preserve">; </w:t>
      </w:r>
      <w:r w:rsidRPr="00B74D84">
        <w:rPr>
          <w:b/>
        </w:rPr>
        <w:t>7.2; 7.2.2.</w:t>
      </w:r>
    </w:p>
  </w:endnote>
  <w:endnote w:id="1096">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w:t>
      </w:r>
      <w:r w:rsidRPr="00F44274">
        <w:t>. 14:6, p. 1343</w:t>
      </w:r>
      <w:r w:rsidRPr="00A23721">
        <w:t>.</w:t>
      </w:r>
      <w:proofErr w:type="gramEnd"/>
      <w:r w:rsidRPr="00A23721">
        <w:t xml:space="preserve">  </w:t>
      </w:r>
      <w:proofErr w:type="gramStart"/>
      <w:r w:rsidRPr="000E3371">
        <w:rPr>
          <w:b/>
        </w:rPr>
        <w:t>See 3.3; 7.2.2</w:t>
      </w:r>
      <w:r>
        <w:t>.</w:t>
      </w:r>
      <w:proofErr w:type="gramEnd"/>
    </w:p>
  </w:endnote>
  <w:endnote w:id="1097">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proofErr w:type="gramStart"/>
      <w:r w:rsidRPr="000E3371">
        <w:rPr>
          <w:b/>
        </w:rPr>
        <w:t xml:space="preserve">cf 3.3, </w:t>
      </w:r>
      <w:r w:rsidRPr="000E3371">
        <w:rPr>
          <w:b/>
          <w:i/>
        </w:rPr>
        <w:t>Crucicentrism</w:t>
      </w:r>
      <w:r>
        <w:t>.</w:t>
      </w:r>
      <w:proofErr w:type="gramEnd"/>
    </w:p>
  </w:endnote>
  <w:endnote w:id="1098">
    <w:p w:rsidR="00975183" w:rsidRPr="001F7DA3" w:rsidRDefault="00975183" w:rsidP="00442D33">
      <w:pPr>
        <w:pStyle w:val="EndnoteText"/>
      </w:pPr>
      <w:r w:rsidRPr="001F7DA3">
        <w:rPr>
          <w:rStyle w:val="EndnoteReference"/>
        </w:rPr>
        <w:endnoteRef/>
      </w:r>
      <w:r w:rsidRPr="001F7DA3">
        <w:t xml:space="preserve"> Allis, ‘</w:t>
      </w:r>
      <w:r w:rsidRPr="001F7DA3">
        <w:rPr>
          <w:bCs/>
          <w:lang w:eastAsia="en-GB"/>
        </w:rPr>
        <w:t>Modern Dispensationalism and the Doctrine of the Unity of Scripture’,</w:t>
      </w:r>
      <w:r>
        <w:rPr>
          <w:bCs/>
          <w:lang w:eastAsia="en-GB"/>
        </w:rPr>
        <w:t xml:space="preserve"> Sections IV-V.</w:t>
      </w:r>
    </w:p>
  </w:endnote>
  <w:endnote w:id="1099">
    <w:p w:rsidR="00975183" w:rsidRPr="00A23721" w:rsidRDefault="00975183" w:rsidP="00442D33">
      <w:pPr>
        <w:pStyle w:val="EndnoteText"/>
      </w:pPr>
      <w:r w:rsidRPr="00A23721">
        <w:rPr>
          <w:rStyle w:val="EndnoteReference"/>
        </w:rPr>
        <w:endnoteRef/>
      </w:r>
      <w:r w:rsidRPr="00A23721">
        <w:t xml:space="preserve"> C. I Scofield, </w:t>
      </w:r>
      <w:r w:rsidRPr="00A23721">
        <w:rPr>
          <w:i/>
        </w:rPr>
        <w:t>What do the Prophets Say?</w:t>
      </w:r>
      <w:r w:rsidRPr="00A23721">
        <w:t xml:space="preserve"> </w:t>
      </w:r>
      <w:proofErr w:type="gramStart"/>
      <w:r w:rsidRPr="00A23721">
        <w:t>(Philadelphia: The Sunday School Times Company, 1918), p. 79 &lt;http://archive.org/details/whatdoprophetssa00scof&gt;[accessed 1.5.12].</w:t>
      </w:r>
      <w:proofErr w:type="gramEnd"/>
    </w:p>
  </w:endnote>
  <w:endnote w:id="1100">
    <w:p w:rsidR="00975183" w:rsidRDefault="00975183" w:rsidP="00442D33">
      <w:pPr>
        <w:pStyle w:val="EndnoteText"/>
      </w:pPr>
      <w:r w:rsidRPr="007B79E5">
        <w:rPr>
          <w:rStyle w:val="FootnoteReference"/>
          <w:szCs w:val="18"/>
        </w:rPr>
        <w:endnoteRef/>
      </w:r>
      <w:r w:rsidRPr="007B79E5">
        <w:rPr>
          <w:szCs w:val="18"/>
        </w:rPr>
        <w:t xml:space="preserve"> </w:t>
      </w:r>
      <w:r w:rsidRPr="007B79E5">
        <w:rPr>
          <w:i/>
          <w:szCs w:val="18"/>
        </w:rPr>
        <w:t>SRB</w:t>
      </w:r>
      <w:r w:rsidRPr="007B79E5">
        <w:rPr>
          <w:szCs w:val="18"/>
        </w:rPr>
        <w:t xml:space="preserve"> note on Mt. 4:17, p. 998.</w:t>
      </w:r>
      <w:r>
        <w:rPr>
          <w:szCs w:val="18"/>
        </w:rPr>
        <w:t xml:space="preserve"> </w:t>
      </w:r>
      <w:r w:rsidRPr="00A23721">
        <w:rPr>
          <w:szCs w:val="18"/>
        </w:rPr>
        <w:t xml:space="preserve"> </w:t>
      </w:r>
      <w:r w:rsidRPr="00B50CBE">
        <w:rPr>
          <w:b/>
          <w:szCs w:val="18"/>
        </w:rPr>
        <w:t>See Chapter 6; 6.1.3; 7.2.1; 8.6.1.</w:t>
      </w:r>
    </w:p>
  </w:endnote>
  <w:endnote w:id="1101">
    <w:p w:rsidR="00975183" w:rsidRDefault="00975183" w:rsidP="00442D33">
      <w:pPr>
        <w:pStyle w:val="EndnoteText"/>
      </w:pPr>
      <w:r w:rsidRPr="007B79E5">
        <w:rPr>
          <w:rStyle w:val="FootnoteReference"/>
        </w:rPr>
        <w:endnoteRef/>
      </w:r>
      <w:r w:rsidRPr="007B79E5">
        <w:t xml:space="preserve"> </w:t>
      </w:r>
      <w:r>
        <w:t xml:space="preserve">Charles </w:t>
      </w:r>
      <w:r w:rsidRPr="007B79E5">
        <w:t>Weston, ‘Scofield’s Basic Errors’ in ‘Analyzing Scofield’, p. 24 &lt;http://www.gospeltruth.net/scofield.htm&gt; [accessed 20.1.11].</w:t>
      </w:r>
    </w:p>
  </w:endnote>
  <w:endnote w:id="1102">
    <w:p w:rsidR="00975183" w:rsidRPr="00A23721" w:rsidRDefault="00975183" w:rsidP="00442D33">
      <w:pPr>
        <w:pStyle w:val="EndnoteText"/>
        <w:rPr>
          <w:b/>
        </w:rPr>
      </w:pPr>
      <w:r w:rsidRPr="00A23721">
        <w:rPr>
          <w:rStyle w:val="EndnoteReference"/>
        </w:rPr>
        <w:endnoteRef/>
      </w:r>
      <w:r w:rsidRPr="00A23721">
        <w:t xml:space="preserve"> Jn 18:36.  </w:t>
      </w:r>
    </w:p>
  </w:endnote>
  <w:endnote w:id="1103">
    <w:p w:rsidR="00975183" w:rsidRPr="00A23721" w:rsidRDefault="00975183" w:rsidP="00442D33">
      <w:pPr>
        <w:pStyle w:val="EndnoteText"/>
      </w:pPr>
      <w:r w:rsidRPr="00A23721">
        <w:rPr>
          <w:rStyle w:val="EndnoteReference"/>
        </w:rPr>
        <w:endnoteRef/>
      </w:r>
      <w:r w:rsidRPr="00A23721">
        <w:t xml:space="preserve"> Rev. 14:6.  </w:t>
      </w:r>
    </w:p>
  </w:endnote>
  <w:endnote w:id="1104">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r w:rsidRPr="00A23721">
        <w:t xml:space="preserve">  </w:t>
      </w:r>
    </w:p>
  </w:endnote>
  <w:endnote w:id="1105">
    <w:p w:rsidR="00975183" w:rsidRPr="00B50CBE" w:rsidRDefault="00975183" w:rsidP="00442D33">
      <w:pPr>
        <w:pStyle w:val="EndnoteText"/>
      </w:pPr>
      <w:r w:rsidRPr="007B79E5">
        <w:rPr>
          <w:rStyle w:val="FootnoteReference"/>
        </w:rPr>
        <w:endnoteRef/>
      </w:r>
      <w:r w:rsidRPr="007B79E5">
        <w:t xml:space="preserve"> </w:t>
      </w:r>
      <w:proofErr w:type="gramStart"/>
      <w:r w:rsidRPr="007B79E5">
        <w:rPr>
          <w:i/>
        </w:rPr>
        <w:t>SRB</w:t>
      </w:r>
      <w:r w:rsidRPr="007B79E5">
        <w:t xml:space="preserve"> note on Rev. 14:6, p. 1343</w:t>
      </w:r>
      <w:r w:rsidRPr="00A23721">
        <w:t>.</w:t>
      </w:r>
      <w:proofErr w:type="gramEnd"/>
      <w:r>
        <w:t xml:space="preserve">  </w:t>
      </w:r>
      <w:proofErr w:type="gramStart"/>
      <w:r>
        <w:t>(</w:t>
      </w:r>
      <w:r w:rsidRPr="001D7AA8">
        <w:rPr>
          <w:i/>
        </w:rPr>
        <w:t>My emphasis</w:t>
      </w:r>
      <w:r w:rsidRPr="00B50CBE">
        <w:t>.)</w:t>
      </w:r>
      <w:proofErr w:type="gramEnd"/>
      <w:r w:rsidRPr="00B50CBE">
        <w:t xml:space="preserve">  </w:t>
      </w:r>
      <w:r w:rsidRPr="00B50CBE">
        <w:rPr>
          <w:b/>
        </w:rPr>
        <w:t>See 3.3</w:t>
      </w:r>
      <w:r w:rsidRPr="00B50CBE">
        <w:t>.</w:t>
      </w:r>
    </w:p>
  </w:endnote>
  <w:endnote w:id="1106">
    <w:p w:rsidR="00975183" w:rsidRPr="00A23721" w:rsidRDefault="00975183" w:rsidP="00442D33">
      <w:pPr>
        <w:pStyle w:val="EndnoteText"/>
      </w:pPr>
      <w:r w:rsidRPr="00A23721">
        <w:rPr>
          <w:rStyle w:val="EndnoteReference"/>
        </w:rPr>
        <w:endnoteRef/>
      </w:r>
      <w:r w:rsidRPr="00A23721">
        <w:t xml:space="preserve"> </w:t>
      </w:r>
      <w:proofErr w:type="gramStart"/>
      <w:r w:rsidRPr="00A23721">
        <w:rPr>
          <w:i/>
        </w:rPr>
        <w:t>SRB</w:t>
      </w:r>
      <w:r w:rsidRPr="00A23721">
        <w:t xml:space="preserve"> note on Rev. 14:6, p. 1343.</w:t>
      </w:r>
      <w:proofErr w:type="gramEnd"/>
    </w:p>
  </w:endnote>
  <w:endnote w:id="1107">
    <w:p w:rsidR="00975183" w:rsidRPr="00A23721" w:rsidRDefault="00975183" w:rsidP="00442D33">
      <w:pPr>
        <w:pStyle w:val="EndnoteText"/>
      </w:pPr>
      <w:r w:rsidRPr="00A23721">
        <w:rPr>
          <w:rStyle w:val="EndnoteReference"/>
        </w:rPr>
        <w:endnoteRef/>
      </w:r>
      <w:r w:rsidRPr="00A23721">
        <w:t xml:space="preserve"> Gal. 1:6-9.</w:t>
      </w:r>
    </w:p>
  </w:endnote>
  <w:endnote w:id="1108">
    <w:p w:rsidR="00975183" w:rsidRPr="00A23721" w:rsidRDefault="00975183" w:rsidP="00442D33">
      <w:pPr>
        <w:pStyle w:val="EndnoteText"/>
      </w:pPr>
      <w:r w:rsidRPr="00A23721">
        <w:rPr>
          <w:rStyle w:val="EndnoteReference"/>
        </w:rPr>
        <w:endnoteRef/>
      </w:r>
      <w:r w:rsidRPr="00A23721">
        <w:t xml:space="preserve"> Gal. 1:11-12.</w:t>
      </w:r>
      <w:r>
        <w:t xml:space="preserve"> </w:t>
      </w:r>
    </w:p>
  </w:endnote>
  <w:endnote w:id="1109">
    <w:p w:rsidR="00975183" w:rsidRPr="00E27582" w:rsidRDefault="00975183" w:rsidP="00442D33">
      <w:pPr>
        <w:pStyle w:val="EndnoteText"/>
      </w:pPr>
      <w:r w:rsidRPr="00E27582">
        <w:rPr>
          <w:rStyle w:val="EndnoteReference"/>
        </w:rPr>
        <w:endnoteRef/>
      </w:r>
      <w:r w:rsidRPr="00E27582">
        <w:t xml:space="preserve"> Sweetnam, ‘</w:t>
      </w:r>
      <w:r w:rsidRPr="00E27582">
        <w:rPr>
          <w:szCs w:val="22"/>
        </w:rPr>
        <w:t>Defining Dispensationalism’, pp. 210 - 212.</w:t>
      </w:r>
    </w:p>
  </w:endnote>
  <w:endnote w:id="1110">
    <w:p w:rsidR="00975183" w:rsidRDefault="00975183" w:rsidP="00442D33">
      <w:pPr>
        <w:pStyle w:val="EndnoteText"/>
      </w:pPr>
      <w:r w:rsidRPr="00DA01AD">
        <w:rPr>
          <w:rStyle w:val="FootnoteReference"/>
          <w:szCs w:val="22"/>
        </w:rPr>
        <w:endnoteRef/>
      </w:r>
      <w:r w:rsidRPr="00DA01AD">
        <w:rPr>
          <w:szCs w:val="22"/>
        </w:rPr>
        <w:t xml:space="preserve"> Blaising, ‘Extent &amp; Varieties’, </w:t>
      </w:r>
      <w:r w:rsidRPr="00DA01AD">
        <w:rPr>
          <w:i/>
          <w:szCs w:val="22"/>
        </w:rPr>
        <w:t>Progressive Dispensationalism</w:t>
      </w:r>
      <w:r w:rsidRPr="00DA01AD">
        <w:rPr>
          <w:szCs w:val="22"/>
        </w:rPr>
        <w:t>, p</w:t>
      </w:r>
      <w:r>
        <w:rPr>
          <w:szCs w:val="22"/>
        </w:rPr>
        <w:t>p</w:t>
      </w:r>
      <w:r w:rsidRPr="00DA01AD">
        <w:rPr>
          <w:szCs w:val="22"/>
        </w:rPr>
        <w:t xml:space="preserve">. </w:t>
      </w:r>
      <w:r>
        <w:rPr>
          <w:szCs w:val="22"/>
        </w:rPr>
        <w:t>14-</w:t>
      </w:r>
      <w:r w:rsidRPr="00DA01AD">
        <w:rPr>
          <w:szCs w:val="22"/>
        </w:rPr>
        <w:t>15.</w:t>
      </w:r>
    </w:p>
  </w:endnote>
  <w:endnote w:id="1111">
    <w:p w:rsidR="00975183" w:rsidRDefault="00975183" w:rsidP="00442D33">
      <w:pPr>
        <w:pStyle w:val="EndnoteText"/>
      </w:pPr>
      <w:r w:rsidRPr="00DA01AD">
        <w:rPr>
          <w:rStyle w:val="FootnoteReference"/>
          <w:szCs w:val="22"/>
        </w:rPr>
        <w:endnoteRef/>
      </w:r>
      <w:r w:rsidRPr="00DA01AD">
        <w:rPr>
          <w:szCs w:val="22"/>
        </w:rPr>
        <w:t xml:space="preserve"> Blaising, ‘Extent &amp; Varieties’, </w:t>
      </w:r>
      <w:r w:rsidRPr="00DA01AD">
        <w:rPr>
          <w:i/>
          <w:szCs w:val="22"/>
        </w:rPr>
        <w:t>Progressive Dispensationalism</w:t>
      </w:r>
      <w:r w:rsidRPr="00DA01AD">
        <w:rPr>
          <w:szCs w:val="22"/>
        </w:rPr>
        <w:t>, p. 15.</w:t>
      </w:r>
    </w:p>
  </w:endnote>
  <w:endnote w:id="1112">
    <w:p w:rsidR="00975183" w:rsidRPr="000D48CE" w:rsidRDefault="00975183" w:rsidP="00442D33">
      <w:pPr>
        <w:pStyle w:val="EndnoteText"/>
      </w:pPr>
      <w:r w:rsidRPr="000D48CE">
        <w:rPr>
          <w:rStyle w:val="EndnoteReference"/>
        </w:rPr>
        <w:endnoteRef/>
      </w:r>
      <w:r w:rsidRPr="000D48CE">
        <w:t xml:space="preserve"> </w:t>
      </w:r>
      <w:r w:rsidRPr="00B04418">
        <w:rPr>
          <w:b/>
        </w:rPr>
        <w:t xml:space="preserve">See 5.3 </w:t>
      </w:r>
      <w:r w:rsidRPr="000D48CE">
        <w:rPr>
          <w:b/>
        </w:rPr>
        <w:t>below</w:t>
      </w:r>
      <w:r>
        <w:t xml:space="preserve">. </w:t>
      </w:r>
    </w:p>
  </w:endnote>
  <w:endnote w:id="1113">
    <w:p w:rsidR="00975183" w:rsidRPr="006D4D7A" w:rsidRDefault="00975183" w:rsidP="00442D33">
      <w:pPr>
        <w:pStyle w:val="EndnoteText"/>
      </w:pPr>
      <w:r w:rsidRPr="006D4D7A">
        <w:rPr>
          <w:rStyle w:val="EndnoteReference"/>
        </w:rPr>
        <w:endnoteRef/>
      </w:r>
      <w:r w:rsidRPr="006D4D7A">
        <w:t xml:space="preserve"> Blaising</w:t>
      </w:r>
      <w:r>
        <w:t xml:space="preserve">, ‘Dispensations in Biblical Theology’, </w:t>
      </w:r>
      <w:r w:rsidRPr="00DA01AD">
        <w:rPr>
          <w:i/>
          <w:szCs w:val="22"/>
        </w:rPr>
        <w:t>Progressive Dispensationalism</w:t>
      </w:r>
      <w:r w:rsidRPr="00DA01AD">
        <w:rPr>
          <w:szCs w:val="22"/>
        </w:rPr>
        <w:t xml:space="preserve">, p. </w:t>
      </w:r>
      <w:r>
        <w:rPr>
          <w:szCs w:val="22"/>
        </w:rPr>
        <w:t>127.</w:t>
      </w:r>
    </w:p>
  </w:endnote>
  <w:endnote w:id="1114">
    <w:p w:rsidR="00975183" w:rsidRDefault="00975183" w:rsidP="00442D33">
      <w:pPr>
        <w:pStyle w:val="EndnoteText"/>
      </w:pPr>
      <w:r w:rsidRPr="00FF659B">
        <w:rPr>
          <w:rStyle w:val="EndnoteReference"/>
        </w:rPr>
        <w:endnoteRef/>
      </w:r>
      <w:r w:rsidRPr="00FF659B">
        <w:t xml:space="preserve"> </w:t>
      </w:r>
      <w:r w:rsidRPr="00FF659B">
        <w:rPr>
          <w:i/>
        </w:rPr>
        <w:t>SRB</w:t>
      </w:r>
      <w:r>
        <w:t xml:space="preserve"> note on subhead to Gen. 1:28, p. 6; note on Gen. 3:23. p. 10; subhead to Gen. 7:1, p. 14; subhead to </w:t>
      </w:r>
    </w:p>
    <w:p w:rsidR="00975183" w:rsidRDefault="00975183" w:rsidP="00442D33">
      <w:pPr>
        <w:pStyle w:val="EndnoteText"/>
      </w:pPr>
      <w:r>
        <w:t xml:space="preserve">Gen. 8:20 and note on Gen. 8:21, p. 16; subhead to and note on Gen. 12:1, p. 20; subhead to and note on </w:t>
      </w:r>
    </w:p>
    <w:p w:rsidR="00975183" w:rsidRPr="00FF659B" w:rsidRDefault="00975183" w:rsidP="00442D33">
      <w:pPr>
        <w:pStyle w:val="EndnoteText"/>
      </w:pPr>
      <w:r>
        <w:t>Exod. 19:8, p. 94; note on Jn 1:17, p. 1115; note on Eph. 1:10, p. 1250.</w:t>
      </w:r>
    </w:p>
  </w:endnote>
  <w:endnote w:id="1115">
    <w:p w:rsidR="00975183" w:rsidRDefault="00975183" w:rsidP="00442D33">
      <w:pPr>
        <w:pStyle w:val="EndnoteText"/>
      </w:pPr>
      <w:r w:rsidRPr="00DA01AD">
        <w:rPr>
          <w:rStyle w:val="FootnoteReference"/>
        </w:rPr>
        <w:endnoteRef/>
      </w:r>
      <w:r w:rsidRPr="00DA01AD">
        <w:t xml:space="preserve"> Chafer, </w:t>
      </w:r>
      <w:r w:rsidRPr="00DA01AD">
        <w:rPr>
          <w:rFonts w:cs="Arial"/>
          <w:i/>
          <w:szCs w:val="22"/>
          <w:lang w:val="en-US"/>
        </w:rPr>
        <w:t xml:space="preserve">Major Bible </w:t>
      </w:r>
      <w:r>
        <w:rPr>
          <w:rFonts w:cs="Arial"/>
          <w:i/>
          <w:szCs w:val="22"/>
          <w:lang w:val="en-US"/>
        </w:rPr>
        <w:t>T</w:t>
      </w:r>
      <w:r w:rsidRPr="00DA01AD">
        <w:rPr>
          <w:rFonts w:cs="Arial"/>
          <w:i/>
          <w:szCs w:val="22"/>
          <w:lang w:val="en-US"/>
        </w:rPr>
        <w:t xml:space="preserve">hemes, </w:t>
      </w:r>
      <w:r w:rsidRPr="00DA01AD">
        <w:rPr>
          <w:rFonts w:cs="Arial"/>
          <w:szCs w:val="22"/>
          <w:lang w:val="en-US"/>
        </w:rPr>
        <w:t>pp. 96-7.</w:t>
      </w:r>
    </w:p>
  </w:endnote>
  <w:endnote w:id="1116">
    <w:p w:rsidR="00975183" w:rsidRDefault="00975183" w:rsidP="00442D33">
      <w:pPr>
        <w:pStyle w:val="EndnoteText"/>
      </w:pPr>
      <w:r w:rsidRPr="00DA01AD">
        <w:rPr>
          <w:rStyle w:val="FootnoteReference"/>
        </w:rPr>
        <w:endnoteRef/>
      </w:r>
      <w:r w:rsidRPr="00DA01AD">
        <w:t xml:space="preserve"> Crutchfield, </w:t>
      </w:r>
      <w:r w:rsidRPr="00DA01AD">
        <w:rPr>
          <w:i/>
        </w:rPr>
        <w:t>Origins</w:t>
      </w:r>
      <w:r w:rsidRPr="00DA01AD">
        <w:t>, p. 26.</w:t>
      </w:r>
    </w:p>
  </w:endnote>
  <w:endnote w:id="1117">
    <w:p w:rsidR="00975183" w:rsidRDefault="00975183" w:rsidP="00442D33">
      <w:pPr>
        <w:pStyle w:val="EndnoteText"/>
      </w:pPr>
      <w:r w:rsidRPr="00DA01AD">
        <w:rPr>
          <w:rStyle w:val="FootnoteReference"/>
        </w:rPr>
        <w:endnoteRef/>
      </w:r>
      <w:r w:rsidRPr="00DA01AD">
        <w:t xml:space="preserve"> Crutchfield, </w:t>
      </w:r>
      <w:r w:rsidRPr="00DA01AD">
        <w:rPr>
          <w:i/>
        </w:rPr>
        <w:t>Origins</w:t>
      </w:r>
      <w:r w:rsidRPr="00DA01AD">
        <w:t>, pp. 27-8.</w:t>
      </w:r>
    </w:p>
  </w:endnote>
  <w:endnote w:id="1118">
    <w:p w:rsidR="00975183" w:rsidRPr="00935BD3" w:rsidRDefault="00975183" w:rsidP="00442D33">
      <w:pPr>
        <w:pStyle w:val="EndnoteText"/>
      </w:pPr>
      <w:r w:rsidRPr="00935BD3">
        <w:rPr>
          <w:rStyle w:val="FootnoteReference"/>
        </w:rPr>
        <w:endnoteRef/>
      </w:r>
      <w:r w:rsidRPr="00935BD3">
        <w:t xml:space="preserve"> Ryrie, </w:t>
      </w:r>
      <w:r w:rsidRPr="00935BD3">
        <w:rPr>
          <w:i/>
        </w:rPr>
        <w:t>Dispensationalism Today</w:t>
      </w:r>
      <w:r w:rsidRPr="00935BD3">
        <w:t>, pp. 37-9.</w:t>
      </w:r>
    </w:p>
  </w:endnote>
  <w:endnote w:id="1119">
    <w:p w:rsidR="00975183" w:rsidRDefault="00975183" w:rsidP="00442D33">
      <w:pPr>
        <w:pStyle w:val="EndnoteText"/>
      </w:pPr>
      <w:r w:rsidRPr="00DA01AD">
        <w:rPr>
          <w:rStyle w:val="FootnoteReference"/>
        </w:rPr>
        <w:endnoteRef/>
      </w:r>
      <w:r w:rsidRPr="00DA01AD">
        <w:t xml:space="preserve"> </w:t>
      </w:r>
      <w:proofErr w:type="gramStart"/>
      <w:r w:rsidRPr="00DA01AD">
        <w:rPr>
          <w:i/>
        </w:rPr>
        <w:t>SRB</w:t>
      </w:r>
      <w:r w:rsidRPr="00DA01AD">
        <w:t xml:space="preserve"> note on Gen. 1:28, p. 5.</w:t>
      </w:r>
      <w:proofErr w:type="gramEnd"/>
    </w:p>
  </w:endnote>
  <w:endnote w:id="1120">
    <w:p w:rsidR="00975183" w:rsidRDefault="00975183" w:rsidP="00442D33">
      <w:pPr>
        <w:pStyle w:val="EndnoteText"/>
      </w:pPr>
      <w:r w:rsidRPr="00DA01AD">
        <w:rPr>
          <w:rStyle w:val="FootnoteReference"/>
        </w:rPr>
        <w:endnoteRef/>
      </w:r>
      <w:r w:rsidRPr="00DA01AD">
        <w:t xml:space="preserve"> </w:t>
      </w:r>
      <w:proofErr w:type="gramStart"/>
      <w:r w:rsidRPr="00DA01AD">
        <w:t xml:space="preserve">Chafer, </w:t>
      </w:r>
      <w:r w:rsidRPr="00DA01AD">
        <w:rPr>
          <w:rFonts w:cs="Arial"/>
          <w:i/>
          <w:szCs w:val="22"/>
          <w:lang w:val="en-US"/>
        </w:rPr>
        <w:t xml:space="preserve">Major Bible </w:t>
      </w:r>
      <w:r>
        <w:rPr>
          <w:rFonts w:cs="Arial"/>
          <w:i/>
          <w:szCs w:val="22"/>
          <w:lang w:val="en-US"/>
        </w:rPr>
        <w:t>T</w:t>
      </w:r>
      <w:r w:rsidRPr="00DA01AD">
        <w:rPr>
          <w:rFonts w:cs="Arial"/>
          <w:i/>
          <w:szCs w:val="22"/>
          <w:lang w:val="en-US"/>
        </w:rPr>
        <w:t>hemes</w:t>
      </w:r>
      <w:r w:rsidRPr="00DA01AD">
        <w:rPr>
          <w:rFonts w:cs="Arial"/>
          <w:szCs w:val="22"/>
          <w:lang w:val="en-US"/>
        </w:rPr>
        <w:t>, pp</w:t>
      </w:r>
      <w:r>
        <w:rPr>
          <w:rFonts w:cs="Arial"/>
          <w:szCs w:val="22"/>
          <w:lang w:val="en-US"/>
        </w:rPr>
        <w:t>.</w:t>
      </w:r>
      <w:r w:rsidRPr="00DA01AD">
        <w:rPr>
          <w:rFonts w:cs="Arial"/>
          <w:szCs w:val="22"/>
          <w:lang w:val="en-US"/>
        </w:rPr>
        <w:t xml:space="preserve"> 96, 97.</w:t>
      </w:r>
      <w:proofErr w:type="gramEnd"/>
    </w:p>
  </w:endnote>
  <w:endnote w:id="1121">
    <w:p w:rsidR="00975183" w:rsidRDefault="00975183" w:rsidP="00442D33">
      <w:pPr>
        <w:pStyle w:val="EndnoteText"/>
      </w:pPr>
      <w:r w:rsidRPr="00DA01AD">
        <w:rPr>
          <w:rStyle w:val="FootnoteReference"/>
          <w:szCs w:val="22"/>
        </w:rPr>
        <w:endnoteRef/>
      </w:r>
      <w:r w:rsidRPr="00DA01AD">
        <w:rPr>
          <w:szCs w:val="22"/>
        </w:rPr>
        <w:t xml:space="preserve"> Paul Richard Wilkinson, </w:t>
      </w:r>
      <w:r w:rsidRPr="00DA01AD">
        <w:rPr>
          <w:i/>
          <w:szCs w:val="22"/>
        </w:rPr>
        <w:t>For Zion’s Sake: Christian Zionism and the Role of John Nelson Darby</w:t>
      </w:r>
      <w:r w:rsidRPr="00DA01AD">
        <w:rPr>
          <w:szCs w:val="22"/>
        </w:rPr>
        <w:t xml:space="preserve"> (Milton Keynes: Paternoster, 2007), p 98.</w:t>
      </w:r>
    </w:p>
  </w:endnote>
  <w:endnote w:id="1122">
    <w:p w:rsidR="00975183" w:rsidRDefault="00975183" w:rsidP="00442D33">
      <w:pPr>
        <w:pStyle w:val="EndnoteText"/>
      </w:pPr>
      <w:r w:rsidRPr="00935BD3">
        <w:rPr>
          <w:rStyle w:val="EndnoteReference"/>
        </w:rPr>
        <w:endnoteRef/>
      </w:r>
      <w:r w:rsidRPr="00935BD3">
        <w:t xml:space="preserve"> </w:t>
      </w:r>
      <w:r w:rsidRPr="00DA01AD">
        <w:rPr>
          <w:szCs w:val="22"/>
        </w:rPr>
        <w:t xml:space="preserve">Ryrie, </w:t>
      </w:r>
      <w:r w:rsidRPr="00DA01AD">
        <w:rPr>
          <w:i/>
          <w:szCs w:val="22"/>
        </w:rPr>
        <w:t>Dispensationalism Today</w:t>
      </w:r>
      <w:r w:rsidRPr="00DA01AD">
        <w:rPr>
          <w:szCs w:val="22"/>
        </w:rPr>
        <w:t>, p. 29.</w:t>
      </w:r>
    </w:p>
  </w:endnote>
  <w:endnote w:id="1123">
    <w:p w:rsidR="00975183" w:rsidRPr="00FE4A9B" w:rsidRDefault="00975183" w:rsidP="00442D33">
      <w:pPr>
        <w:pStyle w:val="EndnoteText"/>
        <w:rPr>
          <w:sz w:val="22"/>
        </w:rPr>
      </w:pPr>
      <w:r w:rsidRPr="00FE4A9B">
        <w:rPr>
          <w:rStyle w:val="FootnoteReference"/>
        </w:rPr>
        <w:endnoteRef/>
      </w:r>
      <w:r w:rsidRPr="00FE4A9B">
        <w:t xml:space="preserve"> Arnold D. Ehlert, ‘A Bibliography of Dispensationalism: Part 6’, </w:t>
      </w:r>
      <w:r w:rsidRPr="00FE4A9B">
        <w:rPr>
          <w:i/>
        </w:rPr>
        <w:t>Bibliotheca Sacra</w:t>
      </w:r>
      <w:r w:rsidRPr="00FE4A9B">
        <w:t>, 102:406 (Apr. 1945), p. 219.</w:t>
      </w:r>
    </w:p>
  </w:endnote>
  <w:endnote w:id="1124">
    <w:p w:rsidR="00975183" w:rsidRDefault="00975183" w:rsidP="00442D33">
      <w:pPr>
        <w:pStyle w:val="EndnoteText"/>
      </w:pPr>
      <w:r w:rsidRPr="00DA01AD">
        <w:rPr>
          <w:rStyle w:val="FootnoteReference"/>
          <w:szCs w:val="22"/>
        </w:rPr>
        <w:endnoteRef/>
      </w:r>
      <w:r w:rsidRPr="00DA01AD">
        <w:rPr>
          <w:szCs w:val="22"/>
        </w:rPr>
        <w:t xml:space="preserve"> Crutchfield, </w:t>
      </w:r>
      <w:r w:rsidRPr="00DA01AD">
        <w:rPr>
          <w:i/>
          <w:szCs w:val="22"/>
        </w:rPr>
        <w:t>Origins</w:t>
      </w:r>
      <w:r w:rsidRPr="00DA01AD">
        <w:rPr>
          <w:szCs w:val="22"/>
        </w:rPr>
        <w:t>, p. 25.</w:t>
      </w:r>
    </w:p>
  </w:endnote>
  <w:endnote w:id="1125">
    <w:p w:rsidR="00975183" w:rsidRDefault="00975183" w:rsidP="00442D33">
      <w:pPr>
        <w:pStyle w:val="EndnoteText"/>
      </w:pPr>
      <w:r w:rsidRPr="00DA01AD">
        <w:rPr>
          <w:rStyle w:val="FootnoteReference"/>
        </w:rPr>
        <w:endnoteRef/>
      </w:r>
      <w:r w:rsidRPr="00DA01AD">
        <w:t xml:space="preserve"> Kraus, </w:t>
      </w:r>
      <w:r w:rsidRPr="00DA01AD">
        <w:rPr>
          <w:i/>
        </w:rPr>
        <w:t>Dispensationalism in America</w:t>
      </w:r>
      <w:r w:rsidRPr="00DA01AD">
        <w:t>, p. 43.</w:t>
      </w:r>
    </w:p>
  </w:endnote>
  <w:endnote w:id="1126">
    <w:p w:rsidR="00975183" w:rsidRDefault="00975183" w:rsidP="00442D33">
      <w:pPr>
        <w:pStyle w:val="EndnoteText"/>
      </w:pPr>
      <w:r w:rsidRPr="00DA01AD">
        <w:rPr>
          <w:rStyle w:val="FootnoteReference"/>
          <w:szCs w:val="22"/>
        </w:rPr>
        <w:endnoteRef/>
      </w:r>
      <w:r w:rsidRPr="00DA01AD">
        <w:rPr>
          <w:szCs w:val="22"/>
        </w:rPr>
        <w:t xml:space="preserve"> Henzel, </w:t>
      </w:r>
      <w:r w:rsidRPr="00DA01AD">
        <w:rPr>
          <w:i/>
          <w:szCs w:val="22"/>
        </w:rPr>
        <w:t xml:space="preserve">Darby, Dualism &amp; Decline of Dispensationalism, </w:t>
      </w:r>
      <w:r w:rsidRPr="00DA01AD">
        <w:rPr>
          <w:szCs w:val="22"/>
        </w:rPr>
        <w:t xml:space="preserve">p. 11.  </w:t>
      </w:r>
      <w:proofErr w:type="gramStart"/>
      <w:r w:rsidRPr="00DA01AD">
        <w:rPr>
          <w:szCs w:val="22"/>
        </w:rPr>
        <w:t xml:space="preserve">Quoting </w:t>
      </w:r>
      <w:r w:rsidRPr="00DA01AD">
        <w:t xml:space="preserve">Ryrie, </w:t>
      </w:r>
      <w:r w:rsidRPr="00DA01AD">
        <w:rPr>
          <w:i/>
        </w:rPr>
        <w:t>Dispensationalism Today</w:t>
      </w:r>
      <w:r w:rsidRPr="00DA01AD">
        <w:t>, p. 34.</w:t>
      </w:r>
      <w:proofErr w:type="gramEnd"/>
    </w:p>
  </w:endnote>
  <w:endnote w:id="1127">
    <w:p w:rsidR="00975183" w:rsidRDefault="00975183" w:rsidP="00442D33">
      <w:pPr>
        <w:pStyle w:val="EndnoteText"/>
      </w:pPr>
      <w:r w:rsidRPr="00DA01AD">
        <w:rPr>
          <w:rStyle w:val="FootnoteReference"/>
        </w:rPr>
        <w:endnoteRef/>
      </w:r>
      <w:r w:rsidRPr="00DA01AD">
        <w:t xml:space="preserve"> Sandeen, </w:t>
      </w:r>
      <w:r w:rsidRPr="00DA01AD">
        <w:rPr>
          <w:i/>
        </w:rPr>
        <w:t>Origins</w:t>
      </w:r>
      <w:r w:rsidRPr="00DA01AD">
        <w:t>, p. 68.</w:t>
      </w:r>
    </w:p>
  </w:endnote>
  <w:endnote w:id="1128">
    <w:p w:rsidR="00975183" w:rsidRDefault="00975183" w:rsidP="00442D33">
      <w:pPr>
        <w:pStyle w:val="EndnoteText"/>
      </w:pPr>
      <w:r w:rsidRPr="00DA01AD">
        <w:rPr>
          <w:rStyle w:val="FootnoteReference"/>
        </w:rPr>
        <w:endnoteRef/>
      </w:r>
      <w:r w:rsidRPr="00DA01AD">
        <w:t xml:space="preserve"> Poythress, </w:t>
      </w:r>
      <w:r w:rsidRPr="00DA01AD">
        <w:rPr>
          <w:i/>
        </w:rPr>
        <w:t>Understanding Dispensationalists</w:t>
      </w:r>
      <w:r w:rsidRPr="00DA01AD">
        <w:t>, p. 21.</w:t>
      </w:r>
    </w:p>
  </w:endnote>
  <w:endnote w:id="1129">
    <w:p w:rsidR="00975183" w:rsidRDefault="00975183" w:rsidP="00442D33">
      <w:pPr>
        <w:pStyle w:val="EndnoteText"/>
      </w:pPr>
      <w:r w:rsidRPr="0058131B">
        <w:rPr>
          <w:rStyle w:val="FootnoteReference"/>
        </w:rPr>
        <w:endnoteRef/>
      </w:r>
      <w:r w:rsidRPr="0058131B">
        <w:t xml:space="preserve"> </w:t>
      </w:r>
      <w:r w:rsidRPr="0058131B">
        <w:rPr>
          <w:szCs w:val="22"/>
        </w:rPr>
        <w:t>Feinberg, ‘System</w:t>
      </w:r>
      <w:r>
        <w:rPr>
          <w:szCs w:val="22"/>
        </w:rPr>
        <w:t>s</w:t>
      </w:r>
      <w:r w:rsidRPr="0058131B">
        <w:rPr>
          <w:szCs w:val="22"/>
        </w:rPr>
        <w:t xml:space="preserve"> of </w:t>
      </w:r>
      <w:r w:rsidRPr="00DC2744">
        <w:rPr>
          <w:szCs w:val="22"/>
        </w:rPr>
        <w:t>Discontinuity’</w:t>
      </w:r>
      <w:r>
        <w:rPr>
          <w:szCs w:val="22"/>
        </w:rPr>
        <w:t>.</w:t>
      </w:r>
    </w:p>
  </w:endnote>
  <w:endnote w:id="1130">
    <w:p w:rsidR="00975183" w:rsidRDefault="00975183" w:rsidP="00442D33">
      <w:pPr>
        <w:pStyle w:val="EndnoteText"/>
      </w:pPr>
      <w:r w:rsidRPr="00DA01AD">
        <w:rPr>
          <w:rStyle w:val="FootnoteReference"/>
        </w:rPr>
        <w:endnoteRef/>
      </w:r>
      <w:r w:rsidRPr="00DA01AD">
        <w:t xml:space="preserve"> Ryrie, </w:t>
      </w:r>
      <w:r w:rsidRPr="00DA01AD">
        <w:rPr>
          <w:i/>
        </w:rPr>
        <w:t>Dispensationalism Today</w:t>
      </w:r>
      <w:r w:rsidRPr="00DA01AD">
        <w:t>, p. 44.</w:t>
      </w:r>
    </w:p>
  </w:endnote>
  <w:endnote w:id="1131">
    <w:p w:rsidR="00975183" w:rsidRDefault="00975183" w:rsidP="00442D33">
      <w:pPr>
        <w:pStyle w:val="EndnoteText"/>
      </w:pPr>
      <w:r w:rsidRPr="00DA01AD">
        <w:rPr>
          <w:rStyle w:val="FootnoteReference"/>
        </w:rPr>
        <w:endnoteRef/>
      </w:r>
      <w:r w:rsidRPr="00DA01AD">
        <w:t xml:space="preserve"> Ryrie, </w:t>
      </w:r>
      <w:r w:rsidRPr="00DA01AD">
        <w:rPr>
          <w:i/>
        </w:rPr>
        <w:t>Dispensationalism Today</w:t>
      </w:r>
      <w:r w:rsidRPr="00DA01AD">
        <w:t>, p. 44.</w:t>
      </w:r>
    </w:p>
  </w:endnote>
  <w:endnote w:id="1132">
    <w:p w:rsidR="00975183" w:rsidRDefault="00975183" w:rsidP="00442D33">
      <w:pPr>
        <w:pStyle w:val="EndnoteText"/>
      </w:pPr>
      <w:r w:rsidRPr="00DA01AD">
        <w:rPr>
          <w:rStyle w:val="FootnoteReference"/>
          <w:szCs w:val="22"/>
        </w:rPr>
        <w:endnoteRef/>
      </w:r>
      <w:r w:rsidRPr="00DA01AD">
        <w:rPr>
          <w:szCs w:val="22"/>
        </w:rPr>
        <w:t xml:space="preserve"> Henzel, </w:t>
      </w:r>
      <w:r w:rsidRPr="00DA01AD">
        <w:rPr>
          <w:i/>
          <w:szCs w:val="22"/>
        </w:rPr>
        <w:t>Darby, Dualism &amp; Decline of Dispensationalism</w:t>
      </w:r>
      <w:r w:rsidRPr="00DA01AD">
        <w:rPr>
          <w:szCs w:val="22"/>
        </w:rPr>
        <w:t xml:space="preserve">, p. 12.  Ryrie, </w:t>
      </w:r>
      <w:r w:rsidRPr="00650B81">
        <w:rPr>
          <w:i/>
          <w:szCs w:val="22"/>
        </w:rPr>
        <w:t>Dispensationalism Today</w:t>
      </w:r>
      <w:r w:rsidRPr="00DA01AD">
        <w:rPr>
          <w:szCs w:val="22"/>
        </w:rPr>
        <w:t>, pp. 43-7.</w:t>
      </w:r>
    </w:p>
  </w:endnote>
  <w:endnote w:id="1133">
    <w:p w:rsidR="00975183" w:rsidRPr="006F5605" w:rsidRDefault="00975183" w:rsidP="00442D33">
      <w:pPr>
        <w:pStyle w:val="EndnoteText"/>
        <w:rPr>
          <w:sz w:val="18"/>
        </w:rPr>
      </w:pPr>
      <w:r w:rsidRPr="006F5605">
        <w:rPr>
          <w:rStyle w:val="FootnoteReference"/>
        </w:rPr>
        <w:endnoteRef/>
      </w:r>
      <w:r w:rsidRPr="006F5605">
        <w:t xml:space="preserve"> Darby, ‘The Apostasy of Successive Dispensations’, </w:t>
      </w:r>
      <w:r w:rsidRPr="006F5605">
        <w:rPr>
          <w:i/>
        </w:rPr>
        <w:t xml:space="preserve">Collected Works, Vol. 1, Ecclesiastical 1, </w:t>
      </w:r>
      <w:r w:rsidRPr="006F5605">
        <w:t>pp. 124-5 &lt;http://www.stempublishing.com/authors/darby/ECCLESIA/01009E.html&gt; [accessed 22.1.10].</w:t>
      </w:r>
    </w:p>
  </w:endnote>
  <w:endnote w:id="1134">
    <w:p w:rsidR="00975183" w:rsidRDefault="00975183" w:rsidP="00442D33">
      <w:pPr>
        <w:pStyle w:val="EndnoteText"/>
      </w:pPr>
      <w:r w:rsidRPr="0053657A">
        <w:rPr>
          <w:rStyle w:val="FootnoteReference"/>
        </w:rPr>
        <w:endnoteRef/>
      </w:r>
      <w:r w:rsidRPr="0053657A">
        <w:t xml:space="preserve"> </w:t>
      </w:r>
      <w:proofErr w:type="gramStart"/>
      <w:r w:rsidRPr="0053657A">
        <w:t xml:space="preserve">Scofield, </w:t>
      </w:r>
      <w:r w:rsidRPr="00CC6C3C">
        <w:rPr>
          <w:i/>
          <w:sz w:val="22"/>
          <w:szCs w:val="22"/>
        </w:rPr>
        <w:t>Rightly Dividing the Word of Truth</w:t>
      </w:r>
      <w:r>
        <w:rPr>
          <w:sz w:val="22"/>
          <w:szCs w:val="22"/>
        </w:rPr>
        <w:t>, p. 19</w:t>
      </w:r>
      <w:r w:rsidRPr="00CC6C3C">
        <w:rPr>
          <w:sz w:val="22"/>
          <w:szCs w:val="22"/>
        </w:rPr>
        <w:t>.</w:t>
      </w:r>
      <w:proofErr w:type="gramEnd"/>
    </w:p>
  </w:endnote>
  <w:endnote w:id="1135">
    <w:p w:rsidR="00975183" w:rsidRDefault="00975183" w:rsidP="00442D33">
      <w:pPr>
        <w:pStyle w:val="EndnoteText"/>
      </w:pPr>
      <w:r w:rsidRPr="00943A6C">
        <w:rPr>
          <w:rStyle w:val="FootnoteReference"/>
        </w:rPr>
        <w:endnoteRef/>
      </w:r>
      <w:r w:rsidRPr="00943A6C">
        <w:t xml:space="preserve"> </w:t>
      </w:r>
      <w:r>
        <w:t xml:space="preserve">Crutchfield, </w:t>
      </w:r>
      <w:r w:rsidRPr="00943A6C">
        <w:rPr>
          <w:i/>
        </w:rPr>
        <w:t>Origins</w:t>
      </w:r>
      <w:r>
        <w:t>, p. 33.</w:t>
      </w:r>
    </w:p>
  </w:endnote>
  <w:endnote w:id="1136">
    <w:p w:rsidR="00975183" w:rsidRDefault="00975183" w:rsidP="00442D33">
      <w:pPr>
        <w:pStyle w:val="EndnoteText"/>
      </w:pPr>
      <w:r w:rsidRPr="0058131B">
        <w:rPr>
          <w:rStyle w:val="FootnoteReference"/>
        </w:rPr>
        <w:endnoteRef/>
      </w:r>
      <w:r w:rsidRPr="0058131B">
        <w:t xml:space="preserve"> </w:t>
      </w:r>
      <w:r w:rsidRPr="0058131B">
        <w:rPr>
          <w:szCs w:val="22"/>
        </w:rPr>
        <w:t>Feinberg, ‘System</w:t>
      </w:r>
      <w:r>
        <w:rPr>
          <w:szCs w:val="22"/>
        </w:rPr>
        <w:t>s</w:t>
      </w:r>
      <w:r w:rsidRPr="0058131B">
        <w:rPr>
          <w:szCs w:val="22"/>
        </w:rPr>
        <w:t xml:space="preserve"> of </w:t>
      </w:r>
      <w:r w:rsidRPr="00DC2744">
        <w:rPr>
          <w:szCs w:val="22"/>
        </w:rPr>
        <w:t>Discontinuity’</w:t>
      </w:r>
      <w:r>
        <w:rPr>
          <w:szCs w:val="22"/>
        </w:rPr>
        <w:t>, ‘Essentials of Dispensationism’.</w:t>
      </w:r>
    </w:p>
  </w:endnote>
  <w:endnote w:id="1137">
    <w:p w:rsidR="00975183" w:rsidRDefault="00975183" w:rsidP="00442D33">
      <w:pPr>
        <w:pStyle w:val="EndnoteText"/>
      </w:pPr>
      <w:r w:rsidRPr="003A294C">
        <w:rPr>
          <w:rStyle w:val="FootnoteReference"/>
        </w:rPr>
        <w:endnoteRef/>
      </w:r>
      <w:r w:rsidRPr="003A294C">
        <w:t xml:space="preserve"> </w:t>
      </w:r>
      <w:r w:rsidRPr="00DA01AD">
        <w:t xml:space="preserve">Ryrie, </w:t>
      </w:r>
      <w:r w:rsidRPr="00DA01AD">
        <w:rPr>
          <w:i/>
        </w:rPr>
        <w:t>Dispensationalism Today</w:t>
      </w:r>
      <w:r w:rsidRPr="00DA01AD">
        <w:t xml:space="preserve">, p. </w:t>
      </w:r>
      <w:r>
        <w:t>50</w:t>
      </w:r>
      <w:r w:rsidRPr="00DA01AD">
        <w:t>.</w:t>
      </w:r>
    </w:p>
  </w:endnote>
  <w:endnote w:id="1138">
    <w:p w:rsidR="00975183" w:rsidRDefault="00975183" w:rsidP="00442D33">
      <w:pPr>
        <w:pStyle w:val="EndnoteText"/>
      </w:pPr>
      <w:r w:rsidRPr="008812AD">
        <w:rPr>
          <w:rStyle w:val="FootnoteReference"/>
        </w:rPr>
        <w:endnoteRef/>
      </w:r>
      <w:r w:rsidRPr="008812AD">
        <w:t xml:space="preserve"> </w:t>
      </w:r>
      <w:r w:rsidRPr="00DA01AD">
        <w:t xml:space="preserve">Ryrie, </w:t>
      </w:r>
      <w:r w:rsidRPr="00DA01AD">
        <w:rPr>
          <w:i/>
        </w:rPr>
        <w:t>Dispensationalism</w:t>
      </w:r>
      <w:r w:rsidRPr="008812AD">
        <w:t>,</w:t>
      </w:r>
      <w:r>
        <w:rPr>
          <w:i/>
        </w:rPr>
        <w:t xml:space="preserve"> </w:t>
      </w:r>
      <w:r>
        <w:t xml:space="preserve">pp. 54, 62.  </w:t>
      </w:r>
    </w:p>
  </w:endnote>
  <w:endnote w:id="1139">
    <w:p w:rsidR="00975183" w:rsidRPr="00FE4A9B" w:rsidRDefault="00975183" w:rsidP="00442D33">
      <w:pPr>
        <w:pStyle w:val="EndnoteText"/>
      </w:pPr>
      <w:r w:rsidRPr="00FE4A9B">
        <w:rPr>
          <w:rStyle w:val="EndnoteReference"/>
        </w:rPr>
        <w:endnoteRef/>
      </w:r>
      <w:r w:rsidRPr="00FE4A9B">
        <w:t xml:space="preserve"> Aldrich, ‘An Apologetic for Dispensationalism’, </w:t>
      </w:r>
      <w:r w:rsidRPr="00FE4A9B">
        <w:rPr>
          <w:i/>
        </w:rPr>
        <w:t>Bibliotheca Sacra</w:t>
      </w:r>
      <w:r w:rsidRPr="00FE4A9B">
        <w:t>, Vol. 112:445 (Jan. 1955), p. 52.</w:t>
      </w:r>
    </w:p>
  </w:endnote>
  <w:endnote w:id="1140">
    <w:p w:rsidR="00975183" w:rsidRDefault="00975183" w:rsidP="00442D33">
      <w:pPr>
        <w:pStyle w:val="EndnoteText"/>
      </w:pPr>
      <w:r w:rsidRPr="00011475">
        <w:rPr>
          <w:rStyle w:val="FootnoteReference"/>
        </w:rPr>
        <w:endnoteRef/>
      </w:r>
      <w:r w:rsidRPr="00011475">
        <w:t xml:space="preserve"> </w:t>
      </w:r>
      <w:r>
        <w:t xml:space="preserve">Blaising, ‘Extent and Varieties’, </w:t>
      </w:r>
      <w:r w:rsidRPr="00011475">
        <w:rPr>
          <w:i/>
        </w:rPr>
        <w:t>Progressive Dispensationalism</w:t>
      </w:r>
      <w:r>
        <w:t>, p. 33.</w:t>
      </w:r>
    </w:p>
  </w:endnote>
  <w:endnote w:id="1141">
    <w:p w:rsidR="00975183" w:rsidRDefault="00975183" w:rsidP="00442D33">
      <w:pPr>
        <w:pStyle w:val="EndnoteText"/>
      </w:pPr>
      <w:r w:rsidRPr="004226B8">
        <w:rPr>
          <w:rStyle w:val="FootnoteReference"/>
        </w:rPr>
        <w:endnoteRef/>
      </w:r>
      <w:r w:rsidRPr="004226B8">
        <w:t xml:space="preserve"> </w:t>
      </w:r>
      <w:r>
        <w:t xml:space="preserve">Blaising, ‘Extent and Varieties’, </w:t>
      </w:r>
      <w:r w:rsidRPr="004226B8">
        <w:rPr>
          <w:i/>
        </w:rPr>
        <w:t>Progressive Dispensationalism</w:t>
      </w:r>
      <w:r>
        <w:t xml:space="preserve">, p. 48.  </w:t>
      </w:r>
      <w:proofErr w:type="gramStart"/>
      <w:r>
        <w:t>(</w:t>
      </w:r>
      <w:r w:rsidRPr="004226B8">
        <w:rPr>
          <w:i/>
        </w:rPr>
        <w:t>Blaising’s emphases</w:t>
      </w:r>
      <w:r>
        <w:t>.)</w:t>
      </w:r>
      <w:proofErr w:type="gramEnd"/>
    </w:p>
  </w:endnote>
  <w:endnote w:id="1142">
    <w:p w:rsidR="00975183" w:rsidRPr="00FC4136" w:rsidRDefault="00975183" w:rsidP="00442D33">
      <w:pPr>
        <w:pStyle w:val="EndnoteText"/>
      </w:pPr>
      <w:r w:rsidRPr="00FC4136">
        <w:rPr>
          <w:rStyle w:val="EndnoteReference"/>
        </w:rPr>
        <w:endnoteRef/>
      </w:r>
      <w:r w:rsidRPr="00FC4136">
        <w:t xml:space="preserve"> </w:t>
      </w:r>
      <w:r>
        <w:t xml:space="preserve">Blaising, ‘The Structure of the Biblical Covenants’, </w:t>
      </w:r>
      <w:r w:rsidRPr="004226B8">
        <w:rPr>
          <w:i/>
        </w:rPr>
        <w:t>Progressive Dispensationalism</w:t>
      </w:r>
      <w:r>
        <w:t>, p. 128.</w:t>
      </w:r>
    </w:p>
  </w:endnote>
  <w:endnote w:id="1143">
    <w:p w:rsidR="00975183" w:rsidRDefault="00975183" w:rsidP="00442D33">
      <w:pPr>
        <w:pStyle w:val="EndnoteText"/>
      </w:pPr>
      <w:r w:rsidRPr="00AB7C77">
        <w:rPr>
          <w:rStyle w:val="EndnoteReference"/>
        </w:rPr>
        <w:endnoteRef/>
      </w:r>
      <w:r w:rsidRPr="00AB7C77">
        <w:t xml:space="preserve"> </w:t>
      </w:r>
      <w:r w:rsidRPr="00AB7C77">
        <w:rPr>
          <w:sz w:val="22"/>
          <w:szCs w:val="22"/>
        </w:rPr>
        <w:t>Robert I. Bradshaw, ‘Covenant and Covenants in the Bible’ &lt;https://biblicalstudies.org.uk/article_covenant.html &gt; [accessed 28.3.17].</w:t>
      </w:r>
    </w:p>
  </w:endnote>
  <w:endnote w:id="1144">
    <w:p w:rsidR="00975183" w:rsidRDefault="00975183" w:rsidP="00442D33">
      <w:pPr>
        <w:pStyle w:val="EndnoteText"/>
      </w:pPr>
      <w:r w:rsidRPr="00AB7C77">
        <w:rPr>
          <w:rStyle w:val="EndnoteReference"/>
        </w:rPr>
        <w:endnoteRef/>
      </w:r>
      <w:r w:rsidRPr="00AB7C77">
        <w:t xml:space="preserve"> </w:t>
      </w:r>
      <w:r w:rsidRPr="00AB7C77">
        <w:rPr>
          <w:sz w:val="22"/>
          <w:szCs w:val="22"/>
        </w:rPr>
        <w:t>Bradshaw, ‘Covenant and Covenants in the Bible’</w:t>
      </w:r>
      <w:r>
        <w:rPr>
          <w:sz w:val="22"/>
          <w:szCs w:val="22"/>
        </w:rPr>
        <w:t>.</w:t>
      </w:r>
      <w:r w:rsidRPr="00AB7C77">
        <w:rPr>
          <w:sz w:val="22"/>
          <w:szCs w:val="22"/>
        </w:rPr>
        <w:t xml:space="preserve"> </w:t>
      </w:r>
    </w:p>
  </w:endnote>
  <w:endnote w:id="1145">
    <w:p w:rsidR="00975183" w:rsidRPr="001F7384" w:rsidRDefault="00975183" w:rsidP="00442D33">
      <w:pPr>
        <w:pStyle w:val="EndnoteText"/>
      </w:pPr>
      <w:r w:rsidRPr="001F7384">
        <w:rPr>
          <w:rStyle w:val="EndnoteReference"/>
        </w:rPr>
        <w:endnoteRef/>
      </w:r>
      <w:r w:rsidRPr="001F7384">
        <w:t xml:space="preserve"> </w:t>
      </w:r>
      <w:r>
        <w:t>Refs Exod. 20:2; Deut. 1:1-6.</w:t>
      </w:r>
    </w:p>
  </w:endnote>
  <w:endnote w:id="1146">
    <w:p w:rsidR="00975183" w:rsidRDefault="00975183" w:rsidP="00442D33">
      <w:pPr>
        <w:pStyle w:val="EndnoteText"/>
      </w:pPr>
      <w:r w:rsidRPr="001F7384">
        <w:rPr>
          <w:rStyle w:val="EndnoteReference"/>
        </w:rPr>
        <w:endnoteRef/>
      </w:r>
      <w:r w:rsidRPr="001F7384">
        <w:t xml:space="preserve"> </w:t>
      </w:r>
      <w:r>
        <w:t>Refs Exod. 20:2; Deut. 1:6 – 4:49.</w:t>
      </w:r>
    </w:p>
  </w:endnote>
  <w:endnote w:id="1147">
    <w:p w:rsidR="00975183" w:rsidRDefault="00975183" w:rsidP="00442D33">
      <w:pPr>
        <w:pStyle w:val="EndnoteText"/>
      </w:pPr>
      <w:r w:rsidRPr="001F7384">
        <w:rPr>
          <w:rStyle w:val="EndnoteReference"/>
        </w:rPr>
        <w:endnoteRef/>
      </w:r>
      <w:r w:rsidRPr="001F7384">
        <w:t xml:space="preserve"> </w:t>
      </w:r>
      <w:proofErr w:type="gramStart"/>
      <w:r>
        <w:t>Refs  Exodus</w:t>
      </w:r>
      <w:proofErr w:type="gramEnd"/>
      <w:r>
        <w:t xml:space="preserve"> 20 – 31; Deuteronomy 5 – 26.</w:t>
      </w:r>
    </w:p>
  </w:endnote>
  <w:endnote w:id="1148">
    <w:p w:rsidR="00975183" w:rsidRDefault="00975183" w:rsidP="00442D33">
      <w:pPr>
        <w:pStyle w:val="EndnoteText"/>
        <w:jc w:val="both"/>
      </w:pPr>
      <w:r w:rsidRPr="001F7384">
        <w:rPr>
          <w:rStyle w:val="EndnoteReference"/>
        </w:rPr>
        <w:endnoteRef/>
      </w:r>
      <w:r w:rsidRPr="001F7384">
        <w:t xml:space="preserve"> </w:t>
      </w:r>
      <w:r>
        <w:t>Refs Leviticus 26; Deuteronomy 27 – 30.</w:t>
      </w:r>
    </w:p>
  </w:endnote>
  <w:endnote w:id="1149">
    <w:p w:rsidR="00975183" w:rsidRDefault="00975183" w:rsidP="00442D33">
      <w:pPr>
        <w:pStyle w:val="EndnoteText"/>
      </w:pPr>
      <w:r w:rsidRPr="001F7384">
        <w:rPr>
          <w:rStyle w:val="EndnoteReference"/>
        </w:rPr>
        <w:endnoteRef/>
      </w:r>
      <w:r w:rsidRPr="001F7384">
        <w:t xml:space="preserve"> </w:t>
      </w:r>
      <w:r>
        <w:t>Refs Deut. 4:26; 30:19; 31:28.</w:t>
      </w:r>
    </w:p>
  </w:endnote>
  <w:endnote w:id="1150">
    <w:p w:rsidR="00975183" w:rsidRDefault="00975183" w:rsidP="00442D33">
      <w:pPr>
        <w:pStyle w:val="EndnoteText"/>
      </w:pPr>
      <w:r w:rsidRPr="001F7384">
        <w:rPr>
          <w:rStyle w:val="EndnoteReference"/>
        </w:rPr>
        <w:endnoteRef/>
      </w:r>
      <w:r w:rsidRPr="001F7384">
        <w:t xml:space="preserve"> </w:t>
      </w:r>
      <w:r>
        <w:t>Ref. Exod. 24:9-11.</w:t>
      </w:r>
    </w:p>
  </w:endnote>
  <w:endnote w:id="1151">
    <w:p w:rsidR="00975183" w:rsidRDefault="00975183" w:rsidP="00442D33">
      <w:pPr>
        <w:pStyle w:val="EndnoteText"/>
      </w:pPr>
      <w:r w:rsidRPr="001F7384">
        <w:rPr>
          <w:rStyle w:val="EndnoteReference"/>
        </w:rPr>
        <w:endnoteRef/>
      </w:r>
      <w:r w:rsidRPr="001F7384">
        <w:t xml:space="preserve"> </w:t>
      </w:r>
      <w:r>
        <w:t>Refs Exod. 25:16; 40:21; Deut. 31:25-6.</w:t>
      </w:r>
    </w:p>
  </w:endnote>
  <w:endnote w:id="1152">
    <w:p w:rsidR="00975183" w:rsidRDefault="00975183" w:rsidP="00442D33">
      <w:pPr>
        <w:pStyle w:val="EndnoteText"/>
      </w:pPr>
      <w:r w:rsidRPr="00FC4136">
        <w:rPr>
          <w:rStyle w:val="EndnoteReference"/>
        </w:rPr>
        <w:endnoteRef/>
      </w:r>
      <w:r w:rsidRPr="00FC4136">
        <w:t xml:space="preserve"> </w:t>
      </w:r>
      <w:r>
        <w:t xml:space="preserve">Blaising, ‘The Structure of the Biblical Covenants, </w:t>
      </w:r>
      <w:r w:rsidRPr="004226B8">
        <w:rPr>
          <w:i/>
        </w:rPr>
        <w:t>Progressive Dispensationalism</w:t>
      </w:r>
      <w:r>
        <w:t>, p. 143.</w:t>
      </w:r>
    </w:p>
  </w:endnote>
  <w:endnote w:id="1153">
    <w:p w:rsidR="00975183" w:rsidRDefault="00975183" w:rsidP="00442D33">
      <w:pPr>
        <w:pStyle w:val="EndnoteText"/>
      </w:pPr>
      <w:r w:rsidRPr="00054148">
        <w:rPr>
          <w:rStyle w:val="EndnoteReference"/>
        </w:rPr>
        <w:endnoteRef/>
      </w:r>
      <w:r w:rsidRPr="00054148">
        <w:t xml:space="preserve"> </w:t>
      </w:r>
      <w:r>
        <w:t>Ref. Gen.6:18.</w:t>
      </w:r>
    </w:p>
  </w:endnote>
  <w:endnote w:id="1154">
    <w:p w:rsidR="00975183" w:rsidRDefault="00975183" w:rsidP="00442D33">
      <w:pPr>
        <w:pStyle w:val="EndnoteText"/>
      </w:pPr>
      <w:r w:rsidRPr="00FC4136">
        <w:rPr>
          <w:rStyle w:val="EndnoteReference"/>
        </w:rPr>
        <w:endnoteRef/>
      </w:r>
      <w:r w:rsidRPr="00FC4136">
        <w:t xml:space="preserve"> </w:t>
      </w:r>
      <w:r>
        <w:t xml:space="preserve">Blaising, ‘The Structure of the Biblical Covenants, </w:t>
      </w:r>
      <w:r w:rsidRPr="004226B8">
        <w:rPr>
          <w:i/>
        </w:rPr>
        <w:t>Progressive Dispensationalism</w:t>
      </w:r>
      <w:r>
        <w:t>, pp. 128-9.</w:t>
      </w:r>
    </w:p>
  </w:endnote>
  <w:endnote w:id="1155">
    <w:p w:rsidR="00975183" w:rsidRDefault="00975183" w:rsidP="00442D33">
      <w:pPr>
        <w:pStyle w:val="EndnoteText"/>
      </w:pPr>
      <w:r w:rsidRPr="00FC4136">
        <w:rPr>
          <w:rStyle w:val="EndnoteReference"/>
        </w:rPr>
        <w:endnoteRef/>
      </w:r>
      <w:r w:rsidRPr="00FC4136">
        <w:t xml:space="preserve"> </w:t>
      </w:r>
      <w:r>
        <w:t xml:space="preserve">Blaising, ‘The Structure of the Biblical Covenants, </w:t>
      </w:r>
      <w:r w:rsidRPr="004226B8">
        <w:rPr>
          <w:i/>
        </w:rPr>
        <w:t>Progressive Dispensationalism</w:t>
      </w:r>
      <w:r>
        <w:t>, pp. 172-3.</w:t>
      </w:r>
    </w:p>
  </w:endnote>
  <w:endnote w:id="1156">
    <w:p w:rsidR="00975183" w:rsidRPr="00054148" w:rsidRDefault="00975183" w:rsidP="00442D33">
      <w:pPr>
        <w:pStyle w:val="EndnoteText"/>
      </w:pPr>
      <w:r w:rsidRPr="00054148">
        <w:rPr>
          <w:rStyle w:val="EndnoteReference"/>
        </w:rPr>
        <w:endnoteRef/>
      </w:r>
      <w:r w:rsidRPr="00054148">
        <w:t xml:space="preserve"> </w:t>
      </w:r>
      <w:proofErr w:type="gramStart"/>
      <w:r>
        <w:t>Ref. Gen. 12:1-3.</w:t>
      </w:r>
      <w:proofErr w:type="gramEnd"/>
    </w:p>
  </w:endnote>
  <w:endnote w:id="1157">
    <w:p w:rsidR="00975183" w:rsidRDefault="00975183" w:rsidP="00442D33">
      <w:pPr>
        <w:pStyle w:val="EndnoteText"/>
      </w:pPr>
      <w:r w:rsidRPr="00054148">
        <w:rPr>
          <w:rStyle w:val="EndnoteReference"/>
        </w:rPr>
        <w:endnoteRef/>
      </w:r>
      <w:r w:rsidRPr="00054148">
        <w:t xml:space="preserve"> </w:t>
      </w:r>
      <w:r>
        <w:t>Ref. Exod. 19:5-8.</w:t>
      </w:r>
    </w:p>
  </w:endnote>
  <w:endnote w:id="1158">
    <w:p w:rsidR="00975183" w:rsidRDefault="00975183" w:rsidP="00442D33">
      <w:pPr>
        <w:pStyle w:val="EndnoteText"/>
      </w:pPr>
      <w:r w:rsidRPr="00054148">
        <w:rPr>
          <w:rStyle w:val="EndnoteReference"/>
        </w:rPr>
        <w:endnoteRef/>
      </w:r>
      <w:r w:rsidRPr="00054148">
        <w:t xml:space="preserve"> </w:t>
      </w:r>
      <w:r>
        <w:t>Ref. 2 Sam. 7:12-16.</w:t>
      </w:r>
    </w:p>
  </w:endnote>
  <w:endnote w:id="1159">
    <w:p w:rsidR="00975183" w:rsidRDefault="00975183" w:rsidP="00442D33">
      <w:pPr>
        <w:pStyle w:val="EndnoteText"/>
      </w:pPr>
      <w:r w:rsidRPr="00054148">
        <w:rPr>
          <w:rStyle w:val="EndnoteReference"/>
        </w:rPr>
        <w:endnoteRef/>
      </w:r>
      <w:r w:rsidRPr="00054148">
        <w:t xml:space="preserve"> </w:t>
      </w:r>
      <w:r>
        <w:t>Ref. Jer. 31:31-4.</w:t>
      </w:r>
    </w:p>
  </w:endnote>
  <w:endnote w:id="1160">
    <w:p w:rsidR="00975183" w:rsidRPr="00BB45F2" w:rsidRDefault="00975183" w:rsidP="00442D33">
      <w:pPr>
        <w:pStyle w:val="EndnoteText"/>
      </w:pPr>
      <w:r w:rsidRPr="00BB45F2">
        <w:rPr>
          <w:rStyle w:val="EndnoteReference"/>
        </w:rPr>
        <w:endnoteRef/>
      </w:r>
      <w:r w:rsidRPr="00BB45F2">
        <w:t xml:space="preserve"> </w:t>
      </w:r>
      <w:r>
        <w:t xml:space="preserve">Tan, </w:t>
      </w:r>
      <w:r w:rsidRPr="00BB45F2">
        <w:rPr>
          <w:i/>
        </w:rPr>
        <w:t>Interpretation of Prophecy</w:t>
      </w:r>
      <w:r>
        <w:t>, pp. 190-191.</w:t>
      </w:r>
    </w:p>
  </w:endnote>
  <w:endnote w:id="1161">
    <w:p w:rsidR="00975183" w:rsidRDefault="00975183" w:rsidP="00442D33">
      <w:pPr>
        <w:pStyle w:val="EndnoteText"/>
      </w:pPr>
      <w:r w:rsidRPr="00011475">
        <w:rPr>
          <w:rStyle w:val="FootnoteReference"/>
        </w:rPr>
        <w:endnoteRef/>
      </w:r>
      <w:r w:rsidRPr="00011475">
        <w:t xml:space="preserve"> </w:t>
      </w:r>
      <w:r>
        <w:t xml:space="preserve">Blaising, ‘Extent and Varieties’, </w:t>
      </w:r>
      <w:r w:rsidRPr="00011475">
        <w:rPr>
          <w:i/>
        </w:rPr>
        <w:t>Progressive Dispensationalism</w:t>
      </w:r>
      <w:r>
        <w:t>, p. 28.</w:t>
      </w:r>
    </w:p>
  </w:endnote>
  <w:endnote w:id="1162">
    <w:p w:rsidR="00975183" w:rsidRPr="00D0568C" w:rsidRDefault="00975183" w:rsidP="00442D33">
      <w:pPr>
        <w:pStyle w:val="EndnoteText"/>
      </w:pPr>
      <w:r w:rsidRPr="00D0568C">
        <w:rPr>
          <w:rStyle w:val="EndnoteReference"/>
        </w:rPr>
        <w:endnoteRef/>
      </w:r>
      <w:r w:rsidRPr="00D0568C">
        <w:t xml:space="preserve"> </w:t>
      </w:r>
      <w:r>
        <w:t>Darby, ‘</w:t>
      </w:r>
      <w:r>
        <w:rPr>
          <w:bCs/>
        </w:rPr>
        <w:t xml:space="preserve">The Gospel and the Church According to Scripture’ </w:t>
      </w:r>
      <w:r w:rsidRPr="00B45A2B">
        <w:rPr>
          <w:bCs/>
          <w:i/>
        </w:rPr>
        <w:t>Collected Writings</w:t>
      </w:r>
      <w:r>
        <w:rPr>
          <w:bCs/>
        </w:rPr>
        <w:t xml:space="preserve">, </w:t>
      </w:r>
      <w:r w:rsidRPr="00B25AB6">
        <w:rPr>
          <w:bCs/>
          <w:i/>
        </w:rPr>
        <w:t>Vol. 29, Doctrinal No. 8</w:t>
      </w:r>
      <w:r>
        <w:rPr>
          <w:bCs/>
        </w:rPr>
        <w:t>, p 366 &lt;</w:t>
      </w:r>
      <w:r w:rsidRPr="007C6E69">
        <w:rPr>
          <w:bCs/>
        </w:rPr>
        <w:t xml:space="preserve">http://www.stempublishing.com/authors/darby/DOCTRINE/29014E.html </w:t>
      </w:r>
      <w:r>
        <w:rPr>
          <w:bCs/>
        </w:rPr>
        <w:t xml:space="preserve">&gt; [accessed </w:t>
      </w:r>
      <w:proofErr w:type="gramStart"/>
      <w:r>
        <w:rPr>
          <w:bCs/>
        </w:rPr>
        <w:t>2.8.09 ]</w:t>
      </w:r>
      <w:proofErr w:type="gramEnd"/>
      <w:r>
        <w:rPr>
          <w:bCs/>
        </w:rPr>
        <w:t>.</w:t>
      </w:r>
    </w:p>
  </w:endnote>
  <w:endnote w:id="1163">
    <w:p w:rsidR="00975183" w:rsidRPr="00C237A1" w:rsidRDefault="00975183" w:rsidP="00442D33">
      <w:pPr>
        <w:pStyle w:val="EndnoteText"/>
      </w:pPr>
      <w:r w:rsidRPr="00C237A1">
        <w:rPr>
          <w:rStyle w:val="EndnoteReference"/>
        </w:rPr>
        <w:endnoteRef/>
      </w:r>
      <w:r w:rsidRPr="00C237A1">
        <w:t xml:space="preserve"> </w:t>
      </w:r>
      <w:r w:rsidRPr="00DA01AD">
        <w:t xml:space="preserve">Chafer, </w:t>
      </w:r>
      <w:r w:rsidRPr="00DA01AD">
        <w:rPr>
          <w:rFonts w:cs="Arial"/>
          <w:i/>
          <w:szCs w:val="22"/>
          <w:lang w:val="en-US"/>
        </w:rPr>
        <w:t xml:space="preserve">Major Bible </w:t>
      </w:r>
      <w:r>
        <w:rPr>
          <w:rFonts w:cs="Arial"/>
          <w:i/>
          <w:szCs w:val="22"/>
          <w:lang w:val="en-US"/>
        </w:rPr>
        <w:t>T</w:t>
      </w:r>
      <w:r w:rsidRPr="00DA01AD">
        <w:rPr>
          <w:rFonts w:cs="Arial"/>
          <w:i/>
          <w:szCs w:val="22"/>
          <w:lang w:val="en-US"/>
        </w:rPr>
        <w:t>hemes</w:t>
      </w:r>
      <w:r>
        <w:rPr>
          <w:rFonts w:cs="Arial"/>
          <w:i/>
          <w:szCs w:val="22"/>
          <w:lang w:val="en-US"/>
        </w:rPr>
        <w:t xml:space="preserve">, </w:t>
      </w:r>
      <w:r w:rsidRPr="00C237A1">
        <w:rPr>
          <w:rFonts w:cs="Arial"/>
          <w:szCs w:val="22"/>
          <w:lang w:val="en-US"/>
        </w:rPr>
        <w:t>p. 109.</w:t>
      </w:r>
    </w:p>
  </w:endnote>
  <w:endnote w:id="1164">
    <w:p w:rsidR="00975183" w:rsidRDefault="00975183" w:rsidP="00442D33">
      <w:pPr>
        <w:pStyle w:val="EndnoteText"/>
      </w:pPr>
      <w:r w:rsidRPr="00011475">
        <w:rPr>
          <w:rStyle w:val="FootnoteReference"/>
        </w:rPr>
        <w:endnoteRef/>
      </w:r>
      <w:r w:rsidRPr="00011475">
        <w:t xml:space="preserve"> </w:t>
      </w:r>
      <w:r>
        <w:t xml:space="preserve">Blaising, ‘Extent and Varieties’, </w:t>
      </w:r>
      <w:r w:rsidRPr="00011475">
        <w:rPr>
          <w:i/>
        </w:rPr>
        <w:t>Progressive Dispensationalism</w:t>
      </w:r>
      <w:r>
        <w:t>, p. 53.</w:t>
      </w:r>
    </w:p>
  </w:endnote>
  <w:endnote w:id="1165">
    <w:p w:rsidR="00975183" w:rsidRDefault="00975183" w:rsidP="00442D33">
      <w:pPr>
        <w:pStyle w:val="EndnoteText"/>
      </w:pPr>
      <w:r w:rsidRPr="00011475">
        <w:rPr>
          <w:rStyle w:val="FootnoteReference"/>
        </w:rPr>
        <w:endnoteRef/>
      </w:r>
      <w:r w:rsidRPr="00011475">
        <w:t xml:space="preserve"> </w:t>
      </w:r>
      <w:r>
        <w:t xml:space="preserve">Blaising, ‘Extent and Varieties’, </w:t>
      </w:r>
      <w:r w:rsidRPr="00011475">
        <w:rPr>
          <w:i/>
        </w:rPr>
        <w:t>Progressive Dispensationalism</w:t>
      </w:r>
      <w:r>
        <w:t>, p. 53.</w:t>
      </w:r>
    </w:p>
  </w:endnote>
  <w:endnote w:id="1166">
    <w:p w:rsidR="00975183" w:rsidRPr="006E770C" w:rsidRDefault="00975183" w:rsidP="00442D33">
      <w:pPr>
        <w:pStyle w:val="EndnoteText"/>
      </w:pPr>
      <w:r w:rsidRPr="006E770C">
        <w:rPr>
          <w:rStyle w:val="EndnoteReference"/>
        </w:rPr>
        <w:endnoteRef/>
      </w:r>
      <w:r w:rsidRPr="006E770C">
        <w:t xml:space="preserve"> </w:t>
      </w:r>
      <w:r>
        <w:t xml:space="preserve">Ref. Gen. 12:3.  </w:t>
      </w:r>
      <w:proofErr w:type="gramStart"/>
      <w:r>
        <w:t>See below, 6.2.4.</w:t>
      </w:r>
      <w:proofErr w:type="gramEnd"/>
    </w:p>
  </w:endnote>
  <w:endnote w:id="1167">
    <w:p w:rsidR="00975183" w:rsidRPr="0017347B" w:rsidRDefault="00975183" w:rsidP="00442D33">
      <w:pPr>
        <w:pStyle w:val="EndnoteText"/>
      </w:pPr>
      <w:r w:rsidRPr="0017347B">
        <w:rPr>
          <w:rStyle w:val="EndnoteReference"/>
        </w:rPr>
        <w:endnoteRef/>
      </w:r>
      <w:r w:rsidRPr="0017347B">
        <w:t xml:space="preserve"> </w:t>
      </w:r>
      <w:r>
        <w:t>Gen. 15:12.</w:t>
      </w:r>
    </w:p>
  </w:endnote>
  <w:endnote w:id="1168">
    <w:p w:rsidR="00975183" w:rsidRDefault="00975183" w:rsidP="00442D33">
      <w:pPr>
        <w:pStyle w:val="EndnoteText"/>
      </w:pPr>
      <w:r w:rsidRPr="0017347B">
        <w:rPr>
          <w:rStyle w:val="EndnoteReference"/>
        </w:rPr>
        <w:endnoteRef/>
      </w:r>
      <w:r w:rsidRPr="0017347B">
        <w:t xml:space="preserve"> </w:t>
      </w:r>
      <w:r>
        <w:t>Gen. 15:17.</w:t>
      </w:r>
    </w:p>
  </w:endnote>
  <w:endnote w:id="1169">
    <w:p w:rsidR="00975183" w:rsidRPr="0017347B" w:rsidRDefault="00975183" w:rsidP="00442D33">
      <w:pPr>
        <w:pStyle w:val="EndnoteText"/>
      </w:pPr>
      <w:r w:rsidRPr="0017347B">
        <w:rPr>
          <w:rStyle w:val="EndnoteReference"/>
        </w:rPr>
        <w:endnoteRef/>
      </w:r>
      <w:r w:rsidRPr="0017347B">
        <w:t xml:space="preserve"> </w:t>
      </w:r>
      <w:r>
        <w:t xml:space="preserve">Bradshaw, </w:t>
      </w:r>
      <w:r w:rsidRPr="00AB7C77">
        <w:rPr>
          <w:sz w:val="22"/>
          <w:szCs w:val="22"/>
        </w:rPr>
        <w:t>‘Covenant and Covenants in the Bible’</w:t>
      </w:r>
      <w:r>
        <w:rPr>
          <w:sz w:val="22"/>
          <w:szCs w:val="22"/>
        </w:rPr>
        <w:t>, section 3.2.1, refs Gen, 17:1-4 [</w:t>
      </w:r>
      <w:r w:rsidRPr="00FE4A9B">
        <w:rPr>
          <w:i/>
          <w:sz w:val="22"/>
          <w:szCs w:val="22"/>
        </w:rPr>
        <w:t xml:space="preserve">these verses concern the ‘as for me, as for you clauses – </w:t>
      </w:r>
      <w:r w:rsidRPr="00B04418">
        <w:rPr>
          <w:i/>
          <w:sz w:val="22"/>
          <w:szCs w:val="22"/>
        </w:rPr>
        <w:t>see 5.4.4</w:t>
      </w:r>
      <w:r>
        <w:rPr>
          <w:sz w:val="22"/>
          <w:szCs w:val="22"/>
        </w:rPr>
        <w:t>]; 18:19 [</w:t>
      </w:r>
      <w:r w:rsidRPr="00FE4A9B">
        <w:rPr>
          <w:i/>
          <w:sz w:val="22"/>
          <w:szCs w:val="22"/>
        </w:rPr>
        <w:t>this verse includes the LORD’s command that Abraham and his family keep the way of the LORD ‘that the LORD may bring upon Abraham that which he hath spoken of him’</w:t>
      </w:r>
      <w:r>
        <w:rPr>
          <w:sz w:val="22"/>
          <w:szCs w:val="22"/>
        </w:rPr>
        <w:t>]; 22:2, 16-18 [</w:t>
      </w:r>
      <w:r w:rsidRPr="00FE4A9B">
        <w:rPr>
          <w:i/>
          <w:sz w:val="22"/>
          <w:szCs w:val="22"/>
        </w:rPr>
        <w:t>these verses concern the Aqedah</w:t>
      </w:r>
      <w:r>
        <w:rPr>
          <w:sz w:val="22"/>
          <w:szCs w:val="22"/>
        </w:rPr>
        <w:t>]; 26:4-5 [</w:t>
      </w:r>
      <w:r w:rsidRPr="00FE4A9B">
        <w:rPr>
          <w:i/>
          <w:sz w:val="22"/>
          <w:szCs w:val="22"/>
        </w:rPr>
        <w:t>these verses contain the affirmation that God will multiply Abraham’s seed and bring blessing to all nations because Abraham obeyed</w:t>
      </w:r>
      <w:r>
        <w:rPr>
          <w:sz w:val="22"/>
          <w:szCs w:val="22"/>
        </w:rPr>
        <w:t>].</w:t>
      </w:r>
    </w:p>
  </w:endnote>
  <w:endnote w:id="1170">
    <w:p w:rsidR="00975183" w:rsidRPr="003603E8" w:rsidRDefault="00975183" w:rsidP="00442D33">
      <w:pPr>
        <w:pStyle w:val="EndnoteText"/>
      </w:pPr>
      <w:r w:rsidRPr="003603E8">
        <w:rPr>
          <w:rStyle w:val="EndnoteReference"/>
        </w:rPr>
        <w:endnoteRef/>
      </w:r>
      <w:r w:rsidRPr="003603E8">
        <w:t xml:space="preserve"> </w:t>
      </w:r>
      <w:r w:rsidRPr="003603E8">
        <w:rPr>
          <w:i/>
        </w:rPr>
        <w:t>Hesed</w:t>
      </w:r>
      <w:r>
        <w:t xml:space="preserve"> means ‘loving-kindness’.</w:t>
      </w:r>
    </w:p>
  </w:endnote>
  <w:endnote w:id="1171">
    <w:p w:rsidR="00975183" w:rsidRPr="00E545AA" w:rsidRDefault="00975183" w:rsidP="00442D33">
      <w:pPr>
        <w:pStyle w:val="EndnoteText"/>
      </w:pPr>
      <w:r w:rsidRPr="00E545AA">
        <w:rPr>
          <w:rStyle w:val="EndnoteReference"/>
        </w:rPr>
        <w:endnoteRef/>
      </w:r>
      <w:r w:rsidRPr="00E545AA">
        <w:t xml:space="preserve"> Bradshaw, ‘Covenant and Covenants in the Bible’.</w:t>
      </w:r>
    </w:p>
  </w:endnote>
  <w:endnote w:id="1172">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 on Gen. 1:28, p. 5.</w:t>
      </w:r>
      <w:proofErr w:type="gramEnd"/>
      <w:r w:rsidRPr="001C0261">
        <w:t xml:space="preserve">  </w:t>
      </w:r>
      <w:proofErr w:type="gramStart"/>
      <w:r>
        <w:t>(</w:t>
      </w:r>
      <w:r w:rsidRPr="001C0261">
        <w:rPr>
          <w:i/>
        </w:rPr>
        <w:t>Scofield’s emphasis</w:t>
      </w:r>
      <w:r w:rsidRPr="001C0261">
        <w:t>.</w:t>
      </w:r>
      <w:r>
        <w:t>)</w:t>
      </w:r>
      <w:proofErr w:type="gramEnd"/>
    </w:p>
  </w:endnote>
  <w:endnote w:id="1173">
    <w:p w:rsidR="00975183" w:rsidRDefault="00975183" w:rsidP="00442D33">
      <w:pPr>
        <w:pStyle w:val="EndnoteText"/>
      </w:pPr>
      <w:r w:rsidRPr="007B4F6A">
        <w:rPr>
          <w:rStyle w:val="EndnoteReference"/>
        </w:rPr>
        <w:endnoteRef/>
      </w:r>
      <w:r w:rsidRPr="007B4F6A">
        <w:t xml:space="preserve"> </w:t>
      </w:r>
      <w:r w:rsidRPr="00442512">
        <w:t>Refs</w:t>
      </w:r>
      <w:r w:rsidRPr="00442512">
        <w:rPr>
          <w:sz w:val="22"/>
        </w:rPr>
        <w:t xml:space="preserve"> Lev. 5:2; 2 Kgs 4:27, Ps. 10:1.</w:t>
      </w:r>
    </w:p>
  </w:endnote>
  <w:endnote w:id="1174">
    <w:p w:rsidR="00975183" w:rsidRPr="00442512" w:rsidRDefault="00975183" w:rsidP="00442D33">
      <w:pPr>
        <w:pStyle w:val="EndnoteText"/>
      </w:pPr>
      <w:r w:rsidRPr="007B4F6A">
        <w:rPr>
          <w:rStyle w:val="EndnoteReference"/>
        </w:rPr>
        <w:endnoteRef/>
      </w:r>
      <w:r w:rsidRPr="007B4F6A">
        <w:t xml:space="preserve"> </w:t>
      </w:r>
      <w:r w:rsidRPr="00442512">
        <w:t>Refs</w:t>
      </w:r>
      <w:r w:rsidRPr="00442512">
        <w:rPr>
          <w:sz w:val="22"/>
        </w:rPr>
        <w:t xml:space="preserve"> Lev. 25:32; Josh. 24:2</w:t>
      </w:r>
      <w:r>
        <w:rPr>
          <w:sz w:val="22"/>
        </w:rPr>
        <w:t>.</w:t>
      </w:r>
    </w:p>
  </w:endnote>
  <w:endnote w:id="1175">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note on Gen. 21:33, p. 32.</w:t>
      </w:r>
      <w:proofErr w:type="gramEnd"/>
      <w:r w:rsidRPr="001C0261">
        <w:t xml:space="preserve">  </w:t>
      </w:r>
      <w:r w:rsidRPr="00580F8B">
        <w:rPr>
          <w:b/>
        </w:rPr>
        <w:t>See 3.2, Names of God Table</w:t>
      </w:r>
      <w:r w:rsidRPr="00580F8B">
        <w:t>.</w:t>
      </w:r>
    </w:p>
  </w:endnote>
  <w:endnote w:id="1176">
    <w:p w:rsidR="00975183" w:rsidRDefault="00975183" w:rsidP="00442D33">
      <w:pPr>
        <w:pStyle w:val="EndnoteText"/>
      </w:pPr>
      <w:r w:rsidRPr="00F46A6D">
        <w:rPr>
          <w:rStyle w:val="FootnoteReference"/>
        </w:rPr>
        <w:endnoteRef/>
      </w:r>
      <w:r w:rsidRPr="00F46A6D">
        <w:t xml:space="preserve"> </w:t>
      </w:r>
      <w:r w:rsidRPr="00F46A6D">
        <w:rPr>
          <w:i/>
        </w:rPr>
        <w:t>SRB 1909</w:t>
      </w:r>
      <w:r w:rsidRPr="00F46A6D">
        <w:t xml:space="preserve"> Introduction, </w:t>
      </w:r>
      <w:r>
        <w:t xml:space="preserve">shown in 1917 revised edition, </w:t>
      </w:r>
      <w:r w:rsidRPr="00F46A6D">
        <w:t>p. iii.</w:t>
      </w:r>
    </w:p>
  </w:endnote>
  <w:endnote w:id="1177">
    <w:p w:rsidR="00975183"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subhead to Gen. 1:28, p.5; </w:t>
      </w:r>
      <w:r w:rsidRPr="007B4F6A">
        <w:rPr>
          <w:i/>
        </w:rPr>
        <w:t>SRB</w:t>
      </w:r>
      <w:r w:rsidRPr="007B4F6A">
        <w:t xml:space="preserve"> notes on Gen. 3:23, p. 10; Gen. 8:21, p.16 ; Gen. 12:1, p. 20; </w:t>
      </w:r>
    </w:p>
    <w:p w:rsidR="00975183" w:rsidRPr="007B4F6A" w:rsidRDefault="00975183" w:rsidP="00442D33">
      <w:pPr>
        <w:pStyle w:val="EndnoteText"/>
      </w:pPr>
      <w:r w:rsidRPr="007B4F6A">
        <w:t>Exod. 19:8, p.94; Jn 1:17, p. 1115; Eph. 1:10, p. 1250.</w:t>
      </w:r>
    </w:p>
  </w:endnote>
  <w:endnote w:id="1178">
    <w:p w:rsidR="00975183" w:rsidRDefault="00975183" w:rsidP="00442D33">
      <w:pPr>
        <w:pStyle w:val="EndnoteText"/>
      </w:pPr>
      <w:r w:rsidRPr="007B4F6A">
        <w:rPr>
          <w:rStyle w:val="EndnoteReference"/>
        </w:rPr>
        <w:endnoteRef/>
      </w:r>
      <w:r w:rsidRPr="007B4F6A">
        <w:t xml:space="preserve"> </w:t>
      </w:r>
      <w:proofErr w:type="gramStart"/>
      <w:r w:rsidRPr="00B04418">
        <w:rPr>
          <w:b/>
        </w:rPr>
        <w:t>See 5.4.4 above</w:t>
      </w:r>
      <w:r>
        <w:t>.</w:t>
      </w:r>
      <w:proofErr w:type="gramEnd"/>
    </w:p>
  </w:endnote>
  <w:endnote w:id="1179">
    <w:p w:rsidR="00975183" w:rsidRDefault="00975183" w:rsidP="00442D33">
      <w:pPr>
        <w:pStyle w:val="EndnoteText"/>
      </w:pPr>
      <w:r w:rsidRPr="001C0261">
        <w:rPr>
          <w:rStyle w:val="FootnoteReference"/>
        </w:rPr>
        <w:endnoteRef/>
      </w:r>
      <w:r w:rsidRPr="001C0261">
        <w:t xml:space="preserve"> </w:t>
      </w:r>
      <w:r w:rsidRPr="001C0261">
        <w:rPr>
          <w:i/>
        </w:rPr>
        <w:t>SRB</w:t>
      </w:r>
      <w:r>
        <w:rPr>
          <w:i/>
        </w:rPr>
        <w:t xml:space="preserve"> </w:t>
      </w:r>
      <w:r>
        <w:t>note on Mt. 5:2, p. 1000.</w:t>
      </w:r>
    </w:p>
  </w:endnote>
  <w:endnote w:id="1180">
    <w:p w:rsidR="00975183" w:rsidRDefault="00975183" w:rsidP="00442D33">
      <w:pPr>
        <w:pStyle w:val="EndnoteText"/>
      </w:pPr>
      <w:r w:rsidRPr="007B4F6A">
        <w:rPr>
          <w:rStyle w:val="EndnoteReference"/>
        </w:rPr>
        <w:endnoteRef/>
      </w:r>
      <w:r w:rsidRPr="007B4F6A">
        <w:t xml:space="preserve"> </w:t>
      </w:r>
      <w:r>
        <w:t>Ref. Eph. 4:32.</w:t>
      </w:r>
    </w:p>
  </w:endnote>
  <w:endnote w:id="1181">
    <w:p w:rsidR="00975183" w:rsidRDefault="00975183" w:rsidP="00442D33">
      <w:pPr>
        <w:pStyle w:val="EndnoteText"/>
      </w:pPr>
      <w:r w:rsidRPr="007B4F6A">
        <w:rPr>
          <w:rStyle w:val="EndnoteReference"/>
        </w:rPr>
        <w:endnoteRef/>
      </w:r>
      <w:r w:rsidRPr="007B4F6A">
        <w:t xml:space="preserve"> </w:t>
      </w:r>
      <w:r w:rsidRPr="00580F8B">
        <w:rPr>
          <w:b/>
        </w:rPr>
        <w:t>See Chapter 8, part 1, especially 8.4.4, and 4.1</w:t>
      </w:r>
      <w:r>
        <w:t>.</w:t>
      </w:r>
    </w:p>
  </w:endnote>
  <w:endnote w:id="1182">
    <w:p w:rsidR="00975183" w:rsidRPr="00CB59B7" w:rsidRDefault="00975183" w:rsidP="00442D33">
      <w:pPr>
        <w:pStyle w:val="EndnoteText"/>
      </w:pPr>
      <w:r w:rsidRPr="00CB59B7">
        <w:rPr>
          <w:rStyle w:val="EndnoteReference"/>
        </w:rPr>
        <w:endnoteRef/>
      </w:r>
      <w:r w:rsidRPr="00CB59B7">
        <w:t xml:space="preserve"> </w:t>
      </w:r>
      <w:r>
        <w:t xml:space="preserve"> </w:t>
      </w:r>
      <w:r w:rsidRPr="00CB59B7">
        <w:rPr>
          <w:i/>
        </w:rPr>
        <w:t>SRB</w:t>
      </w:r>
      <w:r>
        <w:t xml:space="preserve"> Introduction to Genesis, p. 3.</w:t>
      </w:r>
    </w:p>
  </w:endnote>
  <w:endnote w:id="1183">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 on Gen. 1:28, p. 5.</w:t>
      </w:r>
      <w:proofErr w:type="gramEnd"/>
      <w:r>
        <w:t xml:space="preserve">  </w:t>
      </w:r>
      <w:r w:rsidRPr="00580F8B">
        <w:rPr>
          <w:b/>
        </w:rPr>
        <w:t>See above</w:t>
      </w:r>
      <w:r>
        <w:t>.</w:t>
      </w:r>
    </w:p>
  </w:endnote>
  <w:endnote w:id="1184">
    <w:p w:rsidR="00975183" w:rsidRPr="007D558F" w:rsidRDefault="00975183" w:rsidP="00442D33">
      <w:pPr>
        <w:pStyle w:val="EndnoteText"/>
      </w:pPr>
      <w:r w:rsidRPr="007D558F">
        <w:rPr>
          <w:rStyle w:val="EndnoteReference"/>
        </w:rPr>
        <w:endnoteRef/>
      </w:r>
      <w:r w:rsidRPr="007D558F">
        <w:t xml:space="preserve"> </w:t>
      </w:r>
      <w:r>
        <w:t xml:space="preserve">Note on Gen. 2:16, </w:t>
      </w:r>
      <w:r w:rsidRPr="007D558F">
        <w:rPr>
          <w:i/>
        </w:rPr>
        <w:t>NRSE 1967</w:t>
      </w:r>
      <w:r>
        <w:t xml:space="preserve">, p. 5; </w:t>
      </w:r>
      <w:r w:rsidRPr="007D558F">
        <w:rPr>
          <w:i/>
        </w:rPr>
        <w:t>SSB III, KJV, 2003</w:t>
      </w:r>
      <w:r>
        <w:t>, p. 6.</w:t>
      </w:r>
    </w:p>
  </w:endnote>
  <w:endnote w:id="1185">
    <w:p w:rsidR="00975183" w:rsidRDefault="00975183" w:rsidP="00442D33">
      <w:pPr>
        <w:pStyle w:val="EndnoteText"/>
      </w:pPr>
      <w:r w:rsidRPr="00453E60">
        <w:rPr>
          <w:rStyle w:val="EndnoteReference"/>
        </w:rPr>
        <w:endnoteRef/>
      </w:r>
      <w:r w:rsidRPr="00453E60">
        <w:t xml:space="preserve"> Charles</w:t>
      </w:r>
      <w:r>
        <w:t xml:space="preserve"> </w:t>
      </w:r>
      <w:r>
        <w:rPr>
          <w:sz w:val="22"/>
          <w:szCs w:val="22"/>
        </w:rPr>
        <w:t xml:space="preserve">Gilbert Weston, </w:t>
      </w:r>
      <w:r w:rsidRPr="00CC6C3C">
        <w:rPr>
          <w:sz w:val="22"/>
          <w:szCs w:val="22"/>
        </w:rPr>
        <w:t>‘Scofield Notes Answered’ in ‘Analyzing Scofield’ &lt;http://www.gospeltruth.net/scofield.htm&gt; [accessed 20.1.11].</w:t>
      </w:r>
    </w:p>
  </w:endnote>
  <w:endnote w:id="1186">
    <w:p w:rsidR="00975183" w:rsidRDefault="00975183" w:rsidP="00442D33">
      <w:pPr>
        <w:pStyle w:val="EndnoteText"/>
      </w:pPr>
      <w:r w:rsidRPr="00E545AA">
        <w:rPr>
          <w:rStyle w:val="EndnoteReference"/>
        </w:rPr>
        <w:endnoteRef/>
      </w:r>
      <w:r w:rsidRPr="00E545AA">
        <w:t xml:space="preserve"> C. R. Scofield, </w:t>
      </w:r>
      <w:r w:rsidRPr="00E545AA">
        <w:rPr>
          <w:i/>
        </w:rPr>
        <w:t>The Scofield Bible Correspondence Course, Vol. 1, Old Testament</w:t>
      </w:r>
      <w:r w:rsidRPr="00E545AA">
        <w:t xml:space="preserve"> (Chicago: Moody Bible Institute Correspondence Department, Fifteenth Edition, copyright by C. I. Scofield, 1907), p. 47.</w:t>
      </w:r>
    </w:p>
  </w:endnote>
  <w:endnote w:id="1187">
    <w:p w:rsidR="00975183" w:rsidRDefault="00975183" w:rsidP="00442D33">
      <w:pPr>
        <w:pStyle w:val="EndnoteText"/>
      </w:pPr>
      <w:r w:rsidRPr="00780DD9">
        <w:rPr>
          <w:rStyle w:val="EndnoteReference"/>
        </w:rPr>
        <w:endnoteRef/>
      </w:r>
      <w:r w:rsidRPr="00780DD9">
        <w:t xml:space="preserve"> </w:t>
      </w:r>
      <w:r w:rsidRPr="00013E80">
        <w:rPr>
          <w:sz w:val="22"/>
          <w:szCs w:val="22"/>
        </w:rPr>
        <w:t xml:space="preserve">Scofield, </w:t>
      </w:r>
      <w:r w:rsidRPr="00013E80">
        <w:rPr>
          <w:i/>
          <w:sz w:val="22"/>
          <w:szCs w:val="22"/>
        </w:rPr>
        <w:t>Bible Correspondence Course, Old Testament</w:t>
      </w:r>
      <w:r>
        <w:rPr>
          <w:sz w:val="22"/>
          <w:szCs w:val="22"/>
        </w:rPr>
        <w:t>, p. 50</w:t>
      </w:r>
      <w:r w:rsidRPr="00013E80">
        <w:rPr>
          <w:sz w:val="22"/>
          <w:szCs w:val="22"/>
        </w:rPr>
        <w:t>.</w:t>
      </w:r>
    </w:p>
  </w:endnote>
  <w:endnote w:id="1188">
    <w:p w:rsidR="00975183" w:rsidRDefault="00975183" w:rsidP="00442D33">
      <w:pPr>
        <w:pStyle w:val="EndnoteText"/>
      </w:pPr>
      <w:r w:rsidRPr="00780DD9">
        <w:rPr>
          <w:rStyle w:val="EndnoteReference"/>
        </w:rPr>
        <w:endnoteRef/>
      </w:r>
      <w:r w:rsidRPr="00780DD9">
        <w:t xml:space="preserve"> </w:t>
      </w:r>
      <w:r w:rsidRPr="00013E80">
        <w:rPr>
          <w:sz w:val="22"/>
          <w:szCs w:val="22"/>
        </w:rPr>
        <w:t xml:space="preserve">Scofield, </w:t>
      </w:r>
      <w:r w:rsidRPr="00013E80">
        <w:rPr>
          <w:i/>
          <w:sz w:val="22"/>
          <w:szCs w:val="22"/>
        </w:rPr>
        <w:t>Bible Correspondence Course, Old Testament</w:t>
      </w:r>
      <w:r>
        <w:rPr>
          <w:sz w:val="22"/>
          <w:szCs w:val="22"/>
        </w:rPr>
        <w:t>, p. 47</w:t>
      </w:r>
      <w:r w:rsidRPr="00013E80">
        <w:rPr>
          <w:sz w:val="22"/>
          <w:szCs w:val="22"/>
        </w:rPr>
        <w:t>.</w:t>
      </w:r>
    </w:p>
  </w:endnote>
  <w:endnote w:id="1189">
    <w:p w:rsidR="00975183" w:rsidRPr="007C4D5D" w:rsidRDefault="00975183" w:rsidP="00442D33">
      <w:pPr>
        <w:pStyle w:val="EndnoteText"/>
      </w:pPr>
      <w:r w:rsidRPr="00813A8B">
        <w:rPr>
          <w:rStyle w:val="EndnoteReference"/>
        </w:rPr>
        <w:endnoteRef/>
      </w:r>
      <w:r w:rsidRPr="00813A8B">
        <w:t xml:space="preserve"> </w:t>
      </w:r>
      <w:r w:rsidRPr="007C4D5D">
        <w:rPr>
          <w:b/>
        </w:rPr>
        <w:t xml:space="preserve">See Bradshaw in </w:t>
      </w:r>
      <w:r w:rsidRPr="007C4D5D">
        <w:rPr>
          <w:b/>
          <w:i/>
        </w:rPr>
        <w:t>Covenants</w:t>
      </w:r>
      <w:r w:rsidRPr="007C4D5D">
        <w:rPr>
          <w:b/>
        </w:rPr>
        <w:t>, above</w:t>
      </w:r>
      <w:r w:rsidRPr="007C4D5D">
        <w:t>.</w:t>
      </w:r>
    </w:p>
  </w:endnote>
  <w:endnote w:id="1190">
    <w:p w:rsidR="00975183" w:rsidRPr="00C80CB6" w:rsidRDefault="00975183" w:rsidP="00442D33">
      <w:pPr>
        <w:pStyle w:val="EndnoteText"/>
      </w:pPr>
      <w:r w:rsidRPr="00C80CB6">
        <w:rPr>
          <w:rStyle w:val="EndnoteReference"/>
        </w:rPr>
        <w:endnoteRef/>
      </w:r>
      <w:r w:rsidRPr="00C80CB6">
        <w:t xml:space="preserve"> </w:t>
      </w:r>
      <w:proofErr w:type="gramStart"/>
      <w:r>
        <w:t>For example, Gen. 6:18; 9:9, 11, 2, 15, 16, 17, 18.</w:t>
      </w:r>
      <w:proofErr w:type="gramEnd"/>
      <w:r>
        <w:t xml:space="preserve"> </w:t>
      </w:r>
    </w:p>
  </w:endnote>
  <w:endnote w:id="1191">
    <w:p w:rsidR="00975183" w:rsidRPr="00C80CB6" w:rsidRDefault="00975183" w:rsidP="00442D33">
      <w:pPr>
        <w:pStyle w:val="EndnoteText"/>
      </w:pPr>
      <w:r w:rsidRPr="00C80CB6">
        <w:rPr>
          <w:rStyle w:val="EndnoteReference"/>
        </w:rPr>
        <w:endnoteRef/>
      </w:r>
      <w:r w:rsidRPr="00C80CB6">
        <w:t xml:space="preserve"> </w:t>
      </w:r>
      <w:proofErr w:type="gramStart"/>
      <w:r>
        <w:t>For example, Exod. 19:5.</w:t>
      </w:r>
      <w:proofErr w:type="gramEnd"/>
    </w:p>
  </w:endnote>
  <w:endnote w:id="1192">
    <w:p w:rsidR="00975183" w:rsidRPr="00C80CB6" w:rsidRDefault="00975183" w:rsidP="00442D33">
      <w:pPr>
        <w:pStyle w:val="EndnoteText"/>
      </w:pPr>
      <w:r w:rsidRPr="00C80CB6">
        <w:rPr>
          <w:rStyle w:val="EndnoteReference"/>
        </w:rPr>
        <w:endnoteRef/>
      </w:r>
      <w:r w:rsidRPr="00C80CB6">
        <w:t xml:space="preserve"> </w:t>
      </w:r>
      <w:proofErr w:type="gramStart"/>
      <w:r>
        <w:t>For example, Exod. 23:32.</w:t>
      </w:r>
      <w:proofErr w:type="gramEnd"/>
    </w:p>
  </w:endnote>
  <w:endnote w:id="1193">
    <w:p w:rsidR="00975183" w:rsidRPr="004A4B11" w:rsidRDefault="00975183" w:rsidP="00442D33">
      <w:pPr>
        <w:pStyle w:val="EndnoteText"/>
      </w:pPr>
      <w:r w:rsidRPr="004A4B11">
        <w:rPr>
          <w:rStyle w:val="EndnoteReference"/>
        </w:rPr>
        <w:endnoteRef/>
      </w:r>
      <w:r w:rsidRPr="004A4B11">
        <w:t xml:space="preserve"> </w:t>
      </w:r>
      <w:proofErr w:type="gramStart"/>
      <w:r>
        <w:t>Adamic, Noahic, Abrahamic.</w:t>
      </w:r>
      <w:proofErr w:type="gramEnd"/>
      <w:r>
        <w:t xml:space="preserve"> Mosaic, Deuteronomic, Davidic and New Covenants, </w:t>
      </w:r>
      <w:r w:rsidRPr="00E545AA">
        <w:rPr>
          <w:i/>
        </w:rPr>
        <w:t>Bible Correspondence Course, Old Testament</w:t>
      </w:r>
      <w:r w:rsidRPr="00E545AA">
        <w:t>, p</w:t>
      </w:r>
      <w:r>
        <w:t>p</w:t>
      </w:r>
      <w:r w:rsidRPr="00E545AA">
        <w:t>. 47</w:t>
      </w:r>
      <w:r>
        <w:t xml:space="preserve">-50.  </w:t>
      </w:r>
    </w:p>
  </w:endnote>
  <w:endnote w:id="1194">
    <w:p w:rsidR="00975183" w:rsidRPr="00E545AA" w:rsidRDefault="00975183" w:rsidP="00442D33">
      <w:pPr>
        <w:pStyle w:val="EndnoteText"/>
      </w:pPr>
      <w:r w:rsidRPr="00E545AA">
        <w:rPr>
          <w:rStyle w:val="EndnoteReference"/>
        </w:rPr>
        <w:endnoteRef/>
      </w:r>
      <w:r w:rsidRPr="00E545AA">
        <w:t xml:space="preserve"> Scofield, </w:t>
      </w:r>
      <w:r w:rsidRPr="00E545AA">
        <w:rPr>
          <w:i/>
        </w:rPr>
        <w:t>Bible Correspondence Course, Old Testament</w:t>
      </w:r>
      <w:r w:rsidRPr="00E545AA">
        <w:t>, p. 47.</w:t>
      </w:r>
    </w:p>
  </w:endnote>
  <w:endnote w:id="1195">
    <w:p w:rsidR="00975183" w:rsidRPr="00467318" w:rsidRDefault="00975183" w:rsidP="00442D33">
      <w:pPr>
        <w:pStyle w:val="EndnoteText"/>
      </w:pPr>
      <w:r w:rsidRPr="00467318">
        <w:rPr>
          <w:rStyle w:val="EndnoteReference"/>
        </w:rPr>
        <w:endnoteRef/>
      </w:r>
      <w:r w:rsidRPr="00467318">
        <w:t xml:space="preserve"> </w:t>
      </w:r>
      <w:r w:rsidRPr="001C0261">
        <w:rPr>
          <w:i/>
        </w:rPr>
        <w:t>SRB</w:t>
      </w:r>
      <w:r w:rsidRPr="001C0261">
        <w:t xml:space="preserve"> note on</w:t>
      </w:r>
      <w:r>
        <w:t xml:space="preserve"> Exod. 19:25, p. 95.  </w:t>
      </w:r>
      <w:proofErr w:type="gramStart"/>
      <w:r>
        <w:t>(</w:t>
      </w:r>
      <w:r w:rsidRPr="00467318">
        <w:rPr>
          <w:i/>
        </w:rPr>
        <w:t>My emphasis</w:t>
      </w:r>
      <w:r>
        <w:t>.)</w:t>
      </w:r>
      <w:proofErr w:type="gramEnd"/>
    </w:p>
  </w:endnote>
  <w:endnote w:id="1196">
    <w:p w:rsidR="00975183" w:rsidRDefault="00975183" w:rsidP="00442D33">
      <w:pPr>
        <w:pStyle w:val="EndnoteText"/>
      </w:pPr>
      <w:r w:rsidRPr="00467318">
        <w:rPr>
          <w:rStyle w:val="EndnoteReference"/>
        </w:rPr>
        <w:endnoteRef/>
      </w:r>
      <w:r w:rsidRPr="00467318">
        <w:t xml:space="preserve"> </w:t>
      </w:r>
      <w:r w:rsidRPr="001C0261">
        <w:rPr>
          <w:i/>
        </w:rPr>
        <w:t>SRB</w:t>
      </w:r>
      <w:r w:rsidRPr="001C0261">
        <w:t xml:space="preserve"> </w:t>
      </w:r>
      <w:r>
        <w:t xml:space="preserve">Introduction to Deuteronomy, p. 216.  </w:t>
      </w:r>
    </w:p>
  </w:endnote>
  <w:endnote w:id="1197">
    <w:p w:rsidR="00975183" w:rsidRPr="000D2DC9" w:rsidRDefault="00975183" w:rsidP="00442D33">
      <w:pPr>
        <w:pStyle w:val="EndnoteText"/>
      </w:pPr>
      <w:r w:rsidRPr="000D2DC9">
        <w:rPr>
          <w:rStyle w:val="EndnoteReference"/>
        </w:rPr>
        <w:endnoteRef/>
      </w:r>
      <w:r w:rsidRPr="000D2DC9">
        <w:t xml:space="preserve"> </w:t>
      </w:r>
      <w:r>
        <w:t xml:space="preserve">Deut. 29:1, </w:t>
      </w:r>
      <w:r w:rsidRPr="000D2DC9">
        <w:rPr>
          <w:i/>
        </w:rPr>
        <w:t>KJV</w:t>
      </w:r>
      <w:r>
        <w:t>.</w:t>
      </w:r>
    </w:p>
  </w:endnote>
  <w:endnote w:id="1198">
    <w:p w:rsidR="00975183" w:rsidRPr="00B04418" w:rsidRDefault="00975183" w:rsidP="00442D33">
      <w:pPr>
        <w:pStyle w:val="EndnoteText"/>
      </w:pPr>
      <w:r w:rsidRPr="00B04418">
        <w:rPr>
          <w:rStyle w:val="EndnoteReference"/>
        </w:rPr>
        <w:endnoteRef/>
      </w:r>
      <w:r w:rsidRPr="00B04418">
        <w:t xml:space="preserve"> </w:t>
      </w:r>
      <w:proofErr w:type="gramStart"/>
      <w:r w:rsidRPr="00B04418">
        <w:rPr>
          <w:b/>
        </w:rPr>
        <w:t>See 5.5.1 below</w:t>
      </w:r>
      <w:r w:rsidRPr="00B04418">
        <w:t>.</w:t>
      </w:r>
      <w:proofErr w:type="gramEnd"/>
    </w:p>
  </w:endnote>
  <w:endnote w:id="1199">
    <w:p w:rsidR="00975183" w:rsidRPr="00B04418" w:rsidRDefault="00975183" w:rsidP="00442D33">
      <w:pPr>
        <w:pStyle w:val="EndnoteText"/>
      </w:pPr>
      <w:r w:rsidRPr="00B04418">
        <w:rPr>
          <w:rStyle w:val="EndnoteReference"/>
        </w:rPr>
        <w:endnoteRef/>
      </w:r>
      <w:r w:rsidRPr="00B04418">
        <w:t xml:space="preserve"> Chafer, </w:t>
      </w:r>
      <w:r w:rsidRPr="00B04418">
        <w:rPr>
          <w:i/>
        </w:rPr>
        <w:t>Major Bible Themes</w:t>
      </w:r>
      <w:r w:rsidRPr="00B04418">
        <w:t>, p. 107.</w:t>
      </w:r>
    </w:p>
  </w:endnote>
  <w:endnote w:id="1200">
    <w:p w:rsidR="00975183" w:rsidRPr="00B04418" w:rsidRDefault="00975183" w:rsidP="00442D33">
      <w:pPr>
        <w:pStyle w:val="EndnoteText"/>
      </w:pPr>
      <w:r w:rsidRPr="00B04418">
        <w:rPr>
          <w:rStyle w:val="EndnoteReference"/>
        </w:rPr>
        <w:endnoteRef/>
      </w:r>
      <w:r w:rsidRPr="00B04418">
        <w:t xml:space="preserve"> Bradshaw, ‘Covenant and Covenants in the Bible’.</w:t>
      </w:r>
    </w:p>
  </w:endnote>
  <w:endnote w:id="1201">
    <w:p w:rsidR="00975183" w:rsidRPr="00B04418" w:rsidRDefault="00975183" w:rsidP="00442D33">
      <w:pPr>
        <w:pStyle w:val="EndnoteText"/>
      </w:pPr>
      <w:r w:rsidRPr="00B04418">
        <w:rPr>
          <w:rStyle w:val="EndnoteReference"/>
        </w:rPr>
        <w:endnoteRef/>
      </w:r>
      <w:r w:rsidRPr="00B04418">
        <w:t xml:space="preserve"> </w:t>
      </w:r>
      <w:r w:rsidRPr="00B04418">
        <w:rPr>
          <w:b/>
        </w:rPr>
        <w:t>See above</w:t>
      </w:r>
      <w:r w:rsidRPr="00B04418">
        <w:t>.</w:t>
      </w:r>
    </w:p>
  </w:endnote>
  <w:endnote w:id="1202">
    <w:p w:rsidR="00975183" w:rsidRPr="00B04418" w:rsidRDefault="00975183" w:rsidP="00442D33">
      <w:pPr>
        <w:pStyle w:val="EndnoteText"/>
      </w:pPr>
      <w:r w:rsidRPr="00B04418">
        <w:rPr>
          <w:rStyle w:val="EndnoteReference"/>
        </w:rPr>
        <w:endnoteRef/>
      </w:r>
      <w:r w:rsidRPr="00B04418">
        <w:t xml:space="preserve"> </w:t>
      </w:r>
      <w:proofErr w:type="gramStart"/>
      <w:r w:rsidRPr="00B04418">
        <w:rPr>
          <w:i/>
        </w:rPr>
        <w:t>SRB</w:t>
      </w:r>
      <w:r w:rsidRPr="00B04418">
        <w:t xml:space="preserve"> subhead to Rev. 20:1, p. 1349.</w:t>
      </w:r>
      <w:proofErr w:type="gramEnd"/>
      <w:r w:rsidRPr="00B04418">
        <w:t xml:space="preserve">  </w:t>
      </w:r>
    </w:p>
  </w:endnote>
  <w:endnote w:id="1203">
    <w:p w:rsidR="00975183" w:rsidRPr="00B04418" w:rsidRDefault="00975183" w:rsidP="00442D33">
      <w:pPr>
        <w:pStyle w:val="EndnoteText"/>
      </w:pPr>
      <w:r w:rsidRPr="00B04418">
        <w:rPr>
          <w:rStyle w:val="EndnoteReference"/>
        </w:rPr>
        <w:endnoteRef/>
      </w:r>
      <w:r w:rsidRPr="00B04418">
        <w:t xml:space="preserve"> </w:t>
      </w:r>
      <w:proofErr w:type="gramStart"/>
      <w:r w:rsidRPr="00B04418">
        <w:rPr>
          <w:b/>
        </w:rPr>
        <w:t>See 5.4.4</w:t>
      </w:r>
      <w:r w:rsidRPr="00B04418">
        <w:t>.</w:t>
      </w:r>
      <w:proofErr w:type="gramEnd"/>
    </w:p>
  </w:endnote>
  <w:endnote w:id="1204">
    <w:p w:rsidR="00975183" w:rsidRPr="00B04418" w:rsidRDefault="00975183" w:rsidP="00442D33">
      <w:pPr>
        <w:pStyle w:val="EndnoteText"/>
      </w:pPr>
      <w:r w:rsidRPr="00B04418">
        <w:rPr>
          <w:rStyle w:val="EndnoteReference"/>
        </w:rPr>
        <w:endnoteRef/>
      </w:r>
      <w:r w:rsidRPr="00B04418">
        <w:t xml:space="preserve"> </w:t>
      </w:r>
      <w:proofErr w:type="gramStart"/>
      <w:r w:rsidRPr="00B04418">
        <w:rPr>
          <w:b/>
        </w:rPr>
        <w:t>See 5.5.1</w:t>
      </w:r>
      <w:r w:rsidRPr="00B04418">
        <w:t>.</w:t>
      </w:r>
      <w:proofErr w:type="gramEnd"/>
      <w:r w:rsidRPr="00B04418">
        <w:t xml:space="preserve"> </w:t>
      </w:r>
      <w:r w:rsidRPr="00B04418">
        <w:rPr>
          <w:b/>
        </w:rPr>
        <w:t xml:space="preserve"> </w:t>
      </w:r>
    </w:p>
  </w:endnote>
  <w:endnote w:id="1205">
    <w:p w:rsidR="00975183" w:rsidRPr="00B04418" w:rsidRDefault="00975183" w:rsidP="00442D33">
      <w:pPr>
        <w:pStyle w:val="EndnoteText"/>
        <w:tabs>
          <w:tab w:val="left" w:pos="2745"/>
        </w:tabs>
      </w:pPr>
      <w:r w:rsidRPr="00B04418">
        <w:rPr>
          <w:rStyle w:val="EndnoteReference"/>
        </w:rPr>
        <w:endnoteRef/>
      </w:r>
      <w:r w:rsidRPr="00B04418">
        <w:t xml:space="preserve"> </w:t>
      </w:r>
      <w:proofErr w:type="gramStart"/>
      <w:r w:rsidRPr="00B04418">
        <w:rPr>
          <w:b/>
        </w:rPr>
        <w:t>See 5.5.2</w:t>
      </w:r>
      <w:r w:rsidRPr="00B04418">
        <w:t>.</w:t>
      </w:r>
      <w:proofErr w:type="gramEnd"/>
    </w:p>
  </w:endnote>
  <w:endnote w:id="1206">
    <w:p w:rsidR="00975183" w:rsidRPr="00B04418" w:rsidRDefault="00975183" w:rsidP="00442D33">
      <w:pPr>
        <w:pStyle w:val="EndnoteText"/>
      </w:pPr>
      <w:r w:rsidRPr="00B04418">
        <w:rPr>
          <w:rStyle w:val="EndnoteReference"/>
        </w:rPr>
        <w:endnoteRef/>
      </w:r>
      <w:r w:rsidRPr="00B04418">
        <w:t xml:space="preserve"> </w:t>
      </w:r>
      <w:proofErr w:type="gramStart"/>
      <w:r w:rsidRPr="00B04418">
        <w:rPr>
          <w:b/>
        </w:rPr>
        <w:t>See 5.4.5</w:t>
      </w:r>
      <w:r w:rsidRPr="00B04418">
        <w:t>.</w:t>
      </w:r>
      <w:proofErr w:type="gramEnd"/>
    </w:p>
  </w:endnote>
  <w:endnote w:id="1207">
    <w:p w:rsidR="00975183" w:rsidRPr="00B04418" w:rsidRDefault="00975183" w:rsidP="00442D33">
      <w:pPr>
        <w:pStyle w:val="EndnoteText"/>
      </w:pPr>
      <w:r w:rsidRPr="00B04418">
        <w:rPr>
          <w:rStyle w:val="EndnoteReference"/>
        </w:rPr>
        <w:endnoteRef/>
      </w:r>
      <w:r w:rsidRPr="00B04418">
        <w:t xml:space="preserve"> </w:t>
      </w:r>
      <w:r w:rsidRPr="00B04418">
        <w:rPr>
          <w:i/>
        </w:rPr>
        <w:t>SRB</w:t>
      </w:r>
      <w:r w:rsidRPr="00B04418">
        <w:t xml:space="preserve"> subhead to Heb. 9:25, p. 1299, and two notes on Heb. 8:8, pp. 1297-8.  </w:t>
      </w:r>
      <w:proofErr w:type="gramStart"/>
      <w:r w:rsidRPr="00B04418">
        <w:t>S</w:t>
      </w:r>
      <w:r w:rsidRPr="00B04418">
        <w:rPr>
          <w:b/>
        </w:rPr>
        <w:t>ee 5.5.3</w:t>
      </w:r>
      <w:r w:rsidRPr="00B04418">
        <w:t>.</w:t>
      </w:r>
      <w:proofErr w:type="gramEnd"/>
      <w:r w:rsidRPr="00B04418">
        <w:t xml:space="preserve">  A summary of the eight covenants is given in the second note on Heb. 8:8.  </w:t>
      </w:r>
      <w:proofErr w:type="gramStart"/>
      <w:r w:rsidRPr="00B04418">
        <w:rPr>
          <w:b/>
        </w:rPr>
        <w:t>See 8.8.1</w:t>
      </w:r>
      <w:r w:rsidRPr="00B04418">
        <w:t>.</w:t>
      </w:r>
      <w:proofErr w:type="gramEnd"/>
      <w:r w:rsidRPr="00B04418">
        <w:rPr>
          <w:b/>
        </w:rPr>
        <w:t xml:space="preserve">  </w:t>
      </w:r>
    </w:p>
  </w:endnote>
  <w:endnote w:id="1208">
    <w:p w:rsidR="00975183" w:rsidRPr="00B04418" w:rsidRDefault="00975183" w:rsidP="00442D33">
      <w:pPr>
        <w:pStyle w:val="EndnoteText"/>
      </w:pPr>
      <w:r w:rsidRPr="00B04418">
        <w:rPr>
          <w:rStyle w:val="EndnoteReference"/>
        </w:rPr>
        <w:endnoteRef/>
      </w:r>
      <w:r w:rsidRPr="00B04418">
        <w:t xml:space="preserve"> Refs </w:t>
      </w:r>
      <w:r w:rsidRPr="00B04418">
        <w:rPr>
          <w:sz w:val="22"/>
        </w:rPr>
        <w:t>Jer. 31:31-40; “Kingdom O.T.” and 2 Sam. 7:8-17.</w:t>
      </w:r>
    </w:p>
  </w:endnote>
  <w:endnote w:id="1209">
    <w:p w:rsidR="00975183" w:rsidRPr="00B04418" w:rsidRDefault="00975183" w:rsidP="00442D33">
      <w:pPr>
        <w:pStyle w:val="EndnoteText"/>
      </w:pPr>
      <w:r w:rsidRPr="00B04418">
        <w:rPr>
          <w:rStyle w:val="EndnoteReference"/>
        </w:rPr>
        <w:endnoteRef/>
      </w:r>
      <w:r w:rsidRPr="00B04418">
        <w:t xml:space="preserve"> Ref. </w:t>
      </w:r>
      <w:r w:rsidRPr="00B04418">
        <w:rPr>
          <w:sz w:val="22"/>
        </w:rPr>
        <w:t>Deuteronomy 28 – 30:3 note.</w:t>
      </w:r>
    </w:p>
  </w:endnote>
  <w:endnote w:id="1210">
    <w:p w:rsidR="00975183" w:rsidRPr="00B04418" w:rsidRDefault="00975183" w:rsidP="00442D33">
      <w:pPr>
        <w:pStyle w:val="EndnoteText"/>
      </w:pPr>
      <w:r w:rsidRPr="00B04418">
        <w:rPr>
          <w:rStyle w:val="FootnoteReference"/>
        </w:rPr>
        <w:endnoteRef/>
      </w:r>
      <w:r w:rsidRPr="00B04418">
        <w:t xml:space="preserve"> </w:t>
      </w:r>
      <w:r w:rsidRPr="00B04418">
        <w:rPr>
          <w:i/>
        </w:rPr>
        <w:t>SRB</w:t>
      </w:r>
      <w:r w:rsidRPr="00B04418">
        <w:t xml:space="preserve"> notes on Heb. 8:8, p. 1297.  </w:t>
      </w:r>
      <w:proofErr w:type="gramStart"/>
      <w:r w:rsidRPr="00B04418">
        <w:rPr>
          <w:b/>
        </w:rPr>
        <w:t>See 5.5.1 and 5.5.3</w:t>
      </w:r>
      <w:r w:rsidRPr="00B04418">
        <w:t>.</w:t>
      </w:r>
      <w:proofErr w:type="gramEnd"/>
    </w:p>
  </w:endnote>
  <w:endnote w:id="1211">
    <w:p w:rsidR="00975183" w:rsidRPr="007B4F6A" w:rsidRDefault="00975183" w:rsidP="00442D33">
      <w:pPr>
        <w:pStyle w:val="EndnoteText"/>
      </w:pPr>
      <w:r w:rsidRPr="007B4F6A">
        <w:rPr>
          <w:rStyle w:val="EndnoteReference"/>
        </w:rPr>
        <w:endnoteRef/>
      </w:r>
      <w:r w:rsidRPr="007B4F6A">
        <w:t xml:space="preserve"> Keith A. Mathison, </w:t>
      </w:r>
      <w:r w:rsidRPr="007B4F6A">
        <w:rPr>
          <w:i/>
        </w:rPr>
        <w:t xml:space="preserve">Postmillennialism: </w:t>
      </w:r>
      <w:proofErr w:type="gramStart"/>
      <w:r w:rsidRPr="007B4F6A">
        <w:rPr>
          <w:i/>
        </w:rPr>
        <w:t>An Eschatology</w:t>
      </w:r>
      <w:proofErr w:type="gramEnd"/>
      <w:r w:rsidRPr="007B4F6A">
        <w:rPr>
          <w:i/>
        </w:rPr>
        <w:t xml:space="preserve"> of Hope</w:t>
      </w:r>
      <w:r w:rsidRPr="007B4F6A">
        <w:t xml:space="preserve"> (Phillipsburg, New Jersey: P&amp;R Publishing Company, 1999), p. 13.</w:t>
      </w:r>
    </w:p>
  </w:endnote>
  <w:endnote w:id="1212">
    <w:p w:rsidR="00975183" w:rsidRPr="007B4F6A" w:rsidRDefault="00975183" w:rsidP="00442D33">
      <w:pPr>
        <w:pStyle w:val="EndnoteText"/>
      </w:pPr>
      <w:r w:rsidRPr="007B4F6A">
        <w:rPr>
          <w:rStyle w:val="EndnoteReference"/>
        </w:rPr>
        <w:endnoteRef/>
      </w:r>
      <w:r w:rsidRPr="007B4F6A">
        <w:t xml:space="preserve"> Sweetnam, ‘The Impact of the </w:t>
      </w:r>
      <w:r w:rsidRPr="007B4F6A">
        <w:rPr>
          <w:i/>
        </w:rPr>
        <w:t>Scofield Reference Bible</w:t>
      </w:r>
      <w:r w:rsidRPr="007B4F6A">
        <w:t xml:space="preserve"> on British Premillennialism,’ in Mangum and Sweetnam, </w:t>
      </w:r>
      <w:r w:rsidRPr="007B4F6A">
        <w:rPr>
          <w:i/>
          <w:color w:val="000000"/>
        </w:rPr>
        <w:t>History and Impact</w:t>
      </w:r>
      <w:r w:rsidRPr="007B4F6A">
        <w:rPr>
          <w:color w:val="000000"/>
        </w:rPr>
        <w:t>, p. 166.</w:t>
      </w:r>
    </w:p>
  </w:endnote>
  <w:endnote w:id="1213">
    <w:p w:rsidR="00975183" w:rsidRDefault="00975183" w:rsidP="00442D33">
      <w:pPr>
        <w:pStyle w:val="EndnoteText"/>
      </w:pPr>
      <w:r w:rsidRPr="001C0261">
        <w:rPr>
          <w:rStyle w:val="FootnoteReference"/>
        </w:rPr>
        <w:endnoteRef/>
      </w:r>
      <w:r w:rsidRPr="001C0261">
        <w:t xml:space="preserve"> </w:t>
      </w:r>
      <w:r w:rsidRPr="001C0261">
        <w:rPr>
          <w:i/>
        </w:rPr>
        <w:t xml:space="preserve">SRB </w:t>
      </w:r>
      <w:r>
        <w:t>I</w:t>
      </w:r>
      <w:r w:rsidRPr="001C0261">
        <w:t>ntroduction to Romans, p. 1191and subhead to Rom. 9:1, p. 1202</w:t>
      </w:r>
      <w:r w:rsidRPr="00FD1230">
        <w:rPr>
          <w:b/>
          <w:color w:val="FF0000"/>
        </w:rPr>
        <w:t>.</w:t>
      </w:r>
    </w:p>
  </w:endnote>
  <w:endnote w:id="1214">
    <w:p w:rsidR="00975183" w:rsidRPr="00E63C10" w:rsidRDefault="00975183" w:rsidP="00442D33">
      <w:pPr>
        <w:pStyle w:val="EndnoteText"/>
      </w:pPr>
      <w:r w:rsidRPr="00E63C10">
        <w:rPr>
          <w:rStyle w:val="EndnoteReference"/>
        </w:rPr>
        <w:endnoteRef/>
      </w:r>
      <w:r w:rsidRPr="00E63C10">
        <w:t xml:space="preserve"> Blaising</w:t>
      </w:r>
      <w:r>
        <w:t xml:space="preserve">, ‘Dispensations in Biblical Theology’, </w:t>
      </w:r>
      <w:r w:rsidRPr="00E63C10">
        <w:rPr>
          <w:i/>
        </w:rPr>
        <w:t>Progressive Dispensationalism</w:t>
      </w:r>
      <w:r>
        <w:t>, pp. 118-19.</w:t>
      </w:r>
    </w:p>
  </w:endnote>
  <w:endnote w:id="1215">
    <w:p w:rsidR="00975183" w:rsidRPr="007A44E7" w:rsidRDefault="00975183" w:rsidP="00442D33">
      <w:pPr>
        <w:pStyle w:val="EndnoteText"/>
      </w:pPr>
      <w:r w:rsidRPr="007A44E7">
        <w:rPr>
          <w:rStyle w:val="EndnoteReference"/>
        </w:rPr>
        <w:endnoteRef/>
      </w:r>
      <w:r w:rsidRPr="007A44E7">
        <w:t xml:space="preserve"> </w:t>
      </w:r>
      <w:r>
        <w:t>Grotius: 1583-1645.</w:t>
      </w:r>
    </w:p>
  </w:endnote>
  <w:endnote w:id="1216">
    <w:p w:rsidR="00975183" w:rsidRPr="007A44E7" w:rsidRDefault="00975183" w:rsidP="00442D33">
      <w:pPr>
        <w:pStyle w:val="EndnoteText"/>
      </w:pPr>
      <w:r w:rsidRPr="007A44E7">
        <w:rPr>
          <w:rStyle w:val="EndnoteReference"/>
        </w:rPr>
        <w:endnoteRef/>
      </w:r>
      <w:r w:rsidRPr="007A44E7">
        <w:t xml:space="preserve"> Fairbairn</w:t>
      </w:r>
      <w:r>
        <w:t xml:space="preserve">: </w:t>
      </w:r>
      <w:r w:rsidRPr="007A44E7">
        <w:t>1805-74</w:t>
      </w:r>
      <w:r>
        <w:t>.</w:t>
      </w:r>
    </w:p>
  </w:endnote>
  <w:endnote w:id="1217">
    <w:p w:rsidR="00975183" w:rsidRPr="00946700" w:rsidRDefault="00975183" w:rsidP="00442D33">
      <w:pPr>
        <w:pStyle w:val="EndnoteText"/>
      </w:pPr>
      <w:r w:rsidRPr="00946700">
        <w:rPr>
          <w:rStyle w:val="EndnoteReference"/>
        </w:rPr>
        <w:endnoteRef/>
      </w:r>
      <w:r w:rsidRPr="00946700">
        <w:t xml:space="preserve"> </w:t>
      </w:r>
      <w:r>
        <w:t>Johannes Cocceius, 1603-69.</w:t>
      </w:r>
    </w:p>
  </w:endnote>
  <w:endnote w:id="1218">
    <w:p w:rsidR="00975183" w:rsidRPr="00946700" w:rsidRDefault="00975183" w:rsidP="00442D33">
      <w:pPr>
        <w:pStyle w:val="EndnoteText"/>
      </w:pPr>
      <w:r w:rsidRPr="00946700">
        <w:rPr>
          <w:rStyle w:val="EndnoteReference"/>
        </w:rPr>
        <w:endnoteRef/>
      </w:r>
      <w:r w:rsidRPr="00946700">
        <w:t xml:space="preserve"> </w:t>
      </w:r>
      <w:r>
        <w:t>Francis Turretin, 1623-87.</w:t>
      </w:r>
    </w:p>
  </w:endnote>
  <w:endnote w:id="1219">
    <w:p w:rsidR="00975183" w:rsidRPr="00946700" w:rsidRDefault="00975183" w:rsidP="00442D33">
      <w:pPr>
        <w:pStyle w:val="EndnoteText"/>
      </w:pPr>
      <w:r w:rsidRPr="00946700">
        <w:rPr>
          <w:rStyle w:val="EndnoteReference"/>
        </w:rPr>
        <w:endnoteRef/>
      </w:r>
      <w:r w:rsidRPr="00946700">
        <w:t xml:space="preserve"> Peter Poiret, 1646-1719.</w:t>
      </w:r>
    </w:p>
  </w:endnote>
  <w:endnote w:id="1220">
    <w:p w:rsidR="00975183" w:rsidRPr="00946700" w:rsidRDefault="00975183" w:rsidP="00442D33">
      <w:pPr>
        <w:pStyle w:val="EndnoteText"/>
      </w:pPr>
      <w:r w:rsidRPr="00946700">
        <w:rPr>
          <w:rStyle w:val="EndnoteReference"/>
        </w:rPr>
        <w:endnoteRef/>
      </w:r>
      <w:r w:rsidRPr="00946700">
        <w:t xml:space="preserve"> John Fletcher, 1729-85.</w:t>
      </w:r>
    </w:p>
  </w:endnote>
  <w:endnote w:id="1221">
    <w:p w:rsidR="00975183" w:rsidRPr="00946700" w:rsidRDefault="00975183" w:rsidP="00442D33">
      <w:pPr>
        <w:pStyle w:val="EndnoteText"/>
      </w:pPr>
      <w:r w:rsidRPr="00946700">
        <w:rPr>
          <w:rStyle w:val="EndnoteReference"/>
        </w:rPr>
        <w:endnoteRef/>
      </w:r>
      <w:r w:rsidRPr="00946700">
        <w:t xml:space="preserve"> </w:t>
      </w:r>
      <w:r>
        <w:t>John Cumming, 1810-81.</w:t>
      </w:r>
    </w:p>
  </w:endnote>
  <w:endnote w:id="1222">
    <w:p w:rsidR="00975183" w:rsidRPr="00E63C10" w:rsidRDefault="00975183" w:rsidP="00442D33">
      <w:pPr>
        <w:pStyle w:val="EndnoteText"/>
      </w:pPr>
      <w:r w:rsidRPr="00E63C10">
        <w:rPr>
          <w:rStyle w:val="EndnoteReference"/>
        </w:rPr>
        <w:endnoteRef/>
      </w:r>
      <w:r w:rsidRPr="00E63C10">
        <w:t xml:space="preserve"> Blaising</w:t>
      </w:r>
      <w:r>
        <w:t xml:space="preserve">, ‘Dispensations in Biblical Theology’, </w:t>
      </w:r>
      <w:r w:rsidRPr="00E63C10">
        <w:rPr>
          <w:i/>
        </w:rPr>
        <w:t>Progressive Dispensationalism</w:t>
      </w:r>
      <w:r>
        <w:t>, pp. 118-19.</w:t>
      </w:r>
    </w:p>
  </w:endnote>
  <w:endnote w:id="1223">
    <w:p w:rsidR="00975183" w:rsidRPr="002300C7" w:rsidRDefault="00975183" w:rsidP="00442D33">
      <w:pPr>
        <w:pStyle w:val="EndnoteText"/>
      </w:pPr>
      <w:r w:rsidRPr="002300C7">
        <w:rPr>
          <w:rStyle w:val="EndnoteReference"/>
        </w:rPr>
        <w:endnoteRef/>
      </w:r>
      <w:r w:rsidRPr="002300C7">
        <w:t xml:space="preserve"> </w:t>
      </w:r>
      <w:r>
        <w:t xml:space="preserve">Crutchfield, </w:t>
      </w:r>
      <w:r w:rsidRPr="002300C7">
        <w:rPr>
          <w:i/>
        </w:rPr>
        <w:t>Origins</w:t>
      </w:r>
      <w:r>
        <w:t>, p. 67.</w:t>
      </w:r>
    </w:p>
  </w:endnote>
  <w:endnote w:id="1224">
    <w:p w:rsidR="00975183" w:rsidRDefault="00975183" w:rsidP="00442D33">
      <w:pPr>
        <w:pStyle w:val="EndnoteText"/>
      </w:pPr>
      <w:r w:rsidRPr="002300C7">
        <w:rPr>
          <w:rStyle w:val="EndnoteReference"/>
        </w:rPr>
        <w:endnoteRef/>
      </w:r>
      <w:r w:rsidRPr="002300C7">
        <w:t xml:space="preserve"> </w:t>
      </w:r>
      <w:r>
        <w:t xml:space="preserve">Crutchfield, </w:t>
      </w:r>
      <w:r w:rsidRPr="002300C7">
        <w:rPr>
          <w:i/>
        </w:rPr>
        <w:t>Origins</w:t>
      </w:r>
      <w:r>
        <w:t>, p. 68.</w:t>
      </w:r>
    </w:p>
  </w:endnote>
  <w:endnote w:id="1225">
    <w:p w:rsidR="00975183" w:rsidRDefault="00975183" w:rsidP="00442D33">
      <w:pPr>
        <w:pStyle w:val="EndnoteText"/>
      </w:pPr>
      <w:r w:rsidRPr="002300C7">
        <w:rPr>
          <w:rStyle w:val="EndnoteReference"/>
        </w:rPr>
        <w:endnoteRef/>
      </w:r>
      <w:r w:rsidRPr="002300C7">
        <w:t xml:space="preserve"> </w:t>
      </w:r>
      <w:r>
        <w:t xml:space="preserve">Crutchfield, </w:t>
      </w:r>
      <w:r w:rsidRPr="002300C7">
        <w:rPr>
          <w:i/>
        </w:rPr>
        <w:t>Origins</w:t>
      </w:r>
      <w:r>
        <w:t>, pp. 72-3.</w:t>
      </w:r>
    </w:p>
  </w:endnote>
  <w:endnote w:id="1226">
    <w:p w:rsidR="00975183" w:rsidRPr="00EF0AB4" w:rsidRDefault="00975183" w:rsidP="00442D33">
      <w:pPr>
        <w:pStyle w:val="EndnoteText"/>
      </w:pPr>
      <w:r w:rsidRPr="00EF0AB4">
        <w:rPr>
          <w:rStyle w:val="EndnoteReference"/>
        </w:rPr>
        <w:endnoteRef/>
      </w:r>
      <w:r w:rsidRPr="00EF0AB4">
        <w:t xml:space="preserve"> Darby, ‘</w:t>
      </w:r>
      <w:r w:rsidRPr="00EF0AB4">
        <w:rPr>
          <w:bCs/>
        </w:rPr>
        <w:t>The Principles displayed in the Ways of God, compared with His Ultimate Dealings</w:t>
      </w:r>
      <w:r w:rsidRPr="00EF0AB4">
        <w:t>’,</w:t>
      </w:r>
      <w:r w:rsidRPr="00EF0AB4">
        <w:rPr>
          <w:i/>
        </w:rPr>
        <w:t xml:space="preserve"> Collected Writings</w:t>
      </w:r>
      <w:r w:rsidRPr="00EF0AB4">
        <w:t xml:space="preserve">, </w:t>
      </w:r>
      <w:r w:rsidRPr="00B25AB6">
        <w:rPr>
          <w:i/>
        </w:rPr>
        <w:t>Vol. 5, Prophetic No. 2</w:t>
      </w:r>
      <w:r w:rsidRPr="00EF0AB4">
        <w:t>, p. 384 &lt;http://www.stempublishing.com/authors/darby/PROPHET/05043E.html&gt; [accessed 19.2.10].</w:t>
      </w:r>
    </w:p>
  </w:endnote>
  <w:endnote w:id="1227">
    <w:p w:rsidR="00975183" w:rsidRPr="00EF0AB4" w:rsidRDefault="00975183" w:rsidP="00442D33">
      <w:pPr>
        <w:pStyle w:val="EndnoteText"/>
      </w:pPr>
      <w:r w:rsidRPr="00EF0AB4">
        <w:rPr>
          <w:rStyle w:val="EndnoteReference"/>
        </w:rPr>
        <w:endnoteRef/>
      </w:r>
      <w:r w:rsidRPr="00EF0AB4">
        <w:t xml:space="preserve"> Darby, ‘</w:t>
      </w:r>
      <w:r w:rsidRPr="00EF0AB4">
        <w:rPr>
          <w:bCs/>
        </w:rPr>
        <w:t>The Principles displayed in the Ways of God’</w:t>
      </w:r>
      <w:r w:rsidRPr="00EF0AB4">
        <w:t>, p. 384.</w:t>
      </w:r>
    </w:p>
  </w:endnote>
  <w:endnote w:id="1228">
    <w:p w:rsidR="00975183" w:rsidRPr="00EF0AB4" w:rsidRDefault="00975183" w:rsidP="00442D33">
      <w:pPr>
        <w:pStyle w:val="EndnoteText"/>
      </w:pPr>
      <w:r w:rsidRPr="00EF0AB4">
        <w:rPr>
          <w:rStyle w:val="EndnoteReference"/>
        </w:rPr>
        <w:endnoteRef/>
      </w:r>
      <w:r w:rsidRPr="00EF0AB4">
        <w:t xml:space="preserve"> Darby, ‘</w:t>
      </w:r>
      <w:r w:rsidRPr="00EF0AB4">
        <w:rPr>
          <w:bCs/>
        </w:rPr>
        <w:t>The Principles displayed in the Ways of God’</w:t>
      </w:r>
      <w:r w:rsidRPr="00EF0AB4">
        <w:t>, p. 385.</w:t>
      </w:r>
    </w:p>
  </w:endnote>
  <w:endnote w:id="1229">
    <w:p w:rsidR="00975183" w:rsidRDefault="00975183" w:rsidP="00442D33">
      <w:pPr>
        <w:pStyle w:val="EndnoteText"/>
      </w:pPr>
      <w:r w:rsidRPr="00EF0AB4">
        <w:rPr>
          <w:rStyle w:val="EndnoteReference"/>
        </w:rPr>
        <w:endnoteRef/>
      </w:r>
      <w:r w:rsidRPr="00EF0AB4">
        <w:t xml:space="preserve"> Darby, ‘</w:t>
      </w:r>
      <w:r w:rsidRPr="00EF0AB4">
        <w:rPr>
          <w:bCs/>
        </w:rPr>
        <w:t>Observations on a tract, entitle</w:t>
      </w:r>
      <w:r>
        <w:rPr>
          <w:bCs/>
        </w:rPr>
        <w:t>d</w:t>
      </w:r>
      <w:r w:rsidRPr="00EF0AB4">
        <w:rPr>
          <w:bCs/>
        </w:rPr>
        <w:t xml:space="preserve"> “Plymouthism in view of the Word of God</w:t>
      </w:r>
      <w:r w:rsidRPr="00EF0AB4">
        <w:t>’,</w:t>
      </w:r>
      <w:r w:rsidRPr="00EF0AB4">
        <w:rPr>
          <w:i/>
        </w:rPr>
        <w:t xml:space="preserve"> Collected Writings</w:t>
      </w:r>
      <w:r w:rsidRPr="00EF0AB4">
        <w:t xml:space="preserve">, </w:t>
      </w:r>
      <w:r w:rsidRPr="00B25AB6">
        <w:rPr>
          <w:i/>
        </w:rPr>
        <w:t>Vol. 4, Ecclesiastical No. 2</w:t>
      </w:r>
      <w:r w:rsidRPr="00EF0AB4">
        <w:t xml:space="preserve">, p. 272 &lt;http://www.stempublishing.com/authors/darby/ECCLESIA/04006F.html&gt; </w:t>
      </w:r>
    </w:p>
    <w:p w:rsidR="00975183" w:rsidRPr="00EF0AB4" w:rsidRDefault="00975183" w:rsidP="00442D33">
      <w:pPr>
        <w:pStyle w:val="EndnoteText"/>
      </w:pPr>
      <w:r w:rsidRPr="00EF0AB4">
        <w:t>[</w:t>
      </w:r>
      <w:proofErr w:type="gramStart"/>
      <w:r w:rsidRPr="00EF0AB4">
        <w:t>accessed</w:t>
      </w:r>
      <w:proofErr w:type="gramEnd"/>
      <w:r w:rsidRPr="00EF0AB4">
        <w:t xml:space="preserve"> 4.10.10]</w:t>
      </w:r>
      <w:r>
        <w:t>.</w:t>
      </w:r>
    </w:p>
  </w:endnote>
  <w:endnote w:id="1230">
    <w:p w:rsidR="00975183" w:rsidRPr="00EF0AB4" w:rsidRDefault="00975183" w:rsidP="00442D33">
      <w:pPr>
        <w:spacing w:after="0" w:line="240" w:lineRule="auto"/>
      </w:pPr>
      <w:r w:rsidRPr="00EF0AB4">
        <w:rPr>
          <w:rStyle w:val="EndnoteReference"/>
        </w:rPr>
        <w:endnoteRef/>
      </w:r>
      <w:r w:rsidRPr="00EF0AB4">
        <w:t xml:space="preserve"> </w:t>
      </w:r>
      <w:proofErr w:type="gramStart"/>
      <w:r w:rsidRPr="00EF0AB4">
        <w:t>Darby, ‘</w:t>
      </w:r>
      <w:r w:rsidRPr="00EF0AB4">
        <w:rPr>
          <w:rFonts w:eastAsia="Times New Roman"/>
          <w:szCs w:val="24"/>
          <w:lang w:eastAsia="en-GB"/>
        </w:rPr>
        <w:t xml:space="preserve">Evidence from Scripture of the passing away of the present dispensation’, </w:t>
      </w:r>
      <w:r w:rsidRPr="00EF0AB4">
        <w:rPr>
          <w:rFonts w:eastAsia="Times New Roman"/>
          <w:i/>
          <w:szCs w:val="24"/>
          <w:lang w:eastAsia="en-GB"/>
        </w:rPr>
        <w:t>Collected Writings</w:t>
      </w:r>
      <w:r w:rsidRPr="00EF0AB4">
        <w:rPr>
          <w:rFonts w:eastAsia="Times New Roman"/>
          <w:szCs w:val="24"/>
          <w:lang w:eastAsia="en-GB"/>
        </w:rPr>
        <w:t xml:space="preserve">, </w:t>
      </w:r>
      <w:r w:rsidRPr="00B25AB6">
        <w:rPr>
          <w:rFonts w:eastAsia="Times New Roman"/>
          <w:i/>
          <w:szCs w:val="24"/>
          <w:lang w:eastAsia="en-GB"/>
        </w:rPr>
        <w:t>Vol. 2, Prophetic No. 1</w:t>
      </w:r>
      <w:r w:rsidRPr="00EF0AB4">
        <w:rPr>
          <w:rFonts w:eastAsia="Times New Roman"/>
          <w:szCs w:val="24"/>
          <w:lang w:eastAsia="en-GB"/>
        </w:rPr>
        <w:t xml:space="preserve"> &lt;http://www.stempublishing.com/authors/darby/PROPHET/02007E.html&gt; [accessed 13.5.17].</w:t>
      </w:r>
      <w:proofErr w:type="gramEnd"/>
    </w:p>
  </w:endnote>
  <w:endnote w:id="1231">
    <w:p w:rsidR="00975183" w:rsidRPr="00EF0AB4" w:rsidRDefault="00975183" w:rsidP="00442D33">
      <w:pPr>
        <w:pStyle w:val="EndnoteText"/>
      </w:pPr>
      <w:r w:rsidRPr="00E63C10">
        <w:rPr>
          <w:rStyle w:val="EndnoteReference"/>
        </w:rPr>
        <w:endnoteRef/>
      </w:r>
      <w:r w:rsidRPr="00E63C10">
        <w:t xml:space="preserve"> Blaising</w:t>
      </w:r>
      <w:r>
        <w:t xml:space="preserve">, ‘Dispensations in Biblical Theology’, </w:t>
      </w:r>
      <w:r w:rsidRPr="00E63C10">
        <w:rPr>
          <w:i/>
        </w:rPr>
        <w:t>Progressive Dispensationalism</w:t>
      </w:r>
      <w:r>
        <w:t>, pp. 118-19.</w:t>
      </w:r>
    </w:p>
  </w:endnote>
  <w:endnote w:id="1232">
    <w:p w:rsidR="00975183" w:rsidRPr="00BF5154" w:rsidRDefault="00975183" w:rsidP="00442D33">
      <w:pPr>
        <w:pStyle w:val="EndnoteText"/>
        <w:rPr>
          <w:lang w:val="en-US"/>
        </w:rPr>
      </w:pPr>
      <w:r w:rsidRPr="001C0261">
        <w:rPr>
          <w:rStyle w:val="FootnoteReference"/>
        </w:rPr>
        <w:endnoteRef/>
      </w:r>
      <w:r w:rsidRPr="001C0261">
        <w:t xml:space="preserve"> The sixth dispensation, the Dispensation of Grace, </w:t>
      </w:r>
      <w:r w:rsidRPr="001C0261">
        <w:rPr>
          <w:i/>
        </w:rPr>
        <w:t xml:space="preserve">SRB </w:t>
      </w:r>
      <w:r w:rsidRPr="001C0261">
        <w:t>note on Jn 1:17, p. 1115, ‘</w:t>
      </w:r>
      <w:proofErr w:type="gramStart"/>
      <w:r w:rsidRPr="001C0261">
        <w:t>begins</w:t>
      </w:r>
      <w:proofErr w:type="gramEnd"/>
      <w:r w:rsidRPr="001C0261">
        <w:t xml:space="preserve"> with the de</w:t>
      </w:r>
      <w:r>
        <w:t xml:space="preserve">ath and resurrection of Christ’. </w:t>
      </w:r>
      <w:r w:rsidRPr="001C0261">
        <w:t xml:space="preserve"> Scofield does not give a biblical reference for this.  </w:t>
      </w:r>
    </w:p>
  </w:endnote>
  <w:endnote w:id="1233">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Deut. 30:3, p. 250.</w:t>
      </w:r>
    </w:p>
  </w:endnote>
  <w:endnote w:id="1234">
    <w:p w:rsidR="00975183" w:rsidRPr="007B4F6A" w:rsidRDefault="00975183" w:rsidP="00442D33">
      <w:pPr>
        <w:pStyle w:val="EndnoteText"/>
      </w:pPr>
      <w:r w:rsidRPr="007B4F6A">
        <w:rPr>
          <w:rStyle w:val="EndnoteReference"/>
        </w:rPr>
        <w:endnoteRef/>
      </w:r>
      <w:r w:rsidRPr="007B4F6A">
        <w:t xml:space="preserve"> 2 Samuel 7:8-17.</w:t>
      </w:r>
    </w:p>
  </w:endnote>
  <w:endnote w:id="1235">
    <w:p w:rsidR="00975183" w:rsidRPr="007B4F6A" w:rsidRDefault="00975183" w:rsidP="00442D33">
      <w:pPr>
        <w:pStyle w:val="EndnoteText"/>
      </w:pPr>
      <w:r w:rsidRPr="007B4F6A">
        <w:rPr>
          <w:rStyle w:val="EndnoteReference"/>
        </w:rPr>
        <w:endnoteRef/>
      </w:r>
      <w:r w:rsidRPr="007B4F6A">
        <w:t xml:space="preserve"> Hebrews 8:8.</w:t>
      </w:r>
    </w:p>
  </w:endnote>
  <w:endnote w:id="1236">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subhead to Gen. 1:28, p. 5.</w:t>
      </w:r>
      <w:proofErr w:type="gramEnd"/>
      <w:r w:rsidRPr="001C0261">
        <w:t xml:space="preserve">  ‘The Dispensation </w:t>
      </w:r>
      <w:r w:rsidRPr="00F46A6D">
        <w:t>of Innocency, (Gen 1:28 – 3:13).’</w:t>
      </w:r>
    </w:p>
  </w:endnote>
  <w:endnote w:id="1237">
    <w:p w:rsidR="00975183" w:rsidRDefault="00975183" w:rsidP="00442D33">
      <w:pPr>
        <w:pStyle w:val="EndnoteText"/>
      </w:pPr>
      <w:r w:rsidRPr="00F46A6D">
        <w:rPr>
          <w:rStyle w:val="FootnoteReference"/>
        </w:rPr>
        <w:endnoteRef/>
      </w:r>
      <w:r w:rsidRPr="00F46A6D">
        <w:t xml:space="preserve"> </w:t>
      </w:r>
      <w:proofErr w:type="gramStart"/>
      <w:r w:rsidRPr="00F46A6D">
        <w:rPr>
          <w:i/>
        </w:rPr>
        <w:t xml:space="preserve">SRB </w:t>
      </w:r>
      <w:r w:rsidRPr="00F46A6D">
        <w:t>subhead to Gen. 1:28.</w:t>
      </w:r>
      <w:proofErr w:type="gramEnd"/>
    </w:p>
  </w:endnote>
  <w:endnote w:id="1238">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1:28, p. 5.</w:t>
      </w:r>
      <w:proofErr w:type="gramEnd"/>
    </w:p>
  </w:endnote>
  <w:endnote w:id="1239">
    <w:p w:rsidR="00975183" w:rsidRPr="0042588D" w:rsidRDefault="00975183" w:rsidP="00442D33">
      <w:pPr>
        <w:pStyle w:val="EndnoteText"/>
      </w:pPr>
      <w:r w:rsidRPr="0042588D">
        <w:rPr>
          <w:rStyle w:val="EndnoteReference"/>
        </w:rPr>
        <w:endnoteRef/>
      </w:r>
      <w:r w:rsidRPr="0042588D">
        <w:t xml:space="preserve"> This may suggest a misprint in the subhead to Gen. 1:28.</w:t>
      </w:r>
    </w:p>
  </w:endnote>
  <w:endnote w:id="1240">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1:28, p. 5.</w:t>
      </w:r>
      <w:proofErr w:type="gramEnd"/>
    </w:p>
  </w:endnote>
  <w:endnote w:id="1241">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subhead to Gen. 3:22</w:t>
      </w:r>
      <w:r w:rsidRPr="007B4F6A">
        <w:rPr>
          <w:b/>
          <w:color w:val="000000"/>
        </w:rPr>
        <w:t>.</w:t>
      </w:r>
      <w:proofErr w:type="gramEnd"/>
    </w:p>
  </w:endnote>
  <w:endnote w:id="1242">
    <w:p w:rsidR="00975183" w:rsidRDefault="00975183" w:rsidP="00442D33">
      <w:pPr>
        <w:pStyle w:val="EndnoteText"/>
      </w:pPr>
      <w:r w:rsidRPr="00F46A6D">
        <w:rPr>
          <w:rStyle w:val="FootnoteReference"/>
        </w:rPr>
        <w:endnoteRef/>
      </w:r>
      <w:r w:rsidRPr="00F46A6D">
        <w:t xml:space="preserve"> </w:t>
      </w:r>
      <w:proofErr w:type="gramStart"/>
      <w:r w:rsidRPr="00F46A6D">
        <w:rPr>
          <w:i/>
        </w:rPr>
        <w:t>SRB</w:t>
      </w:r>
      <w:r w:rsidRPr="00F46A6D">
        <w:t xml:space="preserve"> note on Gen. 1:28, pp. 5-6.</w:t>
      </w:r>
      <w:proofErr w:type="gramEnd"/>
      <w:r w:rsidRPr="00F46A6D">
        <w:t xml:space="preserve">  Humankind’s responsibilities: </w:t>
      </w:r>
      <w:r>
        <w:t>‘</w:t>
      </w:r>
      <w:r w:rsidRPr="00F46A6D">
        <w:t xml:space="preserve">to replenish the </w:t>
      </w:r>
      <w:r>
        <w:t xml:space="preserve">earth with a new order, man, </w:t>
      </w:r>
      <w:r w:rsidRPr="00F46A6D">
        <w:t>to subdue the earth</w:t>
      </w:r>
      <w:r>
        <w:t xml:space="preserve"> to human uses</w:t>
      </w:r>
      <w:r w:rsidRPr="00F46A6D">
        <w:t>, to have dominion over the animal creation, to eat herbs and fruits, to till and keep the garden, to abstain from eating from the tree of</w:t>
      </w:r>
      <w:r>
        <w:t xml:space="preserve"> the knowledge of good and evil’</w:t>
      </w:r>
      <w:r w:rsidRPr="00F46A6D">
        <w:t>, the penalty for disobedience being death.</w:t>
      </w:r>
    </w:p>
  </w:endnote>
  <w:endnote w:id="1243">
    <w:p w:rsidR="00975183" w:rsidRDefault="00975183" w:rsidP="00442D33">
      <w:pPr>
        <w:pStyle w:val="EndnoteText"/>
      </w:pPr>
      <w:r w:rsidRPr="00F46A6D">
        <w:rPr>
          <w:rStyle w:val="FootnoteReference"/>
        </w:rPr>
        <w:endnoteRef/>
      </w:r>
      <w:r w:rsidRPr="00F46A6D">
        <w:t xml:space="preserve"> </w:t>
      </w:r>
      <w:proofErr w:type="gramStart"/>
      <w:r w:rsidRPr="00F46A6D">
        <w:rPr>
          <w:i/>
        </w:rPr>
        <w:t>SRB</w:t>
      </w:r>
      <w:r w:rsidRPr="00F46A6D">
        <w:t xml:space="preserve"> note on Gen. 1:28, pp. 5-6.</w:t>
      </w:r>
      <w:proofErr w:type="gramEnd"/>
    </w:p>
  </w:endnote>
  <w:endnote w:id="1244">
    <w:p w:rsidR="00975183" w:rsidRDefault="00975183" w:rsidP="00442D33">
      <w:pPr>
        <w:pStyle w:val="EndnoteText"/>
      </w:pPr>
      <w:r w:rsidRPr="00920FF0">
        <w:rPr>
          <w:rStyle w:val="EndnoteReference"/>
        </w:rPr>
        <w:endnoteRef/>
      </w:r>
      <w:r w:rsidRPr="00920FF0">
        <w:t xml:space="preserve"> </w:t>
      </w:r>
      <w:r w:rsidRPr="007B4F6A">
        <w:rPr>
          <w:i/>
        </w:rPr>
        <w:t>SRB</w:t>
      </w:r>
      <w:r w:rsidRPr="007B4F6A">
        <w:t xml:space="preserve"> </w:t>
      </w:r>
      <w:r w:rsidRPr="00F46A6D">
        <w:t xml:space="preserve">note on Heb. 8:8, </w:t>
      </w:r>
      <w:r>
        <w:t>p. 1298.</w:t>
      </w:r>
    </w:p>
  </w:endnote>
  <w:endnote w:id="1245">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 xml:space="preserve">SRB </w:t>
      </w:r>
      <w:r w:rsidRPr="007B4F6A">
        <w:t>note on Gen. 3:23, p. 10.</w:t>
      </w:r>
      <w:proofErr w:type="gramEnd"/>
    </w:p>
  </w:endnote>
  <w:endnote w:id="1246">
    <w:p w:rsidR="00975183" w:rsidRDefault="00975183" w:rsidP="00442D33">
      <w:pPr>
        <w:pStyle w:val="EndnoteText"/>
      </w:pPr>
      <w:r w:rsidRPr="00F46A6D">
        <w:rPr>
          <w:rStyle w:val="FootnoteReference"/>
        </w:rPr>
        <w:endnoteRef/>
      </w:r>
      <w:r w:rsidRPr="00F46A6D">
        <w:t xml:space="preserve"> </w:t>
      </w:r>
      <w:proofErr w:type="gramStart"/>
      <w:r w:rsidRPr="00F46A6D">
        <w:rPr>
          <w:i/>
        </w:rPr>
        <w:t xml:space="preserve">SRB </w:t>
      </w:r>
      <w:r w:rsidRPr="00F46A6D">
        <w:t xml:space="preserve"> note</w:t>
      </w:r>
      <w:proofErr w:type="gramEnd"/>
      <w:r w:rsidRPr="00F46A6D">
        <w:t xml:space="preserve"> on Gen. 3:23, p. 10</w:t>
      </w:r>
      <w:r w:rsidRPr="00F46A6D">
        <w:rPr>
          <w:lang w:eastAsia="en-GB"/>
        </w:rPr>
        <w:t>.</w:t>
      </w:r>
    </w:p>
  </w:endnote>
  <w:endnote w:id="1247">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subhead to Gen. 7:1, p.14</w:t>
      </w:r>
      <w:r w:rsidRPr="007B4F6A">
        <w:rPr>
          <w:b/>
        </w:rPr>
        <w:t>.</w:t>
      </w:r>
      <w:proofErr w:type="gramEnd"/>
    </w:p>
  </w:endnote>
  <w:endnote w:id="1248">
    <w:p w:rsidR="00975183" w:rsidRDefault="00975183" w:rsidP="00442D33">
      <w:pPr>
        <w:pStyle w:val="EndnoteText"/>
      </w:pPr>
      <w:r w:rsidRPr="00F46A6D">
        <w:rPr>
          <w:rStyle w:val="FootnoteReference"/>
        </w:rPr>
        <w:endnoteRef/>
      </w:r>
      <w:r w:rsidRPr="00F46A6D">
        <w:t xml:space="preserve"> </w:t>
      </w:r>
      <w:proofErr w:type="gramStart"/>
      <w:r w:rsidRPr="00F46A6D">
        <w:rPr>
          <w:i/>
        </w:rPr>
        <w:t>SRB</w:t>
      </w:r>
      <w:r w:rsidRPr="00F46A6D">
        <w:t xml:space="preserve"> </w:t>
      </w:r>
      <w:r>
        <w:t>n</w:t>
      </w:r>
      <w:r w:rsidRPr="00F46A6D">
        <w:t>ote on Rev. 20:10, p. 1350</w:t>
      </w:r>
      <w:r w:rsidRPr="001C0261">
        <w:rPr>
          <w:lang w:eastAsia="en-GB"/>
        </w:rPr>
        <w:t>.</w:t>
      </w:r>
      <w:proofErr w:type="gramEnd"/>
      <w:r w:rsidRPr="001C0261">
        <w:rPr>
          <w:lang w:eastAsia="en-GB"/>
        </w:rPr>
        <w:t xml:space="preserve"> </w:t>
      </w:r>
      <w:r w:rsidRPr="001C0261">
        <w:t xml:space="preserve"> </w:t>
      </w:r>
      <w:r w:rsidRPr="003D0543">
        <w:rPr>
          <w:b/>
        </w:rPr>
        <w:t>See 8.9</w:t>
      </w:r>
      <w:r w:rsidRPr="003D0543">
        <w:t>.</w:t>
      </w:r>
      <w:r w:rsidRPr="001C0261">
        <w:t xml:space="preserve">  </w:t>
      </w:r>
    </w:p>
  </w:endnote>
  <w:endnote w:id="1249">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subhead to and</w:t>
      </w:r>
      <w:r w:rsidRPr="001C0261">
        <w:rPr>
          <w:i/>
        </w:rPr>
        <w:t xml:space="preserve"> </w:t>
      </w:r>
      <w:r w:rsidRPr="001C0261">
        <w:t>note on Gen. 3:14, p. 9</w:t>
      </w:r>
      <w:r>
        <w:t xml:space="preserve">.  </w:t>
      </w:r>
    </w:p>
  </w:endnote>
  <w:endnote w:id="1250">
    <w:p w:rsidR="00975183" w:rsidRDefault="00975183" w:rsidP="00442D33">
      <w:pPr>
        <w:pStyle w:val="EndnoteText"/>
      </w:pPr>
      <w:r w:rsidRPr="00F46A6D">
        <w:rPr>
          <w:rStyle w:val="FootnoteReference"/>
        </w:rPr>
        <w:endnoteRef/>
      </w:r>
      <w:r w:rsidRPr="00F46A6D">
        <w:t xml:space="preserve"> </w:t>
      </w:r>
      <w:proofErr w:type="gramStart"/>
      <w:r w:rsidRPr="00F46A6D">
        <w:rPr>
          <w:i/>
        </w:rPr>
        <w:t>SRB</w:t>
      </w:r>
      <w:r w:rsidRPr="00F46A6D">
        <w:t xml:space="preserve"> note on Gen. 3:14, p. 9</w:t>
      </w:r>
      <w:r>
        <w:rPr>
          <w:lang w:eastAsia="en-GB"/>
        </w:rPr>
        <w:t>.</w:t>
      </w:r>
      <w:proofErr w:type="gramEnd"/>
    </w:p>
  </w:endnote>
  <w:endnote w:id="1251">
    <w:p w:rsidR="00975183" w:rsidRPr="00937AB2" w:rsidRDefault="00975183" w:rsidP="00442D33">
      <w:pPr>
        <w:pStyle w:val="EndnoteText"/>
      </w:pPr>
      <w:r w:rsidRPr="00937AB2">
        <w:rPr>
          <w:rStyle w:val="EndnoteReference"/>
        </w:rPr>
        <w:endnoteRef/>
      </w:r>
      <w:r w:rsidRPr="00937AB2">
        <w:t xml:space="preserve"> Refs </w:t>
      </w:r>
      <w:r w:rsidRPr="00F46A6D">
        <w:rPr>
          <w:color w:val="000000"/>
        </w:rPr>
        <w:t>Num. 21:5-9; Jn 3:14, 15; 2 Cor. 5:21</w:t>
      </w:r>
      <w:r>
        <w:rPr>
          <w:color w:val="000000"/>
        </w:rPr>
        <w:t>.</w:t>
      </w:r>
    </w:p>
  </w:endnote>
  <w:endnote w:id="1252">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note on Gen. 3:14, p. 9</w:t>
      </w:r>
      <w:r>
        <w:t>.</w:t>
      </w:r>
      <w:proofErr w:type="gramEnd"/>
      <w:r>
        <w:t xml:space="preserve">  </w:t>
      </w:r>
    </w:p>
  </w:endnote>
  <w:endnote w:id="1253">
    <w:p w:rsidR="00975183" w:rsidRDefault="00975183" w:rsidP="00442D33">
      <w:pPr>
        <w:pStyle w:val="EndnoteText"/>
      </w:pPr>
      <w:r w:rsidRPr="00937AB2">
        <w:rPr>
          <w:rStyle w:val="EndnoteReference"/>
        </w:rPr>
        <w:endnoteRef/>
      </w:r>
      <w:r w:rsidRPr="00937AB2">
        <w:t xml:space="preserve"> </w:t>
      </w:r>
      <w:r w:rsidRPr="0076718B">
        <w:rPr>
          <w:i/>
        </w:rPr>
        <w:t>Encylopaedia Britannica</w:t>
      </w:r>
      <w:r>
        <w:t xml:space="preserve">, ‘Brass’ </w:t>
      </w:r>
      <w:r w:rsidRPr="00347F4D">
        <w:rPr>
          <w:color w:val="000000"/>
        </w:rPr>
        <w:t>&lt;http://www.britannica.com/EBchecked/topic/88760/cal</w:t>
      </w:r>
      <w:r>
        <w:rPr>
          <w:color w:val="000000"/>
        </w:rPr>
        <w:t>amine-brass&gt; [accessed 24.7.11].</w:t>
      </w:r>
    </w:p>
  </w:endnote>
  <w:endnote w:id="1254">
    <w:p w:rsidR="00975183" w:rsidRDefault="00975183" w:rsidP="00442D33">
      <w:pPr>
        <w:pStyle w:val="EndnoteText"/>
      </w:pPr>
      <w:r w:rsidRPr="002C4602">
        <w:rPr>
          <w:rStyle w:val="EndnoteReference"/>
        </w:rPr>
        <w:endnoteRef/>
      </w:r>
      <w:r w:rsidRPr="002C4602">
        <w:t xml:space="preserve"> Bible.org</w:t>
      </w:r>
      <w:r>
        <w:t xml:space="preserve"> </w:t>
      </w:r>
      <w:r w:rsidRPr="00347F4D">
        <w:t>&lt;http://bible.org/seriespage/first-four-trumpet-judgments-rev-81-13&gt; [accessed 24.7.11]</w:t>
      </w:r>
      <w:r>
        <w:t>.</w:t>
      </w:r>
    </w:p>
  </w:endnote>
  <w:endnote w:id="1255">
    <w:p w:rsidR="00975183" w:rsidRDefault="00975183" w:rsidP="00442D33">
      <w:pPr>
        <w:pStyle w:val="EndnoteText"/>
      </w:pPr>
      <w:r w:rsidRPr="005E57E3">
        <w:rPr>
          <w:rStyle w:val="EndnoteReference"/>
        </w:rPr>
        <w:endnoteRef/>
      </w:r>
      <w:r w:rsidRPr="005E57E3">
        <w:t xml:space="preserve"> </w:t>
      </w:r>
      <w:r>
        <w:t xml:space="preserve">The Good News </w:t>
      </w:r>
      <w:r w:rsidRPr="00347F4D">
        <w:t>&lt;http://www.goodnewsarticles.com/Dec03-1.htm&gt; [accessed 24.7.11].</w:t>
      </w:r>
    </w:p>
  </w:endnote>
  <w:endnote w:id="1256">
    <w:p w:rsidR="00975183" w:rsidRPr="006713A6" w:rsidRDefault="00975183" w:rsidP="00442D33">
      <w:pPr>
        <w:pStyle w:val="EndnoteText"/>
      </w:pPr>
      <w:r w:rsidRPr="006713A6">
        <w:rPr>
          <w:rStyle w:val="EndnoteReference"/>
        </w:rPr>
        <w:endnoteRef/>
      </w:r>
      <w:r w:rsidRPr="006713A6">
        <w:t xml:space="preserve"> </w:t>
      </w:r>
      <w:r>
        <w:t xml:space="preserve">Note on Exod. 25:1, </w:t>
      </w:r>
      <w:r w:rsidRPr="007B4F6A">
        <w:rPr>
          <w:i/>
        </w:rPr>
        <w:t>NSRE 1967</w:t>
      </w:r>
      <w:r w:rsidRPr="007B4F6A">
        <w:rPr>
          <w:lang w:eastAsia="en-GB"/>
        </w:rPr>
        <w:t xml:space="preserve">, p. </w:t>
      </w:r>
      <w:r>
        <w:rPr>
          <w:lang w:eastAsia="en-GB"/>
        </w:rPr>
        <w:t>101</w:t>
      </w:r>
      <w:r w:rsidRPr="007B4F6A">
        <w:rPr>
          <w:lang w:eastAsia="en-GB"/>
        </w:rPr>
        <w:t xml:space="preserve">; </w:t>
      </w:r>
      <w:r w:rsidRPr="007B4F6A">
        <w:rPr>
          <w:i/>
          <w:iCs/>
          <w:lang w:eastAsia="en-GB"/>
        </w:rPr>
        <w:t>SSB III, KJV</w:t>
      </w:r>
      <w:r w:rsidRPr="007B4F6A">
        <w:rPr>
          <w:lang w:eastAsia="en-GB"/>
        </w:rPr>
        <w:t xml:space="preserve">, </w:t>
      </w:r>
      <w:r w:rsidRPr="007B4F6A">
        <w:rPr>
          <w:i/>
          <w:lang w:eastAsia="en-GB"/>
        </w:rPr>
        <w:t>2003</w:t>
      </w:r>
      <w:r w:rsidRPr="007B4F6A">
        <w:rPr>
          <w:lang w:eastAsia="en-GB"/>
        </w:rPr>
        <w:t xml:space="preserve">, p. </w:t>
      </w:r>
      <w:r>
        <w:rPr>
          <w:lang w:eastAsia="en-GB"/>
        </w:rPr>
        <w:t>122</w:t>
      </w:r>
      <w:r w:rsidRPr="007B4F6A">
        <w:rPr>
          <w:lang w:eastAsia="en-GB"/>
        </w:rPr>
        <w:t>.</w:t>
      </w:r>
    </w:p>
  </w:endnote>
  <w:endnote w:id="1257">
    <w:p w:rsidR="00975183" w:rsidRDefault="00975183" w:rsidP="00442D33">
      <w:pPr>
        <w:pStyle w:val="EndnoteText"/>
      </w:pPr>
      <w:r w:rsidRPr="006713A6">
        <w:rPr>
          <w:rStyle w:val="EndnoteReference"/>
        </w:rPr>
        <w:endnoteRef/>
      </w:r>
      <w:r w:rsidRPr="006713A6">
        <w:t xml:space="preserve"> </w:t>
      </w:r>
      <w:r>
        <w:t xml:space="preserve">Note on Num. 21:19, </w:t>
      </w:r>
      <w:r w:rsidRPr="007B4F6A">
        <w:rPr>
          <w:i/>
        </w:rPr>
        <w:t>NSRE 1967</w:t>
      </w:r>
      <w:r w:rsidRPr="007B4F6A">
        <w:rPr>
          <w:lang w:eastAsia="en-GB"/>
        </w:rPr>
        <w:t xml:space="preserve">, p. </w:t>
      </w:r>
      <w:r>
        <w:rPr>
          <w:lang w:eastAsia="en-GB"/>
        </w:rPr>
        <w:t>196</w:t>
      </w:r>
      <w:r w:rsidRPr="007B4F6A">
        <w:rPr>
          <w:lang w:eastAsia="en-GB"/>
        </w:rPr>
        <w:t xml:space="preserve">; </w:t>
      </w:r>
      <w:r w:rsidRPr="007B4F6A">
        <w:rPr>
          <w:i/>
          <w:iCs/>
          <w:lang w:eastAsia="en-GB"/>
        </w:rPr>
        <w:t>SSB III, KJV</w:t>
      </w:r>
      <w:r w:rsidRPr="007B4F6A">
        <w:rPr>
          <w:lang w:eastAsia="en-GB"/>
        </w:rPr>
        <w:t xml:space="preserve">, </w:t>
      </w:r>
      <w:r w:rsidRPr="007B4F6A">
        <w:rPr>
          <w:i/>
          <w:lang w:eastAsia="en-GB"/>
        </w:rPr>
        <w:t>2003</w:t>
      </w:r>
      <w:r w:rsidRPr="007B4F6A">
        <w:rPr>
          <w:lang w:eastAsia="en-GB"/>
        </w:rPr>
        <w:t xml:space="preserve">, p. </w:t>
      </w:r>
      <w:r>
        <w:rPr>
          <w:lang w:eastAsia="en-GB"/>
        </w:rPr>
        <w:t>234</w:t>
      </w:r>
      <w:r w:rsidRPr="007B4F6A">
        <w:rPr>
          <w:lang w:eastAsia="en-GB"/>
        </w:rPr>
        <w:t>.</w:t>
      </w:r>
    </w:p>
  </w:endnote>
  <w:endnote w:id="1258">
    <w:p w:rsidR="00975183" w:rsidRPr="008916A5" w:rsidRDefault="00975183" w:rsidP="00442D33">
      <w:pPr>
        <w:pStyle w:val="EndnoteText"/>
      </w:pPr>
      <w:r w:rsidRPr="008916A5">
        <w:rPr>
          <w:rStyle w:val="EndnoteReference"/>
        </w:rPr>
        <w:endnoteRef/>
      </w:r>
      <w:r w:rsidRPr="008916A5">
        <w:t xml:space="preserve"> </w:t>
      </w:r>
      <w:proofErr w:type="gramStart"/>
      <w:r>
        <w:t xml:space="preserve">Ref. </w:t>
      </w:r>
      <w:r w:rsidRPr="00347F4D">
        <w:rPr>
          <w:color w:val="000000"/>
        </w:rPr>
        <w:t>Gen. 6:8-10</w:t>
      </w:r>
      <w:r>
        <w:rPr>
          <w:color w:val="000000"/>
        </w:rPr>
        <w:t>.</w:t>
      </w:r>
      <w:proofErr w:type="gramEnd"/>
    </w:p>
  </w:endnote>
  <w:endnote w:id="1259">
    <w:p w:rsidR="00975183" w:rsidRDefault="00975183" w:rsidP="00442D33">
      <w:pPr>
        <w:pStyle w:val="EndnoteText"/>
      </w:pPr>
      <w:r w:rsidRPr="008916A5">
        <w:rPr>
          <w:rStyle w:val="EndnoteReference"/>
        </w:rPr>
        <w:endnoteRef/>
      </w:r>
      <w:r w:rsidRPr="008916A5">
        <w:t xml:space="preserve"> </w:t>
      </w:r>
      <w:r>
        <w:t>Ref. G</w:t>
      </w:r>
      <w:r w:rsidRPr="00347F4D">
        <w:rPr>
          <w:color w:val="000000"/>
        </w:rPr>
        <w:t>en. 9:26, 27</w:t>
      </w:r>
      <w:r>
        <w:rPr>
          <w:color w:val="000000"/>
        </w:rPr>
        <w:t>.</w:t>
      </w:r>
    </w:p>
  </w:endnote>
  <w:endnote w:id="1260">
    <w:p w:rsidR="00975183" w:rsidRDefault="00975183" w:rsidP="00442D33">
      <w:pPr>
        <w:pStyle w:val="EndnoteText"/>
      </w:pPr>
      <w:r w:rsidRPr="008916A5">
        <w:rPr>
          <w:rStyle w:val="EndnoteReference"/>
        </w:rPr>
        <w:endnoteRef/>
      </w:r>
      <w:r w:rsidRPr="008916A5">
        <w:t xml:space="preserve"> </w:t>
      </w:r>
      <w:proofErr w:type="gramStart"/>
      <w:r>
        <w:t xml:space="preserve">Ref. </w:t>
      </w:r>
      <w:r w:rsidRPr="00347F4D">
        <w:rPr>
          <w:color w:val="000000"/>
        </w:rPr>
        <w:t>Gen. 12:1-4</w:t>
      </w:r>
      <w:r>
        <w:rPr>
          <w:color w:val="000000"/>
        </w:rPr>
        <w:t>.</w:t>
      </w:r>
      <w:proofErr w:type="gramEnd"/>
    </w:p>
  </w:endnote>
  <w:endnote w:id="1261">
    <w:p w:rsidR="00975183" w:rsidRDefault="00975183" w:rsidP="00442D33">
      <w:pPr>
        <w:pStyle w:val="EndnoteText"/>
      </w:pPr>
      <w:r w:rsidRPr="008916A5">
        <w:rPr>
          <w:rStyle w:val="EndnoteReference"/>
        </w:rPr>
        <w:endnoteRef/>
      </w:r>
      <w:r w:rsidRPr="008916A5">
        <w:t xml:space="preserve"> </w:t>
      </w:r>
      <w:proofErr w:type="gramStart"/>
      <w:r>
        <w:t xml:space="preserve">Ref. </w:t>
      </w:r>
      <w:r w:rsidRPr="00347F4D">
        <w:rPr>
          <w:color w:val="000000"/>
        </w:rPr>
        <w:t>Gen. 17:19-21</w:t>
      </w:r>
      <w:r>
        <w:rPr>
          <w:color w:val="000000"/>
        </w:rPr>
        <w:t>.</w:t>
      </w:r>
      <w:proofErr w:type="gramEnd"/>
    </w:p>
  </w:endnote>
  <w:endnote w:id="1262">
    <w:p w:rsidR="00975183" w:rsidRDefault="00975183" w:rsidP="00442D33">
      <w:pPr>
        <w:pStyle w:val="EndnoteText"/>
      </w:pPr>
      <w:r w:rsidRPr="008916A5">
        <w:rPr>
          <w:rStyle w:val="EndnoteReference"/>
        </w:rPr>
        <w:endnoteRef/>
      </w:r>
      <w:r w:rsidRPr="008916A5">
        <w:t xml:space="preserve"> </w:t>
      </w:r>
      <w:proofErr w:type="gramStart"/>
      <w:r>
        <w:t xml:space="preserve">Ref. </w:t>
      </w:r>
      <w:r w:rsidRPr="00347F4D">
        <w:rPr>
          <w:color w:val="000000"/>
        </w:rPr>
        <w:t>Gen. 28:10-14</w:t>
      </w:r>
      <w:r>
        <w:rPr>
          <w:color w:val="000000"/>
        </w:rPr>
        <w:t>.</w:t>
      </w:r>
      <w:proofErr w:type="gramEnd"/>
    </w:p>
  </w:endnote>
  <w:endnote w:id="1263">
    <w:p w:rsidR="00975183" w:rsidRDefault="00975183" w:rsidP="00442D33">
      <w:pPr>
        <w:pStyle w:val="EndnoteText"/>
      </w:pPr>
      <w:r w:rsidRPr="008916A5">
        <w:rPr>
          <w:rStyle w:val="EndnoteReference"/>
        </w:rPr>
        <w:endnoteRef/>
      </w:r>
      <w:r w:rsidRPr="008916A5">
        <w:t xml:space="preserve"> </w:t>
      </w:r>
      <w:r>
        <w:t xml:space="preserve">Ref. </w:t>
      </w:r>
      <w:r w:rsidRPr="00347F4D">
        <w:rPr>
          <w:color w:val="000000"/>
        </w:rPr>
        <w:t>Gen. 49:10</w:t>
      </w:r>
      <w:r>
        <w:rPr>
          <w:color w:val="000000"/>
        </w:rPr>
        <w:t>.</w:t>
      </w:r>
    </w:p>
  </w:endnote>
  <w:endnote w:id="1264">
    <w:p w:rsidR="00975183" w:rsidRDefault="00975183" w:rsidP="00442D33">
      <w:pPr>
        <w:pStyle w:val="EndnoteText"/>
      </w:pPr>
      <w:r w:rsidRPr="008916A5">
        <w:rPr>
          <w:rStyle w:val="EndnoteReference"/>
        </w:rPr>
        <w:endnoteRef/>
      </w:r>
      <w:r w:rsidRPr="008916A5">
        <w:t xml:space="preserve"> </w:t>
      </w:r>
      <w:r>
        <w:t>Ref.</w:t>
      </w:r>
      <w:r w:rsidRPr="008916A5">
        <w:rPr>
          <w:color w:val="000000"/>
        </w:rPr>
        <w:t xml:space="preserve"> </w:t>
      </w:r>
      <w:r>
        <w:rPr>
          <w:color w:val="000000"/>
        </w:rPr>
        <w:t>2 Sam. 7:5-17.</w:t>
      </w:r>
    </w:p>
  </w:endnote>
  <w:endnote w:id="1265">
    <w:p w:rsidR="00975183" w:rsidRDefault="00975183" w:rsidP="00442D33">
      <w:pPr>
        <w:pStyle w:val="EndnoteText"/>
      </w:pPr>
      <w:r w:rsidRPr="008916A5">
        <w:rPr>
          <w:rStyle w:val="EndnoteReference"/>
        </w:rPr>
        <w:endnoteRef/>
      </w:r>
      <w:r w:rsidRPr="008916A5">
        <w:t xml:space="preserve"> </w:t>
      </w:r>
      <w:proofErr w:type="gramStart"/>
      <w:r w:rsidRPr="001C0261">
        <w:rPr>
          <w:i/>
        </w:rPr>
        <w:t>SRB</w:t>
      </w:r>
      <w:r w:rsidRPr="001C0261">
        <w:t xml:space="preserve"> note on Gen. 3:14, p. 9</w:t>
      </w:r>
      <w:r>
        <w:t>.</w:t>
      </w:r>
      <w:proofErr w:type="gramEnd"/>
      <w:r>
        <w:t xml:space="preserve">  Refs </w:t>
      </w:r>
      <w:r w:rsidRPr="00347F4D">
        <w:rPr>
          <w:color w:val="000000"/>
        </w:rPr>
        <w:t>Isa. 7:9-14</w:t>
      </w:r>
      <w:r>
        <w:rPr>
          <w:color w:val="000000"/>
        </w:rPr>
        <w:t>,</w:t>
      </w:r>
      <w:r w:rsidRPr="00347F4D">
        <w:rPr>
          <w:color w:val="000000"/>
        </w:rPr>
        <w:t xml:space="preserve"> Mt. 1:1, 20-23</w:t>
      </w:r>
      <w:r>
        <w:rPr>
          <w:color w:val="000000"/>
        </w:rPr>
        <w:t>,</w:t>
      </w:r>
      <w:r w:rsidRPr="00347F4D">
        <w:rPr>
          <w:color w:val="000000"/>
        </w:rPr>
        <w:t xml:space="preserve"> 1 Jn 3:8</w:t>
      </w:r>
      <w:r>
        <w:rPr>
          <w:color w:val="000000"/>
        </w:rPr>
        <w:t>,</w:t>
      </w:r>
      <w:r w:rsidRPr="00347F4D">
        <w:rPr>
          <w:color w:val="000000"/>
        </w:rPr>
        <w:t xml:space="preserve"> 12:31</w:t>
      </w:r>
      <w:r>
        <w:rPr>
          <w:color w:val="000000"/>
        </w:rPr>
        <w:t>.</w:t>
      </w:r>
    </w:p>
  </w:endnote>
  <w:endnote w:id="1266">
    <w:p w:rsidR="00975183" w:rsidRDefault="00975183" w:rsidP="00442D33">
      <w:pPr>
        <w:pStyle w:val="EndnoteText"/>
      </w:pPr>
      <w:r w:rsidRPr="008916A5">
        <w:rPr>
          <w:rStyle w:val="EndnoteReference"/>
        </w:rPr>
        <w:endnoteRef/>
      </w:r>
      <w:r w:rsidRPr="008916A5">
        <w:t xml:space="preserve"> </w:t>
      </w:r>
      <w:r>
        <w:t xml:space="preserve">Refs </w:t>
      </w:r>
      <w:r w:rsidRPr="001C0261">
        <w:t>Gen. 3:15; Jn 12:31; 1 Jn 3:8; Gal. 4:4; Rev. 20:10</w:t>
      </w:r>
    </w:p>
  </w:endnote>
  <w:endnote w:id="1267">
    <w:p w:rsidR="00975183" w:rsidRDefault="00975183" w:rsidP="00442D33">
      <w:pPr>
        <w:pStyle w:val="EndnoteText"/>
      </w:pPr>
      <w:r w:rsidRPr="008916A5">
        <w:rPr>
          <w:rStyle w:val="EndnoteReference"/>
        </w:rPr>
        <w:endnoteRef/>
      </w:r>
      <w:r w:rsidRPr="008916A5">
        <w:t xml:space="preserve"> </w:t>
      </w:r>
      <w:r>
        <w:t xml:space="preserve">Ref. </w:t>
      </w:r>
      <w:r w:rsidRPr="001C0261">
        <w:t>Mk 6:3</w:t>
      </w:r>
      <w:r>
        <w:t>.</w:t>
      </w:r>
    </w:p>
  </w:endnote>
  <w:endnote w:id="1268">
    <w:p w:rsidR="00975183"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Heb. 8:8, p. 1298</w:t>
      </w:r>
      <w:r>
        <w:t>.</w:t>
      </w:r>
    </w:p>
  </w:endnote>
  <w:endnote w:id="1269">
    <w:p w:rsidR="00975183" w:rsidRDefault="00975183" w:rsidP="00442D33">
      <w:pPr>
        <w:pStyle w:val="EndnoteText"/>
      </w:pPr>
      <w:r w:rsidRPr="008916A5">
        <w:rPr>
          <w:rStyle w:val="EndnoteReference"/>
        </w:rPr>
        <w:endnoteRef/>
      </w:r>
      <w:r w:rsidRPr="008916A5">
        <w:t xml:space="preserve"> </w:t>
      </w:r>
      <w:proofErr w:type="gramStart"/>
      <w:r w:rsidRPr="001C0261">
        <w:rPr>
          <w:i/>
        </w:rPr>
        <w:t>SRB</w:t>
      </w:r>
      <w:r w:rsidRPr="001C0261">
        <w:t xml:space="preserve"> note on Gen. 3:14, p. 9</w:t>
      </w:r>
      <w:r>
        <w:t>.</w:t>
      </w:r>
      <w:proofErr w:type="gramEnd"/>
      <w:r>
        <w:t xml:space="preserve">  Refs </w:t>
      </w:r>
      <w:r w:rsidRPr="00347F4D">
        <w:rPr>
          <w:color w:val="000000"/>
        </w:rPr>
        <w:t>Gen. 1:26-7</w:t>
      </w:r>
      <w:r>
        <w:rPr>
          <w:color w:val="000000"/>
        </w:rPr>
        <w:t xml:space="preserve">, </w:t>
      </w:r>
      <w:r w:rsidRPr="00347F4D">
        <w:rPr>
          <w:color w:val="000000"/>
        </w:rPr>
        <w:t>1 Tim. 2:11-14</w:t>
      </w:r>
      <w:r>
        <w:rPr>
          <w:color w:val="000000"/>
        </w:rPr>
        <w:t>,</w:t>
      </w:r>
      <w:r w:rsidRPr="00347F4D">
        <w:rPr>
          <w:color w:val="000000"/>
        </w:rPr>
        <w:t xml:space="preserve"> Eph. 5:22-5</w:t>
      </w:r>
      <w:r>
        <w:rPr>
          <w:color w:val="000000"/>
        </w:rPr>
        <w:t>,</w:t>
      </w:r>
      <w:r w:rsidRPr="00347F4D">
        <w:rPr>
          <w:color w:val="000000"/>
        </w:rPr>
        <w:t xml:space="preserve"> 1 Cor. 11:7-9</w:t>
      </w:r>
      <w:r>
        <w:rPr>
          <w:color w:val="000000"/>
        </w:rPr>
        <w:t>.</w:t>
      </w:r>
    </w:p>
  </w:endnote>
  <w:endnote w:id="1270">
    <w:p w:rsidR="00975183" w:rsidRPr="001C0261" w:rsidRDefault="00975183" w:rsidP="00442D33">
      <w:pPr>
        <w:pStyle w:val="EndnoteText"/>
      </w:pPr>
      <w:r w:rsidRPr="001C0261">
        <w:rPr>
          <w:rStyle w:val="EndnoteReference"/>
        </w:rPr>
        <w:endnoteRef/>
      </w:r>
      <w:r w:rsidRPr="001C0261">
        <w:t xml:space="preserve"> Genesis 8:20-9:11.</w:t>
      </w:r>
    </w:p>
  </w:endnote>
  <w:endnote w:id="1271">
    <w:p w:rsidR="00975183" w:rsidRPr="001C0261" w:rsidRDefault="00975183" w:rsidP="00442D33">
      <w:pPr>
        <w:pStyle w:val="EndnoteText"/>
      </w:pPr>
      <w:r w:rsidRPr="001C0261">
        <w:rPr>
          <w:rStyle w:val="EndnoteReference"/>
        </w:rPr>
        <w:endnoteRef/>
      </w:r>
      <w:r w:rsidRPr="001C0261">
        <w:t xml:space="preserve"> Genesis 8:20-9:11.</w:t>
      </w:r>
    </w:p>
  </w:endnote>
  <w:endnote w:id="1272">
    <w:p w:rsidR="00975183" w:rsidRDefault="00975183" w:rsidP="00442D33">
      <w:pPr>
        <w:pStyle w:val="EndnoteText"/>
      </w:pPr>
      <w:r w:rsidRPr="00347F4D">
        <w:rPr>
          <w:rStyle w:val="FootnoteReference"/>
        </w:rPr>
        <w:endnoteRef/>
      </w:r>
      <w:r w:rsidRPr="00347F4D">
        <w:t xml:space="preserve"> </w:t>
      </w:r>
      <w:proofErr w:type="gramStart"/>
      <w:r w:rsidRPr="00347F4D">
        <w:rPr>
          <w:i/>
        </w:rPr>
        <w:t>SRB</w:t>
      </w:r>
      <w:r w:rsidRPr="00347F4D">
        <w:t xml:space="preserve"> note on Gen. 8:21, p. 16.</w:t>
      </w:r>
      <w:proofErr w:type="gramEnd"/>
    </w:p>
  </w:endnote>
  <w:endnote w:id="1273">
    <w:p w:rsidR="00975183" w:rsidRDefault="00975183" w:rsidP="00442D33">
      <w:pPr>
        <w:pStyle w:val="EndnoteText"/>
      </w:pPr>
      <w:r w:rsidRPr="00347F4D">
        <w:rPr>
          <w:rStyle w:val="FootnoteReference"/>
        </w:rPr>
        <w:endnoteRef/>
      </w:r>
      <w:r w:rsidRPr="00347F4D">
        <w:t xml:space="preserve"> </w:t>
      </w:r>
      <w:proofErr w:type="gramStart"/>
      <w:r w:rsidRPr="00347F4D">
        <w:rPr>
          <w:i/>
        </w:rPr>
        <w:t>SRB</w:t>
      </w:r>
      <w:r w:rsidRPr="00347F4D">
        <w:t xml:space="preserve"> note on Gen. 8:21, p. 16.</w:t>
      </w:r>
      <w:proofErr w:type="gramEnd"/>
    </w:p>
  </w:endnote>
  <w:endnote w:id="1274">
    <w:p w:rsidR="00975183" w:rsidRDefault="00975183" w:rsidP="00442D33">
      <w:pPr>
        <w:pStyle w:val="EndnoteText"/>
      </w:pPr>
      <w:r w:rsidRPr="008916A5">
        <w:rPr>
          <w:rStyle w:val="EndnoteReference"/>
        </w:rPr>
        <w:endnoteRef/>
      </w:r>
      <w:r w:rsidRPr="008916A5">
        <w:t xml:space="preserve"> </w:t>
      </w:r>
      <w:r>
        <w:t xml:space="preserve">Ref. </w:t>
      </w:r>
      <w:r w:rsidRPr="00347F4D">
        <w:t>Deuteronomy 28 – 30:1-10</w:t>
      </w:r>
      <w:r>
        <w:t>.</w:t>
      </w:r>
    </w:p>
  </w:endnote>
  <w:endnote w:id="1275">
    <w:p w:rsidR="00975183" w:rsidRDefault="00975183" w:rsidP="00442D33">
      <w:pPr>
        <w:pStyle w:val="EndnoteText"/>
      </w:pPr>
      <w:r w:rsidRPr="008916A5">
        <w:rPr>
          <w:rStyle w:val="EndnoteReference"/>
        </w:rPr>
        <w:endnoteRef/>
      </w:r>
      <w:r w:rsidRPr="008916A5">
        <w:t xml:space="preserve"> </w:t>
      </w:r>
      <w:r>
        <w:t xml:space="preserve">Refs </w:t>
      </w:r>
      <w:r w:rsidRPr="00347F4D">
        <w:t>Lk. 21: 24</w:t>
      </w:r>
      <w:r>
        <w:t>;</w:t>
      </w:r>
      <w:r w:rsidRPr="00347F4D">
        <w:t xml:space="preserve"> Rev. 16:14</w:t>
      </w:r>
      <w:r>
        <w:t>.</w:t>
      </w:r>
    </w:p>
  </w:endnote>
  <w:endnote w:id="1276">
    <w:p w:rsidR="00975183" w:rsidRDefault="00975183" w:rsidP="00442D33">
      <w:pPr>
        <w:pStyle w:val="EndnoteText"/>
      </w:pPr>
      <w:r w:rsidRPr="008916A5">
        <w:rPr>
          <w:rStyle w:val="EndnoteReference"/>
        </w:rPr>
        <w:endnoteRef/>
      </w:r>
      <w:r w:rsidRPr="008916A5">
        <w:t xml:space="preserve"> </w:t>
      </w:r>
      <w:r>
        <w:t xml:space="preserve">Refs </w:t>
      </w:r>
      <w:r w:rsidRPr="00347F4D">
        <w:t>Dan. 2:26-45; Lk 21:24; Acts 15:14-17</w:t>
      </w:r>
      <w:r>
        <w:t>.</w:t>
      </w:r>
    </w:p>
  </w:endnote>
  <w:endnote w:id="1277">
    <w:p w:rsidR="00975183" w:rsidRDefault="00975183" w:rsidP="00442D33">
      <w:pPr>
        <w:pStyle w:val="EndnoteText"/>
      </w:pPr>
      <w:r w:rsidRPr="008916A5">
        <w:rPr>
          <w:rStyle w:val="EndnoteReference"/>
        </w:rPr>
        <w:endnoteRef/>
      </w:r>
      <w:r w:rsidRPr="008916A5">
        <w:t xml:space="preserve"> </w:t>
      </w:r>
      <w:r>
        <w:t>Ref. Daniel 2.</w:t>
      </w:r>
    </w:p>
  </w:endnote>
  <w:endnote w:id="1278">
    <w:p w:rsidR="00975183" w:rsidRDefault="00975183" w:rsidP="00442D33">
      <w:pPr>
        <w:pStyle w:val="EndnoteText"/>
      </w:pPr>
      <w:r w:rsidRPr="008916A5">
        <w:rPr>
          <w:rStyle w:val="EndnoteReference"/>
        </w:rPr>
        <w:endnoteRef/>
      </w:r>
      <w:r w:rsidRPr="008916A5">
        <w:t xml:space="preserve"> </w:t>
      </w:r>
      <w:r>
        <w:t xml:space="preserve">Ref. </w:t>
      </w:r>
      <w:r w:rsidRPr="00347F4D">
        <w:t>Mt. 25:31-46</w:t>
      </w:r>
    </w:p>
  </w:endnote>
  <w:endnote w:id="1279">
    <w:p w:rsidR="00975183" w:rsidRPr="001C0261"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 on Gen. 11:10, p. 19.</w:t>
      </w:r>
      <w:proofErr w:type="gramEnd"/>
      <w:r w:rsidRPr="001C0261">
        <w:t xml:space="preserve">  </w:t>
      </w:r>
    </w:p>
  </w:endnote>
  <w:endnote w:id="1280">
    <w:p w:rsidR="00975183" w:rsidRDefault="00975183" w:rsidP="00442D33">
      <w:pPr>
        <w:pStyle w:val="EndnoteText"/>
      </w:pPr>
      <w:r w:rsidRPr="00D313BA">
        <w:rPr>
          <w:rStyle w:val="EndnoteReference"/>
        </w:rPr>
        <w:endnoteRef/>
      </w:r>
      <w:r w:rsidRPr="00D313BA">
        <w:t xml:space="preserve"> </w:t>
      </w:r>
      <w:r w:rsidRPr="00347F4D">
        <w:t xml:space="preserve">Francis Brown, with the cooperation of S. R. Driver and Charles A. Briggs, </w:t>
      </w:r>
      <w:r w:rsidRPr="00347F4D">
        <w:rPr>
          <w:i/>
        </w:rPr>
        <w:t>The Brown-Driver-Briggs Hebrew and English Lexicon with an Appendix containing the Biblical Aramaic</w:t>
      </w:r>
      <w:r w:rsidRPr="00347F4D">
        <w:t xml:space="preserve"> (Peabody, Massachusetts: Hendrickson Publishers, Inc., 9</w:t>
      </w:r>
      <w:r w:rsidRPr="00347F4D">
        <w:rPr>
          <w:vertAlign w:val="superscript"/>
        </w:rPr>
        <w:t>th</w:t>
      </w:r>
      <w:r w:rsidRPr="00347F4D">
        <w:t xml:space="preserve"> printing, 2005), p. 397.</w:t>
      </w:r>
    </w:p>
  </w:endnote>
  <w:endnote w:id="1281">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w:t>
      </w:r>
      <w:r>
        <w:t xml:space="preserve"> on Gen. 9:1, p. 16.</w:t>
      </w:r>
      <w:proofErr w:type="gramEnd"/>
    </w:p>
  </w:endnote>
  <w:endnote w:id="1282">
    <w:p w:rsidR="00975183" w:rsidRDefault="00975183" w:rsidP="00442D33">
      <w:pPr>
        <w:pStyle w:val="EndnoteText"/>
      </w:pPr>
      <w:r w:rsidRPr="008916A5">
        <w:rPr>
          <w:rStyle w:val="EndnoteReference"/>
        </w:rPr>
        <w:endnoteRef/>
      </w:r>
      <w:r w:rsidRPr="008916A5">
        <w:t xml:space="preserve"> </w:t>
      </w:r>
      <w:r>
        <w:t>Ref. Gen. 8:21.</w:t>
      </w:r>
    </w:p>
  </w:endnote>
  <w:endnote w:id="1283">
    <w:p w:rsidR="00975183" w:rsidRDefault="00975183" w:rsidP="00442D33">
      <w:pPr>
        <w:pStyle w:val="EndnoteText"/>
      </w:pPr>
      <w:r w:rsidRPr="008916A5">
        <w:rPr>
          <w:rStyle w:val="EndnoteReference"/>
        </w:rPr>
        <w:endnoteRef/>
      </w:r>
      <w:r w:rsidRPr="008916A5">
        <w:t xml:space="preserve"> </w:t>
      </w:r>
      <w:r>
        <w:t>Ref. Gen. 8:22.</w:t>
      </w:r>
    </w:p>
  </w:endnote>
  <w:endnote w:id="1284">
    <w:p w:rsidR="00975183" w:rsidRDefault="00975183" w:rsidP="00442D33">
      <w:pPr>
        <w:pStyle w:val="EndnoteText"/>
      </w:pPr>
      <w:r w:rsidRPr="008916A5">
        <w:rPr>
          <w:rStyle w:val="EndnoteReference"/>
        </w:rPr>
        <w:endnoteRef/>
      </w:r>
      <w:r w:rsidRPr="008916A5">
        <w:t xml:space="preserve"> </w:t>
      </w:r>
      <w:proofErr w:type="gramStart"/>
      <w:r>
        <w:t>Ref. Gen. 9:1-6.</w:t>
      </w:r>
      <w:proofErr w:type="gramEnd"/>
    </w:p>
  </w:endnote>
  <w:endnote w:id="1285">
    <w:p w:rsidR="00975183" w:rsidRDefault="00975183" w:rsidP="00442D33">
      <w:pPr>
        <w:pStyle w:val="EndnoteText"/>
      </w:pPr>
      <w:r w:rsidRPr="00347F4D">
        <w:rPr>
          <w:rStyle w:val="EndnoteReference"/>
        </w:rPr>
        <w:endnoteRef/>
      </w:r>
      <w:r w:rsidRPr="00347F4D">
        <w:t xml:space="preserve"> </w:t>
      </w:r>
      <w:proofErr w:type="gramStart"/>
      <w:r w:rsidRPr="00347F4D">
        <w:rPr>
          <w:i/>
        </w:rPr>
        <w:t>SRB</w:t>
      </w:r>
      <w:r w:rsidRPr="00347F4D">
        <w:t xml:space="preserve"> note on Gen. 8:21, p. 16.</w:t>
      </w:r>
      <w:proofErr w:type="gramEnd"/>
      <w:r w:rsidRPr="00347F4D">
        <w:t xml:space="preserve">  </w:t>
      </w:r>
      <w:proofErr w:type="gramStart"/>
      <w:r w:rsidRPr="00347F4D">
        <w:t>(</w:t>
      </w:r>
      <w:r w:rsidRPr="00347F4D">
        <w:rPr>
          <w:i/>
        </w:rPr>
        <w:t>My emphasis</w:t>
      </w:r>
      <w:r w:rsidRPr="00347F4D">
        <w:t>.)</w:t>
      </w:r>
      <w:proofErr w:type="gramEnd"/>
    </w:p>
  </w:endnote>
  <w:endnote w:id="1286">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w:t>
      </w:r>
      <w:r>
        <w:t xml:space="preserve"> on Gen. 9:1, p. 16.</w:t>
      </w:r>
      <w:proofErr w:type="gramEnd"/>
      <w:r>
        <w:t xml:space="preserve">  Refs Gen. 8:21, 9:11.</w:t>
      </w:r>
    </w:p>
  </w:endnote>
  <w:endnote w:id="1287">
    <w:p w:rsidR="00975183" w:rsidRDefault="00975183" w:rsidP="00442D33">
      <w:pPr>
        <w:pStyle w:val="EndnoteText"/>
      </w:pPr>
      <w:r w:rsidRPr="008916A5">
        <w:rPr>
          <w:rStyle w:val="EndnoteReference"/>
        </w:rPr>
        <w:endnoteRef/>
      </w:r>
      <w:r w:rsidRPr="008916A5">
        <w:t xml:space="preserve"> </w:t>
      </w:r>
      <w:proofErr w:type="gramStart"/>
      <w:r>
        <w:t>Ref. Gen. 9:24-5.</w:t>
      </w:r>
      <w:proofErr w:type="gramEnd"/>
    </w:p>
  </w:endnote>
  <w:endnote w:id="1288">
    <w:p w:rsidR="00975183" w:rsidRDefault="00975183" w:rsidP="00442D33">
      <w:pPr>
        <w:pStyle w:val="EndnoteText"/>
      </w:pPr>
      <w:r w:rsidRPr="008916A5">
        <w:rPr>
          <w:rStyle w:val="EndnoteReference"/>
        </w:rPr>
        <w:endnoteRef/>
      </w:r>
      <w:r w:rsidRPr="008916A5">
        <w:t xml:space="preserve"> </w:t>
      </w:r>
      <w:proofErr w:type="gramStart"/>
      <w:r>
        <w:t>Ref. Gen. 9:26-7.</w:t>
      </w:r>
      <w:proofErr w:type="gramEnd"/>
    </w:p>
  </w:endnote>
  <w:endnote w:id="1289">
    <w:p w:rsidR="00975183" w:rsidRDefault="00975183" w:rsidP="00442D33">
      <w:pPr>
        <w:pStyle w:val="EndnoteText"/>
      </w:pPr>
      <w:r w:rsidRPr="008916A5">
        <w:rPr>
          <w:rStyle w:val="EndnoteReference"/>
        </w:rPr>
        <w:endnoteRef/>
      </w:r>
      <w:r w:rsidRPr="008916A5">
        <w:t xml:space="preserve"> </w:t>
      </w:r>
      <w:r>
        <w:t>Ref. Gen. 9:27.</w:t>
      </w:r>
    </w:p>
  </w:endnote>
  <w:endnote w:id="1290">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w:t>
      </w:r>
      <w:r>
        <w:t xml:space="preserve"> on Gen. 9:1, p. 16.</w:t>
      </w:r>
      <w:proofErr w:type="gramEnd"/>
    </w:p>
  </w:endnote>
  <w:endnote w:id="1291">
    <w:p w:rsidR="00975183" w:rsidRDefault="00975183" w:rsidP="00442D33">
      <w:pPr>
        <w:pStyle w:val="EndnoteText"/>
      </w:pPr>
      <w:r w:rsidRPr="00643CDB">
        <w:rPr>
          <w:rStyle w:val="EndnoteReference"/>
        </w:rPr>
        <w:endnoteRef/>
      </w:r>
      <w:r w:rsidRPr="00643CDB">
        <w:t xml:space="preserve"> </w:t>
      </w:r>
      <w:r w:rsidRPr="00643CDB">
        <w:rPr>
          <w:i/>
          <w:sz w:val="22"/>
          <w:szCs w:val="22"/>
        </w:rPr>
        <w:t>SRB</w:t>
      </w:r>
      <w:r>
        <w:rPr>
          <w:sz w:val="22"/>
          <w:szCs w:val="22"/>
        </w:rPr>
        <w:t xml:space="preserve"> </w:t>
      </w:r>
      <w:r w:rsidRPr="00643CDB">
        <w:rPr>
          <w:sz w:val="22"/>
          <w:szCs w:val="22"/>
        </w:rPr>
        <w:t>note on Heb. 8:8, p. 1298</w:t>
      </w:r>
      <w:r>
        <w:rPr>
          <w:sz w:val="22"/>
          <w:szCs w:val="22"/>
        </w:rPr>
        <w:t xml:space="preserve">.  Refs </w:t>
      </w:r>
      <w:r w:rsidRPr="00643CDB">
        <w:rPr>
          <w:sz w:val="22"/>
          <w:szCs w:val="22"/>
        </w:rPr>
        <w:t>Gen 9:1 note; Col. 2:9.</w:t>
      </w:r>
      <w:r>
        <w:rPr>
          <w:sz w:val="22"/>
          <w:szCs w:val="22"/>
        </w:rPr>
        <w:t xml:space="preserve">  </w:t>
      </w:r>
    </w:p>
  </w:endnote>
  <w:endnote w:id="1292">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w:t>
      </w:r>
      <w:r>
        <w:t xml:space="preserve"> on Gen. 9:1, p. 16.</w:t>
      </w:r>
      <w:proofErr w:type="gramEnd"/>
    </w:p>
  </w:endnote>
  <w:endnote w:id="1293">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w:t>
      </w:r>
      <w:r>
        <w:t xml:space="preserve"> on Gen. 9:1, p. 16.</w:t>
      </w:r>
      <w:proofErr w:type="gramEnd"/>
    </w:p>
  </w:endnote>
  <w:endnote w:id="1294">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 xml:space="preserve">SRB </w:t>
      </w:r>
      <w:r w:rsidRPr="007B4F6A">
        <w:t xml:space="preserve">subhead to Gen. 11:1, </w:t>
      </w:r>
      <w:r w:rsidRPr="007B4F6A">
        <w:rPr>
          <w:i/>
        </w:rPr>
        <w:t>SRB</w:t>
      </w:r>
      <w:r w:rsidRPr="007B4F6A">
        <w:t xml:space="preserve"> p. 18.</w:t>
      </w:r>
      <w:proofErr w:type="gramEnd"/>
      <w:r w:rsidRPr="007B4F6A">
        <w:t xml:space="preserve">  </w:t>
      </w:r>
    </w:p>
  </w:endnote>
  <w:endnote w:id="1295">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subhead to Gen. 11:5, p. 19.</w:t>
      </w:r>
      <w:proofErr w:type="gramEnd"/>
      <w:r w:rsidRPr="007B4F6A">
        <w:t xml:space="preserve">  </w:t>
      </w:r>
    </w:p>
  </w:endnote>
  <w:endnote w:id="1296">
    <w:p w:rsidR="00975183" w:rsidRPr="001C0261"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 on Gen. 11:10, p. 19.</w:t>
      </w:r>
      <w:proofErr w:type="gramEnd"/>
      <w:r w:rsidRPr="001C0261">
        <w:t xml:space="preserve">  </w:t>
      </w:r>
    </w:p>
  </w:endnote>
  <w:endnote w:id="1297">
    <w:p w:rsidR="00975183" w:rsidRDefault="00975183" w:rsidP="00442D33">
      <w:pPr>
        <w:pStyle w:val="EndnoteText"/>
      </w:pPr>
      <w:r w:rsidRPr="008916A5">
        <w:rPr>
          <w:rStyle w:val="EndnoteReference"/>
        </w:rPr>
        <w:endnoteRef/>
      </w:r>
      <w:r w:rsidRPr="008916A5">
        <w:t xml:space="preserve"> </w:t>
      </w:r>
      <w:r>
        <w:t>Refs Gen. 12:1 – Exod. 19:8.</w:t>
      </w:r>
    </w:p>
  </w:endnote>
  <w:endnote w:id="1298">
    <w:p w:rsidR="00975183" w:rsidRDefault="00975183" w:rsidP="00442D33">
      <w:pPr>
        <w:pStyle w:val="EndnoteText"/>
      </w:pPr>
      <w:r w:rsidRPr="00347F4D">
        <w:rPr>
          <w:rStyle w:val="FootnoteReference"/>
        </w:rPr>
        <w:endnoteRef/>
      </w:r>
      <w:r w:rsidRPr="00347F4D">
        <w:t xml:space="preserve"> </w:t>
      </w:r>
      <w:proofErr w:type="gramStart"/>
      <w:r w:rsidRPr="00345EA5">
        <w:rPr>
          <w:i/>
        </w:rPr>
        <w:t>SRB</w:t>
      </w:r>
      <w:r w:rsidRPr="00347F4D">
        <w:rPr>
          <w:color w:val="000000"/>
        </w:rPr>
        <w:t xml:space="preserve"> </w:t>
      </w:r>
      <w:r>
        <w:rPr>
          <w:color w:val="000000"/>
        </w:rPr>
        <w:t>s</w:t>
      </w:r>
      <w:r w:rsidRPr="00347F4D">
        <w:rPr>
          <w:color w:val="000000"/>
        </w:rPr>
        <w:t>ubhead to Gen. 12:1, p. 20</w:t>
      </w:r>
      <w:r>
        <w:rPr>
          <w:color w:val="000000"/>
        </w:rPr>
        <w:t>.</w:t>
      </w:r>
      <w:proofErr w:type="gramEnd"/>
      <w:r>
        <w:rPr>
          <w:color w:val="000000"/>
        </w:rPr>
        <w:t xml:space="preserve">  ‘Add Gen. 13:114-18</w:t>
      </w:r>
      <w:proofErr w:type="gramStart"/>
      <w:r>
        <w:rPr>
          <w:color w:val="000000"/>
        </w:rPr>
        <w:t>;15:1</w:t>
      </w:r>
      <w:proofErr w:type="gramEnd"/>
      <w:r>
        <w:rPr>
          <w:color w:val="000000"/>
        </w:rPr>
        <w:t>-21; 17:4-8; 22:15-24; 26:1-5; 28:10-15.’</w:t>
      </w:r>
    </w:p>
  </w:endnote>
  <w:endnote w:id="1299">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12:1, p. 20.</w:t>
      </w:r>
      <w:proofErr w:type="gramEnd"/>
      <w:r>
        <w:t xml:space="preserve">  </w:t>
      </w:r>
      <w:proofErr w:type="gramStart"/>
      <w:r>
        <w:t>(</w:t>
      </w:r>
      <w:r w:rsidRPr="00507B79">
        <w:rPr>
          <w:i/>
        </w:rPr>
        <w:t>Scofield’s emphasis</w:t>
      </w:r>
      <w:r>
        <w:t>.)</w:t>
      </w:r>
      <w:proofErr w:type="gramEnd"/>
    </w:p>
  </w:endnote>
  <w:endnote w:id="1300">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12:1, p. 20.</w:t>
      </w:r>
      <w:proofErr w:type="gramEnd"/>
    </w:p>
  </w:endnote>
  <w:endnote w:id="1301">
    <w:p w:rsidR="00975183" w:rsidRDefault="00975183" w:rsidP="00442D33">
      <w:pPr>
        <w:pStyle w:val="EndnoteText"/>
      </w:pPr>
      <w:r w:rsidRPr="00347F4D">
        <w:rPr>
          <w:rStyle w:val="FootnoteReference"/>
        </w:rPr>
        <w:endnoteRef/>
      </w:r>
      <w:r w:rsidRPr="00347F4D">
        <w:t xml:space="preserve"> </w:t>
      </w:r>
      <w:r w:rsidRPr="00347F4D">
        <w:rPr>
          <w:i/>
        </w:rPr>
        <w:t xml:space="preserve">SRB </w:t>
      </w:r>
      <w:r w:rsidRPr="00347F4D">
        <w:t>note on Exod. 19:</w:t>
      </w:r>
      <w:r>
        <w:t>3</w:t>
      </w:r>
      <w:r w:rsidRPr="00347F4D">
        <w:t xml:space="preserve">, p. 93. </w:t>
      </w:r>
      <w:r>
        <w:t xml:space="preserve"> </w:t>
      </w:r>
      <w:proofErr w:type="gramStart"/>
      <w:r>
        <w:t>(</w:t>
      </w:r>
      <w:r w:rsidRPr="00347C81">
        <w:rPr>
          <w:i/>
        </w:rPr>
        <w:t>Scofield’s emphas</w:t>
      </w:r>
      <w:r>
        <w:rPr>
          <w:i/>
        </w:rPr>
        <w:t>e</w:t>
      </w:r>
      <w:r w:rsidRPr="00347C81">
        <w:rPr>
          <w:i/>
        </w:rPr>
        <w:t>s</w:t>
      </w:r>
      <w:r>
        <w:t>.)</w:t>
      </w:r>
      <w:proofErr w:type="gramEnd"/>
      <w:r>
        <w:t xml:space="preserve">  cf </w:t>
      </w:r>
      <w:r w:rsidRPr="00347F4D">
        <w:rPr>
          <w:i/>
        </w:rPr>
        <w:t xml:space="preserve">SRB </w:t>
      </w:r>
      <w:r w:rsidRPr="00D33F6B">
        <w:t>subhead to</w:t>
      </w:r>
      <w:r w:rsidRPr="00347F4D">
        <w:t xml:space="preserve"> Exod. 24:3, p. 99</w:t>
      </w:r>
      <w:r>
        <w:t>: ‘The people accept the covenant …’</w:t>
      </w:r>
      <w:r w:rsidRPr="00347F4D">
        <w:t xml:space="preserve"> </w:t>
      </w:r>
    </w:p>
  </w:endnote>
  <w:endnote w:id="1302">
    <w:p w:rsidR="00975183" w:rsidRDefault="00975183" w:rsidP="00442D33">
      <w:pPr>
        <w:pStyle w:val="EndnoteText"/>
      </w:pPr>
      <w:r w:rsidRPr="00347F4D">
        <w:rPr>
          <w:rStyle w:val="EndnoteReference"/>
        </w:rPr>
        <w:endnoteRef/>
      </w:r>
      <w:r w:rsidRPr="00347F4D">
        <w:t xml:space="preserve"> </w:t>
      </w:r>
      <w:r w:rsidRPr="00347F4D">
        <w:rPr>
          <w:i/>
        </w:rPr>
        <w:t>SRB</w:t>
      </w:r>
      <w:r w:rsidRPr="00347F4D">
        <w:t xml:space="preserve"> Introduction to Matthew, p. 993.</w:t>
      </w:r>
    </w:p>
  </w:endnote>
  <w:endnote w:id="1303">
    <w:p w:rsidR="00975183" w:rsidRDefault="00975183" w:rsidP="00442D33">
      <w:pPr>
        <w:pStyle w:val="EndnoteText"/>
      </w:pPr>
      <w:r w:rsidRPr="00347F4D">
        <w:rPr>
          <w:rStyle w:val="EndnoteReference"/>
        </w:rPr>
        <w:endnoteRef/>
      </w:r>
      <w:r w:rsidRPr="00347F4D">
        <w:t xml:space="preserve"> </w:t>
      </w:r>
      <w:r w:rsidRPr="00347F4D">
        <w:rPr>
          <w:i/>
        </w:rPr>
        <w:t>SRB</w:t>
      </w:r>
      <w:r w:rsidRPr="00347F4D">
        <w:t xml:space="preserve"> note on Heb. 8:8, </w:t>
      </w:r>
      <w:r>
        <w:t xml:space="preserve">p. 1298.  Refs </w:t>
      </w:r>
      <w:r w:rsidRPr="00347F4D">
        <w:t>Gen. 22:18; Gal. 3:16; Phil. 2:8</w:t>
      </w:r>
      <w:r>
        <w:t>.</w:t>
      </w:r>
    </w:p>
  </w:endnote>
  <w:endnote w:id="1304">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Introduction to Matthew, p. 993.  </w:t>
      </w:r>
    </w:p>
  </w:endnote>
  <w:endnote w:id="1305">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w:t>
      </w:r>
      <w:r>
        <w:t>n</w:t>
      </w:r>
      <w:r w:rsidRPr="007B4F6A">
        <w:t>ote on Heb. 8:8, p. 1297</w:t>
      </w:r>
      <w:r w:rsidRPr="007B4F6A">
        <w:rPr>
          <w:lang w:eastAsia="en-GB"/>
        </w:rPr>
        <w:t xml:space="preserve">.  </w:t>
      </w:r>
    </w:p>
  </w:endnote>
  <w:endnote w:id="1306">
    <w:p w:rsidR="00975183" w:rsidRDefault="00975183" w:rsidP="00442D33">
      <w:pPr>
        <w:pStyle w:val="EndnoteText"/>
      </w:pPr>
      <w:r w:rsidRPr="00347F4D">
        <w:rPr>
          <w:rStyle w:val="FootnoteReference"/>
        </w:rPr>
        <w:endnoteRef/>
      </w:r>
      <w:r w:rsidRPr="00347F4D">
        <w:t xml:space="preserve"> </w:t>
      </w:r>
      <w:r w:rsidRPr="00347F4D">
        <w:rPr>
          <w:color w:val="000000"/>
        </w:rPr>
        <w:t xml:space="preserve">Gen. </w:t>
      </w:r>
      <w:r w:rsidRPr="003668B1">
        <w:rPr>
          <w:color w:val="000000"/>
        </w:rPr>
        <w:t>32:28</w:t>
      </w:r>
      <w:r>
        <w:rPr>
          <w:color w:val="000000"/>
        </w:rPr>
        <w:t>.</w:t>
      </w:r>
    </w:p>
  </w:endnote>
  <w:endnote w:id="1307">
    <w:p w:rsidR="00975183" w:rsidRDefault="00975183" w:rsidP="00442D33">
      <w:pPr>
        <w:pStyle w:val="EndnoteText"/>
      </w:pPr>
      <w:r w:rsidRPr="00347F4D">
        <w:rPr>
          <w:rStyle w:val="FootnoteReference"/>
        </w:rPr>
        <w:endnoteRef/>
      </w:r>
      <w:r w:rsidRPr="00347F4D">
        <w:t xml:space="preserve"> </w:t>
      </w:r>
      <w:r w:rsidRPr="00347F4D">
        <w:rPr>
          <w:i/>
        </w:rPr>
        <w:t xml:space="preserve">SRB </w:t>
      </w:r>
      <w:r w:rsidRPr="00347F4D">
        <w:t xml:space="preserve">note on Exod. 19:1, p. 93. </w:t>
      </w:r>
      <w:r>
        <w:t xml:space="preserve"> </w:t>
      </w:r>
      <w:proofErr w:type="gramStart"/>
      <w:r w:rsidRPr="00347F4D">
        <w:t xml:space="preserve">cf </w:t>
      </w:r>
      <w:r>
        <w:t>I</w:t>
      </w:r>
      <w:r w:rsidRPr="00347F4D">
        <w:t>ntroduction to Exodus, p. 71</w:t>
      </w:r>
      <w:r w:rsidRPr="00347F4D">
        <w:rPr>
          <w:b/>
        </w:rPr>
        <w:t>.</w:t>
      </w:r>
      <w:proofErr w:type="gramEnd"/>
    </w:p>
  </w:endnote>
  <w:endnote w:id="1308">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12:1, p. 20</w:t>
      </w:r>
      <w:r w:rsidRPr="007B4F6A">
        <w:rPr>
          <w:lang w:eastAsia="en-GB"/>
        </w:rPr>
        <w:t>.</w:t>
      </w:r>
      <w:proofErr w:type="gramEnd"/>
      <w:r w:rsidRPr="007B4F6A">
        <w:t xml:space="preserve"> </w:t>
      </w:r>
      <w:r w:rsidRPr="007B4F6A">
        <w:rPr>
          <w:b/>
        </w:rPr>
        <w:t xml:space="preserve"> </w:t>
      </w:r>
      <w:proofErr w:type="gramStart"/>
      <w:r w:rsidRPr="007B4F6A">
        <w:t xml:space="preserve">cf </w:t>
      </w:r>
      <w:r w:rsidRPr="007B4F6A">
        <w:rPr>
          <w:i/>
        </w:rPr>
        <w:t>SRB</w:t>
      </w:r>
      <w:r w:rsidRPr="007B4F6A">
        <w:t xml:space="preserve"> </w:t>
      </w:r>
      <w:r w:rsidRPr="00E92CE3">
        <w:t>I</w:t>
      </w:r>
      <w:r w:rsidRPr="007B4F6A">
        <w:t>ntroduction to Galatians, p. 1241</w:t>
      </w:r>
      <w:r>
        <w:t>.</w:t>
      </w:r>
      <w:proofErr w:type="gramEnd"/>
      <w:r w:rsidRPr="007B4F6A">
        <w:t xml:space="preserve">  Ref. </w:t>
      </w:r>
      <w:r w:rsidRPr="007B4F6A">
        <w:rPr>
          <w:color w:val="000000"/>
        </w:rPr>
        <w:t>Gal. 3:15-18.</w:t>
      </w:r>
    </w:p>
  </w:endnote>
  <w:endnote w:id="1309">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w:t>
      </w:r>
      <w:r>
        <w:t>s</w:t>
      </w:r>
      <w:r w:rsidRPr="007B4F6A">
        <w:t>ubhead to Gal. 3:1</w:t>
      </w:r>
      <w:r>
        <w:t>7</w:t>
      </w:r>
      <w:r w:rsidRPr="007B4F6A">
        <w:t>, p. 1244</w:t>
      </w:r>
      <w:r w:rsidRPr="007B4F6A">
        <w:rPr>
          <w:lang w:eastAsia="en-GB"/>
        </w:rPr>
        <w:t>.</w:t>
      </w:r>
    </w:p>
  </w:endnote>
  <w:endnote w:id="1310">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w:t>
      </w:r>
      <w:r>
        <w:t>s</w:t>
      </w:r>
      <w:r w:rsidRPr="007B4F6A">
        <w:t>ubhead to Lev. 26:40, p. 163</w:t>
      </w:r>
      <w:r w:rsidRPr="007B4F6A">
        <w:rPr>
          <w:color w:val="FF0000"/>
          <w:lang w:eastAsia="en-GB"/>
        </w:rPr>
        <w:t>.</w:t>
      </w:r>
    </w:p>
  </w:endnote>
  <w:endnote w:id="1311">
    <w:p w:rsidR="00975183" w:rsidRDefault="00975183" w:rsidP="00442D33">
      <w:pPr>
        <w:pStyle w:val="EndnoteText"/>
      </w:pPr>
      <w:r w:rsidRPr="00347F4D">
        <w:rPr>
          <w:rStyle w:val="FootnoteReference"/>
        </w:rPr>
        <w:endnoteRef/>
      </w:r>
      <w:r w:rsidRPr="00347F4D">
        <w:t xml:space="preserve"> </w:t>
      </w:r>
      <w:proofErr w:type="gramStart"/>
      <w:r w:rsidRPr="00347F4D">
        <w:rPr>
          <w:i/>
        </w:rPr>
        <w:t>SRB</w:t>
      </w:r>
      <w:r w:rsidRPr="00347F4D">
        <w:t xml:space="preserve"> note on Gen. 12:1, p. 20.</w:t>
      </w:r>
      <w:proofErr w:type="gramEnd"/>
      <w:r>
        <w:t xml:space="preserve"> </w:t>
      </w:r>
      <w:proofErr w:type="gramStart"/>
      <w:r>
        <w:t>(</w:t>
      </w:r>
      <w:r w:rsidRPr="00615E77">
        <w:rPr>
          <w:i/>
        </w:rPr>
        <w:t>Scofield’s emphases</w:t>
      </w:r>
      <w:r>
        <w:t>.)</w:t>
      </w:r>
      <w:proofErr w:type="gramEnd"/>
    </w:p>
  </w:endnote>
  <w:endnote w:id="1312">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SRB</w:t>
      </w:r>
      <w:r w:rsidRPr="007B4F6A">
        <w:t xml:space="preserve"> note on Gen. 12:1, p. 20.</w:t>
      </w:r>
      <w:proofErr w:type="gramEnd"/>
    </w:p>
  </w:endnote>
  <w:endnote w:id="1313">
    <w:p w:rsidR="00975183" w:rsidRPr="007D1D1A" w:rsidRDefault="00975183" w:rsidP="00442D33">
      <w:pPr>
        <w:pStyle w:val="EndnoteText"/>
        <w:rPr>
          <w:spacing w:val="-2"/>
        </w:rPr>
      </w:pPr>
      <w:r w:rsidRPr="007B4F6A">
        <w:rPr>
          <w:rStyle w:val="EndnoteReference"/>
        </w:rPr>
        <w:endnoteRef/>
      </w:r>
      <w:r w:rsidRPr="007B4F6A">
        <w:t xml:space="preserve"> </w:t>
      </w:r>
      <w:r w:rsidRPr="007D1D1A">
        <w:rPr>
          <w:spacing w:val="-2"/>
        </w:rPr>
        <w:t xml:space="preserve">Gary M. Burge, </w:t>
      </w:r>
      <w:r w:rsidRPr="007D1D1A">
        <w:rPr>
          <w:i/>
          <w:spacing w:val="-2"/>
        </w:rPr>
        <w:t>Jesus and the Land: The New Testament Challenge to ‘Holy Land’ Theology</w:t>
      </w:r>
      <w:r w:rsidRPr="007D1D1A">
        <w:rPr>
          <w:spacing w:val="-2"/>
        </w:rPr>
        <w:t xml:space="preserve"> (Grand Rapids: SPCK, Baker Academic, 2010), pp.4-5.  This paragraph contains material from the author’s paper, </w:t>
      </w:r>
      <w:r w:rsidRPr="007D1D1A">
        <w:rPr>
          <w:spacing w:val="-2"/>
          <w:sz w:val="22"/>
          <w:szCs w:val="22"/>
        </w:rPr>
        <w:t>‘God’s Earthly People, p. 43.</w:t>
      </w:r>
    </w:p>
  </w:endnote>
  <w:endnote w:id="1314">
    <w:p w:rsidR="00975183" w:rsidRPr="00D13644" w:rsidRDefault="00975183" w:rsidP="00442D33">
      <w:pPr>
        <w:pStyle w:val="EndnoteText"/>
      </w:pPr>
      <w:r w:rsidRPr="00D13644">
        <w:rPr>
          <w:rStyle w:val="EndnoteReference"/>
        </w:rPr>
        <w:endnoteRef/>
      </w:r>
      <w:r w:rsidRPr="00D13644">
        <w:t xml:space="preserve"> </w:t>
      </w:r>
      <w:proofErr w:type="gramStart"/>
      <w:r w:rsidRPr="00D13644">
        <w:rPr>
          <w:i/>
        </w:rPr>
        <w:t>SRB</w:t>
      </w:r>
      <w:r>
        <w:t xml:space="preserve"> note on Gen. 15:18, pp. 24-5.</w:t>
      </w:r>
      <w:proofErr w:type="gramEnd"/>
    </w:p>
  </w:endnote>
  <w:endnote w:id="1315">
    <w:p w:rsidR="00975183" w:rsidRPr="00D13644" w:rsidRDefault="00975183" w:rsidP="00442D33">
      <w:pPr>
        <w:pStyle w:val="EndnoteText"/>
      </w:pPr>
      <w:r w:rsidRPr="00D13644">
        <w:rPr>
          <w:rStyle w:val="EndnoteReference"/>
        </w:rPr>
        <w:endnoteRef/>
      </w:r>
      <w:r w:rsidRPr="00D13644">
        <w:t xml:space="preserve"> </w:t>
      </w:r>
      <w:r w:rsidRPr="003D0543">
        <w:rPr>
          <w:b/>
        </w:rPr>
        <w:t>See 4.1</w:t>
      </w:r>
      <w:r>
        <w:t>.</w:t>
      </w:r>
    </w:p>
  </w:endnote>
  <w:endnote w:id="1316">
    <w:p w:rsidR="00975183" w:rsidRDefault="00975183" w:rsidP="00442D33">
      <w:pPr>
        <w:pStyle w:val="EndnoteText"/>
      </w:pPr>
      <w:r w:rsidRPr="008916A5">
        <w:rPr>
          <w:rStyle w:val="EndnoteReference"/>
        </w:rPr>
        <w:endnoteRef/>
      </w:r>
      <w:r w:rsidRPr="008916A5">
        <w:t xml:space="preserve"> </w:t>
      </w:r>
      <w:proofErr w:type="gramStart"/>
      <w:r>
        <w:t>Refs</w:t>
      </w:r>
      <w:proofErr w:type="gramEnd"/>
      <w:r>
        <w:t xml:space="preserve"> Gen. 13:14-15, 17; 15:18; 24:34-5.</w:t>
      </w:r>
    </w:p>
  </w:endnote>
  <w:endnote w:id="1317">
    <w:p w:rsidR="00975183" w:rsidRDefault="00975183" w:rsidP="00442D33">
      <w:pPr>
        <w:pStyle w:val="EndnoteText"/>
      </w:pPr>
      <w:r w:rsidRPr="008916A5">
        <w:rPr>
          <w:rStyle w:val="EndnoteReference"/>
        </w:rPr>
        <w:endnoteRef/>
      </w:r>
      <w:r w:rsidRPr="008916A5">
        <w:t xml:space="preserve"> </w:t>
      </w:r>
      <w:r>
        <w:t>Refs Gen. 15:6; Jn 8:56.</w:t>
      </w:r>
    </w:p>
  </w:endnote>
  <w:endnote w:id="1318">
    <w:p w:rsidR="00975183" w:rsidRDefault="00975183" w:rsidP="00442D33">
      <w:pPr>
        <w:pStyle w:val="EndnoteText"/>
      </w:pPr>
      <w:r w:rsidRPr="008916A5">
        <w:rPr>
          <w:rStyle w:val="EndnoteReference"/>
        </w:rPr>
        <w:endnoteRef/>
      </w:r>
      <w:r w:rsidRPr="008916A5">
        <w:t xml:space="preserve"> </w:t>
      </w:r>
      <w:r>
        <w:t>Refs Gal. 3:16; Jn 8:56-8.</w:t>
      </w:r>
    </w:p>
  </w:endnote>
  <w:endnote w:id="1319">
    <w:p w:rsidR="00975183" w:rsidRPr="00D13644" w:rsidRDefault="00975183" w:rsidP="00442D33">
      <w:pPr>
        <w:pStyle w:val="EndnoteText"/>
      </w:pPr>
      <w:r w:rsidRPr="00D13644">
        <w:rPr>
          <w:rStyle w:val="EndnoteReference"/>
        </w:rPr>
        <w:endnoteRef/>
      </w:r>
      <w:r w:rsidRPr="00D13644">
        <w:t xml:space="preserve"> </w:t>
      </w:r>
      <w:proofErr w:type="gramStart"/>
      <w:r w:rsidRPr="00D13644">
        <w:rPr>
          <w:i/>
        </w:rPr>
        <w:t>SRB</w:t>
      </w:r>
      <w:r>
        <w:t xml:space="preserve"> note on Gen. 15:18, p. 25.</w:t>
      </w:r>
      <w:proofErr w:type="gramEnd"/>
      <w:r>
        <w:t xml:space="preserve">  Ref. Gen. 3:15.</w:t>
      </w:r>
    </w:p>
  </w:endnote>
  <w:endnote w:id="1320">
    <w:p w:rsidR="00975183" w:rsidRDefault="00975183" w:rsidP="00442D33">
      <w:pPr>
        <w:pStyle w:val="EndnoteText"/>
      </w:pPr>
      <w:r w:rsidRPr="00EB29D0">
        <w:rPr>
          <w:rStyle w:val="FootnoteReference"/>
        </w:rPr>
        <w:endnoteRef/>
      </w:r>
      <w:r w:rsidRPr="00EB29D0">
        <w:t xml:space="preserve"> Genesis 12:3.</w:t>
      </w:r>
    </w:p>
  </w:endnote>
  <w:endnote w:id="1321">
    <w:p w:rsidR="00975183" w:rsidRPr="007B4F6A" w:rsidRDefault="00975183" w:rsidP="00442D33">
      <w:pPr>
        <w:pStyle w:val="EndnoteText"/>
      </w:pPr>
      <w:r w:rsidRPr="007B4F6A">
        <w:rPr>
          <w:rStyle w:val="EndnoteReference"/>
        </w:rPr>
        <w:endnoteRef/>
      </w:r>
      <w:r w:rsidRPr="007B4F6A">
        <w:t xml:space="preserve"> Stephen Sizer, ‘</w:t>
      </w:r>
      <w:r w:rsidRPr="007B4F6A">
        <w:rPr>
          <w:lang w:val="en-US"/>
        </w:rPr>
        <w:t>The Elevation of National Israel to a Superior Role over the Church</w:t>
      </w:r>
      <w:r w:rsidRPr="007B4F6A">
        <w:t xml:space="preserve">’ in ‘Cyrus Ingerson Scofield – The Author of the Scofield Reference Bible’, chapter 8, revised 1998 </w:t>
      </w:r>
    </w:p>
    <w:p w:rsidR="00975183" w:rsidRPr="007B4F6A" w:rsidRDefault="00975183" w:rsidP="00442D33">
      <w:pPr>
        <w:pStyle w:val="EndnoteText"/>
      </w:pPr>
      <w:r w:rsidRPr="007B4F6A">
        <w:t>&lt;http://www.theologue.org/CIScofield-SSizer.htm&gt; [accessed 24.6.11].</w:t>
      </w:r>
    </w:p>
  </w:endnote>
  <w:endnote w:id="1322">
    <w:p w:rsidR="00975183" w:rsidRPr="007B4F6A" w:rsidRDefault="00975183" w:rsidP="00442D33">
      <w:pPr>
        <w:pStyle w:val="EndnoteText"/>
      </w:pPr>
      <w:r w:rsidRPr="007B4F6A">
        <w:rPr>
          <w:rStyle w:val="EndnoteReference"/>
        </w:rPr>
        <w:endnoteRef/>
      </w:r>
      <w:r w:rsidRPr="007B4F6A">
        <w:t xml:space="preserve"> Jeremiah 17:5-8.</w:t>
      </w:r>
    </w:p>
  </w:endnote>
  <w:endnote w:id="1323">
    <w:p w:rsidR="00975183" w:rsidRPr="007D1D1A" w:rsidRDefault="00975183">
      <w:pPr>
        <w:pStyle w:val="EndnoteText"/>
      </w:pPr>
      <w:r w:rsidRPr="007D1D1A">
        <w:rPr>
          <w:rStyle w:val="EndnoteReference"/>
        </w:rPr>
        <w:endnoteRef/>
      </w:r>
      <w:r w:rsidRPr="007D1D1A">
        <w:t xml:space="preserve"> This paragraph contains material from the author’s paper, ‘God’s Earthly People’, pp. 44-5.</w:t>
      </w:r>
    </w:p>
  </w:endnote>
  <w:endnote w:id="1324">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w:t>
      </w:r>
      <w:r>
        <w:t>n</w:t>
      </w:r>
      <w:r w:rsidRPr="007B4F6A">
        <w:t>ote on Deut. 30:3, p. 250</w:t>
      </w:r>
      <w:r w:rsidRPr="007B4F6A">
        <w:rPr>
          <w:color w:val="FF0000"/>
          <w:lang w:eastAsia="en-GB"/>
        </w:rPr>
        <w:t>.</w:t>
      </w:r>
    </w:p>
  </w:endnote>
  <w:endnote w:id="1325">
    <w:p w:rsidR="00975183" w:rsidRDefault="00975183" w:rsidP="00442D33">
      <w:pPr>
        <w:pStyle w:val="EndnoteText"/>
      </w:pPr>
      <w:r w:rsidRPr="00347F4D">
        <w:rPr>
          <w:rStyle w:val="FootnoteReference"/>
        </w:rPr>
        <w:endnoteRef/>
      </w:r>
      <w:r w:rsidRPr="00347F4D">
        <w:t xml:space="preserve"> Stephen Sizer, </w:t>
      </w:r>
      <w:r w:rsidRPr="00347F4D">
        <w:rPr>
          <w:i/>
        </w:rPr>
        <w:t>Christian Zionism: Road-map to Armageddon?</w:t>
      </w:r>
      <w:r w:rsidRPr="00347F4D">
        <w:t xml:space="preserve"> (Leicester: Inter-Varsity Press, 2004), p. 155.  </w:t>
      </w:r>
    </w:p>
  </w:endnote>
  <w:endnote w:id="1326">
    <w:p w:rsidR="00975183" w:rsidRPr="007B4F6A" w:rsidRDefault="00975183" w:rsidP="00442D33">
      <w:pPr>
        <w:pStyle w:val="EndnoteText"/>
      </w:pPr>
      <w:r w:rsidRPr="007B4F6A">
        <w:rPr>
          <w:rStyle w:val="EndnoteReference"/>
        </w:rPr>
        <w:endnoteRef/>
      </w:r>
      <w:r w:rsidRPr="007B4F6A">
        <w:t xml:space="preserve"> Burge, </w:t>
      </w:r>
      <w:r w:rsidRPr="007B4F6A">
        <w:rPr>
          <w:i/>
        </w:rPr>
        <w:t>Jesus and the Land</w:t>
      </w:r>
      <w:r w:rsidRPr="007B4F6A">
        <w:t>, pp. 4-5.</w:t>
      </w:r>
    </w:p>
  </w:endnote>
  <w:endnote w:id="1327">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note on Exod. 19:8, p. 94.</w:t>
      </w:r>
      <w:r>
        <w:t xml:space="preserve">  </w:t>
      </w:r>
      <w:r w:rsidRPr="00347F4D">
        <w:t xml:space="preserve">cf </w:t>
      </w:r>
      <w:r w:rsidRPr="008928B3">
        <w:rPr>
          <w:i/>
        </w:rPr>
        <w:t>SRB</w:t>
      </w:r>
      <w:r>
        <w:t xml:space="preserve"> </w:t>
      </w:r>
      <w:r w:rsidRPr="00347F4D">
        <w:t>note on Gal. 3:24, p. 1244.</w:t>
      </w:r>
      <w:r w:rsidRPr="001C0261">
        <w:t xml:space="preserve">  </w:t>
      </w:r>
    </w:p>
  </w:endnote>
  <w:endnote w:id="1328">
    <w:p w:rsidR="00975183" w:rsidRPr="007B4F6A" w:rsidRDefault="00975183" w:rsidP="00442D33">
      <w:pPr>
        <w:pStyle w:val="EndnoteText"/>
        <w:rPr>
          <w:color w:val="000000"/>
        </w:rPr>
      </w:pPr>
      <w:r w:rsidRPr="007B4F6A">
        <w:rPr>
          <w:rStyle w:val="EndnoteReference"/>
        </w:rPr>
        <w:endnoteRef/>
      </w:r>
      <w:r w:rsidRPr="007B4F6A">
        <w:t xml:space="preserve"> Refs </w:t>
      </w:r>
      <w:r w:rsidRPr="007B4F6A">
        <w:rPr>
          <w:color w:val="000000"/>
        </w:rPr>
        <w:t>Rom. 8:3; Heb. 7:18, 19.</w:t>
      </w:r>
    </w:p>
  </w:endnote>
  <w:endnote w:id="1329">
    <w:p w:rsidR="00975183" w:rsidRPr="001C0261"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Exod. 19:5</w:t>
      </w:r>
      <w:r w:rsidRPr="00FC3589">
        <w:t>, p. 93</w:t>
      </w:r>
      <w:r w:rsidRPr="007B4F6A">
        <w:t>.  cf Gen. 15:18</w:t>
      </w:r>
      <w:r>
        <w:t xml:space="preserve">; </w:t>
      </w:r>
      <w:r w:rsidRPr="001C0261">
        <w:t>Heb. 8:8-12.</w:t>
      </w:r>
    </w:p>
  </w:endnote>
  <w:endnote w:id="1330">
    <w:p w:rsidR="00975183" w:rsidRDefault="00975183" w:rsidP="00442D33">
      <w:pPr>
        <w:pStyle w:val="EndnoteText"/>
      </w:pPr>
      <w:r w:rsidRPr="00291655">
        <w:rPr>
          <w:rStyle w:val="EndnoteReference"/>
        </w:rPr>
        <w:endnoteRef/>
      </w:r>
      <w:r w:rsidRPr="00291655">
        <w:t xml:space="preserve"> </w:t>
      </w:r>
      <w:r w:rsidRPr="00347F4D">
        <w:rPr>
          <w:i/>
        </w:rPr>
        <w:t>SRB</w:t>
      </w:r>
      <w:r w:rsidRPr="00347F4D">
        <w:t xml:space="preserve"> note on</w:t>
      </w:r>
      <w:r>
        <w:t xml:space="preserve"> Gal. 3:24, p. 1244.</w:t>
      </w:r>
    </w:p>
  </w:endnote>
  <w:endnote w:id="1331">
    <w:p w:rsidR="00975183"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w:t>
      </w:r>
      <w:r>
        <w:t xml:space="preserve"> Mt. 6:12, p. 1002.  Refs Mt. 18:32 and </w:t>
      </w:r>
      <w:r w:rsidRPr="00A8428E">
        <w:rPr>
          <w:i/>
        </w:rPr>
        <w:t>SRB</w:t>
      </w:r>
      <w:r>
        <w:t xml:space="preserve"> note on Mt. 26:28.  </w:t>
      </w:r>
    </w:p>
  </w:endnote>
  <w:endnote w:id="1332">
    <w:p w:rsidR="00975183" w:rsidRDefault="00975183" w:rsidP="00442D33">
      <w:pPr>
        <w:pStyle w:val="EndnoteText"/>
      </w:pPr>
      <w:r w:rsidRPr="008928B3">
        <w:rPr>
          <w:rStyle w:val="EndnoteReference"/>
        </w:rPr>
        <w:endnoteRef/>
      </w:r>
      <w:r w:rsidRPr="008928B3">
        <w:t xml:space="preserve"> </w:t>
      </w:r>
      <w:r w:rsidRPr="004518D3">
        <w:rPr>
          <w:color w:val="000000"/>
        </w:rPr>
        <w:t>cf Jn 14:13, 14; 16:24</w:t>
      </w:r>
      <w:r>
        <w:rPr>
          <w:color w:val="000000"/>
        </w:rPr>
        <w:t>.</w:t>
      </w:r>
    </w:p>
  </w:endnote>
  <w:endnote w:id="1333">
    <w:p w:rsidR="00975183" w:rsidRDefault="00975183" w:rsidP="00442D33">
      <w:pPr>
        <w:pStyle w:val="EndnoteText"/>
      </w:pPr>
      <w:r w:rsidRPr="00291655">
        <w:rPr>
          <w:rStyle w:val="EndnoteReference"/>
        </w:rPr>
        <w:endnoteRef/>
      </w:r>
      <w:r w:rsidRPr="00291655">
        <w:t xml:space="preserve"> </w:t>
      </w:r>
      <w:r w:rsidRPr="00347F4D">
        <w:rPr>
          <w:i/>
        </w:rPr>
        <w:t>SRB</w:t>
      </w:r>
      <w:r w:rsidRPr="00347F4D">
        <w:t xml:space="preserve"> note on Lk. 11:1, pp. 1089-90</w:t>
      </w:r>
      <w:r w:rsidRPr="00347F4D">
        <w:rPr>
          <w:color w:val="000000"/>
        </w:rPr>
        <w:t>.</w:t>
      </w:r>
      <w:r>
        <w:rPr>
          <w:color w:val="000000"/>
        </w:rPr>
        <w:t xml:space="preserve">  </w:t>
      </w:r>
      <w:r w:rsidRPr="00291655">
        <w:rPr>
          <w:color w:val="000000"/>
        </w:rPr>
        <w:t>cf Eph. 4:32</w:t>
      </w:r>
      <w:r>
        <w:rPr>
          <w:color w:val="000000"/>
        </w:rPr>
        <w:t>.</w:t>
      </w:r>
    </w:p>
  </w:endnote>
  <w:endnote w:id="1334">
    <w:p w:rsidR="00975183" w:rsidRDefault="00975183" w:rsidP="00442D33">
      <w:pPr>
        <w:pStyle w:val="EndnoteText"/>
      </w:pPr>
      <w:r w:rsidRPr="00291655">
        <w:rPr>
          <w:rStyle w:val="EndnoteReference"/>
        </w:rPr>
        <w:endnoteRef/>
      </w:r>
      <w:r w:rsidRPr="00291655">
        <w:t xml:space="preserve"> </w:t>
      </w:r>
      <w:r w:rsidRPr="00347F4D">
        <w:rPr>
          <w:i/>
        </w:rPr>
        <w:t>SRB</w:t>
      </w:r>
      <w:r w:rsidRPr="00347F4D">
        <w:t xml:space="preserve"> note on Lk. 11:1, pp. 1089-90</w:t>
      </w:r>
      <w:r w:rsidRPr="00347F4D">
        <w:rPr>
          <w:color w:val="000000"/>
        </w:rPr>
        <w:t>.</w:t>
      </w:r>
      <w:r>
        <w:rPr>
          <w:color w:val="000000"/>
        </w:rPr>
        <w:t xml:space="preserve">  </w:t>
      </w:r>
    </w:p>
  </w:endnote>
  <w:endnote w:id="1335">
    <w:p w:rsidR="00975183" w:rsidRPr="0009623B" w:rsidRDefault="00975183" w:rsidP="00442D33">
      <w:pPr>
        <w:pStyle w:val="EndnoteText"/>
      </w:pPr>
      <w:r w:rsidRPr="0009623B">
        <w:rPr>
          <w:rStyle w:val="EndnoteReference"/>
        </w:rPr>
        <w:endnoteRef/>
      </w:r>
      <w:r w:rsidRPr="0009623B">
        <w:t xml:space="preserve"> Ref. Exod. 20:1-26.</w:t>
      </w:r>
    </w:p>
  </w:endnote>
  <w:endnote w:id="1336">
    <w:p w:rsidR="00975183" w:rsidRPr="0009623B" w:rsidRDefault="00975183" w:rsidP="00442D33">
      <w:pPr>
        <w:pStyle w:val="EndnoteText"/>
      </w:pPr>
      <w:r w:rsidRPr="0009623B">
        <w:rPr>
          <w:rStyle w:val="EndnoteReference"/>
        </w:rPr>
        <w:endnoteRef/>
      </w:r>
      <w:r w:rsidRPr="0009623B">
        <w:t xml:space="preserve"> </w:t>
      </w:r>
      <w:r>
        <w:t>Ref. Exod. 21:1 – 24:11.</w:t>
      </w:r>
    </w:p>
  </w:endnote>
  <w:endnote w:id="1337">
    <w:p w:rsidR="00975183" w:rsidRDefault="00975183" w:rsidP="00442D33">
      <w:pPr>
        <w:pStyle w:val="EndnoteText"/>
      </w:pPr>
      <w:r w:rsidRPr="0009623B">
        <w:rPr>
          <w:rStyle w:val="EndnoteReference"/>
        </w:rPr>
        <w:endnoteRef/>
      </w:r>
      <w:r w:rsidRPr="0009623B">
        <w:t xml:space="preserve"> </w:t>
      </w:r>
      <w:r>
        <w:t>Ref. Exod. 24:12 – 31:18.</w:t>
      </w:r>
    </w:p>
  </w:endnote>
  <w:endnote w:id="1338">
    <w:p w:rsidR="00975183" w:rsidRPr="007D1D1A" w:rsidRDefault="00975183" w:rsidP="00442D33">
      <w:pPr>
        <w:spacing w:after="0" w:line="240" w:lineRule="auto"/>
        <w:rPr>
          <w:sz w:val="20"/>
          <w:szCs w:val="20"/>
        </w:rPr>
      </w:pPr>
      <w:r w:rsidRPr="007D1D1A">
        <w:rPr>
          <w:rStyle w:val="FootnoteReference"/>
          <w:sz w:val="20"/>
          <w:szCs w:val="20"/>
        </w:rPr>
        <w:endnoteRef/>
      </w:r>
      <w:r w:rsidRPr="007D1D1A">
        <w:rPr>
          <w:sz w:val="20"/>
          <w:szCs w:val="20"/>
        </w:rPr>
        <w:t xml:space="preserve"> </w:t>
      </w:r>
      <w:r w:rsidRPr="007D1D1A">
        <w:rPr>
          <w:i/>
          <w:sz w:val="20"/>
          <w:szCs w:val="20"/>
        </w:rPr>
        <w:t>SRB</w:t>
      </w:r>
      <w:r w:rsidRPr="007D1D1A">
        <w:rPr>
          <w:sz w:val="20"/>
          <w:szCs w:val="20"/>
        </w:rPr>
        <w:t xml:space="preserve"> note on Exod. 19:25, p. 95.  Refs Exod. 20:1-26; 21:1-24:11; 24:12-31:18; </w:t>
      </w:r>
    </w:p>
    <w:p w:rsidR="00975183" w:rsidRPr="007D1D1A" w:rsidRDefault="00975183" w:rsidP="00442D33">
      <w:pPr>
        <w:spacing w:after="0" w:line="240" w:lineRule="auto"/>
        <w:rPr>
          <w:sz w:val="20"/>
          <w:szCs w:val="20"/>
        </w:rPr>
      </w:pPr>
      <w:r w:rsidRPr="007D1D1A">
        <w:rPr>
          <w:color w:val="000000"/>
          <w:sz w:val="20"/>
          <w:szCs w:val="20"/>
        </w:rPr>
        <w:t>Rom. 3:21-7; 6:14, 15; Gal. 2:16; 3:10-14, 16-18, 24-6; 4:21-31; Heb. 10:11-17</w:t>
      </w:r>
      <w:r w:rsidRPr="007D1D1A">
        <w:rPr>
          <w:sz w:val="20"/>
          <w:szCs w:val="20"/>
        </w:rPr>
        <w:t>.</w:t>
      </w:r>
    </w:p>
  </w:endnote>
  <w:endnote w:id="1339">
    <w:p w:rsidR="00975183" w:rsidRPr="007D1D1A" w:rsidRDefault="00975183" w:rsidP="00442D33">
      <w:pPr>
        <w:pStyle w:val="EndnoteText"/>
        <w:tabs>
          <w:tab w:val="left" w:pos="2694"/>
        </w:tabs>
      </w:pPr>
      <w:r w:rsidRPr="007D1D1A">
        <w:rPr>
          <w:rStyle w:val="EndnoteReference"/>
        </w:rPr>
        <w:endnoteRef/>
      </w:r>
      <w:r w:rsidRPr="007D1D1A">
        <w:t xml:space="preserve"> Ref. 2 Cor. 3:7-9.</w:t>
      </w:r>
    </w:p>
  </w:endnote>
  <w:endnote w:id="1340">
    <w:p w:rsidR="00975183" w:rsidRPr="002261A2" w:rsidRDefault="00975183" w:rsidP="00442D33">
      <w:pPr>
        <w:pStyle w:val="EndnoteText"/>
      </w:pPr>
      <w:r w:rsidRPr="002261A2">
        <w:rPr>
          <w:rStyle w:val="EndnoteReference"/>
        </w:rPr>
        <w:endnoteRef/>
      </w:r>
      <w:r w:rsidRPr="002261A2">
        <w:t xml:space="preserve"> Refs </w:t>
      </w:r>
      <w:r w:rsidRPr="002261A2">
        <w:rPr>
          <w:color w:val="000000"/>
        </w:rPr>
        <w:t>Heb. 5:1-3; 9:6-9; Rom. 3:25, 26.</w:t>
      </w:r>
      <w:r w:rsidRPr="002261A2">
        <w:rPr>
          <w:b/>
          <w:color w:val="000000"/>
        </w:rPr>
        <w:t xml:space="preserve">  </w:t>
      </w:r>
      <w:r w:rsidRPr="002261A2">
        <w:t>cf Lev. 16:6; Heb. 8:8.</w:t>
      </w:r>
    </w:p>
  </w:endnote>
  <w:endnote w:id="1341">
    <w:p w:rsidR="00975183" w:rsidRPr="007B4F6A" w:rsidRDefault="00975183" w:rsidP="00442D33">
      <w:pPr>
        <w:pStyle w:val="EndnoteText"/>
      </w:pPr>
      <w:r w:rsidRPr="007B4F6A">
        <w:rPr>
          <w:rStyle w:val="EndnoteReference"/>
        </w:rPr>
        <w:endnoteRef/>
      </w:r>
      <w:r w:rsidRPr="007B4F6A">
        <w:t xml:space="preserve"> </w:t>
      </w:r>
      <w:proofErr w:type="gramStart"/>
      <w:r w:rsidRPr="007B4F6A">
        <w:rPr>
          <w:i/>
        </w:rPr>
        <w:t xml:space="preserve">SRB </w:t>
      </w:r>
      <w:r w:rsidRPr="007B4F6A">
        <w:t xml:space="preserve"> note</w:t>
      </w:r>
      <w:proofErr w:type="gramEnd"/>
      <w:r w:rsidRPr="007B4F6A">
        <w:t xml:space="preserve"> on Exod. 19:25, p. 95</w:t>
      </w:r>
      <w:r w:rsidRPr="007B4F6A">
        <w:rPr>
          <w:lang w:eastAsia="en-GB"/>
        </w:rPr>
        <w:t>.</w:t>
      </w:r>
    </w:p>
  </w:endnote>
  <w:endnote w:id="1342">
    <w:p w:rsidR="00975183" w:rsidRDefault="00975183" w:rsidP="00442D33">
      <w:pPr>
        <w:pStyle w:val="EndnoteText"/>
      </w:pPr>
      <w:r w:rsidRPr="00347F4D">
        <w:rPr>
          <w:rStyle w:val="FootnoteReference"/>
        </w:rPr>
        <w:endnoteRef/>
      </w:r>
      <w:r w:rsidRPr="00347F4D">
        <w:t xml:space="preserve"> </w:t>
      </w:r>
      <w:r w:rsidRPr="008928B3">
        <w:rPr>
          <w:i/>
        </w:rPr>
        <w:t>SRB</w:t>
      </w:r>
      <w:r>
        <w:t xml:space="preserve"> </w:t>
      </w:r>
      <w:r w:rsidRPr="00347F4D">
        <w:t>note on Heb. 8:8, p. 1298</w:t>
      </w:r>
      <w:r>
        <w:t xml:space="preserve">.  Ref. </w:t>
      </w:r>
      <w:r w:rsidRPr="00347F4D">
        <w:t>Gal. 3:10-13.</w:t>
      </w:r>
    </w:p>
  </w:endnote>
  <w:endnote w:id="1343">
    <w:p w:rsidR="00975183" w:rsidRPr="00347F4D" w:rsidRDefault="00975183" w:rsidP="00442D33">
      <w:pPr>
        <w:pStyle w:val="EndnoteText"/>
      </w:pPr>
      <w:r w:rsidRPr="00347F4D">
        <w:rPr>
          <w:rStyle w:val="FootnoteReference"/>
        </w:rPr>
        <w:endnoteRef/>
      </w:r>
      <w:r w:rsidRPr="00347F4D">
        <w:t xml:space="preserve"> ‘Palestinian Covenant’ appears each time Scofield rehearses his list of covenants in the notes on </w:t>
      </w:r>
    </w:p>
    <w:p w:rsidR="00975183" w:rsidRPr="00347F4D" w:rsidRDefault="00975183" w:rsidP="00442D33">
      <w:pPr>
        <w:pStyle w:val="EndnoteText"/>
      </w:pPr>
      <w:r w:rsidRPr="00347F4D">
        <w:t xml:space="preserve">Gen. 1:28, p. 6; Gen. 3:14, p. 9; Gen. 9:1, p. 16; Gen. 15:18, p. 25; Exod. 19:25, p. 95; Deut. 30:3, p. 250; </w:t>
      </w:r>
    </w:p>
    <w:p w:rsidR="00975183" w:rsidRDefault="00975183" w:rsidP="00442D33">
      <w:pPr>
        <w:pStyle w:val="EndnoteText"/>
      </w:pPr>
      <w:r w:rsidRPr="00347F4D">
        <w:t>1 Sam. 7:16, p. 362; Heb. 8:8, pp. 1297-8.</w:t>
      </w:r>
    </w:p>
  </w:endnote>
  <w:endnote w:id="1344">
    <w:p w:rsidR="00975183" w:rsidRPr="003B5443" w:rsidRDefault="00975183" w:rsidP="00442D33">
      <w:pPr>
        <w:pStyle w:val="EndnoteText"/>
      </w:pPr>
      <w:r w:rsidRPr="003B5443">
        <w:rPr>
          <w:rStyle w:val="EndnoteReference"/>
        </w:rPr>
        <w:endnoteRef/>
      </w:r>
      <w:r w:rsidRPr="003B5443">
        <w:t xml:space="preserve"> Ref. Hos. 2:1-23</w:t>
      </w:r>
      <w:r>
        <w:t>.</w:t>
      </w:r>
    </w:p>
  </w:endnote>
  <w:endnote w:id="1345">
    <w:p w:rsidR="00975183" w:rsidRDefault="00975183" w:rsidP="00442D33">
      <w:pPr>
        <w:pStyle w:val="EndnoteText"/>
      </w:pPr>
      <w:r w:rsidRPr="00347F4D">
        <w:rPr>
          <w:rStyle w:val="FootnoteReference"/>
        </w:rPr>
        <w:endnoteRef/>
      </w:r>
      <w:r w:rsidRPr="00347F4D">
        <w:t xml:space="preserve"> </w:t>
      </w:r>
      <w:proofErr w:type="gramStart"/>
      <w:r w:rsidRPr="00347F4D">
        <w:rPr>
          <w:i/>
        </w:rPr>
        <w:t>SRB</w:t>
      </w:r>
      <w:r w:rsidRPr="00347F4D">
        <w:t xml:space="preserve"> note on Gen. 25:1, p. 37.</w:t>
      </w:r>
      <w:proofErr w:type="gramEnd"/>
    </w:p>
  </w:endnote>
  <w:endnote w:id="1346">
    <w:p w:rsidR="00975183" w:rsidRDefault="00975183" w:rsidP="00442D33">
      <w:pPr>
        <w:pStyle w:val="EndnoteText"/>
      </w:pPr>
      <w:r w:rsidRPr="00347F4D">
        <w:rPr>
          <w:rStyle w:val="FootnoteReference"/>
        </w:rPr>
        <w:endnoteRef/>
      </w:r>
      <w:r w:rsidRPr="00347F4D">
        <w:t xml:space="preserve"> </w:t>
      </w:r>
      <w:r w:rsidRPr="00347F4D">
        <w:rPr>
          <w:i/>
        </w:rPr>
        <w:t>SRB</w:t>
      </w:r>
      <w:r w:rsidRPr="00347F4D">
        <w:t xml:space="preserve"> note</w:t>
      </w:r>
      <w:r>
        <w:t xml:space="preserve"> on Deut. 28:1, p.245.</w:t>
      </w:r>
    </w:p>
  </w:endnote>
  <w:endnote w:id="1347">
    <w:p w:rsidR="00975183" w:rsidRDefault="00975183" w:rsidP="00442D33">
      <w:pPr>
        <w:pStyle w:val="EndnoteText"/>
      </w:pPr>
      <w:r w:rsidRPr="00347F4D">
        <w:rPr>
          <w:rStyle w:val="FootnoteReference"/>
        </w:rPr>
        <w:endnoteRef/>
      </w:r>
      <w:r w:rsidRPr="00347F4D">
        <w:t xml:space="preserve"> </w:t>
      </w:r>
      <w:r w:rsidRPr="00347F4D">
        <w:rPr>
          <w:i/>
        </w:rPr>
        <w:t>SRB</w:t>
      </w:r>
      <w:r w:rsidRPr="00347F4D">
        <w:t xml:space="preserve"> </w:t>
      </w:r>
      <w:r>
        <w:t>subhead to Deut. 29:1, p. 248.</w:t>
      </w:r>
    </w:p>
  </w:endnote>
  <w:endnote w:id="1348">
    <w:p w:rsidR="00975183" w:rsidRPr="007B4F6A" w:rsidRDefault="00975183" w:rsidP="00442D33">
      <w:pPr>
        <w:pStyle w:val="EndnoteText"/>
      </w:pPr>
      <w:r w:rsidRPr="007B4F6A">
        <w:rPr>
          <w:rStyle w:val="FootnoteReference"/>
        </w:rPr>
        <w:endnoteRef/>
      </w:r>
      <w:r w:rsidRPr="007B4F6A">
        <w:t xml:space="preserve"> </w:t>
      </w:r>
      <w:r w:rsidRPr="007B4F6A">
        <w:rPr>
          <w:i/>
        </w:rPr>
        <w:t>SRB</w:t>
      </w:r>
      <w:r>
        <w:t xml:space="preserve"> n</w:t>
      </w:r>
      <w:r w:rsidRPr="007B4F6A">
        <w:t>ote on Deut. 30:3, p. 250</w:t>
      </w:r>
      <w:r w:rsidRPr="007B4F6A">
        <w:rPr>
          <w:lang w:eastAsia="en-GB"/>
        </w:rPr>
        <w:t>.</w:t>
      </w:r>
    </w:p>
  </w:endnote>
  <w:endnote w:id="1349">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w:t>
      </w:r>
      <w:r>
        <w:t>I</w:t>
      </w:r>
      <w:r w:rsidRPr="007B4F6A">
        <w:t xml:space="preserve">ntroduction to Deuteronomy, </w:t>
      </w:r>
      <w:r w:rsidRPr="00937DF3">
        <w:t>p. 216</w:t>
      </w:r>
      <w:r>
        <w:t>.</w:t>
      </w:r>
    </w:p>
  </w:endnote>
  <w:endnote w:id="1350">
    <w:p w:rsidR="00975183" w:rsidRPr="007B4F6A" w:rsidRDefault="00975183" w:rsidP="00442D33">
      <w:pPr>
        <w:pStyle w:val="EndnoteText"/>
      </w:pPr>
      <w:r w:rsidRPr="007B4F6A">
        <w:rPr>
          <w:rStyle w:val="EndnoteReference"/>
        </w:rPr>
        <w:endnoteRef/>
      </w:r>
      <w:r w:rsidRPr="007B4F6A">
        <w:t xml:space="preserve"> </w:t>
      </w:r>
      <w:r w:rsidRPr="00B93636">
        <w:rPr>
          <w:i/>
        </w:rPr>
        <w:t>SRB</w:t>
      </w:r>
      <w:r>
        <w:t xml:space="preserve"> n</w:t>
      </w:r>
      <w:r w:rsidRPr="007B4F6A">
        <w:t>ote on Heb. 8:8, p. 1298</w:t>
      </w:r>
      <w:r w:rsidRPr="007B4F6A">
        <w:rPr>
          <w:lang w:eastAsia="en-GB"/>
        </w:rPr>
        <w:t>.</w:t>
      </w:r>
    </w:p>
  </w:endnote>
  <w:endnote w:id="1351">
    <w:p w:rsidR="00975183" w:rsidRDefault="00975183" w:rsidP="00442D33">
      <w:pPr>
        <w:pStyle w:val="EndnoteText"/>
      </w:pPr>
      <w:r w:rsidRPr="00347F4D">
        <w:rPr>
          <w:rStyle w:val="FootnoteReference"/>
        </w:rPr>
        <w:endnoteRef/>
      </w:r>
      <w:r w:rsidRPr="00347F4D">
        <w:t xml:space="preserve"> </w:t>
      </w:r>
      <w:r w:rsidRPr="00B93636">
        <w:rPr>
          <w:i/>
        </w:rPr>
        <w:t xml:space="preserve">SRB </w:t>
      </w:r>
      <w:r>
        <w:t>n</w:t>
      </w:r>
      <w:r w:rsidRPr="00347F4D">
        <w:t>ote on Lev. 23:27, p. 157</w:t>
      </w:r>
      <w:r w:rsidRPr="00347F4D">
        <w:rPr>
          <w:lang w:eastAsia="en-GB"/>
        </w:rPr>
        <w:t xml:space="preserve">. </w:t>
      </w:r>
      <w:r w:rsidRPr="00347F4D">
        <w:t xml:space="preserve"> </w:t>
      </w:r>
      <w:proofErr w:type="gramStart"/>
      <w:r w:rsidRPr="00347F4D">
        <w:t>(M</w:t>
      </w:r>
      <w:r w:rsidRPr="00347F4D">
        <w:rPr>
          <w:i/>
          <w:color w:val="000000"/>
        </w:rPr>
        <w:t>y emphasis</w:t>
      </w:r>
      <w:r w:rsidRPr="001C0261">
        <w:t>.)</w:t>
      </w:r>
      <w:proofErr w:type="gramEnd"/>
      <w:r w:rsidRPr="001C0261">
        <w:t xml:space="preserve"> </w:t>
      </w:r>
      <w:r w:rsidRPr="001C0261">
        <w:rPr>
          <w:i/>
        </w:rPr>
        <w:t xml:space="preserve"> </w:t>
      </w:r>
    </w:p>
  </w:endnote>
  <w:endnote w:id="1352">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note on chapter-heading to Leviticus 26, p. 161</w:t>
      </w:r>
      <w:r>
        <w:t>.</w:t>
      </w:r>
      <w:proofErr w:type="gramEnd"/>
    </w:p>
  </w:endnote>
  <w:endnote w:id="1353">
    <w:p w:rsidR="00975183" w:rsidRPr="007B4F6A" w:rsidRDefault="00975183" w:rsidP="00442D33">
      <w:pPr>
        <w:pStyle w:val="FootnoteText"/>
        <w:rPr>
          <w:rFonts w:ascii="Perpetua" w:hAnsi="Perpetua"/>
        </w:rPr>
      </w:pPr>
      <w:r w:rsidRPr="007B4F6A">
        <w:rPr>
          <w:rStyle w:val="EndnoteReference"/>
          <w:rFonts w:ascii="Perpetua" w:hAnsi="Perpetua"/>
        </w:rPr>
        <w:endnoteRef/>
      </w:r>
      <w:r w:rsidRPr="007B4F6A">
        <w:rPr>
          <w:rFonts w:ascii="Perpetua" w:hAnsi="Perpetua"/>
        </w:rPr>
        <w:t xml:space="preserve"> </w:t>
      </w:r>
      <w:r w:rsidRPr="005C79F5">
        <w:rPr>
          <w:rFonts w:ascii="Perpetua" w:hAnsi="Perpetua"/>
          <w:i/>
        </w:rPr>
        <w:t>SRB</w:t>
      </w:r>
      <w:r>
        <w:rPr>
          <w:rFonts w:ascii="Perpetua" w:hAnsi="Perpetua"/>
        </w:rPr>
        <w:t xml:space="preserve"> </w:t>
      </w:r>
      <w:r w:rsidRPr="007B4F6A">
        <w:rPr>
          <w:rFonts w:ascii="Perpetua" w:hAnsi="Perpetua"/>
        </w:rPr>
        <w:t>Introduction to the Historical Books, p. 257</w:t>
      </w:r>
      <w:r w:rsidRPr="007B4F6A">
        <w:rPr>
          <w:rFonts w:ascii="Perpetua" w:hAnsi="Perpetua"/>
          <w:lang w:eastAsia="en-GB"/>
        </w:rPr>
        <w:t xml:space="preserve">.  </w:t>
      </w:r>
    </w:p>
  </w:endnote>
  <w:endnote w:id="1354">
    <w:p w:rsidR="00975183" w:rsidRPr="007B4F6A" w:rsidRDefault="00975183" w:rsidP="00442D33">
      <w:pPr>
        <w:pStyle w:val="EndnoteText"/>
      </w:pPr>
      <w:r w:rsidRPr="007B4F6A">
        <w:rPr>
          <w:rStyle w:val="EndnoteReference"/>
        </w:rPr>
        <w:endnoteRef/>
      </w:r>
      <w:r w:rsidRPr="007B4F6A">
        <w:t xml:space="preserve"> </w:t>
      </w:r>
      <w:r w:rsidRPr="005C79F5">
        <w:rPr>
          <w:i/>
        </w:rPr>
        <w:t>SRB</w:t>
      </w:r>
      <w:r>
        <w:t xml:space="preserve"> n</w:t>
      </w:r>
      <w:r w:rsidRPr="007B4F6A">
        <w:t>ote on Deut. 30:3, p. 250</w:t>
      </w:r>
      <w:r w:rsidRPr="007B4F6A">
        <w:rPr>
          <w:lang w:eastAsia="en-GB"/>
        </w:rPr>
        <w:t>.</w:t>
      </w:r>
      <w:r w:rsidRPr="007B4F6A">
        <w:t xml:space="preserve">   </w:t>
      </w:r>
    </w:p>
  </w:endnote>
  <w:endnote w:id="1355">
    <w:p w:rsidR="00975183" w:rsidRPr="001C0261" w:rsidRDefault="00975183" w:rsidP="00442D33">
      <w:pPr>
        <w:pStyle w:val="EndnoteText"/>
      </w:pPr>
      <w:r w:rsidRPr="007B4F6A">
        <w:rPr>
          <w:rStyle w:val="EndnoteReference"/>
        </w:rPr>
        <w:endnoteRef/>
      </w:r>
      <w:r w:rsidRPr="007B4F6A">
        <w:t xml:space="preserve"> </w:t>
      </w:r>
      <w:r w:rsidRPr="006846D3">
        <w:rPr>
          <w:i/>
        </w:rPr>
        <w:t>SRB</w:t>
      </w:r>
      <w:r w:rsidRPr="006846D3">
        <w:t xml:space="preserve"> </w:t>
      </w:r>
      <w:r>
        <w:t>I</w:t>
      </w:r>
      <w:r w:rsidRPr="006846D3">
        <w:t>ntroduction to Deuteronomy</w:t>
      </w:r>
      <w:r w:rsidRPr="007B4F6A">
        <w:t>, p. 216</w:t>
      </w:r>
      <w:r>
        <w:t>.</w:t>
      </w:r>
      <w:r w:rsidRPr="007B4F6A">
        <w:t xml:space="preserve">  cf </w:t>
      </w:r>
      <w:r w:rsidRPr="007B4F6A">
        <w:rPr>
          <w:i/>
        </w:rPr>
        <w:t>SRB</w:t>
      </w:r>
      <w:r w:rsidRPr="007B4F6A">
        <w:t xml:space="preserve"> note</w:t>
      </w:r>
      <w:r>
        <w:t xml:space="preserve">s on </w:t>
      </w:r>
      <w:r w:rsidRPr="00AE27B5">
        <w:t>2 Kgs 17:7, p. 442</w:t>
      </w:r>
      <w:r w:rsidRPr="001C0261">
        <w:t>, and Heb. 8:8, p. 1297.</w:t>
      </w:r>
    </w:p>
  </w:endnote>
  <w:endnote w:id="1356">
    <w:p w:rsidR="00975183" w:rsidRDefault="00975183" w:rsidP="00442D33">
      <w:pPr>
        <w:pStyle w:val="EndnoteText"/>
      </w:pPr>
      <w:r w:rsidRPr="001C0261">
        <w:rPr>
          <w:rStyle w:val="EndnoteReference"/>
        </w:rPr>
        <w:endnoteRef/>
      </w:r>
      <w:r w:rsidRPr="001C0261">
        <w:t xml:space="preserve"> </w:t>
      </w:r>
      <w:r>
        <w:t>Refs</w:t>
      </w:r>
      <w:r w:rsidRPr="001C0261">
        <w:t xml:space="preserve"> Deut. 28:63-8; Gen. </w:t>
      </w:r>
      <w:proofErr w:type="gramStart"/>
      <w:r w:rsidRPr="001C0261">
        <w:t>15:18,</w:t>
      </w:r>
      <w:proofErr w:type="gramEnd"/>
      <w:r w:rsidRPr="001C0261">
        <w:t xml:space="preserve"> note.</w:t>
      </w:r>
    </w:p>
  </w:endnote>
  <w:endnote w:id="1357">
    <w:p w:rsidR="00975183" w:rsidRDefault="00975183" w:rsidP="00442D33">
      <w:pPr>
        <w:pStyle w:val="EndnoteText"/>
      </w:pPr>
      <w:r w:rsidRPr="001C0261">
        <w:rPr>
          <w:rStyle w:val="EndnoteReference"/>
        </w:rPr>
        <w:endnoteRef/>
      </w:r>
      <w:r w:rsidRPr="001C0261">
        <w:t xml:space="preserve"> </w:t>
      </w:r>
      <w:r>
        <w:t>Ref. verse 2.</w:t>
      </w:r>
    </w:p>
  </w:endnote>
  <w:endnote w:id="1358">
    <w:p w:rsidR="00975183" w:rsidRDefault="00975183" w:rsidP="00442D33">
      <w:pPr>
        <w:pStyle w:val="EndnoteText"/>
      </w:pPr>
      <w:r w:rsidRPr="001C0261">
        <w:rPr>
          <w:rStyle w:val="EndnoteReference"/>
        </w:rPr>
        <w:endnoteRef/>
      </w:r>
      <w:r w:rsidRPr="001C0261">
        <w:t xml:space="preserve"> </w:t>
      </w:r>
      <w:r>
        <w:t xml:space="preserve">Refs </w:t>
      </w:r>
      <w:r w:rsidRPr="001C0261">
        <w:t>Amos 9:9-14; Acts 15:14-17</w:t>
      </w:r>
      <w:r>
        <w:t>.</w:t>
      </w:r>
    </w:p>
  </w:endnote>
  <w:endnote w:id="1359">
    <w:p w:rsidR="00975183" w:rsidRDefault="00975183" w:rsidP="00442D33">
      <w:pPr>
        <w:pStyle w:val="EndnoteText"/>
      </w:pPr>
      <w:r w:rsidRPr="001C0261">
        <w:rPr>
          <w:rStyle w:val="EndnoteReference"/>
        </w:rPr>
        <w:endnoteRef/>
      </w:r>
      <w:r w:rsidRPr="001C0261">
        <w:t xml:space="preserve"> </w:t>
      </w:r>
      <w:r>
        <w:t>Refs verse</w:t>
      </w:r>
      <w:r w:rsidRPr="001C0261">
        <w:t xml:space="preserve"> 5; Isa. 11:11, 11:12; Jer. 23:3-8; Ezek. 37:21-5</w:t>
      </w:r>
      <w:r>
        <w:t>.</w:t>
      </w:r>
    </w:p>
  </w:endnote>
  <w:endnote w:id="1360">
    <w:p w:rsidR="00975183" w:rsidRDefault="00975183" w:rsidP="00442D33">
      <w:pPr>
        <w:pStyle w:val="EndnoteText"/>
      </w:pPr>
      <w:r w:rsidRPr="001C0261">
        <w:rPr>
          <w:rStyle w:val="EndnoteReference"/>
        </w:rPr>
        <w:endnoteRef/>
      </w:r>
      <w:r w:rsidRPr="001C0261">
        <w:t xml:space="preserve"> </w:t>
      </w:r>
      <w:proofErr w:type="gramStart"/>
      <w:r>
        <w:t>Refs</w:t>
      </w:r>
      <w:proofErr w:type="gramEnd"/>
      <w:r>
        <w:t xml:space="preserve"> verse</w:t>
      </w:r>
      <w:r w:rsidRPr="001C0261">
        <w:t xml:space="preserve"> 6; Rom. 11:26, 27; Hos. 2:14-16</w:t>
      </w:r>
      <w:r>
        <w:t>.</w:t>
      </w:r>
    </w:p>
  </w:endnote>
  <w:endnote w:id="1361">
    <w:p w:rsidR="00975183" w:rsidRDefault="00975183" w:rsidP="00442D33">
      <w:pPr>
        <w:pStyle w:val="EndnoteText"/>
      </w:pPr>
      <w:r w:rsidRPr="001C0261">
        <w:rPr>
          <w:rStyle w:val="EndnoteReference"/>
        </w:rPr>
        <w:endnoteRef/>
      </w:r>
      <w:r w:rsidRPr="001C0261">
        <w:t xml:space="preserve"> </w:t>
      </w:r>
      <w:r>
        <w:t>Refs verse</w:t>
      </w:r>
      <w:r w:rsidRPr="001C0261">
        <w:t xml:space="preserve"> 7, Isa. 14:1, 2; Joel 3:1-8; Mt. 25:31-46</w:t>
      </w:r>
      <w:r>
        <w:t>.</w:t>
      </w:r>
    </w:p>
  </w:endnote>
  <w:endnote w:id="1362">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w:t>
      </w:r>
      <w:r>
        <w:t>n</w:t>
      </w:r>
      <w:r w:rsidRPr="001C0261">
        <w:t>ote on Deut. 30:3, p. 250</w:t>
      </w:r>
      <w:r w:rsidRPr="001C0261">
        <w:rPr>
          <w:lang w:eastAsia="en-GB"/>
        </w:rPr>
        <w:t>.</w:t>
      </w:r>
      <w:r>
        <w:rPr>
          <w:lang w:eastAsia="en-GB"/>
        </w:rPr>
        <w:t xml:space="preserve">  </w:t>
      </w:r>
      <w:proofErr w:type="gramStart"/>
      <w:r>
        <w:rPr>
          <w:lang w:eastAsia="en-GB"/>
        </w:rPr>
        <w:t>Refs</w:t>
      </w:r>
      <w:proofErr w:type="gramEnd"/>
      <w:r>
        <w:rPr>
          <w:lang w:eastAsia="en-GB"/>
        </w:rPr>
        <w:t xml:space="preserve"> </w:t>
      </w:r>
      <w:r>
        <w:t>verse</w:t>
      </w:r>
      <w:r w:rsidRPr="001C0261">
        <w:t xml:space="preserve"> 9; Amos 9:11-14</w:t>
      </w:r>
      <w:r>
        <w:t>.</w:t>
      </w:r>
      <w:r w:rsidRPr="001C0261">
        <w:t xml:space="preserve">  </w:t>
      </w:r>
    </w:p>
  </w:endnote>
  <w:endnote w:id="1363">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w:t>
      </w:r>
      <w:r>
        <w:t>n</w:t>
      </w:r>
      <w:r w:rsidRPr="001C0261">
        <w:t>ote on Jer. 11:1, p. 784</w:t>
      </w:r>
      <w:r w:rsidRPr="001C0261">
        <w:rPr>
          <w:lang w:eastAsia="en-GB"/>
        </w:rPr>
        <w:t xml:space="preserve">. </w:t>
      </w:r>
    </w:p>
  </w:endnote>
  <w:endnote w:id="1364">
    <w:p w:rsidR="00975183" w:rsidRPr="001C0261" w:rsidRDefault="00975183" w:rsidP="00442D33">
      <w:pPr>
        <w:pStyle w:val="EndnoteText"/>
      </w:pPr>
      <w:r w:rsidRPr="001C0261">
        <w:rPr>
          <w:rStyle w:val="EndnoteReference"/>
        </w:rPr>
        <w:endnoteRef/>
      </w:r>
      <w:r w:rsidRPr="001C0261">
        <w:t xml:space="preserve"> </w:t>
      </w:r>
      <w:r w:rsidRPr="00FD6E98">
        <w:rPr>
          <w:i/>
        </w:rPr>
        <w:t>SRB</w:t>
      </w:r>
      <w:r>
        <w:t xml:space="preserve"> n</w:t>
      </w:r>
      <w:r w:rsidRPr="001C0261">
        <w:t xml:space="preserve">ote on </w:t>
      </w:r>
      <w:r w:rsidRPr="001C0261">
        <w:rPr>
          <w:lang w:eastAsia="en-GB"/>
        </w:rPr>
        <w:t xml:space="preserve">Jer. 14:1, </w:t>
      </w:r>
      <w:r w:rsidRPr="001C0261">
        <w:t>p. 787</w:t>
      </w:r>
      <w:r w:rsidRPr="001C0261">
        <w:rPr>
          <w:lang w:eastAsia="en-GB"/>
        </w:rPr>
        <w:t xml:space="preserve">.  </w:t>
      </w:r>
    </w:p>
  </w:endnote>
  <w:endnote w:id="1365">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note on 2 Kgs 17:7, p. 442</w:t>
      </w:r>
      <w:r>
        <w:t>.</w:t>
      </w:r>
      <w:proofErr w:type="gramEnd"/>
      <w:r>
        <w:t xml:space="preserve"> </w:t>
      </w:r>
      <w:r w:rsidRPr="001C0261">
        <w:t xml:space="preserve"> </w:t>
      </w:r>
      <w:proofErr w:type="gramStart"/>
      <w:r>
        <w:t>(</w:t>
      </w:r>
      <w:r>
        <w:rPr>
          <w:i/>
        </w:rPr>
        <w:t>M</w:t>
      </w:r>
      <w:r w:rsidRPr="001C0261">
        <w:rPr>
          <w:i/>
        </w:rPr>
        <w:t>y emphasis</w:t>
      </w:r>
      <w:r w:rsidRPr="001C0261">
        <w:t>.</w:t>
      </w:r>
      <w:r>
        <w:t>)</w:t>
      </w:r>
      <w:proofErr w:type="gramEnd"/>
    </w:p>
  </w:endnote>
  <w:endnote w:id="1366">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note on Isa. 7:2</w:t>
      </w:r>
      <w:r>
        <w:t xml:space="preserve">, </w:t>
      </w:r>
      <w:r w:rsidRPr="001C0261">
        <w:t>p. 719</w:t>
      </w:r>
      <w:r>
        <w:t>.</w:t>
      </w:r>
    </w:p>
  </w:endnote>
  <w:endnote w:id="1367">
    <w:p w:rsidR="00975183" w:rsidRDefault="00975183" w:rsidP="00442D33">
      <w:pPr>
        <w:pStyle w:val="EndnoteText"/>
      </w:pPr>
      <w:r w:rsidRPr="00347F4D">
        <w:rPr>
          <w:rStyle w:val="FootnoteReference"/>
        </w:rPr>
        <w:endnoteRef/>
      </w:r>
      <w:r w:rsidRPr="00347F4D">
        <w:t xml:space="preserve"> </w:t>
      </w:r>
      <w:r w:rsidRPr="00347F4D">
        <w:rPr>
          <w:i/>
        </w:rPr>
        <w:t>SRB</w:t>
      </w:r>
      <w:r w:rsidRPr="00347F4D">
        <w:t xml:space="preserve"> note </w:t>
      </w:r>
      <w:r>
        <w:t xml:space="preserve">on subhead to Isa. 11:1, p. 723. </w:t>
      </w:r>
      <w:r w:rsidRPr="00347F4D">
        <w:t xml:space="preserve"> </w:t>
      </w:r>
      <w:proofErr w:type="gramStart"/>
      <w:r>
        <w:t>(</w:t>
      </w:r>
      <w:r>
        <w:rPr>
          <w:i/>
        </w:rPr>
        <w:t>A</w:t>
      </w:r>
      <w:r w:rsidRPr="00347F4D">
        <w:rPr>
          <w:i/>
        </w:rPr>
        <w:t>gain my emphasis</w:t>
      </w:r>
      <w:r w:rsidRPr="00347F4D">
        <w:t>.</w:t>
      </w:r>
      <w:r>
        <w:t>)</w:t>
      </w:r>
      <w:proofErr w:type="gramEnd"/>
    </w:p>
  </w:endnote>
  <w:endnote w:id="1368">
    <w:p w:rsidR="00975183" w:rsidRDefault="00975183" w:rsidP="00442D33">
      <w:pPr>
        <w:pStyle w:val="EndnoteText"/>
      </w:pPr>
      <w:r w:rsidRPr="00347F4D">
        <w:rPr>
          <w:rStyle w:val="EndnoteReference"/>
        </w:rPr>
        <w:endnoteRef/>
      </w:r>
      <w:r w:rsidRPr="00347F4D">
        <w:t xml:space="preserve"> </w:t>
      </w:r>
      <w:r w:rsidRPr="003D4A5E">
        <w:rPr>
          <w:i/>
        </w:rPr>
        <w:t>SRB</w:t>
      </w:r>
      <w:r>
        <w:t xml:space="preserve"> n</w:t>
      </w:r>
      <w:r w:rsidRPr="00347F4D">
        <w:t xml:space="preserve">ote on Isa. 1:2, p. 713.  cf </w:t>
      </w:r>
      <w:r w:rsidRPr="00347F4D">
        <w:rPr>
          <w:i/>
        </w:rPr>
        <w:t>SRB</w:t>
      </w:r>
      <w:r w:rsidRPr="00347F4D">
        <w:t xml:space="preserve"> subhead to Ezek. 16:60, p. 856.  (‘The promise of future blessing under the Palestinian Covenant (Deut. 30:1-10 </w:t>
      </w:r>
      <w:proofErr w:type="gramStart"/>
      <w:r w:rsidRPr="00347F4D">
        <w:t>note</w:t>
      </w:r>
      <w:proofErr w:type="gramEnd"/>
      <w:r w:rsidRPr="00347F4D">
        <w:t xml:space="preserve">) and the New </w:t>
      </w:r>
      <w:r>
        <w:t xml:space="preserve">Covenant (Heb. 8:8-12 </w:t>
      </w:r>
      <w:r w:rsidRPr="00347F4D">
        <w:t>note.’)</w:t>
      </w:r>
    </w:p>
  </w:endnote>
  <w:endnote w:id="1369">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Introduction to the Prophetical Books, p. 711</w:t>
      </w:r>
      <w:r w:rsidRPr="001C0261">
        <w:rPr>
          <w:lang w:eastAsia="en-GB"/>
        </w:rPr>
        <w:t>.</w:t>
      </w:r>
      <w:r w:rsidRPr="001C0261">
        <w:t xml:space="preserve">  </w:t>
      </w:r>
    </w:p>
  </w:endnote>
  <w:endnote w:id="1370">
    <w:p w:rsidR="00975183" w:rsidRPr="001C0261" w:rsidRDefault="00975183" w:rsidP="00442D33">
      <w:pPr>
        <w:pStyle w:val="EndnoteText"/>
      </w:pPr>
      <w:r w:rsidRPr="001C0261">
        <w:rPr>
          <w:rStyle w:val="EndnoteReference"/>
        </w:rPr>
        <w:endnoteRef/>
      </w:r>
      <w:r w:rsidRPr="001C0261">
        <w:t xml:space="preserve"> </w:t>
      </w:r>
      <w:r w:rsidRPr="003D4A5E">
        <w:rPr>
          <w:i/>
        </w:rPr>
        <w:t xml:space="preserve">SRB </w:t>
      </w:r>
      <w:r>
        <w:t>n</w:t>
      </w:r>
      <w:r w:rsidRPr="001C0261">
        <w:t>ote on Hab. 2:3, p. 956</w:t>
      </w:r>
      <w:r w:rsidRPr="001C0261">
        <w:rPr>
          <w:lang w:eastAsia="en-GB"/>
        </w:rPr>
        <w:t>.</w:t>
      </w:r>
    </w:p>
  </w:endnote>
  <w:endnote w:id="1371">
    <w:p w:rsidR="00975183" w:rsidRPr="00A26E68" w:rsidRDefault="00975183" w:rsidP="00442D33">
      <w:pPr>
        <w:pStyle w:val="EndnoteText"/>
      </w:pPr>
      <w:r w:rsidRPr="00A26E68">
        <w:rPr>
          <w:rStyle w:val="EndnoteReference"/>
        </w:rPr>
        <w:endnoteRef/>
      </w:r>
      <w:r w:rsidRPr="00A26E68">
        <w:t xml:space="preserve"> </w:t>
      </w:r>
      <w:r w:rsidRPr="00A26E68">
        <w:rPr>
          <w:i/>
        </w:rPr>
        <w:t>NRSV</w:t>
      </w:r>
      <w:r>
        <w:t xml:space="preserve"> note on Deut. 29:1.</w:t>
      </w:r>
    </w:p>
  </w:endnote>
  <w:endnote w:id="1372">
    <w:p w:rsidR="00975183" w:rsidRPr="001C0261" w:rsidRDefault="00975183" w:rsidP="00D2087D">
      <w:pPr>
        <w:pStyle w:val="EndnoteText"/>
      </w:pPr>
      <w:r w:rsidRPr="001C0261">
        <w:rPr>
          <w:rStyle w:val="EndnoteReference"/>
        </w:rPr>
        <w:endnoteRef/>
      </w:r>
      <w:r w:rsidRPr="001C0261">
        <w:t xml:space="preserve"> </w:t>
      </w:r>
      <w:proofErr w:type="gramStart"/>
      <w:r w:rsidRPr="001C0261">
        <w:t>Deuteronomy 30:5, 9, 16, 18, 20.</w:t>
      </w:r>
      <w:proofErr w:type="gramEnd"/>
    </w:p>
  </w:endnote>
  <w:endnote w:id="1373">
    <w:p w:rsidR="00975183" w:rsidRPr="001C0261" w:rsidRDefault="00975183" w:rsidP="00D2087D">
      <w:pPr>
        <w:pStyle w:val="EndnoteText"/>
      </w:pPr>
      <w:r w:rsidRPr="001C0261">
        <w:rPr>
          <w:rStyle w:val="EndnoteReference"/>
        </w:rPr>
        <w:endnoteRef/>
      </w:r>
      <w:r w:rsidRPr="001C0261">
        <w:t xml:space="preserve">  Masoretic Text, </w:t>
      </w:r>
      <w:r w:rsidRPr="001C0261">
        <w:rPr>
          <w:i/>
        </w:rPr>
        <w:t>LXX</w:t>
      </w:r>
      <w:r w:rsidRPr="001C0261">
        <w:t xml:space="preserve">, </w:t>
      </w:r>
      <w:r w:rsidRPr="001C0261">
        <w:rPr>
          <w:i/>
        </w:rPr>
        <w:t xml:space="preserve">NRSV, NIV, KJV, Geneva Bible, Luther 1545 German Bible, Revidierte Elberfelder </w:t>
      </w:r>
      <w:r w:rsidRPr="001C0261">
        <w:t>(</w:t>
      </w:r>
      <w:r w:rsidRPr="001C0261">
        <w:rPr>
          <w:i/>
        </w:rPr>
        <w:t>1993</w:t>
      </w:r>
      <w:r w:rsidRPr="001C0261">
        <w:t xml:space="preserve">); </w:t>
      </w:r>
      <w:r w:rsidRPr="001C0261">
        <w:rPr>
          <w:i/>
        </w:rPr>
        <w:t>Bible en Français courant</w:t>
      </w:r>
      <w:r w:rsidRPr="001C0261">
        <w:t xml:space="preserve"> (</w:t>
      </w:r>
      <w:r w:rsidRPr="001C0261">
        <w:rPr>
          <w:i/>
        </w:rPr>
        <w:t>1997</w:t>
      </w:r>
      <w:r w:rsidRPr="001C0261">
        <w:t>).</w:t>
      </w:r>
    </w:p>
  </w:endnote>
  <w:endnote w:id="1374">
    <w:p w:rsidR="00975183" w:rsidRPr="001C0261" w:rsidRDefault="00975183" w:rsidP="00442D33">
      <w:pPr>
        <w:pStyle w:val="EndnoteText"/>
      </w:pPr>
      <w:r w:rsidRPr="001C0261">
        <w:rPr>
          <w:rStyle w:val="EndnoteReference"/>
        </w:rPr>
        <w:endnoteRef/>
      </w:r>
      <w:r w:rsidRPr="001C0261">
        <w:t xml:space="preserve"> </w:t>
      </w:r>
      <w:proofErr w:type="gramStart"/>
      <w:r w:rsidRPr="001C0261">
        <w:t xml:space="preserve">Joel 4:4 </w:t>
      </w:r>
      <w:r w:rsidRPr="001C0261">
        <w:rPr>
          <w:i/>
        </w:rPr>
        <w:t>LXX</w:t>
      </w:r>
      <w:r w:rsidRPr="001C0261">
        <w:t>.</w:t>
      </w:r>
      <w:proofErr w:type="gramEnd"/>
    </w:p>
  </w:endnote>
  <w:endnote w:id="1375">
    <w:p w:rsidR="00975183" w:rsidRPr="001C0261" w:rsidRDefault="00975183" w:rsidP="00442D33">
      <w:pPr>
        <w:pStyle w:val="EndnoteText"/>
      </w:pPr>
      <w:r w:rsidRPr="001C0261">
        <w:rPr>
          <w:rStyle w:val="EndnoteReference"/>
        </w:rPr>
        <w:endnoteRef/>
      </w:r>
      <w:r w:rsidRPr="001C0261">
        <w:t xml:space="preserve"> Exod. 15:14.</w:t>
      </w:r>
    </w:p>
  </w:endnote>
  <w:endnote w:id="1376">
    <w:p w:rsidR="00975183" w:rsidRPr="001C0261" w:rsidRDefault="00975183" w:rsidP="00442D33">
      <w:pPr>
        <w:pStyle w:val="EndnoteText"/>
      </w:pPr>
      <w:r w:rsidRPr="001C0261">
        <w:rPr>
          <w:rStyle w:val="EndnoteReference"/>
        </w:rPr>
        <w:endnoteRef/>
      </w:r>
      <w:r w:rsidRPr="001C0261">
        <w:t xml:space="preserve"> </w:t>
      </w:r>
      <w:proofErr w:type="gramStart"/>
      <w:r w:rsidRPr="001C0261">
        <w:rPr>
          <w:i/>
        </w:rPr>
        <w:t>Bibleworks</w:t>
      </w:r>
      <w:r w:rsidRPr="001C0261">
        <w:t>.</w:t>
      </w:r>
      <w:proofErr w:type="gramEnd"/>
    </w:p>
  </w:endnote>
  <w:endnote w:id="1377">
    <w:p w:rsidR="00975183" w:rsidRPr="001C0261" w:rsidRDefault="00975183" w:rsidP="00442D33">
      <w:pPr>
        <w:pStyle w:val="EndnoteText"/>
      </w:pPr>
      <w:r w:rsidRPr="001C0261">
        <w:rPr>
          <w:rStyle w:val="EndnoteReference"/>
        </w:rPr>
        <w:endnoteRef/>
      </w:r>
      <w:r w:rsidRPr="001C0261">
        <w:t xml:space="preserve"> </w:t>
      </w:r>
      <w:proofErr w:type="gramStart"/>
      <w:r w:rsidRPr="001C0261">
        <w:rPr>
          <w:i/>
        </w:rPr>
        <w:t>Bibleworks</w:t>
      </w:r>
      <w:r w:rsidRPr="001C0261">
        <w:t>.</w:t>
      </w:r>
      <w:proofErr w:type="gramEnd"/>
    </w:p>
  </w:endnote>
  <w:endnote w:id="1378">
    <w:p w:rsidR="00975183" w:rsidRDefault="00975183" w:rsidP="00442D33">
      <w:pPr>
        <w:pStyle w:val="EndnoteText"/>
      </w:pPr>
      <w:r w:rsidRPr="00742C40">
        <w:rPr>
          <w:rStyle w:val="EndnoteReference"/>
        </w:rPr>
        <w:endnoteRef/>
      </w:r>
      <w:r w:rsidRPr="00742C40">
        <w:t xml:space="preserve"> </w:t>
      </w:r>
      <w:r w:rsidRPr="00347F4D">
        <w:rPr>
          <w:i/>
        </w:rPr>
        <w:t xml:space="preserve">SRB </w:t>
      </w:r>
      <w:r w:rsidRPr="00347F4D">
        <w:t>note on Josh. 10:42, p. 271</w:t>
      </w:r>
      <w:r>
        <w:t xml:space="preserve">.  ‘And all these kings and their land did Joshua take at one time; because the LORD God of Israel fought for Israel.’  Josh. 10:42, </w:t>
      </w:r>
      <w:r w:rsidRPr="00F9638E">
        <w:rPr>
          <w:i/>
        </w:rPr>
        <w:t>KJV</w:t>
      </w:r>
      <w:r>
        <w:t xml:space="preserve">.  </w:t>
      </w:r>
      <w:r w:rsidRPr="00492E11">
        <w:rPr>
          <w:i/>
        </w:rPr>
        <w:t>SRB</w:t>
      </w:r>
      <w:r>
        <w:t xml:space="preserve"> states that </w:t>
      </w:r>
      <w:r w:rsidRPr="00F9638E">
        <w:rPr>
          <w:sz w:val="22"/>
          <w:szCs w:val="22"/>
        </w:rPr>
        <w:t>Josh. 10:42 refers to ‘different parts of Palestine and different kings’</w:t>
      </w:r>
      <w:r w:rsidRPr="00001F4A">
        <w:rPr>
          <w:sz w:val="22"/>
          <w:szCs w:val="22"/>
        </w:rPr>
        <w:t>.</w:t>
      </w:r>
    </w:p>
  </w:endnote>
  <w:endnote w:id="1379">
    <w:p w:rsidR="00975183" w:rsidRDefault="00975183" w:rsidP="00442D33">
      <w:pPr>
        <w:pStyle w:val="EndnoteText"/>
      </w:pPr>
      <w:r w:rsidRPr="00742C40">
        <w:rPr>
          <w:rStyle w:val="EndnoteReference"/>
        </w:rPr>
        <w:endnoteRef/>
      </w:r>
      <w:r w:rsidRPr="00742C40">
        <w:t xml:space="preserve"> </w:t>
      </w:r>
      <w:proofErr w:type="gramStart"/>
      <w:r w:rsidRPr="00347F4D">
        <w:rPr>
          <w:i/>
        </w:rPr>
        <w:t>SRB</w:t>
      </w:r>
      <w:r w:rsidRPr="00347F4D">
        <w:t xml:space="preserve"> note on 2 Kgs 17:7, p. 442; subhead to 2 Kgs 25:22, p. 454</w:t>
      </w:r>
      <w:r>
        <w:t>.</w:t>
      </w:r>
      <w:proofErr w:type="gramEnd"/>
    </w:p>
  </w:endnote>
  <w:endnote w:id="1380">
    <w:p w:rsidR="00975183" w:rsidRDefault="00975183" w:rsidP="00442D33">
      <w:pPr>
        <w:pStyle w:val="EndnoteText"/>
      </w:pPr>
      <w:r w:rsidRPr="00742C40">
        <w:rPr>
          <w:rStyle w:val="EndnoteReference"/>
        </w:rPr>
        <w:endnoteRef/>
      </w:r>
      <w:r w:rsidRPr="00742C40">
        <w:t xml:space="preserve"> </w:t>
      </w:r>
      <w:r w:rsidRPr="00347F4D">
        <w:rPr>
          <w:i/>
        </w:rPr>
        <w:t>SRB</w:t>
      </w:r>
      <w:r w:rsidRPr="00347F4D">
        <w:t xml:space="preserve"> note on Isa. 7:2, p. 719; subhead to Isa. 11:1, p. 723</w:t>
      </w:r>
      <w:r>
        <w:t>.</w:t>
      </w:r>
    </w:p>
  </w:endnote>
  <w:endnote w:id="1381">
    <w:p w:rsidR="00975183" w:rsidRDefault="00975183" w:rsidP="00442D33">
      <w:pPr>
        <w:pStyle w:val="EndnoteText"/>
      </w:pPr>
      <w:r w:rsidRPr="00742C40">
        <w:rPr>
          <w:rStyle w:val="EndnoteReference"/>
        </w:rPr>
        <w:endnoteRef/>
      </w:r>
      <w:r w:rsidRPr="00742C40">
        <w:t xml:space="preserve"> </w:t>
      </w:r>
      <w:r w:rsidRPr="00347F4D">
        <w:rPr>
          <w:i/>
        </w:rPr>
        <w:t>SRB</w:t>
      </w:r>
      <w:r w:rsidRPr="00347F4D">
        <w:t xml:space="preserve"> Introduction to Daniel, p. 899; note on Dan. 5:31, p. 908; note on Dan. 11:35, p. 918</w:t>
      </w:r>
      <w:r>
        <w:t>.</w:t>
      </w:r>
    </w:p>
  </w:endnote>
  <w:endnote w:id="1382">
    <w:p w:rsidR="00975183" w:rsidRDefault="00975183" w:rsidP="00442D33">
      <w:pPr>
        <w:pStyle w:val="EndnoteText"/>
      </w:pPr>
      <w:r w:rsidRPr="00742C40">
        <w:rPr>
          <w:rStyle w:val="EndnoteReference"/>
        </w:rPr>
        <w:endnoteRef/>
      </w:r>
      <w:r w:rsidRPr="00742C40">
        <w:t xml:space="preserve"> </w:t>
      </w:r>
      <w:proofErr w:type="gramStart"/>
      <w:r w:rsidRPr="00347F4D">
        <w:rPr>
          <w:i/>
        </w:rPr>
        <w:t xml:space="preserve">SRB </w:t>
      </w:r>
      <w:r w:rsidRPr="00347F4D">
        <w:t xml:space="preserve"> note</w:t>
      </w:r>
      <w:proofErr w:type="gramEnd"/>
      <w:r w:rsidRPr="00347F4D">
        <w:t xml:space="preserve"> on Joel 1:4, p. 930</w:t>
      </w:r>
      <w:r>
        <w:t>.</w:t>
      </w:r>
    </w:p>
  </w:endnote>
  <w:endnote w:id="1383">
    <w:p w:rsidR="00975183" w:rsidRDefault="00975183" w:rsidP="00442D33">
      <w:pPr>
        <w:pStyle w:val="EndnoteText"/>
      </w:pPr>
      <w:r w:rsidRPr="00742C40">
        <w:rPr>
          <w:rStyle w:val="EndnoteReference"/>
        </w:rPr>
        <w:endnoteRef/>
      </w:r>
      <w:r w:rsidRPr="00742C40">
        <w:t xml:space="preserve"> </w:t>
      </w:r>
      <w:r w:rsidRPr="008D2442">
        <w:rPr>
          <w:i/>
        </w:rPr>
        <w:t>SRB</w:t>
      </w:r>
      <w:r w:rsidRPr="00347F4D">
        <w:t xml:space="preserve"> Introduction to Amos, p. 934</w:t>
      </w:r>
      <w:r>
        <w:t>.</w:t>
      </w:r>
    </w:p>
  </w:endnote>
  <w:endnote w:id="1384">
    <w:p w:rsidR="00975183" w:rsidRDefault="00975183" w:rsidP="00442D33">
      <w:pPr>
        <w:pStyle w:val="EndnoteText"/>
      </w:pPr>
      <w:r w:rsidRPr="00492E11">
        <w:rPr>
          <w:rStyle w:val="EndnoteReference"/>
        </w:rPr>
        <w:endnoteRef/>
      </w:r>
      <w:r w:rsidRPr="00492E11">
        <w:t xml:space="preserve"> </w:t>
      </w:r>
      <w:r w:rsidRPr="00347F4D">
        <w:rPr>
          <w:i/>
        </w:rPr>
        <w:t xml:space="preserve">SRB </w:t>
      </w:r>
      <w:r w:rsidRPr="00347F4D">
        <w:t xml:space="preserve">subhead to Zech. 9:1, p. 973; subhead to Zech. 14:4, p. 978; note on Zech. 10:1, p. 974; note on </w:t>
      </w:r>
    </w:p>
    <w:p w:rsidR="00975183" w:rsidRDefault="00975183" w:rsidP="00442D33">
      <w:pPr>
        <w:pStyle w:val="EndnoteText"/>
      </w:pPr>
      <w:r w:rsidRPr="00347F4D">
        <w:t>Zech. 10:4, p. 974</w:t>
      </w:r>
      <w:r>
        <w:t>.</w:t>
      </w:r>
    </w:p>
  </w:endnote>
  <w:endnote w:id="1385">
    <w:p w:rsidR="00975183" w:rsidRPr="00742C40" w:rsidRDefault="00975183" w:rsidP="00442D33">
      <w:pPr>
        <w:pStyle w:val="EndnoteText"/>
      </w:pPr>
      <w:r w:rsidRPr="00742C40">
        <w:rPr>
          <w:rStyle w:val="EndnoteReference"/>
        </w:rPr>
        <w:endnoteRef/>
      </w:r>
      <w:r w:rsidRPr="00742C40">
        <w:t xml:space="preserve"> </w:t>
      </w:r>
      <w:proofErr w:type="gramStart"/>
      <w:r>
        <w:t>The area’s name as a Babylonian province.</w:t>
      </w:r>
      <w:proofErr w:type="gramEnd"/>
    </w:p>
  </w:endnote>
  <w:endnote w:id="1386">
    <w:p w:rsidR="00975183" w:rsidRDefault="00975183" w:rsidP="00442D33">
      <w:pPr>
        <w:pStyle w:val="EndnoteText"/>
      </w:pPr>
      <w:r w:rsidRPr="002D546D">
        <w:rPr>
          <w:rStyle w:val="EndnoteReference"/>
        </w:rPr>
        <w:endnoteRef/>
      </w:r>
      <w:r w:rsidRPr="002D546D">
        <w:t xml:space="preserve"> David M. Jacobson, ‘Palestine and Israel’, Bulletin of the American Schools of Oriental Research No. 313, </w:t>
      </w:r>
    </w:p>
    <w:p w:rsidR="00975183" w:rsidRPr="002D546D" w:rsidRDefault="00975183" w:rsidP="00442D33">
      <w:pPr>
        <w:pStyle w:val="EndnoteText"/>
      </w:pPr>
      <w:r w:rsidRPr="002D546D">
        <w:t>(Feb. 1999), pp. 65-74.  &lt;http://www.jstor.org/discover/10.2307/1357617?uid=3738032&amp;uid=2&amp;uid=4&amp;sid=21104237038797&gt; [accessed 1.7.14].</w:t>
      </w:r>
    </w:p>
  </w:endnote>
  <w:endnote w:id="1387">
    <w:p w:rsidR="00975183" w:rsidRDefault="00975183" w:rsidP="00442D33">
      <w:pPr>
        <w:pStyle w:val="EndnoteText"/>
      </w:pPr>
      <w:r w:rsidRPr="00347F4D">
        <w:rPr>
          <w:rStyle w:val="FootnoteReference"/>
        </w:rPr>
        <w:endnoteRef/>
      </w:r>
      <w:r w:rsidRPr="00347F4D">
        <w:t xml:space="preserve"> Gaebelein, </w:t>
      </w:r>
      <w:r w:rsidRPr="00347F4D">
        <w:rPr>
          <w:i/>
        </w:rPr>
        <w:t>History of the Scofield Reference Bible</w:t>
      </w:r>
      <w:r w:rsidRPr="00347F4D">
        <w:t xml:space="preserve">’, Chapter 4.  Gaebelein was one of the consulting editors on the 1909 and 1917 editions of </w:t>
      </w:r>
      <w:r w:rsidRPr="00347F4D">
        <w:rPr>
          <w:i/>
        </w:rPr>
        <w:t>SRB</w:t>
      </w:r>
      <w:r w:rsidRPr="00347F4D">
        <w:t>.  The 1909 edition is online at http://rarebooks.dts</w:t>
      </w:r>
      <w:r>
        <w:t xml:space="preserve">.edu/viewbook.aspx?bookid=1385 </w:t>
      </w:r>
      <w:r w:rsidRPr="00347F4D">
        <w:t>[accessed 11.1.12].</w:t>
      </w:r>
    </w:p>
  </w:endnote>
  <w:endnote w:id="1388">
    <w:p w:rsidR="00975183" w:rsidRPr="001C0261" w:rsidRDefault="00975183" w:rsidP="00442D33">
      <w:pPr>
        <w:pStyle w:val="EndnoteText"/>
      </w:pPr>
      <w:r w:rsidRPr="001C0261">
        <w:rPr>
          <w:rStyle w:val="EndnoteReference"/>
        </w:rPr>
        <w:endnoteRef/>
      </w:r>
      <w:r w:rsidRPr="001C0261">
        <w:t xml:space="preserve"> Gaebelein, </w:t>
      </w:r>
      <w:r w:rsidRPr="00584735">
        <w:rPr>
          <w:i/>
        </w:rPr>
        <w:t>History of the Scofield Reference Bible</w:t>
      </w:r>
      <w:r w:rsidRPr="001C0261">
        <w:t>, Chapter 5.</w:t>
      </w:r>
    </w:p>
  </w:endnote>
  <w:endnote w:id="1389">
    <w:p w:rsidR="00975183" w:rsidRDefault="00975183" w:rsidP="00442D33">
      <w:pPr>
        <w:pStyle w:val="EndnoteText"/>
      </w:pPr>
      <w:r w:rsidRPr="00347F4D">
        <w:rPr>
          <w:rStyle w:val="FootnoteReference"/>
        </w:rPr>
        <w:endnoteRef/>
      </w:r>
      <w:r w:rsidRPr="00347F4D">
        <w:t xml:space="preserve"> </w:t>
      </w:r>
      <w:proofErr w:type="gramStart"/>
      <w:r w:rsidRPr="00347F4D">
        <w:t xml:space="preserve">Trumbull, </w:t>
      </w:r>
      <w:r w:rsidRPr="00347F4D">
        <w:rPr>
          <w:i/>
        </w:rPr>
        <w:t xml:space="preserve">Life Story, </w:t>
      </w:r>
      <w:r w:rsidRPr="00347F4D">
        <w:t>pp. 88, 90, 94.</w:t>
      </w:r>
      <w:proofErr w:type="gramEnd"/>
      <w:r w:rsidRPr="00347F4D">
        <w:t xml:space="preserve">  </w:t>
      </w:r>
      <w:r w:rsidRPr="00347F4D">
        <w:rPr>
          <w:color w:val="000000"/>
        </w:rPr>
        <w:t>According to Gaebelein</w:t>
      </w:r>
      <w:r>
        <w:rPr>
          <w:color w:val="000000"/>
        </w:rPr>
        <w:t xml:space="preserve"> in </w:t>
      </w:r>
      <w:r w:rsidRPr="00BF4D0B">
        <w:rPr>
          <w:i/>
          <w:sz w:val="22"/>
          <w:szCs w:val="22"/>
        </w:rPr>
        <w:t>The History of the Scofield Reference Bible</w:t>
      </w:r>
      <w:r w:rsidRPr="00347F4D">
        <w:rPr>
          <w:color w:val="000000"/>
        </w:rPr>
        <w:t>,</w:t>
      </w:r>
      <w:r>
        <w:rPr>
          <w:color w:val="000000"/>
        </w:rPr>
        <w:t xml:space="preserve"> Chapter 5,</w:t>
      </w:r>
      <w:r w:rsidRPr="00347F4D">
        <w:rPr>
          <w:color w:val="000000"/>
        </w:rPr>
        <w:t xml:space="preserve"> Scofield’s first visit to Montreux was in 1906, but ‘</w:t>
      </w:r>
      <w:r w:rsidRPr="00347F4D">
        <w:t xml:space="preserve">The History of the Scofield Reference Bible’ was first published in </w:t>
      </w:r>
      <w:r w:rsidRPr="00347F4D">
        <w:rPr>
          <w:i/>
        </w:rPr>
        <w:t>Moody Monthly</w:t>
      </w:r>
      <w:r w:rsidRPr="00347F4D">
        <w:t xml:space="preserve"> magazine, in the early months of 1943, much later than Trumbull’s biography of Scofield.  Canfield, in </w:t>
      </w:r>
      <w:r w:rsidRPr="00347F4D">
        <w:rPr>
          <w:i/>
          <w:color w:val="000000"/>
        </w:rPr>
        <w:t>Incredible Scofield</w:t>
      </w:r>
      <w:r w:rsidRPr="00347F4D">
        <w:t>, pp. 190-1, disputes Gaebelein’s dating</w:t>
      </w:r>
      <w:r>
        <w:t>.</w:t>
      </w:r>
    </w:p>
  </w:endnote>
  <w:endnote w:id="1390">
    <w:p w:rsidR="00975183" w:rsidRDefault="00975183" w:rsidP="00442D33">
      <w:pPr>
        <w:pStyle w:val="EndnoteText"/>
      </w:pPr>
      <w:r w:rsidRPr="00347F4D">
        <w:rPr>
          <w:rStyle w:val="FootnoteReference"/>
        </w:rPr>
        <w:endnoteRef/>
      </w:r>
      <w:r w:rsidRPr="00347F4D">
        <w:t xml:space="preserve"> </w:t>
      </w:r>
      <w:r>
        <w:t xml:space="preserve">Joseph </w:t>
      </w:r>
      <w:r w:rsidRPr="00347F4D">
        <w:rPr>
          <w:color w:val="000000"/>
        </w:rPr>
        <w:t xml:space="preserve">Canfield, </w:t>
      </w:r>
      <w:proofErr w:type="gramStart"/>
      <w:r w:rsidRPr="00A374E6">
        <w:rPr>
          <w:i/>
          <w:szCs w:val="22"/>
        </w:rPr>
        <w:t>The</w:t>
      </w:r>
      <w:proofErr w:type="gramEnd"/>
      <w:r w:rsidRPr="00A374E6">
        <w:rPr>
          <w:i/>
          <w:szCs w:val="22"/>
        </w:rPr>
        <w:t xml:space="preserve"> Incredible Scofield and His Book</w:t>
      </w:r>
      <w:r w:rsidRPr="00A374E6">
        <w:rPr>
          <w:szCs w:val="22"/>
        </w:rPr>
        <w:t xml:space="preserve"> (Vallecito, California: Ross House Books, 1988)</w:t>
      </w:r>
      <w:r>
        <w:rPr>
          <w:szCs w:val="22"/>
        </w:rPr>
        <w:t>,</w:t>
      </w:r>
      <w:r w:rsidRPr="00347F4D">
        <w:rPr>
          <w:color w:val="000000"/>
        </w:rPr>
        <w:t xml:space="preserve"> pp. 115, 120.  Canfield cites notes from a sermon preached by Scofield at Chicago in August 1903 in which he mentioned that he ‘often’ went ‘to that part of the city in which is situated the building called the “Horse Guards”</w:t>
      </w:r>
      <w:r>
        <w:rPr>
          <w:color w:val="000000"/>
        </w:rPr>
        <w:t>’</w:t>
      </w:r>
      <w:r w:rsidRPr="00347F4D">
        <w:rPr>
          <w:color w:val="000000"/>
        </w:rPr>
        <w:t>.</w:t>
      </w:r>
    </w:p>
  </w:endnote>
  <w:endnote w:id="1391">
    <w:p w:rsidR="00975183" w:rsidRDefault="00975183" w:rsidP="00442D33">
      <w:pPr>
        <w:pStyle w:val="EndnoteText"/>
      </w:pPr>
      <w:r w:rsidRPr="00347F4D">
        <w:rPr>
          <w:rStyle w:val="FootnoteReference"/>
        </w:rPr>
        <w:endnoteRef/>
      </w:r>
      <w:r w:rsidRPr="00347F4D">
        <w:t xml:space="preserve"> Trumbull, </w:t>
      </w:r>
      <w:r w:rsidRPr="00347F4D">
        <w:rPr>
          <w:i/>
        </w:rPr>
        <w:t>Life Story</w:t>
      </w:r>
      <w:r w:rsidRPr="00347F4D">
        <w:t xml:space="preserve">, p. 101.  Trumbull states that Scofield visited the library at Lausanne, begun by Calvin.  Here Canfield corrects Trumbull’s account to read ‘Geneva’, </w:t>
      </w:r>
      <w:r w:rsidRPr="00347F4D">
        <w:rPr>
          <w:i/>
        </w:rPr>
        <w:t>Incredible Scofield</w:t>
      </w:r>
      <w:r w:rsidRPr="00347F4D">
        <w:t>, p. 196.  This seems more likely.</w:t>
      </w:r>
    </w:p>
  </w:endnote>
  <w:endnote w:id="1392">
    <w:p w:rsidR="00975183" w:rsidRPr="001C0261" w:rsidRDefault="00975183" w:rsidP="00442D33">
      <w:pPr>
        <w:pStyle w:val="EndnoteText"/>
      </w:pPr>
      <w:r w:rsidRPr="001C0261">
        <w:rPr>
          <w:rStyle w:val="EndnoteReference"/>
        </w:rPr>
        <w:endnoteRef/>
      </w:r>
      <w:r w:rsidRPr="001C0261">
        <w:t xml:space="preserve"> </w:t>
      </w:r>
      <w:proofErr w:type="gramStart"/>
      <w:r w:rsidRPr="001C0261">
        <w:t>David Mendelsson, ‘From the First Zionist Congress (1897) to the Twelfth (1921) &lt;http://www.jewishvirtuallibrary.org/jsource/Zionism/firstcong.html&gt; [accessed 24.6.11].</w:t>
      </w:r>
      <w:proofErr w:type="gramEnd"/>
    </w:p>
  </w:endnote>
  <w:endnote w:id="1393">
    <w:p w:rsidR="00975183" w:rsidRPr="00347F4D" w:rsidRDefault="00975183" w:rsidP="00442D33">
      <w:pPr>
        <w:pStyle w:val="EndnoteText"/>
      </w:pPr>
      <w:r w:rsidRPr="00347F4D">
        <w:rPr>
          <w:rStyle w:val="FootnoteReference"/>
        </w:rPr>
        <w:endnoteRef/>
      </w:r>
      <w:r w:rsidRPr="00347F4D">
        <w:t xml:space="preserve"> Mendelsson, ‘Fr</w:t>
      </w:r>
      <w:r>
        <w:t xml:space="preserve">om the First Zionist Congress’ </w:t>
      </w:r>
      <w:r w:rsidRPr="00347F4D">
        <w:t xml:space="preserve">&lt;http://www.jewishvirtuallibrary.org/jsource/Zionism/firstcong.html&gt; [accessed 24.6.11].  </w:t>
      </w:r>
    </w:p>
    <w:p w:rsidR="00975183" w:rsidRDefault="00975183" w:rsidP="00442D33">
      <w:pPr>
        <w:pStyle w:val="EndnoteText"/>
      </w:pPr>
      <w:r w:rsidRPr="00347F4D">
        <w:t>This congress was held in London ‘in order to affect public opinion in that country in sympathy with the Zionist idea’ amidst growing concern about the fate of Rumanian Jews.</w:t>
      </w:r>
    </w:p>
  </w:endnote>
  <w:endnote w:id="1394">
    <w:p w:rsidR="00975183" w:rsidRPr="001C0261" w:rsidRDefault="00975183" w:rsidP="00442D33">
      <w:pPr>
        <w:pStyle w:val="EndnoteText"/>
      </w:pPr>
      <w:r w:rsidRPr="001C0261">
        <w:rPr>
          <w:rStyle w:val="EndnoteReference"/>
        </w:rPr>
        <w:endnoteRef/>
      </w:r>
      <w:r w:rsidRPr="001C0261">
        <w:t xml:space="preserve"> Mendelsson, ‘From the First Zionist Congress’ &lt;http://www.jewishvirtuallibrary.org/jsource/Zionism/firstcong.html&gt; [accessed 24.6.11].  The Jewish National Fund was established at the fifth congress. </w:t>
      </w:r>
    </w:p>
  </w:endnote>
  <w:endnote w:id="1395">
    <w:p w:rsidR="00975183" w:rsidRDefault="00975183">
      <w:pPr>
        <w:pStyle w:val="EndnoteText"/>
      </w:pPr>
      <w:r>
        <w:rPr>
          <w:rStyle w:val="EndnoteReference"/>
        </w:rPr>
        <w:endnoteRef/>
      </w:r>
      <w:r>
        <w:t xml:space="preserve"> This paragraph contains material from the author’s paper, </w:t>
      </w:r>
      <w:r w:rsidRPr="00CF0C99">
        <w:rPr>
          <w:sz w:val="22"/>
          <w:szCs w:val="22"/>
        </w:rPr>
        <w:t>‘God’s Earthly People: C. I. Scofield and the Blessing of Israel’</w:t>
      </w:r>
      <w:r>
        <w:rPr>
          <w:sz w:val="22"/>
          <w:szCs w:val="22"/>
        </w:rPr>
        <w:t>, pp. 33-4</w:t>
      </w:r>
      <w:r w:rsidRPr="00CF0C99">
        <w:rPr>
          <w:sz w:val="22"/>
          <w:szCs w:val="22"/>
        </w:rPr>
        <w:t>.</w:t>
      </w:r>
    </w:p>
  </w:endnote>
  <w:endnote w:id="1396">
    <w:p w:rsidR="00975183" w:rsidRDefault="00975183" w:rsidP="00442D33">
      <w:pPr>
        <w:pStyle w:val="EndnoteText"/>
      </w:pPr>
      <w:r w:rsidRPr="00347F4D">
        <w:rPr>
          <w:rStyle w:val="FootnoteReference"/>
        </w:rPr>
        <w:endnoteRef/>
      </w:r>
      <w:r w:rsidRPr="00347F4D">
        <w:t xml:space="preserve"> </w:t>
      </w:r>
      <w:r w:rsidRPr="000A7C27">
        <w:rPr>
          <w:i/>
        </w:rPr>
        <w:t>SRB</w:t>
      </w:r>
      <w:r w:rsidRPr="000A7C27">
        <w:t xml:space="preserve"> note on Heb.</w:t>
      </w:r>
      <w:r w:rsidRPr="001C0261">
        <w:t xml:space="preserve"> 8:8, p. 1297.  </w:t>
      </w:r>
      <w:r w:rsidRPr="003D0543">
        <w:rPr>
          <w:b/>
        </w:rPr>
        <w:t xml:space="preserve">See Covenants and Dispensations in </w:t>
      </w:r>
      <w:r w:rsidRPr="003D0543">
        <w:rPr>
          <w:b/>
          <w:i/>
        </w:rPr>
        <w:t>SRB</w:t>
      </w:r>
      <w:r w:rsidRPr="003D0543">
        <w:rPr>
          <w:b/>
        </w:rPr>
        <w:t>, Covenants, above</w:t>
      </w:r>
      <w:r>
        <w:rPr>
          <w:b/>
          <w:color w:val="FF0000"/>
        </w:rPr>
        <w:t xml:space="preserve"> </w:t>
      </w:r>
      <w:r w:rsidRPr="001C0261">
        <w:t xml:space="preserve">for </w:t>
      </w:r>
      <w:r>
        <w:t xml:space="preserve">a </w:t>
      </w:r>
      <w:r w:rsidRPr="001C0261">
        <w:t>discussion of a contradiction between the roles Scofield asserts for the New and Palestinian Covenants in his two notes on this verse.</w:t>
      </w:r>
    </w:p>
  </w:endnote>
  <w:endnote w:id="1397">
    <w:p w:rsidR="00975183" w:rsidRPr="001C0261" w:rsidRDefault="00975183" w:rsidP="00442D33">
      <w:pPr>
        <w:pStyle w:val="EndnoteText"/>
      </w:pPr>
      <w:r w:rsidRPr="001C0261">
        <w:rPr>
          <w:rStyle w:val="EndnoteReference"/>
        </w:rPr>
        <w:endnoteRef/>
      </w:r>
      <w:r w:rsidRPr="001C0261">
        <w:t xml:space="preserve"> </w:t>
      </w:r>
      <w:r>
        <w:t>c</w:t>
      </w:r>
      <w:r w:rsidRPr="001C0261">
        <w:t xml:space="preserve">f </w:t>
      </w:r>
      <w:r w:rsidRPr="001C0261">
        <w:rPr>
          <w:i/>
        </w:rPr>
        <w:t>SRB</w:t>
      </w:r>
      <w:r w:rsidRPr="001C0261">
        <w:t xml:space="preserve"> note on 2 Sam. 7:8-17, p. 362.</w:t>
      </w:r>
    </w:p>
  </w:endnote>
  <w:endnote w:id="1398">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Heb. 8:8, pp. 1297-8.</w:t>
      </w:r>
    </w:p>
  </w:endnote>
  <w:endnote w:id="1399">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2 Sam. 7:16.  </w:t>
      </w:r>
    </w:p>
  </w:endnote>
  <w:endnote w:id="1400">
    <w:p w:rsidR="00975183" w:rsidRPr="001C0261" w:rsidRDefault="00975183" w:rsidP="00442D33">
      <w:pPr>
        <w:pStyle w:val="EndnoteText"/>
      </w:pPr>
      <w:r w:rsidRPr="001C0261">
        <w:rPr>
          <w:rStyle w:val="EndnoteReference"/>
        </w:rPr>
        <w:endnoteRef/>
      </w:r>
      <w:r w:rsidRPr="001C0261">
        <w:t xml:space="preserve"> </w:t>
      </w:r>
      <w:r w:rsidRPr="00A34516">
        <w:rPr>
          <w:i/>
        </w:rPr>
        <w:t>SRB</w:t>
      </w:r>
      <w:r>
        <w:t xml:space="preserve"> </w:t>
      </w:r>
      <w:r w:rsidRPr="001C0261">
        <w:t xml:space="preserve">Introduction to 2 Samuel, p. 355.  See also subheads to 2 Sam. 7:4, p. 362; </w:t>
      </w:r>
      <w:r w:rsidRPr="001C0261">
        <w:rPr>
          <w:lang w:eastAsia="en-GB"/>
        </w:rPr>
        <w:t>1 Chron. 17:7, p. 475</w:t>
      </w:r>
      <w:r>
        <w:rPr>
          <w:lang w:eastAsia="en-GB"/>
        </w:rPr>
        <w:t>.</w:t>
      </w:r>
      <w:r w:rsidRPr="001C0261">
        <w:rPr>
          <w:lang w:eastAsia="en-GB"/>
        </w:rPr>
        <w:t xml:space="preserve"> </w:t>
      </w:r>
    </w:p>
  </w:endnote>
  <w:endnote w:id="1401">
    <w:p w:rsidR="00975183" w:rsidRDefault="00975183" w:rsidP="00442D33">
      <w:pPr>
        <w:pStyle w:val="EndnoteText"/>
      </w:pPr>
      <w:r w:rsidRPr="001C0261">
        <w:rPr>
          <w:rStyle w:val="FootnoteReference"/>
        </w:rPr>
        <w:endnoteRef/>
      </w:r>
      <w:r w:rsidRPr="001C0261">
        <w:t xml:space="preserve"> </w:t>
      </w:r>
      <w:r w:rsidRPr="00A34516">
        <w:rPr>
          <w:i/>
        </w:rPr>
        <w:t xml:space="preserve">SRB </w:t>
      </w:r>
      <w:r>
        <w:t>n</w:t>
      </w:r>
      <w:r w:rsidRPr="001C0261">
        <w:t xml:space="preserve">ote on Zech. 12:8, p. 976.  This is the seventh dispensation, </w:t>
      </w:r>
      <w:r w:rsidRPr="00835F96">
        <w:rPr>
          <w:b/>
        </w:rPr>
        <w:t>see 5.6.2</w:t>
      </w:r>
      <w:r w:rsidRPr="00835F96">
        <w:t xml:space="preserve">.  </w:t>
      </w:r>
      <w:r w:rsidRPr="001C0261">
        <w:t xml:space="preserve">cf subhead to Jer. 33:1, </w:t>
      </w:r>
    </w:p>
    <w:p w:rsidR="00975183" w:rsidRDefault="00975183" w:rsidP="00442D33">
      <w:pPr>
        <w:pStyle w:val="EndnoteText"/>
      </w:pPr>
      <w:r w:rsidRPr="001C0261">
        <w:t>p. 809</w:t>
      </w:r>
      <w:r>
        <w:t xml:space="preserve">, </w:t>
      </w:r>
      <w:r w:rsidRPr="001C0261">
        <w:rPr>
          <w:lang w:eastAsia="en-GB"/>
        </w:rPr>
        <w:t xml:space="preserve">and note on Jer. 33:15, </w:t>
      </w:r>
      <w:r w:rsidRPr="001C0261">
        <w:t>p. 809</w:t>
      </w:r>
      <w:r w:rsidRPr="007B4F6A">
        <w:rPr>
          <w:lang w:eastAsia="en-GB"/>
        </w:rPr>
        <w:t>.</w:t>
      </w:r>
    </w:p>
  </w:endnote>
  <w:endnote w:id="1402">
    <w:p w:rsidR="00975183" w:rsidRPr="001C0261" w:rsidRDefault="00975183" w:rsidP="00442D33">
      <w:pPr>
        <w:pStyle w:val="EndnoteText"/>
        <w:tabs>
          <w:tab w:val="left" w:pos="-567"/>
        </w:tabs>
      </w:pPr>
      <w:r w:rsidRPr="001C0261">
        <w:rPr>
          <w:rStyle w:val="EndnoteReference"/>
        </w:rPr>
        <w:endnoteRef/>
      </w:r>
      <w:r w:rsidRPr="001C0261">
        <w:t xml:space="preserve"> </w:t>
      </w:r>
      <w:r w:rsidRPr="00FA555A">
        <w:rPr>
          <w:i/>
        </w:rPr>
        <w:t>SRB</w:t>
      </w:r>
      <w:r w:rsidRPr="00FA555A">
        <w:t xml:space="preserve"> Introduction to 2 Samuel</w:t>
      </w:r>
      <w:r w:rsidRPr="001C0261">
        <w:t xml:space="preserve">, p. 355.  </w:t>
      </w:r>
      <w:r>
        <w:t>c</w:t>
      </w:r>
      <w:r w:rsidRPr="001C0261">
        <w:t xml:space="preserve">f </w:t>
      </w:r>
      <w:r>
        <w:t>subhead to Jer. 33:1</w:t>
      </w:r>
      <w:r w:rsidRPr="001C0261">
        <w:rPr>
          <w:b/>
        </w:rPr>
        <w:t xml:space="preserve"> </w:t>
      </w:r>
      <w:r w:rsidRPr="001C0261">
        <w:t>and note on Jer. 33:15, p. 809.</w:t>
      </w:r>
    </w:p>
  </w:endnote>
  <w:endnote w:id="1403">
    <w:p w:rsidR="00975183" w:rsidRDefault="00975183" w:rsidP="00442D33">
      <w:pPr>
        <w:pStyle w:val="EndnoteText"/>
      </w:pPr>
      <w:r w:rsidRPr="007B4F6A">
        <w:rPr>
          <w:rStyle w:val="FootnoteReference"/>
        </w:rPr>
        <w:endnoteRef/>
      </w:r>
      <w:r w:rsidRPr="007B4F6A">
        <w:t xml:space="preserve"> </w:t>
      </w:r>
      <w:r w:rsidRPr="00A34516">
        <w:rPr>
          <w:i/>
        </w:rPr>
        <w:t>SRB</w:t>
      </w:r>
      <w:r>
        <w:t xml:space="preserve"> n</w:t>
      </w:r>
      <w:r w:rsidRPr="007B4F6A">
        <w:t>ote</w:t>
      </w:r>
      <w:r>
        <w:t>s</w:t>
      </w:r>
      <w:r w:rsidRPr="007B4F6A">
        <w:t xml:space="preserve"> on Zech. 12:8, p. 977; Rev. 3:21, p. 1334</w:t>
      </w:r>
      <w:r w:rsidRPr="007B4F6A">
        <w:rPr>
          <w:lang w:eastAsia="en-GB"/>
        </w:rPr>
        <w:t>.  The Davidic Covenant and divine promises concerning the Messianic kingdom are still unfulfilled.</w:t>
      </w:r>
    </w:p>
  </w:endnote>
  <w:endnote w:id="1404">
    <w:p w:rsidR="00975183" w:rsidRPr="007B4F6A" w:rsidRDefault="00975183" w:rsidP="00442D33">
      <w:pPr>
        <w:pStyle w:val="EndnoteText"/>
      </w:pPr>
      <w:r w:rsidRPr="007B4F6A">
        <w:rPr>
          <w:rStyle w:val="EndnoteReference"/>
        </w:rPr>
        <w:endnoteRef/>
      </w:r>
      <w:r w:rsidRPr="007B4F6A">
        <w:t xml:space="preserve"> </w:t>
      </w:r>
      <w:r w:rsidRPr="003714F6">
        <w:rPr>
          <w:i/>
        </w:rPr>
        <w:t>SRB</w:t>
      </w:r>
      <w:r>
        <w:t xml:space="preserve"> </w:t>
      </w:r>
      <w:r w:rsidRPr="007B4F6A">
        <w:t>Introduction to the Four Gospels, p. 990</w:t>
      </w:r>
      <w:r w:rsidRPr="007B4F6A">
        <w:rPr>
          <w:lang w:eastAsia="en-GB"/>
        </w:rPr>
        <w:t>.</w:t>
      </w:r>
    </w:p>
  </w:endnote>
  <w:endnote w:id="1405">
    <w:p w:rsidR="00975183" w:rsidRPr="00C1455F" w:rsidRDefault="00975183" w:rsidP="00442D33">
      <w:pPr>
        <w:pStyle w:val="EndnoteText"/>
        <w:rPr>
          <w:sz w:val="18"/>
        </w:rPr>
      </w:pPr>
      <w:r w:rsidRPr="00C1455F">
        <w:rPr>
          <w:rStyle w:val="EndnoteReference"/>
        </w:rPr>
        <w:endnoteRef/>
      </w:r>
      <w:r w:rsidRPr="00C1455F">
        <w:t xml:space="preserve"> </w:t>
      </w:r>
      <w:r>
        <w:t xml:space="preserve">Ref. </w:t>
      </w:r>
      <w:r w:rsidRPr="00C1455F">
        <w:rPr>
          <w:color w:val="000000"/>
          <w:szCs w:val="22"/>
        </w:rPr>
        <w:t>2 Kgs 25:1-7</w:t>
      </w:r>
      <w:r>
        <w:rPr>
          <w:color w:val="000000"/>
          <w:szCs w:val="22"/>
        </w:rPr>
        <w:t>.</w:t>
      </w:r>
    </w:p>
  </w:endnote>
  <w:endnote w:id="1406">
    <w:p w:rsidR="00975183" w:rsidRDefault="00975183" w:rsidP="00442D33">
      <w:pPr>
        <w:pStyle w:val="EndnoteText"/>
      </w:pPr>
      <w:r w:rsidRPr="007B4F6A">
        <w:rPr>
          <w:rStyle w:val="FootnoteReference"/>
        </w:rPr>
        <w:endnoteRef/>
      </w:r>
      <w:r w:rsidRPr="007B4F6A">
        <w:t xml:space="preserve"> </w:t>
      </w:r>
      <w:r w:rsidRPr="003714F6">
        <w:rPr>
          <w:i/>
        </w:rPr>
        <w:t xml:space="preserve">SRB </w:t>
      </w:r>
      <w:r>
        <w:t>n</w:t>
      </w:r>
      <w:r w:rsidRPr="007B4F6A">
        <w:t xml:space="preserve">ote on 2 Sam. 7:16, p. 362.  </w:t>
      </w:r>
    </w:p>
  </w:endnote>
  <w:endnote w:id="1407">
    <w:p w:rsidR="00975183" w:rsidRDefault="00975183" w:rsidP="00442D33">
      <w:pPr>
        <w:pStyle w:val="EndnoteText"/>
      </w:pPr>
      <w:r w:rsidRPr="003714F6">
        <w:rPr>
          <w:rStyle w:val="EndnoteReference"/>
        </w:rPr>
        <w:endnoteRef/>
      </w:r>
      <w:r w:rsidRPr="003714F6">
        <w:t xml:space="preserve"> </w:t>
      </w:r>
      <w:r w:rsidRPr="007B4F6A">
        <w:rPr>
          <w:i/>
          <w:color w:val="000000"/>
        </w:rPr>
        <w:t>SRB</w:t>
      </w:r>
      <w:r w:rsidRPr="007B4F6A">
        <w:rPr>
          <w:color w:val="000000"/>
        </w:rPr>
        <w:t xml:space="preserve"> Introduction to 1 Chronicles, p. 456</w:t>
      </w:r>
      <w:r>
        <w:rPr>
          <w:color w:val="000000"/>
        </w:rPr>
        <w:t>.</w:t>
      </w:r>
      <w:r w:rsidRPr="007B4F6A">
        <w:rPr>
          <w:color w:val="000000"/>
        </w:rPr>
        <w:t xml:space="preserve"> </w:t>
      </w:r>
      <w:r>
        <w:rPr>
          <w:color w:val="000000"/>
        </w:rPr>
        <w:t xml:space="preserve"> </w:t>
      </w:r>
      <w:r>
        <w:t>c</w:t>
      </w:r>
      <w:r w:rsidRPr="007B4F6A">
        <w:t xml:space="preserve">f note on Zech. 12:8, p. 977.  </w:t>
      </w:r>
      <w:r w:rsidRPr="003D0543">
        <w:rPr>
          <w:b/>
        </w:rPr>
        <w:t>See 4.1</w:t>
      </w:r>
      <w:r w:rsidRPr="003D0543">
        <w:t>.</w:t>
      </w:r>
    </w:p>
  </w:endnote>
  <w:endnote w:id="1408">
    <w:p w:rsidR="00975183" w:rsidRPr="007B4F6A" w:rsidRDefault="00975183" w:rsidP="00442D33">
      <w:pPr>
        <w:pStyle w:val="EndnoteText"/>
      </w:pPr>
      <w:r w:rsidRPr="007B4F6A">
        <w:rPr>
          <w:rStyle w:val="EndnoteReference"/>
        </w:rPr>
        <w:endnoteRef/>
      </w:r>
      <w:r w:rsidRPr="007B4F6A">
        <w:t xml:space="preserve"> </w:t>
      </w:r>
      <w:r w:rsidRPr="003714F6">
        <w:rPr>
          <w:i/>
        </w:rPr>
        <w:t>SRB</w:t>
      </w:r>
      <w:r>
        <w:t xml:space="preserve"> n</w:t>
      </w:r>
      <w:r w:rsidRPr="007B4F6A">
        <w:t>ote on Mal. 3:18, pp. 983-4</w:t>
      </w:r>
      <w:r w:rsidRPr="007B4F6A">
        <w:rPr>
          <w:lang w:eastAsia="en-GB"/>
        </w:rPr>
        <w:t>.</w:t>
      </w:r>
    </w:p>
  </w:endnote>
  <w:endnote w:id="1409">
    <w:p w:rsidR="00975183" w:rsidRPr="001C0261" w:rsidRDefault="00975183" w:rsidP="00442D33">
      <w:pPr>
        <w:pStyle w:val="EndnoteText"/>
      </w:pPr>
      <w:r w:rsidRPr="007B4F6A">
        <w:rPr>
          <w:rStyle w:val="EndnoteReference"/>
        </w:rPr>
        <w:endnoteRef/>
      </w:r>
      <w:r w:rsidRPr="007B4F6A">
        <w:t xml:space="preserve"> Ref. Ps. 89:30-37.</w:t>
      </w:r>
    </w:p>
    <w:p w:rsidR="00975183" w:rsidRPr="007B4F6A" w:rsidRDefault="00975183" w:rsidP="00442D33">
      <w:pPr>
        <w:pStyle w:val="EndnoteText"/>
      </w:pPr>
      <w:r w:rsidRPr="001C0261">
        <w:rPr>
          <w:rStyle w:val="EndnoteReference"/>
        </w:rPr>
        <w:endnoteRef/>
      </w:r>
      <w:r w:rsidRPr="001C0261">
        <w:t xml:space="preserve"> </w:t>
      </w:r>
      <w:r w:rsidRPr="00A92DCA">
        <w:rPr>
          <w:i/>
        </w:rPr>
        <w:t>SRB</w:t>
      </w:r>
      <w:r>
        <w:t xml:space="preserve"> n</w:t>
      </w:r>
      <w:r w:rsidRPr="001C0261">
        <w:t>ote on Heb. 8:8, p. 1298.</w:t>
      </w:r>
    </w:p>
  </w:endnote>
  <w:endnote w:id="1410">
    <w:p w:rsidR="00975183" w:rsidRPr="001C0261" w:rsidRDefault="00975183" w:rsidP="00442D33">
      <w:pPr>
        <w:pStyle w:val="EndnoteText"/>
      </w:pPr>
      <w:r w:rsidRPr="007B4F6A">
        <w:rPr>
          <w:rStyle w:val="EndnoteReference"/>
        </w:rPr>
        <w:endnoteRef/>
      </w:r>
      <w:r w:rsidRPr="007B4F6A">
        <w:t xml:space="preserve"> </w:t>
      </w:r>
      <w:r w:rsidRPr="003714F6">
        <w:rPr>
          <w:i/>
        </w:rPr>
        <w:t>SRB</w:t>
      </w:r>
      <w:r>
        <w:t xml:space="preserve"> n</w:t>
      </w:r>
      <w:r w:rsidRPr="007B4F6A">
        <w:t>ote on 2 Sam. 7:16, p. 362</w:t>
      </w:r>
      <w:r w:rsidRPr="007B4F6A">
        <w:rPr>
          <w:lang w:eastAsia="en-GB"/>
        </w:rPr>
        <w:t>.</w:t>
      </w:r>
      <w:r w:rsidRPr="007B4F6A">
        <w:t xml:space="preserve">  </w:t>
      </w:r>
      <w:r w:rsidRPr="007B4F6A">
        <w:rPr>
          <w:color w:val="000000"/>
        </w:rPr>
        <w:t>Refs Lk. 1:31-33; Acts 2:29-32; 15:14-17</w:t>
      </w:r>
      <w:r w:rsidRPr="00FA555A">
        <w:t xml:space="preserve">.  </w:t>
      </w:r>
      <w:proofErr w:type="gramStart"/>
      <w:r w:rsidRPr="003D0543">
        <w:rPr>
          <w:b/>
        </w:rPr>
        <w:t>See 7.2.2</w:t>
      </w:r>
      <w:r w:rsidRPr="003D0543">
        <w:t>.</w:t>
      </w:r>
      <w:proofErr w:type="gramEnd"/>
    </w:p>
  </w:endnote>
  <w:endnote w:id="1411">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Ps. 89:27, p. 643.</w:t>
      </w:r>
    </w:p>
  </w:endnote>
  <w:endnote w:id="1412">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Acts 1:11, p. 1148.</w:t>
      </w:r>
    </w:p>
  </w:endnote>
  <w:endnote w:id="1413">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Acts 15:13, p. 1170.  </w:t>
      </w:r>
    </w:p>
  </w:endnote>
  <w:endnote w:id="1414">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Acts 1:11, p. 1148.  </w:t>
      </w:r>
    </w:p>
  </w:endnote>
  <w:endnote w:id="1415">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Acts 15:13, p. 1170</w:t>
      </w:r>
      <w:r w:rsidRPr="001C0261">
        <w:rPr>
          <w:b/>
        </w:rPr>
        <w:t>.</w:t>
      </w:r>
    </w:p>
  </w:endnote>
  <w:endnote w:id="1416">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Heb. 8:8, p. 1297.  </w:t>
      </w:r>
    </w:p>
  </w:endnote>
  <w:endnote w:id="1417">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Isa. 9:7, p. 721.  Ref</w:t>
      </w:r>
      <w:r>
        <w:t>.</w:t>
      </w:r>
      <w:r w:rsidRPr="001C0261">
        <w:t xml:space="preserve"> Lk. 1:32, 33.  </w:t>
      </w:r>
    </w:p>
  </w:endnote>
  <w:endnote w:id="1418">
    <w:p w:rsidR="00975183" w:rsidRPr="001C0261" w:rsidRDefault="00975183" w:rsidP="00442D33">
      <w:pPr>
        <w:pStyle w:val="EndnoteText"/>
      </w:pPr>
      <w:r w:rsidRPr="001C0261">
        <w:rPr>
          <w:rStyle w:val="EndnoteReference"/>
        </w:rPr>
        <w:endnoteRef/>
      </w:r>
      <w:r w:rsidRPr="001C0261">
        <w:t xml:space="preserve"> </w:t>
      </w:r>
      <w:r w:rsidRPr="00A92DCA">
        <w:rPr>
          <w:i/>
        </w:rPr>
        <w:t>SRB</w:t>
      </w:r>
      <w:r>
        <w:t xml:space="preserve"> n</w:t>
      </w:r>
      <w:r w:rsidRPr="001C0261">
        <w:t>ote on Heb. 8:8, p. 1298.</w:t>
      </w:r>
    </w:p>
  </w:endnote>
  <w:endnote w:id="1419">
    <w:p w:rsidR="00975183" w:rsidRPr="001C0261" w:rsidRDefault="00975183" w:rsidP="00442D33">
      <w:pPr>
        <w:pStyle w:val="EndnoteText"/>
      </w:pPr>
      <w:r w:rsidRPr="001C0261">
        <w:rPr>
          <w:rStyle w:val="EndnoteReference"/>
        </w:rPr>
        <w:endnoteRef/>
      </w:r>
      <w:r w:rsidRPr="001C0261">
        <w:t xml:space="preserve"> </w:t>
      </w:r>
      <w:r w:rsidRPr="00A92DCA">
        <w:rPr>
          <w:i/>
        </w:rPr>
        <w:t>SRB</w:t>
      </w:r>
      <w:r>
        <w:t xml:space="preserve"> n</w:t>
      </w:r>
      <w:r w:rsidRPr="001C0261">
        <w:t>ote on Ps. 118:2, p. 658</w:t>
      </w:r>
      <w:r w:rsidRPr="001C0261">
        <w:rPr>
          <w:lang w:eastAsia="en-GB"/>
        </w:rPr>
        <w:t>.</w:t>
      </w:r>
    </w:p>
  </w:endnote>
  <w:endnote w:id="1420">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w:t>
      </w:r>
      <w:r>
        <w:t>I</w:t>
      </w:r>
      <w:r w:rsidRPr="001C0261">
        <w:t xml:space="preserve">ntroduction to the Four Gospels, p. 989.  </w:t>
      </w:r>
    </w:p>
  </w:endnote>
  <w:endnote w:id="1421">
    <w:p w:rsidR="00975183" w:rsidRDefault="00975183" w:rsidP="00442D33">
      <w:pPr>
        <w:pStyle w:val="EndnoteText"/>
      </w:pPr>
      <w:r w:rsidRPr="007B4F6A">
        <w:rPr>
          <w:rStyle w:val="FootnoteReference"/>
        </w:rPr>
        <w:endnoteRef/>
      </w:r>
      <w:r w:rsidRPr="007B4F6A">
        <w:t xml:space="preserve"> </w:t>
      </w:r>
      <w:r w:rsidRPr="007B4F6A">
        <w:rPr>
          <w:i/>
        </w:rPr>
        <w:t>SRB</w:t>
      </w:r>
      <w:r w:rsidRPr="007B4F6A">
        <w:t xml:space="preserve"> </w:t>
      </w:r>
      <w:r>
        <w:t>I</w:t>
      </w:r>
      <w:r w:rsidRPr="007B4F6A">
        <w:t xml:space="preserve">ntroduction to Matthew, p. 993.  </w:t>
      </w:r>
      <w:proofErr w:type="gramStart"/>
      <w:r w:rsidRPr="007B4F6A">
        <w:t>Refs.</w:t>
      </w:r>
      <w:proofErr w:type="gramEnd"/>
      <w:r w:rsidRPr="007B4F6A">
        <w:t xml:space="preserve"> Gen. 22:1-18; Heb. 11:17-19.</w:t>
      </w:r>
    </w:p>
  </w:endnote>
  <w:endnote w:id="1422">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Heb. 8:8, p. 1297.    </w:t>
      </w:r>
    </w:p>
  </w:endnote>
  <w:endnote w:id="1423">
    <w:p w:rsidR="00975183" w:rsidRDefault="00975183" w:rsidP="00442D33">
      <w:pPr>
        <w:pStyle w:val="EndnoteText"/>
      </w:pPr>
      <w:r w:rsidRPr="007B4F6A">
        <w:rPr>
          <w:rStyle w:val="FootnoteReference"/>
        </w:rPr>
        <w:endnoteRef/>
      </w:r>
      <w:r>
        <w:t xml:space="preserve"> </w:t>
      </w:r>
      <w:r w:rsidRPr="005E5E80">
        <w:t xml:space="preserve">J. Massyngberde Ford, </w:t>
      </w:r>
      <w:proofErr w:type="gramStart"/>
      <w:r w:rsidRPr="005E5E80">
        <w:rPr>
          <w:i/>
        </w:rPr>
        <w:t>The</w:t>
      </w:r>
      <w:proofErr w:type="gramEnd"/>
      <w:r w:rsidRPr="005E5E80">
        <w:rPr>
          <w:i/>
        </w:rPr>
        <w:t xml:space="preserve"> Anchor Bible,</w:t>
      </w:r>
      <w:r w:rsidRPr="005E5E80">
        <w:t xml:space="preserve"> </w:t>
      </w:r>
      <w:r w:rsidRPr="005E5E80">
        <w:rPr>
          <w:i/>
        </w:rPr>
        <w:t>Revelation: Introduction, Translation and Commentary</w:t>
      </w:r>
      <w:r w:rsidRPr="005E5E80">
        <w:t xml:space="preserve"> (William Foxwell Albright and David Noel Freedman, eds., Vol. 38; New York: Doubleday &amp; Company, Inc., 1975)</w:t>
      </w:r>
      <w:r w:rsidRPr="007B4F6A">
        <w:t>, p. 376</w:t>
      </w:r>
      <w:r>
        <w:t>.</w:t>
      </w:r>
    </w:p>
  </w:endnote>
  <w:endnote w:id="1424">
    <w:p w:rsidR="00975183" w:rsidRPr="007B4F6A" w:rsidRDefault="00975183" w:rsidP="00442D33">
      <w:pPr>
        <w:pStyle w:val="EndnoteText"/>
      </w:pPr>
      <w:r w:rsidRPr="007B4F6A">
        <w:rPr>
          <w:rStyle w:val="EndnoteReference"/>
        </w:rPr>
        <w:endnoteRef/>
      </w:r>
      <w:r w:rsidRPr="007B4F6A">
        <w:t xml:space="preserve"> </w:t>
      </w:r>
      <w:r w:rsidRPr="00A92DCA">
        <w:rPr>
          <w:i/>
        </w:rPr>
        <w:t xml:space="preserve">SRB </w:t>
      </w:r>
      <w:r>
        <w:t>n</w:t>
      </w:r>
      <w:r w:rsidRPr="007B4F6A">
        <w:t>ote on Gal. 3:24, p. 1245</w:t>
      </w:r>
      <w:r w:rsidRPr="007B4F6A">
        <w:rPr>
          <w:lang w:eastAsia="en-GB"/>
        </w:rPr>
        <w:t>.</w:t>
      </w:r>
    </w:p>
  </w:endnote>
  <w:endnote w:id="1425">
    <w:p w:rsidR="00975183" w:rsidRPr="007B4F6A" w:rsidRDefault="00975183" w:rsidP="00442D33">
      <w:pPr>
        <w:pStyle w:val="EndnoteText"/>
      </w:pPr>
      <w:r w:rsidRPr="007B4F6A">
        <w:rPr>
          <w:rStyle w:val="EndnoteReference"/>
        </w:rPr>
        <w:endnoteRef/>
      </w:r>
      <w:r w:rsidRPr="007B4F6A">
        <w:t xml:space="preserve"> </w:t>
      </w:r>
      <w:r w:rsidRPr="00263734">
        <w:rPr>
          <w:i/>
        </w:rPr>
        <w:t>SRB</w:t>
      </w:r>
      <w:r>
        <w:t xml:space="preserve"> n</w:t>
      </w:r>
      <w:r w:rsidRPr="007B4F6A">
        <w:t>ote on Heb. 8:8, p. 1298</w:t>
      </w:r>
      <w:r w:rsidRPr="007B4F6A">
        <w:rPr>
          <w:lang w:eastAsia="en-GB"/>
        </w:rPr>
        <w:t>.</w:t>
      </w:r>
    </w:p>
  </w:endnote>
  <w:endnote w:id="1426">
    <w:p w:rsidR="00975183" w:rsidRDefault="00975183" w:rsidP="00442D33">
      <w:pPr>
        <w:pStyle w:val="EndnoteText"/>
      </w:pPr>
      <w:r w:rsidRPr="007B4F6A">
        <w:rPr>
          <w:rStyle w:val="FootnoteReference"/>
        </w:rPr>
        <w:endnoteRef/>
      </w:r>
      <w:r w:rsidRPr="007B4F6A">
        <w:t xml:space="preserve"> </w:t>
      </w:r>
      <w:r w:rsidRPr="007B4F6A">
        <w:rPr>
          <w:i/>
        </w:rPr>
        <w:t xml:space="preserve">SRB </w:t>
      </w:r>
      <w:r w:rsidRPr="007B4F6A">
        <w:t>subhead to Heb. 9:25, p. 1299.</w:t>
      </w:r>
    </w:p>
  </w:endnote>
  <w:endnote w:id="1427">
    <w:p w:rsidR="00975183" w:rsidRPr="007B4F6A" w:rsidRDefault="00975183" w:rsidP="00442D33">
      <w:pPr>
        <w:pStyle w:val="EndnoteText"/>
      </w:pPr>
      <w:r w:rsidRPr="007B4F6A">
        <w:rPr>
          <w:rStyle w:val="EndnoteReference"/>
        </w:rPr>
        <w:endnoteRef/>
      </w:r>
      <w:r w:rsidRPr="007B4F6A">
        <w:t xml:space="preserve"> </w:t>
      </w:r>
      <w:r w:rsidRPr="00EC6190">
        <w:rPr>
          <w:i/>
        </w:rPr>
        <w:t>SRB</w:t>
      </w:r>
      <w:r>
        <w:t xml:space="preserve"> s</w:t>
      </w:r>
      <w:r w:rsidRPr="007B4F6A">
        <w:t>ubhead to Heb. 9:16, p. 1299</w:t>
      </w:r>
      <w:r w:rsidRPr="007B4F6A">
        <w:rPr>
          <w:lang w:eastAsia="en-GB"/>
        </w:rPr>
        <w:t>.</w:t>
      </w:r>
    </w:p>
  </w:endnote>
  <w:endnote w:id="1428">
    <w:p w:rsidR="00975183" w:rsidRPr="007B4F6A" w:rsidRDefault="00975183" w:rsidP="00442D33">
      <w:pPr>
        <w:pStyle w:val="EndnoteText"/>
      </w:pPr>
      <w:r w:rsidRPr="007B4F6A">
        <w:rPr>
          <w:rStyle w:val="EndnoteReference"/>
        </w:rPr>
        <w:endnoteRef/>
      </w:r>
      <w:r w:rsidRPr="007B4F6A">
        <w:t xml:space="preserve"> </w:t>
      </w:r>
      <w:r w:rsidRPr="00EC6190">
        <w:rPr>
          <w:i/>
        </w:rPr>
        <w:t>SRB</w:t>
      </w:r>
      <w:r>
        <w:t xml:space="preserve"> </w:t>
      </w:r>
      <w:r w:rsidRPr="007B4F6A">
        <w:t>Introduction to Hebrews, p. 1291</w:t>
      </w:r>
      <w:r w:rsidRPr="007B4F6A">
        <w:rPr>
          <w:lang w:eastAsia="en-GB"/>
        </w:rPr>
        <w:t>.</w:t>
      </w:r>
    </w:p>
  </w:endnote>
  <w:endnote w:id="1429">
    <w:p w:rsidR="00975183" w:rsidRPr="007B4F6A" w:rsidRDefault="00975183" w:rsidP="00442D33">
      <w:pPr>
        <w:pStyle w:val="EndnoteText"/>
        <w:rPr>
          <w:color w:val="000000"/>
        </w:rPr>
      </w:pPr>
      <w:r w:rsidRPr="007B4F6A">
        <w:rPr>
          <w:rStyle w:val="EndnoteReference"/>
        </w:rPr>
        <w:endnoteRef/>
      </w:r>
      <w:r w:rsidRPr="007B4F6A">
        <w:t xml:space="preserve"> Refs </w:t>
      </w:r>
      <w:r w:rsidRPr="007B4F6A">
        <w:rPr>
          <w:color w:val="000000"/>
        </w:rPr>
        <w:t>Heb. 7:19; Rom. 8:3, 4.</w:t>
      </w:r>
    </w:p>
  </w:endnote>
  <w:endnote w:id="1430">
    <w:p w:rsidR="00975183" w:rsidRPr="007B4F6A" w:rsidRDefault="00975183" w:rsidP="00442D33">
      <w:pPr>
        <w:pStyle w:val="EndnoteText"/>
      </w:pPr>
      <w:r w:rsidRPr="007B4F6A">
        <w:rPr>
          <w:rStyle w:val="EndnoteReference"/>
        </w:rPr>
        <w:endnoteRef/>
      </w:r>
      <w:r w:rsidRPr="007B4F6A">
        <w:t xml:space="preserve"> </w:t>
      </w:r>
      <w:r w:rsidRPr="00EC6190">
        <w:rPr>
          <w:i/>
        </w:rPr>
        <w:t>SRB</w:t>
      </w:r>
      <w:r>
        <w:t xml:space="preserve"> n</w:t>
      </w:r>
      <w:r w:rsidRPr="007B4F6A">
        <w:t>ote on Heb. 8:8, p. 1297</w:t>
      </w:r>
      <w:r w:rsidRPr="007B4F6A">
        <w:rPr>
          <w:lang w:eastAsia="en-GB"/>
        </w:rPr>
        <w:t>.</w:t>
      </w:r>
    </w:p>
  </w:endnote>
  <w:endnote w:id="1431">
    <w:p w:rsidR="00975183" w:rsidRDefault="00975183" w:rsidP="00442D33">
      <w:pPr>
        <w:pStyle w:val="EndnoteText"/>
      </w:pPr>
      <w:r w:rsidRPr="007B4F6A">
        <w:rPr>
          <w:rStyle w:val="EndnoteReference"/>
        </w:rPr>
        <w:endnoteRef/>
      </w:r>
      <w:r w:rsidRPr="007B4F6A">
        <w:t xml:space="preserve"> </w:t>
      </w:r>
      <w:r w:rsidRPr="007B4F6A">
        <w:rPr>
          <w:i/>
        </w:rPr>
        <w:t>SRB</w:t>
      </w:r>
      <w:r w:rsidRPr="007B4F6A">
        <w:t xml:space="preserve"> subhead to Heb. 8:7, p. 1297.</w:t>
      </w:r>
    </w:p>
  </w:endnote>
  <w:endnote w:id="1432">
    <w:p w:rsidR="00975183" w:rsidRDefault="00975183" w:rsidP="00442D33">
      <w:pPr>
        <w:pStyle w:val="EndnoteText"/>
      </w:pPr>
      <w:r w:rsidRPr="007B4F6A">
        <w:rPr>
          <w:rStyle w:val="EndnoteReference"/>
        </w:rPr>
        <w:endnoteRef/>
      </w:r>
      <w:r w:rsidRPr="007B4F6A">
        <w:t xml:space="preserve"> </w:t>
      </w:r>
      <w:r>
        <w:t xml:space="preserve">Refs Jer. 31:31-40; “Kingdom O.T” and 2 Sam. 7:8-17. </w:t>
      </w:r>
    </w:p>
  </w:endnote>
  <w:endnote w:id="1433">
    <w:p w:rsidR="00975183" w:rsidRDefault="00975183" w:rsidP="00442D33">
      <w:pPr>
        <w:pStyle w:val="EndnoteText"/>
      </w:pPr>
      <w:r w:rsidRPr="007B4F6A">
        <w:rPr>
          <w:rStyle w:val="EndnoteReference"/>
        </w:rPr>
        <w:endnoteRef/>
      </w:r>
      <w:r w:rsidRPr="007B4F6A">
        <w:t xml:space="preserve"> </w:t>
      </w:r>
      <w:r>
        <w:t>Ref. Deuteronomy 28 – 30 note.</w:t>
      </w:r>
    </w:p>
  </w:endnote>
  <w:endnote w:id="1434">
    <w:p w:rsidR="00975183" w:rsidRDefault="00975183" w:rsidP="00442D33">
      <w:pPr>
        <w:pStyle w:val="EndnoteText"/>
      </w:pPr>
      <w:r w:rsidRPr="001C0261">
        <w:rPr>
          <w:rStyle w:val="FootnoteReference"/>
        </w:rPr>
        <w:endnoteRef/>
      </w:r>
      <w:r w:rsidRPr="001C0261">
        <w:t xml:space="preserve"> </w:t>
      </w:r>
      <w:r w:rsidRPr="00ED0165">
        <w:rPr>
          <w:i/>
        </w:rPr>
        <w:t>SRB</w:t>
      </w:r>
      <w:r>
        <w:t xml:space="preserve"> n</w:t>
      </w:r>
      <w:r w:rsidRPr="001C0261">
        <w:t>ote</w:t>
      </w:r>
      <w:r>
        <w:t>s</w:t>
      </w:r>
      <w:r w:rsidRPr="001C0261">
        <w:t xml:space="preserve"> on Heb. 8:8, p. 1297.  </w:t>
      </w:r>
      <w:proofErr w:type="gramStart"/>
      <w:r>
        <w:t>(</w:t>
      </w:r>
      <w:r w:rsidRPr="004E2AC7">
        <w:rPr>
          <w:i/>
        </w:rPr>
        <w:t>My emphases</w:t>
      </w:r>
      <w:r>
        <w:t>.)</w:t>
      </w:r>
      <w:proofErr w:type="gramEnd"/>
    </w:p>
  </w:endnote>
  <w:endnote w:id="1435">
    <w:p w:rsidR="00975183" w:rsidRDefault="00975183" w:rsidP="00442D33">
      <w:pPr>
        <w:pStyle w:val="EndnoteText"/>
      </w:pPr>
      <w:r w:rsidRPr="007B4F6A">
        <w:rPr>
          <w:rStyle w:val="FootnoteReference"/>
        </w:rPr>
        <w:endnoteRef/>
      </w:r>
      <w:r w:rsidRPr="007B4F6A">
        <w:t xml:space="preserve"> [</w:t>
      </w:r>
      <w:proofErr w:type="gramStart"/>
      <w:r w:rsidRPr="007B4F6A">
        <w:rPr>
          <w:i/>
        </w:rPr>
        <w:t>sic</w:t>
      </w:r>
      <w:proofErr w:type="gramEnd"/>
      <w:r w:rsidRPr="007B4F6A">
        <w:t>].</w:t>
      </w:r>
      <w:r>
        <w:t xml:space="preserve">  Ref. verse 14.</w:t>
      </w:r>
    </w:p>
  </w:endnote>
  <w:endnote w:id="1436">
    <w:p w:rsidR="00975183" w:rsidRPr="001C0261" w:rsidRDefault="00975183" w:rsidP="00442D33">
      <w:pPr>
        <w:pStyle w:val="EndnoteText"/>
      </w:pPr>
      <w:r w:rsidRPr="007B4F6A">
        <w:rPr>
          <w:rStyle w:val="EndnoteReference"/>
        </w:rPr>
        <w:endnoteRef/>
      </w:r>
      <w:r w:rsidRPr="007B4F6A">
        <w:t xml:space="preserve"> </w:t>
      </w:r>
      <w:r w:rsidRPr="001B7E50">
        <w:rPr>
          <w:i/>
        </w:rPr>
        <w:t>SRB</w:t>
      </w:r>
      <w:r>
        <w:t xml:space="preserve"> n</w:t>
      </w:r>
      <w:r w:rsidRPr="007B4F6A">
        <w:t>ote on Hab. 2:3, p. 956</w:t>
      </w:r>
      <w:r w:rsidRPr="007B4F6A">
        <w:rPr>
          <w:lang w:eastAsia="en-GB"/>
        </w:rPr>
        <w:t>.</w:t>
      </w:r>
      <w:r w:rsidRPr="007B4F6A">
        <w:t xml:space="preserve"> </w:t>
      </w:r>
      <w:r>
        <w:t xml:space="preserve"> Ref. </w:t>
      </w:r>
      <w:r>
        <w:rPr>
          <w:sz w:val="22"/>
          <w:szCs w:val="22"/>
        </w:rPr>
        <w:t>verse 20</w:t>
      </w:r>
      <w:r w:rsidRPr="0045532D">
        <w:rPr>
          <w:sz w:val="22"/>
          <w:szCs w:val="22"/>
        </w:rPr>
        <w:t xml:space="preserve">. </w:t>
      </w:r>
      <w:r>
        <w:rPr>
          <w:sz w:val="22"/>
          <w:szCs w:val="22"/>
        </w:rPr>
        <w:t xml:space="preserve"> </w:t>
      </w:r>
      <w:r w:rsidRPr="0045532D">
        <w:rPr>
          <w:sz w:val="22"/>
          <w:szCs w:val="22"/>
        </w:rPr>
        <w:t>cf Rom</w:t>
      </w:r>
      <w:r>
        <w:rPr>
          <w:sz w:val="22"/>
          <w:szCs w:val="22"/>
        </w:rPr>
        <w:t>.</w:t>
      </w:r>
      <w:r w:rsidRPr="0045532D">
        <w:rPr>
          <w:sz w:val="22"/>
          <w:szCs w:val="22"/>
        </w:rPr>
        <w:t xml:space="preserve"> 11:25-7</w:t>
      </w:r>
      <w:r w:rsidRPr="001C0261">
        <w:t>.</w:t>
      </w:r>
    </w:p>
  </w:endnote>
  <w:endnote w:id="1437">
    <w:p w:rsidR="00975183" w:rsidRPr="000E610C" w:rsidRDefault="00975183" w:rsidP="00442D33">
      <w:pPr>
        <w:pStyle w:val="EndnoteText"/>
      </w:pPr>
      <w:r w:rsidRPr="000E610C">
        <w:rPr>
          <w:rStyle w:val="FootnoteReference"/>
        </w:rPr>
        <w:endnoteRef/>
      </w:r>
      <w:r w:rsidRPr="000E610C">
        <w:t xml:space="preserve"> Ref. John 2:21.  Scofield does not annotate this verse.</w:t>
      </w:r>
    </w:p>
  </w:endnote>
  <w:endnote w:id="1438">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w:t>
      </w:r>
      <w:r>
        <w:t>n</w:t>
      </w:r>
      <w:r w:rsidRPr="001C0261">
        <w:t>ote on Heb. 8:8, pp. 1297-8.</w:t>
      </w:r>
    </w:p>
  </w:endnote>
  <w:endnote w:id="1439">
    <w:p w:rsidR="00975183" w:rsidRPr="001C0261" w:rsidRDefault="00975183" w:rsidP="00442D33">
      <w:pPr>
        <w:pStyle w:val="EndnoteText"/>
      </w:pPr>
      <w:r w:rsidRPr="001C0261">
        <w:rPr>
          <w:rStyle w:val="EndnoteReference"/>
        </w:rPr>
        <w:endnoteRef/>
      </w:r>
      <w:r w:rsidRPr="001C0261">
        <w:t xml:space="preserve"> </w:t>
      </w:r>
      <w:r w:rsidRPr="0005367F">
        <w:rPr>
          <w:i/>
        </w:rPr>
        <w:t xml:space="preserve">SRB </w:t>
      </w:r>
      <w:r>
        <w:t>n</w:t>
      </w:r>
      <w:r w:rsidRPr="001C0261">
        <w:t>ote on Dan. 9:24, p. 914</w:t>
      </w:r>
      <w:r>
        <w:t xml:space="preserve">.  </w:t>
      </w:r>
      <w:proofErr w:type="gramStart"/>
      <w:r w:rsidRPr="003D0543">
        <w:rPr>
          <w:b/>
        </w:rPr>
        <w:t>See 7.1.2.1</w:t>
      </w:r>
      <w:r>
        <w:t>.</w:t>
      </w:r>
      <w:proofErr w:type="gramEnd"/>
    </w:p>
  </w:endnote>
  <w:endnote w:id="1440">
    <w:p w:rsidR="00975183" w:rsidRDefault="00975183" w:rsidP="00442D33">
      <w:pPr>
        <w:pStyle w:val="EndnoteText"/>
      </w:pPr>
      <w:r w:rsidRPr="007B4F6A">
        <w:rPr>
          <w:rStyle w:val="EndnoteReference"/>
        </w:rPr>
        <w:endnoteRef/>
      </w:r>
      <w:r w:rsidRPr="007B4F6A">
        <w:t xml:space="preserve"> </w:t>
      </w:r>
      <w:r w:rsidRPr="0005367F">
        <w:rPr>
          <w:i/>
        </w:rPr>
        <w:t>SRB</w:t>
      </w:r>
      <w:r>
        <w:t xml:space="preserve"> </w:t>
      </w:r>
      <w:r w:rsidRPr="007B4F6A">
        <w:t xml:space="preserve">Introduction to the Four Gospels, </w:t>
      </w:r>
      <w:r w:rsidRPr="00A47F86">
        <w:t>p. 990</w:t>
      </w:r>
      <w:r>
        <w:t>.</w:t>
      </w:r>
    </w:p>
  </w:endnote>
  <w:endnote w:id="1441">
    <w:p w:rsidR="00975183" w:rsidRDefault="00975183" w:rsidP="00442D33">
      <w:pPr>
        <w:pStyle w:val="EndnoteText"/>
      </w:pPr>
      <w:r w:rsidRPr="0005367F">
        <w:rPr>
          <w:rStyle w:val="EndnoteReference"/>
        </w:rPr>
        <w:endnoteRef/>
      </w:r>
      <w:r w:rsidRPr="0005367F">
        <w:t xml:space="preserve"> </w:t>
      </w:r>
      <w:proofErr w:type="gramStart"/>
      <w:r w:rsidRPr="0005367F">
        <w:rPr>
          <w:i/>
        </w:rPr>
        <w:t>SRB</w:t>
      </w:r>
      <w:r>
        <w:t xml:space="preserve"> n</w:t>
      </w:r>
      <w:r w:rsidRPr="00A47F86">
        <w:t>ote on 1 Cor. 14:1, p. 1224</w:t>
      </w:r>
      <w:r>
        <w:t>.</w:t>
      </w:r>
      <w:proofErr w:type="gramEnd"/>
    </w:p>
  </w:endnote>
  <w:endnote w:id="1442">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Jn 1:17, p. 1115.</w:t>
      </w:r>
    </w:p>
  </w:endnote>
  <w:endnote w:id="1443">
    <w:p w:rsidR="00975183" w:rsidRPr="009A3A31" w:rsidRDefault="00975183" w:rsidP="00442D33">
      <w:pPr>
        <w:pStyle w:val="EndnoteText"/>
        <w:rPr>
          <w:sz w:val="18"/>
          <w:lang w:val="en-US"/>
        </w:rPr>
      </w:pPr>
      <w:r w:rsidRPr="00F46A6D">
        <w:rPr>
          <w:rStyle w:val="FootnoteReference"/>
        </w:rPr>
        <w:endnoteRef/>
      </w:r>
      <w:r w:rsidRPr="00F46A6D">
        <w:t xml:space="preserve"> </w:t>
      </w:r>
      <w:proofErr w:type="gramStart"/>
      <w:r w:rsidRPr="00F46A6D">
        <w:rPr>
          <w:i/>
        </w:rPr>
        <w:t xml:space="preserve">SRB </w:t>
      </w:r>
      <w:r w:rsidRPr="00F46A6D">
        <w:t xml:space="preserve"> note</w:t>
      </w:r>
      <w:proofErr w:type="gramEnd"/>
      <w:r w:rsidRPr="00F46A6D">
        <w:t xml:space="preserve"> on </w:t>
      </w:r>
      <w:r w:rsidRPr="009A3A31">
        <w:t>Mt. 6:12, p. 1002</w:t>
      </w:r>
      <w:r>
        <w:t xml:space="preserve">.  </w:t>
      </w:r>
      <w:r w:rsidRPr="003D0543">
        <w:rPr>
          <w:b/>
        </w:rPr>
        <w:t>See above</w:t>
      </w:r>
      <w:r>
        <w:t>.</w:t>
      </w:r>
    </w:p>
  </w:endnote>
  <w:endnote w:id="1444">
    <w:p w:rsidR="00975183" w:rsidRPr="00C51E63" w:rsidRDefault="00975183" w:rsidP="00442D33">
      <w:pPr>
        <w:pStyle w:val="EndnoteText"/>
        <w:rPr>
          <w:lang w:val="en-US"/>
        </w:rPr>
      </w:pPr>
      <w:r w:rsidRPr="00C51E63">
        <w:rPr>
          <w:rStyle w:val="EndnoteReference"/>
        </w:rPr>
        <w:endnoteRef/>
      </w:r>
      <w:r w:rsidRPr="00C51E63">
        <w:t xml:space="preserve"> </w:t>
      </w:r>
      <w:r w:rsidRPr="00C51E63">
        <w:rPr>
          <w:i/>
          <w:sz w:val="22"/>
        </w:rPr>
        <w:t>SRB</w:t>
      </w:r>
      <w:r w:rsidRPr="00C51E63">
        <w:rPr>
          <w:sz w:val="22"/>
        </w:rPr>
        <w:t xml:space="preserve"> note on Mt. 28:19, p. 1044</w:t>
      </w:r>
      <w:r>
        <w:rPr>
          <w:sz w:val="22"/>
        </w:rPr>
        <w:t>.</w:t>
      </w:r>
    </w:p>
  </w:endnote>
  <w:endnote w:id="1445">
    <w:p w:rsidR="00975183" w:rsidRPr="00C51E63" w:rsidRDefault="00975183" w:rsidP="00442D33">
      <w:pPr>
        <w:pStyle w:val="EndnoteText"/>
        <w:rPr>
          <w:lang w:val="en-US"/>
        </w:rPr>
      </w:pPr>
      <w:r w:rsidRPr="00C51E63">
        <w:rPr>
          <w:rStyle w:val="EndnoteReference"/>
        </w:rPr>
        <w:endnoteRef/>
      </w:r>
      <w:r w:rsidRPr="00C51E63">
        <w:t xml:space="preserve"> </w:t>
      </w:r>
      <w:proofErr w:type="gramStart"/>
      <w:r w:rsidRPr="00C51E63">
        <w:rPr>
          <w:i/>
          <w:sz w:val="22"/>
        </w:rPr>
        <w:t>SRB</w:t>
      </w:r>
      <w:r w:rsidRPr="00C51E63">
        <w:rPr>
          <w:sz w:val="22"/>
        </w:rPr>
        <w:t xml:space="preserve"> note on Gen. 1:28, p. 5</w:t>
      </w:r>
      <w:r>
        <w:rPr>
          <w:sz w:val="22"/>
        </w:rPr>
        <w:t>.</w:t>
      </w:r>
      <w:proofErr w:type="gramEnd"/>
    </w:p>
  </w:endnote>
  <w:endnote w:id="1446">
    <w:p w:rsidR="00975183" w:rsidRPr="001C0261" w:rsidRDefault="00975183" w:rsidP="00442D33">
      <w:pPr>
        <w:pStyle w:val="EndnoteText"/>
      </w:pPr>
      <w:r w:rsidRPr="001C0261">
        <w:rPr>
          <w:rStyle w:val="EndnoteReference"/>
        </w:rPr>
        <w:endnoteRef/>
      </w:r>
      <w:r w:rsidRPr="001C0261">
        <w:t xml:space="preserve"> Ref. Tit. 3:4, 5.  </w:t>
      </w:r>
    </w:p>
  </w:endnote>
  <w:endnote w:id="1447">
    <w:p w:rsidR="00975183" w:rsidRDefault="00975183" w:rsidP="00442D33">
      <w:pPr>
        <w:pStyle w:val="EndnoteText"/>
      </w:pPr>
      <w:r w:rsidRPr="007B4F6A">
        <w:rPr>
          <w:rStyle w:val="FootnoteReference"/>
        </w:rPr>
        <w:endnoteRef/>
      </w:r>
      <w:r w:rsidRPr="007B4F6A">
        <w:t xml:space="preserve"> Refs Exod. 19:5; Eph. 2:1-9.</w:t>
      </w:r>
    </w:p>
  </w:endnote>
  <w:endnote w:id="1448">
    <w:p w:rsidR="00975183" w:rsidRPr="001C0261" w:rsidRDefault="00975183" w:rsidP="00442D33">
      <w:pPr>
        <w:pStyle w:val="EndnoteText"/>
      </w:pPr>
      <w:r w:rsidRPr="001C0261">
        <w:rPr>
          <w:rStyle w:val="EndnoteReference"/>
        </w:rPr>
        <w:endnoteRef/>
      </w:r>
      <w:r w:rsidRPr="001C0261">
        <w:t xml:space="preserve"> </w:t>
      </w:r>
      <w:r w:rsidRPr="000E610C">
        <w:rPr>
          <w:i/>
        </w:rPr>
        <w:t>SRB</w:t>
      </w:r>
      <w:r>
        <w:t xml:space="preserve"> n</w:t>
      </w:r>
      <w:r w:rsidRPr="001C0261">
        <w:t>ote on Jn 1:17, p. 1115</w:t>
      </w:r>
      <w:r w:rsidRPr="001C0261">
        <w:rPr>
          <w:lang w:eastAsia="en-GB"/>
        </w:rPr>
        <w:t>.</w:t>
      </w:r>
      <w:r>
        <w:rPr>
          <w:lang w:eastAsia="en-GB"/>
        </w:rPr>
        <w:t xml:space="preserve">  </w:t>
      </w:r>
      <w:r w:rsidRPr="007B4F6A">
        <w:rPr>
          <w:rStyle w:val="FootnoteReference"/>
        </w:rPr>
        <w:endnoteRef/>
      </w:r>
      <w:r w:rsidRPr="007B4F6A">
        <w:t xml:space="preserve"> Refs Deut. 29:1-6; Eph. 2:8; Rom. 4:4, 5.</w:t>
      </w:r>
    </w:p>
  </w:endnote>
  <w:endnote w:id="1449">
    <w:p w:rsidR="00975183" w:rsidRPr="005D0396" w:rsidRDefault="00975183" w:rsidP="00442D33">
      <w:pPr>
        <w:pStyle w:val="EndnoteText"/>
      </w:pPr>
      <w:r w:rsidRPr="005D0396">
        <w:rPr>
          <w:rStyle w:val="EndnoteReference"/>
        </w:rPr>
        <w:endnoteRef/>
      </w:r>
      <w:r w:rsidRPr="005D0396">
        <w:t xml:space="preserve"> </w:t>
      </w:r>
      <w:proofErr w:type="gramStart"/>
      <w:r w:rsidRPr="005D0396">
        <w:t>Ref. Rom. 3:24 refs.</w:t>
      </w:r>
      <w:proofErr w:type="gramEnd"/>
    </w:p>
  </w:endnote>
  <w:endnote w:id="1450">
    <w:p w:rsidR="00975183" w:rsidRDefault="00975183" w:rsidP="00442D33">
      <w:pPr>
        <w:pStyle w:val="EndnoteText"/>
      </w:pPr>
      <w:r w:rsidRPr="001C0261">
        <w:rPr>
          <w:rStyle w:val="EndnoteReference"/>
        </w:rPr>
        <w:endnoteRef/>
      </w:r>
      <w:r w:rsidRPr="001C0261">
        <w:t xml:space="preserve"> </w:t>
      </w:r>
      <w:r w:rsidRPr="001C0261">
        <w:rPr>
          <w:i/>
        </w:rPr>
        <w:t xml:space="preserve">SRB </w:t>
      </w:r>
      <w:r w:rsidRPr="001C0261">
        <w:t>note on Jn 1:17, p. 1115.</w:t>
      </w:r>
      <w:r>
        <w:t xml:space="preserve">  </w:t>
      </w:r>
      <w:proofErr w:type="gramStart"/>
      <w:r>
        <w:t>Ref. Rom. 6:15 refs.</w:t>
      </w:r>
      <w:proofErr w:type="gramEnd"/>
    </w:p>
  </w:endnote>
  <w:endnote w:id="1451">
    <w:p w:rsidR="00975183" w:rsidRDefault="00975183" w:rsidP="00442D33">
      <w:pPr>
        <w:pStyle w:val="EndnoteText"/>
      </w:pPr>
      <w:r w:rsidRPr="007B4F6A">
        <w:rPr>
          <w:rStyle w:val="FootnoteReference"/>
        </w:rPr>
        <w:endnoteRef/>
      </w:r>
      <w:r w:rsidRPr="007B4F6A">
        <w:t xml:space="preserve"> </w:t>
      </w:r>
      <w:r>
        <w:t>cf</w:t>
      </w:r>
      <w:r w:rsidRPr="007B4F6A">
        <w:t xml:space="preserve"> </w:t>
      </w:r>
      <w:r w:rsidRPr="007B4F6A">
        <w:rPr>
          <w:i/>
        </w:rPr>
        <w:t>SRB</w:t>
      </w:r>
      <w:r w:rsidRPr="007B4F6A">
        <w:t xml:space="preserve"> note on Mt. 28:19, p. 1044.</w:t>
      </w:r>
    </w:p>
  </w:endnote>
  <w:endnote w:id="1452">
    <w:p w:rsidR="00975183" w:rsidRDefault="00975183" w:rsidP="00442D33">
      <w:pPr>
        <w:pStyle w:val="EndnoteText"/>
      </w:pPr>
      <w:r w:rsidRPr="007B4F6A">
        <w:rPr>
          <w:rStyle w:val="FootnoteReference"/>
        </w:rPr>
        <w:endnoteRef/>
      </w:r>
      <w:r w:rsidRPr="007B4F6A">
        <w:t xml:space="preserve"> </w:t>
      </w:r>
      <w:r w:rsidRPr="007B4F6A">
        <w:rPr>
          <w:i/>
        </w:rPr>
        <w:t>SRB</w:t>
      </w:r>
      <w:r w:rsidRPr="007B4F6A">
        <w:t xml:space="preserve"> note on Jn 1:17, p. 1115</w:t>
      </w:r>
      <w:r w:rsidRPr="007B4F6A">
        <w:rPr>
          <w:b/>
        </w:rPr>
        <w:t xml:space="preserve">.  </w:t>
      </w:r>
      <w:r w:rsidRPr="007B4F6A">
        <w:t>Refs Jn 1:12, 13; 3:36; 15:22, 25; Mt. 21:37; 22:42; Heb. 1:2; 1 Jn 5:10-12.</w:t>
      </w:r>
    </w:p>
  </w:endnote>
  <w:endnote w:id="1453">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Jn 1:17, p. 1115.  Ref. Acts 4:27.  </w:t>
      </w:r>
    </w:p>
  </w:endnote>
  <w:endnote w:id="1454">
    <w:p w:rsidR="00975183" w:rsidRDefault="00975183" w:rsidP="00442D33">
      <w:pPr>
        <w:pStyle w:val="EndnoteText"/>
      </w:pPr>
      <w:r w:rsidRPr="001C0261">
        <w:rPr>
          <w:rStyle w:val="EndnoteReference"/>
        </w:rPr>
        <w:endnoteRef/>
      </w:r>
      <w:r w:rsidRPr="001C0261">
        <w:t xml:space="preserve"> </w:t>
      </w:r>
      <w:r w:rsidRPr="00835F96">
        <w:rPr>
          <w:i/>
          <w:spacing w:val="-2"/>
        </w:rPr>
        <w:t>SRB</w:t>
      </w:r>
      <w:r w:rsidRPr="00835F96">
        <w:rPr>
          <w:spacing w:val="-2"/>
        </w:rPr>
        <w:t xml:space="preserve"> note on Jn 1:17, p. 1115.  cf </w:t>
      </w:r>
      <w:r w:rsidRPr="00835F96">
        <w:rPr>
          <w:i/>
          <w:spacing w:val="-2"/>
        </w:rPr>
        <w:t>SRB</w:t>
      </w:r>
      <w:r w:rsidRPr="00835F96">
        <w:rPr>
          <w:spacing w:val="-2"/>
        </w:rPr>
        <w:t xml:space="preserve"> note on Hab. 2:3, p. 956 in </w:t>
      </w:r>
      <w:r w:rsidRPr="00835F96">
        <w:rPr>
          <w:b/>
          <w:spacing w:val="-2"/>
        </w:rPr>
        <w:t>4.1</w:t>
      </w:r>
      <w:r w:rsidRPr="00835F96">
        <w:rPr>
          <w:spacing w:val="-2"/>
        </w:rPr>
        <w:t xml:space="preserve">, </w:t>
      </w:r>
      <w:r w:rsidRPr="00835F96">
        <w:rPr>
          <w:b/>
          <w:i/>
          <w:spacing w:val="-2"/>
        </w:rPr>
        <w:t>Dualism in the Scofield Reference Bible</w:t>
      </w:r>
      <w:r w:rsidRPr="00835F96">
        <w:rPr>
          <w:spacing w:val="-2"/>
        </w:rPr>
        <w:t>’.</w:t>
      </w:r>
    </w:p>
  </w:endnote>
  <w:endnote w:id="1455">
    <w:p w:rsidR="00975183" w:rsidRPr="00A41BF0" w:rsidRDefault="00975183" w:rsidP="00442D33">
      <w:pPr>
        <w:pStyle w:val="EndnoteText"/>
      </w:pPr>
      <w:r w:rsidRPr="00A41BF0">
        <w:rPr>
          <w:rStyle w:val="EndnoteReference"/>
        </w:rPr>
        <w:endnoteRef/>
      </w:r>
      <w:r w:rsidRPr="00A41BF0">
        <w:t xml:space="preserve"> </w:t>
      </w:r>
      <w:r w:rsidRPr="001C0261">
        <w:rPr>
          <w:i/>
        </w:rPr>
        <w:t>SRB</w:t>
      </w:r>
      <w:r w:rsidRPr="001C0261">
        <w:t xml:space="preserve"> note on</w:t>
      </w:r>
      <w:r>
        <w:t xml:space="preserve"> Mt. 10:2, p. 1008.</w:t>
      </w:r>
    </w:p>
  </w:endnote>
  <w:endnote w:id="1456">
    <w:p w:rsidR="00975183" w:rsidRDefault="00975183" w:rsidP="00442D33">
      <w:pPr>
        <w:pStyle w:val="EndnoteText"/>
      </w:pPr>
      <w:r w:rsidRPr="00A41BF0">
        <w:rPr>
          <w:rStyle w:val="EndnoteReference"/>
        </w:rPr>
        <w:endnoteRef/>
      </w:r>
      <w:r w:rsidRPr="00A41BF0">
        <w:t xml:space="preserve"> </w:t>
      </w:r>
      <w:proofErr w:type="gramStart"/>
      <w:r w:rsidRPr="001C0261">
        <w:rPr>
          <w:i/>
        </w:rPr>
        <w:t>SRB</w:t>
      </w:r>
      <w:r w:rsidRPr="001C0261">
        <w:t xml:space="preserve"> note </w:t>
      </w:r>
      <w:r w:rsidRPr="00A41BF0">
        <w:rPr>
          <w:szCs w:val="22"/>
        </w:rPr>
        <w:t>Mt. 28:19, p. 1044</w:t>
      </w:r>
      <w:r>
        <w:rPr>
          <w:szCs w:val="22"/>
        </w:rPr>
        <w:t>.</w:t>
      </w:r>
      <w:proofErr w:type="gramEnd"/>
      <w:r>
        <w:rPr>
          <w:szCs w:val="22"/>
        </w:rPr>
        <w:t xml:space="preserve">  </w:t>
      </w:r>
    </w:p>
  </w:endnote>
  <w:endnote w:id="1457">
    <w:p w:rsidR="00975183" w:rsidRPr="0017450B" w:rsidRDefault="00975183" w:rsidP="00442D33">
      <w:pPr>
        <w:pStyle w:val="EndnoteText"/>
      </w:pPr>
      <w:r w:rsidRPr="0017450B">
        <w:rPr>
          <w:rStyle w:val="EndnoteReference"/>
        </w:rPr>
        <w:endnoteRef/>
      </w:r>
      <w:r w:rsidRPr="0017450B">
        <w:t xml:space="preserve"> Kraus, </w:t>
      </w:r>
      <w:r w:rsidRPr="0017450B">
        <w:rPr>
          <w:i/>
        </w:rPr>
        <w:t>Dispensationalism in America</w:t>
      </w:r>
      <w:r w:rsidRPr="0017450B">
        <w:t>, p. 118.</w:t>
      </w:r>
    </w:p>
  </w:endnote>
  <w:endnote w:id="1458">
    <w:p w:rsidR="00975183" w:rsidRPr="00367F57" w:rsidRDefault="00975183" w:rsidP="00442D33">
      <w:pPr>
        <w:pStyle w:val="EndnoteText"/>
      </w:pPr>
      <w:r w:rsidRPr="00367F57">
        <w:rPr>
          <w:rStyle w:val="EndnoteReference"/>
        </w:rPr>
        <w:endnoteRef/>
      </w:r>
      <w:r w:rsidRPr="00367F57">
        <w:t xml:space="preserve"> </w:t>
      </w:r>
      <w:r>
        <w:t xml:space="preserve">Bass, </w:t>
      </w:r>
      <w:r w:rsidRPr="00367F57">
        <w:rPr>
          <w:i/>
        </w:rPr>
        <w:t>Backgrounds</w:t>
      </w:r>
      <w:r>
        <w:t>, p. 34.</w:t>
      </w:r>
    </w:p>
  </w:endnote>
  <w:endnote w:id="1459">
    <w:p w:rsidR="00975183" w:rsidRPr="00F844F9" w:rsidRDefault="00975183" w:rsidP="00442D33">
      <w:pPr>
        <w:pStyle w:val="EndnoteText"/>
      </w:pPr>
      <w:r w:rsidRPr="00F844F9">
        <w:rPr>
          <w:rStyle w:val="EndnoteReference"/>
        </w:rPr>
        <w:endnoteRef/>
      </w:r>
      <w:r w:rsidRPr="00F844F9">
        <w:t xml:space="preserve"> Note on Rev. 14:6, </w:t>
      </w:r>
      <w:r w:rsidRPr="00CC74C5">
        <w:rPr>
          <w:i/>
        </w:rPr>
        <w:t>NSRE 1967</w:t>
      </w:r>
      <w:r w:rsidRPr="007B4F6A">
        <w:rPr>
          <w:lang w:eastAsia="en-GB"/>
        </w:rPr>
        <w:t xml:space="preserve">, p. </w:t>
      </w:r>
      <w:r>
        <w:rPr>
          <w:lang w:eastAsia="en-GB"/>
        </w:rPr>
        <w:t>1366</w:t>
      </w:r>
      <w:r w:rsidRPr="007B4F6A">
        <w:rPr>
          <w:lang w:eastAsia="en-GB"/>
        </w:rPr>
        <w:t xml:space="preserve">; </w:t>
      </w:r>
      <w:r w:rsidRPr="007B4F6A">
        <w:rPr>
          <w:i/>
          <w:iCs/>
          <w:lang w:eastAsia="en-GB"/>
        </w:rPr>
        <w:t>SSB III, KJV</w:t>
      </w:r>
      <w:r w:rsidRPr="007B4F6A">
        <w:rPr>
          <w:lang w:eastAsia="en-GB"/>
        </w:rPr>
        <w:t xml:space="preserve">, </w:t>
      </w:r>
      <w:r w:rsidRPr="007B4F6A">
        <w:rPr>
          <w:i/>
          <w:lang w:eastAsia="en-GB"/>
        </w:rPr>
        <w:t>2003</w:t>
      </w:r>
      <w:r w:rsidRPr="007B4F6A">
        <w:rPr>
          <w:lang w:eastAsia="en-GB"/>
        </w:rPr>
        <w:t>, p. 167</w:t>
      </w:r>
      <w:r>
        <w:rPr>
          <w:lang w:eastAsia="en-GB"/>
        </w:rPr>
        <w:t>2</w:t>
      </w:r>
      <w:r w:rsidRPr="007B4F6A">
        <w:rPr>
          <w:lang w:eastAsia="en-GB"/>
        </w:rPr>
        <w:t>.</w:t>
      </w:r>
      <w:r>
        <w:rPr>
          <w:lang w:eastAsia="en-GB"/>
        </w:rPr>
        <w:t xml:space="preserve">  cf 1967 and 2003 notes on Gen. 1:28, </w:t>
      </w:r>
      <w:r w:rsidRPr="007B4F6A">
        <w:rPr>
          <w:i/>
        </w:rPr>
        <w:t>NSRE 1967</w:t>
      </w:r>
      <w:r w:rsidRPr="007B4F6A">
        <w:rPr>
          <w:lang w:eastAsia="en-GB"/>
        </w:rPr>
        <w:t xml:space="preserve">, p. </w:t>
      </w:r>
      <w:r>
        <w:rPr>
          <w:lang w:eastAsia="en-GB"/>
        </w:rPr>
        <w:t>3</w:t>
      </w:r>
      <w:r w:rsidRPr="007B4F6A">
        <w:rPr>
          <w:lang w:eastAsia="en-GB"/>
        </w:rPr>
        <w:t xml:space="preserve">; </w:t>
      </w:r>
      <w:r w:rsidRPr="007B4F6A">
        <w:rPr>
          <w:i/>
          <w:iCs/>
          <w:lang w:eastAsia="en-GB"/>
        </w:rPr>
        <w:t>SSB III, KJV</w:t>
      </w:r>
      <w:r w:rsidRPr="007B4F6A">
        <w:rPr>
          <w:lang w:eastAsia="en-GB"/>
        </w:rPr>
        <w:t xml:space="preserve">, </w:t>
      </w:r>
      <w:r w:rsidRPr="007B4F6A">
        <w:rPr>
          <w:i/>
          <w:lang w:eastAsia="en-GB"/>
        </w:rPr>
        <w:t>2003</w:t>
      </w:r>
      <w:r w:rsidRPr="007B4F6A">
        <w:rPr>
          <w:lang w:eastAsia="en-GB"/>
        </w:rPr>
        <w:t xml:space="preserve">, p. </w:t>
      </w:r>
      <w:r>
        <w:rPr>
          <w:lang w:eastAsia="en-GB"/>
        </w:rPr>
        <w:t xml:space="preserve">4; Gen. 15:6, </w:t>
      </w:r>
      <w:r w:rsidRPr="007B4F6A">
        <w:rPr>
          <w:i/>
        </w:rPr>
        <w:t>NSRE 1967</w:t>
      </w:r>
      <w:r w:rsidRPr="007B4F6A">
        <w:rPr>
          <w:lang w:eastAsia="en-GB"/>
        </w:rPr>
        <w:t xml:space="preserve">, p. </w:t>
      </w:r>
      <w:r>
        <w:rPr>
          <w:lang w:eastAsia="en-GB"/>
        </w:rPr>
        <w:t>24</w:t>
      </w:r>
      <w:r w:rsidRPr="007B4F6A">
        <w:rPr>
          <w:lang w:eastAsia="en-GB"/>
        </w:rPr>
        <w:t xml:space="preserve">; </w:t>
      </w:r>
      <w:r w:rsidRPr="007B4F6A">
        <w:rPr>
          <w:i/>
          <w:iCs/>
          <w:lang w:eastAsia="en-GB"/>
        </w:rPr>
        <w:t>SSB III, KJV</w:t>
      </w:r>
      <w:r w:rsidRPr="007B4F6A">
        <w:rPr>
          <w:lang w:eastAsia="en-GB"/>
        </w:rPr>
        <w:t xml:space="preserve">, </w:t>
      </w:r>
      <w:r w:rsidRPr="007B4F6A">
        <w:rPr>
          <w:i/>
          <w:lang w:eastAsia="en-GB"/>
        </w:rPr>
        <w:t>2003</w:t>
      </w:r>
      <w:r w:rsidRPr="007B4F6A">
        <w:rPr>
          <w:lang w:eastAsia="en-GB"/>
        </w:rPr>
        <w:t xml:space="preserve">, p. </w:t>
      </w:r>
      <w:r>
        <w:rPr>
          <w:lang w:eastAsia="en-GB"/>
        </w:rPr>
        <w:t>29.</w:t>
      </w:r>
    </w:p>
  </w:endnote>
  <w:endnote w:id="1460">
    <w:p w:rsidR="00975183" w:rsidRPr="004D4510" w:rsidRDefault="00975183" w:rsidP="00442D33">
      <w:pPr>
        <w:pStyle w:val="EndnoteText"/>
      </w:pPr>
      <w:r w:rsidRPr="004D4510">
        <w:rPr>
          <w:rStyle w:val="EndnoteReference"/>
        </w:rPr>
        <w:endnoteRef/>
      </w:r>
      <w:r w:rsidRPr="004D4510">
        <w:t xml:space="preserve"> </w:t>
      </w:r>
      <w:r w:rsidRPr="00597B56">
        <w:t xml:space="preserve">Walvoord, Book Review of Bass, </w:t>
      </w:r>
      <w:r w:rsidRPr="00597B56">
        <w:rPr>
          <w:i/>
        </w:rPr>
        <w:t>Origins of Dispensationalism</w:t>
      </w:r>
      <w:r w:rsidRPr="00597B56">
        <w:t xml:space="preserve">; </w:t>
      </w:r>
      <w:r w:rsidRPr="00597B56">
        <w:rPr>
          <w:i/>
          <w:iCs/>
        </w:rPr>
        <w:t>Bibliotheca Sacra,</w:t>
      </w:r>
      <w:r w:rsidRPr="00597B56">
        <w:t xml:space="preserve"> 118:469 (Jan. 1961), p. 70.</w:t>
      </w:r>
      <w:r>
        <w:t xml:space="preserve"> </w:t>
      </w:r>
    </w:p>
  </w:endnote>
  <w:endnote w:id="1461">
    <w:p w:rsidR="00975183" w:rsidRPr="00B838FF" w:rsidRDefault="00975183" w:rsidP="00442D33">
      <w:pPr>
        <w:pStyle w:val="EndnoteText"/>
      </w:pPr>
      <w:r w:rsidRPr="00B838FF">
        <w:rPr>
          <w:rStyle w:val="EndnoteReference"/>
        </w:rPr>
        <w:endnoteRef/>
      </w:r>
      <w:r w:rsidRPr="00B838FF">
        <w:t xml:space="preserve"> </w:t>
      </w:r>
      <w:r>
        <w:t xml:space="preserve">Ryrie, </w:t>
      </w:r>
      <w:r w:rsidRPr="00B838FF">
        <w:rPr>
          <w:i/>
        </w:rPr>
        <w:t>Dispensationalism Today</w:t>
      </w:r>
      <w:r>
        <w:t>, p. 13.</w:t>
      </w:r>
    </w:p>
  </w:endnote>
  <w:endnote w:id="1462">
    <w:p w:rsidR="00975183" w:rsidRPr="00CC74C5" w:rsidRDefault="00975183" w:rsidP="00442D33">
      <w:pPr>
        <w:pStyle w:val="EndnoteText"/>
      </w:pPr>
      <w:r w:rsidRPr="00CC74C5">
        <w:rPr>
          <w:rStyle w:val="EndnoteReference"/>
        </w:rPr>
        <w:endnoteRef/>
      </w:r>
      <w:r w:rsidRPr="00CC74C5">
        <w:t xml:space="preserve"> Chafer, </w:t>
      </w:r>
      <w:r w:rsidRPr="00CC74C5">
        <w:rPr>
          <w:i/>
        </w:rPr>
        <w:t xml:space="preserve">Grace: An Exposition of God’s Marvelous Gift, </w:t>
      </w:r>
      <w:r w:rsidRPr="00CC74C5">
        <w:t xml:space="preserve">p. 113 &lt;http://www.baptistbiblebelievers.com/BookList/GracebyLewisSperryChafer1922.aspx &gt; [accessed 1.1.17]. </w:t>
      </w:r>
    </w:p>
  </w:endnote>
  <w:endnote w:id="1463">
    <w:p w:rsidR="00975183" w:rsidRPr="00CC74C5" w:rsidRDefault="00975183" w:rsidP="00442D33">
      <w:pPr>
        <w:pStyle w:val="EndnoteText"/>
      </w:pPr>
      <w:r w:rsidRPr="00CC74C5">
        <w:rPr>
          <w:rStyle w:val="FootnoteReference"/>
        </w:rPr>
        <w:endnoteRef/>
      </w:r>
      <w:r w:rsidRPr="00CC74C5">
        <w:t xml:space="preserve"> </w:t>
      </w:r>
      <w:r w:rsidRPr="00CC74C5">
        <w:rPr>
          <w:i/>
        </w:rPr>
        <w:t>SRB</w:t>
      </w:r>
      <w:r w:rsidRPr="00CC74C5">
        <w:t xml:space="preserve"> note on 1 Cor. 15:24, p. 1226</w:t>
      </w:r>
      <w:r w:rsidRPr="00CC74C5">
        <w:rPr>
          <w:lang w:eastAsia="en-GB"/>
        </w:rPr>
        <w:t>.</w:t>
      </w:r>
      <w:r w:rsidRPr="00CC74C5">
        <w:t xml:space="preserve">  </w:t>
      </w:r>
      <w:proofErr w:type="gramStart"/>
      <w:r w:rsidRPr="003D0543">
        <w:rPr>
          <w:b/>
        </w:rPr>
        <w:t>See 7.2.1; 7.2.4</w:t>
      </w:r>
      <w:r w:rsidRPr="00D636CB">
        <w:t>.</w:t>
      </w:r>
      <w:proofErr w:type="gramEnd"/>
    </w:p>
  </w:endnote>
  <w:endnote w:id="1464">
    <w:p w:rsidR="00975183" w:rsidRPr="001C0261" w:rsidRDefault="00975183" w:rsidP="00442D33">
      <w:pPr>
        <w:pStyle w:val="EndnoteText"/>
      </w:pPr>
      <w:r w:rsidRPr="001C0261">
        <w:rPr>
          <w:rStyle w:val="EndnoteReference"/>
        </w:rPr>
        <w:endnoteRef/>
      </w:r>
      <w:r w:rsidRPr="001C0261">
        <w:t xml:space="preserve"> </w:t>
      </w:r>
      <w:r w:rsidRPr="001E2F8B">
        <w:rPr>
          <w:i/>
        </w:rPr>
        <w:t>SRB</w:t>
      </w:r>
      <w:r>
        <w:t xml:space="preserve"> n</w:t>
      </w:r>
      <w:r w:rsidRPr="001C0261">
        <w:t xml:space="preserve">ote on Lk. 24:51, p. 1113.  </w:t>
      </w:r>
    </w:p>
  </w:endnote>
  <w:endnote w:id="1465">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Gal. 1:13, p. 1242.  </w:t>
      </w:r>
      <w:proofErr w:type="gramStart"/>
      <w:r w:rsidRPr="003D0543">
        <w:rPr>
          <w:b/>
        </w:rPr>
        <w:t>See 8.7.4</w:t>
      </w:r>
      <w:r w:rsidRPr="003D0543">
        <w:t>.</w:t>
      </w:r>
      <w:proofErr w:type="gramEnd"/>
    </w:p>
  </w:endnote>
  <w:endnote w:id="1466">
    <w:p w:rsidR="00975183" w:rsidRPr="00C73A06" w:rsidRDefault="00975183" w:rsidP="00442D33">
      <w:pPr>
        <w:pStyle w:val="EndnoteText"/>
      </w:pPr>
      <w:r w:rsidRPr="00C73A06">
        <w:rPr>
          <w:rStyle w:val="EndnoteReference"/>
        </w:rPr>
        <w:endnoteRef/>
      </w:r>
      <w:r w:rsidRPr="00C73A06">
        <w:t xml:space="preserve"> </w:t>
      </w:r>
      <w:r>
        <w:t>For example, in his note on Exod. 32:10, p. 113, where he refers to a ‘striking contrast between law and grace’ as exemplified by Israel and Moses, and Christ and believers respectively.</w:t>
      </w:r>
    </w:p>
  </w:endnote>
  <w:endnote w:id="1467">
    <w:p w:rsidR="00975183" w:rsidRDefault="00975183" w:rsidP="00442D33">
      <w:pPr>
        <w:pStyle w:val="EndnoteText"/>
      </w:pPr>
      <w:r w:rsidRPr="00291655">
        <w:rPr>
          <w:rStyle w:val="EndnoteReference"/>
        </w:rPr>
        <w:endnoteRef/>
      </w:r>
      <w:r w:rsidRPr="00291655">
        <w:t xml:space="preserve"> </w:t>
      </w:r>
      <w:r w:rsidRPr="00347F4D">
        <w:rPr>
          <w:i/>
        </w:rPr>
        <w:t>SRB</w:t>
      </w:r>
      <w:r w:rsidRPr="00347F4D">
        <w:t xml:space="preserve"> note on</w:t>
      </w:r>
      <w:r>
        <w:t xml:space="preserve"> Gal. 3:24, p. 1244.  </w:t>
      </w:r>
    </w:p>
  </w:endnote>
  <w:endnote w:id="1468">
    <w:p w:rsidR="00975183" w:rsidRDefault="00975183" w:rsidP="00442D33">
      <w:pPr>
        <w:pStyle w:val="EndnoteText"/>
      </w:pPr>
      <w:r w:rsidRPr="001C0261">
        <w:rPr>
          <w:rStyle w:val="FootnoteReference"/>
        </w:rPr>
        <w:endnoteRef/>
      </w:r>
      <w:r w:rsidRPr="001C0261">
        <w:t xml:space="preserve"> </w:t>
      </w:r>
      <w:r w:rsidRPr="00C75198">
        <w:rPr>
          <w:i/>
        </w:rPr>
        <w:t>SRB</w:t>
      </w:r>
      <w:r>
        <w:t xml:space="preserve"> n</w:t>
      </w:r>
      <w:r w:rsidRPr="001C0261">
        <w:t>ote on Gal. 1:6, p. 1241</w:t>
      </w:r>
      <w:r>
        <w:t xml:space="preserve">.  </w:t>
      </w:r>
    </w:p>
  </w:endnote>
  <w:endnote w:id="1469">
    <w:p w:rsidR="00975183" w:rsidRDefault="00975183" w:rsidP="00442D33">
      <w:pPr>
        <w:pStyle w:val="EndnoteText"/>
      </w:pPr>
      <w:r w:rsidRPr="00291655">
        <w:rPr>
          <w:rStyle w:val="EndnoteReference"/>
        </w:rPr>
        <w:endnoteRef/>
      </w:r>
      <w:r w:rsidRPr="00291655">
        <w:t xml:space="preserve"> </w:t>
      </w:r>
      <w:r w:rsidRPr="00347F4D">
        <w:rPr>
          <w:i/>
        </w:rPr>
        <w:t>SRB</w:t>
      </w:r>
      <w:r w:rsidRPr="00347F4D">
        <w:t xml:space="preserve"> note on</w:t>
      </w:r>
      <w:r>
        <w:t xml:space="preserve"> Gal. 3:24, p. 1244.</w:t>
      </w:r>
    </w:p>
  </w:endnote>
  <w:endnote w:id="1470">
    <w:p w:rsidR="00975183" w:rsidRDefault="00975183" w:rsidP="00442D33">
      <w:pPr>
        <w:pStyle w:val="EndnoteText"/>
      </w:pPr>
      <w:r w:rsidRPr="007B4F6A">
        <w:rPr>
          <w:rStyle w:val="EndnoteReference"/>
        </w:rPr>
        <w:endnoteRef/>
      </w:r>
      <w:r w:rsidRPr="007B4F6A">
        <w:t xml:space="preserve"> </w:t>
      </w:r>
      <w:r>
        <w:t>Ref. Rom. 7:12-14.</w:t>
      </w:r>
    </w:p>
  </w:endnote>
  <w:endnote w:id="1471">
    <w:p w:rsidR="00975183" w:rsidRDefault="00975183" w:rsidP="00442D33">
      <w:pPr>
        <w:pStyle w:val="EndnoteText"/>
      </w:pPr>
      <w:r w:rsidRPr="007B4F6A">
        <w:rPr>
          <w:rStyle w:val="EndnoteReference"/>
        </w:rPr>
        <w:endnoteRef/>
      </w:r>
      <w:r w:rsidRPr="007B4F6A">
        <w:t xml:space="preserve"> </w:t>
      </w:r>
      <w:r>
        <w:t>Refs Exod. 19:5; Jn 1:17.</w:t>
      </w:r>
    </w:p>
  </w:endnote>
  <w:endnote w:id="1472">
    <w:p w:rsidR="00975183" w:rsidRDefault="00975183" w:rsidP="00442D33">
      <w:pPr>
        <w:pStyle w:val="EndnoteText"/>
      </w:pPr>
      <w:r w:rsidRPr="007B4F6A">
        <w:rPr>
          <w:rStyle w:val="EndnoteReference"/>
        </w:rPr>
        <w:endnoteRef/>
      </w:r>
      <w:r w:rsidRPr="007B4F6A">
        <w:t xml:space="preserve"> </w:t>
      </w:r>
      <w:r>
        <w:t>Refs Rom. 3:19; 2 cor. 3:7-9; Gal. 3:10.</w:t>
      </w:r>
    </w:p>
  </w:endnote>
  <w:endnote w:id="1473">
    <w:p w:rsidR="00975183" w:rsidRDefault="00975183" w:rsidP="00442D33">
      <w:pPr>
        <w:pStyle w:val="EndnoteText"/>
      </w:pPr>
      <w:r w:rsidRPr="007B4F6A">
        <w:rPr>
          <w:rStyle w:val="EndnoteReference"/>
        </w:rPr>
        <w:endnoteRef/>
      </w:r>
      <w:r w:rsidRPr="007B4F6A">
        <w:t xml:space="preserve"> </w:t>
      </w:r>
      <w:r>
        <w:t>Refs Gal. 3:13; 4:5-7.</w:t>
      </w:r>
    </w:p>
  </w:endnote>
  <w:endnote w:id="1474">
    <w:p w:rsidR="00975183" w:rsidRDefault="00975183" w:rsidP="00442D33">
      <w:pPr>
        <w:pStyle w:val="EndnoteText"/>
      </w:pPr>
      <w:r w:rsidRPr="007B4F6A">
        <w:rPr>
          <w:rStyle w:val="EndnoteReference"/>
        </w:rPr>
        <w:endnoteRef/>
      </w:r>
      <w:r w:rsidRPr="007B4F6A">
        <w:t xml:space="preserve"> </w:t>
      </w:r>
      <w:r>
        <w:t>Refs Gal. 2:16; 3:2-3, 11-12.</w:t>
      </w:r>
    </w:p>
  </w:endnote>
  <w:endnote w:id="1475">
    <w:p w:rsidR="00975183" w:rsidRDefault="00975183" w:rsidP="00442D33">
      <w:pPr>
        <w:pStyle w:val="EndnoteText"/>
      </w:pPr>
      <w:r w:rsidRPr="007B4F6A">
        <w:rPr>
          <w:rStyle w:val="EndnoteReference"/>
        </w:rPr>
        <w:endnoteRef/>
      </w:r>
      <w:r w:rsidRPr="007B4F6A">
        <w:t xml:space="preserve"> </w:t>
      </w:r>
      <w:r>
        <w:t>Refs Rom. 6:14; 7:4; Gal. 2:19; 4:4-7; 1 Tim. 1:8-9.</w:t>
      </w:r>
    </w:p>
  </w:endnote>
  <w:endnote w:id="1476">
    <w:p w:rsidR="00975183" w:rsidRDefault="00975183" w:rsidP="00442D33">
      <w:pPr>
        <w:pStyle w:val="EndnoteText"/>
      </w:pPr>
      <w:r w:rsidRPr="007B4F6A">
        <w:rPr>
          <w:rStyle w:val="EndnoteReference"/>
        </w:rPr>
        <w:endnoteRef/>
      </w:r>
      <w:r w:rsidRPr="007B4F6A">
        <w:t xml:space="preserve"> </w:t>
      </w:r>
      <w:r>
        <w:t>Ref. Heb. 10:6.</w:t>
      </w:r>
    </w:p>
  </w:endnote>
  <w:endnote w:id="1477">
    <w:p w:rsidR="00975183" w:rsidRDefault="00975183" w:rsidP="00442D33">
      <w:pPr>
        <w:pStyle w:val="EndnoteText"/>
      </w:pPr>
      <w:r w:rsidRPr="007B4F6A">
        <w:rPr>
          <w:rStyle w:val="EndnoteReference"/>
        </w:rPr>
        <w:endnoteRef/>
      </w:r>
      <w:r w:rsidRPr="007B4F6A">
        <w:t xml:space="preserve"> </w:t>
      </w:r>
      <w:r>
        <w:t>Refs 1 Cor. 9:21; Gal. 6:2; 2 Jn 1:5.</w:t>
      </w:r>
    </w:p>
  </w:endnote>
  <w:endnote w:id="1478">
    <w:p w:rsidR="00975183" w:rsidRDefault="00975183" w:rsidP="00442D33">
      <w:pPr>
        <w:pStyle w:val="EndnoteText"/>
      </w:pPr>
      <w:r w:rsidRPr="007B4F6A">
        <w:rPr>
          <w:rStyle w:val="EndnoteReference"/>
        </w:rPr>
        <w:endnoteRef/>
      </w:r>
      <w:r w:rsidRPr="007B4F6A">
        <w:t xml:space="preserve"> </w:t>
      </w:r>
      <w:r>
        <w:t>Refs Rom. 8:2-4; Gal. 5:16-18.</w:t>
      </w:r>
    </w:p>
  </w:endnote>
  <w:endnote w:id="1479">
    <w:p w:rsidR="00975183" w:rsidRPr="007B4F6A" w:rsidRDefault="00975183" w:rsidP="00442D33">
      <w:pPr>
        <w:pStyle w:val="EndnoteText"/>
      </w:pPr>
      <w:r w:rsidRPr="007B4F6A">
        <w:rPr>
          <w:rStyle w:val="EndnoteReference"/>
        </w:rPr>
        <w:endnoteRef/>
      </w:r>
      <w:r w:rsidRPr="007B4F6A">
        <w:t xml:space="preserve"> </w:t>
      </w:r>
      <w:r w:rsidRPr="00E873FF">
        <w:rPr>
          <w:i/>
        </w:rPr>
        <w:t>SRB</w:t>
      </w:r>
      <w:r>
        <w:t xml:space="preserve"> note</w:t>
      </w:r>
      <w:r w:rsidRPr="007B4F6A">
        <w:t xml:space="preserve"> on Gal. 3:24, p. 1244.</w:t>
      </w:r>
      <w:r>
        <w:t xml:space="preserve">  Refs 2 Tim. 3:16; Rom. 13:8-10; Eph. 6:1-3; 1 Cor. 8-9.</w:t>
      </w:r>
    </w:p>
  </w:endnote>
  <w:endnote w:id="1480">
    <w:p w:rsidR="00975183" w:rsidRDefault="00975183" w:rsidP="00442D33">
      <w:pPr>
        <w:pStyle w:val="EndnoteText"/>
      </w:pPr>
      <w:r w:rsidRPr="00F46A6D">
        <w:rPr>
          <w:rStyle w:val="FootnoteReference"/>
        </w:rPr>
        <w:endnoteRef/>
      </w:r>
      <w:r w:rsidRPr="00F46A6D">
        <w:t xml:space="preserve"> Mangum, ‘Impact of the Scofield Reference Bible on American Evangelicalism’, in Mangum and Sweetnam, </w:t>
      </w:r>
      <w:r w:rsidRPr="00F46A6D">
        <w:rPr>
          <w:i/>
        </w:rPr>
        <w:t>History and Impact</w:t>
      </w:r>
      <w:r w:rsidRPr="00F46A6D">
        <w:t>, pp. 182-3</w:t>
      </w:r>
      <w:r w:rsidRPr="000F023E">
        <w:t xml:space="preserve">.  </w:t>
      </w:r>
    </w:p>
  </w:endnote>
  <w:endnote w:id="1481">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Acts 15:13, p. 1169.</w:t>
      </w:r>
    </w:p>
  </w:endnote>
  <w:endnote w:id="1482">
    <w:p w:rsidR="00975183" w:rsidRDefault="00975183" w:rsidP="00442D33">
      <w:pPr>
        <w:pStyle w:val="EndnoteText"/>
      </w:pPr>
      <w:r w:rsidRPr="007B4F6A">
        <w:rPr>
          <w:rStyle w:val="FootnoteReference"/>
        </w:rPr>
        <w:endnoteRef/>
      </w:r>
      <w:r w:rsidRPr="007B4F6A">
        <w:t xml:space="preserve"> </w:t>
      </w:r>
      <w:r w:rsidRPr="002867C5">
        <w:rPr>
          <w:i/>
        </w:rPr>
        <w:t>SRB</w:t>
      </w:r>
      <w:r>
        <w:t xml:space="preserve"> n</w:t>
      </w:r>
      <w:r w:rsidRPr="007B4F6A">
        <w:t>ote on Isa. 42:6, p. 750</w:t>
      </w:r>
      <w:r>
        <w:t>.  Ref. Eph. 1:23.</w:t>
      </w:r>
    </w:p>
  </w:endnote>
  <w:endnote w:id="1483">
    <w:p w:rsidR="00975183" w:rsidRPr="001C0261" w:rsidRDefault="00975183" w:rsidP="00442D33">
      <w:pPr>
        <w:pStyle w:val="EndnoteText"/>
      </w:pPr>
      <w:r w:rsidRPr="001C0261">
        <w:rPr>
          <w:rStyle w:val="EndnoteReference"/>
        </w:rPr>
        <w:endnoteRef/>
      </w:r>
      <w:r w:rsidRPr="001C0261">
        <w:t xml:space="preserve"> </w:t>
      </w:r>
      <w:r w:rsidRPr="00AA662E">
        <w:rPr>
          <w:i/>
        </w:rPr>
        <w:t>SRB</w:t>
      </w:r>
      <w:r>
        <w:t xml:space="preserve"> note on </w:t>
      </w:r>
      <w:r w:rsidRPr="001C0261">
        <w:rPr>
          <w:lang w:eastAsia="en-GB"/>
        </w:rPr>
        <w:t xml:space="preserve">Rom. 11:25, </w:t>
      </w:r>
      <w:r w:rsidRPr="001C0261">
        <w:t>pp. 1205-6.</w:t>
      </w:r>
    </w:p>
  </w:endnote>
  <w:endnote w:id="1484">
    <w:p w:rsidR="00975183" w:rsidRDefault="00975183" w:rsidP="00442D33">
      <w:pPr>
        <w:pStyle w:val="EndnoteText"/>
      </w:pPr>
      <w:r w:rsidRPr="001C0261">
        <w:rPr>
          <w:rStyle w:val="FootnoteReference"/>
        </w:rPr>
        <w:endnoteRef/>
      </w:r>
      <w:r w:rsidRPr="001C0261">
        <w:t xml:space="preserve"> </w:t>
      </w:r>
      <w:r w:rsidRPr="002867C5">
        <w:rPr>
          <w:i/>
        </w:rPr>
        <w:t>SRB</w:t>
      </w:r>
      <w:r>
        <w:t xml:space="preserve"> n</w:t>
      </w:r>
      <w:r w:rsidRPr="001C0261">
        <w:t>ote on Isa. 59:20, p. 765</w:t>
      </w:r>
      <w:r w:rsidRPr="00F138D3">
        <w:rPr>
          <w:lang w:eastAsia="en-GB"/>
        </w:rPr>
        <w:t xml:space="preserve">. </w:t>
      </w:r>
      <w:r>
        <w:rPr>
          <w:lang w:eastAsia="en-GB"/>
        </w:rPr>
        <w:t xml:space="preserve"> </w:t>
      </w:r>
      <w:proofErr w:type="gramStart"/>
      <w:r w:rsidRPr="00F138D3">
        <w:t>Refs.</w:t>
      </w:r>
      <w:proofErr w:type="gramEnd"/>
      <w:r w:rsidRPr="00F138D3">
        <w:t xml:space="preserve"> Rom. 11:23-9; Acts 15:14-17.</w:t>
      </w:r>
    </w:p>
  </w:endnote>
  <w:endnote w:id="1485">
    <w:p w:rsidR="00975183" w:rsidRDefault="00975183" w:rsidP="00442D33">
      <w:pPr>
        <w:pStyle w:val="EndnoteText"/>
      </w:pPr>
      <w:r w:rsidRPr="001C0261">
        <w:rPr>
          <w:rStyle w:val="EndnoteReference"/>
        </w:rPr>
        <w:endnoteRef/>
      </w:r>
      <w:r w:rsidRPr="001C0261">
        <w:t xml:space="preserve"> </w:t>
      </w:r>
      <w:r w:rsidRPr="002867C5">
        <w:rPr>
          <w:i/>
        </w:rPr>
        <w:t>SRB</w:t>
      </w:r>
      <w:r>
        <w:t xml:space="preserve"> n</w:t>
      </w:r>
      <w:r w:rsidRPr="001C0261">
        <w:t>ote on Mt. 13:11, p. 1014</w:t>
      </w:r>
      <w:r w:rsidRPr="001C0261">
        <w:rPr>
          <w:lang w:eastAsia="en-GB"/>
        </w:rPr>
        <w:t>.</w:t>
      </w:r>
      <w:r w:rsidRPr="001C0261">
        <w:t xml:space="preserve">  </w:t>
      </w:r>
      <w:r>
        <w:t>c</w:t>
      </w:r>
      <w:r w:rsidRPr="001C0261">
        <w:t xml:space="preserve">f </w:t>
      </w:r>
      <w:r w:rsidRPr="001C0261">
        <w:rPr>
          <w:i/>
        </w:rPr>
        <w:t>SRB</w:t>
      </w:r>
      <w:r w:rsidRPr="001C0261">
        <w:t xml:space="preserve"> notes on Hab. 2:3, p. 956</w:t>
      </w:r>
      <w:r>
        <w:rPr>
          <w:lang w:eastAsia="en-GB"/>
        </w:rPr>
        <w:t xml:space="preserve">, </w:t>
      </w:r>
      <w:r w:rsidRPr="001C0261">
        <w:t xml:space="preserve">and Eph. 3:6, p. 1252; and subheads to </w:t>
      </w:r>
    </w:p>
    <w:p w:rsidR="00975183" w:rsidRPr="001C0261" w:rsidRDefault="00975183" w:rsidP="00442D33">
      <w:pPr>
        <w:pStyle w:val="EndnoteText"/>
      </w:pPr>
      <w:r w:rsidRPr="001C0261">
        <w:t>Rom. 15:4, p. 1208</w:t>
      </w:r>
      <w:r>
        <w:t>, a</w:t>
      </w:r>
      <w:r w:rsidRPr="001C0261">
        <w:t>nd Eph. 2:14, p. 1251</w:t>
      </w:r>
      <w:r w:rsidRPr="001C0261">
        <w:rPr>
          <w:lang w:eastAsia="en-GB"/>
        </w:rPr>
        <w:t xml:space="preserve">.  </w:t>
      </w:r>
    </w:p>
  </w:endnote>
  <w:endnote w:id="1486">
    <w:p w:rsidR="00975183" w:rsidRPr="001C0261" w:rsidRDefault="00975183" w:rsidP="00442D33">
      <w:pPr>
        <w:pStyle w:val="EndnoteText"/>
      </w:pPr>
      <w:r w:rsidRPr="001C0261">
        <w:rPr>
          <w:rStyle w:val="EndnoteReference"/>
        </w:rPr>
        <w:endnoteRef/>
      </w:r>
      <w:r w:rsidRPr="001C0261">
        <w:t xml:space="preserve"> </w:t>
      </w:r>
      <w:r>
        <w:rPr>
          <w:i/>
        </w:rPr>
        <w:t xml:space="preserve">SRB </w:t>
      </w:r>
      <w:r w:rsidRPr="00DB4B35">
        <w:t>n</w:t>
      </w:r>
      <w:r w:rsidRPr="001C0261">
        <w:t>ote on Eph. 3:6, p. 1252</w:t>
      </w:r>
      <w:r w:rsidRPr="001C0261">
        <w:rPr>
          <w:lang w:eastAsia="en-GB"/>
        </w:rPr>
        <w:t>.</w:t>
      </w:r>
    </w:p>
  </w:endnote>
  <w:endnote w:id="1487">
    <w:p w:rsidR="00975183" w:rsidRDefault="00975183" w:rsidP="00442D33">
      <w:pPr>
        <w:pStyle w:val="EndnoteText"/>
      </w:pPr>
      <w:r w:rsidRPr="007B4F6A">
        <w:rPr>
          <w:rStyle w:val="FootnoteReference"/>
        </w:rPr>
        <w:endnoteRef/>
      </w:r>
      <w:r w:rsidRPr="007B4F6A">
        <w:t xml:space="preserve"> </w:t>
      </w:r>
      <w:proofErr w:type="gramStart"/>
      <w:r w:rsidRPr="007B4F6A">
        <w:t>Acts 10.</w:t>
      </w:r>
      <w:proofErr w:type="gramEnd"/>
    </w:p>
  </w:endnote>
  <w:endnote w:id="1488">
    <w:p w:rsidR="00975183" w:rsidRDefault="00975183" w:rsidP="00442D33">
      <w:pPr>
        <w:pStyle w:val="EndnoteText"/>
      </w:pPr>
      <w:r w:rsidRPr="007B4F6A">
        <w:rPr>
          <w:rStyle w:val="FootnoteReference"/>
        </w:rPr>
        <w:endnoteRef/>
      </w:r>
      <w:r w:rsidRPr="007B4F6A">
        <w:t xml:space="preserve"> </w:t>
      </w:r>
      <w:r w:rsidRPr="00DB4B35">
        <w:rPr>
          <w:i/>
        </w:rPr>
        <w:t>SRB</w:t>
      </w:r>
      <w:r>
        <w:t xml:space="preserve"> n</w:t>
      </w:r>
      <w:r w:rsidRPr="007B4F6A">
        <w:t>ote on Acts 2:4, p. 1149</w:t>
      </w:r>
      <w:r w:rsidRPr="007B4F6A">
        <w:rPr>
          <w:lang w:eastAsia="en-GB"/>
        </w:rPr>
        <w:t xml:space="preserve">.  This statement is repeated in the </w:t>
      </w:r>
      <w:r w:rsidRPr="00DB4B35">
        <w:rPr>
          <w:i/>
          <w:lang w:eastAsia="en-GB"/>
        </w:rPr>
        <w:t>SRB</w:t>
      </w:r>
      <w:r>
        <w:rPr>
          <w:lang w:eastAsia="en-GB"/>
        </w:rPr>
        <w:t xml:space="preserve"> </w:t>
      </w:r>
      <w:r w:rsidRPr="007B4F6A">
        <w:rPr>
          <w:lang w:eastAsia="en-GB"/>
        </w:rPr>
        <w:t xml:space="preserve">note on Acts 10:44, </w:t>
      </w:r>
      <w:r w:rsidRPr="007B4F6A">
        <w:t>p. 1164</w:t>
      </w:r>
      <w:r w:rsidRPr="007B4F6A">
        <w:rPr>
          <w:lang w:eastAsia="en-GB"/>
        </w:rPr>
        <w:t>.</w:t>
      </w:r>
    </w:p>
  </w:endnote>
  <w:endnote w:id="1489">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ote on Acts 10:44, p. 1164</w:t>
      </w:r>
      <w:r w:rsidRPr="001C0261">
        <w:rPr>
          <w:lang w:eastAsia="en-GB"/>
        </w:rPr>
        <w:t>.</w:t>
      </w:r>
      <w:r w:rsidRPr="001C0261">
        <w:t xml:space="preserve"> </w:t>
      </w:r>
      <w:proofErr w:type="gramStart"/>
      <w:r w:rsidRPr="0028045A">
        <w:rPr>
          <w:b/>
        </w:rPr>
        <w:t>See 8.6.5</w:t>
      </w:r>
      <w:r w:rsidRPr="0028045A">
        <w:t>.</w:t>
      </w:r>
      <w:proofErr w:type="gramEnd"/>
      <w:r w:rsidRPr="001C0261">
        <w:t xml:space="preserve">  cf </w:t>
      </w:r>
      <w:r w:rsidRPr="001C0261">
        <w:rPr>
          <w:i/>
        </w:rPr>
        <w:t>SRB</w:t>
      </w:r>
      <w:r w:rsidRPr="001C0261">
        <w:t xml:space="preserve"> note on Acts 2:4, pp. 1149-50.</w:t>
      </w:r>
    </w:p>
  </w:endnote>
  <w:endnote w:id="1490">
    <w:p w:rsidR="00975183" w:rsidRPr="001C0261" w:rsidRDefault="00975183" w:rsidP="00442D33">
      <w:pPr>
        <w:pStyle w:val="EndnoteText"/>
      </w:pPr>
      <w:r w:rsidRPr="001C0261">
        <w:rPr>
          <w:rStyle w:val="EndnoteReference"/>
        </w:rPr>
        <w:endnoteRef/>
      </w:r>
      <w:r w:rsidRPr="001C0261">
        <w:t xml:space="preserve"> </w:t>
      </w:r>
      <w:r w:rsidRPr="00DB4B35">
        <w:rPr>
          <w:i/>
        </w:rPr>
        <w:t xml:space="preserve">SRB </w:t>
      </w:r>
      <w:r>
        <w:t>n</w:t>
      </w:r>
      <w:r w:rsidRPr="001C0261">
        <w:t>ote on Lev. 23:24, p. 157</w:t>
      </w:r>
      <w:r w:rsidRPr="001C0261">
        <w:rPr>
          <w:lang w:eastAsia="en-GB"/>
        </w:rPr>
        <w:t xml:space="preserve">. </w:t>
      </w:r>
      <w:r w:rsidRPr="001C0261">
        <w:t xml:space="preserve">  </w:t>
      </w:r>
    </w:p>
  </w:endnote>
  <w:endnote w:id="1491">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ote on Ps. 51:11, p. 624</w:t>
      </w:r>
      <w:r w:rsidRPr="001C0261">
        <w:rPr>
          <w:lang w:eastAsia="en-GB"/>
        </w:rPr>
        <w:t>.</w:t>
      </w:r>
    </w:p>
  </w:endnote>
  <w:endnote w:id="1492">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note</w:t>
      </w:r>
      <w:r w:rsidRPr="001C0261">
        <w:t>s on Mt. 13:3</w:t>
      </w:r>
      <w:r w:rsidRPr="00EC33BB">
        <w:t>, p. 1014</w:t>
      </w:r>
      <w:r w:rsidRPr="001C0261">
        <w:t>; 13:47, pp. 1017-8</w:t>
      </w:r>
      <w:r w:rsidRPr="001C0261">
        <w:rPr>
          <w:lang w:eastAsia="en-GB"/>
        </w:rPr>
        <w:t xml:space="preserve">. </w:t>
      </w:r>
      <w:r w:rsidRPr="001C0261">
        <w:t xml:space="preserve"> </w:t>
      </w:r>
      <w:proofErr w:type="gramStart"/>
      <w:r w:rsidRPr="0028045A">
        <w:rPr>
          <w:b/>
        </w:rPr>
        <w:t>See 7.2.4</w:t>
      </w:r>
      <w:r w:rsidRPr="0028045A">
        <w:t>.</w:t>
      </w:r>
      <w:proofErr w:type="gramEnd"/>
    </w:p>
  </w:endnote>
  <w:endnote w:id="1493">
    <w:p w:rsidR="00975183"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 xml:space="preserve">ote on Mt. </w:t>
      </w:r>
      <w:r w:rsidRPr="00A90666">
        <w:t>13:47, pp</w:t>
      </w:r>
      <w:r w:rsidRPr="001C0261">
        <w:t>. 1017-8</w:t>
      </w:r>
      <w:r w:rsidRPr="001C0261">
        <w:rPr>
          <w:lang w:eastAsia="en-GB"/>
        </w:rPr>
        <w:t xml:space="preserve">.  </w:t>
      </w:r>
      <w:r w:rsidRPr="0028045A">
        <w:rPr>
          <w:b/>
        </w:rPr>
        <w:t>See 7.2.4</w:t>
      </w:r>
      <w:proofErr w:type="gramStart"/>
      <w:r>
        <w:rPr>
          <w:b/>
        </w:rPr>
        <w:t>,</w:t>
      </w:r>
      <w:r w:rsidRPr="0028045A">
        <w:rPr>
          <w:b/>
          <w:i/>
        </w:rPr>
        <w:t>The</w:t>
      </w:r>
      <w:proofErr w:type="gramEnd"/>
      <w:r w:rsidRPr="0028045A">
        <w:rPr>
          <w:b/>
          <w:i/>
        </w:rPr>
        <w:t xml:space="preserve"> Mystery Form of the Kingdom of Heaven in This Age</w:t>
      </w:r>
      <w:r w:rsidRPr="001C0261">
        <w:rPr>
          <w:lang w:eastAsia="en-GB"/>
        </w:rPr>
        <w:t>.</w:t>
      </w:r>
      <w:r w:rsidRPr="001C0261">
        <w:t xml:space="preserve">  </w:t>
      </w:r>
    </w:p>
    <w:p w:rsidR="00975183" w:rsidRPr="001C0261" w:rsidRDefault="00975183" w:rsidP="00442D33">
      <w:pPr>
        <w:pStyle w:val="EndnoteText"/>
      </w:pPr>
      <w:r>
        <w:t>c</w:t>
      </w:r>
      <w:r w:rsidRPr="001C0261">
        <w:t xml:space="preserve">f </w:t>
      </w:r>
      <w:r w:rsidRPr="00DB4B35">
        <w:rPr>
          <w:i/>
        </w:rPr>
        <w:t>SRB</w:t>
      </w:r>
      <w:r>
        <w:t xml:space="preserve"> </w:t>
      </w:r>
      <w:r w:rsidRPr="001C0261">
        <w:t>note on Mt. 24:3, pp. 1032-3</w:t>
      </w:r>
      <w:r w:rsidRPr="001C0261">
        <w:rPr>
          <w:lang w:eastAsia="en-GB"/>
        </w:rPr>
        <w:t>.</w:t>
      </w:r>
    </w:p>
  </w:endnote>
  <w:endnote w:id="1494">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Introduction to the Judaeo-Christian Epistles, p. 1289.</w:t>
      </w:r>
    </w:p>
  </w:endnote>
  <w:endnote w:id="1495">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Jn 1:17, p. 1115.  Ref. 2 Tim 3:1-8 note (p. 1280)</w:t>
      </w:r>
      <w:r w:rsidRPr="001C0261">
        <w:rPr>
          <w:b/>
        </w:rPr>
        <w:t>.</w:t>
      </w:r>
    </w:p>
  </w:endnote>
  <w:endnote w:id="1496">
    <w:p w:rsidR="00975183" w:rsidRDefault="00975183" w:rsidP="00442D33">
      <w:pPr>
        <w:pStyle w:val="EndnoteText"/>
      </w:pPr>
      <w:r w:rsidRPr="007B4F6A">
        <w:rPr>
          <w:rStyle w:val="FootnoteReference"/>
        </w:rPr>
        <w:endnoteRef/>
      </w:r>
      <w:r w:rsidRPr="007B4F6A">
        <w:t xml:space="preserve"> </w:t>
      </w:r>
      <w:r w:rsidRPr="007B4F6A">
        <w:rPr>
          <w:i/>
        </w:rPr>
        <w:t>SRB</w:t>
      </w:r>
      <w:r w:rsidRPr="007B4F6A">
        <w:t xml:space="preserve"> note on Mt. 28:19, p. 1044.  </w:t>
      </w:r>
      <w:r>
        <w:t>c</w:t>
      </w:r>
      <w:r w:rsidRPr="007B4F6A">
        <w:t>f “last days”, note on Acts 2:17, p. 1151</w:t>
      </w:r>
      <w:r w:rsidRPr="007B4F6A">
        <w:rPr>
          <w:b/>
        </w:rPr>
        <w:t>.</w:t>
      </w:r>
    </w:p>
  </w:endnote>
  <w:endnote w:id="1497">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ote on Joel 1:4,</w:t>
      </w:r>
      <w:r w:rsidRPr="001C0261">
        <w:rPr>
          <w:i/>
        </w:rPr>
        <w:t xml:space="preserve"> </w:t>
      </w:r>
      <w:r w:rsidRPr="001C0261">
        <w:t>p. 930</w:t>
      </w:r>
      <w:r w:rsidRPr="001C0261">
        <w:rPr>
          <w:lang w:eastAsia="en-GB"/>
        </w:rPr>
        <w:t>.</w:t>
      </w:r>
      <w:r w:rsidRPr="001C0261">
        <w:t xml:space="preserve">  </w:t>
      </w:r>
      <w:proofErr w:type="gramStart"/>
      <w:r w:rsidRPr="00835F96">
        <w:rPr>
          <w:b/>
        </w:rPr>
        <w:t>See 8.4.6</w:t>
      </w:r>
      <w:r w:rsidRPr="00835F96">
        <w:t>.</w:t>
      </w:r>
      <w:proofErr w:type="gramEnd"/>
      <w:r w:rsidRPr="00835F96">
        <w:rPr>
          <w:b/>
        </w:rPr>
        <w:t xml:space="preserve"> </w:t>
      </w:r>
      <w:r w:rsidRPr="001C0261">
        <w:rPr>
          <w:b/>
        </w:rPr>
        <w:t xml:space="preserve"> </w:t>
      </w:r>
    </w:p>
  </w:endnote>
  <w:endnote w:id="1498">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ote on Jer. 25:29, p. 799</w:t>
      </w:r>
      <w:r w:rsidRPr="001C0261">
        <w:rPr>
          <w:lang w:eastAsia="en-GB"/>
        </w:rPr>
        <w:t>.</w:t>
      </w:r>
    </w:p>
  </w:endnote>
  <w:endnote w:id="1499">
    <w:p w:rsidR="00975183" w:rsidRPr="001C0261" w:rsidRDefault="00975183" w:rsidP="00442D33">
      <w:pPr>
        <w:pStyle w:val="EndnoteText"/>
      </w:pPr>
      <w:r w:rsidRPr="001C0261">
        <w:rPr>
          <w:rStyle w:val="EndnoteReference"/>
        </w:rPr>
        <w:endnoteRef/>
      </w:r>
      <w:r w:rsidRPr="001C0261">
        <w:t xml:space="preserve"> </w:t>
      </w:r>
      <w:r w:rsidRPr="00DB4B35">
        <w:rPr>
          <w:i/>
        </w:rPr>
        <w:t>SRB</w:t>
      </w:r>
      <w:r>
        <w:t xml:space="preserve"> n</w:t>
      </w:r>
      <w:r w:rsidRPr="001C0261">
        <w:t>ote on Lk. 21</w:t>
      </w:r>
      <w:r w:rsidRPr="0086567E">
        <w:t>:20, p. 1106</w:t>
      </w:r>
      <w:r w:rsidRPr="001C0261">
        <w:rPr>
          <w:lang w:eastAsia="en-GB"/>
        </w:rPr>
        <w:t xml:space="preserve">.  </w:t>
      </w:r>
      <w:proofErr w:type="gramStart"/>
      <w:r w:rsidRPr="001C0261">
        <w:t>Refs Mt. 24:15 and Mk 13:14-26.</w:t>
      </w:r>
      <w:proofErr w:type="gramEnd"/>
      <w:r w:rsidRPr="001C0261">
        <w:t xml:space="preserve">  </w:t>
      </w:r>
      <w:proofErr w:type="gramStart"/>
      <w:r w:rsidRPr="0028045A">
        <w:rPr>
          <w:b/>
          <w:lang w:eastAsia="en-GB"/>
        </w:rPr>
        <w:t>See 8.6.3, 7.1.2.2; 7.1.2.3</w:t>
      </w:r>
      <w:r>
        <w:rPr>
          <w:lang w:eastAsia="en-GB"/>
        </w:rPr>
        <w:t>.</w:t>
      </w:r>
      <w:proofErr w:type="gramEnd"/>
      <w:r w:rsidRPr="001C0261">
        <w:t xml:space="preserve">  </w:t>
      </w:r>
    </w:p>
  </w:endnote>
  <w:endnote w:id="1500">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Mt. 28:19, p. 1044.</w:t>
      </w:r>
    </w:p>
  </w:endnote>
  <w:endnote w:id="1501">
    <w:p w:rsidR="00975183" w:rsidRPr="001C0261" w:rsidRDefault="00975183" w:rsidP="00442D33">
      <w:pPr>
        <w:pStyle w:val="EndnoteText"/>
      </w:pPr>
      <w:r w:rsidRPr="001C0261">
        <w:rPr>
          <w:rStyle w:val="EndnoteReference"/>
        </w:rPr>
        <w:endnoteRef/>
      </w:r>
      <w:r w:rsidRPr="001C0261">
        <w:t xml:space="preserve"> </w:t>
      </w:r>
      <w:r w:rsidRPr="00CC6C3C">
        <w:rPr>
          <w:sz w:val="22"/>
          <w:szCs w:val="22"/>
        </w:rPr>
        <w:t xml:space="preserve">Mathison, </w:t>
      </w:r>
      <w:r w:rsidRPr="00CC6C3C">
        <w:rPr>
          <w:i/>
          <w:sz w:val="22"/>
          <w:szCs w:val="22"/>
        </w:rPr>
        <w:t>Postmillennialism</w:t>
      </w:r>
      <w:r w:rsidRPr="001C0261">
        <w:t>, p. 13.</w:t>
      </w:r>
    </w:p>
  </w:endnote>
  <w:endnote w:id="1502">
    <w:p w:rsidR="00975183" w:rsidRDefault="00975183" w:rsidP="00442D33">
      <w:pPr>
        <w:pStyle w:val="EndnoteText"/>
      </w:pPr>
      <w:r w:rsidRPr="007B4F6A">
        <w:rPr>
          <w:rStyle w:val="FootnoteReference"/>
        </w:rPr>
        <w:endnoteRef/>
      </w:r>
      <w:r w:rsidRPr="007B4F6A">
        <w:t xml:space="preserve"> </w:t>
      </w:r>
      <w:r w:rsidRPr="00F138D3">
        <w:t xml:space="preserve">Refs </w:t>
      </w:r>
      <w:r w:rsidRPr="0086567E">
        <w:t>2 Sam. 7:8-17; Zech</w:t>
      </w:r>
      <w:r>
        <w:t xml:space="preserve"> 12:8 summary</w:t>
      </w:r>
      <w:r w:rsidRPr="00F138D3">
        <w:rPr>
          <w:b/>
        </w:rPr>
        <w:t xml:space="preserve">.  </w:t>
      </w:r>
      <w:r>
        <w:rPr>
          <w:lang w:eastAsia="en-GB"/>
        </w:rPr>
        <w:t xml:space="preserve">  </w:t>
      </w:r>
      <w:proofErr w:type="gramStart"/>
      <w:r w:rsidRPr="0028045A">
        <w:rPr>
          <w:b/>
          <w:lang w:eastAsia="en-GB"/>
        </w:rPr>
        <w:t>See 7.2.1</w:t>
      </w:r>
      <w:r w:rsidRPr="0028045A">
        <w:rPr>
          <w:lang w:eastAsia="en-GB"/>
        </w:rPr>
        <w:t>.</w:t>
      </w:r>
      <w:proofErr w:type="gramEnd"/>
    </w:p>
  </w:endnote>
  <w:endnote w:id="1503">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Eph. 1:10, p. 1250.</w:t>
      </w:r>
    </w:p>
  </w:endnote>
  <w:endnote w:id="1504">
    <w:p w:rsidR="00975183" w:rsidRPr="007B4F6A" w:rsidRDefault="00975183" w:rsidP="00442D33">
      <w:pPr>
        <w:pStyle w:val="EndnoteText"/>
      </w:pPr>
      <w:r w:rsidRPr="007B4F6A">
        <w:rPr>
          <w:rStyle w:val="EndnoteReference"/>
        </w:rPr>
        <w:endnoteRef/>
      </w:r>
      <w:r w:rsidRPr="007B4F6A">
        <w:t xml:space="preserve"> </w:t>
      </w:r>
      <w:r w:rsidRPr="007B4F6A">
        <w:rPr>
          <w:i/>
        </w:rPr>
        <w:t>SRB</w:t>
      </w:r>
      <w:r w:rsidRPr="007B4F6A">
        <w:t xml:space="preserve"> note on 1 Cor. 15:24, p. 1226.</w:t>
      </w:r>
    </w:p>
  </w:endnote>
  <w:endnote w:id="1505">
    <w:p w:rsidR="00975183" w:rsidRDefault="00975183" w:rsidP="00442D33">
      <w:pPr>
        <w:pStyle w:val="EndnoteText"/>
      </w:pPr>
      <w:r w:rsidRPr="007B4F6A">
        <w:rPr>
          <w:rStyle w:val="FootnoteReference"/>
        </w:rPr>
        <w:endnoteRef/>
      </w:r>
      <w:r w:rsidRPr="007B4F6A">
        <w:t xml:space="preserve"> </w:t>
      </w:r>
      <w:r w:rsidRPr="007B4F6A">
        <w:rPr>
          <w:i/>
        </w:rPr>
        <w:t>SRB</w:t>
      </w:r>
      <w:r w:rsidRPr="007B4F6A">
        <w:t xml:space="preserve"> note on Eph. 1:10, p. 1250</w:t>
      </w:r>
      <w:r>
        <w:t>.</w:t>
      </w:r>
    </w:p>
  </w:endnote>
  <w:endnote w:id="1506">
    <w:p w:rsidR="00975183" w:rsidRDefault="00975183" w:rsidP="00442D33">
      <w:pPr>
        <w:pStyle w:val="EndnoteText"/>
      </w:pPr>
      <w:r w:rsidRPr="007B4F6A">
        <w:rPr>
          <w:rStyle w:val="FootnoteReference"/>
        </w:rPr>
        <w:endnoteRef/>
      </w:r>
      <w:r w:rsidRPr="007B4F6A">
        <w:t xml:space="preserve"> </w:t>
      </w:r>
      <w:proofErr w:type="gramStart"/>
      <w:r w:rsidRPr="00C24980">
        <w:rPr>
          <w:i/>
        </w:rPr>
        <w:t>SRB</w:t>
      </w:r>
      <w:r>
        <w:t xml:space="preserve"> n</w:t>
      </w:r>
      <w:r w:rsidRPr="007B4F6A">
        <w:t>ote on Rev. 19:19, p. 1349</w:t>
      </w:r>
      <w:r>
        <w:t>.</w:t>
      </w:r>
      <w:proofErr w:type="gramEnd"/>
      <w:r>
        <w:t xml:space="preserve">  </w:t>
      </w:r>
      <w:proofErr w:type="gramStart"/>
      <w:r>
        <w:t>Ref. Rev. 20:4-6.</w:t>
      </w:r>
      <w:proofErr w:type="gramEnd"/>
    </w:p>
  </w:endnote>
  <w:endnote w:id="1507">
    <w:p w:rsidR="00975183" w:rsidRDefault="00975183" w:rsidP="00442D33">
      <w:pPr>
        <w:pStyle w:val="EndnoteText"/>
      </w:pPr>
      <w:r w:rsidRPr="001C0261">
        <w:rPr>
          <w:rStyle w:val="FootnoteReference"/>
        </w:rPr>
        <w:endnoteRef/>
      </w:r>
      <w:r w:rsidRPr="001C0261">
        <w:t xml:space="preserve"> </w:t>
      </w:r>
      <w:r w:rsidRPr="00B33E96">
        <w:rPr>
          <w:i/>
        </w:rPr>
        <w:t>SRB</w:t>
      </w:r>
      <w:r>
        <w:t xml:space="preserve"> n</w:t>
      </w:r>
      <w:r w:rsidRPr="001C0261">
        <w:t xml:space="preserve">ote on </w:t>
      </w:r>
      <w:r w:rsidRPr="0043199C">
        <w:t>Acts 2:17, p.</w:t>
      </w:r>
      <w:r w:rsidRPr="001C0261">
        <w:t xml:space="preserve"> 1151</w:t>
      </w:r>
      <w:r w:rsidRPr="001C0261">
        <w:rPr>
          <w:b/>
          <w:lang w:eastAsia="en-GB"/>
        </w:rPr>
        <w:t xml:space="preserve">. </w:t>
      </w:r>
      <w:r w:rsidRPr="001C0261">
        <w:rPr>
          <w:b/>
        </w:rPr>
        <w:t xml:space="preserve"> </w:t>
      </w:r>
    </w:p>
  </w:endnote>
  <w:endnote w:id="1508">
    <w:p w:rsidR="00975183" w:rsidRDefault="00975183" w:rsidP="00442D33">
      <w:pPr>
        <w:pStyle w:val="EndnoteText"/>
      </w:pPr>
      <w:r w:rsidRPr="001C0261">
        <w:rPr>
          <w:rStyle w:val="FootnoteReference"/>
        </w:rPr>
        <w:endnoteRef/>
      </w:r>
      <w:r w:rsidRPr="001C0261">
        <w:t xml:space="preserve"> </w:t>
      </w:r>
      <w:r w:rsidRPr="001C0261">
        <w:rPr>
          <w:i/>
        </w:rPr>
        <w:t xml:space="preserve">SRB </w:t>
      </w:r>
      <w:r w:rsidRPr="001C0261">
        <w:t xml:space="preserve">note </w:t>
      </w:r>
      <w:r w:rsidRPr="005F0F10">
        <w:t>on Eph. 1:10</w:t>
      </w:r>
      <w:r w:rsidRPr="001C0261">
        <w:t>, p. 1250. Refs 2 Sam. 7:8-17; Zech</w:t>
      </w:r>
      <w:r>
        <w:t>.</w:t>
      </w:r>
      <w:r w:rsidRPr="001C0261">
        <w:t xml:space="preserve"> 12:8, Summary; Lk. 1:31-3; 1 Cor. 15:24</w:t>
      </w:r>
      <w:r>
        <w:t>,</w:t>
      </w:r>
      <w:r w:rsidRPr="001C0261">
        <w:t xml:space="preserve"> Summary.  </w:t>
      </w:r>
    </w:p>
  </w:endnote>
  <w:endnote w:id="1509">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Introduction to Isaiah, p. 713.</w:t>
      </w:r>
    </w:p>
  </w:endnote>
  <w:endnote w:id="1510">
    <w:p w:rsidR="00975183" w:rsidRDefault="00975183" w:rsidP="00442D33">
      <w:pPr>
        <w:pStyle w:val="EndnoteText"/>
      </w:pPr>
      <w:r w:rsidRPr="001C0261">
        <w:rPr>
          <w:rStyle w:val="FootnoteReference"/>
        </w:rPr>
        <w:endnoteRef/>
      </w:r>
      <w:r w:rsidRPr="001C0261">
        <w:t xml:space="preserve"> </w:t>
      </w:r>
      <w:r w:rsidRPr="001C0261">
        <w:rPr>
          <w:i/>
        </w:rPr>
        <w:t>SRB</w:t>
      </w:r>
      <w:r>
        <w:t xml:space="preserve"> subhead to Isaiah 25, </w:t>
      </w:r>
      <w:r w:rsidRPr="001C0261">
        <w:t>p. 734</w:t>
      </w:r>
      <w:r>
        <w:t>:</w:t>
      </w:r>
      <w:r w:rsidRPr="001C0261">
        <w:t xml:space="preserve"> ‘Triumphs of the kingdom</w:t>
      </w:r>
      <w:r>
        <w:t>-</w:t>
      </w:r>
      <w:r w:rsidRPr="001C0261">
        <w:t>age’.</w:t>
      </w:r>
    </w:p>
  </w:endnote>
  <w:endnote w:id="1511">
    <w:p w:rsidR="00975183" w:rsidRDefault="00975183" w:rsidP="00442D33">
      <w:pPr>
        <w:pStyle w:val="EndnoteText"/>
      </w:pPr>
      <w:r w:rsidRPr="001C0261">
        <w:rPr>
          <w:rStyle w:val="FootnoteReference"/>
        </w:rPr>
        <w:endnoteRef/>
      </w:r>
      <w:r w:rsidRPr="001C0261">
        <w:t xml:space="preserve"> </w:t>
      </w:r>
      <w:r w:rsidRPr="001C0261">
        <w:rPr>
          <w:i/>
        </w:rPr>
        <w:t>SRB</w:t>
      </w:r>
      <w:r w:rsidRPr="001C0261">
        <w:t xml:space="preserve"> heading to Ezekiel 40:1 – 48:35, p. 885, ‘General theme: Israel in the Land during the Kingdom-Age’.</w:t>
      </w:r>
    </w:p>
  </w:endnote>
  <w:endnote w:id="1512">
    <w:p w:rsidR="00975183" w:rsidRDefault="00975183" w:rsidP="00442D33">
      <w:pPr>
        <w:pStyle w:val="EndnoteText"/>
      </w:pPr>
      <w:r w:rsidRPr="001C0261">
        <w:rPr>
          <w:rStyle w:val="FootnoteReference"/>
        </w:rPr>
        <w:endnoteRef/>
      </w:r>
      <w:r w:rsidRPr="001C0261">
        <w:t xml:space="preserve"> </w:t>
      </w:r>
      <w:r w:rsidRPr="001C0261">
        <w:rPr>
          <w:i/>
        </w:rPr>
        <w:t xml:space="preserve">SRB </w:t>
      </w:r>
      <w:r w:rsidRPr="001C0261">
        <w:t>subhead to Mic. 5:4, p. 949, ‘In the kingdom age’.</w:t>
      </w:r>
    </w:p>
  </w:endnote>
  <w:endnote w:id="1513">
    <w:p w:rsidR="00975183" w:rsidRDefault="00975183" w:rsidP="00442D33">
      <w:pPr>
        <w:pStyle w:val="EndnoteText"/>
      </w:pPr>
      <w:r w:rsidRPr="007B4F6A">
        <w:rPr>
          <w:rStyle w:val="EndnoteReference"/>
        </w:rPr>
        <w:endnoteRef/>
      </w:r>
      <w:r w:rsidRPr="007B4F6A">
        <w:t xml:space="preserve"> </w:t>
      </w:r>
      <w:r w:rsidRPr="007B4F6A">
        <w:rPr>
          <w:i/>
        </w:rPr>
        <w:t xml:space="preserve">SRB </w:t>
      </w:r>
      <w:r w:rsidRPr="007B4F6A">
        <w:t>subhead to Isa. 24:22, p. 734</w:t>
      </w:r>
      <w:r>
        <w:t xml:space="preserve">. </w:t>
      </w:r>
      <w:r w:rsidRPr="007B4F6A">
        <w:t xml:space="preserve"> ‘The first resurrection: the kingdom-age begun</w:t>
      </w:r>
      <w:r>
        <w:t>.</w:t>
      </w:r>
      <w:r w:rsidRPr="007B4F6A">
        <w:t>’</w:t>
      </w:r>
    </w:p>
  </w:endnote>
  <w:endnote w:id="1514">
    <w:p w:rsidR="00975183" w:rsidRDefault="00975183" w:rsidP="00442D33">
      <w:pPr>
        <w:pStyle w:val="EndnoteText"/>
      </w:pPr>
      <w:r w:rsidRPr="007B4F6A">
        <w:rPr>
          <w:rStyle w:val="EndnoteReference"/>
        </w:rPr>
        <w:endnoteRef/>
      </w:r>
      <w:r w:rsidRPr="007B4F6A">
        <w:t xml:space="preserve"> </w:t>
      </w:r>
      <w:proofErr w:type="gramStart"/>
      <w:r w:rsidRPr="009F3551">
        <w:rPr>
          <w:i/>
        </w:rPr>
        <w:t xml:space="preserve">SRB </w:t>
      </w:r>
      <w:r>
        <w:t>s</w:t>
      </w:r>
      <w:r w:rsidRPr="007B4F6A">
        <w:t>ubhead to Rev. 20:4, p. 1349</w:t>
      </w:r>
      <w:r>
        <w:t>.</w:t>
      </w:r>
      <w:proofErr w:type="gramEnd"/>
      <w:r>
        <w:t xml:space="preserve">  ‘The first </w:t>
      </w:r>
      <w:proofErr w:type="gramStart"/>
      <w:r>
        <w:t>resurrection  (</w:t>
      </w:r>
      <w:proofErr w:type="gramEnd"/>
      <w:r>
        <w:t>1 Cor. 15:52 note) and the kingdom-age.’</w:t>
      </w:r>
    </w:p>
  </w:endnote>
  <w:endnote w:id="1515">
    <w:p w:rsidR="00975183" w:rsidRPr="007B4F6A" w:rsidRDefault="00975183" w:rsidP="00442D33">
      <w:pPr>
        <w:pStyle w:val="EndnoteText"/>
      </w:pPr>
      <w:r w:rsidRPr="007B4F6A">
        <w:rPr>
          <w:rStyle w:val="EndnoteReference"/>
        </w:rPr>
        <w:endnoteRef/>
      </w:r>
      <w:r w:rsidRPr="007B4F6A">
        <w:t xml:space="preserve"> </w:t>
      </w:r>
      <w:proofErr w:type="gramStart"/>
      <w:r w:rsidRPr="009F3551">
        <w:rPr>
          <w:i/>
        </w:rPr>
        <w:t>SRB</w:t>
      </w:r>
      <w:r>
        <w:t xml:space="preserve"> s</w:t>
      </w:r>
      <w:r w:rsidRPr="007B4F6A">
        <w:t>ubhead to 1 Cor. 15:1, p. 1225</w:t>
      </w:r>
      <w:r w:rsidRPr="007B4F6A">
        <w:rPr>
          <w:lang w:eastAsia="en-GB"/>
        </w:rPr>
        <w:t>.</w:t>
      </w:r>
      <w:proofErr w:type="gramEnd"/>
    </w:p>
  </w:endnote>
  <w:endnote w:id="1516">
    <w:p w:rsidR="00975183" w:rsidRDefault="00975183" w:rsidP="00442D33">
      <w:pPr>
        <w:pStyle w:val="EndnoteText"/>
      </w:pPr>
      <w:r w:rsidRPr="001C0261">
        <w:rPr>
          <w:rStyle w:val="FootnoteReference"/>
        </w:rPr>
        <w:endnoteRef/>
      </w:r>
      <w:r w:rsidRPr="001C0261">
        <w:t xml:space="preserve"> </w:t>
      </w:r>
      <w:proofErr w:type="gramStart"/>
      <w:r w:rsidRPr="001C0261">
        <w:rPr>
          <w:i/>
        </w:rPr>
        <w:t>SRB</w:t>
      </w:r>
      <w:r w:rsidRPr="001C0261">
        <w:t xml:space="preserve"> note on Rev. 14:6, p. 1343.</w:t>
      </w:r>
      <w:proofErr w:type="gramEnd"/>
      <w:r w:rsidRPr="001C0261">
        <w:t xml:space="preserve">   </w:t>
      </w:r>
      <w:r w:rsidRPr="00C9497B">
        <w:rPr>
          <w:b/>
        </w:rPr>
        <w:t>See 4.1 for a quotation of this note</w:t>
      </w:r>
      <w:r w:rsidRPr="00C9497B">
        <w:t>.</w:t>
      </w:r>
      <w:r>
        <w:t xml:space="preserve">     </w:t>
      </w:r>
    </w:p>
  </w:endnote>
  <w:endnote w:id="1517">
    <w:p w:rsidR="00975183" w:rsidRDefault="00975183" w:rsidP="00442D33">
      <w:pPr>
        <w:pStyle w:val="EndnoteText"/>
      </w:pPr>
      <w:r w:rsidRPr="007B4F6A">
        <w:rPr>
          <w:rStyle w:val="FootnoteReference"/>
        </w:rPr>
        <w:endnoteRef/>
      </w:r>
      <w:r w:rsidRPr="007B4F6A">
        <w:t xml:space="preserve"> </w:t>
      </w:r>
      <w:proofErr w:type="gramStart"/>
      <w:r w:rsidRPr="007B4F6A">
        <w:rPr>
          <w:i/>
        </w:rPr>
        <w:t>SRB</w:t>
      </w:r>
      <w:r w:rsidRPr="007B4F6A">
        <w:t xml:space="preserve"> note on 1 Kgs 6:1, p. 393.</w:t>
      </w:r>
      <w:proofErr w:type="gramEnd"/>
      <w:r w:rsidRPr="007B4F6A">
        <w:t xml:space="preserve">  </w:t>
      </w:r>
    </w:p>
  </w:endnote>
  <w:endnote w:id="1518">
    <w:p w:rsidR="00975183" w:rsidRPr="001C0261" w:rsidRDefault="00975183" w:rsidP="00442D33">
      <w:pPr>
        <w:pStyle w:val="EndnoteText"/>
      </w:pPr>
      <w:r w:rsidRPr="007B4F6A">
        <w:rPr>
          <w:rStyle w:val="EndnoteReference"/>
        </w:rPr>
        <w:endnoteRef/>
      </w:r>
      <w:r w:rsidRPr="007B4F6A">
        <w:t xml:space="preserve"> </w:t>
      </w:r>
      <w:r w:rsidRPr="00715A7B">
        <w:rPr>
          <w:i/>
        </w:rPr>
        <w:t>SRB</w:t>
      </w:r>
      <w:r>
        <w:t xml:space="preserve"> </w:t>
      </w:r>
      <w:r w:rsidRPr="00E84CA5">
        <w:t>s</w:t>
      </w:r>
      <w:r w:rsidRPr="00E84CA5">
        <w:rPr>
          <w:lang w:eastAsia="en-GB"/>
        </w:rPr>
        <w:t>ubhead to Isa. 52:</w:t>
      </w:r>
      <w:r w:rsidRPr="007B4F6A">
        <w:rPr>
          <w:lang w:eastAsia="en-GB"/>
        </w:rPr>
        <w:t xml:space="preserve">1, </w:t>
      </w:r>
      <w:r w:rsidRPr="00E76559">
        <w:t>p.</w:t>
      </w:r>
      <w:r w:rsidRPr="007B4F6A">
        <w:t xml:space="preserve"> 759</w:t>
      </w:r>
      <w:r w:rsidRPr="001C0261">
        <w:rPr>
          <w:lang w:eastAsia="en-GB"/>
        </w:rPr>
        <w:t>.</w:t>
      </w:r>
      <w:r w:rsidRPr="001C0261">
        <w:t xml:space="preserve">  </w:t>
      </w:r>
    </w:p>
  </w:endnote>
  <w:endnote w:id="1519">
    <w:p w:rsidR="00975183" w:rsidRDefault="00975183" w:rsidP="00442D33">
      <w:pPr>
        <w:pStyle w:val="EndnoteText"/>
      </w:pPr>
      <w:r w:rsidRPr="007B4F6A">
        <w:rPr>
          <w:rStyle w:val="FootnoteReference"/>
        </w:rPr>
        <w:endnoteRef/>
      </w:r>
      <w:r>
        <w:t xml:space="preserve"> </w:t>
      </w:r>
      <w:proofErr w:type="gramStart"/>
      <w:r w:rsidRPr="00715A7B">
        <w:rPr>
          <w:i/>
        </w:rPr>
        <w:t>SRB</w:t>
      </w:r>
      <w:r>
        <w:t xml:space="preserve"> n</w:t>
      </w:r>
      <w:r w:rsidRPr="007B4F6A">
        <w:t>ote on 1 Chron. 11:5, p. 469.</w:t>
      </w:r>
      <w:proofErr w:type="gramEnd"/>
    </w:p>
  </w:endnote>
  <w:endnote w:id="1520">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Introduction to Jeremiah, p. 772</w:t>
      </w:r>
      <w:r w:rsidRPr="001C0261">
        <w:rPr>
          <w:b/>
        </w:rPr>
        <w:t xml:space="preserve">.  </w:t>
      </w:r>
    </w:p>
  </w:endnote>
  <w:endnote w:id="1521">
    <w:p w:rsidR="00975183" w:rsidRPr="001C0261" w:rsidRDefault="00975183" w:rsidP="00442D33">
      <w:pPr>
        <w:pStyle w:val="EndnoteText"/>
      </w:pPr>
      <w:r w:rsidRPr="001C0261">
        <w:rPr>
          <w:rStyle w:val="EndnoteReference"/>
        </w:rPr>
        <w:endnoteRef/>
      </w:r>
      <w:r w:rsidRPr="001C0261">
        <w:t xml:space="preserve"> </w:t>
      </w:r>
      <w:r w:rsidRPr="00715A7B">
        <w:rPr>
          <w:i/>
        </w:rPr>
        <w:t>SRB</w:t>
      </w:r>
      <w:r>
        <w:t xml:space="preserve"> n</w:t>
      </w:r>
      <w:r w:rsidRPr="001C0261">
        <w:rPr>
          <w:lang w:eastAsia="en-GB"/>
        </w:rPr>
        <w:t xml:space="preserve">ote on </w:t>
      </w:r>
      <w:r w:rsidRPr="005F0C6C">
        <w:rPr>
          <w:lang w:eastAsia="en-GB"/>
        </w:rPr>
        <w:t>Zech. 2:</w:t>
      </w:r>
      <w:r w:rsidRPr="001C0261">
        <w:rPr>
          <w:lang w:eastAsia="en-GB"/>
        </w:rPr>
        <w:t xml:space="preserve">1, </w:t>
      </w:r>
      <w:r w:rsidRPr="001C0261">
        <w:t>p. 966</w:t>
      </w:r>
      <w:r w:rsidRPr="00C9497B">
        <w:rPr>
          <w:lang w:eastAsia="en-GB"/>
        </w:rPr>
        <w:t xml:space="preserve">. </w:t>
      </w:r>
      <w:r w:rsidRPr="00C9497B">
        <w:t xml:space="preserve"> </w:t>
      </w:r>
      <w:proofErr w:type="gramStart"/>
      <w:r w:rsidRPr="00835F96">
        <w:rPr>
          <w:b/>
        </w:rPr>
        <w:t>See 8.4.15</w:t>
      </w:r>
      <w:r w:rsidRPr="00835F96">
        <w:t>.</w:t>
      </w:r>
      <w:proofErr w:type="gramEnd"/>
      <w:r w:rsidRPr="00835F96">
        <w:t xml:space="preserve">  </w:t>
      </w:r>
    </w:p>
  </w:endnote>
  <w:endnote w:id="1522">
    <w:p w:rsidR="00975183" w:rsidRDefault="00975183" w:rsidP="00442D33">
      <w:pPr>
        <w:pStyle w:val="EndnoteText"/>
      </w:pPr>
      <w:r w:rsidRPr="007B4F6A">
        <w:rPr>
          <w:rStyle w:val="EndnoteReference"/>
        </w:rPr>
        <w:endnoteRef/>
      </w:r>
      <w:r w:rsidRPr="007B4F6A">
        <w:t xml:space="preserve"> </w:t>
      </w:r>
      <w:r w:rsidRPr="007B4F6A">
        <w:rPr>
          <w:i/>
        </w:rPr>
        <w:t>SRB</w:t>
      </w:r>
      <w:r w:rsidRPr="007B4F6A">
        <w:t xml:space="preserve"> Introduction to Haggai, p. 962</w:t>
      </w:r>
      <w:r w:rsidRPr="007B4F6A">
        <w:rPr>
          <w:b/>
        </w:rPr>
        <w:t xml:space="preserve">.  </w:t>
      </w:r>
      <w:r w:rsidRPr="007B4F6A">
        <w:t>Ref. Hag. 2:1-9.</w:t>
      </w:r>
    </w:p>
  </w:endnote>
  <w:endnote w:id="1523">
    <w:p w:rsidR="00975183" w:rsidRPr="001C0261" w:rsidRDefault="00975183" w:rsidP="00442D33">
      <w:pPr>
        <w:pStyle w:val="EndnoteText"/>
      </w:pPr>
      <w:r w:rsidRPr="001C0261">
        <w:rPr>
          <w:rStyle w:val="EndnoteReference"/>
        </w:rPr>
        <w:endnoteRef/>
      </w:r>
      <w:r w:rsidRPr="001C0261">
        <w:t xml:space="preserve"> </w:t>
      </w:r>
      <w:r w:rsidRPr="001C0261">
        <w:rPr>
          <w:i/>
        </w:rPr>
        <w:t xml:space="preserve">SRB </w:t>
      </w:r>
      <w:r w:rsidRPr="001C0261">
        <w:t>note on Zech. 4:2, p. 968</w:t>
      </w:r>
      <w:r>
        <w:t xml:space="preserve">. </w:t>
      </w:r>
      <w:r w:rsidRPr="001C0261">
        <w:t xml:space="preserve"> Ref. Zech. 6:12, 13.  </w:t>
      </w:r>
    </w:p>
  </w:endnote>
  <w:endnote w:id="1524">
    <w:p w:rsidR="00975183" w:rsidRPr="001C0261" w:rsidRDefault="00975183" w:rsidP="00442D33">
      <w:pPr>
        <w:pStyle w:val="EndnoteText"/>
      </w:pPr>
      <w:r w:rsidRPr="001C0261">
        <w:rPr>
          <w:rStyle w:val="EndnoteReference"/>
        </w:rPr>
        <w:endnoteRef/>
      </w:r>
      <w:r w:rsidRPr="001C0261">
        <w:t xml:space="preserve"> </w:t>
      </w:r>
      <w:proofErr w:type="gramStart"/>
      <w:r w:rsidRPr="00715A7B">
        <w:rPr>
          <w:i/>
        </w:rPr>
        <w:t>SRB</w:t>
      </w:r>
      <w:r>
        <w:t xml:space="preserve"> n</w:t>
      </w:r>
      <w:r w:rsidRPr="001C0261">
        <w:t xml:space="preserve">ote on </w:t>
      </w:r>
      <w:r w:rsidRPr="009866B1">
        <w:t>Rev. 20:10</w:t>
      </w:r>
      <w:r w:rsidRPr="001C0261">
        <w:t>, p. 1350</w:t>
      </w:r>
      <w:r w:rsidRPr="001C0261">
        <w:rPr>
          <w:lang w:eastAsia="en-GB"/>
        </w:rPr>
        <w:t>.</w:t>
      </w:r>
      <w:proofErr w:type="gramEnd"/>
      <w:r w:rsidRPr="001C0261">
        <w:rPr>
          <w:lang w:eastAsia="en-GB"/>
        </w:rPr>
        <w:t xml:space="preserve"> </w:t>
      </w:r>
      <w:r w:rsidRPr="001C0261">
        <w:t xml:space="preserve"> cf </w:t>
      </w:r>
      <w:r>
        <w:t>n</w:t>
      </w:r>
      <w:r w:rsidRPr="001C0261">
        <w:t>ote on 1 Cor. 15:24, p. 1226</w:t>
      </w:r>
      <w:r w:rsidRPr="001C0261">
        <w:rPr>
          <w:lang w:eastAsia="en-GB"/>
        </w:rPr>
        <w:t xml:space="preserve">. </w:t>
      </w:r>
      <w:r w:rsidRPr="001C0261">
        <w:t xml:space="preserve"> </w:t>
      </w:r>
    </w:p>
  </w:endnote>
  <w:endnote w:id="1525">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Eph. 1:10, p. 1250</w:t>
      </w:r>
      <w:r>
        <w:t xml:space="preserve">. </w:t>
      </w:r>
      <w:r w:rsidRPr="001C0261">
        <w:t xml:space="preserve"> Refs Rom. 11:15-7; Ezek. 39:25-9.  </w:t>
      </w:r>
    </w:p>
  </w:endnote>
  <w:endnote w:id="1526">
    <w:p w:rsidR="00975183" w:rsidRDefault="00975183" w:rsidP="00442D33">
      <w:pPr>
        <w:pStyle w:val="EndnoteText"/>
      </w:pPr>
      <w:r w:rsidRPr="007B4F6A">
        <w:rPr>
          <w:rStyle w:val="FootnoteReference"/>
        </w:rPr>
        <w:endnoteRef/>
      </w:r>
      <w:r w:rsidRPr="007B4F6A">
        <w:t xml:space="preserve"> </w:t>
      </w:r>
      <w:r w:rsidRPr="008412E2">
        <w:rPr>
          <w:i/>
        </w:rPr>
        <w:t>SRB</w:t>
      </w:r>
      <w:r>
        <w:t xml:space="preserve"> n</w:t>
      </w:r>
      <w:r w:rsidRPr="007B4F6A">
        <w:rPr>
          <w:lang w:eastAsia="en-GB"/>
        </w:rPr>
        <w:t xml:space="preserve">ote on </w:t>
      </w:r>
      <w:r w:rsidRPr="003B2E99">
        <w:t>Lk. 17:21</w:t>
      </w:r>
      <w:r w:rsidRPr="007B4F6A">
        <w:t>, p. 1100</w:t>
      </w:r>
      <w:r w:rsidRPr="007B4F6A">
        <w:rPr>
          <w:lang w:eastAsia="en-GB"/>
        </w:rPr>
        <w:t xml:space="preserve">.  </w:t>
      </w:r>
      <w:proofErr w:type="gramStart"/>
      <w:r>
        <w:rPr>
          <w:lang w:eastAsia="en-GB"/>
        </w:rPr>
        <w:t>(</w:t>
      </w:r>
      <w:r w:rsidRPr="008412E2">
        <w:rPr>
          <w:i/>
          <w:lang w:eastAsia="en-GB"/>
        </w:rPr>
        <w:t>Scofield’s emphasis</w:t>
      </w:r>
      <w:r>
        <w:rPr>
          <w:lang w:eastAsia="en-GB"/>
        </w:rPr>
        <w:t>.)</w:t>
      </w:r>
      <w:proofErr w:type="gramEnd"/>
      <w:r>
        <w:rPr>
          <w:lang w:eastAsia="en-GB"/>
        </w:rPr>
        <w:t xml:space="preserve">  </w:t>
      </w:r>
      <w:proofErr w:type="gramStart"/>
      <w:r w:rsidRPr="00C9497B">
        <w:rPr>
          <w:b/>
          <w:lang w:eastAsia="en-GB"/>
        </w:rPr>
        <w:t>See 7.2.4</w:t>
      </w:r>
      <w:r w:rsidRPr="00C9497B">
        <w:rPr>
          <w:lang w:eastAsia="en-GB"/>
        </w:rPr>
        <w:t>.</w:t>
      </w:r>
      <w:proofErr w:type="gramEnd"/>
      <w:r>
        <w:rPr>
          <w:lang w:eastAsia="en-GB"/>
        </w:rPr>
        <w:t xml:space="preserve">  </w:t>
      </w:r>
    </w:p>
  </w:endnote>
  <w:endnote w:id="1527">
    <w:p w:rsidR="00975183" w:rsidRPr="001C0261" w:rsidRDefault="00975183" w:rsidP="00442D33">
      <w:pPr>
        <w:pStyle w:val="EndnoteText"/>
      </w:pPr>
      <w:r w:rsidRPr="001C0261">
        <w:rPr>
          <w:rStyle w:val="FootnoteReference"/>
        </w:rPr>
        <w:endnoteRef/>
      </w:r>
      <w:r w:rsidRPr="001C0261">
        <w:t xml:space="preserve"> </w:t>
      </w:r>
      <w:r w:rsidRPr="001C0261">
        <w:rPr>
          <w:i/>
        </w:rPr>
        <w:t>SRB</w:t>
      </w:r>
      <w:r w:rsidRPr="001C0261">
        <w:t xml:space="preserve"> note on Eph. 1:10, p. 1250</w:t>
      </w:r>
      <w:r>
        <w:t xml:space="preserve">.  Refs Dan. 2:34-5; Rev. 19:15-21. </w:t>
      </w:r>
      <w:r w:rsidRPr="001C0261">
        <w:t xml:space="preserve"> </w:t>
      </w:r>
    </w:p>
  </w:endnote>
  <w:endnote w:id="1528">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w:t>
      </w:r>
      <w:r>
        <w:t>n</w:t>
      </w:r>
      <w:r w:rsidRPr="001C0261">
        <w:t xml:space="preserve">ote on </w:t>
      </w:r>
      <w:r w:rsidRPr="003B2E99">
        <w:t>Isa. 42:6, p</w:t>
      </w:r>
      <w:r w:rsidRPr="001C0261">
        <w:t>. 750</w:t>
      </w:r>
      <w:r w:rsidRPr="001C0261">
        <w:rPr>
          <w:lang w:eastAsia="en-GB"/>
        </w:rPr>
        <w:t xml:space="preserve">.  </w:t>
      </w:r>
    </w:p>
  </w:endnote>
  <w:endnote w:id="1529">
    <w:p w:rsidR="00975183" w:rsidRPr="001C0261" w:rsidRDefault="00975183" w:rsidP="00442D33">
      <w:pPr>
        <w:pStyle w:val="EndnoteText"/>
      </w:pPr>
      <w:r w:rsidRPr="001C0261">
        <w:rPr>
          <w:rStyle w:val="EndnoteReference"/>
        </w:rPr>
        <w:endnoteRef/>
      </w:r>
      <w:r w:rsidRPr="001C0261">
        <w:t xml:space="preserve"> </w:t>
      </w:r>
      <w:proofErr w:type="gramStart"/>
      <w:r w:rsidRPr="008412E2">
        <w:rPr>
          <w:i/>
        </w:rPr>
        <w:t>SRB</w:t>
      </w:r>
      <w:r>
        <w:t xml:space="preserve"> n</w:t>
      </w:r>
      <w:r w:rsidRPr="001C0261">
        <w:rPr>
          <w:lang w:eastAsia="en-GB"/>
        </w:rPr>
        <w:t xml:space="preserve">ote on </w:t>
      </w:r>
      <w:r w:rsidRPr="00010B7F">
        <w:t>Rev. 5:7,</w:t>
      </w:r>
      <w:r w:rsidRPr="001C0261">
        <w:rPr>
          <w:i/>
        </w:rPr>
        <w:t xml:space="preserve"> </w:t>
      </w:r>
      <w:r w:rsidRPr="008412E2">
        <w:t>pp. 1335-6</w:t>
      </w:r>
      <w:r w:rsidRPr="001C0261">
        <w:t>.</w:t>
      </w:r>
      <w:proofErr w:type="gramEnd"/>
      <w:r w:rsidRPr="001C0261">
        <w:t xml:space="preserve">  </w:t>
      </w:r>
      <w:proofErr w:type="gramStart"/>
      <w:r w:rsidRPr="0028045A">
        <w:rPr>
          <w:b/>
        </w:rPr>
        <w:t>See 8.8.1; 8.9</w:t>
      </w:r>
      <w:r w:rsidRPr="0028045A">
        <w:t>.</w:t>
      </w:r>
      <w:proofErr w:type="gramEnd"/>
    </w:p>
  </w:endnote>
  <w:endnote w:id="1530">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w:t>
      </w:r>
      <w:r w:rsidRPr="00EF1FDA">
        <w:t>Ezek. 38:2</w:t>
      </w:r>
      <w:r w:rsidRPr="001C0261">
        <w:t xml:space="preserve">, p. 883.  </w:t>
      </w:r>
      <w:proofErr w:type="gramStart"/>
      <w:r w:rsidRPr="0028045A">
        <w:rPr>
          <w:b/>
        </w:rPr>
        <w:t>See 7.1.4; 8.4.3</w:t>
      </w:r>
      <w:r w:rsidRPr="00EF1FDA">
        <w:t>.</w:t>
      </w:r>
      <w:proofErr w:type="gramEnd"/>
    </w:p>
  </w:endnote>
  <w:endnote w:id="1531">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w:t>
      </w:r>
      <w:r w:rsidRPr="00EC63E8">
        <w:t>Mt. 10:34</w:t>
      </w:r>
      <w:r w:rsidRPr="001C0261">
        <w:t>, p. 1009</w:t>
      </w:r>
    </w:p>
  </w:endnote>
  <w:endnote w:id="1532">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w:t>
      </w:r>
      <w:r w:rsidRPr="00EC63E8">
        <w:t>on Mt. 12:1</w:t>
      </w:r>
      <w:r w:rsidRPr="001C0261">
        <w:t xml:space="preserve">, p. 1011.  Ref. Isa. 66:23.  </w:t>
      </w:r>
      <w:proofErr w:type="gramStart"/>
      <w:r w:rsidRPr="00FC4186">
        <w:rPr>
          <w:b/>
        </w:rPr>
        <w:t>See 8.6.1</w:t>
      </w:r>
      <w:r w:rsidRPr="00EC63E8">
        <w:t>.</w:t>
      </w:r>
      <w:proofErr w:type="gramEnd"/>
      <w:r w:rsidRPr="00EC63E8">
        <w:t xml:space="preserve"> </w:t>
      </w:r>
    </w:p>
  </w:endnote>
  <w:endnote w:id="1533">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w:t>
      </w:r>
      <w:r w:rsidRPr="00B34083">
        <w:t>Lk. 24:51</w:t>
      </w:r>
      <w:r w:rsidRPr="001C0261">
        <w:t xml:space="preserve">, p. 1113.  </w:t>
      </w:r>
    </w:p>
  </w:endnote>
  <w:endnote w:id="1534">
    <w:p w:rsidR="00975183" w:rsidRPr="001C0261"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 on Eph. 1:10, p. 1250.  </w:t>
      </w:r>
    </w:p>
  </w:endnote>
  <w:endnote w:id="1535">
    <w:p w:rsidR="00975183" w:rsidRPr="001C0261" w:rsidRDefault="00975183" w:rsidP="00442D33">
      <w:pPr>
        <w:pStyle w:val="EndnoteText"/>
      </w:pPr>
      <w:r w:rsidRPr="001C0261">
        <w:rPr>
          <w:rStyle w:val="EndnoteReference"/>
        </w:rPr>
        <w:endnoteRef/>
      </w:r>
      <w:r w:rsidRPr="001C0261">
        <w:t xml:space="preserve"> </w:t>
      </w:r>
      <w:r w:rsidRPr="008412E2">
        <w:rPr>
          <w:i/>
        </w:rPr>
        <w:t>SRB</w:t>
      </w:r>
      <w:r>
        <w:t xml:space="preserve"> n</w:t>
      </w:r>
      <w:r w:rsidRPr="001C0261">
        <w:t>ote on Heb. 1:4, p. 1292</w:t>
      </w:r>
      <w:r w:rsidRPr="001C0261">
        <w:rPr>
          <w:lang w:eastAsia="en-GB"/>
        </w:rPr>
        <w:t>.</w:t>
      </w:r>
      <w:r w:rsidRPr="001C0261">
        <w:t xml:space="preserve">  </w:t>
      </w:r>
    </w:p>
  </w:endnote>
  <w:endnote w:id="1536">
    <w:p w:rsidR="00975183" w:rsidRPr="001C0261" w:rsidRDefault="00975183" w:rsidP="00442D33">
      <w:pPr>
        <w:pStyle w:val="EndnoteText"/>
      </w:pPr>
      <w:r w:rsidRPr="001C0261">
        <w:rPr>
          <w:rStyle w:val="EndnoteReference"/>
        </w:rPr>
        <w:endnoteRef/>
      </w:r>
      <w:r w:rsidRPr="001C0261">
        <w:t xml:space="preserve"> </w:t>
      </w:r>
      <w:proofErr w:type="gramStart"/>
      <w:r w:rsidRPr="00B82B07">
        <w:rPr>
          <w:i/>
        </w:rPr>
        <w:t>SRB</w:t>
      </w:r>
      <w:r>
        <w:t xml:space="preserve"> s</w:t>
      </w:r>
      <w:r w:rsidRPr="001C0261">
        <w:t>ubhead to Rev. 20:1, p. 1349</w:t>
      </w:r>
      <w:r w:rsidRPr="001C0261">
        <w:rPr>
          <w:lang w:eastAsia="en-GB"/>
        </w:rPr>
        <w:t>.</w:t>
      </w:r>
      <w:proofErr w:type="gramEnd"/>
      <w:r w:rsidRPr="001C0261">
        <w:t xml:space="preserve">  </w:t>
      </w:r>
    </w:p>
  </w:endnote>
  <w:endnote w:id="1537">
    <w:p w:rsidR="00975183" w:rsidRPr="001C0261" w:rsidRDefault="00975183" w:rsidP="00442D33">
      <w:pPr>
        <w:pStyle w:val="EndnoteText"/>
      </w:pPr>
      <w:r w:rsidRPr="001C0261">
        <w:rPr>
          <w:rStyle w:val="EndnoteReference"/>
        </w:rPr>
        <w:endnoteRef/>
      </w:r>
      <w:r w:rsidRPr="001C0261">
        <w:t xml:space="preserve"> </w:t>
      </w:r>
      <w:r w:rsidRPr="00A62FFE">
        <w:rPr>
          <w:i/>
        </w:rPr>
        <w:t>SRB</w:t>
      </w:r>
      <w:r>
        <w:t xml:space="preserve"> n</w:t>
      </w:r>
      <w:r w:rsidRPr="001C0261">
        <w:t>ote on Isa. 65:17, p. 769</w:t>
      </w:r>
      <w:r w:rsidRPr="001C0261">
        <w:rPr>
          <w:lang w:eastAsia="en-GB"/>
        </w:rPr>
        <w:t xml:space="preserve">, </w:t>
      </w:r>
      <w:r w:rsidRPr="001C0261">
        <w:t xml:space="preserve">cf </w:t>
      </w:r>
      <w:r w:rsidRPr="001C0261">
        <w:rPr>
          <w:i/>
        </w:rPr>
        <w:t>SRB</w:t>
      </w:r>
      <w:r w:rsidRPr="001C0261">
        <w:t xml:space="preserve"> subhead to Rev. 20:1, p. 1349</w:t>
      </w:r>
      <w:r w:rsidRPr="001C0261">
        <w:rPr>
          <w:lang w:eastAsia="en-GB"/>
        </w:rPr>
        <w:t>.</w:t>
      </w:r>
    </w:p>
  </w:endnote>
  <w:endnote w:id="1538">
    <w:p w:rsidR="00975183" w:rsidRPr="001C0261" w:rsidRDefault="00975183" w:rsidP="00442D33">
      <w:pPr>
        <w:pStyle w:val="EndnoteText"/>
      </w:pPr>
      <w:r w:rsidRPr="001C0261">
        <w:rPr>
          <w:rStyle w:val="EndnoteReference"/>
        </w:rPr>
        <w:endnoteRef/>
      </w:r>
      <w:r w:rsidRPr="001C0261">
        <w:t xml:space="preserve"> </w:t>
      </w:r>
      <w:proofErr w:type="gramStart"/>
      <w:r w:rsidRPr="00A62FFE">
        <w:rPr>
          <w:i/>
        </w:rPr>
        <w:t xml:space="preserve">SRB </w:t>
      </w:r>
      <w:r>
        <w:t>n</w:t>
      </w:r>
      <w:r w:rsidRPr="001C0261">
        <w:t>ote on Rev. 20:10, p. 1350</w:t>
      </w:r>
      <w:r w:rsidRPr="001C0261">
        <w:rPr>
          <w:lang w:eastAsia="en-GB"/>
        </w:rPr>
        <w:t>.</w:t>
      </w:r>
      <w:proofErr w:type="gramEnd"/>
    </w:p>
  </w:endnote>
  <w:endnote w:id="1539">
    <w:p w:rsidR="00975183" w:rsidRDefault="00975183" w:rsidP="00442D33">
      <w:pPr>
        <w:pStyle w:val="EndnoteText"/>
      </w:pPr>
      <w:r w:rsidRPr="009B6610">
        <w:rPr>
          <w:rStyle w:val="EndnoteReference"/>
        </w:rPr>
        <w:endnoteRef/>
      </w:r>
      <w:r w:rsidRPr="009B6610">
        <w:t xml:space="preserve"> </w:t>
      </w:r>
      <w:r w:rsidRPr="008C6918">
        <w:rPr>
          <w:i/>
        </w:rPr>
        <w:t xml:space="preserve">SRB </w:t>
      </w:r>
      <w:r>
        <w:t xml:space="preserve">notes on Gen. 2:4, p. 4; 14:18, p. 23; 15:2, p. 24; 17:1, p. 26; 21:33, p. 32; </w:t>
      </w:r>
      <w:r w:rsidRPr="006329CD">
        <w:rPr>
          <w:szCs w:val="18"/>
        </w:rPr>
        <w:t>Mal.</w:t>
      </w:r>
      <w:r>
        <w:rPr>
          <w:szCs w:val="18"/>
        </w:rPr>
        <w:t xml:space="preserve"> 3:18, pp. 983-4.</w:t>
      </w:r>
    </w:p>
  </w:endnote>
  <w:endnote w:id="1540">
    <w:p w:rsidR="00975183" w:rsidRPr="008312AC" w:rsidRDefault="00975183" w:rsidP="00442D33">
      <w:pPr>
        <w:pStyle w:val="EndnoteText"/>
      </w:pPr>
      <w:r w:rsidRPr="008312AC">
        <w:rPr>
          <w:rStyle w:val="EndnoteReference"/>
        </w:rPr>
        <w:endnoteRef/>
      </w:r>
      <w:r w:rsidRPr="008312AC">
        <w:t xml:space="preserve"> </w:t>
      </w:r>
      <w:r>
        <w:t xml:space="preserve">Darby, </w:t>
      </w:r>
      <w:r w:rsidRPr="00B25AB6">
        <w:rPr>
          <w:i/>
        </w:rPr>
        <w:t>Synopsis of the Books of the Bible: Genesis, Part 3</w:t>
      </w:r>
      <w:r>
        <w:t>, p. 33 &lt;</w:t>
      </w:r>
      <w:r w:rsidRPr="008312AC">
        <w:t>http://www.stempublishing.com/auth</w:t>
      </w:r>
      <w:r>
        <w:t>ors/darby/NOTESCOM/41004E_C.htm&gt; [accessed 13.5.17].</w:t>
      </w:r>
    </w:p>
  </w:endnote>
  <w:endnote w:id="1541">
    <w:p w:rsidR="00975183" w:rsidRDefault="00975183" w:rsidP="00442D33">
      <w:pPr>
        <w:pStyle w:val="EndnoteText"/>
      </w:pPr>
      <w:r w:rsidRPr="001C0261">
        <w:rPr>
          <w:rStyle w:val="EndnoteReference"/>
        </w:rPr>
        <w:endnoteRef/>
      </w:r>
      <w:r w:rsidRPr="001C0261">
        <w:t xml:space="preserve"> </w:t>
      </w:r>
      <w:proofErr w:type="gramStart"/>
      <w:r w:rsidRPr="001C0261">
        <w:rPr>
          <w:i/>
        </w:rPr>
        <w:t>SRB</w:t>
      </w:r>
      <w:r w:rsidRPr="001C0261">
        <w:t xml:space="preserve"> note on Gen.</w:t>
      </w:r>
      <w:r>
        <w:t xml:space="preserve"> 12:1, p. 20.</w:t>
      </w:r>
      <w:proofErr w:type="gramEnd"/>
    </w:p>
  </w:endnote>
  <w:endnote w:id="1542">
    <w:p w:rsidR="00975183" w:rsidRDefault="00975183" w:rsidP="00442D33">
      <w:pPr>
        <w:pStyle w:val="EndnoteText"/>
      </w:pPr>
      <w:r w:rsidRPr="001C0261">
        <w:rPr>
          <w:rStyle w:val="EndnoteReference"/>
        </w:rPr>
        <w:endnoteRef/>
      </w:r>
      <w:r w:rsidRPr="001C0261">
        <w:t xml:space="preserve"> </w:t>
      </w:r>
      <w:r w:rsidRPr="001C0261">
        <w:rPr>
          <w:i/>
        </w:rPr>
        <w:t>SRB</w:t>
      </w:r>
      <w:r w:rsidRPr="001C0261">
        <w:t xml:space="preserve"> note</w:t>
      </w:r>
      <w:r>
        <w:t>s on Exod. 19:8, p. 94; Mt. 5:2, p. 1000, 6:12, p.1002; Lk. 11:1, pp. 1089-90; Gal. 3:24, p. 1244.</w:t>
      </w:r>
    </w:p>
  </w:endnote>
  <w:endnote w:id="1543">
    <w:p w:rsidR="00975183" w:rsidRPr="00CE4B1F" w:rsidRDefault="00975183" w:rsidP="00442D33">
      <w:pPr>
        <w:pStyle w:val="EndnoteText"/>
      </w:pPr>
      <w:r w:rsidRPr="00CE4B1F">
        <w:rPr>
          <w:rStyle w:val="EndnoteReference"/>
        </w:rPr>
        <w:endnoteRef/>
      </w:r>
      <w:r w:rsidRPr="00CE4B1F">
        <w:t xml:space="preserve"> </w:t>
      </w:r>
      <w:r w:rsidRPr="00CE4B1F">
        <w:rPr>
          <w:i/>
        </w:rPr>
        <w:t>SRB</w:t>
      </w:r>
      <w:r>
        <w:t xml:space="preserve"> Introduction to Judges, p. 287.</w:t>
      </w:r>
    </w:p>
  </w:endnote>
  <w:endnote w:id="1544">
    <w:p w:rsidR="00975183" w:rsidRPr="00F63370" w:rsidRDefault="00975183" w:rsidP="00442D33">
      <w:pPr>
        <w:pStyle w:val="EndnoteText"/>
      </w:pPr>
      <w:r w:rsidRPr="00F63370">
        <w:rPr>
          <w:rStyle w:val="EndnoteReference"/>
        </w:rPr>
        <w:endnoteRef/>
      </w:r>
      <w:r w:rsidRPr="00F63370">
        <w:t xml:space="preserve"> </w:t>
      </w:r>
      <w:r>
        <w:t xml:space="preserve">For example, </w:t>
      </w:r>
      <w:r w:rsidRPr="00F63370">
        <w:rPr>
          <w:i/>
        </w:rPr>
        <w:t>SRB</w:t>
      </w:r>
      <w:r>
        <w:t xml:space="preserve"> note on Isa. 61:2, p. 766.</w:t>
      </w:r>
    </w:p>
  </w:endnote>
  <w:endnote w:id="1545">
    <w:p w:rsidR="00975183" w:rsidRPr="00DC11CB" w:rsidRDefault="00975183" w:rsidP="00442D33">
      <w:pPr>
        <w:pStyle w:val="EndnoteText"/>
      </w:pPr>
      <w:r w:rsidRPr="00DC11CB">
        <w:rPr>
          <w:rStyle w:val="FootnoteReference"/>
        </w:rPr>
        <w:endnoteRef/>
      </w:r>
      <w:r w:rsidRPr="00DC11CB">
        <w:t xml:space="preserve"> Blaising, ‘Extent and Varieties’, </w:t>
      </w:r>
      <w:r w:rsidRPr="00DC11CB">
        <w:rPr>
          <w:i/>
        </w:rPr>
        <w:t>Progressive Dispensationalism</w:t>
      </w:r>
      <w:r w:rsidRPr="00DC11CB">
        <w:t>, p. 19.</w:t>
      </w:r>
    </w:p>
  </w:endnote>
  <w:endnote w:id="1546">
    <w:p w:rsidR="00975183" w:rsidRPr="00DC11CB" w:rsidRDefault="00975183" w:rsidP="00442D33">
      <w:pPr>
        <w:spacing w:after="0" w:line="240" w:lineRule="auto"/>
      </w:pPr>
      <w:r w:rsidRPr="00DC11CB">
        <w:rPr>
          <w:rStyle w:val="FootnoteReference"/>
        </w:rPr>
        <w:endnoteRef/>
      </w:r>
      <w:r w:rsidRPr="00DC11CB">
        <w:t xml:space="preserve"> Thomas Ice, ‘A Short History of Dispensationalism’, Pre-Trib Research Center</w:t>
      </w:r>
    </w:p>
    <w:p w:rsidR="00975183" w:rsidRPr="00DC11CB" w:rsidRDefault="00975183" w:rsidP="00442D33">
      <w:pPr>
        <w:pStyle w:val="EndnoteText"/>
      </w:pPr>
      <w:r w:rsidRPr="00DC11CB">
        <w:t>&lt;http://www.pre-trib.org/data/pdf/Ice-AShortHistoryOfDispen.pdf&gt; [accessed 1.6.17].</w:t>
      </w:r>
    </w:p>
  </w:endnote>
  <w:endnote w:id="1547">
    <w:p w:rsidR="00975183" w:rsidRPr="00DC11CB" w:rsidRDefault="00975183" w:rsidP="00442D33">
      <w:pPr>
        <w:pStyle w:val="EndnoteText"/>
      </w:pPr>
      <w:r w:rsidRPr="00DC11CB">
        <w:rPr>
          <w:rStyle w:val="FootnoteReference"/>
        </w:rPr>
        <w:endnoteRef/>
      </w:r>
      <w:r w:rsidRPr="00DC11CB">
        <w:t xml:space="preserve"> </w:t>
      </w:r>
      <w:proofErr w:type="gramStart"/>
      <w:r w:rsidRPr="00DC11CB">
        <w:t xml:space="preserve">Thomas Ice, </w:t>
      </w:r>
      <w:r w:rsidRPr="00DC11CB">
        <w:rPr>
          <w:bCs/>
          <w:lang w:eastAsia="en-GB"/>
        </w:rPr>
        <w:t>‘Dispensationalism, Date-Setting, and Distortion’, ‘Fruit and Root’, Chafer Theological Seminary &lt;http://www.chafer.edu/date-setting-distortion&gt; [accessed 1.6.17].</w:t>
      </w:r>
      <w:proofErr w:type="gramEnd"/>
    </w:p>
  </w:endnote>
  <w:endnote w:id="1548">
    <w:p w:rsidR="00975183" w:rsidRPr="00DC11CB" w:rsidRDefault="00975183" w:rsidP="00442D33">
      <w:pPr>
        <w:pStyle w:val="EndnoteText"/>
      </w:pPr>
      <w:r w:rsidRPr="00DC11CB">
        <w:rPr>
          <w:rStyle w:val="FootnoteReference"/>
        </w:rPr>
        <w:endnoteRef/>
      </w:r>
      <w:r w:rsidRPr="00DC11CB">
        <w:t xml:space="preserve"> Gary North, ‘Publisher’s Preface’ to Dwight Wilson, </w:t>
      </w:r>
      <w:r w:rsidRPr="00DC11CB">
        <w:rPr>
          <w:i/>
        </w:rPr>
        <w:t>Armageddon Now: The Premillenarian Response to Russia and Israel Since 1917</w:t>
      </w:r>
      <w:r w:rsidRPr="00DC11CB">
        <w:t xml:space="preserve"> (Tyler, Texas: Institute for Christian Economics, 1991), p. xxii.  </w:t>
      </w:r>
      <w:proofErr w:type="gramStart"/>
      <w:r w:rsidRPr="00DC11CB">
        <w:t>References :</w:t>
      </w:r>
      <w:proofErr w:type="gramEnd"/>
      <w:r w:rsidRPr="00DC11CB">
        <w:t xml:space="preserve"> John Walvoord, </w:t>
      </w:r>
      <w:r w:rsidRPr="00DC11CB">
        <w:rPr>
          <w:i/>
        </w:rPr>
        <w:t>Armageddon, Oil and Terror</w:t>
      </w:r>
      <w:r w:rsidRPr="00DC11CB">
        <w:t xml:space="preserve">; and Charles Dyer, </w:t>
      </w:r>
      <w:r w:rsidRPr="00DC11CB">
        <w:rPr>
          <w:i/>
        </w:rPr>
        <w:t>The Rise of Babylon: Sign of the End Time</w:t>
      </w:r>
      <w:r w:rsidRPr="00DC11CB">
        <w:t>.</w:t>
      </w:r>
    </w:p>
  </w:endnote>
  <w:endnote w:id="1549">
    <w:p w:rsidR="00975183" w:rsidRPr="00DC11CB" w:rsidRDefault="00975183" w:rsidP="00442D33">
      <w:pPr>
        <w:pStyle w:val="EndnoteText"/>
      </w:pPr>
      <w:r w:rsidRPr="00DC11CB">
        <w:rPr>
          <w:rStyle w:val="FootnoteReference"/>
        </w:rPr>
        <w:endnoteRef/>
      </w:r>
      <w:r w:rsidRPr="00DC11CB">
        <w:t xml:space="preserve"> Reference: Ryrie, </w:t>
      </w:r>
      <w:proofErr w:type="gramStart"/>
      <w:r w:rsidRPr="00DC11CB">
        <w:rPr>
          <w:i/>
        </w:rPr>
        <w:t>The</w:t>
      </w:r>
      <w:proofErr w:type="gramEnd"/>
      <w:r w:rsidRPr="00DC11CB">
        <w:rPr>
          <w:i/>
        </w:rPr>
        <w:t xml:space="preserve"> Living End</w:t>
      </w:r>
      <w:r w:rsidRPr="00DC11CB">
        <w:t>, 1976.</w:t>
      </w:r>
    </w:p>
  </w:endnote>
  <w:endnote w:id="1550">
    <w:p w:rsidR="00975183" w:rsidRPr="00DC11CB" w:rsidRDefault="00975183" w:rsidP="00442D33">
      <w:pPr>
        <w:pStyle w:val="EndnoteText"/>
      </w:pPr>
      <w:r w:rsidRPr="00DC11CB">
        <w:rPr>
          <w:rStyle w:val="FootnoteReference"/>
        </w:rPr>
        <w:endnoteRef/>
      </w:r>
      <w:r w:rsidRPr="00DC11CB">
        <w:t xml:space="preserve"> Blaising, ‘Extent &amp; Varieties’, </w:t>
      </w:r>
      <w:r w:rsidRPr="00DC11CB">
        <w:rPr>
          <w:i/>
        </w:rPr>
        <w:t>Progressive Dispensationalism</w:t>
      </w:r>
      <w:r w:rsidRPr="00DC11CB">
        <w:t>, p. 20.</w:t>
      </w:r>
    </w:p>
  </w:endnote>
  <w:endnote w:id="1551">
    <w:p w:rsidR="00975183" w:rsidRPr="00DC11CB" w:rsidRDefault="00975183" w:rsidP="00442D33">
      <w:pPr>
        <w:pStyle w:val="EndnoteText"/>
      </w:pPr>
      <w:r w:rsidRPr="00DC11CB">
        <w:rPr>
          <w:rStyle w:val="EndnoteReference"/>
        </w:rPr>
        <w:endnoteRef/>
      </w:r>
      <w:r w:rsidRPr="00DC11CB">
        <w:t xml:space="preserve"> Crutchfield, </w:t>
      </w:r>
      <w:r w:rsidRPr="00DC11CB">
        <w:rPr>
          <w:i/>
        </w:rPr>
        <w:t>Origins</w:t>
      </w:r>
      <w:r w:rsidRPr="00DC11CB">
        <w:t>, p. 28.</w:t>
      </w:r>
    </w:p>
  </w:endnote>
  <w:endnote w:id="1552">
    <w:p w:rsidR="00975183" w:rsidRPr="00DC11CB" w:rsidRDefault="00975183" w:rsidP="00442D33">
      <w:pPr>
        <w:pStyle w:val="EndnoteText"/>
      </w:pPr>
      <w:r w:rsidRPr="00DC11CB">
        <w:rPr>
          <w:rStyle w:val="FootnoteReference"/>
        </w:rPr>
        <w:endnoteRef/>
      </w:r>
      <w:r w:rsidRPr="00DC11CB">
        <w:t xml:space="preserve"> Poythress, </w:t>
      </w:r>
      <w:r w:rsidRPr="00DC11CB">
        <w:rPr>
          <w:i/>
        </w:rPr>
        <w:t>Understanding Dispensationalists</w:t>
      </w:r>
      <w:r w:rsidRPr="00DC11CB">
        <w:t>, p. 22.</w:t>
      </w:r>
    </w:p>
  </w:endnote>
  <w:endnote w:id="1553">
    <w:p w:rsidR="00975183" w:rsidRPr="00DC11CB" w:rsidRDefault="00975183" w:rsidP="00442D33">
      <w:pPr>
        <w:pStyle w:val="EndnoteText"/>
      </w:pPr>
      <w:r w:rsidRPr="00DC11CB">
        <w:rPr>
          <w:rStyle w:val="FootnoteReference"/>
        </w:rPr>
        <w:endnoteRef/>
      </w:r>
      <w:r w:rsidRPr="00DC11CB">
        <w:t xml:space="preserve"> Weber, </w:t>
      </w:r>
      <w:r w:rsidRPr="00DC11CB">
        <w:rPr>
          <w:i/>
        </w:rPr>
        <w:t>Armageddon</w:t>
      </w:r>
      <w:r w:rsidRPr="00DC11CB">
        <w:t>, p. 23.</w:t>
      </w:r>
    </w:p>
  </w:endnote>
  <w:endnote w:id="1554">
    <w:p w:rsidR="00975183" w:rsidRPr="00DC11CB" w:rsidRDefault="00975183" w:rsidP="00442D33">
      <w:pPr>
        <w:pStyle w:val="EndnoteText"/>
      </w:pPr>
      <w:r w:rsidRPr="00DC11CB">
        <w:rPr>
          <w:rStyle w:val="FootnoteReference"/>
        </w:rPr>
        <w:endnoteRef/>
      </w:r>
      <w:r w:rsidRPr="00DC11CB">
        <w:t xml:space="preserve"> Poythress, </w:t>
      </w:r>
      <w:r w:rsidRPr="00DC11CB">
        <w:rPr>
          <w:i/>
        </w:rPr>
        <w:t>Understanding Dispensationalists</w:t>
      </w:r>
      <w:r w:rsidRPr="00DC11CB">
        <w:t>, p. 22.</w:t>
      </w:r>
    </w:p>
  </w:endnote>
  <w:endnote w:id="1555">
    <w:p w:rsidR="00975183" w:rsidRPr="00DC11CB" w:rsidRDefault="00975183" w:rsidP="00442D33">
      <w:pPr>
        <w:pStyle w:val="EndnoteText"/>
      </w:pPr>
      <w:r w:rsidRPr="00DC11CB">
        <w:rPr>
          <w:rStyle w:val="FootnoteReference"/>
        </w:rPr>
        <w:endnoteRef/>
      </w:r>
      <w:r w:rsidRPr="00DC11CB">
        <w:t xml:space="preserve"> Weber, </w:t>
      </w:r>
      <w:r w:rsidRPr="00DC11CB">
        <w:rPr>
          <w:i/>
        </w:rPr>
        <w:t>Armageddon</w:t>
      </w:r>
      <w:r w:rsidRPr="00DC11CB">
        <w:t>, p. 24.</w:t>
      </w:r>
    </w:p>
  </w:endnote>
  <w:endnote w:id="1556">
    <w:p w:rsidR="00975183" w:rsidRPr="00DC11CB" w:rsidRDefault="00975183" w:rsidP="00442D33">
      <w:pPr>
        <w:pStyle w:val="EndnoteText"/>
        <w:rPr>
          <w:lang w:val="en-US"/>
        </w:rPr>
      </w:pPr>
      <w:r w:rsidRPr="00DC11CB">
        <w:rPr>
          <w:rStyle w:val="FootnoteReference"/>
        </w:rPr>
        <w:endnoteRef/>
      </w:r>
      <w:r w:rsidRPr="00DC11CB">
        <w:t xml:space="preserve"> </w:t>
      </w:r>
      <w:r w:rsidRPr="00DC11CB">
        <w:rPr>
          <w:lang w:val="en-US"/>
        </w:rPr>
        <w:t>‘</w:t>
      </w:r>
      <w:r w:rsidRPr="00DC11CB">
        <w:rPr>
          <w:rFonts w:cs="Arial"/>
          <w:lang w:val="en-US" w:bidi="he-IL"/>
        </w:rPr>
        <w:t xml:space="preserve">For the Lord himself, with a cry of command, with the archangel's call and with the sound of God's trumpet, will descend from heaven, and the dead in Christ will rise first. </w:t>
      </w:r>
      <w:r w:rsidRPr="00DC11CB">
        <w:rPr>
          <w:rFonts w:cs="Arial"/>
          <w:vertAlign w:val="superscript"/>
          <w:lang w:val="en-US" w:bidi="he-IL"/>
        </w:rPr>
        <w:t>17</w:t>
      </w:r>
      <w:r w:rsidRPr="00DC11CB">
        <w:rPr>
          <w:rFonts w:cs="Arial"/>
          <w:lang w:val="en-US" w:bidi="he-IL"/>
        </w:rPr>
        <w:t xml:space="preserve"> Then we who are alive, who are left, will be caught up in the clouds together with them to meet the Lord in the air; and so we will be with the Lord forever.</w:t>
      </w:r>
      <w:r w:rsidRPr="00DC11CB">
        <w:rPr>
          <w:lang w:val="en-US"/>
        </w:rPr>
        <w:t xml:space="preserve">’ </w:t>
      </w:r>
    </w:p>
    <w:p w:rsidR="00975183" w:rsidRPr="00DC11CB" w:rsidRDefault="00975183" w:rsidP="00442D33">
      <w:pPr>
        <w:pStyle w:val="EndnoteText"/>
      </w:pPr>
      <w:r w:rsidRPr="00DC11CB">
        <w:rPr>
          <w:lang w:val="en-US"/>
        </w:rPr>
        <w:t xml:space="preserve">1 Thess. 4:16-17, </w:t>
      </w:r>
      <w:r w:rsidRPr="00DC11CB">
        <w:rPr>
          <w:i/>
          <w:lang w:val="en-US"/>
        </w:rPr>
        <w:t>NRSV</w:t>
      </w:r>
      <w:r w:rsidRPr="00DC11CB">
        <w:rPr>
          <w:lang w:val="en-US"/>
        </w:rPr>
        <w:t>.</w:t>
      </w:r>
    </w:p>
  </w:endnote>
  <w:endnote w:id="1557">
    <w:p w:rsidR="00975183" w:rsidRPr="00DC11CB" w:rsidRDefault="00975183" w:rsidP="00442D33">
      <w:pPr>
        <w:pStyle w:val="EndnoteText"/>
      </w:pPr>
      <w:r w:rsidRPr="00DC11CB">
        <w:rPr>
          <w:rStyle w:val="FootnoteReference"/>
        </w:rPr>
        <w:endnoteRef/>
      </w:r>
      <w:r w:rsidRPr="00DC11CB">
        <w:t xml:space="preserve"> ‘</w:t>
      </w:r>
      <w:r w:rsidRPr="00DC11CB">
        <w:rPr>
          <w:rFonts w:cs="Arial"/>
          <w:lang w:val="en-US" w:bidi="he-IL"/>
        </w:rPr>
        <w:t>And then the lawless one will be revealed, whom the Lord Jesus will destroy with the breath of his mouth, annihilating him by the manifestation of his coming.’</w:t>
      </w:r>
      <w:r w:rsidRPr="00DC11CB">
        <w:rPr>
          <w:rFonts w:cs="Arial"/>
          <w:lang w:bidi="he-IL"/>
        </w:rPr>
        <w:t xml:space="preserve"> 2 Thess. 2:8, </w:t>
      </w:r>
      <w:r w:rsidRPr="00DC11CB">
        <w:rPr>
          <w:rFonts w:cs="Arial"/>
          <w:i/>
          <w:lang w:bidi="he-IL"/>
        </w:rPr>
        <w:t>NRSV</w:t>
      </w:r>
      <w:r w:rsidRPr="00DC11CB">
        <w:rPr>
          <w:rFonts w:cs="Arial"/>
          <w:lang w:bidi="he-IL"/>
        </w:rPr>
        <w:t>.</w:t>
      </w:r>
    </w:p>
  </w:endnote>
  <w:endnote w:id="1558">
    <w:p w:rsidR="00975183" w:rsidRPr="00DC11CB" w:rsidRDefault="00975183" w:rsidP="00442D33">
      <w:pPr>
        <w:pStyle w:val="EndnoteText"/>
      </w:pPr>
      <w:r w:rsidRPr="00DC11CB">
        <w:rPr>
          <w:rStyle w:val="FootnoteReference"/>
        </w:rPr>
        <w:endnoteRef/>
      </w:r>
      <w:r w:rsidRPr="00DC11CB">
        <w:t xml:space="preserve"> George Eldon Ladd, </w:t>
      </w:r>
      <w:r w:rsidRPr="00DC11CB">
        <w:rPr>
          <w:i/>
        </w:rPr>
        <w:t>The Blessed Hope: A Biblical Study of the Second Advent and Rapture</w:t>
      </w:r>
      <w:r w:rsidRPr="00DC11CB">
        <w:t xml:space="preserve"> (Grand Rapids: </w:t>
      </w:r>
    </w:p>
    <w:p w:rsidR="00975183" w:rsidRPr="00DC11CB" w:rsidRDefault="00975183" w:rsidP="00442D33">
      <w:pPr>
        <w:pStyle w:val="EndnoteText"/>
      </w:pPr>
      <w:r w:rsidRPr="00DC11CB">
        <w:t>Wm. B. Eerdmans Publishing Co., 1956), p. 63.</w:t>
      </w:r>
    </w:p>
  </w:endnote>
  <w:endnote w:id="1559">
    <w:p w:rsidR="00975183" w:rsidRPr="00DC11CB" w:rsidRDefault="00975183" w:rsidP="00442D33">
      <w:pPr>
        <w:pStyle w:val="EndnoteText"/>
      </w:pPr>
      <w:r w:rsidRPr="00DC11CB">
        <w:rPr>
          <w:rStyle w:val="FootnoteReference"/>
        </w:rPr>
        <w:endnoteRef/>
      </w:r>
      <w:r w:rsidRPr="00DC11CB">
        <w:t xml:space="preserve"> Bass, </w:t>
      </w:r>
      <w:r w:rsidRPr="00DC11CB">
        <w:rPr>
          <w:i/>
        </w:rPr>
        <w:t>Backgrounds</w:t>
      </w:r>
      <w:r w:rsidRPr="00DC11CB">
        <w:t>, p 38.</w:t>
      </w:r>
    </w:p>
  </w:endnote>
  <w:endnote w:id="1560">
    <w:p w:rsidR="00975183" w:rsidRPr="00DC11CB" w:rsidRDefault="00975183" w:rsidP="00442D33">
      <w:pPr>
        <w:pStyle w:val="EndnoteText"/>
      </w:pPr>
      <w:r w:rsidRPr="00DC11CB">
        <w:rPr>
          <w:rStyle w:val="FootnoteReference"/>
        </w:rPr>
        <w:endnoteRef/>
      </w:r>
      <w:r w:rsidRPr="00DC11CB">
        <w:t xml:space="preserve"> </w:t>
      </w:r>
      <w:proofErr w:type="gramStart"/>
      <w:r w:rsidRPr="00DC11CB">
        <w:t>Ladd,</w:t>
      </w:r>
      <w:proofErr w:type="gramEnd"/>
      <w:r w:rsidRPr="00DC11CB">
        <w:t xml:space="preserve"> </w:t>
      </w:r>
      <w:r w:rsidRPr="00DC11CB">
        <w:rPr>
          <w:i/>
        </w:rPr>
        <w:t>Blessed Hope</w:t>
      </w:r>
      <w:r w:rsidRPr="00DC11CB">
        <w:t>, pp. 19, 20.</w:t>
      </w:r>
    </w:p>
  </w:endnote>
  <w:endnote w:id="1561">
    <w:p w:rsidR="00975183" w:rsidRPr="00DC11CB" w:rsidRDefault="00975183" w:rsidP="00442D33">
      <w:pPr>
        <w:pStyle w:val="EndnoteText"/>
      </w:pPr>
      <w:r w:rsidRPr="00DC11CB">
        <w:rPr>
          <w:rStyle w:val="FootnoteReference"/>
        </w:rPr>
        <w:endnoteRef/>
      </w:r>
      <w:r w:rsidRPr="00DC11CB">
        <w:t xml:space="preserve"> Weber, </w:t>
      </w:r>
      <w:r w:rsidRPr="00DC11CB">
        <w:rPr>
          <w:i/>
        </w:rPr>
        <w:t>Armageddon</w:t>
      </w:r>
      <w:r w:rsidRPr="00DC11CB">
        <w:t>, p. 24.</w:t>
      </w:r>
    </w:p>
  </w:endnote>
  <w:endnote w:id="1562">
    <w:p w:rsidR="00975183" w:rsidRPr="00DC11CB" w:rsidRDefault="00975183" w:rsidP="00442D33">
      <w:pPr>
        <w:pStyle w:val="EndnoteText"/>
      </w:pPr>
      <w:r w:rsidRPr="00DC11CB">
        <w:rPr>
          <w:rStyle w:val="FootnoteReference"/>
        </w:rPr>
        <w:endnoteRef/>
      </w:r>
      <w:r w:rsidRPr="00DC11CB">
        <w:t xml:space="preserve"> H. A. Ironside, </w:t>
      </w:r>
      <w:proofErr w:type="gramStart"/>
      <w:r w:rsidRPr="00DC11CB">
        <w:rPr>
          <w:i/>
        </w:rPr>
        <w:t>A</w:t>
      </w:r>
      <w:proofErr w:type="gramEnd"/>
      <w:r w:rsidRPr="00DC11CB">
        <w:rPr>
          <w:i/>
        </w:rPr>
        <w:t xml:space="preserve"> Historical Sketch of the Brethren Movement</w:t>
      </w:r>
      <w:r w:rsidRPr="00DC11CB">
        <w:t xml:space="preserve"> (Revised Edition, January 1985, Neptune, New Jersey: Loizeaux Brothers, Second Printing January 1988, Earlier Edition, Zondervan, 1942), p. 23.</w:t>
      </w:r>
    </w:p>
  </w:endnote>
  <w:endnote w:id="1563">
    <w:p w:rsidR="00975183" w:rsidRPr="00DC11CB" w:rsidRDefault="00975183" w:rsidP="00442D33">
      <w:pPr>
        <w:pStyle w:val="EndnoteText"/>
      </w:pPr>
      <w:r w:rsidRPr="00DC11CB">
        <w:rPr>
          <w:rStyle w:val="FootnoteReference"/>
        </w:rPr>
        <w:endnoteRef/>
      </w:r>
      <w:r w:rsidRPr="00DC11CB">
        <w:t xml:space="preserve">  John F. Walvoord, </w:t>
      </w:r>
      <w:proofErr w:type="gramStart"/>
      <w:r w:rsidRPr="00DC11CB">
        <w:rPr>
          <w:i/>
        </w:rPr>
        <w:t>The</w:t>
      </w:r>
      <w:proofErr w:type="gramEnd"/>
      <w:r w:rsidRPr="00DC11CB">
        <w:rPr>
          <w:i/>
        </w:rPr>
        <w:t xml:space="preserve"> Rapture Question</w:t>
      </w:r>
      <w:r w:rsidRPr="00DC11CB">
        <w:t xml:space="preserve"> (Revised and Enlarged Edition, Grand Rapids: Academie Books, 1979; First Edition, Findlay, Ohio, Dunham Publishing Company, 1957), p. 19.</w:t>
      </w:r>
    </w:p>
  </w:endnote>
  <w:endnote w:id="1564">
    <w:p w:rsidR="00975183" w:rsidRPr="00DC11CB" w:rsidRDefault="00975183" w:rsidP="00442D33">
      <w:pPr>
        <w:pStyle w:val="EndnoteText"/>
      </w:pPr>
      <w:r w:rsidRPr="00DC11CB">
        <w:rPr>
          <w:rStyle w:val="FootnoteReference"/>
        </w:rPr>
        <w:endnoteRef/>
      </w:r>
      <w:r w:rsidRPr="00DC11CB">
        <w:t xml:space="preserve"> Sandeen, </w:t>
      </w:r>
      <w:r w:rsidRPr="00DC11CB">
        <w:rPr>
          <w:i/>
        </w:rPr>
        <w:t>Roots</w:t>
      </w:r>
      <w:r w:rsidRPr="00DC11CB">
        <w:t>, p. 38.</w:t>
      </w:r>
    </w:p>
  </w:endnote>
  <w:endnote w:id="1565">
    <w:p w:rsidR="00975183" w:rsidRDefault="00975183" w:rsidP="00442D33">
      <w:pPr>
        <w:pStyle w:val="EndnoteText"/>
        <w:rPr>
          <w:rFonts w:cs="Cambria,Bold"/>
          <w:bCs/>
          <w:lang w:eastAsia="en-GB"/>
        </w:rPr>
      </w:pPr>
      <w:r w:rsidRPr="00DC11CB">
        <w:rPr>
          <w:rStyle w:val="FootnoteReference"/>
        </w:rPr>
        <w:endnoteRef/>
      </w:r>
      <w:r w:rsidRPr="00DC11CB">
        <w:t xml:space="preserve"> Alexander Reese, </w:t>
      </w:r>
      <w:r w:rsidRPr="00DC11CB">
        <w:rPr>
          <w:i/>
        </w:rPr>
        <w:t>The Approaching Advent of Christ</w:t>
      </w:r>
      <w:r w:rsidRPr="00DC11CB">
        <w:t>,</w:t>
      </w:r>
      <w:r w:rsidRPr="00DC11CB">
        <w:rPr>
          <w:i/>
        </w:rPr>
        <w:t xml:space="preserve"> </w:t>
      </w:r>
      <w:r w:rsidRPr="00DC11CB">
        <w:rPr>
          <w:rFonts w:cs="Cambria,Bold"/>
          <w:bCs/>
          <w:lang w:eastAsia="en-GB"/>
        </w:rPr>
        <w:t>pp. 8, 9</w:t>
      </w:r>
      <w:r w:rsidRPr="00DC11CB">
        <w:t xml:space="preserve"> (original publication, </w:t>
      </w:r>
      <w:r w:rsidRPr="00DC11CB">
        <w:rPr>
          <w:rFonts w:cs="Cambria,Bold"/>
          <w:bCs/>
          <w:lang w:eastAsia="en-GB"/>
        </w:rPr>
        <w:t xml:space="preserve">Marshall, Morgan and Scott, 1937) &lt;https://theologue.files.wordpress.com/2014/07/theapproachingadventofchrist-alexanderreese.pdf&gt; </w:t>
      </w:r>
    </w:p>
    <w:p w:rsidR="00975183" w:rsidRPr="00DC11CB" w:rsidRDefault="00975183" w:rsidP="00442D33">
      <w:pPr>
        <w:pStyle w:val="EndnoteText"/>
      </w:pPr>
      <w:r w:rsidRPr="00DC11CB">
        <w:rPr>
          <w:rFonts w:cs="Cambria,Bold"/>
          <w:bCs/>
          <w:lang w:eastAsia="en-GB"/>
        </w:rPr>
        <w:t>[</w:t>
      </w:r>
      <w:proofErr w:type="gramStart"/>
      <w:r w:rsidRPr="00DC11CB">
        <w:rPr>
          <w:rFonts w:cs="Cambria,Bold"/>
          <w:bCs/>
          <w:lang w:eastAsia="en-GB"/>
        </w:rPr>
        <w:t>accessed</w:t>
      </w:r>
      <w:proofErr w:type="gramEnd"/>
      <w:r w:rsidRPr="00DC11CB">
        <w:rPr>
          <w:rFonts w:cs="Cambria,Bold"/>
          <w:bCs/>
          <w:lang w:eastAsia="en-GB"/>
        </w:rPr>
        <w:t xml:space="preserve"> 8.7.17].</w:t>
      </w:r>
    </w:p>
  </w:endnote>
  <w:endnote w:id="1566">
    <w:p w:rsidR="00975183" w:rsidRPr="00DC11CB" w:rsidRDefault="00975183" w:rsidP="00442D33">
      <w:pPr>
        <w:pStyle w:val="EndnoteText"/>
      </w:pPr>
      <w:r w:rsidRPr="00DC11CB">
        <w:rPr>
          <w:rStyle w:val="FootnoteReference"/>
        </w:rPr>
        <w:endnoteRef/>
      </w:r>
      <w:r w:rsidRPr="00DC11CB">
        <w:t xml:space="preserve"> Williams, </w:t>
      </w:r>
      <w:r w:rsidRPr="00DC11CB">
        <w:rPr>
          <w:i/>
        </w:rPr>
        <w:t>Not My Home</w:t>
      </w:r>
      <w:r w:rsidRPr="00DC11CB">
        <w:t>, p. 110.</w:t>
      </w:r>
    </w:p>
  </w:endnote>
  <w:endnote w:id="1567">
    <w:p w:rsidR="00975183" w:rsidRPr="00DC11CB" w:rsidRDefault="00975183" w:rsidP="00442D33">
      <w:pPr>
        <w:pStyle w:val="EndnoteText"/>
      </w:pPr>
      <w:r w:rsidRPr="00DC11CB">
        <w:rPr>
          <w:rStyle w:val="FootnoteReference"/>
        </w:rPr>
        <w:endnoteRef/>
      </w:r>
      <w:r w:rsidRPr="00DC11CB">
        <w:t xml:space="preserve"> Walvoord, </w:t>
      </w:r>
      <w:r w:rsidRPr="00DC11CB">
        <w:rPr>
          <w:i/>
        </w:rPr>
        <w:t>Rapture Question</w:t>
      </w:r>
      <w:r w:rsidRPr="00DC11CB">
        <w:t xml:space="preserve">, pp. 21-2.  </w:t>
      </w:r>
      <w:proofErr w:type="gramStart"/>
      <w:r w:rsidRPr="00DC11CB">
        <w:t>(</w:t>
      </w:r>
      <w:r w:rsidRPr="00DC11CB">
        <w:rPr>
          <w:i/>
        </w:rPr>
        <w:t>My emphases</w:t>
      </w:r>
      <w:r w:rsidRPr="00DC11CB">
        <w:t>.)</w:t>
      </w:r>
      <w:proofErr w:type="gramEnd"/>
    </w:p>
  </w:endnote>
  <w:endnote w:id="1568">
    <w:p w:rsidR="00975183" w:rsidRPr="00DC11CB" w:rsidRDefault="00975183" w:rsidP="00442D33">
      <w:pPr>
        <w:pStyle w:val="EndnoteText"/>
      </w:pPr>
      <w:r w:rsidRPr="00DC11CB">
        <w:rPr>
          <w:rStyle w:val="FootnoteReference"/>
        </w:rPr>
        <w:endnoteRef/>
      </w:r>
      <w:r w:rsidRPr="00DC11CB">
        <w:t xml:space="preserve"> ‘</w:t>
      </w:r>
      <w:r w:rsidRPr="00DC11CB">
        <w:rPr>
          <w:rFonts w:cs="Arial"/>
          <w:lang w:val="en-US" w:bidi="he-IL"/>
        </w:rPr>
        <w:t xml:space="preserve">Listen, I will tell you a mystery! We will not all die, but we will all be changed, </w:t>
      </w:r>
      <w:r w:rsidRPr="00DC11CB">
        <w:rPr>
          <w:rFonts w:cs="Arial"/>
          <w:vertAlign w:val="superscript"/>
          <w:lang w:val="en-US" w:bidi="he-IL"/>
        </w:rPr>
        <w:t>52</w:t>
      </w:r>
      <w:r w:rsidRPr="00DC11CB">
        <w:rPr>
          <w:rFonts w:cs="Arial"/>
          <w:lang w:val="en-US" w:bidi="he-IL"/>
        </w:rPr>
        <w:t xml:space="preserve"> in a moment, in the twinkling of an eye, at the last trumpet. For the trumpet will sound, and the dead will be raised imperishable, and we will be changed.’  1 Cor. 15:51-2, </w:t>
      </w:r>
      <w:r w:rsidRPr="00DC11CB">
        <w:rPr>
          <w:rFonts w:cs="Arial"/>
          <w:i/>
          <w:lang w:val="en-US" w:bidi="he-IL"/>
        </w:rPr>
        <w:t>NRSV</w:t>
      </w:r>
      <w:r w:rsidRPr="00DC11CB">
        <w:rPr>
          <w:rFonts w:cs="Arial"/>
          <w:lang w:val="en-US" w:bidi="he-IL"/>
        </w:rPr>
        <w:t>.</w:t>
      </w:r>
    </w:p>
  </w:endnote>
  <w:endnote w:id="1569">
    <w:p w:rsidR="00975183" w:rsidRPr="00DC11CB" w:rsidRDefault="00975183" w:rsidP="00442D33">
      <w:pPr>
        <w:pStyle w:val="EndnoteText"/>
      </w:pPr>
      <w:r w:rsidRPr="00DC11CB">
        <w:rPr>
          <w:rStyle w:val="FootnoteReference"/>
        </w:rPr>
        <w:endnoteRef/>
      </w:r>
      <w:r w:rsidRPr="00DC11CB">
        <w:t xml:space="preserve"> John F. Walvoord, </w:t>
      </w:r>
      <w:proofErr w:type="gramStart"/>
      <w:r w:rsidRPr="00DC11CB">
        <w:rPr>
          <w:i/>
        </w:rPr>
        <w:t>The</w:t>
      </w:r>
      <w:proofErr w:type="gramEnd"/>
      <w:r w:rsidRPr="00DC11CB">
        <w:rPr>
          <w:i/>
        </w:rPr>
        <w:t xml:space="preserve"> Millennial Kingdom</w:t>
      </w:r>
      <w:r w:rsidRPr="00DC11CB">
        <w:t xml:space="preserve"> (Grand Rapids: Zondervan, Academie Books, 1959), p. 242.</w:t>
      </w:r>
    </w:p>
  </w:endnote>
  <w:endnote w:id="1570">
    <w:p w:rsidR="00975183" w:rsidRPr="00DC11CB" w:rsidRDefault="00975183" w:rsidP="00442D33">
      <w:pPr>
        <w:pStyle w:val="EndnoteText"/>
      </w:pPr>
      <w:r w:rsidRPr="00DC11CB">
        <w:rPr>
          <w:rStyle w:val="FootnoteReference"/>
        </w:rPr>
        <w:endnoteRef/>
      </w:r>
      <w:r w:rsidRPr="00DC11CB">
        <w:t xml:space="preserve"> </w:t>
      </w:r>
      <w:proofErr w:type="gramStart"/>
      <w:r w:rsidRPr="00DC11CB">
        <w:t>Darby, ‘Letter to Tholuck’, p. 297.</w:t>
      </w:r>
      <w:proofErr w:type="gramEnd"/>
      <w:r w:rsidRPr="00DC11CB">
        <w:t xml:space="preserve"> </w:t>
      </w:r>
      <w:proofErr w:type="gramStart"/>
      <w:r w:rsidRPr="00DC11CB">
        <w:t>(</w:t>
      </w:r>
      <w:r w:rsidRPr="00DC11CB">
        <w:rPr>
          <w:i/>
        </w:rPr>
        <w:t>My emphasis</w:t>
      </w:r>
      <w:r w:rsidRPr="00DC11CB">
        <w:t>.)</w:t>
      </w:r>
      <w:proofErr w:type="gramEnd"/>
    </w:p>
  </w:endnote>
  <w:endnote w:id="1571">
    <w:p w:rsidR="00975183" w:rsidRPr="00DC11CB" w:rsidRDefault="00975183" w:rsidP="00442D33">
      <w:pPr>
        <w:pStyle w:val="EndnoteText"/>
        <w:rPr>
          <w:i/>
        </w:rPr>
      </w:pPr>
      <w:r w:rsidRPr="00DC11CB">
        <w:rPr>
          <w:rStyle w:val="FootnoteReference"/>
        </w:rPr>
        <w:endnoteRef/>
      </w:r>
      <w:r w:rsidRPr="00DC11CB">
        <w:t xml:space="preserve"> Darby, ‘The Rapture of the Saints and the Character of the Jewish Remnant’, </w:t>
      </w:r>
      <w:r w:rsidRPr="00DC11CB">
        <w:rPr>
          <w:i/>
        </w:rPr>
        <w:t>Collected Works</w:t>
      </w:r>
      <w:r w:rsidRPr="00DC11CB">
        <w:t xml:space="preserve">, </w:t>
      </w:r>
      <w:r w:rsidRPr="00DC11CB">
        <w:rPr>
          <w:i/>
        </w:rPr>
        <w:t xml:space="preserve">Vol. 11, </w:t>
      </w:r>
    </w:p>
    <w:p w:rsidR="00975183" w:rsidRPr="00DC11CB" w:rsidRDefault="00975183" w:rsidP="00442D33">
      <w:pPr>
        <w:pStyle w:val="EndnoteText"/>
      </w:pPr>
      <w:r w:rsidRPr="00DC11CB">
        <w:rPr>
          <w:i/>
        </w:rPr>
        <w:t>Prophetic No. 4</w:t>
      </w:r>
      <w:r w:rsidRPr="00DC11CB">
        <w:t xml:space="preserve">, p. 153.  </w:t>
      </w:r>
      <w:proofErr w:type="gramStart"/>
      <w:r w:rsidRPr="00DC11CB">
        <w:t>(</w:t>
      </w:r>
      <w:r w:rsidRPr="00DC11CB">
        <w:rPr>
          <w:i/>
        </w:rPr>
        <w:t>My emphasis</w:t>
      </w:r>
      <w:r w:rsidRPr="00DC11CB">
        <w:t>.)</w:t>
      </w:r>
      <w:proofErr w:type="gramEnd"/>
    </w:p>
  </w:endnote>
  <w:endnote w:id="1572">
    <w:p w:rsidR="00975183" w:rsidRPr="00DC11CB" w:rsidRDefault="00975183" w:rsidP="00442D33">
      <w:pPr>
        <w:pStyle w:val="EndnoteText"/>
      </w:pPr>
      <w:r w:rsidRPr="00DC11CB">
        <w:rPr>
          <w:rStyle w:val="FootnoteReference"/>
        </w:rPr>
        <w:endnoteRef/>
      </w:r>
      <w:r w:rsidRPr="00DC11CB">
        <w:t xml:space="preserve"> Henzel, </w:t>
      </w:r>
      <w:r w:rsidRPr="00DC11CB">
        <w:rPr>
          <w:i/>
        </w:rPr>
        <w:t>Darby, Dualism &amp; Decline of Dispensationalism</w:t>
      </w:r>
      <w:r w:rsidRPr="00DC11CB">
        <w:t>, p. 81.</w:t>
      </w:r>
    </w:p>
  </w:endnote>
  <w:endnote w:id="1573">
    <w:p w:rsidR="00975183" w:rsidRPr="00DC11CB" w:rsidRDefault="00975183" w:rsidP="00442D33">
      <w:pPr>
        <w:pStyle w:val="EndnoteText"/>
      </w:pPr>
      <w:r w:rsidRPr="00DC11CB">
        <w:rPr>
          <w:rStyle w:val="FootnoteReference"/>
        </w:rPr>
        <w:endnoteRef/>
      </w:r>
      <w:r w:rsidRPr="00DC11CB">
        <w:t xml:space="preserve"> Blaising, ‘Extent and Varieties’, </w:t>
      </w:r>
      <w:r w:rsidRPr="00DC11CB">
        <w:rPr>
          <w:i/>
        </w:rPr>
        <w:t>Progressive Dispensationalism</w:t>
      </w:r>
      <w:r w:rsidRPr="00DC11CB">
        <w:t xml:space="preserve">, p. 20 and footnote 5, p. 304.  </w:t>
      </w:r>
      <w:proofErr w:type="gramStart"/>
      <w:r w:rsidRPr="00DC11CB">
        <w:t>(</w:t>
      </w:r>
      <w:r w:rsidRPr="00DC11CB">
        <w:rPr>
          <w:i/>
        </w:rPr>
        <w:t>Blaising’s emphasis</w:t>
      </w:r>
      <w:r w:rsidRPr="00DC11CB">
        <w:t>.)</w:t>
      </w:r>
      <w:proofErr w:type="gramEnd"/>
    </w:p>
  </w:endnote>
  <w:endnote w:id="1574">
    <w:p w:rsidR="00975183" w:rsidRPr="00DC11CB" w:rsidRDefault="00975183" w:rsidP="00442D33">
      <w:pPr>
        <w:pStyle w:val="EndnoteText"/>
      </w:pPr>
      <w:r w:rsidRPr="00DC11CB">
        <w:rPr>
          <w:rStyle w:val="FootnoteReference"/>
        </w:rPr>
        <w:endnoteRef/>
      </w:r>
      <w:r w:rsidRPr="00DC11CB">
        <w:t xml:space="preserve"> Ryrie, </w:t>
      </w:r>
      <w:r w:rsidRPr="00DC11CB">
        <w:rPr>
          <w:i/>
        </w:rPr>
        <w:t>Dispensationalism Today</w:t>
      </w:r>
      <w:r w:rsidRPr="00DC11CB">
        <w:t>, p. 159.</w:t>
      </w:r>
    </w:p>
  </w:endnote>
  <w:endnote w:id="1575">
    <w:p w:rsidR="00975183" w:rsidRPr="00DC11CB" w:rsidRDefault="00975183" w:rsidP="00442D33">
      <w:pPr>
        <w:pStyle w:val="EndnoteText"/>
      </w:pPr>
      <w:r w:rsidRPr="00DC11CB">
        <w:rPr>
          <w:rStyle w:val="FootnoteReference"/>
        </w:rPr>
        <w:endnoteRef/>
      </w:r>
      <w:r w:rsidRPr="00DC11CB">
        <w:t xml:space="preserve"> Sweetnam, ‘Defining Dispensationalism’, p. 209.</w:t>
      </w:r>
    </w:p>
  </w:endnote>
  <w:endnote w:id="1576">
    <w:p w:rsidR="00975183" w:rsidRPr="00DC11CB" w:rsidRDefault="00975183" w:rsidP="00442D33">
      <w:pPr>
        <w:pStyle w:val="EndnoteText"/>
      </w:pPr>
      <w:r w:rsidRPr="00DC11CB">
        <w:rPr>
          <w:rStyle w:val="FootnoteReference"/>
        </w:rPr>
        <w:endnoteRef/>
      </w:r>
      <w:r w:rsidRPr="00DC11CB">
        <w:t xml:space="preserve"> Sandeen, </w:t>
      </w:r>
      <w:r w:rsidRPr="00DC11CB">
        <w:rPr>
          <w:i/>
        </w:rPr>
        <w:t>Roots</w:t>
      </w:r>
      <w:r w:rsidRPr="00DC11CB">
        <w:t>, p. 63.</w:t>
      </w:r>
    </w:p>
  </w:endnote>
  <w:endnote w:id="1577">
    <w:p w:rsidR="00975183" w:rsidRPr="00DC11CB" w:rsidRDefault="00975183" w:rsidP="00442D33">
      <w:pPr>
        <w:pStyle w:val="EndnoteText"/>
      </w:pPr>
      <w:r w:rsidRPr="00DC11CB">
        <w:rPr>
          <w:rStyle w:val="FootnoteReference"/>
        </w:rPr>
        <w:endnoteRef/>
      </w:r>
      <w:r w:rsidRPr="00DC11CB">
        <w:t xml:space="preserve"> Sweetnam, </w:t>
      </w:r>
      <w:proofErr w:type="gramStart"/>
      <w:r w:rsidRPr="00DC11CB">
        <w:t>‘ Defining</w:t>
      </w:r>
      <w:proofErr w:type="gramEnd"/>
      <w:r w:rsidRPr="00DC11CB">
        <w:t xml:space="preserve"> Dispensationalism’, p. 207.</w:t>
      </w:r>
    </w:p>
  </w:endnote>
  <w:endnote w:id="1578">
    <w:p w:rsidR="00975183" w:rsidRPr="00DC11CB" w:rsidRDefault="00975183" w:rsidP="00442D33">
      <w:pPr>
        <w:pStyle w:val="EndnoteText"/>
      </w:pPr>
      <w:r w:rsidRPr="00DC11CB">
        <w:rPr>
          <w:rStyle w:val="FootnoteReference"/>
        </w:rPr>
        <w:endnoteRef/>
      </w:r>
      <w:r w:rsidRPr="00DC11CB">
        <w:t xml:space="preserve"> Darby, ‘The Rapture of the Saints’, pp. 155-6.  </w:t>
      </w:r>
      <w:proofErr w:type="gramStart"/>
      <w:r w:rsidRPr="00DC11CB">
        <w:t>(</w:t>
      </w:r>
      <w:r w:rsidRPr="00DC11CB">
        <w:rPr>
          <w:i/>
        </w:rPr>
        <w:t>My emphases</w:t>
      </w:r>
      <w:r w:rsidRPr="00DC11CB">
        <w:t>.)</w:t>
      </w:r>
      <w:proofErr w:type="gramEnd"/>
    </w:p>
  </w:endnote>
  <w:endnote w:id="1579">
    <w:p w:rsidR="00975183" w:rsidRPr="00DC11CB" w:rsidRDefault="00975183" w:rsidP="00442D33">
      <w:pPr>
        <w:pStyle w:val="EndnoteText"/>
      </w:pPr>
      <w:r w:rsidRPr="00DC11CB">
        <w:rPr>
          <w:rStyle w:val="FootnoteReference"/>
        </w:rPr>
        <w:endnoteRef/>
      </w:r>
      <w:r w:rsidRPr="00DC11CB">
        <w:t xml:space="preserve"> Scofield, </w:t>
      </w:r>
      <w:r w:rsidRPr="00DC11CB">
        <w:rPr>
          <w:i/>
        </w:rPr>
        <w:t>Bible Correspondence Course</w:t>
      </w:r>
      <w:r w:rsidRPr="00DC11CB">
        <w:t xml:space="preserve">, </w:t>
      </w:r>
      <w:r w:rsidRPr="00DC11CB">
        <w:rPr>
          <w:i/>
        </w:rPr>
        <w:t>Vol. 2, New Testament</w:t>
      </w:r>
      <w:r w:rsidRPr="00DC11CB">
        <w:t xml:space="preserve">, Lesson 42, ‘The Gospels and Acts, Matthew’, p. 179; </w:t>
      </w:r>
      <w:r w:rsidRPr="00DC11CB">
        <w:rPr>
          <w:i/>
        </w:rPr>
        <w:t>SRB</w:t>
      </w:r>
      <w:r w:rsidRPr="00DC11CB">
        <w:t xml:space="preserve"> note on Mt. 4:17, p. 998.</w:t>
      </w:r>
    </w:p>
  </w:endnote>
  <w:endnote w:id="1580">
    <w:p w:rsidR="00975183" w:rsidRPr="00DC11CB" w:rsidRDefault="00975183" w:rsidP="00442D33">
      <w:pPr>
        <w:pStyle w:val="EndnoteText"/>
      </w:pPr>
      <w:r w:rsidRPr="00DC11CB">
        <w:rPr>
          <w:rStyle w:val="FootnoteReference"/>
        </w:rPr>
        <w:endnoteRef/>
      </w:r>
      <w:r w:rsidRPr="00DC11CB">
        <w:t xml:space="preserve"> Scofield, </w:t>
      </w:r>
      <w:r w:rsidRPr="00DC11CB">
        <w:rPr>
          <w:i/>
        </w:rPr>
        <w:t>Things Old and New: Old and New Testament Studies</w:t>
      </w:r>
      <w:r w:rsidRPr="00DC11CB">
        <w:t xml:space="preserve"> (ed. Arno C. Gaebelein, New York: Publication Office “Our Hope”, 1920), p. 299.</w:t>
      </w:r>
    </w:p>
  </w:endnote>
  <w:endnote w:id="1581">
    <w:p w:rsidR="00975183" w:rsidRDefault="00975183" w:rsidP="00442D33">
      <w:pPr>
        <w:pStyle w:val="FootnoteText"/>
        <w:rPr>
          <w:rFonts w:ascii="Perpetua" w:hAnsi="Perpetua"/>
        </w:rPr>
      </w:pPr>
      <w:r w:rsidRPr="00DC11CB">
        <w:rPr>
          <w:rStyle w:val="FootnoteReference"/>
          <w:rFonts w:ascii="Perpetua" w:hAnsi="Perpetua"/>
        </w:rPr>
        <w:endnoteRef/>
      </w:r>
      <w:r w:rsidRPr="00DC11CB">
        <w:rPr>
          <w:rFonts w:ascii="Perpetua" w:hAnsi="Perpetua"/>
        </w:rPr>
        <w:t xml:space="preserve"> Harris Franklin Rall, ‘Premillennialism. III. Where Premillennialism Leads’, University of Chicago Press Journals, </w:t>
      </w:r>
      <w:r w:rsidRPr="00DC11CB">
        <w:rPr>
          <w:rFonts w:ascii="Perpetua" w:hAnsi="Perpetua"/>
          <w:i/>
        </w:rPr>
        <w:t>The Biblical World</w:t>
      </w:r>
      <w:r w:rsidRPr="00DC11CB">
        <w:rPr>
          <w:rFonts w:ascii="Perpetua" w:hAnsi="Perpetua"/>
        </w:rPr>
        <w:t xml:space="preserve">, Vol. 53, No. 6 (Nov. 1919) &lt;http://www.jstor.org/stable/3135904&gt; </w:t>
      </w:r>
    </w:p>
    <w:p w:rsidR="00975183" w:rsidRPr="00DC11CB" w:rsidRDefault="00975183" w:rsidP="00442D33">
      <w:pPr>
        <w:pStyle w:val="FootnoteText"/>
        <w:rPr>
          <w:rFonts w:ascii="Perpetua" w:hAnsi="Perpetua"/>
        </w:rPr>
      </w:pPr>
      <w:r w:rsidRPr="00DC11CB">
        <w:rPr>
          <w:rFonts w:ascii="Perpetua" w:hAnsi="Perpetua"/>
        </w:rPr>
        <w:t>[</w:t>
      </w:r>
      <w:proofErr w:type="gramStart"/>
      <w:r w:rsidRPr="00DC11CB">
        <w:rPr>
          <w:rFonts w:ascii="Perpetua" w:hAnsi="Perpetua"/>
        </w:rPr>
        <w:t>accessed</w:t>
      </w:r>
      <w:proofErr w:type="gramEnd"/>
      <w:r w:rsidRPr="00DC11CB">
        <w:rPr>
          <w:rFonts w:ascii="Perpetua" w:hAnsi="Perpetua"/>
        </w:rPr>
        <w:t xml:space="preserve"> 16.12.16], p. 623.</w:t>
      </w:r>
    </w:p>
  </w:endnote>
  <w:endnote w:id="1582">
    <w:p w:rsidR="00975183" w:rsidRPr="00DC11CB" w:rsidRDefault="00975183" w:rsidP="00442D33">
      <w:pPr>
        <w:pStyle w:val="EndnoteText"/>
      </w:pPr>
      <w:r w:rsidRPr="00DC11CB">
        <w:rPr>
          <w:rStyle w:val="EndnoteReference"/>
        </w:rPr>
        <w:endnoteRef/>
      </w:r>
      <w:r w:rsidRPr="00DC11CB">
        <w:t xml:space="preserve"> Refs </w:t>
      </w:r>
      <w:r w:rsidRPr="00DC11CB">
        <w:rPr>
          <w:lang w:val="en-US"/>
        </w:rPr>
        <w:t>1 Cor. 15:22, 23, 51, 52.</w:t>
      </w:r>
    </w:p>
  </w:endnote>
  <w:endnote w:id="1583">
    <w:p w:rsidR="00975183" w:rsidRPr="00DC11CB" w:rsidRDefault="00975183" w:rsidP="00442D33">
      <w:pPr>
        <w:pStyle w:val="EndnoteText"/>
      </w:pPr>
      <w:r w:rsidRPr="00DC11CB">
        <w:rPr>
          <w:rStyle w:val="EndnoteReference"/>
        </w:rPr>
        <w:endnoteRef/>
      </w:r>
      <w:r w:rsidRPr="00DC11CB">
        <w:t xml:space="preserve"> Refs </w:t>
      </w:r>
      <w:r w:rsidRPr="00DC11CB">
        <w:rPr>
          <w:lang w:val="en-US"/>
        </w:rPr>
        <w:t>Rev. 19:7, 8, 14; Jude 1:14.</w:t>
      </w:r>
    </w:p>
  </w:endnote>
  <w:endnote w:id="1584">
    <w:p w:rsidR="00975183" w:rsidRPr="00DC11CB" w:rsidRDefault="00975183" w:rsidP="00442D33">
      <w:pPr>
        <w:pStyle w:val="EndnoteText"/>
      </w:pPr>
      <w:r w:rsidRPr="00DC11CB">
        <w:rPr>
          <w:rStyle w:val="EndnoteReference"/>
        </w:rPr>
        <w:endnoteRef/>
      </w:r>
      <w:r w:rsidRPr="00DC11CB">
        <w:t xml:space="preserve"> Ref. </w:t>
      </w:r>
      <w:r w:rsidRPr="00DC11CB">
        <w:rPr>
          <w:lang w:val="en-US"/>
        </w:rPr>
        <w:t>Lk. 1:32.</w:t>
      </w:r>
    </w:p>
  </w:endnote>
  <w:endnote w:id="1585">
    <w:p w:rsidR="00975183" w:rsidRPr="00DC11CB" w:rsidRDefault="00975183" w:rsidP="00442D33">
      <w:pPr>
        <w:pStyle w:val="EndnoteText"/>
      </w:pPr>
      <w:r w:rsidRPr="00DC11CB">
        <w:rPr>
          <w:rStyle w:val="EndnoteReference"/>
        </w:rPr>
        <w:endnoteRef/>
      </w:r>
      <w:r w:rsidRPr="00DC11CB">
        <w:t xml:space="preserve"> Ref. </w:t>
      </w:r>
      <w:r w:rsidRPr="00DC11CB">
        <w:rPr>
          <w:lang w:val="en-US"/>
        </w:rPr>
        <w:t>Mt. 25:3.</w:t>
      </w:r>
    </w:p>
  </w:endnote>
  <w:endnote w:id="1586">
    <w:p w:rsidR="00975183" w:rsidRPr="00DC11CB" w:rsidRDefault="00975183" w:rsidP="00442D33">
      <w:pPr>
        <w:pStyle w:val="EndnoteText"/>
      </w:pPr>
      <w:r w:rsidRPr="00DC11CB">
        <w:rPr>
          <w:rStyle w:val="FootnoteReference"/>
        </w:rPr>
        <w:endnoteRef/>
      </w:r>
      <w:r w:rsidRPr="00DC11CB">
        <w:t xml:space="preserve"> Chafer, </w:t>
      </w:r>
      <w:r w:rsidRPr="00DC11CB">
        <w:rPr>
          <w:i/>
          <w:lang w:val="en-US"/>
        </w:rPr>
        <w:t>Major Bible Themes</w:t>
      </w:r>
      <w:r w:rsidRPr="00DC11CB">
        <w:rPr>
          <w:lang w:val="en-US"/>
        </w:rPr>
        <w:t>, pp. 56-60.</w:t>
      </w:r>
    </w:p>
  </w:endnote>
  <w:endnote w:id="1587">
    <w:p w:rsidR="00975183" w:rsidRPr="00DC11CB" w:rsidRDefault="00975183" w:rsidP="00442D33">
      <w:pPr>
        <w:pStyle w:val="EndnoteText"/>
      </w:pPr>
      <w:r w:rsidRPr="00DC11CB">
        <w:rPr>
          <w:rStyle w:val="FootnoteReference"/>
        </w:rPr>
        <w:endnoteRef/>
      </w:r>
      <w:r w:rsidRPr="00DC11CB">
        <w:t xml:space="preserve"> Ryrie, </w:t>
      </w:r>
      <w:r w:rsidRPr="00DC11CB">
        <w:rPr>
          <w:i/>
        </w:rPr>
        <w:t>Dispensationalism Today</w:t>
      </w:r>
      <w:r w:rsidRPr="00DC11CB">
        <w:t>, pp. 159-60.</w:t>
      </w:r>
    </w:p>
  </w:endnote>
  <w:endnote w:id="1588">
    <w:p w:rsidR="00975183" w:rsidRPr="00DC11CB" w:rsidRDefault="00975183" w:rsidP="00442D33">
      <w:pPr>
        <w:pStyle w:val="EndnoteText"/>
      </w:pPr>
      <w:r w:rsidRPr="00DC11CB">
        <w:rPr>
          <w:rStyle w:val="FootnoteReference"/>
        </w:rPr>
        <w:endnoteRef/>
      </w:r>
      <w:r w:rsidRPr="00DC11CB">
        <w:t xml:space="preserve">  Walvoord, </w:t>
      </w:r>
      <w:r w:rsidRPr="00DC11CB">
        <w:rPr>
          <w:i/>
        </w:rPr>
        <w:t xml:space="preserve">Millennial Kingdom, </w:t>
      </w:r>
      <w:r w:rsidRPr="00DC11CB">
        <w:t>pp. 241-2.</w:t>
      </w:r>
    </w:p>
  </w:endnote>
  <w:endnote w:id="1589">
    <w:p w:rsidR="00975183" w:rsidRPr="00DC11CB" w:rsidRDefault="00975183" w:rsidP="00442D33">
      <w:pPr>
        <w:pStyle w:val="EndnoteText"/>
      </w:pPr>
      <w:r w:rsidRPr="00DC11CB">
        <w:rPr>
          <w:rStyle w:val="FootnoteReference"/>
        </w:rPr>
        <w:endnoteRef/>
      </w:r>
      <w:r w:rsidRPr="00DC11CB">
        <w:t xml:space="preserve"> C. H.Mackintosh, “The Coming” and “The Day”, </w:t>
      </w:r>
      <w:r w:rsidRPr="00DC11CB">
        <w:rPr>
          <w:i/>
        </w:rPr>
        <w:t>Papers on the Lord’s Coming</w:t>
      </w:r>
      <w:r w:rsidRPr="00DC11CB">
        <w:t>, Stem Publishing &lt;http://www.stempublishing.com/authors/mackintosh/Bk3/LORDSCMN.html&gt; [accessed 23.2.17].</w:t>
      </w:r>
    </w:p>
  </w:endnote>
  <w:endnote w:id="1590">
    <w:p w:rsidR="00975183" w:rsidRPr="00DC11CB" w:rsidRDefault="00975183" w:rsidP="00442D33">
      <w:pPr>
        <w:pStyle w:val="EndnoteText"/>
      </w:pPr>
      <w:r w:rsidRPr="00DC11CB">
        <w:rPr>
          <w:rStyle w:val="FootnoteReference"/>
        </w:rPr>
        <w:endnoteRef/>
      </w:r>
      <w:r w:rsidRPr="00DC11CB">
        <w:t xml:space="preserve"> Blaising, ‘Extent and Varieties’, </w:t>
      </w:r>
      <w:r w:rsidRPr="00DC11CB">
        <w:rPr>
          <w:i/>
        </w:rPr>
        <w:t>Progressive Dispensationalism</w:t>
      </w:r>
      <w:r w:rsidRPr="00DC11CB">
        <w:t>, p. 19.</w:t>
      </w:r>
    </w:p>
  </w:endnote>
  <w:endnote w:id="1591">
    <w:p w:rsidR="00975183" w:rsidRPr="00DC11CB" w:rsidRDefault="00975183" w:rsidP="00442D33">
      <w:pPr>
        <w:pStyle w:val="EndnoteText"/>
      </w:pPr>
      <w:r w:rsidRPr="00DC11CB">
        <w:rPr>
          <w:rStyle w:val="FootnoteReference"/>
        </w:rPr>
        <w:endnoteRef/>
      </w:r>
      <w:r w:rsidRPr="00DC11CB">
        <w:t xml:space="preserve"> Blaising, ‘Extent and Varieties’, </w:t>
      </w:r>
      <w:r w:rsidRPr="00DC11CB">
        <w:rPr>
          <w:i/>
        </w:rPr>
        <w:t>Progressive Dispensationalism</w:t>
      </w:r>
      <w:r w:rsidRPr="00DC11CB">
        <w:t xml:space="preserve">, pp. 292-3.  </w:t>
      </w:r>
      <w:proofErr w:type="gramStart"/>
      <w:r w:rsidRPr="00DC11CB">
        <w:t>(</w:t>
      </w:r>
      <w:r w:rsidRPr="00DC11CB">
        <w:rPr>
          <w:i/>
        </w:rPr>
        <w:t>Blaising’s emphasis</w:t>
      </w:r>
      <w:r w:rsidRPr="00DC11CB">
        <w:t>.)</w:t>
      </w:r>
      <w:proofErr w:type="gramEnd"/>
    </w:p>
  </w:endnote>
  <w:endnote w:id="1592">
    <w:p w:rsidR="00975183" w:rsidRPr="00DC11CB" w:rsidRDefault="00975183" w:rsidP="00442D33">
      <w:pPr>
        <w:pStyle w:val="EndnoteText"/>
      </w:pPr>
      <w:r w:rsidRPr="00DC11CB">
        <w:rPr>
          <w:rStyle w:val="EndnoteReference"/>
        </w:rPr>
        <w:endnoteRef/>
      </w:r>
      <w:r w:rsidRPr="00DC11CB">
        <w:t xml:space="preserve"> </w:t>
      </w:r>
      <w:proofErr w:type="gramStart"/>
      <w:r w:rsidRPr="00DC11CB">
        <w:t>Ref. 1Thess.</w:t>
      </w:r>
      <w:proofErr w:type="gramEnd"/>
      <w:r w:rsidRPr="00DC11CB">
        <w:t xml:space="preserve"> 4:13-18.</w:t>
      </w:r>
    </w:p>
  </w:endnote>
  <w:endnote w:id="1593">
    <w:p w:rsidR="00975183" w:rsidRPr="00DC11CB" w:rsidRDefault="00975183" w:rsidP="00442D33">
      <w:pPr>
        <w:pStyle w:val="EndnoteText"/>
      </w:pPr>
      <w:r w:rsidRPr="00DC11CB">
        <w:rPr>
          <w:rStyle w:val="FootnoteReference"/>
        </w:rPr>
        <w:endnoteRef/>
      </w:r>
      <w:r w:rsidRPr="00DC11CB">
        <w:t xml:space="preserve"> Blaising, ‘Theological and Ministerial Issues’, </w:t>
      </w:r>
      <w:r w:rsidRPr="00DC11CB">
        <w:rPr>
          <w:i/>
        </w:rPr>
        <w:t>Progressive Dispensationalism</w:t>
      </w:r>
      <w:r w:rsidRPr="00DC11CB">
        <w:t>, pp. 292-3.</w:t>
      </w:r>
    </w:p>
  </w:endnote>
  <w:endnote w:id="1594">
    <w:p w:rsidR="00975183" w:rsidRPr="00DC11CB" w:rsidRDefault="00975183" w:rsidP="00442D33">
      <w:pPr>
        <w:pStyle w:val="EndnoteText"/>
      </w:pPr>
      <w:r w:rsidRPr="00DC11CB">
        <w:rPr>
          <w:rStyle w:val="FootnoteReference"/>
        </w:rPr>
        <w:endnoteRef/>
      </w:r>
      <w:r w:rsidRPr="00DC11CB">
        <w:t xml:space="preserve"> </w:t>
      </w:r>
      <w:proofErr w:type="gramStart"/>
      <w:r w:rsidRPr="00DC11CB">
        <w:t xml:space="preserve">Blaising, ‘Theological and Ministerial Issues’, </w:t>
      </w:r>
      <w:r w:rsidRPr="00DC11CB">
        <w:rPr>
          <w:i/>
        </w:rPr>
        <w:t>Progressive Dispensationalism</w:t>
      </w:r>
      <w:r w:rsidRPr="00DC11CB">
        <w:t>, footnote 15, p. 317.</w:t>
      </w:r>
      <w:proofErr w:type="gramEnd"/>
    </w:p>
  </w:endnote>
  <w:endnote w:id="1595">
    <w:p w:rsidR="00975183" w:rsidRPr="00DC11CB" w:rsidRDefault="00975183" w:rsidP="00442D33">
      <w:pPr>
        <w:pStyle w:val="EndnoteText"/>
      </w:pPr>
      <w:r w:rsidRPr="00DC11CB">
        <w:rPr>
          <w:rStyle w:val="FootnoteReference"/>
        </w:rPr>
        <w:endnoteRef/>
      </w:r>
      <w:r w:rsidRPr="00DC11CB">
        <w:t xml:space="preserve"> Sweetnam, ‘Defining Dispensationalism’, p. 209.</w:t>
      </w:r>
    </w:p>
  </w:endnote>
  <w:endnote w:id="1596">
    <w:p w:rsidR="00975183" w:rsidRPr="00DC11CB" w:rsidRDefault="00975183" w:rsidP="00442D33">
      <w:pPr>
        <w:pStyle w:val="EndnoteText"/>
      </w:pPr>
      <w:r w:rsidRPr="00DC11CB">
        <w:rPr>
          <w:rStyle w:val="FootnoteReference"/>
        </w:rPr>
        <w:endnoteRef/>
      </w:r>
      <w:r w:rsidRPr="00DC11CB">
        <w:t xml:space="preserve"> Saucy, </w:t>
      </w:r>
      <w:r w:rsidRPr="00DC11CB">
        <w:rPr>
          <w:i/>
        </w:rPr>
        <w:t>Case for Progressive Dispensationalism</w:t>
      </w:r>
      <w:r w:rsidRPr="00DC11CB">
        <w:t>, pp. 8-9.</w:t>
      </w:r>
    </w:p>
  </w:endnote>
  <w:endnote w:id="1597">
    <w:p w:rsidR="00975183" w:rsidRPr="00DC11CB" w:rsidRDefault="00975183" w:rsidP="00442D33">
      <w:pPr>
        <w:pStyle w:val="EndnoteText"/>
      </w:pPr>
      <w:r w:rsidRPr="00DC11CB">
        <w:rPr>
          <w:rStyle w:val="FootnoteReference"/>
        </w:rPr>
        <w:endnoteRef/>
      </w:r>
      <w:r w:rsidRPr="00DC11CB">
        <w:t xml:space="preserve"> Sweetnam, ‘Defining Dispensationalism’, p. 210.</w:t>
      </w:r>
    </w:p>
  </w:endnote>
  <w:endnote w:id="1598">
    <w:p w:rsidR="00975183" w:rsidRPr="00DC11CB" w:rsidRDefault="00975183" w:rsidP="00442D33">
      <w:pPr>
        <w:pStyle w:val="EndnoteText"/>
      </w:pPr>
      <w:r w:rsidRPr="00DC11CB">
        <w:rPr>
          <w:rStyle w:val="FootnoteReference"/>
        </w:rPr>
        <w:endnoteRef/>
      </w:r>
      <w:r w:rsidRPr="00DC11CB">
        <w:t xml:space="preserve"> Lindsey, </w:t>
      </w:r>
      <w:r w:rsidRPr="00DC11CB">
        <w:rPr>
          <w:i/>
        </w:rPr>
        <w:t>Late Great Planet Earth</w:t>
      </w:r>
      <w:r w:rsidRPr="00DC11CB">
        <w:t>, p. 126.</w:t>
      </w:r>
    </w:p>
  </w:endnote>
  <w:endnote w:id="1599">
    <w:p w:rsidR="00975183" w:rsidRPr="00DC11CB" w:rsidRDefault="00975183" w:rsidP="00442D33">
      <w:pPr>
        <w:pStyle w:val="EndnoteText"/>
      </w:pPr>
      <w:r w:rsidRPr="00DC11CB">
        <w:rPr>
          <w:rStyle w:val="FootnoteReference"/>
        </w:rPr>
        <w:endnoteRef/>
      </w:r>
      <w:r w:rsidRPr="00DC11CB">
        <w:t xml:space="preserve"> Hagee, </w:t>
      </w:r>
      <w:r w:rsidRPr="00DC11CB">
        <w:rPr>
          <w:i/>
        </w:rPr>
        <w:t>Jerusalem Countdown</w:t>
      </w:r>
      <w:r w:rsidRPr="00DC11CB">
        <w:t>, p. 152.</w:t>
      </w:r>
    </w:p>
  </w:endnote>
  <w:endnote w:id="1600">
    <w:p w:rsidR="00975183" w:rsidRPr="00DC11CB" w:rsidRDefault="00975183" w:rsidP="00442D33">
      <w:pPr>
        <w:pStyle w:val="FootnoteText"/>
        <w:rPr>
          <w:rFonts w:ascii="Perpetua" w:hAnsi="Perpetua"/>
        </w:rPr>
      </w:pPr>
      <w:r w:rsidRPr="00DC11CB">
        <w:rPr>
          <w:rStyle w:val="EndnoteReference"/>
          <w:rFonts w:ascii="Perpetua" w:hAnsi="Perpetua"/>
        </w:rPr>
        <w:endnoteRef/>
      </w:r>
      <w:r w:rsidRPr="00DC11CB">
        <w:rPr>
          <w:rFonts w:ascii="Perpetua" w:hAnsi="Perpetua"/>
        </w:rPr>
        <w:t xml:space="preserve"> Arnold G. Fruchtenbaum, </w:t>
      </w:r>
      <w:r w:rsidRPr="00DC11CB">
        <w:rPr>
          <w:rFonts w:ascii="Perpetua" w:hAnsi="Perpetua"/>
          <w:i/>
        </w:rPr>
        <w:t>The Footsteps of the Messiah: A Study of the Sequence of Prophetic Events</w:t>
      </w:r>
      <w:r w:rsidRPr="00DC11CB">
        <w:rPr>
          <w:rFonts w:ascii="Perpetua" w:hAnsi="Perpetua"/>
        </w:rPr>
        <w:t xml:space="preserve"> (Tustin: Ariel Press, 1982, 3</w:t>
      </w:r>
      <w:r w:rsidRPr="00DC11CB">
        <w:rPr>
          <w:rFonts w:ascii="Perpetua" w:hAnsi="Perpetua"/>
          <w:vertAlign w:val="superscript"/>
        </w:rPr>
        <w:t>rd</w:t>
      </w:r>
      <w:r w:rsidRPr="00DC11CB">
        <w:rPr>
          <w:rFonts w:ascii="Perpetua" w:hAnsi="Perpetua"/>
        </w:rPr>
        <w:t xml:space="preserve"> printing 1990), p. 82.</w:t>
      </w:r>
    </w:p>
  </w:endnote>
  <w:endnote w:id="1601">
    <w:p w:rsidR="00975183" w:rsidRPr="00DC11CB" w:rsidRDefault="00975183" w:rsidP="00442D33">
      <w:pPr>
        <w:pStyle w:val="EndnoteText"/>
      </w:pPr>
      <w:r w:rsidRPr="00DC11CB">
        <w:rPr>
          <w:rStyle w:val="EndnoteReference"/>
        </w:rPr>
        <w:endnoteRef/>
      </w:r>
      <w:r w:rsidRPr="00DC11CB">
        <w:t xml:space="preserve"> Edward Hindson, </w:t>
      </w:r>
      <w:r w:rsidRPr="00DC11CB">
        <w:rPr>
          <w:i/>
        </w:rPr>
        <w:t>The Book of Revelation: Unlocking the Future</w:t>
      </w:r>
      <w:r w:rsidRPr="00DC11CB">
        <w:t xml:space="preserve"> (Twenty-First Century Biblical Commentary Series, Mal Couch and Ed Hindson, [gen. </w:t>
      </w:r>
      <w:proofErr w:type="gramStart"/>
      <w:r w:rsidRPr="00DC11CB">
        <w:t>eds</w:t>
      </w:r>
      <w:proofErr w:type="gramEnd"/>
      <w:r w:rsidRPr="00DC11CB">
        <w:t xml:space="preserve">]; Chattanooga, Tennessee: AMG Publishers, 2002), p. 12.  </w:t>
      </w:r>
    </w:p>
  </w:endnote>
  <w:endnote w:id="1602">
    <w:p w:rsidR="00975183" w:rsidRPr="00DC11CB" w:rsidRDefault="00975183" w:rsidP="00442D33">
      <w:pPr>
        <w:pStyle w:val="EndnoteText"/>
      </w:pPr>
      <w:r w:rsidRPr="00DC11CB">
        <w:rPr>
          <w:rStyle w:val="EndnoteReference"/>
        </w:rPr>
        <w:endnoteRef/>
      </w:r>
      <w:r w:rsidRPr="00DC11CB">
        <w:t xml:space="preserve"> Tim LaHaye and Jerry B. </w:t>
      </w:r>
      <w:proofErr w:type="gramStart"/>
      <w:r w:rsidRPr="00DC11CB">
        <w:t>Jenkins,</w:t>
      </w:r>
      <w:proofErr w:type="gramEnd"/>
      <w:r w:rsidRPr="00DC11CB">
        <w:t xml:space="preserve"> </w:t>
      </w:r>
      <w:r w:rsidRPr="00DC11CB">
        <w:rPr>
          <w:i/>
        </w:rPr>
        <w:t>Left Behind</w:t>
      </w:r>
      <w:r w:rsidRPr="00DC11CB">
        <w:t xml:space="preserve"> (Wheaton, Illinois: Tyndale House, 1999).</w:t>
      </w:r>
    </w:p>
  </w:endnote>
  <w:endnote w:id="1603">
    <w:p w:rsidR="00975183" w:rsidRPr="00DC11CB" w:rsidRDefault="00975183" w:rsidP="00442D33">
      <w:pPr>
        <w:pStyle w:val="EndnoteText"/>
      </w:pPr>
      <w:r w:rsidRPr="00DC11CB">
        <w:rPr>
          <w:rStyle w:val="EndnoteReference"/>
        </w:rPr>
        <w:endnoteRef/>
      </w:r>
      <w:r w:rsidRPr="00DC11CB">
        <w:t xml:space="preserve"> Weber, </w:t>
      </w:r>
      <w:r w:rsidRPr="00DC11CB">
        <w:rPr>
          <w:i/>
        </w:rPr>
        <w:t>Armageddon</w:t>
      </w:r>
      <w:r w:rsidRPr="00DC11CB">
        <w:t xml:space="preserve">, p. 15.  </w:t>
      </w:r>
    </w:p>
  </w:endnote>
  <w:endnote w:id="1604">
    <w:p w:rsidR="00975183" w:rsidRPr="00DC11CB" w:rsidRDefault="00975183" w:rsidP="00442D33">
      <w:pPr>
        <w:pStyle w:val="EndnoteText"/>
      </w:pPr>
      <w:r w:rsidRPr="00DC11CB">
        <w:rPr>
          <w:rStyle w:val="EndnoteReference"/>
        </w:rPr>
        <w:endnoteRef/>
      </w:r>
      <w:r w:rsidRPr="00DC11CB">
        <w:t xml:space="preserve"> Dan Cohn-Sherbok, </w:t>
      </w:r>
      <w:proofErr w:type="gramStart"/>
      <w:r w:rsidRPr="00DC11CB">
        <w:rPr>
          <w:i/>
        </w:rPr>
        <w:t>The</w:t>
      </w:r>
      <w:proofErr w:type="gramEnd"/>
      <w:r w:rsidRPr="00DC11CB">
        <w:rPr>
          <w:i/>
        </w:rPr>
        <w:t xml:space="preserve"> Politics of Apocalypse: The History and Influence of Christian Zionism</w:t>
      </w:r>
      <w:r w:rsidRPr="00DC11CB">
        <w:t xml:space="preserve"> (Oxford: Oneworld Publications, Ltd., 2006), pp. 154-7.</w:t>
      </w:r>
    </w:p>
  </w:endnote>
  <w:endnote w:id="1605">
    <w:p w:rsidR="00975183" w:rsidRPr="00DC11CB" w:rsidRDefault="00975183" w:rsidP="00442D33">
      <w:pPr>
        <w:pStyle w:val="EndnoteText"/>
      </w:pPr>
      <w:r w:rsidRPr="00DC11CB">
        <w:rPr>
          <w:rStyle w:val="EndnoteReference"/>
        </w:rPr>
        <w:endnoteRef/>
      </w:r>
      <w:r w:rsidRPr="00DC11CB">
        <w:t xml:space="preserve"> Note on Acts 2:1, </w:t>
      </w:r>
      <w:r w:rsidRPr="00DC11CB">
        <w:rPr>
          <w:i/>
        </w:rPr>
        <w:t>NSRE 1967</w:t>
      </w:r>
      <w:r w:rsidRPr="00DC11CB">
        <w:rPr>
          <w:lang w:eastAsia="en-GB"/>
        </w:rPr>
        <w:t xml:space="preserve">, p. 1162;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1429.  </w:t>
      </w:r>
      <w:r w:rsidRPr="001F0A1F">
        <w:rPr>
          <w:b/>
          <w:lang w:eastAsia="en-GB"/>
        </w:rPr>
        <w:t>See 6.1.1 and endnote 84 below</w:t>
      </w:r>
      <w:r w:rsidRPr="00DC11CB">
        <w:rPr>
          <w:lang w:eastAsia="en-GB"/>
        </w:rPr>
        <w:t>.</w:t>
      </w:r>
    </w:p>
  </w:endnote>
  <w:endnote w:id="1606">
    <w:p w:rsidR="00975183" w:rsidRPr="00DC11CB" w:rsidRDefault="00975183" w:rsidP="00442D33">
      <w:pPr>
        <w:pStyle w:val="EndnoteText"/>
      </w:pPr>
      <w:r w:rsidRPr="00DC11CB">
        <w:rPr>
          <w:rStyle w:val="EndnoteReference"/>
        </w:rPr>
        <w:endnoteRef/>
      </w:r>
      <w:r w:rsidRPr="00DC11CB">
        <w:t xml:space="preserve"> Pre-TribResearchCenter &lt;http://www.pre-trib.org&gt; [accessed 26.5.10].</w:t>
      </w:r>
    </w:p>
  </w:endnote>
  <w:endnote w:id="1607">
    <w:p w:rsidR="00975183" w:rsidRPr="00DC11CB" w:rsidRDefault="00975183" w:rsidP="00442D33">
      <w:pPr>
        <w:pStyle w:val="EndnoteText"/>
      </w:pPr>
      <w:r w:rsidRPr="00DC11CB">
        <w:rPr>
          <w:rStyle w:val="EndnoteReference"/>
        </w:rPr>
        <w:endnoteRef/>
      </w:r>
      <w:r w:rsidRPr="00DC11CB">
        <w:t xml:space="preserve"> Mathison, </w:t>
      </w:r>
      <w:r w:rsidRPr="00DC11CB">
        <w:rPr>
          <w:i/>
        </w:rPr>
        <w:t>Postmillennialism</w:t>
      </w:r>
      <w:r w:rsidRPr="00DC11CB">
        <w:t>.</w:t>
      </w:r>
    </w:p>
  </w:endnote>
  <w:endnote w:id="1608">
    <w:p w:rsidR="00975183" w:rsidRPr="00DC11CB" w:rsidRDefault="00975183" w:rsidP="00442D33">
      <w:pPr>
        <w:pStyle w:val="FootnoteText"/>
        <w:rPr>
          <w:rFonts w:ascii="Perpetua" w:hAnsi="Perpetua"/>
        </w:rPr>
      </w:pPr>
      <w:r w:rsidRPr="00DC11CB">
        <w:rPr>
          <w:rStyle w:val="EndnoteReference"/>
          <w:rFonts w:ascii="Perpetua" w:hAnsi="Perpetua"/>
        </w:rPr>
        <w:endnoteRef/>
      </w:r>
      <w:r>
        <w:rPr>
          <w:rFonts w:ascii="Perpetua" w:hAnsi="Perpetua"/>
        </w:rPr>
        <w:t xml:space="preserve"> David B. Currie, </w:t>
      </w:r>
      <w:r w:rsidRPr="00DC11CB">
        <w:rPr>
          <w:rFonts w:ascii="Perpetua" w:hAnsi="Perpetua"/>
          <w:i/>
        </w:rPr>
        <w:t>Rapture: The End-Times Error That Leaves the Bible Behind</w:t>
      </w:r>
      <w:r w:rsidRPr="00DC11CB">
        <w:rPr>
          <w:rFonts w:ascii="Perpetua" w:hAnsi="Perpetua"/>
        </w:rPr>
        <w:t xml:space="preserve"> (Manchester, New Hampshire: Sophia Institute Press, 2003).</w:t>
      </w:r>
    </w:p>
  </w:endnote>
  <w:endnote w:id="1609">
    <w:p w:rsidR="00975183" w:rsidRPr="00DC11CB" w:rsidRDefault="00975183" w:rsidP="00442D33">
      <w:pPr>
        <w:pStyle w:val="EndnoteText"/>
      </w:pPr>
      <w:r w:rsidRPr="00DC11CB">
        <w:rPr>
          <w:rStyle w:val="EndnoteReference"/>
        </w:rPr>
        <w:endnoteRef/>
      </w:r>
      <w:r w:rsidRPr="00DC11CB">
        <w:t xml:space="preserve"> William E.Cox, </w:t>
      </w:r>
      <w:r w:rsidRPr="00DC11CB">
        <w:rPr>
          <w:i/>
        </w:rPr>
        <w:t>Amillennialism Today</w:t>
      </w:r>
      <w:r w:rsidRPr="00DC11CB">
        <w:t xml:space="preserve"> (Phillipsburg, New Jersey: Presbyterian and Reformed Publishing Co., 1966).</w:t>
      </w:r>
    </w:p>
  </w:endnote>
  <w:endnote w:id="1610">
    <w:p w:rsidR="00975183" w:rsidRPr="00DC11CB" w:rsidRDefault="00975183" w:rsidP="00442D33">
      <w:pPr>
        <w:pStyle w:val="EndnoteText"/>
      </w:pPr>
      <w:r w:rsidRPr="00DC11CB">
        <w:rPr>
          <w:rStyle w:val="EndnoteReference"/>
        </w:rPr>
        <w:endnoteRef/>
      </w:r>
      <w:r w:rsidRPr="00DC11CB">
        <w:t xml:space="preserve"> </w:t>
      </w:r>
      <w:proofErr w:type="gramStart"/>
      <w:r w:rsidRPr="00DC11CB">
        <w:t xml:space="preserve">Ladd, </w:t>
      </w:r>
      <w:r w:rsidRPr="00DC11CB">
        <w:rPr>
          <w:i/>
        </w:rPr>
        <w:t>Blessed Hope</w:t>
      </w:r>
      <w:r w:rsidRPr="00DC11CB">
        <w:t>.</w:t>
      </w:r>
      <w:proofErr w:type="gramEnd"/>
    </w:p>
  </w:endnote>
  <w:endnote w:id="1611">
    <w:p w:rsidR="00975183" w:rsidRPr="00DC11CB" w:rsidRDefault="00975183" w:rsidP="00442D33">
      <w:pPr>
        <w:pStyle w:val="EndnoteText"/>
      </w:pPr>
      <w:r w:rsidRPr="00DC11CB">
        <w:rPr>
          <w:rStyle w:val="EndnoteReference"/>
        </w:rPr>
        <w:endnoteRef/>
      </w:r>
      <w:r w:rsidRPr="00DC11CB">
        <w:t xml:space="preserve"> </w:t>
      </w:r>
      <w:proofErr w:type="gramStart"/>
      <w:r w:rsidRPr="00DC11CB">
        <w:t>Ref. 1 Cor. 15:52 note.</w:t>
      </w:r>
      <w:proofErr w:type="gramEnd"/>
    </w:p>
  </w:endnote>
  <w:endnote w:id="1612">
    <w:p w:rsidR="00975183" w:rsidRPr="00DC11CB" w:rsidRDefault="00975183" w:rsidP="00442D33">
      <w:pPr>
        <w:pStyle w:val="EndnoteText"/>
      </w:pPr>
      <w:r w:rsidRPr="00DC11CB">
        <w:rPr>
          <w:rStyle w:val="FootnoteReference"/>
        </w:rPr>
        <w:endnoteRef/>
      </w:r>
      <w:r w:rsidRPr="00DC11CB">
        <w:t xml:space="preserve"> </w:t>
      </w:r>
      <w:r w:rsidRPr="00DC11CB">
        <w:rPr>
          <w:i/>
        </w:rPr>
        <w:t>SRB</w:t>
      </w:r>
      <w:r w:rsidRPr="00DC11CB">
        <w:t xml:space="preserve"> note on 1 Thess. 4:17, p. 1269.</w:t>
      </w:r>
    </w:p>
  </w:endnote>
  <w:endnote w:id="1613">
    <w:p w:rsidR="00975183" w:rsidRPr="00DC11CB" w:rsidRDefault="00975183" w:rsidP="00442D33">
      <w:pPr>
        <w:pStyle w:val="EndnoteText"/>
      </w:pPr>
      <w:r w:rsidRPr="00DC11CB">
        <w:rPr>
          <w:rStyle w:val="FootnoteReference"/>
        </w:rPr>
        <w:endnoteRef/>
      </w:r>
      <w:r w:rsidRPr="00DC11CB">
        <w:t xml:space="preserve"> </w:t>
      </w:r>
      <w:r w:rsidRPr="00DC11CB">
        <w:rPr>
          <w:i/>
        </w:rPr>
        <w:t>SRB</w:t>
      </w:r>
      <w:r w:rsidRPr="00DC11CB">
        <w:t xml:space="preserve"> note on Mt. 13:30, p. 1016.  </w:t>
      </w:r>
      <w:proofErr w:type="gramStart"/>
      <w:r w:rsidRPr="00DC11CB">
        <w:t>Refs.</w:t>
      </w:r>
      <w:proofErr w:type="gramEnd"/>
      <w:r w:rsidRPr="00DC11CB">
        <w:t xml:space="preserve"> Jn 14:3; 1 Thess. 4:14-17.  </w:t>
      </w:r>
      <w:proofErr w:type="gramStart"/>
      <w:r w:rsidRPr="00DC11CB">
        <w:t>(</w:t>
      </w:r>
      <w:r w:rsidRPr="00DC11CB">
        <w:rPr>
          <w:i/>
        </w:rPr>
        <w:t>My emphasis</w:t>
      </w:r>
      <w:r w:rsidRPr="00DC11CB">
        <w:t>.)</w:t>
      </w:r>
      <w:proofErr w:type="gramEnd"/>
    </w:p>
  </w:endnote>
  <w:endnote w:id="1614">
    <w:p w:rsidR="00975183" w:rsidRPr="00DC11CB" w:rsidRDefault="00975183" w:rsidP="00442D33">
      <w:pPr>
        <w:pStyle w:val="EndnoteText"/>
      </w:pPr>
      <w:r w:rsidRPr="00DC11CB">
        <w:rPr>
          <w:rStyle w:val="EndnoteReference"/>
        </w:rPr>
        <w:endnoteRef/>
      </w:r>
      <w:r w:rsidRPr="00DC11CB">
        <w:t xml:space="preserve"> </w:t>
      </w:r>
      <w:proofErr w:type="gramStart"/>
      <w:r w:rsidRPr="00DC11CB">
        <w:t xml:space="preserve">Mt. 13:30 </w:t>
      </w:r>
      <w:r w:rsidRPr="00DC11CB">
        <w:rPr>
          <w:i/>
        </w:rPr>
        <w:t>KJV</w:t>
      </w:r>
      <w:r w:rsidRPr="00DC11CB">
        <w:t>.</w:t>
      </w:r>
      <w:proofErr w:type="gramEnd"/>
    </w:p>
  </w:endnote>
  <w:endnote w:id="1615">
    <w:p w:rsidR="00975183" w:rsidRPr="00DC11CB" w:rsidRDefault="00975183" w:rsidP="00442D33">
      <w:pPr>
        <w:pStyle w:val="EndnoteText"/>
      </w:pPr>
      <w:r w:rsidRPr="00DC11CB">
        <w:rPr>
          <w:rStyle w:val="FootnoteReference"/>
        </w:rPr>
        <w:endnoteRef/>
      </w:r>
      <w:r w:rsidRPr="00DC11CB">
        <w:t xml:space="preserve"> </w:t>
      </w:r>
      <w:r w:rsidRPr="00DC11CB">
        <w:rPr>
          <w:i/>
        </w:rPr>
        <w:t>SRB</w:t>
      </w:r>
      <w:r w:rsidRPr="00DC11CB">
        <w:t xml:space="preserve"> note on Mt. 13:30, p. 1016.  </w:t>
      </w:r>
      <w:proofErr w:type="gramStart"/>
      <w:r w:rsidRPr="00DC11CB">
        <w:t>Refs.</w:t>
      </w:r>
      <w:proofErr w:type="gramEnd"/>
      <w:r w:rsidRPr="00DC11CB">
        <w:t xml:space="preserve"> Jn 14:3; 1 Thess. 4:14-17.  </w:t>
      </w:r>
      <w:proofErr w:type="gramStart"/>
      <w:r w:rsidRPr="00DC11CB">
        <w:t>(</w:t>
      </w:r>
      <w:r w:rsidRPr="00DC11CB">
        <w:rPr>
          <w:i/>
        </w:rPr>
        <w:t>My emphasis</w:t>
      </w:r>
      <w:r w:rsidRPr="00DC11CB">
        <w:t>.)</w:t>
      </w:r>
      <w:proofErr w:type="gramEnd"/>
    </w:p>
  </w:endnote>
  <w:endnote w:id="1616">
    <w:p w:rsidR="00975183" w:rsidRPr="00DC11CB" w:rsidRDefault="00975183" w:rsidP="00442D33">
      <w:pPr>
        <w:pStyle w:val="EndnoteText"/>
      </w:pPr>
      <w:r w:rsidRPr="00DC11CB">
        <w:rPr>
          <w:rStyle w:val="EndnoteReference"/>
        </w:rPr>
        <w:endnoteRef/>
      </w:r>
      <w:r w:rsidRPr="00DC11CB">
        <w:t xml:space="preserve"> Jn 14:3, </w:t>
      </w:r>
      <w:r w:rsidRPr="00DC11CB">
        <w:rPr>
          <w:i/>
        </w:rPr>
        <w:t>KJV</w:t>
      </w:r>
      <w:r w:rsidRPr="00DC11CB">
        <w:t>.</w:t>
      </w:r>
    </w:p>
  </w:endnote>
  <w:endnote w:id="1617">
    <w:p w:rsidR="00975183" w:rsidRPr="00DC11CB" w:rsidRDefault="00975183" w:rsidP="00442D33">
      <w:pPr>
        <w:pStyle w:val="EndnoteText"/>
      </w:pPr>
      <w:r w:rsidRPr="00DC11CB">
        <w:rPr>
          <w:rStyle w:val="FootnoteReference"/>
        </w:rPr>
        <w:endnoteRef/>
      </w:r>
      <w:r w:rsidRPr="00DC11CB">
        <w:t xml:space="preserve"> </w:t>
      </w:r>
      <w:proofErr w:type="gramStart"/>
      <w:r w:rsidRPr="001A15F1">
        <w:rPr>
          <w:b/>
        </w:rPr>
        <w:t>See 6.1.3 below</w:t>
      </w:r>
      <w:r w:rsidRPr="00DC11CB">
        <w:t>.</w:t>
      </w:r>
      <w:proofErr w:type="gramEnd"/>
    </w:p>
  </w:endnote>
  <w:endnote w:id="1618">
    <w:p w:rsidR="00975183" w:rsidRPr="00DC11CB" w:rsidRDefault="00975183" w:rsidP="00442D33">
      <w:pPr>
        <w:pStyle w:val="EndnoteText"/>
      </w:pPr>
      <w:r w:rsidRPr="00DC11CB">
        <w:rPr>
          <w:rStyle w:val="EndnoteReference"/>
        </w:rPr>
        <w:endnoteRef/>
      </w:r>
      <w:r w:rsidRPr="00DC11CB">
        <w:t xml:space="preserve"> </w:t>
      </w:r>
      <w:proofErr w:type="gramStart"/>
      <w:r w:rsidRPr="00DC11CB">
        <w:t xml:space="preserve">Ice, </w:t>
      </w:r>
      <w:r w:rsidRPr="00DC11CB">
        <w:rPr>
          <w:bCs/>
          <w:lang w:eastAsia="en-GB"/>
        </w:rPr>
        <w:t>‘Dispensationalism</w:t>
      </w:r>
      <w:r>
        <w:rPr>
          <w:bCs/>
          <w:lang w:eastAsia="en-GB"/>
        </w:rPr>
        <w:t>, Date-Setting and Distortion</w:t>
      </w:r>
      <w:r w:rsidRPr="00DC11CB">
        <w:rPr>
          <w:bCs/>
          <w:lang w:eastAsia="en-GB"/>
        </w:rPr>
        <w:t>’.</w:t>
      </w:r>
      <w:proofErr w:type="gramEnd"/>
    </w:p>
  </w:endnote>
  <w:endnote w:id="1619">
    <w:p w:rsidR="00975183" w:rsidRDefault="00975183" w:rsidP="00442D33">
      <w:pPr>
        <w:pStyle w:val="EndnoteText"/>
      </w:pPr>
      <w:r w:rsidRPr="00DC11CB">
        <w:rPr>
          <w:rStyle w:val="FootnoteReference"/>
        </w:rPr>
        <w:endnoteRef/>
      </w:r>
      <w:r w:rsidRPr="00DC11CB">
        <w:t xml:space="preserve"> </w:t>
      </w:r>
      <w:proofErr w:type="gramStart"/>
      <w:r w:rsidRPr="00DC11CB">
        <w:rPr>
          <w:i/>
        </w:rPr>
        <w:t>SRB</w:t>
      </w:r>
      <w:r w:rsidRPr="00DC11CB">
        <w:t xml:space="preserve"> note on Rev. 19:19, p. 1349.</w:t>
      </w:r>
      <w:proofErr w:type="gramEnd"/>
    </w:p>
  </w:endnote>
  <w:endnote w:id="1620">
    <w:p w:rsidR="00975183" w:rsidRDefault="00975183" w:rsidP="00442D33">
      <w:pPr>
        <w:pStyle w:val="EndnoteText"/>
      </w:pPr>
      <w:r w:rsidRPr="00DC11CB">
        <w:rPr>
          <w:rStyle w:val="FootnoteReference"/>
        </w:rPr>
        <w:endnoteRef/>
      </w:r>
      <w:r w:rsidRPr="00DC11CB">
        <w:t xml:space="preserve"> For example, Hal Lindsey, </w:t>
      </w:r>
      <w:r w:rsidRPr="00DC11CB">
        <w:rPr>
          <w:i/>
        </w:rPr>
        <w:t>The Late Great Planet Earth</w:t>
      </w:r>
      <w:r w:rsidRPr="00DC11CB">
        <w:t xml:space="preserve"> (London: Lakeland, 1970), </w:t>
      </w:r>
    </w:p>
    <w:p w:rsidR="00975183" w:rsidRPr="00DC11CB" w:rsidRDefault="00975183" w:rsidP="00442D33">
      <w:pPr>
        <w:pStyle w:val="EndnoteText"/>
      </w:pPr>
      <w:proofErr w:type="gramStart"/>
      <w:r w:rsidRPr="00DC11CB">
        <w:t>and</w:t>
      </w:r>
      <w:proofErr w:type="gramEnd"/>
      <w:r w:rsidRPr="00DC11CB">
        <w:t xml:space="preserve"> Tim LaHaye and Jerry B. Jenkins, </w:t>
      </w:r>
      <w:r w:rsidRPr="00DC11CB">
        <w:rPr>
          <w:i/>
        </w:rPr>
        <w:t>Left Behind</w:t>
      </w:r>
      <w:r w:rsidRPr="00DC11CB">
        <w:t xml:space="preserve"> (Wheaton, Illinois: Tyndale House, 1999).  </w:t>
      </w:r>
    </w:p>
  </w:endnote>
  <w:endnote w:id="1621">
    <w:p w:rsidR="00975183" w:rsidRPr="00DC11CB" w:rsidRDefault="00975183" w:rsidP="00442D33">
      <w:pPr>
        <w:pStyle w:val="EndnoteText"/>
      </w:pPr>
      <w:r w:rsidRPr="00DC11CB">
        <w:rPr>
          <w:rStyle w:val="EndnoteReference"/>
        </w:rPr>
        <w:endnoteRef/>
      </w:r>
      <w:r w:rsidRPr="00DC11CB">
        <w:t xml:space="preserve"> </w:t>
      </w:r>
      <w:proofErr w:type="gramStart"/>
      <w:r w:rsidRPr="00DC11CB">
        <w:rPr>
          <w:i/>
        </w:rPr>
        <w:t>SRB</w:t>
      </w:r>
      <w:r w:rsidRPr="00DC11CB">
        <w:t xml:space="preserve"> note on Gen. 5:22, p. 12</w:t>
      </w:r>
      <w:r w:rsidRPr="00DC11CB">
        <w:rPr>
          <w:lang w:eastAsia="en-GB"/>
        </w:rPr>
        <w:t>.</w:t>
      </w:r>
      <w:proofErr w:type="gramEnd"/>
      <w:r w:rsidRPr="00DC11CB">
        <w:rPr>
          <w:lang w:eastAsia="en-GB"/>
        </w:rPr>
        <w:t xml:space="preserve">  </w:t>
      </w:r>
    </w:p>
  </w:endnote>
  <w:endnote w:id="1622">
    <w:p w:rsidR="00975183" w:rsidRPr="00DC11CB" w:rsidRDefault="00975183" w:rsidP="00442D33">
      <w:pPr>
        <w:pStyle w:val="EndnoteText"/>
      </w:pPr>
      <w:r w:rsidRPr="00DC11CB">
        <w:rPr>
          <w:rStyle w:val="EndnoteReference"/>
        </w:rPr>
        <w:endnoteRef/>
      </w:r>
      <w:r w:rsidRPr="00DC11CB">
        <w:t xml:space="preserve"> Note on Gen. 6:14, </w:t>
      </w:r>
      <w:r w:rsidRPr="00DC11CB">
        <w:rPr>
          <w:i/>
        </w:rPr>
        <w:t>SRB</w:t>
      </w:r>
      <w:r w:rsidRPr="00DC11CB">
        <w:t xml:space="preserve">, p. 13; </w:t>
      </w:r>
      <w:r w:rsidRPr="00DC11CB">
        <w:rPr>
          <w:i/>
        </w:rPr>
        <w:t>NSRE 1967</w:t>
      </w:r>
      <w:r w:rsidRPr="00DC11CB">
        <w:rPr>
          <w:lang w:eastAsia="en-GB"/>
        </w:rPr>
        <w:t xml:space="preserve">, p. 11;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14.</w:t>
      </w:r>
    </w:p>
  </w:endnote>
  <w:endnote w:id="1623">
    <w:p w:rsidR="00975183" w:rsidRPr="00DC11CB" w:rsidRDefault="00975183" w:rsidP="00442D33">
      <w:pPr>
        <w:pStyle w:val="EndnoteText"/>
      </w:pPr>
      <w:r w:rsidRPr="00DC11CB">
        <w:rPr>
          <w:rStyle w:val="EndnoteReference"/>
        </w:rPr>
        <w:endnoteRef/>
      </w:r>
      <w:r w:rsidRPr="00DC11CB">
        <w:t xml:space="preserve"> </w:t>
      </w:r>
      <w:r w:rsidRPr="00DC11CB">
        <w:rPr>
          <w:i/>
        </w:rPr>
        <w:t>SRB</w:t>
      </w:r>
      <w:r w:rsidRPr="00DC11CB">
        <w:t xml:space="preserve"> note on Mt. 17:2, p. 1023</w:t>
      </w:r>
      <w:r w:rsidRPr="00DC11CB">
        <w:rPr>
          <w:lang w:eastAsia="en-GB"/>
        </w:rPr>
        <w:t>.</w:t>
      </w:r>
    </w:p>
  </w:endnote>
  <w:endnote w:id="1624">
    <w:p w:rsidR="00975183" w:rsidRPr="00DC11CB" w:rsidRDefault="00975183" w:rsidP="00442D33">
      <w:pPr>
        <w:pStyle w:val="EndnoteText"/>
      </w:pPr>
      <w:r w:rsidRPr="00DC11CB">
        <w:rPr>
          <w:rStyle w:val="EndnoteReference"/>
        </w:rPr>
        <w:endnoteRef/>
      </w:r>
      <w:r w:rsidRPr="00DC11CB">
        <w:t xml:space="preserve"> </w:t>
      </w:r>
      <w:r w:rsidRPr="00DC11CB">
        <w:rPr>
          <w:i/>
        </w:rPr>
        <w:t>SRB</w:t>
      </w:r>
      <w:r w:rsidRPr="00DC11CB">
        <w:t xml:space="preserve"> note on Mt. 13:11, p. 1014.  The other mysteries are the mysteries of the kingdom of heaven, of Israel’s blindness during ‘this age’, of the New Testament Church as ‘one body composed of Jew and Gentile’, and as ‘the bride of Christ’, of the ‘inliving Christ’, of ‘Christ as the incarnate fullness of the Godhead’, of the ‘processes by which godlikeness is restored to man’, of iniquity, of the seven stars and of Babylon. </w:t>
      </w:r>
    </w:p>
  </w:endnote>
  <w:endnote w:id="1625">
    <w:p w:rsidR="00975183" w:rsidRPr="00DC11CB" w:rsidRDefault="00975183" w:rsidP="00442D33">
      <w:pPr>
        <w:pStyle w:val="EndnoteText"/>
      </w:pPr>
      <w:r w:rsidRPr="00DC11CB">
        <w:rPr>
          <w:rStyle w:val="EndnoteReference"/>
        </w:rPr>
        <w:endnoteRef/>
      </w:r>
      <w:r w:rsidRPr="00DC11CB">
        <w:t xml:space="preserve"> </w:t>
      </w:r>
      <w:r w:rsidRPr="00DC11CB">
        <w:rPr>
          <w:i/>
        </w:rPr>
        <w:t xml:space="preserve">SRB </w:t>
      </w:r>
      <w:r w:rsidRPr="00DC11CB">
        <w:t>note on Eph. 1:5, p. 1250.</w:t>
      </w:r>
    </w:p>
  </w:endnote>
  <w:endnote w:id="1626">
    <w:p w:rsidR="00975183" w:rsidRPr="00DC11CB" w:rsidRDefault="00975183" w:rsidP="00442D33">
      <w:pPr>
        <w:pStyle w:val="EndnoteText"/>
      </w:pPr>
      <w:r w:rsidRPr="00DC11CB">
        <w:rPr>
          <w:rStyle w:val="EndnoteReference"/>
        </w:rPr>
        <w:endnoteRef/>
      </w:r>
      <w:r w:rsidRPr="00DC11CB">
        <w:t xml:space="preserve"> Note on Gen. 5:22, </w:t>
      </w:r>
      <w:r w:rsidRPr="00DC11CB">
        <w:rPr>
          <w:i/>
        </w:rPr>
        <w:t>NSRE 1967</w:t>
      </w:r>
      <w:r w:rsidRPr="00DC11CB">
        <w:rPr>
          <w:lang w:eastAsia="en-GB"/>
        </w:rPr>
        <w:t xml:space="preserve">, p. 10;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13.  </w:t>
      </w:r>
    </w:p>
  </w:endnote>
  <w:endnote w:id="1627">
    <w:p w:rsidR="00975183" w:rsidRPr="00DC11CB" w:rsidRDefault="00975183" w:rsidP="00442D33">
      <w:pPr>
        <w:pStyle w:val="EndnoteText"/>
      </w:pPr>
      <w:r w:rsidRPr="00DC11CB">
        <w:rPr>
          <w:rStyle w:val="EndnoteReference"/>
        </w:rPr>
        <w:endnoteRef/>
      </w:r>
      <w:r w:rsidRPr="00DC11CB">
        <w:t xml:space="preserve"> Note on Mt. 17:2, </w:t>
      </w:r>
      <w:r w:rsidRPr="00DC11CB">
        <w:rPr>
          <w:i/>
        </w:rPr>
        <w:t>NSRE 1967</w:t>
      </w:r>
      <w:r w:rsidRPr="00DC11CB">
        <w:rPr>
          <w:lang w:eastAsia="en-GB"/>
        </w:rPr>
        <w:t xml:space="preserve">, p. 1022;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1267.</w:t>
      </w:r>
    </w:p>
  </w:endnote>
  <w:endnote w:id="1628">
    <w:p w:rsidR="00975183" w:rsidRPr="00DC11CB" w:rsidRDefault="00975183" w:rsidP="00442D33">
      <w:pPr>
        <w:pStyle w:val="EndnoteText"/>
      </w:pPr>
      <w:r w:rsidRPr="00DC11CB">
        <w:rPr>
          <w:rStyle w:val="EndnoteReference"/>
        </w:rPr>
        <w:endnoteRef/>
      </w:r>
      <w:r w:rsidRPr="00DC11CB">
        <w:t xml:space="preserve"> Note on Eph. 1:5, </w:t>
      </w:r>
      <w:r w:rsidRPr="00DC11CB">
        <w:rPr>
          <w:i/>
        </w:rPr>
        <w:t>NSRE 1967</w:t>
      </w:r>
      <w:r w:rsidRPr="00DC11CB">
        <w:rPr>
          <w:lang w:eastAsia="en-GB"/>
        </w:rPr>
        <w:t xml:space="preserve">, p. 1272;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1556.</w:t>
      </w:r>
    </w:p>
  </w:endnote>
  <w:endnote w:id="1629">
    <w:p w:rsidR="00975183" w:rsidRPr="00DC11CB" w:rsidRDefault="00975183" w:rsidP="00442D33">
      <w:pPr>
        <w:pStyle w:val="EndnoteText"/>
      </w:pPr>
      <w:r w:rsidRPr="00DC11CB">
        <w:rPr>
          <w:rStyle w:val="EndnoteReference"/>
        </w:rPr>
        <w:endnoteRef/>
      </w:r>
      <w:r w:rsidRPr="00DC11CB">
        <w:t xml:space="preserve"> Note on Dan. 12:2, </w:t>
      </w:r>
      <w:r w:rsidRPr="00DC11CB">
        <w:rPr>
          <w:i/>
        </w:rPr>
        <w:t>NRSE</w:t>
      </w:r>
      <w:r w:rsidRPr="00DC11CB">
        <w:t xml:space="preserve">, p. 918; </w:t>
      </w:r>
      <w:r w:rsidRPr="00DC11CB">
        <w:rPr>
          <w:i/>
        </w:rPr>
        <w:t>SSB III</w:t>
      </w:r>
      <w:r w:rsidRPr="00DC11CB">
        <w:t xml:space="preserve">, p. 1138.  The ‘resurrection’ of Old Testament believers will occur after the tribulation, and thus does not involve the Church, which will be translated before the tribulation.  </w:t>
      </w:r>
      <w:r w:rsidRPr="00DC11CB">
        <w:rPr>
          <w:b/>
          <w:i/>
        </w:rPr>
        <w:t>Cont. overleaf</w:t>
      </w:r>
    </w:p>
    <w:p w:rsidR="00975183" w:rsidRPr="00DC11CB" w:rsidRDefault="00975183" w:rsidP="00442D33">
      <w:pPr>
        <w:pStyle w:val="EndnoteText"/>
      </w:pPr>
      <w:r w:rsidRPr="00DC11CB">
        <w:t xml:space="preserve">Notes on Lk. 21:27, </w:t>
      </w:r>
      <w:r w:rsidRPr="00DC11CB">
        <w:rPr>
          <w:i/>
        </w:rPr>
        <w:t>NSRE 1967</w:t>
      </w:r>
      <w:r w:rsidRPr="00DC11CB">
        <w:rPr>
          <w:lang w:eastAsia="en-GB"/>
        </w:rPr>
        <w:t xml:space="preserve">, p. 1114;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1373, and </w:t>
      </w:r>
      <w:r w:rsidRPr="00DC11CB">
        <w:t xml:space="preserve">note on Jn 14:3, </w:t>
      </w:r>
      <w:r w:rsidRPr="00DC11CB">
        <w:rPr>
          <w:i/>
        </w:rPr>
        <w:t>NSRE 1967</w:t>
      </w:r>
      <w:r w:rsidRPr="00DC11CB">
        <w:rPr>
          <w:lang w:eastAsia="en-GB"/>
        </w:rPr>
        <w:t xml:space="preserve">, p. 1146;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pp. 1410-11.  </w:t>
      </w:r>
      <w:r w:rsidRPr="00DC11CB">
        <w:rPr>
          <w:i/>
        </w:rPr>
        <w:t>1967/2003</w:t>
      </w:r>
      <w:r w:rsidRPr="00DC11CB">
        <w:t xml:space="preserve"> </w:t>
      </w:r>
      <w:proofErr w:type="gramStart"/>
      <w:r w:rsidRPr="00DC11CB">
        <w:t>distinguish</w:t>
      </w:r>
      <w:proofErr w:type="gramEnd"/>
      <w:r w:rsidRPr="00DC11CB">
        <w:t xml:space="preserve"> between Christ’s return ‘in which He comes to the earth’ from ‘His return to translate the Church’.</w:t>
      </w:r>
    </w:p>
    <w:p w:rsidR="00975183" w:rsidRPr="00DC11CB" w:rsidRDefault="00975183" w:rsidP="00442D33">
      <w:pPr>
        <w:pStyle w:val="EndnoteText"/>
        <w:rPr>
          <w:lang w:eastAsia="en-GB"/>
        </w:rPr>
      </w:pPr>
      <w:r w:rsidRPr="00DC11CB">
        <w:t xml:space="preserve">Note on Acts 2:1, </w:t>
      </w:r>
      <w:r w:rsidRPr="00DC11CB">
        <w:rPr>
          <w:i/>
        </w:rPr>
        <w:t>NSRE 1967</w:t>
      </w:r>
      <w:r w:rsidRPr="00DC11CB">
        <w:rPr>
          <w:lang w:eastAsia="en-GB"/>
        </w:rPr>
        <w:t xml:space="preserve">, p. 1162;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1429.  </w:t>
      </w:r>
      <w:r w:rsidRPr="00DC11CB">
        <w:rPr>
          <w:i/>
        </w:rPr>
        <w:t>1967/2003</w:t>
      </w:r>
      <w:r w:rsidRPr="00DC11CB">
        <w:t xml:space="preserve"> </w:t>
      </w:r>
      <w:proofErr w:type="gramStart"/>
      <w:r w:rsidRPr="00DC11CB">
        <w:t>list</w:t>
      </w:r>
      <w:proofErr w:type="gramEnd"/>
      <w:r w:rsidRPr="00DC11CB">
        <w:t xml:space="preserve"> ‘the translation of the true Church’ as one of the chief events prophesied for the end of the Church Age, when the apostate church will be ‘left behind on earth’.  </w:t>
      </w:r>
    </w:p>
    <w:p w:rsidR="00975183" w:rsidRPr="00DC11CB" w:rsidRDefault="00975183" w:rsidP="00442D33">
      <w:pPr>
        <w:pStyle w:val="EndnoteText"/>
      </w:pPr>
      <w:r w:rsidRPr="00DC11CB">
        <w:t xml:space="preserve">Introduction to 2 Thessalonians, </w:t>
      </w:r>
      <w:r w:rsidRPr="00DC11CB">
        <w:rPr>
          <w:i/>
        </w:rPr>
        <w:t>NSRE 1967</w:t>
      </w:r>
      <w:r w:rsidRPr="00DC11CB">
        <w:rPr>
          <w:lang w:eastAsia="en-GB"/>
        </w:rPr>
        <w:t xml:space="preserve">, p. 1294;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1581.  </w:t>
      </w:r>
      <w:r w:rsidRPr="00DC11CB">
        <w:rPr>
          <w:i/>
          <w:lang w:eastAsia="en-GB"/>
        </w:rPr>
        <w:t>1967/2003</w:t>
      </w:r>
      <w:r w:rsidRPr="00DC11CB">
        <w:rPr>
          <w:b/>
          <w:lang w:eastAsia="en-GB"/>
        </w:rPr>
        <w:t xml:space="preserve"> </w:t>
      </w:r>
      <w:proofErr w:type="gramStart"/>
      <w:r w:rsidRPr="00DC11CB">
        <w:t>aver</w:t>
      </w:r>
      <w:proofErr w:type="gramEnd"/>
      <w:r w:rsidRPr="00DC11CB">
        <w:t xml:space="preserve"> that the emphasis in 1 Thessalonians is ‘the translation of the Church’.  </w:t>
      </w:r>
    </w:p>
    <w:p w:rsidR="00975183" w:rsidRPr="00DC11CB" w:rsidRDefault="00975183" w:rsidP="00442D33">
      <w:pPr>
        <w:pStyle w:val="EndnoteText"/>
      </w:pPr>
      <w:r w:rsidRPr="00DC11CB">
        <w:t xml:space="preserve">Note on 2 Thess. 2:3, </w:t>
      </w:r>
      <w:r w:rsidRPr="00DC11CB">
        <w:rPr>
          <w:i/>
        </w:rPr>
        <w:t>NSRE 1967</w:t>
      </w:r>
      <w:r w:rsidRPr="00DC11CB">
        <w:rPr>
          <w:lang w:eastAsia="en-GB"/>
        </w:rPr>
        <w:t xml:space="preserve">, p. 1294;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1581.  </w:t>
      </w:r>
      <w:proofErr w:type="gramStart"/>
      <w:r w:rsidRPr="001A15F1">
        <w:rPr>
          <w:b/>
          <w:lang w:eastAsia="en-GB"/>
        </w:rPr>
        <w:t>See 6.1.2 below</w:t>
      </w:r>
      <w:r w:rsidRPr="001A15F1">
        <w:rPr>
          <w:lang w:eastAsia="en-GB"/>
        </w:rPr>
        <w:t>.</w:t>
      </w:r>
      <w:proofErr w:type="gramEnd"/>
      <w:r w:rsidRPr="001A15F1">
        <w:rPr>
          <w:b/>
          <w:lang w:eastAsia="en-GB"/>
        </w:rPr>
        <w:t xml:space="preserve">  </w:t>
      </w:r>
      <w:r w:rsidRPr="00DC11CB">
        <w:rPr>
          <w:i/>
          <w:lang w:eastAsia="en-GB"/>
        </w:rPr>
        <w:t>1967/2003</w:t>
      </w:r>
      <w:r w:rsidRPr="00DC11CB">
        <w:rPr>
          <w:lang w:eastAsia="en-GB"/>
        </w:rPr>
        <w:t xml:space="preserve"> </w:t>
      </w:r>
      <w:r w:rsidRPr="00DC11CB">
        <w:t>assert that the removal of ‘that which restrains the mystery of lawlessness’ in 2 Thessalonians 2 will take place when the man of sin is revealed, that is, ‘when the Church is translated’.</w:t>
      </w:r>
    </w:p>
    <w:p w:rsidR="00975183" w:rsidRPr="00DC11CB" w:rsidRDefault="00975183" w:rsidP="00442D33">
      <w:pPr>
        <w:pStyle w:val="EndnoteText"/>
        <w:rPr>
          <w:lang w:eastAsia="en-GB"/>
        </w:rPr>
      </w:pPr>
      <w:r w:rsidRPr="00DC11CB">
        <w:t xml:space="preserve">Note on 1 Tim. 3:15, </w:t>
      </w:r>
      <w:r w:rsidRPr="00DC11CB">
        <w:rPr>
          <w:i/>
        </w:rPr>
        <w:t>NSRE 1967</w:t>
      </w:r>
      <w:r w:rsidRPr="00DC11CB">
        <w:rPr>
          <w:lang w:eastAsia="en-GB"/>
        </w:rPr>
        <w:t xml:space="preserve">, p. 1299;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1588.  </w:t>
      </w:r>
      <w:r w:rsidRPr="00DC11CB">
        <w:t xml:space="preserve">Whereas </w:t>
      </w:r>
      <w:r w:rsidRPr="00DC11CB">
        <w:rPr>
          <w:i/>
        </w:rPr>
        <w:t>SRB</w:t>
      </w:r>
      <w:r w:rsidRPr="00DC11CB">
        <w:t xml:space="preserve"> states that the predicted future of the true church is glory, </w:t>
      </w:r>
      <w:r w:rsidRPr="00DC11CB">
        <w:rPr>
          <w:i/>
        </w:rPr>
        <w:t>1967/2003</w:t>
      </w:r>
      <w:r w:rsidRPr="00DC11CB">
        <w:t xml:space="preserve"> hold that it is ‘</w:t>
      </w:r>
      <w:r w:rsidRPr="00DC11CB">
        <w:rPr>
          <w:i/>
        </w:rPr>
        <w:t>translation and</w:t>
      </w:r>
      <w:r w:rsidRPr="00DC11CB">
        <w:t xml:space="preserve"> glory’.  </w:t>
      </w:r>
      <w:proofErr w:type="gramStart"/>
      <w:r w:rsidRPr="00DC11CB">
        <w:rPr>
          <w:lang w:eastAsia="en-GB"/>
        </w:rPr>
        <w:t>(</w:t>
      </w:r>
      <w:r w:rsidRPr="00DC11CB">
        <w:rPr>
          <w:i/>
          <w:lang w:eastAsia="en-GB"/>
        </w:rPr>
        <w:t>My emphasis</w:t>
      </w:r>
      <w:r w:rsidRPr="00DC11CB">
        <w:rPr>
          <w:lang w:eastAsia="en-GB"/>
        </w:rPr>
        <w:t>.)</w:t>
      </w:r>
      <w:proofErr w:type="gramEnd"/>
    </w:p>
    <w:p w:rsidR="00975183" w:rsidRPr="00DC11CB" w:rsidRDefault="00975183" w:rsidP="00442D33">
      <w:pPr>
        <w:pStyle w:val="EndnoteText"/>
      </w:pPr>
      <w:r w:rsidRPr="00DC11CB">
        <w:t xml:space="preserve">Note on Heb. 12:23, </w:t>
      </w:r>
      <w:r w:rsidRPr="00DC11CB">
        <w:rPr>
          <w:i/>
        </w:rPr>
        <w:t>NSRE 1967</w:t>
      </w:r>
      <w:r w:rsidRPr="00DC11CB">
        <w:rPr>
          <w:lang w:eastAsia="en-GB"/>
        </w:rPr>
        <w:t xml:space="preserve">, p. 1324;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1619.  </w:t>
      </w:r>
      <w:r w:rsidRPr="00DC11CB">
        <w:rPr>
          <w:i/>
        </w:rPr>
        <w:t>1967/2003</w:t>
      </w:r>
      <w:r w:rsidRPr="00DC11CB">
        <w:t xml:space="preserve"> state that the Church ‘will be translated to heaven at the return of the Lord in the air’.  </w:t>
      </w:r>
    </w:p>
    <w:p w:rsidR="00975183" w:rsidRPr="00DC11CB" w:rsidRDefault="00975183" w:rsidP="00442D33">
      <w:pPr>
        <w:pStyle w:val="EndnoteText"/>
      </w:pPr>
      <w:r w:rsidRPr="00DC11CB">
        <w:t xml:space="preserve">Note on Rev. 4:1, </w:t>
      </w:r>
      <w:r w:rsidRPr="00DC11CB">
        <w:rPr>
          <w:i/>
        </w:rPr>
        <w:t>NRSE</w:t>
      </w:r>
      <w:r w:rsidRPr="00DC11CB">
        <w:t xml:space="preserve">, p. 1334; </w:t>
      </w:r>
      <w:r w:rsidRPr="00DC11CB">
        <w:rPr>
          <w:i/>
        </w:rPr>
        <w:t>SSB III</w:t>
      </w:r>
      <w:r w:rsidRPr="00DC11CB">
        <w:t xml:space="preserve">, p. 1661.  </w:t>
      </w:r>
      <w:r w:rsidRPr="00DC11CB">
        <w:rPr>
          <w:i/>
        </w:rPr>
        <w:t>1967/2003</w:t>
      </w:r>
      <w:r w:rsidRPr="00DC11CB">
        <w:t xml:space="preserve"> aver that the invitation to John to ‘come up hither’ may be interpreted as ‘a symbolic representation of the translation of the Church before the tribulation’ since ‘the word “church” does not appear again in Revelation until 22:16’.</w:t>
      </w:r>
    </w:p>
    <w:p w:rsidR="00975183" w:rsidRPr="00DC11CB" w:rsidRDefault="00975183" w:rsidP="00442D33">
      <w:pPr>
        <w:pStyle w:val="EndnoteText"/>
      </w:pPr>
      <w:r w:rsidRPr="00DC11CB">
        <w:t xml:space="preserve">Note on Rev. 19:19, </w:t>
      </w:r>
      <w:r w:rsidRPr="00DC11CB">
        <w:rPr>
          <w:i/>
        </w:rPr>
        <w:t>NSRE 1967</w:t>
      </w:r>
      <w:r w:rsidRPr="00DC11CB">
        <w:rPr>
          <w:lang w:eastAsia="en-GB"/>
        </w:rPr>
        <w:t xml:space="preserve">, p. 1372;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1679.  </w:t>
      </w:r>
      <w:r w:rsidRPr="00DC11CB">
        <w:rPr>
          <w:i/>
        </w:rPr>
        <w:t>1967/2003</w:t>
      </w:r>
      <w:r w:rsidRPr="00DC11CB">
        <w:t xml:space="preserve"> state that ‘the Day of the LORD’ will commence with ‘the translation of the Church’.</w:t>
      </w:r>
    </w:p>
  </w:endnote>
  <w:endnote w:id="1630">
    <w:p w:rsidR="00975183" w:rsidRPr="00DC11CB" w:rsidRDefault="00975183" w:rsidP="00442D33">
      <w:pPr>
        <w:pStyle w:val="EndnoteText"/>
      </w:pPr>
      <w:r w:rsidRPr="00DC11CB">
        <w:rPr>
          <w:rStyle w:val="FootnoteReference"/>
        </w:rPr>
        <w:endnoteRef/>
      </w:r>
      <w:r w:rsidRPr="00DC11CB">
        <w:t xml:space="preserve"> </w:t>
      </w:r>
      <w:proofErr w:type="gramStart"/>
      <w:r w:rsidRPr="00DC11CB">
        <w:rPr>
          <w:i/>
        </w:rPr>
        <w:t>SRB</w:t>
      </w:r>
      <w:r w:rsidRPr="00DC11CB">
        <w:t xml:space="preserve"> note on Rev. 19:19, p. 1349.</w:t>
      </w:r>
      <w:proofErr w:type="gramEnd"/>
      <w:r w:rsidRPr="00DC11CB">
        <w:t xml:space="preserve">  </w:t>
      </w:r>
    </w:p>
  </w:endnote>
  <w:endnote w:id="1631">
    <w:p w:rsidR="00975183" w:rsidRPr="00DC11CB" w:rsidRDefault="00975183" w:rsidP="00442D33">
      <w:pPr>
        <w:pStyle w:val="EndnoteText"/>
      </w:pPr>
      <w:r w:rsidRPr="00DC11CB">
        <w:rPr>
          <w:rStyle w:val="EndnoteReference"/>
        </w:rPr>
        <w:endnoteRef/>
      </w:r>
      <w:r w:rsidRPr="00DC11CB">
        <w:t xml:space="preserve"> Blackstone, </w:t>
      </w:r>
      <w:r w:rsidRPr="00DC11CB">
        <w:rPr>
          <w:i/>
        </w:rPr>
        <w:t xml:space="preserve">Jesus is </w:t>
      </w:r>
      <w:proofErr w:type="gramStart"/>
      <w:r w:rsidRPr="00DC11CB">
        <w:rPr>
          <w:i/>
        </w:rPr>
        <w:t>Coming</w:t>
      </w:r>
      <w:proofErr w:type="gramEnd"/>
      <w:r>
        <w:rPr>
          <w:i/>
        </w:rPr>
        <w:t>.</w:t>
      </w:r>
    </w:p>
  </w:endnote>
  <w:endnote w:id="1632">
    <w:p w:rsidR="00975183" w:rsidRPr="00DC11CB" w:rsidRDefault="00975183" w:rsidP="00442D33">
      <w:pPr>
        <w:pStyle w:val="EndnoteText"/>
      </w:pPr>
      <w:r w:rsidRPr="00DC11CB">
        <w:rPr>
          <w:rStyle w:val="EndnoteReference"/>
        </w:rPr>
        <w:endnoteRef/>
      </w:r>
      <w:r w:rsidRPr="00DC11CB">
        <w:t xml:space="preserve"> Internet Archive &lt;https://archive.org/details/JesusIsComing-raptureByWilliamW.e.b.Blackstone&gt; [accessed 16.5.14].</w:t>
      </w:r>
    </w:p>
  </w:endnote>
  <w:endnote w:id="1633">
    <w:p w:rsidR="00975183" w:rsidRPr="00DC11CB" w:rsidRDefault="00975183" w:rsidP="00442D33">
      <w:pPr>
        <w:pStyle w:val="EndnoteText"/>
      </w:pPr>
      <w:r w:rsidRPr="00DC11CB">
        <w:rPr>
          <w:rStyle w:val="EndnoteReference"/>
        </w:rPr>
        <w:endnoteRef/>
      </w:r>
      <w:r w:rsidRPr="00DC11CB">
        <w:t xml:space="preserve"> Wholesome Words refers to ‘3</w:t>
      </w:r>
      <w:r w:rsidRPr="00DC11CB">
        <w:rPr>
          <w:vertAlign w:val="superscript"/>
        </w:rPr>
        <w:t>rd</w:t>
      </w:r>
      <w:r w:rsidRPr="00DC11CB">
        <w:t xml:space="preserve"> Rev. 1908’ &lt;http://www.wholesomewords.org/etexts/blkstone/coming0.html&gt; [accessed 16.5.14].</w:t>
      </w:r>
    </w:p>
  </w:endnote>
  <w:endnote w:id="1634">
    <w:p w:rsidR="00975183" w:rsidRPr="00DC11CB" w:rsidRDefault="00975183" w:rsidP="00442D33">
      <w:pPr>
        <w:pStyle w:val="EndnoteText"/>
      </w:pPr>
      <w:r w:rsidRPr="00DC11CB">
        <w:rPr>
          <w:rStyle w:val="EndnoteReference"/>
        </w:rPr>
        <w:endnoteRef/>
      </w:r>
      <w:r w:rsidRPr="00DC11CB">
        <w:t xml:space="preserve"> Library of Congress, W. E. Blackstone, ‘</w:t>
      </w:r>
      <w:r w:rsidRPr="00DC11CB">
        <w:rPr>
          <w:i/>
        </w:rPr>
        <w:t>Jesus is Coming</w:t>
      </w:r>
      <w:r w:rsidRPr="00DC11CB">
        <w:t xml:space="preserve">’ &lt;https://catalog.loc.gov/vwebv/holdingsInfo?searchId=5535&amp;recCount=25&amp;recPointer=6&amp;bibId=6266385 &gt; [accessed </w:t>
      </w:r>
      <w:proofErr w:type="gramStart"/>
      <w:r w:rsidRPr="00DC11CB">
        <w:t>16.5.14 ]</w:t>
      </w:r>
      <w:proofErr w:type="gramEnd"/>
      <w:r w:rsidRPr="00DC11CB">
        <w:t>.</w:t>
      </w:r>
    </w:p>
  </w:endnote>
  <w:endnote w:id="1635">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332.</w:t>
      </w:r>
    </w:p>
  </w:endnote>
  <w:endnote w:id="1636">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xml:space="preserve">, p. 339.  This is a similar point to the one made by </w:t>
      </w:r>
      <w:r w:rsidRPr="00DC11CB">
        <w:rPr>
          <w:i/>
        </w:rPr>
        <w:t>1967/2003</w:t>
      </w:r>
      <w:r w:rsidRPr="00DC11CB">
        <w:t xml:space="preserve"> concerning translation.</w:t>
      </w:r>
    </w:p>
  </w:endnote>
  <w:endnote w:id="1637">
    <w:p w:rsidR="00975183" w:rsidRPr="00DC11CB" w:rsidRDefault="00975183" w:rsidP="00442D33">
      <w:pPr>
        <w:pStyle w:val="EndnoteText"/>
      </w:pPr>
      <w:r w:rsidRPr="00DC11CB">
        <w:rPr>
          <w:rStyle w:val="EndnoteReference"/>
        </w:rPr>
        <w:endnoteRef/>
      </w:r>
      <w:r w:rsidRPr="00DC11CB">
        <w:t xml:space="preserve"> </w:t>
      </w:r>
      <w:proofErr w:type="gramStart"/>
      <w:r w:rsidRPr="00DC11CB">
        <w:rPr>
          <w:i/>
        </w:rPr>
        <w:t>SRB</w:t>
      </w:r>
      <w:r w:rsidRPr="00DC11CB">
        <w:t xml:space="preserve"> note on Rev. 4:1, p. 1334.</w:t>
      </w:r>
      <w:proofErr w:type="gramEnd"/>
    </w:p>
  </w:endnote>
  <w:endnote w:id="1638">
    <w:p w:rsidR="00975183" w:rsidRPr="00DC11CB" w:rsidRDefault="00975183" w:rsidP="00442D33">
      <w:pPr>
        <w:pStyle w:val="EndnoteText"/>
      </w:pPr>
      <w:r w:rsidRPr="00DC11CB">
        <w:rPr>
          <w:rStyle w:val="EndnoteReference"/>
        </w:rPr>
        <w:endnoteRef/>
      </w:r>
      <w:r w:rsidRPr="00DC11CB">
        <w:t xml:space="preserve"> ‘After this I looked, and, behold, a door was opened in heaven; and the first voice which I heard … </w:t>
      </w:r>
      <w:proofErr w:type="gramStart"/>
      <w:r w:rsidRPr="00DC11CB">
        <w:t>said :</w:t>
      </w:r>
      <w:proofErr w:type="gramEnd"/>
      <w:r w:rsidRPr="00DC11CB">
        <w:t xml:space="preserve"> Come up hither, and I will shew thee things which must be hereafter.’  </w:t>
      </w:r>
      <w:proofErr w:type="gramStart"/>
      <w:r w:rsidRPr="00DC11CB">
        <w:t xml:space="preserve">Rev. 4:1-2, </w:t>
      </w:r>
      <w:r w:rsidRPr="00DC11CB">
        <w:rPr>
          <w:i/>
        </w:rPr>
        <w:t>KJV</w:t>
      </w:r>
      <w:r w:rsidRPr="00DC11CB">
        <w:t>.</w:t>
      </w:r>
      <w:proofErr w:type="gramEnd"/>
    </w:p>
  </w:endnote>
  <w:endnote w:id="1639">
    <w:p w:rsidR="00975183" w:rsidRPr="00DC11CB" w:rsidRDefault="00975183" w:rsidP="00442D33">
      <w:pPr>
        <w:pStyle w:val="EndnoteText"/>
      </w:pPr>
      <w:r w:rsidRPr="00DC11CB">
        <w:rPr>
          <w:rStyle w:val="EndnoteReference"/>
        </w:rPr>
        <w:endnoteRef/>
      </w:r>
      <w:r w:rsidRPr="00DC11CB">
        <w:t xml:space="preserve"> </w:t>
      </w:r>
      <w:proofErr w:type="gramStart"/>
      <w:r w:rsidRPr="00DC11CB">
        <w:t>Rev. 4:1-3.</w:t>
      </w:r>
      <w:proofErr w:type="gramEnd"/>
    </w:p>
  </w:endnote>
  <w:endnote w:id="1640">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333.</w:t>
      </w:r>
    </w:p>
  </w:endnote>
  <w:endnote w:id="1641">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337.</w:t>
      </w:r>
    </w:p>
  </w:endnote>
  <w:endnote w:id="1642">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337.</w:t>
      </w:r>
    </w:p>
  </w:endnote>
  <w:endnote w:id="1643">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341.</w:t>
      </w:r>
    </w:p>
  </w:endnote>
  <w:endnote w:id="1644">
    <w:p w:rsidR="00975183" w:rsidRPr="00DC11CB" w:rsidRDefault="00975183" w:rsidP="00442D33">
      <w:pPr>
        <w:pStyle w:val="EndnoteText"/>
      </w:pPr>
      <w:r w:rsidRPr="00DC11CB">
        <w:rPr>
          <w:rStyle w:val="EndnoteReference"/>
        </w:rPr>
        <w:endnoteRef/>
      </w:r>
      <w:r w:rsidRPr="00DC11CB">
        <w:t xml:space="preserve"> </w:t>
      </w:r>
      <w:r w:rsidRPr="00DC11CB">
        <w:rPr>
          <w:i/>
        </w:rPr>
        <w:t>Scofield Bible Correspondence Course, Vol. 2, New Testament</w:t>
      </w:r>
      <w:r w:rsidRPr="00DC11CB">
        <w:t>, p. 342.</w:t>
      </w:r>
    </w:p>
  </w:endnote>
  <w:endnote w:id="1645">
    <w:p w:rsidR="00975183" w:rsidRPr="00DC11CB" w:rsidRDefault="00975183" w:rsidP="00442D33">
      <w:pPr>
        <w:pStyle w:val="EndnoteText"/>
      </w:pPr>
      <w:r w:rsidRPr="00DC11CB">
        <w:rPr>
          <w:rStyle w:val="EndnoteReference"/>
        </w:rPr>
        <w:endnoteRef/>
      </w:r>
      <w:r w:rsidRPr="00DC11CB">
        <w:t xml:space="preserve"> </w:t>
      </w:r>
      <w:proofErr w:type="gramStart"/>
      <w:r w:rsidRPr="00DC11CB">
        <w:t xml:space="preserve">Scofield, </w:t>
      </w:r>
      <w:r w:rsidRPr="00DC11CB">
        <w:rPr>
          <w:i/>
        </w:rPr>
        <w:t>Rightly Dividing the Word of Truth</w:t>
      </w:r>
      <w:r w:rsidRPr="00DC11CB">
        <w:t>, pp. 49-50.</w:t>
      </w:r>
      <w:proofErr w:type="gramEnd"/>
    </w:p>
  </w:endnote>
  <w:endnote w:id="1646">
    <w:p w:rsidR="00975183" w:rsidRPr="00DC11CB" w:rsidRDefault="00975183" w:rsidP="00442D33">
      <w:pPr>
        <w:pStyle w:val="EndnoteText"/>
      </w:pPr>
      <w:r w:rsidRPr="00DC11CB">
        <w:rPr>
          <w:rStyle w:val="EndnoteReference"/>
        </w:rPr>
        <w:endnoteRef/>
      </w:r>
      <w:r w:rsidRPr="00DC11CB">
        <w:t xml:space="preserve"> Ref. 2 Thess. 2:6-7.</w:t>
      </w:r>
    </w:p>
  </w:endnote>
  <w:endnote w:id="1647">
    <w:p w:rsidR="00975183" w:rsidRPr="00DC11CB" w:rsidRDefault="00975183" w:rsidP="00442D33">
      <w:pPr>
        <w:pStyle w:val="EndnoteText"/>
      </w:pPr>
      <w:r w:rsidRPr="00DC11CB">
        <w:rPr>
          <w:rStyle w:val="EndnoteReference"/>
        </w:rPr>
        <w:endnoteRef/>
      </w:r>
      <w:r w:rsidRPr="00DC11CB">
        <w:t xml:space="preserve"> </w:t>
      </w:r>
      <w:proofErr w:type="gramStart"/>
      <w:r w:rsidRPr="00DC11CB">
        <w:rPr>
          <w:i/>
        </w:rPr>
        <w:t>SRB</w:t>
      </w:r>
      <w:r w:rsidRPr="00DC11CB">
        <w:t xml:space="preserve"> note on 2 Thess. 2:3, p. 1272.</w:t>
      </w:r>
      <w:proofErr w:type="gramEnd"/>
    </w:p>
  </w:endnote>
  <w:endnote w:id="1648">
    <w:p w:rsidR="00975183" w:rsidRPr="00DC11CB" w:rsidRDefault="00975183" w:rsidP="00442D33">
      <w:pPr>
        <w:pStyle w:val="FootnoteText"/>
        <w:rPr>
          <w:rFonts w:ascii="Perpetua" w:hAnsi="Perpetua"/>
        </w:rPr>
      </w:pPr>
      <w:r w:rsidRPr="00DC11CB">
        <w:rPr>
          <w:rStyle w:val="FootnoteReference"/>
          <w:rFonts w:ascii="Perpetua" w:hAnsi="Perpetua"/>
        </w:rPr>
        <w:endnoteRef/>
      </w:r>
      <w:r w:rsidRPr="00DC11CB">
        <w:rPr>
          <w:rFonts w:ascii="Perpetua" w:hAnsi="Perpetua"/>
        </w:rPr>
        <w:t xml:space="preserve"> Note on Acts 2:1, </w:t>
      </w:r>
      <w:r w:rsidRPr="00DC11CB">
        <w:rPr>
          <w:rFonts w:ascii="Perpetua" w:hAnsi="Perpetua"/>
          <w:i/>
        </w:rPr>
        <w:t>NSRE 1967</w:t>
      </w:r>
      <w:r w:rsidRPr="00DC11CB">
        <w:rPr>
          <w:rFonts w:ascii="Perpetua" w:hAnsi="Perpetua"/>
          <w:lang w:eastAsia="en-GB"/>
        </w:rPr>
        <w:t xml:space="preserve">, p. 1162; </w:t>
      </w:r>
      <w:r w:rsidRPr="00DC11CB">
        <w:rPr>
          <w:rFonts w:ascii="Perpetua" w:hAnsi="Perpetua"/>
          <w:i/>
          <w:iCs/>
          <w:lang w:eastAsia="en-GB"/>
        </w:rPr>
        <w:t>SSB III, KJV</w:t>
      </w:r>
      <w:r w:rsidRPr="00DC11CB">
        <w:rPr>
          <w:rFonts w:ascii="Perpetua" w:hAnsi="Perpetua"/>
          <w:lang w:eastAsia="en-GB"/>
        </w:rPr>
        <w:t xml:space="preserve">, </w:t>
      </w:r>
      <w:r w:rsidRPr="00DC11CB">
        <w:rPr>
          <w:rFonts w:ascii="Perpetua" w:hAnsi="Perpetua"/>
          <w:i/>
          <w:lang w:eastAsia="en-GB"/>
        </w:rPr>
        <w:t>2003</w:t>
      </w:r>
      <w:r w:rsidRPr="00DC11CB">
        <w:rPr>
          <w:rFonts w:ascii="Perpetua" w:hAnsi="Perpetua"/>
          <w:lang w:eastAsia="en-GB"/>
        </w:rPr>
        <w:t xml:space="preserve">, p. 1429.  Ref. note on 1 Thess. 4:17.  </w:t>
      </w:r>
    </w:p>
  </w:endnote>
  <w:endnote w:id="1649">
    <w:p w:rsidR="00975183" w:rsidRPr="00DC11CB" w:rsidRDefault="00975183" w:rsidP="00442D33">
      <w:pPr>
        <w:pStyle w:val="EndnoteText"/>
      </w:pPr>
      <w:r w:rsidRPr="00DC11CB">
        <w:rPr>
          <w:rStyle w:val="EndnoteReference"/>
        </w:rPr>
        <w:endnoteRef/>
      </w:r>
      <w:r w:rsidRPr="00DC11CB">
        <w:t xml:space="preserve"> Note on Rev. 19:19, </w:t>
      </w:r>
      <w:r w:rsidRPr="00DC11CB">
        <w:rPr>
          <w:i/>
        </w:rPr>
        <w:t>NSRE 1967</w:t>
      </w:r>
      <w:r w:rsidRPr="00DC11CB">
        <w:rPr>
          <w:lang w:eastAsia="en-GB"/>
        </w:rPr>
        <w:t xml:space="preserve">, p. 1372;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1679.  </w:t>
      </w:r>
      <w:r w:rsidRPr="00DC11CB">
        <w:rPr>
          <w:i/>
          <w:lang w:eastAsia="en-GB"/>
        </w:rPr>
        <w:t>1967/2003</w:t>
      </w:r>
      <w:r w:rsidRPr="00DC11CB">
        <w:rPr>
          <w:lang w:eastAsia="en-GB"/>
        </w:rPr>
        <w:t xml:space="preserve"> </w:t>
      </w:r>
      <w:proofErr w:type="gramStart"/>
      <w:r w:rsidRPr="00DC11CB">
        <w:rPr>
          <w:lang w:eastAsia="en-GB"/>
        </w:rPr>
        <w:t>state</w:t>
      </w:r>
      <w:proofErr w:type="gramEnd"/>
      <w:r w:rsidRPr="00DC11CB">
        <w:rPr>
          <w:lang w:eastAsia="en-GB"/>
        </w:rPr>
        <w:t xml:space="preserve"> that </w:t>
      </w:r>
      <w:r w:rsidRPr="00DC11CB">
        <w:t>the rapture is the first item in the ‘order of events’ for the Day of the LORD.</w:t>
      </w:r>
    </w:p>
    <w:p w:rsidR="00975183" w:rsidRPr="00DC11CB" w:rsidRDefault="00975183" w:rsidP="00442D33">
      <w:pPr>
        <w:pStyle w:val="EndnoteText"/>
        <w:rPr>
          <w:lang w:eastAsia="en-GB"/>
        </w:rPr>
      </w:pPr>
      <w:r w:rsidRPr="00DC11CB">
        <w:t xml:space="preserve">Note on Dan. 2:31, </w:t>
      </w:r>
      <w:r w:rsidRPr="00DC11CB">
        <w:rPr>
          <w:i/>
        </w:rPr>
        <w:t>NSRE 1967</w:t>
      </w:r>
      <w:r w:rsidRPr="00DC11CB">
        <w:rPr>
          <w:lang w:eastAsia="en-GB"/>
        </w:rPr>
        <w:t xml:space="preserve">, p. 899;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1115. </w:t>
      </w:r>
    </w:p>
    <w:p w:rsidR="00975183" w:rsidRPr="00DC11CB" w:rsidRDefault="00975183" w:rsidP="00442D33">
      <w:pPr>
        <w:pStyle w:val="EndnoteText"/>
        <w:rPr>
          <w:lang w:eastAsia="en-GB"/>
        </w:rPr>
      </w:pPr>
      <w:r w:rsidRPr="00DC11CB">
        <w:t xml:space="preserve">Note on </w:t>
      </w:r>
      <w:r w:rsidRPr="00DC11CB">
        <w:rPr>
          <w:lang w:eastAsia="en-GB"/>
        </w:rPr>
        <w:t xml:space="preserve">Zech. 4:2, </w:t>
      </w:r>
      <w:r w:rsidRPr="00DC11CB">
        <w:rPr>
          <w:i/>
        </w:rPr>
        <w:t>NSRE 1967</w:t>
      </w:r>
      <w:r w:rsidRPr="00DC11CB">
        <w:rPr>
          <w:lang w:eastAsia="en-GB"/>
        </w:rPr>
        <w:t xml:space="preserve">, p. 966;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1206.  </w:t>
      </w:r>
      <w:r w:rsidRPr="00DC11CB">
        <w:t xml:space="preserve">God will still maintain a witness in the world even though the Church ‘will be removed at the rapture’.  </w:t>
      </w:r>
    </w:p>
    <w:p w:rsidR="00975183" w:rsidRPr="00DC11CB" w:rsidRDefault="00975183" w:rsidP="00442D33">
      <w:pPr>
        <w:pStyle w:val="EndnoteText"/>
        <w:rPr>
          <w:lang w:eastAsia="en-GB"/>
        </w:rPr>
      </w:pPr>
      <w:r w:rsidRPr="00DC11CB">
        <w:t xml:space="preserve">Note on Acts 2:1, </w:t>
      </w:r>
      <w:r w:rsidRPr="00DC11CB">
        <w:rPr>
          <w:i/>
        </w:rPr>
        <w:t>NSRE 1967</w:t>
      </w:r>
      <w:r w:rsidRPr="00DC11CB">
        <w:rPr>
          <w:lang w:eastAsia="en-GB"/>
        </w:rPr>
        <w:t xml:space="preserve">, p. 1162;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1429.  </w:t>
      </w:r>
    </w:p>
    <w:p w:rsidR="00975183" w:rsidRPr="00DC11CB" w:rsidRDefault="00975183" w:rsidP="00442D33">
      <w:pPr>
        <w:pStyle w:val="EndnoteText"/>
      </w:pPr>
      <w:r w:rsidRPr="00DC11CB">
        <w:t xml:space="preserve">Note on 1 Cor. 1:8, </w:t>
      </w:r>
      <w:r w:rsidRPr="00DC11CB">
        <w:rPr>
          <w:i/>
        </w:rPr>
        <w:t>NSRE 1967</w:t>
      </w:r>
      <w:r w:rsidRPr="00DC11CB">
        <w:rPr>
          <w:lang w:eastAsia="en-GB"/>
        </w:rPr>
        <w:t xml:space="preserve">, p. 1233;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1511.  </w:t>
      </w:r>
      <w:r w:rsidRPr="00DC11CB">
        <w:rPr>
          <w:i/>
        </w:rPr>
        <w:t>1967/2003</w:t>
      </w:r>
      <w:r w:rsidRPr="00DC11CB">
        <w:t xml:space="preserve"> state that the ‘Day of Christ’ (ref. 1 Cor. 1:8), is the ‘period of blessing for the Church’ which begins with the rapture.  They claim that all six New Testament references to the day of Christ or of the Lord Jesus, (refs 1 Cor. 5:5; 2 Cor. 1:14; </w:t>
      </w:r>
    </w:p>
    <w:p w:rsidR="00975183" w:rsidRPr="00DC11CB" w:rsidRDefault="00975183" w:rsidP="00442D33">
      <w:pPr>
        <w:pStyle w:val="EndnoteText"/>
        <w:rPr>
          <w:lang w:eastAsia="en-GB"/>
        </w:rPr>
      </w:pPr>
      <w:r w:rsidRPr="00DC11CB">
        <w:t>Phil. 1:6, 10, 2:16; 2 Thess. 2:2</w:t>
      </w:r>
      <w:proofErr w:type="gramStart"/>
      <w:r w:rsidRPr="00DC11CB">
        <w:t>),</w:t>
      </w:r>
      <w:proofErr w:type="gramEnd"/>
      <w:r w:rsidRPr="00DC11CB">
        <w:t xml:space="preserve"> relate to ‘the reward and blessing of the Church at the rapture’.  </w:t>
      </w:r>
      <w:r w:rsidRPr="00DC11CB">
        <w:rPr>
          <w:i/>
        </w:rPr>
        <w:t>SRB</w:t>
      </w:r>
      <w:r w:rsidRPr="00DC11CB">
        <w:t xml:space="preserve"> merely states that the ‘Day of Christ’ refers to the blessing of the saints at Christ’s coming; </w:t>
      </w:r>
      <w:r w:rsidRPr="00DC11CB">
        <w:rPr>
          <w:i/>
        </w:rPr>
        <w:t>SRB</w:t>
      </w:r>
      <w:r w:rsidRPr="00DC11CB">
        <w:t xml:space="preserve"> note on 1 Cor. 1:8, p. 1212.</w:t>
      </w:r>
    </w:p>
    <w:p w:rsidR="00975183" w:rsidRPr="00DC11CB" w:rsidRDefault="00975183" w:rsidP="00442D33">
      <w:pPr>
        <w:pStyle w:val="EndnoteText"/>
        <w:rPr>
          <w:lang w:eastAsia="en-GB"/>
        </w:rPr>
      </w:pPr>
      <w:r w:rsidRPr="00DC11CB">
        <w:t xml:space="preserve">Note on 1 Cor. 3:14, </w:t>
      </w:r>
      <w:r w:rsidRPr="00DC11CB">
        <w:rPr>
          <w:i/>
        </w:rPr>
        <w:t>SRB</w:t>
      </w:r>
      <w:r w:rsidRPr="00DC11CB">
        <w:t xml:space="preserve">, p. 1214; </w:t>
      </w:r>
      <w:r w:rsidRPr="00DC11CB">
        <w:rPr>
          <w:i/>
        </w:rPr>
        <w:t>NSRE 1967</w:t>
      </w:r>
      <w:r w:rsidRPr="00DC11CB">
        <w:rPr>
          <w:lang w:eastAsia="en-GB"/>
        </w:rPr>
        <w:t xml:space="preserve">, p. 1235;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1515: </w:t>
      </w:r>
      <w:r w:rsidRPr="00DC11CB">
        <w:rPr>
          <w:i/>
        </w:rPr>
        <w:t>SRB</w:t>
      </w:r>
      <w:r w:rsidRPr="00DC11CB">
        <w:t xml:space="preserve"> states that rewards are to be given at the Lord’s coming whereas </w:t>
      </w:r>
      <w:r w:rsidRPr="00DC11CB">
        <w:rPr>
          <w:i/>
        </w:rPr>
        <w:t>1967/2003</w:t>
      </w:r>
      <w:r w:rsidRPr="00DC11CB">
        <w:t xml:space="preserve"> state that they will be given at the rapture.</w:t>
      </w:r>
    </w:p>
    <w:p w:rsidR="00975183" w:rsidRPr="00DC11CB" w:rsidRDefault="00975183" w:rsidP="00442D33">
      <w:pPr>
        <w:pStyle w:val="EndnoteText"/>
        <w:rPr>
          <w:lang w:eastAsia="en-GB"/>
        </w:rPr>
      </w:pPr>
      <w:r w:rsidRPr="00DC11CB">
        <w:t xml:space="preserve">Note on 1 Thess. 4:17, </w:t>
      </w:r>
      <w:r w:rsidRPr="00DC11CB">
        <w:rPr>
          <w:i/>
        </w:rPr>
        <w:t>NSRE 1967</w:t>
      </w:r>
      <w:r w:rsidRPr="00DC11CB">
        <w:rPr>
          <w:lang w:eastAsia="en-GB"/>
        </w:rPr>
        <w:t xml:space="preserve">, p. 1292;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1579.  </w:t>
      </w:r>
      <w:r w:rsidRPr="00DC11CB">
        <w:rPr>
          <w:i/>
        </w:rPr>
        <w:t>1967/2003</w:t>
      </w:r>
      <w:r w:rsidRPr="00DC11CB">
        <w:t xml:space="preserve"> </w:t>
      </w:r>
      <w:proofErr w:type="gramStart"/>
      <w:r w:rsidRPr="00DC11CB">
        <w:t>state</w:t>
      </w:r>
      <w:proofErr w:type="gramEnd"/>
      <w:r w:rsidRPr="00DC11CB">
        <w:t xml:space="preserve"> that 1 Thess. 4:13-18 sets forth ‘the return of Christ, the rapture of the Church and the reunion of all believers’.</w:t>
      </w:r>
    </w:p>
    <w:p w:rsidR="00975183" w:rsidRPr="00DC11CB" w:rsidRDefault="00975183" w:rsidP="00442D33">
      <w:pPr>
        <w:pStyle w:val="EndnoteText"/>
        <w:rPr>
          <w:lang w:eastAsia="en-GB"/>
        </w:rPr>
      </w:pPr>
      <w:r w:rsidRPr="00DC11CB">
        <w:t xml:space="preserve">Note on 1 Tim. 3:15, </w:t>
      </w:r>
      <w:r w:rsidRPr="00DC11CB">
        <w:rPr>
          <w:i/>
        </w:rPr>
        <w:t>NSRE 1967</w:t>
      </w:r>
      <w:r w:rsidRPr="00DC11CB">
        <w:rPr>
          <w:lang w:eastAsia="en-GB"/>
        </w:rPr>
        <w:t xml:space="preserve">, p. 1299;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1588.  </w:t>
      </w:r>
      <w:r w:rsidRPr="00DC11CB">
        <w:t>The future for ‘the unsaved element of the visible church left on earth at the rapture is apostasy and divine judgment’.</w:t>
      </w:r>
    </w:p>
    <w:p w:rsidR="00975183" w:rsidRPr="00DC11CB" w:rsidRDefault="00975183" w:rsidP="00442D33">
      <w:pPr>
        <w:pStyle w:val="EndnoteText"/>
      </w:pPr>
      <w:r w:rsidRPr="00DC11CB">
        <w:t xml:space="preserve">Note on </w:t>
      </w:r>
      <w:r w:rsidRPr="00DC11CB">
        <w:rPr>
          <w:lang w:eastAsia="en-GB"/>
        </w:rPr>
        <w:t xml:space="preserve">Rev. 19:7, </w:t>
      </w:r>
      <w:r w:rsidRPr="00DC11CB">
        <w:rPr>
          <w:i/>
        </w:rPr>
        <w:t>NSRE 1967</w:t>
      </w:r>
      <w:r w:rsidRPr="00DC11CB">
        <w:rPr>
          <w:lang w:eastAsia="en-GB"/>
        </w:rPr>
        <w:t xml:space="preserve">, p. 1371;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1678</w:t>
      </w:r>
      <w:r w:rsidRPr="00DC11CB">
        <w:t xml:space="preserve">.  </w:t>
      </w:r>
      <w:r w:rsidRPr="00DC11CB">
        <w:rPr>
          <w:i/>
        </w:rPr>
        <w:t>1967/2003</w:t>
      </w:r>
      <w:r w:rsidRPr="00DC11CB">
        <w:t xml:space="preserve"> state that the marriage of the Lamb is in three stages, the second of which is ‘the coming of the Bridegroom for His bride at the rapture of the Church’.</w:t>
      </w:r>
    </w:p>
  </w:endnote>
  <w:endnote w:id="1650">
    <w:p w:rsidR="00975183" w:rsidRPr="00DC11CB" w:rsidRDefault="00975183" w:rsidP="00442D33">
      <w:pPr>
        <w:pStyle w:val="EndnoteText"/>
      </w:pPr>
      <w:r w:rsidRPr="00DC11CB">
        <w:rPr>
          <w:rStyle w:val="EndnoteReference"/>
        </w:rPr>
        <w:endnoteRef/>
      </w:r>
      <w:r w:rsidRPr="00DC11CB">
        <w:t xml:space="preserve"> </w:t>
      </w:r>
      <w:r w:rsidRPr="00DC11CB">
        <w:rPr>
          <w:i/>
          <w:iCs/>
          <w:lang w:eastAsia="en-GB"/>
        </w:rPr>
        <w:t>SSB III, KJV</w:t>
      </w:r>
      <w:r w:rsidRPr="00DC11CB">
        <w:rPr>
          <w:lang w:eastAsia="en-GB"/>
        </w:rPr>
        <w:t xml:space="preserve">, </w:t>
      </w:r>
      <w:r w:rsidRPr="00DC11CB">
        <w:rPr>
          <w:i/>
          <w:lang w:eastAsia="en-GB"/>
        </w:rPr>
        <w:t>2003</w:t>
      </w:r>
      <w:r w:rsidRPr="00DC11CB">
        <w:rPr>
          <w:lang w:eastAsia="en-GB"/>
        </w:rPr>
        <w:t>, n</w:t>
      </w:r>
      <w:r w:rsidRPr="00DC11CB">
        <w:t xml:space="preserve">ote on Joel 1:15, p. 1154.  </w:t>
      </w:r>
      <w:r w:rsidRPr="00DC11CB">
        <w:rPr>
          <w:lang w:eastAsia="en-GB"/>
        </w:rPr>
        <w:t xml:space="preserve">Refs 1 Cor. 15:50-58; 1 Thess. 4:13-18.  </w:t>
      </w:r>
      <w:r w:rsidRPr="00DC11CB">
        <w:t>‘The Day of the LORD’ will be inaugurated by the rapture of the Church.</w:t>
      </w:r>
    </w:p>
    <w:p w:rsidR="00975183" w:rsidRPr="00DC11CB" w:rsidRDefault="00975183" w:rsidP="00442D33">
      <w:pPr>
        <w:pStyle w:val="EndnoteText"/>
        <w:rPr>
          <w:lang w:eastAsia="en-GB"/>
        </w:rPr>
      </w:pP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note on </w:t>
      </w:r>
      <w:r w:rsidRPr="00DC11CB">
        <w:t xml:space="preserve">Acts 1:11,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1428.  Refs Acts 1:11; Mt. 23:39, 24:30, 25:31; </w:t>
      </w:r>
    </w:p>
    <w:p w:rsidR="00975183" w:rsidRPr="00DC11CB" w:rsidRDefault="00975183" w:rsidP="00442D33">
      <w:pPr>
        <w:pStyle w:val="EndnoteText"/>
      </w:pPr>
      <w:proofErr w:type="gramStart"/>
      <w:r w:rsidRPr="00DC11CB">
        <w:rPr>
          <w:lang w:eastAsia="en-GB"/>
        </w:rPr>
        <w:t>Rev. 19:11-16.</w:t>
      </w:r>
      <w:proofErr w:type="gramEnd"/>
      <w:r w:rsidRPr="00DC11CB">
        <w:rPr>
          <w:lang w:eastAsia="en-GB"/>
        </w:rPr>
        <w:t xml:space="preserve">  </w:t>
      </w:r>
      <w:proofErr w:type="gramStart"/>
      <w:r w:rsidRPr="00DC11CB">
        <w:rPr>
          <w:i/>
          <w:lang w:eastAsia="en-GB"/>
        </w:rPr>
        <w:t>Editor’s emphases</w:t>
      </w:r>
      <w:r w:rsidRPr="00DC11CB">
        <w:rPr>
          <w:lang w:eastAsia="en-GB"/>
        </w:rPr>
        <w:t>.</w:t>
      </w:r>
      <w:proofErr w:type="gramEnd"/>
      <w:r w:rsidRPr="00DC11CB">
        <w:rPr>
          <w:lang w:eastAsia="en-GB"/>
        </w:rPr>
        <w:t xml:space="preserve">  </w:t>
      </w:r>
      <w:r w:rsidRPr="00DC11CB">
        <w:rPr>
          <w:i/>
        </w:rPr>
        <w:t>2003</w:t>
      </w:r>
      <w:r w:rsidRPr="00DC11CB">
        <w:t xml:space="preserve"> postulates a two-stage return of Christ: ‘</w:t>
      </w:r>
      <w:r w:rsidRPr="00DC11CB">
        <w:rPr>
          <w:i/>
        </w:rPr>
        <w:t>to the air</w:t>
      </w:r>
      <w:r w:rsidRPr="00DC11CB">
        <w:t xml:space="preserve"> before the Tribulation’ - ‘usually called the Rapture’ (Refs 1 Thess. 4:14-17; Phil. 3:20-21; Rev. 3:10), followed by his return </w:t>
      </w:r>
      <w:r w:rsidRPr="00DC11CB">
        <w:rPr>
          <w:i/>
        </w:rPr>
        <w:t>to the earth</w:t>
      </w:r>
      <w:r w:rsidRPr="00DC11CB">
        <w:t xml:space="preserve"> after the Tribulation’.</w:t>
      </w:r>
    </w:p>
    <w:p w:rsidR="00975183" w:rsidRPr="00DC11CB" w:rsidRDefault="00975183" w:rsidP="00442D33">
      <w:pPr>
        <w:pStyle w:val="EndnoteText"/>
      </w:pP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w:t>
      </w:r>
      <w:r w:rsidRPr="00DC11CB">
        <w:t xml:space="preserve">Introduction to 1 Thessalonians, </w:t>
      </w:r>
      <w:r w:rsidRPr="00DC11CB">
        <w:rPr>
          <w:lang w:eastAsia="en-GB"/>
        </w:rPr>
        <w:t xml:space="preserve">p. 1576.  </w:t>
      </w:r>
      <w:r w:rsidRPr="00DC11CB">
        <w:rPr>
          <w:i/>
        </w:rPr>
        <w:t>2003</w:t>
      </w:r>
      <w:r w:rsidRPr="00DC11CB">
        <w:t xml:space="preserve"> also includes a heading, ‘The Revelation of the Rapture’ in its introduction to 1 Thessalonians.</w:t>
      </w:r>
    </w:p>
  </w:endnote>
  <w:endnote w:id="1651">
    <w:p w:rsidR="00975183" w:rsidRPr="00DC11CB" w:rsidRDefault="00975183" w:rsidP="00442D33">
      <w:pPr>
        <w:pStyle w:val="EndnoteText"/>
      </w:pPr>
      <w:r w:rsidRPr="00DC11CB">
        <w:rPr>
          <w:rStyle w:val="FootnoteReference"/>
        </w:rPr>
        <w:endnoteRef/>
      </w:r>
      <w:r w:rsidRPr="00DC11CB">
        <w:t xml:space="preserve"> </w:t>
      </w:r>
      <w:proofErr w:type="gramStart"/>
      <w:r w:rsidRPr="00DC11CB">
        <w:rPr>
          <w:i/>
        </w:rPr>
        <w:t>SRB</w:t>
      </w:r>
      <w:r w:rsidRPr="00DC11CB">
        <w:t xml:space="preserve"> note on Gen. 6:9, p. 13.</w:t>
      </w:r>
      <w:proofErr w:type="gramEnd"/>
      <w:r w:rsidRPr="00DC11CB">
        <w:t xml:space="preserve">  </w:t>
      </w:r>
    </w:p>
  </w:endnote>
  <w:endnote w:id="1652">
    <w:p w:rsidR="00975183" w:rsidRPr="00DC11CB" w:rsidRDefault="00975183" w:rsidP="00442D33">
      <w:pPr>
        <w:pStyle w:val="EndnoteText"/>
      </w:pPr>
      <w:r w:rsidRPr="00DC11CB">
        <w:rPr>
          <w:rStyle w:val="EndnoteReference"/>
        </w:rPr>
        <w:endnoteRef/>
      </w:r>
      <w:r w:rsidRPr="00DC11CB">
        <w:t xml:space="preserve"> </w:t>
      </w:r>
      <w:proofErr w:type="gramStart"/>
      <w:r w:rsidRPr="00DC11CB">
        <w:rPr>
          <w:i/>
        </w:rPr>
        <w:t>SRB</w:t>
      </w:r>
      <w:r w:rsidRPr="00DC11CB">
        <w:t xml:space="preserve"> note on Gen. 6:14, p. 13</w:t>
      </w:r>
      <w:r w:rsidRPr="00DC11CB">
        <w:rPr>
          <w:lang w:eastAsia="en-GB"/>
        </w:rPr>
        <w:t>.</w:t>
      </w:r>
      <w:proofErr w:type="gramEnd"/>
    </w:p>
  </w:endnote>
  <w:endnote w:id="1653">
    <w:p w:rsidR="00975183" w:rsidRPr="00DC11CB" w:rsidRDefault="00975183" w:rsidP="00442D33">
      <w:pPr>
        <w:pStyle w:val="EndnoteText"/>
      </w:pPr>
      <w:r w:rsidRPr="00DC11CB">
        <w:rPr>
          <w:rStyle w:val="EndnoteReference"/>
        </w:rPr>
        <w:endnoteRef/>
      </w:r>
      <w:r w:rsidRPr="00DC11CB">
        <w:t xml:space="preserve"> </w:t>
      </w:r>
      <w:r w:rsidRPr="0049447A">
        <w:rPr>
          <w:i/>
          <w:spacing w:val="-2"/>
        </w:rPr>
        <w:t>SRB</w:t>
      </w:r>
      <w:r w:rsidRPr="0049447A">
        <w:rPr>
          <w:spacing w:val="-2"/>
        </w:rPr>
        <w:t xml:space="preserve"> Introduction to the Epistles of Paul, p. 1189.  </w:t>
      </w:r>
      <w:r w:rsidRPr="0049447A">
        <w:rPr>
          <w:i/>
          <w:spacing w:val="-2"/>
        </w:rPr>
        <w:t>1967</w:t>
      </w:r>
      <w:r w:rsidRPr="0049447A">
        <w:rPr>
          <w:spacing w:val="-2"/>
        </w:rPr>
        <w:t xml:space="preserve">, p. 1209, and </w:t>
      </w:r>
      <w:r w:rsidRPr="0049447A">
        <w:rPr>
          <w:i/>
          <w:spacing w:val="-2"/>
        </w:rPr>
        <w:t>2003</w:t>
      </w:r>
      <w:r w:rsidRPr="0049447A">
        <w:rPr>
          <w:spacing w:val="-2"/>
        </w:rPr>
        <w:t xml:space="preserve">, p. 1483, adapt </w:t>
      </w:r>
      <w:r w:rsidRPr="0049447A">
        <w:rPr>
          <w:i/>
          <w:spacing w:val="-2"/>
        </w:rPr>
        <w:t>SRB</w:t>
      </w:r>
      <w:r w:rsidRPr="0049447A">
        <w:rPr>
          <w:spacing w:val="-2"/>
        </w:rPr>
        <w:t>’s statement to read: ‘[Paul] teaches that … believers living at His return will be “changed” and caught up to meet the Lord in the air.</w:t>
      </w:r>
      <w:r w:rsidRPr="00DC11CB">
        <w:t>’</w:t>
      </w:r>
    </w:p>
  </w:endnote>
  <w:endnote w:id="1654">
    <w:p w:rsidR="00975183" w:rsidRPr="00DC11CB" w:rsidRDefault="00975183" w:rsidP="00442D33">
      <w:pPr>
        <w:pStyle w:val="EndnoteText"/>
      </w:pPr>
      <w:r w:rsidRPr="00DC11CB">
        <w:rPr>
          <w:rStyle w:val="EndnoteReference"/>
        </w:rPr>
        <w:endnoteRef/>
      </w:r>
      <w:r w:rsidRPr="00DC11CB">
        <w:t xml:space="preserve"> Refs Mt. 13:39-43, 49-50.</w:t>
      </w:r>
    </w:p>
  </w:endnote>
  <w:endnote w:id="1655">
    <w:p w:rsidR="00975183" w:rsidRPr="00DC11CB" w:rsidRDefault="00975183" w:rsidP="00442D33">
      <w:pPr>
        <w:pStyle w:val="EndnoteText"/>
      </w:pPr>
      <w:r w:rsidRPr="00DC11CB">
        <w:rPr>
          <w:rStyle w:val="EndnoteReference"/>
        </w:rPr>
        <w:endnoteRef/>
      </w:r>
      <w:r w:rsidRPr="00DC11CB">
        <w:t xml:space="preserve"> Note on 1 Cor. 15:24, </w:t>
      </w:r>
      <w:r w:rsidRPr="00DC11CB">
        <w:rPr>
          <w:i/>
        </w:rPr>
        <w:t>SRB</w:t>
      </w:r>
      <w:r w:rsidRPr="00DC11CB">
        <w:t xml:space="preserve">, p. 1226; </w:t>
      </w:r>
      <w:r w:rsidRPr="00DC11CB">
        <w:rPr>
          <w:i/>
        </w:rPr>
        <w:t>NSRE 1967</w:t>
      </w:r>
      <w:r w:rsidRPr="00DC11CB">
        <w:rPr>
          <w:lang w:eastAsia="en-GB"/>
        </w:rPr>
        <w:t xml:space="preserve">, p. 1248;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1529.  Ref. 1 Thess. 4:14-17.  </w:t>
      </w:r>
      <w:r w:rsidRPr="001A15F1">
        <w:rPr>
          <w:b/>
          <w:lang w:eastAsia="en-GB"/>
        </w:rPr>
        <w:t xml:space="preserve">See 7.2.4, </w:t>
      </w:r>
      <w:proofErr w:type="gramStart"/>
      <w:r w:rsidRPr="001A15F1">
        <w:rPr>
          <w:b/>
          <w:i/>
          <w:lang w:eastAsia="en-GB"/>
        </w:rPr>
        <w:t>The</w:t>
      </w:r>
      <w:proofErr w:type="gramEnd"/>
      <w:r w:rsidRPr="001A15F1">
        <w:rPr>
          <w:b/>
          <w:i/>
          <w:lang w:eastAsia="en-GB"/>
        </w:rPr>
        <w:t xml:space="preserve"> Mystery Form of the Kingdom</w:t>
      </w:r>
      <w:r>
        <w:rPr>
          <w:lang w:eastAsia="en-GB"/>
        </w:rPr>
        <w:t xml:space="preserve"> </w:t>
      </w:r>
      <w:r w:rsidRPr="001A15F1">
        <w:rPr>
          <w:b/>
          <w:i/>
          <w:lang w:eastAsia="en-GB"/>
        </w:rPr>
        <w:t>in This Age</w:t>
      </w:r>
      <w:r>
        <w:rPr>
          <w:lang w:eastAsia="en-GB"/>
        </w:rPr>
        <w:t>.</w:t>
      </w:r>
    </w:p>
  </w:endnote>
  <w:endnote w:id="1656">
    <w:p w:rsidR="00975183" w:rsidRPr="00DC11CB" w:rsidRDefault="00975183" w:rsidP="00442D33">
      <w:pPr>
        <w:pStyle w:val="EndnoteText"/>
      </w:pPr>
      <w:r w:rsidRPr="00DC11CB">
        <w:rPr>
          <w:rStyle w:val="FootnoteReference"/>
        </w:rPr>
        <w:endnoteRef/>
      </w:r>
      <w:r w:rsidRPr="00DC11CB">
        <w:t xml:space="preserve"> Note on Acts 1:11, </w:t>
      </w:r>
      <w:r w:rsidRPr="00DC11CB">
        <w:rPr>
          <w:i/>
        </w:rPr>
        <w:t>SRB</w:t>
      </w:r>
      <w:r w:rsidRPr="00DC11CB">
        <w:t xml:space="preserve">, p. 1148; </w:t>
      </w:r>
      <w:r w:rsidRPr="00DC11CB">
        <w:rPr>
          <w:i/>
        </w:rPr>
        <w:t>NSRE 1967</w:t>
      </w:r>
      <w:r w:rsidRPr="00DC11CB">
        <w:rPr>
          <w:lang w:eastAsia="en-GB"/>
        </w:rPr>
        <w:t xml:space="preserve">, p. 1161;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1428.  </w:t>
      </w:r>
      <w:r w:rsidRPr="00DC11CB">
        <w:rPr>
          <w:i/>
        </w:rPr>
        <w:t>1967/2003</w:t>
      </w:r>
      <w:r w:rsidRPr="00DC11CB">
        <w:t xml:space="preserve"> </w:t>
      </w:r>
      <w:proofErr w:type="gramStart"/>
      <w:r w:rsidRPr="00DC11CB">
        <w:t>substitute</w:t>
      </w:r>
      <w:proofErr w:type="gramEnd"/>
      <w:r w:rsidRPr="00DC11CB">
        <w:t xml:space="preserve"> ‘the believers who have died’ for ‘the sleeping’.</w:t>
      </w:r>
    </w:p>
  </w:endnote>
  <w:endnote w:id="1657">
    <w:p w:rsidR="00975183" w:rsidRPr="00DC11CB" w:rsidRDefault="00975183" w:rsidP="00442D33">
      <w:pPr>
        <w:pStyle w:val="EndnoteText"/>
      </w:pPr>
      <w:r w:rsidRPr="00DC11CB">
        <w:rPr>
          <w:rStyle w:val="EndnoteReference"/>
        </w:rPr>
        <w:endnoteRef/>
      </w:r>
      <w:r w:rsidRPr="00DC11CB">
        <w:t xml:space="preserve"> Note on 1 Cor. 15:52, </w:t>
      </w:r>
      <w:r w:rsidRPr="00DC11CB">
        <w:rPr>
          <w:i/>
        </w:rPr>
        <w:t>SRB</w:t>
      </w:r>
      <w:r w:rsidRPr="00DC11CB">
        <w:t xml:space="preserve">, p. 1228; </w:t>
      </w:r>
      <w:r w:rsidRPr="00DC11CB">
        <w:rPr>
          <w:i/>
        </w:rPr>
        <w:t>NSRE 1967</w:t>
      </w:r>
      <w:r w:rsidRPr="00DC11CB">
        <w:rPr>
          <w:lang w:eastAsia="en-GB"/>
        </w:rPr>
        <w:t xml:space="preserve">, p. 1250;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1531.</w:t>
      </w:r>
      <w:r w:rsidRPr="00DC11CB">
        <w:t xml:space="preserve">  </w:t>
      </w:r>
    </w:p>
  </w:endnote>
  <w:endnote w:id="1658">
    <w:p w:rsidR="00975183" w:rsidRPr="00DC11CB" w:rsidRDefault="00975183" w:rsidP="00442D33">
      <w:pPr>
        <w:pStyle w:val="EndnoteText"/>
      </w:pPr>
      <w:r w:rsidRPr="00DC11CB">
        <w:rPr>
          <w:rStyle w:val="EndnoteReference"/>
        </w:rPr>
        <w:endnoteRef/>
      </w:r>
      <w:r w:rsidRPr="00DC11CB">
        <w:t xml:space="preserve"> Ref. 1 Thess. 4:14-17. </w:t>
      </w:r>
    </w:p>
  </w:endnote>
  <w:endnote w:id="1659">
    <w:p w:rsidR="00975183" w:rsidRPr="00DC11CB" w:rsidRDefault="00975183" w:rsidP="00442D33">
      <w:pPr>
        <w:pStyle w:val="EndnoteText"/>
      </w:pPr>
      <w:r w:rsidRPr="00DC11CB">
        <w:rPr>
          <w:rStyle w:val="EndnoteReference"/>
        </w:rPr>
        <w:endnoteRef/>
      </w:r>
      <w:r w:rsidRPr="00DC11CB">
        <w:t xml:space="preserve"> </w:t>
      </w:r>
      <w:proofErr w:type="gramStart"/>
      <w:r w:rsidRPr="00DC11CB">
        <w:t>e.g</w:t>
      </w:r>
      <w:proofErr w:type="gramEnd"/>
      <w:r w:rsidRPr="00DC11CB">
        <w:t>. Mt. 24:29, 30.</w:t>
      </w:r>
    </w:p>
  </w:endnote>
  <w:endnote w:id="1660">
    <w:p w:rsidR="00975183" w:rsidRPr="00DC11CB" w:rsidRDefault="00975183" w:rsidP="00442D33">
      <w:pPr>
        <w:pStyle w:val="EndnoteText"/>
      </w:pPr>
      <w:r w:rsidRPr="00DC11CB">
        <w:rPr>
          <w:rStyle w:val="EndnoteReference"/>
        </w:rPr>
        <w:endnoteRef/>
      </w:r>
      <w:r w:rsidRPr="00DC11CB">
        <w:t xml:space="preserve"> </w:t>
      </w:r>
      <w:r w:rsidRPr="00DC11CB">
        <w:rPr>
          <w:i/>
        </w:rPr>
        <w:t>SRB</w:t>
      </w:r>
      <w:r w:rsidRPr="00DC11CB">
        <w:t xml:space="preserve"> note on Jn 14:3, p. 1135.  </w:t>
      </w:r>
      <w:r w:rsidRPr="00DC11CB">
        <w:rPr>
          <w:i/>
        </w:rPr>
        <w:t>1967/2003</w:t>
      </w:r>
      <w:r w:rsidRPr="00DC11CB">
        <w:t xml:space="preserve"> refer to the Lord’s promise of ‘His personal return for His own people (ref. 1 Thess. 4:13-18)’ as an ‘aspect of Christ’s return’, which is ‘to be distinguished from His coming to the earth to establish His kingdom’.</w:t>
      </w:r>
    </w:p>
  </w:endnote>
  <w:endnote w:id="1661">
    <w:p w:rsidR="00975183" w:rsidRPr="00DC11CB" w:rsidRDefault="00975183" w:rsidP="00442D33">
      <w:pPr>
        <w:pStyle w:val="EndnoteText"/>
      </w:pPr>
      <w:r w:rsidRPr="00DC11CB">
        <w:rPr>
          <w:rStyle w:val="EndnoteReference"/>
        </w:rPr>
        <w:endnoteRef/>
      </w:r>
      <w:r w:rsidRPr="00DC11CB">
        <w:t xml:space="preserve"> Ref. 1 Thess. 4:13-18.</w:t>
      </w:r>
    </w:p>
  </w:endnote>
  <w:endnote w:id="1662">
    <w:p w:rsidR="00975183" w:rsidRPr="00DC11CB" w:rsidRDefault="00975183" w:rsidP="00442D33">
      <w:pPr>
        <w:pStyle w:val="EndnoteText"/>
      </w:pPr>
      <w:r w:rsidRPr="00DC11CB">
        <w:rPr>
          <w:rStyle w:val="EndnoteReference"/>
        </w:rPr>
        <w:endnoteRef/>
      </w:r>
      <w:r w:rsidRPr="00DC11CB">
        <w:t xml:space="preserve"> </w:t>
      </w:r>
      <w:proofErr w:type="gramStart"/>
      <w:r w:rsidRPr="00DC11CB">
        <w:t xml:space="preserve">Scofield, </w:t>
      </w:r>
      <w:r w:rsidRPr="00DC11CB">
        <w:rPr>
          <w:i/>
        </w:rPr>
        <w:t>Rightly Dividing the Word of Truth</w:t>
      </w:r>
      <w:r w:rsidRPr="00DC11CB">
        <w:t>, p. 43.</w:t>
      </w:r>
      <w:proofErr w:type="gramEnd"/>
    </w:p>
  </w:endnote>
  <w:endnote w:id="1663">
    <w:p w:rsidR="00975183" w:rsidRPr="00DC11CB" w:rsidRDefault="00975183" w:rsidP="00442D33">
      <w:pPr>
        <w:pStyle w:val="EndnoteText"/>
      </w:pPr>
      <w:r w:rsidRPr="00DC11CB">
        <w:rPr>
          <w:rStyle w:val="EndnoteReference"/>
        </w:rPr>
        <w:endnoteRef/>
      </w:r>
      <w:r w:rsidRPr="00DC11CB">
        <w:t xml:space="preserve"> Note on 2 Cor. 5:10, </w:t>
      </w:r>
      <w:r w:rsidRPr="00DC11CB">
        <w:rPr>
          <w:i/>
        </w:rPr>
        <w:t>SRB</w:t>
      </w:r>
      <w:r w:rsidRPr="00DC11CB">
        <w:t xml:space="preserve">, p. 1233; </w:t>
      </w:r>
      <w:r w:rsidRPr="00DC11CB">
        <w:rPr>
          <w:i/>
        </w:rPr>
        <w:t>NSRE 1967</w:t>
      </w:r>
      <w:r w:rsidRPr="00DC11CB">
        <w:rPr>
          <w:lang w:eastAsia="en-GB"/>
        </w:rPr>
        <w:t xml:space="preserve">, p. 1255;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1537.</w:t>
      </w:r>
    </w:p>
  </w:endnote>
  <w:endnote w:id="1664">
    <w:p w:rsidR="00975183" w:rsidRPr="00DC11CB" w:rsidRDefault="00975183" w:rsidP="00442D33">
      <w:pPr>
        <w:pStyle w:val="EndnoteText"/>
      </w:pPr>
      <w:r w:rsidRPr="00DC11CB">
        <w:rPr>
          <w:rStyle w:val="EndnoteReference"/>
        </w:rPr>
        <w:endnoteRef/>
      </w:r>
      <w:r w:rsidRPr="00DC11CB">
        <w:t xml:space="preserve"> Note on Acts 2:1, </w:t>
      </w:r>
      <w:r w:rsidRPr="00DC11CB">
        <w:rPr>
          <w:i/>
        </w:rPr>
        <w:t>NSRE 1967</w:t>
      </w:r>
      <w:r w:rsidRPr="00DC11CB">
        <w:rPr>
          <w:lang w:eastAsia="en-GB"/>
        </w:rPr>
        <w:t xml:space="preserve">, p. 1162;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1429.  </w:t>
      </w:r>
      <w:r w:rsidRPr="00DC11CB">
        <w:rPr>
          <w:b/>
        </w:rPr>
        <w:t>.</w:t>
      </w:r>
    </w:p>
  </w:endnote>
  <w:endnote w:id="1665">
    <w:p w:rsidR="00975183" w:rsidRPr="00DC11CB" w:rsidRDefault="00975183" w:rsidP="00442D33">
      <w:pPr>
        <w:pStyle w:val="EndnoteText"/>
      </w:pPr>
      <w:r w:rsidRPr="00DC11CB">
        <w:rPr>
          <w:rStyle w:val="EndnoteReference"/>
        </w:rPr>
        <w:endnoteRef/>
      </w:r>
      <w:r w:rsidRPr="00DC11CB">
        <w:t xml:space="preserve"> Note on Heb. 12:23, </w:t>
      </w:r>
      <w:r w:rsidRPr="00DC11CB">
        <w:rPr>
          <w:i/>
        </w:rPr>
        <w:t>NSRE 1967</w:t>
      </w:r>
      <w:r w:rsidRPr="00DC11CB">
        <w:rPr>
          <w:lang w:eastAsia="en-GB"/>
        </w:rPr>
        <w:t xml:space="preserve">, p. 1324;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1619.  Ref. 1 Thess. 4:13-17.</w:t>
      </w:r>
    </w:p>
  </w:endnote>
  <w:endnote w:id="1666">
    <w:p w:rsidR="00975183" w:rsidRPr="00DC11CB" w:rsidRDefault="00975183" w:rsidP="00442D33">
      <w:pPr>
        <w:pStyle w:val="EndnoteText"/>
      </w:pPr>
      <w:r w:rsidRPr="00DC11CB">
        <w:rPr>
          <w:rStyle w:val="EndnoteReference"/>
        </w:rPr>
        <w:endnoteRef/>
      </w:r>
      <w:r w:rsidRPr="00DC11CB">
        <w:t xml:space="preserve"> </w:t>
      </w:r>
      <w:r w:rsidRPr="00DC11CB">
        <w:rPr>
          <w:i/>
        </w:rPr>
        <w:t xml:space="preserve">SRB </w:t>
      </w:r>
      <w:r w:rsidRPr="00DC11CB">
        <w:t>note on Jn 14:3, p. 1135.</w:t>
      </w:r>
    </w:p>
  </w:endnote>
  <w:endnote w:id="1667">
    <w:p w:rsidR="00975183" w:rsidRPr="00DC11CB" w:rsidRDefault="00975183" w:rsidP="00442D33">
      <w:pPr>
        <w:pStyle w:val="EndnoteText"/>
      </w:pPr>
      <w:r w:rsidRPr="00DC11CB">
        <w:rPr>
          <w:rStyle w:val="EndnoteReference"/>
        </w:rPr>
        <w:endnoteRef/>
      </w:r>
      <w:r w:rsidRPr="00DC11CB">
        <w:t xml:space="preserve"> Note on Jn 14:3, </w:t>
      </w:r>
      <w:r w:rsidRPr="00DC11CB">
        <w:rPr>
          <w:i/>
        </w:rPr>
        <w:t>NSRE 1967</w:t>
      </w:r>
      <w:r w:rsidRPr="00DC11CB">
        <w:rPr>
          <w:lang w:eastAsia="en-GB"/>
        </w:rPr>
        <w:t xml:space="preserve">, p. 1146;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1410.</w:t>
      </w:r>
    </w:p>
  </w:endnote>
  <w:endnote w:id="1668">
    <w:p w:rsidR="00975183" w:rsidRPr="00DC11CB" w:rsidRDefault="00975183" w:rsidP="00442D33">
      <w:pPr>
        <w:pStyle w:val="EndnoteText"/>
      </w:pPr>
      <w:r w:rsidRPr="00DC11CB">
        <w:rPr>
          <w:rStyle w:val="EndnoteReference"/>
        </w:rPr>
        <w:endnoteRef/>
      </w:r>
      <w:r w:rsidRPr="00DC11CB">
        <w:t xml:space="preserve"> Introduction to the Epistles of Paul, </w:t>
      </w:r>
      <w:r w:rsidRPr="00DC11CB">
        <w:rPr>
          <w:i/>
        </w:rPr>
        <w:t>NSRE 1967</w:t>
      </w:r>
      <w:r w:rsidRPr="00DC11CB">
        <w:rPr>
          <w:lang w:eastAsia="en-GB"/>
        </w:rPr>
        <w:t xml:space="preserve">, p. 1209;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1483.</w:t>
      </w:r>
    </w:p>
  </w:endnote>
  <w:endnote w:id="1669">
    <w:p w:rsidR="00975183" w:rsidRPr="00DC11CB" w:rsidRDefault="00975183" w:rsidP="00442D33">
      <w:pPr>
        <w:pStyle w:val="EndnoteText"/>
      </w:pPr>
      <w:r w:rsidRPr="00DC11CB">
        <w:rPr>
          <w:rStyle w:val="EndnoteReference"/>
        </w:rPr>
        <w:endnoteRef/>
      </w:r>
      <w:r w:rsidRPr="00DC11CB">
        <w:t xml:space="preserve"> Note on 2 Cor. 5:10, </w:t>
      </w:r>
      <w:r w:rsidRPr="00DC11CB">
        <w:rPr>
          <w:i/>
        </w:rPr>
        <w:t>NSRE 1967</w:t>
      </w:r>
      <w:r w:rsidRPr="00DC11CB">
        <w:rPr>
          <w:lang w:eastAsia="en-GB"/>
        </w:rPr>
        <w:t xml:space="preserve">, p. 1255;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1537.</w:t>
      </w:r>
    </w:p>
  </w:endnote>
  <w:endnote w:id="1670">
    <w:p w:rsidR="00975183" w:rsidRPr="00D26055" w:rsidRDefault="00975183" w:rsidP="00442D33">
      <w:pPr>
        <w:pStyle w:val="FootnoteText"/>
        <w:rPr>
          <w:rFonts w:ascii="Perpetua" w:hAnsi="Perpetua"/>
          <w:lang w:eastAsia="en-GB"/>
        </w:rPr>
      </w:pPr>
      <w:r w:rsidRPr="00DC11CB">
        <w:rPr>
          <w:rStyle w:val="FootnoteReference"/>
          <w:rFonts w:ascii="Perpetua" w:hAnsi="Perpetua"/>
        </w:rPr>
        <w:endnoteRef/>
      </w:r>
      <w:r w:rsidRPr="00DC11CB">
        <w:rPr>
          <w:rFonts w:ascii="Perpetua" w:hAnsi="Perpetua"/>
        </w:rPr>
        <w:t xml:space="preserve"> </w:t>
      </w:r>
      <w:r w:rsidRPr="00D26055">
        <w:rPr>
          <w:rFonts w:ascii="Perpetua" w:hAnsi="Perpetua"/>
        </w:rPr>
        <w:t xml:space="preserve">Note on Acts 1:11, </w:t>
      </w:r>
      <w:r w:rsidRPr="00D26055">
        <w:rPr>
          <w:rFonts w:ascii="Perpetua" w:hAnsi="Perpetua"/>
          <w:i/>
        </w:rPr>
        <w:t>SRB</w:t>
      </w:r>
      <w:r w:rsidRPr="00D26055">
        <w:rPr>
          <w:rFonts w:ascii="Perpetua" w:hAnsi="Perpetua"/>
        </w:rPr>
        <w:t xml:space="preserve">, p. 1148; </w:t>
      </w:r>
      <w:r w:rsidRPr="00D26055">
        <w:rPr>
          <w:rFonts w:ascii="Perpetua" w:hAnsi="Perpetua"/>
          <w:i/>
        </w:rPr>
        <w:t>NSRE 1967</w:t>
      </w:r>
      <w:r w:rsidRPr="00D26055">
        <w:rPr>
          <w:rFonts w:ascii="Perpetua" w:hAnsi="Perpetua"/>
          <w:lang w:eastAsia="en-GB"/>
        </w:rPr>
        <w:t xml:space="preserve">, p. 1161; </w:t>
      </w:r>
      <w:r w:rsidRPr="00D26055">
        <w:rPr>
          <w:rFonts w:ascii="Perpetua" w:hAnsi="Perpetua"/>
          <w:i/>
          <w:iCs/>
          <w:lang w:eastAsia="en-GB"/>
        </w:rPr>
        <w:t>SSB III, KJV</w:t>
      </w:r>
      <w:r w:rsidRPr="00D26055">
        <w:rPr>
          <w:rFonts w:ascii="Perpetua" w:hAnsi="Perpetua"/>
          <w:lang w:eastAsia="en-GB"/>
        </w:rPr>
        <w:t xml:space="preserve">, </w:t>
      </w:r>
      <w:r w:rsidRPr="00D26055">
        <w:rPr>
          <w:rFonts w:ascii="Perpetua" w:hAnsi="Perpetua"/>
          <w:i/>
          <w:lang w:eastAsia="en-GB"/>
        </w:rPr>
        <w:t>2003</w:t>
      </w:r>
      <w:r w:rsidRPr="00D26055">
        <w:rPr>
          <w:rFonts w:ascii="Perpetua" w:hAnsi="Perpetua"/>
          <w:lang w:eastAsia="en-GB"/>
        </w:rPr>
        <w:t xml:space="preserve">, p. 1428.  </w:t>
      </w:r>
    </w:p>
    <w:p w:rsidR="00975183" w:rsidRPr="00D26055" w:rsidRDefault="00975183" w:rsidP="00442D33">
      <w:pPr>
        <w:pStyle w:val="FootnoteText"/>
        <w:rPr>
          <w:rFonts w:ascii="Perpetua" w:hAnsi="Perpetua"/>
        </w:rPr>
      </w:pPr>
      <w:r w:rsidRPr="00D26055">
        <w:rPr>
          <w:rFonts w:ascii="Perpetua" w:hAnsi="Perpetua"/>
          <w:i/>
        </w:rPr>
        <w:t>SRB</w:t>
      </w:r>
      <w:r w:rsidRPr="00D26055">
        <w:rPr>
          <w:rFonts w:ascii="Perpetua" w:hAnsi="Perpetua"/>
          <w:lang w:eastAsia="en-GB"/>
        </w:rPr>
        <w:t xml:space="preserve"> gives references to </w:t>
      </w:r>
      <w:r w:rsidRPr="00D26055">
        <w:rPr>
          <w:rFonts w:ascii="Perpetua" w:hAnsi="Perpetua"/>
        </w:rPr>
        <w:t xml:space="preserve">Mt. 24:36, 44, 48-51; 25:13, which </w:t>
      </w:r>
      <w:r w:rsidRPr="00D26055">
        <w:rPr>
          <w:rFonts w:ascii="Perpetua" w:hAnsi="Perpetua"/>
          <w:i/>
        </w:rPr>
        <w:t>1967/2003</w:t>
      </w:r>
      <w:r w:rsidRPr="00D26055">
        <w:rPr>
          <w:rFonts w:ascii="Perpetua" w:hAnsi="Perpetua"/>
        </w:rPr>
        <w:t xml:space="preserve"> omit.  </w:t>
      </w:r>
    </w:p>
    <w:p w:rsidR="00975183" w:rsidRPr="00D26055" w:rsidRDefault="00975183" w:rsidP="00442D33">
      <w:pPr>
        <w:pStyle w:val="FootnoteText"/>
        <w:rPr>
          <w:rFonts w:ascii="Perpetua" w:hAnsi="Perpetua"/>
        </w:rPr>
      </w:pPr>
      <w:r w:rsidRPr="00D26055">
        <w:rPr>
          <w:rFonts w:ascii="Perpetua" w:hAnsi="Perpetua"/>
        </w:rPr>
        <w:t>‘</w:t>
      </w:r>
      <w:r w:rsidRPr="00D26055">
        <w:rPr>
          <w:rFonts w:ascii="Perpetua" w:eastAsiaTheme="minorHAnsi" w:hAnsi="Perpetua"/>
          <w:lang w:val="en-US"/>
        </w:rPr>
        <w:t xml:space="preserve">But of that day and hour knoweth no </w:t>
      </w:r>
      <w:r w:rsidRPr="00D26055">
        <w:rPr>
          <w:rFonts w:ascii="Perpetua" w:eastAsiaTheme="minorHAnsi" w:hAnsi="Perpetua"/>
          <w:i/>
          <w:iCs/>
          <w:lang w:val="en-US"/>
        </w:rPr>
        <w:t>man,</w:t>
      </w:r>
      <w:r w:rsidRPr="00D26055">
        <w:rPr>
          <w:rFonts w:ascii="Perpetua" w:eastAsiaTheme="minorHAnsi" w:hAnsi="Perpetua"/>
          <w:lang w:val="en-US"/>
        </w:rPr>
        <w:t xml:space="preserve"> no, not the angels of heaven, but my Father only.</w:t>
      </w:r>
      <w:r w:rsidRPr="00D26055">
        <w:rPr>
          <w:rFonts w:ascii="Perpetua" w:hAnsi="Perpetua"/>
        </w:rPr>
        <w:t xml:space="preserve">’  Mt. 24:36, </w:t>
      </w:r>
      <w:r w:rsidRPr="00D26055">
        <w:rPr>
          <w:rFonts w:ascii="Perpetua" w:hAnsi="Perpetua"/>
          <w:i/>
        </w:rPr>
        <w:t>KJV</w:t>
      </w:r>
      <w:r w:rsidRPr="00D26055">
        <w:rPr>
          <w:rFonts w:ascii="Perpetua" w:hAnsi="Perpetua"/>
        </w:rPr>
        <w:t>.</w:t>
      </w:r>
    </w:p>
    <w:p w:rsidR="00975183" w:rsidRPr="00D26055" w:rsidRDefault="00975183" w:rsidP="00442D33">
      <w:pPr>
        <w:pStyle w:val="FootnoteText"/>
        <w:rPr>
          <w:rFonts w:ascii="Perpetua" w:hAnsi="Perpetua"/>
        </w:rPr>
      </w:pPr>
      <w:r w:rsidRPr="00D26055">
        <w:rPr>
          <w:rFonts w:ascii="Perpetua" w:hAnsi="Perpetua"/>
        </w:rPr>
        <w:t>‘</w:t>
      </w:r>
      <w:r w:rsidRPr="00D26055">
        <w:rPr>
          <w:rFonts w:ascii="Perpetua" w:eastAsiaTheme="minorHAnsi" w:hAnsi="Perpetua"/>
          <w:lang w:val="en-US"/>
        </w:rPr>
        <w:t xml:space="preserve">Therefore </w:t>
      </w:r>
      <w:proofErr w:type="gramStart"/>
      <w:r w:rsidRPr="00D26055">
        <w:rPr>
          <w:rFonts w:ascii="Perpetua" w:eastAsiaTheme="minorHAnsi" w:hAnsi="Perpetua"/>
          <w:lang w:val="en-US"/>
        </w:rPr>
        <w:t>be</w:t>
      </w:r>
      <w:proofErr w:type="gramEnd"/>
      <w:r w:rsidRPr="00D26055">
        <w:rPr>
          <w:rFonts w:ascii="Perpetua" w:eastAsiaTheme="minorHAnsi" w:hAnsi="Perpetua"/>
          <w:lang w:val="en-US"/>
        </w:rPr>
        <w:t xml:space="preserve"> ye also ready: for in such an hour as ye think not the Son of man cometh.</w:t>
      </w:r>
      <w:r w:rsidRPr="00D26055">
        <w:rPr>
          <w:rFonts w:ascii="Perpetua" w:hAnsi="Perpetua"/>
        </w:rPr>
        <w:t xml:space="preserve">’ Mt. 24:44, </w:t>
      </w:r>
      <w:r w:rsidRPr="00D26055">
        <w:rPr>
          <w:rFonts w:ascii="Perpetua" w:hAnsi="Perpetua"/>
          <w:i/>
        </w:rPr>
        <w:t>KJV</w:t>
      </w:r>
      <w:r w:rsidRPr="00D26055">
        <w:rPr>
          <w:rFonts w:ascii="Perpetua" w:hAnsi="Perpetua"/>
        </w:rPr>
        <w:t>.</w:t>
      </w:r>
    </w:p>
    <w:p w:rsidR="00975183" w:rsidRPr="00D26055" w:rsidRDefault="00975183" w:rsidP="00442D33">
      <w:pPr>
        <w:autoSpaceDE w:val="0"/>
        <w:autoSpaceDN w:val="0"/>
        <w:adjustRightInd w:val="0"/>
        <w:spacing w:after="0" w:line="240" w:lineRule="auto"/>
        <w:rPr>
          <w:sz w:val="20"/>
          <w:szCs w:val="20"/>
        </w:rPr>
      </w:pPr>
      <w:r w:rsidRPr="00D26055">
        <w:rPr>
          <w:sz w:val="20"/>
          <w:szCs w:val="20"/>
        </w:rPr>
        <w:t>‘</w:t>
      </w:r>
      <w:r w:rsidRPr="00D26055">
        <w:rPr>
          <w:sz w:val="20"/>
          <w:szCs w:val="20"/>
          <w:lang w:val="en-US"/>
        </w:rPr>
        <w:t xml:space="preserve">But and if that evil servant shall say in his heart, My lord delayeth his coming; </w:t>
      </w:r>
      <w:r w:rsidRPr="00D26055">
        <w:rPr>
          <w:sz w:val="20"/>
          <w:szCs w:val="20"/>
          <w:vertAlign w:val="superscript"/>
          <w:lang w:val="en-US"/>
        </w:rPr>
        <w:t>49</w:t>
      </w:r>
      <w:r w:rsidRPr="00D26055">
        <w:rPr>
          <w:sz w:val="20"/>
          <w:szCs w:val="20"/>
          <w:lang w:val="en-US"/>
        </w:rPr>
        <w:t xml:space="preserve">And shall begin to smite </w:t>
      </w:r>
      <w:r w:rsidRPr="00D26055">
        <w:rPr>
          <w:i/>
          <w:iCs/>
          <w:sz w:val="20"/>
          <w:szCs w:val="20"/>
          <w:lang w:val="en-US"/>
        </w:rPr>
        <w:t>his</w:t>
      </w:r>
      <w:r w:rsidRPr="00D26055">
        <w:rPr>
          <w:sz w:val="20"/>
          <w:szCs w:val="20"/>
          <w:lang w:val="en-US"/>
        </w:rPr>
        <w:t xml:space="preserve"> fellowservants, and to eat and drink with the drunken; </w:t>
      </w:r>
      <w:r w:rsidRPr="00D26055">
        <w:rPr>
          <w:sz w:val="20"/>
          <w:szCs w:val="20"/>
          <w:vertAlign w:val="superscript"/>
          <w:lang w:val="en-US"/>
        </w:rPr>
        <w:t>50</w:t>
      </w:r>
      <w:r w:rsidRPr="00D26055">
        <w:rPr>
          <w:sz w:val="20"/>
          <w:szCs w:val="20"/>
          <w:lang w:val="en-US"/>
        </w:rPr>
        <w:t xml:space="preserve">The lord of that servant shall come in a day when he looketh not for </w:t>
      </w:r>
      <w:r w:rsidRPr="00D26055">
        <w:rPr>
          <w:i/>
          <w:iCs/>
          <w:sz w:val="20"/>
          <w:szCs w:val="20"/>
          <w:lang w:val="en-US"/>
        </w:rPr>
        <w:t>him,</w:t>
      </w:r>
      <w:r w:rsidRPr="00D26055">
        <w:rPr>
          <w:sz w:val="20"/>
          <w:szCs w:val="20"/>
          <w:lang w:val="en-US"/>
        </w:rPr>
        <w:t xml:space="preserve"> and in an hour that he is not aware of, </w:t>
      </w:r>
      <w:r w:rsidRPr="00D26055">
        <w:rPr>
          <w:sz w:val="20"/>
          <w:szCs w:val="20"/>
          <w:vertAlign w:val="superscript"/>
          <w:lang w:val="en-US"/>
        </w:rPr>
        <w:t>51</w:t>
      </w:r>
      <w:r w:rsidRPr="00D26055">
        <w:rPr>
          <w:sz w:val="20"/>
          <w:szCs w:val="20"/>
          <w:lang w:val="en-US"/>
        </w:rPr>
        <w:t xml:space="preserve">And shall cut him asunder, and appoint </w:t>
      </w:r>
      <w:r w:rsidRPr="00D26055">
        <w:rPr>
          <w:i/>
          <w:iCs/>
          <w:sz w:val="20"/>
          <w:szCs w:val="20"/>
          <w:lang w:val="en-US"/>
        </w:rPr>
        <w:t>him</w:t>
      </w:r>
      <w:r w:rsidRPr="00D26055">
        <w:rPr>
          <w:sz w:val="20"/>
          <w:szCs w:val="20"/>
          <w:lang w:val="en-US"/>
        </w:rPr>
        <w:t xml:space="preserve"> his portion with the hypocrites: there shall be weeping and gnashing of teeth.</w:t>
      </w:r>
      <w:r w:rsidRPr="00D26055">
        <w:rPr>
          <w:sz w:val="20"/>
          <w:szCs w:val="20"/>
        </w:rPr>
        <w:t xml:space="preserve">’  Mt. 24:48-51, </w:t>
      </w:r>
      <w:r w:rsidRPr="00D26055">
        <w:rPr>
          <w:i/>
          <w:sz w:val="20"/>
          <w:szCs w:val="20"/>
        </w:rPr>
        <w:t>KJV</w:t>
      </w:r>
      <w:r w:rsidRPr="00D26055">
        <w:rPr>
          <w:sz w:val="20"/>
          <w:szCs w:val="20"/>
        </w:rPr>
        <w:t>.</w:t>
      </w:r>
    </w:p>
    <w:p w:rsidR="00975183" w:rsidRPr="00D26055" w:rsidRDefault="00975183" w:rsidP="00442D33">
      <w:pPr>
        <w:autoSpaceDE w:val="0"/>
        <w:autoSpaceDN w:val="0"/>
        <w:adjustRightInd w:val="0"/>
        <w:spacing w:after="0" w:line="240" w:lineRule="auto"/>
        <w:rPr>
          <w:sz w:val="20"/>
          <w:szCs w:val="20"/>
        </w:rPr>
      </w:pPr>
      <w:r w:rsidRPr="00D26055">
        <w:rPr>
          <w:sz w:val="20"/>
          <w:szCs w:val="20"/>
        </w:rPr>
        <w:t>‘</w:t>
      </w:r>
      <w:r w:rsidRPr="00D26055">
        <w:rPr>
          <w:sz w:val="20"/>
          <w:szCs w:val="20"/>
          <w:lang w:val="en-US"/>
        </w:rPr>
        <w:t>Watch therefore, for ye know neither the day nor the hour wherein the Son of man cometh.</w:t>
      </w:r>
      <w:r w:rsidRPr="00D26055">
        <w:rPr>
          <w:sz w:val="20"/>
          <w:szCs w:val="20"/>
        </w:rPr>
        <w:t xml:space="preserve">’  Mt. 25:13, </w:t>
      </w:r>
      <w:r w:rsidRPr="00D26055">
        <w:rPr>
          <w:i/>
          <w:sz w:val="20"/>
          <w:szCs w:val="20"/>
        </w:rPr>
        <w:t>KJV</w:t>
      </w:r>
      <w:r w:rsidRPr="00D26055">
        <w:rPr>
          <w:sz w:val="20"/>
          <w:szCs w:val="20"/>
        </w:rPr>
        <w:t>.</w:t>
      </w:r>
    </w:p>
    <w:p w:rsidR="00975183" w:rsidRPr="00D26055" w:rsidRDefault="00975183" w:rsidP="00442D33">
      <w:pPr>
        <w:autoSpaceDE w:val="0"/>
        <w:autoSpaceDN w:val="0"/>
        <w:adjustRightInd w:val="0"/>
        <w:spacing w:after="0" w:line="240" w:lineRule="auto"/>
        <w:rPr>
          <w:sz w:val="20"/>
          <w:szCs w:val="20"/>
        </w:rPr>
      </w:pPr>
      <w:r w:rsidRPr="00D26055">
        <w:rPr>
          <w:sz w:val="20"/>
          <w:szCs w:val="20"/>
        </w:rPr>
        <w:t xml:space="preserve">The other verses, to which all versions refer, are 1 Cor. 15:51-2; Phil. 3:20; 1 Thess. 1:10; 4:14-17; </w:t>
      </w:r>
    </w:p>
    <w:p w:rsidR="00975183" w:rsidRPr="00D26055" w:rsidRDefault="00975183" w:rsidP="00442D33">
      <w:pPr>
        <w:autoSpaceDE w:val="0"/>
        <w:autoSpaceDN w:val="0"/>
        <w:adjustRightInd w:val="0"/>
        <w:spacing w:after="0" w:line="240" w:lineRule="auto"/>
        <w:rPr>
          <w:sz w:val="20"/>
          <w:szCs w:val="20"/>
        </w:rPr>
      </w:pPr>
      <w:proofErr w:type="gramStart"/>
      <w:r w:rsidRPr="00D26055">
        <w:rPr>
          <w:sz w:val="20"/>
          <w:szCs w:val="20"/>
        </w:rPr>
        <w:t>1 Tim. 6:14; Tit. 2:13 and Rev. 22:20.</w:t>
      </w:r>
      <w:proofErr w:type="gramEnd"/>
    </w:p>
  </w:endnote>
  <w:endnote w:id="1671">
    <w:p w:rsidR="00975183" w:rsidRPr="00DC11CB" w:rsidRDefault="00975183" w:rsidP="00442D33">
      <w:pPr>
        <w:pStyle w:val="EndnoteText"/>
      </w:pPr>
      <w:r w:rsidRPr="00DC11CB">
        <w:rPr>
          <w:rStyle w:val="EndnoteReference"/>
        </w:rPr>
        <w:endnoteRef/>
      </w:r>
      <w:r w:rsidRPr="00DC11CB">
        <w:t xml:space="preserve"> Subhead to 1 Thess. 4:1, </w:t>
      </w:r>
      <w:r w:rsidRPr="00DC11CB">
        <w:rPr>
          <w:i/>
        </w:rPr>
        <w:t>SRB</w:t>
      </w:r>
      <w:r w:rsidRPr="00DC11CB">
        <w:t xml:space="preserve">, p. 1269; </w:t>
      </w:r>
      <w:r w:rsidRPr="00DC11CB">
        <w:rPr>
          <w:i/>
        </w:rPr>
        <w:t>NSRE 1967</w:t>
      </w:r>
      <w:r w:rsidRPr="00DC11CB">
        <w:rPr>
          <w:lang w:eastAsia="en-GB"/>
        </w:rPr>
        <w:t xml:space="preserve">, p. 1192; </w:t>
      </w:r>
      <w:r w:rsidRPr="00DC11CB">
        <w:rPr>
          <w:i/>
          <w:iCs/>
          <w:lang w:eastAsia="en-GB"/>
        </w:rPr>
        <w:t>SSB III, KJV</w:t>
      </w:r>
      <w:r w:rsidRPr="00DC11CB">
        <w:rPr>
          <w:lang w:eastAsia="en-GB"/>
        </w:rPr>
        <w:t xml:space="preserve">, </w:t>
      </w:r>
      <w:r w:rsidRPr="00DC11CB">
        <w:rPr>
          <w:i/>
          <w:lang w:eastAsia="en-GB"/>
        </w:rPr>
        <w:t>2003</w:t>
      </w:r>
      <w:r w:rsidRPr="00DC11CB">
        <w:rPr>
          <w:lang w:eastAsia="en-GB"/>
        </w:rPr>
        <w:t xml:space="preserve">, p. 1578.  </w:t>
      </w:r>
    </w:p>
  </w:endnote>
  <w:endnote w:id="1672">
    <w:p w:rsidR="00975183" w:rsidRPr="00DC11CB" w:rsidRDefault="00975183" w:rsidP="00442D33">
      <w:pPr>
        <w:pStyle w:val="EndnoteText"/>
      </w:pPr>
      <w:r w:rsidRPr="00DC11CB">
        <w:rPr>
          <w:rStyle w:val="FootnoteReference"/>
        </w:rPr>
        <w:endnoteRef/>
      </w:r>
      <w:r w:rsidRPr="00DC11CB">
        <w:t xml:space="preserve"> Note on 1 Thess. 4:17, </w:t>
      </w:r>
      <w:r w:rsidRPr="00DC11CB">
        <w:rPr>
          <w:i/>
        </w:rPr>
        <w:t>SRB</w:t>
      </w:r>
      <w:r w:rsidRPr="00DC11CB">
        <w:t xml:space="preserve">, p. 1269; </w:t>
      </w:r>
      <w:r w:rsidRPr="00DC11CB">
        <w:rPr>
          <w:i/>
        </w:rPr>
        <w:t>NSRE 1967</w:t>
      </w:r>
      <w:r w:rsidRPr="00DC11CB">
        <w:rPr>
          <w:lang w:eastAsia="en-GB"/>
        </w:rPr>
        <w:t xml:space="preserve">, p. 1292;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1579.</w:t>
      </w:r>
    </w:p>
  </w:endnote>
  <w:endnote w:id="1673">
    <w:p w:rsidR="00975183" w:rsidRPr="00DC11CB" w:rsidRDefault="00975183" w:rsidP="00442D33">
      <w:pPr>
        <w:pStyle w:val="EndnoteText"/>
      </w:pPr>
      <w:r w:rsidRPr="00DC11CB">
        <w:rPr>
          <w:rStyle w:val="EndnoteReference"/>
        </w:rPr>
        <w:endnoteRef/>
      </w:r>
      <w:r w:rsidRPr="00DC11CB">
        <w:t xml:space="preserve"> Note on Acts 2:1, </w:t>
      </w:r>
      <w:r w:rsidRPr="00DC11CB">
        <w:rPr>
          <w:i/>
        </w:rPr>
        <w:t>NSRE 1967</w:t>
      </w:r>
      <w:r w:rsidRPr="00DC11CB">
        <w:rPr>
          <w:lang w:eastAsia="en-GB"/>
        </w:rPr>
        <w:t xml:space="preserve">, p. 1162;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1429.</w:t>
      </w:r>
    </w:p>
  </w:endnote>
  <w:endnote w:id="1674">
    <w:p w:rsidR="00975183" w:rsidRPr="00DC11CB" w:rsidRDefault="00975183" w:rsidP="00442D33">
      <w:pPr>
        <w:pStyle w:val="EndnoteText"/>
      </w:pPr>
      <w:r w:rsidRPr="00DC11CB">
        <w:rPr>
          <w:rStyle w:val="EndnoteReference"/>
        </w:rPr>
        <w:endnoteRef/>
      </w:r>
      <w:r w:rsidRPr="00DC11CB">
        <w:t xml:space="preserve"> Introduction to 1 Thessalonians, </w:t>
      </w:r>
      <w:r w:rsidRPr="00DC11CB">
        <w:rPr>
          <w:i/>
        </w:rPr>
        <w:t>NSRE 1967</w:t>
      </w:r>
      <w:r w:rsidRPr="00DC11CB">
        <w:rPr>
          <w:lang w:eastAsia="en-GB"/>
        </w:rPr>
        <w:t xml:space="preserve">, p. 1290;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1576.</w:t>
      </w:r>
    </w:p>
  </w:endnote>
  <w:endnote w:id="1675">
    <w:p w:rsidR="00975183" w:rsidRPr="00DC11CB" w:rsidRDefault="00975183" w:rsidP="00442D33">
      <w:pPr>
        <w:pStyle w:val="FootnoteText"/>
        <w:rPr>
          <w:rFonts w:ascii="Perpetua" w:hAnsi="Perpetua"/>
        </w:rPr>
      </w:pPr>
      <w:r w:rsidRPr="00DC11CB">
        <w:rPr>
          <w:rStyle w:val="FootnoteReference"/>
          <w:rFonts w:ascii="Perpetua" w:hAnsi="Perpetua"/>
        </w:rPr>
        <w:endnoteRef/>
      </w:r>
      <w:r w:rsidRPr="00DC11CB">
        <w:rPr>
          <w:rFonts w:ascii="Perpetua" w:hAnsi="Perpetua"/>
        </w:rPr>
        <w:t xml:space="preserve"> Note on Isa. 59:20, </w:t>
      </w:r>
      <w:r w:rsidRPr="00DC11CB">
        <w:rPr>
          <w:rFonts w:ascii="Perpetua" w:hAnsi="Perpetua"/>
          <w:i/>
        </w:rPr>
        <w:t>SRB</w:t>
      </w:r>
      <w:r w:rsidRPr="00DC11CB">
        <w:rPr>
          <w:rFonts w:ascii="Perpetua" w:hAnsi="Perpetua"/>
        </w:rPr>
        <w:t xml:space="preserve">, p. 765; </w:t>
      </w:r>
      <w:r w:rsidRPr="00DC11CB">
        <w:rPr>
          <w:rFonts w:ascii="Perpetua" w:hAnsi="Perpetua"/>
          <w:i/>
        </w:rPr>
        <w:t>NSRE 1967</w:t>
      </w:r>
      <w:r w:rsidRPr="00DC11CB">
        <w:rPr>
          <w:rFonts w:ascii="Perpetua" w:hAnsi="Perpetua"/>
          <w:lang w:eastAsia="en-GB"/>
        </w:rPr>
        <w:t xml:space="preserve">, p. 763; </w:t>
      </w:r>
      <w:r w:rsidRPr="00DC11CB">
        <w:rPr>
          <w:rFonts w:ascii="Perpetua" w:hAnsi="Perpetua"/>
          <w:i/>
          <w:iCs/>
          <w:lang w:eastAsia="en-GB"/>
        </w:rPr>
        <w:t>SSB III, KJV</w:t>
      </w:r>
      <w:r w:rsidRPr="00DC11CB">
        <w:rPr>
          <w:rFonts w:ascii="Perpetua" w:hAnsi="Perpetua"/>
          <w:lang w:eastAsia="en-GB"/>
        </w:rPr>
        <w:t xml:space="preserve">, </w:t>
      </w:r>
      <w:r w:rsidRPr="00DC11CB">
        <w:rPr>
          <w:rFonts w:ascii="Perpetua" w:hAnsi="Perpetua"/>
          <w:i/>
          <w:lang w:eastAsia="en-GB"/>
        </w:rPr>
        <w:t>2003</w:t>
      </w:r>
      <w:r w:rsidRPr="00DC11CB">
        <w:rPr>
          <w:rFonts w:ascii="Perpetua" w:hAnsi="Perpetua"/>
          <w:lang w:eastAsia="en-GB"/>
        </w:rPr>
        <w:t xml:space="preserve">, p. 950.  </w:t>
      </w:r>
    </w:p>
  </w:endnote>
  <w:endnote w:id="1676">
    <w:p w:rsidR="00975183" w:rsidRPr="00DC11CB" w:rsidRDefault="00975183" w:rsidP="00442D33">
      <w:pPr>
        <w:pStyle w:val="EndnoteText"/>
      </w:pPr>
      <w:r w:rsidRPr="00DC11CB">
        <w:rPr>
          <w:rStyle w:val="FootnoteReference"/>
        </w:rPr>
        <w:endnoteRef/>
      </w:r>
      <w:r w:rsidRPr="00DC11CB">
        <w:t xml:space="preserve"> </w:t>
      </w:r>
      <w:proofErr w:type="gramStart"/>
      <w:r w:rsidRPr="00DC11CB">
        <w:rPr>
          <w:i/>
        </w:rPr>
        <w:t>SRB</w:t>
      </w:r>
      <w:r w:rsidRPr="00DC11CB">
        <w:t xml:space="preserve"> note on Rev. 14:6.</w:t>
      </w:r>
      <w:proofErr w:type="gramEnd"/>
      <w:r w:rsidRPr="00DC11CB">
        <w:t xml:space="preserve">  </w:t>
      </w:r>
    </w:p>
  </w:endnote>
  <w:endnote w:id="1677">
    <w:p w:rsidR="00975183" w:rsidRPr="00DC11CB" w:rsidRDefault="00975183" w:rsidP="00442D33">
      <w:pPr>
        <w:pStyle w:val="EndnoteText"/>
      </w:pPr>
      <w:r w:rsidRPr="00DC11CB">
        <w:rPr>
          <w:rStyle w:val="FootnoteReference"/>
        </w:rPr>
        <w:endnoteRef/>
      </w:r>
      <w:r w:rsidRPr="00DC11CB">
        <w:t xml:space="preserve"> Note on Mt. 4:17, </w:t>
      </w:r>
      <w:r w:rsidRPr="00DC11CB">
        <w:rPr>
          <w:i/>
        </w:rPr>
        <w:t>SRB</w:t>
      </w:r>
      <w:r w:rsidRPr="00DC11CB">
        <w:t xml:space="preserve">, p. 998; </w:t>
      </w:r>
      <w:r w:rsidRPr="00DC11CB">
        <w:rPr>
          <w:i/>
        </w:rPr>
        <w:t>NSRE 1967</w:t>
      </w:r>
      <w:r w:rsidRPr="00DC11CB">
        <w:rPr>
          <w:lang w:eastAsia="en-GB"/>
        </w:rPr>
        <w:t xml:space="preserve">, p. 996;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1240.</w:t>
      </w:r>
    </w:p>
  </w:endnote>
  <w:endnote w:id="1678">
    <w:p w:rsidR="00975183" w:rsidRPr="00DC11CB" w:rsidRDefault="00975183" w:rsidP="00442D33">
      <w:pPr>
        <w:pStyle w:val="FootnoteText"/>
        <w:rPr>
          <w:rFonts w:ascii="Perpetua" w:hAnsi="Perpetua"/>
          <w:lang w:eastAsia="en-GB"/>
        </w:rPr>
      </w:pPr>
      <w:r w:rsidRPr="00DC11CB">
        <w:rPr>
          <w:rStyle w:val="FootnoteReference"/>
          <w:rFonts w:ascii="Perpetua" w:hAnsi="Perpetua"/>
        </w:rPr>
        <w:endnoteRef/>
      </w:r>
      <w:r w:rsidRPr="00DC11CB">
        <w:rPr>
          <w:rFonts w:ascii="Perpetua" w:hAnsi="Perpetua"/>
        </w:rPr>
        <w:t xml:space="preserve"> Subhead to Acts 15:13, </w:t>
      </w:r>
      <w:r w:rsidRPr="00DC11CB">
        <w:rPr>
          <w:rFonts w:ascii="Perpetua" w:hAnsi="Perpetua"/>
          <w:i/>
        </w:rPr>
        <w:t>SRB</w:t>
      </w:r>
      <w:r w:rsidRPr="00DC11CB">
        <w:rPr>
          <w:rFonts w:ascii="Perpetua" w:hAnsi="Perpetua"/>
        </w:rPr>
        <w:t xml:space="preserve">, p. 1169; </w:t>
      </w:r>
      <w:r w:rsidRPr="00DC11CB">
        <w:rPr>
          <w:rFonts w:ascii="Perpetua" w:hAnsi="Perpetua"/>
          <w:i/>
        </w:rPr>
        <w:t>NSRE 1967</w:t>
      </w:r>
      <w:r w:rsidRPr="00DC11CB">
        <w:rPr>
          <w:rFonts w:ascii="Perpetua" w:hAnsi="Perpetua"/>
          <w:lang w:eastAsia="en-GB"/>
        </w:rPr>
        <w:t xml:space="preserve">, p. 1185; </w:t>
      </w:r>
      <w:r w:rsidRPr="00DC11CB">
        <w:rPr>
          <w:rFonts w:ascii="Perpetua" w:hAnsi="Perpetua"/>
          <w:i/>
          <w:iCs/>
          <w:lang w:eastAsia="en-GB"/>
        </w:rPr>
        <w:t>SSB III, KJV</w:t>
      </w:r>
      <w:r w:rsidRPr="00DC11CB">
        <w:rPr>
          <w:rFonts w:ascii="Perpetua" w:hAnsi="Perpetua"/>
          <w:lang w:eastAsia="en-GB"/>
        </w:rPr>
        <w:t xml:space="preserve">, </w:t>
      </w:r>
      <w:r w:rsidRPr="00DC11CB">
        <w:rPr>
          <w:rFonts w:ascii="Perpetua" w:hAnsi="Perpetua"/>
          <w:i/>
          <w:lang w:eastAsia="en-GB"/>
        </w:rPr>
        <w:t>2003</w:t>
      </w:r>
      <w:r w:rsidRPr="00DC11CB">
        <w:rPr>
          <w:rFonts w:ascii="Perpetua" w:hAnsi="Perpetua"/>
          <w:lang w:eastAsia="en-GB"/>
        </w:rPr>
        <w:t xml:space="preserve">, p. 1455.  ‘The outcalling of the Gentiles agrees with the promises to Israel.’  </w:t>
      </w:r>
    </w:p>
    <w:p w:rsidR="00975183" w:rsidRPr="00DC11CB" w:rsidRDefault="00975183" w:rsidP="00442D33">
      <w:pPr>
        <w:pStyle w:val="EndnoteText"/>
      </w:pPr>
      <w:r w:rsidRPr="00DC11CB">
        <w:rPr>
          <w:lang w:eastAsia="en-GB"/>
        </w:rPr>
        <w:t xml:space="preserve">Note on Acts 15:13, </w:t>
      </w:r>
      <w:r w:rsidRPr="00DC11CB">
        <w:rPr>
          <w:i/>
        </w:rPr>
        <w:t>SRB</w:t>
      </w:r>
      <w:r w:rsidRPr="00DC11CB">
        <w:t xml:space="preserve">, pp. 1169-70; </w:t>
      </w:r>
      <w:r w:rsidRPr="00DC11CB">
        <w:rPr>
          <w:i/>
        </w:rPr>
        <w:t>NSRE 1967</w:t>
      </w:r>
      <w:r w:rsidRPr="00DC11CB">
        <w:rPr>
          <w:lang w:eastAsia="en-GB"/>
        </w:rPr>
        <w:t xml:space="preserve">, p. 1186; </w:t>
      </w:r>
      <w:r w:rsidRPr="00DC11CB">
        <w:rPr>
          <w:i/>
          <w:iCs/>
          <w:lang w:eastAsia="en-GB"/>
        </w:rPr>
        <w:t>SSB III, KJV</w:t>
      </w:r>
      <w:r w:rsidRPr="00DC11CB">
        <w:rPr>
          <w:lang w:eastAsia="en-GB"/>
        </w:rPr>
        <w:t xml:space="preserve">, </w:t>
      </w:r>
      <w:r w:rsidRPr="00DC11CB">
        <w:rPr>
          <w:i/>
          <w:lang w:eastAsia="en-GB"/>
        </w:rPr>
        <w:t>2003</w:t>
      </w:r>
      <w:r w:rsidRPr="00DC11CB">
        <w:rPr>
          <w:lang w:eastAsia="en-GB"/>
        </w:rPr>
        <w:t>, p. 1456.</w:t>
      </w:r>
    </w:p>
  </w:endnote>
  <w:endnote w:id="1679">
    <w:p w:rsidR="00975183" w:rsidRPr="00DC11CB" w:rsidRDefault="00975183" w:rsidP="00442D33">
      <w:pPr>
        <w:pStyle w:val="FootnoteText"/>
        <w:rPr>
          <w:rFonts w:ascii="Perpetua" w:hAnsi="Perpetua"/>
        </w:rPr>
      </w:pPr>
      <w:r w:rsidRPr="00DC11CB">
        <w:rPr>
          <w:rStyle w:val="FootnoteReference"/>
          <w:rFonts w:ascii="Perpetua" w:hAnsi="Perpetua"/>
        </w:rPr>
        <w:endnoteRef/>
      </w:r>
      <w:r w:rsidRPr="00DC11CB">
        <w:rPr>
          <w:rFonts w:ascii="Perpetua" w:hAnsi="Perpetua"/>
        </w:rPr>
        <w:t xml:space="preserve"> Note on Rom. 11:25, </w:t>
      </w:r>
      <w:r w:rsidRPr="00DC11CB">
        <w:rPr>
          <w:rFonts w:ascii="Perpetua" w:hAnsi="Perpetua"/>
          <w:i/>
        </w:rPr>
        <w:t>SRB</w:t>
      </w:r>
      <w:r w:rsidRPr="00DC11CB">
        <w:rPr>
          <w:rFonts w:ascii="Perpetua" w:hAnsi="Perpetua"/>
        </w:rPr>
        <w:t xml:space="preserve">, p. 1206; </w:t>
      </w:r>
      <w:r w:rsidRPr="00DC11CB">
        <w:rPr>
          <w:rFonts w:ascii="Perpetua" w:hAnsi="Perpetua"/>
          <w:i/>
        </w:rPr>
        <w:t>NSRE 1967</w:t>
      </w:r>
      <w:r w:rsidRPr="00DC11CB">
        <w:rPr>
          <w:rFonts w:ascii="Perpetua" w:hAnsi="Perpetua"/>
          <w:lang w:eastAsia="en-GB"/>
        </w:rPr>
        <w:t xml:space="preserve">, p. 1226; </w:t>
      </w:r>
      <w:r w:rsidRPr="00DC11CB">
        <w:rPr>
          <w:rFonts w:ascii="Perpetua" w:hAnsi="Perpetua"/>
          <w:i/>
          <w:iCs/>
          <w:lang w:eastAsia="en-GB"/>
        </w:rPr>
        <w:t>SSB III, KJV</w:t>
      </w:r>
      <w:r w:rsidRPr="00DC11CB">
        <w:rPr>
          <w:rFonts w:ascii="Perpetua" w:hAnsi="Perpetua"/>
          <w:lang w:eastAsia="en-GB"/>
        </w:rPr>
        <w:t xml:space="preserve">, </w:t>
      </w:r>
      <w:r w:rsidRPr="00DC11CB">
        <w:rPr>
          <w:rFonts w:ascii="Perpetua" w:hAnsi="Perpetua"/>
          <w:i/>
          <w:lang w:eastAsia="en-GB"/>
        </w:rPr>
        <w:t>2003</w:t>
      </w:r>
      <w:r w:rsidRPr="00DC11CB">
        <w:rPr>
          <w:rFonts w:ascii="Perpetua" w:hAnsi="Perpetua"/>
          <w:lang w:eastAsia="en-GB"/>
        </w:rPr>
        <w:t>, p. 1503.  ‘The “fullness of the Gentiles” is the completion of the purpose of God in this age, viz. the outcalling from among the Gentiles of a people for Christ’s name…’</w:t>
      </w:r>
    </w:p>
  </w:endnote>
  <w:endnote w:id="1680">
    <w:p w:rsidR="00975183" w:rsidRPr="00DC11CB" w:rsidRDefault="00975183" w:rsidP="00442D33">
      <w:pPr>
        <w:pStyle w:val="EndnoteText"/>
      </w:pPr>
      <w:r w:rsidRPr="00DC11CB">
        <w:rPr>
          <w:rStyle w:val="EndnoteReference"/>
        </w:rPr>
        <w:endnoteRef/>
      </w:r>
      <w:r w:rsidRPr="00DC11CB">
        <w:t xml:space="preserve"> </w:t>
      </w:r>
      <w:proofErr w:type="gramStart"/>
      <w:r w:rsidRPr="001A15F1">
        <w:rPr>
          <w:b/>
        </w:rPr>
        <w:t>See 7.1.2.1</w:t>
      </w:r>
      <w:r w:rsidRPr="001A15F1">
        <w:t>.</w:t>
      </w:r>
      <w:proofErr w:type="gramEnd"/>
    </w:p>
  </w:endnote>
  <w:endnote w:id="1681">
    <w:p w:rsidR="00975183" w:rsidRPr="00DC11CB" w:rsidRDefault="00975183" w:rsidP="00442D33">
      <w:pPr>
        <w:pStyle w:val="EndnoteText"/>
      </w:pPr>
      <w:r w:rsidRPr="00DC11CB">
        <w:rPr>
          <w:rStyle w:val="EndnoteReference"/>
        </w:rPr>
        <w:endnoteRef/>
      </w:r>
      <w:r w:rsidRPr="00DC11CB">
        <w:t xml:space="preserve"> </w:t>
      </w:r>
      <w:r w:rsidRPr="00DC11CB">
        <w:rPr>
          <w:i/>
        </w:rPr>
        <w:t>SRB</w:t>
      </w:r>
      <w:r w:rsidRPr="00DC11CB">
        <w:t xml:space="preserve"> note on Acts 2:4, p. 1150 and subhead to Acts 2:42, p. 1152.</w:t>
      </w:r>
    </w:p>
  </w:endnote>
  <w:endnote w:id="1682">
    <w:p w:rsidR="00975183" w:rsidRPr="00AF73CA" w:rsidRDefault="00975183" w:rsidP="006A2E06">
      <w:pPr>
        <w:pStyle w:val="EndnoteText"/>
      </w:pPr>
      <w:r w:rsidRPr="00DA01AD">
        <w:rPr>
          <w:rStyle w:val="FootnoteReference"/>
        </w:rPr>
        <w:endnoteRef/>
      </w:r>
      <w:r w:rsidRPr="00DA01AD">
        <w:t xml:space="preserve"> Blaising</w:t>
      </w:r>
      <w:r>
        <w:t xml:space="preserve"> and Bock</w:t>
      </w:r>
      <w:r w:rsidRPr="00DA01AD">
        <w:t>, ‘</w:t>
      </w:r>
      <w:r>
        <w:t>Assessment and Dialogue</w:t>
      </w:r>
      <w:r w:rsidRPr="00DA01AD">
        <w:t xml:space="preserve">’, </w:t>
      </w:r>
      <w:r w:rsidRPr="00DA01AD">
        <w:rPr>
          <w:i/>
        </w:rPr>
        <w:t>Dispensationalism</w:t>
      </w:r>
      <w:r w:rsidRPr="0035306A">
        <w:rPr>
          <w:i/>
        </w:rPr>
        <w:t>,</w:t>
      </w:r>
      <w:r>
        <w:t xml:space="preserve"> </w:t>
      </w:r>
      <w:r w:rsidRPr="0035306A">
        <w:rPr>
          <w:i/>
        </w:rPr>
        <w:t>Israel &amp; Church</w:t>
      </w:r>
      <w:r>
        <w:t xml:space="preserve">, </w:t>
      </w:r>
      <w:r w:rsidRPr="00DA01AD">
        <w:t xml:space="preserve">p. </w:t>
      </w:r>
      <w:r>
        <w:t>379</w:t>
      </w:r>
      <w:r w:rsidRPr="00DA01AD">
        <w:t>.</w:t>
      </w:r>
      <w:r>
        <w:t xml:space="preserve">  </w:t>
      </w:r>
      <w:r w:rsidRPr="00AF73CA">
        <w:rPr>
          <w:b/>
        </w:rPr>
        <w:t>See 1.2</w:t>
      </w:r>
      <w:r w:rsidRPr="00AF73CA">
        <w:t>.</w:t>
      </w:r>
    </w:p>
  </w:endnote>
  <w:endnote w:id="1683">
    <w:p w:rsidR="00975183" w:rsidRDefault="00975183" w:rsidP="006A2E06">
      <w:pPr>
        <w:pStyle w:val="EndnoteText"/>
      </w:pPr>
      <w:r w:rsidRPr="00AF73CA">
        <w:rPr>
          <w:rStyle w:val="FootnoteReference"/>
        </w:rPr>
        <w:endnoteRef/>
      </w:r>
      <w:r w:rsidRPr="00AF73CA">
        <w:t xml:space="preserve"> Watson, </w:t>
      </w:r>
      <w:r w:rsidRPr="00AF73CA">
        <w:rPr>
          <w:i/>
        </w:rPr>
        <w:t xml:space="preserve">Dispensationalism </w:t>
      </w:r>
      <w:proofErr w:type="gramStart"/>
      <w:r w:rsidRPr="00AF73CA">
        <w:rPr>
          <w:i/>
        </w:rPr>
        <w:t>Before</w:t>
      </w:r>
      <w:proofErr w:type="gramEnd"/>
      <w:r w:rsidRPr="00AF73CA">
        <w:rPr>
          <w:i/>
        </w:rPr>
        <w:t xml:space="preserve"> Darby</w:t>
      </w:r>
      <w:r w:rsidRPr="00AF73CA">
        <w:t>, p. 3.</w:t>
      </w:r>
    </w:p>
  </w:endnote>
  <w:endnote w:id="1684">
    <w:p w:rsidR="00975183" w:rsidRDefault="00975183" w:rsidP="006A2E06">
      <w:pPr>
        <w:pStyle w:val="EndnoteText"/>
      </w:pPr>
      <w:r w:rsidRPr="00DA01AD">
        <w:rPr>
          <w:rStyle w:val="FootnoteReference"/>
          <w:sz w:val="18"/>
        </w:rPr>
        <w:endnoteRef/>
      </w:r>
      <w:r w:rsidRPr="00DA01AD">
        <w:rPr>
          <w:sz w:val="18"/>
        </w:rPr>
        <w:t xml:space="preserve"> </w:t>
      </w:r>
      <w:r w:rsidRPr="00DA01AD">
        <w:t xml:space="preserve">Weber, </w:t>
      </w:r>
      <w:r>
        <w:rPr>
          <w:i/>
        </w:rPr>
        <w:t>Armageddon</w:t>
      </w:r>
      <w:r w:rsidRPr="00DA01AD">
        <w:t xml:space="preserve">, p. </w:t>
      </w:r>
      <w:r>
        <w:t>10</w:t>
      </w:r>
      <w:r w:rsidRPr="00DA01AD">
        <w:t>.</w:t>
      </w:r>
    </w:p>
  </w:endnote>
  <w:endnote w:id="1685">
    <w:p w:rsidR="00975183" w:rsidRDefault="00975183" w:rsidP="006A2E06">
      <w:pPr>
        <w:pStyle w:val="EndnoteText"/>
      </w:pPr>
      <w:r w:rsidRPr="00DA01AD">
        <w:rPr>
          <w:rStyle w:val="FootnoteReference"/>
        </w:rPr>
        <w:endnoteRef/>
      </w:r>
      <w:r w:rsidRPr="00DA01AD">
        <w:t xml:space="preserve"> Weber, </w:t>
      </w:r>
      <w:r w:rsidRPr="00DA01AD">
        <w:rPr>
          <w:i/>
        </w:rPr>
        <w:t>Shadow</w:t>
      </w:r>
      <w:r w:rsidRPr="00DA01AD">
        <w:t>, p. 9.</w:t>
      </w:r>
    </w:p>
  </w:endnote>
  <w:endnote w:id="1686">
    <w:p w:rsidR="00975183" w:rsidRDefault="00975183" w:rsidP="006A2E06">
      <w:pPr>
        <w:pStyle w:val="EndnoteText"/>
      </w:pPr>
      <w:r w:rsidRPr="00DA01AD">
        <w:rPr>
          <w:rStyle w:val="FootnoteReference"/>
        </w:rPr>
        <w:endnoteRef/>
      </w:r>
      <w:r w:rsidRPr="00DA01AD">
        <w:t xml:space="preserve"> Weber, </w:t>
      </w:r>
      <w:r w:rsidRPr="00DA01AD">
        <w:rPr>
          <w:i/>
        </w:rPr>
        <w:t>Shadow</w:t>
      </w:r>
      <w:r w:rsidRPr="00DA01AD">
        <w:t>, p</w:t>
      </w:r>
      <w:r>
        <w:t>p</w:t>
      </w:r>
      <w:r w:rsidRPr="00DA01AD">
        <w:t>. 9</w:t>
      </w:r>
      <w:r>
        <w:t>-10</w:t>
      </w:r>
      <w:r w:rsidRPr="00DA01AD">
        <w:t>.</w:t>
      </w:r>
    </w:p>
  </w:endnote>
  <w:endnote w:id="1687">
    <w:p w:rsidR="00975183" w:rsidRDefault="00975183" w:rsidP="006A2E06">
      <w:pPr>
        <w:pStyle w:val="EndnoteText"/>
      </w:pPr>
      <w:r w:rsidRPr="00DA01AD">
        <w:rPr>
          <w:rStyle w:val="FootnoteReference"/>
        </w:rPr>
        <w:endnoteRef/>
      </w:r>
      <w:r w:rsidRPr="00DA01AD">
        <w:t xml:space="preserve"> Sandeen, </w:t>
      </w:r>
      <w:r w:rsidRPr="00DA01AD">
        <w:rPr>
          <w:i/>
        </w:rPr>
        <w:t>Roots</w:t>
      </w:r>
      <w:r w:rsidRPr="00DA01AD">
        <w:t>, pp. 36-7.</w:t>
      </w:r>
    </w:p>
  </w:endnote>
  <w:endnote w:id="1688">
    <w:p w:rsidR="00975183" w:rsidRDefault="00975183" w:rsidP="006A2E06">
      <w:pPr>
        <w:pStyle w:val="EndnoteText"/>
      </w:pPr>
      <w:r w:rsidRPr="00DA01AD">
        <w:rPr>
          <w:rStyle w:val="FootnoteReference"/>
          <w:sz w:val="18"/>
        </w:rPr>
        <w:endnoteRef/>
      </w:r>
      <w:r w:rsidRPr="00DA01AD">
        <w:rPr>
          <w:sz w:val="18"/>
        </w:rPr>
        <w:t xml:space="preserve"> </w:t>
      </w:r>
      <w:r w:rsidRPr="00DA01AD">
        <w:t xml:space="preserve">Weber, </w:t>
      </w:r>
      <w:r w:rsidRPr="00DA01AD">
        <w:rPr>
          <w:i/>
        </w:rPr>
        <w:t>Shadow</w:t>
      </w:r>
      <w:r w:rsidRPr="00DA01AD">
        <w:t xml:space="preserve">, p. </w:t>
      </w:r>
      <w:r>
        <w:t>16</w:t>
      </w:r>
      <w:r w:rsidRPr="00DA01AD">
        <w:t>.</w:t>
      </w:r>
    </w:p>
  </w:endnote>
  <w:endnote w:id="1689">
    <w:p w:rsidR="00975183" w:rsidRDefault="00975183" w:rsidP="006A2E06">
      <w:pPr>
        <w:pStyle w:val="EndnoteText"/>
      </w:pPr>
      <w:r w:rsidRPr="00DA01AD">
        <w:rPr>
          <w:rStyle w:val="FootnoteReference"/>
        </w:rPr>
        <w:endnoteRef/>
      </w:r>
      <w:r w:rsidRPr="00DA01AD">
        <w:t xml:space="preserve"> Sandeen, </w:t>
      </w:r>
      <w:r w:rsidRPr="00DA01AD">
        <w:rPr>
          <w:i/>
        </w:rPr>
        <w:t>Roots</w:t>
      </w:r>
      <w:r w:rsidRPr="00DA01AD">
        <w:t>, pp. 36-7.</w:t>
      </w:r>
    </w:p>
  </w:endnote>
  <w:endnote w:id="1690">
    <w:p w:rsidR="00975183" w:rsidRDefault="00975183" w:rsidP="006A2E06">
      <w:pPr>
        <w:pStyle w:val="EndnoteText"/>
      </w:pPr>
      <w:r w:rsidRPr="00DA01AD">
        <w:rPr>
          <w:rStyle w:val="FootnoteReference"/>
        </w:rPr>
        <w:endnoteRef/>
      </w:r>
      <w:r w:rsidRPr="00DA01AD">
        <w:t xml:space="preserve"> Sandeen, </w:t>
      </w:r>
      <w:r w:rsidRPr="00DA01AD">
        <w:rPr>
          <w:i/>
        </w:rPr>
        <w:t>Roots</w:t>
      </w:r>
      <w:r w:rsidRPr="00DA01AD">
        <w:t>, p. 59.</w:t>
      </w:r>
    </w:p>
  </w:endnote>
  <w:endnote w:id="1691">
    <w:p w:rsidR="00975183" w:rsidRDefault="00975183" w:rsidP="006A2E06">
      <w:pPr>
        <w:pStyle w:val="EndnoteText"/>
      </w:pPr>
      <w:r w:rsidRPr="00DA01AD">
        <w:rPr>
          <w:rStyle w:val="FootnoteReference"/>
          <w:sz w:val="18"/>
        </w:rPr>
        <w:endnoteRef/>
      </w:r>
      <w:r w:rsidRPr="00DA01AD">
        <w:rPr>
          <w:sz w:val="18"/>
        </w:rPr>
        <w:t xml:space="preserve"> </w:t>
      </w:r>
      <w:r w:rsidRPr="00DA01AD">
        <w:t xml:space="preserve">Weber, </w:t>
      </w:r>
      <w:r w:rsidRPr="00DA01AD">
        <w:rPr>
          <w:i/>
        </w:rPr>
        <w:t>Shadow</w:t>
      </w:r>
      <w:r w:rsidRPr="00DA01AD">
        <w:t>, p. 15.</w:t>
      </w:r>
    </w:p>
  </w:endnote>
  <w:endnote w:id="1692">
    <w:p w:rsidR="00975183" w:rsidRDefault="00975183" w:rsidP="006A2E06">
      <w:pPr>
        <w:pStyle w:val="EndnoteText"/>
      </w:pPr>
      <w:r w:rsidRPr="00DA01AD">
        <w:rPr>
          <w:rStyle w:val="FootnoteReference"/>
        </w:rPr>
        <w:endnoteRef/>
      </w:r>
      <w:r w:rsidRPr="00DA01AD">
        <w:t xml:space="preserve"> Blaising, ‘Search for Definition’, </w:t>
      </w:r>
      <w:r w:rsidRPr="00DA01AD">
        <w:rPr>
          <w:i/>
        </w:rPr>
        <w:t>Dispensationalism, Israel &amp; Church</w:t>
      </w:r>
      <w:r w:rsidRPr="00DA01AD">
        <w:t>, p. 13.</w:t>
      </w:r>
    </w:p>
  </w:endnote>
  <w:endnote w:id="1693">
    <w:p w:rsidR="00975183" w:rsidRDefault="00975183" w:rsidP="006A2E06">
      <w:pPr>
        <w:pStyle w:val="EndnoteText"/>
      </w:pPr>
      <w:r w:rsidRPr="00E21CD2">
        <w:rPr>
          <w:rStyle w:val="FootnoteReference"/>
        </w:rPr>
        <w:endnoteRef/>
      </w:r>
      <w:r w:rsidRPr="00E21CD2">
        <w:t xml:space="preserve"> </w:t>
      </w:r>
      <w:r>
        <w:t xml:space="preserve">Blaising, ‘Extent and Varieties’, </w:t>
      </w:r>
      <w:r w:rsidRPr="00E21CD2">
        <w:rPr>
          <w:i/>
        </w:rPr>
        <w:t>Progressive Dispensationalism</w:t>
      </w:r>
      <w:r>
        <w:t>, p. 20.</w:t>
      </w:r>
    </w:p>
  </w:endnote>
  <w:endnote w:id="1694">
    <w:p w:rsidR="00975183" w:rsidRDefault="00975183" w:rsidP="006A2E06">
      <w:pPr>
        <w:pStyle w:val="EndnoteText"/>
      </w:pPr>
      <w:r w:rsidRPr="00DA01AD">
        <w:rPr>
          <w:rStyle w:val="FootnoteReference"/>
          <w:szCs w:val="22"/>
        </w:rPr>
        <w:endnoteRef/>
      </w:r>
      <w:r w:rsidRPr="00DA01AD">
        <w:rPr>
          <w:szCs w:val="22"/>
        </w:rPr>
        <w:t xml:space="preserve"> Sweetnam, ‘Defining Dispensationalism</w:t>
      </w:r>
      <w:r>
        <w:rPr>
          <w:szCs w:val="22"/>
        </w:rPr>
        <w:t>’</w:t>
      </w:r>
      <w:r w:rsidRPr="00DA01AD">
        <w:rPr>
          <w:szCs w:val="22"/>
        </w:rPr>
        <w:t xml:space="preserve">, p. </w:t>
      </w:r>
      <w:r>
        <w:rPr>
          <w:szCs w:val="22"/>
        </w:rPr>
        <w:t>209</w:t>
      </w:r>
      <w:r w:rsidRPr="00DA01AD">
        <w:rPr>
          <w:szCs w:val="22"/>
        </w:rPr>
        <w:t>.</w:t>
      </w:r>
    </w:p>
  </w:endnote>
  <w:endnote w:id="1695">
    <w:p w:rsidR="00975183" w:rsidRDefault="00975183" w:rsidP="006A2E06">
      <w:pPr>
        <w:pStyle w:val="EndnoteText"/>
      </w:pPr>
      <w:r w:rsidRPr="005D203D">
        <w:rPr>
          <w:rStyle w:val="FootnoteReference"/>
        </w:rPr>
        <w:endnoteRef/>
      </w:r>
      <w:r w:rsidRPr="005D203D">
        <w:t xml:space="preserve"> </w:t>
      </w:r>
      <w:proofErr w:type="gramStart"/>
      <w:r>
        <w:t>Darby, ‘An Examination of Statements in Newton’s Apocalyptic Thoughts’.</w:t>
      </w:r>
      <w:proofErr w:type="gramEnd"/>
      <w:r>
        <w:t xml:space="preserve">  </w:t>
      </w:r>
      <w:proofErr w:type="gramStart"/>
      <w:r>
        <w:t>(</w:t>
      </w:r>
      <w:r w:rsidRPr="008A6BFC">
        <w:rPr>
          <w:i/>
        </w:rPr>
        <w:t>My emphases</w:t>
      </w:r>
      <w:r>
        <w:t>.)</w:t>
      </w:r>
      <w:proofErr w:type="gramEnd"/>
    </w:p>
  </w:endnote>
  <w:endnote w:id="1696">
    <w:p w:rsidR="00975183" w:rsidRDefault="00975183" w:rsidP="006A2E06">
      <w:pPr>
        <w:pStyle w:val="FootnoteText"/>
      </w:pPr>
      <w:r w:rsidRPr="00CB0889">
        <w:rPr>
          <w:rStyle w:val="FootnoteReference"/>
          <w:rFonts w:ascii="Perpetua" w:hAnsi="Perpetua"/>
        </w:rPr>
        <w:endnoteRef/>
      </w:r>
      <w:r w:rsidRPr="00CB0889">
        <w:rPr>
          <w:rFonts w:ascii="Perpetua" w:hAnsi="Perpetua"/>
        </w:rPr>
        <w:t xml:space="preserve"> </w:t>
      </w:r>
      <w:r w:rsidRPr="009C0E2C">
        <w:rPr>
          <w:rFonts w:ascii="Perpetua" w:hAnsi="Perpetua"/>
        </w:rPr>
        <w:t xml:space="preserve">Darby, ‘The Hopes of the Church of God’, Part 1, </w:t>
      </w:r>
      <w:r w:rsidRPr="009C0E2C">
        <w:rPr>
          <w:rFonts w:ascii="Perpetua" w:hAnsi="Perpetua"/>
          <w:i/>
        </w:rPr>
        <w:t>Collected Writings</w:t>
      </w:r>
      <w:r w:rsidRPr="009C0E2C">
        <w:rPr>
          <w:rFonts w:ascii="Perpetua" w:hAnsi="Perpetua"/>
        </w:rPr>
        <w:t xml:space="preserve">, </w:t>
      </w:r>
      <w:r w:rsidRPr="00C3124B">
        <w:rPr>
          <w:rFonts w:ascii="Perpetua" w:hAnsi="Perpetua"/>
          <w:i/>
        </w:rPr>
        <w:t>Vol. 2, Prophetic No. 1</w:t>
      </w:r>
      <w:r w:rsidRPr="009C0E2C">
        <w:rPr>
          <w:rFonts w:ascii="Perpetua" w:hAnsi="Perpetua"/>
        </w:rPr>
        <w:t>, pp. 279-80 &lt;http://www.stempublishing.com/authors/darby/PROPHET/02011E.html&gt; [accessed 7.8.09].</w:t>
      </w:r>
    </w:p>
  </w:endnote>
  <w:endnote w:id="1697">
    <w:p w:rsidR="00975183" w:rsidRDefault="00975183" w:rsidP="006A2E06">
      <w:pPr>
        <w:pStyle w:val="EndnoteText"/>
      </w:pPr>
      <w:r w:rsidRPr="00A72406">
        <w:rPr>
          <w:rStyle w:val="FootnoteReference"/>
        </w:rPr>
        <w:endnoteRef/>
      </w:r>
      <w:r w:rsidRPr="00A72406">
        <w:t xml:space="preserve"> </w:t>
      </w:r>
      <w:proofErr w:type="gramStart"/>
      <w:r w:rsidRPr="00A72406">
        <w:rPr>
          <w:i/>
        </w:rPr>
        <w:t>SRB</w:t>
      </w:r>
      <w:r>
        <w:t xml:space="preserve"> note on Rev. 1:9, p. 1331.</w:t>
      </w:r>
      <w:proofErr w:type="gramEnd"/>
    </w:p>
  </w:endnote>
  <w:endnote w:id="1698">
    <w:p w:rsidR="00975183" w:rsidRDefault="00975183" w:rsidP="006A2E06">
      <w:pPr>
        <w:pStyle w:val="EndnoteText"/>
      </w:pPr>
      <w:r w:rsidRPr="00A72406">
        <w:rPr>
          <w:rStyle w:val="FootnoteReference"/>
        </w:rPr>
        <w:endnoteRef/>
      </w:r>
      <w:r w:rsidRPr="00A72406">
        <w:t xml:space="preserve"> </w:t>
      </w:r>
      <w:proofErr w:type="gramStart"/>
      <w:r w:rsidRPr="00A72406">
        <w:rPr>
          <w:i/>
        </w:rPr>
        <w:t>SRB</w:t>
      </w:r>
      <w:r>
        <w:t xml:space="preserve"> note on Rev. 1:20, p. 1331.</w:t>
      </w:r>
      <w:proofErr w:type="gramEnd"/>
    </w:p>
  </w:endnote>
  <w:endnote w:id="1699">
    <w:p w:rsidR="00975183" w:rsidRDefault="00975183" w:rsidP="006A2E06">
      <w:pPr>
        <w:pStyle w:val="EndnoteText"/>
      </w:pPr>
      <w:r w:rsidRPr="00A72406">
        <w:rPr>
          <w:rStyle w:val="FootnoteReference"/>
        </w:rPr>
        <w:endnoteRef/>
      </w:r>
      <w:r w:rsidRPr="00A72406">
        <w:t xml:space="preserve"> </w:t>
      </w:r>
      <w:r w:rsidRPr="00A72406">
        <w:rPr>
          <w:i/>
        </w:rPr>
        <w:t>SRB</w:t>
      </w:r>
      <w:r>
        <w:t xml:space="preserve"> Introduction to Revelation, p. 1330.</w:t>
      </w:r>
    </w:p>
  </w:endnote>
  <w:endnote w:id="1700">
    <w:p w:rsidR="00975183" w:rsidRDefault="00975183" w:rsidP="006A2E06">
      <w:pPr>
        <w:pStyle w:val="EndnoteText"/>
      </w:pPr>
      <w:r w:rsidRPr="00A72406">
        <w:rPr>
          <w:rStyle w:val="FootnoteReference"/>
        </w:rPr>
        <w:endnoteRef/>
      </w:r>
      <w:r w:rsidRPr="00A72406">
        <w:t xml:space="preserve"> </w:t>
      </w:r>
      <w:r w:rsidRPr="00A72406">
        <w:rPr>
          <w:i/>
        </w:rPr>
        <w:t>SRB</w:t>
      </w:r>
      <w:r>
        <w:t xml:space="preserve"> Introduction to Revelation, p. 1330.</w:t>
      </w:r>
    </w:p>
  </w:endnote>
  <w:endnote w:id="1701">
    <w:p w:rsidR="00975183" w:rsidRPr="00F2190E" w:rsidRDefault="00975183" w:rsidP="006A2E06">
      <w:pPr>
        <w:pStyle w:val="EndnoteText"/>
      </w:pPr>
      <w:r w:rsidRPr="00F2190E">
        <w:rPr>
          <w:rStyle w:val="EndnoteReference"/>
        </w:rPr>
        <w:endnoteRef/>
      </w:r>
      <w:r w:rsidRPr="00F2190E">
        <w:t xml:space="preserve"> </w:t>
      </w:r>
      <w:r>
        <w:t xml:space="preserve">Chafer, </w:t>
      </w:r>
      <w:r w:rsidRPr="00F2190E">
        <w:rPr>
          <w:i/>
        </w:rPr>
        <w:t>Major Bible Themes</w:t>
      </w:r>
      <w:r>
        <w:t>, p. 56.</w:t>
      </w:r>
    </w:p>
  </w:endnote>
  <w:endnote w:id="1702">
    <w:p w:rsidR="00975183" w:rsidRDefault="00975183" w:rsidP="006A2E06">
      <w:pPr>
        <w:pStyle w:val="EndnoteText"/>
      </w:pPr>
      <w:r w:rsidRPr="00F2190E">
        <w:rPr>
          <w:rStyle w:val="EndnoteReference"/>
        </w:rPr>
        <w:endnoteRef/>
      </w:r>
      <w:r w:rsidRPr="00F2190E">
        <w:t xml:space="preserve"> </w:t>
      </w:r>
      <w:r>
        <w:t xml:space="preserve">Ryrie, </w:t>
      </w:r>
      <w:r>
        <w:rPr>
          <w:i/>
        </w:rPr>
        <w:t>Dispensationalism Today</w:t>
      </w:r>
      <w:r w:rsidRPr="00FF5E3D">
        <w:t>, p. 158.</w:t>
      </w:r>
    </w:p>
  </w:endnote>
  <w:endnote w:id="1703">
    <w:p w:rsidR="00975183" w:rsidRPr="004D7E11" w:rsidRDefault="00975183" w:rsidP="006A2E06">
      <w:pPr>
        <w:pStyle w:val="EndnoteText"/>
      </w:pPr>
      <w:r w:rsidRPr="004D7E11">
        <w:rPr>
          <w:rStyle w:val="EndnoteReference"/>
        </w:rPr>
        <w:endnoteRef/>
      </w:r>
      <w:r w:rsidRPr="004D7E11">
        <w:t xml:space="preserve"> </w:t>
      </w:r>
      <w:r>
        <w:t xml:space="preserve">Refs Walvoord, </w:t>
      </w:r>
      <w:proofErr w:type="gramStart"/>
      <w:r w:rsidRPr="004D7E11">
        <w:rPr>
          <w:i/>
        </w:rPr>
        <w:t>The</w:t>
      </w:r>
      <w:proofErr w:type="gramEnd"/>
      <w:r w:rsidRPr="004D7E11">
        <w:rPr>
          <w:i/>
        </w:rPr>
        <w:t xml:space="preserve"> Millennial Kingdom</w:t>
      </w:r>
      <w:r>
        <w:t xml:space="preserve">, p. 227; Ryrie, </w:t>
      </w:r>
      <w:r w:rsidRPr="004D7E11">
        <w:rPr>
          <w:i/>
        </w:rPr>
        <w:t>Dispensationalism Today</w:t>
      </w:r>
      <w:r>
        <w:t>, pp. 158-9.</w:t>
      </w:r>
    </w:p>
  </w:endnote>
  <w:endnote w:id="1704">
    <w:p w:rsidR="00975183" w:rsidRPr="00683BC3" w:rsidRDefault="00975183" w:rsidP="006A2E06">
      <w:pPr>
        <w:pStyle w:val="EndnoteText"/>
      </w:pPr>
      <w:r w:rsidRPr="00683BC3">
        <w:rPr>
          <w:rStyle w:val="EndnoteReference"/>
        </w:rPr>
        <w:endnoteRef/>
      </w:r>
      <w:r w:rsidRPr="00683BC3">
        <w:t xml:space="preserve"> </w:t>
      </w:r>
      <w:r>
        <w:t xml:space="preserve">Saucy, </w:t>
      </w:r>
      <w:r w:rsidRPr="00683BC3">
        <w:rPr>
          <w:i/>
        </w:rPr>
        <w:t>Case for Progressive Dispensationalism</w:t>
      </w:r>
      <w:r>
        <w:t>, p. 27.</w:t>
      </w:r>
    </w:p>
  </w:endnote>
  <w:endnote w:id="1705">
    <w:p w:rsidR="00975183" w:rsidRPr="00D26F55" w:rsidRDefault="00975183" w:rsidP="006A2E06">
      <w:pPr>
        <w:pStyle w:val="EndnoteText"/>
      </w:pPr>
      <w:r w:rsidRPr="00D26F55">
        <w:rPr>
          <w:rStyle w:val="EndnoteReference"/>
        </w:rPr>
        <w:endnoteRef/>
      </w:r>
      <w:r w:rsidRPr="00D26F55">
        <w:t xml:space="preserve"> </w:t>
      </w:r>
      <w:r>
        <w:t xml:space="preserve">Dan. 9:24, </w:t>
      </w:r>
      <w:r w:rsidRPr="00D26F55">
        <w:rPr>
          <w:i/>
        </w:rPr>
        <w:t>KJV</w:t>
      </w:r>
      <w:r>
        <w:t>.</w:t>
      </w:r>
    </w:p>
  </w:endnote>
  <w:endnote w:id="1706">
    <w:p w:rsidR="00975183" w:rsidRDefault="00975183" w:rsidP="006A2E06">
      <w:pPr>
        <w:pStyle w:val="EndnoteText"/>
      </w:pPr>
      <w:r w:rsidRPr="00DA01AD">
        <w:rPr>
          <w:rStyle w:val="FootnoteReference"/>
        </w:rPr>
        <w:endnoteRef/>
      </w:r>
      <w:r w:rsidRPr="00DA01AD">
        <w:t xml:space="preserve"> Marsden, </w:t>
      </w:r>
      <w:r w:rsidRPr="00DA01AD">
        <w:rPr>
          <w:i/>
        </w:rPr>
        <w:t xml:space="preserve">Fundamentalism </w:t>
      </w:r>
      <w:r>
        <w:rPr>
          <w:i/>
        </w:rPr>
        <w:t>and</w:t>
      </w:r>
      <w:r w:rsidRPr="00DA01AD">
        <w:rPr>
          <w:i/>
        </w:rPr>
        <w:t xml:space="preserve"> American Culture</w:t>
      </w:r>
      <w:r w:rsidRPr="00DA01AD">
        <w:t>, p.</w:t>
      </w:r>
      <w:r>
        <w:t xml:space="preserve"> </w:t>
      </w:r>
      <w:r w:rsidRPr="00DA01AD">
        <w:t>52.</w:t>
      </w:r>
    </w:p>
  </w:endnote>
  <w:endnote w:id="1707">
    <w:p w:rsidR="00975183" w:rsidRDefault="00975183" w:rsidP="006A2E06">
      <w:pPr>
        <w:pStyle w:val="EndnoteText"/>
      </w:pPr>
      <w:r w:rsidRPr="00660C4F">
        <w:rPr>
          <w:rStyle w:val="EndnoteReference"/>
        </w:rPr>
        <w:endnoteRef/>
      </w:r>
      <w:r w:rsidRPr="00660C4F">
        <w:t xml:space="preserve"> </w:t>
      </w:r>
      <w:r>
        <w:rPr>
          <w:spacing w:val="-1"/>
        </w:rPr>
        <w:t>William</w:t>
      </w:r>
      <w:r>
        <w:t xml:space="preserve"> </w:t>
      </w:r>
      <w:r>
        <w:rPr>
          <w:spacing w:val="-1"/>
        </w:rPr>
        <w:t>E.Cox,</w:t>
      </w:r>
      <w:r>
        <w:rPr>
          <w:spacing w:val="-2"/>
        </w:rPr>
        <w:t xml:space="preserve"> </w:t>
      </w:r>
      <w:r>
        <w:rPr>
          <w:i/>
          <w:spacing w:val="-1"/>
        </w:rPr>
        <w:t>Biblical</w:t>
      </w:r>
      <w:r>
        <w:rPr>
          <w:i/>
        </w:rPr>
        <w:t xml:space="preserve"> </w:t>
      </w:r>
      <w:r>
        <w:rPr>
          <w:i/>
          <w:spacing w:val="-1"/>
        </w:rPr>
        <w:t>Studies in</w:t>
      </w:r>
      <w:r>
        <w:rPr>
          <w:i/>
        </w:rPr>
        <w:t xml:space="preserve"> </w:t>
      </w:r>
      <w:r>
        <w:rPr>
          <w:i/>
          <w:spacing w:val="-1"/>
        </w:rPr>
        <w:t>Final Things</w:t>
      </w:r>
      <w:r>
        <w:rPr>
          <w:i/>
        </w:rPr>
        <w:t xml:space="preserve"> </w:t>
      </w:r>
      <w:r>
        <w:rPr>
          <w:spacing w:val="-1"/>
        </w:rPr>
        <w:t>(Phillipsburg,</w:t>
      </w:r>
      <w:r>
        <w:t xml:space="preserve"> </w:t>
      </w:r>
      <w:r>
        <w:rPr>
          <w:spacing w:val="-1"/>
        </w:rPr>
        <w:t>New</w:t>
      </w:r>
      <w:r>
        <w:t xml:space="preserve"> </w:t>
      </w:r>
      <w:r>
        <w:rPr>
          <w:spacing w:val="-1"/>
        </w:rPr>
        <w:t>Jersey:</w:t>
      </w:r>
      <w:r>
        <w:t xml:space="preserve"> </w:t>
      </w:r>
      <w:r>
        <w:rPr>
          <w:spacing w:val="-1"/>
        </w:rPr>
        <w:t>Presbyterian</w:t>
      </w:r>
      <w:r>
        <w:t xml:space="preserve"> </w:t>
      </w:r>
      <w:r>
        <w:rPr>
          <w:spacing w:val="-1"/>
        </w:rPr>
        <w:t>and</w:t>
      </w:r>
      <w:r>
        <w:t xml:space="preserve"> </w:t>
      </w:r>
      <w:r>
        <w:rPr>
          <w:spacing w:val="-1"/>
        </w:rPr>
        <w:t>Reformed</w:t>
      </w:r>
      <w:r>
        <w:rPr>
          <w:spacing w:val="34"/>
        </w:rPr>
        <w:t xml:space="preserve"> </w:t>
      </w:r>
      <w:r>
        <w:rPr>
          <w:spacing w:val="-1"/>
        </w:rPr>
        <w:t>Publishing</w:t>
      </w:r>
      <w:r>
        <w:t xml:space="preserve"> </w:t>
      </w:r>
      <w:r>
        <w:rPr>
          <w:spacing w:val="-1"/>
        </w:rPr>
        <w:t>Co., 1966),</w:t>
      </w:r>
      <w:r>
        <w:t xml:space="preserve"> </w:t>
      </w:r>
      <w:r>
        <w:rPr>
          <w:spacing w:val="-1"/>
        </w:rPr>
        <w:t>p.</w:t>
      </w:r>
      <w:r>
        <w:t xml:space="preserve"> </w:t>
      </w:r>
      <w:r>
        <w:rPr>
          <w:spacing w:val="-1"/>
        </w:rPr>
        <w:t>17.</w:t>
      </w:r>
    </w:p>
  </w:endnote>
  <w:endnote w:id="1708">
    <w:p w:rsidR="00975183" w:rsidRPr="005F0D55" w:rsidRDefault="00975183" w:rsidP="006A2E06">
      <w:pPr>
        <w:pStyle w:val="EndnoteText"/>
      </w:pPr>
      <w:r w:rsidRPr="005F0D55">
        <w:rPr>
          <w:rStyle w:val="EndnoteReference"/>
        </w:rPr>
        <w:endnoteRef/>
      </w:r>
      <w:r w:rsidRPr="005F0D55">
        <w:t xml:space="preserve"> </w:t>
      </w:r>
      <w:r>
        <w:rPr>
          <w:spacing w:val="-1"/>
        </w:rPr>
        <w:t>Cox,</w:t>
      </w:r>
      <w:r>
        <w:rPr>
          <w:spacing w:val="-2"/>
        </w:rPr>
        <w:t xml:space="preserve"> </w:t>
      </w:r>
      <w:r>
        <w:rPr>
          <w:i/>
          <w:spacing w:val="-1"/>
        </w:rPr>
        <w:t>Biblical</w:t>
      </w:r>
      <w:r>
        <w:rPr>
          <w:i/>
        </w:rPr>
        <w:t xml:space="preserve"> </w:t>
      </w:r>
      <w:r>
        <w:rPr>
          <w:i/>
          <w:spacing w:val="-1"/>
        </w:rPr>
        <w:t>Studies in</w:t>
      </w:r>
      <w:r>
        <w:rPr>
          <w:i/>
        </w:rPr>
        <w:t xml:space="preserve"> </w:t>
      </w:r>
      <w:r>
        <w:rPr>
          <w:i/>
          <w:spacing w:val="-1"/>
        </w:rPr>
        <w:t>Final Things</w:t>
      </w:r>
      <w:r>
        <w:rPr>
          <w:spacing w:val="-1"/>
        </w:rPr>
        <w:t xml:space="preserve">, pp. 24-5.  </w:t>
      </w:r>
      <w:proofErr w:type="gramStart"/>
      <w:r>
        <w:rPr>
          <w:spacing w:val="-1"/>
        </w:rPr>
        <w:t>(</w:t>
      </w:r>
      <w:r w:rsidRPr="00801F88">
        <w:rPr>
          <w:i/>
          <w:spacing w:val="-1"/>
        </w:rPr>
        <w:t>Cox’s emphases</w:t>
      </w:r>
      <w:r>
        <w:rPr>
          <w:spacing w:val="-1"/>
        </w:rPr>
        <w:t>.)</w:t>
      </w:r>
      <w:proofErr w:type="gramEnd"/>
    </w:p>
  </w:endnote>
  <w:endnote w:id="1709">
    <w:p w:rsidR="00975183" w:rsidRPr="001857AF" w:rsidRDefault="00975183" w:rsidP="006A2E06">
      <w:pPr>
        <w:pStyle w:val="EndnoteText"/>
      </w:pPr>
      <w:r w:rsidRPr="001857AF">
        <w:rPr>
          <w:rStyle w:val="EndnoteReference"/>
        </w:rPr>
        <w:endnoteRef/>
      </w:r>
      <w:r w:rsidRPr="001857AF">
        <w:t xml:space="preserve"> Ironside, </w:t>
      </w:r>
      <w:r w:rsidRPr="001857AF">
        <w:rPr>
          <w:i/>
        </w:rPr>
        <w:t>Historical Sketch of the Brethren Movement</w:t>
      </w:r>
      <w:r w:rsidRPr="001857AF">
        <w:t>, p. 32.</w:t>
      </w:r>
    </w:p>
  </w:endnote>
  <w:endnote w:id="1710">
    <w:p w:rsidR="00975183" w:rsidRDefault="00975183" w:rsidP="006A2E06">
      <w:pPr>
        <w:pStyle w:val="EndnoteText"/>
      </w:pPr>
      <w:r w:rsidRPr="00CB0D8F">
        <w:rPr>
          <w:rStyle w:val="FootnoteReference"/>
        </w:rPr>
        <w:endnoteRef/>
      </w:r>
      <w:r w:rsidRPr="00CB0D8F">
        <w:t xml:space="preserve"> </w:t>
      </w:r>
      <w:proofErr w:type="gramStart"/>
      <w:r>
        <w:t xml:space="preserve">Darby, ‘Letter to Major Lancey’, </w:t>
      </w:r>
      <w:r w:rsidRPr="00CB0D8F">
        <w:rPr>
          <w:i/>
        </w:rPr>
        <w:t>The Letters</w:t>
      </w:r>
      <w:r>
        <w:t xml:space="preserve">, </w:t>
      </w:r>
      <w:r w:rsidRPr="00C3124B">
        <w:rPr>
          <w:i/>
        </w:rPr>
        <w:t>Vol. 1</w:t>
      </w:r>
      <w:r>
        <w:t>, p. 131 &lt;</w:t>
      </w:r>
      <w:r w:rsidRPr="00CB0D8F">
        <w:t>http://www.stempublishing.com/authors/darby/letters/51066E.html</w:t>
      </w:r>
      <w:r>
        <w:t>&gt; [accessed 13.5.17].</w:t>
      </w:r>
      <w:proofErr w:type="gramEnd"/>
    </w:p>
  </w:endnote>
  <w:endnote w:id="1711">
    <w:p w:rsidR="00975183" w:rsidRPr="00C3124B" w:rsidRDefault="00975183" w:rsidP="006A2E06">
      <w:pPr>
        <w:pStyle w:val="EndnoteText"/>
        <w:rPr>
          <w:i/>
        </w:rPr>
      </w:pPr>
      <w:r w:rsidRPr="00F527C2">
        <w:rPr>
          <w:rStyle w:val="EndnoteReference"/>
        </w:rPr>
        <w:endnoteRef/>
      </w:r>
      <w:r w:rsidRPr="00F527C2">
        <w:t xml:space="preserve"> </w:t>
      </w:r>
      <w:r>
        <w:t xml:space="preserve">Darby, ‘Lectures on the Second Coming of Christ, Lecture 3, Revelation 12’, </w:t>
      </w:r>
      <w:r w:rsidRPr="00AC1C7E">
        <w:rPr>
          <w:i/>
        </w:rPr>
        <w:t>Collected Writings</w:t>
      </w:r>
      <w:r>
        <w:t xml:space="preserve">, </w:t>
      </w:r>
      <w:r w:rsidRPr="00C3124B">
        <w:rPr>
          <w:i/>
        </w:rPr>
        <w:t xml:space="preserve">Vol. 11, </w:t>
      </w:r>
    </w:p>
    <w:p w:rsidR="00975183" w:rsidRDefault="00975183" w:rsidP="006A2E06">
      <w:pPr>
        <w:pStyle w:val="EndnoteText"/>
      </w:pPr>
      <w:r w:rsidRPr="00C3124B">
        <w:rPr>
          <w:i/>
        </w:rPr>
        <w:t>Prophetic 4</w:t>
      </w:r>
      <w:r>
        <w:rPr>
          <w:i/>
        </w:rPr>
        <w:t xml:space="preserve">, </w:t>
      </w:r>
      <w:r>
        <w:t>p. 243 &lt;</w:t>
      </w:r>
      <w:r w:rsidRPr="00F527C2">
        <w:t>http://www.stempublishing.com/authors/darby/PROPHET/11014E.html</w:t>
      </w:r>
      <w:r>
        <w:t xml:space="preserve">&gt; </w:t>
      </w:r>
    </w:p>
    <w:p w:rsidR="00975183" w:rsidRPr="00F527C2" w:rsidRDefault="00975183" w:rsidP="006A2E06">
      <w:pPr>
        <w:pStyle w:val="EndnoteText"/>
      </w:pPr>
      <w:r>
        <w:t>[</w:t>
      </w:r>
      <w:proofErr w:type="gramStart"/>
      <w:r>
        <w:t>accessed</w:t>
      </w:r>
      <w:proofErr w:type="gramEnd"/>
      <w:r>
        <w:t xml:space="preserve"> 7.8.09]..</w:t>
      </w:r>
    </w:p>
  </w:endnote>
  <w:endnote w:id="1712">
    <w:p w:rsidR="00975183" w:rsidRPr="003C0D60" w:rsidRDefault="00975183" w:rsidP="006A2E06">
      <w:pPr>
        <w:pStyle w:val="EndnoteText"/>
      </w:pPr>
      <w:r w:rsidRPr="003C0D60">
        <w:rPr>
          <w:rStyle w:val="EndnoteReference"/>
        </w:rPr>
        <w:endnoteRef/>
      </w:r>
      <w:r w:rsidRPr="003C0D60">
        <w:t xml:space="preserve"> </w:t>
      </w:r>
      <w:r w:rsidRPr="003C0D60">
        <w:rPr>
          <w:rStyle w:val="ind"/>
        </w:rPr>
        <w:t>According to Brookes, the ‘seventy weeks’ mean ‘seventy heptads’, a heptad indicating something divided into seven parts.</w:t>
      </w:r>
    </w:p>
  </w:endnote>
  <w:endnote w:id="1713">
    <w:p w:rsidR="00975183" w:rsidRPr="00EC297B" w:rsidRDefault="00975183" w:rsidP="006A2E06">
      <w:pPr>
        <w:pStyle w:val="EndnoteText"/>
      </w:pPr>
      <w:r w:rsidRPr="00EC297B">
        <w:rPr>
          <w:rStyle w:val="EndnoteReference"/>
        </w:rPr>
        <w:endnoteRef/>
      </w:r>
      <w:r w:rsidRPr="00EC297B">
        <w:t xml:space="preserve"> </w:t>
      </w:r>
      <w:r>
        <w:t xml:space="preserve">Presumably this refers to the marginal notes provided by the 1611 translators of </w:t>
      </w:r>
      <w:r w:rsidRPr="00EC297B">
        <w:rPr>
          <w:i/>
        </w:rPr>
        <w:t>KJV</w:t>
      </w:r>
      <w:r>
        <w:t xml:space="preserve">. </w:t>
      </w:r>
    </w:p>
  </w:endnote>
  <w:endnote w:id="1714">
    <w:p w:rsidR="00975183" w:rsidRDefault="00975183" w:rsidP="006A2E06">
      <w:pPr>
        <w:pStyle w:val="EndnoteText"/>
      </w:pPr>
      <w:r w:rsidRPr="009157C7">
        <w:rPr>
          <w:rStyle w:val="EndnoteReference"/>
        </w:rPr>
        <w:endnoteRef/>
      </w:r>
      <w:r w:rsidRPr="009157C7">
        <w:t xml:space="preserve"> </w:t>
      </w:r>
      <w:r>
        <w:t xml:space="preserve">James H. Brookes, </w:t>
      </w:r>
      <w:r w:rsidRPr="009157C7">
        <w:rPr>
          <w:i/>
        </w:rPr>
        <w:t>Maranatha: or The Lord Cometh (1889)</w:t>
      </w:r>
      <w:r>
        <w:t xml:space="preserve">, pp. 424-9 </w:t>
      </w:r>
      <w:r w:rsidRPr="009157C7">
        <w:t>&lt;https://archive.org/stream/J.H.BrookesMaranathaOrTheLordCometh1889/1889_brookes_maranatha_</w:t>
      </w:r>
    </w:p>
    <w:p w:rsidR="00975183" w:rsidRPr="009157C7" w:rsidRDefault="00975183" w:rsidP="006A2E06">
      <w:pPr>
        <w:pStyle w:val="EndnoteText"/>
        <w:rPr>
          <w:sz w:val="18"/>
        </w:rPr>
      </w:pPr>
      <w:r w:rsidRPr="009157C7">
        <w:t>lordCometh_djvu.txt&gt; [accessed 22.2.17].</w:t>
      </w:r>
    </w:p>
  </w:endnote>
  <w:endnote w:id="1715">
    <w:p w:rsidR="00975183" w:rsidRPr="00095A96" w:rsidRDefault="00975183" w:rsidP="006A2E06">
      <w:pPr>
        <w:pStyle w:val="EndnoteText"/>
      </w:pPr>
      <w:r w:rsidRPr="00095A96">
        <w:rPr>
          <w:rStyle w:val="EndnoteReference"/>
        </w:rPr>
        <w:endnoteRef/>
      </w:r>
      <w:r w:rsidRPr="00095A96">
        <w:t xml:space="preserve"> </w:t>
      </w:r>
      <w:r w:rsidRPr="00095A96">
        <w:rPr>
          <w:szCs w:val="22"/>
        </w:rPr>
        <w:t>C. H</w:t>
      </w:r>
      <w:r>
        <w:rPr>
          <w:szCs w:val="22"/>
        </w:rPr>
        <w:t>.</w:t>
      </w:r>
      <w:r w:rsidRPr="00095A96">
        <w:rPr>
          <w:szCs w:val="22"/>
        </w:rPr>
        <w:t xml:space="preserve"> Mackintosh,</w:t>
      </w:r>
      <w:r>
        <w:rPr>
          <w:szCs w:val="22"/>
        </w:rPr>
        <w:t xml:space="preserve"> ‘Concluding Remarks’,</w:t>
      </w:r>
      <w:r w:rsidRPr="00095A96">
        <w:rPr>
          <w:szCs w:val="22"/>
        </w:rPr>
        <w:t xml:space="preserve"> </w:t>
      </w:r>
      <w:r w:rsidRPr="00095A96">
        <w:rPr>
          <w:i/>
          <w:szCs w:val="22"/>
        </w:rPr>
        <w:t>Papers on the Lord’s Coming</w:t>
      </w:r>
      <w:r>
        <w:rPr>
          <w:szCs w:val="22"/>
        </w:rPr>
        <w:t>,</w:t>
      </w:r>
      <w:r w:rsidRPr="00095A96">
        <w:rPr>
          <w:szCs w:val="22"/>
        </w:rPr>
        <w:t xml:space="preserve"> Stem Publishing &lt;http://www.stempublishing.com/authors/mackintosh/Bk3/LORDSCMN.html&gt; [accessed 23.2.17].</w:t>
      </w:r>
    </w:p>
  </w:endnote>
  <w:endnote w:id="1716">
    <w:p w:rsidR="00975183" w:rsidRPr="008064B8" w:rsidRDefault="00975183" w:rsidP="006A2E06">
      <w:pPr>
        <w:pStyle w:val="EndnoteText"/>
      </w:pPr>
      <w:r w:rsidRPr="008064B8">
        <w:rPr>
          <w:rStyle w:val="EndnoteReference"/>
        </w:rPr>
        <w:endnoteRef/>
      </w:r>
      <w:r w:rsidRPr="008064B8">
        <w:t xml:space="preserve"> [Dan. 9:24].</w:t>
      </w:r>
    </w:p>
  </w:endnote>
  <w:endnote w:id="1717">
    <w:p w:rsidR="00975183" w:rsidRPr="008064B8" w:rsidRDefault="00975183" w:rsidP="006A2E06">
      <w:pPr>
        <w:pStyle w:val="EndnoteText"/>
      </w:pPr>
      <w:r w:rsidRPr="008064B8">
        <w:rPr>
          <w:rStyle w:val="EndnoteReference"/>
        </w:rPr>
        <w:endnoteRef/>
      </w:r>
      <w:r w:rsidRPr="008064B8">
        <w:t xml:space="preserve"> </w:t>
      </w:r>
      <w:r w:rsidRPr="008064B8">
        <w:rPr>
          <w:i/>
        </w:rPr>
        <w:t xml:space="preserve">SRB </w:t>
      </w:r>
      <w:r w:rsidRPr="008064B8">
        <w:t>note on Dan. 9:24, p. 914</w:t>
      </w:r>
      <w:r w:rsidRPr="00AF73CA">
        <w:t xml:space="preserve">.  </w:t>
      </w:r>
      <w:proofErr w:type="gramStart"/>
      <w:r w:rsidRPr="00AF73CA">
        <w:rPr>
          <w:b/>
        </w:rPr>
        <w:t xml:space="preserve">See </w:t>
      </w:r>
      <w:r>
        <w:rPr>
          <w:b/>
        </w:rPr>
        <w:t>8.4.4</w:t>
      </w:r>
      <w:r w:rsidRPr="00AF73CA">
        <w:t>.</w:t>
      </w:r>
      <w:proofErr w:type="gramEnd"/>
      <w:r w:rsidRPr="00AF73CA">
        <w:rPr>
          <w:b/>
        </w:rPr>
        <w:t xml:space="preserve"> </w:t>
      </w:r>
    </w:p>
  </w:endnote>
  <w:endnote w:id="1718">
    <w:p w:rsidR="00975183" w:rsidRPr="008F200D" w:rsidRDefault="00975183" w:rsidP="006A2E06">
      <w:pPr>
        <w:pStyle w:val="EndnoteText"/>
      </w:pPr>
      <w:r w:rsidRPr="008F200D">
        <w:rPr>
          <w:rStyle w:val="EndnoteReference"/>
        </w:rPr>
        <w:endnoteRef/>
      </w:r>
      <w:r w:rsidRPr="008F200D">
        <w:t xml:space="preserve"> </w:t>
      </w:r>
      <w:r w:rsidRPr="008F200D">
        <w:rPr>
          <w:i/>
          <w:color w:val="000000"/>
        </w:rPr>
        <w:t>SRB</w:t>
      </w:r>
      <w:r w:rsidRPr="008F200D">
        <w:rPr>
          <w:color w:val="000000"/>
        </w:rPr>
        <w:t xml:space="preserve"> note on Dan. 9:25, p. 915.  Ref. Neh. 2:1-8.</w:t>
      </w:r>
    </w:p>
  </w:endnote>
  <w:endnote w:id="1719">
    <w:p w:rsidR="00975183" w:rsidRPr="008F200D" w:rsidRDefault="00975183" w:rsidP="006A2E06">
      <w:pPr>
        <w:pStyle w:val="EndnoteText"/>
      </w:pPr>
      <w:r w:rsidRPr="008F200D">
        <w:rPr>
          <w:rStyle w:val="EndnoteReference"/>
        </w:rPr>
        <w:endnoteRef/>
      </w:r>
      <w:r w:rsidRPr="008F200D">
        <w:t xml:space="preserve"> </w:t>
      </w:r>
      <w:r w:rsidRPr="008F200D">
        <w:rPr>
          <w:i/>
        </w:rPr>
        <w:t xml:space="preserve">SRB </w:t>
      </w:r>
      <w:r w:rsidRPr="008F200D">
        <w:t>note on Dan. 9:25, p. 915.</w:t>
      </w:r>
    </w:p>
  </w:endnote>
  <w:endnote w:id="1720">
    <w:p w:rsidR="00975183" w:rsidRPr="001F662E" w:rsidRDefault="00975183" w:rsidP="006A2E06">
      <w:pPr>
        <w:pStyle w:val="EndnoteText"/>
      </w:pPr>
      <w:r w:rsidRPr="001F662E">
        <w:rPr>
          <w:rStyle w:val="EndnoteReference"/>
        </w:rPr>
        <w:endnoteRef/>
      </w:r>
      <w:r w:rsidRPr="001F662E">
        <w:t xml:space="preserve"> </w:t>
      </w:r>
      <w:r>
        <w:t>Scofield here echoes almost verbatim a statement made by Darby in his publication,</w:t>
      </w:r>
      <w:r w:rsidRPr="00586CE4">
        <w:t xml:space="preserve"> ‘</w:t>
      </w:r>
      <w:r w:rsidRPr="00AC1C7E">
        <w:t xml:space="preserve">Are There Two Half Weeks </w:t>
      </w:r>
      <w:r>
        <w:t>in the Apocalypse?</w:t>
      </w:r>
      <w:proofErr w:type="gramStart"/>
      <w:r w:rsidRPr="00586CE4">
        <w:t>’,</w:t>
      </w:r>
      <w:proofErr w:type="gramEnd"/>
      <w:r>
        <w:t xml:space="preserve"> see below.</w:t>
      </w:r>
    </w:p>
  </w:endnote>
  <w:endnote w:id="1721">
    <w:p w:rsidR="00975183" w:rsidRPr="008064B8" w:rsidRDefault="00975183" w:rsidP="006A2E06">
      <w:pPr>
        <w:pStyle w:val="EndnoteText"/>
      </w:pPr>
      <w:r w:rsidRPr="008064B8">
        <w:rPr>
          <w:rStyle w:val="EndnoteReference"/>
        </w:rPr>
        <w:endnoteRef/>
      </w:r>
      <w:r w:rsidRPr="008064B8">
        <w:t xml:space="preserve"> [Dan. 9:26a].</w:t>
      </w:r>
    </w:p>
  </w:endnote>
  <w:endnote w:id="1722">
    <w:p w:rsidR="00975183" w:rsidRPr="008F200D" w:rsidRDefault="00975183" w:rsidP="006A2E06">
      <w:pPr>
        <w:pStyle w:val="EndnoteText"/>
      </w:pPr>
      <w:r w:rsidRPr="008F200D">
        <w:rPr>
          <w:rStyle w:val="EndnoteReference"/>
        </w:rPr>
        <w:endnoteRef/>
      </w:r>
      <w:r w:rsidRPr="008F200D">
        <w:t xml:space="preserve"> </w:t>
      </w:r>
      <w:proofErr w:type="gramStart"/>
      <w:r w:rsidRPr="008F200D">
        <w:t xml:space="preserve">[Dan. 9:26b], in </w:t>
      </w:r>
      <w:r w:rsidRPr="008F200D">
        <w:rPr>
          <w:i/>
        </w:rPr>
        <w:t>SRB</w:t>
      </w:r>
      <w:r w:rsidRPr="008F200D">
        <w:t xml:space="preserve"> note on Dan. 9:24, p. 91</w:t>
      </w:r>
      <w:r>
        <w:t>4</w:t>
      </w:r>
      <w:r w:rsidRPr="008F200D">
        <w:t>.</w:t>
      </w:r>
      <w:proofErr w:type="gramEnd"/>
    </w:p>
  </w:endnote>
  <w:endnote w:id="1723">
    <w:p w:rsidR="00975183" w:rsidRDefault="00975183" w:rsidP="006A2E06">
      <w:pPr>
        <w:pStyle w:val="EndnoteText"/>
      </w:pPr>
      <w:r w:rsidRPr="008B5282">
        <w:rPr>
          <w:rStyle w:val="EndnoteReference"/>
        </w:rPr>
        <w:endnoteRef/>
      </w:r>
      <w:r w:rsidRPr="008B5282">
        <w:t xml:space="preserve"> </w:t>
      </w:r>
      <w:r>
        <w:rPr>
          <w:color w:val="000000"/>
        </w:rPr>
        <w:t xml:space="preserve">Ref. </w:t>
      </w:r>
      <w:r w:rsidRPr="006F47F2">
        <w:rPr>
          <w:color w:val="000000"/>
        </w:rPr>
        <w:t>Mt. 13:1-50</w:t>
      </w:r>
      <w:r>
        <w:rPr>
          <w:color w:val="000000"/>
        </w:rPr>
        <w:t>.</w:t>
      </w:r>
    </w:p>
  </w:endnote>
  <w:endnote w:id="1724">
    <w:p w:rsidR="00975183" w:rsidRDefault="00975183" w:rsidP="006A2E06">
      <w:pPr>
        <w:pStyle w:val="EndnoteText"/>
      </w:pPr>
      <w:r w:rsidRPr="008B5282">
        <w:rPr>
          <w:rStyle w:val="EndnoteReference"/>
        </w:rPr>
        <w:endnoteRef/>
      </w:r>
      <w:r w:rsidRPr="008B5282">
        <w:t xml:space="preserve"> </w:t>
      </w:r>
      <w:r w:rsidRPr="008F200D">
        <w:rPr>
          <w:i/>
        </w:rPr>
        <w:t>SRB</w:t>
      </w:r>
      <w:r w:rsidRPr="008F200D">
        <w:t xml:space="preserve"> note on Dan. 9:24, p. 91</w:t>
      </w:r>
      <w:r>
        <w:t>4</w:t>
      </w:r>
      <w:r w:rsidRPr="008F200D">
        <w:t>.</w:t>
      </w:r>
      <w:r>
        <w:t xml:space="preserve">  </w:t>
      </w:r>
      <w:proofErr w:type="gramStart"/>
      <w:r>
        <w:rPr>
          <w:color w:val="000000"/>
        </w:rPr>
        <w:t xml:space="preserve">Refs </w:t>
      </w:r>
      <w:r w:rsidRPr="006F47F2">
        <w:rPr>
          <w:color w:val="000000"/>
        </w:rPr>
        <w:t>Mt. 16:18; Rom. 11:25</w:t>
      </w:r>
      <w:r>
        <w:rPr>
          <w:color w:val="000000"/>
        </w:rPr>
        <w:t>.</w:t>
      </w:r>
      <w:proofErr w:type="gramEnd"/>
    </w:p>
  </w:endnote>
  <w:endnote w:id="1725">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9:24, p. 91</w:t>
      </w:r>
      <w:r>
        <w:t>4</w:t>
      </w:r>
      <w:r w:rsidRPr="008F200D">
        <w:t>.</w:t>
      </w:r>
    </w:p>
  </w:endnote>
  <w:endnote w:id="1726">
    <w:p w:rsidR="00975183" w:rsidRPr="00310416" w:rsidRDefault="00975183" w:rsidP="006A2E06">
      <w:pPr>
        <w:pStyle w:val="EndnoteText"/>
      </w:pPr>
      <w:r w:rsidRPr="00310416">
        <w:rPr>
          <w:rStyle w:val="EndnoteReference"/>
        </w:rPr>
        <w:endnoteRef/>
      </w:r>
      <w:r w:rsidRPr="00310416">
        <w:t xml:space="preserve"> </w:t>
      </w:r>
      <w:proofErr w:type="gramStart"/>
      <w:r w:rsidRPr="00AF73CA">
        <w:rPr>
          <w:b/>
        </w:rPr>
        <w:t>See 7.1.2.2 below</w:t>
      </w:r>
      <w:r>
        <w:t>.</w:t>
      </w:r>
      <w:proofErr w:type="gramEnd"/>
    </w:p>
  </w:endnote>
  <w:endnote w:id="1727">
    <w:p w:rsidR="00975183" w:rsidRDefault="00975183" w:rsidP="006A2E06">
      <w:pPr>
        <w:pStyle w:val="EndnoteText"/>
      </w:pPr>
      <w:r w:rsidRPr="00DD33C5">
        <w:rPr>
          <w:rStyle w:val="EndnoteReference"/>
        </w:rPr>
        <w:endnoteRef/>
      </w:r>
      <w:r w:rsidRPr="00DD33C5">
        <w:t xml:space="preserve"> </w:t>
      </w:r>
      <w:r>
        <w:t xml:space="preserve">Cox, </w:t>
      </w:r>
      <w:r>
        <w:rPr>
          <w:i/>
          <w:spacing w:val="-1"/>
        </w:rPr>
        <w:t>Biblical</w:t>
      </w:r>
      <w:r>
        <w:rPr>
          <w:i/>
        </w:rPr>
        <w:t xml:space="preserve"> </w:t>
      </w:r>
      <w:r>
        <w:rPr>
          <w:i/>
          <w:spacing w:val="-1"/>
        </w:rPr>
        <w:t>Studies</w:t>
      </w:r>
      <w:r>
        <w:rPr>
          <w:i/>
        </w:rPr>
        <w:t xml:space="preserve"> </w:t>
      </w:r>
      <w:r>
        <w:rPr>
          <w:i/>
          <w:spacing w:val="-1"/>
        </w:rPr>
        <w:t>in</w:t>
      </w:r>
      <w:r>
        <w:rPr>
          <w:i/>
        </w:rPr>
        <w:t xml:space="preserve"> </w:t>
      </w:r>
      <w:r>
        <w:rPr>
          <w:i/>
          <w:spacing w:val="-1"/>
        </w:rPr>
        <w:t>Final</w:t>
      </w:r>
      <w:r>
        <w:rPr>
          <w:i/>
          <w:spacing w:val="-2"/>
        </w:rPr>
        <w:t xml:space="preserve"> </w:t>
      </w:r>
      <w:r>
        <w:rPr>
          <w:i/>
          <w:spacing w:val="-1"/>
        </w:rPr>
        <w:t>Things</w:t>
      </w:r>
      <w:r>
        <w:rPr>
          <w:spacing w:val="-1"/>
        </w:rPr>
        <w:t>,</w:t>
      </w:r>
      <w:r>
        <w:t xml:space="preserve"> </w:t>
      </w:r>
      <w:r>
        <w:rPr>
          <w:spacing w:val="-1"/>
        </w:rPr>
        <w:t>p.</w:t>
      </w:r>
      <w:r>
        <w:t xml:space="preserve"> </w:t>
      </w:r>
      <w:r>
        <w:rPr>
          <w:spacing w:val="-1"/>
        </w:rPr>
        <w:t>22.</w:t>
      </w:r>
    </w:p>
  </w:endnote>
  <w:endnote w:id="1728">
    <w:p w:rsidR="00975183" w:rsidRPr="00EE195B" w:rsidRDefault="00975183" w:rsidP="006A2E06">
      <w:pPr>
        <w:pStyle w:val="EndnoteText"/>
      </w:pPr>
      <w:r w:rsidRPr="00EE195B">
        <w:rPr>
          <w:rStyle w:val="EndnoteReference"/>
        </w:rPr>
        <w:endnoteRef/>
      </w:r>
      <w:r w:rsidRPr="00EE195B">
        <w:t xml:space="preserve"> </w:t>
      </w:r>
      <w:r>
        <w:t xml:space="preserve">Feinberg, </w:t>
      </w:r>
      <w:r w:rsidRPr="00EE195B">
        <w:rPr>
          <w:i/>
        </w:rPr>
        <w:t>Millennialism</w:t>
      </w:r>
      <w:r>
        <w:t>, pp. 149-50, 159-60, 164, 175, 183, 280, 292.</w:t>
      </w:r>
    </w:p>
  </w:endnote>
  <w:endnote w:id="1729">
    <w:p w:rsidR="00975183" w:rsidRPr="00B15E77" w:rsidRDefault="00975183" w:rsidP="006A2E06">
      <w:pPr>
        <w:pStyle w:val="EndnoteText"/>
      </w:pPr>
      <w:r w:rsidRPr="00EE195B">
        <w:rPr>
          <w:rStyle w:val="EndnoteReference"/>
        </w:rPr>
        <w:endnoteRef/>
      </w:r>
      <w:r w:rsidRPr="00EE195B">
        <w:t xml:space="preserve"> </w:t>
      </w:r>
      <w:proofErr w:type="gramStart"/>
      <w:r>
        <w:t xml:space="preserve">Feinberg, </w:t>
      </w:r>
      <w:r w:rsidRPr="00EE195B">
        <w:rPr>
          <w:i/>
        </w:rPr>
        <w:t>Premillennialism or Amillennialism?</w:t>
      </w:r>
      <w:proofErr w:type="gramEnd"/>
      <w:r>
        <w:rPr>
          <w:i/>
        </w:rPr>
        <w:t xml:space="preserve"> </w:t>
      </w:r>
      <w:proofErr w:type="gramStart"/>
      <w:r>
        <w:t>Moody Bible Institute of Chicago.</w:t>
      </w:r>
      <w:proofErr w:type="gramEnd"/>
    </w:p>
  </w:endnote>
  <w:endnote w:id="1730">
    <w:p w:rsidR="00975183" w:rsidRPr="00145527" w:rsidRDefault="00975183" w:rsidP="006A2E06">
      <w:pPr>
        <w:pStyle w:val="EndnoteText"/>
      </w:pPr>
      <w:r w:rsidRPr="00145527">
        <w:rPr>
          <w:rStyle w:val="EndnoteReference"/>
        </w:rPr>
        <w:endnoteRef/>
      </w:r>
      <w:r w:rsidRPr="00145527">
        <w:t xml:space="preserve"> </w:t>
      </w:r>
      <w:r>
        <w:t xml:space="preserve">Chafer, </w:t>
      </w:r>
      <w:r w:rsidRPr="00145527">
        <w:rPr>
          <w:i/>
        </w:rPr>
        <w:t>Major Bible Themes</w:t>
      </w:r>
      <w:r>
        <w:t>, p. 100, footnote 1.</w:t>
      </w:r>
    </w:p>
  </w:endnote>
  <w:endnote w:id="1731">
    <w:p w:rsidR="00975183" w:rsidRPr="00D44F7C" w:rsidRDefault="00975183" w:rsidP="006A2E06">
      <w:pPr>
        <w:pStyle w:val="EndnoteText"/>
      </w:pPr>
      <w:r w:rsidRPr="00D44F7C">
        <w:rPr>
          <w:rStyle w:val="EndnoteReference"/>
        </w:rPr>
        <w:endnoteRef/>
      </w:r>
      <w:r w:rsidRPr="00D44F7C">
        <w:t xml:space="preserve"> </w:t>
      </w:r>
      <w:r>
        <w:t xml:space="preserve">Ryrie, </w:t>
      </w:r>
      <w:r w:rsidRPr="00D44F7C">
        <w:rPr>
          <w:i/>
        </w:rPr>
        <w:t>Dispensationalism Today</w:t>
      </w:r>
      <w:r>
        <w:t>, pp. 55-6.</w:t>
      </w:r>
    </w:p>
  </w:endnote>
  <w:endnote w:id="1732">
    <w:p w:rsidR="00975183" w:rsidRPr="002E5225" w:rsidRDefault="00975183" w:rsidP="006A2E06">
      <w:pPr>
        <w:pStyle w:val="EndnoteText"/>
      </w:pPr>
      <w:r w:rsidRPr="002E5225">
        <w:rPr>
          <w:rStyle w:val="EndnoteReference"/>
        </w:rPr>
        <w:endnoteRef/>
      </w:r>
      <w:r w:rsidRPr="002E5225">
        <w:t xml:space="preserve"> </w:t>
      </w:r>
      <w:r>
        <w:t xml:space="preserve">Saucy, </w:t>
      </w:r>
      <w:r w:rsidRPr="002E5225">
        <w:rPr>
          <w:i/>
        </w:rPr>
        <w:t>Case for Dispensationalism</w:t>
      </w:r>
      <w:r>
        <w:t>, p. 295.</w:t>
      </w:r>
    </w:p>
  </w:endnote>
  <w:endnote w:id="1733">
    <w:p w:rsidR="00975183" w:rsidRPr="005711E6" w:rsidRDefault="00975183" w:rsidP="006A2E06">
      <w:pPr>
        <w:pStyle w:val="EndnoteText"/>
      </w:pPr>
      <w:r w:rsidRPr="005711E6">
        <w:rPr>
          <w:rStyle w:val="EndnoteReference"/>
        </w:rPr>
        <w:endnoteRef/>
      </w:r>
      <w:r w:rsidRPr="005711E6">
        <w:t xml:space="preserve"> </w:t>
      </w:r>
      <w:proofErr w:type="gramStart"/>
      <w:r w:rsidRPr="0045078F">
        <w:t xml:space="preserve">Bock, How Texts Speak to Us’, </w:t>
      </w:r>
      <w:r w:rsidRPr="0045078F">
        <w:rPr>
          <w:i/>
        </w:rPr>
        <w:t xml:space="preserve">Progressive Dispensationalism, </w:t>
      </w:r>
      <w:r w:rsidRPr="0045078F">
        <w:t xml:space="preserve">p. </w:t>
      </w:r>
      <w:r>
        <w:t>93.</w:t>
      </w:r>
      <w:proofErr w:type="gramEnd"/>
      <w:r>
        <w:t xml:space="preserve"> </w:t>
      </w:r>
    </w:p>
  </w:endnote>
  <w:endnote w:id="1734">
    <w:p w:rsidR="00975183" w:rsidRPr="005711E6" w:rsidRDefault="00975183" w:rsidP="006A2E06">
      <w:pPr>
        <w:pStyle w:val="EndnoteText"/>
      </w:pPr>
      <w:r w:rsidRPr="005711E6">
        <w:rPr>
          <w:rStyle w:val="EndnoteReference"/>
        </w:rPr>
        <w:endnoteRef/>
      </w:r>
      <w:r w:rsidRPr="005711E6">
        <w:t xml:space="preserve"> </w:t>
      </w:r>
      <w:r>
        <w:t xml:space="preserve">Blaising, </w:t>
      </w:r>
      <w:proofErr w:type="gramStart"/>
      <w:r w:rsidRPr="005711E6">
        <w:rPr>
          <w:i/>
        </w:rPr>
        <w:t>The</w:t>
      </w:r>
      <w:proofErr w:type="gramEnd"/>
      <w:r w:rsidRPr="005711E6">
        <w:rPr>
          <w:i/>
        </w:rPr>
        <w:t xml:space="preserve"> Eschatological Kingdom in Daniel</w:t>
      </w:r>
      <w:r>
        <w:t xml:space="preserve"> in The Kingdom of God in the Old Testament’,</w:t>
      </w:r>
      <w:r w:rsidRPr="005711E6">
        <w:rPr>
          <w:i/>
        </w:rPr>
        <w:t xml:space="preserve"> </w:t>
      </w:r>
      <w:r w:rsidRPr="0045078F">
        <w:rPr>
          <w:i/>
        </w:rPr>
        <w:t xml:space="preserve">Progressive Dispensationalism, </w:t>
      </w:r>
      <w:r w:rsidRPr="0045078F">
        <w:t>p</w:t>
      </w:r>
      <w:r>
        <w:t>p. 224-5.</w:t>
      </w:r>
    </w:p>
  </w:endnote>
  <w:endnote w:id="1735">
    <w:p w:rsidR="00975183" w:rsidRDefault="00975183" w:rsidP="006A2E06">
      <w:pPr>
        <w:pStyle w:val="EndnoteText"/>
      </w:pPr>
      <w:r w:rsidRPr="00660C4F">
        <w:rPr>
          <w:rStyle w:val="EndnoteReference"/>
        </w:rPr>
        <w:endnoteRef/>
      </w:r>
      <w:r w:rsidRPr="00660C4F">
        <w:t xml:space="preserve"> </w:t>
      </w:r>
      <w:r>
        <w:rPr>
          <w:spacing w:val="-1"/>
        </w:rPr>
        <w:t>Cox,</w:t>
      </w:r>
      <w:r>
        <w:t xml:space="preserve"> </w:t>
      </w:r>
      <w:r>
        <w:rPr>
          <w:i/>
          <w:spacing w:val="-1"/>
        </w:rPr>
        <w:t>Biblical</w:t>
      </w:r>
      <w:r>
        <w:rPr>
          <w:i/>
        </w:rPr>
        <w:t xml:space="preserve"> </w:t>
      </w:r>
      <w:r>
        <w:rPr>
          <w:i/>
          <w:spacing w:val="-1"/>
        </w:rPr>
        <w:t>Studies</w:t>
      </w:r>
      <w:r>
        <w:rPr>
          <w:i/>
        </w:rPr>
        <w:t xml:space="preserve"> </w:t>
      </w:r>
      <w:r>
        <w:rPr>
          <w:i/>
          <w:spacing w:val="-1"/>
        </w:rPr>
        <w:t>in</w:t>
      </w:r>
      <w:r>
        <w:rPr>
          <w:i/>
        </w:rPr>
        <w:t xml:space="preserve"> </w:t>
      </w:r>
      <w:r>
        <w:rPr>
          <w:i/>
          <w:spacing w:val="-1"/>
        </w:rPr>
        <w:t>Final</w:t>
      </w:r>
      <w:r>
        <w:rPr>
          <w:i/>
          <w:spacing w:val="-2"/>
        </w:rPr>
        <w:t xml:space="preserve"> </w:t>
      </w:r>
      <w:r>
        <w:rPr>
          <w:i/>
          <w:spacing w:val="-1"/>
        </w:rPr>
        <w:t>Things</w:t>
      </w:r>
      <w:r>
        <w:rPr>
          <w:spacing w:val="-1"/>
        </w:rPr>
        <w:t>,</w:t>
      </w:r>
      <w:r>
        <w:t xml:space="preserve"> </w:t>
      </w:r>
      <w:r>
        <w:rPr>
          <w:spacing w:val="-1"/>
        </w:rPr>
        <w:t>p.</w:t>
      </w:r>
      <w:r>
        <w:t xml:space="preserve"> </w:t>
      </w:r>
      <w:r>
        <w:rPr>
          <w:spacing w:val="-1"/>
        </w:rPr>
        <w:t>18.</w:t>
      </w:r>
    </w:p>
  </w:endnote>
  <w:endnote w:id="1736">
    <w:p w:rsidR="00975183" w:rsidRDefault="00975183" w:rsidP="006A2E06">
      <w:pPr>
        <w:pStyle w:val="EndnoteText"/>
      </w:pPr>
      <w:r w:rsidRPr="00660C4F">
        <w:rPr>
          <w:rStyle w:val="EndnoteReference"/>
        </w:rPr>
        <w:endnoteRef/>
      </w:r>
      <w:r w:rsidRPr="00660C4F">
        <w:t xml:space="preserve"> </w:t>
      </w:r>
      <w:r>
        <w:rPr>
          <w:spacing w:val="-1"/>
        </w:rPr>
        <w:t>Cox,</w:t>
      </w:r>
      <w:r>
        <w:t xml:space="preserve"> </w:t>
      </w:r>
      <w:r>
        <w:rPr>
          <w:i/>
          <w:spacing w:val="-1"/>
        </w:rPr>
        <w:t>Biblical</w:t>
      </w:r>
      <w:r>
        <w:rPr>
          <w:i/>
        </w:rPr>
        <w:t xml:space="preserve"> </w:t>
      </w:r>
      <w:r>
        <w:rPr>
          <w:i/>
          <w:spacing w:val="-1"/>
        </w:rPr>
        <w:t>Studies</w:t>
      </w:r>
      <w:r>
        <w:rPr>
          <w:i/>
        </w:rPr>
        <w:t xml:space="preserve"> </w:t>
      </w:r>
      <w:r>
        <w:rPr>
          <w:i/>
          <w:spacing w:val="-1"/>
        </w:rPr>
        <w:t>in</w:t>
      </w:r>
      <w:r>
        <w:rPr>
          <w:i/>
        </w:rPr>
        <w:t xml:space="preserve"> </w:t>
      </w:r>
      <w:r>
        <w:rPr>
          <w:i/>
          <w:spacing w:val="-1"/>
        </w:rPr>
        <w:t>Final</w:t>
      </w:r>
      <w:r>
        <w:rPr>
          <w:i/>
          <w:spacing w:val="-2"/>
        </w:rPr>
        <w:t xml:space="preserve"> </w:t>
      </w:r>
      <w:r>
        <w:rPr>
          <w:i/>
          <w:spacing w:val="-1"/>
        </w:rPr>
        <w:t>Things</w:t>
      </w:r>
      <w:r>
        <w:rPr>
          <w:spacing w:val="-1"/>
        </w:rPr>
        <w:t>,</w:t>
      </w:r>
      <w:r>
        <w:t xml:space="preserve"> </w:t>
      </w:r>
      <w:r>
        <w:rPr>
          <w:spacing w:val="-1"/>
        </w:rPr>
        <w:t>p.</w:t>
      </w:r>
      <w:r>
        <w:t xml:space="preserve"> </w:t>
      </w:r>
      <w:r>
        <w:rPr>
          <w:spacing w:val="-1"/>
        </w:rPr>
        <w:t>20.</w:t>
      </w:r>
    </w:p>
  </w:endnote>
  <w:endnote w:id="1737">
    <w:p w:rsidR="00975183" w:rsidRPr="00DD33C5" w:rsidRDefault="00975183" w:rsidP="006A2E06">
      <w:pPr>
        <w:pStyle w:val="EndnoteText"/>
      </w:pPr>
      <w:r w:rsidRPr="00DD33C5">
        <w:rPr>
          <w:rStyle w:val="EndnoteReference"/>
        </w:rPr>
        <w:endnoteRef/>
      </w:r>
      <w:r w:rsidRPr="00DD33C5">
        <w:t xml:space="preserve"> </w:t>
      </w:r>
      <w:r>
        <w:t>cf Jn 1:12.</w:t>
      </w:r>
    </w:p>
  </w:endnote>
  <w:endnote w:id="1738">
    <w:p w:rsidR="00975183" w:rsidRPr="00DD33C5" w:rsidRDefault="00975183" w:rsidP="006A2E06">
      <w:pPr>
        <w:pStyle w:val="EndnoteText"/>
      </w:pPr>
      <w:r w:rsidRPr="00DD33C5">
        <w:rPr>
          <w:rStyle w:val="EndnoteReference"/>
        </w:rPr>
        <w:endnoteRef/>
      </w:r>
      <w:r w:rsidRPr="00DD33C5">
        <w:t xml:space="preserve"> </w:t>
      </w:r>
      <w:proofErr w:type="gramStart"/>
      <w:r>
        <w:t xml:space="preserve">Cox, </w:t>
      </w:r>
      <w:r>
        <w:rPr>
          <w:i/>
          <w:spacing w:val="-1"/>
        </w:rPr>
        <w:t>Biblical</w:t>
      </w:r>
      <w:r>
        <w:rPr>
          <w:i/>
        </w:rPr>
        <w:t xml:space="preserve"> </w:t>
      </w:r>
      <w:r>
        <w:rPr>
          <w:i/>
          <w:spacing w:val="-1"/>
        </w:rPr>
        <w:t>Studies</w:t>
      </w:r>
      <w:r>
        <w:rPr>
          <w:i/>
        </w:rPr>
        <w:t xml:space="preserve"> </w:t>
      </w:r>
      <w:r>
        <w:rPr>
          <w:i/>
          <w:spacing w:val="-1"/>
        </w:rPr>
        <w:t>in</w:t>
      </w:r>
      <w:r>
        <w:rPr>
          <w:i/>
        </w:rPr>
        <w:t xml:space="preserve"> </w:t>
      </w:r>
      <w:r>
        <w:rPr>
          <w:i/>
          <w:spacing w:val="-1"/>
        </w:rPr>
        <w:t>Final</w:t>
      </w:r>
      <w:r>
        <w:rPr>
          <w:i/>
          <w:spacing w:val="-2"/>
        </w:rPr>
        <w:t xml:space="preserve"> </w:t>
      </w:r>
      <w:r>
        <w:rPr>
          <w:i/>
          <w:spacing w:val="-1"/>
        </w:rPr>
        <w:t>Things</w:t>
      </w:r>
      <w:r>
        <w:rPr>
          <w:spacing w:val="-1"/>
        </w:rPr>
        <w:t>,</w:t>
      </w:r>
      <w:r>
        <w:t xml:space="preserve"> </w:t>
      </w:r>
      <w:r>
        <w:rPr>
          <w:spacing w:val="-1"/>
        </w:rPr>
        <w:t>pp.</w:t>
      </w:r>
      <w:r>
        <w:t xml:space="preserve"> </w:t>
      </w:r>
      <w:r>
        <w:rPr>
          <w:spacing w:val="-1"/>
        </w:rPr>
        <w:t>20, 22.</w:t>
      </w:r>
      <w:proofErr w:type="gramEnd"/>
    </w:p>
  </w:endnote>
  <w:endnote w:id="1739">
    <w:p w:rsidR="00975183" w:rsidRDefault="00975183" w:rsidP="006A2E06">
      <w:pPr>
        <w:pStyle w:val="EndnoteText"/>
      </w:pPr>
      <w:r w:rsidRPr="002F7DAD">
        <w:rPr>
          <w:rStyle w:val="EndnoteReference"/>
        </w:rPr>
        <w:endnoteRef/>
      </w:r>
      <w:r w:rsidRPr="002F7DAD">
        <w:t xml:space="preserve"> </w:t>
      </w:r>
      <w:r w:rsidRPr="007B4F6A">
        <w:t xml:space="preserve">Mathison, </w:t>
      </w:r>
      <w:r w:rsidRPr="007B4F6A">
        <w:rPr>
          <w:i/>
        </w:rPr>
        <w:t>Postmillennialism</w:t>
      </w:r>
      <w:r w:rsidRPr="002F7DAD">
        <w:t>,</w:t>
      </w:r>
      <w:r>
        <w:t xml:space="preserve"> p. 220.</w:t>
      </w:r>
    </w:p>
  </w:endnote>
  <w:endnote w:id="1740">
    <w:p w:rsidR="00975183" w:rsidRDefault="00975183" w:rsidP="006A2E06">
      <w:pPr>
        <w:pStyle w:val="EndnoteText"/>
      </w:pPr>
      <w:r w:rsidRPr="002F7DAD">
        <w:rPr>
          <w:rStyle w:val="EndnoteReference"/>
        </w:rPr>
        <w:endnoteRef/>
      </w:r>
      <w:r w:rsidRPr="002F7DAD">
        <w:t xml:space="preserve"> </w:t>
      </w:r>
      <w:r w:rsidRPr="007B4F6A">
        <w:t xml:space="preserve">Mathison, </w:t>
      </w:r>
      <w:r w:rsidRPr="007B4F6A">
        <w:rPr>
          <w:i/>
        </w:rPr>
        <w:t>Postmillennialism</w:t>
      </w:r>
      <w:r w:rsidRPr="002F7DAD">
        <w:t>,</w:t>
      </w:r>
      <w:r>
        <w:t xml:space="preserve"> pp. 220-21.</w:t>
      </w:r>
    </w:p>
  </w:endnote>
  <w:endnote w:id="1741">
    <w:p w:rsidR="00975183" w:rsidRDefault="00975183" w:rsidP="006A2E06">
      <w:pPr>
        <w:pStyle w:val="EndnoteText"/>
      </w:pPr>
      <w:r w:rsidRPr="00BF419C">
        <w:rPr>
          <w:rStyle w:val="EndnoteReference"/>
        </w:rPr>
        <w:endnoteRef/>
      </w:r>
      <w:r w:rsidRPr="00BF419C">
        <w:t xml:space="preserve"> </w:t>
      </w:r>
      <w:r>
        <w:t>These six objectives are: ‘t</w:t>
      </w:r>
      <w:r w:rsidRPr="004D1A7F">
        <w:t xml:space="preserve">o finish </w:t>
      </w:r>
      <w:r>
        <w:t xml:space="preserve">the transgression, to make an end of sins, to make reconciliation for iniquity, to bring everlasting righteousness, to seal up the vision and prophecy, and to anoint the most Holy’.  </w:t>
      </w:r>
    </w:p>
    <w:p w:rsidR="00975183" w:rsidRDefault="00975183" w:rsidP="006A2E06">
      <w:pPr>
        <w:pStyle w:val="EndnoteText"/>
      </w:pPr>
      <w:r>
        <w:t xml:space="preserve">Ref. Dan. 9:24, </w:t>
      </w:r>
      <w:r w:rsidRPr="004D1A7F">
        <w:rPr>
          <w:i/>
        </w:rPr>
        <w:t>KJV</w:t>
      </w:r>
      <w:r>
        <w:t xml:space="preserve">.  </w:t>
      </w:r>
    </w:p>
  </w:endnote>
  <w:endnote w:id="1742">
    <w:p w:rsidR="00975183" w:rsidRPr="004D1A7F" w:rsidRDefault="00975183" w:rsidP="006A2E06">
      <w:pPr>
        <w:pStyle w:val="EndnoteText"/>
      </w:pPr>
      <w:r w:rsidRPr="004D1A7F">
        <w:rPr>
          <w:rStyle w:val="FootnoteReference"/>
        </w:rPr>
        <w:endnoteRef/>
      </w:r>
      <w:r w:rsidRPr="004D1A7F">
        <w:t xml:space="preserve"> </w:t>
      </w:r>
      <w:r>
        <w:rPr>
          <w:spacing w:val="-1"/>
        </w:rPr>
        <w:t>Cox,</w:t>
      </w:r>
      <w:r>
        <w:t xml:space="preserve"> </w:t>
      </w:r>
      <w:r>
        <w:rPr>
          <w:i/>
          <w:spacing w:val="-1"/>
        </w:rPr>
        <w:t>Biblical</w:t>
      </w:r>
      <w:r>
        <w:rPr>
          <w:i/>
        </w:rPr>
        <w:t xml:space="preserve"> </w:t>
      </w:r>
      <w:r>
        <w:rPr>
          <w:i/>
          <w:spacing w:val="-1"/>
        </w:rPr>
        <w:t>Studies</w:t>
      </w:r>
      <w:r>
        <w:rPr>
          <w:i/>
        </w:rPr>
        <w:t xml:space="preserve"> </w:t>
      </w:r>
      <w:r>
        <w:rPr>
          <w:i/>
          <w:spacing w:val="-1"/>
        </w:rPr>
        <w:t>in</w:t>
      </w:r>
      <w:r>
        <w:rPr>
          <w:i/>
        </w:rPr>
        <w:t xml:space="preserve"> </w:t>
      </w:r>
      <w:r>
        <w:rPr>
          <w:i/>
          <w:spacing w:val="-1"/>
        </w:rPr>
        <w:t>Final</w:t>
      </w:r>
      <w:r>
        <w:rPr>
          <w:i/>
          <w:spacing w:val="-2"/>
        </w:rPr>
        <w:t xml:space="preserve"> </w:t>
      </w:r>
      <w:r>
        <w:rPr>
          <w:i/>
          <w:spacing w:val="-1"/>
        </w:rPr>
        <w:t>Things</w:t>
      </w:r>
      <w:r>
        <w:rPr>
          <w:spacing w:val="-1"/>
        </w:rPr>
        <w:t>,</w:t>
      </w:r>
      <w:r>
        <w:t xml:space="preserve"> </w:t>
      </w:r>
      <w:r>
        <w:rPr>
          <w:spacing w:val="-1"/>
        </w:rPr>
        <w:t>p.</w:t>
      </w:r>
      <w:r>
        <w:t xml:space="preserve"> </w:t>
      </w:r>
      <w:r>
        <w:rPr>
          <w:spacing w:val="-1"/>
        </w:rPr>
        <w:t xml:space="preserve">19; Mathison, </w:t>
      </w:r>
      <w:r w:rsidRPr="000D3D05">
        <w:rPr>
          <w:i/>
          <w:spacing w:val="-1"/>
        </w:rPr>
        <w:t>Postmillennialism</w:t>
      </w:r>
      <w:r>
        <w:rPr>
          <w:spacing w:val="-1"/>
        </w:rPr>
        <w:t>, pp. 220-21.</w:t>
      </w:r>
    </w:p>
  </w:endnote>
  <w:endnote w:id="1743">
    <w:p w:rsidR="00975183" w:rsidRDefault="00975183" w:rsidP="006A2E06">
      <w:pPr>
        <w:pStyle w:val="EndnoteText"/>
      </w:pPr>
      <w:r w:rsidRPr="00BF419C">
        <w:rPr>
          <w:rStyle w:val="EndnoteReference"/>
        </w:rPr>
        <w:endnoteRef/>
      </w:r>
      <w:r w:rsidRPr="00BF419C">
        <w:t xml:space="preserve"> </w:t>
      </w:r>
      <w:r w:rsidRPr="007B4F6A">
        <w:t xml:space="preserve">Mathison, </w:t>
      </w:r>
      <w:r w:rsidRPr="007B4F6A">
        <w:rPr>
          <w:i/>
        </w:rPr>
        <w:t>Postmillennialism</w:t>
      </w:r>
      <w:r w:rsidRPr="002F7DAD">
        <w:t>,</w:t>
      </w:r>
      <w:r>
        <w:t xml:space="preserve"> pp. 221-2.</w:t>
      </w:r>
    </w:p>
  </w:endnote>
  <w:endnote w:id="1744">
    <w:p w:rsidR="00975183" w:rsidRDefault="00975183" w:rsidP="006A2E06">
      <w:pPr>
        <w:pStyle w:val="EndnoteText"/>
      </w:pPr>
      <w:r w:rsidRPr="00BF419C">
        <w:rPr>
          <w:rStyle w:val="EndnoteReference"/>
        </w:rPr>
        <w:endnoteRef/>
      </w:r>
      <w:r w:rsidRPr="00BF419C">
        <w:t xml:space="preserve"> </w:t>
      </w:r>
      <w:r>
        <w:rPr>
          <w:spacing w:val="-1"/>
        </w:rPr>
        <w:t>Refs,</w:t>
      </w:r>
      <w:r>
        <w:t xml:space="preserve"> </w:t>
      </w:r>
      <w:r>
        <w:rPr>
          <w:spacing w:val="-1"/>
        </w:rPr>
        <w:t>Mt.</w:t>
      </w:r>
      <w:r>
        <w:t xml:space="preserve"> </w:t>
      </w:r>
      <w:r>
        <w:rPr>
          <w:spacing w:val="-1"/>
        </w:rPr>
        <w:t>10:5;</w:t>
      </w:r>
      <w:r>
        <w:t xml:space="preserve"> </w:t>
      </w:r>
      <w:r>
        <w:rPr>
          <w:spacing w:val="-1"/>
        </w:rPr>
        <w:t>15:24.</w:t>
      </w:r>
    </w:p>
  </w:endnote>
  <w:endnote w:id="1745">
    <w:p w:rsidR="00975183" w:rsidRDefault="00975183" w:rsidP="006A2E06">
      <w:pPr>
        <w:pStyle w:val="EndnoteText"/>
      </w:pPr>
      <w:r w:rsidRPr="00BF419C">
        <w:rPr>
          <w:rStyle w:val="EndnoteReference"/>
        </w:rPr>
        <w:endnoteRef/>
      </w:r>
      <w:r w:rsidRPr="00BF419C">
        <w:t xml:space="preserve"> </w:t>
      </w:r>
      <w:r w:rsidRPr="007B4F6A">
        <w:t xml:space="preserve">Mathison, </w:t>
      </w:r>
      <w:r w:rsidRPr="007B4F6A">
        <w:rPr>
          <w:i/>
        </w:rPr>
        <w:t>Postmillennialism</w:t>
      </w:r>
      <w:r w:rsidRPr="002F7DAD">
        <w:t>,</w:t>
      </w:r>
      <w:r>
        <w:t xml:space="preserve"> p. 222.  </w:t>
      </w:r>
      <w:proofErr w:type="gramStart"/>
      <w:r>
        <w:rPr>
          <w:spacing w:val="-1"/>
        </w:rPr>
        <w:t>Refs</w:t>
      </w:r>
      <w:r>
        <w:rPr>
          <w:spacing w:val="1"/>
        </w:rPr>
        <w:t xml:space="preserve"> </w:t>
      </w:r>
      <w:r>
        <w:rPr>
          <w:spacing w:val="-1"/>
        </w:rPr>
        <w:t>Acts</w:t>
      </w:r>
      <w:r>
        <w:t xml:space="preserve"> </w:t>
      </w:r>
      <w:r>
        <w:rPr>
          <w:spacing w:val="-1"/>
        </w:rPr>
        <w:t>1:8; 2:14;</w:t>
      </w:r>
      <w:r>
        <w:t xml:space="preserve"> </w:t>
      </w:r>
      <w:r>
        <w:rPr>
          <w:spacing w:val="-1"/>
        </w:rPr>
        <w:t>Rom.</w:t>
      </w:r>
      <w:r>
        <w:t xml:space="preserve"> </w:t>
      </w:r>
      <w:r>
        <w:rPr>
          <w:spacing w:val="-1"/>
        </w:rPr>
        <w:t>1:16;</w:t>
      </w:r>
      <w:r>
        <w:t xml:space="preserve"> </w:t>
      </w:r>
      <w:r>
        <w:rPr>
          <w:spacing w:val="-1"/>
        </w:rPr>
        <w:t>2:10.</w:t>
      </w:r>
      <w:proofErr w:type="gramEnd"/>
    </w:p>
  </w:endnote>
  <w:endnote w:id="1746">
    <w:p w:rsidR="00975183" w:rsidRPr="00AC05D9" w:rsidRDefault="00975183" w:rsidP="006A2E06">
      <w:pPr>
        <w:pStyle w:val="EndnoteText"/>
        <w:rPr>
          <w:b/>
        </w:rPr>
      </w:pPr>
      <w:r w:rsidRPr="00AC05D9">
        <w:rPr>
          <w:rStyle w:val="EndnoteReference"/>
        </w:rPr>
        <w:endnoteRef/>
      </w:r>
      <w:r w:rsidRPr="00AC05D9">
        <w:t xml:space="preserve"> </w:t>
      </w:r>
      <w:r w:rsidRPr="00AC05D9">
        <w:rPr>
          <w:rFonts w:eastAsia="Perpetua" w:cs="Perpetua"/>
        </w:rPr>
        <w:t>Dan.</w:t>
      </w:r>
      <w:r w:rsidRPr="00AC05D9">
        <w:rPr>
          <w:rFonts w:eastAsia="Perpetua" w:cs="Perpetua"/>
          <w:spacing w:val="20"/>
        </w:rPr>
        <w:t xml:space="preserve"> </w:t>
      </w:r>
      <w:r w:rsidRPr="00AC05D9">
        <w:rPr>
          <w:rFonts w:eastAsia="Perpetua" w:cs="Perpetua"/>
        </w:rPr>
        <w:t>9:26.</w:t>
      </w:r>
    </w:p>
  </w:endnote>
  <w:endnote w:id="1747">
    <w:p w:rsidR="00975183" w:rsidRPr="00AC05D9" w:rsidRDefault="00975183" w:rsidP="006A2E06">
      <w:pPr>
        <w:pStyle w:val="EndnoteText"/>
      </w:pPr>
      <w:r w:rsidRPr="00AC05D9">
        <w:rPr>
          <w:rStyle w:val="EndnoteReference"/>
        </w:rPr>
        <w:endnoteRef/>
      </w:r>
      <w:r w:rsidRPr="00AC05D9">
        <w:t xml:space="preserve"> </w:t>
      </w:r>
      <w:r>
        <w:rPr>
          <w:szCs w:val="18"/>
        </w:rPr>
        <w:t xml:space="preserve">Joseph A. </w:t>
      </w:r>
      <w:r w:rsidRPr="006A4363">
        <w:rPr>
          <w:szCs w:val="18"/>
        </w:rPr>
        <w:t xml:space="preserve">Fitzmyer, </w:t>
      </w:r>
      <w:r>
        <w:rPr>
          <w:szCs w:val="18"/>
        </w:rPr>
        <w:t xml:space="preserve">S.J., </w:t>
      </w:r>
      <w:r w:rsidRPr="00CC6C3C">
        <w:rPr>
          <w:rFonts w:cs="Humnst777 Lt BT"/>
          <w:i/>
          <w:sz w:val="22"/>
          <w:szCs w:val="22"/>
        </w:rPr>
        <w:t xml:space="preserve">The One Who Is </w:t>
      </w:r>
      <w:proofErr w:type="gramStart"/>
      <w:r w:rsidRPr="00CC6C3C">
        <w:rPr>
          <w:rFonts w:cs="Humnst777 Lt BT"/>
          <w:i/>
          <w:sz w:val="22"/>
          <w:szCs w:val="22"/>
        </w:rPr>
        <w:t>To</w:t>
      </w:r>
      <w:proofErr w:type="gramEnd"/>
      <w:r w:rsidRPr="00CC6C3C">
        <w:rPr>
          <w:rFonts w:cs="Humnst777 Lt BT"/>
          <w:i/>
          <w:sz w:val="22"/>
          <w:szCs w:val="22"/>
        </w:rPr>
        <w:t xml:space="preserve"> Come</w:t>
      </w:r>
      <w:r w:rsidRPr="00CC6C3C">
        <w:rPr>
          <w:rFonts w:cs="Humnst777 Lt BT"/>
          <w:sz w:val="22"/>
          <w:szCs w:val="22"/>
        </w:rPr>
        <w:t xml:space="preserve"> (Grand Rapids: William B. Eerdmans Publishing Company, 2007).</w:t>
      </w:r>
      <w:r w:rsidRPr="006A4363">
        <w:rPr>
          <w:i/>
          <w:szCs w:val="18"/>
        </w:rPr>
        <w:t>One To Come</w:t>
      </w:r>
      <w:r w:rsidRPr="006A4363">
        <w:rPr>
          <w:szCs w:val="18"/>
        </w:rPr>
        <w:t>,</w:t>
      </w:r>
      <w:r w:rsidRPr="00AC05D9">
        <w:t xml:space="preserve"> p. 61.  Ref. </w:t>
      </w:r>
      <w:r w:rsidRPr="00AC05D9">
        <w:rPr>
          <w:rFonts w:eastAsia="Perpetua" w:cs="Perpetua"/>
        </w:rPr>
        <w:t>2</w:t>
      </w:r>
      <w:r w:rsidRPr="00AC05D9">
        <w:rPr>
          <w:rFonts w:eastAsia="Perpetua" w:cs="Perpetua"/>
          <w:spacing w:val="23"/>
          <w:w w:val="99"/>
        </w:rPr>
        <w:t xml:space="preserve"> </w:t>
      </w:r>
      <w:r w:rsidRPr="00AC05D9">
        <w:rPr>
          <w:rFonts w:eastAsia="Perpetua" w:cs="Perpetua"/>
          <w:spacing w:val="-1"/>
        </w:rPr>
        <w:t>Macc.</w:t>
      </w:r>
      <w:r w:rsidRPr="00AC05D9">
        <w:rPr>
          <w:rFonts w:eastAsia="Perpetua" w:cs="Perpetua"/>
          <w:spacing w:val="4"/>
        </w:rPr>
        <w:t xml:space="preserve"> </w:t>
      </w:r>
      <w:r w:rsidRPr="00AC05D9">
        <w:rPr>
          <w:rFonts w:eastAsia="Perpetua" w:cs="Perpetua"/>
          <w:spacing w:val="-1"/>
        </w:rPr>
        <w:t>4:30-38</w:t>
      </w:r>
      <w:r>
        <w:rPr>
          <w:rFonts w:eastAsia="Perpetua" w:cs="Perpetua"/>
          <w:spacing w:val="-1"/>
        </w:rPr>
        <w:t>.</w:t>
      </w:r>
    </w:p>
  </w:endnote>
  <w:endnote w:id="1748">
    <w:p w:rsidR="00975183" w:rsidRDefault="00975183" w:rsidP="006A2E06">
      <w:pPr>
        <w:pStyle w:val="EndnoteText"/>
      </w:pPr>
      <w:r w:rsidRPr="00B06B02">
        <w:rPr>
          <w:rStyle w:val="EndnoteReference"/>
        </w:rPr>
        <w:endnoteRef/>
      </w:r>
      <w:r w:rsidRPr="00B06B02">
        <w:t xml:space="preserve"> </w:t>
      </w:r>
      <w:r>
        <w:t xml:space="preserve">Fitzmyer, </w:t>
      </w:r>
      <w:r w:rsidRPr="00B06B02">
        <w:rPr>
          <w:i/>
        </w:rPr>
        <w:t>One to Come</w:t>
      </w:r>
      <w:r>
        <w:t>, p. 63.</w:t>
      </w:r>
    </w:p>
  </w:endnote>
  <w:endnote w:id="1749">
    <w:p w:rsidR="00975183" w:rsidRDefault="00975183" w:rsidP="006A2E06">
      <w:pPr>
        <w:pStyle w:val="EndnoteText"/>
      </w:pPr>
      <w:r w:rsidRPr="00B06B02">
        <w:rPr>
          <w:rStyle w:val="EndnoteReference"/>
        </w:rPr>
        <w:endnoteRef/>
      </w:r>
      <w:r w:rsidRPr="00B06B02">
        <w:t xml:space="preserve"> </w:t>
      </w:r>
      <w:r>
        <w:t xml:space="preserve">Fitzmyer, </w:t>
      </w:r>
      <w:r w:rsidRPr="00B06B02">
        <w:rPr>
          <w:i/>
        </w:rPr>
        <w:t>One to Come</w:t>
      </w:r>
      <w:r>
        <w:t>, p. 60.  Refs Jer. 25:11-12; 29:10.</w:t>
      </w:r>
    </w:p>
  </w:endnote>
  <w:endnote w:id="1750">
    <w:p w:rsidR="00975183" w:rsidRDefault="00975183" w:rsidP="006A2E06">
      <w:pPr>
        <w:pStyle w:val="EndnoteText"/>
      </w:pPr>
      <w:r w:rsidRPr="00B06B02">
        <w:rPr>
          <w:rStyle w:val="EndnoteReference"/>
        </w:rPr>
        <w:endnoteRef/>
      </w:r>
      <w:r w:rsidRPr="00B06B02">
        <w:t xml:space="preserve"> </w:t>
      </w:r>
      <w:r>
        <w:t xml:space="preserve">Fitzmyer, </w:t>
      </w:r>
      <w:r w:rsidRPr="00B06B02">
        <w:rPr>
          <w:i/>
        </w:rPr>
        <w:t>One to Come</w:t>
      </w:r>
      <w:r>
        <w:t>, pp. 61-2.  Refs Dan. 9:26; 1 Macc. 1:54.</w:t>
      </w:r>
    </w:p>
  </w:endnote>
  <w:endnote w:id="1751">
    <w:p w:rsidR="00975183" w:rsidRDefault="00975183" w:rsidP="006A2E06">
      <w:pPr>
        <w:pStyle w:val="EndnoteText"/>
      </w:pPr>
      <w:r w:rsidRPr="005D203D">
        <w:rPr>
          <w:rStyle w:val="FootnoteReference"/>
        </w:rPr>
        <w:endnoteRef/>
      </w:r>
      <w:r w:rsidRPr="005D203D">
        <w:t xml:space="preserve"> </w:t>
      </w:r>
      <w:r>
        <w:t>Darby, ‘</w:t>
      </w:r>
      <w:r w:rsidRPr="006546B6">
        <w:rPr>
          <w:bCs/>
          <w:szCs w:val="28"/>
        </w:rPr>
        <w:t>Notes on the Apocalypse gleaned at lectures in Geneva, 1842</w:t>
      </w:r>
      <w:r>
        <w:t xml:space="preserve">’, </w:t>
      </w:r>
      <w:r w:rsidRPr="005D203D">
        <w:rPr>
          <w:i/>
        </w:rPr>
        <w:t>Collected Writings</w:t>
      </w:r>
      <w:r>
        <w:t xml:space="preserve">, </w:t>
      </w:r>
      <w:r w:rsidRPr="00C3124B">
        <w:rPr>
          <w:i/>
        </w:rPr>
        <w:t>Vol. 5, Prophetic 2</w:t>
      </w:r>
      <w:r>
        <w:t xml:space="preserve">, </w:t>
      </w:r>
    </w:p>
    <w:p w:rsidR="00975183" w:rsidRDefault="00975183" w:rsidP="006A2E06">
      <w:pPr>
        <w:pStyle w:val="EndnoteText"/>
      </w:pPr>
      <w:r>
        <w:t>p. 13 &lt;</w:t>
      </w:r>
      <w:r w:rsidRPr="00831E9E">
        <w:t>http://www.stempublishing.com/authors/darby/PROPHET/05001_7F.html#a1</w:t>
      </w:r>
      <w:r>
        <w:t>&gt; [accessed 7.8.09].</w:t>
      </w:r>
    </w:p>
  </w:endnote>
  <w:endnote w:id="1752">
    <w:p w:rsidR="00975183" w:rsidRDefault="00975183" w:rsidP="006A2E06">
      <w:pPr>
        <w:pStyle w:val="EndnoteText"/>
      </w:pPr>
      <w:r w:rsidRPr="005D203D">
        <w:rPr>
          <w:rStyle w:val="FootnoteReference"/>
        </w:rPr>
        <w:endnoteRef/>
      </w:r>
      <w:r w:rsidRPr="005D203D">
        <w:t xml:space="preserve"> </w:t>
      </w:r>
      <w:r>
        <w:t>Darby, ‘</w:t>
      </w:r>
      <w:r>
        <w:rPr>
          <w:bCs/>
          <w:szCs w:val="28"/>
        </w:rPr>
        <w:t>Divine Mercy in the Church and Towards Israel</w:t>
      </w:r>
      <w:r>
        <w:t xml:space="preserve">’, </w:t>
      </w:r>
      <w:r w:rsidRPr="005D203D">
        <w:rPr>
          <w:i/>
        </w:rPr>
        <w:t>Collected Writings</w:t>
      </w:r>
      <w:r>
        <w:t xml:space="preserve">, </w:t>
      </w:r>
      <w:r w:rsidRPr="00C3124B">
        <w:rPr>
          <w:i/>
        </w:rPr>
        <w:t>Vol. 2, Prophetic 1</w:t>
      </w:r>
      <w:r>
        <w:t>, pp. 150, 153-4</w:t>
      </w:r>
    </w:p>
    <w:p w:rsidR="00975183" w:rsidRDefault="00975183" w:rsidP="006A2E06">
      <w:pPr>
        <w:pStyle w:val="EndnoteText"/>
      </w:pPr>
      <w:r>
        <w:t>&lt;</w:t>
      </w:r>
      <w:r w:rsidRPr="00831E9E">
        <w:t>http://www.stempublishing.com/authors/darby/PROPHET/02008E.html</w:t>
      </w:r>
      <w:r>
        <w:t>&gt; [accessed 24.7.09].</w:t>
      </w:r>
    </w:p>
  </w:endnote>
  <w:endnote w:id="1753">
    <w:p w:rsidR="00975183" w:rsidRDefault="00975183" w:rsidP="006A2E06">
      <w:pPr>
        <w:pStyle w:val="EndnoteText"/>
      </w:pPr>
      <w:r w:rsidRPr="005D203D">
        <w:rPr>
          <w:rStyle w:val="FootnoteReference"/>
        </w:rPr>
        <w:endnoteRef/>
      </w:r>
      <w:r w:rsidRPr="005D203D">
        <w:t xml:space="preserve"> </w:t>
      </w:r>
      <w:r>
        <w:t>Darby, ‘</w:t>
      </w:r>
      <w:r w:rsidRPr="00507E76">
        <w:rPr>
          <w:bCs/>
          <w:szCs w:val="36"/>
          <w:lang w:eastAsia="en-GB"/>
        </w:rPr>
        <w:t>Thoughts on Isaiah the Prophet</w:t>
      </w:r>
      <w:r>
        <w:t xml:space="preserve">’, </w:t>
      </w:r>
      <w:r w:rsidRPr="005D203D">
        <w:rPr>
          <w:i/>
        </w:rPr>
        <w:t>Collected Writings</w:t>
      </w:r>
      <w:r>
        <w:t xml:space="preserve">, </w:t>
      </w:r>
      <w:r w:rsidRPr="00C3124B">
        <w:rPr>
          <w:i/>
        </w:rPr>
        <w:t>Expository Vol. 30</w:t>
      </w:r>
      <w:r>
        <w:t>, p. 195</w:t>
      </w:r>
    </w:p>
    <w:p w:rsidR="00975183" w:rsidRDefault="00975183" w:rsidP="006A2E06">
      <w:pPr>
        <w:pStyle w:val="EndnoteText"/>
      </w:pPr>
      <w:r>
        <w:t>&lt;</w:t>
      </w:r>
      <w:r w:rsidRPr="00831E9E">
        <w:t>http://www.stempublishing.com/authors/darby/PROPHET/02008E.html</w:t>
      </w:r>
      <w:r>
        <w:t>&gt; [accessed 12.5.17].</w:t>
      </w:r>
    </w:p>
  </w:endnote>
  <w:endnote w:id="1754">
    <w:p w:rsidR="00975183" w:rsidRPr="001E3D51" w:rsidRDefault="00975183" w:rsidP="006A2E06">
      <w:pPr>
        <w:pStyle w:val="EndnoteText"/>
      </w:pPr>
      <w:r w:rsidRPr="001E3D51">
        <w:rPr>
          <w:rStyle w:val="EndnoteReference"/>
        </w:rPr>
        <w:endnoteRef/>
      </w:r>
      <w:r w:rsidRPr="001E3D51">
        <w:t xml:space="preserve"> </w:t>
      </w:r>
      <w:r>
        <w:t>Ref. Lk. 21:24.</w:t>
      </w:r>
    </w:p>
  </w:endnote>
  <w:endnote w:id="1755">
    <w:p w:rsidR="00975183" w:rsidRDefault="00975183" w:rsidP="006A2E06">
      <w:pPr>
        <w:pStyle w:val="EndnoteText"/>
      </w:pPr>
      <w:r w:rsidRPr="001E3D51">
        <w:rPr>
          <w:rStyle w:val="EndnoteReference"/>
        </w:rPr>
        <w:endnoteRef/>
      </w:r>
      <w:r w:rsidRPr="001E3D51">
        <w:t xml:space="preserve"> </w:t>
      </w:r>
      <w:r>
        <w:t xml:space="preserve">Refs </w:t>
      </w:r>
      <w:r w:rsidRPr="001E3D51">
        <w:t>Dan. 2:37-45; 7:1-14</w:t>
      </w:r>
      <w:r>
        <w:t>.</w:t>
      </w:r>
    </w:p>
  </w:endnote>
  <w:endnote w:id="1756">
    <w:p w:rsidR="00975183" w:rsidRPr="00D10A4E" w:rsidRDefault="00975183" w:rsidP="006A2E06">
      <w:pPr>
        <w:pStyle w:val="EndnoteText"/>
      </w:pPr>
      <w:r w:rsidRPr="00D10A4E">
        <w:rPr>
          <w:rStyle w:val="EndnoteReference"/>
        </w:rPr>
        <w:endnoteRef/>
      </w:r>
      <w:r w:rsidRPr="00D10A4E">
        <w:t xml:space="preserve"> </w:t>
      </w:r>
      <w:r>
        <w:t xml:space="preserve">Chafer, </w:t>
      </w:r>
      <w:r w:rsidRPr="00D10A4E">
        <w:rPr>
          <w:i/>
        </w:rPr>
        <w:t>Major Bible Themes</w:t>
      </w:r>
      <w:r>
        <w:t>, p. 279.</w:t>
      </w:r>
    </w:p>
  </w:endnote>
  <w:endnote w:id="1757">
    <w:p w:rsidR="00975183" w:rsidRDefault="00975183" w:rsidP="006A2E06">
      <w:pPr>
        <w:pStyle w:val="EndnoteText"/>
      </w:pPr>
      <w:r w:rsidRPr="006F47F2">
        <w:rPr>
          <w:rStyle w:val="FootnoteReference"/>
        </w:rPr>
        <w:endnoteRef/>
      </w:r>
      <w:r w:rsidRPr="006F47F2">
        <w:t xml:space="preserve"> </w:t>
      </w:r>
      <w:r w:rsidRPr="00612A10">
        <w:rPr>
          <w:i/>
        </w:rPr>
        <w:t xml:space="preserve">SRB </w:t>
      </w:r>
      <w:r>
        <w:t>I</w:t>
      </w:r>
      <w:r w:rsidRPr="006F47F2">
        <w:t xml:space="preserve">ntroduction to the </w:t>
      </w:r>
      <w:r>
        <w:t>H</w:t>
      </w:r>
      <w:r w:rsidRPr="006F47F2">
        <w:t xml:space="preserve">istorical </w:t>
      </w:r>
      <w:r>
        <w:t>B</w:t>
      </w:r>
      <w:r w:rsidRPr="006F47F2">
        <w:t>ooks, p. 257</w:t>
      </w:r>
      <w:r w:rsidRPr="006F47F2">
        <w:rPr>
          <w:lang w:eastAsia="en-GB"/>
        </w:rPr>
        <w:t>.</w:t>
      </w:r>
      <w:r w:rsidRPr="006F47F2">
        <w:t xml:space="preserve">  Ref. Lk. 21:24.</w:t>
      </w:r>
      <w:r>
        <w:t xml:space="preserve">  cf </w:t>
      </w:r>
      <w:r w:rsidRPr="006F47F2">
        <w:t>note</w:t>
      </w:r>
      <w:r>
        <w:t>s</w:t>
      </w:r>
      <w:r w:rsidRPr="006F47F2">
        <w:t xml:space="preserve"> on </w:t>
      </w:r>
      <w:r w:rsidRPr="00F57263">
        <w:t>Rev. 16:19</w:t>
      </w:r>
      <w:r w:rsidRPr="006F47F2">
        <w:t>, p. 1345</w:t>
      </w:r>
      <w:r>
        <w:t xml:space="preserve"> (r</w:t>
      </w:r>
      <w:r w:rsidRPr="006F47F2">
        <w:t xml:space="preserve">efs. Dan. 2:34, 35, 44; Lk. </w:t>
      </w:r>
      <w:r w:rsidRPr="008064B8">
        <w:t>21:24</w:t>
      </w:r>
      <w:r>
        <w:t>);</w:t>
      </w:r>
      <w:r w:rsidRPr="008064B8">
        <w:t xml:space="preserve"> Jer. 39:7, p. 816</w:t>
      </w:r>
      <w:r>
        <w:t xml:space="preserve">; Zech. 1:8, p. 965 and Zech. 12:8, p. 977.  </w:t>
      </w:r>
      <w:r w:rsidRPr="008064B8">
        <w:t>The note on Ps. 89:27, p. 643, speaks of ‘that subordination of Israel to the Gentiles which still continues’.</w:t>
      </w:r>
    </w:p>
  </w:endnote>
  <w:endnote w:id="1758">
    <w:p w:rsidR="00975183" w:rsidRPr="008064B8" w:rsidRDefault="00975183" w:rsidP="006A2E06">
      <w:pPr>
        <w:pStyle w:val="EndnoteText"/>
      </w:pPr>
      <w:r w:rsidRPr="008064B8">
        <w:rPr>
          <w:rStyle w:val="EndnoteReference"/>
        </w:rPr>
        <w:endnoteRef/>
      </w:r>
      <w:r w:rsidRPr="008064B8">
        <w:t xml:space="preserve"> </w:t>
      </w:r>
      <w:r w:rsidRPr="00E509E3">
        <w:rPr>
          <w:i/>
        </w:rPr>
        <w:t>SRB</w:t>
      </w:r>
      <w:r>
        <w:t xml:space="preserve"> n</w:t>
      </w:r>
      <w:r w:rsidRPr="008064B8">
        <w:t>ote on Joel 1:4, p. 930</w:t>
      </w:r>
      <w:r w:rsidRPr="008064B8">
        <w:rPr>
          <w:lang w:eastAsia="en-GB"/>
        </w:rPr>
        <w:t>.</w:t>
      </w:r>
      <w:r w:rsidRPr="008064B8">
        <w:t xml:space="preserve">  </w:t>
      </w:r>
      <w:proofErr w:type="gramStart"/>
      <w:r w:rsidRPr="005E1DF3">
        <w:rPr>
          <w:b/>
        </w:rPr>
        <w:t>See 8.4.6</w:t>
      </w:r>
      <w:r w:rsidRPr="00B76429">
        <w:t>.</w:t>
      </w:r>
      <w:proofErr w:type="gramEnd"/>
    </w:p>
  </w:endnote>
  <w:endnote w:id="1759">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w:t>
      </w:r>
      <w:r>
        <w:t xml:space="preserve"> Jer. 39:7, p. 816.  </w:t>
      </w:r>
      <w:r w:rsidRPr="008064B8">
        <w:t xml:space="preserve">cf note on Gen. 8:21, p. 16 – ‘The times of the Gentiles began at the judgment of the Captivities’.  This view is corroborated in </w:t>
      </w:r>
      <w:r>
        <w:t>the I</w:t>
      </w:r>
      <w:r w:rsidRPr="008064B8">
        <w:t xml:space="preserve">ntroduction to the </w:t>
      </w:r>
      <w:r>
        <w:t>H</w:t>
      </w:r>
      <w:r w:rsidRPr="008064B8">
        <w:t xml:space="preserve">istorical </w:t>
      </w:r>
      <w:r>
        <w:t>B</w:t>
      </w:r>
      <w:r w:rsidRPr="008064B8">
        <w:t>ooks, p. 257.</w:t>
      </w:r>
    </w:p>
  </w:endnote>
  <w:endnote w:id="1760">
    <w:p w:rsidR="00975183" w:rsidRDefault="00975183" w:rsidP="006A2E06">
      <w:pPr>
        <w:pStyle w:val="EndnoteText"/>
      </w:pPr>
      <w:r w:rsidRPr="008064B8">
        <w:rPr>
          <w:rStyle w:val="FootnoteReference"/>
        </w:rPr>
        <w:endnoteRef/>
      </w:r>
      <w:r w:rsidRPr="008064B8">
        <w:t xml:space="preserve"> </w:t>
      </w:r>
      <w:r w:rsidRPr="008064B8">
        <w:rPr>
          <w:i/>
        </w:rPr>
        <w:t>SRB</w:t>
      </w:r>
      <w:r w:rsidRPr="008064B8">
        <w:t xml:space="preserve"> note on Dan. 4:1, p. 904.</w:t>
      </w:r>
    </w:p>
  </w:endnote>
  <w:endnote w:id="1761">
    <w:p w:rsidR="00975183" w:rsidRDefault="00975183" w:rsidP="006A2E06">
      <w:pPr>
        <w:pStyle w:val="EndnoteText"/>
      </w:pPr>
      <w:r w:rsidRPr="002556DD">
        <w:rPr>
          <w:rStyle w:val="EndnoteReference"/>
        </w:rPr>
        <w:endnoteRef/>
      </w:r>
      <w:r w:rsidRPr="002556DD">
        <w:t xml:space="preserve"> </w:t>
      </w:r>
      <w:r w:rsidRPr="008064B8">
        <w:rPr>
          <w:i/>
        </w:rPr>
        <w:t>SRB</w:t>
      </w:r>
      <w:r w:rsidRPr="008064B8">
        <w:t xml:space="preserve"> note on Dan. 5:31, p. 907.  </w:t>
      </w:r>
      <w:proofErr w:type="gramStart"/>
      <w:r w:rsidRPr="008C25ED">
        <w:rPr>
          <w:b/>
        </w:rPr>
        <w:t>See 8.4.4</w:t>
      </w:r>
      <w:r w:rsidRPr="008C25ED">
        <w:t>.</w:t>
      </w:r>
      <w:proofErr w:type="gramEnd"/>
    </w:p>
  </w:endnote>
  <w:endnote w:id="1762">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I</w:t>
      </w:r>
      <w:r w:rsidRPr="008064B8">
        <w:t xml:space="preserve">ntroduction to Daniel, p. 898.  Ref. Lk. 21:24.  </w:t>
      </w:r>
      <w:proofErr w:type="gramStart"/>
      <w:r w:rsidRPr="008C25ED">
        <w:rPr>
          <w:b/>
        </w:rPr>
        <w:t>See 8.4.4</w:t>
      </w:r>
      <w:r w:rsidRPr="008064B8">
        <w:t>.</w:t>
      </w:r>
      <w:proofErr w:type="gramEnd"/>
      <w:r w:rsidRPr="008064B8">
        <w:t xml:space="preserve"> </w:t>
      </w:r>
    </w:p>
  </w:endnote>
  <w:endnote w:id="1763">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 Dan. 2:31, p. 900. </w:t>
      </w:r>
      <w:r>
        <w:t xml:space="preserve"> </w:t>
      </w:r>
      <w:proofErr w:type="gramStart"/>
      <w:r w:rsidRPr="008C25ED">
        <w:rPr>
          <w:b/>
        </w:rPr>
        <w:t>See 2.2.1</w:t>
      </w:r>
      <w:r>
        <w:t>.</w:t>
      </w:r>
      <w:proofErr w:type="gramEnd"/>
    </w:p>
  </w:endnote>
  <w:endnote w:id="1764">
    <w:p w:rsidR="00975183" w:rsidRPr="008F200D" w:rsidRDefault="00975183" w:rsidP="006A2E06">
      <w:pPr>
        <w:pStyle w:val="EndnoteText"/>
      </w:pPr>
      <w:r w:rsidRPr="008F200D">
        <w:rPr>
          <w:rStyle w:val="EndnoteReference"/>
        </w:rPr>
        <w:endnoteRef/>
      </w:r>
      <w:r w:rsidRPr="008F200D">
        <w:t xml:space="preserve"> Ref. Daniel 2.</w:t>
      </w:r>
    </w:p>
  </w:endnote>
  <w:endnote w:id="1765">
    <w:p w:rsidR="00975183" w:rsidRPr="008F200D" w:rsidRDefault="00975183" w:rsidP="006A2E06">
      <w:pPr>
        <w:pStyle w:val="EndnoteText"/>
      </w:pPr>
      <w:r w:rsidRPr="008F200D">
        <w:rPr>
          <w:rStyle w:val="EndnoteReference"/>
        </w:rPr>
        <w:endnoteRef/>
      </w:r>
      <w:r w:rsidRPr="008F200D">
        <w:t xml:space="preserve"> Refs </w:t>
      </w:r>
      <w:r w:rsidRPr="008F200D">
        <w:rPr>
          <w:color w:val="000000"/>
        </w:rPr>
        <w:t>Lk. 21:24; Rev. 16:19.</w:t>
      </w:r>
    </w:p>
  </w:endnote>
  <w:endnote w:id="1766">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7:17, pp. 910-11.  </w:t>
      </w:r>
    </w:p>
  </w:endnote>
  <w:endnote w:id="1767">
    <w:p w:rsidR="00975183" w:rsidRPr="008064B8" w:rsidRDefault="00975183" w:rsidP="006A2E06">
      <w:pPr>
        <w:pStyle w:val="EndnoteText"/>
      </w:pPr>
      <w:r w:rsidRPr="008064B8">
        <w:rPr>
          <w:rStyle w:val="EndnoteReference"/>
        </w:rPr>
        <w:endnoteRef/>
      </w:r>
      <w:r w:rsidRPr="008064B8">
        <w:t xml:space="preserve"> </w:t>
      </w:r>
      <w:r w:rsidRPr="008064B8">
        <w:rPr>
          <w:i/>
        </w:rPr>
        <w:t>SRB</w:t>
      </w:r>
      <w:r>
        <w:t xml:space="preserve"> n</w:t>
      </w:r>
      <w:r w:rsidRPr="008064B8">
        <w:t>ote on Dan. 2:31, p. 901</w:t>
      </w:r>
      <w:r w:rsidRPr="008064B8">
        <w:rPr>
          <w:lang w:eastAsia="en-GB"/>
        </w:rPr>
        <w:t>.</w:t>
      </w:r>
      <w:r w:rsidRPr="008064B8">
        <w:t xml:space="preserve">  cf note on Dan. 7:17, p. 911</w:t>
      </w:r>
      <w:r w:rsidRPr="008064B8">
        <w:rPr>
          <w:lang w:eastAsia="en-GB"/>
        </w:rPr>
        <w:t>.</w:t>
      </w:r>
    </w:p>
  </w:endnote>
  <w:endnote w:id="1768">
    <w:p w:rsidR="00975183" w:rsidRPr="006E2EC2" w:rsidRDefault="00975183" w:rsidP="006A2E06">
      <w:pPr>
        <w:pStyle w:val="EndnoteText"/>
      </w:pPr>
      <w:r w:rsidRPr="006F47F2">
        <w:rPr>
          <w:rStyle w:val="FootnoteReference"/>
        </w:rPr>
        <w:endnoteRef/>
      </w:r>
      <w:r w:rsidRPr="006F47F2">
        <w:t xml:space="preserve"> </w:t>
      </w:r>
      <w:proofErr w:type="gramStart"/>
      <w:r w:rsidRPr="008B2C08">
        <w:rPr>
          <w:i/>
        </w:rPr>
        <w:t>SRB</w:t>
      </w:r>
      <w:r>
        <w:t xml:space="preserve"> n</w:t>
      </w:r>
      <w:r w:rsidRPr="006F47F2">
        <w:t>ote on Rev. 16:19, p. 1234</w:t>
      </w:r>
      <w:r w:rsidRPr="006F47F2">
        <w:rPr>
          <w:lang w:eastAsia="en-GB"/>
        </w:rPr>
        <w:t>.</w:t>
      </w:r>
      <w:proofErr w:type="gramEnd"/>
      <w:r w:rsidRPr="006F47F2">
        <w:t xml:space="preserve">  ‘</w:t>
      </w:r>
      <w:r w:rsidRPr="006F47F2">
        <w:rPr>
          <w:lang w:val="en-US"/>
        </w:rPr>
        <w:t>And the great city was divided into three parts, and the cities of the nations fell: and great Babylon came in remembrance before God, to give unto her the cup of the wine of the fierceness of his wrath.</w:t>
      </w:r>
      <w:r w:rsidRPr="006F47F2">
        <w:t xml:space="preserve">’  Rev. 16:19, </w:t>
      </w:r>
      <w:r w:rsidRPr="006F47F2">
        <w:rPr>
          <w:i/>
        </w:rPr>
        <w:t>KJV</w:t>
      </w:r>
      <w:r>
        <w:t>.</w:t>
      </w:r>
    </w:p>
  </w:endnote>
  <w:endnote w:id="1769">
    <w:p w:rsidR="00975183" w:rsidRDefault="00975183" w:rsidP="006A2E06">
      <w:pPr>
        <w:pStyle w:val="EndnoteText"/>
      </w:pPr>
      <w:r w:rsidRPr="006F47F2">
        <w:rPr>
          <w:rStyle w:val="FootnoteReference"/>
        </w:rPr>
        <w:endnoteRef/>
      </w:r>
      <w:r w:rsidRPr="006F47F2">
        <w:t xml:space="preserve"> </w:t>
      </w:r>
      <w:r w:rsidRPr="006E2EC2">
        <w:rPr>
          <w:i/>
          <w:spacing w:val="-2"/>
        </w:rPr>
        <w:t xml:space="preserve">SRB </w:t>
      </w:r>
      <w:r w:rsidRPr="006E2EC2">
        <w:rPr>
          <w:spacing w:val="-2"/>
        </w:rPr>
        <w:t>note on Eph. 1:10, p. 1250</w:t>
      </w:r>
      <w:r w:rsidRPr="006E2EC2">
        <w:rPr>
          <w:spacing w:val="-2"/>
          <w:lang w:eastAsia="en-GB"/>
        </w:rPr>
        <w:t xml:space="preserve">.  </w:t>
      </w:r>
      <w:r w:rsidRPr="006E2EC2">
        <w:rPr>
          <w:color w:val="000000"/>
          <w:spacing w:val="-2"/>
        </w:rPr>
        <w:t>The times of the Gentiles are to ‘end in the smiting of the image (refs Dan. 2:34-5,</w:t>
      </w:r>
      <w:r w:rsidRPr="006F47F2">
        <w:rPr>
          <w:color w:val="000000"/>
        </w:rPr>
        <w:t xml:space="preserve"> Rev. 19:15-21) </w:t>
      </w:r>
      <w:r w:rsidRPr="006F47F2">
        <w:t>by the “stone cut without hands” and the setting up of the kingdom of the heavens’.</w:t>
      </w:r>
    </w:p>
  </w:endnote>
  <w:endnote w:id="1770">
    <w:p w:rsidR="00975183" w:rsidRPr="008F200D" w:rsidRDefault="00975183" w:rsidP="006A2E06">
      <w:pPr>
        <w:pStyle w:val="EndnoteText"/>
      </w:pPr>
      <w:r w:rsidRPr="008064B8">
        <w:rPr>
          <w:rStyle w:val="EndnoteReference"/>
        </w:rPr>
        <w:endnoteRef/>
      </w:r>
      <w:r w:rsidRPr="008064B8">
        <w:t xml:space="preserve"> </w:t>
      </w:r>
      <w:r w:rsidRPr="008064B8">
        <w:rPr>
          <w:i/>
        </w:rPr>
        <w:t>SRB</w:t>
      </w:r>
      <w:r>
        <w:rPr>
          <w:i/>
        </w:rPr>
        <w:t xml:space="preserve"> </w:t>
      </w:r>
      <w:r>
        <w:t>n</w:t>
      </w:r>
      <w:r w:rsidRPr="008064B8">
        <w:t xml:space="preserve">ote on Dan. 2:31, p. 901.  cf </w:t>
      </w:r>
      <w:r>
        <w:t>n</w:t>
      </w:r>
      <w:r w:rsidRPr="008064B8">
        <w:t xml:space="preserve">otes on </w:t>
      </w:r>
      <w:r w:rsidRPr="008F200D">
        <w:t>Dan. 7:14, p. 910</w:t>
      </w:r>
      <w:r w:rsidRPr="008F200D">
        <w:rPr>
          <w:lang w:eastAsia="en-GB"/>
        </w:rPr>
        <w:t xml:space="preserve">; </w:t>
      </w:r>
      <w:r w:rsidRPr="008F200D">
        <w:t>Dan. 7:26, p. 911 and Dan. 12:12</w:t>
      </w:r>
      <w:r>
        <w:t>,</w:t>
      </w:r>
      <w:r w:rsidRPr="008F200D">
        <w:t xml:space="preserve"> p. 920.</w:t>
      </w:r>
    </w:p>
  </w:endnote>
  <w:endnote w:id="1771">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w:t>
      </w:r>
      <w:r>
        <w:t>s</w:t>
      </w:r>
      <w:r w:rsidRPr="008F200D">
        <w:t xml:space="preserve"> on Mt. 3:2, p. 996</w:t>
      </w:r>
      <w:r>
        <w:t>;</w:t>
      </w:r>
      <w:r w:rsidRPr="008F200D">
        <w:t xml:space="preserve"> Mt. 21:44, p. 1030</w:t>
      </w:r>
      <w:r w:rsidRPr="00B13637">
        <w:t>;</w:t>
      </w:r>
      <w:r w:rsidRPr="008F200D">
        <w:t xml:space="preserve"> Mt. 24:3, p. 1033</w:t>
      </w:r>
      <w:r w:rsidRPr="008F200D">
        <w:rPr>
          <w:lang w:eastAsia="en-GB"/>
        </w:rPr>
        <w:t>.</w:t>
      </w:r>
    </w:p>
  </w:endnote>
  <w:endnote w:id="1772">
    <w:p w:rsidR="00975183" w:rsidRPr="008F200D" w:rsidRDefault="00975183" w:rsidP="006A2E06">
      <w:pPr>
        <w:pStyle w:val="EndnoteText"/>
      </w:pPr>
      <w:r w:rsidRPr="008F200D">
        <w:rPr>
          <w:rStyle w:val="EndnoteReference"/>
        </w:rPr>
        <w:endnoteRef/>
      </w:r>
      <w:r w:rsidRPr="008F200D">
        <w:t xml:space="preserve"> </w:t>
      </w:r>
      <w:proofErr w:type="gramStart"/>
      <w:r w:rsidRPr="008F200D">
        <w:rPr>
          <w:i/>
        </w:rPr>
        <w:t>SRB</w:t>
      </w:r>
      <w:r>
        <w:t xml:space="preserve"> n</w:t>
      </w:r>
      <w:r w:rsidRPr="008F200D">
        <w:t>ote on 1 Pet. 2:8, p. 1313.</w:t>
      </w:r>
      <w:proofErr w:type="gramEnd"/>
    </w:p>
  </w:endnote>
  <w:endnote w:id="1773">
    <w:p w:rsidR="00975183" w:rsidRPr="008F200D" w:rsidRDefault="00975183" w:rsidP="006A2E06">
      <w:pPr>
        <w:pStyle w:val="EndnoteText"/>
      </w:pPr>
      <w:r w:rsidRPr="008F200D">
        <w:rPr>
          <w:rStyle w:val="EndnoteReference"/>
        </w:rPr>
        <w:endnoteRef/>
      </w:r>
      <w:r w:rsidRPr="008F200D">
        <w:t xml:space="preserve"> </w:t>
      </w:r>
      <w:r w:rsidRPr="008F200D">
        <w:rPr>
          <w:i/>
        </w:rPr>
        <w:t>SRB</w:t>
      </w:r>
      <w:r>
        <w:t xml:space="preserve"> n</w:t>
      </w:r>
      <w:r w:rsidRPr="008F200D">
        <w:t>ote</w:t>
      </w:r>
      <w:r>
        <w:t>s</w:t>
      </w:r>
      <w:r w:rsidRPr="008F200D">
        <w:t xml:space="preserve"> on </w:t>
      </w:r>
      <w:r w:rsidRPr="008F200D">
        <w:rPr>
          <w:lang w:eastAsia="en-GB"/>
        </w:rPr>
        <w:t>Rev. 16:19,</w:t>
      </w:r>
      <w:r w:rsidRPr="008F200D">
        <w:rPr>
          <w:b/>
          <w:lang w:eastAsia="en-GB"/>
        </w:rPr>
        <w:t xml:space="preserve"> </w:t>
      </w:r>
      <w:r w:rsidRPr="008F200D">
        <w:t>p. 1345</w:t>
      </w:r>
      <w:r>
        <w:t xml:space="preserve">; </w:t>
      </w:r>
      <w:r w:rsidRPr="008F200D">
        <w:t>Rev. 19:11, p. 1348</w:t>
      </w:r>
      <w:r>
        <w:rPr>
          <w:lang w:eastAsia="en-GB"/>
        </w:rPr>
        <w:t>; Rev. 19:19,</w:t>
      </w:r>
      <w:r w:rsidRPr="008F200D">
        <w:rPr>
          <w:lang w:eastAsia="en-GB"/>
        </w:rPr>
        <w:t xml:space="preserve"> </w:t>
      </w:r>
      <w:r w:rsidRPr="008F200D">
        <w:t>p. 1349</w:t>
      </w:r>
      <w:r>
        <w:rPr>
          <w:lang w:eastAsia="en-GB"/>
        </w:rPr>
        <w:t>.</w:t>
      </w:r>
    </w:p>
  </w:endnote>
  <w:endnote w:id="1774">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w:t>
      </w:r>
      <w:r>
        <w:t>n</w:t>
      </w:r>
      <w:r w:rsidRPr="008F200D">
        <w:t>ote on Dan. 2:31, p. 901.</w:t>
      </w:r>
    </w:p>
  </w:endnote>
  <w:endnote w:id="1775">
    <w:p w:rsidR="00975183" w:rsidRPr="008064B8" w:rsidRDefault="00975183" w:rsidP="006A2E06">
      <w:pPr>
        <w:pStyle w:val="EndnoteText"/>
      </w:pPr>
      <w:r w:rsidRPr="008064B8">
        <w:rPr>
          <w:rStyle w:val="EndnoteReference"/>
        </w:rPr>
        <w:endnoteRef/>
      </w:r>
      <w:r w:rsidRPr="008064B8">
        <w:t xml:space="preserve"> </w:t>
      </w:r>
      <w:r w:rsidRPr="00E509E3">
        <w:rPr>
          <w:i/>
        </w:rPr>
        <w:t>SRB</w:t>
      </w:r>
      <w:r>
        <w:t xml:space="preserve"> n</w:t>
      </w:r>
      <w:r w:rsidRPr="008064B8">
        <w:t>ote on Ezek. 25:8, p. 868</w:t>
      </w:r>
      <w:r w:rsidRPr="008064B8">
        <w:rPr>
          <w:lang w:eastAsia="en-GB"/>
        </w:rPr>
        <w:t>.</w:t>
      </w:r>
      <w:r w:rsidRPr="008064B8">
        <w:t xml:space="preserve">  </w:t>
      </w:r>
      <w:proofErr w:type="gramStart"/>
      <w:r w:rsidRPr="008C25ED">
        <w:rPr>
          <w:b/>
        </w:rPr>
        <w:t>See 2.2.3</w:t>
      </w:r>
      <w:r w:rsidRPr="008064B8">
        <w:t>.</w:t>
      </w:r>
      <w:proofErr w:type="gramEnd"/>
    </w:p>
  </w:endnote>
  <w:endnote w:id="1776">
    <w:p w:rsidR="00975183" w:rsidRDefault="00975183" w:rsidP="006A2E06">
      <w:pPr>
        <w:pStyle w:val="EndnoteText"/>
      </w:pPr>
      <w:r w:rsidRPr="00511983">
        <w:rPr>
          <w:rStyle w:val="EndnoteReference"/>
        </w:rPr>
        <w:endnoteRef/>
      </w:r>
      <w:r w:rsidRPr="00511983">
        <w:t xml:space="preserve"> </w:t>
      </w:r>
      <w:r w:rsidRPr="00285FCF">
        <w:rPr>
          <w:i/>
        </w:rPr>
        <w:t>SRB</w:t>
      </w:r>
      <w:r>
        <w:t xml:space="preserve"> </w:t>
      </w:r>
      <w:r w:rsidRPr="006F47F2">
        <w:t>note on Dan. 2:31, pp. 900-901</w:t>
      </w:r>
      <w:r>
        <w:t>.  Ref.</w:t>
      </w:r>
      <w:r w:rsidRPr="006F47F2">
        <w:t xml:space="preserve"> Rev. 13:14, 15</w:t>
      </w:r>
      <w:r>
        <w:t>.</w:t>
      </w:r>
    </w:p>
  </w:endnote>
  <w:endnote w:id="1777">
    <w:p w:rsidR="00975183" w:rsidRPr="008064B8" w:rsidRDefault="00975183" w:rsidP="006A2E06">
      <w:pPr>
        <w:pStyle w:val="EndnoteText"/>
      </w:pPr>
      <w:r w:rsidRPr="008064B8">
        <w:rPr>
          <w:rStyle w:val="EndnoteReference"/>
        </w:rPr>
        <w:endnoteRef/>
      </w:r>
      <w:r w:rsidRPr="008064B8">
        <w:t xml:space="preserve"> Subhead to Dan. 2:44, p. 902.  Ref. Mt. 3:2.</w:t>
      </w:r>
    </w:p>
  </w:endnote>
  <w:endnote w:id="1778">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subhead to and note on Dan. 2:44, p. 902</w:t>
      </w:r>
      <w:r w:rsidRPr="008064B8">
        <w:rPr>
          <w:b/>
        </w:rPr>
        <w:t>.</w:t>
      </w:r>
    </w:p>
  </w:endnote>
  <w:endnote w:id="1779">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 Mt. 3:2, p. 996.  </w:t>
      </w:r>
    </w:p>
  </w:endnote>
  <w:endnote w:id="1780">
    <w:p w:rsidR="00975183" w:rsidRDefault="00975183" w:rsidP="006A2E06">
      <w:pPr>
        <w:pStyle w:val="EndnoteText"/>
      </w:pPr>
      <w:r w:rsidRPr="008064B8">
        <w:rPr>
          <w:rStyle w:val="FootnoteReference"/>
        </w:rPr>
        <w:endnoteRef/>
      </w:r>
      <w:r w:rsidRPr="008064B8">
        <w:t xml:space="preserve"> ‘</w:t>
      </w:r>
      <w:r w:rsidRPr="008064B8">
        <w:rPr>
          <w:lang w:val="en-US"/>
        </w:rPr>
        <w:t xml:space="preserve">And when the king's decree which he shall make shall be published throughout all his empire, (for it is great,) all the wives shall give to their </w:t>
      </w:r>
      <w:proofErr w:type="gramStart"/>
      <w:r w:rsidRPr="008064B8">
        <w:rPr>
          <w:lang w:val="en-US"/>
        </w:rPr>
        <w:t>husbands</w:t>
      </w:r>
      <w:proofErr w:type="gramEnd"/>
      <w:r w:rsidRPr="008064B8">
        <w:rPr>
          <w:lang w:val="en-US"/>
        </w:rPr>
        <w:t xml:space="preserve"> honour, both to great and small.’  </w:t>
      </w:r>
      <w:proofErr w:type="gramStart"/>
      <w:r w:rsidRPr="008064B8">
        <w:t xml:space="preserve">Esther 1:20 </w:t>
      </w:r>
      <w:r w:rsidRPr="008064B8">
        <w:rPr>
          <w:i/>
        </w:rPr>
        <w:t>KJV.</w:t>
      </w:r>
      <w:proofErr w:type="gramEnd"/>
    </w:p>
  </w:endnote>
  <w:endnote w:id="1781">
    <w:p w:rsidR="00975183" w:rsidRPr="008064B8" w:rsidRDefault="00975183" w:rsidP="006A2E06">
      <w:pPr>
        <w:pStyle w:val="EndnoteText"/>
      </w:pPr>
      <w:r w:rsidRPr="008064B8">
        <w:rPr>
          <w:rStyle w:val="EndnoteReference"/>
        </w:rPr>
        <w:endnoteRef/>
      </w:r>
      <w:r w:rsidRPr="008064B8">
        <w:t xml:space="preserve"> Daniel 2.</w:t>
      </w:r>
    </w:p>
  </w:endnote>
  <w:endnote w:id="1782">
    <w:p w:rsidR="00975183" w:rsidRPr="008064B8" w:rsidRDefault="00975183" w:rsidP="006A2E06">
      <w:pPr>
        <w:pStyle w:val="EndnoteText"/>
      </w:pPr>
      <w:r w:rsidRPr="008064B8">
        <w:rPr>
          <w:rStyle w:val="EndnoteReference"/>
        </w:rPr>
        <w:endnoteRef/>
      </w:r>
      <w:r w:rsidRPr="008064B8">
        <w:t xml:space="preserve"> Daniel 7.</w:t>
      </w:r>
    </w:p>
  </w:endnote>
  <w:endnote w:id="1783">
    <w:p w:rsidR="00975183" w:rsidRPr="008064B8" w:rsidRDefault="00975183" w:rsidP="006A2E06">
      <w:pPr>
        <w:pStyle w:val="EndnoteText"/>
      </w:pPr>
      <w:r w:rsidRPr="008064B8">
        <w:rPr>
          <w:rStyle w:val="EndnoteReference"/>
        </w:rPr>
        <w:endnoteRef/>
      </w:r>
      <w:r w:rsidRPr="008064B8">
        <w:t xml:space="preserve"> </w:t>
      </w:r>
      <w:r w:rsidRPr="00DB200B">
        <w:rPr>
          <w:i/>
        </w:rPr>
        <w:t>SRB</w:t>
      </w:r>
      <w:r>
        <w:t xml:space="preserve"> n</w:t>
      </w:r>
      <w:r w:rsidRPr="008064B8">
        <w:t>ote on Dan. 7:26, p. 911</w:t>
      </w:r>
      <w:r w:rsidRPr="008064B8">
        <w:rPr>
          <w:lang w:eastAsia="en-GB"/>
        </w:rPr>
        <w:t>.</w:t>
      </w:r>
      <w:r w:rsidRPr="008064B8">
        <w:t xml:space="preserve">  Ref. Daniel 2.</w:t>
      </w:r>
    </w:p>
  </w:endnote>
  <w:endnote w:id="1784">
    <w:p w:rsidR="00975183" w:rsidRDefault="00975183" w:rsidP="006A2E06">
      <w:pPr>
        <w:pStyle w:val="FootnoteText"/>
      </w:pPr>
      <w:r w:rsidRPr="00223064">
        <w:rPr>
          <w:rStyle w:val="EndnoteReference"/>
          <w:rFonts w:ascii="Perpetua" w:hAnsi="Perpetua"/>
        </w:rPr>
        <w:endnoteRef/>
      </w:r>
      <w:r w:rsidRPr="00223064">
        <w:rPr>
          <w:rFonts w:ascii="Perpetua" w:hAnsi="Perpetua"/>
        </w:rPr>
        <w:t xml:space="preserve"> </w:t>
      </w:r>
      <w:r w:rsidRPr="006D3CB9">
        <w:rPr>
          <w:rFonts w:ascii="Perpetua" w:hAnsi="Perpetua"/>
          <w:i/>
        </w:rPr>
        <w:t>SRB</w:t>
      </w:r>
      <w:r>
        <w:rPr>
          <w:rFonts w:ascii="Perpetua" w:hAnsi="Perpetua"/>
        </w:rPr>
        <w:t xml:space="preserve"> n</w:t>
      </w:r>
      <w:r w:rsidRPr="008064B8">
        <w:rPr>
          <w:rFonts w:ascii="Perpetua" w:hAnsi="Perpetua"/>
        </w:rPr>
        <w:t>ote on Dan. 7:26, p. 911</w:t>
      </w:r>
      <w:r>
        <w:rPr>
          <w:rFonts w:ascii="Perpetua" w:hAnsi="Perpetua"/>
        </w:rPr>
        <w:t>.</w:t>
      </w:r>
      <w:r w:rsidRPr="008064B8">
        <w:rPr>
          <w:rFonts w:ascii="Perpetua" w:hAnsi="Perpetua"/>
        </w:rPr>
        <w:t xml:space="preserve">  Refs Dan. 2:44, 45; 7:9.  </w:t>
      </w:r>
      <w:proofErr w:type="gramStart"/>
      <w:r w:rsidRPr="008064B8">
        <w:rPr>
          <w:rFonts w:ascii="Perpetua" w:hAnsi="Perpetua"/>
        </w:rPr>
        <w:t>cf note on Rev. 13:3, p. 1342</w:t>
      </w:r>
      <w:r>
        <w:rPr>
          <w:rFonts w:ascii="Perpetua" w:hAnsi="Perpetua"/>
        </w:rPr>
        <w:t>.</w:t>
      </w:r>
      <w:proofErr w:type="gramEnd"/>
      <w:r>
        <w:rPr>
          <w:rFonts w:ascii="Perpetua" w:hAnsi="Perpetua"/>
        </w:rPr>
        <w:t xml:space="preserve"> </w:t>
      </w:r>
      <w:r w:rsidRPr="008064B8">
        <w:rPr>
          <w:rFonts w:ascii="Perpetua" w:hAnsi="Perpetua"/>
        </w:rPr>
        <w:t xml:space="preserve"> </w:t>
      </w:r>
    </w:p>
  </w:endnote>
  <w:endnote w:id="1785">
    <w:p w:rsidR="00975183" w:rsidRPr="00B47A01" w:rsidRDefault="00975183" w:rsidP="006A2E06">
      <w:pPr>
        <w:pStyle w:val="EndnoteText"/>
      </w:pPr>
      <w:r w:rsidRPr="00B47A01">
        <w:rPr>
          <w:rStyle w:val="EndnoteReference"/>
        </w:rPr>
        <w:endnoteRef/>
      </w:r>
      <w:r w:rsidRPr="00B47A01">
        <w:t xml:space="preserve"> </w:t>
      </w:r>
      <w:r>
        <w:t>‘</w:t>
      </w:r>
      <w:r w:rsidRPr="00B47A01">
        <w:rPr>
          <w:rFonts w:cs="Arial"/>
          <w:lang w:bidi="he-IL"/>
        </w:rPr>
        <w:t xml:space="preserve">And in the days of these kings shall the God of heaven set up a kingdom, which shall never be destroyed: and </w:t>
      </w:r>
      <w:r w:rsidRPr="00B47A01">
        <w:rPr>
          <w:rFonts w:cs="Arial"/>
          <w:u w:val="single"/>
          <w:lang w:bidi="he-IL"/>
        </w:rPr>
        <w:t xml:space="preserve">the kingdom shall not be left to other people, </w:t>
      </w:r>
      <w:r w:rsidRPr="00B47A01">
        <w:rPr>
          <w:rFonts w:cs="Arial"/>
          <w:i/>
          <w:iCs/>
          <w:u w:val="single"/>
          <w:lang w:bidi="he-IL"/>
        </w:rPr>
        <w:t xml:space="preserve">but </w:t>
      </w:r>
      <w:r w:rsidRPr="00B47A01">
        <w:rPr>
          <w:rFonts w:cs="Arial"/>
          <w:u w:val="single"/>
          <w:lang w:bidi="he-IL"/>
        </w:rPr>
        <w:t>it shall break in pieces and consume all these kingdoms, and it shall stand for ever</w:t>
      </w:r>
      <w:r w:rsidRPr="00B47A01">
        <w:rPr>
          <w:rFonts w:cs="Arial"/>
          <w:lang w:bidi="he-IL"/>
        </w:rPr>
        <w:t xml:space="preserve">. </w:t>
      </w:r>
      <w:r w:rsidRPr="00B47A01">
        <w:rPr>
          <w:rFonts w:cs="Arial"/>
          <w:vertAlign w:val="superscript"/>
          <w:lang w:bidi="he-IL"/>
        </w:rPr>
        <w:t>45</w:t>
      </w:r>
      <w:r w:rsidRPr="00B47A01">
        <w:rPr>
          <w:rFonts w:cs="Arial"/>
          <w:lang w:bidi="he-IL"/>
        </w:rPr>
        <w:t xml:space="preserve"> Forasmuch as thou sawest that the stone was cut out of the mountain without hands, and that it brake in pieces the iron, the brass, the clay, the silver, and the gold; the great God hath made known to the king what shall come to pass hereafter: and the dream </w:t>
      </w:r>
      <w:r w:rsidRPr="00B47A01">
        <w:rPr>
          <w:rFonts w:cs="Arial"/>
          <w:i/>
          <w:iCs/>
          <w:lang w:bidi="he-IL"/>
        </w:rPr>
        <w:t xml:space="preserve">is </w:t>
      </w:r>
      <w:r w:rsidRPr="00B47A01">
        <w:rPr>
          <w:rFonts w:cs="Arial"/>
          <w:lang w:bidi="he-IL"/>
        </w:rPr>
        <w:t>certain, and the interpretation thereof sure.</w:t>
      </w:r>
      <w:r>
        <w:rPr>
          <w:rFonts w:cs="Arial"/>
          <w:lang w:bidi="he-IL"/>
        </w:rPr>
        <w:t xml:space="preserve">’  Dan. 2:44-5, </w:t>
      </w:r>
      <w:r w:rsidRPr="00B47A01">
        <w:rPr>
          <w:rFonts w:cs="Arial"/>
          <w:i/>
          <w:lang w:bidi="he-IL"/>
        </w:rPr>
        <w:t>KJV</w:t>
      </w:r>
      <w:r>
        <w:rPr>
          <w:rFonts w:cs="Arial"/>
          <w:lang w:bidi="he-IL"/>
        </w:rPr>
        <w:t xml:space="preserve">.  </w:t>
      </w:r>
      <w:proofErr w:type="gramStart"/>
      <w:r w:rsidRPr="00B47A01">
        <w:rPr>
          <w:rFonts w:cs="Arial"/>
          <w:u w:val="single"/>
          <w:lang w:bidi="he-IL"/>
        </w:rPr>
        <w:t>My emphasis</w:t>
      </w:r>
      <w:r>
        <w:rPr>
          <w:rFonts w:cs="Arial"/>
          <w:lang w:bidi="he-IL"/>
        </w:rPr>
        <w:t>.</w:t>
      </w:r>
      <w:proofErr w:type="gramEnd"/>
    </w:p>
  </w:endnote>
  <w:endnote w:id="1786">
    <w:p w:rsidR="00975183" w:rsidRDefault="00975183" w:rsidP="006A2E06">
      <w:pPr>
        <w:pStyle w:val="EndnoteText"/>
      </w:pPr>
      <w:r w:rsidRPr="006329CD">
        <w:rPr>
          <w:rStyle w:val="EndnoteReference"/>
          <w:szCs w:val="18"/>
        </w:rPr>
        <w:endnoteRef/>
      </w:r>
      <w:r>
        <w:rPr>
          <w:szCs w:val="18"/>
        </w:rPr>
        <w:t xml:space="preserve"> </w:t>
      </w:r>
      <w:r w:rsidRPr="006329CD">
        <w:rPr>
          <w:i/>
          <w:szCs w:val="18"/>
        </w:rPr>
        <w:t>SRB</w:t>
      </w:r>
      <w:r w:rsidRPr="006329CD">
        <w:rPr>
          <w:szCs w:val="18"/>
        </w:rPr>
        <w:t xml:space="preserve"> </w:t>
      </w:r>
      <w:r>
        <w:rPr>
          <w:szCs w:val="18"/>
        </w:rPr>
        <w:t xml:space="preserve">note on Dan. 7:26, p. 911.  </w:t>
      </w:r>
    </w:p>
  </w:endnote>
  <w:endnote w:id="1787">
    <w:p w:rsidR="00975183" w:rsidRDefault="00975183" w:rsidP="006A2E06">
      <w:pPr>
        <w:pStyle w:val="EndnoteText"/>
      </w:pPr>
      <w:r w:rsidRPr="006F47F2">
        <w:rPr>
          <w:rStyle w:val="FootnoteReference"/>
        </w:rPr>
        <w:endnoteRef/>
      </w:r>
      <w:r w:rsidRPr="006F47F2">
        <w:t xml:space="preserve"> </w:t>
      </w:r>
      <w:r w:rsidRPr="00DB200B">
        <w:rPr>
          <w:i/>
        </w:rPr>
        <w:t>SRB</w:t>
      </w:r>
      <w:r>
        <w:t xml:space="preserve"> n</w:t>
      </w:r>
      <w:r w:rsidRPr="006F47F2">
        <w:t>ote on Dan. 8:1, p. 911</w:t>
      </w:r>
      <w:r>
        <w:t>.</w:t>
      </w:r>
    </w:p>
  </w:endnote>
  <w:endnote w:id="1788">
    <w:p w:rsidR="00975183" w:rsidRPr="008064B8" w:rsidRDefault="00975183" w:rsidP="006A2E06">
      <w:pPr>
        <w:pStyle w:val="EndnoteText"/>
      </w:pPr>
      <w:r w:rsidRPr="008064B8">
        <w:rPr>
          <w:rStyle w:val="EndnoteReference"/>
        </w:rPr>
        <w:endnoteRef/>
      </w:r>
      <w:r w:rsidRPr="008064B8">
        <w:t xml:space="preserve"> </w:t>
      </w:r>
      <w:r w:rsidRPr="001A2A6E">
        <w:rPr>
          <w:i/>
        </w:rPr>
        <w:t>SRB</w:t>
      </w:r>
      <w:r>
        <w:t xml:space="preserve"> n</w:t>
      </w:r>
      <w:r w:rsidRPr="008064B8">
        <w:t>ote on Ezra 6:14, p. 535.  Ref</w:t>
      </w:r>
      <w:r>
        <w:t>s</w:t>
      </w:r>
      <w:r w:rsidRPr="008064B8">
        <w:t xml:space="preserve"> Dan. 2:40; 7:7.</w:t>
      </w:r>
    </w:p>
  </w:endnote>
  <w:endnote w:id="1789">
    <w:p w:rsidR="00975183" w:rsidRDefault="00975183" w:rsidP="006A2E06">
      <w:pPr>
        <w:pStyle w:val="EndnoteText"/>
      </w:pPr>
      <w:r w:rsidRPr="008064B8">
        <w:rPr>
          <w:rStyle w:val="FootnoteReference"/>
        </w:rPr>
        <w:endnoteRef/>
      </w:r>
      <w:r w:rsidRPr="008064B8">
        <w:t xml:space="preserve"> </w:t>
      </w:r>
      <w:r w:rsidRPr="001A2A6E">
        <w:rPr>
          <w:i/>
        </w:rPr>
        <w:t>SRB</w:t>
      </w:r>
      <w:r>
        <w:t xml:space="preserve"> n</w:t>
      </w:r>
      <w:r w:rsidRPr="008064B8">
        <w:t xml:space="preserve">ote on </w:t>
      </w:r>
      <w:r w:rsidRPr="008064B8">
        <w:rPr>
          <w:lang w:eastAsia="en-GB"/>
        </w:rPr>
        <w:t xml:space="preserve">Dan. 2:41, </w:t>
      </w:r>
      <w:r w:rsidRPr="008064B8">
        <w:t>p. 901</w:t>
      </w:r>
      <w:r w:rsidRPr="008064B8">
        <w:rPr>
          <w:lang w:eastAsia="en-GB"/>
        </w:rPr>
        <w:t>.</w:t>
      </w:r>
      <w:r w:rsidRPr="008064B8">
        <w:t xml:space="preserve">  </w:t>
      </w:r>
      <w:proofErr w:type="gramStart"/>
      <w:r w:rsidRPr="008C25ED">
        <w:rPr>
          <w:b/>
        </w:rPr>
        <w:t>See 2.2.2</w:t>
      </w:r>
      <w:r w:rsidRPr="008064B8">
        <w:rPr>
          <w:b/>
        </w:rPr>
        <w:t>.</w:t>
      </w:r>
      <w:proofErr w:type="gramEnd"/>
    </w:p>
  </w:endnote>
  <w:endnote w:id="1790">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 on Lk. 2:1, p. 1073</w:t>
      </w:r>
      <w:r w:rsidRPr="008064B8">
        <w:rPr>
          <w:lang w:eastAsia="en-GB"/>
        </w:rPr>
        <w:t>.</w:t>
      </w:r>
      <w:r w:rsidRPr="008064B8">
        <w:t xml:space="preserve">  </w:t>
      </w:r>
    </w:p>
  </w:endnote>
  <w:endnote w:id="1791">
    <w:p w:rsidR="00975183" w:rsidRDefault="00975183" w:rsidP="006A2E06">
      <w:pPr>
        <w:pStyle w:val="EndnoteText"/>
      </w:pPr>
      <w:r w:rsidRPr="008064B8">
        <w:rPr>
          <w:rStyle w:val="FootnoteReference"/>
        </w:rPr>
        <w:endnoteRef/>
      </w:r>
      <w:r w:rsidRPr="008064B8">
        <w:t xml:space="preserve"> </w:t>
      </w:r>
      <w:r w:rsidRPr="001A2A6E">
        <w:rPr>
          <w:i/>
        </w:rPr>
        <w:t>SRB</w:t>
      </w:r>
      <w:r>
        <w:t xml:space="preserve"> n</w:t>
      </w:r>
      <w:r w:rsidRPr="008064B8">
        <w:t xml:space="preserve">ote on </w:t>
      </w:r>
      <w:r w:rsidRPr="008064B8">
        <w:rPr>
          <w:lang w:eastAsia="en-GB"/>
        </w:rPr>
        <w:t xml:space="preserve">Dan. 2:41, </w:t>
      </w:r>
      <w:r w:rsidRPr="008064B8">
        <w:t>p. 901</w:t>
      </w:r>
      <w:r w:rsidRPr="008064B8">
        <w:rPr>
          <w:lang w:eastAsia="en-GB"/>
        </w:rPr>
        <w:t>.</w:t>
      </w:r>
    </w:p>
  </w:endnote>
  <w:endnote w:id="1792">
    <w:p w:rsidR="00975183" w:rsidRPr="00F25D04" w:rsidRDefault="00975183" w:rsidP="006A2E06">
      <w:pPr>
        <w:pStyle w:val="EndnoteText"/>
      </w:pPr>
      <w:r w:rsidRPr="00F25D04">
        <w:rPr>
          <w:rStyle w:val="EndnoteReference"/>
        </w:rPr>
        <w:endnoteRef/>
      </w:r>
      <w:r w:rsidRPr="00F25D04">
        <w:t xml:space="preserve"> </w:t>
      </w:r>
      <w:proofErr w:type="gramStart"/>
      <w:r w:rsidRPr="008C25ED">
        <w:rPr>
          <w:b/>
        </w:rPr>
        <w:t>See 2.2.1 and 2.2.2</w:t>
      </w:r>
      <w:r>
        <w:t>.</w:t>
      </w:r>
      <w:proofErr w:type="gramEnd"/>
    </w:p>
  </w:endnote>
  <w:endnote w:id="1793">
    <w:p w:rsidR="00975183" w:rsidRDefault="00975183" w:rsidP="006A2E06">
      <w:pPr>
        <w:pStyle w:val="EndnoteText"/>
      </w:pPr>
      <w:r w:rsidRPr="008F200D">
        <w:rPr>
          <w:rStyle w:val="EndnoteReference"/>
        </w:rPr>
        <w:endnoteRef/>
      </w:r>
      <w:r w:rsidRPr="008F200D">
        <w:t xml:space="preserve"> </w:t>
      </w:r>
      <w:r w:rsidRPr="006D3CB9">
        <w:rPr>
          <w:i/>
        </w:rPr>
        <w:t>SRB</w:t>
      </w:r>
      <w:r>
        <w:t xml:space="preserve"> </w:t>
      </w:r>
      <w:r w:rsidRPr="008F200D">
        <w:t>note</w:t>
      </w:r>
      <w:r>
        <w:t>s</w:t>
      </w:r>
      <w:r w:rsidRPr="008F200D">
        <w:t xml:space="preserve"> on Dan. 7:26, p. 911; 8:9, p. 912</w:t>
      </w:r>
      <w:r>
        <w:t xml:space="preserve">; </w:t>
      </w:r>
      <w:r w:rsidRPr="008F200D">
        <w:rPr>
          <w:lang w:eastAsia="en-GB"/>
        </w:rPr>
        <w:t xml:space="preserve">8:10, p. 912; 8:13, </w:t>
      </w:r>
      <w:r>
        <w:t xml:space="preserve">pp. 912-13; </w:t>
      </w:r>
      <w:r w:rsidRPr="00137820">
        <w:t>8</w:t>
      </w:r>
      <w:r w:rsidRPr="008F200D">
        <w:t>:19, p. 913</w:t>
      </w:r>
      <w:r>
        <w:t xml:space="preserve">; </w:t>
      </w:r>
      <w:r w:rsidRPr="008F200D">
        <w:t>9:27, p. 915</w:t>
      </w:r>
      <w:r>
        <w:t xml:space="preserve">; </w:t>
      </w:r>
    </w:p>
    <w:p w:rsidR="00975183" w:rsidRPr="008F200D" w:rsidRDefault="00975183" w:rsidP="006A2E06">
      <w:pPr>
        <w:pStyle w:val="EndnoteText"/>
        <w:rPr>
          <w:i/>
        </w:rPr>
      </w:pPr>
      <w:r w:rsidRPr="008F200D">
        <w:t>11:2, p. 916</w:t>
      </w:r>
      <w:r>
        <w:t xml:space="preserve">; </w:t>
      </w:r>
      <w:r w:rsidRPr="008F200D">
        <w:rPr>
          <w:lang w:eastAsia="en-GB"/>
        </w:rPr>
        <w:t>11:35, p. 918.</w:t>
      </w:r>
      <w:r>
        <w:t xml:space="preserve"> </w:t>
      </w:r>
    </w:p>
  </w:endnote>
  <w:endnote w:id="1794">
    <w:p w:rsidR="00975183" w:rsidRDefault="00975183" w:rsidP="006A2E06">
      <w:pPr>
        <w:pStyle w:val="EndnoteText"/>
      </w:pPr>
      <w:r w:rsidRPr="008064B8">
        <w:rPr>
          <w:rStyle w:val="FootnoteReference"/>
        </w:rPr>
        <w:endnoteRef/>
      </w:r>
      <w:r w:rsidRPr="008064B8">
        <w:t xml:space="preserve"> </w:t>
      </w:r>
      <w:r w:rsidRPr="00B12DCA">
        <w:rPr>
          <w:i/>
        </w:rPr>
        <w:t>SRB</w:t>
      </w:r>
      <w:r>
        <w:t xml:space="preserve"> </w:t>
      </w:r>
      <w:r w:rsidRPr="008064B8">
        <w:t>note</w:t>
      </w:r>
      <w:r>
        <w:t>s</w:t>
      </w:r>
      <w:r w:rsidRPr="008064B8">
        <w:t xml:space="preserve"> on Dan. 2:31, p. 901</w:t>
      </w:r>
      <w:r>
        <w:t xml:space="preserve">; </w:t>
      </w:r>
      <w:r w:rsidRPr="00137820">
        <w:t>8</w:t>
      </w:r>
      <w:r w:rsidRPr="008F200D">
        <w:t>:19, p. 913</w:t>
      </w:r>
      <w:r>
        <w:t xml:space="preserve">; </w:t>
      </w:r>
      <w:r>
        <w:rPr>
          <w:lang w:eastAsia="en-GB"/>
        </w:rPr>
        <w:t xml:space="preserve">11:2, p. 916; </w:t>
      </w:r>
      <w:r w:rsidRPr="008F200D">
        <w:rPr>
          <w:lang w:eastAsia="en-GB"/>
        </w:rPr>
        <w:t>11:35, p. 918.</w:t>
      </w:r>
    </w:p>
  </w:endnote>
  <w:endnote w:id="1795">
    <w:p w:rsidR="00975183" w:rsidRPr="008064B8" w:rsidRDefault="00975183" w:rsidP="006A2E06">
      <w:pPr>
        <w:pStyle w:val="EndnoteText"/>
        <w:rPr>
          <w:b/>
          <w:lang w:eastAsia="en-GB"/>
        </w:rPr>
      </w:pPr>
      <w:r w:rsidRPr="008064B8">
        <w:rPr>
          <w:rStyle w:val="EndnoteReference"/>
        </w:rPr>
        <w:endnoteRef/>
      </w:r>
      <w:r w:rsidRPr="008064B8">
        <w:t xml:space="preserve"> </w:t>
      </w:r>
      <w:r w:rsidRPr="006D3CB9">
        <w:rPr>
          <w:i/>
        </w:rPr>
        <w:t>SRB</w:t>
      </w:r>
      <w:r>
        <w:t xml:space="preserve"> n</w:t>
      </w:r>
      <w:r w:rsidRPr="008064B8">
        <w:t>ote</w:t>
      </w:r>
      <w:r>
        <w:t>s</w:t>
      </w:r>
      <w:r w:rsidRPr="008064B8">
        <w:t xml:space="preserve"> on Dan. 7:26, p. 911</w:t>
      </w:r>
      <w:r>
        <w:t>;</w:t>
      </w:r>
      <w:r w:rsidRPr="008064B8">
        <w:rPr>
          <w:lang w:eastAsia="en-GB"/>
        </w:rPr>
        <w:t xml:space="preserve"> Rev. 13:3, </w:t>
      </w:r>
      <w:r w:rsidRPr="008064B8">
        <w:t>p. 1342</w:t>
      </w:r>
      <w:r w:rsidRPr="008064B8">
        <w:rPr>
          <w:lang w:eastAsia="en-GB"/>
        </w:rPr>
        <w:t xml:space="preserve">.  </w:t>
      </w:r>
    </w:p>
    <w:p w:rsidR="00975183" w:rsidRPr="008F200D" w:rsidRDefault="00975183" w:rsidP="006A2E06">
      <w:pPr>
        <w:pStyle w:val="EndnoteText"/>
      </w:pPr>
      <w:r w:rsidRPr="006D3CB9">
        <w:rPr>
          <w:i/>
        </w:rPr>
        <w:t xml:space="preserve">SRB </w:t>
      </w:r>
      <w:r>
        <w:t>n</w:t>
      </w:r>
      <w:r w:rsidRPr="008064B8">
        <w:t>ote</w:t>
      </w:r>
      <w:r>
        <w:t>s</w:t>
      </w:r>
      <w:r w:rsidRPr="008064B8">
        <w:t xml:space="preserve"> on </w:t>
      </w:r>
      <w:r w:rsidRPr="008064B8">
        <w:rPr>
          <w:lang w:eastAsia="en-GB"/>
        </w:rPr>
        <w:t xml:space="preserve">Dan. 8:9, </w:t>
      </w:r>
      <w:r w:rsidRPr="008064B8">
        <w:t>p. 912</w:t>
      </w:r>
      <w:r>
        <w:t>;</w:t>
      </w:r>
      <w:r w:rsidRPr="008064B8">
        <w:rPr>
          <w:lang w:eastAsia="en-GB"/>
        </w:rPr>
        <w:t xml:space="preserve"> Dan. 8:10, p. 912</w:t>
      </w:r>
      <w:r>
        <w:rPr>
          <w:lang w:eastAsia="en-GB"/>
        </w:rPr>
        <w:t>;</w:t>
      </w:r>
      <w:r w:rsidRPr="008064B8">
        <w:rPr>
          <w:lang w:eastAsia="en-GB"/>
        </w:rPr>
        <w:t xml:space="preserve"> </w:t>
      </w:r>
      <w:r w:rsidRPr="008F200D">
        <w:rPr>
          <w:lang w:eastAsia="en-GB"/>
        </w:rPr>
        <w:t>Dan. 11:2</w:t>
      </w:r>
      <w:proofErr w:type="gramStart"/>
      <w:r w:rsidRPr="008F200D">
        <w:rPr>
          <w:lang w:eastAsia="en-GB"/>
        </w:rPr>
        <w:t xml:space="preserve">, </w:t>
      </w:r>
      <w:r w:rsidRPr="008F200D">
        <w:t xml:space="preserve"> p</w:t>
      </w:r>
      <w:proofErr w:type="gramEnd"/>
      <w:r w:rsidRPr="008F200D">
        <w:t>. 916</w:t>
      </w:r>
      <w:r>
        <w:t xml:space="preserve">; </w:t>
      </w:r>
      <w:r w:rsidRPr="008F200D">
        <w:rPr>
          <w:lang w:eastAsia="en-GB"/>
        </w:rPr>
        <w:t>Dan. 11:35, p. 918.</w:t>
      </w:r>
    </w:p>
  </w:endnote>
  <w:endnote w:id="1796">
    <w:p w:rsidR="00975183" w:rsidRPr="008F200D" w:rsidRDefault="00975183" w:rsidP="006A2E06">
      <w:pPr>
        <w:pStyle w:val="EndnoteText"/>
      </w:pPr>
      <w:r w:rsidRPr="008F200D">
        <w:rPr>
          <w:rStyle w:val="EndnoteReference"/>
        </w:rPr>
        <w:endnoteRef/>
      </w:r>
      <w:r>
        <w:t xml:space="preserve"> </w:t>
      </w:r>
      <w:proofErr w:type="gramStart"/>
      <w:r>
        <w:t>Louis F.Hartmann</w:t>
      </w:r>
      <w:r w:rsidRPr="00282EEF">
        <w:t xml:space="preserve"> and Alexander A. DiLella, </w:t>
      </w:r>
      <w:r w:rsidRPr="00282EEF">
        <w:rPr>
          <w:i/>
        </w:rPr>
        <w:t>The Book of Daniel</w:t>
      </w:r>
      <w:r w:rsidRPr="00282EEF">
        <w:t xml:space="preserve"> (The Anchor Bible 23, William Foxwell Albright and David Noel Freeman, [gen. eds]; New York: Doubleday &amp; Company, Inc., 1978), </w:t>
      </w:r>
      <w:r w:rsidRPr="008F200D">
        <w:t>pp. 145-6, 175-6.</w:t>
      </w:r>
      <w:proofErr w:type="gramEnd"/>
    </w:p>
  </w:endnote>
  <w:endnote w:id="1797">
    <w:p w:rsidR="00975183" w:rsidRDefault="00975183" w:rsidP="006A2E06">
      <w:pPr>
        <w:pStyle w:val="EndnoteText"/>
      </w:pPr>
      <w:r w:rsidRPr="008F200D">
        <w:rPr>
          <w:rStyle w:val="EndnoteReference"/>
        </w:rPr>
        <w:endnoteRef/>
      </w:r>
      <w:r w:rsidRPr="008F200D">
        <w:t xml:space="preserve"> John J. Collins, </w:t>
      </w:r>
      <w:r w:rsidRPr="008F200D">
        <w:rPr>
          <w:i/>
        </w:rPr>
        <w:t>Daniel: A Commentary on the Book of Daniel</w:t>
      </w:r>
      <w:r w:rsidRPr="008F200D">
        <w:t xml:space="preserve"> (Minneapolis: Fortress Press, 1993), </w:t>
      </w:r>
    </w:p>
    <w:p w:rsidR="00975183" w:rsidRPr="008F200D" w:rsidRDefault="00975183" w:rsidP="006A2E06">
      <w:pPr>
        <w:pStyle w:val="EndnoteText"/>
      </w:pPr>
      <w:proofErr w:type="gramStart"/>
      <w:r w:rsidRPr="008F200D">
        <w:t>pp. 162-5, 166-70, 222.</w:t>
      </w:r>
      <w:proofErr w:type="gramEnd"/>
    </w:p>
  </w:endnote>
  <w:endnote w:id="1798">
    <w:p w:rsidR="00975183" w:rsidRPr="008F200D" w:rsidRDefault="00975183" w:rsidP="006A2E06">
      <w:pPr>
        <w:pStyle w:val="EndnoteText"/>
      </w:pPr>
      <w:r w:rsidRPr="008F200D">
        <w:rPr>
          <w:rStyle w:val="EndnoteReference"/>
        </w:rPr>
        <w:endnoteRef/>
      </w:r>
      <w:r w:rsidRPr="008F200D">
        <w:t xml:space="preserve"> Andr</w:t>
      </w:r>
      <w:r w:rsidRPr="008F200D">
        <w:rPr>
          <w:lang w:val="en-US"/>
        </w:rPr>
        <w:t>é</w:t>
      </w:r>
      <w:r w:rsidRPr="008F200D">
        <w:t xml:space="preserve"> Lacocque, </w:t>
      </w:r>
      <w:r w:rsidRPr="008F200D">
        <w:rPr>
          <w:i/>
        </w:rPr>
        <w:t>The Book of Daniel</w:t>
      </w:r>
      <w:r w:rsidRPr="008F200D">
        <w:t xml:space="preserve"> (trans. David Pellauer, English edition revised by the Author, London: SPCK, 1979), pp. 48-9; 73-4.</w:t>
      </w:r>
    </w:p>
  </w:endnote>
  <w:endnote w:id="1799">
    <w:p w:rsidR="00975183" w:rsidRPr="008F200D" w:rsidRDefault="00975183" w:rsidP="006A2E06">
      <w:pPr>
        <w:pStyle w:val="EndnoteText"/>
      </w:pPr>
      <w:r w:rsidRPr="008F200D">
        <w:rPr>
          <w:rStyle w:val="EndnoteReference"/>
        </w:rPr>
        <w:endnoteRef/>
      </w:r>
      <w:r w:rsidRPr="008F200D">
        <w:t xml:space="preserve"> John E.Goldingay, </w:t>
      </w:r>
      <w:r w:rsidRPr="008F200D">
        <w:rPr>
          <w:i/>
        </w:rPr>
        <w:t xml:space="preserve">Daniel </w:t>
      </w:r>
      <w:r w:rsidRPr="008F200D">
        <w:t>(Word Biblical Commentary, Vol. 30, Gen. Eds David A. Hubbard and Glenn W. Barker, Old Testament Editor, John D. W. Watts, Dallas: Word Books, 1989), pp. 49-51, 87.</w:t>
      </w:r>
    </w:p>
  </w:endnote>
  <w:endnote w:id="1800">
    <w:p w:rsidR="00975183" w:rsidRDefault="00975183" w:rsidP="006A2E06">
      <w:pPr>
        <w:pStyle w:val="EndnoteText"/>
      </w:pPr>
      <w:r w:rsidRPr="008F200D">
        <w:rPr>
          <w:rStyle w:val="EndnoteReference"/>
        </w:rPr>
        <w:endnoteRef/>
      </w:r>
      <w:r w:rsidRPr="008F200D">
        <w:t xml:space="preserve"> Norman Porteous, </w:t>
      </w:r>
      <w:r w:rsidRPr="008F200D">
        <w:rPr>
          <w:i/>
        </w:rPr>
        <w:t>Daniel: A Commentary</w:t>
      </w:r>
      <w:r w:rsidRPr="008F200D">
        <w:t xml:space="preserve"> (London: SCM Press, Ltd., second revised edition, 1979), </w:t>
      </w:r>
    </w:p>
    <w:p w:rsidR="00975183" w:rsidRPr="008F200D" w:rsidRDefault="00975183" w:rsidP="006A2E06">
      <w:pPr>
        <w:pStyle w:val="EndnoteText"/>
      </w:pPr>
      <w:proofErr w:type="gramStart"/>
      <w:r w:rsidRPr="008F200D">
        <w:t>pp. 44-5, 66-7.</w:t>
      </w:r>
      <w:proofErr w:type="gramEnd"/>
    </w:p>
  </w:endnote>
  <w:endnote w:id="1801">
    <w:p w:rsidR="00975183" w:rsidRPr="00F413CC" w:rsidRDefault="00975183" w:rsidP="006A2E06">
      <w:pPr>
        <w:pStyle w:val="EndnoteText"/>
      </w:pPr>
      <w:r w:rsidRPr="00F413CC">
        <w:rPr>
          <w:rStyle w:val="EndnoteReference"/>
        </w:rPr>
        <w:endnoteRef/>
      </w:r>
      <w:r w:rsidRPr="00F413CC">
        <w:t xml:space="preserve"> </w:t>
      </w:r>
      <w:r>
        <w:t>Hartmann and Di</w:t>
      </w:r>
      <w:r w:rsidRPr="008F200D">
        <w:t xml:space="preserve">Lella, </w:t>
      </w:r>
      <w:r w:rsidRPr="008F200D">
        <w:rPr>
          <w:i/>
        </w:rPr>
        <w:t>Book of Daniel</w:t>
      </w:r>
      <w:r>
        <w:t xml:space="preserve">, pp. 145-6; </w:t>
      </w:r>
      <w:r w:rsidRPr="008F200D">
        <w:t xml:space="preserve">Collins, </w:t>
      </w:r>
      <w:r w:rsidRPr="008F200D">
        <w:rPr>
          <w:i/>
        </w:rPr>
        <w:t>Daniel</w:t>
      </w:r>
      <w:r w:rsidRPr="008F200D">
        <w:t>,</w:t>
      </w:r>
      <w:r w:rsidRPr="008F200D">
        <w:rPr>
          <w:i/>
        </w:rPr>
        <w:t xml:space="preserve"> </w:t>
      </w:r>
      <w:r w:rsidRPr="008F200D">
        <w:t>pp. 162-5</w:t>
      </w:r>
      <w:r>
        <w:t xml:space="preserve">; </w:t>
      </w:r>
      <w:r w:rsidRPr="008F200D">
        <w:t xml:space="preserve">Goldingay, </w:t>
      </w:r>
      <w:r w:rsidRPr="008F200D">
        <w:rPr>
          <w:i/>
        </w:rPr>
        <w:t>Daniel</w:t>
      </w:r>
      <w:r w:rsidRPr="008F200D">
        <w:t>,</w:t>
      </w:r>
      <w:r w:rsidRPr="008F200D">
        <w:rPr>
          <w:i/>
        </w:rPr>
        <w:t xml:space="preserve"> </w:t>
      </w:r>
      <w:r w:rsidRPr="008F200D">
        <w:t>pp. 49-51</w:t>
      </w:r>
      <w:r>
        <w:t xml:space="preserve">; </w:t>
      </w:r>
      <w:r w:rsidRPr="008F200D">
        <w:t xml:space="preserve">Porteous, </w:t>
      </w:r>
      <w:r w:rsidRPr="008F200D">
        <w:rPr>
          <w:i/>
        </w:rPr>
        <w:t>Daniel</w:t>
      </w:r>
      <w:r w:rsidRPr="008F200D">
        <w:t>, pp. 44-5.</w:t>
      </w:r>
    </w:p>
  </w:endnote>
  <w:endnote w:id="1802">
    <w:p w:rsidR="00975183" w:rsidRPr="008F200D" w:rsidRDefault="00975183" w:rsidP="006A2E06">
      <w:pPr>
        <w:pStyle w:val="EndnoteText"/>
      </w:pPr>
      <w:r w:rsidRPr="008F200D">
        <w:rPr>
          <w:rStyle w:val="EndnoteReference"/>
        </w:rPr>
        <w:endnoteRef/>
      </w:r>
      <w:r w:rsidRPr="008F200D">
        <w:t xml:space="preserve"> Lacocque, </w:t>
      </w:r>
      <w:r w:rsidRPr="008F200D">
        <w:rPr>
          <w:i/>
        </w:rPr>
        <w:t>Book of Daniel</w:t>
      </w:r>
      <w:r w:rsidRPr="008F200D">
        <w:t>, p. 49.</w:t>
      </w:r>
    </w:p>
  </w:endnote>
  <w:endnote w:id="1803">
    <w:p w:rsidR="00975183" w:rsidRPr="008F200D" w:rsidRDefault="00975183" w:rsidP="006A2E06">
      <w:pPr>
        <w:pStyle w:val="EndnoteText"/>
      </w:pPr>
      <w:r w:rsidRPr="008F200D">
        <w:rPr>
          <w:rStyle w:val="EndnoteReference"/>
        </w:rPr>
        <w:endnoteRef/>
      </w:r>
      <w:r>
        <w:t xml:space="preserve"> Hartmann and Di</w:t>
      </w:r>
      <w:r w:rsidRPr="008F200D">
        <w:t xml:space="preserve">Lella, </w:t>
      </w:r>
      <w:r w:rsidRPr="008F200D">
        <w:rPr>
          <w:i/>
        </w:rPr>
        <w:t>Book of Daniel</w:t>
      </w:r>
      <w:r w:rsidRPr="008F200D">
        <w:t>, pp. 175-6.</w:t>
      </w:r>
    </w:p>
  </w:endnote>
  <w:endnote w:id="1804">
    <w:p w:rsidR="00975183" w:rsidRPr="008F200D" w:rsidRDefault="00975183" w:rsidP="006A2E06">
      <w:pPr>
        <w:pStyle w:val="EndnoteText"/>
      </w:pPr>
      <w:r w:rsidRPr="008F200D">
        <w:rPr>
          <w:rStyle w:val="EndnoteReference"/>
        </w:rPr>
        <w:endnoteRef/>
      </w:r>
      <w:r w:rsidRPr="008F200D">
        <w:t xml:space="preserve"> Lacocque, </w:t>
      </w:r>
      <w:r w:rsidRPr="008F200D">
        <w:rPr>
          <w:i/>
        </w:rPr>
        <w:t>Book of Daniel</w:t>
      </w:r>
      <w:r w:rsidRPr="008F200D">
        <w:t>, pp. 73-4.</w:t>
      </w:r>
    </w:p>
  </w:endnote>
  <w:endnote w:id="1805">
    <w:p w:rsidR="00975183" w:rsidRDefault="00975183" w:rsidP="006A2E06">
      <w:pPr>
        <w:pStyle w:val="EndnoteText"/>
      </w:pPr>
      <w:r w:rsidRPr="008064B8">
        <w:rPr>
          <w:rStyle w:val="FootnoteReference"/>
        </w:rPr>
        <w:endnoteRef/>
      </w:r>
      <w:r w:rsidRPr="008064B8">
        <w:t xml:space="preserve"> Lacocque, </w:t>
      </w:r>
      <w:r w:rsidRPr="008064B8">
        <w:rPr>
          <w:i/>
        </w:rPr>
        <w:t>Book of Daniel</w:t>
      </w:r>
      <w:r w:rsidRPr="008064B8">
        <w:t>, p. 73.</w:t>
      </w:r>
      <w:r>
        <w:t xml:space="preserve">  R</w:t>
      </w:r>
      <w:r w:rsidRPr="008064B8">
        <w:t>ef</w:t>
      </w:r>
      <w:r>
        <w:t>s</w:t>
      </w:r>
      <w:r w:rsidRPr="008064B8">
        <w:t xml:space="preserve"> Ezekiel 17 and 31, and Zech. 11:2. </w:t>
      </w:r>
    </w:p>
  </w:endnote>
  <w:endnote w:id="1806">
    <w:p w:rsidR="00975183" w:rsidRPr="008F200D" w:rsidRDefault="00975183" w:rsidP="006A2E06">
      <w:pPr>
        <w:pStyle w:val="EndnoteText"/>
      </w:pPr>
      <w:r w:rsidRPr="008F200D">
        <w:rPr>
          <w:rStyle w:val="EndnoteReference"/>
        </w:rPr>
        <w:endnoteRef/>
      </w:r>
      <w:r w:rsidRPr="008F200D">
        <w:t xml:space="preserve"> Collins, </w:t>
      </w:r>
      <w:r w:rsidRPr="008F200D">
        <w:rPr>
          <w:i/>
        </w:rPr>
        <w:t>Daniel</w:t>
      </w:r>
      <w:r w:rsidRPr="008F200D">
        <w:t>,</w:t>
      </w:r>
      <w:r w:rsidRPr="008F200D">
        <w:rPr>
          <w:i/>
        </w:rPr>
        <w:t xml:space="preserve"> </w:t>
      </w:r>
      <w:r w:rsidRPr="008F200D">
        <w:t>p. 222.</w:t>
      </w:r>
    </w:p>
  </w:endnote>
  <w:endnote w:id="1807">
    <w:p w:rsidR="00975183" w:rsidRPr="008F200D" w:rsidRDefault="00975183" w:rsidP="006A2E06">
      <w:pPr>
        <w:pStyle w:val="EndnoteText"/>
      </w:pPr>
      <w:r w:rsidRPr="008F200D">
        <w:rPr>
          <w:rStyle w:val="EndnoteReference"/>
        </w:rPr>
        <w:endnoteRef/>
      </w:r>
      <w:r w:rsidRPr="008F200D">
        <w:t xml:space="preserve"> Goldingay, </w:t>
      </w:r>
      <w:r w:rsidRPr="008F200D">
        <w:rPr>
          <w:i/>
        </w:rPr>
        <w:t>Daniel</w:t>
      </w:r>
      <w:r w:rsidRPr="008F200D">
        <w:t>,</w:t>
      </w:r>
      <w:r w:rsidRPr="008F200D">
        <w:rPr>
          <w:i/>
        </w:rPr>
        <w:t xml:space="preserve"> </w:t>
      </w:r>
      <w:r w:rsidRPr="008F200D">
        <w:t>p. 87.</w:t>
      </w:r>
    </w:p>
  </w:endnote>
  <w:endnote w:id="1808">
    <w:p w:rsidR="00975183" w:rsidRPr="008F200D" w:rsidRDefault="00975183" w:rsidP="006A2E06">
      <w:pPr>
        <w:pStyle w:val="EndnoteText"/>
      </w:pPr>
      <w:r w:rsidRPr="008F200D">
        <w:rPr>
          <w:rStyle w:val="EndnoteReference"/>
        </w:rPr>
        <w:endnoteRef/>
      </w:r>
      <w:r w:rsidRPr="008F200D">
        <w:t xml:space="preserve"> Porteous, </w:t>
      </w:r>
      <w:r w:rsidRPr="008F200D">
        <w:rPr>
          <w:i/>
        </w:rPr>
        <w:t>Daniel</w:t>
      </w:r>
      <w:r w:rsidRPr="008F200D">
        <w:t>, p. 67.</w:t>
      </w:r>
    </w:p>
  </w:endnote>
  <w:endnote w:id="1809">
    <w:p w:rsidR="00975183" w:rsidRPr="008F200D" w:rsidRDefault="00975183" w:rsidP="006A2E06">
      <w:pPr>
        <w:pStyle w:val="EndnoteText"/>
      </w:pPr>
      <w:r w:rsidRPr="008F200D">
        <w:rPr>
          <w:rStyle w:val="EndnoteReference"/>
        </w:rPr>
        <w:endnoteRef/>
      </w:r>
      <w:r w:rsidRPr="008F200D">
        <w:t xml:space="preserve"> Goldingay, </w:t>
      </w:r>
      <w:r w:rsidRPr="008F200D">
        <w:rPr>
          <w:i/>
        </w:rPr>
        <w:t>Daniel</w:t>
      </w:r>
      <w:r w:rsidRPr="008F200D">
        <w:t>,</w:t>
      </w:r>
      <w:r w:rsidRPr="008F200D">
        <w:rPr>
          <w:i/>
        </w:rPr>
        <w:t xml:space="preserve"> </w:t>
      </w:r>
      <w:r w:rsidRPr="008F200D">
        <w:t>p. 87.</w:t>
      </w:r>
    </w:p>
  </w:endnote>
  <w:endnote w:id="1810">
    <w:p w:rsidR="00975183" w:rsidRPr="008F200D" w:rsidRDefault="00975183" w:rsidP="006A2E06">
      <w:pPr>
        <w:pStyle w:val="EndnoteText"/>
      </w:pPr>
      <w:r w:rsidRPr="008F200D">
        <w:rPr>
          <w:rStyle w:val="EndnoteReference"/>
        </w:rPr>
        <w:endnoteRef/>
      </w:r>
      <w:r w:rsidRPr="008F200D">
        <w:t xml:space="preserve"> Porteous, </w:t>
      </w:r>
      <w:r w:rsidRPr="008F200D">
        <w:rPr>
          <w:i/>
        </w:rPr>
        <w:t>Daniel</w:t>
      </w:r>
      <w:r w:rsidRPr="008F200D">
        <w:t>, pp. 66-7.</w:t>
      </w:r>
    </w:p>
  </w:endnote>
  <w:endnote w:id="1811">
    <w:p w:rsidR="00975183" w:rsidRDefault="00975183" w:rsidP="006A2E06">
      <w:pPr>
        <w:pStyle w:val="EndnoteText"/>
        <w:rPr>
          <w:szCs w:val="22"/>
        </w:rPr>
      </w:pPr>
      <w:r w:rsidRPr="005148B5">
        <w:rPr>
          <w:rStyle w:val="EndnoteReference"/>
        </w:rPr>
        <w:endnoteRef/>
      </w:r>
      <w:r w:rsidRPr="005148B5">
        <w:t xml:space="preserve"> </w:t>
      </w:r>
      <w:r w:rsidRPr="0032457C">
        <w:rPr>
          <w:i/>
          <w:szCs w:val="22"/>
        </w:rPr>
        <w:t>SRB</w:t>
      </w:r>
      <w:r w:rsidRPr="0032457C">
        <w:rPr>
          <w:szCs w:val="22"/>
        </w:rPr>
        <w:t xml:space="preserve"> note on Mt. 24:16, p. 1033.  </w:t>
      </w:r>
      <w:r>
        <w:rPr>
          <w:szCs w:val="22"/>
        </w:rPr>
        <w:t xml:space="preserve">Refs to ‘the Beast’, Dan. 7:8; Rev. 19:20 and to </w:t>
      </w:r>
      <w:r w:rsidRPr="0032457C">
        <w:rPr>
          <w:szCs w:val="22"/>
        </w:rPr>
        <w:t>‘Armageddon’</w:t>
      </w:r>
      <w:r>
        <w:rPr>
          <w:szCs w:val="22"/>
        </w:rPr>
        <w:t>,</w:t>
      </w:r>
      <w:r w:rsidRPr="0032457C">
        <w:rPr>
          <w:szCs w:val="22"/>
        </w:rPr>
        <w:t xml:space="preserve"> </w:t>
      </w:r>
    </w:p>
    <w:p w:rsidR="00975183" w:rsidRPr="0032457C" w:rsidRDefault="00975183" w:rsidP="006A2E06">
      <w:pPr>
        <w:pStyle w:val="EndnoteText"/>
        <w:rPr>
          <w:sz w:val="18"/>
        </w:rPr>
      </w:pPr>
      <w:proofErr w:type="gramStart"/>
      <w:r w:rsidRPr="0032457C">
        <w:t>Rev. 16:14; 19:17.</w:t>
      </w:r>
      <w:proofErr w:type="gramEnd"/>
      <w:r w:rsidRPr="0032457C">
        <w:t xml:space="preserve">  </w:t>
      </w:r>
      <w:proofErr w:type="gramStart"/>
      <w:r w:rsidRPr="008C25ED">
        <w:rPr>
          <w:b/>
          <w:lang w:val="en-US" w:eastAsia="en-GB" w:bidi="he-IL"/>
        </w:rPr>
        <w:t>See 8.6.1</w:t>
      </w:r>
      <w:r w:rsidRPr="008C25ED">
        <w:rPr>
          <w:lang w:val="en-US" w:eastAsia="en-GB" w:bidi="he-IL"/>
        </w:rPr>
        <w:t>.</w:t>
      </w:r>
      <w:proofErr w:type="gramEnd"/>
    </w:p>
  </w:endnote>
  <w:endnote w:id="1812">
    <w:p w:rsidR="00975183" w:rsidRPr="009456C7" w:rsidRDefault="00975183" w:rsidP="006A2E06">
      <w:pPr>
        <w:pStyle w:val="EndnoteText"/>
      </w:pPr>
      <w:r w:rsidRPr="009456C7">
        <w:rPr>
          <w:rStyle w:val="EndnoteReference"/>
        </w:rPr>
        <w:endnoteRef/>
      </w:r>
      <w:r w:rsidRPr="009456C7">
        <w:t xml:space="preserve"> Refs 2 Kings 25 and 2 Chronicles 36</w:t>
      </w:r>
      <w:r>
        <w:t>.</w:t>
      </w:r>
    </w:p>
  </w:endnote>
  <w:endnote w:id="1813">
    <w:p w:rsidR="00975183" w:rsidRDefault="00975183" w:rsidP="006A2E06">
      <w:pPr>
        <w:pStyle w:val="EndnoteText"/>
      </w:pPr>
      <w:r w:rsidRPr="006F47F2">
        <w:rPr>
          <w:rStyle w:val="FootnoteReference"/>
        </w:rPr>
        <w:endnoteRef/>
      </w:r>
      <w:r w:rsidRPr="006F47F2">
        <w:t xml:space="preserve"> Fran</w:t>
      </w:r>
      <w:r w:rsidRPr="006F47F2">
        <w:rPr>
          <w:lang w:val="en-US"/>
        </w:rPr>
        <w:t>ç</w:t>
      </w:r>
      <w:r w:rsidRPr="006F47F2">
        <w:t xml:space="preserve">ois Bovon, </w:t>
      </w:r>
      <w:r w:rsidRPr="006F47F2">
        <w:rPr>
          <w:i/>
        </w:rPr>
        <w:t>Luke 3:</w:t>
      </w:r>
      <w:r w:rsidRPr="006F47F2">
        <w:t xml:space="preserve"> </w:t>
      </w:r>
      <w:r w:rsidRPr="006F47F2">
        <w:rPr>
          <w:i/>
        </w:rPr>
        <w:t>A Commentary on the Gospel of Luke 19:28</w:t>
      </w:r>
      <w:r>
        <w:rPr>
          <w:i/>
        </w:rPr>
        <w:t xml:space="preserve"> </w:t>
      </w:r>
      <w:r w:rsidRPr="00E25772">
        <w:rPr>
          <w:i/>
          <w:sz w:val="16"/>
          <w:szCs w:val="24"/>
        </w:rPr>
        <w:t>—</w:t>
      </w:r>
      <w:r>
        <w:rPr>
          <w:sz w:val="16"/>
          <w:szCs w:val="24"/>
        </w:rPr>
        <w:t xml:space="preserve"> </w:t>
      </w:r>
      <w:r w:rsidRPr="006F47F2">
        <w:rPr>
          <w:i/>
        </w:rPr>
        <w:t>24:53</w:t>
      </w:r>
      <w:r w:rsidRPr="006F47F2">
        <w:t xml:space="preserve"> (William Foxwell Albright and David Noel Freedman [gen. eds], ed. Helmut Koester, trans. James Crouch, Semeia, Vol. 28A; Garden City, New York: Doubleday &amp; Company, Inc., 1985), p. 104.</w:t>
      </w:r>
    </w:p>
  </w:endnote>
  <w:endnote w:id="1814">
    <w:p w:rsidR="00975183" w:rsidRDefault="00975183" w:rsidP="006A2E06">
      <w:pPr>
        <w:pStyle w:val="FootnoteText"/>
        <w:rPr>
          <w:rFonts w:ascii="Perpetua" w:hAnsi="Perpetua"/>
        </w:rPr>
      </w:pPr>
      <w:r w:rsidRPr="00E031C7">
        <w:rPr>
          <w:rStyle w:val="EndnoteReference"/>
          <w:rFonts w:ascii="Perpetua" w:hAnsi="Perpetua"/>
        </w:rPr>
        <w:endnoteRef/>
      </w:r>
      <w:r w:rsidRPr="00E031C7">
        <w:rPr>
          <w:rFonts w:ascii="Perpetua" w:hAnsi="Perpetua"/>
        </w:rPr>
        <w:t xml:space="preserve"> </w:t>
      </w:r>
      <w:r w:rsidRPr="006F47F2">
        <w:rPr>
          <w:rFonts w:ascii="Perpetua" w:hAnsi="Perpetua"/>
        </w:rPr>
        <w:t xml:space="preserve">Joseph A. Fitzmyer, S.J., </w:t>
      </w:r>
      <w:r w:rsidRPr="006F47F2">
        <w:rPr>
          <w:rFonts w:ascii="Perpetua" w:hAnsi="Perpetua"/>
          <w:i/>
        </w:rPr>
        <w:t>The Gospel According to Luke</w:t>
      </w:r>
      <w:r w:rsidRPr="006F47F2">
        <w:rPr>
          <w:rFonts w:ascii="Perpetua" w:hAnsi="Perpetua"/>
        </w:rPr>
        <w:t xml:space="preserve"> (</w:t>
      </w:r>
      <w:r w:rsidRPr="006F47F2">
        <w:rPr>
          <w:rFonts w:ascii="Perpetua" w:hAnsi="Perpetua"/>
          <w:i/>
        </w:rPr>
        <w:t>X</w:t>
      </w:r>
      <w:r>
        <w:rPr>
          <w:rFonts w:ascii="Perpetua" w:hAnsi="Perpetua"/>
          <w:i/>
        </w:rPr>
        <w:t xml:space="preserve"> </w:t>
      </w:r>
      <w:r w:rsidRPr="00E25772">
        <w:rPr>
          <w:rFonts w:ascii="Perpetua" w:hAnsi="Perpetua"/>
          <w:i/>
          <w:sz w:val="16"/>
          <w:szCs w:val="24"/>
        </w:rPr>
        <w:t>—</w:t>
      </w:r>
      <w:r>
        <w:rPr>
          <w:rFonts w:ascii="Perpetua" w:hAnsi="Perpetua"/>
          <w:sz w:val="16"/>
          <w:szCs w:val="24"/>
        </w:rPr>
        <w:t xml:space="preserve"> </w:t>
      </w:r>
      <w:r w:rsidRPr="006F47F2">
        <w:rPr>
          <w:rFonts w:ascii="Perpetua" w:hAnsi="Perpetua"/>
          <w:i/>
        </w:rPr>
        <w:t>XXV</w:t>
      </w:r>
      <w:r w:rsidRPr="006F47F2">
        <w:rPr>
          <w:rFonts w:ascii="Perpetua" w:hAnsi="Perpetua"/>
        </w:rPr>
        <w:t xml:space="preserve">) (The Anchor Bible, Vol. 28A, William Foxwell Albright and David Noel Freedman [gen. eds]; Garden City, New York: Doubleday &amp; Company, Inc., 1985), </w:t>
      </w:r>
    </w:p>
    <w:p w:rsidR="00975183" w:rsidRDefault="00975183" w:rsidP="006A2E06">
      <w:pPr>
        <w:pStyle w:val="EndnoteText"/>
      </w:pPr>
      <w:proofErr w:type="gramStart"/>
      <w:r w:rsidRPr="006F47F2">
        <w:t>p. 1343.</w:t>
      </w:r>
      <w:proofErr w:type="gramEnd"/>
    </w:p>
  </w:endnote>
  <w:endnote w:id="1815">
    <w:p w:rsidR="00975183" w:rsidRDefault="00975183" w:rsidP="006A2E06">
      <w:pPr>
        <w:pStyle w:val="EndnoteText"/>
      </w:pPr>
      <w:r w:rsidRPr="00E031C7">
        <w:rPr>
          <w:rStyle w:val="EndnoteReference"/>
        </w:rPr>
        <w:endnoteRef/>
      </w:r>
      <w:r w:rsidRPr="00E031C7">
        <w:t xml:space="preserve"> </w:t>
      </w:r>
      <w:r w:rsidRPr="006F47F2">
        <w:t xml:space="preserve">Michael D. Goulder, </w:t>
      </w:r>
      <w:r w:rsidRPr="006F47F2">
        <w:rPr>
          <w:i/>
        </w:rPr>
        <w:t xml:space="preserve">Luke A New Paradigm II </w:t>
      </w:r>
      <w:r w:rsidRPr="006F47F2">
        <w:t>(David Hill, [Executive Editor, Supplement Series], David E. Orton [Publishing Editor], Journal for the Study of the New Testament Supplement Series, 20, Sheffield: JSOT Press, 1989), p. 711.</w:t>
      </w:r>
    </w:p>
  </w:endnote>
  <w:endnote w:id="1816">
    <w:p w:rsidR="00975183" w:rsidRDefault="00975183" w:rsidP="006A2E06">
      <w:pPr>
        <w:pStyle w:val="EndnoteText"/>
      </w:pPr>
      <w:r w:rsidRPr="00E031C7">
        <w:rPr>
          <w:rStyle w:val="EndnoteReference"/>
        </w:rPr>
        <w:endnoteRef/>
      </w:r>
      <w:r w:rsidRPr="00E031C7">
        <w:t xml:space="preserve"> </w:t>
      </w:r>
      <w:r w:rsidRPr="006F47F2">
        <w:t xml:space="preserve">Robert C. Tannehill, </w:t>
      </w:r>
      <w:r w:rsidRPr="006F47F2">
        <w:rPr>
          <w:i/>
        </w:rPr>
        <w:t xml:space="preserve">Luke </w:t>
      </w:r>
      <w:r w:rsidRPr="006F47F2">
        <w:t xml:space="preserve">(Abingdon New Testament Commentaries: Luke; Nashville: Abingdon Press, 1996), </w:t>
      </w:r>
    </w:p>
    <w:p w:rsidR="00975183" w:rsidRDefault="00975183" w:rsidP="006A2E06">
      <w:pPr>
        <w:pStyle w:val="EndnoteText"/>
      </w:pPr>
      <w:proofErr w:type="gramStart"/>
      <w:r w:rsidRPr="006F47F2">
        <w:t>p. 305.</w:t>
      </w:r>
      <w:proofErr w:type="gramEnd"/>
    </w:p>
  </w:endnote>
  <w:endnote w:id="1817">
    <w:p w:rsidR="00975183" w:rsidRDefault="00975183" w:rsidP="006A2E06">
      <w:pPr>
        <w:pStyle w:val="EndnoteText"/>
      </w:pPr>
      <w:r w:rsidRPr="00E031C7">
        <w:rPr>
          <w:rStyle w:val="EndnoteReference"/>
        </w:rPr>
        <w:endnoteRef/>
      </w:r>
      <w:r w:rsidRPr="00E031C7">
        <w:t xml:space="preserve"> </w:t>
      </w:r>
      <w:r w:rsidRPr="006F47F2">
        <w:t xml:space="preserve">David L. Tiede, </w:t>
      </w:r>
      <w:r w:rsidRPr="006F47F2">
        <w:rPr>
          <w:i/>
        </w:rPr>
        <w:t xml:space="preserve">Luke </w:t>
      </w:r>
      <w:r w:rsidRPr="006F47F2">
        <w:t>(Augsburg Commentary on the New Testament; Minneapolis, Minnesota: Augsburg Publishing House, 1988), p. 363.</w:t>
      </w:r>
    </w:p>
  </w:endnote>
  <w:endnote w:id="1818">
    <w:p w:rsidR="00975183" w:rsidRDefault="00975183" w:rsidP="006A2E06">
      <w:pPr>
        <w:pStyle w:val="EndnoteText"/>
      </w:pPr>
      <w:r w:rsidRPr="009456C7">
        <w:rPr>
          <w:rStyle w:val="EndnoteReference"/>
        </w:rPr>
        <w:endnoteRef/>
      </w:r>
      <w:r w:rsidRPr="009456C7">
        <w:t xml:space="preserve"> </w:t>
      </w:r>
      <w:r w:rsidRPr="00E031C7">
        <w:rPr>
          <w:sz w:val="22"/>
          <w:szCs w:val="22"/>
        </w:rPr>
        <w:t>Lk. 21:24</w:t>
      </w:r>
      <w:r>
        <w:rPr>
          <w:sz w:val="22"/>
          <w:szCs w:val="22"/>
        </w:rPr>
        <w:t>.</w:t>
      </w:r>
    </w:p>
  </w:endnote>
  <w:endnote w:id="1819">
    <w:p w:rsidR="00975183" w:rsidRDefault="00975183" w:rsidP="006A2E06">
      <w:pPr>
        <w:pStyle w:val="EndnoteText"/>
      </w:pPr>
      <w:r w:rsidRPr="00E031C7">
        <w:rPr>
          <w:rStyle w:val="EndnoteReference"/>
        </w:rPr>
        <w:endnoteRef/>
      </w:r>
      <w:r w:rsidRPr="00E031C7">
        <w:t xml:space="preserve"> </w:t>
      </w:r>
      <w:r w:rsidRPr="006F47F2">
        <w:t xml:space="preserve">Bovon, </w:t>
      </w:r>
      <w:r w:rsidRPr="006F47F2">
        <w:rPr>
          <w:i/>
        </w:rPr>
        <w:t>Luke 3</w:t>
      </w:r>
      <w:r w:rsidRPr="006F47F2">
        <w:t>, p. 116.</w:t>
      </w:r>
    </w:p>
  </w:endnote>
  <w:endnote w:id="1820">
    <w:p w:rsidR="00975183" w:rsidRDefault="00975183" w:rsidP="006A2E06">
      <w:pPr>
        <w:pStyle w:val="EndnoteText"/>
      </w:pPr>
      <w:r w:rsidRPr="00E031C7">
        <w:rPr>
          <w:rStyle w:val="EndnoteReference"/>
        </w:rPr>
        <w:endnoteRef/>
      </w:r>
      <w:r w:rsidRPr="00E031C7">
        <w:t xml:space="preserve"> </w:t>
      </w:r>
      <w:r w:rsidRPr="006F47F2">
        <w:t xml:space="preserve">Fitzmyer, </w:t>
      </w:r>
      <w:r w:rsidRPr="006F47F2">
        <w:rPr>
          <w:i/>
        </w:rPr>
        <w:t>Luke</w:t>
      </w:r>
      <w:r w:rsidRPr="006F47F2">
        <w:t>, p. 1347.</w:t>
      </w:r>
    </w:p>
  </w:endnote>
  <w:endnote w:id="1821">
    <w:p w:rsidR="00975183" w:rsidRDefault="00975183" w:rsidP="006A2E06">
      <w:pPr>
        <w:pStyle w:val="EndnoteText"/>
      </w:pPr>
      <w:r w:rsidRPr="009456C7">
        <w:rPr>
          <w:rStyle w:val="EndnoteReference"/>
        </w:rPr>
        <w:endnoteRef/>
      </w:r>
      <w:r w:rsidRPr="009456C7">
        <w:t xml:space="preserve"> </w:t>
      </w:r>
      <w:r w:rsidRPr="006F47F2">
        <w:t xml:space="preserve">Goulder, </w:t>
      </w:r>
      <w:r w:rsidRPr="006F47F2">
        <w:rPr>
          <w:i/>
        </w:rPr>
        <w:t>New Paradigm II</w:t>
      </w:r>
      <w:r w:rsidRPr="006F47F2">
        <w:t>, p. 712.</w:t>
      </w:r>
    </w:p>
  </w:endnote>
  <w:endnote w:id="1822">
    <w:p w:rsidR="00975183" w:rsidRPr="009456C7" w:rsidRDefault="00975183" w:rsidP="006A2E06">
      <w:pPr>
        <w:pStyle w:val="EndnoteText"/>
      </w:pPr>
      <w:r w:rsidRPr="009456C7">
        <w:rPr>
          <w:rStyle w:val="EndnoteReference"/>
        </w:rPr>
        <w:endnoteRef/>
      </w:r>
      <w:r w:rsidRPr="009456C7">
        <w:t xml:space="preserve"> Tiede, </w:t>
      </w:r>
      <w:r w:rsidRPr="009456C7">
        <w:rPr>
          <w:i/>
        </w:rPr>
        <w:t>Luke</w:t>
      </w:r>
      <w:r w:rsidRPr="009456C7">
        <w:t>, p. 363.</w:t>
      </w:r>
    </w:p>
  </w:endnote>
  <w:endnote w:id="1823">
    <w:p w:rsidR="00975183" w:rsidRDefault="00975183" w:rsidP="006A2E06">
      <w:pPr>
        <w:pStyle w:val="EndnoteText"/>
      </w:pPr>
      <w:r w:rsidRPr="00CD6173">
        <w:rPr>
          <w:rStyle w:val="FootnoteReference"/>
        </w:rPr>
        <w:endnoteRef/>
      </w:r>
      <w:r w:rsidRPr="00CD6173">
        <w:t xml:space="preserve"> </w:t>
      </w:r>
      <w:r>
        <w:t xml:space="preserve">Blaising, ‘Extent and Varieties of Dispensationalism’, </w:t>
      </w:r>
      <w:r w:rsidRPr="00F37C3F">
        <w:rPr>
          <w:i/>
        </w:rPr>
        <w:t>Progressive Dispensationalism</w:t>
      </w:r>
      <w:r>
        <w:t>, p. 19.</w:t>
      </w:r>
    </w:p>
  </w:endnote>
  <w:endnote w:id="1824">
    <w:p w:rsidR="00975183" w:rsidRDefault="00975183" w:rsidP="006A2E06">
      <w:pPr>
        <w:pStyle w:val="EndnoteText"/>
      </w:pPr>
      <w:r w:rsidRPr="00CB0889">
        <w:rPr>
          <w:rStyle w:val="FootnoteReference"/>
        </w:rPr>
        <w:endnoteRef/>
      </w:r>
      <w:r w:rsidRPr="00CB0889">
        <w:t xml:space="preserve"> </w:t>
      </w:r>
      <w:r w:rsidRPr="009C0E2C">
        <w:t>Darby, ‘</w:t>
      </w:r>
      <w:r>
        <w:t>What Saints will be in the Great Tribulation’</w:t>
      </w:r>
      <w:r w:rsidRPr="009C0E2C">
        <w:t xml:space="preserve">, </w:t>
      </w:r>
      <w:r w:rsidRPr="009C0E2C">
        <w:rPr>
          <w:i/>
        </w:rPr>
        <w:t>Collected Writings</w:t>
      </w:r>
      <w:r w:rsidRPr="009C0E2C">
        <w:t xml:space="preserve">, </w:t>
      </w:r>
      <w:r w:rsidRPr="00C3124B">
        <w:rPr>
          <w:i/>
        </w:rPr>
        <w:t>Vol. 11, Prophetic No. 4</w:t>
      </w:r>
      <w:r>
        <w:t>, p</w:t>
      </w:r>
      <w:r w:rsidRPr="009C0E2C">
        <w:t xml:space="preserve">. </w:t>
      </w:r>
      <w:r>
        <w:t>110</w:t>
      </w:r>
      <w:r w:rsidRPr="009C0E2C">
        <w:t xml:space="preserve"> &lt;</w:t>
      </w:r>
      <w:r w:rsidRPr="00E40859">
        <w:t>http://www.stempublishing.com/authors/darby/PROPHET/11006E.html</w:t>
      </w:r>
      <w:r w:rsidRPr="009C0E2C">
        <w:t xml:space="preserve">&gt; [accessed </w:t>
      </w:r>
      <w:r>
        <w:t>2</w:t>
      </w:r>
      <w:r w:rsidRPr="009C0E2C">
        <w:t>.8.09].</w:t>
      </w:r>
    </w:p>
  </w:endnote>
  <w:endnote w:id="1825">
    <w:p w:rsidR="00975183" w:rsidRPr="008C505D" w:rsidRDefault="00975183" w:rsidP="006A2E06">
      <w:pPr>
        <w:pStyle w:val="EndnoteText"/>
      </w:pPr>
      <w:r w:rsidRPr="008C505D">
        <w:rPr>
          <w:rStyle w:val="EndnoteReference"/>
        </w:rPr>
        <w:endnoteRef/>
      </w:r>
      <w:r w:rsidRPr="008C505D">
        <w:t xml:space="preserve"> </w:t>
      </w:r>
      <w:r>
        <w:t xml:space="preserve">Chafer, </w:t>
      </w:r>
      <w:r w:rsidRPr="008C505D">
        <w:rPr>
          <w:i/>
        </w:rPr>
        <w:t>Major Bible Themes</w:t>
      </w:r>
      <w:r>
        <w:t>, p. 271.</w:t>
      </w:r>
    </w:p>
  </w:endnote>
  <w:endnote w:id="1826">
    <w:p w:rsidR="00975183" w:rsidRDefault="00975183" w:rsidP="006A2E06">
      <w:pPr>
        <w:pStyle w:val="EndnoteText"/>
      </w:pPr>
      <w:r w:rsidRPr="008C505D">
        <w:rPr>
          <w:rStyle w:val="EndnoteReference"/>
        </w:rPr>
        <w:endnoteRef/>
      </w:r>
      <w:r w:rsidRPr="008C505D">
        <w:t xml:space="preserve"> </w:t>
      </w:r>
      <w:r>
        <w:t xml:space="preserve">Chafer, </w:t>
      </w:r>
      <w:r w:rsidRPr="008C505D">
        <w:rPr>
          <w:i/>
        </w:rPr>
        <w:t>Major Bible Themes</w:t>
      </w:r>
      <w:r>
        <w:t>, pp. 290-91.</w:t>
      </w:r>
    </w:p>
  </w:endnote>
  <w:endnote w:id="1827">
    <w:p w:rsidR="00975183" w:rsidRPr="00A274B8" w:rsidRDefault="00975183" w:rsidP="006A2E06">
      <w:pPr>
        <w:pStyle w:val="EndnoteText"/>
      </w:pPr>
      <w:r w:rsidRPr="00A274B8">
        <w:rPr>
          <w:rStyle w:val="EndnoteReference"/>
        </w:rPr>
        <w:endnoteRef/>
      </w:r>
      <w:r w:rsidRPr="00A274B8">
        <w:t xml:space="preserve"> </w:t>
      </w:r>
      <w:r>
        <w:t xml:space="preserve">Blaising, ‘Theological and Minsterial Issues’, </w:t>
      </w:r>
      <w:r w:rsidRPr="00A274B8">
        <w:rPr>
          <w:i/>
        </w:rPr>
        <w:t>Progressive Dispensationalism</w:t>
      </w:r>
      <w:r>
        <w:t xml:space="preserve">, p. 294.  </w:t>
      </w:r>
      <w:proofErr w:type="gramStart"/>
      <w:r>
        <w:t>(</w:t>
      </w:r>
      <w:r w:rsidRPr="004B0EAA">
        <w:rPr>
          <w:i/>
        </w:rPr>
        <w:t>Blaising’s emphasis</w:t>
      </w:r>
      <w:r>
        <w:t>.)</w:t>
      </w:r>
      <w:proofErr w:type="gramEnd"/>
    </w:p>
  </w:endnote>
  <w:endnote w:id="1828">
    <w:p w:rsidR="00975183" w:rsidRDefault="00975183" w:rsidP="006A2E06">
      <w:pPr>
        <w:pStyle w:val="EndnoteText"/>
      </w:pPr>
      <w:r w:rsidRPr="00A915D8">
        <w:rPr>
          <w:rStyle w:val="FootnoteReference"/>
        </w:rPr>
        <w:endnoteRef/>
      </w:r>
      <w:r w:rsidRPr="00A915D8">
        <w:t xml:space="preserve"> </w:t>
      </w:r>
      <w:r w:rsidRPr="00FB6FAC">
        <w:rPr>
          <w:i/>
        </w:rPr>
        <w:t>SRB</w:t>
      </w:r>
      <w:r>
        <w:t xml:space="preserve"> n</w:t>
      </w:r>
      <w:r w:rsidRPr="00A915D8">
        <w:t>ote on Ps. 2:6, p. 600</w:t>
      </w:r>
      <w:r w:rsidRPr="00A915D8">
        <w:rPr>
          <w:lang w:eastAsia="en-GB"/>
        </w:rPr>
        <w:t>.</w:t>
      </w:r>
      <w:r w:rsidRPr="00A915D8">
        <w:t xml:space="preserve">  ‘The vexation’ will be fulfilled in </w:t>
      </w:r>
      <w:r w:rsidRPr="00A915D8">
        <w:rPr>
          <w:color w:val="000000"/>
        </w:rPr>
        <w:t>the tribulation immediately preceding the King’s return.</w:t>
      </w:r>
      <w:r>
        <w:rPr>
          <w:color w:val="000000"/>
        </w:rPr>
        <w:t xml:space="preserve">  </w:t>
      </w:r>
      <w:proofErr w:type="gramStart"/>
      <w:r w:rsidRPr="008C25ED">
        <w:rPr>
          <w:b/>
        </w:rPr>
        <w:t>See 8.3.1</w:t>
      </w:r>
      <w:r w:rsidRPr="00A72278">
        <w:t>.</w:t>
      </w:r>
      <w:proofErr w:type="gramEnd"/>
    </w:p>
  </w:endnote>
  <w:endnote w:id="1829">
    <w:p w:rsidR="00975183" w:rsidRDefault="00975183" w:rsidP="006A2E06">
      <w:pPr>
        <w:pStyle w:val="EndnoteText"/>
      </w:pPr>
      <w:r w:rsidRPr="00A915D8">
        <w:rPr>
          <w:rStyle w:val="FootnoteReference"/>
        </w:rPr>
        <w:endnoteRef/>
      </w:r>
      <w:r w:rsidRPr="00A915D8">
        <w:t xml:space="preserve"> </w:t>
      </w:r>
      <w:r w:rsidRPr="00A915D8">
        <w:rPr>
          <w:i/>
        </w:rPr>
        <w:t>SRB</w:t>
      </w:r>
      <w:r w:rsidRPr="00A915D8">
        <w:t xml:space="preserve"> subhead</w:t>
      </w:r>
      <w:r>
        <w:t>s</w:t>
      </w:r>
      <w:r w:rsidRPr="00A915D8">
        <w:t xml:space="preserve"> to </w:t>
      </w:r>
      <w:r>
        <w:t xml:space="preserve">Isa. 13:12, p. 725, ‘The Jewish remnant [Isa. 1:9] in the great tribulation; </w:t>
      </w:r>
      <w:r w:rsidRPr="00A915D8">
        <w:t>Isa. 24:16, p. 734, ‘The great tribulation</w:t>
      </w:r>
      <w:r>
        <w:t>’;</w:t>
      </w:r>
      <w:r w:rsidRPr="00A915D8">
        <w:t xml:space="preserve"> Isa. 32:1, p. 740, ‘Promise and warning: tribulation: the King-Delive</w:t>
      </w:r>
      <w:r>
        <w:t xml:space="preserve">rer’; </w:t>
      </w:r>
      <w:r w:rsidRPr="00A915D8">
        <w:rPr>
          <w:lang w:eastAsia="en-GB"/>
        </w:rPr>
        <w:t xml:space="preserve">Dan. 12:1, </w:t>
      </w:r>
      <w:r w:rsidRPr="00A915D8">
        <w:t>p. 919</w:t>
      </w:r>
      <w:r>
        <w:t>, ‘The great tribulation’;</w:t>
      </w:r>
      <w:r w:rsidRPr="00A915D8">
        <w:t xml:space="preserve"> Dan. 11:35, ‘From this time begins the great tribulation’</w:t>
      </w:r>
      <w:r>
        <w:t>.</w:t>
      </w:r>
    </w:p>
  </w:endnote>
  <w:endnote w:id="1830">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note on subhead to Isa. 11:1, p. 723.  Refs Ps. 2:5; Rev</w:t>
      </w:r>
      <w:r>
        <w:t>.</w:t>
      </w:r>
      <w:r w:rsidRPr="00A72278">
        <w:t xml:space="preserve"> 7:14.  </w:t>
      </w:r>
      <w:r>
        <w:t>Also s</w:t>
      </w:r>
      <w:r w:rsidRPr="00A915D8">
        <w:t xml:space="preserve">ubhead to </w:t>
      </w:r>
      <w:r>
        <w:t xml:space="preserve">Isa. 13:12, p. 725, ‘The Jewish remnant [Isa. 1:9] in the great tribulation [Ps. 2:5; Rev. 7:14; cf Zech. 14:1-2]).  </w:t>
      </w:r>
    </w:p>
  </w:endnote>
  <w:endnote w:id="1831">
    <w:p w:rsidR="00975183" w:rsidRDefault="00975183" w:rsidP="006A2E06">
      <w:pPr>
        <w:pStyle w:val="EndnoteText"/>
      </w:pPr>
      <w:r w:rsidRPr="00A915D8">
        <w:rPr>
          <w:rStyle w:val="FootnoteReference"/>
        </w:rPr>
        <w:endnoteRef/>
      </w:r>
      <w:r w:rsidRPr="00A915D8">
        <w:t xml:space="preserve"> </w:t>
      </w:r>
      <w:r w:rsidRPr="00A915D8">
        <w:rPr>
          <w:i/>
        </w:rPr>
        <w:t xml:space="preserve">SRB </w:t>
      </w:r>
      <w:r w:rsidRPr="00A915D8">
        <w:t>note on Mic. 5:7, p. 949.</w:t>
      </w:r>
    </w:p>
  </w:endnote>
  <w:endnote w:id="1832">
    <w:p w:rsidR="00975183" w:rsidRDefault="00975183" w:rsidP="006A2E06">
      <w:pPr>
        <w:pStyle w:val="EndnoteText"/>
      </w:pPr>
      <w:r w:rsidRPr="00A915D8">
        <w:rPr>
          <w:rStyle w:val="EndnoteReference"/>
        </w:rPr>
        <w:endnoteRef/>
      </w:r>
      <w:r w:rsidRPr="00A915D8">
        <w:t xml:space="preserve"> </w:t>
      </w:r>
      <w:r w:rsidRPr="00A915D8">
        <w:rPr>
          <w:i/>
        </w:rPr>
        <w:t xml:space="preserve">SRB </w:t>
      </w:r>
      <w:r w:rsidRPr="00A915D8">
        <w:t>note on Isa. 29:3, p. 737.</w:t>
      </w:r>
    </w:p>
  </w:endnote>
  <w:endnote w:id="1833">
    <w:p w:rsidR="00975183" w:rsidRPr="00A72278" w:rsidRDefault="00975183" w:rsidP="006A2E06">
      <w:pPr>
        <w:pStyle w:val="EndnoteText"/>
      </w:pPr>
      <w:r w:rsidRPr="00A72278">
        <w:rPr>
          <w:rStyle w:val="EndnoteReference"/>
        </w:rPr>
        <w:endnoteRef/>
      </w:r>
      <w:r w:rsidRPr="00A72278">
        <w:t xml:space="preserve"> </w:t>
      </w:r>
      <w:r w:rsidRPr="00A72278">
        <w:rPr>
          <w:i/>
        </w:rPr>
        <w:t xml:space="preserve">SRB </w:t>
      </w:r>
      <w:r w:rsidRPr="00A72278">
        <w:t>note on subhead to Jer. 23:1, p. 795</w:t>
      </w:r>
      <w:r w:rsidRPr="00745C33">
        <w:t>.</w:t>
      </w:r>
    </w:p>
  </w:endnote>
  <w:endnote w:id="1834">
    <w:p w:rsidR="00975183" w:rsidRPr="00A72278" w:rsidRDefault="00975183" w:rsidP="006A2E06">
      <w:pPr>
        <w:pStyle w:val="EndnoteText"/>
      </w:pPr>
      <w:r w:rsidRPr="00A72278">
        <w:rPr>
          <w:rStyle w:val="EndnoteReference"/>
        </w:rPr>
        <w:endnoteRef/>
      </w:r>
      <w:r w:rsidRPr="00A72278">
        <w:t xml:space="preserve"> </w:t>
      </w:r>
      <w:r w:rsidRPr="004E6880">
        <w:rPr>
          <w:i/>
          <w:lang w:eastAsia="en-GB"/>
        </w:rPr>
        <w:t>SRB</w:t>
      </w:r>
      <w:r>
        <w:rPr>
          <w:lang w:eastAsia="en-GB"/>
        </w:rPr>
        <w:t xml:space="preserve"> n</w:t>
      </w:r>
      <w:r w:rsidRPr="00A72278">
        <w:rPr>
          <w:lang w:eastAsia="en-GB"/>
        </w:rPr>
        <w:t xml:space="preserve">ote on Dan. 12:4, </w:t>
      </w:r>
      <w:r w:rsidRPr="00A72278">
        <w:t>p. 919.  Ref. Mt. 24:21.</w:t>
      </w:r>
    </w:p>
  </w:endnote>
  <w:endnote w:id="1835">
    <w:p w:rsidR="00975183" w:rsidRPr="00A72278" w:rsidRDefault="00975183" w:rsidP="006A2E06">
      <w:pPr>
        <w:pStyle w:val="EndnoteText"/>
      </w:pPr>
      <w:r w:rsidRPr="00A72278">
        <w:rPr>
          <w:rStyle w:val="EndnoteReference"/>
        </w:rPr>
        <w:endnoteRef/>
      </w:r>
      <w:r w:rsidRPr="00A72278">
        <w:t xml:space="preserve"> </w:t>
      </w:r>
      <w:r w:rsidRPr="004E6880">
        <w:rPr>
          <w:i/>
        </w:rPr>
        <w:t>SRB</w:t>
      </w:r>
      <w:r>
        <w:t xml:space="preserve"> n</w:t>
      </w:r>
      <w:r w:rsidRPr="00A72278">
        <w:t xml:space="preserve">ote on Hag. 2:3, p. 963.  </w:t>
      </w:r>
    </w:p>
  </w:endnote>
  <w:endnote w:id="1836">
    <w:p w:rsidR="00975183" w:rsidRPr="00A72278" w:rsidRDefault="00975183" w:rsidP="006A2E06">
      <w:pPr>
        <w:pStyle w:val="EndnoteText"/>
      </w:pPr>
      <w:r w:rsidRPr="00A72278">
        <w:rPr>
          <w:rStyle w:val="EndnoteReference"/>
        </w:rPr>
        <w:endnoteRef/>
      </w:r>
      <w:r w:rsidRPr="00A72278">
        <w:t xml:space="preserve"> </w:t>
      </w:r>
      <w:r w:rsidRPr="004E6880">
        <w:rPr>
          <w:i/>
        </w:rPr>
        <w:t xml:space="preserve">SRB </w:t>
      </w:r>
      <w:r>
        <w:t>n</w:t>
      </w:r>
      <w:r w:rsidRPr="00A72278">
        <w:t xml:space="preserve">ote on </w:t>
      </w:r>
      <w:r w:rsidRPr="00A72278">
        <w:rPr>
          <w:lang w:eastAsia="en-GB"/>
        </w:rPr>
        <w:t xml:space="preserve">Mt. 24:3, </w:t>
      </w:r>
      <w:r w:rsidRPr="00A72278">
        <w:t>p. 1033</w:t>
      </w:r>
      <w:r w:rsidRPr="00A72278">
        <w:rPr>
          <w:lang w:eastAsia="en-GB"/>
        </w:rPr>
        <w:t xml:space="preserve">.  </w:t>
      </w:r>
    </w:p>
  </w:endnote>
  <w:endnote w:id="1837">
    <w:p w:rsidR="00975183" w:rsidRPr="00A72278" w:rsidRDefault="00975183" w:rsidP="006A2E06">
      <w:pPr>
        <w:pStyle w:val="EndnoteText"/>
      </w:pPr>
      <w:r w:rsidRPr="00A72278">
        <w:rPr>
          <w:rStyle w:val="EndnoteReference"/>
        </w:rPr>
        <w:endnoteRef/>
      </w:r>
      <w:r w:rsidRPr="00A72278">
        <w:t xml:space="preserve"> </w:t>
      </w:r>
      <w:r w:rsidRPr="004E6880">
        <w:rPr>
          <w:i/>
        </w:rPr>
        <w:t>SRB</w:t>
      </w:r>
      <w:r>
        <w:t xml:space="preserve"> n</w:t>
      </w:r>
      <w:r w:rsidRPr="00A72278">
        <w:t>ote on Mt. 24:3, p. 1033</w:t>
      </w:r>
      <w:r w:rsidRPr="00A72278">
        <w:rPr>
          <w:lang w:eastAsia="en-GB"/>
        </w:rPr>
        <w:t>.</w:t>
      </w:r>
      <w:r w:rsidRPr="00A72278">
        <w:t xml:space="preserve"> </w:t>
      </w:r>
    </w:p>
  </w:endnote>
  <w:endnote w:id="1838">
    <w:p w:rsidR="00975183" w:rsidRPr="00A72278" w:rsidRDefault="00975183" w:rsidP="006A2E06">
      <w:pPr>
        <w:pStyle w:val="EndnoteText"/>
      </w:pPr>
      <w:r w:rsidRPr="00A72278">
        <w:rPr>
          <w:rStyle w:val="EndnoteReference"/>
        </w:rPr>
        <w:endnoteRef/>
      </w:r>
      <w:r w:rsidRPr="00A72278">
        <w:t xml:space="preserve"> </w:t>
      </w:r>
      <w:r w:rsidRPr="004E6880">
        <w:rPr>
          <w:i/>
        </w:rPr>
        <w:t>SRB</w:t>
      </w:r>
      <w:r>
        <w:t xml:space="preserve"> n</w:t>
      </w:r>
      <w:r w:rsidRPr="00A72278">
        <w:t>ote on Mt. 25:32, p. 1036</w:t>
      </w:r>
      <w:r w:rsidRPr="00A72278">
        <w:rPr>
          <w:lang w:eastAsia="en-GB"/>
        </w:rPr>
        <w:t xml:space="preserve">.  </w:t>
      </w:r>
    </w:p>
  </w:endnote>
  <w:endnote w:id="1839">
    <w:p w:rsidR="00975183" w:rsidRDefault="00975183" w:rsidP="006A2E06">
      <w:pPr>
        <w:pStyle w:val="EndnoteText"/>
      </w:pPr>
      <w:r w:rsidRPr="00A915D8">
        <w:rPr>
          <w:rStyle w:val="FootnoteReference"/>
        </w:rPr>
        <w:endnoteRef/>
      </w:r>
      <w:r w:rsidRPr="00A915D8">
        <w:t xml:space="preserve"> </w:t>
      </w:r>
      <w:r w:rsidRPr="00120AD3">
        <w:rPr>
          <w:i/>
        </w:rPr>
        <w:t>SRB</w:t>
      </w:r>
      <w:r>
        <w:t xml:space="preserve"> n</w:t>
      </w:r>
      <w:r w:rsidRPr="00A915D8">
        <w:t>ote on Lk. 21:20, p. 1106</w:t>
      </w:r>
      <w:r>
        <w:t>.</w:t>
      </w:r>
    </w:p>
  </w:endnote>
  <w:endnote w:id="1840">
    <w:p w:rsidR="00975183" w:rsidRDefault="00975183" w:rsidP="006A2E06">
      <w:pPr>
        <w:pStyle w:val="EndnoteText"/>
      </w:pPr>
      <w:r w:rsidRPr="00A915D8">
        <w:rPr>
          <w:rStyle w:val="FootnoteReference"/>
        </w:rPr>
        <w:endnoteRef/>
      </w:r>
      <w:r w:rsidRPr="00A915D8">
        <w:t xml:space="preserve"> cf the importation of New Testament concepts from Romans 9 and Galatians 3 in Scofield’s assertions concerning ‘sand and stars’ in the Abrahamic Covenant</w:t>
      </w:r>
      <w:r w:rsidRPr="00A72278">
        <w:t xml:space="preserve">.  </w:t>
      </w:r>
      <w:r w:rsidRPr="008C25ED">
        <w:rPr>
          <w:b/>
        </w:rPr>
        <w:t>See 4.1</w:t>
      </w:r>
      <w:r w:rsidRPr="00A72278">
        <w:rPr>
          <w:b/>
        </w:rPr>
        <w:t>.</w:t>
      </w:r>
    </w:p>
  </w:endnote>
  <w:endnote w:id="1841">
    <w:p w:rsidR="00975183" w:rsidRPr="00A915D8" w:rsidRDefault="00975183" w:rsidP="006A2E06">
      <w:pPr>
        <w:autoSpaceDE w:val="0"/>
        <w:autoSpaceDN w:val="0"/>
        <w:adjustRightInd w:val="0"/>
        <w:spacing w:after="0" w:line="240" w:lineRule="auto"/>
      </w:pPr>
      <w:r w:rsidRPr="00A915D8">
        <w:rPr>
          <w:rStyle w:val="FootnoteReference"/>
        </w:rPr>
        <w:endnoteRef/>
      </w:r>
      <w:r w:rsidRPr="00A915D8">
        <w:t xml:space="preserve"> ‘</w:t>
      </w:r>
      <w:r w:rsidRPr="00AB02F6">
        <w:rPr>
          <w:lang w:val="en-US"/>
        </w:rPr>
        <w:t>When thou art in tribulation</w:t>
      </w:r>
      <w:r w:rsidRPr="00A915D8">
        <w:rPr>
          <w:lang w:val="en-US"/>
        </w:rPr>
        <w:t xml:space="preserve">, and all these things are come upon thee, </w:t>
      </w:r>
      <w:r w:rsidRPr="00A915D8">
        <w:rPr>
          <w:i/>
          <w:iCs/>
          <w:lang w:val="en-US"/>
        </w:rPr>
        <w:t>even</w:t>
      </w:r>
      <w:r w:rsidRPr="00A915D8">
        <w:rPr>
          <w:lang w:val="en-US"/>
        </w:rPr>
        <w:t xml:space="preserve"> in the latter days, if thou turn to the LORD thy God, and shalt be obedient unto his voice;  </w:t>
      </w:r>
      <w:r w:rsidRPr="00A915D8">
        <w:rPr>
          <w:vertAlign w:val="superscript"/>
          <w:lang w:val="en-US"/>
        </w:rPr>
        <w:t>31</w:t>
      </w:r>
      <w:r w:rsidRPr="00A915D8">
        <w:rPr>
          <w:lang w:val="en-US"/>
        </w:rPr>
        <w:t xml:space="preserve">(For the LORD </w:t>
      </w:r>
      <w:r w:rsidRPr="00A915D8">
        <w:rPr>
          <w:color w:val="000000"/>
          <w:lang w:val="en-US"/>
        </w:rPr>
        <w:t xml:space="preserve">thy God </w:t>
      </w:r>
      <w:r w:rsidRPr="00A915D8">
        <w:rPr>
          <w:i/>
          <w:iCs/>
          <w:color w:val="000000"/>
          <w:lang w:val="en-US"/>
        </w:rPr>
        <w:t>is</w:t>
      </w:r>
      <w:r w:rsidRPr="00A915D8">
        <w:rPr>
          <w:color w:val="000000"/>
          <w:lang w:val="en-US"/>
        </w:rPr>
        <w:t xml:space="preserve"> a merciful God;) he will not forsake thee</w:t>
      </w:r>
      <w:r>
        <w:rPr>
          <w:color w:val="000000"/>
          <w:lang w:val="en-US"/>
        </w:rPr>
        <w:t>.</w:t>
      </w:r>
      <w:r w:rsidRPr="00A915D8">
        <w:rPr>
          <w:color w:val="000000"/>
          <w:lang w:val="en-US"/>
        </w:rPr>
        <w:t xml:space="preserve">’ </w:t>
      </w:r>
      <w:r w:rsidRPr="00A915D8">
        <w:t xml:space="preserve">Deut. 4:30-31 </w:t>
      </w:r>
      <w:r w:rsidRPr="00A915D8">
        <w:rPr>
          <w:i/>
        </w:rPr>
        <w:t>KJV</w:t>
      </w:r>
      <w:r>
        <w:t>.</w:t>
      </w:r>
      <w:r w:rsidRPr="00A915D8">
        <w:t xml:space="preserve"> </w:t>
      </w:r>
    </w:p>
    <w:p w:rsidR="00975183" w:rsidRPr="00A915D8" w:rsidRDefault="00975183" w:rsidP="006A2E06">
      <w:pPr>
        <w:autoSpaceDE w:val="0"/>
        <w:autoSpaceDN w:val="0"/>
        <w:adjustRightInd w:val="0"/>
        <w:spacing w:after="0" w:line="240" w:lineRule="auto"/>
      </w:pPr>
      <w:r w:rsidRPr="00A915D8">
        <w:t>‘</w:t>
      </w:r>
      <w:r w:rsidRPr="00A915D8">
        <w:rPr>
          <w:lang w:val="en-US"/>
        </w:rPr>
        <w:t>Go and cry unto the gods which ye have chosen; let them deliver you in the time of your tribulation.</w:t>
      </w:r>
      <w:r w:rsidRPr="00A915D8">
        <w:t xml:space="preserve">’ Judg. 10:14, </w:t>
      </w:r>
      <w:r w:rsidRPr="00A915D8">
        <w:rPr>
          <w:i/>
        </w:rPr>
        <w:t>KJV</w:t>
      </w:r>
      <w:r>
        <w:t>.</w:t>
      </w:r>
      <w:r w:rsidRPr="00A915D8">
        <w:t xml:space="preserve"> </w:t>
      </w:r>
    </w:p>
    <w:p w:rsidR="00975183" w:rsidRDefault="00975183" w:rsidP="006A2E06">
      <w:pPr>
        <w:pStyle w:val="EndnoteText"/>
      </w:pPr>
      <w:r w:rsidRPr="00A915D8">
        <w:t>‘</w:t>
      </w:r>
      <w:r w:rsidRPr="00A915D8">
        <w:rPr>
          <w:lang w:val="en-US"/>
        </w:rPr>
        <w:t>And, behold, as thy life was much set by this day in mine eyes, so let my life be much set by in the eyes of the LORD,</w:t>
      </w:r>
      <w:r w:rsidRPr="00A915D8">
        <w:rPr>
          <w:color w:val="000000"/>
          <w:lang w:val="en-US"/>
        </w:rPr>
        <w:t xml:space="preserve"> and let him deliver me out of all tribulation.</w:t>
      </w:r>
      <w:r w:rsidRPr="00A915D8">
        <w:t xml:space="preserve">’ 1 Sam. 26:24, </w:t>
      </w:r>
      <w:r w:rsidRPr="00A915D8">
        <w:rPr>
          <w:i/>
        </w:rPr>
        <w:t>KJV</w:t>
      </w:r>
      <w:r w:rsidRPr="00A915D8">
        <w:t>.</w:t>
      </w:r>
    </w:p>
  </w:endnote>
  <w:endnote w:id="1842">
    <w:p w:rsidR="00975183" w:rsidRPr="00221FAB" w:rsidRDefault="00975183" w:rsidP="006A2E06">
      <w:pPr>
        <w:pStyle w:val="EndnoteText"/>
      </w:pPr>
      <w:r w:rsidRPr="00221FAB">
        <w:rPr>
          <w:rStyle w:val="EndnoteReference"/>
        </w:rPr>
        <w:endnoteRef/>
      </w:r>
      <w:r w:rsidRPr="00221FAB">
        <w:t xml:space="preserve"> </w:t>
      </w:r>
      <w:r>
        <w:t xml:space="preserve">‘In your distress, when all these things have happened to you in time to come, you will return to the LORD your God and heed him.’  Deut. 4:30, </w:t>
      </w:r>
      <w:r w:rsidRPr="00221FAB">
        <w:rPr>
          <w:i/>
        </w:rPr>
        <w:t>NRSV</w:t>
      </w:r>
      <w:r>
        <w:t>.</w:t>
      </w:r>
    </w:p>
  </w:endnote>
  <w:endnote w:id="1843">
    <w:p w:rsidR="00975183" w:rsidRPr="00A72278" w:rsidRDefault="00975183" w:rsidP="006A2E06">
      <w:pPr>
        <w:pStyle w:val="EndnoteText"/>
      </w:pPr>
      <w:r w:rsidRPr="00A72278">
        <w:rPr>
          <w:rStyle w:val="EndnoteReference"/>
        </w:rPr>
        <w:endnoteRef/>
      </w:r>
      <w:r w:rsidRPr="00A72278">
        <w:t xml:space="preserve"> </w:t>
      </w:r>
      <w:r w:rsidRPr="00C172CC">
        <w:rPr>
          <w:i/>
          <w:lang w:eastAsia="en-GB"/>
        </w:rPr>
        <w:t>SRB</w:t>
      </w:r>
      <w:r>
        <w:rPr>
          <w:lang w:eastAsia="en-GB"/>
        </w:rPr>
        <w:t xml:space="preserve"> s</w:t>
      </w:r>
      <w:r w:rsidRPr="00A72278">
        <w:rPr>
          <w:lang w:eastAsia="en-GB"/>
        </w:rPr>
        <w:t xml:space="preserve">ubhead to Dan. 12:1, </w:t>
      </w:r>
      <w:r w:rsidRPr="00A72278">
        <w:t>p. 919.</w:t>
      </w:r>
    </w:p>
  </w:endnote>
  <w:endnote w:id="1844">
    <w:p w:rsidR="00975183" w:rsidRPr="00A72278" w:rsidRDefault="00975183" w:rsidP="006A2E06">
      <w:pPr>
        <w:pStyle w:val="EndnoteText"/>
      </w:pPr>
      <w:r w:rsidRPr="00A72278">
        <w:rPr>
          <w:rStyle w:val="EndnoteReference"/>
        </w:rPr>
        <w:endnoteRef/>
      </w:r>
      <w:r w:rsidRPr="00A72278">
        <w:t xml:space="preserve"> </w:t>
      </w:r>
      <w:r w:rsidRPr="00C172CC">
        <w:rPr>
          <w:i/>
          <w:lang w:eastAsia="en-GB"/>
        </w:rPr>
        <w:t>SRB</w:t>
      </w:r>
      <w:r>
        <w:rPr>
          <w:lang w:eastAsia="en-GB"/>
        </w:rPr>
        <w:t xml:space="preserve"> n</w:t>
      </w:r>
      <w:r w:rsidRPr="00A72278">
        <w:rPr>
          <w:lang w:eastAsia="en-GB"/>
        </w:rPr>
        <w:t xml:space="preserve">ote on Dan. 12:4, </w:t>
      </w:r>
      <w:r w:rsidRPr="00A72278">
        <w:t>p. 919.</w:t>
      </w:r>
    </w:p>
  </w:endnote>
  <w:endnote w:id="1845">
    <w:p w:rsidR="00975183" w:rsidRPr="00A72278" w:rsidRDefault="00975183" w:rsidP="006A2E06">
      <w:pPr>
        <w:pStyle w:val="EndnoteText"/>
      </w:pPr>
      <w:r w:rsidRPr="00A72278">
        <w:rPr>
          <w:rStyle w:val="EndnoteReference"/>
        </w:rPr>
        <w:endnoteRef/>
      </w:r>
      <w:r w:rsidRPr="00A72278">
        <w:t xml:space="preserve"> </w:t>
      </w:r>
      <w:r w:rsidRPr="00C172CC">
        <w:rPr>
          <w:i/>
          <w:lang w:eastAsia="en-GB"/>
        </w:rPr>
        <w:t xml:space="preserve">SRB </w:t>
      </w:r>
      <w:r>
        <w:rPr>
          <w:lang w:eastAsia="en-GB"/>
        </w:rPr>
        <w:t>n</w:t>
      </w:r>
      <w:r w:rsidRPr="00A72278">
        <w:rPr>
          <w:lang w:eastAsia="en-GB"/>
        </w:rPr>
        <w:t xml:space="preserve">ote on Dan. 12:4, </w:t>
      </w:r>
      <w:r w:rsidRPr="00A72278">
        <w:t>p. 920.</w:t>
      </w:r>
    </w:p>
  </w:endnote>
  <w:endnote w:id="1846">
    <w:p w:rsidR="00975183" w:rsidRDefault="00975183" w:rsidP="006A2E06">
      <w:pPr>
        <w:pStyle w:val="EndnoteText"/>
      </w:pPr>
      <w:r w:rsidRPr="00934066">
        <w:rPr>
          <w:rStyle w:val="FootnoteReference"/>
        </w:rPr>
        <w:endnoteRef/>
      </w:r>
      <w:r w:rsidRPr="00934066">
        <w:t xml:space="preserve"> </w:t>
      </w:r>
      <w:r w:rsidRPr="00934066">
        <w:rPr>
          <w:rFonts w:ascii="Bwhebb" w:hAnsi="Bwhebb" w:cs="Bwhebb"/>
          <w:sz w:val="32"/>
          <w:szCs w:val="32"/>
          <w:lang w:val="en-US" w:bidi="he-IL"/>
        </w:rPr>
        <w:t>hr"êc</w:t>
      </w:r>
      <w:r>
        <w:t xml:space="preserve"> does not appear </w:t>
      </w:r>
      <w:r w:rsidRPr="00934066">
        <w:t>in Ps. 2:5, 6; Isa.11:1, Isa. 13</w:t>
      </w:r>
      <w:r w:rsidRPr="00A915D8">
        <w:t xml:space="preserve">:12; Isa. 24:16; Isa. 29:3; Isaiah 32; Jeremiah 23; Dan. 8:9; 11:35; Mic. 5:7; </w:t>
      </w:r>
      <w:r>
        <w:t xml:space="preserve">or </w:t>
      </w:r>
      <w:r w:rsidRPr="00A915D8">
        <w:t>Hag. 2:3.</w:t>
      </w:r>
    </w:p>
  </w:endnote>
  <w:endnote w:id="1847">
    <w:p w:rsidR="00975183" w:rsidRDefault="00975183" w:rsidP="006A2E06">
      <w:pPr>
        <w:pStyle w:val="EndnoteText"/>
      </w:pPr>
      <w:r w:rsidRPr="00A72278">
        <w:rPr>
          <w:rStyle w:val="EndnoteReference"/>
        </w:rPr>
        <w:endnoteRef/>
      </w:r>
      <w:r w:rsidRPr="00A72278">
        <w:t xml:space="preserve"> For example, Mt. 13:21; 24:9; Mk 4:17; Jn 16:33; Acts 7:10, 11; 11:19; 14:22; 20:23; Rom. 2:9; 5:3; 8:35; 12:12; 1 Cor. 7:28; 2 Cor. 1:4, 8; 2:4; 4:17; 6:4; 7:4; 8:2, 13; Eph. 3:13; Phil. 1:17; 4:14; Col. 1:24; </w:t>
      </w:r>
    </w:p>
    <w:p w:rsidR="00975183" w:rsidRPr="00A72278" w:rsidRDefault="00975183" w:rsidP="006A2E06">
      <w:pPr>
        <w:pStyle w:val="EndnoteText"/>
      </w:pPr>
      <w:r w:rsidRPr="00A72278">
        <w:t xml:space="preserve">1 Thess. 1:6; 3:3, 7; 2 Thess. 1:4, 6; Heb. 10:33; Jas 1:27; Rev. 1:9; 2:9, 10, 22. </w:t>
      </w:r>
    </w:p>
  </w:endnote>
  <w:endnote w:id="1848">
    <w:p w:rsidR="00975183" w:rsidRDefault="00975183" w:rsidP="006A2E06">
      <w:pPr>
        <w:pStyle w:val="EndnoteText"/>
      </w:pPr>
      <w:r w:rsidRPr="00A915D8">
        <w:rPr>
          <w:rStyle w:val="FootnoteReference"/>
        </w:rPr>
        <w:endnoteRef/>
      </w:r>
      <w:r w:rsidRPr="00A915D8">
        <w:t xml:space="preserve"> Mt. 24:21, 29; Mk 13:19, 24; Rev. 7:14.</w:t>
      </w:r>
    </w:p>
  </w:endnote>
  <w:endnote w:id="1849">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subhead to Mt. 24:15, p. 1033.</w:t>
      </w:r>
    </w:p>
  </w:endnote>
  <w:endnote w:id="1850">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subhead to Mk 13:14.</w:t>
      </w:r>
    </w:p>
  </w:endnote>
  <w:endnote w:id="1851">
    <w:p w:rsidR="00975183" w:rsidRPr="00B76429" w:rsidRDefault="00975183" w:rsidP="006A2E06">
      <w:pPr>
        <w:spacing w:after="0" w:line="240" w:lineRule="auto"/>
        <w:rPr>
          <w:sz w:val="20"/>
          <w:lang w:val="en-US"/>
        </w:rPr>
      </w:pPr>
      <w:r w:rsidRPr="00A915D8">
        <w:rPr>
          <w:rStyle w:val="FootnoteReference"/>
        </w:rPr>
        <w:endnoteRef/>
      </w:r>
      <w:r w:rsidRPr="00A915D8">
        <w:t xml:space="preserve"> </w:t>
      </w:r>
      <w:r w:rsidRPr="00B76429">
        <w:rPr>
          <w:sz w:val="20"/>
        </w:rPr>
        <w:t>‘</w:t>
      </w:r>
      <w:r w:rsidRPr="00B76429">
        <w:rPr>
          <w:sz w:val="20"/>
          <w:lang w:val="en-US"/>
        </w:rPr>
        <w:t xml:space="preserve">Yet hath he not </w:t>
      </w:r>
      <w:proofErr w:type="gramStart"/>
      <w:r w:rsidRPr="00B76429">
        <w:rPr>
          <w:sz w:val="20"/>
          <w:lang w:val="en-US"/>
        </w:rPr>
        <w:t>root</w:t>
      </w:r>
      <w:proofErr w:type="gramEnd"/>
      <w:r w:rsidRPr="00B76429">
        <w:rPr>
          <w:sz w:val="20"/>
          <w:lang w:val="en-US"/>
        </w:rPr>
        <w:t xml:space="preserve"> in himself, but dureth for a while: for when tribulation or persecution ariseth because of the word, by and by he is offended.’  </w:t>
      </w:r>
      <w:r w:rsidRPr="00B76429">
        <w:rPr>
          <w:sz w:val="20"/>
        </w:rPr>
        <w:t>Mt. 13:21,</w:t>
      </w:r>
      <w:r w:rsidRPr="00B76429">
        <w:rPr>
          <w:i/>
          <w:sz w:val="20"/>
        </w:rPr>
        <w:t xml:space="preserve"> KJV</w:t>
      </w:r>
      <w:r w:rsidRPr="00B76429">
        <w:rPr>
          <w:sz w:val="20"/>
        </w:rPr>
        <w:t>.</w:t>
      </w:r>
    </w:p>
    <w:p w:rsidR="00975183" w:rsidRPr="00B76429" w:rsidRDefault="00975183" w:rsidP="006A2E06">
      <w:pPr>
        <w:spacing w:after="0" w:line="240" w:lineRule="auto"/>
        <w:rPr>
          <w:sz w:val="20"/>
          <w:lang w:val="en-US"/>
        </w:rPr>
      </w:pPr>
      <w:r w:rsidRPr="00B76429">
        <w:rPr>
          <w:sz w:val="20"/>
          <w:lang w:val="en-US"/>
        </w:rPr>
        <w:t xml:space="preserve">‘These things I have spoken unto you, that in me ye might have peace. In the world ye shall have tribulation: but be of good cheer; I have overcome the world.’  </w:t>
      </w:r>
      <w:r w:rsidRPr="00B76429">
        <w:rPr>
          <w:sz w:val="20"/>
        </w:rPr>
        <w:t xml:space="preserve">Jn 16:33, </w:t>
      </w:r>
      <w:r w:rsidRPr="00B76429">
        <w:rPr>
          <w:i/>
          <w:sz w:val="20"/>
        </w:rPr>
        <w:t>KJV</w:t>
      </w:r>
      <w:r w:rsidRPr="00B76429">
        <w:rPr>
          <w:sz w:val="20"/>
        </w:rPr>
        <w:t>.</w:t>
      </w:r>
    </w:p>
    <w:p w:rsidR="00975183" w:rsidRPr="00B76429" w:rsidRDefault="00975183" w:rsidP="006A2E06">
      <w:pPr>
        <w:spacing w:after="0" w:line="240" w:lineRule="auto"/>
        <w:rPr>
          <w:sz w:val="20"/>
          <w:lang w:val="en-US"/>
        </w:rPr>
      </w:pPr>
      <w:proofErr w:type="gramStart"/>
      <w:r w:rsidRPr="00B76429">
        <w:rPr>
          <w:sz w:val="20"/>
          <w:lang w:val="en-US"/>
        </w:rPr>
        <w:t xml:space="preserve">‘Confirming the souls of the disciples, </w:t>
      </w:r>
      <w:r w:rsidRPr="00B76429">
        <w:rPr>
          <w:i/>
          <w:iCs/>
          <w:sz w:val="20"/>
          <w:lang w:val="en-US"/>
        </w:rPr>
        <w:t>and</w:t>
      </w:r>
      <w:r w:rsidRPr="00B76429">
        <w:rPr>
          <w:sz w:val="20"/>
          <w:lang w:val="en-US"/>
        </w:rPr>
        <w:t xml:space="preserve"> exhorting them to continue in the faith, and that we must through much tribulation enter into the kingdom of God.’</w:t>
      </w:r>
      <w:proofErr w:type="gramEnd"/>
      <w:r w:rsidRPr="00B76429">
        <w:rPr>
          <w:sz w:val="20"/>
          <w:lang w:val="en-US"/>
        </w:rPr>
        <w:t xml:space="preserve">  </w:t>
      </w:r>
      <w:r w:rsidRPr="00B76429">
        <w:rPr>
          <w:sz w:val="20"/>
        </w:rPr>
        <w:t xml:space="preserve">Acts 14:22, </w:t>
      </w:r>
      <w:r w:rsidRPr="00B76429">
        <w:rPr>
          <w:i/>
          <w:sz w:val="20"/>
        </w:rPr>
        <w:t>KJV</w:t>
      </w:r>
      <w:r w:rsidRPr="00B76429">
        <w:rPr>
          <w:sz w:val="20"/>
        </w:rPr>
        <w:t>.</w:t>
      </w:r>
    </w:p>
    <w:p w:rsidR="00975183" w:rsidRPr="00B76429" w:rsidRDefault="00975183" w:rsidP="006A2E06">
      <w:pPr>
        <w:spacing w:after="0" w:line="240" w:lineRule="auto"/>
        <w:rPr>
          <w:sz w:val="20"/>
          <w:lang w:val="en-US"/>
        </w:rPr>
      </w:pPr>
      <w:r w:rsidRPr="00B76429">
        <w:rPr>
          <w:sz w:val="20"/>
          <w:lang w:val="en-US"/>
        </w:rPr>
        <w:t xml:space="preserve">‘Tribulation and anguish, upon every soul of man that doeth evil, of the Jew first, and also of the Gentile;’ Rom. 2:9, </w:t>
      </w:r>
      <w:r w:rsidRPr="00B76429">
        <w:rPr>
          <w:i/>
          <w:sz w:val="20"/>
          <w:lang w:val="en-US"/>
        </w:rPr>
        <w:t>KJV</w:t>
      </w:r>
      <w:r w:rsidRPr="00B76429">
        <w:rPr>
          <w:sz w:val="20"/>
          <w:lang w:val="en-US"/>
        </w:rPr>
        <w:t xml:space="preserve">.  </w:t>
      </w:r>
    </w:p>
    <w:p w:rsidR="00975183" w:rsidRPr="00B76429" w:rsidRDefault="00975183" w:rsidP="006A2E06">
      <w:pPr>
        <w:spacing w:after="0" w:line="240" w:lineRule="auto"/>
        <w:rPr>
          <w:sz w:val="20"/>
          <w:lang w:val="en-US"/>
        </w:rPr>
      </w:pPr>
      <w:r w:rsidRPr="00B76429">
        <w:rPr>
          <w:sz w:val="20"/>
          <w:lang w:val="en-US"/>
        </w:rPr>
        <w:t xml:space="preserve">‘And not only </w:t>
      </w:r>
      <w:r w:rsidRPr="00B76429">
        <w:rPr>
          <w:i/>
          <w:iCs/>
          <w:sz w:val="20"/>
          <w:lang w:val="en-US"/>
        </w:rPr>
        <w:t>so,</w:t>
      </w:r>
      <w:r w:rsidRPr="00B76429">
        <w:rPr>
          <w:sz w:val="20"/>
          <w:lang w:val="en-US"/>
        </w:rPr>
        <w:t xml:space="preserve"> but we glory in tribulations also: knowing that tribulation worketh patience.’ </w:t>
      </w:r>
    </w:p>
    <w:p w:rsidR="00975183" w:rsidRPr="00B76429" w:rsidRDefault="00975183" w:rsidP="006A2E06">
      <w:pPr>
        <w:spacing w:after="0" w:line="240" w:lineRule="auto"/>
        <w:rPr>
          <w:sz w:val="20"/>
          <w:lang w:val="en-US"/>
        </w:rPr>
      </w:pPr>
      <w:proofErr w:type="gramStart"/>
      <w:r w:rsidRPr="00B76429">
        <w:rPr>
          <w:sz w:val="20"/>
          <w:lang w:val="en-US"/>
        </w:rPr>
        <w:t xml:space="preserve">Rom. 5:3, </w:t>
      </w:r>
      <w:r w:rsidRPr="00B76429">
        <w:rPr>
          <w:i/>
          <w:sz w:val="20"/>
          <w:lang w:val="en-US"/>
        </w:rPr>
        <w:t>KJV</w:t>
      </w:r>
      <w:r w:rsidRPr="00B76429">
        <w:rPr>
          <w:sz w:val="20"/>
          <w:lang w:val="en-US"/>
        </w:rPr>
        <w:t>.</w:t>
      </w:r>
      <w:proofErr w:type="gramEnd"/>
    </w:p>
    <w:p w:rsidR="00975183" w:rsidRPr="00B76429" w:rsidRDefault="00975183" w:rsidP="006A2E06">
      <w:pPr>
        <w:spacing w:after="0" w:line="240" w:lineRule="auto"/>
        <w:rPr>
          <w:sz w:val="20"/>
          <w:lang w:val="en-US"/>
        </w:rPr>
      </w:pPr>
      <w:r w:rsidRPr="00B76429">
        <w:rPr>
          <w:sz w:val="20"/>
          <w:lang w:val="en-US"/>
        </w:rPr>
        <w:t xml:space="preserve">‘Who shall separate us from the love of Christ? </w:t>
      </w:r>
      <w:proofErr w:type="gramStart"/>
      <w:r w:rsidRPr="00B76429">
        <w:rPr>
          <w:i/>
          <w:iCs/>
          <w:sz w:val="20"/>
          <w:lang w:val="en-US"/>
        </w:rPr>
        <w:t>shall</w:t>
      </w:r>
      <w:proofErr w:type="gramEnd"/>
      <w:r w:rsidRPr="00B76429">
        <w:rPr>
          <w:sz w:val="20"/>
          <w:lang w:val="en-US"/>
        </w:rPr>
        <w:t xml:space="preserve"> tribulation, or distress, or persecution, or famine, or nakedness, or peril, or sword?’  Rom. 8:35,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‘Rejoicing in hope; patient in tribulation; continuing instant in prayer.’ Rom. 12:12,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‘Who comforteth us in all our tribulation, that we may be able to comfort them which are in any trouble, by the comfort wherewith we ourselves are comforted of God.’  2 Cor. 1:4,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‘Great </w:t>
      </w:r>
      <w:r w:rsidRPr="00B76429">
        <w:rPr>
          <w:i/>
          <w:iCs/>
          <w:sz w:val="20"/>
          <w:lang w:val="en-US"/>
        </w:rPr>
        <w:t>is</w:t>
      </w:r>
      <w:r w:rsidRPr="00B76429">
        <w:rPr>
          <w:sz w:val="20"/>
          <w:lang w:val="en-US"/>
        </w:rPr>
        <w:t xml:space="preserve"> my boldness of speech toward you, great </w:t>
      </w:r>
      <w:r w:rsidRPr="00B76429">
        <w:rPr>
          <w:i/>
          <w:iCs/>
          <w:sz w:val="20"/>
          <w:lang w:val="en-US"/>
        </w:rPr>
        <w:t>is</w:t>
      </w:r>
      <w:r w:rsidRPr="00B76429">
        <w:rPr>
          <w:sz w:val="20"/>
          <w:lang w:val="en-US"/>
        </w:rPr>
        <w:t xml:space="preserve"> my glorying of you: I am filled with comfort, I am exceeding joyful in all our tribulation.’ 2 Cor. 7:4,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‘For verily, when we were with you, we told you before that we should suffer tribulation; even as it came to pass, and ye know.’ 1 Thess. 3:4, </w:t>
      </w:r>
      <w:r w:rsidRPr="00B76429">
        <w:rPr>
          <w:i/>
          <w:sz w:val="20"/>
          <w:lang w:val="en-US"/>
        </w:rPr>
        <w:t>KJV</w:t>
      </w:r>
      <w:r w:rsidRPr="00B76429">
        <w:rPr>
          <w:sz w:val="20"/>
          <w:lang w:val="en-US"/>
        </w:rPr>
        <w:t xml:space="preserve">.  </w:t>
      </w:r>
    </w:p>
    <w:p w:rsidR="00975183" w:rsidRPr="00B76429" w:rsidRDefault="00975183" w:rsidP="006A2E06">
      <w:pPr>
        <w:spacing w:after="0" w:line="240" w:lineRule="auto"/>
        <w:rPr>
          <w:sz w:val="20"/>
          <w:lang w:val="en-US"/>
        </w:rPr>
      </w:pPr>
      <w:proofErr w:type="gramStart"/>
      <w:r w:rsidRPr="00B76429">
        <w:rPr>
          <w:sz w:val="20"/>
          <w:lang w:val="en-US"/>
        </w:rPr>
        <w:t xml:space="preserve">‘Seeing </w:t>
      </w:r>
      <w:r w:rsidRPr="00B76429">
        <w:rPr>
          <w:i/>
          <w:iCs/>
          <w:sz w:val="20"/>
          <w:lang w:val="en-US"/>
        </w:rPr>
        <w:t>it is</w:t>
      </w:r>
      <w:r w:rsidRPr="00B76429">
        <w:rPr>
          <w:sz w:val="20"/>
          <w:lang w:val="en-US"/>
        </w:rPr>
        <w:t xml:space="preserve"> a righteous thing with God to recompense tribulation to them that trouble you.’</w:t>
      </w:r>
      <w:proofErr w:type="gramEnd"/>
      <w:r w:rsidRPr="00B76429">
        <w:rPr>
          <w:sz w:val="20"/>
          <w:lang w:val="en-US"/>
        </w:rPr>
        <w:t xml:space="preserve"> </w:t>
      </w:r>
    </w:p>
    <w:p w:rsidR="00975183" w:rsidRPr="00B76429" w:rsidRDefault="00975183" w:rsidP="006A2E06">
      <w:pPr>
        <w:spacing w:after="0" w:line="240" w:lineRule="auto"/>
        <w:rPr>
          <w:sz w:val="20"/>
          <w:lang w:val="en-US"/>
        </w:rPr>
      </w:pPr>
      <w:r w:rsidRPr="00B76429">
        <w:rPr>
          <w:sz w:val="20"/>
          <w:lang w:val="en-US"/>
        </w:rPr>
        <w:t xml:space="preserve">2 Thess. 1:6, </w:t>
      </w:r>
      <w:r w:rsidRPr="00B76429">
        <w:rPr>
          <w:i/>
          <w:sz w:val="20"/>
          <w:lang w:val="en-US"/>
        </w:rPr>
        <w:t>KJV</w:t>
      </w:r>
      <w:r w:rsidRPr="00B76429">
        <w:rPr>
          <w:sz w:val="20"/>
          <w:lang w:val="en-US"/>
        </w:rPr>
        <w:t xml:space="preserve">. </w:t>
      </w:r>
    </w:p>
    <w:p w:rsidR="00975183" w:rsidRPr="00B76429" w:rsidRDefault="00975183" w:rsidP="006A2E06">
      <w:pPr>
        <w:spacing w:after="0" w:line="240" w:lineRule="auto"/>
        <w:rPr>
          <w:sz w:val="20"/>
          <w:lang w:val="en-US"/>
        </w:rPr>
      </w:pPr>
      <w:r w:rsidRPr="00B76429">
        <w:rPr>
          <w:sz w:val="20"/>
          <w:lang w:val="en-US"/>
        </w:rPr>
        <w:t xml:space="preserve">‘I John, who also am your brother, and companion in tribulation, and in the kingdom and patience of Jesus Christ, was in the isle that is called Patmos, for the word of God, and for the testimony of Jesus Christ.’ Rev. 1:9,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‘I know thy works, and tribulation, and poverty, (but thou art rich) and </w:t>
      </w:r>
      <w:r w:rsidRPr="00B76429">
        <w:rPr>
          <w:i/>
          <w:iCs/>
          <w:sz w:val="20"/>
          <w:lang w:val="en-US"/>
        </w:rPr>
        <w:t>I know</w:t>
      </w:r>
      <w:r w:rsidRPr="00B76429">
        <w:rPr>
          <w:sz w:val="20"/>
          <w:lang w:val="en-US"/>
        </w:rPr>
        <w:t xml:space="preserve"> the blasphemy of them which say they are Jews, and are not, but </w:t>
      </w:r>
      <w:r w:rsidRPr="00B76429">
        <w:rPr>
          <w:i/>
          <w:iCs/>
          <w:sz w:val="20"/>
          <w:lang w:val="en-US"/>
        </w:rPr>
        <w:t>are</w:t>
      </w:r>
      <w:r w:rsidRPr="00B76429">
        <w:rPr>
          <w:sz w:val="20"/>
          <w:lang w:val="en-US"/>
        </w:rPr>
        <w:t xml:space="preserve"> the synagogue of Satan.’ Rev. 2:9,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‘Fear none of those things which thou shalt suffer: behold, the devil shall cast </w:t>
      </w:r>
      <w:r w:rsidRPr="00B76429">
        <w:rPr>
          <w:i/>
          <w:iCs/>
          <w:sz w:val="20"/>
          <w:lang w:val="en-US"/>
        </w:rPr>
        <w:t>some</w:t>
      </w:r>
      <w:r w:rsidRPr="00B76429">
        <w:rPr>
          <w:sz w:val="20"/>
          <w:lang w:val="en-US"/>
        </w:rPr>
        <w:t xml:space="preserve"> of you into prison, that ye may be tried; and ye shall have tribulation ten days: be thou faithful unto death, and I will give thee a crown of life.’ Rev. 2:10, </w:t>
      </w:r>
      <w:r w:rsidRPr="00B76429">
        <w:rPr>
          <w:i/>
          <w:sz w:val="20"/>
          <w:lang w:val="en-US"/>
        </w:rPr>
        <w:t>KJV</w:t>
      </w:r>
      <w:r w:rsidRPr="00B76429">
        <w:rPr>
          <w:sz w:val="20"/>
          <w:lang w:val="en-US"/>
        </w:rPr>
        <w:t>.</w:t>
      </w:r>
    </w:p>
    <w:p w:rsidR="00975183" w:rsidRPr="00B76429" w:rsidRDefault="00975183" w:rsidP="006A2E06">
      <w:pPr>
        <w:spacing w:after="0" w:line="240" w:lineRule="auto"/>
        <w:rPr>
          <w:sz w:val="20"/>
          <w:lang w:val="en-US"/>
        </w:rPr>
      </w:pPr>
      <w:r w:rsidRPr="00B76429">
        <w:rPr>
          <w:sz w:val="20"/>
          <w:lang w:val="en-US"/>
        </w:rPr>
        <w:t xml:space="preserve">‘Behold, I will cast her into a bed, and them that commit adultery with her into great tribulation, except they repent of their deeds.’ Rev. 2:22, </w:t>
      </w:r>
      <w:r w:rsidRPr="00B76429">
        <w:rPr>
          <w:i/>
          <w:sz w:val="20"/>
          <w:lang w:val="en-US"/>
        </w:rPr>
        <w:t>KJV</w:t>
      </w:r>
      <w:r w:rsidRPr="00B76429">
        <w:rPr>
          <w:sz w:val="20"/>
          <w:lang w:val="en-US"/>
        </w:rPr>
        <w:t>.</w:t>
      </w:r>
    </w:p>
    <w:p w:rsidR="00975183" w:rsidRDefault="00975183" w:rsidP="006A2E06">
      <w:pPr>
        <w:pStyle w:val="EndnoteText"/>
      </w:pPr>
      <w:r w:rsidRPr="00A915D8">
        <w:rPr>
          <w:lang w:val="en-US"/>
        </w:rPr>
        <w:t xml:space="preserve">‘And I said unto him, Sir, thou knowest. And he said to me, </w:t>
      </w:r>
      <w:proofErr w:type="gramStart"/>
      <w:r w:rsidRPr="00A915D8">
        <w:rPr>
          <w:lang w:val="en-US"/>
        </w:rPr>
        <w:t>These</w:t>
      </w:r>
      <w:proofErr w:type="gramEnd"/>
      <w:r w:rsidRPr="00A915D8">
        <w:rPr>
          <w:lang w:val="en-US"/>
        </w:rPr>
        <w:t xml:space="preserve"> are they which came out of great tribulation, and have washed their robes, and made them white in the blood of the Lamb.’ Rev. 7:14, </w:t>
      </w:r>
      <w:r w:rsidRPr="00A915D8">
        <w:rPr>
          <w:i/>
          <w:lang w:val="en-US"/>
        </w:rPr>
        <w:t>KJV</w:t>
      </w:r>
      <w:r>
        <w:rPr>
          <w:i/>
          <w:lang w:val="en-US"/>
        </w:rPr>
        <w:t>.</w:t>
      </w:r>
    </w:p>
  </w:endnote>
  <w:endnote w:id="1852">
    <w:p w:rsidR="00975183" w:rsidRDefault="00975183" w:rsidP="006A2E06">
      <w:pPr>
        <w:pStyle w:val="FootnoteText"/>
      </w:pPr>
      <w:r w:rsidRPr="00A915D8">
        <w:rPr>
          <w:rStyle w:val="FootnoteReference"/>
          <w:rFonts w:ascii="Perpetua" w:hAnsi="Perpetua"/>
        </w:rPr>
        <w:endnoteRef/>
      </w:r>
      <w:r w:rsidRPr="00A915D8">
        <w:rPr>
          <w:rFonts w:ascii="Perpetua" w:hAnsi="Perpetua"/>
        </w:rPr>
        <w:t xml:space="preserve"> </w:t>
      </w:r>
      <w:r w:rsidRPr="00A915D8">
        <w:rPr>
          <w:rFonts w:ascii="Perpetua" w:hAnsi="Perpetua"/>
          <w:lang w:val="en-US"/>
        </w:rPr>
        <w:t xml:space="preserve">‘I John, who also am your brother, and companion in tribulation, and in the kingdom and patience of Jesus Christ, was in the isle that is called Patmos, for the word of God, and for the testimony of Jesus Christ.’  </w:t>
      </w:r>
      <w:r w:rsidRPr="00A915D8">
        <w:rPr>
          <w:rFonts w:ascii="Perpetua" w:hAnsi="Perpetua"/>
        </w:rPr>
        <w:t xml:space="preserve">Rev. 1:9, </w:t>
      </w:r>
      <w:r w:rsidRPr="00A915D8">
        <w:rPr>
          <w:rFonts w:ascii="Perpetua" w:hAnsi="Perpetua"/>
          <w:i/>
        </w:rPr>
        <w:t>KJV</w:t>
      </w:r>
      <w:r w:rsidRPr="00A915D8">
        <w:rPr>
          <w:rFonts w:ascii="Perpetua" w:hAnsi="Perpetua"/>
        </w:rPr>
        <w:t>.</w:t>
      </w:r>
    </w:p>
  </w:endnote>
  <w:endnote w:id="1853">
    <w:p w:rsidR="00975183" w:rsidRPr="00A72278" w:rsidRDefault="00975183" w:rsidP="006A2E06">
      <w:pPr>
        <w:pStyle w:val="EndnoteText"/>
      </w:pPr>
      <w:r w:rsidRPr="00A72278">
        <w:rPr>
          <w:rStyle w:val="EndnoteReference"/>
        </w:rPr>
        <w:endnoteRef/>
      </w:r>
      <w:r w:rsidRPr="00A72278">
        <w:t xml:space="preserve"> Mt. 13:21; Jn </w:t>
      </w:r>
      <w:r>
        <w:t>16:33; Acts 14:22; 1 Thess. 3:4.</w:t>
      </w:r>
      <w:r w:rsidRPr="00A72278">
        <w:t xml:space="preserve"> </w:t>
      </w:r>
    </w:p>
  </w:endnote>
  <w:endnote w:id="1854">
    <w:p w:rsidR="00975183" w:rsidRPr="00A72278" w:rsidRDefault="00975183" w:rsidP="006A2E06">
      <w:pPr>
        <w:pStyle w:val="EndnoteText"/>
      </w:pPr>
      <w:r w:rsidRPr="00A72278">
        <w:rPr>
          <w:rStyle w:val="EndnoteReference"/>
        </w:rPr>
        <w:endnoteRef/>
      </w:r>
      <w:r w:rsidRPr="00A72278">
        <w:t xml:space="preserve"> Rom. 2:9; 5:3; 8:35; 12:12; 2 Cor. 1:4; 2 Cor. 7:4; 2 Thess. 1:6.</w:t>
      </w:r>
    </w:p>
  </w:endnote>
  <w:endnote w:id="1855">
    <w:p w:rsidR="00975183" w:rsidRPr="00A72278" w:rsidRDefault="00975183" w:rsidP="006A2E06">
      <w:pPr>
        <w:pStyle w:val="EndnoteText"/>
      </w:pPr>
      <w:r w:rsidRPr="00A72278">
        <w:rPr>
          <w:rStyle w:val="EndnoteReference"/>
        </w:rPr>
        <w:endnoteRef/>
      </w:r>
      <w:r w:rsidRPr="00A72278">
        <w:t xml:space="preserve"> Rev. 1:9; 2:9, 10, 22.</w:t>
      </w:r>
    </w:p>
  </w:endnote>
  <w:endnote w:id="1856">
    <w:p w:rsidR="00975183" w:rsidRDefault="00975183" w:rsidP="006A2E06">
      <w:pPr>
        <w:pStyle w:val="EndnoteText"/>
      </w:pPr>
      <w:r w:rsidRPr="00A915D8">
        <w:rPr>
          <w:rStyle w:val="FootnoteReference"/>
        </w:rPr>
        <w:endnoteRef/>
      </w:r>
      <w:r w:rsidRPr="00A915D8">
        <w:t xml:space="preserve"> </w:t>
      </w:r>
      <w:proofErr w:type="gramStart"/>
      <w:r>
        <w:t>(</w:t>
      </w:r>
      <w:r w:rsidRPr="00A915D8">
        <w:rPr>
          <w:i/>
        </w:rPr>
        <w:t>My emphasis</w:t>
      </w:r>
      <w:r w:rsidRPr="00A915D8">
        <w:t>.</w:t>
      </w:r>
      <w:r>
        <w:t>)</w:t>
      </w:r>
      <w:proofErr w:type="gramEnd"/>
    </w:p>
  </w:endnote>
  <w:endnote w:id="1857">
    <w:p w:rsidR="00975183" w:rsidRPr="00230584" w:rsidRDefault="00975183" w:rsidP="006A2E06">
      <w:pPr>
        <w:pStyle w:val="EndnoteText"/>
      </w:pPr>
      <w:r w:rsidRPr="00230584">
        <w:rPr>
          <w:rStyle w:val="EndnoteReference"/>
        </w:rPr>
        <w:endnoteRef/>
      </w:r>
      <w:r w:rsidRPr="00230584">
        <w:t xml:space="preserve"> </w:t>
      </w:r>
      <w:r>
        <w:t>‘… And he said to me, “</w:t>
      </w:r>
      <w:proofErr w:type="gramStart"/>
      <w:r>
        <w:t>These</w:t>
      </w:r>
      <w:proofErr w:type="gramEnd"/>
      <w:r>
        <w:t xml:space="preserve"> are they which came out of great tribulation, and have washed their robes, and made them white in the blood of the Lamb.’  Rev. 7:14, </w:t>
      </w:r>
      <w:r w:rsidRPr="00230584">
        <w:rPr>
          <w:i/>
        </w:rPr>
        <w:t>KJV</w:t>
      </w:r>
      <w:r>
        <w:t>.</w:t>
      </w:r>
    </w:p>
  </w:endnote>
  <w:endnote w:id="1858">
    <w:p w:rsidR="00975183" w:rsidRDefault="00975183" w:rsidP="006A2E06">
      <w:pPr>
        <w:pStyle w:val="EndnoteText"/>
      </w:pPr>
      <w:r w:rsidRPr="00A915D8">
        <w:rPr>
          <w:rStyle w:val="FootnoteReference"/>
        </w:rPr>
        <w:endnoteRef/>
      </w:r>
      <w:r w:rsidRPr="00A915D8">
        <w:t xml:space="preserve"> </w:t>
      </w:r>
      <w:r w:rsidRPr="00A915D8">
        <w:rPr>
          <w:color w:val="000000"/>
        </w:rPr>
        <w:t>Tyndale’s New Testament (1534): ‘</w:t>
      </w:r>
      <w:r w:rsidRPr="00A915D8">
        <w:rPr>
          <w:lang w:val="en-US" w:bidi="he-IL"/>
        </w:rPr>
        <w:t>these are they which cam oute of gret tribulacion’</w:t>
      </w:r>
      <w:r w:rsidRPr="00A915D8">
        <w:rPr>
          <w:color w:val="000000"/>
        </w:rPr>
        <w:t>, Luther’s translation (1545): ‘</w:t>
      </w:r>
      <w:r w:rsidRPr="00A915D8">
        <w:rPr>
          <w:lang w:val="en-US" w:bidi="he-IL"/>
        </w:rPr>
        <w:t xml:space="preserve">Diese </w:t>
      </w:r>
      <w:proofErr w:type="gramStart"/>
      <w:r w:rsidRPr="00A915D8">
        <w:rPr>
          <w:lang w:val="en-US" w:bidi="he-IL"/>
        </w:rPr>
        <w:t>sind's</w:t>
      </w:r>
      <w:proofErr w:type="gramEnd"/>
      <w:r w:rsidRPr="00A915D8">
        <w:rPr>
          <w:lang w:val="en-US" w:bidi="he-IL"/>
        </w:rPr>
        <w:t>, die kommen sind aus großer Trübsal’</w:t>
      </w:r>
      <w:r w:rsidRPr="00A915D8">
        <w:rPr>
          <w:color w:val="000000"/>
        </w:rPr>
        <w:t>, the Geneva Bible (1599): ‘T</w:t>
      </w:r>
      <w:r w:rsidRPr="00A915D8">
        <w:rPr>
          <w:lang w:val="en-US" w:bidi="he-IL"/>
        </w:rPr>
        <w:t>hese are they, which came out of great tribulation’</w:t>
      </w:r>
      <w:r w:rsidRPr="00A915D8">
        <w:rPr>
          <w:color w:val="000000"/>
        </w:rPr>
        <w:t>, and the Revised Lutheran Bible (1912): ‘</w:t>
      </w:r>
      <w:r w:rsidRPr="00A915D8">
        <w:rPr>
          <w:lang w:val="en-US" w:bidi="he-IL"/>
        </w:rPr>
        <w:t>Diese sind's, die gekommen sind aus großer Trübsal’</w:t>
      </w:r>
      <w:r w:rsidRPr="00A915D8">
        <w:rPr>
          <w:color w:val="000000"/>
        </w:rPr>
        <w:t>.</w:t>
      </w:r>
    </w:p>
  </w:endnote>
  <w:endnote w:id="1859">
    <w:p w:rsidR="00975183" w:rsidRDefault="00975183" w:rsidP="006A2E06">
      <w:pPr>
        <w:pStyle w:val="EndnoteText"/>
      </w:pPr>
      <w:r w:rsidRPr="00A915D8">
        <w:rPr>
          <w:rStyle w:val="FootnoteReference"/>
        </w:rPr>
        <w:endnoteRef/>
      </w:r>
      <w:r w:rsidRPr="00A915D8">
        <w:t xml:space="preserve"> </w:t>
      </w:r>
      <w:r w:rsidRPr="00A915D8">
        <w:rPr>
          <w:lang w:val="en-US"/>
        </w:rPr>
        <w:t xml:space="preserve">The definite article also appears in the Greek text of three other verses where it does not appear in </w:t>
      </w:r>
      <w:r w:rsidRPr="00A915D8">
        <w:rPr>
          <w:i/>
          <w:lang w:val="en-US"/>
        </w:rPr>
        <w:t>KJV</w:t>
      </w:r>
      <w:r w:rsidRPr="00A915D8">
        <w:rPr>
          <w:lang w:val="en-US"/>
        </w:rPr>
        <w:t>: Rom. 5:3, Rom. 12:12 and Rev. 1:9.</w:t>
      </w:r>
    </w:p>
  </w:endnote>
  <w:endnote w:id="1860">
    <w:p w:rsidR="00975183" w:rsidRDefault="00975183" w:rsidP="006A2E06">
      <w:pPr>
        <w:pStyle w:val="EndnoteText"/>
      </w:pPr>
      <w:r w:rsidRPr="00A915D8">
        <w:rPr>
          <w:rStyle w:val="FootnoteReference"/>
        </w:rPr>
        <w:endnoteRef/>
      </w:r>
      <w:r w:rsidRPr="00A915D8">
        <w:t xml:space="preserve"> </w:t>
      </w:r>
      <w:r w:rsidRPr="00A915D8">
        <w:rPr>
          <w:i/>
        </w:rPr>
        <w:t>Darby’s translation</w:t>
      </w:r>
      <w:r w:rsidRPr="00A915D8">
        <w:t xml:space="preserve"> (1884/1890): ‘</w:t>
      </w:r>
      <w:r w:rsidRPr="00A915D8">
        <w:rPr>
          <w:lang w:val="en-US" w:bidi="he-IL"/>
        </w:rPr>
        <w:t xml:space="preserve">These are they who come out of the great tribulation’; </w:t>
      </w:r>
      <w:r w:rsidRPr="00A915D8">
        <w:rPr>
          <w:i/>
          <w:lang w:val="en-US" w:bidi="he-IL"/>
        </w:rPr>
        <w:t>Young’s Literal Translation</w:t>
      </w:r>
      <w:r w:rsidRPr="00A915D8">
        <w:rPr>
          <w:lang w:val="en-US" w:bidi="he-IL"/>
        </w:rPr>
        <w:t xml:space="preserve"> (1862.1898): ‘These are those who are coming out of the great tribulation</w:t>
      </w:r>
      <w:r>
        <w:rPr>
          <w:lang w:val="en-US" w:bidi="he-IL"/>
        </w:rPr>
        <w:t>.</w:t>
      </w:r>
      <w:r w:rsidRPr="00A915D8">
        <w:rPr>
          <w:lang w:val="en-US" w:bidi="he-IL"/>
        </w:rPr>
        <w:t>’</w:t>
      </w:r>
    </w:p>
  </w:endnote>
  <w:endnote w:id="1861">
    <w:p w:rsidR="00975183" w:rsidRDefault="00975183" w:rsidP="006A2E06">
      <w:pPr>
        <w:pStyle w:val="EndnoteText"/>
      </w:pPr>
      <w:r w:rsidRPr="00A915D8">
        <w:rPr>
          <w:rStyle w:val="FootnoteReference"/>
        </w:rPr>
        <w:endnoteRef/>
      </w:r>
      <w:r w:rsidRPr="00A915D8">
        <w:t xml:space="preserve"> </w:t>
      </w:r>
      <w:proofErr w:type="gramStart"/>
      <w:r w:rsidRPr="00A915D8">
        <w:t xml:space="preserve">For example, </w:t>
      </w:r>
      <w:r w:rsidRPr="00A915D8">
        <w:rPr>
          <w:i/>
        </w:rPr>
        <w:t>New International Version</w:t>
      </w:r>
      <w:r w:rsidRPr="00A915D8">
        <w:t xml:space="preserve"> (1984); </w:t>
      </w:r>
      <w:r w:rsidRPr="00A915D8">
        <w:rPr>
          <w:i/>
        </w:rPr>
        <w:t>New KJV</w:t>
      </w:r>
      <w:r w:rsidRPr="00A915D8">
        <w:t xml:space="preserve"> (1982); </w:t>
      </w:r>
      <w:r w:rsidRPr="00A915D8">
        <w:rPr>
          <w:i/>
        </w:rPr>
        <w:t>English Standard Version</w:t>
      </w:r>
      <w:r w:rsidRPr="00A915D8">
        <w:t xml:space="preserve"> (2001) and the </w:t>
      </w:r>
      <w:r w:rsidRPr="00A915D8">
        <w:rPr>
          <w:i/>
        </w:rPr>
        <w:t>New American Standard Version</w:t>
      </w:r>
      <w:r w:rsidRPr="00A915D8">
        <w:t xml:space="preserve"> (1995).</w:t>
      </w:r>
      <w:proofErr w:type="gramEnd"/>
    </w:p>
  </w:endnote>
  <w:endnote w:id="1862">
    <w:p w:rsidR="00975183" w:rsidRDefault="00975183" w:rsidP="006A2E06">
      <w:pPr>
        <w:pStyle w:val="EndnoteText"/>
      </w:pPr>
      <w:r w:rsidRPr="00A915D8">
        <w:rPr>
          <w:rStyle w:val="FootnoteReference"/>
        </w:rPr>
        <w:endnoteRef/>
      </w:r>
      <w:r w:rsidRPr="00A915D8">
        <w:t xml:space="preserve"> </w:t>
      </w:r>
      <w:r w:rsidRPr="00A915D8">
        <w:rPr>
          <w:i/>
        </w:rPr>
        <w:t xml:space="preserve">NRSV </w:t>
      </w:r>
      <w:r w:rsidRPr="00A915D8">
        <w:t>(1989): ‘</w:t>
      </w:r>
      <w:r w:rsidRPr="00A915D8">
        <w:rPr>
          <w:lang w:val="en-US" w:bidi="he-IL"/>
        </w:rPr>
        <w:t>the great ordeal</w:t>
      </w:r>
      <w:r w:rsidRPr="00A915D8">
        <w:t xml:space="preserve">’; </w:t>
      </w:r>
      <w:r w:rsidRPr="00A915D8">
        <w:rPr>
          <w:i/>
        </w:rPr>
        <w:t>New Jerusalem Bible</w:t>
      </w:r>
      <w:r w:rsidRPr="00A915D8">
        <w:t xml:space="preserve"> (1985): ‘the great trial’; </w:t>
      </w:r>
      <w:r w:rsidRPr="00A915D8">
        <w:rPr>
          <w:i/>
        </w:rPr>
        <w:t>the Complete Jewish Bible</w:t>
      </w:r>
      <w:r w:rsidRPr="00A915D8">
        <w:t xml:space="preserve"> (1998) ‘the Great Persecution’.</w:t>
      </w:r>
    </w:p>
  </w:endnote>
  <w:endnote w:id="1863">
    <w:p w:rsidR="00975183" w:rsidRDefault="00975183" w:rsidP="006A2E06">
      <w:pPr>
        <w:pStyle w:val="EndnoteText"/>
      </w:pPr>
      <w:r w:rsidRPr="00B321B3">
        <w:rPr>
          <w:rStyle w:val="EndnoteReference"/>
        </w:rPr>
        <w:endnoteRef/>
      </w:r>
      <w:r w:rsidRPr="00B321B3">
        <w:t xml:space="preserve"> </w:t>
      </w:r>
      <w:r>
        <w:t>‘</w:t>
      </w:r>
      <w:r w:rsidRPr="00B321B3">
        <w:rPr>
          <w:rFonts w:ascii="Times New Roman" w:hAnsi="Times New Roman"/>
          <w:szCs w:val="22"/>
          <w:lang w:val="el-GR" w:bidi="he-IL"/>
        </w:rPr>
        <w:t>Οὐ</w:t>
      </w:r>
      <w:r w:rsidRPr="00B321B3">
        <w:rPr>
          <w:rFonts w:ascii="Bwgrkl" w:hAnsi="Bwgrkl" w:cs="SBL Greek"/>
          <w:szCs w:val="22"/>
          <w:lang w:val="el-GR" w:bidi="he-IL"/>
        </w:rPr>
        <w:t xml:space="preserve"> </w:t>
      </w:r>
      <w:r w:rsidRPr="00B321B3">
        <w:rPr>
          <w:rFonts w:ascii="Times New Roman" w:hAnsi="Times New Roman"/>
          <w:szCs w:val="22"/>
          <w:lang w:val="el-GR" w:bidi="he-IL"/>
        </w:rPr>
        <w:t>μόνον</w:t>
      </w:r>
      <w:r w:rsidRPr="00B321B3">
        <w:rPr>
          <w:rFonts w:ascii="Bwgrkl" w:hAnsi="Bwgrkl" w:cs="SBL Greek"/>
          <w:szCs w:val="22"/>
          <w:lang w:val="el-GR" w:bidi="he-IL"/>
        </w:rPr>
        <w:t xml:space="preserve"> </w:t>
      </w:r>
      <w:r w:rsidRPr="00B321B3">
        <w:rPr>
          <w:rFonts w:ascii="Times New Roman" w:hAnsi="Times New Roman"/>
          <w:szCs w:val="22"/>
          <w:lang w:val="el-GR" w:bidi="he-IL"/>
        </w:rPr>
        <w:t>δέ</w:t>
      </w:r>
      <w:r w:rsidRPr="00B321B3">
        <w:rPr>
          <w:rFonts w:ascii="Bwgrkl" w:hAnsi="Bwgrkl" w:cs="SBL Greek"/>
          <w:szCs w:val="22"/>
          <w:lang w:val="el-GR" w:bidi="he-IL"/>
        </w:rPr>
        <w:t xml:space="preserve">, </w:t>
      </w:r>
      <w:r w:rsidRPr="00B321B3">
        <w:rPr>
          <w:rFonts w:ascii="Times New Roman" w:hAnsi="Times New Roman"/>
          <w:szCs w:val="22"/>
          <w:lang w:val="el-GR" w:bidi="he-IL"/>
        </w:rPr>
        <w:t>ἀλλὰ</w:t>
      </w:r>
      <w:r w:rsidRPr="00B321B3">
        <w:rPr>
          <w:rFonts w:ascii="Bwgrkl" w:hAnsi="Bwgrkl" w:cs="SBL Greek"/>
          <w:szCs w:val="22"/>
          <w:lang w:val="el-GR" w:bidi="he-IL"/>
        </w:rPr>
        <w:t xml:space="preserve"> </w:t>
      </w:r>
      <w:r w:rsidRPr="00B321B3">
        <w:rPr>
          <w:rFonts w:ascii="Times New Roman" w:hAnsi="Times New Roman"/>
          <w:szCs w:val="22"/>
          <w:lang w:val="el-GR" w:bidi="he-IL"/>
        </w:rPr>
        <w:t>καὶ</w:t>
      </w:r>
      <w:r w:rsidRPr="00B321B3">
        <w:rPr>
          <w:rFonts w:ascii="Bwgrkl" w:hAnsi="Bwgrkl" w:cs="SBL Greek"/>
          <w:szCs w:val="22"/>
          <w:lang w:val="el-GR" w:bidi="he-IL"/>
        </w:rPr>
        <w:t xml:space="preserve"> </w:t>
      </w:r>
      <w:r w:rsidRPr="00B321B3">
        <w:rPr>
          <w:rFonts w:ascii="Times New Roman" w:hAnsi="Times New Roman"/>
          <w:szCs w:val="22"/>
          <w:lang w:val="el-GR" w:bidi="he-IL"/>
        </w:rPr>
        <w:t>καυχώμεθα</w:t>
      </w:r>
      <w:r w:rsidRPr="00B321B3">
        <w:rPr>
          <w:rFonts w:ascii="Bwgrkl" w:hAnsi="Bwgrkl" w:cs="SBL Greek"/>
          <w:szCs w:val="22"/>
          <w:lang w:val="el-GR" w:bidi="he-IL"/>
        </w:rPr>
        <w:t xml:space="preserve"> </w:t>
      </w:r>
      <w:r w:rsidRPr="00B321B3">
        <w:rPr>
          <w:rFonts w:ascii="Times New Roman" w:hAnsi="Times New Roman"/>
          <w:szCs w:val="22"/>
          <w:lang w:val="el-GR" w:bidi="he-IL"/>
        </w:rPr>
        <w:t>ἐν</w:t>
      </w:r>
      <w:r w:rsidRPr="00B321B3">
        <w:rPr>
          <w:rFonts w:ascii="Bwgrkl" w:hAnsi="Bwgrkl" w:cs="SBL Greek"/>
          <w:szCs w:val="22"/>
          <w:lang w:val="el-GR" w:bidi="he-IL"/>
        </w:rPr>
        <w:t xml:space="preserve"> </w:t>
      </w:r>
      <w:r w:rsidRPr="00B321B3">
        <w:rPr>
          <w:rFonts w:ascii="Times New Roman" w:hAnsi="Times New Roman"/>
          <w:szCs w:val="22"/>
          <w:lang w:val="el-GR" w:bidi="he-IL"/>
        </w:rPr>
        <w:t>ταῖς</w:t>
      </w:r>
      <w:r w:rsidRPr="00B321B3">
        <w:rPr>
          <w:rFonts w:ascii="Bwgrkl" w:hAnsi="Bwgrkl" w:cs="SBL Greek"/>
          <w:szCs w:val="22"/>
          <w:lang w:val="el-GR" w:bidi="he-IL"/>
        </w:rPr>
        <w:t xml:space="preserve"> </w:t>
      </w:r>
      <w:r w:rsidRPr="00B321B3">
        <w:rPr>
          <w:rFonts w:ascii="Times New Roman" w:hAnsi="Times New Roman"/>
          <w:szCs w:val="22"/>
          <w:lang w:val="el-GR" w:bidi="he-IL"/>
        </w:rPr>
        <w:t>θλίψεσιν</w:t>
      </w:r>
      <w:r w:rsidRPr="00B321B3">
        <w:rPr>
          <w:rFonts w:ascii="Bwgrkl" w:hAnsi="Bwgrkl" w:cs="SBL Greek"/>
          <w:szCs w:val="22"/>
          <w:lang w:val="el-GR" w:bidi="he-IL"/>
        </w:rPr>
        <w:t xml:space="preserve">, </w:t>
      </w:r>
      <w:r w:rsidRPr="00B321B3">
        <w:rPr>
          <w:rFonts w:ascii="Times New Roman" w:hAnsi="Times New Roman"/>
          <w:szCs w:val="22"/>
          <w:lang w:val="el-GR" w:bidi="he-IL"/>
        </w:rPr>
        <w:t>εἰδότες</w:t>
      </w:r>
      <w:r w:rsidRPr="00B321B3">
        <w:rPr>
          <w:rFonts w:ascii="Bwgrkl" w:hAnsi="Bwgrkl" w:cs="SBL Greek"/>
          <w:szCs w:val="22"/>
          <w:lang w:val="el-GR" w:bidi="he-IL"/>
        </w:rPr>
        <w:t xml:space="preserve"> </w:t>
      </w:r>
      <w:r w:rsidRPr="00B321B3">
        <w:rPr>
          <w:rFonts w:ascii="Times New Roman" w:hAnsi="Times New Roman"/>
          <w:szCs w:val="22"/>
          <w:lang w:val="el-GR" w:bidi="he-IL"/>
        </w:rPr>
        <w:t>ὅτι</w:t>
      </w:r>
      <w:r w:rsidRPr="00B321B3">
        <w:rPr>
          <w:rFonts w:ascii="Bwgrkl" w:hAnsi="Bwgrkl" w:cs="SBL Greek"/>
          <w:szCs w:val="22"/>
          <w:lang w:val="el-GR" w:bidi="he-IL"/>
        </w:rPr>
        <w:t xml:space="preserve"> </w:t>
      </w:r>
      <w:r w:rsidRPr="00B321B3">
        <w:rPr>
          <w:rFonts w:ascii="Times New Roman" w:hAnsi="Times New Roman"/>
          <w:szCs w:val="22"/>
          <w:lang w:val="el-GR" w:bidi="he-IL"/>
        </w:rPr>
        <w:t>ἡ</w:t>
      </w:r>
      <w:r w:rsidRPr="00B321B3">
        <w:rPr>
          <w:rFonts w:ascii="Bwgrkl" w:hAnsi="Bwgrkl" w:cs="SBL Greek"/>
          <w:szCs w:val="22"/>
          <w:lang w:val="el-GR" w:bidi="he-IL"/>
        </w:rPr>
        <w:t xml:space="preserve"> </w:t>
      </w:r>
      <w:r w:rsidRPr="00B321B3">
        <w:rPr>
          <w:rFonts w:ascii="Times New Roman" w:hAnsi="Times New Roman"/>
          <w:szCs w:val="22"/>
          <w:lang w:val="el-GR" w:bidi="he-IL"/>
        </w:rPr>
        <w:t>θλίψις</w:t>
      </w:r>
      <w:r w:rsidRPr="00B321B3">
        <w:rPr>
          <w:rFonts w:ascii="Bwgrkl" w:hAnsi="Bwgrkl" w:cs="SBL Greek"/>
          <w:szCs w:val="22"/>
          <w:lang w:val="el-GR" w:bidi="he-IL"/>
        </w:rPr>
        <w:t xml:space="preserve"> </w:t>
      </w:r>
      <w:r w:rsidRPr="00B321B3">
        <w:rPr>
          <w:rFonts w:ascii="Times New Roman" w:hAnsi="Times New Roman"/>
          <w:szCs w:val="22"/>
          <w:lang w:val="el-GR" w:bidi="he-IL"/>
        </w:rPr>
        <w:t>ὑπομονὴν</w:t>
      </w:r>
      <w:r w:rsidRPr="00B321B3">
        <w:rPr>
          <w:rFonts w:ascii="Bwgrkl" w:hAnsi="Bwgrkl" w:cs="SBL Greek"/>
          <w:szCs w:val="22"/>
          <w:lang w:val="el-GR" w:bidi="he-IL"/>
        </w:rPr>
        <w:t xml:space="preserve"> </w:t>
      </w:r>
      <w:r w:rsidRPr="00B321B3">
        <w:rPr>
          <w:rFonts w:ascii="Times New Roman" w:hAnsi="Times New Roman"/>
          <w:szCs w:val="22"/>
          <w:lang w:val="el-GR" w:bidi="he-IL"/>
        </w:rPr>
        <w:t>κατεργάζεται</w:t>
      </w:r>
      <w:proofErr w:type="gramStart"/>
      <w:r w:rsidRPr="00B321B3">
        <w:rPr>
          <w:rFonts w:ascii="Bwgrkl" w:hAnsi="Bwgrkl" w:cs="SBL Greek"/>
          <w:szCs w:val="22"/>
          <w:lang w:val="el-GR" w:bidi="he-IL"/>
        </w:rPr>
        <w:t>,</w:t>
      </w:r>
      <w:r>
        <w:rPr>
          <w:rFonts w:ascii="Arial" w:hAnsi="Arial" w:cs="Arial"/>
          <w:lang w:val="en-US" w:bidi="he-IL"/>
        </w:rPr>
        <w:t xml:space="preserve"> </w:t>
      </w:r>
      <w:r>
        <w:t>’</w:t>
      </w:r>
      <w:proofErr w:type="gramEnd"/>
      <w:r>
        <w:t xml:space="preserve"> Rom. 5:3.</w:t>
      </w:r>
    </w:p>
    <w:p w:rsidR="00975183" w:rsidRDefault="00975183" w:rsidP="006A2E06">
      <w:pPr>
        <w:pStyle w:val="EndnoteText"/>
        <w:rPr>
          <w:rFonts w:ascii="Arial" w:hAnsi="Arial" w:cs="Arial"/>
          <w:lang w:val="en-US" w:bidi="he-IL"/>
        </w:rPr>
      </w:pPr>
      <w:r w:rsidRPr="00B321B3">
        <w:rPr>
          <w:lang w:val="en-US"/>
        </w:rPr>
        <w:t>‘</w:t>
      </w:r>
      <w:r w:rsidRPr="00B321B3">
        <w:rPr>
          <w:rFonts w:cs="Arial"/>
          <w:lang w:val="en-US" w:bidi="he-IL"/>
        </w:rPr>
        <w:t xml:space="preserve">And not only </w:t>
      </w:r>
      <w:r w:rsidRPr="00B321B3">
        <w:rPr>
          <w:rFonts w:cs="Arial"/>
          <w:i/>
          <w:iCs/>
          <w:lang w:val="en-US" w:bidi="he-IL"/>
        </w:rPr>
        <w:t>that</w:t>
      </w:r>
      <w:r w:rsidRPr="00B321B3">
        <w:rPr>
          <w:rFonts w:cs="Arial"/>
          <w:lang w:val="en-US" w:bidi="he-IL"/>
        </w:rPr>
        <w:t>, but we also boast in tribulations, knowing that tribulation works endurance</w:t>
      </w:r>
      <w:r>
        <w:rPr>
          <w:rFonts w:ascii="Arial" w:hAnsi="Arial" w:cs="Arial"/>
          <w:lang w:val="en-US" w:bidi="he-IL"/>
        </w:rPr>
        <w:t xml:space="preserve">;’ </w:t>
      </w:r>
      <w:r w:rsidRPr="00B321B3">
        <w:rPr>
          <w:rFonts w:cs="Arial"/>
          <w:lang w:val="en-US" w:bidi="he-IL"/>
        </w:rPr>
        <w:t xml:space="preserve">Rom. 5:3, </w:t>
      </w:r>
      <w:r w:rsidRPr="00B321B3">
        <w:rPr>
          <w:rFonts w:cs="Arial"/>
          <w:i/>
          <w:lang w:val="en-US" w:bidi="he-IL"/>
        </w:rPr>
        <w:t>Darby’s translation</w:t>
      </w:r>
      <w:r w:rsidRPr="00B321B3">
        <w:rPr>
          <w:rFonts w:cs="Arial"/>
          <w:lang w:val="en-US" w:bidi="he-IL"/>
        </w:rPr>
        <w:t>.</w:t>
      </w:r>
      <w:r>
        <w:rPr>
          <w:rFonts w:ascii="Arial" w:hAnsi="Arial" w:cs="Arial"/>
          <w:lang w:val="en-US" w:bidi="he-IL"/>
        </w:rPr>
        <w:t xml:space="preserve"> </w:t>
      </w:r>
    </w:p>
    <w:p w:rsidR="00975183" w:rsidRDefault="00975183" w:rsidP="006A2E06">
      <w:pPr>
        <w:pStyle w:val="EndnoteText"/>
        <w:rPr>
          <w:rFonts w:cs="Arial"/>
          <w:lang w:val="en-US" w:bidi="he-IL"/>
        </w:rPr>
      </w:pPr>
      <w:proofErr w:type="gramStart"/>
      <w:r>
        <w:rPr>
          <w:rFonts w:cs="Arial"/>
          <w:lang w:val="en-US" w:bidi="he-IL"/>
        </w:rPr>
        <w:t>‘</w:t>
      </w:r>
      <w:r w:rsidRPr="00B321B3">
        <w:rPr>
          <w:rFonts w:ascii="Times New Roman" w:hAnsi="Times New Roman"/>
          <w:szCs w:val="22"/>
          <w:lang w:val="el-GR" w:bidi="he-IL"/>
        </w:rPr>
        <w:t>Ἐγὼ</w:t>
      </w:r>
      <w:r w:rsidRPr="00B321B3">
        <w:rPr>
          <w:rFonts w:ascii="Bwgrkl" w:hAnsi="Bwgrkl" w:cs="SBL Greek"/>
          <w:szCs w:val="22"/>
          <w:lang w:val="el-GR" w:bidi="he-IL"/>
        </w:rPr>
        <w:t xml:space="preserve"> </w:t>
      </w:r>
      <w:r w:rsidRPr="00B321B3">
        <w:rPr>
          <w:rFonts w:ascii="Times New Roman" w:hAnsi="Times New Roman"/>
          <w:szCs w:val="22"/>
          <w:lang w:val="el-GR" w:bidi="he-IL"/>
        </w:rPr>
        <w:t>Ἰωάννης</w:t>
      </w:r>
      <w:r w:rsidRPr="00B321B3">
        <w:rPr>
          <w:rFonts w:ascii="Bwgrkl" w:hAnsi="Bwgrkl" w:cs="SBL Greek"/>
          <w:szCs w:val="22"/>
          <w:lang w:val="el-GR" w:bidi="he-IL"/>
        </w:rPr>
        <w:t xml:space="preserve">, </w:t>
      </w:r>
      <w:r w:rsidRPr="00B321B3">
        <w:rPr>
          <w:rFonts w:ascii="Times New Roman" w:hAnsi="Times New Roman"/>
          <w:szCs w:val="22"/>
          <w:lang w:val="el-GR" w:bidi="he-IL"/>
        </w:rPr>
        <w:t>ὁ</w:t>
      </w:r>
      <w:r w:rsidRPr="00B321B3">
        <w:rPr>
          <w:rFonts w:ascii="Bwgrkl" w:hAnsi="Bwgrkl" w:cs="SBL Greek"/>
          <w:szCs w:val="22"/>
          <w:lang w:val="el-GR" w:bidi="he-IL"/>
        </w:rPr>
        <w:t xml:space="preserve"> </w:t>
      </w:r>
      <w:r w:rsidRPr="00B321B3">
        <w:rPr>
          <w:rFonts w:ascii="Times New Roman" w:hAnsi="Times New Roman"/>
          <w:szCs w:val="22"/>
          <w:lang w:val="el-GR" w:bidi="he-IL"/>
        </w:rPr>
        <w:t>ἀδελφὸς</w:t>
      </w:r>
      <w:r w:rsidRPr="00B321B3">
        <w:rPr>
          <w:rFonts w:ascii="Bwgrkl" w:hAnsi="Bwgrkl" w:cs="SBL Greek"/>
          <w:szCs w:val="22"/>
          <w:lang w:val="el-GR" w:bidi="he-IL"/>
        </w:rPr>
        <w:t xml:space="preserve"> </w:t>
      </w:r>
      <w:r w:rsidRPr="00B321B3">
        <w:rPr>
          <w:rFonts w:ascii="Times New Roman" w:hAnsi="Times New Roman"/>
          <w:szCs w:val="22"/>
          <w:lang w:val="el-GR" w:bidi="he-IL"/>
        </w:rPr>
        <w:t>ὑμῶν</w:t>
      </w:r>
      <w:r w:rsidRPr="00B321B3">
        <w:rPr>
          <w:rFonts w:ascii="Bwgrkl" w:hAnsi="Bwgrkl" w:cs="SBL Greek"/>
          <w:szCs w:val="22"/>
          <w:lang w:val="el-GR" w:bidi="he-IL"/>
        </w:rPr>
        <w:t xml:space="preserve"> </w:t>
      </w:r>
      <w:r w:rsidRPr="00B321B3">
        <w:rPr>
          <w:rFonts w:ascii="Times New Roman" w:hAnsi="Times New Roman"/>
          <w:szCs w:val="22"/>
          <w:lang w:val="el-GR" w:bidi="he-IL"/>
        </w:rPr>
        <w:t>καὶ</w:t>
      </w:r>
      <w:r w:rsidRPr="00B321B3">
        <w:rPr>
          <w:rFonts w:ascii="Bwgrkl" w:hAnsi="Bwgrkl" w:cs="SBL Greek"/>
          <w:szCs w:val="22"/>
          <w:lang w:val="el-GR" w:bidi="he-IL"/>
        </w:rPr>
        <w:t xml:space="preserve"> </w:t>
      </w:r>
      <w:r w:rsidRPr="00B321B3">
        <w:rPr>
          <w:rFonts w:ascii="Times New Roman" w:hAnsi="Times New Roman"/>
          <w:szCs w:val="22"/>
          <w:lang w:val="el-GR" w:bidi="he-IL"/>
        </w:rPr>
        <w:t>κοινωνὸς</w:t>
      </w:r>
      <w:r w:rsidRPr="00B321B3">
        <w:rPr>
          <w:rFonts w:ascii="Bwgrkl" w:hAnsi="Bwgrkl" w:cs="SBL Greek"/>
          <w:szCs w:val="22"/>
          <w:lang w:val="el-GR" w:bidi="he-IL"/>
        </w:rPr>
        <w:t xml:space="preserve"> </w:t>
      </w:r>
      <w:r w:rsidRPr="00B321B3">
        <w:rPr>
          <w:rFonts w:ascii="Times New Roman" w:hAnsi="Times New Roman"/>
          <w:szCs w:val="22"/>
          <w:lang w:val="el-GR" w:bidi="he-IL"/>
        </w:rPr>
        <w:t>ἐν</w:t>
      </w:r>
      <w:r w:rsidRPr="00B321B3">
        <w:rPr>
          <w:rFonts w:ascii="Bwgrkl" w:hAnsi="Bwgrkl" w:cs="SBL Greek"/>
          <w:szCs w:val="22"/>
          <w:lang w:val="el-GR" w:bidi="he-IL"/>
        </w:rPr>
        <w:t xml:space="preserve"> </w:t>
      </w:r>
      <w:r w:rsidRPr="00B321B3">
        <w:rPr>
          <w:rFonts w:ascii="Times New Roman" w:hAnsi="Times New Roman"/>
          <w:szCs w:val="22"/>
          <w:lang w:val="el-GR" w:bidi="he-IL"/>
        </w:rPr>
        <w:t>τῇ</w:t>
      </w:r>
      <w:r w:rsidRPr="00B321B3">
        <w:rPr>
          <w:rFonts w:ascii="Bwgrkl" w:hAnsi="Bwgrkl" w:cs="SBL Greek"/>
          <w:szCs w:val="22"/>
          <w:lang w:val="el-GR" w:bidi="he-IL"/>
        </w:rPr>
        <w:t xml:space="preserve"> </w:t>
      </w:r>
      <w:r w:rsidRPr="00B321B3">
        <w:rPr>
          <w:rFonts w:ascii="Times New Roman" w:hAnsi="Times New Roman"/>
          <w:szCs w:val="22"/>
          <w:lang w:val="el-GR" w:bidi="he-IL"/>
        </w:rPr>
        <w:t>θλίψει</w:t>
      </w:r>
      <w:r w:rsidRPr="00B321B3">
        <w:rPr>
          <w:rFonts w:ascii="Bwgrkl" w:hAnsi="Bwgrkl" w:cs="SBL Greek"/>
          <w:szCs w:val="22"/>
          <w:lang w:val="el-GR" w:bidi="he-IL"/>
        </w:rPr>
        <w:t xml:space="preserve"> </w:t>
      </w:r>
      <w:r w:rsidRPr="00B321B3">
        <w:rPr>
          <w:rFonts w:ascii="Times New Roman" w:hAnsi="Times New Roman"/>
          <w:szCs w:val="22"/>
          <w:lang w:val="el-GR" w:bidi="he-IL"/>
        </w:rPr>
        <w:t>καὶ</w:t>
      </w:r>
      <w:r w:rsidRPr="00B321B3">
        <w:rPr>
          <w:rFonts w:ascii="Bwgrkl" w:hAnsi="Bwgrkl" w:cs="SBL Greek"/>
          <w:szCs w:val="22"/>
          <w:lang w:val="el-GR" w:bidi="he-IL"/>
        </w:rPr>
        <w:t xml:space="preserve"> </w:t>
      </w:r>
      <w:r w:rsidRPr="00B321B3">
        <w:rPr>
          <w:rFonts w:ascii="Times New Roman" w:hAnsi="Times New Roman"/>
          <w:szCs w:val="22"/>
          <w:lang w:val="el-GR" w:bidi="he-IL"/>
        </w:rPr>
        <w:t>βασιλείᾳ</w:t>
      </w:r>
      <w:r w:rsidRPr="00B321B3">
        <w:rPr>
          <w:rFonts w:ascii="Bwgrkl" w:hAnsi="Bwgrkl" w:cs="SBL Greek"/>
          <w:szCs w:val="22"/>
          <w:lang w:val="el-GR" w:bidi="he-IL"/>
        </w:rPr>
        <w:t xml:space="preserve"> </w:t>
      </w:r>
      <w:r w:rsidRPr="00B321B3">
        <w:rPr>
          <w:rFonts w:ascii="Times New Roman" w:hAnsi="Times New Roman"/>
          <w:szCs w:val="22"/>
          <w:lang w:val="el-GR" w:bidi="he-IL"/>
        </w:rPr>
        <w:t>καὶ</w:t>
      </w:r>
      <w:r w:rsidRPr="00B321B3">
        <w:rPr>
          <w:rFonts w:ascii="Bwgrkl" w:hAnsi="Bwgrkl" w:cs="SBL Greek"/>
          <w:szCs w:val="22"/>
          <w:lang w:val="el-GR" w:bidi="he-IL"/>
        </w:rPr>
        <w:t xml:space="preserve"> </w:t>
      </w:r>
      <w:r w:rsidRPr="00B321B3">
        <w:rPr>
          <w:rFonts w:ascii="Times New Roman" w:hAnsi="Times New Roman"/>
          <w:szCs w:val="22"/>
          <w:lang w:val="el-GR" w:bidi="he-IL"/>
        </w:rPr>
        <w:t>ὑπομονῇ</w:t>
      </w:r>
      <w:r w:rsidRPr="00B321B3">
        <w:rPr>
          <w:rFonts w:ascii="Bwgrkl" w:hAnsi="Bwgrkl" w:cs="SBL Greek"/>
          <w:szCs w:val="22"/>
          <w:lang w:val="el-GR" w:bidi="he-IL"/>
        </w:rPr>
        <w:t xml:space="preserve"> </w:t>
      </w:r>
      <w:r w:rsidRPr="00B321B3">
        <w:rPr>
          <w:rFonts w:ascii="Times New Roman" w:hAnsi="Times New Roman"/>
          <w:szCs w:val="22"/>
          <w:lang w:val="el-GR" w:bidi="he-IL"/>
        </w:rPr>
        <w:t>ἐν</w:t>
      </w:r>
      <w:r w:rsidRPr="00B321B3">
        <w:rPr>
          <w:rFonts w:ascii="Bwgrkl" w:hAnsi="Bwgrkl" w:cs="SBL Greek"/>
          <w:szCs w:val="22"/>
          <w:lang w:val="el-GR" w:bidi="he-IL"/>
        </w:rPr>
        <w:t xml:space="preserve"> </w:t>
      </w:r>
      <w:r w:rsidRPr="00B321B3">
        <w:rPr>
          <w:rFonts w:ascii="Times New Roman" w:hAnsi="Times New Roman"/>
          <w:szCs w:val="22"/>
          <w:lang w:val="el-GR" w:bidi="he-IL"/>
        </w:rPr>
        <w:t>χριστῷ</w:t>
      </w:r>
      <w:r w:rsidRPr="00B321B3">
        <w:rPr>
          <w:rFonts w:ascii="Bwgrkl" w:hAnsi="Bwgrkl" w:cs="SBL Greek"/>
          <w:szCs w:val="22"/>
          <w:lang w:val="el-GR" w:bidi="he-IL"/>
        </w:rPr>
        <w:t xml:space="preserve"> </w:t>
      </w:r>
      <w:r w:rsidRPr="00B321B3">
        <w:rPr>
          <w:rFonts w:ascii="Times New Roman" w:hAnsi="Times New Roman"/>
          <w:szCs w:val="22"/>
          <w:lang w:val="el-GR" w:bidi="he-IL"/>
        </w:rPr>
        <w:t>Ἰησοῦ</w:t>
      </w:r>
      <w:r w:rsidRPr="00B321B3">
        <w:rPr>
          <w:rFonts w:ascii="Bwgrkl" w:hAnsi="Bwgrkl" w:cs="SBL Greek"/>
          <w:szCs w:val="22"/>
          <w:lang w:val="el-GR" w:bidi="he-IL"/>
        </w:rPr>
        <w:t xml:space="preserve">, </w:t>
      </w:r>
      <w:r w:rsidRPr="00B321B3">
        <w:rPr>
          <w:rFonts w:ascii="Times New Roman" w:hAnsi="Times New Roman"/>
          <w:szCs w:val="22"/>
          <w:lang w:val="el-GR" w:bidi="he-IL"/>
        </w:rPr>
        <w:t>ἐγενόμην</w:t>
      </w:r>
      <w:r w:rsidRPr="00B321B3">
        <w:rPr>
          <w:rFonts w:ascii="Bwgrkl" w:hAnsi="Bwgrkl" w:cs="SBL Greek"/>
          <w:szCs w:val="22"/>
          <w:lang w:val="el-GR" w:bidi="he-IL"/>
        </w:rPr>
        <w:t xml:space="preserve"> </w:t>
      </w:r>
      <w:r w:rsidRPr="00B321B3">
        <w:rPr>
          <w:rFonts w:ascii="Times New Roman" w:hAnsi="Times New Roman"/>
          <w:szCs w:val="22"/>
          <w:lang w:val="el-GR" w:bidi="he-IL"/>
        </w:rPr>
        <w:t>ἐν</w:t>
      </w:r>
      <w:r w:rsidRPr="00B321B3">
        <w:rPr>
          <w:rFonts w:ascii="Bwgrkl" w:hAnsi="Bwgrkl" w:cs="SBL Greek"/>
          <w:szCs w:val="22"/>
          <w:lang w:val="el-GR" w:bidi="he-IL"/>
        </w:rPr>
        <w:t xml:space="preserve"> </w:t>
      </w:r>
      <w:r w:rsidRPr="00B321B3">
        <w:rPr>
          <w:rFonts w:ascii="Times New Roman" w:hAnsi="Times New Roman"/>
          <w:szCs w:val="22"/>
          <w:lang w:val="el-GR" w:bidi="he-IL"/>
        </w:rPr>
        <w:t>τῇ</w:t>
      </w:r>
      <w:r w:rsidRPr="00B321B3">
        <w:rPr>
          <w:rFonts w:ascii="Bwgrkl" w:hAnsi="Bwgrkl" w:cs="SBL Greek"/>
          <w:szCs w:val="22"/>
          <w:lang w:val="el-GR" w:bidi="he-IL"/>
        </w:rPr>
        <w:t xml:space="preserve"> </w:t>
      </w:r>
      <w:r w:rsidRPr="00B321B3">
        <w:rPr>
          <w:rFonts w:ascii="Times New Roman" w:hAnsi="Times New Roman"/>
          <w:szCs w:val="22"/>
          <w:lang w:val="el-GR" w:bidi="he-IL"/>
        </w:rPr>
        <w:t>νήσῳ</w:t>
      </w:r>
      <w:r w:rsidRPr="00B321B3">
        <w:rPr>
          <w:rFonts w:ascii="Bwgrkl" w:hAnsi="Bwgrkl" w:cs="SBL Greek"/>
          <w:szCs w:val="22"/>
          <w:lang w:val="el-GR" w:bidi="he-IL"/>
        </w:rPr>
        <w:t xml:space="preserve"> </w:t>
      </w:r>
      <w:r w:rsidRPr="00B321B3">
        <w:rPr>
          <w:rFonts w:ascii="Times New Roman" w:hAnsi="Times New Roman"/>
          <w:szCs w:val="22"/>
          <w:lang w:val="el-GR" w:bidi="he-IL"/>
        </w:rPr>
        <w:t>τῇ</w:t>
      </w:r>
      <w:r w:rsidRPr="00B321B3">
        <w:rPr>
          <w:rFonts w:ascii="Bwgrkl" w:hAnsi="Bwgrkl" w:cs="SBL Greek"/>
          <w:szCs w:val="22"/>
          <w:lang w:val="el-GR" w:bidi="he-IL"/>
        </w:rPr>
        <w:t xml:space="preserve"> </w:t>
      </w:r>
      <w:r w:rsidRPr="00B321B3">
        <w:rPr>
          <w:rFonts w:ascii="Times New Roman" w:hAnsi="Times New Roman"/>
          <w:szCs w:val="22"/>
          <w:lang w:val="el-GR" w:bidi="he-IL"/>
        </w:rPr>
        <w:t>καλουμένῃ</w:t>
      </w:r>
      <w:r w:rsidRPr="00B321B3">
        <w:rPr>
          <w:rFonts w:ascii="Bwgrkl" w:hAnsi="Bwgrkl" w:cs="SBL Greek"/>
          <w:szCs w:val="22"/>
          <w:lang w:val="el-GR" w:bidi="he-IL"/>
        </w:rPr>
        <w:t xml:space="preserve"> </w:t>
      </w:r>
      <w:r w:rsidRPr="00B321B3">
        <w:rPr>
          <w:rFonts w:ascii="Times New Roman" w:hAnsi="Times New Roman"/>
          <w:szCs w:val="22"/>
          <w:lang w:val="el-GR" w:bidi="he-IL"/>
        </w:rPr>
        <w:t>Πάτμῳ</w:t>
      </w:r>
      <w:r w:rsidRPr="00B321B3">
        <w:rPr>
          <w:rFonts w:ascii="Bwgrkl" w:hAnsi="Bwgrkl" w:cs="SBL Greek"/>
          <w:szCs w:val="22"/>
          <w:lang w:val="el-GR" w:bidi="he-IL"/>
        </w:rPr>
        <w:t xml:space="preserve">, </w:t>
      </w:r>
      <w:r w:rsidRPr="00B321B3">
        <w:rPr>
          <w:rFonts w:ascii="Times New Roman" w:hAnsi="Times New Roman"/>
          <w:szCs w:val="22"/>
          <w:lang w:val="el-GR" w:bidi="he-IL"/>
        </w:rPr>
        <w:t>διὰ</w:t>
      </w:r>
      <w:r w:rsidRPr="00B321B3">
        <w:rPr>
          <w:rFonts w:ascii="Bwgrkl" w:hAnsi="Bwgrkl" w:cs="SBL Greek"/>
          <w:szCs w:val="22"/>
          <w:lang w:val="el-GR" w:bidi="he-IL"/>
        </w:rPr>
        <w:t xml:space="preserve"> </w:t>
      </w:r>
      <w:r w:rsidRPr="00B321B3">
        <w:rPr>
          <w:rFonts w:ascii="Times New Roman" w:hAnsi="Times New Roman"/>
          <w:szCs w:val="22"/>
          <w:lang w:val="el-GR" w:bidi="he-IL"/>
        </w:rPr>
        <w:t>τὸν</w:t>
      </w:r>
      <w:r w:rsidRPr="00B321B3">
        <w:rPr>
          <w:rFonts w:ascii="Bwgrkl" w:hAnsi="Bwgrkl" w:cs="SBL Greek"/>
          <w:szCs w:val="22"/>
          <w:lang w:val="el-GR" w:bidi="he-IL"/>
        </w:rPr>
        <w:t xml:space="preserve"> </w:t>
      </w:r>
      <w:r w:rsidRPr="00B321B3">
        <w:rPr>
          <w:rFonts w:ascii="Times New Roman" w:hAnsi="Times New Roman"/>
          <w:szCs w:val="22"/>
          <w:lang w:val="el-GR" w:bidi="he-IL"/>
        </w:rPr>
        <w:t>λόγον</w:t>
      </w:r>
      <w:r w:rsidRPr="00B321B3">
        <w:rPr>
          <w:rFonts w:ascii="Bwgrkl" w:hAnsi="Bwgrkl" w:cs="SBL Greek"/>
          <w:szCs w:val="22"/>
          <w:lang w:val="el-GR" w:bidi="he-IL"/>
        </w:rPr>
        <w:t xml:space="preserve"> </w:t>
      </w:r>
      <w:r w:rsidRPr="00B321B3">
        <w:rPr>
          <w:rFonts w:ascii="Times New Roman" w:hAnsi="Times New Roman"/>
          <w:szCs w:val="22"/>
          <w:lang w:val="el-GR" w:bidi="he-IL"/>
        </w:rPr>
        <w:t>τοῦ</w:t>
      </w:r>
      <w:r w:rsidRPr="00B321B3">
        <w:rPr>
          <w:rFonts w:ascii="Bwgrkl" w:hAnsi="Bwgrkl" w:cs="SBL Greek"/>
          <w:szCs w:val="22"/>
          <w:lang w:val="el-GR" w:bidi="he-IL"/>
        </w:rPr>
        <w:t xml:space="preserve"> </w:t>
      </w:r>
      <w:r w:rsidRPr="00B321B3">
        <w:rPr>
          <w:rFonts w:ascii="Times New Roman" w:hAnsi="Times New Roman"/>
          <w:szCs w:val="22"/>
          <w:lang w:val="el-GR" w:bidi="he-IL"/>
        </w:rPr>
        <w:t>θεοῦ</w:t>
      </w:r>
      <w:r w:rsidRPr="00B321B3">
        <w:rPr>
          <w:rFonts w:ascii="Bwgrkl" w:hAnsi="Bwgrkl" w:cs="SBL Greek"/>
          <w:szCs w:val="22"/>
          <w:lang w:val="el-GR" w:bidi="he-IL"/>
        </w:rPr>
        <w:t xml:space="preserve"> </w:t>
      </w:r>
      <w:r w:rsidRPr="00B321B3">
        <w:rPr>
          <w:rFonts w:ascii="Times New Roman" w:hAnsi="Times New Roman"/>
          <w:szCs w:val="22"/>
          <w:lang w:val="el-GR" w:bidi="he-IL"/>
        </w:rPr>
        <w:t>καὶ</w:t>
      </w:r>
      <w:r w:rsidRPr="00B321B3">
        <w:rPr>
          <w:rFonts w:ascii="Bwgrkl" w:hAnsi="Bwgrkl" w:cs="SBL Greek"/>
          <w:szCs w:val="22"/>
          <w:lang w:val="el-GR" w:bidi="he-IL"/>
        </w:rPr>
        <w:t xml:space="preserve"> </w:t>
      </w:r>
      <w:r w:rsidRPr="00B321B3">
        <w:rPr>
          <w:rFonts w:ascii="Times New Roman" w:hAnsi="Times New Roman"/>
          <w:szCs w:val="22"/>
          <w:lang w:val="el-GR" w:bidi="he-IL"/>
        </w:rPr>
        <w:t>διὰ</w:t>
      </w:r>
      <w:r w:rsidRPr="00B321B3">
        <w:rPr>
          <w:rFonts w:ascii="Bwgrkl" w:hAnsi="Bwgrkl" w:cs="SBL Greek"/>
          <w:szCs w:val="22"/>
          <w:lang w:val="el-GR" w:bidi="he-IL"/>
        </w:rPr>
        <w:t xml:space="preserve"> </w:t>
      </w:r>
      <w:r w:rsidRPr="00B321B3">
        <w:rPr>
          <w:rFonts w:ascii="Times New Roman" w:hAnsi="Times New Roman"/>
          <w:szCs w:val="22"/>
          <w:lang w:val="el-GR" w:bidi="he-IL"/>
        </w:rPr>
        <w:t>τὴν</w:t>
      </w:r>
      <w:r w:rsidRPr="00B321B3">
        <w:rPr>
          <w:rFonts w:ascii="Bwgrkl" w:hAnsi="Bwgrkl" w:cs="SBL Greek"/>
          <w:szCs w:val="22"/>
          <w:lang w:val="el-GR" w:bidi="he-IL"/>
        </w:rPr>
        <w:t xml:space="preserve"> </w:t>
      </w:r>
      <w:r w:rsidRPr="00B321B3">
        <w:rPr>
          <w:rFonts w:ascii="Times New Roman" w:hAnsi="Times New Roman"/>
          <w:szCs w:val="22"/>
          <w:lang w:val="el-GR" w:bidi="he-IL"/>
        </w:rPr>
        <w:t>μαρτυρίαν</w:t>
      </w:r>
      <w:r w:rsidRPr="00B321B3">
        <w:rPr>
          <w:rFonts w:ascii="Bwgrkl" w:hAnsi="Bwgrkl" w:cs="SBL Greek"/>
          <w:szCs w:val="22"/>
          <w:lang w:val="el-GR" w:bidi="he-IL"/>
        </w:rPr>
        <w:t xml:space="preserve"> </w:t>
      </w:r>
      <w:r w:rsidRPr="00B321B3">
        <w:rPr>
          <w:rFonts w:ascii="Times New Roman" w:hAnsi="Times New Roman"/>
          <w:szCs w:val="22"/>
          <w:lang w:val="el-GR" w:bidi="he-IL"/>
        </w:rPr>
        <w:t>Ἰησοῦ</w:t>
      </w:r>
      <w:r w:rsidRPr="00B321B3">
        <w:rPr>
          <w:rFonts w:ascii="Bwgrkl" w:hAnsi="Bwgrkl" w:cs="SBL Greek"/>
          <w:szCs w:val="22"/>
          <w:lang w:val="el-GR" w:bidi="he-IL"/>
        </w:rPr>
        <w:t xml:space="preserve"> </w:t>
      </w:r>
      <w:r w:rsidRPr="00B321B3">
        <w:rPr>
          <w:rFonts w:ascii="Times New Roman" w:hAnsi="Times New Roman"/>
          <w:szCs w:val="22"/>
          <w:lang w:val="el-GR" w:bidi="he-IL"/>
        </w:rPr>
        <w:t>χριστοῦ</w:t>
      </w:r>
      <w:r w:rsidRPr="00B321B3">
        <w:rPr>
          <w:rFonts w:ascii="Bwgrkl" w:hAnsi="Bwgrkl" w:cs="SBL Greek"/>
          <w:szCs w:val="22"/>
          <w:lang w:val="el-GR" w:bidi="he-IL"/>
        </w:rPr>
        <w:t>.</w:t>
      </w:r>
      <w:r>
        <w:rPr>
          <w:rFonts w:ascii="Arial" w:hAnsi="Arial" w:cs="Arial"/>
          <w:lang w:val="en-US" w:bidi="he-IL"/>
        </w:rPr>
        <w:t>’</w:t>
      </w:r>
      <w:proofErr w:type="gramEnd"/>
      <w:r>
        <w:rPr>
          <w:rFonts w:ascii="Arial" w:hAnsi="Arial" w:cs="Arial"/>
          <w:lang w:val="en-US" w:bidi="he-IL"/>
        </w:rPr>
        <w:t xml:space="preserve">  </w:t>
      </w:r>
      <w:r w:rsidRPr="00B321B3">
        <w:rPr>
          <w:rFonts w:cs="Arial"/>
          <w:lang w:val="en-US" w:bidi="he-IL"/>
        </w:rPr>
        <w:t>Rev. 1:9</w:t>
      </w:r>
      <w:r>
        <w:rPr>
          <w:rFonts w:cs="Arial"/>
          <w:lang w:val="en-US" w:bidi="he-IL"/>
        </w:rPr>
        <w:t>.</w:t>
      </w:r>
    </w:p>
    <w:p w:rsidR="00975183" w:rsidRPr="00B321B3" w:rsidRDefault="00975183" w:rsidP="006A2E06">
      <w:pPr>
        <w:pStyle w:val="EndnoteText"/>
        <w:rPr>
          <w:lang w:val="en-US"/>
        </w:rPr>
      </w:pPr>
      <w:r>
        <w:rPr>
          <w:rFonts w:cs="Arial"/>
          <w:lang w:val="en-US" w:bidi="he-IL"/>
        </w:rPr>
        <w:t>‘</w:t>
      </w:r>
      <w:r w:rsidRPr="00B321B3">
        <w:rPr>
          <w:rFonts w:cs="Arial"/>
          <w:lang w:val="en-US" w:bidi="he-IL"/>
        </w:rPr>
        <w:t>I John, your brother and fellow-partaker in the tribulation and kingdom and patience, in Jesus, was in the island called Patmos, for the word of God, and for the testimony of Jesus.</w:t>
      </w:r>
      <w:r>
        <w:rPr>
          <w:rFonts w:cs="Arial"/>
          <w:lang w:val="en-US" w:bidi="he-IL"/>
        </w:rPr>
        <w:t>’</w:t>
      </w:r>
      <w:r w:rsidRPr="00B321B3">
        <w:rPr>
          <w:rFonts w:cs="Arial"/>
          <w:lang w:val="en-US" w:bidi="he-IL"/>
        </w:rPr>
        <w:t xml:space="preserve"> </w:t>
      </w:r>
      <w:proofErr w:type="gramStart"/>
      <w:r w:rsidRPr="00B321B3">
        <w:rPr>
          <w:rFonts w:cs="Arial"/>
          <w:lang w:val="en-US" w:bidi="he-IL"/>
        </w:rPr>
        <w:t>Rev 1:9</w:t>
      </w:r>
      <w:r>
        <w:rPr>
          <w:rFonts w:cs="Arial"/>
          <w:lang w:val="en-US" w:bidi="he-IL"/>
        </w:rPr>
        <w:t xml:space="preserve">, </w:t>
      </w:r>
      <w:r w:rsidRPr="00B321B3">
        <w:rPr>
          <w:rFonts w:cs="Arial"/>
          <w:i/>
          <w:lang w:val="en-US" w:bidi="he-IL"/>
        </w:rPr>
        <w:t>Darby’s translation</w:t>
      </w:r>
      <w:r>
        <w:rPr>
          <w:rFonts w:cs="Arial"/>
          <w:lang w:val="en-US" w:bidi="he-IL"/>
        </w:rPr>
        <w:t>.</w:t>
      </w:r>
      <w:proofErr w:type="gramEnd"/>
    </w:p>
  </w:endnote>
  <w:endnote w:id="1864">
    <w:p w:rsidR="00975183" w:rsidRDefault="00975183" w:rsidP="006A2E06">
      <w:pPr>
        <w:pStyle w:val="EndnoteText"/>
      </w:pPr>
      <w:r w:rsidRPr="00A915D8">
        <w:rPr>
          <w:rStyle w:val="FootnoteReference"/>
        </w:rPr>
        <w:endnoteRef/>
      </w:r>
      <w:r w:rsidRPr="00A915D8">
        <w:t xml:space="preserve"> ‘</w:t>
      </w:r>
      <w:r w:rsidRPr="00A915D8">
        <w:rPr>
          <w:lang w:val="en-US"/>
        </w:rPr>
        <w:t xml:space="preserve">Immediately after the tribulation of those days shall the sun be darkened, and the moon shall not give her light, and the stars shall fall from heaven, and the powers of the heavens shall be shaken.’  Mt. 24:29, </w:t>
      </w:r>
      <w:r w:rsidRPr="00A915D8">
        <w:rPr>
          <w:i/>
          <w:lang w:val="en-US"/>
        </w:rPr>
        <w:t>KJV</w:t>
      </w:r>
      <w:r w:rsidRPr="00A915D8">
        <w:rPr>
          <w:lang w:val="en-US"/>
        </w:rPr>
        <w:t>.  (</w:t>
      </w:r>
      <w:r w:rsidRPr="00192E04">
        <w:rPr>
          <w:rFonts w:ascii="Bwgrkl" w:hAnsi="Bwgrkl" w:cs="Bwgrkl"/>
          <w:sz w:val="22"/>
          <w:szCs w:val="22"/>
          <w:lang w:val="en-US" w:bidi="he-IL"/>
        </w:rPr>
        <w:t>Euvqe,wj de. meta. th.n qli/yin tw/n h`merw/n evkei,nwn</w:t>
      </w:r>
      <w:r>
        <w:rPr>
          <w:lang w:val="en-US"/>
        </w:rPr>
        <w:t>)</w:t>
      </w:r>
    </w:p>
  </w:endnote>
  <w:endnote w:id="1865">
    <w:p w:rsidR="00975183" w:rsidRDefault="00975183" w:rsidP="006A2E06">
      <w:pPr>
        <w:pStyle w:val="EndnoteText"/>
      </w:pPr>
      <w:r w:rsidRPr="00A915D8">
        <w:rPr>
          <w:rStyle w:val="FootnoteReference"/>
        </w:rPr>
        <w:endnoteRef/>
      </w:r>
      <w:r w:rsidRPr="00A915D8">
        <w:t xml:space="preserve"> ‘</w:t>
      </w:r>
      <w:r w:rsidRPr="00A915D8">
        <w:rPr>
          <w:lang w:val="en-US"/>
        </w:rPr>
        <w:t>For then shall be great tribulation, such as was not since the beginning of the world to this time, no, nor ever shall be.</w:t>
      </w:r>
      <w:r>
        <w:t>’</w:t>
      </w:r>
      <w:r w:rsidRPr="00A915D8">
        <w:t xml:space="preserve"> </w:t>
      </w:r>
      <w:r w:rsidRPr="00A915D8">
        <w:rPr>
          <w:lang w:val="en-US"/>
        </w:rPr>
        <w:t xml:space="preserve">Mt 24:21, </w:t>
      </w:r>
      <w:r w:rsidRPr="00A915D8">
        <w:rPr>
          <w:i/>
          <w:lang w:val="en-US"/>
        </w:rPr>
        <w:t>KJV</w:t>
      </w:r>
      <w:r w:rsidRPr="00A915D8">
        <w:rPr>
          <w:lang w:val="en-US"/>
        </w:rPr>
        <w:t>.</w:t>
      </w:r>
    </w:p>
  </w:endnote>
  <w:endnote w:id="1866">
    <w:p w:rsidR="00975183" w:rsidRDefault="00975183" w:rsidP="006A2E06">
      <w:pPr>
        <w:pStyle w:val="EndnoteText"/>
        <w:rPr>
          <w:lang w:val="en-US"/>
        </w:rPr>
      </w:pPr>
      <w:r w:rsidRPr="00A915D8">
        <w:rPr>
          <w:rStyle w:val="FootnoteReference"/>
        </w:rPr>
        <w:endnoteRef/>
      </w:r>
      <w:r w:rsidRPr="00A915D8">
        <w:t xml:space="preserve"> ‘</w:t>
      </w:r>
      <w:r w:rsidRPr="00A915D8">
        <w:rPr>
          <w:lang w:val="en-US"/>
        </w:rPr>
        <w:t xml:space="preserve">But in those days, after that tribulation, the sun shall be darkened, and the moon shall not give her light,’ </w:t>
      </w:r>
    </w:p>
    <w:p w:rsidR="00975183" w:rsidRDefault="00975183" w:rsidP="006A2E06">
      <w:pPr>
        <w:pStyle w:val="EndnoteText"/>
      </w:pPr>
      <w:r w:rsidRPr="00A915D8">
        <w:rPr>
          <w:lang w:val="en-US"/>
        </w:rPr>
        <w:t xml:space="preserve">Mk 13:24, </w:t>
      </w:r>
      <w:r w:rsidRPr="00A915D8">
        <w:rPr>
          <w:i/>
          <w:lang w:val="en-US"/>
        </w:rPr>
        <w:t>KJV</w:t>
      </w:r>
      <w:r w:rsidRPr="00A915D8">
        <w:rPr>
          <w:lang w:val="en-US"/>
        </w:rPr>
        <w:t>.</w:t>
      </w:r>
    </w:p>
  </w:endnote>
  <w:endnote w:id="1867">
    <w:p w:rsidR="00975183" w:rsidRDefault="00975183" w:rsidP="006A2E06">
      <w:pPr>
        <w:pStyle w:val="EndnoteText"/>
      </w:pPr>
      <w:r w:rsidRPr="00A915D8">
        <w:rPr>
          <w:rStyle w:val="FootnoteReference"/>
        </w:rPr>
        <w:endnoteRef/>
      </w:r>
      <w:r w:rsidRPr="00A915D8">
        <w:t xml:space="preserve"> </w:t>
      </w:r>
      <w:proofErr w:type="gramStart"/>
      <w:r>
        <w:t>(</w:t>
      </w:r>
      <w:r w:rsidRPr="00A915D8">
        <w:rPr>
          <w:i/>
        </w:rPr>
        <w:t>My emphasis</w:t>
      </w:r>
      <w:r w:rsidRPr="00A915D8">
        <w:t>.</w:t>
      </w:r>
      <w:r>
        <w:t>)</w:t>
      </w:r>
      <w:proofErr w:type="gramEnd"/>
    </w:p>
  </w:endnote>
  <w:endnote w:id="1868">
    <w:p w:rsidR="00975183" w:rsidRDefault="00975183" w:rsidP="006A2E06">
      <w:pPr>
        <w:pStyle w:val="EndnoteText"/>
      </w:pPr>
      <w:r w:rsidRPr="00A915D8">
        <w:rPr>
          <w:rStyle w:val="FootnoteReference"/>
        </w:rPr>
        <w:endnoteRef/>
      </w:r>
      <w:r w:rsidRPr="00A915D8">
        <w:t xml:space="preserve"> </w:t>
      </w:r>
      <w:r w:rsidRPr="00A915D8">
        <w:rPr>
          <w:i/>
        </w:rPr>
        <w:t>SRB</w:t>
      </w:r>
      <w:r w:rsidRPr="00A915D8">
        <w:t xml:space="preserve"> subhead to Mt. 24:15, p. 1033.</w:t>
      </w:r>
    </w:p>
  </w:endnote>
  <w:endnote w:id="1869">
    <w:p w:rsidR="00975183" w:rsidRDefault="00975183" w:rsidP="006A2E06">
      <w:pPr>
        <w:pStyle w:val="EndnoteText"/>
      </w:pPr>
      <w:r w:rsidRPr="00A915D8">
        <w:rPr>
          <w:rStyle w:val="FootnoteReference"/>
        </w:rPr>
        <w:endnoteRef/>
      </w:r>
      <w:r w:rsidRPr="00A915D8">
        <w:t xml:space="preserve"> </w:t>
      </w:r>
      <w:r w:rsidRPr="00A915D8">
        <w:rPr>
          <w:i/>
        </w:rPr>
        <w:t>SRB</w:t>
      </w:r>
      <w:r w:rsidRPr="00A915D8">
        <w:t xml:space="preserve"> subhead to Mk 13:14, p. 1063: ‘The great tribulation’.  Refs Mt. 24:15, Ps. 2:5; Rev. 7:14.</w:t>
      </w:r>
    </w:p>
  </w:endnote>
  <w:endnote w:id="1870">
    <w:p w:rsidR="00975183" w:rsidRDefault="00975183" w:rsidP="006A2E06">
      <w:pPr>
        <w:pStyle w:val="EndnoteText"/>
      </w:pPr>
      <w:r w:rsidRPr="00586CE4">
        <w:rPr>
          <w:rStyle w:val="FootnoteReference"/>
        </w:rPr>
        <w:endnoteRef/>
      </w:r>
      <w:r w:rsidRPr="00586CE4">
        <w:t xml:space="preserve"> </w:t>
      </w:r>
      <w:proofErr w:type="gramStart"/>
      <w:r w:rsidRPr="00586CE4">
        <w:t>Darby, ‘Examination of Statements in Newton’s Apocalyptic Thoughts’, p. 98.</w:t>
      </w:r>
      <w:proofErr w:type="gramEnd"/>
    </w:p>
  </w:endnote>
  <w:endnote w:id="1871">
    <w:p w:rsidR="00975183" w:rsidRDefault="00975183" w:rsidP="006A2E06">
      <w:pPr>
        <w:pStyle w:val="EndnoteText"/>
      </w:pPr>
      <w:r w:rsidRPr="00586CE4">
        <w:rPr>
          <w:rStyle w:val="FootnoteReference"/>
        </w:rPr>
        <w:endnoteRef/>
      </w:r>
      <w:r w:rsidRPr="00586CE4">
        <w:t xml:space="preserve"> Darby, ‘</w:t>
      </w:r>
      <w:r w:rsidRPr="00AC1C7E">
        <w:t xml:space="preserve">Are There Two Half Weeks </w:t>
      </w:r>
      <w:r>
        <w:t>in the Apocalypse?</w:t>
      </w:r>
      <w:proofErr w:type="gramStart"/>
      <w:r w:rsidRPr="00586CE4">
        <w:t>’,</w:t>
      </w:r>
      <w:proofErr w:type="gramEnd"/>
      <w:r w:rsidRPr="00586CE4">
        <w:t xml:space="preserve"> </w:t>
      </w:r>
      <w:r w:rsidRPr="00AC1C7E">
        <w:rPr>
          <w:i/>
        </w:rPr>
        <w:t>Collected Writings</w:t>
      </w:r>
      <w:r>
        <w:t xml:space="preserve">, </w:t>
      </w:r>
      <w:r w:rsidRPr="00C3124B">
        <w:rPr>
          <w:i/>
        </w:rPr>
        <w:t>Vol. 11, Prophetic 4</w:t>
      </w:r>
      <w:r>
        <w:t>, p. 168 &lt;</w:t>
      </w:r>
      <w:r w:rsidRPr="00AC1C7E">
        <w:t>http://www.stempublishing.com/authors/darby/PROPHET/11008E.html</w:t>
      </w:r>
      <w:r>
        <w:t>&gt; [accessed 2.8.09].</w:t>
      </w:r>
    </w:p>
  </w:endnote>
  <w:endnote w:id="1872">
    <w:p w:rsidR="00975183" w:rsidRPr="008F200D" w:rsidRDefault="00975183" w:rsidP="006A2E06">
      <w:pPr>
        <w:pStyle w:val="EndnoteText"/>
      </w:pPr>
      <w:r w:rsidRPr="008F200D">
        <w:rPr>
          <w:rStyle w:val="EndnoteReference"/>
        </w:rPr>
        <w:endnoteRef/>
      </w:r>
      <w:r w:rsidRPr="008F200D">
        <w:t xml:space="preserve"> [Dan. 9:26c, 27].</w:t>
      </w:r>
    </w:p>
  </w:endnote>
  <w:endnote w:id="1873">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9:24, p. 914.</w:t>
      </w:r>
    </w:p>
  </w:endnote>
  <w:endnote w:id="1874">
    <w:p w:rsidR="00975183"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9:24, p. 914.</w:t>
      </w:r>
    </w:p>
  </w:endnote>
  <w:endnote w:id="1875">
    <w:p w:rsidR="00975183" w:rsidRPr="008F200D" w:rsidRDefault="00975183" w:rsidP="006A2E06">
      <w:pPr>
        <w:pStyle w:val="EndnoteText"/>
      </w:pPr>
      <w:r w:rsidRPr="008F200D">
        <w:rPr>
          <w:rStyle w:val="EndnoteReference"/>
        </w:rPr>
        <w:endnoteRef/>
      </w:r>
      <w:r w:rsidRPr="008F200D">
        <w:t xml:space="preserve"> </w:t>
      </w:r>
      <w:proofErr w:type="gramStart"/>
      <w:r w:rsidRPr="008F200D">
        <w:t>Refs.</w:t>
      </w:r>
      <w:proofErr w:type="gramEnd"/>
      <w:r w:rsidRPr="008F200D">
        <w:t xml:space="preserve"> Mt. 24:15-28; </w:t>
      </w:r>
      <w:r w:rsidRPr="008F200D">
        <w:rPr>
          <w:color w:val="000000"/>
        </w:rPr>
        <w:t xml:space="preserve">Dan. 7:25; 12:7; Rev. 13:5.  </w:t>
      </w:r>
    </w:p>
  </w:endnote>
  <w:endnote w:id="1876">
    <w:p w:rsidR="00975183" w:rsidRPr="008F200D" w:rsidRDefault="00975183" w:rsidP="006A2E06">
      <w:pPr>
        <w:pStyle w:val="EndnoteText"/>
      </w:pPr>
      <w:r w:rsidRPr="008F200D">
        <w:rPr>
          <w:rStyle w:val="EndnoteReference"/>
        </w:rPr>
        <w:endnoteRef/>
      </w:r>
      <w:r w:rsidRPr="008F200D">
        <w:t xml:space="preserve"> Ref. Dan. 12:1.  </w:t>
      </w:r>
    </w:p>
  </w:endnote>
  <w:endnote w:id="1877">
    <w:p w:rsidR="00975183" w:rsidRDefault="00975183" w:rsidP="006A2E06">
      <w:pPr>
        <w:pStyle w:val="EndnoteText"/>
      </w:pPr>
      <w:r w:rsidRPr="006F47F2">
        <w:rPr>
          <w:rStyle w:val="FootnoteReference"/>
        </w:rPr>
        <w:endnoteRef/>
      </w:r>
      <w:r w:rsidRPr="006F47F2">
        <w:t xml:space="preserve"> </w:t>
      </w:r>
      <w:r>
        <w:t xml:space="preserve">Continuation of </w:t>
      </w:r>
      <w:r w:rsidRPr="006F47F2">
        <w:rPr>
          <w:i/>
        </w:rPr>
        <w:t>SRB</w:t>
      </w:r>
      <w:r w:rsidRPr="006F47F2">
        <w:t xml:space="preserve"> note on Dan. 9:24, p. 91</w:t>
      </w:r>
      <w:r>
        <w:t>5</w:t>
      </w:r>
      <w:r w:rsidRPr="006F47F2">
        <w:t>.  Ref. Rev. 3:10.</w:t>
      </w:r>
    </w:p>
  </w:endnote>
  <w:endnote w:id="1878">
    <w:p w:rsidR="00975183" w:rsidRDefault="00975183" w:rsidP="006A2E06">
      <w:pPr>
        <w:pStyle w:val="EndnoteText"/>
      </w:pPr>
      <w:r w:rsidRPr="00A0570B">
        <w:rPr>
          <w:rStyle w:val="FootnoteReference"/>
        </w:rPr>
        <w:endnoteRef/>
      </w:r>
      <w:r w:rsidRPr="00A0570B">
        <w:t xml:space="preserve"> </w:t>
      </w:r>
      <w:r w:rsidRPr="00A0570B">
        <w:rPr>
          <w:i/>
        </w:rPr>
        <w:t>SRB</w:t>
      </w:r>
      <w:r w:rsidRPr="00A0570B">
        <w:t xml:space="preserve"> note on Dan. 9:24, p. 915.</w:t>
      </w:r>
    </w:p>
  </w:endnote>
  <w:endnote w:id="1879">
    <w:p w:rsidR="00975183" w:rsidRDefault="00975183" w:rsidP="006A2E06">
      <w:pPr>
        <w:pStyle w:val="EndnoteText"/>
      </w:pPr>
      <w:r w:rsidRPr="00B8456D">
        <w:rPr>
          <w:rStyle w:val="EndnoteReference"/>
        </w:rPr>
        <w:endnoteRef/>
      </w:r>
      <w:r w:rsidRPr="00B8456D">
        <w:t xml:space="preserve"> </w:t>
      </w:r>
      <w:r w:rsidRPr="006F47F2">
        <w:rPr>
          <w:i/>
        </w:rPr>
        <w:t>SRB</w:t>
      </w:r>
      <w:r w:rsidRPr="006F47F2">
        <w:t xml:space="preserve"> note</w:t>
      </w:r>
      <w:r>
        <w:t>s</w:t>
      </w:r>
      <w:r w:rsidRPr="006F47F2">
        <w:t xml:space="preserve"> on Dan. 11:35, p. 918</w:t>
      </w:r>
      <w:r>
        <w:t>;</w:t>
      </w:r>
      <w:r>
        <w:rPr>
          <w:b/>
        </w:rPr>
        <w:t xml:space="preserve"> </w:t>
      </w:r>
      <w:r w:rsidRPr="00A915D8">
        <w:t>Rev. 7:14, p. 1337</w:t>
      </w:r>
      <w:r w:rsidRPr="00A915D8">
        <w:rPr>
          <w:lang w:eastAsia="en-GB"/>
        </w:rPr>
        <w:t xml:space="preserve">.  </w:t>
      </w:r>
      <w:proofErr w:type="gramStart"/>
      <w:r w:rsidRPr="00A915D8">
        <w:rPr>
          <w:lang w:eastAsia="en-GB"/>
        </w:rPr>
        <w:t>Refs Dan. 9:24 and Rev. 11:2</w:t>
      </w:r>
      <w:r>
        <w:rPr>
          <w:lang w:eastAsia="en-GB"/>
        </w:rPr>
        <w:t>.</w:t>
      </w:r>
      <w:proofErr w:type="gramEnd"/>
    </w:p>
  </w:endnote>
  <w:endnote w:id="1880">
    <w:p w:rsidR="00975183" w:rsidRDefault="00975183" w:rsidP="006A2E06">
      <w:pPr>
        <w:pStyle w:val="EndnoteText"/>
      </w:pPr>
      <w:r w:rsidRPr="00A915D8">
        <w:rPr>
          <w:rStyle w:val="FootnoteReference"/>
        </w:rPr>
        <w:endnoteRef/>
      </w:r>
      <w:r w:rsidRPr="00A915D8">
        <w:t xml:space="preserve"> </w:t>
      </w:r>
      <w:r w:rsidRPr="00FC4884">
        <w:rPr>
          <w:i/>
        </w:rPr>
        <w:t>SRB</w:t>
      </w:r>
      <w:r>
        <w:t xml:space="preserve"> n</w:t>
      </w:r>
      <w:r w:rsidRPr="00A915D8">
        <w:t>ote</w:t>
      </w:r>
      <w:r>
        <w:t xml:space="preserve">s on </w:t>
      </w:r>
      <w:r w:rsidRPr="00A915D8">
        <w:t>Dan. 8:9, p. 912</w:t>
      </w:r>
      <w:r>
        <w:t>;</w:t>
      </w:r>
      <w:r w:rsidRPr="00A915D8">
        <w:t xml:space="preserve"> Rev. 7:14, p. 1337</w:t>
      </w:r>
      <w:r w:rsidRPr="00A915D8">
        <w:rPr>
          <w:lang w:eastAsia="en-GB"/>
        </w:rPr>
        <w:t xml:space="preserve">.  </w:t>
      </w:r>
      <w:r w:rsidRPr="00A915D8">
        <w:t>Ref. Rev. 13:1.</w:t>
      </w:r>
    </w:p>
  </w:endnote>
  <w:endnote w:id="1881">
    <w:p w:rsidR="00975183" w:rsidRPr="00A72278" w:rsidRDefault="00975183" w:rsidP="006A2E06">
      <w:pPr>
        <w:pStyle w:val="EndnoteText"/>
      </w:pPr>
      <w:r w:rsidRPr="00A72278">
        <w:rPr>
          <w:rStyle w:val="EndnoteReference"/>
        </w:rPr>
        <w:endnoteRef/>
      </w:r>
      <w:r w:rsidRPr="00A72278">
        <w:t xml:space="preserve"> </w:t>
      </w:r>
      <w:proofErr w:type="gramStart"/>
      <w:r w:rsidRPr="007513CD">
        <w:rPr>
          <w:i/>
        </w:rPr>
        <w:t>SRB</w:t>
      </w:r>
      <w:r w:rsidRPr="00A72278">
        <w:t xml:space="preserve"> note on Rev. 7:14, p. 1337.</w:t>
      </w:r>
      <w:proofErr w:type="gramEnd"/>
      <w:r w:rsidRPr="00A72278">
        <w:t xml:space="preserve">    Refs Dan. 9:27; Mt. 24:15; 2 Thess. 2:4.  </w:t>
      </w:r>
    </w:p>
  </w:endnote>
  <w:endnote w:id="1882">
    <w:p w:rsidR="00975183"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12:4, p. 919.</w:t>
      </w:r>
      <w:r>
        <w:t xml:space="preserve">  </w:t>
      </w:r>
      <w:r w:rsidRPr="008F200D">
        <w:t>cf note on Mt. 24:3, p. 1033.</w:t>
      </w:r>
    </w:p>
  </w:endnote>
  <w:endnote w:id="1883">
    <w:p w:rsidR="00975183" w:rsidRPr="00AC05D9" w:rsidRDefault="00975183" w:rsidP="006A2E06">
      <w:pPr>
        <w:pStyle w:val="EndnoteText"/>
        <w:rPr>
          <w:sz w:val="18"/>
        </w:rPr>
      </w:pPr>
      <w:r w:rsidRPr="00A0570B">
        <w:rPr>
          <w:rStyle w:val="FootnoteReference"/>
        </w:rPr>
        <w:endnoteRef/>
      </w:r>
      <w:r w:rsidRPr="00A0570B">
        <w:t xml:space="preserve"> </w:t>
      </w:r>
      <w:r w:rsidRPr="00A0570B">
        <w:rPr>
          <w:i/>
        </w:rPr>
        <w:t>SRB</w:t>
      </w:r>
      <w:r w:rsidRPr="00A0570B">
        <w:t xml:space="preserve"> Introduction to Revelation, p. 1330.</w:t>
      </w:r>
      <w:r>
        <w:t xml:space="preserve">  Ref. </w:t>
      </w:r>
      <w:r w:rsidRPr="00AC05D9">
        <w:t>Rev. 11:3 – 19:21</w:t>
      </w:r>
      <w:r>
        <w:t>.</w:t>
      </w:r>
    </w:p>
  </w:endnote>
  <w:endnote w:id="1884">
    <w:p w:rsidR="00975183" w:rsidRDefault="00975183" w:rsidP="006A2E06">
      <w:pPr>
        <w:pStyle w:val="EndnoteText"/>
      </w:pPr>
      <w:r w:rsidRPr="00CD6173">
        <w:rPr>
          <w:rStyle w:val="FootnoteReference"/>
        </w:rPr>
        <w:endnoteRef/>
      </w:r>
      <w:r w:rsidRPr="00CD6173">
        <w:t xml:space="preserve"> Blackstone, </w:t>
      </w:r>
      <w:r w:rsidRPr="00CD6173">
        <w:rPr>
          <w:i/>
        </w:rPr>
        <w:t>Jesus is Coming</w:t>
      </w:r>
      <w:r w:rsidRPr="00CD6173">
        <w:t>, pp. 99-100.</w:t>
      </w:r>
    </w:p>
  </w:endnote>
  <w:endnote w:id="1885">
    <w:p w:rsidR="00975183" w:rsidRDefault="00975183" w:rsidP="006A2E06">
      <w:pPr>
        <w:pStyle w:val="EndnoteText"/>
      </w:pPr>
      <w:r w:rsidRPr="002C0EB3">
        <w:rPr>
          <w:rStyle w:val="FootnoteReference"/>
        </w:rPr>
        <w:endnoteRef/>
      </w:r>
      <w:r w:rsidRPr="002C0EB3">
        <w:t xml:space="preserve"> </w:t>
      </w:r>
      <w:r w:rsidRPr="002D5CB8">
        <w:t>Walvoord</w:t>
      </w:r>
      <w:r>
        <w:t xml:space="preserve">, </w:t>
      </w:r>
      <w:r w:rsidRPr="00492913">
        <w:rPr>
          <w:i/>
          <w:sz w:val="22"/>
          <w:szCs w:val="22"/>
        </w:rPr>
        <w:t>Rapture Question</w:t>
      </w:r>
      <w:r>
        <w:rPr>
          <w:i/>
          <w:sz w:val="22"/>
          <w:szCs w:val="22"/>
        </w:rPr>
        <w:t xml:space="preserve">, </w:t>
      </w:r>
      <w:r w:rsidRPr="002C0EB3">
        <w:rPr>
          <w:sz w:val="22"/>
          <w:szCs w:val="22"/>
        </w:rPr>
        <w:t>p. 41.</w:t>
      </w:r>
    </w:p>
  </w:endnote>
  <w:endnote w:id="1886">
    <w:p w:rsidR="00975183" w:rsidRDefault="00975183" w:rsidP="006A2E06">
      <w:pPr>
        <w:pStyle w:val="EndnoteText"/>
      </w:pPr>
      <w:r w:rsidRPr="00F209B4">
        <w:rPr>
          <w:rStyle w:val="FootnoteReference"/>
        </w:rPr>
        <w:endnoteRef/>
      </w:r>
      <w:r w:rsidRPr="00F209B4">
        <w:t xml:space="preserve"> </w:t>
      </w:r>
      <w:r>
        <w:t xml:space="preserve">Weber, </w:t>
      </w:r>
      <w:r w:rsidRPr="00F209B4">
        <w:rPr>
          <w:i/>
        </w:rPr>
        <w:t>Shadow</w:t>
      </w:r>
      <w:r>
        <w:t>, pp. 22-3.</w:t>
      </w:r>
    </w:p>
  </w:endnote>
  <w:endnote w:id="1887">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12:4, p. 919</w:t>
      </w:r>
      <w:r>
        <w:t>.</w:t>
      </w:r>
      <w:r w:rsidRPr="008F200D">
        <w:t xml:space="preserve">  </w:t>
      </w:r>
      <w:proofErr w:type="gramStart"/>
      <w:r w:rsidRPr="008F200D">
        <w:t>Refs.</w:t>
      </w:r>
      <w:proofErr w:type="gramEnd"/>
      <w:r w:rsidRPr="008F200D">
        <w:t xml:space="preserve"> </w:t>
      </w:r>
      <w:r w:rsidRPr="008F200D">
        <w:rPr>
          <w:color w:val="000000"/>
        </w:rPr>
        <w:t xml:space="preserve">Dan. 9:27; 11:36-8; Mt. 24:15; 2 Thess. 2:4; Rev. 13:4-6. </w:t>
      </w:r>
    </w:p>
  </w:endnote>
  <w:endnote w:id="1888">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12:4, p. 919.  </w:t>
      </w:r>
      <w:proofErr w:type="gramStart"/>
      <w:r w:rsidRPr="008F200D">
        <w:t>Further refs.</w:t>
      </w:r>
      <w:proofErr w:type="gramEnd"/>
      <w:r w:rsidRPr="008F200D">
        <w:t xml:space="preserve"> </w:t>
      </w:r>
      <w:proofErr w:type="gramStart"/>
      <w:r w:rsidRPr="008F200D">
        <w:rPr>
          <w:color w:val="000000"/>
        </w:rPr>
        <w:t>2 Thess. 2:8; Rev. 19:19, 20.</w:t>
      </w:r>
      <w:proofErr w:type="gramEnd"/>
    </w:p>
  </w:endnote>
  <w:endnote w:id="1889">
    <w:p w:rsidR="00975183" w:rsidRPr="00C059E0" w:rsidRDefault="00975183" w:rsidP="006A2E06">
      <w:pPr>
        <w:pStyle w:val="EndnoteText"/>
        <w:rPr>
          <w:lang w:val="en-US"/>
        </w:rPr>
      </w:pPr>
      <w:r w:rsidRPr="008F200D">
        <w:rPr>
          <w:rStyle w:val="EndnoteReference"/>
        </w:rPr>
        <w:endnoteRef/>
      </w:r>
      <w:r w:rsidRPr="008F200D">
        <w:t xml:space="preserve"> </w:t>
      </w:r>
      <w:r w:rsidRPr="008F200D">
        <w:rPr>
          <w:i/>
        </w:rPr>
        <w:t>SRB</w:t>
      </w:r>
      <w:r w:rsidRPr="008F200D">
        <w:t xml:space="preserve"> note on Dan.</w:t>
      </w:r>
      <w:r>
        <w:t xml:space="preserve"> 9:24, p. 915.</w:t>
      </w:r>
    </w:p>
  </w:endnote>
  <w:endnote w:id="1890">
    <w:p w:rsidR="00975183" w:rsidRPr="008F200D" w:rsidRDefault="00975183" w:rsidP="006A2E06">
      <w:pPr>
        <w:pStyle w:val="EndnoteText"/>
      </w:pPr>
      <w:r w:rsidRPr="008F200D">
        <w:rPr>
          <w:rStyle w:val="EndnoteReference"/>
        </w:rPr>
        <w:endnoteRef/>
      </w:r>
      <w:r w:rsidRPr="008F200D">
        <w:t xml:space="preserve"> </w:t>
      </w:r>
      <w:r w:rsidRPr="008F200D">
        <w:rPr>
          <w:i/>
        </w:rPr>
        <w:t>SRB</w:t>
      </w:r>
      <w:r w:rsidRPr="008F200D">
        <w:t xml:space="preserve"> note on Dan. 12:4, p. 919.  </w:t>
      </w:r>
    </w:p>
  </w:endnote>
  <w:endnote w:id="1891">
    <w:p w:rsidR="00975183" w:rsidRPr="00A72278" w:rsidRDefault="00975183" w:rsidP="006A2E06">
      <w:pPr>
        <w:pStyle w:val="EndnoteText"/>
      </w:pPr>
      <w:r w:rsidRPr="00A72278">
        <w:rPr>
          <w:rStyle w:val="EndnoteReference"/>
        </w:rPr>
        <w:endnoteRef/>
      </w:r>
      <w:r w:rsidRPr="00A72278">
        <w:t xml:space="preserve"> </w:t>
      </w:r>
      <w:proofErr w:type="gramStart"/>
      <w:r w:rsidRPr="00A72278">
        <w:rPr>
          <w:i/>
        </w:rPr>
        <w:t>SRB</w:t>
      </w:r>
      <w:r w:rsidRPr="00A72278">
        <w:t xml:space="preserve"> </w:t>
      </w:r>
      <w:r>
        <w:t>n</w:t>
      </w:r>
      <w:r w:rsidRPr="00A72278">
        <w:t>ote on Rev. 7:14, p. 1337.</w:t>
      </w:r>
      <w:proofErr w:type="gramEnd"/>
    </w:p>
  </w:endnote>
  <w:endnote w:id="1892">
    <w:p w:rsidR="00975183" w:rsidRPr="00A72278" w:rsidRDefault="00975183" w:rsidP="006A2E06">
      <w:pPr>
        <w:pStyle w:val="EndnoteText"/>
      </w:pPr>
      <w:r w:rsidRPr="00A72278">
        <w:rPr>
          <w:rStyle w:val="EndnoteReference"/>
        </w:rPr>
        <w:endnoteRef/>
      </w:r>
      <w:r w:rsidRPr="00A72278">
        <w:t xml:space="preserve"> Ref. Rev. 3:10.</w:t>
      </w:r>
    </w:p>
  </w:endnote>
  <w:endnote w:id="1893">
    <w:p w:rsidR="00975183" w:rsidRPr="00A72278" w:rsidRDefault="00975183" w:rsidP="006A2E06">
      <w:pPr>
        <w:pStyle w:val="EndnoteText"/>
      </w:pPr>
      <w:r w:rsidRPr="00A72278">
        <w:rPr>
          <w:rStyle w:val="EndnoteReference"/>
        </w:rPr>
        <w:endnoteRef/>
      </w:r>
      <w:r w:rsidRPr="00A72278">
        <w:t xml:space="preserve"> </w:t>
      </w:r>
      <w:proofErr w:type="gramStart"/>
      <w:r w:rsidRPr="00A72278">
        <w:rPr>
          <w:i/>
        </w:rPr>
        <w:t>SRB</w:t>
      </w:r>
      <w:r w:rsidRPr="00A72278">
        <w:t xml:space="preserve"> note on Rev. 7:14, p. 1337.</w:t>
      </w:r>
      <w:proofErr w:type="gramEnd"/>
      <w:r w:rsidRPr="00A72278">
        <w:t xml:space="preserve">  </w:t>
      </w:r>
      <w:r>
        <w:t>Ref. Mt. 24:29-30.</w:t>
      </w:r>
    </w:p>
  </w:endnote>
  <w:endnote w:id="1894">
    <w:p w:rsidR="00975183" w:rsidRDefault="00975183" w:rsidP="006A2E06">
      <w:pPr>
        <w:pStyle w:val="EndnoteText"/>
      </w:pPr>
      <w:r w:rsidRPr="00A72278">
        <w:rPr>
          <w:rStyle w:val="EndnoteReference"/>
        </w:rPr>
        <w:endnoteRef/>
      </w:r>
      <w:r w:rsidRPr="00A72278">
        <w:t xml:space="preserve"> </w:t>
      </w:r>
      <w:r w:rsidRPr="00A72278">
        <w:rPr>
          <w:i/>
        </w:rPr>
        <w:t>SRB</w:t>
      </w:r>
      <w:r w:rsidRPr="00A72278">
        <w:t xml:space="preserve"> note on</w:t>
      </w:r>
      <w:r>
        <w:t xml:space="preserve"> Rom.11:5, p. 1205.  </w:t>
      </w:r>
      <w:proofErr w:type="gramStart"/>
      <w:r>
        <w:t>Ref. Rev. 7:3-8.</w:t>
      </w:r>
      <w:proofErr w:type="gramEnd"/>
    </w:p>
  </w:endnote>
  <w:endnote w:id="1895">
    <w:p w:rsidR="00975183" w:rsidRPr="00E95219" w:rsidRDefault="00975183" w:rsidP="006A2E06">
      <w:pPr>
        <w:pStyle w:val="EndnoteText"/>
      </w:pPr>
      <w:r w:rsidRPr="00E95219">
        <w:rPr>
          <w:rStyle w:val="EndnoteReference"/>
        </w:rPr>
        <w:endnoteRef/>
      </w:r>
      <w:r w:rsidRPr="00E95219">
        <w:t xml:space="preserve"> </w:t>
      </w:r>
      <w:r w:rsidRPr="008C25ED">
        <w:rPr>
          <w:b/>
        </w:rPr>
        <w:t>See 2.</w:t>
      </w:r>
      <w:r>
        <w:rPr>
          <w:b/>
        </w:rPr>
        <w:t>4</w:t>
      </w:r>
      <w:r>
        <w:t>.</w:t>
      </w:r>
    </w:p>
  </w:endnote>
  <w:endnote w:id="1896">
    <w:p w:rsidR="00975183" w:rsidRDefault="00975183" w:rsidP="006A2E06">
      <w:pPr>
        <w:pStyle w:val="EndnoteText"/>
      </w:pPr>
      <w:r w:rsidRPr="00BB145A">
        <w:rPr>
          <w:rStyle w:val="EndnoteReference"/>
        </w:rPr>
        <w:endnoteRef/>
      </w:r>
      <w:r w:rsidRPr="00BB145A">
        <w:t xml:space="preserve"> </w:t>
      </w:r>
      <w:r w:rsidRPr="00BB145A">
        <w:rPr>
          <w:i/>
        </w:rPr>
        <w:t>SRB</w:t>
      </w:r>
      <w:r>
        <w:t xml:space="preserve"> note on </w:t>
      </w:r>
      <w:r w:rsidRPr="007E0C9B">
        <w:t>Dan. 7:</w:t>
      </w:r>
      <w:r>
        <w:t>14</w:t>
      </w:r>
      <w:r w:rsidRPr="007E0C9B">
        <w:t>, p. 910</w:t>
      </w:r>
      <w:r>
        <w:t>.</w:t>
      </w:r>
    </w:p>
  </w:endnote>
  <w:endnote w:id="1897">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w:t>
      </w:r>
      <w:r>
        <w:t xml:space="preserve"> </w:t>
      </w:r>
      <w:r w:rsidRPr="00456DD3">
        <w:t>Dan. 7:13</w:t>
      </w:r>
      <w:r>
        <w:t xml:space="preserve">, p. 910.  </w:t>
      </w:r>
      <w:proofErr w:type="gramStart"/>
      <w:r w:rsidRPr="008C25ED">
        <w:rPr>
          <w:b/>
        </w:rPr>
        <w:t>See 7.1.4 below</w:t>
      </w:r>
      <w:r>
        <w:t>.</w:t>
      </w:r>
      <w:proofErr w:type="gramEnd"/>
    </w:p>
  </w:endnote>
  <w:endnote w:id="1898">
    <w:p w:rsidR="00975183" w:rsidRPr="001C56F6" w:rsidRDefault="00975183" w:rsidP="006A2E06">
      <w:pPr>
        <w:pStyle w:val="EndnoteText"/>
      </w:pPr>
      <w:r w:rsidRPr="001C56F6">
        <w:rPr>
          <w:rStyle w:val="EndnoteReference"/>
        </w:rPr>
        <w:endnoteRef/>
      </w:r>
      <w:r w:rsidRPr="001C56F6">
        <w:t xml:space="preserve"> </w:t>
      </w:r>
      <w:r w:rsidRPr="001C56F6">
        <w:rPr>
          <w:i/>
        </w:rPr>
        <w:t>Sic</w:t>
      </w:r>
      <w:r>
        <w:t>.</w:t>
      </w:r>
    </w:p>
  </w:endnote>
  <w:endnote w:id="1899">
    <w:p w:rsidR="00975183" w:rsidRPr="008A532D" w:rsidRDefault="00975183" w:rsidP="006A2E06">
      <w:pPr>
        <w:pStyle w:val="EndnoteText"/>
      </w:pPr>
      <w:r w:rsidRPr="008A532D">
        <w:rPr>
          <w:rStyle w:val="EndnoteReference"/>
        </w:rPr>
        <w:endnoteRef/>
      </w:r>
      <w:r w:rsidRPr="008A532D">
        <w:t xml:space="preserve"> </w:t>
      </w:r>
      <w:r>
        <w:t xml:space="preserve">Blaising, ‘Theological and Ministerial Issues’, </w:t>
      </w:r>
      <w:r w:rsidRPr="008A532D">
        <w:rPr>
          <w:i/>
        </w:rPr>
        <w:t>Progressive Dispensationalism</w:t>
      </w:r>
      <w:r>
        <w:t>, p. 294.</w:t>
      </w:r>
    </w:p>
  </w:endnote>
  <w:endnote w:id="1900">
    <w:p w:rsidR="00975183" w:rsidRPr="000F548F" w:rsidRDefault="00975183" w:rsidP="006A2E06">
      <w:pPr>
        <w:pStyle w:val="EndnoteText"/>
      </w:pPr>
      <w:r w:rsidRPr="000F548F">
        <w:rPr>
          <w:rStyle w:val="EndnoteReference"/>
        </w:rPr>
        <w:endnoteRef/>
      </w:r>
      <w:r w:rsidRPr="000F548F">
        <w:t xml:space="preserve"> </w:t>
      </w:r>
      <w:r w:rsidRPr="000F548F">
        <w:rPr>
          <w:i/>
        </w:rPr>
        <w:t xml:space="preserve">SRB </w:t>
      </w:r>
      <w:r>
        <w:t>notes on Dan. 2:31, p. 901; Joel 2:11, p. 932; Zech. 6:1, p. 970; Rev. 16:19, p. 1345.</w:t>
      </w:r>
    </w:p>
  </w:endnote>
  <w:endnote w:id="1901">
    <w:p w:rsidR="00975183" w:rsidRDefault="00975183" w:rsidP="006A2E06">
      <w:pPr>
        <w:pStyle w:val="EndnoteText"/>
      </w:pPr>
      <w:r w:rsidRPr="000F548F">
        <w:rPr>
          <w:rStyle w:val="EndnoteReference"/>
        </w:rPr>
        <w:endnoteRef/>
      </w:r>
      <w:r w:rsidRPr="000F548F">
        <w:t xml:space="preserve"> </w:t>
      </w:r>
      <w:r w:rsidRPr="000F548F">
        <w:rPr>
          <w:i/>
        </w:rPr>
        <w:t xml:space="preserve">SRB </w:t>
      </w:r>
      <w:r>
        <w:t xml:space="preserve">notes on Isa. 13:1, pp. 724-5; Zech. 10:4, p. 974; Zech. 11:15, p. 975; Zech. 14:4, p. 978; Lk. 21:1, </w:t>
      </w:r>
    </w:p>
    <w:p w:rsidR="00975183" w:rsidRDefault="00975183" w:rsidP="006A2E06">
      <w:pPr>
        <w:pStyle w:val="EndnoteText"/>
      </w:pPr>
      <w:r>
        <w:t>p. 1073; Rev. 13:1, p. 1341; Rev. 13:3, p. 1342; Rev. 19:11, p. 1348; Rev. 19:17, pp. 1348-9.</w:t>
      </w:r>
    </w:p>
  </w:endnote>
  <w:endnote w:id="1902">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w:t>
      </w:r>
      <w:r>
        <w:t>s</w:t>
      </w:r>
      <w:r w:rsidRPr="008064B8">
        <w:t xml:space="preserve"> on</w:t>
      </w:r>
      <w:r>
        <w:t xml:space="preserve"> Isa. 13:1, p. 725; Dan. 7:14, p. 910.</w:t>
      </w:r>
    </w:p>
  </w:endnote>
  <w:endnote w:id="1903">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w:t>
      </w:r>
      <w:r>
        <w:t xml:space="preserve"> Dan. 7:14, p. 910.</w:t>
      </w:r>
    </w:p>
  </w:endnote>
  <w:endnote w:id="1904">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note on</w:t>
      </w:r>
      <w:r>
        <w:t xml:space="preserve"> Rev. 19:17, p. 1349.</w:t>
      </w:r>
      <w:proofErr w:type="gramEnd"/>
    </w:p>
  </w:endnote>
  <w:endnote w:id="1905">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w:t>
      </w:r>
      <w:r>
        <w:t>s</w:t>
      </w:r>
      <w:r w:rsidRPr="008064B8">
        <w:t xml:space="preserve"> on</w:t>
      </w:r>
      <w:r>
        <w:t xml:space="preserve"> Dan. 7:14, p. 910; Zech. 12:8, p. 977; Zech. 13:8, p. 978.</w:t>
      </w:r>
    </w:p>
  </w:endnote>
  <w:endnote w:id="1906">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w:t>
      </w:r>
      <w:r>
        <w:t>s</w:t>
      </w:r>
      <w:r w:rsidRPr="008064B8">
        <w:t xml:space="preserve"> on</w:t>
      </w:r>
      <w:r>
        <w:t xml:space="preserve"> Rev. 13:1, p. 1341; Rev. 13:2, p. 1341; 13:3, p. 1342.</w:t>
      </w:r>
    </w:p>
  </w:endnote>
  <w:endnote w:id="1907">
    <w:p w:rsidR="00975183" w:rsidRDefault="00975183" w:rsidP="006A2E06">
      <w:pPr>
        <w:pStyle w:val="EndnoteText"/>
      </w:pPr>
      <w:r w:rsidRPr="00684DCE">
        <w:rPr>
          <w:rStyle w:val="EndnoteReference"/>
        </w:rPr>
        <w:endnoteRef/>
      </w:r>
      <w:r w:rsidRPr="00684DCE">
        <w:t xml:space="preserve"> </w:t>
      </w:r>
      <w:r w:rsidRPr="00684DCE">
        <w:rPr>
          <w:i/>
        </w:rPr>
        <w:t>SRB</w:t>
      </w:r>
      <w:r w:rsidRPr="00684DCE">
        <w:t xml:space="preserve"> notes on Nah. 1:1, p. 952</w:t>
      </w:r>
      <w:r>
        <w:t>; Lk. 2:1, p. 1073.</w:t>
      </w:r>
    </w:p>
  </w:endnote>
  <w:endnote w:id="1908">
    <w:p w:rsidR="00975183" w:rsidRPr="005026B4" w:rsidRDefault="00975183" w:rsidP="006A2E06">
      <w:pPr>
        <w:pStyle w:val="EndnoteText"/>
      </w:pPr>
      <w:r w:rsidRPr="005026B4">
        <w:rPr>
          <w:rStyle w:val="EndnoteReference"/>
        </w:rPr>
        <w:endnoteRef/>
      </w:r>
      <w:r w:rsidRPr="005026B4">
        <w:t xml:space="preserve"> </w:t>
      </w:r>
      <w:r w:rsidRPr="008C25ED">
        <w:rPr>
          <w:b/>
        </w:rPr>
        <w:t>See 2.</w:t>
      </w:r>
      <w:r>
        <w:rPr>
          <w:b/>
        </w:rPr>
        <w:t>4</w:t>
      </w:r>
      <w:r>
        <w:t>.</w:t>
      </w:r>
    </w:p>
  </w:endnote>
  <w:endnote w:id="1909">
    <w:p w:rsidR="00975183" w:rsidRPr="008064B8" w:rsidRDefault="00975183" w:rsidP="006A2E06">
      <w:pPr>
        <w:pStyle w:val="EndnoteText"/>
      </w:pPr>
      <w:r w:rsidRPr="008064B8">
        <w:rPr>
          <w:rStyle w:val="EndnoteReference"/>
        </w:rPr>
        <w:endnoteRef/>
      </w:r>
      <w:r w:rsidRPr="008064B8">
        <w:t xml:space="preserve"> Dan. 8:23.</w:t>
      </w:r>
    </w:p>
  </w:endnote>
  <w:endnote w:id="1910">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 Dan. 7:8, p. 910.</w:t>
      </w:r>
    </w:p>
  </w:endnote>
  <w:endnote w:id="1911">
    <w:p w:rsidR="00975183" w:rsidRPr="008064B8" w:rsidRDefault="00975183" w:rsidP="006A2E06">
      <w:pPr>
        <w:pStyle w:val="EndnoteText"/>
      </w:pPr>
      <w:r w:rsidRPr="008064B8">
        <w:rPr>
          <w:rStyle w:val="EndnoteReference"/>
        </w:rPr>
        <w:endnoteRef/>
      </w:r>
      <w:r w:rsidRPr="008064B8">
        <w:t xml:space="preserve"> Dan. 9:26, 27.</w:t>
      </w:r>
    </w:p>
  </w:endnote>
  <w:endnote w:id="1912">
    <w:p w:rsidR="00975183" w:rsidRPr="008064B8" w:rsidRDefault="00975183" w:rsidP="006A2E06">
      <w:pPr>
        <w:pStyle w:val="EndnoteText"/>
      </w:pPr>
      <w:r w:rsidRPr="008064B8">
        <w:rPr>
          <w:rStyle w:val="EndnoteReference"/>
        </w:rPr>
        <w:endnoteRef/>
      </w:r>
      <w:r w:rsidRPr="008064B8">
        <w:t xml:space="preserve"> Ref. Dan. 11:36-45.</w:t>
      </w:r>
    </w:p>
  </w:endnote>
  <w:endnote w:id="1913">
    <w:p w:rsidR="00975183" w:rsidRPr="008064B8" w:rsidRDefault="00975183" w:rsidP="006A2E06">
      <w:pPr>
        <w:pStyle w:val="EndnoteText"/>
      </w:pPr>
      <w:r w:rsidRPr="008064B8">
        <w:rPr>
          <w:rStyle w:val="EndnoteReference"/>
        </w:rPr>
        <w:endnoteRef/>
      </w:r>
      <w:r w:rsidRPr="008064B8">
        <w:t xml:space="preserve"> </w:t>
      </w:r>
      <w:proofErr w:type="gramStart"/>
      <w:r w:rsidRPr="008064B8">
        <w:t>Ref. Dan. 12:11 and Mt. 24:15.</w:t>
      </w:r>
      <w:proofErr w:type="gramEnd"/>
    </w:p>
  </w:endnote>
  <w:endnote w:id="1914">
    <w:p w:rsidR="00975183" w:rsidRPr="008064B8" w:rsidRDefault="00975183" w:rsidP="006A2E06">
      <w:pPr>
        <w:pStyle w:val="EndnoteText"/>
      </w:pPr>
      <w:r w:rsidRPr="008064B8">
        <w:rPr>
          <w:rStyle w:val="EndnoteReference"/>
        </w:rPr>
        <w:endnoteRef/>
      </w:r>
      <w:r w:rsidRPr="008064B8">
        <w:t xml:space="preserve"> Ref. 2 Thess. 2:4-8.</w:t>
      </w:r>
    </w:p>
  </w:endnote>
  <w:endnote w:id="1915">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 Dan. 7:8, p. 910.  </w:t>
      </w:r>
      <w:proofErr w:type="gramStart"/>
      <w:r w:rsidRPr="008064B8">
        <w:t>Ref. Rev. 13:4-10.</w:t>
      </w:r>
      <w:proofErr w:type="gramEnd"/>
    </w:p>
  </w:endnote>
  <w:endnote w:id="1916">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w:t>
      </w:r>
      <w:r>
        <w:t xml:space="preserve">s on Dan. 9:27 p. 915; Dan. 12:4, p. 919; Rev. 19:20, p. 1349. </w:t>
      </w:r>
    </w:p>
  </w:endnote>
  <w:endnote w:id="1917">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w:t>
      </w:r>
      <w:r>
        <w:t xml:space="preserve"> on Zech. 11:7, p. 975.</w:t>
      </w:r>
    </w:p>
  </w:endnote>
  <w:endnote w:id="1918">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w:t>
      </w:r>
      <w:r>
        <w:t xml:space="preserve"> on Zech. 11:15, p. 975.</w:t>
      </w:r>
    </w:p>
  </w:endnote>
  <w:endnote w:id="1919">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w:t>
      </w:r>
      <w:r>
        <w:t xml:space="preserve"> on Mt. 24:3, p. 1033.</w:t>
      </w:r>
    </w:p>
  </w:endnote>
  <w:endnote w:id="1920">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w:t>
      </w:r>
      <w:r>
        <w:t>n</w:t>
      </w:r>
      <w:r w:rsidRPr="008064B8">
        <w:t>ote</w:t>
      </w:r>
      <w:r>
        <w:t xml:space="preserve"> on Rev. 19:20, p. 1349.</w:t>
      </w:r>
      <w:proofErr w:type="gramEnd"/>
    </w:p>
  </w:endnote>
  <w:endnote w:id="1921">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w:t>
      </w:r>
      <w:r>
        <w:t>n</w:t>
      </w:r>
      <w:r w:rsidRPr="008064B8">
        <w:t>ote</w:t>
      </w:r>
      <w:r>
        <w:t xml:space="preserve"> on Rev. 13:3, p. 1342.</w:t>
      </w:r>
      <w:proofErr w:type="gramEnd"/>
    </w:p>
  </w:endnote>
  <w:endnote w:id="1922">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w:t>
      </w:r>
      <w:r>
        <w:t>n</w:t>
      </w:r>
      <w:r w:rsidRPr="008064B8">
        <w:t>ote on</w:t>
      </w:r>
      <w:r>
        <w:t xml:space="preserve"> Rev. 13:16, p. 1343.</w:t>
      </w:r>
      <w:proofErr w:type="gramEnd"/>
    </w:p>
  </w:endnote>
  <w:endnote w:id="1923">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w:t>
      </w:r>
      <w:r>
        <w:t>n</w:t>
      </w:r>
      <w:r w:rsidRPr="008064B8">
        <w:t>ote</w:t>
      </w:r>
      <w:r>
        <w:t xml:space="preserve"> on Rev. 19:20, p. 1349.</w:t>
      </w:r>
      <w:proofErr w:type="gramEnd"/>
    </w:p>
  </w:endnote>
  <w:endnote w:id="1924">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w:t>
      </w:r>
      <w:r>
        <w:t>n</w:t>
      </w:r>
      <w:r w:rsidRPr="008064B8">
        <w:t>ote</w:t>
      </w:r>
      <w:r>
        <w:t xml:space="preserve"> on Rev. 19:20, p. 1349.</w:t>
      </w:r>
      <w:proofErr w:type="gramEnd"/>
    </w:p>
  </w:endnote>
  <w:endnote w:id="1925">
    <w:p w:rsidR="00975183" w:rsidRDefault="00975183" w:rsidP="006A2E06">
      <w:pPr>
        <w:pStyle w:val="EndnoteText"/>
      </w:pPr>
      <w:r w:rsidRPr="00820323">
        <w:rPr>
          <w:rStyle w:val="EndnoteReference"/>
        </w:rPr>
        <w:endnoteRef/>
      </w:r>
      <w:r w:rsidRPr="00820323">
        <w:t xml:space="preserve"> </w:t>
      </w:r>
      <w:r w:rsidRPr="00BC5761">
        <w:rPr>
          <w:i/>
        </w:rPr>
        <w:t>SRB</w:t>
      </w:r>
      <w:r>
        <w:t xml:space="preserve"> note on Dan. 11:35, p. 918.</w:t>
      </w:r>
    </w:p>
  </w:endnote>
  <w:endnote w:id="1926">
    <w:p w:rsidR="00975183" w:rsidRDefault="00975183" w:rsidP="006A2E06">
      <w:pPr>
        <w:pStyle w:val="EndnoteText"/>
      </w:pPr>
      <w:r w:rsidRPr="00820323">
        <w:rPr>
          <w:rStyle w:val="EndnoteReference"/>
        </w:rPr>
        <w:endnoteRef/>
      </w:r>
      <w:r w:rsidRPr="00820323">
        <w:t xml:space="preserve"> </w:t>
      </w:r>
      <w:proofErr w:type="gramStart"/>
      <w:r w:rsidRPr="00BC5761">
        <w:rPr>
          <w:i/>
        </w:rPr>
        <w:t>SRB</w:t>
      </w:r>
      <w:r>
        <w:t xml:space="preserve"> note on Rev. 13:16, p. 1343.</w:t>
      </w:r>
      <w:proofErr w:type="gramEnd"/>
      <w:r>
        <w:t xml:space="preserve">  See table below.</w:t>
      </w:r>
    </w:p>
  </w:endnote>
  <w:endnote w:id="1927">
    <w:p w:rsidR="00975183" w:rsidRPr="008064B8" w:rsidRDefault="00975183" w:rsidP="006A2E06">
      <w:pPr>
        <w:pStyle w:val="EndnoteText"/>
      </w:pPr>
      <w:r w:rsidRPr="008064B8">
        <w:rPr>
          <w:rStyle w:val="EndnoteReference"/>
        </w:rPr>
        <w:endnoteRef/>
      </w:r>
      <w:r w:rsidRPr="008064B8">
        <w:t xml:space="preserve"> Refs Dan. 7:8; Rev 19:20.</w:t>
      </w:r>
      <w:r>
        <w:t>7.</w:t>
      </w:r>
    </w:p>
  </w:endnote>
  <w:endnote w:id="1928">
    <w:p w:rsidR="00975183" w:rsidRPr="008064B8" w:rsidRDefault="00975183" w:rsidP="006A2E06">
      <w:pPr>
        <w:pStyle w:val="EndnoteText"/>
      </w:pPr>
      <w:r w:rsidRPr="008064B8">
        <w:rPr>
          <w:rStyle w:val="EndnoteReference"/>
        </w:rPr>
        <w:endnoteRef/>
      </w:r>
      <w:r w:rsidRPr="008064B8">
        <w:t xml:space="preserve"> Refs Rev. 16:14; 19:17 note.</w:t>
      </w:r>
    </w:p>
  </w:endnote>
  <w:endnote w:id="1929">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I</w:t>
      </w:r>
      <w:r>
        <w:t>ntroduction to the Prophetical B</w:t>
      </w:r>
      <w:r w:rsidRPr="008064B8">
        <w:t>ooks, p. 712</w:t>
      </w:r>
      <w:r w:rsidRPr="008064B8">
        <w:rPr>
          <w:lang w:eastAsia="en-GB"/>
        </w:rPr>
        <w:t>.</w:t>
      </w:r>
    </w:p>
  </w:endnote>
  <w:endnote w:id="1930">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 on Ps. 68:1, p. 630.  </w:t>
      </w:r>
      <w:proofErr w:type="gramStart"/>
      <w:r w:rsidRPr="008C25ED">
        <w:rPr>
          <w:b/>
        </w:rPr>
        <w:t>See 8.3.1</w:t>
      </w:r>
      <w:r w:rsidRPr="00580073">
        <w:t>.</w:t>
      </w:r>
      <w:proofErr w:type="gramEnd"/>
    </w:p>
  </w:endnote>
  <w:endnote w:id="1931">
    <w:p w:rsidR="00975183" w:rsidRPr="008064B8" w:rsidRDefault="00975183" w:rsidP="006A2E06">
      <w:pPr>
        <w:pStyle w:val="EndnoteText"/>
      </w:pPr>
      <w:r w:rsidRPr="008064B8">
        <w:rPr>
          <w:rStyle w:val="EndnoteReference"/>
        </w:rPr>
        <w:endnoteRef/>
      </w:r>
      <w:r w:rsidRPr="008064B8">
        <w:t xml:space="preserve"> </w:t>
      </w:r>
      <w:r w:rsidRPr="008B1114">
        <w:rPr>
          <w:i/>
        </w:rPr>
        <w:t>SRB</w:t>
      </w:r>
      <w:r>
        <w:t xml:space="preserve"> s</w:t>
      </w:r>
      <w:r w:rsidRPr="008064B8">
        <w:t>ubhead to Isa. 14:12, p. 726</w:t>
      </w:r>
      <w:r w:rsidRPr="008064B8">
        <w:rPr>
          <w:lang w:eastAsia="en-GB"/>
        </w:rPr>
        <w:t>.</w:t>
      </w:r>
    </w:p>
  </w:endnote>
  <w:endnote w:id="1932">
    <w:p w:rsidR="00975183" w:rsidRDefault="00975183" w:rsidP="006A2E06">
      <w:pPr>
        <w:pStyle w:val="EndnoteText"/>
      </w:pPr>
      <w:r w:rsidRPr="00AC45C5">
        <w:rPr>
          <w:rStyle w:val="FootnoteReference"/>
        </w:rPr>
        <w:endnoteRef/>
      </w:r>
      <w:r w:rsidRPr="00AC45C5">
        <w:t xml:space="preserve"> </w:t>
      </w:r>
      <w:r w:rsidRPr="00AC45C5">
        <w:rPr>
          <w:i/>
        </w:rPr>
        <w:t>SRB</w:t>
      </w:r>
      <w:r w:rsidRPr="00AC45C5">
        <w:t xml:space="preserve"> notes on subhead to Isa. 11:1, p. 723; Joel 1:4, p. 930 (where the </w:t>
      </w:r>
      <w:r>
        <w:t>f</w:t>
      </w:r>
      <w:r w:rsidRPr="00AC45C5">
        <w:t xml:space="preserve">alse </w:t>
      </w:r>
      <w:r>
        <w:t>p</w:t>
      </w:r>
      <w:r w:rsidRPr="00AC45C5">
        <w:t xml:space="preserve">rophet is also included in the leadership); Zech. 10:4, p. 974; Rev. 19:17, p. 930.  </w:t>
      </w:r>
    </w:p>
  </w:endnote>
  <w:endnote w:id="1933">
    <w:p w:rsidR="00975183" w:rsidRDefault="00975183" w:rsidP="006A2E06">
      <w:pPr>
        <w:pStyle w:val="EndnoteText"/>
      </w:pPr>
      <w:r w:rsidRPr="00815B8D">
        <w:rPr>
          <w:rStyle w:val="EndnoteReference"/>
        </w:rPr>
        <w:endnoteRef/>
      </w:r>
      <w:r w:rsidRPr="00815B8D">
        <w:t xml:space="preserve"> </w:t>
      </w:r>
      <w:r>
        <w:rPr>
          <w:rFonts w:eastAsia="Perpetua" w:cs="Perpetua"/>
          <w:i/>
          <w:spacing w:val="-1"/>
        </w:rPr>
        <w:t>SRB</w:t>
      </w:r>
      <w:r>
        <w:rPr>
          <w:rFonts w:eastAsia="Perpetua" w:cs="Perpetua"/>
          <w:i/>
          <w:spacing w:val="-4"/>
        </w:rPr>
        <w:t xml:space="preserve"> </w:t>
      </w:r>
      <w:r>
        <w:rPr>
          <w:rFonts w:eastAsia="Perpetua" w:cs="Perpetua"/>
        </w:rPr>
        <w:t>subhead</w:t>
      </w:r>
      <w:r>
        <w:rPr>
          <w:rFonts w:eastAsia="Perpetua" w:cs="Perpetua"/>
          <w:spacing w:val="-4"/>
        </w:rPr>
        <w:t xml:space="preserve"> </w:t>
      </w:r>
      <w:r>
        <w:rPr>
          <w:rFonts w:eastAsia="Perpetua" w:cs="Perpetua"/>
        </w:rPr>
        <w:t>to</w:t>
      </w:r>
      <w:r>
        <w:rPr>
          <w:rFonts w:eastAsia="Perpetua" w:cs="Perpetua"/>
          <w:spacing w:val="-4"/>
        </w:rPr>
        <w:t xml:space="preserve"> </w:t>
      </w:r>
      <w:r>
        <w:rPr>
          <w:rFonts w:eastAsia="Perpetua" w:cs="Perpetua"/>
        </w:rPr>
        <w:t>Isa.</w:t>
      </w:r>
      <w:r>
        <w:rPr>
          <w:rFonts w:eastAsia="Perpetua" w:cs="Perpetua"/>
          <w:spacing w:val="-4"/>
        </w:rPr>
        <w:t xml:space="preserve"> </w:t>
      </w:r>
      <w:r>
        <w:rPr>
          <w:rFonts w:eastAsia="Perpetua" w:cs="Perpetua"/>
        </w:rPr>
        <w:t>14:12, p. 726.</w:t>
      </w:r>
    </w:p>
  </w:endnote>
  <w:endnote w:id="1934">
    <w:p w:rsidR="00975183" w:rsidRPr="00815B8D" w:rsidRDefault="00975183" w:rsidP="006A2E06">
      <w:pPr>
        <w:pStyle w:val="EndnoteText"/>
      </w:pPr>
      <w:r w:rsidRPr="00815B8D">
        <w:rPr>
          <w:rStyle w:val="EndnoteReference"/>
        </w:rPr>
        <w:endnoteRef/>
      </w:r>
      <w:r w:rsidRPr="00815B8D">
        <w:t xml:space="preserve"> </w:t>
      </w:r>
      <w:proofErr w:type="gramStart"/>
      <w:r w:rsidRPr="008064B8">
        <w:rPr>
          <w:i/>
        </w:rPr>
        <w:t>SRB</w:t>
      </w:r>
      <w:r w:rsidRPr="008064B8">
        <w:t xml:space="preserve"> </w:t>
      </w:r>
      <w:r>
        <w:t>n</w:t>
      </w:r>
      <w:r w:rsidRPr="008064B8">
        <w:t>ote on Rev.</w:t>
      </w:r>
      <w:r>
        <w:t xml:space="preserve"> 19:20, p. 1349.</w:t>
      </w:r>
      <w:proofErr w:type="gramEnd"/>
    </w:p>
  </w:endnote>
  <w:endnote w:id="1935">
    <w:p w:rsidR="00975183" w:rsidRDefault="00975183" w:rsidP="006A2E06">
      <w:pPr>
        <w:pStyle w:val="EndnoteText"/>
      </w:pPr>
      <w:r w:rsidRPr="00815B8D">
        <w:rPr>
          <w:rStyle w:val="EndnoteReference"/>
        </w:rPr>
        <w:endnoteRef/>
      </w:r>
      <w:r w:rsidRPr="00815B8D">
        <w:t xml:space="preserve"> </w:t>
      </w:r>
      <w:proofErr w:type="gramStart"/>
      <w:r w:rsidRPr="008064B8">
        <w:rPr>
          <w:i/>
        </w:rPr>
        <w:t>SRB</w:t>
      </w:r>
      <w:r w:rsidRPr="008064B8">
        <w:t xml:space="preserve"> </w:t>
      </w:r>
      <w:r>
        <w:t>n</w:t>
      </w:r>
      <w:r w:rsidRPr="008064B8">
        <w:t>ote on Rev.</w:t>
      </w:r>
      <w:r>
        <w:t xml:space="preserve"> 7:14, p. 1337.</w:t>
      </w:r>
      <w:proofErr w:type="gramEnd"/>
    </w:p>
  </w:endnote>
  <w:endnote w:id="1936">
    <w:p w:rsidR="00975183" w:rsidRDefault="00975183" w:rsidP="006A2E06">
      <w:pPr>
        <w:pStyle w:val="EndnoteText"/>
      </w:pPr>
      <w:r w:rsidRPr="00815B8D">
        <w:rPr>
          <w:rStyle w:val="EndnoteReference"/>
        </w:rPr>
        <w:endnoteRef/>
      </w:r>
      <w:r w:rsidRPr="00815B8D">
        <w:t xml:space="preserve"> </w:t>
      </w:r>
      <w:proofErr w:type="gramStart"/>
      <w:r w:rsidRPr="008064B8">
        <w:rPr>
          <w:i/>
        </w:rPr>
        <w:t>SRB</w:t>
      </w:r>
      <w:r w:rsidRPr="008064B8">
        <w:t xml:space="preserve"> </w:t>
      </w:r>
      <w:r>
        <w:t>n</w:t>
      </w:r>
      <w:r w:rsidRPr="008064B8">
        <w:t>ote on Rev.</w:t>
      </w:r>
      <w:r>
        <w:t xml:space="preserve"> 19:20, p. 1349.</w:t>
      </w:r>
      <w:proofErr w:type="gramEnd"/>
    </w:p>
  </w:endnote>
  <w:endnote w:id="1937">
    <w:p w:rsidR="00975183" w:rsidRDefault="00975183" w:rsidP="006A2E06">
      <w:pPr>
        <w:pStyle w:val="EndnoteText"/>
      </w:pPr>
      <w:r w:rsidRPr="00815B8D">
        <w:rPr>
          <w:rStyle w:val="EndnoteReference"/>
        </w:rPr>
        <w:endnoteRef/>
      </w:r>
      <w:r w:rsidRPr="00815B8D">
        <w:t xml:space="preserve"> </w:t>
      </w:r>
      <w:r w:rsidRPr="008064B8">
        <w:rPr>
          <w:i/>
        </w:rPr>
        <w:t>SRB</w:t>
      </w:r>
      <w:r w:rsidRPr="008064B8">
        <w:t xml:space="preserve"> </w:t>
      </w:r>
      <w:r>
        <w:t>n</w:t>
      </w:r>
      <w:r w:rsidRPr="008064B8">
        <w:t>ote on</w:t>
      </w:r>
      <w:r>
        <w:t xml:space="preserve"> Ezek. 28:12, p. 871.</w:t>
      </w:r>
    </w:p>
  </w:endnote>
  <w:endnote w:id="1938">
    <w:p w:rsidR="00975183" w:rsidRDefault="00975183" w:rsidP="006A2E06">
      <w:pPr>
        <w:pStyle w:val="EndnoteText"/>
      </w:pPr>
      <w:r w:rsidRPr="008064B8">
        <w:rPr>
          <w:rStyle w:val="FootnoteReference"/>
        </w:rPr>
        <w:endnoteRef/>
      </w:r>
      <w:r w:rsidRPr="008064B8">
        <w:t xml:space="preserve"> </w:t>
      </w:r>
      <w:proofErr w:type="gramStart"/>
      <w:r w:rsidRPr="006626DE">
        <w:rPr>
          <w:i/>
        </w:rPr>
        <w:t>SRB</w:t>
      </w:r>
      <w:r>
        <w:t xml:space="preserve"> no</w:t>
      </w:r>
      <w:r w:rsidRPr="008064B8">
        <w:t xml:space="preserve">te on </w:t>
      </w:r>
      <w:r w:rsidRPr="008064B8">
        <w:rPr>
          <w:lang w:eastAsia="en-GB"/>
        </w:rPr>
        <w:t xml:space="preserve">Rev. 13:8, </w:t>
      </w:r>
      <w:r w:rsidRPr="008064B8">
        <w:t>p. 1342.</w:t>
      </w:r>
      <w:proofErr w:type="gramEnd"/>
      <w:r w:rsidRPr="008064B8">
        <w:t xml:space="preserve">  Refs Mt 4:8, 9; Jn 12:31; 14:30</w:t>
      </w:r>
      <w:r w:rsidRPr="008064B8">
        <w:rPr>
          <w:b/>
        </w:rPr>
        <w:t xml:space="preserve">; </w:t>
      </w:r>
      <w:r w:rsidRPr="008064B8">
        <w:t>18:36; Eph</w:t>
      </w:r>
      <w:r>
        <w:t>.</w:t>
      </w:r>
      <w:r w:rsidRPr="008064B8">
        <w:t xml:space="preserve"> 2:2; 6:12; 1 Jn 2:15-17.</w:t>
      </w:r>
    </w:p>
  </w:endnote>
  <w:endnote w:id="1939">
    <w:p w:rsidR="00975183" w:rsidRDefault="00975183" w:rsidP="006A2E06">
      <w:pPr>
        <w:pStyle w:val="EndnoteText"/>
      </w:pPr>
      <w:r w:rsidRPr="008064B8">
        <w:rPr>
          <w:rStyle w:val="FootnoteReference"/>
        </w:rPr>
        <w:endnoteRef/>
      </w:r>
      <w:r w:rsidRPr="008064B8">
        <w:t xml:space="preserve"> </w:t>
      </w:r>
      <w:r w:rsidRPr="006626DE">
        <w:rPr>
          <w:i/>
        </w:rPr>
        <w:t>SRB</w:t>
      </w:r>
      <w:r>
        <w:t xml:space="preserve"> n</w:t>
      </w:r>
      <w:r w:rsidRPr="008064B8">
        <w:t>ote on Isa. 14:12, p. 726.  (</w:t>
      </w:r>
      <w:r>
        <w:t>cf Ezek. 28:12-14).</w:t>
      </w:r>
    </w:p>
  </w:endnote>
  <w:endnote w:id="1940">
    <w:p w:rsidR="00975183" w:rsidRPr="008C25ED" w:rsidRDefault="00975183" w:rsidP="006A2E06">
      <w:pPr>
        <w:pStyle w:val="EndnoteText"/>
      </w:pPr>
      <w:r w:rsidRPr="008064B8">
        <w:rPr>
          <w:rStyle w:val="EndnoteReference"/>
        </w:rPr>
        <w:endnoteRef/>
      </w:r>
      <w:r w:rsidRPr="008064B8">
        <w:t xml:space="preserve"> </w:t>
      </w:r>
      <w:proofErr w:type="gramStart"/>
      <w:r w:rsidRPr="008064B8">
        <w:rPr>
          <w:i/>
        </w:rPr>
        <w:t xml:space="preserve">SRB </w:t>
      </w:r>
      <w:r w:rsidRPr="008064B8">
        <w:t>note on Rev. 20:10, p. 1350.</w:t>
      </w:r>
      <w:proofErr w:type="gramEnd"/>
      <w:r w:rsidRPr="008064B8">
        <w:t xml:space="preserve">  </w:t>
      </w:r>
      <w:r w:rsidRPr="008C25ED">
        <w:rPr>
          <w:b/>
        </w:rPr>
        <w:t>See 8.9</w:t>
      </w:r>
      <w:r w:rsidRPr="008C25ED">
        <w:t>.</w:t>
      </w:r>
    </w:p>
  </w:endnote>
  <w:endnote w:id="1941">
    <w:p w:rsidR="00975183" w:rsidRDefault="00975183" w:rsidP="006A2E06">
      <w:pPr>
        <w:pStyle w:val="EndnoteText"/>
      </w:pPr>
      <w:r w:rsidRPr="00AC45C5">
        <w:rPr>
          <w:rStyle w:val="FootnoteReference"/>
        </w:rPr>
        <w:endnoteRef/>
      </w:r>
      <w:r w:rsidRPr="00AC45C5">
        <w:t xml:space="preserve"> </w:t>
      </w:r>
      <w:r w:rsidRPr="008B1114">
        <w:rPr>
          <w:i/>
        </w:rPr>
        <w:t>SRB</w:t>
      </w:r>
      <w:r>
        <w:t xml:space="preserve"> n</w:t>
      </w:r>
      <w:r w:rsidRPr="00AC45C5">
        <w:t>ote</w:t>
      </w:r>
      <w:r>
        <w:t>s</w:t>
      </w:r>
      <w:r w:rsidRPr="00AC45C5">
        <w:t xml:space="preserve"> on Dan. 8:9,</w:t>
      </w:r>
      <w:r>
        <w:t xml:space="preserve"> 10, </w:t>
      </w:r>
      <w:r w:rsidRPr="00AC45C5">
        <w:t>p. 912</w:t>
      </w:r>
      <w:r>
        <w:rPr>
          <w:lang w:eastAsia="en-GB"/>
        </w:rPr>
        <w:t xml:space="preserve">; </w:t>
      </w:r>
      <w:r w:rsidRPr="00AC45C5">
        <w:t>Dan. 9:27, p. 915</w:t>
      </w:r>
      <w:r>
        <w:t xml:space="preserve">; 11:2, p. 916; </w:t>
      </w:r>
      <w:r w:rsidRPr="00AC45C5">
        <w:rPr>
          <w:lang w:eastAsia="en-GB"/>
        </w:rPr>
        <w:t>11:35, p. 918</w:t>
      </w:r>
      <w:r>
        <w:rPr>
          <w:lang w:eastAsia="en-GB"/>
        </w:rPr>
        <w:t>.</w:t>
      </w:r>
    </w:p>
  </w:endnote>
  <w:endnote w:id="1942">
    <w:p w:rsidR="00975183" w:rsidRDefault="00975183" w:rsidP="006A2E06">
      <w:pPr>
        <w:pStyle w:val="EndnoteText"/>
      </w:pPr>
      <w:r w:rsidRPr="00AC45C5">
        <w:rPr>
          <w:rStyle w:val="FootnoteReference"/>
        </w:rPr>
        <w:endnoteRef/>
      </w:r>
      <w:r w:rsidRPr="00AC45C5">
        <w:t xml:space="preserve"> </w:t>
      </w:r>
      <w:r w:rsidRPr="00FE4EB9">
        <w:rPr>
          <w:i/>
        </w:rPr>
        <w:t>SRB</w:t>
      </w:r>
      <w:r>
        <w:t xml:space="preserve"> n</w:t>
      </w:r>
      <w:r w:rsidRPr="00AC45C5">
        <w:t>ote on Dan. 8:9, p. 912</w:t>
      </w:r>
      <w:r w:rsidRPr="00AC45C5">
        <w:rPr>
          <w:lang w:eastAsia="en-GB"/>
        </w:rPr>
        <w:t>.</w:t>
      </w:r>
    </w:p>
  </w:endnote>
  <w:endnote w:id="1943">
    <w:p w:rsidR="00975183" w:rsidRDefault="00975183" w:rsidP="006A2E06">
      <w:pPr>
        <w:pStyle w:val="EndnoteText"/>
      </w:pPr>
      <w:r w:rsidRPr="00AC45C5">
        <w:rPr>
          <w:rStyle w:val="FootnoteReference"/>
        </w:rPr>
        <w:endnoteRef/>
      </w:r>
      <w:r w:rsidRPr="00AC45C5">
        <w:t xml:space="preserve"> </w:t>
      </w:r>
      <w:r w:rsidRPr="00FE4EB9">
        <w:rPr>
          <w:i/>
        </w:rPr>
        <w:t>SRB</w:t>
      </w:r>
      <w:r>
        <w:t xml:space="preserve"> n</w:t>
      </w:r>
      <w:r w:rsidRPr="00AC45C5">
        <w:t>ote on Dan. 8:9, p. 912</w:t>
      </w:r>
      <w:r w:rsidRPr="00AC45C5">
        <w:rPr>
          <w:lang w:eastAsia="en-GB"/>
        </w:rPr>
        <w:t>.</w:t>
      </w:r>
    </w:p>
  </w:endnote>
  <w:endnote w:id="1944">
    <w:p w:rsidR="00975183" w:rsidRDefault="00975183" w:rsidP="006A2E06">
      <w:pPr>
        <w:pStyle w:val="EndnoteText"/>
      </w:pPr>
      <w:r w:rsidRPr="008064B8">
        <w:rPr>
          <w:rStyle w:val="EndnoteReference"/>
        </w:rPr>
        <w:endnoteRef/>
      </w:r>
      <w:r w:rsidRPr="008064B8">
        <w:t xml:space="preserve"> </w:t>
      </w:r>
      <w:r w:rsidRPr="008064B8">
        <w:rPr>
          <w:i/>
        </w:rPr>
        <w:t xml:space="preserve">SRB </w:t>
      </w:r>
      <w:r w:rsidRPr="008064B8">
        <w:t>note on</w:t>
      </w:r>
      <w:r>
        <w:t xml:space="preserve"> Dan. 11:35, p. 918.</w:t>
      </w:r>
    </w:p>
  </w:endnote>
  <w:endnote w:id="1945">
    <w:p w:rsidR="00975183" w:rsidRDefault="00975183" w:rsidP="006A2E06">
      <w:pPr>
        <w:pStyle w:val="EndnoteText"/>
      </w:pPr>
      <w:r w:rsidRPr="00AC45C5">
        <w:rPr>
          <w:rStyle w:val="FootnoteReference"/>
        </w:rPr>
        <w:endnoteRef/>
      </w:r>
      <w:r w:rsidRPr="00AC45C5">
        <w:t xml:space="preserve"> </w:t>
      </w:r>
      <w:r w:rsidRPr="00AC45C5">
        <w:rPr>
          <w:i/>
        </w:rPr>
        <w:t xml:space="preserve">SRB </w:t>
      </w:r>
      <w:r w:rsidRPr="00AC45C5">
        <w:t>note</w:t>
      </w:r>
      <w:r>
        <w:t>s</w:t>
      </w:r>
      <w:r w:rsidRPr="00AC45C5">
        <w:t xml:space="preserve"> on Dan. 8:9, p. 912</w:t>
      </w:r>
      <w:r>
        <w:t xml:space="preserve">; </w:t>
      </w:r>
      <w:r w:rsidRPr="00AC45C5">
        <w:t>Dan. 7:26, p. 911</w:t>
      </w:r>
      <w:r>
        <w:t>.</w:t>
      </w:r>
    </w:p>
  </w:endnote>
  <w:endnote w:id="1946">
    <w:p w:rsidR="00975183" w:rsidRPr="008064B8" w:rsidRDefault="00975183" w:rsidP="006A2E06">
      <w:pPr>
        <w:pStyle w:val="EndnoteText"/>
      </w:pPr>
      <w:r w:rsidRPr="008064B8">
        <w:rPr>
          <w:rStyle w:val="EndnoteReference"/>
        </w:rPr>
        <w:endnoteRef/>
      </w:r>
      <w:r w:rsidRPr="008064B8">
        <w:t xml:space="preserve"> </w:t>
      </w:r>
      <w:r w:rsidRPr="008064B8">
        <w:rPr>
          <w:i/>
        </w:rPr>
        <w:t xml:space="preserve">SRB </w:t>
      </w:r>
      <w:r w:rsidRPr="008064B8">
        <w:t>note on Dan. 8:10, p. 912.</w:t>
      </w:r>
    </w:p>
  </w:endnote>
  <w:endnote w:id="1947">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w:t>
      </w:r>
      <w:r>
        <w:t>n</w:t>
      </w:r>
      <w:r w:rsidRPr="008064B8">
        <w:t>ote on Dan. 8:9, p. 912.</w:t>
      </w:r>
    </w:p>
  </w:endnote>
  <w:endnote w:id="1948">
    <w:p w:rsidR="00975183" w:rsidRPr="000918B6" w:rsidRDefault="00975183" w:rsidP="006A2E06">
      <w:pPr>
        <w:pStyle w:val="EndnoteText"/>
      </w:pPr>
      <w:r w:rsidRPr="000918B6">
        <w:rPr>
          <w:rStyle w:val="EndnoteReference"/>
        </w:rPr>
        <w:endnoteRef/>
      </w:r>
      <w:r w:rsidRPr="000918B6">
        <w:t xml:space="preserve"> </w:t>
      </w:r>
      <w:r>
        <w:t xml:space="preserve">‘And he </w:t>
      </w:r>
      <w:proofErr w:type="gramStart"/>
      <w:r>
        <w:t>said,</w:t>
      </w:r>
      <w:proofErr w:type="gramEnd"/>
      <w:r>
        <w:t xml:space="preserve"> Behold I will make thee know what shall be in the last end of the indignation: for at the time appointed the end </w:t>
      </w:r>
      <w:r w:rsidRPr="000918B6">
        <w:rPr>
          <w:i/>
        </w:rPr>
        <w:t>shall be</w:t>
      </w:r>
      <w:r>
        <w:t xml:space="preserve">.’  Dan. 8:19, </w:t>
      </w:r>
      <w:r w:rsidRPr="000918B6">
        <w:rPr>
          <w:i/>
        </w:rPr>
        <w:t>KJV</w:t>
      </w:r>
      <w:r>
        <w:t>.</w:t>
      </w:r>
    </w:p>
  </w:endnote>
  <w:endnote w:id="1949">
    <w:p w:rsidR="00975183" w:rsidRDefault="00975183" w:rsidP="006A2E06">
      <w:pPr>
        <w:pStyle w:val="EndnoteText"/>
      </w:pPr>
      <w:r w:rsidRPr="00AC45C5">
        <w:rPr>
          <w:rStyle w:val="FootnoteReference"/>
        </w:rPr>
        <w:endnoteRef/>
      </w:r>
      <w:r w:rsidRPr="00AC45C5">
        <w:t xml:space="preserve"> </w:t>
      </w:r>
      <w:r w:rsidRPr="00AC45C5">
        <w:rPr>
          <w:i/>
        </w:rPr>
        <w:t>SRB</w:t>
      </w:r>
      <w:r w:rsidRPr="00AC45C5">
        <w:t xml:space="preserve"> note on Dan. 8:19, p. 913</w:t>
      </w:r>
      <w:r w:rsidRPr="008064B8">
        <w:rPr>
          <w:lang w:eastAsia="en-GB"/>
        </w:rPr>
        <w:t>.</w:t>
      </w:r>
      <w:r w:rsidRPr="008064B8">
        <w:t xml:space="preserve">  </w:t>
      </w:r>
    </w:p>
  </w:endnote>
  <w:endnote w:id="1950">
    <w:p w:rsidR="00975183" w:rsidRDefault="00975183" w:rsidP="006A2E06">
      <w:pPr>
        <w:pStyle w:val="EndnoteText"/>
      </w:pPr>
      <w:r w:rsidRPr="008064B8">
        <w:rPr>
          <w:rStyle w:val="FootnoteReference"/>
        </w:rPr>
        <w:endnoteRef/>
      </w:r>
      <w:r w:rsidRPr="008064B8">
        <w:t xml:space="preserve"> </w:t>
      </w:r>
      <w:r w:rsidRPr="008064B8">
        <w:rPr>
          <w:i/>
        </w:rPr>
        <w:t>SRB</w:t>
      </w:r>
      <w:r w:rsidRPr="008064B8">
        <w:t xml:space="preserve"> </w:t>
      </w:r>
      <w:r>
        <w:t>n</w:t>
      </w:r>
      <w:r w:rsidRPr="008064B8">
        <w:t xml:space="preserve">ote on Dan. 8:13, p. 912.  </w:t>
      </w:r>
    </w:p>
  </w:endnote>
  <w:endnote w:id="1951">
    <w:p w:rsidR="00975183" w:rsidRPr="008064B8" w:rsidRDefault="00975183" w:rsidP="006A2E06">
      <w:pPr>
        <w:pStyle w:val="EndnoteText"/>
      </w:pPr>
      <w:r w:rsidRPr="008064B8">
        <w:rPr>
          <w:rStyle w:val="EndnoteReference"/>
        </w:rPr>
        <w:endnoteRef/>
      </w:r>
      <w:r w:rsidRPr="008064B8">
        <w:t xml:space="preserve"> Ref. Dan. 11:31.</w:t>
      </w:r>
    </w:p>
  </w:endnote>
  <w:endnote w:id="1952">
    <w:p w:rsidR="00975183" w:rsidRDefault="00975183" w:rsidP="006A2E06">
      <w:pPr>
        <w:pStyle w:val="EndnoteText"/>
      </w:pPr>
      <w:r w:rsidRPr="00AC45C5">
        <w:rPr>
          <w:rStyle w:val="FootnoteReference"/>
        </w:rPr>
        <w:endnoteRef/>
      </w:r>
      <w:r w:rsidRPr="00AC45C5">
        <w:t xml:space="preserve"> </w:t>
      </w:r>
      <w:r w:rsidRPr="00AC45C5">
        <w:rPr>
          <w:i/>
        </w:rPr>
        <w:t>SRB</w:t>
      </w:r>
      <w:r w:rsidRPr="00AC45C5">
        <w:t xml:space="preserve"> notes on Dan. 9:27, p. 915; Dan. 11:2, p. 916.</w:t>
      </w:r>
    </w:p>
  </w:endnote>
  <w:endnote w:id="1953">
    <w:p w:rsidR="00975183" w:rsidRPr="008064B8" w:rsidRDefault="00975183" w:rsidP="006A2E06">
      <w:pPr>
        <w:pStyle w:val="EndnoteText"/>
      </w:pPr>
      <w:r w:rsidRPr="008064B8">
        <w:rPr>
          <w:rStyle w:val="EndnoteReference"/>
        </w:rPr>
        <w:endnoteRef/>
      </w:r>
      <w:r w:rsidRPr="008064B8">
        <w:t xml:space="preserve"> </w:t>
      </w:r>
      <w:r w:rsidRPr="008064B8">
        <w:rPr>
          <w:i/>
        </w:rPr>
        <w:t xml:space="preserve">SRB </w:t>
      </w:r>
      <w:r w:rsidRPr="008064B8">
        <w:t>note on Dan. 8:10, p. 912.</w:t>
      </w:r>
    </w:p>
  </w:endnote>
  <w:endnote w:id="1954">
    <w:p w:rsidR="00975183" w:rsidRDefault="00975183" w:rsidP="006A2E06">
      <w:pPr>
        <w:pStyle w:val="EndnoteText"/>
      </w:pPr>
      <w:r w:rsidRPr="008064B8">
        <w:rPr>
          <w:rStyle w:val="EndnoteReference"/>
        </w:rPr>
        <w:endnoteRef/>
      </w:r>
      <w:r w:rsidRPr="008064B8">
        <w:t xml:space="preserve"> </w:t>
      </w:r>
      <w:r w:rsidRPr="00AA66CA">
        <w:rPr>
          <w:i/>
        </w:rPr>
        <w:t>SRB</w:t>
      </w:r>
      <w:r>
        <w:t xml:space="preserve"> n</w:t>
      </w:r>
      <w:r w:rsidRPr="008064B8">
        <w:t>ote on</w:t>
      </w:r>
      <w:r>
        <w:t xml:space="preserve"> Isa. 29: 3, p. 737.</w:t>
      </w:r>
    </w:p>
  </w:endnote>
  <w:endnote w:id="1955">
    <w:p w:rsidR="00975183" w:rsidRDefault="00975183" w:rsidP="006A2E06">
      <w:pPr>
        <w:pStyle w:val="EndnoteText"/>
      </w:pPr>
      <w:r w:rsidRPr="008064B8">
        <w:rPr>
          <w:rStyle w:val="FootnoteReference"/>
        </w:rPr>
        <w:endnoteRef/>
      </w:r>
      <w:r w:rsidRPr="008064B8">
        <w:t xml:space="preserve"> </w:t>
      </w:r>
      <w:r w:rsidRPr="004D1A7F">
        <w:rPr>
          <w:i/>
        </w:rPr>
        <w:t>SRB</w:t>
      </w:r>
      <w:r w:rsidRPr="008064B8">
        <w:t xml:space="preserve"> note on Hag. 2:9, p. 963</w:t>
      </w:r>
      <w:r>
        <w:t>.  Refs</w:t>
      </w:r>
      <w:r w:rsidRPr="008064B8">
        <w:t xml:space="preserve"> Dan. 9</w:t>
      </w:r>
      <w:r>
        <w:t>:27; Mt. 24:15; 2 Thess. 2:3, 4</w:t>
      </w:r>
      <w:r w:rsidRPr="008064B8">
        <w:t>.</w:t>
      </w:r>
    </w:p>
  </w:endnote>
  <w:endnote w:id="1956">
    <w:p w:rsidR="00975183" w:rsidRDefault="00975183" w:rsidP="006A2E06">
      <w:pPr>
        <w:pStyle w:val="EndnoteText"/>
      </w:pPr>
      <w:r w:rsidRPr="008064B8">
        <w:rPr>
          <w:rStyle w:val="EndnoteReference"/>
        </w:rPr>
        <w:endnoteRef/>
      </w:r>
      <w:r w:rsidRPr="008064B8">
        <w:t xml:space="preserve"> </w:t>
      </w:r>
      <w:r w:rsidRPr="00AA66CA">
        <w:rPr>
          <w:i/>
        </w:rPr>
        <w:t>SRB</w:t>
      </w:r>
      <w:r>
        <w:t xml:space="preserve"> n</w:t>
      </w:r>
      <w:r w:rsidRPr="008064B8">
        <w:t>ote on Dan.</w:t>
      </w:r>
      <w:r>
        <w:t xml:space="preserve"> 3:1, p. 902.</w:t>
      </w:r>
    </w:p>
  </w:endnote>
  <w:endnote w:id="1957">
    <w:p w:rsidR="00975183" w:rsidRDefault="00975183" w:rsidP="006A2E06">
      <w:pPr>
        <w:pStyle w:val="EndnoteText"/>
      </w:pPr>
      <w:r w:rsidRPr="008064B8">
        <w:rPr>
          <w:rStyle w:val="EndnoteReference"/>
        </w:rPr>
        <w:endnoteRef/>
      </w:r>
      <w:r w:rsidRPr="008064B8">
        <w:t xml:space="preserve"> </w:t>
      </w:r>
      <w:proofErr w:type="gramStart"/>
      <w:r w:rsidRPr="00AA66CA">
        <w:rPr>
          <w:i/>
        </w:rPr>
        <w:t>SRB</w:t>
      </w:r>
      <w:r>
        <w:t xml:space="preserve"> n</w:t>
      </w:r>
      <w:r w:rsidRPr="008064B8">
        <w:t xml:space="preserve">ote on </w:t>
      </w:r>
      <w:r>
        <w:t>Rev. 18:2, p. 1346.</w:t>
      </w:r>
      <w:proofErr w:type="gramEnd"/>
    </w:p>
  </w:endnote>
  <w:endnote w:id="1958">
    <w:p w:rsidR="00975183" w:rsidRPr="008064B8" w:rsidRDefault="00975183" w:rsidP="006A2E06">
      <w:pPr>
        <w:pStyle w:val="EndnoteText"/>
      </w:pPr>
      <w:r w:rsidRPr="008064B8">
        <w:rPr>
          <w:rStyle w:val="EndnoteReference"/>
        </w:rPr>
        <w:endnoteRef/>
      </w:r>
      <w:r w:rsidRPr="008064B8">
        <w:t xml:space="preserve"> </w:t>
      </w:r>
      <w:r w:rsidRPr="00AA66CA">
        <w:rPr>
          <w:i/>
        </w:rPr>
        <w:t>SRB</w:t>
      </w:r>
      <w:r>
        <w:t xml:space="preserve"> n</w:t>
      </w:r>
      <w:r w:rsidRPr="008064B8">
        <w:t>ote on Dan. 7:8, p. 910</w:t>
      </w:r>
      <w:r w:rsidRPr="008064B8">
        <w:rPr>
          <w:lang w:eastAsia="en-GB"/>
        </w:rPr>
        <w:t>.</w:t>
      </w:r>
    </w:p>
  </w:endnote>
  <w:endnote w:id="1959">
    <w:p w:rsidR="00975183" w:rsidRDefault="00975183" w:rsidP="006A2E06">
      <w:pPr>
        <w:pStyle w:val="EndnoteText"/>
      </w:pPr>
      <w:r w:rsidRPr="00AC45C5">
        <w:rPr>
          <w:rStyle w:val="FootnoteReference"/>
        </w:rPr>
        <w:endnoteRef/>
      </w:r>
      <w:r w:rsidRPr="00AC45C5">
        <w:t xml:space="preserve"> </w:t>
      </w:r>
      <w:r w:rsidRPr="00A31BB6">
        <w:rPr>
          <w:i/>
        </w:rPr>
        <w:t>SRB</w:t>
      </w:r>
      <w:r>
        <w:t xml:space="preserve"> n</w:t>
      </w:r>
      <w:r w:rsidRPr="00AC45C5">
        <w:t>ote on Dan. 12:12, p. 920</w:t>
      </w:r>
      <w:r w:rsidRPr="00AC45C5">
        <w:rPr>
          <w:lang w:eastAsia="en-GB"/>
        </w:rPr>
        <w:t xml:space="preserve">.  </w:t>
      </w:r>
    </w:p>
  </w:endnote>
  <w:endnote w:id="1960">
    <w:p w:rsidR="00975183" w:rsidRPr="008064B8" w:rsidRDefault="00975183" w:rsidP="006A2E06">
      <w:pPr>
        <w:pStyle w:val="EndnoteText"/>
      </w:pPr>
      <w:r w:rsidRPr="008064B8">
        <w:rPr>
          <w:rStyle w:val="FootnoteReference"/>
        </w:rPr>
        <w:endnoteRef/>
      </w:r>
      <w:r w:rsidRPr="008064B8">
        <w:t xml:space="preserve"> </w:t>
      </w:r>
      <w:r w:rsidRPr="00A31BB6">
        <w:rPr>
          <w:i/>
        </w:rPr>
        <w:t xml:space="preserve">SRB </w:t>
      </w:r>
      <w:r>
        <w:t>n</w:t>
      </w:r>
      <w:r w:rsidRPr="008064B8">
        <w:t>ote on Mt. 24:3, p. 1033</w:t>
      </w:r>
      <w:r w:rsidRPr="008064B8">
        <w:rPr>
          <w:lang w:eastAsia="en-GB"/>
        </w:rPr>
        <w:t>.</w:t>
      </w:r>
    </w:p>
  </w:endnote>
  <w:endnote w:id="1961">
    <w:p w:rsidR="00975183" w:rsidRPr="008064B8" w:rsidRDefault="00975183" w:rsidP="006A2E06">
      <w:pPr>
        <w:pStyle w:val="EndnoteText"/>
      </w:pPr>
      <w:r w:rsidRPr="008064B8">
        <w:rPr>
          <w:rStyle w:val="FootnoteReference"/>
        </w:rPr>
        <w:endnoteRef/>
      </w:r>
      <w:r w:rsidRPr="008064B8">
        <w:t xml:space="preserve"> </w:t>
      </w:r>
      <w:r w:rsidRPr="00A31BB6">
        <w:rPr>
          <w:i/>
        </w:rPr>
        <w:t xml:space="preserve">SRB </w:t>
      </w:r>
      <w:r>
        <w:t>n</w:t>
      </w:r>
      <w:r w:rsidRPr="008064B8">
        <w:t>ote on Mt. 24:3, p. 1033</w:t>
      </w:r>
      <w:r w:rsidRPr="008064B8">
        <w:rPr>
          <w:lang w:eastAsia="en-GB"/>
        </w:rPr>
        <w:t>.</w:t>
      </w:r>
    </w:p>
  </w:endnote>
  <w:endnote w:id="1962">
    <w:p w:rsidR="00975183" w:rsidRPr="00F0000A" w:rsidRDefault="00975183" w:rsidP="006A2E06">
      <w:pPr>
        <w:pStyle w:val="EndnoteText"/>
      </w:pPr>
      <w:r w:rsidRPr="008064B8">
        <w:rPr>
          <w:rStyle w:val="EndnoteReference"/>
        </w:rPr>
        <w:endnoteRef/>
      </w:r>
      <w:r w:rsidRPr="008064B8">
        <w:t xml:space="preserve"> </w:t>
      </w:r>
      <w:r w:rsidRPr="00A31BB6">
        <w:rPr>
          <w:i/>
        </w:rPr>
        <w:t>SRB</w:t>
      </w:r>
      <w:r>
        <w:t xml:space="preserve"> n</w:t>
      </w:r>
      <w:r w:rsidRPr="008064B8">
        <w:t>ote on Lk. 21:20, p. 1106</w:t>
      </w:r>
      <w:r w:rsidRPr="008064B8">
        <w:rPr>
          <w:lang w:eastAsia="en-GB"/>
        </w:rPr>
        <w:t xml:space="preserve">.  </w:t>
      </w:r>
      <w:r w:rsidRPr="008064B8">
        <w:t>Ref. 2 Thess. 2:4</w:t>
      </w:r>
      <w:r w:rsidRPr="00F0000A">
        <w:t xml:space="preserve">.  </w:t>
      </w:r>
      <w:proofErr w:type="gramStart"/>
      <w:r w:rsidRPr="00F0000A">
        <w:rPr>
          <w:b/>
        </w:rPr>
        <w:t>See 8.6.1; 8.6.3</w:t>
      </w:r>
      <w:r w:rsidRPr="00F0000A">
        <w:t>.</w:t>
      </w:r>
      <w:proofErr w:type="gramEnd"/>
      <w:r w:rsidRPr="00F0000A">
        <w:rPr>
          <w:b/>
        </w:rPr>
        <w:t xml:space="preserve">  </w:t>
      </w:r>
    </w:p>
  </w:endnote>
  <w:endnote w:id="1963">
    <w:p w:rsidR="00975183" w:rsidRPr="00F0000A" w:rsidRDefault="00975183" w:rsidP="006A2E06">
      <w:pPr>
        <w:pStyle w:val="EndnoteText"/>
      </w:pPr>
      <w:r w:rsidRPr="00F0000A">
        <w:rPr>
          <w:rStyle w:val="EndnoteReference"/>
        </w:rPr>
        <w:endnoteRef/>
      </w:r>
      <w:r w:rsidRPr="00F0000A">
        <w:t xml:space="preserve"> </w:t>
      </w:r>
      <w:r w:rsidRPr="00F0000A">
        <w:rPr>
          <w:i/>
        </w:rPr>
        <w:t>SRB</w:t>
      </w:r>
      <w:r w:rsidRPr="00F0000A">
        <w:t xml:space="preserve"> note on Mt. 24:16, p. 1033.  </w:t>
      </w:r>
      <w:proofErr w:type="gramStart"/>
      <w:r w:rsidRPr="00F0000A">
        <w:rPr>
          <w:b/>
        </w:rPr>
        <w:t>See 8.6.1</w:t>
      </w:r>
      <w:r w:rsidRPr="00F0000A">
        <w:t>.</w:t>
      </w:r>
      <w:proofErr w:type="gramEnd"/>
    </w:p>
  </w:endnote>
  <w:endnote w:id="1964">
    <w:p w:rsidR="00975183"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note </w:t>
      </w:r>
      <w:r>
        <w:t>on Rev. 19:20, p. 1349.</w:t>
      </w:r>
      <w:proofErr w:type="gramEnd"/>
    </w:p>
  </w:endnote>
  <w:endnote w:id="1965">
    <w:p w:rsidR="00975183"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w:t>
      </w:r>
      <w:r>
        <w:t>s</w:t>
      </w:r>
      <w:r w:rsidRPr="008064B8">
        <w:t xml:space="preserve"> </w:t>
      </w:r>
      <w:r>
        <w:t xml:space="preserve">on Joel 1:4, p. 930; Zech. 10:4, p. 974; Zech. 12:1, p. 976; subheads to Zech. 13:8, p. 978; </w:t>
      </w:r>
    </w:p>
    <w:p w:rsidR="00975183" w:rsidRDefault="00975183" w:rsidP="006A2E06">
      <w:pPr>
        <w:pStyle w:val="EndnoteText"/>
      </w:pPr>
      <w:r>
        <w:t>Zech. 14:4, p. 978.</w:t>
      </w:r>
    </w:p>
  </w:endnote>
  <w:endnote w:id="1966">
    <w:p w:rsidR="00975183" w:rsidRDefault="00975183" w:rsidP="006A2E06">
      <w:pPr>
        <w:pStyle w:val="EndnoteText"/>
      </w:pPr>
      <w:r w:rsidRPr="008064B8">
        <w:rPr>
          <w:rStyle w:val="EndnoteReference"/>
        </w:rPr>
        <w:endnoteRef/>
      </w:r>
      <w:r w:rsidRPr="008064B8">
        <w:t xml:space="preserve"> </w:t>
      </w:r>
      <w:r w:rsidRPr="008064B8">
        <w:rPr>
          <w:i/>
        </w:rPr>
        <w:t xml:space="preserve">SRB </w:t>
      </w:r>
      <w:r w:rsidRPr="008064B8">
        <w:t>note</w:t>
      </w:r>
      <w:r>
        <w:t>s</w:t>
      </w:r>
      <w:r w:rsidRPr="008064B8">
        <w:t xml:space="preserve"> on Rev.</w:t>
      </w:r>
      <w:r>
        <w:t xml:space="preserve"> 19:17 and Rev. 19:19, p. 1349.</w:t>
      </w:r>
    </w:p>
  </w:endnote>
  <w:endnote w:id="1967">
    <w:p w:rsidR="00975183" w:rsidRDefault="00975183" w:rsidP="006A2E06">
      <w:pPr>
        <w:pStyle w:val="EndnoteText"/>
      </w:pPr>
      <w:r w:rsidRPr="00060E15">
        <w:rPr>
          <w:rStyle w:val="FootnoteReference"/>
        </w:rPr>
        <w:endnoteRef/>
      </w:r>
      <w:r w:rsidRPr="00060E15">
        <w:t xml:space="preserve"> </w:t>
      </w:r>
      <w:proofErr w:type="gramStart"/>
      <w:r w:rsidRPr="00060E15">
        <w:t xml:space="preserve">Ref. Rev. 13:11-17, </w:t>
      </w:r>
      <w:r w:rsidRPr="00060E15">
        <w:rPr>
          <w:i/>
        </w:rPr>
        <w:t>Scofield’s emphasis</w:t>
      </w:r>
      <w:r w:rsidRPr="00060E15">
        <w:t>.</w:t>
      </w:r>
      <w:proofErr w:type="gramEnd"/>
    </w:p>
  </w:endnote>
  <w:endnote w:id="1968">
    <w:p w:rsidR="00975183" w:rsidRDefault="00975183" w:rsidP="006A2E06">
      <w:pPr>
        <w:pStyle w:val="EndnoteText"/>
      </w:pPr>
      <w:r w:rsidRPr="00060E15">
        <w:rPr>
          <w:rStyle w:val="FootnoteReference"/>
        </w:rPr>
        <w:endnoteRef/>
      </w:r>
      <w:r w:rsidRPr="00060E15">
        <w:t xml:space="preserve"> </w:t>
      </w:r>
      <w:proofErr w:type="gramStart"/>
      <w:r w:rsidRPr="00060E15">
        <w:t>Refs Rev. 16:13, Rev. 19:20 and Rev. 20:10.</w:t>
      </w:r>
      <w:proofErr w:type="gramEnd"/>
      <w:r>
        <w:t xml:space="preserve">  </w:t>
      </w:r>
      <w:r w:rsidRPr="00F0000A">
        <w:rPr>
          <w:b/>
        </w:rPr>
        <w:t>See Eschatological Personages, Events and Institutions Table above</w:t>
      </w:r>
      <w:r>
        <w:t>.</w:t>
      </w:r>
    </w:p>
  </w:endnote>
  <w:endnote w:id="1969">
    <w:p w:rsidR="00975183" w:rsidRPr="008064B8" w:rsidRDefault="00975183" w:rsidP="006A2E06">
      <w:pPr>
        <w:pStyle w:val="EndnoteText"/>
      </w:pPr>
      <w:r w:rsidRPr="008064B8">
        <w:rPr>
          <w:rStyle w:val="EndnoteReference"/>
        </w:rPr>
        <w:endnoteRef/>
      </w:r>
      <w:r w:rsidRPr="008064B8">
        <w:t xml:space="preserve"> </w:t>
      </w:r>
      <w:proofErr w:type="gramStart"/>
      <w:r w:rsidRPr="008064B8">
        <w:rPr>
          <w:i/>
        </w:rPr>
        <w:t xml:space="preserve">SRB </w:t>
      </w:r>
      <w:r w:rsidRPr="008064B8">
        <w:t>note on Rev. 13:16, pp. 1342-3.</w:t>
      </w:r>
      <w:proofErr w:type="gramEnd"/>
      <w:r w:rsidRPr="008064B8">
        <w:t xml:space="preserve">  </w:t>
      </w:r>
      <w:r w:rsidRPr="00F0000A">
        <w:rPr>
          <w:b/>
        </w:rPr>
        <w:t>See 8.9</w:t>
      </w:r>
      <w:r w:rsidRPr="008064B8">
        <w:t>.</w:t>
      </w:r>
    </w:p>
  </w:endnote>
  <w:endnote w:id="1970">
    <w:p w:rsidR="00975183" w:rsidRDefault="00975183" w:rsidP="006A2E06">
      <w:pPr>
        <w:pStyle w:val="EndnoteText"/>
      </w:pPr>
      <w:r w:rsidRPr="00060E15">
        <w:rPr>
          <w:rStyle w:val="FootnoteReference"/>
        </w:rPr>
        <w:endnoteRef/>
      </w:r>
      <w:r w:rsidRPr="00060E15">
        <w:t xml:space="preserve"> Gordon D.Fee, </w:t>
      </w:r>
      <w:r w:rsidRPr="00060E15">
        <w:rPr>
          <w:i/>
        </w:rPr>
        <w:t>Revelation: A New Covenant Commentary</w:t>
      </w:r>
      <w:r w:rsidRPr="00060E15">
        <w:t xml:space="preserve"> (New Covenant Commentary Series, Michael F. Bird and Craig Keener, [</w:t>
      </w:r>
      <w:proofErr w:type="gramStart"/>
      <w:r w:rsidRPr="00060E15">
        <w:t>eds</w:t>
      </w:r>
      <w:proofErr w:type="gramEnd"/>
      <w:r w:rsidRPr="00060E15">
        <w:t>]; Eugene, Oregon: Cascade Books, 2011), p. 222</w:t>
      </w:r>
      <w:r>
        <w:t>.</w:t>
      </w:r>
    </w:p>
  </w:endnote>
  <w:endnote w:id="1971">
    <w:p w:rsidR="00975183" w:rsidRPr="008064B8" w:rsidRDefault="00975183" w:rsidP="006A2E06">
      <w:pPr>
        <w:pStyle w:val="EndnoteText"/>
      </w:pPr>
      <w:r w:rsidRPr="008064B8">
        <w:rPr>
          <w:rStyle w:val="EndnoteReference"/>
        </w:rPr>
        <w:endnoteRef/>
      </w:r>
      <w:r w:rsidRPr="008064B8">
        <w:t xml:space="preserve"> </w:t>
      </w:r>
      <w:proofErr w:type="gramStart"/>
      <w:r w:rsidRPr="008064B8">
        <w:t>Acts 13:6.</w:t>
      </w:r>
      <w:proofErr w:type="gramEnd"/>
    </w:p>
  </w:endnote>
  <w:endnote w:id="1972">
    <w:p w:rsidR="00975183" w:rsidRPr="00060E15" w:rsidRDefault="00975183" w:rsidP="006A2E06">
      <w:pPr>
        <w:pStyle w:val="FootnoteText"/>
        <w:rPr>
          <w:rFonts w:ascii="Perpetua" w:hAnsi="Perpetua"/>
        </w:rPr>
      </w:pPr>
      <w:r w:rsidRPr="00060E15">
        <w:rPr>
          <w:rStyle w:val="FootnoteReference"/>
          <w:rFonts w:ascii="Perpetua" w:hAnsi="Perpetua"/>
        </w:rPr>
        <w:endnoteRef/>
      </w:r>
      <w:r w:rsidRPr="00060E15">
        <w:rPr>
          <w:rFonts w:ascii="Perpetua" w:hAnsi="Perpetua"/>
        </w:rPr>
        <w:t xml:space="preserve"> ‘</w:t>
      </w:r>
      <w:r w:rsidRPr="00060E15">
        <w:rPr>
          <w:rFonts w:ascii="Perpetua" w:hAnsi="Perpetua"/>
          <w:lang w:val="en-US"/>
        </w:rPr>
        <w:t xml:space="preserve">And I saw three unclean spirits like frogs </w:t>
      </w:r>
      <w:r w:rsidRPr="00060E15">
        <w:rPr>
          <w:rFonts w:ascii="Perpetua" w:hAnsi="Perpetua"/>
          <w:i/>
          <w:iCs/>
          <w:lang w:val="en-US"/>
        </w:rPr>
        <w:t>come</w:t>
      </w:r>
      <w:r w:rsidRPr="00060E15">
        <w:rPr>
          <w:rFonts w:ascii="Perpetua" w:hAnsi="Perpetua"/>
          <w:lang w:val="en-US"/>
        </w:rPr>
        <w:t xml:space="preserve"> out of the mouth of the dragon, and out of the mouth of the beast, and out of the mouth of the </w:t>
      </w:r>
      <w:r w:rsidRPr="00060E15">
        <w:rPr>
          <w:rFonts w:ascii="Perpetua" w:hAnsi="Perpetua"/>
          <w:color w:val="000000"/>
          <w:lang w:val="en-US"/>
        </w:rPr>
        <w:t>false prophet.</w:t>
      </w:r>
      <w:r w:rsidRPr="00060E15">
        <w:rPr>
          <w:rFonts w:ascii="Perpetua" w:hAnsi="Perpetua"/>
        </w:rPr>
        <w:t>’</w:t>
      </w:r>
      <w:r>
        <w:rPr>
          <w:rFonts w:ascii="Perpetua" w:hAnsi="Perpetua"/>
        </w:rPr>
        <w:t xml:space="preserve"> </w:t>
      </w:r>
      <w:r w:rsidRPr="00060E15">
        <w:rPr>
          <w:rFonts w:ascii="Perpetua" w:hAnsi="Perpetua"/>
        </w:rPr>
        <w:t xml:space="preserve"> Rev. 16:13, </w:t>
      </w:r>
      <w:r w:rsidRPr="00060E15">
        <w:rPr>
          <w:rFonts w:ascii="Perpetua" w:hAnsi="Perpetua"/>
          <w:i/>
        </w:rPr>
        <w:t>KJV</w:t>
      </w:r>
      <w:r>
        <w:rPr>
          <w:rFonts w:ascii="Perpetua" w:hAnsi="Perpetua"/>
        </w:rPr>
        <w:t>.</w:t>
      </w:r>
    </w:p>
    <w:p w:rsidR="00975183" w:rsidRPr="00060E15" w:rsidRDefault="00975183" w:rsidP="006A2E06">
      <w:pPr>
        <w:pStyle w:val="FootnoteText"/>
        <w:rPr>
          <w:rFonts w:ascii="Perpetua" w:hAnsi="Perpetua"/>
        </w:rPr>
      </w:pPr>
      <w:r w:rsidRPr="00060E15">
        <w:rPr>
          <w:rFonts w:ascii="Perpetua" w:hAnsi="Perpetua"/>
        </w:rPr>
        <w:t xml:space="preserve"> ‘</w:t>
      </w:r>
      <w:r w:rsidRPr="00060E15">
        <w:rPr>
          <w:rFonts w:ascii="Perpetua" w:hAnsi="Perpetua"/>
          <w:lang w:val="en-US"/>
        </w:rPr>
        <w:t xml:space="preserve">And the beast was taken, and with him the </w:t>
      </w:r>
      <w:r w:rsidRPr="00060E15">
        <w:rPr>
          <w:rFonts w:ascii="Perpetua" w:hAnsi="Perpetua"/>
          <w:color w:val="000000"/>
          <w:lang w:val="en-US"/>
        </w:rPr>
        <w:t>false prophet that wrought miracles before him, with which he deceived them that had received the mark of the beast, and them that worshipped his image. These both were cast alive into a lake of fire burning with brimstone.</w:t>
      </w:r>
      <w:r w:rsidRPr="00060E15">
        <w:rPr>
          <w:rFonts w:ascii="Perpetua" w:hAnsi="Perpetua"/>
        </w:rPr>
        <w:t xml:space="preserve">’ Rev. 19:20, </w:t>
      </w:r>
      <w:r w:rsidRPr="00060E15">
        <w:rPr>
          <w:rFonts w:ascii="Perpetua" w:hAnsi="Perpetua"/>
          <w:i/>
        </w:rPr>
        <w:t>KJV</w:t>
      </w:r>
      <w:r>
        <w:rPr>
          <w:rFonts w:ascii="Perpetua" w:hAnsi="Perpetua"/>
        </w:rPr>
        <w:t>.</w:t>
      </w:r>
    </w:p>
    <w:p w:rsidR="00975183" w:rsidRDefault="00975183" w:rsidP="006A2E06">
      <w:pPr>
        <w:pStyle w:val="EndnoteText"/>
      </w:pPr>
      <w:r w:rsidRPr="00060E15">
        <w:t>‘</w:t>
      </w:r>
      <w:r w:rsidRPr="00060E15">
        <w:rPr>
          <w:lang w:val="en-US"/>
        </w:rPr>
        <w:t xml:space="preserve">And the devil that deceived them was cast into the lake of fire and brimstone, where the beast and the </w:t>
      </w:r>
      <w:r w:rsidRPr="00060E15">
        <w:rPr>
          <w:color w:val="000000"/>
          <w:lang w:val="en-US"/>
        </w:rPr>
        <w:t xml:space="preserve">false prophet </w:t>
      </w:r>
      <w:r w:rsidRPr="00060E15">
        <w:rPr>
          <w:i/>
          <w:iCs/>
          <w:color w:val="000000"/>
          <w:lang w:val="en-US"/>
        </w:rPr>
        <w:t>are,</w:t>
      </w:r>
      <w:r w:rsidRPr="00060E15">
        <w:rPr>
          <w:color w:val="000000"/>
          <w:lang w:val="en-US"/>
        </w:rPr>
        <w:t xml:space="preserve"> and shall be tormented day and night for ever and ever.</w:t>
      </w:r>
      <w:r w:rsidRPr="00060E15">
        <w:t xml:space="preserve">’ Rev. 20:10, </w:t>
      </w:r>
      <w:r w:rsidRPr="00060E15">
        <w:rPr>
          <w:i/>
        </w:rPr>
        <w:t>KJV</w:t>
      </w:r>
      <w:r>
        <w:rPr>
          <w:i/>
        </w:rPr>
        <w:t>.</w:t>
      </w:r>
    </w:p>
  </w:endnote>
  <w:endnote w:id="1973">
    <w:p w:rsidR="00975183" w:rsidRPr="006F47F2" w:rsidRDefault="00975183" w:rsidP="006A2E06">
      <w:pPr>
        <w:autoSpaceDE w:val="0"/>
        <w:autoSpaceDN w:val="0"/>
        <w:adjustRightInd w:val="0"/>
        <w:spacing w:after="0" w:line="240" w:lineRule="auto"/>
        <w:rPr>
          <w:lang w:val="en-US" w:bidi="he-IL"/>
        </w:rPr>
      </w:pPr>
      <w:r w:rsidRPr="00060E15">
        <w:rPr>
          <w:rStyle w:val="FootnoteReference"/>
        </w:rPr>
        <w:endnoteRef/>
      </w:r>
      <w:r w:rsidRPr="00060E15">
        <w:t xml:space="preserve"> For Rev. 19:20,</w:t>
      </w:r>
      <w:r w:rsidRPr="00EF498F">
        <w:rPr>
          <w:rFonts w:ascii="Times New Roman" w:hAnsi="Times New Roman"/>
          <w:sz w:val="18"/>
          <w:szCs w:val="18"/>
        </w:rPr>
        <w:t xml:space="preserve"> </w:t>
      </w:r>
      <w:r w:rsidRPr="00060E15">
        <w:t>‘</w:t>
      </w:r>
      <w:r w:rsidRPr="00EF498F">
        <w:rPr>
          <w:rFonts w:ascii="Bwgrkl" w:hAnsi="Bwgrkl" w:cs="Bwgrkl"/>
          <w:lang w:val="en-US" w:bidi="he-IL"/>
        </w:rPr>
        <w:t xml:space="preserve">kai. </w:t>
      </w:r>
      <w:proofErr w:type="gramStart"/>
      <w:r w:rsidRPr="00EF498F">
        <w:rPr>
          <w:rFonts w:ascii="Bwgrkl" w:hAnsi="Bwgrkl" w:cs="Bwgrkl"/>
          <w:lang w:val="en-US" w:bidi="he-IL"/>
        </w:rPr>
        <w:t>evpia,</w:t>
      </w:r>
      <w:proofErr w:type="gramEnd"/>
      <w:r w:rsidRPr="00EF498F">
        <w:rPr>
          <w:rFonts w:ascii="Bwgrkl" w:hAnsi="Bwgrkl" w:cs="Bwgrkl"/>
          <w:lang w:val="en-US" w:bidi="he-IL"/>
        </w:rPr>
        <w:t xml:space="preserve">sqh to. </w:t>
      </w:r>
      <w:proofErr w:type="gramStart"/>
      <w:r w:rsidRPr="00EF498F">
        <w:rPr>
          <w:rFonts w:ascii="Bwgrkl" w:hAnsi="Bwgrkl" w:cs="Bwgrkl"/>
          <w:lang w:val="en-US" w:bidi="he-IL"/>
        </w:rPr>
        <w:t>qhri,</w:t>
      </w:r>
      <w:proofErr w:type="gramEnd"/>
      <w:r w:rsidRPr="00EF498F">
        <w:rPr>
          <w:rFonts w:ascii="Bwgrkl" w:hAnsi="Bwgrkl" w:cs="Bwgrkl"/>
          <w:lang w:val="en-US" w:bidi="he-IL"/>
        </w:rPr>
        <w:t xml:space="preserve">on kai. </w:t>
      </w:r>
      <w:proofErr w:type="gramStart"/>
      <w:r w:rsidRPr="00EF498F">
        <w:rPr>
          <w:rFonts w:ascii="Bwgrkl" w:hAnsi="Bwgrkl" w:cs="Bwgrkl"/>
          <w:lang w:val="en-US" w:bidi="he-IL"/>
        </w:rPr>
        <w:t>metV</w:t>
      </w:r>
      <w:proofErr w:type="gramEnd"/>
      <w:r w:rsidRPr="00EF498F">
        <w:rPr>
          <w:rFonts w:ascii="Bwgrkl" w:hAnsi="Bwgrkl" w:cs="Bwgrkl"/>
          <w:lang w:val="en-US" w:bidi="he-IL"/>
        </w:rPr>
        <w:t xml:space="preserve"> auvtou/ o` yeudoprofh,thj o` poih,saj </w:t>
      </w:r>
      <w:r w:rsidRPr="00EF498F">
        <w:rPr>
          <w:rFonts w:ascii="Bwgrkl" w:hAnsi="Bwgrkl" w:cs="Arial"/>
          <w:lang w:val="en-US" w:bidi="he-IL"/>
        </w:rPr>
        <w:t>ta. shmei/a evnw,pion auvtou/( evn oi-j evpla,nhsen tou.j labo,ntaj to. ca,ragma tou/ qhri,ou kai. tou.j proskunou/ntaj th/| eivko,ni auvtou/\ zw/ntej evblh,qhsan oi` du,o eivj th.n li,mnhn tou/ puro.j th/j kaiome,nhj evn qei,w|</w:t>
      </w:r>
      <w:r w:rsidRPr="00EF498F">
        <w:rPr>
          <w:rFonts w:ascii="Times New Roman" w:hAnsi="Times New Roman"/>
          <w:sz w:val="18"/>
          <w:szCs w:val="18"/>
          <w:lang w:val="en-US" w:bidi="he-IL"/>
        </w:rPr>
        <w:t>’</w:t>
      </w:r>
      <w:r w:rsidRPr="00060E15">
        <w:rPr>
          <w:lang w:val="en-US" w:bidi="he-IL"/>
        </w:rPr>
        <w:t xml:space="preserve">, </w:t>
      </w:r>
      <w:r w:rsidRPr="00060E15">
        <w:t>the majority of English translations give ‘in the presence of’ or ‘before’ for the phrase, ‘</w:t>
      </w:r>
      <w:r w:rsidRPr="006F47F2">
        <w:rPr>
          <w:rFonts w:ascii="Bwgrkl" w:hAnsi="Bwgrkl" w:cs="Bwgrkl"/>
          <w:u w:val="single"/>
          <w:lang w:val="en-US" w:bidi="he-IL"/>
        </w:rPr>
        <w:t>evnw,pion auvtou</w:t>
      </w:r>
      <w:r w:rsidRPr="00EF498F">
        <w:rPr>
          <w:rFonts w:ascii="Bwgrkl" w:hAnsi="Bwgrkl" w:cs="Bwgrkl"/>
          <w:sz w:val="24"/>
          <w:szCs w:val="24"/>
          <w:u w:val="single"/>
          <w:lang w:val="en-US" w:bidi="he-IL"/>
        </w:rPr>
        <w:t>/</w:t>
      </w:r>
      <w:r w:rsidRPr="00EF498F">
        <w:rPr>
          <w:rFonts w:ascii="Times New Roman" w:hAnsi="Times New Roman"/>
          <w:sz w:val="18"/>
          <w:szCs w:val="18"/>
        </w:rPr>
        <w:t xml:space="preserve">’ </w:t>
      </w:r>
      <w:r w:rsidRPr="006F47F2">
        <w:t>(</w:t>
      </w:r>
      <w:r w:rsidRPr="006F47F2">
        <w:rPr>
          <w:i/>
        </w:rPr>
        <w:t>CJB, ESV, NAS, NKJV</w:t>
      </w:r>
      <w:r w:rsidRPr="006F47F2">
        <w:t xml:space="preserve">, </w:t>
      </w:r>
      <w:r w:rsidRPr="006F47F2">
        <w:rPr>
          <w:i/>
        </w:rPr>
        <w:t>Tyndale</w:t>
      </w:r>
      <w:r w:rsidRPr="006F47F2">
        <w:t xml:space="preserve">, </w:t>
      </w:r>
      <w:r w:rsidRPr="006F47F2">
        <w:rPr>
          <w:i/>
        </w:rPr>
        <w:t>Young’s Literal, Darby, Geneva, KJV</w:t>
      </w:r>
      <w:r w:rsidRPr="006F47F2">
        <w:t>), as do two French translations (Bible en fran</w:t>
      </w:r>
      <w:r w:rsidRPr="006F47F2">
        <w:rPr>
          <w:lang w:val="en-US"/>
        </w:rPr>
        <w:t>ç</w:t>
      </w:r>
      <w:r w:rsidRPr="006F47F2">
        <w:t>ais courant – ‘en sa presence’; Nouvelle Edition Geneve – ‘ devant elle’), four German translations (Revidierte Elberfelder, Luther 1545 German Bible, Luther Bible 1912 – ‘vor ihm’; Revidierte Lutherbibel – vor seinen Augen) and the Vulgate (</w:t>
      </w:r>
      <w:r w:rsidRPr="006F47F2">
        <w:rPr>
          <w:lang w:val="en-US" w:bidi="he-IL"/>
        </w:rPr>
        <w:t>coram ipso)</w:t>
      </w:r>
      <w:r w:rsidRPr="006F47F2">
        <w:t>.</w:t>
      </w:r>
    </w:p>
    <w:p w:rsidR="00975183" w:rsidRDefault="00975183" w:rsidP="006A2E06">
      <w:pPr>
        <w:pStyle w:val="EndnoteText"/>
      </w:pPr>
      <w:r w:rsidRPr="006F47F2">
        <w:t>However, some English translations do give ‘on behalf of’ (</w:t>
      </w:r>
      <w:r w:rsidRPr="006F47F2">
        <w:rPr>
          <w:i/>
        </w:rPr>
        <w:t>NET</w:t>
      </w:r>
      <w:r w:rsidRPr="006F47F2">
        <w:t xml:space="preserve">, </w:t>
      </w:r>
      <w:r w:rsidRPr="006F47F2">
        <w:rPr>
          <w:i/>
        </w:rPr>
        <w:t>NIV</w:t>
      </w:r>
      <w:r w:rsidRPr="006F47F2">
        <w:t xml:space="preserve">, </w:t>
      </w:r>
      <w:proofErr w:type="gramStart"/>
      <w:r w:rsidRPr="006F47F2">
        <w:rPr>
          <w:i/>
        </w:rPr>
        <w:t>NJB</w:t>
      </w:r>
      <w:proofErr w:type="gramEnd"/>
      <w:r w:rsidRPr="006F47F2">
        <w:t xml:space="preserve">) and the </w:t>
      </w:r>
      <w:r w:rsidRPr="006F47F2">
        <w:rPr>
          <w:i/>
        </w:rPr>
        <w:t>French Bible Jerusalem</w:t>
      </w:r>
      <w:r w:rsidRPr="006F47F2">
        <w:t xml:space="preserve"> gives ‘au service de’.  Whether these are justifiable translations or not, Scofield did not have access to them and his assertions concerning military co-operation between the False Prophet and the Beast are certainly not justified by any reading of the </w:t>
      </w:r>
      <w:r w:rsidRPr="006F47F2">
        <w:rPr>
          <w:i/>
        </w:rPr>
        <w:t>KJV</w:t>
      </w:r>
      <w:r w:rsidRPr="006F47F2">
        <w:t xml:space="preserve"> translation.</w:t>
      </w:r>
    </w:p>
  </w:endnote>
  <w:endnote w:id="1974">
    <w:p w:rsidR="00975183" w:rsidRPr="008064B8" w:rsidRDefault="00975183" w:rsidP="006A2E06">
      <w:pPr>
        <w:pStyle w:val="EndnoteText"/>
      </w:pPr>
      <w:r w:rsidRPr="008064B8">
        <w:rPr>
          <w:rStyle w:val="EndnoteReference"/>
        </w:rPr>
        <w:endnoteRef/>
      </w:r>
      <w:r w:rsidRPr="008064B8">
        <w:t xml:space="preserve"> Richard Bauckham, </w:t>
      </w:r>
      <w:proofErr w:type="gramStart"/>
      <w:r w:rsidRPr="008064B8">
        <w:rPr>
          <w:i/>
        </w:rPr>
        <w:t>The</w:t>
      </w:r>
      <w:proofErr w:type="gramEnd"/>
      <w:r w:rsidRPr="008064B8">
        <w:rPr>
          <w:i/>
        </w:rPr>
        <w:t xml:space="preserve"> Theology of the Book of Revelation</w:t>
      </w:r>
      <w:r w:rsidRPr="008064B8">
        <w:t xml:space="preserve"> (Cambridge: Cambridge University Press, 1993), p. 115.  References are to Rev. 13:12-13.</w:t>
      </w:r>
    </w:p>
  </w:endnote>
  <w:endnote w:id="1975">
    <w:p w:rsidR="00975183" w:rsidRPr="008064B8" w:rsidRDefault="00975183" w:rsidP="006A2E06">
      <w:pPr>
        <w:pStyle w:val="EndnoteText"/>
      </w:pPr>
      <w:r w:rsidRPr="008064B8">
        <w:rPr>
          <w:rStyle w:val="EndnoteReference"/>
        </w:rPr>
        <w:endnoteRef/>
      </w:r>
      <w:r w:rsidRPr="008064B8">
        <w:t xml:space="preserve"> Fee, </w:t>
      </w:r>
      <w:r w:rsidRPr="008064B8">
        <w:rPr>
          <w:i/>
        </w:rPr>
        <w:t>Revelation</w:t>
      </w:r>
      <w:r w:rsidRPr="008064B8">
        <w:t>, p. 186.  The reference is to Rev. 13:15.</w:t>
      </w:r>
    </w:p>
  </w:endnote>
  <w:endnote w:id="1976">
    <w:p w:rsidR="00975183" w:rsidRDefault="00975183" w:rsidP="006A2E06">
      <w:pPr>
        <w:pStyle w:val="EndnoteText"/>
      </w:pPr>
      <w:r w:rsidRPr="006F47F2">
        <w:rPr>
          <w:rStyle w:val="FootnoteReference"/>
        </w:rPr>
        <w:endnoteRef/>
      </w:r>
      <w:r w:rsidRPr="006F47F2">
        <w:t xml:space="preserve"> </w:t>
      </w:r>
      <w:r w:rsidRPr="00EF7B32">
        <w:t xml:space="preserve">Rev. 19:20; 20:10, cf the doom of the Beast and False Prophet, </w:t>
      </w:r>
      <w:r w:rsidRPr="00EF7B32">
        <w:rPr>
          <w:i/>
        </w:rPr>
        <w:t>SRB</w:t>
      </w:r>
      <w:r w:rsidRPr="00EF7B32">
        <w:t xml:space="preserve"> subhead to Rev. 19:20, p. 1349, and note on Rev</w:t>
      </w:r>
      <w:r w:rsidRPr="006F47F2">
        <w:t>. 19:19</w:t>
      </w:r>
      <w:r>
        <w:t>.</w:t>
      </w:r>
    </w:p>
  </w:endnote>
  <w:endnote w:id="1977">
    <w:p w:rsidR="00975183" w:rsidRPr="008064B8" w:rsidRDefault="00975183" w:rsidP="006A2E06">
      <w:pPr>
        <w:pStyle w:val="EndnoteText"/>
      </w:pPr>
      <w:r w:rsidRPr="008064B8">
        <w:rPr>
          <w:rStyle w:val="EndnoteReference"/>
        </w:rPr>
        <w:endnoteRef/>
      </w:r>
      <w:r w:rsidRPr="008064B8">
        <w:t xml:space="preserve"> </w:t>
      </w:r>
      <w:r w:rsidRPr="008064B8">
        <w:rPr>
          <w:i/>
        </w:rPr>
        <w:t>SRB</w:t>
      </w:r>
      <w:r w:rsidRPr="008064B8">
        <w:t xml:space="preserve"> notes on Isa. 13:1, pp. 724-5; Joel 1:4, p. 9330</w:t>
      </w:r>
      <w:r w:rsidRPr="008064B8">
        <w:rPr>
          <w:b/>
        </w:rPr>
        <w:t>.</w:t>
      </w:r>
    </w:p>
  </w:endnote>
  <w:endnote w:id="1978">
    <w:p w:rsidR="00975183" w:rsidRPr="008064B8" w:rsidRDefault="00975183" w:rsidP="006A2E06">
      <w:pPr>
        <w:pStyle w:val="EndnoteText"/>
      </w:pPr>
      <w:r w:rsidRPr="008064B8">
        <w:rPr>
          <w:rStyle w:val="EndnoteReference"/>
        </w:rPr>
        <w:endnoteRef/>
      </w:r>
      <w:r w:rsidRPr="008064B8">
        <w:t xml:space="preserve"> </w:t>
      </w:r>
      <w:proofErr w:type="gramStart"/>
      <w:r w:rsidRPr="008064B8">
        <w:rPr>
          <w:i/>
        </w:rPr>
        <w:t>SRB</w:t>
      </w:r>
      <w:r w:rsidRPr="008064B8">
        <w:t xml:space="preserve"> note on Rev. 19:17, p. 1348.</w:t>
      </w:r>
      <w:proofErr w:type="gramEnd"/>
      <w:r w:rsidRPr="008064B8">
        <w:t xml:space="preserve">  </w:t>
      </w:r>
    </w:p>
  </w:endnote>
  <w:endnote w:id="1979">
    <w:p w:rsidR="00975183" w:rsidRPr="006F47F2" w:rsidRDefault="00975183" w:rsidP="006A2E06">
      <w:pPr>
        <w:pStyle w:val="FootnoteText"/>
        <w:rPr>
          <w:rFonts w:ascii="Perpetua" w:hAnsi="Perpetua"/>
          <w:color w:val="000000"/>
        </w:rPr>
      </w:pPr>
      <w:r w:rsidRPr="006F47F2">
        <w:rPr>
          <w:rStyle w:val="FootnoteReference"/>
          <w:rFonts w:ascii="Perpetua" w:hAnsi="Perpetua"/>
        </w:rPr>
        <w:endnoteRef/>
      </w:r>
      <w:r w:rsidRPr="006F47F2">
        <w:rPr>
          <w:rFonts w:ascii="Perpetua" w:hAnsi="Perpetua"/>
        </w:rPr>
        <w:t xml:space="preserve"> </w:t>
      </w:r>
      <w:r w:rsidRPr="006F47F2">
        <w:rPr>
          <w:rFonts w:ascii="Perpetua" w:hAnsi="Perpetua"/>
          <w:color w:val="000000"/>
        </w:rPr>
        <w:t>‘</w:t>
      </w:r>
      <w:r w:rsidRPr="006F47F2">
        <w:rPr>
          <w:rFonts w:ascii="Perpetua" w:hAnsi="Perpetua"/>
          <w:color w:val="000000"/>
          <w:lang w:val="en-US"/>
        </w:rPr>
        <w:t>Little children, it is the last time: and as ye have heard that antichrist shall come, even now are there many antichrists; whereby we know that it is the last time</w:t>
      </w:r>
      <w:r w:rsidRPr="006F47F2">
        <w:rPr>
          <w:rFonts w:ascii="Perpetua" w:hAnsi="Perpetua"/>
          <w:color w:val="000000"/>
        </w:rPr>
        <w:t xml:space="preserve">’ 1 Jn 2:18, </w:t>
      </w:r>
      <w:r w:rsidRPr="006F47F2">
        <w:rPr>
          <w:rFonts w:ascii="Perpetua" w:hAnsi="Perpetua"/>
          <w:i/>
          <w:color w:val="000000"/>
        </w:rPr>
        <w:t>KJV</w:t>
      </w:r>
      <w:r w:rsidRPr="006F47F2">
        <w:rPr>
          <w:rFonts w:ascii="Perpetua" w:hAnsi="Perpetua"/>
          <w:color w:val="000000"/>
        </w:rPr>
        <w:t xml:space="preserve">; </w:t>
      </w:r>
    </w:p>
    <w:p w:rsidR="00975183" w:rsidRPr="006F47F2" w:rsidRDefault="00975183" w:rsidP="006A2E06">
      <w:pPr>
        <w:pStyle w:val="FootnoteText"/>
        <w:rPr>
          <w:rFonts w:ascii="Perpetua" w:hAnsi="Perpetua"/>
          <w:color w:val="000000"/>
        </w:rPr>
      </w:pPr>
      <w:r w:rsidRPr="00EF498F">
        <w:rPr>
          <w:rFonts w:ascii="Times New Roman" w:hAnsi="Times New Roman"/>
          <w:color w:val="000000"/>
          <w:sz w:val="18"/>
          <w:szCs w:val="18"/>
        </w:rPr>
        <w:t xml:space="preserve"> </w:t>
      </w:r>
      <w:r w:rsidRPr="006F47F2">
        <w:rPr>
          <w:rFonts w:ascii="Perpetua" w:hAnsi="Perpetua"/>
          <w:color w:val="000000"/>
        </w:rPr>
        <w:t>‘</w:t>
      </w:r>
      <w:r w:rsidRPr="006F47F2">
        <w:rPr>
          <w:rFonts w:ascii="Perpetua" w:hAnsi="Perpetua"/>
          <w:color w:val="000000"/>
          <w:lang w:val="en-US"/>
        </w:rPr>
        <w:t>Who is a liar but he that denieth</w:t>
      </w:r>
      <w:r w:rsidRPr="006F47F2">
        <w:rPr>
          <w:rFonts w:ascii="Perpetua" w:hAnsi="Perpetua"/>
          <w:lang w:val="en-US"/>
        </w:rPr>
        <w:t xml:space="preserve"> </w:t>
      </w:r>
      <w:r w:rsidRPr="006F47F2">
        <w:rPr>
          <w:rFonts w:ascii="Perpetua" w:hAnsi="Perpetua"/>
          <w:color w:val="000000"/>
          <w:lang w:val="en-US"/>
        </w:rPr>
        <w:t>that Jesus is the Christ? He is antichrist, that denieth the Father and the Son</w:t>
      </w:r>
      <w:r w:rsidRPr="006F47F2">
        <w:rPr>
          <w:rFonts w:ascii="Perpetua" w:hAnsi="Perpetua"/>
          <w:color w:val="000000"/>
        </w:rPr>
        <w:t xml:space="preserve">’, 1 Jn 2:22, </w:t>
      </w:r>
      <w:r w:rsidRPr="006F47F2">
        <w:rPr>
          <w:rFonts w:ascii="Perpetua" w:hAnsi="Perpetua"/>
          <w:i/>
          <w:color w:val="000000"/>
        </w:rPr>
        <w:t>KJV</w:t>
      </w:r>
      <w:r w:rsidRPr="006F47F2">
        <w:rPr>
          <w:rFonts w:ascii="Perpetua" w:hAnsi="Perpetua"/>
          <w:color w:val="000000"/>
        </w:rPr>
        <w:t xml:space="preserve">; </w:t>
      </w:r>
    </w:p>
    <w:p w:rsidR="00975183" w:rsidRPr="006F47F2" w:rsidRDefault="00975183" w:rsidP="006A2E06">
      <w:pPr>
        <w:pStyle w:val="FootnoteText"/>
        <w:rPr>
          <w:rFonts w:ascii="Perpetua" w:hAnsi="Perpetua"/>
          <w:color w:val="000000"/>
        </w:rPr>
      </w:pPr>
      <w:r w:rsidRPr="006F47F2">
        <w:rPr>
          <w:rFonts w:ascii="Perpetua" w:hAnsi="Perpetua"/>
          <w:color w:val="000000"/>
        </w:rPr>
        <w:t xml:space="preserve"> ‘</w:t>
      </w:r>
      <w:r w:rsidRPr="006F47F2">
        <w:rPr>
          <w:rFonts w:ascii="Perpetua" w:hAnsi="Perpetua"/>
          <w:color w:val="000000"/>
          <w:lang w:val="en-US"/>
        </w:rPr>
        <w:t xml:space="preserve">And every spirit that confesseth not that Jesus Christ is come in the flesh is not of God: and this is that </w:t>
      </w:r>
      <w:r w:rsidRPr="006F47F2">
        <w:rPr>
          <w:rFonts w:ascii="Perpetua" w:hAnsi="Perpetua"/>
          <w:i/>
          <w:iCs/>
          <w:color w:val="000000"/>
          <w:lang w:val="en-US"/>
        </w:rPr>
        <w:t>spirit</w:t>
      </w:r>
      <w:r w:rsidRPr="006F47F2">
        <w:rPr>
          <w:rFonts w:ascii="Perpetua" w:hAnsi="Perpetua"/>
          <w:color w:val="000000"/>
          <w:lang w:val="en-US"/>
        </w:rPr>
        <w:t xml:space="preserve"> of antichrist, whereof ye have heard that it should come; and even now already is it in the world’, </w:t>
      </w:r>
      <w:r w:rsidRPr="006F47F2">
        <w:rPr>
          <w:rFonts w:ascii="Perpetua" w:hAnsi="Perpetua"/>
          <w:color w:val="000000"/>
        </w:rPr>
        <w:t xml:space="preserve">1 Jn 4:3, </w:t>
      </w:r>
      <w:r w:rsidRPr="006F47F2">
        <w:rPr>
          <w:rFonts w:ascii="Perpetua" w:hAnsi="Perpetua"/>
          <w:i/>
          <w:color w:val="000000"/>
        </w:rPr>
        <w:t>KJV</w:t>
      </w:r>
      <w:r w:rsidRPr="006F47F2">
        <w:rPr>
          <w:rFonts w:ascii="Perpetua" w:hAnsi="Perpetua"/>
          <w:color w:val="000000"/>
        </w:rPr>
        <w:t xml:space="preserve">; </w:t>
      </w:r>
    </w:p>
    <w:p w:rsidR="00975183" w:rsidRDefault="00975183" w:rsidP="006A2E06">
      <w:pPr>
        <w:pStyle w:val="EndnoteText"/>
      </w:pPr>
      <w:r w:rsidRPr="006F47F2">
        <w:rPr>
          <w:color w:val="000000"/>
        </w:rPr>
        <w:t xml:space="preserve"> ‘</w:t>
      </w:r>
      <w:r w:rsidRPr="006F47F2">
        <w:rPr>
          <w:color w:val="000000"/>
          <w:lang w:val="en-US"/>
        </w:rPr>
        <w:t>For many deceivers are entered into the world, who confess not that Jesus Christ is come in the flesh. This is a deceiver and an antichrist</w:t>
      </w:r>
      <w:r w:rsidRPr="006F47F2">
        <w:rPr>
          <w:color w:val="000000"/>
        </w:rPr>
        <w:t xml:space="preserve">’, 2 Jn 1:7, </w:t>
      </w:r>
      <w:r w:rsidRPr="006F47F2">
        <w:rPr>
          <w:i/>
          <w:color w:val="000000"/>
        </w:rPr>
        <w:t>KJV</w:t>
      </w:r>
      <w:r w:rsidRPr="006F47F2">
        <w:rPr>
          <w:color w:val="000000"/>
        </w:rPr>
        <w:t>.</w:t>
      </w:r>
    </w:p>
  </w:endnote>
  <w:endnote w:id="1980">
    <w:p w:rsidR="00975183" w:rsidRDefault="00975183" w:rsidP="006A2E06">
      <w:pPr>
        <w:pStyle w:val="EndnoteText"/>
      </w:pPr>
      <w:r>
        <w:rPr>
          <w:rStyle w:val="EndnoteReference"/>
        </w:rPr>
        <w:endnoteRef/>
      </w:r>
      <w:r>
        <w:t xml:space="preserve"> </w:t>
      </w:r>
      <w:r w:rsidRPr="006F47F2">
        <w:t xml:space="preserve">Fee, </w:t>
      </w:r>
      <w:r w:rsidRPr="006F47F2">
        <w:rPr>
          <w:i/>
        </w:rPr>
        <w:t>Revelation</w:t>
      </w:r>
      <w:r w:rsidRPr="006F47F2">
        <w:t>, p. 187.</w:t>
      </w:r>
    </w:p>
  </w:endnote>
  <w:endnote w:id="1981">
    <w:p w:rsidR="00975183" w:rsidRDefault="00975183" w:rsidP="006A2E06">
      <w:pPr>
        <w:pStyle w:val="EndnoteText"/>
      </w:pPr>
      <w:r w:rsidRPr="00C80AB2">
        <w:rPr>
          <w:rStyle w:val="EndnoteReference"/>
        </w:rPr>
        <w:endnoteRef/>
      </w:r>
      <w:r w:rsidRPr="00C80AB2">
        <w:t xml:space="preserve"> </w:t>
      </w:r>
      <w:r w:rsidRPr="006F47F2">
        <w:t>Bauckham</w:t>
      </w:r>
      <w:r>
        <w:t>,</w:t>
      </w:r>
      <w:r w:rsidRPr="006F47F2">
        <w:t xml:space="preserve"> </w:t>
      </w:r>
      <w:r w:rsidRPr="00F24737">
        <w:rPr>
          <w:i/>
        </w:rPr>
        <w:t>Theology of Revelation</w:t>
      </w:r>
      <w:r w:rsidRPr="00F24737">
        <w:t>, p. 38</w:t>
      </w:r>
      <w:r>
        <w:t>.</w:t>
      </w:r>
    </w:p>
  </w:endnote>
  <w:endnote w:id="1982">
    <w:p w:rsidR="00975183" w:rsidRPr="008064B8" w:rsidRDefault="00975183" w:rsidP="006A2E06">
      <w:pPr>
        <w:pStyle w:val="EndnoteText"/>
      </w:pPr>
      <w:r w:rsidRPr="008064B8">
        <w:rPr>
          <w:rStyle w:val="EndnoteReference"/>
        </w:rPr>
        <w:endnoteRef/>
      </w:r>
      <w:r w:rsidRPr="008064B8">
        <w:t xml:space="preserve"> John Sweet, </w:t>
      </w:r>
      <w:r w:rsidRPr="008064B8">
        <w:rPr>
          <w:i/>
        </w:rPr>
        <w:t>Revelation</w:t>
      </w:r>
      <w:r w:rsidRPr="008064B8">
        <w:t xml:space="preserve"> (SCM Pelican Commentaries, D. E. Nineham [ed.], London: SCM Press Ltd., 1979), p. 9.</w:t>
      </w:r>
    </w:p>
  </w:endnote>
  <w:endnote w:id="1983">
    <w:p w:rsidR="00975183" w:rsidRPr="00DE4E94" w:rsidRDefault="00975183" w:rsidP="006A2E06">
      <w:pPr>
        <w:pStyle w:val="EndnoteText"/>
      </w:pPr>
      <w:r w:rsidRPr="00DE4E94">
        <w:rPr>
          <w:rStyle w:val="EndnoteReference"/>
        </w:rPr>
        <w:endnoteRef/>
      </w:r>
      <w:r w:rsidRPr="00DE4E94">
        <w:t xml:space="preserve"> </w:t>
      </w:r>
      <w:r>
        <w:t xml:space="preserve">These were discussed in Chapter 1.  See especially 1.1.2 and the section on </w:t>
      </w:r>
      <w:r w:rsidRPr="00FD710E">
        <w:rPr>
          <w:rStyle w:val="ind"/>
          <w:i/>
        </w:rPr>
        <w:t>Grammatical-Historical Interpretation and Literary-Theological Interpretation</w:t>
      </w:r>
      <w:r w:rsidRPr="00BB183A">
        <w:rPr>
          <w:rStyle w:val="ind"/>
        </w:rPr>
        <w:t>.</w:t>
      </w:r>
    </w:p>
  </w:endnote>
  <w:endnote w:id="1984">
    <w:p w:rsidR="00975183" w:rsidRDefault="00975183" w:rsidP="006A2E06">
      <w:pPr>
        <w:pStyle w:val="EndnoteText"/>
      </w:pPr>
      <w:r w:rsidRPr="00660C4F">
        <w:rPr>
          <w:rStyle w:val="EndnoteReference"/>
        </w:rPr>
        <w:endnoteRef/>
      </w:r>
      <w:r w:rsidRPr="00660C4F">
        <w:t xml:space="preserve"> </w:t>
      </w:r>
      <w:r>
        <w:rPr>
          <w:spacing w:val="-1"/>
        </w:rPr>
        <w:t>Cox,</w:t>
      </w:r>
      <w:r>
        <w:rPr>
          <w:spacing w:val="-2"/>
        </w:rPr>
        <w:t xml:space="preserve"> </w:t>
      </w:r>
      <w:r>
        <w:rPr>
          <w:i/>
          <w:spacing w:val="-1"/>
        </w:rPr>
        <w:t>Biblical</w:t>
      </w:r>
      <w:r>
        <w:rPr>
          <w:i/>
        </w:rPr>
        <w:t xml:space="preserve"> </w:t>
      </w:r>
      <w:r>
        <w:rPr>
          <w:i/>
          <w:spacing w:val="-1"/>
        </w:rPr>
        <w:t>Studies in</w:t>
      </w:r>
      <w:r>
        <w:rPr>
          <w:i/>
        </w:rPr>
        <w:t xml:space="preserve"> </w:t>
      </w:r>
      <w:r>
        <w:rPr>
          <w:i/>
          <w:spacing w:val="-1"/>
        </w:rPr>
        <w:t>Final Things</w:t>
      </w:r>
      <w:r>
        <w:rPr>
          <w:spacing w:val="-1"/>
        </w:rPr>
        <w:t>,</w:t>
      </w:r>
      <w:r>
        <w:t xml:space="preserve"> </w:t>
      </w:r>
      <w:r>
        <w:rPr>
          <w:spacing w:val="-1"/>
        </w:rPr>
        <w:t>pp.</w:t>
      </w:r>
      <w:r>
        <w:t xml:space="preserve"> </w:t>
      </w:r>
      <w:r>
        <w:rPr>
          <w:spacing w:val="-1"/>
        </w:rPr>
        <w:t>17-18.</w:t>
      </w:r>
    </w:p>
  </w:endnote>
  <w:endnote w:id="1985">
    <w:p w:rsidR="00975183" w:rsidRDefault="00975183" w:rsidP="006A2E06">
      <w:pPr>
        <w:pStyle w:val="EndnoteText"/>
      </w:pPr>
      <w:r w:rsidRPr="00A0570B">
        <w:rPr>
          <w:rStyle w:val="FootnoteReference"/>
        </w:rPr>
        <w:endnoteRef/>
      </w:r>
      <w:r w:rsidRPr="00A0570B">
        <w:t xml:space="preserve"> Williams, </w:t>
      </w:r>
      <w:r w:rsidRPr="00A0570B">
        <w:rPr>
          <w:i/>
        </w:rPr>
        <w:t>Not My Home</w:t>
      </w:r>
      <w:r w:rsidRPr="00A0570B">
        <w:t>, p. 112.</w:t>
      </w:r>
    </w:p>
  </w:endnote>
  <w:endnote w:id="1986">
    <w:p w:rsidR="00975183" w:rsidRDefault="00975183" w:rsidP="006A2E06">
      <w:pPr>
        <w:pStyle w:val="EndnoteText"/>
      </w:pPr>
      <w:r w:rsidRPr="00A0570B">
        <w:rPr>
          <w:rStyle w:val="FootnoteReference"/>
        </w:rPr>
        <w:endnoteRef/>
      </w:r>
      <w:r w:rsidRPr="00A0570B">
        <w:t xml:space="preserve"> </w:t>
      </w:r>
      <w:proofErr w:type="gramStart"/>
      <w:r w:rsidRPr="00A0570B">
        <w:t xml:space="preserve">Chafer, </w:t>
      </w:r>
      <w:r w:rsidRPr="00A0570B">
        <w:rPr>
          <w:rFonts w:cs="Arial"/>
          <w:i/>
          <w:lang w:val="en-US"/>
        </w:rPr>
        <w:t>Major Bible themes</w:t>
      </w:r>
      <w:r w:rsidRPr="00A0570B">
        <w:rPr>
          <w:rFonts w:cs="Arial"/>
          <w:lang w:val="en-US"/>
        </w:rPr>
        <w:t>, pp. 100-101, footnote</w:t>
      </w:r>
      <w:proofErr w:type="gramEnd"/>
      <w:r w:rsidRPr="00A0570B">
        <w:rPr>
          <w:rFonts w:cs="Arial"/>
          <w:lang w:val="en-US"/>
        </w:rPr>
        <w:t xml:space="preserve"> 1.</w:t>
      </w:r>
    </w:p>
  </w:endnote>
  <w:endnote w:id="1987">
    <w:p w:rsidR="00975183" w:rsidRPr="00DA457E" w:rsidRDefault="00975183" w:rsidP="006A2E06">
      <w:pPr>
        <w:pStyle w:val="EndnoteText"/>
      </w:pPr>
      <w:r w:rsidRPr="00DA457E">
        <w:rPr>
          <w:rStyle w:val="EndnoteReference"/>
        </w:rPr>
        <w:endnoteRef/>
      </w:r>
      <w:r w:rsidRPr="00DA457E">
        <w:t xml:space="preserve"> </w:t>
      </w:r>
      <w:r>
        <w:t>Ref. Rom 10:4.</w:t>
      </w:r>
    </w:p>
  </w:endnote>
  <w:endnote w:id="1988">
    <w:p w:rsidR="00975183" w:rsidRDefault="00975183" w:rsidP="006A2E06">
      <w:pPr>
        <w:pStyle w:val="EndnoteText"/>
      </w:pPr>
      <w:r w:rsidRPr="00DA457E">
        <w:rPr>
          <w:rStyle w:val="EndnoteReference"/>
        </w:rPr>
        <w:endnoteRef/>
      </w:r>
      <w:r w:rsidRPr="00DA457E">
        <w:t xml:space="preserve"> </w:t>
      </w:r>
      <w:r>
        <w:t>Ref. Mt. 24:14.</w:t>
      </w:r>
    </w:p>
  </w:endnote>
  <w:endnote w:id="1989">
    <w:p w:rsidR="00975183" w:rsidRDefault="00975183" w:rsidP="006A2E06">
      <w:pPr>
        <w:pStyle w:val="EndnoteText"/>
      </w:pPr>
      <w:r w:rsidRPr="00DA457E">
        <w:rPr>
          <w:rStyle w:val="EndnoteReference"/>
        </w:rPr>
        <w:endnoteRef/>
      </w:r>
      <w:r w:rsidRPr="00DA457E">
        <w:t xml:space="preserve"> </w:t>
      </w:r>
      <w:proofErr w:type="gramStart"/>
      <w:r>
        <w:t>Ref. Revelation 7.</w:t>
      </w:r>
      <w:proofErr w:type="gramEnd"/>
    </w:p>
  </w:endnote>
  <w:endnote w:id="1990">
    <w:p w:rsidR="00975183" w:rsidRPr="00F23FBB" w:rsidRDefault="00975183" w:rsidP="006A2E06">
      <w:pPr>
        <w:pStyle w:val="EndnoteText"/>
      </w:pPr>
      <w:r w:rsidRPr="00F23FBB">
        <w:rPr>
          <w:rStyle w:val="EndnoteReference"/>
        </w:rPr>
        <w:endnoteRef/>
      </w:r>
      <w:r w:rsidRPr="00F23FBB">
        <w:t xml:space="preserve"> </w:t>
      </w:r>
      <w:r>
        <w:t xml:space="preserve">Stamper, </w:t>
      </w:r>
      <w:r w:rsidRPr="00F23FBB">
        <w:rPr>
          <w:i/>
        </w:rPr>
        <w:t>Covenantal Dispensationalism</w:t>
      </w:r>
      <w:r>
        <w:t>, pp. 102-3.</w:t>
      </w:r>
    </w:p>
  </w:endnote>
  <w:endnote w:id="1991">
    <w:p w:rsidR="00975183" w:rsidRPr="00F23FBB" w:rsidRDefault="00975183" w:rsidP="006A2E06">
      <w:pPr>
        <w:pStyle w:val="EndnoteText"/>
      </w:pPr>
      <w:r w:rsidRPr="00F23FBB">
        <w:rPr>
          <w:rStyle w:val="EndnoteReference"/>
        </w:rPr>
        <w:endnoteRef/>
      </w:r>
      <w:r w:rsidRPr="00F23FBB">
        <w:t xml:space="preserve"> </w:t>
      </w:r>
      <w:r>
        <w:t xml:space="preserve">Ryrie, </w:t>
      </w:r>
      <w:r w:rsidRPr="00F23FBB">
        <w:rPr>
          <w:i/>
        </w:rPr>
        <w:t>Dispensationalism Today</w:t>
      </w:r>
      <w:r>
        <w:t>, pp. 54-7.</w:t>
      </w:r>
    </w:p>
  </w:endnote>
  <w:endnote w:id="1992">
    <w:p w:rsidR="00975183" w:rsidRDefault="00975183" w:rsidP="006A2E06">
      <w:pPr>
        <w:pStyle w:val="EndnoteText"/>
      </w:pPr>
      <w:r w:rsidRPr="00F23FBB">
        <w:rPr>
          <w:rStyle w:val="EndnoteReference"/>
        </w:rPr>
        <w:endnoteRef/>
      </w:r>
      <w:r w:rsidRPr="00F23FBB">
        <w:t xml:space="preserve"> </w:t>
      </w:r>
      <w:r>
        <w:t xml:space="preserve">Ryrie, </w:t>
      </w:r>
      <w:r w:rsidRPr="00F23FBB">
        <w:rPr>
          <w:i/>
        </w:rPr>
        <w:t>Dispensationalism Today</w:t>
      </w:r>
      <w:r>
        <w:t>, p. 63.</w:t>
      </w:r>
    </w:p>
  </w:endnote>
  <w:endnote w:id="1993">
    <w:p w:rsidR="00975183" w:rsidRPr="008A79AB" w:rsidRDefault="00975183" w:rsidP="006A2E06">
      <w:pPr>
        <w:pStyle w:val="EndnoteText"/>
      </w:pPr>
      <w:r w:rsidRPr="008A79AB">
        <w:rPr>
          <w:rStyle w:val="EndnoteReference"/>
        </w:rPr>
        <w:endnoteRef/>
      </w:r>
      <w:r w:rsidRPr="008A79AB">
        <w:t xml:space="preserve"> </w:t>
      </w:r>
      <w:proofErr w:type="gramStart"/>
      <w:r w:rsidRPr="00F0000A">
        <w:rPr>
          <w:b/>
        </w:rPr>
        <w:t>See 6.1.1; 6.1.3</w:t>
      </w:r>
      <w:r>
        <w:t>.</w:t>
      </w:r>
      <w:proofErr w:type="gramEnd"/>
    </w:p>
  </w:endnote>
  <w:endnote w:id="1994">
    <w:p w:rsidR="00975183" w:rsidRPr="00D942CD" w:rsidRDefault="00975183" w:rsidP="006A2E06">
      <w:pPr>
        <w:pStyle w:val="EndnoteText"/>
      </w:pPr>
      <w:r w:rsidRPr="00D942CD">
        <w:rPr>
          <w:rStyle w:val="EndnoteReference"/>
        </w:rPr>
        <w:endnoteRef/>
      </w:r>
      <w:r w:rsidRPr="00D942CD">
        <w:t xml:space="preserve"> </w:t>
      </w:r>
      <w:proofErr w:type="gramStart"/>
      <w:r w:rsidRPr="00D942CD">
        <w:t xml:space="preserve">Darby, </w:t>
      </w:r>
      <w:r>
        <w:t xml:space="preserve">‘On the Gospel of Luke’, </w:t>
      </w:r>
      <w:r w:rsidRPr="005D203D">
        <w:rPr>
          <w:i/>
        </w:rPr>
        <w:t>Collected Writings</w:t>
      </w:r>
      <w:r>
        <w:t xml:space="preserve">, </w:t>
      </w:r>
      <w:r w:rsidRPr="00C3124B">
        <w:rPr>
          <w:i/>
        </w:rPr>
        <w:t>Vol. 25, Expository</w:t>
      </w:r>
      <w:r>
        <w:t>, p. 207 &lt;</w:t>
      </w:r>
      <w:r w:rsidRPr="00D942CD">
        <w:t>http://www.stempublishing.com/authors/darby/EXPOSIT/25026E.html</w:t>
      </w:r>
      <w:r>
        <w:t>&gt; [accessed 15.5.17].</w:t>
      </w:r>
      <w:proofErr w:type="gramEnd"/>
    </w:p>
  </w:endnote>
  <w:endnote w:id="1995">
    <w:p w:rsidR="00975183" w:rsidRDefault="00975183" w:rsidP="006A2E06">
      <w:pPr>
        <w:pStyle w:val="EndnoteText"/>
      </w:pPr>
      <w:r w:rsidRPr="00867CF2">
        <w:rPr>
          <w:rStyle w:val="EndnoteReference"/>
        </w:rPr>
        <w:endnoteRef/>
      </w:r>
      <w:r w:rsidRPr="00867CF2">
        <w:t xml:space="preserve"> </w:t>
      </w:r>
      <w:r w:rsidRPr="00D942CD">
        <w:t>Darby,</w:t>
      </w:r>
      <w:r>
        <w:t xml:space="preserve"> ‘Lectures on the Second Coming, Lecture 1, </w:t>
      </w:r>
      <w:r w:rsidRPr="007B0354">
        <w:rPr>
          <w:sz w:val="22"/>
          <w:szCs w:val="22"/>
        </w:rPr>
        <w:t>1 Thessalonians 1</w:t>
      </w:r>
      <w:r>
        <w:t xml:space="preserve">’, </w:t>
      </w:r>
      <w:r w:rsidRPr="005D203D">
        <w:rPr>
          <w:i/>
        </w:rPr>
        <w:t>Collected Writings</w:t>
      </w:r>
      <w:r>
        <w:t xml:space="preserve">, </w:t>
      </w:r>
      <w:r w:rsidRPr="00C3124B">
        <w:rPr>
          <w:i/>
        </w:rPr>
        <w:t>Vol. 11, Prophetic 4</w:t>
      </w:r>
      <w:r>
        <w:t xml:space="preserve">, </w:t>
      </w:r>
    </w:p>
    <w:p w:rsidR="00975183" w:rsidRDefault="00975183" w:rsidP="006A2E06">
      <w:pPr>
        <w:pStyle w:val="EndnoteText"/>
      </w:pPr>
      <w:r>
        <w:t xml:space="preserve">p. </w:t>
      </w:r>
      <w:proofErr w:type="gramStart"/>
      <w:r>
        <w:t>236  &lt;</w:t>
      </w:r>
      <w:proofErr w:type="gramEnd"/>
      <w:r w:rsidRPr="007E2C2D">
        <w:t>http://www.stempublishing.com/authors/darby/PROPHET/11013E.html&gt; [accessed 24.7.09</w:t>
      </w:r>
      <w:r>
        <w:t>].</w:t>
      </w:r>
    </w:p>
  </w:endnote>
  <w:endnote w:id="1996">
    <w:p w:rsidR="00975183" w:rsidRPr="00867CF2" w:rsidRDefault="00975183" w:rsidP="006A2E06">
      <w:pPr>
        <w:pStyle w:val="EndnoteText"/>
      </w:pPr>
      <w:r w:rsidRPr="00867CF2">
        <w:rPr>
          <w:rStyle w:val="EndnoteReference"/>
        </w:rPr>
        <w:endnoteRef/>
      </w:r>
      <w:r w:rsidRPr="00867CF2">
        <w:t xml:space="preserve"> </w:t>
      </w:r>
      <w:proofErr w:type="gramStart"/>
      <w:r w:rsidRPr="00D942CD">
        <w:t>Darby,</w:t>
      </w:r>
      <w:proofErr w:type="gramEnd"/>
      <w:r>
        <w:t xml:space="preserve"> ‘Lectures on the Second Coming, Lecture 1’.</w:t>
      </w:r>
    </w:p>
  </w:endnote>
  <w:endnote w:id="1997">
    <w:p w:rsidR="00975183" w:rsidRDefault="00975183" w:rsidP="006A2E06">
      <w:pPr>
        <w:pStyle w:val="EndnoteText"/>
      </w:pPr>
      <w:r w:rsidRPr="007A3957">
        <w:rPr>
          <w:rStyle w:val="EndnoteReference"/>
        </w:rPr>
        <w:endnoteRef/>
      </w:r>
      <w:r w:rsidRPr="007A3957">
        <w:t xml:space="preserve"> Darby, ‘</w:t>
      </w:r>
      <w:r w:rsidRPr="00DE500E">
        <w:t xml:space="preserve">The Hopes of the Church of God’, Lectures at Geneva, Lecture 11, </w:t>
      </w:r>
      <w:r w:rsidRPr="00DE500E">
        <w:rPr>
          <w:i/>
        </w:rPr>
        <w:t>Collected Writings, Prophetic Vol. 2</w:t>
      </w:r>
      <w:r w:rsidRPr="00DE500E">
        <w:t>,</w:t>
      </w:r>
    </w:p>
    <w:p w:rsidR="00975183" w:rsidRPr="00DE500E" w:rsidRDefault="00975183" w:rsidP="006A2E06">
      <w:pPr>
        <w:pStyle w:val="EndnoteText"/>
      </w:pPr>
      <w:r w:rsidRPr="00DE500E">
        <w:t>p. 374 &lt;http://www.stempublishing.com/authors/darby/PROPHET/02021E.html&gt; [accessed 9.11.17].</w:t>
      </w:r>
    </w:p>
  </w:endnote>
  <w:endnote w:id="1998">
    <w:p w:rsidR="00975183" w:rsidRPr="007A3957" w:rsidRDefault="00975183" w:rsidP="006A2E06">
      <w:pPr>
        <w:pStyle w:val="EndnoteText"/>
      </w:pPr>
      <w:r w:rsidRPr="007A3957">
        <w:rPr>
          <w:rStyle w:val="EndnoteReference"/>
        </w:rPr>
        <w:endnoteRef/>
      </w:r>
      <w:r w:rsidRPr="007A3957">
        <w:t xml:space="preserve"> Synopsis: Epistle to the Hebrews, Chapter 9 &lt;http://www.stempublishing.com/authors/darby/synopsis/hebrews/hebrews9.html &gt; [accessed 18.7.17].</w:t>
      </w:r>
    </w:p>
  </w:endnote>
  <w:endnote w:id="1999">
    <w:p w:rsidR="00975183" w:rsidRDefault="00975183" w:rsidP="006A2E06">
      <w:pPr>
        <w:pStyle w:val="EndnoteText"/>
      </w:pPr>
      <w:r w:rsidRPr="006F47F2">
        <w:rPr>
          <w:rStyle w:val="FootnoteReference"/>
        </w:rPr>
        <w:endnoteRef/>
      </w:r>
      <w:r w:rsidRPr="006F47F2">
        <w:t xml:space="preserve"> </w:t>
      </w:r>
      <w:r w:rsidRPr="007558AC">
        <w:rPr>
          <w:i/>
        </w:rPr>
        <w:t>SRB</w:t>
      </w:r>
      <w:r>
        <w:t xml:space="preserve"> n</w:t>
      </w:r>
      <w:r w:rsidRPr="006F47F2">
        <w:t>ote on</w:t>
      </w:r>
      <w:r>
        <w:t xml:space="preserve"> Acts 1:11, p. 1148.</w:t>
      </w:r>
    </w:p>
  </w:endnote>
  <w:endnote w:id="2000">
    <w:p w:rsidR="00975183" w:rsidRPr="00FF012D" w:rsidRDefault="00975183" w:rsidP="006A2E06">
      <w:pPr>
        <w:pStyle w:val="EndnoteText"/>
      </w:pPr>
      <w:r w:rsidRPr="00FF012D">
        <w:rPr>
          <w:rStyle w:val="EndnoteReference"/>
        </w:rPr>
        <w:endnoteRef/>
      </w:r>
      <w:r w:rsidRPr="00FF012D">
        <w:t xml:space="preserve"> </w:t>
      </w:r>
      <w:r w:rsidRPr="00091A1E">
        <w:rPr>
          <w:i/>
        </w:rPr>
        <w:t>NSRE 1967</w:t>
      </w:r>
      <w:r>
        <w:rPr>
          <w:i/>
        </w:rPr>
        <w:t xml:space="preserve"> </w:t>
      </w:r>
      <w:r>
        <w:rPr>
          <w:lang w:eastAsia="en-GB"/>
        </w:rPr>
        <w:t>n</w:t>
      </w:r>
      <w:r>
        <w:t xml:space="preserve">ote on Acts 1:11, </w:t>
      </w:r>
      <w:r w:rsidRPr="00091A1E">
        <w:rPr>
          <w:lang w:eastAsia="en-GB"/>
        </w:rPr>
        <w:t>p. 1</w:t>
      </w:r>
      <w:r>
        <w:rPr>
          <w:lang w:eastAsia="en-GB"/>
        </w:rPr>
        <w:t>161.</w:t>
      </w:r>
    </w:p>
  </w:endnote>
  <w:endnote w:id="2001">
    <w:p w:rsidR="00975183" w:rsidRPr="00FF012D" w:rsidRDefault="00975183" w:rsidP="006A2E06">
      <w:pPr>
        <w:pStyle w:val="EndnoteText"/>
      </w:pPr>
      <w:r w:rsidRPr="00FF012D">
        <w:rPr>
          <w:rStyle w:val="EndnoteReference"/>
        </w:rPr>
        <w:endnoteRef/>
      </w:r>
      <w:r w:rsidRPr="00FF012D">
        <w:t xml:space="preserve"> </w:t>
      </w:r>
      <w:r>
        <w:t>Refs 1 Thess. 4:14-17; Phil. 3:20-21; Rev. 3:10.</w:t>
      </w:r>
    </w:p>
  </w:endnote>
  <w:endnote w:id="2002">
    <w:p w:rsidR="00975183" w:rsidRDefault="00975183" w:rsidP="006A2E06">
      <w:pPr>
        <w:pStyle w:val="EndnoteText"/>
      </w:pPr>
      <w:r w:rsidRPr="006F47F2">
        <w:rPr>
          <w:rStyle w:val="FootnoteReference"/>
        </w:rPr>
        <w:endnoteRef/>
      </w:r>
      <w:r w:rsidRPr="006F47F2">
        <w:t xml:space="preserve"> </w:t>
      </w:r>
      <w:r>
        <w:t>N</w:t>
      </w:r>
      <w:r w:rsidRPr="006F47F2">
        <w:t>ote on</w:t>
      </w:r>
      <w:r>
        <w:t xml:space="preserve"> Acts 1:11, </w:t>
      </w:r>
      <w:r w:rsidRPr="00A72278">
        <w:rPr>
          <w:i/>
          <w:iCs/>
          <w:lang w:eastAsia="en-GB"/>
        </w:rPr>
        <w:t>SSB III, KJV</w:t>
      </w:r>
      <w:r w:rsidRPr="00A72278">
        <w:rPr>
          <w:lang w:eastAsia="en-GB"/>
        </w:rPr>
        <w:t xml:space="preserve">, </w:t>
      </w:r>
      <w:r w:rsidRPr="00A72278">
        <w:rPr>
          <w:i/>
          <w:lang w:eastAsia="en-GB"/>
        </w:rPr>
        <w:t>2003</w:t>
      </w:r>
      <w:r>
        <w:rPr>
          <w:lang w:eastAsia="en-GB"/>
        </w:rPr>
        <w:t>, p. 1428.  Refs Acts 1:11; Mt. 23:39</w:t>
      </w:r>
      <w:r w:rsidRPr="00904F5C">
        <w:rPr>
          <w:lang w:eastAsia="en-GB"/>
        </w:rPr>
        <w:t xml:space="preserve">, 24:30, 25:31; Rev. 19:11-16.  </w:t>
      </w:r>
      <w:proofErr w:type="gramStart"/>
      <w:r w:rsidRPr="00904F5C">
        <w:rPr>
          <w:i/>
          <w:lang w:eastAsia="en-GB"/>
        </w:rPr>
        <w:t xml:space="preserve">Editor’s </w:t>
      </w:r>
      <w:r w:rsidRPr="00A72278">
        <w:rPr>
          <w:i/>
          <w:lang w:eastAsia="en-GB"/>
        </w:rPr>
        <w:t>emphases</w:t>
      </w:r>
      <w:r w:rsidRPr="00A72278">
        <w:rPr>
          <w:lang w:eastAsia="en-GB"/>
        </w:rPr>
        <w:t>.</w:t>
      </w:r>
      <w:proofErr w:type="gramEnd"/>
      <w:r w:rsidRPr="00A72278">
        <w:rPr>
          <w:lang w:eastAsia="en-GB"/>
        </w:rPr>
        <w:t xml:space="preserve">  </w:t>
      </w:r>
    </w:p>
  </w:endnote>
  <w:endnote w:id="2003">
    <w:p w:rsidR="00975183" w:rsidRDefault="00975183" w:rsidP="006A2E06">
      <w:pPr>
        <w:spacing w:after="0" w:line="240" w:lineRule="auto"/>
      </w:pPr>
      <w:r w:rsidRPr="004628BC">
        <w:rPr>
          <w:rStyle w:val="EndnoteReference"/>
        </w:rPr>
        <w:endnoteRef/>
      </w:r>
      <w:r w:rsidRPr="004628BC">
        <w:t xml:space="preserve"> Thomas Ice, ‘Morgan Edwards: A Pre-Darby Rapturist’, </w:t>
      </w:r>
      <w:r w:rsidRPr="004628BC">
        <w:rPr>
          <w:i/>
        </w:rPr>
        <w:t>Conservative Theological Journal</w:t>
      </w:r>
      <w:r w:rsidRPr="004628BC">
        <w:t xml:space="preserve"> CTJ01:1 </w:t>
      </w:r>
    </w:p>
    <w:p w:rsidR="00975183" w:rsidRPr="004628BC" w:rsidRDefault="00975183" w:rsidP="006A2E06">
      <w:pPr>
        <w:spacing w:after="0" w:line="240" w:lineRule="auto"/>
      </w:pPr>
      <w:r w:rsidRPr="004628BC">
        <w:t xml:space="preserve">(Apr. 1997), </w:t>
      </w:r>
    </w:p>
    <w:p w:rsidR="00975183" w:rsidRPr="004628BC" w:rsidRDefault="00975183" w:rsidP="006A2E06">
      <w:pPr>
        <w:pStyle w:val="EndnoteText"/>
      </w:pPr>
      <w:r>
        <w:t>p. 4</w:t>
      </w:r>
      <w:r w:rsidRPr="004628BC">
        <w:t xml:space="preserve"> &lt;https://www.galaxie.com/article/ctj01-1-02&gt; [accessed 12.6.17].</w:t>
      </w:r>
    </w:p>
  </w:endnote>
  <w:endnote w:id="2004">
    <w:p w:rsidR="00975183" w:rsidRDefault="00975183" w:rsidP="006A2E06">
      <w:pPr>
        <w:pStyle w:val="EndnoteText"/>
      </w:pPr>
      <w:r w:rsidRPr="002C1086">
        <w:rPr>
          <w:rStyle w:val="EndnoteReference"/>
        </w:rPr>
        <w:endnoteRef/>
      </w:r>
      <w:r w:rsidRPr="002C1086">
        <w:t xml:space="preserve"> </w:t>
      </w:r>
      <w:r>
        <w:t xml:space="preserve">Chafer, </w:t>
      </w:r>
      <w:r w:rsidRPr="004F2C92">
        <w:rPr>
          <w:i/>
        </w:rPr>
        <w:t>Major Bible Themes</w:t>
      </w:r>
      <w:r>
        <w:t>, p. 57.</w:t>
      </w:r>
    </w:p>
  </w:endnote>
  <w:endnote w:id="2005">
    <w:p w:rsidR="00975183" w:rsidRPr="002C1086" w:rsidRDefault="00975183" w:rsidP="006A2E06">
      <w:pPr>
        <w:pStyle w:val="EndnoteText"/>
      </w:pPr>
      <w:r w:rsidRPr="002C1086">
        <w:rPr>
          <w:rStyle w:val="EndnoteReference"/>
        </w:rPr>
        <w:endnoteRef/>
      </w:r>
      <w:r w:rsidRPr="002C1086">
        <w:t xml:space="preserve"> </w:t>
      </w:r>
      <w:r>
        <w:t xml:space="preserve">Chafer, </w:t>
      </w:r>
      <w:r w:rsidRPr="004F2C92">
        <w:rPr>
          <w:i/>
        </w:rPr>
        <w:t>Major Bible Themes</w:t>
      </w:r>
      <w:r>
        <w:t xml:space="preserve">, ‘Chapter XI, God the Son: His Coming For His Saints’, pp. 56-61; ‘Chapter XII, God the Son: His Coming With His Saints’, pp. 62-6.  </w:t>
      </w:r>
      <w:proofErr w:type="gramStart"/>
      <w:r>
        <w:t>(</w:t>
      </w:r>
      <w:r w:rsidRPr="004F2C92">
        <w:rPr>
          <w:i/>
        </w:rPr>
        <w:t>Chafer’s emphases</w:t>
      </w:r>
      <w:r>
        <w:t>.)</w:t>
      </w:r>
      <w:proofErr w:type="gramEnd"/>
    </w:p>
  </w:endnote>
  <w:endnote w:id="2006">
    <w:p w:rsidR="00975183" w:rsidRDefault="00975183" w:rsidP="006A2E06">
      <w:pPr>
        <w:pStyle w:val="EndnoteText"/>
      </w:pPr>
      <w:r w:rsidRPr="002C1086">
        <w:rPr>
          <w:rStyle w:val="EndnoteReference"/>
        </w:rPr>
        <w:endnoteRef/>
      </w:r>
      <w:r w:rsidRPr="002C1086">
        <w:t xml:space="preserve"> </w:t>
      </w:r>
      <w:r>
        <w:t xml:space="preserve">Chafer, </w:t>
      </w:r>
      <w:r w:rsidRPr="004F2C92">
        <w:rPr>
          <w:i/>
        </w:rPr>
        <w:t>Major Bible Themes</w:t>
      </w:r>
      <w:r>
        <w:t xml:space="preserve">, pp. 57-8.  </w:t>
      </w:r>
      <w:proofErr w:type="gramStart"/>
      <w:r>
        <w:t>(</w:t>
      </w:r>
      <w:r w:rsidRPr="00C70B53">
        <w:rPr>
          <w:i/>
        </w:rPr>
        <w:t>Chafer’s emphases</w:t>
      </w:r>
      <w:r>
        <w:t>.)</w:t>
      </w:r>
      <w:proofErr w:type="gramEnd"/>
    </w:p>
  </w:endnote>
  <w:endnote w:id="2007">
    <w:p w:rsidR="00975183" w:rsidRPr="00A72278" w:rsidRDefault="00975183" w:rsidP="006A2E06">
      <w:pPr>
        <w:pStyle w:val="EndnoteText"/>
      </w:pPr>
      <w:r w:rsidRPr="00A72278">
        <w:rPr>
          <w:rStyle w:val="EndnoteReference"/>
        </w:rPr>
        <w:endnoteRef/>
      </w:r>
      <w:r w:rsidRPr="00A72278">
        <w:t xml:space="preserve"> </w:t>
      </w:r>
      <w:r w:rsidRPr="00B3003D">
        <w:rPr>
          <w:i/>
        </w:rPr>
        <w:t>SRB</w:t>
      </w:r>
      <w:r>
        <w:t xml:space="preserve"> n</w:t>
      </w:r>
      <w:r w:rsidRPr="00A72278">
        <w:t>ote on 1 Cor. 15:52, p. 1228</w:t>
      </w:r>
      <w:r>
        <w:t>.</w:t>
      </w:r>
    </w:p>
  </w:endnote>
  <w:endnote w:id="2008">
    <w:p w:rsidR="00975183" w:rsidRDefault="00975183" w:rsidP="006A2E06">
      <w:pPr>
        <w:pStyle w:val="EndnoteText"/>
      </w:pPr>
      <w:r w:rsidRPr="00A72278">
        <w:rPr>
          <w:rStyle w:val="EndnoteReference"/>
        </w:rPr>
        <w:endnoteRef/>
      </w:r>
      <w:r w:rsidRPr="00A72278">
        <w:t xml:space="preserve"> </w:t>
      </w:r>
      <w:r w:rsidRPr="00B3003D">
        <w:rPr>
          <w:i/>
        </w:rPr>
        <w:t>SRB</w:t>
      </w:r>
      <w:r>
        <w:t xml:space="preserve"> n</w:t>
      </w:r>
      <w:r w:rsidRPr="00A72278">
        <w:t>ote on</w:t>
      </w:r>
      <w:r>
        <w:t xml:space="preserve"> Jn 14:3, p. 1135.</w:t>
      </w:r>
    </w:p>
  </w:endnote>
  <w:endnote w:id="2009">
    <w:p w:rsidR="00975183" w:rsidRPr="00A72278" w:rsidRDefault="00975183" w:rsidP="006A2E06">
      <w:pPr>
        <w:pStyle w:val="EndnoteText"/>
      </w:pPr>
      <w:r w:rsidRPr="00A72278">
        <w:rPr>
          <w:rStyle w:val="EndnoteReference"/>
        </w:rPr>
        <w:endnoteRef/>
      </w:r>
      <w:r w:rsidRPr="00A72278">
        <w:t xml:space="preserve"> </w:t>
      </w:r>
      <w:r w:rsidRPr="00580073">
        <w:rPr>
          <w:i/>
        </w:rPr>
        <w:t>SRB</w:t>
      </w:r>
      <w:r w:rsidRPr="00580073">
        <w:t xml:space="preserve"> note on Isa. 42:1, p. 750</w:t>
      </w:r>
      <w:r w:rsidRPr="00A72278">
        <w:t xml:space="preserve">.  </w:t>
      </w:r>
      <w:proofErr w:type="gramStart"/>
      <w:r w:rsidRPr="00580073">
        <w:rPr>
          <w:b/>
        </w:rPr>
        <w:t>See 8.4.1</w:t>
      </w:r>
      <w:r w:rsidRPr="00580073">
        <w:t>.</w:t>
      </w:r>
      <w:proofErr w:type="gramEnd"/>
    </w:p>
  </w:endnote>
  <w:endnote w:id="2010">
    <w:p w:rsidR="00975183" w:rsidRPr="00A72278" w:rsidRDefault="00975183" w:rsidP="006A2E06">
      <w:pPr>
        <w:pStyle w:val="EndnoteText"/>
      </w:pPr>
      <w:r w:rsidRPr="00A72278">
        <w:rPr>
          <w:rStyle w:val="EndnoteReference"/>
        </w:rPr>
        <w:endnoteRef/>
      </w:r>
      <w:r w:rsidRPr="00A72278">
        <w:t xml:space="preserve"> </w:t>
      </w:r>
      <w:r w:rsidRPr="00AA6AFB">
        <w:rPr>
          <w:i/>
        </w:rPr>
        <w:t xml:space="preserve">SRB </w:t>
      </w:r>
      <w:r>
        <w:t>s</w:t>
      </w:r>
      <w:r w:rsidRPr="00A72278">
        <w:t xml:space="preserve">ubhead </w:t>
      </w:r>
      <w:r w:rsidRPr="006E6F4A">
        <w:t>to Isa. 61:</w:t>
      </w:r>
      <w:r w:rsidRPr="00A72278">
        <w:t>1, p. 766</w:t>
      </w:r>
      <w:r w:rsidRPr="00A72278">
        <w:rPr>
          <w:lang w:eastAsia="en-GB"/>
        </w:rPr>
        <w:t>.</w:t>
      </w:r>
    </w:p>
  </w:endnote>
  <w:endnote w:id="2011">
    <w:p w:rsidR="00975183" w:rsidRPr="00A72278" w:rsidRDefault="00975183" w:rsidP="006A2E06">
      <w:pPr>
        <w:pStyle w:val="EndnoteText"/>
        <w:rPr>
          <w:sz w:val="16"/>
        </w:rPr>
      </w:pPr>
      <w:r w:rsidRPr="00A72278">
        <w:rPr>
          <w:rStyle w:val="EndnoteReference"/>
        </w:rPr>
        <w:endnoteRef/>
      </w:r>
      <w:r w:rsidRPr="00A72278">
        <w:t xml:space="preserve"> </w:t>
      </w:r>
      <w:proofErr w:type="gramStart"/>
      <w:r w:rsidRPr="00AA6AFB">
        <w:rPr>
          <w:i/>
        </w:rPr>
        <w:t>SRB</w:t>
      </w:r>
      <w:r>
        <w:t xml:space="preserve"> n</w:t>
      </w:r>
      <w:r w:rsidRPr="00A72278">
        <w:t>ote</w:t>
      </w:r>
      <w:r>
        <w:t>s</w:t>
      </w:r>
      <w:r w:rsidRPr="00A72278">
        <w:t xml:space="preserve"> on Lk. 4:19, p. 1077</w:t>
      </w:r>
      <w:r>
        <w:rPr>
          <w:lang w:eastAsia="en-GB"/>
        </w:rPr>
        <w:t xml:space="preserve"> (r</w:t>
      </w:r>
      <w:r w:rsidRPr="00A72278">
        <w:t>efs Gen. 3:15; Acts 1:11 note</w:t>
      </w:r>
      <w:r>
        <w:t>)</w:t>
      </w:r>
      <w:r w:rsidRPr="00A72278">
        <w:t>, and Is</w:t>
      </w:r>
      <w:r>
        <w:t xml:space="preserve">a. 61:2, </w:t>
      </w:r>
      <w:r w:rsidRPr="00A72278">
        <w:t>p. 766</w:t>
      </w:r>
      <w:r w:rsidRPr="00A72278">
        <w:rPr>
          <w:lang w:eastAsia="en-GB"/>
        </w:rPr>
        <w:t>.</w:t>
      </w:r>
      <w:proofErr w:type="gramEnd"/>
      <w:r w:rsidRPr="00A72278">
        <w:rPr>
          <w:lang w:eastAsia="en-GB"/>
        </w:rPr>
        <w:t xml:space="preserve">  </w:t>
      </w:r>
    </w:p>
  </w:endnote>
  <w:endnote w:id="2012">
    <w:p w:rsidR="00975183" w:rsidRDefault="00975183" w:rsidP="006A2E06">
      <w:pPr>
        <w:pStyle w:val="EndnoteText"/>
      </w:pPr>
      <w:r w:rsidRPr="00A915D8">
        <w:rPr>
          <w:rStyle w:val="FootnoteReference"/>
        </w:rPr>
        <w:endnoteRef/>
      </w:r>
      <w:r w:rsidRPr="00A915D8">
        <w:t xml:space="preserve"> </w:t>
      </w:r>
      <w:r w:rsidRPr="00DB0888">
        <w:rPr>
          <w:i/>
        </w:rPr>
        <w:t>SRB</w:t>
      </w:r>
      <w:r>
        <w:t xml:space="preserve"> n</w:t>
      </w:r>
      <w:r w:rsidRPr="00A915D8">
        <w:t xml:space="preserve">ote on </w:t>
      </w:r>
      <w:r w:rsidRPr="004B1782">
        <w:rPr>
          <w:lang w:eastAsia="en-GB"/>
        </w:rPr>
        <w:t xml:space="preserve">Mal. 3:1, </w:t>
      </w:r>
      <w:r w:rsidRPr="004B1782">
        <w:t xml:space="preserve">p. 982.  </w:t>
      </w:r>
      <w:proofErr w:type="gramStart"/>
      <w:r w:rsidRPr="00F73FDE">
        <w:rPr>
          <w:b/>
        </w:rPr>
        <w:t>See 8.4.16</w:t>
      </w:r>
      <w:r w:rsidRPr="00F73FDE">
        <w:t>.</w:t>
      </w:r>
      <w:proofErr w:type="gramEnd"/>
    </w:p>
  </w:endnote>
  <w:endnote w:id="2013">
    <w:p w:rsidR="00975183" w:rsidRPr="00A72278" w:rsidRDefault="00975183" w:rsidP="006A2E06">
      <w:pPr>
        <w:pStyle w:val="EndnoteText"/>
      </w:pPr>
      <w:r w:rsidRPr="00A72278">
        <w:rPr>
          <w:rStyle w:val="EndnoteReference"/>
        </w:rPr>
        <w:endnoteRef/>
      </w:r>
      <w:r w:rsidRPr="00A72278">
        <w:t xml:space="preserve"> First clause in Mal. 3:1.</w:t>
      </w:r>
    </w:p>
  </w:endnote>
  <w:endnote w:id="2014">
    <w:p w:rsidR="00975183" w:rsidRPr="00A72278" w:rsidRDefault="00975183" w:rsidP="006A2E06">
      <w:pPr>
        <w:pStyle w:val="EndnoteText"/>
      </w:pPr>
      <w:r w:rsidRPr="00A72278">
        <w:rPr>
          <w:rStyle w:val="EndnoteReference"/>
        </w:rPr>
        <w:endnoteRef/>
      </w:r>
      <w:r w:rsidRPr="00A72278">
        <w:t xml:space="preserve"> Second clause in Mal. 3:1.</w:t>
      </w:r>
    </w:p>
  </w:endnote>
  <w:endnote w:id="2015">
    <w:p w:rsidR="00975183" w:rsidRPr="00A72278" w:rsidRDefault="00975183" w:rsidP="006A2E06">
      <w:pPr>
        <w:pStyle w:val="EndnoteText"/>
        <w:rPr>
          <w:rFonts w:ascii="Times New Roman" w:hAnsi="Times New Roman"/>
          <w:sz w:val="18"/>
          <w:szCs w:val="18"/>
        </w:rPr>
      </w:pPr>
      <w:r w:rsidRPr="00A72278">
        <w:rPr>
          <w:rStyle w:val="EndnoteReference"/>
          <w:rFonts w:ascii="Times New Roman" w:hAnsi="Times New Roman"/>
          <w:sz w:val="18"/>
          <w:szCs w:val="18"/>
        </w:rPr>
        <w:endnoteRef/>
      </w:r>
      <w:r w:rsidRPr="00A72278">
        <w:rPr>
          <w:rFonts w:ascii="Times New Roman" w:hAnsi="Times New Roman"/>
          <w:sz w:val="18"/>
          <w:szCs w:val="18"/>
        </w:rPr>
        <w:t xml:space="preserve"> [</w:t>
      </w:r>
      <w:r w:rsidRPr="00A72278">
        <w:rPr>
          <w:rFonts w:ascii="Times New Roman" w:hAnsi="Times New Roman"/>
          <w:i/>
          <w:sz w:val="18"/>
          <w:szCs w:val="18"/>
        </w:rPr>
        <w:t>sic</w:t>
      </w:r>
      <w:r w:rsidRPr="00A72278">
        <w:rPr>
          <w:rFonts w:ascii="Times New Roman" w:hAnsi="Times New Roman"/>
          <w:sz w:val="18"/>
          <w:szCs w:val="18"/>
        </w:rPr>
        <w:t>]</w:t>
      </w:r>
    </w:p>
  </w:endnote>
  <w:endnote w:id="2016">
    <w:p w:rsidR="00975183" w:rsidRPr="00DB0888" w:rsidRDefault="00975183" w:rsidP="006A2E06">
      <w:pPr>
        <w:pStyle w:val="EndnoteText"/>
      </w:pPr>
      <w:r w:rsidRPr="00DB0888">
        <w:rPr>
          <w:rStyle w:val="EndnoteReference"/>
        </w:rPr>
        <w:endnoteRef/>
      </w:r>
      <w:r w:rsidRPr="00DB0888">
        <w:t xml:space="preserve"> </w:t>
      </w:r>
      <w:proofErr w:type="gramStart"/>
      <w:r w:rsidRPr="00DB0888">
        <w:rPr>
          <w:i/>
        </w:rPr>
        <w:t>Scofield’s emphasis</w:t>
      </w:r>
      <w:r>
        <w:t>.</w:t>
      </w:r>
      <w:proofErr w:type="gramEnd"/>
    </w:p>
  </w:endnote>
  <w:endnote w:id="2017">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note on Mal. 3:1, p. 982.  </w:t>
      </w:r>
    </w:p>
  </w:endnote>
  <w:endnote w:id="2018">
    <w:p w:rsidR="00975183" w:rsidRDefault="00975183" w:rsidP="006A2E06">
      <w:pPr>
        <w:pStyle w:val="EndnoteText"/>
      </w:pPr>
      <w:r w:rsidRPr="002C1086">
        <w:rPr>
          <w:rStyle w:val="EndnoteReference"/>
        </w:rPr>
        <w:endnoteRef/>
      </w:r>
      <w:r w:rsidRPr="002C1086">
        <w:t xml:space="preserve"> </w:t>
      </w:r>
      <w:r>
        <w:t xml:space="preserve">Chafer, </w:t>
      </w:r>
      <w:r w:rsidRPr="004F2C92">
        <w:rPr>
          <w:i/>
        </w:rPr>
        <w:t>Major Bible Themes</w:t>
      </w:r>
      <w:r>
        <w:t>, p. 63.</w:t>
      </w:r>
    </w:p>
  </w:endnote>
  <w:endnote w:id="2019">
    <w:p w:rsidR="00975183" w:rsidRDefault="00975183" w:rsidP="006A2E06">
      <w:pPr>
        <w:pStyle w:val="EndnoteText"/>
      </w:pPr>
      <w:r w:rsidRPr="008F405D">
        <w:rPr>
          <w:rStyle w:val="EndnoteReference"/>
        </w:rPr>
        <w:endnoteRef/>
      </w:r>
      <w:r w:rsidRPr="008F405D">
        <w:t xml:space="preserve"> </w:t>
      </w:r>
      <w:r w:rsidRPr="00B04D9B">
        <w:rPr>
          <w:i/>
        </w:rPr>
        <w:t>SRB</w:t>
      </w:r>
      <w:r w:rsidRPr="00B04D9B">
        <w:t xml:space="preserve"> note on the subhead to Isa. 11:1, p. 723.  The remnant’s ‘tribulation distress’ (</w:t>
      </w:r>
      <w:r>
        <w:t>r</w:t>
      </w:r>
      <w:r w:rsidRPr="00B04D9B">
        <w:t xml:space="preserve">efs Isaiah 10; Dan. 7:8, </w:t>
      </w:r>
    </w:p>
    <w:p w:rsidR="00975183" w:rsidRPr="00B04D9B" w:rsidRDefault="00975183" w:rsidP="006A2E06">
      <w:pPr>
        <w:pStyle w:val="EndnoteText"/>
      </w:pPr>
      <w:proofErr w:type="gramStart"/>
      <w:r w:rsidRPr="00B04D9B">
        <w:t>Rev. 19:20; Ps. 2:5; Rev. 7:14) and the glorious kingdom-age (</w:t>
      </w:r>
      <w:r>
        <w:t>r</w:t>
      </w:r>
      <w:r w:rsidRPr="00B04D9B">
        <w:t>efs.</w:t>
      </w:r>
      <w:proofErr w:type="gramEnd"/>
      <w:r w:rsidRPr="00B04D9B">
        <w:t xml:space="preserve"> Isaiah 11; refs Revelation 19 and 20) did not occur at the first advent and Israel was not gathered but dispersed.  </w:t>
      </w:r>
      <w:proofErr w:type="gramStart"/>
      <w:r w:rsidRPr="00580073">
        <w:rPr>
          <w:b/>
        </w:rPr>
        <w:t>See 2.2.3; 2.2.4</w:t>
      </w:r>
      <w:r w:rsidRPr="00580073">
        <w:t>.</w:t>
      </w:r>
      <w:proofErr w:type="gramEnd"/>
      <w:r w:rsidRPr="00B04D9B">
        <w:t xml:space="preserve"> </w:t>
      </w:r>
    </w:p>
    <w:p w:rsidR="00975183" w:rsidRPr="00B04D9B" w:rsidRDefault="00975183" w:rsidP="006A2E06">
      <w:pPr>
        <w:pStyle w:val="EndnoteText"/>
      </w:pPr>
      <w:r w:rsidRPr="00B04D9B">
        <w:rPr>
          <w:i/>
        </w:rPr>
        <w:t>SRB</w:t>
      </w:r>
      <w:r w:rsidRPr="00B04D9B">
        <w:t xml:space="preserve"> note on subhead to Jer. 23:1, p. 795.  Rather than bringing justice and judgment on earth, Christ was crucified; Israel the nation was not restored and the Jewish people did not say, ‘The Lord, our righteousness’. </w:t>
      </w:r>
      <w:proofErr w:type="gramStart"/>
      <w:r w:rsidRPr="00580073">
        <w:rPr>
          <w:b/>
        </w:rPr>
        <w:t>See 8.4.2</w:t>
      </w:r>
      <w:r w:rsidRPr="0019624A">
        <w:t>.</w:t>
      </w:r>
      <w:proofErr w:type="gramEnd"/>
      <w:r w:rsidRPr="00B04D9B">
        <w:t xml:space="preserve"> </w:t>
      </w:r>
    </w:p>
    <w:p w:rsidR="00975183" w:rsidRPr="00B04D9B" w:rsidRDefault="00975183" w:rsidP="006A2E06">
      <w:pPr>
        <w:pStyle w:val="EndnoteText"/>
      </w:pPr>
      <w:r w:rsidRPr="00B04D9B">
        <w:rPr>
          <w:i/>
        </w:rPr>
        <w:t>SRB</w:t>
      </w:r>
      <w:r w:rsidRPr="00B04D9B">
        <w:t xml:space="preserve"> note on Dan. 2:31, p. 901</w:t>
      </w:r>
      <w:r w:rsidRPr="00B04D9B">
        <w:rPr>
          <w:b/>
        </w:rPr>
        <w:t xml:space="preserve">.  </w:t>
      </w:r>
      <w:r w:rsidRPr="00B04D9B">
        <w:t xml:space="preserve">The ‘Gentile monarchy-system’ was not destroyed at the first advent; instead Christ ‘was put to death by an officer of the fourth empire, then at the zenith of its power’. </w:t>
      </w:r>
    </w:p>
    <w:p w:rsidR="00975183" w:rsidRPr="00B04D9B" w:rsidRDefault="00975183" w:rsidP="006A2E06">
      <w:pPr>
        <w:pStyle w:val="EndnoteText"/>
      </w:pPr>
      <w:r w:rsidRPr="00B04D9B">
        <w:rPr>
          <w:i/>
        </w:rPr>
        <w:t>SRB</w:t>
      </w:r>
      <w:r w:rsidRPr="00B04D9B">
        <w:t xml:space="preserve"> note on Dan. 2:44, p. 902</w:t>
      </w:r>
      <w:r w:rsidRPr="00B04D9B">
        <w:rPr>
          <w:b/>
        </w:rPr>
        <w:t xml:space="preserve">.  </w:t>
      </w:r>
      <w:r w:rsidRPr="00B04D9B">
        <w:t xml:space="preserve">The ‘present national world-system’, required for the establishment of the kingdom of the heavens, was not present during the first advent.  </w:t>
      </w:r>
    </w:p>
    <w:p w:rsidR="00975183" w:rsidRPr="00B04D9B" w:rsidRDefault="00975183" w:rsidP="006A2E06">
      <w:pPr>
        <w:pStyle w:val="EndnoteText"/>
      </w:pPr>
      <w:r w:rsidRPr="00B04D9B">
        <w:rPr>
          <w:i/>
        </w:rPr>
        <w:t>SRB</w:t>
      </w:r>
      <w:r w:rsidRPr="00B04D9B">
        <w:t xml:space="preserve"> note on Zeph. 3:15, p. 961.  Israel’s rejoicing in Zephaniah 3 ‘cannot refer to anything which occurred at the first coming of Christ’. </w:t>
      </w:r>
    </w:p>
    <w:p w:rsidR="00975183" w:rsidRPr="00B04D9B" w:rsidRDefault="00975183" w:rsidP="006A2E06">
      <w:pPr>
        <w:pStyle w:val="EndnoteText"/>
      </w:pPr>
      <w:r w:rsidRPr="00B04D9B">
        <w:rPr>
          <w:i/>
        </w:rPr>
        <w:t>SRB</w:t>
      </w:r>
      <w:r w:rsidRPr="00B04D9B">
        <w:t xml:space="preserve"> note on Zech. 14:4, p. 978.  None of the events associated with the cleavage of the Mount of Olives occurred at the first advent either, ‘closely associated though [Christ] then was with the Mount of Olives’.</w:t>
      </w:r>
    </w:p>
  </w:endnote>
  <w:endnote w:id="2020">
    <w:p w:rsidR="00975183" w:rsidRDefault="00975183" w:rsidP="006A2E06">
      <w:pPr>
        <w:pStyle w:val="EndnoteText"/>
      </w:pPr>
      <w:r w:rsidRPr="00A72278">
        <w:rPr>
          <w:rStyle w:val="EndnoteReference"/>
        </w:rPr>
        <w:endnoteRef/>
      </w:r>
      <w:r w:rsidRPr="00A72278">
        <w:t xml:space="preserve"> </w:t>
      </w:r>
      <w:r w:rsidRPr="00A72278">
        <w:rPr>
          <w:i/>
        </w:rPr>
        <w:t>SRB</w:t>
      </w:r>
      <w:r w:rsidRPr="00A72278">
        <w:t xml:space="preserve"> subhead to Mal. 4:2, p. 983</w:t>
      </w:r>
      <w:r>
        <w:t>.</w:t>
      </w:r>
    </w:p>
  </w:endnote>
  <w:endnote w:id="2021">
    <w:p w:rsidR="00975183" w:rsidRDefault="00975183" w:rsidP="006A2E06">
      <w:pPr>
        <w:pStyle w:val="EndnoteText"/>
      </w:pPr>
      <w:r w:rsidRPr="00A72278">
        <w:rPr>
          <w:rStyle w:val="FootnoteReference"/>
        </w:rPr>
        <w:endnoteRef/>
      </w:r>
      <w:r w:rsidRPr="00A72278">
        <w:t xml:space="preserve"> </w:t>
      </w:r>
      <w:r w:rsidRPr="00797EF7">
        <w:rPr>
          <w:i/>
        </w:rPr>
        <w:t>SRB</w:t>
      </w:r>
      <w:r>
        <w:t xml:space="preserve"> n</w:t>
      </w:r>
      <w:r w:rsidRPr="00A72278">
        <w:t>ote on Lk. 4:19, p. 1077</w:t>
      </w:r>
      <w:r w:rsidRPr="00A72278">
        <w:rPr>
          <w:lang w:eastAsia="en-GB"/>
        </w:rPr>
        <w:t>. R</w:t>
      </w:r>
      <w:r w:rsidRPr="00A72278">
        <w:t xml:space="preserve">efs Gen. 3:15; Acts 1:11 note.  cf </w:t>
      </w:r>
      <w:r>
        <w:t>n</w:t>
      </w:r>
      <w:r w:rsidRPr="00A72278">
        <w:t>ote on Isa. 61:2, p. 766</w:t>
      </w:r>
      <w:r w:rsidRPr="00A72278">
        <w:rPr>
          <w:lang w:eastAsia="en-GB"/>
        </w:rPr>
        <w:t xml:space="preserve">. </w:t>
      </w:r>
      <w:r w:rsidRPr="00A72278">
        <w:t xml:space="preserve"> </w:t>
      </w:r>
      <w:r w:rsidRPr="00580073">
        <w:rPr>
          <w:b/>
        </w:rPr>
        <w:t>See above</w:t>
      </w:r>
      <w:r w:rsidRPr="00A72278">
        <w:rPr>
          <w:b/>
        </w:rPr>
        <w:t>.</w:t>
      </w:r>
    </w:p>
  </w:endnote>
  <w:endnote w:id="2022">
    <w:p w:rsidR="00975183" w:rsidRPr="00A72278" w:rsidRDefault="00975183" w:rsidP="006A2E06">
      <w:pPr>
        <w:pStyle w:val="EndnoteText"/>
      </w:pPr>
      <w:r w:rsidRPr="00A72278">
        <w:rPr>
          <w:rStyle w:val="EndnoteReference"/>
        </w:rPr>
        <w:endnoteRef/>
      </w:r>
      <w:r w:rsidRPr="00A72278">
        <w:t xml:space="preserve"> </w:t>
      </w:r>
      <w:r w:rsidRPr="00797EF7">
        <w:rPr>
          <w:i/>
        </w:rPr>
        <w:t xml:space="preserve">SRB </w:t>
      </w:r>
      <w:r>
        <w:t>s</w:t>
      </w:r>
      <w:r w:rsidRPr="00A72278">
        <w:t xml:space="preserve">ubhead to </w:t>
      </w:r>
      <w:r w:rsidRPr="00A72278">
        <w:rPr>
          <w:lang w:eastAsia="en-GB"/>
        </w:rPr>
        <w:t xml:space="preserve">Joel 2:30, </w:t>
      </w:r>
      <w:r w:rsidRPr="00A72278">
        <w:t>p. 932.</w:t>
      </w:r>
    </w:p>
  </w:endnote>
  <w:endnote w:id="2023">
    <w:p w:rsidR="00975183" w:rsidRPr="00A72278" w:rsidRDefault="00975183" w:rsidP="006A2E06">
      <w:pPr>
        <w:pStyle w:val="EndnoteText"/>
      </w:pPr>
      <w:r w:rsidRPr="00A72278">
        <w:rPr>
          <w:rStyle w:val="EndnoteReference"/>
        </w:rPr>
        <w:endnoteRef/>
      </w:r>
      <w:r w:rsidRPr="00A72278">
        <w:t xml:space="preserve"> </w:t>
      </w:r>
      <w:r w:rsidRPr="00797EF7">
        <w:rPr>
          <w:i/>
        </w:rPr>
        <w:t>SRB</w:t>
      </w:r>
      <w:r>
        <w:t xml:space="preserve"> n</w:t>
      </w:r>
      <w:r w:rsidRPr="00A72278">
        <w:t xml:space="preserve">ote on </w:t>
      </w:r>
      <w:r w:rsidRPr="00A72278">
        <w:rPr>
          <w:lang w:eastAsia="en-GB"/>
        </w:rPr>
        <w:t xml:space="preserve">Heb. 1:4, </w:t>
      </w:r>
      <w:r w:rsidRPr="00A72278">
        <w:t>p. 1292</w:t>
      </w:r>
      <w:r w:rsidRPr="00A72278">
        <w:rPr>
          <w:lang w:eastAsia="en-GB"/>
        </w:rPr>
        <w:t>.</w:t>
      </w:r>
      <w:r w:rsidRPr="00A72278">
        <w:t xml:space="preserve">  </w:t>
      </w:r>
    </w:p>
  </w:endnote>
  <w:endnote w:id="2024">
    <w:p w:rsidR="00975183" w:rsidRDefault="00975183" w:rsidP="006A2E06">
      <w:pPr>
        <w:pStyle w:val="EndnoteText"/>
      </w:pPr>
      <w:r w:rsidRPr="00A72278">
        <w:rPr>
          <w:rStyle w:val="FootnoteReference"/>
        </w:rPr>
        <w:endnoteRef/>
      </w:r>
      <w:r w:rsidRPr="00A72278">
        <w:t xml:space="preserve"> </w:t>
      </w:r>
      <w:r w:rsidRPr="00797EF7">
        <w:rPr>
          <w:i/>
        </w:rPr>
        <w:t xml:space="preserve">SRB </w:t>
      </w:r>
      <w:r>
        <w:t>s</w:t>
      </w:r>
      <w:r w:rsidRPr="00A72278">
        <w:t xml:space="preserve">ubhead to </w:t>
      </w:r>
      <w:r w:rsidRPr="00A72278">
        <w:rPr>
          <w:lang w:eastAsia="en-GB"/>
        </w:rPr>
        <w:t xml:space="preserve">Lk. 17:22, </w:t>
      </w:r>
      <w:r w:rsidRPr="00A72278">
        <w:t>p. 1100</w:t>
      </w:r>
      <w:r>
        <w:t>.</w:t>
      </w:r>
    </w:p>
    <w:p w:rsidR="00975183" w:rsidRDefault="00975183" w:rsidP="006A2E06">
      <w:pPr>
        <w:pStyle w:val="EndnoteText"/>
      </w:pPr>
      <w:r w:rsidRPr="00797EF7">
        <w:rPr>
          <w:i/>
        </w:rPr>
        <w:t xml:space="preserve">SRB </w:t>
      </w:r>
      <w:r>
        <w:t>s</w:t>
      </w:r>
      <w:r w:rsidRPr="00A72278">
        <w:t>ubhead</w:t>
      </w:r>
      <w:r>
        <w:t>s</w:t>
      </w:r>
      <w:r w:rsidRPr="00A72278">
        <w:t xml:space="preserve"> to </w:t>
      </w:r>
      <w:r w:rsidRPr="00A72278">
        <w:rPr>
          <w:lang w:eastAsia="en-GB"/>
        </w:rPr>
        <w:t xml:space="preserve">Lk. 17:22, </w:t>
      </w:r>
      <w:r w:rsidRPr="00A72278">
        <w:t>p. 1100</w:t>
      </w:r>
      <w:r>
        <w:t>,</w:t>
      </w:r>
      <w:r w:rsidRPr="00A72278">
        <w:t xml:space="preserve"> ‘Jesus foretells his second coming</w:t>
      </w:r>
      <w:r>
        <w:t xml:space="preserve">’; </w:t>
      </w:r>
      <w:r w:rsidRPr="00A72278">
        <w:t>Jn 14:1, p. 1135</w:t>
      </w:r>
      <w:r>
        <w:t>,</w:t>
      </w:r>
      <w:r w:rsidRPr="00A72278">
        <w:t xml:space="preserve"> ‘Jesus foretells His coming for His own’; </w:t>
      </w:r>
      <w:r w:rsidRPr="00A72278">
        <w:rPr>
          <w:lang w:eastAsia="en-GB"/>
        </w:rPr>
        <w:t xml:space="preserve">Jn 16:16, </w:t>
      </w:r>
      <w:r w:rsidRPr="00A72278">
        <w:t>p. 1138</w:t>
      </w:r>
      <w:r>
        <w:t>,</w:t>
      </w:r>
      <w:r w:rsidRPr="00A72278">
        <w:t xml:space="preserve"> ‘Jesus speaks of his death,</w:t>
      </w:r>
      <w:r>
        <w:t xml:space="preserve"> resurrection and second advent’; </w:t>
      </w:r>
      <w:r w:rsidRPr="00A72278">
        <w:t>Jn 21:20, p. 1146</w:t>
      </w:r>
      <w:r>
        <w:t>,</w:t>
      </w:r>
      <w:r w:rsidRPr="00A72278">
        <w:t xml:space="preserve"> ‘If the Lord returns</w:t>
      </w:r>
      <w:r>
        <w:t>, the servant will not die  (cf</w:t>
      </w:r>
      <w:r w:rsidRPr="00A72278">
        <w:t xml:space="preserve"> 1 Cor. 15:51, 1 Cor. 15:52); 1 Thess. 4:14-18</w:t>
      </w:r>
      <w:r>
        <w:t>.’</w:t>
      </w:r>
    </w:p>
  </w:endnote>
  <w:endnote w:id="2025">
    <w:p w:rsidR="00975183" w:rsidRDefault="00975183" w:rsidP="006A2E06">
      <w:pPr>
        <w:pStyle w:val="EndnoteText"/>
      </w:pPr>
      <w:r w:rsidRPr="00A72278">
        <w:rPr>
          <w:rStyle w:val="FootnoteReference"/>
        </w:rPr>
        <w:endnoteRef/>
      </w:r>
      <w:r w:rsidRPr="00A72278">
        <w:t xml:space="preserve"> </w:t>
      </w:r>
      <w:r w:rsidRPr="00797EF7">
        <w:rPr>
          <w:i/>
        </w:rPr>
        <w:t xml:space="preserve">SRB </w:t>
      </w:r>
      <w:r>
        <w:t>s</w:t>
      </w:r>
      <w:r w:rsidRPr="00A72278">
        <w:t>ubhead to</w:t>
      </w:r>
      <w:r>
        <w:t xml:space="preserve"> </w:t>
      </w:r>
      <w:r w:rsidRPr="00A72278">
        <w:t>Jn 14:1, p. 1135</w:t>
      </w:r>
      <w:r>
        <w:t>.</w:t>
      </w:r>
    </w:p>
  </w:endnote>
  <w:endnote w:id="2026">
    <w:p w:rsidR="00975183" w:rsidRDefault="00975183" w:rsidP="006A2E06">
      <w:pPr>
        <w:pStyle w:val="EndnoteText"/>
      </w:pPr>
      <w:r w:rsidRPr="000870F6">
        <w:rPr>
          <w:rStyle w:val="EndnoteReference"/>
        </w:rPr>
        <w:endnoteRef/>
      </w:r>
      <w:r w:rsidRPr="000870F6">
        <w:t xml:space="preserve"> </w:t>
      </w:r>
      <w:r w:rsidRPr="00797EF7">
        <w:rPr>
          <w:i/>
        </w:rPr>
        <w:t xml:space="preserve">SRB </w:t>
      </w:r>
      <w:r>
        <w:t>s</w:t>
      </w:r>
      <w:r w:rsidRPr="00A72278">
        <w:t>ubhead to</w:t>
      </w:r>
      <w:r>
        <w:t xml:space="preserve"> </w:t>
      </w:r>
      <w:r w:rsidRPr="00A72278">
        <w:rPr>
          <w:lang w:eastAsia="en-GB"/>
        </w:rPr>
        <w:t xml:space="preserve">Jn 16:16, </w:t>
      </w:r>
      <w:r w:rsidRPr="00A72278">
        <w:t>p. 1138</w:t>
      </w:r>
      <w:r>
        <w:t>.</w:t>
      </w:r>
    </w:p>
  </w:endnote>
  <w:endnote w:id="2027">
    <w:p w:rsidR="00975183" w:rsidRPr="00F73FDE" w:rsidRDefault="00975183" w:rsidP="006A2E06">
      <w:pPr>
        <w:pStyle w:val="EndnoteText"/>
      </w:pPr>
      <w:r w:rsidRPr="000870F6">
        <w:rPr>
          <w:rStyle w:val="EndnoteReference"/>
        </w:rPr>
        <w:endnoteRef/>
      </w:r>
      <w:r w:rsidRPr="000870F6">
        <w:t xml:space="preserve"> </w:t>
      </w:r>
      <w:r w:rsidRPr="00797EF7">
        <w:rPr>
          <w:i/>
        </w:rPr>
        <w:t xml:space="preserve">SRB </w:t>
      </w:r>
      <w:r>
        <w:t>s</w:t>
      </w:r>
      <w:r w:rsidRPr="00A72278">
        <w:t>ubhead to</w:t>
      </w:r>
      <w:r>
        <w:t xml:space="preserve"> </w:t>
      </w:r>
      <w:r w:rsidRPr="00A72278">
        <w:t xml:space="preserve">Jn 21:20, p. </w:t>
      </w:r>
      <w:r w:rsidRPr="00F73FDE">
        <w:t>1146.</w:t>
      </w:r>
    </w:p>
  </w:endnote>
  <w:endnote w:id="2028">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w:t>
      </w:r>
      <w:r w:rsidRPr="00F73FDE">
        <w:rPr>
          <w:lang w:eastAsia="en-GB"/>
        </w:rPr>
        <w:t xml:space="preserve">Zech. 13:8, </w:t>
      </w:r>
      <w:r w:rsidRPr="00F73FDE">
        <w:t>p. 978</w:t>
      </w:r>
      <w:r w:rsidRPr="00F73FDE">
        <w:rPr>
          <w:lang w:eastAsia="en-GB"/>
        </w:rPr>
        <w:t>.</w:t>
      </w:r>
      <w:r w:rsidRPr="00F73FDE">
        <w:rPr>
          <w:rFonts w:ascii="Times New Roman" w:hAnsi="Times New Roman"/>
          <w:sz w:val="18"/>
          <w:szCs w:val="18"/>
          <w:lang w:eastAsia="en-GB"/>
        </w:rPr>
        <w:t xml:space="preserve">  </w:t>
      </w:r>
      <w:proofErr w:type="gramStart"/>
      <w:r w:rsidRPr="00F73FDE">
        <w:rPr>
          <w:rFonts w:ascii="Times New Roman" w:hAnsi="Times New Roman"/>
          <w:b/>
          <w:sz w:val="18"/>
          <w:szCs w:val="18"/>
        </w:rPr>
        <w:t>See 8.4.15</w:t>
      </w:r>
      <w:r w:rsidRPr="00F73FDE">
        <w:t>.</w:t>
      </w:r>
      <w:proofErr w:type="gramEnd"/>
    </w:p>
  </w:endnote>
  <w:endnote w:id="2029">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Mt. 24:3, pp. 1032-3.</w:t>
      </w:r>
    </w:p>
  </w:endnote>
  <w:endnote w:id="2030">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Mal. 3:1, p. 982.  </w:t>
      </w:r>
      <w:proofErr w:type="gramStart"/>
      <w:r w:rsidRPr="00F73FDE">
        <w:rPr>
          <w:rFonts w:ascii="Times New Roman" w:hAnsi="Times New Roman"/>
          <w:b/>
          <w:sz w:val="18"/>
          <w:szCs w:val="18"/>
        </w:rPr>
        <w:t>See 8.4.16</w:t>
      </w:r>
      <w:r w:rsidRPr="00F73FDE">
        <w:t>.</w:t>
      </w:r>
      <w:proofErr w:type="gramEnd"/>
    </w:p>
  </w:endnote>
  <w:endnote w:id="2031">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notes on </w:t>
      </w:r>
      <w:r w:rsidRPr="00F73FDE">
        <w:rPr>
          <w:lang w:eastAsia="en-GB"/>
        </w:rPr>
        <w:t xml:space="preserve">Acts 1:11, </w:t>
      </w:r>
      <w:r w:rsidRPr="00F73FDE">
        <w:t xml:space="preserve">p. 1148.  Refs Acts 15:14-17; Zech. 14:1-9; 2 Sam. 7:8-17;  </w:t>
      </w:r>
      <w:r w:rsidRPr="00F73FDE">
        <w:rPr>
          <w:lang w:eastAsia="en-GB"/>
        </w:rPr>
        <w:t xml:space="preserve">Zech. 13:8, </w:t>
      </w:r>
      <w:r w:rsidRPr="00F73FDE">
        <w:t xml:space="preserve">p. 978; </w:t>
      </w:r>
      <w:r w:rsidRPr="00F73FDE">
        <w:rPr>
          <w:lang w:eastAsia="en-GB"/>
        </w:rPr>
        <w:t xml:space="preserve">1 Cor. 15:24, </w:t>
      </w:r>
      <w:r w:rsidRPr="00F73FDE">
        <w:t xml:space="preserve">p. 1226. </w:t>
      </w:r>
    </w:p>
  </w:endnote>
  <w:endnote w:id="2032">
    <w:p w:rsidR="00975183" w:rsidRPr="00F73FDE" w:rsidRDefault="00975183" w:rsidP="006A2E06">
      <w:pPr>
        <w:pStyle w:val="EndnoteText"/>
      </w:pPr>
      <w:r w:rsidRPr="00F73FDE">
        <w:rPr>
          <w:rStyle w:val="EndnoteReference"/>
        </w:rPr>
        <w:endnoteRef/>
      </w:r>
      <w:r w:rsidRPr="00F73FDE">
        <w:t xml:space="preserve"> </w:t>
      </w:r>
      <w:proofErr w:type="gramStart"/>
      <w:r w:rsidRPr="00F73FDE">
        <w:rPr>
          <w:i/>
        </w:rPr>
        <w:t>SRB</w:t>
      </w:r>
      <w:r w:rsidRPr="00F73FDE">
        <w:t xml:space="preserve"> note on Rev. 20:12, p. 1351.</w:t>
      </w:r>
      <w:proofErr w:type="gramEnd"/>
      <w:r w:rsidRPr="00F73FDE">
        <w:t xml:space="preserve">  </w:t>
      </w:r>
    </w:p>
  </w:endnote>
  <w:endnote w:id="2033">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Ps. 2:6, p. 600</w:t>
      </w:r>
      <w:r w:rsidRPr="00F73FDE">
        <w:rPr>
          <w:lang w:eastAsia="en-GB"/>
        </w:rPr>
        <w:t xml:space="preserve">.  </w:t>
      </w:r>
      <w:r w:rsidRPr="00F73FDE">
        <w:t xml:space="preserve">Ref. Mt. 24:30.  </w:t>
      </w:r>
      <w:proofErr w:type="gramStart"/>
      <w:r w:rsidRPr="00F73FDE">
        <w:rPr>
          <w:b/>
        </w:rPr>
        <w:t>See 7.1.2.3 above</w:t>
      </w:r>
      <w:r w:rsidRPr="00F73FDE">
        <w:t>.</w:t>
      </w:r>
      <w:proofErr w:type="gramEnd"/>
      <w:r w:rsidRPr="00F73FDE">
        <w:t xml:space="preserve">  </w:t>
      </w:r>
    </w:p>
  </w:endnote>
  <w:endnote w:id="2034">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w:t>
      </w:r>
      <w:r w:rsidRPr="00F73FDE">
        <w:rPr>
          <w:lang w:eastAsia="en-GB"/>
        </w:rPr>
        <w:t xml:space="preserve">Lev. 23:27, </w:t>
      </w:r>
      <w:r w:rsidRPr="00F73FDE">
        <w:t>pp. 157-8</w:t>
      </w:r>
      <w:r w:rsidRPr="00F73FDE">
        <w:rPr>
          <w:lang w:eastAsia="en-GB"/>
        </w:rPr>
        <w:t xml:space="preserve">. </w:t>
      </w:r>
      <w:r w:rsidRPr="00F73FDE">
        <w:t xml:space="preserve"> </w:t>
      </w:r>
      <w:proofErr w:type="gramStart"/>
      <w:r w:rsidRPr="00F73FDE">
        <w:rPr>
          <w:b/>
        </w:rPr>
        <w:t>See 5.5.1; 8.1.3</w:t>
      </w:r>
      <w:r w:rsidRPr="00F73FDE">
        <w:t>.</w:t>
      </w:r>
      <w:proofErr w:type="gramEnd"/>
    </w:p>
  </w:endnote>
  <w:endnote w:id="2035">
    <w:p w:rsidR="00975183" w:rsidRPr="00F73FDE" w:rsidRDefault="00975183" w:rsidP="006A2E06">
      <w:pPr>
        <w:pStyle w:val="EndnoteText"/>
      </w:pPr>
      <w:r w:rsidRPr="00F73FDE">
        <w:rPr>
          <w:rStyle w:val="FootnoteReference"/>
        </w:rPr>
        <w:endnoteRef/>
      </w:r>
      <w:r w:rsidRPr="00F73FDE">
        <w:t xml:space="preserve"> </w:t>
      </w:r>
      <w:r w:rsidRPr="00F73FDE">
        <w:rPr>
          <w:i/>
        </w:rPr>
        <w:t>SRB</w:t>
      </w:r>
      <w:r w:rsidRPr="00F73FDE">
        <w:t xml:space="preserve"> note on </w:t>
      </w:r>
      <w:r w:rsidRPr="00F73FDE">
        <w:rPr>
          <w:lang w:eastAsia="en-GB"/>
        </w:rPr>
        <w:t xml:space="preserve">Zech. 3:1, </w:t>
      </w:r>
      <w:r w:rsidRPr="00F73FDE">
        <w:t>p. 967</w:t>
      </w:r>
      <w:r w:rsidRPr="00F73FDE">
        <w:rPr>
          <w:lang w:eastAsia="en-GB"/>
        </w:rPr>
        <w:t xml:space="preserve">. </w:t>
      </w:r>
      <w:r w:rsidRPr="00F73FDE">
        <w:t xml:space="preserve"> </w:t>
      </w:r>
    </w:p>
  </w:endnote>
  <w:endnote w:id="2036">
    <w:p w:rsidR="00975183" w:rsidRPr="00A72278" w:rsidRDefault="00975183" w:rsidP="006A2E06">
      <w:pPr>
        <w:pStyle w:val="EndnoteText"/>
      </w:pPr>
      <w:r w:rsidRPr="00A72278">
        <w:rPr>
          <w:rStyle w:val="EndnoteReference"/>
        </w:rPr>
        <w:endnoteRef/>
      </w:r>
      <w:r w:rsidRPr="00A72278">
        <w:t xml:space="preserve"> </w:t>
      </w:r>
      <w:r w:rsidRPr="0007123B">
        <w:rPr>
          <w:i/>
        </w:rPr>
        <w:t>SRB</w:t>
      </w:r>
      <w:r>
        <w:t xml:space="preserve"> n</w:t>
      </w:r>
      <w:r w:rsidRPr="00A72278">
        <w:t xml:space="preserve">ote on </w:t>
      </w:r>
      <w:r w:rsidRPr="00A72278">
        <w:rPr>
          <w:lang w:eastAsia="en-GB"/>
        </w:rPr>
        <w:t xml:space="preserve">Isa. 4:2, </w:t>
      </w:r>
      <w:r w:rsidRPr="00A72278">
        <w:t xml:space="preserve">p. 716.  Ref. Mt. 25:31.  </w:t>
      </w:r>
    </w:p>
  </w:endnote>
  <w:endnote w:id="2037">
    <w:p w:rsidR="00975183" w:rsidRPr="00A72278" w:rsidRDefault="00975183" w:rsidP="006A2E06">
      <w:pPr>
        <w:pStyle w:val="EndnoteText"/>
      </w:pPr>
      <w:r w:rsidRPr="00A72278">
        <w:rPr>
          <w:rStyle w:val="EndnoteReference"/>
        </w:rPr>
        <w:endnoteRef/>
      </w:r>
      <w:r w:rsidRPr="00A72278">
        <w:t xml:space="preserve"> </w:t>
      </w:r>
      <w:r w:rsidRPr="0007123B">
        <w:rPr>
          <w:i/>
        </w:rPr>
        <w:t>SRB</w:t>
      </w:r>
      <w:r>
        <w:t xml:space="preserve"> n</w:t>
      </w:r>
      <w:r w:rsidRPr="00A72278">
        <w:t>ote on Lev. 16:18, p. 148</w:t>
      </w:r>
      <w:r w:rsidRPr="00A72278">
        <w:rPr>
          <w:lang w:eastAsia="en-GB"/>
        </w:rPr>
        <w:t xml:space="preserve">. </w:t>
      </w:r>
      <w:r w:rsidRPr="00A72278">
        <w:t xml:space="preserve"> </w:t>
      </w:r>
    </w:p>
  </w:endnote>
  <w:endnote w:id="2038">
    <w:p w:rsidR="00975183" w:rsidRDefault="00975183" w:rsidP="006A2E06">
      <w:pPr>
        <w:pStyle w:val="EndnoteText"/>
      </w:pPr>
      <w:r w:rsidRPr="00A72278">
        <w:rPr>
          <w:rStyle w:val="FootnoteReference"/>
        </w:rPr>
        <w:endnoteRef/>
      </w:r>
      <w:r w:rsidRPr="00A72278">
        <w:t xml:space="preserve"> </w:t>
      </w:r>
      <w:proofErr w:type="gramStart"/>
      <w:r w:rsidRPr="00A72278">
        <w:rPr>
          <w:i/>
        </w:rPr>
        <w:t>SRB</w:t>
      </w:r>
      <w:r w:rsidRPr="00A72278">
        <w:t xml:space="preserve"> note on 1 Chron. 17:7, p. 476.</w:t>
      </w:r>
      <w:proofErr w:type="gramEnd"/>
      <w:r w:rsidRPr="00A72278">
        <w:t xml:space="preserve">  </w:t>
      </w:r>
    </w:p>
  </w:endnote>
  <w:endnote w:id="2039">
    <w:p w:rsidR="00975183" w:rsidRPr="00A72278" w:rsidRDefault="00975183" w:rsidP="006A2E06">
      <w:pPr>
        <w:pStyle w:val="EndnoteText"/>
      </w:pPr>
      <w:r w:rsidRPr="00A72278">
        <w:rPr>
          <w:rStyle w:val="EndnoteReference"/>
        </w:rPr>
        <w:endnoteRef/>
      </w:r>
      <w:r w:rsidRPr="00A72278">
        <w:t xml:space="preserve"> </w:t>
      </w:r>
      <w:r w:rsidRPr="0007123B">
        <w:rPr>
          <w:i/>
        </w:rPr>
        <w:t>SRB</w:t>
      </w:r>
      <w:r>
        <w:t xml:space="preserve"> n</w:t>
      </w:r>
      <w:r w:rsidRPr="00A72278">
        <w:t xml:space="preserve">ote on </w:t>
      </w:r>
      <w:r w:rsidRPr="00A72278">
        <w:rPr>
          <w:lang w:eastAsia="en-GB"/>
        </w:rPr>
        <w:t xml:space="preserve">Zech. 12:8, </w:t>
      </w:r>
      <w:r w:rsidRPr="00A72278">
        <w:t xml:space="preserve">p. 977.  Refs Dan. 30:3-5; Ps 2:1-9; Zech 14:4. </w:t>
      </w:r>
    </w:p>
  </w:endnote>
  <w:endnote w:id="2040">
    <w:p w:rsidR="00975183" w:rsidRDefault="00975183" w:rsidP="006A2E06">
      <w:pPr>
        <w:pStyle w:val="EndnoteText"/>
      </w:pPr>
      <w:r w:rsidRPr="00A72278">
        <w:rPr>
          <w:rStyle w:val="FootnoteReference"/>
        </w:rPr>
        <w:endnoteRef/>
      </w:r>
      <w:r w:rsidRPr="00A72278">
        <w:t xml:space="preserve"> </w:t>
      </w:r>
      <w:proofErr w:type="gramStart"/>
      <w:r w:rsidRPr="00A72278">
        <w:rPr>
          <w:i/>
        </w:rPr>
        <w:t>SRB</w:t>
      </w:r>
      <w:r w:rsidRPr="00A72278">
        <w:t xml:space="preserve"> note on Rev. 19:17.</w:t>
      </w:r>
      <w:proofErr w:type="gramEnd"/>
      <w:r w:rsidRPr="00A72278">
        <w:t xml:space="preserve"> </w:t>
      </w:r>
      <w:proofErr w:type="gramStart"/>
      <w:r w:rsidRPr="00A72278">
        <w:t>p. 1349.</w:t>
      </w:r>
      <w:proofErr w:type="gramEnd"/>
      <w:r w:rsidRPr="00A72278">
        <w:t xml:space="preserve">  </w:t>
      </w:r>
    </w:p>
  </w:endnote>
  <w:endnote w:id="2041">
    <w:p w:rsidR="00975183" w:rsidRDefault="00975183" w:rsidP="006A2E06">
      <w:pPr>
        <w:pStyle w:val="EndnoteText"/>
      </w:pPr>
      <w:r w:rsidRPr="00A72278">
        <w:rPr>
          <w:rStyle w:val="FootnoteReference"/>
        </w:rPr>
        <w:endnoteRef/>
      </w:r>
      <w:r w:rsidRPr="00A72278">
        <w:t xml:space="preserve"> </w:t>
      </w:r>
      <w:r w:rsidRPr="0007123B">
        <w:rPr>
          <w:i/>
        </w:rPr>
        <w:t xml:space="preserve">SRB </w:t>
      </w:r>
      <w:r>
        <w:t>n</w:t>
      </w:r>
      <w:r w:rsidRPr="00A72278">
        <w:t>ote on Zech. 10:4, p. 974</w:t>
      </w:r>
      <w:r w:rsidRPr="00A72278">
        <w:rPr>
          <w:lang w:eastAsia="en-GB"/>
        </w:rPr>
        <w:t>.</w:t>
      </w:r>
      <w:r w:rsidRPr="00A72278">
        <w:t xml:space="preserve">  </w:t>
      </w:r>
      <w:r>
        <w:t>[</w:t>
      </w:r>
      <w:r w:rsidRPr="002103DE">
        <w:rPr>
          <w:i/>
        </w:rPr>
        <w:t>Sic</w:t>
      </w:r>
      <w:r>
        <w:t>]</w:t>
      </w:r>
    </w:p>
  </w:endnote>
  <w:endnote w:id="2042">
    <w:p w:rsidR="00975183" w:rsidRPr="00A72278" w:rsidRDefault="00975183" w:rsidP="006A2E06">
      <w:pPr>
        <w:pStyle w:val="EndnoteText"/>
      </w:pPr>
      <w:r w:rsidRPr="00A72278">
        <w:rPr>
          <w:rStyle w:val="EndnoteReference"/>
        </w:rPr>
        <w:endnoteRef/>
      </w:r>
      <w:r w:rsidRPr="00A72278">
        <w:t xml:space="preserve"> </w:t>
      </w:r>
      <w:r w:rsidRPr="0007123B">
        <w:rPr>
          <w:i/>
        </w:rPr>
        <w:t>SRB</w:t>
      </w:r>
      <w:r>
        <w:t xml:space="preserve"> n</w:t>
      </w:r>
      <w:r w:rsidRPr="00A72278">
        <w:t xml:space="preserve">ote on </w:t>
      </w:r>
      <w:r w:rsidRPr="00A72278">
        <w:rPr>
          <w:lang w:eastAsia="en-GB"/>
        </w:rPr>
        <w:t xml:space="preserve">Mt. 8:20, </w:t>
      </w:r>
      <w:r w:rsidRPr="00A72278">
        <w:t>p. 1006</w:t>
      </w:r>
      <w:r w:rsidRPr="00A72278">
        <w:rPr>
          <w:lang w:eastAsia="en-GB"/>
        </w:rPr>
        <w:t xml:space="preserve">.  </w:t>
      </w:r>
      <w:r w:rsidRPr="00A72278">
        <w:t xml:space="preserve"> </w:t>
      </w:r>
    </w:p>
  </w:endnote>
  <w:endnote w:id="2043">
    <w:p w:rsidR="00975183" w:rsidRDefault="00975183" w:rsidP="006A2E06">
      <w:pPr>
        <w:pStyle w:val="EndnoteText"/>
      </w:pPr>
      <w:r w:rsidRPr="00A72278">
        <w:rPr>
          <w:rStyle w:val="FootnoteReference"/>
        </w:rPr>
        <w:endnoteRef/>
      </w:r>
      <w:r w:rsidRPr="00A72278">
        <w:t xml:space="preserve"> </w:t>
      </w:r>
      <w:r w:rsidRPr="000A48F1">
        <w:rPr>
          <w:i/>
        </w:rPr>
        <w:t>SRB</w:t>
      </w:r>
      <w:r>
        <w:t xml:space="preserve"> n</w:t>
      </w:r>
      <w:r w:rsidRPr="00A72278">
        <w:t xml:space="preserve">ote </w:t>
      </w:r>
      <w:r w:rsidRPr="00AB3C13">
        <w:t xml:space="preserve">on </w:t>
      </w:r>
      <w:r w:rsidRPr="00AB3C13">
        <w:rPr>
          <w:lang w:eastAsia="en-GB"/>
        </w:rPr>
        <w:t>Isa.</w:t>
      </w:r>
      <w:r w:rsidRPr="00A72278">
        <w:rPr>
          <w:lang w:eastAsia="en-GB"/>
        </w:rPr>
        <w:t xml:space="preserve"> 4:2, </w:t>
      </w:r>
      <w:r w:rsidRPr="00A72278">
        <w:t>p. 716</w:t>
      </w:r>
      <w:r w:rsidRPr="00A72278">
        <w:rPr>
          <w:lang w:eastAsia="en-GB"/>
        </w:rPr>
        <w:t xml:space="preserve">.  </w:t>
      </w:r>
      <w:r w:rsidRPr="00A72278">
        <w:t xml:space="preserve">cf note on </w:t>
      </w:r>
      <w:r w:rsidRPr="00A72278">
        <w:rPr>
          <w:lang w:eastAsia="en-GB"/>
        </w:rPr>
        <w:t xml:space="preserve">Acts 1:11, </w:t>
      </w:r>
      <w:r w:rsidRPr="00A72278">
        <w:t>p. 1148</w:t>
      </w:r>
      <w:r w:rsidRPr="00A72278">
        <w:rPr>
          <w:lang w:eastAsia="en-GB"/>
        </w:rPr>
        <w:t xml:space="preserve">. </w:t>
      </w:r>
      <w:r w:rsidRPr="00A72278">
        <w:t xml:space="preserve"> </w:t>
      </w:r>
    </w:p>
  </w:endnote>
  <w:endnote w:id="2044">
    <w:p w:rsidR="00975183" w:rsidRDefault="00975183" w:rsidP="006A2E06">
      <w:pPr>
        <w:pStyle w:val="EndnoteText"/>
      </w:pPr>
      <w:r w:rsidRPr="00A72278">
        <w:rPr>
          <w:rStyle w:val="FootnoteReference"/>
        </w:rPr>
        <w:endnoteRef/>
      </w:r>
      <w:r w:rsidRPr="00A72278">
        <w:t xml:space="preserve"> </w:t>
      </w:r>
      <w:r w:rsidRPr="008A65B1">
        <w:rPr>
          <w:i/>
        </w:rPr>
        <w:t>SRB</w:t>
      </w:r>
      <w:r>
        <w:t xml:space="preserve"> n</w:t>
      </w:r>
      <w:r w:rsidRPr="00A72278">
        <w:t>ote</w:t>
      </w:r>
      <w:r>
        <w:t>s</w:t>
      </w:r>
      <w:r w:rsidRPr="00A72278">
        <w:t xml:space="preserve"> on </w:t>
      </w:r>
      <w:r w:rsidRPr="00A72278">
        <w:rPr>
          <w:lang w:eastAsia="en-GB"/>
        </w:rPr>
        <w:t xml:space="preserve">Isa. 4:2, </w:t>
      </w:r>
      <w:r w:rsidRPr="00A72278">
        <w:t>p. 716</w:t>
      </w:r>
      <w:r>
        <w:t xml:space="preserve">; </w:t>
      </w:r>
      <w:r w:rsidRPr="00A72278">
        <w:rPr>
          <w:lang w:eastAsia="en-GB"/>
        </w:rPr>
        <w:t xml:space="preserve">Isa. 10:20, </w:t>
      </w:r>
      <w:r w:rsidRPr="00A72278">
        <w:t>p. 722</w:t>
      </w:r>
      <w:r>
        <w:t xml:space="preserve">; </w:t>
      </w:r>
      <w:r w:rsidRPr="00A72278">
        <w:rPr>
          <w:lang w:eastAsia="en-GB"/>
        </w:rPr>
        <w:t xml:space="preserve">Isa. 11:1, </w:t>
      </w:r>
      <w:r w:rsidRPr="00A72278">
        <w:t>p. 723</w:t>
      </w:r>
      <w:r>
        <w:t xml:space="preserve">; </w:t>
      </w:r>
      <w:r w:rsidRPr="00A72278">
        <w:t>Dan. 12:4, p. 919</w:t>
      </w:r>
      <w:r>
        <w:rPr>
          <w:lang w:eastAsia="en-GB"/>
        </w:rPr>
        <w:t xml:space="preserve">; </w:t>
      </w:r>
      <w:r w:rsidRPr="00A72278">
        <w:rPr>
          <w:lang w:eastAsia="en-GB"/>
        </w:rPr>
        <w:t xml:space="preserve">Joel 1:4, </w:t>
      </w:r>
      <w:r w:rsidRPr="00A72278">
        <w:t>p. 930</w:t>
      </w:r>
      <w:r>
        <w:t xml:space="preserve">; </w:t>
      </w:r>
      <w:r w:rsidRPr="00A72278">
        <w:rPr>
          <w:lang w:eastAsia="en-GB"/>
        </w:rPr>
        <w:t xml:space="preserve">Hab. 2:3, </w:t>
      </w:r>
      <w:r w:rsidRPr="00A72278">
        <w:t>p. 956</w:t>
      </w:r>
      <w:r>
        <w:t xml:space="preserve">; </w:t>
      </w:r>
      <w:r w:rsidRPr="00A72278">
        <w:t>Hab. 2:14, p. 957</w:t>
      </w:r>
      <w:r>
        <w:t>;</w:t>
      </w:r>
      <w:r w:rsidRPr="00A72278">
        <w:t xml:space="preserve"> </w:t>
      </w:r>
      <w:r w:rsidRPr="00A72278">
        <w:rPr>
          <w:lang w:eastAsia="en-GB"/>
        </w:rPr>
        <w:t xml:space="preserve">Hag. 2:3, </w:t>
      </w:r>
      <w:r w:rsidRPr="00A72278">
        <w:t>p. 963</w:t>
      </w:r>
      <w:r>
        <w:t xml:space="preserve">; </w:t>
      </w:r>
      <w:r w:rsidRPr="00A72278">
        <w:rPr>
          <w:lang w:eastAsia="en-GB"/>
        </w:rPr>
        <w:t xml:space="preserve">Zech. 2:1, </w:t>
      </w:r>
      <w:r w:rsidRPr="00A72278">
        <w:t>p. 966</w:t>
      </w:r>
      <w:r>
        <w:t>;</w:t>
      </w:r>
      <w:r w:rsidRPr="00A72278">
        <w:rPr>
          <w:lang w:eastAsia="en-GB"/>
        </w:rPr>
        <w:t xml:space="preserve"> Zech. 3:1, </w:t>
      </w:r>
      <w:r w:rsidRPr="00A72278">
        <w:t>p. 967</w:t>
      </w:r>
      <w:r>
        <w:t>;</w:t>
      </w:r>
      <w:r w:rsidRPr="00A72278">
        <w:t xml:space="preserve"> </w:t>
      </w:r>
      <w:r w:rsidRPr="00A72278">
        <w:rPr>
          <w:lang w:eastAsia="en-GB"/>
        </w:rPr>
        <w:t xml:space="preserve">Zech. 6:11, </w:t>
      </w:r>
      <w:r w:rsidRPr="00A72278">
        <w:t>p. 970</w:t>
      </w:r>
      <w:r>
        <w:t xml:space="preserve">; </w:t>
      </w:r>
      <w:r w:rsidRPr="00A72278">
        <w:t>Mt. 10:16, p. 1009</w:t>
      </w:r>
      <w:r>
        <w:t xml:space="preserve">; </w:t>
      </w:r>
      <w:r w:rsidRPr="00A72278">
        <w:rPr>
          <w:lang w:eastAsia="en-GB"/>
        </w:rPr>
        <w:t xml:space="preserve">Mt. 13:17, </w:t>
      </w:r>
      <w:r w:rsidRPr="00A72278">
        <w:t>p. 1015</w:t>
      </w:r>
      <w:r>
        <w:t>;</w:t>
      </w:r>
      <w:r w:rsidRPr="00A72278">
        <w:t xml:space="preserve"> </w:t>
      </w:r>
      <w:r w:rsidRPr="00A72278">
        <w:rPr>
          <w:lang w:eastAsia="en-GB"/>
        </w:rPr>
        <w:t xml:space="preserve">1 Cor. 15:24, </w:t>
      </w:r>
      <w:r w:rsidRPr="00A72278">
        <w:t>p. 1226</w:t>
      </w:r>
      <w:r>
        <w:t xml:space="preserve">; </w:t>
      </w:r>
      <w:r w:rsidRPr="00A72278">
        <w:t>2 Thess. 2:3, p. 1272</w:t>
      </w:r>
      <w:r>
        <w:rPr>
          <w:lang w:eastAsia="en-GB"/>
        </w:rPr>
        <w:t>; R</w:t>
      </w:r>
      <w:r w:rsidRPr="00A72278">
        <w:rPr>
          <w:lang w:eastAsia="en-GB"/>
        </w:rPr>
        <w:t xml:space="preserve">ev. 7:14, </w:t>
      </w:r>
      <w:r w:rsidRPr="00A72278">
        <w:t>p. 1337</w:t>
      </w:r>
      <w:r>
        <w:t xml:space="preserve">; </w:t>
      </w:r>
      <w:r w:rsidRPr="00A72278">
        <w:rPr>
          <w:lang w:eastAsia="en-GB"/>
        </w:rPr>
        <w:t xml:space="preserve">Rev. 16:19, </w:t>
      </w:r>
      <w:r w:rsidRPr="00A72278">
        <w:t>p. 1345</w:t>
      </w:r>
      <w:r>
        <w:t xml:space="preserve">; </w:t>
      </w:r>
      <w:r w:rsidRPr="00A72278">
        <w:t>Rev. 19:17, p. 1349</w:t>
      </w:r>
      <w:r>
        <w:rPr>
          <w:lang w:eastAsia="en-GB"/>
        </w:rPr>
        <w:t xml:space="preserve">; </w:t>
      </w:r>
      <w:r w:rsidRPr="00A72278">
        <w:t>subhead</w:t>
      </w:r>
      <w:r>
        <w:t>s</w:t>
      </w:r>
      <w:r w:rsidRPr="00A72278">
        <w:t xml:space="preserve"> to Zech. 14:1, p. 978</w:t>
      </w:r>
      <w:r>
        <w:t xml:space="preserve">; </w:t>
      </w:r>
      <w:r w:rsidRPr="00A72278">
        <w:t>Mt. 24:27, p. 10</w:t>
      </w:r>
      <w:r>
        <w:t xml:space="preserve">; </w:t>
      </w:r>
      <w:r w:rsidRPr="00A72278">
        <w:t>Mk 13:24, p. 1064</w:t>
      </w:r>
      <w:r>
        <w:t>;</w:t>
      </w:r>
      <w:r w:rsidRPr="00A72278">
        <w:t xml:space="preserve"> Lk. 21:25, p. 1106</w:t>
      </w:r>
      <w:r>
        <w:rPr>
          <w:lang w:eastAsia="en-GB"/>
        </w:rPr>
        <w:t xml:space="preserve">; </w:t>
      </w:r>
      <w:r w:rsidRPr="00A72278">
        <w:t>Rev. 19:11, p. 1348</w:t>
      </w:r>
      <w:r>
        <w:t>.</w:t>
      </w:r>
    </w:p>
  </w:endnote>
  <w:endnote w:id="2045">
    <w:p w:rsidR="00975183" w:rsidRDefault="00975183" w:rsidP="006A2E06">
      <w:pPr>
        <w:pStyle w:val="EndnoteText"/>
      </w:pPr>
      <w:r w:rsidRPr="00F76E23">
        <w:rPr>
          <w:rStyle w:val="EndnoteReference"/>
        </w:rPr>
        <w:endnoteRef/>
      </w:r>
      <w:r w:rsidRPr="00F76E23">
        <w:t xml:space="preserve"> </w:t>
      </w:r>
      <w:r w:rsidRPr="008A65B1">
        <w:rPr>
          <w:i/>
        </w:rPr>
        <w:t xml:space="preserve">SRB </w:t>
      </w:r>
      <w:r>
        <w:t>s</w:t>
      </w:r>
      <w:r w:rsidRPr="00A72278">
        <w:t>ubhead to Zech. 14:4, p. 978</w:t>
      </w:r>
      <w:r>
        <w:t>.</w:t>
      </w:r>
    </w:p>
  </w:endnote>
  <w:endnote w:id="2046">
    <w:p w:rsidR="00975183" w:rsidRDefault="00975183" w:rsidP="006A2E06">
      <w:pPr>
        <w:pStyle w:val="EndnoteText"/>
      </w:pPr>
      <w:r w:rsidRPr="00F76E23">
        <w:rPr>
          <w:rStyle w:val="EndnoteReference"/>
        </w:rPr>
        <w:endnoteRef/>
      </w:r>
      <w:r w:rsidRPr="00F76E23">
        <w:t xml:space="preserve"> </w:t>
      </w:r>
      <w:r w:rsidRPr="00A72278">
        <w:rPr>
          <w:i/>
        </w:rPr>
        <w:t>SRB</w:t>
      </w:r>
      <w:r w:rsidRPr="00A72278">
        <w:t xml:space="preserve"> </w:t>
      </w:r>
      <w:r>
        <w:t>n</w:t>
      </w:r>
      <w:r w:rsidRPr="00A72278">
        <w:t>ote on Mt. 24:3, p 1033</w:t>
      </w:r>
      <w:r>
        <w:t>.</w:t>
      </w:r>
    </w:p>
  </w:endnote>
  <w:endnote w:id="2047">
    <w:p w:rsidR="00975183" w:rsidRDefault="00975183" w:rsidP="006A2E06">
      <w:pPr>
        <w:pStyle w:val="EndnoteText"/>
      </w:pPr>
      <w:r w:rsidRPr="00F76E23">
        <w:rPr>
          <w:rStyle w:val="EndnoteReference"/>
        </w:rPr>
        <w:endnoteRef/>
      </w:r>
      <w:r w:rsidRPr="00F76E23">
        <w:t xml:space="preserve"> </w:t>
      </w:r>
      <w:proofErr w:type="gramStart"/>
      <w:r w:rsidRPr="008A65B1">
        <w:rPr>
          <w:i/>
        </w:rPr>
        <w:t>SRB</w:t>
      </w:r>
      <w:r>
        <w:t xml:space="preserve"> n</w:t>
      </w:r>
      <w:r w:rsidRPr="00A72278">
        <w:t>ote on 1 Cor. 1:7, p. 1212</w:t>
      </w:r>
      <w:r>
        <w:t>.</w:t>
      </w:r>
      <w:proofErr w:type="gramEnd"/>
    </w:p>
  </w:endnote>
  <w:endnote w:id="2048">
    <w:p w:rsidR="00975183" w:rsidRPr="00A72278" w:rsidRDefault="00975183" w:rsidP="006A2E06">
      <w:pPr>
        <w:pStyle w:val="FootnoteText"/>
        <w:rPr>
          <w:rStyle w:val="EndnoteReference"/>
          <w:rFonts w:ascii="Perpetua" w:hAnsi="Perpetua"/>
        </w:rPr>
      </w:pPr>
      <w:r w:rsidRPr="00A72278">
        <w:rPr>
          <w:rStyle w:val="FootnoteReference"/>
          <w:rFonts w:ascii="Perpetua" w:hAnsi="Perpetua"/>
        </w:rPr>
        <w:endnoteRef/>
      </w:r>
      <w:r w:rsidRPr="00A72278">
        <w:rPr>
          <w:rFonts w:ascii="Perpetua" w:hAnsi="Perpetua"/>
        </w:rPr>
        <w:t xml:space="preserve"> </w:t>
      </w:r>
      <w:r w:rsidRPr="000A48F1">
        <w:rPr>
          <w:rFonts w:ascii="Perpetua" w:hAnsi="Perpetua"/>
          <w:i/>
        </w:rPr>
        <w:t>SRB</w:t>
      </w:r>
      <w:r>
        <w:rPr>
          <w:rFonts w:ascii="Perpetua" w:hAnsi="Perpetua"/>
        </w:rPr>
        <w:t xml:space="preserve"> n</w:t>
      </w:r>
      <w:r w:rsidRPr="00A72278">
        <w:rPr>
          <w:rFonts w:ascii="Perpetua" w:hAnsi="Perpetua"/>
        </w:rPr>
        <w:t xml:space="preserve">ote </w:t>
      </w:r>
      <w:r w:rsidRPr="00344B2F">
        <w:rPr>
          <w:rFonts w:ascii="Perpetua" w:hAnsi="Perpetua"/>
        </w:rPr>
        <w:t>on Mt. 25</w:t>
      </w:r>
      <w:r w:rsidRPr="00A72278">
        <w:rPr>
          <w:rFonts w:ascii="Perpetua" w:hAnsi="Perpetua"/>
        </w:rPr>
        <w:t>:1, p. 1035</w:t>
      </w:r>
      <w:r w:rsidRPr="00A72278">
        <w:rPr>
          <w:rFonts w:ascii="Perpetua" w:hAnsi="Perpetua"/>
          <w:lang w:eastAsia="en-GB"/>
        </w:rPr>
        <w:t>.</w:t>
      </w:r>
      <w:r w:rsidRPr="00A72278">
        <w:rPr>
          <w:rFonts w:ascii="Perpetua" w:hAnsi="Perpetua"/>
          <w:b/>
        </w:rPr>
        <w:t xml:space="preserve">  </w:t>
      </w:r>
      <w:r w:rsidRPr="00A72278">
        <w:rPr>
          <w:rFonts w:ascii="Perpetua" w:hAnsi="Perpetua"/>
        </w:rPr>
        <w:t xml:space="preserve">The Lord’s return has three aspects: a testing profession, a testing service and a testing of ‘the Gentile nations’.  </w:t>
      </w:r>
      <w:proofErr w:type="gramStart"/>
      <w:r w:rsidRPr="00580073">
        <w:rPr>
          <w:rFonts w:ascii="Perpetua" w:hAnsi="Perpetua"/>
          <w:b/>
        </w:rPr>
        <w:t>See 8.6.1</w:t>
      </w:r>
      <w:r w:rsidRPr="00580073">
        <w:rPr>
          <w:rFonts w:ascii="Perpetua" w:hAnsi="Perpetua"/>
        </w:rPr>
        <w:t>.</w:t>
      </w:r>
      <w:proofErr w:type="gramEnd"/>
    </w:p>
    <w:p w:rsidR="00975183" w:rsidRPr="00A72278" w:rsidRDefault="00975183" w:rsidP="006A2E06">
      <w:pPr>
        <w:pStyle w:val="FootnoteText"/>
        <w:rPr>
          <w:rFonts w:ascii="Perpetua" w:hAnsi="Perpetua"/>
          <w:b/>
        </w:rPr>
      </w:pPr>
      <w:r w:rsidRPr="000A48F1">
        <w:rPr>
          <w:rFonts w:ascii="Perpetua" w:hAnsi="Perpetua"/>
          <w:i/>
        </w:rPr>
        <w:t>SRB</w:t>
      </w:r>
      <w:r>
        <w:rPr>
          <w:rFonts w:ascii="Perpetua" w:hAnsi="Perpetua"/>
        </w:rPr>
        <w:t xml:space="preserve"> n</w:t>
      </w:r>
      <w:r w:rsidRPr="00A72278">
        <w:rPr>
          <w:rFonts w:ascii="Perpetua" w:hAnsi="Perpetua"/>
        </w:rPr>
        <w:t>ote on Mt. 25:1, p. 1035</w:t>
      </w:r>
      <w:r w:rsidRPr="00A72278">
        <w:rPr>
          <w:rFonts w:ascii="Perpetua" w:hAnsi="Perpetua"/>
          <w:lang w:eastAsia="en-GB"/>
        </w:rPr>
        <w:t xml:space="preserve">. </w:t>
      </w:r>
      <w:r w:rsidRPr="00A72278">
        <w:rPr>
          <w:rFonts w:ascii="Perpetua" w:hAnsi="Perpetua"/>
        </w:rPr>
        <w:t xml:space="preserve"> </w:t>
      </w:r>
      <w:proofErr w:type="gramStart"/>
      <w:r w:rsidRPr="00580073">
        <w:rPr>
          <w:rFonts w:ascii="Perpetua" w:hAnsi="Perpetua"/>
          <w:b/>
        </w:rPr>
        <w:t>See 8.6.1</w:t>
      </w:r>
      <w:r w:rsidRPr="00580073">
        <w:rPr>
          <w:rFonts w:ascii="Perpetua" w:hAnsi="Perpetua"/>
        </w:rPr>
        <w:t>.</w:t>
      </w:r>
      <w:proofErr w:type="gramEnd"/>
    </w:p>
    <w:p w:rsidR="00975183" w:rsidRPr="00A72278" w:rsidRDefault="00975183" w:rsidP="006A2E06">
      <w:pPr>
        <w:pStyle w:val="FootnoteText"/>
        <w:rPr>
          <w:rFonts w:ascii="Perpetua" w:hAnsi="Perpetua"/>
          <w:b/>
        </w:rPr>
      </w:pPr>
      <w:r w:rsidRPr="00A72278">
        <w:rPr>
          <w:rFonts w:ascii="Perpetua" w:hAnsi="Perpetua"/>
          <w:i/>
        </w:rPr>
        <w:t>SRB</w:t>
      </w:r>
      <w:r w:rsidRPr="00A72278">
        <w:rPr>
          <w:rFonts w:ascii="Perpetua" w:hAnsi="Perpetua"/>
        </w:rPr>
        <w:t xml:space="preserve"> subhead to Mt. 25:14, p. 1036.  ‘The Lord’s return tests the servants.’  </w:t>
      </w:r>
    </w:p>
    <w:p w:rsidR="00975183" w:rsidRDefault="00975183" w:rsidP="006A2E06">
      <w:pPr>
        <w:pStyle w:val="EndnoteText"/>
      </w:pPr>
      <w:r w:rsidRPr="00C87473">
        <w:rPr>
          <w:i/>
        </w:rPr>
        <w:t xml:space="preserve">SRB </w:t>
      </w:r>
      <w:r>
        <w:t>s</w:t>
      </w:r>
      <w:r w:rsidRPr="00A72278">
        <w:t xml:space="preserve">ubhead to Mt. 25:31, p. 1036.  ‘The Lord’s return tests the Gentile nations.’ </w:t>
      </w:r>
    </w:p>
  </w:endnote>
  <w:endnote w:id="2049">
    <w:p w:rsidR="00975183" w:rsidRPr="00A72278" w:rsidRDefault="00975183" w:rsidP="006A2E06">
      <w:pPr>
        <w:pStyle w:val="FootnoteText"/>
        <w:rPr>
          <w:rFonts w:ascii="Perpetua" w:hAnsi="Perpetua"/>
        </w:rPr>
      </w:pPr>
      <w:r w:rsidRPr="00A72278">
        <w:rPr>
          <w:rStyle w:val="FootnoteReference"/>
          <w:rFonts w:ascii="Perpetua" w:hAnsi="Perpetua"/>
        </w:rPr>
        <w:endnoteRef/>
      </w:r>
      <w:r w:rsidRPr="00A72278">
        <w:rPr>
          <w:rFonts w:ascii="Perpetua" w:hAnsi="Perpetua"/>
        </w:rPr>
        <w:t xml:space="preserve"> </w:t>
      </w:r>
      <w:r w:rsidRPr="00C87473">
        <w:rPr>
          <w:rFonts w:ascii="Perpetua" w:hAnsi="Perpetua"/>
          <w:i/>
        </w:rPr>
        <w:t>SRB</w:t>
      </w:r>
      <w:r>
        <w:rPr>
          <w:rFonts w:ascii="Perpetua" w:hAnsi="Perpetua"/>
        </w:rPr>
        <w:t xml:space="preserve"> n</w:t>
      </w:r>
      <w:r w:rsidRPr="00A72278">
        <w:rPr>
          <w:rFonts w:ascii="Perpetua" w:hAnsi="Perpetua"/>
        </w:rPr>
        <w:t>ote on Mt. 25:32, p. 1036.  This judgment takes place on earth at the return of Christ</w:t>
      </w:r>
      <w:r>
        <w:rPr>
          <w:rFonts w:ascii="Perpetua" w:hAnsi="Perpetua"/>
        </w:rPr>
        <w:t xml:space="preserve"> and involves ‘the living nations’</w:t>
      </w:r>
      <w:r w:rsidRPr="00A72278">
        <w:rPr>
          <w:rFonts w:ascii="Perpetua" w:hAnsi="Perpetua"/>
        </w:rPr>
        <w:t xml:space="preserve">.  </w:t>
      </w:r>
    </w:p>
    <w:p w:rsidR="00975183" w:rsidRDefault="00975183" w:rsidP="006A2E06">
      <w:pPr>
        <w:pStyle w:val="EndnoteText"/>
      </w:pPr>
      <w:r w:rsidRPr="00C87473">
        <w:rPr>
          <w:i/>
        </w:rPr>
        <w:t>SRB</w:t>
      </w:r>
      <w:r>
        <w:t xml:space="preserve"> n</w:t>
      </w:r>
      <w:r w:rsidRPr="00A72278">
        <w:t xml:space="preserve">ote on </w:t>
      </w:r>
      <w:r w:rsidRPr="00A72278">
        <w:rPr>
          <w:lang w:eastAsia="en-GB"/>
        </w:rPr>
        <w:t xml:space="preserve">2 Cor. 5:10, </w:t>
      </w:r>
      <w:r w:rsidRPr="00A72278">
        <w:t>p. 1233.  The believer’s works, not his sins, are judged at the return of Christ.</w:t>
      </w:r>
    </w:p>
  </w:endnote>
  <w:endnote w:id="2050">
    <w:p w:rsidR="00975183" w:rsidRPr="00A72278" w:rsidRDefault="00975183" w:rsidP="006A2E06">
      <w:pPr>
        <w:pStyle w:val="EndnoteText"/>
      </w:pPr>
      <w:r w:rsidRPr="00A72278">
        <w:rPr>
          <w:rStyle w:val="EndnoteReference"/>
        </w:rPr>
        <w:endnoteRef/>
      </w:r>
      <w:r w:rsidRPr="00A72278">
        <w:t xml:space="preserve"> </w:t>
      </w:r>
      <w:r w:rsidRPr="00C87473">
        <w:rPr>
          <w:i/>
        </w:rPr>
        <w:t xml:space="preserve">SRB </w:t>
      </w:r>
      <w:r>
        <w:t>n</w:t>
      </w:r>
      <w:r w:rsidRPr="00A72278">
        <w:t xml:space="preserve">ote on Isa. 61:2, p. 766.  </w:t>
      </w:r>
    </w:p>
  </w:endnote>
  <w:endnote w:id="2051">
    <w:p w:rsidR="00975183" w:rsidRDefault="00975183" w:rsidP="006A2E06">
      <w:pPr>
        <w:pStyle w:val="EndnoteText"/>
      </w:pPr>
      <w:r w:rsidRPr="00A72278">
        <w:rPr>
          <w:rStyle w:val="FootnoteReference"/>
        </w:rPr>
        <w:endnoteRef/>
      </w:r>
      <w:r w:rsidRPr="00A72278">
        <w:t xml:space="preserve"> </w:t>
      </w:r>
      <w:proofErr w:type="gramStart"/>
      <w:r w:rsidRPr="00A72278">
        <w:rPr>
          <w:i/>
        </w:rPr>
        <w:t>SRB</w:t>
      </w:r>
      <w:r w:rsidRPr="00A72278">
        <w:t xml:space="preserve"> subhead to 2 Pet. 3:1, p. 1319.</w:t>
      </w:r>
      <w:proofErr w:type="gramEnd"/>
      <w:r w:rsidRPr="00A72278">
        <w:t xml:space="preserve">   </w:t>
      </w:r>
      <w:proofErr w:type="gramStart"/>
      <w:r w:rsidRPr="00A72278">
        <w:t>‘The return of the Lord and the day of the Lord.’</w:t>
      </w:r>
      <w:proofErr w:type="gramEnd"/>
      <w:r w:rsidRPr="00A72278">
        <w:t xml:space="preserve">  </w:t>
      </w:r>
    </w:p>
  </w:endnote>
  <w:endnote w:id="2052">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subhead to Mk 13:34, p. 1064.  </w:t>
      </w:r>
    </w:p>
  </w:endnote>
  <w:endnote w:id="2053">
    <w:p w:rsidR="00975183" w:rsidRPr="000152BD" w:rsidRDefault="00975183" w:rsidP="006A2E06">
      <w:pPr>
        <w:pStyle w:val="FootnoteText"/>
        <w:rPr>
          <w:rFonts w:ascii="Perpetua" w:hAnsi="Perpetua"/>
        </w:rPr>
      </w:pPr>
      <w:r w:rsidRPr="000152BD">
        <w:rPr>
          <w:rStyle w:val="EndnoteReference"/>
          <w:rFonts w:ascii="Perpetua" w:hAnsi="Perpetua"/>
        </w:rPr>
        <w:endnoteRef/>
      </w:r>
      <w:r w:rsidRPr="000152BD">
        <w:rPr>
          <w:rFonts w:ascii="Perpetua" w:hAnsi="Perpetua"/>
        </w:rPr>
        <w:t xml:space="preserve"> </w:t>
      </w:r>
      <w:r w:rsidRPr="000152BD">
        <w:rPr>
          <w:rFonts w:ascii="Perpetua" w:hAnsi="Perpetua"/>
          <w:i/>
        </w:rPr>
        <w:t xml:space="preserve">SRB </w:t>
      </w:r>
      <w:r w:rsidRPr="000152BD">
        <w:rPr>
          <w:rFonts w:ascii="Perpetua" w:hAnsi="Perpetua"/>
        </w:rPr>
        <w:t xml:space="preserve">subhead to </w:t>
      </w:r>
      <w:r w:rsidRPr="000152BD">
        <w:rPr>
          <w:rFonts w:ascii="Perpetua" w:hAnsi="Perpetua"/>
          <w:lang w:eastAsia="en-GB"/>
        </w:rPr>
        <w:t xml:space="preserve">Lk. 12:35, </w:t>
      </w:r>
      <w:r w:rsidRPr="000152BD">
        <w:rPr>
          <w:rFonts w:ascii="Perpetua" w:hAnsi="Perpetua"/>
        </w:rPr>
        <w:t>p. 1093</w:t>
      </w:r>
      <w:r w:rsidRPr="000152BD">
        <w:rPr>
          <w:rFonts w:ascii="Perpetua" w:hAnsi="Perpetua"/>
          <w:lang w:eastAsia="en-GB"/>
        </w:rPr>
        <w:t xml:space="preserve">. </w:t>
      </w:r>
      <w:r w:rsidRPr="000152BD">
        <w:rPr>
          <w:rFonts w:ascii="Perpetua" w:hAnsi="Perpetua"/>
        </w:rPr>
        <w:t xml:space="preserve"> ‘Parable and warnings connected with the second coming – ref. </w:t>
      </w:r>
    </w:p>
    <w:p w:rsidR="00975183" w:rsidRPr="00A72278" w:rsidRDefault="00975183" w:rsidP="006A2E06">
      <w:pPr>
        <w:pStyle w:val="FootnoteText"/>
        <w:rPr>
          <w:rFonts w:ascii="Perpetua" w:hAnsi="Perpetua"/>
        </w:rPr>
      </w:pPr>
      <w:r w:rsidRPr="00A72278">
        <w:rPr>
          <w:rFonts w:ascii="Perpetua" w:hAnsi="Perpetua"/>
        </w:rPr>
        <w:t>Mt. 24:37-25:30.</w:t>
      </w:r>
      <w:r>
        <w:rPr>
          <w:rFonts w:ascii="Perpetua" w:hAnsi="Perpetua"/>
        </w:rPr>
        <w:t>’</w:t>
      </w:r>
      <w:r w:rsidRPr="00A72278">
        <w:rPr>
          <w:rFonts w:ascii="Perpetua" w:hAnsi="Perpetua"/>
        </w:rPr>
        <w:t xml:space="preserve"> </w:t>
      </w:r>
    </w:p>
    <w:p w:rsidR="00975183" w:rsidRDefault="00975183" w:rsidP="006A2E06">
      <w:pPr>
        <w:pStyle w:val="EndnoteText"/>
      </w:pPr>
      <w:r w:rsidRPr="00A72278">
        <w:rPr>
          <w:i/>
        </w:rPr>
        <w:t xml:space="preserve">SRB </w:t>
      </w:r>
      <w:r w:rsidRPr="00A72278">
        <w:t xml:space="preserve">subhead to Lk. 21:34, p. 1107.  </w:t>
      </w:r>
      <w:proofErr w:type="gramStart"/>
      <w:r w:rsidRPr="00A72278">
        <w:t>‘Warnings in view of the Lord’s return.’</w:t>
      </w:r>
      <w:proofErr w:type="gramEnd"/>
      <w:r w:rsidRPr="00A72278">
        <w:t xml:space="preserve">  </w:t>
      </w:r>
    </w:p>
  </w:endnote>
  <w:endnote w:id="2054">
    <w:p w:rsidR="00975183" w:rsidRDefault="00975183" w:rsidP="006A2E06">
      <w:pPr>
        <w:pStyle w:val="EndnoteText"/>
      </w:pPr>
      <w:r w:rsidRPr="00126977">
        <w:rPr>
          <w:rStyle w:val="FootnoteReference"/>
        </w:rPr>
        <w:endnoteRef/>
      </w:r>
      <w:r w:rsidRPr="00126977">
        <w:t xml:space="preserve"> </w:t>
      </w:r>
      <w:r w:rsidRPr="00AC02ED">
        <w:rPr>
          <w:i/>
        </w:rPr>
        <w:t>SRB</w:t>
      </w:r>
      <w:r>
        <w:t xml:space="preserve"> s</w:t>
      </w:r>
      <w:r w:rsidRPr="00126977">
        <w:t xml:space="preserve">ubhead to </w:t>
      </w:r>
      <w:r w:rsidRPr="00126977">
        <w:rPr>
          <w:lang w:eastAsia="en-GB"/>
        </w:rPr>
        <w:t xml:space="preserve">Jas 5:7, </w:t>
      </w:r>
      <w:r w:rsidRPr="00126977">
        <w:t>p. 1309</w:t>
      </w:r>
      <w:r w:rsidRPr="00126977">
        <w:rPr>
          <w:lang w:eastAsia="en-GB"/>
        </w:rPr>
        <w:t xml:space="preserve">.  </w:t>
      </w:r>
      <w:proofErr w:type="gramStart"/>
      <w:r w:rsidRPr="00126977">
        <w:rPr>
          <w:lang w:eastAsia="en-GB"/>
        </w:rPr>
        <w:t>‘</w:t>
      </w:r>
      <w:r w:rsidRPr="00126977">
        <w:rPr>
          <w:color w:val="000000"/>
        </w:rPr>
        <w:t>Exhortation in view of the coming of the Lord.’</w:t>
      </w:r>
      <w:proofErr w:type="gramEnd"/>
    </w:p>
  </w:endnote>
  <w:endnote w:id="2055">
    <w:p w:rsidR="00975183" w:rsidRPr="00EB6AF7" w:rsidRDefault="00975183" w:rsidP="006A2E06">
      <w:pPr>
        <w:pStyle w:val="EndnoteText"/>
      </w:pPr>
      <w:r w:rsidRPr="00EB6AF7">
        <w:rPr>
          <w:rStyle w:val="EndnoteReference"/>
        </w:rPr>
        <w:endnoteRef/>
      </w:r>
      <w:r w:rsidRPr="00EB6AF7">
        <w:t xml:space="preserve"> </w:t>
      </w:r>
      <w:r>
        <w:t>Ref. Dan. 2:36-45.</w:t>
      </w:r>
    </w:p>
  </w:endnote>
  <w:endnote w:id="2056">
    <w:p w:rsidR="00975183" w:rsidRDefault="00975183" w:rsidP="006A2E06">
      <w:pPr>
        <w:pStyle w:val="EndnoteText"/>
      </w:pPr>
      <w:r w:rsidRPr="00EB6AF7">
        <w:rPr>
          <w:rStyle w:val="EndnoteReference"/>
        </w:rPr>
        <w:endnoteRef/>
      </w:r>
      <w:r w:rsidRPr="00EB6AF7">
        <w:t xml:space="preserve"> </w:t>
      </w:r>
      <w:r>
        <w:t>Ref. Rev. 19:15.</w:t>
      </w:r>
    </w:p>
  </w:endnote>
  <w:endnote w:id="2057">
    <w:p w:rsidR="00975183" w:rsidRPr="00EB6AF7" w:rsidRDefault="00975183" w:rsidP="006A2E06">
      <w:pPr>
        <w:pStyle w:val="EndnoteText"/>
      </w:pPr>
      <w:r w:rsidRPr="00EB6AF7">
        <w:rPr>
          <w:rStyle w:val="EndnoteReference"/>
        </w:rPr>
        <w:endnoteRef/>
      </w:r>
      <w:r w:rsidRPr="00EB6AF7">
        <w:t xml:space="preserve"> </w:t>
      </w:r>
      <w:r>
        <w:t xml:space="preserve">Chafer, </w:t>
      </w:r>
      <w:r w:rsidRPr="00EB6AF7">
        <w:rPr>
          <w:i/>
        </w:rPr>
        <w:t>Major Bible Themes</w:t>
      </w:r>
      <w:r>
        <w:t xml:space="preserve">, p. 279.  </w:t>
      </w:r>
      <w:proofErr w:type="gramStart"/>
      <w:r>
        <w:t>Refs</w:t>
      </w:r>
      <w:proofErr w:type="gramEnd"/>
      <w:r>
        <w:t xml:space="preserve"> Rev. 19:17-21; 17:8-18.</w:t>
      </w:r>
    </w:p>
  </w:endnote>
  <w:endnote w:id="2058">
    <w:p w:rsidR="00975183" w:rsidRPr="008064B8" w:rsidRDefault="00975183" w:rsidP="006A2E06">
      <w:pPr>
        <w:pStyle w:val="EndnoteText"/>
      </w:pPr>
      <w:r w:rsidRPr="008064B8">
        <w:rPr>
          <w:rStyle w:val="EndnoteReference"/>
        </w:rPr>
        <w:endnoteRef/>
      </w:r>
      <w:r w:rsidRPr="008064B8">
        <w:rPr>
          <w:i/>
        </w:rPr>
        <w:t>SRB</w:t>
      </w:r>
      <w:r w:rsidRPr="008064B8">
        <w:t xml:space="preserve"> </w:t>
      </w:r>
      <w:r>
        <w:t>n</w:t>
      </w:r>
      <w:r w:rsidRPr="008064B8">
        <w:t>ote on Joel 1:4, p. 930</w:t>
      </w:r>
      <w:r w:rsidRPr="008064B8">
        <w:rPr>
          <w:lang w:eastAsia="en-GB"/>
        </w:rPr>
        <w:t xml:space="preserve">. </w:t>
      </w:r>
      <w:r w:rsidRPr="008064B8">
        <w:t xml:space="preserve"> </w:t>
      </w:r>
      <w:proofErr w:type="gramStart"/>
      <w:r w:rsidRPr="008064B8">
        <w:t xml:space="preserve">cf note on </w:t>
      </w:r>
      <w:r w:rsidRPr="008064B8">
        <w:rPr>
          <w:lang w:eastAsia="en-GB"/>
        </w:rPr>
        <w:t>Rev. 19:17</w:t>
      </w:r>
      <w:r w:rsidRPr="008064B8">
        <w:rPr>
          <w:b/>
          <w:lang w:eastAsia="en-GB"/>
        </w:rPr>
        <w:t xml:space="preserve">, </w:t>
      </w:r>
      <w:r w:rsidRPr="008064B8">
        <w:t>p. 1349</w:t>
      </w:r>
      <w:r w:rsidRPr="008064B8">
        <w:rPr>
          <w:lang w:eastAsia="en-GB"/>
        </w:rPr>
        <w:t>.</w:t>
      </w:r>
      <w:proofErr w:type="gramEnd"/>
      <w:r w:rsidRPr="008064B8">
        <w:rPr>
          <w:lang w:eastAsia="en-GB"/>
        </w:rPr>
        <w:t xml:space="preserve">  </w:t>
      </w:r>
    </w:p>
  </w:endnote>
  <w:endnote w:id="2059">
    <w:p w:rsidR="00975183" w:rsidRPr="008064B8" w:rsidRDefault="00975183" w:rsidP="006A2E06">
      <w:pPr>
        <w:pStyle w:val="EndnoteText"/>
      </w:pPr>
      <w:r w:rsidRPr="008064B8">
        <w:rPr>
          <w:rStyle w:val="EndnoteReference"/>
        </w:rPr>
        <w:endnoteRef/>
      </w:r>
      <w:r w:rsidRPr="008064B8">
        <w:t xml:space="preserve"> </w:t>
      </w:r>
      <w:r w:rsidRPr="00612A10">
        <w:rPr>
          <w:i/>
        </w:rPr>
        <w:t>SRB</w:t>
      </w:r>
      <w:r>
        <w:t xml:space="preserve"> n</w:t>
      </w:r>
      <w:r w:rsidRPr="008064B8">
        <w:t xml:space="preserve">ote on </w:t>
      </w:r>
      <w:r w:rsidRPr="008064B8">
        <w:rPr>
          <w:lang w:eastAsia="en-GB"/>
        </w:rPr>
        <w:t xml:space="preserve">Ps. 110:1, </w:t>
      </w:r>
      <w:r w:rsidRPr="008064B8">
        <w:t>p. 655</w:t>
      </w:r>
      <w:r w:rsidRPr="008064B8">
        <w:rPr>
          <w:lang w:eastAsia="en-GB"/>
        </w:rPr>
        <w:t xml:space="preserve">.  </w:t>
      </w:r>
      <w:proofErr w:type="gramStart"/>
      <w:r w:rsidRPr="008064B8">
        <w:t xml:space="preserve">Refs </w:t>
      </w:r>
      <w:r>
        <w:t xml:space="preserve"> </w:t>
      </w:r>
      <w:r w:rsidRPr="008064B8">
        <w:t>vv</w:t>
      </w:r>
      <w:proofErr w:type="gramEnd"/>
      <w:r w:rsidRPr="008064B8">
        <w:t xml:space="preserve">. 5-6; Joel 3:9-17; Zech. 14:1-4; Rev. 19:11-21.  </w:t>
      </w:r>
      <w:r>
        <w:rPr>
          <w:b/>
        </w:rPr>
        <w:t xml:space="preserve">  </w:t>
      </w:r>
    </w:p>
  </w:endnote>
  <w:endnote w:id="2060">
    <w:p w:rsidR="00975183" w:rsidRDefault="00975183" w:rsidP="006A2E06">
      <w:pPr>
        <w:pStyle w:val="EndnoteText"/>
      </w:pPr>
      <w:r w:rsidRPr="008064B8">
        <w:rPr>
          <w:rStyle w:val="FootnoteReference"/>
        </w:rPr>
        <w:endnoteRef/>
      </w:r>
      <w:r w:rsidRPr="008064B8">
        <w:t xml:space="preserve"> </w:t>
      </w:r>
      <w:r>
        <w:rPr>
          <w:i/>
        </w:rPr>
        <w:t xml:space="preserve">SRB </w:t>
      </w:r>
      <w:r w:rsidRPr="006626DE">
        <w:t>n</w:t>
      </w:r>
      <w:r w:rsidRPr="008064B8">
        <w:t>ote on Isa. 10:20, p. 722</w:t>
      </w:r>
      <w:r w:rsidRPr="008064B8">
        <w:rPr>
          <w:lang w:eastAsia="en-GB"/>
        </w:rPr>
        <w:t>.</w:t>
      </w:r>
      <w:r w:rsidRPr="008064B8">
        <w:t xml:space="preserve">  The notion is reinforced by the subheads to Isa. 24:21, p. 734 and Isa. 26:20, </w:t>
      </w:r>
    </w:p>
    <w:p w:rsidR="00975183" w:rsidRDefault="00975183" w:rsidP="006A2E06">
      <w:pPr>
        <w:pStyle w:val="EndnoteText"/>
      </w:pPr>
      <w:proofErr w:type="gramStart"/>
      <w:r w:rsidRPr="008064B8">
        <w:t>p. 735.</w:t>
      </w:r>
      <w:proofErr w:type="gramEnd"/>
      <w:r w:rsidRPr="008064B8">
        <w:t xml:space="preserve">  </w:t>
      </w:r>
    </w:p>
  </w:endnote>
  <w:endnote w:id="2061">
    <w:p w:rsidR="00975183" w:rsidRPr="008064B8" w:rsidRDefault="00975183" w:rsidP="006A2E06">
      <w:pPr>
        <w:pStyle w:val="EndnoteText"/>
      </w:pPr>
      <w:r w:rsidRPr="008064B8">
        <w:rPr>
          <w:rStyle w:val="EndnoteReference"/>
        </w:rPr>
        <w:endnoteRef/>
      </w:r>
      <w:r w:rsidRPr="008064B8">
        <w:t xml:space="preserve"> </w:t>
      </w:r>
      <w:r w:rsidRPr="008064B8">
        <w:rPr>
          <w:i/>
        </w:rPr>
        <w:t xml:space="preserve">SRB </w:t>
      </w:r>
      <w:r w:rsidRPr="008064B8">
        <w:t xml:space="preserve">note on Isa. 14:26, p. 727.  </w:t>
      </w:r>
    </w:p>
  </w:endnote>
  <w:endnote w:id="2062">
    <w:p w:rsidR="00975183" w:rsidRPr="00261AE8" w:rsidRDefault="00975183" w:rsidP="006A2E06">
      <w:pPr>
        <w:pStyle w:val="EndnoteText"/>
      </w:pPr>
      <w:r w:rsidRPr="00261AE8">
        <w:rPr>
          <w:rStyle w:val="EndnoteReference"/>
        </w:rPr>
        <w:endnoteRef/>
      </w:r>
      <w:r w:rsidRPr="00261AE8">
        <w:t xml:space="preserve"> </w:t>
      </w:r>
      <w:proofErr w:type="gramStart"/>
      <w:r>
        <w:t>Identities unidentified.</w:t>
      </w:r>
      <w:proofErr w:type="gramEnd"/>
    </w:p>
  </w:endnote>
  <w:endnote w:id="2063">
    <w:p w:rsidR="00975183" w:rsidRPr="008064B8" w:rsidRDefault="00975183" w:rsidP="006A2E06">
      <w:pPr>
        <w:pStyle w:val="EndnoteText"/>
      </w:pPr>
      <w:r w:rsidRPr="008064B8">
        <w:rPr>
          <w:rStyle w:val="EndnoteReference"/>
        </w:rPr>
        <w:endnoteRef/>
      </w:r>
      <w:r w:rsidRPr="008064B8">
        <w:t xml:space="preserve"> </w:t>
      </w:r>
      <w:r w:rsidRPr="009B0371">
        <w:rPr>
          <w:i/>
        </w:rPr>
        <w:t>SRB</w:t>
      </w:r>
      <w:r>
        <w:t xml:space="preserve"> n</w:t>
      </w:r>
      <w:r w:rsidRPr="008064B8">
        <w:t>ote on Ezek. 38:2, p. 883</w:t>
      </w:r>
      <w:r w:rsidRPr="008064B8">
        <w:rPr>
          <w:lang w:eastAsia="en-GB"/>
        </w:rPr>
        <w:t>.</w:t>
      </w:r>
    </w:p>
  </w:endnote>
  <w:endnote w:id="2064">
    <w:p w:rsidR="00975183" w:rsidRPr="008064B8" w:rsidRDefault="00975183" w:rsidP="006A2E06">
      <w:pPr>
        <w:pStyle w:val="EndnoteText"/>
      </w:pPr>
      <w:r w:rsidRPr="008064B8">
        <w:rPr>
          <w:rStyle w:val="EndnoteReference"/>
        </w:rPr>
        <w:endnoteRef/>
      </w:r>
      <w:r w:rsidRPr="008064B8">
        <w:t xml:space="preserve"> </w:t>
      </w:r>
      <w:r w:rsidRPr="009B0371">
        <w:rPr>
          <w:i/>
        </w:rPr>
        <w:t>SRB</w:t>
      </w:r>
      <w:r>
        <w:t xml:space="preserve"> n</w:t>
      </w:r>
      <w:r w:rsidRPr="008064B8">
        <w:t>ote on Ezek. 38:2, p. 883</w:t>
      </w:r>
      <w:r w:rsidRPr="008064B8">
        <w:rPr>
          <w:lang w:eastAsia="en-GB"/>
        </w:rPr>
        <w:t>.</w:t>
      </w:r>
    </w:p>
  </w:endnote>
  <w:endnote w:id="2065">
    <w:p w:rsidR="00975183" w:rsidRDefault="00975183" w:rsidP="006A2E06">
      <w:pPr>
        <w:pStyle w:val="EndnoteText"/>
      </w:pPr>
      <w:r w:rsidRPr="003B2447">
        <w:rPr>
          <w:rStyle w:val="FootnoteReference"/>
        </w:rPr>
        <w:endnoteRef/>
      </w:r>
      <w:r w:rsidRPr="00A72278">
        <w:t xml:space="preserve"> </w:t>
      </w:r>
      <w:r w:rsidRPr="00A72278">
        <w:rPr>
          <w:i/>
        </w:rPr>
        <w:t>SRB</w:t>
      </w:r>
      <w:r w:rsidRPr="00A72278">
        <w:t xml:space="preserve"> subhead to Zech. 14:1, p. 978.</w:t>
      </w:r>
    </w:p>
  </w:endnote>
  <w:endnote w:id="2066">
    <w:p w:rsidR="00975183" w:rsidRDefault="00975183" w:rsidP="006A2E06">
      <w:pPr>
        <w:pStyle w:val="FootnoteText"/>
      </w:pPr>
      <w:r w:rsidRPr="00A72278">
        <w:rPr>
          <w:rStyle w:val="EndnoteReference"/>
          <w:rFonts w:ascii="Perpetua" w:hAnsi="Perpetua"/>
        </w:rPr>
        <w:endnoteRef/>
      </w:r>
      <w:r w:rsidRPr="00A72278">
        <w:rPr>
          <w:rFonts w:ascii="Perpetua" w:hAnsi="Perpetua"/>
        </w:rPr>
        <w:t xml:space="preserve"> </w:t>
      </w:r>
      <w:proofErr w:type="gramStart"/>
      <w:r w:rsidRPr="00A72278">
        <w:rPr>
          <w:rFonts w:ascii="Perpetua" w:hAnsi="Perpetua"/>
          <w:i/>
        </w:rPr>
        <w:t>SRB</w:t>
      </w:r>
      <w:r w:rsidRPr="00A72278">
        <w:rPr>
          <w:rFonts w:ascii="Perpetua" w:hAnsi="Perpetua"/>
        </w:rPr>
        <w:t xml:space="preserve"> note on Rev. 19:17, p. 1349.</w:t>
      </w:r>
      <w:proofErr w:type="gramEnd"/>
      <w:r w:rsidRPr="00A72278">
        <w:rPr>
          <w:rFonts w:ascii="Perpetua" w:hAnsi="Perpetua"/>
        </w:rPr>
        <w:t xml:space="preserve">  </w:t>
      </w:r>
    </w:p>
  </w:endnote>
  <w:endnote w:id="2067">
    <w:p w:rsidR="00975183" w:rsidRPr="00A72278" w:rsidRDefault="00975183" w:rsidP="006A2E06">
      <w:pPr>
        <w:pStyle w:val="EndnoteText"/>
      </w:pPr>
      <w:r w:rsidRPr="00A72278">
        <w:rPr>
          <w:rStyle w:val="EndnoteReference"/>
        </w:rPr>
        <w:endnoteRef/>
      </w:r>
      <w:r w:rsidRPr="00A72278">
        <w:t xml:space="preserve"> </w:t>
      </w:r>
      <w:r w:rsidRPr="00C87473">
        <w:rPr>
          <w:i/>
        </w:rPr>
        <w:t>SRB</w:t>
      </w:r>
      <w:r>
        <w:t xml:space="preserve"> n</w:t>
      </w:r>
      <w:r w:rsidRPr="00A72278">
        <w:t>ote on</w:t>
      </w:r>
      <w:r w:rsidRPr="00A72278">
        <w:rPr>
          <w:lang w:eastAsia="en-GB"/>
        </w:rPr>
        <w:t xml:space="preserve"> Jer. 25:29, </w:t>
      </w:r>
      <w:r w:rsidRPr="00A72278">
        <w:t>p. 799</w:t>
      </w:r>
      <w:r w:rsidRPr="00A72278">
        <w:rPr>
          <w:lang w:eastAsia="en-GB"/>
        </w:rPr>
        <w:t>.</w:t>
      </w:r>
    </w:p>
  </w:endnote>
  <w:endnote w:id="2068">
    <w:p w:rsidR="00975183" w:rsidRPr="00F73FDE" w:rsidRDefault="00975183" w:rsidP="006A2E06">
      <w:pPr>
        <w:pStyle w:val="EndnoteText"/>
      </w:pPr>
      <w:r w:rsidRPr="00A72278">
        <w:rPr>
          <w:rStyle w:val="EndnoteReference"/>
        </w:rPr>
        <w:endnoteRef/>
      </w:r>
      <w:r w:rsidRPr="00A72278">
        <w:t xml:space="preserve"> </w:t>
      </w:r>
      <w:r w:rsidRPr="00C87473">
        <w:rPr>
          <w:i/>
        </w:rPr>
        <w:t xml:space="preserve">SRB </w:t>
      </w:r>
      <w:r>
        <w:t>n</w:t>
      </w:r>
      <w:r w:rsidRPr="00A72278">
        <w:t>ote on Mic. 1:6, p. 946</w:t>
      </w:r>
      <w:r w:rsidRPr="00F73FDE">
        <w:rPr>
          <w:lang w:eastAsia="en-GB"/>
        </w:rPr>
        <w:t xml:space="preserve">. </w:t>
      </w:r>
      <w:r w:rsidRPr="00F73FDE">
        <w:t xml:space="preserve"> </w:t>
      </w:r>
      <w:proofErr w:type="gramStart"/>
      <w:r w:rsidRPr="00F73FDE">
        <w:rPr>
          <w:b/>
        </w:rPr>
        <w:t>See 8.4.10</w:t>
      </w:r>
      <w:r w:rsidRPr="00F73FDE">
        <w:t>.</w:t>
      </w:r>
      <w:proofErr w:type="gramEnd"/>
    </w:p>
  </w:endnote>
  <w:endnote w:id="2069">
    <w:p w:rsidR="00975183" w:rsidRPr="00A72278" w:rsidRDefault="00975183" w:rsidP="006A2E06">
      <w:pPr>
        <w:pStyle w:val="FootnoteText"/>
        <w:rPr>
          <w:rFonts w:ascii="Perpetua" w:hAnsi="Perpetua"/>
        </w:rPr>
      </w:pPr>
      <w:r w:rsidRPr="00A72278">
        <w:rPr>
          <w:rStyle w:val="FootnoteReference"/>
          <w:rFonts w:ascii="Perpetua" w:hAnsi="Perpetua"/>
        </w:rPr>
        <w:endnoteRef/>
      </w:r>
      <w:r w:rsidRPr="00A72278">
        <w:rPr>
          <w:rFonts w:ascii="Perpetua" w:hAnsi="Perpetua"/>
        </w:rPr>
        <w:t xml:space="preserve"> </w:t>
      </w:r>
      <w:r w:rsidRPr="00904708">
        <w:rPr>
          <w:rFonts w:ascii="Perpetua" w:hAnsi="Perpetua"/>
          <w:i/>
        </w:rPr>
        <w:t>SRB</w:t>
      </w:r>
      <w:r>
        <w:rPr>
          <w:rFonts w:ascii="Perpetua" w:hAnsi="Perpetua"/>
        </w:rPr>
        <w:t xml:space="preserve"> s</w:t>
      </w:r>
      <w:r w:rsidRPr="00A72278">
        <w:rPr>
          <w:rFonts w:ascii="Perpetua" w:hAnsi="Perpetua"/>
        </w:rPr>
        <w:t xml:space="preserve">ubhead to Isa. 34:1, p. 742.  ‘The day of the LORD: Armageddon.’  </w:t>
      </w:r>
    </w:p>
    <w:p w:rsidR="00975183" w:rsidRPr="00A72278" w:rsidRDefault="00975183" w:rsidP="006A2E06">
      <w:pPr>
        <w:pStyle w:val="FootnoteText"/>
        <w:rPr>
          <w:rFonts w:ascii="Perpetua" w:hAnsi="Perpetua"/>
        </w:rPr>
      </w:pPr>
      <w:r w:rsidRPr="00A72278">
        <w:rPr>
          <w:rFonts w:ascii="Perpetua" w:hAnsi="Perpetua"/>
          <w:i/>
        </w:rPr>
        <w:t>SRB</w:t>
      </w:r>
      <w:r w:rsidRPr="00A72278">
        <w:rPr>
          <w:rFonts w:ascii="Perpetua" w:hAnsi="Perpetua"/>
        </w:rPr>
        <w:t xml:space="preserve"> subhead to Joel 2:1, p. 931.  ‘The Day of the LORD: The invading host from the north preparatory to Armageddon.’ </w:t>
      </w:r>
    </w:p>
    <w:p w:rsidR="00975183" w:rsidRPr="00A72278" w:rsidRDefault="00975183" w:rsidP="006A2E06">
      <w:pPr>
        <w:pStyle w:val="FootnoteText"/>
        <w:rPr>
          <w:rFonts w:ascii="Perpetua" w:hAnsi="Perpetua"/>
        </w:rPr>
      </w:pPr>
      <w:r w:rsidRPr="00A72278">
        <w:rPr>
          <w:rFonts w:ascii="Perpetua" w:hAnsi="Perpetua"/>
          <w:i/>
        </w:rPr>
        <w:t>SRB</w:t>
      </w:r>
      <w:r w:rsidRPr="00A72278">
        <w:rPr>
          <w:rFonts w:ascii="Perpetua" w:hAnsi="Perpetua"/>
        </w:rPr>
        <w:t xml:space="preserve"> subhead to Joel 2:11, p. 231.  ‘The Day of the LORD: The Lord’s army at Armageddon.’ </w:t>
      </w:r>
    </w:p>
    <w:p w:rsidR="00975183" w:rsidRDefault="00975183" w:rsidP="006A2E06">
      <w:pPr>
        <w:pStyle w:val="FootnoteText"/>
      </w:pPr>
      <w:proofErr w:type="gramStart"/>
      <w:r w:rsidRPr="00A72278">
        <w:rPr>
          <w:rFonts w:ascii="Perpetua" w:hAnsi="Perpetua"/>
          <w:i/>
        </w:rPr>
        <w:t>SRB</w:t>
      </w:r>
      <w:r w:rsidRPr="00A72278">
        <w:rPr>
          <w:rFonts w:ascii="Perpetua" w:hAnsi="Perpetua"/>
        </w:rPr>
        <w:t xml:space="preserve"> note on Rev. 19:17, p. 1349.</w:t>
      </w:r>
      <w:proofErr w:type="gramEnd"/>
      <w:r w:rsidRPr="00A72278">
        <w:rPr>
          <w:rFonts w:ascii="Perpetua" w:hAnsi="Perpetua"/>
        </w:rPr>
        <w:t xml:space="preserve">  ‘The battle is the first event in the “Day of Jehovah”.’ </w:t>
      </w:r>
    </w:p>
  </w:endnote>
  <w:endnote w:id="2070">
    <w:p w:rsidR="00975183" w:rsidRPr="00A72278" w:rsidRDefault="00975183" w:rsidP="006A2E06">
      <w:pPr>
        <w:pStyle w:val="EndnoteText"/>
      </w:pPr>
      <w:r w:rsidRPr="00A72278">
        <w:rPr>
          <w:rStyle w:val="EndnoteReference"/>
        </w:rPr>
        <w:endnoteRef/>
      </w:r>
      <w:r w:rsidRPr="00A72278">
        <w:t xml:space="preserve"> </w:t>
      </w:r>
      <w:r w:rsidRPr="00C87473">
        <w:rPr>
          <w:i/>
        </w:rPr>
        <w:t>SRB</w:t>
      </w:r>
      <w:r>
        <w:t xml:space="preserve"> s</w:t>
      </w:r>
      <w:r w:rsidRPr="00A72278">
        <w:t>ubhead to Zech. 12:1, p. 976</w:t>
      </w:r>
      <w:r>
        <w:t>.</w:t>
      </w:r>
    </w:p>
  </w:endnote>
  <w:endnote w:id="2071">
    <w:p w:rsidR="00975183" w:rsidRDefault="00975183" w:rsidP="006A2E06">
      <w:pPr>
        <w:pStyle w:val="EndnoteText"/>
      </w:pPr>
      <w:r w:rsidRPr="0004061F">
        <w:rPr>
          <w:rStyle w:val="EndnoteReference"/>
        </w:rPr>
        <w:endnoteRef/>
      </w:r>
      <w:r w:rsidRPr="0004061F">
        <w:t xml:space="preserve"> </w:t>
      </w:r>
      <w:r w:rsidRPr="0004061F">
        <w:rPr>
          <w:i/>
          <w:lang w:eastAsia="en-GB"/>
        </w:rPr>
        <w:t>SRB</w:t>
      </w:r>
      <w:r>
        <w:rPr>
          <w:lang w:eastAsia="en-GB"/>
        </w:rPr>
        <w:t xml:space="preserve"> </w:t>
      </w:r>
      <w:r w:rsidRPr="00126977">
        <w:rPr>
          <w:lang w:eastAsia="en-GB"/>
        </w:rPr>
        <w:t>subhead to Zech. 12:4, p. 976.</w:t>
      </w:r>
    </w:p>
  </w:endnote>
  <w:endnote w:id="2072">
    <w:p w:rsidR="00975183" w:rsidRPr="008064B8" w:rsidRDefault="00975183" w:rsidP="006A2E06">
      <w:pPr>
        <w:pStyle w:val="EndnoteText"/>
      </w:pPr>
      <w:r w:rsidRPr="008064B8">
        <w:rPr>
          <w:rStyle w:val="EndnoteReference"/>
        </w:rPr>
        <w:endnoteRef/>
      </w:r>
      <w:r w:rsidRPr="008064B8">
        <w:t xml:space="preserve"> </w:t>
      </w:r>
      <w:r w:rsidRPr="008064B8">
        <w:rPr>
          <w:i/>
        </w:rPr>
        <w:t xml:space="preserve">SRB </w:t>
      </w:r>
      <w:r w:rsidRPr="008064B8">
        <w:t xml:space="preserve">note on Mic. 1:6, p. 946.  </w:t>
      </w:r>
    </w:p>
  </w:endnote>
  <w:endnote w:id="2073">
    <w:p w:rsidR="00975183" w:rsidRDefault="00975183" w:rsidP="006A2E06">
      <w:pPr>
        <w:pStyle w:val="EndnoteText"/>
      </w:pPr>
      <w:r w:rsidRPr="008A3E3C">
        <w:rPr>
          <w:rStyle w:val="EndnoteReference"/>
        </w:rPr>
        <w:endnoteRef/>
      </w:r>
      <w:r w:rsidRPr="008A3E3C">
        <w:t xml:space="preserve"> </w:t>
      </w:r>
      <w:proofErr w:type="gramStart"/>
      <w:r w:rsidRPr="00A72278">
        <w:rPr>
          <w:i/>
        </w:rPr>
        <w:t>SRB</w:t>
      </w:r>
      <w:r>
        <w:t xml:space="preserve"> n</w:t>
      </w:r>
      <w:r w:rsidRPr="00A72278">
        <w:t xml:space="preserve">ote </w:t>
      </w:r>
      <w:r w:rsidRPr="00E856D6">
        <w:t xml:space="preserve">on </w:t>
      </w:r>
      <w:r w:rsidRPr="00E856D6">
        <w:rPr>
          <w:lang w:eastAsia="en-GB"/>
        </w:rPr>
        <w:t>Rev. 19:17,</w:t>
      </w:r>
      <w:r w:rsidRPr="00A72278">
        <w:rPr>
          <w:lang w:eastAsia="en-GB"/>
        </w:rPr>
        <w:t xml:space="preserve"> </w:t>
      </w:r>
      <w:r w:rsidRPr="00A72278">
        <w:t>pp. 1348-9</w:t>
      </w:r>
      <w:r w:rsidRPr="00A72278">
        <w:rPr>
          <w:lang w:eastAsia="en-GB"/>
        </w:rPr>
        <w:t>.</w:t>
      </w:r>
      <w:proofErr w:type="gramEnd"/>
      <w:r w:rsidRPr="00A72278">
        <w:rPr>
          <w:lang w:eastAsia="en-GB"/>
        </w:rPr>
        <w:t xml:space="preserve"> </w:t>
      </w:r>
      <w:r w:rsidRPr="00A72278">
        <w:t xml:space="preserve"> </w:t>
      </w:r>
      <w:r w:rsidRPr="00901D15">
        <w:rPr>
          <w:b/>
        </w:rPr>
        <w:t>See 8.9</w:t>
      </w:r>
      <w:r w:rsidRPr="00901D15">
        <w:t>.</w:t>
      </w:r>
    </w:p>
  </w:endnote>
  <w:endnote w:id="2074">
    <w:p w:rsidR="00975183" w:rsidRDefault="00975183" w:rsidP="006A2E06">
      <w:pPr>
        <w:pStyle w:val="EndnoteText"/>
      </w:pPr>
      <w:r w:rsidRPr="007A3957">
        <w:rPr>
          <w:rStyle w:val="EndnoteReference"/>
        </w:rPr>
        <w:endnoteRef/>
      </w:r>
      <w:r w:rsidRPr="007A3957">
        <w:t xml:space="preserve"> Darby, ‘</w:t>
      </w:r>
      <w:r w:rsidRPr="007A3957">
        <w:rPr>
          <w:bCs/>
          <w:szCs w:val="28"/>
        </w:rPr>
        <w:t xml:space="preserve">An Examination of the statements made in the </w:t>
      </w:r>
      <w:r>
        <w:rPr>
          <w:bCs/>
          <w:szCs w:val="28"/>
        </w:rPr>
        <w:t>“</w:t>
      </w:r>
      <w:r w:rsidRPr="007A3957">
        <w:rPr>
          <w:bCs/>
          <w:szCs w:val="28"/>
        </w:rPr>
        <w:t>Thoughts on the Apocalypse,</w:t>
      </w:r>
      <w:r>
        <w:rPr>
          <w:bCs/>
          <w:szCs w:val="28"/>
        </w:rPr>
        <w:t>”</w:t>
      </w:r>
      <w:r w:rsidRPr="007A3957">
        <w:rPr>
          <w:bCs/>
          <w:szCs w:val="28"/>
        </w:rPr>
        <w:t xml:space="preserve"> by B. W. Newton; and an enquiry how far they accord with Scripture</w:t>
      </w:r>
      <w:r>
        <w:rPr>
          <w:bCs/>
          <w:szCs w:val="28"/>
        </w:rPr>
        <w:t>’</w:t>
      </w:r>
      <w:r w:rsidRPr="00DE500E">
        <w:t xml:space="preserve">, </w:t>
      </w:r>
      <w:r w:rsidRPr="00DE500E">
        <w:rPr>
          <w:i/>
        </w:rPr>
        <w:t xml:space="preserve">Collected Writings, Prophetic </w:t>
      </w:r>
      <w:r>
        <w:rPr>
          <w:i/>
        </w:rPr>
        <w:t xml:space="preserve">3, </w:t>
      </w:r>
      <w:r w:rsidRPr="00DE500E">
        <w:rPr>
          <w:i/>
        </w:rPr>
        <w:t xml:space="preserve">Vol. </w:t>
      </w:r>
      <w:r>
        <w:rPr>
          <w:i/>
        </w:rPr>
        <w:t>8</w:t>
      </w:r>
      <w:r w:rsidRPr="00DE500E">
        <w:t xml:space="preserve">, p. </w:t>
      </w:r>
      <w:r>
        <w:t>212.</w:t>
      </w:r>
      <w:r w:rsidRPr="00DE500E">
        <w:t xml:space="preserve"> &lt;</w:t>
      </w:r>
      <w:r w:rsidRPr="007A3957">
        <w:t>stempublishing.com/authors/darby/PROPHET/08001E04.html</w:t>
      </w:r>
      <w:r w:rsidRPr="00DE500E">
        <w:t xml:space="preserve">&gt; [accessed </w:t>
      </w:r>
      <w:r>
        <w:t>12.5</w:t>
      </w:r>
      <w:r w:rsidRPr="00DE500E">
        <w:t>.17].</w:t>
      </w:r>
    </w:p>
  </w:endnote>
  <w:endnote w:id="2075">
    <w:p w:rsidR="00975183" w:rsidRDefault="00975183" w:rsidP="006A2E06">
      <w:pPr>
        <w:pStyle w:val="EndnoteText"/>
      </w:pPr>
      <w:r w:rsidRPr="00ED509E">
        <w:rPr>
          <w:rStyle w:val="EndnoteReference"/>
        </w:rPr>
        <w:endnoteRef/>
      </w:r>
      <w:r w:rsidRPr="00ED509E">
        <w:t xml:space="preserve"> </w:t>
      </w:r>
      <w:r w:rsidRPr="00135931">
        <w:rPr>
          <w:i/>
        </w:rPr>
        <w:t>SRB</w:t>
      </w:r>
      <w:r>
        <w:t xml:space="preserve"> </w:t>
      </w:r>
      <w:r w:rsidRPr="00F824C1">
        <w:t xml:space="preserve">notes on </w:t>
      </w:r>
      <w:r w:rsidRPr="00A72278">
        <w:t>Ps. 68:1, p. 630</w:t>
      </w:r>
      <w:r>
        <w:t xml:space="preserve">; </w:t>
      </w:r>
    </w:p>
    <w:p w:rsidR="00975183" w:rsidRDefault="00975183" w:rsidP="006A2E06">
      <w:pPr>
        <w:pStyle w:val="EndnoteText"/>
      </w:pPr>
      <w:r w:rsidRPr="00F824C1">
        <w:t>Isa. 10:20</w:t>
      </w:r>
      <w:r>
        <w:t>, p. 722</w:t>
      </w:r>
      <w:r w:rsidRPr="00F824C1">
        <w:t xml:space="preserve">; </w:t>
      </w:r>
      <w:r w:rsidRPr="00A72278">
        <w:t>Isa. 13:1, pp. 724-5</w:t>
      </w:r>
      <w:r>
        <w:t xml:space="preserve">; </w:t>
      </w:r>
      <w:r w:rsidRPr="00A72278">
        <w:t>Isa. 14:26, p. 727</w:t>
      </w:r>
      <w:r>
        <w:t>;</w:t>
      </w:r>
      <w:r w:rsidRPr="00A72278">
        <w:t xml:space="preserve"> </w:t>
      </w:r>
      <w:r w:rsidRPr="00F824C1">
        <w:t>Isa. 17:1,</w:t>
      </w:r>
      <w:r w:rsidRPr="00A72278">
        <w:t xml:space="preserve"> p. 728</w:t>
      </w:r>
      <w:r>
        <w:t xml:space="preserve">; </w:t>
      </w:r>
    </w:p>
    <w:p w:rsidR="00975183" w:rsidRDefault="00975183" w:rsidP="006A2E06">
      <w:pPr>
        <w:pStyle w:val="EndnoteText"/>
      </w:pPr>
      <w:r w:rsidRPr="00A72278">
        <w:rPr>
          <w:lang w:eastAsia="en-GB"/>
        </w:rPr>
        <w:t xml:space="preserve">Jer. 25:29, </w:t>
      </w:r>
      <w:r w:rsidRPr="00A72278">
        <w:t>p. 799</w:t>
      </w:r>
      <w:r>
        <w:t>;</w:t>
      </w:r>
      <w:r w:rsidRPr="00A72278">
        <w:rPr>
          <w:lang w:eastAsia="en-GB"/>
        </w:rPr>
        <w:t xml:space="preserve"> </w:t>
      </w:r>
      <w:r w:rsidRPr="00A72278">
        <w:t>Jer. 46:1. pp. 822-3</w:t>
      </w:r>
      <w:r>
        <w:t xml:space="preserve">; </w:t>
      </w:r>
    </w:p>
    <w:p w:rsidR="00975183" w:rsidRDefault="00975183" w:rsidP="006A2E06">
      <w:pPr>
        <w:pStyle w:val="EndnoteText"/>
      </w:pPr>
      <w:r w:rsidRPr="00A72278">
        <w:rPr>
          <w:lang w:eastAsia="en-GB"/>
        </w:rPr>
        <w:t xml:space="preserve">Ezek. 25:8, </w:t>
      </w:r>
      <w:r w:rsidRPr="00A72278">
        <w:t>p. 868</w:t>
      </w:r>
      <w:r>
        <w:t>;</w:t>
      </w:r>
      <w:r w:rsidRPr="00A72278">
        <w:t xml:space="preserve"> Ezek. 38:2, </w:t>
      </w:r>
      <w:r>
        <w:t xml:space="preserve">p. 883; </w:t>
      </w:r>
    </w:p>
    <w:p w:rsidR="00975183" w:rsidRDefault="00975183" w:rsidP="006A2E06">
      <w:pPr>
        <w:pStyle w:val="EndnoteText"/>
      </w:pPr>
      <w:r w:rsidRPr="00A72278">
        <w:t>Dan. 2:31, p. 901; Dan. 7:14, p. 910</w:t>
      </w:r>
      <w:r>
        <w:t xml:space="preserve">; </w:t>
      </w:r>
      <w:r w:rsidRPr="00A72278">
        <w:rPr>
          <w:lang w:eastAsia="en-GB"/>
        </w:rPr>
        <w:t xml:space="preserve">Dan. 12:12, </w:t>
      </w:r>
      <w:r w:rsidRPr="00A72278">
        <w:t>p. 920</w:t>
      </w:r>
      <w:r>
        <w:t xml:space="preserve"> </w:t>
      </w:r>
    </w:p>
    <w:p w:rsidR="00975183" w:rsidRPr="00F73FDE" w:rsidRDefault="00975183" w:rsidP="006A2E06">
      <w:pPr>
        <w:pStyle w:val="EndnoteText"/>
      </w:pPr>
      <w:r w:rsidRPr="00A72278">
        <w:t>Joel 1:4, p. 930</w:t>
      </w:r>
      <w:r>
        <w:t>;</w:t>
      </w:r>
      <w:r w:rsidRPr="00A72278">
        <w:t xml:space="preserve"> Joel 2:11, p. </w:t>
      </w:r>
      <w:r w:rsidRPr="00F73FDE">
        <w:t>931 (</w:t>
      </w:r>
      <w:r w:rsidRPr="00F73FDE">
        <w:rPr>
          <w:b/>
        </w:rPr>
        <w:t>see 8.4.6</w:t>
      </w:r>
      <w:r w:rsidRPr="00F73FDE">
        <w:t>);</w:t>
      </w:r>
      <w:r w:rsidRPr="00F73FDE">
        <w:rPr>
          <w:b/>
        </w:rPr>
        <w:t xml:space="preserve"> </w:t>
      </w:r>
      <w:r w:rsidRPr="00F73FDE">
        <w:rPr>
          <w:lang w:eastAsia="en-GB"/>
        </w:rPr>
        <w:t xml:space="preserve">Joel 3:9, </w:t>
      </w:r>
      <w:r w:rsidRPr="00F73FDE">
        <w:t xml:space="preserve">p. 933; </w:t>
      </w:r>
      <w:r w:rsidRPr="00F73FDE">
        <w:rPr>
          <w:spacing w:val="-4"/>
        </w:rPr>
        <w:t>Mic. 1:6, p. 946 (</w:t>
      </w:r>
      <w:r w:rsidRPr="00F73FDE">
        <w:rPr>
          <w:b/>
          <w:spacing w:val="-4"/>
        </w:rPr>
        <w:t>see 8.4.10</w:t>
      </w:r>
      <w:r w:rsidRPr="00F73FDE">
        <w:rPr>
          <w:spacing w:val="-4"/>
        </w:rPr>
        <w:t>)</w:t>
      </w:r>
      <w:r w:rsidRPr="00F73FDE">
        <w:t xml:space="preserve">; </w:t>
      </w:r>
      <w:r w:rsidRPr="00F73FDE">
        <w:rPr>
          <w:lang w:eastAsia="en-GB"/>
        </w:rPr>
        <w:t xml:space="preserve">Mic. 5:1, </w:t>
      </w:r>
      <w:r w:rsidRPr="00F73FDE">
        <w:t>pp. 948-9; Zech. 10:4, p. 974; (</w:t>
      </w:r>
      <w:r w:rsidRPr="00F73FDE">
        <w:rPr>
          <w:b/>
        </w:rPr>
        <w:t>see 8.4.15</w:t>
      </w:r>
      <w:r w:rsidRPr="00F73FDE">
        <w:t xml:space="preserve">); </w:t>
      </w:r>
      <w:r w:rsidRPr="00F73FDE">
        <w:rPr>
          <w:lang w:eastAsia="en-GB"/>
        </w:rPr>
        <w:t xml:space="preserve">Zech. 12:1, </w:t>
      </w:r>
      <w:r w:rsidRPr="00F73FDE">
        <w:t>p. 976;</w:t>
      </w:r>
      <w:r w:rsidRPr="00F73FDE">
        <w:rPr>
          <w:lang w:eastAsia="en-GB"/>
        </w:rPr>
        <w:t xml:space="preserve"> Zech. 13:8, </w:t>
      </w:r>
      <w:r w:rsidRPr="00F73FDE">
        <w:t xml:space="preserve">p. 978; </w:t>
      </w:r>
    </w:p>
    <w:p w:rsidR="00975183" w:rsidRDefault="00975183" w:rsidP="006A2E06">
      <w:pPr>
        <w:pStyle w:val="EndnoteText"/>
      </w:pPr>
      <w:r w:rsidRPr="00F73FDE">
        <w:rPr>
          <w:lang w:eastAsia="en-GB"/>
        </w:rPr>
        <w:t>Mt. 21:44,</w:t>
      </w:r>
      <w:r w:rsidRPr="00F73FDE">
        <w:rPr>
          <w:i/>
        </w:rPr>
        <w:t xml:space="preserve"> </w:t>
      </w:r>
      <w:r w:rsidRPr="00F73FDE">
        <w:t xml:space="preserve">p. 1030; </w:t>
      </w:r>
      <w:r w:rsidRPr="00F73FDE">
        <w:rPr>
          <w:lang w:eastAsia="en-GB"/>
        </w:rPr>
        <w:t xml:space="preserve">Mt. 24:16, </w:t>
      </w:r>
      <w:r w:rsidRPr="00F73FDE">
        <w:t>p. 1033; Lk. 17:37, p. 1100; Rev</w:t>
      </w:r>
      <w:r w:rsidRPr="00A72278">
        <w:t>. 18:2, pp. 1346-7</w:t>
      </w:r>
      <w:r>
        <w:t xml:space="preserve">; </w:t>
      </w:r>
      <w:r w:rsidRPr="00A72278">
        <w:rPr>
          <w:lang w:eastAsia="en-GB"/>
        </w:rPr>
        <w:t xml:space="preserve">Rev. 19:17, </w:t>
      </w:r>
      <w:r w:rsidRPr="00A72278">
        <w:t>p. 1348</w:t>
      </w:r>
      <w:r w:rsidRPr="0048283F">
        <w:rPr>
          <w:szCs w:val="18"/>
        </w:rPr>
        <w:t>.</w:t>
      </w:r>
    </w:p>
  </w:endnote>
  <w:endnote w:id="2076">
    <w:p w:rsidR="00975183" w:rsidRDefault="00975183" w:rsidP="006A2E06">
      <w:pPr>
        <w:pStyle w:val="EndnoteText"/>
      </w:pPr>
      <w:r w:rsidRPr="006E34E4">
        <w:rPr>
          <w:rStyle w:val="EndnoteReference"/>
        </w:rPr>
        <w:endnoteRef/>
      </w:r>
      <w:r w:rsidRPr="006E34E4">
        <w:t xml:space="preserve"> </w:t>
      </w:r>
      <w:r w:rsidRPr="006E34E4">
        <w:rPr>
          <w:i/>
        </w:rPr>
        <w:t>SRB</w:t>
      </w:r>
      <w:r>
        <w:t xml:space="preserve"> subheads to </w:t>
      </w:r>
      <w:r w:rsidRPr="00A72278">
        <w:t>Isa. 10:28, p. 723</w:t>
      </w:r>
      <w:r>
        <w:t xml:space="preserve">; </w:t>
      </w:r>
      <w:r w:rsidRPr="00A72278">
        <w:t>Isa. 34:1, p. 742</w:t>
      </w:r>
      <w:r>
        <w:t>;</w:t>
      </w:r>
      <w:r w:rsidRPr="00A72278">
        <w:t xml:space="preserve"> Joel 2:1, p. 931</w:t>
      </w:r>
      <w:r>
        <w:t xml:space="preserve">; </w:t>
      </w:r>
      <w:r w:rsidRPr="00A72278">
        <w:t>Joel 2:11, p. 931</w:t>
      </w:r>
      <w:r>
        <w:t xml:space="preserve">; </w:t>
      </w:r>
      <w:r w:rsidRPr="00A72278">
        <w:rPr>
          <w:lang w:eastAsia="en-GB"/>
        </w:rPr>
        <w:t xml:space="preserve">Mic. 4:11, </w:t>
      </w:r>
      <w:r w:rsidRPr="00A72278">
        <w:t>p. 948</w:t>
      </w:r>
      <w:r>
        <w:t>;</w:t>
      </w:r>
      <w:r w:rsidRPr="00A72278">
        <w:t xml:space="preserve"> </w:t>
      </w:r>
    </w:p>
    <w:p w:rsidR="00975183" w:rsidRPr="006E34E4" w:rsidRDefault="00975183" w:rsidP="006A2E06">
      <w:pPr>
        <w:pStyle w:val="EndnoteText"/>
      </w:pPr>
      <w:r w:rsidRPr="00A72278">
        <w:t>Zech. 14:1, p. 978</w:t>
      </w:r>
      <w:r>
        <w:t>;</w:t>
      </w:r>
      <w:r w:rsidRPr="00A72278">
        <w:rPr>
          <w:lang w:eastAsia="en-GB"/>
        </w:rPr>
        <w:t xml:space="preserve"> Rev. 14:14, </w:t>
      </w:r>
      <w:r w:rsidRPr="00A72278">
        <w:t>p. 1344</w:t>
      </w:r>
      <w:r>
        <w:t xml:space="preserve">; </w:t>
      </w:r>
      <w:r w:rsidRPr="00A72278">
        <w:rPr>
          <w:lang w:eastAsia="en-GB"/>
        </w:rPr>
        <w:t xml:space="preserve">Rev. 19:17, </w:t>
      </w:r>
      <w:r w:rsidRPr="00A72278">
        <w:t>p. 1348</w:t>
      </w:r>
      <w:r w:rsidRPr="00A72278">
        <w:rPr>
          <w:lang w:eastAsia="en-GB"/>
        </w:rPr>
        <w:t>.</w:t>
      </w:r>
    </w:p>
  </w:endnote>
  <w:endnote w:id="2077">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Introductions to the Prophetical Books, p. 712, and to Revelation, p. 1330.  </w:t>
      </w:r>
    </w:p>
  </w:endnote>
  <w:endnote w:id="2078">
    <w:p w:rsidR="00975183" w:rsidRDefault="00975183" w:rsidP="006A2E06">
      <w:pPr>
        <w:pStyle w:val="FootnoteText"/>
      </w:pPr>
      <w:r w:rsidRPr="00A72278">
        <w:rPr>
          <w:rStyle w:val="FootnoteReference"/>
          <w:rFonts w:ascii="Perpetua" w:hAnsi="Perpetua"/>
        </w:rPr>
        <w:endnoteRef/>
      </w:r>
      <w:r w:rsidRPr="00A72278">
        <w:rPr>
          <w:rFonts w:ascii="Perpetua" w:hAnsi="Perpetua"/>
        </w:rPr>
        <w:t xml:space="preserve"> </w:t>
      </w:r>
      <w:r w:rsidRPr="00A72278">
        <w:rPr>
          <w:rFonts w:ascii="Perpetua" w:hAnsi="Perpetua"/>
          <w:i/>
        </w:rPr>
        <w:t>SRB</w:t>
      </w:r>
      <w:r w:rsidRPr="00A72278">
        <w:rPr>
          <w:rFonts w:ascii="Perpetua" w:hAnsi="Perpetua"/>
        </w:rPr>
        <w:t xml:space="preserve"> note</w:t>
      </w:r>
      <w:r>
        <w:rPr>
          <w:rFonts w:ascii="Perpetua" w:hAnsi="Perpetua"/>
        </w:rPr>
        <w:t>s</w:t>
      </w:r>
      <w:r w:rsidRPr="00A72278">
        <w:rPr>
          <w:rFonts w:ascii="Perpetua" w:hAnsi="Perpetua"/>
        </w:rPr>
        <w:t xml:space="preserve"> on Isa. 13:1, p. 725</w:t>
      </w:r>
      <w:r>
        <w:rPr>
          <w:rFonts w:ascii="Perpetua" w:hAnsi="Perpetua"/>
        </w:rPr>
        <w:t xml:space="preserve">; </w:t>
      </w:r>
      <w:r w:rsidRPr="00A72278">
        <w:rPr>
          <w:rFonts w:ascii="Perpetua" w:hAnsi="Perpetua"/>
        </w:rPr>
        <w:t>Dan. 7:14, p. 910</w:t>
      </w:r>
      <w:r w:rsidRPr="003B2447">
        <w:rPr>
          <w:rFonts w:ascii="Perpetua" w:hAnsi="Perpetua"/>
        </w:rPr>
        <w:t>;</w:t>
      </w:r>
      <w:r>
        <w:rPr>
          <w:rFonts w:ascii="Perpetua" w:hAnsi="Perpetua"/>
        </w:rPr>
        <w:t xml:space="preserve"> </w:t>
      </w:r>
      <w:r>
        <w:rPr>
          <w:rFonts w:ascii="Perpetua" w:hAnsi="Perpetua"/>
          <w:lang w:eastAsia="en-GB"/>
        </w:rPr>
        <w:t>Dan. 12:12,</w:t>
      </w:r>
      <w:r w:rsidRPr="00A72278">
        <w:rPr>
          <w:rFonts w:ascii="Perpetua" w:hAnsi="Perpetua"/>
        </w:rPr>
        <w:t xml:space="preserve"> p. 920</w:t>
      </w:r>
      <w:r>
        <w:rPr>
          <w:rFonts w:ascii="Perpetua" w:hAnsi="Perpetua"/>
        </w:rPr>
        <w:t xml:space="preserve">; </w:t>
      </w:r>
      <w:r w:rsidRPr="00A72278">
        <w:rPr>
          <w:rFonts w:ascii="Perpetua" w:hAnsi="Perpetua"/>
          <w:lang w:eastAsia="en-GB"/>
        </w:rPr>
        <w:t xml:space="preserve">Zech. 13:8, </w:t>
      </w:r>
      <w:r w:rsidRPr="00A72278">
        <w:rPr>
          <w:rFonts w:ascii="Perpetua" w:hAnsi="Perpetua"/>
        </w:rPr>
        <w:t>p. 978</w:t>
      </w:r>
      <w:r>
        <w:rPr>
          <w:rFonts w:ascii="Perpetua" w:hAnsi="Perpetua"/>
        </w:rPr>
        <w:t xml:space="preserve">; </w:t>
      </w:r>
      <w:r w:rsidRPr="003B2447">
        <w:rPr>
          <w:rFonts w:ascii="Perpetua" w:hAnsi="Perpetua"/>
          <w:lang w:eastAsia="en-GB"/>
        </w:rPr>
        <w:t>Mt. 21:44,</w:t>
      </w:r>
      <w:r w:rsidRPr="003B2447">
        <w:rPr>
          <w:rFonts w:ascii="Perpetua" w:hAnsi="Perpetua"/>
        </w:rPr>
        <w:t xml:space="preserve"> p. 1030</w:t>
      </w:r>
      <w:r w:rsidRPr="003B2447">
        <w:rPr>
          <w:rFonts w:ascii="Perpetua" w:hAnsi="Perpetua"/>
          <w:lang w:eastAsia="en-GB"/>
        </w:rPr>
        <w:t xml:space="preserve">; Rev. 19:17, </w:t>
      </w:r>
      <w:r w:rsidRPr="003B2447">
        <w:rPr>
          <w:rFonts w:ascii="Perpetua" w:hAnsi="Perpetua"/>
        </w:rPr>
        <w:t>pp. 1348-9</w:t>
      </w:r>
      <w:r>
        <w:rPr>
          <w:rFonts w:ascii="Perpetua" w:hAnsi="Perpetua"/>
          <w:lang w:eastAsia="en-GB"/>
        </w:rPr>
        <w:t>;</w:t>
      </w:r>
      <w:r w:rsidRPr="00A72278">
        <w:rPr>
          <w:rFonts w:ascii="Perpetua" w:hAnsi="Perpetua"/>
        </w:rPr>
        <w:t xml:space="preserve"> </w:t>
      </w:r>
      <w:r w:rsidRPr="008A3E3C">
        <w:rPr>
          <w:rFonts w:ascii="Perpetua" w:hAnsi="Perpetua"/>
        </w:rPr>
        <w:t>subhead</w:t>
      </w:r>
      <w:r>
        <w:rPr>
          <w:rFonts w:ascii="Perpetua" w:hAnsi="Perpetua"/>
        </w:rPr>
        <w:t>s</w:t>
      </w:r>
      <w:r w:rsidRPr="008A3E3C">
        <w:rPr>
          <w:rFonts w:ascii="Perpetua" w:hAnsi="Perpetua"/>
        </w:rPr>
        <w:t xml:space="preserve"> to Isa. 10:28, p. 723. </w:t>
      </w:r>
      <w:r>
        <w:rPr>
          <w:rFonts w:ascii="Perpetua" w:hAnsi="Perpetua"/>
        </w:rPr>
        <w:t xml:space="preserve">Mic. 4:11, p. 948.  </w:t>
      </w:r>
    </w:p>
  </w:endnote>
  <w:endnote w:id="2079">
    <w:p w:rsidR="00975183" w:rsidRDefault="00975183" w:rsidP="006A2E06">
      <w:pPr>
        <w:pStyle w:val="EndnoteText"/>
      </w:pPr>
      <w:r w:rsidRPr="008A3E3C">
        <w:rPr>
          <w:rStyle w:val="EndnoteReference"/>
        </w:rPr>
        <w:endnoteRef/>
      </w:r>
      <w:r w:rsidRPr="008A3E3C">
        <w:t xml:space="preserve"> </w:t>
      </w:r>
      <w:r w:rsidRPr="00A72278">
        <w:rPr>
          <w:i/>
        </w:rPr>
        <w:t>SRB</w:t>
      </w:r>
      <w:r w:rsidRPr="00A72278">
        <w:t xml:space="preserve"> </w:t>
      </w:r>
      <w:r>
        <w:t>n</w:t>
      </w:r>
      <w:r w:rsidRPr="00A72278">
        <w:t xml:space="preserve">ote on </w:t>
      </w:r>
      <w:r w:rsidRPr="00A72278">
        <w:rPr>
          <w:lang w:eastAsia="en-GB"/>
        </w:rPr>
        <w:t>Mt. 21:44,</w:t>
      </w:r>
      <w:r w:rsidRPr="00A72278">
        <w:rPr>
          <w:i/>
        </w:rPr>
        <w:t xml:space="preserve"> </w:t>
      </w:r>
      <w:r w:rsidRPr="00A72278">
        <w:t>p. 1030</w:t>
      </w:r>
      <w:r w:rsidRPr="00A72278">
        <w:rPr>
          <w:lang w:eastAsia="en-GB"/>
        </w:rPr>
        <w:t>.</w:t>
      </w:r>
      <w:r>
        <w:rPr>
          <w:lang w:eastAsia="en-GB"/>
        </w:rPr>
        <w:t xml:space="preserve">  ‘Ref. </w:t>
      </w:r>
      <w:proofErr w:type="gramStart"/>
      <w:r>
        <w:rPr>
          <w:sz w:val="22"/>
        </w:rPr>
        <w:t>s</w:t>
      </w:r>
      <w:r w:rsidRPr="008A3E3C">
        <w:rPr>
          <w:sz w:val="22"/>
        </w:rPr>
        <w:t>ee</w:t>
      </w:r>
      <w:proofErr w:type="gramEnd"/>
      <w:r w:rsidRPr="008A3E3C">
        <w:rPr>
          <w:sz w:val="22"/>
        </w:rPr>
        <w:t xml:space="preserve"> “Armageddon”.</w:t>
      </w:r>
      <w:r>
        <w:rPr>
          <w:sz w:val="22"/>
        </w:rPr>
        <w:t>’</w:t>
      </w:r>
    </w:p>
  </w:endnote>
  <w:endnote w:id="2080">
    <w:p w:rsidR="00975183" w:rsidRDefault="00975183" w:rsidP="006A2E06">
      <w:pPr>
        <w:pStyle w:val="EndnoteText"/>
      </w:pPr>
      <w:r w:rsidRPr="00F570FE">
        <w:rPr>
          <w:rStyle w:val="EndnoteReference"/>
        </w:rPr>
        <w:endnoteRef/>
      </w:r>
      <w:r w:rsidRPr="00F570FE">
        <w:t xml:space="preserve"> </w:t>
      </w:r>
      <w:r w:rsidRPr="00A72278">
        <w:rPr>
          <w:i/>
        </w:rPr>
        <w:t>SRB</w:t>
      </w:r>
      <w:r w:rsidRPr="00A72278">
        <w:t xml:space="preserve"> </w:t>
      </w:r>
      <w:r>
        <w:t>n</w:t>
      </w:r>
      <w:r w:rsidRPr="00A72278">
        <w:t xml:space="preserve">ote </w:t>
      </w:r>
      <w:r w:rsidRPr="002C0AD6">
        <w:t xml:space="preserve">on </w:t>
      </w:r>
      <w:r w:rsidRPr="002C0AD6">
        <w:rPr>
          <w:lang w:eastAsia="en-GB"/>
        </w:rPr>
        <w:t>Zech.</w:t>
      </w:r>
      <w:r w:rsidRPr="00A72278">
        <w:rPr>
          <w:lang w:eastAsia="en-GB"/>
        </w:rPr>
        <w:t xml:space="preserve"> 13:8, </w:t>
      </w:r>
      <w:r w:rsidRPr="00A72278">
        <w:t>p. 978</w:t>
      </w:r>
      <w:r w:rsidRPr="00A72278">
        <w:rPr>
          <w:lang w:eastAsia="en-GB"/>
        </w:rPr>
        <w:t xml:space="preserve">. </w:t>
      </w:r>
      <w:r w:rsidRPr="00A72278">
        <w:t xml:space="preserve"> </w:t>
      </w:r>
    </w:p>
  </w:endnote>
  <w:endnote w:id="2081">
    <w:p w:rsidR="00975183" w:rsidRPr="003B2447" w:rsidRDefault="00975183" w:rsidP="006A2E06">
      <w:pPr>
        <w:pStyle w:val="EndnoteText"/>
      </w:pPr>
      <w:r w:rsidRPr="003B2447">
        <w:rPr>
          <w:rStyle w:val="EndnoteReference"/>
        </w:rPr>
        <w:endnoteRef/>
      </w:r>
      <w:r w:rsidRPr="003B2447">
        <w:t xml:space="preserve"> </w:t>
      </w:r>
      <w:r w:rsidRPr="00A72278">
        <w:rPr>
          <w:i/>
        </w:rPr>
        <w:t>SRB</w:t>
      </w:r>
      <w:r w:rsidRPr="00A72278">
        <w:t xml:space="preserve"> </w:t>
      </w:r>
      <w:r>
        <w:t xml:space="preserve">subhead to </w:t>
      </w:r>
      <w:r w:rsidRPr="00A72278">
        <w:t>Mic. 4:11, p. 948.</w:t>
      </w:r>
      <w:r>
        <w:t xml:space="preserve"> </w:t>
      </w:r>
    </w:p>
  </w:endnote>
  <w:endnote w:id="2082">
    <w:p w:rsidR="00975183" w:rsidRDefault="00975183" w:rsidP="006A2E06">
      <w:pPr>
        <w:pStyle w:val="EndnoteText"/>
      </w:pPr>
      <w:r w:rsidRPr="003B2447">
        <w:rPr>
          <w:rStyle w:val="EndnoteReference"/>
        </w:rPr>
        <w:endnoteRef/>
      </w:r>
      <w:r w:rsidRPr="003B2447">
        <w:t xml:space="preserve"> </w:t>
      </w:r>
      <w:r w:rsidRPr="00A72278">
        <w:rPr>
          <w:i/>
        </w:rPr>
        <w:t>SRB</w:t>
      </w:r>
      <w:r w:rsidRPr="00A72278">
        <w:t xml:space="preserve"> </w:t>
      </w:r>
      <w:r w:rsidRPr="008A3E3C">
        <w:t>subhead to Isa. 10:28, p. 723.</w:t>
      </w:r>
    </w:p>
  </w:endnote>
  <w:endnote w:id="2083">
    <w:p w:rsidR="00975183" w:rsidRDefault="00975183" w:rsidP="006A2E06">
      <w:pPr>
        <w:pStyle w:val="EndnoteText"/>
      </w:pPr>
      <w:r w:rsidRPr="003B2447">
        <w:rPr>
          <w:rStyle w:val="EndnoteReference"/>
        </w:rPr>
        <w:endnoteRef/>
      </w:r>
      <w:r w:rsidRPr="003B2447">
        <w:t xml:space="preserve"> </w:t>
      </w:r>
      <w:r w:rsidRPr="00A72278">
        <w:rPr>
          <w:i/>
        </w:rPr>
        <w:t>SRB</w:t>
      </w:r>
      <w:r w:rsidRPr="00A72278">
        <w:t xml:space="preserve"> note on Isa. 13:1, p. 725.</w:t>
      </w:r>
    </w:p>
  </w:endnote>
  <w:endnote w:id="2084">
    <w:p w:rsidR="00975183" w:rsidRDefault="00975183" w:rsidP="006A2E06">
      <w:pPr>
        <w:pStyle w:val="EndnoteText"/>
      </w:pPr>
      <w:r w:rsidRPr="0050428F">
        <w:rPr>
          <w:rStyle w:val="FootnoteReference"/>
        </w:rPr>
        <w:endnoteRef/>
      </w:r>
      <w:r w:rsidRPr="0050428F">
        <w:t xml:space="preserve"> </w:t>
      </w:r>
      <w:r w:rsidRPr="0050428F">
        <w:rPr>
          <w:i/>
        </w:rPr>
        <w:t>SRB</w:t>
      </w:r>
      <w:r>
        <w:t xml:space="preserve"> s</w:t>
      </w:r>
      <w:r w:rsidRPr="0050428F">
        <w:t xml:space="preserve">ubhead to Mic. 4:11, p. 948.  </w:t>
      </w:r>
      <w:proofErr w:type="gramStart"/>
      <w:r w:rsidRPr="0050428F">
        <w:t>Refs.</w:t>
      </w:r>
      <w:proofErr w:type="gramEnd"/>
      <w:r w:rsidRPr="0050428F">
        <w:t xml:space="preserve"> Rev. 16:14; 19:17 </w:t>
      </w:r>
      <w:r w:rsidRPr="008064B8">
        <w:t>note</w:t>
      </w:r>
      <w:r>
        <w:t>.</w:t>
      </w:r>
    </w:p>
  </w:endnote>
  <w:endnote w:id="2085">
    <w:p w:rsidR="00975183" w:rsidRPr="003B2447" w:rsidRDefault="00975183" w:rsidP="006A2E06">
      <w:pPr>
        <w:pStyle w:val="EndnoteText"/>
      </w:pPr>
      <w:r w:rsidRPr="003B2447">
        <w:rPr>
          <w:rStyle w:val="EndnoteReference"/>
        </w:rPr>
        <w:endnoteRef/>
      </w:r>
      <w:r w:rsidRPr="003B2447">
        <w:t xml:space="preserve"> </w:t>
      </w:r>
      <w:r w:rsidRPr="003B2447">
        <w:rPr>
          <w:i/>
        </w:rPr>
        <w:t>SRB</w:t>
      </w:r>
      <w:r w:rsidRPr="003B2447">
        <w:t xml:space="preserve"> note on </w:t>
      </w:r>
      <w:r w:rsidRPr="003B2447">
        <w:rPr>
          <w:lang w:eastAsia="en-GB"/>
        </w:rPr>
        <w:t>Dan. 12:12,</w:t>
      </w:r>
      <w:r w:rsidRPr="003B2447">
        <w:t xml:space="preserve"> p. 920</w:t>
      </w:r>
      <w:r w:rsidRPr="003B2447">
        <w:rPr>
          <w:lang w:eastAsia="en-GB"/>
        </w:rPr>
        <w:t>.</w:t>
      </w:r>
    </w:p>
  </w:endnote>
  <w:endnote w:id="2086">
    <w:p w:rsidR="00975183" w:rsidRDefault="00975183" w:rsidP="006A2E06">
      <w:pPr>
        <w:pStyle w:val="EndnoteText"/>
      </w:pPr>
      <w:r w:rsidRPr="00FB6B6F">
        <w:rPr>
          <w:rStyle w:val="EndnoteReference"/>
        </w:rPr>
        <w:endnoteRef/>
      </w:r>
      <w:r w:rsidRPr="00FB6B6F">
        <w:t xml:space="preserve"> </w:t>
      </w:r>
      <w:r w:rsidRPr="00126977">
        <w:rPr>
          <w:i/>
        </w:rPr>
        <w:t>SRB</w:t>
      </w:r>
      <w:r w:rsidRPr="00126977">
        <w:t xml:space="preserve"> note</w:t>
      </w:r>
      <w:r>
        <w:t>s</w:t>
      </w:r>
      <w:r w:rsidRPr="00126977">
        <w:t xml:space="preserve"> on Isa. 13:1, pp. 724-5</w:t>
      </w:r>
      <w:r>
        <w:t xml:space="preserve">; </w:t>
      </w:r>
      <w:r w:rsidRPr="00126977">
        <w:t>Joel 1:4, p. 930</w:t>
      </w:r>
      <w:r>
        <w:t>;</w:t>
      </w:r>
      <w:r w:rsidRPr="00126977">
        <w:t xml:space="preserve"> Zech. 10:4, p. 974</w:t>
      </w:r>
      <w:r>
        <w:t xml:space="preserve">; </w:t>
      </w:r>
      <w:r w:rsidRPr="00A72278">
        <w:t>Mt. 24:16, p. 1033</w:t>
      </w:r>
      <w:r>
        <w:t xml:space="preserve">; </w:t>
      </w:r>
      <w:r w:rsidRPr="00A72278">
        <w:t>Rev</w:t>
      </w:r>
      <w:r>
        <w:t>.</w:t>
      </w:r>
      <w:r w:rsidRPr="00A72278">
        <w:t xml:space="preserve"> 19:17, p. 1349</w:t>
      </w:r>
      <w:r>
        <w:rPr>
          <w:lang w:eastAsia="en-GB"/>
        </w:rPr>
        <w:t xml:space="preserve">.  </w:t>
      </w:r>
    </w:p>
  </w:endnote>
  <w:endnote w:id="2087">
    <w:p w:rsidR="00975183" w:rsidRDefault="00975183" w:rsidP="006A2E06">
      <w:pPr>
        <w:pStyle w:val="EndnoteText"/>
      </w:pPr>
      <w:r w:rsidRPr="00126977">
        <w:rPr>
          <w:rStyle w:val="FootnoteReference"/>
        </w:rPr>
        <w:endnoteRef/>
      </w:r>
      <w:r w:rsidRPr="00126977">
        <w:t xml:space="preserve"> </w:t>
      </w:r>
      <w:r w:rsidRPr="00126977">
        <w:rPr>
          <w:i/>
        </w:rPr>
        <w:t>SRB</w:t>
      </w:r>
      <w:r w:rsidRPr="00126977">
        <w:t xml:space="preserve"> note on Isa. 13:1, pp. 724-5.</w:t>
      </w:r>
    </w:p>
  </w:endnote>
  <w:endnote w:id="2088">
    <w:p w:rsidR="00975183" w:rsidRDefault="00975183" w:rsidP="006A2E06">
      <w:pPr>
        <w:pStyle w:val="EndnoteText"/>
      </w:pPr>
      <w:r w:rsidRPr="0041194B">
        <w:rPr>
          <w:rStyle w:val="EndnoteReference"/>
        </w:rPr>
        <w:endnoteRef/>
      </w:r>
      <w:r w:rsidRPr="0041194B">
        <w:t xml:space="preserve"> </w:t>
      </w:r>
      <w:proofErr w:type="gramStart"/>
      <w:r w:rsidRPr="00FB6B6F">
        <w:rPr>
          <w:i/>
        </w:rPr>
        <w:t>SRB</w:t>
      </w:r>
      <w:r>
        <w:t xml:space="preserve"> n</w:t>
      </w:r>
      <w:r w:rsidRPr="00A72278">
        <w:t>ote on Rev, 19:17, p. 1349</w:t>
      </w:r>
      <w:r>
        <w:rPr>
          <w:lang w:eastAsia="en-GB"/>
        </w:rPr>
        <w:t>.</w:t>
      </w:r>
      <w:proofErr w:type="gramEnd"/>
    </w:p>
  </w:endnote>
  <w:endnote w:id="2089">
    <w:p w:rsidR="00975183" w:rsidRDefault="00975183" w:rsidP="006A2E06">
      <w:pPr>
        <w:pStyle w:val="EndnoteText"/>
      </w:pPr>
      <w:r w:rsidRPr="0041194B">
        <w:rPr>
          <w:rStyle w:val="EndnoteReference"/>
        </w:rPr>
        <w:endnoteRef/>
      </w:r>
      <w:r w:rsidRPr="0041194B">
        <w:t xml:space="preserve"> </w:t>
      </w:r>
      <w:r w:rsidRPr="00126977">
        <w:rPr>
          <w:i/>
        </w:rPr>
        <w:t>SRB</w:t>
      </w:r>
      <w:r w:rsidRPr="00126977">
        <w:t xml:space="preserve"> note Joel 1:4, p. 930.  Refs Rev. 16:14; 19:11-21.</w:t>
      </w:r>
    </w:p>
  </w:endnote>
  <w:endnote w:id="2090">
    <w:p w:rsidR="00975183" w:rsidRDefault="00975183" w:rsidP="006A2E06">
      <w:pPr>
        <w:pStyle w:val="EndnoteText"/>
      </w:pPr>
      <w:r w:rsidRPr="0041194B">
        <w:rPr>
          <w:rStyle w:val="EndnoteReference"/>
        </w:rPr>
        <w:endnoteRef/>
      </w:r>
      <w:r w:rsidRPr="0041194B">
        <w:t xml:space="preserve"> </w:t>
      </w:r>
      <w:r w:rsidRPr="00126977">
        <w:rPr>
          <w:i/>
        </w:rPr>
        <w:t>SRB</w:t>
      </w:r>
      <w:r w:rsidRPr="00126977">
        <w:t xml:space="preserve"> note on Zech. 10:4, p. 974.</w:t>
      </w:r>
    </w:p>
  </w:endnote>
  <w:endnote w:id="2091">
    <w:p w:rsidR="00975183" w:rsidRPr="00EB0D28" w:rsidRDefault="00975183" w:rsidP="006A2E06">
      <w:pPr>
        <w:pStyle w:val="EndnoteText"/>
      </w:pPr>
      <w:r w:rsidRPr="00EB0D28">
        <w:rPr>
          <w:rStyle w:val="EndnoteReference"/>
        </w:rPr>
        <w:endnoteRef/>
      </w:r>
      <w:r w:rsidRPr="00EB0D28">
        <w:t xml:space="preserve"> </w:t>
      </w:r>
      <w:proofErr w:type="gramStart"/>
      <w:r>
        <w:t>Acts 13:6; Rev. 16:13; Rev. 19:20 and Rev. 20:10.</w:t>
      </w:r>
      <w:proofErr w:type="gramEnd"/>
    </w:p>
  </w:endnote>
  <w:endnote w:id="2092">
    <w:p w:rsidR="00975183" w:rsidRDefault="00975183" w:rsidP="006A2E06">
      <w:pPr>
        <w:pStyle w:val="EndnoteText"/>
      </w:pPr>
      <w:r w:rsidRPr="00EB0D28">
        <w:rPr>
          <w:rStyle w:val="EndnoteReference"/>
        </w:rPr>
        <w:endnoteRef/>
      </w:r>
      <w:r w:rsidRPr="00EB0D28">
        <w:t xml:space="preserve"> </w:t>
      </w:r>
      <w:r>
        <w:t>Rev. 16:13.</w:t>
      </w:r>
    </w:p>
  </w:endnote>
  <w:endnote w:id="2093">
    <w:p w:rsidR="00975183" w:rsidRDefault="00975183" w:rsidP="006A2E06">
      <w:pPr>
        <w:pStyle w:val="EndnoteText"/>
      </w:pPr>
      <w:r w:rsidRPr="00EB0D28">
        <w:rPr>
          <w:rStyle w:val="EndnoteReference"/>
        </w:rPr>
        <w:endnoteRef/>
      </w:r>
      <w:r w:rsidRPr="00EB0D28">
        <w:t xml:space="preserve"> </w:t>
      </w:r>
      <w:r>
        <w:t>Rev. 16:16.</w:t>
      </w:r>
    </w:p>
  </w:endnote>
  <w:endnote w:id="2094">
    <w:p w:rsidR="00975183" w:rsidRDefault="00975183" w:rsidP="006A2E06">
      <w:pPr>
        <w:pStyle w:val="EndnoteText"/>
      </w:pPr>
      <w:r w:rsidRPr="00357746">
        <w:rPr>
          <w:rStyle w:val="EndnoteReference"/>
        </w:rPr>
        <w:endnoteRef/>
      </w:r>
      <w:r w:rsidRPr="00357746">
        <w:t xml:space="preserve"> </w:t>
      </w:r>
      <w:r w:rsidRPr="00CC6C3C">
        <w:rPr>
          <w:sz w:val="22"/>
          <w:szCs w:val="22"/>
        </w:rPr>
        <w:t>Joseph L.</w:t>
      </w:r>
      <w:r>
        <w:rPr>
          <w:sz w:val="22"/>
          <w:szCs w:val="22"/>
        </w:rPr>
        <w:t xml:space="preserve"> </w:t>
      </w:r>
      <w:r w:rsidRPr="00CC6C3C">
        <w:rPr>
          <w:sz w:val="22"/>
          <w:szCs w:val="22"/>
        </w:rPr>
        <w:t xml:space="preserve">Mangina, </w:t>
      </w:r>
      <w:r w:rsidRPr="00CC6C3C">
        <w:rPr>
          <w:i/>
          <w:sz w:val="22"/>
          <w:szCs w:val="22"/>
        </w:rPr>
        <w:t>Revelation</w:t>
      </w:r>
      <w:r w:rsidRPr="00CC6C3C">
        <w:rPr>
          <w:sz w:val="22"/>
          <w:szCs w:val="22"/>
        </w:rPr>
        <w:t xml:space="preserve"> (SCM Theological Commentary on the Bible; R. R. Reno et al. [</w:t>
      </w:r>
      <w:proofErr w:type="gramStart"/>
      <w:r w:rsidRPr="00CC6C3C">
        <w:rPr>
          <w:sz w:val="22"/>
          <w:szCs w:val="22"/>
        </w:rPr>
        <w:t>eds</w:t>
      </w:r>
      <w:proofErr w:type="gramEnd"/>
      <w:r w:rsidRPr="00CC6C3C">
        <w:rPr>
          <w:sz w:val="22"/>
          <w:szCs w:val="22"/>
        </w:rPr>
        <w:t>], London: SCM Press, 2010)</w:t>
      </w:r>
      <w:r>
        <w:rPr>
          <w:sz w:val="22"/>
          <w:szCs w:val="22"/>
        </w:rPr>
        <w:t>, p. 188</w:t>
      </w:r>
      <w:r w:rsidRPr="00CC6C3C">
        <w:rPr>
          <w:sz w:val="22"/>
          <w:szCs w:val="22"/>
        </w:rPr>
        <w:t>.</w:t>
      </w:r>
    </w:p>
  </w:endnote>
  <w:endnote w:id="2095">
    <w:p w:rsidR="00975183" w:rsidRPr="00092836" w:rsidRDefault="00975183" w:rsidP="006A2E06">
      <w:pPr>
        <w:pStyle w:val="EndnoteText"/>
      </w:pPr>
      <w:r w:rsidRPr="00092836">
        <w:rPr>
          <w:rStyle w:val="EndnoteReference"/>
        </w:rPr>
        <w:endnoteRef/>
      </w:r>
      <w:r w:rsidRPr="00092836">
        <w:t xml:space="preserve"> </w:t>
      </w:r>
      <w:r>
        <w:t>Rev. 19:19.</w:t>
      </w:r>
    </w:p>
  </w:endnote>
  <w:endnote w:id="2096">
    <w:p w:rsidR="00975183" w:rsidRDefault="00975183" w:rsidP="006A2E06">
      <w:pPr>
        <w:pStyle w:val="EndnoteText"/>
      </w:pPr>
      <w:r w:rsidRPr="00092836">
        <w:rPr>
          <w:rStyle w:val="EndnoteReference"/>
        </w:rPr>
        <w:endnoteRef/>
      </w:r>
      <w:r w:rsidRPr="00092836">
        <w:t xml:space="preserve"> </w:t>
      </w:r>
      <w:r>
        <w:t>Rev. 19:20.</w:t>
      </w:r>
    </w:p>
  </w:endnote>
  <w:endnote w:id="2097">
    <w:p w:rsidR="00975183" w:rsidRDefault="00975183" w:rsidP="006A2E06">
      <w:pPr>
        <w:pStyle w:val="EndnoteText"/>
      </w:pPr>
      <w:r w:rsidRPr="00A72278">
        <w:rPr>
          <w:rStyle w:val="FootnoteReference"/>
        </w:rPr>
        <w:endnoteRef/>
      </w:r>
      <w:r w:rsidRPr="00A72278">
        <w:t xml:space="preserve"> </w:t>
      </w:r>
      <w:proofErr w:type="gramStart"/>
      <w:r w:rsidRPr="00A72278">
        <w:rPr>
          <w:i/>
        </w:rPr>
        <w:t>SRB</w:t>
      </w:r>
      <w:r w:rsidRPr="00A72278">
        <w:t xml:space="preserve"> </w:t>
      </w:r>
      <w:r>
        <w:t>subhead to Rev. 19:20, p. 1349.</w:t>
      </w:r>
      <w:proofErr w:type="gramEnd"/>
    </w:p>
  </w:endnote>
  <w:endnote w:id="2098">
    <w:p w:rsidR="00975183" w:rsidRPr="003A30CE" w:rsidRDefault="00975183" w:rsidP="006A2E06">
      <w:pPr>
        <w:pStyle w:val="EndnoteText"/>
      </w:pPr>
      <w:r w:rsidRPr="003A30CE">
        <w:rPr>
          <w:rStyle w:val="EndnoteReference"/>
        </w:rPr>
        <w:endnoteRef/>
      </w:r>
      <w:r w:rsidRPr="003A30CE">
        <w:t xml:space="preserve"> </w:t>
      </w:r>
      <w:r w:rsidRPr="00A72278">
        <w:rPr>
          <w:i/>
        </w:rPr>
        <w:t>SRB</w:t>
      </w:r>
      <w:r w:rsidRPr="00A72278">
        <w:t xml:space="preserve"> n</w:t>
      </w:r>
      <w:r w:rsidRPr="00A72278">
        <w:rPr>
          <w:lang w:eastAsia="en-GB"/>
        </w:rPr>
        <w:t xml:space="preserve">ote on </w:t>
      </w:r>
      <w:r>
        <w:rPr>
          <w:rFonts w:eastAsia="Perpetua" w:cs="Perpetua"/>
        </w:rPr>
        <w:t>Dan.</w:t>
      </w:r>
      <w:r>
        <w:rPr>
          <w:rFonts w:eastAsia="Perpetua" w:cs="Perpetua"/>
          <w:spacing w:val="-4"/>
        </w:rPr>
        <w:t xml:space="preserve"> </w:t>
      </w:r>
      <w:r>
        <w:rPr>
          <w:rFonts w:eastAsia="Perpetua" w:cs="Perpetua"/>
        </w:rPr>
        <w:t>12:4, p. 919.</w:t>
      </w:r>
    </w:p>
  </w:endnote>
  <w:endnote w:id="2099">
    <w:p w:rsidR="00975183" w:rsidRDefault="00975183" w:rsidP="006A2E06">
      <w:pPr>
        <w:pStyle w:val="EndnoteText"/>
      </w:pPr>
      <w:r w:rsidRPr="00A72278">
        <w:rPr>
          <w:rStyle w:val="FootnoteReference"/>
        </w:rPr>
        <w:endnoteRef/>
      </w:r>
      <w:r w:rsidRPr="00A72278">
        <w:t xml:space="preserve"> </w:t>
      </w:r>
      <w:r w:rsidRPr="00A72278">
        <w:rPr>
          <w:i/>
        </w:rPr>
        <w:t>SRB</w:t>
      </w:r>
      <w:r w:rsidRPr="00A72278">
        <w:t xml:space="preserve"> note on</w:t>
      </w:r>
      <w:r>
        <w:t xml:space="preserve"> Dan. 12:12, p. 920.</w:t>
      </w:r>
    </w:p>
  </w:endnote>
  <w:endnote w:id="2100">
    <w:p w:rsidR="00975183" w:rsidRPr="009424FA" w:rsidRDefault="00975183" w:rsidP="006A2E06">
      <w:pPr>
        <w:pStyle w:val="EndnoteText"/>
      </w:pPr>
      <w:r w:rsidRPr="009424FA">
        <w:rPr>
          <w:rStyle w:val="EndnoteReference"/>
        </w:rPr>
        <w:endnoteRef/>
      </w:r>
      <w:r w:rsidRPr="009424FA">
        <w:t xml:space="preserve"> </w:t>
      </w:r>
      <w:proofErr w:type="gramStart"/>
      <w:r w:rsidRPr="009424FA">
        <w:t>Rev. 16:14 refs</w:t>
      </w:r>
      <w:r>
        <w:t>.</w:t>
      </w:r>
      <w:proofErr w:type="gramEnd"/>
    </w:p>
  </w:endnote>
  <w:endnote w:id="2101">
    <w:p w:rsidR="00975183" w:rsidRDefault="00975183" w:rsidP="006A2E06">
      <w:pPr>
        <w:pStyle w:val="EndnoteText"/>
      </w:pPr>
      <w:r w:rsidRPr="00A72278">
        <w:rPr>
          <w:rStyle w:val="EndnoteReference"/>
        </w:rPr>
        <w:endnoteRef/>
      </w:r>
      <w:r w:rsidRPr="00A72278">
        <w:t xml:space="preserve"> </w:t>
      </w:r>
      <w:r w:rsidRPr="00A72278">
        <w:rPr>
          <w:i/>
        </w:rPr>
        <w:t>SRB</w:t>
      </w:r>
      <w:r w:rsidRPr="00A72278">
        <w:t xml:space="preserve"> note on</w:t>
      </w:r>
      <w:r>
        <w:t xml:space="preserve"> Dan. 7:14, p. 910.</w:t>
      </w:r>
    </w:p>
  </w:endnote>
  <w:endnote w:id="2102">
    <w:p w:rsidR="00975183" w:rsidRPr="006A4363" w:rsidRDefault="00975183" w:rsidP="006A2E06">
      <w:pPr>
        <w:pStyle w:val="EndnoteText"/>
      </w:pPr>
      <w:r w:rsidRPr="00655950">
        <w:rPr>
          <w:rStyle w:val="EndnoteReference"/>
        </w:rPr>
        <w:endnoteRef/>
      </w:r>
      <w:r w:rsidRPr="00655950">
        <w:t xml:space="preserve"> </w:t>
      </w:r>
      <w:r w:rsidRPr="006A4363">
        <w:rPr>
          <w:i/>
        </w:rPr>
        <w:t>SRB</w:t>
      </w:r>
      <w:r w:rsidRPr="006A4363">
        <w:t xml:space="preserve"> </w:t>
      </w:r>
      <w:r>
        <w:t>I</w:t>
      </w:r>
      <w:r w:rsidRPr="006A4363">
        <w:t xml:space="preserve">ntroduction to Revelation, p. 1330.  </w:t>
      </w:r>
    </w:p>
  </w:endnote>
  <w:endnote w:id="2103">
    <w:p w:rsidR="00975183" w:rsidRPr="00F73FDE" w:rsidRDefault="00975183" w:rsidP="006A2E06">
      <w:pPr>
        <w:pStyle w:val="EndnoteText"/>
      </w:pPr>
      <w:r w:rsidRPr="00F73FDE">
        <w:rPr>
          <w:rStyle w:val="EndnoteReference"/>
        </w:rPr>
        <w:endnoteRef/>
      </w:r>
      <w:r w:rsidRPr="00F73FDE">
        <w:t xml:space="preserve"> </w:t>
      </w:r>
      <w:proofErr w:type="gramStart"/>
      <w:r w:rsidRPr="00F73FDE">
        <w:rPr>
          <w:b/>
        </w:rPr>
        <w:t>See 5.6.2</w:t>
      </w:r>
      <w:r w:rsidRPr="00F73FDE">
        <w:t>.</w:t>
      </w:r>
      <w:proofErr w:type="gramEnd"/>
    </w:p>
  </w:endnote>
  <w:endnote w:id="2104">
    <w:p w:rsidR="00975183" w:rsidRDefault="00975183" w:rsidP="006A2E06">
      <w:pPr>
        <w:pStyle w:val="EndnoteText"/>
      </w:pPr>
      <w:r w:rsidRPr="00A0570B">
        <w:rPr>
          <w:rStyle w:val="FootnoteReference"/>
        </w:rPr>
        <w:endnoteRef/>
      </w:r>
      <w:r w:rsidRPr="00A0570B">
        <w:t xml:space="preserve"> </w:t>
      </w:r>
      <w:r>
        <w:t>Ryrie</w:t>
      </w:r>
      <w:r w:rsidRPr="00A0570B">
        <w:t xml:space="preserve">, </w:t>
      </w:r>
      <w:r>
        <w:rPr>
          <w:i/>
        </w:rPr>
        <w:t xml:space="preserve">Dispensationalism Today, </w:t>
      </w:r>
      <w:r w:rsidRPr="00452471">
        <w:t>pp. 160-161.</w:t>
      </w:r>
    </w:p>
  </w:endnote>
  <w:endnote w:id="2105">
    <w:p w:rsidR="00975183" w:rsidRPr="00A72278" w:rsidRDefault="00975183" w:rsidP="006A2E06">
      <w:pPr>
        <w:pStyle w:val="EndnoteText"/>
      </w:pPr>
      <w:r w:rsidRPr="00A72278">
        <w:rPr>
          <w:rStyle w:val="EndnoteReference"/>
        </w:rPr>
        <w:endnoteRef/>
      </w:r>
      <w:r w:rsidRPr="00A72278">
        <w:t xml:space="preserve"> </w:t>
      </w:r>
      <w:proofErr w:type="gramStart"/>
      <w:r w:rsidRPr="00A72278">
        <w:rPr>
          <w:i/>
        </w:rPr>
        <w:t>SRB</w:t>
      </w:r>
      <w:r w:rsidRPr="00A72278">
        <w:t xml:space="preserve"> note on Rev. 14:6, p. 1343.</w:t>
      </w:r>
      <w:proofErr w:type="gramEnd"/>
      <w:r w:rsidRPr="00A72278">
        <w:t xml:space="preserve">  Ref. Mt. 3:2 </w:t>
      </w:r>
      <w:proofErr w:type="gramStart"/>
      <w:r w:rsidRPr="00A72278">
        <w:t>note</w:t>
      </w:r>
      <w:proofErr w:type="gramEnd"/>
      <w:r w:rsidRPr="00A72278">
        <w:t xml:space="preserve"> (p. 996).  </w:t>
      </w:r>
      <w:r w:rsidRPr="003E26D2">
        <w:rPr>
          <w:b/>
        </w:rPr>
        <w:t>See 4.1</w:t>
      </w:r>
      <w:r w:rsidRPr="00A72278">
        <w:rPr>
          <w:b/>
        </w:rPr>
        <w:t xml:space="preserve">. </w:t>
      </w:r>
    </w:p>
  </w:endnote>
  <w:endnote w:id="2106">
    <w:p w:rsidR="00975183" w:rsidRPr="00A72278" w:rsidRDefault="00975183" w:rsidP="006A2E06">
      <w:pPr>
        <w:pStyle w:val="EndnoteText"/>
      </w:pPr>
      <w:r w:rsidRPr="00A72278">
        <w:rPr>
          <w:rStyle w:val="EndnoteReference"/>
        </w:rPr>
        <w:endnoteRef/>
      </w:r>
      <w:r w:rsidRPr="00A72278">
        <w:t xml:space="preserve"> </w:t>
      </w:r>
      <w:r w:rsidRPr="00A72278">
        <w:rPr>
          <w:i/>
        </w:rPr>
        <w:t>SRB</w:t>
      </w:r>
      <w:r>
        <w:t xml:space="preserve"> n</w:t>
      </w:r>
      <w:r w:rsidRPr="00A72278">
        <w:t xml:space="preserve">ote on </w:t>
      </w:r>
      <w:r w:rsidRPr="00FE1553">
        <w:t>1 Cor. 15:24</w:t>
      </w:r>
      <w:r w:rsidRPr="00A72278">
        <w:t>, p. 1226</w:t>
      </w:r>
      <w:r w:rsidRPr="00A72278">
        <w:rPr>
          <w:lang w:eastAsia="en-GB"/>
        </w:rPr>
        <w:t xml:space="preserve">. </w:t>
      </w:r>
      <w:r w:rsidRPr="00A72278">
        <w:t xml:space="preserve"> </w:t>
      </w:r>
    </w:p>
  </w:endnote>
  <w:endnote w:id="2107">
    <w:p w:rsidR="00975183" w:rsidRPr="00FE1553" w:rsidRDefault="00975183" w:rsidP="006A2E06">
      <w:pPr>
        <w:pStyle w:val="EndnoteText"/>
      </w:pPr>
      <w:r w:rsidRPr="00A72278">
        <w:rPr>
          <w:rStyle w:val="EndnoteReference"/>
        </w:rPr>
        <w:endnoteRef/>
      </w:r>
      <w:r w:rsidRPr="00A72278">
        <w:t xml:space="preserve"> </w:t>
      </w:r>
      <w:proofErr w:type="gramStart"/>
      <w:r w:rsidRPr="00A72278">
        <w:rPr>
          <w:i/>
        </w:rPr>
        <w:t>cf</w:t>
      </w:r>
      <w:r w:rsidRPr="00A72278">
        <w:t xml:space="preserve"> </w:t>
      </w:r>
      <w:r w:rsidRPr="00A72278">
        <w:rPr>
          <w:i/>
        </w:rPr>
        <w:t>SRB</w:t>
      </w:r>
      <w:r w:rsidRPr="00A72278">
        <w:t xml:space="preserve"> note on Rev. 12:10, p. 1341</w:t>
      </w:r>
      <w:r w:rsidRPr="00FE1553">
        <w:t>.</w:t>
      </w:r>
      <w:proofErr w:type="gramEnd"/>
      <w:r w:rsidRPr="00FE1553">
        <w:t xml:space="preserve">  </w:t>
      </w:r>
    </w:p>
  </w:endnote>
  <w:endnote w:id="2108">
    <w:p w:rsidR="00975183" w:rsidRPr="00A72278" w:rsidRDefault="00975183" w:rsidP="006A2E06">
      <w:pPr>
        <w:pStyle w:val="EndnoteText"/>
      </w:pPr>
      <w:r w:rsidRPr="00A72278">
        <w:rPr>
          <w:rStyle w:val="EndnoteReference"/>
        </w:rPr>
        <w:endnoteRef/>
      </w:r>
      <w:r w:rsidRPr="00A72278">
        <w:t xml:space="preserve"> </w:t>
      </w:r>
      <w:proofErr w:type="gramStart"/>
      <w:r w:rsidRPr="00A72278">
        <w:rPr>
          <w:i/>
        </w:rPr>
        <w:t>SRB</w:t>
      </w:r>
      <w:r w:rsidRPr="00A72278">
        <w:t xml:space="preserve"> note on </w:t>
      </w:r>
      <w:r w:rsidRPr="00FE1553">
        <w:t>Rev. 19:19</w:t>
      </w:r>
      <w:r w:rsidRPr="00A72278">
        <w:t>, p. 1349.</w:t>
      </w:r>
      <w:proofErr w:type="gramEnd"/>
      <w:r w:rsidRPr="00A72278">
        <w:t xml:space="preserve">  </w:t>
      </w:r>
      <w:proofErr w:type="gramStart"/>
      <w:r w:rsidRPr="00A72278">
        <w:t>Ref. Rev. 20:4-6.</w:t>
      </w:r>
      <w:proofErr w:type="gramEnd"/>
      <w:r w:rsidRPr="00A72278">
        <w:t xml:space="preserve">  </w:t>
      </w:r>
      <w:proofErr w:type="gramStart"/>
      <w:r w:rsidRPr="00F73FDE">
        <w:rPr>
          <w:b/>
        </w:rPr>
        <w:t>See 5.6.2</w:t>
      </w:r>
      <w:r w:rsidRPr="00FE1553">
        <w:t>.</w:t>
      </w:r>
      <w:proofErr w:type="gramEnd"/>
      <w:r w:rsidRPr="00A72278">
        <w:rPr>
          <w:b/>
        </w:rPr>
        <w:t xml:space="preserve">  </w:t>
      </w:r>
    </w:p>
  </w:endnote>
  <w:endnote w:id="2109">
    <w:p w:rsidR="00975183" w:rsidRPr="00A72278" w:rsidRDefault="00975183" w:rsidP="006A2E06">
      <w:pPr>
        <w:pStyle w:val="EndnoteText"/>
      </w:pPr>
      <w:r w:rsidRPr="00A72278">
        <w:rPr>
          <w:rStyle w:val="EndnoteReference"/>
        </w:rPr>
        <w:endnoteRef/>
      </w:r>
      <w:r w:rsidRPr="00A72278">
        <w:t xml:space="preserve"> </w:t>
      </w:r>
      <w:r w:rsidRPr="00A72278">
        <w:rPr>
          <w:i/>
        </w:rPr>
        <w:t>SRB</w:t>
      </w:r>
      <w:r>
        <w:t xml:space="preserve"> n</w:t>
      </w:r>
      <w:r w:rsidRPr="00A72278">
        <w:t>ote on Isa. 65:17, p. 769</w:t>
      </w:r>
      <w:r w:rsidRPr="00A72278">
        <w:rPr>
          <w:lang w:eastAsia="en-GB"/>
        </w:rPr>
        <w:t xml:space="preserve">.  </w:t>
      </w:r>
    </w:p>
  </w:endnote>
  <w:endnote w:id="2110">
    <w:p w:rsidR="00975183" w:rsidRPr="00A72278" w:rsidRDefault="00975183" w:rsidP="006A2E06">
      <w:pPr>
        <w:pStyle w:val="EndnoteText"/>
      </w:pPr>
      <w:r w:rsidRPr="00A72278">
        <w:rPr>
          <w:rStyle w:val="EndnoteReference"/>
        </w:rPr>
        <w:endnoteRef/>
      </w:r>
      <w:r w:rsidRPr="00A72278">
        <w:t xml:space="preserve"> </w:t>
      </w:r>
      <w:proofErr w:type="gramStart"/>
      <w:r w:rsidRPr="00A72278">
        <w:rPr>
          <w:i/>
        </w:rPr>
        <w:t>SRB</w:t>
      </w:r>
      <w:r>
        <w:t xml:space="preserve"> n</w:t>
      </w:r>
      <w:r w:rsidRPr="00A72278">
        <w:t>ote on Jude 6, p. 1328</w:t>
      </w:r>
      <w:r w:rsidRPr="00A72278">
        <w:rPr>
          <w:lang w:eastAsia="en-GB"/>
        </w:rPr>
        <w:t>.</w:t>
      </w:r>
      <w:proofErr w:type="gramEnd"/>
    </w:p>
  </w:endnote>
  <w:endnote w:id="2111">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note on Mt. 13:43, p. 1017.  Refs 1 Cor. 15:54, 55 and Rev. 20:14.  </w:t>
      </w:r>
    </w:p>
  </w:endnote>
  <w:endnote w:id="2112">
    <w:p w:rsidR="00975183" w:rsidRPr="00A72278" w:rsidRDefault="00975183" w:rsidP="006A2E06">
      <w:pPr>
        <w:pStyle w:val="EndnoteText"/>
      </w:pPr>
      <w:r w:rsidRPr="00A72278">
        <w:rPr>
          <w:rStyle w:val="EndnoteReference"/>
        </w:rPr>
        <w:endnoteRef/>
      </w:r>
      <w:r w:rsidRPr="00A72278">
        <w:t xml:space="preserve"> </w:t>
      </w:r>
      <w:r w:rsidRPr="00A72278">
        <w:rPr>
          <w:i/>
        </w:rPr>
        <w:t>SRB</w:t>
      </w:r>
      <w:r w:rsidRPr="00A72278">
        <w:t xml:space="preserve"> Introduction to 2 Samuel, p. 355.  </w:t>
      </w:r>
    </w:p>
  </w:endnote>
  <w:endnote w:id="2113">
    <w:p w:rsidR="00975183" w:rsidRDefault="00975183" w:rsidP="006A2E06">
      <w:pPr>
        <w:pStyle w:val="EndnoteText"/>
      </w:pPr>
      <w:r w:rsidRPr="006A4363">
        <w:rPr>
          <w:rStyle w:val="FootnoteReference"/>
        </w:rPr>
        <w:endnoteRef/>
      </w:r>
      <w:r w:rsidRPr="006A4363">
        <w:t xml:space="preserve"> </w:t>
      </w:r>
      <w:r w:rsidRPr="006A4363">
        <w:rPr>
          <w:i/>
        </w:rPr>
        <w:t xml:space="preserve">SRB </w:t>
      </w:r>
      <w:r w:rsidRPr="006A4363">
        <w:t xml:space="preserve">note on Mt. 17:2, pp. 1022-3.  cf subhead to Mt. 16:28, p. 1022.  </w:t>
      </w:r>
      <w:proofErr w:type="gramStart"/>
      <w:r w:rsidRPr="006A4363">
        <w:t>‘The transfiguration: a picture of the future kingdom (Mk 9:2-13; Lk. 9:28-36).’</w:t>
      </w:r>
      <w:proofErr w:type="gramEnd"/>
      <w:r>
        <w:t xml:space="preserve">  </w:t>
      </w:r>
      <w:r w:rsidRPr="00500BE4">
        <w:rPr>
          <w:b/>
        </w:rPr>
        <w:t>See Case Study, Matthew</w:t>
      </w:r>
      <w:r>
        <w:t>.</w:t>
      </w:r>
    </w:p>
  </w:endnote>
  <w:endnote w:id="2114">
    <w:p w:rsidR="00975183" w:rsidRDefault="00975183" w:rsidP="006A2E06">
      <w:pPr>
        <w:pStyle w:val="EndnoteText"/>
      </w:pPr>
      <w:r w:rsidRPr="006A4363">
        <w:rPr>
          <w:rStyle w:val="FootnoteReference"/>
        </w:rPr>
        <w:endnoteRef/>
      </w:r>
      <w:r w:rsidRPr="006A4363">
        <w:t xml:space="preserve"> </w:t>
      </w:r>
      <w:r w:rsidRPr="00240816">
        <w:rPr>
          <w:i/>
        </w:rPr>
        <w:t>SRB</w:t>
      </w:r>
      <w:r>
        <w:t xml:space="preserve"> </w:t>
      </w:r>
      <w:r w:rsidRPr="006A4363">
        <w:t>Introduction to Revelation, p. 1330</w:t>
      </w:r>
      <w:r w:rsidRPr="006A4363">
        <w:rPr>
          <w:lang w:eastAsia="en-GB"/>
        </w:rPr>
        <w:t xml:space="preserve">.  </w:t>
      </w:r>
      <w:r w:rsidRPr="006A4363">
        <w:t>Ref. 20:1 – 22:21.</w:t>
      </w:r>
    </w:p>
  </w:endnote>
  <w:endnote w:id="2115">
    <w:p w:rsidR="00975183" w:rsidRDefault="00975183" w:rsidP="006A2E06">
      <w:pPr>
        <w:pStyle w:val="EndnoteText"/>
      </w:pPr>
      <w:r w:rsidRPr="006A4363">
        <w:rPr>
          <w:rStyle w:val="FootnoteReference"/>
        </w:rPr>
        <w:endnoteRef/>
      </w:r>
      <w:r w:rsidRPr="006A4363">
        <w:t xml:space="preserve"> </w:t>
      </w:r>
      <w:r w:rsidRPr="006A4363">
        <w:rPr>
          <w:i/>
        </w:rPr>
        <w:t>SRB</w:t>
      </w:r>
      <w:r>
        <w:t xml:space="preserve"> </w:t>
      </w:r>
      <w:r w:rsidRPr="006A4363">
        <w:t>Introduction to Revelation, p. 1330</w:t>
      </w:r>
      <w:r w:rsidRPr="006A4363">
        <w:rPr>
          <w:lang w:eastAsia="en-GB"/>
        </w:rPr>
        <w:t xml:space="preserve">.  </w:t>
      </w:r>
      <w:r w:rsidRPr="006A4363">
        <w:t xml:space="preserve">Refs Rev. 1:1, 4; 1:9 </w:t>
      </w:r>
      <w:r w:rsidRPr="00012B96">
        <w:rPr>
          <w:sz w:val="16"/>
          <w:szCs w:val="24"/>
        </w:rPr>
        <w:t>—</w:t>
      </w:r>
      <w:r w:rsidRPr="006A4363">
        <w:t xml:space="preserve"> 3:22; 8:3-6; 19:7-9; 20:1-15.  </w:t>
      </w:r>
    </w:p>
  </w:endnote>
  <w:endnote w:id="2116">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Introduction to 2 Samuel, p. 355.</w:t>
      </w:r>
    </w:p>
  </w:endnote>
  <w:endnote w:id="2117">
    <w:p w:rsidR="00975183" w:rsidRDefault="00975183" w:rsidP="006A2E06">
      <w:pPr>
        <w:pStyle w:val="EndnoteText"/>
      </w:pPr>
      <w:r w:rsidRPr="00591DCA">
        <w:rPr>
          <w:rStyle w:val="EndnoteReference"/>
        </w:rPr>
        <w:endnoteRef/>
      </w:r>
      <w:r w:rsidRPr="00591DCA">
        <w:t xml:space="preserve"> </w:t>
      </w:r>
      <w:r w:rsidRPr="006A4363">
        <w:rPr>
          <w:i/>
          <w:szCs w:val="18"/>
        </w:rPr>
        <w:t>SRB</w:t>
      </w:r>
      <w:r>
        <w:rPr>
          <w:szCs w:val="18"/>
        </w:rPr>
        <w:t xml:space="preserve"> n</w:t>
      </w:r>
      <w:r w:rsidRPr="006A4363">
        <w:rPr>
          <w:szCs w:val="18"/>
        </w:rPr>
        <w:t>ote on Rom. 11:5, p. 1205</w:t>
      </w:r>
      <w:r w:rsidRPr="006A4363">
        <w:rPr>
          <w:szCs w:val="18"/>
          <w:lang w:eastAsia="en-GB"/>
        </w:rPr>
        <w:t>.</w:t>
      </w:r>
    </w:p>
  </w:endnote>
  <w:endnote w:id="2118">
    <w:p w:rsidR="00975183" w:rsidRPr="008E7391" w:rsidRDefault="00975183" w:rsidP="006A2E06">
      <w:pPr>
        <w:pStyle w:val="EndnoteText"/>
      </w:pPr>
      <w:r w:rsidRPr="008E7391">
        <w:rPr>
          <w:rStyle w:val="EndnoteReference"/>
        </w:rPr>
        <w:endnoteRef/>
      </w:r>
      <w:r w:rsidRPr="008E7391">
        <w:t xml:space="preserve"> </w:t>
      </w:r>
      <w:r w:rsidRPr="006A4363">
        <w:rPr>
          <w:i/>
          <w:szCs w:val="18"/>
        </w:rPr>
        <w:t>SRB</w:t>
      </w:r>
      <w:r>
        <w:rPr>
          <w:szCs w:val="18"/>
        </w:rPr>
        <w:t xml:space="preserve"> n</w:t>
      </w:r>
      <w:r w:rsidRPr="006A4363">
        <w:rPr>
          <w:szCs w:val="18"/>
        </w:rPr>
        <w:t>ote on</w:t>
      </w:r>
      <w:r>
        <w:rPr>
          <w:szCs w:val="18"/>
        </w:rPr>
        <w:t xml:space="preserve"> </w:t>
      </w:r>
      <w:r w:rsidRPr="008E7391">
        <w:t>Mt. 13:43, p. 1017.</w:t>
      </w:r>
    </w:p>
  </w:endnote>
  <w:endnote w:id="2119">
    <w:p w:rsidR="00975183" w:rsidRPr="008E7391" w:rsidRDefault="00975183" w:rsidP="006A2E06">
      <w:pPr>
        <w:pStyle w:val="EndnoteText"/>
      </w:pPr>
      <w:r w:rsidRPr="008E7391">
        <w:rPr>
          <w:rStyle w:val="EndnoteReference"/>
        </w:rPr>
        <w:endnoteRef/>
      </w:r>
      <w:r w:rsidRPr="008E7391">
        <w:t xml:space="preserve"> </w:t>
      </w:r>
      <w:r w:rsidRPr="008E7391">
        <w:rPr>
          <w:i/>
        </w:rPr>
        <w:t>SRB</w:t>
      </w:r>
      <w:r w:rsidRPr="008E7391">
        <w:t xml:space="preserve"> note on Ezek. 9:3, p. 848.</w:t>
      </w:r>
    </w:p>
  </w:endnote>
  <w:endnote w:id="212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1:5, p. 840.</w:t>
      </w:r>
    </w:p>
  </w:endnote>
  <w:endnote w:id="212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9:3, p. 848.  </w:t>
      </w:r>
    </w:p>
  </w:endnote>
  <w:endnote w:id="212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9:3, p. 848.</w:t>
      </w:r>
    </w:p>
  </w:endnote>
  <w:endnote w:id="212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43:19, p. 890.  </w:t>
      </w:r>
    </w:p>
  </w:endnote>
  <w:endnote w:id="212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Lk. 22:19-20, 1 Cor. 11:24-5.</w:t>
      </w:r>
    </w:p>
  </w:endnote>
  <w:endnote w:id="2125">
    <w:p w:rsidR="00975183" w:rsidRPr="00F40C6A" w:rsidRDefault="00975183" w:rsidP="006A2E06">
      <w:pPr>
        <w:pStyle w:val="FootnoteText"/>
        <w:rPr>
          <w:rFonts w:ascii="Perpetua" w:hAnsi="Perpetua"/>
        </w:rPr>
      </w:pPr>
      <w:r w:rsidRPr="00F40C6A">
        <w:rPr>
          <w:rStyle w:val="FootnoteReference"/>
          <w:rFonts w:ascii="Perpetua" w:hAnsi="Perpetua"/>
        </w:rPr>
        <w:endnoteRef/>
      </w:r>
      <w:r w:rsidRPr="00F40C6A">
        <w:rPr>
          <w:rFonts w:ascii="Perpetua" w:hAnsi="Perpetua"/>
        </w:rPr>
        <w:t xml:space="preserve"> ‘For </w:t>
      </w:r>
      <w:r w:rsidRPr="00F40C6A">
        <w:rPr>
          <w:rFonts w:ascii="Perpetua" w:hAnsi="Perpetua"/>
          <w:i/>
          <w:iCs/>
        </w:rPr>
        <w:t>it is</w:t>
      </w:r>
      <w:r w:rsidRPr="00F40C6A">
        <w:rPr>
          <w:rFonts w:ascii="Perpetua" w:hAnsi="Perpetua"/>
        </w:rPr>
        <w:t xml:space="preserve"> not possible that the blood of bulls and of goats should take away sins.’ Heb. 10:4, </w:t>
      </w:r>
      <w:r w:rsidRPr="00F40C6A">
        <w:rPr>
          <w:rFonts w:ascii="Perpetua" w:hAnsi="Perpetua"/>
          <w:i/>
        </w:rPr>
        <w:t>KJV</w:t>
      </w:r>
      <w:r w:rsidRPr="00F40C6A">
        <w:rPr>
          <w:rFonts w:ascii="Perpetua" w:hAnsi="Perpetua"/>
        </w:rPr>
        <w:t xml:space="preserve">. </w:t>
      </w:r>
    </w:p>
    <w:p w:rsidR="00975183" w:rsidRDefault="00975183" w:rsidP="006A2E06">
      <w:pPr>
        <w:pStyle w:val="EndnoteText"/>
      </w:pPr>
      <w:r w:rsidRPr="00F40C6A">
        <w:t xml:space="preserve">‘Then said he, Lo, I come to do thy will, O God. He taketh away the </w:t>
      </w:r>
      <w:proofErr w:type="gramStart"/>
      <w:r w:rsidRPr="00F40C6A">
        <w:t>first, that</w:t>
      </w:r>
      <w:proofErr w:type="gramEnd"/>
      <w:r w:rsidRPr="00F40C6A">
        <w:t xml:space="preserve"> he may establish the second. </w:t>
      </w:r>
      <w:r w:rsidRPr="00F40C6A">
        <w:rPr>
          <w:vertAlign w:val="superscript"/>
        </w:rPr>
        <w:t>10</w:t>
      </w:r>
      <w:r w:rsidRPr="00F40C6A">
        <w:t xml:space="preserve">By </w:t>
      </w:r>
      <w:proofErr w:type="gramStart"/>
      <w:r w:rsidRPr="00F40C6A">
        <w:t>the which</w:t>
      </w:r>
      <w:proofErr w:type="gramEnd"/>
      <w:r w:rsidRPr="00F40C6A">
        <w:t xml:space="preserve"> will we are sanctified through the offering of the body of Jesus Christ once </w:t>
      </w:r>
      <w:r w:rsidRPr="00F40C6A">
        <w:rPr>
          <w:i/>
          <w:iCs/>
        </w:rPr>
        <w:t>for all.</w:t>
      </w:r>
      <w:r w:rsidRPr="00F40C6A">
        <w:t xml:space="preserve">’ Heb. 10:10, </w:t>
      </w:r>
      <w:r w:rsidRPr="00F40C6A">
        <w:rPr>
          <w:i/>
        </w:rPr>
        <w:t>KJV</w:t>
      </w:r>
      <w:r w:rsidRPr="00F40C6A">
        <w:t>.</w:t>
      </w:r>
    </w:p>
  </w:endnote>
  <w:endnote w:id="2126">
    <w:p w:rsidR="00975183" w:rsidRDefault="00975183" w:rsidP="006A2E06">
      <w:pPr>
        <w:pStyle w:val="EndnoteText"/>
      </w:pPr>
      <w:r w:rsidRPr="00F40C6A">
        <w:rPr>
          <w:rStyle w:val="EndnoteReference"/>
        </w:rPr>
        <w:endnoteRef/>
      </w:r>
      <w:r w:rsidRPr="00F40C6A">
        <w:t xml:space="preserve"> ‘… </w:t>
      </w:r>
      <w:proofErr w:type="gramStart"/>
      <w:r w:rsidRPr="00F40C6A">
        <w:t>dispensationalism</w:t>
      </w:r>
      <w:proofErr w:type="gramEnd"/>
      <w:r w:rsidRPr="00F40C6A">
        <w:t xml:space="preserve"> claims to employ principles of literal, plain, or normal, interpretation consistently.’  Ryrie, </w:t>
      </w:r>
      <w:r w:rsidRPr="00F40C6A">
        <w:rPr>
          <w:i/>
        </w:rPr>
        <w:t>Dispensationalism Today</w:t>
      </w:r>
      <w:r w:rsidRPr="00F40C6A">
        <w:t xml:space="preserve"> (Chicago: Moody </w:t>
      </w:r>
      <w:r w:rsidRPr="007E0C9B">
        <w:t>Press, 1965), p. 20.</w:t>
      </w:r>
    </w:p>
  </w:endnote>
  <w:endnote w:id="2127">
    <w:p w:rsidR="00975183" w:rsidRPr="006329CD" w:rsidRDefault="00975183" w:rsidP="006A2E06">
      <w:pPr>
        <w:pStyle w:val="EndnoteText"/>
        <w:rPr>
          <w:sz w:val="22"/>
        </w:rPr>
      </w:pPr>
      <w:r w:rsidRPr="006329CD">
        <w:rPr>
          <w:rStyle w:val="EndnoteReference"/>
          <w:szCs w:val="18"/>
        </w:rPr>
        <w:endnoteRef/>
      </w:r>
      <w:r w:rsidRPr="006329CD">
        <w:rPr>
          <w:sz w:val="22"/>
        </w:rPr>
        <w:t xml:space="preserve"> </w:t>
      </w:r>
      <w:r w:rsidRPr="006329CD">
        <w:rPr>
          <w:szCs w:val="18"/>
        </w:rPr>
        <w:t xml:space="preserve">Lutzweiler, </w:t>
      </w:r>
      <w:r w:rsidRPr="006329CD">
        <w:rPr>
          <w:i/>
          <w:szCs w:val="18"/>
        </w:rPr>
        <w:t>Praise of Folly</w:t>
      </w:r>
      <w:r w:rsidRPr="006329CD">
        <w:rPr>
          <w:szCs w:val="18"/>
        </w:rPr>
        <w:t>, pp. 44-5.</w:t>
      </w:r>
    </w:p>
  </w:endnote>
  <w:endnote w:id="2128">
    <w:p w:rsidR="00975183" w:rsidRDefault="00975183" w:rsidP="006A2E06">
      <w:pPr>
        <w:pStyle w:val="EndnoteText"/>
        <w:rPr>
          <w:lang w:eastAsia="en-GB"/>
        </w:rPr>
      </w:pPr>
      <w:r w:rsidRPr="000134FF">
        <w:rPr>
          <w:rStyle w:val="EndnoteReference"/>
        </w:rPr>
        <w:endnoteRef/>
      </w:r>
      <w:r w:rsidRPr="000134FF">
        <w:t xml:space="preserve"> </w:t>
      </w:r>
      <w:r>
        <w:t xml:space="preserve">Millennial kingdom: Notes on Dan. 2:44, </w:t>
      </w:r>
      <w:r w:rsidRPr="00A72278">
        <w:rPr>
          <w:i/>
        </w:rPr>
        <w:t>NSRE 1967</w:t>
      </w:r>
      <w:r w:rsidRPr="00A72278">
        <w:rPr>
          <w:lang w:eastAsia="en-GB"/>
        </w:rPr>
        <w:t>, p</w:t>
      </w:r>
      <w:r w:rsidRPr="00A72278">
        <w:t xml:space="preserve">. </w:t>
      </w:r>
      <w:r>
        <w:t>900</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p. 1</w:t>
      </w:r>
      <w:r>
        <w:rPr>
          <w:lang w:eastAsia="en-GB"/>
        </w:rPr>
        <w:t xml:space="preserve">116; Mt. 3:2, </w:t>
      </w:r>
      <w:r w:rsidRPr="00A72278">
        <w:rPr>
          <w:i/>
        </w:rPr>
        <w:t>NSRE 1967</w:t>
      </w:r>
      <w:r w:rsidRPr="00A72278">
        <w:rPr>
          <w:lang w:eastAsia="en-GB"/>
        </w:rPr>
        <w:t>, p</w:t>
      </w:r>
      <w:r w:rsidRPr="00A72278">
        <w:t xml:space="preserve">. </w:t>
      </w:r>
      <w:r>
        <w:t>994</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1237; Mt. 6:33, </w:t>
      </w:r>
      <w:r w:rsidRPr="00A72278">
        <w:rPr>
          <w:i/>
        </w:rPr>
        <w:t>NSRE 1967</w:t>
      </w:r>
      <w:r w:rsidRPr="00A72278">
        <w:rPr>
          <w:lang w:eastAsia="en-GB"/>
        </w:rPr>
        <w:t>, p</w:t>
      </w:r>
      <w:r w:rsidRPr="00A72278">
        <w:t xml:space="preserve">. </w:t>
      </w:r>
      <w:r>
        <w:t>1002</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p. 1</w:t>
      </w:r>
      <w:r>
        <w:rPr>
          <w:lang w:eastAsia="en-GB"/>
        </w:rPr>
        <w:t xml:space="preserve">245; Mt. 13:30, </w:t>
      </w:r>
      <w:r w:rsidRPr="00A72278">
        <w:rPr>
          <w:i/>
        </w:rPr>
        <w:t>NSRE 1967</w:t>
      </w:r>
      <w:r w:rsidRPr="00A72278">
        <w:rPr>
          <w:lang w:eastAsia="en-GB"/>
        </w:rPr>
        <w:t>, p</w:t>
      </w:r>
      <w:r w:rsidRPr="00A72278">
        <w:t xml:space="preserve">. </w:t>
      </w:r>
      <w:r>
        <w:t>1015</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1260; Acts 2:1, </w:t>
      </w:r>
      <w:r w:rsidRPr="00A72278">
        <w:rPr>
          <w:i/>
        </w:rPr>
        <w:t>NSRE 1967</w:t>
      </w:r>
      <w:r w:rsidRPr="00A72278">
        <w:rPr>
          <w:lang w:eastAsia="en-GB"/>
        </w:rPr>
        <w:t>, p</w:t>
      </w:r>
      <w:r w:rsidRPr="00A72278">
        <w:t xml:space="preserve">. </w:t>
      </w:r>
      <w:r>
        <w:t>1162</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1429; 2 Thess. 2:3, </w:t>
      </w:r>
      <w:r w:rsidRPr="00A72278">
        <w:rPr>
          <w:i/>
        </w:rPr>
        <w:t>NSRE 1967</w:t>
      </w:r>
      <w:r w:rsidRPr="00A72278">
        <w:rPr>
          <w:lang w:eastAsia="en-GB"/>
        </w:rPr>
        <w:t>, p</w:t>
      </w:r>
      <w:r w:rsidRPr="00A72278">
        <w:t xml:space="preserve">. </w:t>
      </w:r>
      <w:r>
        <w:t>1295</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1582; Rev. 19:19, </w:t>
      </w:r>
      <w:r w:rsidRPr="00A72278">
        <w:rPr>
          <w:i/>
        </w:rPr>
        <w:t>NSRE 1967</w:t>
      </w:r>
      <w:r w:rsidRPr="00A72278">
        <w:rPr>
          <w:lang w:eastAsia="en-GB"/>
        </w:rPr>
        <w:t>, p</w:t>
      </w:r>
      <w:r w:rsidRPr="00A72278">
        <w:t xml:space="preserve">. </w:t>
      </w:r>
      <w:r>
        <w:t>1372</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1679.  Introduction to Revelation, </w:t>
      </w:r>
      <w:r w:rsidRPr="00A72278">
        <w:rPr>
          <w:i/>
        </w:rPr>
        <w:t>NSRE 1967</w:t>
      </w:r>
      <w:r w:rsidRPr="00A72278">
        <w:rPr>
          <w:lang w:eastAsia="en-GB"/>
        </w:rPr>
        <w:t>, p</w:t>
      </w:r>
      <w:r w:rsidRPr="00A72278">
        <w:t xml:space="preserve">. </w:t>
      </w:r>
      <w:r>
        <w:t>1351</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1654.</w:t>
      </w:r>
    </w:p>
    <w:p w:rsidR="00975183" w:rsidRDefault="00975183" w:rsidP="006A2E06">
      <w:pPr>
        <w:pStyle w:val="EndnoteText"/>
        <w:rPr>
          <w:lang w:eastAsia="en-GB"/>
        </w:rPr>
      </w:pPr>
      <w:r>
        <w:t xml:space="preserve">Millennial reign: Introduction to Isaiah, </w:t>
      </w:r>
      <w:r w:rsidRPr="00A72278">
        <w:rPr>
          <w:i/>
        </w:rPr>
        <w:t>NSRE 1967</w:t>
      </w:r>
      <w:r w:rsidRPr="00A72278">
        <w:rPr>
          <w:lang w:eastAsia="en-GB"/>
        </w:rPr>
        <w:t>, p</w:t>
      </w:r>
      <w:r w:rsidRPr="00A72278">
        <w:t xml:space="preserve">. </w:t>
      </w:r>
      <w:r>
        <w:t>713</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885; note on Rev. 19:19,  </w:t>
      </w:r>
      <w:r w:rsidRPr="00A72278">
        <w:rPr>
          <w:i/>
        </w:rPr>
        <w:t>NSRE 1967</w:t>
      </w:r>
      <w:r w:rsidRPr="00A72278">
        <w:rPr>
          <w:lang w:eastAsia="en-GB"/>
        </w:rPr>
        <w:t>, p</w:t>
      </w:r>
      <w:r w:rsidRPr="00A72278">
        <w:t xml:space="preserve">. </w:t>
      </w:r>
      <w:r>
        <w:t>1372</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1679.</w:t>
      </w:r>
    </w:p>
    <w:p w:rsidR="00975183" w:rsidRDefault="00975183" w:rsidP="006A2E06">
      <w:pPr>
        <w:pStyle w:val="EndnoteText"/>
        <w:rPr>
          <w:lang w:eastAsia="en-GB"/>
        </w:rPr>
      </w:pPr>
      <w:r>
        <w:t xml:space="preserve">Millennial blessing: Note on Acts 3:20, </w:t>
      </w:r>
      <w:r w:rsidRPr="00A72278">
        <w:rPr>
          <w:i/>
        </w:rPr>
        <w:t>NSRE 1967</w:t>
      </w:r>
      <w:r w:rsidRPr="00A72278">
        <w:rPr>
          <w:lang w:eastAsia="en-GB"/>
        </w:rPr>
        <w:t>, p</w:t>
      </w:r>
      <w:r w:rsidRPr="00A72278">
        <w:t xml:space="preserve">. </w:t>
      </w:r>
      <w:r>
        <w:t>1166</w:t>
      </w:r>
      <w:r w:rsidRPr="00A72278">
        <w:t>;</w:t>
      </w:r>
      <w:r>
        <w:t xml:space="preserve"> note on Acts 3:19,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1434.</w:t>
      </w:r>
    </w:p>
    <w:p w:rsidR="00975183" w:rsidRDefault="00975183" w:rsidP="006A2E06">
      <w:pPr>
        <w:pStyle w:val="EndnoteText"/>
        <w:rPr>
          <w:lang w:eastAsia="en-GB"/>
        </w:rPr>
      </w:pPr>
      <w:r>
        <w:t xml:space="preserve">Millennial conditions: Subhead to Isa. 65:18, </w:t>
      </w:r>
      <w:r w:rsidRPr="00A72278">
        <w:rPr>
          <w:i/>
        </w:rPr>
        <w:t>NSRE 1967</w:t>
      </w:r>
      <w:r w:rsidRPr="00A72278">
        <w:rPr>
          <w:lang w:eastAsia="en-GB"/>
        </w:rPr>
        <w:t>, p</w:t>
      </w:r>
      <w:r w:rsidRPr="00A72278">
        <w:t xml:space="preserve">. </w:t>
      </w:r>
      <w:r>
        <w:t>768</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955.</w:t>
      </w:r>
    </w:p>
    <w:p w:rsidR="00975183" w:rsidRDefault="00975183" w:rsidP="006A2E06">
      <w:pPr>
        <w:pStyle w:val="EndnoteText"/>
        <w:rPr>
          <w:lang w:eastAsia="en-GB"/>
        </w:rPr>
      </w:pPr>
      <w:r>
        <w:t xml:space="preserve">Millennial age: Introduction to Ezekiel, </w:t>
      </w:r>
      <w:r w:rsidRPr="00A72278">
        <w:rPr>
          <w:i/>
        </w:rPr>
        <w:t>NSRE 1967</w:t>
      </w:r>
      <w:r w:rsidRPr="00A72278">
        <w:rPr>
          <w:lang w:eastAsia="en-GB"/>
        </w:rPr>
        <w:t>, p</w:t>
      </w:r>
      <w:r w:rsidRPr="00A72278">
        <w:t xml:space="preserve">. </w:t>
      </w:r>
      <w:r>
        <w:t>838</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1041; notes on Ezek. 47:13, </w:t>
      </w:r>
      <w:r w:rsidRPr="00A72278">
        <w:rPr>
          <w:i/>
        </w:rPr>
        <w:t>NSRE 1967</w:t>
      </w:r>
      <w:r w:rsidRPr="00A72278">
        <w:rPr>
          <w:lang w:eastAsia="en-GB"/>
        </w:rPr>
        <w:t>, p</w:t>
      </w:r>
      <w:r w:rsidRPr="00A72278">
        <w:t xml:space="preserve">. </w:t>
      </w:r>
      <w:r>
        <w:t>893;</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1107; Zech. 8:23, </w:t>
      </w:r>
      <w:r w:rsidRPr="00A72278">
        <w:rPr>
          <w:i/>
        </w:rPr>
        <w:t>NSRE 1967</w:t>
      </w:r>
      <w:r w:rsidRPr="00A72278">
        <w:rPr>
          <w:lang w:eastAsia="en-GB"/>
        </w:rPr>
        <w:t>, p</w:t>
      </w:r>
      <w:r w:rsidRPr="00A72278">
        <w:t xml:space="preserve">. </w:t>
      </w:r>
      <w:r>
        <w:t>971</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1210; Mal. 1:11, </w:t>
      </w:r>
      <w:r w:rsidRPr="00A72278">
        <w:rPr>
          <w:i/>
        </w:rPr>
        <w:t>NSRE 1967</w:t>
      </w:r>
      <w:r w:rsidRPr="00A72278">
        <w:rPr>
          <w:lang w:eastAsia="en-GB"/>
        </w:rPr>
        <w:t>, p</w:t>
      </w:r>
      <w:r w:rsidRPr="00A72278">
        <w:t xml:space="preserve">. </w:t>
      </w:r>
      <w:r>
        <w:t>979</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1221.</w:t>
      </w:r>
    </w:p>
    <w:p w:rsidR="00975183" w:rsidRDefault="00975183" w:rsidP="006A2E06">
      <w:pPr>
        <w:pStyle w:val="EndnoteText"/>
        <w:rPr>
          <w:lang w:eastAsia="en-GB"/>
        </w:rPr>
      </w:pPr>
      <w:r>
        <w:rPr>
          <w:lang w:eastAsia="en-GB"/>
        </w:rPr>
        <w:t xml:space="preserve">Millennial saints: </w:t>
      </w:r>
      <w:r>
        <w:rPr>
          <w:sz w:val="22"/>
        </w:rPr>
        <w:t xml:space="preserve">Note on 1 Cor. 1:8, </w:t>
      </w:r>
      <w:r w:rsidRPr="00A72278">
        <w:rPr>
          <w:i/>
        </w:rPr>
        <w:t>NSRE 1967</w:t>
      </w:r>
      <w:r w:rsidRPr="00A72278">
        <w:rPr>
          <w:lang w:eastAsia="en-GB"/>
        </w:rPr>
        <w:t>, p</w:t>
      </w:r>
      <w:r w:rsidRPr="00A72278">
        <w:t xml:space="preserve">. </w:t>
      </w:r>
      <w:r>
        <w:t>1233</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1511.</w:t>
      </w:r>
    </w:p>
    <w:p w:rsidR="00975183" w:rsidRDefault="00975183" w:rsidP="006A2E06">
      <w:pPr>
        <w:pStyle w:val="EndnoteText"/>
        <w:rPr>
          <w:lang w:eastAsia="en-GB"/>
        </w:rPr>
      </w:pPr>
      <w:r>
        <w:rPr>
          <w:lang w:eastAsia="en-GB"/>
        </w:rPr>
        <w:t xml:space="preserve">Millennial period: </w:t>
      </w:r>
      <w:r w:rsidRPr="00CA39CC">
        <w:t>Introduction to Ezek</w:t>
      </w:r>
      <w:r>
        <w:t>iel</w:t>
      </w:r>
      <w:r w:rsidRPr="00CA39CC">
        <w:t xml:space="preserve">, </w:t>
      </w:r>
      <w:r w:rsidRPr="00A72278">
        <w:rPr>
          <w:i/>
        </w:rPr>
        <w:t>NSRE 1967</w:t>
      </w:r>
      <w:r w:rsidRPr="00A72278">
        <w:rPr>
          <w:lang w:eastAsia="en-GB"/>
        </w:rPr>
        <w:t>, p</w:t>
      </w:r>
      <w:r w:rsidRPr="00A72278">
        <w:t xml:space="preserve">. </w:t>
      </w:r>
      <w:r>
        <w:t>838</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1041.</w:t>
      </w:r>
    </w:p>
    <w:p w:rsidR="00975183" w:rsidRDefault="00975183" w:rsidP="006A2E06">
      <w:pPr>
        <w:pStyle w:val="EndnoteText"/>
        <w:rPr>
          <w:lang w:eastAsia="en-GB"/>
        </w:rPr>
      </w:pPr>
      <w:r>
        <w:rPr>
          <w:lang w:eastAsia="en-GB"/>
        </w:rPr>
        <w:t xml:space="preserve">Millennial Temple: </w:t>
      </w:r>
      <w:r>
        <w:t xml:space="preserve">Introduction to Ezekiel, </w:t>
      </w:r>
      <w:r w:rsidRPr="00A72278">
        <w:rPr>
          <w:i/>
        </w:rPr>
        <w:t>NSRE 1967</w:t>
      </w:r>
      <w:r w:rsidRPr="00A72278">
        <w:rPr>
          <w:lang w:eastAsia="en-GB"/>
        </w:rPr>
        <w:t>, p</w:t>
      </w:r>
      <w:r w:rsidRPr="00A72278">
        <w:t xml:space="preserve">. </w:t>
      </w:r>
      <w:r>
        <w:t>838</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1041; notes on Ezek. 9:3, </w:t>
      </w:r>
      <w:r w:rsidRPr="00A72278">
        <w:rPr>
          <w:i/>
        </w:rPr>
        <w:t>NSRE 1967</w:t>
      </w:r>
      <w:r w:rsidRPr="00A72278">
        <w:rPr>
          <w:lang w:eastAsia="en-GB"/>
        </w:rPr>
        <w:t>, p</w:t>
      </w:r>
      <w:r w:rsidRPr="00A72278">
        <w:t xml:space="preserve">. </w:t>
      </w:r>
      <w:r>
        <w:t>846</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1051 (shared by </w:t>
      </w:r>
      <w:r w:rsidRPr="00EC0A05">
        <w:rPr>
          <w:i/>
          <w:lang w:eastAsia="en-GB"/>
        </w:rPr>
        <w:t>SRB</w:t>
      </w:r>
      <w:r>
        <w:rPr>
          <w:lang w:eastAsia="en-GB"/>
        </w:rPr>
        <w:t xml:space="preserve">); Ezek. 40:5, </w:t>
      </w:r>
      <w:r w:rsidRPr="00A72278">
        <w:rPr>
          <w:i/>
        </w:rPr>
        <w:t>NSRE 1967</w:t>
      </w:r>
      <w:r w:rsidRPr="00A72278">
        <w:rPr>
          <w:lang w:eastAsia="en-GB"/>
        </w:rPr>
        <w:t>, p</w:t>
      </w:r>
      <w:r w:rsidRPr="00A72278">
        <w:t xml:space="preserve">. </w:t>
      </w:r>
      <w:r>
        <w:t>884</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1096; Ezek. 43:19, </w:t>
      </w:r>
      <w:r w:rsidRPr="00A72278">
        <w:rPr>
          <w:i/>
        </w:rPr>
        <w:t>NSRE 1967</w:t>
      </w:r>
      <w:r w:rsidRPr="00A72278">
        <w:rPr>
          <w:lang w:eastAsia="en-GB"/>
        </w:rPr>
        <w:t>, p</w:t>
      </w:r>
      <w:r w:rsidRPr="00A72278">
        <w:t xml:space="preserve">. </w:t>
      </w:r>
      <w:r>
        <w:t>888</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1101; heading above Ezekiel 40, </w:t>
      </w:r>
      <w:r w:rsidRPr="00A72278">
        <w:rPr>
          <w:i/>
        </w:rPr>
        <w:t>NSRE 1967</w:t>
      </w:r>
      <w:r w:rsidRPr="00A72278">
        <w:rPr>
          <w:lang w:eastAsia="en-GB"/>
        </w:rPr>
        <w:t xml:space="preserve">, </w:t>
      </w:r>
    </w:p>
    <w:p w:rsidR="00975183" w:rsidRPr="000134FF" w:rsidRDefault="00975183" w:rsidP="006A2E06">
      <w:pPr>
        <w:pStyle w:val="EndnoteText"/>
      </w:pPr>
      <w:r w:rsidRPr="00A72278">
        <w:rPr>
          <w:lang w:eastAsia="en-GB"/>
        </w:rPr>
        <w:t>p</w:t>
      </w:r>
      <w:r w:rsidRPr="00A72278">
        <w:t xml:space="preserve">. </w:t>
      </w:r>
      <w:r>
        <w:t>883</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 xml:space="preserve">1095; subhead to Ezek. 40:5, </w:t>
      </w:r>
      <w:r w:rsidRPr="00A72278">
        <w:rPr>
          <w:i/>
        </w:rPr>
        <w:t>NSRE 1967</w:t>
      </w:r>
      <w:r w:rsidRPr="00A72278">
        <w:rPr>
          <w:lang w:eastAsia="en-GB"/>
        </w:rPr>
        <w:t>, p</w:t>
      </w:r>
      <w:r w:rsidRPr="00A72278">
        <w:t xml:space="preserve">. </w:t>
      </w:r>
      <w:r>
        <w:t>883</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1095.</w:t>
      </w:r>
    </w:p>
  </w:endnote>
  <w:endnote w:id="2129">
    <w:p w:rsidR="00975183" w:rsidRPr="00B76236" w:rsidRDefault="00975183" w:rsidP="006A2E06">
      <w:pPr>
        <w:pStyle w:val="EndnoteText"/>
        <w:rPr>
          <w:lang w:eastAsia="en-GB"/>
        </w:rPr>
      </w:pPr>
      <w:r w:rsidRPr="00EC0A05">
        <w:rPr>
          <w:rStyle w:val="EndnoteReference"/>
        </w:rPr>
        <w:endnoteRef/>
      </w:r>
      <w:r w:rsidRPr="00EC0A05">
        <w:t xml:space="preserve"> </w:t>
      </w:r>
      <w:r w:rsidRPr="00B76236">
        <w:t xml:space="preserve">Introductions to the Historical Books, </w:t>
      </w:r>
      <w:r w:rsidRPr="00B76236">
        <w:rPr>
          <w:i/>
        </w:rPr>
        <w:t>NSRE 1967</w:t>
      </w:r>
      <w:r w:rsidRPr="00B76236">
        <w:rPr>
          <w:lang w:eastAsia="en-GB"/>
        </w:rPr>
        <w:t>, p</w:t>
      </w:r>
      <w:r w:rsidRPr="00B76236">
        <w:t xml:space="preserve">. 258;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309 and to Zechariah, </w:t>
      </w:r>
      <w:r w:rsidRPr="00B76236">
        <w:rPr>
          <w:i/>
        </w:rPr>
        <w:t>NSRE 1967</w:t>
      </w:r>
      <w:r w:rsidRPr="00B76236">
        <w:rPr>
          <w:lang w:eastAsia="en-GB"/>
        </w:rPr>
        <w:t>, p</w:t>
      </w:r>
      <w:r w:rsidRPr="00B76236">
        <w:t xml:space="preserve">. 964;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1202; notes on Ezek. 40:5, </w:t>
      </w:r>
      <w:r w:rsidRPr="00B76236">
        <w:rPr>
          <w:i/>
        </w:rPr>
        <w:t>NSRE 1967</w:t>
      </w:r>
      <w:r w:rsidRPr="00B76236">
        <w:rPr>
          <w:lang w:eastAsia="en-GB"/>
        </w:rPr>
        <w:t>, p</w:t>
      </w:r>
      <w:r w:rsidRPr="00B76236">
        <w:t xml:space="preserve">. 884;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1096; </w:t>
      </w:r>
    </w:p>
    <w:p w:rsidR="00975183" w:rsidRDefault="00975183" w:rsidP="006A2E06">
      <w:pPr>
        <w:pStyle w:val="EndnoteText"/>
      </w:pPr>
      <w:r w:rsidRPr="00B76236">
        <w:rPr>
          <w:lang w:eastAsia="en-GB"/>
        </w:rPr>
        <w:t xml:space="preserve">Mt. 10:34, </w:t>
      </w:r>
      <w:r w:rsidRPr="00B76236">
        <w:rPr>
          <w:i/>
        </w:rPr>
        <w:t>NSRE 1967</w:t>
      </w:r>
      <w:r w:rsidRPr="00B76236">
        <w:rPr>
          <w:lang w:eastAsia="en-GB"/>
        </w:rPr>
        <w:t>, p</w:t>
      </w:r>
      <w:r w:rsidRPr="00B76236">
        <w:t xml:space="preserve">. 1008;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1253; Mt. 13:43, (shared by </w:t>
      </w:r>
      <w:r w:rsidRPr="00B76236">
        <w:rPr>
          <w:i/>
          <w:lang w:eastAsia="en-GB"/>
        </w:rPr>
        <w:t>SRB</w:t>
      </w:r>
      <w:r w:rsidRPr="00B76236">
        <w:rPr>
          <w:lang w:eastAsia="en-GB"/>
        </w:rPr>
        <w:t xml:space="preserve">, p. 1017), </w:t>
      </w:r>
      <w:r w:rsidRPr="00B76236">
        <w:rPr>
          <w:i/>
        </w:rPr>
        <w:t>NSRE 1967</w:t>
      </w:r>
      <w:r w:rsidRPr="00B76236">
        <w:rPr>
          <w:lang w:eastAsia="en-GB"/>
        </w:rPr>
        <w:t>, p</w:t>
      </w:r>
      <w:r w:rsidRPr="00B76236">
        <w:t xml:space="preserve">. 1016;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1261; Mt. 21:43, </w:t>
      </w:r>
      <w:r w:rsidRPr="00B76236">
        <w:rPr>
          <w:i/>
        </w:rPr>
        <w:t>NSRE 1967</w:t>
      </w:r>
      <w:r w:rsidRPr="00B76236">
        <w:rPr>
          <w:lang w:eastAsia="en-GB"/>
        </w:rPr>
        <w:t>, p</w:t>
      </w:r>
      <w:r w:rsidRPr="00B76236">
        <w:t xml:space="preserve">. 1029;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1275; Mt. 25:32, </w:t>
      </w:r>
      <w:r w:rsidRPr="00B76236">
        <w:rPr>
          <w:i/>
        </w:rPr>
        <w:t>NSRE 1967</w:t>
      </w:r>
      <w:r w:rsidRPr="00B76236">
        <w:rPr>
          <w:lang w:eastAsia="en-GB"/>
        </w:rPr>
        <w:t>, p</w:t>
      </w:r>
      <w:r w:rsidRPr="00B76236">
        <w:t xml:space="preserve">. 1036;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1284; 2 Pet. 3:10, </w:t>
      </w:r>
      <w:r w:rsidRPr="00B76236">
        <w:rPr>
          <w:i/>
        </w:rPr>
        <w:t>NSRE 1967</w:t>
      </w:r>
      <w:r w:rsidRPr="00B76236">
        <w:rPr>
          <w:lang w:eastAsia="en-GB"/>
        </w:rPr>
        <w:t>, p</w:t>
      </w:r>
      <w:r w:rsidRPr="00B76236">
        <w:t xml:space="preserve">. 1341;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1639; Rev. 19:7, </w:t>
      </w:r>
      <w:r w:rsidRPr="00B76236">
        <w:rPr>
          <w:i/>
        </w:rPr>
        <w:t>NSRE 1967</w:t>
      </w:r>
      <w:r w:rsidRPr="00B76236">
        <w:rPr>
          <w:lang w:eastAsia="en-GB"/>
        </w:rPr>
        <w:t>, p</w:t>
      </w:r>
      <w:r w:rsidRPr="00B76236">
        <w:t xml:space="preserve">. 1371; </w:t>
      </w:r>
      <w:r w:rsidRPr="00B76236">
        <w:rPr>
          <w:i/>
          <w:iCs/>
          <w:lang w:eastAsia="en-GB"/>
        </w:rPr>
        <w:t>SSB III, KJV</w:t>
      </w:r>
      <w:r w:rsidRPr="00B76236">
        <w:rPr>
          <w:lang w:eastAsia="en-GB"/>
        </w:rPr>
        <w:t xml:space="preserve">, </w:t>
      </w:r>
      <w:r w:rsidRPr="00B76236">
        <w:rPr>
          <w:i/>
          <w:lang w:eastAsia="en-GB"/>
        </w:rPr>
        <w:t>2003</w:t>
      </w:r>
      <w:r w:rsidRPr="00B76236">
        <w:rPr>
          <w:lang w:eastAsia="en-GB"/>
        </w:rPr>
        <w:t xml:space="preserve">, p. 1678; Rev. 20:2, </w:t>
      </w:r>
      <w:r w:rsidRPr="00B76236">
        <w:rPr>
          <w:i/>
        </w:rPr>
        <w:t>NSRE 1967</w:t>
      </w:r>
      <w:r w:rsidRPr="00B76236">
        <w:rPr>
          <w:lang w:eastAsia="en-GB"/>
        </w:rPr>
        <w:t>, p</w:t>
      </w:r>
      <w:r w:rsidRPr="00B76236">
        <w:t xml:space="preserve">. 1373; </w:t>
      </w:r>
      <w:r w:rsidRPr="00B76236">
        <w:rPr>
          <w:i/>
          <w:iCs/>
          <w:lang w:eastAsia="en-GB"/>
        </w:rPr>
        <w:t>SSB III, KJV</w:t>
      </w:r>
      <w:r w:rsidRPr="00B76236">
        <w:rPr>
          <w:lang w:eastAsia="en-GB"/>
        </w:rPr>
        <w:t xml:space="preserve">, </w:t>
      </w:r>
      <w:r w:rsidRPr="00B76236">
        <w:rPr>
          <w:i/>
          <w:lang w:eastAsia="en-GB"/>
        </w:rPr>
        <w:t>2003</w:t>
      </w:r>
      <w:r w:rsidRPr="00B76236">
        <w:rPr>
          <w:lang w:eastAsia="en-GB"/>
        </w:rPr>
        <w:t>, p. 1680;</w:t>
      </w:r>
      <w:r>
        <w:rPr>
          <w:lang w:eastAsia="en-GB"/>
        </w:rPr>
        <w:t xml:space="preserve"> subhead to Rev. 19:1, </w:t>
      </w:r>
      <w:r w:rsidRPr="00A72278">
        <w:rPr>
          <w:i/>
        </w:rPr>
        <w:t>NSRE 1967</w:t>
      </w:r>
      <w:r w:rsidRPr="00A72278">
        <w:rPr>
          <w:lang w:eastAsia="en-GB"/>
        </w:rPr>
        <w:t>, p</w:t>
      </w:r>
      <w:r w:rsidRPr="00A72278">
        <w:t xml:space="preserve">. </w:t>
      </w:r>
      <w:r>
        <w:t>1371</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1677.</w:t>
      </w:r>
      <w:r>
        <w:rPr>
          <w:sz w:val="22"/>
        </w:rPr>
        <w:t xml:space="preserve"> </w:t>
      </w:r>
    </w:p>
  </w:endnote>
  <w:endnote w:id="2130">
    <w:p w:rsidR="00975183" w:rsidRPr="00B76236" w:rsidRDefault="00975183" w:rsidP="006A2E06">
      <w:pPr>
        <w:pStyle w:val="EndnoteText"/>
      </w:pPr>
      <w:r w:rsidRPr="00B76236">
        <w:rPr>
          <w:rStyle w:val="EndnoteReference"/>
        </w:rPr>
        <w:endnoteRef/>
      </w:r>
      <w:r w:rsidRPr="00B76236">
        <w:t xml:space="preserve"> Note on </w:t>
      </w:r>
      <w:r w:rsidRPr="00B76236">
        <w:rPr>
          <w:lang w:eastAsia="en-GB"/>
        </w:rPr>
        <w:t xml:space="preserve">Mt. 13:43, </w:t>
      </w:r>
      <w:r w:rsidRPr="00B76236">
        <w:rPr>
          <w:i/>
        </w:rPr>
        <w:t xml:space="preserve">SRB </w:t>
      </w:r>
      <w:r w:rsidRPr="00B76236">
        <w:rPr>
          <w:lang w:eastAsia="en-GB"/>
        </w:rPr>
        <w:t xml:space="preserve">p. 1017; </w:t>
      </w:r>
      <w:r w:rsidRPr="00B76236">
        <w:rPr>
          <w:i/>
        </w:rPr>
        <w:t>NSRE 1967</w:t>
      </w:r>
      <w:r w:rsidRPr="00B76236">
        <w:rPr>
          <w:lang w:eastAsia="en-GB"/>
        </w:rPr>
        <w:t>, p</w:t>
      </w:r>
      <w:r w:rsidRPr="00B76236">
        <w:t xml:space="preserve">. 1016; </w:t>
      </w:r>
      <w:r w:rsidRPr="00B76236">
        <w:rPr>
          <w:i/>
          <w:iCs/>
          <w:lang w:eastAsia="en-GB"/>
        </w:rPr>
        <w:t>SSB III, KJV</w:t>
      </w:r>
      <w:r w:rsidRPr="00B76236">
        <w:rPr>
          <w:lang w:eastAsia="en-GB"/>
        </w:rPr>
        <w:t xml:space="preserve">, </w:t>
      </w:r>
      <w:r w:rsidRPr="00B76236">
        <w:rPr>
          <w:i/>
          <w:lang w:eastAsia="en-GB"/>
        </w:rPr>
        <w:t>2003</w:t>
      </w:r>
      <w:r w:rsidRPr="00B76236">
        <w:rPr>
          <w:lang w:eastAsia="en-GB"/>
        </w:rPr>
        <w:t>, p. 1261.</w:t>
      </w:r>
    </w:p>
  </w:endnote>
  <w:endnote w:id="2131">
    <w:p w:rsidR="00975183" w:rsidRPr="00202AE4" w:rsidRDefault="00975183" w:rsidP="006A2E06">
      <w:pPr>
        <w:pStyle w:val="EndnoteText"/>
      </w:pPr>
      <w:r w:rsidRPr="00202AE4">
        <w:rPr>
          <w:rStyle w:val="EndnoteReference"/>
        </w:rPr>
        <w:endnoteRef/>
      </w:r>
      <w:r w:rsidRPr="00202AE4">
        <w:t xml:space="preserve"> </w:t>
      </w:r>
      <w:r>
        <w:t xml:space="preserve">Note on Dan. 2:44, </w:t>
      </w:r>
      <w:r w:rsidRPr="00202AE4">
        <w:rPr>
          <w:i/>
        </w:rPr>
        <w:t>SRB</w:t>
      </w:r>
      <w:r>
        <w:t xml:space="preserve"> p. 902; </w:t>
      </w:r>
      <w:r w:rsidRPr="00A72278">
        <w:rPr>
          <w:i/>
        </w:rPr>
        <w:t>NSRE 1967</w:t>
      </w:r>
      <w:r w:rsidRPr="00A72278">
        <w:rPr>
          <w:lang w:eastAsia="en-GB"/>
        </w:rPr>
        <w:t>, p</w:t>
      </w:r>
      <w:r w:rsidRPr="00A72278">
        <w:t xml:space="preserve">. </w:t>
      </w:r>
      <w:r>
        <w:t>900</w:t>
      </w:r>
      <w:r w:rsidRPr="00A72278">
        <w:t xml:space="preserve">; </w:t>
      </w:r>
      <w:r w:rsidRPr="00A72278">
        <w:rPr>
          <w:i/>
          <w:iCs/>
          <w:lang w:eastAsia="en-GB"/>
        </w:rPr>
        <w:t>SSB III, KJV</w:t>
      </w:r>
      <w:r w:rsidRPr="00A72278">
        <w:rPr>
          <w:lang w:eastAsia="en-GB"/>
        </w:rPr>
        <w:t xml:space="preserve">, </w:t>
      </w:r>
      <w:r w:rsidRPr="00A72278">
        <w:rPr>
          <w:i/>
          <w:lang w:eastAsia="en-GB"/>
        </w:rPr>
        <w:t>2003</w:t>
      </w:r>
      <w:r w:rsidRPr="00A72278">
        <w:rPr>
          <w:lang w:eastAsia="en-GB"/>
        </w:rPr>
        <w:t xml:space="preserve">, p. </w:t>
      </w:r>
      <w:r>
        <w:rPr>
          <w:lang w:eastAsia="en-GB"/>
        </w:rPr>
        <w:t>1116.</w:t>
      </w:r>
    </w:p>
  </w:endnote>
  <w:endnote w:id="2132">
    <w:p w:rsidR="00975183" w:rsidRPr="0084188A" w:rsidRDefault="00975183" w:rsidP="006A2E06">
      <w:pPr>
        <w:pStyle w:val="EndnoteText"/>
      </w:pPr>
      <w:r w:rsidRPr="0084188A">
        <w:rPr>
          <w:rStyle w:val="EndnoteReference"/>
        </w:rPr>
        <w:endnoteRef/>
      </w:r>
      <w:r w:rsidRPr="0084188A">
        <w:t xml:space="preserve"> </w:t>
      </w:r>
      <w:r>
        <w:t>Blaising, ‘</w:t>
      </w:r>
      <w:r w:rsidRPr="0008415D">
        <w:t>Extent and Varieties’</w:t>
      </w:r>
      <w:r>
        <w:t>,</w:t>
      </w:r>
      <w:r w:rsidRPr="00A0570B">
        <w:t xml:space="preserve"> </w:t>
      </w:r>
      <w:r>
        <w:rPr>
          <w:i/>
        </w:rPr>
        <w:t>Progressive Dispensationalism</w:t>
      </w:r>
      <w:r w:rsidRPr="00A0570B">
        <w:t>, p</w:t>
      </w:r>
      <w:r>
        <w:t>p</w:t>
      </w:r>
      <w:r w:rsidRPr="00A0570B">
        <w:t xml:space="preserve">. </w:t>
      </w:r>
      <w:r>
        <w:t>30-31</w:t>
      </w:r>
      <w:r w:rsidRPr="00A0570B">
        <w:t>.</w:t>
      </w:r>
      <w:r>
        <w:t xml:space="preserve">  The first of the three forms was in Christ’s teaching but Israel rejected the kingdom and thus ‘the kingdom of heaven is now present in </w:t>
      </w:r>
      <w:r w:rsidRPr="00530353">
        <w:rPr>
          <w:i/>
        </w:rPr>
        <w:t>mystery form</w:t>
      </w:r>
      <w:r w:rsidRPr="00530353">
        <w:t>’</w:t>
      </w:r>
      <w:r>
        <w:rPr>
          <w:i/>
        </w:rPr>
        <w:t xml:space="preserve">; </w:t>
      </w:r>
      <w:r w:rsidRPr="00530353">
        <w:t>‘the kingdom of heaven will be fulfilled in the Millenium’.</w:t>
      </w:r>
    </w:p>
  </w:endnote>
  <w:endnote w:id="2133">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Introduction to the Prophetical Books, p. 711</w:t>
      </w:r>
      <w:r w:rsidRPr="006A4363">
        <w:rPr>
          <w:lang w:eastAsia="en-GB"/>
        </w:rPr>
        <w:t>.</w:t>
      </w:r>
      <w:r w:rsidRPr="006A4363">
        <w:t xml:space="preserve">  Refs Gen. 1:26-8; Zech. 12:8 note; Lk. 1:31-33; </w:t>
      </w:r>
    </w:p>
    <w:p w:rsidR="00975183" w:rsidRPr="006A4363" w:rsidRDefault="00975183" w:rsidP="006A2E06">
      <w:pPr>
        <w:pStyle w:val="EndnoteText"/>
      </w:pPr>
      <w:r w:rsidRPr="006A4363">
        <w:t>1 Cor. 15:28 note [</w:t>
      </w:r>
      <w:r w:rsidRPr="006A4363">
        <w:rPr>
          <w:i/>
        </w:rPr>
        <w:t>presumably 1 Cor. 15:24 – there is no note on 1 Cor. 15:28</w:t>
      </w:r>
      <w:r w:rsidRPr="006A4363">
        <w:t xml:space="preserve">].  </w:t>
      </w:r>
    </w:p>
  </w:endnote>
  <w:endnote w:id="2134">
    <w:p w:rsidR="00975183" w:rsidRDefault="00975183" w:rsidP="006A2E06">
      <w:pPr>
        <w:pStyle w:val="EndnoteText"/>
      </w:pPr>
      <w:r w:rsidRPr="006A4363">
        <w:rPr>
          <w:rStyle w:val="FootnoteReference"/>
          <w:szCs w:val="18"/>
        </w:rPr>
        <w:endnoteRef/>
      </w:r>
      <w:r w:rsidRPr="006A4363">
        <w:rPr>
          <w:szCs w:val="18"/>
        </w:rPr>
        <w:t xml:space="preserve"> </w:t>
      </w:r>
      <w:r w:rsidRPr="006A4363">
        <w:rPr>
          <w:i/>
          <w:szCs w:val="18"/>
        </w:rPr>
        <w:t xml:space="preserve">SRB </w:t>
      </w:r>
      <w:r w:rsidRPr="006A4363">
        <w:rPr>
          <w:szCs w:val="18"/>
        </w:rPr>
        <w:t>note</w:t>
      </w:r>
      <w:r>
        <w:rPr>
          <w:szCs w:val="18"/>
        </w:rPr>
        <w:t>s</w:t>
      </w:r>
      <w:r w:rsidRPr="006A4363">
        <w:rPr>
          <w:szCs w:val="18"/>
        </w:rPr>
        <w:t xml:space="preserve"> on Gen. 3:14, p. 9</w:t>
      </w:r>
      <w:r>
        <w:rPr>
          <w:szCs w:val="18"/>
        </w:rPr>
        <w:t>;</w:t>
      </w:r>
      <w:r w:rsidRPr="006A4363">
        <w:rPr>
          <w:szCs w:val="18"/>
        </w:rPr>
        <w:t xml:space="preserve"> Gen. 34:43, p. 62.</w:t>
      </w:r>
    </w:p>
  </w:endnote>
  <w:endnote w:id="2135">
    <w:p w:rsidR="00975183" w:rsidRDefault="00975183" w:rsidP="006A2E06">
      <w:pPr>
        <w:pStyle w:val="EndnoteText"/>
      </w:pPr>
      <w:r w:rsidRPr="006A4363">
        <w:rPr>
          <w:rStyle w:val="FootnoteReference"/>
        </w:rPr>
        <w:endnoteRef/>
      </w:r>
      <w:r w:rsidRPr="006A4363">
        <w:t xml:space="preserve"> </w:t>
      </w:r>
      <w:r w:rsidRPr="0056452B">
        <w:t>‘The Davidic Kingdom’ is listed third in</w:t>
      </w:r>
      <w:r>
        <w:t xml:space="preserve"> the </w:t>
      </w:r>
      <w:r w:rsidRPr="0056452B">
        <w:t xml:space="preserve">Old Testament Summary in </w:t>
      </w:r>
      <w:r>
        <w:t xml:space="preserve">the </w:t>
      </w:r>
      <w:r w:rsidRPr="0008415D">
        <w:rPr>
          <w:i/>
        </w:rPr>
        <w:t>SRB</w:t>
      </w:r>
      <w:r>
        <w:t xml:space="preserve"> </w:t>
      </w:r>
      <w:r w:rsidRPr="0056452B">
        <w:t>note on Zech. 12:8, pp. 976-7, and first in the New Testament Summary in the note on 1 Cor. 15:24, p. 226, which also gives as its sixth point the assertion that ‘the King will … restore the Davidic monarchy in His own person’.</w:t>
      </w:r>
    </w:p>
  </w:endnote>
  <w:endnote w:id="2136">
    <w:p w:rsidR="00975183" w:rsidRPr="00B529D8" w:rsidRDefault="00975183" w:rsidP="006A2E06">
      <w:pPr>
        <w:pStyle w:val="EndnoteText"/>
      </w:pPr>
      <w:r w:rsidRPr="00B529D8">
        <w:rPr>
          <w:rStyle w:val="EndnoteReference"/>
        </w:rPr>
        <w:endnoteRef/>
      </w:r>
      <w:r w:rsidRPr="00B529D8">
        <w:t xml:space="preserve"> </w:t>
      </w:r>
      <w:r w:rsidRPr="00F44CD0">
        <w:rPr>
          <w:b/>
        </w:rPr>
        <w:t xml:space="preserve">See Zechariah Table, </w:t>
      </w:r>
      <w:r w:rsidRPr="00F73FDE">
        <w:rPr>
          <w:b/>
        </w:rPr>
        <w:t>8.4.15</w:t>
      </w:r>
      <w:r w:rsidRPr="00F44CD0">
        <w:rPr>
          <w:b/>
        </w:rPr>
        <w:t>, and 1 Corinthians Table, 8.7.2</w:t>
      </w:r>
      <w:r>
        <w:t xml:space="preserve">.  </w:t>
      </w:r>
      <w:r w:rsidRPr="00E84F9D">
        <w:rPr>
          <w:b/>
        </w:rPr>
        <w:t>See also Case Studies 1 and 2</w:t>
      </w:r>
      <w:r>
        <w:rPr>
          <w:b/>
        </w:rPr>
        <w:t>.</w:t>
      </w:r>
    </w:p>
  </w:endnote>
  <w:endnote w:id="2137">
    <w:p w:rsidR="00975183" w:rsidRPr="006A4363" w:rsidRDefault="00975183" w:rsidP="006A2E06">
      <w:pPr>
        <w:pStyle w:val="EndnoteText"/>
      </w:pPr>
      <w:r w:rsidRPr="006A4363">
        <w:rPr>
          <w:rStyle w:val="EndnoteReference"/>
        </w:rPr>
        <w:endnoteRef/>
      </w:r>
      <w:r w:rsidRPr="006A4363">
        <w:t xml:space="preserve"> Refs Exod. 3:1-10, 19:9, 24:12.</w:t>
      </w:r>
      <w:r>
        <w:t xml:space="preserve"> </w:t>
      </w:r>
    </w:p>
  </w:endnote>
  <w:endnote w:id="2138">
    <w:p w:rsidR="00975183" w:rsidRPr="006A4363" w:rsidRDefault="00975183" w:rsidP="006A2E06">
      <w:pPr>
        <w:pStyle w:val="EndnoteText"/>
      </w:pPr>
      <w:r w:rsidRPr="006A4363">
        <w:rPr>
          <w:rStyle w:val="EndnoteReference"/>
        </w:rPr>
        <w:endnoteRef/>
      </w:r>
      <w:r w:rsidRPr="006A4363">
        <w:t xml:space="preserve"> Ref. Josh. 1:1-5.</w:t>
      </w:r>
    </w:p>
  </w:endnote>
  <w:endnote w:id="2139">
    <w:p w:rsidR="00975183" w:rsidRPr="006A4363" w:rsidRDefault="00975183" w:rsidP="006A2E06">
      <w:pPr>
        <w:pStyle w:val="EndnoteText"/>
      </w:pPr>
      <w:r w:rsidRPr="006A4363">
        <w:rPr>
          <w:rStyle w:val="EndnoteReference"/>
        </w:rPr>
        <w:endnoteRef/>
      </w:r>
      <w:r w:rsidRPr="006A4363">
        <w:t xml:space="preserve"> Ref. Jud. 2:16-18.</w:t>
      </w:r>
    </w:p>
  </w:endnote>
  <w:endnote w:id="2140">
    <w:p w:rsidR="00975183" w:rsidRPr="006A4363" w:rsidRDefault="00975183" w:rsidP="006A2E06">
      <w:pPr>
        <w:pStyle w:val="EndnoteText"/>
      </w:pPr>
      <w:r w:rsidRPr="006A4363">
        <w:rPr>
          <w:rStyle w:val="EndnoteReference"/>
        </w:rPr>
        <w:endnoteRef/>
      </w:r>
      <w:r w:rsidRPr="006A4363">
        <w:t xml:space="preserve"> Refs 1 Sam. 8:1-7; 9:12-17.</w:t>
      </w:r>
    </w:p>
  </w:endnote>
  <w:endnote w:id="2141">
    <w:p w:rsidR="00975183" w:rsidRDefault="00975183" w:rsidP="006A2E06">
      <w:pPr>
        <w:pStyle w:val="EndnoteText"/>
      </w:pPr>
      <w:r w:rsidRPr="006A4363">
        <w:rPr>
          <w:rStyle w:val="FootnoteReference"/>
        </w:rPr>
        <w:endnoteRef/>
      </w:r>
      <w:r w:rsidRPr="006A4363">
        <w:t xml:space="preserve"> </w:t>
      </w:r>
      <w:r>
        <w:t>Ref. 1 Sam. 16:1-13.</w:t>
      </w:r>
    </w:p>
  </w:endnote>
  <w:endnote w:id="2142">
    <w:p w:rsidR="00975183" w:rsidRDefault="00975183" w:rsidP="006A2E06">
      <w:pPr>
        <w:pStyle w:val="EndnoteText"/>
      </w:pPr>
      <w:r w:rsidRPr="006A4363">
        <w:rPr>
          <w:rStyle w:val="FootnoteReference"/>
        </w:rPr>
        <w:endnoteRef/>
      </w:r>
      <w:r w:rsidRPr="006A4363">
        <w:t xml:space="preserve"> </w:t>
      </w:r>
      <w:r>
        <w:t>Refs 2 Sam. 7:8-16; Ps. 89:3-4, 20-21, 28-37.</w:t>
      </w:r>
    </w:p>
  </w:endnote>
  <w:endnote w:id="2143">
    <w:p w:rsidR="00975183" w:rsidRDefault="00975183" w:rsidP="006A2E06">
      <w:pPr>
        <w:pStyle w:val="EndnoteText"/>
      </w:pPr>
      <w:r w:rsidRPr="006A4363">
        <w:rPr>
          <w:rStyle w:val="FootnoteReference"/>
        </w:rPr>
        <w:endnoteRef/>
      </w:r>
      <w:r w:rsidRPr="006A4363">
        <w:t xml:space="preserve"> </w:t>
      </w:r>
      <w:r w:rsidRPr="006A4363">
        <w:rPr>
          <w:i/>
        </w:rPr>
        <w:t>SRB</w:t>
      </w:r>
      <w:r w:rsidRPr="006A4363">
        <w:t xml:space="preserve"> </w:t>
      </w:r>
      <w:r>
        <w:t>n</w:t>
      </w:r>
      <w:r w:rsidRPr="006A4363">
        <w:t>ote on Zech. 12:8, pp. 976-7.</w:t>
      </w:r>
      <w:r>
        <w:t xml:space="preserve"> Refs Isa. 1:25-6; Zech. 12:6-8.</w:t>
      </w:r>
      <w:r w:rsidRPr="006A4363">
        <w:t xml:space="preserve">  </w:t>
      </w:r>
    </w:p>
  </w:endnote>
  <w:endnote w:id="2144">
    <w:p w:rsidR="00975183" w:rsidRPr="006A4363" w:rsidRDefault="00975183" w:rsidP="006A2E06">
      <w:pPr>
        <w:pStyle w:val="EndnoteText"/>
      </w:pPr>
      <w:r w:rsidRPr="006A4363">
        <w:rPr>
          <w:rStyle w:val="EndnoteReference"/>
        </w:rPr>
        <w:endnoteRef/>
      </w:r>
      <w:r w:rsidRPr="006A4363">
        <w:t xml:space="preserve"> </w:t>
      </w:r>
      <w:r w:rsidRPr="006A4363">
        <w:rPr>
          <w:i/>
        </w:rPr>
        <w:t>SRB</w:t>
      </w:r>
      <w:r>
        <w:t xml:space="preserve"> n</w:t>
      </w:r>
      <w:r w:rsidRPr="006A4363">
        <w:t>ote on Zech. 12:8, pp. 976</w:t>
      </w:r>
      <w:r>
        <w:t>-7.</w:t>
      </w:r>
    </w:p>
  </w:endnote>
  <w:endnote w:id="2145">
    <w:p w:rsidR="00975183" w:rsidRDefault="00975183" w:rsidP="006A2E06">
      <w:pPr>
        <w:pStyle w:val="EndnoteText"/>
      </w:pPr>
      <w:r w:rsidRPr="00BD60F8">
        <w:rPr>
          <w:rStyle w:val="FootnoteReference"/>
          <w:szCs w:val="18"/>
        </w:rPr>
        <w:endnoteRef/>
      </w:r>
      <w:r w:rsidRPr="00BD60F8">
        <w:rPr>
          <w:szCs w:val="18"/>
        </w:rPr>
        <w:t xml:space="preserve"> </w:t>
      </w:r>
      <w:r w:rsidRPr="00AF2B31">
        <w:rPr>
          <w:i/>
          <w:szCs w:val="18"/>
        </w:rPr>
        <w:t xml:space="preserve">SRB </w:t>
      </w:r>
      <w:r>
        <w:rPr>
          <w:szCs w:val="18"/>
        </w:rPr>
        <w:t>n</w:t>
      </w:r>
      <w:r w:rsidRPr="00BD60F8">
        <w:rPr>
          <w:szCs w:val="18"/>
        </w:rPr>
        <w:t>ote on Zech. 12:8, pp. 976</w:t>
      </w:r>
      <w:r>
        <w:rPr>
          <w:szCs w:val="18"/>
        </w:rPr>
        <w:t>-7</w:t>
      </w:r>
      <w:r w:rsidRPr="00BD60F8">
        <w:rPr>
          <w:szCs w:val="18"/>
        </w:rPr>
        <w:t xml:space="preserve">.  </w:t>
      </w:r>
      <w:proofErr w:type="gramStart"/>
      <w:r w:rsidRPr="00BD60F8">
        <w:rPr>
          <w:szCs w:val="18"/>
        </w:rPr>
        <w:t>Refs.</w:t>
      </w:r>
      <w:proofErr w:type="gramEnd"/>
      <w:r w:rsidRPr="00BD60F8">
        <w:rPr>
          <w:szCs w:val="18"/>
        </w:rPr>
        <w:t xml:space="preserve"> </w:t>
      </w:r>
      <w:r w:rsidRPr="00BD60F8">
        <w:rPr>
          <w:szCs w:val="18"/>
          <w:lang w:val="en-US"/>
        </w:rPr>
        <w:t xml:space="preserve">Isa. 7:13-14, 9:6-7; 11:1; Jer. 23:5; Ezek. 34:23; 37:24; Hos. 3:4-5.  </w:t>
      </w:r>
    </w:p>
  </w:endnote>
  <w:endnote w:id="2146">
    <w:p w:rsidR="00975183" w:rsidRDefault="00975183" w:rsidP="006A2E06">
      <w:pPr>
        <w:pStyle w:val="EndnoteText"/>
      </w:pPr>
      <w:r w:rsidRPr="006A4363">
        <w:rPr>
          <w:rStyle w:val="FootnoteReference"/>
          <w:szCs w:val="18"/>
        </w:rPr>
        <w:endnoteRef/>
      </w:r>
      <w:r w:rsidRPr="006A4363">
        <w:rPr>
          <w:szCs w:val="18"/>
        </w:rPr>
        <w:t xml:space="preserve"> </w:t>
      </w:r>
      <w:r w:rsidRPr="00AF2B31">
        <w:rPr>
          <w:i/>
          <w:szCs w:val="18"/>
        </w:rPr>
        <w:t>SRB</w:t>
      </w:r>
      <w:r>
        <w:rPr>
          <w:szCs w:val="18"/>
        </w:rPr>
        <w:t xml:space="preserve"> n</w:t>
      </w:r>
      <w:r w:rsidRPr="006A4363">
        <w:rPr>
          <w:szCs w:val="18"/>
        </w:rPr>
        <w:t xml:space="preserve">ote on 1 Cor. 15:24, </w:t>
      </w:r>
      <w:r>
        <w:rPr>
          <w:szCs w:val="18"/>
        </w:rPr>
        <w:t xml:space="preserve">p. 1226. </w:t>
      </w:r>
      <w:r w:rsidRPr="006A4363">
        <w:rPr>
          <w:szCs w:val="18"/>
        </w:rPr>
        <w:t xml:space="preserve"> </w:t>
      </w:r>
    </w:p>
  </w:endnote>
  <w:endnote w:id="2147">
    <w:p w:rsidR="00975183" w:rsidRDefault="00975183" w:rsidP="006A2E06">
      <w:pPr>
        <w:pStyle w:val="EndnoteText"/>
      </w:pPr>
      <w:r w:rsidRPr="006C6ADA">
        <w:rPr>
          <w:rStyle w:val="EndnoteReference"/>
        </w:rPr>
        <w:endnoteRef/>
      </w:r>
      <w:r w:rsidRPr="006C6ADA">
        <w:t xml:space="preserve"> Refs</w:t>
      </w:r>
      <w:r>
        <w:t xml:space="preserve"> </w:t>
      </w:r>
      <w:r w:rsidRPr="006C6ADA">
        <w:rPr>
          <w:sz w:val="22"/>
          <w:szCs w:val="22"/>
        </w:rPr>
        <w:t>Mt. 2:1; Mic. 5:2</w:t>
      </w:r>
      <w:r>
        <w:rPr>
          <w:sz w:val="22"/>
          <w:szCs w:val="22"/>
        </w:rPr>
        <w:t>.</w:t>
      </w:r>
    </w:p>
  </w:endnote>
  <w:endnote w:id="2148">
    <w:p w:rsidR="00975183" w:rsidRDefault="00975183" w:rsidP="006A2E06">
      <w:pPr>
        <w:pStyle w:val="EndnoteText"/>
      </w:pPr>
      <w:r w:rsidRPr="006C6ADA">
        <w:rPr>
          <w:rStyle w:val="EndnoteReference"/>
        </w:rPr>
        <w:endnoteRef/>
      </w:r>
      <w:r w:rsidRPr="006C6ADA">
        <w:t xml:space="preserve"> Refs</w:t>
      </w:r>
      <w:r>
        <w:t xml:space="preserve"> </w:t>
      </w:r>
      <w:r w:rsidRPr="006C6ADA">
        <w:rPr>
          <w:sz w:val="22"/>
          <w:szCs w:val="22"/>
        </w:rPr>
        <w:t>Mt. 1:18-25; Isa. 7:14</w:t>
      </w:r>
      <w:r>
        <w:rPr>
          <w:sz w:val="22"/>
          <w:szCs w:val="22"/>
        </w:rPr>
        <w:t>.</w:t>
      </w:r>
    </w:p>
  </w:endnote>
  <w:endnote w:id="2149">
    <w:p w:rsidR="00975183" w:rsidRDefault="00975183" w:rsidP="006A2E06">
      <w:pPr>
        <w:pStyle w:val="EndnoteText"/>
      </w:pPr>
      <w:r w:rsidRPr="00BD60F8">
        <w:rPr>
          <w:rStyle w:val="FootnoteReference"/>
          <w:szCs w:val="18"/>
        </w:rPr>
        <w:endnoteRef/>
      </w:r>
      <w:r w:rsidRPr="00BD60F8">
        <w:rPr>
          <w:szCs w:val="18"/>
        </w:rPr>
        <w:t xml:space="preserve"> </w:t>
      </w:r>
      <w:r w:rsidRPr="00AF2B31">
        <w:rPr>
          <w:i/>
          <w:szCs w:val="18"/>
        </w:rPr>
        <w:t xml:space="preserve">SRB </w:t>
      </w:r>
      <w:r>
        <w:rPr>
          <w:szCs w:val="18"/>
        </w:rPr>
        <w:t>n</w:t>
      </w:r>
      <w:r w:rsidRPr="00BD60F8">
        <w:rPr>
          <w:szCs w:val="18"/>
        </w:rPr>
        <w:t>ote on Zech. 12:8, pp. 976</w:t>
      </w:r>
      <w:r>
        <w:rPr>
          <w:szCs w:val="18"/>
        </w:rPr>
        <w:t>-7</w:t>
      </w:r>
      <w:r w:rsidRPr="00BD60F8">
        <w:rPr>
          <w:szCs w:val="18"/>
        </w:rPr>
        <w:t xml:space="preserve">.  </w:t>
      </w:r>
    </w:p>
  </w:endnote>
  <w:endnote w:id="2150">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ote on 1 Cor. 15:24, p. 1226.  Refs 2 Sam. 7:8-17; Zech. 12:8.</w:t>
      </w:r>
    </w:p>
  </w:endnote>
  <w:endnote w:id="2151">
    <w:p w:rsidR="00975183" w:rsidRPr="006A4363" w:rsidRDefault="00975183" w:rsidP="006A2E06">
      <w:pPr>
        <w:pStyle w:val="EndnoteText"/>
        <w:rPr>
          <w:rFonts w:ascii="Times New Roman" w:hAnsi="Times New Roman"/>
          <w:sz w:val="18"/>
          <w:szCs w:val="18"/>
        </w:rPr>
      </w:pPr>
      <w:r w:rsidRPr="006A4363">
        <w:rPr>
          <w:rStyle w:val="EndnoteReference"/>
        </w:rPr>
        <w:endnoteRef/>
      </w:r>
      <w:r w:rsidRPr="006A4363">
        <w:t xml:space="preserve"> </w:t>
      </w:r>
      <w:r w:rsidRPr="00A14D0C">
        <w:rPr>
          <w:i/>
        </w:rPr>
        <w:t>SRB</w:t>
      </w:r>
      <w:r>
        <w:t xml:space="preserve"> n</w:t>
      </w:r>
      <w:r w:rsidRPr="006A4363">
        <w:t>ote on 1 Cor. 15:24, p. 1226.  Ref. Lk. 1:31-33.</w:t>
      </w:r>
    </w:p>
  </w:endnote>
  <w:endnote w:id="2152">
    <w:p w:rsidR="00975183" w:rsidRDefault="00975183" w:rsidP="006A2E06">
      <w:pPr>
        <w:pStyle w:val="EndnoteText"/>
        <w:rPr>
          <w:lang w:val="en-US"/>
        </w:rPr>
      </w:pPr>
      <w:r w:rsidRPr="006A4363">
        <w:rPr>
          <w:rStyle w:val="EndnoteReference"/>
        </w:rPr>
        <w:endnoteRef/>
      </w:r>
      <w:r w:rsidRPr="006A4363">
        <w:t xml:space="preserve"> </w:t>
      </w:r>
      <w:r w:rsidRPr="00A14D0C">
        <w:rPr>
          <w:i/>
        </w:rPr>
        <w:t>SRB</w:t>
      </w:r>
      <w:r>
        <w:t xml:space="preserve"> n</w:t>
      </w:r>
      <w:r w:rsidRPr="006A4363">
        <w:t xml:space="preserve">ote on Zech. 12:8, p. 977.  Refs </w:t>
      </w:r>
      <w:r w:rsidRPr="006A4363">
        <w:rPr>
          <w:lang w:val="en-US"/>
        </w:rPr>
        <w:t>Isa. 2:2-4; 4:3, 5; 24:23; 33:20; 62:1-7; Jer. 23</w:t>
      </w:r>
      <w:r>
        <w:rPr>
          <w:lang w:val="en-US"/>
        </w:rPr>
        <w:t xml:space="preserve">:5; 31:38-40; </w:t>
      </w:r>
    </w:p>
    <w:p w:rsidR="00975183" w:rsidRPr="006A4363" w:rsidRDefault="00975183" w:rsidP="006A2E06">
      <w:pPr>
        <w:pStyle w:val="EndnoteText"/>
      </w:pPr>
      <w:r>
        <w:rPr>
          <w:lang w:val="en-US"/>
        </w:rPr>
        <w:t xml:space="preserve">Joel 3:1, 16-17; </w:t>
      </w:r>
      <w:r w:rsidRPr="006A4363">
        <w:t>Mic. 4:1, p. 948</w:t>
      </w:r>
      <w:r>
        <w:t xml:space="preserve">; </w:t>
      </w:r>
      <w:r w:rsidRPr="006A4363">
        <w:t>Zech. 7:2, p. 971.</w:t>
      </w:r>
    </w:p>
  </w:endnote>
  <w:endnote w:id="2153">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Zech. 12:8, p. 977.  Refs </w:t>
      </w:r>
      <w:r w:rsidRPr="006A4363">
        <w:rPr>
          <w:lang w:val="en-US"/>
        </w:rPr>
        <w:t xml:space="preserve">Ps. 2:6-8; 22; 24; Isa. 1:2-3; 11:1, 10-13; 60:12; Jer. 23:5-8; 30:7-11; Ezek. 20:33-40; 37:21-5; Zech. 9:10; 14:16-19.  </w:t>
      </w:r>
      <w:r w:rsidRPr="007D5ADC">
        <w:rPr>
          <w:lang w:val="en-US"/>
        </w:rPr>
        <w:t xml:space="preserve">cf </w:t>
      </w:r>
      <w:r w:rsidRPr="006A4363">
        <w:rPr>
          <w:lang w:val="en-US"/>
        </w:rPr>
        <w:t xml:space="preserve">note on Ps. 72:1, p. 634.  </w:t>
      </w:r>
    </w:p>
  </w:endnote>
  <w:endnote w:id="2154">
    <w:p w:rsidR="00975183" w:rsidRDefault="00975183" w:rsidP="006A2E06">
      <w:pPr>
        <w:pStyle w:val="EndnoteText"/>
        <w:rPr>
          <w:szCs w:val="18"/>
          <w:lang w:val="en-US"/>
        </w:rPr>
      </w:pPr>
      <w:r w:rsidRPr="006A4363">
        <w:rPr>
          <w:rStyle w:val="FootnoteReference"/>
          <w:szCs w:val="18"/>
        </w:rPr>
        <w:endnoteRef/>
      </w:r>
      <w:r w:rsidRPr="006A4363">
        <w:rPr>
          <w:szCs w:val="18"/>
        </w:rPr>
        <w:t xml:space="preserve"> </w:t>
      </w:r>
      <w:r w:rsidRPr="004661FF">
        <w:rPr>
          <w:i/>
          <w:szCs w:val="18"/>
        </w:rPr>
        <w:t>SRB</w:t>
      </w:r>
      <w:r>
        <w:rPr>
          <w:szCs w:val="18"/>
        </w:rPr>
        <w:t xml:space="preserve"> n</w:t>
      </w:r>
      <w:r w:rsidRPr="006A4363">
        <w:rPr>
          <w:szCs w:val="18"/>
        </w:rPr>
        <w:t xml:space="preserve">ote on Zech. 12:8, pp. 976.  Refs </w:t>
      </w:r>
      <w:r w:rsidRPr="006A4363">
        <w:rPr>
          <w:szCs w:val="18"/>
          <w:lang w:val="en-US"/>
        </w:rPr>
        <w:t xml:space="preserve">Ps. 2:9; Isa. 26:9, 6-9; 26:9; 65:20; Zech. 14:16-21; Ps. 72:1-10; </w:t>
      </w:r>
    </w:p>
    <w:p w:rsidR="00975183" w:rsidRDefault="00975183" w:rsidP="006A2E06">
      <w:pPr>
        <w:pStyle w:val="EndnoteText"/>
      </w:pPr>
      <w:r w:rsidRPr="006A4363">
        <w:rPr>
          <w:szCs w:val="18"/>
          <w:lang w:val="en-US"/>
        </w:rPr>
        <w:t xml:space="preserve">Isa. 11:4-9.  </w:t>
      </w:r>
    </w:p>
  </w:endnote>
  <w:endnote w:id="2155">
    <w:p w:rsidR="00975183" w:rsidRDefault="00975183" w:rsidP="006A2E06">
      <w:pPr>
        <w:pStyle w:val="EndnoteText"/>
      </w:pPr>
      <w:r w:rsidRPr="006A4363">
        <w:rPr>
          <w:rStyle w:val="FootnoteReference"/>
          <w:szCs w:val="18"/>
        </w:rPr>
        <w:endnoteRef/>
      </w:r>
      <w:r w:rsidRPr="006A4363">
        <w:rPr>
          <w:szCs w:val="18"/>
        </w:rPr>
        <w:t xml:space="preserve"> </w:t>
      </w:r>
      <w:r w:rsidRPr="004661FF">
        <w:rPr>
          <w:i/>
          <w:szCs w:val="18"/>
        </w:rPr>
        <w:t>SRB</w:t>
      </w:r>
      <w:r>
        <w:rPr>
          <w:szCs w:val="18"/>
        </w:rPr>
        <w:t xml:space="preserve"> n</w:t>
      </w:r>
      <w:r w:rsidRPr="006A4363">
        <w:rPr>
          <w:szCs w:val="18"/>
        </w:rPr>
        <w:t>ote on Zech. 12:8, pp. 97</w:t>
      </w:r>
      <w:r>
        <w:rPr>
          <w:szCs w:val="18"/>
        </w:rPr>
        <w:t>7.  Refs Isa. 11:4-9; Ps. 72:1-10.</w:t>
      </w:r>
    </w:p>
  </w:endnote>
  <w:endnote w:id="2156">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Zech. 12:8, p. 977.  Refs </w:t>
      </w:r>
      <w:r w:rsidRPr="006A4363">
        <w:rPr>
          <w:lang w:val="en-US"/>
        </w:rPr>
        <w:t>Ps. 2:4-9; Isa. 9:7; Dan. 2:35; 44-5; 7:26-7; Zech. 14:1-19; Zech. 6:11 note.</w:t>
      </w:r>
    </w:p>
  </w:endnote>
  <w:endnote w:id="2157">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ote on Zech. 12:8, p. 977.  Refs Dan. 30:3-5; Ps 2:1-9; Zech</w:t>
      </w:r>
      <w:r>
        <w:t>.</w:t>
      </w:r>
      <w:r w:rsidRPr="006A4363">
        <w:t xml:space="preserve"> 14:4.  </w:t>
      </w:r>
    </w:p>
  </w:endnote>
  <w:endnote w:id="2158">
    <w:p w:rsidR="00975183" w:rsidRDefault="00975183" w:rsidP="006A2E06">
      <w:pPr>
        <w:pStyle w:val="EndnoteText"/>
      </w:pPr>
      <w:r w:rsidRPr="006A4363">
        <w:rPr>
          <w:rStyle w:val="FootnoteReference"/>
          <w:szCs w:val="18"/>
        </w:rPr>
        <w:endnoteRef/>
      </w:r>
      <w:r w:rsidRPr="006A4363">
        <w:rPr>
          <w:szCs w:val="18"/>
        </w:rPr>
        <w:t xml:space="preserve"> </w:t>
      </w:r>
      <w:r w:rsidRPr="006A4363">
        <w:rPr>
          <w:i/>
          <w:szCs w:val="18"/>
        </w:rPr>
        <w:t>SRB</w:t>
      </w:r>
      <w:r>
        <w:rPr>
          <w:szCs w:val="18"/>
        </w:rPr>
        <w:t xml:space="preserve"> n</w:t>
      </w:r>
      <w:r w:rsidRPr="006A4363">
        <w:rPr>
          <w:szCs w:val="18"/>
        </w:rPr>
        <w:t xml:space="preserve">ote on Zech. 12:8, p. 977.  </w:t>
      </w:r>
      <w:r w:rsidRPr="00BD60F8">
        <w:rPr>
          <w:szCs w:val="18"/>
        </w:rPr>
        <w:t>Chastisement fell in ‘the captivities and worldwide dispersion’.  Refs 2 Sam. 7:14; Ps 89:30-33</w:t>
      </w:r>
      <w:r w:rsidRPr="00BD60F8">
        <w:rPr>
          <w:color w:val="0000FF"/>
          <w:szCs w:val="18"/>
        </w:rPr>
        <w:t>.</w:t>
      </w:r>
    </w:p>
  </w:endnote>
  <w:endnote w:id="2159">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Zech. 12:8, p. 976.  Refs Ps. 89:33-7; Acts 15:14-17.      </w:t>
      </w:r>
    </w:p>
  </w:endnote>
  <w:endnote w:id="2160">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1 Cor. 15:24, p. 1227.  Refs Mt. 24:27-30; Lk. 1:31-3; Acts 15:14-17; Rev. 20:1-10.  </w:t>
      </w:r>
    </w:p>
  </w:endnote>
  <w:endnote w:id="2161">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1 Cor. 15:24, p. 1226.  Refs Mt. 4:17 note; Mt. 11:20 note; Mt. 21:42-3.  </w:t>
      </w:r>
    </w:p>
  </w:endnote>
  <w:endnote w:id="2162">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ote on 1 Cor. 15:24, p. 1226.  Refs Mt. 13:11 note</w:t>
      </w:r>
      <w:r w:rsidRPr="006A4363">
        <w:rPr>
          <w:b/>
        </w:rPr>
        <w:t>;</w:t>
      </w:r>
      <w:r w:rsidRPr="006A4363">
        <w:t xml:space="preserve"> 13:1-50.  </w:t>
      </w:r>
      <w:proofErr w:type="gramStart"/>
      <w:r w:rsidRPr="006A4363">
        <w:t xml:space="preserve">cf </w:t>
      </w:r>
      <w:r w:rsidRPr="00AF2B31">
        <w:rPr>
          <w:i/>
        </w:rPr>
        <w:t>SRB</w:t>
      </w:r>
      <w:r>
        <w:t xml:space="preserve"> </w:t>
      </w:r>
      <w:r w:rsidRPr="006A4363">
        <w:t>Introduction to the Prophetical Books, p. 711.</w:t>
      </w:r>
      <w:proofErr w:type="gramEnd"/>
      <w:r w:rsidRPr="006A4363">
        <w:t xml:space="preserve"> </w:t>
      </w:r>
      <w:r w:rsidRPr="006A4363">
        <w:rPr>
          <w:i/>
        </w:rPr>
        <w:t xml:space="preserve"> </w:t>
      </w:r>
      <w:r w:rsidRPr="006A4363">
        <w:t xml:space="preserve">Also cf </w:t>
      </w:r>
      <w:r w:rsidRPr="006A4363">
        <w:rPr>
          <w:i/>
        </w:rPr>
        <w:t>SRB</w:t>
      </w:r>
      <w:r w:rsidRPr="006A4363">
        <w:t xml:space="preserve"> note on Mt. 3:2, p. 996.  Refs Mt. 24:29-25:46; Lk. 19:12-19; Acts 15:14-17.  </w:t>
      </w:r>
    </w:p>
  </w:endnote>
  <w:endnote w:id="2163">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1 Cor. 15:24, p. 1227.  </w:t>
      </w:r>
      <w:proofErr w:type="gramStart"/>
      <w:r w:rsidRPr="006A4363">
        <w:t>Ref. Mt. 6:33 note.</w:t>
      </w:r>
      <w:proofErr w:type="gramEnd"/>
      <w:r w:rsidRPr="006A4363">
        <w:t xml:space="preserve"> </w:t>
      </w:r>
    </w:p>
  </w:endnote>
  <w:endnote w:id="2164">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 xml:space="preserve">ote on 1 Cor. 15:24, p. 1227.  Refs 1 Cor. 15:24-5; Mt. 3:2; 1 Cor. 15:28.  </w:t>
      </w:r>
    </w:p>
  </w:endnote>
  <w:endnote w:id="2165">
    <w:p w:rsidR="00975183" w:rsidRPr="006A4363" w:rsidRDefault="00975183" w:rsidP="006A2E06">
      <w:pPr>
        <w:pStyle w:val="EndnoteText"/>
      </w:pPr>
      <w:r w:rsidRPr="006A4363">
        <w:rPr>
          <w:rStyle w:val="EndnoteReference"/>
        </w:rPr>
        <w:endnoteRef/>
      </w:r>
      <w:r w:rsidRPr="006A4363">
        <w:t xml:space="preserve"> </w:t>
      </w:r>
      <w:r w:rsidRPr="00A14D0C">
        <w:rPr>
          <w:i/>
        </w:rPr>
        <w:t>SRB</w:t>
      </w:r>
      <w:r>
        <w:t xml:space="preserve"> n</w:t>
      </w:r>
      <w:r w:rsidRPr="006A4363">
        <w:t>ote on Mt. 13:43, p. 1017.  Ref</w:t>
      </w:r>
      <w:r>
        <w:t>s</w:t>
      </w:r>
      <w:r w:rsidRPr="006A4363">
        <w:t xml:space="preserve"> 1 Cor. 15:24-28; Rev. 20:2.</w:t>
      </w:r>
      <w:r w:rsidRPr="006A4363">
        <w:rPr>
          <w:b/>
        </w:rPr>
        <w:t xml:space="preserve">  </w:t>
      </w:r>
      <w:proofErr w:type="gramStart"/>
      <w:r w:rsidRPr="00F44CD0">
        <w:rPr>
          <w:b/>
        </w:rPr>
        <w:t>See 8.6.1</w:t>
      </w:r>
      <w:r w:rsidRPr="00F44CD0">
        <w:t>.</w:t>
      </w:r>
      <w:proofErr w:type="gramEnd"/>
    </w:p>
  </w:endnote>
  <w:endnote w:id="2166">
    <w:p w:rsidR="00975183" w:rsidRPr="006A4363" w:rsidRDefault="00975183" w:rsidP="006A2E06">
      <w:pPr>
        <w:pStyle w:val="EndnoteText"/>
      </w:pPr>
      <w:r w:rsidRPr="006A4363">
        <w:rPr>
          <w:rStyle w:val="EndnoteReference"/>
        </w:rPr>
        <w:endnoteRef/>
      </w:r>
      <w:r w:rsidRPr="006A4363">
        <w:t xml:space="preserve"> </w:t>
      </w:r>
      <w:r w:rsidRPr="006A4363">
        <w:rPr>
          <w:i/>
        </w:rPr>
        <w:t xml:space="preserve">SRB </w:t>
      </w:r>
      <w:r w:rsidRPr="006A4363">
        <w:t>note on Ps. 22:2</w:t>
      </w:r>
      <w:r>
        <w:t>8</w:t>
      </w:r>
      <w:r w:rsidRPr="006A4363">
        <w:t xml:space="preserve">, p. 609.  </w:t>
      </w:r>
    </w:p>
  </w:endnote>
  <w:endnote w:id="2167">
    <w:p w:rsidR="00975183" w:rsidRPr="00FF3AAE" w:rsidRDefault="00975183" w:rsidP="006A2E06">
      <w:pPr>
        <w:pStyle w:val="EndnoteText"/>
      </w:pPr>
      <w:r w:rsidRPr="00FF3AAE">
        <w:rPr>
          <w:rStyle w:val="EndnoteReference"/>
        </w:rPr>
        <w:endnoteRef/>
      </w:r>
      <w:r w:rsidRPr="00FF3AAE">
        <w:t xml:space="preserve"> </w:t>
      </w:r>
      <w:proofErr w:type="gramStart"/>
      <w:r w:rsidRPr="00FF3AAE">
        <w:t>Refs</w:t>
      </w:r>
      <w:r>
        <w:t xml:space="preserve"> </w:t>
      </w:r>
      <w:r w:rsidRPr="00FF3AAE">
        <w:rPr>
          <w:i/>
        </w:rPr>
        <w:t>SRB</w:t>
      </w:r>
      <w:r>
        <w:t xml:space="preserve"> notes</w:t>
      </w:r>
      <w:proofErr w:type="gramEnd"/>
      <w:r>
        <w:t xml:space="preserve"> on Mic. 4:1, p. 948; Zech. 7:2, p. 971; Zech. 12:8, p. 977.  </w:t>
      </w:r>
    </w:p>
  </w:endnote>
  <w:endnote w:id="2168">
    <w:p w:rsidR="00975183" w:rsidRDefault="00975183" w:rsidP="006A2E06">
      <w:pPr>
        <w:pStyle w:val="EndnoteText"/>
      </w:pPr>
      <w:r w:rsidRPr="00A0570B">
        <w:rPr>
          <w:rStyle w:val="FootnoteReference"/>
        </w:rPr>
        <w:endnoteRef/>
      </w:r>
      <w:r w:rsidRPr="00A0570B">
        <w:t xml:space="preserve"> Feinberg, </w:t>
      </w:r>
      <w:r w:rsidRPr="00A0570B">
        <w:rPr>
          <w:i/>
        </w:rPr>
        <w:t>Millennialism</w:t>
      </w:r>
      <w:r w:rsidRPr="00A0570B">
        <w:t>, p. 132</w:t>
      </w:r>
      <w:r>
        <w:t>.</w:t>
      </w:r>
    </w:p>
  </w:endnote>
  <w:endnote w:id="2169">
    <w:p w:rsidR="00975183" w:rsidRDefault="00975183" w:rsidP="006A2E06">
      <w:pPr>
        <w:pStyle w:val="EndnoteText"/>
      </w:pPr>
      <w:r w:rsidRPr="00A0570B">
        <w:rPr>
          <w:rStyle w:val="FootnoteReference"/>
        </w:rPr>
        <w:endnoteRef/>
      </w:r>
      <w:r w:rsidRPr="00A0570B">
        <w:t xml:space="preserve"> Feinberg, </w:t>
      </w:r>
      <w:r w:rsidRPr="00A0570B">
        <w:rPr>
          <w:i/>
        </w:rPr>
        <w:t xml:space="preserve">Millennialism, </w:t>
      </w:r>
      <w:r w:rsidRPr="00A0570B">
        <w:t>p. 135.</w:t>
      </w:r>
      <w:r>
        <w:t xml:space="preserve"> </w:t>
      </w:r>
    </w:p>
  </w:endnote>
  <w:endnote w:id="2170">
    <w:p w:rsidR="00975183" w:rsidRDefault="00975183" w:rsidP="006A2E06">
      <w:pPr>
        <w:pStyle w:val="EndnoteText"/>
      </w:pPr>
      <w:r w:rsidRPr="00A0570B">
        <w:rPr>
          <w:rStyle w:val="FootnoteReference"/>
        </w:rPr>
        <w:endnoteRef/>
      </w:r>
      <w:r w:rsidRPr="00A0570B">
        <w:t xml:space="preserve"> </w:t>
      </w:r>
      <w:r w:rsidRPr="00A0570B">
        <w:rPr>
          <w:i/>
        </w:rPr>
        <w:t>SRB</w:t>
      </w:r>
      <w:r w:rsidRPr="00A0570B">
        <w:t xml:space="preserve"> note on Mt. 5:2, p. 1000.</w:t>
      </w:r>
      <w:r>
        <w:t xml:space="preserve"> </w:t>
      </w:r>
    </w:p>
  </w:endnote>
  <w:endnote w:id="2171">
    <w:p w:rsidR="00975183" w:rsidRDefault="00975183" w:rsidP="006A2E06">
      <w:pPr>
        <w:pStyle w:val="EndnoteText"/>
      </w:pPr>
      <w:r w:rsidRPr="00A0570B">
        <w:rPr>
          <w:rStyle w:val="FootnoteReference"/>
        </w:rPr>
        <w:endnoteRef/>
      </w:r>
      <w:r w:rsidRPr="00A0570B">
        <w:t xml:space="preserve"> Feinberg, </w:t>
      </w:r>
      <w:r w:rsidRPr="00A0570B">
        <w:rPr>
          <w:i/>
        </w:rPr>
        <w:t xml:space="preserve">Millennialism, </w:t>
      </w:r>
      <w:r w:rsidRPr="00A0570B">
        <w:t>p. 133.</w:t>
      </w:r>
    </w:p>
  </w:endnote>
  <w:endnote w:id="2172">
    <w:p w:rsidR="00975183" w:rsidRDefault="00975183" w:rsidP="006A2E06">
      <w:pPr>
        <w:pStyle w:val="EndnoteText"/>
      </w:pPr>
      <w:r w:rsidRPr="00A0570B">
        <w:rPr>
          <w:rStyle w:val="FootnoteReference"/>
        </w:rPr>
        <w:endnoteRef/>
      </w:r>
      <w:r w:rsidRPr="00A0570B">
        <w:t xml:space="preserve"> Feinberg, </w:t>
      </w:r>
      <w:r w:rsidRPr="00A0570B">
        <w:rPr>
          <w:i/>
        </w:rPr>
        <w:t xml:space="preserve">Millennialism, </w:t>
      </w:r>
      <w:r w:rsidRPr="00A0570B">
        <w:t>pp. 129-30.</w:t>
      </w:r>
    </w:p>
  </w:endnote>
  <w:endnote w:id="2173">
    <w:p w:rsidR="00975183" w:rsidRDefault="00975183" w:rsidP="006A2E06">
      <w:pPr>
        <w:pStyle w:val="EndnoteText"/>
      </w:pPr>
      <w:r w:rsidRPr="00A0570B">
        <w:rPr>
          <w:rStyle w:val="FootnoteReference"/>
        </w:rPr>
        <w:endnoteRef/>
      </w:r>
      <w:r w:rsidRPr="00A0570B">
        <w:t xml:space="preserve"> Feinberg, </w:t>
      </w:r>
      <w:r w:rsidRPr="00A0570B">
        <w:rPr>
          <w:i/>
        </w:rPr>
        <w:t xml:space="preserve">Millennialism, </w:t>
      </w:r>
      <w:r w:rsidRPr="00A0570B">
        <w:t>p. 140.</w:t>
      </w:r>
    </w:p>
  </w:endnote>
  <w:endnote w:id="2174">
    <w:p w:rsidR="00975183" w:rsidRDefault="00975183" w:rsidP="006A2E06">
      <w:pPr>
        <w:pStyle w:val="EndnoteText"/>
      </w:pPr>
      <w:r w:rsidRPr="00A0570B">
        <w:rPr>
          <w:rStyle w:val="FootnoteReference"/>
        </w:rPr>
        <w:endnoteRef/>
      </w:r>
      <w:r w:rsidRPr="00A0570B">
        <w:t xml:space="preserve"> Bass, </w:t>
      </w:r>
      <w:r w:rsidRPr="00A0570B">
        <w:rPr>
          <w:i/>
        </w:rPr>
        <w:t>Backgrounds</w:t>
      </w:r>
      <w:r w:rsidRPr="00A0570B">
        <w:t>, p. 43.</w:t>
      </w:r>
    </w:p>
  </w:endnote>
  <w:endnote w:id="2175">
    <w:p w:rsidR="00975183" w:rsidRPr="006A4363" w:rsidRDefault="00975183" w:rsidP="006A2E06">
      <w:pPr>
        <w:pStyle w:val="EndnoteText"/>
        <w:rPr>
          <w:sz w:val="22"/>
        </w:rPr>
      </w:pPr>
      <w:r w:rsidRPr="006A4363">
        <w:rPr>
          <w:rStyle w:val="EndnoteReference"/>
          <w:szCs w:val="18"/>
        </w:rPr>
        <w:endnoteRef/>
      </w:r>
      <w:r w:rsidRPr="006A4363">
        <w:rPr>
          <w:szCs w:val="18"/>
        </w:rPr>
        <w:t xml:space="preserve"> </w:t>
      </w:r>
      <w:r w:rsidRPr="006A4363">
        <w:rPr>
          <w:i/>
          <w:szCs w:val="18"/>
        </w:rPr>
        <w:t>SRB</w:t>
      </w:r>
      <w:r w:rsidRPr="006A4363">
        <w:rPr>
          <w:szCs w:val="18"/>
          <w:lang w:eastAsia="en-GB"/>
        </w:rPr>
        <w:t xml:space="preserve"> </w:t>
      </w:r>
      <w:r>
        <w:rPr>
          <w:szCs w:val="18"/>
          <w:lang w:eastAsia="en-GB"/>
        </w:rPr>
        <w:t>n</w:t>
      </w:r>
      <w:r w:rsidRPr="006A4363">
        <w:rPr>
          <w:szCs w:val="18"/>
          <w:lang w:eastAsia="en-GB"/>
        </w:rPr>
        <w:t xml:space="preserve">ote on Zech. 12:8, </w:t>
      </w:r>
      <w:r w:rsidRPr="006A4363">
        <w:rPr>
          <w:szCs w:val="18"/>
        </w:rPr>
        <w:t>p. 977</w:t>
      </w:r>
      <w:r w:rsidRPr="006A4363">
        <w:rPr>
          <w:szCs w:val="18"/>
          <w:lang w:eastAsia="en-GB"/>
        </w:rPr>
        <w:t xml:space="preserve">.  </w:t>
      </w:r>
      <w:r w:rsidRPr="0036238E">
        <w:rPr>
          <w:b/>
          <w:szCs w:val="18"/>
          <w:lang w:eastAsia="en-GB"/>
        </w:rPr>
        <w:t>See Case Study Zechariah 12</w:t>
      </w:r>
      <w:r>
        <w:rPr>
          <w:szCs w:val="18"/>
          <w:lang w:eastAsia="en-GB"/>
        </w:rPr>
        <w:t>.</w:t>
      </w:r>
    </w:p>
  </w:endnote>
  <w:endnote w:id="2176">
    <w:p w:rsidR="00975183" w:rsidRPr="00B94BAF" w:rsidRDefault="00975183" w:rsidP="006A2E06">
      <w:pPr>
        <w:pStyle w:val="EndnoteText"/>
      </w:pPr>
      <w:r w:rsidRPr="00B94BAF">
        <w:rPr>
          <w:rStyle w:val="EndnoteReference"/>
        </w:rPr>
        <w:endnoteRef/>
      </w:r>
      <w:r w:rsidRPr="00B94BAF">
        <w:t xml:space="preserve"> Scofield, </w:t>
      </w:r>
      <w:r w:rsidRPr="00B94BAF">
        <w:rPr>
          <w:i/>
        </w:rPr>
        <w:t>Bible Correspondence Course, Old Testament</w:t>
      </w:r>
      <w:r w:rsidRPr="00B94BAF">
        <w:t xml:space="preserve">, p. 50.  </w:t>
      </w:r>
      <w:proofErr w:type="gramStart"/>
      <w:r w:rsidRPr="00F73FDE">
        <w:rPr>
          <w:b/>
        </w:rPr>
        <w:t>See 5.5.2</w:t>
      </w:r>
      <w:r>
        <w:t>.</w:t>
      </w:r>
      <w:proofErr w:type="gramEnd"/>
    </w:p>
  </w:endnote>
  <w:endnote w:id="2177">
    <w:p w:rsidR="00975183" w:rsidRPr="00921F1B" w:rsidRDefault="00975183" w:rsidP="006A2E06">
      <w:pPr>
        <w:pStyle w:val="EndnoteText"/>
      </w:pPr>
      <w:r w:rsidRPr="00921F1B">
        <w:rPr>
          <w:rStyle w:val="EndnoteReference"/>
        </w:rPr>
        <w:endnoteRef/>
      </w:r>
      <w:r w:rsidRPr="00921F1B">
        <w:t xml:space="preserve"> </w:t>
      </w:r>
      <w:r w:rsidRPr="006A4363">
        <w:rPr>
          <w:i/>
          <w:szCs w:val="18"/>
        </w:rPr>
        <w:t>SRB</w:t>
      </w:r>
      <w:r w:rsidRPr="006A4363">
        <w:rPr>
          <w:szCs w:val="18"/>
          <w:lang w:eastAsia="en-GB"/>
        </w:rPr>
        <w:t xml:space="preserve"> </w:t>
      </w:r>
      <w:r>
        <w:rPr>
          <w:szCs w:val="18"/>
          <w:lang w:eastAsia="en-GB"/>
        </w:rPr>
        <w:t>n</w:t>
      </w:r>
      <w:r w:rsidRPr="006A4363">
        <w:rPr>
          <w:szCs w:val="18"/>
          <w:lang w:eastAsia="en-GB"/>
        </w:rPr>
        <w:t>ote on</w:t>
      </w:r>
      <w:r>
        <w:rPr>
          <w:szCs w:val="18"/>
          <w:lang w:eastAsia="en-GB"/>
        </w:rPr>
        <w:t xml:space="preserve"> 2 Sam. 7:16, p. 362.</w:t>
      </w:r>
    </w:p>
  </w:endnote>
  <w:endnote w:id="2178">
    <w:p w:rsidR="00975183" w:rsidRPr="00921F1B" w:rsidRDefault="00975183" w:rsidP="006A2E06">
      <w:pPr>
        <w:pStyle w:val="EndnoteText"/>
      </w:pPr>
      <w:r w:rsidRPr="00921F1B">
        <w:rPr>
          <w:rStyle w:val="EndnoteReference"/>
        </w:rPr>
        <w:endnoteRef/>
      </w:r>
      <w:r w:rsidRPr="00921F1B">
        <w:t xml:space="preserve"> </w:t>
      </w:r>
      <w:r w:rsidRPr="006A4363">
        <w:rPr>
          <w:i/>
          <w:szCs w:val="18"/>
        </w:rPr>
        <w:t>SRB</w:t>
      </w:r>
      <w:r w:rsidRPr="006A4363">
        <w:rPr>
          <w:szCs w:val="18"/>
          <w:lang w:eastAsia="en-GB"/>
        </w:rPr>
        <w:t xml:space="preserve"> </w:t>
      </w:r>
      <w:r>
        <w:rPr>
          <w:szCs w:val="18"/>
          <w:lang w:eastAsia="en-GB"/>
        </w:rPr>
        <w:t xml:space="preserve">subhead to Isa. 11:1, p. 723. </w:t>
      </w:r>
    </w:p>
  </w:endnote>
  <w:endnote w:id="2179">
    <w:p w:rsidR="00975183" w:rsidRDefault="00975183" w:rsidP="006A2E06">
      <w:pPr>
        <w:pStyle w:val="EndnoteText"/>
      </w:pPr>
      <w:r w:rsidRPr="00921F1B">
        <w:rPr>
          <w:rStyle w:val="EndnoteReference"/>
        </w:rPr>
        <w:endnoteRef/>
      </w:r>
      <w:r w:rsidRPr="00921F1B">
        <w:t xml:space="preserve"> </w:t>
      </w:r>
      <w:r w:rsidRPr="006A4363">
        <w:rPr>
          <w:i/>
          <w:szCs w:val="18"/>
        </w:rPr>
        <w:t>SRB</w:t>
      </w:r>
      <w:r w:rsidRPr="006A4363">
        <w:rPr>
          <w:szCs w:val="18"/>
          <w:lang w:eastAsia="en-GB"/>
        </w:rPr>
        <w:t xml:space="preserve"> </w:t>
      </w:r>
      <w:r>
        <w:rPr>
          <w:szCs w:val="18"/>
          <w:lang w:eastAsia="en-GB"/>
        </w:rPr>
        <w:t>notes on Isa. 9:7, p. 721; Isa. 40:1, p. 747; subheads to Isa. 11:1, p. 723; Isa. 16:1, p. 728.</w:t>
      </w:r>
    </w:p>
  </w:endnote>
  <w:endnote w:id="2180">
    <w:p w:rsidR="00975183" w:rsidRDefault="00975183" w:rsidP="006A2E06">
      <w:pPr>
        <w:pStyle w:val="EndnoteText"/>
      </w:pPr>
      <w:r w:rsidRPr="00BD60F8">
        <w:rPr>
          <w:rStyle w:val="FootnoteReference"/>
          <w:szCs w:val="18"/>
        </w:rPr>
        <w:endnoteRef/>
      </w:r>
      <w:r w:rsidRPr="00BD60F8">
        <w:rPr>
          <w:szCs w:val="18"/>
        </w:rPr>
        <w:t xml:space="preserve"> ‘</w:t>
      </w:r>
      <w:r w:rsidRPr="00BD60F8">
        <w:rPr>
          <w:color w:val="000000"/>
          <w:szCs w:val="18"/>
          <w:lang w:val="en-US"/>
        </w:rPr>
        <w:t xml:space="preserve">Incline your ear, and come unto me: hear, and your soul shall live; and I will make an everlasting covenant with you, </w:t>
      </w:r>
      <w:r w:rsidRPr="00BD60F8">
        <w:rPr>
          <w:i/>
          <w:iCs/>
          <w:color w:val="000000"/>
          <w:szCs w:val="18"/>
          <w:lang w:val="en-US"/>
        </w:rPr>
        <w:t>even</w:t>
      </w:r>
      <w:r w:rsidRPr="00BD60F8">
        <w:rPr>
          <w:color w:val="000000"/>
          <w:szCs w:val="18"/>
          <w:lang w:val="en-US"/>
        </w:rPr>
        <w:t xml:space="preserve"> the sure mercies of David.</w:t>
      </w:r>
      <w:r w:rsidRPr="00BD60F8">
        <w:rPr>
          <w:color w:val="000000"/>
          <w:szCs w:val="18"/>
        </w:rPr>
        <w:t xml:space="preserve">’  Isa. 55:3, </w:t>
      </w:r>
      <w:r w:rsidRPr="00BD60F8">
        <w:rPr>
          <w:i/>
          <w:color w:val="000000"/>
          <w:szCs w:val="18"/>
        </w:rPr>
        <w:t>KJV</w:t>
      </w:r>
      <w:r w:rsidRPr="00BD60F8">
        <w:rPr>
          <w:color w:val="000000"/>
          <w:szCs w:val="18"/>
        </w:rPr>
        <w:t>.</w:t>
      </w:r>
    </w:p>
  </w:endnote>
  <w:endnote w:id="2181">
    <w:p w:rsidR="00975183" w:rsidRDefault="00975183" w:rsidP="006A2E06">
      <w:pPr>
        <w:pStyle w:val="EndnoteText"/>
      </w:pPr>
      <w:r w:rsidRPr="00BD60F8">
        <w:rPr>
          <w:rStyle w:val="FootnoteReference"/>
          <w:szCs w:val="18"/>
        </w:rPr>
        <w:endnoteRef/>
      </w:r>
      <w:r w:rsidRPr="00BD60F8">
        <w:rPr>
          <w:szCs w:val="18"/>
        </w:rPr>
        <w:t xml:space="preserve"> Isaiah 9:7; 17:3; 19:2; 34:12; 60:12.</w:t>
      </w:r>
    </w:p>
  </w:endnote>
  <w:endnote w:id="2182">
    <w:p w:rsidR="00975183" w:rsidRDefault="00975183" w:rsidP="006A2E06">
      <w:pPr>
        <w:pStyle w:val="EndnoteText"/>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subhead to Isa.11:1, p. 723</w:t>
      </w:r>
      <w:r>
        <w:rPr>
          <w:szCs w:val="18"/>
        </w:rPr>
        <w:t>.</w:t>
      </w:r>
    </w:p>
  </w:endnote>
  <w:endnote w:id="2183">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w:t>
      </w:r>
      <w:r>
        <w:rPr>
          <w:szCs w:val="18"/>
        </w:rPr>
        <w:t>s</w:t>
      </w:r>
      <w:r w:rsidRPr="006A4363">
        <w:rPr>
          <w:szCs w:val="18"/>
        </w:rPr>
        <w:t>ubhead to Isa. 16:1, p. 728</w:t>
      </w:r>
      <w:r w:rsidRPr="006A4363">
        <w:rPr>
          <w:szCs w:val="18"/>
          <w:lang w:eastAsia="en-GB"/>
        </w:rPr>
        <w:t>.</w:t>
      </w:r>
    </w:p>
  </w:endnote>
  <w:endnote w:id="2184">
    <w:p w:rsidR="00975183" w:rsidRDefault="00975183" w:rsidP="006A2E06">
      <w:pPr>
        <w:pStyle w:val="EndnoteText"/>
      </w:pPr>
      <w:r w:rsidRPr="00BD60F8">
        <w:rPr>
          <w:rStyle w:val="FootnoteReference"/>
          <w:szCs w:val="18"/>
        </w:rPr>
        <w:endnoteRef/>
      </w:r>
      <w:r w:rsidRPr="00BD60F8">
        <w:rPr>
          <w:szCs w:val="18"/>
        </w:rPr>
        <w:t xml:space="preserve"> </w:t>
      </w:r>
      <w:r w:rsidRPr="00BD60F8">
        <w:rPr>
          <w:i/>
          <w:szCs w:val="18"/>
        </w:rPr>
        <w:t>SRB</w:t>
      </w:r>
      <w:r>
        <w:rPr>
          <w:szCs w:val="18"/>
        </w:rPr>
        <w:t xml:space="preserve"> </w:t>
      </w:r>
      <w:r>
        <w:rPr>
          <w:szCs w:val="18"/>
          <w:lang w:eastAsia="en-GB"/>
        </w:rPr>
        <w:t>s</w:t>
      </w:r>
      <w:r w:rsidRPr="00BD60F8">
        <w:rPr>
          <w:szCs w:val="18"/>
          <w:lang w:eastAsia="en-GB"/>
        </w:rPr>
        <w:t xml:space="preserve">ubhead to Jer. 33:1, </w:t>
      </w:r>
      <w:r w:rsidRPr="00BD60F8">
        <w:rPr>
          <w:szCs w:val="18"/>
        </w:rPr>
        <w:t>p. 809</w:t>
      </w:r>
      <w:r w:rsidRPr="00BD60F8">
        <w:rPr>
          <w:szCs w:val="18"/>
          <w:lang w:eastAsia="en-GB"/>
        </w:rPr>
        <w:t>.</w:t>
      </w:r>
    </w:p>
  </w:endnote>
  <w:endnote w:id="2185">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proofErr w:type="gramStart"/>
      <w:r w:rsidRPr="006A4363">
        <w:rPr>
          <w:szCs w:val="18"/>
        </w:rPr>
        <w:t>Jeremiah 33:15, 17, 21, 22, 26.</w:t>
      </w:r>
      <w:proofErr w:type="gramEnd"/>
    </w:p>
  </w:endnote>
  <w:endnote w:id="2186">
    <w:p w:rsidR="00975183" w:rsidRDefault="00975183" w:rsidP="006A2E06">
      <w:pPr>
        <w:pStyle w:val="EndnoteText"/>
      </w:pPr>
      <w:r w:rsidRPr="00C41E60">
        <w:rPr>
          <w:rStyle w:val="EndnoteReference"/>
        </w:rPr>
        <w:endnoteRef/>
      </w:r>
      <w:r w:rsidRPr="00C41E60">
        <w:t xml:space="preserve"> </w:t>
      </w:r>
      <w:r w:rsidRPr="00C41E60">
        <w:rPr>
          <w:i/>
          <w:szCs w:val="18"/>
        </w:rPr>
        <w:t>SRB</w:t>
      </w:r>
      <w:r w:rsidRPr="00C41E60">
        <w:rPr>
          <w:szCs w:val="18"/>
        </w:rPr>
        <w:t xml:space="preserve"> s</w:t>
      </w:r>
      <w:r w:rsidRPr="00C41E60">
        <w:rPr>
          <w:szCs w:val="18"/>
          <w:lang w:eastAsia="en-GB"/>
        </w:rPr>
        <w:t xml:space="preserve">ubhead to Ezek. 34:11, </w:t>
      </w:r>
      <w:r w:rsidRPr="00C41E60">
        <w:rPr>
          <w:szCs w:val="18"/>
        </w:rPr>
        <w:t>p. 878</w:t>
      </w:r>
      <w:r w:rsidRPr="00C41E60">
        <w:rPr>
          <w:szCs w:val="18"/>
          <w:lang w:eastAsia="en-GB"/>
        </w:rPr>
        <w:t xml:space="preserve">; </w:t>
      </w:r>
      <w:r w:rsidRPr="00C41E60">
        <w:t xml:space="preserve">block-capital heading to </w:t>
      </w:r>
      <w:r w:rsidRPr="00C41E60">
        <w:rPr>
          <w:szCs w:val="18"/>
        </w:rPr>
        <w:t xml:space="preserve">Ezek. 33:21 – 36:38, p. 875; </w:t>
      </w:r>
      <w:r w:rsidRPr="00C41E60">
        <w:t>block-capital heading</w:t>
      </w:r>
      <w:r w:rsidRPr="006173F4">
        <w:t xml:space="preserve"> to Ezekiel 37:1 – 39:29, p. 881</w:t>
      </w:r>
      <w:r>
        <w:t>.</w:t>
      </w:r>
    </w:p>
  </w:endnote>
  <w:endnote w:id="2187">
    <w:p w:rsidR="00975183" w:rsidRPr="00D36B1A" w:rsidRDefault="00975183" w:rsidP="006A2E06">
      <w:pPr>
        <w:pStyle w:val="EndnoteText"/>
        <w:rPr>
          <w:lang w:val="en-US"/>
        </w:rPr>
      </w:pPr>
      <w:r w:rsidRPr="00D36B1A">
        <w:rPr>
          <w:rStyle w:val="EndnoteReference"/>
        </w:rPr>
        <w:endnoteRef/>
      </w:r>
      <w:r w:rsidRPr="00D36B1A">
        <w:t xml:space="preserve"> </w:t>
      </w:r>
      <w:r w:rsidRPr="00D36B1A">
        <w:rPr>
          <w:lang w:val="en-US"/>
        </w:rPr>
        <w:t>‘</w:t>
      </w:r>
      <w:r w:rsidRPr="00D36B1A">
        <w:rPr>
          <w:rFonts w:cs="Arial"/>
          <w:lang w:val="en-US" w:bidi="he-IL"/>
        </w:rPr>
        <w:t xml:space="preserve">And I will set up one shepherd over them, and he shall feed them, </w:t>
      </w:r>
      <w:r w:rsidRPr="00D36B1A">
        <w:rPr>
          <w:rFonts w:cs="Arial"/>
          <w:i/>
          <w:iCs/>
          <w:lang w:val="en-US" w:bidi="he-IL"/>
        </w:rPr>
        <w:t xml:space="preserve">even </w:t>
      </w:r>
      <w:r w:rsidRPr="00D36B1A">
        <w:rPr>
          <w:rFonts w:cs="Arial"/>
          <w:lang w:val="en-US" w:bidi="he-IL"/>
        </w:rPr>
        <w:t xml:space="preserve">my servant David; he shall feed them, and he shall be their shepherd. </w:t>
      </w:r>
      <w:r w:rsidRPr="00D36B1A">
        <w:rPr>
          <w:rFonts w:cs="Arial"/>
          <w:vertAlign w:val="superscript"/>
          <w:lang w:val="en-US" w:bidi="he-IL"/>
        </w:rPr>
        <w:t>24</w:t>
      </w:r>
      <w:r w:rsidRPr="00D36B1A">
        <w:rPr>
          <w:rFonts w:cs="Arial"/>
          <w:lang w:val="en-US" w:bidi="he-IL"/>
        </w:rPr>
        <w:t xml:space="preserve"> And I the LORD will be their God, and my servant David a prince among them; I the LORD have spoken </w:t>
      </w:r>
      <w:r w:rsidRPr="00D36B1A">
        <w:rPr>
          <w:rFonts w:cs="Arial"/>
          <w:i/>
          <w:iCs/>
          <w:lang w:val="en-US" w:bidi="he-IL"/>
        </w:rPr>
        <w:t>it</w:t>
      </w:r>
      <w:r>
        <w:rPr>
          <w:rFonts w:cs="Arial"/>
          <w:lang w:val="en-US" w:bidi="he-IL"/>
        </w:rPr>
        <w:t xml:space="preserve">.’  Ezek. 34:23-4, </w:t>
      </w:r>
      <w:r w:rsidRPr="00D36B1A">
        <w:rPr>
          <w:rFonts w:cs="Arial"/>
          <w:i/>
          <w:lang w:val="en-US" w:bidi="he-IL"/>
        </w:rPr>
        <w:t>KJV</w:t>
      </w:r>
      <w:r>
        <w:rPr>
          <w:rFonts w:cs="Arial"/>
          <w:lang w:val="en-US" w:bidi="he-IL"/>
        </w:rPr>
        <w:t>.</w:t>
      </w:r>
    </w:p>
  </w:endnote>
  <w:endnote w:id="2188">
    <w:p w:rsidR="00975183" w:rsidRDefault="00975183" w:rsidP="006A2E06">
      <w:pPr>
        <w:pStyle w:val="EndnoteText"/>
      </w:pPr>
      <w:r w:rsidRPr="006951A9">
        <w:rPr>
          <w:rStyle w:val="EndnoteReference"/>
        </w:rPr>
        <w:endnoteRef/>
      </w:r>
      <w:r w:rsidRPr="006951A9">
        <w:t xml:space="preserve"> </w:t>
      </w:r>
      <w:r>
        <w:t>Ezek. 17:14, within Ezek. 17:11-21.  ‘</w:t>
      </w:r>
      <w:r w:rsidRPr="001036B6">
        <w:rPr>
          <w:rFonts w:cs="Arial"/>
          <w:lang w:val="en-US" w:bidi="he-IL"/>
        </w:rPr>
        <w:t xml:space="preserve">That the kingdom might be base, that it might not lift itself up, </w:t>
      </w:r>
      <w:r w:rsidRPr="001036B6">
        <w:rPr>
          <w:rFonts w:cs="Arial"/>
          <w:i/>
          <w:iCs/>
          <w:lang w:val="en-US" w:bidi="he-IL"/>
        </w:rPr>
        <w:t xml:space="preserve">but </w:t>
      </w:r>
      <w:r w:rsidRPr="001036B6">
        <w:rPr>
          <w:rFonts w:cs="Arial"/>
          <w:lang w:val="en-US" w:bidi="he-IL"/>
        </w:rPr>
        <w:t xml:space="preserve">that by keeping of his covenant it might stand. </w:t>
      </w:r>
      <w:r w:rsidRPr="001036B6">
        <w:rPr>
          <w:rFonts w:cs="Arial"/>
          <w:vertAlign w:val="superscript"/>
          <w:lang w:val="en-US" w:bidi="he-IL"/>
        </w:rPr>
        <w:t>15</w:t>
      </w:r>
      <w:r w:rsidRPr="001036B6">
        <w:rPr>
          <w:rFonts w:cs="Arial"/>
          <w:lang w:val="en-US" w:bidi="he-IL"/>
        </w:rPr>
        <w:t xml:space="preserve"> But he rebelled against him in sending his ambassadors into Egypt, that they might give him horses and much people. Shall he prosper? </w:t>
      </w:r>
      <w:proofErr w:type="gramStart"/>
      <w:r w:rsidRPr="001036B6">
        <w:rPr>
          <w:rFonts w:cs="Arial"/>
          <w:lang w:val="en-US" w:bidi="he-IL"/>
        </w:rPr>
        <w:t>shall</w:t>
      </w:r>
      <w:proofErr w:type="gramEnd"/>
      <w:r w:rsidRPr="001036B6">
        <w:rPr>
          <w:rFonts w:cs="Arial"/>
          <w:lang w:val="en-US" w:bidi="he-IL"/>
        </w:rPr>
        <w:t xml:space="preserve"> he escape that doeth such </w:t>
      </w:r>
      <w:r w:rsidRPr="001036B6">
        <w:rPr>
          <w:rFonts w:cs="Arial"/>
          <w:i/>
          <w:iCs/>
          <w:lang w:val="en-US" w:bidi="he-IL"/>
        </w:rPr>
        <w:t>things</w:t>
      </w:r>
      <w:r w:rsidRPr="001036B6">
        <w:rPr>
          <w:rFonts w:cs="Arial"/>
          <w:lang w:val="en-US" w:bidi="he-IL"/>
        </w:rPr>
        <w:t xml:space="preserve">? </w:t>
      </w:r>
      <w:proofErr w:type="gramStart"/>
      <w:r w:rsidRPr="001036B6">
        <w:rPr>
          <w:rFonts w:cs="Arial"/>
          <w:lang w:val="en-US" w:bidi="he-IL"/>
        </w:rPr>
        <w:t>or</w:t>
      </w:r>
      <w:proofErr w:type="gramEnd"/>
      <w:r w:rsidRPr="001036B6">
        <w:rPr>
          <w:rFonts w:cs="Arial"/>
          <w:lang w:val="en-US" w:bidi="he-IL"/>
        </w:rPr>
        <w:t xml:space="preserve"> shall he break the covenant, and be delivered?</w:t>
      </w:r>
      <w:r>
        <w:rPr>
          <w:rFonts w:cs="Arial"/>
          <w:lang w:val="en-US" w:bidi="he-IL"/>
        </w:rPr>
        <w:t>’</w:t>
      </w:r>
      <w:r w:rsidRPr="001036B6">
        <w:rPr>
          <w:rFonts w:cs="Arial"/>
          <w:lang w:val="en-US" w:bidi="he-IL"/>
        </w:rPr>
        <w:t xml:space="preserve"> </w:t>
      </w:r>
      <w:r>
        <w:rPr>
          <w:rFonts w:cs="Arial"/>
          <w:lang w:val="en-US" w:bidi="he-IL"/>
        </w:rPr>
        <w:t xml:space="preserve"> Ezek. 17:14-15, </w:t>
      </w:r>
      <w:r w:rsidRPr="001036B6">
        <w:rPr>
          <w:rFonts w:cs="Arial"/>
          <w:i/>
          <w:lang w:val="en-US" w:bidi="he-IL"/>
        </w:rPr>
        <w:t>KJV</w:t>
      </w:r>
      <w:r>
        <w:rPr>
          <w:rFonts w:cs="Arial"/>
          <w:lang w:val="en-US" w:bidi="he-IL"/>
        </w:rPr>
        <w:t>.</w:t>
      </w:r>
    </w:p>
  </w:endnote>
  <w:endnote w:id="2189">
    <w:p w:rsidR="00975183" w:rsidRDefault="00975183" w:rsidP="006A2E06">
      <w:pPr>
        <w:pStyle w:val="EndnoteText"/>
      </w:pPr>
      <w:r w:rsidRPr="001A7B6D">
        <w:rPr>
          <w:rStyle w:val="EndnoteReference"/>
        </w:rPr>
        <w:endnoteRef/>
      </w:r>
      <w:r w:rsidRPr="001A7B6D">
        <w:t xml:space="preserve"> </w:t>
      </w:r>
      <w:r w:rsidRPr="001A7B6D">
        <w:rPr>
          <w:lang w:val="en-US"/>
        </w:rPr>
        <w:t>‘</w:t>
      </w:r>
      <w:r w:rsidRPr="001A7B6D">
        <w:rPr>
          <w:rFonts w:cs="Arial"/>
          <w:lang w:val="en-US" w:bidi="he-IL"/>
        </w:rPr>
        <w:t xml:space="preserve">And David my servant </w:t>
      </w:r>
      <w:r w:rsidRPr="001A7B6D">
        <w:rPr>
          <w:rFonts w:cs="Arial"/>
          <w:i/>
          <w:iCs/>
          <w:lang w:val="en-US" w:bidi="he-IL"/>
        </w:rPr>
        <w:t xml:space="preserve">shall be </w:t>
      </w:r>
      <w:r w:rsidRPr="001A7B6D">
        <w:rPr>
          <w:rFonts w:cs="Arial"/>
          <w:lang w:val="en-US" w:bidi="he-IL"/>
        </w:rPr>
        <w:t xml:space="preserve">king over them; and they all shall have one shepherd: they shall also walk in my judgments, and observe my statutes, and do them. </w:t>
      </w:r>
      <w:r w:rsidRPr="001A7B6D">
        <w:rPr>
          <w:rFonts w:cs="Arial"/>
          <w:vertAlign w:val="superscript"/>
          <w:lang w:val="en-US" w:bidi="he-IL"/>
        </w:rPr>
        <w:t>25</w:t>
      </w:r>
      <w:r w:rsidRPr="001A7B6D">
        <w:rPr>
          <w:rFonts w:cs="Arial"/>
          <w:lang w:val="en-US" w:bidi="he-IL"/>
        </w:rPr>
        <w:t xml:space="preserve"> And they shall dwell in the land that I have given unto Jacob my servant, wherein your fathers have dwelt; and they shall dwell therein, </w:t>
      </w:r>
      <w:r w:rsidRPr="001A7B6D">
        <w:rPr>
          <w:rFonts w:cs="Arial"/>
          <w:i/>
          <w:iCs/>
          <w:lang w:val="en-US" w:bidi="he-IL"/>
        </w:rPr>
        <w:t xml:space="preserve">even </w:t>
      </w:r>
      <w:r w:rsidRPr="001A7B6D">
        <w:rPr>
          <w:rFonts w:cs="Arial"/>
          <w:lang w:val="en-US" w:bidi="he-IL"/>
        </w:rPr>
        <w:t xml:space="preserve">they, and their children, and their children's children for ever: and my servant David </w:t>
      </w:r>
      <w:r w:rsidRPr="001A7B6D">
        <w:rPr>
          <w:rFonts w:cs="Arial"/>
          <w:i/>
          <w:iCs/>
          <w:lang w:val="en-US" w:bidi="he-IL"/>
        </w:rPr>
        <w:t xml:space="preserve">shall be </w:t>
      </w:r>
      <w:r w:rsidRPr="001A7B6D">
        <w:rPr>
          <w:rFonts w:cs="Arial"/>
          <w:lang w:val="en-US" w:bidi="he-IL"/>
        </w:rPr>
        <w:t>their prince for ever.</w:t>
      </w:r>
      <w:r>
        <w:rPr>
          <w:rFonts w:cs="Arial"/>
          <w:lang w:val="en-US" w:bidi="he-IL"/>
        </w:rPr>
        <w:t>’  Ezek. 37:24-5.</w:t>
      </w:r>
    </w:p>
  </w:endnote>
  <w:endnote w:id="2190">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Pr>
          <w:szCs w:val="18"/>
        </w:rPr>
        <w:t xml:space="preserve"> n</w:t>
      </w:r>
      <w:r w:rsidRPr="006A4363">
        <w:rPr>
          <w:szCs w:val="18"/>
          <w:lang w:eastAsia="en-GB"/>
        </w:rPr>
        <w:t xml:space="preserve">ote on Dan. 7:14, </w:t>
      </w:r>
      <w:r w:rsidRPr="006A4363">
        <w:rPr>
          <w:szCs w:val="18"/>
        </w:rPr>
        <w:t>p. 910</w:t>
      </w:r>
      <w:r>
        <w:rPr>
          <w:szCs w:val="18"/>
          <w:lang w:eastAsia="en-GB"/>
        </w:rPr>
        <w:t xml:space="preserve">. </w:t>
      </w:r>
      <w:r w:rsidRPr="006A4363">
        <w:rPr>
          <w:szCs w:val="18"/>
        </w:rPr>
        <w:t xml:space="preserve"> </w:t>
      </w:r>
    </w:p>
  </w:endnote>
  <w:endnote w:id="2191">
    <w:p w:rsidR="00975183" w:rsidRDefault="00975183" w:rsidP="006A2E06">
      <w:pPr>
        <w:pStyle w:val="EndnoteText"/>
      </w:pPr>
      <w:r w:rsidRPr="00BD60F8">
        <w:rPr>
          <w:rStyle w:val="FootnoteReference"/>
          <w:szCs w:val="18"/>
        </w:rPr>
        <w:endnoteRef/>
      </w:r>
      <w:r w:rsidRPr="00BD60F8">
        <w:rPr>
          <w:szCs w:val="18"/>
        </w:rPr>
        <w:t xml:space="preserve"> ‘</w:t>
      </w:r>
      <w:r w:rsidRPr="00BD60F8">
        <w:rPr>
          <w:szCs w:val="18"/>
          <w:lang w:val="en-US"/>
        </w:rPr>
        <w:t>And one of the elders saith unto me, Weep not: behold, the Lion of the tribe of Judah, the Root of David, hath prevailed to open the book, and to loose the seven seals thereof</w:t>
      </w:r>
      <w:r w:rsidRPr="00BD60F8">
        <w:rPr>
          <w:szCs w:val="18"/>
        </w:rPr>
        <w:t xml:space="preserve">’, Rev. 5:5, </w:t>
      </w:r>
      <w:r w:rsidRPr="00BD60F8">
        <w:rPr>
          <w:i/>
          <w:szCs w:val="18"/>
        </w:rPr>
        <w:t>KJV</w:t>
      </w:r>
      <w:r w:rsidRPr="00BD60F8">
        <w:rPr>
          <w:szCs w:val="18"/>
        </w:rPr>
        <w:t>.</w:t>
      </w:r>
    </w:p>
  </w:endnote>
  <w:endnote w:id="2192">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Introduction to Amos, p. 934; s</w:t>
      </w:r>
      <w:r w:rsidRPr="00BD60F8">
        <w:t xml:space="preserve">ubhead to Amos 9:11, p. 940.  </w:t>
      </w:r>
    </w:p>
  </w:endnote>
  <w:endnote w:id="2193">
    <w:p w:rsidR="00975183" w:rsidRDefault="00975183" w:rsidP="006A2E06">
      <w:pPr>
        <w:pStyle w:val="FootnoteText"/>
      </w:pPr>
      <w:r w:rsidRPr="00BD60F8">
        <w:rPr>
          <w:rStyle w:val="FootnoteReference"/>
          <w:rFonts w:ascii="Perpetua" w:hAnsi="Perpetua"/>
        </w:rPr>
        <w:endnoteRef/>
      </w:r>
      <w:r w:rsidRPr="00BD60F8">
        <w:rPr>
          <w:rFonts w:ascii="Perpetua" w:hAnsi="Perpetua"/>
        </w:rPr>
        <w:t xml:space="preserve"> ‘</w:t>
      </w:r>
      <w:r w:rsidRPr="00BD60F8">
        <w:rPr>
          <w:rFonts w:ascii="Perpetua" w:hAnsi="Perpetua"/>
          <w:lang w:val="en-US"/>
        </w:rPr>
        <w:t xml:space="preserve">Behold, the eyes of the Lord GOD </w:t>
      </w:r>
      <w:r w:rsidRPr="00BD60F8">
        <w:rPr>
          <w:rFonts w:ascii="Perpetua" w:hAnsi="Perpetua"/>
          <w:i/>
          <w:iCs/>
          <w:lang w:val="en-US"/>
        </w:rPr>
        <w:t>are</w:t>
      </w:r>
      <w:r w:rsidRPr="00BD60F8">
        <w:rPr>
          <w:rFonts w:ascii="Perpetua" w:hAnsi="Perpetua"/>
          <w:lang w:val="en-US"/>
        </w:rPr>
        <w:t xml:space="preserve"> upon the sinful </w:t>
      </w:r>
      <w:r w:rsidRPr="00BD60F8">
        <w:rPr>
          <w:rFonts w:ascii="Perpetua" w:hAnsi="Perpetua"/>
          <w:color w:val="000000"/>
          <w:lang w:val="en-US"/>
        </w:rPr>
        <w:t>kingdom, and I will destroy it from off the face of the earth; saving that I will not utterly destroy the house of Jacob, saith the LORD.</w:t>
      </w:r>
      <w:r w:rsidRPr="00BD60F8">
        <w:rPr>
          <w:rFonts w:ascii="Perpetua" w:hAnsi="Perpetua"/>
        </w:rPr>
        <w:t xml:space="preserve">’ Amos 9:8, </w:t>
      </w:r>
      <w:r w:rsidRPr="00BD60F8">
        <w:rPr>
          <w:rFonts w:ascii="Perpetua" w:hAnsi="Perpetua"/>
          <w:i/>
        </w:rPr>
        <w:t>KJV</w:t>
      </w:r>
      <w:r w:rsidRPr="00BD60F8">
        <w:rPr>
          <w:rFonts w:ascii="Perpetua" w:hAnsi="Perpetua"/>
        </w:rPr>
        <w:t>.</w:t>
      </w:r>
    </w:p>
  </w:endnote>
  <w:endnote w:id="2194">
    <w:p w:rsidR="00975183" w:rsidRDefault="00975183" w:rsidP="006A2E06">
      <w:pPr>
        <w:pStyle w:val="EndnoteText"/>
      </w:pPr>
      <w:r w:rsidRPr="00BD60F8">
        <w:rPr>
          <w:rStyle w:val="FootnoteReference"/>
        </w:rPr>
        <w:endnoteRef/>
      </w:r>
      <w:r w:rsidRPr="00BD60F8">
        <w:t xml:space="preserve"> </w:t>
      </w:r>
      <w:r w:rsidRPr="00BD60F8">
        <w:rPr>
          <w:i/>
        </w:rPr>
        <w:t>Sic</w:t>
      </w:r>
      <w:r w:rsidRPr="00BD60F8">
        <w:t>.</w:t>
      </w:r>
    </w:p>
  </w:endnote>
  <w:endnote w:id="2195">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rPr>
          <w:lang w:eastAsia="en-GB"/>
        </w:rPr>
        <w:t xml:space="preserve">ote on Hab. 2:14, </w:t>
      </w:r>
      <w:r w:rsidRPr="006A4363">
        <w:t>p. 957</w:t>
      </w:r>
      <w:r w:rsidRPr="006A4363">
        <w:rPr>
          <w:lang w:eastAsia="en-GB"/>
        </w:rPr>
        <w:t xml:space="preserve">.  </w:t>
      </w:r>
    </w:p>
  </w:endnote>
  <w:endnote w:id="2196">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ote on Mt. 3:2, p. 996</w:t>
      </w:r>
      <w:r w:rsidRPr="006A4363">
        <w:rPr>
          <w:lang w:eastAsia="en-GB"/>
        </w:rPr>
        <w:t>.</w:t>
      </w:r>
    </w:p>
  </w:endnote>
  <w:endnote w:id="2197">
    <w:p w:rsidR="00975183" w:rsidRPr="006A4363" w:rsidRDefault="00975183" w:rsidP="006A2E06">
      <w:pPr>
        <w:pStyle w:val="EndnoteText"/>
      </w:pPr>
      <w:r w:rsidRPr="006A4363">
        <w:rPr>
          <w:rStyle w:val="EndnoteReference"/>
        </w:rPr>
        <w:endnoteRef/>
      </w:r>
      <w:r w:rsidRPr="006A4363">
        <w:t xml:space="preserve"> </w:t>
      </w:r>
      <w:r w:rsidRPr="006A4363">
        <w:rPr>
          <w:i/>
        </w:rPr>
        <w:t xml:space="preserve">SRB </w:t>
      </w:r>
      <w:r w:rsidRPr="006A4363">
        <w:t>note on</w:t>
      </w:r>
      <w:r w:rsidRPr="006A4363">
        <w:rPr>
          <w:i/>
        </w:rPr>
        <w:t xml:space="preserve"> </w:t>
      </w:r>
      <w:r w:rsidRPr="006A4363">
        <w:rPr>
          <w:lang w:eastAsia="en-GB"/>
        </w:rPr>
        <w:t xml:space="preserve">Mt. 4:17, </w:t>
      </w:r>
      <w:r w:rsidRPr="006A4363">
        <w:t>p. 998</w:t>
      </w:r>
      <w:r w:rsidRPr="006A4363">
        <w:rPr>
          <w:lang w:eastAsia="en-GB"/>
        </w:rPr>
        <w:t>.</w:t>
      </w:r>
      <w:r w:rsidRPr="006A4363">
        <w:t xml:space="preserve">  </w:t>
      </w:r>
    </w:p>
  </w:endnote>
  <w:endnote w:id="2198">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6:33, p. 1003.  </w:t>
      </w:r>
    </w:p>
  </w:endnote>
  <w:endnote w:id="2199">
    <w:p w:rsidR="00975183" w:rsidRPr="006A4363" w:rsidRDefault="00975183" w:rsidP="006A2E06">
      <w:pPr>
        <w:pStyle w:val="EndnoteText"/>
      </w:pPr>
      <w:r w:rsidRPr="006A4363">
        <w:rPr>
          <w:rStyle w:val="EndnoteReference"/>
        </w:rPr>
        <w:endnoteRef/>
      </w:r>
      <w:r w:rsidRPr="006A4363">
        <w:t xml:space="preserve"> </w:t>
      </w:r>
      <w:r w:rsidRPr="006A4363">
        <w:rPr>
          <w:i/>
        </w:rPr>
        <w:t>SRB</w:t>
      </w:r>
      <w:r>
        <w:t xml:space="preserve"> I</w:t>
      </w:r>
      <w:r w:rsidRPr="006A4363">
        <w:t>ntroduction to Acts, p. 1147.</w:t>
      </w:r>
      <w:r>
        <w:t xml:space="preserve">  Refs Acts 2:25-31; 15:14-16.</w:t>
      </w:r>
      <w:r w:rsidRPr="006A4363">
        <w:t xml:space="preserve">  </w:t>
      </w:r>
    </w:p>
  </w:endnote>
  <w:endnote w:id="2200">
    <w:p w:rsidR="00975183" w:rsidRPr="00871BB8" w:rsidRDefault="00975183" w:rsidP="006A2E06">
      <w:pPr>
        <w:pStyle w:val="EndnoteText"/>
        <w:rPr>
          <w:lang w:val="en-US"/>
        </w:rPr>
      </w:pPr>
      <w:r w:rsidRPr="00BD60F8">
        <w:rPr>
          <w:rStyle w:val="FootnoteReference"/>
        </w:rPr>
        <w:endnoteRef/>
      </w:r>
      <w:r w:rsidRPr="00BD60F8">
        <w:t xml:space="preserve"> Acts 1:16; 2:25, 29, 34; 4:25; 7:45; 13:22, 34, 36; 15:16.</w:t>
      </w:r>
    </w:p>
  </w:endnote>
  <w:endnote w:id="2201">
    <w:p w:rsidR="00975183" w:rsidRPr="00871BB8" w:rsidRDefault="00975183" w:rsidP="006A2E06">
      <w:pPr>
        <w:pStyle w:val="EndnoteText"/>
        <w:rPr>
          <w:lang w:val="en-US"/>
        </w:rPr>
      </w:pPr>
      <w:r w:rsidRPr="00BD60F8">
        <w:rPr>
          <w:rStyle w:val="FootnoteReference"/>
        </w:rPr>
        <w:endnoteRef/>
      </w:r>
      <w:r w:rsidRPr="00BD60F8">
        <w:t xml:space="preserve"> Acts 1:3, 6; 8:12; 14:22; 19:8; 20:25; 28:23, 31.</w:t>
      </w:r>
    </w:p>
  </w:endnote>
  <w:endnote w:id="2202">
    <w:p w:rsidR="00975183" w:rsidRPr="00871BB8" w:rsidRDefault="00975183" w:rsidP="006A2E06">
      <w:pPr>
        <w:pStyle w:val="EndnoteText"/>
        <w:rPr>
          <w:lang w:val="en-US"/>
        </w:rPr>
      </w:pPr>
      <w:r w:rsidRPr="00BD60F8">
        <w:rPr>
          <w:rStyle w:val="FootnoteReference"/>
        </w:rPr>
        <w:endnoteRef/>
      </w:r>
      <w:r w:rsidRPr="00BD60F8">
        <w:t xml:space="preserve"> </w:t>
      </w:r>
      <w:proofErr w:type="gramStart"/>
      <w:r w:rsidRPr="00BD60F8">
        <w:t>Acts 1:6.</w:t>
      </w:r>
      <w:proofErr w:type="gramEnd"/>
    </w:p>
  </w:endnote>
  <w:endnote w:id="2203">
    <w:p w:rsidR="00975183" w:rsidRPr="00FA3B47" w:rsidRDefault="00975183" w:rsidP="006A2E06">
      <w:pPr>
        <w:pStyle w:val="FootnoteText"/>
        <w:rPr>
          <w:rFonts w:ascii="Perpetua" w:hAnsi="Perpetua"/>
        </w:rPr>
      </w:pPr>
      <w:r w:rsidRPr="00BD60F8">
        <w:rPr>
          <w:rStyle w:val="FootnoteReference"/>
          <w:rFonts w:ascii="Perpetua" w:hAnsi="Perpetua"/>
        </w:rPr>
        <w:endnoteRef/>
      </w:r>
      <w:r w:rsidRPr="00BD60F8">
        <w:rPr>
          <w:rFonts w:ascii="Perpetua" w:hAnsi="Perpetua"/>
        </w:rPr>
        <w:t xml:space="preserve"> ‘</w:t>
      </w:r>
      <w:r w:rsidRPr="00BD60F8">
        <w:rPr>
          <w:rFonts w:ascii="Perpetua" w:eastAsiaTheme="minorHAnsi" w:hAnsi="Perpetua"/>
          <w:lang w:val="en-US"/>
        </w:rPr>
        <w:t xml:space="preserve">Men </w:t>
      </w:r>
      <w:r w:rsidRPr="00BD60F8">
        <w:rPr>
          <w:rFonts w:ascii="Perpetua" w:eastAsiaTheme="minorHAnsi" w:hAnsi="Perpetua"/>
          <w:i/>
          <w:iCs/>
          <w:lang w:val="en-US"/>
        </w:rPr>
        <w:t>and</w:t>
      </w:r>
      <w:r w:rsidRPr="00BD60F8">
        <w:rPr>
          <w:rFonts w:ascii="Perpetua" w:eastAsiaTheme="minorHAnsi" w:hAnsi="Perpetua"/>
          <w:lang w:val="en-US"/>
        </w:rPr>
        <w:t xml:space="preserve"> brethren, this scripture must needs have been fulfilled, which the Holy Ghost by the mouth of David spake before concerning Judas, </w:t>
      </w:r>
      <w:r w:rsidRPr="00FA3B47">
        <w:rPr>
          <w:rFonts w:ascii="Perpetua" w:eastAsiaTheme="minorHAnsi" w:hAnsi="Perpetua"/>
          <w:lang w:val="en-US"/>
        </w:rPr>
        <w:t>which was guide to them that took Jesus</w:t>
      </w:r>
      <w:r w:rsidRPr="00FA3B47">
        <w:rPr>
          <w:rFonts w:ascii="Perpetua" w:hAnsi="Perpetua"/>
        </w:rPr>
        <w:t xml:space="preserve">’, Acts 1:16 </w:t>
      </w:r>
      <w:r w:rsidRPr="00FA3B47">
        <w:rPr>
          <w:rFonts w:ascii="Perpetua" w:hAnsi="Perpetua"/>
          <w:i/>
        </w:rPr>
        <w:t>KJV</w:t>
      </w:r>
      <w:r w:rsidRPr="00FA3B47">
        <w:rPr>
          <w:rFonts w:ascii="Perpetua" w:hAnsi="Perpetua"/>
        </w:rPr>
        <w:t>.</w:t>
      </w:r>
    </w:p>
    <w:p w:rsidR="00975183" w:rsidRPr="00BD60F8" w:rsidRDefault="00975183" w:rsidP="006A2E06">
      <w:pPr>
        <w:pStyle w:val="FootnoteText"/>
        <w:rPr>
          <w:rFonts w:ascii="Perpetua" w:hAnsi="Perpetua"/>
        </w:rPr>
      </w:pPr>
      <w:r w:rsidRPr="00FA3B47">
        <w:rPr>
          <w:rFonts w:ascii="Perpetua" w:hAnsi="Perpetua"/>
        </w:rPr>
        <w:t>‘</w:t>
      </w:r>
      <w:r w:rsidRPr="00FA3B47">
        <w:rPr>
          <w:rFonts w:ascii="Perpetua" w:eastAsiaTheme="minorHAnsi" w:hAnsi="Perpetua"/>
          <w:lang w:val="en-US"/>
        </w:rPr>
        <w:t>For David speaketh concerning him,</w:t>
      </w:r>
      <w:r w:rsidRPr="00BD60F8">
        <w:rPr>
          <w:rFonts w:ascii="Perpetua" w:eastAsiaTheme="minorHAnsi" w:hAnsi="Perpetua"/>
          <w:lang w:val="en-US"/>
        </w:rPr>
        <w:t xml:space="preserve"> I foresaw the Lord always before my face, for he is on my right hand, that I should not be moved</w:t>
      </w:r>
      <w:r w:rsidRPr="00BD60F8">
        <w:rPr>
          <w:rFonts w:ascii="Perpetua" w:hAnsi="Perpetua"/>
        </w:rPr>
        <w:t xml:space="preserve">’, Acts 2:25, </w:t>
      </w:r>
      <w:r w:rsidRPr="00BD60F8">
        <w:rPr>
          <w:rFonts w:ascii="Perpetua" w:hAnsi="Perpetua"/>
          <w:i/>
        </w:rPr>
        <w:t>KJV</w:t>
      </w:r>
      <w:r>
        <w:rPr>
          <w:rFonts w:ascii="Perpetua" w:hAnsi="Perpetua"/>
        </w:rPr>
        <w:t>.</w:t>
      </w:r>
    </w:p>
    <w:p w:rsidR="00975183" w:rsidRPr="00BD60F8" w:rsidRDefault="00975183" w:rsidP="006A2E06">
      <w:pPr>
        <w:pStyle w:val="FootnoteText"/>
        <w:rPr>
          <w:rFonts w:ascii="Perpetua" w:hAnsi="Perpetua"/>
          <w:szCs w:val="18"/>
        </w:rPr>
      </w:pPr>
      <w:r w:rsidRPr="00BD60F8">
        <w:rPr>
          <w:rFonts w:ascii="Perpetua" w:hAnsi="Perpetua"/>
          <w:szCs w:val="18"/>
        </w:rPr>
        <w:t xml:space="preserve"> ‘</w:t>
      </w:r>
      <w:r w:rsidRPr="00BD60F8">
        <w:rPr>
          <w:rFonts w:ascii="Perpetua" w:hAnsi="Perpetua"/>
          <w:szCs w:val="18"/>
          <w:lang w:val="en-US"/>
        </w:rPr>
        <w:t xml:space="preserve">For </w:t>
      </w:r>
      <w:r w:rsidRPr="00BD60F8">
        <w:rPr>
          <w:rFonts w:ascii="Perpetua" w:hAnsi="Perpetua"/>
          <w:color w:val="000000"/>
          <w:szCs w:val="18"/>
          <w:lang w:val="en-US"/>
        </w:rPr>
        <w:t xml:space="preserve">David is not ascended into the heavens: but he saith himself, The LORD said unto my Lord, Sit thou on my right hand, </w:t>
      </w:r>
      <w:r w:rsidRPr="00BD60F8">
        <w:rPr>
          <w:rFonts w:ascii="Perpetua" w:hAnsi="Perpetua"/>
          <w:color w:val="000000"/>
          <w:szCs w:val="18"/>
          <w:vertAlign w:val="superscript"/>
          <w:lang w:val="en-US"/>
        </w:rPr>
        <w:t>35</w:t>
      </w:r>
      <w:r w:rsidRPr="00BD60F8">
        <w:rPr>
          <w:rFonts w:ascii="Perpetua" w:hAnsi="Perpetua"/>
          <w:color w:val="000000"/>
          <w:szCs w:val="18"/>
          <w:lang w:val="en-US"/>
        </w:rPr>
        <w:t xml:space="preserve">Until I make thy foes thy footstool’, Acts 2:34-5, </w:t>
      </w:r>
      <w:r w:rsidRPr="00BD60F8">
        <w:rPr>
          <w:rFonts w:ascii="Perpetua" w:hAnsi="Perpetua"/>
          <w:i/>
          <w:color w:val="000000"/>
          <w:szCs w:val="18"/>
          <w:lang w:val="en-US"/>
        </w:rPr>
        <w:t>KJV</w:t>
      </w:r>
      <w:r w:rsidRPr="00BD60F8">
        <w:rPr>
          <w:rFonts w:ascii="Perpetua" w:hAnsi="Perpetua"/>
          <w:szCs w:val="18"/>
        </w:rPr>
        <w:t xml:space="preserve">; </w:t>
      </w:r>
    </w:p>
    <w:p w:rsidR="00975183" w:rsidRPr="00871BB8" w:rsidRDefault="00975183" w:rsidP="006A2E06">
      <w:pPr>
        <w:pStyle w:val="EndnoteText"/>
        <w:rPr>
          <w:lang w:val="en-US"/>
        </w:rPr>
      </w:pPr>
      <w:r w:rsidRPr="00BD60F8">
        <w:rPr>
          <w:szCs w:val="18"/>
        </w:rPr>
        <w:t>‘</w:t>
      </w:r>
      <w:r w:rsidRPr="00BD60F8">
        <w:rPr>
          <w:szCs w:val="18"/>
          <w:lang w:val="en-US"/>
        </w:rPr>
        <w:t xml:space="preserve">Who by the mouth of thy servant </w:t>
      </w:r>
      <w:r w:rsidRPr="00BD60F8">
        <w:rPr>
          <w:color w:val="000000"/>
          <w:szCs w:val="18"/>
          <w:lang w:val="en-US"/>
        </w:rPr>
        <w:t xml:space="preserve">David </w:t>
      </w:r>
      <w:proofErr w:type="gramStart"/>
      <w:r w:rsidRPr="00BD60F8">
        <w:rPr>
          <w:color w:val="000000"/>
          <w:szCs w:val="18"/>
          <w:lang w:val="en-US"/>
        </w:rPr>
        <w:t>hast</w:t>
      </w:r>
      <w:proofErr w:type="gramEnd"/>
      <w:r w:rsidRPr="00BD60F8">
        <w:rPr>
          <w:color w:val="000000"/>
          <w:szCs w:val="18"/>
          <w:lang w:val="en-US"/>
        </w:rPr>
        <w:t xml:space="preserve"> said, Why did the heathen rage, and the people imagine vain things?’ Acts 4:25, </w:t>
      </w:r>
      <w:r w:rsidRPr="00BD60F8">
        <w:rPr>
          <w:i/>
          <w:color w:val="000000"/>
          <w:szCs w:val="18"/>
          <w:lang w:val="en-US"/>
        </w:rPr>
        <w:t>KJV</w:t>
      </w:r>
      <w:r w:rsidRPr="00BD60F8">
        <w:rPr>
          <w:szCs w:val="18"/>
        </w:rPr>
        <w:t>.</w:t>
      </w:r>
    </w:p>
  </w:endnote>
  <w:endnote w:id="2204">
    <w:p w:rsidR="00975183" w:rsidRDefault="00975183" w:rsidP="006A2E06">
      <w:pPr>
        <w:pStyle w:val="EndnoteText"/>
        <w:rPr>
          <w:color w:val="000000"/>
          <w:szCs w:val="18"/>
          <w:lang w:val="en-US"/>
        </w:rPr>
      </w:pPr>
      <w:r w:rsidRPr="00BD60F8">
        <w:rPr>
          <w:rStyle w:val="FootnoteReference"/>
          <w:szCs w:val="18"/>
        </w:rPr>
        <w:endnoteRef/>
      </w:r>
      <w:r w:rsidRPr="00BD60F8">
        <w:rPr>
          <w:szCs w:val="18"/>
        </w:rPr>
        <w:t xml:space="preserve"> ‘</w:t>
      </w:r>
      <w:r w:rsidRPr="00BD60F8">
        <w:rPr>
          <w:color w:val="000000"/>
          <w:szCs w:val="18"/>
          <w:lang w:val="en-US"/>
        </w:rPr>
        <w:t xml:space="preserve">And when he had removed him, he raised up unto them David to be their king; to whom also he gave testimony, and said, I have found David the </w:t>
      </w:r>
      <w:r w:rsidRPr="00BD60F8">
        <w:rPr>
          <w:i/>
          <w:iCs/>
          <w:color w:val="000000"/>
          <w:szCs w:val="18"/>
          <w:lang w:val="en-US"/>
        </w:rPr>
        <w:t>son</w:t>
      </w:r>
      <w:r w:rsidRPr="00BD60F8">
        <w:rPr>
          <w:color w:val="000000"/>
          <w:szCs w:val="18"/>
          <w:lang w:val="en-US"/>
        </w:rPr>
        <w:t xml:space="preserve"> of Jesse, a man after mine own heart, which shall fulfil all my will.’ </w:t>
      </w:r>
    </w:p>
    <w:p w:rsidR="00975183" w:rsidRPr="00871BB8" w:rsidRDefault="00975183" w:rsidP="006A2E06">
      <w:pPr>
        <w:pStyle w:val="EndnoteText"/>
        <w:rPr>
          <w:lang w:val="en-US"/>
        </w:rPr>
      </w:pPr>
      <w:r w:rsidRPr="00BD60F8">
        <w:rPr>
          <w:color w:val="000000"/>
          <w:szCs w:val="18"/>
          <w:lang w:val="en-US"/>
        </w:rPr>
        <w:t xml:space="preserve">Acts 13:22, </w:t>
      </w:r>
      <w:r w:rsidRPr="00BD60F8">
        <w:rPr>
          <w:i/>
          <w:color w:val="000000"/>
          <w:szCs w:val="18"/>
          <w:lang w:val="en-US"/>
        </w:rPr>
        <w:t>KJV</w:t>
      </w:r>
      <w:r w:rsidRPr="00BD60F8">
        <w:rPr>
          <w:szCs w:val="18"/>
        </w:rPr>
        <w:t>.</w:t>
      </w:r>
    </w:p>
  </w:endnote>
  <w:endnote w:id="2205">
    <w:p w:rsidR="00975183" w:rsidRPr="00871BB8"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color w:val="000000"/>
          <w:szCs w:val="18"/>
          <w:lang w:val="en-US"/>
        </w:rPr>
        <w:t xml:space="preserve">And as concerning that he raised him up from the dead, </w:t>
      </w:r>
      <w:r w:rsidRPr="00BD60F8">
        <w:rPr>
          <w:i/>
          <w:iCs/>
          <w:color w:val="000000"/>
          <w:szCs w:val="18"/>
          <w:lang w:val="en-US"/>
        </w:rPr>
        <w:t>now</w:t>
      </w:r>
      <w:r w:rsidRPr="00BD60F8">
        <w:rPr>
          <w:color w:val="000000"/>
          <w:szCs w:val="18"/>
          <w:lang w:val="en-US"/>
        </w:rPr>
        <w:t xml:space="preserve"> no more to return to corruption, he said on this wise, I will give you the sure mercies of David’,</w:t>
      </w:r>
      <w:r w:rsidRPr="00BD60F8">
        <w:rPr>
          <w:szCs w:val="18"/>
        </w:rPr>
        <w:t xml:space="preserve"> Acts 13:34, </w:t>
      </w:r>
      <w:r w:rsidRPr="00BD60F8">
        <w:rPr>
          <w:i/>
          <w:szCs w:val="18"/>
        </w:rPr>
        <w:t>KJV</w:t>
      </w:r>
      <w:r w:rsidRPr="00BD60F8">
        <w:rPr>
          <w:szCs w:val="18"/>
        </w:rPr>
        <w:t>.</w:t>
      </w:r>
    </w:p>
  </w:endnote>
  <w:endnote w:id="2206">
    <w:p w:rsidR="00975183" w:rsidRPr="00BD60F8" w:rsidRDefault="00975183" w:rsidP="006A2E06">
      <w:pPr>
        <w:pStyle w:val="FootnoteText"/>
        <w:rPr>
          <w:rFonts w:ascii="Perpetua" w:hAnsi="Perpetua"/>
          <w:color w:val="000000"/>
          <w:szCs w:val="18"/>
        </w:rPr>
      </w:pPr>
      <w:r w:rsidRPr="00BD60F8">
        <w:rPr>
          <w:rStyle w:val="FootnoteReference"/>
          <w:rFonts w:ascii="Perpetua" w:hAnsi="Perpetua"/>
          <w:szCs w:val="18"/>
        </w:rPr>
        <w:endnoteRef/>
      </w:r>
      <w:r w:rsidRPr="00BD60F8">
        <w:rPr>
          <w:rFonts w:ascii="Perpetua" w:hAnsi="Perpetua"/>
          <w:szCs w:val="18"/>
        </w:rPr>
        <w:t xml:space="preserve"> ‘</w:t>
      </w:r>
      <w:r w:rsidRPr="00BD60F8">
        <w:rPr>
          <w:rFonts w:ascii="Perpetua" w:hAnsi="Perpetua"/>
          <w:szCs w:val="18"/>
          <w:lang w:val="en-US"/>
        </w:rPr>
        <w:t xml:space="preserve">Men </w:t>
      </w:r>
      <w:r w:rsidRPr="00BD60F8">
        <w:rPr>
          <w:rFonts w:ascii="Perpetua" w:hAnsi="Perpetua"/>
          <w:i/>
          <w:iCs/>
          <w:szCs w:val="18"/>
          <w:lang w:val="en-US"/>
        </w:rPr>
        <w:t>and</w:t>
      </w:r>
      <w:r w:rsidRPr="00BD60F8">
        <w:rPr>
          <w:rFonts w:ascii="Perpetua" w:hAnsi="Perpetua"/>
          <w:szCs w:val="18"/>
          <w:lang w:val="en-US"/>
        </w:rPr>
        <w:t xml:space="preserve"> brethren, let me freely speak unto you of the patriarch </w:t>
      </w:r>
      <w:r w:rsidRPr="00BD60F8">
        <w:rPr>
          <w:rFonts w:ascii="Perpetua" w:hAnsi="Perpetua"/>
          <w:color w:val="000000"/>
          <w:szCs w:val="18"/>
          <w:lang w:val="en-US"/>
        </w:rPr>
        <w:t>David, that he is both dead and buried, and his sepulchre is with us unto this day</w:t>
      </w:r>
      <w:r w:rsidRPr="00BD60F8">
        <w:rPr>
          <w:rFonts w:ascii="Perpetua" w:hAnsi="Perpetua"/>
          <w:color w:val="000000"/>
          <w:szCs w:val="18"/>
        </w:rPr>
        <w:t xml:space="preserve">’, Acts 2:29, </w:t>
      </w:r>
      <w:r w:rsidRPr="00F4014D">
        <w:rPr>
          <w:rFonts w:ascii="Perpetua" w:hAnsi="Perpetua"/>
          <w:i/>
          <w:color w:val="000000"/>
          <w:szCs w:val="18"/>
        </w:rPr>
        <w:t>KJV</w:t>
      </w:r>
      <w:r>
        <w:rPr>
          <w:rFonts w:ascii="Perpetua" w:hAnsi="Perpetua"/>
          <w:color w:val="000000"/>
          <w:szCs w:val="18"/>
        </w:rPr>
        <w:t>.</w:t>
      </w:r>
    </w:p>
    <w:p w:rsidR="00975183" w:rsidRPr="00871BB8" w:rsidRDefault="00975183" w:rsidP="006A2E06">
      <w:pPr>
        <w:pStyle w:val="EndnoteText"/>
        <w:rPr>
          <w:lang w:val="en-US"/>
        </w:rPr>
      </w:pPr>
      <w:r w:rsidRPr="00BD60F8">
        <w:rPr>
          <w:color w:val="000000"/>
          <w:szCs w:val="18"/>
        </w:rPr>
        <w:t>‘</w:t>
      </w:r>
      <w:r w:rsidRPr="00BD60F8">
        <w:rPr>
          <w:color w:val="000000"/>
          <w:szCs w:val="18"/>
          <w:lang w:val="en-US"/>
        </w:rPr>
        <w:t>For David, after he had served his own generation by the will of God, fell on sleep, and was laid unto his fathers, and saw corruption</w:t>
      </w:r>
      <w:r w:rsidRPr="00BD60F8">
        <w:rPr>
          <w:szCs w:val="18"/>
        </w:rPr>
        <w:t xml:space="preserve">’, Acts 13:36, </w:t>
      </w:r>
      <w:r w:rsidRPr="00BD60F8">
        <w:rPr>
          <w:i/>
          <w:szCs w:val="18"/>
        </w:rPr>
        <w:t>KJV</w:t>
      </w:r>
      <w:r>
        <w:rPr>
          <w:i/>
          <w:szCs w:val="18"/>
        </w:rPr>
        <w:t>.</w:t>
      </w:r>
    </w:p>
  </w:endnote>
  <w:endnote w:id="2207">
    <w:p w:rsidR="00975183" w:rsidRDefault="00975183" w:rsidP="006A2E06">
      <w:pPr>
        <w:pStyle w:val="EndnoteText"/>
        <w:rPr>
          <w:szCs w:val="18"/>
          <w:lang w:val="en-US"/>
        </w:rPr>
      </w:pPr>
      <w:r w:rsidRPr="00BD60F8">
        <w:rPr>
          <w:rStyle w:val="FootnoteReference"/>
          <w:szCs w:val="18"/>
        </w:rPr>
        <w:endnoteRef/>
      </w:r>
      <w:r w:rsidRPr="00BD60F8">
        <w:rPr>
          <w:szCs w:val="18"/>
        </w:rPr>
        <w:t xml:space="preserve"> ‘</w:t>
      </w:r>
      <w:r w:rsidRPr="00BD60F8">
        <w:rPr>
          <w:szCs w:val="18"/>
          <w:lang w:val="en-US"/>
        </w:rPr>
        <w:t xml:space="preserve">Howbeit the most High dwelleth not in temples made with hands; as saith the prophet, </w:t>
      </w:r>
      <w:r w:rsidRPr="00581BA4">
        <w:rPr>
          <w:szCs w:val="18"/>
          <w:vertAlign w:val="superscript"/>
          <w:lang w:val="en-US"/>
        </w:rPr>
        <w:t>49</w:t>
      </w:r>
      <w:r w:rsidRPr="00BD60F8">
        <w:rPr>
          <w:szCs w:val="18"/>
          <w:lang w:val="en-US"/>
        </w:rPr>
        <w:t xml:space="preserve">Heaven </w:t>
      </w:r>
      <w:r w:rsidRPr="00BD60F8">
        <w:rPr>
          <w:i/>
          <w:iCs/>
          <w:szCs w:val="18"/>
          <w:lang w:val="en-US"/>
        </w:rPr>
        <w:t>is</w:t>
      </w:r>
      <w:r w:rsidRPr="00BD60F8">
        <w:rPr>
          <w:szCs w:val="18"/>
          <w:lang w:val="en-US"/>
        </w:rPr>
        <w:t xml:space="preserve"> my throne, and earth </w:t>
      </w:r>
      <w:r w:rsidRPr="00BD60F8">
        <w:rPr>
          <w:i/>
          <w:iCs/>
          <w:szCs w:val="18"/>
          <w:lang w:val="en-US"/>
        </w:rPr>
        <w:t>is</w:t>
      </w:r>
      <w:r w:rsidRPr="00BD60F8">
        <w:rPr>
          <w:szCs w:val="18"/>
          <w:lang w:val="en-US"/>
        </w:rPr>
        <w:t xml:space="preserve"> my footstool: what house will ye build me? </w:t>
      </w:r>
      <w:proofErr w:type="gramStart"/>
      <w:r w:rsidRPr="00BD60F8">
        <w:rPr>
          <w:szCs w:val="18"/>
          <w:lang w:val="en-US"/>
        </w:rPr>
        <w:t>saith</w:t>
      </w:r>
      <w:proofErr w:type="gramEnd"/>
      <w:r w:rsidRPr="00BD60F8">
        <w:rPr>
          <w:szCs w:val="18"/>
          <w:lang w:val="en-US"/>
        </w:rPr>
        <w:t xml:space="preserve"> the Lord: or what </w:t>
      </w:r>
      <w:r w:rsidRPr="00BD60F8">
        <w:rPr>
          <w:i/>
          <w:iCs/>
          <w:szCs w:val="18"/>
          <w:lang w:val="en-US"/>
        </w:rPr>
        <w:t>is</w:t>
      </w:r>
      <w:r w:rsidRPr="00BD60F8">
        <w:rPr>
          <w:szCs w:val="18"/>
          <w:lang w:val="en-US"/>
        </w:rPr>
        <w:t xml:space="preserve"> the place of my rest?’ </w:t>
      </w:r>
    </w:p>
    <w:p w:rsidR="00975183" w:rsidRPr="00351469" w:rsidRDefault="00975183" w:rsidP="006A2E06">
      <w:pPr>
        <w:pStyle w:val="EndnoteText"/>
        <w:rPr>
          <w:lang w:val="en-US"/>
        </w:rPr>
      </w:pPr>
      <w:r w:rsidRPr="00BD60F8">
        <w:rPr>
          <w:szCs w:val="18"/>
        </w:rPr>
        <w:t xml:space="preserve">Acts 7:48-9, </w:t>
      </w:r>
      <w:r w:rsidRPr="00BD60F8">
        <w:rPr>
          <w:i/>
          <w:szCs w:val="18"/>
        </w:rPr>
        <w:t>KJV</w:t>
      </w:r>
      <w:r w:rsidRPr="00BD60F8">
        <w:rPr>
          <w:szCs w:val="18"/>
        </w:rPr>
        <w:t>.</w:t>
      </w:r>
    </w:p>
  </w:endnote>
  <w:endnote w:id="2208">
    <w:p w:rsidR="00975183" w:rsidRPr="00351469"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szCs w:val="18"/>
          <w:lang w:val="en-US"/>
        </w:rPr>
        <w:t xml:space="preserve">After this I will return, and will build again the tabernacle of </w:t>
      </w:r>
      <w:r w:rsidRPr="00BD60F8">
        <w:rPr>
          <w:color w:val="000000"/>
          <w:szCs w:val="18"/>
          <w:lang w:val="en-US"/>
        </w:rPr>
        <w:t xml:space="preserve">David, which is fallen down; and I will build again the ruins thereof, and I will set it up: </w:t>
      </w:r>
      <w:r w:rsidRPr="00D20D69">
        <w:rPr>
          <w:color w:val="000000"/>
          <w:szCs w:val="18"/>
          <w:vertAlign w:val="superscript"/>
          <w:lang w:val="en-US"/>
        </w:rPr>
        <w:t>17</w:t>
      </w:r>
      <w:r w:rsidRPr="00BD60F8">
        <w:rPr>
          <w:color w:val="000000"/>
          <w:szCs w:val="18"/>
          <w:lang w:val="en-US"/>
        </w:rPr>
        <w:t>That the residue of men might seek after the Lord, and all the Gentiles, upon whom my name is called, saith the Lord, who doeth all these things’,</w:t>
      </w:r>
      <w:r w:rsidRPr="00BD60F8">
        <w:rPr>
          <w:szCs w:val="18"/>
        </w:rPr>
        <w:t xml:space="preserve"> Acts 15:16-17, </w:t>
      </w:r>
      <w:r w:rsidRPr="00BD60F8">
        <w:rPr>
          <w:i/>
          <w:szCs w:val="18"/>
        </w:rPr>
        <w:t>KJV</w:t>
      </w:r>
      <w:r w:rsidRPr="00BD60F8">
        <w:rPr>
          <w:szCs w:val="18"/>
        </w:rPr>
        <w:t>.</w:t>
      </w:r>
    </w:p>
  </w:endnote>
  <w:endnote w:id="2209">
    <w:p w:rsidR="00975183" w:rsidRPr="00351469"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szCs w:val="18"/>
          <w:lang w:val="en-US"/>
        </w:rPr>
        <w:t>Therefore being a prophet, and knowing that God had sworn with an oath to him, that of the fruit of his loins, according to the flesh, he would raise up Christ to sit on his throne</w:t>
      </w:r>
      <w:r w:rsidRPr="00BD60F8">
        <w:rPr>
          <w:szCs w:val="18"/>
        </w:rPr>
        <w:t xml:space="preserve">’, Acts 2:30, </w:t>
      </w:r>
      <w:r w:rsidRPr="00BD60F8">
        <w:rPr>
          <w:i/>
          <w:szCs w:val="18"/>
        </w:rPr>
        <w:t>KJV</w:t>
      </w:r>
      <w:r w:rsidRPr="00BD60F8">
        <w:rPr>
          <w:szCs w:val="18"/>
        </w:rPr>
        <w:t>.</w:t>
      </w:r>
    </w:p>
  </w:endnote>
  <w:endnote w:id="2210">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w:t>
      </w:r>
      <w:r>
        <w:rPr>
          <w:szCs w:val="18"/>
        </w:rPr>
        <w:t>n</w:t>
      </w:r>
      <w:r w:rsidRPr="006A4363">
        <w:rPr>
          <w:szCs w:val="18"/>
          <w:lang w:eastAsia="en-GB"/>
        </w:rPr>
        <w:t xml:space="preserve">ote on Acts 2:14, </w:t>
      </w:r>
      <w:r w:rsidRPr="006A4363">
        <w:rPr>
          <w:szCs w:val="18"/>
        </w:rPr>
        <w:t>p. 1150</w:t>
      </w:r>
      <w:r w:rsidRPr="006A4363">
        <w:rPr>
          <w:szCs w:val="18"/>
          <w:lang w:eastAsia="en-GB"/>
        </w:rPr>
        <w:t xml:space="preserve">.  </w:t>
      </w:r>
    </w:p>
  </w:endnote>
  <w:endnote w:id="2211">
    <w:p w:rsidR="00975183" w:rsidRPr="005378D3"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i/>
          <w:szCs w:val="18"/>
        </w:rPr>
        <w:t xml:space="preserve">SRB </w:t>
      </w:r>
      <w:r w:rsidRPr="00BD60F8">
        <w:rPr>
          <w:szCs w:val="18"/>
        </w:rPr>
        <w:t>Introduction to Revelation, p. 1330</w:t>
      </w:r>
      <w:r w:rsidRPr="00BD60F8">
        <w:rPr>
          <w:b/>
          <w:szCs w:val="18"/>
        </w:rPr>
        <w:t xml:space="preserve">.  </w:t>
      </w:r>
      <w:r w:rsidRPr="00BD60F8">
        <w:rPr>
          <w:szCs w:val="18"/>
        </w:rPr>
        <w:t>No references are given for this statement.</w:t>
      </w:r>
    </w:p>
  </w:endnote>
  <w:endnote w:id="2212">
    <w:p w:rsidR="00975183" w:rsidRDefault="00975183" w:rsidP="006A2E06">
      <w:pPr>
        <w:pStyle w:val="EndnoteText"/>
      </w:pPr>
      <w:r w:rsidRPr="00BD60F8">
        <w:rPr>
          <w:rStyle w:val="FootnoteReference"/>
          <w:szCs w:val="18"/>
        </w:rPr>
        <w:endnoteRef/>
      </w:r>
      <w:r w:rsidRPr="00BD60F8">
        <w:rPr>
          <w:szCs w:val="18"/>
        </w:rPr>
        <w:t xml:space="preserve"> ‘I am set down with my Father in his throne’, Rev. 3:21, </w:t>
      </w:r>
      <w:r w:rsidRPr="00BD60F8">
        <w:rPr>
          <w:i/>
          <w:szCs w:val="18"/>
        </w:rPr>
        <w:t>KJV</w:t>
      </w:r>
      <w:r w:rsidRPr="00BD60F8">
        <w:rPr>
          <w:szCs w:val="18"/>
        </w:rPr>
        <w:t>.</w:t>
      </w:r>
    </w:p>
  </w:endnote>
  <w:endnote w:id="2213">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proofErr w:type="gramStart"/>
      <w:r w:rsidRPr="006A4363">
        <w:rPr>
          <w:i/>
          <w:szCs w:val="18"/>
        </w:rPr>
        <w:t>SRB</w:t>
      </w:r>
      <w:r w:rsidRPr="006A4363">
        <w:rPr>
          <w:szCs w:val="18"/>
        </w:rPr>
        <w:t xml:space="preserve"> note on Rev. 3:21, p. 1334.</w:t>
      </w:r>
      <w:proofErr w:type="gramEnd"/>
      <w:r w:rsidRPr="006A4363">
        <w:rPr>
          <w:szCs w:val="18"/>
        </w:rPr>
        <w:t xml:space="preserve">  Scofield lists Lk. 1:32, 33; Mt. 19:28; Acts 2:30, 34, 35; 15:14-16.  </w:t>
      </w:r>
    </w:p>
  </w:endnote>
  <w:endnote w:id="2214">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note on Rev. 3:21, p. 1334: </w:t>
      </w:r>
    </w:p>
  </w:endnote>
  <w:endnote w:id="2215">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proofErr w:type="gramStart"/>
      <w:r w:rsidRPr="006A4363">
        <w:rPr>
          <w:i/>
          <w:szCs w:val="18"/>
        </w:rPr>
        <w:t>SRB</w:t>
      </w:r>
      <w:r w:rsidRPr="006A4363">
        <w:rPr>
          <w:szCs w:val="18"/>
        </w:rPr>
        <w:t xml:space="preserve"> note on Rev. 14:6, p. 1343.</w:t>
      </w:r>
      <w:proofErr w:type="gramEnd"/>
      <w:r w:rsidRPr="006A4363">
        <w:rPr>
          <w:szCs w:val="18"/>
        </w:rPr>
        <w:t xml:space="preserve">  </w:t>
      </w:r>
    </w:p>
  </w:endnote>
  <w:endnote w:id="2216">
    <w:p w:rsidR="00975183" w:rsidRPr="00BD60F8" w:rsidRDefault="00975183" w:rsidP="006A2E06">
      <w:pPr>
        <w:pStyle w:val="FootnoteText"/>
        <w:rPr>
          <w:rFonts w:ascii="Perpetua" w:hAnsi="Perpetua"/>
          <w:szCs w:val="18"/>
        </w:rPr>
      </w:pPr>
      <w:r w:rsidRPr="00BD60F8">
        <w:rPr>
          <w:rStyle w:val="FootnoteReference"/>
          <w:rFonts w:ascii="Perpetua" w:hAnsi="Perpetua"/>
          <w:szCs w:val="18"/>
        </w:rPr>
        <w:endnoteRef/>
      </w:r>
      <w:r w:rsidRPr="00BD60F8">
        <w:rPr>
          <w:rFonts w:ascii="Perpetua" w:hAnsi="Perpetua"/>
          <w:szCs w:val="18"/>
        </w:rPr>
        <w:t xml:space="preserve"> ‘</w:t>
      </w:r>
      <w:r w:rsidRPr="00BD60F8">
        <w:rPr>
          <w:rFonts w:ascii="Perpetua" w:hAnsi="Perpetua"/>
          <w:color w:val="000000"/>
          <w:szCs w:val="18"/>
          <w:lang w:val="en-US"/>
        </w:rPr>
        <w:t>And to the angel of the church in Philadelphia write; These things saith he that is holy, he that is true, he that hath the key of David, he that openeth, and no man shutteth; and shutteth, and no man openeth</w:t>
      </w:r>
      <w:r w:rsidRPr="00BD60F8">
        <w:rPr>
          <w:rFonts w:ascii="Perpetua" w:hAnsi="Perpetua"/>
          <w:color w:val="000000"/>
          <w:szCs w:val="18"/>
        </w:rPr>
        <w:t>’,</w:t>
      </w:r>
      <w:r w:rsidRPr="00BD60F8">
        <w:rPr>
          <w:rFonts w:ascii="Perpetua" w:hAnsi="Perpetua"/>
          <w:szCs w:val="18"/>
        </w:rPr>
        <w:t xml:space="preserve"> Rev. 3:7, </w:t>
      </w:r>
      <w:r w:rsidRPr="00BD60F8">
        <w:rPr>
          <w:rFonts w:ascii="Perpetua" w:hAnsi="Perpetua"/>
          <w:i/>
          <w:szCs w:val="18"/>
        </w:rPr>
        <w:t>KJV</w:t>
      </w:r>
      <w:r w:rsidRPr="00BD60F8">
        <w:rPr>
          <w:rFonts w:ascii="Perpetua" w:hAnsi="Perpetua"/>
          <w:szCs w:val="18"/>
        </w:rPr>
        <w:t xml:space="preserve">; </w:t>
      </w:r>
    </w:p>
    <w:p w:rsidR="00975183" w:rsidRPr="00BD60F8" w:rsidRDefault="00975183" w:rsidP="006A2E06">
      <w:pPr>
        <w:pStyle w:val="FootnoteText"/>
        <w:rPr>
          <w:rFonts w:ascii="Perpetua" w:hAnsi="Perpetua"/>
          <w:szCs w:val="18"/>
        </w:rPr>
      </w:pPr>
      <w:r w:rsidRPr="00BD60F8">
        <w:rPr>
          <w:rFonts w:ascii="Perpetua" w:hAnsi="Perpetua"/>
          <w:szCs w:val="18"/>
        </w:rPr>
        <w:t>‘</w:t>
      </w:r>
      <w:r w:rsidRPr="00BD60F8">
        <w:rPr>
          <w:rFonts w:ascii="Perpetua" w:hAnsi="Perpetua"/>
          <w:szCs w:val="18"/>
          <w:lang w:val="en-US"/>
        </w:rPr>
        <w:t xml:space="preserve">And one of the elders saith unto me, Weep not: behold, the Lion of the tribe of Judah, the Root </w:t>
      </w:r>
      <w:r w:rsidRPr="00BD60F8">
        <w:rPr>
          <w:rFonts w:ascii="Perpetua" w:hAnsi="Perpetua"/>
          <w:color w:val="000000"/>
          <w:szCs w:val="18"/>
          <w:lang w:val="en-US"/>
        </w:rPr>
        <w:t>of David, hath prevailed to open the book, and to loose the seven seals thereof</w:t>
      </w:r>
      <w:r w:rsidRPr="00BD60F8">
        <w:rPr>
          <w:rFonts w:ascii="Perpetua" w:hAnsi="Perpetua"/>
          <w:szCs w:val="18"/>
        </w:rPr>
        <w:t xml:space="preserve">’, Rev. 5:5, </w:t>
      </w:r>
      <w:r w:rsidRPr="00BD60F8">
        <w:rPr>
          <w:rFonts w:ascii="Perpetua" w:hAnsi="Perpetua"/>
          <w:i/>
          <w:szCs w:val="18"/>
        </w:rPr>
        <w:t>KJV</w:t>
      </w:r>
      <w:r>
        <w:rPr>
          <w:rFonts w:ascii="Perpetua" w:hAnsi="Perpetua"/>
          <w:szCs w:val="18"/>
        </w:rPr>
        <w:t>.</w:t>
      </w:r>
    </w:p>
    <w:p w:rsidR="00975183" w:rsidRPr="005378D3" w:rsidRDefault="00975183" w:rsidP="006A2E06">
      <w:pPr>
        <w:pStyle w:val="EndnoteText"/>
        <w:rPr>
          <w:lang w:val="en-US"/>
        </w:rPr>
      </w:pPr>
      <w:r w:rsidRPr="00BD60F8">
        <w:rPr>
          <w:color w:val="000000"/>
          <w:szCs w:val="18"/>
        </w:rPr>
        <w:t>‘</w:t>
      </w:r>
      <w:r w:rsidRPr="00BD60F8">
        <w:rPr>
          <w:color w:val="000000"/>
          <w:szCs w:val="18"/>
          <w:lang w:val="en-US"/>
        </w:rPr>
        <w:t xml:space="preserve">I Jesus have sent mine angel to testify unto you these things in the churches. I am the root and the offspring of David, </w:t>
      </w:r>
      <w:r w:rsidRPr="00BD60F8">
        <w:rPr>
          <w:i/>
          <w:iCs/>
          <w:color w:val="000000"/>
          <w:szCs w:val="18"/>
          <w:lang w:val="en-US"/>
        </w:rPr>
        <w:t>and</w:t>
      </w:r>
      <w:r w:rsidRPr="00BD60F8">
        <w:rPr>
          <w:color w:val="000000"/>
          <w:szCs w:val="18"/>
          <w:lang w:val="en-US"/>
        </w:rPr>
        <w:t xml:space="preserve"> the bright and morning star</w:t>
      </w:r>
      <w:r w:rsidRPr="00BD60F8">
        <w:rPr>
          <w:color w:val="000000"/>
          <w:szCs w:val="18"/>
        </w:rPr>
        <w:t>’,</w:t>
      </w:r>
      <w:r w:rsidRPr="00BD60F8">
        <w:rPr>
          <w:szCs w:val="18"/>
        </w:rPr>
        <w:t xml:space="preserve"> Rev. 22:16, </w:t>
      </w:r>
      <w:r w:rsidRPr="00BD60F8">
        <w:rPr>
          <w:i/>
          <w:szCs w:val="18"/>
        </w:rPr>
        <w:t>KJV</w:t>
      </w:r>
      <w:r w:rsidRPr="00BD60F8">
        <w:rPr>
          <w:szCs w:val="18"/>
        </w:rPr>
        <w:t>.</w:t>
      </w:r>
    </w:p>
  </w:endnote>
  <w:endnote w:id="2217">
    <w:p w:rsidR="00975183" w:rsidRPr="00DE2EE6" w:rsidRDefault="00975183" w:rsidP="006A2E06">
      <w:pPr>
        <w:pStyle w:val="EndnoteText"/>
        <w:rPr>
          <w:lang w:val="en-US"/>
        </w:rPr>
      </w:pPr>
      <w:r w:rsidRPr="00DE2EE6">
        <w:rPr>
          <w:rStyle w:val="EndnoteReference"/>
        </w:rPr>
        <w:endnoteRef/>
      </w:r>
      <w:r w:rsidRPr="00DE2EE6">
        <w:t xml:space="preserve"> </w:t>
      </w:r>
      <w:r w:rsidRPr="00BD60F8">
        <w:rPr>
          <w:szCs w:val="18"/>
        </w:rPr>
        <w:t>‘</w:t>
      </w:r>
      <w:r w:rsidRPr="00BD60F8">
        <w:rPr>
          <w:color w:val="000000"/>
          <w:szCs w:val="18"/>
          <w:lang w:val="en-US"/>
        </w:rPr>
        <w:t>I John, who also am your brother, and companion in tribulation, and in the kingdom and patience of Jesus Christ, was in the isle that is called Patmos, for the word of God, and for the testimony of Jesus Christ</w:t>
      </w:r>
      <w:r w:rsidRPr="00BD60F8">
        <w:rPr>
          <w:color w:val="000000"/>
          <w:szCs w:val="18"/>
        </w:rPr>
        <w:t xml:space="preserve">’, Rev. 1:9, </w:t>
      </w:r>
      <w:r w:rsidRPr="00BD60F8">
        <w:rPr>
          <w:i/>
          <w:color w:val="000000"/>
          <w:szCs w:val="18"/>
        </w:rPr>
        <w:t>KJV</w:t>
      </w:r>
      <w:r w:rsidRPr="00BD60F8">
        <w:rPr>
          <w:color w:val="000000"/>
          <w:szCs w:val="18"/>
        </w:rPr>
        <w:t>.</w:t>
      </w:r>
    </w:p>
  </w:endnote>
  <w:endnote w:id="2218">
    <w:p w:rsidR="00975183" w:rsidRPr="00DE2EE6" w:rsidRDefault="00975183" w:rsidP="006A2E06">
      <w:pPr>
        <w:pStyle w:val="EndnoteText"/>
        <w:rPr>
          <w:lang w:val="en-US"/>
        </w:rPr>
      </w:pPr>
      <w:r w:rsidRPr="00DE2EE6">
        <w:rPr>
          <w:rStyle w:val="EndnoteReference"/>
        </w:rPr>
        <w:endnoteRef/>
      </w:r>
      <w:r w:rsidRPr="00DE2EE6">
        <w:t xml:space="preserve"> </w:t>
      </w:r>
      <w:r w:rsidRPr="00BD60F8">
        <w:rPr>
          <w:color w:val="000000"/>
          <w:szCs w:val="18"/>
        </w:rPr>
        <w:t>‘</w:t>
      </w:r>
      <w:r w:rsidRPr="00BD60F8">
        <w:rPr>
          <w:color w:val="000000"/>
          <w:szCs w:val="18"/>
          <w:lang w:val="en-US"/>
        </w:rPr>
        <w:t>And I heard a loud voice saying in heaven, Now is come salvation, and strength, and the kingdom of our God, and the power of his Christ: for the accuser of our brethren is cast down, which accused them before our God day and night</w:t>
      </w:r>
      <w:r w:rsidRPr="00BD60F8">
        <w:rPr>
          <w:color w:val="000000"/>
          <w:szCs w:val="18"/>
        </w:rPr>
        <w:t xml:space="preserve">’, Rev. 12:10, </w:t>
      </w:r>
      <w:r w:rsidRPr="00BD60F8">
        <w:rPr>
          <w:i/>
          <w:color w:val="000000"/>
          <w:szCs w:val="18"/>
        </w:rPr>
        <w:t>KJV</w:t>
      </w:r>
      <w:r w:rsidRPr="00BD60F8">
        <w:rPr>
          <w:color w:val="000000"/>
          <w:szCs w:val="18"/>
        </w:rPr>
        <w:t>.</w:t>
      </w:r>
    </w:p>
  </w:endnote>
  <w:endnote w:id="2219">
    <w:p w:rsidR="00975183" w:rsidRPr="00DE2EE6" w:rsidRDefault="00975183" w:rsidP="006A2E06">
      <w:pPr>
        <w:pStyle w:val="EndnoteText"/>
        <w:rPr>
          <w:lang w:val="en-US"/>
        </w:rPr>
      </w:pPr>
      <w:r w:rsidRPr="00DE2EE6">
        <w:rPr>
          <w:rStyle w:val="EndnoteReference"/>
        </w:rPr>
        <w:endnoteRef/>
      </w:r>
      <w:r w:rsidRPr="00DE2EE6">
        <w:t xml:space="preserve"> </w:t>
      </w:r>
      <w:r w:rsidRPr="00BD60F8">
        <w:rPr>
          <w:szCs w:val="18"/>
        </w:rPr>
        <w:t>‘</w:t>
      </w:r>
      <w:r w:rsidRPr="00BD60F8">
        <w:rPr>
          <w:szCs w:val="18"/>
          <w:lang w:val="en-US"/>
        </w:rPr>
        <w:t xml:space="preserve">And the fifth angel poured out his vial upon the seat of the beast; and his </w:t>
      </w:r>
      <w:r w:rsidRPr="00BD60F8">
        <w:rPr>
          <w:color w:val="000000"/>
          <w:szCs w:val="18"/>
          <w:lang w:val="en-US"/>
        </w:rPr>
        <w:t>kingdom was full of darkness; and they gnawed their tongues for pain</w:t>
      </w:r>
      <w:r w:rsidRPr="00BD60F8">
        <w:rPr>
          <w:szCs w:val="18"/>
        </w:rPr>
        <w:t xml:space="preserve">’, Rev. 16:10, </w:t>
      </w:r>
      <w:r w:rsidRPr="00BD60F8">
        <w:rPr>
          <w:i/>
          <w:szCs w:val="18"/>
        </w:rPr>
        <w:t>KJV</w:t>
      </w:r>
      <w:r w:rsidRPr="00BD60F8">
        <w:rPr>
          <w:szCs w:val="18"/>
        </w:rPr>
        <w:t>.</w:t>
      </w:r>
    </w:p>
  </w:endnote>
  <w:endnote w:id="2220">
    <w:p w:rsidR="00975183" w:rsidRPr="00BD60F8" w:rsidRDefault="00975183" w:rsidP="006A2E06">
      <w:pPr>
        <w:pStyle w:val="FootnoteText"/>
        <w:rPr>
          <w:rFonts w:ascii="Perpetua" w:hAnsi="Perpetua"/>
          <w:color w:val="000000"/>
          <w:szCs w:val="18"/>
        </w:rPr>
      </w:pPr>
      <w:r w:rsidRPr="00DE2EE6">
        <w:rPr>
          <w:rStyle w:val="EndnoteReference"/>
          <w:rFonts w:ascii="Perpetua" w:hAnsi="Perpetua"/>
        </w:rPr>
        <w:endnoteRef/>
      </w:r>
      <w:r w:rsidRPr="00DE2EE6">
        <w:rPr>
          <w:rFonts w:ascii="Perpetua" w:hAnsi="Perpetua"/>
        </w:rPr>
        <w:t xml:space="preserve"> </w:t>
      </w:r>
      <w:r w:rsidRPr="00BD60F8">
        <w:rPr>
          <w:rFonts w:ascii="Perpetua" w:hAnsi="Perpetua"/>
          <w:szCs w:val="18"/>
        </w:rPr>
        <w:t>‘</w:t>
      </w:r>
      <w:r w:rsidRPr="00BD60F8">
        <w:rPr>
          <w:rFonts w:ascii="Perpetua" w:hAnsi="Perpetua"/>
          <w:color w:val="000000"/>
          <w:szCs w:val="18"/>
          <w:lang w:val="en-US"/>
        </w:rPr>
        <w:t>And the ten horns which thou sawest are ten kings, which have received no kingdom as yet; but receive power as kings one hour with the beast</w:t>
      </w:r>
      <w:r w:rsidRPr="00BD60F8">
        <w:rPr>
          <w:rFonts w:ascii="Perpetua" w:hAnsi="Perpetua"/>
          <w:color w:val="000000"/>
          <w:szCs w:val="18"/>
        </w:rPr>
        <w:t xml:space="preserve">’, Rev. 17:12, </w:t>
      </w:r>
      <w:r w:rsidRPr="00BD60F8">
        <w:rPr>
          <w:rFonts w:ascii="Perpetua" w:hAnsi="Perpetua"/>
          <w:i/>
          <w:color w:val="000000"/>
          <w:szCs w:val="18"/>
        </w:rPr>
        <w:t>KJV</w:t>
      </w:r>
      <w:r w:rsidRPr="00BD60F8">
        <w:rPr>
          <w:rFonts w:ascii="Perpetua" w:hAnsi="Perpetua"/>
          <w:color w:val="000000"/>
          <w:szCs w:val="18"/>
        </w:rPr>
        <w:t xml:space="preserve">; </w:t>
      </w:r>
    </w:p>
    <w:p w:rsidR="00975183" w:rsidRPr="00DE2EE6" w:rsidRDefault="00975183" w:rsidP="006A2E06">
      <w:pPr>
        <w:pStyle w:val="EndnoteText"/>
        <w:rPr>
          <w:lang w:val="en-US"/>
        </w:rPr>
      </w:pPr>
      <w:proofErr w:type="gramStart"/>
      <w:r w:rsidRPr="00BD60F8">
        <w:rPr>
          <w:color w:val="000000"/>
          <w:szCs w:val="18"/>
        </w:rPr>
        <w:t>‘</w:t>
      </w:r>
      <w:r w:rsidRPr="00BD60F8">
        <w:rPr>
          <w:color w:val="000000"/>
          <w:szCs w:val="18"/>
          <w:lang w:val="en-US"/>
        </w:rPr>
        <w:t>For God hath put in their hearts to fulfil his will, and to agree, and give their kingdom unto the beast, until the words of God shall be fulfilled</w:t>
      </w:r>
      <w:r w:rsidRPr="00BD60F8">
        <w:rPr>
          <w:color w:val="000000"/>
          <w:szCs w:val="18"/>
        </w:rPr>
        <w:t xml:space="preserve">’, Rev. 17:17, </w:t>
      </w:r>
      <w:r w:rsidRPr="00BD60F8">
        <w:rPr>
          <w:i/>
          <w:color w:val="000000"/>
          <w:szCs w:val="18"/>
        </w:rPr>
        <w:t>KJV</w:t>
      </w:r>
      <w:r w:rsidRPr="00BD60F8">
        <w:rPr>
          <w:color w:val="000000"/>
          <w:szCs w:val="18"/>
        </w:rPr>
        <w:t>.</w:t>
      </w:r>
      <w:proofErr w:type="gramEnd"/>
    </w:p>
  </w:endnote>
  <w:endnote w:id="2221">
    <w:p w:rsidR="00975183" w:rsidRDefault="00975183" w:rsidP="006A2E06">
      <w:pPr>
        <w:pStyle w:val="EndnoteText"/>
      </w:pPr>
      <w:r w:rsidRPr="00366934">
        <w:rPr>
          <w:rStyle w:val="EndnoteReference"/>
        </w:rPr>
        <w:endnoteRef/>
      </w:r>
      <w:r w:rsidRPr="00366934">
        <w:t xml:space="preserve"> </w:t>
      </w:r>
      <w:r>
        <w:t xml:space="preserve">Chafer, </w:t>
      </w:r>
      <w:r w:rsidRPr="00366934">
        <w:rPr>
          <w:i/>
        </w:rPr>
        <w:t>Dispensationalism</w:t>
      </w:r>
      <w:r>
        <w:t>, p. 64.</w:t>
      </w:r>
    </w:p>
  </w:endnote>
  <w:endnote w:id="2222">
    <w:p w:rsidR="00975183" w:rsidRPr="003A59B9" w:rsidRDefault="00975183" w:rsidP="006A2E06">
      <w:pPr>
        <w:pStyle w:val="EndnoteText"/>
      </w:pPr>
      <w:r w:rsidRPr="003A59B9">
        <w:rPr>
          <w:rStyle w:val="EndnoteReference"/>
        </w:rPr>
        <w:endnoteRef/>
      </w:r>
      <w:r w:rsidRPr="003A59B9">
        <w:t xml:space="preserve"> </w:t>
      </w:r>
      <w:r>
        <w:t>Ref. Acts 2:30.</w:t>
      </w:r>
    </w:p>
  </w:endnote>
  <w:endnote w:id="2223">
    <w:p w:rsidR="00975183" w:rsidRDefault="00975183" w:rsidP="006A2E06">
      <w:pPr>
        <w:pStyle w:val="EndnoteText"/>
      </w:pPr>
      <w:r w:rsidRPr="00366934">
        <w:rPr>
          <w:rStyle w:val="EndnoteReference"/>
        </w:rPr>
        <w:endnoteRef/>
      </w:r>
      <w:r w:rsidRPr="00366934">
        <w:t xml:space="preserve"> </w:t>
      </w:r>
      <w:r>
        <w:t xml:space="preserve">Chafer, </w:t>
      </w:r>
      <w:r w:rsidRPr="00366934">
        <w:rPr>
          <w:i/>
        </w:rPr>
        <w:t>Dispensationalism</w:t>
      </w:r>
      <w:r>
        <w:t>, p. 80.</w:t>
      </w:r>
    </w:p>
  </w:endnote>
  <w:endnote w:id="2224">
    <w:p w:rsidR="00975183" w:rsidRDefault="00975183" w:rsidP="006A2E06">
      <w:pPr>
        <w:pStyle w:val="EndnoteText"/>
      </w:pPr>
      <w:r w:rsidRPr="00366934">
        <w:rPr>
          <w:rStyle w:val="EndnoteReference"/>
        </w:rPr>
        <w:endnoteRef/>
      </w:r>
      <w:r w:rsidRPr="00366934">
        <w:t xml:space="preserve"> Ryrie, </w:t>
      </w:r>
      <w:r w:rsidRPr="00366934">
        <w:rPr>
          <w:i/>
        </w:rPr>
        <w:t>Dispensationalism Today</w:t>
      </w:r>
      <w:r>
        <w:t>, p. 173.</w:t>
      </w:r>
    </w:p>
  </w:endnote>
  <w:endnote w:id="2225">
    <w:p w:rsidR="00975183" w:rsidRPr="00282A8C" w:rsidRDefault="00975183" w:rsidP="006A2E06">
      <w:pPr>
        <w:pStyle w:val="EndnoteText"/>
      </w:pPr>
      <w:r w:rsidRPr="00282A8C">
        <w:rPr>
          <w:rStyle w:val="EndnoteReference"/>
        </w:rPr>
        <w:endnoteRef/>
      </w:r>
      <w:r w:rsidRPr="00282A8C">
        <w:t xml:space="preserve"> </w:t>
      </w:r>
      <w:r>
        <w:t xml:space="preserve">Saucy, </w:t>
      </w:r>
      <w:r w:rsidRPr="00DF60AA">
        <w:rPr>
          <w:i/>
        </w:rPr>
        <w:t>Case for Progressive Dispensationalism</w:t>
      </w:r>
      <w:r>
        <w:t>, p. 81.</w:t>
      </w:r>
    </w:p>
  </w:endnote>
  <w:endnote w:id="2226">
    <w:p w:rsidR="00975183" w:rsidRDefault="00975183" w:rsidP="006A2E06">
      <w:pPr>
        <w:pStyle w:val="EndnoteText"/>
      </w:pPr>
      <w:r w:rsidRPr="00CB0889">
        <w:rPr>
          <w:rStyle w:val="FootnoteReference"/>
        </w:rPr>
        <w:endnoteRef/>
      </w:r>
      <w:r w:rsidRPr="00CB0889">
        <w:t xml:space="preserve"> </w:t>
      </w:r>
      <w:r w:rsidRPr="009C0E2C">
        <w:t xml:space="preserve">Darby, ‘The </w:t>
      </w:r>
      <w:r>
        <w:t>Dispensation of the Fulness of Times’</w:t>
      </w:r>
      <w:r w:rsidRPr="009C0E2C">
        <w:t xml:space="preserve">, </w:t>
      </w:r>
      <w:r w:rsidRPr="009C0E2C">
        <w:rPr>
          <w:i/>
        </w:rPr>
        <w:t>Collected Writings</w:t>
      </w:r>
      <w:r>
        <w:t xml:space="preserve">, </w:t>
      </w:r>
      <w:r w:rsidRPr="00C3124B">
        <w:rPr>
          <w:i/>
        </w:rPr>
        <w:t>Vol. 13, Critical No. 1</w:t>
      </w:r>
      <w:r>
        <w:t xml:space="preserve">, </w:t>
      </w:r>
    </w:p>
    <w:p w:rsidR="00975183" w:rsidRDefault="00975183" w:rsidP="006A2E06">
      <w:pPr>
        <w:pStyle w:val="EndnoteText"/>
      </w:pPr>
      <w:r>
        <w:t>p</w:t>
      </w:r>
      <w:r w:rsidRPr="009C0E2C">
        <w:t xml:space="preserve">. </w:t>
      </w:r>
      <w:r>
        <w:t>156</w:t>
      </w:r>
      <w:r w:rsidRPr="009C0E2C">
        <w:t xml:space="preserve"> &lt;</w:t>
      </w:r>
      <w:r w:rsidRPr="00366934">
        <w:t>http://www.stempublishing.com/authors/darby/CRITICAL/13011E.html</w:t>
      </w:r>
      <w:r w:rsidRPr="009C0E2C">
        <w:t xml:space="preserve">&gt; [accessed </w:t>
      </w:r>
      <w:r>
        <w:t>2</w:t>
      </w:r>
      <w:r w:rsidRPr="009C0E2C">
        <w:t>.8.09].</w:t>
      </w:r>
    </w:p>
  </w:endnote>
  <w:endnote w:id="2227">
    <w:p w:rsidR="00975183" w:rsidRPr="00366934" w:rsidRDefault="00975183" w:rsidP="006A2E06">
      <w:pPr>
        <w:pStyle w:val="EndnoteText"/>
      </w:pPr>
      <w:r w:rsidRPr="00366934">
        <w:rPr>
          <w:rStyle w:val="EndnoteReference"/>
        </w:rPr>
        <w:endnoteRef/>
      </w:r>
      <w:r w:rsidRPr="00366934">
        <w:t xml:space="preserve"> </w:t>
      </w:r>
      <w:r>
        <w:t xml:space="preserve">Chafer, </w:t>
      </w:r>
      <w:r w:rsidRPr="00366934">
        <w:rPr>
          <w:i/>
        </w:rPr>
        <w:t>Dispensationalism</w:t>
      </w:r>
      <w:r>
        <w:t>, p. 25.</w:t>
      </w:r>
    </w:p>
  </w:endnote>
  <w:endnote w:id="2228">
    <w:p w:rsidR="00975183" w:rsidRPr="00366934" w:rsidRDefault="00975183" w:rsidP="006A2E06">
      <w:pPr>
        <w:pStyle w:val="EndnoteText"/>
      </w:pPr>
      <w:r w:rsidRPr="00366934">
        <w:rPr>
          <w:rStyle w:val="EndnoteReference"/>
        </w:rPr>
        <w:endnoteRef/>
      </w:r>
      <w:r w:rsidRPr="00366934">
        <w:t xml:space="preserve"> </w:t>
      </w:r>
      <w:proofErr w:type="gramStart"/>
      <w:r w:rsidRPr="00366934">
        <w:t xml:space="preserve">Ryrie, </w:t>
      </w:r>
      <w:r w:rsidRPr="00366934">
        <w:rPr>
          <w:i/>
        </w:rPr>
        <w:t>Dispensationalism Today</w:t>
      </w:r>
      <w:r>
        <w:t>, for example, pp. 107.</w:t>
      </w:r>
      <w:proofErr w:type="gramEnd"/>
      <w:r>
        <w:t xml:space="preserve"> </w:t>
      </w:r>
      <w:proofErr w:type="gramStart"/>
      <w:r>
        <w:t>108, 165.</w:t>
      </w:r>
      <w:proofErr w:type="gramEnd"/>
    </w:p>
  </w:endnote>
  <w:endnote w:id="2229">
    <w:p w:rsidR="00975183" w:rsidRPr="00DF60AA" w:rsidRDefault="00975183" w:rsidP="006A2E06">
      <w:pPr>
        <w:pStyle w:val="EndnoteText"/>
      </w:pPr>
      <w:r w:rsidRPr="00DF60AA">
        <w:rPr>
          <w:rStyle w:val="EndnoteReference"/>
        </w:rPr>
        <w:endnoteRef/>
      </w:r>
      <w:r w:rsidRPr="00DF60AA">
        <w:t xml:space="preserve"> </w:t>
      </w:r>
      <w:r>
        <w:t xml:space="preserve">Saucy, </w:t>
      </w:r>
      <w:r w:rsidRPr="00DF60AA">
        <w:rPr>
          <w:i/>
        </w:rPr>
        <w:t>Case for Progressive Dispensationalism</w:t>
      </w:r>
      <w:r>
        <w:t>, p. 9.</w:t>
      </w:r>
    </w:p>
  </w:endnote>
  <w:endnote w:id="2230">
    <w:p w:rsidR="00975183" w:rsidRDefault="00975183" w:rsidP="006A2E06">
      <w:pPr>
        <w:pStyle w:val="EndnoteText"/>
      </w:pPr>
      <w:r w:rsidRPr="00DF60AA">
        <w:rPr>
          <w:rStyle w:val="EndnoteReference"/>
        </w:rPr>
        <w:endnoteRef/>
      </w:r>
      <w:r w:rsidRPr="00DF60AA">
        <w:t xml:space="preserve"> </w:t>
      </w:r>
      <w:r>
        <w:t xml:space="preserve">Saucy, </w:t>
      </w:r>
      <w:r w:rsidRPr="00DF60AA">
        <w:rPr>
          <w:i/>
        </w:rPr>
        <w:t>Case for Progressive Dispensationalism</w:t>
      </w:r>
      <w:r>
        <w:t>, p. 22.</w:t>
      </w:r>
    </w:p>
  </w:endnote>
  <w:endnote w:id="2231">
    <w:p w:rsidR="00975183" w:rsidRDefault="00975183" w:rsidP="006A2E06">
      <w:pPr>
        <w:pStyle w:val="EndnoteText"/>
      </w:pPr>
      <w:r w:rsidRPr="00DF60AA">
        <w:rPr>
          <w:rStyle w:val="EndnoteReference"/>
        </w:rPr>
        <w:endnoteRef/>
      </w:r>
      <w:r w:rsidRPr="00DF60AA">
        <w:t xml:space="preserve"> </w:t>
      </w:r>
      <w:r>
        <w:t xml:space="preserve">Saucy, </w:t>
      </w:r>
      <w:r w:rsidRPr="00DF60AA">
        <w:rPr>
          <w:i/>
        </w:rPr>
        <w:t>Case for Progressive Dispensationalism</w:t>
      </w:r>
      <w:r>
        <w:t>, pp.26, 27, 29.</w:t>
      </w:r>
    </w:p>
  </w:endnote>
  <w:endnote w:id="2232">
    <w:p w:rsidR="00975183" w:rsidRDefault="00975183" w:rsidP="006A2E06">
      <w:pPr>
        <w:pStyle w:val="EndnoteText"/>
      </w:pPr>
      <w:r w:rsidRPr="00DF60AA">
        <w:rPr>
          <w:rStyle w:val="EndnoteReference"/>
        </w:rPr>
        <w:endnoteRef/>
      </w:r>
      <w:r w:rsidRPr="00DF60AA">
        <w:t xml:space="preserve"> </w:t>
      </w:r>
      <w:r>
        <w:t xml:space="preserve">Saucy, </w:t>
      </w:r>
      <w:r w:rsidRPr="00DF60AA">
        <w:rPr>
          <w:i/>
        </w:rPr>
        <w:t>Case for Progressive Dispensationalism</w:t>
      </w:r>
      <w:r>
        <w:t>, p. 28.</w:t>
      </w:r>
    </w:p>
  </w:endnote>
  <w:endnote w:id="2233">
    <w:p w:rsidR="00975183" w:rsidRDefault="00975183" w:rsidP="006A2E06">
      <w:pPr>
        <w:pStyle w:val="EndnoteText"/>
      </w:pPr>
      <w:r w:rsidRPr="00A0570B">
        <w:rPr>
          <w:rStyle w:val="FootnoteReference"/>
        </w:rPr>
        <w:endnoteRef/>
      </w:r>
      <w:r w:rsidRPr="00A0570B">
        <w:t xml:space="preserve"> </w:t>
      </w:r>
      <w:r>
        <w:t>Blaising</w:t>
      </w:r>
      <w:r w:rsidRPr="00A0570B">
        <w:t>,</w:t>
      </w:r>
      <w:r>
        <w:t xml:space="preserve"> ‘Extent and Varieties,</w:t>
      </w:r>
      <w:r w:rsidRPr="00A0570B">
        <w:t xml:space="preserve"> </w:t>
      </w:r>
      <w:r>
        <w:rPr>
          <w:i/>
        </w:rPr>
        <w:t>Progressive Dispensationalism</w:t>
      </w:r>
      <w:r w:rsidRPr="00A0570B">
        <w:t xml:space="preserve">, p. </w:t>
      </w:r>
      <w:r>
        <w:t>40</w:t>
      </w:r>
      <w:r w:rsidRPr="00A0570B">
        <w:t>.</w:t>
      </w:r>
    </w:p>
  </w:endnote>
  <w:endnote w:id="2234">
    <w:p w:rsidR="00975183" w:rsidRDefault="00975183" w:rsidP="006A2E06">
      <w:pPr>
        <w:pStyle w:val="EndnoteText"/>
      </w:pPr>
      <w:r w:rsidRPr="00DA01AD">
        <w:rPr>
          <w:rStyle w:val="FootnoteReference"/>
        </w:rPr>
        <w:endnoteRef/>
      </w:r>
      <w:r w:rsidRPr="00DA01AD">
        <w:t xml:space="preserve"> Blaising</w:t>
      </w:r>
      <w:r>
        <w:t xml:space="preserve"> and Bock</w:t>
      </w:r>
      <w:r w:rsidRPr="00DA01AD">
        <w:t>, ‘</w:t>
      </w:r>
      <w:r>
        <w:t>Assessment and Dialogue</w:t>
      </w:r>
      <w:r w:rsidRPr="00DA01AD">
        <w:t xml:space="preserve">’, </w:t>
      </w:r>
      <w:r w:rsidRPr="00DA01AD">
        <w:rPr>
          <w:i/>
        </w:rPr>
        <w:t>Dispensationalism</w:t>
      </w:r>
      <w:r w:rsidRPr="0035306A">
        <w:rPr>
          <w:i/>
        </w:rPr>
        <w:t>,</w:t>
      </w:r>
      <w:r>
        <w:t xml:space="preserve"> </w:t>
      </w:r>
      <w:r w:rsidRPr="0035306A">
        <w:rPr>
          <w:i/>
        </w:rPr>
        <w:t>Israel &amp; Church</w:t>
      </w:r>
      <w:r>
        <w:t xml:space="preserve">, </w:t>
      </w:r>
      <w:r w:rsidRPr="00DA01AD">
        <w:t xml:space="preserve">p. </w:t>
      </w:r>
      <w:r>
        <w:t>383</w:t>
      </w:r>
      <w:r w:rsidRPr="00DA01AD">
        <w:t>.</w:t>
      </w:r>
    </w:p>
  </w:endnote>
  <w:endnote w:id="2235">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w:t>
      </w:r>
      <w:r>
        <w:rPr>
          <w:szCs w:val="18"/>
        </w:rPr>
        <w:t>n</w:t>
      </w:r>
      <w:r w:rsidRPr="006A4363">
        <w:rPr>
          <w:szCs w:val="18"/>
        </w:rPr>
        <w:t>ote on Num. 24:15, p. 200</w:t>
      </w:r>
      <w:r w:rsidRPr="006A4363">
        <w:rPr>
          <w:szCs w:val="18"/>
          <w:lang w:eastAsia="en-GB"/>
        </w:rPr>
        <w:t xml:space="preserve">.  </w:t>
      </w:r>
    </w:p>
  </w:endnote>
  <w:endnote w:id="2236">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Fitzmyer, </w:t>
      </w:r>
      <w:r w:rsidRPr="00CC6C3C">
        <w:rPr>
          <w:rFonts w:cs="Humnst777 Lt BT"/>
          <w:i/>
          <w:sz w:val="22"/>
          <w:szCs w:val="22"/>
        </w:rPr>
        <w:t xml:space="preserve">One </w:t>
      </w:r>
      <w:proofErr w:type="gramStart"/>
      <w:r w:rsidRPr="00CC6C3C">
        <w:rPr>
          <w:rFonts w:cs="Humnst777 Lt BT"/>
          <w:i/>
          <w:sz w:val="22"/>
          <w:szCs w:val="22"/>
        </w:rPr>
        <w:t>To</w:t>
      </w:r>
      <w:proofErr w:type="gramEnd"/>
      <w:r w:rsidRPr="00CC6C3C">
        <w:rPr>
          <w:rFonts w:cs="Humnst777 Lt BT"/>
          <w:i/>
          <w:sz w:val="22"/>
          <w:szCs w:val="22"/>
        </w:rPr>
        <w:t xml:space="preserve"> Come</w:t>
      </w:r>
      <w:r w:rsidRPr="006A4363">
        <w:rPr>
          <w:szCs w:val="18"/>
        </w:rPr>
        <w:t>, p. 31.</w:t>
      </w:r>
    </w:p>
  </w:endnote>
  <w:endnote w:id="2237">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33630A">
        <w:rPr>
          <w:i/>
          <w:szCs w:val="18"/>
        </w:rPr>
        <w:t>SRB</w:t>
      </w:r>
      <w:r>
        <w:rPr>
          <w:szCs w:val="18"/>
        </w:rPr>
        <w:t xml:space="preserve"> n</w:t>
      </w:r>
      <w:r w:rsidRPr="006A4363">
        <w:rPr>
          <w:szCs w:val="18"/>
        </w:rPr>
        <w:t>ote on Ps. 2:6,</w:t>
      </w:r>
      <w:r>
        <w:rPr>
          <w:szCs w:val="18"/>
        </w:rPr>
        <w:t xml:space="preserve"> </w:t>
      </w:r>
      <w:r w:rsidRPr="006A4363">
        <w:rPr>
          <w:szCs w:val="18"/>
        </w:rPr>
        <w:t>p. 600</w:t>
      </w:r>
      <w:r w:rsidRPr="006A4363">
        <w:rPr>
          <w:szCs w:val="18"/>
          <w:lang w:eastAsia="en-GB"/>
        </w:rPr>
        <w:t>.</w:t>
      </w:r>
      <w:r w:rsidRPr="006A4363">
        <w:rPr>
          <w:szCs w:val="18"/>
        </w:rPr>
        <w:t xml:space="preserve">  The psalms listed are Pss 2, 8, 16, 22, 24, 40, 41, 45, 68, 69, 72, 89, 102, 110 and 118.  </w:t>
      </w:r>
    </w:p>
  </w:endnote>
  <w:endnote w:id="2238">
    <w:p w:rsidR="00975183" w:rsidRPr="00043BF2" w:rsidRDefault="00975183" w:rsidP="006A2E06">
      <w:pPr>
        <w:pStyle w:val="EndnoteText"/>
        <w:rPr>
          <w:lang w:val="en-US"/>
        </w:rPr>
      </w:pPr>
      <w:r w:rsidRPr="00BD60F8">
        <w:rPr>
          <w:rStyle w:val="FootnoteReference"/>
          <w:szCs w:val="18"/>
        </w:rPr>
        <w:endnoteRef/>
      </w:r>
      <w:r w:rsidRPr="00BD60F8">
        <w:rPr>
          <w:szCs w:val="18"/>
        </w:rPr>
        <w:t xml:space="preserve"> Fitzmyer, </w:t>
      </w:r>
      <w:r w:rsidRPr="00BD60F8">
        <w:rPr>
          <w:i/>
          <w:szCs w:val="18"/>
        </w:rPr>
        <w:t xml:space="preserve">One </w:t>
      </w:r>
      <w:proofErr w:type="gramStart"/>
      <w:r w:rsidRPr="00BD60F8">
        <w:rPr>
          <w:i/>
          <w:szCs w:val="18"/>
        </w:rPr>
        <w:t>To</w:t>
      </w:r>
      <w:proofErr w:type="gramEnd"/>
      <w:r w:rsidRPr="00BD60F8">
        <w:rPr>
          <w:i/>
          <w:szCs w:val="18"/>
        </w:rPr>
        <w:t xml:space="preserve"> Come</w:t>
      </w:r>
      <w:r w:rsidRPr="00BD60F8">
        <w:rPr>
          <w:szCs w:val="18"/>
        </w:rPr>
        <w:t xml:space="preserve">, p. 19. </w:t>
      </w:r>
      <w:proofErr w:type="gramStart"/>
      <w:r w:rsidRPr="00BD60F8">
        <w:rPr>
          <w:szCs w:val="18"/>
        </w:rPr>
        <w:t>Psalms 2, 45, 72, 89, and 110.</w:t>
      </w:r>
      <w:proofErr w:type="gramEnd"/>
      <w:r w:rsidRPr="00BD60F8">
        <w:rPr>
          <w:szCs w:val="18"/>
        </w:rPr>
        <w:t xml:space="preserve">  </w:t>
      </w:r>
    </w:p>
  </w:endnote>
  <w:endnote w:id="2239">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r w:rsidRPr="006A4363">
        <w:rPr>
          <w:i/>
          <w:szCs w:val="18"/>
        </w:rPr>
        <w:t>SRB</w:t>
      </w:r>
      <w:r w:rsidRPr="006A4363">
        <w:rPr>
          <w:szCs w:val="18"/>
        </w:rPr>
        <w:t xml:space="preserve"> Introduction to Daniel, p. 898.  </w:t>
      </w:r>
    </w:p>
  </w:endnote>
  <w:endnote w:id="2240">
    <w:p w:rsidR="00975183" w:rsidRPr="00DE2EE6"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szCs w:val="18"/>
          <w:lang w:val="en-US"/>
        </w:rPr>
        <w:t xml:space="preserve">Know therefore and understand, </w:t>
      </w:r>
      <w:r w:rsidRPr="00BD60F8">
        <w:rPr>
          <w:i/>
          <w:iCs/>
          <w:szCs w:val="18"/>
          <w:lang w:val="en-US"/>
        </w:rPr>
        <w:t>that</w:t>
      </w:r>
      <w:r w:rsidRPr="00BD60F8">
        <w:rPr>
          <w:szCs w:val="18"/>
          <w:lang w:val="en-US"/>
        </w:rPr>
        <w:t xml:space="preserve"> from the going forth of the commandment to restore and to build Jerusalem unto the Messiah the Prince </w:t>
      </w:r>
      <w:r w:rsidRPr="00BD60F8">
        <w:rPr>
          <w:i/>
          <w:iCs/>
          <w:szCs w:val="18"/>
          <w:lang w:val="en-US"/>
        </w:rPr>
        <w:t>shall be</w:t>
      </w:r>
      <w:r w:rsidRPr="00BD60F8">
        <w:rPr>
          <w:szCs w:val="18"/>
          <w:lang w:val="en-US"/>
        </w:rPr>
        <w:t xml:space="preserve"> seven weeks, and threescore and two weeks: the street shall be built again, and the wall, even in troublous times. </w:t>
      </w:r>
      <w:r w:rsidRPr="00BD60F8">
        <w:rPr>
          <w:szCs w:val="18"/>
          <w:vertAlign w:val="superscript"/>
          <w:lang w:val="en-US"/>
        </w:rPr>
        <w:t>26</w:t>
      </w:r>
      <w:r w:rsidRPr="00BD60F8">
        <w:rPr>
          <w:szCs w:val="18"/>
          <w:lang w:val="en-US"/>
        </w:rPr>
        <w:t xml:space="preserve">And after threescore and two weeks shall Messiah be cut off, but not for himself: and the people of the prince that shall come shall destroy the city and the sanctuary; and the end thereof </w:t>
      </w:r>
      <w:r w:rsidRPr="00BD60F8">
        <w:rPr>
          <w:i/>
          <w:iCs/>
          <w:szCs w:val="18"/>
          <w:lang w:val="en-US"/>
        </w:rPr>
        <w:t>shall be</w:t>
      </w:r>
      <w:r w:rsidRPr="00BD60F8">
        <w:rPr>
          <w:szCs w:val="18"/>
          <w:lang w:val="en-US"/>
        </w:rPr>
        <w:t xml:space="preserve"> with a flood, and unto the end of the war desolations are determined.</w:t>
      </w:r>
      <w:r w:rsidRPr="00BD60F8">
        <w:rPr>
          <w:szCs w:val="18"/>
        </w:rPr>
        <w:t xml:space="preserve">’ Dan. 9:25, 26, </w:t>
      </w:r>
      <w:r w:rsidRPr="00BD60F8">
        <w:rPr>
          <w:i/>
          <w:szCs w:val="18"/>
        </w:rPr>
        <w:t>KJV</w:t>
      </w:r>
      <w:r w:rsidRPr="00BD60F8">
        <w:rPr>
          <w:szCs w:val="18"/>
        </w:rPr>
        <w:t>.</w:t>
      </w:r>
    </w:p>
  </w:endnote>
  <w:endnote w:id="2241">
    <w:p w:rsidR="00975183" w:rsidRPr="00DE2EE6" w:rsidRDefault="00975183" w:rsidP="006A2E06">
      <w:pPr>
        <w:pStyle w:val="EndnoteText"/>
        <w:rPr>
          <w:lang w:val="en-US"/>
        </w:rPr>
      </w:pPr>
      <w:r w:rsidRPr="00BD60F8">
        <w:rPr>
          <w:rStyle w:val="FootnoteReference"/>
          <w:szCs w:val="18"/>
        </w:rPr>
        <w:endnoteRef/>
      </w:r>
      <w:r w:rsidRPr="00BD60F8">
        <w:rPr>
          <w:szCs w:val="18"/>
        </w:rPr>
        <w:t xml:space="preserve"> </w:t>
      </w:r>
      <w:r w:rsidRPr="00BD60F8">
        <w:rPr>
          <w:color w:val="000000"/>
          <w:szCs w:val="18"/>
        </w:rPr>
        <w:t>From ‘</w:t>
      </w:r>
      <w:r w:rsidRPr="001D4E9E">
        <w:rPr>
          <w:rFonts w:ascii="Bwgrkl" w:hAnsi="Bwgrkl" w:cs="Bwgrkl"/>
          <w:bCs/>
          <w:szCs w:val="22"/>
          <w:lang w:val="en-US" w:bidi="he-IL"/>
        </w:rPr>
        <w:t>Messi</w:t>
      </w:r>
      <w:proofErr w:type="gramStart"/>
      <w:r w:rsidRPr="001D4E9E">
        <w:rPr>
          <w:rFonts w:ascii="Bwgrkl" w:hAnsi="Bwgrkl" w:cs="Bwgrkl"/>
          <w:bCs/>
          <w:szCs w:val="22"/>
          <w:lang w:val="en-US" w:bidi="he-IL"/>
        </w:rPr>
        <w:t>,aj</w:t>
      </w:r>
      <w:r w:rsidRPr="00BD60F8">
        <w:rPr>
          <w:color w:val="000000"/>
          <w:szCs w:val="18"/>
        </w:rPr>
        <w:t>’</w:t>
      </w:r>
      <w:proofErr w:type="gramEnd"/>
      <w:r w:rsidRPr="00BD60F8">
        <w:rPr>
          <w:color w:val="000000"/>
          <w:szCs w:val="18"/>
        </w:rPr>
        <w:t xml:space="preserve"> in Jn 1:41 and 4:25.</w:t>
      </w:r>
    </w:p>
  </w:endnote>
  <w:endnote w:id="2242">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Lev. 4:3, 4:5, 4:16, 6:15; 1 Sam. 2:10, 2:35, 12:3, 12:5, 16:6, 24:7, 24:11, 26:9, 26:11, 26:16, 26:23;</w:t>
      </w:r>
    </w:p>
    <w:p w:rsidR="00975183" w:rsidRPr="006A4363" w:rsidRDefault="00975183" w:rsidP="006A2E06">
      <w:pPr>
        <w:pStyle w:val="EndnoteText"/>
        <w:rPr>
          <w:szCs w:val="18"/>
        </w:rPr>
      </w:pPr>
      <w:r w:rsidRPr="006A4363">
        <w:rPr>
          <w:szCs w:val="18"/>
        </w:rPr>
        <w:t>2 Sam. 1:14, 1:16, 19:22, 22:51, 23:1;</w:t>
      </w:r>
      <w:r>
        <w:rPr>
          <w:szCs w:val="18"/>
        </w:rPr>
        <w:t xml:space="preserve"> </w:t>
      </w:r>
      <w:r w:rsidRPr="006A4363">
        <w:rPr>
          <w:szCs w:val="18"/>
        </w:rPr>
        <w:t>1 Chron. 16:22; 2 Chron. 6:42;</w:t>
      </w:r>
      <w:r>
        <w:rPr>
          <w:szCs w:val="18"/>
        </w:rPr>
        <w:t xml:space="preserve"> </w:t>
      </w:r>
      <w:r w:rsidRPr="006A4363">
        <w:rPr>
          <w:szCs w:val="18"/>
        </w:rPr>
        <w:t>Ps. 2:2, 18:51, 20:7, 28:8, 84:10, 89:39, 89:52, 105:15, 132:10, 132:17;</w:t>
      </w:r>
      <w:r>
        <w:rPr>
          <w:szCs w:val="18"/>
        </w:rPr>
        <w:t xml:space="preserve"> </w:t>
      </w:r>
      <w:r w:rsidRPr="006A4363">
        <w:rPr>
          <w:szCs w:val="18"/>
        </w:rPr>
        <w:t>Isa. 4:5;</w:t>
      </w:r>
      <w:r>
        <w:rPr>
          <w:szCs w:val="18"/>
        </w:rPr>
        <w:t xml:space="preserve"> </w:t>
      </w:r>
      <w:r w:rsidRPr="006A4363">
        <w:rPr>
          <w:szCs w:val="18"/>
        </w:rPr>
        <w:t>Lam. 4:20;</w:t>
      </w:r>
      <w:r>
        <w:rPr>
          <w:szCs w:val="18"/>
        </w:rPr>
        <w:t xml:space="preserve"> </w:t>
      </w:r>
      <w:r w:rsidRPr="006A4363">
        <w:rPr>
          <w:szCs w:val="18"/>
        </w:rPr>
        <w:t>Dan. 9:25, 9:26;</w:t>
      </w:r>
      <w:r>
        <w:rPr>
          <w:szCs w:val="18"/>
        </w:rPr>
        <w:t xml:space="preserve"> </w:t>
      </w:r>
      <w:r w:rsidRPr="006A4363">
        <w:rPr>
          <w:szCs w:val="18"/>
        </w:rPr>
        <w:t>Hab. 3:13</w:t>
      </w:r>
      <w:r>
        <w:rPr>
          <w:szCs w:val="18"/>
        </w:rPr>
        <w:t>.</w:t>
      </w:r>
    </w:p>
  </w:endnote>
  <w:endnote w:id="2243">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Fitzmyer, </w:t>
      </w:r>
      <w:r w:rsidRPr="006A4363">
        <w:rPr>
          <w:i/>
          <w:szCs w:val="18"/>
        </w:rPr>
        <w:t xml:space="preserve">One </w:t>
      </w:r>
      <w:proofErr w:type="gramStart"/>
      <w:r w:rsidRPr="006A4363">
        <w:rPr>
          <w:i/>
          <w:szCs w:val="18"/>
        </w:rPr>
        <w:t>To</w:t>
      </w:r>
      <w:proofErr w:type="gramEnd"/>
      <w:r w:rsidRPr="006A4363">
        <w:rPr>
          <w:i/>
          <w:szCs w:val="18"/>
        </w:rPr>
        <w:t xml:space="preserve"> Come</w:t>
      </w:r>
      <w:r w:rsidRPr="006A4363">
        <w:rPr>
          <w:szCs w:val="18"/>
        </w:rPr>
        <w:t>, p. viii.</w:t>
      </w:r>
    </w:p>
  </w:endnote>
  <w:endnote w:id="2244">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Fitzmyer, </w:t>
      </w:r>
      <w:r w:rsidRPr="006A4363">
        <w:rPr>
          <w:i/>
          <w:szCs w:val="18"/>
        </w:rPr>
        <w:t xml:space="preserve">One </w:t>
      </w:r>
      <w:proofErr w:type="gramStart"/>
      <w:r w:rsidRPr="006A4363">
        <w:rPr>
          <w:i/>
          <w:szCs w:val="18"/>
        </w:rPr>
        <w:t>To</w:t>
      </w:r>
      <w:proofErr w:type="gramEnd"/>
      <w:r w:rsidRPr="006A4363">
        <w:rPr>
          <w:i/>
          <w:szCs w:val="18"/>
        </w:rPr>
        <w:t xml:space="preserve"> Come</w:t>
      </w:r>
      <w:r w:rsidRPr="006A4363">
        <w:rPr>
          <w:szCs w:val="18"/>
        </w:rPr>
        <w:t>, p. 8.</w:t>
      </w:r>
    </w:p>
  </w:endnote>
  <w:endnote w:id="2245">
    <w:p w:rsidR="00975183" w:rsidRDefault="00975183" w:rsidP="006A2E06">
      <w:pPr>
        <w:pStyle w:val="EndnoteText"/>
      </w:pPr>
      <w:r w:rsidRPr="00BD60F8">
        <w:rPr>
          <w:rStyle w:val="FootnoteReference"/>
          <w:szCs w:val="18"/>
        </w:rPr>
        <w:endnoteRef/>
      </w:r>
      <w:r w:rsidRPr="00BD60F8">
        <w:rPr>
          <w:szCs w:val="18"/>
        </w:rPr>
        <w:t xml:space="preserve"> Fitzmyer, </w:t>
      </w:r>
      <w:r w:rsidRPr="00BD60F8">
        <w:rPr>
          <w:i/>
          <w:szCs w:val="18"/>
        </w:rPr>
        <w:t xml:space="preserve">One </w:t>
      </w:r>
      <w:proofErr w:type="gramStart"/>
      <w:r w:rsidRPr="00BD60F8">
        <w:rPr>
          <w:i/>
          <w:szCs w:val="18"/>
        </w:rPr>
        <w:t>To</w:t>
      </w:r>
      <w:proofErr w:type="gramEnd"/>
      <w:r w:rsidRPr="00BD60F8">
        <w:rPr>
          <w:i/>
          <w:szCs w:val="18"/>
        </w:rPr>
        <w:t xml:space="preserve"> Come</w:t>
      </w:r>
      <w:r w:rsidRPr="00BD60F8">
        <w:rPr>
          <w:szCs w:val="18"/>
        </w:rPr>
        <w:t>, p. 62</w:t>
      </w:r>
      <w:r w:rsidRPr="006A4363">
        <w:rPr>
          <w:szCs w:val="18"/>
        </w:rPr>
        <w:t>.</w:t>
      </w:r>
    </w:p>
  </w:endnote>
  <w:endnote w:id="2246">
    <w:p w:rsidR="00975183" w:rsidRDefault="00975183" w:rsidP="006A2E06">
      <w:pPr>
        <w:pStyle w:val="EndnoteText"/>
      </w:pPr>
      <w:r w:rsidRPr="009F2F22">
        <w:rPr>
          <w:rStyle w:val="EndnoteReference"/>
        </w:rPr>
        <w:endnoteRef/>
      </w:r>
      <w:r>
        <w:t xml:space="preserve"> </w:t>
      </w:r>
      <w:r>
        <w:rPr>
          <w:spacing w:val="-1"/>
        </w:rPr>
        <w:t xml:space="preserve">Fitzmyer, </w:t>
      </w:r>
      <w:r>
        <w:rPr>
          <w:i/>
          <w:spacing w:val="-1"/>
        </w:rPr>
        <w:t xml:space="preserve">One </w:t>
      </w:r>
      <w:proofErr w:type="gramStart"/>
      <w:r>
        <w:rPr>
          <w:i/>
          <w:spacing w:val="-1"/>
        </w:rPr>
        <w:t>To</w:t>
      </w:r>
      <w:proofErr w:type="gramEnd"/>
      <w:r>
        <w:rPr>
          <w:i/>
        </w:rPr>
        <w:t xml:space="preserve"> </w:t>
      </w:r>
      <w:r>
        <w:rPr>
          <w:i/>
          <w:spacing w:val="-1"/>
        </w:rPr>
        <w:t>Come</w:t>
      </w:r>
      <w:r>
        <w:rPr>
          <w:spacing w:val="-1"/>
        </w:rPr>
        <w:t>,</w:t>
      </w:r>
      <w:r>
        <w:t xml:space="preserve"> </w:t>
      </w:r>
      <w:r>
        <w:rPr>
          <w:spacing w:val="-1"/>
        </w:rPr>
        <w:t>pp.</w:t>
      </w:r>
      <w:r>
        <w:t xml:space="preserve"> </w:t>
      </w:r>
      <w:r>
        <w:rPr>
          <w:spacing w:val="-1"/>
        </w:rPr>
        <w:t>10, 11.</w:t>
      </w:r>
    </w:p>
  </w:endnote>
  <w:endnote w:id="2247">
    <w:p w:rsidR="00975183" w:rsidRPr="00D73C79" w:rsidRDefault="00975183" w:rsidP="00D73C79">
      <w:pPr>
        <w:pStyle w:val="BodyText"/>
        <w:ind w:left="0" w:firstLine="0"/>
        <w:rPr>
          <w:rFonts w:ascii="Perpetua" w:hAnsi="Perpetua"/>
          <w:spacing w:val="-1"/>
          <w:sz w:val="20"/>
          <w:szCs w:val="20"/>
        </w:rPr>
      </w:pPr>
      <w:r w:rsidRPr="00D73C79">
        <w:rPr>
          <w:rStyle w:val="EndnoteReference"/>
          <w:rFonts w:ascii="Perpetua" w:hAnsi="Perpetua"/>
          <w:sz w:val="20"/>
          <w:szCs w:val="20"/>
        </w:rPr>
        <w:endnoteRef/>
      </w:r>
      <w:r w:rsidRPr="00D73C79">
        <w:rPr>
          <w:rFonts w:ascii="Perpetua" w:hAnsi="Perpetua"/>
          <w:sz w:val="20"/>
          <w:szCs w:val="20"/>
        </w:rPr>
        <w:t xml:space="preserve"> </w:t>
      </w:r>
      <w:r w:rsidRPr="00D73C79">
        <w:rPr>
          <w:rFonts w:ascii="Perpetua" w:eastAsia="Perpetua" w:hAnsi="Perpetua" w:cs="Perpetua"/>
          <w:sz w:val="20"/>
          <w:szCs w:val="20"/>
        </w:rPr>
        <w:t xml:space="preserve">1 </w:t>
      </w:r>
      <w:r w:rsidRPr="00D73C79">
        <w:rPr>
          <w:rFonts w:ascii="Perpetua" w:eastAsia="Perpetua" w:hAnsi="Perpetua" w:cs="Perpetua"/>
          <w:spacing w:val="-1"/>
          <w:sz w:val="20"/>
          <w:szCs w:val="20"/>
        </w:rPr>
        <w:t>Sam.</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2:10,</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35;</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16:6; Ps.</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2:2; 20:7;</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84:10;</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possibly</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28:8</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(‘a</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king</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in</w:t>
      </w:r>
      <w:r w:rsidRPr="00D73C79">
        <w:rPr>
          <w:rFonts w:ascii="Perpetua" w:eastAsia="Perpetua" w:hAnsi="Perpetua" w:cs="Perpetua"/>
          <w:sz w:val="20"/>
          <w:szCs w:val="20"/>
        </w:rPr>
        <w:t xml:space="preserve"> a </w:t>
      </w:r>
      <w:r w:rsidRPr="00D73C79">
        <w:rPr>
          <w:rFonts w:ascii="Perpetua" w:eastAsia="Perpetua" w:hAnsi="Perpetua" w:cs="Perpetua"/>
          <w:spacing w:val="-1"/>
          <w:sz w:val="20"/>
          <w:szCs w:val="20"/>
        </w:rPr>
        <w:t>generic</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sense</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or</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an</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unnamed</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king</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of</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the</w:t>
      </w:r>
      <w:r w:rsidRPr="00D73C79">
        <w:rPr>
          <w:rFonts w:ascii="Perpetua" w:eastAsia="Perpetua" w:hAnsi="Perpetua" w:cs="Perpetua"/>
          <w:spacing w:val="48"/>
          <w:sz w:val="20"/>
          <w:szCs w:val="20"/>
        </w:rPr>
        <w:t xml:space="preserve"> </w:t>
      </w:r>
      <w:r w:rsidRPr="00D73C79">
        <w:rPr>
          <w:rFonts w:ascii="Perpetua" w:eastAsia="Perpetua" w:hAnsi="Perpetua" w:cs="Perpetua"/>
          <w:spacing w:val="-1"/>
          <w:sz w:val="20"/>
          <w:szCs w:val="20"/>
        </w:rPr>
        <w:t>Davidic</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 xml:space="preserve">dynasty’); </w:t>
      </w:r>
      <w:r w:rsidRPr="00D73C79">
        <w:rPr>
          <w:rFonts w:ascii="Perpetua" w:hAnsi="Perpetua"/>
          <w:sz w:val="20"/>
          <w:szCs w:val="20"/>
        </w:rPr>
        <w:t xml:space="preserve">1 </w:t>
      </w:r>
      <w:r w:rsidRPr="00D73C79">
        <w:rPr>
          <w:rFonts w:ascii="Perpetua" w:hAnsi="Perpetua"/>
          <w:spacing w:val="-1"/>
          <w:sz w:val="20"/>
          <w:szCs w:val="20"/>
        </w:rPr>
        <w:t>Sam.</w:t>
      </w:r>
      <w:r w:rsidRPr="00D73C79">
        <w:rPr>
          <w:rFonts w:ascii="Perpetua" w:hAnsi="Perpetua"/>
          <w:sz w:val="20"/>
          <w:szCs w:val="20"/>
        </w:rPr>
        <w:t xml:space="preserve"> </w:t>
      </w:r>
      <w:r w:rsidRPr="00D73C79">
        <w:rPr>
          <w:rFonts w:ascii="Perpetua" w:hAnsi="Perpetua"/>
          <w:spacing w:val="-1"/>
          <w:sz w:val="20"/>
          <w:szCs w:val="20"/>
        </w:rPr>
        <w:t>24:7</w:t>
      </w:r>
      <w:r w:rsidRPr="00D73C79">
        <w:rPr>
          <w:rFonts w:ascii="Perpetua" w:hAnsi="Perpetua"/>
          <w:sz w:val="20"/>
          <w:szCs w:val="20"/>
        </w:rPr>
        <w:t xml:space="preserve"> </w:t>
      </w:r>
      <w:r w:rsidRPr="00D73C79">
        <w:rPr>
          <w:rFonts w:ascii="Perpetua" w:hAnsi="Perpetua"/>
          <w:spacing w:val="-1"/>
          <w:sz w:val="20"/>
          <w:szCs w:val="20"/>
        </w:rPr>
        <w:t>[two</w:t>
      </w:r>
      <w:r w:rsidRPr="00D73C79">
        <w:rPr>
          <w:rFonts w:ascii="Perpetua" w:hAnsi="Perpetua"/>
          <w:sz w:val="20"/>
          <w:szCs w:val="20"/>
        </w:rPr>
        <w:t xml:space="preserve"> </w:t>
      </w:r>
      <w:r w:rsidRPr="00D73C79">
        <w:rPr>
          <w:rFonts w:ascii="Perpetua" w:hAnsi="Perpetua"/>
          <w:spacing w:val="-1"/>
          <w:sz w:val="20"/>
          <w:szCs w:val="20"/>
        </w:rPr>
        <w:t>entries], 11;</w:t>
      </w:r>
      <w:r w:rsidRPr="00D73C79">
        <w:rPr>
          <w:rFonts w:ascii="Perpetua" w:hAnsi="Perpetua"/>
          <w:sz w:val="20"/>
          <w:szCs w:val="20"/>
        </w:rPr>
        <w:t xml:space="preserve"> </w:t>
      </w:r>
      <w:r w:rsidRPr="00D73C79">
        <w:rPr>
          <w:rFonts w:ascii="Perpetua" w:hAnsi="Perpetua"/>
          <w:spacing w:val="-1"/>
          <w:sz w:val="20"/>
          <w:szCs w:val="20"/>
        </w:rPr>
        <w:t>26:9,</w:t>
      </w:r>
      <w:r w:rsidRPr="00D73C79">
        <w:rPr>
          <w:rFonts w:ascii="Perpetua" w:hAnsi="Perpetua"/>
          <w:sz w:val="20"/>
          <w:szCs w:val="20"/>
        </w:rPr>
        <w:t xml:space="preserve"> </w:t>
      </w:r>
      <w:r w:rsidRPr="00D73C79">
        <w:rPr>
          <w:rFonts w:ascii="Perpetua" w:hAnsi="Perpetua"/>
          <w:spacing w:val="-1"/>
          <w:sz w:val="20"/>
          <w:szCs w:val="20"/>
        </w:rPr>
        <w:t>11,</w:t>
      </w:r>
      <w:r w:rsidRPr="00D73C79">
        <w:rPr>
          <w:rFonts w:ascii="Perpetua" w:hAnsi="Perpetua"/>
          <w:sz w:val="20"/>
          <w:szCs w:val="20"/>
        </w:rPr>
        <w:t xml:space="preserve"> </w:t>
      </w:r>
      <w:r w:rsidRPr="00D73C79">
        <w:rPr>
          <w:rFonts w:ascii="Perpetua" w:hAnsi="Perpetua"/>
          <w:spacing w:val="-1"/>
          <w:sz w:val="20"/>
          <w:szCs w:val="20"/>
        </w:rPr>
        <w:t>16,</w:t>
      </w:r>
      <w:r w:rsidRPr="00D73C79">
        <w:rPr>
          <w:rFonts w:ascii="Perpetua" w:hAnsi="Perpetua"/>
          <w:sz w:val="20"/>
          <w:szCs w:val="20"/>
        </w:rPr>
        <w:t xml:space="preserve"> </w:t>
      </w:r>
      <w:r w:rsidRPr="00D73C79">
        <w:rPr>
          <w:rFonts w:ascii="Perpetua" w:hAnsi="Perpetua"/>
          <w:spacing w:val="-1"/>
          <w:sz w:val="20"/>
          <w:szCs w:val="20"/>
        </w:rPr>
        <w:t xml:space="preserve">23; </w:t>
      </w:r>
      <w:r w:rsidRPr="00D73C79">
        <w:rPr>
          <w:rFonts w:ascii="Perpetua" w:hAnsi="Perpetua"/>
          <w:sz w:val="20"/>
          <w:szCs w:val="20"/>
        </w:rPr>
        <w:t xml:space="preserve">2 </w:t>
      </w:r>
      <w:r w:rsidRPr="00D73C79">
        <w:rPr>
          <w:rFonts w:ascii="Perpetua" w:hAnsi="Perpetua"/>
          <w:spacing w:val="-1"/>
          <w:sz w:val="20"/>
          <w:szCs w:val="20"/>
        </w:rPr>
        <w:t>Sam.</w:t>
      </w:r>
      <w:r w:rsidRPr="00D73C79">
        <w:rPr>
          <w:rFonts w:ascii="Perpetua" w:hAnsi="Perpetua"/>
          <w:sz w:val="20"/>
          <w:szCs w:val="20"/>
        </w:rPr>
        <w:t xml:space="preserve"> </w:t>
      </w:r>
      <w:r w:rsidRPr="00D73C79">
        <w:rPr>
          <w:rFonts w:ascii="Perpetua" w:hAnsi="Perpetua"/>
          <w:spacing w:val="-1"/>
          <w:sz w:val="20"/>
          <w:szCs w:val="20"/>
        </w:rPr>
        <w:t>1:14,</w:t>
      </w:r>
      <w:r w:rsidRPr="00D73C79">
        <w:rPr>
          <w:rFonts w:ascii="Perpetua" w:hAnsi="Perpetua"/>
          <w:sz w:val="20"/>
          <w:szCs w:val="20"/>
        </w:rPr>
        <w:t xml:space="preserve"> </w:t>
      </w:r>
      <w:r w:rsidRPr="00D73C79">
        <w:rPr>
          <w:rFonts w:ascii="Perpetua" w:hAnsi="Perpetua"/>
          <w:spacing w:val="-1"/>
          <w:sz w:val="20"/>
          <w:szCs w:val="20"/>
        </w:rPr>
        <w:t>16,</w:t>
      </w:r>
      <w:r w:rsidRPr="00D73C79">
        <w:rPr>
          <w:rFonts w:ascii="Perpetua" w:hAnsi="Perpetua"/>
          <w:sz w:val="20"/>
          <w:szCs w:val="20"/>
        </w:rPr>
        <w:t xml:space="preserve"> </w:t>
      </w:r>
      <w:r w:rsidRPr="00D73C79">
        <w:rPr>
          <w:rFonts w:ascii="Perpetua" w:hAnsi="Perpetua"/>
          <w:spacing w:val="-1"/>
          <w:sz w:val="20"/>
          <w:szCs w:val="20"/>
        </w:rPr>
        <w:t>cf</w:t>
      </w:r>
      <w:r w:rsidRPr="00D73C79">
        <w:rPr>
          <w:rFonts w:ascii="Perpetua" w:hAnsi="Perpetua"/>
          <w:sz w:val="20"/>
          <w:szCs w:val="20"/>
        </w:rPr>
        <w:t xml:space="preserve"> 1</w:t>
      </w:r>
      <w:r w:rsidRPr="00D73C79">
        <w:rPr>
          <w:rFonts w:ascii="Perpetua" w:hAnsi="Perpetua"/>
          <w:spacing w:val="-1"/>
          <w:sz w:val="20"/>
          <w:szCs w:val="20"/>
        </w:rPr>
        <w:t xml:space="preserve"> Sam.</w:t>
      </w:r>
      <w:r w:rsidRPr="00D73C79">
        <w:rPr>
          <w:rFonts w:ascii="Perpetua" w:hAnsi="Perpetua"/>
          <w:sz w:val="20"/>
          <w:szCs w:val="20"/>
        </w:rPr>
        <w:t xml:space="preserve"> </w:t>
      </w:r>
      <w:r w:rsidRPr="00D73C79">
        <w:rPr>
          <w:rFonts w:ascii="Perpetua" w:hAnsi="Perpetua"/>
          <w:spacing w:val="-1"/>
          <w:sz w:val="20"/>
          <w:szCs w:val="20"/>
        </w:rPr>
        <w:t>12:3,</w:t>
      </w:r>
      <w:r w:rsidRPr="00D73C79">
        <w:rPr>
          <w:rFonts w:ascii="Perpetua" w:hAnsi="Perpetua"/>
          <w:sz w:val="20"/>
          <w:szCs w:val="20"/>
        </w:rPr>
        <w:t xml:space="preserve"> 5 </w:t>
      </w:r>
      <w:r w:rsidRPr="00D73C79">
        <w:rPr>
          <w:rFonts w:ascii="Perpetua" w:hAnsi="Perpetua"/>
          <w:spacing w:val="-1"/>
          <w:sz w:val="20"/>
          <w:szCs w:val="20"/>
        </w:rPr>
        <w:t xml:space="preserve">(Saul); </w:t>
      </w:r>
    </w:p>
    <w:p w:rsidR="00975183" w:rsidRPr="00D73C79" w:rsidRDefault="00975183" w:rsidP="00D73C79">
      <w:pPr>
        <w:pStyle w:val="BodyText"/>
        <w:ind w:left="0" w:firstLine="0"/>
        <w:rPr>
          <w:rFonts w:ascii="Perpetua" w:eastAsia="Perpetua" w:hAnsi="Perpetua" w:cs="Perpetua"/>
          <w:spacing w:val="-1"/>
          <w:sz w:val="20"/>
          <w:szCs w:val="20"/>
        </w:rPr>
      </w:pPr>
      <w:r w:rsidRPr="00D73C79">
        <w:rPr>
          <w:rFonts w:ascii="Perpetua" w:eastAsia="Perpetua" w:hAnsi="Perpetua" w:cs="Perpetua"/>
          <w:sz w:val="20"/>
          <w:szCs w:val="20"/>
        </w:rPr>
        <w:t xml:space="preserve">2 </w:t>
      </w:r>
      <w:r w:rsidRPr="00D73C79">
        <w:rPr>
          <w:rFonts w:ascii="Perpetua" w:eastAsia="Perpetua" w:hAnsi="Perpetua" w:cs="Perpetua"/>
          <w:spacing w:val="-1"/>
          <w:sz w:val="20"/>
          <w:szCs w:val="20"/>
        </w:rPr>
        <w:t>Sam.</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19:22;</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22:51;</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23:1;</w:t>
      </w:r>
      <w:r w:rsidRPr="00D73C79">
        <w:rPr>
          <w:rFonts w:ascii="Perpetua" w:eastAsia="Perpetua" w:hAnsi="Perpetua" w:cs="Perpetua"/>
          <w:sz w:val="20"/>
          <w:szCs w:val="20"/>
        </w:rPr>
        <w:t xml:space="preserve"> Ps.</w:t>
      </w:r>
      <w:r w:rsidRPr="00D73C79">
        <w:rPr>
          <w:rFonts w:ascii="Perpetua" w:eastAsia="Perpetua" w:hAnsi="Perpetua" w:cs="Perpetua"/>
          <w:spacing w:val="-1"/>
          <w:sz w:val="20"/>
          <w:szCs w:val="20"/>
        </w:rPr>
        <w:t xml:space="preserve"> 18:51;</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89:39,</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52;</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132:10,</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17</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(‘David</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[as</w:t>
      </w:r>
      <w:r w:rsidRPr="00D73C79">
        <w:rPr>
          <w:rFonts w:ascii="Perpetua" w:eastAsia="Perpetua" w:hAnsi="Perpetua" w:cs="Perpetua"/>
          <w:sz w:val="20"/>
          <w:szCs w:val="20"/>
        </w:rPr>
        <w:t xml:space="preserve"> a </w:t>
      </w:r>
      <w:r w:rsidRPr="00D73C79">
        <w:rPr>
          <w:rFonts w:ascii="Perpetua" w:eastAsia="Perpetua" w:hAnsi="Perpetua" w:cs="Perpetua"/>
          <w:spacing w:val="-1"/>
          <w:sz w:val="20"/>
          <w:szCs w:val="20"/>
        </w:rPr>
        <w:t>historical</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king]</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in</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some</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of</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the</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last</w:t>
      </w:r>
      <w:r w:rsidRPr="00D73C79">
        <w:rPr>
          <w:rFonts w:ascii="Perpetua" w:eastAsia="Perpetua" w:hAnsi="Perpetua" w:cs="Perpetua"/>
          <w:spacing w:val="42"/>
          <w:sz w:val="20"/>
          <w:szCs w:val="20"/>
        </w:rPr>
        <w:t xml:space="preserve"> </w:t>
      </w:r>
      <w:r w:rsidRPr="00D73C79">
        <w:rPr>
          <w:rFonts w:ascii="Perpetua" w:eastAsia="Perpetua" w:hAnsi="Perpetua" w:cs="Perpetua"/>
          <w:spacing w:val="-1"/>
          <w:sz w:val="20"/>
          <w:szCs w:val="20"/>
        </w:rPr>
        <w:t>mentioned</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instances</w:t>
      </w:r>
      <w:r w:rsidRPr="00D73C79">
        <w:rPr>
          <w:rFonts w:ascii="Perpetua" w:eastAsia="Perpetua" w:hAnsi="Perpetua" w:cs="Perpetua"/>
          <w:sz w:val="20"/>
          <w:szCs w:val="20"/>
        </w:rPr>
        <w:t xml:space="preserve"> </w:t>
      </w:r>
      <w:r w:rsidRPr="00D73C79">
        <w:rPr>
          <w:rFonts w:ascii="Perpetua" w:eastAsia="Bwhebb" w:hAnsi="Perpetua" w:cs="Bwhebb"/>
          <w:spacing w:val="-1"/>
          <w:sz w:val="20"/>
          <w:szCs w:val="20"/>
        </w:rPr>
        <w:t>x</w:t>
      </w:r>
      <w:proofErr w:type="gramStart"/>
      <w:r w:rsidRPr="00D73C79">
        <w:rPr>
          <w:rFonts w:ascii="Perpetua" w:eastAsia="Bwhebb" w:hAnsi="Perpetua" w:cs="Bwhebb"/>
          <w:spacing w:val="-1"/>
          <w:sz w:val="20"/>
          <w:szCs w:val="20"/>
        </w:rPr>
        <w:t>;yvim</w:t>
      </w:r>
      <w:proofErr w:type="gramEnd"/>
      <w:r w:rsidRPr="00D73C79">
        <w:rPr>
          <w:rFonts w:ascii="Perpetua" w:eastAsia="Bwhebb" w:hAnsi="Perpetua" w:cs="Bwhebb"/>
          <w:spacing w:val="-61"/>
          <w:sz w:val="20"/>
          <w:szCs w:val="20"/>
        </w:rPr>
        <w:t xml:space="preserve"> </w:t>
      </w:r>
      <w:r w:rsidRPr="00D73C79">
        <w:rPr>
          <w:rFonts w:ascii="Perpetua" w:eastAsia="Perpetua" w:hAnsi="Perpetua" w:cs="Perpetua"/>
          <w:spacing w:val="-1"/>
          <w:sz w:val="20"/>
          <w:szCs w:val="20"/>
        </w:rPr>
        <w:t>is</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also</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extended to</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descendants</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of</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David</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on</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his</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throne,</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or</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to</w:t>
      </w:r>
      <w:r w:rsidRPr="00D73C79">
        <w:rPr>
          <w:rFonts w:ascii="Perpetua" w:eastAsia="Perpetua" w:hAnsi="Perpetua" w:cs="Perpetua"/>
          <w:sz w:val="20"/>
          <w:szCs w:val="20"/>
        </w:rPr>
        <w:t xml:space="preserve"> a </w:t>
      </w:r>
      <w:r w:rsidRPr="00D73C79">
        <w:rPr>
          <w:rFonts w:ascii="Perpetua" w:eastAsia="Perpetua" w:hAnsi="Perpetua" w:cs="Perpetua"/>
          <w:spacing w:val="-1"/>
          <w:sz w:val="20"/>
          <w:szCs w:val="20"/>
        </w:rPr>
        <w:t>‘Davidic</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 xml:space="preserve">king’.) </w:t>
      </w:r>
    </w:p>
    <w:p w:rsidR="00975183" w:rsidRPr="00D73C79" w:rsidRDefault="00975183" w:rsidP="00D73C79">
      <w:pPr>
        <w:pStyle w:val="BodyText"/>
        <w:ind w:left="0" w:firstLine="0"/>
        <w:rPr>
          <w:rFonts w:ascii="Perpetua" w:hAnsi="Perpetua"/>
          <w:sz w:val="20"/>
          <w:szCs w:val="20"/>
        </w:rPr>
      </w:pPr>
      <w:proofErr w:type="gramStart"/>
      <w:r w:rsidRPr="00D73C79">
        <w:rPr>
          <w:rFonts w:ascii="Perpetua" w:eastAsia="Perpetua" w:hAnsi="Perpetua" w:cs="Perpetua"/>
          <w:spacing w:val="-1"/>
          <w:sz w:val="20"/>
          <w:szCs w:val="20"/>
        </w:rPr>
        <w:t xml:space="preserve">1 </w:t>
      </w:r>
      <w:r w:rsidRPr="00D73C79">
        <w:rPr>
          <w:rFonts w:ascii="Perpetua" w:hAnsi="Perpetua"/>
          <w:spacing w:val="-1"/>
          <w:sz w:val="20"/>
          <w:szCs w:val="20"/>
        </w:rPr>
        <w:t>Chron.</w:t>
      </w:r>
      <w:r w:rsidRPr="00D73C79">
        <w:rPr>
          <w:rFonts w:ascii="Perpetua" w:hAnsi="Perpetua"/>
          <w:sz w:val="20"/>
          <w:szCs w:val="20"/>
        </w:rPr>
        <w:t xml:space="preserve"> </w:t>
      </w:r>
      <w:r w:rsidRPr="00D73C79">
        <w:rPr>
          <w:rFonts w:ascii="Perpetua" w:hAnsi="Perpetua"/>
          <w:spacing w:val="-1"/>
          <w:sz w:val="20"/>
          <w:szCs w:val="20"/>
        </w:rPr>
        <w:t>6:42</w:t>
      </w:r>
      <w:r w:rsidRPr="00D73C79">
        <w:rPr>
          <w:rFonts w:ascii="Perpetua" w:hAnsi="Perpetua"/>
          <w:sz w:val="20"/>
          <w:szCs w:val="20"/>
        </w:rPr>
        <w:t xml:space="preserve"> </w:t>
      </w:r>
      <w:r w:rsidRPr="00D73C79">
        <w:rPr>
          <w:rFonts w:ascii="Perpetua" w:hAnsi="Perpetua"/>
          <w:spacing w:val="-1"/>
          <w:sz w:val="20"/>
          <w:szCs w:val="20"/>
        </w:rPr>
        <w:t>(Solomon</w:t>
      </w:r>
      <w:r w:rsidRPr="00D73C79">
        <w:rPr>
          <w:rFonts w:ascii="Perpetua" w:hAnsi="Perpetua"/>
          <w:sz w:val="20"/>
          <w:szCs w:val="20"/>
        </w:rPr>
        <w:t xml:space="preserve"> </w:t>
      </w:r>
      <w:r w:rsidRPr="00D73C79">
        <w:rPr>
          <w:rFonts w:ascii="Perpetua" w:hAnsi="Perpetua"/>
          <w:spacing w:val="-1"/>
          <w:sz w:val="20"/>
          <w:szCs w:val="20"/>
        </w:rPr>
        <w:t>[with David?]); Lam.</w:t>
      </w:r>
      <w:r w:rsidRPr="00D73C79">
        <w:rPr>
          <w:rFonts w:ascii="Perpetua" w:hAnsi="Perpetua"/>
          <w:sz w:val="20"/>
          <w:szCs w:val="20"/>
        </w:rPr>
        <w:t xml:space="preserve"> </w:t>
      </w:r>
      <w:r w:rsidRPr="00D73C79">
        <w:rPr>
          <w:rFonts w:ascii="Perpetua" w:hAnsi="Perpetua"/>
          <w:spacing w:val="-1"/>
          <w:sz w:val="20"/>
          <w:szCs w:val="20"/>
        </w:rPr>
        <w:t>4:20</w:t>
      </w:r>
      <w:r w:rsidRPr="00D73C79">
        <w:rPr>
          <w:rFonts w:ascii="Perpetua" w:hAnsi="Perpetua"/>
          <w:sz w:val="20"/>
          <w:szCs w:val="20"/>
        </w:rPr>
        <w:t xml:space="preserve"> </w:t>
      </w:r>
      <w:r w:rsidRPr="00D73C79">
        <w:rPr>
          <w:rFonts w:ascii="Perpetua" w:hAnsi="Perpetua"/>
          <w:spacing w:val="-1"/>
          <w:sz w:val="20"/>
          <w:szCs w:val="20"/>
        </w:rPr>
        <w:t>(Zedekiah); Isa.</w:t>
      </w:r>
      <w:r w:rsidRPr="00D73C79">
        <w:rPr>
          <w:rFonts w:ascii="Perpetua" w:hAnsi="Perpetua"/>
          <w:sz w:val="20"/>
          <w:szCs w:val="20"/>
        </w:rPr>
        <w:t xml:space="preserve"> </w:t>
      </w:r>
      <w:r w:rsidRPr="00D73C79">
        <w:rPr>
          <w:rFonts w:ascii="Perpetua" w:hAnsi="Perpetua"/>
          <w:spacing w:val="-1"/>
          <w:sz w:val="20"/>
          <w:szCs w:val="20"/>
        </w:rPr>
        <w:t>45:1</w:t>
      </w:r>
      <w:r w:rsidRPr="00D73C79">
        <w:rPr>
          <w:rFonts w:ascii="Perpetua" w:hAnsi="Perpetua"/>
          <w:sz w:val="20"/>
          <w:szCs w:val="20"/>
        </w:rPr>
        <w:t xml:space="preserve"> </w:t>
      </w:r>
      <w:r w:rsidRPr="00D73C79">
        <w:rPr>
          <w:rFonts w:ascii="Perpetua" w:hAnsi="Perpetua"/>
          <w:spacing w:val="-1"/>
          <w:sz w:val="20"/>
          <w:szCs w:val="20"/>
        </w:rPr>
        <w:t>(Cyrus); Hab.</w:t>
      </w:r>
      <w:r w:rsidRPr="00D73C79">
        <w:rPr>
          <w:rFonts w:ascii="Perpetua" w:hAnsi="Perpetua"/>
          <w:sz w:val="20"/>
          <w:szCs w:val="20"/>
        </w:rPr>
        <w:t xml:space="preserve"> </w:t>
      </w:r>
      <w:r w:rsidRPr="00D73C79">
        <w:rPr>
          <w:rFonts w:ascii="Perpetua" w:hAnsi="Perpetua"/>
          <w:spacing w:val="-1"/>
          <w:sz w:val="20"/>
          <w:szCs w:val="20"/>
        </w:rPr>
        <w:t>3:13</w:t>
      </w:r>
      <w:r w:rsidRPr="00D73C79">
        <w:rPr>
          <w:rFonts w:ascii="Perpetua" w:hAnsi="Perpetua"/>
          <w:sz w:val="20"/>
          <w:szCs w:val="20"/>
        </w:rPr>
        <w:t xml:space="preserve"> </w:t>
      </w:r>
      <w:r w:rsidRPr="00D73C79">
        <w:rPr>
          <w:rFonts w:ascii="Perpetua" w:hAnsi="Perpetua"/>
          <w:spacing w:val="-1"/>
          <w:sz w:val="20"/>
          <w:szCs w:val="20"/>
        </w:rPr>
        <w:t>(The people</w:t>
      </w:r>
      <w:r w:rsidRPr="00D73C79">
        <w:rPr>
          <w:rFonts w:ascii="Perpetua" w:hAnsi="Perpetua"/>
          <w:sz w:val="20"/>
          <w:szCs w:val="20"/>
        </w:rPr>
        <w:t xml:space="preserve"> </w:t>
      </w:r>
      <w:r w:rsidRPr="00D73C79">
        <w:rPr>
          <w:rFonts w:ascii="Perpetua" w:hAnsi="Perpetua"/>
          <w:spacing w:val="-1"/>
          <w:sz w:val="20"/>
          <w:szCs w:val="20"/>
        </w:rPr>
        <w:t>of</w:t>
      </w:r>
      <w:r w:rsidRPr="00D73C79">
        <w:rPr>
          <w:rFonts w:ascii="Perpetua" w:hAnsi="Perpetua"/>
          <w:sz w:val="20"/>
          <w:szCs w:val="20"/>
        </w:rPr>
        <w:t xml:space="preserve"> </w:t>
      </w:r>
      <w:r w:rsidRPr="00D73C79">
        <w:rPr>
          <w:rFonts w:ascii="Perpetua" w:hAnsi="Perpetua"/>
          <w:spacing w:val="-1"/>
          <w:sz w:val="20"/>
          <w:szCs w:val="20"/>
        </w:rPr>
        <w:t>Israel or</w:t>
      </w:r>
      <w:r w:rsidRPr="00D73C79">
        <w:rPr>
          <w:rFonts w:ascii="Perpetua" w:hAnsi="Perpetua"/>
          <w:sz w:val="20"/>
          <w:szCs w:val="20"/>
        </w:rPr>
        <w:t xml:space="preserve"> </w:t>
      </w:r>
      <w:r w:rsidRPr="00D73C79">
        <w:rPr>
          <w:rFonts w:ascii="Perpetua" w:hAnsi="Perpetua"/>
          <w:spacing w:val="-1"/>
          <w:sz w:val="20"/>
          <w:szCs w:val="20"/>
        </w:rPr>
        <w:t>their</w:t>
      </w:r>
      <w:r w:rsidRPr="00D73C79">
        <w:rPr>
          <w:rFonts w:ascii="Perpetua" w:hAnsi="Perpetua"/>
          <w:sz w:val="20"/>
          <w:szCs w:val="20"/>
        </w:rPr>
        <w:t xml:space="preserve"> </w:t>
      </w:r>
      <w:r w:rsidRPr="00D73C79">
        <w:rPr>
          <w:rFonts w:ascii="Perpetua" w:hAnsi="Perpetua"/>
          <w:spacing w:val="-1"/>
          <w:sz w:val="20"/>
          <w:szCs w:val="20"/>
        </w:rPr>
        <w:t>unnamed</w:t>
      </w:r>
      <w:r w:rsidRPr="00D73C79">
        <w:rPr>
          <w:rFonts w:ascii="Perpetua" w:hAnsi="Perpetua"/>
          <w:sz w:val="20"/>
          <w:szCs w:val="20"/>
        </w:rPr>
        <w:t xml:space="preserve"> </w:t>
      </w:r>
      <w:r w:rsidRPr="00D73C79">
        <w:rPr>
          <w:rFonts w:ascii="Perpetua" w:hAnsi="Perpetua"/>
          <w:spacing w:val="-1"/>
          <w:sz w:val="20"/>
          <w:szCs w:val="20"/>
        </w:rPr>
        <w:t>king.)</w:t>
      </w:r>
      <w:proofErr w:type="gramEnd"/>
    </w:p>
  </w:endnote>
  <w:endnote w:id="2248">
    <w:p w:rsidR="00975183" w:rsidRPr="00D73C79" w:rsidRDefault="00975183" w:rsidP="00D73C79">
      <w:pPr>
        <w:pStyle w:val="EndnoteText"/>
      </w:pPr>
      <w:r w:rsidRPr="00D73C79">
        <w:rPr>
          <w:rStyle w:val="EndnoteReference"/>
        </w:rPr>
        <w:endnoteRef/>
      </w:r>
      <w:r w:rsidRPr="00D73C79">
        <w:t xml:space="preserve"> </w:t>
      </w:r>
      <w:r w:rsidRPr="00D73C79">
        <w:rPr>
          <w:spacing w:val="-1"/>
        </w:rPr>
        <w:t>Lev. 4:3,</w:t>
      </w:r>
      <w:r w:rsidRPr="00D73C79">
        <w:t xml:space="preserve"> </w:t>
      </w:r>
      <w:r w:rsidRPr="00D73C79">
        <w:rPr>
          <w:spacing w:val="-1"/>
        </w:rPr>
        <w:t>5,</w:t>
      </w:r>
      <w:r w:rsidRPr="00D73C79">
        <w:t xml:space="preserve"> </w:t>
      </w:r>
      <w:r w:rsidRPr="00D73C79">
        <w:rPr>
          <w:spacing w:val="-1"/>
        </w:rPr>
        <w:t>16;</w:t>
      </w:r>
      <w:r w:rsidRPr="00D73C79">
        <w:t xml:space="preserve"> </w:t>
      </w:r>
      <w:r w:rsidRPr="00D73C79">
        <w:rPr>
          <w:spacing w:val="-1"/>
        </w:rPr>
        <w:t>6:15,</w:t>
      </w:r>
      <w:r w:rsidRPr="00D73C79">
        <w:t xml:space="preserve"> </w:t>
      </w:r>
      <w:r w:rsidRPr="00D73C79">
        <w:rPr>
          <w:spacing w:val="-1"/>
        </w:rPr>
        <w:t>where the</w:t>
      </w:r>
      <w:r w:rsidRPr="00D73C79">
        <w:t xml:space="preserve"> </w:t>
      </w:r>
      <w:r w:rsidRPr="00D73C79">
        <w:rPr>
          <w:spacing w:val="-1"/>
        </w:rPr>
        <w:t>term</w:t>
      </w:r>
      <w:r w:rsidRPr="00D73C79">
        <w:t xml:space="preserve"> </w:t>
      </w:r>
      <w:r w:rsidRPr="00D73C79">
        <w:rPr>
          <w:spacing w:val="-1"/>
        </w:rPr>
        <w:t>is</w:t>
      </w:r>
      <w:r w:rsidRPr="00D73C79">
        <w:t xml:space="preserve"> used </w:t>
      </w:r>
      <w:r w:rsidRPr="00D73C79">
        <w:rPr>
          <w:spacing w:val="-1"/>
        </w:rPr>
        <w:t>as</w:t>
      </w:r>
      <w:r w:rsidRPr="00D73C79">
        <w:t xml:space="preserve"> </w:t>
      </w:r>
      <w:r w:rsidRPr="00D73C79">
        <w:rPr>
          <w:spacing w:val="-1"/>
        </w:rPr>
        <w:t>an</w:t>
      </w:r>
      <w:r w:rsidRPr="00D73C79">
        <w:t xml:space="preserve"> </w:t>
      </w:r>
      <w:r w:rsidRPr="00D73C79">
        <w:rPr>
          <w:spacing w:val="-1"/>
        </w:rPr>
        <w:t>adjective,</w:t>
      </w:r>
      <w:r w:rsidRPr="00D73C79">
        <w:t xml:space="preserve"> not</w:t>
      </w:r>
      <w:r w:rsidRPr="00D73C79">
        <w:rPr>
          <w:spacing w:val="-1"/>
        </w:rPr>
        <w:t xml:space="preserve"> as</w:t>
      </w:r>
      <w:r w:rsidRPr="00D73C79">
        <w:t xml:space="preserve"> a </w:t>
      </w:r>
      <w:r w:rsidRPr="00D73C79">
        <w:rPr>
          <w:spacing w:val="-1"/>
        </w:rPr>
        <w:t>title.</w:t>
      </w:r>
    </w:p>
  </w:endnote>
  <w:endnote w:id="2249">
    <w:p w:rsidR="00975183" w:rsidRPr="00D73C79" w:rsidRDefault="00975183" w:rsidP="00D73C79">
      <w:pPr>
        <w:pStyle w:val="EndnoteText"/>
      </w:pPr>
      <w:r w:rsidRPr="00D73C79">
        <w:rPr>
          <w:rStyle w:val="EndnoteReference"/>
        </w:rPr>
        <w:endnoteRef/>
      </w:r>
      <w:r w:rsidRPr="00D73C79">
        <w:t xml:space="preserve"> 1 </w:t>
      </w:r>
      <w:r w:rsidRPr="00D73C79">
        <w:rPr>
          <w:spacing w:val="-1"/>
        </w:rPr>
        <w:t>Chron.</w:t>
      </w:r>
      <w:r w:rsidRPr="00D73C79">
        <w:t xml:space="preserve"> </w:t>
      </w:r>
      <w:r w:rsidRPr="00D73C79">
        <w:rPr>
          <w:spacing w:val="-1"/>
        </w:rPr>
        <w:t>16:22;</w:t>
      </w:r>
      <w:r w:rsidRPr="00D73C79">
        <w:t xml:space="preserve"> </w:t>
      </w:r>
      <w:r w:rsidRPr="00D73C79">
        <w:rPr>
          <w:spacing w:val="-1"/>
        </w:rPr>
        <w:t>Ps.</w:t>
      </w:r>
      <w:r w:rsidRPr="00D73C79">
        <w:t xml:space="preserve"> </w:t>
      </w:r>
      <w:r w:rsidRPr="00D73C79">
        <w:rPr>
          <w:spacing w:val="-1"/>
        </w:rPr>
        <w:t>105:15.</w:t>
      </w:r>
    </w:p>
  </w:endnote>
  <w:endnote w:id="2250">
    <w:p w:rsidR="00975183" w:rsidRDefault="00975183" w:rsidP="00D73C79">
      <w:pPr>
        <w:pStyle w:val="BodyText"/>
        <w:ind w:left="0" w:firstLine="0"/>
        <w:rPr>
          <w:rFonts w:ascii="Perpetua" w:eastAsia="Perpetua" w:hAnsi="Perpetua" w:cs="Perpetua"/>
          <w:spacing w:val="1"/>
          <w:sz w:val="20"/>
          <w:szCs w:val="20"/>
        </w:rPr>
      </w:pPr>
      <w:r w:rsidRPr="00D73C79">
        <w:rPr>
          <w:rStyle w:val="EndnoteReference"/>
          <w:rFonts w:ascii="Perpetua" w:hAnsi="Perpetua"/>
          <w:sz w:val="20"/>
          <w:szCs w:val="20"/>
        </w:rPr>
        <w:endnoteRef/>
      </w:r>
      <w:r w:rsidRPr="00D73C79">
        <w:rPr>
          <w:rFonts w:ascii="Perpetua" w:hAnsi="Perpetua"/>
          <w:sz w:val="20"/>
          <w:szCs w:val="20"/>
        </w:rPr>
        <w:t xml:space="preserve"> </w:t>
      </w:r>
      <w:r w:rsidRPr="00D73C79">
        <w:rPr>
          <w:rFonts w:ascii="Perpetua" w:eastAsia="Perpetua" w:hAnsi="Perpetua" w:cs="Perpetua"/>
          <w:spacing w:val="-1"/>
          <w:sz w:val="20"/>
          <w:szCs w:val="20"/>
        </w:rPr>
        <w:t xml:space="preserve">Fitzmyer, </w:t>
      </w:r>
      <w:r w:rsidRPr="00D73C79">
        <w:rPr>
          <w:rFonts w:ascii="Perpetua" w:eastAsia="Perpetua" w:hAnsi="Perpetua" w:cs="Perpetua"/>
          <w:i/>
          <w:spacing w:val="-1"/>
          <w:sz w:val="20"/>
          <w:szCs w:val="20"/>
        </w:rPr>
        <w:t xml:space="preserve">One </w:t>
      </w:r>
      <w:proofErr w:type="gramStart"/>
      <w:r w:rsidRPr="00D73C79">
        <w:rPr>
          <w:rFonts w:ascii="Perpetua" w:eastAsia="Perpetua" w:hAnsi="Perpetua" w:cs="Perpetua"/>
          <w:i/>
          <w:spacing w:val="-1"/>
          <w:sz w:val="20"/>
          <w:szCs w:val="20"/>
        </w:rPr>
        <w:t>To</w:t>
      </w:r>
      <w:proofErr w:type="gramEnd"/>
      <w:r w:rsidRPr="00D73C79">
        <w:rPr>
          <w:rFonts w:ascii="Perpetua" w:eastAsia="Perpetua" w:hAnsi="Perpetua" w:cs="Perpetua"/>
          <w:i/>
          <w:sz w:val="20"/>
          <w:szCs w:val="20"/>
        </w:rPr>
        <w:t xml:space="preserve"> </w:t>
      </w:r>
      <w:r w:rsidRPr="00D73C79">
        <w:rPr>
          <w:rFonts w:ascii="Perpetua" w:eastAsia="Perpetua" w:hAnsi="Perpetua" w:cs="Perpetua"/>
          <w:i/>
          <w:spacing w:val="-1"/>
          <w:sz w:val="20"/>
          <w:szCs w:val="20"/>
        </w:rPr>
        <w:t>Come</w:t>
      </w:r>
      <w:r w:rsidRPr="00D73C79">
        <w:rPr>
          <w:rFonts w:ascii="Perpetua" w:eastAsia="Perpetua" w:hAnsi="Perpetua" w:cs="Perpetua"/>
          <w:spacing w:val="-1"/>
          <w:sz w:val="20"/>
          <w:szCs w:val="20"/>
        </w:rPr>
        <w:t>,</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p.</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12.</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 xml:space="preserve"> </w:t>
      </w:r>
    </w:p>
    <w:p w:rsidR="00975183" w:rsidRPr="00D73C79" w:rsidRDefault="00975183" w:rsidP="00D73C79">
      <w:pPr>
        <w:pStyle w:val="BodyText"/>
        <w:ind w:left="0" w:firstLine="0"/>
        <w:rPr>
          <w:sz w:val="20"/>
        </w:rPr>
      </w:pPr>
      <w:r w:rsidRPr="00D73C79">
        <w:rPr>
          <w:rFonts w:ascii="Perpetua" w:eastAsia="Perpetua" w:hAnsi="Perpetua" w:cs="Perpetua"/>
          <w:spacing w:val="-1"/>
          <w:sz w:val="20"/>
          <w:szCs w:val="20"/>
        </w:rPr>
        <w:t>By</w:t>
      </w:r>
      <w:r w:rsidRPr="00D73C79">
        <w:rPr>
          <w:rFonts w:ascii="Perpetua" w:eastAsia="Perpetua" w:hAnsi="Perpetua" w:cs="Perpetua"/>
          <w:spacing w:val="1"/>
          <w:sz w:val="20"/>
          <w:szCs w:val="20"/>
        </w:rPr>
        <w:t xml:space="preserve"> </w:t>
      </w:r>
      <w:r w:rsidRPr="00D73C79">
        <w:rPr>
          <w:rFonts w:ascii="Perpetua" w:eastAsia="Perpetua" w:hAnsi="Perpetua" w:cs="Perpetua"/>
          <w:spacing w:val="-1"/>
          <w:sz w:val="20"/>
          <w:szCs w:val="20"/>
        </w:rPr>
        <w:t>‘”Messiah”</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in</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the</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narrow</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sense’,</w:t>
      </w:r>
      <w:r w:rsidRPr="00D73C79">
        <w:rPr>
          <w:rFonts w:ascii="Perpetua" w:eastAsia="Perpetua" w:hAnsi="Perpetua" w:cs="Perpetua"/>
          <w:sz w:val="20"/>
          <w:szCs w:val="20"/>
        </w:rPr>
        <w:t xml:space="preserve"> </w:t>
      </w:r>
      <w:r w:rsidRPr="00D73C79">
        <w:rPr>
          <w:rFonts w:ascii="Perpetua" w:eastAsia="Perpetua" w:hAnsi="Perpetua" w:cs="Perpetua"/>
          <w:spacing w:val="-2"/>
          <w:sz w:val="20"/>
          <w:szCs w:val="20"/>
        </w:rPr>
        <w:t>Fitzmyer</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indicates God’s</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future,</w:t>
      </w:r>
      <w:r w:rsidRPr="00D73C79">
        <w:rPr>
          <w:rFonts w:ascii="Perpetua" w:eastAsia="Perpetua" w:hAnsi="Perpetua" w:cs="Perpetua"/>
          <w:sz w:val="20"/>
          <w:szCs w:val="20"/>
        </w:rPr>
        <w:t xml:space="preserve"> </w:t>
      </w:r>
      <w:r w:rsidRPr="00D73C79">
        <w:rPr>
          <w:rFonts w:ascii="Perpetua" w:eastAsia="Perpetua" w:hAnsi="Perpetua" w:cs="Perpetua"/>
          <w:spacing w:val="-1"/>
          <w:sz w:val="20"/>
          <w:szCs w:val="20"/>
        </w:rPr>
        <w:t>end-time agent.</w:t>
      </w:r>
      <w:r>
        <w:rPr>
          <w:rFonts w:ascii="Perpetua" w:eastAsia="Perpetua" w:hAnsi="Perpetua" w:cs="Perpetua"/>
          <w:spacing w:val="-1"/>
          <w:sz w:val="20"/>
          <w:szCs w:val="20"/>
        </w:rPr>
        <w:t xml:space="preserve">  </w:t>
      </w:r>
      <w:r w:rsidRPr="00D73C79">
        <w:rPr>
          <w:rFonts w:ascii="Perpetua"/>
          <w:sz w:val="20"/>
        </w:rPr>
        <w:t>Fitzmyer,</w:t>
      </w:r>
      <w:r w:rsidRPr="00D73C79">
        <w:rPr>
          <w:rFonts w:ascii="Perpetua"/>
          <w:spacing w:val="-1"/>
          <w:sz w:val="20"/>
        </w:rPr>
        <w:t xml:space="preserve"> </w:t>
      </w:r>
      <w:r w:rsidRPr="00D73C79">
        <w:rPr>
          <w:rFonts w:ascii="Perpetua"/>
          <w:i/>
          <w:sz w:val="20"/>
        </w:rPr>
        <w:t>One</w:t>
      </w:r>
      <w:r w:rsidRPr="00D73C79">
        <w:rPr>
          <w:rFonts w:ascii="Perpetua"/>
          <w:i/>
          <w:spacing w:val="-1"/>
          <w:sz w:val="20"/>
        </w:rPr>
        <w:t xml:space="preserve"> </w:t>
      </w:r>
      <w:proofErr w:type="gramStart"/>
      <w:r w:rsidRPr="00D73C79">
        <w:rPr>
          <w:rFonts w:ascii="Perpetua"/>
          <w:i/>
          <w:sz w:val="20"/>
        </w:rPr>
        <w:t>To</w:t>
      </w:r>
      <w:proofErr w:type="gramEnd"/>
      <w:r w:rsidRPr="00D73C79">
        <w:rPr>
          <w:rFonts w:ascii="Perpetua"/>
          <w:i/>
          <w:spacing w:val="-1"/>
          <w:sz w:val="20"/>
        </w:rPr>
        <w:t xml:space="preserve"> Come</w:t>
      </w:r>
      <w:r w:rsidRPr="00D73C79">
        <w:rPr>
          <w:rFonts w:ascii="Perpetua"/>
          <w:spacing w:val="-1"/>
          <w:sz w:val="20"/>
        </w:rPr>
        <w:t>,</w:t>
      </w:r>
      <w:r w:rsidRPr="00D73C79">
        <w:rPr>
          <w:rFonts w:ascii="Perpetua"/>
          <w:sz w:val="20"/>
        </w:rPr>
        <w:t xml:space="preserve"> </w:t>
      </w:r>
      <w:r w:rsidRPr="00D73C79">
        <w:rPr>
          <w:rFonts w:ascii="Perpetua"/>
          <w:spacing w:val="-1"/>
          <w:sz w:val="20"/>
        </w:rPr>
        <w:t>p.</w:t>
      </w:r>
      <w:r w:rsidRPr="00D73C79">
        <w:rPr>
          <w:rFonts w:ascii="Perpetua"/>
          <w:sz w:val="20"/>
        </w:rPr>
        <w:t xml:space="preserve"> </w:t>
      </w:r>
      <w:r w:rsidRPr="00D73C79">
        <w:rPr>
          <w:rFonts w:ascii="Perpetua"/>
          <w:spacing w:val="-1"/>
          <w:sz w:val="20"/>
        </w:rPr>
        <w:t>9.</w:t>
      </w:r>
    </w:p>
  </w:endnote>
  <w:endnote w:id="2251">
    <w:p w:rsidR="00975183" w:rsidRDefault="00975183" w:rsidP="006A2E06">
      <w:pPr>
        <w:pStyle w:val="EndnoteText"/>
      </w:pPr>
      <w:r w:rsidRPr="00DF4629">
        <w:rPr>
          <w:rStyle w:val="EndnoteReference"/>
        </w:rPr>
        <w:endnoteRef/>
      </w:r>
      <w:r w:rsidRPr="00DF4629">
        <w:t xml:space="preserve"> </w:t>
      </w:r>
      <w:r>
        <w:rPr>
          <w:rFonts w:eastAsia="Perpetua" w:cs="Perpetua"/>
          <w:spacing w:val="-1"/>
        </w:rPr>
        <w:t xml:space="preserve">Fitzmyer, </w:t>
      </w:r>
      <w:r>
        <w:rPr>
          <w:rFonts w:eastAsia="Perpetua" w:cs="Perpetua"/>
          <w:i/>
          <w:spacing w:val="-1"/>
        </w:rPr>
        <w:t xml:space="preserve">One </w:t>
      </w:r>
      <w:proofErr w:type="gramStart"/>
      <w:r>
        <w:rPr>
          <w:rFonts w:eastAsia="Perpetua" w:cs="Perpetua"/>
          <w:i/>
          <w:spacing w:val="-1"/>
        </w:rPr>
        <w:t>To</w:t>
      </w:r>
      <w:proofErr w:type="gramEnd"/>
      <w:r>
        <w:rPr>
          <w:rFonts w:eastAsia="Perpetua" w:cs="Perpetua"/>
          <w:i/>
        </w:rPr>
        <w:t xml:space="preserve"> </w:t>
      </w:r>
      <w:r>
        <w:rPr>
          <w:rFonts w:eastAsia="Perpetua" w:cs="Perpetua"/>
          <w:i/>
          <w:spacing w:val="-1"/>
        </w:rPr>
        <w:t>Come</w:t>
      </w:r>
      <w:r>
        <w:rPr>
          <w:rFonts w:eastAsia="Perpetua" w:cs="Perpetua"/>
          <w:spacing w:val="-1"/>
        </w:rPr>
        <w:t>,</w:t>
      </w:r>
      <w:r>
        <w:rPr>
          <w:rFonts w:eastAsia="Perpetua" w:cs="Perpetua"/>
        </w:rPr>
        <w:t xml:space="preserve"> </w:t>
      </w:r>
      <w:r>
        <w:rPr>
          <w:rFonts w:eastAsia="Perpetua" w:cs="Perpetua"/>
          <w:spacing w:val="-1"/>
        </w:rPr>
        <w:t>p.</w:t>
      </w:r>
      <w:r>
        <w:rPr>
          <w:rFonts w:eastAsia="Perpetua" w:cs="Perpetua"/>
        </w:rPr>
        <w:t xml:space="preserve"> </w:t>
      </w:r>
      <w:r>
        <w:rPr>
          <w:rFonts w:eastAsia="Perpetua" w:cs="Perpetua"/>
          <w:spacing w:val="-1"/>
        </w:rPr>
        <w:t>56.</w:t>
      </w:r>
      <w:r>
        <w:rPr>
          <w:rFonts w:eastAsia="Perpetua" w:cs="Perpetua"/>
        </w:rPr>
        <w:t xml:space="preserve">  </w:t>
      </w:r>
      <w:r>
        <w:rPr>
          <w:rFonts w:eastAsia="Perpetua" w:cs="Perpetua"/>
          <w:spacing w:val="-1"/>
        </w:rPr>
        <w:t>Fitzmyer</w:t>
      </w:r>
      <w:r>
        <w:rPr>
          <w:rFonts w:eastAsia="Perpetua" w:cs="Perpetua"/>
        </w:rPr>
        <w:t xml:space="preserve"> </w:t>
      </w:r>
      <w:r>
        <w:rPr>
          <w:rFonts w:eastAsia="Perpetua" w:cs="Perpetua"/>
          <w:spacing w:val="-1"/>
        </w:rPr>
        <w:t>regards Daniel’s</w:t>
      </w:r>
      <w:r>
        <w:rPr>
          <w:rFonts w:eastAsia="Perpetua" w:cs="Perpetua"/>
        </w:rPr>
        <w:t xml:space="preserve"> </w:t>
      </w:r>
      <w:r>
        <w:rPr>
          <w:rFonts w:eastAsia="Perpetua" w:cs="Perpetua"/>
          <w:spacing w:val="-1"/>
        </w:rPr>
        <w:t>final redaction as</w:t>
      </w:r>
      <w:r>
        <w:rPr>
          <w:rFonts w:eastAsia="Perpetua" w:cs="Perpetua"/>
        </w:rPr>
        <w:t xml:space="preserve"> </w:t>
      </w:r>
      <w:r>
        <w:rPr>
          <w:rFonts w:eastAsia="Perpetua" w:cs="Perpetua"/>
          <w:spacing w:val="-1"/>
        </w:rPr>
        <w:t>circa 165</w:t>
      </w:r>
      <w:r>
        <w:rPr>
          <w:rFonts w:eastAsia="Perpetua" w:cs="Perpetua"/>
        </w:rPr>
        <w:t xml:space="preserve"> </w:t>
      </w:r>
      <w:r>
        <w:rPr>
          <w:rFonts w:eastAsia="Perpetua" w:cs="Perpetua"/>
          <w:spacing w:val="-1"/>
        </w:rPr>
        <w:t>BCE,</w:t>
      </w:r>
      <w:r>
        <w:rPr>
          <w:rFonts w:eastAsia="Perpetua" w:cs="Perpetua"/>
        </w:rPr>
        <w:t xml:space="preserve"> </w:t>
      </w:r>
      <w:r>
        <w:rPr>
          <w:rFonts w:eastAsia="Perpetua" w:cs="Perpetua"/>
          <w:spacing w:val="-1"/>
        </w:rPr>
        <w:t>when Antiochus</w:t>
      </w:r>
      <w:r>
        <w:rPr>
          <w:rFonts w:eastAsia="Perpetua" w:cs="Perpetua"/>
          <w:spacing w:val="1"/>
        </w:rPr>
        <w:t xml:space="preserve"> </w:t>
      </w:r>
      <w:r>
        <w:rPr>
          <w:rFonts w:eastAsia="Perpetua" w:cs="Perpetua"/>
          <w:spacing w:val="-1"/>
        </w:rPr>
        <w:t>Epiphanes</w:t>
      </w:r>
      <w:r>
        <w:rPr>
          <w:rFonts w:eastAsia="Perpetua" w:cs="Perpetua"/>
          <w:spacing w:val="44"/>
        </w:rPr>
        <w:t xml:space="preserve"> </w:t>
      </w:r>
      <w:r>
        <w:rPr>
          <w:rFonts w:eastAsia="Perpetua" w:cs="Perpetua"/>
          <w:spacing w:val="-1"/>
        </w:rPr>
        <w:t>was</w:t>
      </w:r>
      <w:r>
        <w:rPr>
          <w:rFonts w:eastAsia="Perpetua" w:cs="Perpetua"/>
        </w:rPr>
        <w:t xml:space="preserve"> </w:t>
      </w:r>
      <w:r>
        <w:rPr>
          <w:rFonts w:eastAsia="Perpetua" w:cs="Perpetua"/>
          <w:spacing w:val="-1"/>
        </w:rPr>
        <w:t>attempting</w:t>
      </w:r>
      <w:r>
        <w:rPr>
          <w:rFonts w:eastAsia="Perpetua" w:cs="Perpetua"/>
        </w:rPr>
        <w:t xml:space="preserve"> </w:t>
      </w:r>
      <w:r>
        <w:rPr>
          <w:rFonts w:eastAsia="Perpetua" w:cs="Perpetua"/>
          <w:spacing w:val="-1"/>
        </w:rPr>
        <w:t>to</w:t>
      </w:r>
      <w:r>
        <w:rPr>
          <w:rFonts w:eastAsia="Perpetua" w:cs="Perpetua"/>
        </w:rPr>
        <w:t xml:space="preserve"> </w:t>
      </w:r>
      <w:r>
        <w:rPr>
          <w:rFonts w:eastAsia="Perpetua" w:cs="Perpetua"/>
          <w:spacing w:val="-1"/>
        </w:rPr>
        <w:t>Hellenise</w:t>
      </w:r>
      <w:r>
        <w:rPr>
          <w:rFonts w:eastAsia="Perpetua" w:cs="Perpetua"/>
        </w:rPr>
        <w:t xml:space="preserve"> </w:t>
      </w:r>
      <w:r>
        <w:rPr>
          <w:rFonts w:eastAsia="Perpetua" w:cs="Perpetua"/>
          <w:spacing w:val="-1"/>
        </w:rPr>
        <w:t>Judaea</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desecrated</w:t>
      </w:r>
      <w:r>
        <w:rPr>
          <w:rFonts w:eastAsia="Perpetua" w:cs="Perpetua"/>
        </w:rPr>
        <w:t xml:space="preserve"> </w:t>
      </w:r>
      <w:r>
        <w:rPr>
          <w:rFonts w:eastAsia="Perpetua" w:cs="Perpetua"/>
          <w:spacing w:val="-1"/>
        </w:rPr>
        <w:t>the temple.</w:t>
      </w:r>
    </w:p>
  </w:endnote>
  <w:endnote w:id="2252">
    <w:p w:rsidR="00975183" w:rsidRPr="00D73C79" w:rsidRDefault="00975183" w:rsidP="006A2E06">
      <w:pPr>
        <w:spacing w:after="0" w:line="240" w:lineRule="auto"/>
        <w:rPr>
          <w:spacing w:val="-1"/>
          <w:sz w:val="20"/>
        </w:rPr>
      </w:pPr>
      <w:r w:rsidRPr="00D73C79">
        <w:rPr>
          <w:rStyle w:val="EndnoteReference"/>
          <w:sz w:val="20"/>
        </w:rPr>
        <w:endnoteRef/>
      </w:r>
      <w:r w:rsidRPr="00D73C79">
        <w:rPr>
          <w:sz w:val="20"/>
        </w:rPr>
        <w:t xml:space="preserve"> </w:t>
      </w:r>
      <w:r w:rsidRPr="00D73C79">
        <w:rPr>
          <w:spacing w:val="-1"/>
          <w:sz w:val="20"/>
        </w:rPr>
        <w:t xml:space="preserve">Fitzmyer, </w:t>
      </w:r>
      <w:r w:rsidRPr="00D73C79">
        <w:rPr>
          <w:i/>
          <w:spacing w:val="-1"/>
          <w:sz w:val="20"/>
        </w:rPr>
        <w:t xml:space="preserve">One </w:t>
      </w:r>
      <w:proofErr w:type="gramStart"/>
      <w:r w:rsidRPr="00D73C79">
        <w:rPr>
          <w:i/>
          <w:spacing w:val="-1"/>
          <w:sz w:val="20"/>
        </w:rPr>
        <w:t>To</w:t>
      </w:r>
      <w:proofErr w:type="gramEnd"/>
      <w:r w:rsidRPr="00D73C79">
        <w:rPr>
          <w:i/>
          <w:sz w:val="20"/>
        </w:rPr>
        <w:t xml:space="preserve"> </w:t>
      </w:r>
      <w:r w:rsidRPr="00D73C79">
        <w:rPr>
          <w:i/>
          <w:spacing w:val="-1"/>
          <w:sz w:val="20"/>
        </w:rPr>
        <w:t>Come</w:t>
      </w:r>
      <w:r w:rsidRPr="00D73C79">
        <w:rPr>
          <w:spacing w:val="-1"/>
          <w:sz w:val="20"/>
        </w:rPr>
        <w:t>,</w:t>
      </w:r>
      <w:r w:rsidRPr="00D73C79">
        <w:rPr>
          <w:sz w:val="20"/>
        </w:rPr>
        <w:t xml:space="preserve"> </w:t>
      </w:r>
      <w:r w:rsidRPr="00D73C79">
        <w:rPr>
          <w:spacing w:val="-1"/>
          <w:sz w:val="20"/>
        </w:rPr>
        <w:t>p.</w:t>
      </w:r>
      <w:r w:rsidRPr="00D73C79">
        <w:rPr>
          <w:sz w:val="20"/>
        </w:rPr>
        <w:t xml:space="preserve"> </w:t>
      </w:r>
      <w:r w:rsidRPr="00D73C79">
        <w:rPr>
          <w:spacing w:val="-1"/>
          <w:sz w:val="20"/>
        </w:rPr>
        <w:t xml:space="preserve">57.  </w:t>
      </w:r>
    </w:p>
    <w:p w:rsidR="00975183" w:rsidRPr="00D73C79" w:rsidRDefault="00975183" w:rsidP="006A2E06">
      <w:pPr>
        <w:spacing w:after="0" w:line="240" w:lineRule="auto"/>
        <w:rPr>
          <w:sz w:val="20"/>
        </w:rPr>
      </w:pPr>
      <w:r w:rsidRPr="00D73C79">
        <w:rPr>
          <w:rFonts w:eastAsia="Perpetua" w:cs="Perpetua"/>
          <w:spacing w:val="-1"/>
          <w:sz w:val="20"/>
        </w:rPr>
        <w:t xml:space="preserve">Fitzmyer, </w:t>
      </w:r>
      <w:r w:rsidRPr="00D73C79">
        <w:rPr>
          <w:rFonts w:eastAsia="Perpetua" w:cs="Perpetua"/>
          <w:i/>
          <w:spacing w:val="-1"/>
          <w:sz w:val="20"/>
        </w:rPr>
        <w:t>One To</w:t>
      </w:r>
      <w:r w:rsidRPr="00D73C79">
        <w:rPr>
          <w:rFonts w:eastAsia="Perpetua" w:cs="Perpetua"/>
          <w:i/>
          <w:sz w:val="20"/>
        </w:rPr>
        <w:t xml:space="preserve"> </w:t>
      </w:r>
      <w:r w:rsidRPr="00D73C79">
        <w:rPr>
          <w:rFonts w:eastAsia="Perpetua" w:cs="Perpetua"/>
          <w:i/>
          <w:spacing w:val="-1"/>
          <w:sz w:val="20"/>
        </w:rPr>
        <w:t>Come</w:t>
      </w:r>
      <w:r w:rsidRPr="00D73C79">
        <w:rPr>
          <w:rFonts w:eastAsia="Perpetua" w:cs="Perpetua"/>
          <w:spacing w:val="-1"/>
          <w:sz w:val="20"/>
        </w:rPr>
        <w:t>,</w:t>
      </w:r>
      <w:r w:rsidRPr="00D73C79">
        <w:rPr>
          <w:rFonts w:eastAsia="Perpetua" w:cs="Perpetua"/>
          <w:sz w:val="20"/>
        </w:rPr>
        <w:t xml:space="preserve"> </w:t>
      </w:r>
      <w:r w:rsidRPr="00D73C79">
        <w:rPr>
          <w:rFonts w:eastAsia="Perpetua" w:cs="Perpetua"/>
          <w:spacing w:val="-1"/>
          <w:sz w:val="20"/>
        </w:rPr>
        <w:t>p.</w:t>
      </w:r>
      <w:r w:rsidRPr="00D73C79">
        <w:rPr>
          <w:rFonts w:eastAsia="Perpetua" w:cs="Perpetua"/>
          <w:sz w:val="20"/>
        </w:rPr>
        <w:t xml:space="preserve"> </w:t>
      </w:r>
      <w:r w:rsidRPr="00D73C79">
        <w:rPr>
          <w:rFonts w:eastAsia="Perpetua" w:cs="Perpetua"/>
          <w:spacing w:val="-1"/>
          <w:sz w:val="20"/>
        </w:rPr>
        <w:t>62, also</w:t>
      </w:r>
      <w:r w:rsidRPr="00D73C79">
        <w:rPr>
          <w:rFonts w:eastAsia="Perpetua" w:cs="Perpetua"/>
          <w:sz w:val="20"/>
        </w:rPr>
        <w:t xml:space="preserve"> </w:t>
      </w:r>
      <w:r w:rsidRPr="00D73C79">
        <w:rPr>
          <w:rFonts w:eastAsia="Perpetua" w:cs="Perpetua"/>
          <w:spacing w:val="-1"/>
          <w:sz w:val="20"/>
        </w:rPr>
        <w:t>makes</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z w:val="20"/>
        </w:rPr>
        <w:t xml:space="preserve"> </w:t>
      </w:r>
      <w:r w:rsidRPr="00D73C79">
        <w:rPr>
          <w:rFonts w:eastAsia="Perpetua" w:cs="Perpetua"/>
          <w:spacing w:val="-1"/>
          <w:sz w:val="20"/>
        </w:rPr>
        <w:t>point</w:t>
      </w:r>
      <w:r w:rsidRPr="00D73C79">
        <w:rPr>
          <w:rFonts w:eastAsia="Perpetua" w:cs="Perpetua"/>
          <w:sz w:val="20"/>
        </w:rPr>
        <w:t xml:space="preserve"> </w:t>
      </w:r>
      <w:r w:rsidRPr="00D73C79">
        <w:rPr>
          <w:rFonts w:eastAsia="Perpetua" w:cs="Perpetua"/>
          <w:spacing w:val="-1"/>
          <w:sz w:val="20"/>
        </w:rPr>
        <w:t>that</w:t>
      </w:r>
      <w:r w:rsidRPr="00D73C79">
        <w:rPr>
          <w:rFonts w:eastAsia="Perpetua" w:cs="Perpetua"/>
          <w:sz w:val="20"/>
        </w:rPr>
        <w:t xml:space="preserve"> </w:t>
      </w:r>
      <w:r w:rsidRPr="00D73C79">
        <w:rPr>
          <w:rFonts w:eastAsia="Perpetua" w:cs="Perpetua"/>
          <w:spacing w:val="-1"/>
          <w:sz w:val="20"/>
        </w:rPr>
        <w:t>this ‘piece</w:t>
      </w:r>
      <w:r w:rsidRPr="00D73C79">
        <w:rPr>
          <w:rFonts w:eastAsia="Perpetua" w:cs="Perpetua"/>
          <w:sz w:val="20"/>
        </w:rPr>
        <w:t xml:space="preserve"> </w:t>
      </w:r>
      <w:r w:rsidRPr="00D73C79">
        <w:rPr>
          <w:rFonts w:eastAsia="Perpetua" w:cs="Perpetua"/>
          <w:spacing w:val="-1"/>
          <w:sz w:val="20"/>
        </w:rPr>
        <w:t>of</w:t>
      </w:r>
      <w:r w:rsidRPr="00D73C79">
        <w:rPr>
          <w:rFonts w:eastAsia="Perpetua" w:cs="Perpetua"/>
          <w:sz w:val="20"/>
        </w:rPr>
        <w:t xml:space="preserve"> </w:t>
      </w:r>
      <w:r w:rsidRPr="00D73C79">
        <w:rPr>
          <w:rFonts w:eastAsia="Perpetua" w:cs="Perpetua"/>
          <w:spacing w:val="-2"/>
          <w:sz w:val="20"/>
        </w:rPr>
        <w:t>apocalyptic</w:t>
      </w:r>
      <w:r w:rsidRPr="00D73C79">
        <w:rPr>
          <w:rFonts w:eastAsia="Perpetua" w:cs="Perpetua"/>
          <w:sz w:val="20"/>
        </w:rPr>
        <w:t xml:space="preserve"> </w:t>
      </w:r>
      <w:r w:rsidRPr="00D73C79">
        <w:rPr>
          <w:rFonts w:eastAsia="Perpetua" w:cs="Perpetua"/>
          <w:spacing w:val="-1"/>
          <w:sz w:val="20"/>
        </w:rPr>
        <w:t>writing</w:t>
      </w:r>
      <w:r w:rsidRPr="00D73C79">
        <w:rPr>
          <w:rFonts w:eastAsia="Perpetua" w:cs="Perpetua"/>
          <w:sz w:val="20"/>
        </w:rPr>
        <w:t xml:space="preserve"> … </w:t>
      </w:r>
      <w:r w:rsidRPr="00D73C79">
        <w:rPr>
          <w:rFonts w:eastAsia="Perpetua" w:cs="Perpetua"/>
          <w:spacing w:val="-1"/>
          <w:sz w:val="20"/>
        </w:rPr>
        <w:t>has</w:t>
      </w:r>
      <w:r w:rsidRPr="00D73C79">
        <w:rPr>
          <w:rFonts w:eastAsia="Perpetua" w:cs="Perpetua"/>
          <w:sz w:val="20"/>
        </w:rPr>
        <w:t xml:space="preserve"> </w:t>
      </w:r>
      <w:r w:rsidRPr="00D73C79">
        <w:rPr>
          <w:rFonts w:eastAsia="Perpetua" w:cs="Perpetua"/>
          <w:spacing w:val="-1"/>
          <w:sz w:val="20"/>
        </w:rPr>
        <w:t>no</w:t>
      </w:r>
      <w:r w:rsidRPr="00D73C79">
        <w:rPr>
          <w:rFonts w:eastAsia="Perpetua" w:cs="Perpetua"/>
          <w:sz w:val="20"/>
        </w:rPr>
        <w:t xml:space="preserve"> </w:t>
      </w:r>
      <w:r w:rsidRPr="00D73C79">
        <w:rPr>
          <w:rFonts w:eastAsia="Perpetua" w:cs="Perpetua"/>
          <w:spacing w:val="-1"/>
          <w:sz w:val="20"/>
        </w:rPr>
        <w:t>mention</w:t>
      </w:r>
      <w:r w:rsidRPr="00D73C79">
        <w:rPr>
          <w:rFonts w:eastAsia="Perpetua" w:cs="Perpetua"/>
          <w:spacing w:val="1"/>
          <w:sz w:val="20"/>
        </w:rPr>
        <w:t xml:space="preserve"> </w:t>
      </w:r>
      <w:r w:rsidRPr="00D73C79">
        <w:rPr>
          <w:rFonts w:eastAsia="Perpetua" w:cs="Perpetua"/>
          <w:spacing w:val="-1"/>
          <w:sz w:val="20"/>
        </w:rPr>
        <w:t>of</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z w:val="20"/>
        </w:rPr>
        <w:t xml:space="preserve"> </w:t>
      </w:r>
      <w:r w:rsidRPr="00D73C79">
        <w:rPr>
          <w:rFonts w:eastAsia="Perpetua" w:cs="Perpetua"/>
          <w:spacing w:val="-1"/>
          <w:sz w:val="20"/>
        </w:rPr>
        <w:t>Davidic</w:t>
      </w:r>
      <w:r w:rsidRPr="00D73C79">
        <w:rPr>
          <w:rFonts w:eastAsia="Perpetua" w:cs="Perpetua"/>
          <w:sz w:val="20"/>
        </w:rPr>
        <w:t xml:space="preserve"> </w:t>
      </w:r>
      <w:r w:rsidRPr="00D73C79">
        <w:rPr>
          <w:rFonts w:eastAsia="Perpetua" w:cs="Perpetua"/>
          <w:spacing w:val="-1"/>
          <w:sz w:val="20"/>
        </w:rPr>
        <w:t>dynasty’ but</w:t>
      </w:r>
      <w:r w:rsidRPr="00D73C79">
        <w:rPr>
          <w:rFonts w:eastAsia="Perpetua" w:cs="Perpetua"/>
          <w:spacing w:val="50"/>
          <w:sz w:val="20"/>
        </w:rPr>
        <w:t xml:space="preserve"> </w:t>
      </w:r>
      <w:r w:rsidRPr="00D73C79">
        <w:rPr>
          <w:rFonts w:eastAsia="Perpetua" w:cs="Perpetua"/>
          <w:spacing w:val="-1"/>
          <w:sz w:val="20"/>
        </w:rPr>
        <w:t>notes</w:t>
      </w:r>
      <w:r w:rsidRPr="00D73C79">
        <w:rPr>
          <w:rFonts w:eastAsia="Perpetua" w:cs="Perpetua"/>
          <w:sz w:val="20"/>
        </w:rPr>
        <w:t xml:space="preserve"> </w:t>
      </w:r>
      <w:r w:rsidRPr="00D73C79">
        <w:rPr>
          <w:rFonts w:eastAsia="Perpetua" w:cs="Perpetua"/>
          <w:spacing w:val="-1"/>
          <w:sz w:val="20"/>
        </w:rPr>
        <w:t>that</w:t>
      </w:r>
      <w:r w:rsidRPr="00D73C79">
        <w:rPr>
          <w:rFonts w:eastAsia="Perpetua" w:cs="Perpetua"/>
          <w:sz w:val="20"/>
        </w:rPr>
        <w:t xml:space="preserve"> </w:t>
      </w:r>
      <w:r w:rsidRPr="00D73C79">
        <w:rPr>
          <w:rFonts w:eastAsia="Perpetua" w:cs="Perpetua"/>
          <w:spacing w:val="-1"/>
          <w:sz w:val="20"/>
        </w:rPr>
        <w:t>this</w:t>
      </w:r>
      <w:r w:rsidRPr="00D73C79">
        <w:rPr>
          <w:rFonts w:eastAsia="Perpetua" w:cs="Perpetua"/>
          <w:sz w:val="20"/>
        </w:rPr>
        <w:t xml:space="preserve"> </w:t>
      </w:r>
      <w:r w:rsidRPr="00D73C79">
        <w:rPr>
          <w:rFonts w:eastAsia="Perpetua" w:cs="Perpetua"/>
          <w:spacing w:val="-1"/>
          <w:sz w:val="20"/>
        </w:rPr>
        <w:t>does</w:t>
      </w:r>
      <w:r w:rsidRPr="00D73C79">
        <w:rPr>
          <w:rFonts w:eastAsia="Perpetua" w:cs="Perpetua"/>
          <w:sz w:val="20"/>
        </w:rPr>
        <w:t xml:space="preserve"> </w:t>
      </w:r>
      <w:r w:rsidRPr="00D73C79">
        <w:rPr>
          <w:rFonts w:eastAsia="Perpetua" w:cs="Perpetua"/>
          <w:spacing w:val="-1"/>
          <w:sz w:val="20"/>
        </w:rPr>
        <w:t>not</w:t>
      </w:r>
      <w:r w:rsidRPr="00D73C79">
        <w:rPr>
          <w:rFonts w:eastAsia="Perpetua" w:cs="Perpetua"/>
          <w:sz w:val="20"/>
        </w:rPr>
        <w:t xml:space="preserve"> </w:t>
      </w:r>
      <w:r w:rsidRPr="00D73C79">
        <w:rPr>
          <w:rFonts w:eastAsia="Perpetua" w:cs="Perpetua"/>
          <w:spacing w:val="-1"/>
          <w:sz w:val="20"/>
        </w:rPr>
        <w:t>mean the</w:t>
      </w:r>
      <w:r w:rsidRPr="00D73C79">
        <w:rPr>
          <w:rFonts w:eastAsia="Perpetua" w:cs="Perpetua"/>
          <w:sz w:val="20"/>
        </w:rPr>
        <w:t xml:space="preserve"> </w:t>
      </w:r>
      <w:r w:rsidRPr="00D73C79">
        <w:rPr>
          <w:rFonts w:eastAsia="Perpetua" w:cs="Perpetua"/>
          <w:spacing w:val="-1"/>
          <w:sz w:val="20"/>
        </w:rPr>
        <w:t>author</w:t>
      </w:r>
      <w:r w:rsidRPr="00D73C79">
        <w:rPr>
          <w:rFonts w:eastAsia="Perpetua" w:cs="Perpetua"/>
          <w:sz w:val="20"/>
        </w:rPr>
        <w:t xml:space="preserve"> </w:t>
      </w:r>
      <w:r w:rsidRPr="00D73C79">
        <w:rPr>
          <w:rFonts w:eastAsia="Perpetua" w:cs="Perpetua"/>
          <w:spacing w:val="-1"/>
          <w:sz w:val="20"/>
        </w:rPr>
        <w:t>had</w:t>
      </w:r>
      <w:r w:rsidRPr="00D73C79">
        <w:rPr>
          <w:rFonts w:eastAsia="Perpetua" w:cs="Perpetua"/>
          <w:sz w:val="20"/>
        </w:rPr>
        <w:t xml:space="preserve"> </w:t>
      </w:r>
      <w:r w:rsidRPr="00D73C79">
        <w:rPr>
          <w:rFonts w:eastAsia="Perpetua" w:cs="Perpetua"/>
          <w:spacing w:val="-1"/>
          <w:sz w:val="20"/>
        </w:rPr>
        <w:t>no hope</w:t>
      </w:r>
      <w:r w:rsidRPr="00D73C79">
        <w:rPr>
          <w:rFonts w:eastAsia="Perpetua" w:cs="Perpetua"/>
          <w:sz w:val="20"/>
        </w:rPr>
        <w:t xml:space="preserve"> </w:t>
      </w:r>
      <w:r w:rsidRPr="00D73C79">
        <w:rPr>
          <w:rFonts w:eastAsia="Perpetua" w:cs="Perpetua"/>
          <w:spacing w:val="-1"/>
          <w:sz w:val="20"/>
        </w:rPr>
        <w:t>for</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pacing w:val="1"/>
          <w:sz w:val="20"/>
        </w:rPr>
        <w:t xml:space="preserve"> </w:t>
      </w:r>
      <w:r w:rsidRPr="00D73C79">
        <w:rPr>
          <w:rFonts w:eastAsia="Perpetua" w:cs="Perpetua"/>
          <w:spacing w:val="-1"/>
          <w:sz w:val="20"/>
        </w:rPr>
        <w:t>restoration</w:t>
      </w:r>
      <w:r w:rsidRPr="00D73C79">
        <w:rPr>
          <w:rFonts w:eastAsia="Perpetua" w:cs="Perpetua"/>
          <w:spacing w:val="1"/>
          <w:sz w:val="20"/>
        </w:rPr>
        <w:t xml:space="preserve"> </w:t>
      </w:r>
      <w:r w:rsidRPr="00D73C79">
        <w:rPr>
          <w:rFonts w:eastAsia="Perpetua" w:cs="Perpetua"/>
          <w:spacing w:val="-1"/>
          <w:sz w:val="20"/>
        </w:rPr>
        <w:t>of</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z w:val="20"/>
        </w:rPr>
        <w:t xml:space="preserve"> </w:t>
      </w:r>
      <w:r w:rsidRPr="00D73C79">
        <w:rPr>
          <w:rFonts w:eastAsia="Perpetua" w:cs="Perpetua"/>
          <w:spacing w:val="-1"/>
          <w:sz w:val="20"/>
        </w:rPr>
        <w:t>monarchy;</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z w:val="20"/>
        </w:rPr>
        <w:t xml:space="preserve"> </w:t>
      </w:r>
      <w:r w:rsidRPr="00D73C79">
        <w:rPr>
          <w:rFonts w:eastAsia="Perpetua" w:cs="Perpetua"/>
          <w:spacing w:val="-1"/>
          <w:sz w:val="20"/>
        </w:rPr>
        <w:t>author</w:t>
      </w:r>
      <w:r w:rsidRPr="00D73C79">
        <w:rPr>
          <w:rFonts w:eastAsia="Perpetua" w:cs="Perpetua"/>
          <w:sz w:val="20"/>
        </w:rPr>
        <w:t xml:space="preserve"> </w:t>
      </w:r>
      <w:r w:rsidRPr="00D73C79">
        <w:rPr>
          <w:rFonts w:eastAsia="Perpetua" w:cs="Perpetua"/>
          <w:spacing w:val="-1"/>
          <w:sz w:val="20"/>
        </w:rPr>
        <w:t>was</w:t>
      </w:r>
      <w:r w:rsidRPr="00D73C79">
        <w:rPr>
          <w:rFonts w:eastAsia="Perpetua" w:cs="Perpetua"/>
          <w:sz w:val="20"/>
        </w:rPr>
        <w:t xml:space="preserve">  </w:t>
      </w:r>
      <w:r w:rsidRPr="00D73C79">
        <w:rPr>
          <w:rFonts w:eastAsia="Perpetua" w:cs="Perpetua"/>
          <w:spacing w:val="-1"/>
          <w:sz w:val="20"/>
        </w:rPr>
        <w:t>pre-occupied</w:t>
      </w:r>
      <w:r w:rsidRPr="00D73C79">
        <w:rPr>
          <w:rFonts w:eastAsia="Perpetua" w:cs="Perpetua"/>
          <w:sz w:val="20"/>
        </w:rPr>
        <w:t xml:space="preserve"> </w:t>
      </w:r>
      <w:r w:rsidRPr="00D73C79">
        <w:rPr>
          <w:rFonts w:eastAsia="Perpetua" w:cs="Perpetua"/>
          <w:spacing w:val="-1"/>
          <w:sz w:val="20"/>
        </w:rPr>
        <w:t>with</w:t>
      </w:r>
      <w:r w:rsidRPr="00D73C79">
        <w:rPr>
          <w:rFonts w:eastAsia="Perpetua" w:cs="Perpetua"/>
          <w:spacing w:val="46"/>
          <w:sz w:val="20"/>
        </w:rPr>
        <w:t xml:space="preserve"> </w:t>
      </w:r>
      <w:r w:rsidRPr="00D73C79">
        <w:rPr>
          <w:rFonts w:eastAsia="Perpetua" w:cs="Perpetua"/>
          <w:spacing w:val="-1"/>
          <w:sz w:val="20"/>
        </w:rPr>
        <w:t>attempted</w:t>
      </w:r>
      <w:r w:rsidRPr="00D73C79">
        <w:rPr>
          <w:rFonts w:eastAsia="Perpetua" w:cs="Perpetua"/>
          <w:sz w:val="20"/>
        </w:rPr>
        <w:t xml:space="preserve"> </w:t>
      </w:r>
      <w:r w:rsidRPr="00D73C79">
        <w:rPr>
          <w:rFonts w:eastAsia="Perpetua" w:cs="Perpetua"/>
          <w:spacing w:val="-1"/>
          <w:sz w:val="20"/>
        </w:rPr>
        <w:t>Hellenisation</w:t>
      </w:r>
      <w:r w:rsidRPr="00D73C79">
        <w:rPr>
          <w:rFonts w:eastAsia="Perpetua" w:cs="Perpetua"/>
          <w:sz w:val="20"/>
        </w:rPr>
        <w:t xml:space="preserve"> </w:t>
      </w:r>
      <w:r w:rsidRPr="00D73C79">
        <w:rPr>
          <w:rFonts w:eastAsia="Perpetua" w:cs="Perpetua"/>
          <w:spacing w:val="-1"/>
          <w:sz w:val="20"/>
        </w:rPr>
        <w:t>by</w:t>
      </w:r>
      <w:r w:rsidRPr="00D73C79">
        <w:rPr>
          <w:rFonts w:eastAsia="Perpetua" w:cs="Perpetua"/>
          <w:sz w:val="20"/>
        </w:rPr>
        <w:t xml:space="preserve"> </w:t>
      </w:r>
      <w:r w:rsidRPr="00D73C79">
        <w:rPr>
          <w:rFonts w:eastAsia="Perpetua" w:cs="Perpetua"/>
          <w:spacing w:val="-1"/>
          <w:sz w:val="20"/>
        </w:rPr>
        <w:t>Antiochus</w:t>
      </w:r>
      <w:r w:rsidRPr="00D73C79">
        <w:rPr>
          <w:rFonts w:eastAsia="Perpetua" w:cs="Perpetua"/>
          <w:sz w:val="20"/>
        </w:rPr>
        <w:t xml:space="preserve"> </w:t>
      </w:r>
      <w:r w:rsidRPr="00D73C79">
        <w:rPr>
          <w:rFonts w:eastAsia="Perpetua" w:cs="Perpetua"/>
          <w:spacing w:val="-1"/>
          <w:sz w:val="20"/>
        </w:rPr>
        <w:t>Epiphanes</w:t>
      </w:r>
      <w:r w:rsidRPr="00D73C79">
        <w:rPr>
          <w:rFonts w:eastAsia="Perpetua" w:cs="Perpetua"/>
          <w:sz w:val="20"/>
        </w:rPr>
        <w:t xml:space="preserve"> </w:t>
      </w:r>
      <w:r w:rsidRPr="00D73C79">
        <w:rPr>
          <w:rFonts w:eastAsia="Perpetua" w:cs="Perpetua"/>
          <w:spacing w:val="-1"/>
          <w:sz w:val="20"/>
        </w:rPr>
        <w:t>and</w:t>
      </w:r>
      <w:r w:rsidRPr="00D73C79">
        <w:rPr>
          <w:rFonts w:eastAsia="Perpetua" w:cs="Perpetua"/>
          <w:sz w:val="20"/>
        </w:rPr>
        <w:t xml:space="preserve"> </w:t>
      </w:r>
      <w:r w:rsidRPr="00D73C79">
        <w:rPr>
          <w:rFonts w:eastAsia="Perpetua" w:cs="Perpetua"/>
          <w:spacing w:val="-1"/>
          <w:sz w:val="20"/>
        </w:rPr>
        <w:t>his</w:t>
      </w:r>
      <w:r w:rsidRPr="00D73C79">
        <w:rPr>
          <w:rFonts w:eastAsia="Perpetua" w:cs="Perpetua"/>
          <w:sz w:val="20"/>
        </w:rPr>
        <w:t xml:space="preserve"> </w:t>
      </w:r>
      <w:r w:rsidRPr="00D73C79">
        <w:rPr>
          <w:rFonts w:eastAsia="Perpetua" w:cs="Perpetua"/>
          <w:spacing w:val="-1"/>
          <w:sz w:val="20"/>
        </w:rPr>
        <w:t>desecration</w:t>
      </w:r>
      <w:r w:rsidRPr="00D73C79">
        <w:rPr>
          <w:rFonts w:eastAsia="Perpetua" w:cs="Perpetua"/>
          <w:sz w:val="20"/>
        </w:rPr>
        <w:t xml:space="preserve"> </w:t>
      </w:r>
      <w:r w:rsidRPr="00D73C79">
        <w:rPr>
          <w:rFonts w:eastAsia="Perpetua" w:cs="Perpetua"/>
          <w:spacing w:val="-1"/>
          <w:sz w:val="20"/>
        </w:rPr>
        <w:t>of</w:t>
      </w:r>
      <w:r w:rsidRPr="00D73C79">
        <w:rPr>
          <w:rFonts w:eastAsia="Perpetua" w:cs="Perpetua"/>
          <w:sz w:val="20"/>
        </w:rPr>
        <w:t xml:space="preserve"> </w:t>
      </w:r>
      <w:r w:rsidRPr="00D73C79">
        <w:rPr>
          <w:rFonts w:eastAsia="Perpetua" w:cs="Perpetua"/>
          <w:spacing w:val="-1"/>
          <w:sz w:val="20"/>
        </w:rPr>
        <w:t>the</w:t>
      </w:r>
      <w:r w:rsidRPr="00D73C79">
        <w:rPr>
          <w:rFonts w:eastAsia="Perpetua" w:cs="Perpetua"/>
          <w:sz w:val="20"/>
        </w:rPr>
        <w:t xml:space="preserve"> </w:t>
      </w:r>
      <w:r w:rsidRPr="00D73C79">
        <w:rPr>
          <w:rFonts w:eastAsia="Perpetua" w:cs="Perpetua"/>
          <w:spacing w:val="-1"/>
          <w:sz w:val="20"/>
        </w:rPr>
        <w:t xml:space="preserve">temple.  </w:t>
      </w:r>
    </w:p>
  </w:endnote>
  <w:endnote w:id="2253">
    <w:p w:rsidR="00975183" w:rsidRDefault="00975183" w:rsidP="006A2E06">
      <w:pPr>
        <w:pStyle w:val="EndnoteText"/>
      </w:pPr>
      <w:r w:rsidRPr="00DF4629">
        <w:rPr>
          <w:rStyle w:val="EndnoteReference"/>
        </w:rPr>
        <w:endnoteRef/>
      </w:r>
      <w:r w:rsidRPr="00DF4629">
        <w:t xml:space="preserve"> </w:t>
      </w:r>
      <w:r>
        <w:rPr>
          <w:spacing w:val="-1"/>
        </w:rPr>
        <w:t xml:space="preserve">Fitzmyer, </w:t>
      </w:r>
      <w:r>
        <w:rPr>
          <w:i/>
          <w:spacing w:val="-1"/>
        </w:rPr>
        <w:t xml:space="preserve">One </w:t>
      </w:r>
      <w:proofErr w:type="gramStart"/>
      <w:r>
        <w:rPr>
          <w:i/>
          <w:spacing w:val="-1"/>
        </w:rPr>
        <w:t>To</w:t>
      </w:r>
      <w:proofErr w:type="gramEnd"/>
      <w:r>
        <w:rPr>
          <w:i/>
        </w:rPr>
        <w:t xml:space="preserve"> </w:t>
      </w:r>
      <w:r>
        <w:rPr>
          <w:i/>
          <w:spacing w:val="-1"/>
        </w:rPr>
        <w:t>Come</w:t>
      </w:r>
      <w:r>
        <w:rPr>
          <w:spacing w:val="-1"/>
        </w:rPr>
        <w:t>,</w:t>
      </w:r>
      <w:r>
        <w:t xml:space="preserve"> </w:t>
      </w:r>
      <w:r>
        <w:rPr>
          <w:spacing w:val="-1"/>
        </w:rPr>
        <w:t>p.</w:t>
      </w:r>
      <w:r>
        <w:t xml:space="preserve"> </w:t>
      </w:r>
      <w:r>
        <w:rPr>
          <w:spacing w:val="-1"/>
        </w:rPr>
        <w:t>62.</w:t>
      </w:r>
    </w:p>
  </w:endnote>
  <w:endnote w:id="2254">
    <w:p w:rsidR="00975183" w:rsidRDefault="00975183" w:rsidP="006A2E06">
      <w:pPr>
        <w:pStyle w:val="EndnoteText"/>
      </w:pPr>
      <w:r w:rsidRPr="00467E1E">
        <w:rPr>
          <w:rStyle w:val="EndnoteReference"/>
        </w:rPr>
        <w:endnoteRef/>
      </w:r>
      <w:r w:rsidRPr="00467E1E">
        <w:t xml:space="preserve"> </w:t>
      </w:r>
      <w:r>
        <w:rPr>
          <w:spacing w:val="-1"/>
        </w:rPr>
        <w:t xml:space="preserve">Fitzmyer, </w:t>
      </w:r>
      <w:r>
        <w:rPr>
          <w:i/>
          <w:spacing w:val="-1"/>
        </w:rPr>
        <w:t xml:space="preserve">One </w:t>
      </w:r>
      <w:proofErr w:type="gramStart"/>
      <w:r>
        <w:rPr>
          <w:i/>
          <w:spacing w:val="-1"/>
        </w:rPr>
        <w:t>To</w:t>
      </w:r>
      <w:proofErr w:type="gramEnd"/>
      <w:r>
        <w:rPr>
          <w:i/>
        </w:rPr>
        <w:t xml:space="preserve"> </w:t>
      </w:r>
      <w:r>
        <w:rPr>
          <w:i/>
          <w:spacing w:val="-1"/>
        </w:rPr>
        <w:t>Come</w:t>
      </w:r>
      <w:r>
        <w:rPr>
          <w:spacing w:val="-1"/>
        </w:rPr>
        <w:t>,</w:t>
      </w:r>
      <w:r>
        <w:t xml:space="preserve"> </w:t>
      </w:r>
      <w:r>
        <w:rPr>
          <w:spacing w:val="-1"/>
        </w:rPr>
        <w:t>p.</w:t>
      </w:r>
      <w:r>
        <w:t xml:space="preserve"> </w:t>
      </w:r>
      <w:r>
        <w:rPr>
          <w:spacing w:val="-1"/>
        </w:rPr>
        <w:t>64.</w:t>
      </w:r>
    </w:p>
  </w:endnote>
  <w:endnote w:id="2255">
    <w:p w:rsidR="00975183" w:rsidRPr="006A4363" w:rsidRDefault="00975183" w:rsidP="006A2E06">
      <w:pPr>
        <w:pStyle w:val="EndnoteText"/>
        <w:rPr>
          <w:szCs w:val="18"/>
        </w:rPr>
      </w:pPr>
      <w:r w:rsidRPr="006A4363">
        <w:rPr>
          <w:rStyle w:val="EndnoteReference"/>
          <w:szCs w:val="18"/>
        </w:rPr>
        <w:endnoteRef/>
      </w:r>
      <w:r w:rsidRPr="006A4363">
        <w:rPr>
          <w:szCs w:val="18"/>
        </w:rPr>
        <w:t xml:space="preserve"> </w:t>
      </w:r>
      <w:proofErr w:type="gramStart"/>
      <w:r w:rsidRPr="006A4363">
        <w:rPr>
          <w:szCs w:val="18"/>
        </w:rPr>
        <w:t>Jn 1:41 and 4:25.</w:t>
      </w:r>
      <w:proofErr w:type="gramEnd"/>
    </w:p>
  </w:endnote>
  <w:endnote w:id="2256">
    <w:p w:rsidR="00975183" w:rsidRPr="00CC3A33" w:rsidRDefault="00975183" w:rsidP="006A2E06">
      <w:pPr>
        <w:pStyle w:val="EndnoteText"/>
        <w:rPr>
          <w:lang w:val="en-US"/>
        </w:rPr>
      </w:pPr>
      <w:r w:rsidRPr="00BD60F8">
        <w:rPr>
          <w:rStyle w:val="FootnoteReference"/>
          <w:szCs w:val="18"/>
        </w:rPr>
        <w:endnoteRef/>
      </w:r>
      <w:r w:rsidRPr="00BD60F8">
        <w:rPr>
          <w:color w:val="000000"/>
          <w:szCs w:val="18"/>
        </w:rPr>
        <w:t xml:space="preserve">  </w:t>
      </w:r>
      <w:r w:rsidRPr="00BD60F8">
        <w:rPr>
          <w:szCs w:val="18"/>
        </w:rPr>
        <w:t xml:space="preserve">Fitzmyer, </w:t>
      </w:r>
      <w:r w:rsidRPr="00BD60F8">
        <w:rPr>
          <w:i/>
          <w:szCs w:val="18"/>
        </w:rPr>
        <w:t xml:space="preserve">One </w:t>
      </w:r>
      <w:proofErr w:type="gramStart"/>
      <w:r w:rsidRPr="00BD60F8">
        <w:rPr>
          <w:i/>
          <w:szCs w:val="18"/>
        </w:rPr>
        <w:t>To</w:t>
      </w:r>
      <w:proofErr w:type="gramEnd"/>
      <w:r w:rsidRPr="00BD60F8">
        <w:rPr>
          <w:i/>
          <w:szCs w:val="18"/>
        </w:rPr>
        <w:t xml:space="preserve"> Come</w:t>
      </w:r>
      <w:r w:rsidRPr="00BD60F8">
        <w:rPr>
          <w:szCs w:val="18"/>
        </w:rPr>
        <w:t>, p. 1.</w:t>
      </w:r>
    </w:p>
  </w:endnote>
  <w:endnote w:id="2257">
    <w:p w:rsidR="00975183" w:rsidRDefault="00975183">
      <w:pPr>
        <w:pStyle w:val="EndnoteText"/>
      </w:pPr>
      <w:r>
        <w:rPr>
          <w:rStyle w:val="EndnoteReference"/>
        </w:rPr>
        <w:endnoteRef/>
      </w:r>
      <w:r>
        <w:t xml:space="preserve"> </w:t>
      </w:r>
      <w:r w:rsidRPr="000A0E03">
        <w:rPr>
          <w:b/>
        </w:rPr>
        <w:t>See Case Study, Matthew</w:t>
      </w:r>
      <w:r>
        <w:t>.</w:t>
      </w:r>
    </w:p>
  </w:endnote>
  <w:endnote w:id="2258">
    <w:p w:rsidR="00975183" w:rsidRDefault="00975183" w:rsidP="006A2E06">
      <w:pPr>
        <w:pStyle w:val="EndnoteText"/>
      </w:pPr>
      <w:r w:rsidRPr="00A0570B">
        <w:rPr>
          <w:rStyle w:val="FootnoteReference"/>
        </w:rPr>
        <w:endnoteRef/>
      </w:r>
      <w:r w:rsidRPr="00A0570B">
        <w:t xml:space="preserve"> </w:t>
      </w:r>
      <w:r>
        <w:t>Blaising</w:t>
      </w:r>
      <w:r w:rsidRPr="00A0570B">
        <w:t>,</w:t>
      </w:r>
      <w:r>
        <w:t xml:space="preserve"> ‘Extent and Varieties,</w:t>
      </w:r>
      <w:r w:rsidRPr="00A0570B">
        <w:t xml:space="preserve"> </w:t>
      </w:r>
      <w:r>
        <w:rPr>
          <w:i/>
        </w:rPr>
        <w:t>Progressive Dispensationalism</w:t>
      </w:r>
      <w:r w:rsidRPr="00A0570B">
        <w:t xml:space="preserve">, p. </w:t>
      </w:r>
      <w:r>
        <w:t>30</w:t>
      </w:r>
      <w:r w:rsidRPr="00A0570B">
        <w:t>.</w:t>
      </w:r>
    </w:p>
  </w:endnote>
  <w:endnote w:id="2259">
    <w:p w:rsidR="00975183" w:rsidRPr="0084188A" w:rsidRDefault="00975183" w:rsidP="006A2E06">
      <w:pPr>
        <w:pStyle w:val="EndnoteText"/>
      </w:pPr>
      <w:r w:rsidRPr="0084188A">
        <w:rPr>
          <w:rStyle w:val="EndnoteReference"/>
        </w:rPr>
        <w:endnoteRef/>
      </w:r>
      <w:r w:rsidRPr="0084188A">
        <w:t xml:space="preserve"> </w:t>
      </w:r>
      <w:r>
        <w:t>Blaising, ‘Extent and Varieties,</w:t>
      </w:r>
      <w:r w:rsidRPr="00A0570B">
        <w:t xml:space="preserve"> </w:t>
      </w:r>
      <w:r>
        <w:rPr>
          <w:i/>
        </w:rPr>
        <w:t>Progressive Dispensationalism</w:t>
      </w:r>
      <w:r w:rsidRPr="00A0570B">
        <w:t>, p</w:t>
      </w:r>
      <w:r>
        <w:t>p</w:t>
      </w:r>
      <w:r w:rsidRPr="00A0570B">
        <w:t xml:space="preserve">. </w:t>
      </w:r>
      <w:r>
        <w:t>30-31</w:t>
      </w:r>
      <w:r w:rsidRPr="00A0570B">
        <w:t>.</w:t>
      </w:r>
      <w:r>
        <w:t xml:space="preserve">  </w:t>
      </w:r>
      <w:proofErr w:type="gramStart"/>
      <w:r>
        <w:t>(</w:t>
      </w:r>
      <w:r w:rsidRPr="00743363">
        <w:rPr>
          <w:i/>
        </w:rPr>
        <w:t>Blaising’s emphasis</w:t>
      </w:r>
      <w:r>
        <w:t>.)</w:t>
      </w:r>
      <w:proofErr w:type="gramEnd"/>
    </w:p>
  </w:endnote>
  <w:endnote w:id="2260">
    <w:p w:rsidR="00975183" w:rsidRPr="00B525E6" w:rsidRDefault="00975183" w:rsidP="006A2E06">
      <w:pPr>
        <w:pStyle w:val="EndnoteText"/>
        <w:rPr>
          <w:i/>
        </w:rPr>
      </w:pPr>
      <w:r w:rsidRPr="00B525E6">
        <w:rPr>
          <w:rStyle w:val="EndnoteReference"/>
        </w:rPr>
        <w:endnoteRef/>
      </w:r>
      <w:r w:rsidRPr="00B525E6">
        <w:t xml:space="preserve"> For example, Darby ‘The Dispensation of the Kingdom of Heaven, Matthew 13’, </w:t>
      </w:r>
      <w:r w:rsidRPr="00B525E6">
        <w:rPr>
          <w:i/>
        </w:rPr>
        <w:t xml:space="preserve">Collected Writings, Vol. 2, </w:t>
      </w:r>
    </w:p>
    <w:p w:rsidR="00975183" w:rsidRPr="00B525E6" w:rsidRDefault="00975183" w:rsidP="006A2E06">
      <w:pPr>
        <w:pStyle w:val="EndnoteText"/>
      </w:pPr>
      <w:r w:rsidRPr="00B525E6">
        <w:rPr>
          <w:i/>
        </w:rPr>
        <w:t>Prophetic 1</w:t>
      </w:r>
      <w:r w:rsidRPr="00B525E6">
        <w:t xml:space="preserve"> &lt;http://www.stempublishing.com/authors/darby/PROPHET/02004E.html &gt; [accessed 2.8.09];</w:t>
      </w:r>
    </w:p>
    <w:p w:rsidR="00975183" w:rsidRPr="00B525E6" w:rsidRDefault="00975183" w:rsidP="006A2E06">
      <w:pPr>
        <w:pStyle w:val="EndnoteText"/>
        <w:rPr>
          <w:bCs/>
        </w:rPr>
      </w:pPr>
      <w:r w:rsidRPr="00B525E6">
        <w:rPr>
          <w:bCs/>
        </w:rPr>
        <w:t>Brief Remarks on the Work of Rev. David Brown, D. D, p 360;</w:t>
      </w:r>
    </w:p>
    <w:p w:rsidR="00975183" w:rsidRPr="00B525E6" w:rsidRDefault="00975183" w:rsidP="006A2E06">
      <w:pPr>
        <w:pStyle w:val="EndnoteText"/>
      </w:pPr>
      <w:r w:rsidRPr="00B525E6">
        <w:t xml:space="preserve">‘Lectures on the Second Coming of Christ, Lecture 5, Matthew 13’, </w:t>
      </w:r>
      <w:r w:rsidRPr="00B525E6">
        <w:rPr>
          <w:i/>
        </w:rPr>
        <w:t>Collected Writings</w:t>
      </w:r>
      <w:r w:rsidRPr="00B525E6">
        <w:t xml:space="preserve">, </w:t>
      </w:r>
      <w:r w:rsidRPr="00B525E6">
        <w:rPr>
          <w:i/>
        </w:rPr>
        <w:t>Vol. 11, Prophetic 4</w:t>
      </w:r>
      <w:r w:rsidRPr="00B525E6">
        <w:t xml:space="preserve">, </w:t>
      </w:r>
    </w:p>
    <w:p w:rsidR="00975183" w:rsidRPr="00B525E6" w:rsidRDefault="00975183" w:rsidP="006A2E06">
      <w:pPr>
        <w:pStyle w:val="EndnoteText"/>
      </w:pPr>
      <w:r w:rsidRPr="00B525E6">
        <w:t xml:space="preserve">p. 281 &lt;http://www.stempublishing.com/authors/darby/PROPHET/11016E.html&gt; [accessed 7.8.09]; </w:t>
      </w:r>
    </w:p>
    <w:p w:rsidR="00975183" w:rsidRPr="00B525E6" w:rsidRDefault="00975183" w:rsidP="006A2E06">
      <w:pPr>
        <w:pStyle w:val="EndnoteText"/>
      </w:pPr>
      <w:r w:rsidRPr="00B525E6">
        <w:t xml:space="preserve">‘Notes on the Gospel of Luke, Luke 3’ </w:t>
      </w:r>
      <w:r w:rsidRPr="00B525E6">
        <w:rPr>
          <w:i/>
        </w:rPr>
        <w:t>Collected Writings</w:t>
      </w:r>
      <w:r w:rsidRPr="00B525E6">
        <w:t>, Vol. 25, Expository No 4 &lt;http://www.stempublishing.com/authors/darby/EXPOSIT/25003_7E.html#a3&gt; [accessed 15.5.17</w:t>
      </w:r>
      <w:r>
        <w:t>]</w:t>
      </w:r>
      <w:r w:rsidRPr="00B525E6">
        <w:t xml:space="preserve">;  </w:t>
      </w:r>
    </w:p>
    <w:p w:rsidR="00975183" w:rsidRPr="00B525E6" w:rsidRDefault="00975183" w:rsidP="006A2E06">
      <w:pPr>
        <w:pStyle w:val="EndnoteText"/>
      </w:pPr>
      <w:r w:rsidRPr="00B525E6">
        <w:t xml:space="preserve">‘The Purpose of God’, </w:t>
      </w:r>
      <w:r w:rsidRPr="00B525E6">
        <w:rPr>
          <w:i/>
        </w:rPr>
        <w:t>Collected Writings</w:t>
      </w:r>
      <w:r w:rsidRPr="00B525E6">
        <w:t xml:space="preserve">, </w:t>
      </w:r>
      <w:r w:rsidRPr="00B525E6">
        <w:rPr>
          <w:i/>
        </w:rPr>
        <w:t>Vol. 2, Prophetic 1 &lt;</w:t>
      </w:r>
      <w:r w:rsidRPr="00B525E6">
        <w:t>http://www.stempublishing.com/authors/darby/PROPHET/02010E.html</w:t>
      </w:r>
      <w:r w:rsidRPr="00B525E6">
        <w:rPr>
          <w:i/>
        </w:rPr>
        <w:t xml:space="preserve">&gt; </w:t>
      </w:r>
      <w:r w:rsidRPr="00B525E6">
        <w:t xml:space="preserve">[accessed 2.8.09]; </w:t>
      </w:r>
    </w:p>
    <w:p w:rsidR="00975183" w:rsidRPr="00B525E6" w:rsidRDefault="00975183" w:rsidP="006A2E06">
      <w:pPr>
        <w:pStyle w:val="FootnoteText"/>
        <w:rPr>
          <w:rFonts w:ascii="Perpetua" w:hAnsi="Perpetua"/>
        </w:rPr>
      </w:pPr>
      <w:r w:rsidRPr="00B525E6">
        <w:rPr>
          <w:rFonts w:ascii="Perpetua" w:hAnsi="Perpetua"/>
        </w:rPr>
        <w:t xml:space="preserve"> ‘Meditations on the Acts of the Apostles’, </w:t>
      </w:r>
      <w:r w:rsidRPr="00B525E6">
        <w:rPr>
          <w:rFonts w:ascii="Perpetua" w:hAnsi="Perpetua"/>
          <w:i/>
        </w:rPr>
        <w:t>Collected Writings</w:t>
      </w:r>
      <w:r w:rsidRPr="00B525E6">
        <w:rPr>
          <w:rFonts w:ascii="Perpetua" w:hAnsi="Perpetua"/>
        </w:rPr>
        <w:t xml:space="preserve">, </w:t>
      </w:r>
      <w:r w:rsidRPr="00B525E6">
        <w:rPr>
          <w:rFonts w:ascii="Perpetua" w:hAnsi="Perpetua"/>
          <w:i/>
        </w:rPr>
        <w:t>Vol. 25, Expository</w:t>
      </w:r>
      <w:r w:rsidRPr="00B525E6">
        <w:rPr>
          <w:rFonts w:ascii="Perpetua" w:hAnsi="Perpetua"/>
        </w:rPr>
        <w:t xml:space="preserve"> &lt;http://www.stempublishing.com/authors/darby/EXPOSIT/25</w:t>
      </w:r>
      <w:r>
        <w:rPr>
          <w:rFonts w:ascii="Perpetua" w:hAnsi="Perpetua"/>
        </w:rPr>
        <w:t>028_34E.html&gt; [accessed 11.5.17]</w:t>
      </w:r>
      <w:r w:rsidRPr="00B525E6">
        <w:rPr>
          <w:rFonts w:ascii="Perpetua" w:hAnsi="Perpetua"/>
        </w:rPr>
        <w:t>.</w:t>
      </w:r>
    </w:p>
  </w:endnote>
  <w:endnote w:id="2261">
    <w:p w:rsidR="00975183" w:rsidRPr="00B525E6" w:rsidRDefault="00975183" w:rsidP="006A2E06">
      <w:pPr>
        <w:pStyle w:val="EndnoteText"/>
      </w:pPr>
      <w:r w:rsidRPr="00B525E6">
        <w:rPr>
          <w:rStyle w:val="EndnoteReference"/>
        </w:rPr>
        <w:endnoteRef/>
      </w:r>
      <w:r w:rsidRPr="00B525E6">
        <w:t xml:space="preserve"> </w:t>
      </w:r>
      <w:proofErr w:type="gramStart"/>
      <w:r w:rsidRPr="00B525E6">
        <w:t>Darby ‘The Dispensation of the Kingdom of Heaven, Matthew 13’.</w:t>
      </w:r>
      <w:proofErr w:type="gramEnd"/>
      <w:r w:rsidRPr="00B525E6">
        <w:t xml:space="preserve">  </w:t>
      </w:r>
      <w:proofErr w:type="gramStart"/>
      <w:r w:rsidRPr="00B525E6">
        <w:t>[</w:t>
      </w:r>
      <w:r w:rsidRPr="00B525E6">
        <w:rPr>
          <w:i/>
        </w:rPr>
        <w:t>Darby’s emphasis.</w:t>
      </w:r>
      <w:proofErr w:type="gramEnd"/>
      <w:r w:rsidRPr="00B525E6">
        <w:rPr>
          <w:i/>
        </w:rPr>
        <w:t xml:space="preserve">  Paragraphs inserted to enable easier reading</w:t>
      </w:r>
      <w:r w:rsidRPr="00B525E6">
        <w:t>.]</w:t>
      </w:r>
    </w:p>
  </w:endnote>
  <w:endnote w:id="2262">
    <w:p w:rsidR="00975183" w:rsidRPr="00B525E6" w:rsidRDefault="00975183" w:rsidP="006A2E06">
      <w:pPr>
        <w:pStyle w:val="EndnoteText"/>
      </w:pPr>
      <w:r w:rsidRPr="00B525E6">
        <w:rPr>
          <w:rStyle w:val="EndnoteReference"/>
        </w:rPr>
        <w:endnoteRef/>
      </w:r>
      <w:r w:rsidRPr="00B525E6">
        <w:t xml:space="preserve"> </w:t>
      </w:r>
      <w:proofErr w:type="gramStart"/>
      <w:r w:rsidRPr="00B525E6">
        <w:t>Darby ‘</w:t>
      </w:r>
      <w:r w:rsidRPr="00B525E6">
        <w:rPr>
          <w:bCs/>
        </w:rPr>
        <w:t>Brief Remarks on the Work of Rev. David Brown, D. D, p 360.</w:t>
      </w:r>
      <w:proofErr w:type="gramEnd"/>
      <w:r w:rsidRPr="00B525E6">
        <w:rPr>
          <w:bCs/>
        </w:rPr>
        <w:t xml:space="preserve"> &lt;http://www.stempublishing.com/authors/darby/PROPHET/11018E.html&gt; [accessed </w:t>
      </w:r>
      <w:proofErr w:type="gramStart"/>
      <w:r w:rsidRPr="00B525E6">
        <w:rPr>
          <w:bCs/>
        </w:rPr>
        <w:t>2.8.09 ]</w:t>
      </w:r>
      <w:proofErr w:type="gramEnd"/>
      <w:r w:rsidRPr="00B525E6">
        <w:rPr>
          <w:bCs/>
        </w:rPr>
        <w:t>.</w:t>
      </w:r>
    </w:p>
  </w:endnote>
  <w:endnote w:id="2263">
    <w:p w:rsidR="00975183" w:rsidRPr="00B525E6" w:rsidRDefault="00975183" w:rsidP="006A2E06">
      <w:pPr>
        <w:pStyle w:val="EndnoteText"/>
      </w:pPr>
      <w:r w:rsidRPr="00B525E6">
        <w:rPr>
          <w:rStyle w:val="EndnoteReference"/>
        </w:rPr>
        <w:endnoteRef/>
      </w:r>
      <w:r w:rsidRPr="00B525E6">
        <w:t xml:space="preserve"> </w:t>
      </w:r>
      <w:r w:rsidRPr="00B525E6">
        <w:rPr>
          <w:i/>
        </w:rPr>
        <w:t>SRB</w:t>
      </w:r>
      <w:r w:rsidRPr="00B525E6">
        <w:t xml:space="preserve"> note on Mt. 6:33, p. 1003.  Ref. note on Mt. 3:2, p. 996.  </w:t>
      </w:r>
      <w:r w:rsidRPr="00B525E6">
        <w:rPr>
          <w:i/>
        </w:rPr>
        <w:t>SRB</w:t>
      </w:r>
      <w:r w:rsidRPr="00B525E6">
        <w:t xml:space="preserve"> note on Mt. 21:43, p. 1029.</w:t>
      </w:r>
    </w:p>
  </w:endnote>
  <w:endnote w:id="2264">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6:33, p. 1003.  </w:t>
      </w:r>
    </w:p>
  </w:endnote>
  <w:endnote w:id="2265">
    <w:p w:rsidR="00975183" w:rsidRDefault="00975183" w:rsidP="006A2E06">
      <w:pPr>
        <w:pStyle w:val="EndnoteText"/>
      </w:pPr>
      <w:r w:rsidRPr="006A4363">
        <w:rPr>
          <w:rStyle w:val="FootnoteReference"/>
        </w:rPr>
        <w:endnoteRef/>
      </w:r>
      <w:r w:rsidRPr="006A4363">
        <w:t xml:space="preserve"> </w:t>
      </w:r>
      <w:r w:rsidRPr="006A4363">
        <w:rPr>
          <w:i/>
        </w:rPr>
        <w:t>SRB</w:t>
      </w:r>
      <w:r w:rsidRPr="006A4363">
        <w:t xml:space="preserve"> note on 1 Cor. 15:24, p. 1226.  </w:t>
      </w:r>
    </w:p>
  </w:endnote>
  <w:endnote w:id="2266">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6:33, p. 1003.  Ref. 1 Cor. 15:24.  </w:t>
      </w:r>
    </w:p>
  </w:endnote>
  <w:endnote w:id="2267">
    <w:p w:rsidR="00975183" w:rsidRDefault="00975183" w:rsidP="006A2E06">
      <w:pPr>
        <w:pStyle w:val="EndnoteText"/>
      </w:pPr>
      <w:r w:rsidRPr="006A4363">
        <w:rPr>
          <w:rStyle w:val="FootnoteReference"/>
          <w:szCs w:val="18"/>
        </w:rPr>
        <w:endnoteRef/>
      </w:r>
      <w:r w:rsidRPr="006A4363">
        <w:rPr>
          <w:szCs w:val="18"/>
        </w:rPr>
        <w:t xml:space="preserve"> ‘</w:t>
      </w:r>
      <w:r w:rsidRPr="006A4363">
        <w:rPr>
          <w:szCs w:val="18"/>
          <w:lang w:val="en-US"/>
        </w:rPr>
        <w:t xml:space="preserve">Therefore say I unto you, </w:t>
      </w:r>
      <w:proofErr w:type="gramStart"/>
      <w:r w:rsidRPr="006A4363">
        <w:rPr>
          <w:szCs w:val="18"/>
          <w:lang w:val="en-US"/>
        </w:rPr>
        <w:t>The</w:t>
      </w:r>
      <w:proofErr w:type="gramEnd"/>
      <w:r w:rsidRPr="006A4363">
        <w:rPr>
          <w:szCs w:val="18"/>
          <w:lang w:val="en-US"/>
        </w:rPr>
        <w:t xml:space="preserve"> kingdom of God shall be taken from you, and given to a nation bringing forth the fruits thereof.</w:t>
      </w:r>
      <w:r w:rsidRPr="006A4363">
        <w:rPr>
          <w:szCs w:val="18"/>
        </w:rPr>
        <w:t xml:space="preserve">’  Mt. 21:43, </w:t>
      </w:r>
      <w:r w:rsidRPr="006A4363">
        <w:rPr>
          <w:i/>
          <w:szCs w:val="18"/>
        </w:rPr>
        <w:t>KJV</w:t>
      </w:r>
      <w:r w:rsidRPr="004C25E8">
        <w:rPr>
          <w:szCs w:val="18"/>
        </w:rPr>
        <w:t>.</w:t>
      </w:r>
      <w:r>
        <w:rPr>
          <w:szCs w:val="18"/>
        </w:rPr>
        <w:t xml:space="preserve">  This is one of only two occurrences of ‘kingdom of God’ in Matthew.</w:t>
      </w:r>
    </w:p>
  </w:endnote>
  <w:endnote w:id="2268">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w:t>
      </w:r>
      <w:r>
        <w:t xml:space="preserve">21:43, p. 1029.  </w:t>
      </w:r>
      <w:r w:rsidRPr="006A4363">
        <w:t xml:space="preserve">Ref. Rom. 9:30-33.  </w:t>
      </w:r>
    </w:p>
  </w:endnote>
  <w:endnote w:id="2269">
    <w:p w:rsidR="00975183" w:rsidRDefault="00975183" w:rsidP="006A2E06">
      <w:pPr>
        <w:pStyle w:val="FootnoteText"/>
      </w:pPr>
      <w:r w:rsidRPr="006A4363">
        <w:rPr>
          <w:rStyle w:val="FootnoteReference"/>
          <w:rFonts w:ascii="Perpetua" w:hAnsi="Perpetua"/>
          <w:szCs w:val="18"/>
        </w:rPr>
        <w:endnoteRef/>
      </w:r>
      <w:r w:rsidRPr="006A4363">
        <w:rPr>
          <w:rFonts w:ascii="Perpetua" w:hAnsi="Perpetua"/>
          <w:szCs w:val="18"/>
        </w:rPr>
        <w:t xml:space="preserve"> </w:t>
      </w:r>
      <w:r>
        <w:rPr>
          <w:rFonts w:ascii="Perpetua" w:hAnsi="Perpetua"/>
          <w:szCs w:val="18"/>
        </w:rPr>
        <w:t>‘</w:t>
      </w:r>
      <w:r w:rsidRPr="006A4363">
        <w:rPr>
          <w:rFonts w:ascii="Perpetua" w:hAnsi="Perpetua"/>
          <w:szCs w:val="18"/>
          <w:lang w:val="en-US"/>
        </w:rPr>
        <w:t xml:space="preserve">Neither shall they say, Lo here! </w:t>
      </w:r>
      <w:proofErr w:type="gramStart"/>
      <w:r w:rsidRPr="006A4363">
        <w:rPr>
          <w:rFonts w:ascii="Perpetua" w:hAnsi="Perpetua"/>
          <w:szCs w:val="18"/>
          <w:lang w:val="en-US"/>
        </w:rPr>
        <w:t>or</w:t>
      </w:r>
      <w:proofErr w:type="gramEnd"/>
      <w:r w:rsidRPr="006A4363">
        <w:rPr>
          <w:rFonts w:ascii="Perpetua" w:hAnsi="Perpetua"/>
          <w:szCs w:val="18"/>
          <w:lang w:val="en-US"/>
        </w:rPr>
        <w:t xml:space="preserve">, lo there! </w:t>
      </w:r>
      <w:proofErr w:type="gramStart"/>
      <w:r w:rsidRPr="006A4363">
        <w:rPr>
          <w:rFonts w:ascii="Perpetua" w:hAnsi="Perpetua"/>
          <w:szCs w:val="18"/>
          <w:lang w:val="en-US"/>
        </w:rPr>
        <w:t>for</w:t>
      </w:r>
      <w:proofErr w:type="gramEnd"/>
      <w:r w:rsidRPr="006A4363">
        <w:rPr>
          <w:rFonts w:ascii="Perpetua" w:hAnsi="Perpetua"/>
          <w:szCs w:val="18"/>
          <w:lang w:val="en-US"/>
        </w:rPr>
        <w:t>, behold, the kingdom of God is within you.</w:t>
      </w:r>
      <w:r>
        <w:rPr>
          <w:rFonts w:ascii="Perpetua" w:hAnsi="Perpetua"/>
          <w:szCs w:val="18"/>
          <w:lang w:val="en-US"/>
        </w:rPr>
        <w:t>’</w:t>
      </w:r>
      <w:r w:rsidRPr="006A4363">
        <w:rPr>
          <w:rFonts w:ascii="Perpetua" w:hAnsi="Perpetua"/>
          <w:szCs w:val="18"/>
        </w:rPr>
        <w:t xml:space="preserve"> Lk. 17:21, </w:t>
      </w:r>
      <w:r w:rsidRPr="006A4363">
        <w:rPr>
          <w:rFonts w:ascii="Perpetua" w:hAnsi="Perpetua"/>
          <w:i/>
          <w:szCs w:val="18"/>
        </w:rPr>
        <w:t>KJV</w:t>
      </w:r>
      <w:r w:rsidRPr="006A4363">
        <w:rPr>
          <w:rFonts w:ascii="Perpetua" w:hAnsi="Perpetua"/>
          <w:szCs w:val="18"/>
        </w:rPr>
        <w:t>.</w:t>
      </w:r>
    </w:p>
  </w:endnote>
  <w:endnote w:id="2270">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Lk. 17:21, p. 1100. </w:t>
      </w:r>
    </w:p>
  </w:endnote>
  <w:endnote w:id="2271">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subhead to Mt. 21:1, p. 1027</w:t>
      </w:r>
      <w:r>
        <w:t>.</w:t>
      </w:r>
    </w:p>
  </w:endnote>
  <w:endnote w:id="2272">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subhead Mk 11:1, p. 1060.</w:t>
      </w:r>
    </w:p>
  </w:endnote>
  <w:endnote w:id="2273">
    <w:p w:rsidR="0097518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21:4, p. 1028.</w:t>
      </w:r>
    </w:p>
  </w:endnote>
  <w:endnote w:id="2274">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5:2, p. 1000</w:t>
      </w:r>
      <w:r w:rsidRPr="006A4363">
        <w:rPr>
          <w:b/>
        </w:rPr>
        <w:t xml:space="preserve">.  </w:t>
      </w:r>
    </w:p>
  </w:endnote>
  <w:endnote w:id="2275">
    <w:p w:rsidR="00975183" w:rsidRDefault="00975183" w:rsidP="006A2E06">
      <w:pPr>
        <w:pStyle w:val="EndnoteText"/>
      </w:pPr>
      <w:r w:rsidRPr="006A4363">
        <w:rPr>
          <w:rStyle w:val="FootnoteReference"/>
          <w:szCs w:val="18"/>
        </w:rPr>
        <w:endnoteRef/>
      </w:r>
      <w:r w:rsidRPr="006A4363">
        <w:rPr>
          <w:szCs w:val="18"/>
        </w:rPr>
        <w:t xml:space="preserve"> </w:t>
      </w:r>
      <w:r w:rsidRPr="006A4363">
        <w:rPr>
          <w:i/>
          <w:szCs w:val="18"/>
        </w:rPr>
        <w:t>SRB</w:t>
      </w:r>
      <w:r w:rsidRPr="006A4363">
        <w:rPr>
          <w:szCs w:val="18"/>
        </w:rPr>
        <w:t xml:space="preserve"> note on Lk. 17:21, p. 1100.</w:t>
      </w:r>
    </w:p>
  </w:endnote>
  <w:endnote w:id="2276">
    <w:p w:rsidR="00975183" w:rsidRDefault="00975183" w:rsidP="006A2E06">
      <w:pPr>
        <w:pStyle w:val="EndnoteText"/>
      </w:pPr>
      <w:r w:rsidRPr="006A4363">
        <w:rPr>
          <w:rStyle w:val="FootnoteReference"/>
          <w:szCs w:val="18"/>
        </w:rPr>
        <w:endnoteRef/>
      </w:r>
      <w:r w:rsidRPr="006A4363">
        <w:rPr>
          <w:szCs w:val="18"/>
        </w:rPr>
        <w:t xml:space="preserve"> Lk. 24:27, 32, 44, 45.</w:t>
      </w:r>
    </w:p>
  </w:endnote>
  <w:endnote w:id="2277">
    <w:p w:rsidR="00975183" w:rsidRPr="006A4363" w:rsidRDefault="00975183" w:rsidP="006A2E06">
      <w:pPr>
        <w:pStyle w:val="EndnoteText"/>
      </w:pPr>
      <w:r w:rsidRPr="006A4363">
        <w:rPr>
          <w:rStyle w:val="EndnoteReference"/>
        </w:rPr>
        <w:endnoteRef/>
      </w:r>
      <w:r w:rsidRPr="006A4363">
        <w:t xml:space="preserve"> </w:t>
      </w:r>
      <w:r w:rsidRPr="006A4363">
        <w:rPr>
          <w:i/>
        </w:rPr>
        <w:t xml:space="preserve">SRB </w:t>
      </w:r>
      <w:r w:rsidRPr="006A4363">
        <w:t>note on Acts 1:6, p. 1147.</w:t>
      </w:r>
    </w:p>
  </w:endnote>
  <w:endnote w:id="2278">
    <w:p w:rsidR="00975183" w:rsidRPr="006A4363" w:rsidRDefault="00975183" w:rsidP="006A2E06">
      <w:pPr>
        <w:pStyle w:val="EndnoteText"/>
      </w:pPr>
      <w:r w:rsidRPr="006A4363">
        <w:rPr>
          <w:rStyle w:val="EndnoteReference"/>
        </w:rPr>
        <w:endnoteRef/>
      </w:r>
      <w:r w:rsidRPr="006A4363">
        <w:t xml:space="preserve"> </w:t>
      </w:r>
      <w:r w:rsidRPr="006A4363">
        <w:rPr>
          <w:i/>
        </w:rPr>
        <w:t xml:space="preserve">SRB </w:t>
      </w:r>
      <w:r w:rsidRPr="006A4363">
        <w:t xml:space="preserve">note on Mt. 3:2, p. 996.  </w:t>
      </w:r>
    </w:p>
  </w:endnote>
  <w:endnote w:id="2279">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6:33, p. 1003.</w:t>
      </w:r>
    </w:p>
  </w:endnote>
  <w:endnote w:id="2280">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1 Cor. 15:24, p. 1227.</w:t>
      </w:r>
    </w:p>
  </w:endnote>
  <w:endnote w:id="2281">
    <w:p w:rsidR="00975183" w:rsidRPr="006A4363" w:rsidRDefault="00975183" w:rsidP="006A2E06">
      <w:pPr>
        <w:pStyle w:val="EndnoteText"/>
      </w:pPr>
      <w:r w:rsidRPr="006A4363">
        <w:rPr>
          <w:rStyle w:val="EndnoteReference"/>
        </w:rPr>
        <w:endnoteRef/>
      </w:r>
      <w:r w:rsidRPr="006A4363">
        <w:t xml:space="preserve"> </w:t>
      </w:r>
      <w:proofErr w:type="gramStart"/>
      <w:r w:rsidRPr="00F73FDE">
        <w:rPr>
          <w:b/>
        </w:rPr>
        <w:t>See 5.6.1</w:t>
      </w:r>
      <w:r w:rsidRPr="00267F5B">
        <w:t>.</w:t>
      </w:r>
      <w:proofErr w:type="gramEnd"/>
    </w:p>
  </w:endnote>
  <w:endnote w:id="2282">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ote on Mt. 13:11, p. 1014</w:t>
      </w:r>
      <w:r w:rsidRPr="006A4363">
        <w:rPr>
          <w:lang w:eastAsia="en-GB"/>
        </w:rPr>
        <w:t>.</w:t>
      </w:r>
    </w:p>
  </w:endnote>
  <w:endnote w:id="2283">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ote on Mt. 13:11, p. 1014</w:t>
      </w:r>
      <w:r w:rsidRPr="006A4363">
        <w:rPr>
          <w:lang w:eastAsia="en-GB"/>
        </w:rPr>
        <w:t>.</w:t>
      </w:r>
      <w:r w:rsidRPr="006A4363">
        <w:t xml:space="preserve">  </w:t>
      </w:r>
    </w:p>
  </w:endnote>
  <w:endnote w:id="2284">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 xml:space="preserve">ote on </w:t>
      </w:r>
      <w:r w:rsidRPr="006A4363">
        <w:rPr>
          <w:lang w:eastAsia="en-GB"/>
        </w:rPr>
        <w:t xml:space="preserve">Mt. 4:17, </w:t>
      </w:r>
      <w:r w:rsidRPr="006A4363">
        <w:t>p. 998</w:t>
      </w:r>
      <w:r w:rsidRPr="006A4363">
        <w:rPr>
          <w:lang w:eastAsia="en-GB"/>
        </w:rPr>
        <w:t>.</w:t>
      </w:r>
    </w:p>
  </w:endnote>
  <w:endnote w:id="2285">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ote</w:t>
      </w:r>
      <w:r w:rsidRPr="006A4363">
        <w:rPr>
          <w:lang w:eastAsia="en-GB"/>
        </w:rPr>
        <w:t xml:space="preserve"> on Mt. 10:2, </w:t>
      </w:r>
      <w:r w:rsidRPr="006A4363">
        <w:t xml:space="preserve">p. 1008.  </w:t>
      </w:r>
    </w:p>
  </w:endnote>
  <w:endnote w:id="2286">
    <w:p w:rsidR="00975183" w:rsidRPr="006A4363" w:rsidRDefault="00975183" w:rsidP="006A2E06">
      <w:pPr>
        <w:pStyle w:val="EndnoteText"/>
      </w:pPr>
      <w:r w:rsidRPr="006A4363">
        <w:rPr>
          <w:rStyle w:val="FootnoteReference"/>
        </w:rPr>
        <w:endnoteRef/>
      </w:r>
      <w:r w:rsidRPr="006A4363">
        <w:t xml:space="preserve"> </w:t>
      </w:r>
      <w:r w:rsidRPr="006A4363">
        <w:rPr>
          <w:i/>
        </w:rPr>
        <w:t>SRB</w:t>
      </w:r>
      <w:r w:rsidRPr="006A4363">
        <w:t xml:space="preserve"> </w:t>
      </w:r>
      <w:r>
        <w:t>n</w:t>
      </w:r>
      <w:r w:rsidRPr="006A4363">
        <w:t xml:space="preserve">ote on Mt. 13:45, </w:t>
      </w:r>
      <w:r w:rsidRPr="006A4363">
        <w:rPr>
          <w:lang w:eastAsia="en-GB"/>
        </w:rPr>
        <w:t xml:space="preserve">p. 1017.  </w:t>
      </w:r>
    </w:p>
  </w:endnote>
  <w:endnote w:id="2287">
    <w:p w:rsidR="00975183" w:rsidRDefault="00975183" w:rsidP="006A2E06">
      <w:pPr>
        <w:pStyle w:val="EndnoteText"/>
      </w:pPr>
      <w:r w:rsidRPr="006A4363">
        <w:rPr>
          <w:rStyle w:val="FootnoteReference"/>
        </w:rPr>
        <w:endnoteRef/>
      </w:r>
      <w:r w:rsidRPr="006A4363">
        <w:t xml:space="preserve"> </w:t>
      </w:r>
      <w:r>
        <w:t>Matthew 13</w:t>
      </w:r>
      <w:r w:rsidRPr="006A4363">
        <w:t xml:space="preserve"> is headed, ‘</w:t>
      </w:r>
      <w:proofErr w:type="gramStart"/>
      <w:r w:rsidRPr="006A4363">
        <w:t>The</w:t>
      </w:r>
      <w:proofErr w:type="gramEnd"/>
      <w:r w:rsidRPr="006A4363">
        <w:t xml:space="preserve"> mysteries of the kingdom of heaven, 1) the sower’ (</w:t>
      </w:r>
      <w:r>
        <w:t>subhead to Mt. 13:1, p. 1014</w:t>
      </w:r>
      <w:r w:rsidRPr="006A4363">
        <w:t xml:space="preserve">).  This is followed by subheads to Mt. 13:24, p. 1015, (‘Second mystery, the tares among the wheat’); Mt. 13:31, </w:t>
      </w:r>
    </w:p>
    <w:p w:rsidR="00975183" w:rsidRDefault="00975183" w:rsidP="006A2E06">
      <w:pPr>
        <w:pStyle w:val="EndnoteText"/>
      </w:pPr>
      <w:r w:rsidRPr="006A4363">
        <w:t>p. 1016, (‘Third mystery, the grain of mustard seed’)</w:t>
      </w:r>
      <w:r>
        <w:t>;</w:t>
      </w:r>
      <w:r w:rsidRPr="006A4363">
        <w:t xml:space="preserve"> Mt. 13:33, p. 1016, (‘Fourth mystery: the leaven’); </w:t>
      </w:r>
    </w:p>
    <w:p w:rsidR="00975183" w:rsidRDefault="00975183" w:rsidP="006A2E06">
      <w:pPr>
        <w:pStyle w:val="EndnoteText"/>
      </w:pPr>
      <w:r w:rsidRPr="006A4363">
        <w:t xml:space="preserve">Mt. 13:36, p. 1017, (‘The second mystery explained’); Mt. 13:44, p. 1017, (‘Fifth mystery, the hid treasure’); </w:t>
      </w:r>
    </w:p>
    <w:p w:rsidR="00975183" w:rsidRPr="0036238E" w:rsidRDefault="00975183" w:rsidP="006A2E06">
      <w:pPr>
        <w:pStyle w:val="EndnoteText"/>
        <w:rPr>
          <w:rFonts w:ascii="Times New Roman" w:hAnsi="Times New Roman"/>
          <w:sz w:val="18"/>
          <w:szCs w:val="18"/>
        </w:rPr>
      </w:pPr>
      <w:r w:rsidRPr="006A4363">
        <w:t>Mt. 13:45, p. 1017, (‘Sixth mystery: the pearl’); Mt. 13:47, p. 1017, (‘Seventh mystery, the drag-net’).</w:t>
      </w:r>
      <w:r>
        <w:t xml:space="preserve">  </w:t>
      </w:r>
      <w:proofErr w:type="gramStart"/>
      <w:r w:rsidRPr="0036238E">
        <w:rPr>
          <w:b/>
        </w:rPr>
        <w:t>See 8.6.1</w:t>
      </w:r>
      <w:r w:rsidRPr="0036238E">
        <w:t>.</w:t>
      </w:r>
      <w:proofErr w:type="gramEnd"/>
    </w:p>
    <w:p w:rsidR="00975183" w:rsidRDefault="00975183" w:rsidP="006A2E06">
      <w:pPr>
        <w:pStyle w:val="EndnoteText"/>
      </w:pPr>
      <w:r w:rsidRPr="0086597D">
        <w:rPr>
          <w:rStyle w:val="FootnoteReference"/>
        </w:rPr>
        <w:endnoteRef/>
      </w:r>
      <w:r w:rsidRPr="0086597D">
        <w:t xml:space="preserve"> </w:t>
      </w:r>
      <w:r w:rsidRPr="006A4363">
        <w:rPr>
          <w:i/>
        </w:rPr>
        <w:t>SRB</w:t>
      </w:r>
      <w:r w:rsidRPr="006A4363">
        <w:t xml:space="preserve"> </w:t>
      </w:r>
      <w:r>
        <w:t>n</w:t>
      </w:r>
      <w:r w:rsidRPr="006A4363">
        <w:t>ote</w:t>
      </w:r>
      <w:r w:rsidRPr="0086597D">
        <w:rPr>
          <w:lang w:eastAsia="en-GB"/>
        </w:rPr>
        <w:t xml:space="preserve"> on Mt. 13:31, </w:t>
      </w:r>
      <w:r w:rsidRPr="0086597D">
        <w:t>p. 1016</w:t>
      </w:r>
      <w:r w:rsidRPr="0086597D">
        <w:rPr>
          <w:lang w:eastAsia="en-GB"/>
        </w:rPr>
        <w:t xml:space="preserve">.  </w:t>
      </w:r>
      <w:proofErr w:type="gramStart"/>
      <w:r w:rsidRPr="0086597D">
        <w:t>Refs</w:t>
      </w:r>
      <w:r>
        <w:t xml:space="preserve"> Acts 1:15; 2:41</w:t>
      </w:r>
      <w:r w:rsidRPr="0086597D">
        <w:rPr>
          <w:lang w:eastAsia="en-GB"/>
        </w:rPr>
        <w:t>.</w:t>
      </w:r>
      <w:proofErr w:type="gramEnd"/>
    </w:p>
  </w:endnote>
  <w:endnote w:id="2288">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w:t>
      </w:r>
      <w:r>
        <w:t>n</w:t>
      </w:r>
      <w:r w:rsidRPr="006A4363">
        <w:t>ote</w:t>
      </w:r>
      <w:r w:rsidRPr="006A4363">
        <w:rPr>
          <w:lang w:eastAsia="en-GB"/>
        </w:rPr>
        <w:t xml:space="preserve"> on Mt. 13:3, </w:t>
      </w:r>
      <w:r w:rsidRPr="006A4363">
        <w:t>p. 1014</w:t>
      </w:r>
      <w:r w:rsidRPr="006A4363">
        <w:rPr>
          <w:lang w:eastAsia="en-GB"/>
        </w:rPr>
        <w:t>.</w:t>
      </w:r>
      <w:r w:rsidRPr="006A4363">
        <w:t xml:space="preserve">  </w:t>
      </w:r>
    </w:p>
  </w:endnote>
  <w:endnote w:id="2289">
    <w:p w:rsidR="00975183" w:rsidRPr="006A4363" w:rsidRDefault="00975183" w:rsidP="006A2E06">
      <w:pPr>
        <w:pStyle w:val="EndnoteText"/>
      </w:pPr>
      <w:r w:rsidRPr="006A4363">
        <w:rPr>
          <w:rStyle w:val="EndnoteReference"/>
        </w:rPr>
        <w:endnoteRef/>
      </w:r>
      <w:r w:rsidRPr="006A4363">
        <w:t xml:space="preserve"> </w:t>
      </w:r>
      <w:r w:rsidRPr="007E164F">
        <w:rPr>
          <w:i/>
          <w:lang w:eastAsia="en-GB"/>
        </w:rPr>
        <w:t>SRB</w:t>
      </w:r>
      <w:r>
        <w:rPr>
          <w:lang w:eastAsia="en-GB"/>
        </w:rPr>
        <w:t xml:space="preserve"> no</w:t>
      </w:r>
      <w:r w:rsidRPr="006A4363">
        <w:rPr>
          <w:lang w:eastAsia="en-GB"/>
        </w:rPr>
        <w:t>te</w:t>
      </w:r>
      <w:r>
        <w:rPr>
          <w:lang w:eastAsia="en-GB"/>
        </w:rPr>
        <w:t>s</w:t>
      </w:r>
      <w:r w:rsidRPr="006A4363">
        <w:rPr>
          <w:lang w:eastAsia="en-GB"/>
        </w:rPr>
        <w:t xml:space="preserve"> on Mt. 13:17, </w:t>
      </w:r>
      <w:r w:rsidRPr="006A4363">
        <w:t>p. 1015</w:t>
      </w:r>
      <w:r w:rsidRPr="006A4363">
        <w:rPr>
          <w:lang w:eastAsia="en-GB"/>
        </w:rPr>
        <w:t>;</w:t>
      </w:r>
      <w:r w:rsidRPr="006A4363">
        <w:t xml:space="preserve"> </w:t>
      </w:r>
      <w:r w:rsidRPr="006A4363">
        <w:rPr>
          <w:lang w:eastAsia="en-GB"/>
        </w:rPr>
        <w:t>1 Cor. 15:24</w:t>
      </w:r>
      <w:r w:rsidRPr="006A4363">
        <w:t xml:space="preserve">, p. 1226, and Introduction to the Prophetical Books, p. 711.  </w:t>
      </w:r>
    </w:p>
  </w:endnote>
  <w:endnote w:id="2290">
    <w:p w:rsidR="00975183" w:rsidRPr="006A4363" w:rsidRDefault="00975183" w:rsidP="006A2E06">
      <w:pPr>
        <w:pStyle w:val="EndnoteText"/>
      </w:pPr>
      <w:r w:rsidRPr="006A4363">
        <w:rPr>
          <w:rStyle w:val="EndnoteReference"/>
        </w:rPr>
        <w:endnoteRef/>
      </w:r>
      <w:r w:rsidRPr="006A4363">
        <w:t xml:space="preserve"> </w:t>
      </w:r>
      <w:r w:rsidRPr="007E164F">
        <w:rPr>
          <w:i/>
          <w:lang w:eastAsia="en-GB"/>
        </w:rPr>
        <w:t>SRB</w:t>
      </w:r>
      <w:r>
        <w:rPr>
          <w:lang w:eastAsia="en-GB"/>
        </w:rPr>
        <w:t xml:space="preserve"> n</w:t>
      </w:r>
      <w:r w:rsidRPr="0086597D">
        <w:rPr>
          <w:lang w:eastAsia="en-GB"/>
        </w:rPr>
        <w:t xml:space="preserve">ote on </w:t>
      </w:r>
      <w:r w:rsidRPr="006A4363">
        <w:t>Mt. 3:2, p. 996</w:t>
      </w:r>
      <w:r w:rsidRPr="006A4363">
        <w:rPr>
          <w:lang w:eastAsia="en-GB"/>
        </w:rPr>
        <w:t xml:space="preserve">. </w:t>
      </w:r>
    </w:p>
  </w:endnote>
  <w:endnote w:id="2291">
    <w:p w:rsidR="00975183" w:rsidRDefault="00975183" w:rsidP="006A2E06">
      <w:pPr>
        <w:pStyle w:val="EndnoteText"/>
      </w:pPr>
      <w:r w:rsidRPr="0086597D">
        <w:rPr>
          <w:rStyle w:val="FootnoteReference"/>
        </w:rPr>
        <w:endnoteRef/>
      </w:r>
      <w:r w:rsidRPr="0086597D">
        <w:t xml:space="preserve"> </w:t>
      </w:r>
      <w:r w:rsidRPr="007E164F">
        <w:rPr>
          <w:i/>
          <w:lang w:eastAsia="en-GB"/>
        </w:rPr>
        <w:t>SRB</w:t>
      </w:r>
      <w:r>
        <w:rPr>
          <w:lang w:eastAsia="en-GB"/>
        </w:rPr>
        <w:t xml:space="preserve"> n</w:t>
      </w:r>
      <w:r w:rsidRPr="0086597D">
        <w:rPr>
          <w:lang w:eastAsia="en-GB"/>
        </w:rPr>
        <w:t xml:space="preserve">ote on Mt. 13:31, </w:t>
      </w:r>
      <w:r w:rsidRPr="0086597D">
        <w:t>p. 1016</w:t>
      </w:r>
      <w:r w:rsidRPr="0086597D">
        <w:rPr>
          <w:lang w:eastAsia="en-GB"/>
        </w:rPr>
        <w:t xml:space="preserve">.  </w:t>
      </w:r>
      <w:proofErr w:type="gramStart"/>
      <w:r w:rsidRPr="0086597D">
        <w:t>Refs</w:t>
      </w:r>
      <w:r>
        <w:t xml:space="preserve"> Acts 1:15; 2:41</w:t>
      </w:r>
      <w:r w:rsidRPr="0086597D">
        <w:rPr>
          <w:lang w:eastAsia="en-GB"/>
        </w:rPr>
        <w:t>.</w:t>
      </w:r>
      <w:proofErr w:type="gramEnd"/>
    </w:p>
  </w:endnote>
  <w:endnote w:id="2292">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subhead to Mt. 25:1, p. 1035.  </w:t>
      </w:r>
    </w:p>
  </w:endnote>
  <w:endnote w:id="2293">
    <w:p w:rsidR="00975183" w:rsidRDefault="00975183" w:rsidP="006A2E06">
      <w:pPr>
        <w:pStyle w:val="EndnoteText"/>
      </w:pPr>
      <w:r w:rsidRPr="0086597D">
        <w:rPr>
          <w:rStyle w:val="FootnoteReference"/>
        </w:rPr>
        <w:endnoteRef/>
      </w:r>
      <w:r w:rsidRPr="0086597D">
        <w:t xml:space="preserve">  Or ‘</w:t>
      </w:r>
      <w:r w:rsidRPr="007E164F">
        <w:rPr>
          <w:rFonts w:ascii="Bwgrkl" w:hAnsi="Bwgrkl" w:cs="Bwgrkl"/>
          <w:szCs w:val="22"/>
          <w:lang w:val="en-US" w:bidi="he-IL"/>
        </w:rPr>
        <w:t>musth</w:t>
      </w:r>
      <w:proofErr w:type="gramStart"/>
      <w:r w:rsidRPr="007E164F">
        <w:rPr>
          <w:rFonts w:ascii="Bwgrkl" w:hAnsi="Bwgrkl" w:cs="Bwgrkl"/>
          <w:szCs w:val="22"/>
          <w:lang w:val="en-US" w:bidi="he-IL"/>
        </w:rPr>
        <w:t>,ria</w:t>
      </w:r>
      <w:r w:rsidRPr="0086597D">
        <w:rPr>
          <w:szCs w:val="18"/>
        </w:rPr>
        <w:t>’</w:t>
      </w:r>
      <w:proofErr w:type="gramEnd"/>
      <w:r w:rsidRPr="0086597D">
        <w:rPr>
          <w:szCs w:val="18"/>
        </w:rPr>
        <w:t>, mysteries</w:t>
      </w:r>
      <w:r>
        <w:rPr>
          <w:szCs w:val="18"/>
        </w:rPr>
        <w:t>.</w:t>
      </w:r>
    </w:p>
  </w:endnote>
  <w:endnote w:id="2294">
    <w:p w:rsidR="00975183" w:rsidRPr="0086597D" w:rsidRDefault="00975183" w:rsidP="006A2E06">
      <w:pPr>
        <w:autoSpaceDE w:val="0"/>
        <w:autoSpaceDN w:val="0"/>
        <w:adjustRightInd w:val="0"/>
        <w:spacing w:after="0" w:line="240" w:lineRule="auto"/>
        <w:rPr>
          <w:szCs w:val="18"/>
        </w:rPr>
      </w:pPr>
      <w:r w:rsidRPr="004A23BB">
        <w:rPr>
          <w:rStyle w:val="FootnoteReference"/>
          <w:sz w:val="20"/>
          <w:szCs w:val="18"/>
        </w:rPr>
        <w:endnoteRef/>
      </w:r>
      <w:r w:rsidRPr="004A23BB">
        <w:rPr>
          <w:sz w:val="20"/>
          <w:szCs w:val="18"/>
        </w:rPr>
        <w:t xml:space="preserve"> </w:t>
      </w:r>
      <w:proofErr w:type="gramStart"/>
      <w:r w:rsidRPr="004A23BB">
        <w:rPr>
          <w:sz w:val="20"/>
          <w:szCs w:val="18"/>
        </w:rPr>
        <w:t>Matthew 13:11 – ‘</w:t>
      </w:r>
      <w:r w:rsidRPr="007E164F">
        <w:rPr>
          <w:rFonts w:ascii="Bwgrkl" w:hAnsi="Bwgrkl" w:cs="Bwgrkl"/>
          <w:lang w:val="en-US" w:bidi="he-IL"/>
        </w:rPr>
        <w:t>~O de.</w:t>
      </w:r>
      <w:proofErr w:type="gramEnd"/>
      <w:r w:rsidRPr="007E164F">
        <w:rPr>
          <w:rFonts w:ascii="Bwgrkl" w:hAnsi="Bwgrkl" w:cs="Bwgrkl"/>
          <w:lang w:val="en-US" w:bidi="he-IL"/>
        </w:rPr>
        <w:t xml:space="preserve"> avpokriqei.j ei=pen auvtoi/j o[ti ~Umi/n de,dotai gnw/nai ta. musth,ria th/j basilei,aj tw/n ouvranw/n( evkei,noij de. ouv de,dotai</w:t>
      </w:r>
      <w:r w:rsidRPr="0086597D">
        <w:rPr>
          <w:szCs w:val="18"/>
        </w:rPr>
        <w:t xml:space="preserve">’; </w:t>
      </w:r>
      <w:r w:rsidRPr="004A23BB">
        <w:rPr>
          <w:sz w:val="20"/>
          <w:szCs w:val="18"/>
        </w:rPr>
        <w:t>‘</w:t>
      </w:r>
      <w:r w:rsidRPr="004A23BB">
        <w:rPr>
          <w:sz w:val="20"/>
          <w:szCs w:val="18"/>
          <w:lang w:val="en-US" w:bidi="he-IL"/>
        </w:rPr>
        <w:t>He answered and said unto them, Because it is given unto you to know the mysteries of the kingdom of heaven, but to them it is not given.</w:t>
      </w:r>
      <w:r w:rsidRPr="004A23BB">
        <w:rPr>
          <w:sz w:val="20"/>
          <w:szCs w:val="18"/>
        </w:rPr>
        <w:t xml:space="preserve">’  Mt. 13:11, </w:t>
      </w:r>
      <w:r w:rsidRPr="004A23BB">
        <w:rPr>
          <w:i/>
          <w:sz w:val="20"/>
          <w:szCs w:val="18"/>
        </w:rPr>
        <w:t>KJV</w:t>
      </w:r>
      <w:r w:rsidRPr="004A23BB">
        <w:rPr>
          <w:sz w:val="20"/>
          <w:szCs w:val="18"/>
        </w:rPr>
        <w:t>.</w:t>
      </w:r>
    </w:p>
    <w:p w:rsidR="00975183" w:rsidRPr="00EF498F" w:rsidRDefault="00975183" w:rsidP="006A2E06">
      <w:pPr>
        <w:autoSpaceDE w:val="0"/>
        <w:autoSpaceDN w:val="0"/>
        <w:adjustRightInd w:val="0"/>
        <w:spacing w:after="0" w:line="240" w:lineRule="auto"/>
        <w:rPr>
          <w:rFonts w:ascii="Times New Roman" w:hAnsi="Times New Roman"/>
          <w:sz w:val="18"/>
          <w:szCs w:val="18"/>
        </w:rPr>
      </w:pPr>
      <w:r w:rsidRPr="004A23BB">
        <w:rPr>
          <w:sz w:val="20"/>
          <w:szCs w:val="18"/>
        </w:rPr>
        <w:t>Mark 4:11 –</w:t>
      </w:r>
      <w:r w:rsidRPr="0086597D">
        <w:rPr>
          <w:szCs w:val="18"/>
        </w:rPr>
        <w:t xml:space="preserve"> ‘</w:t>
      </w:r>
      <w:r w:rsidRPr="007E164F">
        <w:rPr>
          <w:rFonts w:ascii="Bwgrkl" w:hAnsi="Bwgrkl" w:cs="Bwgrkl"/>
          <w:lang w:val="en-US" w:bidi="he-IL"/>
        </w:rPr>
        <w:t>Kai. e;legen auvtoi/j( ~Umi/n de,dotai gnw/nai to. musth,rion th/j basilei,aj tou/ qeou/\ evkei,noij de. toi/j e;xw( evn parabolai/j ta. pa,nta gi,netai</w:t>
      </w:r>
      <w:r w:rsidRPr="004A23BB">
        <w:rPr>
          <w:sz w:val="20"/>
        </w:rPr>
        <w:t>’; ‘</w:t>
      </w:r>
      <w:r w:rsidRPr="004A23BB">
        <w:rPr>
          <w:sz w:val="20"/>
          <w:lang w:val="en-US" w:bidi="he-IL"/>
        </w:rPr>
        <w:t xml:space="preserve">And he said unto them, Unto you it is given to know the mystery of the kingdom of God: but unto them that are without, all </w:t>
      </w:r>
      <w:r w:rsidRPr="004A23BB">
        <w:rPr>
          <w:i/>
          <w:iCs/>
          <w:sz w:val="20"/>
          <w:lang w:val="en-US" w:bidi="he-IL"/>
        </w:rPr>
        <w:t xml:space="preserve">these </w:t>
      </w:r>
      <w:r w:rsidRPr="004A23BB">
        <w:rPr>
          <w:sz w:val="20"/>
          <w:lang w:val="en-US" w:bidi="he-IL"/>
        </w:rPr>
        <w:t>things are done in parables:</w:t>
      </w:r>
      <w:r w:rsidRPr="004A23BB">
        <w:rPr>
          <w:sz w:val="20"/>
        </w:rPr>
        <w:t xml:space="preserve">’, Mk 4:11, </w:t>
      </w:r>
      <w:r w:rsidRPr="004A23BB">
        <w:rPr>
          <w:i/>
          <w:sz w:val="20"/>
        </w:rPr>
        <w:t>KJV</w:t>
      </w:r>
      <w:r w:rsidRPr="004A23BB">
        <w:rPr>
          <w:sz w:val="20"/>
        </w:rPr>
        <w:t>.</w:t>
      </w:r>
    </w:p>
    <w:p w:rsidR="00975183" w:rsidRPr="00BD60F8" w:rsidRDefault="00975183" w:rsidP="006A2E06">
      <w:pPr>
        <w:autoSpaceDE w:val="0"/>
        <w:autoSpaceDN w:val="0"/>
        <w:adjustRightInd w:val="0"/>
        <w:spacing w:after="0" w:line="240" w:lineRule="auto"/>
      </w:pPr>
      <w:proofErr w:type="gramStart"/>
      <w:r w:rsidRPr="00387D9C">
        <w:rPr>
          <w:sz w:val="20"/>
          <w:szCs w:val="18"/>
        </w:rPr>
        <w:t>Luke 8:10 – ‘</w:t>
      </w:r>
      <w:r w:rsidRPr="00EF498F">
        <w:rPr>
          <w:rFonts w:ascii="Bwgrkl" w:hAnsi="Bwgrkl" w:cs="Bwgrkl"/>
          <w:lang w:val="en-US" w:bidi="he-IL"/>
        </w:rPr>
        <w:t>~</w:t>
      </w:r>
      <w:r w:rsidRPr="001F1635">
        <w:rPr>
          <w:rFonts w:ascii="Bwgrkl" w:hAnsi="Bwgrkl" w:cs="Bwgrkl"/>
          <w:lang w:val="en-US" w:bidi="he-IL"/>
        </w:rPr>
        <w:t>O de.</w:t>
      </w:r>
      <w:proofErr w:type="gramEnd"/>
      <w:r w:rsidRPr="001F1635">
        <w:rPr>
          <w:rFonts w:ascii="Bwgrkl" w:hAnsi="Bwgrkl" w:cs="Bwgrkl"/>
          <w:lang w:val="en-US" w:bidi="he-IL"/>
        </w:rPr>
        <w:t xml:space="preserve"> ei=pen( ~Umi/n de,dotai gnw/nai ta. musth,ria th/j basilei,aj tou/ qeou/\ toi/j de. loipoi/j evn parabolai/j( i[na ble,pontej mh. ble,pwsin( kai. avkou,ontej mh. suniw/si</w:t>
      </w:r>
      <w:r w:rsidRPr="00EF498F">
        <w:rPr>
          <w:rFonts w:ascii="Bwgrkl" w:hAnsi="Bwgrkl" w:cs="Bwgrkl"/>
          <w:lang w:val="en-US" w:bidi="he-IL"/>
        </w:rPr>
        <w:t>n</w:t>
      </w:r>
      <w:r w:rsidRPr="00387D9C">
        <w:rPr>
          <w:rFonts w:ascii="Bwgrkl" w:hAnsi="Bwgrkl" w:cs="Bwgrkl"/>
          <w:sz w:val="20"/>
          <w:lang w:val="en-US" w:bidi="he-IL"/>
        </w:rPr>
        <w:t>Å</w:t>
      </w:r>
      <w:r w:rsidRPr="00387D9C">
        <w:rPr>
          <w:sz w:val="20"/>
          <w:szCs w:val="18"/>
        </w:rPr>
        <w:t>’</w:t>
      </w:r>
      <w:r w:rsidRPr="00BD60F8">
        <w:rPr>
          <w:szCs w:val="18"/>
        </w:rPr>
        <w:t xml:space="preserve"> </w:t>
      </w:r>
      <w:r w:rsidRPr="00BD60F8">
        <w:t xml:space="preserve"> </w:t>
      </w:r>
      <w:r w:rsidRPr="00387D9C">
        <w:rPr>
          <w:sz w:val="20"/>
        </w:rPr>
        <w:t>‘</w:t>
      </w:r>
      <w:r w:rsidRPr="00387D9C">
        <w:rPr>
          <w:sz w:val="20"/>
          <w:lang w:val="en-US" w:bidi="he-IL"/>
        </w:rPr>
        <w:t>And he said, Unto you it is given to know the mysteries of the kingdom of God: but to others in parables; that seeing they might not see, and hearing they might not understand.</w:t>
      </w:r>
      <w:r w:rsidRPr="00387D9C">
        <w:rPr>
          <w:sz w:val="20"/>
        </w:rPr>
        <w:t xml:space="preserve">’  </w:t>
      </w:r>
      <w:proofErr w:type="gramStart"/>
      <w:r w:rsidRPr="00387D9C">
        <w:rPr>
          <w:sz w:val="20"/>
        </w:rPr>
        <w:t xml:space="preserve">Lk. 8:10 </w:t>
      </w:r>
      <w:r w:rsidRPr="00387D9C">
        <w:rPr>
          <w:i/>
          <w:sz w:val="20"/>
        </w:rPr>
        <w:t>KJV</w:t>
      </w:r>
      <w:r w:rsidRPr="00387D9C">
        <w:rPr>
          <w:sz w:val="20"/>
        </w:rPr>
        <w:t>.</w:t>
      </w:r>
      <w:proofErr w:type="gramEnd"/>
    </w:p>
    <w:p w:rsidR="00975183" w:rsidRDefault="00975183" w:rsidP="006A2E06">
      <w:pPr>
        <w:pStyle w:val="EndnoteText"/>
      </w:pPr>
      <w:r w:rsidRPr="00BD60F8">
        <w:t xml:space="preserve">In </w:t>
      </w:r>
      <w:r w:rsidRPr="00BD60F8">
        <w:rPr>
          <w:i/>
        </w:rPr>
        <w:t>LXX</w:t>
      </w:r>
      <w:r w:rsidRPr="00BD60F8">
        <w:t>, ‘</w:t>
      </w:r>
      <w:r w:rsidRPr="001F1635">
        <w:rPr>
          <w:rFonts w:ascii="Bwgrkl" w:hAnsi="Bwgrkl" w:cs="Bwgrkl"/>
          <w:szCs w:val="22"/>
          <w:lang w:val="en-US" w:bidi="he-IL"/>
        </w:rPr>
        <w:t>musth</w:t>
      </w:r>
      <w:proofErr w:type="gramStart"/>
      <w:r w:rsidRPr="001F1635">
        <w:rPr>
          <w:rFonts w:ascii="Bwgrkl" w:hAnsi="Bwgrkl" w:cs="Bwgrkl"/>
          <w:szCs w:val="22"/>
          <w:lang w:val="en-US" w:bidi="he-IL"/>
        </w:rPr>
        <w:t>,rion</w:t>
      </w:r>
      <w:proofErr w:type="gramEnd"/>
      <w:r w:rsidRPr="00EF498F">
        <w:rPr>
          <w:rFonts w:ascii="Times New Roman" w:hAnsi="Times New Roman"/>
          <w:color w:val="000000"/>
          <w:sz w:val="18"/>
          <w:szCs w:val="18"/>
        </w:rPr>
        <w:t>/</w:t>
      </w:r>
      <w:r w:rsidRPr="001F1635">
        <w:rPr>
          <w:rFonts w:ascii="Bwgrkl" w:hAnsi="Bwgrkl" w:cs="Bwgrkl"/>
          <w:szCs w:val="22"/>
          <w:lang w:val="en-US" w:bidi="he-IL"/>
        </w:rPr>
        <w:t>musth,ria</w:t>
      </w:r>
      <w:r w:rsidRPr="00BD60F8">
        <w:rPr>
          <w:szCs w:val="18"/>
        </w:rPr>
        <w:t>’</w:t>
      </w:r>
      <w:r w:rsidRPr="00BD60F8">
        <w:t xml:space="preserve"> </w:t>
      </w:r>
      <w:r w:rsidRPr="00BD60F8">
        <w:rPr>
          <w:szCs w:val="18"/>
        </w:rPr>
        <w:t>appears only in Daniel 2, regarding Nebuchadnezzar’s dream, and in some of the apocryphal books, mainly Ben Sirach and Wisdom.</w:t>
      </w:r>
    </w:p>
  </w:endnote>
  <w:endnote w:id="2295">
    <w:p w:rsidR="00975183" w:rsidRDefault="00975183" w:rsidP="006A2E06">
      <w:pPr>
        <w:pStyle w:val="EndnoteText"/>
      </w:pPr>
      <w:r w:rsidRPr="00BD60F8">
        <w:rPr>
          <w:rStyle w:val="FootnoteReference"/>
          <w:szCs w:val="18"/>
        </w:rPr>
        <w:endnoteRef/>
      </w:r>
      <w:r w:rsidRPr="00BD60F8">
        <w:rPr>
          <w:szCs w:val="18"/>
        </w:rPr>
        <w:t xml:space="preserve"> </w:t>
      </w:r>
      <w:proofErr w:type="gramStart"/>
      <w:r w:rsidRPr="00BD60F8">
        <w:rPr>
          <w:szCs w:val="18"/>
        </w:rPr>
        <w:t>The sower.</w:t>
      </w:r>
      <w:proofErr w:type="gramEnd"/>
    </w:p>
  </w:endnote>
  <w:endnote w:id="2296">
    <w:p w:rsidR="00975183" w:rsidRDefault="00975183" w:rsidP="006A2E06">
      <w:pPr>
        <w:pStyle w:val="EndnoteText"/>
      </w:pPr>
      <w:r w:rsidRPr="00BD60F8">
        <w:rPr>
          <w:rStyle w:val="FootnoteReference"/>
          <w:szCs w:val="18"/>
        </w:rPr>
        <w:endnoteRef/>
      </w:r>
      <w:r w:rsidRPr="00BD60F8">
        <w:rPr>
          <w:szCs w:val="18"/>
        </w:rPr>
        <w:t xml:space="preserve"> ‘The kingdom of the heavens is like …</w:t>
      </w:r>
      <w:proofErr w:type="gramStart"/>
      <w:r w:rsidRPr="00BD60F8">
        <w:rPr>
          <w:szCs w:val="18"/>
        </w:rPr>
        <w:t>’,</w:t>
      </w:r>
      <w:proofErr w:type="gramEnd"/>
      <w:r w:rsidRPr="00BD60F8">
        <w:rPr>
          <w:szCs w:val="18"/>
        </w:rPr>
        <w:t xml:space="preserve"> Mt. 13: 24, referring to the man who sowed good seed and whose crop was spoiled by the enemy who planted seeds for weeds, i.e. ‘the parable of the wheat and tares’.</w:t>
      </w:r>
    </w:p>
  </w:endnote>
  <w:endnote w:id="2297">
    <w:p w:rsidR="00975183" w:rsidRDefault="00975183" w:rsidP="006A2E06">
      <w:pPr>
        <w:pStyle w:val="EndnoteText"/>
        <w:rPr>
          <w:szCs w:val="18"/>
        </w:rPr>
      </w:pPr>
      <w:r w:rsidRPr="00BD60F8">
        <w:rPr>
          <w:rStyle w:val="FootnoteReference"/>
          <w:szCs w:val="18"/>
        </w:rPr>
        <w:endnoteRef/>
      </w:r>
      <w:r w:rsidRPr="00BD60F8">
        <w:rPr>
          <w:szCs w:val="18"/>
        </w:rPr>
        <w:t xml:space="preserve"> ‘The kingdom of the heavens is like …’, Mt. 13:31, concerning the mustard seed; Mt. 13:33, concerning the leaven; Mt. 13:44, concerning the treasure in the field; Mt. 13:45, concerning the merchant and the pearl; </w:t>
      </w:r>
    </w:p>
    <w:p w:rsidR="00975183" w:rsidRDefault="00975183" w:rsidP="006A2E06">
      <w:pPr>
        <w:pStyle w:val="EndnoteText"/>
      </w:pPr>
      <w:r w:rsidRPr="00BD60F8">
        <w:rPr>
          <w:szCs w:val="18"/>
        </w:rPr>
        <w:t>Mt. 13:47, concerning the net.</w:t>
      </w:r>
    </w:p>
  </w:endnote>
  <w:endnote w:id="2298">
    <w:p w:rsidR="00975183" w:rsidRPr="006A4363" w:rsidRDefault="00975183" w:rsidP="006A2E06">
      <w:pPr>
        <w:pStyle w:val="EndnoteText"/>
      </w:pPr>
      <w:r w:rsidRPr="006A4363">
        <w:rPr>
          <w:rStyle w:val="EndnoteReference"/>
        </w:rPr>
        <w:endnoteRef/>
      </w:r>
      <w:r w:rsidRPr="006A4363">
        <w:t xml:space="preserve"> </w:t>
      </w:r>
      <w:proofErr w:type="gramStart"/>
      <w:r w:rsidRPr="006A4363">
        <w:t>70 C.E.</w:t>
      </w:r>
      <w:proofErr w:type="gramEnd"/>
    </w:p>
  </w:endnote>
  <w:endnote w:id="2299">
    <w:p w:rsidR="00975183" w:rsidRDefault="00975183" w:rsidP="006A2E06">
      <w:pPr>
        <w:pStyle w:val="EndnoteText"/>
      </w:pPr>
      <w:r w:rsidRPr="00BD60F8">
        <w:rPr>
          <w:rStyle w:val="FootnoteReference"/>
          <w:szCs w:val="18"/>
        </w:rPr>
        <w:endnoteRef/>
      </w:r>
      <w:r w:rsidRPr="00BD60F8">
        <w:rPr>
          <w:szCs w:val="18"/>
        </w:rPr>
        <w:t xml:space="preserve"> </w:t>
      </w:r>
      <w:r w:rsidRPr="00BD60F8">
        <w:rPr>
          <w:i/>
          <w:szCs w:val="18"/>
        </w:rPr>
        <w:t>SRB</w:t>
      </w:r>
      <w:r w:rsidRPr="00BD60F8">
        <w:rPr>
          <w:szCs w:val="18"/>
        </w:rPr>
        <w:t xml:space="preserve"> note on Dan. 9:24, p. 914.</w:t>
      </w:r>
    </w:p>
  </w:endnote>
  <w:endnote w:id="2300">
    <w:p w:rsidR="00975183" w:rsidRPr="006A4363" w:rsidRDefault="00975183" w:rsidP="006A2E06">
      <w:pPr>
        <w:pStyle w:val="EndnoteText"/>
      </w:pPr>
      <w:r w:rsidRPr="006A4363">
        <w:rPr>
          <w:rStyle w:val="EndnoteReference"/>
        </w:rPr>
        <w:endnoteRef/>
      </w:r>
      <w:r w:rsidRPr="006A4363">
        <w:t xml:space="preserve"> </w:t>
      </w:r>
      <w:r w:rsidRPr="001F1635">
        <w:rPr>
          <w:i/>
          <w:lang w:eastAsia="en-GB"/>
        </w:rPr>
        <w:t>SRB</w:t>
      </w:r>
      <w:r>
        <w:rPr>
          <w:lang w:eastAsia="en-GB"/>
        </w:rPr>
        <w:t xml:space="preserve"> n</w:t>
      </w:r>
      <w:r w:rsidRPr="006A4363">
        <w:rPr>
          <w:lang w:eastAsia="en-GB"/>
        </w:rPr>
        <w:t xml:space="preserve">ote on 1 Cor. 15:24, </w:t>
      </w:r>
      <w:r w:rsidRPr="006A4363">
        <w:t>p. 1226</w:t>
      </w:r>
      <w:r w:rsidRPr="006A4363">
        <w:rPr>
          <w:lang w:eastAsia="en-GB"/>
        </w:rPr>
        <w:t xml:space="preserve">. </w:t>
      </w:r>
      <w:r w:rsidRPr="006A4363">
        <w:t xml:space="preserve"> </w:t>
      </w:r>
    </w:p>
  </w:endnote>
  <w:endnote w:id="2301">
    <w:p w:rsidR="00975183" w:rsidRPr="006A4363" w:rsidRDefault="00975183" w:rsidP="006A2E06">
      <w:pPr>
        <w:pStyle w:val="EndnoteText"/>
      </w:pPr>
      <w:r w:rsidRPr="006A4363">
        <w:rPr>
          <w:rStyle w:val="EndnoteReference"/>
        </w:rPr>
        <w:endnoteRef/>
      </w:r>
      <w:r w:rsidRPr="006A4363">
        <w:t xml:space="preserve"> </w:t>
      </w:r>
      <w:r w:rsidRPr="006A4363">
        <w:rPr>
          <w:i/>
        </w:rPr>
        <w:t>SRB</w:t>
      </w:r>
      <w:r>
        <w:t xml:space="preserve"> note on Mt. 6:33, p. 1003</w:t>
      </w:r>
      <w:r w:rsidRPr="006A4363">
        <w:t xml:space="preserve">.  Ref. Mt. 13:3.  </w:t>
      </w:r>
    </w:p>
  </w:endnote>
  <w:endnote w:id="2302">
    <w:p w:rsidR="00975183" w:rsidRPr="006A4363" w:rsidRDefault="00975183" w:rsidP="006A2E06">
      <w:pPr>
        <w:pStyle w:val="EndnoteText"/>
      </w:pPr>
      <w:r w:rsidRPr="006A4363">
        <w:rPr>
          <w:rStyle w:val="EndnoteReference"/>
        </w:rPr>
        <w:endnoteRef/>
      </w:r>
      <w:r w:rsidRPr="006A4363">
        <w:t xml:space="preserve"> </w:t>
      </w:r>
      <w:r w:rsidRPr="006A4363">
        <w:rPr>
          <w:i/>
        </w:rPr>
        <w:t>SRB</w:t>
      </w:r>
      <w:r w:rsidRPr="006A4363">
        <w:t xml:space="preserve"> note on Mt. 3:2, p. 996.  </w:t>
      </w:r>
    </w:p>
  </w:endnote>
  <w:endnote w:id="2303">
    <w:p w:rsidR="00975183" w:rsidRPr="00F73FDE" w:rsidRDefault="00975183" w:rsidP="006A2E06">
      <w:pPr>
        <w:pStyle w:val="EndnoteText"/>
      </w:pPr>
      <w:r w:rsidRPr="006A4363">
        <w:rPr>
          <w:rStyle w:val="EndnoteReference"/>
        </w:rPr>
        <w:endnoteRef/>
      </w:r>
      <w:r w:rsidRPr="006A4363">
        <w:t xml:space="preserve"> </w:t>
      </w:r>
      <w:r w:rsidRPr="001F1635">
        <w:rPr>
          <w:i/>
          <w:lang w:eastAsia="en-GB"/>
        </w:rPr>
        <w:t>SRB</w:t>
      </w:r>
      <w:r>
        <w:rPr>
          <w:lang w:eastAsia="en-GB"/>
        </w:rPr>
        <w:t xml:space="preserve"> n</w:t>
      </w:r>
      <w:r w:rsidRPr="006A4363">
        <w:rPr>
          <w:lang w:eastAsia="en-GB"/>
        </w:rPr>
        <w:t xml:space="preserve">ote on Mt. 13:3, </w:t>
      </w:r>
      <w:r w:rsidRPr="006A4363">
        <w:t>p. 1014</w:t>
      </w:r>
      <w:r w:rsidRPr="006A4363">
        <w:rPr>
          <w:lang w:eastAsia="en-GB"/>
        </w:rPr>
        <w:t xml:space="preserve">. </w:t>
      </w:r>
      <w:r w:rsidRPr="006A4363">
        <w:t xml:space="preserve"> </w:t>
      </w:r>
      <w:proofErr w:type="gramStart"/>
      <w:r w:rsidRPr="00F73FDE">
        <w:rPr>
          <w:b/>
        </w:rPr>
        <w:t>See 5.6.1</w:t>
      </w:r>
      <w:r w:rsidRPr="00F73FDE">
        <w:t>.</w:t>
      </w:r>
      <w:proofErr w:type="gramEnd"/>
    </w:p>
  </w:endnote>
  <w:endnote w:id="2304">
    <w:p w:rsidR="00975183" w:rsidRPr="00F73FDE" w:rsidRDefault="00975183" w:rsidP="006A2E06">
      <w:pPr>
        <w:pStyle w:val="EndnoteText"/>
      </w:pPr>
      <w:r w:rsidRPr="00F73FDE">
        <w:rPr>
          <w:rStyle w:val="EndnoteReference"/>
        </w:rPr>
        <w:endnoteRef/>
      </w:r>
      <w:r w:rsidRPr="00F73FDE">
        <w:t xml:space="preserve"> </w:t>
      </w:r>
      <w:r w:rsidRPr="00F73FDE">
        <w:rPr>
          <w:i/>
          <w:lang w:eastAsia="en-GB"/>
        </w:rPr>
        <w:t>SRB</w:t>
      </w:r>
      <w:r w:rsidRPr="00F73FDE">
        <w:rPr>
          <w:lang w:eastAsia="en-GB"/>
        </w:rPr>
        <w:t xml:space="preserve"> note on </w:t>
      </w:r>
      <w:r w:rsidRPr="00F73FDE">
        <w:t>Mt. 13:24, p. 1015</w:t>
      </w:r>
      <w:r w:rsidRPr="00F73FDE">
        <w:rPr>
          <w:lang w:eastAsia="en-GB"/>
        </w:rPr>
        <w:t>.</w:t>
      </w:r>
      <w:r w:rsidRPr="00F73FDE">
        <w:t xml:space="preserve"> </w:t>
      </w:r>
    </w:p>
  </w:endnote>
  <w:endnote w:id="2305">
    <w:p w:rsidR="00975183" w:rsidRPr="00F73FDE" w:rsidRDefault="00975183" w:rsidP="006A2E06">
      <w:pPr>
        <w:pStyle w:val="EndnoteText"/>
      </w:pPr>
      <w:r w:rsidRPr="00F73FDE">
        <w:rPr>
          <w:rStyle w:val="EndnoteReference"/>
        </w:rPr>
        <w:endnoteRef/>
      </w:r>
      <w:r w:rsidRPr="00F73FDE">
        <w:t xml:space="preserve"> </w:t>
      </w:r>
      <w:r w:rsidRPr="00F73FDE">
        <w:rPr>
          <w:i/>
        </w:rPr>
        <w:t xml:space="preserve">SRB </w:t>
      </w:r>
      <w:r w:rsidRPr="00F73FDE">
        <w:t>note on Mt. 25:1, p. 1035.</w:t>
      </w:r>
    </w:p>
  </w:endnote>
  <w:endnote w:id="2306">
    <w:p w:rsidR="00975183" w:rsidRPr="00F73FDE" w:rsidRDefault="00975183" w:rsidP="006A2E06">
      <w:pPr>
        <w:pStyle w:val="EndnoteText"/>
      </w:pPr>
      <w:r w:rsidRPr="00F73FDE">
        <w:rPr>
          <w:rStyle w:val="EndnoteReference"/>
        </w:rPr>
        <w:endnoteRef/>
      </w:r>
      <w:r w:rsidRPr="00F73FDE">
        <w:t xml:space="preserve"> </w:t>
      </w:r>
      <w:r w:rsidRPr="00F73FDE">
        <w:rPr>
          <w:i/>
          <w:lang w:eastAsia="en-GB"/>
        </w:rPr>
        <w:t>SRB</w:t>
      </w:r>
      <w:r w:rsidRPr="00F73FDE">
        <w:rPr>
          <w:lang w:eastAsia="en-GB"/>
        </w:rPr>
        <w:t xml:space="preserve"> note on </w:t>
      </w:r>
      <w:r w:rsidRPr="00F73FDE">
        <w:t xml:space="preserve">Mt. 13:33, p. 1016.  </w:t>
      </w:r>
      <w:proofErr w:type="gramStart"/>
      <w:r w:rsidRPr="00F73FDE">
        <w:rPr>
          <w:b/>
        </w:rPr>
        <w:t>See 8.6.1</w:t>
      </w:r>
      <w:r w:rsidRPr="00F73FDE">
        <w:t>.</w:t>
      </w:r>
      <w:proofErr w:type="gramEnd"/>
      <w:r w:rsidRPr="00F73FDE">
        <w:t xml:space="preserve">  </w:t>
      </w:r>
      <w:r w:rsidRPr="00F73FDE">
        <w:rPr>
          <w:b/>
        </w:rPr>
        <w:t>See also 8.1.3</w:t>
      </w:r>
      <w:r w:rsidRPr="00F73FDE">
        <w:t>.</w:t>
      </w:r>
    </w:p>
  </w:endnote>
  <w:endnote w:id="2307">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note on Mt. 10:2, p. 1008.  </w:t>
      </w:r>
      <w:proofErr w:type="gramStart"/>
      <w:r w:rsidRPr="00F73FDE">
        <w:rPr>
          <w:b/>
        </w:rPr>
        <w:t>See 8.6.1</w:t>
      </w:r>
      <w:r w:rsidRPr="00F73FDE">
        <w:t>.</w:t>
      </w:r>
      <w:proofErr w:type="gramEnd"/>
    </w:p>
  </w:endnote>
  <w:endnote w:id="2308">
    <w:p w:rsidR="00975183" w:rsidRPr="00F73FDE" w:rsidRDefault="00975183" w:rsidP="006A2E06">
      <w:pPr>
        <w:pStyle w:val="EndnoteText"/>
      </w:pPr>
      <w:r w:rsidRPr="00F73FDE">
        <w:rPr>
          <w:rStyle w:val="EndnoteReference"/>
        </w:rPr>
        <w:endnoteRef/>
      </w:r>
      <w:r w:rsidRPr="00F73FDE">
        <w:t xml:space="preserve"> </w:t>
      </w:r>
      <w:r w:rsidRPr="00F73FDE">
        <w:rPr>
          <w:i/>
        </w:rPr>
        <w:t>SRB</w:t>
      </w:r>
      <w:r w:rsidRPr="00F73FDE">
        <w:t xml:space="preserve"> Introduction to Acts, p. 1147.  </w:t>
      </w:r>
    </w:p>
  </w:endnote>
  <w:endnote w:id="2309">
    <w:p w:rsidR="00975183" w:rsidRPr="00F73FDE" w:rsidRDefault="00975183" w:rsidP="006A2E06">
      <w:pPr>
        <w:pStyle w:val="EndnoteText"/>
      </w:pPr>
      <w:r w:rsidRPr="00F73FDE">
        <w:rPr>
          <w:rStyle w:val="EndnoteReference"/>
        </w:rPr>
        <w:endnoteRef/>
      </w:r>
      <w:r w:rsidRPr="00F73FDE">
        <w:t xml:space="preserve"> </w:t>
      </w:r>
      <w:r w:rsidRPr="00F73FDE">
        <w:rPr>
          <w:i/>
          <w:lang w:eastAsia="en-GB"/>
        </w:rPr>
        <w:t>SRB</w:t>
      </w:r>
      <w:r w:rsidRPr="00F73FDE">
        <w:rPr>
          <w:lang w:eastAsia="en-GB"/>
        </w:rPr>
        <w:t xml:space="preserve"> note on </w:t>
      </w:r>
      <w:r w:rsidRPr="00F73FDE">
        <w:t>Mt. 13:47, p. 1017</w:t>
      </w:r>
      <w:r w:rsidRPr="00F73FDE">
        <w:rPr>
          <w:lang w:eastAsia="en-GB"/>
        </w:rPr>
        <w:t>.</w:t>
      </w:r>
      <w:r w:rsidRPr="00F73FDE">
        <w:t xml:space="preserve">  </w:t>
      </w:r>
      <w:proofErr w:type="gramStart"/>
      <w:r w:rsidRPr="00F73FDE">
        <w:rPr>
          <w:b/>
        </w:rPr>
        <w:t>See 5.6.1</w:t>
      </w:r>
      <w:r w:rsidRPr="00F73FDE">
        <w:t>.</w:t>
      </w:r>
      <w:proofErr w:type="gramEnd"/>
      <w:r w:rsidRPr="00F73FDE">
        <w:t xml:space="preserve">  </w:t>
      </w:r>
    </w:p>
  </w:endnote>
  <w:endnote w:id="2310">
    <w:p w:rsidR="00975183" w:rsidRPr="00F73FDE" w:rsidRDefault="00975183" w:rsidP="006A2E06">
      <w:pPr>
        <w:pStyle w:val="EndnoteText"/>
      </w:pPr>
      <w:r w:rsidRPr="00F73FDE">
        <w:rPr>
          <w:rStyle w:val="EndnoteReference"/>
        </w:rPr>
        <w:endnoteRef/>
      </w:r>
      <w:r w:rsidRPr="00F73FDE">
        <w:t xml:space="preserve"> </w:t>
      </w:r>
      <w:proofErr w:type="gramStart"/>
      <w:r w:rsidRPr="00F73FDE">
        <w:rPr>
          <w:i/>
          <w:lang w:eastAsia="en-GB"/>
        </w:rPr>
        <w:t>SRB</w:t>
      </w:r>
      <w:r w:rsidRPr="00F73FDE">
        <w:rPr>
          <w:lang w:eastAsia="en-GB"/>
        </w:rPr>
        <w:t xml:space="preserve"> notes on </w:t>
      </w:r>
      <w:r w:rsidRPr="00F73FDE">
        <w:t>Mt. 6:33, p. 1003 and Lk. 17:21, p. 1100,</w:t>
      </w:r>
      <w:r w:rsidRPr="00F73FDE">
        <w:rPr>
          <w:lang w:eastAsia="en-GB"/>
        </w:rPr>
        <w:t xml:space="preserve"> referring to ‘outward show’as something which will ultimately occur in the kingdom of heaven yet to come.</w:t>
      </w:r>
      <w:proofErr w:type="gramEnd"/>
      <w:r w:rsidRPr="00F73FDE">
        <w:t xml:space="preserve">  </w:t>
      </w:r>
      <w:proofErr w:type="gramStart"/>
      <w:r w:rsidRPr="00F73FDE">
        <w:rPr>
          <w:b/>
        </w:rPr>
        <w:t>See 5.6.2</w:t>
      </w:r>
      <w:r w:rsidRPr="00F73FDE">
        <w:t>.</w:t>
      </w:r>
      <w:proofErr w:type="gramEnd"/>
    </w:p>
  </w:endnote>
  <w:endnote w:id="2311">
    <w:p w:rsidR="00975183" w:rsidRPr="00DF289B" w:rsidRDefault="00975183" w:rsidP="006A2E06">
      <w:pPr>
        <w:pStyle w:val="EndnoteText"/>
      </w:pPr>
      <w:r w:rsidRPr="00DF289B">
        <w:rPr>
          <w:rStyle w:val="EndnoteReference"/>
        </w:rPr>
        <w:endnoteRef/>
      </w:r>
      <w:r w:rsidRPr="00DF289B">
        <w:t xml:space="preserve"> </w:t>
      </w:r>
      <w:r>
        <w:t xml:space="preserve">Chafer, </w:t>
      </w:r>
      <w:r w:rsidRPr="00DF289B">
        <w:rPr>
          <w:i/>
        </w:rPr>
        <w:t>Major Bible Themes</w:t>
      </w:r>
      <w:r>
        <w:t>, pp. 275-6.</w:t>
      </w:r>
    </w:p>
  </w:endnote>
  <w:endnote w:id="2312">
    <w:p w:rsidR="00975183" w:rsidRPr="00B0291E" w:rsidRDefault="00975183" w:rsidP="006A2E06">
      <w:pPr>
        <w:pStyle w:val="EndnoteText"/>
      </w:pPr>
      <w:r w:rsidRPr="00B0291E">
        <w:rPr>
          <w:rStyle w:val="EndnoteReference"/>
        </w:rPr>
        <w:endnoteRef/>
      </w:r>
      <w:r w:rsidRPr="00B0291E">
        <w:t xml:space="preserve"> </w:t>
      </w:r>
      <w:r>
        <w:t xml:space="preserve">Ryrie, </w:t>
      </w:r>
      <w:r w:rsidRPr="00B0291E">
        <w:rPr>
          <w:i/>
        </w:rPr>
        <w:t>Dispensationalism Today</w:t>
      </w:r>
      <w:r>
        <w:t>, pp. 168-172.</w:t>
      </w:r>
    </w:p>
  </w:endnote>
  <w:endnote w:id="2313">
    <w:p w:rsidR="00975183" w:rsidRPr="004D6AA2" w:rsidRDefault="00975183" w:rsidP="006A2E06">
      <w:pPr>
        <w:pStyle w:val="EndnoteText"/>
      </w:pPr>
      <w:r w:rsidRPr="004D6AA2">
        <w:rPr>
          <w:rStyle w:val="EndnoteReference"/>
        </w:rPr>
        <w:endnoteRef/>
      </w:r>
      <w:r w:rsidRPr="004D6AA2">
        <w:t xml:space="preserve"> </w:t>
      </w:r>
      <w:proofErr w:type="gramStart"/>
      <w:r w:rsidRPr="004D6AA2">
        <w:t xml:space="preserve">Alva J. McClain, ‘The Greatness of the Kingdom’, </w:t>
      </w:r>
      <w:r w:rsidRPr="004D6AA2">
        <w:rPr>
          <w:i/>
          <w:iCs/>
        </w:rPr>
        <w:t>Bibliotheca Sacra,</w:t>
      </w:r>
      <w:r w:rsidRPr="004D6AA2">
        <w:t xml:space="preserve"> 112:445 (Jan. 1955), p</w:t>
      </w:r>
      <w:r>
        <w:t>p</w:t>
      </w:r>
      <w:r w:rsidRPr="004D6AA2">
        <w:t xml:space="preserve">. </w:t>
      </w:r>
      <w:r>
        <w:t>14, 15.</w:t>
      </w:r>
      <w:proofErr w:type="gramEnd"/>
    </w:p>
  </w:endnote>
  <w:endnote w:id="2314">
    <w:p w:rsidR="00975183" w:rsidRDefault="00975183" w:rsidP="006A2E06">
      <w:pPr>
        <w:pStyle w:val="EndnoteText"/>
      </w:pPr>
      <w:r w:rsidRPr="00434506">
        <w:rPr>
          <w:rStyle w:val="EndnoteReference"/>
        </w:rPr>
        <w:endnoteRef/>
      </w:r>
      <w:r w:rsidRPr="00434506">
        <w:t xml:space="preserve"> </w:t>
      </w:r>
      <w:proofErr w:type="gramStart"/>
      <w:r w:rsidRPr="00434506">
        <w:t>McClain</w:t>
      </w:r>
      <w:r>
        <w:t xml:space="preserve">, ‘Greatness of Kingdom’, </w:t>
      </w:r>
      <w:r w:rsidRPr="00434506">
        <w:rPr>
          <w:i/>
        </w:rPr>
        <w:t>Bib. Sac</w:t>
      </w:r>
      <w:r>
        <w:t>.</w:t>
      </w:r>
      <w:proofErr w:type="gramEnd"/>
      <w:r>
        <w:t xml:space="preserve"> 112:445, pp. 16-18.</w:t>
      </w:r>
    </w:p>
  </w:endnote>
  <w:endnote w:id="2315">
    <w:p w:rsidR="00975183" w:rsidRDefault="00975183" w:rsidP="006A2E06">
      <w:pPr>
        <w:pStyle w:val="EndnoteText"/>
      </w:pPr>
      <w:r w:rsidRPr="00434506">
        <w:rPr>
          <w:rStyle w:val="EndnoteReference"/>
        </w:rPr>
        <w:endnoteRef/>
      </w:r>
      <w:r w:rsidRPr="00434506">
        <w:t xml:space="preserve"> </w:t>
      </w:r>
      <w:proofErr w:type="gramStart"/>
      <w:r w:rsidRPr="00434506">
        <w:t>McClain</w:t>
      </w:r>
      <w:r>
        <w:t xml:space="preserve">, ‘Greatness of Kingdom’, </w:t>
      </w:r>
      <w:r w:rsidRPr="00434506">
        <w:rPr>
          <w:i/>
        </w:rPr>
        <w:t>Bib. Sac</w:t>
      </w:r>
      <w:r>
        <w:t>.</w:t>
      </w:r>
      <w:proofErr w:type="gramEnd"/>
      <w:r>
        <w:t xml:space="preserve"> </w:t>
      </w:r>
      <w:proofErr w:type="gramStart"/>
      <w:r>
        <w:t>112:445, pp. 18, 20.</w:t>
      </w:r>
      <w:proofErr w:type="gramEnd"/>
    </w:p>
  </w:endnote>
  <w:endnote w:id="2316">
    <w:p w:rsidR="00975183" w:rsidRDefault="00975183" w:rsidP="006A2E06">
      <w:pPr>
        <w:pStyle w:val="EndnoteText"/>
      </w:pPr>
      <w:r w:rsidRPr="00434506">
        <w:rPr>
          <w:rStyle w:val="EndnoteReference"/>
        </w:rPr>
        <w:endnoteRef/>
      </w:r>
      <w:r w:rsidRPr="00434506">
        <w:t xml:space="preserve"> </w:t>
      </w:r>
      <w:proofErr w:type="gramStart"/>
      <w:r w:rsidRPr="00434506">
        <w:t>McClain</w:t>
      </w:r>
      <w:r>
        <w:t xml:space="preserve">, ‘Greatness of Kingdom’, </w:t>
      </w:r>
      <w:r w:rsidRPr="00434506">
        <w:rPr>
          <w:i/>
        </w:rPr>
        <w:t>Bib. Sac</w:t>
      </w:r>
      <w:r>
        <w:t>.</w:t>
      </w:r>
      <w:proofErr w:type="gramEnd"/>
      <w:r>
        <w:t xml:space="preserve"> 112:448, (Oct. 1955), pp. 307-8.</w:t>
      </w:r>
    </w:p>
  </w:endnote>
  <w:endnote w:id="2317">
    <w:p w:rsidR="00975183" w:rsidRPr="00434506" w:rsidRDefault="00975183" w:rsidP="006A2E06">
      <w:pPr>
        <w:pStyle w:val="EndnoteText"/>
      </w:pPr>
      <w:r w:rsidRPr="00434506">
        <w:rPr>
          <w:rStyle w:val="EndnoteReference"/>
        </w:rPr>
        <w:endnoteRef/>
      </w:r>
      <w:r w:rsidRPr="00434506">
        <w:t xml:space="preserve"> </w:t>
      </w:r>
      <w:proofErr w:type="gramStart"/>
      <w:r w:rsidRPr="00434506">
        <w:t>McClain</w:t>
      </w:r>
      <w:r>
        <w:t xml:space="preserve">, ‘Greatness of Kingdom’, </w:t>
      </w:r>
      <w:r w:rsidRPr="00434506">
        <w:rPr>
          <w:i/>
        </w:rPr>
        <w:t>Bib. Sac</w:t>
      </w:r>
      <w:r>
        <w:t>.</w:t>
      </w:r>
      <w:proofErr w:type="gramEnd"/>
      <w:r>
        <w:t xml:space="preserve"> 112:445, pp. 16-18.</w:t>
      </w:r>
    </w:p>
  </w:endnote>
  <w:endnote w:id="2318">
    <w:p w:rsidR="00975183" w:rsidRPr="00CE5F46" w:rsidRDefault="00975183" w:rsidP="006A2E06">
      <w:pPr>
        <w:pStyle w:val="EndnoteText"/>
      </w:pPr>
      <w:r w:rsidRPr="00CE5F46">
        <w:rPr>
          <w:rStyle w:val="EndnoteReference"/>
        </w:rPr>
        <w:endnoteRef/>
      </w:r>
      <w:r w:rsidRPr="00CE5F46">
        <w:t xml:space="preserve"> </w:t>
      </w:r>
      <w:r>
        <w:t xml:space="preserve">Walvoord, </w:t>
      </w:r>
      <w:r w:rsidRPr="00CE5F46">
        <w:rPr>
          <w:i/>
        </w:rPr>
        <w:t>Millennial Kingdom</w:t>
      </w:r>
      <w:r>
        <w:t>, p. 171.</w:t>
      </w:r>
    </w:p>
  </w:endnote>
  <w:endnote w:id="2319">
    <w:p w:rsidR="00975183" w:rsidRPr="00963C69" w:rsidRDefault="00975183" w:rsidP="006A2E06">
      <w:pPr>
        <w:pStyle w:val="EndnoteText"/>
      </w:pPr>
      <w:r w:rsidRPr="00963C69">
        <w:rPr>
          <w:rStyle w:val="EndnoteReference"/>
        </w:rPr>
        <w:endnoteRef/>
      </w:r>
      <w:r w:rsidRPr="00963C69">
        <w:t xml:space="preserve"> </w:t>
      </w:r>
      <w:r>
        <w:t xml:space="preserve">Saucy, </w:t>
      </w:r>
      <w:r w:rsidRPr="00963C69">
        <w:rPr>
          <w:i/>
        </w:rPr>
        <w:t>Case for Progressive Dispensationalism</w:t>
      </w:r>
      <w:r>
        <w:t>, p. 27.</w:t>
      </w:r>
    </w:p>
  </w:endnote>
  <w:endnote w:id="2320">
    <w:p w:rsidR="00975183" w:rsidRDefault="00975183" w:rsidP="006A2E06">
      <w:pPr>
        <w:pStyle w:val="EndnoteText"/>
      </w:pPr>
      <w:r w:rsidRPr="00963C69">
        <w:rPr>
          <w:rStyle w:val="EndnoteReference"/>
        </w:rPr>
        <w:endnoteRef/>
      </w:r>
      <w:r w:rsidRPr="00963C69">
        <w:t xml:space="preserve"> </w:t>
      </w:r>
      <w:r>
        <w:t xml:space="preserve">Saucy, </w:t>
      </w:r>
      <w:r w:rsidRPr="00963C69">
        <w:rPr>
          <w:i/>
        </w:rPr>
        <w:t>Case for Progressive Dispensationalism</w:t>
      </w:r>
      <w:r>
        <w:t>, pp. 27-8.</w:t>
      </w:r>
    </w:p>
  </w:endnote>
  <w:endnote w:id="2321">
    <w:p w:rsidR="00975183" w:rsidRDefault="00975183" w:rsidP="006A2E06">
      <w:pPr>
        <w:pStyle w:val="EndnoteText"/>
      </w:pPr>
      <w:r w:rsidRPr="00E21CD2">
        <w:rPr>
          <w:rStyle w:val="FootnoteReference"/>
        </w:rPr>
        <w:endnoteRef/>
      </w:r>
      <w:r w:rsidRPr="00E21CD2">
        <w:t xml:space="preserve"> </w:t>
      </w:r>
      <w:r>
        <w:t xml:space="preserve">Blaising, ‘Extent and Varieties’, </w:t>
      </w:r>
      <w:r w:rsidRPr="00E21CD2">
        <w:rPr>
          <w:i/>
        </w:rPr>
        <w:t>Progressive Dispensationalism</w:t>
      </w:r>
      <w:r>
        <w:t>, p. 54.</w:t>
      </w:r>
    </w:p>
  </w:endnote>
  <w:endnote w:id="2322">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381.</w:t>
      </w:r>
    </w:p>
  </w:endnote>
  <w:endnote w:id="2323">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382.</w:t>
      </w:r>
    </w:p>
  </w:endnote>
  <w:endnote w:id="2324">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381.</w:t>
      </w:r>
    </w:p>
  </w:endnote>
  <w:endnote w:id="2325">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383.</w:t>
      </w:r>
    </w:p>
  </w:endnote>
  <w:endnote w:id="2326">
    <w:p w:rsidR="00975183" w:rsidRDefault="00975183" w:rsidP="006A2E06">
      <w:pPr>
        <w:pStyle w:val="EndnoteText"/>
      </w:pPr>
      <w:r w:rsidRPr="00E21CD2">
        <w:rPr>
          <w:rStyle w:val="FootnoteReference"/>
        </w:rPr>
        <w:endnoteRef/>
      </w:r>
      <w:r w:rsidRPr="00E21CD2">
        <w:t xml:space="preserve"> </w:t>
      </w:r>
      <w:r>
        <w:t xml:space="preserve">Blaising, ‘Extent and Varieties’, </w:t>
      </w:r>
      <w:r w:rsidRPr="00E21CD2">
        <w:rPr>
          <w:i/>
        </w:rPr>
        <w:t>Progressive Dispensationalism</w:t>
      </w:r>
      <w:r>
        <w:t>, p. 54.</w:t>
      </w:r>
    </w:p>
  </w:endnote>
  <w:endnote w:id="2327">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390.</w:t>
      </w:r>
    </w:p>
  </w:endnote>
  <w:endnote w:id="2328">
    <w:p w:rsidR="00975183" w:rsidRPr="001B0949" w:rsidRDefault="00975183" w:rsidP="006A2E06">
      <w:pPr>
        <w:pStyle w:val="EndnoteText"/>
      </w:pPr>
      <w:r w:rsidRPr="001B0949">
        <w:rPr>
          <w:rStyle w:val="EndnoteReference"/>
        </w:rPr>
        <w:endnoteRef/>
      </w:r>
      <w:r w:rsidRPr="001B0949">
        <w:t xml:space="preserve"> Craig Blaising, ‘</w:t>
      </w:r>
      <w:r w:rsidRPr="001B0949">
        <w:rPr>
          <w:rFonts w:cs="DejaVuSans"/>
          <w:lang w:eastAsia="en-GB"/>
        </w:rPr>
        <w:t xml:space="preserve">The Kingdom That Comes With Jesus: Premillennialism And The Harmony Of Scripture,’ </w:t>
      </w:r>
      <w:r w:rsidRPr="001B0949">
        <w:rPr>
          <w:rFonts w:cs="DejaVuSans"/>
          <w:i/>
          <w:lang w:eastAsia="en-GB"/>
        </w:rPr>
        <w:t>Southern Baptist Journal of Theology, SBTJ 14:1</w:t>
      </w:r>
      <w:r w:rsidRPr="001B0949">
        <w:rPr>
          <w:rFonts w:cs="DejaVuSans"/>
          <w:lang w:eastAsia="en-GB"/>
        </w:rPr>
        <w:t xml:space="preserve"> (</w:t>
      </w:r>
      <w:proofErr w:type="gramStart"/>
      <w:r w:rsidRPr="001B0949">
        <w:rPr>
          <w:rFonts w:cs="DejaVuSans"/>
          <w:lang w:eastAsia="en-GB"/>
        </w:rPr>
        <w:t>Spring</w:t>
      </w:r>
      <w:proofErr w:type="gramEnd"/>
      <w:r w:rsidRPr="001B0949">
        <w:rPr>
          <w:rFonts w:cs="DejaVuSans"/>
          <w:lang w:eastAsia="en-GB"/>
        </w:rPr>
        <w:t xml:space="preserve"> 2010), pp. 4-5.</w:t>
      </w:r>
    </w:p>
  </w:endnote>
  <w:endnote w:id="2329">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383.</w:t>
      </w:r>
    </w:p>
  </w:endnote>
  <w:endnote w:id="2330">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382.</w:t>
      </w:r>
    </w:p>
  </w:endnote>
  <w:endnote w:id="2331">
    <w:p w:rsidR="00975183" w:rsidRDefault="00975183" w:rsidP="006A2E06">
      <w:pPr>
        <w:pStyle w:val="EndnoteText"/>
      </w:pPr>
      <w:r w:rsidRPr="00963C69">
        <w:rPr>
          <w:rStyle w:val="EndnoteReference"/>
        </w:rPr>
        <w:endnoteRef/>
      </w:r>
      <w:r w:rsidRPr="00963C69">
        <w:t xml:space="preserve"> </w:t>
      </w:r>
      <w:r>
        <w:t xml:space="preserve">Saucy, </w:t>
      </w:r>
      <w:r w:rsidRPr="00963C69">
        <w:rPr>
          <w:i/>
        </w:rPr>
        <w:t>Case for Progressive Dispensationalism</w:t>
      </w:r>
      <w:r>
        <w:t xml:space="preserve">, p. 28.  </w:t>
      </w:r>
      <w:proofErr w:type="gramStart"/>
      <w:r>
        <w:t>(</w:t>
      </w:r>
      <w:r w:rsidRPr="00D15BC5">
        <w:rPr>
          <w:i/>
        </w:rPr>
        <w:t>Saucy’s emphases</w:t>
      </w:r>
      <w:r>
        <w:t>.)</w:t>
      </w:r>
      <w:proofErr w:type="gramEnd"/>
    </w:p>
  </w:endnote>
  <w:endnote w:id="2332">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382-3.</w:t>
      </w:r>
    </w:p>
  </w:endnote>
  <w:endnote w:id="2333">
    <w:p w:rsidR="00975183" w:rsidRDefault="00975183" w:rsidP="006A2E06">
      <w:pPr>
        <w:pStyle w:val="EndnoteText"/>
      </w:pPr>
      <w:r w:rsidRPr="00E21CD2">
        <w:rPr>
          <w:rStyle w:val="FootnoteReference"/>
        </w:rPr>
        <w:endnoteRef/>
      </w:r>
      <w:r w:rsidRPr="00E21CD2">
        <w:t xml:space="preserve"> </w:t>
      </w:r>
      <w:r>
        <w:t xml:space="preserve">Blaising, ‘Extent and Varieties’, </w:t>
      </w:r>
      <w:r w:rsidRPr="00E21CD2">
        <w:rPr>
          <w:i/>
        </w:rPr>
        <w:t>Progressive Dispensationalism</w:t>
      </w:r>
      <w:r>
        <w:t>, p. 54.</w:t>
      </w:r>
    </w:p>
  </w:endnote>
  <w:endnote w:id="2334">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383.</w:t>
      </w:r>
    </w:p>
  </w:endnote>
  <w:endnote w:id="2335">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pp. 383-4.</w:t>
      </w:r>
    </w:p>
  </w:endnote>
  <w:endnote w:id="2336">
    <w:p w:rsidR="00975183" w:rsidRDefault="00975183" w:rsidP="006A2E06">
      <w:pPr>
        <w:pStyle w:val="EndnoteText"/>
      </w:pPr>
      <w:r w:rsidRPr="0082406A">
        <w:rPr>
          <w:rStyle w:val="EndnoteReference"/>
        </w:rPr>
        <w:endnoteRef/>
      </w:r>
      <w:r w:rsidRPr="0082406A">
        <w:t xml:space="preserve"> Blaising</w:t>
      </w:r>
      <w:r>
        <w:t xml:space="preserve"> and Bock, ‘Dispensationalism, Israel and the Church: Assessment and Dialogue’, </w:t>
      </w:r>
      <w:r>
        <w:rPr>
          <w:i/>
        </w:rPr>
        <w:t>Dispensationalism, Israel and Church</w:t>
      </w:r>
      <w:r>
        <w:t>, p. 384.</w:t>
      </w:r>
    </w:p>
  </w:endnote>
  <w:endnote w:id="2337">
    <w:p w:rsidR="00975183" w:rsidRDefault="00975183" w:rsidP="006A2E06">
      <w:pPr>
        <w:pStyle w:val="EndnoteText"/>
      </w:pPr>
      <w:r w:rsidRPr="00963C69">
        <w:rPr>
          <w:rStyle w:val="EndnoteReference"/>
        </w:rPr>
        <w:endnoteRef/>
      </w:r>
      <w:r w:rsidRPr="00963C69">
        <w:t xml:space="preserve"> </w:t>
      </w:r>
      <w:r>
        <w:t xml:space="preserve">Saucy, </w:t>
      </w:r>
      <w:r w:rsidRPr="00963C69">
        <w:rPr>
          <w:i/>
        </w:rPr>
        <w:t>Case for Progressive Dispensationalism</w:t>
      </w:r>
      <w:r>
        <w:t xml:space="preserve">, pp. 28-9.  </w:t>
      </w:r>
      <w:proofErr w:type="gramStart"/>
      <w:r>
        <w:t>(</w:t>
      </w:r>
      <w:r w:rsidRPr="003C08DF">
        <w:rPr>
          <w:i/>
        </w:rPr>
        <w:t>Saucy’s emphasis</w:t>
      </w:r>
      <w:r>
        <w:t>.)</w:t>
      </w:r>
      <w:proofErr w:type="gramEnd"/>
    </w:p>
  </w:endnote>
  <w:endnote w:id="2338">
    <w:p w:rsidR="00975183" w:rsidRDefault="00975183" w:rsidP="006A2E06">
      <w:pPr>
        <w:pStyle w:val="EndnoteText"/>
      </w:pPr>
      <w:r w:rsidRPr="00145527">
        <w:rPr>
          <w:rStyle w:val="EndnoteReference"/>
        </w:rPr>
        <w:endnoteRef/>
      </w:r>
      <w:r w:rsidRPr="00145527">
        <w:t xml:space="preserve"> </w:t>
      </w:r>
      <w:proofErr w:type="gramStart"/>
      <w:r>
        <w:t xml:space="preserve">Chafer, </w:t>
      </w:r>
      <w:r w:rsidRPr="00145527">
        <w:rPr>
          <w:i/>
        </w:rPr>
        <w:t>Major Bible Themes</w:t>
      </w:r>
      <w:r>
        <w:t>, pp. 267, 279.</w:t>
      </w:r>
      <w:proofErr w:type="gramEnd"/>
    </w:p>
  </w:endnote>
  <w:endnote w:id="2339">
    <w:p w:rsidR="00975183" w:rsidRDefault="00975183" w:rsidP="006A2E06">
      <w:pPr>
        <w:pStyle w:val="EndnoteText"/>
      </w:pPr>
      <w:r w:rsidRPr="00145527">
        <w:rPr>
          <w:rStyle w:val="EndnoteReference"/>
        </w:rPr>
        <w:endnoteRef/>
      </w:r>
      <w:r w:rsidRPr="00145527">
        <w:t xml:space="preserve"> </w:t>
      </w:r>
      <w:r>
        <w:t xml:space="preserve">Chafer, </w:t>
      </w:r>
      <w:r>
        <w:rPr>
          <w:i/>
        </w:rPr>
        <w:t>Dispensationalism</w:t>
      </w:r>
      <w:r>
        <w:t>, pp. 24-5.</w:t>
      </w:r>
    </w:p>
  </w:endnote>
  <w:endnote w:id="2340">
    <w:p w:rsidR="00975183" w:rsidRDefault="00975183" w:rsidP="006A2E06">
      <w:pPr>
        <w:pStyle w:val="EndnoteText"/>
      </w:pPr>
      <w:r w:rsidRPr="00D44F7C">
        <w:rPr>
          <w:rStyle w:val="EndnoteReference"/>
        </w:rPr>
        <w:endnoteRef/>
      </w:r>
      <w:r w:rsidRPr="00D44F7C">
        <w:t xml:space="preserve"> </w:t>
      </w:r>
      <w:r>
        <w:t xml:space="preserve">Ryrie, </w:t>
      </w:r>
      <w:r w:rsidRPr="00D44F7C">
        <w:rPr>
          <w:i/>
        </w:rPr>
        <w:t>Dispensationalism Today</w:t>
      </w:r>
      <w:r>
        <w:t>, pp. 56, 133-4, 138, 142-3, 146.</w:t>
      </w:r>
    </w:p>
  </w:endnote>
  <w:endnote w:id="2341">
    <w:p w:rsidR="00975183" w:rsidRPr="008E57B9" w:rsidRDefault="00975183" w:rsidP="006A2E06">
      <w:pPr>
        <w:pStyle w:val="EndnoteText"/>
      </w:pPr>
      <w:r w:rsidRPr="008E57B9">
        <w:rPr>
          <w:rStyle w:val="EndnoteReference"/>
        </w:rPr>
        <w:endnoteRef/>
      </w:r>
      <w:r w:rsidRPr="008E57B9">
        <w:t xml:space="preserve"> </w:t>
      </w:r>
      <w:r>
        <w:t xml:space="preserve">Blaising, ‘Extent and Varieties’, </w:t>
      </w:r>
      <w:r w:rsidRPr="00E21CD2">
        <w:rPr>
          <w:i/>
        </w:rPr>
        <w:t>Progressive Dispensationalism</w:t>
      </w:r>
      <w:r>
        <w:t xml:space="preserve">, pp. 16, 48-50; ‘Dispensations in Biblical Theology’, </w:t>
      </w:r>
      <w:r w:rsidRPr="00E21CD2">
        <w:rPr>
          <w:i/>
        </w:rPr>
        <w:t>Progressive Dispensationalism</w:t>
      </w:r>
      <w:r>
        <w:t xml:space="preserve">, p. 158; ‘The Structure of Biblical Covenants’, </w:t>
      </w:r>
      <w:r w:rsidRPr="00E21CD2">
        <w:rPr>
          <w:i/>
        </w:rPr>
        <w:t>Progressive Dispensationalism</w:t>
      </w:r>
      <w:r>
        <w:t xml:space="preserve">, p. 158; ‘The Fulfilment of the Biblical Covenants Through Jesus Christ’, </w:t>
      </w:r>
      <w:r w:rsidRPr="00E21CD2">
        <w:rPr>
          <w:i/>
        </w:rPr>
        <w:t>Progressive Dispensationalism</w:t>
      </w:r>
      <w:r>
        <w:t xml:space="preserve">, pp. 190-91, 193; ‘The Kingdom of God in the Old Testament’, </w:t>
      </w:r>
      <w:r w:rsidRPr="00E21CD2">
        <w:rPr>
          <w:i/>
        </w:rPr>
        <w:t>Progressive Dispensationalism</w:t>
      </w:r>
      <w:r>
        <w:t xml:space="preserve">, pp. 222-5; ‘The Kingdom of God in the New Testament, </w:t>
      </w:r>
      <w:r w:rsidRPr="00E21CD2">
        <w:rPr>
          <w:i/>
        </w:rPr>
        <w:t>Progressive Dispensationalism</w:t>
      </w:r>
      <w:r>
        <w:t xml:space="preserve">, pp. 256, 279. </w:t>
      </w:r>
    </w:p>
  </w:endnote>
  <w:endnote w:id="2342">
    <w:p w:rsidR="00975183" w:rsidRPr="005A2B92" w:rsidRDefault="00975183" w:rsidP="006A2E06">
      <w:pPr>
        <w:pStyle w:val="EndnoteText"/>
      </w:pPr>
      <w:r w:rsidRPr="005A2B92">
        <w:rPr>
          <w:rStyle w:val="EndnoteReference"/>
        </w:rPr>
        <w:endnoteRef/>
      </w:r>
      <w:r w:rsidRPr="005A2B92">
        <w:t xml:space="preserve"> </w:t>
      </w:r>
      <w:proofErr w:type="gramStart"/>
      <w:r>
        <w:t xml:space="preserve">Saucy, ‘The Church as the Mystery of God’, </w:t>
      </w:r>
      <w:r w:rsidRPr="005A2B92">
        <w:rPr>
          <w:i/>
        </w:rPr>
        <w:t>Dispensationalism, Israel and Church</w:t>
      </w:r>
      <w:r>
        <w:t xml:space="preserve">, pp. 147, 149; </w:t>
      </w:r>
      <w:r w:rsidRPr="0052421C">
        <w:rPr>
          <w:i/>
        </w:rPr>
        <w:t>Case for Progressive Dispensationalism</w:t>
      </w:r>
      <w:r>
        <w:t>, pp. 123-4, 155-62, 163.</w:t>
      </w:r>
      <w:proofErr w:type="gramEnd"/>
    </w:p>
  </w:endnote>
  <w:endnote w:id="2343">
    <w:p w:rsidR="00975183" w:rsidRPr="0099353E" w:rsidRDefault="00975183" w:rsidP="006A2E06">
      <w:pPr>
        <w:pStyle w:val="EndnoteText"/>
      </w:pPr>
      <w:r w:rsidRPr="0099353E">
        <w:rPr>
          <w:rStyle w:val="EndnoteReference"/>
        </w:rPr>
        <w:endnoteRef/>
      </w:r>
      <w:r w:rsidRPr="0099353E">
        <w:t xml:space="preserve"> </w:t>
      </w:r>
      <w:r>
        <w:t xml:space="preserve">Blaising, ‘Extent and Varieties’, </w:t>
      </w:r>
      <w:r w:rsidRPr="00E21CD2">
        <w:rPr>
          <w:i/>
        </w:rPr>
        <w:t>Progressive Dispensationalism</w:t>
      </w:r>
      <w:r>
        <w:t xml:space="preserve">, pp. 19-20; ‘Theological and Ministerial Issues’, </w:t>
      </w:r>
      <w:r w:rsidRPr="00E21CD2">
        <w:rPr>
          <w:i/>
        </w:rPr>
        <w:t>Progressive Dispensationalism</w:t>
      </w:r>
      <w:r>
        <w:t>, p. 294.</w:t>
      </w:r>
    </w:p>
  </w:endnote>
  <w:endnote w:id="2344">
    <w:p w:rsidR="00975183" w:rsidRPr="00180D72" w:rsidRDefault="00975183" w:rsidP="006A2E06">
      <w:pPr>
        <w:pStyle w:val="EndnoteText"/>
      </w:pPr>
      <w:r w:rsidRPr="00180D72">
        <w:rPr>
          <w:rStyle w:val="EndnoteReference"/>
        </w:rPr>
        <w:endnoteRef/>
      </w:r>
      <w:r w:rsidRPr="00180D72">
        <w:t xml:space="preserve"> </w:t>
      </w:r>
      <w:r>
        <w:t xml:space="preserve">Chafer, </w:t>
      </w:r>
      <w:r w:rsidRPr="00180D72">
        <w:rPr>
          <w:i/>
        </w:rPr>
        <w:t>Major Bible Themes,</w:t>
      </w:r>
      <w:r>
        <w:t xml:space="preserve"> p. 279.</w:t>
      </w:r>
    </w:p>
  </w:endnote>
  <w:endnote w:id="2345">
    <w:p w:rsidR="00975183" w:rsidRPr="00743422" w:rsidRDefault="00975183" w:rsidP="006A2E06">
      <w:pPr>
        <w:pStyle w:val="EndnoteText"/>
      </w:pPr>
      <w:r w:rsidRPr="00743422">
        <w:rPr>
          <w:rStyle w:val="EndnoteReference"/>
        </w:rPr>
        <w:endnoteRef/>
      </w:r>
      <w:r w:rsidRPr="00743422">
        <w:t xml:space="preserve"> </w:t>
      </w:r>
      <w:r w:rsidRPr="006329CD">
        <w:rPr>
          <w:i/>
          <w:szCs w:val="18"/>
        </w:rPr>
        <w:t>SRB</w:t>
      </w:r>
      <w:r w:rsidRPr="006329CD">
        <w:rPr>
          <w:szCs w:val="18"/>
        </w:rPr>
        <w:t xml:space="preserve"> </w:t>
      </w:r>
      <w:r>
        <w:rPr>
          <w:szCs w:val="18"/>
        </w:rPr>
        <w:t>I</w:t>
      </w:r>
      <w:r w:rsidRPr="006329CD">
        <w:rPr>
          <w:szCs w:val="18"/>
        </w:rPr>
        <w:t>n</w:t>
      </w:r>
      <w:r>
        <w:rPr>
          <w:szCs w:val="18"/>
        </w:rPr>
        <w:t>troduction to the Pentateuch, p. 2.</w:t>
      </w:r>
    </w:p>
  </w:endnote>
  <w:endnote w:id="2346">
    <w:p w:rsidR="00975183" w:rsidRPr="003A7D18" w:rsidRDefault="00975183" w:rsidP="006A2E06">
      <w:pPr>
        <w:pStyle w:val="EndnoteText"/>
      </w:pPr>
      <w:r w:rsidRPr="003A7D18">
        <w:rPr>
          <w:rStyle w:val="EndnoteReference"/>
        </w:rPr>
        <w:endnoteRef/>
      </w:r>
      <w:r w:rsidRPr="003A7D18">
        <w:t xml:space="preserve"> </w:t>
      </w:r>
      <w:proofErr w:type="gramStart"/>
      <w:r w:rsidRPr="003A7D18">
        <w:rPr>
          <w:b/>
        </w:rPr>
        <w:t>See 8.1.6 below</w:t>
      </w:r>
      <w:r w:rsidRPr="003A7D18">
        <w:t>.</w:t>
      </w:r>
      <w:proofErr w:type="gramEnd"/>
    </w:p>
  </w:endnote>
  <w:endnote w:id="234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I</w:t>
      </w:r>
      <w:r w:rsidRPr="006329CD">
        <w:rPr>
          <w:szCs w:val="18"/>
        </w:rPr>
        <w:t>n</w:t>
      </w:r>
      <w:r>
        <w:rPr>
          <w:szCs w:val="18"/>
        </w:rPr>
        <w:t>troduction to Genesis, p. 3.</w:t>
      </w:r>
    </w:p>
  </w:endnote>
  <w:endnote w:id="2348">
    <w:p w:rsidR="00975183" w:rsidRPr="006E7F3D" w:rsidRDefault="00975183" w:rsidP="006A2E06">
      <w:pPr>
        <w:pStyle w:val="EndnoteText"/>
      </w:pPr>
      <w:r w:rsidRPr="006E7F3D">
        <w:rPr>
          <w:rStyle w:val="EndnoteReference"/>
        </w:rPr>
        <w:endnoteRef/>
      </w:r>
      <w:r w:rsidRPr="006E7F3D">
        <w:t xml:space="preserve"> </w:t>
      </w:r>
      <w:r w:rsidRPr="006F3395">
        <w:rPr>
          <w:b/>
        </w:rPr>
        <w:t>See Chapters 2 and 3</w:t>
      </w:r>
      <w:r>
        <w:t>.</w:t>
      </w:r>
    </w:p>
  </w:endnote>
  <w:endnote w:id="2349">
    <w:p w:rsidR="00975183" w:rsidRDefault="00975183" w:rsidP="006A2E06">
      <w:pPr>
        <w:pStyle w:val="EndnoteText"/>
      </w:pPr>
      <w:r w:rsidRPr="006E7F3D">
        <w:rPr>
          <w:rStyle w:val="EndnoteReference"/>
        </w:rPr>
        <w:endnoteRef/>
      </w:r>
      <w:r w:rsidRPr="006E7F3D">
        <w:t xml:space="preserve"> </w:t>
      </w:r>
      <w:r w:rsidRPr="006F3395">
        <w:rPr>
          <w:b/>
        </w:rPr>
        <w:t xml:space="preserve">See </w:t>
      </w:r>
      <w:r>
        <w:rPr>
          <w:b/>
        </w:rPr>
        <w:t>2.3</w:t>
      </w:r>
      <w:r w:rsidRPr="006F3395">
        <w:t>.</w:t>
      </w:r>
    </w:p>
  </w:endnote>
  <w:endnote w:id="2350">
    <w:p w:rsidR="00975183" w:rsidRDefault="00975183" w:rsidP="006A2E06">
      <w:pPr>
        <w:pStyle w:val="EndnoteText"/>
      </w:pPr>
      <w:r w:rsidRPr="006E7F3D">
        <w:rPr>
          <w:rStyle w:val="EndnoteReference"/>
        </w:rPr>
        <w:endnoteRef/>
      </w:r>
      <w:r w:rsidRPr="006E7F3D">
        <w:t xml:space="preserve"> </w:t>
      </w:r>
      <w:r w:rsidRPr="006F3395">
        <w:rPr>
          <w:b/>
        </w:rPr>
        <w:t xml:space="preserve">See </w:t>
      </w:r>
      <w:r w:rsidRPr="00207242">
        <w:rPr>
          <w:b/>
        </w:rPr>
        <w:t>Chapter 5</w:t>
      </w:r>
      <w:r w:rsidRPr="006F3395">
        <w:t>.</w:t>
      </w:r>
    </w:p>
  </w:endnote>
  <w:endnote w:id="2351">
    <w:p w:rsidR="00975183" w:rsidRDefault="00975183" w:rsidP="006A2E06">
      <w:pPr>
        <w:pStyle w:val="EndnoteText"/>
      </w:pPr>
      <w:r w:rsidRPr="006E7F3D">
        <w:rPr>
          <w:rStyle w:val="EndnoteReference"/>
        </w:rPr>
        <w:endnoteRef/>
      </w:r>
      <w:r w:rsidRPr="006E7F3D">
        <w:t xml:space="preserve"> </w:t>
      </w:r>
      <w:r w:rsidRPr="006F3395">
        <w:rPr>
          <w:b/>
        </w:rPr>
        <w:t>See Chapter 4</w:t>
      </w:r>
      <w:r w:rsidRPr="006F3395">
        <w:t>.</w:t>
      </w:r>
    </w:p>
  </w:endnote>
  <w:endnote w:id="2352">
    <w:p w:rsidR="00975183" w:rsidRPr="00B93A09" w:rsidRDefault="00975183" w:rsidP="006A2E06">
      <w:pPr>
        <w:pStyle w:val="EndnoteText"/>
      </w:pPr>
      <w:r w:rsidRPr="00B93A09">
        <w:rPr>
          <w:rStyle w:val="EndnoteReference"/>
        </w:rPr>
        <w:endnoteRef/>
      </w:r>
      <w:r w:rsidRPr="00B93A09">
        <w:t xml:space="preserve"> </w:t>
      </w:r>
      <w:proofErr w:type="gramStart"/>
      <w:r w:rsidRPr="00B93A09">
        <w:rPr>
          <w:i/>
        </w:rPr>
        <w:t>SRB</w:t>
      </w:r>
      <w:r>
        <w:t xml:space="preserve"> note on Gen. 1:1, p. 3.</w:t>
      </w:r>
      <w:proofErr w:type="gramEnd"/>
    </w:p>
  </w:endnote>
  <w:endnote w:id="2353">
    <w:p w:rsidR="00975183" w:rsidRPr="009176BB" w:rsidRDefault="00975183" w:rsidP="006A2E06">
      <w:pPr>
        <w:pStyle w:val="EndnoteText"/>
      </w:pPr>
      <w:r w:rsidRPr="009176BB">
        <w:rPr>
          <w:rStyle w:val="EndnoteReference"/>
        </w:rPr>
        <w:endnoteRef/>
      </w:r>
      <w:r w:rsidRPr="009176BB">
        <w:t xml:space="preserve"> Scofield’s typology was discussed in </w:t>
      </w:r>
      <w:r w:rsidRPr="006F3395">
        <w:t>Chapter 2</w:t>
      </w:r>
      <w:r w:rsidRPr="009176BB">
        <w:t>.</w:t>
      </w:r>
    </w:p>
  </w:endnote>
  <w:endnote w:id="2354">
    <w:p w:rsidR="00975183" w:rsidRDefault="00975183" w:rsidP="006A2E06">
      <w:pPr>
        <w:pStyle w:val="EndnoteText"/>
        <w:rPr>
          <w:szCs w:val="22"/>
        </w:rPr>
      </w:pPr>
      <w:r w:rsidRPr="006329CD">
        <w:rPr>
          <w:rStyle w:val="EndnoteReference"/>
          <w:szCs w:val="18"/>
        </w:rPr>
        <w:endnoteRef/>
      </w:r>
      <w:r w:rsidRPr="006329CD">
        <w:rPr>
          <w:szCs w:val="18"/>
        </w:rPr>
        <w:t xml:space="preserve"> </w:t>
      </w:r>
      <w:proofErr w:type="gramStart"/>
      <w:r w:rsidRPr="006329CD">
        <w:rPr>
          <w:i/>
          <w:szCs w:val="18"/>
        </w:rPr>
        <w:t xml:space="preserve">SRB </w:t>
      </w:r>
      <w:r w:rsidRPr="006329CD">
        <w:rPr>
          <w:szCs w:val="18"/>
        </w:rPr>
        <w:t xml:space="preserve">note on </w:t>
      </w:r>
      <w:r>
        <w:rPr>
          <w:szCs w:val="18"/>
        </w:rPr>
        <w:t xml:space="preserve">subhead to </w:t>
      </w:r>
      <w:r w:rsidRPr="006329CD">
        <w:rPr>
          <w:szCs w:val="18"/>
        </w:rPr>
        <w:t>Gen.</w:t>
      </w:r>
      <w:r>
        <w:rPr>
          <w:szCs w:val="18"/>
        </w:rPr>
        <w:t xml:space="preserve"> 1:28, p. 5.</w:t>
      </w:r>
      <w:proofErr w:type="gramEnd"/>
      <w:r>
        <w:rPr>
          <w:szCs w:val="18"/>
        </w:rPr>
        <w:t xml:space="preserve">  </w:t>
      </w:r>
      <w:r w:rsidRPr="009176BB">
        <w:rPr>
          <w:szCs w:val="22"/>
        </w:rPr>
        <w:t xml:space="preserve">A detailed discussion of dispensations and covenants appeared in </w:t>
      </w:r>
    </w:p>
    <w:p w:rsidR="00975183" w:rsidRPr="009176BB" w:rsidRDefault="00975183" w:rsidP="006A2E06">
      <w:pPr>
        <w:pStyle w:val="EndnoteText"/>
        <w:rPr>
          <w:sz w:val="18"/>
        </w:rPr>
      </w:pPr>
      <w:proofErr w:type="gramStart"/>
      <w:r w:rsidRPr="00207242">
        <w:rPr>
          <w:szCs w:val="22"/>
        </w:rPr>
        <w:t>Chapter 5</w:t>
      </w:r>
      <w:r w:rsidRPr="009176BB">
        <w:rPr>
          <w:szCs w:val="22"/>
        </w:rPr>
        <w:t>.</w:t>
      </w:r>
      <w:proofErr w:type="gramEnd"/>
    </w:p>
  </w:endnote>
  <w:endnote w:id="2355">
    <w:p w:rsidR="00975183" w:rsidRDefault="00975183" w:rsidP="006A2E06">
      <w:pPr>
        <w:pStyle w:val="EndnoteText"/>
      </w:pPr>
      <w:r w:rsidRPr="00646A40">
        <w:rPr>
          <w:rStyle w:val="FootnoteReference"/>
        </w:rPr>
        <w:endnoteRef/>
      </w:r>
      <w:r w:rsidRPr="00646A40">
        <w:t xml:space="preserve"> There are no notes on chapters 7 (the narrative concerning Noah);13 (Abram’s return from Egypt); 18 (Abraham, Sarah and the three visitors, including the prediction of the birth of Isaac); 20 (Abraham’s second prevarication about Sarah); 27 (Jacob’s theft of Esau’s blessing); 30 (the mothers of Jacob’s sons); 31 (Jacob’s flight); 33 (Jacob’s meeting with Esau); 34 (the rape of Dinah); 38 (Judah and his daughter-in-law); 39 (Joseph and Potiphar’s wife); 40 (Joseph’s dream interpretations); 42 and 44 (Joseph’s brothers in Egypt); 45 (Joseph revealing his identity); 47 (Jacob in Egypt); 48 (Jacob, Ephraim and Manasseh)</w:t>
      </w:r>
      <w:r>
        <w:t>;</w:t>
      </w:r>
      <w:r w:rsidRPr="00646A40">
        <w:t xml:space="preserve"> 50 (Burial of Jacob).</w:t>
      </w:r>
    </w:p>
  </w:endnote>
  <w:endnote w:id="235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Introduction to Exodus</w:t>
      </w:r>
      <w:r w:rsidRPr="006329CD">
        <w:rPr>
          <w:szCs w:val="18"/>
        </w:rPr>
        <w:t xml:space="preserve">, p. </w:t>
      </w:r>
      <w:r>
        <w:rPr>
          <w:szCs w:val="18"/>
        </w:rPr>
        <w:t>71</w:t>
      </w:r>
      <w:r w:rsidRPr="006329CD">
        <w:rPr>
          <w:szCs w:val="18"/>
        </w:rPr>
        <w:t>.</w:t>
      </w:r>
    </w:p>
  </w:endnote>
  <w:endnote w:id="2357">
    <w:p w:rsidR="00975183" w:rsidRPr="00444584" w:rsidRDefault="00975183" w:rsidP="006A2E06">
      <w:pPr>
        <w:pStyle w:val="EndnoteText"/>
      </w:pPr>
      <w:r w:rsidRPr="00444584">
        <w:rPr>
          <w:rStyle w:val="EndnoteReference"/>
        </w:rPr>
        <w:endnoteRef/>
      </w:r>
      <w:r w:rsidRPr="00444584">
        <w:t xml:space="preserve"> </w:t>
      </w:r>
      <w:r>
        <w:t xml:space="preserve">This is also explored in the </w:t>
      </w:r>
      <w:r w:rsidRPr="00444584">
        <w:rPr>
          <w:i/>
        </w:rPr>
        <w:t>SRB</w:t>
      </w:r>
      <w:r>
        <w:t xml:space="preserve"> note on Exod. 14:30, p. 88.</w:t>
      </w:r>
    </w:p>
  </w:endnote>
  <w:endnote w:id="2358">
    <w:p w:rsidR="00975183" w:rsidRDefault="00975183" w:rsidP="006A2E06">
      <w:pPr>
        <w:pStyle w:val="EndnoteText"/>
      </w:pPr>
      <w:r w:rsidRPr="009068B7">
        <w:rPr>
          <w:rStyle w:val="EndnoteReference"/>
        </w:rPr>
        <w:endnoteRef/>
      </w:r>
      <w:r w:rsidRPr="009068B7">
        <w:t xml:space="preserve"> </w:t>
      </w:r>
      <w:r w:rsidRPr="006F3395">
        <w:rPr>
          <w:b/>
        </w:rPr>
        <w:t>See 2.3</w:t>
      </w:r>
      <w:r w:rsidRPr="006F3395">
        <w:t>.</w:t>
      </w:r>
    </w:p>
  </w:endnote>
  <w:endnote w:id="2359">
    <w:p w:rsidR="00975183" w:rsidRPr="006B32B4" w:rsidRDefault="00975183" w:rsidP="006A2E06">
      <w:pPr>
        <w:pStyle w:val="EndnoteText"/>
      </w:pPr>
      <w:r w:rsidRPr="006B32B4">
        <w:rPr>
          <w:rStyle w:val="EndnoteReference"/>
        </w:rPr>
        <w:endnoteRef/>
      </w:r>
      <w:r w:rsidRPr="006B32B4">
        <w:t xml:space="preserve"> </w:t>
      </w:r>
      <w:r w:rsidRPr="006B32B4">
        <w:rPr>
          <w:i/>
        </w:rPr>
        <w:t>SRB</w:t>
      </w:r>
      <w:r>
        <w:t xml:space="preserve"> note on Exod. 25:1, p. 100.  </w:t>
      </w:r>
      <w:r w:rsidRPr="006F3395">
        <w:rPr>
          <w:b/>
        </w:rPr>
        <w:t>See 2.3</w:t>
      </w:r>
      <w:r>
        <w:t>.</w:t>
      </w:r>
    </w:p>
  </w:endnote>
  <w:endnote w:id="2360">
    <w:p w:rsidR="00975183" w:rsidRDefault="00975183" w:rsidP="006A2E06">
      <w:pPr>
        <w:pStyle w:val="EndnoteText"/>
      </w:pPr>
      <w:r w:rsidRPr="006B32B4">
        <w:rPr>
          <w:rStyle w:val="EndnoteReference"/>
        </w:rPr>
        <w:endnoteRef/>
      </w:r>
      <w:r w:rsidRPr="006B32B4">
        <w:t xml:space="preserve"> </w:t>
      </w:r>
      <w:r>
        <w:t xml:space="preserve">For example, </w:t>
      </w:r>
      <w:r w:rsidRPr="006329CD">
        <w:rPr>
          <w:i/>
          <w:szCs w:val="18"/>
        </w:rPr>
        <w:t>SRB</w:t>
      </w:r>
      <w:r w:rsidRPr="006329CD">
        <w:rPr>
          <w:szCs w:val="18"/>
        </w:rPr>
        <w:t xml:space="preserve"> note</w:t>
      </w:r>
      <w:r>
        <w:rPr>
          <w:szCs w:val="18"/>
        </w:rPr>
        <w:t>s</w:t>
      </w:r>
      <w:r w:rsidRPr="006329CD">
        <w:rPr>
          <w:szCs w:val="18"/>
        </w:rPr>
        <w:t xml:space="preserve"> on </w:t>
      </w:r>
      <w:r>
        <w:rPr>
          <w:szCs w:val="18"/>
        </w:rPr>
        <w:t>Exod. 14:30, p. 88 (redemption); 19:1, p. 93 (</w:t>
      </w:r>
      <w:r w:rsidRPr="00CA5080">
        <w:rPr>
          <w:szCs w:val="22"/>
        </w:rPr>
        <w:t>application of the law to Christians</w:t>
      </w:r>
      <w:r>
        <w:rPr>
          <w:sz w:val="22"/>
          <w:szCs w:val="22"/>
        </w:rPr>
        <w:t xml:space="preserve">); 19:5, p. 93 </w:t>
      </w:r>
      <w:r w:rsidRPr="00CA5080">
        <w:rPr>
          <w:szCs w:val="22"/>
        </w:rPr>
        <w:t>(the difference between law and grace).</w:t>
      </w:r>
    </w:p>
  </w:endnote>
  <w:endnote w:id="2361">
    <w:p w:rsidR="00975183" w:rsidRDefault="00975183" w:rsidP="006A2E06">
      <w:pPr>
        <w:pStyle w:val="EndnoteText"/>
      </w:pPr>
      <w:r w:rsidRPr="00F40C6A">
        <w:rPr>
          <w:rStyle w:val="FootnoteReference"/>
        </w:rPr>
        <w:endnoteRef/>
      </w:r>
      <w:r w:rsidRPr="00F40C6A">
        <w:t xml:space="preserve"> Exodus 1, 3, 5, 6, 9-11.</w:t>
      </w:r>
    </w:p>
  </w:endnote>
  <w:endnote w:id="236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Pr>
          <w:szCs w:val="18"/>
        </w:rPr>
        <w:t xml:space="preserve">Exod. 12:11, </w:t>
      </w:r>
      <w:r w:rsidRPr="006329CD">
        <w:rPr>
          <w:szCs w:val="18"/>
        </w:rPr>
        <w:t xml:space="preserve">p. </w:t>
      </w:r>
      <w:r>
        <w:rPr>
          <w:szCs w:val="18"/>
        </w:rPr>
        <w:t>84.</w:t>
      </w:r>
    </w:p>
  </w:endnote>
  <w:endnote w:id="236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Leviticus, p. 126.</w:t>
      </w:r>
    </w:p>
  </w:endnote>
  <w:endnote w:id="2364">
    <w:p w:rsidR="00975183" w:rsidRPr="0058530B" w:rsidRDefault="00975183" w:rsidP="006A2E06">
      <w:pPr>
        <w:pStyle w:val="EndnoteText"/>
      </w:pPr>
      <w:r w:rsidRPr="0058530B">
        <w:rPr>
          <w:rStyle w:val="EndnoteReference"/>
        </w:rPr>
        <w:endnoteRef/>
      </w:r>
      <w:r w:rsidRPr="0058530B">
        <w:t xml:space="preserve"> </w:t>
      </w:r>
      <w:r w:rsidRPr="00743422">
        <w:rPr>
          <w:b/>
        </w:rPr>
        <w:t>See Introduction, e</w:t>
      </w:r>
      <w:proofErr w:type="gramStart"/>
      <w:r w:rsidRPr="00743422">
        <w:rPr>
          <w:b/>
        </w:rPr>
        <w:t>)  Themes</w:t>
      </w:r>
      <w:proofErr w:type="gramEnd"/>
      <w:r w:rsidRPr="00743422">
        <w:rPr>
          <w:b/>
        </w:rPr>
        <w:t xml:space="preserve"> in Subheads in the </w:t>
      </w:r>
      <w:r w:rsidRPr="00743422">
        <w:rPr>
          <w:b/>
          <w:i/>
        </w:rPr>
        <w:t>Scofield Reference Bible</w:t>
      </w:r>
      <w:r w:rsidRPr="00743422">
        <w:t>.</w:t>
      </w:r>
    </w:p>
  </w:endnote>
  <w:endnote w:id="2365">
    <w:p w:rsidR="00975183" w:rsidRPr="003E2D76" w:rsidRDefault="00975183" w:rsidP="006A2E06">
      <w:pPr>
        <w:pStyle w:val="EndnoteText"/>
        <w:rPr>
          <w:sz w:val="18"/>
        </w:rPr>
      </w:pPr>
      <w:r w:rsidRPr="003E2D76">
        <w:rPr>
          <w:rStyle w:val="EndnoteReference"/>
        </w:rPr>
        <w:endnoteRef/>
      </w:r>
      <w:r w:rsidRPr="003E2D76">
        <w:t xml:space="preserve"> </w:t>
      </w:r>
      <w:r>
        <w:t xml:space="preserve">Ref. </w:t>
      </w:r>
      <w:r w:rsidRPr="003E2D76">
        <w:t>Heb. 10:4</w:t>
      </w:r>
      <w:r>
        <w:t>.</w:t>
      </w:r>
    </w:p>
  </w:endnote>
  <w:endnote w:id="236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Lev. </w:t>
      </w:r>
      <w:r>
        <w:rPr>
          <w:szCs w:val="18"/>
        </w:rPr>
        <w:t>16:6</w:t>
      </w:r>
      <w:r w:rsidRPr="006329CD">
        <w:rPr>
          <w:szCs w:val="18"/>
        </w:rPr>
        <w:t>, p. 1</w:t>
      </w:r>
      <w:r>
        <w:rPr>
          <w:szCs w:val="18"/>
        </w:rPr>
        <w:t>48</w:t>
      </w:r>
      <w:r w:rsidRPr="006329CD">
        <w:rPr>
          <w:szCs w:val="18"/>
        </w:rPr>
        <w:t>.</w:t>
      </w:r>
    </w:p>
  </w:endnote>
  <w:endnote w:id="2367">
    <w:p w:rsidR="00975183" w:rsidRPr="003E2D76" w:rsidRDefault="00975183" w:rsidP="006A2E06">
      <w:pPr>
        <w:pStyle w:val="EndnoteText"/>
      </w:pPr>
      <w:r w:rsidRPr="003E2D76">
        <w:rPr>
          <w:rStyle w:val="EndnoteReference"/>
        </w:rPr>
        <w:endnoteRef/>
      </w:r>
      <w:r w:rsidRPr="003E2D76">
        <w:t xml:space="preserve"> Ref. Deut. 20:1-10</w:t>
      </w:r>
      <w:r>
        <w:t>.</w:t>
      </w:r>
    </w:p>
  </w:endnote>
  <w:endnote w:id="236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Lev. </w:t>
      </w:r>
      <w:r>
        <w:rPr>
          <w:szCs w:val="18"/>
        </w:rPr>
        <w:t>23:27</w:t>
      </w:r>
      <w:r w:rsidRPr="006329CD">
        <w:rPr>
          <w:szCs w:val="18"/>
        </w:rPr>
        <w:t>, p</w:t>
      </w:r>
      <w:r>
        <w:rPr>
          <w:szCs w:val="18"/>
        </w:rPr>
        <w:t>p</w:t>
      </w:r>
      <w:r w:rsidRPr="006329CD">
        <w:rPr>
          <w:szCs w:val="18"/>
        </w:rPr>
        <w:t>. 1</w:t>
      </w:r>
      <w:r>
        <w:rPr>
          <w:szCs w:val="18"/>
        </w:rPr>
        <w:t>57-8</w:t>
      </w:r>
      <w:r w:rsidRPr="006329CD">
        <w:rPr>
          <w:szCs w:val="18"/>
        </w:rPr>
        <w:t>.</w:t>
      </w:r>
    </w:p>
  </w:endnote>
  <w:endnote w:id="2369">
    <w:p w:rsidR="00975183" w:rsidRPr="00DD5073" w:rsidRDefault="00975183" w:rsidP="006A2E06">
      <w:pPr>
        <w:pStyle w:val="EndnoteText"/>
      </w:pPr>
      <w:r w:rsidRPr="00DD5073">
        <w:rPr>
          <w:rStyle w:val="EndnoteReference"/>
        </w:rPr>
        <w:endnoteRef/>
      </w:r>
      <w:r w:rsidRPr="00DD5073">
        <w:t xml:space="preserve"> Ref. Lev. 23:43.</w:t>
      </w:r>
    </w:p>
  </w:endnote>
  <w:endnote w:id="237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Lev. </w:t>
      </w:r>
      <w:r>
        <w:rPr>
          <w:szCs w:val="18"/>
        </w:rPr>
        <w:t>23:43</w:t>
      </w:r>
      <w:r w:rsidRPr="006329CD">
        <w:rPr>
          <w:szCs w:val="18"/>
        </w:rPr>
        <w:t xml:space="preserve">, p. </w:t>
      </w:r>
      <w:r>
        <w:rPr>
          <w:szCs w:val="18"/>
        </w:rPr>
        <w:t>158</w:t>
      </w:r>
      <w:r w:rsidRPr="006329CD">
        <w:rPr>
          <w:szCs w:val="18"/>
        </w:rPr>
        <w:t>.</w:t>
      </w:r>
    </w:p>
  </w:endnote>
  <w:endnote w:id="2371">
    <w:p w:rsidR="00975183" w:rsidRPr="00B30926" w:rsidRDefault="00975183" w:rsidP="006A2E06">
      <w:pPr>
        <w:pStyle w:val="EndnoteText"/>
      </w:pPr>
      <w:r w:rsidRPr="00B30926">
        <w:rPr>
          <w:rStyle w:val="EndnoteReference"/>
        </w:rPr>
        <w:endnoteRef/>
      </w:r>
      <w:r w:rsidRPr="00B30926">
        <w:t xml:space="preserve"> </w:t>
      </w:r>
      <w:r w:rsidRPr="00743422">
        <w:rPr>
          <w:b/>
        </w:rPr>
        <w:t>See Chapter 7</w:t>
      </w:r>
      <w:r w:rsidRPr="00743422">
        <w:t>.</w:t>
      </w:r>
    </w:p>
  </w:endnote>
  <w:endnote w:id="237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Lev. 7:11, p. 134.</w:t>
      </w:r>
    </w:p>
  </w:endnote>
  <w:endnote w:id="237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Lev. 16:6, p. 148.</w:t>
      </w:r>
    </w:p>
  </w:endnote>
  <w:endnote w:id="237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Lev. 17:11, p. 150.</w:t>
      </w:r>
    </w:p>
  </w:endnote>
  <w:endnote w:id="237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Lev. 11:2, p. 139.</w:t>
      </w:r>
    </w:p>
  </w:endnote>
  <w:endnote w:id="237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Numbers, p. 165</w:t>
      </w:r>
      <w:r w:rsidRPr="005D00B9">
        <w:rPr>
          <w:b/>
        </w:rPr>
        <w:t>.</w:t>
      </w:r>
    </w:p>
  </w:endnote>
  <w:endnote w:id="2377">
    <w:p w:rsidR="00975183" w:rsidRDefault="00975183" w:rsidP="006A2E06">
      <w:pPr>
        <w:pStyle w:val="EndnoteText"/>
      </w:pPr>
      <w:r w:rsidRPr="005D00B9">
        <w:rPr>
          <w:rStyle w:val="FootnoteReference"/>
        </w:rPr>
        <w:endnoteRef/>
      </w:r>
      <w:r w:rsidRPr="005D00B9">
        <w:t xml:space="preserve"> Ref. 1 </w:t>
      </w:r>
      <w:proofErr w:type="gramStart"/>
      <w:r w:rsidRPr="005D00B9">
        <w:t>Corinthians</w:t>
      </w:r>
      <w:proofErr w:type="gramEnd"/>
      <w:r w:rsidRPr="005D00B9">
        <w:t xml:space="preserve"> 12</w:t>
      </w:r>
      <w:r>
        <w:t xml:space="preserve"> as New Testament parallel.</w:t>
      </w:r>
    </w:p>
  </w:endnote>
  <w:endnote w:id="237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Num. 14:23, p. 185 and 15:1, p. 186.</w:t>
      </w:r>
    </w:p>
  </w:endnote>
  <w:endnote w:id="237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Num. 11:25, p. 182; 11:31, p. 182; 23:7, p. 198.</w:t>
      </w:r>
    </w:p>
  </w:endnote>
  <w:endnote w:id="238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Num. 19:2, p. 192, 20:8, p. 193 and 21:17, p. 195.</w:t>
      </w:r>
    </w:p>
  </w:endnote>
  <w:endnote w:id="238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Num. 20:8, p. 193.</w:t>
      </w:r>
    </w:p>
  </w:endnote>
  <w:endnote w:id="2382">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w:t>
      </w:r>
      <w:r>
        <w:rPr>
          <w:szCs w:val="18"/>
        </w:rPr>
        <w:t xml:space="preserve">Gen. 46:3, </w:t>
      </w:r>
      <w:r w:rsidRPr="006329CD">
        <w:rPr>
          <w:szCs w:val="18"/>
        </w:rPr>
        <w:t xml:space="preserve">p. </w:t>
      </w:r>
      <w:r>
        <w:rPr>
          <w:szCs w:val="18"/>
        </w:rPr>
        <w:t>65.</w:t>
      </w:r>
      <w:proofErr w:type="gramEnd"/>
      <w:r>
        <w:rPr>
          <w:szCs w:val="18"/>
        </w:rPr>
        <w:t xml:space="preserve">  </w:t>
      </w:r>
      <w:r>
        <w:rPr>
          <w:sz w:val="22"/>
          <w:szCs w:val="22"/>
        </w:rPr>
        <w:t>Here Scofield states that God’s directive will was that ‘the covenant family’ should be in Canaan (Gen. 26:1-5, 46:3) but it is ‘a touching instance of the permissive will of God’ to allow Jacob to follow his sons to Egypt, even though they were ‘out of His best’.  Other examples cited are ‘Israel’s choice of a king (1 Sam. 8:7-9)’, the ‘turning back from Kadesh (Deut. 1:19-22)’, the sending of the spies, and ‘the case of Balaam’.</w:t>
      </w:r>
    </w:p>
  </w:endnote>
  <w:endnote w:id="238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Pr>
          <w:szCs w:val="18"/>
        </w:rPr>
        <w:t xml:space="preserve">Num. 22:22, </w:t>
      </w:r>
      <w:r w:rsidRPr="006329CD">
        <w:rPr>
          <w:szCs w:val="18"/>
        </w:rPr>
        <w:t xml:space="preserve">p. </w:t>
      </w:r>
      <w:r>
        <w:rPr>
          <w:szCs w:val="18"/>
        </w:rPr>
        <w:t xml:space="preserve">196.  </w:t>
      </w:r>
      <w:proofErr w:type="gramStart"/>
      <w:r>
        <w:rPr>
          <w:szCs w:val="18"/>
        </w:rPr>
        <w:t xml:space="preserve">cf </w:t>
      </w:r>
      <w:r w:rsidRPr="00EA547D">
        <w:rPr>
          <w:i/>
          <w:szCs w:val="18"/>
        </w:rPr>
        <w:t>SRB</w:t>
      </w:r>
      <w:r>
        <w:rPr>
          <w:szCs w:val="18"/>
        </w:rPr>
        <w:t xml:space="preserve"> note on </w:t>
      </w:r>
      <w:r w:rsidRPr="00253079">
        <w:t>Jude v. 11, p. 1329.</w:t>
      </w:r>
      <w:proofErr w:type="gramEnd"/>
      <w:r w:rsidRPr="00253079">
        <w:t xml:space="preserve">  </w:t>
      </w:r>
    </w:p>
  </w:endnote>
  <w:endnote w:id="2384">
    <w:p w:rsidR="00975183" w:rsidRPr="0020471B" w:rsidRDefault="00975183" w:rsidP="006A2E06">
      <w:pPr>
        <w:pStyle w:val="EndnoteText"/>
      </w:pPr>
      <w:r w:rsidRPr="0020471B">
        <w:rPr>
          <w:rStyle w:val="EndnoteReference"/>
        </w:rPr>
        <w:endnoteRef/>
      </w:r>
      <w:r w:rsidRPr="0020471B">
        <w:t xml:space="preserve"> </w:t>
      </w:r>
      <w:r>
        <w:t xml:space="preserve">Scofield </w:t>
      </w:r>
      <w:r>
        <w:rPr>
          <w:sz w:val="22"/>
          <w:szCs w:val="22"/>
        </w:rPr>
        <w:t>only includes this in his summary of the Old Testament doctrine of the Holy Spirit in his note on Mal. 2:15, p. 899, where he states that the Spirit ‘[enables] men to receive and utter divine revelations’ and generally to be empowered.</w:t>
      </w:r>
      <w:r>
        <w:rPr>
          <w:rStyle w:val="EndnoteReference"/>
          <w:sz w:val="22"/>
          <w:szCs w:val="22"/>
        </w:rPr>
        <w:endnoteRef/>
      </w:r>
    </w:p>
  </w:endnote>
  <w:endnote w:id="2385">
    <w:p w:rsidR="00975183" w:rsidRPr="00BA4EB6" w:rsidRDefault="00975183" w:rsidP="006A2E06">
      <w:pPr>
        <w:pStyle w:val="EndnoteText"/>
      </w:pPr>
      <w:r w:rsidRPr="00BA4EB6">
        <w:rPr>
          <w:rStyle w:val="EndnoteReference"/>
        </w:rPr>
        <w:endnoteRef/>
      </w:r>
      <w:r w:rsidRPr="00BA4EB6">
        <w:t xml:space="preserve"> </w:t>
      </w:r>
      <w:r w:rsidRPr="00BA4EB6">
        <w:rPr>
          <w:i/>
        </w:rPr>
        <w:t>SRB</w:t>
      </w:r>
      <w:r w:rsidRPr="00BA4EB6">
        <w:t xml:space="preserve"> Introduction to Deuteronomy, p. 216.</w:t>
      </w:r>
    </w:p>
  </w:endnote>
  <w:endnote w:id="2386">
    <w:p w:rsidR="00975183" w:rsidRPr="003D6797" w:rsidRDefault="00975183" w:rsidP="006A2E06">
      <w:pPr>
        <w:pStyle w:val="EndnoteText"/>
        <w:rPr>
          <w:sz w:val="18"/>
        </w:rPr>
      </w:pPr>
      <w:r w:rsidRPr="003D6797">
        <w:rPr>
          <w:rStyle w:val="EndnoteReference"/>
        </w:rPr>
        <w:endnoteRef/>
      </w:r>
      <w:r w:rsidRPr="003D6797">
        <w:t xml:space="preserve"> </w:t>
      </w:r>
      <w:r>
        <w:t xml:space="preserve">Ref. </w:t>
      </w:r>
      <w:r w:rsidRPr="003D6797">
        <w:rPr>
          <w:szCs w:val="22"/>
        </w:rPr>
        <w:t>Deuteronomy 28</w:t>
      </w:r>
      <w:r>
        <w:rPr>
          <w:szCs w:val="22"/>
        </w:rPr>
        <w:t xml:space="preserve"> </w:t>
      </w:r>
      <w:r w:rsidRPr="00012B96">
        <w:rPr>
          <w:sz w:val="16"/>
          <w:szCs w:val="24"/>
        </w:rPr>
        <w:t>—</w:t>
      </w:r>
      <w:r>
        <w:rPr>
          <w:szCs w:val="22"/>
        </w:rPr>
        <w:t xml:space="preserve"> </w:t>
      </w:r>
      <w:r w:rsidRPr="003D6797">
        <w:rPr>
          <w:szCs w:val="22"/>
        </w:rPr>
        <w:t>30:9.</w:t>
      </w:r>
    </w:p>
  </w:endnote>
  <w:endnote w:id="2387">
    <w:p w:rsidR="00975183" w:rsidRPr="003D6797" w:rsidRDefault="00975183" w:rsidP="006A2E06">
      <w:pPr>
        <w:pStyle w:val="EndnoteText"/>
      </w:pPr>
      <w:r w:rsidRPr="003D6797">
        <w:rPr>
          <w:rStyle w:val="EndnoteReference"/>
        </w:rPr>
        <w:endnoteRef/>
      </w:r>
      <w:r w:rsidRPr="003D6797">
        <w:t xml:space="preserve"> </w:t>
      </w:r>
      <w:r>
        <w:t xml:space="preserve">Refs </w:t>
      </w:r>
      <w:r w:rsidRPr="003D6797">
        <w:rPr>
          <w:szCs w:val="22"/>
        </w:rPr>
        <w:t>Gen. 13:15; 15:7</w:t>
      </w:r>
      <w:r>
        <w:rPr>
          <w:szCs w:val="22"/>
        </w:rPr>
        <w:t>.</w:t>
      </w:r>
    </w:p>
  </w:endnote>
  <w:endnote w:id="2388">
    <w:p w:rsidR="00975183" w:rsidRDefault="00975183" w:rsidP="006A2E06">
      <w:pPr>
        <w:pStyle w:val="EndnoteText"/>
      </w:pPr>
      <w:r w:rsidRPr="005D00B9">
        <w:rPr>
          <w:rStyle w:val="FootnoteReference"/>
        </w:rPr>
        <w:endnoteRef/>
      </w:r>
      <w:r w:rsidRPr="005D00B9">
        <w:t xml:space="preserve"> </w:t>
      </w:r>
      <w:proofErr w:type="gramStart"/>
      <w:r w:rsidRPr="005D00B9">
        <w:rPr>
          <w:i/>
        </w:rPr>
        <w:t>SRB</w:t>
      </w:r>
      <w:r w:rsidRPr="005D00B9">
        <w:t xml:space="preserve"> introduction to Deuteronomy, p. 216.</w:t>
      </w:r>
      <w:proofErr w:type="gramEnd"/>
    </w:p>
  </w:endnote>
  <w:endnote w:id="2389">
    <w:p w:rsidR="00975183" w:rsidRDefault="00975183" w:rsidP="006A2E06">
      <w:pPr>
        <w:pStyle w:val="EndnoteText"/>
      </w:pPr>
      <w:r w:rsidRPr="005D00B9">
        <w:rPr>
          <w:rStyle w:val="FootnoteReference"/>
        </w:rPr>
        <w:endnoteRef/>
      </w:r>
      <w:r w:rsidRPr="005D00B9">
        <w:t xml:space="preserve"> Deut. 30:2.</w:t>
      </w:r>
    </w:p>
  </w:endnote>
  <w:endnote w:id="2390">
    <w:p w:rsidR="00975183" w:rsidRPr="00207242" w:rsidRDefault="00975183" w:rsidP="006A2E06">
      <w:pPr>
        <w:pStyle w:val="EndnoteText"/>
      </w:pPr>
      <w:r w:rsidRPr="00D92AE9">
        <w:rPr>
          <w:rStyle w:val="FootnoteReference"/>
        </w:rPr>
        <w:endnoteRef/>
      </w:r>
      <w:r w:rsidRPr="00D92AE9">
        <w:t xml:space="preserve"> </w:t>
      </w:r>
      <w:proofErr w:type="gramStart"/>
      <w:r w:rsidRPr="00207242">
        <w:rPr>
          <w:b/>
        </w:rPr>
        <w:t>See 5.5.1.</w:t>
      </w:r>
      <w:proofErr w:type="gramEnd"/>
    </w:p>
  </w:endnote>
  <w:endnote w:id="2391">
    <w:p w:rsidR="00975183" w:rsidRPr="00207242" w:rsidRDefault="00975183" w:rsidP="006A2E06">
      <w:pPr>
        <w:pStyle w:val="EndnoteText"/>
      </w:pPr>
      <w:r w:rsidRPr="00207242">
        <w:rPr>
          <w:rStyle w:val="EndnoteReference"/>
        </w:rPr>
        <w:endnoteRef/>
      </w:r>
      <w:r w:rsidRPr="00207242">
        <w:t xml:space="preserve"> Ref. Deut. 28:1 </w:t>
      </w:r>
      <w:r w:rsidRPr="00207242">
        <w:rPr>
          <w:sz w:val="16"/>
          <w:szCs w:val="24"/>
        </w:rPr>
        <w:t>—</w:t>
      </w:r>
      <w:r w:rsidRPr="00207242">
        <w:t xml:space="preserve"> 30:20</w:t>
      </w:r>
    </w:p>
  </w:endnote>
  <w:endnote w:id="2392">
    <w:p w:rsidR="00975183" w:rsidRPr="00207242" w:rsidRDefault="00975183" w:rsidP="006A2E06">
      <w:pPr>
        <w:pStyle w:val="EndnoteText"/>
      </w:pPr>
      <w:r w:rsidRPr="00207242">
        <w:rPr>
          <w:rStyle w:val="EndnoteReference"/>
        </w:rPr>
        <w:endnoteRef/>
      </w:r>
      <w:r w:rsidRPr="00207242">
        <w:t xml:space="preserve"> </w:t>
      </w:r>
      <w:r w:rsidRPr="00207242">
        <w:rPr>
          <w:i/>
        </w:rPr>
        <w:t>SRB</w:t>
      </w:r>
      <w:r w:rsidRPr="00207242">
        <w:t xml:space="preserve"> note on Deut. 16:6, p. 234.</w:t>
      </w:r>
    </w:p>
  </w:endnote>
  <w:endnote w:id="2393">
    <w:p w:rsidR="00975183" w:rsidRPr="00207242" w:rsidRDefault="00975183" w:rsidP="006A2E06">
      <w:pPr>
        <w:pStyle w:val="EndnoteText"/>
      </w:pPr>
      <w:r w:rsidRPr="00207242">
        <w:rPr>
          <w:rStyle w:val="EndnoteReference"/>
        </w:rPr>
        <w:endnoteRef/>
      </w:r>
      <w:r w:rsidRPr="00207242">
        <w:t xml:space="preserve"> </w:t>
      </w:r>
      <w:r w:rsidRPr="00207242">
        <w:rPr>
          <w:i/>
        </w:rPr>
        <w:t>SRB</w:t>
      </w:r>
      <w:r w:rsidRPr="00207242">
        <w:t xml:space="preserve"> note on Deut. 30:3, p. 250.</w:t>
      </w:r>
    </w:p>
  </w:endnote>
  <w:endnote w:id="2394">
    <w:p w:rsidR="00975183" w:rsidRPr="00207242" w:rsidRDefault="00975183" w:rsidP="006A2E06">
      <w:pPr>
        <w:pStyle w:val="EndnoteText"/>
      </w:pPr>
      <w:r w:rsidRPr="00207242">
        <w:rPr>
          <w:rStyle w:val="EndnoteReference"/>
        </w:rPr>
        <w:endnoteRef/>
      </w:r>
      <w:r w:rsidRPr="00207242">
        <w:t xml:space="preserve"> </w:t>
      </w:r>
      <w:r w:rsidRPr="00207242">
        <w:rPr>
          <w:i/>
        </w:rPr>
        <w:t>SRB</w:t>
      </w:r>
      <w:r w:rsidRPr="00207242">
        <w:t xml:space="preserve"> notes on Deut. 28:1, p. 245; 30:3, p. 250.  </w:t>
      </w:r>
      <w:proofErr w:type="gramStart"/>
      <w:r w:rsidRPr="00207242">
        <w:rPr>
          <w:b/>
        </w:rPr>
        <w:t>See 5.4.4</w:t>
      </w:r>
      <w:r w:rsidRPr="00207242">
        <w:t>.</w:t>
      </w:r>
      <w:proofErr w:type="gramEnd"/>
    </w:p>
  </w:endnote>
  <w:endnote w:id="2395">
    <w:p w:rsidR="00975183" w:rsidRDefault="00975183" w:rsidP="006A2E06">
      <w:pPr>
        <w:pStyle w:val="EndnoteText"/>
      </w:pPr>
      <w:r w:rsidRPr="00BA4EB6">
        <w:rPr>
          <w:rStyle w:val="EndnoteReference"/>
        </w:rPr>
        <w:endnoteRef/>
      </w:r>
      <w:r w:rsidRPr="00BA4EB6">
        <w:t xml:space="preserve"> </w:t>
      </w:r>
      <w:proofErr w:type="gramStart"/>
      <w:r w:rsidRPr="00BA4EB6">
        <w:rPr>
          <w:i/>
        </w:rPr>
        <w:t>SRB</w:t>
      </w:r>
      <w:r w:rsidRPr="00BA4EB6">
        <w:t xml:space="preserve"> </w:t>
      </w:r>
      <w:r>
        <w:t>Introduction to the Pentateuch</w:t>
      </w:r>
      <w:r w:rsidRPr="00BA4EB6">
        <w:t>, p</w:t>
      </w:r>
      <w:r w:rsidRPr="00054736">
        <w:rPr>
          <w:szCs w:val="22"/>
        </w:rPr>
        <w:t xml:space="preserve"> </w:t>
      </w:r>
      <w:r>
        <w:rPr>
          <w:szCs w:val="22"/>
        </w:rPr>
        <w:t>2.</w:t>
      </w:r>
      <w:proofErr w:type="gramEnd"/>
      <w:r>
        <w:rPr>
          <w:szCs w:val="22"/>
        </w:rPr>
        <w:t xml:space="preserve">  </w:t>
      </w:r>
    </w:p>
  </w:endnote>
  <w:endnote w:id="2396">
    <w:p w:rsidR="00975183" w:rsidRPr="00054736" w:rsidRDefault="00975183" w:rsidP="006A2E06">
      <w:pPr>
        <w:pStyle w:val="EndnoteText"/>
        <w:rPr>
          <w:sz w:val="18"/>
        </w:rPr>
      </w:pPr>
      <w:r w:rsidRPr="00054736">
        <w:rPr>
          <w:rStyle w:val="EndnoteReference"/>
        </w:rPr>
        <w:endnoteRef/>
      </w:r>
      <w:r w:rsidRPr="00054736">
        <w:t xml:space="preserve"> </w:t>
      </w:r>
      <w:r w:rsidRPr="005D4F43">
        <w:rPr>
          <w:i/>
          <w:szCs w:val="22"/>
        </w:rPr>
        <w:t>SRB</w:t>
      </w:r>
      <w:r w:rsidRPr="00054736">
        <w:rPr>
          <w:szCs w:val="22"/>
        </w:rPr>
        <w:t xml:space="preserve"> Introduction to Matthew, p. 993; </w:t>
      </w:r>
      <w:r w:rsidRPr="00054736">
        <w:rPr>
          <w:i/>
          <w:szCs w:val="22"/>
        </w:rPr>
        <w:t>SRB</w:t>
      </w:r>
      <w:r>
        <w:rPr>
          <w:szCs w:val="22"/>
        </w:rPr>
        <w:t xml:space="preserve"> notes on </w:t>
      </w:r>
      <w:r w:rsidRPr="00054736">
        <w:rPr>
          <w:szCs w:val="22"/>
        </w:rPr>
        <w:t xml:space="preserve">Mt. 5:17, p. 1000; Mt. 12:1, pp. 1011-2; Mt. 13:33, p. 1016 </w:t>
      </w:r>
      <w:r>
        <w:rPr>
          <w:szCs w:val="22"/>
        </w:rPr>
        <w:t>and Mt. 27:52, p. 1042.</w:t>
      </w:r>
    </w:p>
  </w:endnote>
  <w:endnote w:id="2397">
    <w:p w:rsidR="00975183" w:rsidRPr="00BB6DBF" w:rsidRDefault="00975183" w:rsidP="006A2E06">
      <w:pPr>
        <w:pStyle w:val="EndnoteText"/>
      </w:pPr>
      <w:r w:rsidRPr="00BB6DBF">
        <w:rPr>
          <w:rStyle w:val="EndnoteReference"/>
        </w:rPr>
        <w:endnoteRef/>
      </w:r>
      <w:r w:rsidRPr="00BB6DBF">
        <w:t xml:space="preserve"> </w:t>
      </w:r>
      <w:r w:rsidRPr="00BB6DBF">
        <w:rPr>
          <w:i/>
        </w:rPr>
        <w:t>SRB</w:t>
      </w:r>
      <w:r w:rsidRPr="00BB6DBF">
        <w:t xml:space="preserve"> notes on Jn 12:24, p. 1133; Jn 13:10, p. 1134</w:t>
      </w:r>
      <w:r>
        <w:t xml:space="preserve"> and</w:t>
      </w:r>
      <w:r w:rsidRPr="00BB6DBF">
        <w:t xml:space="preserve"> Jn 20:17, pp. 1143-4</w:t>
      </w:r>
      <w:r>
        <w:t>.</w:t>
      </w:r>
    </w:p>
  </w:endnote>
  <w:endnote w:id="2398">
    <w:p w:rsidR="00975183" w:rsidRPr="00954AA9" w:rsidRDefault="00975183" w:rsidP="006A2E06">
      <w:pPr>
        <w:pStyle w:val="EndnoteText"/>
      </w:pPr>
      <w:r w:rsidRPr="00954AA9">
        <w:rPr>
          <w:rStyle w:val="EndnoteReference"/>
        </w:rPr>
        <w:endnoteRef/>
      </w:r>
      <w:r w:rsidRPr="00954AA9">
        <w:t xml:space="preserve"> </w:t>
      </w:r>
      <w:r w:rsidRPr="00954AA9">
        <w:rPr>
          <w:i/>
        </w:rPr>
        <w:t>SRB</w:t>
      </w:r>
      <w:r w:rsidRPr="00954AA9">
        <w:t xml:space="preserve"> note on 1 Cor. 15:22, p. 1226.</w:t>
      </w:r>
    </w:p>
  </w:endnote>
  <w:endnote w:id="2399">
    <w:p w:rsidR="00975183" w:rsidRDefault="00975183" w:rsidP="006A2E06">
      <w:pPr>
        <w:pStyle w:val="EndnoteText"/>
      </w:pPr>
      <w:r w:rsidRPr="00954AA9">
        <w:rPr>
          <w:rStyle w:val="EndnoteReference"/>
        </w:rPr>
        <w:endnoteRef/>
      </w:r>
      <w:r w:rsidRPr="00954AA9">
        <w:t xml:space="preserve"> </w:t>
      </w:r>
      <w:r w:rsidRPr="00954AA9">
        <w:rPr>
          <w:i/>
        </w:rPr>
        <w:t>SRB</w:t>
      </w:r>
      <w:r w:rsidRPr="00954AA9">
        <w:t xml:space="preserve"> note on </w:t>
      </w:r>
      <w:r>
        <w:t>Eph. 5:32</w:t>
      </w:r>
      <w:r w:rsidRPr="00954AA9">
        <w:t>, p. 12</w:t>
      </w:r>
      <w:r>
        <w:t>55</w:t>
      </w:r>
      <w:r w:rsidRPr="00954AA9">
        <w:t>.</w:t>
      </w:r>
    </w:p>
  </w:endnote>
  <w:endnote w:id="2400">
    <w:p w:rsidR="00975183" w:rsidRPr="00954AA9" w:rsidRDefault="00975183" w:rsidP="006A2E06">
      <w:pPr>
        <w:pStyle w:val="EndnoteText"/>
      </w:pPr>
      <w:r w:rsidRPr="00954AA9">
        <w:rPr>
          <w:rStyle w:val="EndnoteReference"/>
        </w:rPr>
        <w:endnoteRef/>
      </w:r>
      <w:r w:rsidRPr="00954AA9">
        <w:t xml:space="preserve"> </w:t>
      </w:r>
      <w:r w:rsidRPr="00954AA9">
        <w:rPr>
          <w:i/>
        </w:rPr>
        <w:t>SRB</w:t>
      </w:r>
      <w:r w:rsidRPr="00954AA9">
        <w:t xml:space="preserve"> note</w:t>
      </w:r>
      <w:r>
        <w:t>s</w:t>
      </w:r>
      <w:r w:rsidRPr="00954AA9">
        <w:t xml:space="preserve"> on</w:t>
      </w:r>
      <w:r>
        <w:t xml:space="preserve"> Heb. 5:6, p. 1295 and 10:18, p. 1300.</w:t>
      </w:r>
    </w:p>
  </w:endnote>
  <w:endnote w:id="2401">
    <w:p w:rsidR="00975183" w:rsidRDefault="00975183" w:rsidP="00595458">
      <w:pPr>
        <w:pStyle w:val="EndnoteText"/>
      </w:pPr>
      <w:r w:rsidRPr="00875120">
        <w:rPr>
          <w:rStyle w:val="EndnoteReference"/>
        </w:rPr>
        <w:endnoteRef/>
      </w:r>
      <w:r w:rsidRPr="00875120">
        <w:t xml:space="preserve"> </w:t>
      </w:r>
      <w:r w:rsidRPr="00875120">
        <w:rPr>
          <w:i/>
        </w:rPr>
        <w:t>SRB</w:t>
      </w:r>
      <w:r>
        <w:t xml:space="preserve"> Introduction to the Historical Books, p. 257.</w:t>
      </w:r>
    </w:p>
  </w:endnote>
  <w:endnote w:id="2402">
    <w:p w:rsidR="00975183" w:rsidRPr="00875120" w:rsidRDefault="00975183" w:rsidP="00595458">
      <w:pPr>
        <w:pStyle w:val="EndnoteText"/>
      </w:pPr>
      <w:r w:rsidRPr="00875120">
        <w:rPr>
          <w:rStyle w:val="EndnoteReference"/>
        </w:rPr>
        <w:endnoteRef/>
      </w:r>
      <w:r w:rsidRPr="00875120">
        <w:t xml:space="preserve"> </w:t>
      </w:r>
      <w:r w:rsidRPr="00875120">
        <w:rPr>
          <w:i/>
        </w:rPr>
        <w:t>SRB</w:t>
      </w:r>
      <w:r>
        <w:t xml:space="preserve"> Introductions to Joshua, p. 259, Ussher: 26 years; Judges, p. </w:t>
      </w:r>
      <w:r w:rsidRPr="005D00B9">
        <w:t>287</w:t>
      </w:r>
      <w:r>
        <w:t xml:space="preserve">, Ussher: </w:t>
      </w:r>
      <w:r w:rsidRPr="005D00B9">
        <w:rPr>
          <w:color w:val="000000"/>
        </w:rPr>
        <w:t>305 years</w:t>
      </w:r>
      <w:r>
        <w:rPr>
          <w:color w:val="000000"/>
        </w:rPr>
        <w:t xml:space="preserve">; Ruth, p. </w:t>
      </w:r>
      <w:r w:rsidRPr="005D00B9">
        <w:t>315</w:t>
      </w:r>
      <w:r>
        <w:t>, Ussher:</w:t>
      </w:r>
      <w:r w:rsidRPr="005D00B9">
        <w:t xml:space="preserve"> </w:t>
      </w:r>
      <w:r w:rsidRPr="005D00B9">
        <w:rPr>
          <w:color w:val="000000"/>
        </w:rPr>
        <w:t>10 years</w:t>
      </w:r>
      <w:r>
        <w:rPr>
          <w:color w:val="000000"/>
        </w:rPr>
        <w:t xml:space="preserve">; 1 Samuel, p. </w:t>
      </w:r>
      <w:r w:rsidRPr="005D00B9">
        <w:t>319</w:t>
      </w:r>
      <w:r>
        <w:t xml:space="preserve">, Ussher: </w:t>
      </w:r>
      <w:r w:rsidRPr="005D00B9">
        <w:rPr>
          <w:color w:val="000000"/>
        </w:rPr>
        <w:t>115 years</w:t>
      </w:r>
      <w:r>
        <w:rPr>
          <w:color w:val="000000"/>
        </w:rPr>
        <w:t xml:space="preserve">; 2 Samuel, </w:t>
      </w:r>
      <w:r w:rsidRPr="005D00B9">
        <w:t>p. 355</w:t>
      </w:r>
      <w:r>
        <w:t>, Ussher:</w:t>
      </w:r>
      <w:r w:rsidRPr="005D00B9">
        <w:rPr>
          <w:color w:val="000000"/>
        </w:rPr>
        <w:t xml:space="preserve"> 38 years</w:t>
      </w:r>
      <w:r>
        <w:rPr>
          <w:color w:val="000000"/>
        </w:rPr>
        <w:t xml:space="preserve">; 1 Kings, </w:t>
      </w:r>
      <w:r w:rsidRPr="005D00B9">
        <w:t>p. 385</w:t>
      </w:r>
      <w:r>
        <w:t>, Ussher:</w:t>
      </w:r>
      <w:r w:rsidRPr="005D00B9">
        <w:rPr>
          <w:color w:val="000000"/>
        </w:rPr>
        <w:t xml:space="preserve"> 118 years</w:t>
      </w:r>
      <w:r>
        <w:rPr>
          <w:color w:val="000000"/>
        </w:rPr>
        <w:t xml:space="preserve">; 2 Kings, </w:t>
      </w:r>
      <w:r w:rsidRPr="005D00B9">
        <w:t>p. 421</w:t>
      </w:r>
      <w:r>
        <w:t>, Ussher:</w:t>
      </w:r>
      <w:r w:rsidRPr="005D00B9">
        <w:t xml:space="preserve"> 308 years</w:t>
      </w:r>
      <w:r>
        <w:t xml:space="preserve">; 1 Chronicles, </w:t>
      </w:r>
      <w:r w:rsidRPr="005D00B9">
        <w:t>p. 456</w:t>
      </w:r>
      <w:r>
        <w:t>, Ussher:</w:t>
      </w:r>
      <w:r w:rsidRPr="005D00B9">
        <w:t xml:space="preserve"> 41 years</w:t>
      </w:r>
      <w:r>
        <w:t xml:space="preserve">; 2 Chronicles, </w:t>
      </w:r>
      <w:r w:rsidRPr="005D00B9">
        <w:t>p. 490</w:t>
      </w:r>
      <w:r>
        <w:t>, Ussher:</w:t>
      </w:r>
      <w:r w:rsidRPr="005D00B9">
        <w:t xml:space="preserve"> 427 years</w:t>
      </w:r>
      <w:r>
        <w:t xml:space="preserve">; Ezra, </w:t>
      </w:r>
      <w:r w:rsidRPr="005D00B9">
        <w:t>p. 529</w:t>
      </w:r>
      <w:r>
        <w:t>, Ussher:</w:t>
      </w:r>
      <w:r w:rsidRPr="005D00B9">
        <w:t xml:space="preserve"> 80 years</w:t>
      </w:r>
      <w:r>
        <w:t xml:space="preserve">; Nehemiah, </w:t>
      </w:r>
      <w:r w:rsidRPr="005D00B9">
        <w:t>p. 541</w:t>
      </w:r>
      <w:r>
        <w:t>, Ussher:</w:t>
      </w:r>
      <w:r w:rsidRPr="005D00B9">
        <w:t xml:space="preserve"> 11 years</w:t>
      </w:r>
      <w:r>
        <w:t xml:space="preserve">; Esther, </w:t>
      </w:r>
      <w:r w:rsidRPr="005D00B9">
        <w:t>p. 558</w:t>
      </w:r>
      <w:r>
        <w:t>, Ussher:</w:t>
      </w:r>
      <w:r w:rsidRPr="005D00B9">
        <w:t xml:space="preserve"> 12 years</w:t>
      </w:r>
      <w:r>
        <w:t>.</w:t>
      </w:r>
    </w:p>
  </w:endnote>
  <w:endnote w:id="2403">
    <w:p w:rsidR="00975183" w:rsidRPr="003C2546" w:rsidRDefault="00975183" w:rsidP="00595458">
      <w:pPr>
        <w:pStyle w:val="EndnoteText"/>
      </w:pPr>
      <w:r w:rsidRPr="003C2546">
        <w:rPr>
          <w:rStyle w:val="EndnoteReference"/>
        </w:rPr>
        <w:endnoteRef/>
      </w:r>
      <w:r w:rsidRPr="003C2546">
        <w:t xml:space="preserve"> </w:t>
      </w:r>
      <w:r w:rsidRPr="00AD3725">
        <w:rPr>
          <w:b/>
        </w:rPr>
        <w:t>See 2.1, and table</w:t>
      </w:r>
      <w:r>
        <w:t>.</w:t>
      </w:r>
    </w:p>
  </w:endnote>
  <w:endnote w:id="2404">
    <w:p w:rsidR="00975183" w:rsidRDefault="00975183" w:rsidP="00595458">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Zech. 12:8, pp. 976-7.  </w:t>
      </w:r>
      <w:r w:rsidRPr="00AD3725">
        <w:rPr>
          <w:b/>
          <w:szCs w:val="18"/>
        </w:rPr>
        <w:t>See Case-Study, Zechariah 12 below</w:t>
      </w:r>
      <w:r>
        <w:rPr>
          <w:szCs w:val="18"/>
        </w:rPr>
        <w:t>.</w:t>
      </w:r>
    </w:p>
  </w:endnote>
  <w:endnote w:id="2405">
    <w:p w:rsidR="00975183" w:rsidRPr="005B02A4" w:rsidRDefault="00975183" w:rsidP="00595458">
      <w:pPr>
        <w:pStyle w:val="EndnoteText"/>
        <w:rPr>
          <w:sz w:val="18"/>
        </w:rPr>
      </w:pPr>
      <w:r w:rsidRPr="005B02A4">
        <w:rPr>
          <w:rStyle w:val="EndnoteReference"/>
        </w:rPr>
        <w:endnoteRef/>
      </w:r>
      <w:r w:rsidRPr="005B02A4">
        <w:t xml:space="preserve"> </w:t>
      </w:r>
      <w:r w:rsidRPr="005B02A4">
        <w:rPr>
          <w:i/>
        </w:rPr>
        <w:t>SRB</w:t>
      </w:r>
      <w:r>
        <w:t xml:space="preserve"> </w:t>
      </w:r>
      <w:r w:rsidRPr="005B02A4">
        <w:rPr>
          <w:szCs w:val="22"/>
        </w:rPr>
        <w:t>Introduction to 1 Chronicles, p. 456.</w:t>
      </w:r>
    </w:p>
  </w:endnote>
  <w:endnote w:id="2406">
    <w:p w:rsidR="00975183" w:rsidRPr="00F46505" w:rsidRDefault="00975183" w:rsidP="00595458">
      <w:pPr>
        <w:pStyle w:val="EndnoteText"/>
      </w:pPr>
      <w:r w:rsidRPr="00F46505">
        <w:rPr>
          <w:rStyle w:val="EndnoteReference"/>
        </w:rPr>
        <w:endnoteRef/>
      </w:r>
      <w:r w:rsidRPr="00F46505">
        <w:t xml:space="preserve"> </w:t>
      </w:r>
      <w:proofErr w:type="gramStart"/>
      <w:r w:rsidRPr="008A7F27">
        <w:rPr>
          <w:b/>
        </w:rPr>
        <w:t>See</w:t>
      </w:r>
      <w:r>
        <w:rPr>
          <w:b/>
        </w:rPr>
        <w:t xml:space="preserve"> 8.1.1 </w:t>
      </w:r>
      <w:r w:rsidRPr="008A7F27">
        <w:rPr>
          <w:b/>
        </w:rPr>
        <w:t>above</w:t>
      </w:r>
      <w:r>
        <w:t>.</w:t>
      </w:r>
      <w:proofErr w:type="gramEnd"/>
      <w:r>
        <w:t xml:space="preserve">  </w:t>
      </w:r>
      <w:r w:rsidRPr="008A7F27">
        <w:rPr>
          <w:i/>
        </w:rPr>
        <w:t>SRB</w:t>
      </w:r>
      <w:r w:rsidRPr="008A7F27">
        <w:t xml:space="preserve"> notes on Gen. 5:22, p</w:t>
      </w:r>
      <w:r>
        <w:t>. 12 and 15:18, p. 25.</w:t>
      </w:r>
    </w:p>
  </w:endnote>
  <w:endnote w:id="2407">
    <w:p w:rsidR="00975183" w:rsidRPr="00D30B8E" w:rsidRDefault="00975183" w:rsidP="00595458">
      <w:pPr>
        <w:pStyle w:val="EndnoteText"/>
      </w:pPr>
      <w:r w:rsidRPr="00D30B8E">
        <w:rPr>
          <w:rStyle w:val="EndnoteReference"/>
        </w:rPr>
        <w:endnoteRef/>
      </w:r>
      <w:r w:rsidRPr="00D30B8E">
        <w:t xml:space="preserve"> </w:t>
      </w:r>
      <w:r>
        <w:t xml:space="preserve">For example, </w:t>
      </w:r>
      <w:r w:rsidRPr="00D30B8E">
        <w:rPr>
          <w:i/>
        </w:rPr>
        <w:t>SRB</w:t>
      </w:r>
      <w:r>
        <w:t xml:space="preserve"> note on 1 Chron. 17:7, pp. 475-6.</w:t>
      </w:r>
    </w:p>
  </w:endnote>
  <w:endnote w:id="2408">
    <w:p w:rsidR="00975183" w:rsidRPr="00990445" w:rsidRDefault="00975183" w:rsidP="00595458">
      <w:pPr>
        <w:pStyle w:val="EndnoteText"/>
      </w:pPr>
      <w:r w:rsidRPr="00990445">
        <w:rPr>
          <w:rStyle w:val="EndnoteReference"/>
        </w:rPr>
        <w:endnoteRef/>
      </w:r>
      <w:r w:rsidRPr="00990445">
        <w:t xml:space="preserve"> </w:t>
      </w:r>
      <w:r>
        <w:t>2 Sam. 7:8-17.</w:t>
      </w:r>
    </w:p>
  </w:endnote>
  <w:endnote w:id="2409">
    <w:p w:rsidR="00975183" w:rsidRPr="00990445" w:rsidRDefault="00975183" w:rsidP="00595458">
      <w:pPr>
        <w:pStyle w:val="EndnoteText"/>
      </w:pPr>
      <w:r w:rsidRPr="00990445">
        <w:rPr>
          <w:rStyle w:val="EndnoteReference"/>
        </w:rPr>
        <w:endnoteRef/>
      </w:r>
      <w:r w:rsidRPr="00990445">
        <w:t xml:space="preserve"> </w:t>
      </w:r>
      <w:r w:rsidRPr="00990445">
        <w:rPr>
          <w:i/>
        </w:rPr>
        <w:t>SRB</w:t>
      </w:r>
      <w:r>
        <w:t xml:space="preserve"> Introduction to 2 Samuel, p. 355.</w:t>
      </w:r>
    </w:p>
  </w:endnote>
  <w:endnote w:id="2410">
    <w:p w:rsidR="00975183" w:rsidRPr="00990445" w:rsidRDefault="00975183" w:rsidP="00595458">
      <w:pPr>
        <w:pStyle w:val="EndnoteText"/>
      </w:pPr>
      <w:r w:rsidRPr="00990445">
        <w:rPr>
          <w:rStyle w:val="EndnoteReference"/>
        </w:rPr>
        <w:endnoteRef/>
      </w:r>
      <w:r w:rsidRPr="00990445">
        <w:t xml:space="preserve"> </w:t>
      </w:r>
      <w:r w:rsidRPr="00990445">
        <w:rPr>
          <w:szCs w:val="22"/>
        </w:rPr>
        <w:t>2 Sam. 23:1-7</w:t>
      </w:r>
    </w:p>
  </w:endnote>
  <w:endnote w:id="2411">
    <w:p w:rsidR="00975183" w:rsidRPr="00990445" w:rsidRDefault="00975183" w:rsidP="00595458">
      <w:pPr>
        <w:pStyle w:val="EndnoteText"/>
      </w:pPr>
      <w:r w:rsidRPr="00990445">
        <w:rPr>
          <w:rStyle w:val="EndnoteReference"/>
        </w:rPr>
        <w:endnoteRef/>
      </w:r>
      <w:r w:rsidRPr="00990445">
        <w:t xml:space="preserve"> </w:t>
      </w:r>
      <w:r w:rsidRPr="00990445">
        <w:rPr>
          <w:i/>
        </w:rPr>
        <w:t>SRB</w:t>
      </w:r>
      <w:r>
        <w:t xml:space="preserve"> Introduction to 2 Samuel, p. 355.</w:t>
      </w:r>
    </w:p>
  </w:endnote>
  <w:endnote w:id="2412">
    <w:p w:rsidR="00975183" w:rsidRDefault="00975183" w:rsidP="006A2E06">
      <w:pPr>
        <w:pStyle w:val="EndnoteText"/>
        <w:rPr>
          <w:szCs w:val="18"/>
        </w:rPr>
      </w:pPr>
      <w:r w:rsidRPr="006329CD">
        <w:rPr>
          <w:rStyle w:val="EndnoteReference"/>
          <w:szCs w:val="18"/>
        </w:rPr>
        <w:endnoteRef/>
      </w:r>
      <w:r w:rsidRPr="006329CD">
        <w:rPr>
          <w:szCs w:val="18"/>
        </w:rPr>
        <w:t xml:space="preserve"> </w:t>
      </w:r>
      <w:r w:rsidRPr="00E5435A">
        <w:rPr>
          <w:b/>
          <w:szCs w:val="18"/>
        </w:rPr>
        <w:t xml:space="preserve">See table in 8.2, </w:t>
      </w:r>
      <w:r>
        <w:rPr>
          <w:b/>
          <w:szCs w:val="18"/>
        </w:rPr>
        <w:t>(</w:t>
      </w:r>
      <w:r w:rsidRPr="00E5435A">
        <w:rPr>
          <w:b/>
          <w:szCs w:val="18"/>
        </w:rPr>
        <w:t xml:space="preserve">Historical Books </w:t>
      </w:r>
      <w:r>
        <w:rPr>
          <w:b/>
          <w:szCs w:val="18"/>
        </w:rPr>
        <w:t xml:space="preserve">), </w:t>
      </w:r>
      <w:r w:rsidRPr="00E5435A">
        <w:rPr>
          <w:b/>
          <w:szCs w:val="18"/>
        </w:rPr>
        <w:t>Annotation</w:t>
      </w:r>
      <w:r>
        <w:rPr>
          <w:b/>
          <w:szCs w:val="18"/>
        </w:rPr>
        <w:t>:</w:t>
      </w:r>
      <w:r w:rsidRPr="00E5435A">
        <w:rPr>
          <w:b/>
          <w:szCs w:val="18"/>
        </w:rPr>
        <w:t xml:space="preserve"> Key Points above</w:t>
      </w:r>
      <w:r>
        <w:rPr>
          <w:szCs w:val="18"/>
        </w:rPr>
        <w:t>:</w:t>
      </w:r>
    </w:p>
    <w:p w:rsidR="00975183" w:rsidRPr="006329CD" w:rsidRDefault="00975183" w:rsidP="006A2E06">
      <w:pPr>
        <w:pStyle w:val="EndnoteText"/>
        <w:rPr>
          <w:szCs w:val="18"/>
        </w:rPr>
      </w:pPr>
      <w:r w:rsidRPr="006329CD">
        <w:rPr>
          <w:szCs w:val="18"/>
        </w:rPr>
        <w:t>Josh. 1:1, 2:21, 3:1, 4:3, 6:5, 7:11, 10:42.</w:t>
      </w:r>
    </w:p>
    <w:p w:rsidR="00975183" w:rsidRPr="006329CD" w:rsidRDefault="00975183" w:rsidP="006A2E06">
      <w:pPr>
        <w:pStyle w:val="EndnoteText"/>
        <w:rPr>
          <w:szCs w:val="18"/>
        </w:rPr>
      </w:pPr>
      <w:r w:rsidRPr="006329CD">
        <w:rPr>
          <w:szCs w:val="18"/>
        </w:rPr>
        <w:t>Judg. 3:7, 16:31, 17:13.</w:t>
      </w:r>
    </w:p>
    <w:p w:rsidR="00975183" w:rsidRPr="006329CD" w:rsidRDefault="00975183" w:rsidP="006A2E06">
      <w:pPr>
        <w:pStyle w:val="EndnoteText"/>
        <w:rPr>
          <w:szCs w:val="18"/>
        </w:rPr>
      </w:pPr>
      <w:r w:rsidRPr="006329CD">
        <w:rPr>
          <w:szCs w:val="18"/>
        </w:rPr>
        <w:t xml:space="preserve">1 Sam. 1:3, 16:21, 31:3. </w:t>
      </w:r>
    </w:p>
    <w:p w:rsidR="00975183" w:rsidRPr="006329CD" w:rsidRDefault="00975183" w:rsidP="006A2E06">
      <w:pPr>
        <w:pStyle w:val="EndnoteText"/>
        <w:rPr>
          <w:szCs w:val="18"/>
        </w:rPr>
      </w:pPr>
      <w:r w:rsidRPr="006329CD">
        <w:rPr>
          <w:szCs w:val="18"/>
        </w:rPr>
        <w:t>2 Sam. 6:3, 13:37, 14:24, 18:18, 24:9.</w:t>
      </w:r>
    </w:p>
    <w:p w:rsidR="00975183" w:rsidRPr="006329CD" w:rsidRDefault="00975183" w:rsidP="006A2E06">
      <w:pPr>
        <w:pStyle w:val="EndnoteText"/>
        <w:rPr>
          <w:szCs w:val="18"/>
        </w:rPr>
      </w:pPr>
      <w:proofErr w:type="gramStart"/>
      <w:r w:rsidRPr="006329CD">
        <w:rPr>
          <w:szCs w:val="18"/>
        </w:rPr>
        <w:t>1 Kgs 3:2, 8:1, 15:14.</w:t>
      </w:r>
      <w:proofErr w:type="gramEnd"/>
    </w:p>
    <w:p w:rsidR="00975183" w:rsidRPr="006329CD" w:rsidRDefault="00975183" w:rsidP="006A2E06">
      <w:pPr>
        <w:pStyle w:val="EndnoteText"/>
        <w:rPr>
          <w:szCs w:val="18"/>
        </w:rPr>
      </w:pPr>
      <w:r w:rsidRPr="006329CD">
        <w:rPr>
          <w:szCs w:val="18"/>
        </w:rPr>
        <w:t>2 Kgs 17:7.</w:t>
      </w:r>
    </w:p>
    <w:p w:rsidR="00975183" w:rsidRPr="006329CD" w:rsidRDefault="00975183" w:rsidP="006A2E06">
      <w:pPr>
        <w:pStyle w:val="EndnoteText"/>
        <w:rPr>
          <w:szCs w:val="18"/>
        </w:rPr>
      </w:pPr>
      <w:proofErr w:type="gramStart"/>
      <w:r w:rsidRPr="006329CD">
        <w:rPr>
          <w:szCs w:val="18"/>
        </w:rPr>
        <w:t>1 Chron. 11:5, 16:37, 21:25.</w:t>
      </w:r>
      <w:proofErr w:type="gramEnd"/>
    </w:p>
    <w:p w:rsidR="00975183" w:rsidRPr="006329CD" w:rsidRDefault="00975183" w:rsidP="006A2E06">
      <w:pPr>
        <w:pStyle w:val="EndnoteText"/>
        <w:rPr>
          <w:szCs w:val="18"/>
        </w:rPr>
      </w:pPr>
      <w:r w:rsidRPr="006329CD">
        <w:rPr>
          <w:szCs w:val="18"/>
        </w:rPr>
        <w:t>2 Chron. 10:16.</w:t>
      </w:r>
    </w:p>
    <w:p w:rsidR="00975183" w:rsidRPr="006329CD" w:rsidRDefault="00975183" w:rsidP="006A2E06">
      <w:pPr>
        <w:pStyle w:val="EndnoteText"/>
        <w:rPr>
          <w:szCs w:val="18"/>
        </w:rPr>
      </w:pPr>
      <w:proofErr w:type="gramStart"/>
      <w:r w:rsidRPr="006329CD">
        <w:rPr>
          <w:szCs w:val="18"/>
        </w:rPr>
        <w:t>Ezra 2:1, 4:2, 6:14.</w:t>
      </w:r>
      <w:proofErr w:type="gramEnd"/>
    </w:p>
    <w:p w:rsidR="00975183" w:rsidRPr="006329CD" w:rsidRDefault="00975183" w:rsidP="006A2E06">
      <w:pPr>
        <w:pStyle w:val="EndnoteText"/>
        <w:rPr>
          <w:szCs w:val="18"/>
        </w:rPr>
      </w:pPr>
      <w:r w:rsidRPr="006329CD">
        <w:rPr>
          <w:szCs w:val="18"/>
        </w:rPr>
        <w:t>Neh. 2:10, 8:18, 9:14.</w:t>
      </w:r>
    </w:p>
  </w:endnote>
  <w:endnote w:id="241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Josh. 5:2 and Josh. 5:11.  </w:t>
      </w:r>
    </w:p>
    <w:p w:rsidR="00975183" w:rsidRPr="006329CD" w:rsidRDefault="00975183" w:rsidP="006A2E06">
      <w:pPr>
        <w:pStyle w:val="EndnoteText"/>
        <w:rPr>
          <w:szCs w:val="18"/>
        </w:rPr>
      </w:pPr>
      <w:r w:rsidRPr="006329CD">
        <w:rPr>
          <w:szCs w:val="18"/>
        </w:rPr>
        <w:t xml:space="preserve">Judg. 2:13, p. 289, and Judg. 2:18, p. 289.  </w:t>
      </w:r>
    </w:p>
    <w:p w:rsidR="00975183" w:rsidRPr="006329CD" w:rsidRDefault="00975183" w:rsidP="006A2E06">
      <w:pPr>
        <w:pStyle w:val="EndnoteText"/>
        <w:rPr>
          <w:szCs w:val="18"/>
        </w:rPr>
      </w:pPr>
      <w:r w:rsidRPr="006329CD">
        <w:rPr>
          <w:szCs w:val="18"/>
        </w:rPr>
        <w:t xml:space="preserve">2 Sam. 7:15, and 2 Sam. 7:16.  </w:t>
      </w:r>
    </w:p>
    <w:p w:rsidR="00975183" w:rsidRPr="006329CD" w:rsidRDefault="00975183" w:rsidP="006A2E06">
      <w:pPr>
        <w:pStyle w:val="EndnoteText"/>
        <w:rPr>
          <w:szCs w:val="18"/>
        </w:rPr>
      </w:pPr>
      <w:proofErr w:type="gramStart"/>
      <w:r w:rsidRPr="006329CD">
        <w:rPr>
          <w:szCs w:val="18"/>
        </w:rPr>
        <w:t>1 Kgs 6:1</w:t>
      </w:r>
      <w:r w:rsidRPr="00E5435A">
        <w:rPr>
          <w:szCs w:val="18"/>
        </w:rPr>
        <w:t xml:space="preserve">, </w:t>
      </w:r>
      <w:r>
        <w:rPr>
          <w:szCs w:val="18"/>
        </w:rPr>
        <w:t>4.</w:t>
      </w:r>
      <w:proofErr w:type="gramEnd"/>
      <w:r w:rsidRPr="006329CD">
        <w:rPr>
          <w:szCs w:val="18"/>
        </w:rPr>
        <w:t xml:space="preserve">  </w:t>
      </w:r>
    </w:p>
  </w:endnote>
  <w:endnote w:id="2414">
    <w:p w:rsidR="00975183" w:rsidRPr="00207242"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Pr>
          <w:szCs w:val="18"/>
        </w:rPr>
        <w:t xml:space="preserve"> note</w:t>
      </w:r>
      <w:r w:rsidRPr="006329CD">
        <w:rPr>
          <w:szCs w:val="18"/>
        </w:rPr>
        <w:t xml:space="preserve"> on</w:t>
      </w:r>
      <w:r>
        <w:rPr>
          <w:szCs w:val="18"/>
        </w:rPr>
        <w:t xml:space="preserve"> 2 Sam. 7:16, p. 362</w:t>
      </w:r>
      <w:r w:rsidRPr="00207242">
        <w:rPr>
          <w:szCs w:val="18"/>
        </w:rPr>
        <w:t xml:space="preserve">.  </w:t>
      </w:r>
      <w:proofErr w:type="gramStart"/>
      <w:r w:rsidRPr="00207242">
        <w:rPr>
          <w:b/>
          <w:szCs w:val="18"/>
        </w:rPr>
        <w:t>See 5.5.2</w:t>
      </w:r>
      <w:r w:rsidRPr="00207242">
        <w:rPr>
          <w:szCs w:val="18"/>
        </w:rPr>
        <w:t>.</w:t>
      </w:r>
      <w:proofErr w:type="gramEnd"/>
    </w:p>
  </w:endnote>
  <w:endnote w:id="2415">
    <w:p w:rsidR="00975183" w:rsidRPr="00207242" w:rsidRDefault="00975183" w:rsidP="006A2E06">
      <w:pPr>
        <w:pStyle w:val="EndnoteText"/>
      </w:pPr>
      <w:r w:rsidRPr="00207242">
        <w:rPr>
          <w:rStyle w:val="EndnoteReference"/>
          <w:szCs w:val="18"/>
        </w:rPr>
        <w:endnoteRef/>
      </w:r>
      <w:r w:rsidRPr="00207242">
        <w:rPr>
          <w:szCs w:val="18"/>
        </w:rPr>
        <w:t xml:space="preserve"> </w:t>
      </w:r>
      <w:proofErr w:type="gramStart"/>
      <w:r w:rsidRPr="00207242">
        <w:rPr>
          <w:i/>
          <w:szCs w:val="18"/>
        </w:rPr>
        <w:t>SRB</w:t>
      </w:r>
      <w:r w:rsidRPr="00207242">
        <w:rPr>
          <w:szCs w:val="18"/>
        </w:rPr>
        <w:t xml:space="preserve"> note on 1 Chron. 11:5, p. 469.</w:t>
      </w:r>
      <w:proofErr w:type="gramEnd"/>
    </w:p>
  </w:endnote>
  <w:endnote w:id="2416">
    <w:p w:rsidR="00975183" w:rsidRPr="00207242" w:rsidRDefault="00975183" w:rsidP="006A2E06">
      <w:pPr>
        <w:pStyle w:val="EndnoteText"/>
      </w:pPr>
      <w:r w:rsidRPr="00207242">
        <w:rPr>
          <w:rStyle w:val="EndnoteReference"/>
          <w:szCs w:val="18"/>
        </w:rPr>
        <w:endnoteRef/>
      </w:r>
      <w:r w:rsidRPr="00207242">
        <w:rPr>
          <w:szCs w:val="18"/>
        </w:rPr>
        <w:t xml:space="preserve"> </w:t>
      </w:r>
      <w:r w:rsidRPr="00207242">
        <w:rPr>
          <w:i/>
          <w:szCs w:val="18"/>
        </w:rPr>
        <w:t>SRB</w:t>
      </w:r>
      <w:r w:rsidRPr="00207242">
        <w:rPr>
          <w:szCs w:val="18"/>
        </w:rPr>
        <w:t xml:space="preserve"> notes on Judg. 2:15, p. 289; 3:7, p. 290; 1 Kgs 3:2, p. 389; Judg. 17:13, p. 308, and 1 Kgs 15:14, p. 408.</w:t>
      </w:r>
    </w:p>
  </w:endnote>
  <w:endnote w:id="2417">
    <w:p w:rsidR="00975183" w:rsidRPr="00207242" w:rsidRDefault="00975183" w:rsidP="006A2E06">
      <w:pPr>
        <w:pStyle w:val="EndnoteText"/>
      </w:pPr>
      <w:r w:rsidRPr="00207242">
        <w:rPr>
          <w:rStyle w:val="EndnoteReference"/>
          <w:szCs w:val="18"/>
        </w:rPr>
        <w:endnoteRef/>
      </w:r>
      <w:r w:rsidRPr="00207242">
        <w:rPr>
          <w:szCs w:val="18"/>
        </w:rPr>
        <w:t xml:space="preserve"> </w:t>
      </w:r>
      <w:proofErr w:type="gramStart"/>
      <w:r w:rsidRPr="00207242">
        <w:rPr>
          <w:i/>
          <w:szCs w:val="18"/>
        </w:rPr>
        <w:t>SRB</w:t>
      </w:r>
      <w:r w:rsidRPr="00207242">
        <w:rPr>
          <w:szCs w:val="18"/>
        </w:rPr>
        <w:t xml:space="preserve"> note on 1 Kgs 6:4, p. 393.</w:t>
      </w:r>
      <w:proofErr w:type="gramEnd"/>
    </w:p>
  </w:endnote>
  <w:endnote w:id="2418">
    <w:p w:rsidR="00975183" w:rsidRPr="00207242" w:rsidRDefault="00975183" w:rsidP="006A2E06">
      <w:pPr>
        <w:pStyle w:val="EndnoteText"/>
      </w:pPr>
      <w:r w:rsidRPr="00207242">
        <w:rPr>
          <w:rStyle w:val="EndnoteReference"/>
          <w:szCs w:val="18"/>
        </w:rPr>
        <w:endnoteRef/>
      </w:r>
      <w:r w:rsidRPr="00207242">
        <w:rPr>
          <w:szCs w:val="18"/>
        </w:rPr>
        <w:t xml:space="preserve"> </w:t>
      </w:r>
      <w:r w:rsidRPr="00207242">
        <w:rPr>
          <w:i/>
          <w:szCs w:val="18"/>
        </w:rPr>
        <w:t>SRB</w:t>
      </w:r>
      <w:r w:rsidRPr="00207242">
        <w:rPr>
          <w:szCs w:val="18"/>
        </w:rPr>
        <w:t xml:space="preserve"> note on 2 Chron. 10:16, pp. 499-500.  cf note on Ezra 2:1, pp. 529-30.</w:t>
      </w:r>
    </w:p>
  </w:endnote>
  <w:endnote w:id="2419">
    <w:p w:rsidR="00975183" w:rsidRPr="00207242" w:rsidRDefault="00975183" w:rsidP="006A2E06">
      <w:pPr>
        <w:pStyle w:val="EndnoteText"/>
      </w:pPr>
      <w:r w:rsidRPr="00207242">
        <w:rPr>
          <w:rStyle w:val="EndnoteReference"/>
          <w:szCs w:val="18"/>
        </w:rPr>
        <w:endnoteRef/>
      </w:r>
      <w:r w:rsidRPr="00207242">
        <w:rPr>
          <w:szCs w:val="18"/>
        </w:rPr>
        <w:t xml:space="preserve"> </w:t>
      </w:r>
      <w:proofErr w:type="gramStart"/>
      <w:r w:rsidRPr="00207242">
        <w:rPr>
          <w:i/>
          <w:szCs w:val="18"/>
        </w:rPr>
        <w:t>SRB</w:t>
      </w:r>
      <w:r w:rsidRPr="00207242">
        <w:rPr>
          <w:szCs w:val="18"/>
        </w:rPr>
        <w:t xml:space="preserve"> note on 2 Kgs 17:7, p. 442.</w:t>
      </w:r>
      <w:proofErr w:type="gramEnd"/>
      <w:r w:rsidRPr="00207242">
        <w:rPr>
          <w:szCs w:val="18"/>
        </w:rPr>
        <w:t xml:space="preserve"> </w:t>
      </w:r>
      <w:proofErr w:type="gramStart"/>
      <w:r w:rsidRPr="00207242">
        <w:rPr>
          <w:szCs w:val="18"/>
        </w:rPr>
        <w:t>(</w:t>
      </w:r>
      <w:r w:rsidRPr="00207242">
        <w:rPr>
          <w:i/>
          <w:szCs w:val="18"/>
        </w:rPr>
        <w:t>Scofield’s emphasis</w:t>
      </w:r>
      <w:r w:rsidRPr="00207242">
        <w:rPr>
          <w:szCs w:val="18"/>
        </w:rPr>
        <w:t>.)</w:t>
      </w:r>
      <w:proofErr w:type="gramEnd"/>
      <w:r w:rsidRPr="00207242">
        <w:rPr>
          <w:szCs w:val="18"/>
        </w:rPr>
        <w:t xml:space="preserve">  </w:t>
      </w:r>
      <w:r w:rsidRPr="00207242">
        <w:rPr>
          <w:b/>
          <w:szCs w:val="18"/>
        </w:rPr>
        <w:t xml:space="preserve">See 5.5.1; </w:t>
      </w:r>
      <w:proofErr w:type="gramStart"/>
      <w:r w:rsidRPr="00207242">
        <w:rPr>
          <w:b/>
          <w:szCs w:val="18"/>
        </w:rPr>
        <w:t>8.2 8.4.1 above</w:t>
      </w:r>
      <w:proofErr w:type="gramEnd"/>
      <w:r w:rsidRPr="00207242">
        <w:rPr>
          <w:szCs w:val="18"/>
        </w:rPr>
        <w:t>.</w:t>
      </w:r>
    </w:p>
  </w:endnote>
  <w:endnote w:id="2420">
    <w:p w:rsidR="00975183" w:rsidRPr="00207242" w:rsidRDefault="00975183" w:rsidP="006A2E06">
      <w:pPr>
        <w:pStyle w:val="EndnoteText"/>
      </w:pPr>
      <w:r w:rsidRPr="00207242">
        <w:rPr>
          <w:rStyle w:val="EndnoteReference"/>
          <w:szCs w:val="18"/>
        </w:rPr>
        <w:endnoteRef/>
      </w:r>
      <w:r w:rsidRPr="00207242">
        <w:rPr>
          <w:szCs w:val="18"/>
        </w:rPr>
        <w:t xml:space="preserve"> </w:t>
      </w:r>
      <w:r w:rsidRPr="00207242">
        <w:rPr>
          <w:i/>
          <w:szCs w:val="18"/>
        </w:rPr>
        <w:t>SRB</w:t>
      </w:r>
      <w:r w:rsidRPr="00207242">
        <w:rPr>
          <w:szCs w:val="18"/>
        </w:rPr>
        <w:t xml:space="preserve"> note on Ezra 2:1, pp. 529-30.</w:t>
      </w:r>
    </w:p>
  </w:endnote>
  <w:endnote w:id="2421">
    <w:p w:rsidR="00975183" w:rsidRPr="00207242" w:rsidRDefault="00975183" w:rsidP="006A2E06">
      <w:pPr>
        <w:pStyle w:val="EndnoteText"/>
      </w:pPr>
      <w:r w:rsidRPr="00207242">
        <w:rPr>
          <w:rStyle w:val="EndnoteReference"/>
          <w:szCs w:val="18"/>
        </w:rPr>
        <w:endnoteRef/>
      </w:r>
      <w:r w:rsidRPr="00207242">
        <w:rPr>
          <w:szCs w:val="18"/>
        </w:rPr>
        <w:t xml:space="preserve"> </w:t>
      </w:r>
      <w:r w:rsidRPr="00207242">
        <w:rPr>
          <w:i/>
          <w:szCs w:val="18"/>
        </w:rPr>
        <w:t>SRB</w:t>
      </w:r>
      <w:r w:rsidRPr="00207242">
        <w:rPr>
          <w:szCs w:val="18"/>
        </w:rPr>
        <w:t xml:space="preserve"> notes on Ezra 4:2, p. 532; Ezra 6:16, p. 535.</w:t>
      </w:r>
    </w:p>
  </w:endnote>
  <w:endnote w:id="242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Pr>
          <w:szCs w:val="18"/>
        </w:rPr>
        <w:t xml:space="preserve"> note</w:t>
      </w:r>
      <w:r w:rsidRPr="006329CD">
        <w:rPr>
          <w:szCs w:val="18"/>
        </w:rPr>
        <w:t xml:space="preserve"> on</w:t>
      </w:r>
      <w:r>
        <w:rPr>
          <w:szCs w:val="18"/>
        </w:rPr>
        <w:t xml:space="preserve"> Ezra 6:16, p. 535.</w:t>
      </w:r>
    </w:p>
  </w:endnote>
  <w:endnote w:id="2423">
    <w:p w:rsidR="00975183" w:rsidRDefault="00975183" w:rsidP="006A2E06">
      <w:pPr>
        <w:pStyle w:val="EndnoteText"/>
        <w:rPr>
          <w:szCs w:val="18"/>
        </w:rPr>
      </w:pPr>
      <w:r w:rsidRPr="0000409E">
        <w:rPr>
          <w:rStyle w:val="EndnoteReference"/>
        </w:rPr>
        <w:endnoteRef/>
      </w:r>
      <w:r w:rsidRPr="0000409E">
        <w:t xml:space="preserve"> </w:t>
      </w:r>
      <w:r w:rsidRPr="006329CD">
        <w:rPr>
          <w:i/>
          <w:szCs w:val="18"/>
        </w:rPr>
        <w:t>SRB</w:t>
      </w:r>
      <w:r w:rsidRPr="006329CD">
        <w:rPr>
          <w:szCs w:val="18"/>
        </w:rPr>
        <w:t xml:space="preserve"> notes on</w:t>
      </w:r>
      <w:r>
        <w:rPr>
          <w:szCs w:val="18"/>
        </w:rPr>
        <w:t xml:space="preserve"> Josh. 1:1, p. 259; 2:21, p. </w:t>
      </w:r>
      <w:r w:rsidRPr="005616B8">
        <w:rPr>
          <w:szCs w:val="18"/>
        </w:rPr>
        <w:t>261; 3:1, p. 261; 4:3, p</w:t>
      </w:r>
      <w:r>
        <w:rPr>
          <w:szCs w:val="18"/>
        </w:rPr>
        <w:t xml:space="preserve">. 262; 5:2, p. 263; 5:11, p. 263; 1 Kgs 8:1, </w:t>
      </w:r>
    </w:p>
    <w:p w:rsidR="00975183" w:rsidRDefault="00975183" w:rsidP="006A2E06">
      <w:pPr>
        <w:pStyle w:val="EndnoteText"/>
      </w:pPr>
      <w:r>
        <w:rPr>
          <w:szCs w:val="18"/>
        </w:rPr>
        <w:t xml:space="preserve">p. 396; </w:t>
      </w:r>
      <w:r w:rsidRPr="006329CD">
        <w:rPr>
          <w:i/>
          <w:szCs w:val="18"/>
        </w:rPr>
        <w:t>SRB</w:t>
      </w:r>
      <w:r w:rsidRPr="006329CD">
        <w:rPr>
          <w:szCs w:val="18"/>
        </w:rPr>
        <w:t xml:space="preserve"> </w:t>
      </w:r>
      <w:r>
        <w:rPr>
          <w:szCs w:val="18"/>
        </w:rPr>
        <w:t>Introduction to 1 Chronicles, p. 456, and note</w:t>
      </w:r>
      <w:r w:rsidRPr="006329CD">
        <w:rPr>
          <w:szCs w:val="18"/>
        </w:rPr>
        <w:t xml:space="preserve"> on</w:t>
      </w:r>
      <w:r>
        <w:rPr>
          <w:szCs w:val="18"/>
        </w:rPr>
        <w:t xml:space="preserve"> 1 Chron. 17:7, pp. 475-6.  </w:t>
      </w:r>
      <w:proofErr w:type="gramStart"/>
      <w:r w:rsidRPr="005616B8">
        <w:rPr>
          <w:b/>
          <w:szCs w:val="18"/>
        </w:rPr>
        <w:t>See 2.3.1</w:t>
      </w:r>
      <w:r>
        <w:rPr>
          <w:szCs w:val="18"/>
        </w:rPr>
        <w:t>.</w:t>
      </w:r>
      <w:proofErr w:type="gramEnd"/>
    </w:p>
  </w:endnote>
  <w:endnote w:id="2424">
    <w:p w:rsidR="00975183" w:rsidRPr="0000409E" w:rsidRDefault="00975183" w:rsidP="006A2E06">
      <w:pPr>
        <w:pStyle w:val="EndnoteText"/>
      </w:pPr>
      <w:r w:rsidRPr="0000409E">
        <w:rPr>
          <w:rStyle w:val="EndnoteReference"/>
        </w:rPr>
        <w:endnoteRef/>
      </w:r>
      <w:r w:rsidRPr="0000409E">
        <w:t xml:space="preserve"> </w:t>
      </w:r>
      <w:proofErr w:type="gramStart"/>
      <w:r>
        <w:rPr>
          <w:color w:val="000000"/>
        </w:rPr>
        <w:t>R</w:t>
      </w:r>
      <w:r w:rsidRPr="0000409E">
        <w:rPr>
          <w:color w:val="000000"/>
        </w:rPr>
        <w:t>einstated in Josh. 5:2</w:t>
      </w:r>
      <w:r>
        <w:rPr>
          <w:color w:val="000000"/>
        </w:rPr>
        <w:t>.</w:t>
      </w:r>
      <w:proofErr w:type="gramEnd"/>
    </w:p>
  </w:endnote>
  <w:endnote w:id="242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Pr>
          <w:szCs w:val="18"/>
        </w:rPr>
        <w:t xml:space="preserve"> note</w:t>
      </w:r>
      <w:r w:rsidRPr="006329CD">
        <w:rPr>
          <w:szCs w:val="18"/>
        </w:rPr>
        <w:t xml:space="preserve"> on</w:t>
      </w:r>
      <w:r>
        <w:rPr>
          <w:szCs w:val="18"/>
        </w:rPr>
        <w:t xml:space="preserve"> Josh. 5:2, p. 263.</w:t>
      </w:r>
    </w:p>
  </w:endnote>
  <w:endnote w:id="242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Pr>
          <w:szCs w:val="18"/>
        </w:rPr>
        <w:t xml:space="preserve"> note</w:t>
      </w:r>
      <w:r w:rsidRPr="006329CD">
        <w:rPr>
          <w:szCs w:val="18"/>
        </w:rPr>
        <w:t xml:space="preserve"> on</w:t>
      </w:r>
      <w:r>
        <w:rPr>
          <w:szCs w:val="18"/>
        </w:rPr>
        <w:t xml:space="preserve"> Josh. 7:11, pp. 265-6.</w:t>
      </w:r>
    </w:p>
  </w:endnote>
  <w:endnote w:id="2427">
    <w:p w:rsidR="00975183" w:rsidRPr="009746A8" w:rsidRDefault="00975183" w:rsidP="006A2E06">
      <w:pPr>
        <w:pStyle w:val="EndnoteText"/>
      </w:pPr>
      <w:r w:rsidRPr="009746A8">
        <w:rPr>
          <w:rStyle w:val="EndnoteReference"/>
        </w:rPr>
        <w:endnoteRef/>
      </w:r>
      <w:r w:rsidRPr="009746A8">
        <w:t xml:space="preserve"> </w:t>
      </w:r>
      <w:proofErr w:type="gramStart"/>
      <w:r>
        <w:t>Ref. 1 Sam. 6:7, 8.</w:t>
      </w:r>
      <w:proofErr w:type="gramEnd"/>
    </w:p>
  </w:endnote>
  <w:endnote w:id="2428">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Pr>
          <w:szCs w:val="18"/>
        </w:rPr>
        <w:t xml:space="preserve"> note on 2 Sam. 6:3, p. 361.</w:t>
      </w:r>
      <w:proofErr w:type="gramEnd"/>
    </w:p>
  </w:endnote>
  <w:endnote w:id="2429">
    <w:p w:rsidR="00975183" w:rsidRPr="005616B8" w:rsidRDefault="00975183" w:rsidP="006A2E06">
      <w:pPr>
        <w:pStyle w:val="EndnoteText"/>
      </w:pPr>
      <w:r w:rsidRPr="00F335C4">
        <w:rPr>
          <w:rStyle w:val="EndnoteReference"/>
        </w:rPr>
        <w:endnoteRef/>
      </w:r>
      <w:r w:rsidRPr="00F335C4">
        <w:t xml:space="preserve"> </w:t>
      </w:r>
      <w:r w:rsidRPr="005616B8">
        <w:rPr>
          <w:b/>
        </w:rPr>
        <w:t>See Introduction,</w:t>
      </w:r>
      <w:r w:rsidRPr="005616B8">
        <w:t xml:space="preserve"> </w:t>
      </w:r>
      <w:r w:rsidRPr="005616B8">
        <w:rPr>
          <w:b/>
        </w:rPr>
        <w:t>e</w:t>
      </w:r>
      <w:proofErr w:type="gramStart"/>
      <w:r w:rsidRPr="005616B8">
        <w:rPr>
          <w:b/>
        </w:rPr>
        <w:t>)  Themes</w:t>
      </w:r>
      <w:proofErr w:type="gramEnd"/>
      <w:r w:rsidRPr="005616B8">
        <w:rPr>
          <w:b/>
        </w:rPr>
        <w:t xml:space="preserve"> in Subheads in the </w:t>
      </w:r>
      <w:r w:rsidRPr="005616B8">
        <w:rPr>
          <w:b/>
          <w:i/>
        </w:rPr>
        <w:t>Scofield Reference Bible</w:t>
      </w:r>
      <w:r w:rsidRPr="005616B8">
        <w:t>.</w:t>
      </w:r>
    </w:p>
  </w:endnote>
  <w:endnote w:id="243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Poetical Books, p. 567.</w:t>
      </w:r>
    </w:p>
  </w:endnote>
  <w:endnote w:id="2431">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Job, p. 569.  </w:t>
      </w:r>
      <w:proofErr w:type="gramStart"/>
      <w:r w:rsidRPr="005D00B9">
        <w:t>7 divisions.</w:t>
      </w:r>
      <w:proofErr w:type="gramEnd"/>
      <w:r w:rsidRPr="005D00B9">
        <w:t xml:space="preserve">  Scofield asserts that the period covered is ‘within one year’.</w:t>
      </w:r>
    </w:p>
  </w:endnote>
  <w:endnote w:id="243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Proverbs, p. 672.</w:t>
      </w:r>
    </w:p>
  </w:endnote>
  <w:endnote w:id="2433">
    <w:p w:rsidR="00975183" w:rsidRDefault="00975183" w:rsidP="006A2E06">
      <w:pPr>
        <w:pStyle w:val="EndnoteText"/>
      </w:pPr>
      <w:r w:rsidRPr="00FC4B0C">
        <w:rPr>
          <w:rStyle w:val="EndnoteReference"/>
        </w:rPr>
        <w:endnoteRef/>
      </w:r>
      <w:r w:rsidRPr="00FC4B0C">
        <w:t xml:space="preserve"> </w:t>
      </w:r>
      <w:proofErr w:type="gramStart"/>
      <w:r w:rsidRPr="006329CD">
        <w:rPr>
          <w:i/>
          <w:szCs w:val="18"/>
        </w:rPr>
        <w:t>SRB</w:t>
      </w:r>
      <w:r w:rsidRPr="006329CD">
        <w:rPr>
          <w:szCs w:val="18"/>
        </w:rPr>
        <w:t xml:space="preserve"> </w:t>
      </w:r>
      <w:r>
        <w:rPr>
          <w:szCs w:val="18"/>
        </w:rPr>
        <w:t>notes on Prov. 8:22, p. 677 (refs Prov. 8:22-26; Jn 1:1-3; Col. 1:17); Prov. 10:1, p. 678.</w:t>
      </w:r>
      <w:proofErr w:type="gramEnd"/>
    </w:p>
  </w:endnote>
  <w:endnote w:id="2434">
    <w:p w:rsidR="00975183" w:rsidRPr="00C02BE0" w:rsidRDefault="00975183" w:rsidP="006A2E06">
      <w:pPr>
        <w:pStyle w:val="EndnoteText"/>
      </w:pPr>
      <w:r w:rsidRPr="00C02BE0">
        <w:rPr>
          <w:rStyle w:val="EndnoteReference"/>
        </w:rPr>
        <w:endnoteRef/>
      </w:r>
      <w:r w:rsidRPr="00C02BE0">
        <w:t xml:space="preserve"> </w:t>
      </w:r>
      <w:r>
        <w:t>0.25%.</w:t>
      </w:r>
    </w:p>
  </w:endnote>
  <w:endnote w:id="2435">
    <w:p w:rsidR="00975183" w:rsidRDefault="00975183" w:rsidP="006A2E06">
      <w:pPr>
        <w:pStyle w:val="EndnoteText"/>
      </w:pPr>
      <w:r w:rsidRPr="00C02BE0">
        <w:rPr>
          <w:rStyle w:val="EndnoteReference"/>
        </w:rPr>
        <w:endnoteRef/>
      </w:r>
      <w:r w:rsidRPr="00C02BE0">
        <w:t xml:space="preserve"> </w:t>
      </w:r>
      <w:r>
        <w:t>0.15%.</w:t>
      </w:r>
    </w:p>
  </w:endnote>
  <w:endnote w:id="243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Song of Solomon, p. 705</w:t>
      </w:r>
      <w:r w:rsidRPr="007740E4">
        <w:t>.</w:t>
      </w:r>
    </w:p>
  </w:endnote>
  <w:endnote w:id="2437">
    <w:p w:rsidR="00975183" w:rsidRDefault="00975183" w:rsidP="006A2E06">
      <w:pPr>
        <w:pStyle w:val="FootnoteText"/>
        <w:rPr>
          <w:rFonts w:ascii="Perpetua" w:hAnsi="Perpetua"/>
        </w:rPr>
      </w:pPr>
      <w:r w:rsidRPr="004F7B5D">
        <w:rPr>
          <w:rStyle w:val="FootnoteReference"/>
          <w:rFonts w:ascii="Perpetua" w:hAnsi="Perpetua"/>
        </w:rPr>
        <w:endnoteRef/>
      </w:r>
      <w:r w:rsidRPr="004F7B5D">
        <w:rPr>
          <w:rFonts w:ascii="Perpetua" w:hAnsi="Perpetua"/>
        </w:rPr>
        <w:t xml:space="preserve"> Mangum </w:t>
      </w:r>
      <w:r>
        <w:rPr>
          <w:rFonts w:ascii="Perpetua" w:hAnsi="Perpetua"/>
        </w:rPr>
        <w:t>states</w:t>
      </w:r>
      <w:r w:rsidRPr="004F7B5D">
        <w:rPr>
          <w:rFonts w:ascii="Perpetua" w:hAnsi="Perpetua"/>
        </w:rPr>
        <w:t xml:space="preserve"> that ‘Scofield’s family life is probably the one area in which he deserves some negative assessment’.  ‘At some point during this period in the mid-1870s, Leontine [Scofield’s wife] and Cyrus separated; the girls [his two daughters, Abigail and Marie Helene] stayed with Leontine, who filed for legal separation in 1877.’ </w:t>
      </w:r>
      <w:proofErr w:type="gramStart"/>
      <w:r w:rsidRPr="004F7B5D">
        <w:rPr>
          <w:rFonts w:ascii="Perpetua" w:hAnsi="Perpetua"/>
        </w:rPr>
        <w:t>(Mangum, ‘Cyrus Ingerson Scofield’, in</w:t>
      </w:r>
      <w:r w:rsidRPr="004F7B5D">
        <w:rPr>
          <w:rFonts w:ascii="Perpetua" w:hAnsi="Perpetua"/>
          <w:i/>
        </w:rPr>
        <w:t xml:space="preserve"> </w:t>
      </w:r>
      <w:r w:rsidRPr="004F7B5D">
        <w:rPr>
          <w:rFonts w:ascii="Perpetua" w:hAnsi="Perpetua"/>
        </w:rPr>
        <w:t>Mangum and Sweetnam,</w:t>
      </w:r>
      <w:r w:rsidRPr="004F7B5D">
        <w:rPr>
          <w:rFonts w:ascii="Perpetua" w:hAnsi="Perpetua"/>
          <w:i/>
        </w:rPr>
        <w:t xml:space="preserve"> History and Impact</w:t>
      </w:r>
      <w:r w:rsidRPr="004F7B5D">
        <w:rPr>
          <w:rFonts w:ascii="Perpetua" w:hAnsi="Perpetua"/>
        </w:rPr>
        <w:t>, pp. 50; 25-6.)</w:t>
      </w:r>
      <w:proofErr w:type="gramEnd"/>
      <w:r w:rsidRPr="004F7B5D">
        <w:rPr>
          <w:rFonts w:ascii="Perpetua" w:hAnsi="Perpetua"/>
        </w:rPr>
        <w:t xml:space="preserve">  </w:t>
      </w:r>
    </w:p>
    <w:p w:rsidR="00975183" w:rsidRDefault="00975183" w:rsidP="006A2E06">
      <w:pPr>
        <w:pStyle w:val="EndnoteText"/>
      </w:pPr>
      <w:r w:rsidRPr="004F7B5D">
        <w:t xml:space="preserve">Lutzweiler states that Scofield’s failure to care for his family </w:t>
      </w:r>
      <w:r>
        <w:t xml:space="preserve">after the divorce </w:t>
      </w:r>
      <w:r w:rsidRPr="004F7B5D">
        <w:t xml:space="preserve">meant that ‘he did not meet the biblical standards for becoming a pastor’.  </w:t>
      </w:r>
      <w:proofErr w:type="gramStart"/>
      <w:r w:rsidRPr="004F7B5D">
        <w:t xml:space="preserve">Lutzweiler, </w:t>
      </w:r>
      <w:r w:rsidRPr="004F7B5D">
        <w:rPr>
          <w:i/>
        </w:rPr>
        <w:t>Praise of Folly</w:t>
      </w:r>
      <w:r w:rsidRPr="004F7B5D">
        <w:t>, p.95.</w:t>
      </w:r>
      <w:proofErr w:type="gramEnd"/>
    </w:p>
  </w:endnote>
  <w:endnote w:id="2438">
    <w:p w:rsidR="00975183" w:rsidRDefault="00975183" w:rsidP="006A2E06">
      <w:pPr>
        <w:pStyle w:val="EndnoteText"/>
      </w:pPr>
      <w:r w:rsidRPr="003A0F58">
        <w:rPr>
          <w:rStyle w:val="EndnoteReference"/>
        </w:rPr>
        <w:endnoteRef/>
      </w:r>
      <w:r w:rsidRPr="003A0F58">
        <w:t xml:space="preserve"> </w:t>
      </w:r>
      <w:r w:rsidRPr="00495386">
        <w:rPr>
          <w:i/>
        </w:rPr>
        <w:t>SRB</w:t>
      </w:r>
      <w:r w:rsidRPr="003A0F58">
        <w:t xml:space="preserve"> </w:t>
      </w:r>
      <w:r>
        <w:t>Introduction to Song of Solomon, p. 705.</w:t>
      </w:r>
    </w:p>
  </w:endnote>
  <w:endnote w:id="243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Psalms, p. 599.</w:t>
      </w:r>
      <w:r>
        <w:t xml:space="preserve">  </w:t>
      </w:r>
    </w:p>
  </w:endnote>
  <w:endnote w:id="244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note on Ps. 102:1, p. 648</w:t>
      </w:r>
      <w:r>
        <w:t>: ‘</w:t>
      </w:r>
      <w:r w:rsidRPr="00680E41">
        <w:t>The reference of verses 25-7 to Christ (Heb. 1:10-12) assures us that in the preceding verses of Ps. 102, we have, prophetically</w:t>
      </w:r>
      <w:r>
        <w:t>,</w:t>
      </w:r>
      <w:r w:rsidRPr="00680E41">
        <w:t xml:space="preserve"> the exercises of His holy soul in the days of His humiliation and rejection.’ </w:t>
      </w:r>
      <w:r>
        <w:t xml:space="preserve"> </w:t>
      </w:r>
      <w:r w:rsidRPr="000A0FE7">
        <w:rPr>
          <w:i/>
        </w:rPr>
        <w:t>SRB</w:t>
      </w:r>
      <w:r>
        <w:t xml:space="preserve"> note on </w:t>
      </w:r>
      <w:r w:rsidRPr="005D00B9">
        <w:t>Ps. 118</w:t>
      </w:r>
      <w:r>
        <w:t>:</w:t>
      </w:r>
      <w:r w:rsidRPr="005D00B9">
        <w:t>29, p. 658</w:t>
      </w:r>
      <w:r>
        <w:t xml:space="preserve">: </w:t>
      </w:r>
      <w:r w:rsidRPr="000A0FE7">
        <w:t>‘The Messianic Psalms give the inner thoughts, the exercises of soul of Christ in His earthly experiences (see e.g. Ps. 16:8-11; Ps. 22:1-21; Ps. 40:1-17).</w:t>
      </w:r>
      <w:r>
        <w:t>’</w:t>
      </w:r>
      <w:r w:rsidRPr="000A0FE7">
        <w:t xml:space="preserve">  </w:t>
      </w:r>
    </w:p>
  </w:endnote>
  <w:endnote w:id="2441">
    <w:p w:rsidR="00975183" w:rsidRDefault="00975183" w:rsidP="006A2E06">
      <w:pPr>
        <w:pStyle w:val="EndnoteText"/>
      </w:pPr>
      <w:r w:rsidRPr="005D00B9">
        <w:rPr>
          <w:rStyle w:val="FootnoteReference"/>
        </w:rPr>
        <w:endnoteRef/>
      </w:r>
      <w:r w:rsidRPr="005D00B9">
        <w:t xml:space="preserve"> </w:t>
      </w:r>
      <w:r>
        <w:t>Ref.</w:t>
      </w:r>
      <w:r w:rsidRPr="005D00B9">
        <w:t xml:space="preserve"> Ps. 2:1-3.</w:t>
      </w:r>
    </w:p>
  </w:endnote>
  <w:endnote w:id="244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Psalms, p. 599.</w:t>
      </w:r>
    </w:p>
  </w:endnote>
  <w:endnote w:id="2443">
    <w:p w:rsidR="00975183" w:rsidRDefault="00975183" w:rsidP="006A2E06">
      <w:pPr>
        <w:pStyle w:val="EndnoteText"/>
      </w:pPr>
      <w:r w:rsidRPr="005D00B9">
        <w:rPr>
          <w:rStyle w:val="FootnoteReference"/>
        </w:rPr>
        <w:endnoteRef/>
      </w:r>
      <w:r w:rsidRPr="005D00B9">
        <w:t xml:space="preserve"> Crucifixion was ‘an important method of capital punishment, particularly among the Persians, Seleucids, Carthaginians, and Romans from about the 6th century </w:t>
      </w:r>
      <w:r w:rsidRPr="005D00B9">
        <w:rPr>
          <w:rStyle w:val="bps-small-text"/>
        </w:rPr>
        <w:t>BCE</w:t>
      </w:r>
      <w:r w:rsidRPr="005D00B9">
        <w:t xml:space="preserve"> to the 4th century </w:t>
      </w:r>
      <w:r w:rsidRPr="005D00B9">
        <w:rPr>
          <w:rStyle w:val="bps-small-text"/>
        </w:rPr>
        <w:t>CE</w:t>
      </w:r>
      <w:r w:rsidRPr="005D00B9">
        <w:t>.’</w:t>
      </w:r>
      <w:r>
        <w:t xml:space="preserve">  </w:t>
      </w:r>
      <w:r w:rsidRPr="0076718B">
        <w:rPr>
          <w:i/>
        </w:rPr>
        <w:t>Encyclopaedia Britannica</w:t>
      </w:r>
      <w:r w:rsidRPr="005D00B9">
        <w:t xml:space="preserve"> &lt;http://www.britannica.com/EBchecked/topic/144583/crucifixion&gt; [accessed 12.7.11].</w:t>
      </w:r>
    </w:p>
  </w:endnote>
  <w:endnote w:id="2444">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Psalms, p. 599.</w:t>
      </w:r>
      <w:r>
        <w:t xml:space="preserve">  </w:t>
      </w:r>
      <w:r w:rsidRPr="005616B8">
        <w:rPr>
          <w:b/>
          <w:szCs w:val="22"/>
        </w:rPr>
        <w:t>See 4.1</w:t>
      </w:r>
      <w:r w:rsidRPr="005616B8">
        <w:rPr>
          <w:sz w:val="22"/>
          <w:szCs w:val="22"/>
        </w:rPr>
        <w:t>.</w:t>
      </w:r>
    </w:p>
  </w:endnote>
  <w:endnote w:id="2445">
    <w:p w:rsidR="00975183" w:rsidRDefault="00975183" w:rsidP="006A2E06">
      <w:pPr>
        <w:pStyle w:val="EndnoteText"/>
      </w:pPr>
      <w:r w:rsidRPr="00F40C6A">
        <w:rPr>
          <w:rStyle w:val="FootnoteReference"/>
        </w:rPr>
        <w:endnoteRef/>
      </w:r>
      <w:r w:rsidRPr="00F40C6A">
        <w:t xml:space="preserve"> Pss 2, 4, 5, 8, 9, 16, 19, 39, 40, 41, 45, 46, 51, 68, 69, 72, 88, 102, 103, 110, 118 and 120.</w:t>
      </w:r>
    </w:p>
  </w:endnote>
  <w:endnote w:id="244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notes on Pss 4, 5, 9, 46 and 120, pp. 600-602, 617, 621 and 662.</w:t>
      </w:r>
      <w:r>
        <w:rPr>
          <w:szCs w:val="18"/>
        </w:rPr>
        <w:t xml:space="preserve">  </w:t>
      </w:r>
      <w:r w:rsidRPr="005616B8">
        <w:rPr>
          <w:b/>
          <w:szCs w:val="18"/>
        </w:rPr>
        <w:t xml:space="preserve">See the </w:t>
      </w:r>
      <w:r w:rsidRPr="005616B8">
        <w:rPr>
          <w:b/>
          <w:i/>
          <w:szCs w:val="18"/>
        </w:rPr>
        <w:t>excursi</w:t>
      </w:r>
      <w:r w:rsidRPr="005616B8">
        <w:rPr>
          <w:b/>
          <w:szCs w:val="18"/>
        </w:rPr>
        <w:t xml:space="preserve"> table at the end of the Introduction</w:t>
      </w:r>
      <w:r>
        <w:rPr>
          <w:szCs w:val="18"/>
        </w:rPr>
        <w:t>.</w:t>
      </w:r>
    </w:p>
  </w:endnote>
  <w:endnote w:id="244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notes on Pss 8, 16</w:t>
      </w:r>
      <w:r>
        <w:rPr>
          <w:szCs w:val="18"/>
        </w:rPr>
        <w:t xml:space="preserve"> and </w:t>
      </w:r>
      <w:r w:rsidRPr="006329CD">
        <w:rPr>
          <w:szCs w:val="18"/>
        </w:rPr>
        <w:t>45, pp. 602, 605 and 620.</w:t>
      </w:r>
    </w:p>
  </w:endnote>
  <w:endnote w:id="2448">
    <w:p w:rsidR="00975183" w:rsidRDefault="00975183" w:rsidP="006A2E06">
      <w:pPr>
        <w:pStyle w:val="EndnoteText"/>
      </w:pPr>
      <w:r w:rsidRPr="00F40C6A">
        <w:rPr>
          <w:rStyle w:val="FootnoteReference"/>
        </w:rPr>
        <w:endnoteRef/>
      </w:r>
      <w:r w:rsidRPr="00F40C6A">
        <w:t xml:space="preserve"> </w:t>
      </w:r>
      <w:proofErr w:type="gramStart"/>
      <w:r w:rsidRPr="00F40C6A">
        <w:t>Pss 2, 8, 16, 22, 24, 40, 41, 45, 68, 69, 72, 89, 102, 110, 118.</w:t>
      </w:r>
      <w:proofErr w:type="gramEnd"/>
    </w:p>
  </w:endnote>
  <w:endnote w:id="244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Ps. 110, pp. 654-5.</w:t>
      </w:r>
      <w:proofErr w:type="gramEnd"/>
    </w:p>
  </w:endnote>
  <w:endnote w:id="245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 xml:space="preserve">note on Ps. 2:6, p. 600.  </w:t>
      </w:r>
      <w:r w:rsidRPr="006329CD">
        <w:rPr>
          <w:szCs w:val="18"/>
        </w:rPr>
        <w:t xml:space="preserve">Unusually, Scofield annotates every verse of this psalm, though all the references are listed in the note on v. 6.  </w:t>
      </w:r>
    </w:p>
  </w:endnote>
  <w:endnote w:id="245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8:5, p. 602.</w:t>
      </w:r>
    </w:p>
  </w:endnote>
  <w:endnote w:id="245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notes on Ps. 24:3, p. 610; 45:1, p. 620; 72:1, pp. 633-4.</w:t>
      </w:r>
    </w:p>
  </w:endnote>
  <w:endnote w:id="2453">
    <w:p w:rsidR="00975183" w:rsidRDefault="00975183" w:rsidP="006A2E06">
      <w:pPr>
        <w:pStyle w:val="EndnoteText"/>
      </w:pPr>
      <w:r w:rsidRPr="000D5175">
        <w:rPr>
          <w:rStyle w:val="EndnoteReference"/>
        </w:rPr>
        <w:endnoteRef/>
      </w:r>
      <w:r w:rsidRPr="000D5175">
        <w:t xml:space="preserve"> </w:t>
      </w:r>
      <w:r w:rsidRPr="006329CD">
        <w:rPr>
          <w:i/>
          <w:szCs w:val="18"/>
        </w:rPr>
        <w:t>SRB</w:t>
      </w:r>
      <w:r w:rsidRPr="006329CD">
        <w:rPr>
          <w:szCs w:val="18"/>
        </w:rPr>
        <w:t xml:space="preserve"> </w:t>
      </w:r>
      <w:r>
        <w:rPr>
          <w:szCs w:val="18"/>
        </w:rPr>
        <w:t>note on Ps. 118:22, p. 657.</w:t>
      </w:r>
    </w:p>
  </w:endnote>
  <w:endnote w:id="245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110:1, pp. 654-5.</w:t>
      </w:r>
    </w:p>
  </w:endnote>
  <w:endnote w:id="245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2:6, p. 600.</w:t>
      </w:r>
    </w:p>
  </w:endnote>
  <w:endnote w:id="245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sidRPr="00247233">
        <w:rPr>
          <w:szCs w:val="18"/>
        </w:rPr>
        <w:t>Ps. 51:1</w:t>
      </w:r>
      <w:r w:rsidRPr="00BF3F86">
        <w:rPr>
          <w:szCs w:val="18"/>
        </w:rPr>
        <w:t xml:space="preserve">, </w:t>
      </w:r>
      <w:r w:rsidRPr="006329CD">
        <w:rPr>
          <w:szCs w:val="18"/>
        </w:rPr>
        <w:t>p. 623.</w:t>
      </w:r>
    </w:p>
  </w:endnote>
  <w:endnote w:id="245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68:1, p. 630.</w:t>
      </w:r>
    </w:p>
  </w:endnote>
  <w:endnote w:id="245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 xml:space="preserve">note on Ps. 69:1, p. 631.  </w:t>
      </w:r>
      <w:r w:rsidRPr="005616B8">
        <w:rPr>
          <w:b/>
          <w:szCs w:val="18"/>
        </w:rPr>
        <w:t>See 4.1</w:t>
      </w:r>
      <w:r>
        <w:rPr>
          <w:szCs w:val="18"/>
        </w:rPr>
        <w:t>.</w:t>
      </w:r>
    </w:p>
  </w:endnote>
  <w:endnote w:id="245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notes on Pss 16:9, p. 605; 89:27, p. 643; 118:29, p. 658.</w:t>
      </w:r>
    </w:p>
  </w:endnote>
  <w:endnote w:id="246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89:27, p. 643.</w:t>
      </w:r>
    </w:p>
  </w:endnote>
  <w:endnote w:id="246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2:6, p. 600.</w:t>
      </w:r>
    </w:p>
  </w:endnote>
  <w:endnote w:id="246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69:1, p. 631.</w:t>
      </w:r>
    </w:p>
  </w:endnote>
  <w:endnote w:id="246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note on Ps. 22:7, p. 608.</w:t>
      </w:r>
    </w:p>
  </w:endnote>
  <w:endnote w:id="2464">
    <w:p w:rsidR="00975183" w:rsidRPr="003A289A" w:rsidRDefault="00975183" w:rsidP="006A2E06">
      <w:pPr>
        <w:pStyle w:val="EndnoteText"/>
      </w:pPr>
      <w:r w:rsidRPr="003A289A">
        <w:rPr>
          <w:rStyle w:val="EndnoteReference"/>
        </w:rPr>
        <w:endnoteRef/>
      </w:r>
      <w:r w:rsidRPr="003A289A">
        <w:t xml:space="preserve"> </w:t>
      </w:r>
      <w:r>
        <w:t>See above.</w:t>
      </w:r>
    </w:p>
  </w:endnote>
  <w:endnote w:id="246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 xml:space="preserve">notes on Ps. 69:1, p. 631 (ref. Mt. 26:36-45); Ps. 102:1, p. 648; </w:t>
      </w:r>
      <w:r w:rsidRPr="006329CD">
        <w:rPr>
          <w:i/>
          <w:szCs w:val="18"/>
        </w:rPr>
        <w:t>SRB</w:t>
      </w:r>
      <w:r w:rsidRPr="006329CD">
        <w:rPr>
          <w:szCs w:val="18"/>
        </w:rPr>
        <w:t xml:space="preserve"> </w:t>
      </w:r>
      <w:r>
        <w:rPr>
          <w:szCs w:val="18"/>
        </w:rPr>
        <w:t>note on heading to Ps. 120, p. 663.</w:t>
      </w:r>
    </w:p>
  </w:endnote>
  <w:endnote w:id="2466">
    <w:p w:rsidR="00975183" w:rsidRDefault="00975183" w:rsidP="00B4627D">
      <w:pPr>
        <w:pStyle w:val="EndnoteText"/>
      </w:pPr>
      <w:r w:rsidRPr="00BB0138">
        <w:rPr>
          <w:rStyle w:val="FootnoteReference"/>
        </w:rPr>
        <w:endnoteRef/>
      </w:r>
      <w:r w:rsidRPr="00BB0138">
        <w:t xml:space="preserve"> See Figure 1 above.</w:t>
      </w:r>
    </w:p>
  </w:endnote>
  <w:endnote w:id="2467">
    <w:p w:rsidR="00975183" w:rsidRPr="00A154E5" w:rsidRDefault="00975183" w:rsidP="00B4627D">
      <w:pPr>
        <w:pStyle w:val="EndnoteText"/>
        <w:rPr>
          <w:lang w:val="en-US"/>
        </w:rPr>
      </w:pPr>
      <w:r w:rsidRPr="00200719">
        <w:rPr>
          <w:rStyle w:val="FootnoteReference"/>
        </w:rPr>
        <w:endnoteRef/>
      </w:r>
      <w:r w:rsidRPr="00200719">
        <w:t xml:space="preserve"> </w:t>
      </w:r>
      <w:proofErr w:type="gramStart"/>
      <w:r w:rsidRPr="00200719">
        <w:t>Hosea, Amos, Jonah, Zephaniah and Haggai</w:t>
      </w:r>
      <w:r>
        <w:t>.</w:t>
      </w:r>
      <w:proofErr w:type="gramEnd"/>
    </w:p>
  </w:endnote>
  <w:endnote w:id="2468">
    <w:p w:rsidR="00975183" w:rsidRDefault="00975183" w:rsidP="006A2E06">
      <w:pPr>
        <w:pStyle w:val="EndnoteText"/>
      </w:pPr>
      <w:r w:rsidRPr="005D00B9">
        <w:rPr>
          <w:rStyle w:val="FootnoteReference"/>
        </w:rPr>
        <w:endnoteRef/>
      </w:r>
      <w:r w:rsidRPr="005D00B9">
        <w:t xml:space="preserve"> </w:t>
      </w:r>
      <w:r w:rsidRPr="005D00B9">
        <w:rPr>
          <w:i/>
        </w:rPr>
        <w:t xml:space="preserve">SRB </w:t>
      </w:r>
      <w:r w:rsidRPr="005D00B9">
        <w:t>Introduction to the Prophetical Books, pp. 711-2</w:t>
      </w:r>
      <w:r>
        <w:t>.</w:t>
      </w:r>
    </w:p>
  </w:endnote>
  <w:endnote w:id="2469">
    <w:p w:rsidR="00975183" w:rsidRDefault="00975183" w:rsidP="006A2E06">
      <w:pPr>
        <w:pStyle w:val="EndnoteText"/>
      </w:pPr>
      <w:r w:rsidRPr="005D00B9">
        <w:rPr>
          <w:rStyle w:val="FootnoteReference"/>
        </w:rPr>
        <w:endnoteRef/>
      </w:r>
      <w:r w:rsidRPr="005D00B9">
        <w:t xml:space="preserve"> Gen. 1:26-8; 3:15; Deut 28, 29 &amp; 30, especially 30:1-9</w:t>
      </w:r>
      <w:r>
        <w:t>;</w:t>
      </w:r>
      <w:r w:rsidRPr="005D00B9">
        <w:t xml:space="preserve"> Deut. 30:3; 2 Sam. 7:8-17 note; Psalm 2</w:t>
      </w:r>
      <w:r>
        <w:t>;</w:t>
      </w:r>
      <w:r w:rsidRPr="005D00B9">
        <w:t xml:space="preserve"> Lk 1:31-33; Acts 1:9-11; 1 Cor; 15:28 note [</w:t>
      </w:r>
      <w:r w:rsidRPr="005D00B9">
        <w:rPr>
          <w:i/>
        </w:rPr>
        <w:t>sic</w:t>
      </w:r>
      <w:r w:rsidRPr="005D00B9">
        <w:t xml:space="preserve">.  </w:t>
      </w:r>
      <w:proofErr w:type="gramStart"/>
      <w:r w:rsidRPr="005D00B9">
        <w:t>probably</w:t>
      </w:r>
      <w:proofErr w:type="gramEnd"/>
      <w:r w:rsidRPr="005D00B9">
        <w:t xml:space="preserve"> 1 Cor. 15:24]; Rev. 16:14; 19:11-21.</w:t>
      </w:r>
    </w:p>
  </w:endnote>
  <w:endnote w:id="247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Introduction to</w:t>
      </w:r>
      <w:r w:rsidRPr="005D00B9">
        <w:t xml:space="preserve"> the Prophetical Books, p. 71</w:t>
      </w:r>
      <w:r>
        <w:t>1.</w:t>
      </w:r>
    </w:p>
  </w:endnote>
  <w:endnote w:id="2471">
    <w:p w:rsidR="00975183" w:rsidRPr="00FD7D43" w:rsidRDefault="00975183" w:rsidP="006A2E06">
      <w:pPr>
        <w:pStyle w:val="EndnoteText"/>
      </w:pPr>
      <w:r w:rsidRPr="00FD7D43">
        <w:rPr>
          <w:rStyle w:val="EndnoteReference"/>
        </w:rPr>
        <w:endnoteRef/>
      </w:r>
      <w:r w:rsidRPr="00FD7D43">
        <w:t xml:space="preserve"> For example, in </w:t>
      </w:r>
      <w:r w:rsidRPr="00FD7D43">
        <w:rPr>
          <w:i/>
        </w:rPr>
        <w:t>SRB</w:t>
      </w:r>
      <w:r w:rsidRPr="00FD7D43">
        <w:t xml:space="preserve"> notes on Isa. 13:19, p. 725; 29:3, p. 737; 32:1, p. 740; Jer. 46:1, pp. 822-3. </w:t>
      </w:r>
    </w:p>
  </w:endnote>
  <w:endnote w:id="2472">
    <w:p w:rsidR="00975183" w:rsidRPr="00DF1CBD" w:rsidRDefault="00975183" w:rsidP="006A2E06">
      <w:pPr>
        <w:pStyle w:val="EndnoteText"/>
      </w:pPr>
      <w:r w:rsidRPr="00DF1CBD">
        <w:rPr>
          <w:rStyle w:val="EndnoteReference"/>
        </w:rPr>
        <w:endnoteRef/>
      </w:r>
      <w:r w:rsidRPr="00DF1CBD">
        <w:t xml:space="preserve"> </w:t>
      </w:r>
      <w:r>
        <w:t>Ref. Deuteronomy. 12:1 – 30:9.</w:t>
      </w:r>
    </w:p>
  </w:endnote>
  <w:endnote w:id="2473">
    <w:p w:rsidR="00975183" w:rsidRDefault="00975183" w:rsidP="00971FEE">
      <w:pPr>
        <w:pStyle w:val="EndnoteText"/>
      </w:pPr>
      <w:r w:rsidRPr="005D00B9">
        <w:rPr>
          <w:rStyle w:val="FootnoteReference"/>
        </w:rPr>
        <w:endnoteRef/>
      </w:r>
      <w:r w:rsidRPr="005D00B9">
        <w:t xml:space="preserve"> </w:t>
      </w:r>
      <w:r w:rsidRPr="000F712A">
        <w:rPr>
          <w:i/>
        </w:rPr>
        <w:t>SRB</w:t>
      </w:r>
      <w:r w:rsidRPr="005D00B9">
        <w:t xml:space="preserve"> Introduction to Isaiah, p. 713.  </w:t>
      </w:r>
    </w:p>
  </w:endnote>
  <w:endnote w:id="2474">
    <w:p w:rsidR="00975183" w:rsidRDefault="00975183" w:rsidP="00971FEE">
      <w:pPr>
        <w:pStyle w:val="EndnoteText"/>
      </w:pPr>
      <w:r w:rsidRPr="005D00B9">
        <w:rPr>
          <w:rStyle w:val="FootnoteReference"/>
        </w:rPr>
        <w:endnoteRef/>
      </w:r>
      <w:r w:rsidRPr="005D00B9">
        <w:t xml:space="preserve"> Scofield asserts that ‘nowhere else in the Scriptures written under the law have we so </w:t>
      </w:r>
      <w:proofErr w:type="gramStart"/>
      <w:r w:rsidRPr="005D00B9">
        <w:t>clear</w:t>
      </w:r>
      <w:proofErr w:type="gramEnd"/>
      <w:r w:rsidRPr="005D00B9">
        <w:t xml:space="preserve"> a view of grace’.</w:t>
      </w:r>
    </w:p>
  </w:endnote>
  <w:endnote w:id="2475">
    <w:p w:rsidR="00975183" w:rsidRDefault="00975183" w:rsidP="00971FEE">
      <w:pPr>
        <w:pStyle w:val="EndnoteText"/>
      </w:pPr>
      <w:r w:rsidRPr="005D00B9">
        <w:rPr>
          <w:rStyle w:val="FootnoteReference"/>
        </w:rPr>
        <w:endnoteRef/>
      </w:r>
      <w:r w:rsidRPr="005D00B9">
        <w:t xml:space="preserve"> </w:t>
      </w:r>
      <w:r w:rsidRPr="000F712A">
        <w:rPr>
          <w:i/>
        </w:rPr>
        <w:t>SRB</w:t>
      </w:r>
      <w:r w:rsidRPr="005D00B9">
        <w:t xml:space="preserve"> Introduction to Isaiah, p. 713.  These include</w:t>
      </w:r>
      <w:r w:rsidRPr="005D00B9">
        <w:rPr>
          <w:color w:val="008080"/>
        </w:rPr>
        <w:t xml:space="preserve"> </w:t>
      </w:r>
      <w:r w:rsidRPr="005D00B9">
        <w:t>‘the reign of David’s righteous Branch in the kingdom-age’.  The other themes are: Israel in exile and divine judgment upon Israel’s oppressors; the return from Babylon; the manifestation of Messiah in humiliation; the blessing of the Gentiles; the manifestation of Messiah in judgment and the new heavens and new earth.</w:t>
      </w:r>
    </w:p>
  </w:endnote>
  <w:endnote w:id="2476">
    <w:p w:rsidR="00975183" w:rsidRDefault="00975183" w:rsidP="006A2E06">
      <w:pPr>
        <w:pStyle w:val="EndnoteText"/>
      </w:pPr>
      <w:r w:rsidRPr="006329CD">
        <w:rPr>
          <w:rStyle w:val="EndnoteReference"/>
        </w:rPr>
        <w:endnoteRef/>
      </w:r>
      <w:r>
        <w:t xml:space="preserve"> For example,</w:t>
      </w:r>
      <w:r w:rsidRPr="006329CD">
        <w:t xml:space="preserve"> </w:t>
      </w:r>
      <w:r w:rsidRPr="006329CD">
        <w:rPr>
          <w:i/>
        </w:rPr>
        <w:t>SRB</w:t>
      </w:r>
      <w:r w:rsidRPr="006329CD">
        <w:t xml:space="preserve"> note</w:t>
      </w:r>
      <w:r>
        <w:t>s</w:t>
      </w:r>
      <w:r w:rsidRPr="006329CD">
        <w:t xml:space="preserve"> on</w:t>
      </w:r>
      <w:r>
        <w:t xml:space="preserve"> Isa. 1:2, p. 713; 9:12, p. 721; 10:12, p. 722.</w:t>
      </w:r>
    </w:p>
  </w:endnote>
  <w:endnote w:id="2477">
    <w:p w:rsidR="00975183" w:rsidRPr="00D2706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Pr>
          <w:szCs w:val="18"/>
        </w:rPr>
        <w:t xml:space="preserve"> note</w:t>
      </w:r>
      <w:r w:rsidRPr="006329CD">
        <w:rPr>
          <w:szCs w:val="18"/>
        </w:rPr>
        <w:t xml:space="preserve"> on</w:t>
      </w:r>
      <w:r>
        <w:rPr>
          <w:szCs w:val="18"/>
        </w:rPr>
        <w:t xml:space="preserve"> Isa. 7:2, pp. 718-9.  </w:t>
      </w:r>
      <w:r w:rsidRPr="00D27063">
        <w:t>Ref. Mt. 13:44, where Scofield’s note interprets the ten tribes as the treasure ‘hidden in the world’.</w:t>
      </w:r>
    </w:p>
  </w:endnote>
  <w:endnote w:id="2478">
    <w:p w:rsidR="00975183" w:rsidRPr="00D25D47" w:rsidRDefault="00975183" w:rsidP="006A2E06">
      <w:pPr>
        <w:pStyle w:val="EndnoteText"/>
      </w:pPr>
      <w:r w:rsidRPr="00D25D47">
        <w:rPr>
          <w:rStyle w:val="EndnoteReference"/>
        </w:rPr>
        <w:endnoteRef/>
      </w:r>
      <w:r w:rsidRPr="00D25D47">
        <w:t xml:space="preserve"> </w:t>
      </w:r>
      <w:r w:rsidRPr="00D25D47">
        <w:rPr>
          <w:i/>
        </w:rPr>
        <w:t>SRB</w:t>
      </w:r>
      <w:r>
        <w:t xml:space="preserve"> notes on Isa. 9:7, p. 721; 11:1, p. 723; 40:1, p. 747.</w:t>
      </w:r>
    </w:p>
  </w:endnote>
  <w:endnote w:id="2479">
    <w:p w:rsidR="00975183" w:rsidRDefault="00975183" w:rsidP="006A2E06">
      <w:pPr>
        <w:pStyle w:val="EndnoteText"/>
      </w:pPr>
      <w:r w:rsidRPr="00D25D47">
        <w:rPr>
          <w:rStyle w:val="EndnoteReference"/>
        </w:rPr>
        <w:endnoteRef/>
      </w:r>
      <w:r w:rsidRPr="00D25D47">
        <w:t xml:space="preserve"> </w:t>
      </w:r>
      <w:r w:rsidRPr="00D25D47">
        <w:rPr>
          <w:i/>
        </w:rPr>
        <w:t>SRB</w:t>
      </w:r>
      <w:r>
        <w:t xml:space="preserve"> note on Isa. 9:7, p. 721.</w:t>
      </w:r>
    </w:p>
  </w:endnote>
  <w:endnote w:id="2480">
    <w:p w:rsidR="00975183" w:rsidRDefault="00975183" w:rsidP="006A2E06">
      <w:pPr>
        <w:pStyle w:val="EndnoteText"/>
      </w:pPr>
      <w:r w:rsidRPr="00D25D47">
        <w:rPr>
          <w:rStyle w:val="EndnoteReference"/>
        </w:rPr>
        <w:endnoteRef/>
      </w:r>
      <w:r w:rsidRPr="00D25D47">
        <w:t xml:space="preserve"> </w:t>
      </w:r>
      <w:r w:rsidRPr="00D25D47">
        <w:rPr>
          <w:i/>
        </w:rPr>
        <w:t>SRB</w:t>
      </w:r>
      <w:r>
        <w:t xml:space="preserve"> notes on Isa. 10:20, p. 722; 14:26, p. 727; 15:1, p. 727; 17:1, p. 728; 29:3, p. 737; 32:1, p. 740.</w:t>
      </w:r>
    </w:p>
  </w:endnote>
  <w:endnote w:id="2481">
    <w:p w:rsidR="00975183" w:rsidRDefault="00975183" w:rsidP="006A2E06">
      <w:pPr>
        <w:pStyle w:val="EndnoteText"/>
      </w:pPr>
      <w:r w:rsidRPr="00D25D47">
        <w:rPr>
          <w:rStyle w:val="EndnoteReference"/>
        </w:rPr>
        <w:endnoteRef/>
      </w:r>
      <w:r w:rsidRPr="00D25D47">
        <w:t xml:space="preserve"> </w:t>
      </w:r>
      <w:r w:rsidRPr="00D25D47">
        <w:rPr>
          <w:i/>
        </w:rPr>
        <w:t>SRB</w:t>
      </w:r>
      <w:r>
        <w:t xml:space="preserve"> notes </w:t>
      </w:r>
      <w:r w:rsidRPr="005616B8">
        <w:t>on Isa. 13:1</w:t>
      </w:r>
      <w:r>
        <w:t xml:space="preserve">, pp. 724-5; 13:19, p. 725.  </w:t>
      </w:r>
      <w:proofErr w:type="gramStart"/>
      <w:r w:rsidRPr="005616B8">
        <w:rPr>
          <w:b/>
        </w:rPr>
        <w:t>See 7.1.2.3</w:t>
      </w:r>
      <w:r>
        <w:t>.</w:t>
      </w:r>
      <w:proofErr w:type="gramEnd"/>
    </w:p>
  </w:endnote>
  <w:endnote w:id="2482">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4:2, pp. 716-7.</w:t>
      </w:r>
    </w:p>
  </w:endnote>
  <w:endnote w:id="2483">
    <w:p w:rsidR="00975183" w:rsidRPr="00C96AEB" w:rsidRDefault="00975183" w:rsidP="006A2E06">
      <w:pPr>
        <w:pStyle w:val="EndnoteText"/>
      </w:pPr>
      <w:r w:rsidRPr="00C96AEB">
        <w:rPr>
          <w:rStyle w:val="EndnoteReference"/>
        </w:rPr>
        <w:endnoteRef/>
      </w:r>
      <w:r w:rsidRPr="00C96AEB">
        <w:t xml:space="preserve"> Isaiah 7:14 is generally regarded as prophesying the incarnation of Christ.</w:t>
      </w:r>
    </w:p>
  </w:endnote>
  <w:endnote w:id="2484">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7:15, 719.</w:t>
      </w:r>
    </w:p>
  </w:endnote>
  <w:endnote w:id="248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40:1, p. 747. </w:t>
      </w:r>
    </w:p>
  </w:endnote>
  <w:endnote w:id="2486">
    <w:p w:rsidR="00975183" w:rsidRPr="00C96AEB" w:rsidRDefault="00975183" w:rsidP="006A2E06">
      <w:pPr>
        <w:pStyle w:val="EndnoteText"/>
      </w:pPr>
      <w:r w:rsidRPr="00C96AEB">
        <w:rPr>
          <w:rStyle w:val="EndnoteReference"/>
        </w:rPr>
        <w:endnoteRef/>
      </w:r>
      <w:r w:rsidRPr="00C96AEB">
        <w:t xml:space="preserve"> Refs within Isa. 4:2, 40:1 and 41:8</w:t>
      </w:r>
      <w:r>
        <w:t>.</w:t>
      </w:r>
    </w:p>
  </w:endnote>
  <w:endnote w:id="2487">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52:14, p. 760.</w:t>
      </w:r>
    </w:p>
  </w:endnote>
  <w:endnote w:id="2488">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61:2, p. 766.  </w:t>
      </w:r>
      <w:proofErr w:type="gramStart"/>
      <w:r w:rsidRPr="005616B8">
        <w:rPr>
          <w:b/>
        </w:rPr>
        <w:t>See 8.6.3</w:t>
      </w:r>
      <w:r>
        <w:t>.</w:t>
      </w:r>
      <w:proofErr w:type="gramEnd"/>
    </w:p>
  </w:endnote>
  <w:endnote w:id="2489">
    <w:p w:rsidR="00975183" w:rsidRDefault="00975183" w:rsidP="006A2E06">
      <w:pPr>
        <w:pStyle w:val="EndnoteText"/>
      </w:pPr>
      <w:r w:rsidRPr="006329CD">
        <w:rPr>
          <w:rStyle w:val="EndnoteReference"/>
        </w:rPr>
        <w:endnoteRef/>
      </w:r>
      <w:r w:rsidRPr="006329CD">
        <w:t xml:space="preserve"> </w:t>
      </w:r>
      <w:r w:rsidRPr="000F4338">
        <w:rPr>
          <w:i/>
        </w:rPr>
        <w:t xml:space="preserve">SRB </w:t>
      </w:r>
      <w:r>
        <w:t>note on Isa. 42:1, p. 750.</w:t>
      </w:r>
    </w:p>
  </w:endnote>
  <w:endnote w:id="2490">
    <w:p w:rsidR="00975183" w:rsidRPr="000528A8" w:rsidRDefault="00975183" w:rsidP="006A2E06">
      <w:pPr>
        <w:pStyle w:val="EndnoteText"/>
      </w:pPr>
      <w:r w:rsidRPr="000528A8">
        <w:rPr>
          <w:rStyle w:val="EndnoteReference"/>
        </w:rPr>
        <w:endnoteRef/>
      </w:r>
      <w:r w:rsidRPr="000528A8">
        <w:t xml:space="preserve"> </w:t>
      </w:r>
      <w:r>
        <w:t>Refs Gen. 15:13-14; Deut. 30:5-7; Isa. 14:1-2; Joel 3:1-8; Mic. 5:7-9; Mt. 25:31-40.</w:t>
      </w:r>
    </w:p>
  </w:endnote>
  <w:endnote w:id="2491">
    <w:p w:rsidR="00975183" w:rsidRPr="000528A8" w:rsidRDefault="00975183" w:rsidP="006A2E06">
      <w:pPr>
        <w:pStyle w:val="EndnoteText"/>
      </w:pPr>
      <w:r w:rsidRPr="000528A8">
        <w:rPr>
          <w:rStyle w:val="EndnoteReference"/>
        </w:rPr>
        <w:endnoteRef/>
      </w:r>
      <w:r w:rsidRPr="000528A8">
        <w:t xml:space="preserve"> Gen. 15:13-14; Deut. 30:5-7</w:t>
      </w:r>
      <w:r>
        <w:t>.</w:t>
      </w:r>
    </w:p>
  </w:endnote>
  <w:endnote w:id="2492">
    <w:p w:rsidR="00975183" w:rsidRPr="000528A8" w:rsidRDefault="00975183" w:rsidP="006A2E06">
      <w:pPr>
        <w:pStyle w:val="EndnoteText"/>
      </w:pPr>
      <w:r w:rsidRPr="000528A8">
        <w:rPr>
          <w:rStyle w:val="EndnoteReference"/>
        </w:rPr>
        <w:endnoteRef/>
      </w:r>
      <w:r w:rsidRPr="000528A8">
        <w:t xml:space="preserve"> </w:t>
      </w:r>
      <w:r>
        <w:t xml:space="preserve">1.1.1, </w:t>
      </w:r>
      <w:r w:rsidRPr="000528A8">
        <w:t>a) “Words”</w:t>
      </w:r>
      <w:r>
        <w:t>.</w:t>
      </w:r>
    </w:p>
  </w:endnote>
  <w:endnote w:id="2493">
    <w:p w:rsidR="00975183" w:rsidRDefault="00975183" w:rsidP="006A2E06">
      <w:pPr>
        <w:pStyle w:val="EndnoteText"/>
      </w:pPr>
      <w:r w:rsidRPr="00284638">
        <w:rPr>
          <w:rStyle w:val="EndnoteReference"/>
        </w:rPr>
        <w:endnoteRef/>
      </w:r>
      <w:r w:rsidRPr="00284638">
        <w:t xml:space="preserve"> </w:t>
      </w:r>
      <w:proofErr w:type="gramStart"/>
      <w:r w:rsidRPr="00284638">
        <w:rPr>
          <w:i/>
        </w:rPr>
        <w:t>SRB</w:t>
      </w:r>
      <w:r>
        <w:t xml:space="preserve"> note on Gen. 32:28, </w:t>
      </w:r>
      <w:r w:rsidRPr="00721952">
        <w:rPr>
          <w:i/>
        </w:rPr>
        <w:t>SRB</w:t>
      </w:r>
      <w:r>
        <w:t>, p. 48.</w:t>
      </w:r>
      <w:proofErr w:type="gramEnd"/>
      <w:r>
        <w:t xml:space="preserve">  </w:t>
      </w:r>
      <w:proofErr w:type="gramStart"/>
      <w:r w:rsidRPr="008F23D5">
        <w:rPr>
          <w:sz w:val="22"/>
          <w:szCs w:val="22"/>
        </w:rPr>
        <w:t>[</w:t>
      </w:r>
      <w:r w:rsidRPr="008F23D5">
        <w:rPr>
          <w:i/>
          <w:sz w:val="22"/>
          <w:szCs w:val="22"/>
        </w:rPr>
        <w:t>Scofield’s emphases</w:t>
      </w:r>
      <w:r w:rsidRPr="008F23D5">
        <w:rPr>
          <w:sz w:val="22"/>
          <w:szCs w:val="22"/>
        </w:rPr>
        <w:t>.]</w:t>
      </w:r>
      <w:proofErr w:type="gramEnd"/>
    </w:p>
  </w:endnote>
  <w:endnote w:id="2494">
    <w:p w:rsidR="00975183" w:rsidRPr="00D25D47" w:rsidRDefault="00975183" w:rsidP="006A2E06">
      <w:pPr>
        <w:pStyle w:val="EndnoteText"/>
      </w:pPr>
      <w:r w:rsidRPr="00D25D47">
        <w:rPr>
          <w:rStyle w:val="EndnoteReference"/>
        </w:rPr>
        <w:endnoteRef/>
      </w:r>
      <w:r w:rsidRPr="00D25D47">
        <w:t xml:space="preserve"> </w:t>
      </w:r>
      <w:proofErr w:type="gramStart"/>
      <w:r>
        <w:t>In Isaiah 11.</w:t>
      </w:r>
      <w:proofErr w:type="gramEnd"/>
    </w:p>
  </w:endnote>
  <w:endnote w:id="249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Isa. 13:1, pp. 724-5.</w:t>
      </w:r>
    </w:p>
  </w:endnote>
  <w:endnote w:id="2496">
    <w:p w:rsidR="00975183" w:rsidRPr="006329CD" w:rsidRDefault="00975183" w:rsidP="006A2E06">
      <w:pPr>
        <w:pStyle w:val="EndnoteText"/>
      </w:pPr>
      <w:r w:rsidRPr="006329CD">
        <w:rPr>
          <w:rStyle w:val="EndnoteReference"/>
        </w:rPr>
        <w:endnoteRef/>
      </w:r>
      <w:r w:rsidRPr="006329CD">
        <w:t xml:space="preserve"> Isaiah 43 concerns God’s redemption of Israel and his presence with her as his servant, even though she has not called on him.  </w:t>
      </w:r>
    </w:p>
    <w:p w:rsidR="00975183" w:rsidRPr="006329CD" w:rsidRDefault="00975183" w:rsidP="006A2E06">
      <w:pPr>
        <w:pStyle w:val="EndnoteText"/>
      </w:pPr>
      <w:r w:rsidRPr="006329CD">
        <w:t xml:space="preserve">Isaiah 62 states that Jerusalem will no longer be called forsaken and desolate (v. 4), but called ‘Sought out’ and her people the redeemed of the LORD (v. 12).  </w:t>
      </w:r>
    </w:p>
    <w:p w:rsidR="00975183" w:rsidRPr="006329CD" w:rsidRDefault="00975183" w:rsidP="006A2E06">
      <w:pPr>
        <w:pStyle w:val="EndnoteText"/>
      </w:pPr>
      <w:r w:rsidRPr="006329CD">
        <w:t xml:space="preserve">Isa. 27:12-13 describes the regathering of Israel and the worship of the outcasts from Egypt worshipping the LORD in the holy mount at Jerusalem.  </w:t>
      </w:r>
    </w:p>
  </w:endnote>
  <w:endnote w:id="2497">
    <w:p w:rsidR="00975183" w:rsidRPr="006329CD" w:rsidRDefault="00975183" w:rsidP="006A2E06">
      <w:pPr>
        <w:pStyle w:val="EndnoteText"/>
      </w:pPr>
      <w:r w:rsidRPr="006329CD">
        <w:rPr>
          <w:rStyle w:val="EndnoteReference"/>
        </w:rPr>
        <w:endnoteRef/>
      </w:r>
      <w:r w:rsidRPr="006329CD">
        <w:t xml:space="preserve"> Isaiah 19 concerns the oracle against Egypt, which ends with Assyria and Egypt worshipping the Lord together, with Israel as the third. </w:t>
      </w:r>
    </w:p>
    <w:p w:rsidR="00975183" w:rsidRPr="006329CD" w:rsidRDefault="00975183" w:rsidP="006A2E06">
      <w:pPr>
        <w:pStyle w:val="EndnoteText"/>
      </w:pPr>
      <w:r w:rsidRPr="006329CD">
        <w:t>Isaiah 31 contains the message that Israel should not trust in the Egyptians or in horses, which will perish, but should trust in God, who will fight on Mount Zion to defend Jerusalem.  This message is repeated in Isaiah 50, 51, 54, 55 and 60.</w:t>
      </w:r>
    </w:p>
    <w:p w:rsidR="00975183" w:rsidRPr="006329CD" w:rsidRDefault="00975183" w:rsidP="006A2E06">
      <w:pPr>
        <w:pStyle w:val="EndnoteText"/>
      </w:pPr>
      <w:r w:rsidRPr="006329CD">
        <w:t>Isaiah 32 and 35 paint portraits of the idyllic situation to pertain under restoration.</w:t>
      </w:r>
    </w:p>
    <w:p w:rsidR="00975183" w:rsidRPr="006329CD" w:rsidRDefault="00975183" w:rsidP="006A2E06">
      <w:pPr>
        <w:pStyle w:val="EndnoteText"/>
      </w:pPr>
      <w:r w:rsidRPr="006329CD">
        <w:t>Isa. 66:12 promises peace and the glory of the Gentiles to Jerusalem.</w:t>
      </w:r>
    </w:p>
  </w:endnote>
  <w:endnote w:id="2498">
    <w:p w:rsidR="00975183" w:rsidRDefault="00975183" w:rsidP="006A2E06">
      <w:pPr>
        <w:pStyle w:val="EndnoteText"/>
      </w:pPr>
      <w:r w:rsidRPr="0011005F">
        <w:rPr>
          <w:rStyle w:val="EndnoteReference"/>
        </w:rPr>
        <w:endnoteRef/>
      </w:r>
      <w:r w:rsidRPr="0011005F">
        <w:t xml:space="preserve"> </w:t>
      </w:r>
      <w:r w:rsidRPr="00F40C6A">
        <w:t xml:space="preserve">Isaiah 36 – 39.  According to Scofield’s notes on Isa. 15:1, </w:t>
      </w:r>
      <w:r w:rsidRPr="00F40C6A">
        <w:rPr>
          <w:color w:val="000000"/>
        </w:rPr>
        <w:t>p. 727, and 17:1, p. 728</w:t>
      </w:r>
      <w:r w:rsidRPr="00F40C6A">
        <w:t>, this invasion was foretold in the ‘burdens’ of Moab and Damascus.</w:t>
      </w:r>
    </w:p>
  </w:endnote>
  <w:endnote w:id="2499">
    <w:p w:rsidR="00975183" w:rsidRPr="006329CD"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Gen. 12:1, p. 20.</w:t>
      </w:r>
      <w:proofErr w:type="gramEnd"/>
      <w:r w:rsidRPr="006329CD">
        <w:t xml:space="preserve">  </w:t>
      </w:r>
      <w:r w:rsidRPr="005616B8">
        <w:rPr>
          <w:b/>
        </w:rPr>
        <w:t xml:space="preserve">See </w:t>
      </w:r>
      <w:r>
        <w:rPr>
          <w:b/>
        </w:rPr>
        <w:t>5</w:t>
      </w:r>
      <w:proofErr w:type="gramStart"/>
      <w:r>
        <w:rPr>
          <w:b/>
        </w:rPr>
        <w:t>..2.2</w:t>
      </w:r>
      <w:proofErr w:type="gramEnd"/>
      <w:r>
        <w:rPr>
          <w:b/>
        </w:rPr>
        <w:t>.</w:t>
      </w:r>
      <w:r>
        <w:t xml:space="preserve"> </w:t>
      </w:r>
    </w:p>
  </w:endnote>
  <w:endnote w:id="2500">
    <w:p w:rsidR="00975183" w:rsidRPr="006329CD" w:rsidRDefault="00975183" w:rsidP="006A2E06">
      <w:pPr>
        <w:pStyle w:val="EndnoteText"/>
      </w:pPr>
      <w:r w:rsidRPr="006329CD">
        <w:rPr>
          <w:rStyle w:val="EndnoteReference"/>
        </w:rPr>
        <w:endnoteRef/>
      </w:r>
      <w:r w:rsidRPr="006329CD">
        <w:t xml:space="preserve"> Robert Jewett and John Shelton Lawrence, </w:t>
      </w:r>
      <w:r w:rsidRPr="006329CD">
        <w:rPr>
          <w:i/>
        </w:rPr>
        <w:t xml:space="preserve">Captain America and the Crusade </w:t>
      </w:r>
      <w:proofErr w:type="gramStart"/>
      <w:r w:rsidRPr="006329CD">
        <w:rPr>
          <w:i/>
        </w:rPr>
        <w:t>Against</w:t>
      </w:r>
      <w:proofErr w:type="gramEnd"/>
      <w:r w:rsidRPr="006329CD">
        <w:rPr>
          <w:i/>
        </w:rPr>
        <w:t xml:space="preserve"> Evil: The Dilemma of Zealous Nationalism</w:t>
      </w:r>
      <w:r w:rsidRPr="006329CD">
        <w:t xml:space="preserve"> (Grand Rapids: William B. Eerdmans Publishing Company, 2003), p. xvi.</w:t>
      </w:r>
    </w:p>
  </w:endnote>
  <w:endnote w:id="2501">
    <w:p w:rsidR="00975183" w:rsidRPr="00F40C6A" w:rsidRDefault="00975183" w:rsidP="000410F5">
      <w:pPr>
        <w:pStyle w:val="EndnoteText"/>
      </w:pPr>
      <w:r w:rsidRPr="00732728">
        <w:rPr>
          <w:rStyle w:val="EndnoteReference"/>
        </w:rPr>
        <w:endnoteRef/>
      </w:r>
      <w:r w:rsidRPr="00732728">
        <w:t xml:space="preserve"> </w:t>
      </w:r>
      <w:r w:rsidRPr="00F40C6A">
        <w:t xml:space="preserve">Isa. 3:13-15 state that God will judge Israel for despoiling the poor and grinding their faces. </w:t>
      </w:r>
    </w:p>
    <w:p w:rsidR="00975183" w:rsidRPr="00F40C6A" w:rsidRDefault="00975183" w:rsidP="000410F5">
      <w:pPr>
        <w:pStyle w:val="EndnoteText"/>
      </w:pPr>
      <w:r w:rsidRPr="00F40C6A">
        <w:t>The emphasis in the Song of the Vineyard in Isaiah 5 is on the mistreatment of the poor.  Israel has gone into exile for its lack of regard for God’s ways.  Those who act justly will flourish.</w:t>
      </w:r>
    </w:p>
    <w:p w:rsidR="00975183" w:rsidRPr="00F40C6A" w:rsidRDefault="00975183" w:rsidP="000410F5">
      <w:pPr>
        <w:pStyle w:val="EndnoteText"/>
      </w:pPr>
      <w:r w:rsidRPr="00F40C6A">
        <w:t>Isa. 16:5 describes how a man from the house of David will seek justice in judgment and will hasten righteousness.</w:t>
      </w:r>
    </w:p>
    <w:p w:rsidR="00975183" w:rsidRPr="00F40C6A" w:rsidRDefault="00975183" w:rsidP="000410F5">
      <w:pPr>
        <w:pStyle w:val="EndnoteText"/>
      </w:pPr>
      <w:r w:rsidRPr="00F40C6A">
        <w:t>In Isaiah 22, the oracle of the Valley of Vision bemoans the lack of concern of those who continue to feast in Jerusalem and ignore God’s warnings about their behaviour.</w:t>
      </w:r>
    </w:p>
    <w:p w:rsidR="00975183" w:rsidRPr="00F40C6A" w:rsidRDefault="00975183" w:rsidP="000410F5">
      <w:pPr>
        <w:pStyle w:val="EndnoteText"/>
      </w:pPr>
      <w:r w:rsidRPr="00F40C6A">
        <w:t>Isaiah 24 contains the warning that the Lord will ruin the earth and scatter its inhabitants because they have not kept his covenant.  After this, the Lord will reign in Zion.  Scofield attaches a subhead to Isa. 24:1: ‘looking through troubles to the kingdom-age (v. 23)</w:t>
      </w:r>
      <w:r>
        <w:t>’</w:t>
      </w:r>
      <w:r w:rsidRPr="00F40C6A">
        <w:t>.</w:t>
      </w:r>
    </w:p>
    <w:p w:rsidR="00975183" w:rsidRPr="00F40C6A" w:rsidRDefault="00975183" w:rsidP="000410F5">
      <w:pPr>
        <w:pStyle w:val="EndnoteText"/>
      </w:pPr>
      <w:r w:rsidRPr="00F40C6A">
        <w:t>In Isaiah 25, God is praised as a refuge for the poor and needy.</w:t>
      </w:r>
    </w:p>
    <w:p w:rsidR="00975183" w:rsidRPr="00F40C6A" w:rsidRDefault="00975183" w:rsidP="000410F5">
      <w:pPr>
        <w:pStyle w:val="EndnoteText"/>
      </w:pPr>
      <w:r w:rsidRPr="00F40C6A">
        <w:t>In Isaiah 28, God promises to make justice the measuring line and righteousness the plumb line and warns Judah to cease mocking him lest it be swept away.</w:t>
      </w:r>
    </w:p>
    <w:p w:rsidR="00975183" w:rsidRPr="00F40C6A" w:rsidRDefault="00975183" w:rsidP="000410F5">
      <w:pPr>
        <w:pStyle w:val="EndnoteText"/>
      </w:pPr>
      <w:r w:rsidRPr="00F40C6A">
        <w:t>Isaiah 33 lists the qualities of those able to survive the fire (v. 14)</w:t>
      </w:r>
      <w:r>
        <w:t>:</w:t>
      </w:r>
      <w:r w:rsidRPr="00F40C6A">
        <w:t xml:space="preserve"> those who walk righteously, speak uprightly, reject extortion and bribes, do not plot murder and do not dwell on evil.</w:t>
      </w:r>
    </w:p>
    <w:p w:rsidR="00975183" w:rsidRPr="00F40C6A" w:rsidRDefault="00975183" w:rsidP="000410F5">
      <w:pPr>
        <w:pStyle w:val="EndnoteText"/>
      </w:pPr>
      <w:r w:rsidRPr="00F40C6A">
        <w:t xml:space="preserve">In Isaiah 56, God condemns Israel’s watchmen and exhorts Israel to maintain justice and to do rightly because the Lord’s salvation is close.  </w:t>
      </w:r>
    </w:p>
    <w:p w:rsidR="00975183" w:rsidRPr="00F40C6A" w:rsidRDefault="00975183" w:rsidP="000410F5">
      <w:pPr>
        <w:pStyle w:val="EndnoteText"/>
      </w:pPr>
      <w:r w:rsidRPr="00F40C6A">
        <w:t xml:space="preserve">According to Isa. 57:2, </w:t>
      </w:r>
      <w:r w:rsidRPr="00F40C6A">
        <w:rPr>
          <w:i/>
        </w:rPr>
        <w:t>NIV</w:t>
      </w:r>
      <w:r w:rsidRPr="00F40C6A">
        <w:t>, those who walk uprightly enter into peace and find rest as they lie in death.</w:t>
      </w:r>
    </w:p>
    <w:p w:rsidR="00975183" w:rsidRDefault="00975183" w:rsidP="000410F5">
      <w:pPr>
        <w:pStyle w:val="EndnoteText"/>
      </w:pPr>
      <w:r w:rsidRPr="00F40C6A">
        <w:t>In Isaiah 58, Israel is accused of hypocrisy in its fasting; its job is to undo heavy burdens, let the oppressed go free and care for the poor, hungry and naked (vv. 6-7).  The glory of the Lord will be its reward (v. 8).</w:t>
      </w:r>
    </w:p>
  </w:endnote>
  <w:endnote w:id="2502">
    <w:p w:rsidR="00975183" w:rsidRDefault="00975183" w:rsidP="006A2E06">
      <w:pPr>
        <w:pStyle w:val="EndnoteText"/>
      </w:pPr>
      <w:r w:rsidRPr="005D00B9">
        <w:rPr>
          <w:rStyle w:val="FootnoteReference"/>
        </w:rPr>
        <w:endnoteRef/>
      </w:r>
      <w:r w:rsidRPr="005D00B9">
        <w:t xml:space="preserve"> </w:t>
      </w:r>
      <w:r w:rsidRPr="005D00B9">
        <w:rPr>
          <w:i/>
        </w:rPr>
        <w:t xml:space="preserve">SRB </w:t>
      </w:r>
      <w:r w:rsidRPr="005D00B9">
        <w:t>Introduction to Jeremiah, p. 772.</w:t>
      </w:r>
    </w:p>
  </w:endnote>
  <w:endnote w:id="2503">
    <w:p w:rsidR="00975183" w:rsidRPr="000B7400" w:rsidRDefault="00975183" w:rsidP="006A2E06">
      <w:pPr>
        <w:pStyle w:val="EndnoteText"/>
      </w:pPr>
      <w:r w:rsidRPr="000B7400">
        <w:rPr>
          <w:rStyle w:val="EndnoteReference"/>
        </w:rPr>
        <w:endnoteRef/>
      </w:r>
      <w:r w:rsidRPr="000B7400">
        <w:t xml:space="preserve"> </w:t>
      </w:r>
      <w:r>
        <w:t xml:space="preserve">Jer. 4:23, </w:t>
      </w:r>
      <w:r w:rsidRPr="000B7400">
        <w:rPr>
          <w:i/>
        </w:rPr>
        <w:t>KJV</w:t>
      </w:r>
      <w:r>
        <w:t>.</w:t>
      </w:r>
    </w:p>
  </w:endnote>
  <w:endnote w:id="2504">
    <w:p w:rsidR="00975183" w:rsidRPr="000B7400" w:rsidRDefault="00975183" w:rsidP="006A2E06">
      <w:pPr>
        <w:pStyle w:val="EndnoteText"/>
      </w:pPr>
      <w:r w:rsidRPr="000B7400">
        <w:rPr>
          <w:rStyle w:val="EndnoteReference"/>
        </w:rPr>
        <w:endnoteRef/>
      </w:r>
      <w:r w:rsidRPr="000B7400">
        <w:t xml:space="preserve"> </w:t>
      </w:r>
      <w:r w:rsidRPr="000B7400">
        <w:rPr>
          <w:i/>
        </w:rPr>
        <w:t>SRB</w:t>
      </w:r>
      <w:r w:rsidRPr="000B7400">
        <w:t xml:space="preserve"> note on Jer. 4:23, p. 776.  Refs Jer. 4:14-6 and Isa. 24:1.  </w:t>
      </w:r>
      <w:proofErr w:type="gramStart"/>
      <w:r w:rsidRPr="000B7400">
        <w:t xml:space="preserve">cf </w:t>
      </w:r>
      <w:r w:rsidRPr="000B7400">
        <w:rPr>
          <w:i/>
        </w:rPr>
        <w:t>SRB</w:t>
      </w:r>
      <w:r w:rsidRPr="000B7400">
        <w:t xml:space="preserve"> note on Gen. 1:2, p. </w:t>
      </w:r>
      <w:r>
        <w:t>3.</w:t>
      </w:r>
      <w:proofErr w:type="gramEnd"/>
    </w:p>
  </w:endnote>
  <w:endnote w:id="2505">
    <w:p w:rsidR="00975183" w:rsidRPr="00A2050A" w:rsidRDefault="00975183" w:rsidP="006A2E06">
      <w:pPr>
        <w:pStyle w:val="EndnoteText"/>
      </w:pPr>
      <w:r w:rsidRPr="0085367F">
        <w:rPr>
          <w:rStyle w:val="EndnoteReference"/>
        </w:rPr>
        <w:endnoteRef/>
      </w:r>
      <w:r w:rsidRPr="0085367F">
        <w:t xml:space="preserve"> </w:t>
      </w:r>
      <w:r w:rsidRPr="00CD6AF2">
        <w:rPr>
          <w:i/>
        </w:rPr>
        <w:t>SRB</w:t>
      </w:r>
      <w:r w:rsidRPr="00CD6AF2">
        <w:t xml:space="preserve"> note on Jer. 39:7, p. 816.  </w:t>
      </w:r>
      <w:proofErr w:type="gramStart"/>
      <w:r w:rsidRPr="00A2050A">
        <w:rPr>
          <w:b/>
        </w:rPr>
        <w:t>See 7.1.2.2</w:t>
      </w:r>
      <w:r w:rsidRPr="00A2050A">
        <w:t>.</w:t>
      </w:r>
      <w:proofErr w:type="gramEnd"/>
    </w:p>
  </w:endnote>
  <w:endnote w:id="2506">
    <w:p w:rsidR="00975183" w:rsidRDefault="00975183" w:rsidP="006A2E06">
      <w:pPr>
        <w:pStyle w:val="EndnoteText"/>
      </w:pPr>
      <w:r w:rsidRPr="007E0C9B">
        <w:rPr>
          <w:rStyle w:val="EndnoteReference"/>
        </w:rPr>
        <w:endnoteRef/>
      </w:r>
      <w:r w:rsidRPr="007E0C9B">
        <w:t xml:space="preserve"> </w:t>
      </w:r>
      <w:r w:rsidRPr="007E0C9B">
        <w:rPr>
          <w:i/>
        </w:rPr>
        <w:t>SRB</w:t>
      </w:r>
      <w:r w:rsidRPr="007E0C9B">
        <w:t xml:space="preserve"> note on Jer. 37:11, p. 814.  The note also covers Jer. 38:1-6, 38:13-28 and 40:1-4.</w:t>
      </w:r>
    </w:p>
  </w:endnote>
  <w:endnote w:id="2507">
    <w:p w:rsidR="00975183" w:rsidRPr="00BB4C12" w:rsidRDefault="00975183" w:rsidP="006A2E06">
      <w:pPr>
        <w:pStyle w:val="EndnoteText"/>
      </w:pPr>
      <w:r w:rsidRPr="00BB4C12">
        <w:rPr>
          <w:rStyle w:val="EndnoteReference"/>
        </w:rPr>
        <w:endnoteRef/>
      </w:r>
      <w:r w:rsidRPr="00BB4C12">
        <w:t xml:space="preserve"> </w:t>
      </w:r>
      <w:r w:rsidRPr="008C0104">
        <w:rPr>
          <w:i/>
        </w:rPr>
        <w:t>SRB</w:t>
      </w:r>
      <w:r w:rsidRPr="008C0104">
        <w:t xml:space="preserve"> notes on Jer. 7:22, p.</w:t>
      </w:r>
      <w:r w:rsidRPr="00CD6AF2">
        <w:t xml:space="preserve"> 7</w:t>
      </w:r>
      <w:r>
        <w:t xml:space="preserve">80; </w:t>
      </w:r>
      <w:r w:rsidRPr="00F40C6A">
        <w:t>16:1, p. 789.</w:t>
      </w:r>
    </w:p>
  </w:endnote>
  <w:endnote w:id="2508">
    <w:p w:rsidR="00975183" w:rsidRDefault="00975183" w:rsidP="006A2E06">
      <w:pPr>
        <w:pStyle w:val="EndnoteText"/>
      </w:pPr>
      <w:r w:rsidRPr="00CD6AF2">
        <w:rPr>
          <w:rStyle w:val="EndnoteReference"/>
        </w:rPr>
        <w:endnoteRef/>
      </w:r>
      <w:r w:rsidRPr="00CD6AF2">
        <w:t xml:space="preserve"> </w:t>
      </w:r>
      <w:r w:rsidRPr="00CD6AF2">
        <w:rPr>
          <w:i/>
        </w:rPr>
        <w:t>SRB</w:t>
      </w:r>
      <w:r w:rsidRPr="00CD6AF2">
        <w:t xml:space="preserve"> note on Jer. 7:1, p. 779</w:t>
      </w:r>
      <w:r>
        <w:t>.</w:t>
      </w:r>
    </w:p>
  </w:endnote>
  <w:endnote w:id="2509">
    <w:p w:rsidR="00975183" w:rsidRDefault="00975183" w:rsidP="006A2E06">
      <w:pPr>
        <w:pStyle w:val="EndnoteText"/>
      </w:pPr>
      <w:r w:rsidRPr="0018234B">
        <w:rPr>
          <w:rStyle w:val="EndnoteReference"/>
        </w:rPr>
        <w:endnoteRef/>
      </w:r>
      <w:r w:rsidRPr="0018234B">
        <w:t xml:space="preserve"> </w:t>
      </w:r>
      <w:r w:rsidRPr="00CD6AF2">
        <w:rPr>
          <w:i/>
        </w:rPr>
        <w:t>SRB</w:t>
      </w:r>
      <w:r w:rsidRPr="00CD6AF2">
        <w:t xml:space="preserve"> note</w:t>
      </w:r>
      <w:r>
        <w:t>s</w:t>
      </w:r>
      <w:r w:rsidRPr="00CD6AF2">
        <w:t xml:space="preserve"> on Jer. 11:1, p. 784</w:t>
      </w:r>
      <w:r>
        <w:t>;</w:t>
      </w:r>
      <w:r w:rsidRPr="00CD6AF2">
        <w:t xml:space="preserve"> 14:1, p. 784.  </w:t>
      </w:r>
      <w:proofErr w:type="gramStart"/>
      <w:r w:rsidRPr="00207242">
        <w:rPr>
          <w:b/>
        </w:rPr>
        <w:t>See 5.5.1</w:t>
      </w:r>
      <w:r w:rsidRPr="00207242">
        <w:t>.</w:t>
      </w:r>
      <w:proofErr w:type="gramEnd"/>
      <w:r w:rsidRPr="00207242">
        <w:t xml:space="preserve">  </w:t>
      </w:r>
    </w:p>
  </w:endnote>
  <w:endnote w:id="2510">
    <w:p w:rsidR="00975183" w:rsidRDefault="00975183" w:rsidP="006A2E06">
      <w:pPr>
        <w:pStyle w:val="EndnoteText"/>
      </w:pPr>
      <w:r w:rsidRPr="00F40C6A">
        <w:rPr>
          <w:rStyle w:val="EndnoteReference"/>
        </w:rPr>
        <w:endnoteRef/>
      </w:r>
      <w:r w:rsidRPr="00F40C6A">
        <w:t xml:space="preserve"> </w:t>
      </w:r>
      <w:r w:rsidRPr="00F40C6A">
        <w:rPr>
          <w:i/>
        </w:rPr>
        <w:t>SRB</w:t>
      </w:r>
      <w:r w:rsidRPr="00F40C6A">
        <w:t xml:space="preserve"> note on Jer. 3:6, p. 775.</w:t>
      </w:r>
    </w:p>
  </w:endnote>
  <w:endnote w:id="2511">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subhead to Jer. 23:1, p. 795.</w:t>
      </w:r>
    </w:p>
  </w:endnote>
  <w:endnote w:id="2512">
    <w:p w:rsidR="00975183" w:rsidRDefault="00975183" w:rsidP="006A2E06">
      <w:pPr>
        <w:pStyle w:val="EndnoteText"/>
      </w:pPr>
      <w:r w:rsidRPr="00F40C6A">
        <w:rPr>
          <w:rStyle w:val="FootnoteReference"/>
        </w:rPr>
        <w:endnoteRef/>
      </w:r>
      <w:r w:rsidRPr="00F40C6A">
        <w:t xml:space="preserve"> </w:t>
      </w:r>
      <w:r w:rsidRPr="00F40C6A">
        <w:rPr>
          <w:i/>
        </w:rPr>
        <w:t>SRB</w:t>
      </w:r>
      <w:r w:rsidRPr="00F40C6A">
        <w:t xml:space="preserve"> note on Jer. 15:22, p. 788.</w:t>
      </w:r>
    </w:p>
  </w:endnote>
  <w:endnote w:id="2513">
    <w:p w:rsidR="00975183" w:rsidRDefault="00975183" w:rsidP="006A2E06">
      <w:pPr>
        <w:pStyle w:val="EndnoteText"/>
      </w:pPr>
      <w:r w:rsidRPr="00CD6AF2">
        <w:rPr>
          <w:rStyle w:val="EndnoteReference"/>
        </w:rPr>
        <w:endnoteRef/>
      </w:r>
      <w:r w:rsidRPr="00CD6AF2">
        <w:t xml:space="preserve"> </w:t>
      </w:r>
      <w:r w:rsidRPr="00F40C6A">
        <w:rPr>
          <w:i/>
        </w:rPr>
        <w:t>SRB</w:t>
      </w:r>
      <w:r w:rsidRPr="00F40C6A">
        <w:t xml:space="preserve"> note on Jer. 18:1, p. 791.</w:t>
      </w:r>
    </w:p>
  </w:endnote>
  <w:endnote w:id="2514">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Jer. 3</w:t>
      </w:r>
      <w:r>
        <w:t>2</w:t>
      </w:r>
      <w:r w:rsidRPr="006329CD">
        <w:t>:</w:t>
      </w:r>
      <w:r>
        <w:t>9</w:t>
      </w:r>
      <w:r w:rsidRPr="006329CD">
        <w:t>, p. 80</w:t>
      </w:r>
      <w:r>
        <w:t>7</w:t>
      </w:r>
      <w:r w:rsidRPr="006329CD">
        <w:t>.</w:t>
      </w:r>
    </w:p>
  </w:endnote>
  <w:endnote w:id="2515">
    <w:p w:rsidR="00975183" w:rsidRDefault="00975183" w:rsidP="006A2E06">
      <w:pPr>
        <w:pStyle w:val="EndnoteText"/>
      </w:pPr>
      <w:r w:rsidRPr="00B617EC">
        <w:rPr>
          <w:rStyle w:val="EndnoteReference"/>
        </w:rPr>
        <w:endnoteRef/>
      </w:r>
      <w:r w:rsidRPr="00B617EC">
        <w:t xml:space="preserve"> </w:t>
      </w:r>
      <w:r w:rsidRPr="00F40C6A">
        <w:rPr>
          <w:i/>
        </w:rPr>
        <w:t>SRB</w:t>
      </w:r>
      <w:r w:rsidRPr="00F40C6A">
        <w:t xml:space="preserve"> note on subhead to Jer. 23:1, p. 795.</w:t>
      </w:r>
    </w:p>
  </w:endnote>
  <w:endnote w:id="2516">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Jer. 30:1, p. 804.  </w:t>
      </w:r>
    </w:p>
  </w:endnote>
  <w:endnote w:id="2517">
    <w:p w:rsidR="00975183" w:rsidRDefault="00975183" w:rsidP="006A2E06">
      <w:pPr>
        <w:pStyle w:val="EndnoteText"/>
      </w:pPr>
      <w:r w:rsidRPr="00F40C6A">
        <w:rPr>
          <w:rStyle w:val="EndnoteReference"/>
        </w:rPr>
        <w:endnoteRef/>
      </w:r>
      <w:r w:rsidRPr="00F40C6A">
        <w:t xml:space="preserve"> </w:t>
      </w:r>
      <w:r w:rsidRPr="00F40C6A">
        <w:rPr>
          <w:i/>
        </w:rPr>
        <w:t>SRB</w:t>
      </w:r>
      <w:r w:rsidRPr="00F40C6A">
        <w:t xml:space="preserve"> note on Jer. 25:29, p. 799.</w:t>
      </w:r>
    </w:p>
  </w:endnote>
  <w:endnote w:id="2518">
    <w:p w:rsidR="00975183" w:rsidRDefault="00975183" w:rsidP="006A2E06">
      <w:pPr>
        <w:pStyle w:val="EndnoteText"/>
      </w:pPr>
      <w:r w:rsidRPr="00F40C6A">
        <w:rPr>
          <w:rStyle w:val="EndnoteReference"/>
        </w:rPr>
        <w:endnoteRef/>
      </w:r>
      <w:r w:rsidRPr="00F40C6A">
        <w:t xml:space="preserve"> </w:t>
      </w:r>
      <w:r w:rsidRPr="00F40C6A">
        <w:rPr>
          <w:i/>
        </w:rPr>
        <w:t>SRB</w:t>
      </w:r>
      <w:r w:rsidRPr="00F40C6A">
        <w:t xml:space="preserve"> note on Jer. 46:1</w:t>
      </w:r>
      <w:r w:rsidRPr="007E0C9B">
        <w:t>, pp. 822-3.</w:t>
      </w:r>
      <w:r>
        <w:t xml:space="preserve">  </w:t>
      </w:r>
    </w:p>
  </w:endnote>
  <w:endnote w:id="2519">
    <w:p w:rsidR="00975183" w:rsidRDefault="00975183" w:rsidP="006A2E06">
      <w:pPr>
        <w:pStyle w:val="EndnoteText"/>
      </w:pPr>
      <w:r w:rsidRPr="006C6F4B">
        <w:rPr>
          <w:rStyle w:val="EndnoteReference"/>
        </w:rPr>
        <w:endnoteRef/>
      </w:r>
      <w:r w:rsidRPr="006C6F4B">
        <w:t xml:space="preserve"> </w:t>
      </w:r>
      <w:r>
        <w:t xml:space="preserve">See 1.1.1, a) words: quotation by Carly </w:t>
      </w:r>
      <w:r w:rsidRPr="00874849">
        <w:t>Crouch, ‘Wicked Rulers and Prophets: Micah 3’</w:t>
      </w:r>
      <w:r>
        <w:t xml:space="preserve">, </w:t>
      </w:r>
    </w:p>
    <w:p w:rsidR="00975183" w:rsidRPr="006C6F4B" w:rsidRDefault="00975183" w:rsidP="006A2E06">
      <w:pPr>
        <w:pStyle w:val="EndnoteText"/>
      </w:pPr>
      <w:r w:rsidRPr="00874849">
        <w:rPr>
          <w:i/>
        </w:rPr>
        <w:t>Guidelines</w:t>
      </w:r>
      <w:r w:rsidRPr="00874849">
        <w:t>, p. 98.</w:t>
      </w:r>
    </w:p>
  </w:endnote>
  <w:endnote w:id="2520">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w:t>
      </w:r>
      <w:r>
        <w:t>subhead to Jer. 3:16, p. 775.</w:t>
      </w:r>
    </w:p>
  </w:endnote>
  <w:endnote w:id="2521">
    <w:p w:rsidR="00975183" w:rsidRPr="00286351"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Jer. 3:6, p. 775.</w:t>
      </w:r>
    </w:p>
  </w:endnote>
  <w:endnote w:id="2522">
    <w:p w:rsidR="00975183" w:rsidRPr="00B54E10" w:rsidRDefault="00975183" w:rsidP="006A2E06">
      <w:pPr>
        <w:pStyle w:val="EndnoteText"/>
      </w:pPr>
      <w:r w:rsidRPr="00B54E10">
        <w:rPr>
          <w:rStyle w:val="EndnoteReference"/>
        </w:rPr>
        <w:endnoteRef/>
      </w:r>
      <w:r w:rsidRPr="00B54E10">
        <w:t xml:space="preserve"> </w:t>
      </w:r>
      <w:r>
        <w:t xml:space="preserve">Jer. 2:3, </w:t>
      </w:r>
      <w:r w:rsidRPr="00B54E10">
        <w:rPr>
          <w:i/>
        </w:rPr>
        <w:t>KJV</w:t>
      </w:r>
      <w:r>
        <w:t>.</w:t>
      </w:r>
    </w:p>
  </w:endnote>
  <w:endnote w:id="2523">
    <w:p w:rsidR="00975183" w:rsidRDefault="00975183" w:rsidP="006A2E06">
      <w:pPr>
        <w:pStyle w:val="EndnoteText"/>
      </w:pPr>
      <w:r w:rsidRPr="00B54E10">
        <w:rPr>
          <w:rStyle w:val="EndnoteReference"/>
        </w:rPr>
        <w:endnoteRef/>
      </w:r>
      <w:r w:rsidRPr="00B54E10">
        <w:t xml:space="preserve"> </w:t>
      </w:r>
      <w:r>
        <w:t xml:space="preserve">Jer. 2:6, </w:t>
      </w:r>
      <w:r w:rsidRPr="00B54E10">
        <w:rPr>
          <w:i/>
        </w:rPr>
        <w:t>KJV</w:t>
      </w:r>
      <w:r>
        <w:t>.</w:t>
      </w:r>
    </w:p>
  </w:endnote>
  <w:endnote w:id="2524">
    <w:p w:rsidR="00975183" w:rsidRDefault="00975183" w:rsidP="006A2E06">
      <w:pPr>
        <w:pStyle w:val="EndnoteText"/>
      </w:pPr>
      <w:r w:rsidRPr="00B54E10">
        <w:rPr>
          <w:rStyle w:val="EndnoteReference"/>
        </w:rPr>
        <w:endnoteRef/>
      </w:r>
      <w:r w:rsidRPr="00B54E10">
        <w:t xml:space="preserve"> </w:t>
      </w:r>
      <w:r>
        <w:t xml:space="preserve">Jer. 2:7, </w:t>
      </w:r>
      <w:r w:rsidRPr="00B54E10">
        <w:rPr>
          <w:i/>
        </w:rPr>
        <w:t>KJV</w:t>
      </w:r>
      <w:r>
        <w:t>.</w:t>
      </w:r>
    </w:p>
  </w:endnote>
  <w:endnote w:id="252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Jer. </w:t>
      </w:r>
      <w:r>
        <w:t>2:1, p. 773.</w:t>
      </w:r>
    </w:p>
  </w:endnote>
  <w:endnote w:id="2526">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Jer. 3:6, p. 775.</w:t>
      </w:r>
    </w:p>
  </w:endnote>
  <w:endnote w:id="2527">
    <w:p w:rsidR="00975183" w:rsidRDefault="00975183" w:rsidP="006A2E06">
      <w:pPr>
        <w:pStyle w:val="EndnoteText"/>
      </w:pPr>
      <w:r w:rsidRPr="007E0C9B">
        <w:rPr>
          <w:rStyle w:val="EndnoteReference"/>
        </w:rPr>
        <w:endnoteRef/>
      </w:r>
      <w:r w:rsidRPr="007E0C9B">
        <w:t xml:space="preserve"> </w:t>
      </w:r>
      <w:r w:rsidRPr="007E0C9B">
        <w:rPr>
          <w:i/>
        </w:rPr>
        <w:t>SRB</w:t>
      </w:r>
      <w:r w:rsidRPr="007E0C9B">
        <w:t xml:space="preserve"> note on Jer. 37:11, p. 814.  The note also covers Jer. 38:1-6, 13-28</w:t>
      </w:r>
      <w:r>
        <w:t>,</w:t>
      </w:r>
      <w:r w:rsidRPr="007E0C9B">
        <w:t xml:space="preserve"> and 40:1-4.</w:t>
      </w:r>
    </w:p>
  </w:endnote>
  <w:endnote w:id="2528">
    <w:p w:rsidR="00975183" w:rsidRPr="00C07ABF" w:rsidRDefault="00975183" w:rsidP="006A2E06">
      <w:pPr>
        <w:pStyle w:val="EndnoteText"/>
      </w:pPr>
      <w:r w:rsidRPr="00C07ABF">
        <w:rPr>
          <w:rStyle w:val="EndnoteReference"/>
        </w:rPr>
        <w:endnoteRef/>
      </w:r>
      <w:r w:rsidRPr="00C07ABF">
        <w:t xml:space="preserve"> See above.</w:t>
      </w:r>
    </w:p>
  </w:endnote>
  <w:endnote w:id="2529">
    <w:p w:rsidR="00975183" w:rsidRDefault="00975183" w:rsidP="006A2E06">
      <w:pPr>
        <w:pStyle w:val="EndnoteText"/>
      </w:pPr>
      <w:r w:rsidRPr="00A0219B">
        <w:rPr>
          <w:rStyle w:val="EndnoteReference"/>
        </w:rPr>
        <w:endnoteRef/>
      </w:r>
      <w:r w:rsidRPr="00A0219B">
        <w:t xml:space="preserve"> These aspects include Jeremiah’s call and commissioning (Jer. 1:4-10, 19), his heartfelt concern for the people of Judah (Jer. 9:1, 2), his rejection and fears (Jer. 17:14-18), his maltreatment (Jer. 20:2-3), his imprisonment under threat of death in consequence of his obedience to God (Jer. 26:7-11), his second imprisonment in a cistern </w:t>
      </w:r>
    </w:p>
    <w:p w:rsidR="00975183" w:rsidRPr="00A0219B" w:rsidRDefault="00975183" w:rsidP="006A2E06">
      <w:pPr>
        <w:pStyle w:val="EndnoteText"/>
      </w:pPr>
      <w:proofErr w:type="gramStart"/>
      <w:r w:rsidRPr="00A0219B">
        <w:t>(Jer. 38:1-6), his rescue (Jer. 38:7-13) and his liberation by a Babylonian commander (Jer. 39:11-18; 40:6).</w:t>
      </w:r>
      <w:proofErr w:type="gramEnd"/>
    </w:p>
  </w:endnote>
  <w:endnote w:id="253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Jer. 30:1, p. 804.</w:t>
      </w:r>
    </w:p>
  </w:endnote>
  <w:endnote w:id="253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Jer. 1:13-15; 6:1, 22; 10:22; 13:20.</w:t>
      </w:r>
    </w:p>
  </w:endnote>
  <w:endnote w:id="2532">
    <w:p w:rsidR="00975183" w:rsidRDefault="00975183" w:rsidP="006A2E06">
      <w:pPr>
        <w:pStyle w:val="EndnoteText"/>
      </w:pPr>
      <w:r w:rsidRPr="007E0C9B">
        <w:rPr>
          <w:rStyle w:val="EndnoteReference"/>
        </w:rPr>
        <w:endnoteRef/>
      </w:r>
      <w:r w:rsidRPr="007E0C9B">
        <w:t xml:space="preserve"> </w:t>
      </w:r>
      <w:r w:rsidRPr="007E0C9B">
        <w:rPr>
          <w:i/>
        </w:rPr>
        <w:t>SRB</w:t>
      </w:r>
      <w:r w:rsidRPr="007E0C9B">
        <w:t xml:space="preserve"> note on Ezek. 38:2, p. 883.  S</w:t>
      </w:r>
      <w:r w:rsidRPr="007E0C9B">
        <w:rPr>
          <w:b/>
        </w:rPr>
        <w:t>ee 2.2.2.4 Ezekiel, footnote 117; 7.4.3; 8.4.1</w:t>
      </w:r>
      <w:r w:rsidRPr="007E0C9B">
        <w:t>.  Scofield’s emphasis is on the coming of a northern European power, headed by Russia.  He identifies Gog as the prince</w:t>
      </w:r>
      <w:r w:rsidRPr="00F40C6A">
        <w:t>, Magog as his land, and Meshech and Tubal as Moscow and Tobolsk.</w:t>
      </w:r>
    </w:p>
  </w:endnote>
  <w:endnote w:id="2533">
    <w:p w:rsidR="00975183" w:rsidRDefault="00975183" w:rsidP="006A2E06">
      <w:pPr>
        <w:pStyle w:val="EndnoteText"/>
      </w:pPr>
      <w:r w:rsidRPr="00050A5E">
        <w:rPr>
          <w:rStyle w:val="EndnoteReference"/>
        </w:rPr>
        <w:endnoteRef/>
      </w:r>
      <w:r w:rsidRPr="00050A5E">
        <w:t xml:space="preserve"> </w:t>
      </w:r>
      <w:r w:rsidRPr="00F40C6A">
        <w:rPr>
          <w:color w:val="000000"/>
        </w:rPr>
        <w:t>Jer. 37:1</w:t>
      </w:r>
      <w:r>
        <w:rPr>
          <w:color w:val="000000"/>
        </w:rPr>
        <w:t>.</w:t>
      </w:r>
    </w:p>
  </w:endnote>
  <w:endnote w:id="2534">
    <w:p w:rsidR="00975183" w:rsidRDefault="00975183" w:rsidP="006A2E06">
      <w:pPr>
        <w:pStyle w:val="EndnoteText"/>
      </w:pPr>
      <w:r w:rsidRPr="00050A5E">
        <w:rPr>
          <w:rStyle w:val="EndnoteReference"/>
        </w:rPr>
        <w:endnoteRef/>
      </w:r>
      <w:r w:rsidRPr="00050A5E">
        <w:t xml:space="preserve"> </w:t>
      </w:r>
      <w:r w:rsidRPr="00F40C6A">
        <w:rPr>
          <w:color w:val="000000"/>
        </w:rPr>
        <w:t>Jer. 39:1-18</w:t>
      </w:r>
      <w:r>
        <w:rPr>
          <w:color w:val="000000"/>
        </w:rPr>
        <w:t>.</w:t>
      </w:r>
    </w:p>
  </w:endnote>
  <w:endnote w:id="2535">
    <w:p w:rsidR="00975183" w:rsidRDefault="00975183" w:rsidP="006A2E06">
      <w:pPr>
        <w:pStyle w:val="EndnoteText"/>
      </w:pPr>
      <w:r w:rsidRPr="00050A5E">
        <w:rPr>
          <w:rStyle w:val="EndnoteReference"/>
        </w:rPr>
        <w:endnoteRef/>
      </w:r>
      <w:r w:rsidRPr="00050A5E">
        <w:t xml:space="preserve"> </w:t>
      </w:r>
      <w:r w:rsidRPr="00F40C6A">
        <w:rPr>
          <w:color w:val="000000"/>
        </w:rPr>
        <w:t>Jer. 41:1-9</w:t>
      </w:r>
      <w:r>
        <w:rPr>
          <w:color w:val="000000"/>
        </w:rPr>
        <w:t>.</w:t>
      </w:r>
    </w:p>
  </w:endnote>
  <w:endnote w:id="2536">
    <w:p w:rsidR="00975183" w:rsidRDefault="00975183" w:rsidP="006A2E06">
      <w:pPr>
        <w:pStyle w:val="EndnoteText"/>
      </w:pPr>
      <w:r w:rsidRPr="00050A5E">
        <w:rPr>
          <w:rStyle w:val="EndnoteReference"/>
        </w:rPr>
        <w:endnoteRef/>
      </w:r>
      <w:r w:rsidRPr="00050A5E">
        <w:t xml:space="preserve"> </w:t>
      </w:r>
      <w:proofErr w:type="gramStart"/>
      <w:r w:rsidRPr="00F40C6A">
        <w:rPr>
          <w:color w:val="000000"/>
        </w:rPr>
        <w:t>Jeremiah 42, 43</w:t>
      </w:r>
      <w:r>
        <w:rPr>
          <w:color w:val="000000"/>
        </w:rPr>
        <w:t>.</w:t>
      </w:r>
      <w:proofErr w:type="gramEnd"/>
    </w:p>
  </w:endnote>
  <w:endnote w:id="2537">
    <w:p w:rsidR="00975183" w:rsidRDefault="00975183" w:rsidP="006A2E06">
      <w:pPr>
        <w:pStyle w:val="EndnoteText"/>
      </w:pPr>
      <w:r w:rsidRPr="00050A5E">
        <w:rPr>
          <w:rStyle w:val="EndnoteReference"/>
        </w:rPr>
        <w:endnoteRef/>
      </w:r>
      <w:r w:rsidRPr="00050A5E">
        <w:t xml:space="preserve"> </w:t>
      </w:r>
      <w:r w:rsidRPr="00F40C6A">
        <w:rPr>
          <w:color w:val="000000"/>
        </w:rPr>
        <w:t>Jer. 52:3</w:t>
      </w:r>
      <w:r>
        <w:rPr>
          <w:color w:val="000000"/>
        </w:rPr>
        <w:t>.</w:t>
      </w:r>
    </w:p>
  </w:endnote>
  <w:endnote w:id="2538">
    <w:p w:rsidR="00975183" w:rsidRDefault="00975183" w:rsidP="006A2E06">
      <w:pPr>
        <w:pStyle w:val="EndnoteText"/>
      </w:pPr>
      <w:r w:rsidRPr="00050A5E">
        <w:rPr>
          <w:rStyle w:val="EndnoteReference"/>
        </w:rPr>
        <w:endnoteRef/>
      </w:r>
      <w:r>
        <w:t xml:space="preserve"> </w:t>
      </w:r>
      <w:r w:rsidRPr="00F40C6A">
        <w:rPr>
          <w:color w:val="000000"/>
        </w:rPr>
        <w:t>Jer. 52:13</w:t>
      </w:r>
      <w:r>
        <w:rPr>
          <w:color w:val="000000"/>
        </w:rPr>
        <w:t>.</w:t>
      </w:r>
    </w:p>
  </w:endnote>
  <w:endnote w:id="2539">
    <w:p w:rsidR="00975183" w:rsidRPr="00F40C6A" w:rsidRDefault="00975183" w:rsidP="006A2E06">
      <w:pPr>
        <w:pStyle w:val="EndnoteText"/>
      </w:pPr>
      <w:r w:rsidRPr="00F40C6A">
        <w:rPr>
          <w:rStyle w:val="EndnoteReference"/>
        </w:rPr>
        <w:endnoteRef/>
      </w:r>
      <w:r w:rsidRPr="00F40C6A">
        <w:t xml:space="preserve"> In Jeremiah 5, God declares that he would pardon Jerusalem if anyone dealing honestly and seeking justice could be found there (v. 1).  Because of the people’s sin and idolatry, he will send ‘a nation from afar … a mighty nation … an ancient nation’ upon them (v. 15).  The prophets and priests are as bad as the people (v. 31).</w:t>
      </w:r>
    </w:p>
    <w:p w:rsidR="00975183" w:rsidRPr="00F40C6A" w:rsidRDefault="00975183" w:rsidP="006A2E06">
      <w:pPr>
        <w:pStyle w:val="EndnoteText"/>
      </w:pPr>
      <w:proofErr w:type="gramStart"/>
      <w:r w:rsidRPr="00F40C6A">
        <w:t>Jeremiah 6:20 states that God finds the people’s</w:t>
      </w:r>
      <w:proofErr w:type="gramEnd"/>
      <w:r w:rsidRPr="00F40C6A">
        <w:t xml:space="preserve"> burnt offerings unacceptable.</w:t>
      </w:r>
    </w:p>
    <w:p w:rsidR="00975183" w:rsidRPr="00F40C6A" w:rsidRDefault="00975183" w:rsidP="006A2E06">
      <w:pPr>
        <w:pStyle w:val="EndnoteText"/>
      </w:pPr>
      <w:r w:rsidRPr="00F40C6A">
        <w:t>Jeremiah 8 accuses Jerusalem of idolatry (v. 2) and constant backsliding (v. 5); God will take everything from them (v. 13).</w:t>
      </w:r>
      <w:r>
        <w:t xml:space="preserve">  </w:t>
      </w:r>
    </w:p>
    <w:p w:rsidR="00975183" w:rsidRPr="00F40C6A" w:rsidRDefault="00975183" w:rsidP="006A2E06">
      <w:pPr>
        <w:pStyle w:val="EndnoteText"/>
      </w:pPr>
      <w:r w:rsidRPr="00F40C6A">
        <w:t>In Jeremiah 9, God declares he will punish Jerusalem for forsaking his law (v. 11) and will scatter the people until none are left (v. 16).  He will punish those who are circumcised merely in the flesh and not in the heart (vv. 25-6).</w:t>
      </w:r>
    </w:p>
    <w:p w:rsidR="00975183" w:rsidRPr="00F40C6A" w:rsidRDefault="00975183" w:rsidP="006A2E06">
      <w:pPr>
        <w:pStyle w:val="EndnoteText"/>
      </w:pPr>
      <w:r w:rsidRPr="00F40C6A">
        <w:t>In Jeremiah 13, the symbol of the linen belt (vv. 1-3) is used to emphasise how God will spoil Judah and Jerusalem (vv. 8-12).  As punishment for their sin, Judah will be sent into exile (v. 19).</w:t>
      </w:r>
    </w:p>
    <w:p w:rsidR="00975183" w:rsidRPr="00F40C6A" w:rsidRDefault="00975183" w:rsidP="006A2E06">
      <w:pPr>
        <w:pStyle w:val="EndnoteText"/>
      </w:pPr>
      <w:r w:rsidRPr="00F40C6A">
        <w:t>If Jerusalem will not repent, it will be destroyed because of its idolatry (Jer. 22:3-9).</w:t>
      </w:r>
    </w:p>
    <w:p w:rsidR="00975183" w:rsidRPr="00F40C6A" w:rsidRDefault="00975183" w:rsidP="006A2E06">
      <w:pPr>
        <w:pStyle w:val="EndnoteText"/>
      </w:pPr>
      <w:r w:rsidRPr="00F40C6A">
        <w:t>In Jer. 35:13-16, Israel’s faithlessness is contrasted with the faithfulness of the Recabites.</w:t>
      </w:r>
    </w:p>
    <w:p w:rsidR="00975183" w:rsidRPr="00F40C6A" w:rsidRDefault="00975183" w:rsidP="006A2E06">
      <w:pPr>
        <w:pStyle w:val="EndnoteText"/>
      </w:pPr>
      <w:r w:rsidRPr="00F40C6A">
        <w:rPr>
          <w:color w:val="000000"/>
        </w:rPr>
        <w:t>Those who accept God’s punishment and are exiled in Babylon are ‘good figs’, who will be restored (Jer. 24:4-7</w:t>
      </w:r>
      <w:r>
        <w:rPr>
          <w:color w:val="000000"/>
        </w:rPr>
        <w:t>)</w:t>
      </w:r>
      <w:r w:rsidRPr="00F40C6A">
        <w:rPr>
          <w:color w:val="000000"/>
        </w:rPr>
        <w:t xml:space="preserve">, but those who remain in Jerusalem like Zedekiah are ‘bad figs’ who will be destroyed (Jer. </w:t>
      </w:r>
      <w:r w:rsidRPr="00F40C6A">
        <w:t>24:8-10, 29:16-19</w:t>
      </w:r>
      <w:r>
        <w:t>)</w:t>
      </w:r>
      <w:r w:rsidRPr="00F40C6A">
        <w:t>.</w:t>
      </w:r>
    </w:p>
    <w:p w:rsidR="00975183" w:rsidRDefault="00975183" w:rsidP="006A2E06">
      <w:pPr>
        <w:pStyle w:val="FootnoteText"/>
      </w:pPr>
      <w:r w:rsidRPr="00F40C6A">
        <w:rPr>
          <w:rFonts w:ascii="Perpetua" w:hAnsi="Perpetua"/>
          <w:color w:val="000000"/>
        </w:rPr>
        <w:t>The exiles are commanded to settle down in Babylon until 70 years are over (Jer. 29:4-7, 10).</w:t>
      </w:r>
    </w:p>
  </w:endnote>
  <w:endnote w:id="254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note on Jer. 46:1, p. 822</w:t>
      </w:r>
      <w:r>
        <w:rPr>
          <w:szCs w:val="18"/>
        </w:rPr>
        <w:t>.</w:t>
      </w:r>
    </w:p>
  </w:endnote>
  <w:endnote w:id="2541">
    <w:p w:rsidR="00975183" w:rsidRPr="00200B84" w:rsidRDefault="00975183" w:rsidP="006A2E06">
      <w:pPr>
        <w:pStyle w:val="EndnoteText"/>
      </w:pPr>
      <w:r w:rsidRPr="00200B84">
        <w:rPr>
          <w:rStyle w:val="EndnoteReference"/>
        </w:rPr>
        <w:endnoteRef/>
      </w:r>
      <w:r w:rsidRPr="00200B84">
        <w:t xml:space="preserve"> </w:t>
      </w:r>
      <w:r>
        <w:t>Jer. 21:3-10.</w:t>
      </w:r>
    </w:p>
  </w:endnote>
  <w:endnote w:id="2542">
    <w:p w:rsidR="00975183" w:rsidRDefault="00975183" w:rsidP="006A2E06">
      <w:pPr>
        <w:pStyle w:val="EndnoteText"/>
      </w:pPr>
      <w:r w:rsidRPr="000B7400">
        <w:rPr>
          <w:rStyle w:val="EndnoteReference"/>
        </w:rPr>
        <w:endnoteRef/>
      </w:r>
      <w:r w:rsidRPr="000B7400">
        <w:t xml:space="preserve"> ‘</w:t>
      </w:r>
      <w:r w:rsidRPr="000B7400">
        <w:rPr>
          <w:lang w:val="en-US"/>
        </w:rPr>
        <w:t xml:space="preserve">And thou, even thyself, shalt discontinue from thine heritage that I gave thee; and I will cause thee to serve thine enemies in the land which thou knowest not: for ye have kindled a fire in mine anger, </w:t>
      </w:r>
      <w:r w:rsidRPr="000B7400">
        <w:rPr>
          <w:i/>
          <w:iCs/>
          <w:lang w:val="en-US"/>
        </w:rPr>
        <w:t>which</w:t>
      </w:r>
      <w:r w:rsidRPr="000B7400">
        <w:rPr>
          <w:lang w:val="en-US"/>
        </w:rPr>
        <w:t xml:space="preserve"> shall burn for ever.</w:t>
      </w:r>
      <w:r w:rsidRPr="000B7400">
        <w:t>’</w:t>
      </w:r>
    </w:p>
    <w:p w:rsidR="00975183" w:rsidRPr="000B7400" w:rsidRDefault="00975183" w:rsidP="006A2E06">
      <w:pPr>
        <w:pStyle w:val="EndnoteText"/>
      </w:pPr>
      <w:r w:rsidRPr="000B7400">
        <w:t xml:space="preserve">Jer. 17:4, </w:t>
      </w:r>
      <w:r w:rsidRPr="000B7400">
        <w:rPr>
          <w:i/>
        </w:rPr>
        <w:t>KJV</w:t>
      </w:r>
      <w:r w:rsidRPr="000B7400">
        <w:t>.</w:t>
      </w:r>
    </w:p>
  </w:endnote>
  <w:endnote w:id="2543">
    <w:p w:rsidR="00975183" w:rsidRPr="00207242" w:rsidRDefault="00975183" w:rsidP="006A2E06">
      <w:pPr>
        <w:pStyle w:val="EndnoteText"/>
        <w:rPr>
          <w:sz w:val="22"/>
        </w:rPr>
      </w:pPr>
      <w:r w:rsidRPr="006329CD">
        <w:rPr>
          <w:rStyle w:val="FootnoteReference"/>
          <w:szCs w:val="18"/>
        </w:rPr>
        <w:endnoteRef/>
      </w:r>
      <w:r w:rsidRPr="006329CD">
        <w:rPr>
          <w:szCs w:val="18"/>
        </w:rPr>
        <w:t xml:space="preserve"> </w:t>
      </w:r>
      <w:proofErr w:type="gramStart"/>
      <w:r w:rsidRPr="006329CD">
        <w:rPr>
          <w:i/>
          <w:szCs w:val="18"/>
        </w:rPr>
        <w:t>SRB</w:t>
      </w:r>
      <w:r w:rsidRPr="006329CD">
        <w:rPr>
          <w:szCs w:val="18"/>
        </w:rPr>
        <w:t xml:space="preserve"> note </w:t>
      </w:r>
      <w:r w:rsidRPr="00FB0BC6">
        <w:rPr>
          <w:szCs w:val="18"/>
        </w:rPr>
        <w:t>on Gen</w:t>
      </w:r>
      <w:r w:rsidRPr="006329CD">
        <w:rPr>
          <w:szCs w:val="18"/>
        </w:rPr>
        <w:t>. 12:1, p. 20.</w:t>
      </w:r>
      <w:proofErr w:type="gramEnd"/>
      <w:r w:rsidRPr="006329CD">
        <w:rPr>
          <w:szCs w:val="18"/>
        </w:rPr>
        <w:t xml:space="preserve">  </w:t>
      </w:r>
      <w:proofErr w:type="gramStart"/>
      <w:r w:rsidRPr="00FB0BC6">
        <w:rPr>
          <w:b/>
          <w:szCs w:val="18"/>
        </w:rPr>
        <w:t xml:space="preserve">See above and </w:t>
      </w:r>
      <w:r w:rsidRPr="00207242">
        <w:rPr>
          <w:b/>
          <w:szCs w:val="18"/>
        </w:rPr>
        <w:t>5.4.4</w:t>
      </w:r>
      <w:r w:rsidRPr="00207242">
        <w:rPr>
          <w:szCs w:val="18"/>
        </w:rPr>
        <w:t>.</w:t>
      </w:r>
      <w:proofErr w:type="gramEnd"/>
    </w:p>
  </w:endnote>
  <w:endnote w:id="2544">
    <w:p w:rsidR="00975183" w:rsidRDefault="00975183" w:rsidP="006A2E06">
      <w:pPr>
        <w:pStyle w:val="EndnoteText"/>
      </w:pPr>
      <w:r w:rsidRPr="00F40C6A">
        <w:rPr>
          <w:rStyle w:val="EndnoteReference"/>
        </w:rPr>
        <w:endnoteRef/>
      </w:r>
      <w:r w:rsidRPr="00F40C6A">
        <w:t xml:space="preserve"> </w:t>
      </w:r>
      <w:r w:rsidRPr="00F40C6A">
        <w:rPr>
          <w:lang w:val="en-US"/>
        </w:rPr>
        <w:t xml:space="preserve">‘Thus saith the LORD, which giveth the sun for a light by day, </w:t>
      </w:r>
      <w:r w:rsidRPr="00F40C6A">
        <w:rPr>
          <w:i/>
          <w:iCs/>
          <w:lang w:val="en-US"/>
        </w:rPr>
        <w:t>and</w:t>
      </w:r>
      <w:r w:rsidRPr="00F40C6A">
        <w:rPr>
          <w:lang w:val="en-US"/>
        </w:rPr>
        <w:t xml:space="preserve"> the ordinances of the moon and of the stars for a light by night, which divideth the sea when the waves thereof roar; The LORD of hosts </w:t>
      </w:r>
      <w:r w:rsidRPr="00F40C6A">
        <w:rPr>
          <w:i/>
          <w:iCs/>
          <w:lang w:val="en-US"/>
        </w:rPr>
        <w:t>is</w:t>
      </w:r>
      <w:r w:rsidRPr="00F40C6A">
        <w:rPr>
          <w:lang w:val="en-US"/>
        </w:rPr>
        <w:t xml:space="preserve"> his name: </w:t>
      </w:r>
      <w:r w:rsidRPr="00F40C6A">
        <w:rPr>
          <w:vertAlign w:val="superscript"/>
          <w:lang w:val="en-US"/>
        </w:rPr>
        <w:t>36</w:t>
      </w:r>
      <w:r w:rsidRPr="00F40C6A">
        <w:rPr>
          <w:lang w:val="en-US"/>
        </w:rPr>
        <w:t xml:space="preserve">If those ordinances depart from before me, saith the LORD, </w:t>
      </w:r>
      <w:r w:rsidRPr="00F40C6A">
        <w:rPr>
          <w:i/>
          <w:iCs/>
          <w:lang w:val="en-US"/>
        </w:rPr>
        <w:t>then</w:t>
      </w:r>
      <w:r w:rsidRPr="00F40C6A">
        <w:rPr>
          <w:lang w:val="en-US"/>
        </w:rPr>
        <w:t xml:space="preserve"> the seed of Israel also shall cease from being a nation before me for ever. </w:t>
      </w:r>
      <w:r w:rsidRPr="00F40C6A">
        <w:rPr>
          <w:vertAlign w:val="superscript"/>
          <w:lang w:val="en-US"/>
        </w:rPr>
        <w:t>37</w:t>
      </w:r>
      <w:r w:rsidRPr="00F40C6A">
        <w:rPr>
          <w:lang w:val="en-US"/>
        </w:rPr>
        <w:t xml:space="preserve">Thus saith the LORD; </w:t>
      </w:r>
      <w:proofErr w:type="gramStart"/>
      <w:r w:rsidRPr="00F40C6A">
        <w:rPr>
          <w:lang w:val="en-US"/>
        </w:rPr>
        <w:t>If</w:t>
      </w:r>
      <w:proofErr w:type="gramEnd"/>
      <w:r w:rsidRPr="00F40C6A">
        <w:rPr>
          <w:lang w:val="en-US"/>
        </w:rPr>
        <w:t xml:space="preserve"> heaven above can be measured, and the foundations of the earth searched out beneath, I will also cast off all the seed of Israel for all that they have done, saith the LORD.</w:t>
      </w:r>
      <w:r>
        <w:rPr>
          <w:lang w:val="en-US"/>
        </w:rPr>
        <w:t xml:space="preserve">  </w:t>
      </w:r>
      <w:r w:rsidRPr="00F40C6A">
        <w:rPr>
          <w:vertAlign w:val="superscript"/>
          <w:lang w:val="en-US"/>
        </w:rPr>
        <w:t>38</w:t>
      </w:r>
      <w:r w:rsidRPr="00F40C6A">
        <w:rPr>
          <w:lang w:val="en-US"/>
        </w:rPr>
        <w:t xml:space="preserve">Behold, the days come, saith the LORD, that the city shall be built to the LORD from the tower of Hananeel unto the gate of the corner. </w:t>
      </w:r>
      <w:r w:rsidRPr="00F40C6A">
        <w:rPr>
          <w:vertAlign w:val="superscript"/>
          <w:lang w:val="en-US"/>
        </w:rPr>
        <w:t>39</w:t>
      </w:r>
      <w:r w:rsidRPr="00F40C6A">
        <w:rPr>
          <w:lang w:val="en-US"/>
        </w:rPr>
        <w:t xml:space="preserve">And the measuring line shall yet go forth over against it upon the hill Gareb, and shall compass about to Goath. </w:t>
      </w:r>
      <w:r w:rsidRPr="00F40C6A">
        <w:rPr>
          <w:vertAlign w:val="superscript"/>
          <w:lang w:val="en-US"/>
        </w:rPr>
        <w:t>40</w:t>
      </w:r>
      <w:r w:rsidRPr="00F40C6A">
        <w:rPr>
          <w:lang w:val="en-US"/>
        </w:rPr>
        <w:t xml:space="preserve">And the whole valley of the dead bodies, and of the ashes, and all the fields unto the brook of Kidron, unto the corner of the horse gate toward the east, </w:t>
      </w:r>
      <w:r w:rsidRPr="00F40C6A">
        <w:rPr>
          <w:i/>
          <w:iCs/>
          <w:lang w:val="en-US"/>
        </w:rPr>
        <w:t>shall be</w:t>
      </w:r>
      <w:r w:rsidRPr="00F40C6A">
        <w:rPr>
          <w:lang w:val="en-US"/>
        </w:rPr>
        <w:t xml:space="preserve"> holy unto the LORD; it shall not be plucked up, nor thrown down any more for ever.’  Jer. 31:35-40, </w:t>
      </w:r>
      <w:r w:rsidRPr="00F40C6A">
        <w:rPr>
          <w:i/>
          <w:lang w:val="en-US"/>
        </w:rPr>
        <w:t>KJV</w:t>
      </w:r>
      <w:r w:rsidRPr="00F40C6A">
        <w:rPr>
          <w:lang w:val="en-US"/>
        </w:rPr>
        <w:t>.</w:t>
      </w:r>
    </w:p>
  </w:endnote>
  <w:endnote w:id="2545">
    <w:p w:rsidR="00975183" w:rsidRDefault="00975183" w:rsidP="006A2E06">
      <w:pPr>
        <w:pStyle w:val="EndnoteText"/>
      </w:pPr>
      <w:r w:rsidRPr="00200B84">
        <w:rPr>
          <w:rStyle w:val="EndnoteReference"/>
        </w:rPr>
        <w:endnoteRef/>
      </w:r>
      <w:r w:rsidRPr="00200B84">
        <w:t xml:space="preserve"> Jer. 5:28.</w:t>
      </w:r>
    </w:p>
  </w:endnote>
  <w:endnote w:id="2546">
    <w:p w:rsidR="00975183" w:rsidRDefault="00975183" w:rsidP="006A2E06">
      <w:pPr>
        <w:pStyle w:val="EndnoteText"/>
      </w:pPr>
      <w:r w:rsidRPr="00200B84">
        <w:rPr>
          <w:rStyle w:val="EndnoteReference"/>
        </w:rPr>
        <w:endnoteRef/>
      </w:r>
      <w:r w:rsidRPr="00200B84">
        <w:t xml:space="preserve"> Jer. 21:11-12</w:t>
      </w:r>
      <w:r>
        <w:rPr>
          <w:sz w:val="22"/>
        </w:rPr>
        <w:t>.</w:t>
      </w:r>
    </w:p>
  </w:endnote>
  <w:endnote w:id="2547">
    <w:p w:rsidR="00975183" w:rsidRDefault="00975183" w:rsidP="006A2E06">
      <w:pPr>
        <w:pStyle w:val="EndnoteText"/>
      </w:pPr>
      <w:r w:rsidRPr="00200B84">
        <w:rPr>
          <w:rStyle w:val="EndnoteReference"/>
        </w:rPr>
        <w:endnoteRef/>
      </w:r>
      <w:r>
        <w:t xml:space="preserve"> </w:t>
      </w:r>
      <w:r w:rsidRPr="00F40C6A">
        <w:t>Jer. 22:3</w:t>
      </w:r>
      <w:r>
        <w:t>.</w:t>
      </w:r>
    </w:p>
  </w:endnote>
  <w:endnote w:id="2548">
    <w:p w:rsidR="00975183" w:rsidRDefault="00975183" w:rsidP="006A2E06">
      <w:pPr>
        <w:pStyle w:val="EndnoteText"/>
      </w:pPr>
      <w:r w:rsidRPr="00200B84">
        <w:rPr>
          <w:rStyle w:val="EndnoteReference"/>
        </w:rPr>
        <w:endnoteRef/>
      </w:r>
      <w:r w:rsidRPr="00200B84">
        <w:t xml:space="preserve"> </w:t>
      </w:r>
      <w:r w:rsidRPr="00F40C6A">
        <w:t>Jer. 22:4</w:t>
      </w:r>
      <w:r>
        <w:t>-5.</w:t>
      </w:r>
    </w:p>
  </w:endnote>
  <w:endnote w:id="2549">
    <w:p w:rsidR="00975183" w:rsidRDefault="00975183" w:rsidP="006A2E06">
      <w:pPr>
        <w:pStyle w:val="EndnoteText"/>
      </w:pPr>
      <w:r w:rsidRPr="00C50F61">
        <w:rPr>
          <w:rStyle w:val="EndnoteReference"/>
        </w:rPr>
        <w:endnoteRef/>
      </w:r>
      <w:r>
        <w:t xml:space="preserve"> </w:t>
      </w:r>
      <w:r w:rsidRPr="00F40C6A">
        <w:t>Jer. 22:13</w:t>
      </w:r>
      <w:r>
        <w:t>.</w:t>
      </w:r>
    </w:p>
  </w:endnote>
  <w:endnote w:id="2550">
    <w:p w:rsidR="00975183" w:rsidRPr="00EB1EAA" w:rsidRDefault="00975183" w:rsidP="006A2E06">
      <w:pPr>
        <w:pStyle w:val="EndnoteText"/>
      </w:pPr>
      <w:r w:rsidRPr="00EB1EAA">
        <w:rPr>
          <w:rStyle w:val="EndnoteReference"/>
        </w:rPr>
        <w:endnoteRef/>
      </w:r>
      <w:r w:rsidRPr="00EB1EAA">
        <w:t xml:space="preserve"> Ref. Jer. 22:17.</w:t>
      </w:r>
    </w:p>
  </w:endnote>
  <w:endnote w:id="2551">
    <w:p w:rsidR="00975183" w:rsidRDefault="00975183" w:rsidP="006A2E06">
      <w:pPr>
        <w:pStyle w:val="EndnoteText"/>
      </w:pPr>
      <w:r w:rsidRPr="00C50F61">
        <w:rPr>
          <w:rStyle w:val="EndnoteReference"/>
        </w:rPr>
        <w:endnoteRef/>
      </w:r>
      <w:r w:rsidRPr="00C50F61">
        <w:t xml:space="preserve"> </w:t>
      </w:r>
      <w:r w:rsidRPr="00F40C6A">
        <w:t>Jer. 22:16</w:t>
      </w:r>
      <w:r>
        <w:t>, 17, 19, 30.</w:t>
      </w:r>
    </w:p>
  </w:endnote>
  <w:endnote w:id="2552">
    <w:p w:rsidR="00975183" w:rsidRDefault="00975183" w:rsidP="006A2E06">
      <w:pPr>
        <w:pStyle w:val="EndnoteText"/>
      </w:pPr>
      <w:r w:rsidRPr="006329CD">
        <w:rPr>
          <w:rStyle w:val="FootnoteReference"/>
          <w:szCs w:val="18"/>
        </w:rPr>
        <w:endnoteRef/>
      </w:r>
      <w:r w:rsidRPr="006329CD">
        <w:rPr>
          <w:szCs w:val="18"/>
        </w:rPr>
        <w:t xml:space="preserve"> </w:t>
      </w:r>
      <w:r w:rsidRPr="006329CD">
        <w:rPr>
          <w:i/>
          <w:szCs w:val="18"/>
        </w:rPr>
        <w:t>SRB</w:t>
      </w:r>
      <w:r w:rsidRPr="006329CD">
        <w:rPr>
          <w:szCs w:val="18"/>
        </w:rPr>
        <w:t xml:space="preserve"> </w:t>
      </w:r>
      <w:r>
        <w:rPr>
          <w:szCs w:val="18"/>
        </w:rPr>
        <w:t>Introduction to Lamentations, p. 834.</w:t>
      </w:r>
    </w:p>
  </w:endnote>
  <w:endnote w:id="2553">
    <w:p w:rsidR="00975183" w:rsidRDefault="00975183" w:rsidP="006A2E06">
      <w:pPr>
        <w:pStyle w:val="EndnoteText"/>
      </w:pPr>
      <w:r w:rsidRPr="006329CD">
        <w:rPr>
          <w:rStyle w:val="FootnoteReference"/>
          <w:szCs w:val="18"/>
        </w:rPr>
        <w:endnoteRef/>
      </w:r>
      <w:r w:rsidRPr="006329CD">
        <w:rPr>
          <w:szCs w:val="18"/>
        </w:rPr>
        <w:t xml:space="preserve"> </w:t>
      </w:r>
      <w:proofErr w:type="gramStart"/>
      <w:r w:rsidRPr="006329CD">
        <w:rPr>
          <w:i/>
          <w:szCs w:val="18"/>
        </w:rPr>
        <w:t>SRB</w:t>
      </w:r>
      <w:r>
        <w:rPr>
          <w:i/>
          <w:szCs w:val="18"/>
        </w:rPr>
        <w:t xml:space="preserve"> </w:t>
      </w:r>
      <w:r w:rsidRPr="006B51A0">
        <w:rPr>
          <w:szCs w:val="18"/>
        </w:rPr>
        <w:t>note on heading to Lamentations 3, p. 836.</w:t>
      </w:r>
      <w:proofErr w:type="gramEnd"/>
    </w:p>
  </w:endnote>
  <w:endnote w:id="2554">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Ezekiel, p. 840.</w:t>
      </w:r>
    </w:p>
  </w:endnote>
  <w:endnote w:id="255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8:3, p. 847.</w:t>
      </w:r>
    </w:p>
  </w:endnote>
  <w:endnote w:id="255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2:1, pp. 841-2.</w:t>
      </w:r>
    </w:p>
  </w:endnote>
  <w:endnote w:id="255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Ezek. 8:3, p. 847; 8:5, p. 847, refs Ezek. 8:10-11, 14, 16.</w:t>
      </w:r>
    </w:p>
  </w:endnote>
  <w:endnote w:id="255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34:28, p. 879.</w:t>
      </w:r>
    </w:p>
  </w:endnote>
  <w:endnote w:id="2559">
    <w:p w:rsidR="00975183" w:rsidRPr="00F15448" w:rsidRDefault="00975183" w:rsidP="006A2E06">
      <w:pPr>
        <w:pStyle w:val="EndnoteText"/>
      </w:pPr>
      <w:r w:rsidRPr="00F15448">
        <w:rPr>
          <w:rStyle w:val="EndnoteReference"/>
        </w:rPr>
        <w:endnoteRef/>
      </w:r>
      <w:r w:rsidRPr="00F15448">
        <w:t xml:space="preserve"> </w:t>
      </w:r>
      <w:r w:rsidRPr="00FB0BC6">
        <w:rPr>
          <w:b/>
        </w:rPr>
        <w:t>See 7.2</w:t>
      </w:r>
      <w:r>
        <w:t>.</w:t>
      </w:r>
    </w:p>
  </w:endnote>
  <w:endnote w:id="2560">
    <w:p w:rsidR="00975183" w:rsidRDefault="00975183" w:rsidP="006A2E06">
      <w:pPr>
        <w:pStyle w:val="EndnoteText"/>
      </w:pPr>
      <w:r w:rsidRPr="00C31299">
        <w:rPr>
          <w:rStyle w:val="EndnoteReference"/>
        </w:rPr>
        <w:endnoteRef/>
      </w:r>
      <w:r w:rsidRPr="00C31299">
        <w:t xml:space="preserve"> </w:t>
      </w:r>
      <w:r w:rsidRPr="00C31299">
        <w:rPr>
          <w:i/>
        </w:rPr>
        <w:t>SRB</w:t>
      </w:r>
      <w:r w:rsidRPr="00C31299">
        <w:t xml:space="preserve"> note</w:t>
      </w:r>
      <w:r>
        <w:t xml:space="preserve"> on Ezek.</w:t>
      </w:r>
      <w:r w:rsidRPr="00C31299">
        <w:t xml:space="preserve"> 25:8, p. 868</w:t>
      </w:r>
      <w:r>
        <w:t>.</w:t>
      </w:r>
    </w:p>
  </w:endnote>
  <w:endnote w:id="2561">
    <w:p w:rsidR="00975183" w:rsidRDefault="00975183" w:rsidP="006A2E06">
      <w:pPr>
        <w:pStyle w:val="EndnoteText"/>
      </w:pPr>
      <w:r w:rsidRPr="006329CD">
        <w:rPr>
          <w:rStyle w:val="EndnoteReference"/>
          <w:szCs w:val="18"/>
        </w:rPr>
        <w:endnoteRef/>
      </w:r>
      <w:r w:rsidRPr="006329CD">
        <w:rPr>
          <w:szCs w:val="18"/>
        </w:rPr>
        <w:t xml:space="preserve"> </w:t>
      </w:r>
      <w:r>
        <w:rPr>
          <w:szCs w:val="18"/>
        </w:rPr>
        <w:t>Refs Isa. 2:10-22; Rev. 19:11-21.</w:t>
      </w:r>
    </w:p>
  </w:endnote>
  <w:endnote w:id="2562">
    <w:p w:rsidR="00975183" w:rsidRDefault="00975183" w:rsidP="006A2E06">
      <w:pPr>
        <w:pStyle w:val="EndnoteText"/>
      </w:pPr>
      <w:r w:rsidRPr="006329CD">
        <w:rPr>
          <w:rStyle w:val="EndnoteReference"/>
          <w:szCs w:val="18"/>
        </w:rPr>
        <w:endnoteRef/>
      </w:r>
      <w:r w:rsidRPr="006329CD">
        <w:rPr>
          <w:szCs w:val="18"/>
        </w:rPr>
        <w:t xml:space="preserve"> </w:t>
      </w:r>
      <w:r>
        <w:rPr>
          <w:szCs w:val="18"/>
        </w:rPr>
        <w:t>Ref. Rev. 16:14.</w:t>
      </w:r>
    </w:p>
  </w:endnote>
  <w:endnote w:id="2563">
    <w:p w:rsidR="00975183" w:rsidRDefault="00975183" w:rsidP="006A2E06">
      <w:pPr>
        <w:pStyle w:val="EndnoteText"/>
      </w:pPr>
      <w:r w:rsidRPr="006329CD">
        <w:rPr>
          <w:rStyle w:val="EndnoteReference"/>
          <w:szCs w:val="18"/>
        </w:rPr>
        <w:endnoteRef/>
      </w:r>
      <w:r w:rsidRPr="006329CD">
        <w:rPr>
          <w:szCs w:val="18"/>
        </w:rPr>
        <w:t xml:space="preserve"> </w:t>
      </w:r>
      <w:proofErr w:type="gramStart"/>
      <w:r>
        <w:rPr>
          <w:szCs w:val="18"/>
        </w:rPr>
        <w:t>Ref. Rev. 20:7-9.</w:t>
      </w:r>
      <w:proofErr w:type="gramEnd"/>
    </w:p>
  </w:endnote>
  <w:endnote w:id="256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w:t>
      </w:r>
      <w:r w:rsidRPr="00D118A6">
        <w:t>Ezek. 38:2, p. 883.</w:t>
      </w:r>
      <w:r w:rsidRPr="00BB63FD">
        <w:rPr>
          <w:color w:val="0070C0"/>
        </w:rPr>
        <w:t xml:space="preserve"> </w:t>
      </w:r>
      <w:r>
        <w:rPr>
          <w:color w:val="0070C0"/>
        </w:rPr>
        <w:t xml:space="preserve"> </w:t>
      </w:r>
    </w:p>
  </w:endnote>
  <w:endnote w:id="256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28:12, p. 871.</w:t>
      </w:r>
    </w:p>
  </w:endnote>
  <w:endnote w:id="2566">
    <w:p w:rsidR="00975183" w:rsidRPr="008E25CF" w:rsidRDefault="00975183" w:rsidP="006A2E06">
      <w:pPr>
        <w:pStyle w:val="EndnoteText"/>
      </w:pPr>
      <w:r w:rsidRPr="008E25CF">
        <w:rPr>
          <w:rStyle w:val="EndnoteReference"/>
        </w:rPr>
        <w:endnoteRef/>
      </w:r>
      <w:r w:rsidRPr="008E25CF">
        <w:t xml:space="preserve"> Ezek. 36:1-15</w:t>
      </w:r>
      <w:r>
        <w:t>.</w:t>
      </w:r>
    </w:p>
  </w:endnote>
  <w:endnote w:id="2567">
    <w:p w:rsidR="00975183" w:rsidRPr="008E25CF" w:rsidRDefault="00975183" w:rsidP="006A2E06">
      <w:pPr>
        <w:pStyle w:val="EndnoteText"/>
      </w:pPr>
      <w:r w:rsidRPr="008E25CF">
        <w:rPr>
          <w:rStyle w:val="EndnoteReference"/>
        </w:rPr>
        <w:endnoteRef/>
      </w:r>
      <w:r w:rsidRPr="008E25CF">
        <w:t xml:space="preserve"> Ezek. 36:16 - 37:28</w:t>
      </w:r>
      <w:r>
        <w:t>.</w:t>
      </w:r>
    </w:p>
  </w:endnote>
  <w:endnote w:id="2568">
    <w:p w:rsidR="00975183" w:rsidRPr="008E25CF" w:rsidRDefault="00975183" w:rsidP="006A2E06">
      <w:pPr>
        <w:pStyle w:val="EndnoteText"/>
      </w:pPr>
      <w:r w:rsidRPr="008E25CF">
        <w:rPr>
          <w:rStyle w:val="EndnoteReference"/>
        </w:rPr>
        <w:endnoteRef/>
      </w:r>
      <w:r w:rsidRPr="008E25CF">
        <w:t xml:space="preserve"> Ezek. 38:1-39</w:t>
      </w:r>
      <w:r>
        <w:t>.</w:t>
      </w:r>
    </w:p>
  </w:endnote>
  <w:endnote w:id="2569">
    <w:p w:rsidR="00975183" w:rsidRPr="000A2346" w:rsidRDefault="00975183" w:rsidP="006A2E06">
      <w:pPr>
        <w:pStyle w:val="EndnoteText"/>
      </w:pPr>
      <w:r w:rsidRPr="000A2346">
        <w:rPr>
          <w:rStyle w:val="EndnoteReference"/>
        </w:rPr>
        <w:endnoteRef/>
      </w:r>
      <w:r w:rsidRPr="000A2346">
        <w:t xml:space="preserve"> </w:t>
      </w:r>
      <w:proofErr w:type="gramStart"/>
      <w:r>
        <w:t>Ezekiel 37.</w:t>
      </w:r>
      <w:proofErr w:type="gramEnd"/>
    </w:p>
  </w:endnote>
  <w:endnote w:id="2570">
    <w:p w:rsidR="00975183" w:rsidRDefault="00975183" w:rsidP="006A2E06">
      <w:pPr>
        <w:pStyle w:val="EndnoteText"/>
      </w:pPr>
      <w:r w:rsidRPr="006329CD">
        <w:rPr>
          <w:rStyle w:val="EndnoteReference"/>
          <w:szCs w:val="18"/>
        </w:rPr>
        <w:endnoteRef/>
      </w:r>
      <w:r w:rsidRPr="006329CD">
        <w:rPr>
          <w:szCs w:val="18"/>
        </w:rPr>
        <w:t xml:space="preserve"> </w:t>
      </w:r>
      <w:r>
        <w:rPr>
          <w:szCs w:val="18"/>
        </w:rPr>
        <w:t>Refs Ezek. 37:12-14, 19-27.</w:t>
      </w:r>
    </w:p>
  </w:endnote>
  <w:endnote w:id="2571">
    <w:p w:rsidR="00975183" w:rsidRDefault="00975183" w:rsidP="006A2E06">
      <w:pPr>
        <w:pStyle w:val="EndnoteText"/>
      </w:pPr>
      <w:r w:rsidRPr="006329CD">
        <w:rPr>
          <w:rStyle w:val="EndnoteReference"/>
          <w:szCs w:val="18"/>
        </w:rPr>
        <w:endnoteRef/>
      </w:r>
      <w:r w:rsidRPr="006329CD">
        <w:rPr>
          <w:szCs w:val="18"/>
        </w:rPr>
        <w:t xml:space="preserve"> </w:t>
      </w:r>
      <w:r>
        <w:rPr>
          <w:szCs w:val="18"/>
        </w:rPr>
        <w:t>Ref. Ezek. 37:12.</w:t>
      </w:r>
    </w:p>
  </w:endnote>
  <w:endnote w:id="2572">
    <w:p w:rsidR="00975183" w:rsidRDefault="00975183" w:rsidP="006A2E06">
      <w:pPr>
        <w:pStyle w:val="EndnoteText"/>
      </w:pPr>
      <w:r w:rsidRPr="006329CD">
        <w:rPr>
          <w:rStyle w:val="EndnoteReference"/>
          <w:szCs w:val="18"/>
        </w:rPr>
        <w:endnoteRef/>
      </w:r>
      <w:r w:rsidRPr="006329CD">
        <w:rPr>
          <w:szCs w:val="18"/>
        </w:rPr>
        <w:t xml:space="preserve"> </w:t>
      </w:r>
      <w:r>
        <w:rPr>
          <w:szCs w:val="18"/>
        </w:rPr>
        <w:t>Ref. Ezek. 37:13.</w:t>
      </w:r>
    </w:p>
  </w:endnote>
  <w:endnote w:id="2573">
    <w:p w:rsidR="00975183" w:rsidRDefault="00975183" w:rsidP="006A2E06">
      <w:pPr>
        <w:pStyle w:val="EndnoteText"/>
      </w:pPr>
      <w:r w:rsidRPr="006329CD">
        <w:rPr>
          <w:rStyle w:val="EndnoteReference"/>
          <w:szCs w:val="18"/>
        </w:rPr>
        <w:endnoteRef/>
      </w:r>
      <w:r w:rsidRPr="006329CD">
        <w:rPr>
          <w:szCs w:val="18"/>
        </w:rPr>
        <w:t xml:space="preserve"> </w:t>
      </w:r>
      <w:r>
        <w:rPr>
          <w:szCs w:val="18"/>
        </w:rPr>
        <w:t>Ref. Ezek. 37:14.</w:t>
      </w:r>
    </w:p>
  </w:endnote>
  <w:endnote w:id="2574">
    <w:p w:rsidR="00975183" w:rsidRPr="009F4AD2" w:rsidRDefault="00975183" w:rsidP="006A2E06">
      <w:pPr>
        <w:pStyle w:val="EndnoteText"/>
      </w:pPr>
      <w:r w:rsidRPr="009F4AD2">
        <w:rPr>
          <w:rStyle w:val="EndnoteReference"/>
        </w:rPr>
        <w:endnoteRef/>
      </w:r>
      <w:r w:rsidRPr="009F4AD2">
        <w:t xml:space="preserve"> Ref. Ezek. 37:19-21.  </w:t>
      </w:r>
      <w:proofErr w:type="gramStart"/>
      <w:r w:rsidRPr="009F4AD2">
        <w:t>Represented by the two sticks in verses 19-21.</w:t>
      </w:r>
      <w:proofErr w:type="gramEnd"/>
    </w:p>
  </w:endnote>
  <w:endnote w:id="257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38:1, p. 881.</w:t>
      </w:r>
    </w:p>
  </w:endnote>
  <w:endnote w:id="2576">
    <w:p w:rsidR="00975183" w:rsidRPr="000A2346" w:rsidRDefault="00975183" w:rsidP="006A2E06">
      <w:pPr>
        <w:pStyle w:val="EndnoteText"/>
      </w:pPr>
      <w:r w:rsidRPr="000A2346">
        <w:rPr>
          <w:rStyle w:val="EndnoteReference"/>
        </w:rPr>
        <w:endnoteRef/>
      </w:r>
      <w:r w:rsidRPr="000A2346">
        <w:t xml:space="preserve"> Ref. 1 Cor. 15:45-7</w:t>
      </w:r>
      <w:r>
        <w:t>.</w:t>
      </w:r>
    </w:p>
  </w:endnote>
  <w:endnote w:id="257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Ezek. 2:1, pp. 841-2.</w:t>
      </w:r>
    </w:p>
  </w:endnote>
  <w:endnote w:id="257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43:19, p. 890.</w:t>
      </w:r>
      <w:r>
        <w:rPr>
          <w:szCs w:val="18"/>
        </w:rPr>
        <w:t xml:space="preserve">  </w:t>
      </w:r>
    </w:p>
  </w:endnote>
  <w:endnote w:id="257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1:4, 7, 17.  Ezekiel’s appointment as watchman is obliquely repeated in Ezek. 33:2.</w:t>
      </w:r>
    </w:p>
  </w:endnote>
  <w:endnote w:id="2580">
    <w:p w:rsidR="00975183" w:rsidRPr="006329CD" w:rsidRDefault="00975183" w:rsidP="006A2E06">
      <w:pPr>
        <w:pStyle w:val="EndnoteText"/>
        <w:tabs>
          <w:tab w:val="left" w:pos="6420"/>
        </w:tabs>
        <w:rPr>
          <w:szCs w:val="18"/>
        </w:rPr>
      </w:pPr>
      <w:r w:rsidRPr="006329CD">
        <w:rPr>
          <w:rStyle w:val="EndnoteReference"/>
          <w:szCs w:val="18"/>
        </w:rPr>
        <w:endnoteRef/>
      </w:r>
      <w:r w:rsidRPr="006329CD">
        <w:rPr>
          <w:szCs w:val="18"/>
        </w:rPr>
        <w:t xml:space="preserve"> Ezek. 3:26, 33:22.</w:t>
      </w:r>
      <w:r w:rsidRPr="006329CD">
        <w:rPr>
          <w:szCs w:val="18"/>
        </w:rPr>
        <w:tab/>
      </w:r>
    </w:p>
  </w:endnote>
  <w:endnote w:id="258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24:1.</w:t>
      </w:r>
    </w:p>
  </w:endnote>
  <w:endnote w:id="258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33:21.</w:t>
      </w:r>
    </w:p>
  </w:endnote>
  <w:endnote w:id="258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18:3, 21-24; 33:2-10. </w:t>
      </w:r>
    </w:p>
  </w:endnote>
  <w:endnote w:id="2584">
    <w:p w:rsidR="00975183" w:rsidRPr="005C1652" w:rsidRDefault="00975183" w:rsidP="006A2E06">
      <w:pPr>
        <w:pStyle w:val="EndnoteText"/>
      </w:pPr>
      <w:r w:rsidRPr="005C1652">
        <w:rPr>
          <w:rStyle w:val="EndnoteReference"/>
        </w:rPr>
        <w:endnoteRef/>
      </w:r>
      <w:r w:rsidRPr="005C1652">
        <w:t xml:space="preserve"> </w:t>
      </w:r>
      <w:r>
        <w:t>Jeremiah 4:1.</w:t>
      </w:r>
    </w:p>
  </w:endnote>
  <w:endnote w:id="258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4:1, p. 843</w:t>
      </w:r>
      <w:r w:rsidRPr="006329CD">
        <w:rPr>
          <w:b/>
          <w:szCs w:val="18"/>
        </w:rPr>
        <w:t>.</w:t>
      </w:r>
    </w:p>
  </w:endnote>
  <w:endnote w:id="2586">
    <w:p w:rsidR="00975183" w:rsidRDefault="00975183" w:rsidP="006A2E06">
      <w:pPr>
        <w:pStyle w:val="EndnoteText"/>
      </w:pPr>
      <w:r w:rsidRPr="00F40C6A">
        <w:rPr>
          <w:rStyle w:val="EndnoteReference"/>
        </w:rPr>
        <w:endnoteRef/>
      </w:r>
      <w:r w:rsidRPr="00F40C6A">
        <w:t xml:space="preserve"> For example, the symbolism of the iron pan, representing the siege of Jerusalem (Ezek. 4:2); Ezekiel’s being forced to lie on one side and then the other to symbolise in turn the iniquity of Israel and Judah (Ezek. 4:4-8); the use of Ezekiel’s food and cooking method to symbolise the defilement of Israel amongst the Gentiles (Ezek. 4:9-17); the use of sections of Ezekiel’s hair to symbolise the fates for third parts of Jerusalem (Ezek. 5:1-4, 12) and the use of the death of Ezekiel’s wife and the Lord’s command that the prophet should show no signs of mourning to symbolise the Lord’s profanation of his sanctuary and the prohibition on Israel’s mourning (Ezek. 24:16-24).</w:t>
      </w:r>
    </w:p>
  </w:endnote>
  <w:endnote w:id="258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Ezekiel 6</w:t>
      </w:r>
      <w:r>
        <w:rPr>
          <w:szCs w:val="18"/>
        </w:rPr>
        <w:t xml:space="preserve"> </w:t>
      </w:r>
      <w:r w:rsidRPr="00012B96">
        <w:rPr>
          <w:sz w:val="16"/>
          <w:szCs w:val="24"/>
        </w:rPr>
        <w:t>—</w:t>
      </w:r>
      <w:r>
        <w:rPr>
          <w:sz w:val="16"/>
          <w:szCs w:val="24"/>
        </w:rPr>
        <w:t xml:space="preserve"> </w:t>
      </w:r>
      <w:r>
        <w:rPr>
          <w:szCs w:val="18"/>
        </w:rPr>
        <w:t xml:space="preserve">7; 10 </w:t>
      </w:r>
      <w:r w:rsidRPr="00012B96">
        <w:rPr>
          <w:sz w:val="16"/>
          <w:szCs w:val="24"/>
        </w:rPr>
        <w:t>—</w:t>
      </w:r>
      <w:r>
        <w:rPr>
          <w:szCs w:val="18"/>
        </w:rPr>
        <w:t xml:space="preserve"> </w:t>
      </w:r>
      <w:r w:rsidRPr="006329CD">
        <w:rPr>
          <w:szCs w:val="18"/>
        </w:rPr>
        <w:t>11; 13</w:t>
      </w:r>
      <w:r>
        <w:rPr>
          <w:szCs w:val="18"/>
        </w:rPr>
        <w:t xml:space="preserve"> </w:t>
      </w:r>
      <w:r w:rsidRPr="00012B96">
        <w:rPr>
          <w:sz w:val="16"/>
          <w:szCs w:val="24"/>
        </w:rPr>
        <w:t>—</w:t>
      </w:r>
      <w:r>
        <w:rPr>
          <w:szCs w:val="18"/>
        </w:rPr>
        <w:t xml:space="preserve"> 1</w:t>
      </w:r>
      <w:r w:rsidRPr="006329CD">
        <w:rPr>
          <w:szCs w:val="18"/>
        </w:rPr>
        <w:t xml:space="preserve">9; 21 </w:t>
      </w:r>
      <w:r w:rsidRPr="00012B96">
        <w:rPr>
          <w:sz w:val="16"/>
          <w:szCs w:val="24"/>
        </w:rPr>
        <w:t>—</w:t>
      </w:r>
      <w:r w:rsidRPr="006329CD">
        <w:rPr>
          <w:szCs w:val="18"/>
        </w:rPr>
        <w:t xml:space="preserve"> 31.</w:t>
      </w:r>
      <w:proofErr w:type="gramEnd"/>
      <w:r w:rsidRPr="006329CD">
        <w:rPr>
          <w:szCs w:val="18"/>
        </w:rPr>
        <w:t xml:space="preserve">  </w:t>
      </w:r>
    </w:p>
  </w:endnote>
  <w:endnote w:id="258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5:11.  </w:t>
      </w:r>
    </w:p>
  </w:endnote>
  <w:endnote w:id="258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22:29; 45:9-10; 47:23.</w:t>
      </w:r>
    </w:p>
  </w:endnote>
  <w:endnote w:id="259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Ezek. 11:17-20; 16:60-63; 17:22. </w:t>
      </w:r>
    </w:p>
  </w:endnote>
  <w:endnote w:id="2591">
    <w:p w:rsidR="00975183" w:rsidRDefault="00975183" w:rsidP="006A2E06">
      <w:pPr>
        <w:pStyle w:val="EndnoteText"/>
        <w:rPr>
          <w:color w:val="000000"/>
        </w:rPr>
      </w:pPr>
      <w:r w:rsidRPr="00F40C6A">
        <w:rPr>
          <w:rStyle w:val="EndnoteReference"/>
        </w:rPr>
        <w:endnoteRef/>
      </w:r>
      <w:r w:rsidRPr="00F40C6A">
        <w:t xml:space="preserve"> </w:t>
      </w:r>
      <w:r w:rsidRPr="00F40C6A">
        <w:rPr>
          <w:color w:val="000000"/>
        </w:rPr>
        <w:t>Tyre</w:t>
      </w:r>
      <w:r>
        <w:rPr>
          <w:color w:val="000000"/>
        </w:rPr>
        <w:t>:</w:t>
      </w:r>
      <w:r w:rsidRPr="00F40C6A">
        <w:rPr>
          <w:color w:val="000000"/>
        </w:rPr>
        <w:t xml:space="preserve"> </w:t>
      </w:r>
      <w:r w:rsidRPr="00F40C6A">
        <w:t xml:space="preserve">Ezekiel 28; </w:t>
      </w:r>
      <w:r w:rsidRPr="00F40C6A">
        <w:rPr>
          <w:color w:val="000000"/>
        </w:rPr>
        <w:t>Egypt</w:t>
      </w:r>
      <w:r>
        <w:rPr>
          <w:color w:val="000000"/>
        </w:rPr>
        <w:t>:</w:t>
      </w:r>
      <w:r w:rsidRPr="00F40C6A">
        <w:rPr>
          <w:color w:val="000000"/>
        </w:rPr>
        <w:t xml:space="preserve"> Ezekiel 29</w:t>
      </w:r>
      <w:r>
        <w:rPr>
          <w:color w:val="000000"/>
        </w:rPr>
        <w:t xml:space="preserve"> </w:t>
      </w:r>
      <w:r w:rsidRPr="00012B96">
        <w:rPr>
          <w:sz w:val="16"/>
          <w:szCs w:val="24"/>
        </w:rPr>
        <w:t>—</w:t>
      </w:r>
      <w:r>
        <w:rPr>
          <w:color w:val="000000"/>
        </w:rPr>
        <w:t xml:space="preserve"> </w:t>
      </w:r>
      <w:r w:rsidRPr="00F40C6A">
        <w:rPr>
          <w:color w:val="000000"/>
        </w:rPr>
        <w:t>32; Assyria, Elam, Meshech, Tubal, and Sidon</w:t>
      </w:r>
      <w:r>
        <w:rPr>
          <w:color w:val="000000"/>
        </w:rPr>
        <w:t>:</w:t>
      </w:r>
      <w:r w:rsidRPr="00F40C6A">
        <w:rPr>
          <w:color w:val="000000"/>
        </w:rPr>
        <w:t xml:space="preserve"> Ezekiel 32; </w:t>
      </w:r>
    </w:p>
    <w:p w:rsidR="00975183" w:rsidRDefault="00975183" w:rsidP="006A2E06">
      <w:pPr>
        <w:pStyle w:val="EndnoteText"/>
      </w:pPr>
      <w:r w:rsidRPr="00F40C6A">
        <w:rPr>
          <w:color w:val="000000"/>
        </w:rPr>
        <w:t>Edom</w:t>
      </w:r>
      <w:r>
        <w:rPr>
          <w:color w:val="000000"/>
        </w:rPr>
        <w:t>:</w:t>
      </w:r>
      <w:r w:rsidRPr="00F40C6A">
        <w:rPr>
          <w:color w:val="000000"/>
        </w:rPr>
        <w:t xml:space="preserve"> Ezekiel 32, 33; Seir</w:t>
      </w:r>
      <w:r>
        <w:rPr>
          <w:color w:val="000000"/>
        </w:rPr>
        <w:t>:</w:t>
      </w:r>
      <w:r w:rsidRPr="00F40C6A">
        <w:rPr>
          <w:color w:val="000000"/>
        </w:rPr>
        <w:t xml:space="preserve"> Ezekiel 33; and Gog</w:t>
      </w:r>
      <w:r>
        <w:rPr>
          <w:color w:val="000000"/>
        </w:rPr>
        <w:t>:</w:t>
      </w:r>
      <w:r w:rsidRPr="00F40C6A">
        <w:rPr>
          <w:color w:val="000000"/>
        </w:rPr>
        <w:t xml:space="preserve"> Ezekiel 39.</w:t>
      </w:r>
    </w:p>
  </w:endnote>
  <w:endnote w:id="259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25:8, p. 868.  </w:t>
      </w:r>
      <w:proofErr w:type="gramStart"/>
      <w:r w:rsidRPr="005C7B5A">
        <w:rPr>
          <w:b/>
          <w:szCs w:val="18"/>
        </w:rPr>
        <w:t>See 7.1.2.2</w:t>
      </w:r>
      <w:r w:rsidRPr="005C7B5A">
        <w:rPr>
          <w:szCs w:val="18"/>
        </w:rPr>
        <w:t>.</w:t>
      </w:r>
      <w:proofErr w:type="gramEnd"/>
    </w:p>
  </w:endnote>
  <w:endnote w:id="259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Ezekiel 47 and Ezekiel 48.</w:t>
      </w:r>
      <w:proofErr w:type="gramEnd"/>
      <w:r>
        <w:rPr>
          <w:szCs w:val="18"/>
        </w:rPr>
        <w:t xml:space="preserve"> </w:t>
      </w:r>
    </w:p>
  </w:endnote>
  <w:endnote w:id="2594">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Daniel, p. 898.</w:t>
      </w:r>
    </w:p>
  </w:endnote>
  <w:endnote w:id="2595">
    <w:p w:rsidR="00975183" w:rsidRPr="00940FC3" w:rsidRDefault="00975183" w:rsidP="006A2E06">
      <w:pPr>
        <w:pStyle w:val="EndnoteText"/>
      </w:pPr>
      <w:r w:rsidRPr="00940FC3">
        <w:rPr>
          <w:rStyle w:val="EndnoteReference"/>
        </w:rPr>
        <w:endnoteRef/>
      </w:r>
      <w:r w:rsidRPr="00940FC3">
        <w:t xml:space="preserve"> Notes on two chapters in Isaiah reach 81 words per 100 words in the </w:t>
      </w:r>
      <w:r w:rsidRPr="00940FC3">
        <w:rPr>
          <w:i/>
        </w:rPr>
        <w:t>KJV</w:t>
      </w:r>
      <w:r w:rsidRPr="00940FC3">
        <w:t xml:space="preserve"> text and two reach more than 40 words, but the majority consist of fewer than 30 words per 100; many have fewer than 20 words per 100 and some fewer than 10 words.  Notes on Jeremiah exceed 20 words per 100 words in the </w:t>
      </w:r>
      <w:r w:rsidRPr="00940FC3">
        <w:rPr>
          <w:i/>
        </w:rPr>
        <w:t>KJV</w:t>
      </w:r>
      <w:r w:rsidRPr="00940FC3">
        <w:t xml:space="preserve"> text only in chapter 30.  Notes on Ezekiel all fall below 30 words per 100 in the </w:t>
      </w:r>
      <w:r w:rsidRPr="00940FC3">
        <w:rPr>
          <w:i/>
        </w:rPr>
        <w:t>KJV</w:t>
      </w:r>
      <w:r w:rsidRPr="00940FC3">
        <w:t xml:space="preserve"> text, except Ezekiel 2, which has 71 words per 100 in the </w:t>
      </w:r>
      <w:r w:rsidRPr="00940FC3">
        <w:rPr>
          <w:i/>
        </w:rPr>
        <w:t>KJV</w:t>
      </w:r>
      <w:r w:rsidRPr="00940FC3">
        <w:t xml:space="preserve"> text.</w:t>
      </w:r>
    </w:p>
  </w:endnote>
  <w:endnote w:id="259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Daniel 1, 6 and 10.</w:t>
      </w:r>
      <w:proofErr w:type="gramEnd"/>
    </w:p>
  </w:endnote>
  <w:endnote w:id="259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 xml:space="preserve">s on </w:t>
      </w:r>
      <w:r w:rsidRPr="008A59B0">
        <w:t>Dan. 2:31, p. 900; 4:1, p. 904;</w:t>
      </w:r>
      <w:r>
        <w:t xml:space="preserve"> </w:t>
      </w:r>
      <w:r w:rsidRPr="008A59B0">
        <w:t>7:17, pp. 910-11; 7:26, p. 911</w:t>
      </w:r>
      <w:r>
        <w:t>;</w:t>
      </w:r>
      <w:r w:rsidRPr="008A59B0">
        <w:t xml:space="preserve"> 8:19, p. 913</w:t>
      </w:r>
      <w:r>
        <w:t xml:space="preserve">.  </w:t>
      </w:r>
      <w:proofErr w:type="gramStart"/>
      <w:r w:rsidRPr="005C7B5A">
        <w:rPr>
          <w:b/>
        </w:rPr>
        <w:t>See 7.1.2.2</w:t>
      </w:r>
      <w:r>
        <w:t>.</w:t>
      </w:r>
      <w:proofErr w:type="gramEnd"/>
      <w:r>
        <w:t xml:space="preserve"> </w:t>
      </w:r>
    </w:p>
  </w:endnote>
  <w:endnote w:id="2598">
    <w:p w:rsidR="00975183" w:rsidRPr="001044D0" w:rsidRDefault="00975183" w:rsidP="006A2E06">
      <w:pPr>
        <w:pStyle w:val="EndnoteText"/>
      </w:pPr>
      <w:r w:rsidRPr="001044D0">
        <w:rPr>
          <w:rStyle w:val="EndnoteReference"/>
        </w:rPr>
        <w:endnoteRef/>
      </w:r>
      <w:r w:rsidRPr="001044D0">
        <w:t xml:space="preserve"> </w:t>
      </w:r>
      <w:r w:rsidRPr="001044D0">
        <w:rPr>
          <w:i/>
        </w:rPr>
        <w:t>SRB</w:t>
      </w:r>
      <w:r w:rsidRPr="001044D0">
        <w:t xml:space="preserve"> notes on Dan.2:31, pp. 900-901; 2:41, p. 901; 2:44, p. 902; 4:1, p. 904; 5:31, p. </w:t>
      </w:r>
      <w:r>
        <w:t>90</w:t>
      </w:r>
      <w:r w:rsidRPr="001044D0">
        <w:t>7 (short reference); 7:26, p. 911; 8:1, p. 911; 8:19, p. 913; 11:2, p. 916</w:t>
      </w:r>
      <w:r w:rsidRPr="005C7B5A">
        <w:t xml:space="preserve">.  </w:t>
      </w:r>
      <w:proofErr w:type="gramStart"/>
      <w:r w:rsidRPr="005C7B5A">
        <w:rPr>
          <w:b/>
        </w:rPr>
        <w:t>See 2.2.2</w:t>
      </w:r>
      <w:r w:rsidRPr="005C7B5A">
        <w:t>.</w:t>
      </w:r>
      <w:proofErr w:type="gramEnd"/>
      <w:r w:rsidRPr="005C7B5A">
        <w:t xml:space="preserve"> </w:t>
      </w:r>
    </w:p>
  </w:endnote>
  <w:endnote w:id="259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Dan.</w:t>
      </w:r>
      <w:r>
        <w:rPr>
          <w:szCs w:val="18"/>
        </w:rPr>
        <w:t xml:space="preserve"> </w:t>
      </w:r>
      <w:r w:rsidRPr="0045151E">
        <w:rPr>
          <w:szCs w:val="22"/>
        </w:rPr>
        <w:t>2:</w:t>
      </w:r>
      <w:r w:rsidRPr="006609A9">
        <w:rPr>
          <w:szCs w:val="22"/>
        </w:rPr>
        <w:t>31, p. 901</w:t>
      </w:r>
      <w:r>
        <w:rPr>
          <w:szCs w:val="22"/>
        </w:rPr>
        <w:t>;</w:t>
      </w:r>
      <w:r w:rsidRPr="0045151E">
        <w:rPr>
          <w:szCs w:val="22"/>
        </w:rPr>
        <w:t xml:space="preserve"> 2:44, p. 902</w:t>
      </w:r>
      <w:r>
        <w:rPr>
          <w:szCs w:val="22"/>
        </w:rPr>
        <w:t>;</w:t>
      </w:r>
      <w:r w:rsidRPr="0045151E">
        <w:rPr>
          <w:szCs w:val="22"/>
        </w:rPr>
        <w:t xml:space="preserve"> 7:13, p. 910</w:t>
      </w:r>
      <w:r>
        <w:rPr>
          <w:szCs w:val="22"/>
        </w:rPr>
        <w:t>;</w:t>
      </w:r>
      <w:r w:rsidRPr="0045151E">
        <w:rPr>
          <w:szCs w:val="22"/>
        </w:rPr>
        <w:t xml:space="preserve"> 7:14, p. 910</w:t>
      </w:r>
      <w:r>
        <w:rPr>
          <w:szCs w:val="22"/>
        </w:rPr>
        <w:t>;</w:t>
      </w:r>
      <w:r w:rsidRPr="0045151E">
        <w:rPr>
          <w:szCs w:val="22"/>
        </w:rPr>
        <w:t xml:space="preserve"> 9:24, p</w:t>
      </w:r>
      <w:r>
        <w:rPr>
          <w:szCs w:val="22"/>
        </w:rPr>
        <w:t>p</w:t>
      </w:r>
      <w:r w:rsidRPr="0045151E">
        <w:rPr>
          <w:szCs w:val="22"/>
        </w:rPr>
        <w:t>. 91</w:t>
      </w:r>
      <w:r>
        <w:rPr>
          <w:szCs w:val="22"/>
        </w:rPr>
        <w:t xml:space="preserve">4-5.  </w:t>
      </w:r>
      <w:proofErr w:type="gramStart"/>
      <w:r w:rsidRPr="006609A9">
        <w:rPr>
          <w:b/>
          <w:szCs w:val="22"/>
        </w:rPr>
        <w:t>See 7.1.2.2</w:t>
      </w:r>
      <w:r w:rsidRPr="006609A9">
        <w:rPr>
          <w:szCs w:val="22"/>
        </w:rPr>
        <w:t>.</w:t>
      </w:r>
      <w:proofErr w:type="gramEnd"/>
    </w:p>
  </w:endnote>
  <w:endnote w:id="260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Dan.</w:t>
      </w:r>
      <w:r>
        <w:rPr>
          <w:szCs w:val="18"/>
        </w:rPr>
        <w:t xml:space="preserve"> 9:24, 25, pp. 914-5.  </w:t>
      </w:r>
      <w:proofErr w:type="gramStart"/>
      <w:r w:rsidRPr="006609A9">
        <w:rPr>
          <w:b/>
          <w:szCs w:val="18"/>
        </w:rPr>
        <w:t>See 7.1.2.1</w:t>
      </w:r>
      <w:r>
        <w:rPr>
          <w:szCs w:val="18"/>
        </w:rPr>
        <w:t>.</w:t>
      </w:r>
      <w:proofErr w:type="gramEnd"/>
    </w:p>
  </w:endnote>
  <w:endnote w:id="2601">
    <w:p w:rsidR="00975183" w:rsidRDefault="00975183" w:rsidP="006A2E06">
      <w:pPr>
        <w:pStyle w:val="EndnoteText"/>
        <w:rPr>
          <w:szCs w:val="22"/>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Dan.</w:t>
      </w:r>
      <w:r>
        <w:rPr>
          <w:szCs w:val="18"/>
        </w:rPr>
        <w:t xml:space="preserve"> </w:t>
      </w:r>
      <w:r>
        <w:rPr>
          <w:szCs w:val="22"/>
        </w:rPr>
        <w:t xml:space="preserve">3:17, p. 903; 8:9, p. 912; 9:24, p. 915; 11:35, p. 918; 12:4, p. 919; 12:12, p. 920.  </w:t>
      </w:r>
    </w:p>
    <w:p w:rsidR="00975183" w:rsidRDefault="00975183" w:rsidP="006A2E06">
      <w:pPr>
        <w:pStyle w:val="EndnoteText"/>
      </w:pPr>
      <w:proofErr w:type="gramStart"/>
      <w:r w:rsidRPr="006609A9">
        <w:rPr>
          <w:b/>
          <w:szCs w:val="22"/>
        </w:rPr>
        <w:t>See 7.1.2.3</w:t>
      </w:r>
      <w:r w:rsidRPr="006609A9">
        <w:rPr>
          <w:szCs w:val="22"/>
        </w:rPr>
        <w:t>.</w:t>
      </w:r>
      <w:proofErr w:type="gramEnd"/>
    </w:p>
  </w:endnote>
  <w:endnote w:id="260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Dan.</w:t>
      </w:r>
      <w:r>
        <w:rPr>
          <w:szCs w:val="18"/>
        </w:rPr>
        <w:t xml:space="preserve"> </w:t>
      </w:r>
      <w:r>
        <w:rPr>
          <w:szCs w:val="22"/>
        </w:rPr>
        <w:t>3:17, p. 903; 5:31, p. 908.</w:t>
      </w:r>
    </w:p>
  </w:endnote>
  <w:endnote w:id="2603">
    <w:p w:rsidR="00975183" w:rsidRDefault="00975183" w:rsidP="006A2E06">
      <w:pPr>
        <w:pStyle w:val="EndnoteText"/>
      </w:pPr>
      <w:r w:rsidRPr="008064B8">
        <w:rPr>
          <w:rStyle w:val="FootnoteReference"/>
        </w:rPr>
        <w:endnoteRef/>
      </w:r>
      <w:r w:rsidRPr="008064B8">
        <w:t xml:space="preserve"> </w:t>
      </w:r>
      <w:r w:rsidRPr="008064B8">
        <w:rPr>
          <w:i/>
        </w:rPr>
        <w:t>SRB</w:t>
      </w:r>
      <w:r w:rsidRPr="008064B8">
        <w:t xml:space="preserve"> note on </w:t>
      </w:r>
      <w:r w:rsidRPr="00F40C6A">
        <w:t>Dan</w:t>
      </w:r>
      <w:r>
        <w:t>. 12:4, pp. 919-20.</w:t>
      </w:r>
    </w:p>
  </w:endnote>
  <w:endnote w:id="260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Dan.</w:t>
      </w:r>
      <w:r>
        <w:rPr>
          <w:szCs w:val="18"/>
        </w:rPr>
        <w:t xml:space="preserve"> </w:t>
      </w:r>
      <w:r>
        <w:rPr>
          <w:szCs w:val="22"/>
        </w:rPr>
        <w:t>3:17, p. 903; 7:8, p. 901; 8:9, p. 912; 8:10, p. 912; 9:27, p. 915; 11:35, p. 918.</w:t>
      </w:r>
    </w:p>
  </w:endnote>
  <w:endnote w:id="2605">
    <w:p w:rsidR="00975183" w:rsidRPr="00071DBB" w:rsidRDefault="00975183" w:rsidP="006A2E06">
      <w:pPr>
        <w:pStyle w:val="EndnoteText"/>
      </w:pPr>
      <w:r w:rsidRPr="00071DBB">
        <w:rPr>
          <w:rStyle w:val="EndnoteReference"/>
        </w:rPr>
        <w:endnoteRef/>
      </w:r>
      <w:r w:rsidRPr="00071DBB">
        <w:t xml:space="preserve"> </w:t>
      </w:r>
      <w:proofErr w:type="gramStart"/>
      <w:r w:rsidRPr="006609A9">
        <w:rPr>
          <w:b/>
        </w:rPr>
        <w:t>See 7.1.2.3</w:t>
      </w:r>
      <w:r w:rsidRPr="00071DBB">
        <w:t>.</w:t>
      </w:r>
      <w:proofErr w:type="gramEnd"/>
    </w:p>
  </w:endnote>
  <w:endnote w:id="2606">
    <w:p w:rsidR="00975183" w:rsidRPr="00A937CC" w:rsidRDefault="00975183" w:rsidP="006A2E06">
      <w:pPr>
        <w:pStyle w:val="EndnoteText"/>
        <w:rPr>
          <w:lang w:val="en-US"/>
        </w:rPr>
      </w:pPr>
      <w:r w:rsidRPr="00A937CC">
        <w:rPr>
          <w:rStyle w:val="EndnoteReference"/>
        </w:rPr>
        <w:endnoteRef/>
      </w:r>
      <w:r w:rsidRPr="00A937CC">
        <w:t xml:space="preserve"> </w:t>
      </w:r>
      <w:proofErr w:type="gramStart"/>
      <w:r w:rsidRPr="00031F28">
        <w:rPr>
          <w:b/>
          <w:lang w:val="en-US"/>
        </w:rPr>
        <w:t>See 2.3.1, d)</w:t>
      </w:r>
      <w:r w:rsidRPr="00A937CC">
        <w:rPr>
          <w:lang w:val="en-US"/>
        </w:rPr>
        <w:t>.</w:t>
      </w:r>
      <w:proofErr w:type="gramEnd"/>
    </w:p>
  </w:endnote>
  <w:endnote w:id="2607">
    <w:p w:rsidR="00975183" w:rsidRPr="00A937CC" w:rsidRDefault="00975183" w:rsidP="006A2E06">
      <w:pPr>
        <w:pStyle w:val="EndnoteText"/>
        <w:rPr>
          <w:lang w:val="en-US"/>
        </w:rPr>
      </w:pPr>
      <w:r w:rsidRPr="00A937CC">
        <w:rPr>
          <w:rStyle w:val="EndnoteReference"/>
        </w:rPr>
        <w:endnoteRef/>
      </w:r>
      <w:r w:rsidRPr="00A937CC">
        <w:t xml:space="preserve"> </w:t>
      </w:r>
      <w:proofErr w:type="gramStart"/>
      <w:r w:rsidRPr="00031F28">
        <w:rPr>
          <w:b/>
          <w:lang w:val="en-US"/>
        </w:rPr>
        <w:t>See 2.3.1, e)</w:t>
      </w:r>
      <w:r w:rsidRPr="00031F28">
        <w:rPr>
          <w:lang w:val="en-US"/>
        </w:rPr>
        <w:t>.</w:t>
      </w:r>
      <w:proofErr w:type="gramEnd"/>
    </w:p>
  </w:endnote>
  <w:endnote w:id="2608">
    <w:p w:rsidR="00975183" w:rsidRPr="00C518CE" w:rsidRDefault="00975183" w:rsidP="006A2E06">
      <w:pPr>
        <w:pStyle w:val="EndnoteText"/>
      </w:pPr>
      <w:r w:rsidRPr="00C518CE">
        <w:rPr>
          <w:rStyle w:val="EndnoteReference"/>
        </w:rPr>
        <w:endnoteRef/>
      </w:r>
      <w:r w:rsidRPr="00C518CE">
        <w:t xml:space="preserve"> </w:t>
      </w:r>
      <w:r>
        <w:t>1 Sam. 29:4; 2 Chron. 29:24; Lev. 6:30, 8:15, 16:20; Ezek. 45:15, 17, 20.</w:t>
      </w:r>
    </w:p>
  </w:endnote>
  <w:endnote w:id="2609">
    <w:p w:rsidR="00975183" w:rsidRDefault="00975183" w:rsidP="006A2E06">
      <w:pPr>
        <w:pStyle w:val="EndnoteText"/>
      </w:pPr>
      <w:r w:rsidRPr="00BB145A">
        <w:rPr>
          <w:rStyle w:val="EndnoteReference"/>
        </w:rPr>
        <w:endnoteRef/>
      </w:r>
      <w:r w:rsidRPr="00BB145A">
        <w:t xml:space="preserve"> </w:t>
      </w:r>
      <w:r w:rsidRPr="00BB145A">
        <w:rPr>
          <w:i/>
        </w:rPr>
        <w:t>SRB</w:t>
      </w:r>
      <w:r>
        <w:t xml:space="preserve"> note on </w:t>
      </w:r>
      <w:r w:rsidRPr="007E0C9B">
        <w:t>Dan.</w:t>
      </w:r>
      <w:r>
        <w:t xml:space="preserve"> 9:24, p. 915.  Final refs: Rom. 5:10 and </w:t>
      </w:r>
      <w:r w:rsidRPr="00C518CE">
        <w:rPr>
          <w:i/>
        </w:rPr>
        <w:t>SRB</w:t>
      </w:r>
      <w:r>
        <w:t xml:space="preserve"> note on Col. 1:21.</w:t>
      </w:r>
    </w:p>
  </w:endnote>
  <w:endnote w:id="2610">
    <w:p w:rsidR="00975183" w:rsidRPr="008D7219" w:rsidRDefault="00975183" w:rsidP="006A2E06">
      <w:pPr>
        <w:pStyle w:val="EndnoteText"/>
        <w:rPr>
          <w:lang w:val="en-US"/>
        </w:rPr>
      </w:pPr>
      <w:r w:rsidRPr="00BB145A">
        <w:rPr>
          <w:rStyle w:val="EndnoteReference"/>
        </w:rPr>
        <w:endnoteRef/>
      </w:r>
      <w:r w:rsidRPr="00BB145A">
        <w:t xml:space="preserve"> </w:t>
      </w:r>
      <w:r w:rsidRPr="00BB145A">
        <w:rPr>
          <w:i/>
        </w:rPr>
        <w:t>SRB</w:t>
      </w:r>
      <w:r>
        <w:t xml:space="preserve"> note on </w:t>
      </w:r>
      <w:r w:rsidRPr="007E0C9B">
        <w:t>Dan.</w:t>
      </w:r>
      <w:r>
        <w:t xml:space="preserve"> 5:31, pp. 907-8.</w:t>
      </w:r>
    </w:p>
  </w:endnote>
  <w:endnote w:id="2611">
    <w:p w:rsidR="00975183" w:rsidRPr="007B79A9" w:rsidRDefault="00975183" w:rsidP="006A2E06">
      <w:pPr>
        <w:pStyle w:val="EndnoteText"/>
        <w:rPr>
          <w:lang w:val="en-US"/>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Dan.</w:t>
      </w:r>
      <w:r>
        <w:rPr>
          <w:szCs w:val="18"/>
        </w:rPr>
        <w:t xml:space="preserve"> 5:31, p. 907.</w:t>
      </w:r>
    </w:p>
  </w:endnote>
  <w:endnote w:id="261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Daniel 3.</w:t>
      </w:r>
    </w:p>
  </w:endnote>
  <w:endnote w:id="261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Daniel 6.</w:t>
      </w:r>
    </w:p>
  </w:endnote>
  <w:endnote w:id="261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Daniel 5.</w:t>
      </w:r>
    </w:p>
  </w:endnote>
  <w:endnote w:id="2615">
    <w:p w:rsidR="00975183" w:rsidRPr="00E16D03" w:rsidRDefault="00975183" w:rsidP="006A2E06">
      <w:pPr>
        <w:pStyle w:val="EndnoteText"/>
        <w:rPr>
          <w:lang w:val="en-US"/>
        </w:rPr>
      </w:pPr>
      <w:r w:rsidRPr="00E16D03">
        <w:rPr>
          <w:rStyle w:val="EndnoteReference"/>
        </w:rPr>
        <w:endnoteRef/>
      </w:r>
      <w:r w:rsidRPr="00E16D03">
        <w:t xml:space="preserve"> </w:t>
      </w:r>
      <w:r w:rsidRPr="00E16D03">
        <w:rPr>
          <w:lang w:val="en-US"/>
        </w:rPr>
        <w:t xml:space="preserve">P. R. Davies, </w:t>
      </w:r>
      <w:r w:rsidRPr="00E16D03">
        <w:rPr>
          <w:i/>
          <w:lang w:val="en-US"/>
        </w:rPr>
        <w:t>Daniel</w:t>
      </w:r>
      <w:r w:rsidRPr="00E16D03">
        <w:rPr>
          <w:lang w:val="en-US"/>
        </w:rPr>
        <w:t xml:space="preserve"> (Sheffield: JSOT Press, 1985), p. 12.</w:t>
      </w:r>
    </w:p>
  </w:endnote>
  <w:endnote w:id="261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Hosea, p. 921.</w:t>
      </w:r>
    </w:p>
  </w:endnote>
  <w:endnote w:id="261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Hosea, p. 921.</w:t>
      </w:r>
    </w:p>
  </w:endnote>
  <w:endnote w:id="2618">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w:t>
      </w:r>
      <w:r w:rsidRPr="00587E33">
        <w:t>note on Hos</w:t>
      </w:r>
      <w:r w:rsidRPr="006329CD">
        <w:t xml:space="preserve">. 2:2, p. 922.  </w:t>
      </w:r>
      <w:r w:rsidRPr="00587E33">
        <w:rPr>
          <w:b/>
        </w:rPr>
        <w:t>See 4.1</w:t>
      </w:r>
      <w:r>
        <w:t>.</w:t>
      </w:r>
    </w:p>
  </w:endnote>
  <w:endnote w:id="2619">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Hos. 1:9, p. 921.</w:t>
      </w:r>
    </w:p>
  </w:endnote>
  <w:endnote w:id="2620">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Hos. 1:10, p. 921.</w:t>
      </w:r>
    </w:p>
  </w:endnote>
  <w:endnote w:id="2621">
    <w:p w:rsidR="00975183" w:rsidRDefault="00975183" w:rsidP="006A2E06">
      <w:pPr>
        <w:pStyle w:val="EndnoteText"/>
      </w:pPr>
      <w:r w:rsidRPr="005D00B9">
        <w:rPr>
          <w:rStyle w:val="FootnoteReference"/>
        </w:rPr>
        <w:endnoteRef/>
      </w:r>
      <w:r w:rsidRPr="005D00B9">
        <w:t xml:space="preserve"> </w:t>
      </w:r>
      <w:proofErr w:type="gramStart"/>
      <w:r w:rsidRPr="005D00B9">
        <w:t>Isa. 2:12 refs.</w:t>
      </w:r>
      <w:proofErr w:type="gramEnd"/>
    </w:p>
  </w:endnote>
  <w:endnote w:id="262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Joel, p. 930.</w:t>
      </w:r>
    </w:p>
  </w:endnote>
  <w:endnote w:id="2623">
    <w:p w:rsidR="00975183" w:rsidRPr="00441653" w:rsidRDefault="00975183" w:rsidP="006A2E06">
      <w:pPr>
        <w:pStyle w:val="EndnoteText"/>
        <w:rPr>
          <w:lang w:val="en-US"/>
        </w:rPr>
      </w:pPr>
      <w:r w:rsidRPr="006329CD">
        <w:rPr>
          <w:rStyle w:val="EndnoteReference"/>
        </w:rPr>
        <w:endnoteRef/>
      </w:r>
      <w:r w:rsidRPr="006329CD">
        <w:t xml:space="preserve"> </w:t>
      </w:r>
      <w:r w:rsidRPr="006329CD">
        <w:rPr>
          <w:i/>
        </w:rPr>
        <w:t>SRB</w:t>
      </w:r>
      <w:r>
        <w:t xml:space="preserve"> note</w:t>
      </w:r>
      <w:r w:rsidRPr="006329CD">
        <w:t xml:space="preserve"> on Joel 1:4, p. 930</w:t>
      </w:r>
      <w:r>
        <w:t>.</w:t>
      </w:r>
    </w:p>
  </w:endnote>
  <w:endnote w:id="2624">
    <w:p w:rsidR="00975183" w:rsidRPr="00441653" w:rsidRDefault="00975183" w:rsidP="006A2E06">
      <w:pPr>
        <w:pStyle w:val="EndnoteText"/>
        <w:rPr>
          <w:lang w:val="en-US"/>
        </w:rPr>
      </w:pPr>
      <w:r w:rsidRPr="006329CD">
        <w:rPr>
          <w:rStyle w:val="EndnoteReference"/>
        </w:rPr>
        <w:endnoteRef/>
      </w:r>
      <w:r w:rsidRPr="006329CD">
        <w:t xml:space="preserve"> </w:t>
      </w:r>
      <w:r w:rsidRPr="006329CD">
        <w:rPr>
          <w:i/>
        </w:rPr>
        <w:t>SRB</w:t>
      </w:r>
      <w:r>
        <w:t xml:space="preserve"> note</w:t>
      </w:r>
      <w:r w:rsidRPr="006329CD">
        <w:t xml:space="preserve"> on Joel 1:4, p. 930</w:t>
      </w:r>
      <w:r>
        <w:t>.</w:t>
      </w:r>
    </w:p>
  </w:endnote>
  <w:endnote w:id="2625">
    <w:p w:rsidR="00975183" w:rsidRDefault="00975183" w:rsidP="006A2E06">
      <w:pPr>
        <w:pStyle w:val="EndnoteText"/>
      </w:pPr>
      <w:r w:rsidRPr="006329CD">
        <w:rPr>
          <w:rStyle w:val="EndnoteReference"/>
        </w:rPr>
        <w:endnoteRef/>
      </w:r>
      <w:r w:rsidRPr="006329CD">
        <w:t xml:space="preserve"> </w:t>
      </w:r>
      <w:r w:rsidRPr="006329CD">
        <w:rPr>
          <w:i/>
        </w:rPr>
        <w:t>SRB</w:t>
      </w:r>
      <w:r>
        <w:t xml:space="preserve"> note</w:t>
      </w:r>
      <w:r w:rsidRPr="006329CD">
        <w:t xml:space="preserve"> on Joel 1:4, p. 930</w:t>
      </w:r>
      <w:r>
        <w:t>.</w:t>
      </w:r>
    </w:p>
  </w:endnote>
  <w:endnote w:id="2626">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Joel 2:11, pp. 931-2.  </w:t>
      </w:r>
    </w:p>
  </w:endnote>
  <w:endnote w:id="2627">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Joel 2:</w:t>
      </w:r>
      <w:r>
        <w:t>28, p. 932.</w:t>
      </w:r>
    </w:p>
  </w:endnote>
  <w:endnote w:id="2628">
    <w:p w:rsidR="00975183" w:rsidRDefault="00975183" w:rsidP="006A2E06">
      <w:pPr>
        <w:pStyle w:val="EndnoteText"/>
      </w:pPr>
      <w:r w:rsidRPr="007E0C9B">
        <w:rPr>
          <w:rStyle w:val="FootnoteReference"/>
        </w:rPr>
        <w:endnoteRef/>
      </w:r>
      <w:r w:rsidRPr="007E0C9B">
        <w:t xml:space="preserve"> </w:t>
      </w:r>
      <w:proofErr w:type="gramStart"/>
      <w:r w:rsidRPr="00587E33">
        <w:rPr>
          <w:b/>
        </w:rPr>
        <w:t>See 7.1.2.3</w:t>
      </w:r>
      <w:r w:rsidRPr="00587E33">
        <w:t>.</w:t>
      </w:r>
      <w:proofErr w:type="gramEnd"/>
    </w:p>
  </w:endnote>
  <w:endnote w:id="262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Amos, p. 934</w:t>
      </w:r>
      <w:r>
        <w:t>.</w:t>
      </w:r>
    </w:p>
  </w:endnote>
  <w:endnote w:id="2630">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Amos 1:2, p. 934.</w:t>
      </w:r>
    </w:p>
  </w:endnote>
  <w:endnote w:id="2631">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notes on Amos 2:4</w:t>
      </w:r>
      <w:r>
        <w:t>;</w:t>
      </w:r>
      <w:r w:rsidRPr="006329CD">
        <w:t xml:space="preserve"> 3:1</w:t>
      </w:r>
      <w:r>
        <w:t>,</w:t>
      </w:r>
      <w:r w:rsidRPr="006329CD">
        <w:t xml:space="preserve"> 3:2, p. 935</w:t>
      </w:r>
      <w:r>
        <w:t>;</w:t>
      </w:r>
      <w:r w:rsidRPr="006329CD">
        <w:t xml:space="preserve"> 9:1, p. 940.</w:t>
      </w:r>
    </w:p>
  </w:endnote>
  <w:endnote w:id="2632">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Amos 4:4, p. 936.</w:t>
      </w:r>
    </w:p>
  </w:endnote>
  <w:endnote w:id="2633">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Amos</w:t>
      </w:r>
      <w:r>
        <w:t xml:space="preserve"> 2:4, p. 935.</w:t>
      </w:r>
    </w:p>
  </w:endnote>
  <w:endnote w:id="2634">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Amos</w:t>
      </w:r>
      <w:r>
        <w:t xml:space="preserve"> 3:1, p. 935.</w:t>
      </w:r>
    </w:p>
  </w:endnote>
  <w:endnote w:id="263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Amos</w:t>
      </w:r>
      <w:r>
        <w:t xml:space="preserve"> 3:2, p. 935.</w:t>
      </w:r>
    </w:p>
  </w:endnote>
  <w:endnote w:id="263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Obadiah, p. 941.</w:t>
      </w:r>
    </w:p>
  </w:endnote>
  <w:endnote w:id="2637">
    <w:p w:rsidR="00975183" w:rsidRDefault="00975183" w:rsidP="006A2E06">
      <w:pPr>
        <w:pStyle w:val="EndnoteText"/>
      </w:pPr>
      <w:r w:rsidRPr="00A12231">
        <w:rPr>
          <w:rStyle w:val="EndnoteReference"/>
        </w:rPr>
        <w:endnoteRef/>
      </w:r>
      <w:r w:rsidRPr="00A12231">
        <w:t xml:space="preserve"> </w:t>
      </w:r>
      <w:r w:rsidRPr="005D00B9">
        <w:rPr>
          <w:i/>
        </w:rPr>
        <w:t>SRB</w:t>
      </w:r>
      <w:r w:rsidRPr="005D00B9">
        <w:t xml:space="preserve"> Introduction to Jonah, p. 943.</w:t>
      </w:r>
    </w:p>
  </w:endnote>
  <w:endnote w:id="2638">
    <w:p w:rsidR="00975183" w:rsidRDefault="00975183" w:rsidP="006A2E06">
      <w:pPr>
        <w:pStyle w:val="EndnoteText"/>
      </w:pPr>
      <w:r w:rsidRPr="005D00B9">
        <w:rPr>
          <w:rStyle w:val="FootnoteReference"/>
        </w:rPr>
        <w:endnoteRef/>
      </w:r>
      <w:r w:rsidRPr="005D00B9">
        <w:t xml:space="preserve"> Ref. Zech. 8:7-23.  </w:t>
      </w:r>
      <w:proofErr w:type="gramStart"/>
      <w:r w:rsidRPr="00587E33">
        <w:rPr>
          <w:b/>
        </w:rPr>
        <w:t>See 2.3.1, d)</w:t>
      </w:r>
      <w:r w:rsidRPr="00587E33">
        <w:t>.</w:t>
      </w:r>
      <w:proofErr w:type="gramEnd"/>
    </w:p>
  </w:endnote>
  <w:endnote w:id="2639">
    <w:p w:rsidR="00975183" w:rsidRDefault="00975183" w:rsidP="006A2E06">
      <w:pPr>
        <w:pStyle w:val="EndnoteText"/>
      </w:pPr>
      <w:r w:rsidRPr="00A12231">
        <w:rPr>
          <w:rStyle w:val="EndnoteReference"/>
        </w:rPr>
        <w:endnoteRef/>
      </w:r>
      <w:r w:rsidRPr="00A12231">
        <w:t xml:space="preserve"> </w:t>
      </w:r>
      <w:proofErr w:type="gramStart"/>
      <w:r w:rsidRPr="00587E33">
        <w:rPr>
          <w:b/>
        </w:rPr>
        <w:t>See 2.3.1, a) i)</w:t>
      </w:r>
      <w:r w:rsidRPr="005D00B9">
        <w:t>.</w:t>
      </w:r>
      <w:proofErr w:type="gramEnd"/>
    </w:p>
  </w:endnote>
  <w:endnote w:id="2640">
    <w:p w:rsidR="00975183" w:rsidRDefault="00975183" w:rsidP="006A2E06">
      <w:pPr>
        <w:pStyle w:val="EndnoteText"/>
      </w:pPr>
      <w:r w:rsidRPr="005D00B9">
        <w:rPr>
          <w:rStyle w:val="FootnoteReference"/>
        </w:rPr>
        <w:endnoteRef/>
      </w:r>
      <w:r w:rsidRPr="005D00B9">
        <w:t xml:space="preserve"> </w:t>
      </w:r>
      <w:r w:rsidRPr="005D00B9">
        <w:rPr>
          <w:i/>
        </w:rPr>
        <w:t>SRB</w:t>
      </w:r>
      <w:r>
        <w:rPr>
          <w:i/>
        </w:rPr>
        <w:t xml:space="preserve"> </w:t>
      </w:r>
      <w:r w:rsidRPr="00391D68">
        <w:t>note on Jon. 1:17, p. 944.</w:t>
      </w:r>
    </w:p>
  </w:endnote>
  <w:endnote w:id="2641">
    <w:p w:rsidR="00975183" w:rsidRDefault="00975183" w:rsidP="006A2E06">
      <w:pPr>
        <w:pStyle w:val="EndnoteText"/>
      </w:pPr>
      <w:r w:rsidRPr="005D00B9">
        <w:rPr>
          <w:rStyle w:val="FootnoteReference"/>
        </w:rPr>
        <w:endnoteRef/>
      </w:r>
      <w:r w:rsidRPr="005D00B9">
        <w:t xml:space="preserve"> </w:t>
      </w:r>
      <w:r w:rsidRPr="005D00B9">
        <w:rPr>
          <w:i/>
        </w:rPr>
        <w:t>SRB</w:t>
      </w:r>
      <w:r>
        <w:rPr>
          <w:i/>
        </w:rPr>
        <w:t xml:space="preserve"> </w:t>
      </w:r>
      <w:r w:rsidRPr="00391D68">
        <w:t>note on Jon. 4:8, p. 945.</w:t>
      </w:r>
    </w:p>
  </w:endnote>
  <w:endnote w:id="2642">
    <w:p w:rsidR="00975183" w:rsidRDefault="00975183" w:rsidP="006A2E06">
      <w:pPr>
        <w:pStyle w:val="EndnoteText"/>
      </w:pPr>
      <w:r w:rsidRPr="006329CD">
        <w:rPr>
          <w:rStyle w:val="EndnoteReference"/>
        </w:rPr>
        <w:endnoteRef/>
      </w:r>
      <w:r w:rsidRPr="006329CD">
        <w:t xml:space="preserve"> </w:t>
      </w:r>
      <w:r w:rsidRPr="006329CD">
        <w:rPr>
          <w:i/>
        </w:rPr>
        <w:t>SRB</w:t>
      </w:r>
      <w:r>
        <w:t xml:space="preserve"> Introduction to Micah, p. 946.  </w:t>
      </w:r>
    </w:p>
  </w:endnote>
  <w:endnote w:id="2643">
    <w:p w:rsidR="00975183" w:rsidRDefault="00975183" w:rsidP="006A2E06">
      <w:pPr>
        <w:pStyle w:val="EndnoteText"/>
      </w:pPr>
      <w:r w:rsidRPr="006329CD">
        <w:rPr>
          <w:rStyle w:val="EndnoteReference"/>
        </w:rPr>
        <w:endnoteRef/>
      </w:r>
      <w:r w:rsidRPr="006329CD">
        <w:t xml:space="preserve"> </w:t>
      </w:r>
      <w:r w:rsidRPr="005D00B9">
        <w:t>The three strains are found in Mic. 1:1</w:t>
      </w:r>
      <w:r>
        <w:t xml:space="preserve"> </w:t>
      </w:r>
      <w:r w:rsidRPr="00012B96">
        <w:rPr>
          <w:sz w:val="16"/>
          <w:szCs w:val="24"/>
        </w:rPr>
        <w:t>—</w:t>
      </w:r>
      <w:r>
        <w:rPr>
          <w:sz w:val="16"/>
          <w:szCs w:val="24"/>
        </w:rPr>
        <w:t xml:space="preserve"> </w:t>
      </w:r>
      <w:r w:rsidRPr="005D00B9">
        <w:t xml:space="preserve">2:13; 3:1 </w:t>
      </w:r>
      <w:r w:rsidRPr="00012B96">
        <w:rPr>
          <w:sz w:val="16"/>
          <w:szCs w:val="24"/>
        </w:rPr>
        <w:t>—</w:t>
      </w:r>
      <w:r w:rsidRPr="005D00B9">
        <w:t xml:space="preserve"> 5:15 and 6:1 </w:t>
      </w:r>
      <w:r w:rsidRPr="00012B96">
        <w:rPr>
          <w:sz w:val="16"/>
          <w:szCs w:val="24"/>
        </w:rPr>
        <w:t>—</w:t>
      </w:r>
      <w:r w:rsidRPr="005D00B9">
        <w:t xml:space="preserve"> 7:20.</w:t>
      </w:r>
    </w:p>
  </w:endnote>
  <w:endnote w:id="2644">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Mic. 1:6, p. 946.  </w:t>
      </w:r>
    </w:p>
  </w:endnote>
  <w:endnote w:id="2645">
    <w:p w:rsidR="00975183" w:rsidRPr="00AC49AB" w:rsidRDefault="00975183" w:rsidP="006A2E06">
      <w:pPr>
        <w:pStyle w:val="EndnoteText"/>
      </w:pPr>
      <w:r w:rsidRPr="00AC49AB">
        <w:rPr>
          <w:rStyle w:val="EndnoteReference"/>
        </w:rPr>
        <w:endnoteRef/>
      </w:r>
      <w:r w:rsidRPr="00AC49AB">
        <w:t xml:space="preserve"> </w:t>
      </w:r>
      <w:r>
        <w:t xml:space="preserve">See ‘Armageddon’, Rev. 16:14; </w:t>
      </w:r>
      <w:r w:rsidRPr="00AC49AB">
        <w:rPr>
          <w:i/>
        </w:rPr>
        <w:t>SRB</w:t>
      </w:r>
      <w:r>
        <w:t xml:space="preserve"> note on Rev. 19:7, p. 1348.</w:t>
      </w:r>
    </w:p>
  </w:endnote>
  <w:endnote w:id="2646">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Mic. 5:1, pp. 948-9.</w:t>
      </w:r>
    </w:p>
  </w:endnote>
  <w:endnote w:id="2647">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w:t>
      </w:r>
      <w:r w:rsidRPr="000D62F6">
        <w:t>on Mic. 5:1</w:t>
      </w:r>
      <w:r w:rsidRPr="006329CD">
        <w:t xml:space="preserve">, pp. 948-9.  </w:t>
      </w:r>
    </w:p>
  </w:endnote>
  <w:endnote w:id="2648">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Mic. 4:1, p. 948.</w:t>
      </w:r>
    </w:p>
  </w:endnote>
  <w:endnote w:id="2649">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Mic. </w:t>
      </w:r>
      <w:r>
        <w:t>7:7</w:t>
      </w:r>
      <w:r w:rsidRPr="006329CD">
        <w:t>, p. 9</w:t>
      </w:r>
      <w:r>
        <w:t>51</w:t>
      </w:r>
      <w:r w:rsidRPr="006329CD">
        <w:t>.</w:t>
      </w:r>
    </w:p>
  </w:endnote>
  <w:endnote w:id="2650">
    <w:p w:rsidR="00975183" w:rsidRDefault="00975183" w:rsidP="006A2E06">
      <w:pPr>
        <w:pStyle w:val="EndnoteText"/>
      </w:pPr>
      <w:r w:rsidRPr="00F40C6A">
        <w:rPr>
          <w:rStyle w:val="EndnoteReference"/>
        </w:rPr>
        <w:endnoteRef/>
      </w:r>
      <w:r w:rsidRPr="00F40C6A">
        <w:t xml:space="preserve"> </w:t>
      </w:r>
      <w:r w:rsidRPr="00F40C6A">
        <w:rPr>
          <w:i/>
        </w:rPr>
        <w:t>SRB</w:t>
      </w:r>
      <w:r w:rsidRPr="00F40C6A">
        <w:t xml:space="preserve"> note on </w:t>
      </w:r>
      <w:r w:rsidRPr="008A0270">
        <w:t>Mic. 7:7</w:t>
      </w:r>
      <w:r w:rsidRPr="00F40C6A">
        <w:t>, p. 951.</w:t>
      </w:r>
      <w:r>
        <w:t xml:space="preserve">  </w:t>
      </w:r>
      <w:proofErr w:type="gramStart"/>
      <w:r w:rsidRPr="000D62F6">
        <w:rPr>
          <w:b/>
        </w:rPr>
        <w:t>See 2.2.1</w:t>
      </w:r>
      <w:r>
        <w:t>.</w:t>
      </w:r>
      <w:proofErr w:type="gramEnd"/>
    </w:p>
  </w:endnote>
  <w:endnote w:id="2651">
    <w:p w:rsidR="00975183" w:rsidRPr="006F0AFF" w:rsidRDefault="00975183" w:rsidP="006A2E06">
      <w:pPr>
        <w:pStyle w:val="EndnoteText"/>
      </w:pPr>
      <w:r w:rsidRPr="006F0AFF">
        <w:rPr>
          <w:rStyle w:val="FootnoteReference"/>
        </w:rPr>
        <w:endnoteRef/>
      </w:r>
      <w:r w:rsidRPr="006F0AFF">
        <w:t xml:space="preserve"> </w:t>
      </w:r>
      <w:r w:rsidRPr="006F0AFF">
        <w:rPr>
          <w:spacing w:val="-2"/>
        </w:rPr>
        <w:t xml:space="preserve">In Mic. 1:2 God is to be a witness against the people of Samaria and Jerusalem, and to come down upon the earth because of their sin; Scofield merely comments that the Assyrian invasion is described in vv. 6-16, a ‘local </w:t>
      </w:r>
      <w:r>
        <w:rPr>
          <w:spacing w:val="-2"/>
        </w:rPr>
        <w:t xml:space="preserve">circumstance </w:t>
      </w:r>
      <w:r w:rsidRPr="00B80C8E">
        <w:rPr>
          <w:spacing w:val="-4"/>
        </w:rPr>
        <w:t>which gives rise to the prophecy of the greater invasion in the last days … and of the Lord’s deliverance at Armageddon …’.</w:t>
      </w:r>
    </w:p>
    <w:p w:rsidR="00975183" w:rsidRPr="006F0AFF" w:rsidRDefault="00975183" w:rsidP="006A2E06">
      <w:pPr>
        <w:pStyle w:val="EndnoteText"/>
      </w:pPr>
      <w:r w:rsidRPr="006F0AFF">
        <w:t>Micah 2, not annotated by Scofield, opens with the phrase, ‘woe to them that devise iniquity … they practise it, because it is in the power of their hand’.  Verse 2 expands: ‘</w:t>
      </w:r>
      <w:proofErr w:type="gramStart"/>
      <w:r>
        <w:t>A</w:t>
      </w:r>
      <w:r w:rsidRPr="006F0AFF">
        <w:t>nd</w:t>
      </w:r>
      <w:proofErr w:type="gramEnd"/>
      <w:r w:rsidRPr="006F0AFF">
        <w:t xml:space="preserve"> they covet fields, and take them by violence; and houses and take them away: so they oppress a man and his house, even a man and his heritage.</w:t>
      </w:r>
      <w:r>
        <w:t>’</w:t>
      </w:r>
      <w:r w:rsidRPr="006F0AFF">
        <w:t xml:space="preserve">  In verses 8-9 the people are accused of rising up </w:t>
      </w:r>
      <w:r>
        <w:t>‘</w:t>
      </w:r>
      <w:r w:rsidRPr="006F0AFF">
        <w:t xml:space="preserve">as an enemy’, stealing the garments of passersby and making women homeless.  </w:t>
      </w:r>
    </w:p>
    <w:p w:rsidR="00975183" w:rsidRPr="006F0AFF" w:rsidRDefault="00975183" w:rsidP="006A2E06">
      <w:pPr>
        <w:pStyle w:val="EndnoteText"/>
      </w:pPr>
      <w:r w:rsidRPr="006F0AFF">
        <w:t>In Micah 3, also not annotated, Jacob’s leaders are asked whether they know nothing of justice.  The chapter describes the exploitation of the people (Mic. 3:1-3); moreover, the prophets are leading them astray (Mic. 3:5).</w:t>
      </w:r>
    </w:p>
    <w:p w:rsidR="00975183" w:rsidRPr="006F0AFF" w:rsidRDefault="00975183" w:rsidP="006A2E06">
      <w:pPr>
        <w:pStyle w:val="EndnoteText"/>
      </w:pPr>
      <w:r w:rsidRPr="006F0AFF">
        <w:t>Micah 6:8, also not annotated, states unequivocally that God has shown man what is good and that what God requires is ‘to do justly, and to love mercy, and to walk humbly with … God’.</w:t>
      </w:r>
    </w:p>
    <w:p w:rsidR="00975183" w:rsidRPr="006F0AFF" w:rsidRDefault="00975183" w:rsidP="006A2E06">
      <w:pPr>
        <w:pStyle w:val="EndnoteText"/>
      </w:pPr>
      <w:r w:rsidRPr="006F0AFF">
        <w:t xml:space="preserve">Micah 7 paints a bleak picture of the godly and righteous being swept from the land and no-one remaining to do </w:t>
      </w:r>
      <w:proofErr w:type="gramStart"/>
      <w:r w:rsidRPr="006F0AFF">
        <w:t>good</w:t>
      </w:r>
      <w:proofErr w:type="gramEnd"/>
      <w:r>
        <w:t>;</w:t>
      </w:r>
      <w:r w:rsidRPr="006F0AFF">
        <w:t xml:space="preserve"> all lie in wait to carry out murder or are corrupt and susceptible to bribery.  As stated above, Scofield merely emphasises near and distant prophecy in the chapter (</w:t>
      </w:r>
      <w:r w:rsidRPr="006F0AFF">
        <w:rPr>
          <w:i/>
        </w:rPr>
        <w:t xml:space="preserve">SRB </w:t>
      </w:r>
      <w:r w:rsidRPr="006F0AFF">
        <w:t>note on Mic. 7:7-20, p. 951).</w:t>
      </w:r>
    </w:p>
  </w:endnote>
  <w:endnote w:id="2652">
    <w:p w:rsidR="00975183" w:rsidRPr="001A2D01" w:rsidRDefault="00975183" w:rsidP="006A2E06">
      <w:pPr>
        <w:pStyle w:val="EndnoteText"/>
      </w:pPr>
      <w:r w:rsidRPr="001A2D01">
        <w:rPr>
          <w:rStyle w:val="EndnoteReference"/>
        </w:rPr>
        <w:endnoteRef/>
      </w:r>
      <w:r w:rsidRPr="001A2D01">
        <w:t xml:space="preserve"> </w:t>
      </w:r>
      <w:r w:rsidRPr="001A2D01">
        <w:rPr>
          <w:i/>
        </w:rPr>
        <w:t>SRB</w:t>
      </w:r>
      <w:r>
        <w:t xml:space="preserve"> Introduction to Nahum, p. 952.</w:t>
      </w:r>
    </w:p>
  </w:endnote>
  <w:endnote w:id="2653">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w:t>
      </w:r>
      <w:r w:rsidRPr="005133B2">
        <w:rPr>
          <w:szCs w:val="18"/>
        </w:rPr>
        <w:t>Nah. 1:1</w:t>
      </w:r>
      <w:r w:rsidRPr="006329CD">
        <w:rPr>
          <w:szCs w:val="18"/>
        </w:rPr>
        <w:t>, p. 952.</w:t>
      </w:r>
      <w:r>
        <w:rPr>
          <w:szCs w:val="18"/>
        </w:rPr>
        <w:t xml:space="preserve">  </w:t>
      </w:r>
      <w:proofErr w:type="gramStart"/>
      <w:r w:rsidRPr="0056245B">
        <w:rPr>
          <w:i/>
        </w:rPr>
        <w:t>Scofield’s emphases</w:t>
      </w:r>
      <w:r w:rsidRPr="0056245B">
        <w:t>.</w:t>
      </w:r>
      <w:proofErr w:type="gramEnd"/>
      <w:r w:rsidRPr="0056245B">
        <w:t xml:space="preserve">  </w:t>
      </w:r>
      <w:proofErr w:type="gramStart"/>
      <w:r w:rsidRPr="005133B2">
        <w:rPr>
          <w:b/>
        </w:rPr>
        <w:t>See 7.1.2.3</w:t>
      </w:r>
      <w:r w:rsidRPr="007E0C9B">
        <w:rPr>
          <w:b/>
        </w:rPr>
        <w:t>.</w:t>
      </w:r>
      <w:proofErr w:type="gramEnd"/>
    </w:p>
  </w:endnote>
  <w:endnote w:id="2654">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Nah. 1:2, p. 95</w:t>
      </w:r>
      <w:r>
        <w:rPr>
          <w:szCs w:val="18"/>
        </w:rPr>
        <w:t>2</w:t>
      </w:r>
      <w:r w:rsidRPr="006329CD">
        <w:rPr>
          <w:szCs w:val="18"/>
        </w:rPr>
        <w:t>.</w:t>
      </w:r>
    </w:p>
  </w:endnote>
  <w:endnote w:id="2655">
    <w:p w:rsidR="00975183" w:rsidRDefault="00975183" w:rsidP="006A2E06">
      <w:pPr>
        <w:pStyle w:val="EndnoteText"/>
      </w:pPr>
      <w:r w:rsidRPr="005D00B9">
        <w:rPr>
          <w:rStyle w:val="FootnoteReference"/>
        </w:rPr>
        <w:endnoteRef/>
      </w:r>
      <w:r w:rsidRPr="005D00B9">
        <w:t xml:space="preserve"> </w:t>
      </w:r>
      <w:r w:rsidRPr="001A2D01">
        <w:rPr>
          <w:i/>
        </w:rPr>
        <w:t>SRB</w:t>
      </w:r>
      <w:r>
        <w:t xml:space="preserve"> Introduction to Habakkuk, p. 955.  </w:t>
      </w:r>
    </w:p>
  </w:endnote>
  <w:endnote w:id="2656">
    <w:p w:rsidR="00975183" w:rsidRDefault="00975183" w:rsidP="006A2E06">
      <w:pPr>
        <w:pStyle w:val="EndnoteText"/>
      </w:pPr>
      <w:r w:rsidRPr="005D00B9">
        <w:rPr>
          <w:rStyle w:val="FootnoteReference"/>
        </w:rPr>
        <w:endnoteRef/>
      </w:r>
      <w:r w:rsidRPr="005D00B9">
        <w:t xml:space="preserve"> Hab. 1:6</w:t>
      </w:r>
      <w:r>
        <w:t>; 1:</w:t>
      </w:r>
      <w:r w:rsidRPr="005D00B9">
        <w:t>5.</w:t>
      </w:r>
    </w:p>
  </w:endnote>
  <w:endnote w:id="2657">
    <w:p w:rsidR="00975183" w:rsidRDefault="00975183" w:rsidP="006A2E06">
      <w:pPr>
        <w:pStyle w:val="EndnoteText"/>
      </w:pPr>
      <w:r w:rsidRPr="005D00B9">
        <w:rPr>
          <w:rStyle w:val="FootnoteReference"/>
        </w:rPr>
        <w:endnoteRef/>
      </w:r>
      <w:r w:rsidRPr="005D00B9">
        <w:t xml:space="preserve"> </w:t>
      </w:r>
      <w:r w:rsidRPr="001A2D01">
        <w:rPr>
          <w:i/>
        </w:rPr>
        <w:t>SRB</w:t>
      </w:r>
      <w:r>
        <w:t xml:space="preserve"> Introduction to Habakkuk, p. 955.  </w:t>
      </w:r>
      <w:proofErr w:type="gramStart"/>
      <w:r>
        <w:t xml:space="preserve">Refs </w:t>
      </w:r>
      <w:r w:rsidRPr="005D00B9">
        <w:t>Hab. 1:5</w:t>
      </w:r>
      <w:r w:rsidRPr="005D00B9">
        <w:rPr>
          <w:b/>
        </w:rPr>
        <w:t>;</w:t>
      </w:r>
      <w:r w:rsidRPr="005D00B9">
        <w:t xml:space="preserve"> 2:3</w:t>
      </w:r>
      <w:r>
        <w:t>, 4</w:t>
      </w:r>
      <w:r w:rsidRPr="005D00B9">
        <w:t>; 14, 20.</w:t>
      </w:r>
      <w:proofErr w:type="gramEnd"/>
    </w:p>
  </w:endnote>
  <w:endnote w:id="2658">
    <w:p w:rsidR="00975183" w:rsidRDefault="00975183" w:rsidP="006A2E06">
      <w:pPr>
        <w:pStyle w:val="EndnoteText"/>
      </w:pPr>
      <w:r w:rsidRPr="007E0C9B">
        <w:rPr>
          <w:rStyle w:val="EndnoteReference"/>
          <w:szCs w:val="18"/>
        </w:rPr>
        <w:endnoteRef/>
      </w:r>
      <w:r w:rsidRPr="007E0C9B">
        <w:rPr>
          <w:szCs w:val="18"/>
        </w:rPr>
        <w:t xml:space="preserve"> </w:t>
      </w:r>
      <w:r w:rsidRPr="007E0C9B">
        <w:rPr>
          <w:i/>
          <w:szCs w:val="18"/>
        </w:rPr>
        <w:t>SRB</w:t>
      </w:r>
      <w:r w:rsidRPr="007E0C9B">
        <w:rPr>
          <w:szCs w:val="18"/>
        </w:rPr>
        <w:t xml:space="preserve"> note on Hab.</w:t>
      </w:r>
      <w:r>
        <w:rPr>
          <w:szCs w:val="18"/>
        </w:rPr>
        <w:t>1:5, p. 955.</w:t>
      </w:r>
    </w:p>
  </w:endnote>
  <w:endnote w:id="2659">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Hab.</w:t>
      </w:r>
      <w:r>
        <w:rPr>
          <w:szCs w:val="18"/>
        </w:rPr>
        <w:t xml:space="preserve"> 3:1, p. 957.  </w:t>
      </w:r>
      <w:r w:rsidRPr="005133B2">
        <w:rPr>
          <w:b/>
          <w:szCs w:val="18"/>
        </w:rPr>
        <w:t>See 4.1</w:t>
      </w:r>
      <w:r>
        <w:rPr>
          <w:szCs w:val="18"/>
        </w:rPr>
        <w:t>.</w:t>
      </w:r>
    </w:p>
  </w:endnote>
  <w:endnote w:id="2660">
    <w:p w:rsidR="00975183" w:rsidRDefault="00975183" w:rsidP="006A2E06">
      <w:pPr>
        <w:pStyle w:val="EndnoteText"/>
      </w:pPr>
      <w:r w:rsidRPr="007E0C9B">
        <w:rPr>
          <w:rStyle w:val="EndnoteReference"/>
          <w:szCs w:val="18"/>
        </w:rPr>
        <w:endnoteRef/>
      </w:r>
      <w:r w:rsidRPr="007E0C9B">
        <w:rPr>
          <w:szCs w:val="18"/>
        </w:rPr>
        <w:t xml:space="preserve"> </w:t>
      </w:r>
      <w:r w:rsidRPr="007E0C9B">
        <w:rPr>
          <w:i/>
          <w:szCs w:val="18"/>
        </w:rPr>
        <w:t>SRB</w:t>
      </w:r>
      <w:r w:rsidRPr="007E0C9B">
        <w:rPr>
          <w:szCs w:val="18"/>
        </w:rPr>
        <w:t xml:space="preserve"> note on Hab. 2:3, p. 956.  </w:t>
      </w:r>
    </w:p>
  </w:endnote>
  <w:endnote w:id="2661">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Hab. 2:3, p. 956.  </w:t>
      </w:r>
    </w:p>
  </w:endnote>
  <w:endnote w:id="2662">
    <w:p w:rsidR="00975183" w:rsidRPr="005A4BCD" w:rsidRDefault="00975183" w:rsidP="006A2E06">
      <w:pPr>
        <w:pStyle w:val="EndnoteText"/>
      </w:pPr>
      <w:r w:rsidRPr="005A4BCD">
        <w:rPr>
          <w:rStyle w:val="EndnoteReference"/>
        </w:rPr>
        <w:endnoteRef/>
      </w:r>
      <w:r w:rsidRPr="005A4BCD">
        <w:t xml:space="preserve"> Hab. 1:1-3</w:t>
      </w:r>
      <w:r>
        <w:t>.</w:t>
      </w:r>
    </w:p>
  </w:endnote>
  <w:endnote w:id="2663">
    <w:p w:rsidR="00975183" w:rsidRPr="005A4BCD" w:rsidRDefault="00975183" w:rsidP="006A2E06">
      <w:pPr>
        <w:pStyle w:val="EndnoteText"/>
      </w:pPr>
      <w:r w:rsidRPr="005A4BCD">
        <w:rPr>
          <w:rStyle w:val="EndnoteReference"/>
        </w:rPr>
        <w:endnoteRef/>
      </w:r>
      <w:r w:rsidRPr="005A4BCD">
        <w:t xml:space="preserve"> H</w:t>
      </w:r>
      <w:r>
        <w:t>a</w:t>
      </w:r>
      <w:r w:rsidRPr="005A4BCD">
        <w:t>b. 1:4.</w:t>
      </w:r>
    </w:p>
  </w:endnote>
  <w:endnote w:id="2664">
    <w:p w:rsidR="00975183" w:rsidRPr="005A4BCD" w:rsidRDefault="00975183" w:rsidP="006A2E06">
      <w:pPr>
        <w:pStyle w:val="EndnoteText"/>
      </w:pPr>
      <w:r w:rsidRPr="005A4BCD">
        <w:rPr>
          <w:rStyle w:val="EndnoteReference"/>
        </w:rPr>
        <w:endnoteRef/>
      </w:r>
      <w:r w:rsidRPr="005A4BCD">
        <w:t xml:space="preserve"> Hab. 1: 6-11.</w:t>
      </w:r>
    </w:p>
  </w:endnote>
  <w:endnote w:id="2665">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Hab. 2:3, p. 956.  </w:t>
      </w:r>
    </w:p>
  </w:endnote>
  <w:endnote w:id="2666">
    <w:p w:rsidR="00975183" w:rsidRDefault="00975183" w:rsidP="006A2E06">
      <w:pPr>
        <w:pStyle w:val="EndnoteText"/>
      </w:pPr>
      <w:r w:rsidRPr="00B6671B">
        <w:rPr>
          <w:rStyle w:val="FootnoteReference"/>
        </w:rPr>
        <w:endnoteRef/>
      </w:r>
      <w:r w:rsidRPr="00B6671B">
        <w:t xml:space="preserve"> </w:t>
      </w:r>
      <w:r w:rsidRPr="00B6671B">
        <w:rPr>
          <w:i/>
        </w:rPr>
        <w:t>SRB</w:t>
      </w:r>
      <w:r w:rsidRPr="00B6671B">
        <w:t xml:space="preserve"> Introduction to Zephaniah, p. 959</w:t>
      </w:r>
      <w:r w:rsidRPr="00B6671B">
        <w:rPr>
          <w:b/>
        </w:rPr>
        <w:t>.</w:t>
      </w:r>
    </w:p>
  </w:endnote>
  <w:endnote w:id="2667">
    <w:p w:rsidR="00975183" w:rsidRDefault="00975183" w:rsidP="006A2E06">
      <w:pPr>
        <w:pStyle w:val="EndnoteText"/>
      </w:pPr>
      <w:r w:rsidRPr="005D00B9">
        <w:rPr>
          <w:rStyle w:val="FootnoteReference"/>
        </w:rPr>
        <w:endnoteRef/>
      </w:r>
      <w:r w:rsidRPr="005D00B9">
        <w:t xml:space="preserve"> Ref. 2 Kings 22, during the reign of Josiah.</w:t>
      </w:r>
    </w:p>
  </w:endnote>
  <w:endnote w:id="2668">
    <w:p w:rsidR="00975183" w:rsidRDefault="00975183" w:rsidP="006A2E06">
      <w:pPr>
        <w:pStyle w:val="EndnoteText"/>
      </w:pPr>
      <w:r w:rsidRPr="00B6671B">
        <w:rPr>
          <w:rStyle w:val="FootnoteReference"/>
        </w:rPr>
        <w:endnoteRef/>
      </w:r>
      <w:r w:rsidRPr="00B6671B">
        <w:t xml:space="preserve"> </w:t>
      </w:r>
      <w:r w:rsidRPr="00B6671B">
        <w:rPr>
          <w:i/>
        </w:rPr>
        <w:t>SRB</w:t>
      </w:r>
      <w:r w:rsidRPr="00B6671B">
        <w:t xml:space="preserve"> Introduction to Zephaniah, p. 959</w:t>
      </w:r>
      <w:r w:rsidRPr="00B6671B">
        <w:rPr>
          <w:b/>
        </w:rPr>
        <w:t>.</w:t>
      </w:r>
    </w:p>
  </w:endnote>
  <w:endnote w:id="2669">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Zeph. 1:7, p. 959.</w:t>
      </w:r>
    </w:p>
  </w:endnote>
  <w:endnote w:id="2670">
    <w:p w:rsidR="00975183" w:rsidRPr="00172840" w:rsidRDefault="00975183" w:rsidP="006A2E06">
      <w:pPr>
        <w:pStyle w:val="EndnoteText"/>
      </w:pPr>
      <w:r w:rsidRPr="00172840">
        <w:rPr>
          <w:rStyle w:val="EndnoteReference"/>
        </w:rPr>
        <w:endnoteRef/>
      </w:r>
      <w:r w:rsidRPr="00172840">
        <w:t xml:space="preserve"> </w:t>
      </w:r>
      <w:r>
        <w:t xml:space="preserve">Refs: </w:t>
      </w:r>
      <w:r w:rsidRPr="004D7439">
        <w:rPr>
          <w:i/>
        </w:rPr>
        <w:t>SRB</w:t>
      </w:r>
      <w:r>
        <w:t xml:space="preserve"> notes on Zech. 12:1; 12:8.</w:t>
      </w:r>
    </w:p>
  </w:endnote>
  <w:endnote w:id="2671">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Zeph. </w:t>
      </w:r>
      <w:r>
        <w:rPr>
          <w:szCs w:val="18"/>
        </w:rPr>
        <w:t>3:9</w:t>
      </w:r>
      <w:r w:rsidRPr="006329CD">
        <w:rPr>
          <w:szCs w:val="18"/>
        </w:rPr>
        <w:t xml:space="preserve">, p. </w:t>
      </w:r>
      <w:r>
        <w:rPr>
          <w:szCs w:val="18"/>
        </w:rPr>
        <w:t>961</w:t>
      </w:r>
      <w:r w:rsidRPr="006329CD">
        <w:rPr>
          <w:szCs w:val="18"/>
        </w:rPr>
        <w:t>.</w:t>
      </w:r>
    </w:p>
  </w:endnote>
  <w:endnote w:id="2672">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Zeph. 3:15, p. 961.</w:t>
      </w:r>
    </w:p>
  </w:endnote>
  <w:endnote w:id="267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Haggai, p. 962.</w:t>
      </w:r>
    </w:p>
  </w:endnote>
  <w:endnote w:id="2674">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Hag. 2:3, p. 963.</w:t>
      </w:r>
    </w:p>
  </w:endnote>
  <w:endnote w:id="2675">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Hag. 2:3, p. 963.</w:t>
      </w:r>
    </w:p>
  </w:endnote>
  <w:endnote w:id="2676">
    <w:p w:rsidR="00975183"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Hag. 2:3, p. 963.</w:t>
      </w:r>
    </w:p>
  </w:endnote>
  <w:endnote w:id="2677">
    <w:p w:rsidR="00975183" w:rsidRPr="00E00D2B" w:rsidRDefault="00975183" w:rsidP="006A2E06">
      <w:pPr>
        <w:pStyle w:val="EndnoteText"/>
      </w:pPr>
      <w:r w:rsidRPr="00E00D2B">
        <w:rPr>
          <w:rStyle w:val="EndnoteReference"/>
        </w:rPr>
        <w:endnoteRef/>
      </w:r>
      <w:r w:rsidRPr="00E00D2B">
        <w:t xml:space="preserve"> </w:t>
      </w:r>
      <w:r>
        <w:t>Refs Dan. 9:27; Mt. 24:15; 2 Thess. 2:3-4.</w:t>
      </w:r>
    </w:p>
  </w:endnote>
  <w:endnote w:id="2678">
    <w:p w:rsidR="00975183" w:rsidRPr="00F64CD0" w:rsidRDefault="00975183" w:rsidP="006A2E06">
      <w:pPr>
        <w:pStyle w:val="EndnoteText"/>
      </w:pPr>
      <w:r w:rsidRPr="00F64CD0">
        <w:rPr>
          <w:rStyle w:val="EndnoteReference"/>
        </w:rPr>
        <w:endnoteRef/>
      </w:r>
      <w:r w:rsidRPr="00F64CD0">
        <w:t xml:space="preserve"> </w:t>
      </w:r>
      <w:proofErr w:type="gramStart"/>
      <w:r>
        <w:t xml:space="preserve">Ref. Ezekiel 40 </w:t>
      </w:r>
      <w:r w:rsidRPr="00012B96">
        <w:rPr>
          <w:sz w:val="16"/>
          <w:szCs w:val="24"/>
        </w:rPr>
        <w:t>—</w:t>
      </w:r>
      <w:r>
        <w:t xml:space="preserve"> 47.</w:t>
      </w:r>
      <w:proofErr w:type="gramEnd"/>
      <w:r>
        <w:t xml:space="preserve"> </w:t>
      </w:r>
    </w:p>
  </w:endnote>
  <w:endnote w:id="2679">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Hag. 2:</w:t>
      </w:r>
      <w:r>
        <w:rPr>
          <w:szCs w:val="18"/>
        </w:rPr>
        <w:t>9</w:t>
      </w:r>
      <w:r w:rsidRPr="006329CD">
        <w:rPr>
          <w:szCs w:val="18"/>
        </w:rPr>
        <w:t>, p. 963.</w:t>
      </w:r>
      <w:r>
        <w:rPr>
          <w:szCs w:val="18"/>
        </w:rPr>
        <w:t xml:space="preserve">  Ref. Mt. 21:12-13.</w:t>
      </w:r>
    </w:p>
  </w:endnote>
  <w:endnote w:id="268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Zechariah, p. 965</w:t>
      </w:r>
      <w:r w:rsidRPr="0054702A">
        <w:rPr>
          <w:b/>
        </w:rPr>
        <w:t xml:space="preserve">.  </w:t>
      </w:r>
      <w:r w:rsidRPr="005D00B9">
        <w:t>cf Gen. 15:18</w:t>
      </w:r>
      <w:r w:rsidRPr="004D7439">
        <w:t>;</w:t>
      </w:r>
      <w:r w:rsidRPr="005D00B9">
        <w:t xml:space="preserve"> Zech</w:t>
      </w:r>
      <w:r>
        <w:t>.</w:t>
      </w:r>
      <w:r w:rsidRPr="005D00B9">
        <w:t xml:space="preserve"> 2:8.</w:t>
      </w:r>
    </w:p>
  </w:endnote>
  <w:endnote w:id="2681">
    <w:p w:rsidR="00975183" w:rsidRDefault="00975183" w:rsidP="006A2E06">
      <w:pPr>
        <w:pStyle w:val="EndnoteText"/>
      </w:pPr>
      <w:r w:rsidRPr="005D00B9">
        <w:rPr>
          <w:rStyle w:val="FootnoteReference"/>
        </w:rPr>
        <w:endnoteRef/>
      </w:r>
      <w:r w:rsidRPr="005D00B9">
        <w:t xml:space="preserve"> cf Zech. 9:9 with Mt. 21:1-11 and Zech. 14:3, 4.  </w:t>
      </w:r>
    </w:p>
  </w:endnote>
  <w:endnote w:id="2682">
    <w:p w:rsidR="00975183" w:rsidRDefault="00975183" w:rsidP="006A2E06">
      <w:pPr>
        <w:pStyle w:val="EndnoteText"/>
      </w:pPr>
      <w:r w:rsidRPr="005D00B9">
        <w:rPr>
          <w:rStyle w:val="FootnoteReference"/>
        </w:rPr>
        <w:endnoteRef/>
      </w:r>
      <w:r w:rsidRPr="005D00B9">
        <w:t xml:space="preserve"> Ref. Dan. 2:37-40.</w:t>
      </w:r>
    </w:p>
  </w:endnote>
  <w:endnote w:id="268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Zechariah, p. 965</w:t>
      </w:r>
      <w:r w:rsidRPr="0054702A">
        <w:rPr>
          <w:b/>
        </w:rPr>
        <w:t xml:space="preserve">.  </w:t>
      </w:r>
      <w:r w:rsidRPr="005D00B9">
        <w:t>cf Gen. 15:18</w:t>
      </w:r>
      <w:r w:rsidRPr="005D00B9">
        <w:rPr>
          <w:b/>
        </w:rPr>
        <w:t>;</w:t>
      </w:r>
      <w:r w:rsidRPr="005D00B9">
        <w:t xml:space="preserve"> Zech</w:t>
      </w:r>
      <w:r>
        <w:t>.</w:t>
      </w:r>
      <w:r w:rsidRPr="005D00B9">
        <w:t xml:space="preserve"> 2:8.</w:t>
      </w:r>
    </w:p>
  </w:endnote>
  <w:endnote w:id="2684">
    <w:p w:rsidR="00975183" w:rsidRPr="0012506F" w:rsidRDefault="00975183" w:rsidP="006A2E06">
      <w:pPr>
        <w:pStyle w:val="EndnoteText"/>
      </w:pPr>
      <w:r w:rsidRPr="0012506F">
        <w:rPr>
          <w:rStyle w:val="EndnoteReference"/>
        </w:rPr>
        <w:endnoteRef/>
      </w:r>
      <w:r w:rsidRPr="0012506F">
        <w:t xml:space="preserve"> </w:t>
      </w:r>
      <w:r>
        <w:t>Zech. 2:8.</w:t>
      </w:r>
    </w:p>
  </w:endnote>
  <w:endnote w:id="2685">
    <w:p w:rsidR="00975183" w:rsidRDefault="00975183" w:rsidP="006A2E06">
      <w:pPr>
        <w:pStyle w:val="EndnoteText"/>
      </w:pPr>
      <w:r w:rsidRPr="0045622C">
        <w:rPr>
          <w:rStyle w:val="FootnoteReference"/>
        </w:rPr>
        <w:endnoteRef/>
      </w:r>
      <w:r w:rsidRPr="0045622C">
        <w:t xml:space="preserve"> </w:t>
      </w:r>
      <w:r w:rsidRPr="0045622C">
        <w:rPr>
          <w:i/>
        </w:rPr>
        <w:t>SRB</w:t>
      </w:r>
      <w:r w:rsidRPr="0045622C">
        <w:t xml:space="preserve"> notes on Zech. 12:1, p. 976 and Zech. 12:8, pp. 976-7.  </w:t>
      </w:r>
    </w:p>
  </w:endnote>
  <w:endnote w:id="2686">
    <w:p w:rsidR="00975183" w:rsidRPr="00FC3E6C" w:rsidRDefault="00975183" w:rsidP="006A2E06">
      <w:pPr>
        <w:pStyle w:val="EndnoteText"/>
      </w:pPr>
      <w:r w:rsidRPr="00FC3E6C">
        <w:rPr>
          <w:rStyle w:val="EndnoteReference"/>
        </w:rPr>
        <w:endnoteRef/>
      </w:r>
      <w:r w:rsidRPr="00FC3E6C">
        <w:t xml:space="preserve"> </w:t>
      </w:r>
      <w:proofErr w:type="gramStart"/>
      <w:r w:rsidRPr="005133B2">
        <w:rPr>
          <w:b/>
        </w:rPr>
        <w:t>See 7.2.1 and Case Study on Zechariah 12</w:t>
      </w:r>
      <w:r>
        <w:rPr>
          <w:b/>
          <w:color w:val="FF0000"/>
        </w:rPr>
        <w:t>.</w:t>
      </w:r>
      <w:proofErr w:type="gramEnd"/>
    </w:p>
  </w:endnote>
  <w:endnote w:id="268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xml:space="preserve"> 2:1, p. 966; 13:8, p. 978.</w:t>
      </w:r>
    </w:p>
  </w:endnote>
  <w:endnote w:id="268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3:10, p. 967.</w:t>
      </w:r>
    </w:p>
  </w:endnote>
  <w:endnote w:id="2689">
    <w:p w:rsidR="00975183" w:rsidRDefault="00975183" w:rsidP="006A2E06">
      <w:pPr>
        <w:pStyle w:val="EndnoteText"/>
      </w:pPr>
      <w:r w:rsidRPr="0045622C">
        <w:rPr>
          <w:rStyle w:val="EndnoteReference"/>
        </w:rPr>
        <w:endnoteRef/>
      </w:r>
      <w:r>
        <w:t xml:space="preserve">  </w:t>
      </w:r>
      <w:r w:rsidRPr="0045622C">
        <w:t xml:space="preserve">References to the </w:t>
      </w:r>
      <w:r w:rsidRPr="0045622C">
        <w:rPr>
          <w:i/>
        </w:rPr>
        <w:t>SRB</w:t>
      </w:r>
      <w:r w:rsidRPr="0045622C">
        <w:t xml:space="preserve"> note on Zech. 12:8 come from 24 other verses and there are 4 subhead references to it: Gen. 43:34; 1 Kgs 6:1; 2 Chron. 10:16; Ps. 16:9; Ps. 68:1; Ps. 110:1; Isa 24 chapter; Ezek. 8:3; Jer. 33:15; </w:t>
      </w:r>
    </w:p>
    <w:p w:rsidR="00975183" w:rsidRDefault="00975183" w:rsidP="006A2E06">
      <w:pPr>
        <w:pStyle w:val="EndnoteText"/>
        <w:rPr>
          <w:color w:val="000000"/>
        </w:rPr>
      </w:pPr>
      <w:r w:rsidRPr="0045622C">
        <w:t xml:space="preserve">Mic. 5:1; Zeph. 3:9; Zech. 1:8; Zech. 2:1; </w:t>
      </w:r>
      <w:r w:rsidRPr="0045622C">
        <w:rPr>
          <w:color w:val="000000"/>
        </w:rPr>
        <w:t xml:space="preserve">Mt 1:16; Mt. 3:2; Mt. 6:33; Mt. 13:17; Mt. 19:28; Lk. 17:21; </w:t>
      </w:r>
    </w:p>
    <w:p w:rsidR="00975183" w:rsidRDefault="00975183" w:rsidP="006A2E06">
      <w:pPr>
        <w:pStyle w:val="EndnoteText"/>
      </w:pPr>
      <w:r w:rsidRPr="0045622C">
        <w:rPr>
          <w:color w:val="000000"/>
        </w:rPr>
        <w:t>Acts 2:14; Acts 3:21; Rom. 11:1; Rom. 11:26; 1 Cor. 15:24; Eph. 1:10; Isa. 14:1 (subhead); Isa. 19:1 (subhead); Isa. 24:21 (subhead)</w:t>
      </w:r>
      <w:r w:rsidRPr="0045622C">
        <w:t>;</w:t>
      </w:r>
      <w:r w:rsidRPr="0045622C">
        <w:rPr>
          <w:color w:val="000000"/>
        </w:rPr>
        <w:t xml:space="preserve"> Joel 3:17 (subhead).</w:t>
      </w:r>
    </w:p>
  </w:endnote>
  <w:endnote w:id="269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9:10, p. 973.</w:t>
      </w:r>
    </w:p>
  </w:endnote>
  <w:endnote w:id="2691">
    <w:p w:rsidR="00975183" w:rsidRDefault="00975183" w:rsidP="006A2E06">
      <w:pPr>
        <w:pStyle w:val="EndnoteText"/>
      </w:pPr>
      <w:r w:rsidRPr="007E0C9B">
        <w:rPr>
          <w:rStyle w:val="FootnoteReference"/>
        </w:rPr>
        <w:endnoteRef/>
      </w:r>
      <w:r w:rsidRPr="007E0C9B">
        <w:t xml:space="preserve"> </w:t>
      </w:r>
      <w:r w:rsidRPr="007E0C9B">
        <w:rPr>
          <w:i/>
        </w:rPr>
        <w:t>SRB</w:t>
      </w:r>
      <w:r w:rsidRPr="007E0C9B">
        <w:t xml:space="preserve"> note on Zech. 5:6, p. 969.  </w:t>
      </w:r>
    </w:p>
  </w:endnote>
  <w:endnote w:id="269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I</w:t>
      </w:r>
      <w:r w:rsidRPr="006329CD">
        <w:rPr>
          <w:szCs w:val="18"/>
        </w:rPr>
        <w:t>ntroduction to Zechariah, p. 965.</w:t>
      </w:r>
    </w:p>
  </w:endnote>
  <w:endnote w:id="2693">
    <w:p w:rsidR="00975183" w:rsidRPr="00EB6577" w:rsidRDefault="00975183" w:rsidP="006A2E06">
      <w:pPr>
        <w:pStyle w:val="EndnoteText"/>
      </w:pPr>
      <w:r w:rsidRPr="00EB6577">
        <w:rPr>
          <w:rStyle w:val="EndnoteReference"/>
        </w:rPr>
        <w:endnoteRef/>
      </w:r>
      <w:r w:rsidRPr="00EB6577">
        <w:t xml:space="preserve"> </w:t>
      </w:r>
      <w:r w:rsidRPr="00C51665">
        <w:rPr>
          <w:b/>
        </w:rPr>
        <w:t>See tables in 7.1.2.3</w:t>
      </w:r>
      <w:r>
        <w:t>.</w:t>
      </w:r>
    </w:p>
  </w:endnote>
  <w:endnote w:id="2694">
    <w:p w:rsidR="00975183" w:rsidRPr="00C51665" w:rsidRDefault="00975183" w:rsidP="006A2E06">
      <w:pPr>
        <w:pStyle w:val="EndnoteText"/>
      </w:pPr>
      <w:r w:rsidRPr="007E0C9B">
        <w:rPr>
          <w:rStyle w:val="EndnoteReference"/>
          <w:szCs w:val="18"/>
        </w:rPr>
        <w:endnoteRef/>
      </w:r>
      <w:r w:rsidRPr="007E0C9B">
        <w:rPr>
          <w:szCs w:val="18"/>
        </w:rPr>
        <w:t xml:space="preserve"> </w:t>
      </w:r>
      <w:r w:rsidRPr="007E0C9B">
        <w:rPr>
          <w:i/>
          <w:szCs w:val="18"/>
        </w:rPr>
        <w:t>SRB</w:t>
      </w:r>
      <w:r w:rsidRPr="007E0C9B">
        <w:rPr>
          <w:szCs w:val="18"/>
        </w:rPr>
        <w:t xml:space="preserve"> note on Zech. 11:15, p. 975</w:t>
      </w:r>
      <w:r w:rsidRPr="00C51665">
        <w:rPr>
          <w:szCs w:val="18"/>
        </w:rPr>
        <w:t xml:space="preserve">.  </w:t>
      </w:r>
      <w:proofErr w:type="gramStart"/>
      <w:r w:rsidRPr="00C51665">
        <w:rPr>
          <w:b/>
          <w:szCs w:val="18"/>
        </w:rPr>
        <w:t>See 7.1.2.3</w:t>
      </w:r>
      <w:r w:rsidRPr="00C51665">
        <w:rPr>
          <w:szCs w:val="18"/>
        </w:rPr>
        <w:t>.</w:t>
      </w:r>
      <w:proofErr w:type="gramEnd"/>
    </w:p>
  </w:endnote>
  <w:endnote w:id="269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1:18, p. 966.</w:t>
      </w:r>
    </w:p>
  </w:endnote>
  <w:endnote w:id="269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Pr>
          <w:szCs w:val="18"/>
        </w:rPr>
        <w:t>Zech. 10:4, p. 974.</w:t>
      </w:r>
    </w:p>
  </w:endnote>
  <w:endnote w:id="269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Pr>
          <w:szCs w:val="18"/>
        </w:rPr>
        <w:t>Zech. 14:4, p. 978.</w:t>
      </w:r>
    </w:p>
  </w:endnote>
  <w:endnote w:id="269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12:1, p. 97</w:t>
      </w:r>
      <w:r>
        <w:rPr>
          <w:szCs w:val="18"/>
        </w:rPr>
        <w:t>6.</w:t>
      </w:r>
    </w:p>
  </w:endnote>
  <w:endnote w:id="269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13:8, p. 978.  </w:t>
      </w:r>
      <w:proofErr w:type="gramStart"/>
      <w:r w:rsidRPr="00C51665">
        <w:rPr>
          <w:b/>
          <w:szCs w:val="18"/>
        </w:rPr>
        <w:t>See 7.1.4</w:t>
      </w:r>
      <w:r w:rsidRPr="00C51665">
        <w:rPr>
          <w:szCs w:val="18"/>
        </w:rPr>
        <w:t>.</w:t>
      </w:r>
      <w:proofErr w:type="gramEnd"/>
    </w:p>
  </w:endnote>
  <w:endnote w:id="2700">
    <w:p w:rsidR="00975183" w:rsidRPr="00D75A67" w:rsidRDefault="00975183" w:rsidP="006A2E06">
      <w:pPr>
        <w:pStyle w:val="EndnoteText"/>
      </w:pPr>
      <w:r w:rsidRPr="00D75A67">
        <w:rPr>
          <w:rStyle w:val="EndnoteReference"/>
        </w:rPr>
        <w:endnoteRef/>
      </w:r>
      <w:r w:rsidRPr="00D75A67">
        <w:t xml:space="preserve"> </w:t>
      </w:r>
      <w:proofErr w:type="gramStart"/>
      <w:r w:rsidRPr="00D75A67">
        <w:t>cf ‘orderings</w:t>
      </w:r>
      <w:r>
        <w:t>’</w:t>
      </w:r>
      <w:r w:rsidRPr="00D75A67">
        <w:t xml:space="preserve"> in Matthew</w:t>
      </w:r>
      <w:r>
        <w:t>.</w:t>
      </w:r>
      <w:proofErr w:type="gramEnd"/>
      <w:r>
        <w:t xml:space="preserve"> </w:t>
      </w:r>
      <w:r w:rsidRPr="00D75A67">
        <w:t xml:space="preserve"> </w:t>
      </w:r>
      <w:proofErr w:type="gramStart"/>
      <w:r w:rsidRPr="00C51665">
        <w:rPr>
          <w:b/>
        </w:rPr>
        <w:t>See 2.1.2</w:t>
      </w:r>
      <w:r w:rsidRPr="00D75A67">
        <w:t>.</w:t>
      </w:r>
      <w:proofErr w:type="gramEnd"/>
    </w:p>
  </w:endnote>
  <w:endnote w:id="270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13:8, p. 978.</w:t>
      </w:r>
    </w:p>
  </w:endnote>
  <w:endnote w:id="2702">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Zech</w:t>
      </w:r>
      <w:r>
        <w:rPr>
          <w:szCs w:val="18"/>
        </w:rPr>
        <w:t>.</w:t>
      </w:r>
      <w:proofErr w:type="gramEnd"/>
      <w:r>
        <w:rPr>
          <w:szCs w:val="18"/>
        </w:rPr>
        <w:t xml:space="preserve">  12:1, p. 976.</w:t>
      </w:r>
    </w:p>
  </w:endnote>
  <w:endnote w:id="270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2:1, p. 966; 13:8, p. 978.</w:t>
      </w:r>
    </w:p>
  </w:endnote>
  <w:endnote w:id="2704">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Zech</w:t>
      </w:r>
      <w:r>
        <w:rPr>
          <w:szCs w:val="18"/>
        </w:rPr>
        <w:t>.</w:t>
      </w:r>
      <w:proofErr w:type="gramEnd"/>
      <w:r>
        <w:rPr>
          <w:szCs w:val="18"/>
        </w:rPr>
        <w:t xml:space="preserve">  12:1, p. 976.</w:t>
      </w:r>
    </w:p>
  </w:endnote>
  <w:endnote w:id="270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13:8, p. 978; 2:1, p. 966.</w:t>
      </w:r>
    </w:p>
  </w:endnote>
  <w:endnote w:id="270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2:1, p. 966, cf note on Zech. 11:7, p. 975.</w:t>
      </w:r>
    </w:p>
  </w:endnote>
  <w:endnote w:id="270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6:11, p. 970.</w:t>
      </w:r>
    </w:p>
  </w:endnote>
  <w:endnote w:id="270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2:1, p. 966; 6:11, p. 970; 13:8, p. 978.</w:t>
      </w:r>
    </w:p>
  </w:endnote>
  <w:endnote w:id="2709">
    <w:p w:rsidR="00975183" w:rsidRPr="001E0FB7" w:rsidRDefault="00975183" w:rsidP="006A2E06">
      <w:pPr>
        <w:pStyle w:val="EndnoteText"/>
      </w:pPr>
      <w:r w:rsidRPr="001E0FB7">
        <w:rPr>
          <w:rStyle w:val="EndnoteReference"/>
        </w:rPr>
        <w:endnoteRef/>
      </w:r>
      <w:r w:rsidRPr="001E0FB7">
        <w:t xml:space="preserve"> </w:t>
      </w:r>
      <w:proofErr w:type="gramStart"/>
      <w:r w:rsidRPr="00C51665">
        <w:rPr>
          <w:b/>
        </w:rPr>
        <w:t>See 7.2.1</w:t>
      </w:r>
      <w:r>
        <w:t>.</w:t>
      </w:r>
      <w:proofErr w:type="gramEnd"/>
    </w:p>
  </w:endnote>
  <w:endnote w:id="271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xml:space="preserve"> 1:8, p. 965; 9:8, p. 973.</w:t>
      </w:r>
    </w:p>
  </w:endnote>
  <w:endnote w:id="271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7:2, p. 971.</w:t>
      </w:r>
    </w:p>
  </w:endnote>
  <w:endnote w:id="2712">
    <w:p w:rsidR="00975183" w:rsidRPr="008827E8" w:rsidRDefault="00975183" w:rsidP="006A2E06">
      <w:pPr>
        <w:pStyle w:val="EndnoteText"/>
      </w:pPr>
      <w:r w:rsidRPr="008827E8">
        <w:rPr>
          <w:rStyle w:val="EndnoteReference"/>
        </w:rPr>
        <w:endnoteRef/>
      </w:r>
      <w:r w:rsidRPr="008827E8">
        <w:t xml:space="preserve"> </w:t>
      </w:r>
      <w:r>
        <w:t>Zechariah 11:7-14.</w:t>
      </w:r>
    </w:p>
  </w:endnote>
  <w:endnote w:id="2713">
    <w:p w:rsidR="00975183" w:rsidRDefault="00975183" w:rsidP="006A2E06">
      <w:pPr>
        <w:pStyle w:val="EndnoteText"/>
      </w:pPr>
      <w:r w:rsidRPr="00FF4431">
        <w:rPr>
          <w:rStyle w:val="EndnoteReference"/>
        </w:rPr>
        <w:endnoteRef/>
      </w:r>
      <w:r w:rsidRPr="00FF4431">
        <w:t xml:space="preserve"> </w:t>
      </w:r>
      <w:r>
        <w:t>Ref. Zech. 11:10.</w:t>
      </w:r>
    </w:p>
  </w:endnote>
  <w:endnote w:id="2714">
    <w:p w:rsidR="00975183" w:rsidRPr="00FF4431" w:rsidRDefault="00975183" w:rsidP="006A2E06">
      <w:pPr>
        <w:pStyle w:val="EndnoteText"/>
      </w:pPr>
      <w:r w:rsidRPr="00FF4431">
        <w:rPr>
          <w:rStyle w:val="EndnoteReference"/>
        </w:rPr>
        <w:endnoteRef/>
      </w:r>
      <w:r w:rsidRPr="00FF4431">
        <w:t xml:space="preserve"> </w:t>
      </w:r>
      <w:r>
        <w:t>Ref. Zech. 11:7.</w:t>
      </w:r>
    </w:p>
  </w:endnote>
  <w:endnote w:id="271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11:7, p. 975.</w:t>
      </w:r>
    </w:p>
  </w:endnote>
  <w:endnote w:id="271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11:7, p. 975.  Ref. Zech. 11:1-6.</w:t>
      </w:r>
    </w:p>
  </w:endnote>
  <w:endnote w:id="271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xml:space="preserve"> 2:1, p. 966; 10:1, p. 974.</w:t>
      </w:r>
    </w:p>
  </w:endnote>
  <w:endnote w:id="2718">
    <w:p w:rsidR="00975183" w:rsidRPr="00825A1D" w:rsidRDefault="00975183" w:rsidP="006A2E06">
      <w:pPr>
        <w:pStyle w:val="EndnoteText"/>
      </w:pPr>
      <w:r w:rsidRPr="00825A1D">
        <w:rPr>
          <w:rStyle w:val="EndnoteReference"/>
        </w:rPr>
        <w:endnoteRef/>
      </w:r>
      <w:r w:rsidRPr="00825A1D">
        <w:t xml:space="preserve"> </w:t>
      </w:r>
      <w:r>
        <w:t>Ref. Zech. 13:1.</w:t>
      </w:r>
    </w:p>
  </w:endnote>
  <w:endnote w:id="271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12:1, p. 976.  </w:t>
      </w:r>
      <w:proofErr w:type="gramStart"/>
      <w:r>
        <w:rPr>
          <w:szCs w:val="18"/>
        </w:rPr>
        <w:t>(</w:t>
      </w:r>
      <w:r w:rsidRPr="00825A1D">
        <w:rPr>
          <w:i/>
          <w:szCs w:val="18"/>
        </w:rPr>
        <w:t>Scofield’s emphasis</w:t>
      </w:r>
      <w:r>
        <w:rPr>
          <w:szCs w:val="18"/>
        </w:rPr>
        <w:t>.)</w:t>
      </w:r>
      <w:proofErr w:type="gramEnd"/>
    </w:p>
  </w:endnote>
  <w:endnote w:id="272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xml:space="preserve"> 10:1, p. 974; 12:1, p. 976.</w:t>
      </w:r>
    </w:p>
  </w:endnote>
  <w:endnote w:id="272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2:1, p. 966.</w:t>
      </w:r>
    </w:p>
  </w:endnote>
  <w:endnote w:id="272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3:1, p. 967.</w:t>
      </w:r>
    </w:p>
  </w:endnote>
  <w:endnote w:id="272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3:10, p. 967.</w:t>
      </w:r>
    </w:p>
  </w:endnote>
  <w:endnote w:id="272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8:23, p. 972.</w:t>
      </w:r>
    </w:p>
  </w:endnote>
  <w:endnote w:id="272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7:2, p. 971.  </w:t>
      </w:r>
      <w:proofErr w:type="gramStart"/>
      <w:r w:rsidRPr="00C51665">
        <w:rPr>
          <w:b/>
          <w:szCs w:val="18"/>
        </w:rPr>
        <w:t>See 7.2.1; 7.2.2</w:t>
      </w:r>
      <w:r w:rsidRPr="00C51665">
        <w:rPr>
          <w:szCs w:val="18"/>
        </w:rPr>
        <w:t>.</w:t>
      </w:r>
      <w:proofErr w:type="gramEnd"/>
    </w:p>
  </w:endnote>
  <w:endnote w:id="272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1:8, p. 965.</w:t>
      </w:r>
    </w:p>
  </w:endnote>
  <w:endnote w:id="272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Zech.</w:t>
      </w:r>
      <w:r>
        <w:rPr>
          <w:szCs w:val="18"/>
        </w:rPr>
        <w:t xml:space="preserve"> 6:1, p. 970; 12:8, p. 977.</w:t>
      </w:r>
    </w:p>
  </w:endnote>
  <w:endnote w:id="2728">
    <w:p w:rsidR="00975183" w:rsidRPr="00E64B49" w:rsidRDefault="00975183" w:rsidP="006A2E06">
      <w:pPr>
        <w:pStyle w:val="EndnoteText"/>
      </w:pPr>
      <w:r w:rsidRPr="00E64B49">
        <w:rPr>
          <w:rStyle w:val="EndnoteReference"/>
        </w:rPr>
        <w:endnoteRef/>
      </w:r>
      <w:r w:rsidRPr="00E64B49">
        <w:t xml:space="preserve"> </w:t>
      </w:r>
      <w:r>
        <w:t>Zech. 11:11.</w:t>
      </w:r>
    </w:p>
  </w:endnote>
  <w:endnote w:id="272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w:t>
      </w:r>
      <w:r>
        <w:rPr>
          <w:szCs w:val="18"/>
        </w:rPr>
        <w:t>11:11</w:t>
      </w:r>
      <w:r w:rsidRPr="006329CD">
        <w:rPr>
          <w:szCs w:val="18"/>
        </w:rPr>
        <w:t>, p. 97</w:t>
      </w:r>
      <w:r>
        <w:rPr>
          <w:szCs w:val="18"/>
        </w:rPr>
        <w:t>5</w:t>
      </w:r>
      <w:r w:rsidRPr="006329CD">
        <w:rPr>
          <w:szCs w:val="18"/>
        </w:rPr>
        <w:t>.</w:t>
      </w:r>
    </w:p>
  </w:endnote>
  <w:endnote w:id="273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w:t>
      </w:r>
      <w:r>
        <w:rPr>
          <w:szCs w:val="18"/>
        </w:rPr>
        <w:t xml:space="preserve">Zech. 3:1, p. 967, 9:9, p. 973, 11:7, </w:t>
      </w:r>
      <w:proofErr w:type="gramStart"/>
      <w:r>
        <w:rPr>
          <w:szCs w:val="18"/>
        </w:rPr>
        <w:t>p</w:t>
      </w:r>
      <w:proofErr w:type="gramEnd"/>
      <w:r>
        <w:rPr>
          <w:szCs w:val="18"/>
        </w:rPr>
        <w:t>. 975.</w:t>
      </w:r>
    </w:p>
  </w:endnote>
  <w:endnote w:id="273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9:10, p. 973.</w:t>
      </w:r>
    </w:p>
  </w:endnote>
  <w:endnote w:id="2732">
    <w:p w:rsidR="00975183" w:rsidRDefault="00975183" w:rsidP="006A2E06">
      <w:pPr>
        <w:pStyle w:val="EndnoteText"/>
      </w:pPr>
      <w:r w:rsidRPr="007E0C9B">
        <w:rPr>
          <w:rStyle w:val="EndnoteReference"/>
          <w:szCs w:val="18"/>
        </w:rPr>
        <w:endnoteRef/>
      </w:r>
      <w:r w:rsidRPr="007E0C9B">
        <w:rPr>
          <w:szCs w:val="18"/>
        </w:rPr>
        <w:t xml:space="preserve"> </w:t>
      </w:r>
      <w:r w:rsidRPr="007E0C9B">
        <w:rPr>
          <w:i/>
          <w:szCs w:val="18"/>
        </w:rPr>
        <w:t>SRB</w:t>
      </w:r>
      <w:r w:rsidRPr="007E0C9B">
        <w:rPr>
          <w:szCs w:val="18"/>
        </w:rPr>
        <w:t xml:space="preserve"> note on Zech. 11:7, p. 975.  </w:t>
      </w:r>
      <w:r w:rsidRPr="007E0C9B">
        <w:rPr>
          <w:szCs w:val="22"/>
        </w:rPr>
        <w:t>The breaking of the “bands” is held to signify ‘the abandonment, for the time, of the purpose to reunite Judah and Israel’.</w:t>
      </w:r>
      <w:r>
        <w:rPr>
          <w:szCs w:val="22"/>
        </w:rPr>
        <w:t xml:space="preserve">  </w:t>
      </w:r>
      <w:proofErr w:type="gramStart"/>
      <w:r w:rsidRPr="001F2D9F">
        <w:t xml:space="preserve">See above, </w:t>
      </w:r>
      <w:r w:rsidRPr="001F2D9F">
        <w:rPr>
          <w:i/>
        </w:rPr>
        <w:t>Israel, Judah and Jerusalem, the Jews.</w:t>
      </w:r>
      <w:proofErr w:type="gramEnd"/>
    </w:p>
  </w:endnote>
  <w:endnote w:id="2733">
    <w:p w:rsidR="00975183" w:rsidRPr="00207242" w:rsidRDefault="00975183" w:rsidP="006A2E06">
      <w:pPr>
        <w:pStyle w:val="EndnoteText"/>
      </w:pPr>
      <w:r w:rsidRPr="007E0C9B">
        <w:rPr>
          <w:rStyle w:val="FootnoteReference"/>
        </w:rPr>
        <w:endnoteRef/>
      </w:r>
      <w:r w:rsidRPr="007E0C9B">
        <w:t xml:space="preserve"> </w:t>
      </w:r>
      <w:r w:rsidRPr="007E0C9B">
        <w:rPr>
          <w:i/>
        </w:rPr>
        <w:t>SRB</w:t>
      </w:r>
      <w:r w:rsidRPr="007E0C9B">
        <w:t xml:space="preserve"> note on Jn 1:17, p. 1115.  Scofield states that ‘as a dispensation, grace begins with the death and resurrection of Christ’.  </w:t>
      </w:r>
      <w:proofErr w:type="gramStart"/>
      <w:r w:rsidRPr="00207242">
        <w:rPr>
          <w:b/>
        </w:rPr>
        <w:t>See 5.6.1</w:t>
      </w:r>
      <w:r w:rsidRPr="00207242">
        <w:t>.</w:t>
      </w:r>
      <w:proofErr w:type="gramEnd"/>
    </w:p>
  </w:endnote>
  <w:endnote w:id="273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11:7, p. 975.</w:t>
      </w:r>
    </w:p>
  </w:endnote>
  <w:endnote w:id="273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4:2, p. 968.  Refs Revelation 11; Zech. 6:12, 13.</w:t>
      </w:r>
    </w:p>
  </w:endnote>
  <w:endnote w:id="273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6:11, p. 970.</w:t>
      </w:r>
    </w:p>
  </w:endnote>
  <w:endnote w:id="273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6:11, p. 970.</w:t>
      </w:r>
    </w:p>
  </w:endnote>
  <w:endnote w:id="273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10:4, p. 974.</w:t>
      </w:r>
    </w:p>
  </w:endnote>
  <w:endnote w:id="273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12:1, p. 976</w:t>
      </w:r>
      <w:r w:rsidRPr="003C2BBE">
        <w:rPr>
          <w:szCs w:val="18"/>
        </w:rPr>
        <w:t>.</w:t>
      </w:r>
    </w:p>
  </w:endnote>
  <w:endnote w:id="274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13:8, p. 978.</w:t>
      </w:r>
    </w:p>
  </w:endnote>
  <w:endnote w:id="2741">
    <w:p w:rsidR="00975183" w:rsidRPr="00E209AB"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14:4, p. 978.  </w:t>
      </w:r>
      <w:proofErr w:type="gramStart"/>
      <w:r w:rsidRPr="00E209AB">
        <w:rPr>
          <w:b/>
          <w:szCs w:val="18"/>
        </w:rPr>
        <w:t>See 7.1.3</w:t>
      </w:r>
      <w:r w:rsidRPr="00E209AB">
        <w:rPr>
          <w:szCs w:val="18"/>
        </w:rPr>
        <w:t>.</w:t>
      </w:r>
      <w:proofErr w:type="gramEnd"/>
    </w:p>
  </w:endnote>
  <w:endnote w:id="274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1:20, p. 966.</w:t>
      </w:r>
    </w:p>
  </w:endnote>
  <w:endnote w:id="274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4:2, p. 968.</w:t>
      </w:r>
    </w:p>
  </w:endnote>
  <w:endnote w:id="274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7:2, p. 971.</w:t>
      </w:r>
    </w:p>
  </w:endnote>
  <w:endnote w:id="2745">
    <w:p w:rsidR="00975183" w:rsidRPr="00661D74" w:rsidRDefault="00975183" w:rsidP="006A2E06">
      <w:pPr>
        <w:pStyle w:val="EndnoteText"/>
      </w:pPr>
      <w:r w:rsidRPr="00661D74">
        <w:rPr>
          <w:rStyle w:val="EndnoteReference"/>
        </w:rPr>
        <w:endnoteRef/>
      </w:r>
      <w:r w:rsidRPr="00661D74">
        <w:t xml:space="preserve"> </w:t>
      </w:r>
      <w:r w:rsidRPr="006329CD">
        <w:rPr>
          <w:i/>
          <w:szCs w:val="18"/>
        </w:rPr>
        <w:t>SRB</w:t>
      </w:r>
      <w:r w:rsidRPr="006329CD">
        <w:rPr>
          <w:szCs w:val="18"/>
        </w:rPr>
        <w:t xml:space="preserve"> note on Zech.</w:t>
      </w:r>
      <w:r>
        <w:rPr>
          <w:szCs w:val="18"/>
        </w:rPr>
        <w:t xml:space="preserve"> 6:1, pp. 969-70.</w:t>
      </w:r>
    </w:p>
  </w:endnote>
  <w:endnote w:id="2746">
    <w:p w:rsidR="00975183" w:rsidRPr="005824C7" w:rsidRDefault="00975183" w:rsidP="006A2E06">
      <w:pPr>
        <w:pStyle w:val="EndnoteText"/>
      </w:pPr>
      <w:r w:rsidRPr="005824C7">
        <w:rPr>
          <w:rStyle w:val="EndnoteReference"/>
        </w:rPr>
        <w:endnoteRef/>
      </w:r>
      <w:r w:rsidRPr="005824C7">
        <w:t xml:space="preserve"> </w:t>
      </w:r>
      <w:r w:rsidRPr="006329CD">
        <w:rPr>
          <w:i/>
          <w:szCs w:val="18"/>
        </w:rPr>
        <w:t>SRB</w:t>
      </w:r>
      <w:r w:rsidRPr="006329CD">
        <w:rPr>
          <w:szCs w:val="18"/>
        </w:rPr>
        <w:t xml:space="preserve"> note on Zech.</w:t>
      </w:r>
      <w:r>
        <w:rPr>
          <w:szCs w:val="18"/>
        </w:rPr>
        <w:t xml:space="preserve"> 4:2, p. 968.  </w:t>
      </w:r>
      <w:r w:rsidRPr="00E209AB">
        <w:rPr>
          <w:b/>
          <w:szCs w:val="18"/>
        </w:rPr>
        <w:t>See 8.3.1., a) i)</w:t>
      </w:r>
      <w:r w:rsidRPr="00E209AB">
        <w:rPr>
          <w:szCs w:val="18"/>
        </w:rPr>
        <w:t>.</w:t>
      </w:r>
    </w:p>
  </w:endnote>
  <w:endnote w:id="274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5:6, p. 969.  </w:t>
      </w:r>
      <w:proofErr w:type="gramStart"/>
      <w:r w:rsidRPr="00E209AB">
        <w:rPr>
          <w:b/>
          <w:szCs w:val="18"/>
        </w:rPr>
        <w:t>See 2.2.1</w:t>
      </w:r>
      <w:r>
        <w:rPr>
          <w:szCs w:val="18"/>
        </w:rPr>
        <w:t>.</w:t>
      </w:r>
      <w:proofErr w:type="gramEnd"/>
    </w:p>
  </w:endnote>
  <w:endnote w:id="274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xml:space="preserve"> 8:14, p. 972.</w:t>
      </w:r>
    </w:p>
  </w:endnote>
  <w:endnote w:id="2749">
    <w:p w:rsidR="00975183" w:rsidRPr="00666775" w:rsidRDefault="00975183" w:rsidP="006A2E06">
      <w:pPr>
        <w:pStyle w:val="EndnoteText"/>
      </w:pPr>
      <w:r w:rsidRPr="00666775">
        <w:rPr>
          <w:rStyle w:val="EndnoteReference"/>
        </w:rPr>
        <w:endnoteRef/>
      </w:r>
      <w:r w:rsidRPr="00666775">
        <w:t xml:space="preserve"> </w:t>
      </w:r>
      <w:r>
        <w:t xml:space="preserve">Zechariah 8:6 and 8:12 are the only occurrences of the word, ‘remnant’ in Zechariah, </w:t>
      </w:r>
      <w:r w:rsidRPr="00666775">
        <w:rPr>
          <w:i/>
        </w:rPr>
        <w:t>KJV</w:t>
      </w:r>
      <w:r>
        <w:t>.</w:t>
      </w:r>
    </w:p>
  </w:endnote>
  <w:endnote w:id="275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w:t>
      </w:r>
      <w:r>
        <w:rPr>
          <w:szCs w:val="18"/>
        </w:rPr>
        <w:t>. 8:6, p. 972,</w:t>
      </w:r>
    </w:p>
  </w:endnote>
  <w:endnote w:id="275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12:</w:t>
      </w:r>
      <w:r>
        <w:rPr>
          <w:szCs w:val="18"/>
        </w:rPr>
        <w:t>8</w:t>
      </w:r>
      <w:r w:rsidRPr="006329CD">
        <w:rPr>
          <w:szCs w:val="18"/>
        </w:rPr>
        <w:t>, p. 97</w:t>
      </w:r>
      <w:r>
        <w:rPr>
          <w:szCs w:val="18"/>
        </w:rPr>
        <w:t>7</w:t>
      </w:r>
      <w:r w:rsidRPr="006329CD">
        <w:rPr>
          <w:szCs w:val="18"/>
        </w:rPr>
        <w:t>.</w:t>
      </w:r>
    </w:p>
  </w:endnote>
  <w:endnote w:id="275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w:t>
      </w:r>
      <w:r>
        <w:rPr>
          <w:szCs w:val="18"/>
        </w:rPr>
        <w:t>11:11</w:t>
      </w:r>
      <w:r w:rsidRPr="006329CD">
        <w:rPr>
          <w:szCs w:val="18"/>
        </w:rPr>
        <w:t>, p. 97</w:t>
      </w:r>
      <w:r>
        <w:rPr>
          <w:szCs w:val="18"/>
        </w:rPr>
        <w:t>5</w:t>
      </w:r>
      <w:r w:rsidRPr="006329CD">
        <w:rPr>
          <w:szCs w:val="18"/>
        </w:rPr>
        <w:t>.</w:t>
      </w:r>
    </w:p>
  </w:endnote>
  <w:endnote w:id="275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w:t>
      </w:r>
      <w:r>
        <w:rPr>
          <w:szCs w:val="18"/>
        </w:rPr>
        <w:t>13:8</w:t>
      </w:r>
      <w:r w:rsidRPr="006329CD">
        <w:rPr>
          <w:szCs w:val="18"/>
        </w:rPr>
        <w:t>, p. 976.</w:t>
      </w:r>
      <w:r>
        <w:rPr>
          <w:szCs w:val="18"/>
        </w:rPr>
        <w:t xml:space="preserve">  </w:t>
      </w:r>
      <w:proofErr w:type="gramStart"/>
      <w:r>
        <w:rPr>
          <w:szCs w:val="18"/>
        </w:rPr>
        <w:t>Refs Zech. 13:8, 9.</w:t>
      </w:r>
      <w:proofErr w:type="gramEnd"/>
      <w:r>
        <w:rPr>
          <w:szCs w:val="18"/>
        </w:rPr>
        <w:t xml:space="preserve">  </w:t>
      </w:r>
      <w:proofErr w:type="gramStart"/>
      <w:r>
        <w:rPr>
          <w:szCs w:val="18"/>
        </w:rPr>
        <w:t>(</w:t>
      </w:r>
      <w:r w:rsidRPr="00A40CE7">
        <w:rPr>
          <w:i/>
          <w:szCs w:val="18"/>
        </w:rPr>
        <w:t>Scofield’s emphasis</w:t>
      </w:r>
      <w:r>
        <w:rPr>
          <w:szCs w:val="18"/>
        </w:rPr>
        <w:t>.)</w:t>
      </w:r>
      <w:proofErr w:type="gramEnd"/>
    </w:p>
  </w:endnote>
  <w:endnote w:id="275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Zech. 12:1, p. 976.</w:t>
      </w:r>
    </w:p>
  </w:endnote>
  <w:endnote w:id="2755">
    <w:p w:rsidR="00975183" w:rsidRDefault="00975183" w:rsidP="006A2E06">
      <w:pPr>
        <w:pStyle w:val="EndnoteText"/>
      </w:pPr>
      <w:r w:rsidRPr="005D00B9">
        <w:rPr>
          <w:rStyle w:val="FootnoteReference"/>
        </w:rPr>
        <w:endnoteRef/>
      </w:r>
      <w:r w:rsidRPr="005D00B9">
        <w:t xml:space="preserve"> </w:t>
      </w:r>
      <w:r w:rsidRPr="00C71759">
        <w:rPr>
          <w:i/>
        </w:rPr>
        <w:t xml:space="preserve">SRB </w:t>
      </w:r>
      <w:r>
        <w:t xml:space="preserve">Introduction to Malachi, p. 980.  </w:t>
      </w:r>
      <w:proofErr w:type="gramStart"/>
      <w:r>
        <w:t xml:space="preserve">Refs </w:t>
      </w:r>
      <w:r w:rsidRPr="005D00B9">
        <w:t>Mal. 4:5</w:t>
      </w:r>
      <w:r>
        <w:t xml:space="preserve">, </w:t>
      </w:r>
      <w:r w:rsidRPr="005D00B9">
        <w:t>6.</w:t>
      </w:r>
      <w:proofErr w:type="gramEnd"/>
    </w:p>
  </w:endnote>
  <w:endnote w:id="2756">
    <w:p w:rsidR="00975183" w:rsidRDefault="00975183" w:rsidP="006A2E06">
      <w:pPr>
        <w:pStyle w:val="EndnoteText"/>
      </w:pPr>
      <w:r w:rsidRPr="005D00B9">
        <w:rPr>
          <w:rStyle w:val="FootnoteReference"/>
        </w:rPr>
        <w:endnoteRef/>
      </w:r>
      <w:r w:rsidRPr="005D00B9">
        <w:t xml:space="preserve"> Ref. Mal. 3:1; Mal. 4:5</w:t>
      </w:r>
      <w:r w:rsidRPr="005D00B9">
        <w:rPr>
          <w:b/>
        </w:rPr>
        <w:t>;</w:t>
      </w:r>
      <w:r w:rsidRPr="005D00B9">
        <w:t xml:space="preserve"> Mal. 4:6.</w:t>
      </w:r>
    </w:p>
  </w:endnote>
  <w:endnote w:id="2757">
    <w:p w:rsidR="00975183" w:rsidRDefault="00975183" w:rsidP="006A2E06">
      <w:pPr>
        <w:pStyle w:val="EndnoteText"/>
      </w:pPr>
      <w:r w:rsidRPr="005D00B9">
        <w:rPr>
          <w:rStyle w:val="FootnoteReference"/>
        </w:rPr>
        <w:endnoteRef/>
      </w:r>
      <w:r w:rsidRPr="005D00B9">
        <w:t xml:space="preserve"> Mal. 3:1.</w:t>
      </w:r>
    </w:p>
  </w:endnote>
  <w:endnote w:id="2758">
    <w:p w:rsidR="00975183" w:rsidRDefault="00975183" w:rsidP="006A2E06">
      <w:pPr>
        <w:pStyle w:val="EndnoteText"/>
      </w:pPr>
      <w:r w:rsidRPr="005D00B9">
        <w:rPr>
          <w:rStyle w:val="FootnoteReference"/>
        </w:rPr>
        <w:endnoteRef/>
      </w:r>
      <w:r w:rsidRPr="005D00B9">
        <w:t xml:space="preserve"> </w:t>
      </w:r>
      <w:r w:rsidRPr="00C71759">
        <w:rPr>
          <w:i/>
        </w:rPr>
        <w:t xml:space="preserve">SRB </w:t>
      </w:r>
      <w:r>
        <w:t xml:space="preserve">Introduction to Malachi, p. 980.  </w:t>
      </w:r>
      <w:proofErr w:type="gramStart"/>
      <w:r>
        <w:t xml:space="preserve">Refs </w:t>
      </w:r>
      <w:r w:rsidRPr="005D00B9">
        <w:t>Mal. 4:5</w:t>
      </w:r>
      <w:r>
        <w:t xml:space="preserve"> and </w:t>
      </w:r>
      <w:r w:rsidRPr="005D00B9">
        <w:t>6.</w:t>
      </w:r>
      <w:proofErr w:type="gramEnd"/>
    </w:p>
  </w:endnote>
  <w:endnote w:id="275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1:6, p. 980.</w:t>
      </w:r>
    </w:p>
  </w:endnote>
  <w:endnote w:id="276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2:15, p. 982.</w:t>
      </w:r>
    </w:p>
  </w:endnote>
  <w:endnote w:id="276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 p. 982.</w:t>
      </w:r>
    </w:p>
  </w:endnote>
  <w:endnote w:id="276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 p. 982.</w:t>
      </w:r>
    </w:p>
  </w:endnote>
  <w:endnote w:id="276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w:t>
      </w:r>
      <w:r>
        <w:rPr>
          <w:szCs w:val="18"/>
        </w:rPr>
        <w:t>2:15, p. 981.</w:t>
      </w:r>
    </w:p>
  </w:endnote>
  <w:endnote w:id="276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 p. 982.</w:t>
      </w:r>
    </w:p>
  </w:endnote>
  <w:endnote w:id="276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 p. 982.</w:t>
      </w:r>
    </w:p>
  </w:endnote>
  <w:endnote w:id="276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 p. 982.</w:t>
      </w:r>
      <w:r>
        <w:rPr>
          <w:szCs w:val="18"/>
        </w:rPr>
        <w:t xml:space="preserve">  </w:t>
      </w:r>
      <w:r w:rsidRPr="00E209AB">
        <w:rPr>
          <w:b/>
          <w:szCs w:val="18"/>
        </w:rPr>
        <w:t>See 2.2; 2.2.3</w:t>
      </w:r>
      <w:r>
        <w:rPr>
          <w:b/>
          <w:szCs w:val="18"/>
        </w:rPr>
        <w:t>; Chapter 4.</w:t>
      </w:r>
    </w:p>
  </w:endnote>
  <w:endnote w:id="276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2:15, pp. 981-2.</w:t>
      </w:r>
    </w:p>
  </w:endnote>
  <w:endnote w:id="276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3:18, pp. 983-4.</w:t>
      </w:r>
    </w:p>
  </w:endnote>
  <w:endnote w:id="276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 3:1</w:t>
      </w:r>
      <w:r>
        <w:rPr>
          <w:szCs w:val="18"/>
        </w:rPr>
        <w:t>8</w:t>
      </w:r>
      <w:r w:rsidRPr="006329CD">
        <w:rPr>
          <w:szCs w:val="18"/>
        </w:rPr>
        <w:t>, p</w:t>
      </w:r>
      <w:r>
        <w:rPr>
          <w:szCs w:val="18"/>
        </w:rPr>
        <w:t>p</w:t>
      </w:r>
      <w:r w:rsidRPr="006329CD">
        <w:rPr>
          <w:szCs w:val="18"/>
        </w:rPr>
        <w:t>. 98</w:t>
      </w:r>
      <w:r>
        <w:rPr>
          <w:szCs w:val="18"/>
        </w:rPr>
        <w:t xml:space="preserve">3-4, ref. </w:t>
      </w:r>
      <w:r w:rsidRPr="006329CD">
        <w:rPr>
          <w:i/>
          <w:szCs w:val="18"/>
        </w:rPr>
        <w:t>SRB</w:t>
      </w:r>
      <w:r w:rsidRPr="006329CD">
        <w:rPr>
          <w:szCs w:val="18"/>
        </w:rPr>
        <w:t xml:space="preserve"> note on</w:t>
      </w:r>
      <w:r>
        <w:rPr>
          <w:szCs w:val="18"/>
        </w:rPr>
        <w:t xml:space="preserve"> 1 Sam. 1:3, p. 319.</w:t>
      </w:r>
    </w:p>
  </w:endnote>
  <w:endnote w:id="2770">
    <w:p w:rsidR="00975183" w:rsidRPr="008535F0" w:rsidRDefault="00975183" w:rsidP="006A2E06">
      <w:pPr>
        <w:pStyle w:val="EndnoteText"/>
      </w:pPr>
      <w:r w:rsidRPr="00C66D66">
        <w:rPr>
          <w:rStyle w:val="EndnoteReference"/>
        </w:rPr>
        <w:endnoteRef/>
      </w:r>
      <w:r w:rsidRPr="00C66D66">
        <w:t xml:space="preserve"> </w:t>
      </w:r>
      <w:r w:rsidRPr="00E209AB">
        <w:rPr>
          <w:b/>
        </w:rPr>
        <w:t>See 2.</w:t>
      </w:r>
      <w:r>
        <w:rPr>
          <w:b/>
        </w:rPr>
        <w:t>4</w:t>
      </w:r>
      <w:r w:rsidRPr="00E209AB">
        <w:t xml:space="preserve">. </w:t>
      </w:r>
      <w:r w:rsidRPr="00E209AB">
        <w:rPr>
          <w:b/>
        </w:rPr>
        <w:t xml:space="preserve"> </w:t>
      </w:r>
      <w:r w:rsidRPr="001274B2">
        <w:rPr>
          <w:szCs w:val="22"/>
        </w:rPr>
        <w:t>This method</w:t>
      </w:r>
      <w:r>
        <w:rPr>
          <w:szCs w:val="22"/>
        </w:rPr>
        <w:t xml:space="preserve"> </w:t>
      </w:r>
      <w:r w:rsidRPr="001274B2">
        <w:rPr>
          <w:szCs w:val="22"/>
        </w:rPr>
        <w:t>involves the presentation of multiple texts on a single theme.</w:t>
      </w:r>
    </w:p>
  </w:endnote>
  <w:endnote w:id="2771">
    <w:p w:rsidR="00975183" w:rsidRPr="001274B2" w:rsidRDefault="00975183" w:rsidP="006A2E06">
      <w:pPr>
        <w:pStyle w:val="EndnoteText"/>
      </w:pPr>
      <w:r w:rsidRPr="001274B2">
        <w:rPr>
          <w:rStyle w:val="EndnoteReference"/>
        </w:rPr>
        <w:endnoteRef/>
      </w:r>
      <w:r w:rsidRPr="001274B2">
        <w:t xml:space="preserve"> </w:t>
      </w:r>
      <w:r w:rsidRPr="00E209AB">
        <w:rPr>
          <w:b/>
        </w:rPr>
        <w:t>See 3.2</w:t>
      </w:r>
      <w:r>
        <w:t>.</w:t>
      </w:r>
    </w:p>
  </w:endnote>
  <w:endnote w:id="277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3:18, p. 983.</w:t>
      </w:r>
    </w:p>
  </w:endnote>
  <w:endnote w:id="2773">
    <w:p w:rsidR="00975183" w:rsidRPr="005E4FC7" w:rsidRDefault="00975183" w:rsidP="006A2E06">
      <w:pPr>
        <w:pStyle w:val="EndnoteText"/>
      </w:pPr>
      <w:r w:rsidRPr="005E4FC7">
        <w:rPr>
          <w:rStyle w:val="EndnoteReference"/>
        </w:rPr>
        <w:endnoteRef/>
      </w:r>
      <w:r w:rsidRPr="005E4FC7">
        <w:t xml:space="preserve"> </w:t>
      </w:r>
      <w:proofErr w:type="gramStart"/>
      <w:r w:rsidRPr="004179A8">
        <w:rPr>
          <w:b/>
        </w:rPr>
        <w:t>See 7.1.3</w:t>
      </w:r>
      <w:r w:rsidRPr="004179A8">
        <w:t>.</w:t>
      </w:r>
      <w:proofErr w:type="gramEnd"/>
    </w:p>
  </w:endnote>
  <w:endnote w:id="277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Mal.</w:t>
      </w:r>
      <w:r>
        <w:rPr>
          <w:szCs w:val="18"/>
        </w:rPr>
        <w:t xml:space="preserve"> 3:18, p. 983.</w:t>
      </w:r>
    </w:p>
  </w:endnote>
  <w:endnote w:id="277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Mk 8:23; 10:16; 16:2, 9, 14.</w:t>
      </w:r>
    </w:p>
  </w:endnote>
  <w:endnote w:id="277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‘The Four Gospels’, p</w:t>
      </w:r>
      <w:r>
        <w:t>p</w:t>
      </w:r>
      <w:r w:rsidRPr="005D00B9">
        <w:t>. 9</w:t>
      </w:r>
      <w:r>
        <w:t>89-</w:t>
      </w:r>
      <w:r w:rsidRPr="005D00B9">
        <w:t>91.</w:t>
      </w:r>
    </w:p>
  </w:endnote>
  <w:endnote w:id="277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‘The Four Gospels’, p. 991.</w:t>
      </w:r>
    </w:p>
  </w:endnote>
  <w:endnote w:id="2778">
    <w:p w:rsidR="00975183" w:rsidRPr="00A2448E" w:rsidRDefault="00975183" w:rsidP="006A2E06">
      <w:pPr>
        <w:pStyle w:val="EndnoteText"/>
      </w:pPr>
      <w:r w:rsidRPr="00A2448E">
        <w:rPr>
          <w:rStyle w:val="FootnoteReference"/>
        </w:rPr>
        <w:endnoteRef/>
      </w:r>
      <w:r w:rsidRPr="00A2448E">
        <w:t xml:space="preserve"> Charles Gilbert Weston, ‘Scofield’s Basic Errors’ in ‘Analyzing Scofield’, p. 23 &lt;http://www.gospeltruth.net/scofield.htm&gt; [accessed 20.1.11].</w:t>
      </w:r>
    </w:p>
  </w:endnote>
  <w:endnote w:id="2779">
    <w:p w:rsidR="00975183" w:rsidRPr="00BD6C0A" w:rsidRDefault="00975183" w:rsidP="006A2E06">
      <w:pPr>
        <w:pStyle w:val="EndnoteText"/>
      </w:pPr>
      <w:r w:rsidRPr="00487354">
        <w:rPr>
          <w:rStyle w:val="EndnoteReference"/>
        </w:rPr>
        <w:endnoteRef/>
      </w:r>
      <w:r>
        <w:t xml:space="preserve"> </w:t>
      </w:r>
      <w:proofErr w:type="gramStart"/>
      <w:r w:rsidRPr="00487354">
        <w:rPr>
          <w:b/>
        </w:rPr>
        <w:t>See 2.1.2</w:t>
      </w:r>
      <w:r>
        <w:t>.</w:t>
      </w:r>
      <w:proofErr w:type="gramEnd"/>
    </w:p>
  </w:endnote>
  <w:endnote w:id="278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Matthew, p. 993.</w:t>
      </w:r>
    </w:p>
  </w:endnote>
  <w:endnote w:id="2781">
    <w:p w:rsidR="00975183" w:rsidRPr="00983665" w:rsidRDefault="00975183" w:rsidP="006A2E06">
      <w:pPr>
        <w:pStyle w:val="EndnoteText"/>
      </w:pPr>
      <w:r w:rsidRPr="00983665">
        <w:rPr>
          <w:rStyle w:val="EndnoteReference"/>
        </w:rPr>
        <w:endnoteRef/>
      </w:r>
      <w:r w:rsidRPr="00983665">
        <w:t xml:space="preserve"> W. D. Davies &amp; Dale C. Allison Jr., </w:t>
      </w:r>
      <w:r w:rsidRPr="00983665">
        <w:rPr>
          <w:i/>
          <w:lang w:val="en-US"/>
        </w:rPr>
        <w:t xml:space="preserve">A critical and Exegetical Commentary on the Gospel According to Saint Matthew, Vol. 1, Introduction and Commentary on Matthew 1 </w:t>
      </w:r>
      <w:r w:rsidRPr="00983665">
        <w:t>—</w:t>
      </w:r>
      <w:r w:rsidRPr="00983665">
        <w:rPr>
          <w:i/>
          <w:lang w:val="en-US"/>
        </w:rPr>
        <w:t xml:space="preserve"> 7</w:t>
      </w:r>
      <w:r w:rsidRPr="00983665">
        <w:rPr>
          <w:lang w:val="en-US"/>
        </w:rPr>
        <w:t xml:space="preserve"> (Edinburgh: T. &amp; T. Clark Limited, 1988), pp. 127-8.</w:t>
      </w:r>
    </w:p>
  </w:endnote>
  <w:endnote w:id="278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Matthew, p. 993.</w:t>
      </w:r>
    </w:p>
  </w:endnote>
  <w:endnote w:id="2783">
    <w:p w:rsidR="00975183" w:rsidRDefault="00975183" w:rsidP="006A2E06">
      <w:pPr>
        <w:pStyle w:val="EndnoteText"/>
      </w:pPr>
      <w:r w:rsidRPr="005D00B9">
        <w:rPr>
          <w:rStyle w:val="FootnoteReference"/>
        </w:rPr>
        <w:endnoteRef/>
      </w:r>
      <w:r w:rsidRPr="005D00B9">
        <w:t xml:space="preserve"> </w:t>
      </w:r>
      <w:r>
        <w:t>Refs</w:t>
      </w:r>
      <w:r w:rsidRPr="005D00B9">
        <w:t xml:space="preserve"> 2 Sam. 7:8-16; Gen. 15:8.  </w:t>
      </w:r>
    </w:p>
  </w:endnote>
  <w:endnote w:id="2784">
    <w:p w:rsidR="00975183" w:rsidRDefault="00975183" w:rsidP="006A2E06">
      <w:pPr>
        <w:pStyle w:val="EndnoteText"/>
      </w:pPr>
      <w:r w:rsidRPr="005D00B9">
        <w:rPr>
          <w:rStyle w:val="FootnoteReference"/>
        </w:rPr>
        <w:endnoteRef/>
      </w:r>
      <w:r w:rsidRPr="005D00B9">
        <w:t xml:space="preserve"> </w:t>
      </w:r>
      <w:proofErr w:type="gramStart"/>
      <w:r w:rsidRPr="005D00B9">
        <w:t>Refs</w:t>
      </w:r>
      <w:proofErr w:type="gramEnd"/>
      <w:r w:rsidRPr="005D00B9">
        <w:t xml:space="preserve"> Gen. 22:1-18; Heb. 11:17-19.</w:t>
      </w:r>
    </w:p>
  </w:endnote>
  <w:endnote w:id="2785">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Matthew, p. 993.</w:t>
      </w:r>
    </w:p>
  </w:endnote>
  <w:endnote w:id="2786">
    <w:p w:rsidR="00975183" w:rsidRDefault="00975183" w:rsidP="006A2E06">
      <w:pPr>
        <w:pStyle w:val="EndnoteText"/>
      </w:pPr>
      <w:r w:rsidRPr="005D00B9">
        <w:rPr>
          <w:rStyle w:val="FootnoteReference"/>
        </w:rPr>
        <w:endnoteRef/>
      </w:r>
      <w:r w:rsidRPr="005D00B9">
        <w:t xml:space="preserve"> Matthew 1:1.</w:t>
      </w:r>
    </w:p>
  </w:endnote>
  <w:endnote w:id="2787">
    <w:p w:rsidR="00975183" w:rsidRPr="00774B53" w:rsidRDefault="00975183" w:rsidP="006A2E06">
      <w:pPr>
        <w:pStyle w:val="EndnoteText"/>
      </w:pPr>
      <w:r w:rsidRPr="00774B53">
        <w:rPr>
          <w:rStyle w:val="EndnoteReference"/>
        </w:rPr>
        <w:endnoteRef/>
      </w:r>
      <w:r w:rsidRPr="00774B53">
        <w:t xml:space="preserve"> </w:t>
      </w:r>
      <w:r w:rsidRPr="00774B53">
        <w:rPr>
          <w:i/>
        </w:rPr>
        <w:t>SRB</w:t>
      </w:r>
      <w:r>
        <w:t xml:space="preserve"> note on Mt. 3:2, p. 996.</w:t>
      </w:r>
    </w:p>
  </w:endnote>
  <w:endnote w:id="2788">
    <w:p w:rsidR="00975183" w:rsidRPr="0086047D" w:rsidRDefault="00975183" w:rsidP="006A2E06">
      <w:pPr>
        <w:pStyle w:val="EndnoteText"/>
      </w:pPr>
      <w:r w:rsidRPr="0086047D">
        <w:rPr>
          <w:rStyle w:val="EndnoteReference"/>
        </w:rPr>
        <w:endnoteRef/>
      </w:r>
      <w:r w:rsidRPr="0086047D">
        <w:t xml:space="preserve"> </w:t>
      </w:r>
      <w:proofErr w:type="gramStart"/>
      <w:r w:rsidRPr="00487354">
        <w:rPr>
          <w:b/>
        </w:rPr>
        <w:t>See 7.2.1; 7.2.4</w:t>
      </w:r>
      <w:r>
        <w:t>.</w:t>
      </w:r>
      <w:proofErr w:type="gramEnd"/>
      <w:r>
        <w:t xml:space="preserve"> </w:t>
      </w:r>
    </w:p>
  </w:endnote>
  <w:endnote w:id="2789">
    <w:p w:rsidR="00975183" w:rsidRPr="003B61E9" w:rsidRDefault="00975183" w:rsidP="006A2E06">
      <w:pPr>
        <w:pStyle w:val="EndnoteText"/>
      </w:pPr>
      <w:r w:rsidRPr="003B61E9">
        <w:rPr>
          <w:rStyle w:val="EndnoteReference"/>
        </w:rPr>
        <w:endnoteRef/>
      </w:r>
      <w:r w:rsidRPr="003B61E9">
        <w:t xml:space="preserve"> </w:t>
      </w:r>
      <w:proofErr w:type="gramStart"/>
      <w:r w:rsidRPr="00487354">
        <w:rPr>
          <w:b/>
        </w:rPr>
        <w:t>See 7.2.4</w:t>
      </w:r>
      <w:r>
        <w:t>.</w:t>
      </w:r>
      <w:proofErr w:type="gramEnd"/>
    </w:p>
  </w:endnote>
  <w:endnote w:id="279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4:17, p. 998.</w:t>
      </w:r>
    </w:p>
  </w:endnote>
  <w:endnote w:id="279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 xml:space="preserve">Charles Gilbert Weston, ‘Scofield’s Basic Errors’ in ‘Analyzing Scofield; Scofield’s Notes Answered’ </w:t>
      </w:r>
      <w:r>
        <w:rPr>
          <w:szCs w:val="18"/>
        </w:rPr>
        <w:t>&lt;</w:t>
      </w:r>
      <w:r w:rsidRPr="006329CD">
        <w:rPr>
          <w:szCs w:val="18"/>
        </w:rPr>
        <w:t>http://www.gospeltruth.net/scofield.htm&gt; [accessed 20.1.11].</w:t>
      </w:r>
      <w:proofErr w:type="gramEnd"/>
    </w:p>
  </w:endnote>
  <w:endnote w:id="279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4:17, p. 998.</w:t>
      </w:r>
      <w:r>
        <w:rPr>
          <w:szCs w:val="18"/>
        </w:rPr>
        <w:t xml:space="preserve">  </w:t>
      </w:r>
      <w:r w:rsidRPr="00487354">
        <w:rPr>
          <w:b/>
          <w:szCs w:val="18"/>
        </w:rPr>
        <w:t>See 4.1</w:t>
      </w:r>
      <w:r>
        <w:rPr>
          <w:szCs w:val="18"/>
        </w:rPr>
        <w:t>.</w:t>
      </w:r>
    </w:p>
  </w:endnote>
  <w:endnote w:id="279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5:2, pp. 999-1000</w:t>
      </w:r>
      <w:r w:rsidRPr="00DD540C">
        <w:rPr>
          <w:szCs w:val="18"/>
        </w:rPr>
        <w:t xml:space="preserve">.  </w:t>
      </w:r>
      <w:r w:rsidRPr="00F83133">
        <w:rPr>
          <w:b/>
          <w:szCs w:val="18"/>
        </w:rPr>
        <w:t>See   5.1.1; 5.4</w:t>
      </w:r>
      <w:r w:rsidRPr="00DD540C">
        <w:rPr>
          <w:b/>
          <w:szCs w:val="18"/>
        </w:rPr>
        <w:t>; 7.2.4</w:t>
      </w:r>
      <w:r w:rsidRPr="00DD540C">
        <w:rPr>
          <w:szCs w:val="18"/>
        </w:rPr>
        <w:t>.</w:t>
      </w:r>
    </w:p>
  </w:endnote>
  <w:endnote w:id="279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5:2, pp. 999-1000.</w:t>
      </w:r>
      <w:r>
        <w:rPr>
          <w:szCs w:val="18"/>
        </w:rPr>
        <w:t xml:space="preserve">  </w:t>
      </w:r>
      <w:proofErr w:type="gramStart"/>
      <w:r w:rsidRPr="00DD540C">
        <w:rPr>
          <w:b/>
          <w:szCs w:val="18"/>
        </w:rPr>
        <w:t>See 7.2.2</w:t>
      </w:r>
      <w:r>
        <w:rPr>
          <w:szCs w:val="18"/>
        </w:rPr>
        <w:t>.</w:t>
      </w:r>
      <w:proofErr w:type="gramEnd"/>
    </w:p>
  </w:endnote>
  <w:endnote w:id="279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notes on </w:t>
      </w:r>
      <w:r>
        <w:t xml:space="preserve">Mt. 11:11, p. 1010; 11:20, p. 1011; 11:28, p. 1011.  cf </w:t>
      </w:r>
      <w:r w:rsidRPr="00D85432">
        <w:rPr>
          <w:i/>
        </w:rPr>
        <w:t>SRB</w:t>
      </w:r>
      <w:r>
        <w:t xml:space="preserve"> note on Mt. 21:4, pp. 1028-9.</w:t>
      </w:r>
    </w:p>
  </w:endnote>
  <w:endnote w:id="2796">
    <w:p w:rsidR="00975183" w:rsidRPr="00CA3067" w:rsidRDefault="00975183" w:rsidP="006A2E06">
      <w:pPr>
        <w:pStyle w:val="EndnoteText"/>
      </w:pPr>
      <w:r w:rsidRPr="00CA3067">
        <w:rPr>
          <w:rStyle w:val="EndnoteReference"/>
        </w:rPr>
        <w:endnoteRef/>
      </w:r>
      <w:r w:rsidRPr="00CA3067">
        <w:t xml:space="preserve"> </w:t>
      </w:r>
      <w:r w:rsidRPr="006329CD">
        <w:rPr>
          <w:i/>
          <w:szCs w:val="18"/>
        </w:rPr>
        <w:t>SRB</w:t>
      </w:r>
      <w:r w:rsidRPr="006329CD">
        <w:rPr>
          <w:szCs w:val="18"/>
        </w:rPr>
        <w:t xml:space="preserve"> note on Mt. </w:t>
      </w:r>
      <w:r>
        <w:rPr>
          <w:szCs w:val="18"/>
        </w:rPr>
        <w:t xml:space="preserve">6:33, p. 1003.  </w:t>
      </w:r>
      <w:proofErr w:type="gramStart"/>
      <w:r w:rsidRPr="00DD540C">
        <w:rPr>
          <w:b/>
        </w:rPr>
        <w:t>See 7.2.4</w:t>
      </w:r>
      <w:r>
        <w:t>.</w:t>
      </w:r>
      <w:proofErr w:type="gramEnd"/>
      <w:r>
        <w:t xml:space="preserve"> </w:t>
      </w:r>
    </w:p>
  </w:endnote>
  <w:endnote w:id="2797">
    <w:p w:rsidR="00975183" w:rsidRDefault="00975183" w:rsidP="006A2E06">
      <w:pPr>
        <w:pStyle w:val="EndnoteText"/>
      </w:pPr>
      <w:r w:rsidRPr="00D7422B">
        <w:rPr>
          <w:rStyle w:val="EndnoteReference"/>
        </w:rPr>
        <w:endnoteRef/>
      </w:r>
      <w:r w:rsidRPr="00D7422B">
        <w:t xml:space="preserve"> </w:t>
      </w:r>
      <w:proofErr w:type="gramStart"/>
      <w:r>
        <w:rPr>
          <w:spacing w:val="-1"/>
        </w:rPr>
        <w:t>Davies and</w:t>
      </w:r>
      <w:r>
        <w:t xml:space="preserve"> </w:t>
      </w:r>
      <w:r>
        <w:rPr>
          <w:spacing w:val="-1"/>
        </w:rPr>
        <w:t>Allison,</w:t>
      </w:r>
      <w:r>
        <w:rPr>
          <w:spacing w:val="1"/>
        </w:rPr>
        <w:t xml:space="preserve"> </w:t>
      </w:r>
      <w:r>
        <w:rPr>
          <w:i/>
          <w:spacing w:val="-1"/>
        </w:rPr>
        <w:t>Matthew,</w:t>
      </w:r>
      <w:r>
        <w:rPr>
          <w:i/>
        </w:rPr>
        <w:t xml:space="preserve"> </w:t>
      </w:r>
      <w:r>
        <w:rPr>
          <w:i/>
          <w:spacing w:val="-1"/>
        </w:rPr>
        <w:t>Vol.</w:t>
      </w:r>
      <w:r>
        <w:rPr>
          <w:i/>
        </w:rPr>
        <w:t xml:space="preserve"> </w:t>
      </w:r>
      <w:r>
        <w:rPr>
          <w:i/>
          <w:spacing w:val="-1"/>
        </w:rPr>
        <w:t>1</w:t>
      </w:r>
      <w:r>
        <w:rPr>
          <w:spacing w:val="-1"/>
        </w:rPr>
        <w:t>,</w:t>
      </w:r>
      <w:r>
        <w:t xml:space="preserve"> </w:t>
      </w:r>
      <w:r>
        <w:rPr>
          <w:spacing w:val="-1"/>
        </w:rPr>
        <w:t>p.390.</w:t>
      </w:r>
      <w:proofErr w:type="gramEnd"/>
      <w:r>
        <w:rPr>
          <w:spacing w:val="-1"/>
        </w:rPr>
        <w:t xml:space="preserve">  </w:t>
      </w:r>
      <w:r w:rsidRPr="00A12D57">
        <w:rPr>
          <w:b/>
          <w:spacing w:val="-1"/>
        </w:rPr>
        <w:t>See Case Study: Matthew</w:t>
      </w:r>
      <w:r>
        <w:rPr>
          <w:spacing w:val="-1"/>
        </w:rPr>
        <w:t>.</w:t>
      </w:r>
    </w:p>
  </w:endnote>
  <w:endnote w:id="2798">
    <w:p w:rsidR="00975183" w:rsidRDefault="00975183" w:rsidP="006A2E06">
      <w:pPr>
        <w:pStyle w:val="EndnoteText"/>
      </w:pPr>
      <w:r w:rsidRPr="00CA3067">
        <w:rPr>
          <w:rStyle w:val="EndnoteReference"/>
        </w:rPr>
        <w:endnoteRef/>
      </w:r>
      <w:r w:rsidRPr="00CA3067">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Mt. 3:2, p. 996; 10:2, p. 1008; 13:24, p. 1015; 16:19, p. 1022; 25:1, p. 1035.  </w:t>
      </w:r>
      <w:r w:rsidRPr="00DD540C">
        <w:rPr>
          <w:b/>
        </w:rPr>
        <w:t xml:space="preserve">See 7.2.4, </w:t>
      </w:r>
      <w:proofErr w:type="gramStart"/>
      <w:r w:rsidRPr="00DD540C">
        <w:rPr>
          <w:b/>
          <w:i/>
        </w:rPr>
        <w:t>The</w:t>
      </w:r>
      <w:proofErr w:type="gramEnd"/>
      <w:r w:rsidRPr="00DD540C">
        <w:rPr>
          <w:b/>
          <w:i/>
        </w:rPr>
        <w:t xml:space="preserve"> Mystery Form of the Kingdom of Heaven in This Age</w:t>
      </w:r>
      <w:r w:rsidRPr="00DD540C">
        <w:t>.</w:t>
      </w:r>
    </w:p>
  </w:endnote>
  <w:endnote w:id="2799">
    <w:p w:rsidR="00975183" w:rsidRPr="00CA3067" w:rsidRDefault="00975183" w:rsidP="006A2E06">
      <w:pPr>
        <w:pStyle w:val="EndnoteText"/>
      </w:pPr>
      <w:r w:rsidRPr="00CA3067">
        <w:rPr>
          <w:rStyle w:val="EndnoteReference"/>
        </w:rPr>
        <w:endnoteRef/>
      </w:r>
      <w:r w:rsidRPr="00CA3067">
        <w:t xml:space="preserve"> </w:t>
      </w:r>
      <w:r w:rsidRPr="006329CD">
        <w:rPr>
          <w:i/>
          <w:szCs w:val="18"/>
        </w:rPr>
        <w:t>SRB</w:t>
      </w:r>
      <w:r w:rsidRPr="006329CD">
        <w:rPr>
          <w:szCs w:val="18"/>
        </w:rPr>
        <w:t xml:space="preserve"> note on Mt. </w:t>
      </w:r>
      <w:r>
        <w:rPr>
          <w:szCs w:val="18"/>
        </w:rPr>
        <w:t xml:space="preserve">21:43, p. 1029.  </w:t>
      </w:r>
      <w:proofErr w:type="gramStart"/>
      <w:r w:rsidRPr="00DD540C">
        <w:rPr>
          <w:b/>
        </w:rPr>
        <w:t>See 7.2.4</w:t>
      </w:r>
      <w:r>
        <w:t>.</w:t>
      </w:r>
      <w:proofErr w:type="gramEnd"/>
    </w:p>
  </w:endnote>
  <w:endnote w:id="2800">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Mt. 13:45, p. 1017.</w:t>
      </w:r>
    </w:p>
  </w:endnote>
  <w:endnote w:id="2801">
    <w:p w:rsidR="00975183" w:rsidRPr="006B6463" w:rsidRDefault="00975183" w:rsidP="006A2E06">
      <w:pPr>
        <w:pStyle w:val="EndnoteText"/>
      </w:pPr>
      <w:r w:rsidRPr="006B6463">
        <w:rPr>
          <w:rStyle w:val="EndnoteReference"/>
        </w:rPr>
        <w:endnoteRef/>
      </w:r>
      <w:r w:rsidRPr="006B6463">
        <w:t xml:space="preserve"> </w:t>
      </w:r>
      <w:r>
        <w:t>Ref. Judg. 2:18.</w:t>
      </w:r>
    </w:p>
  </w:endnote>
  <w:endnote w:id="2802">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w:t>
      </w:r>
      <w:r>
        <w:t xml:space="preserve"> </w:t>
      </w:r>
      <w:r w:rsidRPr="006329CD">
        <w:t>on</w:t>
      </w:r>
      <w:r>
        <w:t xml:space="preserve"> Mt. 19:28, p. 1026.</w:t>
      </w:r>
    </w:p>
  </w:endnote>
  <w:endnote w:id="2803">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w:t>
      </w:r>
      <w:r>
        <w:t xml:space="preserve"> </w:t>
      </w:r>
      <w:r w:rsidRPr="006329CD">
        <w:t>on</w:t>
      </w:r>
      <w:r>
        <w:t xml:space="preserve"> Mt. 12:1, p. 1012.</w:t>
      </w:r>
    </w:p>
  </w:endnote>
  <w:endnote w:id="2804">
    <w:p w:rsidR="00975183" w:rsidRPr="008850C1" w:rsidRDefault="00975183" w:rsidP="006A2E06">
      <w:pPr>
        <w:pStyle w:val="EndnoteText"/>
        <w:tabs>
          <w:tab w:val="left" w:pos="8789"/>
        </w:tabs>
      </w:pPr>
      <w:r w:rsidRPr="00CA3067">
        <w:rPr>
          <w:rStyle w:val="EndnoteReference"/>
        </w:rPr>
        <w:endnoteRef/>
      </w:r>
      <w:r w:rsidRPr="00CA3067">
        <w:t xml:space="preserve"> </w:t>
      </w:r>
      <w:r w:rsidRPr="006329CD">
        <w:rPr>
          <w:i/>
          <w:szCs w:val="18"/>
        </w:rPr>
        <w:t>SRB</w:t>
      </w:r>
      <w:r w:rsidRPr="006329CD">
        <w:rPr>
          <w:szCs w:val="18"/>
        </w:rPr>
        <w:t xml:space="preserve"> note</w:t>
      </w:r>
      <w:r>
        <w:rPr>
          <w:szCs w:val="18"/>
        </w:rPr>
        <w:t>s</w:t>
      </w:r>
      <w:r w:rsidRPr="006329CD">
        <w:rPr>
          <w:szCs w:val="18"/>
        </w:rPr>
        <w:t xml:space="preserve"> on Mt.</w:t>
      </w:r>
      <w:r>
        <w:rPr>
          <w:szCs w:val="18"/>
        </w:rPr>
        <w:t xml:space="preserve"> 13:3, p. 1014; 13:33, p. 1016; 13:47, pp. 1017-8</w:t>
      </w:r>
      <w:r w:rsidRPr="00F83133">
        <w:rPr>
          <w:szCs w:val="18"/>
        </w:rPr>
        <w:t xml:space="preserve">.  </w:t>
      </w:r>
      <w:r w:rsidRPr="00F83133">
        <w:rPr>
          <w:b/>
          <w:szCs w:val="18"/>
        </w:rPr>
        <w:t>See 5.6.1</w:t>
      </w:r>
      <w:r w:rsidRPr="00F83133">
        <w:rPr>
          <w:szCs w:val="18"/>
        </w:rPr>
        <w:t xml:space="preserve">, </w:t>
      </w:r>
      <w:r w:rsidRPr="008850C1">
        <w:rPr>
          <w:b/>
          <w:szCs w:val="18"/>
        </w:rPr>
        <w:t xml:space="preserve">7.2.4; </w:t>
      </w:r>
      <w:proofErr w:type="gramStart"/>
      <w:r w:rsidRPr="008850C1">
        <w:rPr>
          <w:b/>
          <w:i/>
          <w:szCs w:val="18"/>
        </w:rPr>
        <w:t>The</w:t>
      </w:r>
      <w:proofErr w:type="gramEnd"/>
      <w:r w:rsidRPr="008850C1">
        <w:rPr>
          <w:b/>
          <w:i/>
          <w:szCs w:val="18"/>
        </w:rPr>
        <w:t xml:space="preserve"> Mystery Form of the Kingdom in This Age</w:t>
      </w:r>
      <w:r w:rsidRPr="008850C1">
        <w:rPr>
          <w:b/>
          <w:szCs w:val="18"/>
        </w:rPr>
        <w:t>.</w:t>
      </w:r>
    </w:p>
  </w:endnote>
  <w:endnote w:id="2805">
    <w:p w:rsidR="00975183" w:rsidRDefault="00975183" w:rsidP="006A2E06">
      <w:pPr>
        <w:pStyle w:val="EndnoteText"/>
      </w:pPr>
      <w:r w:rsidRPr="00CA3067">
        <w:rPr>
          <w:rStyle w:val="EndnoteReference"/>
        </w:rPr>
        <w:endnoteRef/>
      </w:r>
      <w:r w:rsidRPr="00CA3067">
        <w:t xml:space="preserve"> </w:t>
      </w:r>
      <w:r w:rsidRPr="006329CD">
        <w:rPr>
          <w:i/>
          <w:szCs w:val="18"/>
        </w:rPr>
        <w:t>SRB</w:t>
      </w:r>
      <w:r w:rsidRPr="006329CD">
        <w:rPr>
          <w:szCs w:val="18"/>
        </w:rPr>
        <w:t xml:space="preserve"> note</w:t>
      </w:r>
      <w:r>
        <w:rPr>
          <w:szCs w:val="18"/>
        </w:rPr>
        <w:t>s</w:t>
      </w:r>
      <w:r w:rsidRPr="006329CD">
        <w:rPr>
          <w:szCs w:val="18"/>
        </w:rPr>
        <w:t xml:space="preserve"> on Mt.</w:t>
      </w:r>
      <w:r>
        <w:rPr>
          <w:szCs w:val="18"/>
        </w:rPr>
        <w:t xml:space="preserve"> 13:3, p. 1014; 13:47, pp. 1017-8.</w:t>
      </w:r>
    </w:p>
  </w:endnote>
  <w:endnote w:id="280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13:3, p. 1014.</w:t>
      </w:r>
    </w:p>
  </w:endnote>
  <w:endnote w:id="280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13:24, p. 1015; 13:30, p. 1016.</w:t>
      </w:r>
    </w:p>
  </w:endnote>
  <w:endnote w:id="280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Mt</w:t>
      </w:r>
      <w:r>
        <w:rPr>
          <w:szCs w:val="18"/>
        </w:rPr>
        <w:t>. 13:31; 13:33, p. 1016.</w:t>
      </w:r>
    </w:p>
  </w:endnote>
  <w:endnote w:id="280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Mt</w:t>
      </w:r>
      <w:r>
        <w:rPr>
          <w:szCs w:val="18"/>
        </w:rPr>
        <w:t>. 13:44; 13:45, p. 1017.</w:t>
      </w:r>
    </w:p>
  </w:endnote>
  <w:endnote w:id="281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13:45, p. 1017.</w:t>
      </w:r>
    </w:p>
  </w:endnote>
  <w:endnote w:id="281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13:47, pp. 1017-8.</w:t>
      </w:r>
    </w:p>
  </w:endnote>
  <w:endnote w:id="281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13:31, p. 1016.</w:t>
      </w:r>
    </w:p>
  </w:endnote>
  <w:endnote w:id="2813">
    <w:p w:rsidR="00975183" w:rsidRPr="008850C1" w:rsidRDefault="00975183" w:rsidP="006A2E06">
      <w:pPr>
        <w:pStyle w:val="EndnoteText"/>
      </w:pPr>
      <w:r w:rsidRPr="008850C1">
        <w:rPr>
          <w:rStyle w:val="EndnoteReference"/>
        </w:rPr>
        <w:endnoteRef/>
      </w:r>
      <w:r w:rsidRPr="008850C1">
        <w:t xml:space="preserve"> </w:t>
      </w:r>
      <w:proofErr w:type="gramStart"/>
      <w:r w:rsidRPr="008850C1">
        <w:rPr>
          <w:b/>
        </w:rPr>
        <w:t>See 2.3.1, a), i)</w:t>
      </w:r>
      <w:r w:rsidRPr="008850C1">
        <w:t xml:space="preserve">; </w:t>
      </w:r>
      <w:r w:rsidRPr="008850C1">
        <w:rPr>
          <w:b/>
        </w:rPr>
        <w:t>Case Study, Matthew</w:t>
      </w:r>
      <w:r w:rsidRPr="008850C1">
        <w:t>.</w:t>
      </w:r>
      <w:proofErr w:type="gramEnd"/>
    </w:p>
  </w:endnote>
  <w:endnote w:id="2814">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Mt. 13:33, p. 1016.</w:t>
      </w:r>
    </w:p>
  </w:endnote>
  <w:endnote w:id="2815">
    <w:p w:rsidR="00975183" w:rsidRDefault="00975183">
      <w:pPr>
        <w:pStyle w:val="EndnoteText"/>
      </w:pPr>
      <w:r>
        <w:rPr>
          <w:rStyle w:val="EndnoteReference"/>
        </w:rPr>
        <w:endnoteRef/>
      </w:r>
      <w:r>
        <w:t xml:space="preserve"> </w:t>
      </w:r>
      <w:r w:rsidRPr="0075462D">
        <w:rPr>
          <w:b/>
        </w:rPr>
        <w:t>See Case Study, Matthew</w:t>
      </w:r>
      <w:r>
        <w:t>.</w:t>
      </w:r>
    </w:p>
  </w:endnote>
  <w:endnote w:id="2816">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Mt. 17:2, pp. 1022-3.  </w:t>
      </w:r>
      <w:r w:rsidRPr="0071094E">
        <w:rPr>
          <w:b/>
        </w:rPr>
        <w:t>See 7.2</w:t>
      </w:r>
      <w:r w:rsidRPr="0071094E">
        <w:t xml:space="preserve"> </w:t>
      </w:r>
      <w:r w:rsidRPr="0071094E">
        <w:rPr>
          <w:b/>
        </w:rPr>
        <w:t>and Case Study, Matthew</w:t>
      </w:r>
      <w:r>
        <w:t>.</w:t>
      </w:r>
    </w:p>
  </w:endnote>
  <w:endnote w:id="2817">
    <w:p w:rsidR="00975183" w:rsidRDefault="00975183" w:rsidP="006A2E06">
      <w:pPr>
        <w:pStyle w:val="EndnoteText"/>
      </w:pPr>
      <w:r w:rsidRPr="00CD167C">
        <w:rPr>
          <w:rStyle w:val="EndnoteReference"/>
        </w:rPr>
        <w:endnoteRef/>
      </w:r>
      <w:r w:rsidRPr="00CD167C">
        <w:t xml:space="preserve"> </w:t>
      </w:r>
      <w:r w:rsidRPr="00762B7D">
        <w:rPr>
          <w:i/>
        </w:rPr>
        <w:t>SRB</w:t>
      </w:r>
      <w:r>
        <w:t xml:space="preserve"> note on Mt. 1:16, p. 994.  </w:t>
      </w:r>
      <w:proofErr w:type="gramStart"/>
      <w:r>
        <w:t>Refs Lk. 1:31; 2:21.</w:t>
      </w:r>
      <w:proofErr w:type="gramEnd"/>
    </w:p>
  </w:endnote>
  <w:endnote w:id="2818">
    <w:p w:rsidR="00975183" w:rsidRDefault="00975183" w:rsidP="006A2E06">
      <w:pPr>
        <w:pStyle w:val="EndnoteText"/>
      </w:pPr>
      <w:r w:rsidRPr="00CD167C">
        <w:rPr>
          <w:rStyle w:val="EndnoteReference"/>
        </w:rPr>
        <w:endnoteRef/>
      </w:r>
      <w:r w:rsidRPr="00CD167C">
        <w:t xml:space="preserve"> </w:t>
      </w:r>
      <w:r w:rsidRPr="00762B7D">
        <w:rPr>
          <w:i/>
        </w:rPr>
        <w:t>SRB</w:t>
      </w:r>
      <w:r>
        <w:t xml:space="preserve"> note on Mt. 8:20, p. 1006.</w:t>
      </w:r>
    </w:p>
  </w:endnote>
  <w:endnote w:id="2819">
    <w:p w:rsidR="00975183" w:rsidRPr="00CD167C" w:rsidRDefault="00975183" w:rsidP="006A2E06">
      <w:pPr>
        <w:pStyle w:val="EndnoteText"/>
      </w:pPr>
      <w:r w:rsidRPr="00CD167C">
        <w:rPr>
          <w:rStyle w:val="EndnoteReference"/>
        </w:rPr>
        <w:endnoteRef/>
      </w:r>
      <w:r w:rsidRPr="00CD167C">
        <w:t xml:space="preserve"> </w:t>
      </w:r>
      <w:r w:rsidRPr="00762B7D">
        <w:rPr>
          <w:i/>
        </w:rPr>
        <w:t>SRB</w:t>
      </w:r>
      <w:r>
        <w:t xml:space="preserve"> note on Mt. 1:16, p. 994.  Ref. </w:t>
      </w:r>
      <w:r w:rsidRPr="00CD167C">
        <w:rPr>
          <w:i/>
        </w:rPr>
        <w:t>SRB</w:t>
      </w:r>
      <w:r>
        <w:t xml:space="preserve"> note on Zech. 12:8, pp. 976-7.</w:t>
      </w:r>
    </w:p>
  </w:endnote>
  <w:endnote w:id="2820">
    <w:p w:rsidR="00975183" w:rsidRDefault="00975183" w:rsidP="006A2E06">
      <w:pPr>
        <w:pStyle w:val="EndnoteText"/>
      </w:pPr>
      <w:r w:rsidRPr="00CD167C">
        <w:rPr>
          <w:rStyle w:val="EndnoteReference"/>
        </w:rPr>
        <w:endnoteRef/>
      </w:r>
      <w:r w:rsidRPr="00CD167C">
        <w:t xml:space="preserve"> </w:t>
      </w:r>
      <w:r w:rsidRPr="00762B7D">
        <w:rPr>
          <w:i/>
        </w:rPr>
        <w:t>SRB</w:t>
      </w:r>
      <w:r>
        <w:t xml:space="preserve"> note on Mt. 1:16, p. 994.  Ref. Deut. 18:15-19.</w:t>
      </w:r>
    </w:p>
  </w:endnote>
  <w:endnote w:id="2821">
    <w:p w:rsidR="00975183" w:rsidRDefault="00975183" w:rsidP="006A2E06">
      <w:pPr>
        <w:pStyle w:val="EndnoteText"/>
      </w:pPr>
      <w:r w:rsidRPr="00CD167C">
        <w:rPr>
          <w:rStyle w:val="EndnoteReference"/>
        </w:rPr>
        <w:endnoteRef/>
      </w:r>
      <w:r w:rsidRPr="00CD167C">
        <w:t xml:space="preserve"> </w:t>
      </w:r>
      <w:r w:rsidRPr="00762B7D">
        <w:rPr>
          <w:i/>
        </w:rPr>
        <w:t>SRB</w:t>
      </w:r>
      <w:r>
        <w:t xml:space="preserve"> note on Mt. 1:16, p. 994.  Ref. Ps. 100:4.</w:t>
      </w:r>
    </w:p>
  </w:endnote>
  <w:endnote w:id="2822">
    <w:p w:rsidR="00975183" w:rsidRDefault="00975183" w:rsidP="006A2E06">
      <w:pPr>
        <w:pStyle w:val="EndnoteText"/>
      </w:pPr>
      <w:r w:rsidRPr="00CD167C">
        <w:rPr>
          <w:rStyle w:val="EndnoteReference"/>
        </w:rPr>
        <w:endnoteRef/>
      </w:r>
      <w:r w:rsidRPr="00CD167C">
        <w:t xml:space="preserve"> </w:t>
      </w:r>
      <w:r w:rsidRPr="00762B7D">
        <w:rPr>
          <w:i/>
        </w:rPr>
        <w:t>SRB</w:t>
      </w:r>
      <w:r>
        <w:t xml:space="preserve"> note on Mt. 1:16, p. 994.  Ref. 2 Sam. 7:7-10.</w:t>
      </w:r>
    </w:p>
  </w:endnote>
  <w:endnote w:id="2823">
    <w:p w:rsidR="00975183" w:rsidRDefault="00975183" w:rsidP="006A2E06">
      <w:pPr>
        <w:pStyle w:val="EndnoteText"/>
      </w:pPr>
      <w:r w:rsidRPr="00547912">
        <w:rPr>
          <w:rStyle w:val="EndnoteReference"/>
        </w:rPr>
        <w:endnoteRef/>
      </w:r>
      <w:r w:rsidRPr="00547912">
        <w:t xml:space="preserve"> </w:t>
      </w:r>
      <w:r w:rsidRPr="00547912">
        <w:rPr>
          <w:i/>
        </w:rPr>
        <w:t>SRB</w:t>
      </w:r>
      <w:r w:rsidRPr="00547912">
        <w:t xml:space="preserve"> note on Mt.</w:t>
      </w:r>
      <w:r>
        <w:t xml:space="preserve"> </w:t>
      </w:r>
      <w:r w:rsidRPr="00E064E9">
        <w:rPr>
          <w:szCs w:val="22"/>
        </w:rPr>
        <w:t>4:1, pp. 997-8</w:t>
      </w:r>
      <w:r>
        <w:rPr>
          <w:szCs w:val="22"/>
        </w:rPr>
        <w:t>.</w:t>
      </w:r>
    </w:p>
  </w:endnote>
  <w:endnote w:id="2824">
    <w:p w:rsidR="00975183" w:rsidRDefault="00975183" w:rsidP="006A2E06">
      <w:pPr>
        <w:pStyle w:val="EndnoteText"/>
      </w:pPr>
      <w:r w:rsidRPr="00547912">
        <w:rPr>
          <w:rStyle w:val="EndnoteReference"/>
        </w:rPr>
        <w:endnoteRef/>
      </w:r>
      <w:r w:rsidRPr="00547912">
        <w:t xml:space="preserve"> </w:t>
      </w:r>
      <w:r w:rsidRPr="00547912">
        <w:rPr>
          <w:i/>
        </w:rPr>
        <w:t>SRB</w:t>
      </w:r>
      <w:r w:rsidRPr="00547912">
        <w:t xml:space="preserve"> note on Mt.</w:t>
      </w:r>
      <w:r>
        <w:t xml:space="preserve"> 5:17, p. 1000. Christ was ‘made under the law’; he ‘lived in perfect obedience to it’; ‘he was a minister of the law to the Jews, clearing it from rabbinical sophistries’ but ‘confirming the promises made to the fathers under the Mosaic Covenant’; ‘He fulfilled the types of the law by His holy life and sacrificial death’; He bore, vicariously, the curse of the law so that the Abrahamic Covenant might avail to all who believe’; ‘by His redemption’ he made believers sons rather than ‘servants under the law’; ‘He mediated by His blood the New Covenant in which all believers stand so establishing the “law of Christ” (Gal. 6:2 refs)’, in which ‘higher exaltation [is] made possible by the indwelling Spirit’.</w:t>
      </w:r>
    </w:p>
  </w:endnote>
  <w:endnote w:id="282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27:51, p. 1047.</w:t>
      </w:r>
    </w:p>
  </w:endnote>
  <w:endnote w:id="282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2:2, p. 995.  </w:t>
      </w:r>
      <w:r w:rsidRPr="00DD1BD4">
        <w:rPr>
          <w:b/>
          <w:szCs w:val="18"/>
        </w:rPr>
        <w:t>See 4.1</w:t>
      </w:r>
      <w:r>
        <w:rPr>
          <w:szCs w:val="18"/>
        </w:rPr>
        <w:t>.</w:t>
      </w:r>
    </w:p>
  </w:endnote>
  <w:endnote w:id="282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12:3, p. 1012.</w:t>
      </w:r>
    </w:p>
  </w:endnote>
  <w:endnote w:id="282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w:t>
      </w:r>
      <w:r>
        <w:rPr>
          <w:szCs w:val="18"/>
        </w:rPr>
        <w:t>15:21</w:t>
      </w:r>
      <w:r w:rsidRPr="006329CD">
        <w:rPr>
          <w:szCs w:val="18"/>
        </w:rPr>
        <w:t xml:space="preserve">, p. </w:t>
      </w:r>
      <w:r>
        <w:rPr>
          <w:szCs w:val="18"/>
        </w:rPr>
        <w:t>1020</w:t>
      </w:r>
      <w:r w:rsidRPr="006329CD">
        <w:rPr>
          <w:szCs w:val="18"/>
        </w:rPr>
        <w:t>.</w:t>
      </w:r>
    </w:p>
  </w:endnote>
  <w:endnote w:id="2829">
    <w:p w:rsidR="00975183" w:rsidRPr="00067B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13:44, p. 1017.  cf </w:t>
      </w:r>
      <w:r w:rsidRPr="003D2C03">
        <w:rPr>
          <w:i/>
          <w:szCs w:val="18"/>
        </w:rPr>
        <w:t>SRB</w:t>
      </w:r>
      <w:r>
        <w:rPr>
          <w:szCs w:val="18"/>
        </w:rPr>
        <w:t xml:space="preserve"> note on Mt. 13:47, p. 1018</w:t>
      </w:r>
      <w:r w:rsidRPr="00067B83">
        <w:rPr>
          <w:szCs w:val="18"/>
        </w:rPr>
        <w:t xml:space="preserve">.  </w:t>
      </w:r>
      <w:r w:rsidRPr="00067B83">
        <w:rPr>
          <w:b/>
          <w:szCs w:val="18"/>
        </w:rPr>
        <w:t>See 4.1</w:t>
      </w:r>
      <w:r w:rsidRPr="00067B83">
        <w:rPr>
          <w:szCs w:val="18"/>
        </w:rPr>
        <w:t>.</w:t>
      </w:r>
    </w:p>
  </w:endnote>
  <w:endnote w:id="2830">
    <w:p w:rsidR="00975183" w:rsidRPr="00067B83" w:rsidRDefault="00975183" w:rsidP="006A2E06">
      <w:pPr>
        <w:pStyle w:val="EndnoteText"/>
      </w:pPr>
      <w:r w:rsidRPr="00067B83">
        <w:rPr>
          <w:rStyle w:val="EndnoteReference"/>
          <w:szCs w:val="18"/>
        </w:rPr>
        <w:endnoteRef/>
      </w:r>
      <w:r w:rsidRPr="00067B83">
        <w:rPr>
          <w:szCs w:val="18"/>
        </w:rPr>
        <w:t xml:space="preserve"> </w:t>
      </w:r>
      <w:r w:rsidRPr="00067B83">
        <w:rPr>
          <w:i/>
          <w:szCs w:val="18"/>
        </w:rPr>
        <w:t>SRB</w:t>
      </w:r>
      <w:r w:rsidRPr="00067B83">
        <w:rPr>
          <w:szCs w:val="18"/>
        </w:rPr>
        <w:t xml:space="preserve"> note on Mt. 13:45, p. 1017.  cf </w:t>
      </w:r>
      <w:r w:rsidRPr="00067B83">
        <w:rPr>
          <w:i/>
          <w:szCs w:val="18"/>
        </w:rPr>
        <w:t>SRB</w:t>
      </w:r>
      <w:r w:rsidRPr="00067B83">
        <w:rPr>
          <w:szCs w:val="18"/>
        </w:rPr>
        <w:t xml:space="preserve"> note on Mt. 13:47, p. 1018.  </w:t>
      </w:r>
      <w:r w:rsidRPr="00067B83">
        <w:rPr>
          <w:b/>
          <w:szCs w:val="18"/>
        </w:rPr>
        <w:t>See 4.1</w:t>
      </w:r>
      <w:r w:rsidRPr="00067B83">
        <w:rPr>
          <w:szCs w:val="18"/>
        </w:rPr>
        <w:t>.</w:t>
      </w:r>
    </w:p>
  </w:endnote>
  <w:endnote w:id="283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Mt.</w:t>
      </w:r>
      <w:r>
        <w:rPr>
          <w:szCs w:val="18"/>
        </w:rPr>
        <w:t xml:space="preserve"> 12:18, p. 1012; 12:41, p. 1013; 12:46, pp. 1013-4.</w:t>
      </w:r>
    </w:p>
  </w:endnote>
  <w:endnote w:id="283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23:39, p. 1032.</w:t>
      </w:r>
    </w:p>
  </w:endnote>
  <w:endnote w:id="283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13:11, p. 1014.</w:t>
      </w:r>
    </w:p>
  </w:endnote>
  <w:endnote w:id="283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13:11, p. 1014.</w:t>
      </w:r>
    </w:p>
  </w:endnote>
  <w:endnote w:id="2835">
    <w:p w:rsidR="00975183" w:rsidRPr="00721A22" w:rsidRDefault="00975183" w:rsidP="006A2E06">
      <w:pPr>
        <w:pStyle w:val="EndnoteText"/>
      </w:pPr>
      <w:r w:rsidRPr="00721A22">
        <w:rPr>
          <w:rStyle w:val="EndnoteReference"/>
        </w:rPr>
        <w:endnoteRef/>
      </w:r>
      <w:r w:rsidRPr="00721A22">
        <w:t xml:space="preserve"> </w:t>
      </w:r>
      <w:r>
        <w:t>Ref. Dan. 2:34.</w:t>
      </w:r>
    </w:p>
  </w:endnote>
  <w:endnote w:id="283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21:44, pp. 1029-30.</w:t>
      </w:r>
    </w:p>
  </w:endnote>
  <w:endnote w:id="283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24:3, pp. 1032-3.</w:t>
      </w:r>
    </w:p>
  </w:endnote>
  <w:endnote w:id="2838">
    <w:p w:rsidR="00975183" w:rsidRPr="00002F94" w:rsidRDefault="00975183" w:rsidP="006A2E06">
      <w:pPr>
        <w:pStyle w:val="EndnoteText"/>
      </w:pPr>
      <w:r w:rsidRPr="00002F94">
        <w:rPr>
          <w:rStyle w:val="EndnoteReference"/>
        </w:rPr>
        <w:endnoteRef/>
      </w:r>
      <w:r w:rsidRPr="00002F94">
        <w:t xml:space="preserve"> </w:t>
      </w:r>
      <w:r>
        <w:t xml:space="preserve">cf </w:t>
      </w:r>
      <w:r w:rsidRPr="00002F94">
        <w:rPr>
          <w:i/>
        </w:rPr>
        <w:t>SRB</w:t>
      </w:r>
      <w:r>
        <w:t xml:space="preserve"> note on Mt. 24:34, p. 1034.</w:t>
      </w:r>
    </w:p>
  </w:endnote>
  <w:endnote w:id="2839">
    <w:p w:rsidR="00975183" w:rsidRPr="00496E1C" w:rsidRDefault="00975183" w:rsidP="006A2E06">
      <w:pPr>
        <w:pStyle w:val="EndnoteText"/>
      </w:pPr>
      <w:r w:rsidRPr="00496E1C">
        <w:rPr>
          <w:rStyle w:val="EndnoteReference"/>
        </w:rPr>
        <w:endnoteRef/>
      </w:r>
      <w:r w:rsidRPr="00496E1C">
        <w:t xml:space="preserve"> </w:t>
      </w:r>
      <w:r>
        <w:t>Refs 2 Thess. 2:3-8; Dan. 9:27; 12:11; Rev. 13:4-7.</w:t>
      </w:r>
    </w:p>
  </w:endnote>
  <w:endnote w:id="284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24:3, pp. 1032-3.</w:t>
      </w:r>
    </w:p>
  </w:endnote>
  <w:endnote w:id="2841">
    <w:p w:rsidR="00975183"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w:t>
      </w:r>
      <w:r w:rsidRPr="00886AB2">
        <w:rPr>
          <w:szCs w:val="18"/>
        </w:rPr>
        <w:t>on Mt. 13:</w:t>
      </w:r>
      <w:r>
        <w:rPr>
          <w:szCs w:val="18"/>
        </w:rPr>
        <w:t xml:space="preserve">17, p. 1015; </w:t>
      </w:r>
      <w:proofErr w:type="gramStart"/>
      <w:r>
        <w:rPr>
          <w:szCs w:val="18"/>
        </w:rPr>
        <w:t>This</w:t>
      </w:r>
      <w:proofErr w:type="gramEnd"/>
      <w:r>
        <w:rPr>
          <w:szCs w:val="18"/>
        </w:rPr>
        <w:t xml:space="preserve"> concept is mentioned several times in </w:t>
      </w:r>
      <w:r w:rsidRPr="00BA60F1">
        <w:rPr>
          <w:i/>
          <w:szCs w:val="18"/>
        </w:rPr>
        <w:t>SRB</w:t>
      </w:r>
      <w:r>
        <w:rPr>
          <w:szCs w:val="18"/>
        </w:rPr>
        <w:t xml:space="preserve">.  </w:t>
      </w:r>
    </w:p>
    <w:p w:rsidR="00975183" w:rsidRDefault="00975183" w:rsidP="006A2E06">
      <w:pPr>
        <w:pStyle w:val="EndnoteText"/>
        <w:rPr>
          <w:szCs w:val="18"/>
        </w:rPr>
      </w:pPr>
      <w:r>
        <w:rPr>
          <w:szCs w:val="18"/>
        </w:rPr>
        <w:t xml:space="preserve">cf </w:t>
      </w:r>
      <w:r w:rsidRPr="00ED4526">
        <w:rPr>
          <w:i/>
          <w:szCs w:val="18"/>
        </w:rPr>
        <w:t>SRB</w:t>
      </w:r>
      <w:r>
        <w:rPr>
          <w:szCs w:val="18"/>
        </w:rPr>
        <w:t xml:space="preserve"> notes on Mal. 3:1, p. 982; Acts 1:11, p. 1148; </w:t>
      </w:r>
      <w:r w:rsidRPr="00AF7090">
        <w:rPr>
          <w:i/>
          <w:szCs w:val="18"/>
        </w:rPr>
        <w:t>SRB</w:t>
      </w:r>
      <w:r>
        <w:rPr>
          <w:szCs w:val="18"/>
        </w:rPr>
        <w:t xml:space="preserve"> Introduction to the Four Gospels, p. 990.  </w:t>
      </w:r>
    </w:p>
    <w:p w:rsidR="00975183" w:rsidRDefault="00975183" w:rsidP="006A2E06">
      <w:pPr>
        <w:pStyle w:val="EndnoteText"/>
      </w:pPr>
      <w:proofErr w:type="gramStart"/>
      <w:r w:rsidRPr="00CE48D0">
        <w:rPr>
          <w:b/>
          <w:szCs w:val="18"/>
        </w:rPr>
        <w:t>See 2.2.3; 7.1.3</w:t>
      </w:r>
      <w:r>
        <w:rPr>
          <w:szCs w:val="18"/>
        </w:rPr>
        <w:t>.</w:t>
      </w:r>
      <w:proofErr w:type="gramEnd"/>
      <w:r>
        <w:rPr>
          <w:szCs w:val="18"/>
        </w:rPr>
        <w:t xml:space="preserve">  </w:t>
      </w:r>
    </w:p>
  </w:endnote>
  <w:endnote w:id="2842">
    <w:p w:rsidR="00975183" w:rsidRPr="009454AC" w:rsidRDefault="00975183" w:rsidP="006A2E06">
      <w:pPr>
        <w:pStyle w:val="EndnoteText"/>
      </w:pPr>
      <w:r w:rsidRPr="008B5282">
        <w:rPr>
          <w:rStyle w:val="EndnoteReference"/>
        </w:rPr>
        <w:endnoteRef/>
      </w:r>
      <w:r w:rsidRPr="008B5282">
        <w:t xml:space="preserve"> </w:t>
      </w:r>
      <w:r w:rsidRPr="008F200D">
        <w:rPr>
          <w:i/>
        </w:rPr>
        <w:t>SRB</w:t>
      </w:r>
      <w:r w:rsidRPr="008F200D">
        <w:t xml:space="preserve"> note on </w:t>
      </w:r>
      <w:r>
        <w:t xml:space="preserve">Mt. 3:2, p. 996; cf </w:t>
      </w:r>
      <w:r w:rsidRPr="001D305E">
        <w:rPr>
          <w:i/>
        </w:rPr>
        <w:t>SRB</w:t>
      </w:r>
      <w:r>
        <w:t xml:space="preserve"> note on </w:t>
      </w:r>
      <w:r w:rsidRPr="008F200D">
        <w:t>Dan. 9:24, p. 91</w:t>
      </w:r>
      <w:r>
        <w:t>4</w:t>
      </w:r>
      <w:r w:rsidRPr="008F200D">
        <w:t>.</w:t>
      </w:r>
      <w:r>
        <w:t xml:space="preserve">  </w:t>
      </w:r>
      <w:proofErr w:type="gramStart"/>
      <w:r w:rsidRPr="00CE48D0">
        <w:rPr>
          <w:b/>
        </w:rPr>
        <w:t>See 7.2.1</w:t>
      </w:r>
      <w:r>
        <w:t>.</w:t>
      </w:r>
      <w:proofErr w:type="gramEnd"/>
    </w:p>
  </w:endnote>
  <w:endnote w:id="284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8:20, p. 1006.  </w:t>
      </w:r>
      <w:proofErr w:type="gramStart"/>
      <w:r>
        <w:rPr>
          <w:szCs w:val="18"/>
        </w:rPr>
        <w:t>Refs Mt. 10:5, 6 and 23.</w:t>
      </w:r>
      <w:proofErr w:type="gramEnd"/>
    </w:p>
  </w:endnote>
  <w:endnote w:id="284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10:16, p. 1009.  cf </w:t>
      </w:r>
      <w:r w:rsidRPr="006329CD">
        <w:rPr>
          <w:i/>
          <w:szCs w:val="18"/>
        </w:rPr>
        <w:t>SRB</w:t>
      </w:r>
      <w:r w:rsidRPr="006329CD">
        <w:rPr>
          <w:szCs w:val="18"/>
        </w:rPr>
        <w:t xml:space="preserve"> note</w:t>
      </w:r>
      <w:r>
        <w:rPr>
          <w:szCs w:val="18"/>
        </w:rPr>
        <w:t>s</w:t>
      </w:r>
      <w:r w:rsidRPr="006329CD">
        <w:rPr>
          <w:szCs w:val="18"/>
        </w:rPr>
        <w:t xml:space="preserve"> on Mt.</w:t>
      </w:r>
      <w:r>
        <w:rPr>
          <w:szCs w:val="18"/>
        </w:rPr>
        <w:t xml:space="preserve"> 24:3, pp. 1032-3; Mt. 25:32, p. 1036.  </w:t>
      </w:r>
      <w:proofErr w:type="gramStart"/>
      <w:r w:rsidRPr="00CE48D0">
        <w:rPr>
          <w:b/>
          <w:szCs w:val="18"/>
        </w:rPr>
        <w:t>See 7.1.2.3</w:t>
      </w:r>
      <w:r>
        <w:rPr>
          <w:szCs w:val="18"/>
        </w:rPr>
        <w:t>.</w:t>
      </w:r>
      <w:proofErr w:type="gramEnd"/>
    </w:p>
  </w:endnote>
  <w:endnote w:id="284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Mt. 25:32, p. 1036.  </w:t>
      </w:r>
      <w:proofErr w:type="gramStart"/>
      <w:r w:rsidRPr="00425FB0">
        <w:rPr>
          <w:b/>
          <w:szCs w:val="18"/>
        </w:rPr>
        <w:t>See 7.1.2.3</w:t>
      </w:r>
      <w:r>
        <w:rPr>
          <w:szCs w:val="18"/>
        </w:rPr>
        <w:t>.</w:t>
      </w:r>
      <w:proofErr w:type="gramEnd"/>
    </w:p>
  </w:endnote>
  <w:endnote w:id="2846">
    <w:p w:rsidR="00975183" w:rsidRPr="00573087" w:rsidRDefault="00975183" w:rsidP="006A2E06">
      <w:pPr>
        <w:pStyle w:val="EndnoteText"/>
      </w:pPr>
      <w:r w:rsidRPr="00573087">
        <w:rPr>
          <w:rStyle w:val="EndnoteReference"/>
        </w:rPr>
        <w:endnoteRef/>
      </w:r>
      <w:r w:rsidRPr="00573087">
        <w:t xml:space="preserve"> </w:t>
      </w:r>
      <w:r>
        <w:t xml:space="preserve">Mt. 25:31-45, </w:t>
      </w:r>
      <w:r w:rsidRPr="00573087">
        <w:rPr>
          <w:i/>
        </w:rPr>
        <w:t>KJV</w:t>
      </w:r>
      <w:r>
        <w:t>.</w:t>
      </w:r>
    </w:p>
  </w:endnote>
  <w:endnote w:id="2847">
    <w:p w:rsidR="00975183" w:rsidRPr="00CC2BAF" w:rsidRDefault="00975183" w:rsidP="006A2E06">
      <w:pPr>
        <w:pStyle w:val="EndnoteText"/>
      </w:pPr>
      <w:r w:rsidRPr="00CC2BAF">
        <w:rPr>
          <w:rStyle w:val="EndnoteReference"/>
        </w:rPr>
        <w:endnoteRef/>
      </w:r>
      <w:r w:rsidRPr="00CC2BAF">
        <w:t xml:space="preserve"> Mt. 26:20 </w:t>
      </w:r>
      <w:r>
        <w:t>(order of events on night of Passover); 26:</w:t>
      </w:r>
      <w:r w:rsidRPr="00CC2BAF">
        <w:t>57</w:t>
      </w:r>
      <w:r>
        <w:t xml:space="preserve"> (order of events on ‘Crucifixion Day’)</w:t>
      </w:r>
      <w:r w:rsidRPr="00CC2BAF">
        <w:t xml:space="preserve">, 27:33 </w:t>
      </w:r>
      <w:r>
        <w:t>(order of events at the crucifixion); 27:</w:t>
      </w:r>
      <w:r w:rsidRPr="00CC2BAF">
        <w:t>37</w:t>
      </w:r>
      <w:r>
        <w:t xml:space="preserve"> (assertion that ‘no one of the Evangelists quotes the entire inscription [on Jesus’ cross];</w:t>
      </w:r>
      <w:r w:rsidRPr="00CC2BAF">
        <w:t xml:space="preserve"> and 28</w:t>
      </w:r>
      <w:r>
        <w:t xml:space="preserve">:1 (order of events: resurrection) 28:9 (‘order of our Lord’s appearances’).  </w:t>
      </w:r>
      <w:proofErr w:type="gramStart"/>
      <w:r w:rsidRPr="00C93D12">
        <w:rPr>
          <w:b/>
        </w:rPr>
        <w:t>See 2.1.2</w:t>
      </w:r>
      <w:r w:rsidRPr="007E0C9B">
        <w:rPr>
          <w:b/>
        </w:rPr>
        <w:t>.</w:t>
      </w:r>
      <w:proofErr w:type="gramEnd"/>
    </w:p>
  </w:endnote>
  <w:endnote w:id="2848">
    <w:p w:rsidR="00975183" w:rsidRDefault="00975183" w:rsidP="006A2E06">
      <w:pPr>
        <w:pStyle w:val="EndnoteText"/>
      </w:pPr>
      <w:r w:rsidRPr="00B51319">
        <w:rPr>
          <w:rStyle w:val="EndnoteReference"/>
        </w:rPr>
        <w:endnoteRef/>
      </w:r>
      <w:r w:rsidRPr="00B51319">
        <w:t xml:space="preserve"> </w:t>
      </w:r>
      <w:r w:rsidRPr="007E0C9B">
        <w:rPr>
          <w:i/>
        </w:rPr>
        <w:t>SRB</w:t>
      </w:r>
      <w:r w:rsidRPr="007E0C9B">
        <w:t xml:space="preserve"> note on Mt. 28:1, p. 1043.  </w:t>
      </w:r>
    </w:p>
  </w:endnote>
  <w:endnote w:id="2849">
    <w:p w:rsidR="00975183" w:rsidRDefault="00975183" w:rsidP="006A2E06">
      <w:pPr>
        <w:pStyle w:val="EndnoteText"/>
      </w:pPr>
      <w:r w:rsidRPr="00B51319">
        <w:rPr>
          <w:rStyle w:val="EndnoteReference"/>
        </w:rPr>
        <w:endnoteRef/>
      </w:r>
      <w:r w:rsidRPr="00B51319">
        <w:t xml:space="preserve"> </w:t>
      </w:r>
      <w:r w:rsidRPr="007E0C9B">
        <w:t xml:space="preserve">For example, </w:t>
      </w:r>
      <w:r w:rsidRPr="007E0C9B">
        <w:rPr>
          <w:i/>
        </w:rPr>
        <w:t>SRB</w:t>
      </w:r>
      <w:r w:rsidRPr="007E0C9B">
        <w:t xml:space="preserve"> note on Mt. 28:1, p. 1043.  This concerns the visit of the women to Jesus’ tomb.  </w:t>
      </w:r>
    </w:p>
    <w:p w:rsidR="00975183" w:rsidRDefault="00975183" w:rsidP="006A2E06">
      <w:pPr>
        <w:pStyle w:val="EndnoteText"/>
      </w:pPr>
      <w:proofErr w:type="gramStart"/>
      <w:r w:rsidRPr="00C93D12">
        <w:rPr>
          <w:b/>
        </w:rPr>
        <w:t>See 2.1.1; 2.1.2</w:t>
      </w:r>
      <w:r w:rsidRPr="007E0C9B">
        <w:rPr>
          <w:b/>
        </w:rPr>
        <w:t>.</w:t>
      </w:r>
      <w:proofErr w:type="gramEnd"/>
    </w:p>
  </w:endnote>
  <w:endnote w:id="285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5:2, p. 1000.</w:t>
      </w:r>
    </w:p>
  </w:endnote>
  <w:endnote w:id="2851">
    <w:p w:rsidR="00975183" w:rsidRPr="00F83133" w:rsidRDefault="00975183" w:rsidP="006A2E06">
      <w:pPr>
        <w:pStyle w:val="EndnoteText"/>
        <w:rPr>
          <w:b/>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w:t>
      </w:r>
      <w:r>
        <w:rPr>
          <w:szCs w:val="18"/>
        </w:rPr>
        <w:t xml:space="preserve"> 6:12, p. 1002</w:t>
      </w:r>
      <w:r w:rsidRPr="00F83133">
        <w:rPr>
          <w:szCs w:val="18"/>
        </w:rPr>
        <w:t xml:space="preserve">.  </w:t>
      </w:r>
      <w:proofErr w:type="gramStart"/>
      <w:r w:rsidRPr="00F83133">
        <w:rPr>
          <w:b/>
          <w:szCs w:val="18"/>
        </w:rPr>
        <w:t>See 5.4.5</w:t>
      </w:r>
      <w:r w:rsidRPr="00F83133">
        <w:rPr>
          <w:szCs w:val="18"/>
        </w:rPr>
        <w:t>.</w:t>
      </w:r>
      <w:proofErr w:type="gramEnd"/>
    </w:p>
  </w:endnote>
  <w:endnote w:id="2852">
    <w:p w:rsidR="00975183" w:rsidRPr="00F83133" w:rsidRDefault="00975183" w:rsidP="0085515C">
      <w:pPr>
        <w:pStyle w:val="EndnoteText"/>
      </w:pPr>
      <w:r w:rsidRPr="00F83133">
        <w:rPr>
          <w:rStyle w:val="FootnoteReference"/>
        </w:rPr>
        <w:endnoteRef/>
      </w:r>
      <w:r w:rsidRPr="00F83133">
        <w:t xml:space="preserve"> </w:t>
      </w:r>
      <w:r w:rsidRPr="00F83133">
        <w:rPr>
          <w:i/>
        </w:rPr>
        <w:t xml:space="preserve">SRB </w:t>
      </w:r>
      <w:r w:rsidRPr="00F83133">
        <w:t xml:space="preserve">notes on Mt. 5:2, p. 1000; 6:12, p. 1002.  </w:t>
      </w:r>
      <w:proofErr w:type="gramStart"/>
      <w:r w:rsidRPr="00F83133">
        <w:rPr>
          <w:b/>
        </w:rPr>
        <w:t xml:space="preserve">See 5.2.1, </w:t>
      </w:r>
      <w:r w:rsidRPr="00F83133">
        <w:rPr>
          <w:b/>
          <w:szCs w:val="18"/>
        </w:rPr>
        <w:t>5</w:t>
      </w:r>
      <w:r>
        <w:rPr>
          <w:b/>
          <w:szCs w:val="18"/>
        </w:rPr>
        <w:t>.</w:t>
      </w:r>
      <w:r w:rsidRPr="00F83133">
        <w:rPr>
          <w:b/>
          <w:szCs w:val="18"/>
        </w:rPr>
        <w:t>4.5</w:t>
      </w:r>
      <w:r w:rsidRPr="00F83133">
        <w:rPr>
          <w:szCs w:val="18"/>
        </w:rPr>
        <w:t xml:space="preserve">; </w:t>
      </w:r>
      <w:r w:rsidRPr="00F83133">
        <w:rPr>
          <w:b/>
        </w:rPr>
        <w:t>5.7.</w:t>
      </w:r>
      <w:proofErr w:type="gramEnd"/>
    </w:p>
  </w:endnote>
  <w:endnote w:id="2853">
    <w:p w:rsidR="00975183" w:rsidRPr="00F83133" w:rsidRDefault="00975183" w:rsidP="006A2E06">
      <w:pPr>
        <w:pStyle w:val="EndnoteText"/>
      </w:pPr>
      <w:r w:rsidRPr="00F83133">
        <w:rPr>
          <w:rStyle w:val="FootnoteReference"/>
        </w:rPr>
        <w:endnoteRef/>
      </w:r>
      <w:r w:rsidRPr="00F83133">
        <w:t xml:space="preserve"> </w:t>
      </w:r>
      <w:r w:rsidRPr="00F83133">
        <w:rPr>
          <w:i/>
        </w:rPr>
        <w:t>SRB</w:t>
      </w:r>
      <w:r w:rsidRPr="00F83133">
        <w:t xml:space="preserve"> note on Mt. 28:19, p. 1044.  Ref. Eph. 3:2.  Matthew 28:19 refers to the commission of the disciples and </w:t>
      </w:r>
    </w:p>
    <w:p w:rsidR="00975183" w:rsidRPr="00F83133" w:rsidRDefault="00975183" w:rsidP="006A2E06">
      <w:pPr>
        <w:pStyle w:val="EndnoteText"/>
      </w:pPr>
      <w:r w:rsidRPr="00F83133">
        <w:t>Eph. 3:2 refers to the grace of God, but neither verse mentions Christ’s crucifixion and resurrection.</w:t>
      </w:r>
    </w:p>
  </w:endnote>
  <w:endnote w:id="2854">
    <w:p w:rsidR="00975183" w:rsidRPr="00F83133" w:rsidRDefault="00975183" w:rsidP="006A2E06">
      <w:pPr>
        <w:pStyle w:val="EndnoteText"/>
      </w:pPr>
      <w:r w:rsidRPr="00F83133">
        <w:rPr>
          <w:rStyle w:val="EndnoteReference"/>
        </w:rPr>
        <w:endnoteRef/>
      </w:r>
      <w:r w:rsidRPr="00F83133">
        <w:t xml:space="preserve"> </w:t>
      </w:r>
      <w:proofErr w:type="gramStart"/>
      <w:r w:rsidRPr="00F83133">
        <w:rPr>
          <w:b/>
        </w:rPr>
        <w:t>See 5.6.1</w:t>
      </w:r>
      <w:r w:rsidRPr="00F83133">
        <w:t>.</w:t>
      </w:r>
      <w:proofErr w:type="gramEnd"/>
    </w:p>
  </w:endnote>
  <w:endnote w:id="2855">
    <w:p w:rsidR="00975183" w:rsidRPr="00B16766" w:rsidRDefault="00975183" w:rsidP="006A2E06">
      <w:pPr>
        <w:pStyle w:val="EndnoteText"/>
      </w:pPr>
      <w:r w:rsidRPr="00B16766">
        <w:rPr>
          <w:rStyle w:val="EndnoteReference"/>
        </w:rPr>
        <w:endnoteRef/>
      </w:r>
      <w:r w:rsidRPr="00B16766">
        <w:t xml:space="preserve"> </w:t>
      </w:r>
      <w:r>
        <w:t>For my definitions of ‘</w:t>
      </w:r>
      <w:r w:rsidRPr="00B16766">
        <w:rPr>
          <w:i/>
        </w:rPr>
        <w:t>excursus</w:t>
      </w:r>
      <w:r>
        <w:t xml:space="preserve">’ and ‘discourse’, see Introduction, d) </w:t>
      </w:r>
      <w:r w:rsidRPr="00B16766">
        <w:rPr>
          <w:color w:val="000000"/>
        </w:rPr>
        <w:t xml:space="preserve">Themes in Notes in the </w:t>
      </w:r>
      <w:r w:rsidRPr="00B16766">
        <w:rPr>
          <w:i/>
          <w:color w:val="000000"/>
        </w:rPr>
        <w:t>Scofield Reference Bible</w:t>
      </w:r>
      <w:r>
        <w:rPr>
          <w:i/>
          <w:color w:val="000000"/>
        </w:rPr>
        <w:t>.</w:t>
      </w:r>
    </w:p>
  </w:endnote>
  <w:endnote w:id="2856">
    <w:p w:rsidR="00975183" w:rsidRDefault="00975183" w:rsidP="006A2E06">
      <w:pPr>
        <w:pStyle w:val="EndnoteText"/>
      </w:pPr>
      <w:r w:rsidRPr="003D62DC">
        <w:rPr>
          <w:rStyle w:val="EndnoteReference"/>
        </w:rPr>
        <w:endnoteRef/>
      </w:r>
      <w:r w:rsidRPr="003D62DC">
        <w:t xml:space="preserve"> </w:t>
      </w:r>
      <w:r>
        <w:t xml:space="preserve">For example, discourses on the six Marys of the New Testament, </w:t>
      </w:r>
      <w:r w:rsidRPr="003D62DC">
        <w:rPr>
          <w:i/>
        </w:rPr>
        <w:t>SRB</w:t>
      </w:r>
      <w:r>
        <w:t xml:space="preserve"> note on Mt. 1:16, p. 994; Herod the Great, </w:t>
      </w:r>
      <w:r w:rsidRPr="003D62DC">
        <w:rPr>
          <w:i/>
        </w:rPr>
        <w:t>SRB</w:t>
      </w:r>
      <w:r>
        <w:t xml:space="preserve"> note on Mt. 2:1, p. 995; the scribes, </w:t>
      </w:r>
      <w:r w:rsidRPr="003D62DC">
        <w:rPr>
          <w:i/>
        </w:rPr>
        <w:t>SRB</w:t>
      </w:r>
      <w:r>
        <w:t xml:space="preserve"> note on Mt. 2:4, p. 995; Pharisees and Sadducees, </w:t>
      </w:r>
      <w:r w:rsidRPr="003D62DC">
        <w:rPr>
          <w:i/>
        </w:rPr>
        <w:t>SRB</w:t>
      </w:r>
      <w:r>
        <w:t xml:space="preserve"> note on </w:t>
      </w:r>
    </w:p>
    <w:p w:rsidR="00975183" w:rsidRPr="003D62DC" w:rsidRDefault="00975183" w:rsidP="006A2E06">
      <w:pPr>
        <w:pStyle w:val="EndnoteText"/>
      </w:pPr>
      <w:r>
        <w:t xml:space="preserve">Mt. 3:7, p. 996; the “world”, </w:t>
      </w:r>
      <w:r w:rsidRPr="003D62DC">
        <w:rPr>
          <w:i/>
        </w:rPr>
        <w:t>SRB</w:t>
      </w:r>
      <w:r>
        <w:t xml:space="preserve"> note on Mt. 4:8, p. 998; ‘two people called James’, </w:t>
      </w:r>
      <w:r w:rsidRPr="003D62DC">
        <w:rPr>
          <w:i/>
        </w:rPr>
        <w:t>SRB</w:t>
      </w:r>
      <w:r>
        <w:t xml:space="preserve"> note on Mt. 4:21, p. 999; Gehenna, </w:t>
      </w:r>
      <w:r w:rsidRPr="003D62DC">
        <w:rPr>
          <w:i/>
        </w:rPr>
        <w:t>SRB</w:t>
      </w:r>
      <w:r>
        <w:t xml:space="preserve"> note on Mt. 5:22, pp. 1000-1001; “perfect”, </w:t>
      </w:r>
      <w:r w:rsidRPr="003D62DC">
        <w:rPr>
          <w:i/>
        </w:rPr>
        <w:t xml:space="preserve">SRB </w:t>
      </w:r>
      <w:r>
        <w:t xml:space="preserve">note on Mt. 5:48, p. 1001; demons, </w:t>
      </w:r>
      <w:r w:rsidRPr="00BF48D9">
        <w:rPr>
          <w:i/>
        </w:rPr>
        <w:t>SRB</w:t>
      </w:r>
      <w:r>
        <w:t xml:space="preserve"> note on Mt. 7:22, p. 1004; apostles, </w:t>
      </w:r>
      <w:r w:rsidRPr="00BF48D9">
        <w:rPr>
          <w:i/>
        </w:rPr>
        <w:t>SRB</w:t>
      </w:r>
      <w:r>
        <w:t xml:space="preserve"> note on Mt. 10:2, p. 1008; peace, </w:t>
      </w:r>
      <w:r w:rsidRPr="00BF48D9">
        <w:rPr>
          <w:i/>
        </w:rPr>
        <w:t>SRB</w:t>
      </w:r>
      <w:r>
        <w:t xml:space="preserve"> note on Mt. 10:34, p. 1009; the Sabbath, </w:t>
      </w:r>
      <w:r w:rsidRPr="00BF48D9">
        <w:rPr>
          <w:i/>
        </w:rPr>
        <w:t>SRB</w:t>
      </w:r>
      <w:r>
        <w:t xml:space="preserve"> note on Mt. 12:1, pp. 1011-12; lawyers and scribes, </w:t>
      </w:r>
      <w:r w:rsidRPr="00BF48D9">
        <w:rPr>
          <w:i/>
        </w:rPr>
        <w:t>SRB</w:t>
      </w:r>
      <w:r>
        <w:t xml:space="preserve"> note on Mt. 22:35, p. 1031; the meaning of ‘dismissed His spirit’, </w:t>
      </w:r>
      <w:r w:rsidRPr="00BF48D9">
        <w:rPr>
          <w:i/>
        </w:rPr>
        <w:t>SRB</w:t>
      </w:r>
      <w:r>
        <w:t xml:space="preserve"> note on Mt. 27:50, p. 1042.</w:t>
      </w:r>
    </w:p>
  </w:endnote>
  <w:endnote w:id="2857">
    <w:p w:rsidR="00975183" w:rsidRPr="00737FE8" w:rsidRDefault="00975183" w:rsidP="006A2E06">
      <w:pPr>
        <w:pStyle w:val="EndnoteText"/>
      </w:pPr>
      <w:r w:rsidRPr="00737FE8">
        <w:rPr>
          <w:rStyle w:val="EndnoteReference"/>
        </w:rPr>
        <w:endnoteRef/>
      </w:r>
      <w:r w:rsidRPr="00737FE8">
        <w:t xml:space="preserve"> </w:t>
      </w:r>
      <w:r w:rsidRPr="003A4080">
        <w:rPr>
          <w:b/>
        </w:rPr>
        <w:t>See 2.</w:t>
      </w:r>
      <w:r>
        <w:rPr>
          <w:b/>
        </w:rPr>
        <w:t>4</w:t>
      </w:r>
      <w:r>
        <w:t xml:space="preserve">.  </w:t>
      </w:r>
      <w:proofErr w:type="gramStart"/>
      <w:r>
        <w:t>For example the note on Mt. 7:22 on demons and that on Mt. 8:2 on ‘the use of “Lord”’.</w:t>
      </w:r>
      <w:proofErr w:type="gramEnd"/>
    </w:p>
  </w:endnote>
  <w:endnote w:id="2858">
    <w:p w:rsidR="00975183" w:rsidRDefault="00975183" w:rsidP="006A2E06">
      <w:pPr>
        <w:pStyle w:val="EndnoteText"/>
      </w:pPr>
      <w:r w:rsidRPr="005065E0">
        <w:rPr>
          <w:rStyle w:val="EndnoteReference"/>
        </w:rPr>
        <w:endnoteRef/>
      </w:r>
      <w:r w:rsidRPr="005065E0">
        <w:t xml:space="preserve"> </w:t>
      </w:r>
      <w:r w:rsidRPr="00BF48D9">
        <w:rPr>
          <w:i/>
        </w:rPr>
        <w:t>SRB</w:t>
      </w:r>
      <w:r>
        <w:t xml:space="preserve"> note on Mt. 2:4, p. 995.  </w:t>
      </w:r>
    </w:p>
  </w:endnote>
  <w:endnote w:id="2859">
    <w:p w:rsidR="00975183" w:rsidRDefault="00975183" w:rsidP="006A2E06">
      <w:pPr>
        <w:pStyle w:val="EndnoteText"/>
      </w:pPr>
      <w:r w:rsidRPr="007F0CD9">
        <w:rPr>
          <w:rStyle w:val="EndnoteReference"/>
        </w:rPr>
        <w:endnoteRef/>
      </w:r>
      <w:r w:rsidRPr="007F0CD9">
        <w:t xml:space="preserve"> </w:t>
      </w:r>
      <w:r w:rsidRPr="007F0CD9">
        <w:rPr>
          <w:rStyle w:val="sources"/>
        </w:rPr>
        <w:t xml:space="preserve">Joseph,Telushkin, </w:t>
      </w:r>
      <w:r w:rsidRPr="007F0CD9">
        <w:rPr>
          <w:rStyle w:val="sources"/>
          <w:i/>
        </w:rPr>
        <w:t>Jewish Literacy: The Most Important Things to Know About the Jewish Religion, Its People and Its History</w:t>
      </w:r>
      <w:r w:rsidRPr="007F0CD9">
        <w:rPr>
          <w:rStyle w:val="sources"/>
        </w:rPr>
        <w:t>, (New York: William Morrow and Co., 1991), quoted by permission of the author in ‘Judaism: The Oral Law: Talmud and Mishnah’, Jewish Virtual Library &lt;http://www.jewishvirtuallibrary.org/jsource/Judaism/talmud_&amp;_mishna.html &gt; [accessed 3.5.11].</w:t>
      </w:r>
    </w:p>
  </w:endnote>
  <w:endnote w:id="2860">
    <w:p w:rsidR="00975183" w:rsidRPr="002C6F43" w:rsidRDefault="00975183" w:rsidP="006A2E06">
      <w:pPr>
        <w:pStyle w:val="EndnoteText"/>
      </w:pPr>
      <w:r w:rsidRPr="002C6F43">
        <w:rPr>
          <w:rStyle w:val="EndnoteReference"/>
        </w:rPr>
        <w:endnoteRef/>
      </w:r>
      <w:r w:rsidRPr="002C6F43">
        <w:t xml:space="preserve"> </w:t>
      </w:r>
      <w:proofErr w:type="gramStart"/>
      <w:r w:rsidRPr="002C6F43">
        <w:rPr>
          <w:i/>
        </w:rPr>
        <w:t>SRB</w:t>
      </w:r>
      <w:r>
        <w:t>, p. iii.</w:t>
      </w:r>
      <w:proofErr w:type="gramEnd"/>
    </w:p>
  </w:endnote>
  <w:endnote w:id="2861">
    <w:p w:rsidR="00975183" w:rsidRDefault="00975183" w:rsidP="006A2E06">
      <w:pPr>
        <w:pStyle w:val="EndnoteText"/>
      </w:pPr>
      <w:r w:rsidRPr="00C66D66">
        <w:rPr>
          <w:rStyle w:val="EndnoteReference"/>
        </w:rPr>
        <w:endnoteRef/>
      </w:r>
      <w:r w:rsidRPr="00C66D66">
        <w:t xml:space="preserve"> </w:t>
      </w:r>
      <w:r w:rsidRPr="003A4080">
        <w:rPr>
          <w:b/>
        </w:rPr>
        <w:t>See 2.</w:t>
      </w:r>
      <w:r>
        <w:rPr>
          <w:b/>
        </w:rPr>
        <w:t>4</w:t>
      </w:r>
      <w:r w:rsidRPr="003A4080">
        <w:t>.</w:t>
      </w:r>
    </w:p>
  </w:endnote>
  <w:endnote w:id="2862">
    <w:p w:rsidR="00975183" w:rsidRPr="00AD1A27" w:rsidRDefault="00975183" w:rsidP="006A2E06">
      <w:pPr>
        <w:pStyle w:val="EndnoteText"/>
      </w:pPr>
      <w:r w:rsidRPr="00AD1A27">
        <w:rPr>
          <w:rStyle w:val="EndnoteReference"/>
        </w:rPr>
        <w:endnoteRef/>
      </w:r>
      <w:r w:rsidRPr="00AD1A27">
        <w:t xml:space="preserve"> </w:t>
      </w:r>
      <w:proofErr w:type="gramStart"/>
      <w:r w:rsidRPr="00AD1A27">
        <w:t>Telushkin.</w:t>
      </w:r>
      <w:proofErr w:type="gramEnd"/>
      <w:r w:rsidRPr="00AD1A27">
        <w:rPr>
          <w:sz w:val="18"/>
          <w:szCs w:val="18"/>
        </w:rPr>
        <w:t xml:space="preserve"> </w:t>
      </w:r>
      <w:hyperlink r:id="rId1" w:tgtFrame="_blank" w:history="1">
        <w:r w:rsidRPr="00AD1A27">
          <w:rPr>
            <w:rStyle w:val="Emphasis"/>
            <w:color w:val="000000"/>
          </w:rPr>
          <w:t>Jewish Literacy</w:t>
        </w:r>
      </w:hyperlink>
      <w:r>
        <w:rPr>
          <w:rStyle w:val="Emphasis"/>
          <w:color w:val="000000"/>
        </w:rPr>
        <w:t xml:space="preserve"> </w:t>
      </w:r>
      <w:r w:rsidRPr="00AD1A27">
        <w:rPr>
          <w:i/>
        </w:rPr>
        <w:t>&lt;</w:t>
      </w:r>
      <w:r w:rsidRPr="00AD1A27">
        <w:t>http://www.jewishvirtuallibrary.org/jsource/Judaism/talmud_and_mishna.html</w:t>
      </w:r>
      <w:r w:rsidRPr="00AD1A27">
        <w:rPr>
          <w:i/>
        </w:rPr>
        <w:t>&gt;</w:t>
      </w:r>
      <w:r w:rsidRPr="00AD1A27">
        <w:rPr>
          <w:sz w:val="18"/>
          <w:szCs w:val="18"/>
        </w:rPr>
        <w:t xml:space="preserve"> </w:t>
      </w:r>
      <w:r>
        <w:t>[accessed 3.5.11]</w:t>
      </w:r>
      <w:r w:rsidRPr="00AD1A27">
        <w:t>.</w:t>
      </w:r>
    </w:p>
    <w:p w:rsidR="00975183" w:rsidRPr="00AD1A27" w:rsidRDefault="00975183" w:rsidP="006A2E06">
      <w:pPr>
        <w:pStyle w:val="EndnoteText"/>
      </w:pPr>
      <w:r w:rsidRPr="00AD1A27">
        <w:t xml:space="preserve">Although the document ‘Talmud/Mishna/Gemara’ is no longer available online, I have a copy of it on my computer.  </w:t>
      </w:r>
      <w:r>
        <w:t>Its contents are corroborated</w:t>
      </w:r>
      <w:r w:rsidRPr="00AD1A27">
        <w:t xml:space="preserve"> by an entry at reformjudaism.org.  </w:t>
      </w:r>
      <w:proofErr w:type="gramStart"/>
      <w:r w:rsidRPr="00AD1A27">
        <w:t>‘The Talmud’ &lt;http://www.reformjudaism.org/talmud#sthash.mPmsNVtr.dpuf&gt; [accessed 14.5.16].</w:t>
      </w:r>
      <w:proofErr w:type="gramEnd"/>
    </w:p>
  </w:endnote>
  <w:endnote w:id="2863">
    <w:p w:rsidR="00975183" w:rsidRDefault="00975183" w:rsidP="006A2E06">
      <w:pPr>
        <w:pStyle w:val="EndnoteText"/>
      </w:pPr>
      <w:r w:rsidRPr="00AD1A27">
        <w:rPr>
          <w:rStyle w:val="EndnoteReference"/>
        </w:rPr>
        <w:endnoteRef/>
      </w:r>
      <w:r w:rsidRPr="00AD1A27">
        <w:t xml:space="preserve"> </w:t>
      </w:r>
      <w:r w:rsidRPr="00A7093D">
        <w:rPr>
          <w:color w:val="000000"/>
        </w:rPr>
        <w:t xml:space="preserve">Source: </w:t>
      </w:r>
      <w:hyperlink r:id="rId2" w:tgtFrame="_blank" w:tooltip="http://www.encyclopaediajudaica.com/" w:history="1">
        <w:r w:rsidRPr="00531DEC">
          <w:rPr>
            <w:rStyle w:val="Hyperlink"/>
            <w:color w:val="000000"/>
          </w:rPr>
          <w:t>Encyclopaedia Judaica</w:t>
        </w:r>
      </w:hyperlink>
      <w:r w:rsidRPr="00A7093D">
        <w:rPr>
          <w:color w:val="000000"/>
        </w:rPr>
        <w:t xml:space="preserve">. </w:t>
      </w:r>
      <w:proofErr w:type="gramStart"/>
      <w:r w:rsidRPr="00A7093D">
        <w:rPr>
          <w:color w:val="000000"/>
        </w:rPr>
        <w:t>© 2008 The Gale Group.</w:t>
      </w:r>
      <w:proofErr w:type="gramEnd"/>
      <w:r w:rsidRPr="00A7093D">
        <w:rPr>
          <w:color w:val="000000"/>
        </w:rPr>
        <w:t xml:space="preserve"> All Rights Reserved.</w:t>
      </w:r>
      <w:r>
        <w:rPr>
          <w:color w:val="000000"/>
        </w:rPr>
        <w:t xml:space="preserve"> </w:t>
      </w:r>
      <w:r w:rsidRPr="00A7093D">
        <w:t xml:space="preserve">&lt;http://www.jewishvirtuallibrary.org/jsource/judaica/ejud_0002_0011_0_10514.html&gt; [accessed 5.5.11].  </w:t>
      </w:r>
    </w:p>
  </w:endnote>
  <w:endnote w:id="2864">
    <w:p w:rsidR="00975183" w:rsidRDefault="00975183" w:rsidP="006A2E06">
      <w:pPr>
        <w:pStyle w:val="EndnoteText"/>
      </w:pPr>
      <w:r w:rsidRPr="00B16766">
        <w:rPr>
          <w:rStyle w:val="EndnoteReference"/>
        </w:rPr>
        <w:endnoteRef/>
      </w:r>
      <w:r w:rsidRPr="00B16766">
        <w:t xml:space="preserve"> </w:t>
      </w:r>
      <w:r>
        <w:t>For my definitions of ‘</w:t>
      </w:r>
      <w:r w:rsidRPr="00B16766">
        <w:rPr>
          <w:i/>
        </w:rPr>
        <w:t>excursus</w:t>
      </w:r>
      <w:r>
        <w:t xml:space="preserve">’ and ‘discourse’, see Introduction, d) </w:t>
      </w:r>
      <w:r w:rsidRPr="00B16766">
        <w:rPr>
          <w:color w:val="000000"/>
        </w:rPr>
        <w:t xml:space="preserve">Themes in Notes in the </w:t>
      </w:r>
      <w:r w:rsidRPr="00B16766">
        <w:rPr>
          <w:i/>
          <w:color w:val="000000"/>
        </w:rPr>
        <w:t>Scofield Reference Bible</w:t>
      </w:r>
      <w:r>
        <w:rPr>
          <w:i/>
          <w:color w:val="000000"/>
        </w:rPr>
        <w:t>.</w:t>
      </w:r>
    </w:p>
  </w:endnote>
  <w:endnote w:id="2865">
    <w:p w:rsidR="00975183" w:rsidRDefault="00975183" w:rsidP="006A2E06">
      <w:pPr>
        <w:spacing w:after="0" w:line="240" w:lineRule="auto"/>
      </w:pPr>
      <w:r w:rsidRPr="00CD307C">
        <w:rPr>
          <w:rStyle w:val="EndnoteReference"/>
        </w:rPr>
        <w:endnoteRef/>
      </w:r>
      <w:r w:rsidRPr="00CD307C">
        <w:t xml:space="preserve"> </w:t>
      </w:r>
      <w:r>
        <w:t>1)  T</w:t>
      </w:r>
      <w:r w:rsidRPr="00FC2A17">
        <w:t xml:space="preserve">he </w:t>
      </w:r>
      <w:r>
        <w:t xml:space="preserve">mystery of the </w:t>
      </w:r>
      <w:r w:rsidRPr="00FC2A17">
        <w:t>kingdom of heaven (Mt 13:3-50)</w:t>
      </w:r>
      <w:r>
        <w:t xml:space="preserve">; </w:t>
      </w:r>
    </w:p>
    <w:p w:rsidR="00975183" w:rsidRDefault="00975183" w:rsidP="006A2E06">
      <w:pPr>
        <w:spacing w:after="0" w:line="240" w:lineRule="auto"/>
      </w:pPr>
      <w:r>
        <w:t>2) T</w:t>
      </w:r>
      <w:r w:rsidRPr="00FC2A17">
        <w:t xml:space="preserve">he </w:t>
      </w:r>
      <w:r>
        <w:t>mystery of I</w:t>
      </w:r>
      <w:r w:rsidRPr="00FC2A17">
        <w:t>srael’s blindness during this age (Rom. 11:25)</w:t>
      </w:r>
      <w:r>
        <w:t xml:space="preserve">; </w:t>
      </w:r>
    </w:p>
    <w:p w:rsidR="00975183" w:rsidRDefault="00975183" w:rsidP="006A2E06">
      <w:pPr>
        <w:spacing w:after="0" w:line="240" w:lineRule="auto"/>
      </w:pPr>
      <w:r>
        <w:t>3) T</w:t>
      </w:r>
      <w:r w:rsidRPr="00FC2A17">
        <w:t xml:space="preserve">he </w:t>
      </w:r>
      <w:r>
        <w:t xml:space="preserve">mystery of </w:t>
      </w:r>
      <w:r w:rsidRPr="00FC2A17">
        <w:t>the translation of living saints at end of this age (1 Cor. 15:51, 52; 1 Thess. 4:14-17)</w:t>
      </w:r>
      <w:r>
        <w:t xml:space="preserve">; </w:t>
      </w:r>
    </w:p>
    <w:p w:rsidR="00975183" w:rsidRDefault="00975183" w:rsidP="006A2E06">
      <w:pPr>
        <w:spacing w:after="0" w:line="240" w:lineRule="auto"/>
      </w:pPr>
      <w:r>
        <w:t>4)  T</w:t>
      </w:r>
      <w:r w:rsidRPr="00FC2A17">
        <w:t xml:space="preserve">he </w:t>
      </w:r>
      <w:r>
        <w:t xml:space="preserve">mystery of </w:t>
      </w:r>
      <w:r w:rsidRPr="00FC2A17">
        <w:t>the New Testament church as one body composed of Jew and Gentile (Eph. 3:1-11; Rom. 16:25; Eph 6:19; Col. 4:3)</w:t>
      </w:r>
      <w:r>
        <w:t xml:space="preserve">; </w:t>
      </w:r>
    </w:p>
    <w:p w:rsidR="00975183" w:rsidRDefault="00975183" w:rsidP="006A2E06">
      <w:pPr>
        <w:spacing w:after="0" w:line="240" w:lineRule="auto"/>
      </w:pPr>
      <w:r>
        <w:t>5)  T</w:t>
      </w:r>
      <w:r w:rsidRPr="00FC2A17">
        <w:t xml:space="preserve">he </w:t>
      </w:r>
      <w:r>
        <w:t xml:space="preserve">mystery of </w:t>
      </w:r>
      <w:r w:rsidRPr="00FC2A17">
        <w:t>the church as the bride of Christ (Eph. 5:28-32)</w:t>
      </w:r>
      <w:r>
        <w:t xml:space="preserve">; </w:t>
      </w:r>
    </w:p>
    <w:p w:rsidR="00975183" w:rsidRDefault="00975183" w:rsidP="006A2E06">
      <w:pPr>
        <w:spacing w:after="0" w:line="240" w:lineRule="auto"/>
      </w:pPr>
      <w:r>
        <w:t>6)  T</w:t>
      </w:r>
      <w:r w:rsidRPr="00FC2A17">
        <w:t xml:space="preserve">he </w:t>
      </w:r>
      <w:r>
        <w:t xml:space="preserve">mystery of the inliving Christ (Gal. 2:20; Col. 1:26-7); </w:t>
      </w:r>
    </w:p>
    <w:p w:rsidR="00975183" w:rsidRDefault="00975183" w:rsidP="006A2E06">
      <w:pPr>
        <w:spacing w:after="0" w:line="240" w:lineRule="auto"/>
      </w:pPr>
      <w:r>
        <w:t>7)  ‘T</w:t>
      </w:r>
      <w:r w:rsidRPr="00FC2A17">
        <w:t xml:space="preserve">he </w:t>
      </w:r>
      <w:r>
        <w:t xml:space="preserve">“mystery of God even Christ”’ i.e. Christ as the incarnate fullness of the Godhead embodied, in whom all the divine wisdom for man subsists (Col. 2:2, 9; 1 Cor. 2:7); </w:t>
      </w:r>
    </w:p>
    <w:p w:rsidR="00975183" w:rsidRDefault="00975183" w:rsidP="006A2E06">
      <w:pPr>
        <w:spacing w:after="0" w:line="240" w:lineRule="auto"/>
      </w:pPr>
      <w:r>
        <w:t>8)  T</w:t>
      </w:r>
      <w:r w:rsidRPr="00FC2A17">
        <w:t xml:space="preserve">he </w:t>
      </w:r>
      <w:r>
        <w:t xml:space="preserve">mystery of the processes by which godlikeness is restored to man (1 Tim. 3:16); </w:t>
      </w:r>
    </w:p>
    <w:p w:rsidR="00975183" w:rsidRDefault="00975183" w:rsidP="006A2E06">
      <w:pPr>
        <w:spacing w:after="0" w:line="240" w:lineRule="auto"/>
      </w:pPr>
      <w:r>
        <w:t>9)  T</w:t>
      </w:r>
      <w:r w:rsidRPr="00FC2A17">
        <w:t xml:space="preserve">he </w:t>
      </w:r>
      <w:r>
        <w:t xml:space="preserve">mystery of iniquity (2 Thess. 2:7; Mt. 13:33); </w:t>
      </w:r>
    </w:p>
    <w:p w:rsidR="00975183" w:rsidRPr="00CD307C" w:rsidRDefault="00975183" w:rsidP="006A2E06">
      <w:pPr>
        <w:spacing w:after="0" w:line="240" w:lineRule="auto"/>
      </w:pPr>
      <w:r>
        <w:t>10</w:t>
      </w:r>
      <w:proofErr w:type="gramStart"/>
      <w:r>
        <w:t>)  T</w:t>
      </w:r>
      <w:r w:rsidRPr="00FC2A17">
        <w:t>he</w:t>
      </w:r>
      <w:proofErr w:type="gramEnd"/>
      <w:r w:rsidRPr="00FC2A17">
        <w:t xml:space="preserve"> </w:t>
      </w:r>
      <w:r>
        <w:t>mystery of the seven stars (Rev. 1:20); 11)  T</w:t>
      </w:r>
      <w:r w:rsidRPr="00FC2A17">
        <w:t xml:space="preserve">he </w:t>
      </w:r>
      <w:r>
        <w:t>mystery of Babylon (Rev. 17:5, 7).</w:t>
      </w:r>
    </w:p>
  </w:endnote>
  <w:endnote w:id="2866">
    <w:p w:rsidR="00975183" w:rsidRPr="004B5E02" w:rsidRDefault="00975183" w:rsidP="006A2E06">
      <w:pPr>
        <w:pStyle w:val="EndnoteText"/>
      </w:pPr>
      <w:r w:rsidRPr="004B5E02">
        <w:rPr>
          <w:rStyle w:val="EndnoteReference"/>
        </w:rPr>
        <w:endnoteRef/>
      </w:r>
      <w:r w:rsidRPr="004B5E02">
        <w:t xml:space="preserve"> </w:t>
      </w:r>
      <w:r w:rsidRPr="003A4080">
        <w:rPr>
          <w:b/>
        </w:rPr>
        <w:t>See Case Study, Matthew</w:t>
      </w:r>
      <w:r>
        <w:t>.</w:t>
      </w:r>
    </w:p>
  </w:endnote>
  <w:endnote w:id="2867">
    <w:p w:rsidR="00975183" w:rsidRDefault="00975183" w:rsidP="006A2E06">
      <w:pPr>
        <w:pStyle w:val="EndnoteText"/>
      </w:pPr>
      <w:r w:rsidRPr="00F46290">
        <w:rPr>
          <w:rStyle w:val="EndnoteReference"/>
        </w:rPr>
        <w:endnoteRef/>
      </w:r>
      <w:r w:rsidRPr="00F46290">
        <w:t xml:space="preserve"> </w:t>
      </w:r>
      <w:r>
        <w:t xml:space="preserve">cf </w:t>
      </w:r>
      <w:r w:rsidRPr="00FA6E86">
        <w:rPr>
          <w:i/>
        </w:rPr>
        <w:t>SRB</w:t>
      </w:r>
      <w:r>
        <w:t xml:space="preserve"> notes on </w:t>
      </w:r>
      <w:r w:rsidRPr="00AE70AA">
        <w:t>Lev. 2:1, p. 127;</w:t>
      </w:r>
      <w:r>
        <w:rPr>
          <w:i/>
        </w:rPr>
        <w:t xml:space="preserve"> </w:t>
      </w:r>
      <w:r w:rsidRPr="009212A3">
        <w:t>7:13, p. 134;</w:t>
      </w:r>
      <w:r>
        <w:rPr>
          <w:i/>
        </w:rPr>
        <w:t xml:space="preserve"> </w:t>
      </w:r>
      <w:r w:rsidRPr="00575D92">
        <w:t>23:6, p.</w:t>
      </w:r>
      <w:r w:rsidRPr="008D042A">
        <w:t xml:space="preserve"> 156; </w:t>
      </w:r>
      <w:r>
        <w:t>23:17, p. 157.</w:t>
      </w:r>
    </w:p>
  </w:endnote>
  <w:endnote w:id="2868">
    <w:p w:rsidR="00975183" w:rsidRDefault="00975183" w:rsidP="006A2E06">
      <w:pPr>
        <w:pStyle w:val="EndnoteText"/>
      </w:pPr>
      <w:r w:rsidRPr="004B5E02">
        <w:rPr>
          <w:rStyle w:val="EndnoteReference"/>
        </w:rPr>
        <w:endnoteRef/>
      </w:r>
      <w:r w:rsidRPr="004B5E02">
        <w:t xml:space="preserve"> </w:t>
      </w:r>
      <w:proofErr w:type="gramStart"/>
      <w:r w:rsidRPr="005B3A8C">
        <w:rPr>
          <w:b/>
        </w:rPr>
        <w:t>See 6.1.1</w:t>
      </w:r>
      <w:r>
        <w:t>.</w:t>
      </w:r>
      <w:proofErr w:type="gramEnd"/>
    </w:p>
  </w:endnote>
  <w:endnote w:id="2869">
    <w:p w:rsidR="00975183" w:rsidRPr="004B5E02" w:rsidRDefault="00975183" w:rsidP="006A2E06">
      <w:pPr>
        <w:pStyle w:val="EndnoteText"/>
      </w:pPr>
      <w:r w:rsidRPr="004B5E02">
        <w:rPr>
          <w:rStyle w:val="EndnoteReference"/>
        </w:rPr>
        <w:endnoteRef/>
      </w:r>
      <w:r w:rsidRPr="004B5E02">
        <w:t xml:space="preserve"> </w:t>
      </w:r>
      <w:r>
        <w:t>1 Cor. 2:7.</w:t>
      </w:r>
    </w:p>
  </w:endnote>
  <w:endnote w:id="2870">
    <w:p w:rsidR="00975183" w:rsidRDefault="00975183" w:rsidP="006A2E06">
      <w:pPr>
        <w:pStyle w:val="EndnoteText"/>
      </w:pPr>
      <w:r w:rsidRPr="004B5E02">
        <w:rPr>
          <w:rStyle w:val="EndnoteReference"/>
        </w:rPr>
        <w:endnoteRef/>
      </w:r>
      <w:r w:rsidRPr="004B5E02">
        <w:t xml:space="preserve"> </w:t>
      </w:r>
      <w:r>
        <w:t>Eph. 1:9.</w:t>
      </w:r>
    </w:p>
  </w:endnote>
  <w:endnote w:id="2871">
    <w:p w:rsidR="00975183" w:rsidRDefault="00975183" w:rsidP="006A2E06">
      <w:pPr>
        <w:pStyle w:val="EndnoteText"/>
      </w:pPr>
      <w:r w:rsidRPr="004B5E02">
        <w:rPr>
          <w:rStyle w:val="EndnoteReference"/>
        </w:rPr>
        <w:endnoteRef/>
      </w:r>
      <w:r w:rsidRPr="004B5E02">
        <w:t xml:space="preserve"> </w:t>
      </w:r>
      <w:r>
        <w:t>Eph. 6:19.</w:t>
      </w:r>
    </w:p>
  </w:endnote>
  <w:endnote w:id="2872">
    <w:p w:rsidR="00975183" w:rsidRDefault="00975183" w:rsidP="006A2E06">
      <w:pPr>
        <w:pStyle w:val="EndnoteText"/>
      </w:pPr>
      <w:r w:rsidRPr="004B5E02">
        <w:rPr>
          <w:rStyle w:val="EndnoteReference"/>
        </w:rPr>
        <w:endnoteRef/>
      </w:r>
      <w:r w:rsidRPr="004B5E02">
        <w:t xml:space="preserve"> </w:t>
      </w:r>
      <w:r>
        <w:t>1 Tim. 3:9.</w:t>
      </w:r>
    </w:p>
  </w:endnote>
  <w:endnote w:id="2873">
    <w:p w:rsidR="00975183" w:rsidRDefault="00975183" w:rsidP="006A2E06">
      <w:pPr>
        <w:pStyle w:val="EndnoteText"/>
      </w:pPr>
      <w:r w:rsidRPr="004B5E02">
        <w:rPr>
          <w:rStyle w:val="EndnoteReference"/>
        </w:rPr>
        <w:endnoteRef/>
      </w:r>
      <w:r w:rsidRPr="004B5E02">
        <w:t xml:space="preserve"> </w:t>
      </w:r>
      <w:r>
        <w:t>Rev. 1:20.</w:t>
      </w:r>
    </w:p>
  </w:endnote>
  <w:endnote w:id="2874">
    <w:p w:rsidR="00975183" w:rsidRDefault="00975183" w:rsidP="006A2E06">
      <w:pPr>
        <w:pStyle w:val="EndnoteText"/>
      </w:pPr>
      <w:r w:rsidRPr="004B5E02">
        <w:rPr>
          <w:rStyle w:val="EndnoteReference"/>
        </w:rPr>
        <w:endnoteRef/>
      </w:r>
      <w:r w:rsidRPr="004B5E02">
        <w:t xml:space="preserve"> </w:t>
      </w:r>
      <w:r>
        <w:t>Rev. 10:7.</w:t>
      </w:r>
    </w:p>
  </w:endnote>
  <w:endnote w:id="2875">
    <w:p w:rsidR="00975183" w:rsidRDefault="00975183" w:rsidP="006A2E06">
      <w:pPr>
        <w:pStyle w:val="EndnoteText"/>
      </w:pPr>
      <w:r w:rsidRPr="004B5E02">
        <w:rPr>
          <w:rStyle w:val="EndnoteReference"/>
        </w:rPr>
        <w:endnoteRef/>
      </w:r>
      <w:r w:rsidRPr="004B5E02">
        <w:t xml:space="preserve"> </w:t>
      </w:r>
      <w:r>
        <w:t>Eph. 3:4.</w:t>
      </w:r>
    </w:p>
  </w:endnote>
  <w:endnote w:id="2876">
    <w:p w:rsidR="00975183" w:rsidRPr="00396A77" w:rsidRDefault="00975183" w:rsidP="006A2E06">
      <w:pPr>
        <w:pStyle w:val="EndnoteText"/>
      </w:pPr>
      <w:r w:rsidRPr="00396A77">
        <w:rPr>
          <w:rStyle w:val="EndnoteReference"/>
        </w:rPr>
        <w:endnoteRef/>
      </w:r>
      <w:r w:rsidRPr="00396A77">
        <w:t xml:space="preserve"> </w:t>
      </w:r>
      <w:r>
        <w:t xml:space="preserve">cf </w:t>
      </w:r>
      <w:r w:rsidRPr="00396A77">
        <w:rPr>
          <w:i/>
        </w:rPr>
        <w:t>SRB</w:t>
      </w:r>
      <w:r>
        <w:t xml:space="preserve"> notes on Mt. 10:2, p. 1008; Mt. 16:18, p. 1021.</w:t>
      </w:r>
    </w:p>
  </w:endnote>
  <w:endnote w:id="2877">
    <w:p w:rsidR="00975183" w:rsidRPr="000D402D" w:rsidRDefault="00975183" w:rsidP="006A2E06">
      <w:pPr>
        <w:spacing w:after="0" w:line="240" w:lineRule="auto"/>
        <w:rPr>
          <w:sz w:val="20"/>
          <w:szCs w:val="20"/>
        </w:rPr>
      </w:pPr>
      <w:r w:rsidRPr="00396A77">
        <w:rPr>
          <w:rStyle w:val="EndnoteReference"/>
        </w:rPr>
        <w:endnoteRef/>
      </w:r>
      <w:r w:rsidRPr="00396A77">
        <w:t xml:space="preserve"> </w:t>
      </w:r>
      <w:r w:rsidRPr="000D402D">
        <w:rPr>
          <w:sz w:val="20"/>
          <w:szCs w:val="20"/>
        </w:rPr>
        <w:t xml:space="preserve">cf </w:t>
      </w:r>
      <w:r w:rsidRPr="000D402D">
        <w:rPr>
          <w:i/>
          <w:sz w:val="20"/>
          <w:szCs w:val="20"/>
        </w:rPr>
        <w:t>SRB</w:t>
      </w:r>
      <w:r w:rsidRPr="000D402D">
        <w:rPr>
          <w:sz w:val="20"/>
          <w:szCs w:val="20"/>
        </w:rPr>
        <w:t xml:space="preserve"> note on Gen. 11:1, p. 18, where Scofield refers to the Papacy as the culminating feature of ‘ambition </w:t>
      </w:r>
    </w:p>
    <w:p w:rsidR="00975183" w:rsidRPr="000D402D" w:rsidRDefault="00975183" w:rsidP="006A2E06">
      <w:pPr>
        <w:spacing w:after="0" w:line="240" w:lineRule="auto"/>
        <w:rPr>
          <w:sz w:val="20"/>
          <w:szCs w:val="20"/>
        </w:rPr>
      </w:pPr>
      <w:r w:rsidRPr="000D402D">
        <w:rPr>
          <w:sz w:val="20"/>
          <w:szCs w:val="20"/>
        </w:rPr>
        <w:t xml:space="preserve">(Gen 11:4), using worldly, not spiritual, means (Gen 11:3), ending in a manmade unity – the papacy’; </w:t>
      </w:r>
      <w:r w:rsidRPr="000D402D">
        <w:rPr>
          <w:i/>
          <w:sz w:val="20"/>
          <w:szCs w:val="20"/>
        </w:rPr>
        <w:t>SRB</w:t>
      </w:r>
      <w:r w:rsidRPr="000D402D">
        <w:rPr>
          <w:sz w:val="20"/>
          <w:szCs w:val="20"/>
        </w:rPr>
        <w:t xml:space="preserve"> note on Rev. 1:20, p. 1332, where ‘Thyatira is the Papacy’ and ‘as Jezebel brought idolatry into Israel, so Romanism weds Christian doctrine to pagan ceremonies’; </w:t>
      </w:r>
      <w:r w:rsidRPr="000D402D">
        <w:rPr>
          <w:i/>
          <w:sz w:val="20"/>
          <w:szCs w:val="20"/>
        </w:rPr>
        <w:t>SRB</w:t>
      </w:r>
      <w:r w:rsidRPr="000D402D">
        <w:rPr>
          <w:sz w:val="20"/>
          <w:szCs w:val="20"/>
        </w:rPr>
        <w:t xml:space="preserve"> note on Rev. 18:2, p. 1346, where ‘apostate Christendom’ is ‘headed up under the Papacy’.  ‘Confusion of tongues (Gen 11:7) — Protestantism, with its innumerable sects See Isa 13:1 note.’</w:t>
      </w:r>
    </w:p>
  </w:endnote>
  <w:endnote w:id="2878">
    <w:p w:rsidR="00975183" w:rsidRDefault="00975183" w:rsidP="006A2E06">
      <w:pPr>
        <w:pStyle w:val="EndnoteText"/>
      </w:pPr>
      <w:r w:rsidRPr="00547912">
        <w:rPr>
          <w:rStyle w:val="EndnoteReference"/>
        </w:rPr>
        <w:endnoteRef/>
      </w:r>
      <w:r w:rsidRPr="00547912">
        <w:t xml:space="preserve"> </w:t>
      </w:r>
      <w:r w:rsidRPr="00547912">
        <w:rPr>
          <w:i/>
        </w:rPr>
        <w:t>SRB</w:t>
      </w:r>
      <w:r w:rsidRPr="00547912">
        <w:t xml:space="preserve"> note on Mt.</w:t>
      </w:r>
      <w:r>
        <w:t xml:space="preserve"> 16:18, p. 1021.</w:t>
      </w:r>
    </w:p>
  </w:endnote>
  <w:endnote w:id="2879">
    <w:p w:rsidR="00975183" w:rsidRPr="00547912" w:rsidRDefault="00975183" w:rsidP="006A2E06">
      <w:pPr>
        <w:pStyle w:val="EndnoteText"/>
      </w:pPr>
      <w:r w:rsidRPr="00547912">
        <w:rPr>
          <w:rStyle w:val="EndnoteReference"/>
        </w:rPr>
        <w:endnoteRef/>
      </w:r>
      <w:r w:rsidRPr="00547912">
        <w:t xml:space="preserve"> </w:t>
      </w:r>
      <w:r w:rsidRPr="00547912">
        <w:rPr>
          <w:i/>
        </w:rPr>
        <w:t>SRB</w:t>
      </w:r>
      <w:r w:rsidRPr="00547912">
        <w:t xml:space="preserve"> note on Mt. 23:34, p. 1034.</w:t>
      </w:r>
    </w:p>
  </w:endnote>
  <w:endnote w:id="288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Mt. 9:1-8, the healing of the man sick of palsy, whose sins are forgiven. </w:t>
      </w:r>
    </w:p>
    <w:p w:rsidR="00975183" w:rsidRPr="006329CD" w:rsidRDefault="00975183" w:rsidP="006A2E06">
      <w:pPr>
        <w:pStyle w:val="EndnoteText"/>
        <w:rPr>
          <w:szCs w:val="18"/>
        </w:rPr>
      </w:pPr>
      <w:r w:rsidRPr="006329CD">
        <w:rPr>
          <w:szCs w:val="18"/>
        </w:rPr>
        <w:t xml:space="preserve">Mt. 9:10-13, Jesus answers the Pharisees by emphasising to them the need of the sick for a physician and his calling to bring sinners to repentance, quoting from Hos. 6:6, another verse upon which Scofield does not comment.  </w:t>
      </w:r>
    </w:p>
    <w:p w:rsidR="00975183" w:rsidRPr="006329CD" w:rsidRDefault="00975183" w:rsidP="006A2E06">
      <w:pPr>
        <w:pStyle w:val="EndnoteText"/>
        <w:rPr>
          <w:szCs w:val="18"/>
        </w:rPr>
      </w:pPr>
      <w:r w:rsidRPr="006329CD">
        <w:rPr>
          <w:szCs w:val="18"/>
        </w:rPr>
        <w:t xml:space="preserve">Mt. 9:16-17, Jesus again emphasises the need for a new approach.  </w:t>
      </w:r>
    </w:p>
    <w:p w:rsidR="00975183" w:rsidRPr="006329CD" w:rsidRDefault="00975183" w:rsidP="006A2E06">
      <w:pPr>
        <w:pStyle w:val="EndnoteText"/>
        <w:rPr>
          <w:szCs w:val="18"/>
        </w:rPr>
      </w:pPr>
      <w:r w:rsidRPr="006329CD">
        <w:rPr>
          <w:szCs w:val="18"/>
        </w:rPr>
        <w:t xml:space="preserve">Mt. 9:18-26, </w:t>
      </w:r>
      <w:r>
        <w:rPr>
          <w:szCs w:val="18"/>
        </w:rPr>
        <w:t>t</w:t>
      </w:r>
      <w:r w:rsidRPr="006329CD">
        <w:rPr>
          <w:szCs w:val="18"/>
        </w:rPr>
        <w:t xml:space="preserve">he healing of the woman with the issue of blood and of Jairus’ daughter. </w:t>
      </w:r>
    </w:p>
    <w:p w:rsidR="00975183" w:rsidRPr="006329CD" w:rsidRDefault="00975183" w:rsidP="006A2E06">
      <w:pPr>
        <w:pStyle w:val="EndnoteText"/>
        <w:rPr>
          <w:szCs w:val="18"/>
        </w:rPr>
      </w:pPr>
      <w:r w:rsidRPr="006329CD">
        <w:rPr>
          <w:szCs w:val="18"/>
        </w:rPr>
        <w:t xml:space="preserve">Mt. 9:27-31, the healing of two blind men. </w:t>
      </w:r>
    </w:p>
    <w:p w:rsidR="00975183" w:rsidRPr="006329CD" w:rsidRDefault="00975183" w:rsidP="006A2E06">
      <w:pPr>
        <w:pStyle w:val="EndnoteText"/>
        <w:rPr>
          <w:szCs w:val="18"/>
        </w:rPr>
      </w:pPr>
      <w:r w:rsidRPr="006329CD">
        <w:rPr>
          <w:szCs w:val="18"/>
        </w:rPr>
        <w:t xml:space="preserve">Mt. 9:32-33, the expulsion of a demon from a dumb man. </w:t>
      </w:r>
    </w:p>
    <w:p w:rsidR="00975183" w:rsidRPr="006329CD" w:rsidRDefault="00975183" w:rsidP="006A2E06">
      <w:pPr>
        <w:pStyle w:val="EndnoteText"/>
        <w:rPr>
          <w:szCs w:val="18"/>
        </w:rPr>
      </w:pPr>
      <w:r w:rsidRPr="006329CD">
        <w:rPr>
          <w:szCs w:val="18"/>
        </w:rPr>
        <w:t xml:space="preserve">Mt. 9:35-8, Jesus’ compassion, healing of many, preaching of the gospel and injunction to the disciples to pray for harvesters to reap the plentiful harvest. </w:t>
      </w:r>
    </w:p>
    <w:p w:rsidR="00975183" w:rsidRPr="006329CD" w:rsidRDefault="00975183" w:rsidP="006A2E06">
      <w:pPr>
        <w:pStyle w:val="EndnoteText"/>
        <w:rPr>
          <w:szCs w:val="18"/>
        </w:rPr>
      </w:pPr>
      <w:r w:rsidRPr="006329CD">
        <w:rPr>
          <w:szCs w:val="18"/>
        </w:rPr>
        <w:t>Mt. 14:1-13, the narration of the death of John the Baptist at the hands of Herod.</w:t>
      </w:r>
    </w:p>
    <w:p w:rsidR="00975183" w:rsidRPr="006329CD" w:rsidRDefault="00975183" w:rsidP="006A2E06">
      <w:pPr>
        <w:pStyle w:val="EndnoteText"/>
        <w:rPr>
          <w:szCs w:val="18"/>
        </w:rPr>
      </w:pPr>
      <w:r w:rsidRPr="006329CD">
        <w:rPr>
          <w:szCs w:val="18"/>
        </w:rPr>
        <w:t xml:space="preserve">Mt. 14:15-21, the feeding of the five thousand. </w:t>
      </w:r>
    </w:p>
    <w:p w:rsidR="00975183" w:rsidRPr="006329CD" w:rsidRDefault="00975183" w:rsidP="006A2E06">
      <w:pPr>
        <w:pStyle w:val="EndnoteText"/>
        <w:rPr>
          <w:szCs w:val="18"/>
        </w:rPr>
      </w:pPr>
      <w:r w:rsidRPr="006329CD">
        <w:rPr>
          <w:szCs w:val="18"/>
        </w:rPr>
        <w:t xml:space="preserve">Mt. 14:22-33, Jesus’ walking on the water.  </w:t>
      </w:r>
    </w:p>
    <w:p w:rsidR="00975183" w:rsidRPr="006329CD" w:rsidRDefault="00975183" w:rsidP="006A2E06">
      <w:pPr>
        <w:pStyle w:val="EndnoteText"/>
        <w:rPr>
          <w:szCs w:val="18"/>
        </w:rPr>
      </w:pPr>
      <w:r w:rsidRPr="006329CD">
        <w:rPr>
          <w:szCs w:val="18"/>
        </w:rPr>
        <w:t xml:space="preserve">Mt. 14:35-6, the coming of multitudes for healing, and their faith.  </w:t>
      </w:r>
    </w:p>
  </w:endnote>
  <w:endnote w:id="2881">
    <w:p w:rsidR="00975183" w:rsidRDefault="00975183" w:rsidP="006A2E06">
      <w:pPr>
        <w:pStyle w:val="EndnoteText"/>
      </w:pPr>
      <w:r w:rsidRPr="001C0261">
        <w:rPr>
          <w:rStyle w:val="FootnoteReference"/>
        </w:rPr>
        <w:endnoteRef/>
      </w:r>
      <w:r w:rsidRPr="001C0261">
        <w:t xml:space="preserve"> </w:t>
      </w:r>
      <w:proofErr w:type="gramStart"/>
      <w:r w:rsidRPr="001C0261">
        <w:rPr>
          <w:i/>
        </w:rPr>
        <w:t>SRB</w:t>
      </w:r>
      <w:r w:rsidRPr="001C0261">
        <w:t xml:space="preserve"> note on Rev. 14:6, p. 1343.</w:t>
      </w:r>
      <w:proofErr w:type="gramEnd"/>
    </w:p>
  </w:endnote>
  <w:endnote w:id="288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Mt. 18:3.</w:t>
      </w:r>
    </w:p>
  </w:endnote>
  <w:endnote w:id="2883">
    <w:p w:rsidR="00975183" w:rsidRPr="008612AC" w:rsidRDefault="00975183" w:rsidP="006A2E06">
      <w:pPr>
        <w:pStyle w:val="EndnoteText"/>
      </w:pPr>
      <w:r w:rsidRPr="008612AC">
        <w:rPr>
          <w:rStyle w:val="EndnoteReference"/>
        </w:rPr>
        <w:endnoteRef/>
      </w:r>
      <w:r w:rsidRPr="008612AC">
        <w:t xml:space="preserve"> Mt. 18:11</w:t>
      </w:r>
      <w:r>
        <w:t>.</w:t>
      </w:r>
    </w:p>
  </w:endnote>
  <w:endnote w:id="2884">
    <w:p w:rsidR="00975183" w:rsidRPr="008612AC" w:rsidRDefault="00975183" w:rsidP="006A2E06">
      <w:pPr>
        <w:pStyle w:val="EndnoteText"/>
      </w:pPr>
      <w:r w:rsidRPr="008612AC">
        <w:rPr>
          <w:rStyle w:val="EndnoteReference"/>
        </w:rPr>
        <w:endnoteRef/>
      </w:r>
      <w:r w:rsidRPr="008612AC">
        <w:t xml:space="preserve"> Mt. 18:1</w:t>
      </w:r>
      <w:r>
        <w:t>4.</w:t>
      </w:r>
    </w:p>
  </w:endnote>
  <w:endnote w:id="2885">
    <w:p w:rsidR="00975183" w:rsidRPr="003526F4" w:rsidRDefault="00975183" w:rsidP="006A2E06">
      <w:pPr>
        <w:pStyle w:val="EndnoteText"/>
      </w:pPr>
      <w:r w:rsidRPr="003526F4">
        <w:rPr>
          <w:rStyle w:val="EndnoteReference"/>
        </w:rPr>
        <w:endnoteRef/>
      </w:r>
      <w:r w:rsidRPr="003526F4">
        <w:t xml:space="preserve"> </w:t>
      </w:r>
      <w:r w:rsidRPr="005D00B9">
        <w:rPr>
          <w:i/>
        </w:rPr>
        <w:t>SRB</w:t>
      </w:r>
      <w:r w:rsidRPr="005D00B9">
        <w:t xml:space="preserve"> Introduction to Mark, p. 1045.</w:t>
      </w:r>
    </w:p>
  </w:endnote>
  <w:endnote w:id="2886">
    <w:p w:rsidR="00975183" w:rsidRDefault="00975183" w:rsidP="006A2E06">
      <w:pPr>
        <w:pStyle w:val="EndnoteText"/>
      </w:pPr>
      <w:r w:rsidRPr="003526F4">
        <w:rPr>
          <w:rStyle w:val="EndnoteReference"/>
        </w:rPr>
        <w:endnoteRef/>
      </w:r>
      <w:r w:rsidRPr="003526F4">
        <w:t xml:space="preserve"> </w:t>
      </w:r>
      <w:r w:rsidRPr="005D00B9">
        <w:t>Ref. Zech. 3:8</w:t>
      </w:r>
      <w:r>
        <w:t>,</w:t>
      </w:r>
      <w:r w:rsidRPr="005D00B9">
        <w:t xml:space="preserve"> as opposed to Matthew’s </w:t>
      </w:r>
      <w:r>
        <w:t>‘</w:t>
      </w:r>
      <w:r w:rsidRPr="005D00B9">
        <w:t>Gospel of the “Branch … unto David” (Jer. 33:15)</w:t>
      </w:r>
      <w:r>
        <w:t>’</w:t>
      </w:r>
      <w:r w:rsidRPr="005D00B9">
        <w:t>.</w:t>
      </w:r>
    </w:p>
  </w:endnote>
  <w:endnote w:id="2887">
    <w:p w:rsidR="00975183" w:rsidRDefault="00975183" w:rsidP="006A2E06">
      <w:pPr>
        <w:pStyle w:val="EndnoteText"/>
      </w:pPr>
      <w:r w:rsidRPr="005D00B9">
        <w:rPr>
          <w:rStyle w:val="FootnoteReference"/>
        </w:rPr>
        <w:endnoteRef/>
      </w:r>
      <w:r w:rsidRPr="005D00B9">
        <w:t xml:space="preserve"> Ref. Mk 1:1.</w:t>
      </w:r>
    </w:p>
  </w:endnote>
  <w:endnote w:id="2888">
    <w:p w:rsidR="00975183" w:rsidRDefault="00975183" w:rsidP="006A2E06">
      <w:pPr>
        <w:pStyle w:val="FootnoteText"/>
        <w:rPr>
          <w:rFonts w:ascii="Perpetua" w:hAnsi="Perpetua"/>
          <w:szCs w:val="18"/>
        </w:rPr>
      </w:pPr>
      <w:r w:rsidRPr="006329CD">
        <w:rPr>
          <w:rStyle w:val="EndnoteReference"/>
          <w:rFonts w:ascii="Perpetua" w:hAnsi="Perpetua"/>
          <w:szCs w:val="18"/>
        </w:rPr>
        <w:endnoteRef/>
      </w:r>
      <w:r w:rsidRPr="006329CD">
        <w:rPr>
          <w:rFonts w:ascii="Perpetua" w:hAnsi="Perpetua"/>
          <w:szCs w:val="18"/>
        </w:rPr>
        <w:t xml:space="preserve"> </w:t>
      </w:r>
      <w:r w:rsidRPr="006329CD">
        <w:rPr>
          <w:rFonts w:ascii="Perpetua" w:hAnsi="Perpetua"/>
          <w:i/>
          <w:szCs w:val="18"/>
        </w:rPr>
        <w:t>SRB</w:t>
      </w:r>
      <w:r w:rsidRPr="006329CD">
        <w:rPr>
          <w:rFonts w:ascii="Perpetua" w:hAnsi="Perpetua"/>
          <w:szCs w:val="18"/>
        </w:rPr>
        <w:t xml:space="preserve"> notes on Mk 8:23, p. 1056</w:t>
      </w:r>
      <w:r>
        <w:rPr>
          <w:rFonts w:ascii="Perpetua" w:hAnsi="Perpetua"/>
          <w:szCs w:val="18"/>
        </w:rPr>
        <w:t xml:space="preserve">: </w:t>
      </w:r>
      <w:r w:rsidRPr="006329CD">
        <w:rPr>
          <w:rFonts w:ascii="Perpetua" w:hAnsi="Perpetua"/>
          <w:szCs w:val="18"/>
        </w:rPr>
        <w:t>an estimated 8</w:t>
      </w:r>
      <w:r w:rsidRPr="006329CD">
        <w:rPr>
          <w:rFonts w:ascii="Perpetua" w:hAnsi="Perpetua"/>
        </w:rPr>
        <w:t xml:space="preserve"> words </w:t>
      </w:r>
      <w:r>
        <w:rPr>
          <w:rFonts w:ascii="Perpetua" w:hAnsi="Perpetua"/>
        </w:rPr>
        <w:t>per</w:t>
      </w:r>
      <w:r w:rsidRPr="006329CD">
        <w:rPr>
          <w:rFonts w:ascii="Perpetua" w:hAnsi="Perpetua"/>
        </w:rPr>
        <w:t xml:space="preserve"> 100 words in the </w:t>
      </w:r>
      <w:r w:rsidRPr="006329CD">
        <w:rPr>
          <w:rFonts w:ascii="Perpetua" w:hAnsi="Perpetua"/>
          <w:i/>
        </w:rPr>
        <w:t>KJV</w:t>
      </w:r>
      <w:r w:rsidRPr="006329CD">
        <w:rPr>
          <w:rFonts w:ascii="Perpetua" w:hAnsi="Perpetua"/>
        </w:rPr>
        <w:t xml:space="preserve"> text</w:t>
      </w:r>
      <w:r>
        <w:rPr>
          <w:rFonts w:ascii="Perpetua" w:hAnsi="Perpetua"/>
        </w:rPr>
        <w:t xml:space="preserve"> of Mark 8</w:t>
      </w:r>
      <w:r w:rsidRPr="006329CD">
        <w:rPr>
          <w:rFonts w:ascii="Perpetua" w:hAnsi="Perpetua"/>
          <w:szCs w:val="18"/>
        </w:rPr>
        <w:t xml:space="preserve">; </w:t>
      </w:r>
    </w:p>
    <w:p w:rsidR="00975183" w:rsidRDefault="00975183" w:rsidP="006A2E06">
      <w:pPr>
        <w:pStyle w:val="FootnoteText"/>
        <w:rPr>
          <w:rFonts w:ascii="Perpetua" w:hAnsi="Perpetua"/>
          <w:szCs w:val="18"/>
        </w:rPr>
      </w:pPr>
      <w:r w:rsidRPr="006329CD">
        <w:rPr>
          <w:rFonts w:ascii="Perpetua" w:hAnsi="Perpetua"/>
          <w:szCs w:val="18"/>
        </w:rPr>
        <w:t>Mk 10:16, p. 1058</w:t>
      </w:r>
      <w:r>
        <w:rPr>
          <w:rFonts w:ascii="Perpetua" w:hAnsi="Perpetua"/>
          <w:szCs w:val="18"/>
        </w:rPr>
        <w:t>:</w:t>
      </w:r>
      <w:r w:rsidRPr="006329CD">
        <w:rPr>
          <w:rFonts w:ascii="Perpetua" w:hAnsi="Perpetua"/>
          <w:szCs w:val="18"/>
        </w:rPr>
        <w:t xml:space="preserve"> an estimated 4 </w:t>
      </w:r>
      <w:r w:rsidRPr="006329CD">
        <w:rPr>
          <w:rFonts w:ascii="Perpetua" w:hAnsi="Perpetua"/>
        </w:rPr>
        <w:t xml:space="preserve">words </w:t>
      </w:r>
      <w:r>
        <w:rPr>
          <w:rFonts w:ascii="Perpetua" w:hAnsi="Perpetua"/>
        </w:rPr>
        <w:t>per</w:t>
      </w:r>
      <w:r w:rsidRPr="006329CD">
        <w:rPr>
          <w:rFonts w:ascii="Perpetua" w:hAnsi="Perpetua"/>
        </w:rPr>
        <w:t xml:space="preserve"> 100 words in the </w:t>
      </w:r>
      <w:r w:rsidRPr="006329CD">
        <w:rPr>
          <w:rFonts w:ascii="Perpetua" w:hAnsi="Perpetua"/>
          <w:i/>
        </w:rPr>
        <w:t>KJV</w:t>
      </w:r>
      <w:r w:rsidRPr="006329CD">
        <w:rPr>
          <w:rFonts w:ascii="Perpetua" w:hAnsi="Perpetua"/>
        </w:rPr>
        <w:t xml:space="preserve"> text</w:t>
      </w:r>
      <w:r>
        <w:rPr>
          <w:rFonts w:ascii="Perpetua" w:hAnsi="Perpetua"/>
        </w:rPr>
        <w:t xml:space="preserve"> of Mark 10</w:t>
      </w:r>
      <w:r w:rsidRPr="006329CD">
        <w:rPr>
          <w:rFonts w:ascii="Perpetua" w:hAnsi="Perpetua"/>
          <w:szCs w:val="18"/>
        </w:rPr>
        <w:t xml:space="preserve">; </w:t>
      </w:r>
    </w:p>
    <w:p w:rsidR="00975183" w:rsidRDefault="00975183" w:rsidP="006A2E06">
      <w:pPr>
        <w:pStyle w:val="EndnoteText"/>
      </w:pPr>
      <w:r w:rsidRPr="006329CD">
        <w:rPr>
          <w:szCs w:val="18"/>
        </w:rPr>
        <w:t>Mk 16:2, 9 and 14, pp. 1068-9</w:t>
      </w:r>
      <w:r>
        <w:rPr>
          <w:szCs w:val="18"/>
        </w:rPr>
        <w:t>:</w:t>
      </w:r>
      <w:r w:rsidRPr="006329CD">
        <w:rPr>
          <w:szCs w:val="18"/>
        </w:rPr>
        <w:t xml:space="preserve"> an estimated 29</w:t>
      </w:r>
      <w:r w:rsidRPr="006329CD">
        <w:t xml:space="preserve"> words </w:t>
      </w:r>
      <w:r>
        <w:t>per</w:t>
      </w:r>
      <w:r w:rsidRPr="006329CD">
        <w:t xml:space="preserve"> 100 words in the </w:t>
      </w:r>
      <w:r w:rsidRPr="006329CD">
        <w:rPr>
          <w:i/>
        </w:rPr>
        <w:t>KJV</w:t>
      </w:r>
      <w:r w:rsidRPr="006329CD">
        <w:t xml:space="preserve"> text</w:t>
      </w:r>
      <w:r>
        <w:t xml:space="preserve"> of Mark 16</w:t>
      </w:r>
      <w:r w:rsidRPr="006329CD">
        <w:t>.</w:t>
      </w:r>
    </w:p>
  </w:endnote>
  <w:endnote w:id="2889">
    <w:p w:rsidR="00975183" w:rsidRDefault="00975183" w:rsidP="006A2E06">
      <w:pPr>
        <w:pStyle w:val="EndnoteText"/>
      </w:pPr>
      <w:r w:rsidRPr="00EF2AB8">
        <w:rPr>
          <w:rStyle w:val="EndnoteReference"/>
        </w:rPr>
        <w:endnoteRef/>
      </w:r>
      <w:r w:rsidRPr="00EF2AB8">
        <w:t xml:space="preserve"> </w:t>
      </w:r>
      <w:r w:rsidRPr="00EF2AB8">
        <w:rPr>
          <w:i/>
        </w:rPr>
        <w:t xml:space="preserve">SRB </w:t>
      </w:r>
      <w:r w:rsidRPr="00EF2AB8">
        <w:t>note on Mk 8:23, p. 1056.</w:t>
      </w:r>
    </w:p>
  </w:endnote>
  <w:endnote w:id="2890">
    <w:p w:rsidR="00975183" w:rsidRDefault="00975183" w:rsidP="006A2E06">
      <w:pPr>
        <w:pStyle w:val="EndnoteText"/>
      </w:pPr>
      <w:r w:rsidRPr="007B1AE5">
        <w:rPr>
          <w:rStyle w:val="EndnoteReference"/>
        </w:rPr>
        <w:endnoteRef/>
      </w:r>
      <w:r w:rsidRPr="007B1AE5">
        <w:t xml:space="preserve"> Ref. Mt. 11:21-3</w:t>
      </w:r>
      <w:r>
        <w:t>.</w:t>
      </w:r>
    </w:p>
  </w:endnote>
  <w:endnote w:id="2891">
    <w:p w:rsidR="00975183" w:rsidRPr="001D23C5" w:rsidRDefault="00975183" w:rsidP="006A2E06">
      <w:pPr>
        <w:pStyle w:val="EndnoteText"/>
      </w:pPr>
      <w:r w:rsidRPr="001D23C5">
        <w:rPr>
          <w:rStyle w:val="EndnoteReference"/>
        </w:rPr>
        <w:endnoteRef/>
      </w:r>
      <w:r w:rsidRPr="001D23C5">
        <w:t xml:space="preserve"> Mt. 11:21-22 </w:t>
      </w:r>
      <w:r w:rsidRPr="001D23C5">
        <w:rPr>
          <w:i/>
        </w:rPr>
        <w:t>KJV</w:t>
      </w:r>
      <w:r w:rsidRPr="001D23C5">
        <w:t>.</w:t>
      </w:r>
    </w:p>
  </w:endnote>
  <w:endnote w:id="2892">
    <w:p w:rsidR="00975183" w:rsidRDefault="00975183" w:rsidP="006A2E06">
      <w:pPr>
        <w:pStyle w:val="EndnoteText"/>
      </w:pPr>
      <w:r w:rsidRPr="00EF2AB8">
        <w:rPr>
          <w:rStyle w:val="FootnoteReference"/>
        </w:rPr>
        <w:endnoteRef/>
      </w:r>
      <w:r w:rsidRPr="00EF2AB8">
        <w:t xml:space="preserve"> </w:t>
      </w:r>
      <w:r w:rsidRPr="00EF2AB8">
        <w:rPr>
          <w:i/>
        </w:rPr>
        <w:t xml:space="preserve">SRB </w:t>
      </w:r>
      <w:r w:rsidRPr="00EF2AB8">
        <w:t xml:space="preserve">note on Mk 10:16, p. 1058.  </w:t>
      </w:r>
    </w:p>
  </w:endnote>
  <w:endnote w:id="289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 xml:space="preserve">note on Mk 16:2, p. 1068.  </w:t>
      </w:r>
    </w:p>
  </w:endnote>
  <w:endnote w:id="289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Mt. 28:1, p. 1043.  </w:t>
      </w:r>
      <w:r w:rsidRPr="00CE77B4">
        <w:rPr>
          <w:b/>
          <w:szCs w:val="18"/>
        </w:rPr>
        <w:t>See above</w:t>
      </w:r>
      <w:r w:rsidRPr="006329CD">
        <w:rPr>
          <w:szCs w:val="18"/>
        </w:rPr>
        <w:t>.</w:t>
      </w:r>
    </w:p>
  </w:endnote>
  <w:endnote w:id="289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note on Mk 16:14, p. 1069.</w:t>
      </w:r>
    </w:p>
  </w:endnote>
  <w:endnote w:id="2896">
    <w:p w:rsidR="00975183" w:rsidRPr="00D56772" w:rsidRDefault="00975183" w:rsidP="006A2E06">
      <w:pPr>
        <w:pStyle w:val="FootnoteText"/>
        <w:ind w:left="499" w:hanging="499"/>
      </w:pPr>
      <w:r w:rsidRPr="00D56772">
        <w:rPr>
          <w:rStyle w:val="EndnoteReference"/>
          <w:rFonts w:ascii="Perpetua" w:hAnsi="Perpetua"/>
        </w:rPr>
        <w:endnoteRef/>
      </w:r>
      <w:r w:rsidRPr="00D56772">
        <w:rPr>
          <w:rFonts w:ascii="Perpetua" w:hAnsi="Perpetua"/>
        </w:rPr>
        <w:t xml:space="preserve"> Gordon D.Fee, </w:t>
      </w:r>
      <w:proofErr w:type="gramStart"/>
      <w:r w:rsidRPr="00D56772">
        <w:rPr>
          <w:rFonts w:ascii="Perpetua" w:hAnsi="Perpetua"/>
          <w:i/>
        </w:rPr>
        <w:t>The</w:t>
      </w:r>
      <w:proofErr w:type="gramEnd"/>
      <w:r w:rsidRPr="00D56772">
        <w:rPr>
          <w:rFonts w:ascii="Perpetua" w:hAnsi="Perpetua"/>
          <w:i/>
        </w:rPr>
        <w:t xml:space="preserve"> First Epistle to the Corinthians</w:t>
      </w:r>
      <w:r w:rsidRPr="00D56772">
        <w:rPr>
          <w:rFonts w:ascii="Perpetua" w:hAnsi="Perpetua"/>
        </w:rPr>
        <w:t xml:space="preserve"> (Grand Rapids: Wm. B. Eerdmans Publishing Co., 1987), p. 729.</w:t>
      </w:r>
    </w:p>
  </w:endnote>
  <w:endnote w:id="289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Richard A. Burridge, </w:t>
      </w:r>
      <w:r w:rsidRPr="006329CD">
        <w:rPr>
          <w:i/>
          <w:szCs w:val="18"/>
        </w:rPr>
        <w:t>Four Gospels, One Jesus?  A Symbolic Reading</w:t>
      </w:r>
      <w:r w:rsidRPr="006329CD">
        <w:rPr>
          <w:szCs w:val="18"/>
        </w:rPr>
        <w:t xml:space="preserve"> (2nd Edition, London: Society for Promoting Christian Knowledge, 2005), p. 12. </w:t>
      </w:r>
    </w:p>
  </w:endnote>
  <w:endnote w:id="2898">
    <w:p w:rsidR="00975183" w:rsidRPr="00CB16E2" w:rsidRDefault="00975183" w:rsidP="006A2E06">
      <w:pPr>
        <w:spacing w:after="0" w:line="240" w:lineRule="auto"/>
        <w:ind w:right="74"/>
        <w:jc w:val="both"/>
        <w:rPr>
          <w:sz w:val="20"/>
          <w:szCs w:val="18"/>
        </w:rPr>
      </w:pPr>
      <w:r w:rsidRPr="00CB16E2">
        <w:rPr>
          <w:rStyle w:val="EndnoteReference"/>
          <w:sz w:val="20"/>
          <w:szCs w:val="18"/>
        </w:rPr>
        <w:endnoteRef/>
      </w:r>
      <w:r w:rsidRPr="00CB16E2">
        <w:rPr>
          <w:sz w:val="20"/>
          <w:szCs w:val="18"/>
        </w:rPr>
        <w:t xml:space="preserve"> Significant omissions are: </w:t>
      </w:r>
    </w:p>
    <w:p w:rsidR="00975183" w:rsidRPr="00CB16E2" w:rsidRDefault="00975183" w:rsidP="006A2E06">
      <w:pPr>
        <w:spacing w:after="0" w:line="240" w:lineRule="auto"/>
        <w:ind w:right="74"/>
        <w:jc w:val="both"/>
        <w:rPr>
          <w:sz w:val="20"/>
          <w:szCs w:val="18"/>
        </w:rPr>
      </w:pPr>
      <w:r w:rsidRPr="00CB16E2">
        <w:rPr>
          <w:sz w:val="20"/>
          <w:szCs w:val="18"/>
        </w:rPr>
        <w:t xml:space="preserve">the proclamation of the beginning of the </w:t>
      </w:r>
      <w:r w:rsidRPr="00CB16E2">
        <w:rPr>
          <w:sz w:val="20"/>
        </w:rPr>
        <w:t>G</w:t>
      </w:r>
      <w:r w:rsidRPr="00CB16E2">
        <w:rPr>
          <w:sz w:val="20"/>
          <w:szCs w:val="18"/>
        </w:rPr>
        <w:t xml:space="preserve">ospel about Jesus Christ, the Son of God; the role of John the Baptist; </w:t>
      </w:r>
      <w:r w:rsidRPr="00CB16E2">
        <w:rPr>
          <w:spacing w:val="-2"/>
          <w:sz w:val="20"/>
          <w:szCs w:val="18"/>
        </w:rPr>
        <w:t>Jesus’ baptism and temptation; the calling of the first disciples, and Jesus’ exorcisms, healings and preaching (Mark 1)</w:t>
      </w:r>
      <w:r w:rsidRPr="00CB16E2">
        <w:rPr>
          <w:sz w:val="20"/>
          <w:szCs w:val="18"/>
        </w:rPr>
        <w:t xml:space="preserve">; </w:t>
      </w:r>
    </w:p>
    <w:p w:rsidR="00975183" w:rsidRPr="00CB16E2" w:rsidRDefault="00975183" w:rsidP="006A2E06">
      <w:pPr>
        <w:spacing w:after="0" w:line="240" w:lineRule="auto"/>
        <w:ind w:right="74"/>
        <w:jc w:val="both"/>
        <w:rPr>
          <w:sz w:val="20"/>
          <w:szCs w:val="18"/>
        </w:rPr>
      </w:pPr>
      <w:r w:rsidRPr="00CB16E2">
        <w:rPr>
          <w:sz w:val="20"/>
          <w:szCs w:val="18"/>
        </w:rPr>
        <w:t xml:space="preserve">further healings; the calling of Levi; parables and clashes with the Pharisees (Mark 2); </w:t>
      </w:r>
    </w:p>
    <w:p w:rsidR="00975183" w:rsidRPr="00CB16E2" w:rsidRDefault="00975183" w:rsidP="006A2E06">
      <w:pPr>
        <w:spacing w:after="0" w:line="240" w:lineRule="auto"/>
        <w:ind w:right="74"/>
        <w:jc w:val="both"/>
        <w:rPr>
          <w:sz w:val="20"/>
          <w:szCs w:val="18"/>
        </w:rPr>
      </w:pPr>
      <w:r w:rsidRPr="00CB16E2">
        <w:rPr>
          <w:sz w:val="20"/>
          <w:szCs w:val="18"/>
        </w:rPr>
        <w:t xml:space="preserve">further healings and the choosing of the twelve (Mark 3); </w:t>
      </w:r>
    </w:p>
    <w:p w:rsidR="00975183" w:rsidRPr="00CB16E2" w:rsidRDefault="00975183" w:rsidP="006A2E06">
      <w:pPr>
        <w:spacing w:after="0" w:line="240" w:lineRule="auto"/>
        <w:ind w:right="74"/>
        <w:jc w:val="both"/>
        <w:rPr>
          <w:sz w:val="20"/>
          <w:szCs w:val="18"/>
        </w:rPr>
      </w:pPr>
      <w:r w:rsidRPr="00CB16E2">
        <w:rPr>
          <w:sz w:val="20"/>
          <w:szCs w:val="18"/>
        </w:rPr>
        <w:t xml:space="preserve">the parable of the sower and other parables (Mark 4); </w:t>
      </w:r>
    </w:p>
    <w:p w:rsidR="00975183" w:rsidRPr="00CB16E2" w:rsidRDefault="00975183" w:rsidP="006A2E06">
      <w:pPr>
        <w:spacing w:after="0" w:line="240" w:lineRule="auto"/>
        <w:ind w:right="74"/>
        <w:jc w:val="both"/>
        <w:rPr>
          <w:sz w:val="20"/>
          <w:szCs w:val="18"/>
        </w:rPr>
      </w:pPr>
      <w:r w:rsidRPr="00CB16E2">
        <w:rPr>
          <w:sz w:val="20"/>
          <w:szCs w:val="18"/>
        </w:rPr>
        <w:t xml:space="preserve">the healing of the man of Gadara and of the woman with the issue of blood and raising of Jairus’ daughter (Mark 5); </w:t>
      </w:r>
    </w:p>
    <w:p w:rsidR="00975183" w:rsidRPr="00CB16E2" w:rsidRDefault="00975183" w:rsidP="006A2E06">
      <w:pPr>
        <w:spacing w:after="0" w:line="240" w:lineRule="auto"/>
        <w:ind w:right="74"/>
        <w:jc w:val="both"/>
        <w:rPr>
          <w:sz w:val="20"/>
          <w:szCs w:val="18"/>
        </w:rPr>
      </w:pPr>
      <w:r w:rsidRPr="00CB16E2">
        <w:rPr>
          <w:sz w:val="20"/>
          <w:szCs w:val="18"/>
        </w:rPr>
        <w:t xml:space="preserve">Jesus’ reception at Nazareth; the sending out of the twelve; Herod’s murder of John the Baptist; the feeding of 5000 people; Jesus’ walking on the sea and performing further miracles (Mark 6);  </w:t>
      </w:r>
    </w:p>
    <w:p w:rsidR="00975183" w:rsidRPr="00CB16E2" w:rsidRDefault="00975183" w:rsidP="006A2E06">
      <w:pPr>
        <w:spacing w:after="0" w:line="240" w:lineRule="auto"/>
        <w:ind w:right="74"/>
        <w:jc w:val="both"/>
        <w:rPr>
          <w:sz w:val="20"/>
          <w:szCs w:val="18"/>
        </w:rPr>
      </w:pPr>
      <w:r w:rsidRPr="00CB16E2">
        <w:rPr>
          <w:sz w:val="20"/>
          <w:szCs w:val="18"/>
        </w:rPr>
        <w:t xml:space="preserve">Jesus’ rebuke of the Pharisees and his healing of the Syro-Phoenician woman’s daughter and a deaf and dumb man </w:t>
      </w:r>
    </w:p>
    <w:p w:rsidR="00975183" w:rsidRPr="00CB16E2" w:rsidRDefault="00975183" w:rsidP="006A2E06">
      <w:pPr>
        <w:spacing w:after="0" w:line="240" w:lineRule="auto"/>
        <w:ind w:right="74"/>
        <w:jc w:val="both"/>
        <w:rPr>
          <w:sz w:val="20"/>
          <w:szCs w:val="18"/>
        </w:rPr>
      </w:pPr>
      <w:r w:rsidRPr="00CB16E2">
        <w:rPr>
          <w:sz w:val="20"/>
          <w:szCs w:val="18"/>
        </w:rPr>
        <w:t xml:space="preserve">(Mark 7); </w:t>
      </w:r>
    </w:p>
    <w:p w:rsidR="00975183" w:rsidRDefault="00975183" w:rsidP="006A2E06">
      <w:pPr>
        <w:spacing w:after="0" w:line="240" w:lineRule="auto"/>
        <w:ind w:right="74"/>
        <w:jc w:val="both"/>
        <w:rPr>
          <w:sz w:val="20"/>
          <w:szCs w:val="18"/>
        </w:rPr>
      </w:pPr>
      <w:r w:rsidRPr="00CB16E2">
        <w:rPr>
          <w:sz w:val="20"/>
          <w:szCs w:val="18"/>
        </w:rPr>
        <w:t xml:space="preserve">the feeding of 4000 people and Jesus’ warning against the leaven of the Pharisees (an explanation possibly ignored by Scofield since it does not accord with his interpretation of Mt. 13:33, p. 1016) and Peter’s confession of faith </w:t>
      </w:r>
    </w:p>
    <w:p w:rsidR="00975183" w:rsidRPr="00CB16E2" w:rsidRDefault="00975183" w:rsidP="006A2E06">
      <w:pPr>
        <w:spacing w:after="0" w:line="240" w:lineRule="auto"/>
        <w:ind w:right="74"/>
        <w:jc w:val="both"/>
        <w:rPr>
          <w:sz w:val="20"/>
          <w:szCs w:val="18"/>
        </w:rPr>
      </w:pPr>
      <w:r w:rsidRPr="00CB16E2">
        <w:rPr>
          <w:sz w:val="20"/>
          <w:szCs w:val="18"/>
        </w:rPr>
        <w:t xml:space="preserve">(Mark 8); </w:t>
      </w:r>
    </w:p>
    <w:p w:rsidR="00975183" w:rsidRPr="00CB16E2" w:rsidRDefault="00975183" w:rsidP="006A2E06">
      <w:pPr>
        <w:spacing w:after="0" w:line="240" w:lineRule="auto"/>
        <w:ind w:right="74"/>
        <w:jc w:val="both"/>
        <w:rPr>
          <w:sz w:val="20"/>
          <w:szCs w:val="18"/>
        </w:rPr>
      </w:pPr>
      <w:r w:rsidRPr="00CB16E2">
        <w:rPr>
          <w:sz w:val="20"/>
          <w:szCs w:val="18"/>
        </w:rPr>
        <w:t xml:space="preserve">the transfiguration; the disciples’ failure and Jesus’ foretelling of his death and resurrection (Mark 9); </w:t>
      </w:r>
    </w:p>
    <w:p w:rsidR="00975183" w:rsidRPr="00CB16E2" w:rsidRDefault="00975183" w:rsidP="006A2E06">
      <w:pPr>
        <w:spacing w:after="0" w:line="240" w:lineRule="auto"/>
        <w:ind w:right="74"/>
        <w:jc w:val="both"/>
        <w:rPr>
          <w:sz w:val="20"/>
          <w:szCs w:val="18"/>
        </w:rPr>
      </w:pPr>
      <w:r w:rsidRPr="00CB16E2">
        <w:rPr>
          <w:sz w:val="20"/>
          <w:szCs w:val="18"/>
        </w:rPr>
        <w:t xml:space="preserve">Jesus’ statements concerning divorce and warnings against riches (Mark 10); </w:t>
      </w:r>
    </w:p>
    <w:p w:rsidR="00975183" w:rsidRPr="00CB16E2" w:rsidRDefault="00975183" w:rsidP="006A2E06">
      <w:pPr>
        <w:spacing w:after="0" w:line="240" w:lineRule="auto"/>
        <w:ind w:right="74"/>
        <w:jc w:val="both"/>
        <w:rPr>
          <w:sz w:val="20"/>
          <w:szCs w:val="18"/>
        </w:rPr>
      </w:pPr>
      <w:r w:rsidRPr="00CB16E2">
        <w:rPr>
          <w:sz w:val="20"/>
          <w:szCs w:val="18"/>
        </w:rPr>
        <w:t xml:space="preserve">Jesus’ entry to Jerusalem; the parable of barren fig-tree and the purification of the temple (Mark 11); </w:t>
      </w:r>
    </w:p>
    <w:p w:rsidR="00975183" w:rsidRPr="00CB16E2" w:rsidRDefault="00975183" w:rsidP="006A2E06">
      <w:pPr>
        <w:spacing w:after="0" w:line="240" w:lineRule="auto"/>
        <w:ind w:right="74"/>
        <w:jc w:val="both"/>
        <w:rPr>
          <w:sz w:val="20"/>
          <w:szCs w:val="18"/>
        </w:rPr>
      </w:pPr>
      <w:r w:rsidRPr="00CB16E2">
        <w:rPr>
          <w:sz w:val="20"/>
          <w:szCs w:val="18"/>
        </w:rPr>
        <w:t xml:space="preserve">the parable of the vineyard; the question of tribute and interactions with the Sadducees and Pharisees (Mark 12); </w:t>
      </w:r>
    </w:p>
    <w:p w:rsidR="00975183" w:rsidRPr="00CB16E2" w:rsidRDefault="00975183" w:rsidP="006A2E06">
      <w:pPr>
        <w:spacing w:after="0" w:line="240" w:lineRule="auto"/>
        <w:ind w:right="74"/>
        <w:jc w:val="both"/>
        <w:rPr>
          <w:sz w:val="20"/>
          <w:szCs w:val="18"/>
        </w:rPr>
      </w:pPr>
      <w:r w:rsidRPr="00CB16E2">
        <w:rPr>
          <w:sz w:val="20"/>
          <w:szCs w:val="18"/>
        </w:rPr>
        <w:t xml:space="preserve">the Olivet discourse; it seems very odd that Scofield should not comment upon verses very pertinent to his eschatological arguments (Mark 13); </w:t>
      </w:r>
    </w:p>
    <w:p w:rsidR="00975183" w:rsidRPr="00CB16E2" w:rsidRDefault="00975183" w:rsidP="006A2E06">
      <w:pPr>
        <w:spacing w:after="0" w:line="240" w:lineRule="auto"/>
        <w:ind w:right="74"/>
        <w:jc w:val="both"/>
        <w:rPr>
          <w:sz w:val="20"/>
          <w:szCs w:val="18"/>
        </w:rPr>
      </w:pPr>
      <w:r w:rsidRPr="00CB16E2">
        <w:rPr>
          <w:sz w:val="20"/>
          <w:szCs w:val="18"/>
        </w:rPr>
        <w:t xml:space="preserve">Mary’s anointing of Jesus; the last supper; Gethsemane; Jesus’ trial before Caiaphas and Peter’s denial (Mark 14); </w:t>
      </w:r>
    </w:p>
    <w:p w:rsidR="00975183" w:rsidRPr="00CB16E2" w:rsidRDefault="00975183" w:rsidP="006A2E06">
      <w:pPr>
        <w:spacing w:after="0" w:line="240" w:lineRule="auto"/>
        <w:ind w:right="74"/>
        <w:jc w:val="both"/>
        <w:rPr>
          <w:sz w:val="20"/>
          <w:szCs w:val="18"/>
        </w:rPr>
      </w:pPr>
      <w:r w:rsidRPr="00CB16E2">
        <w:rPr>
          <w:sz w:val="20"/>
          <w:szCs w:val="18"/>
        </w:rPr>
        <w:t xml:space="preserve">Jesus’ trial before Pilate and the crucifixion (Mark 15); </w:t>
      </w:r>
    </w:p>
    <w:p w:rsidR="00975183" w:rsidRPr="00CB16E2" w:rsidRDefault="00975183" w:rsidP="006A2E06">
      <w:pPr>
        <w:spacing w:after="0" w:line="240" w:lineRule="auto"/>
        <w:ind w:right="74"/>
        <w:jc w:val="both"/>
        <w:rPr>
          <w:sz w:val="20"/>
          <w:szCs w:val="18"/>
        </w:rPr>
      </w:pPr>
      <w:proofErr w:type="gramStart"/>
      <w:r w:rsidRPr="00CB16E2">
        <w:rPr>
          <w:sz w:val="20"/>
          <w:szCs w:val="18"/>
        </w:rPr>
        <w:t>the</w:t>
      </w:r>
      <w:proofErr w:type="gramEnd"/>
      <w:r w:rsidRPr="00CB16E2">
        <w:rPr>
          <w:sz w:val="20"/>
          <w:szCs w:val="18"/>
        </w:rPr>
        <w:t xml:space="preserve"> resurrection (Mark 16).</w:t>
      </w:r>
    </w:p>
  </w:endnote>
  <w:endnote w:id="2899">
    <w:p w:rsidR="00975183" w:rsidRDefault="00975183" w:rsidP="006A2E06">
      <w:pPr>
        <w:pStyle w:val="EndnoteText"/>
      </w:pPr>
      <w:r w:rsidRPr="00EF2AB8">
        <w:rPr>
          <w:rStyle w:val="FootnoteReference"/>
        </w:rPr>
        <w:endnoteRef/>
      </w:r>
      <w:r w:rsidRPr="00EF2AB8">
        <w:t xml:space="preserve"> </w:t>
      </w:r>
      <w:r w:rsidRPr="00EF2AB8">
        <w:rPr>
          <w:rFonts w:ascii="Bwgrkl" w:hAnsi="Bwgrkl" w:cs="Bwgrkl"/>
          <w:sz w:val="22"/>
          <w:szCs w:val="22"/>
          <w:lang w:val="en-US" w:bidi="he-IL"/>
        </w:rPr>
        <w:t>ui`ou/ tou/ qeou</w:t>
      </w:r>
      <w:r w:rsidRPr="00EF2AB8">
        <w:t xml:space="preserve"> (Son of God) does not appear in all manuscripts, for example Codex Sinaiticus, but ‘Son of God’ does </w:t>
      </w:r>
      <w:r>
        <w:t xml:space="preserve">appear </w:t>
      </w:r>
      <w:r w:rsidRPr="00EF2AB8">
        <w:t xml:space="preserve">in </w:t>
      </w:r>
      <w:r w:rsidRPr="00EF2AB8">
        <w:rPr>
          <w:i/>
        </w:rPr>
        <w:t>KJV</w:t>
      </w:r>
      <w:r w:rsidRPr="00EF2AB8">
        <w:t>, which</w:t>
      </w:r>
      <w:r>
        <w:t xml:space="preserve"> is the subject of</w:t>
      </w:r>
      <w:r w:rsidRPr="00EF2AB8">
        <w:t xml:space="preserve"> Scofield</w:t>
      </w:r>
      <w:r>
        <w:t>’s annotation</w:t>
      </w:r>
      <w:r w:rsidRPr="00EF2AB8">
        <w:t>.</w:t>
      </w:r>
    </w:p>
  </w:endnote>
  <w:endnote w:id="2900">
    <w:p w:rsidR="00975183" w:rsidRDefault="00975183" w:rsidP="009148E0">
      <w:pPr>
        <w:pStyle w:val="EndnoteText"/>
      </w:pPr>
      <w:r w:rsidRPr="00F72B38">
        <w:rPr>
          <w:rStyle w:val="EndnoteReference"/>
        </w:rPr>
        <w:endnoteRef/>
      </w:r>
      <w:r w:rsidRPr="00F72B38">
        <w:t xml:space="preserve"> </w:t>
      </w:r>
      <w:r w:rsidRPr="005D00B9">
        <w:rPr>
          <w:i/>
        </w:rPr>
        <w:t>SRB</w:t>
      </w:r>
      <w:r w:rsidRPr="005D00B9">
        <w:t xml:space="preserve"> Introduction to Luke, p. 1070.  </w:t>
      </w:r>
    </w:p>
  </w:endnote>
  <w:endnote w:id="2901">
    <w:p w:rsidR="00975183" w:rsidRPr="002372AE" w:rsidRDefault="00975183" w:rsidP="009148E0">
      <w:pPr>
        <w:pStyle w:val="EndnoteText"/>
        <w:rPr>
          <w:sz w:val="18"/>
        </w:rPr>
      </w:pPr>
      <w:r w:rsidRPr="002372AE">
        <w:rPr>
          <w:rStyle w:val="EndnoteReference"/>
        </w:rPr>
        <w:endnoteRef/>
      </w:r>
      <w:r w:rsidRPr="002372AE">
        <w:t xml:space="preserve"> </w:t>
      </w:r>
      <w:r>
        <w:t xml:space="preserve">Ref. </w:t>
      </w:r>
      <w:r w:rsidRPr="002372AE">
        <w:t>Lk. 1:32-5</w:t>
      </w:r>
      <w:r>
        <w:t>.</w:t>
      </w:r>
    </w:p>
  </w:endnote>
  <w:endnote w:id="2902">
    <w:p w:rsidR="00975183" w:rsidRDefault="00975183" w:rsidP="009148E0">
      <w:pPr>
        <w:pStyle w:val="EndnoteText"/>
      </w:pPr>
      <w:r w:rsidRPr="005D00B9">
        <w:rPr>
          <w:rStyle w:val="FootnoteReference"/>
        </w:rPr>
        <w:endnoteRef/>
      </w:r>
      <w:r w:rsidRPr="005D00B9">
        <w:t xml:space="preserve"> Ref. Zech. 6:12</w:t>
      </w:r>
    </w:p>
  </w:endnote>
  <w:endnote w:id="2903">
    <w:p w:rsidR="00975183" w:rsidRDefault="00975183" w:rsidP="009148E0">
      <w:pPr>
        <w:pStyle w:val="EndnoteText"/>
      </w:pPr>
      <w:r w:rsidRPr="00F72B38">
        <w:rPr>
          <w:rStyle w:val="EndnoteReference"/>
        </w:rPr>
        <w:endnoteRef/>
      </w:r>
      <w:r w:rsidRPr="00F72B38">
        <w:t xml:space="preserve"> </w:t>
      </w:r>
      <w:r w:rsidRPr="005D00B9">
        <w:rPr>
          <w:i/>
        </w:rPr>
        <w:t>SRB</w:t>
      </w:r>
      <w:r w:rsidRPr="005D00B9">
        <w:t xml:space="preserve"> Introduction to Luke, p. 1070.  </w:t>
      </w:r>
    </w:p>
  </w:endnote>
  <w:endnote w:id="2904">
    <w:p w:rsidR="00975183" w:rsidRDefault="00975183" w:rsidP="009148E0">
      <w:pPr>
        <w:pStyle w:val="EndnoteText"/>
      </w:pPr>
      <w:r w:rsidRPr="00F72B38">
        <w:rPr>
          <w:rStyle w:val="EndnoteReference"/>
        </w:rPr>
        <w:endnoteRef/>
      </w:r>
      <w:r w:rsidRPr="00F72B38">
        <w:t xml:space="preserve"> </w:t>
      </w:r>
      <w:r w:rsidRPr="005D00B9">
        <w:rPr>
          <w:i/>
        </w:rPr>
        <w:t>SRB</w:t>
      </w:r>
      <w:r w:rsidRPr="005D00B9">
        <w:t xml:space="preserve"> </w:t>
      </w:r>
      <w:r>
        <w:rPr>
          <w:sz w:val="22"/>
          <w:szCs w:val="22"/>
        </w:rPr>
        <w:t>note on Mt. 21:4, pp. 1028-9.</w:t>
      </w:r>
    </w:p>
  </w:endnote>
  <w:endnote w:id="290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Luke 5, 6, 8, 9, 10, 12, 13, 15, 19 and 20.</w:t>
      </w:r>
      <w:proofErr w:type="gramEnd"/>
    </w:p>
  </w:endnote>
  <w:endnote w:id="2906">
    <w:p w:rsidR="00975183" w:rsidRPr="00785ACA" w:rsidRDefault="00975183" w:rsidP="006A2E06">
      <w:pPr>
        <w:pStyle w:val="EndnoteText"/>
      </w:pPr>
      <w:r w:rsidRPr="00785ACA">
        <w:rPr>
          <w:rStyle w:val="EndnoteReference"/>
        </w:rPr>
        <w:endnoteRef/>
      </w:r>
      <w:r w:rsidRPr="00785ACA">
        <w:t xml:space="preserve"> </w:t>
      </w:r>
      <w:r w:rsidRPr="00DC6B75">
        <w:rPr>
          <w:i/>
        </w:rPr>
        <w:t>SRB</w:t>
      </w:r>
      <w:r>
        <w:t xml:space="preserve"> note on Lk. 11:1, pp. 1089-90. cf </w:t>
      </w:r>
      <w:r w:rsidRPr="00A94926">
        <w:rPr>
          <w:i/>
        </w:rPr>
        <w:t>SRB</w:t>
      </w:r>
      <w:r>
        <w:t xml:space="preserve"> notes on Mt. 5:2, p. 1000, and 6:12, p. 1002 (see above).  </w:t>
      </w:r>
      <w:proofErr w:type="gramStart"/>
      <w:r w:rsidRPr="004329AD">
        <w:rPr>
          <w:b/>
        </w:rPr>
        <w:t>See 5.4.5</w:t>
      </w:r>
      <w:r w:rsidRPr="004329AD">
        <w:t>.</w:t>
      </w:r>
      <w:proofErr w:type="gramEnd"/>
    </w:p>
  </w:endnote>
  <w:endnote w:id="290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Lk. 16:23, pp. 1098-9</w:t>
      </w:r>
      <w:r>
        <w:rPr>
          <w:szCs w:val="18"/>
        </w:rPr>
        <w:t>.</w:t>
      </w:r>
      <w:r w:rsidRPr="006329CD">
        <w:rPr>
          <w:szCs w:val="18"/>
        </w:rPr>
        <w:t xml:space="preserve">  </w:t>
      </w:r>
      <w:r>
        <w:rPr>
          <w:szCs w:val="18"/>
        </w:rPr>
        <w:t xml:space="preserve">Ref. note on Gehenna, </w:t>
      </w:r>
      <w:r w:rsidRPr="006329CD">
        <w:rPr>
          <w:i/>
          <w:szCs w:val="18"/>
        </w:rPr>
        <w:t>SRB</w:t>
      </w:r>
      <w:r w:rsidRPr="006329CD">
        <w:rPr>
          <w:szCs w:val="18"/>
        </w:rPr>
        <w:t xml:space="preserve"> note on Mt. 5:22, p. 1000.  </w:t>
      </w:r>
    </w:p>
  </w:endnote>
  <w:endnote w:id="2908">
    <w:p w:rsidR="00975183" w:rsidRPr="00C55264" w:rsidRDefault="00975183" w:rsidP="006A2E06">
      <w:pPr>
        <w:pStyle w:val="EndnoteText"/>
      </w:pPr>
      <w:r w:rsidRPr="00C55264">
        <w:rPr>
          <w:rStyle w:val="EndnoteReference"/>
        </w:rPr>
        <w:endnoteRef/>
      </w:r>
      <w:r w:rsidRPr="00C55264">
        <w:t xml:space="preserve"> </w:t>
      </w:r>
      <w:r w:rsidRPr="00E36EE2">
        <w:rPr>
          <w:i/>
        </w:rPr>
        <w:t>SRB</w:t>
      </w:r>
      <w:r>
        <w:t xml:space="preserve"> note on Lk. 16:24, pp. 1098-9.</w:t>
      </w:r>
    </w:p>
  </w:endnote>
  <w:endnote w:id="2909">
    <w:p w:rsidR="00975183" w:rsidRPr="00C55264" w:rsidRDefault="00975183" w:rsidP="006A2E06">
      <w:pPr>
        <w:pStyle w:val="EndnoteText"/>
      </w:pPr>
      <w:r w:rsidRPr="00C55264">
        <w:rPr>
          <w:rStyle w:val="EndnoteReference"/>
        </w:rPr>
        <w:endnoteRef/>
      </w:r>
      <w:r w:rsidRPr="00C55264">
        <w:t xml:space="preserve"> </w:t>
      </w:r>
      <w:r w:rsidRPr="00E36EE2">
        <w:rPr>
          <w:i/>
        </w:rPr>
        <w:t>SRB</w:t>
      </w:r>
      <w:r>
        <w:t xml:space="preserve"> note on Lk. 16:24, pp. 1098-9.  </w:t>
      </w:r>
      <w:proofErr w:type="gramStart"/>
      <w:r w:rsidRPr="00092953">
        <w:rPr>
          <w:b/>
        </w:rPr>
        <w:t xml:space="preserve">See 8.6.1 (Matthew) </w:t>
      </w:r>
      <w:r w:rsidRPr="00092953">
        <w:rPr>
          <w:b/>
          <w:i/>
        </w:rPr>
        <w:t>Excursi</w:t>
      </w:r>
      <w:r w:rsidRPr="00092953">
        <w:rPr>
          <w:b/>
        </w:rPr>
        <w:t xml:space="preserve"> above</w:t>
      </w:r>
      <w:r>
        <w:t>.</w:t>
      </w:r>
      <w:proofErr w:type="gramEnd"/>
    </w:p>
  </w:endnote>
  <w:endnote w:id="2910">
    <w:p w:rsidR="00975183" w:rsidRDefault="00975183" w:rsidP="006A2E06">
      <w:pPr>
        <w:pStyle w:val="EndnoteText"/>
      </w:pPr>
      <w:r w:rsidRPr="00C55264">
        <w:rPr>
          <w:rStyle w:val="EndnoteReference"/>
        </w:rPr>
        <w:endnoteRef/>
      </w:r>
      <w:r w:rsidRPr="00C55264">
        <w:t xml:space="preserve"> </w:t>
      </w:r>
      <w:r w:rsidRPr="00E36EE2">
        <w:rPr>
          <w:i/>
        </w:rPr>
        <w:t>SRB</w:t>
      </w:r>
      <w:r>
        <w:t xml:space="preserve"> note on Lk. 3:23, p. 1075.</w:t>
      </w:r>
    </w:p>
  </w:endnote>
  <w:endnote w:id="2911">
    <w:p w:rsidR="00975183" w:rsidRPr="006D4143" w:rsidRDefault="00975183" w:rsidP="006A2E06">
      <w:pPr>
        <w:pStyle w:val="EndnoteText"/>
      </w:pPr>
      <w:r w:rsidRPr="006D4143">
        <w:rPr>
          <w:rStyle w:val="EndnoteReference"/>
        </w:rPr>
        <w:endnoteRef/>
      </w:r>
      <w:r w:rsidRPr="006D4143">
        <w:t xml:space="preserve"> </w:t>
      </w:r>
      <w:r>
        <w:t>Mt. 1:17.</w:t>
      </w:r>
    </w:p>
  </w:endnote>
  <w:endnote w:id="2912">
    <w:p w:rsidR="00975183" w:rsidRPr="006D4143" w:rsidRDefault="00975183" w:rsidP="006A2E06">
      <w:pPr>
        <w:pStyle w:val="EndnoteText"/>
      </w:pPr>
      <w:r w:rsidRPr="006D4143">
        <w:rPr>
          <w:rStyle w:val="EndnoteReference"/>
        </w:rPr>
        <w:endnoteRef/>
      </w:r>
      <w:r w:rsidRPr="006D4143">
        <w:t xml:space="preserve"> </w:t>
      </w:r>
      <w:r>
        <w:t>Ref. Gen. 12:3.</w:t>
      </w:r>
    </w:p>
  </w:endnote>
  <w:endnote w:id="2913">
    <w:p w:rsidR="00975183" w:rsidRPr="00886AB2" w:rsidRDefault="00975183" w:rsidP="006A2E06">
      <w:pPr>
        <w:pStyle w:val="EndnoteText"/>
      </w:pPr>
      <w:r w:rsidRPr="00886AB2">
        <w:rPr>
          <w:rStyle w:val="EndnoteReference"/>
        </w:rPr>
        <w:endnoteRef/>
      </w:r>
      <w:r w:rsidRPr="00886AB2">
        <w:t xml:space="preserve"> Eric Franklin, ‘Luke’ in John Barton and John Muddiman (eds.) </w:t>
      </w:r>
      <w:proofErr w:type="gramStart"/>
      <w:r w:rsidRPr="00886AB2">
        <w:rPr>
          <w:i/>
        </w:rPr>
        <w:t>The</w:t>
      </w:r>
      <w:proofErr w:type="gramEnd"/>
      <w:r w:rsidRPr="00886AB2">
        <w:rPr>
          <w:i/>
        </w:rPr>
        <w:t xml:space="preserve"> Oxford Bible Commentary</w:t>
      </w:r>
      <w:r w:rsidRPr="00886AB2">
        <w:t xml:space="preserve"> (Oxford: Oxford University Press, 2001), p. 931.</w:t>
      </w:r>
    </w:p>
  </w:endnote>
  <w:endnote w:id="2914">
    <w:p w:rsidR="00975183" w:rsidRDefault="00975183" w:rsidP="006A2E06">
      <w:pPr>
        <w:pStyle w:val="EndnoteText"/>
      </w:pPr>
      <w:r w:rsidRPr="00F72DBC">
        <w:rPr>
          <w:rStyle w:val="EndnoteReference"/>
        </w:rPr>
        <w:endnoteRef/>
      </w:r>
      <w:r w:rsidRPr="00F72DBC">
        <w:t xml:space="preserve"> </w:t>
      </w:r>
      <w:r w:rsidRPr="007B4F6A">
        <w:rPr>
          <w:i/>
        </w:rPr>
        <w:t>SRB</w:t>
      </w:r>
      <w:r w:rsidRPr="007B4F6A">
        <w:t xml:space="preserve"> </w:t>
      </w:r>
      <w:r w:rsidRPr="00F46A6D">
        <w:t xml:space="preserve">note on </w:t>
      </w:r>
      <w:r>
        <w:t>Mt. 4:1, pp. 997-8.</w:t>
      </w:r>
    </w:p>
  </w:endnote>
  <w:endnote w:id="2915">
    <w:p w:rsidR="00975183" w:rsidRPr="004329AD" w:rsidRDefault="00975183" w:rsidP="006A2E06">
      <w:pPr>
        <w:pStyle w:val="EndnoteText"/>
      </w:pPr>
      <w:r w:rsidRPr="00920FF0">
        <w:rPr>
          <w:rStyle w:val="EndnoteReference"/>
        </w:rPr>
        <w:endnoteRef/>
      </w:r>
      <w:r w:rsidRPr="00920FF0">
        <w:t xml:space="preserve"> </w:t>
      </w:r>
      <w:r w:rsidRPr="007B4F6A">
        <w:rPr>
          <w:i/>
        </w:rPr>
        <w:t>SRB</w:t>
      </w:r>
      <w:r w:rsidRPr="007B4F6A">
        <w:t xml:space="preserve"> </w:t>
      </w:r>
      <w:r w:rsidRPr="00F46A6D">
        <w:t xml:space="preserve">note on Heb. 8:8, </w:t>
      </w:r>
      <w:r w:rsidRPr="00F46A6D">
        <w:rPr>
          <w:i/>
        </w:rPr>
        <w:t>SRB</w:t>
      </w:r>
      <w:r>
        <w:t xml:space="preserve">, p. 1298.  </w:t>
      </w:r>
      <w:proofErr w:type="gramStart"/>
      <w:r w:rsidRPr="004329AD">
        <w:rPr>
          <w:b/>
        </w:rPr>
        <w:t>See 5.4.1</w:t>
      </w:r>
      <w:r w:rsidRPr="004329AD">
        <w:t>.</w:t>
      </w:r>
      <w:proofErr w:type="gramEnd"/>
    </w:p>
  </w:endnote>
  <w:endnote w:id="2916">
    <w:p w:rsidR="00975183" w:rsidRDefault="00975183" w:rsidP="006A2E06">
      <w:pPr>
        <w:pStyle w:val="EndnoteText"/>
      </w:pPr>
      <w:r w:rsidRPr="0084719E">
        <w:rPr>
          <w:rStyle w:val="EndnoteReference"/>
        </w:rPr>
        <w:endnoteRef/>
      </w:r>
      <w:r w:rsidRPr="0084719E">
        <w:t xml:space="preserve"> </w:t>
      </w:r>
      <w:r w:rsidRPr="0084719E">
        <w:rPr>
          <w:i/>
        </w:rPr>
        <w:t>SRB</w:t>
      </w:r>
      <w:r w:rsidRPr="0084719E">
        <w:t xml:space="preserve"> note on Lk.</w:t>
      </w:r>
      <w:r>
        <w:t xml:space="preserve"> 4:19, p. 1077.  cf </w:t>
      </w:r>
      <w:r w:rsidRPr="00A41DAE">
        <w:rPr>
          <w:i/>
        </w:rPr>
        <w:t>SRB</w:t>
      </w:r>
      <w:r>
        <w:t xml:space="preserve"> note on Isa. 61:2, p. 766.  </w:t>
      </w:r>
      <w:proofErr w:type="gramStart"/>
      <w:r w:rsidRPr="009205BE">
        <w:rPr>
          <w:b/>
        </w:rPr>
        <w:t>See 7.1.3</w:t>
      </w:r>
      <w:r>
        <w:rPr>
          <w:b/>
        </w:rPr>
        <w:t>;</w:t>
      </w:r>
      <w:r w:rsidRPr="009205BE">
        <w:rPr>
          <w:b/>
        </w:rPr>
        <w:t xml:space="preserve"> 8.4.1</w:t>
      </w:r>
      <w:r w:rsidRPr="009205BE">
        <w:t>.</w:t>
      </w:r>
      <w:proofErr w:type="gramEnd"/>
    </w:p>
  </w:endnote>
  <w:endnote w:id="2917">
    <w:p w:rsidR="00975183" w:rsidRDefault="00975183" w:rsidP="006A2E06">
      <w:pPr>
        <w:pStyle w:val="EndnoteText"/>
      </w:pPr>
      <w:r w:rsidRPr="0084719E">
        <w:rPr>
          <w:rStyle w:val="EndnoteReference"/>
        </w:rPr>
        <w:endnoteRef/>
      </w:r>
      <w:r w:rsidRPr="0084719E">
        <w:t xml:space="preserve"> </w:t>
      </w:r>
      <w:r w:rsidRPr="0084719E">
        <w:rPr>
          <w:i/>
        </w:rPr>
        <w:t>SRB</w:t>
      </w:r>
      <w:r w:rsidRPr="0084719E">
        <w:t xml:space="preserve"> note on Lk. 11:13, p. 1090.</w:t>
      </w:r>
    </w:p>
  </w:endnote>
  <w:endnote w:id="2918">
    <w:p w:rsidR="00975183" w:rsidRPr="0010691C" w:rsidRDefault="00975183" w:rsidP="006A2E06">
      <w:pPr>
        <w:pStyle w:val="EndnoteText"/>
      </w:pPr>
      <w:r w:rsidRPr="0010691C">
        <w:rPr>
          <w:rStyle w:val="EndnoteReference"/>
        </w:rPr>
        <w:endnoteRef/>
      </w:r>
      <w:r w:rsidRPr="0010691C">
        <w:t xml:space="preserve"> Ref. Jn 11:27</w:t>
      </w:r>
      <w:r>
        <w:t>.</w:t>
      </w:r>
    </w:p>
  </w:endnote>
  <w:endnote w:id="2919">
    <w:p w:rsidR="00975183" w:rsidRDefault="00975183" w:rsidP="006A2E06">
      <w:pPr>
        <w:pStyle w:val="EndnoteText"/>
      </w:pPr>
      <w:r w:rsidRPr="0084719E">
        <w:rPr>
          <w:rStyle w:val="EndnoteReference"/>
        </w:rPr>
        <w:endnoteRef/>
      </w:r>
      <w:r w:rsidRPr="0084719E">
        <w:t xml:space="preserve"> </w:t>
      </w:r>
      <w:r w:rsidRPr="0084719E">
        <w:rPr>
          <w:i/>
        </w:rPr>
        <w:t>SRB</w:t>
      </w:r>
      <w:r w:rsidRPr="0084719E">
        <w:t xml:space="preserve"> note on Lk. 11:13, p. 1090.  </w:t>
      </w:r>
    </w:p>
  </w:endnote>
  <w:endnote w:id="2920">
    <w:p w:rsidR="00975183" w:rsidRDefault="00975183" w:rsidP="006A2E06">
      <w:pPr>
        <w:pStyle w:val="EndnoteText"/>
      </w:pPr>
      <w:r w:rsidRPr="0084719E">
        <w:rPr>
          <w:rStyle w:val="EndnoteReference"/>
        </w:rPr>
        <w:endnoteRef/>
      </w:r>
      <w:r w:rsidRPr="0084719E">
        <w:t xml:space="preserve"> </w:t>
      </w:r>
      <w:r w:rsidRPr="0084719E">
        <w:rPr>
          <w:i/>
        </w:rPr>
        <w:t>SRB</w:t>
      </w:r>
      <w:r w:rsidRPr="0084719E">
        <w:t xml:space="preserve"> note on Lk. 11:13, p. 1090.  </w:t>
      </w:r>
    </w:p>
  </w:endnote>
  <w:endnote w:id="2921">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Lk.</w:t>
      </w:r>
      <w:r>
        <w:t xml:space="preserve"> 18:37, p. 1100.</w:t>
      </w:r>
    </w:p>
  </w:endnote>
  <w:endnote w:id="2922">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Lk.</w:t>
      </w:r>
      <w:r>
        <w:t xml:space="preserve"> 21:24, p. 1106.  </w:t>
      </w:r>
      <w:proofErr w:type="gramStart"/>
      <w:r w:rsidRPr="009205BE">
        <w:rPr>
          <w:b/>
        </w:rPr>
        <w:t>See 7.1.2.2</w:t>
      </w:r>
      <w:r>
        <w:t>.</w:t>
      </w:r>
      <w:proofErr w:type="gramEnd"/>
    </w:p>
  </w:endnote>
  <w:endnote w:id="2923">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Lk.</w:t>
      </w:r>
      <w:r>
        <w:t xml:space="preserve"> 21:24, p. 1106.</w:t>
      </w:r>
    </w:p>
  </w:endnote>
  <w:endnote w:id="2924">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Lk. 21:20, p. 1106</w:t>
      </w:r>
      <w:r>
        <w:t xml:space="preserve">. </w:t>
      </w:r>
      <w:proofErr w:type="gramStart"/>
      <w:r w:rsidRPr="00886AB2">
        <w:t xml:space="preserve">(Corollary to </w:t>
      </w:r>
      <w:r w:rsidRPr="00886AB2">
        <w:rPr>
          <w:i/>
        </w:rPr>
        <w:t>SRB</w:t>
      </w:r>
      <w:r w:rsidRPr="00886AB2">
        <w:t xml:space="preserve"> notes on Mt. 24:16 and 34, pp. 1033 and 1034.)</w:t>
      </w:r>
      <w:proofErr w:type="gramEnd"/>
    </w:p>
  </w:endnote>
  <w:endnote w:id="2925">
    <w:p w:rsidR="00975183" w:rsidRPr="008F17F1" w:rsidRDefault="00975183" w:rsidP="006A2E06">
      <w:pPr>
        <w:pStyle w:val="EndnoteText"/>
      </w:pPr>
      <w:r w:rsidRPr="008F17F1">
        <w:rPr>
          <w:rStyle w:val="EndnoteReference"/>
        </w:rPr>
        <w:endnoteRef/>
      </w:r>
      <w:r w:rsidRPr="008F17F1">
        <w:t xml:space="preserve"> </w:t>
      </w:r>
      <w:r>
        <w:t xml:space="preserve">For example, </w:t>
      </w:r>
      <w:r w:rsidRPr="008F17F1">
        <w:rPr>
          <w:i/>
        </w:rPr>
        <w:t>SRB</w:t>
      </w:r>
      <w:r>
        <w:t xml:space="preserve"> notes on Mt. 3:2, p. 996; 4:17, p. 998; 5:2, pp. 999-1000; 6:33, p. 1003; 10:2, p. 1008; 11:11, p. 1010; 11;20, p. 1011; 13:3, p. 1014; 13:11, p. 1014; 13:24, p. 1015; 13:31, p. 1016; 13:47, pp. 1017-8; 16:19, p. 1022; 16:20, p. 1022.</w:t>
      </w:r>
    </w:p>
  </w:endnote>
  <w:endnote w:id="2926">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Lk.</w:t>
      </w:r>
      <w:r>
        <w:t xml:space="preserve"> 17:21, p. 1100.</w:t>
      </w:r>
    </w:p>
  </w:endnote>
  <w:endnote w:id="2927">
    <w:p w:rsidR="00975183" w:rsidRPr="008F17F1" w:rsidRDefault="00975183" w:rsidP="006A2E06">
      <w:pPr>
        <w:pStyle w:val="EndnoteText"/>
      </w:pPr>
      <w:r w:rsidRPr="008F17F1">
        <w:rPr>
          <w:rStyle w:val="EndnoteReference"/>
        </w:rPr>
        <w:endnoteRef/>
      </w:r>
      <w:r w:rsidRPr="008F17F1">
        <w:t xml:space="preserve"> </w:t>
      </w:r>
      <w:r w:rsidRPr="008F17F1">
        <w:rPr>
          <w:i/>
        </w:rPr>
        <w:t>SRB</w:t>
      </w:r>
      <w:r>
        <w:t xml:space="preserve"> notes on Mt. 11:11, p. 1010 and 11:20, p. 1011.</w:t>
      </w:r>
    </w:p>
  </w:endnote>
  <w:endnote w:id="2928">
    <w:p w:rsidR="00975183" w:rsidRDefault="00975183" w:rsidP="006A2E06">
      <w:pPr>
        <w:pStyle w:val="EndnoteText"/>
      </w:pPr>
      <w:r w:rsidRPr="00D96F94">
        <w:rPr>
          <w:rStyle w:val="EndnoteReference"/>
        </w:rPr>
        <w:endnoteRef/>
      </w:r>
      <w:r w:rsidRPr="00D96F94">
        <w:t xml:space="preserve"> </w:t>
      </w:r>
      <w:r>
        <w:t>Luke 2.</w:t>
      </w:r>
    </w:p>
  </w:endnote>
  <w:endnote w:id="2929">
    <w:p w:rsidR="00975183" w:rsidRDefault="00975183" w:rsidP="006A2E06">
      <w:pPr>
        <w:pStyle w:val="EndnoteText"/>
      </w:pPr>
      <w:r w:rsidRPr="00D96F94">
        <w:rPr>
          <w:rStyle w:val="EndnoteReference"/>
        </w:rPr>
        <w:endnoteRef/>
      </w:r>
      <w:r w:rsidRPr="00D96F94">
        <w:t xml:space="preserve"> </w:t>
      </w:r>
      <w:r>
        <w:t>Luke 1.</w:t>
      </w:r>
    </w:p>
  </w:endnote>
  <w:endnote w:id="2930">
    <w:p w:rsidR="00975183" w:rsidRPr="00D96F94" w:rsidRDefault="00975183" w:rsidP="006A2E06">
      <w:pPr>
        <w:pStyle w:val="EndnoteText"/>
      </w:pPr>
      <w:r w:rsidRPr="00D96F94">
        <w:rPr>
          <w:rStyle w:val="EndnoteReference"/>
        </w:rPr>
        <w:endnoteRef/>
      </w:r>
      <w:r w:rsidRPr="00D96F94">
        <w:t xml:space="preserve"> </w:t>
      </w:r>
      <w:r>
        <w:t>Luke 19.</w:t>
      </w:r>
    </w:p>
  </w:endnote>
  <w:endnote w:id="2931">
    <w:p w:rsidR="00975183" w:rsidRDefault="00975183" w:rsidP="006A2E06">
      <w:pPr>
        <w:pStyle w:val="EndnoteText"/>
        <w:rPr>
          <w:szCs w:val="18"/>
        </w:rPr>
      </w:pPr>
      <w:r w:rsidRPr="006329CD">
        <w:rPr>
          <w:rStyle w:val="EndnoteReference"/>
          <w:szCs w:val="18"/>
        </w:rPr>
        <w:endnoteRef/>
      </w:r>
      <w:r w:rsidRPr="006329CD">
        <w:rPr>
          <w:szCs w:val="18"/>
        </w:rPr>
        <w:t xml:space="preserve"> For example, the healings of the man at Gadara and of the woman with the issue of blood, the raising of Jairus’ daughter and Jesus’ calming of the sea (Luke 5); </w:t>
      </w:r>
    </w:p>
    <w:p w:rsidR="00975183" w:rsidRPr="006329CD" w:rsidRDefault="00975183" w:rsidP="006A2E06">
      <w:pPr>
        <w:pStyle w:val="EndnoteText"/>
        <w:rPr>
          <w:szCs w:val="18"/>
        </w:rPr>
      </w:pPr>
      <w:proofErr w:type="gramStart"/>
      <w:r w:rsidRPr="006329CD">
        <w:rPr>
          <w:szCs w:val="18"/>
        </w:rPr>
        <w:t>the</w:t>
      </w:r>
      <w:proofErr w:type="gramEnd"/>
      <w:r w:rsidRPr="006329CD">
        <w:rPr>
          <w:szCs w:val="18"/>
        </w:rPr>
        <w:t xml:space="preserve"> feeding of 5000 people (Luke 6).</w:t>
      </w:r>
    </w:p>
  </w:endnote>
  <w:endnote w:id="293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For example: </w:t>
      </w:r>
    </w:p>
    <w:p w:rsidR="00975183" w:rsidRPr="006329CD" w:rsidRDefault="00975183" w:rsidP="006A2E06">
      <w:pPr>
        <w:pStyle w:val="EndnoteText"/>
        <w:rPr>
          <w:szCs w:val="18"/>
        </w:rPr>
      </w:pPr>
      <w:r w:rsidRPr="006329CD">
        <w:rPr>
          <w:szCs w:val="18"/>
        </w:rPr>
        <w:t xml:space="preserve">the ‘Sermon on the Plain’: loving without expecting a reward; not judging others and obeying Jesus (Luke 6); </w:t>
      </w:r>
    </w:p>
    <w:p w:rsidR="00975183" w:rsidRPr="006329CD" w:rsidRDefault="00975183" w:rsidP="006A2E06">
      <w:pPr>
        <w:pStyle w:val="EndnoteText"/>
        <w:rPr>
          <w:szCs w:val="18"/>
        </w:rPr>
      </w:pPr>
      <w:r w:rsidRPr="006329CD">
        <w:rPr>
          <w:szCs w:val="18"/>
        </w:rPr>
        <w:t xml:space="preserve">the lessons in humility and cost of commitment (Luke 9); </w:t>
      </w:r>
    </w:p>
    <w:p w:rsidR="00975183" w:rsidRPr="006329CD" w:rsidRDefault="00975183" w:rsidP="006A2E06">
      <w:pPr>
        <w:pStyle w:val="EndnoteText"/>
        <w:rPr>
          <w:szCs w:val="18"/>
        </w:rPr>
      </w:pPr>
      <w:proofErr w:type="gramStart"/>
      <w:r w:rsidRPr="006329CD">
        <w:rPr>
          <w:szCs w:val="18"/>
        </w:rPr>
        <w:t>the</w:t>
      </w:r>
      <w:proofErr w:type="gramEnd"/>
      <w:r w:rsidRPr="006329CD">
        <w:rPr>
          <w:szCs w:val="18"/>
        </w:rPr>
        <w:t xml:space="preserve"> injunction to build up treasure in heaven (Luke 12).  </w:t>
      </w:r>
    </w:p>
    <w:p w:rsidR="00975183" w:rsidRPr="006329CD" w:rsidRDefault="00975183" w:rsidP="006A2E06">
      <w:pPr>
        <w:pStyle w:val="EndnoteText"/>
        <w:rPr>
          <w:szCs w:val="18"/>
        </w:rPr>
      </w:pPr>
      <w:r w:rsidRPr="006329CD">
        <w:rPr>
          <w:szCs w:val="18"/>
        </w:rPr>
        <w:t xml:space="preserve">Also the parables of the old and new wine/cloth (Luke 5); </w:t>
      </w:r>
    </w:p>
    <w:p w:rsidR="00975183" w:rsidRPr="006329CD" w:rsidRDefault="00975183" w:rsidP="006A2E06">
      <w:pPr>
        <w:pStyle w:val="EndnoteText"/>
        <w:rPr>
          <w:szCs w:val="18"/>
        </w:rPr>
      </w:pPr>
      <w:r w:rsidRPr="006329CD">
        <w:rPr>
          <w:szCs w:val="18"/>
        </w:rPr>
        <w:t xml:space="preserve">the sower (Luke 8); </w:t>
      </w:r>
    </w:p>
    <w:p w:rsidR="00975183" w:rsidRPr="006329CD" w:rsidRDefault="00975183" w:rsidP="006A2E06">
      <w:pPr>
        <w:pStyle w:val="EndnoteText"/>
        <w:rPr>
          <w:szCs w:val="18"/>
        </w:rPr>
      </w:pPr>
      <w:r w:rsidRPr="006329CD">
        <w:rPr>
          <w:szCs w:val="18"/>
        </w:rPr>
        <w:t xml:space="preserve">the good Samaritan (Luke 10); </w:t>
      </w:r>
    </w:p>
    <w:p w:rsidR="00975183" w:rsidRPr="006329CD" w:rsidRDefault="00975183" w:rsidP="006A2E06">
      <w:pPr>
        <w:pStyle w:val="EndnoteText"/>
        <w:rPr>
          <w:szCs w:val="18"/>
        </w:rPr>
      </w:pPr>
      <w:r w:rsidRPr="006329CD">
        <w:rPr>
          <w:szCs w:val="18"/>
        </w:rPr>
        <w:t xml:space="preserve">the lost sheep, coin (in which a woman is portrayed in a favourable light) and son (Luke 15); </w:t>
      </w:r>
    </w:p>
    <w:p w:rsidR="00975183" w:rsidRPr="006329CD" w:rsidRDefault="00975183" w:rsidP="006A2E06">
      <w:pPr>
        <w:pStyle w:val="EndnoteText"/>
        <w:rPr>
          <w:szCs w:val="18"/>
        </w:rPr>
      </w:pPr>
      <w:r w:rsidRPr="006329CD">
        <w:rPr>
          <w:szCs w:val="18"/>
        </w:rPr>
        <w:t xml:space="preserve">the labourers (Luke 19); </w:t>
      </w:r>
    </w:p>
    <w:p w:rsidR="00975183" w:rsidRPr="006329CD" w:rsidRDefault="00975183" w:rsidP="006A2E06">
      <w:pPr>
        <w:pStyle w:val="EndnoteText"/>
        <w:rPr>
          <w:szCs w:val="18"/>
        </w:rPr>
      </w:pPr>
      <w:proofErr w:type="gramStart"/>
      <w:r w:rsidRPr="006329CD">
        <w:rPr>
          <w:szCs w:val="18"/>
        </w:rPr>
        <w:t>the</w:t>
      </w:r>
      <w:proofErr w:type="gramEnd"/>
      <w:r w:rsidRPr="006329CD">
        <w:rPr>
          <w:szCs w:val="18"/>
        </w:rPr>
        <w:t xml:space="preserve"> tenants (Luke 20).</w:t>
      </w:r>
    </w:p>
  </w:endnote>
  <w:endnote w:id="293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The calling of Andrew, Simon, James, John and Levi (Luke 5); </w:t>
      </w:r>
    </w:p>
    <w:p w:rsidR="00975183" w:rsidRPr="006329CD" w:rsidRDefault="00975183" w:rsidP="006A2E06">
      <w:pPr>
        <w:pStyle w:val="EndnoteText"/>
        <w:rPr>
          <w:szCs w:val="18"/>
        </w:rPr>
      </w:pPr>
      <w:r w:rsidRPr="006329CD">
        <w:rPr>
          <w:szCs w:val="18"/>
        </w:rPr>
        <w:t xml:space="preserve">the naming of the apostles (Luke 6); </w:t>
      </w:r>
    </w:p>
    <w:p w:rsidR="00975183" w:rsidRPr="006329CD" w:rsidRDefault="00975183" w:rsidP="006A2E06">
      <w:pPr>
        <w:pStyle w:val="EndnoteText"/>
        <w:rPr>
          <w:szCs w:val="18"/>
        </w:rPr>
      </w:pPr>
      <w:r w:rsidRPr="006329CD">
        <w:rPr>
          <w:szCs w:val="18"/>
        </w:rPr>
        <w:t>the sending out of the disciples (Luke 9);</w:t>
      </w:r>
    </w:p>
    <w:p w:rsidR="00975183" w:rsidRPr="006329CD" w:rsidRDefault="00975183" w:rsidP="006A2E06">
      <w:pPr>
        <w:pStyle w:val="EndnoteText"/>
        <w:rPr>
          <w:szCs w:val="18"/>
        </w:rPr>
      </w:pPr>
      <w:proofErr w:type="gramStart"/>
      <w:r w:rsidRPr="006329CD">
        <w:rPr>
          <w:szCs w:val="18"/>
        </w:rPr>
        <w:t>the</w:t>
      </w:r>
      <w:proofErr w:type="gramEnd"/>
      <w:r w:rsidRPr="006329CD">
        <w:rPr>
          <w:szCs w:val="18"/>
        </w:rPr>
        <w:t xml:space="preserve"> sending out of the seventy-two (Luke 10). </w:t>
      </w:r>
    </w:p>
  </w:endnote>
  <w:endnote w:id="293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The calling of Andrew, Simon, James, John and Levi (Luke 5); </w:t>
      </w:r>
    </w:p>
    <w:p w:rsidR="00975183" w:rsidRPr="006329CD" w:rsidRDefault="00975183" w:rsidP="006A2E06">
      <w:pPr>
        <w:pStyle w:val="EndnoteText"/>
        <w:rPr>
          <w:szCs w:val="18"/>
        </w:rPr>
      </w:pPr>
      <w:r w:rsidRPr="006329CD">
        <w:rPr>
          <w:szCs w:val="18"/>
        </w:rPr>
        <w:t xml:space="preserve">the naming of the apostles (Luke 6); </w:t>
      </w:r>
    </w:p>
    <w:p w:rsidR="00975183" w:rsidRPr="006329CD" w:rsidRDefault="00975183" w:rsidP="006A2E06">
      <w:pPr>
        <w:pStyle w:val="EndnoteText"/>
        <w:rPr>
          <w:szCs w:val="18"/>
        </w:rPr>
      </w:pPr>
      <w:r w:rsidRPr="006329CD">
        <w:rPr>
          <w:szCs w:val="18"/>
        </w:rPr>
        <w:t>the sending out of the disciples (Luke 9);</w:t>
      </w:r>
    </w:p>
    <w:p w:rsidR="00975183" w:rsidRPr="006329CD" w:rsidRDefault="00975183" w:rsidP="006A2E06">
      <w:pPr>
        <w:pStyle w:val="EndnoteText"/>
        <w:rPr>
          <w:szCs w:val="18"/>
        </w:rPr>
      </w:pPr>
      <w:proofErr w:type="gramStart"/>
      <w:r w:rsidRPr="006329CD">
        <w:rPr>
          <w:szCs w:val="18"/>
        </w:rPr>
        <w:t>the</w:t>
      </w:r>
      <w:proofErr w:type="gramEnd"/>
      <w:r w:rsidRPr="006329CD">
        <w:rPr>
          <w:szCs w:val="18"/>
        </w:rPr>
        <w:t xml:space="preserve"> sending out of the seventy-two (Luke 10). </w:t>
      </w:r>
    </w:p>
  </w:endnote>
  <w:endnote w:id="293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Lk 8:21.</w:t>
      </w:r>
    </w:p>
  </w:endnote>
  <w:endnote w:id="293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 xml:space="preserve">SRB </w:t>
      </w:r>
      <w:r w:rsidRPr="006329CD">
        <w:rPr>
          <w:szCs w:val="18"/>
        </w:rPr>
        <w:t>note on Mt</w:t>
      </w:r>
      <w:r w:rsidRPr="00A12D57">
        <w:rPr>
          <w:szCs w:val="18"/>
        </w:rPr>
        <w:t>. 25:32</w:t>
      </w:r>
      <w:r w:rsidRPr="006329CD">
        <w:rPr>
          <w:szCs w:val="18"/>
        </w:rPr>
        <w:t xml:space="preserve">, p. 1036.  </w:t>
      </w:r>
      <w:r w:rsidRPr="00A12D57">
        <w:rPr>
          <w:b/>
          <w:szCs w:val="18"/>
        </w:rPr>
        <w:t>See 7.1.3 and endnote 368</w:t>
      </w:r>
      <w:r w:rsidRPr="006329CD">
        <w:rPr>
          <w:b/>
          <w:szCs w:val="18"/>
        </w:rPr>
        <w:t>.</w:t>
      </w:r>
      <w:r w:rsidRPr="006329CD">
        <w:rPr>
          <w:szCs w:val="18"/>
        </w:rPr>
        <w:t xml:space="preserve">  </w:t>
      </w:r>
    </w:p>
  </w:endnote>
  <w:endnote w:id="2937">
    <w:p w:rsidR="00975183" w:rsidRPr="00350D40" w:rsidRDefault="00975183" w:rsidP="006A2E06">
      <w:pPr>
        <w:pStyle w:val="EndnoteText"/>
      </w:pPr>
      <w:r w:rsidRPr="00350D40">
        <w:rPr>
          <w:rStyle w:val="EndnoteReference"/>
        </w:rPr>
        <w:endnoteRef/>
      </w:r>
      <w:r w:rsidRPr="00350D40">
        <w:t xml:space="preserve"> </w:t>
      </w:r>
      <w:r w:rsidRPr="00350D40">
        <w:rPr>
          <w:i/>
        </w:rPr>
        <w:t>SRB</w:t>
      </w:r>
      <w:r>
        <w:t xml:space="preserve"> notes on Lk. 22:66, p. 1107; 23:33, p. 1110; 24:1, p. 1111; 24:13, p. 1113.</w:t>
      </w:r>
    </w:p>
  </w:endnote>
  <w:endnote w:id="2938">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John, p. 1114.</w:t>
      </w:r>
    </w:p>
  </w:endnote>
  <w:endnote w:id="2939">
    <w:p w:rsidR="00975183" w:rsidRPr="000F72E0" w:rsidRDefault="00975183" w:rsidP="006A2E06">
      <w:pPr>
        <w:pStyle w:val="EndnoteText"/>
      </w:pPr>
      <w:r w:rsidRPr="005D00B9">
        <w:rPr>
          <w:rStyle w:val="FootnoteReference"/>
        </w:rPr>
        <w:endnoteRef/>
      </w:r>
      <w:r w:rsidRPr="005D00B9">
        <w:t xml:space="preserve"> Ref. Jn 1:1-14.</w:t>
      </w:r>
    </w:p>
  </w:endnote>
  <w:endnote w:id="2940">
    <w:p w:rsidR="00975183" w:rsidRDefault="00975183" w:rsidP="006A2E06">
      <w:pPr>
        <w:pStyle w:val="EndnoteText"/>
      </w:pPr>
      <w:r w:rsidRPr="005D00B9">
        <w:rPr>
          <w:rStyle w:val="FootnoteReference"/>
        </w:rPr>
        <w:endnoteRef/>
      </w:r>
      <w:r w:rsidRPr="005D00B9">
        <w:t xml:space="preserve"> Ref. Jn 20:31.</w:t>
      </w:r>
    </w:p>
  </w:endnote>
  <w:endnote w:id="2941">
    <w:p w:rsidR="00975183" w:rsidRPr="00C55D72" w:rsidRDefault="00975183" w:rsidP="006A2E06">
      <w:pPr>
        <w:pStyle w:val="EndnoteText"/>
      </w:pPr>
      <w:r w:rsidRPr="00C55D72">
        <w:rPr>
          <w:rStyle w:val="EndnoteReference"/>
        </w:rPr>
        <w:endnoteRef/>
      </w:r>
      <w:r w:rsidRPr="00C55D72">
        <w:t xml:space="preserve"> Ref. Jn 21:24</w:t>
      </w:r>
      <w:r>
        <w:t>.</w:t>
      </w:r>
    </w:p>
  </w:endnote>
  <w:endnote w:id="2942">
    <w:p w:rsidR="00975183" w:rsidRDefault="00975183" w:rsidP="006A2E06">
      <w:pPr>
        <w:pStyle w:val="EndnoteText"/>
        <w:tabs>
          <w:tab w:val="left" w:pos="7230"/>
        </w:tabs>
        <w:rPr>
          <w:szCs w:val="18"/>
        </w:rPr>
      </w:pPr>
      <w:r w:rsidRPr="006329CD">
        <w:rPr>
          <w:rStyle w:val="EndnoteReference"/>
          <w:szCs w:val="18"/>
        </w:rPr>
        <w:endnoteRef/>
      </w:r>
      <w:r w:rsidRPr="006329CD">
        <w:rPr>
          <w:szCs w:val="18"/>
        </w:rPr>
        <w:t xml:space="preserve"> John 2, 4, 6, 9, 11, 18, 19 and 21 are not annotated at all.  In the remaining chapters, only Jn 1:1, 17</w:t>
      </w:r>
      <w:r>
        <w:rPr>
          <w:szCs w:val="18"/>
        </w:rPr>
        <w:t>, 1</w:t>
      </w:r>
      <w:r w:rsidRPr="006329CD">
        <w:rPr>
          <w:szCs w:val="18"/>
        </w:rPr>
        <w:t xml:space="preserve">8; </w:t>
      </w:r>
    </w:p>
    <w:p w:rsidR="00975183" w:rsidRPr="004329AD" w:rsidRDefault="00975183" w:rsidP="006A2E06">
      <w:pPr>
        <w:pStyle w:val="EndnoteText"/>
        <w:tabs>
          <w:tab w:val="left" w:pos="7230"/>
        </w:tabs>
        <w:rPr>
          <w:szCs w:val="18"/>
        </w:rPr>
      </w:pPr>
      <w:r w:rsidRPr="006329CD">
        <w:rPr>
          <w:szCs w:val="18"/>
        </w:rPr>
        <w:t>3:3</w:t>
      </w:r>
      <w:r>
        <w:rPr>
          <w:szCs w:val="18"/>
        </w:rPr>
        <w:t>, 1</w:t>
      </w:r>
      <w:r w:rsidRPr="006329CD">
        <w:rPr>
          <w:szCs w:val="18"/>
        </w:rPr>
        <w:t>6; 5:31; 7:53; 8:37; 10:7; 12:23, 24</w:t>
      </w:r>
      <w:r>
        <w:rPr>
          <w:szCs w:val="18"/>
        </w:rPr>
        <w:t>,</w:t>
      </w:r>
      <w:r w:rsidRPr="006329CD">
        <w:rPr>
          <w:szCs w:val="18"/>
        </w:rPr>
        <w:t xml:space="preserve"> 31; 13:1; 14:3</w:t>
      </w:r>
      <w:r>
        <w:rPr>
          <w:szCs w:val="18"/>
        </w:rPr>
        <w:t>,</w:t>
      </w:r>
      <w:r w:rsidRPr="006329CD">
        <w:rPr>
          <w:szCs w:val="18"/>
        </w:rPr>
        <w:t xml:space="preserve"> 16; 15:2, 4,</w:t>
      </w:r>
      <w:r>
        <w:rPr>
          <w:szCs w:val="18"/>
        </w:rPr>
        <w:t xml:space="preserve"> </w:t>
      </w:r>
      <w:r w:rsidRPr="006329CD">
        <w:rPr>
          <w:szCs w:val="18"/>
        </w:rPr>
        <w:t>8 15; 16:12; 17:1</w:t>
      </w:r>
      <w:r>
        <w:rPr>
          <w:szCs w:val="18"/>
        </w:rPr>
        <w:t xml:space="preserve">, </w:t>
      </w:r>
      <w:r w:rsidRPr="006329CD">
        <w:rPr>
          <w:szCs w:val="18"/>
        </w:rPr>
        <w:t>2; 20:17</w:t>
      </w:r>
      <w:r>
        <w:rPr>
          <w:szCs w:val="18"/>
        </w:rPr>
        <w:t xml:space="preserve">, </w:t>
      </w:r>
      <w:r w:rsidRPr="006329CD">
        <w:rPr>
          <w:szCs w:val="18"/>
        </w:rPr>
        <w:t xml:space="preserve">21 are </w:t>
      </w:r>
      <w:r w:rsidRPr="004329AD">
        <w:rPr>
          <w:szCs w:val="18"/>
        </w:rPr>
        <w:t>annotated.</w:t>
      </w:r>
    </w:p>
  </w:endnote>
  <w:endnote w:id="2943">
    <w:p w:rsidR="00975183" w:rsidRPr="004329AD" w:rsidRDefault="00975183" w:rsidP="006A2E06">
      <w:pPr>
        <w:pStyle w:val="EndnoteText"/>
      </w:pPr>
      <w:r w:rsidRPr="004329AD">
        <w:rPr>
          <w:rStyle w:val="EndnoteReference"/>
        </w:rPr>
        <w:endnoteRef/>
      </w:r>
      <w:r w:rsidRPr="004329AD">
        <w:t xml:space="preserve"> </w:t>
      </w:r>
      <w:proofErr w:type="gramStart"/>
      <w:r w:rsidRPr="004329AD">
        <w:rPr>
          <w:b/>
        </w:rPr>
        <w:t>See 5.6.1</w:t>
      </w:r>
      <w:r w:rsidRPr="004329AD">
        <w:t>.</w:t>
      </w:r>
      <w:proofErr w:type="gramEnd"/>
    </w:p>
  </w:endnote>
  <w:endnote w:id="2944">
    <w:p w:rsidR="00975183" w:rsidRPr="004329AD" w:rsidRDefault="00975183" w:rsidP="006A2E06">
      <w:pPr>
        <w:pStyle w:val="EndnoteText"/>
      </w:pPr>
      <w:r w:rsidRPr="004329AD">
        <w:rPr>
          <w:rStyle w:val="EndnoteReference"/>
        </w:rPr>
        <w:endnoteRef/>
      </w:r>
      <w:r w:rsidRPr="004329AD">
        <w:t xml:space="preserve"> </w:t>
      </w:r>
      <w:r w:rsidRPr="004329AD">
        <w:rPr>
          <w:b/>
        </w:rPr>
        <w:t>See 2.4</w:t>
      </w:r>
      <w:r w:rsidRPr="004329AD">
        <w:t>.</w:t>
      </w:r>
    </w:p>
  </w:endnote>
  <w:endnote w:id="2945">
    <w:p w:rsidR="00975183" w:rsidRPr="004329AD" w:rsidRDefault="00975183" w:rsidP="006A2E06">
      <w:pPr>
        <w:pStyle w:val="EndnoteText"/>
      </w:pPr>
      <w:r w:rsidRPr="004329AD">
        <w:rPr>
          <w:rStyle w:val="EndnoteReference"/>
        </w:rPr>
        <w:endnoteRef/>
      </w:r>
      <w:r w:rsidRPr="004329AD">
        <w:t xml:space="preserve"> For example, </w:t>
      </w:r>
      <w:r w:rsidRPr="004329AD">
        <w:rPr>
          <w:i/>
        </w:rPr>
        <w:t xml:space="preserve">SRB </w:t>
      </w:r>
      <w:r w:rsidRPr="004329AD">
        <w:t>notes on Jn 3:3, pp. 1117-8 (new birth); 8:37, p. 1125 (Abraham’s progeny); 12:31, p. 1133 (the seven judgments); 13:10, p. 1134 (cleansing by Christ); 15:2, p. 1136 (three conditions for living afruitful life); 15:4, pp. 1136-7 (abiding in Christ); 15:8, p. 1137 (</w:t>
      </w:r>
      <w:r w:rsidRPr="004329AD">
        <w:rPr>
          <w:szCs w:val="22"/>
        </w:rPr>
        <w:t>‘three degrees in fruit-bearing’</w:t>
      </w:r>
      <w:r w:rsidRPr="004329AD">
        <w:rPr>
          <w:sz w:val="22"/>
          <w:szCs w:val="22"/>
        </w:rPr>
        <w:t xml:space="preserve">); </w:t>
      </w:r>
      <w:r w:rsidRPr="004329AD">
        <w:t>16:12, p. 1138</w:t>
      </w:r>
      <w:r w:rsidRPr="004329AD">
        <w:rPr>
          <w:sz w:val="22"/>
          <w:szCs w:val="22"/>
        </w:rPr>
        <w:t xml:space="preserve"> (</w:t>
      </w:r>
      <w:r w:rsidRPr="004329AD">
        <w:rPr>
          <w:szCs w:val="22"/>
        </w:rPr>
        <w:t>Christ’s authentication of the New Testament</w:t>
      </w:r>
      <w:r w:rsidRPr="004329AD">
        <w:rPr>
          <w:sz w:val="22"/>
          <w:szCs w:val="22"/>
        </w:rPr>
        <w:t xml:space="preserve">); </w:t>
      </w:r>
      <w:r w:rsidRPr="004329AD">
        <w:t>17:1 and 2, p. 1139</w:t>
      </w:r>
      <w:r w:rsidRPr="004329AD">
        <w:rPr>
          <w:szCs w:val="22"/>
        </w:rPr>
        <w:t xml:space="preserve"> (Christ’s petitions concerning, and gifts to, believers).</w:t>
      </w:r>
    </w:p>
  </w:endnote>
  <w:endnote w:id="2946">
    <w:p w:rsidR="00975183" w:rsidRPr="004329AD" w:rsidRDefault="00975183" w:rsidP="006A2E06">
      <w:pPr>
        <w:pStyle w:val="EndnoteText"/>
      </w:pPr>
      <w:r w:rsidRPr="004329AD">
        <w:rPr>
          <w:rStyle w:val="EndnoteReference"/>
        </w:rPr>
        <w:endnoteRef/>
      </w:r>
      <w:r w:rsidRPr="004329AD">
        <w:t xml:space="preserve"> </w:t>
      </w:r>
      <w:r w:rsidRPr="004329AD">
        <w:rPr>
          <w:i/>
        </w:rPr>
        <w:t>SRB</w:t>
      </w:r>
      <w:r w:rsidRPr="004329AD">
        <w:t xml:space="preserve"> note on Exod. 19:5, p. 93.</w:t>
      </w:r>
    </w:p>
  </w:endnote>
  <w:endnote w:id="2947">
    <w:p w:rsidR="00975183" w:rsidRPr="004329AD" w:rsidRDefault="00975183" w:rsidP="006A2E06">
      <w:pPr>
        <w:pStyle w:val="EndnoteText"/>
      </w:pPr>
      <w:r w:rsidRPr="004329AD">
        <w:rPr>
          <w:rStyle w:val="EndnoteReference"/>
        </w:rPr>
        <w:endnoteRef/>
      </w:r>
      <w:r w:rsidRPr="004329AD">
        <w:t xml:space="preserve"> For example, </w:t>
      </w:r>
      <w:r w:rsidRPr="004329AD">
        <w:rPr>
          <w:i/>
        </w:rPr>
        <w:t>SRB</w:t>
      </w:r>
      <w:r w:rsidRPr="004329AD">
        <w:t xml:space="preserve"> notes on Mt. 10:2, p. 1008 and 28:19, p. 1044.  </w:t>
      </w:r>
      <w:proofErr w:type="gramStart"/>
      <w:r w:rsidRPr="004329AD">
        <w:rPr>
          <w:b/>
        </w:rPr>
        <w:t xml:space="preserve">See 5.4.5 </w:t>
      </w:r>
      <w:r w:rsidRPr="004329AD">
        <w:t>(</w:t>
      </w:r>
      <w:r w:rsidRPr="004329AD">
        <w:rPr>
          <w:i/>
        </w:rPr>
        <w:t xml:space="preserve">SRB </w:t>
      </w:r>
      <w:r w:rsidRPr="004329AD">
        <w:t>note on Gal. 3:24);</w:t>
      </w:r>
      <w:r w:rsidRPr="004329AD">
        <w:rPr>
          <w:b/>
        </w:rPr>
        <w:t xml:space="preserve"> 5.6.1</w:t>
      </w:r>
      <w:r w:rsidRPr="004329AD">
        <w:t>.</w:t>
      </w:r>
      <w:proofErr w:type="gramEnd"/>
      <w:r w:rsidRPr="004329AD">
        <w:t xml:space="preserve">   </w:t>
      </w:r>
    </w:p>
  </w:endnote>
  <w:endnote w:id="2948">
    <w:p w:rsidR="00975183" w:rsidRDefault="00975183" w:rsidP="006A2E06">
      <w:pPr>
        <w:pStyle w:val="EndnoteText"/>
      </w:pPr>
      <w:r w:rsidRPr="00DE7D79">
        <w:rPr>
          <w:rStyle w:val="EndnoteReference"/>
        </w:rPr>
        <w:endnoteRef/>
      </w:r>
      <w:r w:rsidRPr="00DE7D79">
        <w:t xml:space="preserve"> </w:t>
      </w:r>
      <w:r w:rsidRPr="00DE7D79">
        <w:rPr>
          <w:i/>
        </w:rPr>
        <w:t>SRB</w:t>
      </w:r>
      <w:r>
        <w:t xml:space="preserve"> note on Jn 1:17, p. 1115.  </w:t>
      </w:r>
      <w:r w:rsidRPr="00C358C1">
        <w:rPr>
          <w:b/>
        </w:rPr>
        <w:t xml:space="preserve">cf </w:t>
      </w:r>
      <w:r w:rsidRPr="00C358C1">
        <w:rPr>
          <w:b/>
          <w:i/>
        </w:rPr>
        <w:t>SRB</w:t>
      </w:r>
      <w:r w:rsidRPr="00C358C1">
        <w:rPr>
          <w:b/>
        </w:rPr>
        <w:t xml:space="preserve"> notes on Acts 2:14, p. 1150 and 9:20, p. 1161, discussed below</w:t>
      </w:r>
      <w:r>
        <w:t>.</w:t>
      </w:r>
    </w:p>
  </w:endnote>
  <w:endnote w:id="294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87</w:t>
      </w:r>
      <w:r w:rsidRPr="006329CD">
        <w:t xml:space="preserve"> words for every 100 words in the corresponding </w:t>
      </w:r>
      <w:r w:rsidRPr="006329CD">
        <w:rPr>
          <w:i/>
        </w:rPr>
        <w:t>KJV</w:t>
      </w:r>
      <w:r w:rsidRPr="006329CD">
        <w:t xml:space="preserve"> text.</w:t>
      </w:r>
      <w:proofErr w:type="gramEnd"/>
    </w:p>
  </w:endnote>
  <w:endnote w:id="2950">
    <w:p w:rsidR="00975183" w:rsidRDefault="00975183" w:rsidP="006A2E06">
      <w:pPr>
        <w:pStyle w:val="EndnoteText"/>
      </w:pPr>
      <w:r w:rsidRPr="00EF2AB8">
        <w:rPr>
          <w:rStyle w:val="EndnoteReference"/>
        </w:rPr>
        <w:endnoteRef/>
      </w:r>
      <w:r w:rsidRPr="00EF2AB8">
        <w:t xml:space="preserve"> </w:t>
      </w:r>
      <w:r w:rsidRPr="00EF2AB8">
        <w:rPr>
          <w:i/>
        </w:rPr>
        <w:t>SRB</w:t>
      </w:r>
      <w:r w:rsidRPr="00EF2AB8">
        <w:t xml:space="preserve"> note on Jn 20:17, pp. 1143-4.</w:t>
      </w:r>
    </w:p>
  </w:endnote>
  <w:endnote w:id="2951">
    <w:p w:rsidR="00975183" w:rsidRPr="000463C8" w:rsidRDefault="00975183" w:rsidP="006A2E06">
      <w:pPr>
        <w:pStyle w:val="EndnoteText"/>
      </w:pPr>
      <w:r w:rsidRPr="000463C8">
        <w:rPr>
          <w:rStyle w:val="EndnoteReference"/>
        </w:rPr>
        <w:endnoteRef/>
      </w:r>
      <w:r w:rsidRPr="000463C8">
        <w:t xml:space="preserve"> </w:t>
      </w:r>
      <w:r w:rsidRPr="0084719E">
        <w:rPr>
          <w:i/>
        </w:rPr>
        <w:t>SRB</w:t>
      </w:r>
      <w:r w:rsidRPr="0084719E">
        <w:t xml:space="preserve"> note on Jn 20:28, pp. 1144-5.</w:t>
      </w:r>
    </w:p>
  </w:endnote>
  <w:endnote w:id="2952">
    <w:p w:rsidR="00975183" w:rsidRPr="006A0EA9" w:rsidRDefault="00975183" w:rsidP="006A2E06">
      <w:pPr>
        <w:pStyle w:val="EndnoteText"/>
      </w:pPr>
      <w:r w:rsidRPr="006A0EA9">
        <w:rPr>
          <w:rStyle w:val="EndnoteReference"/>
        </w:rPr>
        <w:endnoteRef/>
      </w:r>
      <w:r w:rsidRPr="006A0EA9">
        <w:t xml:space="preserve"> </w:t>
      </w:r>
      <w:r>
        <w:t xml:space="preserve">For example, </w:t>
      </w:r>
      <w:r w:rsidRPr="006A4363">
        <w:rPr>
          <w:i/>
          <w:szCs w:val="18"/>
        </w:rPr>
        <w:t>SRB</w:t>
      </w:r>
      <w:r w:rsidRPr="006A4363">
        <w:rPr>
          <w:szCs w:val="18"/>
        </w:rPr>
        <w:t xml:space="preserve"> </w:t>
      </w:r>
      <w:r>
        <w:rPr>
          <w:szCs w:val="18"/>
        </w:rPr>
        <w:t>n</w:t>
      </w:r>
      <w:r w:rsidRPr="006A4363">
        <w:rPr>
          <w:szCs w:val="18"/>
        </w:rPr>
        <w:t>ote</w:t>
      </w:r>
      <w:r>
        <w:rPr>
          <w:szCs w:val="18"/>
        </w:rPr>
        <w:t>s</w:t>
      </w:r>
      <w:r w:rsidRPr="006A4363">
        <w:rPr>
          <w:szCs w:val="18"/>
        </w:rPr>
        <w:t xml:space="preserve"> on Num. 24:15, p. 200</w:t>
      </w:r>
      <w:r>
        <w:rPr>
          <w:szCs w:val="18"/>
        </w:rPr>
        <w:t xml:space="preserve">; </w:t>
      </w:r>
      <w:r w:rsidRPr="006A4363">
        <w:rPr>
          <w:szCs w:val="18"/>
        </w:rPr>
        <w:t>Ps. 16:9, p. 605</w:t>
      </w:r>
      <w:r>
        <w:rPr>
          <w:szCs w:val="18"/>
        </w:rPr>
        <w:t xml:space="preserve">; </w:t>
      </w:r>
      <w:r w:rsidRPr="006A4363">
        <w:rPr>
          <w:szCs w:val="18"/>
        </w:rPr>
        <w:t>Ps. 2:6,</w:t>
      </w:r>
      <w:r>
        <w:rPr>
          <w:szCs w:val="18"/>
        </w:rPr>
        <w:t xml:space="preserve"> </w:t>
      </w:r>
      <w:r w:rsidRPr="006A4363">
        <w:rPr>
          <w:szCs w:val="18"/>
        </w:rPr>
        <w:t>p. 600</w:t>
      </w:r>
      <w:r>
        <w:rPr>
          <w:szCs w:val="18"/>
        </w:rPr>
        <w:t xml:space="preserve">; </w:t>
      </w:r>
      <w:r w:rsidRPr="006A4363">
        <w:rPr>
          <w:szCs w:val="18"/>
        </w:rPr>
        <w:t>Ps. 118:29, p. 658</w:t>
      </w:r>
      <w:r>
        <w:rPr>
          <w:szCs w:val="18"/>
        </w:rPr>
        <w:t xml:space="preserve">; </w:t>
      </w:r>
      <w:r w:rsidRPr="006A4363">
        <w:rPr>
          <w:szCs w:val="18"/>
        </w:rPr>
        <w:t>Ps. 72:1, p. 633</w:t>
      </w:r>
      <w:r>
        <w:rPr>
          <w:szCs w:val="18"/>
        </w:rPr>
        <w:t xml:space="preserve">; </w:t>
      </w:r>
      <w:r w:rsidRPr="006A4363">
        <w:rPr>
          <w:szCs w:val="18"/>
        </w:rPr>
        <w:t>Mic. 5:1, p. 949</w:t>
      </w:r>
      <w:r>
        <w:rPr>
          <w:szCs w:val="18"/>
        </w:rPr>
        <w:t xml:space="preserve">; </w:t>
      </w:r>
      <w:r w:rsidRPr="007E651A">
        <w:rPr>
          <w:i/>
          <w:szCs w:val="18"/>
        </w:rPr>
        <w:t>SRB</w:t>
      </w:r>
      <w:r>
        <w:rPr>
          <w:szCs w:val="18"/>
        </w:rPr>
        <w:t xml:space="preserve"> subheads to </w:t>
      </w:r>
      <w:r w:rsidRPr="00BD60F8">
        <w:rPr>
          <w:szCs w:val="18"/>
        </w:rPr>
        <w:t>Ezek. 21:18, p. 862</w:t>
      </w:r>
      <w:r>
        <w:rPr>
          <w:szCs w:val="18"/>
        </w:rPr>
        <w:t xml:space="preserve">; </w:t>
      </w:r>
      <w:r w:rsidRPr="00BD60F8">
        <w:rPr>
          <w:szCs w:val="18"/>
        </w:rPr>
        <w:t>Mic. 4:1, p. 948</w:t>
      </w:r>
      <w:r>
        <w:rPr>
          <w:szCs w:val="18"/>
        </w:rPr>
        <w:t xml:space="preserve">; </w:t>
      </w:r>
      <w:r w:rsidRPr="00BD60F8">
        <w:rPr>
          <w:i/>
          <w:szCs w:val="18"/>
        </w:rPr>
        <w:t>SRB</w:t>
      </w:r>
      <w:r w:rsidRPr="00BD60F8">
        <w:rPr>
          <w:szCs w:val="18"/>
        </w:rPr>
        <w:t xml:space="preserve"> Introduction</w:t>
      </w:r>
      <w:r>
        <w:rPr>
          <w:szCs w:val="18"/>
        </w:rPr>
        <w:t>s</w:t>
      </w:r>
      <w:r w:rsidRPr="00BD60F8">
        <w:rPr>
          <w:szCs w:val="18"/>
        </w:rPr>
        <w:t xml:space="preserve"> to the Historical Books, p. 257</w:t>
      </w:r>
      <w:r>
        <w:rPr>
          <w:szCs w:val="18"/>
        </w:rPr>
        <w:t xml:space="preserve">; </w:t>
      </w:r>
      <w:r w:rsidRPr="006A4363">
        <w:rPr>
          <w:szCs w:val="18"/>
        </w:rPr>
        <w:t>the Prophetical Books, pp. 711-12</w:t>
      </w:r>
      <w:r>
        <w:rPr>
          <w:szCs w:val="18"/>
        </w:rPr>
        <w:t xml:space="preserve">; </w:t>
      </w:r>
      <w:r w:rsidRPr="006A4363">
        <w:rPr>
          <w:szCs w:val="18"/>
        </w:rPr>
        <w:t>Daniel, p. 898</w:t>
      </w:r>
      <w:r>
        <w:rPr>
          <w:szCs w:val="18"/>
        </w:rPr>
        <w:t xml:space="preserve">; </w:t>
      </w:r>
      <w:r w:rsidRPr="006A4363">
        <w:rPr>
          <w:szCs w:val="18"/>
        </w:rPr>
        <w:t xml:space="preserve">Zephaniah, </w:t>
      </w:r>
      <w:r>
        <w:rPr>
          <w:szCs w:val="18"/>
        </w:rPr>
        <w:t xml:space="preserve">p. </w:t>
      </w:r>
      <w:r w:rsidRPr="006A4363">
        <w:rPr>
          <w:szCs w:val="18"/>
        </w:rPr>
        <w:t>959</w:t>
      </w:r>
      <w:r w:rsidRPr="006A4363">
        <w:rPr>
          <w:szCs w:val="18"/>
          <w:lang w:eastAsia="en-GB"/>
        </w:rPr>
        <w:t>.</w:t>
      </w:r>
    </w:p>
  </w:endnote>
  <w:endnote w:id="2953">
    <w:p w:rsidR="00975183" w:rsidRPr="000463C8" w:rsidRDefault="00975183" w:rsidP="006A2E06">
      <w:pPr>
        <w:pStyle w:val="EndnoteText"/>
      </w:pPr>
      <w:r w:rsidRPr="000463C8">
        <w:rPr>
          <w:rStyle w:val="EndnoteReference"/>
        </w:rPr>
        <w:endnoteRef/>
      </w:r>
      <w:r w:rsidRPr="000463C8">
        <w:t xml:space="preserve"> </w:t>
      </w:r>
      <w:r w:rsidRPr="0084719E">
        <w:rPr>
          <w:i/>
        </w:rPr>
        <w:t>SRB</w:t>
      </w:r>
      <w:r w:rsidRPr="0084719E">
        <w:t xml:space="preserve"> note on Jn 20:28, pp. 1144-5.</w:t>
      </w:r>
      <w:r>
        <w:t xml:space="preserve">  </w:t>
      </w:r>
      <w:proofErr w:type="gramStart"/>
      <w:r>
        <w:t>Point 2a.</w:t>
      </w:r>
      <w:proofErr w:type="gramEnd"/>
    </w:p>
  </w:endnote>
  <w:endnote w:id="2954">
    <w:p w:rsidR="00975183" w:rsidRPr="00726608" w:rsidRDefault="00975183" w:rsidP="006A2E06">
      <w:pPr>
        <w:pStyle w:val="EndnoteText"/>
      </w:pPr>
      <w:r w:rsidRPr="00726608">
        <w:rPr>
          <w:rStyle w:val="EndnoteReference"/>
        </w:rPr>
        <w:endnoteRef/>
      </w:r>
      <w:r w:rsidRPr="00726608">
        <w:t xml:space="preserve"> </w:t>
      </w:r>
      <w:r>
        <w:t>1 Sam. 9:19; Isa. 52:6.</w:t>
      </w:r>
    </w:p>
  </w:endnote>
  <w:endnote w:id="2955">
    <w:p w:rsidR="00975183" w:rsidRPr="00822789" w:rsidRDefault="00975183" w:rsidP="006A2E06">
      <w:pPr>
        <w:pStyle w:val="EndnoteText"/>
      </w:pPr>
      <w:r w:rsidRPr="00822789">
        <w:rPr>
          <w:rStyle w:val="EndnoteReference"/>
        </w:rPr>
        <w:endnoteRef/>
      </w:r>
      <w:r w:rsidRPr="00822789">
        <w:t xml:space="preserve"> </w:t>
      </w:r>
      <w:r>
        <w:t>Lk. 24:39.</w:t>
      </w:r>
    </w:p>
  </w:endnote>
  <w:endnote w:id="2956">
    <w:p w:rsidR="00975183" w:rsidRPr="004C2F3A" w:rsidRDefault="00975183" w:rsidP="006A2E06">
      <w:pPr>
        <w:pStyle w:val="EndnoteText"/>
      </w:pPr>
      <w:r w:rsidRPr="004C2F3A">
        <w:rPr>
          <w:rStyle w:val="EndnoteReference"/>
        </w:rPr>
        <w:endnoteRef/>
      </w:r>
      <w:r w:rsidRPr="004C2F3A">
        <w:t xml:space="preserve"> </w:t>
      </w:r>
      <w:proofErr w:type="gramStart"/>
      <w:r w:rsidRPr="00614F9A">
        <w:rPr>
          <w:b/>
        </w:rPr>
        <w:t>See 8.4.1</w:t>
      </w:r>
      <w:r>
        <w:t>.</w:t>
      </w:r>
      <w:proofErr w:type="gramEnd"/>
    </w:p>
  </w:endnote>
  <w:endnote w:id="2957">
    <w:p w:rsidR="00975183" w:rsidRPr="00822789" w:rsidRDefault="00975183" w:rsidP="006A2E06">
      <w:pPr>
        <w:pStyle w:val="EndnoteText"/>
      </w:pPr>
      <w:r w:rsidRPr="00822789">
        <w:rPr>
          <w:rStyle w:val="EndnoteReference"/>
        </w:rPr>
        <w:endnoteRef/>
      </w:r>
      <w:r w:rsidRPr="00822789">
        <w:t xml:space="preserve"> </w:t>
      </w:r>
      <w:r>
        <w:t>Jn 6:35, 41, 48, 51; 8:12; 10:7, 9; 10:11, 14; 11:25; 14:6; 15:1, 5.</w:t>
      </w:r>
    </w:p>
  </w:endnote>
  <w:endnote w:id="2958">
    <w:p w:rsidR="00975183" w:rsidRPr="006329CD" w:rsidRDefault="00975183" w:rsidP="006A2E06">
      <w:pPr>
        <w:pStyle w:val="EndnoteText"/>
      </w:pPr>
      <w:r w:rsidRPr="006329CD">
        <w:rPr>
          <w:rStyle w:val="EndnoteReference"/>
        </w:rPr>
        <w:endnoteRef/>
      </w:r>
      <w:r w:rsidRPr="006329CD">
        <w:t xml:space="preserve"> </w:t>
      </w:r>
      <w:r w:rsidRPr="005361DD">
        <w:rPr>
          <w:i/>
        </w:rPr>
        <w:t>SRB</w:t>
      </w:r>
      <w:r w:rsidRPr="006329CD">
        <w:t xml:space="preserve"> notes on Jn 12:24, p. 1133</w:t>
      </w:r>
      <w:r>
        <w:t>;</w:t>
      </w:r>
      <w:r w:rsidRPr="006329CD">
        <w:t xml:space="preserve"> Jn 13:10, p. 1134.  </w:t>
      </w:r>
    </w:p>
  </w:endnote>
  <w:endnote w:id="2959">
    <w:p w:rsidR="00975183" w:rsidRDefault="00975183" w:rsidP="006A2E06">
      <w:pPr>
        <w:pStyle w:val="EndnoteText"/>
      </w:pPr>
      <w:r w:rsidRPr="005A4949">
        <w:rPr>
          <w:rStyle w:val="FootnoteReference"/>
        </w:rPr>
        <w:endnoteRef/>
      </w:r>
      <w:r w:rsidRPr="005A4949">
        <w:t xml:space="preserve"> </w:t>
      </w:r>
      <w:r w:rsidRPr="005A4949">
        <w:rPr>
          <w:i/>
        </w:rPr>
        <w:t>SRB</w:t>
      </w:r>
      <w:r w:rsidRPr="005A4949">
        <w:t xml:space="preserve"> note on Exod. 25:1, p. 100.  </w:t>
      </w:r>
    </w:p>
  </w:endnote>
  <w:endnote w:id="2960">
    <w:p w:rsidR="00975183" w:rsidRDefault="00975183" w:rsidP="006A2E06">
      <w:pPr>
        <w:pStyle w:val="EndnoteText"/>
      </w:pPr>
      <w:r w:rsidRPr="005A4949">
        <w:rPr>
          <w:rStyle w:val="FootnoteReference"/>
        </w:rPr>
        <w:endnoteRef/>
      </w:r>
      <w:r w:rsidRPr="005A4949">
        <w:t xml:space="preserve"> </w:t>
      </w:r>
      <w:r w:rsidRPr="005A4949">
        <w:rPr>
          <w:i/>
        </w:rPr>
        <w:t>SRB</w:t>
      </w:r>
      <w:r w:rsidRPr="005A4949">
        <w:t xml:space="preserve"> note on</w:t>
      </w:r>
      <w:r>
        <w:t xml:space="preserve"> Jn 12:23, p. 1132.</w:t>
      </w:r>
    </w:p>
  </w:endnote>
  <w:endnote w:id="2961">
    <w:p w:rsidR="00975183" w:rsidRPr="00FF13AE" w:rsidRDefault="00975183" w:rsidP="006A2E06">
      <w:pPr>
        <w:pStyle w:val="EndnoteText"/>
      </w:pPr>
      <w:r w:rsidRPr="00FF13AE">
        <w:rPr>
          <w:rStyle w:val="EndnoteReference"/>
        </w:rPr>
        <w:endnoteRef/>
      </w:r>
      <w:r w:rsidRPr="00FF13AE">
        <w:t xml:space="preserve"> </w:t>
      </w:r>
      <w:r>
        <w:t xml:space="preserve">cf </w:t>
      </w:r>
      <w:r w:rsidRPr="006329CD">
        <w:rPr>
          <w:i/>
          <w:szCs w:val="18"/>
        </w:rPr>
        <w:t>SRB</w:t>
      </w:r>
      <w:r w:rsidRPr="006329CD">
        <w:rPr>
          <w:szCs w:val="18"/>
        </w:rPr>
        <w:t xml:space="preserve"> note on Mt. </w:t>
      </w:r>
      <w:r>
        <w:rPr>
          <w:szCs w:val="18"/>
        </w:rPr>
        <w:t>15:21</w:t>
      </w:r>
      <w:r w:rsidRPr="006329CD">
        <w:rPr>
          <w:szCs w:val="18"/>
        </w:rPr>
        <w:t xml:space="preserve">, p. </w:t>
      </w:r>
      <w:r>
        <w:rPr>
          <w:szCs w:val="18"/>
        </w:rPr>
        <w:t>1020 above</w:t>
      </w:r>
      <w:r w:rsidRPr="006329CD">
        <w:rPr>
          <w:szCs w:val="18"/>
        </w:rPr>
        <w:t>.</w:t>
      </w:r>
      <w:r w:rsidRPr="00FF13AE">
        <w:t xml:space="preserve"> </w:t>
      </w:r>
    </w:p>
  </w:endnote>
  <w:endnote w:id="296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subhead to Jn 2:13, p. 1116.</w:t>
      </w:r>
    </w:p>
  </w:endnote>
  <w:endnote w:id="2963">
    <w:p w:rsidR="00975183" w:rsidRPr="00986CB7" w:rsidRDefault="00975183" w:rsidP="006A2E06">
      <w:pPr>
        <w:pStyle w:val="EndnoteText"/>
      </w:pPr>
      <w:r w:rsidRPr="00986CB7">
        <w:rPr>
          <w:rStyle w:val="EndnoteReference"/>
        </w:rPr>
        <w:endnoteRef/>
      </w:r>
      <w:r w:rsidRPr="00986CB7">
        <w:t xml:space="preserve"> </w:t>
      </w:r>
      <w:proofErr w:type="gramStart"/>
      <w:r w:rsidRPr="00614F9A">
        <w:rPr>
          <w:b/>
        </w:rPr>
        <w:t xml:space="preserve">See </w:t>
      </w:r>
      <w:r>
        <w:rPr>
          <w:b/>
        </w:rPr>
        <w:t xml:space="preserve">2.1.2 and </w:t>
      </w:r>
      <w:r w:rsidRPr="00614F9A">
        <w:rPr>
          <w:b/>
        </w:rPr>
        <w:t>8.6.1</w:t>
      </w:r>
      <w:r>
        <w:t>.</w:t>
      </w:r>
      <w:proofErr w:type="gramEnd"/>
    </w:p>
  </w:endnote>
  <w:endnote w:id="296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w:t>
      </w:r>
      <w:r w:rsidRPr="00E526D4">
        <w:rPr>
          <w:szCs w:val="18"/>
        </w:rPr>
        <w:t>on Jn 20</w:t>
      </w:r>
      <w:r>
        <w:rPr>
          <w:szCs w:val="18"/>
        </w:rPr>
        <w:t xml:space="preserve">:17, pp. 1143-4.  </w:t>
      </w:r>
      <w:proofErr w:type="gramStart"/>
      <w:r w:rsidRPr="00E526D4">
        <w:rPr>
          <w:b/>
          <w:szCs w:val="18"/>
        </w:rPr>
        <w:t>See 2.1.1 d)</w:t>
      </w:r>
      <w:r>
        <w:rPr>
          <w:szCs w:val="18"/>
        </w:rPr>
        <w:t>.</w:t>
      </w:r>
      <w:proofErr w:type="gramEnd"/>
    </w:p>
  </w:endnote>
  <w:endnote w:id="2965">
    <w:p w:rsidR="00975183" w:rsidRDefault="00975183" w:rsidP="006A2E06">
      <w:pPr>
        <w:pStyle w:val="EndnoteText"/>
      </w:pPr>
      <w:r w:rsidRPr="00EF2AB8">
        <w:rPr>
          <w:rStyle w:val="FootnoteReference"/>
        </w:rPr>
        <w:endnoteRef/>
      </w:r>
      <w:r w:rsidRPr="00EF2AB8">
        <w:t xml:space="preserve"> </w:t>
      </w:r>
      <w:r w:rsidRPr="00EF2AB8">
        <w:rPr>
          <w:i/>
        </w:rPr>
        <w:t>SRB</w:t>
      </w:r>
      <w:r w:rsidRPr="00EF2AB8">
        <w:t xml:space="preserve"> note on Jn 3:16, p. 1118</w:t>
      </w:r>
      <w:r>
        <w:t>.</w:t>
      </w:r>
    </w:p>
  </w:endnote>
  <w:endnote w:id="2966">
    <w:p w:rsidR="00975183" w:rsidRPr="007139FB" w:rsidRDefault="00975183" w:rsidP="006A2E06">
      <w:pPr>
        <w:pStyle w:val="EndnoteText"/>
      </w:pPr>
      <w:r w:rsidRPr="007139FB">
        <w:rPr>
          <w:rStyle w:val="EndnoteReference"/>
        </w:rPr>
        <w:endnoteRef/>
      </w:r>
      <w:r w:rsidRPr="007139FB">
        <w:t xml:space="preserve"> </w:t>
      </w:r>
      <w:proofErr w:type="gramStart"/>
      <w:r w:rsidRPr="007139FB">
        <w:rPr>
          <w:i/>
        </w:rPr>
        <w:t>SRB</w:t>
      </w:r>
      <w:r w:rsidRPr="007139FB">
        <w:t xml:space="preserve"> note on Rev. 20:14, pp. 1351-2</w:t>
      </w:r>
      <w:r>
        <w:t>.</w:t>
      </w:r>
      <w:proofErr w:type="gramEnd"/>
    </w:p>
  </w:endnote>
  <w:endnote w:id="2967">
    <w:p w:rsidR="00975183" w:rsidRPr="003A6403" w:rsidRDefault="00975183" w:rsidP="006A2E06">
      <w:pPr>
        <w:pStyle w:val="EndnoteText"/>
      </w:pPr>
      <w:r w:rsidRPr="003A6403">
        <w:rPr>
          <w:rStyle w:val="EndnoteReference"/>
        </w:rPr>
        <w:endnoteRef/>
      </w:r>
      <w:r w:rsidRPr="003A6403">
        <w:t xml:space="preserve"> </w:t>
      </w:r>
      <w:r>
        <w:t>S</w:t>
      </w:r>
      <w:r w:rsidRPr="003A6403">
        <w:t>trangely, Scofield stresses a more positive side to Jn 3:16 in his note on Exod. 17:6</w:t>
      </w:r>
      <w:r>
        <w:t>, p. 91.  There Scofield connects Jn 3:16 with abundant life; he states that ‘</w:t>
      </w:r>
      <w:r>
        <w:rPr>
          <w:szCs w:val="18"/>
        </w:rPr>
        <w:t>“not perish” speaks of atoning blood; “but have” speaks of life bestowed’.</w:t>
      </w:r>
      <w:r w:rsidRPr="003A6403">
        <w:t xml:space="preserve">    </w:t>
      </w:r>
    </w:p>
  </w:endnote>
  <w:endnote w:id="296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Jn 14:3, p. 1135.  </w:t>
      </w:r>
      <w:proofErr w:type="gramStart"/>
      <w:r w:rsidRPr="00E526D4">
        <w:rPr>
          <w:b/>
          <w:szCs w:val="18"/>
        </w:rPr>
        <w:t>See 7.1.3</w:t>
      </w:r>
      <w:r>
        <w:rPr>
          <w:szCs w:val="18"/>
        </w:rPr>
        <w:t>.</w:t>
      </w:r>
      <w:proofErr w:type="gramEnd"/>
      <w:r>
        <w:rPr>
          <w:szCs w:val="18"/>
        </w:rPr>
        <w:t xml:space="preserve">   “</w:t>
      </w:r>
    </w:p>
  </w:endnote>
  <w:endnote w:id="2969">
    <w:p w:rsidR="00975183" w:rsidRPr="00587050" w:rsidRDefault="00975183" w:rsidP="006A2E06">
      <w:pPr>
        <w:pStyle w:val="EndnoteText"/>
      </w:pPr>
      <w:r w:rsidRPr="00587050">
        <w:rPr>
          <w:rStyle w:val="EndnoteReference"/>
        </w:rPr>
        <w:endnoteRef/>
      </w:r>
      <w:r w:rsidRPr="00587050">
        <w:t xml:space="preserve"> </w:t>
      </w:r>
      <w:r>
        <w:t>Jn 1:20-23.</w:t>
      </w:r>
    </w:p>
  </w:endnote>
  <w:endnote w:id="2970">
    <w:p w:rsidR="00975183" w:rsidRPr="00726623" w:rsidRDefault="00975183" w:rsidP="006A2E06">
      <w:pPr>
        <w:pStyle w:val="EndnoteText"/>
      </w:pPr>
      <w:r w:rsidRPr="00726623">
        <w:rPr>
          <w:rStyle w:val="EndnoteReference"/>
        </w:rPr>
        <w:endnoteRef/>
      </w:r>
      <w:r w:rsidRPr="00726623">
        <w:t xml:space="preserve"> </w:t>
      </w:r>
      <w:proofErr w:type="gramStart"/>
      <w:r>
        <w:t xml:space="preserve">Jn 1:23, 29; </w:t>
      </w:r>
      <w:r>
        <w:rPr>
          <w:szCs w:val="18"/>
        </w:rPr>
        <w:t>3:22-36.</w:t>
      </w:r>
      <w:proofErr w:type="gramEnd"/>
    </w:p>
  </w:endnote>
  <w:endnote w:id="2971">
    <w:p w:rsidR="00975183" w:rsidRPr="00587050" w:rsidRDefault="00975183" w:rsidP="006A2E06">
      <w:pPr>
        <w:pStyle w:val="EndnoteText"/>
      </w:pPr>
      <w:r w:rsidRPr="00587050">
        <w:rPr>
          <w:rStyle w:val="EndnoteReference"/>
        </w:rPr>
        <w:endnoteRef/>
      </w:r>
      <w:r w:rsidRPr="00587050">
        <w:t xml:space="preserve"> </w:t>
      </w:r>
      <w:r>
        <w:t>Jn 1:32-4.</w:t>
      </w:r>
    </w:p>
  </w:endnote>
  <w:endnote w:id="2972">
    <w:p w:rsidR="00975183" w:rsidRPr="00587050" w:rsidRDefault="00975183" w:rsidP="006A2E06">
      <w:pPr>
        <w:pStyle w:val="EndnoteText"/>
      </w:pPr>
      <w:r w:rsidRPr="00587050">
        <w:rPr>
          <w:rStyle w:val="EndnoteReference"/>
        </w:rPr>
        <w:endnoteRef/>
      </w:r>
      <w:r w:rsidRPr="00587050">
        <w:t xml:space="preserve"> </w:t>
      </w:r>
      <w:r>
        <w:t>Jn 1:40-42.</w:t>
      </w:r>
    </w:p>
  </w:endnote>
  <w:endnote w:id="2973">
    <w:p w:rsidR="00975183" w:rsidRPr="00587050" w:rsidRDefault="00975183" w:rsidP="006A2E06">
      <w:pPr>
        <w:pStyle w:val="EndnoteText"/>
      </w:pPr>
      <w:r w:rsidRPr="00587050">
        <w:rPr>
          <w:rStyle w:val="EndnoteReference"/>
        </w:rPr>
        <w:endnoteRef/>
      </w:r>
      <w:r w:rsidRPr="00587050">
        <w:t xml:space="preserve"> </w:t>
      </w:r>
      <w:r>
        <w:t>Jn 1:43.</w:t>
      </w:r>
    </w:p>
  </w:endnote>
  <w:endnote w:id="2974">
    <w:p w:rsidR="00975183" w:rsidRPr="00986CB7" w:rsidRDefault="00975183" w:rsidP="006A2E06">
      <w:pPr>
        <w:pStyle w:val="EndnoteText"/>
      </w:pPr>
      <w:r w:rsidRPr="00986CB7">
        <w:rPr>
          <w:rStyle w:val="EndnoteReference"/>
        </w:rPr>
        <w:endnoteRef/>
      </w:r>
      <w:r w:rsidRPr="00986CB7">
        <w:t xml:space="preserve"> </w:t>
      </w:r>
      <w:r w:rsidRPr="00986CB7">
        <w:rPr>
          <w:szCs w:val="18"/>
        </w:rPr>
        <w:t>Jn 1:49</w:t>
      </w:r>
      <w:r>
        <w:rPr>
          <w:szCs w:val="18"/>
        </w:rPr>
        <w:t>.</w:t>
      </w:r>
    </w:p>
  </w:endnote>
  <w:endnote w:id="2975">
    <w:p w:rsidR="00975183" w:rsidRDefault="00975183" w:rsidP="006A2E06">
      <w:pPr>
        <w:pStyle w:val="EndnoteText"/>
      </w:pPr>
      <w:r w:rsidRPr="00E5035E">
        <w:rPr>
          <w:rStyle w:val="EndnoteReference"/>
        </w:rPr>
        <w:endnoteRef/>
      </w:r>
      <w:r w:rsidRPr="00E5035E">
        <w:t xml:space="preserve"> </w:t>
      </w:r>
      <w:r w:rsidRPr="006329CD">
        <w:rPr>
          <w:szCs w:val="18"/>
        </w:rPr>
        <w:t>Jesus’ first miracle at Cana (Jn 2:1-11);</w:t>
      </w:r>
      <w:r>
        <w:rPr>
          <w:szCs w:val="18"/>
        </w:rPr>
        <w:t xml:space="preserve"> </w:t>
      </w:r>
      <w:r w:rsidRPr="006329CD">
        <w:rPr>
          <w:szCs w:val="18"/>
        </w:rPr>
        <w:t xml:space="preserve">the distant healing of the nobleman’s son (Jn 4:46-54); the healing of the crippled man at Bethesda (Jn 5:2-15); the feeding of </w:t>
      </w:r>
      <w:r>
        <w:rPr>
          <w:szCs w:val="18"/>
        </w:rPr>
        <w:t>5000</w:t>
      </w:r>
      <w:r w:rsidRPr="006329CD">
        <w:rPr>
          <w:szCs w:val="18"/>
        </w:rPr>
        <w:t xml:space="preserve"> people (Jn 6:5-14); Jesus’ walking on the sea (Jn 6:15-21); the healing of the blind man and Jesus’ resulting comments about the blindness of the Pharisees (Jn 9:1-41) and the raising of Lazarus (Jn 11:1-46).</w:t>
      </w:r>
    </w:p>
  </w:endnote>
  <w:endnote w:id="2976">
    <w:p w:rsidR="00975183" w:rsidRPr="00002991" w:rsidRDefault="00975183" w:rsidP="006A2E06">
      <w:pPr>
        <w:pStyle w:val="EndnoteText"/>
      </w:pPr>
      <w:r w:rsidRPr="00002991">
        <w:rPr>
          <w:rStyle w:val="EndnoteReference"/>
        </w:rPr>
        <w:endnoteRef/>
      </w:r>
      <w:r w:rsidRPr="00002991">
        <w:t xml:space="preserve"> </w:t>
      </w:r>
      <w:proofErr w:type="gramStart"/>
      <w:r w:rsidRPr="00002991">
        <w:rPr>
          <w:sz w:val="22"/>
          <w:szCs w:val="18"/>
        </w:rPr>
        <w:t xml:space="preserve">Jn 6:47 </w:t>
      </w:r>
      <w:r w:rsidRPr="00002991">
        <w:rPr>
          <w:i/>
          <w:sz w:val="22"/>
          <w:szCs w:val="18"/>
        </w:rPr>
        <w:t>KJV</w:t>
      </w:r>
      <w:r>
        <w:rPr>
          <w:i/>
          <w:sz w:val="22"/>
          <w:szCs w:val="18"/>
        </w:rPr>
        <w:t>.</w:t>
      </w:r>
      <w:proofErr w:type="gramEnd"/>
    </w:p>
  </w:endnote>
  <w:endnote w:id="2977">
    <w:p w:rsidR="00975183" w:rsidRPr="00002991" w:rsidRDefault="00975183" w:rsidP="006A2E06">
      <w:pPr>
        <w:pStyle w:val="EndnoteText"/>
      </w:pPr>
      <w:r w:rsidRPr="00002991">
        <w:rPr>
          <w:rStyle w:val="EndnoteReference"/>
        </w:rPr>
        <w:endnoteRef/>
      </w:r>
      <w:r w:rsidRPr="00002991">
        <w:t xml:space="preserve"> </w:t>
      </w:r>
      <w:proofErr w:type="gramStart"/>
      <w:r w:rsidRPr="00002991">
        <w:t xml:space="preserve">Jn 8:32 </w:t>
      </w:r>
      <w:r w:rsidRPr="00002991">
        <w:rPr>
          <w:i/>
        </w:rPr>
        <w:t>KJV</w:t>
      </w:r>
      <w:r>
        <w:rPr>
          <w:i/>
        </w:rPr>
        <w:t>.</w:t>
      </w:r>
      <w:proofErr w:type="gramEnd"/>
    </w:p>
  </w:endnote>
  <w:endnote w:id="2978">
    <w:p w:rsidR="00975183" w:rsidRPr="00002991" w:rsidRDefault="00975183" w:rsidP="006A2E06">
      <w:pPr>
        <w:pStyle w:val="EndnoteText"/>
      </w:pPr>
      <w:r w:rsidRPr="00002991">
        <w:rPr>
          <w:rStyle w:val="EndnoteReference"/>
        </w:rPr>
        <w:endnoteRef/>
      </w:r>
      <w:r w:rsidRPr="00002991">
        <w:t xml:space="preserve"> Jn 16:33</w:t>
      </w:r>
      <w:r>
        <w:t>.</w:t>
      </w:r>
    </w:p>
  </w:endnote>
  <w:endnote w:id="2979">
    <w:p w:rsidR="00975183" w:rsidRPr="00002991" w:rsidRDefault="00975183" w:rsidP="006A2E06">
      <w:pPr>
        <w:pStyle w:val="EndnoteText"/>
      </w:pPr>
      <w:r w:rsidRPr="00002991">
        <w:rPr>
          <w:rStyle w:val="EndnoteReference"/>
        </w:rPr>
        <w:endnoteRef/>
      </w:r>
      <w:r w:rsidRPr="00002991">
        <w:t xml:space="preserve"> Jn 6:38-40</w:t>
      </w:r>
      <w:r>
        <w:t>.</w:t>
      </w:r>
    </w:p>
  </w:endnote>
  <w:endnote w:id="2980">
    <w:p w:rsidR="00975183" w:rsidRPr="00726623" w:rsidRDefault="00975183" w:rsidP="006A2E06">
      <w:pPr>
        <w:pStyle w:val="EndnoteText"/>
      </w:pPr>
      <w:r w:rsidRPr="00726623">
        <w:rPr>
          <w:rStyle w:val="EndnoteReference"/>
        </w:rPr>
        <w:endnoteRef/>
      </w:r>
      <w:r w:rsidRPr="00726623">
        <w:t xml:space="preserve"> Jn 4:6-30.</w:t>
      </w:r>
    </w:p>
  </w:endnote>
  <w:endnote w:id="2981">
    <w:p w:rsidR="00975183" w:rsidRPr="00726623" w:rsidRDefault="00975183" w:rsidP="006A2E06">
      <w:pPr>
        <w:pStyle w:val="EndnoteText"/>
      </w:pPr>
      <w:r w:rsidRPr="00726623">
        <w:rPr>
          <w:rStyle w:val="EndnoteReference"/>
        </w:rPr>
        <w:endnoteRef/>
      </w:r>
      <w:r w:rsidRPr="00726623">
        <w:t xml:space="preserve"> </w:t>
      </w:r>
      <w:r w:rsidRPr="00726623">
        <w:rPr>
          <w:szCs w:val="18"/>
        </w:rPr>
        <w:t>Jn 4:26</w:t>
      </w:r>
      <w:r>
        <w:rPr>
          <w:szCs w:val="18"/>
        </w:rPr>
        <w:t>.</w:t>
      </w:r>
    </w:p>
  </w:endnote>
  <w:endnote w:id="2982">
    <w:p w:rsidR="00975183" w:rsidRPr="00925E9F" w:rsidRDefault="00975183" w:rsidP="006A2E06">
      <w:pPr>
        <w:pStyle w:val="EndnoteText"/>
      </w:pPr>
      <w:r w:rsidRPr="00925E9F">
        <w:rPr>
          <w:rStyle w:val="EndnoteReference"/>
        </w:rPr>
        <w:endnoteRef/>
      </w:r>
      <w:r w:rsidRPr="00925E9F">
        <w:t xml:space="preserve"> </w:t>
      </w:r>
      <w:r w:rsidRPr="00925E9F">
        <w:rPr>
          <w:szCs w:val="18"/>
        </w:rPr>
        <w:t>Jn 4:35</w:t>
      </w:r>
      <w:r>
        <w:rPr>
          <w:szCs w:val="18"/>
        </w:rPr>
        <w:t>.</w:t>
      </w:r>
    </w:p>
  </w:endnote>
  <w:endnote w:id="2983">
    <w:p w:rsidR="00975183" w:rsidRPr="00925E9F" w:rsidRDefault="00975183" w:rsidP="006A2E06">
      <w:pPr>
        <w:pStyle w:val="EndnoteText"/>
      </w:pPr>
      <w:r w:rsidRPr="00925E9F">
        <w:rPr>
          <w:rStyle w:val="EndnoteReference"/>
        </w:rPr>
        <w:endnoteRef/>
      </w:r>
      <w:r w:rsidRPr="00925E9F">
        <w:t xml:space="preserve"> </w:t>
      </w:r>
      <w:r w:rsidRPr="00925E9F">
        <w:rPr>
          <w:szCs w:val="18"/>
        </w:rPr>
        <w:t>Jn 6:69.</w:t>
      </w:r>
    </w:p>
  </w:endnote>
  <w:endnote w:id="2984">
    <w:p w:rsidR="00975183" w:rsidRPr="00FA19D1" w:rsidRDefault="00975183" w:rsidP="006A2E06">
      <w:pPr>
        <w:pStyle w:val="EndnoteText"/>
      </w:pPr>
      <w:r w:rsidRPr="00FA19D1">
        <w:rPr>
          <w:rStyle w:val="EndnoteReference"/>
        </w:rPr>
        <w:endnoteRef/>
      </w:r>
      <w:r w:rsidRPr="00FA19D1">
        <w:t xml:space="preserve"> </w:t>
      </w:r>
      <w:r w:rsidRPr="00FA19D1">
        <w:rPr>
          <w:szCs w:val="18"/>
        </w:rPr>
        <w:t>Jn 5:16-18.</w:t>
      </w:r>
    </w:p>
  </w:endnote>
  <w:endnote w:id="2985">
    <w:p w:rsidR="00975183" w:rsidRPr="00A2324C" w:rsidRDefault="00975183" w:rsidP="006A2E06">
      <w:pPr>
        <w:pStyle w:val="EndnoteText"/>
      </w:pPr>
      <w:r w:rsidRPr="00A2324C">
        <w:rPr>
          <w:rStyle w:val="EndnoteReference"/>
        </w:rPr>
        <w:endnoteRef/>
      </w:r>
      <w:r w:rsidRPr="00A2324C">
        <w:t xml:space="preserve"> Jn 9:40-41.</w:t>
      </w:r>
    </w:p>
  </w:endnote>
  <w:endnote w:id="2986">
    <w:p w:rsidR="00975183" w:rsidRPr="00925E9F" w:rsidRDefault="00975183" w:rsidP="006A2E06">
      <w:pPr>
        <w:pStyle w:val="EndnoteText"/>
      </w:pPr>
      <w:r w:rsidRPr="00925E9F">
        <w:rPr>
          <w:rStyle w:val="EndnoteReference"/>
        </w:rPr>
        <w:endnoteRef/>
      </w:r>
      <w:r w:rsidRPr="00925E9F">
        <w:t xml:space="preserve"> </w:t>
      </w:r>
      <w:r w:rsidRPr="00925E9F">
        <w:rPr>
          <w:szCs w:val="18"/>
        </w:rPr>
        <w:t>Jn 11:27</w:t>
      </w:r>
      <w:r>
        <w:rPr>
          <w:szCs w:val="18"/>
        </w:rPr>
        <w:t>.</w:t>
      </w:r>
    </w:p>
  </w:endnote>
  <w:endnote w:id="2987">
    <w:p w:rsidR="00975183" w:rsidRPr="00925E9F" w:rsidRDefault="00975183" w:rsidP="006A2E06">
      <w:pPr>
        <w:pStyle w:val="EndnoteText"/>
      </w:pPr>
      <w:r w:rsidRPr="00925E9F">
        <w:rPr>
          <w:rStyle w:val="EndnoteReference"/>
        </w:rPr>
        <w:endnoteRef/>
      </w:r>
      <w:r w:rsidRPr="00925E9F">
        <w:t xml:space="preserve"> </w:t>
      </w:r>
      <w:r w:rsidRPr="00925E9F">
        <w:rPr>
          <w:szCs w:val="18"/>
        </w:rPr>
        <w:t>Jn 12:1-7</w:t>
      </w:r>
      <w:r>
        <w:rPr>
          <w:szCs w:val="18"/>
        </w:rPr>
        <w:t>.</w:t>
      </w:r>
    </w:p>
  </w:endnote>
  <w:endnote w:id="2988">
    <w:p w:rsidR="00975183" w:rsidRPr="00925E9F" w:rsidRDefault="00975183" w:rsidP="006A2E06">
      <w:pPr>
        <w:pStyle w:val="EndnoteText"/>
      </w:pPr>
      <w:r w:rsidRPr="00925E9F">
        <w:rPr>
          <w:rStyle w:val="EndnoteReference"/>
        </w:rPr>
        <w:endnoteRef/>
      </w:r>
      <w:r w:rsidRPr="00925E9F">
        <w:t xml:space="preserve"> </w:t>
      </w:r>
      <w:r w:rsidRPr="00925E9F">
        <w:rPr>
          <w:i/>
        </w:rPr>
        <w:t>SRB</w:t>
      </w:r>
      <w:r w:rsidRPr="00925E9F">
        <w:t xml:space="preserve"> note on </w:t>
      </w:r>
      <w:r w:rsidRPr="00925E9F">
        <w:rPr>
          <w:szCs w:val="18"/>
        </w:rPr>
        <w:t>Mt. 11:13, p. 1090.</w:t>
      </w:r>
    </w:p>
  </w:endnote>
  <w:endnote w:id="2989">
    <w:p w:rsidR="00975183" w:rsidRPr="00A2324C" w:rsidRDefault="00975183" w:rsidP="006A2E06">
      <w:pPr>
        <w:pStyle w:val="EndnoteText"/>
      </w:pPr>
      <w:r w:rsidRPr="00A2324C">
        <w:rPr>
          <w:rStyle w:val="EndnoteReference"/>
        </w:rPr>
        <w:endnoteRef/>
      </w:r>
      <w:r w:rsidRPr="00A2324C">
        <w:t xml:space="preserve"> </w:t>
      </w:r>
      <w:r>
        <w:t>Jn 12:12-19.</w:t>
      </w:r>
    </w:p>
  </w:endnote>
  <w:endnote w:id="2990">
    <w:p w:rsidR="00975183" w:rsidRDefault="00975183" w:rsidP="006A2E06">
      <w:pPr>
        <w:pStyle w:val="EndnoteText"/>
      </w:pPr>
      <w:r w:rsidRPr="00925E9F">
        <w:rPr>
          <w:rStyle w:val="EndnoteReference"/>
        </w:rPr>
        <w:endnoteRef/>
      </w:r>
      <w:r w:rsidRPr="00925E9F">
        <w:t xml:space="preserve"> </w:t>
      </w:r>
      <w:r w:rsidRPr="00925E9F">
        <w:rPr>
          <w:i/>
        </w:rPr>
        <w:t>SRB</w:t>
      </w:r>
      <w:r w:rsidRPr="00925E9F">
        <w:t xml:space="preserve"> note on </w:t>
      </w:r>
      <w:r w:rsidRPr="00925E9F">
        <w:rPr>
          <w:szCs w:val="18"/>
        </w:rPr>
        <w:t>Mt. 21:4, pp.1028-9</w:t>
      </w:r>
      <w:r>
        <w:rPr>
          <w:szCs w:val="18"/>
        </w:rPr>
        <w:t>.</w:t>
      </w:r>
    </w:p>
  </w:endnote>
  <w:endnote w:id="2991">
    <w:p w:rsidR="00975183" w:rsidRDefault="00975183" w:rsidP="006A2E06">
      <w:pPr>
        <w:pStyle w:val="EndnoteText"/>
      </w:pPr>
      <w:r w:rsidRPr="00EF2AB8">
        <w:rPr>
          <w:rStyle w:val="FootnoteReference"/>
        </w:rPr>
        <w:endnoteRef/>
      </w:r>
      <w:r w:rsidRPr="00EF2AB8">
        <w:t xml:space="preserve"> </w:t>
      </w:r>
      <w:r w:rsidRPr="00925E9F">
        <w:rPr>
          <w:i/>
        </w:rPr>
        <w:t>SRB</w:t>
      </w:r>
      <w:r w:rsidRPr="00925E9F">
        <w:t xml:space="preserve"> </w:t>
      </w:r>
      <w:r w:rsidRPr="00EF2AB8">
        <w:t>note on Mt. 13:17, p. 1015</w:t>
      </w:r>
      <w:r>
        <w:t>.</w:t>
      </w:r>
    </w:p>
  </w:endnote>
  <w:endnote w:id="2992">
    <w:p w:rsidR="00975183" w:rsidRPr="00E5035E" w:rsidRDefault="00975183" w:rsidP="006A2E06">
      <w:pPr>
        <w:pStyle w:val="EndnoteText"/>
      </w:pPr>
      <w:r w:rsidRPr="00E5035E">
        <w:rPr>
          <w:rStyle w:val="EndnoteReference"/>
        </w:rPr>
        <w:endnoteRef/>
      </w:r>
      <w:r w:rsidRPr="00E5035E">
        <w:t xml:space="preserve"> </w:t>
      </w:r>
      <w:r w:rsidRPr="00E5035E">
        <w:rPr>
          <w:szCs w:val="18"/>
        </w:rPr>
        <w:t>Jn 11:47-53; 12:9-11</w:t>
      </w:r>
      <w:r>
        <w:rPr>
          <w:szCs w:val="18"/>
        </w:rPr>
        <w:t>.</w:t>
      </w:r>
    </w:p>
  </w:endnote>
  <w:endnote w:id="2993">
    <w:p w:rsidR="00975183" w:rsidRPr="00FA19D1" w:rsidRDefault="00975183" w:rsidP="006A2E06">
      <w:pPr>
        <w:pStyle w:val="EndnoteText"/>
      </w:pPr>
      <w:r w:rsidRPr="00FA19D1">
        <w:rPr>
          <w:rStyle w:val="EndnoteReference"/>
        </w:rPr>
        <w:endnoteRef/>
      </w:r>
      <w:r w:rsidRPr="00FA19D1">
        <w:t xml:space="preserve"> Jn 13:13:21, 26, 27, 30</w:t>
      </w:r>
      <w:r>
        <w:t>.</w:t>
      </w:r>
    </w:p>
  </w:endnote>
  <w:endnote w:id="2994">
    <w:p w:rsidR="00975183" w:rsidRPr="00FA19D1" w:rsidRDefault="00975183" w:rsidP="006A2E06">
      <w:pPr>
        <w:pStyle w:val="EndnoteText"/>
      </w:pPr>
      <w:r w:rsidRPr="00FA19D1">
        <w:rPr>
          <w:rStyle w:val="EndnoteReference"/>
        </w:rPr>
        <w:endnoteRef/>
      </w:r>
      <w:r w:rsidRPr="00FA19D1">
        <w:t xml:space="preserve"> Jn 13:38</w:t>
      </w:r>
      <w:r>
        <w:t>.</w:t>
      </w:r>
    </w:p>
  </w:endnote>
  <w:endnote w:id="2995">
    <w:p w:rsidR="00975183" w:rsidRPr="00FA19D1" w:rsidRDefault="00975183" w:rsidP="006A2E06">
      <w:pPr>
        <w:pStyle w:val="EndnoteText"/>
      </w:pPr>
      <w:r w:rsidRPr="00FA19D1">
        <w:rPr>
          <w:rStyle w:val="EndnoteReference"/>
        </w:rPr>
        <w:endnoteRef/>
      </w:r>
      <w:r w:rsidRPr="00FA19D1">
        <w:t xml:space="preserve"> </w:t>
      </w:r>
      <w:r>
        <w:t>Jn 16:7.</w:t>
      </w:r>
    </w:p>
  </w:endnote>
  <w:endnote w:id="2996">
    <w:p w:rsidR="00975183" w:rsidRPr="00FA19D1" w:rsidRDefault="00975183" w:rsidP="006A2E06">
      <w:pPr>
        <w:pStyle w:val="EndnoteText"/>
      </w:pPr>
      <w:r w:rsidRPr="00FA19D1">
        <w:rPr>
          <w:rStyle w:val="EndnoteReference"/>
        </w:rPr>
        <w:endnoteRef/>
      </w:r>
      <w:r w:rsidRPr="00FA19D1">
        <w:t xml:space="preserve"> </w:t>
      </w:r>
      <w:r>
        <w:t>John 18.</w:t>
      </w:r>
    </w:p>
  </w:endnote>
  <w:endnote w:id="2997">
    <w:p w:rsidR="00975183" w:rsidRPr="00FA19D1" w:rsidRDefault="00975183" w:rsidP="006A2E06">
      <w:pPr>
        <w:pStyle w:val="EndnoteText"/>
      </w:pPr>
      <w:r w:rsidRPr="00FA19D1">
        <w:rPr>
          <w:rStyle w:val="EndnoteReference"/>
        </w:rPr>
        <w:endnoteRef/>
      </w:r>
      <w:r w:rsidRPr="00FA19D1">
        <w:t xml:space="preserve"> </w:t>
      </w:r>
      <w:r>
        <w:t>John 19.</w:t>
      </w:r>
    </w:p>
  </w:endnote>
  <w:endnote w:id="2998">
    <w:p w:rsidR="00975183" w:rsidRDefault="00975183" w:rsidP="006A2E06">
      <w:pPr>
        <w:pStyle w:val="EndnoteText"/>
      </w:pPr>
      <w:r w:rsidRPr="00FA19D1">
        <w:rPr>
          <w:rStyle w:val="EndnoteReference"/>
        </w:rPr>
        <w:endnoteRef/>
      </w:r>
      <w:r w:rsidRPr="00FA19D1">
        <w:t xml:space="preserve"> </w:t>
      </w:r>
      <w:r>
        <w:t>John 21.</w:t>
      </w:r>
    </w:p>
  </w:endnote>
  <w:endnote w:id="299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 xml:space="preserve">Jn 2:19 </w:t>
      </w:r>
      <w:r w:rsidRPr="006329CD">
        <w:rPr>
          <w:i/>
          <w:szCs w:val="18"/>
        </w:rPr>
        <w:t>KJV.</w:t>
      </w:r>
      <w:proofErr w:type="gramEnd"/>
    </w:p>
  </w:endnote>
  <w:endnote w:id="300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 xml:space="preserve">Jn 2:21 </w:t>
      </w:r>
      <w:r w:rsidRPr="006329CD">
        <w:rPr>
          <w:i/>
          <w:szCs w:val="18"/>
        </w:rPr>
        <w:t>KJV.</w:t>
      </w:r>
      <w:proofErr w:type="gramEnd"/>
    </w:p>
  </w:endnote>
  <w:endnote w:id="3001">
    <w:p w:rsidR="00975183" w:rsidRPr="00002991" w:rsidRDefault="00975183" w:rsidP="006A2E06">
      <w:pPr>
        <w:pStyle w:val="EndnoteText"/>
      </w:pPr>
      <w:r w:rsidRPr="00002991">
        <w:rPr>
          <w:rStyle w:val="EndnoteReference"/>
        </w:rPr>
        <w:endnoteRef/>
      </w:r>
      <w:r w:rsidRPr="00002991">
        <w:t xml:space="preserve"> </w:t>
      </w:r>
      <w:r>
        <w:t xml:space="preserve">See, for example, 3.4.3, Ezekiel, </w:t>
      </w:r>
      <w:r w:rsidRPr="00002991">
        <w:rPr>
          <w:i/>
        </w:rPr>
        <w:t>The Temple</w:t>
      </w:r>
      <w:r>
        <w:t>.</w:t>
      </w:r>
    </w:p>
  </w:endnote>
  <w:endnote w:id="3002">
    <w:p w:rsidR="00975183" w:rsidRDefault="00975183" w:rsidP="006A2E06">
      <w:pPr>
        <w:pStyle w:val="EndnoteText"/>
      </w:pPr>
      <w:r w:rsidRPr="0084719E">
        <w:rPr>
          <w:rStyle w:val="FootnoteReference"/>
        </w:rPr>
        <w:endnoteRef/>
      </w:r>
      <w:r w:rsidRPr="0084719E">
        <w:t xml:space="preserve"> ‘Your fathers did eat manna in the wilderness, and are dead. </w:t>
      </w:r>
      <w:r w:rsidRPr="0084719E">
        <w:rPr>
          <w:vertAlign w:val="superscript"/>
        </w:rPr>
        <w:t>50</w:t>
      </w:r>
      <w:r w:rsidRPr="0084719E">
        <w:t xml:space="preserve">This is the bread which cometh down from heaven, that a man may eat thereof, and not die. </w:t>
      </w:r>
      <w:r w:rsidRPr="0084719E">
        <w:rPr>
          <w:vertAlign w:val="superscript"/>
        </w:rPr>
        <w:t>51</w:t>
      </w:r>
      <w:r w:rsidRPr="0084719E">
        <w:t xml:space="preserve">I am the living bread which came down from heaven: if any </w:t>
      </w:r>
      <w:proofErr w:type="gramStart"/>
      <w:r w:rsidRPr="0084719E">
        <w:t>man eat</w:t>
      </w:r>
      <w:proofErr w:type="gramEnd"/>
      <w:r w:rsidRPr="0084719E">
        <w:t xml:space="preserve"> of this bread, he shall live for ever: and the bread that I will give is my flesh, which I will give for the life of the world.’  </w:t>
      </w:r>
    </w:p>
    <w:p w:rsidR="00975183" w:rsidRDefault="00975183" w:rsidP="006A2E06">
      <w:pPr>
        <w:pStyle w:val="EndnoteText"/>
      </w:pPr>
      <w:r w:rsidRPr="0084719E">
        <w:t xml:space="preserve">Jn 6:49-51, </w:t>
      </w:r>
      <w:r w:rsidRPr="0084719E">
        <w:rPr>
          <w:i/>
        </w:rPr>
        <w:t>KJV</w:t>
      </w:r>
      <w:r w:rsidRPr="0084719E">
        <w:t>.</w:t>
      </w:r>
    </w:p>
  </w:endnote>
  <w:endnote w:id="3003">
    <w:p w:rsidR="00975183" w:rsidRDefault="00975183" w:rsidP="006A2E06">
      <w:pPr>
        <w:pStyle w:val="EndnoteText"/>
      </w:pPr>
      <w:r w:rsidRPr="005A4949">
        <w:rPr>
          <w:rStyle w:val="FootnoteReference"/>
        </w:rPr>
        <w:endnoteRef/>
      </w:r>
      <w:r w:rsidRPr="005A4949">
        <w:t xml:space="preserve"> </w:t>
      </w:r>
      <w:r w:rsidRPr="005A4949">
        <w:rPr>
          <w:i/>
        </w:rPr>
        <w:t>SRB</w:t>
      </w:r>
      <w:r w:rsidRPr="005A4949">
        <w:t xml:space="preserve"> note on Exod. 25:1, p. 100.  </w:t>
      </w:r>
    </w:p>
  </w:endnote>
  <w:endnote w:id="3004">
    <w:p w:rsidR="00975183" w:rsidRDefault="00975183" w:rsidP="006A2E06">
      <w:pPr>
        <w:pStyle w:val="EndnoteText"/>
      </w:pPr>
      <w:r w:rsidRPr="0084719E">
        <w:rPr>
          <w:rStyle w:val="FootnoteReference"/>
        </w:rPr>
        <w:endnoteRef/>
      </w:r>
      <w:r w:rsidRPr="0084719E">
        <w:t xml:space="preserve"> ‘A new commandment I give unto you, </w:t>
      </w:r>
      <w:proofErr w:type="gramStart"/>
      <w:r w:rsidRPr="0084719E">
        <w:t>That</w:t>
      </w:r>
      <w:proofErr w:type="gramEnd"/>
      <w:r w:rsidRPr="0084719E">
        <w:t xml:space="preserve"> ye love one another; as I have loved you, that ye also love one another.  By this shall all men know that ye are my disciples, if ye have </w:t>
      </w:r>
      <w:proofErr w:type="gramStart"/>
      <w:r w:rsidRPr="0084719E">
        <w:t>love</w:t>
      </w:r>
      <w:proofErr w:type="gramEnd"/>
      <w:r w:rsidRPr="0084719E">
        <w:t xml:space="preserve"> one to another.’ Jn 13:23-5 </w:t>
      </w:r>
      <w:r w:rsidRPr="0084719E">
        <w:rPr>
          <w:i/>
        </w:rPr>
        <w:t>KJV</w:t>
      </w:r>
      <w:r w:rsidRPr="0084719E">
        <w:t>.</w:t>
      </w:r>
    </w:p>
  </w:endnote>
  <w:endnote w:id="3005">
    <w:p w:rsidR="00975183" w:rsidRDefault="00975183" w:rsidP="00F5188D">
      <w:pPr>
        <w:pStyle w:val="EndnoteText"/>
      </w:pPr>
      <w:r w:rsidRPr="005D00B9">
        <w:rPr>
          <w:rStyle w:val="FootnoteReference"/>
        </w:rPr>
        <w:endnoteRef/>
      </w:r>
      <w:r w:rsidRPr="005D00B9">
        <w:t xml:space="preserve"> </w:t>
      </w:r>
      <w:proofErr w:type="gramStart"/>
      <w:r w:rsidRPr="005D00B9">
        <w:rPr>
          <w:i/>
        </w:rPr>
        <w:t>SRB</w:t>
      </w:r>
      <w:r w:rsidRPr="005D00B9">
        <w:t xml:space="preserve"> introduction to Acts, p. 1147.</w:t>
      </w:r>
      <w:proofErr w:type="gramEnd"/>
    </w:p>
  </w:endnote>
  <w:endnote w:id="3006">
    <w:p w:rsidR="00975183" w:rsidRDefault="00975183" w:rsidP="00F5188D">
      <w:pPr>
        <w:pStyle w:val="EndnoteText"/>
      </w:pPr>
      <w:r w:rsidRPr="00C30986">
        <w:rPr>
          <w:rStyle w:val="FootnoteReference"/>
        </w:rPr>
        <w:endnoteRef/>
      </w:r>
      <w:r w:rsidRPr="00C30986">
        <w:t xml:space="preserve"> </w:t>
      </w:r>
      <w:r w:rsidRPr="00C30986">
        <w:rPr>
          <w:color w:val="000000"/>
        </w:rPr>
        <w:t>Acts 10 concerns Peter’s encounter with Cornelius, Acts 11 concerns Peter’s account of the encounter and</w:t>
      </w:r>
      <w:r w:rsidRPr="005D00B9">
        <w:rPr>
          <w:color w:val="000000"/>
        </w:rPr>
        <w:t xml:space="preserve"> Acts 12 concerns Peter’s imprisonment by Herod and his miraculous escape.</w:t>
      </w:r>
    </w:p>
  </w:endnote>
  <w:endnote w:id="3007">
    <w:p w:rsidR="00975183" w:rsidRDefault="00975183" w:rsidP="00F5188D">
      <w:pPr>
        <w:pStyle w:val="EndnoteText"/>
      </w:pPr>
      <w:r w:rsidRPr="005D00B9">
        <w:rPr>
          <w:rStyle w:val="FootnoteReference"/>
        </w:rPr>
        <w:endnoteRef/>
      </w:r>
      <w:r w:rsidRPr="005D00B9">
        <w:t xml:space="preserve"> </w:t>
      </w:r>
      <w:proofErr w:type="gramStart"/>
      <w:r w:rsidRPr="005D00B9">
        <w:t>Acts 9.</w:t>
      </w:r>
      <w:proofErr w:type="gramEnd"/>
    </w:p>
  </w:endnote>
  <w:endnote w:id="3008">
    <w:p w:rsidR="00975183" w:rsidRDefault="00975183" w:rsidP="00F5188D">
      <w:pPr>
        <w:pStyle w:val="EndnoteText"/>
      </w:pPr>
      <w:r w:rsidRPr="005D00B9">
        <w:rPr>
          <w:rStyle w:val="FootnoteReference"/>
        </w:rPr>
        <w:endnoteRef/>
      </w:r>
      <w:r w:rsidRPr="005D00B9">
        <w:t xml:space="preserve"> </w:t>
      </w:r>
      <w:proofErr w:type="gramStart"/>
      <w:r w:rsidRPr="005D00B9">
        <w:rPr>
          <w:i/>
        </w:rPr>
        <w:t>SRB</w:t>
      </w:r>
      <w:r w:rsidRPr="005D00B9">
        <w:t xml:space="preserve"> introduction to Acts, p. 1147.</w:t>
      </w:r>
      <w:proofErr w:type="gramEnd"/>
    </w:p>
  </w:endnote>
  <w:endnote w:id="3009">
    <w:p w:rsidR="00975183" w:rsidRPr="00E4661D" w:rsidRDefault="00975183" w:rsidP="006A2E06">
      <w:pPr>
        <w:pStyle w:val="EndnoteText"/>
      </w:pPr>
      <w:r w:rsidRPr="00E4661D">
        <w:rPr>
          <w:rStyle w:val="EndnoteReference"/>
        </w:rPr>
        <w:endnoteRef/>
      </w:r>
      <w:r w:rsidRPr="00E4661D">
        <w:t xml:space="preserve"> </w:t>
      </w:r>
      <w:proofErr w:type="gramStart"/>
      <w:r>
        <w:t>Acts 4-6, 8-9, 11-14, 18 and 21-27.</w:t>
      </w:r>
      <w:proofErr w:type="gramEnd"/>
      <w:r>
        <w:t xml:space="preserve"> </w:t>
      </w:r>
    </w:p>
  </w:endnote>
  <w:endnote w:id="301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1:11, p. 1148.</w:t>
      </w:r>
    </w:p>
  </w:endnote>
  <w:endnote w:id="3011">
    <w:p w:rsidR="00975183" w:rsidRPr="00E56CDC" w:rsidRDefault="00975183" w:rsidP="006A2E06">
      <w:pPr>
        <w:pStyle w:val="EndnoteText"/>
      </w:pPr>
      <w:r w:rsidRPr="00E56CDC">
        <w:rPr>
          <w:rStyle w:val="EndnoteReference"/>
        </w:rPr>
        <w:endnoteRef/>
      </w:r>
      <w:r w:rsidRPr="00E56CDC">
        <w:t xml:space="preserve"> </w:t>
      </w:r>
      <w:r w:rsidRPr="00E526D4">
        <w:rPr>
          <w:b/>
        </w:rPr>
        <w:t>See 8.6.1 above</w:t>
      </w:r>
      <w:r>
        <w:t xml:space="preserve">: </w:t>
      </w:r>
      <w:r w:rsidRPr="00E56CDC">
        <w:rPr>
          <w:i/>
        </w:rPr>
        <w:t>SRB</w:t>
      </w:r>
      <w:r>
        <w:t xml:space="preserve"> Introduction to Matthew, p. 993; </w:t>
      </w:r>
      <w:r w:rsidRPr="00E56CDC">
        <w:rPr>
          <w:i/>
        </w:rPr>
        <w:t>SRB</w:t>
      </w:r>
      <w:r>
        <w:t xml:space="preserve"> notes on Mt. 11:11, p. 1010; 12:3, 18, p. 1012; 12:41, 46, pp. 1013-4; 21:4, pp. 1028-9; cf </w:t>
      </w:r>
      <w:r w:rsidRPr="00E56CDC">
        <w:rPr>
          <w:i/>
        </w:rPr>
        <w:t>SRB</w:t>
      </w:r>
      <w:r>
        <w:t xml:space="preserve"> Introduction to Luke, p. 1070.</w:t>
      </w:r>
    </w:p>
  </w:endnote>
  <w:endnote w:id="301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1:6, p.1148.</w:t>
      </w:r>
    </w:p>
  </w:endnote>
  <w:endnote w:id="3013">
    <w:p w:rsidR="00975183" w:rsidRPr="002F726B" w:rsidRDefault="00975183" w:rsidP="006A2E06">
      <w:pPr>
        <w:pStyle w:val="EndnoteText"/>
        <w:rPr>
          <w:sz w:val="18"/>
        </w:rPr>
      </w:pPr>
      <w:r w:rsidRPr="007C19F6">
        <w:rPr>
          <w:rStyle w:val="EndnoteReference"/>
        </w:rPr>
        <w:endnoteRef/>
      </w:r>
      <w:r w:rsidRPr="007C19F6">
        <w:t xml:space="preserve"> </w:t>
      </w:r>
      <w:r w:rsidRPr="00E526D4">
        <w:rPr>
          <w:b/>
        </w:rPr>
        <w:t xml:space="preserve">See 8.6.3, </w:t>
      </w:r>
      <w:r w:rsidRPr="00E526D4">
        <w:rPr>
          <w:b/>
          <w:i/>
        </w:rPr>
        <w:t>The Kingdom in Luke</w:t>
      </w:r>
      <w:r>
        <w:t xml:space="preserve">: </w:t>
      </w:r>
      <w:r>
        <w:rPr>
          <w:rStyle w:val="EndnoteReference"/>
          <w:sz w:val="22"/>
          <w:szCs w:val="22"/>
        </w:rPr>
        <w:t xml:space="preserve"> </w:t>
      </w:r>
      <w:r w:rsidRPr="002F726B">
        <w:rPr>
          <w:i/>
          <w:szCs w:val="22"/>
        </w:rPr>
        <w:t>SRB</w:t>
      </w:r>
      <w:r w:rsidRPr="002F726B">
        <w:rPr>
          <w:szCs w:val="22"/>
        </w:rPr>
        <w:t xml:space="preserve"> note on Lk. 17:21, p. </w:t>
      </w:r>
      <w:r>
        <w:rPr>
          <w:szCs w:val="22"/>
        </w:rPr>
        <w:t>1100.</w:t>
      </w:r>
    </w:p>
  </w:endnote>
  <w:endnote w:id="3014">
    <w:p w:rsidR="00975183" w:rsidRPr="00207B32" w:rsidRDefault="00975183" w:rsidP="006A2E06">
      <w:pPr>
        <w:pStyle w:val="EndnoteText"/>
      </w:pPr>
      <w:r w:rsidRPr="00207B32">
        <w:rPr>
          <w:rStyle w:val="EndnoteReference"/>
        </w:rPr>
        <w:endnoteRef/>
      </w:r>
      <w:r w:rsidRPr="00207B32">
        <w:t xml:space="preserve"> </w:t>
      </w:r>
      <w:proofErr w:type="gramStart"/>
      <w:r w:rsidRPr="00E526D4">
        <w:rPr>
          <w:b/>
        </w:rPr>
        <w:t>See 7.1.3</w:t>
      </w:r>
      <w:r w:rsidRPr="00207B32">
        <w:t>.</w:t>
      </w:r>
      <w:proofErr w:type="gramEnd"/>
    </w:p>
  </w:endnote>
  <w:endnote w:id="3015">
    <w:p w:rsidR="00975183" w:rsidRPr="00273F0F" w:rsidRDefault="00975183" w:rsidP="006A2E06">
      <w:pPr>
        <w:pStyle w:val="EndnoteText"/>
      </w:pPr>
      <w:r w:rsidRPr="00273F0F">
        <w:rPr>
          <w:rStyle w:val="EndnoteReference"/>
        </w:rPr>
        <w:endnoteRef/>
      </w:r>
      <w:r w:rsidRPr="00273F0F">
        <w:t xml:space="preserve"> </w:t>
      </w:r>
      <w:r>
        <w:t>No biblical evidence is given for this statement.</w:t>
      </w:r>
    </w:p>
  </w:endnote>
  <w:endnote w:id="3016">
    <w:p w:rsidR="00975183" w:rsidRPr="009374F0" w:rsidRDefault="00975183" w:rsidP="006A2E06">
      <w:pPr>
        <w:pStyle w:val="EndnoteText"/>
      </w:pPr>
      <w:r w:rsidRPr="009374F0">
        <w:rPr>
          <w:rStyle w:val="EndnoteReference"/>
        </w:rPr>
        <w:endnoteRef/>
      </w:r>
      <w:r w:rsidRPr="009374F0">
        <w:t xml:space="preserve"> cf ‘Panoramic View’, </w:t>
      </w:r>
      <w:r w:rsidRPr="009374F0">
        <w:rPr>
          <w:i/>
        </w:rPr>
        <w:t>SRB</w:t>
      </w:r>
      <w:r w:rsidRPr="009374F0">
        <w:t xml:space="preserve">, p. </w:t>
      </w:r>
      <w:proofErr w:type="gramStart"/>
      <w:r w:rsidRPr="009374F0">
        <w:t>vi</w:t>
      </w:r>
      <w:proofErr w:type="gramEnd"/>
      <w:r w:rsidRPr="009374F0">
        <w:t>.</w:t>
      </w:r>
    </w:p>
  </w:endnote>
  <w:endnote w:id="3017">
    <w:p w:rsidR="00975183"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Acts 2:4, pp. 1149; ref. note on Mal. 2:15, p. 899.  </w:t>
      </w:r>
    </w:p>
    <w:p w:rsidR="00975183" w:rsidRPr="004329AD" w:rsidRDefault="00975183" w:rsidP="006A2E06">
      <w:pPr>
        <w:pStyle w:val="EndnoteText"/>
      </w:pPr>
      <w:proofErr w:type="gramStart"/>
      <w:r w:rsidRPr="004329AD">
        <w:rPr>
          <w:b/>
          <w:szCs w:val="18"/>
        </w:rPr>
        <w:t xml:space="preserve">See 8.4.16 </w:t>
      </w:r>
      <w:r w:rsidRPr="004329AD">
        <w:rPr>
          <w:b/>
          <w:i/>
          <w:szCs w:val="18"/>
        </w:rPr>
        <w:t>Old Testament Theology</w:t>
      </w:r>
      <w:r w:rsidRPr="004329AD">
        <w:rPr>
          <w:b/>
          <w:szCs w:val="18"/>
        </w:rPr>
        <w:t>, a)</w:t>
      </w:r>
      <w:r w:rsidRPr="004329AD">
        <w:rPr>
          <w:szCs w:val="18"/>
        </w:rPr>
        <w:t>.</w:t>
      </w:r>
      <w:proofErr w:type="gramEnd"/>
    </w:p>
  </w:endnote>
  <w:endnote w:id="3018">
    <w:p w:rsidR="00975183" w:rsidRPr="004329AD" w:rsidRDefault="00975183" w:rsidP="006A2E06">
      <w:pPr>
        <w:pStyle w:val="EndnoteText"/>
      </w:pPr>
      <w:r w:rsidRPr="004329AD">
        <w:rPr>
          <w:rStyle w:val="EndnoteReference"/>
        </w:rPr>
        <w:endnoteRef/>
      </w:r>
      <w:r w:rsidRPr="004329AD">
        <w:t xml:space="preserve"> </w:t>
      </w:r>
      <w:proofErr w:type="gramStart"/>
      <w:r w:rsidRPr="004329AD">
        <w:rPr>
          <w:b/>
        </w:rPr>
        <w:t>See 5.6.1</w:t>
      </w:r>
      <w:r w:rsidRPr="004329AD">
        <w:t>.</w:t>
      </w:r>
      <w:proofErr w:type="gramEnd"/>
    </w:p>
  </w:endnote>
  <w:endnote w:id="301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Acts 2:4, p. 1149.</w:t>
      </w:r>
    </w:p>
  </w:endnote>
  <w:endnote w:id="302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w:t>
      </w:r>
      <w:r>
        <w:rPr>
          <w:szCs w:val="18"/>
        </w:rPr>
        <w:t xml:space="preserve"> Acts 10:44, p. 1164; 15:13, pp. 1169-70.</w:t>
      </w:r>
    </w:p>
  </w:endnote>
  <w:endnote w:id="3021">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Acts 2:17, p. 1151.</w:t>
      </w:r>
    </w:p>
  </w:endnote>
  <w:endnote w:id="302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Acts 2:14, p. 1150.</w:t>
      </w:r>
    </w:p>
  </w:endnote>
  <w:endnote w:id="302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notes on Acts</w:t>
      </w:r>
      <w:r>
        <w:rPr>
          <w:szCs w:val="18"/>
        </w:rPr>
        <w:t xml:space="preserve"> 3:20, 21, p. 1153</w:t>
      </w:r>
    </w:p>
  </w:endnote>
  <w:endnote w:id="302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Acts 2:17, p. 1151</w:t>
      </w:r>
      <w:r>
        <w:rPr>
          <w:szCs w:val="18"/>
        </w:rPr>
        <w:t>; 3:19, pp. 1152-3.</w:t>
      </w:r>
    </w:p>
  </w:endnote>
  <w:endnote w:id="3025">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15:13, pp. 169-70.</w:t>
      </w:r>
    </w:p>
  </w:endnote>
  <w:endnote w:id="302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2:14, p. 1150.</w:t>
      </w:r>
    </w:p>
  </w:endnote>
  <w:endnote w:id="302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9:20, p. 1161.</w:t>
      </w:r>
    </w:p>
  </w:endnote>
  <w:endnote w:id="302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w:t>
      </w:r>
      <w:r>
        <w:rPr>
          <w:szCs w:val="18"/>
        </w:rPr>
        <w:t xml:space="preserve"> 9:20, p. 1161.</w:t>
      </w:r>
    </w:p>
  </w:endnote>
  <w:endnote w:id="3029">
    <w:p w:rsidR="00975183" w:rsidRPr="00225BAF" w:rsidRDefault="00975183" w:rsidP="006A2E06">
      <w:pPr>
        <w:pStyle w:val="EndnoteText"/>
      </w:pPr>
      <w:r w:rsidRPr="00225BAF">
        <w:rPr>
          <w:rStyle w:val="EndnoteReference"/>
        </w:rPr>
        <w:endnoteRef/>
      </w:r>
      <w:r w:rsidRPr="00225BAF">
        <w:t xml:space="preserve"> </w:t>
      </w:r>
      <w:r w:rsidRPr="00225BAF">
        <w:rPr>
          <w:lang w:val="en-US"/>
        </w:rPr>
        <w:t xml:space="preserve">1 Cor. 2:8, </w:t>
      </w:r>
      <w:r w:rsidRPr="00225BAF">
        <w:rPr>
          <w:i/>
          <w:lang w:val="en-US"/>
        </w:rPr>
        <w:t>KJV</w:t>
      </w:r>
      <w:r w:rsidRPr="00225BAF">
        <w:rPr>
          <w:lang w:val="en-US"/>
        </w:rPr>
        <w:t>.</w:t>
      </w:r>
    </w:p>
  </w:endnote>
  <w:endnote w:id="303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0A44FF">
        <w:rPr>
          <w:i/>
          <w:szCs w:val="18"/>
        </w:rPr>
        <w:t>SRB</w:t>
      </w:r>
      <w:r w:rsidRPr="006329CD">
        <w:rPr>
          <w:szCs w:val="18"/>
        </w:rPr>
        <w:t xml:space="preserve"> note on Acts 10:44, p. 1164.  </w:t>
      </w:r>
    </w:p>
  </w:endnote>
  <w:endnote w:id="303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Acts 15:13, pp. 1169-70</w:t>
      </w:r>
      <w:r>
        <w:rPr>
          <w:szCs w:val="18"/>
        </w:rPr>
        <w:t>.</w:t>
      </w:r>
    </w:p>
  </w:endnote>
  <w:endnote w:id="3032">
    <w:p w:rsidR="00975183" w:rsidRPr="00802973" w:rsidRDefault="00975183" w:rsidP="006A2E06">
      <w:pPr>
        <w:pStyle w:val="EndnoteText"/>
      </w:pPr>
      <w:r w:rsidRPr="00802973">
        <w:rPr>
          <w:rStyle w:val="EndnoteReference"/>
        </w:rPr>
        <w:endnoteRef/>
      </w:r>
      <w:r w:rsidRPr="00802973">
        <w:t xml:space="preserve"> Refs Acts 7:58, 8:1.</w:t>
      </w:r>
    </w:p>
  </w:endnote>
  <w:endnote w:id="3033">
    <w:p w:rsidR="00975183" w:rsidRPr="00802973" w:rsidRDefault="00975183" w:rsidP="006A2E06">
      <w:pPr>
        <w:pStyle w:val="EndnoteText"/>
      </w:pPr>
      <w:r w:rsidRPr="00802973">
        <w:rPr>
          <w:rStyle w:val="EndnoteReference"/>
        </w:rPr>
        <w:endnoteRef/>
      </w:r>
      <w:r w:rsidRPr="00802973">
        <w:t xml:space="preserve"> </w:t>
      </w:r>
      <w:proofErr w:type="gramStart"/>
      <w:r w:rsidRPr="00802973">
        <w:t>Refs Acts 9, 22, 26</w:t>
      </w:r>
      <w:r>
        <w:t>.</w:t>
      </w:r>
      <w:proofErr w:type="gramEnd"/>
    </w:p>
  </w:endnote>
  <w:endnote w:id="3034">
    <w:p w:rsidR="00975183" w:rsidRPr="00802973" w:rsidRDefault="00975183" w:rsidP="006A2E06">
      <w:pPr>
        <w:pStyle w:val="EndnoteText"/>
      </w:pPr>
      <w:r w:rsidRPr="00802973">
        <w:rPr>
          <w:rStyle w:val="EndnoteReference"/>
        </w:rPr>
        <w:endnoteRef/>
      </w:r>
      <w:r w:rsidRPr="00802973">
        <w:t xml:space="preserve"> </w:t>
      </w:r>
      <w:r>
        <w:t>Ref. Acts 9.</w:t>
      </w:r>
    </w:p>
  </w:endnote>
  <w:endnote w:id="3035">
    <w:p w:rsidR="00975183" w:rsidRPr="00802973" w:rsidRDefault="00975183" w:rsidP="006A2E06">
      <w:pPr>
        <w:pStyle w:val="EndnoteText"/>
      </w:pPr>
      <w:r w:rsidRPr="00802973">
        <w:rPr>
          <w:rStyle w:val="EndnoteReference"/>
        </w:rPr>
        <w:endnoteRef/>
      </w:r>
      <w:r w:rsidRPr="00802973">
        <w:t xml:space="preserve"> Refs Acts 11, 13 and 14-28</w:t>
      </w:r>
      <w:r>
        <w:t>.</w:t>
      </w:r>
    </w:p>
  </w:endnote>
  <w:endnote w:id="3036">
    <w:p w:rsidR="00975183" w:rsidRPr="00802973" w:rsidRDefault="00975183" w:rsidP="006A2E06">
      <w:pPr>
        <w:pStyle w:val="EndnoteText"/>
        <w:tabs>
          <w:tab w:val="left" w:pos="2410"/>
        </w:tabs>
      </w:pPr>
      <w:r w:rsidRPr="00802973">
        <w:rPr>
          <w:rStyle w:val="EndnoteReference"/>
        </w:rPr>
        <w:endnoteRef/>
      </w:r>
      <w:r w:rsidRPr="00802973">
        <w:t xml:space="preserve"> </w:t>
      </w:r>
      <w:r>
        <w:t xml:space="preserve">Ref. </w:t>
      </w:r>
      <w:r w:rsidRPr="00802973">
        <w:t>Acts 28:30-31</w:t>
      </w:r>
      <w:r>
        <w:t>.</w:t>
      </w:r>
    </w:p>
  </w:endnote>
  <w:endnote w:id="303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Acts 4, 5, 8, 9, 10, 11, 12.</w:t>
      </w:r>
      <w:proofErr w:type="gramEnd"/>
    </w:p>
  </w:endnote>
  <w:endnote w:id="3038">
    <w:p w:rsidR="00975183" w:rsidRPr="00AB458E" w:rsidRDefault="00975183" w:rsidP="006A2E06">
      <w:pPr>
        <w:pStyle w:val="EndnoteText"/>
      </w:pPr>
      <w:r w:rsidRPr="00AB458E">
        <w:rPr>
          <w:rStyle w:val="EndnoteReference"/>
        </w:rPr>
        <w:endnoteRef/>
      </w:r>
      <w:r w:rsidRPr="00AB458E">
        <w:t xml:space="preserve"> Central column note on Acts 7:54, p. 1158</w:t>
      </w:r>
      <w:r>
        <w:t xml:space="preserve">. </w:t>
      </w:r>
      <w:r w:rsidRPr="00AB458E">
        <w:t xml:space="preserve"> </w:t>
      </w:r>
      <w:r>
        <w:t>‘</w:t>
      </w:r>
      <w:r w:rsidRPr="00AB458E">
        <w:t>They had brought false witnesses against Stephen; he bears true witness against them, quoting the testimony of writers they owned to be inspired. He speaks of the persistent rejection of God and His servants by the nation ti</w:t>
      </w:r>
      <w:r>
        <w:t>l</w:t>
      </w:r>
      <w:r w:rsidRPr="00AB458E">
        <w:t xml:space="preserve">l at last it is brought home to </w:t>
      </w:r>
      <w:proofErr w:type="gramStart"/>
      <w:r w:rsidRPr="00AB458E">
        <w:t>themselves</w:t>
      </w:r>
      <w:proofErr w:type="gramEnd"/>
      <w:r w:rsidRPr="00AB458E">
        <w:t>, and arouses the maddened enmity of their hearts. It was the final trial of the nation.</w:t>
      </w:r>
      <w:r>
        <w:t xml:space="preserve">’  </w:t>
      </w:r>
      <w:proofErr w:type="gramStart"/>
      <w:r w:rsidRPr="00C11F1D">
        <w:rPr>
          <w:b/>
        </w:rPr>
        <w:t>See 2.2.1 a)</w:t>
      </w:r>
      <w:r>
        <w:t>.</w:t>
      </w:r>
      <w:proofErr w:type="gramEnd"/>
    </w:p>
  </w:endnote>
  <w:endnote w:id="303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Acts 8.</w:t>
      </w:r>
      <w:proofErr w:type="gramEnd"/>
    </w:p>
  </w:endnote>
  <w:endnote w:id="304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Acts 1.</w:t>
      </w:r>
      <w:proofErr w:type="gramEnd"/>
    </w:p>
  </w:endnote>
  <w:endnote w:id="304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Acts 2:42-7, 4:32-6, 5:1-11.</w:t>
      </w:r>
    </w:p>
  </w:endnote>
  <w:endnote w:id="304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Acts 6:1-7.</w:t>
      </w:r>
    </w:p>
  </w:endnote>
  <w:endnote w:id="304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Acts 11:27-30.</w:t>
      </w:r>
    </w:p>
  </w:endnote>
  <w:endnote w:id="304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For example, Acts 3:1-10, 5:12-16, 8:4-8, 9:32-5, 36-43, 14:8-10, 16:18, 19:11-12, 20:10.</w:t>
      </w:r>
    </w:p>
  </w:endnote>
  <w:endnote w:id="304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For example, Acts 2:41, 5:14, 6:7, 12:24, 14:1, 16:14-15.</w:t>
      </w:r>
    </w:p>
  </w:endnote>
  <w:endnote w:id="304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Acts 3:24.</w:t>
      </w:r>
      <w:proofErr w:type="gramEnd"/>
    </w:p>
  </w:endnote>
  <w:endnote w:id="3047">
    <w:p w:rsidR="00975183" w:rsidRDefault="00975183" w:rsidP="006A2E06">
      <w:pPr>
        <w:pStyle w:val="EndnoteText"/>
      </w:pPr>
      <w:r w:rsidRPr="004D5335">
        <w:rPr>
          <w:rStyle w:val="EndnoteReference"/>
        </w:rPr>
        <w:endnoteRef/>
      </w:r>
      <w:r w:rsidRPr="004D5335">
        <w:t xml:space="preserve"> </w:t>
      </w:r>
      <w:r>
        <w:t xml:space="preserve">1 and 2 Thessalonians; 1 and 2 Corinthians; Galatians; Romans; Philemon; Colossians; Ephesians; Philippians; </w:t>
      </w:r>
    </w:p>
    <w:p w:rsidR="00975183" w:rsidRPr="004D5335" w:rsidRDefault="00975183" w:rsidP="006A2E06">
      <w:pPr>
        <w:pStyle w:val="EndnoteText"/>
      </w:pPr>
      <w:proofErr w:type="gramStart"/>
      <w:r>
        <w:t>1 Timothy; 2 Timothy; Titus.</w:t>
      </w:r>
      <w:proofErr w:type="gramEnd"/>
    </w:p>
  </w:endnote>
  <w:endnote w:id="3048">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the Epistles of Paul, p. 1189</w:t>
      </w:r>
      <w:r>
        <w:t>.</w:t>
      </w:r>
    </w:p>
  </w:endnote>
  <w:endnote w:id="3049">
    <w:p w:rsidR="00975183" w:rsidRPr="00D87CE1" w:rsidRDefault="00975183" w:rsidP="006A2E06">
      <w:pPr>
        <w:pStyle w:val="EndnoteText"/>
      </w:pPr>
      <w:r w:rsidRPr="00D87CE1">
        <w:rPr>
          <w:rStyle w:val="EndnoteReference"/>
        </w:rPr>
        <w:endnoteRef/>
      </w:r>
      <w:r w:rsidRPr="00D87CE1">
        <w:t xml:space="preserve"> </w:t>
      </w:r>
      <w:r w:rsidRPr="00254D46">
        <w:rPr>
          <w:b/>
        </w:rPr>
        <w:t>See 4.1</w:t>
      </w:r>
      <w:r w:rsidRPr="00D87CE1">
        <w:t>.</w:t>
      </w:r>
    </w:p>
  </w:endnote>
  <w:endnote w:id="3050">
    <w:p w:rsidR="00975183" w:rsidRPr="002D546D" w:rsidRDefault="00975183" w:rsidP="006A2E06">
      <w:pPr>
        <w:pStyle w:val="EndnoteText"/>
      </w:pPr>
      <w:r w:rsidRPr="002D546D">
        <w:rPr>
          <w:rStyle w:val="EndnoteReference"/>
        </w:rPr>
        <w:endnoteRef/>
      </w:r>
      <w:r w:rsidRPr="002D546D">
        <w:t xml:space="preserve"> </w:t>
      </w:r>
      <w:proofErr w:type="gramStart"/>
      <w:r w:rsidRPr="002D546D">
        <w:rPr>
          <w:i/>
        </w:rPr>
        <w:t>SRB</w:t>
      </w:r>
      <w:r w:rsidRPr="002D546D">
        <w:t xml:space="preserve"> note on Gen. 11:10, p. 19</w:t>
      </w:r>
      <w:r w:rsidRPr="002D546D">
        <w:rPr>
          <w:b/>
        </w:rPr>
        <w:t>.</w:t>
      </w:r>
      <w:proofErr w:type="gramEnd"/>
      <w:r w:rsidRPr="002D546D">
        <w:rPr>
          <w:b/>
        </w:rPr>
        <w:t xml:space="preserve">  </w:t>
      </w:r>
      <w:proofErr w:type="gramStart"/>
      <w:r w:rsidRPr="00254D46">
        <w:rPr>
          <w:b/>
        </w:rPr>
        <w:t>See 4.1</w:t>
      </w:r>
      <w:r>
        <w:rPr>
          <w:b/>
        </w:rPr>
        <w:t xml:space="preserve">; </w:t>
      </w:r>
      <w:r w:rsidRPr="004329AD">
        <w:rPr>
          <w:b/>
        </w:rPr>
        <w:t>5.4.3.</w:t>
      </w:r>
      <w:proofErr w:type="gramEnd"/>
    </w:p>
  </w:endnote>
  <w:endnote w:id="3051">
    <w:p w:rsidR="00975183" w:rsidRDefault="00975183" w:rsidP="006A2E06">
      <w:pPr>
        <w:pStyle w:val="EndnoteText"/>
      </w:pPr>
      <w:r w:rsidRPr="00D87CE1">
        <w:rPr>
          <w:rStyle w:val="EndnoteReference"/>
        </w:rPr>
        <w:endnoteRef/>
      </w:r>
      <w:r w:rsidRPr="00D87CE1">
        <w:t xml:space="preserve"> </w:t>
      </w:r>
      <w:r w:rsidRPr="00254D46">
        <w:rPr>
          <w:b/>
        </w:rPr>
        <w:t>See 4.1</w:t>
      </w:r>
      <w:r w:rsidRPr="00D87CE1">
        <w:t>.</w:t>
      </w:r>
    </w:p>
  </w:endnote>
  <w:endnote w:id="305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 xml:space="preserve">ntroduction to the Epistles of Paul, p. 1189.  </w:t>
      </w:r>
      <w:proofErr w:type="gramStart"/>
      <w:r w:rsidRPr="005D00B9">
        <w:rPr>
          <w:i/>
        </w:rPr>
        <w:t>Scofield’s emphases</w:t>
      </w:r>
      <w:r w:rsidRPr="005D00B9">
        <w:t>.</w:t>
      </w:r>
      <w:proofErr w:type="gramEnd"/>
    </w:p>
  </w:endnote>
  <w:endnote w:id="3053">
    <w:p w:rsidR="00975183" w:rsidRDefault="00975183" w:rsidP="00DF5751">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Romans, p. 1191</w:t>
      </w:r>
      <w:r>
        <w:t>.</w:t>
      </w:r>
      <w:r w:rsidRPr="005D00B9">
        <w:t xml:space="preserve">  Ref. Rom. 9:1</w:t>
      </w:r>
      <w:r>
        <w:t xml:space="preserve"> </w:t>
      </w:r>
      <w:r w:rsidRPr="00012B96">
        <w:rPr>
          <w:sz w:val="16"/>
          <w:szCs w:val="24"/>
        </w:rPr>
        <w:t>—</w:t>
      </w:r>
      <w:r>
        <w:rPr>
          <w:sz w:val="16"/>
          <w:szCs w:val="24"/>
        </w:rPr>
        <w:t xml:space="preserve"> </w:t>
      </w:r>
      <w:r w:rsidRPr="005D00B9">
        <w:t>11:36.</w:t>
      </w:r>
    </w:p>
  </w:endnote>
  <w:endnote w:id="3054">
    <w:p w:rsidR="00975183" w:rsidRDefault="00975183" w:rsidP="00DF5751">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Romans, p. 1191.  Refs Rom. 1:1; 2:11; 3:29.</w:t>
      </w:r>
    </w:p>
  </w:endnote>
  <w:endnote w:id="3055">
    <w:p w:rsidR="00975183" w:rsidRDefault="00975183" w:rsidP="00DF5751">
      <w:pPr>
        <w:pStyle w:val="EndnoteText"/>
      </w:pPr>
      <w:r w:rsidRPr="005D00B9">
        <w:rPr>
          <w:rStyle w:val="FootnoteReference"/>
        </w:rPr>
        <w:endnoteRef/>
      </w:r>
      <w:r w:rsidRPr="005D00B9">
        <w:t xml:space="preserve"> Ref. Rom. 3:19.</w:t>
      </w:r>
    </w:p>
  </w:endnote>
  <w:endnote w:id="3056">
    <w:p w:rsidR="00975183" w:rsidRDefault="00975183" w:rsidP="00DF5751">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Romans, p. 1191</w:t>
      </w:r>
      <w:r>
        <w:t>.</w:t>
      </w:r>
      <w:r w:rsidRPr="005D00B9">
        <w:t xml:space="preserve">  Ref. Rom. 9:1</w:t>
      </w:r>
      <w:r>
        <w:t xml:space="preserve"> </w:t>
      </w:r>
      <w:r w:rsidRPr="00012B96">
        <w:rPr>
          <w:sz w:val="16"/>
          <w:szCs w:val="24"/>
        </w:rPr>
        <w:t>—</w:t>
      </w:r>
      <w:r>
        <w:rPr>
          <w:sz w:val="16"/>
          <w:szCs w:val="24"/>
        </w:rPr>
        <w:t xml:space="preserve"> </w:t>
      </w:r>
      <w:r w:rsidRPr="005D00B9">
        <w:t>11:36.</w:t>
      </w:r>
    </w:p>
  </w:endnote>
  <w:endnote w:id="3057">
    <w:p w:rsidR="00975183" w:rsidRPr="006329CD" w:rsidRDefault="00975183" w:rsidP="006A2E06">
      <w:pPr>
        <w:pStyle w:val="EndnoteText"/>
      </w:pPr>
      <w:r w:rsidRPr="006329CD">
        <w:rPr>
          <w:rStyle w:val="EndnoteReference"/>
        </w:rPr>
        <w:endnoteRef/>
      </w:r>
      <w:r w:rsidRPr="006329CD">
        <w:t xml:space="preserve"> </w:t>
      </w:r>
      <w:proofErr w:type="gramStart"/>
      <w:r w:rsidRPr="006329CD">
        <w:rPr>
          <w:szCs w:val="18"/>
        </w:rPr>
        <w:t>Romans 5, 6, 7 and 11.</w:t>
      </w:r>
      <w:proofErr w:type="gramEnd"/>
    </w:p>
  </w:endnote>
  <w:endnote w:id="3058">
    <w:p w:rsidR="00975183" w:rsidRPr="006C0115" w:rsidRDefault="00975183" w:rsidP="006A2E06">
      <w:pPr>
        <w:pStyle w:val="EndnoteText"/>
      </w:pPr>
      <w:r w:rsidRPr="006C0115">
        <w:rPr>
          <w:rStyle w:val="EndnoteReference"/>
        </w:rPr>
        <w:endnoteRef/>
      </w:r>
      <w:r w:rsidRPr="006C0115">
        <w:t xml:space="preserve"> </w:t>
      </w:r>
      <w:proofErr w:type="gramStart"/>
      <w:r w:rsidRPr="006C0115">
        <w:t>Romans 12 contains</w:t>
      </w:r>
      <w:proofErr w:type="gramEnd"/>
      <w:r w:rsidRPr="006C0115">
        <w:t xml:space="preserve"> injunctions not to be conformed to </w:t>
      </w:r>
      <w:r>
        <w:t xml:space="preserve">the </w:t>
      </w:r>
      <w:r w:rsidRPr="006C0115">
        <w:t xml:space="preserve">world but to live the new life in love, especially loving enemies.  </w:t>
      </w:r>
      <w:proofErr w:type="gramStart"/>
      <w:r w:rsidRPr="006C0115">
        <w:t>Romans 13 speaks</w:t>
      </w:r>
      <w:proofErr w:type="gramEnd"/>
      <w:r w:rsidRPr="006C0115">
        <w:t xml:space="preserve"> of submission to governing authorities and the injunction to love, love being the fulfilment of the law.  Romans 14 contains injunctions concerning honouring other believers even if their opinions on non-essential matters are not the same as your own and </w:t>
      </w:r>
      <w:r>
        <w:t>injunctions concerning</w:t>
      </w:r>
      <w:r w:rsidRPr="006C0115">
        <w:t xml:space="preserve"> not judging others or putting stumbling blocks in their way.  </w:t>
      </w:r>
      <w:proofErr w:type="gramStart"/>
      <w:r w:rsidRPr="006C0115">
        <w:t>Romans 15 incorporates</w:t>
      </w:r>
      <w:proofErr w:type="gramEnd"/>
      <w:r w:rsidRPr="006C0115">
        <w:t xml:space="preserve"> admonitions about living for others not oneself and accepting others as Christ accepted you.  </w:t>
      </w:r>
      <w:proofErr w:type="gramStart"/>
      <w:r w:rsidRPr="006C0115">
        <w:t>Romans 16 includes</w:t>
      </w:r>
      <w:proofErr w:type="gramEnd"/>
      <w:r w:rsidRPr="006C0115">
        <w:t xml:space="preserve"> requests for greetings to be given to church members in Rome and greetings from Paul’s associates.  </w:t>
      </w:r>
    </w:p>
  </w:endnote>
  <w:endnote w:id="3059">
    <w:p w:rsidR="00975183" w:rsidRPr="002A5B29" w:rsidRDefault="00975183" w:rsidP="006A2E06">
      <w:pPr>
        <w:pStyle w:val="EndnoteText"/>
        <w:rPr>
          <w:sz w:val="18"/>
        </w:rPr>
      </w:pPr>
      <w:r w:rsidRPr="002A5B29">
        <w:rPr>
          <w:rStyle w:val="EndnoteReference"/>
        </w:rPr>
        <w:endnoteRef/>
      </w:r>
      <w:r w:rsidRPr="002A5B29">
        <w:t xml:space="preserve"> </w:t>
      </w:r>
      <w:r w:rsidRPr="002A5B29">
        <w:rPr>
          <w:szCs w:val="22"/>
        </w:rPr>
        <w:t>Craig C. Hill, ‘God’s Righteousness Evident in the Treatment of Israel (9:1</w:t>
      </w:r>
      <w:r>
        <w:rPr>
          <w:szCs w:val="22"/>
        </w:rPr>
        <w:t xml:space="preserve"> </w:t>
      </w:r>
      <w:r w:rsidRPr="00012B96">
        <w:rPr>
          <w:sz w:val="16"/>
          <w:szCs w:val="24"/>
        </w:rPr>
        <w:t>—</w:t>
      </w:r>
      <w:r w:rsidRPr="002A5B29">
        <w:rPr>
          <w:szCs w:val="22"/>
        </w:rPr>
        <w:t xml:space="preserve"> 11:36) in ‘Romans’, </w:t>
      </w:r>
      <w:r w:rsidRPr="002A5B29">
        <w:rPr>
          <w:i/>
          <w:szCs w:val="22"/>
        </w:rPr>
        <w:t>The Oxford Bible Commentary</w:t>
      </w:r>
      <w:r w:rsidRPr="002A5B29">
        <w:rPr>
          <w:szCs w:val="22"/>
        </w:rPr>
        <w:t>, John Barton and John Muddiman (eds.), (Oxford: Oxford University Press, 2001), p. 1099.</w:t>
      </w:r>
    </w:p>
  </w:endnote>
  <w:endnote w:id="3060">
    <w:p w:rsidR="00975183" w:rsidRDefault="00975183" w:rsidP="006A2E06">
      <w:pPr>
        <w:pStyle w:val="EndnoteText"/>
      </w:pPr>
      <w:r w:rsidRPr="001E1F1C">
        <w:rPr>
          <w:rStyle w:val="EndnoteReference"/>
        </w:rPr>
        <w:endnoteRef/>
      </w:r>
      <w:r w:rsidRPr="001E1F1C">
        <w:t xml:space="preserve"> </w:t>
      </w:r>
      <w:r w:rsidRPr="002A5B29">
        <w:rPr>
          <w:szCs w:val="22"/>
        </w:rPr>
        <w:t>Hill, ‘God’s Righteousness Evident in the Treatment of Israel</w:t>
      </w:r>
      <w:r>
        <w:rPr>
          <w:szCs w:val="22"/>
        </w:rPr>
        <w:t xml:space="preserve">’, ‘Romans’, </w:t>
      </w:r>
      <w:r w:rsidRPr="002A5B29">
        <w:rPr>
          <w:i/>
          <w:szCs w:val="22"/>
        </w:rPr>
        <w:t>Oxford Bible Commentary</w:t>
      </w:r>
      <w:r w:rsidRPr="002A5B29">
        <w:rPr>
          <w:szCs w:val="22"/>
        </w:rPr>
        <w:t>, p. 1099.</w:t>
      </w:r>
    </w:p>
  </w:endnote>
  <w:endnote w:id="306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w:t>
      </w:r>
      <w:r>
        <w:rPr>
          <w:szCs w:val="18"/>
        </w:rPr>
        <w:t>I</w:t>
      </w:r>
      <w:r w:rsidRPr="006329CD">
        <w:rPr>
          <w:szCs w:val="18"/>
        </w:rPr>
        <w:t xml:space="preserve">ntroduction to Romans, p. 1191.  Ref. Rom. 11:25-7.  </w:t>
      </w:r>
    </w:p>
  </w:endnote>
  <w:endnote w:id="3062">
    <w:p w:rsidR="00975183" w:rsidRPr="00F22FDB" w:rsidRDefault="00975183" w:rsidP="006A2E06">
      <w:pPr>
        <w:pStyle w:val="EndnoteText"/>
      </w:pPr>
      <w:r w:rsidRPr="00F22FDB">
        <w:rPr>
          <w:rStyle w:val="EndnoteReference"/>
        </w:rPr>
        <w:endnoteRef/>
      </w:r>
      <w:r w:rsidRPr="00F22FDB">
        <w:t xml:space="preserve"> </w:t>
      </w:r>
      <w:proofErr w:type="gramStart"/>
      <w:r w:rsidRPr="00F22FDB">
        <w:rPr>
          <w:i/>
        </w:rPr>
        <w:t>SRB</w:t>
      </w:r>
      <w:r>
        <w:t xml:space="preserve"> heading to Romans 9, p. 1202.</w:t>
      </w:r>
      <w:proofErr w:type="gramEnd"/>
      <w:r>
        <w:t xml:space="preserve">  </w:t>
      </w:r>
      <w:proofErr w:type="gramStart"/>
      <w:r>
        <w:t xml:space="preserve">cf </w:t>
      </w:r>
      <w:r w:rsidRPr="009A59A8">
        <w:rPr>
          <w:i/>
        </w:rPr>
        <w:t>SRB</w:t>
      </w:r>
      <w:r>
        <w:t xml:space="preserve"> Introduction to Romans, p. 1191.</w:t>
      </w:r>
      <w:proofErr w:type="gramEnd"/>
    </w:p>
  </w:endnote>
  <w:endnote w:id="3063">
    <w:p w:rsidR="00975183" w:rsidRPr="002A5B29" w:rsidRDefault="00975183" w:rsidP="006A2E06">
      <w:pPr>
        <w:pStyle w:val="EndnoteText"/>
        <w:rPr>
          <w:sz w:val="18"/>
        </w:rPr>
      </w:pPr>
      <w:r w:rsidRPr="002A5B29">
        <w:rPr>
          <w:rStyle w:val="EndnoteReference"/>
        </w:rPr>
        <w:endnoteRef/>
      </w:r>
      <w:r w:rsidRPr="002A5B29">
        <w:t xml:space="preserve"> </w:t>
      </w:r>
      <w:r w:rsidRPr="002A5B29">
        <w:rPr>
          <w:szCs w:val="22"/>
        </w:rPr>
        <w:t>Hill, ‘God’s Righteousness Evident in the Treatment of Israel</w:t>
      </w:r>
      <w:r>
        <w:rPr>
          <w:szCs w:val="22"/>
        </w:rPr>
        <w:t xml:space="preserve">’, ‘Romans’, </w:t>
      </w:r>
      <w:r w:rsidRPr="002A5B29">
        <w:rPr>
          <w:i/>
          <w:szCs w:val="22"/>
        </w:rPr>
        <w:t>Oxford Bible Commentary</w:t>
      </w:r>
      <w:r w:rsidRPr="002A5B29">
        <w:rPr>
          <w:szCs w:val="22"/>
        </w:rPr>
        <w:t>, p. 1099.</w:t>
      </w:r>
    </w:p>
  </w:endnote>
  <w:endnote w:id="3064">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Rom. 9:6, p. 1202.</w:t>
      </w:r>
    </w:p>
  </w:endnote>
  <w:endnote w:id="3065">
    <w:p w:rsidR="00975183" w:rsidRDefault="00975183" w:rsidP="006A2E06">
      <w:pPr>
        <w:pStyle w:val="EndnoteText"/>
      </w:pPr>
      <w:r w:rsidRPr="006329CD">
        <w:rPr>
          <w:rStyle w:val="EndnoteReference"/>
        </w:rPr>
        <w:endnoteRef/>
      </w:r>
      <w:r w:rsidRPr="006329CD">
        <w:t xml:space="preserve"> </w:t>
      </w:r>
      <w:r w:rsidRPr="006329CD">
        <w:rPr>
          <w:i/>
        </w:rPr>
        <w:t xml:space="preserve">SRB </w:t>
      </w:r>
      <w:r w:rsidRPr="006329CD">
        <w:t xml:space="preserve">note on Rom. 10:3, p. 1203.  </w:t>
      </w:r>
    </w:p>
  </w:endnote>
  <w:endnote w:id="3066">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Rom. 11:1, p. 1204</w:t>
      </w:r>
      <w:r>
        <w:rPr>
          <w:szCs w:val="18"/>
        </w:rPr>
        <w:t xml:space="preserve">; 11:5, p. 1205; 11:26, p. 1206.  </w:t>
      </w:r>
    </w:p>
  </w:endnote>
  <w:endnote w:id="3067">
    <w:p w:rsidR="00975183" w:rsidRDefault="00975183" w:rsidP="006A2E06">
      <w:pPr>
        <w:pStyle w:val="EndnoteText"/>
      </w:pPr>
      <w:r w:rsidRPr="001E1F1C">
        <w:rPr>
          <w:rStyle w:val="EndnoteReference"/>
        </w:rPr>
        <w:endnoteRef/>
      </w:r>
      <w:r w:rsidRPr="001E1F1C">
        <w:t xml:space="preserve"> </w:t>
      </w:r>
      <w:r w:rsidRPr="002A5B29">
        <w:rPr>
          <w:szCs w:val="22"/>
        </w:rPr>
        <w:t>Hill, ‘God’s Righteousness Evident in the Treatment of Israel</w:t>
      </w:r>
      <w:r>
        <w:rPr>
          <w:szCs w:val="22"/>
        </w:rPr>
        <w:t xml:space="preserve">’, ‘Romans’, </w:t>
      </w:r>
      <w:r w:rsidRPr="002A5B29">
        <w:rPr>
          <w:i/>
          <w:szCs w:val="22"/>
        </w:rPr>
        <w:t>Oxford Bible Commentary</w:t>
      </w:r>
      <w:r w:rsidRPr="002A5B29">
        <w:rPr>
          <w:szCs w:val="22"/>
        </w:rPr>
        <w:t>, p. 1099.</w:t>
      </w:r>
    </w:p>
  </w:endnote>
  <w:endnote w:id="306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Rom.</w:t>
      </w:r>
      <w:r>
        <w:rPr>
          <w:szCs w:val="18"/>
        </w:rPr>
        <w:t xml:space="preserve"> 11:5, p. 1205.</w:t>
      </w:r>
    </w:p>
  </w:endnote>
  <w:endnote w:id="3069">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Rom.</w:t>
      </w:r>
      <w:r>
        <w:rPr>
          <w:szCs w:val="18"/>
        </w:rPr>
        <w:t xml:space="preserve"> 11:26, p. 1206.</w:t>
      </w:r>
    </w:p>
  </w:endnote>
  <w:endnote w:id="3070">
    <w:p w:rsidR="00975183" w:rsidRPr="0084719E" w:rsidRDefault="00975183" w:rsidP="004329AD">
      <w:pPr>
        <w:pStyle w:val="EndnoteText"/>
      </w:pPr>
      <w:r w:rsidRPr="0084719E">
        <w:rPr>
          <w:rStyle w:val="FootnoteReference"/>
        </w:rPr>
        <w:endnoteRef/>
      </w:r>
      <w:r w:rsidRPr="0084719E">
        <w:t xml:space="preserve"> ‘Who will render to every man according to his deeds …tribulation and anguish upon every soul of man that doeth evil, of the Jew first, and also of the Gentile, But glory, honour, and peace to every man that worketh good, to the Jew first, but also to the Gentile.’  </w:t>
      </w:r>
      <w:proofErr w:type="gramStart"/>
      <w:r w:rsidRPr="0084719E">
        <w:t xml:space="preserve">Rom. 2:6, 9-10 </w:t>
      </w:r>
      <w:r w:rsidRPr="0084719E">
        <w:rPr>
          <w:i/>
        </w:rPr>
        <w:t>KJV.</w:t>
      </w:r>
      <w:proofErr w:type="gramEnd"/>
    </w:p>
    <w:p w:rsidR="00975183" w:rsidRPr="0084719E" w:rsidRDefault="00975183" w:rsidP="004329AD">
      <w:pPr>
        <w:pStyle w:val="FootnoteText"/>
        <w:rPr>
          <w:rFonts w:ascii="Perpetua" w:hAnsi="Perpetua"/>
        </w:rPr>
      </w:pPr>
      <w:r w:rsidRPr="0084719E">
        <w:rPr>
          <w:rFonts w:ascii="Perpetua" w:hAnsi="Perpetua"/>
        </w:rPr>
        <w:t xml:space="preserve">‘What then? </w:t>
      </w:r>
      <w:proofErr w:type="gramStart"/>
      <w:r w:rsidRPr="0084719E">
        <w:rPr>
          <w:rFonts w:ascii="Perpetua" w:hAnsi="Perpetua"/>
        </w:rPr>
        <w:t>are</w:t>
      </w:r>
      <w:proofErr w:type="gramEnd"/>
      <w:r w:rsidRPr="0084719E">
        <w:rPr>
          <w:rFonts w:ascii="Perpetua" w:hAnsi="Perpetua"/>
        </w:rPr>
        <w:t xml:space="preserve"> we better than they?  No, in no wise: for we have before proved both Jews and </w:t>
      </w:r>
      <w:proofErr w:type="gramStart"/>
      <w:r w:rsidRPr="0084719E">
        <w:rPr>
          <w:rFonts w:ascii="Perpetua" w:hAnsi="Perpetua"/>
        </w:rPr>
        <w:t>Gentiles, that</w:t>
      </w:r>
      <w:proofErr w:type="gramEnd"/>
      <w:r w:rsidRPr="0084719E">
        <w:rPr>
          <w:rFonts w:ascii="Perpetua" w:hAnsi="Perpetua"/>
        </w:rPr>
        <w:t xml:space="preserve"> they are under sin.’ </w:t>
      </w:r>
      <w:proofErr w:type="gramStart"/>
      <w:r w:rsidRPr="0084719E">
        <w:rPr>
          <w:rFonts w:ascii="Perpetua" w:hAnsi="Perpetua"/>
        </w:rPr>
        <w:t xml:space="preserve">Rom. 3:9, </w:t>
      </w:r>
      <w:r w:rsidRPr="0084719E">
        <w:rPr>
          <w:rFonts w:ascii="Perpetua" w:hAnsi="Perpetua"/>
          <w:i/>
        </w:rPr>
        <w:t>KJV</w:t>
      </w:r>
      <w:r w:rsidRPr="0084719E">
        <w:rPr>
          <w:rFonts w:ascii="Perpetua" w:hAnsi="Perpetua"/>
        </w:rPr>
        <w:t>.</w:t>
      </w:r>
      <w:proofErr w:type="gramEnd"/>
    </w:p>
    <w:p w:rsidR="00975183" w:rsidRPr="0084719E" w:rsidRDefault="00975183" w:rsidP="004329AD">
      <w:pPr>
        <w:pStyle w:val="EndnoteText"/>
      </w:pPr>
      <w:r w:rsidRPr="0084719E">
        <w:t xml:space="preserve">‘The gospel of Christ … is the power of God unto salvation to every one that believeth; to the Jew first, and also to the Greek.’ Rom 1:16, </w:t>
      </w:r>
      <w:r w:rsidRPr="0084719E">
        <w:rPr>
          <w:i/>
        </w:rPr>
        <w:t>KJV</w:t>
      </w:r>
      <w:r w:rsidRPr="0084719E">
        <w:t>.</w:t>
      </w:r>
    </w:p>
    <w:p w:rsidR="00975183" w:rsidRDefault="00975183" w:rsidP="004329AD">
      <w:pPr>
        <w:pStyle w:val="EndnoteText"/>
      </w:pPr>
      <w:proofErr w:type="gramStart"/>
      <w:r w:rsidRPr="0084719E">
        <w:t>‘Seeing it is one God, which shall justify the circumcision by faith, and uncircumcision through faith.’</w:t>
      </w:r>
      <w:proofErr w:type="gramEnd"/>
      <w:r w:rsidRPr="0084719E">
        <w:t xml:space="preserve"> </w:t>
      </w:r>
    </w:p>
    <w:p w:rsidR="00975183" w:rsidRPr="0084719E" w:rsidRDefault="00975183" w:rsidP="004329AD">
      <w:pPr>
        <w:pStyle w:val="EndnoteText"/>
      </w:pPr>
      <w:r w:rsidRPr="0084719E">
        <w:t xml:space="preserve">Rom. 3:30, </w:t>
      </w:r>
      <w:r w:rsidRPr="0084719E">
        <w:rPr>
          <w:i/>
        </w:rPr>
        <w:t>KJV</w:t>
      </w:r>
      <w:r w:rsidRPr="0084719E">
        <w:t xml:space="preserve">.   </w:t>
      </w:r>
    </w:p>
    <w:p w:rsidR="00975183" w:rsidRPr="0084719E" w:rsidRDefault="00975183" w:rsidP="004329AD">
      <w:pPr>
        <w:pStyle w:val="EndnoteText"/>
      </w:pPr>
      <w:proofErr w:type="gramStart"/>
      <w:r w:rsidRPr="0084719E">
        <w:t>‘Even us, whom he hath called, not of the Jews only, but also of the Gentiles.</w:t>
      </w:r>
      <w:proofErr w:type="gramEnd"/>
      <w:r w:rsidRPr="0084719E">
        <w:t xml:space="preserve">  Rom 9:24, </w:t>
      </w:r>
      <w:r w:rsidRPr="0084719E">
        <w:rPr>
          <w:i/>
        </w:rPr>
        <w:t>KJV</w:t>
      </w:r>
      <w:r w:rsidRPr="0084719E">
        <w:t>.</w:t>
      </w:r>
    </w:p>
    <w:p w:rsidR="00975183" w:rsidRDefault="00975183" w:rsidP="004329AD">
      <w:pPr>
        <w:pStyle w:val="EndnoteText"/>
      </w:pPr>
      <w:r w:rsidRPr="0084719E">
        <w:t xml:space="preserve">‘For there is no difference between the Jew and the Greek: for the same Lord over all is rich unto all that call upon him.’  Rom 10:12, </w:t>
      </w:r>
      <w:r w:rsidRPr="0084719E">
        <w:rPr>
          <w:i/>
        </w:rPr>
        <w:t>KJV</w:t>
      </w:r>
      <w:r w:rsidRPr="0084719E">
        <w:t>.</w:t>
      </w:r>
    </w:p>
  </w:endnote>
  <w:endnote w:id="307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Romans 4.</w:t>
      </w:r>
      <w:proofErr w:type="gramEnd"/>
    </w:p>
  </w:endnote>
  <w:endnote w:id="307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Rom. 10:1.</w:t>
      </w:r>
    </w:p>
  </w:endnote>
  <w:endnote w:id="307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introduction, p. iii.</w:t>
      </w:r>
      <w:proofErr w:type="gramEnd"/>
    </w:p>
  </w:endnote>
  <w:endnote w:id="3074">
    <w:p w:rsidR="00975183" w:rsidRDefault="00975183" w:rsidP="00DF5751">
      <w:pPr>
        <w:pStyle w:val="EndnoteText"/>
      </w:pPr>
      <w:r w:rsidRPr="005D00B9">
        <w:rPr>
          <w:rStyle w:val="FootnoteReference"/>
        </w:rPr>
        <w:endnoteRef/>
      </w:r>
      <w:r w:rsidRPr="005D00B9">
        <w:t xml:space="preserve"> </w:t>
      </w:r>
      <w:r w:rsidRPr="005D00B9">
        <w:rPr>
          <w:i/>
        </w:rPr>
        <w:t xml:space="preserve">SRB </w:t>
      </w:r>
      <w:r>
        <w:t>I</w:t>
      </w:r>
      <w:r w:rsidRPr="005D00B9">
        <w:t>ntroduction to 1 Corinthians, p. 1211.</w:t>
      </w:r>
    </w:p>
  </w:endnote>
  <w:endnote w:id="3075">
    <w:p w:rsidR="00975183" w:rsidRDefault="00975183" w:rsidP="00DF5751">
      <w:pPr>
        <w:pStyle w:val="EndnoteText"/>
      </w:pPr>
      <w:r w:rsidRPr="005D00B9">
        <w:rPr>
          <w:rStyle w:val="FootnoteReference"/>
        </w:rPr>
        <w:endnoteRef/>
      </w:r>
      <w:r w:rsidRPr="00A965C3">
        <w:t>N</w:t>
      </w:r>
      <w:r w:rsidRPr="005D00B9">
        <w:t xml:space="preserve">ine subjects to be found in 1 Corinthians: the believer’s standing in grace (1:1-9); the contrast between this and their present factious state (1:10 </w:t>
      </w:r>
      <w:r w:rsidRPr="00012B96">
        <w:rPr>
          <w:sz w:val="16"/>
          <w:szCs w:val="24"/>
        </w:rPr>
        <w:t>—</w:t>
      </w:r>
      <w:r>
        <w:t xml:space="preserve"> </w:t>
      </w:r>
      <w:r w:rsidRPr="005D00B9">
        <w:t xml:space="preserve">4:21); Paul’s rebuke of immorality and exhortation to discipline (5:1-6, 8); the sanctity of the body, and Christian marriage (6:9 </w:t>
      </w:r>
      <w:r w:rsidRPr="00012B96">
        <w:rPr>
          <w:sz w:val="16"/>
          <w:szCs w:val="24"/>
        </w:rPr>
        <w:t>—</w:t>
      </w:r>
      <w:r w:rsidRPr="005D00B9">
        <w:t xml:space="preserve"> 7:40); meats, and limitations on Christian liberty (8:1 </w:t>
      </w:r>
      <w:r w:rsidRPr="00012B96">
        <w:rPr>
          <w:sz w:val="16"/>
          <w:szCs w:val="24"/>
        </w:rPr>
        <w:t>—</w:t>
      </w:r>
      <w:r>
        <w:t xml:space="preserve"> </w:t>
      </w:r>
      <w:r w:rsidRPr="005D00B9">
        <w:t xml:space="preserve">11:1); Christian order and the Lord’s Supper (11:2-34); spiritual gifts in relation to the body, the church and Christian ministry (12:1 </w:t>
      </w:r>
      <w:r w:rsidRPr="00012B96">
        <w:rPr>
          <w:sz w:val="16"/>
          <w:szCs w:val="24"/>
        </w:rPr>
        <w:t>—</w:t>
      </w:r>
      <w:r>
        <w:t xml:space="preserve"> </w:t>
      </w:r>
      <w:r w:rsidRPr="005D00B9">
        <w:t>14:40); resurrection of the dead (15:1-58); special directions and greetings (16:1-24).</w:t>
      </w:r>
    </w:p>
  </w:endnote>
  <w:endnote w:id="3076">
    <w:p w:rsidR="00975183" w:rsidRDefault="00975183" w:rsidP="00DF5751">
      <w:pPr>
        <w:pStyle w:val="EndnoteText"/>
      </w:pPr>
      <w:r w:rsidRPr="005D00B9">
        <w:rPr>
          <w:rStyle w:val="FootnoteReference"/>
        </w:rPr>
        <w:endnoteRef/>
      </w:r>
      <w:r w:rsidRPr="005D00B9">
        <w:t xml:space="preserve"> Ref. 1 Cor. 15:58.</w:t>
      </w:r>
    </w:p>
  </w:endnote>
  <w:endnote w:id="3077">
    <w:p w:rsidR="00975183" w:rsidRPr="00550BA8" w:rsidRDefault="00975183" w:rsidP="006A2E06">
      <w:pPr>
        <w:pStyle w:val="EndnoteText"/>
      </w:pPr>
      <w:r w:rsidRPr="00550BA8">
        <w:rPr>
          <w:rStyle w:val="EndnoteReference"/>
        </w:rPr>
        <w:endnoteRef/>
      </w:r>
      <w:r w:rsidRPr="00550BA8">
        <w:t xml:space="preserve"> </w:t>
      </w:r>
      <w:r w:rsidRPr="0081044F">
        <w:rPr>
          <w:i/>
        </w:rPr>
        <w:t>SRB</w:t>
      </w:r>
      <w:r>
        <w:t xml:space="preserve"> note on 1 Cor. 2:13, p. 1213.  </w:t>
      </w:r>
      <w:r w:rsidRPr="0070562C">
        <w:rPr>
          <w:b/>
        </w:rPr>
        <w:t>See 3.2</w:t>
      </w:r>
      <w:r>
        <w:t>.</w:t>
      </w:r>
    </w:p>
  </w:endnote>
  <w:endnote w:id="3078">
    <w:p w:rsidR="00975183" w:rsidRPr="00FB5CB7" w:rsidRDefault="00975183" w:rsidP="006A2E06">
      <w:pPr>
        <w:pStyle w:val="EndnoteText"/>
      </w:pPr>
      <w:r w:rsidRPr="00FB5CB7">
        <w:rPr>
          <w:rStyle w:val="EndnoteReference"/>
        </w:rPr>
        <w:endnoteRef/>
      </w:r>
      <w:r w:rsidRPr="00FB5CB7">
        <w:t xml:space="preserve"> </w:t>
      </w:r>
      <w:r w:rsidRPr="00FB5CB7">
        <w:rPr>
          <w:i/>
        </w:rPr>
        <w:t>SRB</w:t>
      </w:r>
      <w:r>
        <w:t xml:space="preserve"> notes on 1 Cor. 1:7, p. 1212; 2:14. pp. 1213-4; 5:5, p. 1216.</w:t>
      </w:r>
    </w:p>
  </w:endnote>
  <w:endnote w:id="3079">
    <w:p w:rsidR="00975183" w:rsidRDefault="00975183" w:rsidP="006A2E06">
      <w:pPr>
        <w:pStyle w:val="EndnoteText"/>
      </w:pPr>
      <w:r w:rsidRPr="00FB5CB7">
        <w:rPr>
          <w:rStyle w:val="EndnoteReference"/>
        </w:rPr>
        <w:endnoteRef/>
      </w:r>
      <w:r w:rsidRPr="00FB5CB7">
        <w:t xml:space="preserve"> </w:t>
      </w:r>
      <w:r w:rsidRPr="00FB5CB7">
        <w:rPr>
          <w:i/>
        </w:rPr>
        <w:t>SRB</w:t>
      </w:r>
      <w:r>
        <w:t xml:space="preserve"> notes on 1 Cor. 9:27, p. 1220.</w:t>
      </w:r>
    </w:p>
  </w:endnote>
  <w:endnote w:id="3080">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w:t>
      </w:r>
      <w:r>
        <w:rPr>
          <w:szCs w:val="18"/>
        </w:rPr>
        <w:t xml:space="preserve"> </w:t>
      </w:r>
      <w:r w:rsidRPr="006329CD">
        <w:rPr>
          <w:szCs w:val="18"/>
        </w:rPr>
        <w:t>on</w:t>
      </w:r>
      <w:r>
        <w:rPr>
          <w:szCs w:val="18"/>
        </w:rPr>
        <w:t xml:space="preserve"> 1 Cor. 10:8, p. 1220.</w:t>
      </w:r>
      <w:proofErr w:type="gramEnd"/>
    </w:p>
  </w:endnote>
  <w:endnote w:id="3081">
    <w:p w:rsidR="00975183" w:rsidRPr="00BB7B08" w:rsidRDefault="00975183" w:rsidP="006A2E06">
      <w:pPr>
        <w:pStyle w:val="EndnoteText"/>
      </w:pPr>
      <w:r w:rsidRPr="00BB7B08">
        <w:rPr>
          <w:rStyle w:val="EndnoteReference"/>
        </w:rPr>
        <w:endnoteRef/>
      </w:r>
      <w:r w:rsidRPr="00BB7B08">
        <w:t xml:space="preserve"> </w:t>
      </w:r>
      <w:proofErr w:type="gramStart"/>
      <w:r w:rsidRPr="00B36511">
        <w:rPr>
          <w:b/>
        </w:rPr>
        <w:t>See 2.1.1.</w:t>
      </w:r>
      <w:proofErr w:type="gramEnd"/>
      <w:r w:rsidRPr="00B36511">
        <w:rPr>
          <w:b/>
        </w:rPr>
        <w:t xml:space="preserve"> </w:t>
      </w:r>
      <w:r w:rsidRPr="00B36511">
        <w:rPr>
          <w:b/>
          <w:i/>
        </w:rPr>
        <w:t>a)</w:t>
      </w:r>
      <w:r w:rsidRPr="00B36511">
        <w:rPr>
          <w:b/>
        </w:rPr>
        <w:t xml:space="preserve"> </w:t>
      </w:r>
      <w:r w:rsidRPr="00B36511">
        <w:rPr>
          <w:b/>
          <w:i/>
        </w:rPr>
        <w:t>Numerical Discrepancies</w:t>
      </w:r>
      <w:r w:rsidRPr="00B36511">
        <w:rPr>
          <w:color w:val="FF0000"/>
        </w:rPr>
        <w:t>.</w:t>
      </w:r>
    </w:p>
  </w:endnote>
  <w:endnote w:id="3082">
    <w:p w:rsidR="00975183" w:rsidRPr="00ED6006" w:rsidRDefault="00975183" w:rsidP="006A2E06">
      <w:pPr>
        <w:pStyle w:val="EndnoteText"/>
      </w:pPr>
      <w:r w:rsidRPr="00ED6006">
        <w:rPr>
          <w:rStyle w:val="EndnoteReference"/>
        </w:rPr>
        <w:endnoteRef/>
      </w:r>
      <w:r w:rsidRPr="00ED6006">
        <w:t xml:space="preserve"> </w:t>
      </w:r>
      <w:r w:rsidRPr="00B36511">
        <w:rPr>
          <w:b/>
        </w:rPr>
        <w:t xml:space="preserve">See below: </w:t>
      </w:r>
      <w:r w:rsidRPr="00B36511">
        <w:rPr>
          <w:b/>
          <w:i/>
        </w:rPr>
        <w:t>Omissions</w:t>
      </w:r>
      <w:r>
        <w:t>.</w:t>
      </w:r>
    </w:p>
  </w:endnote>
  <w:endnote w:id="3083">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w:t>
      </w:r>
      <w:r>
        <w:rPr>
          <w:szCs w:val="18"/>
        </w:rPr>
        <w:t xml:space="preserve"> </w:t>
      </w:r>
      <w:r w:rsidRPr="006329CD">
        <w:rPr>
          <w:szCs w:val="18"/>
        </w:rPr>
        <w:t>on</w:t>
      </w:r>
      <w:r>
        <w:rPr>
          <w:szCs w:val="18"/>
        </w:rPr>
        <w:t xml:space="preserve"> 1 Cor. 10:8, p. 1220.</w:t>
      </w:r>
      <w:proofErr w:type="gramEnd"/>
    </w:p>
  </w:endnote>
  <w:endnote w:id="3084">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 xml:space="preserve"> </w:t>
      </w:r>
      <w:r w:rsidRPr="006329CD">
        <w:rPr>
          <w:szCs w:val="18"/>
        </w:rPr>
        <w:t>on</w:t>
      </w:r>
      <w:r>
        <w:rPr>
          <w:szCs w:val="18"/>
        </w:rPr>
        <w:t xml:space="preserve"> 1 Cor. 15:24, pp. 1226-7.</w:t>
      </w:r>
    </w:p>
  </w:endnote>
  <w:endnote w:id="3085">
    <w:p w:rsidR="00975183" w:rsidRPr="00385175" w:rsidRDefault="00975183" w:rsidP="006A2E06">
      <w:pPr>
        <w:pStyle w:val="EndnoteText"/>
      </w:pPr>
      <w:r w:rsidRPr="00385175">
        <w:rPr>
          <w:rStyle w:val="EndnoteReference"/>
        </w:rPr>
        <w:endnoteRef/>
      </w:r>
      <w:r w:rsidRPr="00385175">
        <w:t xml:space="preserve"> </w:t>
      </w:r>
      <w:r w:rsidRPr="00B36511">
        <w:rPr>
          <w:b/>
        </w:rPr>
        <w:t>See 7.2.1 and Case Study, 1 Cor. 15:24</w:t>
      </w:r>
      <w:r>
        <w:t>.</w:t>
      </w:r>
    </w:p>
  </w:endnote>
  <w:endnote w:id="3086">
    <w:p w:rsidR="00975183" w:rsidRPr="00E04FC7" w:rsidRDefault="00975183" w:rsidP="006A2E06">
      <w:pPr>
        <w:pStyle w:val="EndnoteText"/>
      </w:pPr>
      <w:r w:rsidRPr="00E04FC7">
        <w:rPr>
          <w:rStyle w:val="EndnoteReference"/>
        </w:rPr>
        <w:endnoteRef/>
      </w:r>
      <w:r w:rsidRPr="00E04FC7">
        <w:t xml:space="preserve"> </w:t>
      </w:r>
      <w:r w:rsidRPr="00E04FC7">
        <w:rPr>
          <w:i/>
        </w:rPr>
        <w:t>SRB</w:t>
      </w:r>
      <w:r>
        <w:t xml:space="preserve"> note on 1 Cor. 15:52, p. 1228.</w:t>
      </w:r>
    </w:p>
  </w:endnote>
  <w:endnote w:id="3087">
    <w:p w:rsidR="00975183" w:rsidRPr="00A717A9" w:rsidRDefault="00975183" w:rsidP="006A2E06">
      <w:pPr>
        <w:pStyle w:val="EndnoteText"/>
      </w:pPr>
      <w:r w:rsidRPr="00A717A9">
        <w:rPr>
          <w:rStyle w:val="EndnoteReference"/>
        </w:rPr>
        <w:endnoteRef/>
      </w:r>
      <w:r w:rsidRPr="00A717A9">
        <w:t xml:space="preserve"> </w:t>
      </w:r>
      <w:r w:rsidRPr="00ED0C45">
        <w:rPr>
          <w:b/>
        </w:rPr>
        <w:t>See 7.1.2.3</w:t>
      </w:r>
      <w:r w:rsidRPr="00ED0C45">
        <w:t xml:space="preserve"> </w:t>
      </w:r>
      <w:r w:rsidRPr="00ED0C45">
        <w:rPr>
          <w:b/>
        </w:rPr>
        <w:t>and</w:t>
      </w:r>
      <w:r w:rsidRPr="00ED0C45">
        <w:t xml:space="preserve"> </w:t>
      </w:r>
      <w:r w:rsidRPr="00ED0C45">
        <w:rPr>
          <w:b/>
        </w:rPr>
        <w:t xml:space="preserve">Case Study, 1 Cor. </w:t>
      </w:r>
      <w:r>
        <w:rPr>
          <w:b/>
        </w:rPr>
        <w:t>15:24</w:t>
      </w:r>
      <w:r>
        <w:t>.</w:t>
      </w:r>
    </w:p>
  </w:endnote>
  <w:endnote w:id="3088">
    <w:p w:rsidR="00975183" w:rsidRDefault="00975183" w:rsidP="006A2E06">
      <w:pPr>
        <w:pStyle w:val="EndnoteText"/>
      </w:pPr>
      <w:r w:rsidRPr="00E04FC7">
        <w:rPr>
          <w:rStyle w:val="EndnoteReference"/>
        </w:rPr>
        <w:endnoteRef/>
      </w:r>
      <w:r w:rsidRPr="00E04FC7">
        <w:t xml:space="preserve"> </w:t>
      </w:r>
      <w:r w:rsidRPr="00E04FC7">
        <w:rPr>
          <w:i/>
        </w:rPr>
        <w:t>SRB</w:t>
      </w:r>
      <w:r>
        <w:t xml:space="preserve"> note on 1 Cor. 15:22, p. 1226.  </w:t>
      </w:r>
      <w:proofErr w:type="gramStart"/>
      <w:r w:rsidRPr="00ED0C45">
        <w:rPr>
          <w:b/>
        </w:rPr>
        <w:t xml:space="preserve">See 2.3.1, </w:t>
      </w:r>
      <w:r w:rsidRPr="00ED0C45">
        <w:rPr>
          <w:b/>
          <w:szCs w:val="22"/>
        </w:rPr>
        <w:t>a) i)</w:t>
      </w:r>
      <w:r>
        <w:rPr>
          <w:szCs w:val="22"/>
        </w:rPr>
        <w:t>.</w:t>
      </w:r>
      <w:proofErr w:type="gramEnd"/>
    </w:p>
  </w:endnote>
  <w:endnote w:id="308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Cor. 5:8.</w:t>
      </w:r>
    </w:p>
  </w:endnote>
  <w:endnote w:id="309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notes on Mt. 6:33, p. 1003 and Mt. 13:33, p. 1016.</w:t>
      </w:r>
      <w:r>
        <w:rPr>
          <w:szCs w:val="18"/>
        </w:rPr>
        <w:t xml:space="preserve">  </w:t>
      </w:r>
      <w:r w:rsidRPr="001261A2">
        <w:rPr>
          <w:b/>
          <w:szCs w:val="18"/>
        </w:rPr>
        <w:t xml:space="preserve">See </w:t>
      </w:r>
      <w:r w:rsidRPr="001261A2">
        <w:rPr>
          <w:b/>
        </w:rPr>
        <w:t xml:space="preserve">2.3.1, a) i); </w:t>
      </w:r>
      <w:r w:rsidRPr="001261A2">
        <w:rPr>
          <w:b/>
          <w:szCs w:val="18"/>
        </w:rPr>
        <w:t xml:space="preserve">8.6.1 above and </w:t>
      </w:r>
      <w:r w:rsidRPr="001261A2">
        <w:rPr>
          <w:b/>
        </w:rPr>
        <w:t>Case Study, Matthew</w:t>
      </w:r>
      <w:r>
        <w:t xml:space="preserve">.  cf </w:t>
      </w:r>
      <w:r w:rsidRPr="00FA6E86">
        <w:rPr>
          <w:i/>
        </w:rPr>
        <w:t>SRB</w:t>
      </w:r>
      <w:r>
        <w:t xml:space="preserve"> notes on </w:t>
      </w:r>
      <w:r w:rsidRPr="00AE70AA">
        <w:t>Lev. 2:1, p. 127;</w:t>
      </w:r>
      <w:r>
        <w:rPr>
          <w:i/>
        </w:rPr>
        <w:t xml:space="preserve"> </w:t>
      </w:r>
      <w:r w:rsidRPr="009212A3">
        <w:t>7:13, p. 134;</w:t>
      </w:r>
      <w:r>
        <w:rPr>
          <w:i/>
        </w:rPr>
        <w:t xml:space="preserve"> </w:t>
      </w:r>
      <w:r w:rsidRPr="00575D92">
        <w:t>23:6, p.</w:t>
      </w:r>
      <w:r w:rsidRPr="008D042A">
        <w:t xml:space="preserve"> 156; </w:t>
      </w:r>
      <w:r>
        <w:t>23:17, p. 157.</w:t>
      </w:r>
    </w:p>
  </w:endnote>
  <w:endnote w:id="309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Corinthians 4: criticisms of the Corinthians’ arrogance.</w:t>
      </w:r>
    </w:p>
    <w:p w:rsidR="00975183" w:rsidRPr="006329CD" w:rsidRDefault="00975183" w:rsidP="006A2E06">
      <w:pPr>
        <w:pStyle w:val="EndnoteText"/>
        <w:rPr>
          <w:szCs w:val="18"/>
        </w:rPr>
      </w:pPr>
      <w:r w:rsidRPr="006329CD">
        <w:rPr>
          <w:szCs w:val="18"/>
        </w:rPr>
        <w:t>1 Corinthians 6: criticism of the believers’ taking each other to court; criticisms of sexual immorality.</w:t>
      </w:r>
    </w:p>
    <w:p w:rsidR="00975183" w:rsidRPr="006329CD" w:rsidRDefault="00975183" w:rsidP="006A2E06">
      <w:pPr>
        <w:pStyle w:val="EndnoteText"/>
        <w:rPr>
          <w:szCs w:val="18"/>
        </w:rPr>
      </w:pPr>
      <w:r w:rsidRPr="006329CD">
        <w:rPr>
          <w:szCs w:val="18"/>
        </w:rPr>
        <w:t>1 Corinthians 8: advice about food sacrificed to idols.</w:t>
      </w:r>
    </w:p>
    <w:p w:rsidR="00975183" w:rsidRPr="006329CD" w:rsidRDefault="00975183" w:rsidP="006A2E06">
      <w:pPr>
        <w:pStyle w:val="EndnoteText"/>
        <w:rPr>
          <w:szCs w:val="18"/>
        </w:rPr>
      </w:pPr>
      <w:r w:rsidRPr="006329CD">
        <w:rPr>
          <w:szCs w:val="18"/>
        </w:rPr>
        <w:t>1 Corinthians 13: love and the behaviour it should generate.</w:t>
      </w:r>
    </w:p>
    <w:p w:rsidR="00975183" w:rsidRPr="006329CD" w:rsidRDefault="00975183" w:rsidP="006A2E06">
      <w:pPr>
        <w:pStyle w:val="EndnoteText"/>
        <w:rPr>
          <w:szCs w:val="18"/>
        </w:rPr>
      </w:pPr>
      <w:r w:rsidRPr="006329CD">
        <w:rPr>
          <w:szCs w:val="18"/>
        </w:rPr>
        <w:t>1 Corinthians 16: greetings to the Church.</w:t>
      </w:r>
      <w:r>
        <w:rPr>
          <w:szCs w:val="18"/>
        </w:rPr>
        <w:t xml:space="preserve">  </w:t>
      </w:r>
    </w:p>
    <w:p w:rsidR="00975183" w:rsidRPr="006329CD" w:rsidRDefault="00975183" w:rsidP="006A2E06">
      <w:pPr>
        <w:pStyle w:val="EndnoteText"/>
        <w:rPr>
          <w:szCs w:val="18"/>
        </w:rPr>
      </w:pPr>
      <w:r w:rsidRPr="006329CD">
        <w:rPr>
          <w:szCs w:val="18"/>
        </w:rPr>
        <w:t xml:space="preserve">1 Cor. 1:10-13: </w:t>
      </w:r>
      <w:r w:rsidRPr="000B1D87">
        <w:rPr>
          <w:szCs w:val="18"/>
        </w:rPr>
        <w:t>appeal for unity</w:t>
      </w:r>
      <w:r w:rsidRPr="006329CD">
        <w:rPr>
          <w:szCs w:val="18"/>
        </w:rPr>
        <w:t xml:space="preserve"> in the Church, injunctions to believers not to rely on their own wisdom but God’s and to emulate Christ (1 Cor. 18-31).</w:t>
      </w:r>
    </w:p>
    <w:p w:rsidR="00975183" w:rsidRPr="006329CD" w:rsidRDefault="00975183" w:rsidP="006A2E06">
      <w:pPr>
        <w:pStyle w:val="EndnoteText"/>
        <w:rPr>
          <w:szCs w:val="18"/>
        </w:rPr>
      </w:pPr>
      <w:r w:rsidRPr="006329CD">
        <w:rPr>
          <w:szCs w:val="18"/>
        </w:rPr>
        <w:t>1 Cor. 2:7, 16: God’s secret wisdom; the possession of the mind of Christ through the Spirit.</w:t>
      </w:r>
    </w:p>
    <w:p w:rsidR="00975183" w:rsidRPr="006329CD" w:rsidRDefault="00975183" w:rsidP="006A2E06">
      <w:pPr>
        <w:pStyle w:val="EndnoteText"/>
        <w:rPr>
          <w:szCs w:val="18"/>
        </w:rPr>
      </w:pPr>
      <w:r w:rsidRPr="006329CD">
        <w:rPr>
          <w:szCs w:val="18"/>
        </w:rPr>
        <w:t xml:space="preserve">1 Cor. 3:16-17: the sacred position of believers as being God’s temple.  The omission of comment on this statement is, perhaps, significant, because the idea refutes the necessity for the building of a physical replacement temple.  </w:t>
      </w:r>
    </w:p>
    <w:p w:rsidR="00975183" w:rsidRPr="006329CD" w:rsidRDefault="00975183" w:rsidP="006A2E06">
      <w:pPr>
        <w:pStyle w:val="EndnoteText"/>
        <w:rPr>
          <w:szCs w:val="18"/>
        </w:rPr>
      </w:pPr>
      <w:r w:rsidRPr="006329CD">
        <w:rPr>
          <w:szCs w:val="18"/>
        </w:rPr>
        <w:t xml:space="preserve">1 Cor. 3:18-23 the foolishness of God, not boasting in one’s own wisdom.  </w:t>
      </w:r>
    </w:p>
    <w:p w:rsidR="00975183" w:rsidRPr="006329CD" w:rsidRDefault="00975183" w:rsidP="006A2E06">
      <w:pPr>
        <w:pStyle w:val="EndnoteText"/>
        <w:rPr>
          <w:szCs w:val="18"/>
        </w:rPr>
      </w:pPr>
      <w:r w:rsidRPr="006329CD">
        <w:rPr>
          <w:szCs w:val="18"/>
        </w:rPr>
        <w:t>1 Cor. 5:1-5, 9-11: injunctions to ostracise sexually immoral people.</w:t>
      </w:r>
    </w:p>
    <w:p w:rsidR="00975183" w:rsidRPr="006329CD" w:rsidRDefault="00975183" w:rsidP="006A2E06">
      <w:pPr>
        <w:pStyle w:val="EndnoteText"/>
        <w:rPr>
          <w:szCs w:val="18"/>
        </w:rPr>
      </w:pPr>
      <w:r w:rsidRPr="006329CD">
        <w:rPr>
          <w:szCs w:val="18"/>
        </w:rPr>
        <w:t xml:space="preserve">1 Corinthians 7: injunctions concerning marriage and divorce (1 Cor. 7:8-16), especially in the case of unbelieving spouses; </w:t>
      </w:r>
      <w:proofErr w:type="gramStart"/>
      <w:r w:rsidRPr="006329CD">
        <w:rPr>
          <w:szCs w:val="18"/>
        </w:rPr>
        <w:t>injunctions concerning</w:t>
      </w:r>
      <w:proofErr w:type="gramEnd"/>
      <w:r w:rsidRPr="006329CD">
        <w:rPr>
          <w:szCs w:val="18"/>
        </w:rPr>
        <w:t xml:space="preserve"> maintaining one’s status even after conversion.</w:t>
      </w:r>
    </w:p>
    <w:p w:rsidR="00975183" w:rsidRPr="006329CD" w:rsidRDefault="00975183" w:rsidP="006A2E06">
      <w:pPr>
        <w:pStyle w:val="EndnoteText"/>
        <w:rPr>
          <w:szCs w:val="18"/>
        </w:rPr>
      </w:pPr>
      <w:r w:rsidRPr="006329CD">
        <w:rPr>
          <w:szCs w:val="18"/>
        </w:rPr>
        <w:t>1 Cor. 10:1-11:  injunctions against idolatry of the kind practised by the Israelites in the desert; all things may be permissible but not all are helpful (1 Cor. 10:14-23); do not cause others to stumble (1 Cor. 10:24-31).</w:t>
      </w:r>
    </w:p>
    <w:p w:rsidR="00975183" w:rsidRPr="006329CD" w:rsidRDefault="00975183" w:rsidP="006A2E06">
      <w:pPr>
        <w:pStyle w:val="EndnoteText"/>
        <w:rPr>
          <w:szCs w:val="18"/>
        </w:rPr>
      </w:pPr>
      <w:r w:rsidRPr="006329CD">
        <w:rPr>
          <w:szCs w:val="18"/>
        </w:rPr>
        <w:t>1 Cor. 11:3-16: injunctions concerning woman’s head coverings in church; criticisms of bad practice in worship, especially concerning the Lord’s Supper.</w:t>
      </w:r>
    </w:p>
    <w:p w:rsidR="00975183" w:rsidRPr="006329CD" w:rsidRDefault="00975183" w:rsidP="006A2E06">
      <w:pPr>
        <w:pStyle w:val="EndnoteText"/>
        <w:rPr>
          <w:szCs w:val="18"/>
        </w:rPr>
      </w:pPr>
      <w:r w:rsidRPr="006329CD">
        <w:rPr>
          <w:szCs w:val="18"/>
        </w:rPr>
        <w:t>1 Cor. 14:12: an injunction to try to excel in gifts which build up the Church; order in worship (1 Cor. 14:20-33); injunction for women to remain silent in church (1 Cor. 14:34-5).</w:t>
      </w:r>
    </w:p>
    <w:p w:rsidR="00975183" w:rsidRPr="006329CD" w:rsidRDefault="00975183" w:rsidP="006A2E06">
      <w:pPr>
        <w:pStyle w:val="EndnoteText"/>
        <w:rPr>
          <w:szCs w:val="18"/>
        </w:rPr>
      </w:pPr>
      <w:r w:rsidRPr="006329CD">
        <w:rPr>
          <w:szCs w:val="18"/>
        </w:rPr>
        <w:t xml:space="preserve">15:1-7: injunction to hold to the </w:t>
      </w:r>
      <w:r w:rsidRPr="00815499">
        <w:rPr>
          <w:szCs w:val="22"/>
        </w:rPr>
        <w:t>G</w:t>
      </w:r>
      <w:r w:rsidRPr="006329CD">
        <w:rPr>
          <w:szCs w:val="18"/>
        </w:rPr>
        <w:t>ospel as received.</w:t>
      </w:r>
    </w:p>
    <w:p w:rsidR="00975183" w:rsidRDefault="00975183" w:rsidP="006A2E06">
      <w:pPr>
        <w:pStyle w:val="EndnoteText"/>
        <w:rPr>
          <w:szCs w:val="18"/>
        </w:rPr>
      </w:pPr>
      <w:r w:rsidRPr="006329CD">
        <w:rPr>
          <w:szCs w:val="18"/>
        </w:rPr>
        <w:t xml:space="preserve">16:1-2 injunction to make a collection for God’s people; greetings and commendations to build up the Church </w:t>
      </w:r>
    </w:p>
    <w:p w:rsidR="00975183" w:rsidRPr="006329CD" w:rsidRDefault="00975183" w:rsidP="006A2E06">
      <w:pPr>
        <w:pStyle w:val="EndnoteText"/>
        <w:rPr>
          <w:szCs w:val="18"/>
        </w:rPr>
      </w:pPr>
      <w:r w:rsidRPr="006329CD">
        <w:rPr>
          <w:szCs w:val="18"/>
        </w:rPr>
        <w:t>(1 Cor. 16:10-24).</w:t>
      </w:r>
    </w:p>
  </w:endnote>
  <w:endnote w:id="3092">
    <w:p w:rsidR="00975183" w:rsidRDefault="00975183" w:rsidP="006A2E06">
      <w:pPr>
        <w:pStyle w:val="EndnoteText"/>
        <w:rPr>
          <w:szCs w:val="18"/>
        </w:rPr>
      </w:pPr>
      <w:r w:rsidRPr="006329CD">
        <w:rPr>
          <w:rStyle w:val="EndnoteReference"/>
          <w:szCs w:val="18"/>
        </w:rPr>
        <w:endnoteRef/>
      </w:r>
      <w:r w:rsidRPr="006329CD">
        <w:rPr>
          <w:szCs w:val="18"/>
        </w:rPr>
        <w:t xml:space="preserve"> </w:t>
      </w:r>
      <w:r>
        <w:rPr>
          <w:szCs w:val="18"/>
        </w:rPr>
        <w:t xml:space="preserve">Mangum, ‘Cyrus Ingerson Scofield: A Controversial Life’, in </w:t>
      </w:r>
      <w:r w:rsidRPr="007723A5">
        <w:rPr>
          <w:i/>
          <w:szCs w:val="18"/>
        </w:rPr>
        <w:t>History and Impact</w:t>
      </w:r>
      <w:r>
        <w:rPr>
          <w:szCs w:val="18"/>
        </w:rPr>
        <w:t xml:space="preserve">, pp. 25-6.  </w:t>
      </w:r>
    </w:p>
    <w:p w:rsidR="00975183" w:rsidRPr="006329CD" w:rsidRDefault="00975183" w:rsidP="006A2E06">
      <w:pPr>
        <w:pStyle w:val="EndnoteText"/>
        <w:rPr>
          <w:szCs w:val="18"/>
        </w:rPr>
      </w:pPr>
      <w:proofErr w:type="gramStart"/>
      <w:r>
        <w:rPr>
          <w:szCs w:val="18"/>
        </w:rPr>
        <w:t xml:space="preserve">cf </w:t>
      </w:r>
      <w:r w:rsidRPr="006329CD">
        <w:rPr>
          <w:szCs w:val="18"/>
        </w:rPr>
        <w:t xml:space="preserve">Lutzweiler, </w:t>
      </w:r>
      <w:r w:rsidRPr="006329CD">
        <w:rPr>
          <w:i/>
          <w:szCs w:val="18"/>
        </w:rPr>
        <w:t>Praise of Folly</w:t>
      </w:r>
      <w:r w:rsidRPr="006329CD">
        <w:rPr>
          <w:szCs w:val="18"/>
        </w:rPr>
        <w:t>, p. 98.</w:t>
      </w:r>
      <w:proofErr w:type="gramEnd"/>
      <w:r w:rsidRPr="006329CD">
        <w:rPr>
          <w:szCs w:val="18"/>
        </w:rPr>
        <w:t xml:space="preserve">  </w:t>
      </w:r>
      <w:r>
        <w:rPr>
          <w:szCs w:val="18"/>
        </w:rPr>
        <w:t xml:space="preserve">cf. </w:t>
      </w:r>
      <w:r w:rsidRPr="00896DC4">
        <w:rPr>
          <w:b/>
          <w:szCs w:val="18"/>
        </w:rPr>
        <w:t>8.3, footnote 93</w:t>
      </w:r>
      <w:r w:rsidRPr="00896DC4">
        <w:rPr>
          <w:szCs w:val="18"/>
        </w:rPr>
        <w:t>,</w:t>
      </w:r>
      <w:r w:rsidRPr="002041B0">
        <w:rPr>
          <w:color w:val="FF0000"/>
          <w:szCs w:val="18"/>
        </w:rPr>
        <w:t xml:space="preserve"> </w:t>
      </w:r>
      <w:r>
        <w:rPr>
          <w:szCs w:val="18"/>
        </w:rPr>
        <w:t>for a further comment from Mangum.</w:t>
      </w:r>
    </w:p>
  </w:endnote>
  <w:endnote w:id="3093">
    <w:p w:rsidR="00975183" w:rsidRDefault="00975183" w:rsidP="006A2E06">
      <w:pPr>
        <w:pStyle w:val="EndnoteText"/>
      </w:pPr>
      <w:r w:rsidRPr="00700F11">
        <w:rPr>
          <w:rStyle w:val="EndnoteReference"/>
        </w:rPr>
        <w:endnoteRef/>
      </w:r>
      <w:r w:rsidRPr="00700F11">
        <w:t xml:space="preserve"> </w:t>
      </w:r>
      <w:r w:rsidRPr="00253079">
        <w:t>Canfield</w:t>
      </w:r>
      <w:r>
        <w:t xml:space="preserve">, </w:t>
      </w:r>
      <w:r w:rsidRPr="00253079">
        <w:rPr>
          <w:i/>
          <w:color w:val="000000"/>
        </w:rPr>
        <w:t>Incredible Scofield</w:t>
      </w:r>
      <w:r w:rsidRPr="00253079">
        <w:rPr>
          <w:color w:val="000000"/>
        </w:rPr>
        <w:t>,</w:t>
      </w:r>
      <w:r w:rsidRPr="00253079">
        <w:rPr>
          <w:i/>
          <w:color w:val="000000"/>
        </w:rPr>
        <w:t xml:space="preserve"> </w:t>
      </w:r>
      <w:r>
        <w:rPr>
          <w:color w:val="000000"/>
        </w:rPr>
        <w:t xml:space="preserve">p. 88.  </w:t>
      </w:r>
      <w:proofErr w:type="gramStart"/>
      <w:r w:rsidRPr="00253079">
        <w:t xml:space="preserve">cf Lutzweiler, </w:t>
      </w:r>
      <w:r w:rsidRPr="00253079">
        <w:rPr>
          <w:i/>
        </w:rPr>
        <w:t>Praise of Folly</w:t>
      </w:r>
      <w:r w:rsidRPr="00253079">
        <w:t>, pp. 96-113</w:t>
      </w:r>
      <w:r w:rsidRPr="006329CD">
        <w:t>.</w:t>
      </w:r>
      <w:proofErr w:type="gramEnd"/>
    </w:p>
  </w:endnote>
  <w:endnote w:id="3094">
    <w:p w:rsidR="00975183" w:rsidRPr="00374181"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1 Cor.</w:t>
      </w:r>
      <w:r>
        <w:rPr>
          <w:szCs w:val="18"/>
        </w:rPr>
        <w:t xml:space="preserve"> 10:8, p. 1220.</w:t>
      </w:r>
      <w:proofErr w:type="gramEnd"/>
      <w:r>
        <w:rPr>
          <w:szCs w:val="18"/>
        </w:rPr>
        <w:t xml:space="preserve">  </w:t>
      </w:r>
      <w:r w:rsidRPr="006329CD">
        <w:rPr>
          <w:szCs w:val="18"/>
        </w:rPr>
        <w:t xml:space="preserve"> </w:t>
      </w:r>
      <w:proofErr w:type="gramStart"/>
      <w:r w:rsidRPr="00896DC4">
        <w:rPr>
          <w:b/>
        </w:rPr>
        <w:t>See 8.7.2 above</w:t>
      </w:r>
      <w:r>
        <w:t>.</w:t>
      </w:r>
      <w:proofErr w:type="gramEnd"/>
    </w:p>
  </w:endnote>
  <w:endnote w:id="3095">
    <w:p w:rsidR="00975183" w:rsidRDefault="00975183" w:rsidP="006A2E06">
      <w:pPr>
        <w:pStyle w:val="EndnoteText"/>
      </w:pPr>
      <w:r w:rsidRPr="00C200ED">
        <w:rPr>
          <w:rStyle w:val="EndnoteReference"/>
        </w:rPr>
        <w:endnoteRef/>
      </w:r>
      <w:r w:rsidRPr="00C200ED">
        <w:t xml:space="preserve"> </w:t>
      </w:r>
      <w:r>
        <w:rPr>
          <w:szCs w:val="18"/>
        </w:rPr>
        <w:t xml:space="preserve">See </w:t>
      </w:r>
      <w:r w:rsidRPr="006329CD">
        <w:rPr>
          <w:szCs w:val="18"/>
        </w:rPr>
        <w:t>1 Cor. 5:1-5, 10-13; 6:9.</w:t>
      </w:r>
    </w:p>
  </w:endnote>
  <w:endnote w:id="309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Cor. 5:13.</w:t>
      </w:r>
      <w:r>
        <w:rPr>
          <w:szCs w:val="18"/>
        </w:rPr>
        <w:t xml:space="preserve">  </w:t>
      </w:r>
      <w:proofErr w:type="gramStart"/>
      <w:r>
        <w:rPr>
          <w:szCs w:val="18"/>
        </w:rPr>
        <w:t>cf 1 Cor. 6:9.</w:t>
      </w:r>
      <w:proofErr w:type="gramEnd"/>
    </w:p>
  </w:endnote>
  <w:endnote w:id="3097">
    <w:p w:rsidR="00975183" w:rsidRDefault="00975183" w:rsidP="006A2E06">
      <w:pPr>
        <w:pStyle w:val="EndnoteText"/>
      </w:pPr>
      <w:r w:rsidRPr="00253079">
        <w:rPr>
          <w:rStyle w:val="FootnoteReference"/>
        </w:rPr>
        <w:endnoteRef/>
      </w:r>
      <w:r w:rsidRPr="00253079">
        <w:t xml:space="preserve"> </w:t>
      </w:r>
      <w:r w:rsidRPr="00253079">
        <w:rPr>
          <w:i/>
        </w:rPr>
        <w:t xml:space="preserve">SRB </w:t>
      </w:r>
      <w:r w:rsidRPr="00253079">
        <w:t xml:space="preserve">subhead to and note on 1 Cor. 5:2, p. 1215.  </w:t>
      </w:r>
    </w:p>
  </w:endnote>
  <w:endnote w:id="3098">
    <w:p w:rsidR="00975183" w:rsidRDefault="00975183" w:rsidP="006A2E06">
      <w:pPr>
        <w:pStyle w:val="EndnoteText"/>
      </w:pPr>
      <w:r w:rsidRPr="00253079">
        <w:rPr>
          <w:rStyle w:val="FootnoteReference"/>
        </w:rPr>
        <w:endnoteRef/>
      </w:r>
      <w:r w:rsidRPr="00253079">
        <w:t xml:space="preserve"> </w:t>
      </w:r>
      <w:r w:rsidRPr="00253079">
        <w:rPr>
          <w:i/>
        </w:rPr>
        <w:t xml:space="preserve">SRB </w:t>
      </w:r>
      <w:r w:rsidRPr="00253079">
        <w:t>note on 1 Cor. 7:12, p. 1217.</w:t>
      </w:r>
    </w:p>
  </w:endnote>
  <w:endnote w:id="3099">
    <w:p w:rsidR="00975183" w:rsidRDefault="00975183" w:rsidP="00455E1F">
      <w:pPr>
        <w:pStyle w:val="EndnoteText"/>
      </w:pPr>
      <w:r w:rsidRPr="00253079">
        <w:rPr>
          <w:rStyle w:val="FootnoteReference"/>
        </w:rPr>
        <w:endnoteRef/>
      </w:r>
      <w:r w:rsidRPr="00253079">
        <w:t xml:space="preserve"> </w:t>
      </w:r>
      <w:r w:rsidRPr="00253079">
        <w:rPr>
          <w:i/>
        </w:rPr>
        <w:t xml:space="preserve">SRB </w:t>
      </w:r>
      <w:r>
        <w:t>Introduction to 2 Corinthians, p.1230.</w:t>
      </w:r>
    </w:p>
  </w:endnote>
  <w:endnote w:id="3100">
    <w:p w:rsidR="00975183" w:rsidRDefault="00975183" w:rsidP="00455E1F">
      <w:pPr>
        <w:pStyle w:val="EndnoteText"/>
      </w:pPr>
      <w:r w:rsidRPr="005D00B9">
        <w:rPr>
          <w:rStyle w:val="FootnoteReference"/>
        </w:rPr>
        <w:endnoteRef/>
      </w:r>
      <w:r w:rsidRPr="005D00B9">
        <w:t xml:space="preserve"> Ref. Rom. 15:8.</w:t>
      </w:r>
    </w:p>
  </w:endnote>
  <w:endnote w:id="3101">
    <w:p w:rsidR="00975183" w:rsidRDefault="00975183" w:rsidP="00455E1F">
      <w:pPr>
        <w:pStyle w:val="EndnoteText"/>
      </w:pPr>
      <w:r w:rsidRPr="005D00B9">
        <w:rPr>
          <w:rStyle w:val="FootnoteReference"/>
        </w:rPr>
        <w:endnoteRef/>
      </w:r>
      <w:r w:rsidRPr="005D00B9">
        <w:t xml:space="preserve"> Jn 3:5.</w:t>
      </w:r>
    </w:p>
  </w:endnote>
  <w:endnote w:id="3102">
    <w:p w:rsidR="00975183" w:rsidRDefault="00975183" w:rsidP="00455E1F">
      <w:pPr>
        <w:pStyle w:val="EndnoteText"/>
      </w:pPr>
      <w:r w:rsidRPr="005D00B9">
        <w:rPr>
          <w:rStyle w:val="FootnoteReference"/>
        </w:rPr>
        <w:endnoteRef/>
      </w:r>
      <w:r w:rsidRPr="005D00B9">
        <w:t xml:space="preserve"> </w:t>
      </w:r>
      <w:proofErr w:type="gramStart"/>
      <w:r w:rsidRPr="005D00B9">
        <w:t>Weston, ‘Scofield’s Basic Errors’, p</w:t>
      </w:r>
      <w:r>
        <w:t>. 32.</w:t>
      </w:r>
      <w:proofErr w:type="gramEnd"/>
    </w:p>
  </w:endnote>
  <w:endnote w:id="3103">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w:t>
      </w:r>
      <w:r w:rsidRPr="001E7EDF">
        <w:rPr>
          <w:szCs w:val="18"/>
        </w:rPr>
        <w:t>2 Cor.</w:t>
      </w:r>
      <w:r w:rsidRPr="006329CD">
        <w:rPr>
          <w:szCs w:val="18"/>
        </w:rPr>
        <w:t xml:space="preserve"> 5:10, p. 1233.  </w:t>
      </w:r>
      <w:proofErr w:type="gramStart"/>
      <w:r w:rsidRPr="001E7EDF">
        <w:rPr>
          <w:b/>
          <w:szCs w:val="18"/>
        </w:rPr>
        <w:t>See 7.1.3</w:t>
      </w:r>
      <w:r>
        <w:rPr>
          <w:b/>
          <w:szCs w:val="18"/>
        </w:rPr>
        <w:t>.</w:t>
      </w:r>
      <w:proofErr w:type="gramEnd"/>
    </w:p>
  </w:endnote>
  <w:endnote w:id="3104">
    <w:p w:rsidR="00975183" w:rsidRPr="006329CD" w:rsidRDefault="00975183" w:rsidP="006A2E06">
      <w:pPr>
        <w:pStyle w:val="EndnoteText"/>
      </w:pPr>
      <w:r w:rsidRPr="006329CD">
        <w:rPr>
          <w:rStyle w:val="EndnoteReference"/>
        </w:rPr>
        <w:endnoteRef/>
      </w:r>
      <w:r w:rsidRPr="006329CD">
        <w:t xml:space="preserve"> </w:t>
      </w:r>
      <w:r w:rsidRPr="006329CD">
        <w:rPr>
          <w:i/>
          <w:szCs w:val="18"/>
        </w:rPr>
        <w:t>SRB</w:t>
      </w:r>
      <w:r w:rsidRPr="006329CD">
        <w:rPr>
          <w:szCs w:val="18"/>
        </w:rPr>
        <w:t xml:space="preserve"> note on 2 Cor. 6:17, p. 1234.  </w:t>
      </w:r>
    </w:p>
  </w:endnote>
  <w:endnote w:id="3105">
    <w:p w:rsidR="00975183" w:rsidRPr="003F3FCD" w:rsidRDefault="00975183" w:rsidP="006A2E06">
      <w:pPr>
        <w:pStyle w:val="EndnoteText"/>
      </w:pPr>
      <w:r w:rsidRPr="003F3FCD">
        <w:rPr>
          <w:rStyle w:val="EndnoteReference"/>
        </w:rPr>
        <w:endnoteRef/>
      </w:r>
      <w:r w:rsidRPr="003F3FCD">
        <w:t xml:space="preserve"> </w:t>
      </w:r>
      <w:r w:rsidRPr="003F3FCD">
        <w:rPr>
          <w:i/>
        </w:rPr>
        <w:t xml:space="preserve">SRB </w:t>
      </w:r>
      <w:r>
        <w:t>note on 2 Cor. 8:1, p. 1235,</w:t>
      </w:r>
    </w:p>
  </w:endnote>
  <w:endnote w:id="3106">
    <w:p w:rsidR="00975183" w:rsidRPr="00A616F6" w:rsidRDefault="00975183" w:rsidP="006A2E06">
      <w:pPr>
        <w:pStyle w:val="EndnoteText"/>
      </w:pPr>
      <w:r w:rsidRPr="00A616F6">
        <w:rPr>
          <w:rStyle w:val="EndnoteReference"/>
        </w:rPr>
        <w:endnoteRef/>
      </w:r>
      <w:r w:rsidRPr="00A616F6">
        <w:t xml:space="preserve"> </w:t>
      </w:r>
      <w:r>
        <w:t xml:space="preserve">Refs </w:t>
      </w:r>
      <w:r w:rsidRPr="00A616F6">
        <w:t>Gal. 4:15; 1 Cor. 2:3-4; 2 Cor. 10:10</w:t>
      </w:r>
      <w:r>
        <w:t>.</w:t>
      </w:r>
    </w:p>
  </w:endnote>
  <w:endnote w:id="3107">
    <w:p w:rsidR="00975183" w:rsidRDefault="00975183" w:rsidP="006A2E06">
      <w:pPr>
        <w:pStyle w:val="EndnoteText"/>
      </w:pPr>
      <w:r w:rsidRPr="006329CD">
        <w:rPr>
          <w:rStyle w:val="EndnoteReference"/>
        </w:rPr>
        <w:endnoteRef/>
      </w:r>
      <w:r w:rsidRPr="006329CD">
        <w:t xml:space="preserve"> </w:t>
      </w:r>
      <w:proofErr w:type="gramStart"/>
      <w:r w:rsidRPr="006329CD">
        <w:rPr>
          <w:i/>
          <w:szCs w:val="18"/>
        </w:rPr>
        <w:t>SRB</w:t>
      </w:r>
      <w:r w:rsidRPr="006329CD">
        <w:rPr>
          <w:szCs w:val="18"/>
        </w:rPr>
        <w:t xml:space="preserve"> note on 2 Cor. 12:7, p. 1239.</w:t>
      </w:r>
      <w:proofErr w:type="gramEnd"/>
      <w:r>
        <w:rPr>
          <w:szCs w:val="18"/>
        </w:rPr>
        <w:t xml:space="preserve">  cf similar note on Gal. 6:11, p. 1248.</w:t>
      </w:r>
    </w:p>
  </w:endnote>
  <w:endnote w:id="3108">
    <w:p w:rsidR="00975183" w:rsidRDefault="00975183" w:rsidP="006A2E06">
      <w:pPr>
        <w:pStyle w:val="EndnoteText"/>
      </w:pPr>
      <w:r w:rsidRPr="00995E5D">
        <w:rPr>
          <w:rStyle w:val="FootnoteReference"/>
        </w:rPr>
        <w:endnoteRef/>
      </w:r>
      <w:r w:rsidRPr="00995E5D">
        <w:t xml:space="preserve"> 2 Cor. 11:30; 12:9.</w:t>
      </w:r>
    </w:p>
  </w:endnote>
  <w:endnote w:id="3109">
    <w:p w:rsidR="00975183" w:rsidRDefault="00975183" w:rsidP="006A2E06">
      <w:pPr>
        <w:pStyle w:val="EndnoteText"/>
      </w:pPr>
      <w:r w:rsidRPr="005D00B9">
        <w:rPr>
          <w:rStyle w:val="FootnoteReference"/>
        </w:rPr>
        <w:endnoteRef/>
      </w:r>
      <w:r w:rsidRPr="005D00B9">
        <w:t xml:space="preserve"> </w:t>
      </w:r>
      <w:r w:rsidRPr="005D00B9">
        <w:rPr>
          <w:i/>
        </w:rPr>
        <w:t xml:space="preserve">SRB </w:t>
      </w:r>
      <w:r w:rsidRPr="005D00B9">
        <w:t xml:space="preserve">Introduction to Galatians, p. 1241.  </w:t>
      </w:r>
    </w:p>
  </w:endnote>
  <w:endnote w:id="3110">
    <w:p w:rsidR="00975183" w:rsidRPr="00D31D54" w:rsidRDefault="00975183" w:rsidP="006A2E06">
      <w:pPr>
        <w:pStyle w:val="EndnoteText"/>
      </w:pPr>
      <w:r w:rsidRPr="00D31D54">
        <w:rPr>
          <w:rStyle w:val="EndnoteReference"/>
        </w:rPr>
        <w:endnoteRef/>
      </w:r>
      <w:r w:rsidRPr="00D31D54">
        <w:t xml:space="preserve"> </w:t>
      </w:r>
      <w:r>
        <w:t xml:space="preserve">Ref. </w:t>
      </w:r>
      <w:r w:rsidRPr="00D31D54">
        <w:rPr>
          <w:sz w:val="22"/>
        </w:rPr>
        <w:t>Gen. 15:18</w:t>
      </w:r>
      <w:r>
        <w:rPr>
          <w:sz w:val="22"/>
        </w:rPr>
        <w:t>.</w:t>
      </w:r>
    </w:p>
  </w:endnote>
  <w:endnote w:id="3111">
    <w:p w:rsidR="00975183" w:rsidRDefault="00975183" w:rsidP="006A2E06">
      <w:pPr>
        <w:pStyle w:val="EndnoteText"/>
      </w:pPr>
      <w:r w:rsidRPr="005D00B9">
        <w:rPr>
          <w:rStyle w:val="FootnoteReference"/>
        </w:rPr>
        <w:endnoteRef/>
      </w:r>
      <w:r w:rsidRPr="005D00B9">
        <w:t xml:space="preserve"> </w:t>
      </w:r>
      <w:r w:rsidRPr="005D00B9">
        <w:rPr>
          <w:i/>
        </w:rPr>
        <w:t xml:space="preserve">SRB </w:t>
      </w:r>
      <w:r w:rsidRPr="005D00B9">
        <w:t>Introduction to Galatians, p. 1241.  Ref. Gal. 1:10-2:14.</w:t>
      </w:r>
    </w:p>
  </w:endnote>
  <w:endnote w:id="3112">
    <w:p w:rsidR="00975183" w:rsidRDefault="00975183" w:rsidP="006A2E06">
      <w:pPr>
        <w:pStyle w:val="EndnoteText"/>
      </w:pPr>
      <w:r w:rsidRPr="005D00B9">
        <w:rPr>
          <w:rStyle w:val="FootnoteReference"/>
        </w:rPr>
        <w:endnoteRef/>
      </w:r>
      <w:r w:rsidRPr="005D00B9">
        <w:t xml:space="preserve"> </w:t>
      </w:r>
      <w:r w:rsidRPr="005D00B9">
        <w:rPr>
          <w:i/>
        </w:rPr>
        <w:t xml:space="preserve">SRB </w:t>
      </w:r>
      <w:r w:rsidRPr="005D00B9">
        <w:t xml:space="preserve">Introduction to Galatians, p. 1241.  </w:t>
      </w:r>
      <w:r w:rsidRPr="00D40717">
        <w:rPr>
          <w:b/>
        </w:rPr>
        <w:t>See 4.1</w:t>
      </w:r>
      <w:r>
        <w:t>.</w:t>
      </w:r>
    </w:p>
  </w:endnote>
  <w:endnote w:id="3113">
    <w:p w:rsidR="00975183" w:rsidRPr="003541DC" w:rsidRDefault="00975183" w:rsidP="006A2E06">
      <w:pPr>
        <w:pStyle w:val="EndnoteText"/>
      </w:pPr>
      <w:r w:rsidRPr="00C66D66">
        <w:rPr>
          <w:rStyle w:val="EndnoteReference"/>
        </w:rPr>
        <w:endnoteRef/>
      </w:r>
      <w:r w:rsidRPr="00C66D66">
        <w:t xml:space="preserve"> </w:t>
      </w:r>
      <w:r w:rsidRPr="00D40717">
        <w:rPr>
          <w:b/>
        </w:rPr>
        <w:t>See 2.</w:t>
      </w:r>
      <w:r>
        <w:rPr>
          <w:b/>
        </w:rPr>
        <w:t>4</w:t>
      </w:r>
      <w:r w:rsidRPr="00D40717">
        <w:t>.</w:t>
      </w:r>
    </w:p>
  </w:endnote>
  <w:endnote w:id="311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3:19, p. 1244.</w:t>
      </w:r>
    </w:p>
  </w:endnote>
  <w:endnote w:id="311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3:24, pp. 1244-5.  </w:t>
      </w:r>
      <w:proofErr w:type="gramStart"/>
      <w:r w:rsidRPr="004329AD">
        <w:rPr>
          <w:b/>
          <w:szCs w:val="18"/>
        </w:rPr>
        <w:t>See 5.4.5.</w:t>
      </w:r>
      <w:proofErr w:type="gramEnd"/>
    </w:p>
  </w:endnote>
  <w:endnote w:id="311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3:25, p. 1245.  </w:t>
      </w:r>
    </w:p>
  </w:endnote>
  <w:endnote w:id="3117">
    <w:p w:rsidR="00975183" w:rsidRPr="00452D05" w:rsidRDefault="00975183" w:rsidP="006A2E06">
      <w:pPr>
        <w:pStyle w:val="EndnoteText"/>
      </w:pPr>
      <w:r w:rsidRPr="00452D05">
        <w:rPr>
          <w:rStyle w:val="EndnoteReference"/>
        </w:rPr>
        <w:endnoteRef/>
      </w:r>
      <w:r w:rsidRPr="00452D05">
        <w:t xml:space="preserve"> </w:t>
      </w:r>
      <w:proofErr w:type="gramStart"/>
      <w:r w:rsidRPr="00452D05">
        <w:rPr>
          <w:szCs w:val="22"/>
        </w:rPr>
        <w:t>Discourse on the Law and Sin</w:t>
      </w:r>
      <w:r>
        <w:rPr>
          <w:szCs w:val="22"/>
        </w:rPr>
        <w:t>.</w:t>
      </w:r>
      <w:proofErr w:type="gramEnd"/>
    </w:p>
  </w:endnote>
  <w:endnote w:id="311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3:19, p. 1244.</w:t>
      </w:r>
    </w:p>
  </w:endnote>
  <w:endnote w:id="311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1B66E8">
        <w:rPr>
          <w:i/>
          <w:szCs w:val="18"/>
        </w:rPr>
        <w:t>SRB</w:t>
      </w:r>
      <w:r w:rsidRPr="006329CD">
        <w:rPr>
          <w:szCs w:val="18"/>
        </w:rPr>
        <w:t xml:space="preserve"> note on Rom. 3:23, p. 1194.  </w:t>
      </w:r>
    </w:p>
  </w:endnote>
  <w:endnote w:id="312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3:19, p. 1244.</w:t>
      </w:r>
    </w:p>
  </w:endnote>
  <w:endnote w:id="3121">
    <w:p w:rsidR="00975183" w:rsidRPr="007B310D" w:rsidRDefault="00975183" w:rsidP="006A2E06">
      <w:pPr>
        <w:pStyle w:val="EndnoteText"/>
      </w:pPr>
      <w:r w:rsidRPr="006329CD">
        <w:rPr>
          <w:rStyle w:val="FootnoteReference"/>
        </w:rPr>
        <w:endnoteRef/>
      </w:r>
      <w:r w:rsidRPr="006329CD">
        <w:t xml:space="preserve"> Gal. 3:19c, 20</w:t>
      </w:r>
      <w:r>
        <w:t xml:space="preserve">, </w:t>
      </w:r>
      <w:r w:rsidRPr="007B310D">
        <w:rPr>
          <w:i/>
        </w:rPr>
        <w:t>KJV</w:t>
      </w:r>
      <w:r>
        <w:t>.</w:t>
      </w:r>
    </w:p>
  </w:endnote>
  <w:endnote w:id="3122">
    <w:p w:rsidR="00975183" w:rsidRPr="001B66E8" w:rsidRDefault="00975183" w:rsidP="006A2E06">
      <w:pPr>
        <w:pStyle w:val="EndnoteText"/>
        <w:rPr>
          <w:sz w:val="18"/>
        </w:rPr>
      </w:pPr>
      <w:r w:rsidRPr="001B66E8">
        <w:rPr>
          <w:rStyle w:val="EndnoteReference"/>
        </w:rPr>
        <w:endnoteRef/>
      </w:r>
      <w:r w:rsidRPr="001B66E8">
        <w:t xml:space="preserve"> </w:t>
      </w:r>
      <w:r w:rsidRPr="001B66E8">
        <w:rPr>
          <w:szCs w:val="24"/>
        </w:rPr>
        <w:t xml:space="preserve">Terrance Callan, ‘Pauline Midrash: The Exegetical Background of Gal. 3:19b’ </w:t>
      </w:r>
      <w:r w:rsidRPr="001B66E8">
        <w:rPr>
          <w:i/>
          <w:szCs w:val="24"/>
        </w:rPr>
        <w:t>Journal of Biblical Literature</w:t>
      </w:r>
      <w:r w:rsidRPr="001B66E8">
        <w:rPr>
          <w:szCs w:val="24"/>
        </w:rPr>
        <w:t xml:space="preserve"> 99/4 (1980) &lt;http://uk.jstor.org/journals/00219231.html&gt; [accessed 5.1.08].</w:t>
      </w:r>
    </w:p>
  </w:endnote>
  <w:endnote w:id="312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Richard N. Longenecker, </w:t>
      </w:r>
      <w:r w:rsidRPr="006329CD">
        <w:rPr>
          <w:i/>
          <w:szCs w:val="18"/>
        </w:rPr>
        <w:t xml:space="preserve">Galatians </w:t>
      </w:r>
      <w:r w:rsidRPr="006329CD">
        <w:rPr>
          <w:szCs w:val="18"/>
        </w:rPr>
        <w:t>(World Biblical Commentary Volume 41; Dallas: Word Books, Publisher, 1990).</w:t>
      </w:r>
    </w:p>
  </w:endnote>
  <w:endnote w:id="312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Sam K. Williams, </w:t>
      </w:r>
      <w:r w:rsidRPr="006329CD">
        <w:rPr>
          <w:i/>
          <w:szCs w:val="18"/>
        </w:rPr>
        <w:t>Galatians</w:t>
      </w:r>
      <w:r w:rsidRPr="006329CD">
        <w:rPr>
          <w:szCs w:val="18"/>
        </w:rPr>
        <w:t xml:space="preserve"> (Nashville: Abingdon Press, 1997).</w:t>
      </w:r>
    </w:p>
  </w:endnote>
  <w:endnote w:id="3125">
    <w:p w:rsidR="00975183" w:rsidRPr="006329CD" w:rsidRDefault="00975183" w:rsidP="006A2E06">
      <w:pPr>
        <w:pStyle w:val="EndnoteText"/>
      </w:pPr>
      <w:r w:rsidRPr="006329CD">
        <w:rPr>
          <w:rStyle w:val="EndnoteReference"/>
        </w:rPr>
        <w:endnoteRef/>
      </w:r>
      <w:r w:rsidRPr="006329CD">
        <w:t xml:space="preserve"> Ben Witherington III,</w:t>
      </w:r>
      <w:r w:rsidRPr="006329CD">
        <w:rPr>
          <w:i/>
        </w:rPr>
        <w:t xml:space="preserve"> Grace in Galatia: A Commentary on St. Paul’s Letter to the Galatians</w:t>
      </w:r>
      <w:r w:rsidRPr="006329CD">
        <w:t xml:space="preserve"> (Grand Rapids: William B. Eerdmans Publishing Company, 1998).</w:t>
      </w:r>
    </w:p>
  </w:endnote>
  <w:endnote w:id="3126">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Gal. 3:24, p. 1244.</w:t>
      </w:r>
    </w:p>
  </w:endnote>
  <w:endnote w:id="3127">
    <w:p w:rsidR="00975183" w:rsidRPr="006329CD" w:rsidRDefault="00975183" w:rsidP="006A2E06">
      <w:pPr>
        <w:pStyle w:val="EndnoteText"/>
      </w:pPr>
      <w:r w:rsidRPr="006329CD">
        <w:rPr>
          <w:rStyle w:val="EndnoteReference"/>
        </w:rPr>
        <w:endnoteRef/>
      </w:r>
      <w:r w:rsidRPr="006329CD">
        <w:t xml:space="preserve"> </w:t>
      </w:r>
      <w:proofErr w:type="gramStart"/>
      <w:r w:rsidRPr="006329CD">
        <w:t>Gal. 1:13 and 14.</w:t>
      </w:r>
      <w:proofErr w:type="gramEnd"/>
    </w:p>
  </w:endnote>
  <w:endnote w:id="3128">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notes on Gal. 1:13, </w:t>
      </w:r>
      <w:r>
        <w:t xml:space="preserve">14, </w:t>
      </w:r>
      <w:r w:rsidRPr="006329CD">
        <w:t>p. 1242.</w:t>
      </w:r>
    </w:p>
  </w:endnote>
  <w:endnote w:id="3129">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 on Gal. 3:24, p. 1244.</w:t>
      </w:r>
    </w:p>
  </w:endnote>
  <w:endnote w:id="3130">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w:t>
      </w:r>
      <w:r>
        <w:rPr>
          <w:szCs w:val="18"/>
        </w:rPr>
        <w:t xml:space="preserve"> 2:15, p. 1243.</w:t>
      </w:r>
    </w:p>
  </w:endnote>
  <w:endnote w:id="313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Gal. 1:6-9; 3:1-5, 26; 4:8-10, 17-18; 5:1-4, 7-8; </w:t>
      </w:r>
    </w:p>
  </w:endnote>
  <w:endnote w:id="313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Galatians 1 and 2.</w:t>
      </w:r>
      <w:proofErr w:type="gramEnd"/>
    </w:p>
  </w:endnote>
  <w:endnote w:id="313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Gal. 1:10, pp. 1241-2.</w:t>
      </w:r>
    </w:p>
  </w:endnote>
  <w:endnote w:id="3134">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 on Gal. 6:11, p. 1248.  </w:t>
      </w:r>
      <w:proofErr w:type="gramStart"/>
      <w:r w:rsidRPr="006329CD">
        <w:t>From Paul’s reference to his illness in Gal. 4:14, he also infers without evidence that Paul was nearly blind.</w:t>
      </w:r>
      <w:proofErr w:type="gramEnd"/>
    </w:p>
  </w:endnote>
  <w:endnote w:id="313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Pr>
          <w:szCs w:val="18"/>
        </w:rPr>
        <w:t xml:space="preserve">In </w:t>
      </w:r>
      <w:r w:rsidRPr="006329CD">
        <w:rPr>
          <w:szCs w:val="18"/>
        </w:rPr>
        <w:t xml:space="preserve">Gal. </w:t>
      </w:r>
      <w:proofErr w:type="gramStart"/>
      <w:r w:rsidRPr="006329CD">
        <w:rPr>
          <w:szCs w:val="18"/>
        </w:rPr>
        <w:t xml:space="preserve">5:6 </w:t>
      </w:r>
      <w:r>
        <w:rPr>
          <w:szCs w:val="18"/>
        </w:rPr>
        <w:t>,</w:t>
      </w:r>
      <w:proofErr w:type="gramEnd"/>
      <w:r w:rsidRPr="006329CD">
        <w:rPr>
          <w:szCs w:val="18"/>
        </w:rPr>
        <w:t xml:space="preserve"> Paul states that the important thing is expressing faith through love.  </w:t>
      </w:r>
    </w:p>
    <w:p w:rsidR="00975183" w:rsidRPr="006329CD" w:rsidRDefault="00975183" w:rsidP="006A2E06">
      <w:pPr>
        <w:pStyle w:val="EndnoteText"/>
        <w:rPr>
          <w:szCs w:val="18"/>
        </w:rPr>
      </w:pPr>
      <w:r w:rsidRPr="006329CD">
        <w:rPr>
          <w:szCs w:val="18"/>
        </w:rPr>
        <w:t xml:space="preserve">In 5:13, he states that believers should serve one another in love.  </w:t>
      </w:r>
    </w:p>
    <w:p w:rsidR="00975183" w:rsidRPr="006329CD" w:rsidRDefault="00975183" w:rsidP="006A2E06">
      <w:pPr>
        <w:pStyle w:val="EndnoteText"/>
        <w:rPr>
          <w:szCs w:val="18"/>
        </w:rPr>
      </w:pPr>
      <w:r w:rsidRPr="006329CD">
        <w:rPr>
          <w:szCs w:val="18"/>
        </w:rPr>
        <w:t>In 5:14, he states that the whole law is encapsulated in the single command to love one’s neighbour as oneself.</w:t>
      </w:r>
    </w:p>
    <w:p w:rsidR="00975183" w:rsidRPr="006329CD" w:rsidRDefault="00975183" w:rsidP="006A2E06">
      <w:pPr>
        <w:spacing w:after="0" w:line="240" w:lineRule="auto"/>
        <w:rPr>
          <w:szCs w:val="18"/>
        </w:rPr>
      </w:pPr>
      <w:r w:rsidRPr="006329CD">
        <w:rPr>
          <w:szCs w:val="18"/>
        </w:rPr>
        <w:t>In Gal. 6:1 he urges the Galatians to restore sinners gently, always being aware of their own actions, in 6:3 to carry each other’s burdens and in 6:7 never to weary of doing good.</w:t>
      </w:r>
    </w:p>
  </w:endnote>
  <w:endnote w:id="3136">
    <w:p w:rsidR="00975183" w:rsidRDefault="00975183" w:rsidP="006A2E06">
      <w:pPr>
        <w:pStyle w:val="EndnoteText"/>
      </w:pPr>
      <w:r w:rsidRPr="006329CD">
        <w:rPr>
          <w:rStyle w:val="FootnoteReference"/>
        </w:rPr>
        <w:endnoteRef/>
      </w:r>
      <w:r w:rsidRPr="006329CD">
        <w:t xml:space="preserve"> Scofield comes closest to a comment on Christian behaviour in his note on Gal. 5:22, p. 1247, where he rehearses the list of the fruits of the spirit, dividing those reflecting an inward state (love, joy, peace) from those to be exercised towards man (longsuffering, gentleness, goodness) and those to be exercised towards God (faith, meekness, temperance).  Scofield avers that these nine graces present ‘a moral portrait of Christ’, possible to the believer through his union with Christ.</w:t>
      </w:r>
    </w:p>
  </w:endnote>
  <w:endnote w:id="3137">
    <w:p w:rsidR="00975183" w:rsidRDefault="00975183" w:rsidP="006A2E06">
      <w:pPr>
        <w:pStyle w:val="EndnoteText"/>
      </w:pPr>
      <w:r w:rsidRPr="006329CD">
        <w:rPr>
          <w:rStyle w:val="FootnoteReference"/>
        </w:rPr>
        <w:endnoteRef/>
      </w:r>
      <w:r w:rsidRPr="006329CD">
        <w:t xml:space="preserve"> ‘There is neither </w:t>
      </w:r>
      <w:proofErr w:type="gramStart"/>
      <w:r w:rsidRPr="006329CD">
        <w:t>Jew nor Greek, there is neither bond</w:t>
      </w:r>
      <w:proofErr w:type="gramEnd"/>
      <w:r w:rsidRPr="006329CD">
        <w:t xml:space="preserve"> nor free, there is neither male nor female, for ye are all one in Christ Jesus.’  Gal. 3:28, </w:t>
      </w:r>
      <w:r w:rsidRPr="006329CD">
        <w:rPr>
          <w:i/>
        </w:rPr>
        <w:t>KJV</w:t>
      </w:r>
      <w:r w:rsidRPr="006329CD">
        <w:t>.</w:t>
      </w:r>
    </w:p>
  </w:endnote>
  <w:endnote w:id="313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Galatians 3:6-9, 14, 16-18, 29.</w:t>
      </w:r>
    </w:p>
  </w:endnote>
  <w:endnote w:id="313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Galatians 4:22-31.</w:t>
      </w:r>
    </w:p>
  </w:endnote>
  <w:endnote w:id="314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Galatians 4:28.</w:t>
      </w:r>
    </w:p>
  </w:endnote>
  <w:endnote w:id="3141">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Ephesians, p. 1249.  </w:t>
      </w:r>
    </w:p>
  </w:endnote>
  <w:endnote w:id="314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Ephesians, p. 1249.  </w:t>
      </w:r>
      <w:r>
        <w:t>‘</w:t>
      </w:r>
      <w:r w:rsidRPr="005D00B9">
        <w:rPr>
          <w:color w:val="000000"/>
        </w:rPr>
        <w:t>The “heavenlies</w:t>
      </w:r>
      <w:proofErr w:type="gramStart"/>
      <w:r w:rsidRPr="005D00B9">
        <w:rPr>
          <w:color w:val="000000"/>
        </w:rPr>
        <w:t>”</w:t>
      </w:r>
      <w:r>
        <w:rPr>
          <w:color w:val="000000"/>
        </w:rPr>
        <w:t>[</w:t>
      </w:r>
      <w:proofErr w:type="gramEnd"/>
      <w:r w:rsidRPr="005D00B9">
        <w:rPr>
          <w:color w:val="000000"/>
        </w:rPr>
        <w:t xml:space="preserve"> answer</w:t>
      </w:r>
      <w:r>
        <w:rPr>
          <w:color w:val="000000"/>
        </w:rPr>
        <w:t>]</w:t>
      </w:r>
      <w:r w:rsidRPr="005D00B9">
        <w:rPr>
          <w:color w:val="000000"/>
        </w:rPr>
        <w:t xml:space="preserve"> in the Christian position to Canaan in Israel’s experience</w:t>
      </w:r>
      <w:r>
        <w:rPr>
          <w:color w:val="000000"/>
        </w:rPr>
        <w:t xml:space="preserve">.’ </w:t>
      </w:r>
      <w:r w:rsidRPr="005D00B9">
        <w:t xml:space="preserve"> </w:t>
      </w:r>
      <w:proofErr w:type="gramStart"/>
      <w:r w:rsidRPr="005D00B9">
        <w:t xml:space="preserve">cf </w:t>
      </w:r>
      <w:r w:rsidRPr="005D00B9">
        <w:rPr>
          <w:i/>
        </w:rPr>
        <w:t>SRB</w:t>
      </w:r>
      <w:r w:rsidRPr="005D00B9">
        <w:t xml:space="preserve"> introduction to Joshua, p. 259</w:t>
      </w:r>
      <w:r>
        <w:t>.</w:t>
      </w:r>
      <w:proofErr w:type="gramEnd"/>
      <w:r>
        <w:t xml:space="preserve"> </w:t>
      </w:r>
      <w:r w:rsidRPr="00CF2F25">
        <w:rPr>
          <w:b/>
        </w:rPr>
        <w:t>See 8.2</w:t>
      </w:r>
      <w:r>
        <w:t>.</w:t>
      </w:r>
    </w:p>
  </w:endnote>
  <w:endnote w:id="3143">
    <w:p w:rsidR="00975183" w:rsidRPr="00245A89" w:rsidRDefault="00975183" w:rsidP="006A2E06">
      <w:pPr>
        <w:pStyle w:val="EndnoteText"/>
      </w:pPr>
      <w:r w:rsidRPr="00245A89">
        <w:rPr>
          <w:rStyle w:val="EndnoteReference"/>
        </w:rPr>
        <w:endnoteRef/>
      </w:r>
      <w:r w:rsidRPr="00245A89">
        <w:t xml:space="preserve"> J. D. G.Dunn, ‘Ephesians’ in John Barton and John Muddiman (eds.) </w:t>
      </w:r>
      <w:r w:rsidRPr="00245A89">
        <w:rPr>
          <w:i/>
        </w:rPr>
        <w:t>The Oxford Bible Commentary</w:t>
      </w:r>
      <w:r w:rsidRPr="00245A89">
        <w:t xml:space="preserve"> (Oxford: Oxford University Press, 2001), p.1167.</w:t>
      </w:r>
    </w:p>
  </w:endnote>
  <w:endnote w:id="3144">
    <w:p w:rsidR="00975183" w:rsidRPr="00245A89" w:rsidRDefault="00975183" w:rsidP="006A2E06">
      <w:pPr>
        <w:pStyle w:val="EndnoteText"/>
      </w:pPr>
      <w:r w:rsidRPr="00245A89">
        <w:rPr>
          <w:rStyle w:val="EndnoteReference"/>
        </w:rPr>
        <w:endnoteRef/>
      </w:r>
      <w:r w:rsidRPr="00245A89">
        <w:t xml:space="preserve"> </w:t>
      </w:r>
      <w:r w:rsidRPr="00CF2F25">
        <w:rPr>
          <w:b/>
        </w:rPr>
        <w:t xml:space="preserve">See </w:t>
      </w:r>
      <w:r w:rsidRPr="00CF2F25">
        <w:rPr>
          <w:b/>
          <w:i/>
        </w:rPr>
        <w:t>Omissions</w:t>
      </w:r>
      <w:r>
        <w:t xml:space="preserve">. </w:t>
      </w:r>
    </w:p>
  </w:endnote>
  <w:endnote w:id="3145">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notes on Eph.</w:t>
      </w:r>
      <w:r>
        <w:t xml:space="preserve"> 2:15, p. 1251; 4:24, p. 1253.</w:t>
      </w:r>
    </w:p>
  </w:endnote>
  <w:endnote w:id="3146">
    <w:p w:rsidR="00975183" w:rsidRPr="006329CD" w:rsidRDefault="00975183" w:rsidP="006A2E06">
      <w:pPr>
        <w:pStyle w:val="EndnoteText"/>
      </w:pPr>
      <w:r w:rsidRPr="006329CD">
        <w:rPr>
          <w:rStyle w:val="EndnoteReference"/>
        </w:rPr>
        <w:endnoteRef/>
      </w:r>
      <w:r w:rsidRPr="006329CD">
        <w:t xml:space="preserve"> Eph. 2:11-18.</w:t>
      </w:r>
    </w:p>
  </w:endnote>
  <w:endnote w:id="3147">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 on Eph. 2:15, p. 1251.</w:t>
      </w:r>
    </w:p>
  </w:endnote>
  <w:endnote w:id="3148">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 on Eph.</w:t>
      </w:r>
      <w:r>
        <w:t xml:space="preserve"> 1:10, p. 1250.  </w:t>
      </w:r>
      <w:proofErr w:type="gramStart"/>
      <w:r w:rsidRPr="004329AD">
        <w:rPr>
          <w:b/>
        </w:rPr>
        <w:t>See 5.6.2</w:t>
      </w:r>
      <w:r w:rsidRPr="00304F9F">
        <w:t>.</w:t>
      </w:r>
      <w:proofErr w:type="gramEnd"/>
    </w:p>
  </w:endnote>
  <w:endnote w:id="3149">
    <w:p w:rsidR="00975183" w:rsidRPr="003F51CA"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Eph. </w:t>
      </w:r>
      <w:r>
        <w:t>1:5, p. 1250</w:t>
      </w:r>
      <w:r w:rsidRPr="00E02754">
        <w:t xml:space="preserve">.  </w:t>
      </w:r>
      <w:proofErr w:type="gramStart"/>
      <w:r w:rsidRPr="00E02754">
        <w:rPr>
          <w:b/>
        </w:rPr>
        <w:t>See 6.1.1</w:t>
      </w:r>
      <w:r w:rsidRPr="00E02754">
        <w:t>.</w:t>
      </w:r>
      <w:proofErr w:type="gramEnd"/>
    </w:p>
  </w:endnote>
  <w:endnote w:id="3150">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Eph.</w:t>
      </w:r>
      <w:r>
        <w:t xml:space="preserve"> 5:25, p. 1254.  Ref. Mt. 13:46.  </w:t>
      </w:r>
      <w:proofErr w:type="gramStart"/>
      <w:r>
        <w:t xml:space="preserve">See 3.5.1 </w:t>
      </w:r>
      <w:r w:rsidRPr="001270C6">
        <w:rPr>
          <w:i/>
        </w:rPr>
        <w:t>Christology</w:t>
      </w:r>
      <w:r>
        <w:t>.</w:t>
      </w:r>
      <w:proofErr w:type="gramEnd"/>
    </w:p>
  </w:endnote>
  <w:endnote w:id="3151">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Eph.</w:t>
      </w:r>
      <w:r>
        <w:t xml:space="preserve"> 5:25, p. 1254.  Ref. Mt. 13:46.  </w:t>
      </w:r>
      <w:proofErr w:type="gramStart"/>
      <w:r w:rsidRPr="00E02754">
        <w:rPr>
          <w:b/>
        </w:rPr>
        <w:t>See 8.6.1 above</w:t>
      </w:r>
      <w:r>
        <w:t>.</w:t>
      </w:r>
      <w:proofErr w:type="gramEnd"/>
    </w:p>
  </w:endnote>
  <w:endnote w:id="3152">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Eph.</w:t>
      </w:r>
      <w:r>
        <w:t xml:space="preserve"> 5:32, p. 1255.</w:t>
      </w:r>
    </w:p>
  </w:endnote>
  <w:endnote w:id="3153">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Eph.</w:t>
      </w:r>
      <w:r>
        <w:t xml:space="preserve"> 5:32, p. 1255.</w:t>
      </w:r>
    </w:p>
  </w:endnote>
  <w:endnote w:id="3154">
    <w:p w:rsidR="00975183" w:rsidRPr="00FC6D8D" w:rsidRDefault="00975183" w:rsidP="006A2E06">
      <w:pPr>
        <w:pStyle w:val="EndnoteText"/>
      </w:pPr>
      <w:r w:rsidRPr="005A4949">
        <w:rPr>
          <w:rStyle w:val="FootnoteReference"/>
        </w:rPr>
        <w:endnoteRef/>
      </w:r>
      <w:r w:rsidRPr="005A4949">
        <w:t xml:space="preserve"> </w:t>
      </w:r>
      <w:r w:rsidRPr="005A4949">
        <w:rPr>
          <w:i/>
        </w:rPr>
        <w:t>SRB</w:t>
      </w:r>
      <w:r w:rsidRPr="005A4949">
        <w:t xml:space="preserve"> note on Exod. 25:1, p. 100</w:t>
      </w:r>
      <w:r>
        <w:t xml:space="preserve">.  </w:t>
      </w:r>
      <w:proofErr w:type="gramStart"/>
      <w:r w:rsidRPr="00E02754">
        <w:rPr>
          <w:b/>
        </w:rPr>
        <w:t xml:space="preserve">See 2.3.1 </w:t>
      </w:r>
      <w:r>
        <w:rPr>
          <w:b/>
          <w:i/>
        </w:rPr>
        <w:t xml:space="preserve">c) </w:t>
      </w:r>
      <w:r w:rsidRPr="00E02754">
        <w:rPr>
          <w:b/>
          <w:i/>
        </w:rPr>
        <w:t>i)</w:t>
      </w:r>
      <w:r>
        <w:rPr>
          <w:b/>
          <w:i/>
        </w:rPr>
        <w:t>.</w:t>
      </w:r>
      <w:proofErr w:type="gramEnd"/>
    </w:p>
  </w:endnote>
  <w:endnote w:id="315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5:25.</w:t>
      </w:r>
    </w:p>
  </w:endnote>
  <w:endnote w:id="315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5:22-5.</w:t>
      </w:r>
    </w:p>
  </w:endnote>
  <w:endnote w:id="315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6:1-4.</w:t>
      </w:r>
    </w:p>
  </w:endnote>
  <w:endnote w:id="315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6:5-9.</w:t>
      </w:r>
    </w:p>
  </w:endnote>
  <w:endnote w:id="315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4:1-3, 17-32.</w:t>
      </w:r>
    </w:p>
  </w:endnote>
  <w:endnote w:id="316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4:4-6.</w:t>
      </w:r>
    </w:p>
  </w:endnote>
  <w:endnote w:id="316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Eph. 4:12-13.</w:t>
      </w:r>
    </w:p>
  </w:endnote>
  <w:endnote w:id="3162">
    <w:p w:rsidR="00975183" w:rsidRPr="00970DD5" w:rsidRDefault="00975183" w:rsidP="006A2E06">
      <w:pPr>
        <w:pStyle w:val="EndnoteText"/>
        <w:rPr>
          <w:sz w:val="18"/>
        </w:rPr>
      </w:pPr>
      <w:r w:rsidRPr="00970DD5">
        <w:rPr>
          <w:rStyle w:val="EndnoteReference"/>
        </w:rPr>
        <w:endnoteRef/>
      </w:r>
      <w:r w:rsidRPr="00970DD5">
        <w:t xml:space="preserve"> </w:t>
      </w:r>
      <w:r w:rsidRPr="00970DD5">
        <w:rPr>
          <w:i/>
        </w:rPr>
        <w:t>SRB</w:t>
      </w:r>
      <w:r>
        <w:t xml:space="preserve"> subheads to </w:t>
      </w:r>
      <w:r w:rsidRPr="00970DD5">
        <w:rPr>
          <w:szCs w:val="22"/>
        </w:rPr>
        <w:t>Eph. 1:15</w:t>
      </w:r>
      <w:r>
        <w:rPr>
          <w:szCs w:val="22"/>
        </w:rPr>
        <w:t>;</w:t>
      </w:r>
      <w:r w:rsidRPr="00970DD5">
        <w:rPr>
          <w:szCs w:val="22"/>
        </w:rPr>
        <w:t xml:space="preserve"> 3:13</w:t>
      </w:r>
      <w:r>
        <w:rPr>
          <w:szCs w:val="22"/>
        </w:rPr>
        <w:t>;</w:t>
      </w:r>
      <w:r w:rsidRPr="00970DD5">
        <w:rPr>
          <w:szCs w:val="22"/>
        </w:rPr>
        <w:t xml:space="preserve"> 5:1, 18</w:t>
      </w:r>
      <w:r>
        <w:rPr>
          <w:szCs w:val="22"/>
        </w:rPr>
        <w:t>-</w:t>
      </w:r>
      <w:r w:rsidRPr="00970DD5">
        <w:rPr>
          <w:szCs w:val="22"/>
        </w:rPr>
        <w:t>19</w:t>
      </w:r>
      <w:proofErr w:type="gramStart"/>
      <w:r>
        <w:rPr>
          <w:szCs w:val="22"/>
        </w:rPr>
        <w:t>;</w:t>
      </w:r>
      <w:r w:rsidRPr="00970DD5">
        <w:rPr>
          <w:szCs w:val="22"/>
        </w:rPr>
        <w:t xml:space="preserve"> </w:t>
      </w:r>
      <w:r>
        <w:rPr>
          <w:szCs w:val="22"/>
        </w:rPr>
        <w:t>;</w:t>
      </w:r>
      <w:r w:rsidRPr="00970DD5">
        <w:rPr>
          <w:szCs w:val="22"/>
        </w:rPr>
        <w:t>6:</w:t>
      </w:r>
      <w:r>
        <w:rPr>
          <w:szCs w:val="22"/>
        </w:rPr>
        <w:t>10</w:t>
      </w:r>
      <w:proofErr w:type="gramEnd"/>
      <w:r>
        <w:rPr>
          <w:szCs w:val="22"/>
        </w:rPr>
        <w:t>, 12, 18.</w:t>
      </w:r>
    </w:p>
  </w:endnote>
  <w:endnote w:id="316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Philippians, p. 1257.</w:t>
      </w:r>
    </w:p>
  </w:endnote>
  <w:endnote w:id="3164">
    <w:p w:rsidR="00975183" w:rsidRPr="00C75AB4" w:rsidRDefault="00975183" w:rsidP="006A2E06">
      <w:pPr>
        <w:pStyle w:val="EndnoteText"/>
      </w:pPr>
      <w:r w:rsidRPr="00C75AB4">
        <w:rPr>
          <w:rStyle w:val="EndnoteReference"/>
        </w:rPr>
        <w:endnoteRef/>
      </w:r>
      <w:r w:rsidRPr="00C75AB4">
        <w:t xml:space="preserve"> </w:t>
      </w:r>
      <w:r w:rsidRPr="00C75AB4">
        <w:rPr>
          <w:i/>
        </w:rPr>
        <w:t>SRB</w:t>
      </w:r>
      <w:r w:rsidRPr="00C75AB4">
        <w:t xml:space="preserve"> note on Phil. 1:1, p. 1257.  </w:t>
      </w:r>
    </w:p>
  </w:endnote>
  <w:endnote w:id="3165">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Phil. 2:6, p. 1258.  </w:t>
      </w:r>
    </w:p>
  </w:endnote>
  <w:endnote w:id="316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Colossians, p. 1262.</w:t>
      </w:r>
    </w:p>
  </w:endnote>
  <w:endnote w:id="316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Colossians, p. 1262.</w:t>
      </w:r>
    </w:p>
  </w:endnote>
  <w:endnote w:id="3168">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Col. 1:21, p. 1263.</w:t>
      </w:r>
      <w:proofErr w:type="gramEnd"/>
    </w:p>
  </w:endnote>
  <w:endnote w:id="3169">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Col. 2:2, p. 1263.</w:t>
      </w:r>
      <w:proofErr w:type="gramEnd"/>
    </w:p>
  </w:endnote>
  <w:endnote w:id="3170">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Col. 2:18, p. 1264.</w:t>
      </w:r>
      <w:proofErr w:type="gramEnd"/>
    </w:p>
  </w:endnote>
  <w:endnote w:id="3171">
    <w:p w:rsidR="00975183" w:rsidRPr="006329CD"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Col. 4:12, p. 1265.</w:t>
      </w:r>
      <w:proofErr w:type="gramEnd"/>
      <w:r>
        <w:t xml:space="preserve">  Ref. </w:t>
      </w:r>
      <w:r w:rsidRPr="00391821">
        <w:rPr>
          <w:i/>
        </w:rPr>
        <w:t>SRB</w:t>
      </w:r>
      <w:r>
        <w:t xml:space="preserve"> note on 1 Pet. 2:9.</w:t>
      </w:r>
    </w:p>
  </w:endnote>
  <w:endnote w:id="317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1 Thessalonians, p. 1267</w:t>
      </w:r>
      <w:r>
        <w:t>.</w:t>
      </w:r>
    </w:p>
  </w:endnote>
  <w:endnote w:id="3173">
    <w:p w:rsidR="00975183" w:rsidRDefault="00975183" w:rsidP="006A2E06">
      <w:pPr>
        <w:pStyle w:val="EndnoteText"/>
      </w:pPr>
      <w:r w:rsidRPr="00810D82">
        <w:rPr>
          <w:rStyle w:val="FootnoteReference"/>
        </w:rPr>
        <w:endnoteRef/>
      </w:r>
      <w:r w:rsidRPr="00810D82">
        <w:t xml:space="preserve"> </w:t>
      </w:r>
      <w:r w:rsidRPr="00810D82">
        <w:rPr>
          <w:i/>
        </w:rPr>
        <w:t>SRB</w:t>
      </w:r>
      <w:r w:rsidRPr="00810D82">
        <w:t xml:space="preserve"> Introduction to 1 Thessalonians, p. 1267.  Doctrines include election (ref. 1 Thess. 1:4); the Holy Spirit (refs 1 Thess. 1:5, 6; 4:8; 5:19); assurance (ref. 1 Thess. 1:5); the Trinity (refs 1 Thess. 1:1, 5, 6); conversion </w:t>
      </w:r>
    </w:p>
    <w:p w:rsidR="00975183" w:rsidRDefault="00975183" w:rsidP="006A2E06">
      <w:pPr>
        <w:pStyle w:val="EndnoteText"/>
      </w:pPr>
      <w:r w:rsidRPr="00810D82">
        <w:t xml:space="preserve">(ref. 1 Thess. 1:9); Christ’s second advent (refs 1 Thess. 1:10; 2:19; 3:13; 4:14-17; 5:23); </w:t>
      </w:r>
    </w:p>
    <w:p w:rsidR="00975183" w:rsidRDefault="00975183" w:rsidP="006A2E06">
      <w:pPr>
        <w:pStyle w:val="EndnoteText"/>
      </w:pPr>
      <w:r w:rsidRPr="00810D82">
        <w:t xml:space="preserve">walk (refs 1 Thess. 2:12; 4:12:12; 4:1); sanctification (refs 1 Thess. 4:3; 5:23); the day of Jehovah </w:t>
      </w:r>
    </w:p>
    <w:p w:rsidR="00975183" w:rsidRDefault="00975183" w:rsidP="006A2E06">
      <w:pPr>
        <w:pStyle w:val="EndnoteText"/>
      </w:pPr>
      <w:r w:rsidRPr="00810D82">
        <w:t>(ref. 1 Thess. 5:1-3); resurrection (ref. 1 Thess. 4:14-18) and the tripartite nature of man (ref. 1 Thess.5:23)</w:t>
      </w:r>
      <w:r w:rsidRPr="00A23CD5">
        <w:rPr>
          <w:sz w:val="22"/>
          <w:szCs w:val="22"/>
        </w:rPr>
        <w:t>.</w:t>
      </w:r>
    </w:p>
  </w:endnote>
  <w:endnote w:id="3174">
    <w:p w:rsidR="00975183" w:rsidRPr="00B32EB7" w:rsidRDefault="00975183" w:rsidP="006A2E06">
      <w:pPr>
        <w:pStyle w:val="EndnoteText"/>
        <w:rPr>
          <w:sz w:val="18"/>
        </w:rPr>
      </w:pPr>
      <w:r w:rsidRPr="00FA7888">
        <w:rPr>
          <w:rStyle w:val="EndnoteReference"/>
        </w:rPr>
        <w:endnoteRef/>
      </w:r>
      <w:r w:rsidRPr="00FA7888">
        <w:t xml:space="preserve"> Refs </w:t>
      </w:r>
      <w:r w:rsidRPr="00B32EB7">
        <w:rPr>
          <w:szCs w:val="22"/>
        </w:rPr>
        <w:t>Job 32:8; Ps. 18:28; Prov. 20:27</w:t>
      </w:r>
      <w:r>
        <w:rPr>
          <w:szCs w:val="22"/>
        </w:rPr>
        <w:t>.</w:t>
      </w:r>
    </w:p>
  </w:endnote>
  <w:endnote w:id="3175">
    <w:p w:rsidR="00975183" w:rsidRPr="00B32EB7" w:rsidRDefault="00975183" w:rsidP="006A2E06">
      <w:pPr>
        <w:pStyle w:val="EndnoteText"/>
      </w:pPr>
      <w:r w:rsidRPr="00B32EB7">
        <w:rPr>
          <w:rStyle w:val="EndnoteReference"/>
        </w:rPr>
        <w:endnoteRef/>
      </w:r>
      <w:r w:rsidRPr="00B32EB7">
        <w:t xml:space="preserve"> Refs Ps. 13:2; 42:5-6, 11.</w:t>
      </w:r>
    </w:p>
  </w:endnote>
  <w:endnote w:id="3176">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1 Thess. 5:23, p. 1270.</w:t>
      </w:r>
    </w:p>
  </w:endnote>
  <w:endnote w:id="3177">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1 Thess.</w:t>
      </w:r>
      <w:r>
        <w:t xml:space="preserve"> 1:9, p. 1267.</w:t>
      </w:r>
      <w:proofErr w:type="gramEnd"/>
    </w:p>
  </w:endnote>
  <w:endnote w:id="3178">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1 Thess. 4:17, p. 1269.</w:t>
      </w:r>
    </w:p>
  </w:endnote>
  <w:endnote w:id="3179">
    <w:p w:rsidR="00975183" w:rsidRDefault="00975183" w:rsidP="006A2E06">
      <w:pPr>
        <w:pStyle w:val="EndnoteText"/>
      </w:pPr>
      <w:r w:rsidRPr="002937D2">
        <w:rPr>
          <w:rStyle w:val="EndnoteReference"/>
        </w:rPr>
        <w:endnoteRef/>
      </w:r>
      <w:r w:rsidRPr="002937D2">
        <w:t xml:space="preserve"> </w:t>
      </w:r>
      <w:r w:rsidRPr="006329CD">
        <w:t xml:space="preserve">For example </w:t>
      </w:r>
      <w:r w:rsidRPr="006329CD">
        <w:rPr>
          <w:i/>
        </w:rPr>
        <w:t>SRB</w:t>
      </w:r>
      <w:r w:rsidRPr="006329CD">
        <w:t xml:space="preserve"> notes on Jn 14:3, p. 1135, 1 Cor. 15:52, p. 1228 and Rev. 19:19, p. 1349, which contains Scofield’s only reference to the rapture as such.</w:t>
      </w:r>
      <w:r>
        <w:t xml:space="preserve">  </w:t>
      </w:r>
      <w:proofErr w:type="gramStart"/>
      <w:r w:rsidRPr="00E02754">
        <w:rPr>
          <w:b/>
        </w:rPr>
        <w:t>See 6.1.2</w:t>
      </w:r>
      <w:r>
        <w:t>.</w:t>
      </w:r>
      <w:proofErr w:type="gramEnd"/>
    </w:p>
  </w:endnote>
  <w:endnote w:id="3180">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1 Thess. 4:17, p. 1269.</w:t>
      </w:r>
    </w:p>
  </w:endnote>
  <w:endnote w:id="3181">
    <w:p w:rsidR="00975183" w:rsidRDefault="00975183" w:rsidP="006A2E06">
      <w:pPr>
        <w:spacing w:after="0" w:line="240" w:lineRule="auto"/>
      </w:pPr>
      <w:r w:rsidRPr="006329CD">
        <w:rPr>
          <w:rStyle w:val="EndnoteReference"/>
        </w:rPr>
        <w:endnoteRef/>
      </w:r>
      <w:r w:rsidRPr="006329CD">
        <w:t xml:space="preserve"> </w:t>
      </w:r>
      <w:r w:rsidRPr="006329CD">
        <w:rPr>
          <w:i/>
        </w:rPr>
        <w:t>SRB</w:t>
      </w:r>
      <w:r w:rsidRPr="006329CD">
        <w:t xml:space="preserve"> note on</w:t>
      </w:r>
      <w:r>
        <w:t xml:space="preserve"> 1 Cor. 15:52, p. 1228.  ‘</w:t>
      </w:r>
      <w:r w:rsidRPr="0093381C">
        <w:t>The first resurrection, that “unto life”, will occur at the second coming of Christ (1 Cor. 15:23), the saints of the O</w:t>
      </w:r>
      <w:r>
        <w:t>.</w:t>
      </w:r>
      <w:r w:rsidRPr="0093381C">
        <w:t>T</w:t>
      </w:r>
      <w:r>
        <w:t>.</w:t>
      </w:r>
      <w:r w:rsidRPr="0093381C">
        <w:t xml:space="preserve"> and church ages meeting Him in the air </w:t>
      </w:r>
    </w:p>
    <w:p w:rsidR="00975183" w:rsidRDefault="00975183" w:rsidP="006A2E06">
      <w:pPr>
        <w:spacing w:after="0" w:line="240" w:lineRule="auto"/>
      </w:pPr>
      <w:proofErr w:type="gramStart"/>
      <w:r w:rsidRPr="0093381C">
        <w:t>(1 Thess. 4:16-17), while the martyrs of the tribulation, who also have part in the first resurrection (Rev. 20:4) are raised at the end of the great tribulation.</w:t>
      </w:r>
      <w:r>
        <w:t>’</w:t>
      </w:r>
      <w:proofErr w:type="gramEnd"/>
    </w:p>
  </w:endnote>
  <w:endnote w:id="3182">
    <w:p w:rsidR="00975183" w:rsidRPr="008064B8" w:rsidRDefault="00975183" w:rsidP="006A2E06">
      <w:pPr>
        <w:pStyle w:val="EndnoteText"/>
      </w:pPr>
      <w:r w:rsidRPr="008064B8">
        <w:rPr>
          <w:rStyle w:val="EndnoteReference"/>
        </w:rPr>
        <w:endnoteRef/>
      </w:r>
      <w:r w:rsidRPr="008064B8">
        <w:t xml:space="preserve"> </w:t>
      </w:r>
      <w:r w:rsidRPr="00A5606A">
        <w:rPr>
          <w:i/>
        </w:rPr>
        <w:t>SRB</w:t>
      </w:r>
      <w:r w:rsidRPr="008064B8">
        <w:t xml:space="preserve"> </w:t>
      </w:r>
      <w:r w:rsidRPr="00F41B6F">
        <w:t>I</w:t>
      </w:r>
      <w:r w:rsidRPr="008064B8">
        <w:t>ntroduction to 2 Thessalonians, p. 1267.</w:t>
      </w:r>
    </w:p>
  </w:endnote>
  <w:endnote w:id="3183">
    <w:p w:rsidR="00975183" w:rsidRDefault="00975183" w:rsidP="006A2E06">
      <w:pPr>
        <w:pStyle w:val="EndnoteText"/>
      </w:pPr>
      <w:r w:rsidRPr="005D00B9">
        <w:rPr>
          <w:rStyle w:val="FootnoteReference"/>
        </w:rPr>
        <w:endnoteRef/>
      </w:r>
      <w:r w:rsidRPr="005D00B9">
        <w:t xml:space="preserve"> 1 Thess. 4:14-17.</w:t>
      </w:r>
    </w:p>
  </w:endnote>
  <w:endnote w:id="3184">
    <w:p w:rsidR="00975183" w:rsidRPr="00A5606A" w:rsidRDefault="00975183" w:rsidP="006A2E06">
      <w:pPr>
        <w:pStyle w:val="EndnoteText"/>
      </w:pPr>
      <w:r w:rsidRPr="00A5606A">
        <w:rPr>
          <w:rStyle w:val="EndnoteReference"/>
        </w:rPr>
        <w:endnoteRef/>
      </w:r>
      <w:r w:rsidRPr="00A5606A">
        <w:t xml:space="preserve"> </w:t>
      </w:r>
      <w:r>
        <w:t xml:space="preserve">Ref. </w:t>
      </w:r>
      <w:r w:rsidRPr="00A5606A">
        <w:rPr>
          <w:i/>
        </w:rPr>
        <w:t>SRB</w:t>
      </w:r>
      <w:r>
        <w:t xml:space="preserve"> note on 1 Cor. 1:8.</w:t>
      </w:r>
    </w:p>
  </w:endnote>
  <w:endnote w:id="3185">
    <w:p w:rsidR="00975183" w:rsidRPr="00A5606A" w:rsidRDefault="00975183" w:rsidP="006A2E06">
      <w:pPr>
        <w:pStyle w:val="EndnoteText"/>
      </w:pPr>
      <w:r w:rsidRPr="00A5606A">
        <w:rPr>
          <w:rStyle w:val="EndnoteReference"/>
        </w:rPr>
        <w:endnoteRef/>
      </w:r>
      <w:r w:rsidRPr="00A5606A">
        <w:t xml:space="preserve"> </w:t>
      </w:r>
      <w:r w:rsidRPr="00A5606A">
        <w:rPr>
          <w:i/>
        </w:rPr>
        <w:t>SRB</w:t>
      </w:r>
      <w:r>
        <w:t xml:space="preserve"> refs from Isa. 2:12.</w:t>
      </w:r>
    </w:p>
  </w:endnote>
  <w:endnote w:id="3186">
    <w:p w:rsidR="00975183" w:rsidRPr="00101AF0" w:rsidRDefault="00975183" w:rsidP="006A2E06">
      <w:pPr>
        <w:pStyle w:val="EndnoteText"/>
      </w:pPr>
      <w:r w:rsidRPr="00101AF0">
        <w:rPr>
          <w:rStyle w:val="EndnoteReference"/>
        </w:rPr>
        <w:endnoteRef/>
      </w:r>
      <w:r w:rsidRPr="00101AF0">
        <w:t xml:space="preserve"> </w:t>
      </w:r>
      <w:proofErr w:type="gramStart"/>
      <w:r>
        <w:t>‘Day of the Lord’ and ‘day of Christ’.</w:t>
      </w:r>
      <w:proofErr w:type="gramEnd"/>
    </w:p>
  </w:endnote>
  <w:endnote w:id="3187">
    <w:p w:rsidR="00975183" w:rsidRDefault="00975183" w:rsidP="006A2E06">
      <w:pPr>
        <w:pStyle w:val="EndnoteText"/>
      </w:pPr>
      <w:r w:rsidRPr="00327234">
        <w:rPr>
          <w:rStyle w:val="EndnoteReference"/>
        </w:rPr>
        <w:endnoteRef/>
      </w:r>
      <w:r w:rsidRPr="00327234">
        <w:t xml:space="preserve"> </w:t>
      </w:r>
      <w:r w:rsidRPr="00327234">
        <w:rPr>
          <w:rFonts w:ascii="Bwgrkl" w:hAnsi="Bwgrkl" w:cs="Bwgrkl"/>
          <w:szCs w:val="22"/>
          <w:lang w:val="en-US" w:bidi="he-IL"/>
        </w:rPr>
        <w:t>w`j o[ti evne,sthken h` h`me,ra tou/ kuri,ou</w:t>
      </w:r>
      <w:r w:rsidRPr="00327234">
        <w:rPr>
          <w:sz w:val="18"/>
        </w:rPr>
        <w:t xml:space="preserve"> </w:t>
      </w:r>
      <w:r w:rsidRPr="00327234">
        <w:rPr>
          <w:szCs w:val="18"/>
        </w:rPr>
        <w:t>or</w:t>
      </w:r>
      <w:r w:rsidRPr="004B2676">
        <w:rPr>
          <w:rFonts w:ascii="Times New Roman" w:hAnsi="Times New Roman"/>
          <w:szCs w:val="18"/>
        </w:rPr>
        <w:t xml:space="preserve"> </w:t>
      </w:r>
      <w:r w:rsidRPr="00327234">
        <w:rPr>
          <w:rFonts w:ascii="Bwgrkl" w:hAnsi="Bwgrkl" w:cs="Bwgrkl"/>
          <w:szCs w:val="22"/>
          <w:lang w:val="en-US" w:bidi="he-IL"/>
        </w:rPr>
        <w:t>w`j o[ti evne,sthken h` h`me,ra tou/ cristou</w:t>
      </w:r>
      <w:r w:rsidRPr="006329CD">
        <w:t>.</w:t>
      </w:r>
      <w:r>
        <w:t xml:space="preserve">  The Byzantine text has </w:t>
      </w:r>
      <w:r w:rsidRPr="00327234">
        <w:rPr>
          <w:rFonts w:ascii="Bwgrkl" w:hAnsi="Bwgrkl" w:cs="Bwgrkl"/>
          <w:szCs w:val="22"/>
          <w:lang w:val="en-US" w:bidi="he-IL"/>
        </w:rPr>
        <w:t>h` h`me</w:t>
      </w:r>
      <w:proofErr w:type="gramStart"/>
      <w:r w:rsidRPr="00327234">
        <w:rPr>
          <w:rFonts w:ascii="Bwgrkl" w:hAnsi="Bwgrkl" w:cs="Bwgrkl"/>
          <w:szCs w:val="22"/>
          <w:lang w:val="en-US" w:bidi="he-IL"/>
        </w:rPr>
        <w:t>,ra</w:t>
      </w:r>
      <w:proofErr w:type="gramEnd"/>
      <w:r w:rsidRPr="00327234">
        <w:rPr>
          <w:rFonts w:ascii="Bwgrkl" w:hAnsi="Bwgrkl" w:cs="Bwgrkl"/>
          <w:szCs w:val="22"/>
          <w:lang w:val="en-US" w:bidi="he-IL"/>
        </w:rPr>
        <w:t xml:space="preserve"> tou/ cristou</w:t>
      </w:r>
      <w:r w:rsidRPr="006329CD">
        <w:t>.</w:t>
      </w:r>
    </w:p>
  </w:endnote>
  <w:endnote w:id="3188">
    <w:p w:rsidR="00975183" w:rsidRPr="00327234" w:rsidRDefault="00975183" w:rsidP="006A2E06">
      <w:pPr>
        <w:pStyle w:val="EndnoteText"/>
      </w:pPr>
      <w:r w:rsidRPr="00327234">
        <w:rPr>
          <w:rStyle w:val="EndnoteReference"/>
        </w:rPr>
        <w:endnoteRef/>
      </w:r>
      <w:r w:rsidRPr="00327234">
        <w:t xml:space="preserve"> </w:t>
      </w:r>
      <w:r>
        <w:t>Ref. 2 Thess. 2:1.</w:t>
      </w:r>
    </w:p>
  </w:endnote>
  <w:endnote w:id="3189">
    <w:p w:rsidR="00975183" w:rsidRPr="006329CD"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2 Thess. 2:3, p. 1272.</w:t>
      </w:r>
      <w:proofErr w:type="gramEnd"/>
    </w:p>
  </w:endnote>
  <w:endnote w:id="319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w:t>
      </w:r>
      <w:proofErr w:type="gramStart"/>
      <w:r w:rsidRPr="005D00B9">
        <w:t>to 1 Timothy</w:t>
      </w:r>
      <w:proofErr w:type="gramEnd"/>
      <w:r w:rsidRPr="005D00B9">
        <w:t>, p. 1274.</w:t>
      </w:r>
    </w:p>
  </w:endnote>
  <w:endnote w:id="3191">
    <w:p w:rsidR="00975183" w:rsidRPr="000A27BA" w:rsidRDefault="00975183" w:rsidP="006A2E06">
      <w:pPr>
        <w:pStyle w:val="EndnoteText"/>
      </w:pPr>
      <w:r w:rsidRPr="000A27BA">
        <w:rPr>
          <w:rStyle w:val="EndnoteReference"/>
        </w:rPr>
        <w:endnoteRef/>
      </w:r>
      <w:r w:rsidRPr="000A27BA">
        <w:t xml:space="preserve"> </w:t>
      </w:r>
      <w:proofErr w:type="gramStart"/>
      <w:r w:rsidRPr="000A27BA">
        <w:t>1 Tim. 1:20 and 3:15.</w:t>
      </w:r>
      <w:proofErr w:type="gramEnd"/>
    </w:p>
  </w:endnote>
  <w:endnote w:id="3192">
    <w:p w:rsidR="00975183" w:rsidRPr="00CF3528" w:rsidRDefault="00975183" w:rsidP="006A2E06">
      <w:pPr>
        <w:pStyle w:val="EndnoteText"/>
      </w:pPr>
      <w:r w:rsidRPr="00CF3528">
        <w:rPr>
          <w:rStyle w:val="EndnoteReference"/>
        </w:rPr>
        <w:endnoteRef/>
      </w:r>
      <w:r w:rsidRPr="00CF3528">
        <w:t xml:space="preserve"> Clare Drury, ‘The Pastoral Epistles’ in John Barton and John Muddiman (eds.) </w:t>
      </w:r>
      <w:proofErr w:type="gramStart"/>
      <w:r w:rsidRPr="00CF3528">
        <w:rPr>
          <w:i/>
        </w:rPr>
        <w:t>The</w:t>
      </w:r>
      <w:proofErr w:type="gramEnd"/>
      <w:r w:rsidRPr="00CF3528">
        <w:rPr>
          <w:i/>
        </w:rPr>
        <w:t xml:space="preserve"> Oxford Bible Commentary</w:t>
      </w:r>
      <w:r w:rsidRPr="00CF3528">
        <w:t xml:space="preserve"> (Oxford: Oxford University Press, 2001), p. 1223.</w:t>
      </w:r>
    </w:p>
  </w:endnote>
  <w:endnote w:id="3193">
    <w:p w:rsidR="00975183" w:rsidRPr="00CF3528" w:rsidRDefault="00975183" w:rsidP="006A2E06">
      <w:pPr>
        <w:pStyle w:val="EndnoteText"/>
      </w:pPr>
      <w:r w:rsidRPr="00CF3528">
        <w:rPr>
          <w:rStyle w:val="EndnoteReference"/>
        </w:rPr>
        <w:endnoteRef/>
      </w:r>
      <w:r w:rsidRPr="00CF3528">
        <w:t xml:space="preserve"> Drury, ‘Pastoral Epistles’</w:t>
      </w:r>
      <w:r>
        <w:t>, p. 1229.</w:t>
      </w:r>
    </w:p>
  </w:endnote>
  <w:endnote w:id="3194">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1 Tim. 3:15, p. 1276.</w:t>
      </w:r>
    </w:p>
  </w:endnote>
  <w:endnote w:id="3195">
    <w:p w:rsidR="00975183" w:rsidRPr="00672A8B" w:rsidRDefault="00975183" w:rsidP="006A2E06">
      <w:pPr>
        <w:pStyle w:val="EndnoteText"/>
      </w:pPr>
      <w:r w:rsidRPr="00672A8B">
        <w:rPr>
          <w:rStyle w:val="EndnoteReference"/>
        </w:rPr>
        <w:endnoteRef/>
      </w:r>
      <w:r w:rsidRPr="00672A8B">
        <w:t xml:space="preserve"> </w:t>
      </w:r>
      <w:r w:rsidRPr="00672A8B">
        <w:rPr>
          <w:i/>
        </w:rPr>
        <w:t>SRB</w:t>
      </w:r>
      <w:r>
        <w:t xml:space="preserve"> Introduction to 2 Timothy, p. 1279.</w:t>
      </w:r>
    </w:p>
  </w:endnote>
  <w:endnote w:id="3196">
    <w:p w:rsidR="00975183" w:rsidRDefault="00975183" w:rsidP="006A2E06">
      <w:pPr>
        <w:pStyle w:val="EndnoteText"/>
      </w:pPr>
      <w:r w:rsidRPr="004E6C8F">
        <w:rPr>
          <w:rStyle w:val="EndnoteReference"/>
        </w:rPr>
        <w:endnoteRef/>
      </w:r>
      <w:r w:rsidRPr="004E6C8F">
        <w:t xml:space="preserve"> </w:t>
      </w:r>
      <w:r w:rsidRPr="004E6C8F">
        <w:rPr>
          <w:i/>
        </w:rPr>
        <w:t>SRB</w:t>
      </w:r>
      <w:r w:rsidRPr="004E6C8F">
        <w:t xml:space="preserve"> note on 2 Tim. 1:12, p. 1279: </w:t>
      </w:r>
      <w:r>
        <w:t>‘</w:t>
      </w:r>
      <w:r w:rsidRPr="004E6C8F">
        <w:t xml:space="preserve">faith (ref. 2 Tim. 1:5); the Spirit (ref. 2 Tim. 1:6-7); the word of God (refs 2 Tim. 1:13; 3:1-17; 4:3-4); the grace of Christ (ref. 2 Tim. 2:1); separation from vessels unto dishonour (refs 2 Tim. 2:4, 20-21); the Lord’s sure reward (ref. 2 Tim. 4:7-8); and the Lord’s faithfulness and power </w:t>
      </w:r>
    </w:p>
    <w:p w:rsidR="00975183" w:rsidRPr="004E6C8F" w:rsidRDefault="00975183" w:rsidP="006A2E06">
      <w:pPr>
        <w:pStyle w:val="EndnoteText"/>
      </w:pPr>
      <w:r w:rsidRPr="004E6C8F">
        <w:t>(</w:t>
      </w:r>
      <w:proofErr w:type="gramStart"/>
      <w:r w:rsidRPr="004E6C8F">
        <w:t>refs</w:t>
      </w:r>
      <w:proofErr w:type="gramEnd"/>
      <w:r w:rsidRPr="004E6C8F">
        <w:t xml:space="preserve"> 2 Tim. 2:13, 19)</w:t>
      </w:r>
      <w:r>
        <w:t>’</w:t>
      </w:r>
      <w:r w:rsidRPr="004E6C8F">
        <w:t>.</w:t>
      </w:r>
    </w:p>
  </w:endnote>
  <w:endnote w:id="3197">
    <w:p w:rsidR="00975183" w:rsidRDefault="00975183" w:rsidP="006A2E06">
      <w:pPr>
        <w:pStyle w:val="EndnoteText"/>
      </w:pPr>
      <w:r w:rsidRPr="006329CD">
        <w:rPr>
          <w:rStyle w:val="EndnoteReference"/>
        </w:rPr>
        <w:endnoteRef/>
      </w:r>
      <w:r w:rsidRPr="006329CD">
        <w:t xml:space="preserve"> </w:t>
      </w:r>
      <w:proofErr w:type="gramStart"/>
      <w:r w:rsidRPr="00C022B7">
        <w:rPr>
          <w:i/>
        </w:rPr>
        <w:t>SRB</w:t>
      </w:r>
      <w:r w:rsidRPr="006329CD">
        <w:t xml:space="preserve"> note on</w:t>
      </w:r>
      <w:r>
        <w:t xml:space="preserve"> 2 Tim. 3:1, pp. 1280-81.</w:t>
      </w:r>
      <w:proofErr w:type="gramEnd"/>
    </w:p>
  </w:endnote>
  <w:endnote w:id="3198">
    <w:p w:rsidR="00975183" w:rsidRDefault="00975183" w:rsidP="006A2E06">
      <w:pPr>
        <w:pStyle w:val="EndnoteText"/>
      </w:pPr>
      <w:r w:rsidRPr="006329CD">
        <w:rPr>
          <w:rStyle w:val="EndnoteReference"/>
        </w:rPr>
        <w:endnoteRef/>
      </w:r>
      <w:r w:rsidRPr="006329CD">
        <w:t xml:space="preserve"> </w:t>
      </w:r>
      <w:proofErr w:type="gramStart"/>
      <w:r w:rsidRPr="00C022B7">
        <w:rPr>
          <w:i/>
        </w:rPr>
        <w:t>SRB</w:t>
      </w:r>
      <w:r w:rsidRPr="006329CD">
        <w:t xml:space="preserve"> note on</w:t>
      </w:r>
      <w:r>
        <w:t xml:space="preserve"> 2 Tim. 3:1, pp. 1280-81.</w:t>
      </w:r>
      <w:proofErr w:type="gramEnd"/>
    </w:p>
  </w:endnote>
  <w:endnote w:id="3199">
    <w:p w:rsidR="00975183" w:rsidRDefault="00975183" w:rsidP="006A2E06">
      <w:pPr>
        <w:pStyle w:val="EndnoteText"/>
      </w:pPr>
      <w:r w:rsidRPr="006329CD">
        <w:rPr>
          <w:rStyle w:val="EndnoteReference"/>
        </w:rPr>
        <w:endnoteRef/>
      </w:r>
      <w:r w:rsidRPr="006329CD">
        <w:t xml:space="preserve"> </w:t>
      </w:r>
      <w:proofErr w:type="gramStart"/>
      <w:r w:rsidRPr="00C022B7">
        <w:rPr>
          <w:i/>
        </w:rPr>
        <w:t>SRB</w:t>
      </w:r>
      <w:r w:rsidRPr="006329CD">
        <w:t xml:space="preserve"> note on</w:t>
      </w:r>
      <w:r>
        <w:t xml:space="preserve"> 2 Tim. 3:1, pp. 1280-81.</w:t>
      </w:r>
      <w:proofErr w:type="gramEnd"/>
    </w:p>
  </w:endnote>
  <w:endnote w:id="320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Titus, p. 1283.  </w:t>
      </w:r>
    </w:p>
  </w:endnote>
  <w:endnote w:id="3201">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Titus, p. 1283.  </w:t>
      </w:r>
      <w:proofErr w:type="gramStart"/>
      <w:r w:rsidRPr="005D00B9">
        <w:t>Refs.</w:t>
      </w:r>
      <w:proofErr w:type="gramEnd"/>
      <w:r w:rsidRPr="005D00B9">
        <w:t xml:space="preserve"> 1 Tim. 3:1-7; Tit. 1:6-9.</w:t>
      </w:r>
    </w:p>
  </w:endnote>
  <w:endnote w:id="3202">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notes on Tit</w:t>
      </w:r>
      <w:r>
        <w:t>.</w:t>
      </w:r>
      <w:r w:rsidRPr="006329CD">
        <w:t xml:space="preserve"> 1:5, p. 1283.</w:t>
      </w:r>
    </w:p>
  </w:endnote>
  <w:endnote w:id="320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Philemon, p. 1286.  </w:t>
      </w:r>
    </w:p>
  </w:endnote>
  <w:endnote w:id="3204">
    <w:p w:rsidR="00975183" w:rsidRPr="006329CD" w:rsidRDefault="00975183" w:rsidP="006A2E06">
      <w:pPr>
        <w:pStyle w:val="EndnoteText"/>
      </w:pPr>
      <w:r w:rsidRPr="006329CD">
        <w:rPr>
          <w:rStyle w:val="EndnoteReference"/>
        </w:rPr>
        <w:endnoteRef/>
      </w:r>
      <w:r w:rsidRPr="006329CD">
        <w:t xml:space="preserve"> </w:t>
      </w:r>
      <w:proofErr w:type="gramStart"/>
      <w:r w:rsidRPr="00C022B7">
        <w:rPr>
          <w:i/>
        </w:rPr>
        <w:t>SRB</w:t>
      </w:r>
      <w:r w:rsidRPr="006329CD">
        <w:t xml:space="preserve"> note on Philemon v. 18, p. 1286.</w:t>
      </w:r>
      <w:proofErr w:type="gramEnd"/>
    </w:p>
  </w:endnote>
  <w:endnote w:id="3205">
    <w:p w:rsidR="00975183" w:rsidRDefault="00975183" w:rsidP="006A2E06">
      <w:pPr>
        <w:pStyle w:val="EndnoteText"/>
      </w:pPr>
      <w:r w:rsidRPr="00287C60">
        <w:rPr>
          <w:rStyle w:val="EndnoteReference"/>
        </w:rPr>
        <w:endnoteRef/>
      </w:r>
      <w:r w:rsidRPr="00287C60">
        <w:t xml:space="preserve"> </w:t>
      </w:r>
      <w:r w:rsidRPr="00287C60">
        <w:rPr>
          <w:i/>
        </w:rPr>
        <w:t>SRB</w:t>
      </w:r>
      <w:r>
        <w:t xml:space="preserve"> notes on salvation, (Rom. 1:6, p. 1192); </w:t>
      </w:r>
    </w:p>
    <w:p w:rsidR="00975183" w:rsidRDefault="00975183" w:rsidP="006A2E06">
      <w:pPr>
        <w:pStyle w:val="EndnoteText"/>
      </w:pPr>
      <w:r>
        <w:t>divine righteousness</w:t>
      </w:r>
      <w:r w:rsidRPr="00287C60">
        <w:rPr>
          <w:szCs w:val="22"/>
        </w:rPr>
        <w:t xml:space="preserve"> </w:t>
      </w:r>
      <w:r>
        <w:rPr>
          <w:szCs w:val="22"/>
        </w:rPr>
        <w:t xml:space="preserve">(Rom. </w:t>
      </w:r>
      <w:r w:rsidRPr="00287C60">
        <w:rPr>
          <w:szCs w:val="22"/>
        </w:rPr>
        <w:t>3:21, p. 1194</w:t>
      </w:r>
      <w:r>
        <w:rPr>
          <w:szCs w:val="22"/>
        </w:rPr>
        <w:t xml:space="preserve">; </w:t>
      </w:r>
      <w:r w:rsidRPr="00287C60">
        <w:t>3:26, p. 1195</w:t>
      </w:r>
      <w:r>
        <w:t>)</w:t>
      </w:r>
      <w:r w:rsidRPr="00287C60">
        <w:t xml:space="preserve"> </w:t>
      </w:r>
    </w:p>
    <w:p w:rsidR="00975183" w:rsidRDefault="00975183" w:rsidP="006A2E06">
      <w:pPr>
        <w:pStyle w:val="EndnoteText"/>
      </w:pPr>
      <w:r>
        <w:t xml:space="preserve">imputed human righteousness given by God (Rom. </w:t>
      </w:r>
      <w:r w:rsidRPr="00287C60">
        <w:t>10:10, p. 1204</w:t>
      </w:r>
      <w:r>
        <w:t>)</w:t>
      </w:r>
      <w:r w:rsidRPr="00287C60">
        <w:t xml:space="preserve">; </w:t>
      </w:r>
    </w:p>
    <w:p w:rsidR="00975183" w:rsidRDefault="00975183" w:rsidP="006A2E06">
      <w:pPr>
        <w:pStyle w:val="EndnoteText"/>
      </w:pPr>
      <w:r w:rsidRPr="00287C60">
        <w:t>sin (</w:t>
      </w:r>
      <w:r>
        <w:t xml:space="preserve">Rom. </w:t>
      </w:r>
      <w:r w:rsidRPr="00287C60">
        <w:t>3:23, p. 1194; 5:12, p. 1197 [sin]; 5:14 [Adam, sin and death]</w:t>
      </w:r>
      <w:r>
        <w:t>;</w:t>
      </w:r>
      <w:r w:rsidRPr="00287C60">
        <w:t xml:space="preserve"> 5:21, p.1198 [sin and sins]);</w:t>
      </w:r>
      <w:r>
        <w:t xml:space="preserve"> </w:t>
      </w:r>
    </w:p>
    <w:p w:rsidR="00975183" w:rsidRDefault="00975183" w:rsidP="006A2E06">
      <w:pPr>
        <w:pStyle w:val="EndnoteText"/>
      </w:pPr>
      <w:r w:rsidRPr="00287C60">
        <w:t>redemption (</w:t>
      </w:r>
      <w:r>
        <w:t xml:space="preserve">Rom. </w:t>
      </w:r>
      <w:r w:rsidRPr="00287C60">
        <w:t xml:space="preserve">3:24, p. 1195; 8:2, p. 1200 [price </w:t>
      </w:r>
      <w:r>
        <w:t>and</w:t>
      </w:r>
      <w:r w:rsidRPr="00287C60">
        <w:t xml:space="preserve"> power</w:t>
      </w:r>
      <w:r>
        <w:t xml:space="preserve"> of redemption</w:t>
      </w:r>
      <w:r w:rsidRPr="00287C60">
        <w:t xml:space="preserve">]); </w:t>
      </w:r>
    </w:p>
    <w:p w:rsidR="00975183" w:rsidRDefault="00975183" w:rsidP="006A2E06">
      <w:pPr>
        <w:pStyle w:val="EndnoteText"/>
      </w:pPr>
      <w:r w:rsidRPr="00287C60">
        <w:t>propitiation (</w:t>
      </w:r>
      <w:r>
        <w:t xml:space="preserve">Rom. </w:t>
      </w:r>
      <w:r w:rsidRPr="00287C60">
        <w:t xml:space="preserve">3:25, p. 1195); </w:t>
      </w:r>
    </w:p>
    <w:p w:rsidR="00975183" w:rsidRDefault="00975183" w:rsidP="006A2E06">
      <w:pPr>
        <w:pStyle w:val="EndnoteText"/>
      </w:pPr>
      <w:r w:rsidRPr="00287C60">
        <w:t>justification (</w:t>
      </w:r>
      <w:r>
        <w:t xml:space="preserve">Rom. </w:t>
      </w:r>
      <w:r w:rsidRPr="00287C60">
        <w:t xml:space="preserve">3:28, p. 1195; 4:25, p. 1197); </w:t>
      </w:r>
    </w:p>
    <w:p w:rsidR="00975183" w:rsidRDefault="00975183" w:rsidP="006A2E06">
      <w:pPr>
        <w:pStyle w:val="EndnoteText"/>
      </w:pPr>
      <w:r>
        <w:t xml:space="preserve">the </w:t>
      </w:r>
      <w:r w:rsidRPr="00287C60">
        <w:t>‘old man’ (</w:t>
      </w:r>
      <w:r>
        <w:t xml:space="preserve">Rom. </w:t>
      </w:r>
      <w:r w:rsidRPr="00287C60">
        <w:t>6:6, p. 1198; 7:14, p. 2100 [natural versus spiritual</w:t>
      </w:r>
      <w:r>
        <w:t xml:space="preserve"> natures</w:t>
      </w:r>
      <w:r w:rsidRPr="00287C60">
        <w:t xml:space="preserve">]; 7:15, p. 1200 [Adamic </w:t>
      </w:r>
      <w:r>
        <w:t>and</w:t>
      </w:r>
      <w:r w:rsidRPr="00287C60">
        <w:t xml:space="preserve"> new</w:t>
      </w:r>
      <w:r>
        <w:t>, divine natures</w:t>
      </w:r>
      <w:r w:rsidRPr="00287C60">
        <w:t xml:space="preserve">]); </w:t>
      </w:r>
    </w:p>
    <w:p w:rsidR="00975183" w:rsidRDefault="00975183" w:rsidP="006A2E06">
      <w:pPr>
        <w:pStyle w:val="EndnoteText"/>
      </w:pPr>
      <w:r>
        <w:t xml:space="preserve">law, sin and </w:t>
      </w:r>
      <w:r w:rsidRPr="00287C60">
        <w:t xml:space="preserve">death </w:t>
      </w:r>
      <w:r>
        <w:t>versus Christ and life</w:t>
      </w:r>
      <w:r w:rsidRPr="00287C60">
        <w:t xml:space="preserve"> (</w:t>
      </w:r>
      <w:r>
        <w:t xml:space="preserve">Rom. </w:t>
      </w:r>
      <w:r w:rsidRPr="00287C60">
        <w:t xml:space="preserve">6:15, pp. 1198-9); </w:t>
      </w:r>
    </w:p>
    <w:p w:rsidR="00975183" w:rsidRDefault="00975183" w:rsidP="006A2E06">
      <w:pPr>
        <w:pStyle w:val="EndnoteText"/>
      </w:pPr>
      <w:r w:rsidRPr="00287C60">
        <w:t>letter and Spirit (</w:t>
      </w:r>
      <w:r>
        <w:t>Rom.</w:t>
      </w:r>
      <w:r w:rsidRPr="00287C60">
        <w:t xml:space="preserve">7:9, pp. 1199-1200); </w:t>
      </w:r>
    </w:p>
    <w:p w:rsidR="00975183" w:rsidRDefault="00975183" w:rsidP="006A2E06">
      <w:pPr>
        <w:pStyle w:val="EndnoteText"/>
      </w:pPr>
      <w:r>
        <w:t>the six</w:t>
      </w:r>
      <w:r w:rsidRPr="00287C60">
        <w:t xml:space="preserve"> laws in Rom</w:t>
      </w:r>
      <w:r>
        <w:t>ans</w:t>
      </w:r>
      <w:r w:rsidRPr="00287C60">
        <w:t xml:space="preserve"> (</w:t>
      </w:r>
      <w:r>
        <w:t xml:space="preserve">Rom. </w:t>
      </w:r>
      <w:r w:rsidRPr="00287C60">
        <w:t xml:space="preserve">7:21, p. 1200); </w:t>
      </w:r>
    </w:p>
    <w:p w:rsidR="00975183" w:rsidRPr="00287C60" w:rsidRDefault="00975183" w:rsidP="006A2E06">
      <w:pPr>
        <w:pStyle w:val="EndnoteText"/>
      </w:pPr>
      <w:proofErr w:type="gramStart"/>
      <w:r w:rsidRPr="00287C60">
        <w:t>self-r</w:t>
      </w:r>
      <w:r>
        <w:t>ighteousness</w:t>
      </w:r>
      <w:proofErr w:type="gramEnd"/>
      <w:r w:rsidRPr="00287C60">
        <w:t xml:space="preserve"> (</w:t>
      </w:r>
      <w:r>
        <w:t>Rom.</w:t>
      </w:r>
      <w:r w:rsidRPr="00287C60">
        <w:t>10:1, p. 1203)</w:t>
      </w:r>
      <w:r>
        <w:t>.</w:t>
      </w:r>
    </w:p>
  </w:endnote>
  <w:endnote w:id="3206">
    <w:p w:rsidR="00975183" w:rsidRDefault="00975183" w:rsidP="006A2E06">
      <w:pPr>
        <w:pStyle w:val="EndnoteText"/>
      </w:pPr>
      <w:r w:rsidRPr="00EF01A4">
        <w:rPr>
          <w:rStyle w:val="EndnoteReference"/>
        </w:rPr>
        <w:endnoteRef/>
      </w:r>
      <w:r w:rsidRPr="00EF01A4">
        <w:t xml:space="preserve"> </w:t>
      </w:r>
      <w:r>
        <w:t xml:space="preserve">For example, </w:t>
      </w:r>
      <w:r w:rsidRPr="00EF01A4">
        <w:rPr>
          <w:i/>
        </w:rPr>
        <w:t xml:space="preserve">SRB </w:t>
      </w:r>
      <w:r>
        <w:t xml:space="preserve">notes on the believer’s position (1 Cor. 1:1, p. 1211); </w:t>
      </w:r>
    </w:p>
    <w:p w:rsidR="00975183" w:rsidRDefault="00975183" w:rsidP="006A2E06">
      <w:pPr>
        <w:pStyle w:val="EndnoteText"/>
      </w:pPr>
      <w:r>
        <w:t xml:space="preserve">salvation and rewards (1 Cor. 3:14, p. 1214); </w:t>
      </w:r>
    </w:p>
    <w:p w:rsidR="00975183" w:rsidRDefault="00975183" w:rsidP="006A2E06">
      <w:pPr>
        <w:pStyle w:val="EndnoteText"/>
      </w:pPr>
      <w:r>
        <w:t xml:space="preserve">self-judgment (1 Cor. 11:31, p. 1222); </w:t>
      </w:r>
    </w:p>
    <w:p w:rsidR="00975183" w:rsidRDefault="00975183" w:rsidP="006A2E06">
      <w:pPr>
        <w:pStyle w:val="EndnoteText"/>
      </w:pPr>
      <w:r>
        <w:t xml:space="preserve">spiritual gifts (1 Cor. 12:1, p. 1222; Eph. 4:11, p. 1253); </w:t>
      </w:r>
    </w:p>
    <w:p w:rsidR="00975183" w:rsidRDefault="00975183" w:rsidP="006A2E06">
      <w:pPr>
        <w:pStyle w:val="EndnoteText"/>
      </w:pPr>
      <w:r>
        <w:t xml:space="preserve">love (1 Cor. 12:31, p. 1223); </w:t>
      </w:r>
    </w:p>
    <w:p w:rsidR="00975183" w:rsidRDefault="00975183" w:rsidP="006A2E06">
      <w:pPr>
        <w:pStyle w:val="EndnoteText"/>
      </w:pPr>
      <w:r>
        <w:t xml:space="preserve">resurrection (1 Cor. 15:52, p. 1228; </w:t>
      </w:r>
    </w:p>
    <w:p w:rsidR="00975183" w:rsidRDefault="00975183" w:rsidP="006A2E06">
      <w:pPr>
        <w:pStyle w:val="EndnoteText"/>
      </w:pPr>
      <w:r>
        <w:t xml:space="preserve">the purpose of the law (Gal. 3:19, p. 1244); </w:t>
      </w:r>
    </w:p>
    <w:p w:rsidR="00975183" w:rsidRDefault="00975183" w:rsidP="006A2E06">
      <w:pPr>
        <w:pStyle w:val="EndnoteText"/>
      </w:pPr>
      <w:r>
        <w:t xml:space="preserve">the believer’s relationship to the law (Gal. 4:19, p. 1246); </w:t>
      </w:r>
    </w:p>
    <w:p w:rsidR="00975183" w:rsidRDefault="00975183" w:rsidP="006A2E06">
      <w:pPr>
        <w:pStyle w:val="EndnoteText"/>
      </w:pPr>
      <w:r>
        <w:t xml:space="preserve">the fruits of the Spirit (Gal. 5:22, p. 1247); </w:t>
      </w:r>
    </w:p>
    <w:p w:rsidR="00975183" w:rsidRDefault="00975183" w:rsidP="006A2E06">
      <w:pPr>
        <w:pStyle w:val="EndnoteText"/>
      </w:pPr>
      <w:r>
        <w:t xml:space="preserve">the believer (Eph. 1:1, p. 1249); </w:t>
      </w:r>
    </w:p>
    <w:p w:rsidR="00975183" w:rsidRDefault="00975183" w:rsidP="006A2E06">
      <w:pPr>
        <w:pStyle w:val="EndnoteText"/>
      </w:pPr>
      <w:r>
        <w:t xml:space="preserve">predestination, and adoption (Eph. 1:5, p. 1250); </w:t>
      </w:r>
    </w:p>
    <w:p w:rsidR="00975183" w:rsidRDefault="00975183" w:rsidP="006A2E06">
      <w:pPr>
        <w:pStyle w:val="EndnoteText"/>
      </w:pPr>
      <w:r>
        <w:t xml:space="preserve">spiritual death (Eph. 2:15, p. 1251); </w:t>
      </w:r>
    </w:p>
    <w:p w:rsidR="00975183" w:rsidRDefault="00975183" w:rsidP="006A2E06">
      <w:pPr>
        <w:pStyle w:val="EndnoteText"/>
      </w:pPr>
      <w:r>
        <w:t xml:space="preserve">the meaning of Christ’s being ‘in the form of God’ (Phil. 2:6, p. 1258); </w:t>
      </w:r>
    </w:p>
    <w:p w:rsidR="00975183" w:rsidRDefault="00975183" w:rsidP="006A2E06">
      <w:pPr>
        <w:pStyle w:val="EndnoteText"/>
      </w:pPr>
      <w:r>
        <w:t xml:space="preserve">reconciliation (Col. 1:21, p. 1:21, p. 1263); </w:t>
      </w:r>
    </w:p>
    <w:p w:rsidR="00975183" w:rsidRDefault="00975183" w:rsidP="006A2E06">
      <w:pPr>
        <w:pStyle w:val="EndnoteText"/>
      </w:pPr>
      <w:r>
        <w:t xml:space="preserve">the fullness of the Godhead (Col. 2:2, p. 1263); </w:t>
      </w:r>
    </w:p>
    <w:p w:rsidR="00975183" w:rsidRDefault="00975183" w:rsidP="006A2E06">
      <w:pPr>
        <w:pStyle w:val="EndnoteText"/>
      </w:pPr>
      <w:r>
        <w:t xml:space="preserve">the tripartite nature of man (1 Thess. 5:23, p. 1270) </w:t>
      </w:r>
    </w:p>
    <w:p w:rsidR="00975183" w:rsidRPr="00EF01A4" w:rsidRDefault="00975183" w:rsidP="006A2E06">
      <w:pPr>
        <w:pStyle w:val="EndnoteText"/>
      </w:pPr>
      <w:proofErr w:type="gramStart"/>
      <w:r>
        <w:t>Philemon as an example of imputation (Phm v. 18).</w:t>
      </w:r>
      <w:proofErr w:type="gramEnd"/>
      <w:r>
        <w:t xml:space="preserve">  </w:t>
      </w:r>
      <w:r w:rsidRPr="00E16C52">
        <w:rPr>
          <w:b/>
        </w:rPr>
        <w:t>See 2.4</w:t>
      </w:r>
      <w:r>
        <w:t>.</w:t>
      </w:r>
    </w:p>
  </w:endnote>
  <w:endnote w:id="3207">
    <w:p w:rsidR="00975183" w:rsidRPr="00EF01A4" w:rsidRDefault="00975183" w:rsidP="006A2E06">
      <w:pPr>
        <w:pStyle w:val="EndnoteText"/>
      </w:pPr>
      <w:r w:rsidRPr="00EF01A4">
        <w:rPr>
          <w:rStyle w:val="EndnoteReference"/>
        </w:rPr>
        <w:endnoteRef/>
      </w:r>
      <w:r w:rsidRPr="00EF01A4">
        <w:t xml:space="preserve"> </w:t>
      </w:r>
      <w:r w:rsidRPr="00BB3403">
        <w:rPr>
          <w:i/>
        </w:rPr>
        <w:t>SRB</w:t>
      </w:r>
      <w:r>
        <w:t xml:space="preserve"> note on Rom. 11:5, p. 1205,</w:t>
      </w:r>
    </w:p>
  </w:endnote>
  <w:endnote w:id="3208">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1 Cor. 15:52, p. 1228.</w:t>
      </w:r>
    </w:p>
  </w:endnote>
  <w:endnote w:id="3209">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Eph. 1:5, p. 1250.</w:t>
      </w:r>
    </w:p>
  </w:endnote>
  <w:endnote w:id="3210">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Rom. 11:5, p. 1205.</w:t>
      </w:r>
    </w:p>
  </w:endnote>
  <w:endnote w:id="3211">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notes on Eph. 1:3, p. 1249; Eph. 1:10, p. 1250.</w:t>
      </w:r>
    </w:p>
  </w:endnote>
  <w:endnote w:id="3212">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Eph. 1:10, p. 1250.</w:t>
      </w:r>
    </w:p>
  </w:endnote>
  <w:endnote w:id="3213">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1 Cor. 15:22, p. 1226.</w:t>
      </w:r>
    </w:p>
  </w:endnote>
  <w:endnote w:id="3214">
    <w:p w:rsidR="00975183" w:rsidRDefault="00975183" w:rsidP="006A2E06">
      <w:pPr>
        <w:pStyle w:val="EndnoteText"/>
      </w:pPr>
      <w:r w:rsidRPr="00EF01A4">
        <w:rPr>
          <w:rStyle w:val="EndnoteReference"/>
        </w:rPr>
        <w:endnoteRef/>
      </w:r>
      <w:r w:rsidRPr="00EF01A4">
        <w:t xml:space="preserve"> </w:t>
      </w:r>
      <w:r w:rsidRPr="00BB3403">
        <w:rPr>
          <w:i/>
        </w:rPr>
        <w:t>SRB</w:t>
      </w:r>
      <w:r>
        <w:t xml:space="preserve"> note on Eph. 2:15, p. 1251.</w:t>
      </w:r>
    </w:p>
  </w:endnote>
  <w:endnote w:id="3215">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the Jewish-Christian Epistles, p. 128</w:t>
      </w:r>
      <w:r>
        <w:t>9</w:t>
      </w:r>
      <w:r w:rsidRPr="005D00B9">
        <w:rPr>
          <w:b/>
        </w:rPr>
        <w:t>.</w:t>
      </w:r>
    </w:p>
  </w:endnote>
  <w:endnote w:id="321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the Jewish-Chr</w:t>
      </w:r>
      <w:r>
        <w:t>istian Epistles, p. 1283.  Refs</w:t>
      </w:r>
      <w:r w:rsidRPr="005D00B9">
        <w:t xml:space="preserve"> to ‘characteristic contrasts between </w:t>
      </w:r>
    </w:p>
    <w:p w:rsidR="00975183" w:rsidRDefault="00975183" w:rsidP="006A2E06">
      <w:pPr>
        <w:pStyle w:val="EndnoteText"/>
      </w:pPr>
      <w:r w:rsidRPr="005D00B9">
        <w:t>Heb. 6:4-6</w:t>
      </w:r>
      <w:r>
        <w:t xml:space="preserve"> and </w:t>
      </w:r>
      <w:r w:rsidRPr="005D00B9">
        <w:t>Rom. 8:29-30; 2 Pet. 1:10</w:t>
      </w:r>
      <w:r>
        <w:t xml:space="preserve"> and </w:t>
      </w:r>
      <w:r w:rsidRPr="005D00B9">
        <w:t>Phil. 1:6</w:t>
      </w:r>
      <w:r>
        <w:t>’</w:t>
      </w:r>
      <w:r w:rsidRPr="005D00B9">
        <w:t xml:space="preserve">.  </w:t>
      </w:r>
      <w:proofErr w:type="gramStart"/>
      <w:r w:rsidRPr="005D00B9">
        <w:t xml:space="preserve">cf Matthew 13 </w:t>
      </w:r>
      <w:r w:rsidRPr="00012B96">
        <w:rPr>
          <w:sz w:val="16"/>
          <w:szCs w:val="24"/>
        </w:rPr>
        <w:t>—</w:t>
      </w:r>
      <w:r>
        <w:t xml:space="preserve"> </w:t>
      </w:r>
      <w:r w:rsidRPr="005D00B9">
        <w:t>23; Acts 2</w:t>
      </w:r>
      <w:r>
        <w:t xml:space="preserve"> -</w:t>
      </w:r>
      <w:r w:rsidRPr="005D00B9">
        <w:t xml:space="preserve"> 9.</w:t>
      </w:r>
      <w:proofErr w:type="gramEnd"/>
    </w:p>
  </w:endnote>
  <w:endnote w:id="321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 the Jewish-Christian Epistles, p. 128</w:t>
      </w:r>
      <w:r>
        <w:t>9</w:t>
      </w:r>
      <w:r w:rsidRPr="005D00B9">
        <w:rPr>
          <w:b/>
        </w:rPr>
        <w:t xml:space="preserve">.  </w:t>
      </w:r>
      <w:r w:rsidRPr="005D00B9">
        <w:t>Ref. Mt. 13:24-30.</w:t>
      </w:r>
    </w:p>
  </w:endnote>
  <w:endnote w:id="3218">
    <w:p w:rsidR="00975183" w:rsidRPr="00BB3403" w:rsidRDefault="00975183" w:rsidP="006A2E06">
      <w:pPr>
        <w:pStyle w:val="EndnoteText"/>
      </w:pPr>
      <w:r w:rsidRPr="005D00B9">
        <w:rPr>
          <w:rStyle w:val="FootnoteReference"/>
        </w:rPr>
        <w:endnoteRef/>
      </w:r>
      <w:r w:rsidRPr="005D00B9">
        <w:t xml:space="preserve"> </w:t>
      </w:r>
      <w:r w:rsidRPr="005D00B9">
        <w:rPr>
          <w:i/>
        </w:rPr>
        <w:t>SRB</w:t>
      </w:r>
      <w:r w:rsidRPr="005D00B9">
        <w:t xml:space="preserve"> </w:t>
      </w:r>
      <w:r>
        <w:t>I</w:t>
      </w:r>
      <w:r w:rsidRPr="005D00B9">
        <w:t>ntroduction to</w:t>
      </w:r>
      <w:r>
        <w:t xml:space="preserve"> Hebrews, </w:t>
      </w:r>
      <w:r w:rsidRPr="00BB3403">
        <w:t xml:space="preserve">p. 1291.  ‘The whole sphere of Christian profession is before the writer; hence exhortations necessary to warn and alarm a mere professor.’  </w:t>
      </w:r>
    </w:p>
  </w:endnote>
  <w:endnote w:id="3219">
    <w:p w:rsidR="00975183" w:rsidRPr="00BB3403" w:rsidRDefault="00975183" w:rsidP="006A2E06">
      <w:pPr>
        <w:pStyle w:val="EndnoteText"/>
      </w:pPr>
      <w:r w:rsidRPr="00BB3403">
        <w:rPr>
          <w:rStyle w:val="EndnoteReference"/>
        </w:rPr>
        <w:endnoteRef/>
      </w:r>
      <w:r w:rsidRPr="00BB3403">
        <w:t xml:space="preserve"> </w:t>
      </w:r>
      <w:r w:rsidRPr="00BB3403">
        <w:rPr>
          <w:i/>
        </w:rPr>
        <w:t>SRB</w:t>
      </w:r>
      <w:r>
        <w:t xml:space="preserve"> Introductions to the Jewish-Christian Epistles, p. 1289 and to Hebrews, p.1291.</w:t>
      </w:r>
    </w:p>
  </w:endnote>
  <w:endnote w:id="3220">
    <w:p w:rsidR="00975183" w:rsidRPr="00BB3403" w:rsidRDefault="00975183" w:rsidP="006A2E06">
      <w:pPr>
        <w:pStyle w:val="EndnoteText"/>
      </w:pPr>
      <w:r w:rsidRPr="00BB3403">
        <w:rPr>
          <w:rStyle w:val="EndnoteReference"/>
        </w:rPr>
        <w:endnoteRef/>
      </w:r>
      <w:r w:rsidRPr="00BB3403">
        <w:t xml:space="preserve"> </w:t>
      </w:r>
      <w:r w:rsidRPr="00BB3403">
        <w:rPr>
          <w:i/>
        </w:rPr>
        <w:t>SRB</w:t>
      </w:r>
      <w:r>
        <w:t xml:space="preserve"> note on Heb. 6:4, p. 1295.</w:t>
      </w:r>
    </w:p>
  </w:endnote>
  <w:endnote w:id="3221">
    <w:p w:rsidR="00975183" w:rsidRDefault="00975183" w:rsidP="006A2E06">
      <w:pPr>
        <w:pStyle w:val="EndnoteText"/>
      </w:pPr>
      <w:r w:rsidRPr="00253079">
        <w:rPr>
          <w:rStyle w:val="FootnoteReference"/>
        </w:rPr>
        <w:endnoteRef/>
      </w:r>
      <w:r w:rsidRPr="00253079">
        <w:t xml:space="preserve"> </w:t>
      </w:r>
      <w:r w:rsidRPr="00253079">
        <w:rPr>
          <w:i/>
        </w:rPr>
        <w:t>SRB</w:t>
      </w:r>
      <w:r w:rsidRPr="00253079">
        <w:t xml:space="preserve"> note</w:t>
      </w:r>
      <w:r>
        <w:t>s</w:t>
      </w:r>
      <w:r w:rsidRPr="00253079">
        <w:t xml:space="preserve"> on Heb. 1:4, p. 1291-2</w:t>
      </w:r>
      <w:r>
        <w:t xml:space="preserve"> and 8:8, pp. 1297-8.  </w:t>
      </w:r>
    </w:p>
  </w:endnote>
  <w:endnote w:id="3222">
    <w:p w:rsidR="00975183" w:rsidRPr="006329CD" w:rsidRDefault="00975183" w:rsidP="006A2E06">
      <w:pPr>
        <w:pStyle w:val="EndnoteText"/>
      </w:pPr>
      <w:r w:rsidRPr="006329CD">
        <w:rPr>
          <w:rStyle w:val="EndnoteReference"/>
        </w:rPr>
        <w:endnoteRef/>
      </w:r>
      <w:r w:rsidRPr="006329CD">
        <w:t xml:space="preserve"> </w:t>
      </w:r>
      <w:proofErr w:type="gramStart"/>
      <w:r w:rsidRPr="006329CD">
        <w:t>Hebrews 5, 6, 9, 10, 11 and 12.</w:t>
      </w:r>
      <w:proofErr w:type="gramEnd"/>
    </w:p>
  </w:endnote>
  <w:endnote w:id="322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Hebrews 2, 3, 4, 7 and 13.</w:t>
      </w:r>
      <w:proofErr w:type="gramEnd"/>
    </w:p>
  </w:endnote>
  <w:endnote w:id="322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5:6; 6:4; 9:27; 11:39 and 12:23.</w:t>
      </w:r>
    </w:p>
  </w:endnote>
  <w:endnote w:id="322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Heb. 10:5 and 18.</w:t>
      </w:r>
      <w:proofErr w:type="gramEnd"/>
    </w:p>
  </w:endnote>
  <w:endnote w:id="322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Hebrews, p. 1291.  </w:t>
      </w:r>
    </w:p>
  </w:endnote>
  <w:endnote w:id="322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Hebrews, p. 1291, </w:t>
      </w:r>
      <w:r w:rsidRPr="00D03D19">
        <w:t xml:space="preserve">cf </w:t>
      </w:r>
      <w:r w:rsidRPr="005D00B9">
        <w:t>Heb. 13:23.</w:t>
      </w:r>
    </w:p>
  </w:endnote>
  <w:endnote w:id="3228">
    <w:p w:rsidR="00975183" w:rsidRDefault="00975183" w:rsidP="006A2E06">
      <w:pPr>
        <w:pStyle w:val="EndnoteText"/>
      </w:pPr>
      <w:r w:rsidRPr="005D00B9">
        <w:rPr>
          <w:rStyle w:val="FootnoteReference"/>
        </w:rPr>
        <w:endnoteRef/>
      </w:r>
      <w:r w:rsidRPr="005D00B9">
        <w:t xml:space="preserve"> </w:t>
      </w:r>
      <w:proofErr w:type="gramStart"/>
      <w:r>
        <w:t xml:space="preserve">cf </w:t>
      </w:r>
      <w:r w:rsidRPr="00D03D19">
        <w:rPr>
          <w:i/>
        </w:rPr>
        <w:t>SRB</w:t>
      </w:r>
      <w:r>
        <w:t xml:space="preserve"> note on </w:t>
      </w:r>
      <w:r w:rsidRPr="005D00B9">
        <w:t>Rev. 22:19, p. 1353</w:t>
      </w:r>
      <w:r>
        <w:t xml:space="preserve">, where Scofield asserts </w:t>
      </w:r>
      <w:r w:rsidRPr="005D00B9">
        <w:t>‘the t</w:t>
      </w:r>
      <w:r>
        <w:t>estimony of the Bible to itself’.</w:t>
      </w:r>
      <w:proofErr w:type="gramEnd"/>
    </w:p>
  </w:endnote>
  <w:endnote w:id="322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Hebrews, p. 1291.  Ref. Acts 21:18-24).</w:t>
      </w:r>
    </w:p>
  </w:endnote>
  <w:endnote w:id="3230">
    <w:p w:rsidR="00975183" w:rsidRDefault="00975183" w:rsidP="006A2E06">
      <w:pPr>
        <w:pStyle w:val="EndnoteText"/>
        <w:rPr>
          <w:color w:val="000000"/>
        </w:rPr>
      </w:pPr>
      <w:r w:rsidRPr="005D00B9">
        <w:rPr>
          <w:rStyle w:val="FootnoteReference"/>
        </w:rPr>
        <w:endnoteRef/>
      </w:r>
      <w:r w:rsidRPr="005D00B9">
        <w:t xml:space="preserve"> </w:t>
      </w:r>
      <w:r w:rsidRPr="005D00B9">
        <w:rPr>
          <w:i/>
        </w:rPr>
        <w:t>SRB</w:t>
      </w:r>
      <w:r w:rsidRPr="005D00B9">
        <w:t xml:space="preserve"> Introduction to Hebrews, p. 1291.  Scofield</w:t>
      </w:r>
      <w:r>
        <w:t xml:space="preserve"> claims that</w:t>
      </w:r>
      <w:r w:rsidRPr="005D00B9">
        <w:t xml:space="preserve"> five ‘parenthetic exhortations’ in Hebrews are to be found in Heb. 2:1-4; 3:1-4;16; 5:11</w:t>
      </w:r>
      <w:r>
        <w:t xml:space="preserve"> </w:t>
      </w:r>
      <w:r w:rsidRPr="00012B96">
        <w:rPr>
          <w:sz w:val="16"/>
          <w:szCs w:val="24"/>
        </w:rPr>
        <w:t>—</w:t>
      </w:r>
      <w:r>
        <w:rPr>
          <w:sz w:val="16"/>
          <w:szCs w:val="24"/>
        </w:rPr>
        <w:t xml:space="preserve"> </w:t>
      </w:r>
      <w:r w:rsidRPr="005D00B9">
        <w:t>6:12; 10:26-39; 12:3-17, within the 6 divisions</w:t>
      </w:r>
      <w:r>
        <w:t xml:space="preserve"> into which he divides Hebrews</w:t>
      </w:r>
      <w:r w:rsidRPr="005D00B9">
        <w:t xml:space="preserve">: </w:t>
      </w:r>
      <w:r>
        <w:rPr>
          <w:color w:val="000000"/>
        </w:rPr>
        <w:t>t</w:t>
      </w:r>
      <w:r w:rsidRPr="005D00B9">
        <w:rPr>
          <w:color w:val="000000"/>
        </w:rPr>
        <w:t>he great salvation (1:1</w:t>
      </w:r>
      <w:r>
        <w:rPr>
          <w:color w:val="000000"/>
        </w:rPr>
        <w:t xml:space="preserve"> </w:t>
      </w:r>
      <w:r w:rsidRPr="00012B96">
        <w:rPr>
          <w:sz w:val="16"/>
          <w:szCs w:val="24"/>
        </w:rPr>
        <w:t>—</w:t>
      </w:r>
      <w:r>
        <w:rPr>
          <w:color w:val="000000"/>
        </w:rPr>
        <w:t xml:space="preserve"> </w:t>
      </w:r>
      <w:r w:rsidRPr="005D00B9">
        <w:rPr>
          <w:color w:val="000000"/>
        </w:rPr>
        <w:t xml:space="preserve">2:18); the rest of God (3:1 </w:t>
      </w:r>
      <w:r w:rsidRPr="00012B96">
        <w:rPr>
          <w:sz w:val="16"/>
          <w:szCs w:val="24"/>
        </w:rPr>
        <w:t>—</w:t>
      </w:r>
      <w:r>
        <w:rPr>
          <w:color w:val="000000"/>
        </w:rPr>
        <w:t xml:space="preserve"> </w:t>
      </w:r>
      <w:r w:rsidRPr="005D00B9">
        <w:rPr>
          <w:color w:val="000000"/>
        </w:rPr>
        <w:t xml:space="preserve">4:16); our great High Priest (5:1 </w:t>
      </w:r>
      <w:r w:rsidRPr="00012B96">
        <w:rPr>
          <w:sz w:val="16"/>
          <w:szCs w:val="24"/>
        </w:rPr>
        <w:t>—</w:t>
      </w:r>
      <w:r>
        <w:rPr>
          <w:color w:val="000000"/>
        </w:rPr>
        <w:t xml:space="preserve"> </w:t>
      </w:r>
      <w:r w:rsidRPr="005D00B9">
        <w:rPr>
          <w:color w:val="000000"/>
        </w:rPr>
        <w:t xml:space="preserve">8:6) the new covenant and the heavenly sanctuary (8:7 – 10:39); the superiority of the faith-way (11:1-40); and the worship and walk of the believer-priest (12:1 </w:t>
      </w:r>
      <w:r w:rsidRPr="00012B96">
        <w:rPr>
          <w:sz w:val="16"/>
          <w:szCs w:val="24"/>
        </w:rPr>
        <w:t>—</w:t>
      </w:r>
      <w:r>
        <w:rPr>
          <w:color w:val="000000"/>
        </w:rPr>
        <w:t xml:space="preserve"> </w:t>
      </w:r>
      <w:r w:rsidRPr="005D00B9">
        <w:rPr>
          <w:color w:val="000000"/>
        </w:rPr>
        <w:t xml:space="preserve">13:25).  The ‘parenthetic’ sections are indicated in subheads interpolated within the text of Hebrews.  Once these sections are isolated, the remaining passages are: chapter 1; 2:5-18; 5:1-10; </w:t>
      </w:r>
    </w:p>
    <w:p w:rsidR="00975183" w:rsidRDefault="00975183" w:rsidP="006A2E06">
      <w:pPr>
        <w:pStyle w:val="EndnoteText"/>
      </w:pPr>
      <w:r w:rsidRPr="005D00B9">
        <w:rPr>
          <w:color w:val="000000"/>
        </w:rPr>
        <w:t>6:13-20; chapters 7, 8 9; 10:1-25; chapter 11; 12:1-2; 18-29; chapter 13.</w:t>
      </w:r>
    </w:p>
  </w:endnote>
  <w:endnote w:id="3231">
    <w:p w:rsidR="00975183" w:rsidRPr="002F534C" w:rsidRDefault="00975183" w:rsidP="006A2E06">
      <w:pPr>
        <w:pStyle w:val="EndnoteText"/>
      </w:pPr>
      <w:r w:rsidRPr="002F534C">
        <w:rPr>
          <w:rStyle w:val="EndnoteReference"/>
        </w:rPr>
        <w:endnoteRef/>
      </w:r>
      <w:r w:rsidRPr="002F534C">
        <w:t xml:space="preserve"> </w:t>
      </w:r>
      <w:r w:rsidRPr="002F534C">
        <w:rPr>
          <w:i/>
        </w:rPr>
        <w:t>SRB</w:t>
      </w:r>
      <w:r>
        <w:t xml:space="preserve"> note on Heb. 1:4, pp. 1291-2.</w:t>
      </w:r>
    </w:p>
  </w:endnote>
  <w:endnote w:id="3232">
    <w:p w:rsidR="00975183" w:rsidRPr="00547013" w:rsidRDefault="00975183" w:rsidP="006A2E06">
      <w:pPr>
        <w:pStyle w:val="EndnoteText"/>
      </w:pPr>
      <w:r w:rsidRPr="00547013">
        <w:rPr>
          <w:rStyle w:val="EndnoteReference"/>
        </w:rPr>
        <w:endnoteRef/>
      </w:r>
      <w:r w:rsidRPr="00547013">
        <w:t xml:space="preserve"> </w:t>
      </w:r>
      <w:r>
        <w:t>Refs Lk. 7:24; Jas 2:25.</w:t>
      </w:r>
    </w:p>
  </w:endnote>
  <w:endnote w:id="3233">
    <w:p w:rsidR="00975183" w:rsidRPr="005E5E80" w:rsidRDefault="00975183" w:rsidP="006A2E06">
      <w:pPr>
        <w:pStyle w:val="EndnoteText"/>
      </w:pPr>
      <w:r w:rsidRPr="005E5E80">
        <w:rPr>
          <w:rStyle w:val="EndnoteReference"/>
        </w:rPr>
        <w:endnoteRef/>
      </w:r>
      <w:r w:rsidRPr="005E5E80">
        <w:t xml:space="preserve"> Refs Dan. 10:13, 20, 21; 11:1; 12:1</w:t>
      </w:r>
      <w:r>
        <w:t>.</w:t>
      </w:r>
    </w:p>
  </w:endnote>
  <w:endnote w:id="3234">
    <w:p w:rsidR="00975183" w:rsidRPr="005E5E80" w:rsidRDefault="00975183" w:rsidP="006A2E06">
      <w:pPr>
        <w:pStyle w:val="EndnoteText"/>
      </w:pPr>
      <w:r w:rsidRPr="005E5E80">
        <w:rPr>
          <w:rStyle w:val="EndnoteReference"/>
        </w:rPr>
        <w:endnoteRef/>
      </w:r>
      <w:r w:rsidRPr="005E5E80">
        <w:t xml:space="preserve"> </w:t>
      </w:r>
      <w:r w:rsidRPr="007B4F6A">
        <w:t>J. Massyngberde Ford</w:t>
      </w:r>
      <w:r>
        <w:t xml:space="preserve">, </w:t>
      </w:r>
      <w:proofErr w:type="gramStart"/>
      <w:r w:rsidRPr="007B4F6A">
        <w:rPr>
          <w:i/>
        </w:rPr>
        <w:t>The</w:t>
      </w:r>
      <w:proofErr w:type="gramEnd"/>
      <w:r w:rsidRPr="007B4F6A">
        <w:rPr>
          <w:i/>
        </w:rPr>
        <w:t xml:space="preserve"> Anchor Bible, Revelation</w:t>
      </w:r>
      <w:r w:rsidRPr="005E5E80">
        <w:t>, p. 386.</w:t>
      </w:r>
    </w:p>
  </w:endnote>
  <w:endnote w:id="3235">
    <w:p w:rsidR="00975183" w:rsidRDefault="00975183" w:rsidP="006A2E06">
      <w:pPr>
        <w:pStyle w:val="EndnoteText"/>
      </w:pPr>
      <w:r w:rsidRPr="006329CD">
        <w:rPr>
          <w:rStyle w:val="EndnoteReference"/>
          <w:szCs w:val="18"/>
        </w:rPr>
        <w:endnoteRef/>
      </w:r>
      <w:r w:rsidRPr="006329CD">
        <w:rPr>
          <w:szCs w:val="18"/>
        </w:rPr>
        <w:t xml:space="preserve"> </w:t>
      </w:r>
      <w:r w:rsidRPr="00547013">
        <w:rPr>
          <w:i/>
          <w:szCs w:val="18"/>
        </w:rPr>
        <w:t>SRB</w:t>
      </w:r>
      <w:r w:rsidRPr="006329CD">
        <w:rPr>
          <w:szCs w:val="18"/>
        </w:rPr>
        <w:t xml:space="preserve"> note on Heb. 1:4, p. 1292.  </w:t>
      </w:r>
    </w:p>
  </w:endnote>
  <w:endnote w:id="3236">
    <w:p w:rsidR="00975183" w:rsidRPr="00027690" w:rsidRDefault="00975183" w:rsidP="006A2E06">
      <w:pPr>
        <w:pStyle w:val="EndnoteText"/>
      </w:pPr>
      <w:r w:rsidRPr="00027690">
        <w:rPr>
          <w:rStyle w:val="EndnoteReference"/>
        </w:rPr>
        <w:endnoteRef/>
      </w:r>
      <w:r w:rsidRPr="00027690">
        <w:t xml:space="preserve"> </w:t>
      </w:r>
      <w:r>
        <w:t xml:space="preserve">Refs </w:t>
      </w:r>
      <w:r w:rsidRPr="00B46BAA">
        <w:t>Mt. 26:53; Heb. 12:22; Rev. 5:11; Ps. 68:17</w:t>
      </w:r>
      <w:r>
        <w:t>.</w:t>
      </w:r>
    </w:p>
  </w:endnote>
  <w:endnote w:id="3237">
    <w:p w:rsidR="00975183" w:rsidRPr="00027690" w:rsidRDefault="00975183" w:rsidP="006A2E06">
      <w:pPr>
        <w:pStyle w:val="EndnoteText"/>
      </w:pPr>
      <w:r w:rsidRPr="00027690">
        <w:rPr>
          <w:rStyle w:val="EndnoteReference"/>
        </w:rPr>
        <w:endnoteRef/>
      </w:r>
      <w:r w:rsidRPr="00027690">
        <w:t xml:space="preserve"> </w:t>
      </w:r>
      <w:r>
        <w:t xml:space="preserve">Ref. </w:t>
      </w:r>
      <w:r w:rsidRPr="00B46BAA">
        <w:t>2 Kgs 19:35</w:t>
      </w:r>
      <w:r>
        <w:t>.</w:t>
      </w:r>
    </w:p>
  </w:endnote>
  <w:endnote w:id="3238">
    <w:p w:rsidR="00975183" w:rsidRPr="00027690" w:rsidRDefault="00975183" w:rsidP="006A2E06">
      <w:pPr>
        <w:pStyle w:val="EndnoteText"/>
      </w:pPr>
      <w:r w:rsidRPr="00027690">
        <w:rPr>
          <w:rStyle w:val="EndnoteReference"/>
        </w:rPr>
        <w:endnoteRef/>
      </w:r>
      <w:r w:rsidRPr="00027690">
        <w:t xml:space="preserve"> </w:t>
      </w:r>
      <w:r>
        <w:t xml:space="preserve">Refs </w:t>
      </w:r>
      <w:r w:rsidRPr="00B46BAA">
        <w:t>Rev. 5:11; 7:11</w:t>
      </w:r>
      <w:r>
        <w:t>.</w:t>
      </w:r>
    </w:p>
  </w:endnote>
  <w:endnote w:id="3239">
    <w:p w:rsidR="00975183" w:rsidRPr="00027690" w:rsidRDefault="00975183" w:rsidP="006A2E06">
      <w:pPr>
        <w:pStyle w:val="EndnoteText"/>
      </w:pPr>
      <w:r w:rsidRPr="00027690">
        <w:rPr>
          <w:rStyle w:val="EndnoteReference"/>
        </w:rPr>
        <w:endnoteRef/>
      </w:r>
      <w:r w:rsidRPr="00027690">
        <w:t xml:space="preserve"> </w:t>
      </w:r>
      <w:r>
        <w:t xml:space="preserve">Refs </w:t>
      </w:r>
      <w:r w:rsidRPr="00027690">
        <w:t xml:space="preserve">1 Kgs 19:5; Ps. 34:7; 91:11; Dan. 6:22; Mt. 2:13, 19; 4:11; Lk. 22:43; Acts 5:19; 12:7-10.  </w:t>
      </w:r>
      <w:proofErr w:type="gramStart"/>
      <w:r w:rsidRPr="00027690">
        <w:t>(</w:t>
      </w:r>
      <w:r w:rsidRPr="00027690">
        <w:rPr>
          <w:i/>
        </w:rPr>
        <w:t>Scofield’s emphasis</w:t>
      </w:r>
      <w:r w:rsidRPr="00027690">
        <w:t>.)</w:t>
      </w:r>
      <w:proofErr w:type="gramEnd"/>
    </w:p>
  </w:endnote>
  <w:endnote w:id="3240">
    <w:p w:rsidR="00975183" w:rsidRPr="00027690" w:rsidRDefault="00975183" w:rsidP="006A2E06">
      <w:pPr>
        <w:pStyle w:val="EndnoteText"/>
      </w:pPr>
      <w:r w:rsidRPr="00027690">
        <w:rPr>
          <w:rStyle w:val="EndnoteReference"/>
        </w:rPr>
        <w:endnoteRef/>
      </w:r>
      <w:r w:rsidRPr="00027690">
        <w:t xml:space="preserve"> </w:t>
      </w:r>
      <w:r>
        <w:t xml:space="preserve">Refs </w:t>
      </w:r>
      <w:r w:rsidRPr="00B46BAA">
        <w:t>Heb. 1:14</w:t>
      </w:r>
      <w:r>
        <w:t>;</w:t>
      </w:r>
      <w:r w:rsidRPr="00B46BAA">
        <w:t xml:space="preserve"> Mt. 18:10; Ps. 91:11</w:t>
      </w:r>
      <w:r>
        <w:t>.</w:t>
      </w:r>
    </w:p>
  </w:endnote>
  <w:endnote w:id="3241">
    <w:p w:rsidR="00975183" w:rsidRPr="00027690" w:rsidRDefault="00975183" w:rsidP="006A2E06">
      <w:pPr>
        <w:pStyle w:val="EndnoteText"/>
      </w:pPr>
      <w:r w:rsidRPr="00027690">
        <w:rPr>
          <w:rStyle w:val="EndnoteReference"/>
        </w:rPr>
        <w:endnoteRef/>
      </w:r>
      <w:r w:rsidRPr="00027690">
        <w:t xml:space="preserve"> </w:t>
      </w:r>
      <w:r>
        <w:t xml:space="preserve">Ref. </w:t>
      </w:r>
      <w:r w:rsidRPr="00B46BAA">
        <w:t>Lk. 16:22</w:t>
      </w:r>
      <w:r>
        <w:t>.</w:t>
      </w:r>
    </w:p>
  </w:endnote>
  <w:endnote w:id="3242">
    <w:p w:rsidR="00975183" w:rsidRPr="00027690" w:rsidRDefault="00975183" w:rsidP="006A2E06">
      <w:pPr>
        <w:pStyle w:val="EndnoteText"/>
      </w:pPr>
      <w:r w:rsidRPr="00027690">
        <w:rPr>
          <w:rStyle w:val="EndnoteReference"/>
        </w:rPr>
        <w:endnoteRef/>
      </w:r>
      <w:r w:rsidRPr="00027690">
        <w:t xml:space="preserve"> </w:t>
      </w:r>
      <w:r>
        <w:t xml:space="preserve">Refs </w:t>
      </w:r>
      <w:r w:rsidRPr="00B46BAA">
        <w:t>Ps. 8:4, 5; Heb. 2:6, 9</w:t>
      </w:r>
      <w:r>
        <w:t>.</w:t>
      </w:r>
    </w:p>
  </w:endnote>
  <w:endnote w:id="3243">
    <w:p w:rsidR="00975183" w:rsidRPr="008F3619" w:rsidRDefault="00975183" w:rsidP="006A2E06">
      <w:pPr>
        <w:pStyle w:val="EndnoteText"/>
      </w:pPr>
      <w:r w:rsidRPr="008F3619">
        <w:rPr>
          <w:rStyle w:val="EndnoteReference"/>
        </w:rPr>
        <w:endnoteRef/>
      </w:r>
      <w:r w:rsidRPr="008F3619">
        <w:t xml:space="preserve"> </w:t>
      </w:r>
      <w:r>
        <w:t xml:space="preserve">Ref. </w:t>
      </w:r>
      <w:r w:rsidRPr="00B46BAA">
        <w:t>Heb. 2:9, 10</w:t>
      </w:r>
      <w:r>
        <w:t>.</w:t>
      </w:r>
    </w:p>
  </w:endnote>
  <w:endnote w:id="3244">
    <w:p w:rsidR="00975183" w:rsidRPr="002F534C" w:rsidRDefault="00975183" w:rsidP="006A2E06">
      <w:pPr>
        <w:pStyle w:val="EndnoteText"/>
      </w:pPr>
      <w:r w:rsidRPr="002F534C">
        <w:rPr>
          <w:rStyle w:val="EndnoteReference"/>
        </w:rPr>
        <w:endnoteRef/>
      </w:r>
      <w:r w:rsidRPr="002F534C">
        <w:t xml:space="preserve"> </w:t>
      </w:r>
      <w:r w:rsidRPr="002F534C">
        <w:rPr>
          <w:i/>
        </w:rPr>
        <w:t>SRB</w:t>
      </w:r>
      <w:r>
        <w:t xml:space="preserve"> note on Heb. 1:4, pp. 1291-2.</w:t>
      </w:r>
    </w:p>
  </w:endnote>
  <w:endnote w:id="3245">
    <w:p w:rsidR="00975183" w:rsidRPr="008F3619" w:rsidRDefault="00975183" w:rsidP="006A2E06">
      <w:pPr>
        <w:pStyle w:val="EndnoteText"/>
      </w:pPr>
      <w:r w:rsidRPr="008F3619">
        <w:rPr>
          <w:rStyle w:val="EndnoteReference"/>
        </w:rPr>
        <w:endnoteRef/>
      </w:r>
      <w:r w:rsidRPr="008F3619">
        <w:t xml:space="preserve"> </w:t>
      </w:r>
      <w:r>
        <w:t xml:space="preserve">Ref. </w:t>
      </w:r>
      <w:r w:rsidRPr="00B46BAA">
        <w:t>Mt. 25:31</w:t>
      </w:r>
      <w:r>
        <w:t>.</w:t>
      </w:r>
    </w:p>
  </w:endnote>
  <w:endnote w:id="3246">
    <w:p w:rsidR="00975183" w:rsidRPr="008F3619" w:rsidRDefault="00975183" w:rsidP="006A2E06">
      <w:pPr>
        <w:pStyle w:val="EndnoteText"/>
      </w:pPr>
      <w:r w:rsidRPr="008F3619">
        <w:rPr>
          <w:rStyle w:val="EndnoteReference"/>
        </w:rPr>
        <w:endnoteRef/>
      </w:r>
      <w:r w:rsidRPr="008F3619">
        <w:t xml:space="preserve"> </w:t>
      </w:r>
      <w:r>
        <w:t>S</w:t>
      </w:r>
      <w:r w:rsidRPr="00B46BAA">
        <w:t xml:space="preserve">ee Mt. 13:30, 39, 41, 42; </w:t>
      </w:r>
      <w:r w:rsidRPr="00B46BAA">
        <w:rPr>
          <w:i/>
        </w:rPr>
        <w:t>SRB</w:t>
      </w:r>
      <w:r w:rsidRPr="00B46BAA">
        <w:t xml:space="preserve"> note on Mt. 25:32</w:t>
      </w:r>
      <w:r>
        <w:t>.</w:t>
      </w:r>
    </w:p>
  </w:endnote>
  <w:endnote w:id="3247">
    <w:p w:rsidR="00975183" w:rsidRPr="005063EA" w:rsidRDefault="00975183" w:rsidP="006A2E06">
      <w:pPr>
        <w:pStyle w:val="EndnoteText"/>
      </w:pPr>
      <w:r w:rsidRPr="005063EA">
        <w:rPr>
          <w:rStyle w:val="EndnoteReference"/>
        </w:rPr>
        <w:endnoteRef/>
      </w:r>
      <w:r w:rsidRPr="005063EA">
        <w:t xml:space="preserve"> </w:t>
      </w:r>
      <w:r>
        <w:t xml:space="preserve">Ref. </w:t>
      </w:r>
      <w:r w:rsidRPr="00B46BAA">
        <w:t>Heb. 2:5</w:t>
      </w:r>
      <w:r>
        <w:t>.</w:t>
      </w:r>
    </w:p>
  </w:endnote>
  <w:endnote w:id="3248">
    <w:p w:rsidR="00975183" w:rsidRPr="00A67863" w:rsidRDefault="00975183" w:rsidP="006A2E06">
      <w:pPr>
        <w:pStyle w:val="EndnoteText"/>
        <w:rPr>
          <w:sz w:val="18"/>
        </w:rPr>
      </w:pPr>
      <w:r w:rsidRPr="00A67863">
        <w:rPr>
          <w:rStyle w:val="EndnoteReference"/>
        </w:rPr>
        <w:endnoteRef/>
      </w:r>
      <w:r w:rsidRPr="00A67863">
        <w:t xml:space="preserve"> </w:t>
      </w:r>
      <w:r>
        <w:t xml:space="preserve">Refs </w:t>
      </w:r>
      <w:r w:rsidRPr="00A67863">
        <w:rPr>
          <w:spacing w:val="-2"/>
        </w:rPr>
        <w:t>Dan. 10:13, 21; 12:1, 2; Jude 9; 1 Thess. 4:16</w:t>
      </w:r>
      <w:r>
        <w:rPr>
          <w:spacing w:val="-2"/>
        </w:rPr>
        <w:t>.</w:t>
      </w:r>
    </w:p>
  </w:endnote>
  <w:endnote w:id="3249">
    <w:p w:rsidR="00975183" w:rsidRPr="00A67863" w:rsidRDefault="00975183" w:rsidP="006A2E06">
      <w:pPr>
        <w:pStyle w:val="EndnoteText"/>
      </w:pPr>
      <w:r w:rsidRPr="00A67863">
        <w:rPr>
          <w:rStyle w:val="EndnoteReference"/>
        </w:rPr>
        <w:endnoteRef/>
      </w:r>
      <w:r w:rsidRPr="00A67863">
        <w:t xml:space="preserve"> Refs </w:t>
      </w:r>
      <w:r w:rsidRPr="00A67863">
        <w:rPr>
          <w:spacing w:val="-2"/>
        </w:rPr>
        <w:t>Dan. 8:16; 9:21; Lk.1:19, 26.</w:t>
      </w:r>
    </w:p>
  </w:endnote>
  <w:endnote w:id="325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Heb. 8:8, pp. 1297-8.</w:t>
      </w:r>
    </w:p>
  </w:endnote>
  <w:endnote w:id="3251">
    <w:p w:rsidR="00975183" w:rsidRDefault="00975183" w:rsidP="006A2E06">
      <w:pPr>
        <w:pStyle w:val="EndnoteText"/>
      </w:pPr>
      <w:r w:rsidRPr="006329CD">
        <w:rPr>
          <w:rStyle w:val="FootnoteReference"/>
        </w:rPr>
        <w:endnoteRef/>
      </w:r>
      <w:r w:rsidRPr="006329CD">
        <w:t xml:space="preserve"> </w:t>
      </w:r>
      <w:r w:rsidRPr="006329CD">
        <w:rPr>
          <w:i/>
        </w:rPr>
        <w:t>SRB</w:t>
      </w:r>
      <w:r w:rsidRPr="006329CD">
        <w:t xml:space="preserve"> note on Heb. 8:8, pp. 1297-8.  Scofield lists the Edenic Covenant, Gen. 1:28 (</w:t>
      </w:r>
      <w:r w:rsidRPr="006329CD">
        <w:rPr>
          <w:i/>
        </w:rPr>
        <w:t>SRB</w:t>
      </w:r>
      <w:r w:rsidRPr="006329CD">
        <w:t xml:space="preserve"> note p. 5)</w:t>
      </w:r>
      <w:r w:rsidRPr="00DA59C1">
        <w:t xml:space="preserve"> </w:t>
      </w:r>
      <w:r w:rsidRPr="006329CD">
        <w:t xml:space="preserve">and 2:8 </w:t>
      </w:r>
    </w:p>
    <w:p w:rsidR="00975183" w:rsidRDefault="00975183" w:rsidP="006A2E06">
      <w:pPr>
        <w:pStyle w:val="EndnoteText"/>
      </w:pPr>
      <w:r w:rsidRPr="006329CD">
        <w:t>(</w:t>
      </w:r>
      <w:r w:rsidRPr="006329CD">
        <w:rPr>
          <w:i/>
        </w:rPr>
        <w:t>SRB</w:t>
      </w:r>
      <w:r w:rsidRPr="006329CD">
        <w:t xml:space="preserve"> subhead p. 7); the Adamic Covenant, Gen. 3:15 [</w:t>
      </w:r>
      <w:r w:rsidRPr="006329CD">
        <w:rPr>
          <w:i/>
        </w:rPr>
        <w:t>actually subhead to Gen. 3:14</w:t>
      </w:r>
      <w:r w:rsidRPr="006329CD">
        <w:t xml:space="preserve">, </w:t>
      </w:r>
      <w:r w:rsidRPr="006329CD">
        <w:rPr>
          <w:i/>
        </w:rPr>
        <w:t>SRB</w:t>
      </w:r>
      <w:r w:rsidRPr="006329CD">
        <w:t xml:space="preserve"> </w:t>
      </w:r>
      <w:r w:rsidRPr="006329CD">
        <w:rPr>
          <w:i/>
        </w:rPr>
        <w:t>p. 9</w:t>
      </w:r>
      <w:r w:rsidRPr="006329CD">
        <w:t>]; the Noahic Covenant, Gen. 9:1 (</w:t>
      </w:r>
      <w:r w:rsidRPr="006329CD">
        <w:rPr>
          <w:i/>
        </w:rPr>
        <w:t>SRB</w:t>
      </w:r>
      <w:r w:rsidRPr="006329CD">
        <w:t xml:space="preserve"> p. 16); the Abrahamic Covenant, Gen. 15:18 (</w:t>
      </w:r>
      <w:r w:rsidRPr="006329CD">
        <w:rPr>
          <w:i/>
        </w:rPr>
        <w:t>SRB</w:t>
      </w:r>
      <w:r w:rsidRPr="006329CD">
        <w:t xml:space="preserve"> pp. 24-5); the Mosaic Covenant, Exod 19:25 </w:t>
      </w:r>
    </w:p>
    <w:p w:rsidR="00975183" w:rsidRDefault="00975183" w:rsidP="006A2E06">
      <w:pPr>
        <w:pStyle w:val="EndnoteText"/>
      </w:pPr>
      <w:r w:rsidRPr="006329CD">
        <w:t>(</w:t>
      </w:r>
      <w:r w:rsidRPr="006329CD">
        <w:rPr>
          <w:i/>
        </w:rPr>
        <w:t>SRB</w:t>
      </w:r>
      <w:r w:rsidRPr="006329CD">
        <w:t xml:space="preserve"> p. 95); the Palestinian Covenant, Deut. 30:3 (</w:t>
      </w:r>
      <w:r w:rsidRPr="006329CD">
        <w:rPr>
          <w:i/>
        </w:rPr>
        <w:t>SRB</w:t>
      </w:r>
      <w:r w:rsidRPr="006329CD">
        <w:t xml:space="preserve"> p. 250,</w:t>
      </w:r>
      <w:r w:rsidRPr="006329CD">
        <w:rPr>
          <w:b/>
        </w:rPr>
        <w:t xml:space="preserve"> </w:t>
      </w:r>
      <w:r w:rsidRPr="004329AD">
        <w:rPr>
          <w:b/>
        </w:rPr>
        <w:t>see 5.5.1</w:t>
      </w:r>
      <w:r w:rsidRPr="00DA59C1">
        <w:t>);</w:t>
      </w:r>
      <w:r w:rsidRPr="006329CD">
        <w:t xml:space="preserve"> the Davidic Covenant, 2 Sam. 7:16 </w:t>
      </w:r>
    </w:p>
    <w:p w:rsidR="00975183" w:rsidRDefault="00975183" w:rsidP="006A2E06">
      <w:pPr>
        <w:pStyle w:val="EndnoteText"/>
      </w:pPr>
      <w:proofErr w:type="gramStart"/>
      <w:r w:rsidRPr="006329CD">
        <w:t>(</w:t>
      </w:r>
      <w:r w:rsidRPr="006329CD">
        <w:rPr>
          <w:i/>
        </w:rPr>
        <w:t>SRB</w:t>
      </w:r>
      <w:r w:rsidRPr="006329CD">
        <w:t xml:space="preserve"> p. 362);</w:t>
      </w:r>
      <w:r w:rsidRPr="006329CD">
        <w:rPr>
          <w:b/>
        </w:rPr>
        <w:t xml:space="preserve"> </w:t>
      </w:r>
      <w:r w:rsidRPr="006329CD">
        <w:t>the New Covenant, Heb. 8:8 (</w:t>
      </w:r>
      <w:r w:rsidRPr="006329CD">
        <w:rPr>
          <w:i/>
        </w:rPr>
        <w:t>SRB</w:t>
      </w:r>
      <w:r w:rsidRPr="006329CD">
        <w:t xml:space="preserve"> pp. 1297-8).</w:t>
      </w:r>
      <w:proofErr w:type="gramEnd"/>
    </w:p>
  </w:endnote>
  <w:endnote w:id="325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Heb. 8:8, p. 1298.  </w:t>
      </w:r>
      <w:proofErr w:type="gramStart"/>
      <w:r w:rsidRPr="00002A53">
        <w:rPr>
          <w:b/>
          <w:szCs w:val="18"/>
        </w:rPr>
        <w:t>See 5.3.3</w:t>
      </w:r>
      <w:r w:rsidRPr="006329CD">
        <w:rPr>
          <w:szCs w:val="18"/>
        </w:rPr>
        <w:t>.</w:t>
      </w:r>
      <w:proofErr w:type="gramEnd"/>
    </w:p>
  </w:endnote>
  <w:endnote w:id="3253">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Heb.</w:t>
      </w:r>
      <w:r>
        <w:rPr>
          <w:szCs w:val="18"/>
        </w:rPr>
        <w:t xml:space="preserve"> 5:6, p. 1295 and 10:18, p. 1300.</w:t>
      </w:r>
    </w:p>
  </w:endnote>
  <w:endnote w:id="3254">
    <w:p w:rsidR="00975183" w:rsidRPr="007F7DA7" w:rsidRDefault="00975183" w:rsidP="006A2E06">
      <w:pPr>
        <w:pStyle w:val="EndnoteText"/>
      </w:pPr>
      <w:r w:rsidRPr="007F7DA7">
        <w:rPr>
          <w:rStyle w:val="EndnoteReference"/>
        </w:rPr>
        <w:endnoteRef/>
      </w:r>
      <w:r w:rsidRPr="007F7DA7">
        <w:t xml:space="preserve"> </w:t>
      </w:r>
      <w:proofErr w:type="gramStart"/>
      <w:r w:rsidRPr="00002A53">
        <w:rPr>
          <w:b/>
        </w:rPr>
        <w:t>See 2.3.1, a) i)</w:t>
      </w:r>
      <w:r w:rsidRPr="00002A53">
        <w:t>.</w:t>
      </w:r>
      <w:proofErr w:type="gramEnd"/>
    </w:p>
  </w:endnote>
  <w:endnote w:id="3255">
    <w:p w:rsidR="00975183" w:rsidRPr="007F7DA7" w:rsidRDefault="00975183" w:rsidP="006A2E06">
      <w:pPr>
        <w:pStyle w:val="EndnoteText"/>
      </w:pPr>
      <w:r w:rsidRPr="007F7DA7">
        <w:rPr>
          <w:rStyle w:val="EndnoteReference"/>
        </w:rPr>
        <w:endnoteRef/>
      </w:r>
      <w:r w:rsidRPr="007F7DA7">
        <w:t xml:space="preserve"> </w:t>
      </w:r>
      <w:r>
        <w:t xml:space="preserve">cf </w:t>
      </w:r>
      <w:r w:rsidRPr="007F7DA7">
        <w:rPr>
          <w:i/>
        </w:rPr>
        <w:t>SRB</w:t>
      </w:r>
      <w:r>
        <w:t xml:space="preserve"> note on </w:t>
      </w:r>
      <w:r w:rsidRPr="00054736">
        <w:rPr>
          <w:szCs w:val="22"/>
        </w:rPr>
        <w:t>Mt. 27:51,</w:t>
      </w:r>
      <w:r>
        <w:rPr>
          <w:szCs w:val="22"/>
        </w:rPr>
        <w:t xml:space="preserve"> </w:t>
      </w:r>
      <w:r w:rsidRPr="00054736">
        <w:rPr>
          <w:szCs w:val="22"/>
        </w:rPr>
        <w:t>p. 1042</w:t>
      </w:r>
    </w:p>
  </w:endnote>
  <w:endnote w:id="325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8:1-2.</w:t>
      </w:r>
    </w:p>
  </w:endnote>
  <w:endnote w:id="325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8:5.</w:t>
      </w:r>
    </w:p>
  </w:endnote>
  <w:endnote w:id="325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2:17.</w:t>
      </w:r>
    </w:p>
  </w:endnote>
  <w:endnote w:id="325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5:6.</w:t>
      </w:r>
    </w:p>
  </w:endnote>
  <w:endnote w:id="3260">
    <w:p w:rsidR="00975183" w:rsidRDefault="00975183" w:rsidP="006A2E06">
      <w:pPr>
        <w:pStyle w:val="EndnoteText"/>
      </w:pPr>
      <w:r w:rsidRPr="00253079">
        <w:rPr>
          <w:rStyle w:val="EndnoteReference"/>
        </w:rPr>
        <w:endnoteRef/>
      </w:r>
      <w:r w:rsidRPr="00253079">
        <w:t xml:space="preserve"> </w:t>
      </w:r>
      <w:r w:rsidRPr="00253079">
        <w:rPr>
          <w:i/>
        </w:rPr>
        <w:t>SRB</w:t>
      </w:r>
      <w:r w:rsidRPr="00253079">
        <w:t xml:space="preserve"> note on Heb. 5:6, p. 1295.  </w:t>
      </w:r>
    </w:p>
  </w:endnote>
  <w:endnote w:id="326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4:15, also not annotated by Scofield. </w:t>
      </w:r>
    </w:p>
  </w:endnote>
  <w:endnote w:id="326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5:3, 7-9.</w:t>
      </w:r>
    </w:p>
  </w:endnote>
  <w:endnote w:id="326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2:11.</w:t>
      </w:r>
    </w:p>
  </w:endnote>
  <w:endnote w:id="326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2:17.</w:t>
      </w:r>
    </w:p>
  </w:endnote>
  <w:endnote w:id="326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2:18.</w:t>
      </w:r>
    </w:p>
  </w:endnote>
  <w:endnote w:id="3266">
    <w:p w:rsidR="00975183" w:rsidRPr="006329CD" w:rsidRDefault="00975183" w:rsidP="006A2E06">
      <w:pPr>
        <w:pStyle w:val="FootnoteText"/>
        <w:rPr>
          <w:rFonts w:ascii="Perpetua" w:hAnsi="Perpetua"/>
        </w:rPr>
      </w:pPr>
      <w:r w:rsidRPr="006329CD">
        <w:rPr>
          <w:rStyle w:val="FootnoteReference"/>
          <w:rFonts w:ascii="Perpetua" w:hAnsi="Perpetua"/>
        </w:rPr>
        <w:endnoteRef/>
      </w:r>
      <w:r w:rsidRPr="006329CD">
        <w:rPr>
          <w:rFonts w:ascii="Perpetua" w:hAnsi="Perpetua"/>
        </w:rPr>
        <w:t xml:space="preserve"> According to Hebrews 9, the Holy Spirit was showing that the way into the most holy place was not disclosed as long as the first tabernacle was still standing, (Heb. 9:8.)  This signified that gifts and sacrifices were not able to cleanse the worshipper’s conscience but were a temporary measure until the new order came, (Heb. 9:9-10.)  The worship regulations, contents and ceremonies of the first tabernacle are described in Heb. 9:1-7.  </w:t>
      </w:r>
    </w:p>
    <w:p w:rsidR="00975183" w:rsidRDefault="00975183" w:rsidP="006A2E06">
      <w:pPr>
        <w:pStyle w:val="FootnoteText"/>
        <w:rPr>
          <w:rFonts w:ascii="Perpetua" w:hAnsi="Perpetua"/>
        </w:rPr>
      </w:pPr>
      <w:r w:rsidRPr="006329CD">
        <w:rPr>
          <w:rFonts w:ascii="Perpetua" w:hAnsi="Perpetua"/>
        </w:rPr>
        <w:t xml:space="preserve">When Christ came, he made a greater and more perfect tabernacle, which is not part of this creation, and entered it, not by animal blood but by his own, thus obtaining eternal redemption.  (Heb. 9:10-11.)  This is an act which has been performed once for all and does not have to be repeated like the annual acts of the earthly high priest. </w:t>
      </w:r>
    </w:p>
    <w:p w:rsidR="00975183" w:rsidRPr="006329CD" w:rsidRDefault="00975183" w:rsidP="006A2E06">
      <w:pPr>
        <w:pStyle w:val="FootnoteText"/>
        <w:rPr>
          <w:rFonts w:ascii="Perpetua" w:hAnsi="Perpetua"/>
        </w:rPr>
      </w:pPr>
      <w:r w:rsidRPr="006329CD">
        <w:rPr>
          <w:rFonts w:ascii="Perpetua" w:hAnsi="Perpetua"/>
        </w:rPr>
        <w:t xml:space="preserve">(Heb. 9:24-6.)  </w:t>
      </w:r>
    </w:p>
    <w:p w:rsidR="00975183" w:rsidRDefault="00975183" w:rsidP="006A2E06">
      <w:pPr>
        <w:pStyle w:val="EndnoteText"/>
      </w:pPr>
      <w:r w:rsidRPr="006329CD">
        <w:t>Hebrews 10 continues the theme.  The old sacrifices had to be repeated because the blood of bulls and goats could never take away sins (Heb. 10:1-4, 11).  Through his obedient performance of God’s will, Christ sets aside the first [unspecified item but the implication is ‘the will of God’] in order to establish the second by which believers are made holy (vv 9-10).  When sins are forgiven, there is no more sacrifice (v 18).</w:t>
      </w:r>
    </w:p>
  </w:endnote>
  <w:endnote w:id="326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For example: the </w:t>
      </w:r>
      <w:r w:rsidRPr="006329CD">
        <w:rPr>
          <w:i/>
          <w:szCs w:val="18"/>
        </w:rPr>
        <w:t>SRB</w:t>
      </w:r>
      <w:r w:rsidRPr="006329CD">
        <w:rPr>
          <w:szCs w:val="18"/>
        </w:rPr>
        <w:t xml:space="preserve"> note on Lev. 1:3, pp. 126-7, makes links with Heb. 9:11-14; 10:5-7; 12:2-3; 7:26</w:t>
      </w:r>
      <w:r>
        <w:rPr>
          <w:szCs w:val="18"/>
        </w:rPr>
        <w:t>.</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2:1, p. 128, makes links with Heb. 2:18</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4:12, p. 130, </w:t>
      </w:r>
      <w:proofErr w:type="gramStart"/>
      <w:r w:rsidRPr="006329CD">
        <w:rPr>
          <w:szCs w:val="18"/>
        </w:rPr>
        <w:t>makes</w:t>
      </w:r>
      <w:proofErr w:type="gramEnd"/>
      <w:r w:rsidRPr="006329CD">
        <w:rPr>
          <w:szCs w:val="18"/>
        </w:rPr>
        <w:t xml:space="preserve"> links with Heb. 13:10-13; 13:15</w:t>
      </w:r>
      <w:r>
        <w:rPr>
          <w:szCs w:val="18"/>
        </w:rPr>
        <w:t>.</w:t>
      </w:r>
      <w:r w:rsidRPr="006329CD">
        <w:rPr>
          <w:szCs w:val="18"/>
        </w:rPr>
        <w:t xml:space="preserve"> </w:t>
      </w:r>
    </w:p>
    <w:p w:rsidR="00975183" w:rsidRPr="006329CD" w:rsidRDefault="00975183" w:rsidP="006A2E06">
      <w:pPr>
        <w:pStyle w:val="EndnoteText"/>
        <w:rPr>
          <w:b/>
          <w:szCs w:val="18"/>
        </w:rPr>
      </w:pPr>
      <w:r>
        <w:rPr>
          <w:szCs w:val="18"/>
        </w:rPr>
        <w:t>T</w:t>
      </w:r>
      <w:r w:rsidRPr="006329CD">
        <w:rPr>
          <w:szCs w:val="18"/>
        </w:rPr>
        <w:t xml:space="preserve">he </w:t>
      </w:r>
      <w:r w:rsidRPr="006329CD">
        <w:rPr>
          <w:i/>
          <w:szCs w:val="18"/>
        </w:rPr>
        <w:t>SRB</w:t>
      </w:r>
      <w:r w:rsidRPr="006329CD">
        <w:rPr>
          <w:szCs w:val="18"/>
        </w:rPr>
        <w:t xml:space="preserve"> note on Lev. 8:12, p. 136, </w:t>
      </w:r>
      <w:proofErr w:type="gramStart"/>
      <w:r w:rsidRPr="006329CD">
        <w:rPr>
          <w:szCs w:val="18"/>
        </w:rPr>
        <w:t>makes</w:t>
      </w:r>
      <w:proofErr w:type="gramEnd"/>
      <w:r w:rsidRPr="006329CD">
        <w:rPr>
          <w:szCs w:val="18"/>
        </w:rPr>
        <w:t xml:space="preserve"> links with Heb. 1:9</w:t>
      </w:r>
      <w:r>
        <w:rPr>
          <w:szCs w:val="18"/>
        </w:rPr>
        <w:t>.</w:t>
      </w:r>
      <w:r w:rsidRPr="006329CD">
        <w:rPr>
          <w:b/>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16:5, pp. 147-8, makes links with Heb. 1:3; 4:14-16; 7:26, 27; 9:11, 12, 26; 10:19-22</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16:6, p. 148, makes links with Heb. 10:1, 4</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16:18, p. 148, </w:t>
      </w:r>
      <w:proofErr w:type="gramStart"/>
      <w:r w:rsidRPr="006329CD">
        <w:rPr>
          <w:szCs w:val="18"/>
        </w:rPr>
        <w:t>makes</w:t>
      </w:r>
      <w:proofErr w:type="gramEnd"/>
      <w:r w:rsidRPr="006329CD">
        <w:rPr>
          <w:szCs w:val="18"/>
        </w:rPr>
        <w:t xml:space="preserve"> links with Heb. 10:19-22</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17:11, p. 150, </w:t>
      </w:r>
      <w:proofErr w:type="gramStart"/>
      <w:r w:rsidRPr="006329CD">
        <w:rPr>
          <w:szCs w:val="18"/>
        </w:rPr>
        <w:t>makes</w:t>
      </w:r>
      <w:proofErr w:type="gramEnd"/>
      <w:r w:rsidRPr="006329CD">
        <w:rPr>
          <w:szCs w:val="18"/>
        </w:rPr>
        <w:t xml:space="preserve"> links with Heb. 10:4</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Lev. 23:17, p. 157, </w:t>
      </w:r>
      <w:proofErr w:type="gramStart"/>
      <w:r w:rsidRPr="006329CD">
        <w:rPr>
          <w:szCs w:val="18"/>
        </w:rPr>
        <w:t>makes</w:t>
      </w:r>
      <w:proofErr w:type="gramEnd"/>
      <w:r w:rsidRPr="006329CD">
        <w:rPr>
          <w:szCs w:val="18"/>
        </w:rPr>
        <w:t xml:space="preserve"> links with Heb. 12:22, 23</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Num. 6:2, p. 174, makes links with Heb. 7:26</w:t>
      </w:r>
      <w:r>
        <w:rPr>
          <w:szCs w:val="18"/>
        </w:rPr>
        <w:t>.</w:t>
      </w:r>
      <w:r w:rsidRPr="006329CD">
        <w:rPr>
          <w:szCs w:val="18"/>
        </w:rPr>
        <w:t xml:space="preserve"> </w:t>
      </w:r>
    </w:p>
    <w:p w:rsidR="00975183" w:rsidRPr="006329CD" w:rsidRDefault="00975183" w:rsidP="006A2E06">
      <w:pPr>
        <w:pStyle w:val="EndnoteText"/>
        <w:rPr>
          <w:szCs w:val="18"/>
        </w:rPr>
      </w:pPr>
      <w:r>
        <w:rPr>
          <w:szCs w:val="18"/>
        </w:rPr>
        <w:t>T</w:t>
      </w:r>
      <w:r w:rsidRPr="006329CD">
        <w:rPr>
          <w:szCs w:val="18"/>
        </w:rPr>
        <w:t xml:space="preserve">he </w:t>
      </w:r>
      <w:r w:rsidRPr="006329CD">
        <w:rPr>
          <w:i/>
          <w:szCs w:val="18"/>
        </w:rPr>
        <w:t>SRB</w:t>
      </w:r>
      <w:r w:rsidRPr="006329CD">
        <w:rPr>
          <w:szCs w:val="18"/>
        </w:rPr>
        <w:t xml:space="preserve"> note on Num. 19:2, p. 192, makes links with Heb. 9:12-14; 10:10-12. </w:t>
      </w:r>
    </w:p>
  </w:endnote>
  <w:endnote w:id="3268">
    <w:p w:rsidR="00975183" w:rsidRDefault="00975183" w:rsidP="006A2E06">
      <w:pPr>
        <w:pStyle w:val="EndnoteText"/>
      </w:pPr>
      <w:r w:rsidRPr="006329CD">
        <w:rPr>
          <w:rStyle w:val="FootnoteReference"/>
        </w:rPr>
        <w:endnoteRef/>
      </w:r>
      <w:r w:rsidRPr="006329CD">
        <w:t xml:space="preserve"> ‘</w:t>
      </w:r>
      <w:r w:rsidRPr="006329CD">
        <w:rPr>
          <w:lang w:val="en-US"/>
        </w:rPr>
        <w:t xml:space="preserve">For </w:t>
      </w:r>
      <w:r w:rsidRPr="006329CD">
        <w:rPr>
          <w:i/>
          <w:iCs/>
          <w:lang w:val="en-US"/>
        </w:rPr>
        <w:t>it is</w:t>
      </w:r>
      <w:r w:rsidRPr="006329CD">
        <w:rPr>
          <w:lang w:val="en-US"/>
        </w:rPr>
        <w:t xml:space="preserve"> not possible that the blood of bulls and of goats should take away sins.</w:t>
      </w:r>
      <w:r w:rsidRPr="006329CD">
        <w:t xml:space="preserve">’   Heb. 10:4, </w:t>
      </w:r>
      <w:r w:rsidRPr="006329CD">
        <w:rPr>
          <w:i/>
        </w:rPr>
        <w:t>KJV</w:t>
      </w:r>
    </w:p>
  </w:endnote>
  <w:endnote w:id="3269">
    <w:p w:rsidR="00975183" w:rsidRPr="00AA7143" w:rsidRDefault="00975183" w:rsidP="006A2E06">
      <w:pPr>
        <w:pStyle w:val="EndnoteText"/>
      </w:pPr>
      <w:r w:rsidRPr="00AA7143">
        <w:rPr>
          <w:rStyle w:val="EndnoteReference"/>
        </w:rPr>
        <w:endnoteRef/>
      </w:r>
      <w:r w:rsidRPr="00AA7143">
        <w:t xml:space="preserve"> </w:t>
      </w:r>
      <w:r w:rsidRPr="00AA7143">
        <w:rPr>
          <w:i/>
        </w:rPr>
        <w:t>SRB</w:t>
      </w:r>
      <w:r>
        <w:t xml:space="preserve"> note on </w:t>
      </w:r>
      <w:r w:rsidRPr="006329CD">
        <w:t>Ezek. 43:19, p. 890</w:t>
      </w:r>
      <w:r>
        <w:t>.</w:t>
      </w:r>
    </w:p>
  </w:endnote>
  <w:endnote w:id="327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Ezek. 43:19, p. 890.  </w:t>
      </w:r>
      <w:r w:rsidRPr="00002A53">
        <w:rPr>
          <w:b/>
          <w:szCs w:val="18"/>
        </w:rPr>
        <w:t>See 7.2</w:t>
      </w:r>
      <w:r w:rsidRPr="00002A53">
        <w:rPr>
          <w:szCs w:val="18"/>
        </w:rPr>
        <w:t>.</w:t>
      </w:r>
    </w:p>
  </w:endnote>
  <w:endnote w:id="3271">
    <w:p w:rsidR="00975183" w:rsidRPr="00253079" w:rsidRDefault="00975183" w:rsidP="006A2E06">
      <w:pPr>
        <w:pStyle w:val="FootnoteText"/>
        <w:rPr>
          <w:rFonts w:ascii="Perpetua" w:hAnsi="Perpetua"/>
        </w:rPr>
      </w:pPr>
      <w:r w:rsidRPr="00253079">
        <w:rPr>
          <w:rStyle w:val="FootnoteReference"/>
          <w:rFonts w:ascii="Perpetua" w:hAnsi="Perpetua"/>
        </w:rPr>
        <w:endnoteRef/>
      </w:r>
      <w:r w:rsidRPr="00253079">
        <w:rPr>
          <w:rFonts w:ascii="Perpetua" w:hAnsi="Perpetua"/>
        </w:rPr>
        <w:t xml:space="preserve"> ‘Sacrifice and offering thou didst not desire; mine ears hast thou opened: burnt-offering and sin-offering hast thou not required,’ Ps. 40:6 </w:t>
      </w:r>
      <w:r w:rsidRPr="00253079">
        <w:rPr>
          <w:rFonts w:ascii="Perpetua" w:hAnsi="Perpetua"/>
          <w:i/>
        </w:rPr>
        <w:t>KJV</w:t>
      </w:r>
      <w:r w:rsidRPr="00253079">
        <w:rPr>
          <w:rFonts w:ascii="Perpetua" w:hAnsi="Perpetua"/>
        </w:rPr>
        <w:t xml:space="preserve">; </w:t>
      </w:r>
    </w:p>
    <w:p w:rsidR="00975183" w:rsidRDefault="00975183" w:rsidP="006A2E06">
      <w:pPr>
        <w:pStyle w:val="EndnoteText"/>
      </w:pPr>
      <w:r w:rsidRPr="00253079">
        <w:t xml:space="preserve">‘Wherefore when he cometh into the world, he saith, Sacrifice and offering thou wouldest not, but a body thou prepared me,’ Heb. 10:5 </w:t>
      </w:r>
      <w:r w:rsidRPr="00253079">
        <w:rPr>
          <w:i/>
        </w:rPr>
        <w:t>KJV</w:t>
      </w:r>
      <w:r w:rsidRPr="00253079">
        <w:t>.</w:t>
      </w:r>
    </w:p>
  </w:endnote>
  <w:endnote w:id="3272">
    <w:p w:rsidR="00975183" w:rsidRDefault="00975183" w:rsidP="006A2E06">
      <w:pPr>
        <w:pStyle w:val="EndnoteText"/>
      </w:pPr>
      <w:r w:rsidRPr="00253079">
        <w:rPr>
          <w:rStyle w:val="FootnoteReference"/>
        </w:rPr>
        <w:endnoteRef/>
      </w:r>
      <w:r w:rsidRPr="00253079">
        <w:t xml:space="preserve"> </w:t>
      </w:r>
      <w:r w:rsidRPr="00253079">
        <w:rPr>
          <w:i/>
        </w:rPr>
        <w:t>SRB</w:t>
      </w:r>
      <w:r w:rsidRPr="00253079">
        <w:t xml:space="preserve"> note on Heb. 10:5, p. 1300.</w:t>
      </w:r>
    </w:p>
  </w:endnote>
  <w:endnote w:id="3273">
    <w:p w:rsidR="00975183" w:rsidRPr="006329CD" w:rsidRDefault="00975183" w:rsidP="006A2E06">
      <w:pPr>
        <w:pStyle w:val="EndnoteText"/>
        <w:rPr>
          <w:sz w:val="22"/>
        </w:rPr>
      </w:pPr>
      <w:r w:rsidRPr="006329CD">
        <w:rPr>
          <w:rStyle w:val="FootnoteReference"/>
          <w:szCs w:val="18"/>
        </w:rPr>
        <w:endnoteRef/>
      </w:r>
      <w:r w:rsidRPr="006329CD">
        <w:rPr>
          <w:szCs w:val="18"/>
        </w:rPr>
        <w:t xml:space="preserve"> </w:t>
      </w:r>
      <w:r w:rsidRPr="006329CD">
        <w:rPr>
          <w:i/>
          <w:szCs w:val="18"/>
        </w:rPr>
        <w:t>SRB</w:t>
      </w:r>
      <w:r w:rsidRPr="006329CD">
        <w:rPr>
          <w:szCs w:val="18"/>
        </w:rPr>
        <w:t xml:space="preserve"> note on Heb. 10:18, p. 1300.    </w:t>
      </w:r>
    </w:p>
  </w:endnote>
  <w:endnote w:id="3274">
    <w:p w:rsidR="00975183" w:rsidRDefault="00975183" w:rsidP="006A2E06">
      <w:pPr>
        <w:pStyle w:val="EndnoteText"/>
        <w:rPr>
          <w:szCs w:val="18"/>
        </w:rPr>
      </w:pPr>
      <w:r w:rsidRPr="006329CD">
        <w:rPr>
          <w:rStyle w:val="EndnoteReference"/>
          <w:szCs w:val="18"/>
        </w:rPr>
        <w:endnoteRef/>
      </w:r>
      <w:r w:rsidRPr="006329CD">
        <w:rPr>
          <w:szCs w:val="18"/>
        </w:rPr>
        <w:t xml:space="preserve"> The Hebrews are urged to keep their eyes fixed on Jesus and not to worry if they are disciplined </w:t>
      </w:r>
    </w:p>
    <w:p w:rsidR="00975183" w:rsidRDefault="00975183" w:rsidP="006A2E06">
      <w:pPr>
        <w:pStyle w:val="EndnoteText"/>
        <w:rPr>
          <w:szCs w:val="18"/>
        </w:rPr>
      </w:pPr>
      <w:r w:rsidRPr="006329CD">
        <w:rPr>
          <w:szCs w:val="18"/>
        </w:rPr>
        <w:t>(Heb. 12:1-3, 5-11)</w:t>
      </w:r>
      <w:r>
        <w:rPr>
          <w:szCs w:val="18"/>
        </w:rPr>
        <w:t>.</w:t>
      </w:r>
      <w:r w:rsidRPr="006329CD">
        <w:rPr>
          <w:szCs w:val="18"/>
        </w:rPr>
        <w:t xml:space="preserve"> </w:t>
      </w:r>
    </w:p>
    <w:p w:rsidR="00975183" w:rsidRDefault="00975183" w:rsidP="006A2E06">
      <w:pPr>
        <w:pStyle w:val="EndnoteText"/>
        <w:rPr>
          <w:szCs w:val="18"/>
        </w:rPr>
      </w:pPr>
      <w:r>
        <w:rPr>
          <w:szCs w:val="18"/>
        </w:rPr>
        <w:t>T</w:t>
      </w:r>
      <w:r w:rsidRPr="006329CD">
        <w:rPr>
          <w:szCs w:val="18"/>
        </w:rPr>
        <w:t xml:space="preserve">hey are given injunctions about life and a warning against following bad examples </w:t>
      </w:r>
    </w:p>
    <w:p w:rsidR="00975183" w:rsidRDefault="00975183" w:rsidP="006A2E06">
      <w:pPr>
        <w:pStyle w:val="EndnoteText"/>
        <w:rPr>
          <w:szCs w:val="18"/>
        </w:rPr>
      </w:pPr>
      <w:r w:rsidRPr="006329CD">
        <w:rPr>
          <w:szCs w:val="18"/>
        </w:rPr>
        <w:t>(Heb. 13:14-17)</w:t>
      </w:r>
      <w:r>
        <w:rPr>
          <w:szCs w:val="18"/>
        </w:rPr>
        <w:t>.</w:t>
      </w:r>
      <w:r w:rsidRPr="006329CD">
        <w:rPr>
          <w:szCs w:val="18"/>
        </w:rPr>
        <w:t xml:space="preserve"> </w:t>
      </w:r>
    </w:p>
    <w:p w:rsidR="00975183" w:rsidRDefault="00975183" w:rsidP="006A2E06">
      <w:pPr>
        <w:pStyle w:val="EndnoteText"/>
        <w:rPr>
          <w:szCs w:val="18"/>
        </w:rPr>
      </w:pPr>
      <w:r>
        <w:rPr>
          <w:szCs w:val="18"/>
        </w:rPr>
        <w:t>T</w:t>
      </w:r>
      <w:r w:rsidRPr="006329CD">
        <w:rPr>
          <w:szCs w:val="18"/>
        </w:rPr>
        <w:t>hey receive practical exhortations about loving, hospitality, prison-visiting, marriage, money and possessions.</w:t>
      </w:r>
    </w:p>
    <w:p w:rsidR="00975183" w:rsidRDefault="00975183" w:rsidP="006A2E06">
      <w:pPr>
        <w:pStyle w:val="EndnoteText"/>
        <w:rPr>
          <w:szCs w:val="18"/>
        </w:rPr>
      </w:pPr>
      <w:r>
        <w:rPr>
          <w:szCs w:val="18"/>
        </w:rPr>
        <w:t>(</w:t>
      </w:r>
      <w:r w:rsidRPr="006329CD">
        <w:rPr>
          <w:szCs w:val="18"/>
        </w:rPr>
        <w:t>Heb. 13:1-5)</w:t>
      </w:r>
      <w:r>
        <w:rPr>
          <w:szCs w:val="18"/>
        </w:rPr>
        <w:t xml:space="preserve">. </w:t>
      </w:r>
      <w:r w:rsidRPr="006329CD">
        <w:rPr>
          <w:szCs w:val="18"/>
        </w:rPr>
        <w:t xml:space="preserve"> </w:t>
      </w:r>
    </w:p>
    <w:p w:rsidR="00975183" w:rsidRDefault="00975183" w:rsidP="006A2E06">
      <w:pPr>
        <w:pStyle w:val="EndnoteText"/>
        <w:rPr>
          <w:szCs w:val="18"/>
        </w:rPr>
      </w:pPr>
      <w:r w:rsidRPr="006329CD">
        <w:rPr>
          <w:szCs w:val="18"/>
        </w:rPr>
        <w:t xml:space="preserve">They are to praise God constantly, do good and share, obey their leaders and pray for the authors of the letter </w:t>
      </w:r>
    </w:p>
    <w:p w:rsidR="00975183" w:rsidRPr="006329CD" w:rsidRDefault="00975183" w:rsidP="006A2E06">
      <w:pPr>
        <w:pStyle w:val="EndnoteText"/>
        <w:rPr>
          <w:szCs w:val="18"/>
        </w:rPr>
      </w:pPr>
      <w:r w:rsidRPr="006329CD">
        <w:rPr>
          <w:szCs w:val="18"/>
        </w:rPr>
        <w:t>(Heb. 13:15-19).</w:t>
      </w:r>
    </w:p>
  </w:endnote>
  <w:endnote w:id="327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12:22-23.</w:t>
      </w:r>
    </w:p>
  </w:endnote>
  <w:endnote w:id="327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12:24.</w:t>
      </w:r>
    </w:p>
  </w:endnote>
  <w:endnote w:id="327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12:28.</w:t>
      </w:r>
    </w:p>
  </w:endnote>
  <w:endnote w:id="327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Heb. 13:14.</w:t>
      </w:r>
    </w:p>
  </w:endnote>
  <w:endnote w:id="327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James, p. 1306.</w:t>
      </w:r>
    </w:p>
  </w:endnote>
  <w:endnote w:id="328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James, p. 1306.</w:t>
      </w:r>
    </w:p>
  </w:endnote>
  <w:endnote w:id="3281">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Jas 1:14, p. 1307.</w:t>
      </w:r>
    </w:p>
  </w:endnote>
  <w:endnote w:id="3282">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Jas 2:23, p. 1308.</w:t>
      </w:r>
    </w:p>
  </w:endnote>
  <w:endnote w:id="328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1 Peter, p. 1311.</w:t>
      </w:r>
    </w:p>
  </w:endnote>
  <w:endnote w:id="3284">
    <w:p w:rsidR="00975183" w:rsidRPr="00903177" w:rsidRDefault="00975183" w:rsidP="006A2E06">
      <w:pPr>
        <w:pStyle w:val="EndnoteText"/>
      </w:pPr>
      <w:r w:rsidRPr="00903177">
        <w:rPr>
          <w:rStyle w:val="EndnoteReference"/>
        </w:rPr>
        <w:endnoteRef/>
      </w:r>
      <w:r w:rsidRPr="00903177">
        <w:t xml:space="preserve"> Ref. 1 Pet. 2:10.</w:t>
      </w:r>
    </w:p>
  </w:endnote>
  <w:endnote w:id="3285">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1 Peter, p. 1311.</w:t>
      </w:r>
    </w:p>
  </w:endnote>
  <w:endnote w:id="3286">
    <w:p w:rsidR="00975183" w:rsidRPr="00D411E1" w:rsidRDefault="00975183" w:rsidP="006A2E06">
      <w:pPr>
        <w:pStyle w:val="EndnoteText"/>
      </w:pPr>
      <w:r w:rsidRPr="00D411E1">
        <w:rPr>
          <w:rStyle w:val="EndnoteReference"/>
        </w:rPr>
        <w:endnoteRef/>
      </w:r>
      <w:r w:rsidRPr="00D411E1">
        <w:t xml:space="preserve"> </w:t>
      </w:r>
      <w:r w:rsidRPr="00D411E1">
        <w:rPr>
          <w:i/>
        </w:rPr>
        <w:t>SRB</w:t>
      </w:r>
      <w:r>
        <w:t xml:space="preserve"> notes on 1 Pet. 1:2, p. 1311; 1:7, p. 1311; 1:20, p. 1312; 2:8, pp. 1312-3; 2:9, pp. 1313-4.</w:t>
      </w:r>
    </w:p>
  </w:endnote>
  <w:endnote w:id="3287">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1 Pet. 1:2, p. 1311</w:t>
      </w:r>
      <w:r>
        <w:rPr>
          <w:szCs w:val="18"/>
        </w:rPr>
        <w:t>; 1:20, p. 1312.</w:t>
      </w:r>
    </w:p>
  </w:endnote>
  <w:endnote w:id="3288">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 1 Pet.</w:t>
      </w:r>
      <w:r>
        <w:rPr>
          <w:szCs w:val="18"/>
        </w:rPr>
        <w:t>1:7, p. 1311.</w:t>
      </w:r>
    </w:p>
  </w:endnote>
  <w:endnote w:id="3289">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1 Pet.</w:t>
      </w:r>
      <w:r>
        <w:rPr>
          <w:szCs w:val="18"/>
        </w:rPr>
        <w:t xml:space="preserve"> 2:8, pp. 1312-3.</w:t>
      </w:r>
      <w:proofErr w:type="gramEnd"/>
    </w:p>
  </w:endnote>
  <w:endnote w:id="3290">
    <w:p w:rsidR="00975183" w:rsidRPr="006A6D34" w:rsidRDefault="00975183" w:rsidP="006A2E06">
      <w:pPr>
        <w:pStyle w:val="EndnoteText"/>
      </w:pPr>
      <w:r w:rsidRPr="006A6D34">
        <w:rPr>
          <w:rStyle w:val="EndnoteReference"/>
        </w:rPr>
        <w:endnoteRef/>
      </w:r>
      <w:r w:rsidRPr="006A6D34">
        <w:t xml:space="preserve"> </w:t>
      </w:r>
      <w:r>
        <w:t xml:space="preserve">1 Pet. 2:6.  </w:t>
      </w:r>
    </w:p>
  </w:endnote>
  <w:endnote w:id="3291">
    <w:p w:rsidR="00975183" w:rsidRDefault="00975183" w:rsidP="006A2E06">
      <w:pPr>
        <w:pStyle w:val="EndnoteText"/>
      </w:pPr>
      <w:r w:rsidRPr="006A6D34">
        <w:rPr>
          <w:rStyle w:val="EndnoteReference"/>
        </w:rPr>
        <w:endnoteRef/>
      </w:r>
      <w:r w:rsidRPr="006A6D34">
        <w:t xml:space="preserve"> </w:t>
      </w:r>
      <w:r>
        <w:t>1 Pet. 2:7.</w:t>
      </w:r>
    </w:p>
  </w:endnote>
  <w:endnote w:id="3292">
    <w:p w:rsidR="00975183" w:rsidRDefault="00975183" w:rsidP="006A2E06">
      <w:pPr>
        <w:pStyle w:val="EndnoteText"/>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 on</w:t>
      </w:r>
      <w:r>
        <w:rPr>
          <w:szCs w:val="18"/>
        </w:rPr>
        <w:t xml:space="preserve"> Mt. 21:44, pp. 1029-30.</w:t>
      </w:r>
    </w:p>
  </w:endnote>
  <w:endnote w:id="3293">
    <w:p w:rsidR="00975183" w:rsidRPr="002D546D" w:rsidRDefault="00975183" w:rsidP="006A2E06">
      <w:pPr>
        <w:pStyle w:val="EndnoteText"/>
      </w:pPr>
      <w:r w:rsidRPr="002D546D">
        <w:rPr>
          <w:rStyle w:val="EndnoteReference"/>
        </w:rPr>
        <w:endnoteRef/>
      </w:r>
      <w:r w:rsidRPr="002D546D">
        <w:t xml:space="preserve"> 1 Pet. 2:4.</w:t>
      </w:r>
    </w:p>
  </w:endnote>
  <w:endnote w:id="329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1:3-9.</w:t>
      </w:r>
    </w:p>
  </w:endnote>
  <w:endnote w:id="329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1:17-19.</w:t>
      </w:r>
    </w:p>
  </w:endnote>
  <w:endnote w:id="329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1:15-16.</w:t>
      </w:r>
    </w:p>
  </w:endnote>
  <w:endnote w:id="329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1:21-5.</w:t>
      </w:r>
    </w:p>
  </w:endnote>
  <w:endnote w:id="329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There is to be no malice, deceit, hypocrisy, envy or slander (1 Pet. 2:1).  </w:t>
      </w:r>
    </w:p>
    <w:p w:rsidR="00975183" w:rsidRPr="006329CD" w:rsidRDefault="00975183" w:rsidP="006A2E06">
      <w:pPr>
        <w:pStyle w:val="EndnoteText"/>
        <w:rPr>
          <w:szCs w:val="18"/>
        </w:rPr>
      </w:pPr>
      <w:r w:rsidRPr="006329CD">
        <w:rPr>
          <w:szCs w:val="18"/>
        </w:rPr>
        <w:t xml:space="preserve">The believers are to live amongst the pagans so that they will glorify God (1 Pet. 2:11-12).  </w:t>
      </w:r>
    </w:p>
    <w:p w:rsidR="00975183" w:rsidRPr="006329CD" w:rsidRDefault="00975183" w:rsidP="006A2E06">
      <w:pPr>
        <w:pStyle w:val="EndnoteText"/>
        <w:rPr>
          <w:szCs w:val="18"/>
        </w:rPr>
      </w:pPr>
      <w:r w:rsidRPr="006329CD">
        <w:rPr>
          <w:szCs w:val="18"/>
        </w:rPr>
        <w:t xml:space="preserve">All are to live in harmony with each other, not repaying evil for evil or fearing but doing right (1 Pet. 3:1-14), living to do God’s will and not emulating the pagans (1 Pet. 4:1-5, 8-9).  </w:t>
      </w:r>
    </w:p>
    <w:p w:rsidR="00975183" w:rsidRPr="006329CD" w:rsidRDefault="00975183" w:rsidP="006A2E06">
      <w:pPr>
        <w:pStyle w:val="EndnoteText"/>
        <w:rPr>
          <w:szCs w:val="18"/>
        </w:rPr>
      </w:pPr>
      <w:r w:rsidRPr="006329CD">
        <w:rPr>
          <w:szCs w:val="18"/>
        </w:rPr>
        <w:t xml:space="preserve">Believers are to use the gifts God has given them (1 Pet. 4:10-11).  </w:t>
      </w:r>
    </w:p>
    <w:p w:rsidR="00975183" w:rsidRPr="006329CD" w:rsidRDefault="00975183" w:rsidP="006A2E06">
      <w:pPr>
        <w:pStyle w:val="EndnoteText"/>
        <w:rPr>
          <w:szCs w:val="18"/>
        </w:rPr>
      </w:pPr>
      <w:r w:rsidRPr="006329CD">
        <w:rPr>
          <w:szCs w:val="18"/>
        </w:rPr>
        <w:t xml:space="preserve">Specific instructions are issued to elders (1 Pet. 1-3) and to young men (1 Pet. 5:5).  </w:t>
      </w:r>
    </w:p>
    <w:p w:rsidR="00975183" w:rsidRPr="006329CD" w:rsidRDefault="00975183" w:rsidP="006A2E06">
      <w:pPr>
        <w:pStyle w:val="EndnoteText"/>
        <w:rPr>
          <w:szCs w:val="18"/>
        </w:rPr>
      </w:pPr>
      <w:r w:rsidRPr="006329CD">
        <w:rPr>
          <w:szCs w:val="18"/>
        </w:rPr>
        <w:t xml:space="preserve">All are to humble themselves and trust God (1 Pet. 5:6-7), to exercise self-control and to resist the devil </w:t>
      </w:r>
    </w:p>
    <w:p w:rsidR="00975183" w:rsidRPr="006329CD" w:rsidRDefault="00975183" w:rsidP="006A2E06">
      <w:pPr>
        <w:pStyle w:val="EndnoteText"/>
        <w:rPr>
          <w:szCs w:val="18"/>
        </w:rPr>
      </w:pPr>
      <w:r w:rsidRPr="006329CD">
        <w:rPr>
          <w:szCs w:val="18"/>
        </w:rPr>
        <w:t xml:space="preserve">(1 Pet. 5:8-9).  </w:t>
      </w:r>
    </w:p>
    <w:p w:rsidR="00975183" w:rsidRPr="006329CD" w:rsidRDefault="00975183" w:rsidP="006A2E06">
      <w:pPr>
        <w:pStyle w:val="EndnoteText"/>
        <w:rPr>
          <w:szCs w:val="18"/>
        </w:rPr>
      </w:pPr>
      <w:r w:rsidRPr="006329CD">
        <w:rPr>
          <w:szCs w:val="18"/>
        </w:rPr>
        <w:t xml:space="preserve">Believers must always be ready to give an answer gently to anyone asking for their reason for hope, an important point of witness, ref. 1 Pet. 3:15-6.  </w:t>
      </w:r>
    </w:p>
    <w:p w:rsidR="00975183" w:rsidRPr="006329CD" w:rsidRDefault="00975183" w:rsidP="006A2E06">
      <w:pPr>
        <w:pStyle w:val="EndnoteText"/>
        <w:rPr>
          <w:szCs w:val="18"/>
        </w:rPr>
      </w:pPr>
      <w:r w:rsidRPr="006329CD">
        <w:rPr>
          <w:szCs w:val="18"/>
        </w:rPr>
        <w:t>Believers are not to misuse their freedom, ref. 1 Pet. 2:16.</w:t>
      </w:r>
    </w:p>
  </w:endnote>
  <w:endnote w:id="3299">
    <w:p w:rsidR="00975183" w:rsidRPr="00084FCB" w:rsidRDefault="00975183" w:rsidP="006A2E06">
      <w:pPr>
        <w:pStyle w:val="EndnoteText"/>
      </w:pPr>
      <w:r w:rsidRPr="00084FCB">
        <w:rPr>
          <w:rStyle w:val="EndnoteReference"/>
        </w:rPr>
        <w:endnoteRef/>
      </w:r>
      <w:r w:rsidRPr="00084FCB">
        <w:t xml:space="preserve"> </w:t>
      </w:r>
      <w:proofErr w:type="gramStart"/>
      <w:r>
        <w:t xml:space="preserve">Introduction to </w:t>
      </w:r>
      <w:r w:rsidRPr="00084FCB">
        <w:rPr>
          <w:i/>
        </w:rPr>
        <w:t>SRB</w:t>
      </w:r>
      <w:r>
        <w:t>, p. iii.</w:t>
      </w:r>
      <w:proofErr w:type="gramEnd"/>
    </w:p>
  </w:endnote>
  <w:endnote w:id="330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3:1-6.</w:t>
      </w:r>
    </w:p>
  </w:endnote>
  <w:endnote w:id="330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2:18.</w:t>
      </w:r>
    </w:p>
  </w:endnote>
  <w:endnote w:id="330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2:13-17.</w:t>
      </w:r>
    </w:p>
  </w:endnote>
  <w:endnote w:id="330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3:19 and 4:6.</w:t>
      </w:r>
    </w:p>
  </w:endnote>
  <w:endnote w:id="330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3:21.</w:t>
      </w:r>
    </w:p>
  </w:endnote>
  <w:endnote w:id="330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4:7.</w:t>
      </w:r>
    </w:p>
  </w:endnote>
  <w:endnote w:id="330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1 Pet. 4:17.</w:t>
      </w:r>
    </w:p>
  </w:endnote>
  <w:endnote w:id="330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szCs w:val="18"/>
          <w:lang w:val="en-US"/>
        </w:rPr>
        <w:t xml:space="preserve">The </w:t>
      </w:r>
      <w:r w:rsidRPr="006329CD">
        <w:rPr>
          <w:i/>
          <w:iCs/>
          <w:szCs w:val="18"/>
          <w:lang w:val="en-US"/>
        </w:rPr>
        <w:t>church that is</w:t>
      </w:r>
      <w:r w:rsidRPr="006329CD">
        <w:rPr>
          <w:szCs w:val="18"/>
          <w:lang w:val="en-US"/>
        </w:rPr>
        <w:t xml:space="preserve"> at Babylon, elected together with </w:t>
      </w:r>
      <w:r w:rsidRPr="006329CD">
        <w:rPr>
          <w:i/>
          <w:iCs/>
          <w:szCs w:val="18"/>
          <w:lang w:val="en-US"/>
        </w:rPr>
        <w:t>you,</w:t>
      </w:r>
      <w:r w:rsidRPr="006329CD">
        <w:rPr>
          <w:szCs w:val="18"/>
          <w:lang w:val="en-US"/>
        </w:rPr>
        <w:t xml:space="preserve"> saluteth you; and </w:t>
      </w:r>
      <w:r w:rsidRPr="006329CD">
        <w:rPr>
          <w:i/>
          <w:iCs/>
          <w:szCs w:val="18"/>
          <w:lang w:val="en-US"/>
        </w:rPr>
        <w:t>so doth</w:t>
      </w:r>
      <w:r w:rsidRPr="006329CD">
        <w:rPr>
          <w:szCs w:val="18"/>
          <w:lang w:val="en-US"/>
        </w:rPr>
        <w:t xml:space="preserve"> Marcus my son.</w:t>
      </w:r>
      <w:r w:rsidRPr="006329CD">
        <w:rPr>
          <w:szCs w:val="18"/>
        </w:rPr>
        <w:t>’</w:t>
      </w:r>
    </w:p>
    <w:p w:rsidR="00975183" w:rsidRPr="006329CD" w:rsidRDefault="00975183" w:rsidP="006A2E06">
      <w:pPr>
        <w:pStyle w:val="EndnoteText"/>
        <w:rPr>
          <w:szCs w:val="18"/>
        </w:rPr>
      </w:pPr>
      <w:r w:rsidRPr="006329CD">
        <w:rPr>
          <w:szCs w:val="18"/>
        </w:rPr>
        <w:t xml:space="preserve">1 Pet. 5:13, </w:t>
      </w:r>
      <w:r w:rsidRPr="006329CD">
        <w:rPr>
          <w:i/>
          <w:szCs w:val="18"/>
        </w:rPr>
        <w:t>KJV</w:t>
      </w:r>
      <w:r w:rsidRPr="006329CD">
        <w:rPr>
          <w:szCs w:val="18"/>
        </w:rPr>
        <w:t>.</w:t>
      </w:r>
    </w:p>
  </w:endnote>
  <w:endnote w:id="3308">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2 Peter, p. 1317.  Ref. </w:t>
      </w:r>
      <w:r w:rsidRPr="005D00B9">
        <w:rPr>
          <w:i/>
        </w:rPr>
        <w:t>SRB</w:t>
      </w:r>
      <w:r w:rsidRPr="005D00B9">
        <w:t xml:space="preserve"> note on Rev. 2:6, p. 1332</w:t>
      </w:r>
      <w:r w:rsidRPr="005D00B9">
        <w:rPr>
          <w:b/>
        </w:rPr>
        <w:t>.</w:t>
      </w:r>
    </w:p>
  </w:endnote>
  <w:endnote w:id="330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2 Peter, p. 1317.  Refs 2 Tim. 3:1-5; 2 Tim. 4:3, 2 Tim. 4:4.</w:t>
      </w:r>
    </w:p>
  </w:endnote>
  <w:endnote w:id="331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2 Peter, p. 1317.  Refs 2 Pet. 2:1-3, 15-19.</w:t>
      </w:r>
    </w:p>
  </w:endnote>
  <w:endnote w:id="3311">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2 Peter, p. 1317.  Ref. 2 Pet. 2:1.</w:t>
      </w:r>
    </w:p>
  </w:endnote>
  <w:endnote w:id="3312">
    <w:p w:rsidR="00975183" w:rsidRPr="006329CD"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 2 Pet. 1:19, p. 1318.  </w:t>
      </w:r>
      <w:proofErr w:type="gramStart"/>
      <w:r w:rsidRPr="00002A53">
        <w:rPr>
          <w:b/>
        </w:rPr>
        <w:t>See 2.2.2</w:t>
      </w:r>
      <w:r w:rsidRPr="00002A53">
        <w:t>.</w:t>
      </w:r>
      <w:proofErr w:type="gramEnd"/>
    </w:p>
  </w:endnote>
  <w:endnote w:id="3313">
    <w:p w:rsidR="00975183" w:rsidRDefault="00975183" w:rsidP="006A2E06">
      <w:pPr>
        <w:pStyle w:val="EndnoteText"/>
      </w:pPr>
      <w:r w:rsidRPr="006329CD">
        <w:rPr>
          <w:rStyle w:val="EndnoteReference"/>
        </w:rPr>
        <w:endnoteRef/>
      </w:r>
      <w:r w:rsidRPr="006329CD">
        <w:t xml:space="preserve"> </w:t>
      </w:r>
      <w:r w:rsidRPr="006329CD">
        <w:rPr>
          <w:i/>
        </w:rPr>
        <w:t>SRB</w:t>
      </w:r>
      <w:r w:rsidRPr="006329CD">
        <w:t xml:space="preserve"> note on</w:t>
      </w:r>
      <w:r>
        <w:t xml:space="preserve"> 2 Pet. 3:18, p. 1320.  </w:t>
      </w:r>
      <w:r w:rsidRPr="00002A53">
        <w:rPr>
          <w:b/>
        </w:rPr>
        <w:t>See 2.</w:t>
      </w:r>
      <w:r>
        <w:rPr>
          <w:b/>
        </w:rPr>
        <w:t>4</w:t>
      </w:r>
      <w:r>
        <w:t>.</w:t>
      </w:r>
    </w:p>
  </w:endnote>
  <w:endnote w:id="3314">
    <w:p w:rsidR="00975183" w:rsidRDefault="00975183" w:rsidP="00455E1F">
      <w:pPr>
        <w:pStyle w:val="EndnoteText"/>
      </w:pPr>
      <w:r w:rsidRPr="005D00B9">
        <w:rPr>
          <w:rStyle w:val="FootnoteReference"/>
        </w:rPr>
        <w:endnoteRef/>
      </w:r>
      <w:r w:rsidRPr="005D00B9">
        <w:t xml:space="preserve"> </w:t>
      </w:r>
      <w:r w:rsidRPr="005D00B9">
        <w:rPr>
          <w:i/>
        </w:rPr>
        <w:t>SRB</w:t>
      </w:r>
      <w:r w:rsidRPr="005D00B9">
        <w:t xml:space="preserve"> Introduction to 1 John, p. 1321.</w:t>
      </w:r>
    </w:p>
  </w:endnote>
  <w:endnote w:id="3315">
    <w:p w:rsidR="00975183" w:rsidRDefault="00975183" w:rsidP="00455E1F">
      <w:pPr>
        <w:pStyle w:val="EndnoteText"/>
      </w:pPr>
      <w:r w:rsidRPr="005D00B9">
        <w:rPr>
          <w:rStyle w:val="FootnoteReference"/>
        </w:rPr>
        <w:endnoteRef/>
      </w:r>
      <w:r w:rsidRPr="005D00B9">
        <w:t xml:space="preserve"> </w:t>
      </w:r>
      <w:r w:rsidRPr="005D00B9">
        <w:rPr>
          <w:i/>
        </w:rPr>
        <w:t>SRB</w:t>
      </w:r>
      <w:r w:rsidRPr="005D00B9">
        <w:t xml:space="preserve"> Introduction to </w:t>
      </w:r>
      <w:r>
        <w:t>2</w:t>
      </w:r>
      <w:r w:rsidRPr="005D00B9">
        <w:t xml:space="preserve"> John, p. 132</w:t>
      </w:r>
      <w:r>
        <w:t>6</w:t>
      </w:r>
      <w:r w:rsidRPr="005D00B9">
        <w:t>.</w:t>
      </w:r>
    </w:p>
  </w:endnote>
  <w:endnote w:id="3316">
    <w:p w:rsidR="00975183" w:rsidRPr="006329CD" w:rsidRDefault="00975183" w:rsidP="00455E1F">
      <w:pPr>
        <w:pStyle w:val="EndnoteText"/>
      </w:pPr>
      <w:r w:rsidRPr="006329CD">
        <w:rPr>
          <w:rStyle w:val="EndnoteReference"/>
        </w:rPr>
        <w:endnoteRef/>
      </w:r>
      <w:r w:rsidRPr="006329CD">
        <w:t xml:space="preserve"> </w:t>
      </w:r>
      <w:r w:rsidRPr="006329CD">
        <w:rPr>
          <w:i/>
        </w:rPr>
        <w:t>SRB</w:t>
      </w:r>
      <w:r w:rsidRPr="006329CD">
        <w:t xml:space="preserve"> note on 2 John, v</w:t>
      </w:r>
      <w:r>
        <w:t>.</w:t>
      </w:r>
      <w:r w:rsidRPr="006329CD">
        <w:t xml:space="preserve"> 5, p. 1326.</w:t>
      </w:r>
    </w:p>
  </w:endnote>
  <w:endnote w:id="3317">
    <w:p w:rsidR="00975183" w:rsidRDefault="00975183" w:rsidP="00455E1F">
      <w:pPr>
        <w:pStyle w:val="EndnoteText"/>
      </w:pPr>
      <w:r w:rsidRPr="005D00B9">
        <w:rPr>
          <w:rStyle w:val="FootnoteReference"/>
        </w:rPr>
        <w:endnoteRef/>
      </w:r>
      <w:r w:rsidRPr="005D00B9">
        <w:t xml:space="preserve"> </w:t>
      </w:r>
      <w:r w:rsidRPr="005D00B9">
        <w:rPr>
          <w:i/>
        </w:rPr>
        <w:t>SRB</w:t>
      </w:r>
      <w:r w:rsidRPr="005D00B9">
        <w:t xml:space="preserve"> Introduction to 3 John, p. 1327.  </w:t>
      </w:r>
    </w:p>
  </w:endnote>
  <w:endnote w:id="3318">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Jude, p. 1328</w:t>
      </w:r>
      <w:r w:rsidRPr="005D00B9">
        <w:rPr>
          <w:b/>
        </w:rPr>
        <w:t>.</w:t>
      </w:r>
    </w:p>
  </w:endnote>
  <w:endnote w:id="331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Jude, p. 1328.  Ref. Lk. 18:8.</w:t>
      </w:r>
    </w:p>
  </w:endnote>
  <w:endnote w:id="332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Jude, p. 1328</w:t>
      </w:r>
      <w:r w:rsidRPr="005D00B9">
        <w:rPr>
          <w:b/>
        </w:rPr>
        <w:t>.</w:t>
      </w:r>
    </w:p>
  </w:endnote>
  <w:endnote w:id="3321">
    <w:p w:rsidR="00975183" w:rsidRDefault="00975183" w:rsidP="006A2E06">
      <w:pPr>
        <w:pStyle w:val="EndnoteText"/>
      </w:pPr>
      <w:r w:rsidRPr="00253079">
        <w:rPr>
          <w:rStyle w:val="FootnoteReference"/>
        </w:rPr>
        <w:endnoteRef/>
      </w:r>
      <w:r w:rsidRPr="00253079">
        <w:t xml:space="preserve"> </w:t>
      </w:r>
      <w:r w:rsidRPr="00A8691C">
        <w:rPr>
          <w:spacing w:val="-2"/>
        </w:rPr>
        <w:t xml:space="preserve">Jude v. 1: 150 words for every 100 words in the </w:t>
      </w:r>
      <w:r w:rsidRPr="00A8691C">
        <w:rPr>
          <w:i/>
          <w:spacing w:val="-2"/>
        </w:rPr>
        <w:t>KJV</w:t>
      </w:r>
      <w:r w:rsidRPr="00A8691C">
        <w:rPr>
          <w:spacing w:val="-2"/>
        </w:rPr>
        <w:t xml:space="preserve"> text for the verse; Jude v. 6: 270 words; Jude v. 11: 580 words; and Jude v. 23: 550 words.  In total, the </w:t>
      </w:r>
      <w:r w:rsidRPr="00A8691C">
        <w:rPr>
          <w:i/>
          <w:spacing w:val="-2"/>
        </w:rPr>
        <w:t>SRB</w:t>
      </w:r>
      <w:r w:rsidRPr="00A8691C">
        <w:rPr>
          <w:spacing w:val="-2"/>
        </w:rPr>
        <w:t xml:space="preserve"> notes on Jude contain 64 words for every 100 words in the </w:t>
      </w:r>
      <w:r w:rsidRPr="00A8691C">
        <w:rPr>
          <w:i/>
          <w:spacing w:val="-2"/>
        </w:rPr>
        <w:t>KJV</w:t>
      </w:r>
      <w:r w:rsidRPr="00A8691C">
        <w:rPr>
          <w:spacing w:val="-2"/>
        </w:rPr>
        <w:t xml:space="preserve"> text.</w:t>
      </w:r>
    </w:p>
  </w:endnote>
  <w:endnote w:id="3322">
    <w:p w:rsidR="00975183" w:rsidRDefault="00975183" w:rsidP="006A2E06">
      <w:pPr>
        <w:pStyle w:val="EndnoteText"/>
      </w:pPr>
      <w:r w:rsidRPr="00253079">
        <w:rPr>
          <w:rStyle w:val="FootnoteReference"/>
        </w:rPr>
        <w:endnoteRef/>
      </w:r>
      <w:r w:rsidRPr="00253079">
        <w:t xml:space="preserve"> </w:t>
      </w:r>
      <w:proofErr w:type="gramStart"/>
      <w:r w:rsidRPr="00253079">
        <w:rPr>
          <w:i/>
        </w:rPr>
        <w:t>SRB</w:t>
      </w:r>
      <w:r w:rsidRPr="00253079">
        <w:t xml:space="preserve"> note on Jude v. 1, p. 1328.</w:t>
      </w:r>
      <w:proofErr w:type="gramEnd"/>
      <w:r w:rsidRPr="00253079">
        <w:t xml:space="preserve">  </w:t>
      </w:r>
    </w:p>
  </w:endnote>
  <w:endnote w:id="332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Horrell, </w:t>
      </w:r>
      <w:r w:rsidRPr="006329CD">
        <w:rPr>
          <w:i/>
          <w:szCs w:val="18"/>
        </w:rPr>
        <w:t>Epistles of Peter and Jude</w:t>
      </w:r>
      <w:r w:rsidRPr="006329CD">
        <w:rPr>
          <w:szCs w:val="18"/>
        </w:rPr>
        <w:t>, pp. 105-7</w:t>
      </w:r>
    </w:p>
  </w:endnote>
  <w:endnote w:id="3324">
    <w:p w:rsidR="00975183" w:rsidRDefault="00975183" w:rsidP="006A2E06">
      <w:pPr>
        <w:pStyle w:val="EndnoteText"/>
      </w:pPr>
      <w:r w:rsidRPr="006329CD">
        <w:rPr>
          <w:rStyle w:val="FootnoteReference"/>
        </w:rPr>
        <w:endnoteRef/>
      </w:r>
      <w:r w:rsidRPr="006329CD">
        <w:t xml:space="preserve"> </w:t>
      </w:r>
      <w:proofErr w:type="gramStart"/>
      <w:r w:rsidRPr="006329CD">
        <w:rPr>
          <w:i/>
        </w:rPr>
        <w:t>SRB</w:t>
      </w:r>
      <w:r w:rsidRPr="006329CD">
        <w:t xml:space="preserve"> note on Jude v. 6.</w:t>
      </w:r>
      <w:proofErr w:type="gramEnd"/>
      <w:r w:rsidRPr="006329CD">
        <w:t xml:space="preserve">  Scofield has already covered this subject thoroughly in his note on Heb. 1:4, p. 1291</w:t>
      </w:r>
      <w:r w:rsidRPr="00002A53">
        <w:t xml:space="preserve">.  </w:t>
      </w:r>
    </w:p>
    <w:p w:rsidR="00975183" w:rsidRDefault="00975183" w:rsidP="006A2E06">
      <w:pPr>
        <w:pStyle w:val="EndnoteText"/>
      </w:pPr>
      <w:r w:rsidRPr="00002A53">
        <w:rPr>
          <w:b/>
        </w:rPr>
        <w:t>See above</w:t>
      </w:r>
      <w:r w:rsidRPr="00002A53">
        <w:t>.</w:t>
      </w:r>
    </w:p>
  </w:endnote>
  <w:endnote w:id="3325">
    <w:p w:rsidR="00975183" w:rsidRDefault="00975183" w:rsidP="006A2E06">
      <w:pPr>
        <w:pStyle w:val="EndnoteText"/>
      </w:pPr>
      <w:r w:rsidRPr="006329CD">
        <w:rPr>
          <w:rStyle w:val="FootnoteReference"/>
        </w:rPr>
        <w:endnoteRef/>
      </w:r>
      <w:r w:rsidRPr="006329CD">
        <w:t xml:space="preserve"> </w:t>
      </w:r>
      <w:proofErr w:type="gramStart"/>
      <w:r w:rsidRPr="006329CD">
        <w:rPr>
          <w:i/>
        </w:rPr>
        <w:t>SRB</w:t>
      </w:r>
      <w:r w:rsidRPr="006329CD">
        <w:t xml:space="preserve"> note on Jude v. 6, p. 1328.</w:t>
      </w:r>
      <w:proofErr w:type="gramEnd"/>
      <w:r w:rsidRPr="006329CD">
        <w:t xml:space="preserve">  Scofield’s note also directs his readers to the ‘other judgments’ listed in his note on Rev. 20:12, p. 1351.  </w:t>
      </w:r>
    </w:p>
  </w:endnote>
  <w:endnote w:id="332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Jude v. 11, pp. 1328-29.</w:t>
      </w:r>
      <w:proofErr w:type="gramEnd"/>
      <w:r w:rsidRPr="006329CD">
        <w:rPr>
          <w:szCs w:val="18"/>
        </w:rPr>
        <w:t xml:space="preserve">  </w:t>
      </w:r>
      <w:proofErr w:type="gramStart"/>
      <w:r w:rsidRPr="00002A53">
        <w:rPr>
          <w:b/>
          <w:szCs w:val="18"/>
        </w:rPr>
        <w:t xml:space="preserve">See 2.3.1, e) </w:t>
      </w:r>
      <w:r w:rsidRPr="00002A53">
        <w:rPr>
          <w:szCs w:val="18"/>
        </w:rPr>
        <w:t>for Scofield’s analysis of Cain as a type.</w:t>
      </w:r>
      <w:proofErr w:type="gramEnd"/>
    </w:p>
  </w:endnote>
  <w:endnote w:id="332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Jude v. 11, pp. 1328-29.</w:t>
      </w:r>
      <w:proofErr w:type="gramEnd"/>
    </w:p>
  </w:endnote>
  <w:endnote w:id="332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Horrell, </w:t>
      </w:r>
      <w:r w:rsidRPr="006329CD">
        <w:rPr>
          <w:i/>
          <w:szCs w:val="18"/>
        </w:rPr>
        <w:t>Epistles of Peter and Jude</w:t>
      </w:r>
      <w:r w:rsidRPr="006329CD">
        <w:rPr>
          <w:szCs w:val="18"/>
        </w:rPr>
        <w:t>, p. 123.</w:t>
      </w:r>
    </w:p>
  </w:endnote>
  <w:endnote w:id="3329">
    <w:p w:rsidR="00975183" w:rsidRDefault="00975183" w:rsidP="006A2E06">
      <w:pPr>
        <w:pStyle w:val="EndnoteText"/>
      </w:pPr>
      <w:r w:rsidRPr="00253079">
        <w:rPr>
          <w:rStyle w:val="FootnoteReference"/>
        </w:rPr>
        <w:endnoteRef/>
      </w:r>
      <w:r w:rsidRPr="00253079">
        <w:t xml:space="preserve"> </w:t>
      </w:r>
      <w:proofErr w:type="gramStart"/>
      <w:r w:rsidRPr="00253079">
        <w:rPr>
          <w:i/>
        </w:rPr>
        <w:t>SRB</w:t>
      </w:r>
      <w:r w:rsidRPr="00253079">
        <w:t xml:space="preserve"> note on Jude v. 11, p. 1329.</w:t>
      </w:r>
      <w:proofErr w:type="gramEnd"/>
      <w:r w:rsidRPr="00253079">
        <w:t xml:space="preserve">  </w:t>
      </w:r>
      <w:proofErr w:type="gramStart"/>
      <w:r>
        <w:t>(</w:t>
      </w:r>
      <w:r w:rsidRPr="00253079">
        <w:rPr>
          <w:i/>
        </w:rPr>
        <w:t>Scofield’s emphasis</w:t>
      </w:r>
      <w:r w:rsidRPr="00253079">
        <w:t>.</w:t>
      </w:r>
      <w:r>
        <w:t>)</w:t>
      </w:r>
      <w:proofErr w:type="gramEnd"/>
      <w:r>
        <w:t xml:space="preserve">  cf </w:t>
      </w:r>
      <w:r w:rsidRPr="007C0702">
        <w:rPr>
          <w:i/>
        </w:rPr>
        <w:t>SRB</w:t>
      </w:r>
      <w:r>
        <w:t xml:space="preserve"> notes on Num. 22:5, p. 196 and </w:t>
      </w:r>
    </w:p>
    <w:p w:rsidR="00975183" w:rsidRDefault="00975183" w:rsidP="006A2E06">
      <w:pPr>
        <w:pStyle w:val="EndnoteText"/>
      </w:pPr>
      <w:r>
        <w:t>Num. 22:22, p. 197.</w:t>
      </w:r>
    </w:p>
  </w:endnote>
  <w:endnote w:id="333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Horrell, </w:t>
      </w:r>
      <w:r w:rsidRPr="006329CD">
        <w:rPr>
          <w:i/>
          <w:szCs w:val="18"/>
        </w:rPr>
        <w:t>Epistles of Peter and Jude</w:t>
      </w:r>
      <w:r w:rsidRPr="006329CD">
        <w:rPr>
          <w:szCs w:val="18"/>
        </w:rPr>
        <w:t>, p. 123.</w:t>
      </w:r>
    </w:p>
  </w:endnote>
  <w:endnote w:id="333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Numbers 16.</w:t>
      </w:r>
      <w:proofErr w:type="gramEnd"/>
    </w:p>
  </w:endnote>
  <w:endnote w:id="333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Jude v. 11, p. 1329.</w:t>
      </w:r>
      <w:proofErr w:type="gramEnd"/>
    </w:p>
  </w:endnote>
  <w:endnote w:id="333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Horrell, </w:t>
      </w:r>
      <w:r w:rsidRPr="006329CD">
        <w:rPr>
          <w:i/>
          <w:szCs w:val="18"/>
        </w:rPr>
        <w:t>Epistles of Peter and Jude</w:t>
      </w:r>
      <w:r w:rsidRPr="006329CD">
        <w:rPr>
          <w:szCs w:val="18"/>
        </w:rPr>
        <w:t>, p. 124.</w:t>
      </w:r>
    </w:p>
  </w:endnote>
  <w:endnote w:id="333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Horrell, </w:t>
      </w:r>
      <w:r w:rsidRPr="006329CD">
        <w:rPr>
          <w:i/>
          <w:szCs w:val="18"/>
        </w:rPr>
        <w:t>Epistles of Peter and Jude</w:t>
      </w:r>
      <w:r w:rsidRPr="006329CD">
        <w:rPr>
          <w:szCs w:val="18"/>
        </w:rPr>
        <w:t>, p. 103.</w:t>
      </w:r>
    </w:p>
  </w:endnote>
  <w:endnote w:id="333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Jude v. 3.</w:t>
      </w:r>
      <w:proofErr w:type="gramEnd"/>
    </w:p>
  </w:endnote>
  <w:endnote w:id="333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Jude vv. 2, 20-21, 24.</w:t>
      </w:r>
      <w:proofErr w:type="gramEnd"/>
    </w:p>
  </w:endnote>
  <w:endnote w:id="333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Jude vv. 20-24.</w:t>
      </w:r>
    </w:p>
  </w:endnote>
  <w:endnote w:id="3338">
    <w:p w:rsidR="00975183" w:rsidRDefault="00975183" w:rsidP="006A2E06">
      <w:pPr>
        <w:pStyle w:val="EndnoteText"/>
        <w:rPr>
          <w:szCs w:val="18"/>
        </w:rPr>
      </w:pPr>
      <w:r w:rsidRPr="00FB0CC3">
        <w:rPr>
          <w:rStyle w:val="FootnoteReference"/>
          <w:szCs w:val="18"/>
        </w:rPr>
        <w:endnoteRef/>
      </w:r>
      <w:r w:rsidRPr="00FB0CC3">
        <w:rPr>
          <w:szCs w:val="18"/>
        </w:rPr>
        <w:t xml:space="preserve"> ‘And others save with fear, pulling them out of the fire; hating even the garment spotted by the flesh.’  </w:t>
      </w:r>
    </w:p>
    <w:p w:rsidR="00975183" w:rsidRDefault="00975183" w:rsidP="006A2E06">
      <w:pPr>
        <w:pStyle w:val="EndnoteText"/>
      </w:pPr>
      <w:proofErr w:type="gramStart"/>
      <w:r w:rsidRPr="00FB0CC3">
        <w:rPr>
          <w:szCs w:val="18"/>
        </w:rPr>
        <w:t xml:space="preserve">Jude v. 23, </w:t>
      </w:r>
      <w:r w:rsidRPr="00FB0CC3">
        <w:rPr>
          <w:i/>
          <w:szCs w:val="18"/>
        </w:rPr>
        <w:t>KJV</w:t>
      </w:r>
      <w:r w:rsidRPr="00FB0CC3">
        <w:rPr>
          <w:szCs w:val="18"/>
        </w:rPr>
        <w:t>.</w:t>
      </w:r>
      <w:proofErr w:type="gramEnd"/>
    </w:p>
  </w:endnote>
  <w:endnote w:id="3339">
    <w:p w:rsidR="00975183" w:rsidRDefault="00975183" w:rsidP="006A2E06">
      <w:pPr>
        <w:pStyle w:val="EndnoteText"/>
      </w:pPr>
      <w:r w:rsidRPr="00FB0CC3">
        <w:rPr>
          <w:rStyle w:val="FootnoteReference"/>
          <w:szCs w:val="18"/>
        </w:rPr>
        <w:endnoteRef/>
      </w:r>
      <w:r w:rsidRPr="00FB0CC3">
        <w:rPr>
          <w:szCs w:val="18"/>
        </w:rPr>
        <w:t xml:space="preserve"> Horrell, </w:t>
      </w:r>
      <w:r w:rsidRPr="00FB0CC3">
        <w:rPr>
          <w:i/>
          <w:szCs w:val="18"/>
        </w:rPr>
        <w:t>Epistles of Peter and Jude</w:t>
      </w:r>
      <w:r w:rsidRPr="00FB0CC3">
        <w:rPr>
          <w:szCs w:val="18"/>
        </w:rPr>
        <w:t xml:space="preserve">, p. 124.  </w:t>
      </w:r>
    </w:p>
  </w:endnote>
  <w:endnote w:id="3340">
    <w:p w:rsidR="00975183" w:rsidRDefault="00975183" w:rsidP="006A2E06">
      <w:pPr>
        <w:pStyle w:val="EndnoteText"/>
      </w:pPr>
      <w:r w:rsidRPr="00FB0CC3">
        <w:rPr>
          <w:rStyle w:val="FootnoteReference"/>
          <w:szCs w:val="18"/>
        </w:rPr>
        <w:endnoteRef/>
      </w:r>
      <w:r w:rsidRPr="00FB0CC3">
        <w:rPr>
          <w:szCs w:val="18"/>
        </w:rPr>
        <w:t xml:space="preserve"> </w:t>
      </w:r>
      <w:proofErr w:type="gramStart"/>
      <w:r w:rsidRPr="00FB0CC3">
        <w:rPr>
          <w:i/>
          <w:color w:val="000000"/>
          <w:szCs w:val="18"/>
        </w:rPr>
        <w:t>SRB</w:t>
      </w:r>
      <w:r w:rsidRPr="00FB0CC3">
        <w:rPr>
          <w:color w:val="000000"/>
          <w:szCs w:val="18"/>
        </w:rPr>
        <w:t xml:space="preserve"> note on Jude v. 23, p. 1329.</w:t>
      </w:r>
      <w:proofErr w:type="gramEnd"/>
    </w:p>
  </w:endnote>
  <w:endnote w:id="3341">
    <w:p w:rsidR="00975183" w:rsidRDefault="00975183" w:rsidP="006A2E06">
      <w:pPr>
        <w:pStyle w:val="EndnoteText"/>
        <w:tabs>
          <w:tab w:val="left" w:pos="-426"/>
        </w:tabs>
      </w:pPr>
      <w:r w:rsidRPr="003C5705">
        <w:rPr>
          <w:rStyle w:val="EndnoteReference"/>
        </w:rPr>
        <w:endnoteRef/>
      </w:r>
      <w:r w:rsidRPr="003C5705">
        <w:t xml:space="preserve"> </w:t>
      </w:r>
      <w:r>
        <w:t xml:space="preserve">For example, </w:t>
      </w:r>
      <w:r w:rsidRPr="003C5705">
        <w:rPr>
          <w:i/>
        </w:rPr>
        <w:t>SRB</w:t>
      </w:r>
      <w:r>
        <w:t xml:space="preserve"> notes on physical death (Heb. 9:27, p. 1299); </w:t>
      </w:r>
    </w:p>
    <w:p w:rsidR="00975183" w:rsidRDefault="00975183" w:rsidP="006A2E06">
      <w:pPr>
        <w:pStyle w:val="EndnoteText"/>
        <w:tabs>
          <w:tab w:val="left" w:pos="-426"/>
        </w:tabs>
      </w:pPr>
      <w:r>
        <w:t xml:space="preserve">sacrifice (Heb. 10:18, p. 1300); </w:t>
      </w:r>
    </w:p>
    <w:p w:rsidR="00975183" w:rsidRDefault="00975183" w:rsidP="006A2E06">
      <w:pPr>
        <w:pStyle w:val="EndnoteText"/>
        <w:tabs>
          <w:tab w:val="left" w:pos="-426"/>
        </w:tabs>
      </w:pPr>
      <w:r>
        <w:t xml:space="preserve">faith (Heb. 11:39, pp. 1302-3); </w:t>
      </w:r>
    </w:p>
    <w:p w:rsidR="00975183" w:rsidRDefault="00975183" w:rsidP="006A2E06">
      <w:pPr>
        <w:pStyle w:val="EndnoteText"/>
        <w:tabs>
          <w:tab w:val="left" w:pos="-426"/>
        </w:tabs>
      </w:pPr>
      <w:r>
        <w:t xml:space="preserve">temptation (Jas 1:14, p. 1307); </w:t>
      </w:r>
    </w:p>
    <w:p w:rsidR="00975183" w:rsidRDefault="00975183" w:rsidP="006A2E06">
      <w:pPr>
        <w:pStyle w:val="EndnoteText"/>
        <w:tabs>
          <w:tab w:val="left" w:pos="-426"/>
        </w:tabs>
      </w:pPr>
      <w:r>
        <w:t xml:space="preserve">the imputation of Christ’s righteousness to the believer (Jas 2:23, p. 1308); </w:t>
      </w:r>
    </w:p>
    <w:p w:rsidR="00975183" w:rsidRDefault="00975183" w:rsidP="006A2E06">
      <w:pPr>
        <w:pStyle w:val="EndnoteText"/>
        <w:tabs>
          <w:tab w:val="left" w:pos="-426"/>
        </w:tabs>
      </w:pPr>
      <w:r>
        <w:t xml:space="preserve">election (1 Pet. 1:2, p. 1311); </w:t>
      </w:r>
    </w:p>
    <w:p w:rsidR="00975183" w:rsidRDefault="00975183" w:rsidP="006A2E06">
      <w:pPr>
        <w:pStyle w:val="EndnoteText"/>
        <w:tabs>
          <w:tab w:val="left" w:pos="-426"/>
        </w:tabs>
      </w:pPr>
      <w:r>
        <w:t xml:space="preserve">suffering (1 Pet. 1:7, p. 1311); </w:t>
      </w:r>
    </w:p>
    <w:p w:rsidR="00975183" w:rsidRDefault="00975183" w:rsidP="006A2E06">
      <w:pPr>
        <w:pStyle w:val="EndnoteText"/>
        <w:tabs>
          <w:tab w:val="left" w:pos="-426"/>
        </w:tabs>
      </w:pPr>
      <w:r>
        <w:t xml:space="preserve">grace (2 Pet. 3:18, p. 1320); </w:t>
      </w:r>
    </w:p>
    <w:p w:rsidR="00975183" w:rsidRDefault="00975183" w:rsidP="006A2E06">
      <w:pPr>
        <w:pStyle w:val="EndnoteText"/>
        <w:tabs>
          <w:tab w:val="left" w:pos="-426"/>
        </w:tabs>
      </w:pPr>
      <w:r>
        <w:t xml:space="preserve">walking in the light (1 Jn 1:7, p. 1321); </w:t>
      </w:r>
    </w:p>
    <w:p w:rsidR="00975183" w:rsidRDefault="00975183" w:rsidP="006A2E06">
      <w:pPr>
        <w:pStyle w:val="EndnoteText"/>
        <w:tabs>
          <w:tab w:val="left" w:pos="-426"/>
        </w:tabs>
      </w:pPr>
      <w:r>
        <w:t xml:space="preserve">advocacy (1 Jn 2:1, p. 1322); </w:t>
      </w:r>
    </w:p>
    <w:p w:rsidR="00975183" w:rsidRDefault="00975183" w:rsidP="006A2E06">
      <w:pPr>
        <w:pStyle w:val="EndnoteText"/>
        <w:tabs>
          <w:tab w:val="left" w:pos="-426"/>
        </w:tabs>
      </w:pPr>
      <w:r>
        <w:t xml:space="preserve">righteousness (1 Jn 3:7, p. 1323); </w:t>
      </w:r>
    </w:p>
    <w:p w:rsidR="00975183" w:rsidRDefault="00975183" w:rsidP="006A2E06">
      <w:pPr>
        <w:pStyle w:val="EndnoteText"/>
      </w:pPr>
      <w:r>
        <w:t xml:space="preserve">angels (Heb. 1:4, pp. 1291-2; </w:t>
      </w:r>
    </w:p>
    <w:p w:rsidR="00975183" w:rsidRPr="003C5705" w:rsidRDefault="00975183" w:rsidP="006A2E06">
      <w:pPr>
        <w:pStyle w:val="EndnoteText"/>
      </w:pPr>
      <w:proofErr w:type="gramStart"/>
      <w:r>
        <w:t>Jewish professed believers (Heb. 6:4, p. 1295).</w:t>
      </w:r>
      <w:proofErr w:type="gramEnd"/>
    </w:p>
  </w:endnote>
  <w:endnote w:id="3342">
    <w:p w:rsidR="00975183" w:rsidRDefault="00975183" w:rsidP="006A2E06">
      <w:pPr>
        <w:pStyle w:val="EndnoteText"/>
      </w:pPr>
      <w:r w:rsidRPr="00FB0CC3">
        <w:rPr>
          <w:rStyle w:val="FootnoteReference"/>
          <w:szCs w:val="18"/>
        </w:rPr>
        <w:endnoteRef/>
      </w:r>
      <w:r w:rsidRPr="00FB0CC3">
        <w:rPr>
          <w:szCs w:val="18"/>
        </w:rPr>
        <w:t xml:space="preserve"> </w:t>
      </w:r>
      <w:r w:rsidRPr="00FB0CC3">
        <w:rPr>
          <w:i/>
          <w:color w:val="000000"/>
          <w:szCs w:val="18"/>
        </w:rPr>
        <w:t>SRB</w:t>
      </w:r>
      <w:r w:rsidRPr="00FB0CC3">
        <w:rPr>
          <w:color w:val="000000"/>
          <w:szCs w:val="18"/>
        </w:rPr>
        <w:t xml:space="preserve"> note on</w:t>
      </w:r>
      <w:r>
        <w:rPr>
          <w:color w:val="000000"/>
          <w:szCs w:val="18"/>
        </w:rPr>
        <w:t xml:space="preserve"> Heb. 10:18, p. 1300.</w:t>
      </w:r>
    </w:p>
  </w:endnote>
  <w:endnote w:id="3343">
    <w:p w:rsidR="00975183" w:rsidRDefault="00975183" w:rsidP="006A2E06">
      <w:pPr>
        <w:pStyle w:val="EndnoteText"/>
      </w:pPr>
      <w:r w:rsidRPr="00FB0CC3">
        <w:rPr>
          <w:rStyle w:val="FootnoteReference"/>
          <w:szCs w:val="18"/>
        </w:rPr>
        <w:endnoteRef/>
      </w:r>
      <w:r w:rsidRPr="00FB0CC3">
        <w:rPr>
          <w:szCs w:val="18"/>
        </w:rPr>
        <w:t xml:space="preserve"> </w:t>
      </w:r>
      <w:proofErr w:type="gramStart"/>
      <w:r w:rsidRPr="00FB0CC3">
        <w:rPr>
          <w:i/>
          <w:color w:val="000000"/>
          <w:szCs w:val="18"/>
        </w:rPr>
        <w:t>SRB</w:t>
      </w:r>
      <w:r w:rsidRPr="00FB0CC3">
        <w:rPr>
          <w:color w:val="000000"/>
          <w:szCs w:val="18"/>
        </w:rPr>
        <w:t xml:space="preserve"> note on</w:t>
      </w:r>
      <w:r>
        <w:rPr>
          <w:color w:val="000000"/>
          <w:szCs w:val="18"/>
        </w:rPr>
        <w:t xml:space="preserve"> 1 Pet. 2:8, pp. 1312-3.</w:t>
      </w:r>
      <w:proofErr w:type="gramEnd"/>
    </w:p>
  </w:endnote>
  <w:endnote w:id="3344">
    <w:p w:rsidR="00975183" w:rsidRDefault="00975183" w:rsidP="006A2E06">
      <w:pPr>
        <w:pStyle w:val="EndnoteText"/>
      </w:pPr>
      <w:r w:rsidRPr="00FB0CC3">
        <w:rPr>
          <w:rStyle w:val="FootnoteReference"/>
          <w:szCs w:val="18"/>
        </w:rPr>
        <w:endnoteRef/>
      </w:r>
      <w:r w:rsidRPr="00FB0CC3">
        <w:rPr>
          <w:szCs w:val="18"/>
        </w:rPr>
        <w:t xml:space="preserve"> </w:t>
      </w:r>
      <w:r w:rsidRPr="00FB0CC3">
        <w:rPr>
          <w:i/>
          <w:color w:val="000000"/>
          <w:szCs w:val="18"/>
        </w:rPr>
        <w:t>SRB</w:t>
      </w:r>
      <w:r w:rsidRPr="00FB0CC3">
        <w:rPr>
          <w:color w:val="000000"/>
          <w:szCs w:val="18"/>
        </w:rPr>
        <w:t xml:space="preserve"> note on</w:t>
      </w:r>
      <w:r>
        <w:rPr>
          <w:color w:val="000000"/>
          <w:szCs w:val="18"/>
        </w:rPr>
        <w:t xml:space="preserve"> Heb. 1:4, pp. 1291-2.</w:t>
      </w:r>
    </w:p>
  </w:endnote>
  <w:endnote w:id="3345">
    <w:p w:rsidR="00975183" w:rsidRPr="002F6B55"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2F6B55">
        <w:t>.  Ref. Rev. 11:15.</w:t>
      </w:r>
    </w:p>
  </w:endnote>
  <w:endnote w:id="3346">
    <w:p w:rsidR="00975183" w:rsidRPr="009C25CA" w:rsidRDefault="00975183" w:rsidP="006A2E06">
      <w:pPr>
        <w:pStyle w:val="EndnoteText"/>
      </w:pPr>
      <w:r w:rsidRPr="009C25CA">
        <w:rPr>
          <w:rStyle w:val="EndnoteReference"/>
        </w:rPr>
        <w:endnoteRef/>
      </w:r>
      <w:r w:rsidRPr="009C25CA">
        <w:t xml:space="preserve"> </w:t>
      </w:r>
      <w:r w:rsidRPr="009C25CA">
        <w:rPr>
          <w:i/>
        </w:rPr>
        <w:t>SRB</w:t>
      </w:r>
      <w:r>
        <w:t xml:space="preserve"> Introduction to Revelation, p. 1330.  Ref. Rev. 1:4.</w:t>
      </w:r>
    </w:p>
  </w:endnote>
  <w:endnote w:id="3347">
    <w:p w:rsidR="00975183" w:rsidRPr="009C25CA" w:rsidRDefault="00975183" w:rsidP="006A2E06">
      <w:pPr>
        <w:pStyle w:val="EndnoteText"/>
      </w:pPr>
      <w:r w:rsidRPr="009C25CA">
        <w:rPr>
          <w:rStyle w:val="EndnoteReference"/>
        </w:rPr>
        <w:endnoteRef/>
      </w:r>
      <w:r w:rsidRPr="009C25CA">
        <w:t xml:space="preserve"> </w:t>
      </w:r>
      <w:r>
        <w:t xml:space="preserve">Ref Rev. </w:t>
      </w:r>
      <w:r w:rsidRPr="005D00B9">
        <w:t>1:9-3:22</w:t>
      </w:r>
      <w:r>
        <w:t>.</w:t>
      </w:r>
    </w:p>
  </w:endnote>
  <w:endnote w:id="3348">
    <w:p w:rsidR="00975183" w:rsidRDefault="00975183" w:rsidP="006A2E06">
      <w:pPr>
        <w:pStyle w:val="EndnoteText"/>
      </w:pPr>
      <w:r w:rsidRPr="009C25CA">
        <w:rPr>
          <w:rStyle w:val="EndnoteReference"/>
        </w:rPr>
        <w:endnoteRef/>
      </w:r>
      <w:r w:rsidRPr="009C25CA">
        <w:t xml:space="preserve"> </w:t>
      </w:r>
      <w:r>
        <w:t xml:space="preserve">Ref. Rev. </w:t>
      </w:r>
      <w:r w:rsidRPr="005D00B9">
        <w:t>4:1</w:t>
      </w:r>
      <w:r>
        <w:t xml:space="preserve"> - </w:t>
      </w:r>
      <w:r w:rsidRPr="005D00B9">
        <w:t>19:21</w:t>
      </w:r>
      <w:r>
        <w:t>.</w:t>
      </w:r>
    </w:p>
  </w:endnote>
  <w:endnote w:id="3349">
    <w:p w:rsidR="00975183" w:rsidRDefault="00975183" w:rsidP="006A2E06">
      <w:pPr>
        <w:pStyle w:val="EndnoteText"/>
      </w:pPr>
      <w:r w:rsidRPr="009C25CA">
        <w:rPr>
          <w:rStyle w:val="EndnoteReference"/>
        </w:rPr>
        <w:endnoteRef/>
      </w:r>
      <w:r w:rsidRPr="009C25CA">
        <w:t xml:space="preserve"> </w:t>
      </w:r>
      <w:r>
        <w:t xml:space="preserve">Ref. Rev. </w:t>
      </w:r>
      <w:r w:rsidRPr="005D00B9">
        <w:t xml:space="preserve">20:1 </w:t>
      </w:r>
      <w:r>
        <w:t xml:space="preserve">- </w:t>
      </w:r>
      <w:r w:rsidRPr="005D00B9">
        <w:t>22:21</w:t>
      </w:r>
      <w:r>
        <w:t>.</w:t>
      </w:r>
    </w:p>
  </w:endnote>
  <w:endnote w:id="3350">
    <w:p w:rsidR="00975183" w:rsidRDefault="00975183" w:rsidP="006A2E06">
      <w:pPr>
        <w:pStyle w:val="EndnoteText"/>
      </w:pPr>
      <w:r w:rsidRPr="009C25CA">
        <w:rPr>
          <w:rStyle w:val="EndnoteReference"/>
        </w:rPr>
        <w:endnoteRef/>
      </w:r>
      <w:r w:rsidRPr="009C25CA">
        <w:t xml:space="preserve"> </w:t>
      </w:r>
      <w:proofErr w:type="gramStart"/>
      <w:r>
        <w:t xml:space="preserve">Ref. Rev. </w:t>
      </w:r>
      <w:r w:rsidRPr="005D00B9">
        <w:t>8: 3-6</w:t>
      </w:r>
      <w:r>
        <w:t>.</w:t>
      </w:r>
      <w:proofErr w:type="gramEnd"/>
    </w:p>
  </w:endnote>
  <w:endnote w:id="3351">
    <w:p w:rsidR="00975183" w:rsidRDefault="00975183" w:rsidP="006A2E06">
      <w:pPr>
        <w:pStyle w:val="EndnoteText"/>
      </w:pPr>
      <w:r w:rsidRPr="009C25CA">
        <w:rPr>
          <w:rStyle w:val="EndnoteReference"/>
        </w:rPr>
        <w:endnoteRef/>
      </w:r>
      <w:r w:rsidRPr="009C25CA">
        <w:t xml:space="preserve"> </w:t>
      </w:r>
      <w:proofErr w:type="gramStart"/>
      <w:r>
        <w:t>Ref. Rev. 19:7-9.</w:t>
      </w:r>
      <w:proofErr w:type="gramEnd"/>
    </w:p>
  </w:endnote>
  <w:endnote w:id="3352">
    <w:p w:rsidR="00975183" w:rsidRDefault="00975183" w:rsidP="006A2E06">
      <w:pPr>
        <w:pStyle w:val="EndnoteText"/>
      </w:pPr>
      <w:r w:rsidRPr="009C25CA">
        <w:rPr>
          <w:rStyle w:val="EndnoteReference"/>
        </w:rPr>
        <w:endnoteRef/>
      </w:r>
      <w:r w:rsidRPr="009C25CA">
        <w:t xml:space="preserve"> </w:t>
      </w:r>
      <w:proofErr w:type="gramStart"/>
      <w:r>
        <w:t>Ref. Rev. 20:1-15.</w:t>
      </w:r>
      <w:proofErr w:type="gramEnd"/>
    </w:p>
  </w:endnote>
  <w:endnote w:id="3353">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346A60">
        <w:t>.  Ref. Rev. 1:3.</w:t>
      </w:r>
    </w:p>
  </w:endnote>
  <w:endnote w:id="3354">
    <w:p w:rsidR="00975183" w:rsidRDefault="00975183" w:rsidP="006A2E06">
      <w:pPr>
        <w:pStyle w:val="EndnoteText"/>
      </w:pPr>
      <w:r w:rsidRPr="009C25CA">
        <w:rPr>
          <w:rStyle w:val="EndnoteReference"/>
        </w:rPr>
        <w:endnoteRef/>
      </w:r>
      <w:r w:rsidRPr="009C25CA">
        <w:t xml:space="preserve"> </w:t>
      </w:r>
      <w:r>
        <w:t>Ref. Rev. 11:15.</w:t>
      </w:r>
    </w:p>
  </w:endnote>
  <w:endnote w:id="3355">
    <w:p w:rsidR="00975183" w:rsidRPr="002F6B55"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2F6B55">
        <w:t>.  Ref. Rev. 11:15.</w:t>
      </w:r>
    </w:p>
  </w:endnote>
  <w:endnote w:id="335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r>
        <w:t>‘</w:t>
      </w:r>
      <w:r w:rsidRPr="005D00B9">
        <w:t>“The</w:t>
      </w:r>
      <w:r>
        <w:t xml:space="preserve"> things which thou hast seen”, </w:t>
      </w:r>
      <w:r w:rsidRPr="005D00B9">
        <w:t>the Patmos vision (1:1-20)’.</w:t>
      </w:r>
    </w:p>
  </w:endnote>
  <w:endnote w:id="335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proofErr w:type="gramStart"/>
      <w:r>
        <w:t>‘</w:t>
      </w:r>
      <w:r w:rsidRPr="005D00B9">
        <w:t>“The things which are” i</w:t>
      </w:r>
      <w:r>
        <w:t>.</w:t>
      </w:r>
      <w:r w:rsidRPr="005D00B9">
        <w:t>e</w:t>
      </w:r>
      <w:r>
        <w:t>.</w:t>
      </w:r>
      <w:r w:rsidRPr="005D00B9">
        <w:t xml:space="preserve"> things then existing – obviously the churches’.</w:t>
      </w:r>
      <w:proofErr w:type="gramEnd"/>
      <w:r w:rsidRPr="005D00B9">
        <w:t xml:space="preserve">  After the destruction of the Temple and Jewish dispersal, ‘the testimony of God had been committed to the churches (1 Tim. 3:15)’.  Seven messages are given to seven ‘representative churches’ (2:1</w:t>
      </w:r>
      <w:r>
        <w:t xml:space="preserve"> </w:t>
      </w:r>
      <w:r w:rsidRPr="00012B96">
        <w:rPr>
          <w:sz w:val="16"/>
          <w:szCs w:val="24"/>
        </w:rPr>
        <w:t>—</w:t>
      </w:r>
      <w:r>
        <w:rPr>
          <w:sz w:val="16"/>
          <w:szCs w:val="24"/>
        </w:rPr>
        <w:t xml:space="preserve"> </w:t>
      </w:r>
      <w:r>
        <w:t>3</w:t>
      </w:r>
      <w:r w:rsidRPr="005D00B9">
        <w:t xml:space="preserve">:22).  Scofield emphasises that the </w:t>
      </w:r>
      <w:r>
        <w:t>C</w:t>
      </w:r>
      <w:r w:rsidRPr="005D00B9">
        <w:t xml:space="preserve">hurch is not mentioned in chapters 5 </w:t>
      </w:r>
      <w:r w:rsidRPr="00012B96">
        <w:rPr>
          <w:sz w:val="16"/>
          <w:szCs w:val="24"/>
        </w:rPr>
        <w:t>—</w:t>
      </w:r>
      <w:r>
        <w:t xml:space="preserve"> </w:t>
      </w:r>
      <w:r w:rsidRPr="005D00B9">
        <w:t xml:space="preserve">18. </w:t>
      </w:r>
      <w:r>
        <w:t xml:space="preserve"> </w:t>
      </w:r>
    </w:p>
  </w:endnote>
  <w:endnote w:id="3358">
    <w:p w:rsidR="00975183" w:rsidRDefault="00975183" w:rsidP="006A2E06">
      <w:pPr>
        <w:pStyle w:val="EndnoteText"/>
      </w:pPr>
      <w:r w:rsidRPr="005D00B9">
        <w:rPr>
          <w:rStyle w:val="FootnoteReference"/>
        </w:rPr>
        <w:endnoteRef/>
      </w:r>
      <w:r w:rsidRPr="005D00B9">
        <w:t xml:space="preserve"> </w:t>
      </w:r>
      <w:r>
        <w:t>‘</w:t>
      </w:r>
      <w:r w:rsidRPr="005D00B9">
        <w:t xml:space="preserve">“The things which shall be hereafter”, </w:t>
      </w:r>
      <w:r>
        <w:t xml:space="preserve">lit. </w:t>
      </w:r>
      <w:proofErr w:type="gramStart"/>
      <w:r>
        <w:t xml:space="preserve">“after these” (4:1 </w:t>
      </w:r>
      <w:r w:rsidRPr="00012B96">
        <w:rPr>
          <w:sz w:val="16"/>
          <w:szCs w:val="24"/>
        </w:rPr>
        <w:t>—</w:t>
      </w:r>
      <w:r>
        <w:t xml:space="preserve"> 22:21)</w:t>
      </w:r>
      <w:r w:rsidRPr="005D00B9">
        <w:t>.</w:t>
      </w:r>
      <w:r>
        <w:t>’</w:t>
      </w:r>
      <w:proofErr w:type="gramEnd"/>
    </w:p>
  </w:endnote>
  <w:endnote w:id="3359">
    <w:p w:rsidR="00975183" w:rsidRPr="002F6B55"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2F6B55">
        <w:t>.  Ref. Rev. 11:15.</w:t>
      </w:r>
    </w:p>
  </w:endnote>
  <w:endnote w:id="3360">
    <w:p w:rsidR="00975183" w:rsidRPr="009C25CA" w:rsidRDefault="00975183" w:rsidP="006A2E06">
      <w:pPr>
        <w:pStyle w:val="EndnoteText"/>
      </w:pPr>
      <w:r w:rsidRPr="009C25CA">
        <w:rPr>
          <w:rStyle w:val="EndnoteReference"/>
        </w:rPr>
        <w:endnoteRef/>
      </w:r>
      <w:r w:rsidRPr="009C25CA">
        <w:t xml:space="preserve"> </w:t>
      </w:r>
      <w:r w:rsidRPr="009C25CA">
        <w:rPr>
          <w:i/>
        </w:rPr>
        <w:t>SRB</w:t>
      </w:r>
      <w:r>
        <w:t xml:space="preserve"> Introduction to Revelation, p. 1330.  Ref. Rev. 1:4. </w:t>
      </w:r>
    </w:p>
  </w:endnote>
  <w:endnote w:id="3361">
    <w:p w:rsidR="00975183" w:rsidRPr="009C25CA" w:rsidRDefault="00975183" w:rsidP="006A2E06">
      <w:pPr>
        <w:pStyle w:val="EndnoteText"/>
      </w:pPr>
      <w:r w:rsidRPr="009C25CA">
        <w:rPr>
          <w:rStyle w:val="EndnoteReference"/>
        </w:rPr>
        <w:endnoteRef/>
      </w:r>
      <w:r w:rsidRPr="009C25CA">
        <w:t xml:space="preserve"> </w:t>
      </w:r>
      <w:r>
        <w:t xml:space="preserve">Ref Rev. </w:t>
      </w:r>
      <w:r w:rsidRPr="005D00B9">
        <w:t>1:9</w:t>
      </w:r>
      <w:r>
        <w:t xml:space="preserve"> </w:t>
      </w:r>
      <w:r w:rsidRPr="00012B96">
        <w:rPr>
          <w:sz w:val="16"/>
          <w:szCs w:val="24"/>
        </w:rPr>
        <w:t>—</w:t>
      </w:r>
      <w:r>
        <w:rPr>
          <w:sz w:val="16"/>
          <w:szCs w:val="24"/>
        </w:rPr>
        <w:t xml:space="preserve"> </w:t>
      </w:r>
      <w:r w:rsidRPr="005D00B9">
        <w:t>3:22</w:t>
      </w:r>
      <w:r>
        <w:t>.</w:t>
      </w:r>
    </w:p>
  </w:endnote>
  <w:endnote w:id="3362">
    <w:p w:rsidR="00975183" w:rsidRDefault="00975183" w:rsidP="006A2E06">
      <w:pPr>
        <w:pStyle w:val="EndnoteText"/>
      </w:pPr>
      <w:r w:rsidRPr="009C25CA">
        <w:rPr>
          <w:rStyle w:val="EndnoteReference"/>
        </w:rPr>
        <w:endnoteRef/>
      </w:r>
      <w:r w:rsidRPr="009C25CA">
        <w:t xml:space="preserve"> </w:t>
      </w:r>
      <w:r>
        <w:t xml:space="preserve">Ref. Rev. </w:t>
      </w:r>
      <w:r w:rsidRPr="005D00B9">
        <w:t>4:1</w:t>
      </w:r>
      <w:r>
        <w:t xml:space="preserve"> </w:t>
      </w:r>
      <w:r w:rsidRPr="00012B96">
        <w:rPr>
          <w:sz w:val="16"/>
          <w:szCs w:val="24"/>
        </w:rPr>
        <w:t>—</w:t>
      </w:r>
      <w:r>
        <w:t xml:space="preserve"> </w:t>
      </w:r>
      <w:r w:rsidRPr="005D00B9">
        <w:t>19:21</w:t>
      </w:r>
      <w:r>
        <w:t>.</w:t>
      </w:r>
    </w:p>
  </w:endnote>
  <w:endnote w:id="3363">
    <w:p w:rsidR="00975183" w:rsidRDefault="00975183" w:rsidP="006A2E06">
      <w:pPr>
        <w:pStyle w:val="EndnoteText"/>
      </w:pPr>
      <w:r w:rsidRPr="009C25CA">
        <w:rPr>
          <w:rStyle w:val="EndnoteReference"/>
        </w:rPr>
        <w:endnoteRef/>
      </w:r>
      <w:r w:rsidRPr="009C25CA">
        <w:t xml:space="preserve"> </w:t>
      </w:r>
      <w:r>
        <w:t xml:space="preserve">Ref. Rev. </w:t>
      </w:r>
      <w:r w:rsidRPr="005D00B9">
        <w:t xml:space="preserve">20:1 </w:t>
      </w:r>
      <w:r w:rsidRPr="00012B96">
        <w:rPr>
          <w:sz w:val="16"/>
          <w:szCs w:val="24"/>
        </w:rPr>
        <w:t>—</w:t>
      </w:r>
      <w:r>
        <w:t xml:space="preserve"> </w:t>
      </w:r>
      <w:r w:rsidRPr="005D00B9">
        <w:t>22:21</w:t>
      </w:r>
      <w:r>
        <w:t>.</w:t>
      </w:r>
    </w:p>
  </w:endnote>
  <w:endnote w:id="3364">
    <w:p w:rsidR="00975183" w:rsidRDefault="00975183" w:rsidP="006A2E06">
      <w:pPr>
        <w:pStyle w:val="EndnoteText"/>
      </w:pPr>
      <w:r w:rsidRPr="009C25CA">
        <w:rPr>
          <w:rStyle w:val="EndnoteReference"/>
        </w:rPr>
        <w:endnoteRef/>
      </w:r>
      <w:r w:rsidRPr="009C25CA">
        <w:t xml:space="preserve"> </w:t>
      </w:r>
      <w:proofErr w:type="gramStart"/>
      <w:r>
        <w:t xml:space="preserve">Ref. Rev. </w:t>
      </w:r>
      <w:r w:rsidRPr="005D00B9">
        <w:t>8: 3-6</w:t>
      </w:r>
      <w:r>
        <w:t>.</w:t>
      </w:r>
      <w:proofErr w:type="gramEnd"/>
    </w:p>
  </w:endnote>
  <w:endnote w:id="3365">
    <w:p w:rsidR="00975183" w:rsidRDefault="00975183" w:rsidP="006A2E06">
      <w:pPr>
        <w:pStyle w:val="EndnoteText"/>
      </w:pPr>
      <w:r w:rsidRPr="009C25CA">
        <w:rPr>
          <w:rStyle w:val="EndnoteReference"/>
        </w:rPr>
        <w:endnoteRef/>
      </w:r>
      <w:r w:rsidRPr="009C25CA">
        <w:t xml:space="preserve"> </w:t>
      </w:r>
      <w:proofErr w:type="gramStart"/>
      <w:r>
        <w:t>Ref. Rev. 19:7-9.</w:t>
      </w:r>
      <w:proofErr w:type="gramEnd"/>
      <w:r>
        <w:t xml:space="preserve"> </w:t>
      </w:r>
    </w:p>
  </w:endnote>
  <w:endnote w:id="3366">
    <w:p w:rsidR="00975183" w:rsidRDefault="00975183" w:rsidP="006A2E06">
      <w:pPr>
        <w:pStyle w:val="EndnoteText"/>
      </w:pPr>
      <w:r w:rsidRPr="009C25CA">
        <w:rPr>
          <w:rStyle w:val="EndnoteReference"/>
        </w:rPr>
        <w:endnoteRef/>
      </w:r>
      <w:r w:rsidRPr="009C25CA">
        <w:t xml:space="preserve"> </w:t>
      </w:r>
      <w:proofErr w:type="gramStart"/>
      <w:r>
        <w:t>Ref. Rev. 20:1-15.</w:t>
      </w:r>
      <w:proofErr w:type="gramEnd"/>
    </w:p>
  </w:endnote>
  <w:endnote w:id="336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346A60">
        <w:t>.  Ref. Rev. 1:3.</w:t>
      </w:r>
    </w:p>
  </w:endnote>
  <w:endnote w:id="3368">
    <w:p w:rsidR="00975183" w:rsidRDefault="00975183" w:rsidP="006A2E06">
      <w:pPr>
        <w:pStyle w:val="EndnoteText"/>
      </w:pPr>
      <w:r w:rsidRPr="009C25CA">
        <w:rPr>
          <w:rStyle w:val="EndnoteReference"/>
        </w:rPr>
        <w:endnoteRef/>
      </w:r>
      <w:r w:rsidRPr="009C25CA">
        <w:t xml:space="preserve"> </w:t>
      </w:r>
      <w:r>
        <w:t>Ref. Rev. 11:15.</w:t>
      </w:r>
    </w:p>
  </w:endnote>
  <w:endnote w:id="3369">
    <w:p w:rsidR="00975183" w:rsidRPr="002F6B55"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rsidRPr="002F6B55">
        <w:t>.  Ref. Rev. 11:15.</w:t>
      </w:r>
    </w:p>
  </w:endnote>
  <w:endnote w:id="3370">
    <w:p w:rsidR="00975183" w:rsidRPr="006A4363" w:rsidRDefault="00975183" w:rsidP="006A2E06">
      <w:pPr>
        <w:pStyle w:val="EndnoteText"/>
      </w:pPr>
      <w:r w:rsidRPr="006A4363">
        <w:rPr>
          <w:rStyle w:val="EndnoteReference"/>
        </w:rPr>
        <w:endnoteRef/>
      </w:r>
      <w:r w:rsidRPr="006A4363">
        <w:t xml:space="preserve"> ‘</w:t>
      </w:r>
      <w:r w:rsidRPr="006A4363">
        <w:rPr>
          <w:lang w:bidi="he-IL"/>
        </w:rPr>
        <w:t xml:space="preserve">The kingdoms of this world are become </w:t>
      </w:r>
      <w:r w:rsidRPr="006A4363">
        <w:rPr>
          <w:i/>
          <w:lang w:bidi="he-IL"/>
        </w:rPr>
        <w:t xml:space="preserve">the kingdoms </w:t>
      </w:r>
      <w:r w:rsidRPr="006A4363">
        <w:rPr>
          <w:lang w:bidi="he-IL"/>
        </w:rPr>
        <w:t>of our Lord, and of his Christ</w:t>
      </w:r>
      <w:r w:rsidRPr="006A4363">
        <w:t xml:space="preserve">’ Rev. 11:15 </w:t>
      </w:r>
      <w:r w:rsidRPr="006A4363">
        <w:rPr>
          <w:i/>
        </w:rPr>
        <w:t>KJV</w:t>
      </w:r>
      <w:r w:rsidRPr="006A4363">
        <w:t>.  It is uncertain why the singular ‘</w:t>
      </w:r>
      <w:r w:rsidRPr="00C36788">
        <w:rPr>
          <w:rFonts w:ascii="Bwgrkl" w:hAnsi="Bwgrkl" w:cs="Bwgrkl"/>
          <w:sz w:val="22"/>
          <w:lang w:bidi="he-IL"/>
        </w:rPr>
        <w:t>h` basilei</w:t>
      </w:r>
      <w:proofErr w:type="gramStart"/>
      <w:r w:rsidRPr="00C36788">
        <w:rPr>
          <w:rFonts w:ascii="Bwgrkl" w:hAnsi="Bwgrkl" w:cs="Bwgrkl"/>
          <w:sz w:val="22"/>
          <w:lang w:bidi="he-IL"/>
        </w:rPr>
        <w:t>,a</w:t>
      </w:r>
      <w:r w:rsidRPr="006A4363">
        <w:t>’</w:t>
      </w:r>
      <w:proofErr w:type="gramEnd"/>
      <w:r w:rsidRPr="006A4363">
        <w:t xml:space="preserve"> is pluralised in </w:t>
      </w:r>
      <w:r w:rsidRPr="006A4363">
        <w:rPr>
          <w:i/>
        </w:rPr>
        <w:t>KJV</w:t>
      </w:r>
      <w:r w:rsidRPr="006A4363">
        <w:t xml:space="preserve"> and other translations.</w:t>
      </w:r>
    </w:p>
  </w:endnote>
  <w:endnote w:id="3371">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r>
        <w:t>‘</w:t>
      </w:r>
      <w:r w:rsidRPr="005D00B9">
        <w:t>“The</w:t>
      </w:r>
      <w:r>
        <w:t xml:space="preserve"> things which thou hast seen”, </w:t>
      </w:r>
      <w:r w:rsidRPr="005D00B9">
        <w:t>the Patmos vision (1:1-20)’.</w:t>
      </w:r>
    </w:p>
  </w:endnote>
  <w:endnote w:id="3372">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proofErr w:type="gramStart"/>
      <w:r>
        <w:t>‘</w:t>
      </w:r>
      <w:r w:rsidRPr="005D00B9">
        <w:t>“The things which are” i</w:t>
      </w:r>
      <w:r>
        <w:t>.</w:t>
      </w:r>
      <w:r w:rsidRPr="005D00B9">
        <w:t>e</w:t>
      </w:r>
      <w:r>
        <w:t>.</w:t>
      </w:r>
      <w:r w:rsidRPr="005D00B9">
        <w:t xml:space="preserve"> things then existing – obviously the churches’.</w:t>
      </w:r>
      <w:proofErr w:type="gramEnd"/>
      <w:r w:rsidRPr="005D00B9">
        <w:t xml:space="preserve">  After the destruction of the Temple and Jewish dispersal, ‘the testimony of God had been committed to the churches (1 Tim. 3:15)’.  Seven messages are given to seven ‘representative churches’ (2:1</w:t>
      </w:r>
      <w:r>
        <w:t xml:space="preserve"> </w:t>
      </w:r>
      <w:r w:rsidRPr="00012B96">
        <w:rPr>
          <w:sz w:val="16"/>
          <w:szCs w:val="24"/>
        </w:rPr>
        <w:t>—</w:t>
      </w:r>
      <w:r>
        <w:rPr>
          <w:sz w:val="16"/>
          <w:szCs w:val="24"/>
        </w:rPr>
        <w:t xml:space="preserve"> </w:t>
      </w:r>
      <w:r w:rsidRPr="005D00B9">
        <w:t xml:space="preserve">2:22).  Scofield emphasises that the </w:t>
      </w:r>
      <w:r>
        <w:t>C</w:t>
      </w:r>
      <w:r w:rsidRPr="005D00B9">
        <w:t xml:space="preserve">hurch is not mentioned in chapters 5 </w:t>
      </w:r>
      <w:r>
        <w:t xml:space="preserve">- </w:t>
      </w:r>
      <w:r w:rsidRPr="005D00B9">
        <w:t xml:space="preserve">18. </w:t>
      </w:r>
      <w:r>
        <w:t xml:space="preserve"> </w:t>
      </w:r>
    </w:p>
  </w:endnote>
  <w:endnote w:id="3373">
    <w:p w:rsidR="00975183" w:rsidRDefault="00975183" w:rsidP="006A2E06">
      <w:pPr>
        <w:pStyle w:val="EndnoteText"/>
      </w:pPr>
      <w:r w:rsidRPr="005D00B9">
        <w:rPr>
          <w:rStyle w:val="FootnoteReference"/>
        </w:rPr>
        <w:endnoteRef/>
      </w:r>
      <w:r w:rsidRPr="005D00B9">
        <w:t xml:space="preserve"> </w:t>
      </w:r>
      <w:r>
        <w:t>‘</w:t>
      </w:r>
      <w:r w:rsidRPr="005D00B9">
        <w:t xml:space="preserve">“The things which shall be hereafter”, </w:t>
      </w:r>
      <w:r>
        <w:t xml:space="preserve">lit. </w:t>
      </w:r>
      <w:proofErr w:type="gramStart"/>
      <w:r>
        <w:t xml:space="preserve">“after these” (4:1 </w:t>
      </w:r>
      <w:r w:rsidRPr="00012B96">
        <w:rPr>
          <w:sz w:val="16"/>
          <w:szCs w:val="24"/>
        </w:rPr>
        <w:t>—</w:t>
      </w:r>
      <w:r>
        <w:t xml:space="preserve"> 22:21)</w:t>
      </w:r>
      <w:r w:rsidRPr="005D00B9">
        <w:t>.</w:t>
      </w:r>
      <w:r>
        <w:t>’</w:t>
      </w:r>
      <w:proofErr w:type="gramEnd"/>
    </w:p>
  </w:endnote>
  <w:endnote w:id="3374">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7 seals (4:1</w:t>
      </w:r>
      <w:r>
        <w:t xml:space="preserve"> </w:t>
      </w:r>
      <w:r w:rsidRPr="00012B96">
        <w:rPr>
          <w:sz w:val="16"/>
          <w:szCs w:val="24"/>
        </w:rPr>
        <w:t>—</w:t>
      </w:r>
      <w:r>
        <w:t xml:space="preserve"> </w:t>
      </w:r>
      <w:r w:rsidRPr="005D00B9">
        <w:t xml:space="preserve">8:1), 7 trumpets (8:2 </w:t>
      </w:r>
      <w:r w:rsidRPr="00012B96">
        <w:rPr>
          <w:sz w:val="16"/>
          <w:szCs w:val="24"/>
        </w:rPr>
        <w:t>—</w:t>
      </w:r>
      <w:r>
        <w:t xml:space="preserve"> </w:t>
      </w:r>
      <w:r w:rsidRPr="005D00B9">
        <w:t xml:space="preserve">11:19), </w:t>
      </w:r>
    </w:p>
    <w:p w:rsidR="00975183" w:rsidRDefault="00975183" w:rsidP="006A2E06">
      <w:pPr>
        <w:pStyle w:val="EndnoteText"/>
      </w:pPr>
      <w:r w:rsidRPr="005D00B9">
        <w:t xml:space="preserve">7 personages (12:1 </w:t>
      </w:r>
      <w:r w:rsidRPr="00012B96">
        <w:rPr>
          <w:sz w:val="16"/>
          <w:szCs w:val="24"/>
        </w:rPr>
        <w:t>—</w:t>
      </w:r>
      <w:r>
        <w:t xml:space="preserve"> </w:t>
      </w:r>
      <w:r w:rsidRPr="005D00B9">
        <w:t xml:space="preserve">14:20), 7 vials (bowls) (15:1 </w:t>
      </w:r>
      <w:r w:rsidRPr="00012B96">
        <w:rPr>
          <w:sz w:val="16"/>
          <w:szCs w:val="24"/>
        </w:rPr>
        <w:t>—</w:t>
      </w:r>
      <w:r>
        <w:t xml:space="preserve"> </w:t>
      </w:r>
      <w:r w:rsidRPr="005D00B9">
        <w:t>16:21, 7 dooms (17:1</w:t>
      </w:r>
      <w:r>
        <w:t xml:space="preserve"> </w:t>
      </w:r>
      <w:r w:rsidRPr="00012B96">
        <w:rPr>
          <w:sz w:val="16"/>
          <w:szCs w:val="24"/>
        </w:rPr>
        <w:t>—</w:t>
      </w:r>
      <w:r>
        <w:t xml:space="preserve"> </w:t>
      </w:r>
      <w:r w:rsidRPr="005D00B9">
        <w:t xml:space="preserve">20:15) and </w:t>
      </w:r>
    </w:p>
    <w:p w:rsidR="00975183" w:rsidRDefault="00975183" w:rsidP="006A2E06">
      <w:pPr>
        <w:pStyle w:val="EndnoteText"/>
      </w:pPr>
      <w:proofErr w:type="gramStart"/>
      <w:r w:rsidRPr="005D00B9">
        <w:t xml:space="preserve">7 new things (21:1 </w:t>
      </w:r>
      <w:r w:rsidRPr="00012B96">
        <w:rPr>
          <w:sz w:val="16"/>
          <w:szCs w:val="24"/>
        </w:rPr>
        <w:t>—</w:t>
      </w:r>
      <w:r>
        <w:t xml:space="preserve"> </w:t>
      </w:r>
      <w:r w:rsidRPr="005D00B9">
        <w:t>22:21).</w:t>
      </w:r>
      <w:proofErr w:type="gramEnd"/>
    </w:p>
  </w:endnote>
  <w:endnote w:id="3375">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the Jewish remnant </w:t>
      </w:r>
      <w:r>
        <w:t>and</w:t>
      </w:r>
      <w:r w:rsidRPr="005D00B9">
        <w:t xml:space="preserve"> tribulation saints (7:1-17); the angel, little book and two witnesses (10:1 </w:t>
      </w:r>
      <w:r w:rsidRPr="00012B96">
        <w:rPr>
          <w:sz w:val="16"/>
          <w:szCs w:val="24"/>
        </w:rPr>
        <w:t>—</w:t>
      </w:r>
      <w:r>
        <w:t xml:space="preserve"> </w:t>
      </w:r>
      <w:r w:rsidRPr="005D00B9">
        <w:t>11:14); the Lamb, the Remnant and the everlasting Gospel (14:1-13); the gathering of the kings at Armageddon (16:13-16) and the four alleluias in heaven (19:1-6).</w:t>
      </w:r>
    </w:p>
  </w:endnote>
  <w:endnote w:id="3376">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Ref. </w:t>
      </w:r>
      <w:r w:rsidRPr="00EE111A">
        <w:rPr>
          <w:i/>
        </w:rPr>
        <w:t>SRB</w:t>
      </w:r>
      <w:r w:rsidRPr="005D00B9">
        <w:t xml:space="preserve"> note on Dan. 9:24, pp. 914-15.</w:t>
      </w:r>
    </w:p>
  </w:endnote>
  <w:endnote w:id="3377">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Ref. Rev. 11:3-19:21.</w:t>
      </w:r>
    </w:p>
  </w:endnote>
  <w:endnote w:id="3378">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r>
        <w:t xml:space="preserve">Refs </w:t>
      </w:r>
      <w:r w:rsidRPr="005D00B9">
        <w:t>Mt. 24:29, 30; Rev. 19:11-21.</w:t>
      </w:r>
    </w:p>
  </w:endnote>
  <w:endnote w:id="3379">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  </w:t>
      </w:r>
      <w:proofErr w:type="gramStart"/>
      <w:r w:rsidRPr="005D00B9">
        <w:t>Ref. Rev. 20:4, 5.</w:t>
      </w:r>
      <w:proofErr w:type="gramEnd"/>
      <w:r>
        <w:t xml:space="preserve"> </w:t>
      </w:r>
    </w:p>
  </w:endnote>
  <w:endnote w:id="3380">
    <w:p w:rsidR="00975183" w:rsidRDefault="00975183" w:rsidP="006A2E06">
      <w:pPr>
        <w:pStyle w:val="EndnoteText"/>
      </w:pPr>
      <w:r w:rsidRPr="005D00B9">
        <w:rPr>
          <w:rStyle w:val="FootnoteReference"/>
        </w:rPr>
        <w:endnoteRef/>
      </w:r>
      <w:r w:rsidRPr="005D00B9">
        <w:t xml:space="preserve"> </w:t>
      </w:r>
      <w:r w:rsidRPr="005D00B9">
        <w:rPr>
          <w:i/>
        </w:rPr>
        <w:t>SRB</w:t>
      </w:r>
      <w:r w:rsidRPr="005D00B9">
        <w:t xml:space="preserve"> Introduction to Revelation, p. 1330.</w:t>
      </w:r>
      <w:r>
        <w:t xml:space="preserve"> </w:t>
      </w:r>
    </w:p>
  </w:endnote>
  <w:endnote w:id="3381">
    <w:p w:rsidR="00975183" w:rsidRPr="000F5C49" w:rsidRDefault="00975183" w:rsidP="006A2E06">
      <w:pPr>
        <w:pStyle w:val="EndnoteText"/>
      </w:pPr>
      <w:r w:rsidRPr="000F5C49">
        <w:rPr>
          <w:rStyle w:val="EndnoteReference"/>
        </w:rPr>
        <w:endnoteRef/>
      </w:r>
      <w:r w:rsidRPr="000F5C49">
        <w:t xml:space="preserve"> Other heavily annotated chapters are 19, 22 and 14.  </w:t>
      </w:r>
      <w:r w:rsidRPr="006329CD">
        <w:t>Revelation 1, 2, 3, 4,</w:t>
      </w:r>
      <w:r>
        <w:t xml:space="preserve"> </w:t>
      </w:r>
      <w:r w:rsidRPr="006329CD">
        <w:t>5, 7, 12, 13 and 16</w:t>
      </w:r>
      <w:r>
        <w:t xml:space="preserve"> </w:t>
      </w:r>
      <w:r w:rsidRPr="000F5C49">
        <w:t>are less thoroughly annotated</w:t>
      </w:r>
      <w:r>
        <w:t xml:space="preserve"> and </w:t>
      </w:r>
      <w:r w:rsidRPr="006329CD">
        <w:rPr>
          <w:szCs w:val="18"/>
        </w:rPr>
        <w:t>Revelation 6, 8, 9, 10, 11, 15, 17 and 21</w:t>
      </w:r>
      <w:r>
        <w:rPr>
          <w:szCs w:val="18"/>
        </w:rPr>
        <w:t xml:space="preserve"> are not annotated at all.</w:t>
      </w:r>
    </w:p>
  </w:endnote>
  <w:endnote w:id="3382">
    <w:p w:rsidR="00975183" w:rsidRPr="00994DC5" w:rsidRDefault="00975183" w:rsidP="006A2E06">
      <w:pPr>
        <w:pStyle w:val="EndnoteText"/>
      </w:pPr>
      <w:r w:rsidRPr="00994DC5">
        <w:rPr>
          <w:rStyle w:val="EndnoteReference"/>
        </w:rPr>
        <w:endnoteRef/>
      </w:r>
      <w:r w:rsidRPr="00994DC5">
        <w:t xml:space="preserve"> </w:t>
      </w:r>
      <w:r w:rsidRPr="00994DC5">
        <w:rPr>
          <w:i/>
        </w:rPr>
        <w:t>SRB</w:t>
      </w:r>
      <w:r w:rsidRPr="00994DC5">
        <w:t xml:space="preserve"> notes on Rev. 20:2, 5, 10, 11, 12 and 14.</w:t>
      </w:r>
    </w:p>
  </w:endnote>
  <w:endnote w:id="3383">
    <w:p w:rsidR="00975183" w:rsidRDefault="00975183" w:rsidP="006A2E06">
      <w:pPr>
        <w:spacing w:after="0" w:line="240" w:lineRule="auto"/>
      </w:pPr>
      <w:r w:rsidRPr="0098368D">
        <w:rPr>
          <w:rStyle w:val="EndnoteReference"/>
        </w:rPr>
        <w:endnoteRef/>
      </w:r>
      <w:r w:rsidRPr="0098368D">
        <w:t xml:space="preserve"> </w:t>
      </w:r>
      <w:r>
        <w:t xml:space="preserve">For example, </w:t>
      </w:r>
      <w:r w:rsidRPr="0098368D">
        <w:rPr>
          <w:i/>
        </w:rPr>
        <w:t>SRB</w:t>
      </w:r>
      <w:r>
        <w:t xml:space="preserve"> notes on Isa. </w:t>
      </w:r>
      <w:r w:rsidRPr="00353F00">
        <w:t xml:space="preserve">10:20, p. 722; 11:1, p. 723; 15:1, p. 727; 17:1, p. 728; 29:3, p. 737; </w:t>
      </w:r>
    </w:p>
    <w:p w:rsidR="00975183" w:rsidRDefault="00975183" w:rsidP="006A2E06">
      <w:pPr>
        <w:spacing w:after="0" w:line="240" w:lineRule="auto"/>
      </w:pPr>
      <w:r w:rsidRPr="00353F00">
        <w:t xml:space="preserve">Ezek. 20:37, p. 861; 25:8, p. 868; 28:12, p. 871; 36:1, p. 879; 37:1, p. 881; 38:2, p. 883; </w:t>
      </w:r>
    </w:p>
    <w:p w:rsidR="00975183" w:rsidRDefault="00975183" w:rsidP="006A2E06">
      <w:pPr>
        <w:spacing w:after="0" w:line="240" w:lineRule="auto"/>
      </w:pPr>
      <w:r w:rsidRPr="00353F00">
        <w:t xml:space="preserve">Dan. 2:31, pp. 900-901; 2:41, p. 901; 2:44. p. 902; 3:1, p. 902; 4:1, p. 904; 5:31, p. 907; 7:8, p. 910; </w:t>
      </w:r>
    </w:p>
    <w:p w:rsidR="00975183" w:rsidRDefault="00975183" w:rsidP="006A2E06">
      <w:pPr>
        <w:spacing w:after="0" w:line="240" w:lineRule="auto"/>
      </w:pPr>
      <w:r w:rsidRPr="00353F00">
        <w:t xml:space="preserve">7:13, p. 910; 7:14, p. 910; 7:17, pp. 910-11; 7:26, p. 911; 8:1, p. 911; 8:9, p. 912; 8:10, p. 912; 8:13, pp. 912-3; 8:19, p. 913; 9:24, pp. 914-5; 9:25, p. 915; 9:27, p. 915; 11:35, p. 918; 12:4, p. 919; 12:12, p. 920; </w:t>
      </w:r>
    </w:p>
    <w:p w:rsidR="00975183" w:rsidRDefault="00975183" w:rsidP="006A2E06">
      <w:pPr>
        <w:spacing w:after="0" w:line="240" w:lineRule="auto"/>
      </w:pPr>
      <w:r w:rsidRPr="00353F00">
        <w:t xml:space="preserve">Zech. 1:8, p. 865; 1:18, p. 966; 1:20, p. 966; 2:1, p. 966; 3:1, p. 967; 3:10, p. 967; 4:2, p. 968; 6:1, pp. 969-70; 6:11, p. 970; 8:23, pp. 972-3; 9:8, p. 973; 9:10, p. 973; 10:4, p. 974; 11:7, p. 975; 11:15, p. 975; 12:1, p. 976; 12:8, pp. 976-7; 14:4, p. 978; </w:t>
      </w:r>
    </w:p>
    <w:p w:rsidR="00975183" w:rsidRDefault="00975183" w:rsidP="006A2E06">
      <w:pPr>
        <w:spacing w:after="0" w:line="240" w:lineRule="auto"/>
      </w:pPr>
      <w:r w:rsidRPr="00353F00">
        <w:t xml:space="preserve">Mt. 13:11, p. 1014; 13:30, p. 1016; 24:3, pp. 1032-3; 25:32, p. 1036; Lk. 21:20, p. 1106; </w:t>
      </w:r>
    </w:p>
    <w:p w:rsidR="00975183" w:rsidRDefault="00975183" w:rsidP="006A2E06">
      <w:pPr>
        <w:spacing w:after="0" w:line="240" w:lineRule="auto"/>
      </w:pPr>
      <w:r w:rsidRPr="00353F00">
        <w:t xml:space="preserve">Acts 1:11, p. 1148; 2:17, p. 1151; 2:17, p. 1151; 15: 13, pp. 1169-70; Rom. 11:26, p. 1206; </w:t>
      </w:r>
    </w:p>
    <w:p w:rsidR="00975183" w:rsidRPr="00353F00" w:rsidRDefault="00975183" w:rsidP="006A2E06">
      <w:pPr>
        <w:spacing w:after="0" w:line="240" w:lineRule="auto"/>
      </w:pPr>
      <w:r w:rsidRPr="00353F00">
        <w:t>1 Cor. 15:8; 15:52, p. 1228; 1 Pet. 2:8, pp. 1312-3.</w:t>
      </w:r>
    </w:p>
  </w:endnote>
  <w:endnote w:id="3384">
    <w:p w:rsidR="00975183" w:rsidRDefault="00975183" w:rsidP="006A2E06">
      <w:pPr>
        <w:pStyle w:val="EndnoteText"/>
      </w:pPr>
      <w:r w:rsidRPr="00556E9B">
        <w:rPr>
          <w:rStyle w:val="EndnoteReference"/>
        </w:rPr>
        <w:endnoteRef/>
      </w:r>
      <w:r w:rsidRPr="00556E9B">
        <w:t xml:space="preserve"> </w:t>
      </w:r>
      <w:r w:rsidRPr="00556E9B">
        <w:rPr>
          <w:i/>
        </w:rPr>
        <w:t>SRB</w:t>
      </w:r>
      <w:r>
        <w:t xml:space="preserve"> notes on Rev. 5:7, pp. 1335-6 (Dan. 7:13-14, p. 710); </w:t>
      </w:r>
    </w:p>
    <w:p w:rsidR="00975183" w:rsidRDefault="00975183" w:rsidP="006A2E06">
      <w:pPr>
        <w:pStyle w:val="EndnoteText"/>
      </w:pPr>
      <w:r>
        <w:t xml:space="preserve">Rev. 7:14, p. 1337 (Dan. 9:24-7, pp. 914-5); </w:t>
      </w:r>
    </w:p>
    <w:p w:rsidR="00975183" w:rsidRDefault="00975183" w:rsidP="006A2E06">
      <w:pPr>
        <w:pStyle w:val="EndnoteText"/>
      </w:pPr>
      <w:r>
        <w:t xml:space="preserve">Rev. 13:1, p. 1341 (ref. Dan. 7:24 – not annotated; note on Dan. 7:26, p. 911); </w:t>
      </w:r>
    </w:p>
    <w:p w:rsidR="00975183" w:rsidRDefault="00975183" w:rsidP="006A2E06">
      <w:pPr>
        <w:pStyle w:val="EndnoteText"/>
      </w:pPr>
      <w:r>
        <w:t xml:space="preserve">Rev. 13:2, p. 1341 (ref. Dan. 7:4-6 – not annotated); </w:t>
      </w:r>
    </w:p>
    <w:p w:rsidR="00975183" w:rsidRDefault="00975183" w:rsidP="006A2E06">
      <w:pPr>
        <w:pStyle w:val="EndnoteText"/>
      </w:pPr>
      <w:r>
        <w:t xml:space="preserve">Rev. 16:19, p. 1345 (ref. Dan. 2:34-5 – [these are not annotated but the </w:t>
      </w:r>
      <w:r w:rsidRPr="00062261">
        <w:rPr>
          <w:i/>
        </w:rPr>
        <w:t>SRB</w:t>
      </w:r>
      <w:r>
        <w:t xml:space="preserve"> notes on Dan. 2:31, pp. 900-901 and Dan. 2:41, p</w:t>
      </w:r>
      <w:r w:rsidRPr="00D0042A">
        <w:t>. 901 are relevant</w:t>
      </w:r>
      <w:r>
        <w:t xml:space="preserve">], note on Dan. 2:44, p. 902); </w:t>
      </w:r>
    </w:p>
    <w:p w:rsidR="00975183" w:rsidRDefault="00975183" w:rsidP="006A2E06">
      <w:pPr>
        <w:pStyle w:val="EndnoteText"/>
      </w:pPr>
      <w:r>
        <w:t>Rev. 19:11 (ref. Dan. 2:34-5 – not annotated); Rev. 19:17, pp. 1348-9 (ref. Dan. 2:5 – not annotated); Rev. 19:20, p. 1249 (ref. Dan. 7:24 – not annotated; note on Dan. 7:26, p. 911; ref. Dan. 9:27 – not annotated; ref. Daniel 7, 9, 11); Rev. 19:17, pp. 1348-9 (Zech. 12:1-9. p. 976; ref. Zech. 14:2 – not annotated); Rev. 19:19 (ref. Zech. 14:1-9 – not annotated).</w:t>
      </w:r>
    </w:p>
    <w:p w:rsidR="00975183" w:rsidRPr="00EE111A" w:rsidRDefault="00975183" w:rsidP="006A2E06">
      <w:pPr>
        <w:pStyle w:val="EndnoteText"/>
        <w:rPr>
          <w:sz w:val="18"/>
        </w:rPr>
      </w:pPr>
      <w:r w:rsidRPr="00EE111A">
        <w:rPr>
          <w:szCs w:val="22"/>
        </w:rPr>
        <w:t xml:space="preserve">The intertestamental connections made by Scofield were discussed in </w:t>
      </w:r>
      <w:r w:rsidRPr="00002A53">
        <w:rPr>
          <w:b/>
          <w:szCs w:val="22"/>
        </w:rPr>
        <w:t xml:space="preserve">7.1.2.3; 8.4.4 </w:t>
      </w:r>
      <w:r w:rsidRPr="004329AD">
        <w:rPr>
          <w:b/>
          <w:szCs w:val="22"/>
        </w:rPr>
        <w:t>and 8.4.15</w:t>
      </w:r>
      <w:r w:rsidRPr="00EE111A">
        <w:rPr>
          <w:szCs w:val="22"/>
        </w:rPr>
        <w:t>.</w:t>
      </w:r>
    </w:p>
  </w:endnote>
  <w:endnote w:id="3385">
    <w:p w:rsidR="00975183"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4:1, p. 1334.</w:t>
      </w:r>
      <w:proofErr w:type="gramEnd"/>
    </w:p>
  </w:endnote>
  <w:endnote w:id="3386">
    <w:p w:rsidR="00975183"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7:14, p. 1337.</w:t>
      </w:r>
      <w:proofErr w:type="gramEnd"/>
    </w:p>
  </w:endnote>
  <w:endnote w:id="3387">
    <w:p w:rsidR="00975183"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13:16, pp. 1342-3.</w:t>
      </w:r>
      <w:proofErr w:type="gramEnd"/>
    </w:p>
  </w:endnote>
  <w:endnote w:id="3388">
    <w:p w:rsidR="00975183"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18:2.</w:t>
      </w:r>
      <w:proofErr w:type="gramEnd"/>
      <w:r>
        <w:t xml:space="preserve"> pp. 1346-7.</w:t>
      </w:r>
    </w:p>
  </w:endnote>
  <w:endnote w:id="3389">
    <w:p w:rsidR="00975183" w:rsidRDefault="00975183" w:rsidP="006A2E06">
      <w:pPr>
        <w:pStyle w:val="EndnoteText"/>
      </w:pPr>
      <w:r w:rsidRPr="009A6D70">
        <w:rPr>
          <w:rStyle w:val="EndnoteReference"/>
        </w:rPr>
        <w:endnoteRef/>
      </w:r>
      <w:r w:rsidRPr="009A6D70">
        <w:t xml:space="preserve"> </w:t>
      </w:r>
      <w:r>
        <w:t xml:space="preserve">For example, </w:t>
      </w:r>
      <w:r w:rsidRPr="00581DA3">
        <w:rPr>
          <w:i/>
        </w:rPr>
        <w:t>SRB</w:t>
      </w:r>
      <w:r>
        <w:t xml:space="preserve"> note on Gen. 8:21, p. 16; </w:t>
      </w:r>
      <w:r w:rsidRPr="009A6D70">
        <w:rPr>
          <w:i/>
        </w:rPr>
        <w:t>SRB</w:t>
      </w:r>
      <w:r>
        <w:t xml:space="preserve"> Introduction to the Historical Books, p. 257; </w:t>
      </w:r>
      <w:r w:rsidRPr="00581DA3">
        <w:rPr>
          <w:i/>
        </w:rPr>
        <w:t>SRB</w:t>
      </w:r>
      <w:r>
        <w:t xml:space="preserve"> notes on </w:t>
      </w:r>
    </w:p>
    <w:p w:rsidR="00975183" w:rsidRDefault="00975183" w:rsidP="006A2E06">
      <w:pPr>
        <w:pStyle w:val="EndnoteText"/>
      </w:pPr>
      <w:r>
        <w:t xml:space="preserve">Isa. 10:20, p. 722; 13:1, pp. 724-5; 14:26, p. 727; 29:3, p. 737; Jer. 39:7, p. 816; Dan. 2:31, pp. 900-901; </w:t>
      </w:r>
    </w:p>
    <w:p w:rsidR="00975183" w:rsidRPr="009A6D70" w:rsidRDefault="00975183" w:rsidP="006A2E06">
      <w:pPr>
        <w:pStyle w:val="EndnoteText"/>
      </w:pPr>
      <w:r>
        <w:t xml:space="preserve">4:1, p. 904; 5:31, p. 907; 7:17, pp. 910-11; 8:19, p. 913; </w:t>
      </w:r>
      <w:r w:rsidRPr="008064B8">
        <w:t>Joel 1:4, p. 930</w:t>
      </w:r>
      <w:r>
        <w:t xml:space="preserve">; Lk. 21:24, p. 1106; Eph. 1:10, p. 1250.  </w:t>
      </w:r>
      <w:proofErr w:type="gramStart"/>
      <w:r w:rsidRPr="00002A53">
        <w:rPr>
          <w:b/>
        </w:rPr>
        <w:t>See 7.1.2.2</w:t>
      </w:r>
      <w:r>
        <w:t>.</w:t>
      </w:r>
      <w:proofErr w:type="gramEnd"/>
    </w:p>
  </w:endnote>
  <w:endnote w:id="3390">
    <w:p w:rsidR="00975183"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20:10, p. 1350.</w:t>
      </w:r>
      <w:proofErr w:type="gramEnd"/>
    </w:p>
  </w:endnote>
  <w:endnote w:id="339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i/>
          <w:szCs w:val="18"/>
        </w:rPr>
        <w:t>SRB</w:t>
      </w:r>
      <w:r w:rsidRPr="006329CD">
        <w:rPr>
          <w:szCs w:val="18"/>
        </w:rPr>
        <w:t xml:space="preserve"> note</w:t>
      </w:r>
      <w:r>
        <w:rPr>
          <w:szCs w:val="18"/>
        </w:rPr>
        <w:t>s</w:t>
      </w:r>
      <w:r w:rsidRPr="006329CD">
        <w:rPr>
          <w:szCs w:val="18"/>
        </w:rPr>
        <w:t xml:space="preserve"> on Rev. </w:t>
      </w:r>
      <w:r>
        <w:rPr>
          <w:szCs w:val="18"/>
        </w:rPr>
        <w:t>20:5, p. 1350 (two resurrections);</w:t>
      </w:r>
      <w:r w:rsidRPr="006329CD">
        <w:rPr>
          <w:szCs w:val="18"/>
        </w:rPr>
        <w:t xml:space="preserve"> 20:</w:t>
      </w:r>
      <w:r>
        <w:rPr>
          <w:szCs w:val="18"/>
        </w:rPr>
        <w:t>11,</w:t>
      </w:r>
      <w:r w:rsidRPr="006329CD">
        <w:rPr>
          <w:szCs w:val="18"/>
        </w:rPr>
        <w:t xml:space="preserve"> 12, pp. 1350-1</w:t>
      </w:r>
      <w:r>
        <w:rPr>
          <w:szCs w:val="18"/>
        </w:rPr>
        <w:t xml:space="preserve"> (judgments); </w:t>
      </w:r>
      <w:r w:rsidRPr="006329CD">
        <w:rPr>
          <w:szCs w:val="18"/>
        </w:rPr>
        <w:t>20:14, pp. 1351-2</w:t>
      </w:r>
      <w:r>
        <w:rPr>
          <w:szCs w:val="18"/>
        </w:rPr>
        <w:t xml:space="preserve"> (the second death); 12:10, p. 1341 (one thousand years of Christ’s earth-rule); 14:6, p. 1343 (a kingdom over which ‘the King’ will reign for ‘one thousand years’); </w:t>
      </w:r>
      <w:r w:rsidRPr="006329CD">
        <w:rPr>
          <w:szCs w:val="18"/>
        </w:rPr>
        <w:t>20:2, p. 1349</w:t>
      </w:r>
      <w:r>
        <w:rPr>
          <w:szCs w:val="18"/>
        </w:rPr>
        <w:t xml:space="preserve"> (one thousand year duration of the kingdom of heaven in its mediatorial form); 20:5, p. 1350 (one thousand year binding of Satan); 20:5, p. 1350 (thousand year separation between the two resurrections).</w:t>
      </w:r>
    </w:p>
  </w:endnote>
  <w:endnote w:id="3392">
    <w:p w:rsidR="00975183" w:rsidRPr="005F2AD2" w:rsidRDefault="00975183" w:rsidP="006A2E06">
      <w:pPr>
        <w:pStyle w:val="EndnoteText"/>
        <w:tabs>
          <w:tab w:val="left" w:pos="5954"/>
        </w:tabs>
      </w:pPr>
      <w:r w:rsidRPr="005F2AD2">
        <w:rPr>
          <w:rStyle w:val="EndnoteReference"/>
        </w:rPr>
        <w:endnoteRef/>
      </w:r>
      <w:r w:rsidRPr="005F2AD2">
        <w:t xml:space="preserve"> </w:t>
      </w:r>
      <w:r w:rsidRPr="003C0CF4">
        <w:rPr>
          <w:b/>
        </w:rPr>
        <w:t xml:space="preserve">See 7.1.4; 8.4; 8.4.1; 8.4.2; 8.4.3; </w:t>
      </w:r>
      <w:r w:rsidRPr="004329AD">
        <w:rPr>
          <w:b/>
        </w:rPr>
        <w:t>8.4.6; 8.4.10; 8.4.15; 8.4.17</w:t>
      </w:r>
      <w:r w:rsidRPr="005F2AD2">
        <w:t>.</w:t>
      </w:r>
      <w:r>
        <w:t xml:space="preserve">  </w:t>
      </w:r>
    </w:p>
  </w:endnote>
  <w:endnote w:id="3393">
    <w:p w:rsidR="00975183" w:rsidRPr="00944079" w:rsidRDefault="00975183" w:rsidP="006A2E06">
      <w:pPr>
        <w:pStyle w:val="EndnoteText"/>
      </w:pPr>
      <w:r w:rsidRPr="00944079">
        <w:rPr>
          <w:rStyle w:val="EndnoteReference"/>
        </w:rPr>
        <w:endnoteRef/>
      </w:r>
      <w:r w:rsidRPr="00944079">
        <w:t xml:space="preserve"> </w:t>
      </w:r>
      <w:proofErr w:type="gramStart"/>
      <w:r w:rsidRPr="00944079">
        <w:rPr>
          <w:i/>
        </w:rPr>
        <w:t>SRB</w:t>
      </w:r>
      <w:r>
        <w:t xml:space="preserve"> note on Rev. 19:19, p. 1349.</w:t>
      </w:r>
      <w:proofErr w:type="gramEnd"/>
      <w:r>
        <w:t xml:space="preserve">  </w:t>
      </w:r>
      <w:proofErr w:type="gramStart"/>
      <w:r w:rsidRPr="003C0CF4">
        <w:rPr>
          <w:b/>
        </w:rPr>
        <w:t>See 7.1.2.3; 7.1.4</w:t>
      </w:r>
      <w:r w:rsidRPr="00944079">
        <w:t>.</w:t>
      </w:r>
      <w:proofErr w:type="gramEnd"/>
    </w:p>
  </w:endnote>
  <w:endnote w:id="3394">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Rev. 19:20, p. 1349.</w:t>
      </w:r>
      <w:proofErr w:type="gramEnd"/>
    </w:p>
  </w:endnote>
  <w:endnote w:id="3395">
    <w:p w:rsidR="00975183" w:rsidRDefault="00975183" w:rsidP="006A2E06">
      <w:pPr>
        <w:pStyle w:val="EndnoteText"/>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Rev.</w:t>
      </w:r>
      <w:r>
        <w:rPr>
          <w:szCs w:val="18"/>
        </w:rPr>
        <w:t xml:space="preserve"> 14:6, p. 1343.</w:t>
      </w:r>
      <w:proofErr w:type="gramEnd"/>
    </w:p>
  </w:endnote>
  <w:endnote w:id="3396">
    <w:p w:rsidR="00975183" w:rsidRDefault="00975183" w:rsidP="006A2E06">
      <w:pPr>
        <w:pStyle w:val="EndnoteText"/>
      </w:pPr>
      <w:r w:rsidRPr="006329CD">
        <w:rPr>
          <w:rStyle w:val="FootnoteReference"/>
        </w:rPr>
        <w:endnoteRef/>
      </w:r>
      <w:r w:rsidRPr="006329CD">
        <w:t xml:space="preserve"> </w:t>
      </w:r>
      <w:proofErr w:type="gramStart"/>
      <w:r w:rsidRPr="006329CD">
        <w:rPr>
          <w:i/>
        </w:rPr>
        <w:t>SRB</w:t>
      </w:r>
      <w:r w:rsidRPr="006329CD">
        <w:t xml:space="preserve"> note on Rev. 19:7, p. 1348.</w:t>
      </w:r>
      <w:proofErr w:type="gramEnd"/>
    </w:p>
  </w:endnote>
  <w:endnote w:id="3397">
    <w:p w:rsidR="00975183" w:rsidRDefault="00975183" w:rsidP="006A2E06">
      <w:pPr>
        <w:pStyle w:val="EndnoteText"/>
      </w:pPr>
      <w:r w:rsidRPr="006329CD">
        <w:rPr>
          <w:rStyle w:val="FootnoteReference"/>
        </w:rPr>
        <w:endnoteRef/>
      </w:r>
      <w:r w:rsidRPr="006329CD">
        <w:t xml:space="preserve"> </w:t>
      </w:r>
      <w:proofErr w:type="gramStart"/>
      <w:r w:rsidRPr="006329CD">
        <w:rPr>
          <w:i/>
        </w:rPr>
        <w:t>SRB</w:t>
      </w:r>
      <w:r w:rsidRPr="006329CD">
        <w:t xml:space="preserve"> note on Rev.</w:t>
      </w:r>
      <w:r>
        <w:t xml:space="preserve"> 22:19, p. 1353.</w:t>
      </w:r>
      <w:proofErr w:type="gramEnd"/>
    </w:p>
  </w:endnote>
  <w:endnote w:id="3398">
    <w:p w:rsidR="00975183" w:rsidRPr="00CE4EDD" w:rsidRDefault="00975183" w:rsidP="006A2E06">
      <w:pPr>
        <w:pStyle w:val="EndnoteText"/>
      </w:pPr>
      <w:r w:rsidRPr="00CE4EDD">
        <w:rPr>
          <w:rStyle w:val="EndnoteReference"/>
        </w:rPr>
        <w:endnoteRef/>
      </w:r>
      <w:r w:rsidRPr="00CE4EDD">
        <w:t xml:space="preserve"> </w:t>
      </w:r>
      <w:r w:rsidRPr="003C0CF4">
        <w:rPr>
          <w:b/>
        </w:rPr>
        <w:t>See 2.1</w:t>
      </w:r>
      <w:r>
        <w:t>.</w:t>
      </w:r>
    </w:p>
  </w:endnote>
  <w:endnote w:id="3399">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Rev. 2:6, p. 1332.</w:t>
      </w:r>
      <w:proofErr w:type="gramEnd"/>
      <w:r w:rsidRPr="006329CD">
        <w:t xml:space="preserve">  </w:t>
      </w:r>
    </w:p>
  </w:endnote>
  <w:endnote w:id="3400">
    <w:p w:rsidR="00975183" w:rsidRDefault="00975183" w:rsidP="006A2E06">
      <w:pPr>
        <w:pStyle w:val="EndnoteText"/>
      </w:pPr>
      <w:r w:rsidRPr="006329CD">
        <w:rPr>
          <w:rStyle w:val="EndnoteReference"/>
        </w:rPr>
        <w:endnoteRef/>
      </w:r>
      <w:r w:rsidRPr="006329CD">
        <w:t xml:space="preserve"> </w:t>
      </w:r>
      <w:proofErr w:type="gramStart"/>
      <w:r w:rsidRPr="006329CD">
        <w:rPr>
          <w:i/>
        </w:rPr>
        <w:t>SRB</w:t>
      </w:r>
      <w:r w:rsidRPr="006329CD">
        <w:t xml:space="preserve"> note on Rev. 2:14, pp. 1332-3</w:t>
      </w:r>
      <w:r w:rsidRPr="006329CD">
        <w:rPr>
          <w:b/>
        </w:rPr>
        <w:t>.</w:t>
      </w:r>
      <w:proofErr w:type="gramEnd"/>
    </w:p>
  </w:endnote>
  <w:endnote w:id="3401">
    <w:p w:rsidR="00975183" w:rsidRPr="007F66E3" w:rsidRDefault="00975183" w:rsidP="006A2E06">
      <w:pPr>
        <w:pStyle w:val="EndnoteText"/>
        <w:rPr>
          <w:b/>
        </w:rPr>
      </w:pPr>
      <w:r w:rsidRPr="00B21319">
        <w:rPr>
          <w:rStyle w:val="FootnoteReference"/>
        </w:rPr>
        <w:endnoteRef/>
      </w:r>
      <w:r w:rsidRPr="00B21319">
        <w:t xml:space="preserve"> </w:t>
      </w:r>
      <w:proofErr w:type="gramStart"/>
      <w:r w:rsidRPr="00B21319">
        <w:rPr>
          <w:i/>
        </w:rPr>
        <w:t xml:space="preserve">SRB </w:t>
      </w:r>
      <w:r w:rsidRPr="00B21319">
        <w:t>note on Rev. 1:20, p. 1331.</w:t>
      </w:r>
      <w:proofErr w:type="gramEnd"/>
      <w:r w:rsidRPr="00B21319">
        <w:t xml:space="preserve">  </w:t>
      </w:r>
    </w:p>
  </w:endnote>
  <w:endnote w:id="340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i/>
          <w:szCs w:val="18"/>
        </w:rPr>
        <w:t>SRB</w:t>
      </w:r>
      <w:r w:rsidRPr="006329CD">
        <w:rPr>
          <w:szCs w:val="18"/>
        </w:rPr>
        <w:t xml:space="preserve"> note on Rev. 1:20, pp. 1331-2.</w:t>
      </w:r>
      <w:proofErr w:type="gramEnd"/>
      <w:r w:rsidRPr="006329CD">
        <w:rPr>
          <w:b/>
          <w:szCs w:val="18"/>
        </w:rPr>
        <w:t xml:space="preserve"> </w:t>
      </w:r>
    </w:p>
  </w:endnote>
  <w:endnote w:id="340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r w:rsidRPr="006329CD">
        <w:rPr>
          <w:b/>
          <w:szCs w:val="18"/>
        </w:rPr>
        <w:t xml:space="preserve">See </w:t>
      </w:r>
      <w:r>
        <w:rPr>
          <w:b/>
          <w:szCs w:val="18"/>
        </w:rPr>
        <w:t>Introduction, a)</w:t>
      </w:r>
      <w:r w:rsidRPr="006329CD">
        <w:rPr>
          <w:b/>
          <w:szCs w:val="18"/>
        </w:rPr>
        <w:t>.</w:t>
      </w:r>
    </w:p>
  </w:endnote>
  <w:endnote w:id="340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1:7, 12-16.</w:t>
      </w:r>
    </w:p>
  </w:endnote>
  <w:endnote w:id="340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Dan. 7:13.</w:t>
      </w:r>
    </w:p>
  </w:endnote>
  <w:endnote w:id="340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 1:19-20.</w:t>
      </w:r>
      <w:proofErr w:type="gramEnd"/>
    </w:p>
  </w:endnote>
  <w:endnote w:id="340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Revelation 6 and 8.</w:t>
      </w:r>
      <w:proofErr w:type="gramEnd"/>
    </w:p>
  </w:endnote>
  <w:endnote w:id="340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Revelation 8, 9, 10 and 11.</w:t>
      </w:r>
      <w:proofErr w:type="gramEnd"/>
    </w:p>
  </w:endnote>
  <w:endnote w:id="340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15:1, 5-8; 16:1-14, 17.</w:t>
      </w:r>
    </w:p>
  </w:endnote>
  <w:endnote w:id="341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14:8; 16: 19; 17:1-18.</w:t>
      </w:r>
    </w:p>
  </w:endnote>
  <w:endnote w:id="341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 6:9-11.</w:t>
      </w:r>
      <w:proofErr w:type="gramEnd"/>
    </w:p>
  </w:endnote>
  <w:endnote w:id="341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 11:3-12.</w:t>
      </w:r>
      <w:proofErr w:type="gramEnd"/>
    </w:p>
  </w:endnote>
  <w:endnote w:id="341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6:12-17; 11:17; 16:17-19.</w:t>
      </w:r>
    </w:p>
  </w:endnote>
  <w:endnote w:id="341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Revelation 12.</w:t>
      </w:r>
      <w:proofErr w:type="gramEnd"/>
    </w:p>
  </w:endnote>
  <w:endnote w:id="341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13:1-2, 7-8.</w:t>
      </w:r>
    </w:p>
  </w:endnote>
  <w:endnote w:id="341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13:6-8</w:t>
      </w:r>
      <w:r>
        <w:rPr>
          <w:szCs w:val="18"/>
        </w:rPr>
        <w:t>,</w:t>
      </w:r>
      <w:r w:rsidRPr="006329CD">
        <w:rPr>
          <w:szCs w:val="18"/>
        </w:rPr>
        <w:t xml:space="preserve"> 11-18; 14:9-12. </w:t>
      </w:r>
    </w:p>
  </w:endnote>
  <w:endnote w:id="341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 14:14-20.</w:t>
      </w:r>
      <w:proofErr w:type="gramEnd"/>
    </w:p>
  </w:endnote>
  <w:endnote w:id="3418">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16:16.</w:t>
      </w:r>
    </w:p>
  </w:endnote>
  <w:endnote w:id="3419">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For example, Rev. 4:2-11; 5:8-14; 7:9-13; 8:3-5; 11:15-18; 14:2-5, 7; 15:2-4.</w:t>
      </w:r>
    </w:p>
  </w:endnote>
  <w:endnote w:id="3420">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21:1, 3.</w:t>
      </w:r>
    </w:p>
  </w:endnote>
  <w:endnote w:id="3421">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w:t>
      </w:r>
      <w:proofErr w:type="gramStart"/>
      <w:r w:rsidRPr="006329CD">
        <w:rPr>
          <w:szCs w:val="18"/>
        </w:rPr>
        <w:t>Rev. 11:1-2, 19.</w:t>
      </w:r>
      <w:proofErr w:type="gramEnd"/>
    </w:p>
  </w:endnote>
  <w:endnote w:id="3422">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21:2, 9-21, 23-7; 22:1-5, 14-15.</w:t>
      </w:r>
    </w:p>
  </w:endnote>
  <w:endnote w:id="3423">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21:22.</w:t>
      </w:r>
    </w:p>
  </w:endnote>
  <w:endnote w:id="3424">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2:17.</w:t>
      </w:r>
    </w:p>
  </w:endnote>
  <w:endnote w:id="3425">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13:18.</w:t>
      </w:r>
    </w:p>
  </w:endnote>
  <w:endnote w:id="3426">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7:1-8; 14:1.</w:t>
      </w:r>
    </w:p>
  </w:endnote>
  <w:endnote w:id="3427">
    <w:p w:rsidR="00975183" w:rsidRPr="006329CD" w:rsidRDefault="00975183" w:rsidP="006A2E06">
      <w:pPr>
        <w:pStyle w:val="EndnoteText"/>
        <w:rPr>
          <w:szCs w:val="18"/>
        </w:rPr>
      </w:pPr>
      <w:r w:rsidRPr="006329CD">
        <w:rPr>
          <w:rStyle w:val="EndnoteReference"/>
          <w:szCs w:val="18"/>
        </w:rPr>
        <w:endnoteRef/>
      </w:r>
      <w:r w:rsidRPr="006329CD">
        <w:rPr>
          <w:szCs w:val="18"/>
        </w:rPr>
        <w:t xml:space="preserve"> Rev. 3:11; 22:7, 12, 20.</w:t>
      </w:r>
    </w:p>
  </w:endnote>
  <w:endnote w:id="3428">
    <w:p w:rsidR="00975183" w:rsidRPr="00027998" w:rsidRDefault="00975183" w:rsidP="006A2E06">
      <w:pPr>
        <w:pStyle w:val="EndnoteText"/>
      </w:pPr>
      <w:r w:rsidRPr="00027998">
        <w:rPr>
          <w:rStyle w:val="EndnoteReference"/>
        </w:rPr>
        <w:endnoteRef/>
      </w:r>
      <w:r w:rsidRPr="00027998">
        <w:t xml:space="preserve"> </w:t>
      </w:r>
      <w:r>
        <w:t xml:space="preserve">For example, </w:t>
      </w:r>
      <w:r w:rsidRPr="00027998">
        <w:rPr>
          <w:i/>
        </w:rPr>
        <w:t>SRB</w:t>
      </w:r>
      <w:r>
        <w:t xml:space="preserve"> notes on the </w:t>
      </w:r>
      <w:r w:rsidRPr="00027998">
        <w:rPr>
          <w:i/>
        </w:rPr>
        <w:t>kosmos</w:t>
      </w:r>
      <w:r>
        <w:t xml:space="preserve"> (Rev. 13:8, p. 1342); the ‘four forms of gospel’ (Rev. 14;6, p. 1343); garments in Scripture (Rev. 19:8, p. 1348); two resurrections (Rev. 20:5, p. 1350); judgments (Rev. 20:11, 20:12, pp. 1350-1); the second death (Rev. 20:14, pp. 1351-2); righteousness and sanctification (Rev. 22;11, p. 1353); and the inspiration of Scripture and eternal life (Rev. 22:19, p. 1353).</w:t>
      </w:r>
    </w:p>
  </w:endnote>
  <w:endnote w:id="3429">
    <w:p w:rsidR="00975183" w:rsidRPr="00613BF6" w:rsidRDefault="00975183" w:rsidP="006A2E06">
      <w:pPr>
        <w:pStyle w:val="EndnoteText"/>
      </w:pPr>
      <w:r w:rsidRPr="00613BF6">
        <w:rPr>
          <w:rStyle w:val="EndnoteReference"/>
        </w:rPr>
        <w:endnoteRef/>
      </w:r>
      <w:r w:rsidRPr="00613BF6">
        <w:t xml:space="preserve"> </w:t>
      </w:r>
      <w:r w:rsidRPr="00613BF6">
        <w:rPr>
          <w:i/>
        </w:rPr>
        <w:t>SRB</w:t>
      </w:r>
      <w:r>
        <w:t xml:space="preserve"> notes on Rev. 7:14, p. 1337; 20:10, p. 1350.</w:t>
      </w:r>
    </w:p>
  </w:endnote>
  <w:endnote w:id="3430">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notes on Rev. 19:11, p. 1348; 19:19, p. 1349; 19:20, p. 1349.</w:t>
      </w:r>
    </w:p>
  </w:endnote>
  <w:endnote w:id="3431">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notes on Rev. 12:10, p. 1341; 18:2, pp. 1346-7; 19:11, p. 1348; 19:19, p. 1349; 20:10, p. 1350.</w:t>
      </w:r>
    </w:p>
  </w:endnote>
  <w:endnote w:id="3432">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notes on Rev. 18:2, pp. 1346-7; 19:17, pp. 1348-9.</w:t>
      </w:r>
    </w:p>
  </w:endnote>
  <w:endnote w:id="3433">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notes on Rev. 12:10, p. 1341; 14:6, p. 1343; 19:19, p. 1349; 20:2, p. 1349.</w:t>
      </w:r>
    </w:p>
  </w:endnote>
  <w:endnote w:id="3434">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 on Zech. 12:8, pp. 976-7.</w:t>
      </w:r>
    </w:p>
  </w:endnote>
  <w:endnote w:id="3435">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notes on Mt. 3:2, p. 996; 4:17, p. 998; 5:2, pp. 999-1000; 6:33, p. 1003; </w:t>
      </w:r>
      <w:r w:rsidRPr="008412E4">
        <w:rPr>
          <w:szCs w:val="22"/>
        </w:rPr>
        <w:t>10:2, p. 1008; 10:34, p. 1009</w:t>
      </w:r>
      <w:r>
        <w:rPr>
          <w:szCs w:val="22"/>
        </w:rPr>
        <w:t>; 11:11, p. 1010; 11:12, p. 1010; 11:20, p. 1011; 12:1, pp. 1011-2; Matthew 13, pp. 1014-18; Mt. 16:19, p. 1022; 16:20, p. 1022; 17:2, pp. 1022-3; 19:18, p. 1026;21:43, p. 1029; 25:1, p. 1035; 25:32, p. 1036.</w:t>
      </w:r>
    </w:p>
  </w:endnote>
  <w:endnote w:id="3436">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 on 1 Cor. 15:24, pp. 1226-7.</w:t>
      </w:r>
    </w:p>
  </w:endnote>
  <w:endnote w:id="3437">
    <w:p w:rsidR="00975183" w:rsidRDefault="00975183" w:rsidP="006A2E06">
      <w:pPr>
        <w:pStyle w:val="EndnoteText"/>
      </w:pPr>
      <w:r w:rsidRPr="00613BF6">
        <w:rPr>
          <w:rStyle w:val="EndnoteReference"/>
        </w:rPr>
        <w:endnoteRef/>
      </w:r>
      <w:r w:rsidRPr="00613BF6">
        <w:t xml:space="preserve"> </w:t>
      </w:r>
      <w:r w:rsidRPr="00613BF6">
        <w:rPr>
          <w:i/>
        </w:rPr>
        <w:t>SRB</w:t>
      </w:r>
      <w:r>
        <w:t xml:space="preserve"> note on Eph. 1:10, p. 1250 (Dispensation of the Fullness of Times).</w:t>
      </w:r>
    </w:p>
  </w:endnote>
  <w:endnote w:id="3438">
    <w:p w:rsidR="00975183" w:rsidRPr="003C0CF4" w:rsidRDefault="00975183" w:rsidP="006A2E06">
      <w:pPr>
        <w:pStyle w:val="EndnoteText"/>
      </w:pPr>
      <w:r w:rsidRPr="003C0CF4">
        <w:rPr>
          <w:rStyle w:val="EndnoteReference"/>
        </w:rPr>
        <w:endnoteRef/>
      </w:r>
      <w:r w:rsidRPr="003C0CF4">
        <w:t xml:space="preserve"> </w:t>
      </w:r>
      <w:proofErr w:type="gramStart"/>
      <w:r w:rsidRPr="003C0CF4">
        <w:rPr>
          <w:b/>
        </w:rPr>
        <w:t>See 7.1.2.3</w:t>
      </w:r>
      <w:r>
        <w:t>.</w:t>
      </w:r>
      <w:proofErr w:type="gramEnd"/>
    </w:p>
  </w:endnote>
  <w:endnote w:id="3439">
    <w:p w:rsidR="00975183" w:rsidRPr="00006FBD" w:rsidRDefault="00975183" w:rsidP="006A2E06">
      <w:pPr>
        <w:pStyle w:val="EndnoteText"/>
      </w:pPr>
      <w:r w:rsidRPr="00006FBD">
        <w:rPr>
          <w:rStyle w:val="EndnoteReference"/>
        </w:rPr>
        <w:endnoteRef/>
      </w:r>
      <w:r w:rsidRPr="00006FBD">
        <w:t xml:space="preserve"> </w:t>
      </w:r>
      <w:r>
        <w:t xml:space="preserve">See, for example, </w:t>
      </w:r>
      <w:r w:rsidRPr="00006FBD">
        <w:rPr>
          <w:i/>
        </w:rPr>
        <w:t>SRB</w:t>
      </w:r>
      <w:r>
        <w:t xml:space="preserve"> notes on Dan. 7:13 and 7:14, p. 910.</w:t>
      </w:r>
    </w:p>
  </w:endnote>
  <w:endnote w:id="3440">
    <w:p w:rsidR="00975183" w:rsidRDefault="00975183" w:rsidP="006A2E06">
      <w:pPr>
        <w:pStyle w:val="EndnoteText"/>
      </w:pPr>
      <w:r w:rsidRPr="00613BF6">
        <w:rPr>
          <w:rStyle w:val="EndnoteReference"/>
        </w:rPr>
        <w:endnoteRef/>
      </w:r>
      <w:r w:rsidRPr="00613BF6">
        <w:t xml:space="preserve"> </w:t>
      </w:r>
      <w:proofErr w:type="gramStart"/>
      <w:r w:rsidRPr="00613BF6">
        <w:rPr>
          <w:i/>
        </w:rPr>
        <w:t>SRB</w:t>
      </w:r>
      <w:r>
        <w:t xml:space="preserve"> note on Rev. 16:19, p. 1345.</w:t>
      </w:r>
      <w:proofErr w:type="gramEnd"/>
    </w:p>
  </w:endnote>
  <w:endnote w:id="3441">
    <w:p w:rsidR="00975183" w:rsidRDefault="00975183" w:rsidP="006A2E06">
      <w:pPr>
        <w:pStyle w:val="NormalWeb"/>
        <w:spacing w:before="0" w:beforeAutospacing="0" w:after="0" w:afterAutospacing="0"/>
        <w:rPr>
          <w:rFonts w:ascii="Perpetua" w:hAnsi="Perpetua"/>
          <w:sz w:val="20"/>
          <w:szCs w:val="20"/>
        </w:rPr>
      </w:pPr>
      <w:r w:rsidRPr="00BF6D19">
        <w:rPr>
          <w:rStyle w:val="EndnoteReference"/>
          <w:rFonts w:ascii="Perpetua" w:hAnsi="Perpetua"/>
          <w:sz w:val="20"/>
          <w:szCs w:val="20"/>
        </w:rPr>
        <w:endnoteRef/>
      </w:r>
      <w:r w:rsidRPr="00BF6D19">
        <w:rPr>
          <w:rFonts w:ascii="Perpetua" w:hAnsi="Perpetua"/>
          <w:sz w:val="20"/>
          <w:szCs w:val="20"/>
        </w:rPr>
        <w:t xml:space="preserve"> For example, </w:t>
      </w:r>
      <w:r w:rsidRPr="00BF6D19">
        <w:rPr>
          <w:rFonts w:ascii="Perpetua" w:hAnsi="Perpetua"/>
          <w:i/>
          <w:sz w:val="20"/>
          <w:szCs w:val="20"/>
        </w:rPr>
        <w:t>SRB</w:t>
      </w:r>
      <w:r w:rsidRPr="00BF6D19">
        <w:rPr>
          <w:rFonts w:ascii="Perpetua" w:hAnsi="Perpetua"/>
          <w:sz w:val="20"/>
          <w:szCs w:val="20"/>
        </w:rPr>
        <w:t xml:space="preserve"> notes on Isa. 10:20, p. 722;</w:t>
      </w:r>
      <w:r w:rsidRPr="00BF6D19">
        <w:rPr>
          <w:rFonts w:ascii="Perpetua" w:hAnsi="Perpetua"/>
          <w:b/>
          <w:sz w:val="20"/>
          <w:szCs w:val="20"/>
        </w:rPr>
        <w:t xml:space="preserve"> </w:t>
      </w:r>
      <w:r w:rsidRPr="00BF6D19">
        <w:rPr>
          <w:rFonts w:ascii="Perpetua" w:hAnsi="Perpetua"/>
          <w:sz w:val="20"/>
          <w:szCs w:val="20"/>
        </w:rPr>
        <w:t xml:space="preserve">13:1, pp. 724-5; Jer. 39:7, p. 816; Dan. 2:31, pp. 900-901; </w:t>
      </w:r>
    </w:p>
    <w:p w:rsidR="00975183" w:rsidRPr="00BF6D19" w:rsidRDefault="00975183" w:rsidP="006A2E06">
      <w:pPr>
        <w:pStyle w:val="NormalWeb"/>
        <w:spacing w:before="0" w:beforeAutospacing="0" w:after="0" w:afterAutospacing="0"/>
        <w:rPr>
          <w:sz w:val="20"/>
          <w:szCs w:val="20"/>
        </w:rPr>
      </w:pPr>
      <w:r w:rsidRPr="00BF6D19">
        <w:rPr>
          <w:rFonts w:ascii="Perpetua" w:hAnsi="Perpetua"/>
          <w:sz w:val="20"/>
          <w:szCs w:val="20"/>
        </w:rPr>
        <w:t>4:1, p. 904; 5:31, p. 907; 7:17, pp. 910-11; 7:26, p. 911; 8:19, p. 913;</w:t>
      </w:r>
      <w:r w:rsidRPr="00BF6D19">
        <w:rPr>
          <w:rFonts w:ascii="Perpetua" w:hAnsi="Perpetua"/>
          <w:b/>
          <w:sz w:val="20"/>
          <w:szCs w:val="20"/>
        </w:rPr>
        <w:t xml:space="preserve"> </w:t>
      </w:r>
      <w:r w:rsidRPr="00BF6D19">
        <w:rPr>
          <w:rFonts w:ascii="Perpetua" w:hAnsi="Perpetua"/>
          <w:sz w:val="20"/>
          <w:szCs w:val="20"/>
        </w:rPr>
        <w:t xml:space="preserve"> Lk. 21:24, p. 1106;</w:t>
      </w:r>
      <w:r w:rsidRPr="00BF6D19">
        <w:rPr>
          <w:rFonts w:ascii="Perpetua" w:hAnsi="Perpetua"/>
          <w:b/>
          <w:sz w:val="20"/>
          <w:szCs w:val="20"/>
        </w:rPr>
        <w:t xml:space="preserve"> </w:t>
      </w:r>
      <w:r w:rsidRPr="00BF6D19">
        <w:rPr>
          <w:rFonts w:ascii="Perpetua" w:hAnsi="Perpetua"/>
          <w:sz w:val="20"/>
          <w:szCs w:val="20"/>
        </w:rPr>
        <w:t>Eph. 1:10, p. 1250</w:t>
      </w:r>
      <w:r>
        <w:rPr>
          <w:rFonts w:ascii="Perpetua" w:hAnsi="Perpetua"/>
          <w:sz w:val="20"/>
          <w:szCs w:val="20"/>
        </w:rPr>
        <w:t>.</w:t>
      </w:r>
      <w:r w:rsidRPr="00BF6D19">
        <w:rPr>
          <w:rFonts w:ascii="Perpetua" w:hAnsi="Perpetua"/>
          <w:sz w:val="20"/>
          <w:szCs w:val="20"/>
        </w:rPr>
        <w:t xml:space="preserve"> </w:t>
      </w:r>
    </w:p>
  </w:endnote>
  <w:endnote w:id="3442">
    <w:p w:rsidR="00975183" w:rsidRDefault="00975183" w:rsidP="006A2E06">
      <w:pPr>
        <w:pStyle w:val="EndnoteText"/>
      </w:pPr>
      <w:r w:rsidRPr="00785B83">
        <w:rPr>
          <w:rStyle w:val="EndnoteReference"/>
        </w:rPr>
        <w:endnoteRef/>
      </w:r>
      <w:r w:rsidRPr="00785B83">
        <w:t xml:space="preserve"> </w:t>
      </w:r>
      <w:proofErr w:type="gramStart"/>
      <w:r w:rsidRPr="00785B83">
        <w:rPr>
          <w:i/>
        </w:rPr>
        <w:t>SRB</w:t>
      </w:r>
      <w:r>
        <w:t xml:space="preserve"> note on Rev. 3:21, p. 1334.</w:t>
      </w:r>
      <w:proofErr w:type="gramEnd"/>
    </w:p>
  </w:endnote>
  <w:endnote w:id="3443">
    <w:p w:rsidR="00975183" w:rsidRDefault="00975183" w:rsidP="006A2E06">
      <w:pPr>
        <w:pStyle w:val="EndnoteText"/>
      </w:pPr>
      <w:r w:rsidRPr="00785B83">
        <w:rPr>
          <w:rStyle w:val="EndnoteReference"/>
        </w:rPr>
        <w:endnoteRef/>
      </w:r>
      <w:r w:rsidRPr="00785B83">
        <w:t xml:space="preserve"> </w:t>
      </w:r>
      <w:proofErr w:type="gramStart"/>
      <w:r w:rsidRPr="00785B83">
        <w:rPr>
          <w:i/>
        </w:rPr>
        <w:t>SRB</w:t>
      </w:r>
      <w:r>
        <w:t xml:space="preserve"> note on Rev. 14:6, p. 1343.</w:t>
      </w:r>
      <w:proofErr w:type="gramEnd"/>
    </w:p>
  </w:endnote>
  <w:endnote w:id="3444">
    <w:p w:rsidR="00975183" w:rsidRDefault="00975183" w:rsidP="006A2E06">
      <w:pPr>
        <w:pStyle w:val="EndnoteText"/>
      </w:pPr>
      <w:r w:rsidRPr="00785B83">
        <w:rPr>
          <w:rStyle w:val="EndnoteReference"/>
        </w:rPr>
        <w:endnoteRef/>
      </w:r>
      <w:r w:rsidRPr="00785B83">
        <w:t xml:space="preserve"> </w:t>
      </w:r>
      <w:proofErr w:type="gramStart"/>
      <w:r w:rsidRPr="00785B83">
        <w:rPr>
          <w:i/>
        </w:rPr>
        <w:t>SRB</w:t>
      </w:r>
      <w:r>
        <w:t xml:space="preserve"> note on Rev. 20:10, p. 1350.</w:t>
      </w:r>
      <w:proofErr w:type="gramEnd"/>
    </w:p>
  </w:endnote>
  <w:endnote w:id="3445">
    <w:p w:rsidR="00975183" w:rsidRPr="00785B83" w:rsidRDefault="00975183" w:rsidP="006A2E06">
      <w:pPr>
        <w:pStyle w:val="EndnoteText"/>
      </w:pPr>
      <w:r w:rsidRPr="00785B83">
        <w:rPr>
          <w:rStyle w:val="EndnoteReference"/>
        </w:rPr>
        <w:endnoteRef/>
      </w:r>
      <w:r w:rsidRPr="00785B83">
        <w:t xml:space="preserve"> </w:t>
      </w:r>
      <w:proofErr w:type="gramStart"/>
      <w:r w:rsidRPr="00785B83">
        <w:rPr>
          <w:i/>
        </w:rPr>
        <w:t>SRB</w:t>
      </w:r>
      <w:r>
        <w:t xml:space="preserve"> note on Gen. 3:14, p. 9.</w:t>
      </w:r>
      <w:proofErr w:type="gramEnd"/>
    </w:p>
  </w:endnote>
  <w:endnote w:id="3446">
    <w:p w:rsidR="00975183" w:rsidRPr="003A65F6" w:rsidRDefault="00975183" w:rsidP="006A2E06">
      <w:pPr>
        <w:pStyle w:val="EndnoteText"/>
      </w:pPr>
      <w:r w:rsidRPr="003A65F6">
        <w:rPr>
          <w:rStyle w:val="EndnoteReference"/>
        </w:rPr>
        <w:endnoteRef/>
      </w:r>
      <w:r w:rsidRPr="003A65F6">
        <w:t xml:space="preserve"> </w:t>
      </w:r>
      <w:r w:rsidRPr="00643F1E">
        <w:rPr>
          <w:b/>
        </w:rPr>
        <w:t>See</w:t>
      </w:r>
      <w:r w:rsidRPr="00643F1E">
        <w:t xml:space="preserve"> </w:t>
      </w:r>
      <w:r w:rsidRPr="00643F1E">
        <w:rPr>
          <w:b/>
          <w:i/>
        </w:rPr>
        <w:t>Annotation: Key Points</w:t>
      </w:r>
      <w:r w:rsidRPr="00643F1E">
        <w:rPr>
          <w:b/>
        </w:rPr>
        <w:t xml:space="preserve"> above</w:t>
      </w:r>
      <w:r>
        <w:t>.</w:t>
      </w:r>
    </w:p>
  </w:endnote>
  <w:endnote w:id="3447">
    <w:p w:rsidR="00975183" w:rsidRDefault="00975183" w:rsidP="006A2E06">
      <w:pPr>
        <w:pStyle w:val="EndnoteText"/>
      </w:pPr>
      <w:r w:rsidRPr="00785B83">
        <w:rPr>
          <w:rStyle w:val="EndnoteReference"/>
        </w:rPr>
        <w:endnoteRef/>
      </w:r>
      <w:r w:rsidRPr="00785B83">
        <w:t xml:space="preserve"> </w:t>
      </w:r>
      <w:r w:rsidRPr="00785B83">
        <w:rPr>
          <w:i/>
        </w:rPr>
        <w:t>SRB</w:t>
      </w:r>
      <w:r>
        <w:t xml:space="preserve"> notes on Mt. 8:20, p. 1006; 10:16, p. 1009; 13:17, p. 1015; 24:3, pp. 1032-3; 25:1, p. 1035.</w:t>
      </w:r>
    </w:p>
  </w:endnote>
  <w:endnote w:id="3448">
    <w:p w:rsidR="00975183" w:rsidRDefault="00975183" w:rsidP="006A2E06">
      <w:pPr>
        <w:pStyle w:val="EndnoteText"/>
      </w:pPr>
      <w:r w:rsidRPr="00785B83">
        <w:rPr>
          <w:rStyle w:val="EndnoteReference"/>
        </w:rPr>
        <w:endnoteRef/>
      </w:r>
      <w:r w:rsidRPr="00785B83">
        <w:t xml:space="preserve"> </w:t>
      </w:r>
      <w:r w:rsidRPr="00785B83">
        <w:rPr>
          <w:i/>
        </w:rPr>
        <w:t>SRB</w:t>
      </w:r>
      <w:r>
        <w:t xml:space="preserve"> note on Mt. 13:11, p. 1014.</w:t>
      </w:r>
    </w:p>
  </w:endnote>
  <w:endnote w:id="3449">
    <w:p w:rsidR="00975183" w:rsidRDefault="00975183" w:rsidP="006A2E06">
      <w:pPr>
        <w:pStyle w:val="EndnoteText"/>
      </w:pPr>
      <w:r w:rsidRPr="00785B83">
        <w:rPr>
          <w:rStyle w:val="EndnoteReference"/>
        </w:rPr>
        <w:endnoteRef/>
      </w:r>
      <w:r w:rsidRPr="00785B83">
        <w:t xml:space="preserve"> </w:t>
      </w:r>
      <w:r w:rsidRPr="00785B83">
        <w:rPr>
          <w:i/>
        </w:rPr>
        <w:t>SRB</w:t>
      </w:r>
      <w:r>
        <w:t xml:space="preserve"> note on Mt. 24:3, pp. 1032; 25:32, p. 1036.</w:t>
      </w:r>
    </w:p>
  </w:endnote>
  <w:endnote w:id="3450">
    <w:p w:rsidR="00975183" w:rsidRDefault="00975183" w:rsidP="006A2E06">
      <w:pPr>
        <w:pStyle w:val="EndnoteText"/>
      </w:pPr>
      <w:r w:rsidRPr="00785B83">
        <w:rPr>
          <w:rStyle w:val="EndnoteReference"/>
        </w:rPr>
        <w:endnoteRef/>
      </w:r>
      <w:r w:rsidRPr="00785B83">
        <w:t xml:space="preserve"> </w:t>
      </w:r>
      <w:r w:rsidRPr="00785B83">
        <w:rPr>
          <w:i/>
        </w:rPr>
        <w:t>SRB</w:t>
      </w:r>
      <w:r>
        <w:t xml:space="preserve"> note on Mt. 24:16, p. 1033.</w:t>
      </w:r>
    </w:p>
  </w:endnote>
  <w:endnote w:id="3451">
    <w:p w:rsidR="00975183" w:rsidRDefault="00975183" w:rsidP="006A2E06">
      <w:pPr>
        <w:pStyle w:val="EndnoteText"/>
      </w:pPr>
      <w:r w:rsidRPr="00785B83">
        <w:rPr>
          <w:rStyle w:val="EndnoteReference"/>
        </w:rPr>
        <w:endnoteRef/>
      </w:r>
      <w:r w:rsidRPr="00785B83">
        <w:t xml:space="preserve"> </w:t>
      </w:r>
      <w:r w:rsidRPr="00785B83">
        <w:rPr>
          <w:i/>
        </w:rPr>
        <w:t>SRB</w:t>
      </w:r>
      <w:r>
        <w:t xml:space="preserve"> note on Mt. 24:16, p. 1033.</w:t>
      </w:r>
    </w:p>
  </w:endnote>
  <w:endnote w:id="3452">
    <w:p w:rsidR="00975183" w:rsidRDefault="00975183" w:rsidP="006A2E06">
      <w:pPr>
        <w:pStyle w:val="EndnoteText"/>
        <w:jc w:val="both"/>
      </w:pPr>
      <w:r w:rsidRPr="00785B83">
        <w:rPr>
          <w:rStyle w:val="EndnoteReference"/>
        </w:rPr>
        <w:endnoteRef/>
      </w:r>
      <w:r w:rsidRPr="00785B83">
        <w:t xml:space="preserve"> </w:t>
      </w:r>
      <w:r w:rsidRPr="00CC5FC4">
        <w:rPr>
          <w:i/>
        </w:rPr>
        <w:t>SRB</w:t>
      </w:r>
      <w:r w:rsidRPr="00CC5FC4">
        <w:t xml:space="preserve"> notes on Mt.</w:t>
      </w:r>
      <w:r w:rsidRPr="00CC5FC4">
        <w:rPr>
          <w:i/>
        </w:rPr>
        <w:t xml:space="preserve"> </w:t>
      </w:r>
      <w:r w:rsidRPr="00CC5FC4">
        <w:t xml:space="preserve">1:16, p. 994; </w:t>
      </w:r>
      <w:r>
        <w:t xml:space="preserve">2:1, p. 995; 2:4, p. 995; </w:t>
      </w:r>
      <w:r w:rsidRPr="00CC5FC4">
        <w:t xml:space="preserve">3:7, p. 996; 4:8, p. 998; 4:21, p. 999; </w:t>
      </w:r>
    </w:p>
    <w:p w:rsidR="00975183" w:rsidRPr="00CC5FC4" w:rsidRDefault="00975183" w:rsidP="006A2E06">
      <w:pPr>
        <w:pStyle w:val="EndnoteText"/>
        <w:jc w:val="both"/>
      </w:pPr>
      <w:r w:rsidRPr="00CC5FC4">
        <w:t xml:space="preserve">5:22, pp. 1000-01; 7:22, p. 1004;  </w:t>
      </w:r>
      <w:r>
        <w:t>1</w:t>
      </w:r>
      <w:r w:rsidRPr="00CC5FC4">
        <w:t>0:2, p. 1008; 10:34, p. 1009; 11:28, p. 1011; 12:1, pp. 1011-12</w:t>
      </w:r>
      <w:r>
        <w:t>.</w:t>
      </w:r>
    </w:p>
  </w:endnote>
  <w:endnote w:id="3453">
    <w:p w:rsidR="00975183" w:rsidRDefault="00975183" w:rsidP="006A2E06">
      <w:pPr>
        <w:pStyle w:val="EndnoteText"/>
        <w:jc w:val="both"/>
      </w:pPr>
      <w:r w:rsidRPr="00CC5FC4">
        <w:rPr>
          <w:rStyle w:val="EndnoteReference"/>
        </w:rPr>
        <w:endnoteRef/>
      </w:r>
      <w:r w:rsidRPr="00CC5FC4">
        <w:t xml:space="preserve"> </w:t>
      </w:r>
      <w:r w:rsidRPr="00CC5FC4">
        <w:rPr>
          <w:i/>
        </w:rPr>
        <w:t>SRB</w:t>
      </w:r>
      <w:r w:rsidRPr="00CC5FC4">
        <w:t xml:space="preserve"> notes on Mt. 2:2, p. 995; 2:15, p. 995; 3:15, p. 997; 4:1, pp. 997-8; :17., p. 1000; 8:2, p. 1005;   </w:t>
      </w:r>
    </w:p>
    <w:p w:rsidR="00975183" w:rsidRDefault="00975183" w:rsidP="006A2E06">
      <w:pPr>
        <w:pStyle w:val="EndnoteText"/>
        <w:jc w:val="both"/>
      </w:pPr>
      <w:r w:rsidRPr="00CC5FC4">
        <w:t>8:20, p. 1006; 12:3, p. 1012; 13:11, p. 1014; 13:44, p. 1017; 21:4, pp. 1028-9; 21:44, p. 1029; 26:39, p. 1038</w:t>
      </w:r>
      <w:r>
        <w:t>.</w:t>
      </w:r>
    </w:p>
  </w:endnote>
  <w:endnote w:id="3454">
    <w:p w:rsidR="00975183" w:rsidRPr="00CC5FC4" w:rsidRDefault="00975183" w:rsidP="006A2E06">
      <w:pPr>
        <w:pStyle w:val="EndnoteText"/>
      </w:pPr>
      <w:r w:rsidRPr="00CC5FC4">
        <w:rPr>
          <w:rStyle w:val="EndnoteReference"/>
        </w:rPr>
        <w:endnoteRef/>
      </w:r>
      <w:r w:rsidRPr="00CC5FC4">
        <w:t xml:space="preserve"> </w:t>
      </w:r>
      <w:r w:rsidRPr="00CC5FC4">
        <w:rPr>
          <w:i/>
        </w:rPr>
        <w:t>SRB</w:t>
      </w:r>
      <w:r w:rsidRPr="00CC5FC4">
        <w:t xml:space="preserve"> notes on Mt. 5:17, p. 1000; 27:51, p. 1047.</w:t>
      </w:r>
    </w:p>
  </w:endnote>
  <w:endnote w:id="3455">
    <w:p w:rsidR="00975183" w:rsidRPr="00B46D34" w:rsidRDefault="00975183" w:rsidP="006A2E06">
      <w:pPr>
        <w:pStyle w:val="EndnoteText"/>
      </w:pPr>
      <w:r w:rsidRPr="00B46D34">
        <w:rPr>
          <w:rStyle w:val="EndnoteReference"/>
        </w:rPr>
        <w:endnoteRef/>
      </w:r>
      <w:r w:rsidRPr="00B46D34">
        <w:t xml:space="preserve"> Sweetnam, ‘Defining Dispensationalism: A Cultural Studies Perspective’</w:t>
      </w:r>
      <w:r>
        <w:t>,</w:t>
      </w:r>
      <w:r w:rsidRPr="00B46D34">
        <w:t xml:space="preserve"> </w:t>
      </w:r>
      <w:r w:rsidRPr="00B46D34">
        <w:rPr>
          <w:i/>
        </w:rPr>
        <w:t>Journal of Religious History</w:t>
      </w:r>
      <w:r w:rsidRPr="00B46D34">
        <w:t>, Vol. 24, No. 2, June 2010.</w:t>
      </w:r>
    </w:p>
  </w:endnote>
  <w:endnote w:id="3456">
    <w:p w:rsidR="00975183" w:rsidRPr="008D23BA" w:rsidRDefault="00975183" w:rsidP="006A2E06">
      <w:pPr>
        <w:pStyle w:val="EndnoteText"/>
      </w:pPr>
      <w:r w:rsidRPr="008D23BA">
        <w:rPr>
          <w:rStyle w:val="EndnoteReference"/>
        </w:rPr>
        <w:endnoteRef/>
      </w:r>
      <w:r w:rsidRPr="008D23BA">
        <w:t xml:space="preserve"> </w:t>
      </w:r>
      <w:r>
        <w:t xml:space="preserve">Commitment to a literal, biblical hermeneutic, Chapter 2; </w:t>
      </w:r>
      <w:r w:rsidRPr="008D23BA">
        <w:t>commitment to evangelical doctrine,</w:t>
      </w:r>
      <w:r w:rsidRPr="008D23BA">
        <w:rPr>
          <w:rStyle w:val="EndnoteReference"/>
        </w:rPr>
        <w:t xml:space="preserve"> </w:t>
      </w:r>
      <w:r w:rsidRPr="008D23BA">
        <w:t xml:space="preserve">Chapter 3; </w:t>
      </w:r>
      <w:r>
        <w:t>d</w:t>
      </w:r>
      <w:r w:rsidRPr="008D23BA">
        <w:t>ualism between Israel and the Church, Chapter</w:t>
      </w:r>
      <w:r>
        <w:t xml:space="preserve"> </w:t>
      </w:r>
      <w:r w:rsidRPr="008D23BA">
        <w:t>4;</w:t>
      </w:r>
      <w:r w:rsidRPr="008D23BA">
        <w:rPr>
          <w:rStyle w:val="EndnoteReference"/>
        </w:rPr>
        <w:t xml:space="preserve"> </w:t>
      </w:r>
      <w:r w:rsidRPr="008D23BA">
        <w:t xml:space="preserve"> the concept of dispensations and its relationship to covenants, Chapter</w:t>
      </w:r>
      <w:r>
        <w:t xml:space="preserve"> </w:t>
      </w:r>
      <w:r w:rsidRPr="008D23BA">
        <w:t>5; the apprehension of the imminent pretribulational rapture of the true Church, Chapter</w:t>
      </w:r>
      <w:r>
        <w:t xml:space="preserve"> </w:t>
      </w:r>
      <w:r w:rsidRPr="008D23BA">
        <w:t>6 and apocalyptic and millennial expectations, Chapter 7.</w:t>
      </w:r>
    </w:p>
  </w:endnote>
  <w:endnote w:id="3457">
    <w:p w:rsidR="00975183" w:rsidRPr="008D23BA" w:rsidRDefault="00975183" w:rsidP="006A2E06">
      <w:pPr>
        <w:pStyle w:val="EndnoteText"/>
      </w:pPr>
      <w:r w:rsidRPr="008D23BA">
        <w:rPr>
          <w:rStyle w:val="EndnoteReference"/>
        </w:rPr>
        <w:endnoteRef/>
      </w:r>
      <w:r w:rsidRPr="008D23BA">
        <w:t xml:space="preserve"> </w:t>
      </w:r>
      <w:r>
        <w:t xml:space="preserve">Blaising, ‘Extent and Varieties’, </w:t>
      </w:r>
      <w:r w:rsidRPr="008D23BA">
        <w:rPr>
          <w:i/>
        </w:rPr>
        <w:t>Progressive Dispensationalism</w:t>
      </w:r>
      <w:r>
        <w:t>, p. 22.</w:t>
      </w:r>
    </w:p>
  </w:endnote>
  <w:endnote w:id="3458">
    <w:p w:rsidR="00975183" w:rsidRDefault="00975183" w:rsidP="006A2E06">
      <w:pPr>
        <w:pStyle w:val="EndnoteText"/>
      </w:pPr>
      <w:r w:rsidRPr="0045078F">
        <w:rPr>
          <w:rStyle w:val="FootnoteReference"/>
        </w:rPr>
        <w:endnoteRef/>
      </w:r>
      <w:r w:rsidRPr="0045078F">
        <w:t xml:space="preserve"> Ryrie, </w:t>
      </w:r>
      <w:r w:rsidRPr="0045078F">
        <w:rPr>
          <w:i/>
        </w:rPr>
        <w:t>Dispensationalism</w:t>
      </w:r>
      <w:r w:rsidRPr="0045078F">
        <w:t>, p. 97.</w:t>
      </w:r>
    </w:p>
  </w:endnote>
  <w:endnote w:id="3459">
    <w:p w:rsidR="00975183" w:rsidRPr="00FB6743" w:rsidRDefault="00975183" w:rsidP="006A2E06">
      <w:pPr>
        <w:pStyle w:val="EndnoteText"/>
      </w:pPr>
      <w:r w:rsidRPr="00FB6743">
        <w:rPr>
          <w:rStyle w:val="EndnoteReference"/>
        </w:rPr>
        <w:endnoteRef/>
      </w:r>
      <w:r w:rsidRPr="00FB6743">
        <w:t xml:space="preserve"> See</w:t>
      </w:r>
      <w:r>
        <w:t xml:space="preserve"> </w:t>
      </w:r>
      <w:r w:rsidRPr="00FB6743">
        <w:rPr>
          <w:i/>
        </w:rPr>
        <w:t>SRB</w:t>
      </w:r>
      <w:r w:rsidRPr="00FB6743">
        <w:t xml:space="preserve"> note on Exod. 25:1, p. 100</w:t>
      </w:r>
      <w:r>
        <w:t>.</w:t>
      </w:r>
    </w:p>
  </w:endnote>
  <w:endnote w:id="3460">
    <w:p w:rsidR="00975183" w:rsidRPr="004E0F23" w:rsidRDefault="00975183" w:rsidP="006A2E06">
      <w:pPr>
        <w:pStyle w:val="EndnoteText"/>
      </w:pPr>
      <w:r w:rsidRPr="004E0F23">
        <w:rPr>
          <w:rStyle w:val="EndnoteReference"/>
        </w:rPr>
        <w:endnoteRef/>
      </w:r>
      <w:r w:rsidRPr="004E0F23">
        <w:t xml:space="preserve"> </w:t>
      </w:r>
      <w:r w:rsidRPr="004E0F23">
        <w:rPr>
          <w:b/>
        </w:rPr>
        <w:t>See 2.4</w:t>
      </w:r>
      <w:r>
        <w:t>.</w:t>
      </w:r>
    </w:p>
  </w:endnote>
  <w:endnote w:id="3461">
    <w:p w:rsidR="00975183" w:rsidRDefault="00975183" w:rsidP="006A2E06">
      <w:pPr>
        <w:pStyle w:val="EndnoteText"/>
      </w:pPr>
      <w:r w:rsidRPr="004A0397">
        <w:rPr>
          <w:rStyle w:val="FootnoteReference"/>
        </w:rPr>
        <w:endnoteRef/>
      </w:r>
      <w:r w:rsidRPr="004A0397">
        <w:t xml:space="preserve"> John S. Feinberg, ‘Systems of Discontinuity’</w:t>
      </w:r>
      <w:r>
        <w:t xml:space="preserve">.  cf </w:t>
      </w:r>
      <w:r w:rsidRPr="00D011F7">
        <w:rPr>
          <w:i/>
        </w:rPr>
        <w:t>SRB</w:t>
      </w:r>
      <w:r>
        <w:t xml:space="preserve"> note on Lev. 16:6, p. 148.</w:t>
      </w:r>
    </w:p>
  </w:endnote>
  <w:endnote w:id="3462">
    <w:p w:rsidR="00975183" w:rsidRPr="00A168D7" w:rsidRDefault="00975183" w:rsidP="006A2E06">
      <w:pPr>
        <w:pStyle w:val="EndnoteText"/>
      </w:pPr>
      <w:r w:rsidRPr="00A168D7">
        <w:rPr>
          <w:rStyle w:val="EndnoteReference"/>
        </w:rPr>
        <w:endnoteRef/>
      </w:r>
      <w:r w:rsidRPr="00A168D7">
        <w:t xml:space="preserve"> </w:t>
      </w:r>
      <w:r>
        <w:t>See Chapter 2.</w:t>
      </w:r>
    </w:p>
  </w:endnote>
  <w:endnote w:id="3463">
    <w:p w:rsidR="00975183" w:rsidRDefault="00975183" w:rsidP="006A2E06">
      <w:pPr>
        <w:pStyle w:val="EndnoteText"/>
      </w:pPr>
      <w:r>
        <w:rPr>
          <w:rStyle w:val="EndnoteReference"/>
        </w:rPr>
        <w:endnoteRef/>
      </w:r>
      <w:r>
        <w:t xml:space="preserve"> Bebbington’s ‘quadrilateral of priorities’: </w:t>
      </w:r>
      <w:r w:rsidRPr="00316D38">
        <w:rPr>
          <w:szCs w:val="22"/>
        </w:rPr>
        <w:t xml:space="preserve">Bebbington, </w:t>
      </w:r>
      <w:r w:rsidRPr="00316D38">
        <w:rPr>
          <w:i/>
          <w:szCs w:val="22"/>
        </w:rPr>
        <w:t>Evangelicalism in Modern Britain</w:t>
      </w:r>
      <w:r w:rsidRPr="00316D38">
        <w:rPr>
          <w:szCs w:val="22"/>
        </w:rPr>
        <w:t>,</w:t>
      </w:r>
      <w:r>
        <w:rPr>
          <w:szCs w:val="22"/>
        </w:rPr>
        <w:t xml:space="preserve"> pp. 1-</w:t>
      </w:r>
      <w:r w:rsidRPr="00DA01AD">
        <w:rPr>
          <w:szCs w:val="22"/>
        </w:rPr>
        <w:t>2.</w:t>
      </w:r>
    </w:p>
  </w:endnote>
  <w:endnote w:id="3464">
    <w:p w:rsidR="00975183" w:rsidRPr="000810A9" w:rsidRDefault="00975183" w:rsidP="006A2E06">
      <w:pPr>
        <w:pStyle w:val="EndnoteText"/>
      </w:pPr>
      <w:r w:rsidRPr="00DA01AD">
        <w:rPr>
          <w:rStyle w:val="FootnoteReference"/>
        </w:rPr>
        <w:endnoteRef/>
      </w:r>
      <w:r>
        <w:t xml:space="preserve"> Hil</w:t>
      </w:r>
      <w:r w:rsidRPr="00DA01AD">
        <w:t>born, ‘Evangelicalism’, p. 2.</w:t>
      </w:r>
    </w:p>
  </w:endnote>
  <w:endnote w:id="3465">
    <w:p w:rsidR="00975183" w:rsidRPr="00F840D7" w:rsidRDefault="00975183" w:rsidP="006A2E06">
      <w:pPr>
        <w:pStyle w:val="EndnoteText"/>
      </w:pPr>
      <w:r w:rsidRPr="00F840D7">
        <w:rPr>
          <w:rStyle w:val="EndnoteReference"/>
        </w:rPr>
        <w:endnoteRef/>
      </w:r>
      <w:r w:rsidRPr="00F840D7">
        <w:t xml:space="preserve"> </w:t>
      </w:r>
      <w:proofErr w:type="gramStart"/>
      <w:r>
        <w:t xml:space="preserve">For example, </w:t>
      </w:r>
      <w:r w:rsidRPr="00F840D7">
        <w:rPr>
          <w:i/>
        </w:rPr>
        <w:t>SRB</w:t>
      </w:r>
      <w:r>
        <w:t xml:space="preserve"> typological notes in the tables in 2.3.1, a) i) and ii).</w:t>
      </w:r>
      <w:proofErr w:type="gramEnd"/>
      <w:r>
        <w:t xml:space="preserve"> </w:t>
      </w:r>
    </w:p>
  </w:endnote>
  <w:endnote w:id="3466">
    <w:p w:rsidR="00975183" w:rsidRPr="00CA4907" w:rsidRDefault="00975183" w:rsidP="006A2E06">
      <w:pPr>
        <w:pStyle w:val="EndnoteText"/>
      </w:pPr>
      <w:r w:rsidRPr="00CA4907">
        <w:rPr>
          <w:rStyle w:val="EndnoteReference"/>
        </w:rPr>
        <w:endnoteRef/>
      </w:r>
      <w:r w:rsidRPr="00CA4907">
        <w:t xml:space="preserve"> </w:t>
      </w:r>
      <w:r>
        <w:t xml:space="preserve">For example, </w:t>
      </w:r>
      <w:r w:rsidRPr="00CA4907">
        <w:rPr>
          <w:i/>
        </w:rPr>
        <w:t>SRB</w:t>
      </w:r>
      <w:r>
        <w:t xml:space="preserve"> note on Rev. 14:6, p. 1343.  </w:t>
      </w:r>
      <w:r w:rsidRPr="00CA4907">
        <w:rPr>
          <w:b/>
        </w:rPr>
        <w:t>See 4.1</w:t>
      </w:r>
      <w:r>
        <w:t>.</w:t>
      </w:r>
    </w:p>
  </w:endnote>
  <w:endnote w:id="3467">
    <w:p w:rsidR="00975183" w:rsidRPr="002A200A" w:rsidRDefault="00975183" w:rsidP="006A2E06">
      <w:pPr>
        <w:pStyle w:val="EndnoteText"/>
      </w:pPr>
      <w:r w:rsidRPr="002A200A">
        <w:rPr>
          <w:rStyle w:val="EndnoteReference"/>
        </w:rPr>
        <w:endnoteRef/>
      </w:r>
      <w:r w:rsidRPr="002A200A">
        <w:t xml:space="preserve"> </w:t>
      </w:r>
      <w:r>
        <w:t xml:space="preserve">Blaising and Bock, </w:t>
      </w:r>
      <w:r w:rsidRPr="00DA01AD">
        <w:t xml:space="preserve">‘Dispensationalism, Israel and the Church: Assessment and Dialogue’ in </w:t>
      </w:r>
      <w:r w:rsidRPr="00DA01AD">
        <w:rPr>
          <w:i/>
        </w:rPr>
        <w:t>Dispensationalism, Israel &amp; Church</w:t>
      </w:r>
      <w:r w:rsidRPr="00DA01AD">
        <w:t>, p. 38</w:t>
      </w:r>
      <w:r w:rsidRPr="00C37B5E">
        <w:t>3.</w:t>
      </w:r>
    </w:p>
  </w:endnote>
  <w:endnote w:id="3468">
    <w:p w:rsidR="00975183" w:rsidRPr="00186017" w:rsidRDefault="00975183" w:rsidP="006A2E06">
      <w:pPr>
        <w:pStyle w:val="EndnoteText"/>
      </w:pPr>
      <w:r w:rsidRPr="00186017">
        <w:rPr>
          <w:rStyle w:val="EndnoteReference"/>
        </w:rPr>
        <w:endnoteRef/>
      </w:r>
      <w:r w:rsidRPr="00186017">
        <w:t xml:space="preserve"> </w:t>
      </w:r>
      <w:r>
        <w:t xml:space="preserve">Blaising, ‘Extent and Varieties’, </w:t>
      </w:r>
      <w:r w:rsidRPr="00186017">
        <w:rPr>
          <w:i/>
        </w:rPr>
        <w:t>Progressive Dispensationalism</w:t>
      </w:r>
      <w:r>
        <w:t>, p. 32.</w:t>
      </w:r>
    </w:p>
  </w:endnote>
  <w:endnote w:id="3469">
    <w:p w:rsidR="00975183" w:rsidRPr="009762C7" w:rsidRDefault="00975183" w:rsidP="006A2E06">
      <w:pPr>
        <w:pStyle w:val="EndnoteText"/>
      </w:pPr>
      <w:r w:rsidRPr="009762C7">
        <w:rPr>
          <w:rStyle w:val="EndnoteReference"/>
        </w:rPr>
        <w:endnoteRef/>
      </w:r>
      <w:r w:rsidRPr="009762C7">
        <w:t xml:space="preserve"> </w:t>
      </w:r>
      <w:proofErr w:type="gramStart"/>
      <w:r>
        <w:t>Discussed in Chapter 5.</w:t>
      </w:r>
      <w:proofErr w:type="gramEnd"/>
    </w:p>
  </w:endnote>
  <w:endnote w:id="3470">
    <w:p w:rsidR="00975183" w:rsidRPr="004329AD" w:rsidRDefault="00975183" w:rsidP="006A2E06">
      <w:pPr>
        <w:pStyle w:val="EndnoteText"/>
      </w:pPr>
      <w:r w:rsidRPr="009762C7">
        <w:rPr>
          <w:rStyle w:val="EndnoteReference"/>
        </w:rPr>
        <w:endnoteRef/>
      </w:r>
      <w:r w:rsidRPr="009762C7">
        <w:t xml:space="preserve"> </w:t>
      </w:r>
      <w:r w:rsidRPr="004329AD">
        <w:rPr>
          <w:b/>
        </w:rPr>
        <w:t>See 5.6; 7.2.2; 7.2.4; 8.6</w:t>
      </w:r>
      <w:r w:rsidRPr="004329AD">
        <w:t xml:space="preserve">; </w:t>
      </w:r>
      <w:r w:rsidRPr="004329AD">
        <w:rPr>
          <w:b/>
        </w:rPr>
        <w:t>8.6.1</w:t>
      </w:r>
      <w:r w:rsidRPr="004329AD">
        <w:t xml:space="preserve">; </w:t>
      </w:r>
      <w:r w:rsidRPr="004329AD">
        <w:rPr>
          <w:b/>
        </w:rPr>
        <w:t>8.6.3</w:t>
      </w:r>
      <w:r w:rsidRPr="004329AD">
        <w:t xml:space="preserve">.  </w:t>
      </w:r>
    </w:p>
  </w:endnote>
  <w:endnote w:id="3471">
    <w:p w:rsidR="00975183" w:rsidRPr="004329AD" w:rsidRDefault="00975183" w:rsidP="006A2E06">
      <w:pPr>
        <w:pStyle w:val="EndnoteText"/>
      </w:pPr>
      <w:r w:rsidRPr="004329AD">
        <w:rPr>
          <w:rStyle w:val="EndnoteReference"/>
        </w:rPr>
        <w:endnoteRef/>
      </w:r>
      <w:r w:rsidRPr="004329AD">
        <w:t xml:space="preserve"> </w:t>
      </w:r>
      <w:r w:rsidRPr="004329AD">
        <w:rPr>
          <w:i/>
        </w:rPr>
        <w:t>SRB</w:t>
      </w:r>
      <w:r w:rsidRPr="004329AD">
        <w:t xml:space="preserve"> notes on Mt. 11:11, p. 1010; 11:20, p. 1011; 11:28, p. 1011.  cf </w:t>
      </w:r>
      <w:r w:rsidRPr="004329AD">
        <w:rPr>
          <w:i/>
        </w:rPr>
        <w:t>SRB</w:t>
      </w:r>
      <w:r w:rsidRPr="004329AD">
        <w:t xml:space="preserve"> note on Mt. 21:4, pp. 1028-9.</w:t>
      </w:r>
    </w:p>
  </w:endnote>
  <w:endnote w:id="3472">
    <w:p w:rsidR="00975183" w:rsidRPr="004329AD" w:rsidRDefault="00975183" w:rsidP="006A2E06">
      <w:pPr>
        <w:pStyle w:val="EndnoteText"/>
      </w:pPr>
      <w:r w:rsidRPr="004329AD">
        <w:rPr>
          <w:rStyle w:val="EndnoteReference"/>
        </w:rPr>
        <w:endnoteRef/>
      </w:r>
      <w:r w:rsidRPr="004329AD">
        <w:t xml:space="preserve"> </w:t>
      </w:r>
      <w:proofErr w:type="gramStart"/>
      <w:r w:rsidRPr="004329AD">
        <w:rPr>
          <w:i/>
        </w:rPr>
        <w:t>SRB</w:t>
      </w:r>
      <w:r w:rsidRPr="004329AD">
        <w:t xml:space="preserve"> note on Rev. 14:6, p.1343.</w:t>
      </w:r>
      <w:proofErr w:type="gramEnd"/>
      <w:r w:rsidRPr="004329AD">
        <w:t xml:space="preserve">  </w:t>
      </w:r>
      <w:proofErr w:type="gramStart"/>
      <w:r w:rsidRPr="004329AD">
        <w:rPr>
          <w:b/>
        </w:rPr>
        <w:t>See 5.6.2</w:t>
      </w:r>
      <w:r w:rsidRPr="004329AD">
        <w:t>.</w:t>
      </w:r>
      <w:proofErr w:type="gramEnd"/>
    </w:p>
  </w:endnote>
  <w:endnote w:id="3473">
    <w:p w:rsidR="00975183" w:rsidRDefault="00975183" w:rsidP="006A2E06">
      <w:pPr>
        <w:pStyle w:val="EndnoteText"/>
      </w:pPr>
      <w:r w:rsidRPr="00DA01AD">
        <w:rPr>
          <w:rStyle w:val="FootnoteReference"/>
          <w:szCs w:val="22"/>
        </w:rPr>
        <w:endnoteRef/>
      </w:r>
      <w:r w:rsidRPr="00DA01AD">
        <w:rPr>
          <w:szCs w:val="22"/>
        </w:rPr>
        <w:t xml:space="preserve"> Blaising, ‘Extent &amp; Varieties’, </w:t>
      </w:r>
      <w:r w:rsidRPr="00DA01AD">
        <w:rPr>
          <w:i/>
          <w:szCs w:val="22"/>
        </w:rPr>
        <w:t>Progressive Dispensationalism</w:t>
      </w:r>
      <w:r w:rsidRPr="00DA01AD">
        <w:rPr>
          <w:szCs w:val="22"/>
        </w:rPr>
        <w:t>, p. 15.</w:t>
      </w:r>
    </w:p>
  </w:endnote>
  <w:endnote w:id="3474">
    <w:p w:rsidR="00975183" w:rsidRDefault="00975183" w:rsidP="006A2E06">
      <w:pPr>
        <w:pStyle w:val="EndnoteText"/>
      </w:pPr>
      <w:r w:rsidRPr="00DA01AD">
        <w:rPr>
          <w:rStyle w:val="FootnoteReference"/>
          <w:szCs w:val="22"/>
        </w:rPr>
        <w:endnoteRef/>
      </w:r>
      <w:r w:rsidRPr="00DA01AD">
        <w:rPr>
          <w:szCs w:val="22"/>
        </w:rPr>
        <w:t xml:space="preserve"> Blaising, ‘Extent &amp; Varieties’, </w:t>
      </w:r>
      <w:r w:rsidRPr="00DA01AD">
        <w:rPr>
          <w:i/>
          <w:szCs w:val="22"/>
        </w:rPr>
        <w:t>Progressive Dispensationalism</w:t>
      </w:r>
      <w:r w:rsidRPr="00DA01AD">
        <w:rPr>
          <w:szCs w:val="22"/>
        </w:rPr>
        <w:t xml:space="preserve">, p. </w:t>
      </w:r>
      <w:r>
        <w:rPr>
          <w:szCs w:val="22"/>
        </w:rPr>
        <w:t>48</w:t>
      </w:r>
      <w:r w:rsidRPr="00DA01AD">
        <w:rPr>
          <w:szCs w:val="22"/>
        </w:rPr>
        <w:t>.</w:t>
      </w:r>
    </w:p>
  </w:endnote>
  <w:endnote w:id="3475">
    <w:p w:rsidR="00975183" w:rsidRPr="004F680B" w:rsidRDefault="00975183" w:rsidP="006A2E06">
      <w:pPr>
        <w:pStyle w:val="EndnoteText"/>
      </w:pPr>
      <w:r w:rsidRPr="004F680B">
        <w:rPr>
          <w:rStyle w:val="EndnoteReference"/>
        </w:rPr>
        <w:endnoteRef/>
      </w:r>
      <w:r w:rsidRPr="004F680B">
        <w:t xml:space="preserve"> </w:t>
      </w:r>
      <w:proofErr w:type="gramStart"/>
      <w:r w:rsidRPr="004F680B">
        <w:rPr>
          <w:i/>
        </w:rPr>
        <w:t>SRB</w:t>
      </w:r>
      <w:r>
        <w:t xml:space="preserve"> note on Rev. 19:19, p. 1349.</w:t>
      </w:r>
      <w:proofErr w:type="gramEnd"/>
    </w:p>
  </w:endnote>
  <w:endnote w:id="3476">
    <w:p w:rsidR="00975183" w:rsidRDefault="00975183" w:rsidP="006A2E06">
      <w:pPr>
        <w:pStyle w:val="EndnoteText"/>
      </w:pPr>
      <w:r w:rsidRPr="004F680B">
        <w:rPr>
          <w:rStyle w:val="EndnoteReference"/>
        </w:rPr>
        <w:endnoteRef/>
      </w:r>
      <w:r w:rsidRPr="004F680B">
        <w:t xml:space="preserve"> </w:t>
      </w:r>
      <w:r w:rsidRPr="004F680B">
        <w:rPr>
          <w:i/>
        </w:rPr>
        <w:t>SRB</w:t>
      </w:r>
      <w:r>
        <w:t xml:space="preserve"> notes on Jn 14:3, p. 1135; </w:t>
      </w:r>
      <w:r w:rsidRPr="00A72278">
        <w:t>1 Cor. 15:52, p. 1228</w:t>
      </w:r>
      <w:r>
        <w:t>.</w:t>
      </w:r>
    </w:p>
  </w:endnote>
  <w:endnote w:id="3477">
    <w:p w:rsidR="00975183" w:rsidRPr="00A501D3" w:rsidRDefault="00975183" w:rsidP="006A2E06">
      <w:pPr>
        <w:pStyle w:val="EndnoteText"/>
      </w:pPr>
      <w:r w:rsidRPr="00A501D3">
        <w:rPr>
          <w:rStyle w:val="EndnoteReference"/>
        </w:rPr>
        <w:endnoteRef/>
      </w:r>
      <w:r w:rsidRPr="00A501D3">
        <w:t xml:space="preserve"> </w:t>
      </w:r>
      <w:r w:rsidRPr="00A501D3">
        <w:rPr>
          <w:i/>
        </w:rPr>
        <w:t>SRB</w:t>
      </w:r>
      <w:r>
        <w:t xml:space="preserve"> note on 2 Sam. 7:16, p. 362.</w:t>
      </w:r>
    </w:p>
  </w:endnote>
  <w:endnote w:id="3478">
    <w:p w:rsidR="00975183" w:rsidRDefault="00975183" w:rsidP="006A2E06">
      <w:pPr>
        <w:pStyle w:val="EndnoteText"/>
      </w:pPr>
      <w:r w:rsidRPr="00A501D3">
        <w:rPr>
          <w:rStyle w:val="EndnoteReference"/>
        </w:rPr>
        <w:endnoteRef/>
      </w:r>
      <w:r w:rsidRPr="00A501D3">
        <w:t xml:space="preserve"> </w:t>
      </w:r>
      <w:r w:rsidRPr="00A501D3">
        <w:rPr>
          <w:i/>
        </w:rPr>
        <w:t>SRB</w:t>
      </w:r>
      <w:r>
        <w:t xml:space="preserve"> note on Jn 1:17, p. 1115.</w:t>
      </w:r>
    </w:p>
  </w:endnote>
  <w:endnote w:id="3479">
    <w:p w:rsidR="00975183" w:rsidRDefault="00975183" w:rsidP="006A2E06">
      <w:pPr>
        <w:pStyle w:val="EndnoteText"/>
      </w:pPr>
      <w:r w:rsidRPr="00A501D3">
        <w:rPr>
          <w:rStyle w:val="EndnoteReference"/>
        </w:rPr>
        <w:endnoteRef/>
      </w:r>
      <w:r w:rsidRPr="00A501D3">
        <w:t xml:space="preserve"> </w:t>
      </w:r>
      <w:r w:rsidRPr="00A501D3">
        <w:rPr>
          <w:i/>
        </w:rPr>
        <w:t>SRB</w:t>
      </w:r>
      <w:r>
        <w:t xml:space="preserve"> note on Eph. 1:10, p. 1250.</w:t>
      </w:r>
    </w:p>
  </w:endnote>
  <w:endnote w:id="3480">
    <w:p w:rsidR="00975183" w:rsidRDefault="00975183" w:rsidP="006A2E06">
      <w:pPr>
        <w:pStyle w:val="EndnoteText"/>
      </w:pPr>
      <w:r w:rsidRPr="00A501D3">
        <w:rPr>
          <w:rStyle w:val="EndnoteReference"/>
        </w:rPr>
        <w:endnoteRef/>
      </w:r>
      <w:r w:rsidRPr="00A501D3">
        <w:t xml:space="preserve"> </w:t>
      </w:r>
      <w:r w:rsidRPr="00A501D3">
        <w:rPr>
          <w:i/>
        </w:rPr>
        <w:t>SRB</w:t>
      </w:r>
      <w:r>
        <w:t xml:space="preserve"> note on Heb. 1:4, pp. 1291-2.</w:t>
      </w:r>
    </w:p>
  </w:endnote>
  <w:endnote w:id="3481">
    <w:p w:rsidR="00975183" w:rsidRPr="000420DA" w:rsidRDefault="00975183" w:rsidP="006A2E06">
      <w:pPr>
        <w:pStyle w:val="EndnoteText"/>
      </w:pPr>
      <w:r w:rsidRPr="000420DA">
        <w:rPr>
          <w:rStyle w:val="EndnoteReference"/>
        </w:rPr>
        <w:endnoteRef/>
      </w:r>
      <w:r w:rsidRPr="000420DA">
        <w:t xml:space="preserve"> For example, Aldrich, ‘An Apologetic for Dispensationalism’; </w:t>
      </w:r>
    </w:p>
    <w:p w:rsidR="00975183" w:rsidRPr="000420DA" w:rsidRDefault="00975183" w:rsidP="006A2E06">
      <w:pPr>
        <w:pStyle w:val="EndnoteText"/>
        <w:rPr>
          <w:bCs/>
          <w:lang w:eastAsia="en-GB"/>
        </w:rPr>
      </w:pPr>
      <w:r w:rsidRPr="000420DA">
        <w:t>Allis, ‘</w:t>
      </w:r>
      <w:r w:rsidRPr="000420DA">
        <w:rPr>
          <w:bCs/>
          <w:lang w:eastAsia="en-GB"/>
        </w:rPr>
        <w:t>Modern Dispensationalism and the Doctrine of the Unity of Scripture’;</w:t>
      </w:r>
    </w:p>
    <w:p w:rsidR="00975183" w:rsidRPr="000420DA" w:rsidRDefault="00975183" w:rsidP="006A2E06">
      <w:pPr>
        <w:pStyle w:val="EndnoteText"/>
        <w:rPr>
          <w:lang w:val="en-US"/>
        </w:rPr>
      </w:pPr>
      <w:r w:rsidRPr="000420DA">
        <w:rPr>
          <w:lang w:val="en-US"/>
        </w:rPr>
        <w:t xml:space="preserve">Bass, </w:t>
      </w:r>
      <w:r w:rsidRPr="000420DA">
        <w:rPr>
          <w:i/>
          <w:lang w:val="en-US"/>
        </w:rPr>
        <w:t>Backgrounds to Dispensationalism</w:t>
      </w:r>
      <w:r w:rsidRPr="000420DA">
        <w:rPr>
          <w:lang w:val="en-US"/>
        </w:rPr>
        <w:t>;</w:t>
      </w:r>
    </w:p>
    <w:p w:rsidR="00975183" w:rsidRPr="000420DA" w:rsidRDefault="00975183" w:rsidP="006A2E06">
      <w:pPr>
        <w:pStyle w:val="FootnoteText"/>
        <w:rPr>
          <w:rFonts w:ascii="Perpetua" w:hAnsi="Perpetua"/>
        </w:rPr>
      </w:pPr>
      <w:r w:rsidRPr="000420DA">
        <w:rPr>
          <w:rFonts w:ascii="Perpetua" w:hAnsi="Perpetua"/>
        </w:rPr>
        <w:t xml:space="preserve">Bingham, D. Jeffrey and Glenn R. Kreider, </w:t>
      </w:r>
      <w:r w:rsidRPr="000420DA">
        <w:rPr>
          <w:rFonts w:ascii="Perpetua" w:hAnsi="Perpetua"/>
          <w:i/>
        </w:rPr>
        <w:t>Dispensationalism and the History of Redemption</w:t>
      </w:r>
      <w:r w:rsidRPr="000420DA">
        <w:rPr>
          <w:rFonts w:ascii="Perpetua" w:hAnsi="Perpetua"/>
        </w:rPr>
        <w:t>;</w:t>
      </w:r>
    </w:p>
    <w:p w:rsidR="00975183" w:rsidRPr="000420DA" w:rsidRDefault="00975183" w:rsidP="006A2E06">
      <w:pPr>
        <w:pStyle w:val="FootnoteText"/>
        <w:rPr>
          <w:rFonts w:ascii="Perpetua" w:hAnsi="Perpetua"/>
        </w:rPr>
      </w:pPr>
      <w:r w:rsidRPr="000420DA">
        <w:rPr>
          <w:rFonts w:ascii="Perpetua" w:hAnsi="Perpetua"/>
        </w:rPr>
        <w:t>Blaising, ‘Developing Dispensationalism Part 2: Development of Dispensationalism by Contemporary Dispensationalists’;</w:t>
      </w:r>
    </w:p>
    <w:p w:rsidR="00975183" w:rsidRPr="000420DA" w:rsidRDefault="00975183" w:rsidP="006A2E06">
      <w:pPr>
        <w:pStyle w:val="FootnoteText"/>
        <w:rPr>
          <w:rFonts w:ascii="Perpetua" w:hAnsi="Perpetua"/>
        </w:rPr>
      </w:pPr>
      <w:r w:rsidRPr="000420DA">
        <w:rPr>
          <w:rFonts w:ascii="Perpetua" w:hAnsi="Perpetua"/>
        </w:rPr>
        <w:t xml:space="preserve">Blaising and Bock, </w:t>
      </w:r>
      <w:r w:rsidRPr="000420DA">
        <w:rPr>
          <w:rFonts w:ascii="Perpetua" w:hAnsi="Perpetua"/>
          <w:i/>
        </w:rPr>
        <w:t>Dispensationalism, Israel and the Church: The Search for Definition;</w:t>
      </w:r>
      <w:r>
        <w:rPr>
          <w:rFonts w:ascii="Perpetua" w:hAnsi="Perpetua"/>
        </w:rPr>
        <w:t xml:space="preserve"> </w:t>
      </w:r>
      <w:r w:rsidRPr="000420DA">
        <w:rPr>
          <w:rFonts w:ascii="Perpetua" w:hAnsi="Perpetua"/>
          <w:i/>
        </w:rPr>
        <w:t>Progressive Dispensationalism</w:t>
      </w:r>
      <w:r w:rsidRPr="000420DA">
        <w:rPr>
          <w:rFonts w:ascii="Perpetua" w:hAnsi="Perpetua"/>
        </w:rPr>
        <w:t>;</w:t>
      </w:r>
    </w:p>
    <w:p w:rsidR="00975183" w:rsidRDefault="00975183" w:rsidP="006A2E06">
      <w:pPr>
        <w:pStyle w:val="FootnoteText"/>
        <w:rPr>
          <w:rFonts w:ascii="Perpetua" w:hAnsi="Perpetua"/>
        </w:rPr>
      </w:pPr>
      <w:r w:rsidRPr="000420DA">
        <w:rPr>
          <w:rFonts w:ascii="Perpetua" w:hAnsi="Perpetua"/>
        </w:rPr>
        <w:t xml:space="preserve">Crutchfield, ‘John Nelson Darby: Defender of the Faith’; ‘The Early Church Fathers and the Foundations of Dispensationalism, Part 1 – Setting the Stage: The Participants and Theological Principles in the Debate’; </w:t>
      </w:r>
      <w:r w:rsidRPr="000420DA">
        <w:rPr>
          <w:rFonts w:ascii="Perpetua" w:hAnsi="Perpetua"/>
          <w:i/>
        </w:rPr>
        <w:t>The Origins of Dispensationalism: The Darby Factor</w:t>
      </w:r>
      <w:r w:rsidRPr="000420DA">
        <w:rPr>
          <w:rFonts w:ascii="Perpetua" w:hAnsi="Perpetua"/>
        </w:rPr>
        <w:t xml:space="preserve">; ‘The Rudiments of Dispensationalism in the Ante-Nicene Period’ Part 1, ‘Israel and the Church in the Ante-Nicene Fathers’; ‘The Rudiments of Dispensationalism in the Ante-Nicene Period’ </w:t>
      </w:r>
    </w:p>
    <w:p w:rsidR="00975183" w:rsidRPr="000420DA" w:rsidRDefault="00975183" w:rsidP="006A2E06">
      <w:pPr>
        <w:pStyle w:val="FootnoteText"/>
        <w:rPr>
          <w:rFonts w:ascii="Perpetua" w:hAnsi="Perpetua"/>
        </w:rPr>
      </w:pPr>
      <w:r w:rsidRPr="000420DA">
        <w:rPr>
          <w:rFonts w:ascii="Perpetua" w:hAnsi="Perpetua"/>
        </w:rPr>
        <w:t>Part 2, ‘Ages and Dispensations in the Ante-Nicene Fathers’;</w:t>
      </w:r>
    </w:p>
    <w:p w:rsidR="00975183" w:rsidRPr="000420DA" w:rsidRDefault="00975183" w:rsidP="006A2E06">
      <w:pPr>
        <w:autoSpaceDE w:val="0"/>
        <w:autoSpaceDN w:val="0"/>
        <w:adjustRightInd w:val="0"/>
        <w:spacing w:after="0" w:line="240" w:lineRule="auto"/>
        <w:rPr>
          <w:sz w:val="20"/>
          <w:szCs w:val="20"/>
        </w:rPr>
      </w:pPr>
      <w:r w:rsidRPr="000420DA">
        <w:rPr>
          <w:sz w:val="20"/>
          <w:szCs w:val="20"/>
        </w:rPr>
        <w:t xml:space="preserve">Fuller, </w:t>
      </w:r>
      <w:r w:rsidRPr="000420DA">
        <w:rPr>
          <w:i/>
          <w:sz w:val="20"/>
          <w:szCs w:val="20"/>
        </w:rPr>
        <w:t xml:space="preserve">Gospel and Law: </w:t>
      </w:r>
      <w:r w:rsidRPr="000420DA">
        <w:rPr>
          <w:i/>
          <w:sz w:val="20"/>
          <w:szCs w:val="20"/>
          <w:lang w:val="en-US"/>
        </w:rPr>
        <w:t>contrast or continuum?: The hermeneutics of dispensationalism and covenant theology</w:t>
      </w:r>
      <w:r w:rsidRPr="000420DA">
        <w:rPr>
          <w:sz w:val="20"/>
          <w:szCs w:val="20"/>
          <w:lang w:val="en-US"/>
        </w:rPr>
        <w:t xml:space="preserve">; </w:t>
      </w:r>
      <w:r w:rsidRPr="000420DA">
        <w:rPr>
          <w:sz w:val="20"/>
          <w:szCs w:val="20"/>
        </w:rPr>
        <w:t>‘Progressive Dispensationalism and the Law/Gospel Contrast: A Case Study in Biblical Theology’;</w:t>
      </w:r>
    </w:p>
    <w:p w:rsidR="00975183" w:rsidRPr="000420DA" w:rsidRDefault="00975183" w:rsidP="006A2E06">
      <w:pPr>
        <w:pStyle w:val="EndnoteText"/>
      </w:pPr>
      <w:r w:rsidRPr="000420DA">
        <w:t xml:space="preserve">Gerstner, </w:t>
      </w:r>
      <w:r w:rsidRPr="000420DA">
        <w:rPr>
          <w:i/>
        </w:rPr>
        <w:t>Wrongly Dividing the Word of Truth: a Critique of Dispensationalism</w:t>
      </w:r>
      <w:r w:rsidRPr="000420DA">
        <w:t>;</w:t>
      </w:r>
    </w:p>
    <w:p w:rsidR="00975183" w:rsidRPr="000420DA" w:rsidRDefault="00975183" w:rsidP="006A2E06">
      <w:pPr>
        <w:spacing w:after="0" w:line="240" w:lineRule="auto"/>
        <w:rPr>
          <w:sz w:val="20"/>
          <w:szCs w:val="20"/>
        </w:rPr>
      </w:pPr>
      <w:r w:rsidRPr="000420DA">
        <w:rPr>
          <w:sz w:val="20"/>
          <w:szCs w:val="20"/>
        </w:rPr>
        <w:t xml:space="preserve">Henzel, </w:t>
      </w:r>
      <w:r w:rsidRPr="000420DA">
        <w:rPr>
          <w:i/>
          <w:sz w:val="20"/>
          <w:szCs w:val="20"/>
        </w:rPr>
        <w:t xml:space="preserve">Darby, Dualism </w:t>
      </w:r>
      <w:r>
        <w:rPr>
          <w:i/>
          <w:sz w:val="20"/>
          <w:szCs w:val="20"/>
        </w:rPr>
        <w:t>and</w:t>
      </w:r>
      <w:r w:rsidRPr="000420DA">
        <w:rPr>
          <w:i/>
          <w:sz w:val="20"/>
          <w:szCs w:val="20"/>
        </w:rPr>
        <w:t xml:space="preserve"> Decline of Dispensationalism</w:t>
      </w:r>
      <w:r w:rsidRPr="000420DA">
        <w:rPr>
          <w:sz w:val="20"/>
          <w:szCs w:val="20"/>
        </w:rPr>
        <w:t>;</w:t>
      </w:r>
    </w:p>
    <w:p w:rsidR="00975183" w:rsidRPr="000420DA" w:rsidRDefault="00975183" w:rsidP="006A2E06">
      <w:pPr>
        <w:spacing w:after="0" w:line="240" w:lineRule="auto"/>
        <w:rPr>
          <w:sz w:val="20"/>
          <w:szCs w:val="20"/>
        </w:rPr>
      </w:pPr>
      <w:r w:rsidRPr="000420DA">
        <w:rPr>
          <w:sz w:val="20"/>
          <w:szCs w:val="20"/>
        </w:rPr>
        <w:t>Holsteen, ‘The Hermeneutic of Dispensationalism’;</w:t>
      </w:r>
    </w:p>
    <w:p w:rsidR="00975183" w:rsidRPr="000420DA" w:rsidRDefault="00975183" w:rsidP="006A2E06">
      <w:pPr>
        <w:spacing w:after="0" w:line="240" w:lineRule="auto"/>
        <w:rPr>
          <w:sz w:val="20"/>
          <w:szCs w:val="20"/>
        </w:rPr>
      </w:pPr>
      <w:r w:rsidRPr="000420DA">
        <w:rPr>
          <w:sz w:val="20"/>
          <w:szCs w:val="20"/>
        </w:rPr>
        <w:t xml:space="preserve">Ice, ‘A Short History of Dispensationalism’; </w:t>
      </w:r>
      <w:r w:rsidRPr="000420DA">
        <w:rPr>
          <w:bCs/>
          <w:sz w:val="20"/>
          <w:szCs w:val="20"/>
          <w:lang w:eastAsia="en-GB"/>
        </w:rPr>
        <w:t xml:space="preserve">‘Dispensationalism, Date-Setting, and Distortion’; </w:t>
      </w:r>
      <w:r w:rsidRPr="000420DA">
        <w:rPr>
          <w:sz w:val="20"/>
          <w:szCs w:val="20"/>
        </w:rPr>
        <w:t>‘Dispensational Hermeneutics’;</w:t>
      </w:r>
    </w:p>
    <w:p w:rsidR="00975183" w:rsidRPr="000420DA" w:rsidRDefault="00975183" w:rsidP="006A2E06">
      <w:pPr>
        <w:spacing w:after="0" w:line="240" w:lineRule="auto"/>
        <w:rPr>
          <w:sz w:val="20"/>
          <w:szCs w:val="20"/>
        </w:rPr>
      </w:pPr>
      <w:r w:rsidRPr="000420DA">
        <w:rPr>
          <w:sz w:val="20"/>
          <w:szCs w:val="20"/>
        </w:rPr>
        <w:t xml:space="preserve">Kraus, </w:t>
      </w:r>
      <w:r w:rsidRPr="000420DA">
        <w:rPr>
          <w:i/>
          <w:sz w:val="20"/>
          <w:szCs w:val="20"/>
        </w:rPr>
        <w:t>Dispensationalism in America: Its Rise and Development</w:t>
      </w:r>
      <w:r w:rsidRPr="000420DA">
        <w:rPr>
          <w:sz w:val="20"/>
          <w:szCs w:val="20"/>
        </w:rPr>
        <w:t>;</w:t>
      </w:r>
    </w:p>
    <w:p w:rsidR="00975183" w:rsidRPr="000420DA" w:rsidRDefault="00975183" w:rsidP="006A2E06">
      <w:pPr>
        <w:spacing w:after="0" w:line="240" w:lineRule="auto"/>
        <w:rPr>
          <w:sz w:val="20"/>
          <w:szCs w:val="20"/>
        </w:rPr>
      </w:pPr>
      <w:r w:rsidRPr="000420DA">
        <w:rPr>
          <w:sz w:val="20"/>
          <w:szCs w:val="20"/>
        </w:rPr>
        <w:t>Kreider, ‘What is Dispensationalism</w:t>
      </w:r>
      <w:r>
        <w:rPr>
          <w:sz w:val="20"/>
          <w:szCs w:val="20"/>
        </w:rPr>
        <w:t>?</w:t>
      </w:r>
      <w:proofErr w:type="gramStart"/>
      <w:r w:rsidRPr="000420DA">
        <w:rPr>
          <w:sz w:val="20"/>
          <w:szCs w:val="20"/>
        </w:rPr>
        <w:t>’;</w:t>
      </w:r>
      <w:proofErr w:type="gramEnd"/>
    </w:p>
    <w:p w:rsidR="00975183" w:rsidRPr="000420DA" w:rsidRDefault="00975183" w:rsidP="006A2E06">
      <w:pPr>
        <w:spacing w:after="0" w:line="240" w:lineRule="auto"/>
        <w:rPr>
          <w:sz w:val="20"/>
          <w:szCs w:val="20"/>
        </w:rPr>
      </w:pPr>
      <w:r w:rsidRPr="000420DA">
        <w:rPr>
          <w:sz w:val="20"/>
          <w:szCs w:val="20"/>
        </w:rPr>
        <w:t>Mangum, ‘</w:t>
      </w:r>
      <w:r w:rsidRPr="000420DA">
        <w:rPr>
          <w:sz w:val="20"/>
          <w:szCs w:val="20"/>
          <w:lang w:val="en-US"/>
        </w:rPr>
        <w:t>High Hopes for 21st-Century Dispensationalism’;</w:t>
      </w:r>
    </w:p>
    <w:p w:rsidR="00975183" w:rsidRPr="000420DA" w:rsidRDefault="00975183" w:rsidP="006A2E06">
      <w:pPr>
        <w:spacing w:after="0" w:line="240" w:lineRule="auto"/>
        <w:rPr>
          <w:sz w:val="20"/>
          <w:szCs w:val="20"/>
        </w:rPr>
      </w:pPr>
      <w:r w:rsidRPr="000420DA">
        <w:rPr>
          <w:sz w:val="20"/>
          <w:szCs w:val="20"/>
        </w:rPr>
        <w:t xml:space="preserve">Poythress, </w:t>
      </w:r>
      <w:r w:rsidRPr="000420DA">
        <w:rPr>
          <w:i/>
          <w:sz w:val="20"/>
          <w:szCs w:val="20"/>
        </w:rPr>
        <w:t>Understanding Dispensationalists</w:t>
      </w:r>
      <w:r w:rsidRPr="000420DA">
        <w:rPr>
          <w:sz w:val="20"/>
          <w:szCs w:val="20"/>
        </w:rPr>
        <w:t>;</w:t>
      </w:r>
    </w:p>
    <w:p w:rsidR="00975183" w:rsidRPr="000420DA" w:rsidRDefault="00975183" w:rsidP="006A2E06">
      <w:pPr>
        <w:pStyle w:val="FootnoteText"/>
        <w:ind w:left="499" w:hanging="499"/>
        <w:rPr>
          <w:rFonts w:ascii="Perpetua" w:hAnsi="Perpetua"/>
          <w:bCs/>
          <w:kern w:val="36"/>
          <w:lang w:eastAsia="en-GB"/>
        </w:rPr>
      </w:pPr>
      <w:r w:rsidRPr="000420DA">
        <w:rPr>
          <w:rFonts w:ascii="Perpetua" w:hAnsi="Perpetua"/>
        </w:rPr>
        <w:t>Sarver, ‘</w:t>
      </w:r>
      <w:r w:rsidRPr="000420DA">
        <w:rPr>
          <w:rFonts w:ascii="Perpetua" w:hAnsi="Perpetua"/>
          <w:bCs/>
          <w:kern w:val="36"/>
          <w:lang w:eastAsia="en-GB"/>
        </w:rPr>
        <w:t>Dispensationalism: Part III – The Development and Spread of Dispensationalism in America’</w:t>
      </w:r>
      <w:r>
        <w:rPr>
          <w:rFonts w:ascii="Perpetua" w:hAnsi="Perpetua"/>
          <w:bCs/>
          <w:kern w:val="36"/>
          <w:lang w:eastAsia="en-GB"/>
        </w:rPr>
        <w:t>;</w:t>
      </w:r>
    </w:p>
    <w:p w:rsidR="00975183" w:rsidRPr="000420DA" w:rsidRDefault="00975183" w:rsidP="006A2E06">
      <w:pPr>
        <w:pStyle w:val="FootnoteText"/>
        <w:rPr>
          <w:rFonts w:ascii="Perpetua" w:hAnsi="Perpetua"/>
        </w:rPr>
      </w:pPr>
      <w:r w:rsidRPr="000420DA">
        <w:rPr>
          <w:rFonts w:ascii="Perpetua" w:hAnsi="Perpetua"/>
          <w:bCs/>
          <w:kern w:val="36"/>
          <w:lang w:eastAsia="en-GB"/>
        </w:rPr>
        <w:t xml:space="preserve">Saucy, </w:t>
      </w:r>
      <w:r w:rsidRPr="000420DA">
        <w:rPr>
          <w:rFonts w:ascii="Perpetua" w:hAnsi="Perpetua"/>
          <w:bCs/>
          <w:i/>
          <w:kern w:val="36"/>
          <w:lang w:eastAsia="en-GB"/>
        </w:rPr>
        <w:t>The Case for Progressive Dispensationalism</w:t>
      </w:r>
      <w:r w:rsidRPr="000420DA">
        <w:rPr>
          <w:rFonts w:ascii="Perpetua" w:hAnsi="Perpetua"/>
          <w:bCs/>
          <w:kern w:val="36"/>
          <w:lang w:eastAsia="en-GB"/>
        </w:rPr>
        <w:t xml:space="preserve">; </w:t>
      </w:r>
      <w:r w:rsidRPr="000420DA">
        <w:rPr>
          <w:rFonts w:ascii="Perpetua" w:hAnsi="Perpetua"/>
        </w:rPr>
        <w:t>‘The Church as the Mystery of God’;</w:t>
      </w:r>
    </w:p>
    <w:p w:rsidR="00975183" w:rsidRPr="000420DA" w:rsidRDefault="00975183" w:rsidP="006A2E06">
      <w:pPr>
        <w:spacing w:after="0" w:line="240" w:lineRule="auto"/>
        <w:rPr>
          <w:i/>
          <w:sz w:val="20"/>
          <w:szCs w:val="20"/>
        </w:rPr>
      </w:pPr>
      <w:r w:rsidRPr="000420DA">
        <w:rPr>
          <w:sz w:val="20"/>
          <w:szCs w:val="20"/>
        </w:rPr>
        <w:t xml:space="preserve">Stamper </w:t>
      </w:r>
      <w:r>
        <w:rPr>
          <w:i/>
          <w:sz w:val="20"/>
          <w:szCs w:val="20"/>
        </w:rPr>
        <w:t>Covenantal Dispensationalism</w:t>
      </w:r>
      <w:r w:rsidRPr="000420DA">
        <w:rPr>
          <w:sz w:val="20"/>
          <w:szCs w:val="20"/>
        </w:rPr>
        <w:t>;</w:t>
      </w:r>
    </w:p>
    <w:p w:rsidR="00975183" w:rsidRDefault="00975183" w:rsidP="006A2E06">
      <w:pPr>
        <w:spacing w:after="0" w:line="240" w:lineRule="auto"/>
        <w:ind w:left="539" w:hanging="539"/>
        <w:rPr>
          <w:sz w:val="20"/>
        </w:rPr>
      </w:pPr>
      <w:r w:rsidRPr="000420DA">
        <w:rPr>
          <w:sz w:val="20"/>
        </w:rPr>
        <w:t>Sweetnam, ‘Defining Dispensationalism: A Cultural Studies Perspective’</w:t>
      </w:r>
      <w:r>
        <w:rPr>
          <w:sz w:val="20"/>
        </w:rPr>
        <w:t xml:space="preserve">; </w:t>
      </w:r>
      <w:r w:rsidRPr="000420DA">
        <w:rPr>
          <w:i/>
          <w:sz w:val="20"/>
        </w:rPr>
        <w:t>The Dispensations: God’s Plan for the Ages</w:t>
      </w:r>
      <w:r>
        <w:rPr>
          <w:sz w:val="20"/>
        </w:rPr>
        <w:t>;</w:t>
      </w:r>
    </w:p>
    <w:p w:rsidR="00975183" w:rsidRDefault="00975183" w:rsidP="006A2E06">
      <w:pPr>
        <w:spacing w:after="0" w:line="240" w:lineRule="auto"/>
        <w:ind w:left="539" w:hanging="539"/>
        <w:rPr>
          <w:rStyle w:val="sources"/>
          <w:sz w:val="20"/>
        </w:rPr>
      </w:pPr>
      <w:r w:rsidRPr="00A4439C">
        <w:rPr>
          <w:rStyle w:val="sources"/>
          <w:sz w:val="20"/>
        </w:rPr>
        <w:t>Tangelder, ‘Reformed Reflections: Modern Dispensationalism: What Does It Teach?</w:t>
      </w:r>
      <w:proofErr w:type="gramStart"/>
      <w:r w:rsidRPr="00A4439C">
        <w:rPr>
          <w:rStyle w:val="sources"/>
          <w:sz w:val="20"/>
        </w:rPr>
        <w:t>’</w:t>
      </w:r>
      <w:r>
        <w:rPr>
          <w:rStyle w:val="sources"/>
          <w:sz w:val="20"/>
        </w:rPr>
        <w:t>;</w:t>
      </w:r>
      <w:proofErr w:type="gramEnd"/>
    </w:p>
    <w:p w:rsidR="00975183" w:rsidRDefault="00975183" w:rsidP="006A2E06">
      <w:pPr>
        <w:spacing w:after="0" w:line="240" w:lineRule="auto"/>
        <w:ind w:left="539" w:hanging="539"/>
        <w:rPr>
          <w:sz w:val="20"/>
        </w:rPr>
      </w:pPr>
      <w:r w:rsidRPr="00A4439C">
        <w:rPr>
          <w:sz w:val="20"/>
        </w:rPr>
        <w:t xml:space="preserve">Watson, </w:t>
      </w:r>
      <w:r w:rsidRPr="00A4439C">
        <w:rPr>
          <w:i/>
          <w:sz w:val="20"/>
        </w:rPr>
        <w:t>Dispensationalism Before Darby</w:t>
      </w:r>
      <w:r w:rsidRPr="00A4439C">
        <w:rPr>
          <w:sz w:val="20"/>
        </w:rPr>
        <w:t>;</w:t>
      </w:r>
    </w:p>
    <w:p w:rsidR="00975183" w:rsidRDefault="00975183" w:rsidP="006A2E06">
      <w:pPr>
        <w:spacing w:after="0" w:line="240" w:lineRule="auto"/>
        <w:ind w:left="539" w:hanging="539"/>
        <w:rPr>
          <w:sz w:val="20"/>
        </w:rPr>
      </w:pPr>
      <w:r w:rsidRPr="00A4439C">
        <w:rPr>
          <w:sz w:val="20"/>
        </w:rPr>
        <w:t xml:space="preserve">Williams, </w:t>
      </w:r>
      <w:r w:rsidRPr="00A4439C">
        <w:rPr>
          <w:i/>
          <w:sz w:val="20"/>
        </w:rPr>
        <w:t>This World is Not My Home: The Origins and Development of Dispensationalism</w:t>
      </w:r>
      <w:r w:rsidRPr="00A4439C">
        <w:rPr>
          <w:sz w:val="20"/>
        </w:rPr>
        <w:t>.</w:t>
      </w:r>
    </w:p>
    <w:p w:rsidR="00975183" w:rsidRPr="008C546F" w:rsidRDefault="00975183" w:rsidP="006A2E06">
      <w:pPr>
        <w:spacing w:after="0" w:line="240" w:lineRule="auto"/>
        <w:ind w:left="539" w:hanging="539"/>
      </w:pPr>
      <w:r>
        <w:rPr>
          <w:sz w:val="20"/>
        </w:rPr>
        <w:t xml:space="preserve">Some of these works refer to </w:t>
      </w:r>
      <w:r w:rsidRPr="001426E3">
        <w:rPr>
          <w:i/>
          <w:sz w:val="20"/>
        </w:rPr>
        <w:t>SRB</w:t>
      </w:r>
      <w:r>
        <w:rPr>
          <w:sz w:val="20"/>
        </w:rPr>
        <w:t>.</w:t>
      </w:r>
    </w:p>
  </w:endnote>
  <w:endnote w:id="3482">
    <w:p w:rsidR="00975183" w:rsidRPr="00A51746" w:rsidRDefault="00975183" w:rsidP="006A2E06">
      <w:pPr>
        <w:pStyle w:val="EndnoteText"/>
        <w:rPr>
          <w:i/>
        </w:rPr>
      </w:pPr>
      <w:r w:rsidRPr="00A51746">
        <w:rPr>
          <w:rStyle w:val="EndnoteReference"/>
        </w:rPr>
        <w:endnoteRef/>
      </w:r>
      <w:r w:rsidRPr="00A51746">
        <w:t xml:space="preserve"> For example, Balmer, </w:t>
      </w:r>
      <w:r w:rsidRPr="00A51746">
        <w:rPr>
          <w:i/>
        </w:rPr>
        <w:t>Mine Eyes Have Seen the Glory: A Journey into the Evangelical Subculture in America</w:t>
      </w:r>
      <w:r w:rsidRPr="00A51746">
        <w:t>;</w:t>
      </w:r>
    </w:p>
    <w:p w:rsidR="00975183" w:rsidRPr="00A51746" w:rsidRDefault="00975183" w:rsidP="006A2E06">
      <w:pPr>
        <w:pStyle w:val="EndnoteText"/>
      </w:pPr>
      <w:r w:rsidRPr="00A51746">
        <w:t>Boyer,</w:t>
      </w:r>
      <w:r w:rsidRPr="00A51746">
        <w:rPr>
          <w:i/>
        </w:rPr>
        <w:t xml:space="preserve"> When Time Shall Be No More</w:t>
      </w:r>
      <w:r w:rsidRPr="00A51746">
        <w:t>;</w:t>
      </w:r>
    </w:p>
    <w:p w:rsidR="00975183" w:rsidRPr="00A51746" w:rsidRDefault="00975183" w:rsidP="006A2E06">
      <w:pPr>
        <w:pStyle w:val="EndnoteText"/>
        <w:rPr>
          <w:i/>
        </w:rPr>
      </w:pPr>
      <w:r w:rsidRPr="00A51746">
        <w:t xml:space="preserve">Ladd, </w:t>
      </w:r>
      <w:r w:rsidRPr="00A51746">
        <w:rPr>
          <w:i/>
        </w:rPr>
        <w:t>The Blessed Hope: A Biblical Study of the Second Advent and Rapture</w:t>
      </w:r>
      <w:r w:rsidRPr="00A51746">
        <w:t>;</w:t>
      </w:r>
    </w:p>
    <w:p w:rsidR="00975183" w:rsidRPr="00A51746" w:rsidRDefault="00975183" w:rsidP="006A2E06">
      <w:pPr>
        <w:pStyle w:val="EndnoteText"/>
        <w:rPr>
          <w:i/>
        </w:rPr>
      </w:pPr>
      <w:r w:rsidRPr="00A51746">
        <w:t xml:space="preserve">Mackintosh, </w:t>
      </w:r>
      <w:r w:rsidRPr="00A51746">
        <w:rPr>
          <w:i/>
        </w:rPr>
        <w:t>Papers on the Lord’s Coming;</w:t>
      </w:r>
    </w:p>
    <w:p w:rsidR="00975183" w:rsidRPr="00A51746" w:rsidRDefault="00975183" w:rsidP="006A2E06">
      <w:pPr>
        <w:pStyle w:val="EndnoteText"/>
      </w:pPr>
      <w:r>
        <w:t xml:space="preserve">George Marsden </w:t>
      </w:r>
      <w:r w:rsidRPr="00A51746">
        <w:rPr>
          <w:i/>
          <w:sz w:val="22"/>
          <w:szCs w:val="22"/>
        </w:rPr>
        <w:t>Fundamentalism and American Culture</w:t>
      </w:r>
      <w:r>
        <w:rPr>
          <w:sz w:val="22"/>
          <w:szCs w:val="22"/>
        </w:rPr>
        <w:t>;</w:t>
      </w:r>
    </w:p>
    <w:p w:rsidR="00975183" w:rsidRDefault="00975183" w:rsidP="006A2E06">
      <w:pPr>
        <w:pStyle w:val="EndnoteText"/>
      </w:pPr>
      <w:r w:rsidRPr="009C0EC9">
        <w:t>Rall, ‘Premillennialism. III. Where Premillennialism Leads’</w:t>
      </w:r>
      <w:r>
        <w:t>;</w:t>
      </w:r>
    </w:p>
    <w:p w:rsidR="00975183" w:rsidRDefault="00975183" w:rsidP="006A2E06">
      <w:pPr>
        <w:pStyle w:val="EndnoteText"/>
        <w:rPr>
          <w:sz w:val="22"/>
          <w:szCs w:val="22"/>
        </w:rPr>
      </w:pPr>
      <w:r w:rsidRPr="00CC6C3C">
        <w:rPr>
          <w:sz w:val="22"/>
          <w:szCs w:val="22"/>
        </w:rPr>
        <w:t xml:space="preserve">Sandeen, </w:t>
      </w:r>
      <w:r w:rsidRPr="00CC6C3C">
        <w:rPr>
          <w:i/>
          <w:sz w:val="22"/>
          <w:szCs w:val="22"/>
        </w:rPr>
        <w:t>The Roots of Fundamentalism</w:t>
      </w:r>
      <w:r>
        <w:rPr>
          <w:sz w:val="22"/>
          <w:szCs w:val="22"/>
        </w:rPr>
        <w:t>;</w:t>
      </w:r>
    </w:p>
    <w:p w:rsidR="00975183" w:rsidRDefault="00975183" w:rsidP="006A2E06">
      <w:pPr>
        <w:pStyle w:val="EndnoteText"/>
        <w:rPr>
          <w:i/>
        </w:rPr>
      </w:pPr>
      <w:r w:rsidRPr="0023476C">
        <w:t xml:space="preserve">Seitz, </w:t>
      </w:r>
      <w:r w:rsidRPr="0023476C">
        <w:rPr>
          <w:i/>
        </w:rPr>
        <w:t>Prophecy and Hermeneutics: Toward a New Introduction to the Prophets</w:t>
      </w:r>
      <w:r>
        <w:rPr>
          <w:i/>
        </w:rPr>
        <w:t>;</w:t>
      </w:r>
    </w:p>
    <w:p w:rsidR="00975183" w:rsidRDefault="00975183" w:rsidP="006A2E06">
      <w:pPr>
        <w:pStyle w:val="EndnoteText"/>
      </w:pPr>
      <w:r w:rsidRPr="0023476C">
        <w:t xml:space="preserve">Sweetnam, </w:t>
      </w:r>
      <w:r w:rsidRPr="0023476C">
        <w:rPr>
          <w:i/>
        </w:rPr>
        <w:t>To the Day of Eternity: Future Events in Biblical Prophecy</w:t>
      </w:r>
      <w:r>
        <w:t>;</w:t>
      </w:r>
    </w:p>
    <w:p w:rsidR="00975183" w:rsidRDefault="00975183" w:rsidP="006A2E06">
      <w:pPr>
        <w:pStyle w:val="EndnoteText"/>
        <w:rPr>
          <w:rStyle w:val="sources"/>
          <w:szCs w:val="22"/>
        </w:rPr>
      </w:pPr>
      <w:r>
        <w:t xml:space="preserve">Tan, </w:t>
      </w:r>
      <w:r w:rsidRPr="0023476C">
        <w:rPr>
          <w:rStyle w:val="sources"/>
          <w:i/>
          <w:szCs w:val="22"/>
        </w:rPr>
        <w:t>The Interpretation of Prophecy</w:t>
      </w:r>
      <w:r>
        <w:rPr>
          <w:rStyle w:val="sources"/>
          <w:szCs w:val="22"/>
        </w:rPr>
        <w:t>;</w:t>
      </w:r>
    </w:p>
    <w:p w:rsidR="00975183" w:rsidRPr="00A4439C" w:rsidRDefault="00975183" w:rsidP="006A2E06">
      <w:pPr>
        <w:pStyle w:val="EndnoteText"/>
      </w:pPr>
      <w:proofErr w:type="gramStart"/>
      <w:r>
        <w:t xml:space="preserve">West, </w:t>
      </w:r>
      <w:r w:rsidRPr="001B39AF">
        <w:rPr>
          <w:i/>
          <w:szCs w:val="22"/>
        </w:rPr>
        <w:t>Premillennial Essays of the Prophetic Conference</w:t>
      </w:r>
      <w:r>
        <w:rPr>
          <w:szCs w:val="22"/>
        </w:rPr>
        <w:t>.</w:t>
      </w:r>
      <w:proofErr w:type="gramEnd"/>
    </w:p>
  </w:endnote>
  <w:endnote w:id="3483">
    <w:p w:rsidR="00975183" w:rsidRPr="001B39AF" w:rsidRDefault="00975183" w:rsidP="006A2E06">
      <w:pPr>
        <w:pStyle w:val="EndnoteText"/>
      </w:pPr>
      <w:r w:rsidRPr="001B39AF">
        <w:rPr>
          <w:rStyle w:val="EndnoteReference"/>
        </w:rPr>
        <w:endnoteRef/>
      </w:r>
      <w:r w:rsidRPr="001B39AF">
        <w:t xml:space="preserve"> For example, Canfield, </w:t>
      </w:r>
      <w:r w:rsidRPr="001B39AF">
        <w:rPr>
          <w:i/>
        </w:rPr>
        <w:t>The Incredible Scofield and His Book</w:t>
      </w:r>
      <w:r w:rsidRPr="001B39AF">
        <w:t>;</w:t>
      </w:r>
    </w:p>
    <w:p w:rsidR="00975183" w:rsidRPr="001B39AF" w:rsidRDefault="00975183" w:rsidP="006A2E06">
      <w:pPr>
        <w:pStyle w:val="EndnoteText"/>
      </w:pPr>
      <w:r w:rsidRPr="001B39AF">
        <w:t xml:space="preserve">Lutzweiler, </w:t>
      </w:r>
      <w:r w:rsidRPr="001B39AF">
        <w:rPr>
          <w:i/>
        </w:rPr>
        <w:t>The Praise of Folly</w:t>
      </w:r>
      <w:r w:rsidRPr="001B39AF">
        <w:t>;</w:t>
      </w:r>
    </w:p>
    <w:p w:rsidR="00975183" w:rsidRPr="001B39AF" w:rsidRDefault="00975183" w:rsidP="006A2E06">
      <w:pPr>
        <w:pStyle w:val="EndnoteText"/>
      </w:pPr>
      <w:r w:rsidRPr="001B39AF">
        <w:t>Mangum, ‘Cyrus Ingerson Scofield: A Controversial Life’;</w:t>
      </w:r>
    </w:p>
    <w:p w:rsidR="00975183" w:rsidRPr="00A3446B" w:rsidRDefault="00975183" w:rsidP="006A2E06">
      <w:pPr>
        <w:pStyle w:val="EndnoteText"/>
      </w:pPr>
      <w:r w:rsidRPr="001B39AF">
        <w:t xml:space="preserve">Trumbull, </w:t>
      </w:r>
      <w:proofErr w:type="gramStart"/>
      <w:r w:rsidRPr="001B39AF">
        <w:rPr>
          <w:i/>
        </w:rPr>
        <w:t>The</w:t>
      </w:r>
      <w:proofErr w:type="gramEnd"/>
      <w:r w:rsidRPr="001B39AF">
        <w:rPr>
          <w:i/>
        </w:rPr>
        <w:t xml:space="preserve"> Life Story of C.I. Scofield</w:t>
      </w:r>
      <w:r w:rsidRPr="00A3446B">
        <w:t>.</w:t>
      </w:r>
    </w:p>
  </w:endnote>
  <w:endnote w:id="3484">
    <w:p w:rsidR="00975183" w:rsidRDefault="00975183" w:rsidP="006A2E06">
      <w:pPr>
        <w:pStyle w:val="EndnoteText"/>
      </w:pPr>
      <w:r w:rsidRPr="00A3446B">
        <w:rPr>
          <w:rStyle w:val="EndnoteReference"/>
        </w:rPr>
        <w:endnoteRef/>
      </w:r>
      <w:r w:rsidRPr="00A3446B">
        <w:t xml:space="preserve"> </w:t>
      </w:r>
      <w:proofErr w:type="gramStart"/>
      <w:r>
        <w:t xml:space="preserve">Mangum and Sweetnam, </w:t>
      </w:r>
      <w:r w:rsidRPr="008C3250">
        <w:rPr>
          <w:i/>
        </w:rPr>
        <w:t xml:space="preserve">History and </w:t>
      </w:r>
      <w:r>
        <w:rPr>
          <w:i/>
        </w:rPr>
        <w:t>Impact</w:t>
      </w:r>
      <w:r>
        <w:t>.</w:t>
      </w:r>
      <w:proofErr w:type="gramEnd"/>
    </w:p>
  </w:endnote>
  <w:endnote w:id="3485">
    <w:p w:rsidR="00975183" w:rsidRPr="000F2341" w:rsidRDefault="00975183" w:rsidP="006A2E06">
      <w:pPr>
        <w:pStyle w:val="EndnoteText"/>
      </w:pPr>
      <w:r w:rsidRPr="000F2341">
        <w:rPr>
          <w:rStyle w:val="EndnoteReference"/>
        </w:rPr>
        <w:endnoteRef/>
      </w:r>
      <w:r w:rsidRPr="000F2341">
        <w:t xml:space="preserve"> Pieters, </w:t>
      </w:r>
      <w:r w:rsidRPr="000F2341">
        <w:rPr>
          <w:rFonts w:eastAsia="Perpetua" w:cs="Perpetua"/>
          <w:spacing w:val="-1"/>
        </w:rPr>
        <w:t>‘A Candid</w:t>
      </w:r>
      <w:r w:rsidRPr="000F2341">
        <w:rPr>
          <w:rFonts w:eastAsia="Perpetua" w:cs="Perpetua"/>
        </w:rPr>
        <w:t xml:space="preserve"> </w:t>
      </w:r>
      <w:r w:rsidRPr="000F2341">
        <w:rPr>
          <w:rFonts w:eastAsia="Perpetua" w:cs="Perpetua"/>
          <w:spacing w:val="-1"/>
        </w:rPr>
        <w:t>Examination of</w:t>
      </w:r>
      <w:r w:rsidRPr="000F2341">
        <w:rPr>
          <w:rFonts w:eastAsia="Perpetua" w:cs="Perpetua"/>
        </w:rPr>
        <w:t xml:space="preserve"> </w:t>
      </w:r>
      <w:r w:rsidRPr="000F2341">
        <w:rPr>
          <w:rFonts w:eastAsia="Perpetua" w:cs="Perpetua"/>
          <w:spacing w:val="-1"/>
        </w:rPr>
        <w:t>the Scofield</w:t>
      </w:r>
      <w:r w:rsidRPr="000F2341">
        <w:rPr>
          <w:rFonts w:eastAsia="Perpetua" w:cs="Perpetua"/>
          <w:spacing w:val="-2"/>
        </w:rPr>
        <w:t xml:space="preserve"> </w:t>
      </w:r>
      <w:r w:rsidRPr="000F2341">
        <w:rPr>
          <w:rFonts w:eastAsia="Perpetua" w:cs="Perpetua"/>
          <w:spacing w:val="-1"/>
        </w:rPr>
        <w:t>Bible’.</w:t>
      </w:r>
    </w:p>
  </w:endnote>
  <w:endnote w:id="3486">
    <w:p w:rsidR="00975183" w:rsidRPr="00FD2767" w:rsidRDefault="00975183" w:rsidP="006A2E06">
      <w:pPr>
        <w:pStyle w:val="EndnoteText"/>
      </w:pPr>
      <w:r w:rsidRPr="00FD2767">
        <w:rPr>
          <w:rStyle w:val="EndnoteReference"/>
        </w:rPr>
        <w:endnoteRef/>
      </w:r>
      <w:r w:rsidRPr="00FD2767">
        <w:t xml:space="preserve"> </w:t>
      </w:r>
      <w:r>
        <w:t xml:space="preserve">Sizer, </w:t>
      </w:r>
      <w:r w:rsidRPr="00425C24">
        <w:t>‘The Denigration of the Church within the Purposes of God’</w:t>
      </w:r>
      <w:r>
        <w:t xml:space="preserve">; </w:t>
      </w:r>
      <w:r w:rsidRPr="007B4F6A">
        <w:t>‘</w:t>
      </w:r>
      <w:proofErr w:type="gramStart"/>
      <w:r w:rsidRPr="007B4F6A">
        <w:rPr>
          <w:lang w:val="en-US"/>
        </w:rPr>
        <w:t>The</w:t>
      </w:r>
      <w:proofErr w:type="gramEnd"/>
      <w:r w:rsidRPr="007B4F6A">
        <w:rPr>
          <w:lang w:val="en-US"/>
        </w:rPr>
        <w:t xml:space="preserve"> Elevation of National Israel to a Superior Role over the Church</w:t>
      </w:r>
      <w:r w:rsidRPr="007B4F6A">
        <w:t>’</w:t>
      </w:r>
      <w:r>
        <w:rPr>
          <w:lang w:val="en-US"/>
        </w:rPr>
        <w:t xml:space="preserve">, both in </w:t>
      </w:r>
      <w:r w:rsidRPr="007B4F6A">
        <w:t>‘Cyrus Ingerson Scofield – The Author of the Scofield Reference Bible’</w:t>
      </w:r>
      <w:r>
        <w:rPr>
          <w:lang w:val="en-US"/>
        </w:rPr>
        <w:t>.</w:t>
      </w:r>
    </w:p>
  </w:endnote>
  <w:endnote w:id="3487">
    <w:p w:rsidR="00975183" w:rsidRPr="00452A05" w:rsidRDefault="00975183" w:rsidP="006A2E06">
      <w:pPr>
        <w:widowControl w:val="0"/>
        <w:tabs>
          <w:tab w:val="left" w:pos="831"/>
        </w:tabs>
        <w:spacing w:after="0" w:line="240" w:lineRule="auto"/>
        <w:ind w:right="1335"/>
        <w:rPr>
          <w:sz w:val="20"/>
          <w:szCs w:val="20"/>
        </w:rPr>
      </w:pPr>
      <w:r w:rsidRPr="00452A05">
        <w:rPr>
          <w:rStyle w:val="EndnoteReference"/>
          <w:sz w:val="20"/>
          <w:szCs w:val="20"/>
        </w:rPr>
        <w:endnoteRef/>
      </w:r>
      <w:r w:rsidRPr="00452A05">
        <w:rPr>
          <w:sz w:val="20"/>
          <w:szCs w:val="20"/>
        </w:rPr>
        <w:t xml:space="preserve"> Charles Weston, </w:t>
      </w:r>
      <w:r w:rsidRPr="00452A05">
        <w:rPr>
          <w:rFonts w:eastAsia="Perpetua" w:cs="Perpetua"/>
          <w:spacing w:val="-1"/>
          <w:sz w:val="20"/>
          <w:szCs w:val="20"/>
        </w:rPr>
        <w:t>‘Scofield</w:t>
      </w:r>
      <w:r w:rsidRPr="00452A05">
        <w:rPr>
          <w:rFonts w:eastAsia="Perpetua" w:cs="Perpetua"/>
          <w:sz w:val="20"/>
          <w:szCs w:val="20"/>
        </w:rPr>
        <w:t xml:space="preserve"> </w:t>
      </w:r>
      <w:r w:rsidRPr="00452A05">
        <w:rPr>
          <w:rFonts w:eastAsia="Perpetua" w:cs="Perpetua"/>
          <w:spacing w:val="-1"/>
          <w:sz w:val="20"/>
          <w:szCs w:val="20"/>
        </w:rPr>
        <w:t>Notes</w:t>
      </w:r>
      <w:r w:rsidRPr="00452A05">
        <w:rPr>
          <w:rFonts w:eastAsia="Perpetua" w:cs="Perpetua"/>
          <w:sz w:val="20"/>
          <w:szCs w:val="20"/>
        </w:rPr>
        <w:t xml:space="preserve"> </w:t>
      </w:r>
      <w:r w:rsidRPr="00452A05">
        <w:rPr>
          <w:rFonts w:eastAsia="Perpetua" w:cs="Perpetua"/>
          <w:spacing w:val="-1"/>
          <w:sz w:val="20"/>
          <w:szCs w:val="20"/>
        </w:rPr>
        <w:t>Answered’</w:t>
      </w:r>
      <w:r w:rsidRPr="00452A05">
        <w:rPr>
          <w:rFonts w:eastAsia="Perpetua" w:cs="Perpetua"/>
          <w:spacing w:val="1"/>
          <w:sz w:val="20"/>
          <w:szCs w:val="20"/>
        </w:rPr>
        <w:t xml:space="preserve"> and </w:t>
      </w:r>
      <w:r w:rsidRPr="00452A05">
        <w:rPr>
          <w:rFonts w:eastAsia="Perpetua" w:cs="Perpetua"/>
          <w:spacing w:val="-1"/>
          <w:sz w:val="20"/>
          <w:szCs w:val="20"/>
        </w:rPr>
        <w:t>‘Scofield’s</w:t>
      </w:r>
      <w:r w:rsidRPr="00452A05">
        <w:rPr>
          <w:rFonts w:eastAsia="Perpetua" w:cs="Perpetua"/>
          <w:sz w:val="20"/>
          <w:szCs w:val="20"/>
        </w:rPr>
        <w:t xml:space="preserve"> </w:t>
      </w:r>
      <w:r w:rsidRPr="00452A05">
        <w:rPr>
          <w:rFonts w:eastAsia="Perpetua" w:cs="Perpetua"/>
          <w:spacing w:val="-1"/>
          <w:sz w:val="20"/>
          <w:szCs w:val="20"/>
        </w:rPr>
        <w:t>Basic</w:t>
      </w:r>
      <w:r w:rsidRPr="00452A05">
        <w:rPr>
          <w:rFonts w:eastAsia="Perpetua" w:cs="Perpetua"/>
          <w:sz w:val="20"/>
          <w:szCs w:val="20"/>
        </w:rPr>
        <w:t xml:space="preserve"> </w:t>
      </w:r>
      <w:r w:rsidRPr="00452A05">
        <w:rPr>
          <w:rFonts w:eastAsia="Perpetua" w:cs="Perpetua"/>
          <w:spacing w:val="-1"/>
          <w:sz w:val="20"/>
          <w:szCs w:val="20"/>
        </w:rPr>
        <w:t>Errors’ in</w:t>
      </w:r>
      <w:r w:rsidRPr="00452A05">
        <w:rPr>
          <w:rFonts w:eastAsia="Perpetua" w:cs="Perpetua"/>
          <w:spacing w:val="-2"/>
          <w:sz w:val="20"/>
          <w:szCs w:val="20"/>
        </w:rPr>
        <w:t xml:space="preserve"> </w:t>
      </w:r>
      <w:r w:rsidRPr="00452A05">
        <w:rPr>
          <w:rFonts w:eastAsia="Perpetua" w:cs="Perpetua"/>
          <w:spacing w:val="-1"/>
          <w:sz w:val="20"/>
          <w:szCs w:val="20"/>
        </w:rPr>
        <w:t>‘Analyzing Scofield’; Emma Moore</w:t>
      </w:r>
      <w:r w:rsidRPr="00452A05">
        <w:rPr>
          <w:rFonts w:eastAsia="Perpetua" w:cs="Perpetua"/>
          <w:sz w:val="20"/>
          <w:szCs w:val="20"/>
        </w:rPr>
        <w:t xml:space="preserve"> </w:t>
      </w:r>
      <w:r w:rsidRPr="00452A05">
        <w:rPr>
          <w:rFonts w:eastAsia="Perpetua" w:cs="Perpetua"/>
          <w:spacing w:val="-1"/>
          <w:sz w:val="20"/>
          <w:szCs w:val="20"/>
        </w:rPr>
        <w:t>Weston,</w:t>
      </w:r>
      <w:r w:rsidRPr="00452A05">
        <w:rPr>
          <w:rFonts w:eastAsia="Perpetua" w:cs="Perpetua"/>
          <w:sz w:val="20"/>
          <w:szCs w:val="20"/>
        </w:rPr>
        <w:t xml:space="preserve"> </w:t>
      </w:r>
      <w:r w:rsidRPr="00452A05">
        <w:rPr>
          <w:rFonts w:eastAsia="Perpetua" w:cs="Perpetua"/>
          <w:spacing w:val="-1"/>
          <w:sz w:val="20"/>
          <w:szCs w:val="20"/>
        </w:rPr>
        <w:t>‘Origin</w:t>
      </w:r>
      <w:r w:rsidRPr="00452A05">
        <w:rPr>
          <w:rFonts w:eastAsia="Perpetua" w:cs="Perpetua"/>
          <w:sz w:val="20"/>
          <w:szCs w:val="20"/>
        </w:rPr>
        <w:t xml:space="preserve"> </w:t>
      </w:r>
      <w:r w:rsidRPr="00452A05">
        <w:rPr>
          <w:rFonts w:eastAsia="Perpetua" w:cs="Perpetua"/>
          <w:spacing w:val="-1"/>
          <w:sz w:val="20"/>
          <w:szCs w:val="20"/>
        </w:rPr>
        <w:t>of</w:t>
      </w:r>
      <w:r w:rsidRPr="00452A05">
        <w:rPr>
          <w:rFonts w:eastAsia="Perpetua" w:cs="Perpetua"/>
          <w:sz w:val="20"/>
          <w:szCs w:val="20"/>
        </w:rPr>
        <w:t xml:space="preserve"> </w:t>
      </w:r>
      <w:r w:rsidRPr="00452A05">
        <w:rPr>
          <w:rFonts w:eastAsia="Perpetua" w:cs="Perpetua"/>
          <w:spacing w:val="-1"/>
          <w:sz w:val="20"/>
          <w:szCs w:val="20"/>
        </w:rPr>
        <w:t>Scofield</w:t>
      </w:r>
      <w:r w:rsidRPr="00452A05">
        <w:rPr>
          <w:rFonts w:eastAsia="Perpetua" w:cs="Perpetua"/>
          <w:sz w:val="20"/>
          <w:szCs w:val="20"/>
        </w:rPr>
        <w:t xml:space="preserve"> </w:t>
      </w:r>
      <w:r w:rsidRPr="00452A05">
        <w:rPr>
          <w:rFonts w:eastAsia="Perpetua" w:cs="Perpetua"/>
          <w:spacing w:val="-1"/>
          <w:sz w:val="20"/>
          <w:szCs w:val="20"/>
        </w:rPr>
        <w:t>Heresies’</w:t>
      </w:r>
      <w:r w:rsidRPr="00452A05">
        <w:rPr>
          <w:rFonts w:eastAsia="Perpetua" w:cs="Perpetua"/>
          <w:sz w:val="20"/>
          <w:szCs w:val="20"/>
        </w:rPr>
        <w:t xml:space="preserve"> </w:t>
      </w:r>
      <w:r w:rsidRPr="00452A05">
        <w:rPr>
          <w:rFonts w:eastAsia="Perpetua" w:cs="Perpetua"/>
          <w:spacing w:val="-1"/>
          <w:sz w:val="20"/>
          <w:szCs w:val="20"/>
        </w:rPr>
        <w:t>in</w:t>
      </w:r>
      <w:r w:rsidRPr="00452A05">
        <w:rPr>
          <w:rFonts w:eastAsia="Perpetua" w:cs="Perpetua"/>
          <w:sz w:val="20"/>
          <w:szCs w:val="20"/>
        </w:rPr>
        <w:t xml:space="preserve"> </w:t>
      </w:r>
      <w:r w:rsidRPr="00452A05">
        <w:rPr>
          <w:rFonts w:eastAsia="Perpetua" w:cs="Perpetua"/>
          <w:spacing w:val="-1"/>
          <w:sz w:val="20"/>
          <w:szCs w:val="20"/>
        </w:rPr>
        <w:t xml:space="preserve">‘Analyzing Scofield’. </w:t>
      </w:r>
    </w:p>
  </w:endnote>
  <w:endnote w:id="3488">
    <w:p w:rsidR="00975183" w:rsidRPr="00A3446B" w:rsidRDefault="00975183" w:rsidP="006A2E06">
      <w:pPr>
        <w:spacing w:after="0" w:line="240" w:lineRule="auto"/>
        <w:rPr>
          <w:rFonts w:eastAsia="Perpetua" w:cs="Perpetua"/>
          <w:sz w:val="20"/>
          <w:szCs w:val="20"/>
        </w:rPr>
      </w:pPr>
      <w:r w:rsidRPr="00A3446B">
        <w:rPr>
          <w:rStyle w:val="EndnoteReference"/>
          <w:sz w:val="20"/>
          <w:szCs w:val="20"/>
        </w:rPr>
        <w:endnoteRef/>
      </w:r>
      <w:r w:rsidRPr="00A3446B">
        <w:rPr>
          <w:sz w:val="20"/>
          <w:szCs w:val="20"/>
        </w:rPr>
        <w:t xml:space="preserve"> There is a fu</w:t>
      </w:r>
      <w:r>
        <w:rPr>
          <w:sz w:val="20"/>
          <w:szCs w:val="20"/>
        </w:rPr>
        <w:t>r</w:t>
      </w:r>
      <w:r w:rsidRPr="00A3446B">
        <w:rPr>
          <w:sz w:val="20"/>
          <w:szCs w:val="20"/>
        </w:rPr>
        <w:t xml:space="preserve">ther work which claims to analyse dispensational theory in terms of </w:t>
      </w:r>
      <w:r w:rsidRPr="00A3446B">
        <w:rPr>
          <w:i/>
          <w:sz w:val="20"/>
          <w:szCs w:val="20"/>
        </w:rPr>
        <w:t>SRB</w:t>
      </w:r>
      <w:r w:rsidRPr="00A3446B">
        <w:rPr>
          <w:sz w:val="20"/>
          <w:szCs w:val="20"/>
        </w:rPr>
        <w:t xml:space="preserve"> and Christian Zionism, </w:t>
      </w:r>
      <w:r w:rsidRPr="00A3446B">
        <w:rPr>
          <w:spacing w:val="-1"/>
          <w:sz w:val="20"/>
          <w:szCs w:val="20"/>
        </w:rPr>
        <w:t>David Lance</w:t>
      </w:r>
      <w:r w:rsidRPr="00A3446B">
        <w:rPr>
          <w:sz w:val="20"/>
          <w:szCs w:val="20"/>
        </w:rPr>
        <w:t xml:space="preserve"> </w:t>
      </w:r>
      <w:r w:rsidRPr="00A3446B">
        <w:rPr>
          <w:spacing w:val="-1"/>
          <w:sz w:val="20"/>
          <w:szCs w:val="20"/>
        </w:rPr>
        <w:t xml:space="preserve">Dean, </w:t>
      </w:r>
      <w:r w:rsidRPr="00A3446B">
        <w:rPr>
          <w:i/>
          <w:spacing w:val="-1"/>
          <w:sz w:val="20"/>
          <w:szCs w:val="20"/>
        </w:rPr>
        <w:t>Christian</w:t>
      </w:r>
      <w:r w:rsidRPr="00A3446B">
        <w:rPr>
          <w:i/>
          <w:spacing w:val="1"/>
          <w:sz w:val="20"/>
          <w:szCs w:val="20"/>
        </w:rPr>
        <w:t xml:space="preserve"> </w:t>
      </w:r>
      <w:r w:rsidRPr="00A3446B">
        <w:rPr>
          <w:i/>
          <w:spacing w:val="-1"/>
          <w:sz w:val="20"/>
          <w:szCs w:val="20"/>
        </w:rPr>
        <w:t>Zionism and</w:t>
      </w:r>
      <w:r w:rsidRPr="00A3446B">
        <w:rPr>
          <w:i/>
          <w:sz w:val="20"/>
          <w:szCs w:val="20"/>
        </w:rPr>
        <w:t xml:space="preserve"> </w:t>
      </w:r>
      <w:r w:rsidRPr="00A3446B">
        <w:rPr>
          <w:i/>
          <w:spacing w:val="-1"/>
          <w:sz w:val="20"/>
          <w:szCs w:val="20"/>
        </w:rPr>
        <w:t>the Scofield</w:t>
      </w:r>
      <w:r w:rsidRPr="00A3446B">
        <w:rPr>
          <w:i/>
          <w:sz w:val="20"/>
          <w:szCs w:val="20"/>
        </w:rPr>
        <w:t xml:space="preserve"> </w:t>
      </w:r>
      <w:r w:rsidRPr="00A3446B">
        <w:rPr>
          <w:i/>
          <w:spacing w:val="-1"/>
          <w:sz w:val="20"/>
          <w:szCs w:val="20"/>
        </w:rPr>
        <w:t xml:space="preserve">Reference Bible: </w:t>
      </w:r>
      <w:r w:rsidRPr="00A3446B">
        <w:rPr>
          <w:i/>
          <w:sz w:val="20"/>
          <w:szCs w:val="20"/>
        </w:rPr>
        <w:t xml:space="preserve">A </w:t>
      </w:r>
      <w:r w:rsidRPr="00A3446B">
        <w:rPr>
          <w:i/>
          <w:spacing w:val="-1"/>
          <w:sz w:val="20"/>
          <w:szCs w:val="20"/>
        </w:rPr>
        <w:t>Critical</w:t>
      </w:r>
      <w:r w:rsidRPr="00A3446B">
        <w:rPr>
          <w:i/>
          <w:spacing w:val="1"/>
          <w:sz w:val="20"/>
          <w:szCs w:val="20"/>
        </w:rPr>
        <w:t xml:space="preserve"> </w:t>
      </w:r>
      <w:r w:rsidRPr="00A3446B">
        <w:rPr>
          <w:i/>
          <w:spacing w:val="-1"/>
          <w:sz w:val="20"/>
          <w:szCs w:val="20"/>
        </w:rPr>
        <w:t>Evaluation</w:t>
      </w:r>
      <w:r w:rsidRPr="00A3446B">
        <w:rPr>
          <w:i/>
          <w:sz w:val="20"/>
          <w:szCs w:val="20"/>
        </w:rPr>
        <w:t xml:space="preserve"> </w:t>
      </w:r>
      <w:r w:rsidRPr="00A3446B">
        <w:rPr>
          <w:i/>
          <w:spacing w:val="-1"/>
          <w:sz w:val="20"/>
          <w:szCs w:val="20"/>
        </w:rPr>
        <w:t>of Dispensational</w:t>
      </w:r>
      <w:r w:rsidRPr="00A3446B">
        <w:rPr>
          <w:i/>
          <w:sz w:val="20"/>
          <w:szCs w:val="20"/>
        </w:rPr>
        <w:t xml:space="preserve"> </w:t>
      </w:r>
      <w:r w:rsidRPr="00A3446B">
        <w:rPr>
          <w:i/>
          <w:spacing w:val="-1"/>
          <w:sz w:val="20"/>
          <w:szCs w:val="20"/>
        </w:rPr>
        <w:t>Theory</w:t>
      </w:r>
    </w:p>
    <w:p w:rsidR="00975183" w:rsidRPr="00A3446B" w:rsidRDefault="00975183" w:rsidP="006A2E06">
      <w:pPr>
        <w:spacing w:after="0" w:line="240" w:lineRule="auto"/>
        <w:rPr>
          <w:rFonts w:eastAsia="Perpetua" w:cs="Perpetua"/>
          <w:sz w:val="20"/>
          <w:szCs w:val="20"/>
        </w:rPr>
      </w:pPr>
      <w:proofErr w:type="gramStart"/>
      <w:r w:rsidRPr="00A3446B">
        <w:rPr>
          <w:spacing w:val="-1"/>
          <w:sz w:val="20"/>
          <w:szCs w:val="20"/>
        </w:rPr>
        <w:t>(Self-published through</w:t>
      </w:r>
      <w:r w:rsidRPr="00A3446B">
        <w:rPr>
          <w:sz w:val="20"/>
          <w:szCs w:val="20"/>
        </w:rPr>
        <w:t xml:space="preserve"> </w:t>
      </w:r>
      <w:r w:rsidRPr="00A3446B">
        <w:rPr>
          <w:spacing w:val="-1"/>
          <w:sz w:val="20"/>
          <w:szCs w:val="20"/>
        </w:rPr>
        <w:t>Xlibris.com,</w:t>
      </w:r>
      <w:r w:rsidRPr="00A3446B">
        <w:rPr>
          <w:spacing w:val="1"/>
          <w:sz w:val="20"/>
          <w:szCs w:val="20"/>
        </w:rPr>
        <w:t xml:space="preserve"> </w:t>
      </w:r>
      <w:r w:rsidRPr="00A3446B">
        <w:rPr>
          <w:spacing w:val="-1"/>
          <w:sz w:val="20"/>
          <w:szCs w:val="20"/>
        </w:rPr>
        <w:t>May</w:t>
      </w:r>
      <w:r w:rsidRPr="00A3446B">
        <w:rPr>
          <w:spacing w:val="1"/>
          <w:sz w:val="20"/>
          <w:szCs w:val="20"/>
        </w:rPr>
        <w:t xml:space="preserve"> </w:t>
      </w:r>
      <w:r w:rsidRPr="00A3446B">
        <w:rPr>
          <w:spacing w:val="-1"/>
          <w:sz w:val="20"/>
          <w:szCs w:val="20"/>
        </w:rPr>
        <w:t>2015; purchased</w:t>
      </w:r>
      <w:r w:rsidRPr="00A3446B">
        <w:rPr>
          <w:sz w:val="20"/>
          <w:szCs w:val="20"/>
        </w:rPr>
        <w:t xml:space="preserve"> </w:t>
      </w:r>
      <w:r w:rsidRPr="00A3446B">
        <w:rPr>
          <w:spacing w:val="-1"/>
          <w:sz w:val="20"/>
          <w:szCs w:val="20"/>
        </w:rPr>
        <w:t>through</w:t>
      </w:r>
      <w:r w:rsidRPr="00A3446B">
        <w:rPr>
          <w:sz w:val="20"/>
          <w:szCs w:val="20"/>
        </w:rPr>
        <w:t xml:space="preserve"> </w:t>
      </w:r>
      <w:r w:rsidRPr="00A3446B">
        <w:rPr>
          <w:spacing w:val="-1"/>
          <w:sz w:val="20"/>
          <w:szCs w:val="20"/>
        </w:rPr>
        <w:t>Amazon.com).</w:t>
      </w:r>
      <w:proofErr w:type="gramEnd"/>
    </w:p>
    <w:p w:rsidR="00975183" w:rsidRPr="00192D9A" w:rsidRDefault="00975183" w:rsidP="006A2E06">
      <w:pPr>
        <w:pStyle w:val="EndnoteText"/>
      </w:pPr>
      <w:r>
        <w:rPr>
          <w:rFonts w:eastAsia="Perpetua" w:cs="Perpetua"/>
          <w:spacing w:val="-1"/>
        </w:rPr>
        <w:t>This</w:t>
      </w:r>
      <w:r>
        <w:rPr>
          <w:rFonts w:eastAsia="Perpetua" w:cs="Perpetua"/>
        </w:rPr>
        <w:t xml:space="preserve"> </w:t>
      </w:r>
      <w:r>
        <w:rPr>
          <w:rFonts w:eastAsia="Perpetua" w:cs="Perpetua"/>
          <w:spacing w:val="-1"/>
        </w:rPr>
        <w:t>book</w:t>
      </w:r>
      <w:r>
        <w:rPr>
          <w:rFonts w:eastAsia="Perpetua" w:cs="Perpetua"/>
        </w:rPr>
        <w:t xml:space="preserve"> </w:t>
      </w:r>
      <w:r>
        <w:rPr>
          <w:rFonts w:eastAsia="Perpetua" w:cs="Perpetua"/>
          <w:spacing w:val="-1"/>
        </w:rPr>
        <w:t>comments only</w:t>
      </w:r>
      <w:r>
        <w:rPr>
          <w:rFonts w:eastAsia="Perpetua" w:cs="Perpetua"/>
        </w:rPr>
        <w:t xml:space="preserve"> </w:t>
      </w:r>
      <w:r>
        <w:rPr>
          <w:rFonts w:eastAsia="Perpetua" w:cs="Perpetua"/>
          <w:spacing w:val="-1"/>
        </w:rPr>
        <w:t>on</w:t>
      </w:r>
      <w:r>
        <w:rPr>
          <w:rFonts w:eastAsia="Perpetua" w:cs="Perpetua"/>
        </w:rPr>
        <w:t xml:space="preserve"> </w:t>
      </w:r>
      <w:r>
        <w:rPr>
          <w:rFonts w:eastAsia="Perpetua" w:cs="Perpetua"/>
          <w:spacing w:val="-1"/>
        </w:rPr>
        <w:t>the 1967</w:t>
      </w:r>
      <w:r>
        <w:rPr>
          <w:rFonts w:eastAsia="Perpetua" w:cs="Perpetua"/>
        </w:rPr>
        <w:t xml:space="preserve"> </w:t>
      </w:r>
      <w:r>
        <w:rPr>
          <w:rFonts w:eastAsia="Perpetua" w:cs="Perpetua"/>
          <w:spacing w:val="-1"/>
        </w:rPr>
        <w:t xml:space="preserve">edition </w:t>
      </w:r>
      <w:r>
        <w:rPr>
          <w:rFonts w:eastAsia="Perpetua" w:cs="Perpetua"/>
        </w:rPr>
        <w:t xml:space="preserve">of </w:t>
      </w:r>
      <w:r>
        <w:rPr>
          <w:rFonts w:eastAsia="Perpetua" w:cs="Perpetua"/>
          <w:spacing w:val="-1"/>
        </w:rPr>
        <w:t>the</w:t>
      </w:r>
      <w:r>
        <w:rPr>
          <w:rFonts w:eastAsia="Perpetua" w:cs="Perpetua"/>
        </w:rPr>
        <w:t xml:space="preserve"> </w:t>
      </w:r>
      <w:r>
        <w:rPr>
          <w:rFonts w:eastAsia="Perpetua" w:cs="Perpetua"/>
          <w:i/>
          <w:spacing w:val="-1"/>
        </w:rPr>
        <w:t>Scofield Reference</w:t>
      </w:r>
      <w:r>
        <w:rPr>
          <w:rFonts w:eastAsia="Perpetua" w:cs="Perpetua"/>
          <w:i/>
        </w:rPr>
        <w:t xml:space="preserve"> </w:t>
      </w:r>
      <w:r>
        <w:rPr>
          <w:rFonts w:eastAsia="Perpetua" w:cs="Perpetua"/>
          <w:i/>
          <w:spacing w:val="-1"/>
        </w:rPr>
        <w:t xml:space="preserve">Bible </w:t>
      </w:r>
      <w:r>
        <w:rPr>
          <w:rFonts w:eastAsia="Perpetua" w:cs="Perpetua"/>
          <w:spacing w:val="-1"/>
        </w:rPr>
        <w:t>and</w:t>
      </w:r>
      <w:r>
        <w:rPr>
          <w:rFonts w:eastAsia="Perpetua" w:cs="Perpetua"/>
        </w:rPr>
        <w:t xml:space="preserve"> </w:t>
      </w:r>
      <w:r>
        <w:rPr>
          <w:rFonts w:eastAsia="Perpetua" w:cs="Perpetua"/>
          <w:spacing w:val="-1"/>
        </w:rPr>
        <w:t>several</w:t>
      </w:r>
      <w:r>
        <w:rPr>
          <w:rFonts w:eastAsia="Perpetua" w:cs="Perpetua"/>
        </w:rPr>
        <w:t xml:space="preserve"> </w:t>
      </w:r>
      <w:r>
        <w:rPr>
          <w:rFonts w:eastAsia="Perpetua" w:cs="Perpetua"/>
          <w:spacing w:val="-1"/>
        </w:rPr>
        <w:t>of</w:t>
      </w:r>
      <w:r>
        <w:rPr>
          <w:rFonts w:eastAsia="Perpetua" w:cs="Perpetua"/>
        </w:rPr>
        <w:t xml:space="preserve"> </w:t>
      </w:r>
      <w:r>
        <w:rPr>
          <w:rFonts w:eastAsia="Perpetua" w:cs="Perpetua"/>
          <w:spacing w:val="-1"/>
        </w:rPr>
        <w:t>its</w:t>
      </w:r>
      <w:r>
        <w:rPr>
          <w:rFonts w:eastAsia="Perpetua" w:cs="Perpetua"/>
        </w:rPr>
        <w:t xml:space="preserve"> </w:t>
      </w:r>
      <w:r>
        <w:rPr>
          <w:rFonts w:eastAsia="Perpetua" w:cs="Perpetua"/>
          <w:spacing w:val="-1"/>
        </w:rPr>
        <w:t>chapters appear</w:t>
      </w:r>
      <w:r>
        <w:rPr>
          <w:rFonts w:eastAsia="Perpetua" w:cs="Perpetua"/>
        </w:rPr>
        <w:t xml:space="preserve"> </w:t>
      </w:r>
      <w:r>
        <w:rPr>
          <w:rFonts w:eastAsia="Perpetua" w:cs="Perpetua"/>
          <w:spacing w:val="-1"/>
        </w:rPr>
        <w:t>to</w:t>
      </w:r>
      <w:r>
        <w:rPr>
          <w:rFonts w:eastAsia="Perpetua" w:cs="Perpetua"/>
          <w:spacing w:val="34"/>
        </w:rPr>
        <w:t xml:space="preserve"> </w:t>
      </w:r>
      <w:r>
        <w:rPr>
          <w:rFonts w:eastAsia="Perpetua" w:cs="Perpetua"/>
          <w:spacing w:val="-1"/>
        </w:rPr>
        <w:t>have</w:t>
      </w:r>
      <w:r>
        <w:rPr>
          <w:rFonts w:eastAsia="Perpetua" w:cs="Perpetua"/>
        </w:rPr>
        <w:t xml:space="preserve"> </w:t>
      </w:r>
      <w:r>
        <w:rPr>
          <w:rFonts w:eastAsia="Perpetua" w:cs="Perpetua"/>
          <w:spacing w:val="-1"/>
        </w:rPr>
        <w:t>little</w:t>
      </w:r>
      <w:r>
        <w:rPr>
          <w:rFonts w:eastAsia="Perpetua" w:cs="Perpetua"/>
        </w:rPr>
        <w:t xml:space="preserve"> </w:t>
      </w:r>
      <w:r>
        <w:rPr>
          <w:rFonts w:eastAsia="Perpetua" w:cs="Perpetua"/>
          <w:spacing w:val="-1"/>
        </w:rPr>
        <w:t>direct relevance to</w:t>
      </w:r>
      <w:r>
        <w:rPr>
          <w:rFonts w:eastAsia="Perpetua" w:cs="Perpetua"/>
        </w:rPr>
        <w:t xml:space="preserve"> </w:t>
      </w:r>
      <w:r>
        <w:rPr>
          <w:rFonts w:eastAsia="Perpetua" w:cs="Perpetua"/>
          <w:spacing w:val="-1"/>
        </w:rPr>
        <w:t xml:space="preserve">the </w:t>
      </w:r>
      <w:r w:rsidRPr="00ED6C86">
        <w:rPr>
          <w:rFonts w:eastAsia="Perpetua" w:cs="Perpetua"/>
          <w:i/>
          <w:spacing w:val="-1"/>
        </w:rPr>
        <w:t>Scofield</w:t>
      </w:r>
      <w:r w:rsidRPr="00ED6C86">
        <w:rPr>
          <w:rFonts w:eastAsia="Perpetua" w:cs="Perpetua"/>
          <w:i/>
        </w:rPr>
        <w:t xml:space="preserve"> </w:t>
      </w:r>
      <w:r w:rsidRPr="00ED6C86">
        <w:rPr>
          <w:rFonts w:eastAsia="Perpetua" w:cs="Perpetua"/>
          <w:i/>
          <w:spacing w:val="-1"/>
        </w:rPr>
        <w:t>Bible</w:t>
      </w:r>
      <w:r>
        <w:rPr>
          <w:rFonts w:eastAsia="Perpetua" w:cs="Perpetua"/>
          <w:spacing w:val="-1"/>
        </w:rPr>
        <w:t>.</w:t>
      </w:r>
      <w:r>
        <w:rPr>
          <w:rFonts w:eastAsia="Perpetua" w:cs="Perpetua"/>
          <w:spacing w:val="43"/>
        </w:rPr>
        <w:t xml:space="preserve"> </w:t>
      </w:r>
      <w:r>
        <w:rPr>
          <w:rFonts w:eastAsia="Perpetua" w:cs="Perpetua"/>
          <w:spacing w:val="-1"/>
        </w:rPr>
        <w:t>Dean</w:t>
      </w:r>
      <w:r>
        <w:rPr>
          <w:rFonts w:eastAsia="Perpetua" w:cs="Perpetua"/>
        </w:rPr>
        <w:t xml:space="preserve"> </w:t>
      </w:r>
      <w:r>
        <w:rPr>
          <w:rFonts w:eastAsia="Perpetua" w:cs="Perpetua"/>
          <w:spacing w:val="-1"/>
        </w:rPr>
        <w:t>strongly</w:t>
      </w:r>
      <w:r>
        <w:rPr>
          <w:rFonts w:eastAsia="Perpetua" w:cs="Perpetua"/>
          <w:spacing w:val="1"/>
        </w:rPr>
        <w:t xml:space="preserve"> </w:t>
      </w:r>
      <w:r>
        <w:rPr>
          <w:rFonts w:eastAsia="Perpetua" w:cs="Perpetua"/>
          <w:spacing w:val="-1"/>
        </w:rPr>
        <w:t>advances</w:t>
      </w:r>
      <w:r>
        <w:rPr>
          <w:rFonts w:eastAsia="Perpetua" w:cs="Perpetua"/>
        </w:rPr>
        <w:t xml:space="preserve"> </w:t>
      </w:r>
      <w:r>
        <w:rPr>
          <w:rFonts w:eastAsia="Perpetua" w:cs="Perpetua"/>
          <w:spacing w:val="-1"/>
        </w:rPr>
        <w:t>the</w:t>
      </w:r>
      <w:r>
        <w:rPr>
          <w:rFonts w:eastAsia="Perpetua" w:cs="Perpetua"/>
        </w:rPr>
        <w:t xml:space="preserve"> </w:t>
      </w:r>
      <w:r>
        <w:rPr>
          <w:rFonts w:eastAsia="Perpetua" w:cs="Perpetua"/>
          <w:spacing w:val="-1"/>
        </w:rPr>
        <w:t>Zionist</w:t>
      </w:r>
      <w:r>
        <w:rPr>
          <w:rFonts w:eastAsia="Perpetua" w:cs="Perpetua"/>
        </w:rPr>
        <w:t xml:space="preserve"> </w:t>
      </w:r>
      <w:r>
        <w:rPr>
          <w:rFonts w:eastAsia="Perpetua" w:cs="Perpetua"/>
          <w:spacing w:val="-1"/>
        </w:rPr>
        <w:t>New</w:t>
      </w:r>
      <w:r>
        <w:rPr>
          <w:rFonts w:eastAsia="Perpetua" w:cs="Perpetua"/>
        </w:rPr>
        <w:t xml:space="preserve"> </w:t>
      </w:r>
      <w:r>
        <w:rPr>
          <w:rFonts w:eastAsia="Perpetua" w:cs="Perpetua"/>
          <w:spacing w:val="-1"/>
        </w:rPr>
        <w:t>World</w:t>
      </w:r>
      <w:r>
        <w:rPr>
          <w:rFonts w:eastAsia="Perpetua" w:cs="Perpetua"/>
          <w:spacing w:val="-2"/>
        </w:rPr>
        <w:t xml:space="preserve"> </w:t>
      </w:r>
      <w:r>
        <w:rPr>
          <w:rFonts w:eastAsia="Perpetua" w:cs="Perpetua"/>
          <w:spacing w:val="-1"/>
        </w:rPr>
        <w:t>Order</w:t>
      </w:r>
      <w:r>
        <w:rPr>
          <w:rFonts w:eastAsia="Perpetua" w:cs="Perpetua"/>
        </w:rPr>
        <w:t xml:space="preserve"> </w:t>
      </w:r>
      <w:r>
        <w:rPr>
          <w:rFonts w:eastAsia="Perpetua" w:cs="Perpetua"/>
          <w:spacing w:val="-1"/>
        </w:rPr>
        <w:t>conspiracy</w:t>
      </w:r>
      <w:r>
        <w:rPr>
          <w:rFonts w:eastAsia="Perpetua" w:cs="Perpetua"/>
          <w:spacing w:val="47"/>
        </w:rPr>
        <w:t xml:space="preserve"> </w:t>
      </w:r>
      <w:r>
        <w:rPr>
          <w:rFonts w:eastAsia="Perpetua" w:cs="Perpetua"/>
        </w:rPr>
        <w:t xml:space="preserve">theory </w:t>
      </w:r>
      <w:r>
        <w:rPr>
          <w:rFonts w:eastAsia="Perpetua" w:cs="Perpetua"/>
          <w:spacing w:val="-1"/>
        </w:rPr>
        <w:t xml:space="preserve">(Chapter </w:t>
      </w:r>
      <w:r>
        <w:rPr>
          <w:rFonts w:eastAsia="Perpetua" w:cs="Perpetua"/>
        </w:rPr>
        <w:t xml:space="preserve">8: </w:t>
      </w:r>
      <w:r>
        <w:rPr>
          <w:rFonts w:eastAsia="Perpetua" w:cs="Perpetua"/>
          <w:spacing w:val="-1"/>
        </w:rPr>
        <w:t>‘Mystery</w:t>
      </w:r>
      <w:r>
        <w:rPr>
          <w:rFonts w:eastAsia="Perpetua" w:cs="Perpetua"/>
        </w:rPr>
        <w:t xml:space="preserve"> </w:t>
      </w:r>
      <w:r>
        <w:rPr>
          <w:rFonts w:eastAsia="Perpetua" w:cs="Perpetua"/>
          <w:spacing w:val="-1"/>
        </w:rPr>
        <w:t>Babylon’;</w:t>
      </w:r>
      <w:r>
        <w:rPr>
          <w:rFonts w:eastAsia="Perpetua" w:cs="Perpetua"/>
        </w:rPr>
        <w:t xml:space="preserve"> </w:t>
      </w:r>
      <w:r>
        <w:rPr>
          <w:rFonts w:eastAsia="Perpetua" w:cs="Perpetua"/>
          <w:spacing w:val="-1"/>
        </w:rPr>
        <w:t>Chapter</w:t>
      </w:r>
      <w:r>
        <w:rPr>
          <w:rFonts w:eastAsia="Perpetua" w:cs="Perpetua"/>
        </w:rPr>
        <w:t xml:space="preserve"> </w:t>
      </w:r>
      <w:r>
        <w:rPr>
          <w:rFonts w:eastAsia="Perpetua" w:cs="Perpetua"/>
          <w:spacing w:val="-1"/>
        </w:rPr>
        <w:t>10:</w:t>
      </w:r>
      <w:r>
        <w:rPr>
          <w:rFonts w:eastAsia="Perpetua" w:cs="Perpetua"/>
        </w:rPr>
        <w:t xml:space="preserve"> ‘The</w:t>
      </w:r>
      <w:r>
        <w:rPr>
          <w:rFonts w:eastAsia="Perpetua" w:cs="Perpetua"/>
          <w:spacing w:val="-2"/>
        </w:rPr>
        <w:t xml:space="preserve"> </w:t>
      </w:r>
      <w:r>
        <w:rPr>
          <w:rFonts w:eastAsia="Perpetua" w:cs="Perpetua"/>
          <w:spacing w:val="-1"/>
        </w:rPr>
        <w:t>Israel Deception’;</w:t>
      </w:r>
      <w:r>
        <w:rPr>
          <w:rFonts w:eastAsia="Perpetua" w:cs="Perpetua"/>
        </w:rPr>
        <w:t xml:space="preserve"> </w:t>
      </w:r>
      <w:r>
        <w:rPr>
          <w:rFonts w:eastAsia="Perpetua" w:cs="Perpetua"/>
          <w:spacing w:val="-1"/>
        </w:rPr>
        <w:t>Chapter</w:t>
      </w:r>
      <w:r>
        <w:rPr>
          <w:rFonts w:eastAsia="Perpetua" w:cs="Perpetua"/>
        </w:rPr>
        <w:t xml:space="preserve"> </w:t>
      </w:r>
      <w:r>
        <w:rPr>
          <w:rFonts w:eastAsia="Perpetua" w:cs="Perpetua"/>
          <w:spacing w:val="-1"/>
        </w:rPr>
        <w:t>11</w:t>
      </w:r>
      <w:r>
        <w:rPr>
          <w:rFonts w:eastAsia="Perpetua" w:cs="Perpetua"/>
        </w:rPr>
        <w:t xml:space="preserve"> </w:t>
      </w:r>
      <w:r>
        <w:rPr>
          <w:rFonts w:eastAsia="Perpetua" w:cs="Perpetua"/>
          <w:spacing w:val="-1"/>
        </w:rPr>
        <w:t>‘Talmudic</w:t>
      </w:r>
      <w:r>
        <w:rPr>
          <w:rFonts w:eastAsia="Perpetua" w:cs="Perpetua"/>
        </w:rPr>
        <w:t xml:space="preserve"> </w:t>
      </w:r>
      <w:r>
        <w:rPr>
          <w:rFonts w:eastAsia="Perpetua" w:cs="Perpetua"/>
          <w:spacing w:val="-1"/>
        </w:rPr>
        <w:t>Judaism’;</w:t>
      </w:r>
      <w:r>
        <w:rPr>
          <w:rFonts w:eastAsia="Perpetua" w:cs="Perpetua"/>
        </w:rPr>
        <w:t xml:space="preserve"> </w:t>
      </w:r>
      <w:r>
        <w:rPr>
          <w:rFonts w:eastAsia="Perpetua" w:cs="Perpetua"/>
          <w:spacing w:val="-1"/>
        </w:rPr>
        <w:t>Chapter</w:t>
      </w:r>
      <w:r>
        <w:rPr>
          <w:rFonts w:eastAsia="Perpetua" w:cs="Perpetua"/>
          <w:spacing w:val="38"/>
        </w:rPr>
        <w:t xml:space="preserve"> </w:t>
      </w:r>
      <w:r>
        <w:rPr>
          <w:rFonts w:eastAsia="Perpetua" w:cs="Perpetua"/>
          <w:spacing w:val="-1"/>
        </w:rPr>
        <w:t>12:</w:t>
      </w:r>
      <w:r>
        <w:rPr>
          <w:rFonts w:eastAsia="Perpetua" w:cs="Perpetua"/>
        </w:rPr>
        <w:t xml:space="preserve"> </w:t>
      </w:r>
      <w:r>
        <w:rPr>
          <w:rFonts w:eastAsia="Perpetua" w:cs="Perpetua"/>
          <w:spacing w:val="-1"/>
        </w:rPr>
        <w:t>‘A</w:t>
      </w:r>
      <w:r>
        <w:rPr>
          <w:rFonts w:eastAsia="Perpetua" w:cs="Perpetua"/>
        </w:rPr>
        <w:t xml:space="preserve"> </w:t>
      </w:r>
      <w:r>
        <w:rPr>
          <w:rFonts w:eastAsia="Perpetua" w:cs="Perpetua"/>
          <w:spacing w:val="-1"/>
        </w:rPr>
        <w:t>“Greater Israel”’).</w:t>
      </w:r>
      <w:r>
        <w:rPr>
          <w:rFonts w:eastAsia="Perpetua" w:cs="Perpetua"/>
        </w:rPr>
        <w:t xml:space="preserve">  </w:t>
      </w:r>
      <w:r>
        <w:rPr>
          <w:rFonts w:eastAsia="Perpetua" w:cs="Perpetua"/>
          <w:spacing w:val="-1"/>
        </w:rPr>
        <w:t>He</w:t>
      </w:r>
      <w:r>
        <w:rPr>
          <w:rFonts w:eastAsia="Perpetua" w:cs="Perpetua"/>
        </w:rPr>
        <w:t xml:space="preserve"> </w:t>
      </w:r>
      <w:r>
        <w:rPr>
          <w:rFonts w:eastAsia="Perpetua" w:cs="Perpetua"/>
          <w:spacing w:val="-1"/>
        </w:rPr>
        <w:t>makes</w:t>
      </w:r>
      <w:r>
        <w:rPr>
          <w:rFonts w:eastAsia="Perpetua" w:cs="Perpetua"/>
        </w:rPr>
        <w:t xml:space="preserve"> </w:t>
      </w:r>
      <w:r>
        <w:rPr>
          <w:rFonts w:eastAsia="Perpetua" w:cs="Perpetua"/>
          <w:spacing w:val="-1"/>
        </w:rPr>
        <w:t>unsubstantiated</w:t>
      </w:r>
      <w:r>
        <w:rPr>
          <w:rFonts w:eastAsia="Perpetua" w:cs="Perpetua"/>
        </w:rPr>
        <w:t xml:space="preserve"> </w:t>
      </w:r>
      <w:r>
        <w:rPr>
          <w:rFonts w:eastAsia="Perpetua" w:cs="Perpetua"/>
          <w:spacing w:val="-1"/>
        </w:rPr>
        <w:t>claims about the</w:t>
      </w:r>
      <w:r>
        <w:rPr>
          <w:rFonts w:eastAsia="Perpetua" w:cs="Perpetua"/>
        </w:rPr>
        <w:t xml:space="preserve"> </w:t>
      </w:r>
      <w:r>
        <w:rPr>
          <w:rFonts w:eastAsia="Perpetua" w:cs="Perpetua"/>
          <w:spacing w:val="-1"/>
        </w:rPr>
        <w:t>Zionist</w:t>
      </w:r>
      <w:r>
        <w:rPr>
          <w:rFonts w:eastAsia="Perpetua" w:cs="Perpetua"/>
        </w:rPr>
        <w:t xml:space="preserve"> </w:t>
      </w:r>
      <w:r>
        <w:rPr>
          <w:rFonts w:eastAsia="Perpetua" w:cs="Perpetua"/>
          <w:spacing w:val="-1"/>
        </w:rPr>
        <w:t>identity</w:t>
      </w:r>
      <w:r>
        <w:rPr>
          <w:rFonts w:eastAsia="Perpetua" w:cs="Perpetua"/>
          <w:spacing w:val="1"/>
        </w:rPr>
        <w:t xml:space="preserve"> </w:t>
      </w:r>
      <w:r>
        <w:rPr>
          <w:rFonts w:eastAsia="Perpetua" w:cs="Perpetua"/>
          <w:spacing w:val="-1"/>
        </w:rPr>
        <w:t>and</w:t>
      </w:r>
      <w:r>
        <w:rPr>
          <w:rFonts w:eastAsia="Perpetua" w:cs="Perpetua"/>
        </w:rPr>
        <w:t xml:space="preserve"> </w:t>
      </w:r>
      <w:r>
        <w:rPr>
          <w:rFonts w:eastAsia="Perpetua" w:cs="Perpetua"/>
          <w:spacing w:val="-1"/>
        </w:rPr>
        <w:t>intentions</w:t>
      </w:r>
      <w:r>
        <w:rPr>
          <w:rFonts w:eastAsia="Perpetua" w:cs="Perpetua"/>
        </w:rPr>
        <w:t xml:space="preserve"> </w:t>
      </w:r>
      <w:r>
        <w:rPr>
          <w:rFonts w:eastAsia="Perpetua" w:cs="Perpetua"/>
          <w:spacing w:val="-1"/>
        </w:rPr>
        <w:t xml:space="preserve">of </w:t>
      </w:r>
      <w:r>
        <w:rPr>
          <w:rFonts w:eastAsia="Perpetua" w:cs="Perpetua"/>
          <w:i/>
          <w:spacing w:val="-1"/>
        </w:rPr>
        <w:t>OUP</w:t>
      </w:r>
      <w:r>
        <w:rPr>
          <w:rFonts w:eastAsia="Perpetua" w:cs="Perpetua"/>
          <w:i/>
        </w:rPr>
        <w:t xml:space="preserve"> </w:t>
      </w:r>
      <w:r>
        <w:rPr>
          <w:rFonts w:eastAsia="Perpetua" w:cs="Perpetua"/>
        </w:rPr>
        <w:t>as</w:t>
      </w:r>
      <w:r>
        <w:rPr>
          <w:rFonts w:eastAsia="Perpetua" w:cs="Perpetua"/>
          <w:spacing w:val="35"/>
        </w:rPr>
        <w:t xml:space="preserve"> </w:t>
      </w:r>
      <w:r>
        <w:rPr>
          <w:rFonts w:eastAsia="Perpetua" w:cs="Perpetua"/>
          <w:spacing w:val="-1"/>
        </w:rPr>
        <w:t>publishers</w:t>
      </w:r>
      <w:r>
        <w:rPr>
          <w:rFonts w:eastAsia="Perpetua" w:cs="Perpetua"/>
        </w:rPr>
        <w:t xml:space="preserve"> </w:t>
      </w:r>
      <w:r>
        <w:rPr>
          <w:rFonts w:eastAsia="Perpetua" w:cs="Perpetua"/>
          <w:spacing w:val="-1"/>
        </w:rPr>
        <w:t>of</w:t>
      </w:r>
      <w:r>
        <w:rPr>
          <w:rFonts w:eastAsia="Perpetua" w:cs="Perpetua"/>
        </w:rPr>
        <w:t xml:space="preserve"> </w:t>
      </w:r>
      <w:r>
        <w:rPr>
          <w:rFonts w:eastAsia="Perpetua" w:cs="Perpetua"/>
          <w:spacing w:val="-1"/>
        </w:rPr>
        <w:t>the</w:t>
      </w:r>
      <w:r>
        <w:rPr>
          <w:rFonts w:eastAsia="Perpetua" w:cs="Perpetua"/>
        </w:rPr>
        <w:t xml:space="preserve"> </w:t>
      </w:r>
      <w:r w:rsidRPr="00ED6C86">
        <w:rPr>
          <w:rFonts w:eastAsia="Perpetua" w:cs="Perpetua"/>
          <w:i/>
          <w:spacing w:val="-1"/>
        </w:rPr>
        <w:t>Scofield</w:t>
      </w:r>
      <w:r w:rsidRPr="00ED6C86">
        <w:rPr>
          <w:rFonts w:eastAsia="Perpetua" w:cs="Perpetua"/>
          <w:i/>
        </w:rPr>
        <w:t xml:space="preserve"> </w:t>
      </w:r>
      <w:r w:rsidRPr="00ED6C86">
        <w:rPr>
          <w:rFonts w:eastAsia="Perpetua" w:cs="Perpetua"/>
          <w:i/>
          <w:spacing w:val="-1"/>
        </w:rPr>
        <w:t>Bible</w:t>
      </w:r>
      <w:r>
        <w:rPr>
          <w:rFonts w:eastAsia="Perpetua" w:cs="Perpetua"/>
        </w:rPr>
        <w:t xml:space="preserve"> </w:t>
      </w:r>
      <w:r>
        <w:rPr>
          <w:rFonts w:eastAsia="Perpetua" w:cs="Perpetua"/>
          <w:spacing w:val="-1"/>
        </w:rPr>
        <w:t>(pp.</w:t>
      </w:r>
      <w:r>
        <w:rPr>
          <w:rFonts w:eastAsia="Perpetua" w:cs="Perpetua"/>
        </w:rPr>
        <w:t xml:space="preserve"> </w:t>
      </w:r>
      <w:r>
        <w:rPr>
          <w:rFonts w:eastAsia="Perpetua" w:cs="Perpetua"/>
          <w:spacing w:val="-1"/>
        </w:rPr>
        <w:t>84</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161).</w:t>
      </w:r>
      <w:r>
        <w:rPr>
          <w:rFonts w:eastAsia="Perpetua" w:cs="Perpetua"/>
        </w:rPr>
        <w:t xml:space="preserve">  </w:t>
      </w:r>
      <w:r>
        <w:rPr>
          <w:rFonts w:eastAsia="Perpetua" w:cs="Perpetua"/>
          <w:spacing w:val="-1"/>
        </w:rPr>
        <w:t>He</w:t>
      </w:r>
      <w:r>
        <w:rPr>
          <w:rFonts w:eastAsia="Perpetua" w:cs="Perpetua"/>
        </w:rPr>
        <w:t xml:space="preserve"> </w:t>
      </w:r>
      <w:r>
        <w:rPr>
          <w:rFonts w:eastAsia="Perpetua" w:cs="Perpetua"/>
          <w:spacing w:val="-1"/>
        </w:rPr>
        <w:t>labels</w:t>
      </w:r>
      <w:r>
        <w:rPr>
          <w:rFonts w:eastAsia="Perpetua" w:cs="Perpetua"/>
        </w:rPr>
        <w:t xml:space="preserve"> </w:t>
      </w:r>
      <w:r>
        <w:rPr>
          <w:rFonts w:eastAsia="Perpetua" w:cs="Perpetua"/>
          <w:spacing w:val="-1"/>
        </w:rPr>
        <w:t>‘the true</w:t>
      </w:r>
      <w:r>
        <w:rPr>
          <w:rFonts w:eastAsia="Perpetua" w:cs="Perpetua"/>
        </w:rPr>
        <w:t xml:space="preserve"> </w:t>
      </w:r>
      <w:r>
        <w:rPr>
          <w:rFonts w:eastAsia="Perpetua" w:cs="Perpetua"/>
          <w:spacing w:val="-1"/>
        </w:rPr>
        <w:t>content of</w:t>
      </w:r>
      <w:r>
        <w:rPr>
          <w:rFonts w:eastAsia="Perpetua" w:cs="Perpetua"/>
        </w:rPr>
        <w:t xml:space="preserve"> </w:t>
      </w:r>
      <w:r>
        <w:rPr>
          <w:rFonts w:eastAsia="Perpetua" w:cs="Perpetua"/>
          <w:spacing w:val="-1"/>
        </w:rPr>
        <w:t>Judaism</w:t>
      </w:r>
      <w:r>
        <w:rPr>
          <w:rFonts w:eastAsia="Perpetua" w:cs="Perpetua"/>
        </w:rPr>
        <w:t xml:space="preserve"> </w:t>
      </w:r>
      <w:r>
        <w:rPr>
          <w:rFonts w:eastAsia="Perpetua" w:cs="Perpetua"/>
          <w:spacing w:val="-1"/>
        </w:rPr>
        <w:t>as</w:t>
      </w:r>
      <w:r>
        <w:rPr>
          <w:rFonts w:eastAsia="Perpetua" w:cs="Perpetua"/>
        </w:rPr>
        <w:t xml:space="preserve"> a</w:t>
      </w:r>
      <w:r>
        <w:rPr>
          <w:rFonts w:eastAsia="Perpetua" w:cs="Perpetua"/>
          <w:spacing w:val="-1"/>
        </w:rPr>
        <w:t xml:space="preserve"> Christ-hating,</w:t>
      </w:r>
      <w:r>
        <w:rPr>
          <w:rFonts w:eastAsia="Perpetua" w:cs="Perpetua"/>
          <w:spacing w:val="43"/>
        </w:rPr>
        <w:t xml:space="preserve"> </w:t>
      </w:r>
      <w:r>
        <w:rPr>
          <w:rFonts w:eastAsia="Perpetua" w:cs="Perpetua"/>
          <w:spacing w:val="-1"/>
        </w:rPr>
        <w:t>Luciferian-inspired</w:t>
      </w:r>
      <w:r>
        <w:rPr>
          <w:rFonts w:eastAsia="Perpetua" w:cs="Perpetua"/>
        </w:rPr>
        <w:t xml:space="preserve"> </w:t>
      </w:r>
      <w:r>
        <w:rPr>
          <w:rFonts w:eastAsia="Perpetua" w:cs="Perpetua"/>
          <w:spacing w:val="-1"/>
        </w:rPr>
        <w:t>religion’</w:t>
      </w:r>
      <w:r>
        <w:rPr>
          <w:rFonts w:eastAsia="Perpetua" w:cs="Perpetua"/>
        </w:rPr>
        <w:t xml:space="preserve"> </w:t>
      </w:r>
      <w:r>
        <w:rPr>
          <w:rFonts w:eastAsia="Perpetua" w:cs="Perpetua"/>
          <w:spacing w:val="-1"/>
        </w:rPr>
        <w:t>(p.</w:t>
      </w:r>
      <w:r>
        <w:rPr>
          <w:rFonts w:eastAsia="Perpetua" w:cs="Perpetua"/>
        </w:rPr>
        <w:t xml:space="preserve"> </w:t>
      </w:r>
      <w:r>
        <w:rPr>
          <w:rFonts w:eastAsia="Perpetua" w:cs="Perpetua"/>
          <w:spacing w:val="-1"/>
        </w:rPr>
        <w:t>161)</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questions</w:t>
      </w:r>
      <w:r>
        <w:rPr>
          <w:rFonts w:eastAsia="Perpetua" w:cs="Perpetua"/>
        </w:rPr>
        <w:t xml:space="preserve"> </w:t>
      </w:r>
      <w:r>
        <w:rPr>
          <w:rFonts w:eastAsia="Perpetua" w:cs="Perpetua"/>
          <w:spacing w:val="-1"/>
        </w:rPr>
        <w:t>the</w:t>
      </w:r>
      <w:r>
        <w:rPr>
          <w:rFonts w:eastAsia="Perpetua" w:cs="Perpetua"/>
        </w:rPr>
        <w:t xml:space="preserve"> </w:t>
      </w:r>
      <w:r>
        <w:rPr>
          <w:rFonts w:eastAsia="Perpetua" w:cs="Perpetua"/>
          <w:spacing w:val="-1"/>
        </w:rPr>
        <w:t>extent</w:t>
      </w:r>
      <w:r>
        <w:rPr>
          <w:rFonts w:eastAsia="Perpetua" w:cs="Perpetua"/>
        </w:rPr>
        <w:t xml:space="preserve"> </w:t>
      </w:r>
      <w:r>
        <w:rPr>
          <w:rFonts w:eastAsia="Perpetua" w:cs="Perpetua"/>
          <w:spacing w:val="-1"/>
        </w:rPr>
        <w:t>of</w:t>
      </w:r>
      <w:r>
        <w:rPr>
          <w:rFonts w:eastAsia="Perpetua" w:cs="Perpetua"/>
        </w:rPr>
        <w:t xml:space="preserve"> </w:t>
      </w:r>
      <w:r>
        <w:rPr>
          <w:rFonts w:eastAsia="Perpetua" w:cs="Perpetua"/>
          <w:spacing w:val="-1"/>
        </w:rPr>
        <w:t>the</w:t>
      </w:r>
      <w:r>
        <w:rPr>
          <w:rFonts w:eastAsia="Perpetua" w:cs="Perpetua"/>
        </w:rPr>
        <w:t xml:space="preserve"> </w:t>
      </w:r>
      <w:r>
        <w:rPr>
          <w:rFonts w:eastAsia="Perpetua" w:cs="Perpetua"/>
          <w:spacing w:val="-1"/>
        </w:rPr>
        <w:t>Holocaust,</w:t>
      </w:r>
      <w:r>
        <w:rPr>
          <w:rFonts w:eastAsia="Perpetua" w:cs="Perpetua"/>
        </w:rPr>
        <w:t xml:space="preserve"> </w:t>
      </w:r>
      <w:r>
        <w:rPr>
          <w:rFonts w:eastAsia="Perpetua" w:cs="Perpetua"/>
          <w:spacing w:val="-1"/>
        </w:rPr>
        <w:t>referring</w:t>
      </w:r>
      <w:r>
        <w:rPr>
          <w:rFonts w:eastAsia="Perpetua" w:cs="Perpetua"/>
          <w:spacing w:val="1"/>
        </w:rPr>
        <w:t xml:space="preserve"> </w:t>
      </w:r>
      <w:r>
        <w:rPr>
          <w:rFonts w:eastAsia="Perpetua" w:cs="Perpetua"/>
          <w:spacing w:val="-1"/>
        </w:rPr>
        <w:t>to</w:t>
      </w:r>
      <w:r>
        <w:rPr>
          <w:rFonts w:eastAsia="Perpetua" w:cs="Perpetua"/>
        </w:rPr>
        <w:t xml:space="preserve"> </w:t>
      </w:r>
      <w:r>
        <w:rPr>
          <w:rFonts w:eastAsia="Perpetua" w:cs="Perpetua"/>
          <w:spacing w:val="-1"/>
        </w:rPr>
        <w:t>‘the</w:t>
      </w:r>
      <w:r>
        <w:rPr>
          <w:rFonts w:eastAsia="Perpetua" w:cs="Perpetua"/>
        </w:rPr>
        <w:t xml:space="preserve"> </w:t>
      </w:r>
      <w:r>
        <w:rPr>
          <w:rFonts w:eastAsia="Perpetua" w:cs="Perpetua"/>
          <w:spacing w:val="-1"/>
        </w:rPr>
        <w:t>alleged murder</w:t>
      </w:r>
      <w:r>
        <w:rPr>
          <w:rFonts w:eastAsia="Perpetua" w:cs="Perpetua"/>
        </w:rPr>
        <w:t xml:space="preserve"> </w:t>
      </w:r>
      <w:r>
        <w:rPr>
          <w:rFonts w:eastAsia="Perpetua" w:cs="Perpetua"/>
          <w:spacing w:val="-1"/>
        </w:rPr>
        <w:t>of</w:t>
      </w:r>
      <w:r>
        <w:rPr>
          <w:rFonts w:eastAsia="Perpetua" w:cs="Perpetua"/>
          <w:spacing w:val="44"/>
        </w:rPr>
        <w:t xml:space="preserve"> </w:t>
      </w:r>
      <w:r>
        <w:rPr>
          <w:rFonts w:eastAsia="Perpetua" w:cs="Perpetua"/>
          <w:spacing w:val="-1"/>
        </w:rPr>
        <w:t>six</w:t>
      </w:r>
      <w:r>
        <w:rPr>
          <w:rFonts w:eastAsia="Perpetua" w:cs="Perpetua"/>
          <w:spacing w:val="45"/>
        </w:rPr>
        <w:t xml:space="preserve"> </w:t>
      </w:r>
      <w:r>
        <w:rPr>
          <w:rFonts w:eastAsia="Perpetua" w:cs="Perpetua"/>
          <w:spacing w:val="-1"/>
        </w:rPr>
        <w:t>million</w:t>
      </w:r>
      <w:r>
        <w:rPr>
          <w:rFonts w:eastAsia="Perpetua" w:cs="Perpetua"/>
        </w:rPr>
        <w:t xml:space="preserve"> </w:t>
      </w:r>
      <w:r>
        <w:rPr>
          <w:rFonts w:eastAsia="Perpetua" w:cs="Perpetua"/>
          <w:spacing w:val="-1"/>
        </w:rPr>
        <w:t>Jews’</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Jewish exaggeration</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use</w:t>
      </w:r>
      <w:r>
        <w:rPr>
          <w:rFonts w:eastAsia="Perpetua" w:cs="Perpetua"/>
        </w:rPr>
        <w:t xml:space="preserve"> </w:t>
      </w:r>
      <w:r>
        <w:rPr>
          <w:rFonts w:eastAsia="Perpetua" w:cs="Perpetua"/>
          <w:spacing w:val="-1"/>
        </w:rPr>
        <w:t>of</w:t>
      </w:r>
      <w:r>
        <w:rPr>
          <w:rFonts w:eastAsia="Perpetua" w:cs="Perpetua"/>
        </w:rPr>
        <w:t xml:space="preserve"> </w:t>
      </w:r>
      <w:r>
        <w:rPr>
          <w:rFonts w:eastAsia="Perpetua" w:cs="Perpetua"/>
          <w:spacing w:val="-1"/>
        </w:rPr>
        <w:t>the</w:t>
      </w:r>
      <w:r>
        <w:rPr>
          <w:rFonts w:eastAsia="Perpetua" w:cs="Perpetua"/>
        </w:rPr>
        <w:t xml:space="preserve"> </w:t>
      </w:r>
      <w:r>
        <w:rPr>
          <w:rFonts w:eastAsia="Perpetua" w:cs="Perpetua"/>
          <w:spacing w:val="-1"/>
        </w:rPr>
        <w:t>Holocaust</w:t>
      </w:r>
      <w:r>
        <w:rPr>
          <w:rFonts w:eastAsia="Perpetua" w:cs="Perpetua"/>
        </w:rPr>
        <w:t xml:space="preserve"> </w:t>
      </w:r>
      <w:r>
        <w:rPr>
          <w:rFonts w:eastAsia="Perpetua" w:cs="Perpetua"/>
          <w:spacing w:val="-1"/>
        </w:rPr>
        <w:t>for</w:t>
      </w:r>
      <w:r>
        <w:rPr>
          <w:rFonts w:eastAsia="Perpetua" w:cs="Perpetua"/>
        </w:rPr>
        <w:t xml:space="preserve"> </w:t>
      </w:r>
      <w:r>
        <w:rPr>
          <w:rFonts w:eastAsia="Perpetua" w:cs="Perpetua"/>
          <w:spacing w:val="-1"/>
        </w:rPr>
        <w:t>its</w:t>
      </w:r>
      <w:r>
        <w:rPr>
          <w:rFonts w:eastAsia="Perpetua" w:cs="Perpetua"/>
        </w:rPr>
        <w:t xml:space="preserve"> </w:t>
      </w:r>
      <w:r>
        <w:rPr>
          <w:rFonts w:eastAsia="Perpetua" w:cs="Perpetua"/>
          <w:spacing w:val="-1"/>
        </w:rPr>
        <w:t>own</w:t>
      </w:r>
      <w:r>
        <w:rPr>
          <w:rFonts w:eastAsia="Perpetua" w:cs="Perpetua"/>
        </w:rPr>
        <w:t xml:space="preserve"> </w:t>
      </w:r>
      <w:r>
        <w:rPr>
          <w:rFonts w:eastAsia="Perpetua" w:cs="Perpetua"/>
          <w:spacing w:val="-1"/>
        </w:rPr>
        <w:t>ends</w:t>
      </w:r>
      <w:r>
        <w:rPr>
          <w:rFonts w:eastAsia="Perpetua" w:cs="Perpetua"/>
        </w:rPr>
        <w:t xml:space="preserve"> </w:t>
      </w:r>
      <w:r>
        <w:rPr>
          <w:rFonts w:eastAsia="Perpetua" w:cs="Perpetua"/>
          <w:spacing w:val="-1"/>
        </w:rPr>
        <w:t>(p.</w:t>
      </w:r>
      <w:r>
        <w:rPr>
          <w:rFonts w:eastAsia="Perpetua" w:cs="Perpetua"/>
        </w:rPr>
        <w:t xml:space="preserve"> </w:t>
      </w:r>
      <w:r>
        <w:rPr>
          <w:rFonts w:eastAsia="Perpetua" w:cs="Perpetua"/>
          <w:spacing w:val="-1"/>
        </w:rPr>
        <w:t>136).</w:t>
      </w:r>
      <w:r>
        <w:rPr>
          <w:rFonts w:eastAsia="Perpetua" w:cs="Perpetua"/>
        </w:rPr>
        <w:t xml:space="preserve">  </w:t>
      </w:r>
      <w:r>
        <w:rPr>
          <w:rFonts w:eastAsia="Perpetua" w:cs="Perpetua"/>
          <w:spacing w:val="-1"/>
        </w:rPr>
        <w:t>Very</w:t>
      </w:r>
      <w:r>
        <w:rPr>
          <w:rFonts w:eastAsia="Perpetua" w:cs="Perpetua"/>
          <w:spacing w:val="1"/>
        </w:rPr>
        <w:t xml:space="preserve"> </w:t>
      </w:r>
      <w:r>
        <w:rPr>
          <w:rFonts w:eastAsia="Perpetua" w:cs="Perpetua"/>
          <w:spacing w:val="-1"/>
        </w:rPr>
        <w:t>few</w:t>
      </w:r>
      <w:r>
        <w:rPr>
          <w:rFonts w:eastAsia="Perpetua" w:cs="Perpetua"/>
        </w:rPr>
        <w:t xml:space="preserve"> </w:t>
      </w:r>
      <w:r>
        <w:rPr>
          <w:rFonts w:eastAsia="Perpetua" w:cs="Perpetua"/>
          <w:spacing w:val="-1"/>
        </w:rPr>
        <w:t>proper</w:t>
      </w:r>
      <w:r>
        <w:rPr>
          <w:rFonts w:eastAsia="Perpetua" w:cs="Perpetua"/>
          <w:spacing w:val="44"/>
        </w:rPr>
        <w:t xml:space="preserve"> </w:t>
      </w:r>
      <w:r>
        <w:rPr>
          <w:rFonts w:eastAsia="Perpetua" w:cs="Perpetua"/>
          <w:spacing w:val="-1"/>
        </w:rPr>
        <w:t>references</w:t>
      </w:r>
      <w:r>
        <w:rPr>
          <w:rFonts w:eastAsia="Perpetua" w:cs="Perpetua"/>
          <w:spacing w:val="1"/>
        </w:rPr>
        <w:t xml:space="preserve"> </w:t>
      </w:r>
      <w:r>
        <w:rPr>
          <w:rFonts w:eastAsia="Perpetua" w:cs="Perpetua"/>
          <w:spacing w:val="-1"/>
        </w:rPr>
        <w:t>are</w:t>
      </w:r>
      <w:r>
        <w:rPr>
          <w:rFonts w:eastAsia="Perpetua" w:cs="Perpetua"/>
        </w:rPr>
        <w:t xml:space="preserve"> </w:t>
      </w:r>
      <w:r>
        <w:rPr>
          <w:rFonts w:eastAsia="Perpetua" w:cs="Perpetua"/>
          <w:spacing w:val="-1"/>
        </w:rPr>
        <w:t>given</w:t>
      </w:r>
      <w:r>
        <w:rPr>
          <w:rFonts w:eastAsia="Perpetua" w:cs="Perpetua"/>
        </w:rPr>
        <w:t xml:space="preserve"> </w:t>
      </w:r>
      <w:r>
        <w:rPr>
          <w:rFonts w:eastAsia="Perpetua" w:cs="Perpetua"/>
          <w:spacing w:val="-1"/>
        </w:rPr>
        <w:t>and</w:t>
      </w:r>
      <w:r>
        <w:rPr>
          <w:rFonts w:eastAsia="Perpetua" w:cs="Perpetua"/>
        </w:rPr>
        <w:t xml:space="preserve"> </w:t>
      </w:r>
      <w:r>
        <w:rPr>
          <w:rFonts w:eastAsia="Perpetua" w:cs="Perpetua"/>
          <w:spacing w:val="-1"/>
        </w:rPr>
        <w:t>there</w:t>
      </w:r>
      <w:r>
        <w:rPr>
          <w:rFonts w:eastAsia="Perpetua" w:cs="Perpetua"/>
        </w:rPr>
        <w:t xml:space="preserve"> </w:t>
      </w:r>
      <w:r>
        <w:rPr>
          <w:rFonts w:eastAsia="Perpetua" w:cs="Perpetua"/>
          <w:spacing w:val="-1"/>
        </w:rPr>
        <w:t>is no</w:t>
      </w:r>
      <w:r>
        <w:rPr>
          <w:rFonts w:eastAsia="Perpetua" w:cs="Perpetua"/>
        </w:rPr>
        <w:t xml:space="preserve"> </w:t>
      </w:r>
      <w:r>
        <w:rPr>
          <w:rFonts w:eastAsia="Perpetua" w:cs="Perpetua"/>
          <w:spacing w:val="-1"/>
        </w:rPr>
        <w:t>bibliography.</w:t>
      </w:r>
      <w:r>
        <w:rPr>
          <w:rFonts w:eastAsia="Perpetua" w:cs="Perpetua"/>
          <w:spacing w:val="45"/>
        </w:rPr>
        <w:t xml:space="preserve"> </w:t>
      </w:r>
      <w:r>
        <w:rPr>
          <w:rFonts w:eastAsia="Perpetua" w:cs="Perpetua"/>
        </w:rPr>
        <w:t>I</w:t>
      </w:r>
      <w:r>
        <w:rPr>
          <w:rFonts w:eastAsia="Perpetua" w:cs="Perpetua"/>
          <w:spacing w:val="1"/>
        </w:rPr>
        <w:t xml:space="preserve"> </w:t>
      </w:r>
      <w:r>
        <w:rPr>
          <w:rFonts w:eastAsia="Perpetua" w:cs="Perpetua"/>
          <w:spacing w:val="-1"/>
        </w:rPr>
        <w:t>do</w:t>
      </w:r>
      <w:r>
        <w:rPr>
          <w:rFonts w:eastAsia="Perpetua" w:cs="Perpetua"/>
        </w:rPr>
        <w:t xml:space="preserve"> </w:t>
      </w:r>
      <w:r>
        <w:rPr>
          <w:rFonts w:eastAsia="Perpetua" w:cs="Perpetua"/>
          <w:spacing w:val="-1"/>
        </w:rPr>
        <w:t>not, therefore,</w:t>
      </w:r>
      <w:r>
        <w:rPr>
          <w:rFonts w:eastAsia="Perpetua" w:cs="Perpetua"/>
        </w:rPr>
        <w:t xml:space="preserve"> </w:t>
      </w:r>
      <w:r>
        <w:rPr>
          <w:rFonts w:eastAsia="Perpetua" w:cs="Perpetua"/>
          <w:spacing w:val="-1"/>
        </w:rPr>
        <w:t>regard</w:t>
      </w:r>
      <w:r>
        <w:rPr>
          <w:rFonts w:eastAsia="Perpetua" w:cs="Perpetua"/>
        </w:rPr>
        <w:t xml:space="preserve"> </w:t>
      </w:r>
      <w:r>
        <w:rPr>
          <w:rFonts w:eastAsia="Perpetua" w:cs="Perpetua"/>
          <w:spacing w:val="-1"/>
        </w:rPr>
        <w:t>it</w:t>
      </w:r>
      <w:r>
        <w:rPr>
          <w:rFonts w:eastAsia="Perpetua" w:cs="Perpetua"/>
        </w:rPr>
        <w:t xml:space="preserve"> </w:t>
      </w:r>
      <w:r>
        <w:rPr>
          <w:rFonts w:eastAsia="Perpetua" w:cs="Perpetua"/>
          <w:spacing w:val="-1"/>
        </w:rPr>
        <w:t xml:space="preserve">as </w:t>
      </w:r>
      <w:r>
        <w:rPr>
          <w:rFonts w:eastAsia="Perpetua" w:cs="Perpetua"/>
        </w:rPr>
        <w:t xml:space="preserve">a </w:t>
      </w:r>
      <w:r>
        <w:rPr>
          <w:rFonts w:eastAsia="Perpetua" w:cs="Perpetua"/>
          <w:spacing w:val="-1"/>
        </w:rPr>
        <w:t>worthy</w:t>
      </w:r>
      <w:r>
        <w:rPr>
          <w:rFonts w:eastAsia="Perpetua" w:cs="Perpetua"/>
        </w:rPr>
        <w:t xml:space="preserve"> </w:t>
      </w:r>
      <w:r>
        <w:rPr>
          <w:rFonts w:eastAsia="Perpetua" w:cs="Perpetua"/>
          <w:spacing w:val="-1"/>
        </w:rPr>
        <w:t>commentary</w:t>
      </w:r>
      <w:r>
        <w:rPr>
          <w:rFonts w:eastAsia="Perpetua" w:cs="Perpetua"/>
        </w:rPr>
        <w:t xml:space="preserve"> </w:t>
      </w:r>
      <w:r>
        <w:rPr>
          <w:rFonts w:eastAsia="Perpetua" w:cs="Perpetua"/>
          <w:spacing w:val="-1"/>
        </w:rPr>
        <w:t>on</w:t>
      </w:r>
      <w:r>
        <w:rPr>
          <w:rFonts w:eastAsia="Perpetua" w:cs="Perpetua"/>
        </w:rPr>
        <w:t xml:space="preserve"> </w:t>
      </w:r>
      <w:r>
        <w:rPr>
          <w:rFonts w:eastAsia="Perpetua" w:cs="Perpetua"/>
          <w:spacing w:val="-1"/>
        </w:rPr>
        <w:t>the</w:t>
      </w:r>
      <w:r>
        <w:rPr>
          <w:rFonts w:eastAsia="Perpetua" w:cs="Perpetua"/>
          <w:spacing w:val="42"/>
        </w:rPr>
        <w:t xml:space="preserve"> </w:t>
      </w:r>
      <w:r>
        <w:rPr>
          <w:rFonts w:eastAsia="Perpetua" w:cs="Perpetua"/>
          <w:i/>
          <w:spacing w:val="-1"/>
        </w:rPr>
        <w:t>Scofield Reference</w:t>
      </w:r>
      <w:r>
        <w:rPr>
          <w:rFonts w:eastAsia="Perpetua" w:cs="Perpetua"/>
          <w:i/>
          <w:spacing w:val="-2"/>
        </w:rPr>
        <w:t xml:space="preserve"> </w:t>
      </w:r>
      <w:r>
        <w:rPr>
          <w:rFonts w:eastAsia="Perpetua" w:cs="Perpetua"/>
          <w:i/>
          <w:spacing w:val="-1"/>
        </w:rPr>
        <w:t>Bible</w:t>
      </w:r>
      <w:r>
        <w:rPr>
          <w:rFonts w:eastAsia="Perpetua" w:cs="Perpetua"/>
          <w:spacing w:val="-1"/>
        </w:rPr>
        <w:t>.</w:t>
      </w:r>
    </w:p>
  </w:endnote>
  <w:endnote w:id="3489">
    <w:p w:rsidR="00975183" w:rsidRPr="00493017" w:rsidRDefault="00975183" w:rsidP="00D90FE2">
      <w:pPr>
        <w:pStyle w:val="EndnoteText"/>
      </w:pPr>
      <w:r w:rsidRPr="00493017">
        <w:rPr>
          <w:rStyle w:val="EndnoteReference"/>
        </w:rPr>
        <w:endnoteRef/>
      </w:r>
      <w:r w:rsidRPr="00493017">
        <w:t xml:space="preserve"> </w:t>
      </w:r>
      <w:r w:rsidRPr="003D0877">
        <w:rPr>
          <w:b/>
          <w:lang w:val="en-US"/>
        </w:rPr>
        <w:t>See 8.4.15</w:t>
      </w:r>
      <w:r>
        <w:rPr>
          <w:b/>
          <w:lang w:val="en-US"/>
        </w:rPr>
        <w:t xml:space="preserve">, </w:t>
      </w:r>
      <w:r w:rsidRPr="00BF1F06">
        <w:rPr>
          <w:b/>
          <w:i/>
          <w:lang w:val="en-US"/>
        </w:rPr>
        <w:t>Annotation: Key Points</w:t>
      </w:r>
      <w:r w:rsidRPr="00493017">
        <w:rPr>
          <w:lang w:val="en-US"/>
        </w:rPr>
        <w:t>.</w:t>
      </w:r>
    </w:p>
  </w:endnote>
  <w:endnote w:id="3490">
    <w:p w:rsidR="00975183" w:rsidRPr="00493017" w:rsidRDefault="00975183" w:rsidP="00D90FE2">
      <w:pPr>
        <w:pStyle w:val="EndnoteText"/>
      </w:pPr>
      <w:r w:rsidRPr="00493017">
        <w:rPr>
          <w:rStyle w:val="EndnoteReference"/>
        </w:rPr>
        <w:endnoteRef/>
      </w:r>
      <w:r w:rsidRPr="00493017">
        <w:t xml:space="preserve"> David L. Petersen, </w:t>
      </w:r>
      <w:r w:rsidRPr="00493017">
        <w:rPr>
          <w:i/>
        </w:rPr>
        <w:t>Zechariah 9-14 and Malachi: a Commentary</w:t>
      </w:r>
      <w:r w:rsidRPr="00493017">
        <w:t xml:space="preserve"> (Old Testament Library, London: SCM Press, 1995), p. 1.  Petersen states that most Christian English Bible Translations follow the LXX enumeration of ten chapters.</w:t>
      </w:r>
    </w:p>
  </w:endnote>
  <w:endnote w:id="3491">
    <w:p w:rsidR="00975183" w:rsidRPr="00493017" w:rsidRDefault="00975183" w:rsidP="00D90FE2">
      <w:pPr>
        <w:pStyle w:val="EndnoteText"/>
      </w:pPr>
      <w:r w:rsidRPr="00493017">
        <w:rPr>
          <w:rStyle w:val="EndnoteReference"/>
        </w:rPr>
        <w:endnoteRef/>
      </w:r>
      <w:r w:rsidRPr="00493017">
        <w:t xml:space="preserve"> For example, Carol L. Meyers and Eric M. Meyers, </w:t>
      </w:r>
      <w:r w:rsidRPr="00493017">
        <w:rPr>
          <w:i/>
        </w:rPr>
        <w:t>Zechariah 9-14: A New Translation with Introduction and Commentary</w:t>
      </w:r>
      <w:r w:rsidRPr="00493017">
        <w:t xml:space="preserve"> (The Anchor Yale Bible 25C, William Foxwell Albright and David Noel Freeman, [gen. eds]; New Haven: Yale University Press, 1993), p. 15; </w:t>
      </w:r>
    </w:p>
    <w:p w:rsidR="00975183" w:rsidRPr="00493017" w:rsidRDefault="00975183" w:rsidP="00D90FE2">
      <w:pPr>
        <w:pStyle w:val="EndnoteText"/>
      </w:pPr>
      <w:r w:rsidRPr="00493017">
        <w:t xml:space="preserve">Paul L. Redditt, ‘Themes in Haggai-Zechariah-Malachi’, </w:t>
      </w:r>
      <w:r w:rsidRPr="00493017">
        <w:rPr>
          <w:i/>
          <w:iCs/>
        </w:rPr>
        <w:t xml:space="preserve">Interpretation </w:t>
      </w:r>
      <w:r w:rsidRPr="00493017">
        <w:rPr>
          <w:iCs/>
        </w:rPr>
        <w:t>(</w:t>
      </w:r>
      <w:r w:rsidRPr="00493017">
        <w:t xml:space="preserve">2007 61: 184), footnote 7, p. 185  &lt;http://int.sagepub.com.eresources.shef.ac.uk/content/61/2/184.full.pdf+html&gt; [accessed 10.5.12];  </w:t>
      </w:r>
    </w:p>
    <w:p w:rsidR="00975183" w:rsidRPr="00493017" w:rsidRDefault="00975183" w:rsidP="00D90FE2">
      <w:pPr>
        <w:pStyle w:val="EndnoteText"/>
      </w:pPr>
      <w:r w:rsidRPr="00493017">
        <w:t xml:space="preserve">-  </w:t>
      </w:r>
      <w:r w:rsidRPr="00493017">
        <w:rPr>
          <w:i/>
        </w:rPr>
        <w:t>Haggai, Zechariah, Malachi</w:t>
      </w:r>
      <w:r w:rsidRPr="00493017">
        <w:t xml:space="preserve"> (The New Century Bible Commentary; London: Marshall Pickering, 1995), p. 93;</w:t>
      </w:r>
    </w:p>
    <w:p w:rsidR="00975183" w:rsidRPr="00493017" w:rsidRDefault="00975183" w:rsidP="00D90FE2">
      <w:pPr>
        <w:pStyle w:val="EndnoteText"/>
      </w:pPr>
      <w:r w:rsidRPr="00493017">
        <w:t xml:space="preserve">- ‘Israel’s Shepherds: Hope and Pessimism in Zechariah 9-14’, </w:t>
      </w:r>
      <w:r w:rsidRPr="00493017">
        <w:rPr>
          <w:i/>
        </w:rPr>
        <w:t>Catholic Biblical Quarterly</w:t>
      </w:r>
      <w:r w:rsidRPr="00493017">
        <w:t xml:space="preserve"> 51 [1989], p</w:t>
      </w:r>
      <w:r>
        <w:t>.</w:t>
      </w:r>
      <w:r w:rsidRPr="00493017">
        <w:t xml:space="preserve"> 636 &lt;http://content.ebscohost.com/pdf19_22/pdf/ddd/rfh/n0008-7912/atla0000819763.pdf?T=P&amp;P=AN&amp;K=ATLA0000819763&amp;S=R&amp;D=a6h&amp;EbscoContent=dGJyMNHX8kSeprc4yOvsOLCmr0qeprNSsqq4SrSWxWXS&amp;ContentCustomer=dGJyMPGssEyzqrFKubnAac7JuXvg5%2B6L&gt; [accessed 9.6.12], p. 632. </w:t>
      </w:r>
    </w:p>
    <w:p w:rsidR="00975183" w:rsidRPr="00493017" w:rsidRDefault="00975183" w:rsidP="00D90FE2">
      <w:pPr>
        <w:pStyle w:val="EndnoteText"/>
      </w:pPr>
      <w:r w:rsidRPr="00493017">
        <w:t xml:space="preserve">Rex Mason, </w:t>
      </w:r>
      <w:r w:rsidRPr="00493017">
        <w:rPr>
          <w:i/>
        </w:rPr>
        <w:t xml:space="preserve">The Books of Haggai, Zechariah and Malachi: Commentary by Rex Mason, Lecturer in Hebrew and Old Testament Studies, Regent’s Park College, Oxford </w:t>
      </w:r>
      <w:r w:rsidRPr="00493017">
        <w:t xml:space="preserve">(Cambridge: Cambridge University Press, 1977), p. 76; </w:t>
      </w:r>
    </w:p>
    <w:p w:rsidR="00975183" w:rsidRPr="00493017" w:rsidRDefault="00975183" w:rsidP="00D90FE2">
      <w:pPr>
        <w:pStyle w:val="EndnoteText"/>
      </w:pPr>
      <w:r w:rsidRPr="00493017">
        <w:t xml:space="preserve">Petersen, </w:t>
      </w:r>
      <w:r w:rsidRPr="00493017">
        <w:rPr>
          <w:i/>
        </w:rPr>
        <w:t>Zechariah 9-14 and Malachi</w:t>
      </w:r>
      <w:r w:rsidRPr="00493017">
        <w:t xml:space="preserve">, p. 3; </w:t>
      </w:r>
    </w:p>
    <w:p w:rsidR="00975183" w:rsidRPr="00493017" w:rsidRDefault="00975183" w:rsidP="00D90FE2">
      <w:pPr>
        <w:pStyle w:val="EndnoteText"/>
      </w:pPr>
      <w:r w:rsidRPr="00493017">
        <w:t xml:space="preserve">Eibert J. C. Tigchelaar, </w:t>
      </w:r>
      <w:r w:rsidRPr="00493017">
        <w:rPr>
          <w:i/>
        </w:rPr>
        <w:t>Prophets of Old and the Day of the End: Zechariah, the Book of Watchers and Apocalyptic</w:t>
      </w:r>
      <w:r w:rsidRPr="00493017">
        <w:t xml:space="preserve"> (Leiden: E. J. Brill, 1996), p. 89.</w:t>
      </w:r>
    </w:p>
  </w:endnote>
  <w:endnote w:id="3492">
    <w:p w:rsidR="00975183" w:rsidRDefault="00975183" w:rsidP="00D90FE2">
      <w:pPr>
        <w:pStyle w:val="EndnoteText"/>
      </w:pPr>
      <w:r w:rsidRPr="00493017">
        <w:rPr>
          <w:rStyle w:val="EndnoteReference"/>
        </w:rPr>
        <w:endnoteRef/>
      </w:r>
      <w:r w:rsidRPr="00493017">
        <w:t xml:space="preserve"> As will be discussed below, these scholars believe that Zechariah 9 – 14 has different authorship from </w:t>
      </w:r>
    </w:p>
    <w:p w:rsidR="00975183" w:rsidRPr="00493017" w:rsidRDefault="00975183" w:rsidP="00D90FE2">
      <w:pPr>
        <w:pStyle w:val="EndnoteText"/>
      </w:pPr>
      <w:r w:rsidRPr="00493017">
        <w:t xml:space="preserve">Zechariah 1 – 8.  </w:t>
      </w:r>
    </w:p>
  </w:endnote>
  <w:endnote w:id="3493">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p. 89.</w:t>
      </w:r>
    </w:p>
  </w:endnote>
  <w:endnote w:id="3494">
    <w:p w:rsidR="00975183" w:rsidRPr="00493017" w:rsidRDefault="00975183" w:rsidP="00D90FE2">
      <w:pPr>
        <w:pStyle w:val="EndnoteText"/>
      </w:pPr>
      <w:r w:rsidRPr="00493017">
        <w:rPr>
          <w:rStyle w:val="EndnoteReference"/>
        </w:rPr>
        <w:endnoteRef/>
      </w:r>
      <w:r w:rsidRPr="00493017">
        <w:t xml:space="preserve"> </w:t>
      </w:r>
      <w:proofErr w:type="gramStart"/>
      <w:r w:rsidRPr="00493017">
        <w:t>Redditt, ‘Themes in Haggai-Zechariah-Malachi</w:t>
      </w:r>
      <w:r>
        <w:t>’</w:t>
      </w:r>
      <w:r w:rsidRPr="00493017">
        <w:t>, p. 185.</w:t>
      </w:r>
      <w:proofErr w:type="gramEnd"/>
      <w:r w:rsidRPr="00493017">
        <w:t xml:space="preserve">  Zechariah 9 – 14 contains no visions or exhortations, but consists of a brief narrative and ten prophetic messages.  Concern for the Davidide Zerubbabel is replaced by a demand for the cleansing of the royal family (12:10-12).  Also, Footnote 7: Mention of a siege of Jerusalem implies a walled city, which necessitates a date after 445 B.C.E. when the walls were completed.</w:t>
      </w:r>
    </w:p>
    <w:p w:rsidR="00975183" w:rsidRDefault="00975183" w:rsidP="00D90FE2">
      <w:pPr>
        <w:pStyle w:val="EndnoteText"/>
      </w:pPr>
      <w:r w:rsidRPr="00493017">
        <w:t xml:space="preserve">Also, Paul L. Redditt, </w:t>
      </w:r>
      <w:r w:rsidRPr="00493017">
        <w:rPr>
          <w:i/>
        </w:rPr>
        <w:t>Haggai, Zechariah, Malachi</w:t>
      </w:r>
      <w:r w:rsidRPr="00493017">
        <w:t>, (The New Century Bible Commentary; London: Marshall Pickering, 1995),</w:t>
      </w:r>
      <w:r w:rsidRPr="00493017">
        <w:rPr>
          <w:sz w:val="24"/>
          <w:szCs w:val="24"/>
        </w:rPr>
        <w:t xml:space="preserve"> </w:t>
      </w:r>
      <w:r w:rsidRPr="00493017">
        <w:t xml:space="preserve">p. 93.  Zechariah 9 – 14 assumes the existence of the Second Temple (Zech. 9:8; 11:13; </w:t>
      </w:r>
    </w:p>
    <w:p w:rsidR="00975183" w:rsidRPr="00493017" w:rsidRDefault="00975183" w:rsidP="00D90FE2">
      <w:pPr>
        <w:pStyle w:val="EndnoteText"/>
      </w:pPr>
      <w:r w:rsidRPr="00493017">
        <w:t>14:16-21).</w:t>
      </w:r>
    </w:p>
  </w:endnote>
  <w:endnote w:id="3495">
    <w:p w:rsidR="00975183" w:rsidRPr="00493017" w:rsidRDefault="00975183" w:rsidP="00D90FE2">
      <w:pPr>
        <w:pStyle w:val="EndnoteText"/>
      </w:pPr>
      <w:r w:rsidRPr="00493017">
        <w:rPr>
          <w:rStyle w:val="EndnoteReference"/>
        </w:rPr>
        <w:endnoteRef/>
      </w:r>
      <w:r w:rsidRPr="00493017">
        <w:t xml:space="preserve"> Rex Mason, ‘Zechariah 12.1-13.6’ in Mark J. Boda and Michael H. Floyd (</w:t>
      </w:r>
      <w:proofErr w:type="gramStart"/>
      <w:r w:rsidRPr="00493017">
        <w:t>eds</w:t>
      </w:r>
      <w:proofErr w:type="gramEnd"/>
      <w:r w:rsidRPr="00493017">
        <w:t xml:space="preserve">) </w:t>
      </w:r>
      <w:r w:rsidRPr="00493017">
        <w:rPr>
          <w:i/>
        </w:rPr>
        <w:t>Bringing out the Treasure: Inner Biblical Allusion in Zechariah 9-14</w:t>
      </w:r>
      <w:r w:rsidRPr="00493017">
        <w:t xml:space="preserve"> (</w:t>
      </w:r>
      <w:r w:rsidRPr="00493017">
        <w:rPr>
          <w:lang w:val="en-US"/>
        </w:rPr>
        <w:t xml:space="preserve">JSOT supp. series; 370; </w:t>
      </w:r>
      <w:r w:rsidRPr="00493017">
        <w:t>London: Sheffield Academic Press, 2003), p. 143.  Mason uses the term, ‘Proto-Zechariah’.</w:t>
      </w:r>
    </w:p>
  </w:endnote>
  <w:endnote w:id="3496">
    <w:p w:rsidR="00975183" w:rsidRPr="00493017" w:rsidRDefault="00975183" w:rsidP="00D90FE2">
      <w:pPr>
        <w:pStyle w:val="EndnoteText"/>
      </w:pPr>
      <w:r w:rsidRPr="00493017">
        <w:rPr>
          <w:rStyle w:val="EndnoteReference"/>
        </w:rPr>
        <w:endnoteRef/>
      </w:r>
      <w:r w:rsidRPr="00493017">
        <w:t xml:space="preserve"> Rex Mason, </w:t>
      </w:r>
      <w:r w:rsidRPr="00493017">
        <w:rPr>
          <w:i/>
        </w:rPr>
        <w:t>Books of Haggai, Zechariah and Malachi</w:t>
      </w:r>
      <w:r w:rsidRPr="00493017">
        <w:t>, p. 76.</w:t>
      </w:r>
    </w:p>
  </w:endnote>
  <w:endnote w:id="3497">
    <w:p w:rsidR="00975183"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 xml:space="preserve">, p. 145.  Also Rex Mason, ‘Why is Second Zechariah so Full of Quotations?’ in Christopher Tuckett (ed.) </w:t>
      </w:r>
      <w:r w:rsidRPr="00493017">
        <w:rPr>
          <w:i/>
        </w:rPr>
        <w:t>The Book of Zechariah and its Influence</w:t>
      </w:r>
      <w:r>
        <w:t xml:space="preserve"> (Aldershot: Ashgate</w:t>
      </w:r>
      <w:r w:rsidRPr="00493017">
        <w:t xml:space="preserve"> Publishing Limited, 2003), p. 27.</w:t>
      </w:r>
    </w:p>
  </w:endnote>
  <w:endnote w:id="3498">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339.</w:t>
      </w:r>
    </w:p>
  </w:endnote>
  <w:endnote w:id="3499">
    <w:p w:rsidR="00975183" w:rsidRPr="00493017"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 p. 104.</w:t>
      </w:r>
    </w:p>
  </w:endnote>
  <w:endnote w:id="3500">
    <w:p w:rsidR="00975183" w:rsidRPr="00493017" w:rsidRDefault="00975183" w:rsidP="00D90FE2">
      <w:pPr>
        <w:pStyle w:val="EndnoteText"/>
      </w:pPr>
      <w:r w:rsidRPr="00493017">
        <w:rPr>
          <w:rStyle w:val="EndnoteReference"/>
        </w:rPr>
        <w:endnoteRef/>
      </w:r>
      <w:r w:rsidRPr="00493017">
        <w:t xml:space="preserve"> </w:t>
      </w:r>
      <w:proofErr w:type="gramStart"/>
      <w:r w:rsidRPr="00493017">
        <w:t>Redditt, ‘Themes in Haggai-Zechariah-Malachi’, p. 190.</w:t>
      </w:r>
      <w:proofErr w:type="gramEnd"/>
    </w:p>
  </w:endnote>
  <w:endnote w:id="3501">
    <w:p w:rsidR="00975183" w:rsidRPr="00493017"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w:t>
      </w:r>
      <w:r w:rsidRPr="00493017">
        <w:rPr>
          <w:i/>
        </w:rPr>
        <w:t xml:space="preserve"> </w:t>
      </w:r>
      <w:r w:rsidRPr="00493017">
        <w:t xml:space="preserve">p. 103. </w:t>
      </w:r>
    </w:p>
  </w:endnote>
  <w:endnote w:id="3502">
    <w:p w:rsidR="00975183" w:rsidRPr="00493017" w:rsidRDefault="00975183" w:rsidP="00D90FE2">
      <w:pPr>
        <w:pStyle w:val="EndnoteText"/>
      </w:pPr>
      <w:r w:rsidRPr="00493017">
        <w:rPr>
          <w:rStyle w:val="EndnoteReference"/>
        </w:rPr>
        <w:endnoteRef/>
      </w:r>
      <w:r w:rsidRPr="00493017">
        <w:t xml:space="preserve"> Mason, ‘Why is Second Zechariah so Full of Quotations?’ pp. 25, 27.</w:t>
      </w:r>
      <w:r>
        <w:t xml:space="preserve">  </w:t>
      </w:r>
    </w:p>
  </w:endnote>
  <w:endnote w:id="3503">
    <w:p w:rsidR="00975183" w:rsidRPr="00493017"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 p. 104.</w:t>
      </w:r>
    </w:p>
  </w:endnote>
  <w:endnote w:id="3504">
    <w:p w:rsidR="00975183" w:rsidRPr="00493017"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 p. 145.</w:t>
      </w:r>
    </w:p>
  </w:endnote>
  <w:endnote w:id="3505">
    <w:p w:rsidR="00975183" w:rsidRPr="00493017" w:rsidRDefault="00975183" w:rsidP="00D90FE2">
      <w:pPr>
        <w:pStyle w:val="EndnoteText"/>
      </w:pPr>
      <w:r w:rsidRPr="00493017">
        <w:rPr>
          <w:rStyle w:val="EndnoteReference"/>
        </w:rPr>
        <w:endnoteRef/>
      </w:r>
      <w:r w:rsidRPr="00493017">
        <w:t xml:space="preserve"> </w:t>
      </w:r>
      <w:proofErr w:type="gramStart"/>
      <w:r w:rsidRPr="00493017">
        <w:t>Redditt, ‘Themes in Haggai-Zechariah-Malachi’, p. 190.</w:t>
      </w:r>
      <w:proofErr w:type="gramEnd"/>
    </w:p>
  </w:endnote>
  <w:endnote w:id="3506">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pp. 90-91.</w:t>
      </w:r>
    </w:p>
  </w:endnote>
  <w:endnote w:id="3507">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p. 116.</w:t>
      </w:r>
    </w:p>
  </w:endnote>
  <w:endnote w:id="3508">
    <w:p w:rsidR="00975183" w:rsidRDefault="00975183" w:rsidP="00D90FE2">
      <w:pPr>
        <w:pStyle w:val="EndnoteText"/>
      </w:pPr>
      <w:r w:rsidRPr="00493017">
        <w:rPr>
          <w:rStyle w:val="EndnoteReference"/>
        </w:rPr>
        <w:endnoteRef/>
      </w:r>
      <w:r w:rsidRPr="00493017">
        <w:t xml:space="preserve"> </w:t>
      </w:r>
      <w:proofErr w:type="gramStart"/>
      <w:r w:rsidRPr="00493017">
        <w:t>Redditt, ‘Israel’s Shepherds’, p. 632.</w:t>
      </w:r>
      <w:proofErr w:type="gramEnd"/>
      <w:r w:rsidRPr="00493017">
        <w:t xml:space="preserve">  The sections are: 1)  Zech. 9:1-10; 2) Zech. 9:11-10:1 and 10:3b-12; 3) Zech. 10:2-3a; 11:1-17; 13:7-9; 4) Zech. 12:1-4a, 5, 8</w:t>
      </w:r>
      <w:r>
        <w:t>-</w:t>
      </w:r>
      <w:r w:rsidRPr="00493017">
        <w:t xml:space="preserve">9; 5) Zech. 12:6-7; 12:10-12 and 13:1-6; </w:t>
      </w:r>
    </w:p>
    <w:p w:rsidR="00975183" w:rsidRPr="00493017" w:rsidRDefault="00975183" w:rsidP="00D90FE2">
      <w:pPr>
        <w:pStyle w:val="EndnoteText"/>
      </w:pPr>
      <w:r w:rsidRPr="00493017">
        <w:t>6) Zech. 14:1-13, 14b-21.</w:t>
      </w:r>
    </w:p>
  </w:endnote>
  <w:endnote w:id="3509">
    <w:p w:rsidR="00975183" w:rsidRPr="00493017" w:rsidRDefault="00975183" w:rsidP="00D90FE2">
      <w:pPr>
        <w:pStyle w:val="EndnoteText"/>
      </w:pPr>
      <w:r w:rsidRPr="00493017">
        <w:rPr>
          <w:rStyle w:val="EndnoteReference"/>
        </w:rPr>
        <w:endnoteRef/>
      </w:r>
      <w:r w:rsidRPr="00493017">
        <w:t xml:space="preserve"> Ref. Zech. 1:1.</w:t>
      </w:r>
    </w:p>
  </w:endnote>
  <w:endnote w:id="3510">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9-14</w:t>
      </w:r>
      <w:r w:rsidRPr="00493017">
        <w:t>, pp. 27-8.</w:t>
      </w:r>
    </w:p>
  </w:endnote>
  <w:endnote w:id="3511">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xml:space="preserve">, p. 89.  </w:t>
      </w:r>
    </w:p>
  </w:endnote>
  <w:endnote w:id="3512">
    <w:p w:rsidR="00975183" w:rsidRPr="00493017" w:rsidRDefault="00975183" w:rsidP="00D90FE2">
      <w:pPr>
        <w:pStyle w:val="EndnoteText"/>
      </w:pPr>
      <w:r w:rsidRPr="00493017">
        <w:rPr>
          <w:rStyle w:val="EndnoteReference"/>
        </w:rPr>
        <w:endnoteRef/>
      </w:r>
      <w:r w:rsidRPr="00493017">
        <w:t xml:space="preserve"> Mason, ‘Why is Second Zechariah so Full of Quotations?</w:t>
      </w:r>
      <w:proofErr w:type="gramStart"/>
      <w:r w:rsidRPr="00493017">
        <w:t>’,</w:t>
      </w:r>
      <w:proofErr w:type="gramEnd"/>
      <w:r w:rsidRPr="00493017">
        <w:t xml:space="preserve"> p. 26.</w:t>
      </w:r>
    </w:p>
  </w:endnote>
  <w:endnote w:id="3513">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pp. 89, 133.</w:t>
      </w:r>
    </w:p>
  </w:endnote>
  <w:endnote w:id="3514">
    <w:p w:rsidR="00975183" w:rsidRDefault="00975183" w:rsidP="00D90FE2">
      <w:pPr>
        <w:pStyle w:val="EndnoteText"/>
      </w:pPr>
      <w:r w:rsidRPr="00493017">
        <w:rPr>
          <w:rStyle w:val="EndnoteReference"/>
        </w:rPr>
        <w:endnoteRef/>
      </w:r>
      <w:r w:rsidRPr="00493017">
        <w:t xml:space="preserve"> </w:t>
      </w:r>
      <w:proofErr w:type="gramStart"/>
      <w:r w:rsidRPr="00493017">
        <w:t>332 BCE.</w:t>
      </w:r>
      <w:proofErr w:type="gramEnd"/>
    </w:p>
  </w:endnote>
  <w:endnote w:id="3515">
    <w:p w:rsidR="00975183" w:rsidRPr="00493017" w:rsidRDefault="00975183" w:rsidP="00D90FE2">
      <w:pPr>
        <w:pStyle w:val="EndnoteText"/>
      </w:pPr>
      <w:r w:rsidRPr="00493017">
        <w:rPr>
          <w:rStyle w:val="EndnoteReference"/>
        </w:rPr>
        <w:endnoteRef/>
      </w:r>
      <w:r w:rsidRPr="00493017">
        <w:t xml:space="preserve"> Redditt, </w:t>
      </w:r>
      <w:r w:rsidRPr="00493017">
        <w:rPr>
          <w:i/>
        </w:rPr>
        <w:t>Haggai, Malachi, Zechariah</w:t>
      </w:r>
      <w:r>
        <w:t>, pp. 97, 99-100.</w:t>
      </w:r>
    </w:p>
  </w:endnote>
  <w:endnote w:id="3516">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xml:space="preserve">, p. 26.  Refs Hag. 1:1 and Zech. 7:1.  Proto-Zechariah can be dated to 518-520 B.C.E.  </w:t>
      </w:r>
      <w:r w:rsidRPr="00CB79A9">
        <w:rPr>
          <w:szCs w:val="22"/>
        </w:rPr>
        <w:t>Meyers and Meyers</w:t>
      </w:r>
      <w:r w:rsidRPr="00CB79A9">
        <w:rPr>
          <w:sz w:val="18"/>
        </w:rPr>
        <w:t xml:space="preserve"> </w:t>
      </w:r>
      <w:r w:rsidRPr="00493017">
        <w:t>hold that ‘the composite work’ was ready in time for the dedication of the Second Temple in 515 B.C.E.</w:t>
      </w:r>
    </w:p>
  </w:endnote>
  <w:endnote w:id="3517">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27.</w:t>
      </w:r>
    </w:p>
  </w:endnote>
  <w:endnote w:id="3518">
    <w:p w:rsidR="00975183" w:rsidRPr="00493017" w:rsidRDefault="00975183" w:rsidP="00D90FE2">
      <w:pPr>
        <w:pStyle w:val="EndnoteText"/>
      </w:pPr>
      <w:r w:rsidRPr="00493017">
        <w:rPr>
          <w:rStyle w:val="EndnoteReference"/>
        </w:rPr>
        <w:endnoteRef/>
      </w:r>
      <w:r w:rsidRPr="00493017">
        <w:t xml:space="preserve"> Petersen, </w:t>
      </w:r>
      <w:r w:rsidRPr="00493017">
        <w:rPr>
          <w:i/>
        </w:rPr>
        <w:t>Zechariah 9</w:t>
      </w:r>
      <w:r>
        <w:rPr>
          <w:i/>
        </w:rPr>
        <w:t xml:space="preserve"> </w:t>
      </w:r>
      <w:r w:rsidRPr="00493017">
        <w:rPr>
          <w:i/>
        </w:rPr>
        <w:t>–</w:t>
      </w:r>
      <w:r>
        <w:rPr>
          <w:i/>
        </w:rPr>
        <w:t xml:space="preserve"> </w:t>
      </w:r>
      <w:r w:rsidRPr="00493017">
        <w:rPr>
          <w:i/>
        </w:rPr>
        <w:t>14 and Malachi</w:t>
      </w:r>
      <w:r w:rsidRPr="00493017">
        <w:t>, p. 22.</w:t>
      </w:r>
    </w:p>
  </w:endnote>
  <w:endnote w:id="3519">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16.</w:t>
      </w:r>
    </w:p>
  </w:endnote>
  <w:endnote w:id="3520">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18.</w:t>
      </w:r>
    </w:p>
  </w:endnote>
  <w:endnote w:id="3521">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24.</w:t>
      </w:r>
    </w:p>
  </w:endnote>
  <w:endnote w:id="3522">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25.</w:t>
      </w:r>
    </w:p>
  </w:endnote>
  <w:endnote w:id="3523">
    <w:p w:rsidR="00975183" w:rsidRPr="00493017" w:rsidRDefault="00975183" w:rsidP="00D90FE2">
      <w:pPr>
        <w:pStyle w:val="EndnoteText"/>
      </w:pPr>
      <w:r w:rsidRPr="00493017">
        <w:rPr>
          <w:rStyle w:val="EndnoteReference"/>
        </w:rPr>
        <w:endnoteRef/>
      </w:r>
      <w:r w:rsidRPr="00493017">
        <w:t xml:space="preserve"> </w:t>
      </w:r>
      <w:proofErr w:type="gramStart"/>
      <w:r w:rsidRPr="00493017">
        <w:t>Ezra 7, 8 and 11; Nehemiah 1 – 7 and 11.</w:t>
      </w:r>
      <w:proofErr w:type="gramEnd"/>
    </w:p>
  </w:endnote>
  <w:endnote w:id="3524">
    <w:p w:rsidR="00975183" w:rsidRPr="00493017"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w:t>
      </w:r>
      <w:r w:rsidRPr="00493017">
        <w:rPr>
          <w:i/>
        </w:rPr>
        <w:t xml:space="preserve"> </w:t>
      </w:r>
      <w:r w:rsidRPr="00493017">
        <w:t>p. 100.</w:t>
      </w:r>
    </w:p>
  </w:endnote>
  <w:endnote w:id="3525">
    <w:p w:rsidR="00975183" w:rsidRPr="00493017" w:rsidRDefault="00975183" w:rsidP="00D90FE2">
      <w:pPr>
        <w:pStyle w:val="EndnoteText"/>
      </w:pPr>
      <w:r w:rsidRPr="00493017">
        <w:rPr>
          <w:rStyle w:val="EndnoteReference"/>
        </w:rPr>
        <w:endnoteRef/>
      </w:r>
      <w:r w:rsidRPr="00493017">
        <w:t xml:space="preserve"> Ref. Neh. 5:12.</w:t>
      </w:r>
    </w:p>
  </w:endnote>
  <w:endnote w:id="3526">
    <w:p w:rsidR="00975183" w:rsidRPr="00493017" w:rsidRDefault="00975183" w:rsidP="00D90FE2">
      <w:pPr>
        <w:pStyle w:val="EndnoteText"/>
      </w:pPr>
      <w:r w:rsidRPr="00493017">
        <w:rPr>
          <w:rStyle w:val="EndnoteReference"/>
        </w:rPr>
        <w:endnoteRef/>
      </w:r>
      <w:r w:rsidRPr="00493017">
        <w:t xml:space="preserve"> Redditt, </w:t>
      </w:r>
      <w:r w:rsidRPr="008C4E86">
        <w:rPr>
          <w:i/>
        </w:rPr>
        <w:t>Haggai, Zechariah, Malachi</w:t>
      </w:r>
      <w:r w:rsidRPr="00493017">
        <w:t>, p. 101.  Redditt notes divisions between those who had experienced exile and those who had not, especially over land ownership and public office; between Jerusalemites and Judahites and between North and South.</w:t>
      </w:r>
    </w:p>
  </w:endnote>
  <w:endnote w:id="3527">
    <w:p w:rsidR="00975183" w:rsidRDefault="00975183" w:rsidP="00D90FE2">
      <w:pPr>
        <w:pStyle w:val="EndnoteText"/>
      </w:pPr>
      <w:r w:rsidRPr="00493017">
        <w:rPr>
          <w:rStyle w:val="EndnoteReference"/>
        </w:rPr>
        <w:endnoteRef/>
      </w:r>
      <w:r w:rsidRPr="00493017">
        <w:t xml:space="preserve"> Redditt, </w:t>
      </w:r>
      <w:r w:rsidRPr="00493017">
        <w:rPr>
          <w:i/>
        </w:rPr>
        <w:t>Haggai, Zechariah, Malachi</w:t>
      </w:r>
      <w:r w:rsidRPr="00493017">
        <w:t>,</w:t>
      </w:r>
      <w:r w:rsidRPr="00493017">
        <w:rPr>
          <w:i/>
        </w:rPr>
        <w:t xml:space="preserve"> </w:t>
      </w:r>
      <w:r w:rsidRPr="00493017">
        <w:t>p. 101.</w:t>
      </w:r>
    </w:p>
  </w:endnote>
  <w:endnote w:id="3528">
    <w:p w:rsidR="00975183" w:rsidRPr="00493017" w:rsidRDefault="00975183" w:rsidP="00D90FE2">
      <w:pPr>
        <w:pStyle w:val="EndnoteText"/>
      </w:pPr>
      <w:r w:rsidRPr="00493017">
        <w:rPr>
          <w:rStyle w:val="EndnoteReference"/>
        </w:rPr>
        <w:endnoteRef/>
      </w:r>
      <w:r w:rsidRPr="00493017">
        <w:t xml:space="preserve"> Petersen, </w:t>
      </w:r>
      <w:r w:rsidRPr="00493017">
        <w:rPr>
          <w:i/>
        </w:rPr>
        <w:t>Zechariah 9-14 and Malachi</w:t>
      </w:r>
      <w:r w:rsidRPr="00493017">
        <w:t>, p. 20.</w:t>
      </w:r>
    </w:p>
  </w:endnote>
  <w:endnote w:id="3529">
    <w:p w:rsidR="00975183" w:rsidRPr="00493017" w:rsidRDefault="00975183" w:rsidP="00D90FE2">
      <w:pPr>
        <w:pStyle w:val="EndnoteText"/>
      </w:pPr>
      <w:r w:rsidRPr="00493017">
        <w:rPr>
          <w:rStyle w:val="EndnoteReference"/>
        </w:rPr>
        <w:endnoteRef/>
      </w:r>
      <w:r w:rsidRPr="00493017">
        <w:t xml:space="preserve"> </w:t>
      </w:r>
      <w:proofErr w:type="gramStart"/>
      <w:r w:rsidRPr="00493017">
        <w:t>Battle of Marathon, 490 BCE; Battle of Salamis, 480 BCE.</w:t>
      </w:r>
      <w:proofErr w:type="gramEnd"/>
    </w:p>
  </w:endnote>
  <w:endnote w:id="3530">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xml:space="preserve">, pp. 18-21. </w:t>
      </w:r>
    </w:p>
  </w:endnote>
  <w:endnote w:id="3531">
    <w:p w:rsidR="00975183" w:rsidRPr="00493017" w:rsidRDefault="00975183" w:rsidP="00D90FE2">
      <w:pPr>
        <w:pStyle w:val="EndnoteText"/>
      </w:pPr>
      <w:r w:rsidRPr="00493017">
        <w:rPr>
          <w:rStyle w:val="EndnoteReference"/>
        </w:rPr>
        <w:endnoteRef/>
      </w:r>
      <w:r w:rsidRPr="00493017">
        <w:t xml:space="preserve"> Petersen, </w:t>
      </w:r>
      <w:r w:rsidRPr="00493017">
        <w:rPr>
          <w:i/>
        </w:rPr>
        <w:t>Zechariah 9-14 and Malachi</w:t>
      </w:r>
      <w:r w:rsidRPr="00493017">
        <w:t>, p. 19.</w:t>
      </w:r>
    </w:p>
  </w:endnote>
  <w:endnote w:id="3532">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23.</w:t>
      </w:r>
    </w:p>
  </w:endnote>
  <w:endnote w:id="3533">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27.</w:t>
      </w:r>
    </w:p>
  </w:endnote>
  <w:endnote w:id="3534">
    <w:p w:rsidR="00975183" w:rsidRPr="00493017" w:rsidRDefault="00975183" w:rsidP="00D90FE2">
      <w:pPr>
        <w:pStyle w:val="EndnoteText"/>
      </w:pPr>
      <w:r w:rsidRPr="00493017">
        <w:rPr>
          <w:rStyle w:val="EndnoteReference"/>
        </w:rPr>
        <w:endnoteRef/>
      </w:r>
      <w:r w:rsidRPr="00493017">
        <w:t xml:space="preserve"> Meyers and Meyers, </w:t>
      </w:r>
      <w:r w:rsidRPr="00493017">
        <w:rPr>
          <w:i/>
        </w:rPr>
        <w:t>Zechariah 9 – 14</w:t>
      </w:r>
      <w:r w:rsidRPr="00493017">
        <w:t>, p. 349.</w:t>
      </w:r>
    </w:p>
  </w:endnote>
  <w:endnote w:id="3535">
    <w:p w:rsidR="00975183" w:rsidRPr="00493017" w:rsidRDefault="00975183" w:rsidP="00D90FE2">
      <w:pPr>
        <w:pStyle w:val="EndnoteText"/>
      </w:pPr>
      <w:r w:rsidRPr="00493017">
        <w:rPr>
          <w:rStyle w:val="EndnoteReference"/>
        </w:rPr>
        <w:endnoteRef/>
      </w:r>
      <w:r w:rsidRPr="00493017">
        <w:t xml:space="preserve"> Mason, ‘Zechariah 12:1 – 13:6’, p. 135.</w:t>
      </w:r>
    </w:p>
  </w:endnote>
  <w:endnote w:id="3536">
    <w:p w:rsidR="00975183" w:rsidRPr="00493017" w:rsidRDefault="00975183" w:rsidP="00D90FE2">
      <w:pPr>
        <w:pStyle w:val="EndnoteText"/>
      </w:pPr>
      <w:r w:rsidRPr="00493017">
        <w:rPr>
          <w:rStyle w:val="EndnoteReference"/>
        </w:rPr>
        <w:endnoteRef/>
      </w:r>
      <w:r w:rsidRPr="00493017">
        <w:t xml:space="preserve"> </w:t>
      </w:r>
      <w:r w:rsidRPr="00493017">
        <w:rPr>
          <w:i/>
        </w:rPr>
        <w:t>SRB</w:t>
      </w:r>
      <w:r w:rsidRPr="00493017">
        <w:t xml:space="preserve"> Introduction to Zechariah, p. 965.</w:t>
      </w:r>
    </w:p>
  </w:endnote>
  <w:endnote w:id="3537">
    <w:p w:rsidR="00975183" w:rsidRPr="00493017" w:rsidRDefault="00975183" w:rsidP="00D90FE2">
      <w:pPr>
        <w:pStyle w:val="EndnoteText"/>
      </w:pPr>
      <w:r w:rsidRPr="00493017">
        <w:rPr>
          <w:rStyle w:val="EndnoteReference"/>
        </w:rPr>
        <w:endnoteRef/>
      </w:r>
      <w:r w:rsidRPr="00493017">
        <w:t xml:space="preserve"> Mason, ‘Why is Second Zechariah so Full of Quotations?</w:t>
      </w:r>
      <w:proofErr w:type="gramStart"/>
      <w:r w:rsidRPr="00493017">
        <w:t>’,</w:t>
      </w:r>
      <w:proofErr w:type="gramEnd"/>
      <w:r w:rsidRPr="00493017">
        <w:t xml:space="preserve"> pp. 26-7.</w:t>
      </w:r>
    </w:p>
  </w:endnote>
  <w:endnote w:id="3538">
    <w:p w:rsidR="00975183" w:rsidRPr="00493017" w:rsidRDefault="00975183" w:rsidP="00D90FE2">
      <w:pPr>
        <w:pStyle w:val="EndnoteText"/>
      </w:pPr>
      <w:r w:rsidRPr="00493017">
        <w:rPr>
          <w:rStyle w:val="EndnoteReference"/>
        </w:rPr>
        <w:endnoteRef/>
      </w:r>
      <w:r w:rsidRPr="00493017">
        <w:t xml:space="preserve"> Mason, ‘Zechariah 12.1-13.6’, pp. 131, 135.</w:t>
      </w:r>
    </w:p>
  </w:endnote>
  <w:endnote w:id="3539">
    <w:p w:rsidR="00975183" w:rsidRPr="00493017" w:rsidRDefault="00975183" w:rsidP="00D90FE2">
      <w:pPr>
        <w:pStyle w:val="EndnoteText"/>
      </w:pPr>
      <w:r w:rsidRPr="00493017">
        <w:rPr>
          <w:rStyle w:val="EndnoteReference"/>
        </w:rPr>
        <w:endnoteRef/>
      </w:r>
      <w:r w:rsidRPr="00493017">
        <w:t xml:space="preserve"> Mason, ‘Zechariah 12.1-13.6’, p. 153.</w:t>
      </w:r>
    </w:p>
  </w:endnote>
  <w:endnote w:id="3540">
    <w:p w:rsidR="00975183" w:rsidRPr="00493017" w:rsidRDefault="00975183" w:rsidP="00D90FE2">
      <w:pPr>
        <w:pStyle w:val="EndnoteText"/>
      </w:pPr>
      <w:r w:rsidRPr="00493017">
        <w:rPr>
          <w:rStyle w:val="EndnoteReference"/>
        </w:rPr>
        <w:endnoteRef/>
      </w:r>
      <w:r w:rsidRPr="00493017">
        <w:t xml:space="preserve"> </w:t>
      </w:r>
      <w:proofErr w:type="gramStart"/>
      <w:r w:rsidRPr="00493017">
        <w:t xml:space="preserve">Petersen, </w:t>
      </w:r>
      <w:r w:rsidRPr="00493017">
        <w:rPr>
          <w:i/>
        </w:rPr>
        <w:t>Zechariah 9-14 and Malachi</w:t>
      </w:r>
      <w:r w:rsidRPr="00493017">
        <w:t>, p. 24, 25.</w:t>
      </w:r>
      <w:proofErr w:type="gramEnd"/>
      <w:r w:rsidRPr="00493017">
        <w:t xml:space="preserve">  Similarities listed are in form, rhetoric, terminology and intermediation.</w:t>
      </w:r>
    </w:p>
  </w:endnote>
  <w:endnote w:id="3541">
    <w:p w:rsidR="00975183" w:rsidRPr="00493017" w:rsidRDefault="00975183" w:rsidP="00D90FE2">
      <w:pPr>
        <w:pStyle w:val="EndnoteText"/>
      </w:pPr>
      <w:r w:rsidRPr="00493017">
        <w:rPr>
          <w:rStyle w:val="EndnoteReference"/>
        </w:rPr>
        <w:endnoteRef/>
      </w:r>
      <w:r w:rsidRPr="00493017">
        <w:t xml:space="preserve"> Mason, </w:t>
      </w:r>
      <w:r w:rsidRPr="00493017">
        <w:rPr>
          <w:i/>
        </w:rPr>
        <w:t>Books of Haggai, Zechariah and Malachi</w:t>
      </w:r>
      <w:r w:rsidRPr="00493017">
        <w:t xml:space="preserve">, pp. 76-77.  ‘In apocalyptic </w:t>
      </w:r>
      <w:r w:rsidRPr="00493017">
        <w:rPr>
          <w:szCs w:val="24"/>
        </w:rPr>
        <w:t>God’s future action is seen as intervention from outside this world’s history, renewing it completely in one decisive final catastrophe, since history is seen in more and more pessimistic terms.’</w:t>
      </w:r>
    </w:p>
  </w:endnote>
  <w:endnote w:id="3542">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p. 248.</w:t>
      </w:r>
    </w:p>
  </w:endnote>
  <w:endnote w:id="3543">
    <w:p w:rsidR="00975183" w:rsidRPr="00493017" w:rsidRDefault="00975183" w:rsidP="00D90FE2">
      <w:pPr>
        <w:pStyle w:val="EndnoteText"/>
      </w:pPr>
      <w:r w:rsidRPr="00493017">
        <w:rPr>
          <w:rStyle w:val="EndnoteReference"/>
        </w:rPr>
        <w:endnoteRef/>
      </w:r>
      <w:r w:rsidRPr="00493017">
        <w:t xml:space="preserve"> Leon Morris, </w:t>
      </w:r>
      <w:r w:rsidRPr="00493017">
        <w:rPr>
          <w:i/>
        </w:rPr>
        <w:t>Apocalyptic</w:t>
      </w:r>
      <w:r w:rsidRPr="00493017">
        <w:t xml:space="preserve"> (2</w:t>
      </w:r>
      <w:r w:rsidRPr="00493017">
        <w:rPr>
          <w:vertAlign w:val="superscript"/>
        </w:rPr>
        <w:t>nd</w:t>
      </w:r>
      <w:r w:rsidRPr="00493017">
        <w:t xml:space="preserve"> edition, 1973; London: Inter-Varsity Press, 1973), p. 18 &lt;http://www.biblicalstudies.org.uk/pdf/apocalyptic_morris.pdf&gt; [accessed 16.12.10].</w:t>
      </w:r>
    </w:p>
  </w:endnote>
  <w:endnote w:id="3544">
    <w:p w:rsidR="00975183"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xml:space="preserve">, p. 13.  Tigchelaar references Isaiah 24 – 27, Deutero-Isaiah, Trito-Isaiah, </w:t>
      </w:r>
    </w:p>
    <w:p w:rsidR="00975183" w:rsidRPr="00493017" w:rsidRDefault="00975183" w:rsidP="00D90FE2">
      <w:pPr>
        <w:pStyle w:val="EndnoteText"/>
      </w:pPr>
      <w:proofErr w:type="gramStart"/>
      <w:r w:rsidRPr="00493017">
        <w:t>Ezekiel 38 – 39 and Joel as also protoapocalyptic.</w:t>
      </w:r>
      <w:proofErr w:type="gramEnd"/>
    </w:p>
  </w:endnote>
  <w:endnote w:id="3545">
    <w:p w:rsidR="00975183" w:rsidRPr="00493017" w:rsidRDefault="00975183" w:rsidP="00D90FE2">
      <w:pPr>
        <w:pStyle w:val="EndnoteText"/>
      </w:pPr>
      <w:r w:rsidRPr="00493017">
        <w:rPr>
          <w:rStyle w:val="EndnoteReference"/>
        </w:rPr>
        <w:endnoteRef/>
      </w:r>
      <w:r w:rsidRPr="00493017">
        <w:t xml:space="preserve"> Mason, ‘Zechariah 12.1-13.6’, p. 160.  Meyers and Meyers concur, </w:t>
      </w:r>
      <w:r>
        <w:t>identifying</w:t>
      </w:r>
      <w:r w:rsidRPr="00493017">
        <w:t xml:space="preserve"> this</w:t>
      </w:r>
      <w:r>
        <w:t xml:space="preserve"> as</w:t>
      </w:r>
      <w:r w:rsidRPr="00493017">
        <w:t xml:space="preserve"> ‘surely on</w:t>
      </w:r>
      <w:r>
        <w:t>e</w:t>
      </w:r>
      <w:r w:rsidRPr="00493017">
        <w:t xml:space="preserve"> of the major interpretative cruxes in Second Zechariah, if not in all of prophecy’.  Meyers and Meyers, </w:t>
      </w:r>
      <w:r w:rsidRPr="00493017">
        <w:rPr>
          <w:i/>
        </w:rPr>
        <w:t>Zechariah 9 – 14</w:t>
      </w:r>
      <w:r w:rsidRPr="00493017">
        <w:t>, p. 337.</w:t>
      </w:r>
    </w:p>
  </w:endnote>
  <w:endnote w:id="3546">
    <w:p w:rsidR="00975183" w:rsidRPr="00493017" w:rsidRDefault="00975183" w:rsidP="00D90FE2">
      <w:pPr>
        <w:pStyle w:val="EndnoteText"/>
      </w:pPr>
      <w:r w:rsidRPr="00493017">
        <w:rPr>
          <w:rStyle w:val="EndnoteReference"/>
        </w:rPr>
        <w:endnoteRef/>
      </w:r>
      <w:r w:rsidRPr="00493017">
        <w:t xml:space="preserve"> </w:t>
      </w:r>
      <w:proofErr w:type="gramStart"/>
      <w:r w:rsidRPr="00493017">
        <w:rPr>
          <w:i/>
        </w:rPr>
        <w:t>SRB</w:t>
      </w:r>
      <w:r w:rsidRPr="00493017">
        <w:t xml:space="preserve"> pp. iii-iv.</w:t>
      </w:r>
      <w:proofErr w:type="gramEnd"/>
      <w:r w:rsidRPr="00493017">
        <w:t xml:space="preserve">  Scofield fails to comment on Zech. 12:5 or 12:10.</w:t>
      </w:r>
    </w:p>
  </w:endnote>
  <w:endnote w:id="3547">
    <w:p w:rsidR="00975183" w:rsidRDefault="00975183" w:rsidP="00126BAD">
      <w:pPr>
        <w:autoSpaceDE w:val="0"/>
        <w:autoSpaceDN w:val="0"/>
        <w:adjustRightInd w:val="0"/>
        <w:spacing w:after="0" w:line="240" w:lineRule="auto"/>
        <w:rPr>
          <w:rFonts w:cs="Arial"/>
          <w:sz w:val="20"/>
          <w:lang w:val="en-US" w:bidi="he-IL"/>
        </w:rPr>
      </w:pPr>
      <w:r w:rsidRPr="00493017">
        <w:rPr>
          <w:rStyle w:val="EndnoteReference"/>
          <w:sz w:val="20"/>
        </w:rPr>
        <w:endnoteRef/>
      </w:r>
      <w:r w:rsidRPr="00493017">
        <w:rPr>
          <w:sz w:val="20"/>
        </w:rPr>
        <w:t xml:space="preserve"> ‘</w:t>
      </w:r>
      <w:r w:rsidRPr="00493017">
        <w:rPr>
          <w:rFonts w:cs="Arial"/>
          <w:sz w:val="20"/>
          <w:lang w:val="en-US" w:bidi="he-IL"/>
        </w:rPr>
        <w:t xml:space="preserve">See, I am about to make Jerusalem a cup of reeling for all the surrounding peoples; it will be against Judah also in the siege against Jerusalem.’ Zech. 2:2, </w:t>
      </w:r>
      <w:r w:rsidRPr="00493017">
        <w:rPr>
          <w:rFonts w:cs="Arial"/>
          <w:i/>
          <w:sz w:val="20"/>
          <w:lang w:val="en-US" w:bidi="he-IL"/>
        </w:rPr>
        <w:t>NRSV</w:t>
      </w:r>
      <w:r w:rsidRPr="00493017">
        <w:rPr>
          <w:rFonts w:cs="Arial"/>
          <w:sz w:val="20"/>
          <w:lang w:val="en-US" w:bidi="he-IL"/>
        </w:rPr>
        <w:t xml:space="preserve">; </w:t>
      </w:r>
    </w:p>
    <w:p w:rsidR="00975183" w:rsidRPr="00493017" w:rsidRDefault="00975183" w:rsidP="00126BAD">
      <w:pPr>
        <w:autoSpaceDE w:val="0"/>
        <w:autoSpaceDN w:val="0"/>
        <w:adjustRightInd w:val="0"/>
        <w:spacing w:after="0" w:line="240" w:lineRule="auto"/>
        <w:rPr>
          <w:sz w:val="20"/>
        </w:rPr>
      </w:pPr>
      <w:r w:rsidRPr="00493017">
        <w:rPr>
          <w:rFonts w:cs="Arial"/>
          <w:sz w:val="20"/>
          <w:lang w:val="en-US" w:bidi="he-IL"/>
        </w:rPr>
        <w:t>‘</w:t>
      </w:r>
      <w:r w:rsidRPr="00493017">
        <w:rPr>
          <w:sz w:val="20"/>
          <w:lang w:val="en-US"/>
        </w:rPr>
        <w:t xml:space="preserve">Behold, I will make Jerusalem a cup of trembling unto all the people round about, when they shall be in the siege both against Judah </w:t>
      </w:r>
      <w:r w:rsidRPr="00493017">
        <w:rPr>
          <w:i/>
          <w:iCs/>
          <w:sz w:val="20"/>
          <w:lang w:val="en-US"/>
        </w:rPr>
        <w:t>and</w:t>
      </w:r>
      <w:r w:rsidRPr="00493017">
        <w:rPr>
          <w:sz w:val="20"/>
          <w:lang w:val="en-US"/>
        </w:rPr>
        <w:t xml:space="preserve"> against Jerusalem.’</w:t>
      </w:r>
      <w:r>
        <w:rPr>
          <w:sz w:val="20"/>
          <w:lang w:val="en-US"/>
        </w:rPr>
        <w:t xml:space="preserve"> </w:t>
      </w:r>
      <w:r w:rsidRPr="00493017">
        <w:rPr>
          <w:rFonts w:cs="Arial"/>
          <w:sz w:val="20"/>
          <w:lang w:val="en-US" w:bidi="he-IL"/>
        </w:rPr>
        <w:t xml:space="preserve"> Zech. 2:2, </w:t>
      </w:r>
      <w:r w:rsidRPr="00493017">
        <w:rPr>
          <w:rFonts w:cs="Arial"/>
          <w:i/>
          <w:sz w:val="20"/>
          <w:lang w:val="en-US" w:bidi="he-IL"/>
        </w:rPr>
        <w:t>KJV.</w:t>
      </w:r>
    </w:p>
  </w:endnote>
  <w:endnote w:id="3548">
    <w:p w:rsidR="00975183" w:rsidRPr="00493017" w:rsidRDefault="00975183" w:rsidP="00D90FE2">
      <w:pPr>
        <w:pStyle w:val="EndnoteText"/>
      </w:pPr>
      <w:r w:rsidRPr="00493017">
        <w:rPr>
          <w:rStyle w:val="EndnoteReference"/>
        </w:rPr>
        <w:endnoteRef/>
      </w:r>
      <w:r w:rsidRPr="00493017">
        <w:t xml:space="preserve"> Petersen, </w:t>
      </w:r>
      <w:r w:rsidRPr="00493017">
        <w:rPr>
          <w:i/>
        </w:rPr>
        <w:t>Zechariah 9-14 and Malachi</w:t>
      </w:r>
      <w:r w:rsidRPr="00493017">
        <w:t>, p. 113.</w:t>
      </w:r>
    </w:p>
  </w:endnote>
  <w:endnote w:id="3549">
    <w:p w:rsidR="00975183" w:rsidRPr="00493017" w:rsidRDefault="00975183" w:rsidP="00D90FE2">
      <w:pPr>
        <w:pStyle w:val="EndnoteText"/>
      </w:pPr>
      <w:r w:rsidRPr="00493017">
        <w:rPr>
          <w:rStyle w:val="EndnoteReference"/>
        </w:rPr>
        <w:endnoteRef/>
      </w:r>
      <w:r w:rsidRPr="00493017">
        <w:t xml:space="preserve"> Petersen, </w:t>
      </w:r>
      <w:r w:rsidRPr="00493017">
        <w:rPr>
          <w:i/>
        </w:rPr>
        <w:t>Zechariah 9-14 and Malachi</w:t>
      </w:r>
      <w:r w:rsidRPr="00493017">
        <w:t>,</w:t>
      </w:r>
      <w:r w:rsidRPr="00493017">
        <w:rPr>
          <w:i/>
        </w:rPr>
        <w:t xml:space="preserve"> </w:t>
      </w:r>
      <w:r w:rsidRPr="00493017">
        <w:t>p. 111.</w:t>
      </w:r>
    </w:p>
  </w:endnote>
  <w:endnote w:id="3550">
    <w:p w:rsidR="00975183" w:rsidRPr="00493017" w:rsidRDefault="00975183" w:rsidP="00D90FE2">
      <w:pPr>
        <w:pStyle w:val="EndnoteText"/>
      </w:pPr>
      <w:r w:rsidRPr="00493017">
        <w:rPr>
          <w:rStyle w:val="EndnoteReference"/>
        </w:rPr>
        <w:endnoteRef/>
      </w:r>
      <w:r w:rsidRPr="00493017">
        <w:t xml:space="preserve"> ‘I am making the steep approaches to Jerusalem slippery for all the nations pressing round her.’  Zech. 12:2, </w:t>
      </w:r>
      <w:r w:rsidRPr="00493017">
        <w:rPr>
          <w:i/>
        </w:rPr>
        <w:t>NEB.</w:t>
      </w:r>
      <w:r w:rsidRPr="00493017">
        <w:t xml:space="preserve">  </w:t>
      </w:r>
    </w:p>
  </w:endnote>
  <w:endnote w:id="3551">
    <w:p w:rsidR="00975183" w:rsidRPr="00493017" w:rsidRDefault="00975183" w:rsidP="00D90FE2">
      <w:pPr>
        <w:pStyle w:val="EndnoteText"/>
      </w:pPr>
      <w:r w:rsidRPr="00493017">
        <w:rPr>
          <w:rStyle w:val="EndnoteReference"/>
        </w:rPr>
        <w:endnoteRef/>
      </w:r>
      <w:r w:rsidRPr="00493017">
        <w:t xml:space="preserve"> Zech. 12:3.</w:t>
      </w:r>
    </w:p>
  </w:endnote>
  <w:endnote w:id="3552">
    <w:p w:rsidR="00975183" w:rsidRPr="00493017" w:rsidRDefault="00975183" w:rsidP="00D90FE2">
      <w:pPr>
        <w:pStyle w:val="EndnoteText"/>
      </w:pPr>
      <w:r w:rsidRPr="00493017">
        <w:rPr>
          <w:rStyle w:val="EndnoteReference"/>
        </w:rPr>
        <w:endnoteRef/>
      </w:r>
      <w:r w:rsidRPr="00493017">
        <w:t xml:space="preserve"> Zech. 12:4.</w:t>
      </w:r>
    </w:p>
  </w:endnote>
  <w:endnote w:id="3553">
    <w:p w:rsidR="00975183" w:rsidRPr="00493017" w:rsidRDefault="00975183" w:rsidP="00D90FE2">
      <w:pPr>
        <w:pStyle w:val="EndnoteText"/>
      </w:pPr>
      <w:r w:rsidRPr="00493017">
        <w:rPr>
          <w:rStyle w:val="EndnoteReference"/>
        </w:rPr>
        <w:endnoteRef/>
      </w:r>
      <w:r w:rsidRPr="00493017">
        <w:t xml:space="preserve"> Tigchelaar, </w:t>
      </w:r>
      <w:r w:rsidRPr="00493017">
        <w:rPr>
          <w:i/>
        </w:rPr>
        <w:t>Prophets of Old</w:t>
      </w:r>
      <w:r w:rsidRPr="00493017">
        <w:t xml:space="preserve">, p. </w:t>
      </w:r>
      <w:r>
        <w:t>121.</w:t>
      </w:r>
    </w:p>
  </w:endnote>
  <w:endnote w:id="3554">
    <w:p w:rsidR="00975183" w:rsidRDefault="00975183" w:rsidP="00D90FE2">
      <w:pPr>
        <w:pStyle w:val="EndnoteText"/>
      </w:pPr>
      <w:r w:rsidRPr="00493017">
        <w:rPr>
          <w:rStyle w:val="EndnoteReference"/>
        </w:rPr>
        <w:endnoteRef/>
      </w:r>
      <w:r w:rsidRPr="00493017">
        <w:t xml:space="preserve"> Mason, </w:t>
      </w:r>
      <w:r w:rsidRPr="00493017">
        <w:rPr>
          <w:i/>
        </w:rPr>
        <w:t>Books of Haggai, Zechariah and Malachi</w:t>
      </w:r>
      <w:r w:rsidRPr="00493017">
        <w:t>, p. 115.</w:t>
      </w:r>
    </w:p>
  </w:endnote>
  <w:endnote w:id="3555">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xml:space="preserve">, p. 314, 315, 352; Redditt, </w:t>
      </w:r>
      <w:r w:rsidRPr="00FE2EBC">
        <w:rPr>
          <w:i/>
        </w:rPr>
        <w:t>Haggai, Zechariah, Malachi</w:t>
      </w:r>
      <w:r w:rsidRPr="00FE2EBC">
        <w:t xml:space="preserve">, p. 129; Mason, ‘Zechariah 12.1-13.6’, p. 144. </w:t>
      </w:r>
    </w:p>
  </w:endnote>
  <w:endnote w:id="3556">
    <w:p w:rsidR="00975183" w:rsidRPr="00FE2EBC" w:rsidRDefault="00975183" w:rsidP="00D90FE2">
      <w:pPr>
        <w:pStyle w:val="EndnoteText"/>
      </w:pPr>
      <w:r w:rsidRPr="00FE2EBC">
        <w:rPr>
          <w:rStyle w:val="EndnoteReference"/>
        </w:rPr>
        <w:endnoteRef/>
      </w:r>
      <w:r w:rsidRPr="00FE2EBC">
        <w:t xml:space="preserve"> Edgar W. Conrad, </w:t>
      </w:r>
      <w:r w:rsidRPr="00FE2EBC">
        <w:rPr>
          <w:i/>
        </w:rPr>
        <w:t>Zechariah</w:t>
      </w:r>
      <w:r w:rsidRPr="00FE2EBC">
        <w:t>, p. 180.</w:t>
      </w:r>
    </w:p>
  </w:endnote>
  <w:endnote w:id="3557">
    <w:p w:rsidR="00975183" w:rsidRDefault="00975183" w:rsidP="00D90FE2">
      <w:pPr>
        <w:pStyle w:val="EndnoteText"/>
      </w:pPr>
      <w:r w:rsidRPr="00FE2EBC">
        <w:rPr>
          <w:rStyle w:val="EndnoteReference"/>
        </w:rPr>
        <w:endnoteRef/>
      </w:r>
      <w:r w:rsidRPr="00FE2EBC">
        <w:t xml:space="preserve"> ‘</w:t>
      </w:r>
      <w:r w:rsidRPr="00FE2EBC">
        <w:rPr>
          <w:rFonts w:cs="Arial"/>
          <w:szCs w:val="24"/>
          <w:lang w:val="en-US" w:bidi="he-IL"/>
        </w:rPr>
        <w:t>On that day I will make Jerusalem a heavy stone for all the peoples; all who lift it shall grievously hurt themselves. And all the nations of the earth shall come together against it.</w:t>
      </w:r>
      <w:r w:rsidRPr="00FE2EBC">
        <w:t xml:space="preserve">’ Zech. 12:3, </w:t>
      </w:r>
      <w:r w:rsidRPr="00FE2EBC">
        <w:rPr>
          <w:i/>
        </w:rPr>
        <w:t>NRSV</w:t>
      </w:r>
      <w:r w:rsidRPr="00FE2EBC">
        <w:t xml:space="preserve">; </w:t>
      </w:r>
    </w:p>
    <w:p w:rsidR="00975183" w:rsidRPr="00FE2EBC" w:rsidRDefault="00975183" w:rsidP="00D90FE2">
      <w:pPr>
        <w:pStyle w:val="EndnoteText"/>
      </w:pPr>
      <w:r w:rsidRPr="00FE2EBC">
        <w:t>‘</w:t>
      </w:r>
      <w:r w:rsidRPr="00FE2EBC">
        <w:rPr>
          <w:lang w:val="en-US"/>
        </w:rPr>
        <w:t xml:space="preserve">And in that day will I make Jerusalem a burdensome stone for all people: all that burden themselves with it shall be cut in pieces, though all the people of the earth </w:t>
      </w:r>
      <w:proofErr w:type="gramStart"/>
      <w:r w:rsidRPr="00FE2EBC">
        <w:rPr>
          <w:lang w:val="en-US"/>
        </w:rPr>
        <w:t>be</w:t>
      </w:r>
      <w:proofErr w:type="gramEnd"/>
      <w:r w:rsidRPr="00FE2EBC">
        <w:rPr>
          <w:lang w:val="en-US"/>
        </w:rPr>
        <w:t xml:space="preserve"> gathered together against it.</w:t>
      </w:r>
      <w:r w:rsidRPr="00FE2EBC">
        <w:t xml:space="preserve">’ Zech. 12:3, </w:t>
      </w:r>
      <w:r w:rsidRPr="00FE2EBC">
        <w:rPr>
          <w:i/>
        </w:rPr>
        <w:t>KJV</w:t>
      </w:r>
      <w:r w:rsidRPr="00FE2EBC">
        <w:t>.</w:t>
      </w:r>
    </w:p>
  </w:endnote>
  <w:endnote w:id="3558">
    <w:p w:rsidR="00975183" w:rsidRPr="00FE2EBC" w:rsidRDefault="00975183" w:rsidP="00D90FE2">
      <w:pPr>
        <w:pStyle w:val="EndnoteText"/>
      </w:pPr>
      <w:r w:rsidRPr="00FE2EBC">
        <w:rPr>
          <w:rStyle w:val="EndnoteReference"/>
        </w:rPr>
        <w:endnoteRef/>
      </w:r>
      <w:r w:rsidRPr="00FE2EBC">
        <w:t xml:space="preserve"> Rather than ‘try to carry’, as in many English translations.</w:t>
      </w:r>
    </w:p>
  </w:endnote>
  <w:endnote w:id="3559">
    <w:p w:rsidR="00975183" w:rsidRPr="00FE2EBC" w:rsidRDefault="00975183" w:rsidP="00D90FE2">
      <w:pPr>
        <w:pStyle w:val="EndnoteText"/>
      </w:pPr>
      <w:r w:rsidRPr="00FE2EBC">
        <w:rPr>
          <w:rStyle w:val="EndnoteReference"/>
        </w:rPr>
        <w:endnoteRef/>
      </w:r>
      <w:r w:rsidRPr="00FE2EBC">
        <w:t xml:space="preserve"> Mason, </w:t>
      </w:r>
      <w:r w:rsidRPr="00FE2EBC">
        <w:rPr>
          <w:i/>
        </w:rPr>
        <w:t>Haggai, Zechariah, Malachi</w:t>
      </w:r>
      <w:r w:rsidRPr="00FE2EBC">
        <w:t>, p. 116.</w:t>
      </w:r>
    </w:p>
  </w:endnote>
  <w:endnote w:id="3560">
    <w:p w:rsidR="00975183" w:rsidRDefault="00975183" w:rsidP="00D90FE2">
      <w:pPr>
        <w:pStyle w:val="EndnoteText"/>
      </w:pPr>
      <w:r w:rsidRPr="00FE2EBC">
        <w:rPr>
          <w:rStyle w:val="EndnoteReference"/>
        </w:rPr>
        <w:endnoteRef/>
      </w:r>
      <w:r w:rsidRPr="00FE2EBC">
        <w:t xml:space="preserve"> ‘</w:t>
      </w:r>
      <w:r w:rsidRPr="00FE2EBC">
        <w:rPr>
          <w:rFonts w:cs="Arial"/>
          <w:szCs w:val="24"/>
          <w:lang w:val="en-US" w:bidi="he-IL"/>
        </w:rPr>
        <w:t>On that day, says the LORD, I will strike every horse with panic, and its rider with madness. But on the house of Judah I will keep a watchful eye, when I strike every horse of the peoples with blindness.</w:t>
      </w:r>
      <w:r w:rsidRPr="00FE2EBC">
        <w:t>’</w:t>
      </w:r>
      <w:r>
        <w:t xml:space="preserve"> </w:t>
      </w:r>
      <w:r w:rsidRPr="00FE2EBC">
        <w:t xml:space="preserve"> Zech. 12:4, </w:t>
      </w:r>
      <w:r w:rsidRPr="00FE2EBC">
        <w:rPr>
          <w:i/>
        </w:rPr>
        <w:t>NRSV</w:t>
      </w:r>
      <w:r w:rsidRPr="00FE2EBC">
        <w:t xml:space="preserve">; </w:t>
      </w:r>
    </w:p>
    <w:p w:rsidR="00975183" w:rsidRPr="00FE2EBC" w:rsidRDefault="00975183" w:rsidP="00D90FE2">
      <w:pPr>
        <w:pStyle w:val="EndnoteText"/>
      </w:pPr>
      <w:r w:rsidRPr="00FE2EBC">
        <w:t>‘</w:t>
      </w:r>
      <w:r w:rsidRPr="00FE2EBC">
        <w:rPr>
          <w:lang w:val="en-US"/>
        </w:rPr>
        <w:t xml:space="preserve">In that day, saith the LORD, I will smite every horse with </w:t>
      </w:r>
      <w:r w:rsidRPr="00FE2EBC">
        <w:rPr>
          <w:i/>
        </w:rPr>
        <w:t>astonishment</w:t>
      </w:r>
      <w:r w:rsidRPr="00FE2EBC">
        <w:rPr>
          <w:lang w:val="en-US"/>
        </w:rPr>
        <w:t>, and his rider with madness: and I will open mine eyes upon the house of Judah, and will smite every horse of the people with blindness.</w:t>
      </w:r>
      <w:r w:rsidRPr="00FE2EBC">
        <w:t>’</w:t>
      </w:r>
      <w:r>
        <w:t xml:space="preserve"> </w:t>
      </w:r>
      <w:r w:rsidRPr="00FE2EBC">
        <w:t xml:space="preserve"> Zech. 12:4, </w:t>
      </w:r>
      <w:r w:rsidRPr="00FE2EBC">
        <w:rPr>
          <w:i/>
        </w:rPr>
        <w:t>KJV</w:t>
      </w:r>
      <w:r w:rsidRPr="00FE2EBC">
        <w:t>.</w:t>
      </w:r>
    </w:p>
  </w:endnote>
  <w:endnote w:id="3561">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319.</w:t>
      </w:r>
    </w:p>
  </w:endnote>
  <w:endnote w:id="3562">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9-14 and Malachi</w:t>
      </w:r>
      <w:r w:rsidRPr="00FE2EBC">
        <w:t>,</w:t>
      </w:r>
      <w:r w:rsidRPr="00FE2EBC">
        <w:rPr>
          <w:i/>
        </w:rPr>
        <w:t xml:space="preserve"> </w:t>
      </w:r>
      <w:r w:rsidRPr="00FE2EBC">
        <w:t>p. 114.</w:t>
      </w:r>
    </w:p>
  </w:endnote>
  <w:endnote w:id="3563">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9-14 and Malachi</w:t>
      </w:r>
      <w:r w:rsidRPr="00FE2EBC">
        <w:t>,</w:t>
      </w:r>
      <w:r w:rsidRPr="00FE2EBC">
        <w:rPr>
          <w:i/>
        </w:rPr>
        <w:t xml:space="preserve"> </w:t>
      </w:r>
      <w:r w:rsidRPr="00FE2EBC">
        <w:t xml:space="preserve">p. 114; Mason, </w:t>
      </w:r>
      <w:r w:rsidRPr="00FE2EBC">
        <w:rPr>
          <w:i/>
        </w:rPr>
        <w:t>Books of Haggai, Zechariah and Malachi</w:t>
      </w:r>
      <w:r w:rsidRPr="00FE2EBC">
        <w:t xml:space="preserve">, p. 116; Meyers and Meyers, </w:t>
      </w:r>
      <w:r w:rsidRPr="00FE2EBC">
        <w:rPr>
          <w:i/>
        </w:rPr>
        <w:t>Zechariah 9 – 14</w:t>
      </w:r>
      <w:r w:rsidRPr="00FE2EBC">
        <w:t>, p. 319.</w:t>
      </w:r>
    </w:p>
  </w:endnote>
  <w:endnote w:id="3564">
    <w:p w:rsidR="00975183" w:rsidRPr="00FE2EBC" w:rsidRDefault="00975183" w:rsidP="00D90FE2">
      <w:pPr>
        <w:pStyle w:val="EndnoteText"/>
      </w:pPr>
      <w:r w:rsidRPr="00FE2EBC">
        <w:rPr>
          <w:rStyle w:val="EndnoteReference"/>
        </w:rPr>
        <w:endnoteRef/>
      </w:r>
      <w:r w:rsidRPr="00FE2EBC">
        <w:t xml:space="preserve"> Deuteronomy 28:28.</w:t>
      </w:r>
    </w:p>
  </w:endnote>
  <w:endnote w:id="3565">
    <w:p w:rsidR="00975183" w:rsidRPr="00FE2EBC" w:rsidRDefault="00975183" w:rsidP="00D90FE2">
      <w:pPr>
        <w:pStyle w:val="EndnoteText"/>
      </w:pPr>
      <w:r w:rsidRPr="00FE2EBC">
        <w:rPr>
          <w:rStyle w:val="EndnoteReference"/>
        </w:rPr>
        <w:endnoteRef/>
      </w:r>
      <w:r w:rsidRPr="00FE2EBC">
        <w:t xml:space="preserve"> Mason, </w:t>
      </w:r>
      <w:r w:rsidRPr="00FE2EBC">
        <w:rPr>
          <w:i/>
        </w:rPr>
        <w:t>Books of Haggai, Zechariah and Malachi</w:t>
      </w:r>
      <w:r w:rsidRPr="00FE2EBC">
        <w:t>, p. 116.</w:t>
      </w:r>
    </w:p>
  </w:endnote>
  <w:endnote w:id="3566">
    <w:p w:rsidR="00975183" w:rsidRPr="00FE2EBC" w:rsidRDefault="00975183" w:rsidP="00D90FE2">
      <w:pPr>
        <w:pStyle w:val="EndnoteText"/>
      </w:pPr>
      <w:r w:rsidRPr="00FE2EBC">
        <w:rPr>
          <w:rStyle w:val="EndnoteReference"/>
        </w:rPr>
        <w:endnoteRef/>
      </w:r>
      <w:r w:rsidRPr="00FE2EBC">
        <w:t xml:space="preserve"> Meyers and </w:t>
      </w:r>
      <w:r w:rsidRPr="008C5BB9">
        <w:t xml:space="preserve">Meyers, </w:t>
      </w:r>
      <w:r w:rsidRPr="008C5BB9">
        <w:rPr>
          <w:i/>
        </w:rPr>
        <w:t>Zechariah</w:t>
      </w:r>
      <w:r w:rsidRPr="00FE2EBC">
        <w:rPr>
          <w:i/>
        </w:rPr>
        <w:t xml:space="preserve"> 9 – 14</w:t>
      </w:r>
      <w:r w:rsidRPr="00FE2EBC">
        <w:t>, p. 319.</w:t>
      </w:r>
    </w:p>
  </w:endnote>
  <w:endnote w:id="3567">
    <w:p w:rsidR="00975183" w:rsidRDefault="00975183" w:rsidP="00D90FE2">
      <w:pPr>
        <w:pStyle w:val="EndnoteText"/>
      </w:pPr>
      <w:r w:rsidRPr="00FE2EBC">
        <w:rPr>
          <w:rStyle w:val="EndnoteReference"/>
        </w:rPr>
        <w:endnoteRef/>
      </w:r>
      <w:r w:rsidRPr="00FE2EBC">
        <w:t xml:space="preserve"> ‘</w:t>
      </w:r>
      <w:r w:rsidRPr="00FE2EBC">
        <w:rPr>
          <w:rFonts w:cs="Arial"/>
          <w:szCs w:val="24"/>
          <w:lang w:val="en-US" w:bidi="he-IL"/>
        </w:rPr>
        <w:t>On that day I will make the clans of Judah like a blazing pot on a pile of wood, like a flaming torch among sheaves; and they shall devour to the right and to the left all the surrounding peoples, while Jerusalem shall again be inhabited in its place, in Jerusalem.</w:t>
      </w:r>
      <w:r w:rsidRPr="00FE2EBC">
        <w:t xml:space="preserve">’ Zech. 12:6, </w:t>
      </w:r>
      <w:r w:rsidRPr="00FE2EBC">
        <w:rPr>
          <w:i/>
        </w:rPr>
        <w:t>NRSV</w:t>
      </w:r>
      <w:r w:rsidRPr="00FE2EBC">
        <w:t xml:space="preserve">; </w:t>
      </w:r>
    </w:p>
    <w:p w:rsidR="00975183" w:rsidRPr="00FE2EBC" w:rsidRDefault="00975183" w:rsidP="00D90FE2">
      <w:pPr>
        <w:pStyle w:val="EndnoteText"/>
      </w:pPr>
      <w:r w:rsidRPr="00FE2EBC">
        <w:t>‘</w:t>
      </w:r>
      <w:r w:rsidRPr="00FE2EBC">
        <w:rPr>
          <w:lang w:val="en-US"/>
        </w:rPr>
        <w:t xml:space="preserve">In that day will I make the governors of Judah like an hearth of fire among the wood, and like a torch of fire in a sheaf; and they shall devour all the people round about, on the right hand and on the left: and Jerusalem shall be inhabited again in her own place, </w:t>
      </w:r>
      <w:r w:rsidRPr="00FE2EBC">
        <w:rPr>
          <w:i/>
          <w:iCs/>
          <w:lang w:val="en-US"/>
        </w:rPr>
        <w:t>even</w:t>
      </w:r>
      <w:r w:rsidRPr="00FE2EBC">
        <w:rPr>
          <w:lang w:val="en-US"/>
        </w:rPr>
        <w:t xml:space="preserve"> in Jerusalem.</w:t>
      </w:r>
      <w:r>
        <w:t xml:space="preserve">’ </w:t>
      </w:r>
      <w:r w:rsidRPr="00FE2EBC">
        <w:t xml:space="preserve"> Zech. 12:6, </w:t>
      </w:r>
      <w:r w:rsidRPr="00FE2EBC">
        <w:rPr>
          <w:i/>
        </w:rPr>
        <w:t>KJV</w:t>
      </w:r>
      <w:r w:rsidRPr="00FE2EBC">
        <w:t>.</w:t>
      </w:r>
    </w:p>
  </w:endnote>
  <w:endnote w:id="3568">
    <w:p w:rsidR="00975183" w:rsidRPr="00FE2EBC" w:rsidRDefault="00975183" w:rsidP="00D90FE2">
      <w:pPr>
        <w:pStyle w:val="EndnoteText"/>
      </w:pPr>
      <w:r w:rsidRPr="00FE2EBC">
        <w:rPr>
          <w:rStyle w:val="EndnoteReference"/>
        </w:rPr>
        <w:endnoteRef/>
      </w:r>
      <w:r w:rsidRPr="00FE2EBC">
        <w:t xml:space="preserve"> Mason, </w:t>
      </w:r>
      <w:r w:rsidRPr="00FE2EBC">
        <w:rPr>
          <w:i/>
        </w:rPr>
        <w:t>Books of Haggai, Zechariah and Malachi</w:t>
      </w:r>
      <w:r w:rsidRPr="00FE2EBC">
        <w:t>, p. 116.</w:t>
      </w:r>
    </w:p>
  </w:endnote>
  <w:endnote w:id="3569">
    <w:p w:rsidR="00975183" w:rsidRPr="00FE2EBC" w:rsidRDefault="00975183" w:rsidP="00D90FE2">
      <w:pPr>
        <w:pStyle w:val="EndnoteText"/>
      </w:pPr>
      <w:r w:rsidRPr="00FE2EBC">
        <w:rPr>
          <w:rStyle w:val="EndnoteReference"/>
        </w:rPr>
        <w:endnoteRef/>
      </w:r>
      <w:r w:rsidRPr="00FE2EBC">
        <w:t xml:space="preserve"> Or ‘devour’, </w:t>
      </w:r>
      <w:r w:rsidRPr="00FE2EBC">
        <w:rPr>
          <w:i/>
        </w:rPr>
        <w:t>NRSV</w:t>
      </w:r>
      <w:r w:rsidRPr="00FE2EBC">
        <w:t>.</w:t>
      </w:r>
    </w:p>
  </w:endnote>
  <w:endnote w:id="3570">
    <w:p w:rsidR="00975183" w:rsidRPr="00FE2EBC" w:rsidRDefault="00975183" w:rsidP="00D90FE2">
      <w:pPr>
        <w:pStyle w:val="EndnoteText"/>
      </w:pPr>
      <w:r w:rsidRPr="00FE2EBC">
        <w:rPr>
          <w:rStyle w:val="EndnoteReference"/>
        </w:rPr>
        <w:endnoteRef/>
      </w:r>
      <w:r w:rsidRPr="00FE2EBC">
        <w:t xml:space="preserve"> ‘To right and left’, </w:t>
      </w:r>
      <w:r w:rsidRPr="00FE2EBC">
        <w:rPr>
          <w:i/>
        </w:rPr>
        <w:t>NIV; NRSV</w:t>
      </w:r>
      <w:r>
        <w:t>.</w:t>
      </w:r>
    </w:p>
  </w:endnote>
  <w:endnote w:id="3571">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325.</w:t>
      </w:r>
    </w:p>
  </w:endnote>
  <w:endnote w:id="3572">
    <w:p w:rsidR="00975183" w:rsidRDefault="00975183" w:rsidP="00D90FE2">
      <w:pPr>
        <w:pStyle w:val="EndnoteText"/>
      </w:pPr>
      <w:r w:rsidRPr="00FE2EBC">
        <w:rPr>
          <w:rStyle w:val="EndnoteReference"/>
        </w:rPr>
        <w:endnoteRef/>
      </w:r>
      <w:r w:rsidRPr="00FE2EBC">
        <w:t xml:space="preserve"> ‘</w:t>
      </w:r>
      <w:r w:rsidRPr="00FE2EBC">
        <w:rPr>
          <w:rFonts w:cs="Arial"/>
          <w:lang w:val="en-US" w:bidi="he-IL"/>
        </w:rPr>
        <w:t>And the LORD will give victory to the tents of Judah first, that the glory of the house of David and the glory of the inhabitants of Jerusalem may not be exalted over that of Judah.</w:t>
      </w:r>
      <w:r w:rsidRPr="00FE2EBC">
        <w:t xml:space="preserve">’, Zech. 12:7 </w:t>
      </w:r>
      <w:r w:rsidRPr="00FE2EBC">
        <w:rPr>
          <w:i/>
        </w:rPr>
        <w:t>NRSV</w:t>
      </w:r>
      <w:r w:rsidRPr="00FE2EBC">
        <w:t xml:space="preserve">; </w:t>
      </w:r>
    </w:p>
    <w:p w:rsidR="00975183" w:rsidRPr="00FE2EBC" w:rsidRDefault="00975183" w:rsidP="00D90FE2">
      <w:pPr>
        <w:pStyle w:val="EndnoteText"/>
      </w:pPr>
      <w:r w:rsidRPr="00FE2EBC">
        <w:t>‘</w:t>
      </w:r>
      <w:r w:rsidRPr="00FE2EBC">
        <w:rPr>
          <w:lang w:val="en-US"/>
        </w:rPr>
        <w:t xml:space="preserve">The LORD also shall save the tents of Judah first, that the glory of the house of David and the glory of the inhabitants of Jerusalem do not magnify </w:t>
      </w:r>
      <w:r w:rsidRPr="00FE2EBC">
        <w:rPr>
          <w:i/>
          <w:iCs/>
          <w:lang w:val="en-US"/>
        </w:rPr>
        <w:t>themselves</w:t>
      </w:r>
      <w:r w:rsidRPr="00FE2EBC">
        <w:rPr>
          <w:lang w:val="en-US"/>
        </w:rPr>
        <w:t xml:space="preserve"> against Judah.</w:t>
      </w:r>
      <w:r w:rsidRPr="00FE2EBC">
        <w:t>’</w:t>
      </w:r>
      <w:r>
        <w:t xml:space="preserve"> </w:t>
      </w:r>
      <w:r w:rsidRPr="00FE2EBC">
        <w:t xml:space="preserve"> Zech. 12:7, </w:t>
      </w:r>
      <w:r w:rsidRPr="00FE2EBC">
        <w:rPr>
          <w:i/>
        </w:rPr>
        <w:t>KJV</w:t>
      </w:r>
      <w:r w:rsidRPr="00FE2EBC">
        <w:t>.  This will be dealt with under the heading of ‘David’ below.</w:t>
      </w:r>
    </w:p>
  </w:endnote>
  <w:endnote w:id="3573">
    <w:p w:rsidR="00975183" w:rsidRDefault="00975183" w:rsidP="00D90FE2">
      <w:pPr>
        <w:pStyle w:val="EndnoteText"/>
      </w:pPr>
      <w:r w:rsidRPr="00FE2EBC">
        <w:rPr>
          <w:rStyle w:val="EndnoteReference"/>
        </w:rPr>
        <w:endnoteRef/>
      </w:r>
      <w:r w:rsidRPr="00FE2EBC">
        <w:t xml:space="preserve"> ‘</w:t>
      </w:r>
      <w:r w:rsidRPr="00FE2EBC">
        <w:rPr>
          <w:rFonts w:cs="Arial"/>
          <w:lang w:val="en-US" w:bidi="he-IL"/>
        </w:rPr>
        <w:t>And on that day I will seek to destroy all the nations that come against Jerusalem.</w:t>
      </w:r>
      <w:r w:rsidRPr="00FE2EBC">
        <w:t>’</w:t>
      </w:r>
      <w:r>
        <w:t xml:space="preserve"> </w:t>
      </w:r>
      <w:r w:rsidRPr="00FE2EBC">
        <w:t xml:space="preserve"> Zech. 12:9, </w:t>
      </w:r>
      <w:r w:rsidRPr="00FE2EBC">
        <w:rPr>
          <w:i/>
        </w:rPr>
        <w:t>NRSV</w:t>
      </w:r>
      <w:r>
        <w:t xml:space="preserve">. </w:t>
      </w:r>
      <w:r w:rsidRPr="00FE2EBC">
        <w:t xml:space="preserve"> ‘</w:t>
      </w:r>
      <w:r w:rsidRPr="00FE2EBC">
        <w:rPr>
          <w:lang w:val="en-US"/>
        </w:rPr>
        <w:t xml:space="preserve">And it shall come to pass in that </w:t>
      </w:r>
      <w:proofErr w:type="gramStart"/>
      <w:r w:rsidRPr="00FE2EBC">
        <w:rPr>
          <w:lang w:val="en-US"/>
        </w:rPr>
        <w:t xml:space="preserve">day, </w:t>
      </w:r>
      <w:r w:rsidRPr="00FE2EBC">
        <w:rPr>
          <w:i/>
          <w:iCs/>
          <w:lang w:val="en-US"/>
        </w:rPr>
        <w:t>that</w:t>
      </w:r>
      <w:proofErr w:type="gramEnd"/>
      <w:r w:rsidRPr="00FE2EBC">
        <w:rPr>
          <w:lang w:val="en-US"/>
        </w:rPr>
        <w:t xml:space="preserve"> I will seek to destroy all the nations that come against Jerusalem.</w:t>
      </w:r>
      <w:r w:rsidRPr="00FE2EBC">
        <w:t xml:space="preserve">’ </w:t>
      </w:r>
      <w:r>
        <w:t xml:space="preserve"> </w:t>
      </w:r>
    </w:p>
    <w:p w:rsidR="00975183" w:rsidRPr="00FE2EBC" w:rsidRDefault="00975183" w:rsidP="00D90FE2">
      <w:pPr>
        <w:pStyle w:val="EndnoteText"/>
      </w:pPr>
      <w:r w:rsidRPr="00FE2EBC">
        <w:t xml:space="preserve">Zech. 12:9, </w:t>
      </w:r>
      <w:r w:rsidRPr="00FE2EBC">
        <w:rPr>
          <w:i/>
        </w:rPr>
        <w:t>KJV</w:t>
      </w:r>
      <w:r w:rsidRPr="00FE2EBC">
        <w:t>.</w:t>
      </w:r>
    </w:p>
  </w:endnote>
  <w:endnote w:id="3574">
    <w:p w:rsidR="00975183" w:rsidRDefault="00975183" w:rsidP="00D90FE2">
      <w:pPr>
        <w:pStyle w:val="EndnoteText"/>
      </w:pPr>
      <w:r w:rsidRPr="00FE2EBC">
        <w:rPr>
          <w:rStyle w:val="EndnoteReference"/>
        </w:rPr>
        <w:endnoteRef/>
      </w:r>
      <w:r w:rsidRPr="00FE2EBC">
        <w:t xml:space="preserve"> ‘</w:t>
      </w:r>
      <w:r w:rsidRPr="00FE2EBC">
        <w:rPr>
          <w:rFonts w:cs="Arial"/>
          <w:lang w:val="en-US" w:bidi="he-IL"/>
        </w:rPr>
        <w:t>On that day the mourning in Jerusalem will be as great as the mourning for Hadad-rimmon in the plain of Megiddo.</w:t>
      </w:r>
      <w:r w:rsidRPr="00FE2EBC">
        <w:t>’</w:t>
      </w:r>
      <w:r>
        <w:t xml:space="preserve"> </w:t>
      </w:r>
      <w:r w:rsidRPr="00FE2EBC">
        <w:t xml:space="preserve"> Zech. 12:11, </w:t>
      </w:r>
      <w:r w:rsidRPr="00FE2EBC">
        <w:rPr>
          <w:i/>
        </w:rPr>
        <w:t>NRSV</w:t>
      </w:r>
      <w:r>
        <w:t>.</w:t>
      </w:r>
      <w:r w:rsidRPr="00FE2EBC">
        <w:t xml:space="preserve"> </w:t>
      </w:r>
    </w:p>
    <w:p w:rsidR="00975183" w:rsidRPr="00FE2EBC" w:rsidRDefault="00975183" w:rsidP="00D90FE2">
      <w:pPr>
        <w:pStyle w:val="EndnoteText"/>
      </w:pPr>
      <w:r w:rsidRPr="00FE2EBC">
        <w:t>‘</w:t>
      </w:r>
      <w:r w:rsidRPr="00FE2EBC">
        <w:rPr>
          <w:lang w:val="en-US"/>
        </w:rPr>
        <w:t>In that day shall there be a great mourning in Jerusalem, as the mourning of Hadadrimmon in the valley of Megiddon.</w:t>
      </w:r>
      <w:r w:rsidRPr="00FE2EBC">
        <w:t>’</w:t>
      </w:r>
      <w:r>
        <w:t xml:space="preserve"> </w:t>
      </w:r>
      <w:r w:rsidRPr="00FE2EBC">
        <w:t xml:space="preserve"> Zech. 12:11, </w:t>
      </w:r>
      <w:r w:rsidRPr="00FE2EBC">
        <w:rPr>
          <w:i/>
        </w:rPr>
        <w:t>KJV</w:t>
      </w:r>
      <w:r w:rsidRPr="00FE2EBC">
        <w:t>.</w:t>
      </w:r>
    </w:p>
  </w:endnote>
  <w:endnote w:id="3575">
    <w:p w:rsidR="00975183" w:rsidRPr="00FE2EBC" w:rsidRDefault="00975183" w:rsidP="00D90FE2">
      <w:pPr>
        <w:pStyle w:val="EndnoteText"/>
      </w:pPr>
      <w:r w:rsidRPr="00FE2EBC">
        <w:rPr>
          <w:rStyle w:val="EndnoteReference"/>
        </w:rPr>
        <w:endnoteRef/>
      </w:r>
      <w:r w:rsidRPr="00FE2EBC">
        <w:t xml:space="preserve"> Zech. 12:3.  This actually reads </w:t>
      </w:r>
      <w:r>
        <w:t>‘</w:t>
      </w:r>
      <w:r w:rsidRPr="00FE2EBC">
        <w:t>Jerusalem’.</w:t>
      </w:r>
    </w:p>
  </w:endnote>
  <w:endnote w:id="3576">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333.</w:t>
      </w:r>
    </w:p>
  </w:endnote>
  <w:endnote w:id="3577">
    <w:p w:rsidR="00975183" w:rsidRPr="00FE2EBC" w:rsidRDefault="00975183" w:rsidP="00D90FE2">
      <w:pPr>
        <w:pStyle w:val="EndnoteText"/>
      </w:pPr>
      <w:r w:rsidRPr="00FE2EBC">
        <w:rPr>
          <w:rStyle w:val="EndnoteReference"/>
        </w:rPr>
        <w:endnoteRef/>
      </w:r>
      <w:r w:rsidRPr="00FE2EBC">
        <w:t xml:space="preserve"> Zechariah 12:11.</w:t>
      </w:r>
    </w:p>
  </w:endnote>
  <w:endnote w:id="3578">
    <w:p w:rsidR="00975183" w:rsidRPr="00FE2EBC" w:rsidRDefault="00975183" w:rsidP="00D90FE2">
      <w:pPr>
        <w:pStyle w:val="EndnoteText"/>
      </w:pPr>
      <w:r w:rsidRPr="00FE2EBC">
        <w:rPr>
          <w:rStyle w:val="EndnoteReference"/>
        </w:rPr>
        <w:endnoteRef/>
      </w:r>
      <w:r w:rsidRPr="00FE2EBC">
        <w:t xml:space="preserve"> Mason, </w:t>
      </w:r>
      <w:proofErr w:type="gramStart"/>
      <w:r w:rsidRPr="00FE2EBC">
        <w:rPr>
          <w:i/>
        </w:rPr>
        <w:t>The</w:t>
      </w:r>
      <w:proofErr w:type="gramEnd"/>
      <w:r w:rsidRPr="00FE2EBC">
        <w:rPr>
          <w:i/>
        </w:rPr>
        <w:t xml:space="preserve"> Books of Haggai, Zechariah and Malachi</w:t>
      </w:r>
      <w:r w:rsidRPr="00FE2EBC">
        <w:t>, pp. 119-20.</w:t>
      </w:r>
    </w:p>
  </w:endnote>
  <w:endnote w:id="3579">
    <w:p w:rsidR="00975183" w:rsidRDefault="00975183" w:rsidP="00126BAD">
      <w:pPr>
        <w:autoSpaceDE w:val="0"/>
        <w:autoSpaceDN w:val="0"/>
        <w:adjustRightInd w:val="0"/>
        <w:spacing w:after="0" w:line="240" w:lineRule="auto"/>
        <w:rPr>
          <w:sz w:val="20"/>
        </w:rPr>
      </w:pPr>
      <w:r w:rsidRPr="00FE2EBC">
        <w:rPr>
          <w:rStyle w:val="EndnoteReference"/>
          <w:sz w:val="20"/>
        </w:rPr>
        <w:endnoteRef/>
      </w:r>
      <w:r w:rsidRPr="00FE2EBC">
        <w:rPr>
          <w:sz w:val="20"/>
        </w:rPr>
        <w:t xml:space="preserve"> ‘</w:t>
      </w:r>
      <w:r w:rsidRPr="00FE2EBC">
        <w:rPr>
          <w:rFonts w:cs="Arial"/>
          <w:sz w:val="20"/>
          <w:lang w:val="en-US" w:bidi="he-IL"/>
        </w:rPr>
        <w:t xml:space="preserve">The land shall mourn, each family by itself; the family of the house of David by itself, and their wives by themselves; the family of the house of Nathan by itself, and their wives by themselves; </w:t>
      </w:r>
      <w:r w:rsidRPr="00FE2EBC">
        <w:rPr>
          <w:rFonts w:cs="Arial"/>
          <w:sz w:val="20"/>
          <w:vertAlign w:val="superscript"/>
          <w:lang w:val="en-US" w:bidi="he-IL"/>
        </w:rPr>
        <w:t>13</w:t>
      </w:r>
      <w:r w:rsidRPr="00FE2EBC">
        <w:rPr>
          <w:rFonts w:cs="Arial"/>
          <w:sz w:val="20"/>
          <w:lang w:val="en-US" w:bidi="he-IL"/>
        </w:rPr>
        <w:t xml:space="preserve"> the family of the house of Levi by itself, and their wives by themselves; the family of the Shimeites by itself, and their wives by themselves; </w:t>
      </w:r>
      <w:r w:rsidRPr="00FE2EBC">
        <w:rPr>
          <w:rFonts w:cs="Arial"/>
          <w:sz w:val="20"/>
          <w:vertAlign w:val="superscript"/>
          <w:lang w:val="en-US" w:bidi="he-IL"/>
        </w:rPr>
        <w:t>14</w:t>
      </w:r>
      <w:r w:rsidRPr="00FE2EBC">
        <w:rPr>
          <w:rFonts w:cs="Arial"/>
          <w:sz w:val="20"/>
          <w:lang w:val="en-US" w:bidi="he-IL"/>
        </w:rPr>
        <w:t xml:space="preserve"> and all the families that are left, each by itself, and their wives by themselves.</w:t>
      </w:r>
      <w:r>
        <w:rPr>
          <w:sz w:val="20"/>
        </w:rPr>
        <w:t xml:space="preserve">’ </w:t>
      </w:r>
      <w:r w:rsidRPr="00FE2EBC">
        <w:rPr>
          <w:sz w:val="20"/>
        </w:rPr>
        <w:t xml:space="preserve"> Zech.12:12-14 </w:t>
      </w:r>
      <w:r w:rsidRPr="00FE2EBC">
        <w:rPr>
          <w:i/>
          <w:sz w:val="20"/>
        </w:rPr>
        <w:t>NRSV</w:t>
      </w:r>
      <w:r w:rsidRPr="00FE2EBC">
        <w:rPr>
          <w:sz w:val="20"/>
        </w:rPr>
        <w:t xml:space="preserve">; </w:t>
      </w:r>
    </w:p>
    <w:p w:rsidR="00975183" w:rsidRPr="00FE2EBC" w:rsidRDefault="00975183" w:rsidP="00126BAD">
      <w:pPr>
        <w:autoSpaceDE w:val="0"/>
        <w:autoSpaceDN w:val="0"/>
        <w:adjustRightInd w:val="0"/>
        <w:spacing w:after="0" w:line="240" w:lineRule="auto"/>
        <w:rPr>
          <w:sz w:val="20"/>
        </w:rPr>
      </w:pPr>
      <w:r w:rsidRPr="00FE2EBC">
        <w:rPr>
          <w:sz w:val="20"/>
        </w:rPr>
        <w:t>‘</w:t>
      </w:r>
      <w:r w:rsidRPr="00FE2EBC">
        <w:rPr>
          <w:sz w:val="20"/>
          <w:lang w:val="en-US"/>
        </w:rPr>
        <w:t xml:space="preserve">And the land shall mourn, every family apart; the family of the house of David apart, and their wives apart; the family of the house of Nathan apart, and their wives apart; </w:t>
      </w:r>
      <w:r w:rsidRPr="00FE2EBC">
        <w:rPr>
          <w:sz w:val="20"/>
          <w:vertAlign w:val="superscript"/>
          <w:lang w:val="en-US"/>
        </w:rPr>
        <w:t>13</w:t>
      </w:r>
      <w:r w:rsidRPr="00FE2EBC">
        <w:rPr>
          <w:sz w:val="20"/>
          <w:lang w:val="en-US"/>
        </w:rPr>
        <w:t xml:space="preserve">The family of the house of Levi apart, and their wives apart; the family of Shimei apart, and their wives apart; </w:t>
      </w:r>
      <w:r w:rsidRPr="00FE2EBC">
        <w:rPr>
          <w:sz w:val="20"/>
          <w:vertAlign w:val="superscript"/>
          <w:lang w:val="en-US"/>
        </w:rPr>
        <w:t>14</w:t>
      </w:r>
      <w:r w:rsidRPr="00FE2EBC">
        <w:rPr>
          <w:sz w:val="20"/>
          <w:lang w:val="en-US"/>
        </w:rPr>
        <w:t>All the families that remain, every family apart, and their wives apart.</w:t>
      </w:r>
      <w:r>
        <w:rPr>
          <w:sz w:val="20"/>
        </w:rPr>
        <w:t xml:space="preserve">’ </w:t>
      </w:r>
      <w:r w:rsidRPr="00FE2EBC">
        <w:rPr>
          <w:sz w:val="20"/>
        </w:rPr>
        <w:t xml:space="preserve"> Zech. 12:12-14, </w:t>
      </w:r>
      <w:r w:rsidRPr="00FE2EBC">
        <w:rPr>
          <w:i/>
          <w:sz w:val="20"/>
        </w:rPr>
        <w:t>KJV</w:t>
      </w:r>
      <w:r w:rsidRPr="00FE2EBC">
        <w:rPr>
          <w:sz w:val="20"/>
        </w:rPr>
        <w:t>.</w:t>
      </w:r>
    </w:p>
  </w:endnote>
  <w:endnote w:id="3580">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329.</w:t>
      </w:r>
    </w:p>
  </w:endnote>
  <w:endnote w:id="3581">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9-14 and Malachi</w:t>
      </w:r>
      <w:r w:rsidRPr="00FE2EBC">
        <w:t>,</w:t>
      </w:r>
      <w:r w:rsidRPr="00FE2EBC">
        <w:rPr>
          <w:i/>
        </w:rPr>
        <w:t xml:space="preserve"> </w:t>
      </w:r>
      <w:r w:rsidRPr="00FE2EBC">
        <w:t>pp. 122-3.</w:t>
      </w:r>
    </w:p>
  </w:endnote>
  <w:endnote w:id="3582">
    <w:p w:rsidR="00975183" w:rsidRPr="00FE2EBC" w:rsidRDefault="00975183" w:rsidP="00D90FE2">
      <w:pPr>
        <w:pStyle w:val="EndnoteText"/>
      </w:pPr>
      <w:r w:rsidRPr="00FE2EBC">
        <w:rPr>
          <w:rStyle w:val="EndnoteReference"/>
        </w:rPr>
        <w:endnoteRef/>
      </w:r>
      <w:r w:rsidRPr="00FE2EBC">
        <w:t xml:space="preserve"> Mason, </w:t>
      </w:r>
      <w:r w:rsidRPr="00FE2EBC">
        <w:rPr>
          <w:i/>
        </w:rPr>
        <w:t>Books of Haggai, Zechariah and Malachi</w:t>
      </w:r>
      <w:r w:rsidRPr="00FE2EBC">
        <w:t>, p. 120.</w:t>
      </w:r>
    </w:p>
  </w:endnote>
  <w:endnote w:id="3583">
    <w:p w:rsidR="00975183" w:rsidRDefault="00975183" w:rsidP="00D90FE2">
      <w:pPr>
        <w:pStyle w:val="EndnoteText"/>
      </w:pPr>
      <w:r w:rsidRPr="00FE2EBC">
        <w:rPr>
          <w:rStyle w:val="EndnoteReference"/>
        </w:rPr>
        <w:endnoteRef/>
      </w:r>
      <w:r w:rsidRPr="00FE2EBC">
        <w:t xml:space="preserve"> </w:t>
      </w:r>
      <w:proofErr w:type="gramStart"/>
      <w:r w:rsidRPr="00FE2EBC">
        <w:t>‘</w:t>
      </w:r>
      <w:r w:rsidRPr="00FE2EBC">
        <w:rPr>
          <w:rFonts w:cs="Arial"/>
          <w:lang w:val="en-US" w:bidi="he-IL"/>
        </w:rPr>
        <w:t>An Oracle.</w:t>
      </w:r>
      <w:proofErr w:type="gramEnd"/>
      <w:r w:rsidRPr="00FE2EBC">
        <w:rPr>
          <w:rFonts w:cs="Arial"/>
          <w:lang w:val="en-US" w:bidi="he-IL"/>
        </w:rPr>
        <w:t xml:space="preserve"> The word of the LORD concerning Israel: Thus says the LORD, who stretched out the heavens and founded the earth and formed the human spirit </w:t>
      </w:r>
      <w:proofErr w:type="gramStart"/>
      <w:r w:rsidRPr="00FE2EBC">
        <w:rPr>
          <w:rFonts w:cs="Arial"/>
          <w:lang w:val="en-US" w:bidi="he-IL"/>
        </w:rPr>
        <w:t>within:</w:t>
      </w:r>
      <w:r w:rsidRPr="00FE2EBC">
        <w:t>’</w:t>
      </w:r>
      <w:r>
        <w:t xml:space="preserve"> </w:t>
      </w:r>
      <w:r w:rsidRPr="00FE2EBC">
        <w:t xml:space="preserve"> Zech</w:t>
      </w:r>
      <w:proofErr w:type="gramEnd"/>
      <w:r w:rsidRPr="00FE2EBC">
        <w:t xml:space="preserve">. 12:1, </w:t>
      </w:r>
      <w:r w:rsidRPr="00FE2EBC">
        <w:rPr>
          <w:i/>
        </w:rPr>
        <w:t>NRSV</w:t>
      </w:r>
      <w:r>
        <w:t>.</w:t>
      </w:r>
      <w:r w:rsidRPr="00FE2EBC">
        <w:t xml:space="preserve"> </w:t>
      </w:r>
    </w:p>
    <w:p w:rsidR="00975183" w:rsidRPr="00FE2EBC" w:rsidRDefault="00975183" w:rsidP="00D90FE2">
      <w:pPr>
        <w:pStyle w:val="EndnoteText"/>
      </w:pPr>
      <w:r w:rsidRPr="00FE2EBC">
        <w:t>‘</w:t>
      </w:r>
      <w:r w:rsidRPr="00FE2EBC">
        <w:rPr>
          <w:lang w:val="en-US"/>
        </w:rPr>
        <w:t>The burden of the word of the LORD for Israel, saith the LORD, which stretcheth forth the heavens, and layeth the foundation of the earth, and formeth the spirit of man within him.</w:t>
      </w:r>
      <w:r>
        <w:t xml:space="preserve">’ </w:t>
      </w:r>
      <w:r w:rsidRPr="00FE2EBC">
        <w:t xml:space="preserve"> Zech. 12:1, </w:t>
      </w:r>
      <w:r w:rsidRPr="00FE2EBC">
        <w:rPr>
          <w:i/>
        </w:rPr>
        <w:t>KJV</w:t>
      </w:r>
      <w:r w:rsidRPr="00FE2EBC">
        <w:t>.</w:t>
      </w:r>
    </w:p>
  </w:endnote>
  <w:endnote w:id="3584">
    <w:p w:rsidR="00975183" w:rsidRPr="007B757C" w:rsidRDefault="00975183" w:rsidP="00D90FE2">
      <w:pPr>
        <w:pStyle w:val="EndnoteText"/>
      </w:pPr>
      <w:r w:rsidRPr="007B757C">
        <w:rPr>
          <w:rStyle w:val="EndnoteReference"/>
        </w:rPr>
        <w:endnoteRef/>
      </w:r>
      <w:r w:rsidRPr="007B757C">
        <w:t xml:space="preserve"> </w:t>
      </w:r>
      <w:proofErr w:type="gramStart"/>
      <w:r w:rsidRPr="007B757C">
        <w:rPr>
          <w:b/>
        </w:rPr>
        <w:t>See 1.1.1, a);</w:t>
      </w:r>
      <w:r>
        <w:t xml:space="preserve"> </w:t>
      </w:r>
      <w:r w:rsidRPr="007B757C">
        <w:rPr>
          <w:b/>
        </w:rPr>
        <w:t>8.4.2</w:t>
      </w:r>
      <w:r>
        <w:t>.</w:t>
      </w:r>
      <w:proofErr w:type="gramEnd"/>
    </w:p>
  </w:endnote>
  <w:endnote w:id="3585">
    <w:p w:rsidR="00975183" w:rsidRPr="00FE2EBC" w:rsidRDefault="00975183" w:rsidP="00D90FE2">
      <w:pPr>
        <w:pStyle w:val="EndnoteText"/>
      </w:pPr>
      <w:r w:rsidRPr="00FE2EBC">
        <w:rPr>
          <w:rStyle w:val="EndnoteReference"/>
        </w:rPr>
        <w:endnoteRef/>
      </w:r>
      <w:r w:rsidRPr="00FE2EBC">
        <w:t xml:space="preserve"> Mason, ‘Zechariah 12.1-13.6’, p. 133.</w:t>
      </w:r>
    </w:p>
  </w:endnote>
  <w:endnote w:id="3586">
    <w:p w:rsidR="00975183" w:rsidRPr="00FE2EBC" w:rsidRDefault="00975183" w:rsidP="00D90FE2">
      <w:pPr>
        <w:pStyle w:val="EndnoteText"/>
      </w:pPr>
      <w:r w:rsidRPr="00FE2EBC">
        <w:rPr>
          <w:rStyle w:val="EndnoteReference"/>
        </w:rPr>
        <w:endnoteRef/>
      </w:r>
      <w:r w:rsidRPr="00FE2EBC">
        <w:t xml:space="preserve"> Redditt, </w:t>
      </w:r>
      <w:r w:rsidRPr="00FE2EBC">
        <w:rPr>
          <w:i/>
        </w:rPr>
        <w:t>Haggai, Zechariah, Malachi</w:t>
      </w:r>
      <w:r w:rsidRPr="00FE2EBC">
        <w:t>, p. 129</w:t>
      </w:r>
      <w:r w:rsidRPr="00FE2EBC">
        <w:rPr>
          <w:i/>
        </w:rPr>
        <w:t>.</w:t>
      </w:r>
    </w:p>
  </w:endnote>
  <w:endnote w:id="3587">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pp. 309-10.</w:t>
      </w:r>
    </w:p>
  </w:endnote>
  <w:endnote w:id="3588">
    <w:p w:rsidR="00975183" w:rsidRDefault="00975183" w:rsidP="00126BAD">
      <w:pPr>
        <w:autoSpaceDE w:val="0"/>
        <w:autoSpaceDN w:val="0"/>
        <w:adjustRightInd w:val="0"/>
        <w:spacing w:after="0" w:line="240" w:lineRule="auto"/>
        <w:rPr>
          <w:sz w:val="20"/>
        </w:rPr>
      </w:pPr>
      <w:r w:rsidRPr="00FE2EBC">
        <w:rPr>
          <w:rStyle w:val="EndnoteReference"/>
          <w:sz w:val="20"/>
        </w:rPr>
        <w:endnoteRef/>
      </w:r>
      <w:r w:rsidRPr="00FE2EBC">
        <w:rPr>
          <w:sz w:val="20"/>
        </w:rPr>
        <w:t xml:space="preserve"> ‘</w:t>
      </w:r>
      <w:r w:rsidRPr="00FE2EBC">
        <w:rPr>
          <w:rFonts w:cs="Arial"/>
          <w:sz w:val="20"/>
          <w:lang w:val="en-US" w:bidi="he-IL"/>
        </w:rPr>
        <w:t xml:space="preserve">Then the clans of Judah shall say to themselves, </w:t>
      </w:r>
      <w:r>
        <w:rPr>
          <w:sz w:val="20"/>
        </w:rPr>
        <w:t>“</w:t>
      </w:r>
      <w:r w:rsidRPr="00FE2EBC">
        <w:rPr>
          <w:rFonts w:cs="Arial"/>
          <w:sz w:val="20"/>
          <w:lang w:val="en-US" w:bidi="he-IL"/>
        </w:rPr>
        <w:t>The inhabitants of Jerusalem have strength through the LORD of hosts, their God.</w:t>
      </w:r>
      <w:r>
        <w:rPr>
          <w:rFonts w:cs="Arial"/>
          <w:sz w:val="20"/>
          <w:lang w:val="en-US" w:bidi="he-IL"/>
        </w:rPr>
        <w:t>”</w:t>
      </w:r>
      <w:r w:rsidRPr="00FE2EBC">
        <w:rPr>
          <w:sz w:val="20"/>
        </w:rPr>
        <w:t>’</w:t>
      </w:r>
      <w:r>
        <w:rPr>
          <w:sz w:val="20"/>
        </w:rPr>
        <w:t xml:space="preserve"> </w:t>
      </w:r>
      <w:r w:rsidRPr="00FE2EBC">
        <w:rPr>
          <w:sz w:val="20"/>
        </w:rPr>
        <w:t xml:space="preserve"> Zech. 12:5, </w:t>
      </w:r>
      <w:r w:rsidRPr="00FE2EBC">
        <w:rPr>
          <w:i/>
          <w:sz w:val="20"/>
        </w:rPr>
        <w:t>NRSV</w:t>
      </w:r>
      <w:r>
        <w:rPr>
          <w:sz w:val="20"/>
        </w:rPr>
        <w:t>.</w:t>
      </w:r>
      <w:r w:rsidRPr="00FE2EBC">
        <w:rPr>
          <w:sz w:val="20"/>
        </w:rPr>
        <w:t xml:space="preserve"> </w:t>
      </w:r>
    </w:p>
    <w:p w:rsidR="00975183" w:rsidRPr="00FE2EBC" w:rsidRDefault="00975183" w:rsidP="00126BAD">
      <w:pPr>
        <w:autoSpaceDE w:val="0"/>
        <w:autoSpaceDN w:val="0"/>
        <w:adjustRightInd w:val="0"/>
        <w:spacing w:after="0" w:line="240" w:lineRule="auto"/>
        <w:rPr>
          <w:sz w:val="20"/>
        </w:rPr>
      </w:pPr>
      <w:r w:rsidRPr="00FE2EBC">
        <w:rPr>
          <w:sz w:val="20"/>
        </w:rPr>
        <w:t>‘</w:t>
      </w:r>
      <w:r w:rsidRPr="00FE2EBC">
        <w:rPr>
          <w:sz w:val="20"/>
          <w:lang w:val="en-US"/>
        </w:rPr>
        <w:t xml:space="preserve">And the governors of Judah shall say in their heart, </w:t>
      </w:r>
      <w:proofErr w:type="gramStart"/>
      <w:r w:rsidRPr="00FE2EBC">
        <w:rPr>
          <w:sz w:val="20"/>
          <w:lang w:val="en-US"/>
        </w:rPr>
        <w:t>The</w:t>
      </w:r>
      <w:proofErr w:type="gramEnd"/>
      <w:r w:rsidRPr="00FE2EBC">
        <w:rPr>
          <w:sz w:val="20"/>
          <w:lang w:val="en-US"/>
        </w:rPr>
        <w:t xml:space="preserve"> inhabitants of Jerusalem </w:t>
      </w:r>
      <w:r w:rsidRPr="00FE2EBC">
        <w:rPr>
          <w:i/>
          <w:iCs/>
          <w:sz w:val="20"/>
          <w:lang w:val="en-US"/>
        </w:rPr>
        <w:t>shall be</w:t>
      </w:r>
      <w:r w:rsidRPr="00FE2EBC">
        <w:rPr>
          <w:sz w:val="20"/>
          <w:lang w:val="en-US"/>
        </w:rPr>
        <w:t xml:space="preserve"> my strength in the LORD of hosts their God.</w:t>
      </w:r>
      <w:r w:rsidRPr="00FE2EBC">
        <w:rPr>
          <w:sz w:val="20"/>
        </w:rPr>
        <w:t>’</w:t>
      </w:r>
      <w:r>
        <w:rPr>
          <w:sz w:val="20"/>
        </w:rPr>
        <w:t xml:space="preserve"> </w:t>
      </w:r>
      <w:r w:rsidRPr="00FE2EBC">
        <w:rPr>
          <w:sz w:val="20"/>
        </w:rPr>
        <w:t xml:space="preserve"> Zech. 12:5, </w:t>
      </w:r>
      <w:r w:rsidRPr="00FE2EBC">
        <w:rPr>
          <w:i/>
          <w:sz w:val="20"/>
        </w:rPr>
        <w:t>KJV</w:t>
      </w:r>
      <w:r w:rsidRPr="00FE2EBC">
        <w:rPr>
          <w:sz w:val="20"/>
        </w:rPr>
        <w:t>.</w:t>
      </w:r>
    </w:p>
  </w:endnote>
  <w:endnote w:id="3589">
    <w:p w:rsidR="00975183" w:rsidRPr="00FE2EBC" w:rsidRDefault="00975183" w:rsidP="00D90FE2">
      <w:pPr>
        <w:pStyle w:val="EndnoteText"/>
      </w:pPr>
      <w:r w:rsidRPr="00FE2EBC">
        <w:rPr>
          <w:rStyle w:val="EndnoteReference"/>
        </w:rPr>
        <w:endnoteRef/>
      </w:r>
      <w:r w:rsidRPr="00FE2EBC">
        <w:t xml:space="preserve"> Redditt, </w:t>
      </w:r>
      <w:r w:rsidRPr="00FE2EBC">
        <w:rPr>
          <w:i/>
        </w:rPr>
        <w:t>Haggai, Zechariah, Malachi</w:t>
      </w:r>
      <w:r w:rsidRPr="00FE2EBC">
        <w:t>, p. 130</w:t>
      </w:r>
      <w:r w:rsidRPr="00FE2EBC">
        <w:rPr>
          <w:i/>
        </w:rPr>
        <w:t>.  NIV</w:t>
      </w:r>
      <w:r w:rsidRPr="00FE2EBC">
        <w:t xml:space="preserve"> makes a similar translation in Zech. 9:7 where the context seems to require it.</w:t>
      </w:r>
    </w:p>
  </w:endnote>
  <w:endnote w:id="3590">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 – 14 and Malachi</w:t>
      </w:r>
      <w:r w:rsidRPr="00FE2EBC">
        <w:t>, pp. 114-5.</w:t>
      </w:r>
    </w:p>
  </w:endnote>
  <w:endnote w:id="3591">
    <w:p w:rsidR="00975183" w:rsidRDefault="00975183" w:rsidP="00D90FE2">
      <w:pPr>
        <w:pStyle w:val="EndnoteText"/>
      </w:pPr>
      <w:r w:rsidRPr="00FE2EBC">
        <w:rPr>
          <w:rStyle w:val="EndnoteReference"/>
        </w:rPr>
        <w:endnoteRef/>
      </w:r>
      <w:r w:rsidRPr="00FE2EBC">
        <w:t xml:space="preserve"> </w:t>
      </w:r>
      <w:proofErr w:type="gramStart"/>
      <w:r w:rsidRPr="00FE2EBC">
        <w:t xml:space="preserve">Hence a </w:t>
      </w:r>
      <w:r w:rsidRPr="00FE2EBC">
        <w:rPr>
          <w:i/>
        </w:rPr>
        <w:t>hapax legomenon</w:t>
      </w:r>
      <w:r w:rsidRPr="00FE2EBC">
        <w:t>.</w:t>
      </w:r>
      <w:proofErr w:type="gramEnd"/>
    </w:p>
  </w:endnote>
  <w:endnote w:id="3592">
    <w:p w:rsidR="00975183" w:rsidRPr="006D06B2" w:rsidRDefault="00975183" w:rsidP="00D90FE2">
      <w:pPr>
        <w:pStyle w:val="EndnoteText"/>
      </w:pPr>
      <w:r w:rsidRPr="006D06B2">
        <w:rPr>
          <w:rStyle w:val="EndnoteReference"/>
        </w:rPr>
        <w:endnoteRef/>
      </w:r>
      <w:r w:rsidRPr="006D06B2">
        <w:t xml:space="preserve"> </w:t>
      </w:r>
      <w:r>
        <w:t xml:space="preserve">Meyers and Meyers name these scholars as </w:t>
      </w:r>
      <w:r w:rsidRPr="006D06B2">
        <w:t xml:space="preserve">Mitchell (1912; p 328) </w:t>
      </w:r>
      <w:r>
        <w:t>and</w:t>
      </w:r>
      <w:r w:rsidRPr="006D06B2">
        <w:t xml:space="preserve"> Driver (1938: 403)</w:t>
      </w:r>
      <w:r>
        <w:t>.</w:t>
      </w:r>
    </w:p>
  </w:endnote>
  <w:endnote w:id="3593">
    <w:p w:rsidR="00975183" w:rsidRDefault="00975183" w:rsidP="00D90FE2">
      <w:pPr>
        <w:pStyle w:val="EndnoteText"/>
      </w:pPr>
      <w:r w:rsidRPr="00FE2EBC">
        <w:rPr>
          <w:rStyle w:val="EndnoteReference"/>
        </w:rPr>
        <w:endnoteRef/>
      </w:r>
      <w:r w:rsidRPr="00FE2EBC">
        <w:t xml:space="preserve"> </w:t>
      </w:r>
      <w:proofErr w:type="gramStart"/>
      <w:r w:rsidRPr="00FE2EBC">
        <w:rPr>
          <w:rFonts w:ascii="Bwhebb" w:hAnsi="Bwhebb" w:cs="Bwhebb"/>
          <w:sz w:val="32"/>
          <w:szCs w:val="32"/>
          <w:lang w:val="en-US" w:bidi="he-IL"/>
        </w:rPr>
        <w:t>ybeäv.yO</w:t>
      </w:r>
      <w:proofErr w:type="gramEnd"/>
      <w:r w:rsidRPr="00FE2EBC">
        <w:t xml:space="preserve"> is </w:t>
      </w:r>
      <w:r w:rsidRPr="00FE2EBC">
        <w:rPr>
          <w:szCs w:val="24"/>
        </w:rPr>
        <w:t xml:space="preserve">a qal participle masculine plural construct from the verb, </w:t>
      </w:r>
      <w:r w:rsidRPr="00FE2EBC">
        <w:rPr>
          <w:rFonts w:ascii="Bwhebb" w:hAnsi="Bwhebb" w:cs="Bwhebb"/>
          <w:sz w:val="32"/>
          <w:szCs w:val="32"/>
          <w:lang w:val="en-US" w:bidi="he-IL"/>
        </w:rPr>
        <w:t>bvy</w:t>
      </w:r>
      <w:r w:rsidRPr="00FE2EBC">
        <w:rPr>
          <w:szCs w:val="24"/>
        </w:rPr>
        <w:t>, ‘to inhabit’.</w:t>
      </w:r>
    </w:p>
  </w:endnote>
  <w:endnote w:id="3594">
    <w:p w:rsidR="00975183" w:rsidRPr="00FE2EBC" w:rsidRDefault="00975183" w:rsidP="00D90FE2">
      <w:pPr>
        <w:pStyle w:val="EndnoteText"/>
      </w:pPr>
      <w:r w:rsidRPr="00FE2EBC">
        <w:rPr>
          <w:rStyle w:val="EndnoteReference"/>
        </w:rPr>
        <w:endnoteRef/>
      </w:r>
      <w:r w:rsidRPr="00FE2EBC">
        <w:t xml:space="preserve"> </w:t>
      </w:r>
      <w:r w:rsidRPr="00FE2EBC">
        <w:rPr>
          <w:i/>
        </w:rPr>
        <w:t>American Standard Version</w:t>
      </w:r>
      <w:r w:rsidRPr="00FE2EBC">
        <w:t xml:space="preserve">, 1901; </w:t>
      </w:r>
      <w:r w:rsidRPr="00FE2EBC">
        <w:rPr>
          <w:i/>
        </w:rPr>
        <w:t>English Revised Version</w:t>
      </w:r>
      <w:r w:rsidRPr="00FE2EBC">
        <w:t xml:space="preserve">, 1895; </w:t>
      </w:r>
      <w:r w:rsidRPr="00FE2EBC">
        <w:rPr>
          <w:i/>
        </w:rPr>
        <w:t>English Standard Version</w:t>
      </w:r>
      <w:r w:rsidRPr="00FE2EBC">
        <w:t xml:space="preserve">, (2001); </w:t>
      </w:r>
      <w:r w:rsidRPr="00FE2EBC">
        <w:rPr>
          <w:i/>
        </w:rPr>
        <w:t>the Geneva Bible</w:t>
      </w:r>
      <w:r w:rsidRPr="00FE2EBC">
        <w:t xml:space="preserve">, 1599; </w:t>
      </w:r>
      <w:r w:rsidRPr="00FE2EBC">
        <w:rPr>
          <w:i/>
        </w:rPr>
        <w:t>Complete Jewish Bible</w:t>
      </w:r>
      <w:r w:rsidRPr="00FE2EBC">
        <w:t xml:space="preserve">, 1998; </w:t>
      </w:r>
      <w:r w:rsidRPr="00FE2EBC">
        <w:rPr>
          <w:i/>
        </w:rPr>
        <w:t>Darby Bible</w:t>
      </w:r>
      <w:r w:rsidRPr="00FE2EBC">
        <w:t xml:space="preserve">, 1884/1890; </w:t>
      </w:r>
      <w:r w:rsidRPr="00FE2EBC">
        <w:rPr>
          <w:i/>
        </w:rPr>
        <w:t>Jewish Publication Society</w:t>
      </w:r>
      <w:r w:rsidRPr="00FE2EBC">
        <w:t xml:space="preserve">, 1917; </w:t>
      </w:r>
      <w:r w:rsidRPr="00FE2EBC">
        <w:rPr>
          <w:i/>
        </w:rPr>
        <w:t>KJV</w:t>
      </w:r>
      <w:r w:rsidRPr="00FE2EBC">
        <w:t xml:space="preserve">, 1611; </w:t>
      </w:r>
      <w:r w:rsidRPr="00FE2EBC">
        <w:rPr>
          <w:i/>
        </w:rPr>
        <w:t>New American Standard Version</w:t>
      </w:r>
      <w:r w:rsidRPr="00FE2EBC">
        <w:t xml:space="preserve">, 1977; </w:t>
      </w:r>
      <w:r w:rsidRPr="00FE2EBC">
        <w:rPr>
          <w:i/>
        </w:rPr>
        <w:t>NIV</w:t>
      </w:r>
      <w:r w:rsidRPr="00FE2EBC">
        <w:t xml:space="preserve">; </w:t>
      </w:r>
      <w:r w:rsidRPr="00FE2EBC">
        <w:rPr>
          <w:i/>
        </w:rPr>
        <w:t>New Jerusalem Bible</w:t>
      </w:r>
      <w:r w:rsidRPr="00FE2EBC">
        <w:t xml:space="preserve">; </w:t>
      </w:r>
      <w:r w:rsidRPr="00FE2EBC">
        <w:rPr>
          <w:i/>
        </w:rPr>
        <w:t>New KJV</w:t>
      </w:r>
      <w:r w:rsidRPr="00FE2EBC">
        <w:t xml:space="preserve">, 1982; </w:t>
      </w:r>
      <w:r w:rsidRPr="00FE2EBC">
        <w:rPr>
          <w:i/>
        </w:rPr>
        <w:t>New Living Translation</w:t>
      </w:r>
      <w:r w:rsidRPr="00FE2EBC">
        <w:t xml:space="preserve">; </w:t>
      </w:r>
      <w:r w:rsidRPr="00FE2EBC">
        <w:rPr>
          <w:i/>
        </w:rPr>
        <w:t>NRSV</w:t>
      </w:r>
      <w:r w:rsidRPr="00FE2EBC">
        <w:t xml:space="preserve">, 1989; </w:t>
      </w:r>
      <w:r w:rsidRPr="00FE2EBC">
        <w:rPr>
          <w:i/>
        </w:rPr>
        <w:t>Young’s Literal Translation</w:t>
      </w:r>
      <w:r w:rsidRPr="00FE2EBC">
        <w:t xml:space="preserve">, 1862/1898. </w:t>
      </w:r>
    </w:p>
  </w:endnote>
  <w:endnote w:id="3595">
    <w:p w:rsidR="00975183" w:rsidRPr="00FE2EBC" w:rsidRDefault="00975183" w:rsidP="00D90FE2">
      <w:pPr>
        <w:pStyle w:val="EndnoteText"/>
      </w:pPr>
      <w:r w:rsidRPr="00FE2EBC">
        <w:rPr>
          <w:rStyle w:val="EndnoteReference"/>
        </w:rPr>
        <w:endnoteRef/>
      </w:r>
      <w:r w:rsidRPr="00FE2EBC">
        <w:t xml:space="preserve"> </w:t>
      </w:r>
      <w:r w:rsidRPr="00FE2EBC">
        <w:rPr>
          <w:i/>
        </w:rPr>
        <w:t>French Bible en fran</w:t>
      </w:r>
      <w:r w:rsidRPr="00FE2EBC">
        <w:rPr>
          <w:rFonts w:cs="Humnst777 Lt BT"/>
          <w:i/>
          <w:lang w:val="en-US"/>
        </w:rPr>
        <w:t>ç</w:t>
      </w:r>
      <w:r w:rsidRPr="00FE2EBC">
        <w:rPr>
          <w:i/>
        </w:rPr>
        <w:t>ais courant</w:t>
      </w:r>
      <w:r w:rsidRPr="00FE2EBC">
        <w:t xml:space="preserve">, 1997; </w:t>
      </w:r>
      <w:r w:rsidRPr="00FE2EBC">
        <w:rPr>
          <w:i/>
        </w:rPr>
        <w:t>French version Darby</w:t>
      </w:r>
      <w:r w:rsidRPr="00FE2EBC">
        <w:t xml:space="preserve">, 1895; </w:t>
      </w:r>
      <w:r w:rsidRPr="00FE2EBC">
        <w:rPr>
          <w:i/>
        </w:rPr>
        <w:t>French Bible Jerusalem</w:t>
      </w:r>
      <w:r w:rsidRPr="00FE2EBC">
        <w:t xml:space="preserve">; </w:t>
      </w:r>
      <w:r w:rsidRPr="00FE2EBC">
        <w:rPr>
          <w:i/>
        </w:rPr>
        <w:t>Revidierte Elberfelder</w:t>
      </w:r>
      <w:r w:rsidRPr="00FE2EBC">
        <w:t>, 1993</w:t>
      </w:r>
      <w:r w:rsidRPr="00FE2EBC">
        <w:rPr>
          <w:i/>
        </w:rPr>
        <w:t>; Luther 1545 German Bible</w:t>
      </w:r>
      <w:r w:rsidRPr="00FE2EBC">
        <w:t xml:space="preserve">; </w:t>
      </w:r>
      <w:r w:rsidRPr="00FE2EBC">
        <w:rPr>
          <w:i/>
        </w:rPr>
        <w:t>Luther Bibel (1912) with codes</w:t>
      </w:r>
      <w:r w:rsidRPr="00FE2EBC">
        <w:t xml:space="preserve">; </w:t>
      </w:r>
      <w:r w:rsidRPr="00FE2EBC">
        <w:rPr>
          <w:i/>
        </w:rPr>
        <w:t>Revidierte Lutherbibel</w:t>
      </w:r>
      <w:r w:rsidRPr="00FE2EBC">
        <w:t>, 1984.</w:t>
      </w:r>
    </w:p>
  </w:endnote>
  <w:endnote w:id="3596">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323.</w:t>
      </w:r>
    </w:p>
  </w:endnote>
  <w:endnote w:id="3597">
    <w:p w:rsidR="00975183" w:rsidRDefault="00975183" w:rsidP="00D90FE2">
      <w:pPr>
        <w:pStyle w:val="EndnoteText"/>
      </w:pPr>
      <w:r w:rsidRPr="00FE2EBC">
        <w:rPr>
          <w:rStyle w:val="EndnoteReference"/>
        </w:rPr>
        <w:endnoteRef/>
      </w:r>
      <w:r w:rsidRPr="00FE2EBC">
        <w:t xml:space="preserve"> Norman K. Gottwald, </w:t>
      </w:r>
      <w:r w:rsidRPr="00FE2EBC">
        <w:rPr>
          <w:i/>
        </w:rPr>
        <w:t>The Tribes of Yahweh: A Sociology of Religion of Liberated Israel 1250-1050 B.C.E.</w:t>
      </w:r>
      <w:r w:rsidRPr="00FE2EBC">
        <w:t xml:space="preserve"> (First British edition; London: SCM Press Ltd., 1980), pp. 512-30.  Gottwald does say (p 512) that there is ‘a strong case to be made for a more specialized political structural meaning of the text in some contexts</w:t>
      </w:r>
      <w:r>
        <w:t xml:space="preserve">’. </w:t>
      </w:r>
      <w:r w:rsidRPr="00FE2EBC">
        <w:t xml:space="preserve"> </w:t>
      </w:r>
      <w:r>
        <w:t>H</w:t>
      </w:r>
      <w:r w:rsidRPr="00FE2EBC">
        <w:t xml:space="preserve">e cites Amos 1:5, 8; </w:t>
      </w:r>
    </w:p>
    <w:p w:rsidR="00975183" w:rsidRDefault="00975183" w:rsidP="00D90FE2">
      <w:pPr>
        <w:pStyle w:val="EndnoteText"/>
      </w:pPr>
      <w:r w:rsidRPr="00FE2EBC">
        <w:t>Lam. 4:12; (development of</w:t>
      </w:r>
      <w:r>
        <w:t xml:space="preserve"> </w:t>
      </w:r>
      <w:r w:rsidRPr="00AE70C0">
        <w:rPr>
          <w:rFonts w:ascii="Bwhebb" w:hAnsi="Bwhebb" w:cs="Bwhebb"/>
          <w:sz w:val="32"/>
          <w:szCs w:val="32"/>
          <w:lang w:val="en-US" w:bidi="he-IL"/>
        </w:rPr>
        <w:t>bvy</w:t>
      </w:r>
      <w:r w:rsidRPr="00FE2EBC">
        <w:t xml:space="preserve"> as ‘a throne-sitter’); Zech. 9:5-6; Isa. 9:8</w:t>
      </w:r>
      <w:r>
        <w:t>-</w:t>
      </w:r>
      <w:r w:rsidRPr="00FE2EBC">
        <w:t xml:space="preserve">10; 10:13-14a; 20:3-6; 23:2-3; </w:t>
      </w:r>
    </w:p>
    <w:p w:rsidR="00975183" w:rsidRPr="00FE2EBC" w:rsidRDefault="00975183" w:rsidP="00D90FE2">
      <w:pPr>
        <w:pStyle w:val="EndnoteText"/>
      </w:pPr>
      <w:r w:rsidRPr="00FE2EBC">
        <w:t>Jer. 12:4; Jeremiah 26; Ezek. 11:14-15</w:t>
      </w:r>
      <w:r>
        <w:t>;</w:t>
      </w:r>
      <w:r w:rsidRPr="00FE2EBC">
        <w:t xml:space="preserve"> Micah 6:12 and various texts from Genesis, Joshua and Judges but does not mention Zech</w:t>
      </w:r>
      <w:r>
        <w:t>.</w:t>
      </w:r>
      <w:r w:rsidRPr="00FE2EBC">
        <w:t xml:space="preserve"> 12:5.</w:t>
      </w:r>
    </w:p>
  </w:endnote>
  <w:endnote w:id="3598">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pp. 323-4.</w:t>
      </w:r>
    </w:p>
  </w:endnote>
  <w:endnote w:id="3599">
    <w:p w:rsidR="00975183" w:rsidRDefault="00975183" w:rsidP="00D90FE2">
      <w:pPr>
        <w:pStyle w:val="EndnoteText"/>
      </w:pPr>
      <w:r w:rsidRPr="00FE2EBC">
        <w:rPr>
          <w:rStyle w:val="EndnoteReference"/>
        </w:rPr>
        <w:endnoteRef/>
      </w:r>
      <w:r w:rsidRPr="00FE2EBC">
        <w:t xml:space="preserve"> ‘</w:t>
      </w:r>
      <w:r w:rsidRPr="00FE2EBC">
        <w:rPr>
          <w:rFonts w:cs="Arial"/>
          <w:szCs w:val="24"/>
          <w:lang w:val="en-US" w:bidi="he-IL"/>
        </w:rPr>
        <w:t>And I will pour out a spirit of compassion and supplication on the house of David and the inhabitants of Jerusalem, so that, when they look on the one whom they have pierced, they shall mourn for him, as one mourns for an only child, and weep bitterly over him, as one weeps over a firstborn.</w:t>
      </w:r>
      <w:r w:rsidRPr="00FE2EBC">
        <w:t>’</w:t>
      </w:r>
      <w:r>
        <w:t xml:space="preserve"> </w:t>
      </w:r>
      <w:r w:rsidRPr="00FE2EBC">
        <w:t xml:space="preserve"> Zech. 12:10, </w:t>
      </w:r>
      <w:r w:rsidRPr="00FE2EBC">
        <w:rPr>
          <w:i/>
        </w:rPr>
        <w:t>NRSV</w:t>
      </w:r>
      <w:r>
        <w:t>.</w:t>
      </w:r>
      <w:r w:rsidRPr="00FE2EBC">
        <w:t xml:space="preserve"> </w:t>
      </w:r>
    </w:p>
    <w:p w:rsidR="00975183" w:rsidRPr="00FE2EBC" w:rsidRDefault="00975183" w:rsidP="00D90FE2">
      <w:pPr>
        <w:pStyle w:val="EndnoteText"/>
      </w:pPr>
      <w:r w:rsidRPr="00FE2EBC">
        <w:t>‘</w:t>
      </w:r>
      <w:r w:rsidRPr="00FE2EBC">
        <w:rPr>
          <w:lang w:val="en-US"/>
        </w:rPr>
        <w:t xml:space="preserve">And I will pour upon the house of David, and upon the inhabitants of Jerusalem, the spirit of grace and of supplications: and they shall look upon me whom they have pierced, and they shall mourn for him, as one mourneth for </w:t>
      </w:r>
      <w:r w:rsidRPr="00FE2EBC">
        <w:rPr>
          <w:i/>
          <w:iCs/>
          <w:lang w:val="en-US"/>
        </w:rPr>
        <w:t>his</w:t>
      </w:r>
      <w:r w:rsidRPr="00FE2EBC">
        <w:rPr>
          <w:lang w:val="en-US"/>
        </w:rPr>
        <w:t xml:space="preserve"> only </w:t>
      </w:r>
      <w:r w:rsidRPr="00FE2EBC">
        <w:rPr>
          <w:i/>
          <w:iCs/>
          <w:lang w:val="en-US"/>
        </w:rPr>
        <w:t>son,</w:t>
      </w:r>
      <w:r w:rsidRPr="00FE2EBC">
        <w:rPr>
          <w:lang w:val="en-US"/>
        </w:rPr>
        <w:t xml:space="preserve"> and shall be in bitterness for him, as one that is in bitterness for </w:t>
      </w:r>
      <w:r w:rsidRPr="00FE2EBC">
        <w:rPr>
          <w:i/>
          <w:iCs/>
          <w:lang w:val="en-US"/>
        </w:rPr>
        <w:t>his</w:t>
      </w:r>
      <w:r w:rsidRPr="00FE2EBC">
        <w:rPr>
          <w:lang w:val="en-US"/>
        </w:rPr>
        <w:t xml:space="preserve"> firstborn.</w:t>
      </w:r>
      <w:r w:rsidRPr="00FE2EBC">
        <w:t>’</w:t>
      </w:r>
      <w:r>
        <w:t xml:space="preserve"> </w:t>
      </w:r>
      <w:r w:rsidRPr="00FE2EBC">
        <w:t xml:space="preserve"> Zech. 12:10, </w:t>
      </w:r>
      <w:r w:rsidRPr="00FE2EBC">
        <w:rPr>
          <w:i/>
        </w:rPr>
        <w:t>KJV</w:t>
      </w:r>
      <w:r w:rsidRPr="00FE2EBC">
        <w:t>.</w:t>
      </w:r>
    </w:p>
  </w:endnote>
  <w:endnote w:id="3600">
    <w:p w:rsidR="00975183" w:rsidRDefault="00975183" w:rsidP="00D90FE2">
      <w:pPr>
        <w:pStyle w:val="EndnoteText"/>
      </w:pPr>
      <w:r w:rsidRPr="00FE2EBC">
        <w:rPr>
          <w:rStyle w:val="EndnoteReference"/>
        </w:rPr>
        <w:endnoteRef/>
      </w:r>
      <w:r w:rsidRPr="00FE2EBC">
        <w:t xml:space="preserve"> Zechariah 12:10a.</w:t>
      </w:r>
    </w:p>
  </w:endnote>
  <w:endnote w:id="3601">
    <w:p w:rsidR="00975183" w:rsidRPr="00DB4825" w:rsidRDefault="00975183" w:rsidP="00D90FE2">
      <w:pPr>
        <w:pStyle w:val="EndnoteText"/>
      </w:pPr>
      <w:r w:rsidRPr="00DB4825">
        <w:rPr>
          <w:rStyle w:val="EndnoteReference"/>
        </w:rPr>
        <w:endnoteRef/>
      </w:r>
      <w:r w:rsidRPr="00DB4825">
        <w:t xml:space="preserve"> </w:t>
      </w:r>
      <w:proofErr w:type="gramStart"/>
      <w:r w:rsidRPr="00DB4825">
        <w:t>(</w:t>
      </w:r>
      <w:r w:rsidRPr="00DB4825">
        <w:rPr>
          <w:i/>
        </w:rPr>
        <w:t>My emphasis</w:t>
      </w:r>
      <w:r w:rsidRPr="00DB4825">
        <w:t>.)</w:t>
      </w:r>
      <w:proofErr w:type="gramEnd"/>
    </w:p>
  </w:endnote>
  <w:endnote w:id="3602">
    <w:p w:rsidR="00975183" w:rsidRPr="00FE2EBC" w:rsidRDefault="00975183" w:rsidP="00D90FE2">
      <w:pPr>
        <w:pStyle w:val="EndnoteText"/>
      </w:pPr>
      <w:r w:rsidRPr="00FE2EBC">
        <w:rPr>
          <w:rStyle w:val="EndnoteReference"/>
        </w:rPr>
        <w:endnoteRef/>
      </w:r>
      <w:r w:rsidRPr="00FE2EBC">
        <w:t xml:space="preserve"> </w:t>
      </w:r>
      <w:proofErr w:type="gramStart"/>
      <w:r w:rsidRPr="00FE2EBC">
        <w:t xml:space="preserve">For example, </w:t>
      </w:r>
      <w:r w:rsidRPr="00FE2EBC">
        <w:rPr>
          <w:i/>
        </w:rPr>
        <w:t>English Standard Version</w:t>
      </w:r>
      <w:r w:rsidRPr="00FE2EBC">
        <w:t xml:space="preserve"> and </w:t>
      </w:r>
      <w:r w:rsidRPr="00FE2EBC">
        <w:rPr>
          <w:i/>
        </w:rPr>
        <w:t>NRSV</w:t>
      </w:r>
      <w:r w:rsidRPr="00FE2EBC">
        <w:t>.</w:t>
      </w:r>
      <w:proofErr w:type="gramEnd"/>
      <w:r w:rsidRPr="00FE2EBC">
        <w:t xml:space="preserve"> </w:t>
      </w:r>
    </w:p>
  </w:endnote>
  <w:endnote w:id="3603">
    <w:p w:rsidR="00975183" w:rsidRPr="00DB4825" w:rsidRDefault="00975183" w:rsidP="00D90FE2">
      <w:pPr>
        <w:pStyle w:val="EndnoteText"/>
      </w:pPr>
      <w:r w:rsidRPr="00DB4825">
        <w:rPr>
          <w:rStyle w:val="EndnoteReference"/>
        </w:rPr>
        <w:endnoteRef/>
      </w:r>
      <w:r w:rsidRPr="00DB4825">
        <w:t xml:space="preserve"> </w:t>
      </w:r>
      <w:proofErr w:type="gramStart"/>
      <w:r w:rsidRPr="00DB4825">
        <w:t>(</w:t>
      </w:r>
      <w:r w:rsidRPr="00DB4825">
        <w:rPr>
          <w:i/>
        </w:rPr>
        <w:t>My emphasis</w:t>
      </w:r>
      <w:r w:rsidRPr="00DB4825">
        <w:t>.)</w:t>
      </w:r>
      <w:proofErr w:type="gramEnd"/>
    </w:p>
  </w:endnote>
  <w:endnote w:id="3604">
    <w:p w:rsidR="00975183" w:rsidRPr="00FE2EBC" w:rsidRDefault="00975183" w:rsidP="00D90FE2">
      <w:pPr>
        <w:pStyle w:val="EndnoteText"/>
      </w:pPr>
      <w:r w:rsidRPr="00FE2EBC">
        <w:rPr>
          <w:rStyle w:val="EndnoteReference"/>
        </w:rPr>
        <w:endnoteRef/>
      </w:r>
      <w:r w:rsidRPr="00FE2EBC">
        <w:t xml:space="preserve"> Mason, ‘Zechariah 12.1-13.6’, p. 160.</w:t>
      </w:r>
    </w:p>
  </w:endnote>
  <w:endnote w:id="3605">
    <w:p w:rsidR="00975183" w:rsidRPr="00FE2EBC" w:rsidRDefault="00975183" w:rsidP="00D90FE2">
      <w:pPr>
        <w:pStyle w:val="EndnoteText"/>
      </w:pPr>
      <w:r w:rsidRPr="00FE2EBC">
        <w:rPr>
          <w:rStyle w:val="EndnoteReference"/>
        </w:rPr>
        <w:endnoteRef/>
      </w:r>
      <w:r w:rsidRPr="00FE2EBC">
        <w:t xml:space="preserve"> Mason, ‘Zechariah 12.1-13.6’, pp. 163-4. </w:t>
      </w:r>
    </w:p>
  </w:endnote>
  <w:endnote w:id="3606">
    <w:p w:rsidR="00975183" w:rsidRPr="00FE2EBC" w:rsidRDefault="00975183" w:rsidP="00D90FE2">
      <w:pPr>
        <w:pStyle w:val="EndnoteText"/>
      </w:pPr>
      <w:r w:rsidRPr="00FE2EBC">
        <w:rPr>
          <w:rStyle w:val="EndnoteReference"/>
        </w:rPr>
        <w:endnoteRef/>
      </w:r>
      <w:r w:rsidRPr="00FE2EBC">
        <w:t xml:space="preserve"> Mason, </w:t>
      </w:r>
      <w:r w:rsidRPr="00FE2EBC">
        <w:rPr>
          <w:i/>
        </w:rPr>
        <w:t>Books of Haggai, Zechariah and Malachi</w:t>
      </w:r>
      <w:r w:rsidRPr="00FE2EBC">
        <w:t>, p. 119.</w:t>
      </w:r>
    </w:p>
  </w:endnote>
  <w:endnote w:id="3607">
    <w:p w:rsidR="00975183" w:rsidRPr="00FE2EBC" w:rsidRDefault="00975183" w:rsidP="00D90FE2">
      <w:pPr>
        <w:pStyle w:val="EndnoteText"/>
      </w:pPr>
      <w:r w:rsidRPr="00FE2EBC">
        <w:rPr>
          <w:rStyle w:val="EndnoteReference"/>
        </w:rPr>
        <w:endnoteRef/>
      </w:r>
      <w:r w:rsidRPr="00FE2EBC">
        <w:t xml:space="preserve"> Mason, ‘Zechariah 12.1-13.6’, p. 165.</w:t>
      </w:r>
    </w:p>
  </w:endnote>
  <w:endnote w:id="3608">
    <w:p w:rsidR="00975183" w:rsidRPr="00FE2EBC" w:rsidRDefault="00975183" w:rsidP="00D90FE2">
      <w:pPr>
        <w:pStyle w:val="EndnoteText"/>
      </w:pPr>
      <w:r w:rsidRPr="00FE2EBC">
        <w:rPr>
          <w:rStyle w:val="EndnoteReference"/>
        </w:rPr>
        <w:endnoteRef/>
      </w:r>
      <w:r w:rsidRPr="00FE2EBC">
        <w:t xml:space="preserve"> Redditt, </w:t>
      </w:r>
      <w:r w:rsidRPr="00FE2EBC">
        <w:rPr>
          <w:i/>
        </w:rPr>
        <w:t>Haggai, Zechariah, Malachi</w:t>
      </w:r>
      <w:r w:rsidRPr="00FE2EBC">
        <w:t>,</w:t>
      </w:r>
      <w:r w:rsidRPr="00FE2EBC">
        <w:rPr>
          <w:i/>
        </w:rPr>
        <w:t xml:space="preserve"> </w:t>
      </w:r>
      <w:r w:rsidRPr="00FE2EBC">
        <w:t>p. 133.</w:t>
      </w:r>
    </w:p>
  </w:endnote>
  <w:endnote w:id="3609">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 – 14 and Malachi</w:t>
      </w:r>
      <w:r w:rsidRPr="00FE2EBC">
        <w:t>, p. 121.</w:t>
      </w:r>
    </w:p>
  </w:endnote>
  <w:endnote w:id="3610">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xml:space="preserve">, p. 334.  </w:t>
      </w:r>
      <w:r w:rsidRPr="00FE2EBC">
        <w:rPr>
          <w:szCs w:val="24"/>
        </w:rPr>
        <w:t>This may possibly be reflected in verses 12-14.</w:t>
      </w:r>
    </w:p>
  </w:endnote>
  <w:endnote w:id="3611">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337.</w:t>
      </w:r>
    </w:p>
  </w:endnote>
  <w:endnote w:id="3612">
    <w:p w:rsidR="00975183" w:rsidRDefault="00975183" w:rsidP="00D90FE2">
      <w:pPr>
        <w:pStyle w:val="EndnoteText"/>
      </w:pPr>
      <w:r w:rsidRPr="00FE2EBC">
        <w:rPr>
          <w:rStyle w:val="EndnoteReference"/>
        </w:rPr>
        <w:endnoteRef/>
      </w:r>
      <w:r w:rsidRPr="00FE2EBC">
        <w:t xml:space="preserve"> Meyers and Meyers, </w:t>
      </w:r>
      <w:r w:rsidRPr="00623328">
        <w:rPr>
          <w:i/>
        </w:rPr>
        <w:t>Zechariah 9 – 14</w:t>
      </w:r>
      <w:r w:rsidRPr="00FE2EBC">
        <w:t>, pp. 339-40.</w:t>
      </w:r>
    </w:p>
  </w:endnote>
  <w:endnote w:id="3613">
    <w:p w:rsidR="00975183" w:rsidRDefault="00975183" w:rsidP="00D90FE2">
      <w:pPr>
        <w:pStyle w:val="EndnoteText"/>
        <w:rPr>
          <w:rFonts w:ascii="Bwhebb" w:hAnsi="Bwhebb" w:cs="Bwhebb"/>
          <w:sz w:val="36"/>
          <w:szCs w:val="24"/>
          <w:lang w:val="en-US" w:bidi="he-IL"/>
        </w:rPr>
      </w:pPr>
      <w:r w:rsidRPr="00FE2EBC">
        <w:rPr>
          <w:rStyle w:val="EndnoteReference"/>
        </w:rPr>
        <w:endnoteRef/>
      </w:r>
      <w:r w:rsidRPr="00FE2EBC">
        <w:t xml:space="preserve"> </w:t>
      </w:r>
      <w:r>
        <w:rPr>
          <w:rFonts w:ascii="Bwhebb" w:hAnsi="Bwhebb" w:cs="Bwhebb"/>
          <w:sz w:val="36"/>
          <w:szCs w:val="24"/>
          <w:lang w:val="en-US" w:bidi="he-IL"/>
        </w:rPr>
        <w:t>‘hw"hy&gt; !gEÜy" aWhªh; ~AYæB;</w:t>
      </w:r>
    </w:p>
    <w:p w:rsidR="00975183" w:rsidRDefault="00975183" w:rsidP="00D90FE2">
      <w:pPr>
        <w:pStyle w:val="EndnoteText"/>
        <w:rPr>
          <w:rFonts w:ascii="Bwhebb" w:hAnsi="Bwhebb" w:cs="Bwhebb"/>
          <w:sz w:val="36"/>
          <w:szCs w:val="24"/>
          <w:lang w:val="en-US" w:bidi="he-IL"/>
        </w:rPr>
      </w:pPr>
      <w:proofErr w:type="gramStart"/>
      <w:r>
        <w:rPr>
          <w:rFonts w:ascii="Bwhebb" w:hAnsi="Bwhebb" w:cs="Bwhebb"/>
          <w:sz w:val="36"/>
          <w:szCs w:val="24"/>
          <w:lang w:val="en-US" w:bidi="he-IL"/>
        </w:rPr>
        <w:t>lv'îk.NIh</w:t>
      </w:r>
      <w:proofErr w:type="gramEnd"/>
      <w:r>
        <w:rPr>
          <w:rFonts w:ascii="Bwhebb" w:hAnsi="Bwhebb" w:cs="Bwhebb"/>
          <w:sz w:val="36"/>
          <w:szCs w:val="24"/>
          <w:lang w:val="en-US" w:bidi="he-IL"/>
        </w:rPr>
        <w:t>; hy"ùh'w&gt; ~Øil;êv'Wry&gt; bveäAy ‘d[;B.</w:t>
      </w:r>
    </w:p>
    <w:p w:rsidR="00975183" w:rsidRDefault="00975183" w:rsidP="00D90FE2">
      <w:pPr>
        <w:pStyle w:val="EndnoteText"/>
        <w:rPr>
          <w:rFonts w:ascii="Bwhebb" w:hAnsi="Bwhebb" w:cs="Bwhebb"/>
          <w:sz w:val="36"/>
          <w:szCs w:val="24"/>
          <w:lang w:val="en-US" w:bidi="he-IL"/>
        </w:rPr>
      </w:pPr>
      <w:r>
        <w:rPr>
          <w:rFonts w:ascii="Bwhebb" w:hAnsi="Bwhebb" w:cs="Bwhebb"/>
          <w:sz w:val="36"/>
          <w:szCs w:val="24"/>
          <w:lang w:val="en-US" w:bidi="he-IL"/>
        </w:rPr>
        <w:t>‘dywID" tybeÛW dywI+d"K. aWhßh; ~AYðB; ~h,²B'</w:t>
      </w:r>
    </w:p>
    <w:p w:rsidR="00975183" w:rsidRDefault="00975183" w:rsidP="00D90FE2">
      <w:pPr>
        <w:pStyle w:val="EndnoteText"/>
      </w:pPr>
      <w:r>
        <w:rPr>
          <w:rFonts w:ascii="Bwhebb" w:hAnsi="Bwhebb" w:cs="Bwhebb"/>
          <w:sz w:val="36"/>
          <w:szCs w:val="24"/>
          <w:lang w:val="en-US" w:bidi="he-IL"/>
        </w:rPr>
        <w:t>~h,(ynEp.li hw"ßhy&gt; %a:ïl.m;K. ~yhiêl{aKe(</w:t>
      </w:r>
    </w:p>
    <w:p w:rsidR="00975183" w:rsidRDefault="00975183" w:rsidP="00D90FE2">
      <w:pPr>
        <w:pStyle w:val="EndnoteText"/>
      </w:pPr>
      <w:r w:rsidRPr="00FE2EBC">
        <w:t>‘</w:t>
      </w:r>
      <w:r w:rsidRPr="00FE2EBC">
        <w:rPr>
          <w:rFonts w:cs="Arial"/>
          <w:szCs w:val="24"/>
          <w:lang w:val="en-US" w:bidi="he-IL"/>
        </w:rPr>
        <w:t>On that day the LORD will shield the inhabitants of Jerusalem so that the feeblest among them on that day shall be like David, and the house of David shall be like God, like the angel of the LORD, at their head.</w:t>
      </w:r>
      <w:r w:rsidRPr="00FE2EBC">
        <w:t>’</w:t>
      </w:r>
      <w:r>
        <w:t xml:space="preserve"> </w:t>
      </w:r>
      <w:r w:rsidRPr="00FE2EBC">
        <w:t xml:space="preserve"> </w:t>
      </w:r>
      <w:proofErr w:type="gramStart"/>
      <w:r w:rsidRPr="00FE2EBC">
        <w:t xml:space="preserve">Zech. 12:8 </w:t>
      </w:r>
      <w:r w:rsidRPr="00FE2EBC">
        <w:rPr>
          <w:i/>
        </w:rPr>
        <w:t>NRSV</w:t>
      </w:r>
      <w:r>
        <w:t>.</w:t>
      </w:r>
      <w:proofErr w:type="gramEnd"/>
      <w:r w:rsidRPr="00FE2EBC">
        <w:t xml:space="preserve"> </w:t>
      </w:r>
    </w:p>
    <w:p w:rsidR="00975183" w:rsidRPr="00FE2EBC" w:rsidRDefault="00975183" w:rsidP="00D90FE2">
      <w:pPr>
        <w:pStyle w:val="EndnoteText"/>
      </w:pPr>
      <w:r w:rsidRPr="00FE2EBC">
        <w:t>‘</w:t>
      </w:r>
      <w:r w:rsidRPr="00FE2EBC">
        <w:rPr>
          <w:lang w:val="en-US"/>
        </w:rPr>
        <w:t>On that day the LORD will shield those who live in Jerusalem, so that the feeblest among them will be like David, and the house of David will be like God, like the Angel of the LORD going before them.</w:t>
      </w:r>
      <w:r w:rsidRPr="00FE2EBC">
        <w:t>’</w:t>
      </w:r>
      <w:r>
        <w:t xml:space="preserve"> </w:t>
      </w:r>
      <w:r w:rsidRPr="00FE2EBC">
        <w:t xml:space="preserve"> Zech. 12:8, </w:t>
      </w:r>
      <w:r w:rsidRPr="00FE2EBC">
        <w:rPr>
          <w:i/>
        </w:rPr>
        <w:t>KJV</w:t>
      </w:r>
      <w:r w:rsidRPr="00FE2EBC">
        <w:t>.</w:t>
      </w:r>
    </w:p>
  </w:endnote>
  <w:endnote w:id="3614">
    <w:p w:rsidR="00975183" w:rsidRPr="00FE2EBC" w:rsidRDefault="00975183" w:rsidP="00D90FE2">
      <w:pPr>
        <w:pStyle w:val="EndnoteText"/>
      </w:pPr>
      <w:r w:rsidRPr="00FE2EBC">
        <w:rPr>
          <w:rStyle w:val="EndnoteReference"/>
        </w:rPr>
        <w:endnoteRef/>
      </w:r>
      <w:r w:rsidRPr="00FE2EBC">
        <w:t xml:space="preserve"> Zech. 12:7.</w:t>
      </w:r>
    </w:p>
  </w:endnote>
  <w:endnote w:id="3615">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330.  Ref. Zech. 12:10-14.</w:t>
      </w:r>
    </w:p>
  </w:endnote>
  <w:endnote w:id="3616">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331.</w:t>
      </w:r>
    </w:p>
  </w:endnote>
  <w:endnote w:id="3617">
    <w:p w:rsidR="00975183" w:rsidRPr="00FE2EBC" w:rsidRDefault="00975183" w:rsidP="00D90FE2">
      <w:pPr>
        <w:pStyle w:val="EndnoteText"/>
      </w:pPr>
      <w:r w:rsidRPr="00FE2EBC">
        <w:rPr>
          <w:rStyle w:val="EndnoteReference"/>
        </w:rPr>
        <w:endnoteRef/>
      </w:r>
      <w:r w:rsidRPr="00FE2EBC">
        <w:t xml:space="preserve"> Ref. 2 Sam. 7:8-16.</w:t>
      </w:r>
    </w:p>
  </w:endnote>
  <w:endnote w:id="3618">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357.</w:t>
      </w:r>
    </w:p>
  </w:endnote>
  <w:endnote w:id="3619">
    <w:p w:rsidR="00975183" w:rsidRPr="00FE2EBC" w:rsidRDefault="00975183" w:rsidP="00D90FE2">
      <w:pPr>
        <w:pStyle w:val="EndnoteText"/>
      </w:pPr>
      <w:r w:rsidRPr="00FE2EBC">
        <w:rPr>
          <w:rStyle w:val="EndnoteReference"/>
        </w:rPr>
        <w:endnoteRef/>
      </w:r>
      <w:r w:rsidRPr="00FE2EBC">
        <w:t xml:space="preserve"> Zech. 12:7.</w:t>
      </w:r>
    </w:p>
  </w:endnote>
  <w:endnote w:id="3620">
    <w:p w:rsidR="00975183" w:rsidRPr="00FE2EBC"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 358.</w:t>
      </w:r>
    </w:p>
  </w:endnote>
  <w:endnote w:id="3621">
    <w:p w:rsidR="00975183" w:rsidRPr="00FE2EBC" w:rsidRDefault="00975183" w:rsidP="00D90FE2">
      <w:pPr>
        <w:pStyle w:val="EndnoteText"/>
      </w:pPr>
      <w:r w:rsidRPr="00FE2EBC">
        <w:rPr>
          <w:rStyle w:val="EndnoteReference"/>
        </w:rPr>
        <w:endnoteRef/>
      </w:r>
      <w:r w:rsidRPr="00FE2EBC">
        <w:t xml:space="preserve"> Mason, ‘Zechariah 12.1-13.6’, pp. 155-6.</w:t>
      </w:r>
    </w:p>
  </w:endnote>
  <w:endnote w:id="3622">
    <w:p w:rsidR="00975183" w:rsidRPr="00FE2EBC" w:rsidRDefault="00975183" w:rsidP="00D90FE2">
      <w:pPr>
        <w:pStyle w:val="EndnoteText"/>
      </w:pPr>
      <w:r w:rsidRPr="00FE2EBC">
        <w:rPr>
          <w:rStyle w:val="EndnoteReference"/>
        </w:rPr>
        <w:endnoteRef/>
      </w:r>
      <w:r w:rsidRPr="00FE2EBC">
        <w:t xml:space="preserve"> Mason, ‘Zechariah 12.1-13.6’, p. 155.</w:t>
      </w:r>
    </w:p>
  </w:endnote>
  <w:endnote w:id="3623">
    <w:p w:rsidR="00975183" w:rsidRPr="00FE2EBC" w:rsidRDefault="00975183" w:rsidP="00D90FE2">
      <w:pPr>
        <w:pStyle w:val="EndnoteText"/>
      </w:pPr>
      <w:r w:rsidRPr="00FE2EBC">
        <w:rPr>
          <w:rStyle w:val="EndnoteReference"/>
        </w:rPr>
        <w:endnoteRef/>
      </w:r>
      <w:r w:rsidRPr="00FE2EBC">
        <w:t xml:space="preserve"> Petersen, </w:t>
      </w:r>
      <w:r w:rsidRPr="00FE2EBC">
        <w:rPr>
          <w:i/>
        </w:rPr>
        <w:t>Zechariah 9 – 14 and Malachi</w:t>
      </w:r>
      <w:r w:rsidRPr="00FE2EBC">
        <w:t>, p. 118.</w:t>
      </w:r>
    </w:p>
  </w:endnote>
  <w:endnote w:id="3624">
    <w:p w:rsidR="00975183" w:rsidRDefault="00975183" w:rsidP="00D90FE2">
      <w:pPr>
        <w:pStyle w:val="EndnoteText"/>
      </w:pPr>
      <w:r w:rsidRPr="00FE2EBC">
        <w:rPr>
          <w:rStyle w:val="EndnoteReference"/>
        </w:rPr>
        <w:endnoteRef/>
      </w:r>
      <w:r w:rsidRPr="00FE2EBC">
        <w:t xml:space="preserve"> Meyers and Meyers, </w:t>
      </w:r>
      <w:r w:rsidRPr="00FE2EBC">
        <w:rPr>
          <w:i/>
        </w:rPr>
        <w:t>Zechariah 9 – 14</w:t>
      </w:r>
      <w:r w:rsidRPr="00FE2EBC">
        <w:t>, pp. 330-31.</w:t>
      </w:r>
    </w:p>
  </w:endnote>
  <w:endnote w:id="3625">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pp. 331.</w:t>
      </w:r>
    </w:p>
  </w:endnote>
  <w:endnote w:id="3626">
    <w:p w:rsidR="00975183" w:rsidRPr="00244E62" w:rsidRDefault="00975183" w:rsidP="00D90FE2">
      <w:pPr>
        <w:pStyle w:val="EndnoteText"/>
      </w:pPr>
      <w:r w:rsidRPr="00244E62">
        <w:rPr>
          <w:rStyle w:val="EndnoteReference"/>
        </w:rPr>
        <w:endnoteRef/>
      </w:r>
      <w:r w:rsidRPr="00244E62">
        <w:t xml:space="preserve"> Mason, ‘Zechariah 12.1-13.6’, p. 155.  Ref. </w:t>
      </w:r>
      <w:r w:rsidRPr="00244E62">
        <w:rPr>
          <w:szCs w:val="24"/>
        </w:rPr>
        <w:t>2 Sam. 7:8ff; 23:2ff.</w:t>
      </w:r>
    </w:p>
  </w:endnote>
  <w:endnote w:id="3627">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pp. 105-6.</w:t>
      </w:r>
    </w:p>
  </w:endnote>
  <w:endnote w:id="3628">
    <w:p w:rsidR="00975183" w:rsidRPr="00244E62" w:rsidRDefault="00975183" w:rsidP="00D90FE2">
      <w:pPr>
        <w:pStyle w:val="EndnoteText"/>
      </w:pPr>
      <w:r w:rsidRPr="00244E62">
        <w:rPr>
          <w:rStyle w:val="EndnoteReference"/>
        </w:rPr>
        <w:endnoteRef/>
      </w:r>
      <w:r w:rsidRPr="00244E62">
        <w:t xml:space="preserve"> </w:t>
      </w:r>
      <w:proofErr w:type="gramStart"/>
      <w:r w:rsidRPr="00244E62">
        <w:t>Redditt, ‘Israel’s Shepherds’, p. 638.</w:t>
      </w:r>
      <w:proofErr w:type="gramEnd"/>
    </w:p>
  </w:endnote>
  <w:endnote w:id="3629">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pp. 331.</w:t>
      </w:r>
    </w:p>
  </w:endnote>
  <w:endnote w:id="3630">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pp. 332.</w:t>
      </w:r>
    </w:p>
  </w:endnote>
  <w:endnote w:id="3631">
    <w:p w:rsidR="00975183" w:rsidRPr="00244E62" w:rsidRDefault="00975183" w:rsidP="00D90FE2">
      <w:pPr>
        <w:pStyle w:val="EndnoteText"/>
      </w:pPr>
      <w:r w:rsidRPr="00244E62">
        <w:rPr>
          <w:rStyle w:val="EndnoteReference"/>
        </w:rPr>
        <w:endnoteRef/>
      </w:r>
      <w:r w:rsidRPr="00244E62">
        <w:t xml:space="preserve"> Mason, ‘Zechariah 12.1-13.6’, p. 156.</w:t>
      </w:r>
    </w:p>
  </w:endnote>
  <w:endnote w:id="3632">
    <w:p w:rsidR="00975183" w:rsidRPr="00244E62" w:rsidRDefault="00975183" w:rsidP="00D90FE2">
      <w:pPr>
        <w:pStyle w:val="EndnoteText"/>
      </w:pPr>
      <w:r w:rsidRPr="00244E62">
        <w:rPr>
          <w:rStyle w:val="EndnoteReference"/>
        </w:rPr>
        <w:endnoteRef/>
      </w:r>
      <w:r w:rsidRPr="00244E62">
        <w:t xml:space="preserve"> Exodus 4:16.</w:t>
      </w:r>
    </w:p>
  </w:endnote>
  <w:endnote w:id="3633">
    <w:p w:rsidR="00975183" w:rsidRPr="00244E62" w:rsidRDefault="00975183" w:rsidP="00D90FE2">
      <w:pPr>
        <w:pStyle w:val="EndnoteText"/>
      </w:pPr>
      <w:r w:rsidRPr="00244E62">
        <w:rPr>
          <w:rStyle w:val="EndnoteReference"/>
        </w:rPr>
        <w:endnoteRef/>
      </w:r>
      <w:r w:rsidRPr="00244E62">
        <w:t xml:space="preserve"> Mason, ‘Zechariah 12.1-13.6’, p. 156.</w:t>
      </w:r>
    </w:p>
  </w:endnote>
  <w:endnote w:id="3634">
    <w:p w:rsidR="00975183" w:rsidRPr="00244E62" w:rsidRDefault="00975183" w:rsidP="00D90FE2">
      <w:pPr>
        <w:pStyle w:val="EndnoteText"/>
      </w:pPr>
      <w:r w:rsidRPr="00244E62">
        <w:rPr>
          <w:rStyle w:val="EndnoteReference"/>
        </w:rPr>
        <w:endnoteRef/>
      </w:r>
      <w:r w:rsidRPr="00244E62">
        <w:t xml:space="preserve"> Mason, ‘Zechariah 12.1-13.6’, p. 143.</w:t>
      </w:r>
    </w:p>
  </w:endnote>
  <w:endnote w:id="3635">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 332.</w:t>
      </w:r>
    </w:p>
  </w:endnote>
  <w:endnote w:id="3636">
    <w:p w:rsidR="00975183" w:rsidRPr="00244E62" w:rsidRDefault="00975183" w:rsidP="00D90FE2">
      <w:pPr>
        <w:pStyle w:val="EndnoteText"/>
      </w:pPr>
      <w:r w:rsidRPr="00244E62">
        <w:rPr>
          <w:rStyle w:val="EndnoteReference"/>
        </w:rPr>
        <w:endnoteRef/>
      </w:r>
      <w:r w:rsidRPr="00244E62">
        <w:t xml:space="preserve"> Ref. Psalm 2:7.</w:t>
      </w:r>
    </w:p>
  </w:endnote>
  <w:endnote w:id="3637">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 119.</w:t>
      </w:r>
    </w:p>
  </w:endnote>
  <w:endnote w:id="3638">
    <w:p w:rsidR="00975183" w:rsidRPr="00244E62" w:rsidRDefault="00975183" w:rsidP="00D90FE2">
      <w:pPr>
        <w:pStyle w:val="EndnoteText"/>
      </w:pPr>
      <w:r w:rsidRPr="00244E62">
        <w:rPr>
          <w:rStyle w:val="EndnoteReference"/>
        </w:rPr>
        <w:endnoteRef/>
      </w:r>
      <w:r w:rsidRPr="00244E62">
        <w:t xml:space="preserve"> Mason, </w:t>
      </w:r>
      <w:r w:rsidRPr="008D2648">
        <w:rPr>
          <w:i/>
        </w:rPr>
        <w:t>Books of Haggai</w:t>
      </w:r>
      <w:r w:rsidRPr="00244E62">
        <w:rPr>
          <w:i/>
        </w:rPr>
        <w:t>, Zechariah and Malachi</w:t>
      </w:r>
      <w:r w:rsidRPr="00244E62">
        <w:t>, p. 117.</w:t>
      </w:r>
      <w:r>
        <w:t xml:space="preserve">  </w:t>
      </w:r>
      <w:proofErr w:type="gramStart"/>
      <w:r>
        <w:t>(</w:t>
      </w:r>
      <w:r w:rsidRPr="00D245B4">
        <w:rPr>
          <w:i/>
        </w:rPr>
        <w:t>Mason’s emphasis</w:t>
      </w:r>
      <w:r>
        <w:t>.)</w:t>
      </w:r>
      <w:proofErr w:type="gramEnd"/>
    </w:p>
  </w:endnote>
  <w:endnote w:id="3639">
    <w:p w:rsidR="00975183" w:rsidRPr="00244E62" w:rsidRDefault="00975183" w:rsidP="00D90FE2">
      <w:pPr>
        <w:pStyle w:val="EndnoteText"/>
      </w:pPr>
      <w:r w:rsidRPr="00244E62">
        <w:rPr>
          <w:rStyle w:val="EndnoteReference"/>
        </w:rPr>
        <w:endnoteRef/>
      </w:r>
      <w:r w:rsidRPr="00244E62">
        <w:t xml:space="preserve"> Mason, </w:t>
      </w:r>
      <w:r w:rsidRPr="00244E62">
        <w:rPr>
          <w:i/>
        </w:rPr>
        <w:t>Books of Haggai, Zechariah and Malachi</w:t>
      </w:r>
      <w:r w:rsidRPr="00244E62">
        <w:t>, p. 117.</w:t>
      </w:r>
    </w:p>
  </w:endnote>
  <w:endnote w:id="3640">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 332.</w:t>
      </w:r>
    </w:p>
  </w:endnote>
  <w:endnote w:id="3641">
    <w:p w:rsidR="00975183" w:rsidRPr="00244E62" w:rsidRDefault="00975183" w:rsidP="00D90FE2">
      <w:pPr>
        <w:pStyle w:val="EndnoteText"/>
      </w:pPr>
      <w:r w:rsidRPr="00244E62">
        <w:rPr>
          <w:rStyle w:val="EndnoteReference"/>
        </w:rPr>
        <w:endnoteRef/>
      </w:r>
      <w:r w:rsidRPr="00244E62">
        <w:t xml:space="preserve"> Tigchelaar, </w:t>
      </w:r>
      <w:r w:rsidRPr="00D245B4">
        <w:rPr>
          <w:i/>
        </w:rPr>
        <w:t>Prophets of Old</w:t>
      </w:r>
      <w:r w:rsidRPr="00244E62">
        <w:t>, p. 123.</w:t>
      </w:r>
    </w:p>
  </w:endnote>
  <w:endnote w:id="3642">
    <w:p w:rsidR="00975183" w:rsidRPr="00244E62" w:rsidRDefault="00975183" w:rsidP="00D90FE2">
      <w:pPr>
        <w:pStyle w:val="EndnoteText"/>
      </w:pPr>
      <w:r w:rsidRPr="00244E62">
        <w:rPr>
          <w:rStyle w:val="EndnoteReference"/>
        </w:rPr>
        <w:endnoteRef/>
      </w:r>
      <w:r w:rsidRPr="00244E62">
        <w:t xml:space="preserve"> For example, </w:t>
      </w:r>
      <w:r w:rsidRPr="009174BA">
        <w:rPr>
          <w:i/>
        </w:rPr>
        <w:t>SRB</w:t>
      </w:r>
      <w:r>
        <w:t xml:space="preserve"> note on Zech. 12:8, pp. 976-7.</w:t>
      </w:r>
      <w:r w:rsidRPr="00244E62">
        <w:t xml:space="preserve"> </w:t>
      </w:r>
    </w:p>
  </w:endnote>
  <w:endnote w:id="3643">
    <w:p w:rsidR="00975183" w:rsidRPr="00244E62" w:rsidRDefault="00975183" w:rsidP="00126BAD">
      <w:pPr>
        <w:pStyle w:val="EndnoteText"/>
      </w:pPr>
      <w:r w:rsidRPr="00244E62">
        <w:rPr>
          <w:rStyle w:val="EndnoteReference"/>
        </w:rPr>
        <w:endnoteRef/>
      </w:r>
      <w:r w:rsidRPr="00244E62">
        <w:t xml:space="preserve"> Tigchelaar, </w:t>
      </w:r>
      <w:r w:rsidRPr="00D245B4">
        <w:rPr>
          <w:i/>
        </w:rPr>
        <w:t>Prophets of Old</w:t>
      </w:r>
      <w:r w:rsidRPr="00244E62">
        <w:t>, p. 123.</w:t>
      </w:r>
    </w:p>
  </w:endnote>
  <w:endnote w:id="3644">
    <w:p w:rsidR="00975183" w:rsidRDefault="00975183" w:rsidP="00126BAD">
      <w:pPr>
        <w:autoSpaceDE w:val="0"/>
        <w:autoSpaceDN w:val="0"/>
        <w:adjustRightInd w:val="0"/>
        <w:spacing w:after="0" w:line="240" w:lineRule="auto"/>
        <w:rPr>
          <w:rFonts w:cs="Arial"/>
          <w:sz w:val="20"/>
          <w:lang w:val="en-US" w:bidi="he-IL"/>
        </w:rPr>
      </w:pPr>
      <w:r w:rsidRPr="00244E62">
        <w:rPr>
          <w:rStyle w:val="EndnoteReference"/>
          <w:sz w:val="20"/>
        </w:rPr>
        <w:endnoteRef/>
      </w:r>
      <w:r w:rsidRPr="00244E62">
        <w:rPr>
          <w:sz w:val="20"/>
        </w:rPr>
        <w:t xml:space="preserve"> </w:t>
      </w:r>
      <w:r w:rsidRPr="00244E62">
        <w:rPr>
          <w:rFonts w:cs="Arial"/>
          <w:sz w:val="20"/>
          <w:lang w:val="en-US" w:bidi="he-IL"/>
        </w:rPr>
        <w:t xml:space="preserve">‘...it will be against Judah also in the siege against Jerusalem.’ </w:t>
      </w:r>
      <w:r>
        <w:rPr>
          <w:rFonts w:cs="Arial"/>
          <w:sz w:val="20"/>
          <w:lang w:val="en-US" w:bidi="he-IL"/>
        </w:rPr>
        <w:t xml:space="preserve"> </w:t>
      </w:r>
      <w:r w:rsidRPr="00244E62">
        <w:rPr>
          <w:rFonts w:cs="Arial"/>
          <w:sz w:val="20"/>
          <w:lang w:val="en-US" w:bidi="he-IL"/>
        </w:rPr>
        <w:t xml:space="preserve">Zech. 2:2, </w:t>
      </w:r>
      <w:r w:rsidRPr="00244E62">
        <w:rPr>
          <w:rFonts w:cs="Arial"/>
          <w:i/>
          <w:sz w:val="20"/>
          <w:lang w:val="en-US" w:bidi="he-IL"/>
        </w:rPr>
        <w:t>NRSV</w:t>
      </w:r>
      <w:r>
        <w:rPr>
          <w:rFonts w:cs="Arial"/>
          <w:sz w:val="20"/>
          <w:lang w:val="en-US" w:bidi="he-IL"/>
        </w:rPr>
        <w:t>.</w:t>
      </w:r>
      <w:r w:rsidRPr="00244E62">
        <w:rPr>
          <w:rFonts w:cs="Arial"/>
          <w:sz w:val="20"/>
          <w:lang w:val="en-US" w:bidi="he-IL"/>
        </w:rPr>
        <w:t xml:space="preserve"> </w:t>
      </w:r>
    </w:p>
    <w:p w:rsidR="00975183" w:rsidRPr="00244E62" w:rsidRDefault="00975183" w:rsidP="00126BAD">
      <w:pPr>
        <w:autoSpaceDE w:val="0"/>
        <w:autoSpaceDN w:val="0"/>
        <w:adjustRightInd w:val="0"/>
        <w:spacing w:after="0" w:line="240" w:lineRule="auto"/>
        <w:rPr>
          <w:sz w:val="20"/>
        </w:rPr>
      </w:pPr>
      <w:r w:rsidRPr="00244E62">
        <w:rPr>
          <w:rFonts w:cs="Arial"/>
          <w:sz w:val="20"/>
          <w:lang w:val="en-US" w:bidi="he-IL"/>
        </w:rPr>
        <w:t>‘</w:t>
      </w:r>
      <w:r w:rsidRPr="00244E62">
        <w:rPr>
          <w:sz w:val="20"/>
          <w:lang w:val="en-US"/>
        </w:rPr>
        <w:t xml:space="preserve">… </w:t>
      </w:r>
      <w:proofErr w:type="gramStart"/>
      <w:r w:rsidRPr="00244E62">
        <w:rPr>
          <w:sz w:val="20"/>
          <w:lang w:val="en-US"/>
        </w:rPr>
        <w:t>when</w:t>
      </w:r>
      <w:proofErr w:type="gramEnd"/>
      <w:r w:rsidRPr="00244E62">
        <w:rPr>
          <w:sz w:val="20"/>
          <w:lang w:val="en-US"/>
        </w:rPr>
        <w:t xml:space="preserve"> they shall be in the siege both against Judah </w:t>
      </w:r>
      <w:r w:rsidRPr="00244E62">
        <w:rPr>
          <w:i/>
          <w:iCs/>
          <w:sz w:val="20"/>
          <w:lang w:val="en-US"/>
        </w:rPr>
        <w:t>and</w:t>
      </w:r>
      <w:r w:rsidRPr="00244E62">
        <w:rPr>
          <w:sz w:val="20"/>
          <w:lang w:val="en-US"/>
        </w:rPr>
        <w:t xml:space="preserve"> against Jerusalem.’</w:t>
      </w:r>
      <w:r>
        <w:rPr>
          <w:sz w:val="20"/>
          <w:lang w:val="en-US"/>
        </w:rPr>
        <w:t xml:space="preserve">  </w:t>
      </w:r>
      <w:r w:rsidRPr="00244E62">
        <w:rPr>
          <w:rFonts w:cs="Arial"/>
          <w:sz w:val="20"/>
          <w:lang w:val="en-US" w:bidi="he-IL"/>
        </w:rPr>
        <w:t xml:space="preserve">Zech. 2:2, </w:t>
      </w:r>
      <w:r w:rsidRPr="00244E62">
        <w:rPr>
          <w:rFonts w:cs="Arial"/>
          <w:i/>
          <w:sz w:val="20"/>
          <w:lang w:val="en-US" w:bidi="he-IL"/>
        </w:rPr>
        <w:t>KJV.</w:t>
      </w:r>
    </w:p>
  </w:endnote>
  <w:endnote w:id="3645">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 112.</w:t>
      </w:r>
    </w:p>
  </w:endnote>
  <w:endnote w:id="3646">
    <w:p w:rsidR="00975183" w:rsidRPr="00244E62" w:rsidRDefault="00975183" w:rsidP="00D90FE2">
      <w:pPr>
        <w:pStyle w:val="EndnoteText"/>
      </w:pPr>
      <w:r w:rsidRPr="00244E62">
        <w:rPr>
          <w:rStyle w:val="EndnoteReference"/>
        </w:rPr>
        <w:endnoteRef/>
      </w:r>
      <w:r w:rsidRPr="00244E62">
        <w:t xml:space="preserve"> Mason, ‘Zechariah 12.1-13.6’, p. 148.</w:t>
      </w:r>
    </w:p>
  </w:endnote>
  <w:endnote w:id="3647">
    <w:p w:rsidR="00975183" w:rsidRPr="00244E62" w:rsidRDefault="00975183" w:rsidP="00D90FE2">
      <w:pPr>
        <w:pStyle w:val="EndnoteText"/>
      </w:pPr>
      <w:r w:rsidRPr="00244E62">
        <w:rPr>
          <w:rStyle w:val="EndnoteReference"/>
        </w:rPr>
        <w:endnoteRef/>
      </w:r>
      <w:r w:rsidRPr="00244E62">
        <w:t xml:space="preserve"> Mason, </w:t>
      </w:r>
      <w:r w:rsidRPr="00244E62">
        <w:rPr>
          <w:i/>
        </w:rPr>
        <w:t>Haggai, Zechariah, Malachi</w:t>
      </w:r>
      <w:r w:rsidRPr="00244E62">
        <w:t xml:space="preserve">, p. 116. </w:t>
      </w:r>
    </w:p>
  </w:endnote>
  <w:endnote w:id="3648">
    <w:p w:rsidR="00975183" w:rsidRPr="00244E62" w:rsidRDefault="00975183" w:rsidP="00D90FE2">
      <w:pPr>
        <w:pStyle w:val="EndnoteText"/>
      </w:pPr>
      <w:r w:rsidRPr="00244E62">
        <w:rPr>
          <w:rStyle w:val="EndnoteReference"/>
        </w:rPr>
        <w:endnoteRef/>
      </w:r>
      <w:r w:rsidRPr="00244E62">
        <w:t xml:space="preserve"> Tigchelaar, </w:t>
      </w:r>
      <w:r w:rsidRPr="00244E62">
        <w:rPr>
          <w:i/>
        </w:rPr>
        <w:t>Prophets of Old</w:t>
      </w:r>
      <w:r w:rsidRPr="00244E62">
        <w:t>, p. 121.</w:t>
      </w:r>
    </w:p>
  </w:endnote>
  <w:endnote w:id="3649">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 316.</w:t>
      </w:r>
    </w:p>
  </w:endnote>
  <w:endnote w:id="3650">
    <w:p w:rsidR="00975183" w:rsidRPr="00244E62" w:rsidRDefault="00975183" w:rsidP="00D90FE2">
      <w:pPr>
        <w:pStyle w:val="EndnoteText"/>
      </w:pPr>
      <w:r w:rsidRPr="00244E62">
        <w:rPr>
          <w:rStyle w:val="EndnoteReference"/>
        </w:rPr>
        <w:endnoteRef/>
      </w:r>
      <w:r w:rsidRPr="00244E62">
        <w:t xml:space="preserve"> Conrad, </w:t>
      </w:r>
      <w:r w:rsidRPr="00244E62">
        <w:rPr>
          <w:i/>
        </w:rPr>
        <w:t>Zechariah</w:t>
      </w:r>
      <w:r w:rsidRPr="00244E62">
        <w:t>, p. 180, 182.</w:t>
      </w:r>
    </w:p>
  </w:endnote>
  <w:endnote w:id="3651">
    <w:p w:rsidR="00975183" w:rsidRDefault="00975183" w:rsidP="00D90FE2">
      <w:pPr>
        <w:pStyle w:val="EndnoteText"/>
      </w:pPr>
      <w:r w:rsidRPr="00244E62">
        <w:rPr>
          <w:rStyle w:val="EndnoteReference"/>
        </w:rPr>
        <w:endnoteRef/>
      </w:r>
      <w:r w:rsidRPr="00244E62">
        <w:t xml:space="preserve"> </w:t>
      </w:r>
      <w:r>
        <w:t>‘</w:t>
      </w:r>
      <w:r w:rsidRPr="00F05B61">
        <w:rPr>
          <w:rFonts w:cs="Arial"/>
          <w:lang w:val="en-US" w:bidi="he-IL"/>
        </w:rPr>
        <w:t>And t</w:t>
      </w:r>
      <w:r w:rsidRPr="00244E62">
        <w:rPr>
          <w:rFonts w:cs="Arial"/>
          <w:lang w:val="en-US" w:bidi="he-IL"/>
        </w:rPr>
        <w:t>he LORD will give victory to the tents of Judah first, that the glory of the house of David and the glory of the inhabitants of Jerusalem may not be exalted over that of Judah.</w:t>
      </w:r>
      <w:r w:rsidRPr="00244E62">
        <w:t>’</w:t>
      </w:r>
      <w:r>
        <w:t xml:space="preserve"> </w:t>
      </w:r>
      <w:r w:rsidRPr="00244E62">
        <w:t xml:space="preserve"> </w:t>
      </w:r>
      <w:proofErr w:type="gramStart"/>
      <w:r w:rsidRPr="00244E62">
        <w:t xml:space="preserve">Zech. 12:7 </w:t>
      </w:r>
      <w:r w:rsidRPr="00244E62">
        <w:rPr>
          <w:i/>
        </w:rPr>
        <w:t>NRSV</w:t>
      </w:r>
      <w:r>
        <w:t>.</w:t>
      </w:r>
      <w:proofErr w:type="gramEnd"/>
      <w:r w:rsidRPr="00244E62">
        <w:t xml:space="preserve"> </w:t>
      </w:r>
    </w:p>
    <w:p w:rsidR="00975183" w:rsidRPr="00244E62" w:rsidRDefault="00975183" w:rsidP="00D90FE2">
      <w:pPr>
        <w:pStyle w:val="EndnoteText"/>
      </w:pPr>
      <w:r w:rsidRPr="00244E62">
        <w:t>‘</w:t>
      </w:r>
      <w:r w:rsidRPr="00244E62">
        <w:rPr>
          <w:lang w:val="en-US"/>
        </w:rPr>
        <w:t xml:space="preserve">The LORD also shall save the tents of Judah first, that the glory of the house of David and the glory of the inhabitants of Jerusalem do not magnify </w:t>
      </w:r>
      <w:r w:rsidRPr="00244E62">
        <w:rPr>
          <w:i/>
          <w:iCs/>
          <w:lang w:val="en-US"/>
        </w:rPr>
        <w:t>themselves</w:t>
      </w:r>
      <w:r w:rsidRPr="00244E62">
        <w:rPr>
          <w:lang w:val="en-US"/>
        </w:rPr>
        <w:t xml:space="preserve"> against Judah.</w:t>
      </w:r>
      <w:r>
        <w:t xml:space="preserve">’ </w:t>
      </w:r>
      <w:r w:rsidRPr="00244E62">
        <w:t xml:space="preserve"> Zech. 12:7, </w:t>
      </w:r>
      <w:r w:rsidRPr="00244E62">
        <w:rPr>
          <w:i/>
        </w:rPr>
        <w:t>KJV</w:t>
      </w:r>
      <w:r w:rsidRPr="00244E62">
        <w:t>.</w:t>
      </w:r>
    </w:p>
  </w:endnote>
  <w:endnote w:id="3652">
    <w:p w:rsidR="00975183" w:rsidRPr="00244E62" w:rsidRDefault="00975183" w:rsidP="00D90FE2">
      <w:pPr>
        <w:pStyle w:val="EndnoteText"/>
      </w:pPr>
      <w:r w:rsidRPr="00244E62">
        <w:rPr>
          <w:rStyle w:val="EndnoteReference"/>
        </w:rPr>
        <w:endnoteRef/>
      </w:r>
      <w:r w:rsidRPr="00244E62">
        <w:t xml:space="preserve"> Mason, ‘Why is Second Zechariah so Full of Quotations?</w:t>
      </w:r>
      <w:proofErr w:type="gramStart"/>
      <w:r w:rsidRPr="00244E62">
        <w:t>’</w:t>
      </w:r>
      <w:r>
        <w:t>,</w:t>
      </w:r>
      <w:proofErr w:type="gramEnd"/>
      <w:r w:rsidRPr="00244E62">
        <w:t xml:space="preserve"> p. 25.</w:t>
      </w:r>
    </w:p>
  </w:endnote>
  <w:endnote w:id="3653">
    <w:p w:rsidR="00975183" w:rsidRPr="00244E62" w:rsidRDefault="00975183" w:rsidP="00D90FE2">
      <w:pPr>
        <w:pStyle w:val="EndnoteText"/>
      </w:pPr>
      <w:r w:rsidRPr="00244E62">
        <w:rPr>
          <w:rStyle w:val="EndnoteReference"/>
        </w:rPr>
        <w:endnoteRef/>
      </w:r>
      <w:r w:rsidRPr="00244E62">
        <w:t xml:space="preserve"> Mason, ‘Zechariah 12.1-13.6’, p. 150.</w:t>
      </w:r>
    </w:p>
  </w:endnote>
  <w:endnote w:id="3654">
    <w:p w:rsidR="00975183" w:rsidRPr="00244E62" w:rsidRDefault="00975183" w:rsidP="00D90FE2">
      <w:pPr>
        <w:pStyle w:val="EndnoteText"/>
      </w:pPr>
      <w:r w:rsidRPr="00244E62">
        <w:rPr>
          <w:rStyle w:val="EndnoteReference"/>
        </w:rPr>
        <w:endnoteRef/>
      </w:r>
      <w:r w:rsidRPr="00244E62">
        <w:t xml:space="preserve"> Mason, </w:t>
      </w:r>
      <w:proofErr w:type="gramStart"/>
      <w:r w:rsidRPr="00244E62">
        <w:rPr>
          <w:i/>
        </w:rPr>
        <w:t>The</w:t>
      </w:r>
      <w:proofErr w:type="gramEnd"/>
      <w:r w:rsidRPr="00244E62">
        <w:rPr>
          <w:i/>
        </w:rPr>
        <w:t xml:space="preserve"> Books of Haggai, Zechariah and Malachi</w:t>
      </w:r>
      <w:r w:rsidRPr="00244E62">
        <w:t>, pp. 115-6.</w:t>
      </w:r>
    </w:p>
  </w:endnote>
  <w:endnote w:id="3655">
    <w:p w:rsidR="00975183" w:rsidRPr="00244E62" w:rsidRDefault="00975183" w:rsidP="00D90FE2">
      <w:pPr>
        <w:pStyle w:val="EndnoteText"/>
      </w:pPr>
      <w:r w:rsidRPr="00244E62">
        <w:rPr>
          <w:rStyle w:val="EndnoteReference"/>
        </w:rPr>
        <w:endnoteRef/>
      </w:r>
      <w:r w:rsidRPr="00244E62">
        <w:t xml:space="preserve"> </w:t>
      </w:r>
      <w:r w:rsidRPr="00244E62">
        <w:rPr>
          <w:i/>
        </w:rPr>
        <w:t>SRB</w:t>
      </w:r>
      <w:r w:rsidRPr="00244E62">
        <w:t xml:space="preserve"> note on Zech. 12:8, pp. 976-7.</w:t>
      </w:r>
    </w:p>
  </w:endnote>
  <w:endnote w:id="3656">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pp. 327-8.</w:t>
      </w:r>
    </w:p>
  </w:endnote>
  <w:endnote w:id="3657">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 329.</w:t>
      </w:r>
    </w:p>
  </w:endnote>
  <w:endnote w:id="3658">
    <w:p w:rsidR="00975183" w:rsidRPr="00244E62" w:rsidRDefault="00975183" w:rsidP="00D90FE2">
      <w:pPr>
        <w:pStyle w:val="EndnoteText"/>
      </w:pPr>
      <w:r w:rsidRPr="00244E62">
        <w:rPr>
          <w:rStyle w:val="EndnoteReference"/>
        </w:rPr>
        <w:endnoteRef/>
      </w:r>
      <w:r w:rsidRPr="00244E62">
        <w:t xml:space="preserve"> Meyers and Meyers, </w:t>
      </w:r>
      <w:r w:rsidRPr="00244E62">
        <w:rPr>
          <w:i/>
        </w:rPr>
        <w:t>Zechariah 9 – 14</w:t>
      </w:r>
      <w:r w:rsidRPr="00244E62">
        <w:t>, pp. 358-9.</w:t>
      </w:r>
    </w:p>
  </w:endnote>
  <w:endnote w:id="3659">
    <w:p w:rsidR="00975183" w:rsidRPr="00244E62" w:rsidRDefault="00975183" w:rsidP="00D90FE2">
      <w:pPr>
        <w:pStyle w:val="EndnoteText"/>
      </w:pPr>
      <w:r w:rsidRPr="00244E62">
        <w:rPr>
          <w:rStyle w:val="EndnoteReference"/>
        </w:rPr>
        <w:endnoteRef/>
      </w:r>
      <w:r w:rsidRPr="00244E62">
        <w:t xml:space="preserve"> Redditt, </w:t>
      </w:r>
      <w:r w:rsidRPr="00244E62">
        <w:rPr>
          <w:i/>
        </w:rPr>
        <w:t>Haggai, Zechariah, Malachi</w:t>
      </w:r>
      <w:r w:rsidRPr="00244E62">
        <w:t>, p. 131</w:t>
      </w:r>
      <w:r w:rsidRPr="00244E62">
        <w:rPr>
          <w:i/>
        </w:rPr>
        <w:t>.</w:t>
      </w:r>
    </w:p>
  </w:endnote>
  <w:endnote w:id="3660">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 116.</w:t>
      </w:r>
    </w:p>
  </w:endnote>
  <w:endnote w:id="3661">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xml:space="preserve">, p. </w:t>
      </w:r>
      <w:r>
        <w:t>1</w:t>
      </w:r>
      <w:r w:rsidRPr="00244E62">
        <w:t>18.</w:t>
      </w:r>
    </w:p>
  </w:endnote>
  <w:endnote w:id="3662">
    <w:p w:rsidR="00975183" w:rsidRPr="00244E62"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pp. 116-7.</w:t>
      </w:r>
    </w:p>
  </w:endnote>
  <w:endnote w:id="3663">
    <w:p w:rsidR="00975183" w:rsidRDefault="00975183" w:rsidP="00D90FE2">
      <w:pPr>
        <w:pStyle w:val="EndnoteText"/>
      </w:pPr>
      <w:r w:rsidRPr="00244E62">
        <w:rPr>
          <w:rStyle w:val="EndnoteReference"/>
        </w:rPr>
        <w:endnoteRef/>
      </w:r>
      <w:r w:rsidRPr="00244E62">
        <w:t xml:space="preserve"> Petersen, </w:t>
      </w:r>
      <w:r w:rsidRPr="00244E62">
        <w:rPr>
          <w:i/>
        </w:rPr>
        <w:t>Zechariah 9 – 14 and Malachi</w:t>
      </w:r>
      <w:r w:rsidRPr="00244E62">
        <w:t>, p. 118.</w:t>
      </w:r>
    </w:p>
  </w:endnote>
  <w:endnote w:id="3664">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xml:space="preserve">, p. 356.  </w:t>
      </w:r>
    </w:p>
  </w:endnote>
  <w:endnote w:id="3665">
    <w:p w:rsidR="00975183" w:rsidRPr="009174BA" w:rsidRDefault="00975183" w:rsidP="00D90FE2">
      <w:pPr>
        <w:pStyle w:val="EndnoteText"/>
      </w:pPr>
      <w:r w:rsidRPr="009174BA">
        <w:rPr>
          <w:rStyle w:val="EndnoteReference"/>
        </w:rPr>
        <w:endnoteRef/>
      </w:r>
      <w:r w:rsidRPr="009174BA">
        <w:t xml:space="preserve"> Zechariah 14:16-19.</w:t>
      </w:r>
    </w:p>
  </w:endnote>
  <w:endnote w:id="3666">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29.</w:t>
      </w:r>
    </w:p>
  </w:endnote>
  <w:endnote w:id="3667">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310.</w:t>
      </w:r>
    </w:p>
  </w:endnote>
  <w:endnote w:id="3668">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350.</w:t>
      </w:r>
    </w:p>
  </w:endnote>
  <w:endnote w:id="3669">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350.</w:t>
      </w:r>
    </w:p>
  </w:endnote>
  <w:endnote w:id="3670">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346.</w:t>
      </w:r>
    </w:p>
  </w:endnote>
  <w:endnote w:id="3671">
    <w:p w:rsidR="00975183" w:rsidRDefault="00975183" w:rsidP="00D90FE2">
      <w:pPr>
        <w:pStyle w:val="EndnoteText"/>
      </w:pPr>
      <w:r w:rsidRPr="009174BA">
        <w:rPr>
          <w:rStyle w:val="EndnoteReference"/>
        </w:rPr>
        <w:endnoteRef/>
      </w:r>
      <w:r w:rsidRPr="009174BA">
        <w:t xml:space="preserve"> Mason, </w:t>
      </w:r>
      <w:r w:rsidRPr="009174BA">
        <w:rPr>
          <w:i/>
        </w:rPr>
        <w:t>Books of Haggai, Zechariah and Malachi</w:t>
      </w:r>
      <w:r w:rsidRPr="009174BA">
        <w:t>, p. 113</w:t>
      </w:r>
      <w:r>
        <w:t xml:space="preserve">; </w:t>
      </w:r>
      <w:r w:rsidRPr="009174BA">
        <w:t xml:space="preserve">Redditt, </w:t>
      </w:r>
      <w:r w:rsidRPr="009174BA">
        <w:rPr>
          <w:i/>
        </w:rPr>
        <w:t>Haggai, Zechariah, Malachi</w:t>
      </w:r>
      <w:r w:rsidRPr="009174BA">
        <w:t xml:space="preserve">, p. 100.  </w:t>
      </w:r>
    </w:p>
    <w:p w:rsidR="00975183" w:rsidRPr="009174BA" w:rsidRDefault="00975183" w:rsidP="00D90FE2">
      <w:pPr>
        <w:pStyle w:val="EndnoteText"/>
      </w:pPr>
      <w:r w:rsidRPr="009174BA">
        <w:t>Ref. Zechariah 12: 10 – 13:6.</w:t>
      </w:r>
    </w:p>
  </w:endnote>
  <w:endnote w:id="3672">
    <w:p w:rsidR="00975183" w:rsidRPr="009174BA" w:rsidRDefault="00975183" w:rsidP="00D90FE2">
      <w:pPr>
        <w:pStyle w:val="EndnoteText"/>
      </w:pPr>
      <w:r w:rsidRPr="009174BA">
        <w:rPr>
          <w:rStyle w:val="EndnoteReference"/>
        </w:rPr>
        <w:endnoteRef/>
      </w:r>
      <w:r w:rsidRPr="009174BA">
        <w:t xml:space="preserve"> Mason, ‘Why is Second Zechariah so Full of Quotations?</w:t>
      </w:r>
      <w:proofErr w:type="gramStart"/>
      <w:r w:rsidRPr="009174BA">
        <w:t>’,</w:t>
      </w:r>
      <w:proofErr w:type="gramEnd"/>
      <w:r w:rsidRPr="009174BA">
        <w:t xml:space="preserve"> p. 25.</w:t>
      </w:r>
    </w:p>
  </w:endnote>
  <w:endnote w:id="3673">
    <w:p w:rsidR="00975183" w:rsidRPr="009174BA" w:rsidRDefault="00975183" w:rsidP="00D90FE2">
      <w:pPr>
        <w:pStyle w:val="EndnoteText"/>
      </w:pPr>
      <w:r w:rsidRPr="009174BA">
        <w:rPr>
          <w:rStyle w:val="EndnoteReference"/>
        </w:rPr>
        <w:endnoteRef/>
      </w:r>
      <w:r w:rsidRPr="009174BA">
        <w:t xml:space="preserve"> Ref. Zechariah 12:10-13:1.</w:t>
      </w:r>
    </w:p>
  </w:endnote>
  <w:endnote w:id="3674">
    <w:p w:rsidR="00975183" w:rsidRPr="009174BA" w:rsidRDefault="00975183" w:rsidP="00D90FE2">
      <w:pPr>
        <w:pStyle w:val="EndnoteText"/>
      </w:pPr>
      <w:r w:rsidRPr="009174BA">
        <w:rPr>
          <w:rStyle w:val="EndnoteReference"/>
        </w:rPr>
        <w:endnoteRef/>
      </w:r>
      <w:r w:rsidRPr="009174BA">
        <w:t xml:space="preserve"> Ref. Zech. 13:8-9, 14:2, 5.</w:t>
      </w:r>
    </w:p>
  </w:endnote>
  <w:endnote w:id="3675">
    <w:p w:rsidR="00975183" w:rsidRPr="009174BA" w:rsidRDefault="00975183" w:rsidP="00D90FE2">
      <w:pPr>
        <w:pStyle w:val="EndnoteText"/>
      </w:pPr>
      <w:r w:rsidRPr="009174BA">
        <w:rPr>
          <w:rStyle w:val="EndnoteReference"/>
        </w:rPr>
        <w:endnoteRef/>
      </w:r>
      <w:r w:rsidRPr="009174BA">
        <w:t xml:space="preserve"> </w:t>
      </w:r>
      <w:proofErr w:type="gramStart"/>
      <w:r w:rsidRPr="009174BA">
        <w:t>Redditt, ‘Israel’s Shepherds’, p. 642.</w:t>
      </w:r>
      <w:proofErr w:type="gramEnd"/>
      <w:r w:rsidRPr="009174BA">
        <w:t xml:space="preserve">  Ref. Zech.14:16-19.</w:t>
      </w:r>
    </w:p>
  </w:endnote>
  <w:endnote w:id="3676">
    <w:p w:rsidR="00975183" w:rsidRDefault="00975183" w:rsidP="00126BAD">
      <w:pPr>
        <w:autoSpaceDE w:val="0"/>
        <w:autoSpaceDN w:val="0"/>
        <w:adjustRightInd w:val="0"/>
        <w:spacing w:after="0" w:line="240" w:lineRule="auto"/>
        <w:rPr>
          <w:sz w:val="20"/>
        </w:rPr>
      </w:pPr>
      <w:r w:rsidRPr="009174BA">
        <w:rPr>
          <w:rStyle w:val="EndnoteReference"/>
          <w:sz w:val="20"/>
        </w:rPr>
        <w:endnoteRef/>
      </w:r>
      <w:r w:rsidRPr="009174BA">
        <w:rPr>
          <w:sz w:val="20"/>
        </w:rPr>
        <w:t xml:space="preserve"> ‘</w:t>
      </w:r>
      <w:r w:rsidRPr="009174BA">
        <w:rPr>
          <w:sz w:val="20"/>
          <w:lang w:val="en-US"/>
        </w:rPr>
        <w:t>And the LORD will become king over all the earth; on that day the LORD will be one and his name one.</w:t>
      </w:r>
      <w:r>
        <w:rPr>
          <w:sz w:val="20"/>
        </w:rPr>
        <w:t xml:space="preserve">’ </w:t>
      </w:r>
      <w:r w:rsidRPr="009174BA">
        <w:rPr>
          <w:sz w:val="20"/>
        </w:rPr>
        <w:t xml:space="preserve"> </w:t>
      </w:r>
    </w:p>
    <w:p w:rsidR="00975183" w:rsidRPr="009174BA" w:rsidRDefault="00975183" w:rsidP="00126BAD">
      <w:pPr>
        <w:autoSpaceDE w:val="0"/>
        <w:autoSpaceDN w:val="0"/>
        <w:adjustRightInd w:val="0"/>
        <w:spacing w:after="0" w:line="240" w:lineRule="auto"/>
        <w:rPr>
          <w:sz w:val="20"/>
        </w:rPr>
      </w:pPr>
      <w:proofErr w:type="gramStart"/>
      <w:r w:rsidRPr="009174BA">
        <w:rPr>
          <w:sz w:val="20"/>
        </w:rPr>
        <w:t xml:space="preserve">Zech. 14:9, </w:t>
      </w:r>
      <w:r w:rsidRPr="009174BA">
        <w:rPr>
          <w:i/>
          <w:sz w:val="20"/>
        </w:rPr>
        <w:t>NRSV</w:t>
      </w:r>
      <w:r>
        <w:rPr>
          <w:sz w:val="20"/>
        </w:rPr>
        <w:t>;</w:t>
      </w:r>
      <w:r w:rsidRPr="009174BA">
        <w:rPr>
          <w:sz w:val="20"/>
        </w:rPr>
        <w:t xml:space="preserve"> Redditt, ‘Israel’s Shepherds’, p</w:t>
      </w:r>
      <w:r w:rsidRPr="00F05B61">
        <w:rPr>
          <w:sz w:val="20"/>
        </w:rPr>
        <w:t>. 641</w:t>
      </w:r>
      <w:r w:rsidRPr="009174BA">
        <w:rPr>
          <w:sz w:val="20"/>
        </w:rPr>
        <w:t>.</w:t>
      </w:r>
      <w:proofErr w:type="gramEnd"/>
    </w:p>
  </w:endnote>
  <w:endnote w:id="3677">
    <w:p w:rsidR="00975183" w:rsidRPr="009174BA" w:rsidRDefault="00975183" w:rsidP="00D90FE2">
      <w:pPr>
        <w:pStyle w:val="EndnoteText"/>
      </w:pPr>
      <w:r w:rsidRPr="009174BA">
        <w:rPr>
          <w:rStyle w:val="EndnoteReference"/>
        </w:rPr>
        <w:endnoteRef/>
      </w:r>
      <w:r w:rsidRPr="009174BA">
        <w:t xml:space="preserve"> </w:t>
      </w:r>
      <w:proofErr w:type="gramStart"/>
      <w:r w:rsidRPr="009174BA">
        <w:t>Redditt, ‘Themes in Haggai-Zechariah-Malachi’, p. 190.</w:t>
      </w:r>
      <w:proofErr w:type="gramEnd"/>
    </w:p>
  </w:endnote>
  <w:endnote w:id="3678">
    <w:p w:rsidR="00975183" w:rsidRDefault="00975183" w:rsidP="00D90FE2">
      <w:pPr>
        <w:pStyle w:val="EndnoteText"/>
      </w:pPr>
      <w:r w:rsidRPr="009174BA">
        <w:rPr>
          <w:rStyle w:val="EndnoteReference"/>
        </w:rPr>
        <w:endnoteRef/>
      </w:r>
      <w:r w:rsidRPr="009174BA">
        <w:t xml:space="preserve"> </w:t>
      </w:r>
      <w:proofErr w:type="gramStart"/>
      <w:r w:rsidRPr="009174BA">
        <w:t>Redditt, ‘Israel’s Shepherds’, p. 632.</w:t>
      </w:r>
      <w:proofErr w:type="gramEnd"/>
    </w:p>
  </w:endnote>
  <w:endnote w:id="3679">
    <w:p w:rsidR="00975183" w:rsidRPr="009174BA" w:rsidRDefault="00975183" w:rsidP="00D90FE2">
      <w:pPr>
        <w:pStyle w:val="EndnoteText"/>
      </w:pPr>
      <w:r w:rsidRPr="009174BA">
        <w:rPr>
          <w:rStyle w:val="EndnoteReference"/>
        </w:rPr>
        <w:endnoteRef/>
      </w:r>
      <w:r w:rsidRPr="009174BA">
        <w:t xml:space="preserve"> Meyers and Meyers, </w:t>
      </w:r>
      <w:r w:rsidRPr="009174BA">
        <w:rPr>
          <w:i/>
        </w:rPr>
        <w:t>Zechariah 9 – 14</w:t>
      </w:r>
      <w:r w:rsidRPr="009174BA">
        <w:t>, p. 336.</w:t>
      </w:r>
    </w:p>
  </w:endnote>
  <w:endnote w:id="3680">
    <w:p w:rsidR="00975183" w:rsidRPr="009174BA" w:rsidRDefault="00975183" w:rsidP="00D90FE2">
      <w:pPr>
        <w:pStyle w:val="EndnoteText"/>
      </w:pPr>
      <w:r w:rsidRPr="009174BA">
        <w:rPr>
          <w:rStyle w:val="EndnoteReference"/>
        </w:rPr>
        <w:endnoteRef/>
      </w:r>
      <w:r w:rsidRPr="009174BA">
        <w:t xml:space="preserve"> Tigchelaar, </w:t>
      </w:r>
      <w:r w:rsidRPr="009174BA">
        <w:rPr>
          <w:i/>
        </w:rPr>
        <w:t>Prophets of Old</w:t>
      </w:r>
      <w:r w:rsidRPr="009174BA">
        <w:t>, p. 126.</w:t>
      </w:r>
    </w:p>
  </w:endnote>
  <w:endnote w:id="3681">
    <w:p w:rsidR="00975183" w:rsidRPr="009174BA" w:rsidRDefault="00975183" w:rsidP="00D90FE2">
      <w:pPr>
        <w:pStyle w:val="EndnoteText"/>
      </w:pPr>
      <w:r w:rsidRPr="009174BA">
        <w:rPr>
          <w:rStyle w:val="EndnoteReference"/>
        </w:rPr>
        <w:endnoteRef/>
      </w:r>
      <w:r w:rsidRPr="009174BA">
        <w:t xml:space="preserve"> Mason, ‘Zechariah 12.1-13.6’, p. 157.</w:t>
      </w:r>
    </w:p>
  </w:endnote>
  <w:endnote w:id="3682">
    <w:p w:rsidR="00975183" w:rsidRPr="009174BA" w:rsidRDefault="00975183" w:rsidP="00D90FE2">
      <w:pPr>
        <w:pStyle w:val="EndnoteText"/>
      </w:pPr>
      <w:r w:rsidRPr="009174BA">
        <w:rPr>
          <w:rStyle w:val="EndnoteReference"/>
        </w:rPr>
        <w:endnoteRef/>
      </w:r>
      <w:r w:rsidRPr="009174BA">
        <w:t xml:space="preserve"> Mason </w:t>
      </w:r>
      <w:r w:rsidRPr="009174BA">
        <w:rPr>
          <w:i/>
        </w:rPr>
        <w:t>Books of Haggai, Zechariah and Malachi</w:t>
      </w:r>
      <w:r w:rsidRPr="009174BA">
        <w:t>,</w:t>
      </w:r>
      <w:r w:rsidRPr="009174BA">
        <w:rPr>
          <w:i/>
        </w:rPr>
        <w:t xml:space="preserve"> </w:t>
      </w:r>
      <w:r w:rsidRPr="009174BA">
        <w:t>p. 117.  Ref. Isa. 55:3-5.</w:t>
      </w:r>
    </w:p>
  </w:endnote>
  <w:endnote w:id="3683">
    <w:p w:rsidR="00975183" w:rsidRPr="009174BA" w:rsidRDefault="00975183" w:rsidP="00D90FE2">
      <w:pPr>
        <w:pStyle w:val="EndnoteText"/>
      </w:pPr>
      <w:r w:rsidRPr="009174BA">
        <w:rPr>
          <w:rStyle w:val="EndnoteReference"/>
        </w:rPr>
        <w:endnoteRef/>
      </w:r>
      <w:r w:rsidRPr="009174BA">
        <w:t xml:space="preserve"> Mason, </w:t>
      </w:r>
      <w:r w:rsidRPr="009174BA">
        <w:rPr>
          <w:i/>
        </w:rPr>
        <w:t>Books of Haggai, Zechariah and Malachi</w:t>
      </w:r>
      <w:r w:rsidRPr="009174BA">
        <w:t>,</w:t>
      </w:r>
      <w:r w:rsidRPr="009174BA">
        <w:rPr>
          <w:i/>
        </w:rPr>
        <w:t xml:space="preserve"> </w:t>
      </w:r>
      <w:r w:rsidRPr="009174BA">
        <w:t xml:space="preserve">p. 119.  </w:t>
      </w:r>
    </w:p>
  </w:endnote>
  <w:endnote w:id="3684">
    <w:p w:rsidR="00975183" w:rsidRPr="00A700B4" w:rsidRDefault="00975183" w:rsidP="008D4C6E">
      <w:pPr>
        <w:pStyle w:val="EndnoteText"/>
      </w:pPr>
      <w:r w:rsidRPr="00A700B4">
        <w:rPr>
          <w:rStyle w:val="EndnoteReference"/>
        </w:rPr>
        <w:endnoteRef/>
      </w:r>
      <w:r w:rsidRPr="00A700B4">
        <w:t xml:space="preserve"> </w:t>
      </w:r>
      <w:r>
        <w:rPr>
          <w:i/>
          <w:sz w:val="22"/>
          <w:szCs w:val="22"/>
        </w:rPr>
        <w:t>SRB</w:t>
      </w:r>
      <w:r w:rsidRPr="00A700B4">
        <w:t>, p. 996.</w:t>
      </w:r>
    </w:p>
  </w:endnote>
  <w:endnote w:id="3685">
    <w:p w:rsidR="00975183" w:rsidRPr="00A700B4" w:rsidRDefault="00975183" w:rsidP="008D4C6E">
      <w:pPr>
        <w:pStyle w:val="EndnoteText"/>
      </w:pPr>
      <w:r w:rsidRPr="00A700B4">
        <w:rPr>
          <w:rStyle w:val="EndnoteReference"/>
        </w:rPr>
        <w:endnoteRef/>
      </w:r>
      <w:r w:rsidRPr="00A700B4">
        <w:t xml:space="preserve"> </w:t>
      </w:r>
      <w:r>
        <w:rPr>
          <w:i/>
          <w:sz w:val="22"/>
          <w:szCs w:val="22"/>
        </w:rPr>
        <w:t>SRB</w:t>
      </w:r>
      <w:r w:rsidRPr="00A700B4">
        <w:t>, p. 998.</w:t>
      </w:r>
    </w:p>
  </w:endnote>
  <w:endnote w:id="3686">
    <w:p w:rsidR="00975183" w:rsidRPr="00A700B4" w:rsidRDefault="00975183" w:rsidP="008D4C6E">
      <w:pPr>
        <w:pStyle w:val="EndnoteText"/>
        <w:rPr>
          <w:lang w:val="en-US"/>
        </w:rPr>
      </w:pPr>
      <w:r w:rsidRPr="00A700B4">
        <w:rPr>
          <w:rStyle w:val="EndnoteReference"/>
        </w:rPr>
        <w:endnoteRef/>
      </w:r>
      <w:r w:rsidRPr="00A700B4">
        <w:t xml:space="preserve"> </w:t>
      </w:r>
      <w:r w:rsidRPr="00A700B4">
        <w:rPr>
          <w:lang w:val="en-US"/>
        </w:rPr>
        <w:t xml:space="preserve">W. D. Davies and Dale C. Allison, Jr., </w:t>
      </w:r>
      <w:r w:rsidRPr="00A700B4">
        <w:rPr>
          <w:i/>
          <w:lang w:val="en-US"/>
        </w:rPr>
        <w:t>A critical and Exegetical Commentary on the Gospel According to Saint Matthew, Vol.1, Introduction and Commentary on Matthew 1 - 7</w:t>
      </w:r>
      <w:r w:rsidRPr="00A700B4">
        <w:rPr>
          <w:lang w:val="en-US"/>
        </w:rPr>
        <w:t xml:space="preserve"> (Edinburgh: T. &amp; T. Clark Limited, 1988)</w:t>
      </w:r>
      <w:r>
        <w:rPr>
          <w:lang w:val="en-US"/>
        </w:rPr>
        <w:t>;</w:t>
      </w:r>
    </w:p>
    <w:p w:rsidR="00975183" w:rsidRPr="00A700B4" w:rsidRDefault="00975183" w:rsidP="008D4C6E">
      <w:pPr>
        <w:pStyle w:val="EndnoteText"/>
        <w:rPr>
          <w:lang w:val="en-US"/>
        </w:rPr>
      </w:pPr>
      <w:r w:rsidRPr="00A700B4">
        <w:rPr>
          <w:lang w:val="en-US"/>
        </w:rPr>
        <w:t xml:space="preserve">W. D. Davies and Dale C. Allison, Jr., </w:t>
      </w:r>
      <w:r w:rsidRPr="00A700B4">
        <w:rPr>
          <w:i/>
          <w:lang w:val="en-US"/>
        </w:rPr>
        <w:t>A critical and Exegetical Commentary on the Gospel According to Saint Matthew, Vol. 2, Commentary on Matthew 8 - 18</w:t>
      </w:r>
      <w:r w:rsidRPr="00A700B4">
        <w:rPr>
          <w:lang w:val="en-US"/>
        </w:rPr>
        <w:t xml:space="preserve"> (Edinburgh: T. &amp; T. Clark Limited, 1991)</w:t>
      </w:r>
      <w:r>
        <w:rPr>
          <w:lang w:val="en-US"/>
        </w:rPr>
        <w:t>;</w:t>
      </w:r>
    </w:p>
    <w:p w:rsidR="00975183" w:rsidRPr="00A700B4" w:rsidRDefault="00975183" w:rsidP="008D4C6E">
      <w:pPr>
        <w:pStyle w:val="EndnoteText"/>
      </w:pPr>
      <w:r w:rsidRPr="00A700B4">
        <w:t xml:space="preserve">Howard Clark Kee, </w:t>
      </w:r>
      <w:r w:rsidRPr="00A700B4">
        <w:rPr>
          <w:i/>
        </w:rPr>
        <w:t>The Cambridge Annotated Study Bible: New Revised Standard Version</w:t>
      </w:r>
      <w:r w:rsidRPr="00A700B4">
        <w:t xml:space="preserve"> (Cambridge: Cambridge University Press, 1989)</w:t>
      </w:r>
      <w:r>
        <w:t>;</w:t>
      </w:r>
    </w:p>
    <w:p w:rsidR="00975183" w:rsidRPr="00A700B4" w:rsidRDefault="00975183" w:rsidP="008D4C6E">
      <w:pPr>
        <w:pStyle w:val="EndnoteText"/>
      </w:pPr>
      <w:r w:rsidRPr="00A700B4">
        <w:rPr>
          <w:i/>
        </w:rPr>
        <w:t>The NIV Study Bible, New International Version</w:t>
      </w:r>
      <w:r w:rsidRPr="00A700B4">
        <w:t xml:space="preserve"> </w:t>
      </w:r>
      <w:r w:rsidRPr="00A700B4">
        <w:rPr>
          <w:i/>
        </w:rPr>
        <w:t>with Study Notes and References, Concordance and Maps</w:t>
      </w:r>
      <w:r w:rsidRPr="00A700B4">
        <w:t xml:space="preserve"> (London: Hodder &amp; Stoughton, 7</w:t>
      </w:r>
      <w:r w:rsidRPr="00A700B4">
        <w:rPr>
          <w:vertAlign w:val="superscript"/>
        </w:rPr>
        <w:t>th</w:t>
      </w:r>
      <w:r w:rsidRPr="00A700B4">
        <w:t xml:space="preserve"> impression, 1993)</w:t>
      </w:r>
      <w:r>
        <w:t>;</w:t>
      </w:r>
    </w:p>
    <w:p w:rsidR="00975183" w:rsidRPr="00A700B4" w:rsidRDefault="00975183" w:rsidP="008D4C6E">
      <w:pPr>
        <w:pStyle w:val="EndnoteText"/>
      </w:pPr>
      <w:r w:rsidRPr="00A700B4">
        <w:t xml:space="preserve">Zondervan, </w:t>
      </w:r>
      <w:r w:rsidRPr="00A700B4">
        <w:rPr>
          <w:i/>
        </w:rPr>
        <w:t>The NIV Study Bible Complete Library Bible Reference Software</w:t>
      </w:r>
      <w:r w:rsidRPr="00A700B4">
        <w:t xml:space="preserve"> (Grand Rapids: Zondervan Interactive, 1998)</w:t>
      </w:r>
      <w:r>
        <w:t>;</w:t>
      </w:r>
      <w:r w:rsidRPr="00A700B4">
        <w:t xml:space="preserve"> </w:t>
      </w:r>
    </w:p>
    <w:p w:rsidR="00975183" w:rsidRDefault="00975183" w:rsidP="008D4C6E">
      <w:pPr>
        <w:pStyle w:val="EndnoteText"/>
      </w:pPr>
      <w:r w:rsidRPr="00A700B4">
        <w:t xml:space="preserve">Margaret Pamment, ‘The Kingdom of Heaven According to the First Gospel’, </w:t>
      </w:r>
      <w:r w:rsidRPr="00A700B4">
        <w:rPr>
          <w:i/>
        </w:rPr>
        <w:t xml:space="preserve">New Testament Studies </w:t>
      </w:r>
      <w:r w:rsidRPr="00A700B4">
        <w:t>27, issue 2, 1981</w:t>
      </w:r>
      <w:r>
        <w:rPr>
          <w:color w:val="0000FF"/>
        </w:rPr>
        <w:t xml:space="preserve"> </w:t>
      </w:r>
      <w:r w:rsidRPr="00A700B4">
        <w:t>&lt;http://journals.cambridge.org.eresources.shef.ac.uk/action/displayFulltext?type=1&amp;pdftype=</w:t>
      </w:r>
    </w:p>
    <w:p w:rsidR="00975183" w:rsidRPr="00A700B4" w:rsidRDefault="00975183" w:rsidP="008D4C6E">
      <w:pPr>
        <w:pStyle w:val="EndnoteText"/>
      </w:pPr>
      <w:r w:rsidRPr="00A700B4">
        <w:t>1&amp;fid=3392572&amp;jid=NTS&amp;volumeId=27&amp;issueId=&amp;aid=3392564&gt; [accessed 1.12.10].</w:t>
      </w:r>
    </w:p>
  </w:endnote>
  <w:endnote w:id="3687">
    <w:p w:rsidR="00975183" w:rsidRPr="00A700B4" w:rsidRDefault="00975183" w:rsidP="008D4C6E">
      <w:pPr>
        <w:pStyle w:val="EndnoteText"/>
      </w:pPr>
      <w:r w:rsidRPr="00A700B4">
        <w:rPr>
          <w:rStyle w:val="EndnoteReference"/>
        </w:rPr>
        <w:endnoteRef/>
      </w:r>
      <w:r w:rsidRPr="00A700B4">
        <w:t xml:space="preserve"> </w:t>
      </w:r>
      <w:proofErr w:type="gramStart"/>
      <w:r w:rsidRPr="00A700B4">
        <w:t xml:space="preserve">Davies and Allison, </w:t>
      </w:r>
      <w:r w:rsidRPr="00A700B4">
        <w:rPr>
          <w:i/>
        </w:rPr>
        <w:t>Matthew, Vol. 1</w:t>
      </w:r>
      <w:r w:rsidRPr="00A700B4">
        <w:t>, pp.286-7.</w:t>
      </w:r>
      <w:proofErr w:type="gramEnd"/>
    </w:p>
  </w:endnote>
  <w:endnote w:id="3688">
    <w:p w:rsidR="00975183" w:rsidRPr="00A700B4" w:rsidRDefault="00975183" w:rsidP="008D4C6E">
      <w:pPr>
        <w:pStyle w:val="EndnoteText"/>
      </w:pPr>
      <w:r w:rsidRPr="00A700B4">
        <w:rPr>
          <w:rStyle w:val="EndnoteReference"/>
        </w:rPr>
        <w:endnoteRef/>
      </w:r>
      <w:r w:rsidRPr="00A700B4">
        <w:t xml:space="preserve"> Pamment, ‘</w:t>
      </w:r>
      <w:smartTag w:uri="urn:schemas-microsoft-com:office:smarttags" w:element="place">
        <w:smartTag w:uri="urn:schemas-microsoft-com:office:smarttags" w:element="PlaceType">
          <w:r w:rsidRPr="00A700B4">
            <w:t>Kingdom</w:t>
          </w:r>
        </w:smartTag>
        <w:r w:rsidRPr="00A700B4">
          <w:t xml:space="preserve"> of </w:t>
        </w:r>
        <w:smartTag w:uri="urn:schemas-microsoft-com:office:smarttags" w:element="PlaceName">
          <w:r w:rsidRPr="00A700B4">
            <w:t>Heaven</w:t>
          </w:r>
        </w:smartTag>
      </w:smartTag>
      <w:r w:rsidRPr="00A700B4">
        <w:t>’, p. 211.</w:t>
      </w:r>
    </w:p>
  </w:endnote>
  <w:endnote w:id="3689">
    <w:p w:rsidR="00975183" w:rsidRPr="00ED124C" w:rsidRDefault="00975183" w:rsidP="008D4C6E">
      <w:pPr>
        <w:pStyle w:val="EndnoteText"/>
      </w:pPr>
      <w:r w:rsidRPr="00ED124C">
        <w:rPr>
          <w:rStyle w:val="EndnoteReference"/>
        </w:rPr>
        <w:endnoteRef/>
      </w:r>
      <w:r w:rsidRPr="00ED124C">
        <w:t xml:space="preserve"> </w:t>
      </w:r>
      <w:r w:rsidRPr="00ED124C">
        <w:rPr>
          <w:i/>
          <w:lang w:val="en-US"/>
        </w:rPr>
        <w:t>NRSV</w:t>
      </w:r>
      <w:r w:rsidRPr="00ED124C">
        <w:rPr>
          <w:i/>
        </w:rPr>
        <w:t xml:space="preserve"> Commentary, </w:t>
      </w:r>
      <w:r w:rsidRPr="00ED124C">
        <w:t>N.T., p. 2.</w:t>
      </w:r>
    </w:p>
  </w:endnote>
  <w:endnote w:id="3690">
    <w:p w:rsidR="00975183" w:rsidRPr="00ED124C" w:rsidRDefault="00975183" w:rsidP="008D4C6E">
      <w:pPr>
        <w:pStyle w:val="EndnoteText"/>
      </w:pPr>
      <w:r w:rsidRPr="00ED124C">
        <w:rPr>
          <w:rStyle w:val="EndnoteReference"/>
        </w:rPr>
        <w:endnoteRef/>
      </w:r>
      <w:r w:rsidRPr="00ED124C">
        <w:t xml:space="preserve"> </w:t>
      </w:r>
      <w:r w:rsidRPr="00ED124C">
        <w:rPr>
          <w:i/>
        </w:rPr>
        <w:t>NIV Commentary</w:t>
      </w:r>
      <w:r w:rsidRPr="00ED124C">
        <w:t>, p. 1414.</w:t>
      </w:r>
    </w:p>
  </w:endnote>
  <w:endnote w:id="3691">
    <w:p w:rsidR="00975183" w:rsidRPr="00A700B4" w:rsidRDefault="00975183" w:rsidP="008D4C6E">
      <w:pPr>
        <w:pStyle w:val="EndnoteText"/>
      </w:pPr>
      <w:r w:rsidRPr="00A700B4">
        <w:rPr>
          <w:rStyle w:val="EndnoteReference"/>
        </w:rPr>
        <w:endnoteRef/>
      </w:r>
      <w:r w:rsidRPr="00A700B4">
        <w:t xml:space="preserve"> Zondervan, note on Mt. 3:2.</w:t>
      </w:r>
    </w:p>
  </w:endnote>
  <w:endnote w:id="3692">
    <w:p w:rsidR="00975183" w:rsidRPr="00A700B4" w:rsidRDefault="00975183" w:rsidP="008D4C6E">
      <w:pPr>
        <w:pStyle w:val="EndnoteText"/>
      </w:pPr>
      <w:r w:rsidRPr="00A700B4">
        <w:rPr>
          <w:rStyle w:val="EndnoteReference"/>
        </w:rPr>
        <w:endnoteRef/>
      </w:r>
      <w:r w:rsidRPr="00A700B4">
        <w:t xml:space="preserve"> </w:t>
      </w:r>
      <w:proofErr w:type="gramStart"/>
      <w:r w:rsidRPr="00A700B4">
        <w:t xml:space="preserve">Davies and Allison, </w:t>
      </w:r>
      <w:r w:rsidRPr="00A700B4">
        <w:rPr>
          <w:i/>
        </w:rPr>
        <w:t>Matthew, Vol. 1</w:t>
      </w:r>
      <w:r w:rsidRPr="00A700B4">
        <w:t>, p.289.</w:t>
      </w:r>
      <w:proofErr w:type="gramEnd"/>
    </w:p>
  </w:endnote>
  <w:endnote w:id="3693">
    <w:p w:rsidR="00975183" w:rsidRPr="00A700B4" w:rsidRDefault="00975183" w:rsidP="008D4C6E">
      <w:pPr>
        <w:pStyle w:val="EndnoteText"/>
        <w:rPr>
          <w:lang w:val="fr-FR"/>
        </w:rPr>
      </w:pPr>
      <w:r w:rsidRPr="00A700B4">
        <w:rPr>
          <w:rStyle w:val="EndnoteReference"/>
        </w:rPr>
        <w:endnoteRef/>
      </w:r>
      <w:r w:rsidRPr="00A700B4">
        <w:rPr>
          <w:lang w:val="fr-FR"/>
        </w:rPr>
        <w:t xml:space="preserve"> </w:t>
      </w:r>
      <w:r w:rsidRPr="00764C4D">
        <w:rPr>
          <w:i/>
          <w:lang w:val="en-US"/>
        </w:rPr>
        <w:t>NRSV</w:t>
      </w:r>
      <w:r w:rsidRPr="00A700B4">
        <w:rPr>
          <w:i/>
          <w:lang w:val="fr-FR"/>
        </w:rPr>
        <w:t xml:space="preserve"> Commentary</w:t>
      </w:r>
      <w:r w:rsidRPr="00A700B4">
        <w:rPr>
          <w:lang w:val="fr-FR"/>
        </w:rPr>
        <w:t>, N.T., p. 2.</w:t>
      </w:r>
    </w:p>
  </w:endnote>
  <w:endnote w:id="3694">
    <w:p w:rsidR="00975183" w:rsidRPr="00A700B4" w:rsidRDefault="00975183" w:rsidP="008D4C6E">
      <w:pPr>
        <w:pStyle w:val="EndnoteText"/>
      </w:pPr>
      <w:r w:rsidRPr="00A700B4">
        <w:rPr>
          <w:rStyle w:val="EndnoteReference"/>
        </w:rPr>
        <w:endnoteRef/>
      </w:r>
      <w:r w:rsidRPr="00A700B4">
        <w:t xml:space="preserve"> Pamment, ‘</w:t>
      </w:r>
      <w:smartTag w:uri="urn:schemas-microsoft-com:office:smarttags" w:element="place">
        <w:smartTag w:uri="urn:schemas-microsoft-com:office:smarttags" w:element="PlaceType">
          <w:r w:rsidRPr="00A700B4">
            <w:t>Kingdom</w:t>
          </w:r>
        </w:smartTag>
        <w:r w:rsidRPr="00A700B4">
          <w:t xml:space="preserve"> of </w:t>
        </w:r>
        <w:smartTag w:uri="urn:schemas-microsoft-com:office:smarttags" w:element="PlaceName">
          <w:r w:rsidRPr="00A700B4">
            <w:t>Heaven</w:t>
          </w:r>
        </w:smartTag>
      </w:smartTag>
      <w:r w:rsidRPr="00A700B4">
        <w:t>’, p. 212.</w:t>
      </w:r>
    </w:p>
  </w:endnote>
  <w:endnote w:id="3695">
    <w:p w:rsidR="00975183" w:rsidRPr="00A700B4" w:rsidRDefault="00975183" w:rsidP="008D4C6E">
      <w:pPr>
        <w:pStyle w:val="EndnoteText"/>
        <w:rPr>
          <w:lang w:val="en-US"/>
        </w:rPr>
      </w:pPr>
      <w:r w:rsidRPr="00A700B4">
        <w:rPr>
          <w:rStyle w:val="EndnoteReference"/>
        </w:rPr>
        <w:endnoteRef/>
      </w:r>
      <w:r w:rsidRPr="00A700B4">
        <w:rPr>
          <w:lang w:val="en-US"/>
        </w:rPr>
        <w:t xml:space="preserve"> Mal. 4:5-6.</w:t>
      </w:r>
    </w:p>
  </w:endnote>
  <w:endnote w:id="3696">
    <w:p w:rsidR="00975183" w:rsidRPr="00FF2736" w:rsidRDefault="00975183" w:rsidP="008D4C6E">
      <w:pPr>
        <w:pStyle w:val="EndnoteText"/>
      </w:pPr>
      <w:r w:rsidRPr="00FF2736">
        <w:rPr>
          <w:rStyle w:val="EndnoteReference"/>
        </w:rPr>
        <w:endnoteRef/>
      </w:r>
      <w:r w:rsidRPr="00FF2736">
        <w:t xml:space="preserve"> Mt. 3:3.</w:t>
      </w:r>
    </w:p>
  </w:endnote>
  <w:endnote w:id="3697">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p.388.</w:t>
      </w:r>
      <w:proofErr w:type="gramEnd"/>
    </w:p>
  </w:endnote>
  <w:endnote w:id="3698">
    <w:p w:rsidR="00975183" w:rsidRPr="00FF2736" w:rsidRDefault="00975183" w:rsidP="008D4C6E">
      <w:pPr>
        <w:pStyle w:val="EndnoteText"/>
        <w:rPr>
          <w:lang w:val="en-US"/>
        </w:rPr>
      </w:pPr>
      <w:r w:rsidRPr="00FF2736">
        <w:rPr>
          <w:rStyle w:val="EndnoteReference"/>
        </w:rPr>
        <w:endnoteRef/>
      </w:r>
      <w:r w:rsidRPr="00FF2736">
        <w:t xml:space="preserve"> </w:t>
      </w:r>
      <w:r w:rsidRPr="00FF2736">
        <w:rPr>
          <w:i/>
          <w:lang w:val="en-US"/>
        </w:rPr>
        <w:t>NRSV Commentary</w:t>
      </w:r>
      <w:r w:rsidRPr="00FF2736">
        <w:rPr>
          <w:lang w:val="en-US"/>
        </w:rPr>
        <w:t>, N.T., p. 3.</w:t>
      </w:r>
    </w:p>
  </w:endnote>
  <w:endnote w:id="3699">
    <w:p w:rsidR="00975183" w:rsidRPr="00FF2736" w:rsidRDefault="00975183" w:rsidP="008D4C6E">
      <w:pPr>
        <w:pStyle w:val="EndnoteText"/>
      </w:pPr>
      <w:r w:rsidRPr="00FF2736">
        <w:rPr>
          <w:rStyle w:val="EndnoteReference"/>
        </w:rPr>
        <w:endnoteRef/>
      </w:r>
      <w:r w:rsidRPr="00FF2736">
        <w:t xml:space="preserve"> </w:t>
      </w:r>
      <w:r w:rsidRPr="00FF2736">
        <w:rPr>
          <w:i/>
        </w:rPr>
        <w:t>NIV Commentary</w:t>
      </w:r>
      <w:r w:rsidRPr="00FF2736">
        <w:t>, p. 1418.</w:t>
      </w:r>
    </w:p>
  </w:endnote>
  <w:endnote w:id="3700">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p.289.</w:t>
      </w:r>
      <w:proofErr w:type="gramEnd"/>
    </w:p>
  </w:endnote>
  <w:endnote w:id="3701">
    <w:p w:rsidR="00975183" w:rsidRPr="00FF2736" w:rsidRDefault="00975183" w:rsidP="008D4C6E">
      <w:pPr>
        <w:pStyle w:val="EndnoteText"/>
      </w:pPr>
      <w:r w:rsidRPr="00FF2736">
        <w:rPr>
          <w:rStyle w:val="EndnoteReference"/>
        </w:rPr>
        <w:endnoteRef/>
      </w:r>
      <w:r w:rsidRPr="00FF2736">
        <w:t xml:space="preserve"> Davies and Allison, </w:t>
      </w:r>
      <w:r w:rsidRPr="00FF2736">
        <w:rPr>
          <w:i/>
        </w:rPr>
        <w:t>Matthew, Vol. 1</w:t>
      </w:r>
      <w:r w:rsidRPr="00FF2736">
        <w:t>, p.289</w:t>
      </w:r>
      <w:r>
        <w:t>;</w:t>
      </w:r>
      <w:r w:rsidRPr="00FF2736">
        <w:t xml:space="preserve"> Pamment, ‘Kingdom of Heaven’, p. 211</w:t>
      </w:r>
      <w:r>
        <w:t>;</w:t>
      </w:r>
      <w:r w:rsidRPr="00FF2736">
        <w:t xml:space="preserve"> Zondervan note on Mt.3:2.</w:t>
      </w:r>
    </w:p>
  </w:endnote>
  <w:endnote w:id="3702">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pp.289-90.</w:t>
      </w:r>
      <w:proofErr w:type="gramEnd"/>
    </w:p>
  </w:endnote>
  <w:endnote w:id="3703">
    <w:p w:rsidR="00975183" w:rsidRPr="00FF2736" w:rsidRDefault="00975183" w:rsidP="008D4C6E">
      <w:pPr>
        <w:pStyle w:val="EndnoteText"/>
      </w:pPr>
      <w:r w:rsidRPr="00FF2736">
        <w:rPr>
          <w:rStyle w:val="EndnoteReference"/>
        </w:rPr>
        <w:endnoteRef/>
      </w:r>
      <w:r w:rsidRPr="00FF2736">
        <w:t xml:space="preserve"> </w:t>
      </w:r>
      <w:r w:rsidRPr="00FF2736">
        <w:rPr>
          <w:i/>
          <w:sz w:val="22"/>
          <w:szCs w:val="22"/>
        </w:rPr>
        <w:t>SRB</w:t>
      </w:r>
      <w:r w:rsidRPr="00FF2736">
        <w:t xml:space="preserve"> note on Mt. 3:2, p. 996.</w:t>
      </w:r>
    </w:p>
  </w:endnote>
  <w:endnote w:id="3704">
    <w:p w:rsidR="00975183" w:rsidRPr="002108FB" w:rsidRDefault="00975183" w:rsidP="008D4C6E">
      <w:pPr>
        <w:pStyle w:val="EndnoteText"/>
      </w:pPr>
      <w:r w:rsidRPr="00FF2736">
        <w:rPr>
          <w:rStyle w:val="EndnoteReference"/>
        </w:rPr>
        <w:endnoteRef/>
      </w:r>
      <w:r w:rsidRPr="00FF2736">
        <w:t xml:space="preserve"> Mt. 12:28; </w:t>
      </w:r>
      <w:smartTag w:uri="urn:schemas-microsoft-com:office:smarttags" w:element="time">
        <w:smartTagPr>
          <w:attr w:name="Minute" w:val="24"/>
          <w:attr w:name="Hour" w:val="19"/>
        </w:smartTagPr>
        <w:r w:rsidRPr="00FF2736">
          <w:t>19:24</w:t>
        </w:r>
      </w:smartTag>
      <w:r w:rsidRPr="00FF2736">
        <w:t xml:space="preserve">; </w:t>
      </w:r>
      <w:smartTag w:uri="urn:schemas-microsoft-com:office:smarttags" w:element="time">
        <w:smartTagPr>
          <w:attr w:name="Minute" w:val="31"/>
          <w:attr w:name="Hour" w:val="21"/>
        </w:smartTagPr>
        <w:r w:rsidRPr="00FF2736">
          <w:t>21:31</w:t>
        </w:r>
      </w:smartTag>
      <w:r w:rsidRPr="00FF2736">
        <w:t xml:space="preserve">; </w:t>
      </w:r>
      <w:smartTag w:uri="urn:schemas-microsoft-com:office:smarttags" w:element="time">
        <w:smartTagPr>
          <w:attr w:name="Minute" w:val="43"/>
          <w:attr w:name="Hour" w:val="21"/>
        </w:smartTagPr>
        <w:r w:rsidRPr="00FF2736">
          <w:t>21:43</w:t>
        </w:r>
      </w:smartTag>
      <w:r w:rsidRPr="00FF2736">
        <w:t xml:space="preserve">.  Matthew </w:t>
      </w:r>
      <w:smartTag w:uri="urn:schemas-microsoft-com:office:smarttags" w:element="time">
        <w:smartTagPr>
          <w:attr w:name="Minute" w:val="33"/>
          <w:attr w:name="Hour" w:val="6"/>
        </w:smartTagPr>
        <w:r w:rsidRPr="00FF2736">
          <w:t>6:33</w:t>
        </w:r>
      </w:smartTag>
      <w:r w:rsidRPr="00FF2736">
        <w:t xml:space="preserve"> contains a contested incidence of ‘</w:t>
      </w:r>
      <w:r>
        <w:rPr>
          <w:rFonts w:ascii="Bwgrkl" w:hAnsi="Bwgrkl" w:cs="Bwgrkl"/>
          <w:lang w:val="en-US" w:bidi="he-IL"/>
        </w:rPr>
        <w:t>h` basilei</w:t>
      </w:r>
      <w:proofErr w:type="gramStart"/>
      <w:r>
        <w:rPr>
          <w:rFonts w:ascii="Bwgrkl" w:hAnsi="Bwgrkl" w:cs="Bwgrkl"/>
          <w:lang w:val="en-US" w:bidi="he-IL"/>
        </w:rPr>
        <w:t>,a</w:t>
      </w:r>
      <w:proofErr w:type="gramEnd"/>
      <w:r>
        <w:rPr>
          <w:rFonts w:ascii="Bwgrkl" w:hAnsi="Bwgrkl" w:cs="Bwgrkl"/>
          <w:lang w:val="en-US" w:bidi="he-IL"/>
        </w:rPr>
        <w:t xml:space="preserve"> tou/ qeou/</w:t>
      </w:r>
      <w:r>
        <w:t>’</w:t>
      </w:r>
      <w:r w:rsidRPr="00FF2736">
        <w:t>.</w:t>
      </w:r>
    </w:p>
  </w:endnote>
  <w:endnote w:id="3705">
    <w:p w:rsidR="00975183" w:rsidRPr="00FF2736" w:rsidRDefault="00975183" w:rsidP="008D4C6E">
      <w:pPr>
        <w:pStyle w:val="EndnoteText"/>
      </w:pPr>
      <w:r w:rsidRPr="00FF2736">
        <w:rPr>
          <w:rStyle w:val="EndnoteReference"/>
        </w:rPr>
        <w:endnoteRef/>
      </w:r>
      <w:r w:rsidRPr="00FF2736">
        <w:t xml:space="preserve"> </w:t>
      </w:r>
      <w:r w:rsidRPr="00FF2736">
        <w:rPr>
          <w:i/>
        </w:rPr>
        <w:t>SRB</w:t>
      </w:r>
      <w:r w:rsidRPr="00FF2736">
        <w:t xml:space="preserve"> notes on Mt. 3:2, p. 996 and Mt. 6:33, p. 1003.</w:t>
      </w:r>
    </w:p>
  </w:endnote>
  <w:endnote w:id="3706">
    <w:p w:rsidR="00975183" w:rsidRPr="000B0EB8" w:rsidRDefault="00975183" w:rsidP="008D4C6E">
      <w:pPr>
        <w:pStyle w:val="EndnoteText"/>
      </w:pPr>
      <w:r w:rsidRPr="000B0EB8">
        <w:rPr>
          <w:rStyle w:val="EndnoteReference"/>
        </w:rPr>
        <w:endnoteRef/>
      </w:r>
      <w:r w:rsidRPr="000B0EB8">
        <w:t xml:space="preserve"> </w:t>
      </w:r>
      <w:r w:rsidRPr="000B0EB8">
        <w:rPr>
          <w:b/>
        </w:rPr>
        <w:t>See table in 7.2.4</w:t>
      </w:r>
      <w:r w:rsidRPr="000B0EB8">
        <w:t>.</w:t>
      </w:r>
    </w:p>
  </w:endnote>
  <w:endnote w:id="3707">
    <w:p w:rsidR="00975183" w:rsidRPr="000B0EB8" w:rsidRDefault="00975183" w:rsidP="008D4C6E">
      <w:pPr>
        <w:pStyle w:val="EndnoteText"/>
      </w:pPr>
      <w:r w:rsidRPr="000B0EB8">
        <w:rPr>
          <w:rStyle w:val="EndnoteReference"/>
        </w:rPr>
        <w:endnoteRef/>
      </w:r>
      <w:r w:rsidRPr="000B0EB8">
        <w:t xml:space="preserve"> </w:t>
      </w:r>
      <w:r w:rsidRPr="00052EDB">
        <w:rPr>
          <w:i/>
        </w:rPr>
        <w:t>SRB</w:t>
      </w:r>
      <w:r>
        <w:t xml:space="preserve"> note on Mt. 6:33, p. 1003.</w:t>
      </w:r>
    </w:p>
  </w:endnote>
  <w:endnote w:id="3708">
    <w:p w:rsidR="00975183" w:rsidRPr="0086047D" w:rsidRDefault="00975183" w:rsidP="008D4C6E">
      <w:pPr>
        <w:pStyle w:val="EndnoteText"/>
      </w:pPr>
      <w:r w:rsidRPr="0086047D">
        <w:rPr>
          <w:rStyle w:val="EndnoteReference"/>
        </w:rPr>
        <w:endnoteRef/>
      </w:r>
      <w:r w:rsidRPr="0086047D">
        <w:t xml:space="preserve"> </w:t>
      </w:r>
      <w:proofErr w:type="gramStart"/>
      <w:r w:rsidRPr="00487354">
        <w:rPr>
          <w:b/>
        </w:rPr>
        <w:t>See 7.2.1; 7.2.4</w:t>
      </w:r>
      <w:r>
        <w:t>.</w:t>
      </w:r>
      <w:proofErr w:type="gramEnd"/>
      <w:r>
        <w:t xml:space="preserve"> </w:t>
      </w:r>
    </w:p>
  </w:endnote>
  <w:endnote w:id="3709">
    <w:p w:rsidR="00975183" w:rsidRDefault="00975183" w:rsidP="008D4C6E">
      <w:pPr>
        <w:pStyle w:val="EndnoteText"/>
      </w:pPr>
      <w:r w:rsidRPr="000B0EB8">
        <w:rPr>
          <w:rStyle w:val="EndnoteReference"/>
        </w:rPr>
        <w:endnoteRef/>
      </w:r>
      <w:r w:rsidRPr="000B0EB8">
        <w:t xml:space="preserve"> </w:t>
      </w:r>
      <w:r w:rsidRPr="00052EDB">
        <w:rPr>
          <w:i/>
        </w:rPr>
        <w:t>SRB</w:t>
      </w:r>
      <w:r>
        <w:t xml:space="preserve"> note on Mt. 3:2, p. 996.</w:t>
      </w:r>
    </w:p>
  </w:endnote>
  <w:endnote w:id="3710">
    <w:p w:rsidR="00975183" w:rsidRPr="000B0EB8" w:rsidRDefault="00975183" w:rsidP="008D4C6E">
      <w:pPr>
        <w:pStyle w:val="EndnoteText"/>
      </w:pPr>
      <w:r w:rsidRPr="000B0EB8">
        <w:rPr>
          <w:rStyle w:val="EndnoteReference"/>
        </w:rPr>
        <w:endnoteRef/>
      </w:r>
      <w:r w:rsidRPr="000B0EB8">
        <w:t xml:space="preserve"> </w:t>
      </w:r>
      <w:r w:rsidRPr="00052EDB">
        <w:rPr>
          <w:i/>
        </w:rPr>
        <w:t>SRB</w:t>
      </w:r>
      <w:r>
        <w:t xml:space="preserve"> note on Mt. 6:33, p. 1003.</w:t>
      </w:r>
    </w:p>
  </w:endnote>
  <w:endnote w:id="3711">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p.389.</w:t>
      </w:r>
      <w:proofErr w:type="gramEnd"/>
    </w:p>
  </w:endnote>
  <w:endnote w:id="3712">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p.390.</w:t>
      </w:r>
      <w:proofErr w:type="gramEnd"/>
      <w:r>
        <w:t xml:space="preserve">  </w:t>
      </w:r>
      <w:proofErr w:type="gramStart"/>
      <w:r w:rsidRPr="00034C42">
        <w:rPr>
          <w:b/>
        </w:rPr>
        <w:t>See 8.6.1</w:t>
      </w:r>
      <w:r>
        <w:t>.</w:t>
      </w:r>
      <w:proofErr w:type="gramEnd"/>
    </w:p>
  </w:endnote>
  <w:endnote w:id="3713">
    <w:p w:rsidR="00975183" w:rsidRPr="00FF2736" w:rsidRDefault="00975183" w:rsidP="008D4C6E">
      <w:pPr>
        <w:pStyle w:val="EndnoteText"/>
      </w:pPr>
      <w:r w:rsidRPr="00FF2736">
        <w:rPr>
          <w:rStyle w:val="EndnoteReference"/>
        </w:rPr>
        <w:endnoteRef/>
      </w:r>
      <w:r w:rsidRPr="00FF2736">
        <w:t xml:space="preserve"> </w:t>
      </w:r>
      <w:r w:rsidRPr="00FF2736">
        <w:rPr>
          <w:i/>
        </w:rPr>
        <w:t>NIV Commentary</w:t>
      </w:r>
      <w:r w:rsidRPr="00FF2736">
        <w:t>, p. 1414.</w:t>
      </w:r>
    </w:p>
  </w:endnote>
  <w:endnote w:id="3714">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p.391, 392.</w:t>
      </w:r>
      <w:proofErr w:type="gramEnd"/>
    </w:p>
  </w:endnote>
  <w:endnote w:id="3715">
    <w:p w:rsidR="00975183" w:rsidRPr="00FF2736" w:rsidRDefault="00975183" w:rsidP="008D4C6E">
      <w:pPr>
        <w:pStyle w:val="EndnoteText"/>
      </w:pPr>
      <w:r w:rsidRPr="00FF2736">
        <w:rPr>
          <w:rStyle w:val="EndnoteReference"/>
        </w:rPr>
        <w:endnoteRef/>
      </w:r>
      <w:r w:rsidRPr="00FF2736">
        <w:t xml:space="preserve"> </w:t>
      </w:r>
      <w:proofErr w:type="gramStart"/>
      <w:r w:rsidRPr="00FF2736">
        <w:t xml:space="preserve">Davies and Allison, </w:t>
      </w:r>
      <w:r w:rsidRPr="00FF2736">
        <w:rPr>
          <w:i/>
        </w:rPr>
        <w:t>Matthew, Vol. 1</w:t>
      </w:r>
      <w:r w:rsidRPr="00FF2736">
        <w:t>, p.391.</w:t>
      </w:r>
      <w:proofErr w:type="gramEnd"/>
    </w:p>
  </w:endnote>
  <w:endnote w:id="3716">
    <w:p w:rsidR="00975183" w:rsidRPr="005B49DE" w:rsidRDefault="00975183" w:rsidP="008D4C6E">
      <w:pPr>
        <w:pStyle w:val="EndnoteText"/>
      </w:pPr>
      <w:r w:rsidRPr="005B49DE">
        <w:rPr>
          <w:rStyle w:val="EndnoteReference"/>
        </w:rPr>
        <w:endnoteRef/>
      </w:r>
      <w:r w:rsidRPr="005B49DE">
        <w:t xml:space="preserve"> </w:t>
      </w:r>
      <w:proofErr w:type="gramStart"/>
      <w:r w:rsidRPr="005B49DE">
        <w:t xml:space="preserve">Davies and Allison, </w:t>
      </w:r>
      <w:r w:rsidRPr="005B49DE">
        <w:rPr>
          <w:i/>
        </w:rPr>
        <w:t>Matthew, Vol. 1</w:t>
      </w:r>
      <w:r w:rsidRPr="005B49DE">
        <w:t>, p.390.</w:t>
      </w:r>
      <w:proofErr w:type="gramEnd"/>
    </w:p>
  </w:endnote>
  <w:endnote w:id="3717">
    <w:p w:rsidR="00975183" w:rsidRPr="005B49DE" w:rsidRDefault="00975183" w:rsidP="008D4C6E">
      <w:pPr>
        <w:pStyle w:val="EndnoteText"/>
      </w:pPr>
      <w:r w:rsidRPr="005B49DE">
        <w:rPr>
          <w:rStyle w:val="EndnoteReference"/>
        </w:rPr>
        <w:endnoteRef/>
      </w:r>
      <w:r w:rsidRPr="005B49DE">
        <w:t xml:space="preserve"> Zondervan note on Mt. 3:2.</w:t>
      </w:r>
    </w:p>
  </w:endnote>
  <w:endnote w:id="3718">
    <w:p w:rsidR="00975183" w:rsidRPr="005B49DE" w:rsidRDefault="00975183" w:rsidP="008D4C6E">
      <w:pPr>
        <w:pStyle w:val="EndnoteText"/>
      </w:pPr>
      <w:r w:rsidRPr="005B49DE">
        <w:rPr>
          <w:rStyle w:val="EndnoteReference"/>
        </w:rPr>
        <w:endnoteRef/>
      </w:r>
      <w:r w:rsidRPr="005B49DE">
        <w:t xml:space="preserve"> Zondervan note on Mt. 3:2.</w:t>
      </w:r>
    </w:p>
  </w:endnote>
  <w:endnote w:id="3719">
    <w:p w:rsidR="00975183" w:rsidRPr="005B49DE" w:rsidRDefault="00975183" w:rsidP="008D4C6E">
      <w:pPr>
        <w:pStyle w:val="EndnoteText"/>
      </w:pPr>
      <w:r w:rsidRPr="005B49DE">
        <w:rPr>
          <w:rStyle w:val="EndnoteReference"/>
        </w:rPr>
        <w:endnoteRef/>
      </w:r>
      <w:r w:rsidRPr="005B49DE">
        <w:t xml:space="preserve"> Zondervan note on Mt. 3:2.</w:t>
      </w:r>
    </w:p>
  </w:endnote>
  <w:endnote w:id="3720">
    <w:p w:rsidR="00975183" w:rsidRPr="005B49DE" w:rsidRDefault="00975183" w:rsidP="008D4C6E">
      <w:pPr>
        <w:pStyle w:val="EndnoteText"/>
      </w:pPr>
      <w:r w:rsidRPr="005B49DE">
        <w:rPr>
          <w:rStyle w:val="EndnoteReference"/>
        </w:rPr>
        <w:endnoteRef/>
      </w:r>
      <w:r w:rsidRPr="005B49DE">
        <w:t xml:space="preserve"> Pamment, ‘</w:t>
      </w:r>
      <w:smartTag w:uri="urn:schemas-microsoft-com:office:smarttags" w:element="place">
        <w:smartTag w:uri="urn:schemas-microsoft-com:office:smarttags" w:element="PlaceType">
          <w:r w:rsidRPr="005B49DE">
            <w:t>Kingdom</w:t>
          </w:r>
        </w:smartTag>
        <w:r w:rsidRPr="005B49DE">
          <w:t xml:space="preserve"> of </w:t>
        </w:r>
        <w:smartTag w:uri="urn:schemas-microsoft-com:office:smarttags" w:element="PlaceName">
          <w:r w:rsidRPr="005B49DE">
            <w:t>Heaven</w:t>
          </w:r>
        </w:smartTag>
      </w:smartTag>
      <w:r w:rsidRPr="005B49DE">
        <w:t>’, p. 211.  (Pamment appears to include the doubtful incidence of ‘</w:t>
      </w:r>
      <w:r>
        <w:rPr>
          <w:rFonts w:ascii="Bwgrkl" w:hAnsi="Bwgrkl" w:cs="Bwgrkl"/>
          <w:lang w:val="en-US" w:bidi="he-IL"/>
        </w:rPr>
        <w:t>tou/ qeou</w:t>
      </w:r>
      <w:r w:rsidRPr="005B49DE">
        <w:t>’</w:t>
      </w:r>
      <w:r w:rsidRPr="005B49DE">
        <w:rPr>
          <w:sz w:val="22"/>
          <w:szCs w:val="22"/>
        </w:rPr>
        <w:t xml:space="preserve"> </w:t>
      </w:r>
      <w:r w:rsidRPr="005B49DE">
        <w:t xml:space="preserve">in Mt. </w:t>
      </w:r>
      <w:smartTag w:uri="urn:schemas-microsoft-com:office:smarttags" w:element="time">
        <w:smartTagPr>
          <w:attr w:name="Minute" w:val="33"/>
          <w:attr w:name="Hour" w:val="6"/>
        </w:smartTagPr>
        <w:r w:rsidRPr="005B49DE">
          <w:t>6:33</w:t>
        </w:r>
      </w:smartTag>
      <w:r w:rsidRPr="005B49DE">
        <w:t>.)</w:t>
      </w:r>
    </w:p>
  </w:endnote>
  <w:endnote w:id="3721">
    <w:p w:rsidR="00975183" w:rsidRPr="00426E14" w:rsidRDefault="00975183" w:rsidP="008D4C6E">
      <w:pPr>
        <w:pStyle w:val="EndnoteText"/>
      </w:pPr>
      <w:r w:rsidRPr="00426E14">
        <w:rPr>
          <w:rStyle w:val="EndnoteReference"/>
        </w:rPr>
        <w:endnoteRef/>
      </w:r>
      <w:r w:rsidRPr="00426E14">
        <w:t xml:space="preserve"> Pamment, ‘Kingdom of Heaven’, p. 213.</w:t>
      </w:r>
    </w:p>
  </w:endnote>
  <w:endnote w:id="3722">
    <w:p w:rsidR="00975183" w:rsidRPr="00426E14" w:rsidRDefault="00975183" w:rsidP="008D4C6E">
      <w:pPr>
        <w:pStyle w:val="EndnoteText"/>
      </w:pPr>
      <w:r w:rsidRPr="00426E14">
        <w:rPr>
          <w:rStyle w:val="EndnoteReference"/>
        </w:rPr>
        <w:endnoteRef/>
      </w:r>
      <w:r w:rsidRPr="00426E14">
        <w:t xml:space="preserve"> Pamment, ‘Kingdom of Heaven’, p. 214.</w:t>
      </w:r>
    </w:p>
  </w:endnote>
  <w:endnote w:id="3723">
    <w:p w:rsidR="00975183" w:rsidRPr="00426E14" w:rsidRDefault="00975183" w:rsidP="008D4C6E">
      <w:pPr>
        <w:pStyle w:val="EndnoteText"/>
      </w:pPr>
      <w:r w:rsidRPr="00426E14">
        <w:rPr>
          <w:rStyle w:val="EndnoteReference"/>
        </w:rPr>
        <w:endnoteRef/>
      </w:r>
      <w:r w:rsidRPr="00426E14">
        <w:t xml:space="preserve"> Mt. 6:10.</w:t>
      </w:r>
    </w:p>
  </w:endnote>
  <w:endnote w:id="3724">
    <w:p w:rsidR="00975183" w:rsidRPr="00426E14" w:rsidRDefault="00975183" w:rsidP="008D4C6E">
      <w:pPr>
        <w:pStyle w:val="EndnoteText"/>
      </w:pPr>
      <w:r w:rsidRPr="00426E14">
        <w:rPr>
          <w:rStyle w:val="EndnoteReference"/>
        </w:rPr>
        <w:endnoteRef/>
      </w:r>
      <w:r w:rsidRPr="00426E14">
        <w:t xml:space="preserve"> Pamment, ‘Kingdom of Heaven’, p. 229.</w:t>
      </w:r>
    </w:p>
  </w:endnote>
  <w:endnote w:id="3725">
    <w:p w:rsidR="00975183" w:rsidRDefault="00975183" w:rsidP="008D4C6E">
      <w:pPr>
        <w:pStyle w:val="EndnoteText"/>
      </w:pPr>
      <w:r w:rsidRPr="000B0EB8">
        <w:rPr>
          <w:rStyle w:val="EndnoteReference"/>
        </w:rPr>
        <w:endnoteRef/>
      </w:r>
      <w:r w:rsidRPr="000B0EB8">
        <w:t xml:space="preserve"> </w:t>
      </w:r>
      <w:r w:rsidRPr="00052EDB">
        <w:rPr>
          <w:i/>
        </w:rPr>
        <w:t>SRB</w:t>
      </w:r>
      <w:r>
        <w:t xml:space="preserve"> note on Mt. 6:33, p. 1003.</w:t>
      </w:r>
    </w:p>
  </w:endnote>
  <w:endnote w:id="3726">
    <w:p w:rsidR="00975183" w:rsidRPr="00426E14" w:rsidRDefault="00975183" w:rsidP="008D4C6E">
      <w:pPr>
        <w:pStyle w:val="EndnoteText"/>
      </w:pPr>
      <w:r w:rsidRPr="00426E14">
        <w:rPr>
          <w:rStyle w:val="EndnoteReference"/>
        </w:rPr>
        <w:endnoteRef/>
      </w:r>
      <w:r w:rsidRPr="00426E14">
        <w:t xml:space="preserve"> Mt. 13:24-30, 33</w:t>
      </w:r>
      <w:r>
        <w:t xml:space="preserve">, </w:t>
      </w:r>
      <w:r w:rsidRPr="00426E14">
        <w:t>47-50.</w:t>
      </w:r>
      <w:r>
        <w:t xml:space="preserve">  </w:t>
      </w:r>
      <w:r w:rsidRPr="00426E14">
        <w:rPr>
          <w:i/>
        </w:rPr>
        <w:t>SRB</w:t>
      </w:r>
      <w:r w:rsidRPr="00426E14">
        <w:t>, p. 1003.</w:t>
      </w:r>
    </w:p>
  </w:endnote>
  <w:endnote w:id="3727">
    <w:p w:rsidR="00975183" w:rsidRPr="00426E14" w:rsidRDefault="00975183" w:rsidP="008D4C6E">
      <w:pPr>
        <w:pStyle w:val="EndnoteText"/>
      </w:pPr>
      <w:r w:rsidRPr="00426E14">
        <w:rPr>
          <w:rStyle w:val="EndnoteReference"/>
        </w:rPr>
        <w:endnoteRef/>
      </w:r>
      <w:r w:rsidRPr="00426E14">
        <w:t xml:space="preserve"> ‘</w:t>
      </w:r>
      <w:r w:rsidRPr="00426E14">
        <w:rPr>
          <w:lang w:val="en-US"/>
        </w:rPr>
        <w:t>But seek first his kingdom and his righteousness, and all these things will be given to you as well.</w:t>
      </w:r>
      <w:r w:rsidRPr="00426E14">
        <w:t xml:space="preserve">’ Mt. 6:33, </w:t>
      </w:r>
      <w:r w:rsidRPr="00426E14">
        <w:rPr>
          <w:i/>
        </w:rPr>
        <w:t>NIV</w:t>
      </w:r>
      <w:r w:rsidRPr="006168B3">
        <w:t>.</w:t>
      </w:r>
    </w:p>
  </w:endnote>
  <w:endnote w:id="3728">
    <w:p w:rsidR="00975183" w:rsidRPr="00426E14" w:rsidRDefault="00975183" w:rsidP="008D4C6E">
      <w:pPr>
        <w:pStyle w:val="EndnoteText"/>
      </w:pPr>
      <w:r w:rsidRPr="00426E14">
        <w:rPr>
          <w:rStyle w:val="EndnoteReference"/>
        </w:rPr>
        <w:endnoteRef/>
      </w:r>
      <w:r w:rsidRPr="00426E14">
        <w:t xml:space="preserve"> Davies and Allison, </w:t>
      </w:r>
      <w:r w:rsidRPr="00426E14">
        <w:rPr>
          <w:i/>
        </w:rPr>
        <w:t>Matthew, Vol. 1</w:t>
      </w:r>
      <w:r w:rsidRPr="00426E14">
        <w:t xml:space="preserve">, pp.625, 658-61; </w:t>
      </w:r>
      <w:r w:rsidRPr="00426E14">
        <w:rPr>
          <w:i/>
          <w:lang w:val="en-US"/>
        </w:rPr>
        <w:t>NRSV</w:t>
      </w:r>
      <w:r w:rsidRPr="00426E14">
        <w:t xml:space="preserve"> note, N.T. p. 6; Zondervan note on Mt. 6:33, Pamment, ‘Kingdom of Heaven’, p. 215.</w:t>
      </w:r>
    </w:p>
  </w:endnote>
  <w:endnote w:id="3729">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1</w:t>
      </w:r>
      <w:r w:rsidRPr="005B49DE">
        <w:t>, p. 659.</w:t>
      </w:r>
    </w:p>
  </w:endnote>
  <w:endnote w:id="3730">
    <w:p w:rsidR="00975183" w:rsidRPr="005B49DE" w:rsidRDefault="00975183" w:rsidP="008D4C6E">
      <w:pPr>
        <w:pStyle w:val="EndnoteText"/>
      </w:pPr>
      <w:r w:rsidRPr="005B49DE">
        <w:rPr>
          <w:rStyle w:val="EndnoteReference"/>
        </w:rPr>
        <w:endnoteRef/>
      </w:r>
      <w:r w:rsidRPr="005B49DE">
        <w:t xml:space="preserve"> Zondervan note on Mt. 3:3-7b.</w:t>
      </w:r>
    </w:p>
  </w:endnote>
  <w:endnote w:id="3731">
    <w:p w:rsidR="00975183" w:rsidRPr="005B49DE" w:rsidRDefault="00975183" w:rsidP="008D4C6E">
      <w:pPr>
        <w:pStyle w:val="EndnoteText"/>
      </w:pPr>
      <w:r w:rsidRPr="005B49DE">
        <w:rPr>
          <w:rStyle w:val="EndnoteReference"/>
        </w:rPr>
        <w:endnoteRef/>
      </w:r>
      <w:r w:rsidRPr="005B49DE">
        <w:t xml:space="preserve"> Mt. 13:1-9.</w:t>
      </w:r>
    </w:p>
  </w:endnote>
  <w:endnote w:id="3732">
    <w:p w:rsidR="00975183" w:rsidRPr="005B49DE" w:rsidRDefault="00975183" w:rsidP="008D4C6E">
      <w:pPr>
        <w:pStyle w:val="EndnoteText"/>
      </w:pPr>
      <w:r w:rsidRPr="005B49DE">
        <w:rPr>
          <w:rStyle w:val="EndnoteReference"/>
        </w:rPr>
        <w:endnoteRef/>
      </w:r>
      <w:r w:rsidRPr="005B49DE">
        <w:t xml:space="preserve"> </w:t>
      </w:r>
      <w:r w:rsidRPr="005B49DE">
        <w:rPr>
          <w:i/>
        </w:rPr>
        <w:t>SRB</w:t>
      </w:r>
      <w:r w:rsidRPr="005B49DE">
        <w:t xml:space="preserve"> note on Mt. 13:3, p. 1014.</w:t>
      </w:r>
    </w:p>
  </w:endnote>
  <w:endnote w:id="3733">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374</w:t>
      </w:r>
      <w:r>
        <w:t>;</w:t>
      </w:r>
      <w:r w:rsidRPr="005B49DE">
        <w:t xml:space="preserve"> Pamment, ‘Kingdom of Heaven’, p. 218.</w:t>
      </w:r>
    </w:p>
  </w:endnote>
  <w:endnote w:id="3734">
    <w:p w:rsidR="00975183" w:rsidRPr="005B49DE" w:rsidRDefault="00975183" w:rsidP="008D4C6E">
      <w:pPr>
        <w:pStyle w:val="EndnoteText"/>
      </w:pPr>
      <w:r w:rsidRPr="005B49DE">
        <w:rPr>
          <w:rStyle w:val="EndnoteReference"/>
        </w:rPr>
        <w:endnoteRef/>
      </w:r>
      <w:r w:rsidRPr="005B49DE">
        <w:t xml:space="preserve"> </w:t>
      </w:r>
      <w:proofErr w:type="gramStart"/>
      <w:r w:rsidRPr="005B49DE">
        <w:rPr>
          <w:i/>
          <w:lang w:val="en-US"/>
        </w:rPr>
        <w:t>NRSV</w:t>
      </w:r>
      <w:r w:rsidRPr="005B49DE">
        <w:rPr>
          <w:i/>
        </w:rPr>
        <w:t xml:space="preserve"> Commentary</w:t>
      </w:r>
      <w:r w:rsidRPr="005B49DE">
        <w:t>, N.T. p. 13.</w:t>
      </w:r>
      <w:proofErr w:type="gramEnd"/>
    </w:p>
  </w:endnote>
  <w:endnote w:id="3735">
    <w:p w:rsidR="00975183" w:rsidRPr="005B49DE" w:rsidRDefault="00975183" w:rsidP="008D4C6E">
      <w:pPr>
        <w:pStyle w:val="EndnoteText"/>
      </w:pPr>
      <w:r w:rsidRPr="005B49DE">
        <w:rPr>
          <w:rStyle w:val="EndnoteReference"/>
        </w:rPr>
        <w:endnoteRef/>
      </w:r>
      <w:r w:rsidRPr="005B49DE">
        <w:t xml:space="preserve"> </w:t>
      </w:r>
      <w:proofErr w:type="gramStart"/>
      <w:r w:rsidRPr="005B49DE">
        <w:rPr>
          <w:i/>
        </w:rPr>
        <w:t>SRB</w:t>
      </w:r>
      <w:r w:rsidRPr="005B49DE">
        <w:t>.</w:t>
      </w:r>
      <w:proofErr w:type="gramEnd"/>
      <w:r w:rsidRPr="005B49DE">
        <w:t xml:space="preserve"> </w:t>
      </w:r>
      <w:proofErr w:type="gramStart"/>
      <w:r w:rsidRPr="005B49DE">
        <w:t>p. 1014.</w:t>
      </w:r>
      <w:proofErr w:type="gramEnd"/>
    </w:p>
  </w:endnote>
  <w:endnote w:id="3736">
    <w:p w:rsidR="00975183" w:rsidRPr="005B49DE" w:rsidRDefault="00975183" w:rsidP="008D4C6E">
      <w:pPr>
        <w:pStyle w:val="EndnoteText"/>
      </w:pPr>
      <w:r w:rsidRPr="005B49DE">
        <w:rPr>
          <w:rStyle w:val="EndnoteReference"/>
        </w:rPr>
        <w:endnoteRef/>
      </w:r>
      <w:r w:rsidRPr="005B49DE">
        <w:t xml:space="preserve"> Mt. 13:10.</w:t>
      </w:r>
    </w:p>
  </w:endnote>
  <w:endnote w:id="3737">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387.</w:t>
      </w:r>
    </w:p>
  </w:endnote>
  <w:endnote w:id="3738">
    <w:p w:rsidR="00975183" w:rsidRPr="005B49DE" w:rsidRDefault="00975183" w:rsidP="008D4C6E">
      <w:pPr>
        <w:pStyle w:val="EndnoteText"/>
      </w:pPr>
      <w:r w:rsidRPr="005B49DE">
        <w:rPr>
          <w:rStyle w:val="EndnoteReference"/>
        </w:rPr>
        <w:endnoteRef/>
      </w:r>
      <w:r w:rsidRPr="005B49DE">
        <w:t xml:space="preserve"> Parallel Mk 4:11.</w:t>
      </w:r>
    </w:p>
  </w:endnote>
  <w:endnote w:id="3739">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389.</w:t>
      </w:r>
    </w:p>
  </w:endnote>
  <w:endnote w:id="3740">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389.</w:t>
      </w:r>
    </w:p>
  </w:endnote>
  <w:endnote w:id="3741">
    <w:p w:rsidR="00975183" w:rsidRPr="005B49DE" w:rsidRDefault="00975183" w:rsidP="008D4C6E">
      <w:pPr>
        <w:pStyle w:val="EndnoteText"/>
      </w:pPr>
      <w:r w:rsidRPr="005B49DE">
        <w:rPr>
          <w:rStyle w:val="EndnoteReference"/>
        </w:rPr>
        <w:endnoteRef/>
      </w:r>
      <w:r w:rsidRPr="005B49DE">
        <w:t xml:space="preserve"> Zondervan note on Mt. 13:11-12.</w:t>
      </w:r>
    </w:p>
  </w:endnote>
  <w:endnote w:id="3742">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423.</w:t>
      </w:r>
    </w:p>
  </w:endnote>
  <w:endnote w:id="3743">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422.</w:t>
      </w:r>
    </w:p>
  </w:endnote>
  <w:endnote w:id="3744">
    <w:p w:rsidR="00975183" w:rsidRDefault="00975183">
      <w:pPr>
        <w:pStyle w:val="EndnoteText"/>
      </w:pPr>
      <w:r>
        <w:rPr>
          <w:rStyle w:val="EndnoteReference"/>
        </w:rPr>
        <w:endnoteRef/>
      </w:r>
      <w:r>
        <w:t xml:space="preserve"> </w:t>
      </w:r>
      <w:r w:rsidRPr="006329CD">
        <w:rPr>
          <w:szCs w:val="18"/>
        </w:rPr>
        <w:t xml:space="preserve">Burridge, </w:t>
      </w:r>
      <w:r w:rsidRPr="006329CD">
        <w:rPr>
          <w:i/>
          <w:szCs w:val="18"/>
        </w:rPr>
        <w:t>Four Gospels, One Jesus</w:t>
      </w:r>
      <w:r w:rsidRPr="006329CD">
        <w:rPr>
          <w:szCs w:val="18"/>
        </w:rPr>
        <w:t>, p. 12.</w:t>
      </w:r>
      <w:r>
        <w:rPr>
          <w:szCs w:val="18"/>
        </w:rPr>
        <w:t xml:space="preserve">  </w:t>
      </w:r>
      <w:proofErr w:type="gramStart"/>
      <w:r w:rsidRPr="007F56E4">
        <w:rPr>
          <w:b/>
          <w:szCs w:val="18"/>
        </w:rPr>
        <w:t>See 8.6.2</w:t>
      </w:r>
      <w:r>
        <w:rPr>
          <w:szCs w:val="18"/>
        </w:rPr>
        <w:t>.</w:t>
      </w:r>
      <w:proofErr w:type="gramEnd"/>
    </w:p>
  </w:endnote>
  <w:endnote w:id="3745">
    <w:p w:rsidR="00975183" w:rsidRPr="005B49DE" w:rsidRDefault="00975183" w:rsidP="008D4C6E">
      <w:pPr>
        <w:pStyle w:val="EndnoteText"/>
      </w:pPr>
      <w:r w:rsidRPr="005B49DE">
        <w:rPr>
          <w:rStyle w:val="EndnoteReference"/>
        </w:rPr>
        <w:endnoteRef/>
      </w:r>
      <w:r w:rsidRPr="005B49DE">
        <w:t xml:space="preserve"> Zondervan note on Mt. 13:33.</w:t>
      </w:r>
    </w:p>
  </w:endnote>
  <w:endnote w:id="3746">
    <w:p w:rsidR="00975183" w:rsidRPr="005B49DE" w:rsidRDefault="00975183" w:rsidP="008D4C6E">
      <w:pPr>
        <w:pStyle w:val="EndnoteText"/>
      </w:pPr>
      <w:r w:rsidRPr="005B49DE">
        <w:rPr>
          <w:rStyle w:val="EndnoteReference"/>
        </w:rPr>
        <w:endnoteRef/>
      </w:r>
      <w:r w:rsidRPr="005B49DE">
        <w:t xml:space="preserve"> </w:t>
      </w:r>
      <w:r w:rsidRPr="005B49DE">
        <w:rPr>
          <w:i/>
        </w:rPr>
        <w:t>NIV</w:t>
      </w:r>
      <w:r w:rsidRPr="005B49DE">
        <w:t xml:space="preserve"> note on Mt. 13:33, p. 1431.</w:t>
      </w:r>
    </w:p>
  </w:endnote>
  <w:endnote w:id="3747">
    <w:p w:rsidR="00975183" w:rsidRPr="005B49DE" w:rsidRDefault="00975183" w:rsidP="008D4C6E">
      <w:pPr>
        <w:pStyle w:val="EndnoteText"/>
      </w:pPr>
      <w:r w:rsidRPr="005B49DE">
        <w:rPr>
          <w:rStyle w:val="EndnoteReference"/>
        </w:rPr>
        <w:endnoteRef/>
      </w:r>
      <w:r w:rsidRPr="005B49DE">
        <w:t xml:space="preserve"> </w:t>
      </w:r>
      <w:r w:rsidRPr="005B49DE">
        <w:rPr>
          <w:i/>
          <w:lang w:val="en-US"/>
        </w:rPr>
        <w:t>NRSV</w:t>
      </w:r>
      <w:r w:rsidRPr="005B49DE">
        <w:t xml:space="preserve"> note on Mt. 13:33, N.T. p. 1431.</w:t>
      </w:r>
    </w:p>
  </w:endnote>
  <w:endnote w:id="3748">
    <w:p w:rsidR="00975183" w:rsidRPr="005B49DE" w:rsidRDefault="00975183" w:rsidP="008D4C6E">
      <w:pPr>
        <w:pStyle w:val="EndnoteText"/>
      </w:pPr>
      <w:r w:rsidRPr="005B49DE">
        <w:rPr>
          <w:rStyle w:val="EndnoteReference"/>
        </w:rPr>
        <w:endnoteRef/>
      </w:r>
      <w:r w:rsidRPr="005B49DE">
        <w:t xml:space="preserve"> Note on Mt. 13:33, </w:t>
      </w:r>
      <w:r w:rsidRPr="005B49DE">
        <w:rPr>
          <w:i/>
        </w:rPr>
        <w:t>SRB</w:t>
      </w:r>
      <w:r>
        <w:t>,</w:t>
      </w:r>
      <w:r w:rsidRPr="005B49DE">
        <w:t xml:space="preserve"> p. 1016.</w:t>
      </w:r>
      <w:r>
        <w:t xml:space="preserve">  </w:t>
      </w:r>
      <w:proofErr w:type="gramStart"/>
      <w:r>
        <w:t>(</w:t>
      </w:r>
      <w:r w:rsidRPr="006650DA">
        <w:rPr>
          <w:i/>
        </w:rPr>
        <w:t>Scofield’s emphasis</w:t>
      </w:r>
      <w:r>
        <w:t>.)</w:t>
      </w:r>
      <w:proofErr w:type="gramEnd"/>
    </w:p>
  </w:endnote>
  <w:endnote w:id="3749">
    <w:p w:rsidR="00975183" w:rsidRPr="005B49DE" w:rsidRDefault="00975183" w:rsidP="008D4C6E">
      <w:pPr>
        <w:pStyle w:val="EndnoteText"/>
      </w:pPr>
      <w:r w:rsidRPr="005B49DE">
        <w:rPr>
          <w:rStyle w:val="EndnoteReference"/>
        </w:rPr>
        <w:endnoteRef/>
      </w:r>
      <w:r w:rsidRPr="005B49DE">
        <w:t xml:space="preserve"> Davies and Allison, </w:t>
      </w:r>
      <w:r w:rsidRPr="005B49DE">
        <w:rPr>
          <w:i/>
        </w:rPr>
        <w:t>Matthew, Vol. 2</w:t>
      </w:r>
      <w:r w:rsidRPr="005B49DE">
        <w:t>, p. 423.</w:t>
      </w:r>
    </w:p>
  </w:endnote>
  <w:endnote w:id="3750">
    <w:p w:rsidR="00975183" w:rsidRPr="007C5567" w:rsidRDefault="00975183" w:rsidP="008D4C6E">
      <w:pPr>
        <w:pStyle w:val="EndnoteText"/>
      </w:pPr>
      <w:r w:rsidRPr="005B49DE">
        <w:rPr>
          <w:rStyle w:val="EndnoteReference"/>
        </w:rPr>
        <w:endnoteRef/>
      </w:r>
      <w:r w:rsidRPr="005B49DE">
        <w:t xml:space="preserve"> </w:t>
      </w:r>
      <w:r w:rsidRPr="005B49DE">
        <w:rPr>
          <w:i/>
        </w:rPr>
        <w:t>SRB</w:t>
      </w:r>
      <w:r w:rsidRPr="005B49DE">
        <w:t xml:space="preserve"> note on Mt. 13:33, p. 1016.</w:t>
      </w:r>
    </w:p>
  </w:endnote>
  <w:endnote w:id="3751">
    <w:p w:rsidR="00975183" w:rsidRPr="005B49DE" w:rsidRDefault="00975183" w:rsidP="008D4C6E">
      <w:pPr>
        <w:pStyle w:val="EndnoteText"/>
      </w:pPr>
      <w:r w:rsidRPr="005B49DE">
        <w:rPr>
          <w:rStyle w:val="EndnoteReference"/>
        </w:rPr>
        <w:endnoteRef/>
      </w:r>
      <w:r w:rsidRPr="005B49DE">
        <w:t xml:space="preserve"> Mt. 17:1-13.</w:t>
      </w:r>
    </w:p>
  </w:endnote>
  <w:endnote w:id="3752">
    <w:p w:rsidR="00975183" w:rsidRPr="005B49DE" w:rsidRDefault="00975183" w:rsidP="008D4C6E">
      <w:pPr>
        <w:pStyle w:val="EndnoteText"/>
      </w:pPr>
      <w:r w:rsidRPr="005B49DE">
        <w:rPr>
          <w:rStyle w:val="EndnoteReference"/>
        </w:rPr>
        <w:endnoteRef/>
      </w:r>
      <w:r w:rsidRPr="005B49DE">
        <w:t xml:space="preserve"> </w:t>
      </w:r>
      <w:r w:rsidRPr="005B49DE">
        <w:rPr>
          <w:i/>
        </w:rPr>
        <w:t>SRB</w:t>
      </w:r>
      <w:r w:rsidRPr="005B49DE">
        <w:t xml:space="preserve"> note on Mt. 17:2, pp. 1022-3.</w:t>
      </w:r>
    </w:p>
  </w:endnote>
  <w:endnote w:id="3753">
    <w:p w:rsidR="00975183" w:rsidRPr="005B49DE" w:rsidRDefault="00975183" w:rsidP="008D4C6E">
      <w:pPr>
        <w:pStyle w:val="EndnoteText"/>
      </w:pPr>
      <w:r w:rsidRPr="005B49DE">
        <w:rPr>
          <w:rStyle w:val="EndnoteReference"/>
        </w:rPr>
        <w:endnoteRef/>
      </w:r>
      <w:r w:rsidRPr="005B49DE">
        <w:t xml:space="preserve"> Ex</w:t>
      </w:r>
      <w:r>
        <w:t>od</w:t>
      </w:r>
      <w:r w:rsidRPr="005B49DE">
        <w:t>. 34:29-35; 2 Kgs 2:1-12.</w:t>
      </w:r>
    </w:p>
  </w:endnote>
  <w:endnote w:id="3754">
    <w:p w:rsidR="00975183" w:rsidRPr="005B49DE" w:rsidRDefault="00975183" w:rsidP="008D4C6E">
      <w:pPr>
        <w:pStyle w:val="EndnoteText"/>
      </w:pPr>
      <w:r w:rsidRPr="005B49DE">
        <w:rPr>
          <w:rStyle w:val="EndnoteReference"/>
        </w:rPr>
        <w:endnoteRef/>
      </w:r>
      <w:r w:rsidRPr="005B49DE">
        <w:t xml:space="preserve"> </w:t>
      </w:r>
      <w:r w:rsidRPr="005B49DE">
        <w:rPr>
          <w:i/>
          <w:lang w:val="en-US"/>
        </w:rPr>
        <w:t>NRSV</w:t>
      </w:r>
      <w:r w:rsidRPr="005B49DE">
        <w:t xml:space="preserve"> note on Mt. 17:1-13, N.T. p. 18.</w:t>
      </w:r>
    </w:p>
  </w:endnote>
  <w:endnote w:id="3755">
    <w:p w:rsidR="00975183" w:rsidRPr="005B49DE" w:rsidRDefault="00975183" w:rsidP="008D4C6E">
      <w:pPr>
        <w:pStyle w:val="EndnoteText"/>
      </w:pPr>
      <w:r w:rsidRPr="005B49DE">
        <w:rPr>
          <w:rStyle w:val="EndnoteReference"/>
        </w:rPr>
        <w:endnoteRef/>
      </w:r>
      <w:r w:rsidRPr="005B49DE">
        <w:t xml:space="preserve"> Mt. 16:13-20.</w:t>
      </w:r>
    </w:p>
  </w:endnote>
  <w:endnote w:id="3756">
    <w:p w:rsidR="00975183" w:rsidRPr="005B49DE" w:rsidRDefault="00975183" w:rsidP="008D4C6E">
      <w:pPr>
        <w:pStyle w:val="EndnoteText"/>
      </w:pPr>
      <w:r w:rsidRPr="005B49DE">
        <w:rPr>
          <w:rStyle w:val="EndnoteReference"/>
        </w:rPr>
        <w:endnoteRef/>
      </w:r>
      <w:r w:rsidRPr="005B49DE">
        <w:t xml:space="preserve"> </w:t>
      </w:r>
      <w:r w:rsidRPr="005B49DE">
        <w:rPr>
          <w:i/>
        </w:rPr>
        <w:t>NIV</w:t>
      </w:r>
      <w:r w:rsidRPr="005B49DE">
        <w:rPr>
          <w:lang w:val="fr-FR"/>
        </w:rPr>
        <w:t xml:space="preserve"> note on Mt. 17:1-9, p. 1436.</w:t>
      </w:r>
      <w:r>
        <w:rPr>
          <w:lang w:val="fr-FR"/>
        </w:rPr>
        <w:t xml:space="preserve">  </w:t>
      </w:r>
      <w:r w:rsidRPr="005B49DE">
        <w:t>Compare Mk. 9:2-7 and Lk. 9:28-35.</w:t>
      </w:r>
    </w:p>
  </w:endnote>
  <w:endnote w:id="3757">
    <w:p w:rsidR="00975183" w:rsidRPr="005B49DE" w:rsidRDefault="00975183" w:rsidP="008D4C6E">
      <w:pPr>
        <w:pStyle w:val="EndnoteText"/>
        <w:rPr>
          <w:lang w:val="fr-FR"/>
        </w:rPr>
      </w:pPr>
      <w:r w:rsidRPr="005B49DE">
        <w:rPr>
          <w:rStyle w:val="EndnoteReference"/>
        </w:rPr>
        <w:endnoteRef/>
      </w:r>
      <w:r w:rsidRPr="005B49DE">
        <w:rPr>
          <w:lang w:val="fr-FR"/>
        </w:rPr>
        <w:t xml:space="preserve"> Mal. 4:5-6; Mk. 9:11-13.</w:t>
      </w:r>
      <w:r>
        <w:rPr>
          <w:lang w:val="fr-FR"/>
        </w:rPr>
        <w:t xml:space="preserve">  </w:t>
      </w:r>
      <w:r w:rsidRPr="005B49DE">
        <w:rPr>
          <w:i/>
        </w:rPr>
        <w:t>NIV</w:t>
      </w:r>
      <w:r w:rsidRPr="005B49DE">
        <w:rPr>
          <w:lang w:val="fr-FR"/>
        </w:rPr>
        <w:t xml:space="preserve"> note on Mt. 17:3, p. 1437.</w:t>
      </w:r>
    </w:p>
  </w:endnote>
  <w:endnote w:id="3758">
    <w:p w:rsidR="00975183" w:rsidRPr="005B49DE" w:rsidRDefault="00975183" w:rsidP="008D4C6E">
      <w:pPr>
        <w:pStyle w:val="EndnoteText"/>
        <w:rPr>
          <w:lang w:val="fr-FR"/>
        </w:rPr>
      </w:pPr>
      <w:r w:rsidRPr="005B49DE">
        <w:rPr>
          <w:rStyle w:val="EndnoteReference"/>
        </w:rPr>
        <w:endnoteRef/>
      </w:r>
      <w:r w:rsidRPr="005B49DE">
        <w:rPr>
          <w:lang w:val="fr-FR"/>
        </w:rPr>
        <w:t xml:space="preserve"> </w:t>
      </w:r>
      <w:r w:rsidRPr="005B49DE">
        <w:rPr>
          <w:i/>
        </w:rPr>
        <w:t>NIV</w:t>
      </w:r>
      <w:r w:rsidRPr="005B49DE">
        <w:rPr>
          <w:lang w:val="fr-FR"/>
        </w:rPr>
        <w:t xml:space="preserve"> note on Mt. 17:4.</w:t>
      </w:r>
    </w:p>
  </w:endnote>
  <w:endnote w:id="3759">
    <w:p w:rsidR="00975183" w:rsidRPr="005B49DE" w:rsidRDefault="00975183" w:rsidP="008D4C6E">
      <w:pPr>
        <w:pStyle w:val="EndnoteText"/>
        <w:rPr>
          <w:lang w:val="fr-FR"/>
        </w:rPr>
      </w:pPr>
      <w:r w:rsidRPr="005B49DE">
        <w:rPr>
          <w:rStyle w:val="EndnoteReference"/>
        </w:rPr>
        <w:endnoteRef/>
      </w:r>
      <w:r w:rsidRPr="005B49DE">
        <w:rPr>
          <w:lang w:val="fr-FR"/>
        </w:rPr>
        <w:t xml:space="preserve"> Zondervan note on Mt. 17:5.</w:t>
      </w:r>
    </w:p>
  </w:endnote>
  <w:endnote w:id="3760">
    <w:p w:rsidR="00975183" w:rsidRPr="005B49DE" w:rsidRDefault="00975183" w:rsidP="008D4C6E">
      <w:pPr>
        <w:pStyle w:val="EndnoteText"/>
        <w:rPr>
          <w:lang w:val="fr-FR"/>
        </w:rPr>
      </w:pPr>
      <w:r w:rsidRPr="005B49DE">
        <w:rPr>
          <w:rStyle w:val="EndnoteReference"/>
        </w:rPr>
        <w:endnoteRef/>
      </w:r>
      <w:r w:rsidRPr="005B49DE">
        <w:rPr>
          <w:lang w:val="fr-FR"/>
        </w:rPr>
        <w:t xml:space="preserve"> Davies and Allison, </w:t>
      </w:r>
      <w:r w:rsidRPr="005B49DE">
        <w:rPr>
          <w:i/>
          <w:lang w:val="fr-FR"/>
        </w:rPr>
        <w:t>Matthew, Vol. 2</w:t>
      </w:r>
      <w:r w:rsidRPr="005B49DE">
        <w:rPr>
          <w:lang w:val="fr-FR"/>
        </w:rPr>
        <w:t>, note on Mt. 17:5, p. 702.</w:t>
      </w:r>
    </w:p>
  </w:endnote>
  <w:endnote w:id="3761">
    <w:p w:rsidR="00975183" w:rsidRPr="005B49DE" w:rsidRDefault="00975183" w:rsidP="008D4C6E">
      <w:pPr>
        <w:pStyle w:val="EndnoteText"/>
        <w:rPr>
          <w:lang w:val="fr-FR"/>
        </w:rPr>
      </w:pPr>
      <w:r w:rsidRPr="005B49DE">
        <w:rPr>
          <w:rStyle w:val="EndnoteReference"/>
        </w:rPr>
        <w:endnoteRef/>
      </w:r>
      <w:r w:rsidRPr="005B49DE">
        <w:rPr>
          <w:lang w:val="fr-FR"/>
        </w:rPr>
        <w:t xml:space="preserve"> Mt. 17:5.</w:t>
      </w:r>
    </w:p>
  </w:endnote>
  <w:endnote w:id="3762">
    <w:p w:rsidR="00975183" w:rsidRPr="005B49DE" w:rsidRDefault="00975183" w:rsidP="008D4C6E">
      <w:pPr>
        <w:pStyle w:val="EndnoteText"/>
        <w:rPr>
          <w:lang w:val="fr-FR"/>
        </w:rPr>
      </w:pPr>
      <w:r w:rsidRPr="005B49DE">
        <w:rPr>
          <w:rStyle w:val="EndnoteReference"/>
        </w:rPr>
        <w:endnoteRef/>
      </w:r>
      <w:r w:rsidRPr="005B49DE">
        <w:rPr>
          <w:lang w:val="fr-FR"/>
        </w:rPr>
        <w:t xml:space="preserve"> Mt. 3:17.</w:t>
      </w:r>
    </w:p>
  </w:endnote>
  <w:endnote w:id="3763">
    <w:p w:rsidR="00975183" w:rsidRPr="005B49DE" w:rsidRDefault="00975183" w:rsidP="008D4C6E">
      <w:pPr>
        <w:pStyle w:val="EndnoteText"/>
        <w:rPr>
          <w:lang w:val="en-US"/>
        </w:rPr>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note on Mt. 17:5, p. 686.</w:t>
      </w:r>
    </w:p>
  </w:endnote>
  <w:endnote w:id="3764">
    <w:p w:rsidR="00975183" w:rsidRPr="005B49DE" w:rsidRDefault="00975183" w:rsidP="008D4C6E">
      <w:pPr>
        <w:pStyle w:val="EndnoteText"/>
        <w:rPr>
          <w:lang w:val="en-US"/>
        </w:rPr>
      </w:pPr>
      <w:r w:rsidRPr="005B49DE">
        <w:rPr>
          <w:rStyle w:val="EndnoteReference"/>
        </w:rPr>
        <w:endnoteRef/>
      </w:r>
      <w:r w:rsidRPr="005B49DE">
        <w:rPr>
          <w:lang w:val="en-US"/>
        </w:rPr>
        <w:t xml:space="preserve"> Mt. 3:17; 17:5.</w:t>
      </w:r>
    </w:p>
  </w:endnote>
  <w:endnote w:id="3765">
    <w:p w:rsidR="00975183" w:rsidRPr="00E318B0" w:rsidRDefault="00975183" w:rsidP="008D4C6E">
      <w:pPr>
        <w:pStyle w:val="EndnoteText"/>
      </w:pPr>
      <w:r w:rsidRPr="005B49DE">
        <w:rPr>
          <w:rStyle w:val="EndnoteReference"/>
        </w:rPr>
        <w:endnoteRef/>
      </w:r>
      <w:r w:rsidRPr="005B49DE">
        <w:rPr>
          <w:lang w:val="fr-FR"/>
        </w:rPr>
        <w:t xml:space="preserve"> Zondervan note</w:t>
      </w:r>
      <w:r w:rsidRPr="005B49DE">
        <w:t>s on Mt. 17:2, 4, 5.</w:t>
      </w:r>
    </w:p>
  </w:endnote>
  <w:endnote w:id="3766">
    <w:p w:rsidR="00975183" w:rsidRPr="005B49DE" w:rsidRDefault="00975183" w:rsidP="008D4C6E">
      <w:pPr>
        <w:pStyle w:val="EndnoteText"/>
      </w:pPr>
      <w:r w:rsidRPr="005B49DE">
        <w:rPr>
          <w:rStyle w:val="EndnoteReference"/>
        </w:rPr>
        <w:endnoteRef/>
      </w:r>
      <w:r w:rsidRPr="005B49DE">
        <w:t xml:space="preserve"> Jn 1:14; Phil. 2:6-7.</w:t>
      </w:r>
    </w:p>
  </w:endnote>
  <w:endnote w:id="3767">
    <w:p w:rsidR="00975183" w:rsidRPr="005B49DE" w:rsidRDefault="00975183" w:rsidP="008D4C6E">
      <w:pPr>
        <w:pStyle w:val="EndnoteText"/>
      </w:pPr>
      <w:r w:rsidRPr="005B49DE">
        <w:rPr>
          <w:rStyle w:val="EndnoteReference"/>
        </w:rPr>
        <w:endnoteRef/>
      </w:r>
      <w:r w:rsidRPr="005B49DE">
        <w:t xml:space="preserve"> 2 Pet. 1:16-18; </w:t>
      </w:r>
      <w:smartTag w:uri="urn:schemas-microsoft-com:office:smarttags" w:element="time">
        <w:smartTagPr>
          <w:attr w:name="Minute" w:val="16"/>
          <w:attr w:name="Hour" w:val="1"/>
        </w:smartTagPr>
        <w:r w:rsidRPr="005B49DE">
          <w:t>Rev 1:16</w:t>
        </w:r>
      </w:smartTag>
      <w:r w:rsidRPr="005B49DE">
        <w:t>.</w:t>
      </w:r>
    </w:p>
  </w:endnote>
  <w:endnote w:id="3768">
    <w:p w:rsidR="00975183" w:rsidRPr="005B49DE" w:rsidRDefault="00975183" w:rsidP="008D4C6E">
      <w:pPr>
        <w:pStyle w:val="EndnoteText"/>
      </w:pPr>
      <w:r w:rsidRPr="005B49DE">
        <w:rPr>
          <w:rStyle w:val="EndnoteReference"/>
        </w:rPr>
        <w:endnoteRef/>
      </w:r>
      <w:r w:rsidRPr="005B49DE">
        <w:t xml:space="preserve"> Lev. 23:42-3.</w:t>
      </w:r>
    </w:p>
  </w:endnote>
  <w:endnote w:id="3769">
    <w:p w:rsidR="00975183" w:rsidRPr="00540707" w:rsidRDefault="00975183" w:rsidP="008D4C6E">
      <w:pPr>
        <w:pStyle w:val="EndnoteText"/>
      </w:pPr>
      <w:r w:rsidRPr="00540707">
        <w:rPr>
          <w:rStyle w:val="EndnoteReference"/>
        </w:rPr>
        <w:endnoteRef/>
      </w:r>
      <w:r w:rsidRPr="00540707">
        <w:t xml:space="preserve"> Zondervan Notes on Mt. 17:2 and Mt. 17:4.</w:t>
      </w:r>
    </w:p>
  </w:endnote>
  <w:endnote w:id="3770">
    <w:p w:rsidR="00975183" w:rsidRPr="005B49DE" w:rsidRDefault="00975183" w:rsidP="008D4C6E">
      <w:pPr>
        <w:pStyle w:val="EndnoteText"/>
      </w:pPr>
      <w:r w:rsidRPr="005B49DE">
        <w:rPr>
          <w:rStyle w:val="EndnoteReference"/>
        </w:rPr>
        <w:endnoteRef/>
      </w:r>
      <w:r w:rsidRPr="005B49DE">
        <w:t xml:space="preserve"> Mt. 16:28.</w:t>
      </w:r>
    </w:p>
  </w:endnote>
  <w:endnote w:id="3771">
    <w:p w:rsidR="00975183" w:rsidRPr="005B49DE" w:rsidRDefault="00975183" w:rsidP="008D4C6E">
      <w:pPr>
        <w:pStyle w:val="EndnoteText"/>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p. 688.</w:t>
      </w:r>
    </w:p>
  </w:endnote>
  <w:endnote w:id="3772">
    <w:p w:rsidR="00975183" w:rsidRPr="005B49DE" w:rsidRDefault="00975183" w:rsidP="008D4C6E">
      <w:pPr>
        <w:pStyle w:val="EndnoteText"/>
      </w:pPr>
      <w:r w:rsidRPr="005B49DE">
        <w:rPr>
          <w:rStyle w:val="EndnoteReference"/>
        </w:rPr>
        <w:endnoteRef/>
      </w:r>
      <w:r w:rsidRPr="005B49DE">
        <w:t xml:space="preserve"> Mt. 16:27, 28.</w:t>
      </w:r>
    </w:p>
  </w:endnote>
  <w:endnote w:id="3773">
    <w:p w:rsidR="00975183" w:rsidRPr="005B49DE" w:rsidRDefault="00975183" w:rsidP="008D4C6E">
      <w:pPr>
        <w:pStyle w:val="EndnoteText"/>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p. 705.</w:t>
      </w:r>
    </w:p>
  </w:endnote>
  <w:endnote w:id="3774">
    <w:p w:rsidR="00975183" w:rsidRPr="005B49DE" w:rsidRDefault="00975183" w:rsidP="008D4C6E">
      <w:pPr>
        <w:pStyle w:val="EndnoteText"/>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p. 685.</w:t>
      </w:r>
    </w:p>
  </w:endnote>
  <w:endnote w:id="3775">
    <w:p w:rsidR="00975183" w:rsidRPr="005B49DE" w:rsidRDefault="00975183" w:rsidP="008D4C6E">
      <w:pPr>
        <w:pStyle w:val="EndnoteText"/>
      </w:pPr>
      <w:r w:rsidRPr="005B49DE">
        <w:rPr>
          <w:rStyle w:val="EndnoteReference"/>
        </w:rPr>
        <w:endnoteRef/>
      </w:r>
      <w:r w:rsidRPr="005B49DE">
        <w:t xml:space="preserve"> Mk 9:4.</w:t>
      </w:r>
    </w:p>
  </w:endnote>
  <w:endnote w:id="3776">
    <w:p w:rsidR="00975183" w:rsidRPr="005B49DE" w:rsidRDefault="00975183" w:rsidP="008D4C6E">
      <w:pPr>
        <w:pStyle w:val="EndnoteText"/>
        <w:rPr>
          <w:lang w:val="en-US"/>
        </w:rPr>
      </w:pPr>
      <w:r w:rsidRPr="005B49DE">
        <w:rPr>
          <w:rStyle w:val="EndnoteReference"/>
        </w:rPr>
        <w:endnoteRef/>
      </w:r>
      <w:r w:rsidRPr="005B49DE">
        <w:rPr>
          <w:lang w:val="en-US"/>
        </w:rPr>
        <w:t xml:space="preserve"> Davies and Allison, </w:t>
      </w:r>
      <w:r w:rsidRPr="005B49DE">
        <w:rPr>
          <w:i/>
          <w:lang w:val="en-US"/>
        </w:rPr>
        <w:t>Matthew, Vol. 2</w:t>
      </w:r>
      <w:r w:rsidRPr="005B49DE">
        <w:rPr>
          <w:lang w:val="en-US"/>
        </w:rPr>
        <w:t>, p. 685.</w:t>
      </w:r>
    </w:p>
  </w:endnote>
  <w:endnote w:id="3777">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24:12, 15-18; 34:3; Mk 9:2.</w:t>
      </w:r>
    </w:p>
  </w:endnote>
  <w:endnote w:id="3778">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24:15-18; 34:5; Mk 9:7.</w:t>
      </w:r>
    </w:p>
  </w:endnote>
  <w:endnote w:id="3779">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24:16; Mk 9:7.</w:t>
      </w:r>
    </w:p>
  </w:endnote>
  <w:endnote w:id="3780">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34:30; Mk 9:6.</w:t>
      </w:r>
    </w:p>
  </w:endnote>
  <w:endnote w:id="3781">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24:16; Mk 9:2.</w:t>
      </w:r>
    </w:p>
  </w:endnote>
  <w:endnote w:id="3782">
    <w:p w:rsidR="00975183" w:rsidRPr="005B49DE" w:rsidRDefault="00975183" w:rsidP="008D4C6E">
      <w:pPr>
        <w:pStyle w:val="EndnoteText"/>
        <w:rPr>
          <w:lang w:val="fr-FR"/>
        </w:rPr>
      </w:pPr>
      <w:r w:rsidRPr="005B49DE">
        <w:rPr>
          <w:rStyle w:val="EndnoteReference"/>
        </w:rPr>
        <w:endnoteRef/>
      </w:r>
      <w:r w:rsidRPr="005B49DE">
        <w:rPr>
          <w:lang w:val="fr-FR"/>
        </w:rPr>
        <w:t xml:space="preserve"> Ex</w:t>
      </w:r>
      <w:r>
        <w:rPr>
          <w:lang w:val="fr-FR"/>
        </w:rPr>
        <w:t>od</w:t>
      </w:r>
      <w:r w:rsidRPr="005B49DE">
        <w:rPr>
          <w:lang w:val="fr-FR"/>
        </w:rPr>
        <w:t>. 24:1; Mk 9:2.</w:t>
      </w:r>
    </w:p>
  </w:endnote>
  <w:endnote w:id="3783">
    <w:p w:rsidR="00975183" w:rsidRPr="005B49DE" w:rsidRDefault="00975183" w:rsidP="008D4C6E">
      <w:pPr>
        <w:pStyle w:val="EndnoteText"/>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pp. 686-7.</w:t>
      </w:r>
    </w:p>
  </w:endnote>
  <w:endnote w:id="3784">
    <w:p w:rsidR="00975183" w:rsidRPr="005B49DE" w:rsidRDefault="00975183" w:rsidP="008D4C6E">
      <w:pPr>
        <w:pStyle w:val="EndnoteText"/>
      </w:pPr>
      <w:r w:rsidRPr="005B49DE">
        <w:rPr>
          <w:rStyle w:val="EndnoteReference"/>
        </w:rPr>
        <w:endnoteRef/>
      </w:r>
      <w:r w:rsidRPr="005B49DE">
        <w:t xml:space="preserve"> Mt. 17:5.</w:t>
      </w:r>
    </w:p>
  </w:endnote>
  <w:endnote w:id="3785">
    <w:p w:rsidR="00975183" w:rsidRPr="00D2495F" w:rsidRDefault="00975183" w:rsidP="008D4C6E">
      <w:pPr>
        <w:pStyle w:val="EndnoteText"/>
      </w:pPr>
      <w:r w:rsidRPr="005B49DE">
        <w:rPr>
          <w:rStyle w:val="EndnoteReference"/>
        </w:rPr>
        <w:endnoteRef/>
      </w:r>
      <w:r w:rsidRPr="005B49DE">
        <w:t xml:space="preserve"> </w:t>
      </w:r>
      <w:r w:rsidRPr="005B49DE">
        <w:rPr>
          <w:lang w:val="en-US"/>
        </w:rPr>
        <w:t xml:space="preserve">Davies and Allison, </w:t>
      </w:r>
      <w:r w:rsidRPr="005B49DE">
        <w:rPr>
          <w:i/>
          <w:lang w:val="en-US"/>
        </w:rPr>
        <w:t>Matthew, Vol. 2</w:t>
      </w:r>
      <w:r w:rsidRPr="005B49DE">
        <w:rPr>
          <w:lang w:val="en-US"/>
        </w:rPr>
        <w:t>, p. 705.</w:t>
      </w:r>
    </w:p>
  </w:endnote>
  <w:endnote w:id="3786">
    <w:p w:rsidR="00975183" w:rsidRPr="00426E14" w:rsidRDefault="00975183" w:rsidP="00D90FE2">
      <w:pPr>
        <w:pStyle w:val="EndnoteText"/>
      </w:pPr>
      <w:r w:rsidRPr="00426E14">
        <w:rPr>
          <w:rStyle w:val="EndnoteReference"/>
        </w:rPr>
        <w:endnoteRef/>
      </w:r>
      <w:r w:rsidRPr="00426E14">
        <w:t xml:space="preserve"> Archibald Robertson and Alfred Plummer, </w:t>
      </w:r>
      <w:proofErr w:type="gramStart"/>
      <w:r w:rsidRPr="00426E14">
        <w:rPr>
          <w:i/>
        </w:rPr>
        <w:t>A</w:t>
      </w:r>
      <w:proofErr w:type="gramEnd"/>
      <w:r w:rsidRPr="00426E14">
        <w:rPr>
          <w:i/>
        </w:rPr>
        <w:t xml:space="preserve"> Critical and Exegetical Commentary of the First Epistle of </w:t>
      </w:r>
      <w:smartTag w:uri="urn:schemas-microsoft-com:office:smarttags" w:element="place">
        <w:smartTag w:uri="urn:schemas-microsoft-com:office:smarttags" w:element="City">
          <w:r w:rsidRPr="00426E14">
            <w:rPr>
              <w:i/>
            </w:rPr>
            <w:t>St. Paul</w:t>
          </w:r>
        </w:smartTag>
      </w:smartTag>
      <w:r w:rsidRPr="00426E14">
        <w:rPr>
          <w:i/>
        </w:rPr>
        <w:t xml:space="preserve"> to the Corinthians </w:t>
      </w:r>
      <w:r w:rsidRPr="00426E14">
        <w:t>(Edinburgh: T. &amp; T. Clark, 1911).</w:t>
      </w:r>
    </w:p>
    <w:p w:rsidR="00975183" w:rsidRPr="00426E14" w:rsidRDefault="00975183" w:rsidP="00D90FE2">
      <w:pPr>
        <w:pStyle w:val="EndnoteText"/>
      </w:pPr>
      <w:r w:rsidRPr="00426E14">
        <w:t xml:space="preserve">Gordon D.Fee, </w:t>
      </w:r>
      <w:r w:rsidRPr="00426E14">
        <w:rPr>
          <w:i/>
        </w:rPr>
        <w:t>The First Epistle to the Corinthians</w:t>
      </w:r>
      <w:r w:rsidRPr="00426E14">
        <w:t xml:space="preserve"> (Grand Rapids: Wm. B. Eerdmans Publishing Co., 1987)</w:t>
      </w:r>
      <w:r>
        <w:t>;</w:t>
      </w:r>
    </w:p>
    <w:p w:rsidR="00975183" w:rsidRPr="00426E14" w:rsidRDefault="00975183" w:rsidP="00D90FE2">
      <w:pPr>
        <w:pStyle w:val="EndnoteText"/>
      </w:pPr>
      <w:r w:rsidRPr="00426E14">
        <w:t xml:space="preserve">Anthony C. Thiselton, </w:t>
      </w:r>
      <w:r w:rsidRPr="00426E14">
        <w:rPr>
          <w:i/>
        </w:rPr>
        <w:t>The First Epistle to the Corinthians</w:t>
      </w:r>
      <w:r w:rsidRPr="00426E14">
        <w:t xml:space="preserve"> (Carlisle: Paternoster Press, 2000)</w:t>
      </w:r>
      <w:r>
        <w:t>;</w:t>
      </w:r>
    </w:p>
    <w:p w:rsidR="00975183" w:rsidRPr="00426E14" w:rsidRDefault="00975183" w:rsidP="00D90FE2">
      <w:pPr>
        <w:pStyle w:val="EndnoteText"/>
      </w:pPr>
      <w:r w:rsidRPr="00426E14">
        <w:t xml:space="preserve">Joseph Plevnik, </w:t>
      </w:r>
      <w:r w:rsidRPr="00426E14">
        <w:rPr>
          <w:i/>
        </w:rPr>
        <w:t>Paul and the Parousia: An Exegetical and Theological Investigation</w:t>
      </w:r>
      <w:r w:rsidRPr="00426E14">
        <w:t xml:space="preserve"> (Peabody, Massachusetts: Hendrickson Publishers, Inc., 1997), pp. 122-44</w:t>
      </w:r>
      <w:r>
        <w:t>;</w:t>
      </w:r>
    </w:p>
    <w:p w:rsidR="00975183" w:rsidRPr="00426E14" w:rsidRDefault="00975183" w:rsidP="00F72AD9">
      <w:pPr>
        <w:spacing w:after="0" w:line="240" w:lineRule="auto"/>
        <w:rPr>
          <w:sz w:val="20"/>
        </w:rPr>
      </w:pPr>
      <w:proofErr w:type="gramStart"/>
      <w:r w:rsidRPr="00426E14">
        <w:rPr>
          <w:sz w:val="20"/>
        </w:rPr>
        <w:t xml:space="preserve">Wilber B. Wallis, ‘The Problem of an Intermediate Kingdom in 1 Corinthians </w:t>
      </w:r>
      <w:smartTag w:uri="urn:schemas-microsoft-com:office:smarttags" w:element="time">
        <w:smartTagPr>
          <w:attr w:name="Minute" w:val="20"/>
          <w:attr w:name="Hour" w:val="15"/>
        </w:smartTagPr>
        <w:r w:rsidRPr="00426E14">
          <w:rPr>
            <w:sz w:val="20"/>
          </w:rPr>
          <w:t>15:20</w:t>
        </w:r>
      </w:smartTag>
      <w:r w:rsidRPr="00426E14">
        <w:rPr>
          <w:sz w:val="20"/>
        </w:rPr>
        <w:t xml:space="preserve">-28’ in the </w:t>
      </w:r>
      <w:r w:rsidRPr="00426E14">
        <w:rPr>
          <w:i/>
          <w:sz w:val="20"/>
        </w:rPr>
        <w:t>Journal of the Evangelical Theological Society</w:t>
      </w:r>
      <w:r w:rsidRPr="00426E14">
        <w:rPr>
          <w:sz w:val="20"/>
        </w:rPr>
        <w:t>, 18, 1975, pp 229 – 242 &lt;http://www.etsjets.org/files/JETD-PDFs/18/18-4-pp229-242_JETS.pdf&gt; [accessed 6.10.10].</w:t>
      </w:r>
      <w:proofErr w:type="gramEnd"/>
    </w:p>
  </w:endnote>
  <w:endnote w:id="3787">
    <w:p w:rsidR="00975183" w:rsidRPr="00426E14" w:rsidRDefault="00975183" w:rsidP="00D90FE2">
      <w:pPr>
        <w:pStyle w:val="EndnoteText"/>
      </w:pPr>
      <w:r w:rsidRPr="00426E14">
        <w:rPr>
          <w:rStyle w:val="EndnoteReference"/>
        </w:rPr>
        <w:endnoteRef/>
      </w:r>
      <w:r w:rsidRPr="00426E14">
        <w:t xml:space="preserve"> Robertson and Plummer, </w:t>
      </w:r>
      <w:r w:rsidRPr="00426E14">
        <w:rPr>
          <w:i/>
        </w:rPr>
        <w:t>First Epistle of St. Paul to Corinthians</w:t>
      </w:r>
      <w:r w:rsidRPr="00426E14">
        <w:t>.</w:t>
      </w:r>
    </w:p>
  </w:endnote>
  <w:endnote w:id="3788">
    <w:p w:rsidR="00975183" w:rsidRPr="00426E14" w:rsidRDefault="00975183" w:rsidP="00D90FE2">
      <w:pPr>
        <w:pStyle w:val="EndnoteText"/>
      </w:pPr>
      <w:r w:rsidRPr="00426E14">
        <w:rPr>
          <w:rStyle w:val="EndnoteReference"/>
        </w:rPr>
        <w:endnoteRef/>
      </w:r>
      <w:r w:rsidRPr="00426E14">
        <w:t xml:space="preserve"> </w:t>
      </w:r>
      <w:proofErr w:type="gramStart"/>
      <w:r w:rsidRPr="00426E14">
        <w:t xml:space="preserve">Fee, </w:t>
      </w:r>
      <w:r w:rsidRPr="00426E14">
        <w:rPr>
          <w:i/>
        </w:rPr>
        <w:t>First Epistle to Corinthians</w:t>
      </w:r>
      <w:r w:rsidRPr="00426E14">
        <w:t>.</w:t>
      </w:r>
      <w:proofErr w:type="gramEnd"/>
    </w:p>
  </w:endnote>
  <w:endnote w:id="3789">
    <w:p w:rsidR="00975183" w:rsidRPr="00426E14" w:rsidRDefault="00975183" w:rsidP="00D90FE2">
      <w:pPr>
        <w:pStyle w:val="EndnoteText"/>
      </w:pPr>
      <w:r w:rsidRPr="00426E14">
        <w:rPr>
          <w:rStyle w:val="EndnoteReference"/>
        </w:rPr>
        <w:endnoteRef/>
      </w:r>
      <w:r w:rsidRPr="00426E14">
        <w:t xml:space="preserve"> Thiselton, </w:t>
      </w:r>
      <w:r w:rsidRPr="00426E14">
        <w:rPr>
          <w:i/>
        </w:rPr>
        <w:t>First Epistle to Corinthians</w:t>
      </w:r>
      <w:r w:rsidRPr="00426E14">
        <w:t>.</w:t>
      </w:r>
    </w:p>
  </w:endnote>
  <w:endnote w:id="3790">
    <w:p w:rsidR="00975183" w:rsidRPr="00426E14" w:rsidRDefault="00975183" w:rsidP="00D90FE2">
      <w:pPr>
        <w:pStyle w:val="EndnoteText"/>
      </w:pPr>
      <w:r w:rsidRPr="00426E14">
        <w:rPr>
          <w:rStyle w:val="EndnoteReference"/>
        </w:rPr>
        <w:endnoteRef/>
      </w:r>
      <w:r w:rsidRPr="00426E14">
        <w:t xml:space="preserve"> Plevnik, </w:t>
      </w:r>
      <w:r w:rsidRPr="00426E14">
        <w:rPr>
          <w:i/>
        </w:rPr>
        <w:t>Paul and Parousia</w:t>
      </w:r>
      <w:r w:rsidRPr="00426E14">
        <w:t xml:space="preserve">, p. 122; Robertson and Plummer, </w:t>
      </w:r>
      <w:r w:rsidRPr="00426E14">
        <w:rPr>
          <w:i/>
        </w:rPr>
        <w:t>First Epistle of St. Paul to Corinthians</w:t>
      </w:r>
      <w:r w:rsidRPr="00426E14">
        <w:t xml:space="preserve">, p. 328; Fee, </w:t>
      </w:r>
      <w:r w:rsidRPr="00426E14">
        <w:rPr>
          <w:i/>
        </w:rPr>
        <w:t xml:space="preserve">First Epistle to Corinthians, </w:t>
      </w:r>
      <w:r w:rsidRPr="00426E14">
        <w:t xml:space="preserve">p. 713; Thiselton, </w:t>
      </w:r>
      <w:r w:rsidRPr="00426E14">
        <w:rPr>
          <w:i/>
        </w:rPr>
        <w:t xml:space="preserve">First Epistle to Corinthians, </w:t>
      </w:r>
      <w:r w:rsidRPr="00426E14">
        <w:t>p. 1169.</w:t>
      </w:r>
    </w:p>
  </w:endnote>
  <w:endnote w:id="3791">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xml:space="preserve">, pp. 713–7, 745-63; Thiselton, </w:t>
      </w:r>
      <w:r w:rsidRPr="00426E14">
        <w:rPr>
          <w:i/>
        </w:rPr>
        <w:t>First Epistle to Corinthians</w:t>
      </w:r>
      <w:r w:rsidRPr="00426E14">
        <w:t>, pp. 1169-78, 1222-40.</w:t>
      </w:r>
    </w:p>
  </w:endnote>
  <w:endnote w:id="3792">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750.</w:t>
      </w:r>
    </w:p>
  </w:endnote>
  <w:endnote w:id="3793">
    <w:p w:rsidR="00975183" w:rsidRPr="00594C3B"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713.</w:t>
      </w:r>
    </w:p>
  </w:endnote>
  <w:endnote w:id="3794">
    <w:p w:rsidR="00975183" w:rsidRPr="00426E14" w:rsidRDefault="00975183" w:rsidP="00D90FE2">
      <w:pPr>
        <w:pStyle w:val="EndnoteText"/>
      </w:pPr>
      <w:r w:rsidRPr="00426E14">
        <w:rPr>
          <w:rStyle w:val="EndnoteReference"/>
        </w:rPr>
        <w:endnoteRef/>
      </w:r>
      <w:r w:rsidRPr="00426E14">
        <w:t xml:space="preserve"> Thiselton, </w:t>
      </w:r>
      <w:r w:rsidRPr="00426E14">
        <w:rPr>
          <w:i/>
        </w:rPr>
        <w:t>First Epistle to Corinthians</w:t>
      </w:r>
      <w:r w:rsidRPr="00426E14">
        <w:t>, p. 1223.</w:t>
      </w:r>
    </w:p>
  </w:endnote>
  <w:endnote w:id="3795">
    <w:p w:rsidR="00975183" w:rsidRPr="00426E14" w:rsidRDefault="00975183" w:rsidP="00D90FE2">
      <w:pPr>
        <w:pStyle w:val="EndnoteText"/>
      </w:pPr>
      <w:r w:rsidRPr="00426E14">
        <w:rPr>
          <w:rStyle w:val="EndnoteReference"/>
        </w:rPr>
        <w:endnoteRef/>
      </w:r>
      <w:r w:rsidRPr="00426E14">
        <w:t xml:space="preserve"> Thiselton, </w:t>
      </w:r>
      <w:r w:rsidRPr="00426E14">
        <w:rPr>
          <w:i/>
        </w:rPr>
        <w:t>First Epistle to Corinthians</w:t>
      </w:r>
      <w:r w:rsidRPr="00426E14">
        <w:t>, p. 1224.</w:t>
      </w:r>
    </w:p>
  </w:endnote>
  <w:endnote w:id="3796">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747.</w:t>
      </w:r>
    </w:p>
  </w:endnote>
  <w:endnote w:id="3797">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717.</w:t>
      </w:r>
    </w:p>
  </w:endnote>
  <w:endnote w:id="3798">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746.</w:t>
      </w:r>
    </w:p>
  </w:endnote>
  <w:endnote w:id="3799">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p. 738.</w:t>
      </w:r>
    </w:p>
  </w:endnote>
  <w:endnote w:id="3800">
    <w:p w:rsidR="00975183" w:rsidRPr="00426E14" w:rsidRDefault="00975183" w:rsidP="00D90FE2">
      <w:pPr>
        <w:pStyle w:val="EndnoteText"/>
      </w:pPr>
      <w:r w:rsidRPr="00426E14">
        <w:rPr>
          <w:rStyle w:val="EndnoteReference"/>
        </w:rPr>
        <w:endnoteRef/>
      </w:r>
      <w:r w:rsidRPr="00426E14">
        <w:t xml:space="preserve"> Plevnik, </w:t>
      </w:r>
      <w:r w:rsidRPr="00426E14">
        <w:rPr>
          <w:i/>
        </w:rPr>
        <w:t>Paul and Parousia</w:t>
      </w:r>
      <w:r w:rsidRPr="00426E14">
        <w:t>, p. 126.</w:t>
      </w:r>
    </w:p>
  </w:endnote>
  <w:endnote w:id="3801">
    <w:p w:rsidR="00975183" w:rsidRPr="00D44B31" w:rsidRDefault="00975183" w:rsidP="00F72AD9">
      <w:pPr>
        <w:autoSpaceDE w:val="0"/>
        <w:autoSpaceDN w:val="0"/>
        <w:adjustRightInd w:val="0"/>
        <w:spacing w:after="0" w:line="240" w:lineRule="auto"/>
        <w:rPr>
          <w:sz w:val="20"/>
        </w:rPr>
      </w:pPr>
      <w:r w:rsidRPr="00D44B31">
        <w:rPr>
          <w:rStyle w:val="EndnoteReference"/>
          <w:sz w:val="20"/>
        </w:rPr>
        <w:endnoteRef/>
      </w:r>
      <w:r w:rsidRPr="00D44B31">
        <w:rPr>
          <w:sz w:val="20"/>
        </w:rPr>
        <w:t xml:space="preserve"> Plevnik, </w:t>
      </w:r>
      <w:r w:rsidRPr="00D44B31">
        <w:rPr>
          <w:i/>
          <w:sz w:val="20"/>
        </w:rPr>
        <w:t>Paul and Parousia</w:t>
      </w:r>
      <w:r w:rsidRPr="00D44B31">
        <w:rPr>
          <w:sz w:val="20"/>
        </w:rPr>
        <w:t xml:space="preserve">, p. 123.  </w:t>
      </w:r>
    </w:p>
  </w:endnote>
  <w:endnote w:id="3802">
    <w:p w:rsidR="00975183" w:rsidRPr="00426E14" w:rsidRDefault="00975183" w:rsidP="00D90FE2">
      <w:pPr>
        <w:pStyle w:val="EndnoteText"/>
      </w:pPr>
      <w:r w:rsidRPr="00426E14">
        <w:rPr>
          <w:rStyle w:val="EndnoteReference"/>
        </w:rPr>
        <w:endnoteRef/>
      </w:r>
      <w:r w:rsidRPr="00426E14">
        <w:t xml:space="preserve"> Fee, </w:t>
      </w:r>
      <w:r w:rsidRPr="00426E14">
        <w:rPr>
          <w:i/>
        </w:rPr>
        <w:t>First Epistle to Corinthians</w:t>
      </w:r>
      <w:r w:rsidRPr="00426E14">
        <w:t xml:space="preserve">, p. 749; Thiselton, </w:t>
      </w:r>
      <w:r w:rsidRPr="00426E14">
        <w:rPr>
          <w:i/>
        </w:rPr>
        <w:t>First Epistle to Corinthians</w:t>
      </w:r>
      <w:r w:rsidRPr="00426E14">
        <w:t>, p. 1229.</w:t>
      </w:r>
    </w:p>
  </w:endnote>
  <w:endnote w:id="3803">
    <w:p w:rsidR="00975183" w:rsidRDefault="00975183" w:rsidP="003B1378">
      <w:pPr>
        <w:autoSpaceDE w:val="0"/>
        <w:autoSpaceDN w:val="0"/>
        <w:adjustRightInd w:val="0"/>
        <w:spacing w:after="0" w:line="240" w:lineRule="auto"/>
        <w:rPr>
          <w:rFonts w:ascii="Times New Roman" w:hAnsi="Times New Roman"/>
          <w:szCs w:val="24"/>
          <w:lang w:val="en-US" w:bidi="he-IL"/>
        </w:rPr>
      </w:pPr>
      <w:r w:rsidRPr="00426E14">
        <w:rPr>
          <w:rStyle w:val="EndnoteReference"/>
        </w:rPr>
        <w:endnoteRef/>
      </w:r>
      <w:r w:rsidRPr="00426E14">
        <w:t xml:space="preserve"> </w:t>
      </w:r>
      <w:proofErr w:type="gramStart"/>
      <w:r>
        <w:t>‘</w:t>
      </w:r>
      <w:r w:rsidRPr="00D44B31">
        <w:rPr>
          <w:rFonts w:ascii="Bwgrkl" w:hAnsi="Bwgrkl" w:cs="Bwgrkl"/>
          <w:sz w:val="20"/>
          <w:szCs w:val="24"/>
          <w:lang w:val="en-US" w:bidi="he-IL"/>
        </w:rPr>
        <w:t>Ekastoj de.</w:t>
      </w:r>
      <w:proofErr w:type="gramEnd"/>
      <w:r w:rsidRPr="00D44B31">
        <w:rPr>
          <w:rFonts w:ascii="Bwgrkl" w:hAnsi="Bwgrkl" w:cs="Bwgrkl"/>
          <w:sz w:val="20"/>
          <w:szCs w:val="24"/>
          <w:lang w:val="en-US" w:bidi="he-IL"/>
        </w:rPr>
        <w:t xml:space="preserve"> </w:t>
      </w:r>
      <w:proofErr w:type="gramStart"/>
      <w:r w:rsidRPr="00D44B31">
        <w:rPr>
          <w:rFonts w:ascii="Bwgrkl" w:hAnsi="Bwgrkl" w:cs="Bwgrkl"/>
          <w:sz w:val="20"/>
          <w:szCs w:val="24"/>
          <w:lang w:val="en-US" w:bidi="he-IL"/>
        </w:rPr>
        <w:t>evn</w:t>
      </w:r>
      <w:proofErr w:type="gramEnd"/>
      <w:r w:rsidRPr="00D44B31">
        <w:rPr>
          <w:rFonts w:ascii="Bwgrkl" w:hAnsi="Bwgrkl" w:cs="Bwgrkl"/>
          <w:sz w:val="20"/>
          <w:szCs w:val="24"/>
          <w:lang w:val="en-US" w:bidi="he-IL"/>
        </w:rPr>
        <w:t xml:space="preserve"> tw/| ivdi,w| ta,gmati\ avparch. cristo,j( e;peita oi` tou/ </w:t>
      </w:r>
      <w:r w:rsidRPr="00D44B31">
        <w:rPr>
          <w:rFonts w:ascii="Bwgrkl" w:hAnsi="Bwgrkl" w:cs="Arial"/>
          <w:sz w:val="20"/>
          <w:szCs w:val="24"/>
          <w:lang w:val="en-US" w:bidi="he-IL"/>
        </w:rPr>
        <w:t xml:space="preserve">cristou/ evn th/| parousi,a| auvtou/Å </w:t>
      </w:r>
      <w:r w:rsidRPr="00D44B31">
        <w:rPr>
          <w:rFonts w:ascii="Arial" w:hAnsi="Arial" w:cs="Arial"/>
          <w:sz w:val="16"/>
          <w:szCs w:val="24"/>
          <w:vertAlign w:val="superscript"/>
          <w:lang w:val="en-US" w:bidi="he-IL"/>
        </w:rPr>
        <w:t xml:space="preserve">24 </w:t>
      </w:r>
      <w:r w:rsidRPr="00D44B31">
        <w:rPr>
          <w:rFonts w:ascii="Bwgrkl" w:hAnsi="Bwgrkl" w:cs="Arial"/>
          <w:sz w:val="20"/>
          <w:szCs w:val="24"/>
          <w:lang w:val="en-US" w:bidi="he-IL"/>
        </w:rPr>
        <w:t xml:space="preserve"> Ei=ta to. te,loj( o[tan paradw/| th.n basilei,an tw/| qew/| kai. patri,( o[tan katargh,sh| pa/san avrch.n kai. pa/san evxousi,an kai. du,namin</w:t>
      </w:r>
      <w:r>
        <w:rPr>
          <w:rFonts w:ascii="Bwgrkl" w:hAnsi="Bwgrkl" w:cs="Arial"/>
          <w:szCs w:val="24"/>
          <w:lang w:val="en-US" w:bidi="he-IL"/>
        </w:rPr>
        <w:t>Å</w:t>
      </w:r>
      <w:r>
        <w:rPr>
          <w:rFonts w:ascii="Times New Roman" w:hAnsi="Times New Roman"/>
          <w:szCs w:val="24"/>
          <w:lang w:val="en-US" w:bidi="he-IL"/>
        </w:rPr>
        <w:t>’</w:t>
      </w:r>
    </w:p>
    <w:p w:rsidR="00975183" w:rsidRPr="00426E14" w:rsidRDefault="00975183" w:rsidP="003B1378">
      <w:pPr>
        <w:autoSpaceDE w:val="0"/>
        <w:autoSpaceDN w:val="0"/>
        <w:adjustRightInd w:val="0"/>
        <w:spacing w:after="0" w:line="240" w:lineRule="auto"/>
      </w:pPr>
      <w:r w:rsidRPr="00D44B31">
        <w:rPr>
          <w:rFonts w:cs="Arial"/>
          <w:sz w:val="20"/>
          <w:szCs w:val="24"/>
          <w:lang w:val="en-US" w:bidi="he-IL"/>
        </w:rPr>
        <w:t xml:space="preserve">‘But each one in proper order: Christ the firstfruits; </w:t>
      </w:r>
      <w:r w:rsidRPr="00D44B31">
        <w:rPr>
          <w:rFonts w:cs="Arial"/>
          <w:i/>
          <w:sz w:val="20"/>
          <w:szCs w:val="24"/>
          <w:lang w:val="en-US" w:bidi="he-IL"/>
        </w:rPr>
        <w:t>then</w:t>
      </w:r>
      <w:r w:rsidRPr="00D44B31">
        <w:rPr>
          <w:rFonts w:cs="Arial"/>
          <w:sz w:val="20"/>
          <w:szCs w:val="24"/>
          <w:lang w:val="en-US" w:bidi="he-IL"/>
        </w:rPr>
        <w:t xml:space="preserve">, at his coming, those who belong to Christ; </w:t>
      </w:r>
      <w:r w:rsidRPr="00D44B31">
        <w:rPr>
          <w:rFonts w:cs="Arial"/>
          <w:sz w:val="20"/>
          <w:szCs w:val="24"/>
          <w:vertAlign w:val="superscript"/>
          <w:lang w:val="en-US" w:bidi="he-IL"/>
        </w:rPr>
        <w:t>24</w:t>
      </w:r>
      <w:r w:rsidRPr="00D44B31">
        <w:rPr>
          <w:rFonts w:cs="Arial"/>
          <w:sz w:val="20"/>
          <w:szCs w:val="24"/>
          <w:lang w:val="en-US" w:bidi="he-IL"/>
        </w:rPr>
        <w:t xml:space="preserve"> </w:t>
      </w:r>
      <w:r w:rsidRPr="00D44B31">
        <w:rPr>
          <w:rFonts w:cs="Arial"/>
          <w:i/>
          <w:sz w:val="20"/>
          <w:szCs w:val="24"/>
          <w:lang w:val="en-US" w:bidi="he-IL"/>
        </w:rPr>
        <w:t>then</w:t>
      </w:r>
      <w:r w:rsidRPr="00D44B31">
        <w:rPr>
          <w:rFonts w:cs="Arial"/>
          <w:sz w:val="20"/>
          <w:szCs w:val="24"/>
          <w:lang w:val="en-US" w:bidi="he-IL"/>
        </w:rPr>
        <w:t xml:space="preserve"> comes the end, when he hands over the kingdom to his God and Father, when he has destroyed </w:t>
      </w:r>
      <w:proofErr w:type="gramStart"/>
      <w:r w:rsidRPr="00D44B31">
        <w:rPr>
          <w:rFonts w:cs="Arial"/>
          <w:sz w:val="20"/>
          <w:szCs w:val="24"/>
          <w:lang w:val="en-US" w:bidi="he-IL"/>
        </w:rPr>
        <w:t>every sovereignty</w:t>
      </w:r>
      <w:proofErr w:type="gramEnd"/>
      <w:r w:rsidRPr="00D44B31">
        <w:rPr>
          <w:rFonts w:cs="Arial"/>
          <w:sz w:val="20"/>
          <w:szCs w:val="24"/>
          <w:lang w:val="en-US" w:bidi="he-IL"/>
        </w:rPr>
        <w:t xml:space="preserve"> and every authority and power.</w:t>
      </w:r>
      <w:r>
        <w:rPr>
          <w:rFonts w:cs="Arial"/>
          <w:sz w:val="20"/>
          <w:szCs w:val="24"/>
          <w:lang w:val="en-US" w:bidi="he-IL"/>
        </w:rPr>
        <w:t xml:space="preserve">’  1 Cor. 15:23-4, </w:t>
      </w:r>
      <w:r>
        <w:rPr>
          <w:rFonts w:cs="Arial"/>
          <w:i/>
          <w:sz w:val="20"/>
          <w:szCs w:val="24"/>
          <w:lang w:val="en-US" w:bidi="he-IL"/>
        </w:rPr>
        <w:t>NAB</w:t>
      </w:r>
      <w:r>
        <w:rPr>
          <w:rFonts w:cs="Arial"/>
          <w:sz w:val="20"/>
          <w:szCs w:val="24"/>
          <w:lang w:val="en-US" w:bidi="he-IL"/>
        </w:rPr>
        <w:t xml:space="preserve">.  </w:t>
      </w:r>
      <w:proofErr w:type="gramStart"/>
      <w:r>
        <w:rPr>
          <w:rFonts w:cs="Arial"/>
          <w:sz w:val="20"/>
          <w:szCs w:val="24"/>
          <w:lang w:val="en-US" w:bidi="he-IL"/>
        </w:rPr>
        <w:t>(</w:t>
      </w:r>
      <w:r>
        <w:rPr>
          <w:rFonts w:cs="Arial"/>
          <w:i/>
          <w:sz w:val="20"/>
          <w:szCs w:val="24"/>
          <w:lang w:val="en-US" w:bidi="he-IL"/>
        </w:rPr>
        <w:t>M</w:t>
      </w:r>
      <w:r w:rsidRPr="00D44B31">
        <w:rPr>
          <w:rFonts w:cs="Arial"/>
          <w:i/>
          <w:sz w:val="20"/>
          <w:szCs w:val="24"/>
          <w:lang w:val="en-US" w:bidi="he-IL"/>
        </w:rPr>
        <w:t>y emphas</w:t>
      </w:r>
      <w:r>
        <w:rPr>
          <w:rFonts w:cs="Arial"/>
          <w:i/>
          <w:sz w:val="20"/>
          <w:szCs w:val="24"/>
          <w:lang w:val="en-US" w:bidi="he-IL"/>
        </w:rPr>
        <w:t>e</w:t>
      </w:r>
      <w:r w:rsidRPr="00D44B31">
        <w:rPr>
          <w:rFonts w:cs="Arial"/>
          <w:i/>
          <w:sz w:val="20"/>
          <w:szCs w:val="24"/>
          <w:lang w:val="en-US" w:bidi="he-IL"/>
        </w:rPr>
        <w:t>s</w:t>
      </w:r>
      <w:r>
        <w:rPr>
          <w:rFonts w:cs="Arial"/>
          <w:sz w:val="20"/>
          <w:szCs w:val="24"/>
          <w:lang w:val="en-US" w:bidi="he-IL"/>
        </w:rPr>
        <w:t>.)</w:t>
      </w:r>
      <w:proofErr w:type="gramEnd"/>
    </w:p>
  </w:endnote>
  <w:endnote w:id="3804">
    <w:p w:rsidR="00975183" w:rsidRPr="00426E14" w:rsidRDefault="00975183" w:rsidP="00F72AD9">
      <w:pPr>
        <w:pStyle w:val="EndnoteText"/>
      </w:pPr>
      <w:r w:rsidRPr="00426E14">
        <w:rPr>
          <w:rStyle w:val="EndnoteReference"/>
        </w:rPr>
        <w:endnoteRef/>
      </w:r>
      <w:r w:rsidRPr="00426E14">
        <w:t xml:space="preserve"> </w:t>
      </w:r>
      <w:r>
        <w:rPr>
          <w:lang w:val="en-US"/>
        </w:rPr>
        <w:t>‘</w:t>
      </w:r>
      <w:r w:rsidRPr="00D44B31">
        <w:rPr>
          <w:i/>
          <w:lang w:val="en-US"/>
        </w:rPr>
        <w:t>Then</w:t>
      </w:r>
      <w:r w:rsidRPr="00426E14">
        <w:rPr>
          <w:lang w:val="en-US"/>
        </w:rPr>
        <w:t xml:space="preserve"> </w:t>
      </w:r>
      <w:proofErr w:type="gramStart"/>
      <w:r w:rsidRPr="00426E14">
        <w:rPr>
          <w:iCs/>
          <w:lang w:val="en-US"/>
        </w:rPr>
        <w:t>comes</w:t>
      </w:r>
      <w:proofErr w:type="gramEnd"/>
      <w:r w:rsidRPr="00426E14">
        <w:rPr>
          <w:lang w:val="en-US"/>
        </w:rPr>
        <w:t xml:space="preserve"> the end, </w:t>
      </w:r>
      <w:r w:rsidRPr="00D44B31">
        <w:rPr>
          <w:lang w:val="en-US"/>
        </w:rPr>
        <w:t>when</w:t>
      </w:r>
      <w:r w:rsidRPr="00426E14">
        <w:rPr>
          <w:lang w:val="en-US"/>
        </w:rPr>
        <w:t xml:space="preserve"> He delivers up the kingdom to the God and Father, </w:t>
      </w:r>
      <w:r w:rsidRPr="00E53DA9">
        <w:rPr>
          <w:i/>
          <w:lang w:val="en-US"/>
        </w:rPr>
        <w:t>when</w:t>
      </w:r>
      <w:r w:rsidRPr="00426E14">
        <w:rPr>
          <w:lang w:val="en-US"/>
        </w:rPr>
        <w:t xml:space="preserve"> He has abolished all rule and all authority and power</w:t>
      </w:r>
      <w:r>
        <w:rPr>
          <w:lang w:val="en-US"/>
        </w:rPr>
        <w:t>.</w:t>
      </w:r>
      <w:r>
        <w:t>’</w:t>
      </w:r>
      <w:r w:rsidRPr="00426E14">
        <w:t xml:space="preserve"> 1 Cor. 15:24, </w:t>
      </w:r>
      <w:r>
        <w:rPr>
          <w:i/>
        </w:rPr>
        <w:t>NAS</w:t>
      </w:r>
      <w:r w:rsidRPr="00426E14">
        <w:rPr>
          <w:i/>
        </w:rPr>
        <w:t>B</w:t>
      </w:r>
      <w:r>
        <w:t xml:space="preserve">. </w:t>
      </w:r>
      <w:r w:rsidRPr="00426E14">
        <w:t xml:space="preserve"> </w:t>
      </w:r>
      <w:proofErr w:type="gramStart"/>
      <w:r>
        <w:t>(</w:t>
      </w:r>
      <w:r>
        <w:rPr>
          <w:i/>
        </w:rPr>
        <w:t>M</w:t>
      </w:r>
      <w:r w:rsidRPr="00426E14">
        <w:rPr>
          <w:i/>
        </w:rPr>
        <w:t>y emphas</w:t>
      </w:r>
      <w:r>
        <w:rPr>
          <w:i/>
        </w:rPr>
        <w:t>e</w:t>
      </w:r>
      <w:r w:rsidRPr="00426E14">
        <w:rPr>
          <w:i/>
        </w:rPr>
        <w:t>s</w:t>
      </w:r>
      <w:r w:rsidRPr="00426E14">
        <w:t>.</w:t>
      </w:r>
      <w:r>
        <w:t>)</w:t>
      </w:r>
      <w:proofErr w:type="gramEnd"/>
    </w:p>
  </w:endnote>
  <w:endnote w:id="3805">
    <w:p w:rsidR="00975183" w:rsidRPr="00426E14" w:rsidRDefault="00975183" w:rsidP="00F72AD9">
      <w:pPr>
        <w:pStyle w:val="EndnoteText"/>
      </w:pPr>
      <w:r w:rsidRPr="00426E14">
        <w:rPr>
          <w:rStyle w:val="EndnoteReference"/>
        </w:rPr>
        <w:endnoteRef/>
      </w:r>
      <w:r w:rsidRPr="00426E14">
        <w:t xml:space="preserve"> Wallis, ‘Problem of Intermediate Kingdom’, pp. 230-31.</w:t>
      </w:r>
    </w:p>
  </w:endnote>
  <w:endnote w:id="3806">
    <w:p w:rsidR="00975183" w:rsidRPr="00426E14" w:rsidRDefault="00975183" w:rsidP="00F72AD9">
      <w:pPr>
        <w:autoSpaceDE w:val="0"/>
        <w:autoSpaceDN w:val="0"/>
        <w:adjustRightInd w:val="0"/>
        <w:spacing w:after="0" w:line="240" w:lineRule="auto"/>
        <w:rPr>
          <w:sz w:val="20"/>
        </w:rPr>
      </w:pPr>
      <w:r w:rsidRPr="00426E14">
        <w:rPr>
          <w:rStyle w:val="EndnoteReference"/>
          <w:sz w:val="20"/>
        </w:rPr>
        <w:endnoteRef/>
      </w:r>
      <w:r w:rsidRPr="00426E14">
        <w:rPr>
          <w:sz w:val="20"/>
        </w:rPr>
        <w:t xml:space="preserve"> ‘</w:t>
      </w:r>
      <w:r w:rsidRPr="00426E14">
        <w:rPr>
          <w:sz w:val="20"/>
          <w:lang w:val="en-US"/>
        </w:rPr>
        <w:t xml:space="preserve">And </w:t>
      </w:r>
      <w:r w:rsidRPr="00220A3A">
        <w:rPr>
          <w:i/>
          <w:sz w:val="20"/>
          <w:lang w:val="en-US"/>
        </w:rPr>
        <w:t>when</w:t>
      </w:r>
      <w:r w:rsidRPr="00426E14">
        <w:rPr>
          <w:sz w:val="20"/>
          <w:lang w:val="en-US"/>
        </w:rPr>
        <w:t xml:space="preserve"> all things are subjected to Him, </w:t>
      </w:r>
      <w:r w:rsidRPr="00220A3A">
        <w:rPr>
          <w:i/>
          <w:sz w:val="20"/>
          <w:lang w:val="en-US"/>
        </w:rPr>
        <w:t>then</w:t>
      </w:r>
      <w:r w:rsidRPr="00426E14">
        <w:rPr>
          <w:sz w:val="20"/>
          <w:lang w:val="en-US"/>
        </w:rPr>
        <w:t xml:space="preserve"> the Son Himself also will be subjected to the One who subjected all things to </w:t>
      </w:r>
      <w:proofErr w:type="gramStart"/>
      <w:r w:rsidRPr="00426E14">
        <w:rPr>
          <w:sz w:val="20"/>
          <w:lang w:val="en-US"/>
        </w:rPr>
        <w:t>Him, that</w:t>
      </w:r>
      <w:proofErr w:type="gramEnd"/>
      <w:r w:rsidRPr="00426E14">
        <w:rPr>
          <w:sz w:val="20"/>
          <w:lang w:val="en-US"/>
        </w:rPr>
        <w:t xml:space="preserve"> God may be all in all.</w:t>
      </w:r>
      <w:r>
        <w:rPr>
          <w:sz w:val="20"/>
        </w:rPr>
        <w:t xml:space="preserve">’  1 Cor. 15:28, </w:t>
      </w:r>
      <w:r w:rsidRPr="00FE2EBC">
        <w:rPr>
          <w:i/>
          <w:sz w:val="20"/>
        </w:rPr>
        <w:t>NASB</w:t>
      </w:r>
      <w:r>
        <w:rPr>
          <w:i/>
          <w:sz w:val="20"/>
        </w:rPr>
        <w:t xml:space="preserve">. </w:t>
      </w:r>
      <w:r w:rsidRPr="00426E14">
        <w:rPr>
          <w:sz w:val="20"/>
        </w:rPr>
        <w:t xml:space="preserve"> </w:t>
      </w:r>
      <w:proofErr w:type="gramStart"/>
      <w:r>
        <w:rPr>
          <w:sz w:val="20"/>
        </w:rPr>
        <w:t>(</w:t>
      </w:r>
      <w:r>
        <w:rPr>
          <w:i/>
          <w:sz w:val="20"/>
        </w:rPr>
        <w:t>M</w:t>
      </w:r>
      <w:r w:rsidRPr="00244E62">
        <w:rPr>
          <w:i/>
          <w:sz w:val="20"/>
        </w:rPr>
        <w:t>y emphasis</w:t>
      </w:r>
      <w:r>
        <w:rPr>
          <w:sz w:val="20"/>
        </w:rPr>
        <w:t>.)</w:t>
      </w:r>
      <w:proofErr w:type="gramEnd"/>
      <w:r w:rsidRPr="00426E14">
        <w:rPr>
          <w:sz w:val="20"/>
        </w:rPr>
        <w:t xml:space="preserve"> </w:t>
      </w:r>
      <w:r>
        <w:rPr>
          <w:sz w:val="20"/>
        </w:rPr>
        <w:t xml:space="preserve"> </w:t>
      </w:r>
      <w:proofErr w:type="gramStart"/>
      <w:r w:rsidRPr="00426E14">
        <w:rPr>
          <w:sz w:val="20"/>
        </w:rPr>
        <w:t>Wallis, ‘Problem of Intermediate Kingdom’, p. 231.</w:t>
      </w:r>
      <w:proofErr w:type="gramEnd"/>
    </w:p>
  </w:endnote>
  <w:endnote w:id="3807">
    <w:p w:rsidR="00975183" w:rsidRPr="00426E14" w:rsidRDefault="00975183" w:rsidP="00D90FE2">
      <w:pPr>
        <w:pStyle w:val="EndnoteText"/>
      </w:pPr>
      <w:r w:rsidRPr="00426E14">
        <w:rPr>
          <w:rStyle w:val="EndnoteReference"/>
        </w:rPr>
        <w:endnoteRef/>
      </w:r>
      <w:r w:rsidRPr="00426E14">
        <w:t xml:space="preserve"> </w:t>
      </w:r>
      <w:proofErr w:type="gramStart"/>
      <w:r w:rsidRPr="00426E14">
        <w:t>Wallis, ‘Problem of Intermediate Kingdom’, p. 231.</w:t>
      </w:r>
      <w:proofErr w:type="gramEnd"/>
    </w:p>
  </w:endnote>
  <w:endnote w:id="3808">
    <w:p w:rsidR="00975183" w:rsidRPr="00426E14" w:rsidRDefault="00975183" w:rsidP="00D90FE2">
      <w:pPr>
        <w:pStyle w:val="EndnoteText"/>
      </w:pPr>
      <w:r w:rsidRPr="00426E14">
        <w:rPr>
          <w:rStyle w:val="EndnoteReference"/>
        </w:rPr>
        <w:endnoteRef/>
      </w:r>
      <w:r w:rsidRPr="00426E14">
        <w:t xml:space="preserve"> Wallis, ‘Problem of Intermediate Kingdom’, pp. 231-2.</w:t>
      </w:r>
    </w:p>
  </w:endnote>
  <w:endnote w:id="3809">
    <w:p w:rsidR="00975183" w:rsidRPr="000B4B18" w:rsidRDefault="00975183" w:rsidP="00D90FE2">
      <w:pPr>
        <w:pStyle w:val="EndnoteText"/>
      </w:pPr>
      <w:r w:rsidRPr="00426E14">
        <w:rPr>
          <w:rStyle w:val="EndnoteReference"/>
        </w:rPr>
        <w:endnoteRef/>
      </w:r>
      <w:r w:rsidRPr="00426E14">
        <w:t xml:space="preserve"> Plevnik, </w:t>
      </w:r>
      <w:r w:rsidRPr="00426E14">
        <w:rPr>
          <w:i/>
        </w:rPr>
        <w:t>Paul and Parousia</w:t>
      </w:r>
      <w:r w:rsidRPr="00426E14">
        <w:t>, p. 125.</w:t>
      </w:r>
    </w:p>
  </w:endnote>
  <w:endnote w:id="3810">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127.</w:t>
      </w:r>
    </w:p>
  </w:endnote>
  <w:endnote w:id="3811">
    <w:p w:rsidR="00975183" w:rsidRPr="00493017" w:rsidRDefault="00975183" w:rsidP="00D90FE2">
      <w:pPr>
        <w:pStyle w:val="EndnoteText"/>
      </w:pPr>
      <w:r w:rsidRPr="00493017">
        <w:rPr>
          <w:rStyle w:val="EndnoteReference"/>
        </w:rPr>
        <w:endnoteRef/>
      </w:r>
      <w:r w:rsidRPr="00493017">
        <w:t xml:space="preserve"> Robertson and Plummer, </w:t>
      </w:r>
      <w:r w:rsidRPr="00493017">
        <w:rPr>
          <w:i/>
        </w:rPr>
        <w:t xml:space="preserve">First Epistle of </w:t>
      </w:r>
      <w:smartTag w:uri="urn:schemas-microsoft-com:office:smarttags" w:element="place">
        <w:smartTag w:uri="urn:schemas-microsoft-com:office:smarttags" w:element="City">
          <w:r w:rsidRPr="00493017">
            <w:rPr>
              <w:i/>
            </w:rPr>
            <w:t>St. Paul</w:t>
          </w:r>
        </w:smartTag>
      </w:smartTag>
      <w:r w:rsidRPr="00493017">
        <w:rPr>
          <w:i/>
        </w:rPr>
        <w:t xml:space="preserve"> to Corinthians</w:t>
      </w:r>
      <w:r w:rsidRPr="00493017">
        <w:t>, p. 354.</w:t>
      </w:r>
    </w:p>
  </w:endnote>
  <w:endnote w:id="3812">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xml:space="preserve">, p. 752; Thiselton, </w:t>
      </w:r>
      <w:r w:rsidRPr="00493017">
        <w:rPr>
          <w:i/>
        </w:rPr>
        <w:t>First Epistle to Corinthians</w:t>
      </w:r>
      <w:r w:rsidRPr="00493017">
        <w:t>, p. 1230</w:t>
      </w:r>
      <w:r w:rsidRPr="00493017">
        <w:rPr>
          <w:i/>
        </w:rPr>
        <w:t>.</w:t>
      </w:r>
    </w:p>
  </w:endnote>
  <w:endnote w:id="3813">
    <w:p w:rsidR="00975183" w:rsidRPr="00493017" w:rsidRDefault="00975183" w:rsidP="00D90FE2">
      <w:pPr>
        <w:pStyle w:val="EndnoteText"/>
      </w:pPr>
      <w:r w:rsidRPr="00493017">
        <w:rPr>
          <w:rStyle w:val="EndnoteReference"/>
        </w:rPr>
        <w:endnoteRef/>
      </w:r>
      <w:r w:rsidRPr="00493017">
        <w:t xml:space="preserve"> </w:t>
      </w:r>
      <w:proofErr w:type="gramStart"/>
      <w:r w:rsidRPr="00493017">
        <w:t>Wallis, ‘Problem of Intermediate Kingdom’, p. 231.</w:t>
      </w:r>
      <w:proofErr w:type="gramEnd"/>
    </w:p>
  </w:endnote>
  <w:endnote w:id="3814">
    <w:p w:rsidR="00975183" w:rsidRPr="00493017" w:rsidRDefault="00975183" w:rsidP="00D90FE2">
      <w:pPr>
        <w:pStyle w:val="EndnoteText"/>
      </w:pPr>
      <w:r w:rsidRPr="00493017">
        <w:rPr>
          <w:rStyle w:val="EndnoteReference"/>
        </w:rPr>
        <w:endnoteRef/>
      </w:r>
      <w:r w:rsidRPr="00493017">
        <w:t xml:space="preserve"> </w:t>
      </w:r>
      <w:proofErr w:type="gramStart"/>
      <w:r w:rsidRPr="00493017">
        <w:t>Wallis, ‘Problem of Intermediate Kingdom’, p. 231.</w:t>
      </w:r>
      <w:proofErr w:type="gramEnd"/>
    </w:p>
  </w:endnote>
  <w:endnote w:id="3815">
    <w:p w:rsidR="00975183" w:rsidRPr="00493017" w:rsidRDefault="00975183" w:rsidP="00D90FE2">
      <w:pPr>
        <w:pStyle w:val="EndnoteText"/>
      </w:pPr>
      <w:r w:rsidRPr="00493017">
        <w:rPr>
          <w:rStyle w:val="EndnoteReference"/>
        </w:rPr>
        <w:endnoteRef/>
      </w:r>
      <w:r w:rsidRPr="00493017">
        <w:t xml:space="preserve"> Wallis, ‘Problem of Intermediate Kingdom’, pp. 231-2.</w:t>
      </w:r>
    </w:p>
  </w:endnote>
  <w:endnote w:id="3816">
    <w:p w:rsidR="00975183" w:rsidRPr="00493017" w:rsidRDefault="00975183" w:rsidP="00D90FE2">
      <w:pPr>
        <w:pStyle w:val="EndnoteText"/>
      </w:pPr>
      <w:r w:rsidRPr="00493017">
        <w:rPr>
          <w:rStyle w:val="EndnoteReference"/>
        </w:rPr>
        <w:endnoteRef/>
      </w:r>
      <w:r w:rsidRPr="00493017">
        <w:t xml:space="preserve"> 1 Cor. 15:24.</w:t>
      </w:r>
    </w:p>
  </w:endnote>
  <w:endnote w:id="3817">
    <w:p w:rsidR="00975183" w:rsidRPr="00493017" w:rsidRDefault="00975183" w:rsidP="00D90FE2">
      <w:pPr>
        <w:pStyle w:val="EndnoteText"/>
      </w:pPr>
      <w:r w:rsidRPr="00493017">
        <w:rPr>
          <w:rStyle w:val="EndnoteReference"/>
        </w:rPr>
        <w:endnoteRef/>
      </w:r>
      <w:r w:rsidRPr="00493017">
        <w:t xml:space="preserve"> Thiselton, </w:t>
      </w:r>
      <w:r w:rsidRPr="00493017">
        <w:rPr>
          <w:i/>
        </w:rPr>
        <w:t>First Epistle to Corinthians</w:t>
      </w:r>
      <w:r w:rsidRPr="00493017">
        <w:t>, p. 1229.</w:t>
      </w:r>
    </w:p>
  </w:endnote>
  <w:endnote w:id="3818">
    <w:p w:rsidR="00975183" w:rsidRPr="00493017" w:rsidRDefault="00975183" w:rsidP="00D90FE2">
      <w:pPr>
        <w:pStyle w:val="EndnoteText"/>
      </w:pPr>
      <w:r w:rsidRPr="00493017">
        <w:rPr>
          <w:rStyle w:val="EndnoteReference"/>
        </w:rPr>
        <w:endnoteRef/>
      </w:r>
      <w:r w:rsidRPr="00493017">
        <w:t xml:space="preserve"> 1 Cor. 15:23.</w:t>
      </w:r>
    </w:p>
  </w:endnote>
  <w:endnote w:id="3819">
    <w:p w:rsidR="00975183" w:rsidRPr="00493017" w:rsidRDefault="00975183" w:rsidP="00D90FE2">
      <w:pPr>
        <w:pStyle w:val="EndnoteText"/>
      </w:pPr>
      <w:r w:rsidRPr="00493017">
        <w:rPr>
          <w:rStyle w:val="EndnoteReference"/>
        </w:rPr>
        <w:endnoteRef/>
      </w:r>
      <w:r w:rsidRPr="00493017">
        <w:t xml:space="preserve"> 1 Cor. 15:26; Plevnik, </w:t>
      </w:r>
      <w:r w:rsidRPr="00493017">
        <w:rPr>
          <w:i/>
        </w:rPr>
        <w:t>Paul and Parousia</w:t>
      </w:r>
      <w:r w:rsidRPr="00493017">
        <w:t>, p. 126.</w:t>
      </w:r>
    </w:p>
  </w:endnote>
  <w:endnote w:id="3820">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127.</w:t>
      </w:r>
    </w:p>
  </w:endnote>
  <w:endnote w:id="3821">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125.</w:t>
      </w:r>
    </w:p>
  </w:endnote>
  <w:endnote w:id="3822">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129.</w:t>
      </w:r>
    </w:p>
  </w:endnote>
  <w:endnote w:id="3823">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129.</w:t>
      </w:r>
    </w:p>
  </w:endnote>
  <w:endnote w:id="3824">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753.</w:t>
      </w:r>
    </w:p>
  </w:endnote>
  <w:endnote w:id="3825">
    <w:p w:rsidR="00975183" w:rsidRPr="00493017" w:rsidRDefault="00975183" w:rsidP="00D90FE2">
      <w:pPr>
        <w:pStyle w:val="EndnoteText"/>
      </w:pPr>
      <w:r w:rsidRPr="00493017">
        <w:rPr>
          <w:rStyle w:val="EndnoteReference"/>
        </w:rPr>
        <w:endnoteRef/>
      </w:r>
      <w:r w:rsidRPr="00493017">
        <w:t xml:space="preserve"> </w:t>
      </w:r>
      <w:proofErr w:type="gramStart"/>
      <w:r w:rsidRPr="00493017">
        <w:t xml:space="preserve">Fee, </w:t>
      </w:r>
      <w:r w:rsidRPr="00493017">
        <w:rPr>
          <w:i/>
        </w:rPr>
        <w:t>First Epistle to Corinthians</w:t>
      </w:r>
      <w:r w:rsidRPr="00493017">
        <w:t>, p. 754, 192.</w:t>
      </w:r>
      <w:proofErr w:type="gramEnd"/>
    </w:p>
  </w:endnote>
  <w:endnote w:id="3826">
    <w:p w:rsidR="00975183" w:rsidRPr="00493017" w:rsidRDefault="00975183" w:rsidP="00D90FE2">
      <w:pPr>
        <w:pStyle w:val="EndnoteText"/>
      </w:pPr>
      <w:r w:rsidRPr="00493017">
        <w:rPr>
          <w:rStyle w:val="EndnoteReference"/>
        </w:rPr>
        <w:endnoteRef/>
      </w:r>
      <w:r w:rsidRPr="00493017">
        <w:t xml:space="preserve"> </w:t>
      </w:r>
      <w:proofErr w:type="gramStart"/>
      <w:r w:rsidRPr="00493017">
        <w:t>Also 1 Cor. 15:50, 1 Thessalonians 4, 2 Thess. 2:8, 1 Cor. 4:8, 6:2, 3.</w:t>
      </w:r>
      <w:proofErr w:type="gramEnd"/>
    </w:p>
  </w:endnote>
  <w:endnote w:id="3827">
    <w:p w:rsidR="00975183" w:rsidRPr="000B4B18" w:rsidRDefault="00975183" w:rsidP="00D90FE2">
      <w:pPr>
        <w:pStyle w:val="EndnoteText"/>
      </w:pPr>
      <w:r w:rsidRPr="00493017">
        <w:rPr>
          <w:rStyle w:val="EndnoteReference"/>
        </w:rPr>
        <w:endnoteRef/>
      </w:r>
      <w:r w:rsidRPr="00493017">
        <w:t xml:space="preserve"> </w:t>
      </w:r>
      <w:proofErr w:type="gramStart"/>
      <w:r w:rsidRPr="00493017">
        <w:t>Wallis, ‘Problem of Intermediate Kingdom’, p. 237.</w:t>
      </w:r>
      <w:proofErr w:type="gramEnd"/>
    </w:p>
  </w:endnote>
  <w:endnote w:id="3828">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129.</w:t>
      </w:r>
    </w:p>
  </w:endnote>
  <w:endnote w:id="3829">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129.</w:t>
      </w:r>
    </w:p>
  </w:endnote>
  <w:endnote w:id="3830">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142.</w:t>
      </w:r>
    </w:p>
  </w:endnote>
  <w:endnote w:id="3831">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142.</w:t>
      </w:r>
    </w:p>
  </w:endnote>
  <w:endnote w:id="3832">
    <w:p w:rsidR="00975183" w:rsidRPr="00493017" w:rsidRDefault="00975183" w:rsidP="00D90FE2">
      <w:pPr>
        <w:pStyle w:val="EndnoteText"/>
      </w:pPr>
      <w:r w:rsidRPr="00493017">
        <w:rPr>
          <w:rStyle w:val="EndnoteReference"/>
        </w:rPr>
        <w:endnoteRef/>
      </w:r>
      <w:r w:rsidRPr="00493017">
        <w:t xml:space="preserve"> </w:t>
      </w:r>
      <w:proofErr w:type="gramStart"/>
      <w:r w:rsidRPr="00493017">
        <w:t xml:space="preserve">Fee, </w:t>
      </w:r>
      <w:r w:rsidRPr="00493017">
        <w:rPr>
          <w:i/>
        </w:rPr>
        <w:t>First Epistle to Corinthians</w:t>
      </w:r>
      <w:r w:rsidRPr="00493017">
        <w:t>.</w:t>
      </w:r>
      <w:proofErr w:type="gramEnd"/>
      <w:r w:rsidRPr="00493017">
        <w:t xml:space="preserve"> pp. 752-3, note 30.</w:t>
      </w:r>
    </w:p>
  </w:endnote>
  <w:endnote w:id="3833">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128.</w:t>
      </w:r>
    </w:p>
  </w:endnote>
  <w:endnote w:id="3834">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128.</w:t>
      </w:r>
    </w:p>
  </w:endnote>
  <w:endnote w:id="3835">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754.</w:t>
      </w:r>
    </w:p>
  </w:endnote>
  <w:endnote w:id="3836">
    <w:p w:rsidR="00975183" w:rsidRPr="00493017" w:rsidRDefault="00975183" w:rsidP="00D90FE2">
      <w:pPr>
        <w:pStyle w:val="EndnoteText"/>
      </w:pPr>
      <w:r w:rsidRPr="00493017">
        <w:rPr>
          <w:rStyle w:val="EndnoteReference"/>
        </w:rPr>
        <w:endnoteRef/>
      </w:r>
      <w:r w:rsidRPr="00493017">
        <w:t xml:space="preserve"> Thiselton, </w:t>
      </w:r>
      <w:r w:rsidRPr="00493017">
        <w:rPr>
          <w:i/>
        </w:rPr>
        <w:t>First Epistle to Corinthians</w:t>
      </w:r>
      <w:r>
        <w:t xml:space="preserve">, p. 1234.  </w:t>
      </w:r>
      <w:proofErr w:type="gramStart"/>
      <w:r>
        <w:t>(</w:t>
      </w:r>
      <w:r w:rsidRPr="00966E71">
        <w:rPr>
          <w:i/>
        </w:rPr>
        <w:t>All Thiselton’s emphases</w:t>
      </w:r>
      <w:r w:rsidRPr="00493017">
        <w:t>.</w:t>
      </w:r>
      <w:r>
        <w:t>)</w:t>
      </w:r>
      <w:proofErr w:type="gramEnd"/>
    </w:p>
  </w:endnote>
  <w:endnote w:id="3837">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192.</w:t>
      </w:r>
    </w:p>
  </w:endnote>
  <w:endnote w:id="3838">
    <w:p w:rsidR="00975183" w:rsidRPr="00493017" w:rsidRDefault="00975183" w:rsidP="00D90FE2">
      <w:pPr>
        <w:pStyle w:val="EndnoteText"/>
      </w:pPr>
      <w:r w:rsidRPr="00493017">
        <w:rPr>
          <w:rStyle w:val="EndnoteReference"/>
        </w:rPr>
        <w:endnoteRef/>
      </w:r>
      <w:r w:rsidRPr="00493017">
        <w:t xml:space="preserve"> 1 Cor. 15:24</w:t>
      </w:r>
      <w:r>
        <w:t>;</w:t>
      </w:r>
      <w:r w:rsidRPr="00493017">
        <w:t xml:space="preserve"> Thiselton, </w:t>
      </w:r>
      <w:r w:rsidRPr="00493017">
        <w:rPr>
          <w:i/>
        </w:rPr>
        <w:t>First Epistle to Corinthians</w:t>
      </w:r>
      <w:r w:rsidRPr="00493017">
        <w:t>, p. 1231.</w:t>
      </w:r>
    </w:p>
  </w:endnote>
  <w:endnote w:id="3839">
    <w:p w:rsidR="00975183" w:rsidRPr="00875412"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752.</w:t>
      </w:r>
    </w:p>
  </w:endnote>
  <w:endnote w:id="3840">
    <w:p w:rsidR="00975183" w:rsidRPr="00493017" w:rsidRDefault="00975183" w:rsidP="00D90FE2">
      <w:pPr>
        <w:pStyle w:val="EndnoteText"/>
      </w:pPr>
      <w:r w:rsidRPr="00493017">
        <w:rPr>
          <w:rStyle w:val="EndnoteReference"/>
        </w:rPr>
        <w:endnoteRef/>
      </w:r>
      <w:r w:rsidRPr="00493017">
        <w:t xml:space="preserve"> 1 Cor. 15:28</w:t>
      </w:r>
      <w:r>
        <w:t xml:space="preserve">; </w:t>
      </w:r>
      <w:r w:rsidRPr="00493017">
        <w:t xml:space="preserve">Fee, </w:t>
      </w:r>
      <w:r w:rsidRPr="00493017">
        <w:rPr>
          <w:i/>
        </w:rPr>
        <w:t>First Epistle to Corinthians</w:t>
      </w:r>
      <w:r w:rsidRPr="00493017">
        <w:t>, p. 755.</w:t>
      </w:r>
    </w:p>
  </w:endnote>
  <w:endnote w:id="3841">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755.</w:t>
      </w:r>
    </w:p>
  </w:endnote>
  <w:endnote w:id="3842">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760.</w:t>
      </w:r>
    </w:p>
  </w:endnote>
  <w:endnote w:id="3843">
    <w:p w:rsidR="00975183" w:rsidRPr="00493017" w:rsidRDefault="00975183" w:rsidP="00D90FE2">
      <w:pPr>
        <w:pStyle w:val="EndnoteText"/>
      </w:pPr>
      <w:r w:rsidRPr="00493017">
        <w:rPr>
          <w:rStyle w:val="EndnoteReference"/>
        </w:rPr>
        <w:endnoteRef/>
      </w:r>
      <w:r w:rsidRPr="00493017">
        <w:t xml:space="preserve"> Thiselton, </w:t>
      </w:r>
      <w:r w:rsidRPr="00493017">
        <w:rPr>
          <w:i/>
        </w:rPr>
        <w:t>First Epistle to Corinthians</w:t>
      </w:r>
      <w:r w:rsidRPr="00493017">
        <w:t>, p. 1236.</w:t>
      </w:r>
    </w:p>
  </w:endnote>
  <w:endnote w:id="3844">
    <w:p w:rsidR="00975183" w:rsidRPr="00493017" w:rsidRDefault="00975183" w:rsidP="00D90FE2">
      <w:pPr>
        <w:pStyle w:val="EndnoteText"/>
      </w:pPr>
      <w:r w:rsidRPr="00493017">
        <w:rPr>
          <w:rStyle w:val="EndnoteReference"/>
        </w:rPr>
        <w:endnoteRef/>
      </w:r>
      <w:r w:rsidRPr="00493017">
        <w:t xml:space="preserve"> Thiselton, </w:t>
      </w:r>
      <w:r w:rsidRPr="00493017">
        <w:rPr>
          <w:i/>
        </w:rPr>
        <w:t>First Epistle to Corinthians</w:t>
      </w:r>
      <w:r w:rsidRPr="00493017">
        <w:t>, p. 1237.</w:t>
      </w:r>
    </w:p>
  </w:endnote>
  <w:endnote w:id="3845">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747.</w:t>
      </w:r>
    </w:p>
  </w:endnote>
  <w:endnote w:id="3846">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747.</w:t>
      </w:r>
    </w:p>
  </w:endnote>
  <w:endnote w:id="3847">
    <w:p w:rsidR="00975183" w:rsidRPr="00493017" w:rsidRDefault="00975183" w:rsidP="00D90FE2">
      <w:pPr>
        <w:pStyle w:val="EndnoteText"/>
      </w:pPr>
      <w:r w:rsidRPr="00493017">
        <w:rPr>
          <w:rStyle w:val="EndnoteReference"/>
        </w:rPr>
        <w:endnoteRef/>
      </w:r>
      <w:r w:rsidRPr="00493017">
        <w:t xml:space="preserve"> 1 Cor. 15:28.</w:t>
      </w:r>
    </w:p>
  </w:endnote>
  <w:endnote w:id="3848">
    <w:p w:rsidR="00975183" w:rsidRPr="00493017" w:rsidRDefault="00975183" w:rsidP="00D90FE2">
      <w:pPr>
        <w:pStyle w:val="EndnoteText"/>
      </w:pPr>
      <w:r w:rsidRPr="00493017">
        <w:rPr>
          <w:rStyle w:val="EndnoteReference"/>
        </w:rPr>
        <w:endnoteRef/>
      </w:r>
      <w:r w:rsidRPr="00493017">
        <w:t xml:space="preserve"> 1 Cor. 15:24.</w:t>
      </w:r>
    </w:p>
  </w:endnote>
  <w:endnote w:id="3849">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759.</w:t>
      </w:r>
    </w:p>
  </w:endnote>
  <w:endnote w:id="3850">
    <w:p w:rsidR="00975183" w:rsidRPr="00493017" w:rsidRDefault="00975183" w:rsidP="00D90FE2">
      <w:pPr>
        <w:pStyle w:val="EndnoteText"/>
      </w:pPr>
      <w:r w:rsidRPr="00493017">
        <w:rPr>
          <w:rStyle w:val="EndnoteReference"/>
        </w:rPr>
        <w:endnoteRef/>
      </w:r>
      <w:r w:rsidRPr="00493017">
        <w:t xml:space="preserve"> Thiselton, </w:t>
      </w:r>
      <w:r w:rsidRPr="00493017">
        <w:rPr>
          <w:i/>
        </w:rPr>
        <w:t>First Epistle to Corinthians</w:t>
      </w:r>
      <w:r w:rsidRPr="00493017">
        <w:t>, p. 1236.</w:t>
      </w:r>
    </w:p>
  </w:endnote>
  <w:endnote w:id="3851">
    <w:p w:rsidR="00975183" w:rsidRPr="00493017" w:rsidRDefault="00975183" w:rsidP="00D90FE2">
      <w:pPr>
        <w:pStyle w:val="EndnoteText"/>
      </w:pPr>
      <w:r w:rsidRPr="00493017">
        <w:rPr>
          <w:rStyle w:val="EndnoteReference"/>
        </w:rPr>
        <w:endnoteRef/>
      </w:r>
      <w:r w:rsidRPr="00493017">
        <w:t xml:space="preserve"> </w:t>
      </w:r>
      <w:r w:rsidRPr="00493017">
        <w:rPr>
          <w:i/>
        </w:rPr>
        <w:t>SRB</w:t>
      </w:r>
      <w:r w:rsidRPr="00493017">
        <w:t xml:space="preserve"> note on 1 Cor. 15:52, p. 1228.</w:t>
      </w:r>
    </w:p>
  </w:endnote>
  <w:endnote w:id="3852">
    <w:p w:rsidR="00975183" w:rsidRPr="00493017" w:rsidRDefault="00975183" w:rsidP="00D90FE2">
      <w:pPr>
        <w:pStyle w:val="EndnoteText"/>
      </w:pPr>
      <w:r w:rsidRPr="00493017">
        <w:rPr>
          <w:rStyle w:val="EndnoteReference"/>
        </w:rPr>
        <w:endnoteRef/>
      </w:r>
      <w:r w:rsidRPr="00493017">
        <w:t xml:space="preserve"> 1 Thess. 4:16-17.</w:t>
      </w:r>
    </w:p>
  </w:endnote>
  <w:endnote w:id="3853">
    <w:p w:rsidR="00975183" w:rsidRPr="00493017" w:rsidRDefault="00975183" w:rsidP="00D90FE2">
      <w:pPr>
        <w:pStyle w:val="EndnoteText"/>
      </w:pPr>
      <w:r w:rsidRPr="00493017">
        <w:rPr>
          <w:rStyle w:val="EndnoteReference"/>
        </w:rPr>
        <w:endnoteRef/>
      </w:r>
      <w:r w:rsidRPr="00493017">
        <w:t xml:space="preserve"> Rev.20:4.</w:t>
      </w:r>
    </w:p>
  </w:endnote>
  <w:endnote w:id="3854">
    <w:p w:rsidR="00975183" w:rsidRPr="00493017" w:rsidRDefault="00975183" w:rsidP="00D90FE2">
      <w:pPr>
        <w:pStyle w:val="EndnoteText"/>
      </w:pPr>
      <w:r w:rsidRPr="00493017">
        <w:rPr>
          <w:rStyle w:val="EndnoteReference"/>
        </w:rPr>
        <w:endnoteRef/>
      </w:r>
      <w:r w:rsidRPr="00493017">
        <w:t xml:space="preserve"> </w:t>
      </w:r>
      <w:r w:rsidRPr="00493017">
        <w:rPr>
          <w:i/>
        </w:rPr>
        <w:t>SRB</w:t>
      </w:r>
      <w:r w:rsidRPr="00493017">
        <w:t xml:space="preserve"> note on 1 Cor. 15:52, p. 1228.</w:t>
      </w:r>
    </w:p>
  </w:endnote>
  <w:endnote w:id="3855">
    <w:p w:rsidR="00975183" w:rsidRPr="00662BC8" w:rsidRDefault="00975183" w:rsidP="00D90FE2">
      <w:pPr>
        <w:pStyle w:val="EndnoteText"/>
      </w:pPr>
      <w:r w:rsidRPr="00493017">
        <w:rPr>
          <w:rStyle w:val="EndnoteReference"/>
        </w:rPr>
        <w:endnoteRef/>
      </w:r>
      <w:r w:rsidRPr="00493017">
        <w:t xml:space="preserve"> </w:t>
      </w:r>
      <w:proofErr w:type="gramStart"/>
      <w:r w:rsidRPr="00493017">
        <w:t xml:space="preserve">Robertson and Plummer, </w:t>
      </w:r>
      <w:r w:rsidRPr="00493017">
        <w:rPr>
          <w:i/>
        </w:rPr>
        <w:t>First Epistle of St. Paul to Corinthians</w:t>
      </w:r>
      <w:r w:rsidRPr="00493017">
        <w:t>, p. 353, footnote.</w:t>
      </w:r>
      <w:proofErr w:type="gramEnd"/>
    </w:p>
  </w:endnote>
  <w:endnote w:id="3856">
    <w:p w:rsidR="00975183" w:rsidRPr="00493017" w:rsidRDefault="00975183" w:rsidP="00D90FE2">
      <w:pPr>
        <w:pStyle w:val="EndnoteText"/>
      </w:pPr>
      <w:r w:rsidRPr="00493017">
        <w:rPr>
          <w:rStyle w:val="EndnoteReference"/>
        </w:rPr>
        <w:endnoteRef/>
      </w:r>
      <w:r w:rsidRPr="00493017">
        <w:t xml:space="preserve"> </w:t>
      </w:r>
      <w:proofErr w:type="gramStart"/>
      <w:r w:rsidRPr="00493017">
        <w:t xml:space="preserve">Robertson and Plummer, </w:t>
      </w:r>
      <w:r w:rsidRPr="00493017">
        <w:rPr>
          <w:i/>
        </w:rPr>
        <w:t>First Epistle of St. Paul to Corinthians</w:t>
      </w:r>
      <w:r w:rsidRPr="00493017">
        <w:t>, p. 353, footnote.</w:t>
      </w:r>
      <w:proofErr w:type="gramEnd"/>
    </w:p>
  </w:endnote>
  <w:endnote w:id="3857">
    <w:p w:rsidR="00975183" w:rsidRPr="00493017" w:rsidRDefault="00975183" w:rsidP="00D90FE2">
      <w:pPr>
        <w:pStyle w:val="EndnoteText"/>
      </w:pPr>
      <w:r w:rsidRPr="00493017">
        <w:rPr>
          <w:rStyle w:val="EndnoteReference"/>
        </w:rPr>
        <w:endnoteRef/>
      </w:r>
      <w:r w:rsidRPr="00493017">
        <w:t xml:space="preserve"> For example, William E. Blackstone, </w:t>
      </w:r>
      <w:r w:rsidRPr="00493017">
        <w:rPr>
          <w:i/>
        </w:rPr>
        <w:t xml:space="preserve">Jesus is </w:t>
      </w:r>
      <w:proofErr w:type="gramStart"/>
      <w:r w:rsidRPr="00493017">
        <w:rPr>
          <w:i/>
        </w:rPr>
        <w:t>Coming</w:t>
      </w:r>
      <w:proofErr w:type="gramEnd"/>
      <w:r w:rsidRPr="00493017">
        <w:rPr>
          <w:i/>
        </w:rPr>
        <w:t>: God’s Hope for a Restless World</w:t>
      </w:r>
      <w:r w:rsidRPr="00493017">
        <w:t xml:space="preserve"> (Grand Rapids: Kregel Publications, 1989; 3</w:t>
      </w:r>
      <w:r w:rsidRPr="00493017">
        <w:rPr>
          <w:vertAlign w:val="superscript"/>
        </w:rPr>
        <w:t>rd</w:t>
      </w:r>
      <w:r w:rsidRPr="00493017">
        <w:t xml:space="preserve"> revised edition, New York: F.H. Revell, 1908), pp. 77, 101-2.</w:t>
      </w:r>
    </w:p>
  </w:endnote>
  <w:endnote w:id="3858">
    <w:p w:rsidR="00975183" w:rsidRPr="00493017" w:rsidRDefault="00975183" w:rsidP="00D90FE2">
      <w:pPr>
        <w:pStyle w:val="EndnoteText"/>
      </w:pPr>
      <w:r w:rsidRPr="00493017">
        <w:rPr>
          <w:rStyle w:val="EndnoteReference"/>
        </w:rPr>
        <w:endnoteRef/>
      </w:r>
      <w:r w:rsidRPr="00493017">
        <w:t xml:space="preserve"> 1 Cor. 15:52, Wallis, ‘Problem of Intermediate Kingdom’, p. 235.</w:t>
      </w:r>
    </w:p>
  </w:endnote>
  <w:endnote w:id="3859">
    <w:p w:rsidR="00975183" w:rsidRPr="00493017" w:rsidRDefault="00975183" w:rsidP="00D90FE2">
      <w:pPr>
        <w:pStyle w:val="EndnoteText"/>
      </w:pPr>
      <w:r w:rsidRPr="00493017">
        <w:rPr>
          <w:rStyle w:val="EndnoteReference"/>
        </w:rPr>
        <w:endnoteRef/>
      </w:r>
      <w:r w:rsidRPr="00493017">
        <w:t xml:space="preserve"> Plevnik, </w:t>
      </w:r>
      <w:r w:rsidRPr="00493017">
        <w:rPr>
          <w:i/>
        </w:rPr>
        <w:t>Paul and Parousia</w:t>
      </w:r>
      <w:r w:rsidRPr="00493017">
        <w:t>, p. 142.</w:t>
      </w:r>
    </w:p>
  </w:endnote>
  <w:endnote w:id="3860">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753.</w:t>
      </w:r>
    </w:p>
  </w:endnote>
  <w:endnote w:id="3861">
    <w:p w:rsidR="00975183" w:rsidRPr="00493017" w:rsidRDefault="00975183" w:rsidP="00D90FE2">
      <w:pPr>
        <w:pStyle w:val="EndnoteText"/>
      </w:pPr>
      <w:r w:rsidRPr="00493017">
        <w:rPr>
          <w:rStyle w:val="EndnoteReference"/>
        </w:rPr>
        <w:endnoteRef/>
      </w:r>
      <w:r w:rsidRPr="00493017">
        <w:t xml:space="preserve"> Fee, </w:t>
      </w:r>
      <w:r w:rsidRPr="00493017">
        <w:rPr>
          <w:i/>
        </w:rPr>
        <w:t>First Epistle to Corinthians</w:t>
      </w:r>
      <w:r w:rsidRPr="00493017">
        <w:t>, p. 759</w:t>
      </w:r>
      <w:r>
        <w:t>;</w:t>
      </w:r>
      <w:r w:rsidRPr="00493017">
        <w:t xml:space="preserve"> Thiselton, </w:t>
      </w:r>
      <w:r w:rsidRPr="00493017">
        <w:rPr>
          <w:i/>
        </w:rPr>
        <w:t>First Epistle to Corinthians</w:t>
      </w:r>
      <w:r w:rsidRPr="00493017">
        <w:t>, p. 1236.</w:t>
      </w:r>
    </w:p>
  </w:endnote>
  <w:endnote w:id="3862">
    <w:p w:rsidR="00975183" w:rsidRPr="00002BF0" w:rsidRDefault="00975183" w:rsidP="00D90FE2">
      <w:pPr>
        <w:pStyle w:val="EndnoteText"/>
      </w:pPr>
      <w:r w:rsidRPr="00493017">
        <w:rPr>
          <w:rStyle w:val="EndnoteReference"/>
        </w:rPr>
        <w:endnoteRef/>
      </w:r>
      <w:r w:rsidRPr="00493017">
        <w:t xml:space="preserve"> </w:t>
      </w:r>
      <w:proofErr w:type="gramStart"/>
      <w:r w:rsidRPr="00493017">
        <w:rPr>
          <w:i/>
        </w:rPr>
        <w:t xml:space="preserve">SRB, </w:t>
      </w:r>
      <w:r w:rsidRPr="00493017">
        <w:t>1909 introduction in 1917 edition, p. iii.</w:t>
      </w:r>
      <w:proofErr w:type="gramEnd"/>
    </w:p>
  </w:endnote>
  <w:endnote w:id="3863">
    <w:p w:rsidR="00975183" w:rsidRPr="00493017" w:rsidRDefault="00975183" w:rsidP="00D90FE2">
      <w:pPr>
        <w:pStyle w:val="EndnoteText"/>
      </w:pPr>
      <w:r w:rsidRPr="00493017">
        <w:rPr>
          <w:rStyle w:val="EndnoteReference"/>
        </w:rPr>
        <w:endnoteRef/>
      </w:r>
      <w:r w:rsidRPr="00493017">
        <w:t xml:space="preserve"> </w:t>
      </w:r>
      <w:r w:rsidRPr="00493017">
        <w:rPr>
          <w:i/>
          <w:lang w:val="en-US"/>
        </w:rPr>
        <w:t>NRSV</w:t>
      </w:r>
      <w:r w:rsidRPr="00493017">
        <w:rPr>
          <w:i/>
        </w:rPr>
        <w:t xml:space="preserve"> Commentary</w:t>
      </w:r>
      <w:r w:rsidRPr="00493017">
        <w:t xml:space="preserve">, N.T. pp. 167-8; </w:t>
      </w:r>
      <w:r w:rsidRPr="00493017">
        <w:rPr>
          <w:i/>
        </w:rPr>
        <w:t>NIV Commentary</w:t>
      </w:r>
      <w:r w:rsidRPr="00493017">
        <w:t>, pp. 1721-4.</w:t>
      </w:r>
    </w:p>
  </w:endnote>
  <w:endnote w:id="3864">
    <w:p w:rsidR="00975183" w:rsidRPr="00B719EA" w:rsidRDefault="00975183" w:rsidP="00D90FE2">
      <w:pPr>
        <w:pStyle w:val="EndnoteText"/>
      </w:pPr>
      <w:r w:rsidRPr="00B719EA">
        <w:rPr>
          <w:rStyle w:val="EndnoteReference"/>
        </w:rPr>
        <w:endnoteRef/>
      </w:r>
      <w:r w:rsidRPr="00B719EA">
        <w:t xml:space="preserve"> </w:t>
      </w:r>
      <w:r w:rsidRPr="00B719EA">
        <w:rPr>
          <w:i/>
        </w:rPr>
        <w:t>NIV</w:t>
      </w:r>
      <w:r>
        <w:t xml:space="preserve"> notes on 1 Cor. 15:21-26, p. 1722.</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umnst777 Lt BT">
    <w:panose1 w:val="020B0402030504020204"/>
    <w:charset w:val="00"/>
    <w:family w:val="swiss"/>
    <w:pitch w:val="variable"/>
    <w:sig w:usb0="00000087"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 w:name="MS Shell Dlg 2">
    <w:panose1 w:val="020B0604030504040204"/>
    <w:charset w:val="00"/>
    <w:family w:val="swiss"/>
    <w:pitch w:val="variable"/>
    <w:sig w:usb0="E1002EFF" w:usb1="C000605B" w:usb2="00000029" w:usb3="00000000" w:csb0="000101FF" w:csb1="00000000"/>
  </w:font>
  <w:font w:name="Bwhebb">
    <w:panose1 w:val="02000400000000000000"/>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Bwgrkl">
    <w:panose1 w:val="00000000000000000000"/>
    <w:charset w:val="00"/>
    <w:family w:val="auto"/>
    <w:pitch w:val="variable"/>
    <w:sig w:usb0="A0000027" w:usb1="0000000A" w:usb2="00000000" w:usb3="00000000" w:csb0="00000111" w:csb1="00000000"/>
  </w:font>
  <w:font w:name="SBL Greek">
    <w:panose1 w:val="02000000000000000000"/>
    <w:charset w:val="00"/>
    <w:family w:val="auto"/>
    <w:pitch w:val="variable"/>
    <w:sig w:usb0="C00000EF" w:usb1="0001A0CB" w:usb2="00000000" w:usb3="00000000" w:csb0="00000009" w:csb1="00000000"/>
  </w:font>
  <w:font w:name="Helvetica">
    <w:panose1 w:val="020B0604020202020204"/>
    <w:charset w:val="00"/>
    <w:family w:val="swiss"/>
    <w:notTrueType/>
    <w:pitch w:val="variable"/>
    <w:sig w:usb0="00000003" w:usb1="00000000" w:usb2="00000000" w:usb3="00000000" w:csb0="00000001" w:csb1="00000000"/>
  </w:font>
  <w:font w:name="SBL Hebrew">
    <w:panose1 w:val="02000000000000000000"/>
    <w:charset w:val="00"/>
    <w:family w:val="auto"/>
    <w:pitch w:val="variable"/>
    <w:sig w:usb0="8000086F" w:usb1="4000204A" w:usb2="00000000" w:usb3="00000000" w:csb0="00000021" w:csb1="00000000"/>
  </w:font>
  <w:font w:name="Bwgrki">
    <w:panose1 w:val="02000400000000000000"/>
    <w:charset w:val="00"/>
    <w:family w:val="auto"/>
    <w:pitch w:val="variable"/>
    <w:sig w:usb0="00000003" w:usb1="00000000" w:usb2="00000000" w:usb3="00000000" w:csb0="00000001" w:csb1="00000000"/>
  </w:font>
  <w:font w:name="Bwhebl">
    <w:panose1 w:val="02020603050405020304"/>
    <w:charset w:val="00"/>
    <w:family w:val="roman"/>
    <w:pitch w:val="variable"/>
    <w:sig w:usb0="A00000A7" w:usb1="00000048" w:usb2="00000000" w:usb3="00000000" w:csb0="00000111" w:csb1="00000000"/>
  </w:font>
  <w:font w:name="Perpetua-Italic">
    <w:panose1 w:val="00000000000000000000"/>
    <w:charset w:val="00"/>
    <w:family w:val="roman"/>
    <w:notTrueType/>
    <w:pitch w:val="default"/>
    <w:sig w:usb0="00000003" w:usb1="00000000" w:usb2="00000000" w:usb3="00000000" w:csb0="00000001" w:csb1="00000000"/>
  </w:font>
  <w:font w:name="Cambria,Bold">
    <w:panose1 w:val="00000000000000000000"/>
    <w:charset w:val="00"/>
    <w:family w:val="swiss"/>
    <w:notTrueType/>
    <w:pitch w:val="default"/>
    <w:sig w:usb0="00000003" w:usb1="00000000" w:usb2="00000000" w:usb3="00000000" w:csb0="00000001" w:csb1="00000000"/>
  </w:font>
  <w:font w:name="DejaVuSans">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079051"/>
      <w:docPartObj>
        <w:docPartGallery w:val="Page Numbers (Bottom of Page)"/>
        <w:docPartUnique/>
      </w:docPartObj>
    </w:sdtPr>
    <w:sdtEndPr>
      <w:rPr>
        <w:noProof/>
      </w:rPr>
    </w:sdtEndPr>
    <w:sdtContent>
      <w:p w:rsidR="00975183" w:rsidRDefault="002F4063">
        <w:pPr>
          <w:pStyle w:val="Footer"/>
          <w:jc w:val="right"/>
        </w:pPr>
      </w:p>
    </w:sdtContent>
  </w:sdt>
  <w:p w:rsidR="00975183" w:rsidRDefault="00975183" w:rsidP="00D76B86">
    <w:pPr>
      <w:pStyle w:val="Footer"/>
      <w:ind w:left="540"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center"/>
    </w:pPr>
  </w:p>
  <w:p w:rsidR="00975183" w:rsidRDefault="0097518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center"/>
    </w:pPr>
  </w:p>
  <w:p w:rsidR="00975183" w:rsidRDefault="0097518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center"/>
    </w:pPr>
  </w:p>
  <w:p w:rsidR="00975183" w:rsidRDefault="0097518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center"/>
    </w:pPr>
  </w:p>
  <w:p w:rsidR="00975183" w:rsidRDefault="0097518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right"/>
    </w:pPr>
  </w:p>
  <w:p w:rsidR="00975183" w:rsidRDefault="00975183" w:rsidP="00D90FE2">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Footer"/>
      <w:jc w:val="center"/>
    </w:pPr>
  </w:p>
  <w:p w:rsidR="00975183" w:rsidRDefault="00975183" w:rsidP="00D90FE2">
    <w:pPr>
      <w:pStyle w:val="Footer"/>
      <w:ind w:left="540"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rsidP="00D76B8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6E14" w:rsidRDefault="00FC6E14" w:rsidP="00454403">
      <w:pPr>
        <w:spacing w:after="0" w:line="240" w:lineRule="auto"/>
      </w:pPr>
      <w:r>
        <w:separator/>
      </w:r>
    </w:p>
  </w:footnote>
  <w:footnote w:type="continuationSeparator" w:id="0">
    <w:p w:rsidR="00FC6E14" w:rsidRDefault="00FC6E14" w:rsidP="00454403">
      <w:pPr>
        <w:spacing w:after="0" w:line="240" w:lineRule="auto"/>
      </w:pPr>
      <w:r>
        <w:continuationSeparator/>
      </w:r>
    </w:p>
  </w:footnote>
  <w:footnote w:id="1">
    <w:p w:rsidR="00975183" w:rsidRPr="00B0605A" w:rsidRDefault="00975183" w:rsidP="00390712">
      <w:pPr>
        <w:pStyle w:val="FootnoteText"/>
        <w:rPr>
          <w:rFonts w:ascii="Perpetua" w:hAnsi="Perpetua"/>
        </w:rPr>
      </w:pPr>
      <w:r w:rsidRPr="00B0605A">
        <w:rPr>
          <w:rStyle w:val="FootnoteReference"/>
          <w:rFonts w:ascii="Perpetua" w:hAnsi="Perpetua"/>
        </w:rPr>
        <w:footnoteRef/>
      </w:r>
      <w:r w:rsidRPr="00B0605A">
        <w:rPr>
          <w:rFonts w:ascii="Perpetua" w:hAnsi="Perpetua"/>
        </w:rPr>
        <w:t xml:space="preserve"> In June 2013, Donald Kraus, </w:t>
      </w:r>
      <w:r w:rsidRPr="00B0605A">
        <w:rPr>
          <w:rFonts w:ascii="Perpetua" w:hAnsi="Perpetua"/>
          <w:i/>
        </w:rPr>
        <w:t>OUP</w:t>
      </w:r>
      <w:r w:rsidRPr="00B0605A">
        <w:rPr>
          <w:rFonts w:ascii="Perpetua" w:hAnsi="Perpetua"/>
        </w:rPr>
        <w:t xml:space="preserve"> New York Bible Editor, stated, ‘The 1917 Scofield edition currently accounts for more than half of all </w:t>
      </w:r>
      <w:r w:rsidRPr="00B0605A">
        <w:rPr>
          <w:rFonts w:ascii="Perpetua" w:hAnsi="Perpetua"/>
          <w:i/>
        </w:rPr>
        <w:t>OUP</w:t>
      </w:r>
      <w:r w:rsidRPr="00B0605A">
        <w:rPr>
          <w:rFonts w:ascii="Perpetua" w:hAnsi="Perpetua"/>
        </w:rPr>
        <w:t xml:space="preserve">'s Bible sales to evangelical Protestant customers.  It is still the best-selling Bible at </w:t>
      </w:r>
      <w:r w:rsidRPr="00B0605A">
        <w:rPr>
          <w:rFonts w:ascii="Perpetua" w:hAnsi="Perpetua"/>
          <w:i/>
        </w:rPr>
        <w:t>OUP</w:t>
      </w:r>
      <w:r w:rsidRPr="00B0605A">
        <w:rPr>
          <w:rFonts w:ascii="Perpetua" w:hAnsi="Perpetua"/>
        </w:rPr>
        <w:t xml:space="preserve"> for those readers.’  </w:t>
      </w:r>
      <w:proofErr w:type="gramStart"/>
      <w:r w:rsidRPr="00B0605A">
        <w:rPr>
          <w:rFonts w:ascii="Perpetua" w:hAnsi="Perpetua"/>
        </w:rPr>
        <w:t>Personal Email Communication from Donald Kraus, the Executive Editor of Bibles at Oxford University Press USA, 25.6.13.</w:t>
      </w:r>
      <w:proofErr w:type="gramEnd"/>
    </w:p>
  </w:footnote>
  <w:footnote w:id="2">
    <w:p w:rsidR="00975183" w:rsidRDefault="00975183" w:rsidP="00B31BD3">
      <w:r>
        <w:rPr>
          <w:rStyle w:val="FootnoteReference"/>
        </w:rPr>
        <w:footnoteRef/>
      </w:r>
      <w:r>
        <w:t xml:space="preserve"> </w:t>
      </w:r>
      <w:r w:rsidRPr="00E53373">
        <w:rPr>
          <w:sz w:val="20"/>
          <w:lang w:eastAsia="en-GB"/>
        </w:rPr>
        <w:t xml:space="preserve">The 2003 edition is one of six editions of the Scofield Bible, produced by </w:t>
      </w:r>
      <w:r w:rsidRPr="00E53373">
        <w:rPr>
          <w:i/>
          <w:sz w:val="20"/>
          <w:lang w:eastAsia="en-GB"/>
        </w:rPr>
        <w:t>OUP</w:t>
      </w:r>
      <w:r w:rsidRPr="00E53373">
        <w:rPr>
          <w:sz w:val="20"/>
          <w:lang w:eastAsia="en-GB"/>
        </w:rPr>
        <w:t xml:space="preserve"> between 2002 and 2006; these</w:t>
      </w:r>
      <w:r w:rsidRPr="00E53373">
        <w:rPr>
          <w:sz w:val="20"/>
        </w:rPr>
        <w:t xml:space="preserve"> are based on the New King James Version, </w:t>
      </w:r>
      <w:r w:rsidRPr="00E53373">
        <w:rPr>
          <w:i/>
          <w:sz w:val="20"/>
        </w:rPr>
        <w:t xml:space="preserve">NKJV </w:t>
      </w:r>
      <w:r w:rsidRPr="00E53373">
        <w:rPr>
          <w:sz w:val="20"/>
        </w:rPr>
        <w:t>(2002)</w:t>
      </w:r>
      <w:r w:rsidRPr="00E53373">
        <w:rPr>
          <w:i/>
          <w:sz w:val="20"/>
        </w:rPr>
        <w:t>,</w:t>
      </w:r>
      <w:r w:rsidRPr="00E53373">
        <w:rPr>
          <w:sz w:val="20"/>
        </w:rPr>
        <w:t xml:space="preserve"> the King James Version, </w:t>
      </w:r>
      <w:r w:rsidRPr="00E53373">
        <w:rPr>
          <w:i/>
          <w:sz w:val="20"/>
        </w:rPr>
        <w:t>KJV</w:t>
      </w:r>
      <w:r w:rsidRPr="00E53373">
        <w:rPr>
          <w:sz w:val="20"/>
        </w:rPr>
        <w:t xml:space="preserve"> (2003), the New International Version, </w:t>
      </w:r>
      <w:r w:rsidRPr="00E53373">
        <w:rPr>
          <w:i/>
          <w:sz w:val="20"/>
        </w:rPr>
        <w:t>NIV</w:t>
      </w:r>
      <w:r w:rsidRPr="00E53373">
        <w:rPr>
          <w:sz w:val="20"/>
        </w:rPr>
        <w:t xml:space="preserve"> (2004), the New American Standard Version, </w:t>
      </w:r>
      <w:r w:rsidRPr="00E53373">
        <w:rPr>
          <w:i/>
          <w:sz w:val="20"/>
        </w:rPr>
        <w:t xml:space="preserve">NASV </w:t>
      </w:r>
      <w:r w:rsidRPr="00E53373">
        <w:rPr>
          <w:sz w:val="20"/>
        </w:rPr>
        <w:t xml:space="preserve">(2005), the English Standard Version, </w:t>
      </w:r>
      <w:r w:rsidRPr="00E53373">
        <w:rPr>
          <w:i/>
          <w:sz w:val="20"/>
        </w:rPr>
        <w:t xml:space="preserve">ESV </w:t>
      </w:r>
      <w:r w:rsidRPr="00E53373">
        <w:rPr>
          <w:sz w:val="20"/>
        </w:rPr>
        <w:t xml:space="preserve">(2006), and </w:t>
      </w:r>
      <w:r w:rsidRPr="00E53373">
        <w:rPr>
          <w:i/>
          <w:sz w:val="20"/>
        </w:rPr>
        <w:t>HCSB</w:t>
      </w:r>
      <w:r w:rsidRPr="00E53373">
        <w:rPr>
          <w:sz w:val="20"/>
        </w:rPr>
        <w:t xml:space="preserve"> (Holman Christian Standard Bible) (2006)</w:t>
      </w:r>
      <w:r w:rsidRPr="00E53373">
        <w:rPr>
          <w:i/>
          <w:sz w:val="20"/>
        </w:rPr>
        <w:t>.</w:t>
      </w:r>
      <w:r w:rsidRPr="00E53373">
        <w:rPr>
          <w:sz w:val="20"/>
          <w:lang w:eastAsia="en-GB"/>
        </w:rPr>
        <w:t xml:space="preserve">  </w:t>
      </w:r>
      <w:r w:rsidRPr="00E53373">
        <w:rPr>
          <w:i/>
          <w:sz w:val="20"/>
          <w:lang w:eastAsia="en-GB"/>
        </w:rPr>
        <w:t>OUP</w:t>
      </w:r>
      <w:r w:rsidRPr="00E53373">
        <w:rPr>
          <w:sz w:val="20"/>
          <w:lang w:eastAsia="en-GB"/>
        </w:rPr>
        <w:t xml:space="preserve"> also produced a version based on </w:t>
      </w:r>
      <w:r w:rsidRPr="00E53373">
        <w:rPr>
          <w:i/>
          <w:sz w:val="20"/>
          <w:lang w:eastAsia="en-GB"/>
        </w:rPr>
        <w:t>NIV</w:t>
      </w:r>
      <w:r w:rsidRPr="00E53373">
        <w:rPr>
          <w:sz w:val="20"/>
          <w:lang w:eastAsia="en-GB"/>
        </w:rPr>
        <w:t xml:space="preserve"> in 1984.</w:t>
      </w:r>
    </w:p>
  </w:footnote>
  <w:footnote w:id="3">
    <w:p w:rsidR="00975183" w:rsidRPr="00E71B3C" w:rsidRDefault="00975183" w:rsidP="00935C95">
      <w:pPr>
        <w:pStyle w:val="FootnoteText"/>
        <w:rPr>
          <w:rFonts w:ascii="Perpetua" w:hAnsi="Perpetua"/>
        </w:rPr>
      </w:pPr>
      <w:r w:rsidRPr="00DA01AD">
        <w:rPr>
          <w:rStyle w:val="FootnoteReference"/>
          <w:rFonts w:ascii="Perpetua" w:hAnsi="Perpetua"/>
        </w:rPr>
        <w:footnoteRef/>
      </w:r>
      <w:r w:rsidRPr="00DA01AD">
        <w:rPr>
          <w:rFonts w:ascii="Perpetua" w:hAnsi="Perpetua"/>
        </w:rPr>
        <w:t xml:space="preserve"> Cyrus Ingerson Scofield, </w:t>
      </w:r>
      <w:r w:rsidRPr="00DA01AD">
        <w:rPr>
          <w:rFonts w:ascii="Perpetua" w:hAnsi="Perpetua"/>
          <w:i/>
          <w:szCs w:val="22"/>
        </w:rPr>
        <w:t>The Scofield Reference Bible: the Holy Bible, containing the Old and New Testaments, edited by Rev. C. I. Scofield, D.D.</w:t>
      </w:r>
      <w:r w:rsidRPr="00DA01AD">
        <w:rPr>
          <w:rFonts w:ascii="Perpetua" w:hAnsi="Perpetua"/>
          <w:szCs w:val="22"/>
        </w:rPr>
        <w:t xml:space="preserve"> (Revised edition, London: Oxford University Press, 1917).</w:t>
      </w:r>
      <w:r>
        <w:rPr>
          <w:rFonts w:ascii="Perpetua" w:hAnsi="Perpetua"/>
          <w:szCs w:val="22"/>
        </w:rPr>
        <w:t xml:space="preserve">  </w:t>
      </w:r>
      <w:proofErr w:type="gramStart"/>
      <w:r w:rsidRPr="00E71B3C">
        <w:rPr>
          <w:rFonts w:ascii="Perpetua" w:hAnsi="Perpetua"/>
          <w:szCs w:val="22"/>
        </w:rPr>
        <w:t xml:space="preserve">Originally published by </w:t>
      </w:r>
      <w:r w:rsidRPr="00E71B3C">
        <w:rPr>
          <w:rFonts w:ascii="Perpetua" w:hAnsi="Perpetua"/>
          <w:i/>
          <w:szCs w:val="22"/>
        </w:rPr>
        <w:t>OUP</w:t>
      </w:r>
      <w:r w:rsidRPr="00E71B3C">
        <w:rPr>
          <w:rFonts w:ascii="Perpetua" w:hAnsi="Perpetua"/>
          <w:szCs w:val="22"/>
        </w:rPr>
        <w:t xml:space="preserve"> in 1909, as ‘</w:t>
      </w:r>
      <w:r w:rsidRPr="00E71B3C">
        <w:rPr>
          <w:rFonts w:ascii="Perpetua" w:hAnsi="Perpetua"/>
        </w:rPr>
        <w:t>The Holy Bible, containing the Old and New Testaments</w:t>
      </w:r>
      <w:r>
        <w:rPr>
          <w:rFonts w:ascii="Perpetua" w:hAnsi="Perpetua"/>
        </w:rPr>
        <w:t>’</w:t>
      </w:r>
      <w:r w:rsidRPr="00E71B3C">
        <w:rPr>
          <w:rFonts w:ascii="Perpetua" w:hAnsi="Perpetua"/>
        </w:rPr>
        <w:t>.</w:t>
      </w:r>
      <w:proofErr w:type="gramEnd"/>
    </w:p>
  </w:footnote>
  <w:footnote w:id="4">
    <w:p w:rsidR="00975183" w:rsidRPr="00A10443" w:rsidRDefault="00975183" w:rsidP="00F1470F">
      <w:pPr>
        <w:pStyle w:val="FootnoteText"/>
        <w:rPr>
          <w:rFonts w:ascii="Perpetua" w:hAnsi="Perpetua"/>
        </w:rPr>
      </w:pPr>
      <w:r w:rsidRPr="00A10443">
        <w:rPr>
          <w:rStyle w:val="FootnoteReference"/>
          <w:rFonts w:ascii="Perpetua" w:hAnsi="Perpetua"/>
        </w:rPr>
        <w:footnoteRef/>
      </w:r>
      <w:r w:rsidRPr="00A10443">
        <w:rPr>
          <w:rFonts w:ascii="Perpetua" w:hAnsi="Perpetua"/>
        </w:rPr>
        <w:t xml:space="preserve"> </w:t>
      </w:r>
      <w:r w:rsidRPr="00A10443">
        <w:rPr>
          <w:rFonts w:ascii="Perpetua" w:hAnsi="Perpetua"/>
          <w:i/>
          <w:color w:val="000000"/>
        </w:rPr>
        <w:t xml:space="preserve">The Scofield Reference Bible: the Holy Bible, containing the Old and New Testaments, edited by Rev. C. I. Scofield, D.D. </w:t>
      </w:r>
      <w:r w:rsidRPr="00A10443">
        <w:rPr>
          <w:rFonts w:ascii="Perpetua" w:hAnsi="Perpetua"/>
          <w:color w:val="000000"/>
        </w:rPr>
        <w:t>(London: Oxford University Press, revised edition, 1917).</w:t>
      </w:r>
    </w:p>
  </w:footnote>
  <w:footnote w:id="5">
    <w:p w:rsidR="00975183" w:rsidRPr="009E4C07" w:rsidRDefault="00975183" w:rsidP="00F1470F">
      <w:pPr>
        <w:pStyle w:val="FootnoteText"/>
        <w:rPr>
          <w:rFonts w:ascii="Perpetua" w:hAnsi="Perpetua"/>
        </w:rPr>
      </w:pPr>
      <w:r w:rsidRPr="009E4C07">
        <w:rPr>
          <w:rStyle w:val="FootnoteReference"/>
          <w:rFonts w:ascii="Perpetua" w:hAnsi="Perpetua"/>
        </w:rPr>
        <w:footnoteRef/>
      </w:r>
      <w:r w:rsidRPr="009E4C07">
        <w:rPr>
          <w:rFonts w:ascii="Perpetua" w:hAnsi="Perpetua"/>
        </w:rPr>
        <w:t xml:space="preserve"> BibleWorks LLC, </w:t>
      </w:r>
      <w:r w:rsidRPr="009E4C07">
        <w:rPr>
          <w:rFonts w:ascii="Perpetua" w:hAnsi="Perpetua"/>
          <w:i/>
        </w:rPr>
        <w:t xml:space="preserve">BibleWorks7 </w:t>
      </w:r>
      <w:r w:rsidRPr="009E4C07">
        <w:rPr>
          <w:rFonts w:ascii="Perpetua" w:hAnsi="Perpetua"/>
        </w:rPr>
        <w:t xml:space="preserve">(Norfolk, Virginia: BibleWorks, 2006). </w:t>
      </w:r>
    </w:p>
  </w:footnote>
  <w:footnote w:id="6">
    <w:p w:rsidR="00975183" w:rsidRDefault="00975183" w:rsidP="00F1470F">
      <w:pPr>
        <w:spacing w:after="0" w:line="240" w:lineRule="auto"/>
        <w:rPr>
          <w:sz w:val="20"/>
          <w:szCs w:val="20"/>
        </w:rPr>
      </w:pPr>
      <w:r w:rsidRPr="009E4C07">
        <w:rPr>
          <w:rStyle w:val="FootnoteReference"/>
          <w:sz w:val="20"/>
          <w:szCs w:val="20"/>
        </w:rPr>
        <w:footnoteRef/>
      </w:r>
      <w:r w:rsidRPr="009E4C07">
        <w:rPr>
          <w:sz w:val="20"/>
          <w:szCs w:val="20"/>
        </w:rPr>
        <w:t xml:space="preserve"> After searching </w:t>
      </w:r>
      <w:r w:rsidRPr="009E4C07">
        <w:rPr>
          <w:i/>
          <w:sz w:val="20"/>
          <w:szCs w:val="20"/>
        </w:rPr>
        <w:t>Bibleworks</w:t>
      </w:r>
      <w:r w:rsidRPr="009E4C07">
        <w:rPr>
          <w:sz w:val="20"/>
          <w:szCs w:val="20"/>
        </w:rPr>
        <w:t xml:space="preserve"> for biblical verses in </w:t>
      </w:r>
      <w:r w:rsidRPr="009E4C07">
        <w:rPr>
          <w:i/>
          <w:sz w:val="20"/>
          <w:szCs w:val="20"/>
        </w:rPr>
        <w:t>KJV</w:t>
      </w:r>
      <w:r w:rsidRPr="009E4C07">
        <w:rPr>
          <w:sz w:val="20"/>
          <w:szCs w:val="20"/>
        </w:rPr>
        <w:t xml:space="preserve"> containing hyphenated words, I found that hyphens occur in only 13 verses in </w:t>
      </w:r>
      <w:r w:rsidRPr="009E4C07">
        <w:rPr>
          <w:i/>
          <w:sz w:val="20"/>
          <w:szCs w:val="20"/>
        </w:rPr>
        <w:t>KJV</w:t>
      </w:r>
      <w:r w:rsidRPr="009E4C07">
        <w:rPr>
          <w:sz w:val="20"/>
          <w:szCs w:val="20"/>
        </w:rPr>
        <w:t xml:space="preserve"> – Gen. 33:20, Exod. 18:19, Deut. 32:51, 1 Sam. 19:4, Ps. 40:5, Rom. 8:17, 2 Cor. 1:12, </w:t>
      </w:r>
    </w:p>
    <w:p w:rsidR="00975183" w:rsidRPr="00A75F4A" w:rsidRDefault="00975183" w:rsidP="00F1470F">
      <w:pPr>
        <w:spacing w:after="0" w:line="240" w:lineRule="auto"/>
        <w:rPr>
          <w:rFonts w:cs="Consolas"/>
          <w:szCs w:val="21"/>
          <w:lang w:val="en-US"/>
        </w:rPr>
      </w:pPr>
      <w:r w:rsidRPr="009E4C07">
        <w:rPr>
          <w:sz w:val="20"/>
          <w:szCs w:val="20"/>
        </w:rPr>
        <w:t xml:space="preserve">2 Cor. 13:3, Eph. 1:19, Eph. 3:2, 1 Thess. 1:8 and 2 Pet. 3:9.  Having compared the number of words in each of these verses with the word-counts given by </w:t>
      </w:r>
      <w:r w:rsidRPr="009E4C07">
        <w:rPr>
          <w:i/>
          <w:sz w:val="20"/>
          <w:szCs w:val="20"/>
        </w:rPr>
        <w:t>Bibleworks</w:t>
      </w:r>
      <w:r w:rsidRPr="009E4C07">
        <w:rPr>
          <w:sz w:val="20"/>
          <w:szCs w:val="20"/>
        </w:rPr>
        <w:t xml:space="preserve">, I confirmed that </w:t>
      </w:r>
      <w:r w:rsidRPr="009E4C07">
        <w:rPr>
          <w:i/>
          <w:sz w:val="20"/>
          <w:szCs w:val="20"/>
        </w:rPr>
        <w:t>Bibleworks</w:t>
      </w:r>
      <w:r w:rsidRPr="009E4C07">
        <w:rPr>
          <w:sz w:val="20"/>
          <w:szCs w:val="20"/>
        </w:rPr>
        <w:t xml:space="preserve"> treats the hyphenated words in all these verses as single words.  My analysis corroborated information received on 29.3.16 in an email communication from Mark Cannon, </w:t>
      </w:r>
      <w:r w:rsidRPr="009E4C07">
        <w:rPr>
          <w:rFonts w:cs="Consolas"/>
          <w:sz w:val="20"/>
          <w:szCs w:val="20"/>
          <w:lang w:val="en-US"/>
        </w:rPr>
        <w:t>BibleWorks Customer Support &lt;http://www.bibleworks.com/&gt;.</w:t>
      </w:r>
      <w:r>
        <w:rPr>
          <w:rFonts w:cs="Consolas"/>
          <w:szCs w:val="21"/>
          <w:lang w:val="en-US"/>
        </w:rPr>
        <w:t xml:space="preserve"> </w:t>
      </w:r>
    </w:p>
    <w:p w:rsidR="00975183" w:rsidRPr="00483133" w:rsidRDefault="00975183" w:rsidP="00F1470F">
      <w:pPr>
        <w:pStyle w:val="FootnoteText"/>
        <w:ind w:firstLine="426"/>
        <w:rPr>
          <w:rFonts w:ascii="Perpetua" w:hAnsi="Perpetua"/>
        </w:rPr>
      </w:pPr>
    </w:p>
  </w:footnote>
  <w:footnote w:id="7">
    <w:p w:rsidR="00975183" w:rsidRPr="00D80CF6" w:rsidRDefault="00975183" w:rsidP="00F1470F">
      <w:pPr>
        <w:pStyle w:val="FootnoteText"/>
        <w:spacing w:after="40"/>
        <w:ind w:firstLine="426"/>
        <w:rPr>
          <w:rFonts w:ascii="Perpetua" w:hAnsi="Perpetua"/>
        </w:rPr>
      </w:pPr>
      <w:r w:rsidRPr="00D80CF6">
        <w:rPr>
          <w:rStyle w:val="FootnoteReference"/>
          <w:rFonts w:ascii="Perpetua" w:hAnsi="Perpetua"/>
        </w:rPr>
        <w:footnoteRef/>
      </w:r>
      <w:r w:rsidRPr="00D80CF6">
        <w:rPr>
          <w:rFonts w:ascii="Perpetua" w:hAnsi="Perpetua"/>
        </w:rPr>
        <w:t xml:space="preserve"> For example, in the </w:t>
      </w:r>
      <w:r w:rsidRPr="00D80CF6">
        <w:rPr>
          <w:rFonts w:ascii="Perpetua" w:hAnsi="Perpetua"/>
          <w:i/>
        </w:rPr>
        <w:t>SRB</w:t>
      </w:r>
      <w:r w:rsidRPr="00D80CF6">
        <w:rPr>
          <w:rFonts w:ascii="Perpetua" w:hAnsi="Perpetua"/>
        </w:rPr>
        <w:t xml:space="preserve"> subhead to Rom. 11:7 (</w:t>
      </w:r>
      <w:proofErr w:type="gramStart"/>
      <w:r w:rsidRPr="00D80CF6">
        <w:rPr>
          <w:rFonts w:ascii="Perpetua" w:hAnsi="Perpetua"/>
        </w:rPr>
        <w:t>‘What</w:t>
      </w:r>
      <w:proofErr w:type="gramEnd"/>
      <w:r w:rsidRPr="00D80CF6">
        <w:rPr>
          <w:rFonts w:ascii="Perpetua" w:hAnsi="Perpetua"/>
        </w:rPr>
        <w:t xml:space="preserve"> then? Israel hath not obtained that which he seeketh for; but the election hath obtained it, and the rest were blinded’, </w:t>
      </w:r>
      <w:r w:rsidRPr="00D80CF6">
        <w:rPr>
          <w:rFonts w:ascii="Perpetua" w:hAnsi="Perpetua"/>
          <w:i/>
        </w:rPr>
        <w:t>KJV</w:t>
      </w:r>
      <w:r w:rsidRPr="00D80CF6">
        <w:rPr>
          <w:rFonts w:ascii="Perpetua" w:hAnsi="Perpetua"/>
        </w:rPr>
        <w:t>) Scofield inserts the word ‘national’, (‘</w:t>
      </w:r>
      <w:r w:rsidRPr="00D80CF6">
        <w:rPr>
          <w:rFonts w:ascii="Perpetua" w:hAnsi="Perpetua"/>
          <w:i/>
        </w:rPr>
        <w:t>National</w:t>
      </w:r>
      <w:r w:rsidRPr="00D80CF6">
        <w:rPr>
          <w:rFonts w:ascii="Perpetua" w:hAnsi="Perpetua"/>
        </w:rPr>
        <w:t xml:space="preserve"> Israel is judicially blinded’), and in the subhead to Rom. 11:26 (‘And so all Israel shall be saved: as it is written, There shall come out of Zion the Deliverer, and shall turn away ungodliness from Jacob:’ </w:t>
      </w:r>
      <w:r w:rsidRPr="00D80CF6">
        <w:rPr>
          <w:rFonts w:ascii="Perpetua" w:hAnsi="Perpetua"/>
          <w:i/>
        </w:rPr>
        <w:t>KJV</w:t>
      </w:r>
      <w:r w:rsidRPr="00D80CF6">
        <w:rPr>
          <w:rFonts w:ascii="Perpetua" w:hAnsi="Perpetua"/>
        </w:rPr>
        <w:t xml:space="preserve">), he inserts the word, ‘nationally’ (‘Israel is yet to be saved </w:t>
      </w:r>
      <w:r w:rsidRPr="00D80CF6">
        <w:rPr>
          <w:rFonts w:ascii="Perpetua" w:hAnsi="Perpetua"/>
          <w:i/>
        </w:rPr>
        <w:t>nationally</w:t>
      </w:r>
      <w:r w:rsidRPr="00D80CF6">
        <w:rPr>
          <w:rFonts w:ascii="Perpetua" w:hAnsi="Perpetua"/>
        </w:rPr>
        <w:t>’</w:t>
      </w:r>
      <w:r w:rsidRPr="00EE69B6">
        <w:rPr>
          <w:rFonts w:ascii="Perpetua" w:hAnsi="Perpetua"/>
        </w:rPr>
        <w:t>).</w:t>
      </w:r>
      <w:r w:rsidRPr="00EE69B6">
        <w:rPr>
          <w:rFonts w:ascii="Perpetua" w:hAnsi="Perpetua"/>
          <w:color w:val="FF0000"/>
        </w:rPr>
        <w:t xml:space="preserve">  </w:t>
      </w:r>
      <w:proofErr w:type="gramStart"/>
      <w:r w:rsidRPr="00D80CF6">
        <w:rPr>
          <w:rFonts w:ascii="Perpetua" w:hAnsi="Perpetua"/>
        </w:rPr>
        <w:t>(</w:t>
      </w:r>
      <w:r w:rsidRPr="00D80CF6">
        <w:rPr>
          <w:rFonts w:ascii="Perpetua" w:hAnsi="Perpetua"/>
          <w:i/>
        </w:rPr>
        <w:t>My emphases</w:t>
      </w:r>
      <w:r w:rsidRPr="00D80CF6">
        <w:rPr>
          <w:rFonts w:ascii="Perpetua" w:hAnsi="Perpetua"/>
        </w:rPr>
        <w:t>).</w:t>
      </w:r>
      <w:proofErr w:type="gramEnd"/>
    </w:p>
  </w:footnote>
  <w:footnote w:id="8">
    <w:p w:rsidR="00975183" w:rsidRPr="00E55AE8" w:rsidRDefault="00975183" w:rsidP="00F1470F">
      <w:pPr>
        <w:pStyle w:val="FootnoteText"/>
        <w:ind w:firstLine="426"/>
        <w:rPr>
          <w:rFonts w:ascii="Perpetua" w:hAnsi="Perpetua"/>
        </w:rPr>
      </w:pPr>
      <w:r w:rsidRPr="00E55AE8">
        <w:rPr>
          <w:rStyle w:val="FootnoteReference"/>
          <w:rFonts w:ascii="Perpetua" w:hAnsi="Perpetua"/>
        </w:rPr>
        <w:footnoteRef/>
      </w:r>
      <w:r w:rsidRPr="00E55AE8">
        <w:rPr>
          <w:rFonts w:ascii="Perpetua" w:hAnsi="Perpetua"/>
        </w:rPr>
        <w:t xml:space="preserve"> Note on Zech. 13:1, p. 977. ‘The repentant remnant pointed to the cross</w:t>
      </w:r>
      <w:r>
        <w:rPr>
          <w:rFonts w:ascii="Perpetua" w:hAnsi="Perpetua"/>
        </w:rPr>
        <w:t>.</w:t>
      </w:r>
      <w:r w:rsidRPr="00E55AE8">
        <w:rPr>
          <w:rFonts w:ascii="Perpetua" w:hAnsi="Perpetua"/>
        </w:rPr>
        <w:t>’</w:t>
      </w:r>
    </w:p>
  </w:footnote>
  <w:footnote w:id="9">
    <w:p w:rsidR="00975183" w:rsidRPr="000A26C9" w:rsidRDefault="00975183" w:rsidP="00442D33">
      <w:pPr>
        <w:pStyle w:val="FootnoteText"/>
        <w:rPr>
          <w:rFonts w:ascii="Perpetua" w:hAnsi="Perpetua"/>
        </w:rPr>
      </w:pPr>
      <w:r w:rsidRPr="00C17135">
        <w:rPr>
          <w:rStyle w:val="FootnoteReference"/>
          <w:rFonts w:ascii="Perpetua" w:hAnsi="Perpetua"/>
          <w:sz w:val="22"/>
        </w:rPr>
        <w:footnoteRef/>
      </w:r>
      <w:r w:rsidRPr="00C17135">
        <w:rPr>
          <w:rFonts w:ascii="Perpetua" w:hAnsi="Perpetua"/>
          <w:sz w:val="22"/>
        </w:rPr>
        <w:t xml:space="preserve"> </w:t>
      </w:r>
      <w:r w:rsidRPr="00861121">
        <w:rPr>
          <w:rFonts w:ascii="Times New Roman" w:hAnsi="Times New Roman"/>
          <w:bCs/>
          <w:i/>
          <w:lang w:val="el-GR" w:bidi="he-IL"/>
        </w:rPr>
        <w:t>ἑρμηνεύω</w:t>
      </w:r>
      <w:r>
        <w:rPr>
          <w:rFonts w:ascii="Perpetua" w:hAnsi="Perpetua"/>
        </w:rPr>
        <w:t xml:space="preserve"> </w:t>
      </w:r>
      <w:r w:rsidRPr="000A26C9">
        <w:rPr>
          <w:rFonts w:ascii="Perpetua" w:hAnsi="Perpetua"/>
        </w:rPr>
        <w:t xml:space="preserve">occurs three times in the New Testament; in Jn 1:42, it is translated as ‘interpreted’ or ‘translated’ with reference to Christ’s giving Simon the name Cephas, which ‘being interpreted/translated’ means ‘the rock’.  In Jn 9:7, it is applied to the pool of Siloam, ‘which means “sent” and in Heb. </w:t>
      </w:r>
      <w:r w:rsidRPr="000A26C9">
        <w:rPr>
          <w:rFonts w:ascii="Perpetua" w:hAnsi="Perpetua"/>
          <w:lang w:val="en-US"/>
        </w:rPr>
        <w:t>7:2, it refers to Melchizedek, which ‘means “king of righteousness”’.</w:t>
      </w:r>
    </w:p>
  </w:footnote>
  <w:footnote w:id="10">
    <w:p w:rsidR="00975183" w:rsidRPr="000A26C9" w:rsidRDefault="00975183" w:rsidP="00442D33">
      <w:pPr>
        <w:pStyle w:val="FootnoteText"/>
        <w:rPr>
          <w:rFonts w:ascii="Perpetua" w:hAnsi="Perpetua"/>
        </w:rPr>
      </w:pPr>
      <w:r w:rsidRPr="000A26C9">
        <w:rPr>
          <w:rStyle w:val="FootnoteReference"/>
          <w:rFonts w:ascii="Perpetua" w:hAnsi="Perpetua"/>
        </w:rPr>
        <w:footnoteRef/>
      </w:r>
      <w:r w:rsidRPr="000A26C9">
        <w:rPr>
          <w:rFonts w:ascii="Perpetua" w:hAnsi="Perpetua"/>
        </w:rPr>
        <w:t xml:space="preserve"> </w:t>
      </w:r>
      <w:proofErr w:type="gramStart"/>
      <w:r w:rsidRPr="000A26C9">
        <w:rPr>
          <w:rFonts w:ascii="Perpetua" w:hAnsi="Perpetua"/>
        </w:rPr>
        <w:t>Defined by Oxford Online Dictionary as ‘</w:t>
      </w:r>
      <w:r w:rsidRPr="000A26C9">
        <w:rPr>
          <w:rStyle w:val="ind"/>
          <w:rFonts w:ascii="Perpetua" w:hAnsi="Perpetua"/>
        </w:rPr>
        <w:t>Critical explanation or interpretation of a text, especially of scripture’.</w:t>
      </w:r>
      <w:proofErr w:type="gramEnd"/>
      <w:r w:rsidRPr="000A26C9">
        <w:rPr>
          <w:rStyle w:val="ind"/>
          <w:rFonts w:ascii="Perpetua" w:hAnsi="Perpetua"/>
        </w:rPr>
        <w:t xml:space="preserve">  &lt;https://en.oxforddictionaries.com/definition/exegesis&gt; [accessed 4.9.17].</w:t>
      </w:r>
    </w:p>
  </w:footnote>
  <w:footnote w:id="11">
    <w:p w:rsidR="00975183" w:rsidRPr="000A26C9" w:rsidRDefault="00975183" w:rsidP="00442D33">
      <w:pPr>
        <w:pStyle w:val="FootnoteText"/>
        <w:rPr>
          <w:rFonts w:ascii="Perpetua" w:hAnsi="Perpetua"/>
        </w:rPr>
      </w:pPr>
      <w:r w:rsidRPr="000A26C9">
        <w:rPr>
          <w:rStyle w:val="FootnoteReference"/>
          <w:rFonts w:ascii="Perpetua" w:hAnsi="Perpetua"/>
        </w:rPr>
        <w:footnoteRef/>
      </w:r>
      <w:r w:rsidRPr="000A26C9">
        <w:rPr>
          <w:rFonts w:ascii="Perpetua" w:hAnsi="Perpetua"/>
        </w:rPr>
        <w:t xml:space="preserve"> Definition given as ‘archaic’ in Dictionary.com &lt;www.dictionary.com/browse/silly?s+t&gt; [accessed 8.9.17].</w:t>
      </w:r>
    </w:p>
  </w:footnote>
  <w:footnote w:id="12">
    <w:p w:rsidR="00975183" w:rsidRPr="000A26C9" w:rsidRDefault="00975183" w:rsidP="00442D33">
      <w:pPr>
        <w:pStyle w:val="FootnoteText"/>
        <w:rPr>
          <w:rFonts w:ascii="Perpetua" w:hAnsi="Perpetua"/>
        </w:rPr>
      </w:pPr>
      <w:r w:rsidRPr="000A26C9">
        <w:rPr>
          <w:rStyle w:val="FootnoteReference"/>
          <w:rFonts w:ascii="Perpetua" w:hAnsi="Perpetua"/>
        </w:rPr>
        <w:footnoteRef/>
      </w:r>
      <w:r w:rsidRPr="000A26C9">
        <w:rPr>
          <w:rFonts w:ascii="Perpetua" w:hAnsi="Perpetua"/>
        </w:rPr>
        <w:t xml:space="preserve"> ‘Perhaps their loves, or else their sheep</w:t>
      </w:r>
    </w:p>
    <w:p w:rsidR="00975183" w:rsidRPr="000A26C9" w:rsidRDefault="00975183" w:rsidP="00442D33">
      <w:pPr>
        <w:pStyle w:val="FootnoteText"/>
        <w:rPr>
          <w:rFonts w:ascii="Perpetua" w:hAnsi="Perpetua"/>
        </w:rPr>
      </w:pPr>
      <w:r w:rsidRPr="000A26C9">
        <w:rPr>
          <w:rFonts w:ascii="Perpetua" w:hAnsi="Perpetua"/>
        </w:rPr>
        <w:t xml:space="preserve">    Was all that did their silly thoughts so busy </w:t>
      </w:r>
      <w:proofErr w:type="gramStart"/>
      <w:r w:rsidRPr="000A26C9">
        <w:rPr>
          <w:rFonts w:ascii="Perpetua" w:hAnsi="Perpetua"/>
        </w:rPr>
        <w:t>keep</w:t>
      </w:r>
      <w:proofErr w:type="gramEnd"/>
      <w:r w:rsidRPr="000A26C9">
        <w:rPr>
          <w:rFonts w:ascii="Perpetua" w:hAnsi="Perpetua"/>
        </w:rPr>
        <w:t xml:space="preserve">’.  John Milton, ‘Ode on the Morning of Christ’s Nativity’, in Ernest Rhys (ed.) </w:t>
      </w:r>
      <w:r w:rsidRPr="000A26C9">
        <w:rPr>
          <w:rFonts w:ascii="Perpetua" w:hAnsi="Perpetua"/>
          <w:i/>
        </w:rPr>
        <w:t>The Golden Treasury of Longer Poems</w:t>
      </w:r>
      <w:r w:rsidRPr="000A26C9">
        <w:rPr>
          <w:rFonts w:ascii="Perpetua" w:hAnsi="Perpetua"/>
        </w:rPr>
        <w:t xml:space="preserve"> (London: E. P. Dutton &amp; Co., 1921), p. 91.</w:t>
      </w:r>
    </w:p>
  </w:footnote>
  <w:footnote w:id="13">
    <w:p w:rsidR="00975183" w:rsidRPr="000A26C9" w:rsidRDefault="00975183" w:rsidP="00442D33">
      <w:pPr>
        <w:pStyle w:val="FootnoteText"/>
        <w:rPr>
          <w:rFonts w:ascii="Perpetua" w:hAnsi="Perpetua"/>
        </w:rPr>
      </w:pPr>
      <w:r w:rsidRPr="000A26C9">
        <w:rPr>
          <w:rStyle w:val="FootnoteReference"/>
          <w:rFonts w:ascii="Perpetua" w:hAnsi="Perpetua"/>
        </w:rPr>
        <w:footnoteRef/>
      </w:r>
      <w:r w:rsidRPr="000A26C9">
        <w:rPr>
          <w:rFonts w:ascii="Perpetua" w:hAnsi="Perpetua"/>
        </w:rPr>
        <w:t xml:space="preserve"> Definition given as ‘archaic’ in Dictionary.com &lt;www.dictionary.com/browse/egregious?s+t&gt; [accessed 8.9.17].</w:t>
      </w:r>
    </w:p>
  </w:footnote>
  <w:footnote w:id="14">
    <w:p w:rsidR="00975183" w:rsidRPr="000A26C9" w:rsidRDefault="00975183" w:rsidP="00442D33">
      <w:pPr>
        <w:pStyle w:val="FootnoteText"/>
        <w:rPr>
          <w:rFonts w:ascii="Perpetua" w:hAnsi="Perpetua"/>
        </w:rPr>
      </w:pPr>
      <w:r w:rsidRPr="000A26C9">
        <w:rPr>
          <w:rStyle w:val="FootnoteReference"/>
          <w:rFonts w:ascii="Perpetua" w:hAnsi="Perpetua"/>
        </w:rPr>
        <w:footnoteRef/>
      </w:r>
      <w:r w:rsidRPr="000A26C9">
        <w:rPr>
          <w:rFonts w:ascii="Perpetua" w:hAnsi="Perpetua"/>
        </w:rPr>
        <w:t xml:space="preserve"> Defin</w:t>
      </w:r>
      <w:r>
        <w:rPr>
          <w:rFonts w:ascii="Perpetua" w:hAnsi="Perpetua"/>
        </w:rPr>
        <w:t>i</w:t>
      </w:r>
      <w:r w:rsidRPr="000A26C9">
        <w:rPr>
          <w:rFonts w:ascii="Perpetua" w:hAnsi="Perpetua"/>
        </w:rPr>
        <w:t xml:space="preserve">tion from </w:t>
      </w:r>
      <w:r w:rsidRPr="000A26C9">
        <w:rPr>
          <w:rFonts w:ascii="Perpetua" w:hAnsi="Perpetua"/>
          <w:i/>
        </w:rPr>
        <w:t>Collins Latin Gem Dictionary</w:t>
      </w:r>
      <w:r w:rsidRPr="000A26C9">
        <w:rPr>
          <w:rFonts w:ascii="Perpetua" w:hAnsi="Perpetua"/>
        </w:rPr>
        <w:t xml:space="preserve"> (G. F. Mainf, [ed.], London: Collins, 1957), p. 114.</w:t>
      </w:r>
    </w:p>
  </w:footnote>
  <w:footnote w:id="15">
    <w:p w:rsidR="00975183" w:rsidRDefault="00975183" w:rsidP="00442D33">
      <w:pPr>
        <w:pStyle w:val="FootnoteText"/>
      </w:pPr>
      <w:r w:rsidRPr="00874849">
        <w:rPr>
          <w:rStyle w:val="FootnoteReference"/>
          <w:rFonts w:ascii="Perpetua" w:hAnsi="Perpetua"/>
        </w:rPr>
        <w:footnoteRef/>
      </w:r>
      <w:r w:rsidRPr="00874849">
        <w:rPr>
          <w:rFonts w:ascii="Perpetua" w:hAnsi="Perpetua"/>
        </w:rPr>
        <w:t xml:space="preserve"> ‘</w:t>
      </w:r>
      <w:r w:rsidRPr="00874849">
        <w:rPr>
          <w:rFonts w:ascii="Perpetua" w:hAnsi="Perpetua" w:cs="Arial"/>
          <w:lang w:val="en-US" w:bidi="he-IL"/>
        </w:rPr>
        <w:t xml:space="preserve">When Gentiles, who do not possess the </w:t>
      </w:r>
      <w:r w:rsidRPr="00874849">
        <w:rPr>
          <w:rFonts w:ascii="Perpetua" w:hAnsi="Perpetua" w:cs="Arial"/>
          <w:i/>
          <w:lang w:val="en-US" w:bidi="he-IL"/>
        </w:rPr>
        <w:t>law</w:t>
      </w:r>
      <w:r w:rsidRPr="00874849">
        <w:rPr>
          <w:rFonts w:ascii="Perpetua" w:hAnsi="Perpetua" w:cs="Arial"/>
          <w:lang w:val="en-US" w:bidi="he-IL"/>
        </w:rPr>
        <w:t xml:space="preserve">, do instinctively what the </w:t>
      </w:r>
      <w:r w:rsidRPr="00874849">
        <w:rPr>
          <w:rFonts w:ascii="Perpetua" w:hAnsi="Perpetua" w:cs="Arial"/>
          <w:i/>
          <w:lang w:val="en-US" w:bidi="he-IL"/>
        </w:rPr>
        <w:t>law</w:t>
      </w:r>
      <w:r w:rsidRPr="00874849">
        <w:rPr>
          <w:rFonts w:ascii="Perpetua" w:hAnsi="Perpetua" w:cs="Arial"/>
          <w:lang w:val="en-US" w:bidi="he-IL"/>
        </w:rPr>
        <w:t xml:space="preserve"> requires, these, though not having the </w:t>
      </w:r>
      <w:r w:rsidRPr="00874849">
        <w:rPr>
          <w:rFonts w:ascii="Perpetua" w:hAnsi="Perpetua" w:cs="Arial"/>
          <w:i/>
          <w:lang w:val="en-US" w:bidi="he-IL"/>
        </w:rPr>
        <w:t>law</w:t>
      </w:r>
      <w:r w:rsidRPr="00874849">
        <w:rPr>
          <w:rFonts w:ascii="Perpetua" w:hAnsi="Perpetua" w:cs="Arial"/>
          <w:lang w:val="en-US" w:bidi="he-IL"/>
        </w:rPr>
        <w:t xml:space="preserve">, are a </w:t>
      </w:r>
      <w:r w:rsidRPr="00874849">
        <w:rPr>
          <w:rFonts w:ascii="Perpetua" w:hAnsi="Perpetua" w:cs="Arial"/>
          <w:i/>
          <w:lang w:val="en-US" w:bidi="he-IL"/>
        </w:rPr>
        <w:t>law</w:t>
      </w:r>
      <w:r w:rsidRPr="00874849">
        <w:rPr>
          <w:rFonts w:ascii="Perpetua" w:hAnsi="Perpetua" w:cs="Arial"/>
          <w:lang w:val="en-US" w:bidi="he-IL"/>
        </w:rPr>
        <w:t xml:space="preserve"> to themselves.</w:t>
      </w:r>
      <w:r w:rsidRPr="00874849">
        <w:rPr>
          <w:rFonts w:ascii="Perpetua" w:hAnsi="Perpetua"/>
        </w:rPr>
        <w:t xml:space="preserve">’  Rom. 2:14, </w:t>
      </w:r>
      <w:r w:rsidRPr="00874849">
        <w:rPr>
          <w:rFonts w:ascii="Perpetua" w:hAnsi="Perpetua"/>
          <w:i/>
        </w:rPr>
        <w:t>NRSV</w:t>
      </w:r>
      <w:r w:rsidRPr="00874849">
        <w:rPr>
          <w:rFonts w:ascii="Perpetua" w:hAnsi="Perpetua"/>
        </w:rPr>
        <w:t xml:space="preserve">.  </w:t>
      </w:r>
      <w:proofErr w:type="gramStart"/>
      <w:r w:rsidRPr="00874849">
        <w:rPr>
          <w:rFonts w:ascii="Perpetua" w:hAnsi="Perpetua"/>
        </w:rPr>
        <w:t>(</w:t>
      </w:r>
      <w:r w:rsidRPr="00874849">
        <w:rPr>
          <w:rFonts w:ascii="Perpetua" w:hAnsi="Perpetua"/>
          <w:i/>
        </w:rPr>
        <w:t>My emphases</w:t>
      </w:r>
      <w:r w:rsidRPr="00874849">
        <w:rPr>
          <w:rFonts w:ascii="Perpetua" w:hAnsi="Perpetua"/>
        </w:rPr>
        <w:t>.)</w:t>
      </w:r>
      <w:proofErr w:type="gramEnd"/>
    </w:p>
  </w:footnote>
  <w:footnote w:id="16">
    <w:p w:rsidR="00975183" w:rsidRDefault="00975183" w:rsidP="00442D33">
      <w:pPr>
        <w:pStyle w:val="FootnoteText"/>
      </w:pPr>
      <w:r w:rsidRPr="00874849">
        <w:rPr>
          <w:rStyle w:val="FootnoteReference"/>
          <w:rFonts w:ascii="Perpetua" w:hAnsi="Perpetua"/>
        </w:rPr>
        <w:footnoteRef/>
      </w:r>
      <w:r w:rsidRPr="00874849">
        <w:rPr>
          <w:rFonts w:ascii="Perpetua" w:hAnsi="Perpetua"/>
        </w:rPr>
        <w:t xml:space="preserve"> ‘</w:t>
      </w:r>
      <w:r w:rsidRPr="00874849">
        <w:rPr>
          <w:rFonts w:ascii="Perpetua" w:hAnsi="Perpetua" w:cs="Arial"/>
          <w:lang w:val="en-US" w:bidi="he-IL"/>
        </w:rPr>
        <w:t xml:space="preserve">and if you are sure that you are a guide to the blind, a light to those who are in darkness, </w:t>
      </w:r>
      <w:r w:rsidRPr="00874849">
        <w:rPr>
          <w:rFonts w:ascii="Perpetua" w:hAnsi="Perpetua" w:cs="Arial"/>
          <w:vertAlign w:val="superscript"/>
          <w:lang w:val="en-US" w:bidi="he-IL"/>
        </w:rPr>
        <w:t>20</w:t>
      </w:r>
      <w:r w:rsidRPr="00874849">
        <w:rPr>
          <w:rFonts w:ascii="Perpetua" w:hAnsi="Perpetua" w:cs="Arial"/>
          <w:lang w:val="en-US" w:bidi="he-IL"/>
        </w:rPr>
        <w:t xml:space="preserve"> a corrector of the foolish, a teacher of children, having in the </w:t>
      </w:r>
      <w:r w:rsidRPr="00874849">
        <w:rPr>
          <w:rFonts w:ascii="Perpetua" w:hAnsi="Perpetua" w:cs="Arial"/>
          <w:i/>
          <w:lang w:val="en-US" w:bidi="he-IL"/>
        </w:rPr>
        <w:t>law</w:t>
      </w:r>
      <w:r w:rsidRPr="00874849">
        <w:rPr>
          <w:rFonts w:ascii="Perpetua" w:hAnsi="Perpetua" w:cs="Arial"/>
          <w:lang w:val="en-US" w:bidi="he-IL"/>
        </w:rPr>
        <w:t xml:space="preserve"> the embodiment of knowledge and truth,.</w:t>
      </w:r>
      <w:r w:rsidRPr="00874849">
        <w:rPr>
          <w:rFonts w:ascii="Perpetua" w:hAnsi="Perpetua"/>
        </w:rPr>
        <w:t xml:space="preserve">’  Rom. 2:19-20, </w:t>
      </w:r>
      <w:r w:rsidRPr="00874849">
        <w:rPr>
          <w:rFonts w:ascii="Perpetua" w:hAnsi="Perpetua"/>
          <w:i/>
        </w:rPr>
        <w:t>NRSV</w:t>
      </w:r>
      <w:r w:rsidRPr="00874849">
        <w:rPr>
          <w:rFonts w:ascii="Perpetua" w:hAnsi="Perpetua"/>
        </w:rPr>
        <w:t>.    ‘</w:t>
      </w:r>
      <w:r w:rsidRPr="00874849">
        <w:rPr>
          <w:rFonts w:ascii="Perpetua" w:hAnsi="Perpetua" w:cs="Arial"/>
          <w:lang w:val="en-US" w:bidi="he-IL"/>
        </w:rPr>
        <w:t xml:space="preserve">You that boast in the </w:t>
      </w:r>
      <w:r w:rsidRPr="00874849">
        <w:rPr>
          <w:rFonts w:ascii="Perpetua" w:hAnsi="Perpetua" w:cs="Arial"/>
          <w:i/>
          <w:lang w:val="en-US" w:bidi="he-IL"/>
        </w:rPr>
        <w:t>law</w:t>
      </w:r>
      <w:r w:rsidRPr="00874849">
        <w:rPr>
          <w:rFonts w:ascii="Perpetua" w:hAnsi="Perpetua" w:cs="Arial"/>
          <w:lang w:val="en-US" w:bidi="he-IL"/>
        </w:rPr>
        <w:t xml:space="preserve">, do you dishonor God by breaking the </w:t>
      </w:r>
      <w:r w:rsidRPr="00874849">
        <w:rPr>
          <w:rFonts w:ascii="Perpetua" w:hAnsi="Perpetua" w:cs="Arial"/>
          <w:i/>
          <w:lang w:val="en-US" w:bidi="he-IL"/>
        </w:rPr>
        <w:t>law</w:t>
      </w:r>
      <w:r w:rsidRPr="00874849">
        <w:rPr>
          <w:rFonts w:ascii="Perpetua" w:hAnsi="Perpetua" w:cs="Arial"/>
          <w:lang w:val="en-US" w:bidi="he-IL"/>
        </w:rPr>
        <w:t>?</w:t>
      </w:r>
      <w:r w:rsidRPr="00874849">
        <w:rPr>
          <w:rFonts w:ascii="Perpetua" w:hAnsi="Perpetua"/>
        </w:rPr>
        <w:t xml:space="preserve">’  Rom. 2:23, </w:t>
      </w:r>
      <w:r w:rsidRPr="00874849">
        <w:rPr>
          <w:rFonts w:ascii="Perpetua" w:hAnsi="Perpetua"/>
          <w:i/>
        </w:rPr>
        <w:t>NRSV</w:t>
      </w:r>
      <w:r w:rsidRPr="00874849">
        <w:rPr>
          <w:rFonts w:ascii="Perpetua" w:hAnsi="Perpetua"/>
        </w:rPr>
        <w:t xml:space="preserve">. </w:t>
      </w:r>
      <w:proofErr w:type="gramStart"/>
      <w:r w:rsidRPr="00874849">
        <w:rPr>
          <w:rFonts w:ascii="Perpetua" w:hAnsi="Perpetua"/>
        </w:rPr>
        <w:t>(</w:t>
      </w:r>
      <w:r w:rsidRPr="00874849">
        <w:rPr>
          <w:rFonts w:ascii="Perpetua" w:hAnsi="Perpetua"/>
          <w:i/>
        </w:rPr>
        <w:t>My emphases</w:t>
      </w:r>
      <w:r w:rsidRPr="00874849">
        <w:rPr>
          <w:rFonts w:ascii="Perpetua" w:hAnsi="Perpetua"/>
        </w:rPr>
        <w:t>.)</w:t>
      </w:r>
      <w:proofErr w:type="gramEnd"/>
    </w:p>
  </w:footnote>
  <w:footnote w:id="17">
    <w:p w:rsidR="00975183" w:rsidRPr="004A0397" w:rsidRDefault="00975183" w:rsidP="00442D33">
      <w:pPr>
        <w:pStyle w:val="FootnoteText"/>
      </w:pPr>
      <w:r w:rsidRPr="004A0397">
        <w:rPr>
          <w:rStyle w:val="FootnoteReference"/>
          <w:rFonts w:ascii="Perpetua" w:hAnsi="Perpetua"/>
        </w:rPr>
        <w:footnoteRef/>
      </w:r>
      <w:r w:rsidRPr="004A0397">
        <w:rPr>
          <w:rFonts w:ascii="Perpetua" w:hAnsi="Perpetua"/>
        </w:rPr>
        <w:t xml:space="preserve"> Lk. 13:32.  ‘Go tell that fox [Herod]...’</w:t>
      </w:r>
    </w:p>
  </w:footnote>
  <w:footnote w:id="18">
    <w:p w:rsidR="00975183" w:rsidRPr="004A0397" w:rsidRDefault="00975183" w:rsidP="00442D33">
      <w:pPr>
        <w:pStyle w:val="FootnoteText"/>
      </w:pPr>
      <w:r w:rsidRPr="004A0397">
        <w:rPr>
          <w:rStyle w:val="FootnoteReference"/>
          <w:rFonts w:ascii="Perpetua" w:hAnsi="Perpetua"/>
        </w:rPr>
        <w:footnoteRef/>
      </w:r>
      <w:r w:rsidRPr="004A0397">
        <w:rPr>
          <w:rFonts w:ascii="Perpetua" w:hAnsi="Perpetua"/>
        </w:rPr>
        <w:t xml:space="preserve"> Lk. 9:58.  ‘The foxes have holes … the Son of Man has nowhere …’</w:t>
      </w:r>
    </w:p>
  </w:footnote>
  <w:footnote w:id="19">
    <w:p w:rsidR="00975183" w:rsidRPr="004A0397" w:rsidRDefault="00975183" w:rsidP="00442D33">
      <w:pPr>
        <w:pStyle w:val="FootnoteText"/>
        <w:rPr>
          <w:rFonts w:ascii="Perpetua" w:hAnsi="Perpetua"/>
        </w:rPr>
      </w:pPr>
      <w:r w:rsidRPr="004A0397">
        <w:rPr>
          <w:rStyle w:val="FootnoteReference"/>
          <w:rFonts w:ascii="Perpetua" w:hAnsi="Perpetua"/>
        </w:rPr>
        <w:footnoteRef/>
      </w:r>
      <w:r w:rsidRPr="004A0397">
        <w:rPr>
          <w:rFonts w:ascii="Perpetua" w:hAnsi="Perpetua"/>
        </w:rPr>
        <w:t xml:space="preserve"> ‘</w:t>
      </w:r>
      <w:r w:rsidRPr="004A0397">
        <w:rPr>
          <w:rFonts w:ascii="Perpetua" w:hAnsi="Perpetua" w:cs="Arial"/>
          <w:lang w:val="en-US" w:bidi="he-IL"/>
        </w:rPr>
        <w:t xml:space="preserve">And your children shall be shepherds in the wilderness for forty years, and shall suffer for your faithlessness, until the last of your dead bodies lies in the wilderness. </w:t>
      </w:r>
      <w:r w:rsidRPr="004A0397">
        <w:rPr>
          <w:rFonts w:ascii="Perpetua" w:hAnsi="Perpetua" w:cs="Arial"/>
          <w:vertAlign w:val="superscript"/>
          <w:lang w:val="en-US" w:bidi="he-IL"/>
        </w:rPr>
        <w:t>34</w:t>
      </w:r>
      <w:r w:rsidRPr="004A0397">
        <w:rPr>
          <w:rFonts w:ascii="Perpetua" w:hAnsi="Perpetua" w:cs="Arial"/>
          <w:lang w:val="en-US" w:bidi="he-IL"/>
        </w:rPr>
        <w:t xml:space="preserve"> According to the number of the days in which you spied out the land, forty days, for every day a year, you shall bear your iniquity, forty years, and you shall know my displeasure."’  Num. 14:33-4, </w:t>
      </w:r>
      <w:r w:rsidRPr="004A0397">
        <w:rPr>
          <w:rFonts w:ascii="Perpetua" w:hAnsi="Perpetua" w:cs="Arial"/>
          <w:i/>
          <w:lang w:val="en-US" w:bidi="he-IL"/>
        </w:rPr>
        <w:t>NRSV</w:t>
      </w:r>
      <w:r w:rsidRPr="004A0397">
        <w:rPr>
          <w:rFonts w:ascii="Perpetua" w:hAnsi="Perpetua" w:cs="Arial"/>
          <w:lang w:val="en-US" w:bidi="he-IL"/>
        </w:rPr>
        <w:t>.</w:t>
      </w:r>
    </w:p>
  </w:footnote>
  <w:footnote w:id="20">
    <w:p w:rsidR="00975183" w:rsidRPr="004A0397" w:rsidRDefault="00975183" w:rsidP="00442D33">
      <w:pPr>
        <w:pStyle w:val="FootnoteText"/>
        <w:rPr>
          <w:rFonts w:ascii="Perpetua" w:hAnsi="Perpetua"/>
          <w:lang w:val="en-US"/>
        </w:rPr>
      </w:pPr>
      <w:r w:rsidRPr="004A0397">
        <w:rPr>
          <w:rStyle w:val="FootnoteReference"/>
          <w:rFonts w:ascii="Perpetua" w:hAnsi="Perpetua"/>
        </w:rPr>
        <w:footnoteRef/>
      </w:r>
      <w:r w:rsidRPr="004A0397">
        <w:rPr>
          <w:rFonts w:ascii="Perpetua" w:hAnsi="Perpetua"/>
        </w:rPr>
        <w:t xml:space="preserve"> ‘</w:t>
      </w:r>
      <w:r w:rsidRPr="004A0397">
        <w:rPr>
          <w:rFonts w:ascii="Perpetua" w:hAnsi="Perpetua" w:cs="Arial"/>
          <w:lang w:val="en-US" w:bidi="he-IL"/>
        </w:rPr>
        <w:t xml:space="preserve">For I assign to you a number of days, three hundred ninety days, equal to the number of the years of their punishment; and so you shall bear the punishment of the house of Israel. </w:t>
      </w:r>
      <w:r w:rsidRPr="004A0397">
        <w:rPr>
          <w:rFonts w:ascii="Perpetua" w:hAnsi="Perpetua" w:cs="Arial"/>
          <w:vertAlign w:val="superscript"/>
          <w:lang w:val="en-US" w:bidi="he-IL"/>
        </w:rPr>
        <w:t>6</w:t>
      </w:r>
      <w:r w:rsidRPr="004A0397">
        <w:rPr>
          <w:rFonts w:ascii="Perpetua" w:hAnsi="Perpetua" w:cs="Arial"/>
          <w:lang w:val="en-US" w:bidi="he-IL"/>
        </w:rPr>
        <w:t xml:space="preserve"> When you have completed these, you shall lie down a second time, but on your right side, and bear the punishment of the house of Judah; forty days I assign you, one day for each year.</w:t>
      </w:r>
      <w:r w:rsidRPr="004A0397">
        <w:rPr>
          <w:rFonts w:ascii="Perpetua" w:hAnsi="Perpetua"/>
        </w:rPr>
        <w:t xml:space="preserve">’  Ezek. 4:5-6, </w:t>
      </w:r>
      <w:r w:rsidRPr="004A0397">
        <w:rPr>
          <w:rFonts w:ascii="Perpetua" w:hAnsi="Perpetua"/>
          <w:i/>
        </w:rPr>
        <w:t>NRSV</w:t>
      </w:r>
      <w:r w:rsidRPr="004A0397">
        <w:rPr>
          <w:rFonts w:ascii="Perpetua" w:hAnsi="Perpetua"/>
        </w:rPr>
        <w:t>.</w:t>
      </w:r>
    </w:p>
  </w:footnote>
  <w:footnote w:id="21">
    <w:p w:rsidR="00975183" w:rsidRPr="005A4949" w:rsidRDefault="00975183" w:rsidP="00442D33">
      <w:pPr>
        <w:pStyle w:val="FootnoteText"/>
        <w:rPr>
          <w:rFonts w:ascii="Perpetua" w:hAnsi="Perpetua"/>
        </w:rPr>
      </w:pPr>
      <w:r w:rsidRPr="005A4949">
        <w:rPr>
          <w:rStyle w:val="FootnoteReference"/>
          <w:rFonts w:ascii="Perpetua" w:hAnsi="Perpetua"/>
        </w:rPr>
        <w:footnoteRef/>
      </w:r>
      <w:r w:rsidRPr="005A4949">
        <w:rPr>
          <w:rFonts w:ascii="Perpetua" w:hAnsi="Perpetua"/>
        </w:rPr>
        <w:t xml:space="preserve"> ‘</w:t>
      </w:r>
      <w:r w:rsidRPr="005A4949">
        <w:rPr>
          <w:rFonts w:ascii="Perpetua" w:hAnsi="Perpetua"/>
          <w:lang w:val="en-US"/>
        </w:rPr>
        <w:t xml:space="preserve">All scripture </w:t>
      </w:r>
      <w:r w:rsidRPr="005A4949">
        <w:rPr>
          <w:rFonts w:ascii="Perpetua" w:hAnsi="Perpetua"/>
          <w:i/>
          <w:iCs/>
          <w:lang w:val="en-US"/>
        </w:rPr>
        <w:t>is</w:t>
      </w:r>
      <w:r w:rsidRPr="005A4949">
        <w:rPr>
          <w:rFonts w:ascii="Perpetua" w:hAnsi="Perpetua"/>
          <w:lang w:val="en-US"/>
        </w:rPr>
        <w:t xml:space="preserve"> given by inspiration of God, and </w:t>
      </w:r>
      <w:r w:rsidRPr="005A4949">
        <w:rPr>
          <w:rFonts w:ascii="Perpetua" w:hAnsi="Perpetua"/>
          <w:i/>
          <w:iCs/>
          <w:lang w:val="en-US"/>
        </w:rPr>
        <w:t>is</w:t>
      </w:r>
      <w:r w:rsidRPr="005A4949">
        <w:rPr>
          <w:rFonts w:ascii="Perpetua" w:hAnsi="Perpetua"/>
          <w:lang w:val="en-US"/>
        </w:rPr>
        <w:t xml:space="preserve"> profitable for doctrine, for reproof, for correction, for instruction in </w:t>
      </w:r>
      <w:proofErr w:type="gramStart"/>
      <w:r w:rsidRPr="005A4949">
        <w:rPr>
          <w:rFonts w:ascii="Perpetua" w:hAnsi="Perpetua"/>
          <w:lang w:val="en-US"/>
        </w:rPr>
        <w:t>righteousness:</w:t>
      </w:r>
      <w:r w:rsidRPr="005A4949">
        <w:rPr>
          <w:rFonts w:ascii="Perpetua" w:hAnsi="Perpetua"/>
        </w:rPr>
        <w:t>’  2</w:t>
      </w:r>
      <w:proofErr w:type="gramEnd"/>
      <w:r w:rsidRPr="005A4949">
        <w:rPr>
          <w:rFonts w:ascii="Perpetua" w:hAnsi="Perpetua"/>
        </w:rPr>
        <w:t xml:space="preserve"> Tim. 3:16, </w:t>
      </w:r>
      <w:r w:rsidRPr="005A4949">
        <w:rPr>
          <w:rFonts w:ascii="Perpetua" w:hAnsi="Perpetua"/>
          <w:i/>
        </w:rPr>
        <w:t>KJV</w:t>
      </w:r>
      <w:r w:rsidRPr="005A4949">
        <w:rPr>
          <w:rFonts w:ascii="Perpetua" w:hAnsi="Perpetua"/>
        </w:rPr>
        <w:t>.</w:t>
      </w:r>
    </w:p>
  </w:footnote>
  <w:footnote w:id="22">
    <w:p w:rsidR="00975183" w:rsidRPr="005A4949" w:rsidRDefault="00975183" w:rsidP="00442D33">
      <w:pPr>
        <w:pStyle w:val="FootnoteText"/>
        <w:rPr>
          <w:rFonts w:ascii="Perpetua" w:hAnsi="Perpetua"/>
        </w:rPr>
      </w:pPr>
      <w:r w:rsidRPr="005A4949">
        <w:rPr>
          <w:rStyle w:val="FootnoteReference"/>
          <w:rFonts w:ascii="Perpetua" w:hAnsi="Perpetua"/>
        </w:rPr>
        <w:footnoteRef/>
      </w:r>
      <w:r w:rsidRPr="005A4949">
        <w:rPr>
          <w:rFonts w:ascii="Perpetua" w:hAnsi="Perpetua"/>
        </w:rPr>
        <w:t xml:space="preserve"> Ref. Ecc. 12:13</w:t>
      </w:r>
      <w:r>
        <w:rPr>
          <w:rFonts w:ascii="Perpetua" w:hAnsi="Perpetua"/>
        </w:rPr>
        <w:t>:</w:t>
      </w:r>
      <w:r w:rsidRPr="005A4949">
        <w:rPr>
          <w:rFonts w:ascii="Perpetua" w:hAnsi="Perpetua"/>
        </w:rPr>
        <w:t xml:space="preserve"> ‘Let us hear the conclusion of the whole matter: Fear God and keep his commandments: for this is the whole duty of man.’  </w:t>
      </w:r>
      <w:proofErr w:type="gramStart"/>
      <w:r w:rsidRPr="005A4949">
        <w:rPr>
          <w:rFonts w:ascii="Perpetua" w:hAnsi="Perpetua"/>
        </w:rPr>
        <w:t>Ecc.</w:t>
      </w:r>
      <w:proofErr w:type="gramEnd"/>
      <w:r w:rsidRPr="005A4949">
        <w:rPr>
          <w:rFonts w:ascii="Perpetua" w:hAnsi="Perpetua"/>
        </w:rPr>
        <w:t xml:space="preserve"> </w:t>
      </w:r>
      <w:proofErr w:type="gramStart"/>
      <w:r w:rsidRPr="005A4949">
        <w:rPr>
          <w:rFonts w:ascii="Perpetua" w:hAnsi="Perpetua"/>
        </w:rPr>
        <w:t xml:space="preserve">12:13 </w:t>
      </w:r>
      <w:r w:rsidRPr="005A4949">
        <w:rPr>
          <w:rFonts w:ascii="Perpetua" w:hAnsi="Perpetua"/>
          <w:i/>
        </w:rPr>
        <w:t>KJV</w:t>
      </w:r>
      <w:r>
        <w:rPr>
          <w:rFonts w:ascii="Perpetua" w:hAnsi="Perpetua"/>
        </w:rPr>
        <w:t>.</w:t>
      </w:r>
      <w:proofErr w:type="gramEnd"/>
    </w:p>
  </w:footnote>
  <w:footnote w:id="23">
    <w:p w:rsidR="00975183" w:rsidRPr="005A4949" w:rsidRDefault="00975183" w:rsidP="00442D33">
      <w:pPr>
        <w:pStyle w:val="FootnoteText"/>
        <w:rPr>
          <w:rFonts w:ascii="Perpetua" w:hAnsi="Perpetua"/>
        </w:rPr>
      </w:pPr>
      <w:r w:rsidRPr="005A4949">
        <w:rPr>
          <w:rStyle w:val="FootnoteReference"/>
          <w:rFonts w:ascii="Perpetua" w:hAnsi="Perpetua"/>
        </w:rPr>
        <w:footnoteRef/>
      </w:r>
      <w:r w:rsidRPr="005A4949">
        <w:rPr>
          <w:rFonts w:ascii="Perpetua" w:hAnsi="Perpetua"/>
        </w:rPr>
        <w:t xml:space="preserve"> ‘</w:t>
      </w:r>
      <w:r w:rsidRPr="005A4949">
        <w:rPr>
          <w:rFonts w:ascii="Perpetua" w:eastAsiaTheme="minorHAnsi" w:hAnsi="Perpetua"/>
          <w:lang w:val="en-US"/>
        </w:rPr>
        <w:t xml:space="preserve">All </w:t>
      </w:r>
      <w:r w:rsidRPr="005A4949">
        <w:rPr>
          <w:rFonts w:ascii="Perpetua" w:eastAsiaTheme="minorHAnsi" w:hAnsi="Perpetua"/>
          <w:i/>
          <w:iCs/>
          <w:lang w:val="en-US"/>
        </w:rPr>
        <w:t>things come</w:t>
      </w:r>
      <w:r w:rsidRPr="005A4949">
        <w:rPr>
          <w:rFonts w:ascii="Perpetua" w:eastAsiaTheme="minorHAnsi" w:hAnsi="Perpetua"/>
          <w:lang w:val="en-US"/>
        </w:rPr>
        <w:t xml:space="preserve"> alike to all: </w:t>
      </w:r>
      <w:r w:rsidRPr="005A4949">
        <w:rPr>
          <w:rFonts w:ascii="Perpetua" w:eastAsiaTheme="minorHAnsi" w:hAnsi="Perpetua"/>
          <w:i/>
          <w:iCs/>
          <w:lang w:val="en-US"/>
        </w:rPr>
        <w:t>there is</w:t>
      </w:r>
      <w:r w:rsidRPr="005A4949">
        <w:rPr>
          <w:rFonts w:ascii="Perpetua" w:eastAsiaTheme="minorHAnsi" w:hAnsi="Perpetua"/>
          <w:lang w:val="en-US"/>
        </w:rPr>
        <w:t xml:space="preserve"> one event to the righteous, and to the wicked; to the good and to the clean, and to the unclean; to him that sacrificeth, and to him that sacrificeth not: as </w:t>
      </w:r>
      <w:r w:rsidRPr="005A4949">
        <w:rPr>
          <w:rFonts w:ascii="Perpetua" w:eastAsiaTheme="minorHAnsi" w:hAnsi="Perpetua"/>
          <w:i/>
          <w:iCs/>
          <w:lang w:val="en-US"/>
        </w:rPr>
        <w:t>is</w:t>
      </w:r>
      <w:r w:rsidRPr="005A4949">
        <w:rPr>
          <w:rFonts w:ascii="Perpetua" w:eastAsiaTheme="minorHAnsi" w:hAnsi="Perpetua"/>
          <w:lang w:val="en-US"/>
        </w:rPr>
        <w:t xml:space="preserve"> the good, so </w:t>
      </w:r>
      <w:proofErr w:type="gramStart"/>
      <w:r w:rsidRPr="005A4949">
        <w:rPr>
          <w:rFonts w:ascii="Perpetua" w:eastAsiaTheme="minorHAnsi" w:hAnsi="Perpetua"/>
          <w:i/>
          <w:iCs/>
          <w:lang w:val="en-US"/>
        </w:rPr>
        <w:t>is</w:t>
      </w:r>
      <w:proofErr w:type="gramEnd"/>
      <w:r w:rsidRPr="005A4949">
        <w:rPr>
          <w:rFonts w:ascii="Perpetua" w:eastAsiaTheme="minorHAnsi" w:hAnsi="Perpetua"/>
          <w:lang w:val="en-US"/>
        </w:rPr>
        <w:t xml:space="preserve"> the sinner; </w:t>
      </w:r>
      <w:r w:rsidRPr="005A4949">
        <w:rPr>
          <w:rFonts w:ascii="Perpetua" w:eastAsiaTheme="minorHAnsi" w:hAnsi="Perpetua"/>
          <w:i/>
          <w:iCs/>
          <w:lang w:val="en-US"/>
        </w:rPr>
        <w:t>and</w:t>
      </w:r>
      <w:r w:rsidRPr="005A4949">
        <w:rPr>
          <w:rFonts w:ascii="Perpetua" w:eastAsiaTheme="minorHAnsi" w:hAnsi="Perpetua"/>
          <w:lang w:val="en-US"/>
        </w:rPr>
        <w:t xml:space="preserve"> he that sweareth, as </w:t>
      </w:r>
      <w:r w:rsidRPr="005A4949">
        <w:rPr>
          <w:rFonts w:ascii="Perpetua" w:eastAsiaTheme="minorHAnsi" w:hAnsi="Perpetua"/>
          <w:i/>
          <w:iCs/>
          <w:lang w:val="en-US"/>
        </w:rPr>
        <w:t>he</w:t>
      </w:r>
      <w:r w:rsidRPr="005A4949">
        <w:rPr>
          <w:rFonts w:ascii="Perpetua" w:eastAsiaTheme="minorHAnsi" w:hAnsi="Perpetua"/>
          <w:lang w:val="en-US"/>
        </w:rPr>
        <w:t xml:space="preserve"> that feareth an oath.’  </w:t>
      </w:r>
      <w:proofErr w:type="gramStart"/>
      <w:r w:rsidRPr="005A4949">
        <w:rPr>
          <w:rFonts w:ascii="Perpetua" w:eastAsiaTheme="minorHAnsi" w:hAnsi="Perpetua"/>
          <w:lang w:val="en-US"/>
        </w:rPr>
        <w:t>Ecc.</w:t>
      </w:r>
      <w:proofErr w:type="gramEnd"/>
      <w:r w:rsidRPr="005A4949">
        <w:rPr>
          <w:rFonts w:ascii="Perpetua" w:eastAsiaTheme="minorHAnsi" w:hAnsi="Perpetua"/>
          <w:lang w:val="en-US"/>
        </w:rPr>
        <w:t xml:space="preserve"> </w:t>
      </w:r>
      <w:proofErr w:type="gramStart"/>
      <w:r w:rsidRPr="005A4949">
        <w:rPr>
          <w:rFonts w:ascii="Perpetua" w:eastAsiaTheme="minorHAnsi" w:hAnsi="Perpetua"/>
          <w:lang w:val="en-US"/>
        </w:rPr>
        <w:t xml:space="preserve">9:2, </w:t>
      </w:r>
      <w:r w:rsidRPr="005A4949">
        <w:rPr>
          <w:rFonts w:ascii="Perpetua" w:eastAsiaTheme="minorHAnsi" w:hAnsi="Perpetua"/>
          <w:i/>
          <w:lang w:val="en-US"/>
        </w:rPr>
        <w:t>KJV</w:t>
      </w:r>
      <w:r w:rsidRPr="005A4949">
        <w:rPr>
          <w:rFonts w:ascii="Perpetua" w:eastAsiaTheme="minorHAnsi" w:hAnsi="Perpetua"/>
          <w:lang w:val="en-US"/>
        </w:rPr>
        <w:t>.</w:t>
      </w:r>
      <w:proofErr w:type="gramEnd"/>
    </w:p>
  </w:footnote>
  <w:footnote w:id="24">
    <w:p w:rsidR="00975183" w:rsidRPr="00A10443" w:rsidRDefault="00975183" w:rsidP="00442D33">
      <w:pPr>
        <w:pStyle w:val="FootnoteText"/>
        <w:rPr>
          <w:rFonts w:ascii="Perpetua" w:hAnsi="Perpetua"/>
        </w:rPr>
      </w:pPr>
      <w:r w:rsidRPr="00A10443">
        <w:rPr>
          <w:rStyle w:val="FootnoteReference"/>
          <w:rFonts w:ascii="Perpetua" w:hAnsi="Perpetua"/>
        </w:rPr>
        <w:footnoteRef/>
      </w:r>
      <w:r w:rsidRPr="00A10443">
        <w:rPr>
          <w:rFonts w:ascii="Perpetua" w:hAnsi="Perpetua"/>
        </w:rPr>
        <w:t xml:space="preserve"> </w:t>
      </w:r>
      <w:r w:rsidRPr="00A10443">
        <w:rPr>
          <w:rFonts w:ascii="Perpetua" w:hAnsi="Perpetua"/>
          <w:color w:val="000000"/>
        </w:rPr>
        <w:t>There are three small differences between the 1909 and 1917 editions</w:t>
      </w:r>
      <w:r>
        <w:rPr>
          <w:rFonts w:ascii="Perpetua" w:hAnsi="Perpetua"/>
          <w:color w:val="000000"/>
        </w:rPr>
        <w:t>, as indicated in the Introduction</w:t>
      </w:r>
      <w:r w:rsidRPr="00A10443">
        <w:rPr>
          <w:rFonts w:ascii="Perpetua" w:hAnsi="Perpetua"/>
          <w:color w:val="000000"/>
        </w:rPr>
        <w:t xml:space="preserve">.  </w:t>
      </w:r>
    </w:p>
    <w:p w:rsidR="00975183" w:rsidRPr="00A10443" w:rsidRDefault="00975183" w:rsidP="00442D33">
      <w:pPr>
        <w:pStyle w:val="FootnoteText"/>
        <w:rPr>
          <w:rFonts w:ascii="Perpetua" w:hAnsi="Perpetua"/>
        </w:rPr>
      </w:pPr>
    </w:p>
  </w:footnote>
  <w:footnote w:id="25">
    <w:p w:rsidR="00975183" w:rsidRPr="00766DE3" w:rsidRDefault="00975183" w:rsidP="00442D33">
      <w:pPr>
        <w:pStyle w:val="FootnoteText"/>
        <w:rPr>
          <w:rFonts w:ascii="Perpetua" w:hAnsi="Perpetua"/>
        </w:rPr>
      </w:pPr>
      <w:r w:rsidRPr="00766DE3">
        <w:rPr>
          <w:rStyle w:val="FootnoteReference"/>
          <w:rFonts w:ascii="Perpetua" w:hAnsi="Perpetua"/>
        </w:rPr>
        <w:footnoteRef/>
      </w:r>
      <w:r w:rsidRPr="00766DE3">
        <w:rPr>
          <w:rFonts w:ascii="Perpetua" w:hAnsi="Perpetua"/>
        </w:rPr>
        <w:t xml:space="preserve"> As mentioned in 8.7.2, Scofield does not appear keen to discuss fornication or adultery.</w:t>
      </w:r>
    </w:p>
  </w:footnote>
  <w:footnote w:id="26">
    <w:p w:rsidR="00975183" w:rsidRPr="00412CC3" w:rsidRDefault="00975183" w:rsidP="00442D33">
      <w:pPr>
        <w:pStyle w:val="FootnoteText"/>
      </w:pPr>
      <w:r w:rsidRPr="00412CC3">
        <w:rPr>
          <w:rStyle w:val="FootnoteReference"/>
          <w:rFonts w:ascii="Perpetua" w:hAnsi="Perpetua"/>
        </w:rPr>
        <w:footnoteRef/>
      </w:r>
      <w:r w:rsidRPr="00412CC3">
        <w:rPr>
          <w:rFonts w:ascii="Perpetua" w:hAnsi="Perpetua"/>
        </w:rPr>
        <w:t xml:space="preserve"> The Hebrew word,</w:t>
      </w:r>
      <w:r w:rsidRPr="00412CC3">
        <w:t xml:space="preserve"> </w:t>
      </w:r>
      <w:r w:rsidRPr="00412CC3">
        <w:rPr>
          <w:rFonts w:ascii="Bwhebb" w:hAnsi="Bwhebb" w:cs="Bwhebb"/>
          <w:sz w:val="36"/>
          <w:szCs w:val="24"/>
          <w:lang w:bidi="he-IL"/>
        </w:rPr>
        <w:t>hM'g</w:t>
      </w:r>
      <w:proofErr w:type="gramStart"/>
      <w:r w:rsidRPr="00412CC3">
        <w:rPr>
          <w:rFonts w:ascii="Bwhebb" w:hAnsi="Bwhebb" w:cs="Bwhebb"/>
          <w:sz w:val="36"/>
          <w:szCs w:val="24"/>
          <w:lang w:bidi="he-IL"/>
        </w:rPr>
        <w:t>:m</w:t>
      </w:r>
      <w:proofErr w:type="gramEnd"/>
      <w:r w:rsidRPr="00412CC3">
        <w:rPr>
          <w:rFonts w:ascii="Perpetua" w:hAnsi="Perpetua"/>
        </w:rPr>
        <w:t>, seems only to occur in construct form in Hab. 1:9, where it has the meaning, ‘the totality of’.</w:t>
      </w:r>
    </w:p>
  </w:footnote>
  <w:footnote w:id="27">
    <w:p w:rsidR="00975183" w:rsidRPr="0006294E" w:rsidRDefault="00975183" w:rsidP="00442D33">
      <w:pPr>
        <w:pStyle w:val="FootnoteText"/>
        <w:rPr>
          <w:rFonts w:ascii="Perpetua" w:hAnsi="Perpetua"/>
        </w:rPr>
      </w:pPr>
      <w:r w:rsidRPr="0006294E">
        <w:rPr>
          <w:rStyle w:val="FootnoteReference"/>
          <w:rFonts w:ascii="Perpetua" w:hAnsi="Perpetua"/>
        </w:rPr>
        <w:footnoteRef/>
      </w:r>
      <w:r>
        <w:rPr>
          <w:rFonts w:ascii="Perpetua" w:hAnsi="Perpetua"/>
        </w:rPr>
        <w:t xml:space="preserve"> Four or</w:t>
      </w:r>
      <w:r w:rsidRPr="0006294E">
        <w:rPr>
          <w:rFonts w:ascii="Perpetua" w:hAnsi="Perpetua"/>
        </w:rPr>
        <w:t xml:space="preserve"> possibly</w:t>
      </w:r>
      <w:r>
        <w:rPr>
          <w:rFonts w:ascii="Perpetua" w:hAnsi="Perpetua"/>
        </w:rPr>
        <w:t>,</w:t>
      </w:r>
      <w:r w:rsidRPr="0006294E">
        <w:rPr>
          <w:rFonts w:ascii="Perpetua" w:hAnsi="Perpetua"/>
        </w:rPr>
        <w:t xml:space="preserve"> five women’s names are mentioned in connection with the resurrection: Mary Magdalene appears in all the gospels (Mt. 28:1; Mk 16:1; Lk.. 23:10; Jn 10:1, 11); ‘the other Mary’ (Mt. 28:1), whom Scofield seems to identify as ‘the mother of James and Joses’, appears in Matthew; ‘Mary, the mother of James’ appears in Mark and Luke (Mk 16:1; Lk. 2</w:t>
      </w:r>
      <w:r>
        <w:rPr>
          <w:rFonts w:ascii="Perpetua" w:hAnsi="Perpetua"/>
        </w:rPr>
        <w:t>4</w:t>
      </w:r>
      <w:r w:rsidRPr="0006294E">
        <w:rPr>
          <w:rFonts w:ascii="Perpetua" w:hAnsi="Perpetua"/>
        </w:rPr>
        <w:t>:10); Salome appears in Mark (Mk 16:1) and Joanna appears in Luke (Lk. 23:10).</w:t>
      </w:r>
    </w:p>
  </w:footnote>
  <w:footnote w:id="28">
    <w:p w:rsidR="00975183" w:rsidRDefault="00975183" w:rsidP="00442D33">
      <w:pPr>
        <w:pStyle w:val="FootnoteText"/>
        <w:rPr>
          <w:rFonts w:ascii="Perpetua" w:hAnsi="Perpetua"/>
        </w:rPr>
      </w:pPr>
      <w:r w:rsidRPr="0006294E">
        <w:rPr>
          <w:rStyle w:val="FootnoteReference"/>
          <w:rFonts w:ascii="Perpetua" w:hAnsi="Perpetua"/>
        </w:rPr>
        <w:footnoteRef/>
      </w:r>
      <w:r w:rsidRPr="0006294E">
        <w:rPr>
          <w:rFonts w:ascii="Perpetua" w:hAnsi="Perpetua"/>
        </w:rPr>
        <w:t xml:space="preserve"> ‘</w:t>
      </w:r>
      <w:proofErr w:type="gramStart"/>
      <w:r w:rsidRPr="00DA507C">
        <w:rPr>
          <w:rFonts w:ascii="Bwgrkl" w:eastAsiaTheme="minorHAnsi" w:hAnsi="Bwgrkl" w:cs="Bwgrkl"/>
          <w:bCs/>
          <w:sz w:val="22"/>
          <w:szCs w:val="22"/>
          <w:lang w:val="en-US" w:bidi="he-IL"/>
        </w:rPr>
        <w:t>katakolouqe,</w:t>
      </w:r>
      <w:proofErr w:type="gramEnd"/>
      <w:r w:rsidRPr="00DA507C">
        <w:rPr>
          <w:rFonts w:ascii="Bwgrkl" w:eastAsiaTheme="minorHAnsi" w:hAnsi="Bwgrkl" w:cs="Bwgrkl"/>
          <w:bCs/>
          <w:sz w:val="22"/>
          <w:szCs w:val="22"/>
          <w:lang w:val="en-US" w:bidi="he-IL"/>
        </w:rPr>
        <w:t>w</w:t>
      </w:r>
      <w:r w:rsidRPr="0006294E">
        <w:rPr>
          <w:rFonts w:ascii="Perpetua" w:hAnsi="Perpetua"/>
        </w:rPr>
        <w:t>’</w:t>
      </w:r>
      <w:r w:rsidRPr="00373406">
        <w:rPr>
          <w:rFonts w:ascii="Perpetua" w:hAnsi="Perpetua"/>
        </w:rPr>
        <w:t>.  This verb only occurs in 1 Esdras 7:1, Judith 11:6, 1</w:t>
      </w:r>
      <w:r>
        <w:rPr>
          <w:rFonts w:ascii="Perpetua" w:hAnsi="Perpetua"/>
        </w:rPr>
        <w:t xml:space="preserve"> </w:t>
      </w:r>
      <w:r w:rsidRPr="00373406">
        <w:rPr>
          <w:rFonts w:ascii="Perpetua" w:hAnsi="Perpetua"/>
        </w:rPr>
        <w:t xml:space="preserve">Macc. 6:23, Jer. 17:16, Dan. 9:10, </w:t>
      </w:r>
    </w:p>
    <w:p w:rsidR="00975183" w:rsidRPr="00373406" w:rsidRDefault="00975183" w:rsidP="00442D33">
      <w:pPr>
        <w:pStyle w:val="FootnoteText"/>
        <w:rPr>
          <w:rFonts w:ascii="Perpetua" w:hAnsi="Perpetua"/>
        </w:rPr>
      </w:pPr>
      <w:r w:rsidRPr="00373406">
        <w:rPr>
          <w:rFonts w:ascii="Perpetua" w:hAnsi="Perpetua"/>
        </w:rPr>
        <w:t>Lk. 23:55 and Acts 16:17.</w:t>
      </w:r>
    </w:p>
  </w:footnote>
  <w:footnote w:id="29">
    <w:p w:rsidR="00975183" w:rsidRPr="005A4949" w:rsidRDefault="00975183" w:rsidP="00442D33">
      <w:pPr>
        <w:pStyle w:val="FootnoteText"/>
      </w:pPr>
      <w:r w:rsidRPr="005A4949">
        <w:rPr>
          <w:rStyle w:val="FootnoteReference"/>
          <w:rFonts w:ascii="Perpetua" w:hAnsi="Perpetua"/>
        </w:rPr>
        <w:footnoteRef/>
      </w:r>
      <w:r w:rsidRPr="005A4949">
        <w:rPr>
          <w:rFonts w:ascii="Perpetua" w:hAnsi="Perpetua"/>
        </w:rPr>
        <w:t xml:space="preserve"> </w:t>
      </w:r>
      <w:proofErr w:type="gramStart"/>
      <w:r w:rsidRPr="005A4949">
        <w:rPr>
          <w:rFonts w:ascii="Perpetua" w:hAnsi="Perpetua"/>
          <w:i/>
        </w:rPr>
        <w:t>SRB</w:t>
      </w:r>
      <w:r w:rsidRPr="005A4949">
        <w:rPr>
          <w:rFonts w:ascii="Perpetua" w:hAnsi="Perpetua"/>
        </w:rPr>
        <w:t>, p. iii.</w:t>
      </w:r>
      <w:proofErr w:type="gramEnd"/>
    </w:p>
  </w:footnote>
  <w:footnote w:id="30">
    <w:p w:rsidR="00975183" w:rsidRPr="005A4949" w:rsidRDefault="00975183" w:rsidP="00442D33">
      <w:pPr>
        <w:autoSpaceDE w:val="0"/>
        <w:autoSpaceDN w:val="0"/>
        <w:adjustRightInd w:val="0"/>
        <w:spacing w:after="0" w:line="240" w:lineRule="auto"/>
      </w:pPr>
      <w:r w:rsidRPr="005A4949">
        <w:rPr>
          <w:rStyle w:val="FootnoteReference"/>
        </w:rPr>
        <w:footnoteRef/>
      </w:r>
      <w:r w:rsidRPr="005A4949">
        <w:t xml:space="preserve"> ‘</w:t>
      </w:r>
      <w:r>
        <w:t xml:space="preserve">When he arose, he took the young child and his mother by night, and departed into Egypt: </w:t>
      </w:r>
      <w:r w:rsidRPr="00E320C2">
        <w:rPr>
          <w:vertAlign w:val="superscript"/>
        </w:rPr>
        <w:t>1</w:t>
      </w:r>
      <w:r>
        <w:t>5</w:t>
      </w:r>
      <w:r w:rsidRPr="005A4949">
        <w:rPr>
          <w:lang w:val="en-US"/>
        </w:rPr>
        <w:t>And was there until the death of Herod: that it might be fulfilled which was spoken of the Lord by the prophet, saying, Out of Egypt have I called my son.</w:t>
      </w:r>
      <w:r>
        <w:rPr>
          <w:lang w:val="en-US"/>
        </w:rPr>
        <w:t>’</w:t>
      </w:r>
      <w:r w:rsidRPr="005A4949">
        <w:rPr>
          <w:lang w:val="en-US"/>
        </w:rPr>
        <w:t xml:space="preserve">  Mt. 2:</w:t>
      </w:r>
      <w:r>
        <w:rPr>
          <w:lang w:val="en-US"/>
        </w:rPr>
        <w:t>14-</w:t>
      </w:r>
      <w:r w:rsidRPr="005A4949">
        <w:rPr>
          <w:lang w:val="en-US"/>
        </w:rPr>
        <w:t xml:space="preserve">15, </w:t>
      </w:r>
      <w:r w:rsidRPr="005A4949">
        <w:rPr>
          <w:i/>
          <w:lang w:val="en-US"/>
        </w:rPr>
        <w:t>KJV</w:t>
      </w:r>
      <w:r w:rsidRPr="005A4949">
        <w:rPr>
          <w:lang w:val="en-US"/>
        </w:rPr>
        <w:t>.</w:t>
      </w:r>
    </w:p>
  </w:footnote>
  <w:footnote w:id="31">
    <w:p w:rsidR="00975183" w:rsidRPr="005A4949" w:rsidRDefault="00975183" w:rsidP="00442D33">
      <w:pPr>
        <w:pStyle w:val="FootnoteText"/>
        <w:rPr>
          <w:rFonts w:ascii="Perpetua" w:hAnsi="Perpetua"/>
        </w:rPr>
      </w:pPr>
      <w:r w:rsidRPr="005A4949">
        <w:rPr>
          <w:rStyle w:val="FootnoteReference"/>
          <w:rFonts w:ascii="Perpetua" w:hAnsi="Perpetua"/>
        </w:rPr>
        <w:footnoteRef/>
      </w:r>
      <w:r w:rsidRPr="005A4949">
        <w:rPr>
          <w:rFonts w:ascii="Perpetua" w:hAnsi="Perpetua"/>
        </w:rPr>
        <w:t xml:space="preserve"> ‘</w:t>
      </w:r>
      <w:r w:rsidRPr="005A4949">
        <w:rPr>
          <w:rFonts w:ascii="Perpetua" w:eastAsiaTheme="minorHAnsi" w:hAnsi="Perpetua"/>
          <w:lang w:val="en-US"/>
        </w:rPr>
        <w:t xml:space="preserve">When Israel </w:t>
      </w:r>
      <w:r w:rsidRPr="005A4949">
        <w:rPr>
          <w:rFonts w:ascii="Perpetua" w:eastAsiaTheme="minorHAnsi" w:hAnsi="Perpetua"/>
          <w:i/>
          <w:iCs/>
          <w:lang w:val="en-US"/>
        </w:rPr>
        <w:t>was</w:t>
      </w:r>
      <w:r w:rsidRPr="005A4949">
        <w:rPr>
          <w:rFonts w:ascii="Perpetua" w:eastAsiaTheme="minorHAnsi" w:hAnsi="Perpetua"/>
          <w:lang w:val="en-US"/>
        </w:rPr>
        <w:t xml:space="preserve"> a child, then I loved him, and called my son out of Egypt.</w:t>
      </w:r>
      <w:r w:rsidRPr="005A4949">
        <w:rPr>
          <w:rFonts w:ascii="Perpetua" w:hAnsi="Perpetua"/>
        </w:rPr>
        <w:t xml:space="preserve">’  Hos. 11:1, </w:t>
      </w:r>
      <w:r w:rsidRPr="005A4949">
        <w:rPr>
          <w:rFonts w:ascii="Perpetua" w:hAnsi="Perpetua"/>
          <w:i/>
        </w:rPr>
        <w:t>KJV</w:t>
      </w:r>
      <w:r w:rsidRPr="005A4949">
        <w:rPr>
          <w:rFonts w:ascii="Perpetua" w:hAnsi="Perpetua"/>
        </w:rPr>
        <w:t>.</w:t>
      </w:r>
    </w:p>
  </w:footnote>
  <w:footnote w:id="32">
    <w:p w:rsidR="00975183" w:rsidRPr="00A00C7A" w:rsidRDefault="00975183" w:rsidP="00442D33">
      <w:pPr>
        <w:pStyle w:val="FootnoteText"/>
        <w:rPr>
          <w:rFonts w:ascii="Perpetua" w:hAnsi="Perpetua"/>
          <w:sz w:val="22"/>
        </w:rPr>
      </w:pPr>
      <w:r w:rsidRPr="00DD252A">
        <w:rPr>
          <w:rStyle w:val="FootnoteReference"/>
          <w:rFonts w:ascii="Perpetua" w:hAnsi="Perpetua"/>
        </w:rPr>
        <w:footnoteRef/>
      </w:r>
      <w:r w:rsidRPr="00DD252A">
        <w:rPr>
          <w:rFonts w:ascii="Perpetua" w:hAnsi="Perpetua"/>
        </w:rPr>
        <w:t xml:space="preserve"> </w:t>
      </w:r>
      <w:r>
        <w:rPr>
          <w:rFonts w:ascii="Perpetua" w:hAnsi="Perpetua"/>
          <w:sz w:val="22"/>
        </w:rPr>
        <w:t>‘</w:t>
      </w:r>
      <w:proofErr w:type="gramStart"/>
      <w:r w:rsidRPr="00DD252A">
        <w:rPr>
          <w:rFonts w:ascii="Times New Roman" w:hAnsi="Times New Roman"/>
          <w:szCs w:val="22"/>
          <w:lang w:val="el-GR" w:bidi="he-IL"/>
        </w:rPr>
        <w:t>οὐ</w:t>
      </w:r>
      <w:proofErr w:type="gramEnd"/>
      <w:r w:rsidRPr="00DD252A">
        <w:rPr>
          <w:rFonts w:ascii="Bwgrkl" w:hAnsi="Bwgrkl" w:cs="SBL Greek"/>
          <w:szCs w:val="22"/>
          <w:lang w:val="el-GR" w:bidi="he-IL"/>
        </w:rPr>
        <w:t xml:space="preserve"> </w:t>
      </w:r>
      <w:r w:rsidRPr="00DD252A">
        <w:rPr>
          <w:rFonts w:ascii="Times New Roman" w:hAnsi="Times New Roman"/>
          <w:szCs w:val="22"/>
          <w:lang w:val="el-GR" w:bidi="he-IL"/>
        </w:rPr>
        <w:t>κατὰ</w:t>
      </w:r>
      <w:r w:rsidRPr="00DD252A">
        <w:rPr>
          <w:rFonts w:ascii="Bwgrkl" w:hAnsi="Bwgrkl" w:cs="SBL Greek"/>
          <w:szCs w:val="22"/>
          <w:lang w:val="el-GR" w:bidi="he-IL"/>
        </w:rPr>
        <w:t xml:space="preserve"> </w:t>
      </w:r>
      <w:r w:rsidRPr="00DD252A">
        <w:rPr>
          <w:rFonts w:ascii="Times New Roman" w:hAnsi="Times New Roman"/>
          <w:szCs w:val="22"/>
          <w:lang w:val="el-GR" w:bidi="he-IL"/>
        </w:rPr>
        <w:t>τὴν</w:t>
      </w:r>
      <w:r w:rsidRPr="00DD252A">
        <w:rPr>
          <w:rFonts w:ascii="Bwgrkl" w:hAnsi="Bwgrkl" w:cs="SBL Greek"/>
          <w:szCs w:val="22"/>
          <w:lang w:val="el-GR" w:bidi="he-IL"/>
        </w:rPr>
        <w:t xml:space="preserve"> </w:t>
      </w:r>
      <w:r w:rsidRPr="00DD252A">
        <w:rPr>
          <w:rFonts w:ascii="Times New Roman" w:hAnsi="Times New Roman"/>
          <w:szCs w:val="22"/>
          <w:lang w:val="el-GR" w:bidi="he-IL"/>
        </w:rPr>
        <w:t>τάξιν</w:t>
      </w:r>
      <w:r w:rsidRPr="00DD252A">
        <w:rPr>
          <w:rFonts w:ascii="Bwgrkl" w:hAnsi="Bwgrkl" w:cs="SBL Greek"/>
          <w:szCs w:val="22"/>
          <w:lang w:val="el-GR" w:bidi="he-IL"/>
        </w:rPr>
        <w:t xml:space="preserve"> </w:t>
      </w:r>
      <w:r w:rsidRPr="00DD252A">
        <w:rPr>
          <w:rFonts w:ascii="Times New Roman" w:hAnsi="Times New Roman"/>
          <w:szCs w:val="22"/>
          <w:lang w:val="el-GR" w:bidi="he-IL"/>
        </w:rPr>
        <w:t>Ἀαρὼν</w:t>
      </w:r>
      <w:r w:rsidRPr="00DD252A">
        <w:rPr>
          <w:rFonts w:ascii="Bwgrkl" w:hAnsi="Bwgrkl" w:cs="SBL Greek"/>
          <w:szCs w:val="22"/>
          <w:lang w:val="el-GR" w:bidi="he-IL"/>
        </w:rPr>
        <w:t xml:space="preserve"> </w:t>
      </w:r>
      <w:r w:rsidRPr="00DD252A">
        <w:rPr>
          <w:rFonts w:ascii="Times New Roman" w:hAnsi="Times New Roman"/>
          <w:szCs w:val="22"/>
          <w:lang w:val="el-GR" w:bidi="he-IL"/>
        </w:rPr>
        <w:t>λέγεσθαι</w:t>
      </w:r>
      <w:r>
        <w:rPr>
          <w:rFonts w:ascii="Perpetua" w:hAnsi="Perpetua"/>
          <w:sz w:val="22"/>
        </w:rPr>
        <w:t xml:space="preserve">’  </w:t>
      </w:r>
      <w:r w:rsidRPr="00DD252A">
        <w:rPr>
          <w:rFonts w:ascii="Perpetua" w:hAnsi="Perpetua"/>
        </w:rPr>
        <w:t>Heb. 7:11.</w:t>
      </w:r>
    </w:p>
  </w:footnote>
  <w:footnote w:id="33">
    <w:p w:rsidR="00975183" w:rsidRPr="00DD252A" w:rsidRDefault="00975183" w:rsidP="00442D33">
      <w:pPr>
        <w:pStyle w:val="FootnoteText"/>
        <w:rPr>
          <w:rFonts w:ascii="Perpetua" w:hAnsi="Perpetua"/>
          <w:b/>
        </w:rPr>
      </w:pPr>
      <w:r w:rsidRPr="00DD252A">
        <w:rPr>
          <w:rStyle w:val="FootnoteReference"/>
          <w:rFonts w:ascii="Perpetua" w:hAnsi="Perpetua"/>
        </w:rPr>
        <w:footnoteRef/>
      </w:r>
      <w:r w:rsidRPr="00DD252A">
        <w:rPr>
          <w:rFonts w:ascii="Perpetua" w:hAnsi="Perpetua"/>
        </w:rPr>
        <w:t xml:space="preserve"> ‘</w:t>
      </w:r>
      <w:r w:rsidRPr="00DD252A">
        <w:rPr>
          <w:rFonts w:ascii="Perpetua" w:eastAsiaTheme="minorHAnsi" w:hAnsi="Perpetua"/>
          <w:lang w:val="en-US"/>
        </w:rPr>
        <w:t>The LORD thy God will raise up unto thee a Prophet from the midst of thee, of thy brethren, like unto me; unto him ye shall hearken;</w:t>
      </w:r>
      <w:r w:rsidRPr="00DD252A">
        <w:rPr>
          <w:rFonts w:ascii="Perpetua" w:hAnsi="Perpetua"/>
        </w:rPr>
        <w:t xml:space="preserve">’  Deut. 18:15, </w:t>
      </w:r>
      <w:r w:rsidRPr="00DD252A">
        <w:rPr>
          <w:rFonts w:ascii="Perpetua" w:hAnsi="Perpetua"/>
          <w:i/>
        </w:rPr>
        <w:t>KJV</w:t>
      </w:r>
      <w:r w:rsidRPr="00DD252A">
        <w:rPr>
          <w:rFonts w:ascii="Perpetua" w:hAnsi="Perpetua"/>
        </w:rPr>
        <w:t xml:space="preserve">.  </w:t>
      </w:r>
    </w:p>
  </w:footnote>
  <w:footnote w:id="34">
    <w:p w:rsidR="00975183" w:rsidRDefault="00975183" w:rsidP="00442D33">
      <w:pPr>
        <w:pStyle w:val="FootnoteText"/>
        <w:rPr>
          <w:rFonts w:ascii="Perpetua" w:hAnsi="Perpetua"/>
        </w:rPr>
      </w:pPr>
      <w:r w:rsidRPr="00DD252A">
        <w:rPr>
          <w:rStyle w:val="FootnoteReference"/>
          <w:rFonts w:ascii="Perpetua" w:hAnsi="Perpetua"/>
        </w:rPr>
        <w:footnoteRef/>
      </w:r>
      <w:r w:rsidRPr="00DD252A">
        <w:rPr>
          <w:rFonts w:ascii="Perpetua" w:hAnsi="Perpetua"/>
        </w:rPr>
        <w:t xml:space="preserve"> ‘</w:t>
      </w:r>
      <w:r w:rsidRPr="00DD252A">
        <w:rPr>
          <w:rFonts w:ascii="Perpetua" w:hAnsi="Perpetua"/>
          <w:lang w:val="en-US"/>
        </w:rPr>
        <w:t xml:space="preserve">And he was king in Jeshurun, when the heads of the people </w:t>
      </w:r>
      <w:r w:rsidRPr="00DD252A">
        <w:rPr>
          <w:rFonts w:ascii="Perpetua" w:hAnsi="Perpetua"/>
          <w:i/>
          <w:iCs/>
          <w:lang w:val="en-US"/>
        </w:rPr>
        <w:t>and</w:t>
      </w:r>
      <w:r w:rsidRPr="00DD252A">
        <w:rPr>
          <w:rFonts w:ascii="Perpetua" w:hAnsi="Perpetua"/>
          <w:lang w:val="en-US"/>
        </w:rPr>
        <w:t xml:space="preserve"> the tribes of Israel were gathered together.</w:t>
      </w:r>
      <w:r w:rsidRPr="00DD252A">
        <w:rPr>
          <w:rFonts w:ascii="Perpetua" w:hAnsi="Perpetua"/>
        </w:rPr>
        <w:t xml:space="preserve">’ </w:t>
      </w:r>
    </w:p>
    <w:p w:rsidR="00975183" w:rsidRPr="00DD252A" w:rsidRDefault="00975183" w:rsidP="00442D33">
      <w:pPr>
        <w:pStyle w:val="FootnoteText"/>
        <w:rPr>
          <w:rFonts w:ascii="Perpetua" w:hAnsi="Perpetua"/>
        </w:rPr>
      </w:pPr>
      <w:r w:rsidRPr="00DD252A">
        <w:rPr>
          <w:rFonts w:ascii="Perpetua" w:hAnsi="Perpetua"/>
        </w:rPr>
        <w:t xml:space="preserve">Deut. 33:5, </w:t>
      </w:r>
      <w:r w:rsidRPr="00DD252A">
        <w:rPr>
          <w:rFonts w:ascii="Perpetua" w:hAnsi="Perpetua"/>
          <w:i/>
        </w:rPr>
        <w:t>KJV</w:t>
      </w:r>
      <w:r w:rsidRPr="00DD252A">
        <w:rPr>
          <w:rFonts w:ascii="Perpetua" w:hAnsi="Perpetua"/>
        </w:rPr>
        <w:t>.</w:t>
      </w:r>
    </w:p>
  </w:footnote>
  <w:footnote w:id="35">
    <w:p w:rsidR="00975183" w:rsidRPr="00DD252A" w:rsidRDefault="00975183" w:rsidP="00442D33">
      <w:pPr>
        <w:pStyle w:val="FootnoteText"/>
        <w:rPr>
          <w:rFonts w:ascii="Perpetua" w:hAnsi="Perpetua"/>
        </w:rPr>
      </w:pPr>
      <w:r w:rsidRPr="00DD252A">
        <w:rPr>
          <w:rStyle w:val="FootnoteReference"/>
          <w:rFonts w:ascii="Perpetua" w:hAnsi="Perpetua"/>
        </w:rPr>
        <w:footnoteRef/>
      </w:r>
      <w:r w:rsidRPr="00DD252A">
        <w:rPr>
          <w:rFonts w:ascii="Perpetua" w:hAnsi="Perpetua"/>
        </w:rPr>
        <w:t xml:space="preserve"> ‘Christ our passover is sacrificed for us.’  1 Cor. 5:7, </w:t>
      </w:r>
      <w:r w:rsidRPr="00DD252A">
        <w:rPr>
          <w:rFonts w:ascii="Perpetua" w:hAnsi="Perpetua"/>
          <w:i/>
        </w:rPr>
        <w:t>KJV</w:t>
      </w:r>
      <w:r w:rsidRPr="00DD252A">
        <w:rPr>
          <w:rFonts w:ascii="Perpetua" w:hAnsi="Perpetua"/>
        </w:rPr>
        <w:t>.</w:t>
      </w:r>
    </w:p>
  </w:footnote>
  <w:footnote w:id="36">
    <w:p w:rsidR="00975183" w:rsidRPr="00DD252A" w:rsidRDefault="00975183" w:rsidP="00442D33">
      <w:pPr>
        <w:pStyle w:val="FootnoteText"/>
        <w:rPr>
          <w:rFonts w:ascii="Perpetua" w:hAnsi="Perpetua"/>
        </w:rPr>
      </w:pPr>
      <w:r w:rsidRPr="00DD252A">
        <w:rPr>
          <w:rStyle w:val="FootnoteReference"/>
          <w:rFonts w:ascii="Perpetua" w:hAnsi="Perpetua"/>
        </w:rPr>
        <w:footnoteRef/>
      </w:r>
      <w:r w:rsidRPr="00DD252A">
        <w:rPr>
          <w:rFonts w:ascii="Perpetua" w:hAnsi="Perpetua"/>
        </w:rPr>
        <w:t xml:space="preserve"> </w:t>
      </w:r>
      <w:proofErr w:type="gramStart"/>
      <w:r w:rsidRPr="00DD252A">
        <w:rPr>
          <w:rFonts w:ascii="Perpetua" w:hAnsi="Perpetua"/>
        </w:rPr>
        <w:t>Ref. Rev. 19:19-21.</w:t>
      </w:r>
      <w:proofErr w:type="gramEnd"/>
      <w:r w:rsidRPr="00DD252A">
        <w:rPr>
          <w:rFonts w:ascii="Perpetua" w:hAnsi="Perpetua"/>
        </w:rPr>
        <w:t xml:space="preserve">  These verses describe the defeat and destruction of the beast and false prophet.</w:t>
      </w:r>
    </w:p>
  </w:footnote>
  <w:footnote w:id="37">
    <w:p w:rsidR="00975183" w:rsidRPr="00DD252A" w:rsidRDefault="00975183" w:rsidP="00442D33">
      <w:pPr>
        <w:pStyle w:val="FootnoteText"/>
        <w:rPr>
          <w:rFonts w:ascii="Perpetua" w:hAnsi="Perpetua"/>
        </w:rPr>
      </w:pPr>
      <w:r w:rsidRPr="00DD252A">
        <w:rPr>
          <w:rStyle w:val="FootnoteReference"/>
          <w:rFonts w:ascii="Perpetua" w:hAnsi="Perpetua"/>
        </w:rPr>
        <w:footnoteRef/>
      </w:r>
      <w:r w:rsidRPr="00DD252A">
        <w:rPr>
          <w:rFonts w:ascii="Perpetua" w:hAnsi="Perpetua"/>
        </w:rPr>
        <w:t xml:space="preserve"> </w:t>
      </w:r>
      <w:proofErr w:type="gramStart"/>
      <w:r w:rsidRPr="00DD252A">
        <w:rPr>
          <w:rFonts w:ascii="Perpetua" w:hAnsi="Perpetua"/>
        </w:rPr>
        <w:t>Without father, mother or genealogy.</w:t>
      </w:r>
      <w:proofErr w:type="gramEnd"/>
    </w:p>
  </w:footnote>
  <w:footnote w:id="38">
    <w:p w:rsidR="00975183" w:rsidRDefault="00975183">
      <w:pPr>
        <w:pStyle w:val="FootnoteText"/>
        <w:rPr>
          <w:rFonts w:ascii="Perpetua" w:hAnsi="Perpetua"/>
        </w:rPr>
      </w:pPr>
      <w:r w:rsidRPr="00593272">
        <w:rPr>
          <w:rStyle w:val="FootnoteReference"/>
          <w:rFonts w:ascii="Perpetua" w:hAnsi="Perpetua"/>
        </w:rPr>
        <w:footnoteRef/>
      </w:r>
      <w:r w:rsidRPr="00593272">
        <w:rPr>
          <w:rFonts w:ascii="Perpetua" w:hAnsi="Perpetua"/>
        </w:rPr>
        <w:t xml:space="preserve"> This section contains material from the author’s paper, ‘God’s Earthly People: C. I. Scofield and the Blessing of Israel’ in Michael J. Sandford (volume editor) </w:t>
      </w:r>
      <w:r w:rsidRPr="00593272">
        <w:rPr>
          <w:rFonts w:ascii="Perpetua" w:hAnsi="Perpetua"/>
          <w:i/>
        </w:rPr>
        <w:t>The Bible, Zionism and Palestine: The Bible’s Role in Conflict and Liberation in Israel-Palestine</w:t>
      </w:r>
      <w:r w:rsidRPr="00593272">
        <w:rPr>
          <w:rFonts w:ascii="Perpetua" w:hAnsi="Perpetua"/>
        </w:rPr>
        <w:t xml:space="preserve"> (Sean Durbin, Deane Galbraith, James E. Harding, Will Sweetman [series editors], Bible in Effect, </w:t>
      </w:r>
    </w:p>
    <w:p w:rsidR="00975183" w:rsidRPr="00593272" w:rsidRDefault="00975183">
      <w:pPr>
        <w:pStyle w:val="FootnoteText"/>
        <w:rPr>
          <w:rFonts w:ascii="Perpetua" w:hAnsi="Perpetua"/>
        </w:rPr>
      </w:pPr>
      <w:r w:rsidRPr="00593272">
        <w:rPr>
          <w:rFonts w:ascii="Perpetua" w:hAnsi="Perpetua"/>
        </w:rPr>
        <w:t>Vol. 1; Dunedin, New Zealand: Relegere Academic Press, 2016).</w:t>
      </w:r>
    </w:p>
  </w:footnote>
  <w:footnote w:id="39">
    <w:p w:rsidR="00975183" w:rsidRDefault="00975183" w:rsidP="00442D33">
      <w:pPr>
        <w:pStyle w:val="FootnoteText"/>
        <w:rPr>
          <w:rFonts w:ascii="Perpetua" w:hAnsi="Perpetua"/>
        </w:rPr>
      </w:pPr>
      <w:r w:rsidRPr="00001F4A">
        <w:rPr>
          <w:rStyle w:val="FootnoteReference"/>
          <w:rFonts w:ascii="Perpetua" w:hAnsi="Perpetua"/>
        </w:rPr>
        <w:footnoteRef/>
      </w:r>
      <w:r w:rsidRPr="00001F4A">
        <w:rPr>
          <w:rFonts w:ascii="Perpetua" w:hAnsi="Perpetua"/>
        </w:rPr>
        <w:t xml:space="preserve"> ‘</w:t>
      </w:r>
      <w:r w:rsidRPr="00001F4A">
        <w:rPr>
          <w:rFonts w:ascii="Perpetua" w:hAnsi="Perpetua"/>
          <w:lang w:val="en-US"/>
        </w:rPr>
        <w:t xml:space="preserve">Then goeth he, and taketh with himself seven other spirits more wicked than himself, and they enter in and dwell there: and the last </w:t>
      </w:r>
      <w:r w:rsidRPr="00001F4A">
        <w:rPr>
          <w:rFonts w:ascii="Perpetua" w:hAnsi="Perpetua"/>
          <w:i/>
          <w:iCs/>
          <w:lang w:val="en-US"/>
        </w:rPr>
        <w:t>state</w:t>
      </w:r>
      <w:r w:rsidRPr="00001F4A">
        <w:rPr>
          <w:rFonts w:ascii="Perpetua" w:hAnsi="Perpetua"/>
          <w:lang w:val="en-US"/>
        </w:rPr>
        <w:t xml:space="preserve"> of that man is worse than the first. Even so shall it be also unto this wicked generation.</w:t>
      </w:r>
      <w:r w:rsidRPr="00001F4A">
        <w:rPr>
          <w:rFonts w:ascii="Perpetua" w:hAnsi="Perpetua"/>
        </w:rPr>
        <w:t xml:space="preserve">’  </w:t>
      </w:r>
    </w:p>
    <w:p w:rsidR="00975183" w:rsidRPr="00001F4A" w:rsidRDefault="00975183" w:rsidP="00442D33">
      <w:pPr>
        <w:pStyle w:val="FootnoteText"/>
        <w:rPr>
          <w:rFonts w:ascii="Perpetua" w:hAnsi="Perpetua"/>
        </w:rPr>
      </w:pPr>
      <w:r w:rsidRPr="00001F4A">
        <w:rPr>
          <w:rFonts w:ascii="Perpetua" w:hAnsi="Perpetua"/>
        </w:rPr>
        <w:t xml:space="preserve">Mt. 12:45, </w:t>
      </w:r>
      <w:r w:rsidRPr="00001F4A">
        <w:rPr>
          <w:rFonts w:ascii="Perpetua" w:hAnsi="Perpetua"/>
          <w:i/>
        </w:rPr>
        <w:t>KJV</w:t>
      </w:r>
      <w:r w:rsidRPr="00001F4A">
        <w:rPr>
          <w:rFonts w:ascii="Perpetua" w:hAnsi="Perpetua"/>
        </w:rPr>
        <w:t>.</w:t>
      </w:r>
    </w:p>
  </w:footnote>
  <w:footnote w:id="40">
    <w:p w:rsidR="00975183" w:rsidRPr="00892C48" w:rsidRDefault="00975183" w:rsidP="00442D33">
      <w:pPr>
        <w:pStyle w:val="FootnoteText"/>
        <w:rPr>
          <w:rFonts w:ascii="Perpetua" w:hAnsi="Perpetua"/>
        </w:rPr>
      </w:pPr>
      <w:r w:rsidRPr="00892C48">
        <w:rPr>
          <w:rStyle w:val="FootnoteReference"/>
          <w:rFonts w:ascii="Perpetua" w:hAnsi="Perpetua"/>
        </w:rPr>
        <w:footnoteRef/>
      </w:r>
      <w:r w:rsidRPr="00892C48">
        <w:rPr>
          <w:rFonts w:ascii="Perpetua" w:hAnsi="Perpetua"/>
        </w:rPr>
        <w:t xml:space="preserve"> </w:t>
      </w:r>
      <w:r>
        <w:rPr>
          <w:rFonts w:ascii="Perpetua" w:hAnsi="Perpetua"/>
        </w:rPr>
        <w:t xml:space="preserve">‘And he said, Thy name shall be called no more Jacob, but Israel: for as a prince hast thou power with God and with men, and hast prevailed.’  Gen. 32:28, </w:t>
      </w:r>
      <w:r w:rsidRPr="00892C48">
        <w:rPr>
          <w:rFonts w:ascii="Perpetua" w:hAnsi="Perpetua"/>
          <w:i/>
        </w:rPr>
        <w:t>KJV</w:t>
      </w:r>
      <w:r>
        <w:rPr>
          <w:rFonts w:ascii="Perpetua" w:hAnsi="Perpetua"/>
        </w:rPr>
        <w:t>.</w:t>
      </w:r>
    </w:p>
  </w:footnote>
  <w:footnote w:id="41">
    <w:p w:rsidR="00975183" w:rsidRPr="007B79E5"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color w:val="000000"/>
        </w:rPr>
        <w:t>‘</w:t>
      </w:r>
      <w:r w:rsidRPr="007B79E5">
        <w:rPr>
          <w:rFonts w:ascii="Perpetua" w:hAnsi="Perpetua"/>
          <w:color w:val="000000"/>
          <w:lang w:val="en-US"/>
        </w:rPr>
        <w:t xml:space="preserve">And I will make thy seed as the dust of the earth: so that if a man can number the dust of the earth, </w:t>
      </w:r>
      <w:r w:rsidRPr="007B79E5">
        <w:rPr>
          <w:rFonts w:ascii="Perpetua" w:hAnsi="Perpetua"/>
          <w:iCs/>
          <w:color w:val="000000"/>
          <w:lang w:val="en-US"/>
        </w:rPr>
        <w:t>then</w:t>
      </w:r>
      <w:r w:rsidRPr="007B79E5">
        <w:rPr>
          <w:rFonts w:ascii="Perpetua" w:hAnsi="Perpetua"/>
          <w:color w:val="000000"/>
          <w:lang w:val="en-US"/>
        </w:rPr>
        <w:t xml:space="preserve"> shall thy seed also be numbered.’  Gen. 13:16, </w:t>
      </w:r>
      <w:r w:rsidRPr="00D24E53">
        <w:rPr>
          <w:rFonts w:ascii="Perpetua" w:hAnsi="Perpetua"/>
          <w:i/>
          <w:color w:val="000000"/>
          <w:lang w:val="en-US"/>
        </w:rPr>
        <w:t>KJV</w:t>
      </w:r>
      <w:r w:rsidRPr="007B79E5">
        <w:rPr>
          <w:rFonts w:ascii="Perpetua" w:hAnsi="Perpetua"/>
          <w:color w:val="000000"/>
          <w:lang w:val="en-US"/>
        </w:rPr>
        <w:t>.</w:t>
      </w:r>
    </w:p>
  </w:footnote>
  <w:footnote w:id="42">
    <w:p w:rsidR="00975183" w:rsidRPr="007B79E5"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lang w:val="en-US"/>
        </w:rPr>
        <w:t xml:space="preserve">And thy seed shall be as the </w:t>
      </w:r>
      <w:r w:rsidRPr="007B79E5">
        <w:rPr>
          <w:rFonts w:ascii="Perpetua" w:hAnsi="Perpetua"/>
          <w:color w:val="000000"/>
          <w:lang w:val="en-US"/>
        </w:rPr>
        <w:t xml:space="preserve">dust of the earth, and thou shalt spread abroad to the west, and to the east, and to the north, and to the south: and in thee and in thy seed shall all the families of the earth be blessed.’  Gen. 28:14, </w:t>
      </w:r>
      <w:r w:rsidRPr="007B79E5">
        <w:rPr>
          <w:rFonts w:ascii="Perpetua" w:hAnsi="Perpetua"/>
          <w:i/>
          <w:color w:val="000000"/>
          <w:lang w:val="en-US"/>
        </w:rPr>
        <w:t>KJV</w:t>
      </w:r>
      <w:r w:rsidRPr="007B79E5">
        <w:rPr>
          <w:rFonts w:ascii="Perpetua" w:hAnsi="Perpetua"/>
          <w:color w:val="000000"/>
          <w:lang w:val="en-US"/>
        </w:rPr>
        <w:t>.</w:t>
      </w:r>
    </w:p>
  </w:footnote>
  <w:footnote w:id="43">
    <w:p w:rsidR="00975183" w:rsidRPr="007B79E5"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lang w:val="en-US"/>
        </w:rPr>
        <w:t xml:space="preserve">And he brought him forth abroad, and said, </w:t>
      </w:r>
      <w:proofErr w:type="gramStart"/>
      <w:r w:rsidRPr="007B79E5">
        <w:rPr>
          <w:rFonts w:ascii="Perpetua" w:hAnsi="Perpetua"/>
          <w:lang w:val="en-US"/>
        </w:rPr>
        <w:t>Look</w:t>
      </w:r>
      <w:proofErr w:type="gramEnd"/>
      <w:r w:rsidRPr="007B79E5">
        <w:rPr>
          <w:rFonts w:ascii="Perpetua" w:hAnsi="Perpetua"/>
          <w:lang w:val="en-US"/>
        </w:rPr>
        <w:t xml:space="preserve"> now toward heaven, and tell the </w:t>
      </w:r>
      <w:r w:rsidRPr="007B79E5">
        <w:rPr>
          <w:rFonts w:ascii="Perpetua" w:hAnsi="Perpetua"/>
          <w:color w:val="000000"/>
          <w:lang w:val="en-US"/>
        </w:rPr>
        <w:t xml:space="preserve">stars, if thou be able to number them: and he said unto him, So shall thy seed be.’  Gen. 15:5, </w:t>
      </w:r>
      <w:r w:rsidRPr="007B79E5">
        <w:rPr>
          <w:rFonts w:ascii="Perpetua" w:hAnsi="Perpetua"/>
          <w:i/>
          <w:color w:val="000000"/>
          <w:lang w:val="en-US"/>
        </w:rPr>
        <w:t>KJV</w:t>
      </w:r>
      <w:r w:rsidRPr="007B79E5">
        <w:rPr>
          <w:rFonts w:ascii="Perpetua" w:hAnsi="Perpetua"/>
          <w:color w:val="000000"/>
          <w:lang w:val="en-US"/>
        </w:rPr>
        <w:t>.</w:t>
      </w:r>
    </w:p>
  </w:footnote>
  <w:footnote w:id="44">
    <w:p w:rsidR="00975183" w:rsidRPr="007B79E5"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lang w:val="en-US"/>
        </w:rPr>
        <w:t xml:space="preserve">And I will make thy seed to multiply as the </w:t>
      </w:r>
      <w:r w:rsidRPr="007B79E5">
        <w:rPr>
          <w:rFonts w:ascii="Perpetua" w:hAnsi="Perpetua"/>
          <w:color w:val="000000"/>
          <w:lang w:val="en-US"/>
        </w:rPr>
        <w:t xml:space="preserve">stars of heaven, and will give unto thy seed all these countries; and in thy seed shall all the nations of the earth be blessed.’ Gen. 26:4, </w:t>
      </w:r>
      <w:r w:rsidRPr="007B79E5">
        <w:rPr>
          <w:rFonts w:ascii="Perpetua" w:hAnsi="Perpetua"/>
          <w:i/>
          <w:color w:val="000000"/>
          <w:lang w:val="en-US"/>
        </w:rPr>
        <w:t>KJV</w:t>
      </w:r>
      <w:r w:rsidRPr="007B79E5">
        <w:rPr>
          <w:rFonts w:ascii="Perpetua" w:hAnsi="Perpetua"/>
          <w:color w:val="000000"/>
          <w:lang w:val="en-US"/>
        </w:rPr>
        <w:t>.</w:t>
      </w:r>
    </w:p>
  </w:footnote>
  <w:footnote w:id="45">
    <w:p w:rsidR="00975183" w:rsidRPr="007B79E5"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lang w:val="en-US"/>
        </w:rPr>
        <w:t xml:space="preserve">That in blessing I will bless thee, and in multiplying I will multiply thy seed as the </w:t>
      </w:r>
      <w:r w:rsidRPr="007B79E5">
        <w:rPr>
          <w:rFonts w:ascii="Perpetua" w:hAnsi="Perpetua"/>
          <w:color w:val="000000"/>
          <w:lang w:val="en-US"/>
        </w:rPr>
        <w:t xml:space="preserve">stars of the </w:t>
      </w:r>
      <w:proofErr w:type="gramStart"/>
      <w:r w:rsidRPr="007B79E5">
        <w:rPr>
          <w:rFonts w:ascii="Perpetua" w:hAnsi="Perpetua"/>
          <w:color w:val="000000"/>
          <w:lang w:val="en-US"/>
        </w:rPr>
        <w:t>heaven,</w:t>
      </w:r>
      <w:proofErr w:type="gramEnd"/>
      <w:r w:rsidRPr="007B79E5">
        <w:rPr>
          <w:rFonts w:ascii="Perpetua" w:hAnsi="Perpetua"/>
          <w:color w:val="000000"/>
          <w:lang w:val="en-US"/>
        </w:rPr>
        <w:t xml:space="preserve"> and as the sand which </w:t>
      </w:r>
      <w:r w:rsidRPr="007B79E5">
        <w:rPr>
          <w:rFonts w:ascii="Perpetua" w:hAnsi="Perpetua"/>
          <w:i/>
          <w:iCs/>
          <w:color w:val="000000"/>
          <w:lang w:val="en-US"/>
        </w:rPr>
        <w:t>is</w:t>
      </w:r>
      <w:r w:rsidRPr="007B79E5">
        <w:rPr>
          <w:rFonts w:ascii="Perpetua" w:hAnsi="Perpetua"/>
          <w:color w:val="000000"/>
          <w:lang w:val="en-US"/>
        </w:rPr>
        <w:t xml:space="preserve"> upon the sea shore; and thy seed shall possess the gate of his enemies.’ Gen. 22:17, </w:t>
      </w:r>
      <w:r w:rsidRPr="007B79E5">
        <w:rPr>
          <w:rFonts w:ascii="Perpetua" w:hAnsi="Perpetua"/>
          <w:i/>
          <w:color w:val="000000"/>
          <w:lang w:val="en-US"/>
        </w:rPr>
        <w:t>KJV</w:t>
      </w:r>
      <w:r w:rsidRPr="007B79E5">
        <w:rPr>
          <w:rFonts w:ascii="Perpetua" w:hAnsi="Perpetua"/>
          <w:color w:val="000000"/>
          <w:lang w:val="en-US"/>
        </w:rPr>
        <w:t>.</w:t>
      </w:r>
    </w:p>
  </w:footnote>
  <w:footnote w:id="46">
    <w:p w:rsidR="00975183" w:rsidRPr="007B79E5" w:rsidRDefault="00975183" w:rsidP="00442D33">
      <w:pPr>
        <w:pStyle w:val="EndnoteText"/>
        <w:rPr>
          <w:i/>
          <w:color w:val="000000"/>
          <w:lang w:val="en-US"/>
        </w:rPr>
      </w:pPr>
      <w:r w:rsidRPr="007B79E5">
        <w:rPr>
          <w:rStyle w:val="FootnoteReference"/>
        </w:rPr>
        <w:footnoteRef/>
      </w:r>
      <w:r w:rsidRPr="007B79E5">
        <w:t xml:space="preserve"> ‘</w:t>
      </w:r>
      <w:r w:rsidRPr="007B79E5">
        <w:rPr>
          <w:lang w:val="en-US"/>
        </w:rPr>
        <w:t xml:space="preserve">Remember Abraham, Isaac, and Israel, thy servants, to whom thou swarest by thine own self, and saidst unto them, I will multiply your seed as the </w:t>
      </w:r>
      <w:r w:rsidRPr="007B79E5">
        <w:rPr>
          <w:color w:val="000000"/>
          <w:lang w:val="en-US"/>
        </w:rPr>
        <w:t xml:space="preserve">stars of heaven, and all this land that I have spoken of will I give unto your seed, and they shall inherit </w:t>
      </w:r>
      <w:r w:rsidRPr="007B79E5">
        <w:rPr>
          <w:i/>
          <w:iCs/>
          <w:color w:val="000000"/>
          <w:lang w:val="en-US"/>
        </w:rPr>
        <w:t>it</w:t>
      </w:r>
      <w:r w:rsidRPr="007B79E5">
        <w:rPr>
          <w:color w:val="000000"/>
          <w:lang w:val="en-US"/>
        </w:rPr>
        <w:t xml:space="preserve"> for ever.’  Exod. 32:12, </w:t>
      </w:r>
      <w:r w:rsidRPr="007B79E5">
        <w:rPr>
          <w:i/>
          <w:color w:val="000000"/>
          <w:lang w:val="en-US"/>
        </w:rPr>
        <w:t>KJV.</w:t>
      </w:r>
    </w:p>
    <w:p w:rsidR="00975183" w:rsidRPr="00722DF2" w:rsidRDefault="00975183" w:rsidP="00442D33">
      <w:pPr>
        <w:autoSpaceDE w:val="0"/>
        <w:autoSpaceDN w:val="0"/>
        <w:adjustRightInd w:val="0"/>
        <w:spacing w:after="0" w:line="240" w:lineRule="auto"/>
        <w:rPr>
          <w:color w:val="000000"/>
          <w:sz w:val="20"/>
          <w:lang w:val="en-US"/>
        </w:rPr>
      </w:pPr>
      <w:r w:rsidRPr="00722DF2">
        <w:rPr>
          <w:color w:val="000000"/>
          <w:sz w:val="20"/>
          <w:lang w:val="en-US"/>
        </w:rPr>
        <w:t>‘</w:t>
      </w:r>
      <w:r w:rsidRPr="00722DF2">
        <w:rPr>
          <w:sz w:val="20"/>
          <w:lang w:val="en-US"/>
        </w:rPr>
        <w:t xml:space="preserve">Thy fathers went down into Egypt with threescore and ten persons; and now the LORD thy God hath made thee as the </w:t>
      </w:r>
      <w:r w:rsidRPr="00722DF2">
        <w:rPr>
          <w:color w:val="000000"/>
          <w:sz w:val="20"/>
          <w:lang w:val="en-US"/>
        </w:rPr>
        <w:t xml:space="preserve">stars of heaven for multitude.’ Deut. 10:22, </w:t>
      </w:r>
      <w:r w:rsidRPr="00722DF2">
        <w:rPr>
          <w:i/>
          <w:color w:val="000000"/>
          <w:sz w:val="20"/>
          <w:lang w:val="en-US"/>
        </w:rPr>
        <w:t>KJV</w:t>
      </w:r>
      <w:r w:rsidRPr="00722DF2">
        <w:rPr>
          <w:color w:val="000000"/>
          <w:sz w:val="20"/>
          <w:lang w:val="en-US"/>
        </w:rPr>
        <w:t>.</w:t>
      </w:r>
    </w:p>
    <w:p w:rsidR="00975183" w:rsidRPr="00722DF2" w:rsidRDefault="00975183" w:rsidP="00442D33">
      <w:pPr>
        <w:autoSpaceDE w:val="0"/>
        <w:autoSpaceDN w:val="0"/>
        <w:adjustRightInd w:val="0"/>
        <w:spacing w:after="0" w:line="240" w:lineRule="auto"/>
        <w:rPr>
          <w:color w:val="000000"/>
          <w:sz w:val="20"/>
          <w:lang w:val="en-US"/>
        </w:rPr>
      </w:pPr>
      <w:r w:rsidRPr="007B79E5">
        <w:rPr>
          <w:color w:val="000000"/>
          <w:lang w:val="en-US"/>
        </w:rPr>
        <w:t>‘</w:t>
      </w:r>
      <w:r w:rsidRPr="00722DF2">
        <w:rPr>
          <w:sz w:val="20"/>
          <w:lang w:val="en-US"/>
        </w:rPr>
        <w:t xml:space="preserve">And ye shall be left few in number, whereas ye were as the </w:t>
      </w:r>
      <w:r w:rsidRPr="00722DF2">
        <w:rPr>
          <w:color w:val="000000"/>
          <w:sz w:val="20"/>
          <w:lang w:val="en-US"/>
        </w:rPr>
        <w:t xml:space="preserve">stars of heaven for multitude; because thou wouldest not obey the voice of the LORD thy God.’  Deut. 28:62, </w:t>
      </w:r>
      <w:r w:rsidRPr="00722DF2">
        <w:rPr>
          <w:i/>
          <w:color w:val="000000"/>
          <w:sz w:val="20"/>
          <w:lang w:val="en-US"/>
        </w:rPr>
        <w:t>KJV</w:t>
      </w:r>
      <w:r w:rsidRPr="00722DF2">
        <w:rPr>
          <w:color w:val="000000"/>
          <w:sz w:val="20"/>
          <w:lang w:val="en-US"/>
        </w:rPr>
        <w:t>.</w:t>
      </w:r>
    </w:p>
    <w:p w:rsidR="00975183" w:rsidRPr="007B79E5" w:rsidRDefault="00975183" w:rsidP="00442D33">
      <w:pPr>
        <w:pStyle w:val="FootnoteText"/>
        <w:rPr>
          <w:rFonts w:ascii="Perpetua" w:hAnsi="Perpetua"/>
        </w:rPr>
      </w:pPr>
      <w:r w:rsidRPr="007B79E5">
        <w:rPr>
          <w:rFonts w:ascii="Perpetua" w:hAnsi="Perpetua"/>
          <w:lang w:val="en-US"/>
        </w:rPr>
        <w:t xml:space="preserve">‘Their children also multipliedst thou as the </w:t>
      </w:r>
      <w:r w:rsidRPr="007B79E5">
        <w:rPr>
          <w:rFonts w:ascii="Perpetua" w:hAnsi="Perpetua"/>
          <w:color w:val="000000"/>
          <w:lang w:val="en-US"/>
        </w:rPr>
        <w:t xml:space="preserve">stars of heaven, and broughtest them into the land, concerning which thou hadst promised to their fathers, that they should go in to possess </w:t>
      </w:r>
      <w:r w:rsidRPr="007B79E5">
        <w:rPr>
          <w:rFonts w:ascii="Perpetua" w:hAnsi="Perpetua"/>
          <w:i/>
          <w:iCs/>
          <w:color w:val="000000"/>
          <w:lang w:val="en-US"/>
        </w:rPr>
        <w:t>it.</w:t>
      </w:r>
      <w:r w:rsidRPr="007B79E5">
        <w:rPr>
          <w:rFonts w:ascii="Perpetua" w:hAnsi="Perpetua"/>
          <w:iCs/>
          <w:color w:val="000000"/>
          <w:lang w:val="en-US"/>
        </w:rPr>
        <w:t>’</w:t>
      </w:r>
      <w:r w:rsidRPr="007B79E5">
        <w:rPr>
          <w:rFonts w:ascii="Perpetua" w:hAnsi="Perpetua"/>
          <w:i/>
          <w:iCs/>
          <w:color w:val="000000"/>
          <w:lang w:val="en-US"/>
        </w:rPr>
        <w:t xml:space="preserve">  </w:t>
      </w:r>
      <w:r w:rsidRPr="007B79E5">
        <w:rPr>
          <w:rFonts w:ascii="Perpetua" w:hAnsi="Perpetua"/>
          <w:iCs/>
          <w:color w:val="000000"/>
          <w:lang w:val="en-US"/>
        </w:rPr>
        <w:t>Neh. 9:23</w:t>
      </w:r>
      <w:r w:rsidRPr="007B79E5">
        <w:rPr>
          <w:rFonts w:ascii="Perpetua" w:hAnsi="Perpetua"/>
          <w:i/>
          <w:iCs/>
          <w:color w:val="000000"/>
          <w:lang w:val="en-US"/>
        </w:rPr>
        <w:t>, KJV.</w:t>
      </w:r>
    </w:p>
  </w:footnote>
  <w:footnote w:id="47">
    <w:p w:rsidR="00975183" w:rsidRPr="00A23721" w:rsidRDefault="00975183" w:rsidP="00442D33">
      <w:pPr>
        <w:pStyle w:val="FootnoteText"/>
        <w:rPr>
          <w:rFonts w:ascii="Perpetua" w:hAnsi="Perpetua"/>
        </w:rPr>
      </w:pPr>
      <w:r w:rsidRPr="007B79E5">
        <w:rPr>
          <w:rStyle w:val="FootnoteReference"/>
          <w:rFonts w:ascii="Perpetua" w:hAnsi="Perpetua"/>
        </w:rPr>
        <w:footnoteRef/>
      </w:r>
      <w:r w:rsidRPr="007B79E5">
        <w:rPr>
          <w:rFonts w:ascii="Perpetua" w:hAnsi="Perpetua"/>
        </w:rPr>
        <w:t xml:space="preserve"> ‘</w:t>
      </w:r>
      <w:r w:rsidRPr="007B79E5">
        <w:rPr>
          <w:rFonts w:ascii="Perpetua" w:hAnsi="Perpetua"/>
          <w:lang w:val="en-US"/>
        </w:rPr>
        <w:t xml:space="preserve">But David took not the number of them from twenty years old and under: because the LORD had said he would increase Israel like to the </w:t>
      </w:r>
      <w:r w:rsidRPr="00A23721">
        <w:rPr>
          <w:rFonts w:ascii="Perpetua" w:hAnsi="Perpetua"/>
          <w:lang w:val="en-US"/>
        </w:rPr>
        <w:t xml:space="preserve">stars of the heavens.’  1 Chron. 27:23, </w:t>
      </w:r>
      <w:r w:rsidRPr="00A23721">
        <w:rPr>
          <w:rFonts w:ascii="Perpetua" w:hAnsi="Perpetua"/>
          <w:i/>
          <w:lang w:val="en-US"/>
        </w:rPr>
        <w:t>KJV</w:t>
      </w:r>
      <w:r w:rsidRPr="00A23721">
        <w:rPr>
          <w:rFonts w:ascii="Perpetua" w:hAnsi="Perpetua"/>
          <w:lang w:val="en-US"/>
        </w:rPr>
        <w:t>.</w:t>
      </w:r>
    </w:p>
  </w:footnote>
  <w:footnote w:id="48">
    <w:p w:rsidR="00975183" w:rsidRPr="007B79E5" w:rsidRDefault="00975183" w:rsidP="00442D33">
      <w:pPr>
        <w:pStyle w:val="EndnoteText"/>
      </w:pPr>
      <w:r w:rsidRPr="007B79E5">
        <w:rPr>
          <w:rStyle w:val="FootnoteReference"/>
        </w:rPr>
        <w:footnoteRef/>
      </w:r>
      <w:r w:rsidRPr="007B79E5">
        <w:t xml:space="preserve"> ‘</w:t>
      </w:r>
      <w:r w:rsidRPr="007B79E5">
        <w:rPr>
          <w:lang w:val="en-US"/>
        </w:rPr>
        <w:t xml:space="preserve">And other sheep I have, which are not of this fold: them also I must bring, and they shall hear my voice; and there shall be one fold, </w:t>
      </w:r>
      <w:r w:rsidRPr="007B79E5">
        <w:rPr>
          <w:i/>
          <w:iCs/>
          <w:lang w:val="en-US"/>
        </w:rPr>
        <w:t>and</w:t>
      </w:r>
      <w:r w:rsidRPr="007B79E5">
        <w:rPr>
          <w:lang w:val="en-US"/>
        </w:rPr>
        <w:t xml:space="preserve"> one shepherd.</w:t>
      </w:r>
      <w:r w:rsidRPr="007B79E5">
        <w:t xml:space="preserve">’  Jn 10:16, </w:t>
      </w:r>
      <w:r w:rsidRPr="007B79E5">
        <w:rPr>
          <w:i/>
        </w:rPr>
        <w:t>KJV</w:t>
      </w:r>
      <w:r w:rsidRPr="007B79E5">
        <w:t>.</w:t>
      </w:r>
    </w:p>
    <w:p w:rsidR="00975183" w:rsidRDefault="00975183" w:rsidP="00442D33">
      <w:pPr>
        <w:pStyle w:val="FootnoteText"/>
        <w:rPr>
          <w:rFonts w:ascii="Perpetua" w:hAnsi="Perpetua"/>
        </w:rPr>
      </w:pPr>
      <w:r w:rsidRPr="007B79E5">
        <w:rPr>
          <w:rFonts w:ascii="Perpetua" w:hAnsi="Perpetua"/>
        </w:rPr>
        <w:t>‘</w:t>
      </w:r>
      <w:r w:rsidRPr="007B79E5">
        <w:rPr>
          <w:rFonts w:ascii="Perpetua" w:hAnsi="Perpetua"/>
          <w:lang w:val="en-US"/>
        </w:rPr>
        <w:t xml:space="preserve">For if thou wert cut out of the olive tree which is wild by nature, and wert grafted contrary to nature into a good olive tree: how much more shall these, which be the natural </w:t>
      </w:r>
      <w:r w:rsidRPr="007B79E5">
        <w:rPr>
          <w:rFonts w:ascii="Perpetua" w:hAnsi="Perpetua"/>
          <w:i/>
          <w:iCs/>
          <w:lang w:val="en-US"/>
        </w:rPr>
        <w:t>branches,</w:t>
      </w:r>
      <w:r w:rsidRPr="007B79E5">
        <w:rPr>
          <w:rFonts w:ascii="Perpetua" w:hAnsi="Perpetua"/>
          <w:lang w:val="en-US"/>
        </w:rPr>
        <w:t xml:space="preserve"> be grafted into their own olive tree?</w:t>
      </w:r>
      <w:r w:rsidRPr="007B79E5">
        <w:rPr>
          <w:rFonts w:ascii="Perpetua" w:hAnsi="Perpetua"/>
        </w:rPr>
        <w:t xml:space="preserve">’  </w:t>
      </w:r>
    </w:p>
    <w:p w:rsidR="00975183" w:rsidRPr="007B79E5" w:rsidRDefault="00975183" w:rsidP="00442D33">
      <w:pPr>
        <w:pStyle w:val="FootnoteText"/>
        <w:rPr>
          <w:rFonts w:ascii="Perpetua" w:hAnsi="Perpetua"/>
        </w:rPr>
      </w:pPr>
      <w:r w:rsidRPr="007B79E5">
        <w:rPr>
          <w:rFonts w:ascii="Perpetua" w:hAnsi="Perpetua"/>
        </w:rPr>
        <w:t xml:space="preserve">Rom. 11:24, </w:t>
      </w:r>
      <w:r w:rsidRPr="007B79E5">
        <w:rPr>
          <w:rFonts w:ascii="Perpetua" w:hAnsi="Perpetua"/>
          <w:i/>
        </w:rPr>
        <w:t>KJV</w:t>
      </w:r>
      <w:r w:rsidRPr="007B79E5">
        <w:rPr>
          <w:rFonts w:ascii="Perpetua" w:hAnsi="Perpetua"/>
        </w:rPr>
        <w:t>.</w:t>
      </w:r>
    </w:p>
  </w:footnote>
  <w:footnote w:id="49">
    <w:p w:rsidR="00975183" w:rsidRPr="007B79E5" w:rsidRDefault="00975183" w:rsidP="00442D33">
      <w:pPr>
        <w:pStyle w:val="FootnoteText"/>
        <w:rPr>
          <w:rFonts w:ascii="Perpetua" w:hAnsi="Perpetua"/>
          <w:szCs w:val="18"/>
        </w:rPr>
      </w:pPr>
      <w:r w:rsidRPr="007B79E5">
        <w:rPr>
          <w:rStyle w:val="FootnoteReference"/>
          <w:rFonts w:ascii="Perpetua" w:hAnsi="Perpetua"/>
          <w:szCs w:val="18"/>
        </w:rPr>
        <w:footnoteRef/>
      </w:r>
      <w:r w:rsidRPr="007B79E5">
        <w:rPr>
          <w:rFonts w:ascii="Perpetua" w:hAnsi="Perpetua"/>
          <w:szCs w:val="18"/>
        </w:rPr>
        <w:t xml:space="preserve"> Rom. 10:4.  </w:t>
      </w:r>
    </w:p>
  </w:footnote>
  <w:footnote w:id="50">
    <w:p w:rsidR="00975183" w:rsidRPr="007B79E5" w:rsidRDefault="00975183" w:rsidP="00442D33">
      <w:pPr>
        <w:pStyle w:val="EndnoteText"/>
        <w:rPr>
          <w:szCs w:val="18"/>
        </w:rPr>
      </w:pPr>
      <w:r w:rsidRPr="007B79E5">
        <w:rPr>
          <w:rStyle w:val="FootnoteReference"/>
          <w:szCs w:val="18"/>
        </w:rPr>
        <w:footnoteRef/>
      </w:r>
      <w:r w:rsidRPr="007B79E5">
        <w:rPr>
          <w:szCs w:val="18"/>
        </w:rPr>
        <w:t xml:space="preserve"> </w:t>
      </w:r>
      <w:proofErr w:type="gramStart"/>
      <w:r w:rsidRPr="007B79E5">
        <w:rPr>
          <w:szCs w:val="18"/>
        </w:rPr>
        <w:t>‘</w:t>
      </w:r>
      <w:r w:rsidRPr="007B79E5">
        <w:rPr>
          <w:szCs w:val="18"/>
          <w:lang w:val="en-US" w:bidi="he-IL"/>
        </w:rPr>
        <w:t xml:space="preserve">The beginning of the gospel of Jesus Christ, the Son of God;’ Mk 1:1, </w:t>
      </w:r>
      <w:r w:rsidRPr="007B79E5">
        <w:rPr>
          <w:i/>
          <w:szCs w:val="18"/>
          <w:lang w:val="en-US" w:bidi="he-IL"/>
        </w:rPr>
        <w:t>KJV</w:t>
      </w:r>
      <w:r w:rsidRPr="007B79E5">
        <w:rPr>
          <w:szCs w:val="18"/>
          <w:lang w:val="en-US" w:bidi="he-IL"/>
        </w:rPr>
        <w:t>.</w:t>
      </w:r>
      <w:proofErr w:type="gramEnd"/>
      <w:r w:rsidRPr="007B79E5">
        <w:rPr>
          <w:szCs w:val="18"/>
          <w:lang w:val="en-US" w:bidi="he-IL"/>
        </w:rPr>
        <w:t xml:space="preserve">  </w:t>
      </w:r>
    </w:p>
  </w:footnote>
  <w:footnote w:id="51">
    <w:p w:rsidR="00975183" w:rsidRPr="00DA01AD" w:rsidRDefault="00975183" w:rsidP="00442D33">
      <w:pPr>
        <w:pStyle w:val="FootnoteText"/>
        <w:rPr>
          <w:sz w:val="18"/>
          <w:lang w:val="en-US"/>
        </w:rPr>
      </w:pPr>
      <w:r w:rsidRPr="00DA01AD">
        <w:rPr>
          <w:rStyle w:val="FootnoteReference"/>
          <w:rFonts w:ascii="Perpetua" w:hAnsi="Perpetua"/>
        </w:rPr>
        <w:footnoteRef/>
      </w:r>
      <w:r w:rsidRPr="00DA01AD">
        <w:rPr>
          <w:rFonts w:ascii="Perpetua" w:hAnsi="Perpetua"/>
        </w:rPr>
        <w:t xml:space="preserve"> </w:t>
      </w:r>
      <w:r w:rsidRPr="00DA01AD">
        <w:rPr>
          <w:sz w:val="18"/>
          <w:lang w:val="en-US"/>
        </w:rPr>
        <w:t>‘</w:t>
      </w:r>
      <w:r w:rsidRPr="00DA01AD">
        <w:rPr>
          <w:rFonts w:ascii="Times New Roman" w:hAnsi="Times New Roman"/>
          <w:i/>
          <w:sz w:val="18"/>
          <w:lang w:val="el-GR" w:bidi="he-IL"/>
        </w:rPr>
        <w:t>εἰς</w:t>
      </w:r>
      <w:r w:rsidRPr="00DA01AD">
        <w:rPr>
          <w:rFonts w:ascii="Bwgrkl" w:hAnsi="Bwgrkl" w:cs="SBL Greek"/>
          <w:i/>
          <w:sz w:val="18"/>
          <w:lang w:val="el-GR" w:bidi="he-IL"/>
        </w:rPr>
        <w:t xml:space="preserve"> </w:t>
      </w:r>
      <w:r w:rsidRPr="00DA01AD">
        <w:rPr>
          <w:rFonts w:ascii="Times New Roman" w:hAnsi="Times New Roman"/>
          <w:i/>
          <w:sz w:val="18"/>
          <w:lang w:val="el-GR" w:bidi="he-IL"/>
        </w:rPr>
        <w:t>οἰκονομίαν</w:t>
      </w:r>
      <w:r w:rsidRPr="00DA01AD">
        <w:rPr>
          <w:rFonts w:ascii="Bwgrkl" w:hAnsi="Bwgrkl" w:cs="SBL Greek"/>
          <w:i/>
          <w:sz w:val="18"/>
          <w:lang w:val="el-GR" w:bidi="he-IL"/>
        </w:rPr>
        <w:t xml:space="preserve"> </w:t>
      </w:r>
      <w:r w:rsidRPr="00DA01AD">
        <w:rPr>
          <w:rFonts w:ascii="Times New Roman" w:hAnsi="Times New Roman"/>
          <w:i/>
          <w:sz w:val="18"/>
          <w:lang w:val="el-GR" w:bidi="he-IL"/>
        </w:rPr>
        <w:t>τοῦ</w:t>
      </w:r>
      <w:r w:rsidRPr="00DA01AD">
        <w:rPr>
          <w:rFonts w:ascii="Bwgrkl" w:hAnsi="Bwgrkl" w:cs="SBL Greek"/>
          <w:i/>
          <w:sz w:val="18"/>
          <w:lang w:val="el-GR" w:bidi="he-IL"/>
        </w:rPr>
        <w:t xml:space="preserve"> </w:t>
      </w:r>
      <w:r w:rsidRPr="00DA01AD">
        <w:rPr>
          <w:rFonts w:ascii="Times New Roman" w:hAnsi="Times New Roman"/>
          <w:i/>
          <w:sz w:val="18"/>
          <w:lang w:val="el-GR" w:bidi="he-IL"/>
        </w:rPr>
        <w:t>πληρώματος</w:t>
      </w:r>
      <w:r w:rsidRPr="00DA01AD">
        <w:rPr>
          <w:rFonts w:ascii="Bwgrkl" w:hAnsi="Bwgrkl" w:cs="SBL Greek"/>
          <w:sz w:val="18"/>
          <w:lang w:val="el-GR" w:bidi="he-IL"/>
        </w:rPr>
        <w:t xml:space="preserve"> </w:t>
      </w:r>
      <w:r w:rsidRPr="00DA01AD">
        <w:rPr>
          <w:rFonts w:ascii="Times New Roman" w:hAnsi="Times New Roman"/>
          <w:sz w:val="18"/>
          <w:lang w:val="el-GR" w:bidi="he-IL"/>
        </w:rPr>
        <w:t>τῶν</w:t>
      </w:r>
      <w:r w:rsidRPr="00DA01AD">
        <w:rPr>
          <w:rFonts w:ascii="Bwgrkl" w:hAnsi="Bwgrkl" w:cs="SBL Greek"/>
          <w:sz w:val="18"/>
          <w:lang w:val="el-GR" w:bidi="he-IL"/>
        </w:rPr>
        <w:t xml:space="preserve"> </w:t>
      </w:r>
      <w:r w:rsidRPr="00DA01AD">
        <w:rPr>
          <w:rFonts w:ascii="Times New Roman" w:hAnsi="Times New Roman"/>
          <w:sz w:val="18"/>
          <w:lang w:val="el-GR" w:bidi="he-IL"/>
        </w:rPr>
        <w:t>καιρῶν</w:t>
      </w:r>
      <w:r w:rsidRPr="00DA01AD">
        <w:rPr>
          <w:rFonts w:ascii="Bwgrkl" w:hAnsi="Bwgrkl" w:cs="SBL Greek"/>
          <w:sz w:val="18"/>
          <w:lang w:val="el-GR" w:bidi="he-IL"/>
        </w:rPr>
        <w:t xml:space="preserve">, </w:t>
      </w:r>
      <w:r w:rsidRPr="00DA01AD">
        <w:rPr>
          <w:rFonts w:ascii="Times New Roman" w:hAnsi="Times New Roman"/>
          <w:sz w:val="18"/>
          <w:lang w:val="el-GR" w:bidi="he-IL"/>
        </w:rPr>
        <w:t>ἀνακεφαλαιώσασθαι</w:t>
      </w:r>
      <w:r w:rsidRPr="00DA01AD">
        <w:rPr>
          <w:rFonts w:ascii="Bwgrkl" w:hAnsi="Bwgrkl" w:cs="SBL Greek"/>
          <w:sz w:val="18"/>
          <w:lang w:val="el-GR" w:bidi="he-IL"/>
        </w:rPr>
        <w:t xml:space="preserve"> </w:t>
      </w:r>
      <w:r w:rsidRPr="00DA01AD">
        <w:rPr>
          <w:rFonts w:ascii="Times New Roman" w:hAnsi="Times New Roman"/>
          <w:sz w:val="18"/>
          <w:lang w:val="el-GR" w:bidi="he-IL"/>
        </w:rPr>
        <w:t>τὰ</w:t>
      </w:r>
      <w:r w:rsidRPr="00DA01AD">
        <w:rPr>
          <w:rFonts w:ascii="Bwgrkl" w:hAnsi="Bwgrkl" w:cs="SBL Greek"/>
          <w:sz w:val="18"/>
          <w:lang w:val="el-GR" w:bidi="he-IL"/>
        </w:rPr>
        <w:t xml:space="preserve"> </w:t>
      </w:r>
      <w:r w:rsidRPr="00DA01AD">
        <w:rPr>
          <w:rFonts w:ascii="Times New Roman" w:hAnsi="Times New Roman"/>
          <w:sz w:val="18"/>
          <w:lang w:val="el-GR" w:bidi="he-IL"/>
        </w:rPr>
        <w:t>πάντα</w:t>
      </w:r>
      <w:r w:rsidRPr="00DA01AD">
        <w:rPr>
          <w:rFonts w:ascii="Bwgrkl" w:hAnsi="Bwgrkl" w:cs="SBL Greek"/>
          <w:sz w:val="18"/>
          <w:lang w:val="el-GR" w:bidi="he-IL"/>
        </w:rPr>
        <w:t xml:space="preserve"> </w:t>
      </w:r>
      <w:r w:rsidRPr="00DA01AD">
        <w:rPr>
          <w:rFonts w:ascii="Times New Roman" w:hAnsi="Times New Roman"/>
          <w:sz w:val="18"/>
          <w:lang w:val="el-GR" w:bidi="he-IL"/>
        </w:rPr>
        <w:t>ἐν</w:t>
      </w:r>
      <w:r w:rsidRPr="00DA01AD">
        <w:rPr>
          <w:rFonts w:ascii="Bwgrkl" w:hAnsi="Bwgrkl" w:cs="SBL Greek"/>
          <w:sz w:val="18"/>
          <w:lang w:val="el-GR" w:bidi="he-IL"/>
        </w:rPr>
        <w:t xml:space="preserve"> </w:t>
      </w:r>
      <w:r w:rsidRPr="00DA01AD">
        <w:rPr>
          <w:rFonts w:ascii="Times New Roman" w:hAnsi="Times New Roman"/>
          <w:sz w:val="18"/>
          <w:lang w:val="el-GR" w:bidi="he-IL"/>
        </w:rPr>
        <w:t>τῷ</w:t>
      </w:r>
      <w:r w:rsidRPr="00DA01AD">
        <w:rPr>
          <w:rFonts w:ascii="Bwgrkl" w:hAnsi="Bwgrkl" w:cs="SBL Greek"/>
          <w:sz w:val="18"/>
          <w:lang w:val="el-GR" w:bidi="he-IL"/>
        </w:rPr>
        <w:t xml:space="preserve"> </w:t>
      </w:r>
      <w:r w:rsidRPr="00DA01AD">
        <w:rPr>
          <w:rFonts w:ascii="Times New Roman" w:hAnsi="Times New Roman"/>
          <w:sz w:val="18"/>
          <w:lang w:val="el-GR" w:bidi="he-IL"/>
        </w:rPr>
        <w:t>χριστῷ</w:t>
      </w:r>
      <w:r w:rsidRPr="00DA01AD">
        <w:rPr>
          <w:rFonts w:ascii="Bwgrkl" w:hAnsi="Bwgrkl" w:cs="SBL Greek"/>
          <w:sz w:val="18"/>
          <w:lang w:val="el-GR" w:bidi="he-IL"/>
        </w:rPr>
        <w:t xml:space="preserve">, </w:t>
      </w:r>
      <w:r w:rsidRPr="00DA01AD">
        <w:rPr>
          <w:rFonts w:ascii="Times New Roman" w:hAnsi="Times New Roman"/>
          <w:sz w:val="18"/>
          <w:lang w:val="el-GR" w:bidi="he-IL"/>
        </w:rPr>
        <w:t>τὰ</w:t>
      </w:r>
      <w:r w:rsidRPr="00DA01AD">
        <w:rPr>
          <w:rFonts w:ascii="Bwgrkl" w:hAnsi="Bwgrkl" w:cs="SBL Greek"/>
          <w:sz w:val="18"/>
          <w:lang w:val="el-GR" w:bidi="he-IL"/>
        </w:rPr>
        <w:t xml:space="preserve"> </w:t>
      </w:r>
      <w:r w:rsidRPr="00DA01AD">
        <w:rPr>
          <w:rFonts w:ascii="Times New Roman" w:hAnsi="Times New Roman"/>
          <w:sz w:val="18"/>
          <w:lang w:val="el-GR" w:bidi="he-IL"/>
        </w:rPr>
        <w:t>ἐπὶ</w:t>
      </w:r>
      <w:r w:rsidRPr="00DA01AD">
        <w:rPr>
          <w:rFonts w:ascii="Bwgrkl" w:hAnsi="Bwgrkl" w:cs="SBL Greek"/>
          <w:sz w:val="18"/>
          <w:lang w:val="el-GR" w:bidi="he-IL"/>
        </w:rPr>
        <w:t xml:space="preserve"> </w:t>
      </w:r>
      <w:r w:rsidRPr="00DA01AD">
        <w:rPr>
          <w:rFonts w:ascii="Times New Roman" w:hAnsi="Times New Roman"/>
          <w:sz w:val="18"/>
          <w:lang w:val="el-GR" w:bidi="he-IL"/>
        </w:rPr>
        <w:t>τοῖς</w:t>
      </w:r>
      <w:r w:rsidRPr="00DA01AD">
        <w:rPr>
          <w:rFonts w:ascii="Bwgrkl" w:hAnsi="Bwgrkl" w:cs="SBL Greek"/>
          <w:sz w:val="18"/>
          <w:lang w:val="el-GR" w:bidi="he-IL"/>
        </w:rPr>
        <w:t xml:space="preserve"> </w:t>
      </w:r>
      <w:r w:rsidRPr="00DA01AD">
        <w:rPr>
          <w:rFonts w:ascii="Times New Roman" w:hAnsi="Times New Roman"/>
          <w:sz w:val="18"/>
          <w:lang w:val="el-GR" w:bidi="he-IL"/>
        </w:rPr>
        <w:t>οὐρανοῖς</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lang w:val="el-GR" w:bidi="he-IL"/>
        </w:rPr>
        <w:t>τὰ</w:t>
      </w:r>
      <w:r w:rsidRPr="00DA01AD">
        <w:rPr>
          <w:rFonts w:ascii="Bwgrkl" w:hAnsi="Bwgrkl" w:cs="SBL Greek"/>
          <w:sz w:val="18"/>
          <w:lang w:val="el-GR" w:bidi="he-IL"/>
        </w:rPr>
        <w:t xml:space="preserve"> </w:t>
      </w:r>
      <w:r w:rsidRPr="00DA01AD">
        <w:rPr>
          <w:rFonts w:ascii="Times New Roman" w:hAnsi="Times New Roman"/>
          <w:sz w:val="18"/>
          <w:lang w:val="el-GR" w:bidi="he-IL"/>
        </w:rPr>
        <w:t>ἐπὶ</w:t>
      </w:r>
      <w:r w:rsidRPr="00DA01AD">
        <w:rPr>
          <w:rFonts w:ascii="Bwgrkl" w:hAnsi="Bwgrkl" w:cs="SBL Greek"/>
          <w:sz w:val="18"/>
          <w:lang w:val="el-GR" w:bidi="he-IL"/>
        </w:rPr>
        <w:t xml:space="preserve"> </w:t>
      </w:r>
      <w:r w:rsidRPr="00DA01AD">
        <w:rPr>
          <w:rFonts w:ascii="Times New Roman" w:hAnsi="Times New Roman"/>
          <w:sz w:val="18"/>
          <w:lang w:val="el-GR" w:bidi="he-IL"/>
        </w:rPr>
        <w:t>τῆς</w:t>
      </w:r>
      <w:r w:rsidRPr="00DA01AD">
        <w:rPr>
          <w:rFonts w:ascii="Bwgrkl" w:hAnsi="Bwgrkl" w:cs="SBL Greek"/>
          <w:sz w:val="18"/>
          <w:lang w:val="el-GR" w:bidi="he-IL"/>
        </w:rPr>
        <w:t xml:space="preserve"> </w:t>
      </w:r>
      <w:r w:rsidRPr="00DA01AD">
        <w:rPr>
          <w:rFonts w:ascii="Times New Roman" w:hAnsi="Times New Roman"/>
          <w:sz w:val="18"/>
          <w:lang w:val="el-GR" w:bidi="he-IL"/>
        </w:rPr>
        <w:t>γῆς</w:t>
      </w:r>
      <w:r w:rsidRPr="00DA01AD">
        <w:rPr>
          <w:rFonts w:ascii="Bwgrkl" w:hAnsi="Bwgrkl" w:cs="Bwgrkl"/>
          <w:sz w:val="18"/>
          <w:lang w:val="el-GR" w:bidi="he-IL"/>
        </w:rPr>
        <w:t>·</w:t>
      </w:r>
      <w:r w:rsidRPr="00DA01AD">
        <w:rPr>
          <w:rFonts w:ascii="Times New Roman" w:hAnsi="Times New Roman"/>
          <w:sz w:val="18"/>
          <w:lang w:val="el-GR" w:bidi="he-IL"/>
        </w:rPr>
        <w:t>ἐν</w:t>
      </w:r>
      <w:r w:rsidRPr="00DA01AD">
        <w:rPr>
          <w:rFonts w:ascii="Bwgrkl" w:hAnsi="Bwgrkl" w:cs="SBL Greek"/>
          <w:sz w:val="18"/>
          <w:lang w:val="el-GR" w:bidi="he-IL"/>
        </w:rPr>
        <w:t xml:space="preserve"> </w:t>
      </w:r>
      <w:r w:rsidRPr="00DA01AD">
        <w:rPr>
          <w:rFonts w:ascii="Times New Roman" w:hAnsi="Times New Roman"/>
          <w:sz w:val="18"/>
          <w:lang w:val="el-GR" w:bidi="he-IL"/>
        </w:rPr>
        <w:t>αὐτῷ</w:t>
      </w:r>
      <w:r w:rsidRPr="00DA01AD">
        <w:rPr>
          <w:rFonts w:ascii="Perpetua" w:hAnsi="Perpetua" w:cs="SBL Greek"/>
          <w:sz w:val="18"/>
          <w:lang w:val="el-GR" w:bidi="he-IL"/>
        </w:rPr>
        <w:t>,</w:t>
      </w:r>
      <w:r w:rsidRPr="00DA01AD">
        <w:rPr>
          <w:sz w:val="18"/>
          <w:lang w:val="en-US"/>
        </w:rPr>
        <w:t>’</w:t>
      </w:r>
      <w:r w:rsidRPr="00DA01AD">
        <w:rPr>
          <w:rFonts w:ascii="Arial" w:hAnsi="Arial" w:cs="Arial"/>
          <w:sz w:val="18"/>
          <w:lang w:bidi="he-IL"/>
        </w:rPr>
        <w:t xml:space="preserve"> </w:t>
      </w:r>
      <w:r w:rsidRPr="00DA01AD">
        <w:rPr>
          <w:rFonts w:ascii="Perpetua" w:hAnsi="Perpetua" w:cs="Arial"/>
          <w:lang w:bidi="he-IL"/>
        </w:rPr>
        <w:t>(Eph 1:10)</w:t>
      </w:r>
      <w:r>
        <w:rPr>
          <w:rFonts w:ascii="Perpetua" w:hAnsi="Perpetua" w:cs="Arial"/>
          <w:lang w:bidi="he-IL"/>
        </w:rPr>
        <w:t xml:space="preserve">  </w:t>
      </w:r>
      <w:r w:rsidRPr="00DA01AD">
        <w:rPr>
          <w:rFonts w:ascii="Perpetua" w:hAnsi="Perpetua" w:cs="Arial"/>
          <w:lang w:bidi="he-IL"/>
        </w:rPr>
        <w:t xml:space="preserve">‘That in the dispensation of the fulness of times he might gather together in one all things in Christ, both which are in heaven, and which are on earth; </w:t>
      </w:r>
      <w:r w:rsidRPr="00DA01AD">
        <w:rPr>
          <w:rFonts w:ascii="Perpetua" w:hAnsi="Perpetua" w:cs="Arial"/>
          <w:i/>
          <w:iCs/>
          <w:lang w:bidi="he-IL"/>
        </w:rPr>
        <w:t xml:space="preserve">even </w:t>
      </w:r>
      <w:r w:rsidRPr="00DA01AD">
        <w:rPr>
          <w:rFonts w:ascii="Perpetua" w:hAnsi="Perpetua" w:cs="Arial"/>
          <w:lang w:bidi="he-IL"/>
        </w:rPr>
        <w:t xml:space="preserve">in him:’ Eph 1:10 </w:t>
      </w:r>
      <w:r w:rsidRPr="00DA01AD">
        <w:rPr>
          <w:rFonts w:ascii="Perpetua" w:hAnsi="Perpetua" w:cs="Arial"/>
          <w:i/>
          <w:lang w:bidi="he-IL"/>
        </w:rPr>
        <w:t>KJV</w:t>
      </w:r>
      <w:r>
        <w:rPr>
          <w:rFonts w:ascii="Perpetua" w:hAnsi="Perpetua" w:cs="Arial"/>
          <w:lang w:bidi="he-IL"/>
        </w:rPr>
        <w:t>.</w:t>
      </w:r>
    </w:p>
  </w:footnote>
  <w:footnote w:id="52">
    <w:p w:rsidR="00975183" w:rsidRPr="00DA01AD" w:rsidRDefault="00975183" w:rsidP="00442D33">
      <w:pPr>
        <w:pStyle w:val="FootnoteText"/>
        <w:rPr>
          <w:rFonts w:ascii="Perpetua" w:hAnsi="Perpetua" w:cs="Arial"/>
          <w:lang w:bidi="he-IL"/>
        </w:rPr>
      </w:pPr>
      <w:r w:rsidRPr="00DA01AD">
        <w:rPr>
          <w:rStyle w:val="FootnoteReference"/>
          <w:rFonts w:ascii="Perpetua" w:hAnsi="Perpetua"/>
        </w:rPr>
        <w:footnoteRef/>
      </w:r>
      <w:r w:rsidRPr="00DA01AD">
        <w:rPr>
          <w:sz w:val="18"/>
        </w:rPr>
        <w:t xml:space="preserve"> </w:t>
      </w:r>
      <w:r w:rsidRPr="00DA01AD">
        <w:rPr>
          <w:rFonts w:ascii="Times New Roman" w:hAnsi="Times New Roman"/>
          <w:sz w:val="18"/>
          <w:lang w:val="el-GR" w:bidi="he-IL"/>
        </w:rPr>
        <w:t>καὶ</w:t>
      </w:r>
      <w:r w:rsidRPr="00DA01AD">
        <w:rPr>
          <w:rFonts w:ascii="Bwgrki" w:hAnsi="Bwgrki" w:cs="SBL Greek"/>
          <w:sz w:val="18"/>
          <w:lang w:val="el-GR" w:bidi="he-IL"/>
        </w:rPr>
        <w:t xml:space="preserve"> </w:t>
      </w:r>
      <w:r w:rsidRPr="00DA01AD">
        <w:rPr>
          <w:rFonts w:ascii="Times New Roman" w:hAnsi="Times New Roman"/>
          <w:sz w:val="18"/>
          <w:lang w:val="el-GR" w:bidi="he-IL"/>
        </w:rPr>
        <w:t>ἀφαιρεθήσῃ</w:t>
      </w:r>
      <w:r w:rsidRPr="00DA01AD">
        <w:rPr>
          <w:rFonts w:ascii="Bwgrki" w:hAnsi="Bwgrki" w:cs="SBL Greek"/>
          <w:sz w:val="18"/>
          <w:lang w:val="el-GR" w:bidi="he-IL"/>
        </w:rPr>
        <w:t xml:space="preserve"> </w:t>
      </w:r>
      <w:r w:rsidRPr="00DA01AD">
        <w:rPr>
          <w:rFonts w:ascii="Times New Roman" w:hAnsi="Times New Roman"/>
          <w:sz w:val="18"/>
          <w:lang w:val="el-GR" w:bidi="he-IL"/>
        </w:rPr>
        <w:t>ἐκ</w:t>
      </w:r>
      <w:r w:rsidRPr="00DA01AD">
        <w:rPr>
          <w:rFonts w:ascii="Bwgrki" w:hAnsi="Bwgrki" w:cs="SBL Greek"/>
          <w:sz w:val="18"/>
          <w:lang w:val="el-GR" w:bidi="he-IL"/>
        </w:rPr>
        <w:t xml:space="preserve"> </w:t>
      </w:r>
      <w:r w:rsidRPr="00DA01AD">
        <w:rPr>
          <w:rFonts w:ascii="Times New Roman" w:hAnsi="Times New Roman"/>
          <w:sz w:val="18"/>
          <w:u w:val="single"/>
          <w:lang w:val="el-GR" w:bidi="he-IL"/>
        </w:rPr>
        <w:t>τῆς</w:t>
      </w:r>
      <w:r w:rsidRPr="00DA01AD">
        <w:rPr>
          <w:rFonts w:ascii="Bwgrki" w:hAnsi="Bwgrki" w:cs="SBL Greek"/>
          <w:sz w:val="18"/>
          <w:u w:val="single"/>
          <w:lang w:val="el-GR" w:bidi="he-IL"/>
        </w:rPr>
        <w:t xml:space="preserve"> </w:t>
      </w:r>
      <w:r w:rsidRPr="00DA01AD">
        <w:rPr>
          <w:rFonts w:ascii="Times New Roman" w:hAnsi="Times New Roman"/>
          <w:sz w:val="18"/>
          <w:u w:val="single"/>
          <w:lang w:val="el-GR" w:bidi="he-IL"/>
        </w:rPr>
        <w:t>οἰκονομίας</w:t>
      </w:r>
      <w:r w:rsidRPr="00DA01AD">
        <w:rPr>
          <w:rFonts w:ascii="Bwgrki" w:hAnsi="Bwgrki" w:cs="SBL Greek"/>
          <w:sz w:val="18"/>
          <w:u w:val="single"/>
          <w:lang w:val="el-GR" w:bidi="he-IL"/>
        </w:rPr>
        <w:t xml:space="preserve"> </w:t>
      </w:r>
      <w:r w:rsidRPr="00DA01AD">
        <w:rPr>
          <w:rFonts w:ascii="Times New Roman" w:hAnsi="Times New Roman"/>
          <w:sz w:val="18"/>
          <w:u w:val="single"/>
          <w:lang w:val="el-GR" w:bidi="he-IL"/>
        </w:rPr>
        <w:t>σου</w:t>
      </w:r>
      <w:r w:rsidRPr="00DA01AD">
        <w:rPr>
          <w:rFonts w:ascii="Bwgrki" w:hAnsi="Bwgrki" w:cs="SBL Greek"/>
          <w:sz w:val="18"/>
          <w:lang w:val="el-GR" w:bidi="he-IL"/>
        </w:rPr>
        <w:t xml:space="preserve"> </w:t>
      </w:r>
      <w:r w:rsidRPr="00DA01AD">
        <w:rPr>
          <w:rFonts w:ascii="Times New Roman" w:hAnsi="Times New Roman"/>
          <w:sz w:val="18"/>
          <w:lang w:val="el-GR" w:bidi="he-IL"/>
        </w:rPr>
        <w:t>καὶ</w:t>
      </w:r>
      <w:r w:rsidRPr="00DA01AD">
        <w:rPr>
          <w:rFonts w:ascii="Bwgrki" w:hAnsi="Bwgrki" w:cs="SBL Greek"/>
          <w:sz w:val="18"/>
          <w:lang w:val="el-GR" w:bidi="he-IL"/>
        </w:rPr>
        <w:t xml:space="preserve"> </w:t>
      </w:r>
      <w:r w:rsidRPr="00DA01AD">
        <w:rPr>
          <w:rFonts w:ascii="Times New Roman" w:hAnsi="Times New Roman"/>
          <w:sz w:val="18"/>
          <w:lang w:val="el-GR" w:bidi="he-IL"/>
        </w:rPr>
        <w:t>ἐκ</w:t>
      </w:r>
      <w:r w:rsidRPr="00DA01AD">
        <w:rPr>
          <w:rFonts w:ascii="Bwgrki" w:hAnsi="Bwgrki" w:cs="SBL Greek"/>
          <w:sz w:val="18"/>
          <w:lang w:val="el-GR" w:bidi="he-IL"/>
        </w:rPr>
        <w:t xml:space="preserve"> </w:t>
      </w:r>
      <w:r w:rsidRPr="00DA01AD">
        <w:rPr>
          <w:rFonts w:ascii="Times New Roman" w:hAnsi="Times New Roman"/>
          <w:sz w:val="18"/>
          <w:lang w:val="el-GR" w:bidi="he-IL"/>
        </w:rPr>
        <w:t>τῆς</w:t>
      </w:r>
      <w:r w:rsidRPr="00DA01AD">
        <w:rPr>
          <w:rFonts w:ascii="Bwgrki" w:hAnsi="Bwgrki" w:cs="SBL Greek"/>
          <w:sz w:val="18"/>
          <w:lang w:val="el-GR" w:bidi="he-IL"/>
        </w:rPr>
        <w:t xml:space="preserve"> </w:t>
      </w:r>
      <w:r w:rsidRPr="00DA01AD">
        <w:rPr>
          <w:rFonts w:ascii="Times New Roman" w:hAnsi="Times New Roman"/>
          <w:sz w:val="18"/>
          <w:lang w:val="el-GR" w:bidi="he-IL"/>
        </w:rPr>
        <w:t>στάσεώς</w:t>
      </w:r>
      <w:r w:rsidRPr="00DA01AD">
        <w:rPr>
          <w:rFonts w:ascii="Bwgrki" w:hAnsi="Bwgrki" w:cs="SBL Greek"/>
          <w:sz w:val="18"/>
          <w:lang w:val="el-GR" w:bidi="he-IL"/>
        </w:rPr>
        <w:t xml:space="preserve"> </w:t>
      </w:r>
      <w:r w:rsidRPr="00DA01AD">
        <w:rPr>
          <w:rFonts w:ascii="Times New Roman" w:hAnsi="Times New Roman"/>
          <w:sz w:val="18"/>
          <w:lang w:val="el-GR" w:bidi="he-IL"/>
        </w:rPr>
        <w:t>σου</w:t>
      </w:r>
      <w:r w:rsidRPr="00DA01AD">
        <w:rPr>
          <w:rFonts w:ascii="Perpetua" w:hAnsi="Perpetua" w:cs="Arial"/>
          <w:lang w:bidi="he-IL"/>
        </w:rPr>
        <w:t xml:space="preserve">’  Isa. </w:t>
      </w:r>
      <w:proofErr w:type="gramStart"/>
      <w:r w:rsidRPr="00DA01AD">
        <w:rPr>
          <w:rFonts w:ascii="Perpetua" w:hAnsi="Perpetua" w:cs="Arial"/>
          <w:lang w:bidi="he-IL"/>
        </w:rPr>
        <w:t xml:space="preserve">22:19 </w:t>
      </w:r>
      <w:r w:rsidRPr="00DA01AD">
        <w:rPr>
          <w:rFonts w:ascii="Perpetua" w:hAnsi="Perpetua" w:cs="Arial"/>
          <w:i/>
          <w:lang w:bidi="he-IL"/>
        </w:rPr>
        <w:t>LXX</w:t>
      </w:r>
      <w:r>
        <w:rPr>
          <w:rFonts w:ascii="Perpetua" w:hAnsi="Perpetua" w:cs="Arial"/>
          <w:lang w:bidi="he-IL"/>
        </w:rPr>
        <w:t>.</w:t>
      </w:r>
      <w:proofErr w:type="gramEnd"/>
      <w:r w:rsidRPr="00DA01AD">
        <w:rPr>
          <w:rFonts w:ascii="Perpetua" w:hAnsi="Perpetua" w:cs="Arial"/>
          <w:lang w:bidi="he-IL"/>
        </w:rPr>
        <w:t xml:space="preserve"> </w:t>
      </w:r>
    </w:p>
    <w:p w:rsidR="00975183" w:rsidRPr="00DA01AD" w:rsidRDefault="00975183" w:rsidP="00442D33">
      <w:pPr>
        <w:pStyle w:val="FootnoteText"/>
        <w:rPr>
          <w:sz w:val="18"/>
        </w:rPr>
      </w:pPr>
      <w:r w:rsidRPr="00DA01AD">
        <w:rPr>
          <w:rFonts w:ascii="Perpetua" w:hAnsi="Perpetua" w:cs="Arial"/>
          <w:szCs w:val="22"/>
          <w:lang w:bidi="he-IL"/>
        </w:rPr>
        <w:t xml:space="preserve">‘And I will drive thee </w:t>
      </w:r>
      <w:r w:rsidRPr="00DA01AD">
        <w:rPr>
          <w:rFonts w:ascii="Perpetua" w:hAnsi="Perpetua" w:cs="Arial"/>
          <w:szCs w:val="22"/>
          <w:u w:val="single"/>
          <w:lang w:bidi="he-IL"/>
        </w:rPr>
        <w:t>from thy station</w:t>
      </w:r>
      <w:r w:rsidRPr="00DA01AD">
        <w:rPr>
          <w:rFonts w:ascii="Perpetua" w:hAnsi="Perpetua" w:cs="Arial"/>
          <w:szCs w:val="22"/>
          <w:lang w:bidi="he-IL"/>
        </w:rPr>
        <w:t>, and from thy state shall he pull thee down.</w:t>
      </w:r>
      <w:r w:rsidRPr="00DA01AD">
        <w:rPr>
          <w:rFonts w:ascii="Perpetua" w:hAnsi="Perpetua" w:cs="Arial"/>
          <w:lang w:bidi="he-IL"/>
        </w:rPr>
        <w:t>’</w:t>
      </w:r>
      <w:r w:rsidRPr="00DA01AD">
        <w:rPr>
          <w:rFonts w:ascii="Perpetua" w:hAnsi="Perpetua" w:cs="Arial"/>
          <w:szCs w:val="22"/>
          <w:lang w:bidi="he-IL"/>
        </w:rPr>
        <w:t xml:space="preserve">  </w:t>
      </w:r>
      <w:proofErr w:type="gramStart"/>
      <w:r w:rsidRPr="00DA01AD">
        <w:rPr>
          <w:rFonts w:ascii="Perpetua" w:hAnsi="Perpetua" w:cs="Arial"/>
          <w:szCs w:val="22"/>
          <w:lang w:bidi="he-IL"/>
        </w:rPr>
        <w:t xml:space="preserve">Isa. 22:19 </w:t>
      </w:r>
      <w:r w:rsidRPr="00DA01AD">
        <w:rPr>
          <w:rFonts w:ascii="Perpetua" w:hAnsi="Perpetua" w:cs="Arial"/>
          <w:i/>
          <w:szCs w:val="22"/>
          <w:lang w:bidi="he-IL"/>
        </w:rPr>
        <w:t>KJV</w:t>
      </w:r>
      <w:r>
        <w:rPr>
          <w:rFonts w:ascii="Perpetua" w:hAnsi="Perpetua" w:cs="Arial"/>
          <w:szCs w:val="22"/>
          <w:lang w:bidi="he-IL"/>
        </w:rPr>
        <w:t>.</w:t>
      </w:r>
      <w:proofErr w:type="gramEnd"/>
    </w:p>
    <w:p w:rsidR="00975183" w:rsidRPr="00DA01AD" w:rsidRDefault="00975183" w:rsidP="00442D33">
      <w:pPr>
        <w:pStyle w:val="FootnoteText"/>
        <w:rPr>
          <w:rFonts w:ascii="Arial" w:hAnsi="Arial" w:cs="Arial"/>
          <w:sz w:val="18"/>
          <w:lang w:bidi="he-IL"/>
        </w:rPr>
      </w:pPr>
      <w:r w:rsidRPr="00DA01AD">
        <w:rPr>
          <w:rFonts w:ascii="Perpetua" w:hAnsi="Perpetua" w:cs="Arial"/>
          <w:szCs w:val="22"/>
          <w:lang w:bidi="he-IL"/>
        </w:rPr>
        <w:t>‘</w:t>
      </w:r>
      <w:proofErr w:type="gramStart"/>
      <w:r w:rsidRPr="00DA01AD">
        <w:rPr>
          <w:rFonts w:ascii="Times New Roman" w:hAnsi="Times New Roman"/>
          <w:sz w:val="18"/>
          <w:lang w:val="el-GR" w:bidi="he-IL"/>
        </w:rPr>
        <w:t>καὶ</w:t>
      </w:r>
      <w:proofErr w:type="gramEnd"/>
      <w:r w:rsidRPr="00DA01AD">
        <w:rPr>
          <w:rFonts w:ascii="Bwgrkl" w:hAnsi="Bwgrkl" w:cs="SBL Greek"/>
          <w:sz w:val="18"/>
          <w:lang w:val="el-GR" w:bidi="he-IL"/>
        </w:rPr>
        <w:t xml:space="preserve"> </w:t>
      </w:r>
      <w:r w:rsidRPr="00DA01AD">
        <w:rPr>
          <w:rFonts w:ascii="Times New Roman" w:hAnsi="Times New Roman"/>
          <w:sz w:val="18"/>
          <w:lang w:val="el-GR" w:bidi="he-IL"/>
        </w:rPr>
        <w:t>ἐνδύσω</w:t>
      </w:r>
      <w:r w:rsidRPr="00DA01AD">
        <w:rPr>
          <w:rFonts w:ascii="Bwgrkl" w:hAnsi="Bwgrkl" w:cs="SBL Greek"/>
          <w:sz w:val="18"/>
          <w:lang w:val="el-GR" w:bidi="he-IL"/>
        </w:rPr>
        <w:t xml:space="preserve"> </w:t>
      </w:r>
      <w:r w:rsidRPr="00DA01AD">
        <w:rPr>
          <w:rFonts w:ascii="Times New Roman" w:hAnsi="Times New Roman"/>
          <w:sz w:val="18"/>
          <w:lang w:val="el-GR" w:bidi="he-IL"/>
        </w:rPr>
        <w:t>αὐτὸν</w:t>
      </w:r>
      <w:r w:rsidRPr="00DA01AD">
        <w:rPr>
          <w:rFonts w:ascii="Bwgrkl" w:hAnsi="Bwgrkl" w:cs="SBL Greek"/>
          <w:sz w:val="18"/>
          <w:lang w:val="el-GR" w:bidi="he-IL"/>
        </w:rPr>
        <w:t xml:space="preserve"> </w:t>
      </w:r>
      <w:r w:rsidRPr="00DA01AD">
        <w:rPr>
          <w:rFonts w:ascii="Times New Roman" w:hAnsi="Times New Roman"/>
          <w:sz w:val="18"/>
          <w:lang w:val="el-GR" w:bidi="he-IL"/>
        </w:rPr>
        <w:t>τὴν</w:t>
      </w:r>
      <w:r w:rsidRPr="00DA01AD">
        <w:rPr>
          <w:rFonts w:ascii="Bwgrkl" w:hAnsi="Bwgrkl" w:cs="SBL Greek"/>
          <w:sz w:val="18"/>
          <w:lang w:val="el-GR" w:bidi="he-IL"/>
        </w:rPr>
        <w:t xml:space="preserve"> </w:t>
      </w:r>
      <w:r w:rsidRPr="00DA01AD">
        <w:rPr>
          <w:rFonts w:ascii="Times New Roman" w:hAnsi="Times New Roman"/>
          <w:sz w:val="18"/>
          <w:lang w:val="el-GR" w:bidi="he-IL"/>
        </w:rPr>
        <w:t>στολήν</w:t>
      </w:r>
      <w:r w:rsidRPr="00DA01AD">
        <w:rPr>
          <w:rFonts w:ascii="Bwgrkl" w:hAnsi="Bwgrkl" w:cs="SBL Greek"/>
          <w:sz w:val="18"/>
          <w:lang w:val="el-GR" w:bidi="he-IL"/>
        </w:rPr>
        <w:t xml:space="preserve"> </w:t>
      </w:r>
      <w:r w:rsidRPr="00DA01AD">
        <w:rPr>
          <w:rFonts w:ascii="Times New Roman" w:hAnsi="Times New Roman"/>
          <w:sz w:val="18"/>
          <w:lang w:val="el-GR" w:bidi="he-IL"/>
        </w:rPr>
        <w:t>σου</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lang w:val="el-GR" w:bidi="he-IL"/>
        </w:rPr>
        <w:t>τὸν</w:t>
      </w:r>
      <w:r w:rsidRPr="00DA01AD">
        <w:rPr>
          <w:rFonts w:ascii="Bwgrkl" w:hAnsi="Bwgrkl" w:cs="SBL Greek"/>
          <w:sz w:val="18"/>
          <w:lang w:val="el-GR" w:bidi="he-IL"/>
        </w:rPr>
        <w:t xml:space="preserve"> </w:t>
      </w:r>
      <w:r w:rsidRPr="00DA01AD">
        <w:rPr>
          <w:rFonts w:ascii="Times New Roman" w:hAnsi="Times New Roman"/>
          <w:sz w:val="18"/>
          <w:lang w:val="el-GR" w:bidi="he-IL"/>
        </w:rPr>
        <w:t>στέφανόν</w:t>
      </w:r>
      <w:r w:rsidRPr="00DA01AD">
        <w:rPr>
          <w:rFonts w:ascii="Bwgrkl" w:hAnsi="Bwgrkl" w:cs="SBL Greek"/>
          <w:sz w:val="18"/>
          <w:lang w:val="el-GR" w:bidi="he-IL"/>
        </w:rPr>
        <w:t xml:space="preserve"> </w:t>
      </w:r>
      <w:r w:rsidRPr="00DA01AD">
        <w:rPr>
          <w:rFonts w:ascii="Times New Roman" w:hAnsi="Times New Roman"/>
          <w:sz w:val="18"/>
          <w:lang w:val="el-GR" w:bidi="he-IL"/>
        </w:rPr>
        <w:t>σου</w:t>
      </w:r>
      <w:r w:rsidRPr="00DA01AD">
        <w:rPr>
          <w:rFonts w:ascii="Bwgrkl" w:hAnsi="Bwgrkl" w:cs="SBL Greek"/>
          <w:sz w:val="18"/>
          <w:lang w:val="el-GR" w:bidi="he-IL"/>
        </w:rPr>
        <w:t xml:space="preserve"> </w:t>
      </w:r>
      <w:r w:rsidRPr="00DA01AD">
        <w:rPr>
          <w:rFonts w:ascii="Times New Roman" w:hAnsi="Times New Roman"/>
          <w:sz w:val="18"/>
          <w:lang w:val="el-GR" w:bidi="he-IL"/>
        </w:rPr>
        <w:t>δώσω</w:t>
      </w:r>
      <w:r w:rsidRPr="00DA01AD">
        <w:rPr>
          <w:rFonts w:ascii="Bwgrkl" w:hAnsi="Bwgrkl" w:cs="SBL Greek"/>
          <w:sz w:val="18"/>
          <w:lang w:val="el-GR" w:bidi="he-IL"/>
        </w:rPr>
        <w:t xml:space="preserve"> </w:t>
      </w:r>
      <w:r w:rsidRPr="00DA01AD">
        <w:rPr>
          <w:rFonts w:ascii="Times New Roman" w:hAnsi="Times New Roman"/>
          <w:sz w:val="18"/>
          <w:lang w:val="el-GR" w:bidi="he-IL"/>
        </w:rPr>
        <w:t>αὐτῷ</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lang w:val="el-GR" w:bidi="he-IL"/>
        </w:rPr>
        <w:t>τὸ</w:t>
      </w:r>
      <w:r w:rsidRPr="00DA01AD">
        <w:rPr>
          <w:rFonts w:ascii="Bwgrkl" w:hAnsi="Bwgrkl" w:cs="SBL Greek"/>
          <w:sz w:val="18"/>
          <w:lang w:val="el-GR" w:bidi="he-IL"/>
        </w:rPr>
        <w:t xml:space="preserve"> </w:t>
      </w:r>
      <w:r w:rsidRPr="00DA01AD">
        <w:rPr>
          <w:rFonts w:ascii="Times New Roman" w:hAnsi="Times New Roman"/>
          <w:sz w:val="18"/>
          <w:lang w:val="el-GR" w:bidi="he-IL"/>
        </w:rPr>
        <w:t>κράτος</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u w:val="single"/>
          <w:lang w:val="el-GR" w:bidi="he-IL"/>
        </w:rPr>
        <w:t>τὴν</w:t>
      </w:r>
      <w:r w:rsidRPr="00DA01AD">
        <w:rPr>
          <w:rFonts w:ascii="Bwgrkl" w:hAnsi="Bwgrkl" w:cs="SBL Greek"/>
          <w:sz w:val="18"/>
          <w:u w:val="single"/>
          <w:lang w:val="el-GR" w:bidi="he-IL"/>
        </w:rPr>
        <w:t xml:space="preserve"> </w:t>
      </w:r>
      <w:r w:rsidRPr="00DA01AD">
        <w:rPr>
          <w:rFonts w:ascii="Times New Roman" w:hAnsi="Times New Roman"/>
          <w:sz w:val="18"/>
          <w:u w:val="single"/>
          <w:lang w:val="el-GR" w:bidi="he-IL"/>
        </w:rPr>
        <w:t>οἰκονομίαν</w:t>
      </w:r>
      <w:r w:rsidRPr="00DA01AD">
        <w:rPr>
          <w:rFonts w:ascii="Bwgrkl" w:hAnsi="Bwgrkl" w:cs="SBL Greek"/>
          <w:sz w:val="18"/>
          <w:lang w:val="el-GR" w:bidi="he-IL"/>
        </w:rPr>
        <w:t xml:space="preserve"> </w:t>
      </w:r>
      <w:r w:rsidRPr="00DA01AD">
        <w:rPr>
          <w:rFonts w:ascii="Times New Roman" w:hAnsi="Times New Roman"/>
          <w:sz w:val="18"/>
          <w:lang w:val="el-GR" w:bidi="he-IL"/>
        </w:rPr>
        <w:t>σου</w:t>
      </w:r>
      <w:r w:rsidRPr="00DA01AD">
        <w:rPr>
          <w:rFonts w:ascii="Bwgrkl" w:hAnsi="Bwgrkl" w:cs="SBL Greek"/>
          <w:sz w:val="18"/>
          <w:lang w:val="el-GR" w:bidi="he-IL"/>
        </w:rPr>
        <w:t xml:space="preserve"> </w:t>
      </w:r>
      <w:r w:rsidRPr="00DA01AD">
        <w:rPr>
          <w:rFonts w:ascii="Times New Roman" w:hAnsi="Times New Roman"/>
          <w:sz w:val="18"/>
          <w:lang w:val="el-GR" w:bidi="he-IL"/>
        </w:rPr>
        <w:t>δώσω</w:t>
      </w:r>
      <w:r w:rsidRPr="00DA01AD">
        <w:rPr>
          <w:rFonts w:ascii="Bwgrkl" w:hAnsi="Bwgrkl" w:cs="SBL Greek"/>
          <w:sz w:val="18"/>
          <w:lang w:val="el-GR" w:bidi="he-IL"/>
        </w:rPr>
        <w:t xml:space="preserve"> </w:t>
      </w:r>
      <w:r w:rsidRPr="00DA01AD">
        <w:rPr>
          <w:rFonts w:ascii="Times New Roman" w:hAnsi="Times New Roman"/>
          <w:sz w:val="18"/>
          <w:lang w:val="el-GR" w:bidi="he-IL"/>
        </w:rPr>
        <w:t>εἰς</w:t>
      </w:r>
      <w:r w:rsidRPr="00DA01AD">
        <w:rPr>
          <w:rFonts w:ascii="Bwgrkl" w:hAnsi="Bwgrkl" w:cs="SBL Greek"/>
          <w:sz w:val="18"/>
          <w:lang w:val="el-GR" w:bidi="he-IL"/>
        </w:rPr>
        <w:t xml:space="preserve"> </w:t>
      </w:r>
      <w:r w:rsidRPr="00DA01AD">
        <w:rPr>
          <w:rFonts w:ascii="Times New Roman" w:hAnsi="Times New Roman"/>
          <w:sz w:val="18"/>
          <w:lang w:val="el-GR" w:bidi="he-IL"/>
        </w:rPr>
        <w:t>τὰς</w:t>
      </w:r>
      <w:r w:rsidRPr="00DA01AD">
        <w:rPr>
          <w:rFonts w:ascii="Bwgrkl" w:hAnsi="Bwgrkl" w:cs="SBL Greek"/>
          <w:sz w:val="18"/>
          <w:lang w:val="el-GR" w:bidi="he-IL"/>
        </w:rPr>
        <w:t xml:space="preserve"> </w:t>
      </w:r>
      <w:r w:rsidRPr="00DA01AD">
        <w:rPr>
          <w:rFonts w:ascii="Times New Roman" w:hAnsi="Times New Roman"/>
          <w:sz w:val="18"/>
          <w:lang w:val="el-GR" w:bidi="he-IL"/>
        </w:rPr>
        <w:t>χεῖρας</w:t>
      </w:r>
      <w:r w:rsidRPr="00DA01AD">
        <w:rPr>
          <w:rFonts w:ascii="Bwgrkl" w:hAnsi="Bwgrkl" w:cs="SBL Greek"/>
          <w:sz w:val="18"/>
          <w:lang w:val="el-GR" w:bidi="he-IL"/>
        </w:rPr>
        <w:t xml:space="preserve"> </w:t>
      </w:r>
      <w:r w:rsidRPr="00DA01AD">
        <w:rPr>
          <w:rFonts w:ascii="Times New Roman" w:hAnsi="Times New Roman"/>
          <w:sz w:val="18"/>
          <w:lang w:val="el-GR" w:bidi="he-IL"/>
        </w:rPr>
        <w:t>αὐτοῦ</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lang w:val="el-GR" w:bidi="he-IL"/>
        </w:rPr>
        <w:t>ἔσται</w:t>
      </w:r>
      <w:r w:rsidRPr="00DA01AD">
        <w:rPr>
          <w:rFonts w:ascii="Bwgrkl" w:hAnsi="Bwgrkl" w:cs="SBL Greek"/>
          <w:sz w:val="18"/>
          <w:lang w:val="el-GR" w:bidi="he-IL"/>
        </w:rPr>
        <w:t xml:space="preserve"> </w:t>
      </w:r>
      <w:r w:rsidRPr="00DA01AD">
        <w:rPr>
          <w:rFonts w:ascii="Times New Roman" w:hAnsi="Times New Roman"/>
          <w:sz w:val="18"/>
          <w:lang w:val="el-GR" w:bidi="he-IL"/>
        </w:rPr>
        <w:t>ὡς</w:t>
      </w:r>
      <w:r w:rsidRPr="00DA01AD">
        <w:rPr>
          <w:rFonts w:ascii="Bwgrkl" w:hAnsi="Bwgrkl" w:cs="SBL Greek"/>
          <w:sz w:val="18"/>
          <w:lang w:val="el-GR" w:bidi="he-IL"/>
        </w:rPr>
        <w:t xml:space="preserve"> </w:t>
      </w:r>
      <w:r w:rsidRPr="00DA01AD">
        <w:rPr>
          <w:rFonts w:ascii="Times New Roman" w:hAnsi="Times New Roman"/>
          <w:sz w:val="18"/>
          <w:lang w:val="el-GR" w:bidi="he-IL"/>
        </w:rPr>
        <w:t>πατὴρ</w:t>
      </w:r>
      <w:r w:rsidRPr="00DA01AD">
        <w:rPr>
          <w:rFonts w:ascii="Bwgrkl" w:hAnsi="Bwgrkl" w:cs="SBL Greek"/>
          <w:sz w:val="18"/>
          <w:lang w:val="el-GR" w:bidi="he-IL"/>
        </w:rPr>
        <w:t xml:space="preserve"> </w:t>
      </w:r>
      <w:r w:rsidRPr="00DA01AD">
        <w:rPr>
          <w:rFonts w:ascii="Times New Roman" w:hAnsi="Times New Roman"/>
          <w:sz w:val="18"/>
          <w:lang w:val="el-GR" w:bidi="he-IL"/>
        </w:rPr>
        <w:t>τοῖς</w:t>
      </w:r>
      <w:r w:rsidRPr="00DA01AD">
        <w:rPr>
          <w:rFonts w:ascii="Bwgrkl" w:hAnsi="Bwgrkl" w:cs="SBL Greek"/>
          <w:sz w:val="18"/>
          <w:lang w:val="el-GR" w:bidi="he-IL"/>
        </w:rPr>
        <w:t xml:space="preserve"> </w:t>
      </w:r>
      <w:r w:rsidRPr="00DA01AD">
        <w:rPr>
          <w:rFonts w:ascii="Times New Roman" w:hAnsi="Times New Roman"/>
          <w:sz w:val="18"/>
          <w:lang w:val="el-GR" w:bidi="he-IL"/>
        </w:rPr>
        <w:t>ἐνοικοῦσιν</w:t>
      </w:r>
      <w:r w:rsidRPr="00DA01AD">
        <w:rPr>
          <w:rFonts w:ascii="Bwgrkl" w:hAnsi="Bwgrkl" w:cs="SBL Greek"/>
          <w:sz w:val="18"/>
          <w:lang w:val="el-GR" w:bidi="he-IL"/>
        </w:rPr>
        <w:t xml:space="preserve"> </w:t>
      </w:r>
      <w:r w:rsidRPr="00DA01AD">
        <w:rPr>
          <w:rFonts w:ascii="Times New Roman" w:hAnsi="Times New Roman"/>
          <w:sz w:val="18"/>
          <w:lang w:val="el-GR" w:bidi="he-IL"/>
        </w:rPr>
        <w:t>ἐν</w:t>
      </w:r>
      <w:r w:rsidRPr="00DA01AD">
        <w:rPr>
          <w:rFonts w:ascii="Bwgrkl" w:hAnsi="Bwgrkl" w:cs="SBL Greek"/>
          <w:sz w:val="18"/>
          <w:lang w:val="el-GR" w:bidi="he-IL"/>
        </w:rPr>
        <w:t xml:space="preserve"> </w:t>
      </w:r>
      <w:r w:rsidRPr="00DA01AD">
        <w:rPr>
          <w:rFonts w:ascii="Times New Roman" w:hAnsi="Times New Roman"/>
          <w:sz w:val="18"/>
          <w:lang w:val="el-GR" w:bidi="he-IL"/>
        </w:rPr>
        <w:t>Ιερουσαλημ</w:t>
      </w:r>
      <w:r w:rsidRPr="00DA01AD">
        <w:rPr>
          <w:rFonts w:ascii="Bwgrkl" w:hAnsi="Bwgrkl" w:cs="SBL Greek"/>
          <w:sz w:val="18"/>
          <w:lang w:val="el-GR" w:bidi="he-IL"/>
        </w:rPr>
        <w:t xml:space="preserve"> </w:t>
      </w:r>
      <w:r w:rsidRPr="00DA01AD">
        <w:rPr>
          <w:rFonts w:ascii="Times New Roman" w:hAnsi="Times New Roman"/>
          <w:sz w:val="18"/>
          <w:lang w:val="el-GR" w:bidi="he-IL"/>
        </w:rPr>
        <w:t>καὶ</w:t>
      </w:r>
      <w:r w:rsidRPr="00DA01AD">
        <w:rPr>
          <w:rFonts w:ascii="Bwgrkl" w:hAnsi="Bwgrkl" w:cs="SBL Greek"/>
          <w:sz w:val="18"/>
          <w:lang w:val="el-GR" w:bidi="he-IL"/>
        </w:rPr>
        <w:t xml:space="preserve"> </w:t>
      </w:r>
      <w:r w:rsidRPr="00DA01AD">
        <w:rPr>
          <w:rFonts w:ascii="Times New Roman" w:hAnsi="Times New Roman"/>
          <w:sz w:val="18"/>
          <w:lang w:val="el-GR" w:bidi="he-IL"/>
        </w:rPr>
        <w:t>τοῖς</w:t>
      </w:r>
      <w:r w:rsidRPr="00DA01AD">
        <w:rPr>
          <w:rFonts w:ascii="Bwgrkl" w:hAnsi="Bwgrkl" w:cs="SBL Greek"/>
          <w:sz w:val="18"/>
          <w:lang w:val="el-GR" w:bidi="he-IL"/>
        </w:rPr>
        <w:t xml:space="preserve"> </w:t>
      </w:r>
      <w:r w:rsidRPr="00DA01AD">
        <w:rPr>
          <w:rFonts w:ascii="Times New Roman" w:hAnsi="Times New Roman"/>
          <w:sz w:val="18"/>
          <w:lang w:val="el-GR" w:bidi="he-IL"/>
        </w:rPr>
        <w:t>ἐνοικοῦσιν</w:t>
      </w:r>
      <w:r w:rsidRPr="00DA01AD">
        <w:rPr>
          <w:rFonts w:ascii="Bwgrkl" w:hAnsi="Bwgrkl" w:cs="SBL Greek"/>
          <w:sz w:val="18"/>
          <w:lang w:val="el-GR" w:bidi="he-IL"/>
        </w:rPr>
        <w:t xml:space="preserve"> </w:t>
      </w:r>
      <w:r w:rsidRPr="00DA01AD">
        <w:rPr>
          <w:rFonts w:ascii="Times New Roman" w:hAnsi="Times New Roman"/>
          <w:sz w:val="18"/>
          <w:lang w:val="el-GR" w:bidi="he-IL"/>
        </w:rPr>
        <w:t>ἐν</w:t>
      </w:r>
      <w:r w:rsidRPr="00DA01AD">
        <w:rPr>
          <w:rFonts w:ascii="Bwgrkl" w:hAnsi="Bwgrkl" w:cs="SBL Greek"/>
          <w:sz w:val="18"/>
          <w:lang w:val="el-GR" w:bidi="he-IL"/>
        </w:rPr>
        <w:t xml:space="preserve"> </w:t>
      </w:r>
      <w:r w:rsidRPr="00DA01AD">
        <w:rPr>
          <w:rFonts w:ascii="Times New Roman" w:hAnsi="Times New Roman"/>
          <w:sz w:val="18"/>
          <w:lang w:val="el-GR" w:bidi="he-IL"/>
        </w:rPr>
        <w:t>Ιουδα</w:t>
      </w:r>
      <w:r w:rsidRPr="00DA01AD">
        <w:rPr>
          <w:rFonts w:ascii="Perpetua" w:hAnsi="Perpetua" w:cs="Arial"/>
          <w:lang w:bidi="he-IL"/>
        </w:rPr>
        <w:t>’</w:t>
      </w:r>
      <w:r w:rsidRPr="00DA01AD">
        <w:rPr>
          <w:rFonts w:ascii="Arial" w:hAnsi="Arial" w:cs="Arial"/>
          <w:sz w:val="18"/>
          <w:lang w:bidi="he-IL"/>
        </w:rPr>
        <w:t xml:space="preserve"> </w:t>
      </w:r>
      <w:r w:rsidRPr="00DA01AD">
        <w:rPr>
          <w:rFonts w:ascii="Perpetua" w:hAnsi="Perpetua" w:cs="Arial"/>
          <w:lang w:bidi="he-IL"/>
        </w:rPr>
        <w:t>Isa 22:21</w:t>
      </w:r>
      <w:r>
        <w:rPr>
          <w:rFonts w:ascii="Perpetua" w:hAnsi="Perpetua" w:cs="Arial"/>
          <w:lang w:bidi="he-IL"/>
        </w:rPr>
        <w:t>,</w:t>
      </w:r>
      <w:r w:rsidRPr="00DA01AD">
        <w:rPr>
          <w:rFonts w:ascii="Perpetua" w:hAnsi="Perpetua" w:cs="Arial"/>
          <w:lang w:bidi="he-IL"/>
        </w:rPr>
        <w:t xml:space="preserve"> </w:t>
      </w:r>
      <w:r w:rsidRPr="00DA01AD">
        <w:rPr>
          <w:rFonts w:ascii="Perpetua" w:hAnsi="Perpetua" w:cs="Arial"/>
          <w:i/>
          <w:lang w:bidi="he-IL"/>
        </w:rPr>
        <w:t>LXX</w:t>
      </w:r>
      <w:r>
        <w:rPr>
          <w:rFonts w:ascii="Perpetua" w:hAnsi="Perpetua" w:cs="Arial"/>
          <w:lang w:bidi="he-IL"/>
        </w:rPr>
        <w:t>.</w:t>
      </w:r>
      <w:r w:rsidRPr="00DA01AD">
        <w:rPr>
          <w:rFonts w:ascii="Arial" w:hAnsi="Arial" w:cs="Arial"/>
          <w:sz w:val="18"/>
          <w:lang w:bidi="he-IL"/>
        </w:rPr>
        <w:t xml:space="preserve"> </w:t>
      </w:r>
    </w:p>
    <w:p w:rsidR="00975183" w:rsidRPr="00DA01AD" w:rsidRDefault="00975183" w:rsidP="00442D33">
      <w:pPr>
        <w:pStyle w:val="FootnoteText"/>
        <w:rPr>
          <w:sz w:val="18"/>
          <w:lang w:val="en-US"/>
        </w:rPr>
      </w:pPr>
      <w:r w:rsidRPr="00DA01AD">
        <w:rPr>
          <w:rFonts w:ascii="Arial" w:hAnsi="Arial" w:cs="Arial"/>
          <w:sz w:val="18"/>
          <w:lang w:bidi="he-IL"/>
        </w:rPr>
        <w:t>‘</w:t>
      </w:r>
      <w:r w:rsidRPr="00DA01AD">
        <w:rPr>
          <w:rFonts w:ascii="Perpetua" w:hAnsi="Perpetua" w:cs="Arial"/>
          <w:lang w:bidi="he-IL"/>
        </w:rPr>
        <w:t xml:space="preserve">And I will clothe him with thy robe, and strengthen him with thy girdle, and I will commit </w:t>
      </w:r>
      <w:r w:rsidRPr="00DA01AD">
        <w:rPr>
          <w:rFonts w:ascii="Perpetua" w:hAnsi="Perpetua" w:cs="Arial"/>
          <w:u w:val="single"/>
          <w:lang w:bidi="he-IL"/>
        </w:rPr>
        <w:t>thy government</w:t>
      </w:r>
      <w:r w:rsidRPr="00DA01AD">
        <w:rPr>
          <w:rFonts w:ascii="Perpetua" w:hAnsi="Perpetua" w:cs="Arial"/>
          <w:lang w:bidi="he-IL"/>
        </w:rPr>
        <w:t xml:space="preserve"> into his hand: and he shall be a father to the inhabitants of Jerusalem, and to the house of Judah.’ </w:t>
      </w:r>
      <w:proofErr w:type="gramStart"/>
      <w:r w:rsidRPr="00DA01AD">
        <w:rPr>
          <w:rFonts w:ascii="Perpetua" w:hAnsi="Perpetua" w:cs="Arial"/>
          <w:lang w:bidi="he-IL"/>
        </w:rPr>
        <w:t xml:space="preserve">Isa 22:19 </w:t>
      </w:r>
      <w:r w:rsidRPr="00DA01AD">
        <w:rPr>
          <w:rFonts w:ascii="Perpetua" w:hAnsi="Perpetua" w:cs="Arial"/>
          <w:i/>
          <w:lang w:bidi="he-IL"/>
        </w:rPr>
        <w:t>KJV</w:t>
      </w:r>
      <w:r>
        <w:rPr>
          <w:rFonts w:ascii="Perpetua" w:hAnsi="Perpetua" w:cs="Arial"/>
          <w:lang w:bidi="he-IL"/>
        </w:rPr>
        <w:t>.</w:t>
      </w:r>
      <w:proofErr w:type="gramEnd"/>
    </w:p>
  </w:footnote>
  <w:footnote w:id="53">
    <w:p w:rsidR="00975183" w:rsidRDefault="00975183" w:rsidP="00442D33">
      <w:pPr>
        <w:pStyle w:val="FootnoteText"/>
        <w:rPr>
          <w:rFonts w:ascii="Perpetua" w:hAnsi="Perpetua" w:cs="Arial"/>
          <w:lang w:bidi="he-IL"/>
        </w:rPr>
      </w:pPr>
      <w:r w:rsidRPr="00DA01AD">
        <w:rPr>
          <w:rStyle w:val="FootnoteReference"/>
          <w:rFonts w:ascii="Perpetua" w:hAnsi="Perpetua"/>
        </w:rPr>
        <w:footnoteRef/>
      </w:r>
      <w:r w:rsidRPr="00DA01AD">
        <w:rPr>
          <w:rFonts w:ascii="Perpetua" w:hAnsi="Perpetua"/>
        </w:rPr>
        <w:t xml:space="preserve"> </w:t>
      </w:r>
      <w:proofErr w:type="gramStart"/>
      <w:r w:rsidRPr="00DA01AD">
        <w:rPr>
          <w:rFonts w:ascii="Perpetua" w:hAnsi="Perpetua" w:cs="Arial"/>
          <w:lang w:val="en-US" w:bidi="he-IL"/>
        </w:rPr>
        <w:t>‘</w:t>
      </w:r>
      <w:r w:rsidRPr="00DA01AD">
        <w:rPr>
          <w:rFonts w:ascii="Times New Roman" w:hAnsi="Times New Roman"/>
          <w:sz w:val="18"/>
          <w:lang w:val="el-GR" w:bidi="he-IL"/>
        </w:rPr>
        <w:t>Εἰ</w:t>
      </w:r>
      <w:r w:rsidRPr="00DA01AD">
        <w:rPr>
          <w:rFonts w:ascii="Bwgrkl" w:hAnsi="Bwgrkl" w:cs="SBL Greek"/>
          <w:sz w:val="18"/>
          <w:lang w:val="el-GR" w:bidi="he-IL"/>
        </w:rPr>
        <w:t xml:space="preserve"> </w:t>
      </w:r>
      <w:r w:rsidRPr="00DA01AD">
        <w:rPr>
          <w:rFonts w:ascii="Times New Roman" w:hAnsi="Times New Roman"/>
          <w:sz w:val="18"/>
          <w:lang w:val="el-GR" w:bidi="he-IL"/>
        </w:rPr>
        <w:t>γὰρ</w:t>
      </w:r>
      <w:r w:rsidRPr="00DA01AD">
        <w:rPr>
          <w:rFonts w:ascii="Bwgrkl" w:hAnsi="Bwgrkl" w:cs="SBL Greek"/>
          <w:sz w:val="18"/>
          <w:lang w:val="el-GR" w:bidi="he-IL"/>
        </w:rPr>
        <w:t xml:space="preserve"> </w:t>
      </w:r>
      <w:r w:rsidRPr="00DA01AD">
        <w:rPr>
          <w:rFonts w:ascii="Times New Roman" w:hAnsi="Times New Roman"/>
          <w:sz w:val="18"/>
          <w:lang w:val="el-GR" w:bidi="he-IL"/>
        </w:rPr>
        <w:t>ἑκὼν</w:t>
      </w:r>
      <w:r w:rsidRPr="00DA01AD">
        <w:rPr>
          <w:rFonts w:ascii="Bwgrkl" w:hAnsi="Bwgrkl" w:cs="SBL Greek"/>
          <w:sz w:val="18"/>
          <w:lang w:val="el-GR" w:bidi="he-IL"/>
        </w:rPr>
        <w:t xml:space="preserve"> </w:t>
      </w:r>
      <w:r w:rsidRPr="00DA01AD">
        <w:rPr>
          <w:rFonts w:ascii="Times New Roman" w:hAnsi="Times New Roman"/>
          <w:sz w:val="18"/>
          <w:lang w:val="el-GR" w:bidi="he-IL"/>
        </w:rPr>
        <w:t>τοῦτο</w:t>
      </w:r>
      <w:r w:rsidRPr="00DA01AD">
        <w:rPr>
          <w:rFonts w:ascii="Bwgrkl" w:hAnsi="Bwgrkl" w:cs="SBL Greek"/>
          <w:sz w:val="18"/>
          <w:lang w:val="el-GR" w:bidi="he-IL"/>
        </w:rPr>
        <w:t xml:space="preserve"> </w:t>
      </w:r>
      <w:r w:rsidRPr="00DA01AD">
        <w:rPr>
          <w:rFonts w:ascii="Times New Roman" w:hAnsi="Times New Roman"/>
          <w:sz w:val="18"/>
          <w:lang w:val="el-GR" w:bidi="he-IL"/>
        </w:rPr>
        <w:t>πράσσω</w:t>
      </w:r>
      <w:r w:rsidRPr="00DA01AD">
        <w:rPr>
          <w:rFonts w:ascii="Bwgrkl" w:hAnsi="Bwgrkl" w:cs="SBL Greek"/>
          <w:sz w:val="18"/>
          <w:lang w:val="el-GR" w:bidi="he-IL"/>
        </w:rPr>
        <w:t xml:space="preserve">, </w:t>
      </w:r>
      <w:r w:rsidRPr="00DA01AD">
        <w:rPr>
          <w:rFonts w:ascii="Times New Roman" w:hAnsi="Times New Roman"/>
          <w:sz w:val="18"/>
          <w:lang w:val="el-GR" w:bidi="he-IL"/>
        </w:rPr>
        <w:t>μισθὸν</w:t>
      </w:r>
      <w:r w:rsidRPr="00DA01AD">
        <w:rPr>
          <w:rFonts w:ascii="Bwgrkl" w:hAnsi="Bwgrkl" w:cs="SBL Greek"/>
          <w:sz w:val="18"/>
          <w:lang w:val="el-GR" w:bidi="he-IL"/>
        </w:rPr>
        <w:t xml:space="preserve"> </w:t>
      </w:r>
      <w:r w:rsidRPr="00DA01AD">
        <w:rPr>
          <w:rFonts w:ascii="Times New Roman" w:hAnsi="Times New Roman"/>
          <w:sz w:val="18"/>
          <w:lang w:val="el-GR" w:bidi="he-IL"/>
        </w:rPr>
        <w:t>ἔχω</w:t>
      </w:r>
      <w:r w:rsidRPr="00DA01AD">
        <w:rPr>
          <w:rFonts w:ascii="Bwgrkl" w:hAnsi="Bwgrkl" w:cs="Bwgrkl"/>
          <w:sz w:val="18"/>
          <w:lang w:val="el-GR" w:bidi="he-IL"/>
        </w:rPr>
        <w:t>·</w:t>
      </w:r>
      <w:r w:rsidRPr="00DA01AD">
        <w:rPr>
          <w:rFonts w:ascii="Bwgrkl" w:hAnsi="Bwgrkl" w:cs="SBL Greek"/>
          <w:sz w:val="18"/>
          <w:lang w:val="el-GR" w:bidi="he-IL"/>
        </w:rPr>
        <w:t xml:space="preserve"> </w:t>
      </w:r>
      <w:r w:rsidRPr="00DA01AD">
        <w:rPr>
          <w:rFonts w:ascii="Times New Roman" w:hAnsi="Times New Roman"/>
          <w:sz w:val="18"/>
          <w:lang w:val="el-GR" w:bidi="he-IL"/>
        </w:rPr>
        <w:t>εἰ</w:t>
      </w:r>
      <w:r w:rsidRPr="00DA01AD">
        <w:rPr>
          <w:rFonts w:ascii="Bwgrkl" w:hAnsi="Bwgrkl" w:cs="SBL Greek"/>
          <w:sz w:val="18"/>
          <w:lang w:val="el-GR" w:bidi="he-IL"/>
        </w:rPr>
        <w:t xml:space="preserve"> </w:t>
      </w:r>
      <w:r w:rsidRPr="00DA01AD">
        <w:rPr>
          <w:rFonts w:ascii="Times New Roman" w:hAnsi="Times New Roman"/>
          <w:sz w:val="18"/>
          <w:lang w:val="el-GR" w:bidi="he-IL"/>
        </w:rPr>
        <w:t>δὲ</w:t>
      </w:r>
      <w:r w:rsidRPr="00DA01AD">
        <w:rPr>
          <w:rFonts w:ascii="Bwgrkl" w:hAnsi="Bwgrkl" w:cs="SBL Greek"/>
          <w:sz w:val="18"/>
          <w:lang w:val="el-GR" w:bidi="he-IL"/>
        </w:rPr>
        <w:t xml:space="preserve"> </w:t>
      </w:r>
      <w:r w:rsidRPr="00DA01AD">
        <w:rPr>
          <w:rFonts w:ascii="Times New Roman" w:hAnsi="Times New Roman"/>
          <w:sz w:val="18"/>
          <w:lang w:val="el-GR" w:bidi="he-IL"/>
        </w:rPr>
        <w:t>ἄκων</w:t>
      </w:r>
      <w:r w:rsidRPr="00DA01AD">
        <w:rPr>
          <w:rFonts w:ascii="Bwgrkl" w:hAnsi="Bwgrkl" w:cs="SBL Greek"/>
          <w:sz w:val="18"/>
          <w:lang w:val="el-GR" w:bidi="he-IL"/>
        </w:rPr>
        <w:t xml:space="preserve">, </w:t>
      </w:r>
      <w:r w:rsidRPr="00DA01AD">
        <w:rPr>
          <w:rFonts w:ascii="Times New Roman" w:hAnsi="Times New Roman"/>
          <w:sz w:val="18"/>
          <w:u w:val="single"/>
          <w:lang w:val="el-GR" w:bidi="he-IL"/>
        </w:rPr>
        <w:t>οἰκονομίαν</w:t>
      </w:r>
      <w:r w:rsidRPr="00DA01AD">
        <w:rPr>
          <w:rFonts w:ascii="Bwgrkl" w:hAnsi="Bwgrkl" w:cs="SBL Greek"/>
          <w:sz w:val="18"/>
          <w:u w:val="single"/>
          <w:lang w:val="el-GR" w:bidi="he-IL"/>
        </w:rPr>
        <w:t xml:space="preserve"> </w:t>
      </w:r>
      <w:r w:rsidRPr="00DA01AD">
        <w:rPr>
          <w:rFonts w:ascii="Times New Roman" w:hAnsi="Times New Roman"/>
          <w:sz w:val="18"/>
          <w:lang w:val="el-GR" w:bidi="he-IL"/>
        </w:rPr>
        <w:t>πεπίστευμαι</w:t>
      </w:r>
      <w:r w:rsidRPr="00DA01AD">
        <w:rPr>
          <w:rFonts w:ascii="SBL Greek" w:hAnsi="SBL Greek" w:cs="SBL Greek"/>
          <w:sz w:val="18"/>
          <w:lang w:val="el-GR" w:bidi="he-IL"/>
        </w:rPr>
        <w:t>.</w:t>
      </w:r>
      <w:r w:rsidRPr="00DA01AD">
        <w:rPr>
          <w:rFonts w:ascii="Arial" w:hAnsi="Arial" w:cs="Arial"/>
          <w:sz w:val="18"/>
          <w:lang w:val="en-US" w:bidi="he-IL"/>
        </w:rPr>
        <w:t>’</w:t>
      </w:r>
      <w:proofErr w:type="gramEnd"/>
      <w:r w:rsidRPr="00DA01AD">
        <w:rPr>
          <w:rFonts w:ascii="Arial" w:hAnsi="Arial" w:cs="Arial"/>
          <w:sz w:val="18"/>
          <w:lang w:bidi="he-IL"/>
        </w:rPr>
        <w:t xml:space="preserve"> </w:t>
      </w:r>
      <w:r w:rsidRPr="00DA01AD">
        <w:rPr>
          <w:rFonts w:ascii="Perpetua" w:hAnsi="Perpetua" w:cs="Arial"/>
          <w:lang w:bidi="he-IL"/>
        </w:rPr>
        <w:t>(1Cor. 9:17)</w:t>
      </w:r>
      <w:r>
        <w:rPr>
          <w:rFonts w:ascii="Perpetua" w:hAnsi="Perpetua" w:cs="Arial"/>
          <w:lang w:bidi="he-IL"/>
        </w:rPr>
        <w:t xml:space="preserve">  </w:t>
      </w:r>
    </w:p>
    <w:p w:rsidR="00975183" w:rsidRPr="00DA01AD" w:rsidRDefault="00975183" w:rsidP="00442D33">
      <w:pPr>
        <w:pStyle w:val="FootnoteText"/>
        <w:rPr>
          <w:rFonts w:ascii="Perpetua" w:hAnsi="Perpetua" w:cs="Arial"/>
          <w:lang w:bidi="he-IL"/>
        </w:rPr>
      </w:pPr>
      <w:r w:rsidRPr="00DA01AD">
        <w:rPr>
          <w:rFonts w:ascii="Perpetua" w:hAnsi="Perpetua" w:cs="Arial"/>
          <w:lang w:bidi="he-IL"/>
        </w:rPr>
        <w:t xml:space="preserve">‘For if I do this thing willingly, I have a reward: but if against my will, </w:t>
      </w:r>
      <w:r w:rsidRPr="00DA01AD">
        <w:rPr>
          <w:rFonts w:ascii="Perpetua" w:hAnsi="Perpetua" w:cs="Arial"/>
          <w:u w:val="single"/>
          <w:lang w:bidi="he-IL"/>
        </w:rPr>
        <w:t xml:space="preserve">a dispensation </w:t>
      </w:r>
      <w:r w:rsidRPr="00DA01AD">
        <w:rPr>
          <w:rFonts w:ascii="Perpetua" w:hAnsi="Perpetua" w:cs="Arial"/>
          <w:i/>
          <w:iCs/>
          <w:u w:val="single"/>
          <w:lang w:bidi="he-IL"/>
        </w:rPr>
        <w:t>of the gospel</w:t>
      </w:r>
      <w:r w:rsidRPr="00DA01AD">
        <w:rPr>
          <w:rFonts w:ascii="Perpetua" w:hAnsi="Perpetua" w:cs="Arial"/>
          <w:i/>
          <w:iCs/>
          <w:lang w:bidi="he-IL"/>
        </w:rPr>
        <w:t xml:space="preserve"> </w:t>
      </w:r>
      <w:r w:rsidRPr="00DA01AD">
        <w:rPr>
          <w:rFonts w:ascii="Perpetua" w:hAnsi="Perpetua" w:cs="Arial"/>
          <w:lang w:bidi="he-IL"/>
        </w:rPr>
        <w:t xml:space="preserve">is committed unto me.’  </w:t>
      </w:r>
      <w:proofErr w:type="gramStart"/>
      <w:r w:rsidRPr="00DA01AD">
        <w:rPr>
          <w:rFonts w:ascii="Perpetua" w:hAnsi="Perpetua" w:cs="Arial"/>
          <w:lang w:bidi="he-IL"/>
        </w:rPr>
        <w:t xml:space="preserve">1Cor. 9:17 </w:t>
      </w:r>
      <w:r w:rsidRPr="00DA01AD">
        <w:rPr>
          <w:rFonts w:ascii="Perpetua" w:hAnsi="Perpetua" w:cs="Arial"/>
          <w:i/>
          <w:lang w:bidi="he-IL"/>
        </w:rPr>
        <w:t>KJV</w:t>
      </w:r>
      <w:r>
        <w:rPr>
          <w:rFonts w:ascii="Perpetua" w:hAnsi="Perpetua" w:cs="Arial"/>
          <w:lang w:bidi="he-IL"/>
        </w:rPr>
        <w:t>.</w:t>
      </w:r>
      <w:proofErr w:type="gramEnd"/>
    </w:p>
    <w:p w:rsidR="00975183" w:rsidRPr="00F37517" w:rsidRDefault="00975183" w:rsidP="00442D33">
      <w:pPr>
        <w:autoSpaceDE w:val="0"/>
        <w:autoSpaceDN w:val="0"/>
        <w:adjustRightInd w:val="0"/>
        <w:spacing w:after="0" w:line="240" w:lineRule="auto"/>
        <w:rPr>
          <w:rFonts w:cs="Arial"/>
          <w:sz w:val="20"/>
          <w:lang w:bidi="he-IL"/>
        </w:rPr>
      </w:pPr>
      <w:r w:rsidRPr="00F37517">
        <w:rPr>
          <w:rFonts w:cs="Arial"/>
          <w:sz w:val="20"/>
          <w:lang w:bidi="he-IL"/>
        </w:rPr>
        <w:t xml:space="preserve">Note that the </w:t>
      </w:r>
      <w:r w:rsidRPr="00F37517">
        <w:rPr>
          <w:rFonts w:cs="Arial"/>
          <w:i/>
          <w:sz w:val="20"/>
          <w:lang w:bidi="he-IL"/>
        </w:rPr>
        <w:t>KJV</w:t>
      </w:r>
      <w:r w:rsidRPr="00F37517">
        <w:rPr>
          <w:rFonts w:cs="Arial"/>
          <w:sz w:val="20"/>
          <w:lang w:bidi="he-IL"/>
        </w:rPr>
        <w:t xml:space="preserve"> translators have added ‘of the gospel’; other translations omit this.  The Geneva Bible does not have it (For if I do it willingly, I haue a reward, but if I do it against my will, notwithstanding </w:t>
      </w:r>
      <w:r w:rsidRPr="00F37517">
        <w:rPr>
          <w:rFonts w:cs="Arial"/>
          <w:sz w:val="20"/>
          <w:u w:val="single"/>
          <w:lang w:bidi="he-IL"/>
        </w:rPr>
        <w:t>the dispensation</w:t>
      </w:r>
      <w:r w:rsidRPr="00F37517">
        <w:rPr>
          <w:rFonts w:cs="Arial"/>
          <w:sz w:val="20"/>
          <w:lang w:bidi="he-IL"/>
        </w:rPr>
        <w:t xml:space="preserve"> is committed vnto me. [1Cor. 9:17, </w:t>
      </w:r>
      <w:r w:rsidRPr="00F37517">
        <w:rPr>
          <w:rFonts w:cs="Arial"/>
          <w:i/>
          <w:sz w:val="20"/>
          <w:lang w:bidi="he-IL"/>
        </w:rPr>
        <w:t>Geneva Version</w:t>
      </w:r>
      <w:r w:rsidRPr="00F37517">
        <w:rPr>
          <w:rFonts w:cs="Arial"/>
          <w:sz w:val="20"/>
          <w:lang w:bidi="he-IL"/>
        </w:rPr>
        <w:t xml:space="preserve">] and nor do New American Standard Version (For if I do this voluntarily, I have a reward; but if against my will, I have </w:t>
      </w:r>
      <w:r w:rsidRPr="00F37517">
        <w:rPr>
          <w:rFonts w:cs="Arial"/>
          <w:sz w:val="20"/>
          <w:u w:val="single"/>
          <w:lang w:bidi="he-IL"/>
        </w:rPr>
        <w:t>a stewardship</w:t>
      </w:r>
      <w:r w:rsidRPr="00F37517">
        <w:rPr>
          <w:rFonts w:cs="Arial"/>
          <w:sz w:val="20"/>
          <w:lang w:bidi="he-IL"/>
        </w:rPr>
        <w:t xml:space="preserve"> entrusted to me. [1</w:t>
      </w:r>
      <w:r>
        <w:rPr>
          <w:rFonts w:cs="Arial"/>
          <w:sz w:val="20"/>
          <w:lang w:bidi="he-IL"/>
        </w:rPr>
        <w:t xml:space="preserve"> </w:t>
      </w:r>
      <w:r w:rsidRPr="00F37517">
        <w:rPr>
          <w:rFonts w:cs="Arial"/>
          <w:sz w:val="20"/>
          <w:lang w:bidi="he-IL"/>
        </w:rPr>
        <w:t>Co</w:t>
      </w:r>
      <w:r>
        <w:rPr>
          <w:rFonts w:cs="Arial"/>
          <w:sz w:val="20"/>
          <w:lang w:bidi="he-IL"/>
        </w:rPr>
        <w:t>r.</w:t>
      </w:r>
      <w:r w:rsidRPr="00F37517">
        <w:rPr>
          <w:rFonts w:cs="Arial"/>
          <w:sz w:val="20"/>
          <w:lang w:bidi="he-IL"/>
        </w:rPr>
        <w:t xml:space="preserve"> 9:17 </w:t>
      </w:r>
      <w:r w:rsidRPr="00F37517">
        <w:rPr>
          <w:rFonts w:cs="Arial"/>
          <w:i/>
          <w:sz w:val="20"/>
          <w:lang w:bidi="he-IL"/>
        </w:rPr>
        <w:t>NAS</w:t>
      </w:r>
      <w:r w:rsidRPr="00F37517">
        <w:rPr>
          <w:rFonts w:cs="Arial"/>
          <w:sz w:val="20"/>
          <w:lang w:bidi="he-IL"/>
        </w:rPr>
        <w:t xml:space="preserve">]) </w:t>
      </w:r>
      <w:proofErr w:type="gramStart"/>
      <w:r w:rsidRPr="00F37517">
        <w:rPr>
          <w:rFonts w:cs="Arial"/>
          <w:sz w:val="20"/>
          <w:lang w:bidi="he-IL"/>
        </w:rPr>
        <w:t>and</w:t>
      </w:r>
      <w:proofErr w:type="gramEnd"/>
      <w:r w:rsidRPr="00F37517">
        <w:rPr>
          <w:rFonts w:cs="Arial"/>
          <w:sz w:val="20"/>
          <w:lang w:bidi="he-IL"/>
        </w:rPr>
        <w:t xml:space="preserve"> </w:t>
      </w:r>
      <w:r w:rsidRPr="00024E1E">
        <w:rPr>
          <w:rFonts w:cs="Arial"/>
          <w:i/>
          <w:sz w:val="20"/>
          <w:lang w:bidi="he-IL"/>
        </w:rPr>
        <w:t>New Revised Standard Version</w:t>
      </w:r>
      <w:r w:rsidRPr="00F37517">
        <w:rPr>
          <w:rFonts w:cs="Arial"/>
          <w:sz w:val="20"/>
          <w:lang w:bidi="he-IL"/>
        </w:rPr>
        <w:t xml:space="preserve"> (For if I do this of my own will, I have a reward; but if not of my own will, I am entrusted with </w:t>
      </w:r>
      <w:r w:rsidRPr="00F37517">
        <w:rPr>
          <w:rFonts w:cs="Arial"/>
          <w:sz w:val="20"/>
          <w:u w:val="single"/>
          <w:lang w:bidi="he-IL"/>
        </w:rPr>
        <w:t>a commission</w:t>
      </w:r>
      <w:r w:rsidRPr="00F37517">
        <w:rPr>
          <w:rFonts w:cs="Arial"/>
          <w:sz w:val="20"/>
          <w:lang w:bidi="he-IL"/>
        </w:rPr>
        <w:t xml:space="preserve">. [1Cor. 9:17 </w:t>
      </w:r>
      <w:r w:rsidRPr="00F37517">
        <w:rPr>
          <w:rFonts w:cs="Arial"/>
          <w:i/>
          <w:sz w:val="20"/>
          <w:lang w:bidi="he-IL"/>
        </w:rPr>
        <w:t>NRSV</w:t>
      </w:r>
      <w:r w:rsidRPr="00F37517">
        <w:rPr>
          <w:rFonts w:cs="Arial"/>
          <w:sz w:val="20"/>
          <w:lang w:bidi="he-IL"/>
        </w:rPr>
        <w:t>]).</w:t>
      </w:r>
    </w:p>
    <w:p w:rsidR="00975183" w:rsidRPr="00F37517" w:rsidRDefault="00975183" w:rsidP="00442D33">
      <w:pPr>
        <w:autoSpaceDE w:val="0"/>
        <w:autoSpaceDN w:val="0"/>
        <w:adjustRightInd w:val="0"/>
        <w:spacing w:after="0" w:line="240" w:lineRule="auto"/>
        <w:rPr>
          <w:rFonts w:cs="Arial"/>
          <w:sz w:val="20"/>
          <w:lang w:bidi="he-IL"/>
        </w:rPr>
      </w:pPr>
      <w:r w:rsidRPr="00F37517">
        <w:rPr>
          <w:rFonts w:cs="Arial"/>
          <w:sz w:val="20"/>
          <w:lang w:bidi="he-IL"/>
        </w:rPr>
        <w:t>‘</w:t>
      </w:r>
      <w:r w:rsidRPr="00F37517">
        <w:rPr>
          <w:rFonts w:ascii="Times New Roman" w:hAnsi="Times New Roman"/>
          <w:sz w:val="20"/>
          <w:lang w:val="el-GR" w:bidi="he-IL"/>
        </w:rPr>
        <w:t>ἧς</w:t>
      </w:r>
      <w:r w:rsidRPr="00F37517">
        <w:rPr>
          <w:rFonts w:ascii="Bwgrkl" w:hAnsi="Bwgrkl" w:cs="SBL Greek"/>
          <w:sz w:val="20"/>
          <w:lang w:val="el-GR" w:bidi="he-IL"/>
        </w:rPr>
        <w:t xml:space="preserve"> </w:t>
      </w:r>
      <w:r w:rsidRPr="00F37517">
        <w:rPr>
          <w:rFonts w:ascii="Times New Roman" w:hAnsi="Times New Roman"/>
          <w:sz w:val="20"/>
          <w:lang w:val="el-GR" w:bidi="he-IL"/>
        </w:rPr>
        <w:t>ἐγενόμην</w:t>
      </w:r>
      <w:r w:rsidRPr="00F37517">
        <w:rPr>
          <w:rFonts w:ascii="Bwgrkl" w:hAnsi="Bwgrkl" w:cs="SBL Greek"/>
          <w:sz w:val="20"/>
          <w:lang w:val="el-GR" w:bidi="he-IL"/>
        </w:rPr>
        <w:t xml:space="preserve"> </w:t>
      </w:r>
      <w:r w:rsidRPr="00F37517">
        <w:rPr>
          <w:rFonts w:ascii="Times New Roman" w:hAnsi="Times New Roman"/>
          <w:sz w:val="20"/>
          <w:lang w:val="el-GR" w:bidi="he-IL"/>
        </w:rPr>
        <w:t>ἐγὼ</w:t>
      </w:r>
      <w:r w:rsidRPr="00F37517">
        <w:rPr>
          <w:rFonts w:ascii="Bwgrkl" w:hAnsi="Bwgrkl" w:cs="SBL Greek"/>
          <w:sz w:val="20"/>
          <w:lang w:val="el-GR" w:bidi="he-IL"/>
        </w:rPr>
        <w:t xml:space="preserve"> </w:t>
      </w:r>
      <w:r w:rsidRPr="00F37517">
        <w:rPr>
          <w:rFonts w:ascii="Times New Roman" w:hAnsi="Times New Roman"/>
          <w:sz w:val="20"/>
          <w:lang w:val="el-GR" w:bidi="he-IL"/>
        </w:rPr>
        <w:t>διάκονος</w:t>
      </w:r>
      <w:r w:rsidRPr="00F37517">
        <w:rPr>
          <w:rFonts w:ascii="Bwgrkl" w:hAnsi="Bwgrkl" w:cs="SBL Greek"/>
          <w:sz w:val="20"/>
          <w:lang w:val="el-GR" w:bidi="he-IL"/>
        </w:rPr>
        <w:t xml:space="preserve">, </w:t>
      </w:r>
      <w:r w:rsidRPr="00F37517">
        <w:rPr>
          <w:rFonts w:ascii="Times New Roman" w:hAnsi="Times New Roman"/>
          <w:sz w:val="20"/>
          <w:lang w:val="el-GR" w:bidi="he-IL"/>
        </w:rPr>
        <w:t>κατὰ</w:t>
      </w:r>
      <w:r w:rsidRPr="00F37517">
        <w:rPr>
          <w:rFonts w:ascii="Bwgrkl" w:hAnsi="Bwgrkl" w:cs="SBL Greek"/>
          <w:sz w:val="20"/>
          <w:lang w:val="el-GR" w:bidi="he-IL"/>
        </w:rPr>
        <w:t xml:space="preserve"> </w:t>
      </w:r>
      <w:r w:rsidRPr="00F37517">
        <w:rPr>
          <w:rFonts w:ascii="Times New Roman" w:hAnsi="Times New Roman"/>
          <w:sz w:val="20"/>
          <w:u w:val="single"/>
          <w:lang w:val="el-GR" w:bidi="he-IL"/>
        </w:rPr>
        <w:t>τὴν</w:t>
      </w:r>
      <w:r w:rsidRPr="00F37517">
        <w:rPr>
          <w:rFonts w:ascii="Bwgrkl" w:hAnsi="Bwgrkl" w:cs="SBL Greek"/>
          <w:sz w:val="20"/>
          <w:u w:val="single"/>
          <w:lang w:val="el-GR" w:bidi="he-IL"/>
        </w:rPr>
        <w:t xml:space="preserve"> </w:t>
      </w:r>
      <w:r w:rsidRPr="00F37517">
        <w:rPr>
          <w:rFonts w:ascii="Times New Roman" w:hAnsi="Times New Roman"/>
          <w:sz w:val="20"/>
          <w:u w:val="single"/>
          <w:lang w:val="el-GR" w:bidi="he-IL"/>
        </w:rPr>
        <w:t>οἰκονομίαν</w:t>
      </w:r>
      <w:r w:rsidRPr="00F37517">
        <w:rPr>
          <w:rFonts w:ascii="Bwgrkl" w:hAnsi="Bwgrkl" w:cs="SBL Greek"/>
          <w:sz w:val="20"/>
          <w:lang w:val="el-GR" w:bidi="he-IL"/>
        </w:rPr>
        <w:t xml:space="preserve"> </w:t>
      </w:r>
      <w:r w:rsidRPr="00F37517">
        <w:rPr>
          <w:rFonts w:ascii="Times New Roman" w:hAnsi="Times New Roman"/>
          <w:sz w:val="20"/>
          <w:lang w:val="el-GR" w:bidi="he-IL"/>
        </w:rPr>
        <w:t>τοῦ</w:t>
      </w:r>
      <w:r w:rsidRPr="00F37517">
        <w:rPr>
          <w:rFonts w:ascii="Bwgrkl" w:hAnsi="Bwgrkl" w:cs="SBL Greek"/>
          <w:sz w:val="20"/>
          <w:lang w:val="el-GR" w:bidi="he-IL"/>
        </w:rPr>
        <w:t xml:space="preserve"> </w:t>
      </w:r>
      <w:r w:rsidRPr="00F37517">
        <w:rPr>
          <w:rFonts w:ascii="Times New Roman" w:hAnsi="Times New Roman"/>
          <w:sz w:val="20"/>
          <w:lang w:val="el-GR" w:bidi="he-IL"/>
        </w:rPr>
        <w:t>θεοῦ</w:t>
      </w:r>
      <w:r w:rsidRPr="00F37517">
        <w:rPr>
          <w:rFonts w:ascii="Bwgrkl" w:hAnsi="Bwgrkl" w:cs="SBL Greek"/>
          <w:sz w:val="20"/>
          <w:lang w:val="el-GR" w:bidi="he-IL"/>
        </w:rPr>
        <w:t xml:space="preserve"> </w:t>
      </w:r>
      <w:r w:rsidRPr="00F37517">
        <w:rPr>
          <w:rFonts w:ascii="Times New Roman" w:hAnsi="Times New Roman"/>
          <w:sz w:val="20"/>
          <w:lang w:val="el-GR" w:bidi="he-IL"/>
        </w:rPr>
        <w:t>τὴν</w:t>
      </w:r>
      <w:r w:rsidRPr="00F37517">
        <w:rPr>
          <w:rFonts w:ascii="Bwgrkl" w:hAnsi="Bwgrkl" w:cs="SBL Greek"/>
          <w:sz w:val="20"/>
          <w:lang w:val="el-GR" w:bidi="he-IL"/>
        </w:rPr>
        <w:t xml:space="preserve"> </w:t>
      </w:r>
      <w:r w:rsidRPr="00F37517">
        <w:rPr>
          <w:rFonts w:ascii="Times New Roman" w:hAnsi="Times New Roman"/>
          <w:sz w:val="20"/>
          <w:lang w:val="el-GR" w:bidi="he-IL"/>
        </w:rPr>
        <w:t>δοθεῖσάν</w:t>
      </w:r>
      <w:r w:rsidRPr="00F37517">
        <w:rPr>
          <w:rFonts w:ascii="Bwgrkl" w:hAnsi="Bwgrkl" w:cs="SBL Greek"/>
          <w:sz w:val="20"/>
          <w:lang w:val="el-GR" w:bidi="he-IL"/>
        </w:rPr>
        <w:t xml:space="preserve"> </w:t>
      </w:r>
      <w:r w:rsidRPr="00F37517">
        <w:rPr>
          <w:rFonts w:ascii="Times New Roman" w:hAnsi="Times New Roman"/>
          <w:sz w:val="20"/>
          <w:lang w:val="el-GR" w:bidi="he-IL"/>
        </w:rPr>
        <w:t>μοι</w:t>
      </w:r>
      <w:r w:rsidRPr="00F37517">
        <w:rPr>
          <w:rFonts w:ascii="Bwgrkl" w:hAnsi="Bwgrkl" w:cs="SBL Greek"/>
          <w:sz w:val="20"/>
          <w:lang w:val="el-GR" w:bidi="he-IL"/>
        </w:rPr>
        <w:t xml:space="preserve"> </w:t>
      </w:r>
      <w:r w:rsidRPr="00F37517">
        <w:rPr>
          <w:rFonts w:ascii="Times New Roman" w:hAnsi="Times New Roman"/>
          <w:sz w:val="20"/>
          <w:lang w:val="el-GR" w:bidi="he-IL"/>
        </w:rPr>
        <w:t>εἰς</w:t>
      </w:r>
      <w:r w:rsidRPr="00F37517">
        <w:rPr>
          <w:rFonts w:ascii="Bwgrkl" w:hAnsi="Bwgrkl" w:cs="SBL Greek"/>
          <w:sz w:val="20"/>
          <w:lang w:val="el-GR" w:bidi="he-IL"/>
        </w:rPr>
        <w:t xml:space="preserve"> </w:t>
      </w:r>
      <w:r w:rsidRPr="00F37517">
        <w:rPr>
          <w:rFonts w:ascii="Times New Roman" w:hAnsi="Times New Roman"/>
          <w:sz w:val="20"/>
          <w:lang w:val="el-GR" w:bidi="he-IL"/>
        </w:rPr>
        <w:t>ὑμᾶς</w:t>
      </w:r>
      <w:r w:rsidRPr="00F37517">
        <w:rPr>
          <w:rFonts w:ascii="Bwgrkl" w:hAnsi="Bwgrkl" w:cs="SBL Greek"/>
          <w:sz w:val="20"/>
          <w:lang w:val="el-GR" w:bidi="he-IL"/>
        </w:rPr>
        <w:t xml:space="preserve">, </w:t>
      </w:r>
      <w:r w:rsidRPr="00F37517">
        <w:rPr>
          <w:rFonts w:ascii="Times New Roman" w:hAnsi="Times New Roman"/>
          <w:sz w:val="20"/>
          <w:lang w:val="el-GR" w:bidi="he-IL"/>
        </w:rPr>
        <w:t>πληρῶσαι</w:t>
      </w:r>
      <w:r w:rsidRPr="00F37517">
        <w:rPr>
          <w:rFonts w:ascii="Bwgrkl" w:hAnsi="Bwgrkl" w:cs="SBL Greek"/>
          <w:sz w:val="20"/>
          <w:lang w:val="el-GR" w:bidi="he-IL"/>
        </w:rPr>
        <w:t xml:space="preserve"> </w:t>
      </w:r>
      <w:r w:rsidRPr="00F37517">
        <w:rPr>
          <w:rFonts w:ascii="Times New Roman" w:hAnsi="Times New Roman"/>
          <w:sz w:val="20"/>
          <w:lang w:val="el-GR" w:bidi="he-IL"/>
        </w:rPr>
        <w:t>τὸν</w:t>
      </w:r>
      <w:r w:rsidRPr="00F37517">
        <w:rPr>
          <w:rFonts w:ascii="Bwgrkl" w:hAnsi="Bwgrkl" w:cs="SBL Greek"/>
          <w:sz w:val="20"/>
          <w:lang w:val="el-GR" w:bidi="he-IL"/>
        </w:rPr>
        <w:t xml:space="preserve"> </w:t>
      </w:r>
      <w:r w:rsidRPr="00F37517">
        <w:rPr>
          <w:rFonts w:ascii="Times New Roman" w:hAnsi="Times New Roman"/>
          <w:sz w:val="20"/>
          <w:lang w:val="el-GR" w:bidi="he-IL"/>
        </w:rPr>
        <w:t>λόγον</w:t>
      </w:r>
      <w:r w:rsidRPr="00F37517">
        <w:rPr>
          <w:rFonts w:ascii="Bwgrkl" w:hAnsi="Bwgrkl" w:cs="SBL Greek"/>
          <w:sz w:val="20"/>
          <w:lang w:val="el-GR" w:bidi="he-IL"/>
        </w:rPr>
        <w:t xml:space="preserve"> </w:t>
      </w:r>
      <w:r w:rsidRPr="00F37517">
        <w:rPr>
          <w:rFonts w:ascii="Times New Roman" w:hAnsi="Times New Roman"/>
          <w:sz w:val="20"/>
          <w:lang w:val="el-GR" w:bidi="he-IL"/>
        </w:rPr>
        <w:t>τοῦ</w:t>
      </w:r>
      <w:r w:rsidRPr="00F37517">
        <w:rPr>
          <w:rFonts w:ascii="Bwgrkl" w:hAnsi="Bwgrkl" w:cs="SBL Greek"/>
          <w:sz w:val="20"/>
          <w:lang w:val="el-GR" w:bidi="he-IL"/>
        </w:rPr>
        <w:t xml:space="preserve"> </w:t>
      </w:r>
      <w:r w:rsidRPr="00F37517">
        <w:rPr>
          <w:rFonts w:ascii="Times New Roman" w:hAnsi="Times New Roman"/>
          <w:sz w:val="20"/>
          <w:lang w:val="el-GR" w:bidi="he-IL"/>
        </w:rPr>
        <w:t>θεοῦ</w:t>
      </w:r>
      <w:r w:rsidRPr="00F37517">
        <w:rPr>
          <w:rFonts w:cs="SBL Greek"/>
          <w:sz w:val="20"/>
          <w:lang w:val="el-GR" w:bidi="he-IL"/>
        </w:rPr>
        <w:t>,</w:t>
      </w:r>
      <w:r w:rsidRPr="00F37517">
        <w:rPr>
          <w:rFonts w:cs="Arial"/>
          <w:sz w:val="20"/>
          <w:lang w:bidi="he-IL"/>
        </w:rPr>
        <w:t>’ (Col 1:25)</w:t>
      </w:r>
    </w:p>
    <w:p w:rsidR="00975183" w:rsidRPr="00F37517" w:rsidRDefault="00975183" w:rsidP="00442D33">
      <w:pPr>
        <w:autoSpaceDE w:val="0"/>
        <w:autoSpaceDN w:val="0"/>
        <w:adjustRightInd w:val="0"/>
        <w:spacing w:after="0" w:line="240" w:lineRule="auto"/>
        <w:rPr>
          <w:sz w:val="20"/>
          <w:lang w:val="en-US"/>
        </w:rPr>
      </w:pPr>
      <w:proofErr w:type="gramStart"/>
      <w:r w:rsidRPr="00F37517">
        <w:rPr>
          <w:rFonts w:cs="Arial"/>
          <w:sz w:val="20"/>
          <w:lang w:bidi="he-IL"/>
        </w:rPr>
        <w:t xml:space="preserve">Whereof I am made a minister, according to </w:t>
      </w:r>
      <w:r w:rsidRPr="00F37517">
        <w:rPr>
          <w:rFonts w:cs="Arial"/>
          <w:sz w:val="20"/>
          <w:u w:val="single"/>
          <w:lang w:bidi="he-IL"/>
        </w:rPr>
        <w:t>the dispensation of God</w:t>
      </w:r>
      <w:r w:rsidRPr="00F37517">
        <w:rPr>
          <w:rFonts w:cs="Arial"/>
          <w:sz w:val="20"/>
          <w:lang w:bidi="he-IL"/>
        </w:rPr>
        <w:t xml:space="preserve"> which is given to me for you, to fulfil the word of God; (Col. 1:25 </w:t>
      </w:r>
      <w:r w:rsidRPr="00F37517">
        <w:rPr>
          <w:rFonts w:cs="Arial"/>
          <w:i/>
          <w:sz w:val="20"/>
          <w:lang w:bidi="he-IL"/>
        </w:rPr>
        <w:t>KJV</w:t>
      </w:r>
      <w:r w:rsidRPr="00F37517">
        <w:rPr>
          <w:rFonts w:cs="Arial"/>
          <w:sz w:val="20"/>
          <w:lang w:bidi="he-IL"/>
        </w:rPr>
        <w:t>).</w:t>
      </w:r>
      <w:proofErr w:type="gramEnd"/>
      <w:r w:rsidRPr="00F37517">
        <w:rPr>
          <w:rFonts w:cs="Arial"/>
          <w:sz w:val="20"/>
          <w:lang w:bidi="he-IL"/>
        </w:rPr>
        <w:t xml:space="preserve">  </w:t>
      </w:r>
      <w:proofErr w:type="gramStart"/>
      <w:r w:rsidRPr="00F37517">
        <w:rPr>
          <w:rFonts w:cs="Arial"/>
          <w:sz w:val="20"/>
          <w:lang w:bidi="he-IL"/>
        </w:rPr>
        <w:t>(</w:t>
      </w:r>
      <w:r w:rsidRPr="00F37517">
        <w:rPr>
          <w:rFonts w:cs="Arial"/>
          <w:i/>
          <w:sz w:val="20"/>
          <w:lang w:bidi="he-IL"/>
        </w:rPr>
        <w:t>All my emphases</w:t>
      </w:r>
      <w:r w:rsidRPr="00F37517">
        <w:rPr>
          <w:rFonts w:cs="Arial"/>
          <w:sz w:val="20"/>
          <w:lang w:bidi="he-IL"/>
        </w:rPr>
        <w:t>.)</w:t>
      </w:r>
      <w:proofErr w:type="gramEnd"/>
    </w:p>
  </w:footnote>
  <w:footnote w:id="54">
    <w:p w:rsidR="00975183" w:rsidRPr="00DA01AD" w:rsidRDefault="00975183" w:rsidP="00442D33">
      <w:pPr>
        <w:pStyle w:val="FootnoteText"/>
        <w:rPr>
          <w:rFonts w:ascii="Perpetua" w:hAnsi="Perpetua" w:cs="Arial"/>
          <w:lang w:bidi="he-IL"/>
        </w:rPr>
      </w:pPr>
      <w:r w:rsidRPr="00DA01AD">
        <w:rPr>
          <w:rStyle w:val="FootnoteReference"/>
          <w:rFonts w:ascii="Perpetua" w:hAnsi="Perpetua"/>
        </w:rPr>
        <w:footnoteRef/>
      </w:r>
      <w:r w:rsidRPr="00DA01AD">
        <w:rPr>
          <w:rFonts w:ascii="Perpetua" w:hAnsi="Perpetua"/>
        </w:rPr>
        <w:t xml:space="preserve"> </w:t>
      </w:r>
      <w:proofErr w:type="gramStart"/>
      <w:r w:rsidRPr="00DA01AD">
        <w:rPr>
          <w:rFonts w:ascii="Perpetua" w:hAnsi="Perpetua" w:cs="Arial"/>
          <w:lang w:bidi="he-IL"/>
        </w:rPr>
        <w:t>‘</w:t>
      </w:r>
      <w:r w:rsidRPr="002537F3">
        <w:rPr>
          <w:rFonts w:ascii="Times New Roman" w:hAnsi="Times New Roman"/>
          <w:lang w:val="el-GR" w:bidi="he-IL"/>
        </w:rPr>
        <w:t>Καὶ</w:t>
      </w:r>
      <w:r w:rsidRPr="002537F3">
        <w:rPr>
          <w:rFonts w:ascii="Bwgrkl" w:hAnsi="Bwgrkl" w:cs="SBL Greek"/>
          <w:lang w:val="el-GR" w:bidi="he-IL"/>
        </w:rPr>
        <w:t xml:space="preserve"> </w:t>
      </w:r>
      <w:r w:rsidRPr="002537F3">
        <w:rPr>
          <w:rFonts w:ascii="Times New Roman" w:hAnsi="Times New Roman"/>
          <w:lang w:val="el-GR" w:bidi="he-IL"/>
        </w:rPr>
        <w:t>φωνήσας</w:t>
      </w:r>
      <w:r w:rsidRPr="002537F3">
        <w:rPr>
          <w:rFonts w:ascii="Bwgrkl" w:hAnsi="Bwgrkl" w:cs="SBL Greek"/>
          <w:lang w:val="el-GR" w:bidi="he-IL"/>
        </w:rPr>
        <w:t xml:space="preserve"> </w:t>
      </w:r>
      <w:r w:rsidRPr="002537F3">
        <w:rPr>
          <w:rFonts w:ascii="Times New Roman" w:hAnsi="Times New Roman"/>
          <w:lang w:val="el-GR" w:bidi="he-IL"/>
        </w:rPr>
        <w:t>αὐτὸν</w:t>
      </w:r>
      <w:r w:rsidRPr="002537F3">
        <w:rPr>
          <w:rFonts w:ascii="Bwgrkl" w:hAnsi="Bwgrkl" w:cs="SBL Greek"/>
          <w:lang w:val="el-GR" w:bidi="he-IL"/>
        </w:rPr>
        <w:t xml:space="preserve"> </w:t>
      </w:r>
      <w:r w:rsidRPr="002537F3">
        <w:rPr>
          <w:rFonts w:ascii="Times New Roman" w:hAnsi="Times New Roman"/>
          <w:lang w:val="el-GR" w:bidi="he-IL"/>
        </w:rPr>
        <w:t>εἶπεν</w:t>
      </w:r>
      <w:r w:rsidRPr="002537F3">
        <w:rPr>
          <w:rFonts w:ascii="Bwgrkl" w:hAnsi="Bwgrkl" w:cs="SBL Greek"/>
          <w:lang w:val="el-GR" w:bidi="he-IL"/>
        </w:rPr>
        <w:t xml:space="preserve"> </w:t>
      </w:r>
      <w:r w:rsidRPr="002537F3">
        <w:rPr>
          <w:rFonts w:ascii="Times New Roman" w:hAnsi="Times New Roman"/>
          <w:lang w:val="el-GR" w:bidi="he-IL"/>
        </w:rPr>
        <w:t>αὐτῷ</w:t>
      </w:r>
      <w:r w:rsidRPr="002537F3">
        <w:rPr>
          <w:rFonts w:ascii="Bwgrkl" w:hAnsi="Bwgrkl" w:cs="SBL Greek"/>
          <w:lang w:val="el-GR" w:bidi="he-IL"/>
        </w:rPr>
        <w:t xml:space="preserve">, </w:t>
      </w:r>
      <w:r w:rsidRPr="002537F3">
        <w:rPr>
          <w:rFonts w:ascii="Times New Roman" w:hAnsi="Times New Roman"/>
          <w:lang w:val="el-GR" w:bidi="he-IL"/>
        </w:rPr>
        <w:t>Τί</w:t>
      </w:r>
      <w:r w:rsidRPr="002537F3">
        <w:rPr>
          <w:rFonts w:ascii="Bwgrkl" w:hAnsi="Bwgrkl" w:cs="SBL Greek"/>
          <w:lang w:val="el-GR" w:bidi="he-IL"/>
        </w:rPr>
        <w:t xml:space="preserve"> </w:t>
      </w:r>
      <w:r w:rsidRPr="002537F3">
        <w:rPr>
          <w:rFonts w:ascii="Times New Roman" w:hAnsi="Times New Roman"/>
          <w:lang w:val="el-GR" w:bidi="he-IL"/>
        </w:rPr>
        <w:t>τοῦτο</w:t>
      </w:r>
      <w:r w:rsidRPr="002537F3">
        <w:rPr>
          <w:rFonts w:ascii="Bwgrkl" w:hAnsi="Bwgrkl" w:cs="SBL Greek"/>
          <w:lang w:val="el-GR" w:bidi="he-IL"/>
        </w:rPr>
        <w:t xml:space="preserve"> </w:t>
      </w:r>
      <w:r w:rsidRPr="002537F3">
        <w:rPr>
          <w:rFonts w:ascii="Times New Roman" w:hAnsi="Times New Roman"/>
          <w:lang w:val="el-GR" w:bidi="he-IL"/>
        </w:rPr>
        <w:t>ἀκούω</w:t>
      </w:r>
      <w:r w:rsidRPr="002537F3">
        <w:rPr>
          <w:rFonts w:ascii="Bwgrkl" w:hAnsi="Bwgrkl" w:cs="SBL Greek"/>
          <w:lang w:val="el-GR" w:bidi="he-IL"/>
        </w:rPr>
        <w:t xml:space="preserve"> </w:t>
      </w:r>
      <w:r w:rsidRPr="002537F3">
        <w:rPr>
          <w:rFonts w:ascii="Times New Roman" w:hAnsi="Times New Roman"/>
          <w:lang w:val="el-GR" w:bidi="he-IL"/>
        </w:rPr>
        <w:t>περὶ</w:t>
      </w:r>
      <w:r w:rsidRPr="002537F3">
        <w:rPr>
          <w:rFonts w:ascii="Bwgrkl" w:hAnsi="Bwgrkl" w:cs="SBL Greek"/>
          <w:lang w:val="el-GR" w:bidi="he-IL"/>
        </w:rPr>
        <w:t xml:space="preserve"> </w:t>
      </w:r>
      <w:r w:rsidRPr="002537F3">
        <w:rPr>
          <w:rFonts w:ascii="Times New Roman" w:hAnsi="Times New Roman"/>
          <w:lang w:val="el-GR" w:bidi="he-IL"/>
        </w:rPr>
        <w:t>σοῦ</w:t>
      </w:r>
      <w:r w:rsidRPr="002537F3">
        <w:rPr>
          <w:rFonts w:ascii="Bwgrkl" w:hAnsi="Bwgrkl" w:cs="SBL Greek"/>
          <w:lang w:val="el-GR" w:bidi="he-IL"/>
        </w:rPr>
        <w:t xml:space="preserve">; </w:t>
      </w:r>
      <w:r w:rsidRPr="002537F3">
        <w:rPr>
          <w:rFonts w:ascii="Times New Roman" w:hAnsi="Times New Roman"/>
          <w:lang w:val="el-GR" w:bidi="he-IL"/>
        </w:rPr>
        <w:t>Ἀπόδος</w:t>
      </w:r>
      <w:r w:rsidRPr="002537F3">
        <w:rPr>
          <w:rFonts w:ascii="Bwgrkl" w:hAnsi="Bwgrkl" w:cs="SBL Greek"/>
          <w:lang w:val="el-GR" w:bidi="he-IL"/>
        </w:rPr>
        <w:t xml:space="preserve"> </w:t>
      </w:r>
      <w:r w:rsidRPr="002537F3">
        <w:rPr>
          <w:rFonts w:ascii="Times New Roman" w:hAnsi="Times New Roman"/>
          <w:lang w:val="el-GR" w:bidi="he-IL"/>
        </w:rPr>
        <w:t>τὸν</w:t>
      </w:r>
      <w:r w:rsidRPr="002537F3">
        <w:rPr>
          <w:rFonts w:ascii="Bwgrkl" w:hAnsi="Bwgrkl" w:cs="SBL Greek"/>
          <w:lang w:val="el-GR" w:bidi="he-IL"/>
        </w:rPr>
        <w:t xml:space="preserve"> </w:t>
      </w:r>
      <w:r w:rsidRPr="002537F3">
        <w:rPr>
          <w:rFonts w:ascii="Times New Roman" w:hAnsi="Times New Roman"/>
          <w:lang w:val="el-GR" w:bidi="he-IL"/>
        </w:rPr>
        <w:t>λόγον</w:t>
      </w:r>
      <w:r w:rsidRPr="002537F3">
        <w:rPr>
          <w:rFonts w:ascii="Bwgrkl" w:hAnsi="Bwgrkl" w:cs="SBL Greek"/>
          <w:lang w:val="el-GR" w:bidi="he-IL"/>
        </w:rPr>
        <w:t xml:space="preserve"> </w:t>
      </w:r>
      <w:r w:rsidRPr="002537F3">
        <w:rPr>
          <w:rFonts w:ascii="Times New Roman" w:hAnsi="Times New Roman"/>
          <w:u w:val="single"/>
          <w:lang w:val="el-GR" w:bidi="he-IL"/>
        </w:rPr>
        <w:t>τῆς</w:t>
      </w:r>
      <w:r w:rsidRPr="002537F3">
        <w:rPr>
          <w:rFonts w:ascii="Bwgrkl" w:hAnsi="Bwgrkl" w:cs="SBL Greek"/>
          <w:u w:val="single"/>
          <w:lang w:val="el-GR" w:bidi="he-IL"/>
        </w:rPr>
        <w:t xml:space="preserve"> </w:t>
      </w:r>
      <w:r w:rsidRPr="002537F3">
        <w:rPr>
          <w:rFonts w:ascii="Times New Roman" w:hAnsi="Times New Roman"/>
          <w:u w:val="single"/>
          <w:lang w:val="el-GR" w:bidi="he-IL"/>
        </w:rPr>
        <w:t>οἰκονομίας</w:t>
      </w:r>
      <w:r w:rsidRPr="002537F3">
        <w:rPr>
          <w:rFonts w:ascii="Bwgrkl" w:hAnsi="Bwgrkl" w:cs="SBL Greek"/>
          <w:u w:val="single"/>
          <w:lang w:val="el-GR" w:bidi="he-IL"/>
        </w:rPr>
        <w:t xml:space="preserve"> </w:t>
      </w:r>
      <w:r w:rsidRPr="002537F3">
        <w:rPr>
          <w:rFonts w:ascii="Times New Roman" w:hAnsi="Times New Roman"/>
          <w:u w:val="single"/>
          <w:lang w:val="el-GR" w:bidi="he-IL"/>
        </w:rPr>
        <w:t>σου</w:t>
      </w:r>
      <w:r w:rsidRPr="002537F3">
        <w:rPr>
          <w:rFonts w:ascii="Bwgrkl" w:hAnsi="Bwgrkl" w:cs="Bwgrkl"/>
          <w:lang w:val="el-GR" w:bidi="he-IL"/>
        </w:rPr>
        <w:t>·</w:t>
      </w:r>
      <w:r w:rsidRPr="002537F3">
        <w:rPr>
          <w:rFonts w:ascii="Times New Roman" w:hAnsi="Times New Roman"/>
          <w:lang w:val="el-GR" w:bidi="he-IL"/>
        </w:rPr>
        <w:t>οὐ</w:t>
      </w:r>
      <w:r w:rsidRPr="002537F3">
        <w:rPr>
          <w:rFonts w:ascii="Bwgrkl" w:hAnsi="Bwgrkl" w:cs="SBL Greek"/>
          <w:lang w:val="el-GR" w:bidi="he-IL"/>
        </w:rPr>
        <w:t xml:space="preserve"> </w:t>
      </w:r>
      <w:r w:rsidRPr="002537F3">
        <w:rPr>
          <w:rFonts w:ascii="Times New Roman" w:hAnsi="Times New Roman"/>
          <w:lang w:val="el-GR" w:bidi="he-IL"/>
        </w:rPr>
        <w:t>γὰρ</w:t>
      </w:r>
      <w:r w:rsidRPr="002537F3">
        <w:rPr>
          <w:rFonts w:ascii="Bwgrkl" w:hAnsi="Bwgrkl" w:cs="SBL Greek"/>
          <w:lang w:val="el-GR" w:bidi="he-IL"/>
        </w:rPr>
        <w:t xml:space="preserve"> </w:t>
      </w:r>
      <w:r w:rsidRPr="002537F3">
        <w:rPr>
          <w:rFonts w:ascii="Times New Roman" w:hAnsi="Times New Roman"/>
          <w:lang w:val="el-GR" w:bidi="he-IL"/>
        </w:rPr>
        <w:t>δυνήσῃ</w:t>
      </w:r>
      <w:r w:rsidRPr="002537F3">
        <w:rPr>
          <w:rFonts w:ascii="Bwgrkl" w:hAnsi="Bwgrkl" w:cs="SBL Greek"/>
          <w:lang w:val="el-GR" w:bidi="he-IL"/>
        </w:rPr>
        <w:t xml:space="preserve"> </w:t>
      </w:r>
      <w:r w:rsidRPr="002537F3">
        <w:rPr>
          <w:rFonts w:ascii="Times New Roman" w:hAnsi="Times New Roman"/>
          <w:lang w:val="el-GR" w:bidi="he-IL"/>
        </w:rPr>
        <w:t>ἔτι</w:t>
      </w:r>
      <w:r w:rsidRPr="002537F3">
        <w:rPr>
          <w:rFonts w:ascii="Bwgrkl" w:hAnsi="Bwgrkl" w:cs="SBL Greek"/>
          <w:lang w:val="el-GR" w:bidi="he-IL"/>
        </w:rPr>
        <w:t xml:space="preserve"> </w:t>
      </w:r>
      <w:r w:rsidRPr="002537F3">
        <w:rPr>
          <w:rFonts w:ascii="Times New Roman" w:hAnsi="Times New Roman"/>
          <w:u w:val="wave"/>
          <w:lang w:val="el-GR" w:bidi="he-IL"/>
        </w:rPr>
        <w:t>οἰκονομεῖν</w:t>
      </w:r>
      <w:r w:rsidRPr="002537F3">
        <w:rPr>
          <w:rFonts w:ascii="Bwgrkl" w:hAnsi="Bwgrkl" w:cs="SBL Greek"/>
          <w:lang w:val="el-GR" w:bidi="he-IL"/>
        </w:rPr>
        <w:t>.</w:t>
      </w:r>
      <w:proofErr w:type="gramEnd"/>
      <w:r w:rsidRPr="002537F3">
        <w:rPr>
          <w:rFonts w:ascii="Bwgrkl" w:hAnsi="Bwgrkl" w:cs="SBL Greek"/>
          <w:lang w:val="el-GR" w:bidi="he-IL"/>
        </w:rPr>
        <w:t xml:space="preserve"> </w:t>
      </w:r>
      <w:proofErr w:type="gramStart"/>
      <w:r w:rsidRPr="002537F3">
        <w:rPr>
          <w:rFonts w:ascii="Bwgrkl" w:hAnsi="Bwgrkl" w:cs="Arial"/>
          <w:vertAlign w:val="superscript"/>
          <w:lang w:bidi="he-IL"/>
        </w:rPr>
        <w:t xml:space="preserve">3 </w:t>
      </w:r>
      <w:r w:rsidRPr="002537F3">
        <w:rPr>
          <w:rFonts w:ascii="Bwgrkl" w:hAnsi="Bwgrkl" w:cs="SBL Greek"/>
          <w:lang w:val="el-GR" w:bidi="he-IL"/>
        </w:rPr>
        <w:t xml:space="preserve"> </w:t>
      </w:r>
      <w:r w:rsidRPr="002537F3">
        <w:rPr>
          <w:rFonts w:ascii="Times New Roman" w:hAnsi="Times New Roman"/>
          <w:lang w:val="el-GR" w:bidi="he-IL"/>
        </w:rPr>
        <w:t>Εἶπεν</w:t>
      </w:r>
      <w:proofErr w:type="gramEnd"/>
      <w:r w:rsidRPr="002537F3">
        <w:rPr>
          <w:rFonts w:ascii="Bwgrkl" w:hAnsi="Bwgrkl" w:cs="SBL Greek"/>
          <w:lang w:val="el-GR" w:bidi="he-IL"/>
        </w:rPr>
        <w:t xml:space="preserve"> </w:t>
      </w:r>
      <w:r w:rsidRPr="002537F3">
        <w:rPr>
          <w:rFonts w:ascii="Times New Roman" w:hAnsi="Times New Roman"/>
          <w:lang w:val="el-GR" w:bidi="he-IL"/>
        </w:rPr>
        <w:t>δὲ</w:t>
      </w:r>
      <w:r w:rsidRPr="002537F3">
        <w:rPr>
          <w:rFonts w:ascii="Bwgrkl" w:hAnsi="Bwgrkl" w:cs="SBL Greek"/>
          <w:lang w:val="el-GR" w:bidi="he-IL"/>
        </w:rPr>
        <w:t xml:space="preserve"> </w:t>
      </w:r>
      <w:r w:rsidRPr="002537F3">
        <w:rPr>
          <w:rFonts w:ascii="Times New Roman" w:hAnsi="Times New Roman"/>
          <w:lang w:val="el-GR" w:bidi="he-IL"/>
        </w:rPr>
        <w:t>ἐν</w:t>
      </w:r>
      <w:r w:rsidRPr="002537F3">
        <w:rPr>
          <w:rFonts w:ascii="Bwgrkl" w:hAnsi="Bwgrkl" w:cs="SBL Greek"/>
          <w:lang w:val="el-GR" w:bidi="he-IL"/>
        </w:rPr>
        <w:t xml:space="preserve"> </w:t>
      </w:r>
      <w:r w:rsidRPr="002537F3">
        <w:rPr>
          <w:rFonts w:ascii="Times New Roman" w:hAnsi="Times New Roman"/>
          <w:lang w:val="el-GR" w:bidi="he-IL"/>
        </w:rPr>
        <w:t>ἑαυτῷ</w:t>
      </w:r>
      <w:r w:rsidRPr="002537F3">
        <w:rPr>
          <w:rFonts w:ascii="Bwgrkl" w:hAnsi="Bwgrkl" w:cs="SBL Greek"/>
          <w:lang w:val="el-GR" w:bidi="he-IL"/>
        </w:rPr>
        <w:t xml:space="preserve"> </w:t>
      </w:r>
      <w:r w:rsidRPr="002537F3">
        <w:rPr>
          <w:rFonts w:ascii="Times New Roman" w:hAnsi="Times New Roman"/>
          <w:lang w:val="el-GR" w:bidi="he-IL"/>
        </w:rPr>
        <w:t>ὁ</w:t>
      </w:r>
      <w:r w:rsidRPr="002537F3">
        <w:rPr>
          <w:rFonts w:ascii="Bwgrkl" w:hAnsi="Bwgrkl" w:cs="SBL Greek"/>
          <w:lang w:val="el-GR" w:bidi="he-IL"/>
        </w:rPr>
        <w:t xml:space="preserve"> </w:t>
      </w:r>
      <w:r w:rsidRPr="002537F3">
        <w:rPr>
          <w:rFonts w:ascii="Times New Roman" w:hAnsi="Times New Roman"/>
          <w:lang w:val="el-GR" w:bidi="he-IL"/>
        </w:rPr>
        <w:t>οἰκονόμος</w:t>
      </w:r>
      <w:r w:rsidRPr="002537F3">
        <w:rPr>
          <w:rFonts w:ascii="Bwgrkl" w:hAnsi="Bwgrkl" w:cs="SBL Greek"/>
          <w:lang w:val="el-GR" w:bidi="he-IL"/>
        </w:rPr>
        <w:t xml:space="preserve">, </w:t>
      </w:r>
      <w:r w:rsidRPr="002537F3">
        <w:rPr>
          <w:rFonts w:ascii="Times New Roman" w:hAnsi="Times New Roman"/>
          <w:lang w:val="el-GR" w:bidi="he-IL"/>
        </w:rPr>
        <w:t>Τί</w:t>
      </w:r>
      <w:r w:rsidRPr="002537F3">
        <w:rPr>
          <w:rFonts w:ascii="Bwgrkl" w:hAnsi="Bwgrkl" w:cs="SBL Greek"/>
          <w:lang w:val="el-GR" w:bidi="he-IL"/>
        </w:rPr>
        <w:t xml:space="preserve"> </w:t>
      </w:r>
      <w:r w:rsidRPr="002537F3">
        <w:rPr>
          <w:rFonts w:ascii="Times New Roman" w:hAnsi="Times New Roman"/>
          <w:lang w:val="el-GR" w:bidi="he-IL"/>
        </w:rPr>
        <w:t>ποιήσω</w:t>
      </w:r>
      <w:r w:rsidRPr="002537F3">
        <w:rPr>
          <w:rFonts w:ascii="Bwgrkl" w:hAnsi="Bwgrkl" w:cs="SBL Greek"/>
          <w:lang w:val="el-GR" w:bidi="he-IL"/>
        </w:rPr>
        <w:t xml:space="preserve">, </w:t>
      </w:r>
      <w:r w:rsidRPr="002537F3">
        <w:rPr>
          <w:rFonts w:ascii="Times New Roman" w:hAnsi="Times New Roman"/>
          <w:lang w:val="el-GR" w:bidi="he-IL"/>
        </w:rPr>
        <w:t>ὅτι</w:t>
      </w:r>
      <w:r w:rsidRPr="002537F3">
        <w:rPr>
          <w:rFonts w:ascii="Bwgrkl" w:hAnsi="Bwgrkl" w:cs="SBL Greek"/>
          <w:lang w:val="el-GR" w:bidi="he-IL"/>
        </w:rPr>
        <w:t xml:space="preserve"> </w:t>
      </w:r>
      <w:r w:rsidRPr="002537F3">
        <w:rPr>
          <w:rFonts w:ascii="Times New Roman" w:hAnsi="Times New Roman"/>
          <w:lang w:val="el-GR" w:bidi="he-IL"/>
        </w:rPr>
        <w:t>ὁ</w:t>
      </w:r>
      <w:r w:rsidRPr="002537F3">
        <w:rPr>
          <w:rFonts w:ascii="Bwgrkl" w:hAnsi="Bwgrkl" w:cs="SBL Greek"/>
          <w:lang w:val="el-GR" w:bidi="he-IL"/>
        </w:rPr>
        <w:t xml:space="preserve"> </w:t>
      </w:r>
      <w:r w:rsidRPr="002537F3">
        <w:rPr>
          <w:rFonts w:ascii="Times New Roman" w:hAnsi="Times New Roman"/>
          <w:lang w:val="el-GR" w:bidi="he-IL"/>
        </w:rPr>
        <w:t>κύριός</w:t>
      </w:r>
      <w:r w:rsidRPr="002537F3">
        <w:rPr>
          <w:rFonts w:ascii="Bwgrkl" w:hAnsi="Bwgrkl" w:cs="SBL Greek"/>
          <w:lang w:val="el-GR" w:bidi="he-IL"/>
        </w:rPr>
        <w:t xml:space="preserve"> </w:t>
      </w:r>
      <w:r w:rsidRPr="002537F3">
        <w:rPr>
          <w:rFonts w:ascii="Times New Roman" w:hAnsi="Times New Roman"/>
          <w:lang w:val="el-GR" w:bidi="he-IL"/>
        </w:rPr>
        <w:t>μου</w:t>
      </w:r>
      <w:r w:rsidRPr="002537F3">
        <w:rPr>
          <w:rFonts w:ascii="Bwgrkl" w:hAnsi="Bwgrkl" w:cs="SBL Greek"/>
          <w:lang w:val="el-GR" w:bidi="he-IL"/>
        </w:rPr>
        <w:t xml:space="preserve"> </w:t>
      </w:r>
      <w:r w:rsidRPr="002537F3">
        <w:rPr>
          <w:rFonts w:ascii="Times New Roman" w:hAnsi="Times New Roman"/>
          <w:lang w:val="el-GR" w:bidi="he-IL"/>
        </w:rPr>
        <w:t>ἀφαιρεῖται</w:t>
      </w:r>
      <w:r w:rsidRPr="002537F3">
        <w:rPr>
          <w:rFonts w:ascii="Bwgrkl" w:hAnsi="Bwgrkl" w:cs="SBL Greek"/>
          <w:lang w:val="el-GR" w:bidi="he-IL"/>
        </w:rPr>
        <w:t xml:space="preserve"> </w:t>
      </w:r>
      <w:r w:rsidRPr="002537F3">
        <w:rPr>
          <w:rFonts w:ascii="Times New Roman" w:hAnsi="Times New Roman"/>
          <w:u w:val="single"/>
          <w:lang w:val="el-GR" w:bidi="he-IL"/>
        </w:rPr>
        <w:t>τὴν</w:t>
      </w:r>
      <w:r w:rsidRPr="002537F3">
        <w:rPr>
          <w:rFonts w:ascii="Bwgrkl" w:hAnsi="Bwgrkl" w:cs="SBL Greek"/>
          <w:u w:val="single"/>
          <w:lang w:val="el-GR" w:bidi="he-IL"/>
        </w:rPr>
        <w:t xml:space="preserve"> </w:t>
      </w:r>
      <w:r w:rsidRPr="002537F3">
        <w:rPr>
          <w:rFonts w:ascii="Times New Roman" w:hAnsi="Times New Roman"/>
          <w:u w:val="single"/>
          <w:lang w:val="el-GR" w:bidi="he-IL"/>
        </w:rPr>
        <w:t>οἰκονομίαν</w:t>
      </w:r>
      <w:r w:rsidRPr="002537F3">
        <w:rPr>
          <w:rFonts w:ascii="Bwgrkl" w:hAnsi="Bwgrkl" w:cs="SBL Greek"/>
          <w:lang w:val="el-GR" w:bidi="he-IL"/>
        </w:rPr>
        <w:t xml:space="preserve"> </w:t>
      </w:r>
      <w:r w:rsidRPr="002537F3">
        <w:rPr>
          <w:rFonts w:ascii="Times New Roman" w:hAnsi="Times New Roman"/>
          <w:lang w:val="el-GR" w:bidi="he-IL"/>
        </w:rPr>
        <w:t>ἀπ᾽</w:t>
      </w:r>
      <w:r w:rsidRPr="002537F3">
        <w:rPr>
          <w:rFonts w:ascii="Bwgrkl" w:hAnsi="Bwgrkl" w:cs="SBL Greek"/>
          <w:lang w:val="el-GR" w:bidi="he-IL"/>
        </w:rPr>
        <w:t xml:space="preserve"> </w:t>
      </w:r>
      <w:r w:rsidRPr="002537F3">
        <w:rPr>
          <w:rFonts w:ascii="Times New Roman" w:hAnsi="Times New Roman"/>
          <w:lang w:val="el-GR" w:bidi="he-IL"/>
        </w:rPr>
        <w:t>ἐμοῦ</w:t>
      </w:r>
      <w:r w:rsidRPr="002537F3">
        <w:rPr>
          <w:rFonts w:ascii="Bwgrkl" w:hAnsi="Bwgrkl" w:cs="SBL Greek"/>
          <w:lang w:val="el-GR" w:bidi="he-IL"/>
        </w:rPr>
        <w:t xml:space="preserve">; </w:t>
      </w:r>
      <w:r w:rsidRPr="002537F3">
        <w:rPr>
          <w:rFonts w:ascii="Times New Roman" w:hAnsi="Times New Roman"/>
          <w:lang w:val="el-GR" w:bidi="he-IL"/>
        </w:rPr>
        <w:t>Σκάπτειν</w:t>
      </w:r>
      <w:r w:rsidRPr="002537F3">
        <w:rPr>
          <w:rFonts w:ascii="Bwgrkl" w:hAnsi="Bwgrkl" w:cs="SBL Greek"/>
          <w:lang w:val="el-GR" w:bidi="he-IL"/>
        </w:rPr>
        <w:t xml:space="preserve"> </w:t>
      </w:r>
      <w:r w:rsidRPr="002537F3">
        <w:rPr>
          <w:rFonts w:ascii="Times New Roman" w:hAnsi="Times New Roman"/>
          <w:lang w:val="el-GR" w:bidi="he-IL"/>
        </w:rPr>
        <w:t>οὐκ</w:t>
      </w:r>
      <w:r w:rsidRPr="002537F3">
        <w:rPr>
          <w:rFonts w:ascii="Bwgrkl" w:hAnsi="Bwgrkl" w:cs="SBL Greek"/>
          <w:lang w:val="el-GR" w:bidi="he-IL"/>
        </w:rPr>
        <w:t xml:space="preserve"> </w:t>
      </w:r>
      <w:r w:rsidRPr="002537F3">
        <w:rPr>
          <w:rFonts w:ascii="Times New Roman" w:hAnsi="Times New Roman"/>
          <w:lang w:val="el-GR" w:bidi="he-IL"/>
        </w:rPr>
        <w:t>ἰσχύω</w:t>
      </w:r>
      <w:r w:rsidRPr="002537F3">
        <w:rPr>
          <w:rFonts w:ascii="Bwgrkl" w:hAnsi="Bwgrkl" w:cs="SBL Greek"/>
          <w:lang w:val="el-GR" w:bidi="he-IL"/>
        </w:rPr>
        <w:t xml:space="preserve">, </w:t>
      </w:r>
      <w:r w:rsidRPr="002537F3">
        <w:rPr>
          <w:rFonts w:ascii="Times New Roman" w:hAnsi="Times New Roman"/>
          <w:lang w:val="el-GR" w:bidi="he-IL"/>
        </w:rPr>
        <w:t>ἐπαιτεῖν</w:t>
      </w:r>
      <w:r w:rsidRPr="002537F3">
        <w:rPr>
          <w:rFonts w:ascii="Bwgrkl" w:hAnsi="Bwgrkl" w:cs="SBL Greek"/>
          <w:lang w:val="el-GR" w:bidi="he-IL"/>
        </w:rPr>
        <w:t xml:space="preserve"> </w:t>
      </w:r>
      <w:r w:rsidRPr="002537F3">
        <w:rPr>
          <w:rFonts w:ascii="Times New Roman" w:hAnsi="Times New Roman"/>
          <w:lang w:val="el-GR" w:bidi="he-IL"/>
        </w:rPr>
        <w:t>αἰσχύνομαι</w:t>
      </w:r>
      <w:r w:rsidRPr="002537F3">
        <w:rPr>
          <w:rFonts w:ascii="Bwgrkl" w:hAnsi="Bwgrkl" w:cs="SBL Greek"/>
          <w:lang w:val="el-GR" w:bidi="he-IL"/>
        </w:rPr>
        <w:t xml:space="preserve">. </w:t>
      </w:r>
      <w:proofErr w:type="gramStart"/>
      <w:r w:rsidRPr="002537F3">
        <w:rPr>
          <w:rFonts w:ascii="Bwgrkl" w:hAnsi="Bwgrkl" w:cs="Arial"/>
          <w:vertAlign w:val="superscript"/>
          <w:lang w:bidi="he-IL"/>
        </w:rPr>
        <w:t xml:space="preserve">4 </w:t>
      </w:r>
      <w:r w:rsidRPr="002537F3">
        <w:rPr>
          <w:rFonts w:ascii="Bwgrkl" w:hAnsi="Bwgrkl" w:cs="SBL Greek"/>
          <w:lang w:val="el-GR" w:bidi="he-IL"/>
        </w:rPr>
        <w:t xml:space="preserve"> </w:t>
      </w:r>
      <w:r w:rsidRPr="002537F3">
        <w:rPr>
          <w:rFonts w:ascii="Times New Roman" w:hAnsi="Times New Roman"/>
          <w:lang w:val="el-GR" w:bidi="he-IL"/>
        </w:rPr>
        <w:t>Ἔγνων</w:t>
      </w:r>
      <w:proofErr w:type="gramEnd"/>
      <w:r w:rsidRPr="002537F3">
        <w:rPr>
          <w:rFonts w:ascii="Bwgrkl" w:hAnsi="Bwgrkl" w:cs="SBL Greek"/>
          <w:lang w:val="el-GR" w:bidi="he-IL"/>
        </w:rPr>
        <w:t xml:space="preserve"> </w:t>
      </w:r>
      <w:r w:rsidRPr="002537F3">
        <w:rPr>
          <w:rFonts w:ascii="Times New Roman" w:hAnsi="Times New Roman"/>
          <w:lang w:val="el-GR" w:bidi="he-IL"/>
        </w:rPr>
        <w:t>τί</w:t>
      </w:r>
      <w:r w:rsidRPr="002537F3">
        <w:rPr>
          <w:rFonts w:ascii="Bwgrkl" w:hAnsi="Bwgrkl" w:cs="SBL Greek"/>
          <w:lang w:val="el-GR" w:bidi="he-IL"/>
        </w:rPr>
        <w:t xml:space="preserve"> </w:t>
      </w:r>
      <w:r w:rsidRPr="002537F3">
        <w:rPr>
          <w:rFonts w:ascii="Times New Roman" w:hAnsi="Times New Roman"/>
          <w:lang w:val="el-GR" w:bidi="he-IL"/>
        </w:rPr>
        <w:t>ποιήσω</w:t>
      </w:r>
      <w:r w:rsidRPr="002537F3">
        <w:rPr>
          <w:rFonts w:ascii="Bwgrkl" w:hAnsi="Bwgrkl" w:cs="SBL Greek"/>
          <w:lang w:val="el-GR" w:bidi="he-IL"/>
        </w:rPr>
        <w:t xml:space="preserve">, </w:t>
      </w:r>
      <w:r w:rsidRPr="002537F3">
        <w:rPr>
          <w:rFonts w:ascii="Times New Roman" w:hAnsi="Times New Roman"/>
          <w:lang w:val="el-GR" w:bidi="he-IL"/>
        </w:rPr>
        <w:t>ἵνα</w:t>
      </w:r>
      <w:r w:rsidRPr="002537F3">
        <w:rPr>
          <w:rFonts w:ascii="Bwgrkl" w:hAnsi="Bwgrkl" w:cs="SBL Greek"/>
          <w:lang w:val="el-GR" w:bidi="he-IL"/>
        </w:rPr>
        <w:t xml:space="preserve">, </w:t>
      </w:r>
      <w:r w:rsidRPr="002537F3">
        <w:rPr>
          <w:rFonts w:ascii="Times New Roman" w:hAnsi="Times New Roman"/>
          <w:lang w:val="el-GR" w:bidi="he-IL"/>
        </w:rPr>
        <w:t>ὅταν</w:t>
      </w:r>
      <w:r w:rsidRPr="002537F3">
        <w:rPr>
          <w:rFonts w:ascii="Bwgrkl" w:hAnsi="Bwgrkl" w:cs="SBL Greek"/>
          <w:lang w:val="el-GR" w:bidi="he-IL"/>
        </w:rPr>
        <w:t xml:space="preserve"> </w:t>
      </w:r>
      <w:r w:rsidRPr="002537F3">
        <w:rPr>
          <w:rFonts w:ascii="Times New Roman" w:hAnsi="Times New Roman"/>
          <w:lang w:val="el-GR" w:bidi="he-IL"/>
        </w:rPr>
        <w:t>μετασταθῶ</w:t>
      </w:r>
      <w:r w:rsidRPr="002537F3">
        <w:rPr>
          <w:rFonts w:ascii="Bwgrkl" w:hAnsi="Bwgrkl" w:cs="SBL Greek"/>
          <w:lang w:val="el-GR" w:bidi="he-IL"/>
        </w:rPr>
        <w:t xml:space="preserve"> </w:t>
      </w:r>
      <w:r w:rsidRPr="002537F3">
        <w:rPr>
          <w:rFonts w:ascii="Times New Roman" w:hAnsi="Times New Roman"/>
          <w:u w:val="single"/>
          <w:lang w:val="el-GR" w:bidi="he-IL"/>
        </w:rPr>
        <w:t>τῆς</w:t>
      </w:r>
      <w:r w:rsidRPr="002537F3">
        <w:rPr>
          <w:rFonts w:ascii="Bwgrkl" w:hAnsi="Bwgrkl" w:cs="SBL Greek"/>
          <w:u w:val="single"/>
          <w:lang w:val="el-GR" w:bidi="he-IL"/>
        </w:rPr>
        <w:t xml:space="preserve"> </w:t>
      </w:r>
      <w:r w:rsidRPr="002537F3">
        <w:rPr>
          <w:rFonts w:ascii="Times New Roman" w:hAnsi="Times New Roman"/>
          <w:u w:val="single"/>
          <w:lang w:val="el-GR" w:bidi="he-IL"/>
        </w:rPr>
        <w:t>οἰκονομίας</w:t>
      </w:r>
      <w:r w:rsidRPr="002537F3">
        <w:rPr>
          <w:rFonts w:ascii="Bwgrkl" w:hAnsi="Bwgrkl" w:cs="SBL Greek"/>
          <w:lang w:val="el-GR" w:bidi="he-IL"/>
        </w:rPr>
        <w:t xml:space="preserve">, </w:t>
      </w:r>
      <w:r w:rsidRPr="002537F3">
        <w:rPr>
          <w:rFonts w:ascii="Times New Roman" w:hAnsi="Times New Roman"/>
          <w:lang w:val="el-GR" w:bidi="he-IL"/>
        </w:rPr>
        <w:t>δέξωνταί</w:t>
      </w:r>
      <w:r w:rsidRPr="002537F3">
        <w:rPr>
          <w:rFonts w:ascii="Bwgrkl" w:hAnsi="Bwgrkl" w:cs="SBL Greek"/>
          <w:lang w:val="el-GR" w:bidi="he-IL"/>
        </w:rPr>
        <w:t xml:space="preserve"> </w:t>
      </w:r>
      <w:r w:rsidRPr="002537F3">
        <w:rPr>
          <w:rFonts w:ascii="Times New Roman" w:hAnsi="Times New Roman"/>
          <w:lang w:val="el-GR" w:bidi="he-IL"/>
        </w:rPr>
        <w:t>με</w:t>
      </w:r>
      <w:r w:rsidRPr="002537F3">
        <w:rPr>
          <w:rFonts w:ascii="Bwgrkl" w:hAnsi="Bwgrkl" w:cs="SBL Greek"/>
          <w:lang w:val="el-GR" w:bidi="he-IL"/>
        </w:rPr>
        <w:t xml:space="preserve"> </w:t>
      </w:r>
      <w:r w:rsidRPr="002537F3">
        <w:rPr>
          <w:rFonts w:ascii="Times New Roman" w:hAnsi="Times New Roman"/>
          <w:lang w:val="el-GR" w:bidi="he-IL"/>
        </w:rPr>
        <w:t>εἰς</w:t>
      </w:r>
      <w:r w:rsidRPr="002537F3">
        <w:rPr>
          <w:rFonts w:ascii="Bwgrkl" w:hAnsi="Bwgrkl" w:cs="SBL Greek"/>
          <w:lang w:val="el-GR" w:bidi="he-IL"/>
        </w:rPr>
        <w:t xml:space="preserve"> </w:t>
      </w:r>
      <w:r w:rsidRPr="002537F3">
        <w:rPr>
          <w:rFonts w:ascii="Times New Roman" w:hAnsi="Times New Roman"/>
          <w:lang w:val="el-GR" w:bidi="he-IL"/>
        </w:rPr>
        <w:t>τοὺς</w:t>
      </w:r>
      <w:r w:rsidRPr="002537F3">
        <w:rPr>
          <w:rFonts w:ascii="Bwgrkl" w:hAnsi="Bwgrkl" w:cs="SBL Greek"/>
          <w:lang w:val="el-GR" w:bidi="he-IL"/>
        </w:rPr>
        <w:t xml:space="preserve"> </w:t>
      </w:r>
      <w:r w:rsidRPr="002537F3">
        <w:rPr>
          <w:rFonts w:ascii="Times New Roman" w:hAnsi="Times New Roman"/>
          <w:lang w:val="el-GR" w:bidi="he-IL"/>
        </w:rPr>
        <w:t>οἴκους</w:t>
      </w:r>
      <w:r w:rsidRPr="002537F3">
        <w:rPr>
          <w:rFonts w:ascii="Bwgrkl" w:hAnsi="Bwgrkl" w:cs="SBL Greek"/>
          <w:lang w:val="el-GR" w:bidi="he-IL"/>
        </w:rPr>
        <w:t xml:space="preserve"> </w:t>
      </w:r>
      <w:r w:rsidRPr="002537F3">
        <w:rPr>
          <w:rFonts w:ascii="Times New Roman" w:hAnsi="Times New Roman"/>
          <w:lang w:val="el-GR" w:bidi="he-IL"/>
        </w:rPr>
        <w:t>αὐτῶν</w:t>
      </w:r>
      <w:r w:rsidRPr="002537F3">
        <w:rPr>
          <w:rFonts w:ascii="Bwgrkl" w:hAnsi="Bwgrkl" w:cs="SBL Greek"/>
          <w:lang w:val="el-GR" w:bidi="he-IL"/>
        </w:rPr>
        <w:t>.</w:t>
      </w:r>
      <w:r w:rsidRPr="002537F3">
        <w:rPr>
          <w:rFonts w:ascii="Arial" w:hAnsi="Arial" w:cs="Arial"/>
          <w:lang w:bidi="he-IL"/>
        </w:rPr>
        <w:t xml:space="preserve"> </w:t>
      </w:r>
      <w:r w:rsidRPr="00DA01AD">
        <w:rPr>
          <w:rFonts w:ascii="Arial" w:hAnsi="Arial" w:cs="Arial"/>
          <w:sz w:val="18"/>
          <w:lang w:bidi="he-IL"/>
        </w:rPr>
        <w:t xml:space="preserve">’ </w:t>
      </w:r>
      <w:r w:rsidRPr="00DA01AD">
        <w:rPr>
          <w:rFonts w:ascii="Perpetua" w:hAnsi="Perpetua" w:cs="Arial"/>
          <w:lang w:bidi="he-IL"/>
        </w:rPr>
        <w:t>(Lk. 16:2-4)</w:t>
      </w:r>
      <w:r>
        <w:rPr>
          <w:rFonts w:ascii="Perpetua" w:hAnsi="Perpetua" w:cs="Arial"/>
          <w:lang w:bidi="he-IL"/>
        </w:rPr>
        <w:t>.</w:t>
      </w:r>
      <w:r w:rsidRPr="00DA01AD">
        <w:rPr>
          <w:rFonts w:ascii="Perpetua" w:hAnsi="Perpetua" w:cs="Arial"/>
          <w:lang w:bidi="he-IL"/>
        </w:rPr>
        <w:t xml:space="preserve">  ‘</w:t>
      </w:r>
      <w:proofErr w:type="gramStart"/>
      <w:r w:rsidRPr="002537F3">
        <w:rPr>
          <w:rFonts w:ascii="Times New Roman" w:hAnsi="Times New Roman"/>
          <w:lang w:val="el-GR" w:bidi="he-IL"/>
        </w:rPr>
        <w:t>οἰκονομεῖν</w:t>
      </w:r>
      <w:proofErr w:type="gramEnd"/>
      <w:r w:rsidRPr="00DA01AD">
        <w:rPr>
          <w:rFonts w:ascii="Perpetua" w:hAnsi="Perpetua" w:cs="Arial"/>
          <w:lang w:bidi="he-IL"/>
        </w:rPr>
        <w:t xml:space="preserve">’ in verse 2 is the cognate of </w:t>
      </w:r>
      <w:r w:rsidRPr="00DA01AD">
        <w:rPr>
          <w:rFonts w:ascii="Perpetua" w:hAnsi="Perpetua"/>
          <w:sz w:val="18"/>
        </w:rPr>
        <w:t>‘</w:t>
      </w:r>
      <w:r w:rsidRPr="002537F3">
        <w:rPr>
          <w:rFonts w:ascii="Times New Roman" w:hAnsi="Times New Roman"/>
          <w:bCs/>
          <w:lang w:val="el-GR" w:bidi="he-IL"/>
        </w:rPr>
        <w:t>οἰκονομία</w:t>
      </w:r>
      <w:r w:rsidRPr="00DA01AD">
        <w:rPr>
          <w:rFonts w:ascii="Perpetua" w:hAnsi="Perpetua"/>
          <w:sz w:val="18"/>
        </w:rPr>
        <w:t>’</w:t>
      </w:r>
      <w:r w:rsidRPr="00DA01AD">
        <w:rPr>
          <w:rFonts w:ascii="Perpetua" w:hAnsi="Perpetua" w:cs="Arial"/>
          <w:lang w:bidi="he-IL"/>
        </w:rPr>
        <w:t>, meaning ‘to steward’ or ‘to serve’.</w:t>
      </w:r>
    </w:p>
    <w:p w:rsidR="00975183" w:rsidRPr="001C419A" w:rsidRDefault="00975183" w:rsidP="00442D33">
      <w:pPr>
        <w:autoSpaceDE w:val="0"/>
        <w:autoSpaceDN w:val="0"/>
        <w:adjustRightInd w:val="0"/>
        <w:spacing w:after="0" w:line="240" w:lineRule="auto"/>
        <w:rPr>
          <w:sz w:val="20"/>
          <w:lang w:val="en-US"/>
        </w:rPr>
      </w:pPr>
      <w:r w:rsidRPr="001C419A">
        <w:rPr>
          <w:rFonts w:cs="Arial"/>
          <w:sz w:val="20"/>
          <w:lang w:bidi="he-IL"/>
        </w:rPr>
        <w:t xml:space="preserve">‘And he called him, and said unto him, </w:t>
      </w:r>
      <w:proofErr w:type="gramStart"/>
      <w:r w:rsidRPr="001C419A">
        <w:rPr>
          <w:rFonts w:cs="Arial"/>
          <w:sz w:val="20"/>
          <w:lang w:bidi="he-IL"/>
        </w:rPr>
        <w:t>How</w:t>
      </w:r>
      <w:proofErr w:type="gramEnd"/>
      <w:r w:rsidRPr="001C419A">
        <w:rPr>
          <w:rFonts w:cs="Arial"/>
          <w:sz w:val="20"/>
          <w:lang w:bidi="he-IL"/>
        </w:rPr>
        <w:t xml:space="preserve"> is it that I hear this of thee? </w:t>
      </w:r>
      <w:proofErr w:type="gramStart"/>
      <w:r w:rsidRPr="001C419A">
        <w:rPr>
          <w:rFonts w:cs="Arial"/>
          <w:sz w:val="20"/>
          <w:lang w:bidi="he-IL"/>
        </w:rPr>
        <w:t>give</w:t>
      </w:r>
      <w:proofErr w:type="gramEnd"/>
      <w:r w:rsidRPr="001C419A">
        <w:rPr>
          <w:rFonts w:cs="Arial"/>
          <w:sz w:val="20"/>
          <w:lang w:bidi="he-IL"/>
        </w:rPr>
        <w:t xml:space="preserve"> an account of </w:t>
      </w:r>
      <w:r w:rsidRPr="001C419A">
        <w:rPr>
          <w:rFonts w:cs="Arial"/>
          <w:sz w:val="20"/>
          <w:u w:val="single"/>
          <w:lang w:bidi="he-IL"/>
        </w:rPr>
        <w:t>thy stewardship</w:t>
      </w:r>
      <w:r w:rsidRPr="001C419A">
        <w:rPr>
          <w:rFonts w:cs="Arial"/>
          <w:sz w:val="20"/>
          <w:lang w:bidi="he-IL"/>
        </w:rPr>
        <w:t xml:space="preserve">; for thou mayest be no longer </w:t>
      </w:r>
      <w:r w:rsidRPr="001C419A">
        <w:rPr>
          <w:rFonts w:cs="Arial"/>
          <w:sz w:val="20"/>
          <w:u w:val="single"/>
          <w:lang w:bidi="he-IL"/>
        </w:rPr>
        <w:t>steward</w:t>
      </w:r>
      <w:r w:rsidRPr="001C419A">
        <w:rPr>
          <w:rFonts w:cs="Arial"/>
          <w:sz w:val="20"/>
          <w:lang w:bidi="he-IL"/>
        </w:rPr>
        <w:t xml:space="preserve">. </w:t>
      </w:r>
      <w:r w:rsidRPr="001C419A">
        <w:rPr>
          <w:rFonts w:cs="Arial"/>
          <w:sz w:val="20"/>
          <w:vertAlign w:val="superscript"/>
          <w:lang w:bidi="he-IL"/>
        </w:rPr>
        <w:t>3</w:t>
      </w:r>
      <w:r w:rsidRPr="001C419A">
        <w:rPr>
          <w:rFonts w:cs="Arial"/>
          <w:sz w:val="20"/>
          <w:lang w:bidi="he-IL"/>
        </w:rPr>
        <w:t xml:space="preserve"> Then the steward said within himself, </w:t>
      </w:r>
      <w:proofErr w:type="gramStart"/>
      <w:r w:rsidRPr="001C419A">
        <w:rPr>
          <w:rFonts w:cs="Arial"/>
          <w:sz w:val="20"/>
          <w:lang w:bidi="he-IL"/>
        </w:rPr>
        <w:t>What</w:t>
      </w:r>
      <w:proofErr w:type="gramEnd"/>
      <w:r w:rsidRPr="001C419A">
        <w:rPr>
          <w:rFonts w:cs="Arial"/>
          <w:sz w:val="20"/>
          <w:lang w:bidi="he-IL"/>
        </w:rPr>
        <w:t xml:space="preserve"> shall I do? </w:t>
      </w:r>
      <w:proofErr w:type="gramStart"/>
      <w:r w:rsidRPr="001C419A">
        <w:rPr>
          <w:rFonts w:cs="Arial"/>
          <w:sz w:val="20"/>
          <w:lang w:bidi="he-IL"/>
        </w:rPr>
        <w:t>for</w:t>
      </w:r>
      <w:proofErr w:type="gramEnd"/>
      <w:r w:rsidRPr="001C419A">
        <w:rPr>
          <w:rFonts w:cs="Arial"/>
          <w:sz w:val="20"/>
          <w:lang w:bidi="he-IL"/>
        </w:rPr>
        <w:t xml:space="preserve"> my lord taketh away from me </w:t>
      </w:r>
      <w:r w:rsidRPr="001C419A">
        <w:rPr>
          <w:rFonts w:cs="Arial"/>
          <w:sz w:val="20"/>
          <w:u w:val="single"/>
          <w:lang w:bidi="he-IL"/>
        </w:rPr>
        <w:t>the stewardship</w:t>
      </w:r>
      <w:r w:rsidRPr="001C419A">
        <w:rPr>
          <w:rFonts w:cs="Arial"/>
          <w:sz w:val="20"/>
          <w:lang w:bidi="he-IL"/>
        </w:rPr>
        <w:t xml:space="preserve">: I cannot dig; to beg I am ashamed. </w:t>
      </w:r>
      <w:r w:rsidRPr="001C419A">
        <w:rPr>
          <w:rFonts w:cs="Arial"/>
          <w:sz w:val="20"/>
          <w:vertAlign w:val="superscript"/>
          <w:lang w:bidi="he-IL"/>
        </w:rPr>
        <w:t>4</w:t>
      </w:r>
      <w:r w:rsidRPr="001C419A">
        <w:rPr>
          <w:rFonts w:cs="Arial"/>
          <w:sz w:val="20"/>
          <w:lang w:bidi="he-IL"/>
        </w:rPr>
        <w:t xml:space="preserve"> I am resolved what to do, that, when I am put out of </w:t>
      </w:r>
      <w:r w:rsidRPr="001C419A">
        <w:rPr>
          <w:rFonts w:cs="Arial"/>
          <w:sz w:val="20"/>
          <w:u w:val="single"/>
          <w:lang w:bidi="he-IL"/>
        </w:rPr>
        <w:t>the stewardship</w:t>
      </w:r>
      <w:r w:rsidRPr="001C419A">
        <w:rPr>
          <w:rFonts w:cs="Arial"/>
          <w:sz w:val="20"/>
          <w:lang w:bidi="he-IL"/>
        </w:rPr>
        <w:t xml:space="preserve">, they may receive me into their houses.’  (Lk. 16:2 </w:t>
      </w:r>
      <w:r w:rsidRPr="001C419A">
        <w:rPr>
          <w:rFonts w:cs="Arial"/>
          <w:i/>
          <w:sz w:val="20"/>
          <w:lang w:bidi="he-IL"/>
        </w:rPr>
        <w:t>KJV</w:t>
      </w:r>
      <w:r w:rsidRPr="001C419A">
        <w:rPr>
          <w:rFonts w:cs="Arial"/>
          <w:sz w:val="20"/>
          <w:lang w:bidi="he-IL"/>
        </w:rPr>
        <w:t xml:space="preserve">)  </w:t>
      </w:r>
      <w:proofErr w:type="gramStart"/>
      <w:r w:rsidRPr="001C419A">
        <w:rPr>
          <w:rFonts w:cs="Arial"/>
          <w:sz w:val="20"/>
          <w:lang w:bidi="he-IL"/>
        </w:rPr>
        <w:t>(</w:t>
      </w:r>
      <w:r w:rsidRPr="001C419A">
        <w:rPr>
          <w:rFonts w:cs="Arial"/>
          <w:i/>
          <w:sz w:val="20"/>
          <w:lang w:bidi="he-IL"/>
        </w:rPr>
        <w:t>All my emphases</w:t>
      </w:r>
      <w:r w:rsidRPr="001C419A">
        <w:rPr>
          <w:rFonts w:cs="Arial"/>
          <w:sz w:val="20"/>
          <w:lang w:bidi="he-IL"/>
        </w:rPr>
        <w:t>.)</w:t>
      </w:r>
      <w:proofErr w:type="gramEnd"/>
    </w:p>
  </w:footnote>
  <w:footnote w:id="55">
    <w:p w:rsidR="00975183" w:rsidRDefault="00975183" w:rsidP="00442D33">
      <w:pPr>
        <w:pStyle w:val="FootnoteText"/>
      </w:pPr>
      <w:r>
        <w:rPr>
          <w:rStyle w:val="FootnoteReference"/>
        </w:rPr>
        <w:footnoteRef/>
      </w:r>
      <w:r>
        <w:t xml:space="preserve"> </w:t>
      </w:r>
      <w:r>
        <w:rPr>
          <w:rFonts w:ascii="Perpetua" w:eastAsia="Perpetua" w:hAnsi="Perpetua" w:cs="Perpetua"/>
          <w:spacing w:val="-1"/>
        </w:rPr>
        <w:t>‘Wherefore</w:t>
      </w:r>
      <w:r>
        <w:rPr>
          <w:rFonts w:ascii="Perpetua" w:eastAsia="Perpetua" w:hAnsi="Perpetua" w:cs="Perpetua"/>
        </w:rPr>
        <w:t xml:space="preserve"> </w:t>
      </w:r>
      <w:r>
        <w:rPr>
          <w:rFonts w:ascii="Perpetua" w:eastAsia="Perpetua" w:hAnsi="Perpetua" w:cs="Perpetua"/>
          <w:spacing w:val="-1"/>
        </w:rPr>
        <w:t>the LORD</w:t>
      </w:r>
      <w:r>
        <w:rPr>
          <w:rFonts w:ascii="Perpetua" w:eastAsia="Perpetua" w:hAnsi="Perpetua" w:cs="Perpetua"/>
        </w:rPr>
        <w:t xml:space="preserve"> </w:t>
      </w:r>
      <w:r>
        <w:rPr>
          <w:rFonts w:ascii="Perpetua" w:eastAsia="Perpetua" w:hAnsi="Perpetua" w:cs="Perpetua"/>
          <w:spacing w:val="-1"/>
        </w:rPr>
        <w:t>God</w:t>
      </w:r>
      <w:r>
        <w:rPr>
          <w:rFonts w:ascii="Perpetua" w:eastAsia="Perpetua" w:hAnsi="Perpetua" w:cs="Perpetua"/>
        </w:rPr>
        <w:t xml:space="preserve"> </w:t>
      </w:r>
      <w:r>
        <w:rPr>
          <w:rFonts w:ascii="Perpetua" w:eastAsia="Perpetua" w:hAnsi="Perpetua" w:cs="Perpetua"/>
          <w:spacing w:val="-1"/>
        </w:rPr>
        <w:t>of</w:t>
      </w:r>
      <w:r>
        <w:rPr>
          <w:rFonts w:ascii="Perpetua" w:eastAsia="Perpetua" w:hAnsi="Perpetua" w:cs="Perpetua"/>
        </w:rPr>
        <w:t xml:space="preserve"> </w:t>
      </w:r>
      <w:r>
        <w:rPr>
          <w:rFonts w:ascii="Perpetua" w:eastAsia="Perpetua" w:hAnsi="Perpetua" w:cs="Perpetua"/>
          <w:spacing w:val="-1"/>
        </w:rPr>
        <w:t>Israel saith,</w:t>
      </w:r>
      <w:r>
        <w:rPr>
          <w:rFonts w:ascii="Perpetua" w:eastAsia="Perpetua" w:hAnsi="Perpetua" w:cs="Perpetua"/>
        </w:rPr>
        <w:t xml:space="preserve"> I </w:t>
      </w:r>
      <w:r>
        <w:rPr>
          <w:rFonts w:ascii="Perpetua" w:eastAsia="Perpetua" w:hAnsi="Perpetua" w:cs="Perpetua"/>
          <w:spacing w:val="-1"/>
        </w:rPr>
        <w:t>said</w:t>
      </w:r>
      <w:r>
        <w:rPr>
          <w:rFonts w:ascii="Perpetua" w:eastAsia="Perpetua" w:hAnsi="Perpetua" w:cs="Perpetua"/>
        </w:rPr>
        <w:t xml:space="preserve"> </w:t>
      </w:r>
      <w:r>
        <w:rPr>
          <w:rFonts w:ascii="Perpetua" w:eastAsia="Perpetua" w:hAnsi="Perpetua" w:cs="Perpetua"/>
          <w:spacing w:val="-1"/>
        </w:rPr>
        <w:t xml:space="preserve">indeed </w:t>
      </w:r>
      <w:r>
        <w:rPr>
          <w:rFonts w:ascii="Perpetua" w:eastAsia="Perpetua" w:hAnsi="Perpetua" w:cs="Perpetua"/>
          <w:i/>
          <w:spacing w:val="-1"/>
        </w:rPr>
        <w:t>that</w:t>
      </w:r>
      <w:r>
        <w:rPr>
          <w:rFonts w:ascii="Perpetua" w:eastAsia="Perpetua" w:hAnsi="Perpetua" w:cs="Perpetua"/>
          <w:i/>
        </w:rPr>
        <w:t xml:space="preserve"> </w:t>
      </w:r>
      <w:r>
        <w:rPr>
          <w:rFonts w:ascii="Perpetua" w:eastAsia="Perpetua" w:hAnsi="Perpetua" w:cs="Perpetua"/>
          <w:spacing w:val="-1"/>
        </w:rPr>
        <w:t>thy house, and</w:t>
      </w:r>
      <w:r>
        <w:rPr>
          <w:rFonts w:ascii="Perpetua" w:eastAsia="Perpetua" w:hAnsi="Perpetua" w:cs="Perpetua"/>
        </w:rPr>
        <w:t xml:space="preserve"> </w:t>
      </w:r>
      <w:r>
        <w:rPr>
          <w:rFonts w:ascii="Perpetua" w:eastAsia="Perpetua" w:hAnsi="Perpetua" w:cs="Perpetua"/>
          <w:spacing w:val="-1"/>
        </w:rPr>
        <w:t>the house</w:t>
      </w:r>
      <w:r>
        <w:rPr>
          <w:rFonts w:ascii="Perpetua" w:eastAsia="Perpetua" w:hAnsi="Perpetua" w:cs="Perpetua"/>
        </w:rPr>
        <w:t xml:space="preserve"> </w:t>
      </w:r>
      <w:r>
        <w:rPr>
          <w:rFonts w:ascii="Perpetua" w:eastAsia="Perpetua" w:hAnsi="Perpetua" w:cs="Perpetua"/>
          <w:spacing w:val="-1"/>
        </w:rPr>
        <w:t>of</w:t>
      </w:r>
      <w:r>
        <w:rPr>
          <w:rFonts w:ascii="Perpetua" w:eastAsia="Perpetua" w:hAnsi="Perpetua" w:cs="Perpetua"/>
        </w:rPr>
        <w:t xml:space="preserve"> </w:t>
      </w:r>
      <w:r>
        <w:rPr>
          <w:rFonts w:ascii="Perpetua" w:eastAsia="Perpetua" w:hAnsi="Perpetua" w:cs="Perpetua"/>
          <w:spacing w:val="-1"/>
        </w:rPr>
        <w:t>thy father, should</w:t>
      </w:r>
      <w:r>
        <w:rPr>
          <w:rFonts w:ascii="Perpetua" w:eastAsia="Perpetua" w:hAnsi="Perpetua" w:cs="Perpetua"/>
        </w:rPr>
        <w:t xml:space="preserve"> </w:t>
      </w:r>
      <w:r>
        <w:rPr>
          <w:rFonts w:ascii="Perpetua" w:eastAsia="Perpetua" w:hAnsi="Perpetua" w:cs="Perpetua"/>
          <w:spacing w:val="-1"/>
        </w:rPr>
        <w:t>walk</w:t>
      </w:r>
      <w:r>
        <w:rPr>
          <w:rFonts w:ascii="Perpetua" w:eastAsia="Perpetua" w:hAnsi="Perpetua" w:cs="Perpetua"/>
        </w:rPr>
        <w:t xml:space="preserve"> </w:t>
      </w:r>
      <w:r>
        <w:rPr>
          <w:rFonts w:ascii="Perpetua" w:eastAsia="Perpetua" w:hAnsi="Perpetua" w:cs="Perpetua"/>
          <w:spacing w:val="-1"/>
        </w:rPr>
        <w:t>before me</w:t>
      </w:r>
      <w:r>
        <w:rPr>
          <w:rFonts w:ascii="Perpetua" w:eastAsia="Perpetua" w:hAnsi="Perpetua" w:cs="Perpetua"/>
        </w:rPr>
        <w:t xml:space="preserve"> </w:t>
      </w:r>
      <w:r>
        <w:rPr>
          <w:rFonts w:ascii="Perpetua" w:eastAsia="Perpetua" w:hAnsi="Perpetua" w:cs="Perpetua"/>
          <w:spacing w:val="-1"/>
        </w:rPr>
        <w:t>for</w:t>
      </w:r>
      <w:r>
        <w:rPr>
          <w:rFonts w:ascii="Perpetua" w:eastAsia="Perpetua" w:hAnsi="Perpetua" w:cs="Perpetua"/>
        </w:rPr>
        <w:t xml:space="preserve"> </w:t>
      </w:r>
      <w:r>
        <w:rPr>
          <w:rFonts w:ascii="Perpetua" w:eastAsia="Perpetua" w:hAnsi="Perpetua" w:cs="Perpetua"/>
          <w:spacing w:val="-1"/>
        </w:rPr>
        <w:t>ever:</w:t>
      </w:r>
      <w:r>
        <w:rPr>
          <w:rFonts w:ascii="Perpetua" w:eastAsia="Perpetua" w:hAnsi="Perpetua" w:cs="Perpetua"/>
          <w:spacing w:val="-2"/>
        </w:rPr>
        <w:t xml:space="preserve"> </w:t>
      </w:r>
      <w:r>
        <w:rPr>
          <w:rFonts w:ascii="Perpetua" w:eastAsia="Perpetua" w:hAnsi="Perpetua" w:cs="Perpetua"/>
          <w:spacing w:val="-1"/>
        </w:rPr>
        <w:t>but</w:t>
      </w:r>
      <w:r>
        <w:rPr>
          <w:rFonts w:ascii="Perpetua" w:eastAsia="Perpetua" w:hAnsi="Perpetua" w:cs="Perpetua"/>
        </w:rPr>
        <w:t xml:space="preserve"> </w:t>
      </w:r>
      <w:r>
        <w:rPr>
          <w:rFonts w:ascii="Perpetua" w:eastAsia="Perpetua" w:hAnsi="Perpetua" w:cs="Perpetua"/>
          <w:spacing w:val="-1"/>
        </w:rPr>
        <w:t>now</w:t>
      </w:r>
      <w:r>
        <w:rPr>
          <w:rFonts w:ascii="Perpetua" w:eastAsia="Perpetua" w:hAnsi="Perpetua" w:cs="Perpetua"/>
          <w:spacing w:val="1"/>
        </w:rPr>
        <w:t xml:space="preserve"> </w:t>
      </w:r>
      <w:r>
        <w:rPr>
          <w:rFonts w:ascii="Perpetua" w:eastAsia="Perpetua" w:hAnsi="Perpetua" w:cs="Perpetua"/>
          <w:spacing w:val="-1"/>
        </w:rPr>
        <w:t>the</w:t>
      </w:r>
      <w:r>
        <w:rPr>
          <w:rFonts w:ascii="Perpetua" w:eastAsia="Perpetua" w:hAnsi="Perpetua" w:cs="Perpetua"/>
        </w:rPr>
        <w:t xml:space="preserve"> </w:t>
      </w:r>
      <w:r>
        <w:rPr>
          <w:rFonts w:ascii="Perpetua" w:eastAsia="Perpetua" w:hAnsi="Perpetua" w:cs="Perpetua"/>
          <w:spacing w:val="-1"/>
        </w:rPr>
        <w:t>LORD</w:t>
      </w:r>
      <w:r>
        <w:rPr>
          <w:rFonts w:ascii="Perpetua" w:eastAsia="Perpetua" w:hAnsi="Perpetua" w:cs="Perpetua"/>
        </w:rPr>
        <w:t xml:space="preserve"> </w:t>
      </w:r>
      <w:r>
        <w:rPr>
          <w:rFonts w:ascii="Perpetua" w:eastAsia="Perpetua" w:hAnsi="Perpetua" w:cs="Perpetua"/>
          <w:spacing w:val="-1"/>
        </w:rPr>
        <w:t>saith,</w:t>
      </w:r>
      <w:r>
        <w:rPr>
          <w:rFonts w:ascii="Perpetua" w:eastAsia="Perpetua" w:hAnsi="Perpetua" w:cs="Perpetua"/>
        </w:rPr>
        <w:t xml:space="preserve"> </w:t>
      </w:r>
      <w:r>
        <w:rPr>
          <w:rFonts w:ascii="Perpetua" w:eastAsia="Perpetua" w:hAnsi="Perpetua" w:cs="Perpetua"/>
          <w:spacing w:val="-1"/>
        </w:rPr>
        <w:t>Be</w:t>
      </w:r>
      <w:r>
        <w:rPr>
          <w:rFonts w:ascii="Perpetua" w:eastAsia="Perpetua" w:hAnsi="Perpetua" w:cs="Perpetua"/>
        </w:rPr>
        <w:t xml:space="preserve"> </w:t>
      </w:r>
      <w:r>
        <w:rPr>
          <w:rFonts w:ascii="Perpetua" w:eastAsia="Perpetua" w:hAnsi="Perpetua" w:cs="Perpetua"/>
          <w:spacing w:val="-1"/>
        </w:rPr>
        <w:t>it</w:t>
      </w:r>
      <w:r>
        <w:rPr>
          <w:rFonts w:ascii="Perpetua" w:eastAsia="Perpetua" w:hAnsi="Perpetua" w:cs="Perpetua"/>
        </w:rPr>
        <w:t xml:space="preserve"> </w:t>
      </w:r>
      <w:r>
        <w:rPr>
          <w:rFonts w:ascii="Perpetua" w:eastAsia="Perpetua" w:hAnsi="Perpetua" w:cs="Perpetua"/>
          <w:spacing w:val="-1"/>
        </w:rPr>
        <w:t>far</w:t>
      </w:r>
      <w:r>
        <w:rPr>
          <w:rFonts w:ascii="Perpetua" w:eastAsia="Perpetua" w:hAnsi="Perpetua" w:cs="Perpetua"/>
        </w:rPr>
        <w:t xml:space="preserve"> </w:t>
      </w:r>
      <w:r>
        <w:rPr>
          <w:rFonts w:ascii="Perpetua" w:eastAsia="Perpetua" w:hAnsi="Perpetua" w:cs="Perpetua"/>
          <w:spacing w:val="-1"/>
        </w:rPr>
        <w:t>from me;</w:t>
      </w:r>
      <w:r>
        <w:rPr>
          <w:rFonts w:ascii="Perpetua" w:eastAsia="Perpetua" w:hAnsi="Perpetua" w:cs="Perpetua"/>
        </w:rPr>
        <w:t xml:space="preserve"> </w:t>
      </w:r>
      <w:r>
        <w:rPr>
          <w:rFonts w:ascii="Perpetua" w:eastAsia="Perpetua" w:hAnsi="Perpetua" w:cs="Perpetua"/>
          <w:spacing w:val="-1"/>
        </w:rPr>
        <w:t>for</w:t>
      </w:r>
      <w:r>
        <w:rPr>
          <w:rFonts w:ascii="Perpetua" w:eastAsia="Perpetua" w:hAnsi="Perpetua" w:cs="Perpetua"/>
          <w:spacing w:val="-2"/>
        </w:rPr>
        <w:t xml:space="preserve"> </w:t>
      </w:r>
      <w:r>
        <w:rPr>
          <w:rFonts w:ascii="Perpetua" w:eastAsia="Perpetua" w:hAnsi="Perpetua" w:cs="Perpetua"/>
          <w:spacing w:val="-1"/>
        </w:rPr>
        <w:t>them that</w:t>
      </w:r>
      <w:r>
        <w:rPr>
          <w:rFonts w:ascii="Perpetua" w:eastAsia="Perpetua" w:hAnsi="Perpetua" w:cs="Perpetua"/>
        </w:rPr>
        <w:t xml:space="preserve"> </w:t>
      </w:r>
      <w:r>
        <w:rPr>
          <w:rFonts w:ascii="Perpetua" w:eastAsia="Perpetua" w:hAnsi="Perpetua" w:cs="Perpetua"/>
          <w:spacing w:val="-1"/>
        </w:rPr>
        <w:t>honour</w:t>
      </w:r>
      <w:r>
        <w:rPr>
          <w:rFonts w:ascii="Perpetua" w:eastAsia="Perpetua" w:hAnsi="Perpetua" w:cs="Perpetua"/>
        </w:rPr>
        <w:t xml:space="preserve"> </w:t>
      </w:r>
      <w:r>
        <w:rPr>
          <w:rFonts w:ascii="Perpetua" w:eastAsia="Perpetua" w:hAnsi="Perpetua" w:cs="Perpetua"/>
          <w:spacing w:val="-1"/>
        </w:rPr>
        <w:t>me</w:t>
      </w:r>
      <w:r>
        <w:rPr>
          <w:rFonts w:ascii="Perpetua" w:eastAsia="Perpetua" w:hAnsi="Perpetua" w:cs="Perpetua"/>
        </w:rPr>
        <w:t xml:space="preserve"> I </w:t>
      </w:r>
      <w:r>
        <w:rPr>
          <w:rFonts w:ascii="Perpetua" w:eastAsia="Perpetua" w:hAnsi="Perpetua" w:cs="Perpetua"/>
          <w:spacing w:val="-1"/>
        </w:rPr>
        <w:t>will</w:t>
      </w:r>
      <w:r>
        <w:rPr>
          <w:rFonts w:ascii="Perpetua" w:eastAsia="Perpetua" w:hAnsi="Perpetua" w:cs="Perpetua"/>
        </w:rPr>
        <w:t xml:space="preserve"> </w:t>
      </w:r>
      <w:r>
        <w:rPr>
          <w:rFonts w:ascii="Perpetua" w:eastAsia="Perpetua" w:hAnsi="Perpetua" w:cs="Perpetua"/>
          <w:spacing w:val="-1"/>
        </w:rPr>
        <w:t>honour,</w:t>
      </w:r>
      <w:r>
        <w:rPr>
          <w:rFonts w:ascii="Perpetua" w:eastAsia="Perpetua" w:hAnsi="Perpetua" w:cs="Perpetua"/>
          <w:spacing w:val="48"/>
        </w:rPr>
        <w:t xml:space="preserve"> </w:t>
      </w:r>
      <w:r>
        <w:rPr>
          <w:rFonts w:ascii="Perpetua" w:eastAsia="Perpetua" w:hAnsi="Perpetua" w:cs="Perpetua"/>
          <w:spacing w:val="-1"/>
        </w:rPr>
        <w:t>and</w:t>
      </w:r>
      <w:r>
        <w:rPr>
          <w:rFonts w:ascii="Perpetua" w:eastAsia="Perpetua" w:hAnsi="Perpetua" w:cs="Perpetua"/>
        </w:rPr>
        <w:t xml:space="preserve"> </w:t>
      </w:r>
      <w:r>
        <w:rPr>
          <w:rFonts w:ascii="Perpetua" w:eastAsia="Perpetua" w:hAnsi="Perpetua" w:cs="Perpetua"/>
          <w:spacing w:val="-1"/>
        </w:rPr>
        <w:t>they</w:t>
      </w:r>
      <w:r>
        <w:rPr>
          <w:rFonts w:ascii="Perpetua" w:eastAsia="Perpetua" w:hAnsi="Perpetua" w:cs="Perpetua"/>
        </w:rPr>
        <w:t xml:space="preserve"> </w:t>
      </w:r>
      <w:r>
        <w:rPr>
          <w:rFonts w:ascii="Perpetua" w:eastAsia="Perpetua" w:hAnsi="Perpetua" w:cs="Perpetua"/>
          <w:spacing w:val="-1"/>
        </w:rPr>
        <w:t>that</w:t>
      </w:r>
      <w:r>
        <w:rPr>
          <w:rFonts w:ascii="Perpetua" w:eastAsia="Perpetua" w:hAnsi="Perpetua" w:cs="Perpetua"/>
        </w:rPr>
        <w:t xml:space="preserve"> </w:t>
      </w:r>
      <w:r>
        <w:rPr>
          <w:rFonts w:ascii="Perpetua" w:eastAsia="Perpetua" w:hAnsi="Perpetua" w:cs="Perpetua"/>
          <w:spacing w:val="-1"/>
        </w:rPr>
        <w:t>despise</w:t>
      </w:r>
      <w:r>
        <w:rPr>
          <w:rFonts w:ascii="Perpetua" w:eastAsia="Perpetua" w:hAnsi="Perpetua" w:cs="Perpetua"/>
        </w:rPr>
        <w:t xml:space="preserve"> </w:t>
      </w:r>
      <w:r>
        <w:rPr>
          <w:rFonts w:ascii="Perpetua" w:eastAsia="Perpetua" w:hAnsi="Perpetua" w:cs="Perpetua"/>
          <w:spacing w:val="-1"/>
        </w:rPr>
        <w:t>me</w:t>
      </w:r>
      <w:r>
        <w:rPr>
          <w:rFonts w:ascii="Perpetua" w:eastAsia="Perpetua" w:hAnsi="Perpetua" w:cs="Perpetua"/>
        </w:rPr>
        <w:t xml:space="preserve"> </w:t>
      </w:r>
      <w:r>
        <w:rPr>
          <w:rFonts w:ascii="Perpetua" w:eastAsia="Perpetua" w:hAnsi="Perpetua" w:cs="Perpetua"/>
          <w:spacing w:val="-1"/>
        </w:rPr>
        <w:t>shall</w:t>
      </w:r>
      <w:r>
        <w:rPr>
          <w:rFonts w:ascii="Perpetua" w:eastAsia="Perpetua" w:hAnsi="Perpetua" w:cs="Perpetua"/>
        </w:rPr>
        <w:t xml:space="preserve"> </w:t>
      </w:r>
      <w:r>
        <w:rPr>
          <w:rFonts w:ascii="Perpetua" w:eastAsia="Perpetua" w:hAnsi="Perpetua" w:cs="Perpetua"/>
          <w:spacing w:val="-1"/>
        </w:rPr>
        <w:t>be</w:t>
      </w:r>
      <w:r>
        <w:rPr>
          <w:rFonts w:ascii="Perpetua" w:eastAsia="Perpetua" w:hAnsi="Perpetua" w:cs="Perpetua"/>
        </w:rPr>
        <w:t xml:space="preserve"> </w:t>
      </w:r>
      <w:r>
        <w:rPr>
          <w:rFonts w:ascii="Perpetua" w:eastAsia="Perpetua" w:hAnsi="Perpetua" w:cs="Perpetua"/>
          <w:spacing w:val="-1"/>
        </w:rPr>
        <w:t>lightly</w:t>
      </w:r>
      <w:r>
        <w:rPr>
          <w:rFonts w:ascii="Perpetua" w:eastAsia="Perpetua" w:hAnsi="Perpetua" w:cs="Perpetua"/>
        </w:rPr>
        <w:t xml:space="preserve"> </w:t>
      </w:r>
      <w:r>
        <w:rPr>
          <w:rFonts w:ascii="Perpetua" w:eastAsia="Perpetua" w:hAnsi="Perpetua" w:cs="Perpetua"/>
          <w:spacing w:val="-1"/>
        </w:rPr>
        <w:t xml:space="preserve">esteemed.’  1 Sam. 2:30, </w:t>
      </w:r>
      <w:r w:rsidRPr="003818DC">
        <w:rPr>
          <w:rFonts w:ascii="Perpetua" w:eastAsia="Perpetua" w:hAnsi="Perpetua" w:cs="Perpetua"/>
          <w:i/>
          <w:spacing w:val="-1"/>
        </w:rPr>
        <w:t>KJV</w:t>
      </w:r>
      <w:r>
        <w:rPr>
          <w:rFonts w:ascii="Perpetua" w:eastAsia="Perpetua" w:hAnsi="Perpetua" w:cs="Perpetua"/>
          <w:spacing w:val="-1"/>
        </w:rPr>
        <w:t>.</w:t>
      </w:r>
    </w:p>
  </w:footnote>
  <w:footnote w:id="56">
    <w:p w:rsidR="00975183" w:rsidRDefault="00975183" w:rsidP="00442D33">
      <w:pPr>
        <w:spacing w:after="0" w:line="240" w:lineRule="auto"/>
      </w:pPr>
      <w:r>
        <w:rPr>
          <w:rStyle w:val="FootnoteReference"/>
        </w:rPr>
        <w:footnoteRef/>
      </w:r>
      <w:r>
        <w:t xml:space="preserve"> </w:t>
      </w:r>
      <w:r>
        <w:rPr>
          <w:rFonts w:eastAsia="Perpetua" w:cs="Perpetua"/>
        </w:rPr>
        <w:t>‘</w:t>
      </w:r>
      <w:r w:rsidRPr="002537F3">
        <w:rPr>
          <w:rFonts w:eastAsia="Perpetua" w:cs="Perpetua"/>
          <w:i/>
          <w:spacing w:val="-1"/>
          <w:sz w:val="20"/>
        </w:rPr>
        <w:t>At</w:t>
      </w:r>
      <w:r w:rsidRPr="002537F3">
        <w:rPr>
          <w:rFonts w:eastAsia="Perpetua" w:cs="Perpetua"/>
          <w:i/>
          <w:sz w:val="20"/>
        </w:rPr>
        <w:t xml:space="preserve"> </w:t>
      </w:r>
      <w:r w:rsidRPr="002537F3">
        <w:rPr>
          <w:rFonts w:eastAsia="Perpetua" w:cs="Perpetua"/>
          <w:i/>
          <w:spacing w:val="-1"/>
          <w:sz w:val="20"/>
        </w:rPr>
        <w:t xml:space="preserve">what </w:t>
      </w:r>
      <w:r w:rsidRPr="002537F3">
        <w:rPr>
          <w:rFonts w:eastAsia="Perpetua" w:cs="Perpetua"/>
          <w:spacing w:val="-1"/>
          <w:sz w:val="20"/>
        </w:rPr>
        <w:t>instant</w:t>
      </w:r>
      <w:r w:rsidRPr="002537F3">
        <w:rPr>
          <w:rFonts w:eastAsia="Perpetua" w:cs="Perpetua"/>
          <w:sz w:val="20"/>
        </w:rPr>
        <w:t xml:space="preserve"> I </w:t>
      </w:r>
      <w:r w:rsidRPr="002537F3">
        <w:rPr>
          <w:rFonts w:eastAsia="Perpetua" w:cs="Perpetua"/>
          <w:spacing w:val="-1"/>
          <w:sz w:val="20"/>
        </w:rPr>
        <w:t>shall</w:t>
      </w:r>
      <w:r w:rsidRPr="002537F3">
        <w:rPr>
          <w:rFonts w:eastAsia="Perpetua" w:cs="Perpetua"/>
          <w:sz w:val="20"/>
        </w:rPr>
        <w:t xml:space="preserve"> </w:t>
      </w:r>
      <w:r w:rsidRPr="002537F3">
        <w:rPr>
          <w:rFonts w:eastAsia="Perpetua" w:cs="Perpetua"/>
          <w:spacing w:val="-1"/>
          <w:sz w:val="20"/>
        </w:rPr>
        <w:t>speak concerning</w:t>
      </w:r>
      <w:r w:rsidRPr="002537F3">
        <w:rPr>
          <w:rFonts w:eastAsia="Perpetua" w:cs="Perpetua"/>
          <w:spacing w:val="1"/>
          <w:sz w:val="20"/>
        </w:rPr>
        <w:t xml:space="preserve"> </w:t>
      </w:r>
      <w:r w:rsidRPr="002537F3">
        <w:rPr>
          <w:rFonts w:eastAsia="Perpetua" w:cs="Perpetua"/>
          <w:sz w:val="20"/>
        </w:rPr>
        <w:t xml:space="preserve">a </w:t>
      </w:r>
      <w:r w:rsidRPr="002537F3">
        <w:rPr>
          <w:rFonts w:eastAsia="Perpetua" w:cs="Perpetua"/>
          <w:spacing w:val="-1"/>
          <w:sz w:val="20"/>
        </w:rPr>
        <w:t>nation,</w:t>
      </w:r>
      <w:r w:rsidRPr="002537F3">
        <w:rPr>
          <w:rFonts w:eastAsia="Perpetua" w:cs="Perpetua"/>
          <w:sz w:val="20"/>
        </w:rPr>
        <w:t xml:space="preserve"> </w:t>
      </w:r>
      <w:r w:rsidRPr="002537F3">
        <w:rPr>
          <w:rFonts w:eastAsia="Perpetua" w:cs="Perpetua"/>
          <w:spacing w:val="-1"/>
          <w:sz w:val="20"/>
        </w:rPr>
        <w:t>and</w:t>
      </w:r>
      <w:r w:rsidRPr="002537F3">
        <w:rPr>
          <w:rFonts w:eastAsia="Perpetua" w:cs="Perpetua"/>
          <w:sz w:val="20"/>
        </w:rPr>
        <w:t xml:space="preserve"> </w:t>
      </w:r>
      <w:r w:rsidRPr="002537F3">
        <w:rPr>
          <w:rFonts w:eastAsia="Perpetua" w:cs="Perpetua"/>
          <w:spacing w:val="-1"/>
          <w:sz w:val="20"/>
        </w:rPr>
        <w:t>concerning</w:t>
      </w:r>
      <w:r w:rsidRPr="002537F3">
        <w:rPr>
          <w:rFonts w:eastAsia="Perpetua" w:cs="Perpetua"/>
          <w:spacing w:val="1"/>
          <w:sz w:val="20"/>
        </w:rPr>
        <w:t xml:space="preserve"> </w:t>
      </w:r>
      <w:r w:rsidRPr="002537F3">
        <w:rPr>
          <w:rFonts w:eastAsia="Perpetua" w:cs="Perpetua"/>
          <w:sz w:val="20"/>
        </w:rPr>
        <w:t xml:space="preserve">a </w:t>
      </w:r>
      <w:r w:rsidRPr="002537F3">
        <w:rPr>
          <w:rFonts w:eastAsia="Perpetua" w:cs="Perpetua"/>
          <w:spacing w:val="-1"/>
          <w:sz w:val="20"/>
        </w:rPr>
        <w:t>kingdom,</w:t>
      </w:r>
      <w:r w:rsidRPr="002537F3">
        <w:rPr>
          <w:rFonts w:eastAsia="Perpetua" w:cs="Perpetua"/>
          <w:sz w:val="20"/>
        </w:rPr>
        <w:t xml:space="preserve"> </w:t>
      </w:r>
      <w:r w:rsidRPr="002537F3">
        <w:rPr>
          <w:rFonts w:eastAsia="Perpetua" w:cs="Perpetua"/>
          <w:spacing w:val="-1"/>
          <w:sz w:val="20"/>
        </w:rPr>
        <w:t>to</w:t>
      </w:r>
      <w:r w:rsidRPr="002537F3">
        <w:rPr>
          <w:rFonts w:eastAsia="Perpetua" w:cs="Perpetua"/>
          <w:sz w:val="20"/>
        </w:rPr>
        <w:t xml:space="preserve"> </w:t>
      </w:r>
      <w:r w:rsidRPr="002537F3">
        <w:rPr>
          <w:rFonts w:eastAsia="Perpetua" w:cs="Perpetua"/>
          <w:spacing w:val="-1"/>
          <w:sz w:val="20"/>
        </w:rPr>
        <w:t>pluck</w:t>
      </w:r>
      <w:r w:rsidRPr="002537F3">
        <w:rPr>
          <w:rFonts w:eastAsia="Perpetua" w:cs="Perpetua"/>
          <w:sz w:val="20"/>
        </w:rPr>
        <w:t xml:space="preserve"> </w:t>
      </w:r>
      <w:r w:rsidRPr="002537F3">
        <w:rPr>
          <w:rFonts w:eastAsia="Perpetua" w:cs="Perpetua"/>
          <w:spacing w:val="-1"/>
          <w:sz w:val="20"/>
        </w:rPr>
        <w:t>up,</w:t>
      </w:r>
      <w:r w:rsidRPr="002537F3">
        <w:rPr>
          <w:rFonts w:eastAsia="Perpetua" w:cs="Perpetua"/>
          <w:sz w:val="20"/>
        </w:rPr>
        <w:t xml:space="preserve"> </w:t>
      </w:r>
      <w:r w:rsidRPr="002537F3">
        <w:rPr>
          <w:rFonts w:eastAsia="Perpetua" w:cs="Perpetua"/>
          <w:spacing w:val="-1"/>
          <w:sz w:val="20"/>
        </w:rPr>
        <w:t>and</w:t>
      </w:r>
      <w:r w:rsidRPr="002537F3">
        <w:rPr>
          <w:rFonts w:eastAsia="Perpetua" w:cs="Perpetua"/>
          <w:sz w:val="20"/>
        </w:rPr>
        <w:t xml:space="preserve"> </w:t>
      </w:r>
      <w:r w:rsidRPr="002537F3">
        <w:rPr>
          <w:rFonts w:eastAsia="Perpetua" w:cs="Perpetua"/>
          <w:spacing w:val="-1"/>
          <w:sz w:val="20"/>
        </w:rPr>
        <w:t>to</w:t>
      </w:r>
      <w:r w:rsidRPr="002537F3">
        <w:rPr>
          <w:rFonts w:eastAsia="Perpetua" w:cs="Perpetua"/>
          <w:sz w:val="20"/>
        </w:rPr>
        <w:t xml:space="preserve"> </w:t>
      </w:r>
      <w:r w:rsidRPr="002537F3">
        <w:rPr>
          <w:rFonts w:eastAsia="Perpetua" w:cs="Perpetua"/>
          <w:spacing w:val="-1"/>
          <w:sz w:val="20"/>
        </w:rPr>
        <w:t>pull</w:t>
      </w:r>
      <w:r w:rsidRPr="002537F3">
        <w:rPr>
          <w:rFonts w:eastAsia="Perpetua" w:cs="Perpetua"/>
          <w:sz w:val="20"/>
        </w:rPr>
        <w:t xml:space="preserve"> </w:t>
      </w:r>
      <w:r w:rsidRPr="002537F3">
        <w:rPr>
          <w:rFonts w:eastAsia="Perpetua" w:cs="Perpetua"/>
          <w:spacing w:val="-1"/>
          <w:sz w:val="20"/>
        </w:rPr>
        <w:t>down,</w:t>
      </w:r>
      <w:r w:rsidRPr="002537F3">
        <w:rPr>
          <w:rFonts w:eastAsia="Perpetua" w:cs="Perpetua"/>
          <w:sz w:val="20"/>
        </w:rPr>
        <w:t xml:space="preserve"> </w:t>
      </w:r>
      <w:r w:rsidRPr="002537F3">
        <w:rPr>
          <w:rFonts w:eastAsia="Perpetua" w:cs="Perpetua"/>
          <w:spacing w:val="-1"/>
          <w:sz w:val="20"/>
        </w:rPr>
        <w:t>and</w:t>
      </w:r>
      <w:r w:rsidRPr="002537F3">
        <w:rPr>
          <w:rFonts w:eastAsia="Perpetua" w:cs="Perpetua"/>
          <w:sz w:val="20"/>
        </w:rPr>
        <w:t xml:space="preserve"> </w:t>
      </w:r>
      <w:r w:rsidRPr="002537F3">
        <w:rPr>
          <w:rFonts w:eastAsia="Perpetua" w:cs="Perpetua"/>
          <w:spacing w:val="-1"/>
          <w:sz w:val="20"/>
        </w:rPr>
        <w:t>to</w:t>
      </w:r>
      <w:r w:rsidRPr="002537F3">
        <w:rPr>
          <w:rFonts w:eastAsia="Perpetua" w:cs="Perpetua"/>
          <w:sz w:val="20"/>
        </w:rPr>
        <w:t xml:space="preserve"> </w:t>
      </w:r>
      <w:r w:rsidRPr="002537F3">
        <w:rPr>
          <w:rFonts w:eastAsia="Perpetua" w:cs="Perpetua"/>
          <w:spacing w:val="-1"/>
          <w:sz w:val="20"/>
        </w:rPr>
        <w:t>destroy</w:t>
      </w:r>
      <w:r w:rsidRPr="002537F3">
        <w:rPr>
          <w:rFonts w:eastAsia="Perpetua" w:cs="Perpetua"/>
          <w:spacing w:val="1"/>
          <w:sz w:val="20"/>
        </w:rPr>
        <w:t xml:space="preserve"> </w:t>
      </w:r>
      <w:r w:rsidRPr="002537F3">
        <w:rPr>
          <w:rFonts w:eastAsia="Perpetua" w:cs="Perpetua"/>
          <w:i/>
          <w:spacing w:val="-1"/>
          <w:sz w:val="20"/>
        </w:rPr>
        <w:t>it;</w:t>
      </w:r>
      <w:r>
        <w:rPr>
          <w:rFonts w:eastAsia="Perpetua" w:cs="Perpetua"/>
          <w:i/>
        </w:rPr>
        <w:t xml:space="preserve"> </w:t>
      </w:r>
      <w:r>
        <w:rPr>
          <w:rFonts w:eastAsia="Perpetua" w:cs="Perpetua"/>
          <w:spacing w:val="-1"/>
          <w:position w:val="8"/>
          <w:sz w:val="12"/>
          <w:szCs w:val="12"/>
        </w:rPr>
        <w:t xml:space="preserve">8 </w:t>
      </w:r>
      <w:r w:rsidRPr="002537F3">
        <w:rPr>
          <w:rFonts w:eastAsia="Perpetua" w:cs="Perpetua"/>
          <w:spacing w:val="-1"/>
          <w:sz w:val="20"/>
        </w:rPr>
        <w:t>If</w:t>
      </w:r>
      <w:r w:rsidRPr="002537F3">
        <w:rPr>
          <w:rFonts w:eastAsia="Perpetua" w:cs="Perpetua"/>
          <w:sz w:val="20"/>
        </w:rPr>
        <w:t xml:space="preserve"> </w:t>
      </w:r>
      <w:r w:rsidRPr="002537F3">
        <w:rPr>
          <w:rFonts w:eastAsia="Perpetua" w:cs="Perpetua"/>
          <w:spacing w:val="-1"/>
          <w:sz w:val="20"/>
        </w:rPr>
        <w:t>that nation,</w:t>
      </w:r>
      <w:r w:rsidRPr="002537F3">
        <w:rPr>
          <w:rFonts w:eastAsia="Perpetua" w:cs="Perpetua"/>
          <w:sz w:val="20"/>
        </w:rPr>
        <w:t xml:space="preserve"> </w:t>
      </w:r>
      <w:r w:rsidRPr="002537F3">
        <w:rPr>
          <w:rFonts w:eastAsia="Perpetua" w:cs="Perpetua"/>
          <w:spacing w:val="-1"/>
          <w:sz w:val="20"/>
        </w:rPr>
        <w:t>against</w:t>
      </w:r>
      <w:r w:rsidRPr="002537F3">
        <w:rPr>
          <w:rFonts w:eastAsia="Perpetua" w:cs="Perpetua"/>
          <w:sz w:val="20"/>
        </w:rPr>
        <w:t xml:space="preserve"> </w:t>
      </w:r>
      <w:r w:rsidRPr="002537F3">
        <w:rPr>
          <w:rFonts w:eastAsia="Perpetua" w:cs="Perpetua"/>
          <w:spacing w:val="-1"/>
          <w:sz w:val="20"/>
        </w:rPr>
        <w:t>whom</w:t>
      </w:r>
      <w:r w:rsidRPr="002537F3">
        <w:rPr>
          <w:rFonts w:eastAsia="Perpetua" w:cs="Perpetua"/>
          <w:sz w:val="20"/>
        </w:rPr>
        <w:t xml:space="preserve"> I </w:t>
      </w:r>
      <w:r w:rsidRPr="002537F3">
        <w:rPr>
          <w:rFonts w:eastAsia="Perpetua" w:cs="Perpetua"/>
          <w:spacing w:val="-1"/>
          <w:sz w:val="20"/>
        </w:rPr>
        <w:t>have pronounced,</w:t>
      </w:r>
      <w:r w:rsidRPr="002537F3">
        <w:rPr>
          <w:rFonts w:eastAsia="Perpetua" w:cs="Perpetua"/>
          <w:sz w:val="20"/>
        </w:rPr>
        <w:t xml:space="preserve"> </w:t>
      </w:r>
      <w:r w:rsidRPr="002537F3">
        <w:rPr>
          <w:rFonts w:eastAsia="Perpetua" w:cs="Perpetua"/>
          <w:spacing w:val="-1"/>
          <w:sz w:val="20"/>
        </w:rPr>
        <w:t>turn from</w:t>
      </w:r>
      <w:r w:rsidRPr="002537F3">
        <w:rPr>
          <w:rFonts w:eastAsia="Perpetua" w:cs="Perpetua"/>
          <w:spacing w:val="46"/>
          <w:sz w:val="20"/>
        </w:rPr>
        <w:t xml:space="preserve"> </w:t>
      </w:r>
      <w:r w:rsidRPr="002537F3">
        <w:rPr>
          <w:rFonts w:eastAsia="Perpetua" w:cs="Perpetua"/>
          <w:spacing w:val="-1"/>
          <w:sz w:val="20"/>
        </w:rPr>
        <w:t>their</w:t>
      </w:r>
      <w:r w:rsidRPr="002537F3">
        <w:rPr>
          <w:rFonts w:eastAsia="Perpetua" w:cs="Perpetua"/>
          <w:sz w:val="20"/>
        </w:rPr>
        <w:t xml:space="preserve"> </w:t>
      </w:r>
      <w:r w:rsidRPr="002537F3">
        <w:rPr>
          <w:rFonts w:eastAsia="Perpetua" w:cs="Perpetua"/>
          <w:spacing w:val="-1"/>
          <w:sz w:val="20"/>
        </w:rPr>
        <w:t>evil,</w:t>
      </w:r>
      <w:r w:rsidRPr="002537F3">
        <w:rPr>
          <w:rFonts w:eastAsia="Perpetua" w:cs="Perpetua"/>
          <w:sz w:val="20"/>
        </w:rPr>
        <w:t xml:space="preserve"> I </w:t>
      </w:r>
      <w:r w:rsidRPr="002537F3">
        <w:rPr>
          <w:rFonts w:eastAsia="Perpetua" w:cs="Perpetua"/>
          <w:spacing w:val="-1"/>
          <w:sz w:val="20"/>
        </w:rPr>
        <w:t>will</w:t>
      </w:r>
      <w:r w:rsidRPr="002537F3">
        <w:rPr>
          <w:rFonts w:eastAsia="Perpetua" w:cs="Perpetua"/>
          <w:sz w:val="20"/>
        </w:rPr>
        <w:t xml:space="preserve"> </w:t>
      </w:r>
      <w:r w:rsidRPr="002537F3">
        <w:rPr>
          <w:rFonts w:eastAsia="Perpetua" w:cs="Perpetua"/>
          <w:spacing w:val="-1"/>
          <w:sz w:val="20"/>
        </w:rPr>
        <w:t>repent</w:t>
      </w:r>
      <w:r w:rsidRPr="002537F3">
        <w:rPr>
          <w:rFonts w:eastAsia="Perpetua" w:cs="Perpetua"/>
          <w:sz w:val="20"/>
        </w:rPr>
        <w:t xml:space="preserve"> </w:t>
      </w:r>
      <w:r w:rsidRPr="002537F3">
        <w:rPr>
          <w:rFonts w:eastAsia="Perpetua" w:cs="Perpetua"/>
          <w:spacing w:val="-1"/>
          <w:sz w:val="20"/>
        </w:rPr>
        <w:t>of</w:t>
      </w:r>
      <w:r w:rsidRPr="002537F3">
        <w:rPr>
          <w:rFonts w:eastAsia="Perpetua" w:cs="Perpetua"/>
          <w:sz w:val="20"/>
        </w:rPr>
        <w:t xml:space="preserve"> </w:t>
      </w:r>
      <w:r w:rsidRPr="002537F3">
        <w:rPr>
          <w:rFonts w:eastAsia="Perpetua" w:cs="Perpetua"/>
          <w:spacing w:val="-1"/>
          <w:sz w:val="20"/>
        </w:rPr>
        <w:t>the</w:t>
      </w:r>
      <w:r w:rsidRPr="002537F3">
        <w:rPr>
          <w:rFonts w:eastAsia="Perpetua" w:cs="Perpetua"/>
          <w:spacing w:val="1"/>
          <w:sz w:val="20"/>
        </w:rPr>
        <w:t xml:space="preserve"> </w:t>
      </w:r>
      <w:r w:rsidRPr="002537F3">
        <w:rPr>
          <w:rFonts w:eastAsia="Perpetua" w:cs="Perpetua"/>
          <w:spacing w:val="-1"/>
          <w:sz w:val="20"/>
        </w:rPr>
        <w:t>evil</w:t>
      </w:r>
      <w:r w:rsidRPr="002537F3">
        <w:rPr>
          <w:rFonts w:eastAsia="Perpetua" w:cs="Perpetua"/>
          <w:sz w:val="20"/>
        </w:rPr>
        <w:t xml:space="preserve"> </w:t>
      </w:r>
      <w:r w:rsidRPr="002537F3">
        <w:rPr>
          <w:rFonts w:eastAsia="Perpetua" w:cs="Perpetua"/>
          <w:spacing w:val="-1"/>
          <w:sz w:val="20"/>
        </w:rPr>
        <w:t>that</w:t>
      </w:r>
      <w:r w:rsidRPr="002537F3">
        <w:rPr>
          <w:rFonts w:eastAsia="Perpetua" w:cs="Perpetua"/>
          <w:sz w:val="20"/>
        </w:rPr>
        <w:t xml:space="preserve"> I</w:t>
      </w:r>
      <w:r w:rsidRPr="002537F3">
        <w:rPr>
          <w:rFonts w:eastAsia="Perpetua" w:cs="Perpetua"/>
          <w:spacing w:val="-2"/>
          <w:sz w:val="20"/>
        </w:rPr>
        <w:t xml:space="preserve"> </w:t>
      </w:r>
      <w:r w:rsidRPr="002537F3">
        <w:rPr>
          <w:rFonts w:eastAsia="Perpetua" w:cs="Perpetua"/>
          <w:spacing w:val="-1"/>
          <w:sz w:val="20"/>
        </w:rPr>
        <w:t>thought to</w:t>
      </w:r>
      <w:r w:rsidRPr="002537F3">
        <w:rPr>
          <w:rFonts w:eastAsia="Perpetua" w:cs="Perpetua"/>
          <w:sz w:val="20"/>
        </w:rPr>
        <w:t xml:space="preserve"> </w:t>
      </w:r>
      <w:r w:rsidRPr="002537F3">
        <w:rPr>
          <w:rFonts w:eastAsia="Perpetua" w:cs="Perpetua"/>
          <w:spacing w:val="-1"/>
          <w:sz w:val="20"/>
        </w:rPr>
        <w:t>do</w:t>
      </w:r>
      <w:r w:rsidRPr="002537F3">
        <w:rPr>
          <w:rFonts w:eastAsia="Perpetua" w:cs="Perpetua"/>
          <w:sz w:val="20"/>
        </w:rPr>
        <w:t xml:space="preserve"> </w:t>
      </w:r>
      <w:r w:rsidRPr="002537F3">
        <w:rPr>
          <w:rFonts w:eastAsia="Perpetua" w:cs="Perpetua"/>
          <w:spacing w:val="-1"/>
          <w:sz w:val="20"/>
        </w:rPr>
        <w:t>unto</w:t>
      </w:r>
      <w:r w:rsidRPr="002537F3">
        <w:rPr>
          <w:rFonts w:eastAsia="Perpetua" w:cs="Perpetua"/>
          <w:sz w:val="20"/>
        </w:rPr>
        <w:t xml:space="preserve"> </w:t>
      </w:r>
      <w:r w:rsidRPr="002537F3">
        <w:rPr>
          <w:rFonts w:eastAsia="Perpetua" w:cs="Perpetua"/>
          <w:spacing w:val="-1"/>
          <w:sz w:val="20"/>
        </w:rPr>
        <w:t>them.</w:t>
      </w:r>
      <w:r w:rsidRPr="002537F3">
        <w:rPr>
          <w:rFonts w:eastAsia="Perpetua" w:cs="Perpetua"/>
          <w:spacing w:val="-2"/>
          <w:sz w:val="20"/>
        </w:rPr>
        <w:t xml:space="preserve"> </w:t>
      </w:r>
      <w:r>
        <w:rPr>
          <w:rFonts w:eastAsia="Perpetua" w:cs="Perpetua"/>
          <w:spacing w:val="-1"/>
          <w:position w:val="8"/>
          <w:sz w:val="12"/>
          <w:szCs w:val="12"/>
        </w:rPr>
        <w:t xml:space="preserve">9 </w:t>
      </w:r>
      <w:r w:rsidRPr="002537F3">
        <w:rPr>
          <w:rFonts w:eastAsia="Perpetua" w:cs="Perpetua"/>
          <w:spacing w:val="-1"/>
          <w:sz w:val="20"/>
        </w:rPr>
        <w:t>And</w:t>
      </w:r>
      <w:r w:rsidRPr="002537F3">
        <w:rPr>
          <w:rFonts w:eastAsia="Perpetua" w:cs="Perpetua"/>
          <w:sz w:val="20"/>
        </w:rPr>
        <w:t xml:space="preserve"> </w:t>
      </w:r>
      <w:r w:rsidRPr="002537F3">
        <w:rPr>
          <w:rFonts w:eastAsia="Perpetua" w:cs="Perpetua"/>
          <w:i/>
          <w:sz w:val="20"/>
        </w:rPr>
        <w:t>at what</w:t>
      </w:r>
      <w:r w:rsidRPr="002537F3">
        <w:rPr>
          <w:rFonts w:eastAsia="Perpetua" w:cs="Perpetua"/>
          <w:i/>
          <w:spacing w:val="-2"/>
          <w:sz w:val="20"/>
        </w:rPr>
        <w:t xml:space="preserve"> </w:t>
      </w:r>
      <w:r w:rsidRPr="002537F3">
        <w:rPr>
          <w:rFonts w:eastAsia="Perpetua" w:cs="Perpetua"/>
          <w:spacing w:val="-1"/>
          <w:sz w:val="20"/>
        </w:rPr>
        <w:t>instant</w:t>
      </w:r>
      <w:r w:rsidRPr="002537F3">
        <w:rPr>
          <w:rFonts w:eastAsia="Perpetua" w:cs="Perpetua"/>
          <w:sz w:val="20"/>
        </w:rPr>
        <w:t xml:space="preserve"> I </w:t>
      </w:r>
      <w:r w:rsidRPr="002537F3">
        <w:rPr>
          <w:rFonts w:eastAsia="Perpetua" w:cs="Perpetua"/>
          <w:spacing w:val="-1"/>
          <w:sz w:val="20"/>
        </w:rPr>
        <w:t>shall</w:t>
      </w:r>
      <w:r w:rsidRPr="002537F3">
        <w:rPr>
          <w:rFonts w:eastAsia="Perpetua" w:cs="Perpetua"/>
          <w:sz w:val="20"/>
        </w:rPr>
        <w:t xml:space="preserve"> </w:t>
      </w:r>
      <w:r w:rsidRPr="002537F3">
        <w:rPr>
          <w:rFonts w:eastAsia="Perpetua" w:cs="Perpetua"/>
          <w:spacing w:val="-1"/>
          <w:sz w:val="20"/>
        </w:rPr>
        <w:t>speak</w:t>
      </w:r>
      <w:r w:rsidRPr="002537F3">
        <w:rPr>
          <w:rFonts w:eastAsia="Perpetua" w:cs="Perpetua"/>
          <w:sz w:val="20"/>
        </w:rPr>
        <w:t xml:space="preserve"> </w:t>
      </w:r>
      <w:r w:rsidRPr="002537F3">
        <w:rPr>
          <w:rFonts w:eastAsia="Perpetua" w:cs="Perpetua"/>
          <w:spacing w:val="-1"/>
          <w:sz w:val="20"/>
        </w:rPr>
        <w:t>concerning</w:t>
      </w:r>
      <w:r w:rsidRPr="002537F3">
        <w:rPr>
          <w:rFonts w:eastAsia="Perpetua" w:cs="Perpetua"/>
          <w:sz w:val="20"/>
        </w:rPr>
        <w:t xml:space="preserve"> a</w:t>
      </w:r>
      <w:r w:rsidRPr="002537F3">
        <w:rPr>
          <w:rFonts w:eastAsia="Perpetua" w:cs="Perpetua"/>
          <w:spacing w:val="41"/>
          <w:sz w:val="20"/>
        </w:rPr>
        <w:t xml:space="preserve"> </w:t>
      </w:r>
      <w:r w:rsidRPr="002537F3">
        <w:rPr>
          <w:rFonts w:eastAsia="Perpetua" w:cs="Perpetua"/>
          <w:spacing w:val="-1"/>
          <w:sz w:val="20"/>
        </w:rPr>
        <w:t>nation,</w:t>
      </w:r>
      <w:r w:rsidRPr="002537F3">
        <w:rPr>
          <w:rFonts w:eastAsia="Perpetua" w:cs="Perpetua"/>
          <w:sz w:val="20"/>
        </w:rPr>
        <w:t xml:space="preserve"> </w:t>
      </w:r>
      <w:r w:rsidRPr="002537F3">
        <w:rPr>
          <w:rFonts w:eastAsia="Perpetua" w:cs="Perpetua"/>
          <w:spacing w:val="-1"/>
          <w:sz w:val="20"/>
        </w:rPr>
        <w:t>and</w:t>
      </w:r>
      <w:r w:rsidRPr="002537F3">
        <w:rPr>
          <w:rFonts w:eastAsia="Perpetua" w:cs="Perpetua"/>
          <w:sz w:val="20"/>
        </w:rPr>
        <w:t xml:space="preserve"> </w:t>
      </w:r>
      <w:r w:rsidRPr="002537F3">
        <w:rPr>
          <w:rFonts w:eastAsia="Perpetua" w:cs="Perpetua"/>
          <w:spacing w:val="-1"/>
          <w:sz w:val="20"/>
        </w:rPr>
        <w:t>concerning</w:t>
      </w:r>
      <w:r w:rsidRPr="002537F3">
        <w:rPr>
          <w:rFonts w:eastAsia="Perpetua" w:cs="Perpetua"/>
          <w:sz w:val="20"/>
        </w:rPr>
        <w:t xml:space="preserve"> a </w:t>
      </w:r>
      <w:r w:rsidRPr="002537F3">
        <w:rPr>
          <w:rFonts w:eastAsia="Perpetua" w:cs="Perpetua"/>
          <w:spacing w:val="-1"/>
          <w:sz w:val="20"/>
        </w:rPr>
        <w:t>kingdom,</w:t>
      </w:r>
      <w:r w:rsidRPr="002537F3">
        <w:rPr>
          <w:rFonts w:eastAsia="Perpetua" w:cs="Perpetua"/>
          <w:sz w:val="20"/>
        </w:rPr>
        <w:t xml:space="preserve"> </w:t>
      </w:r>
      <w:r w:rsidRPr="002537F3">
        <w:rPr>
          <w:rFonts w:eastAsia="Perpetua" w:cs="Perpetua"/>
          <w:spacing w:val="-1"/>
          <w:sz w:val="20"/>
        </w:rPr>
        <w:t>to build and</w:t>
      </w:r>
      <w:r w:rsidRPr="002537F3">
        <w:rPr>
          <w:rFonts w:eastAsia="Perpetua" w:cs="Perpetua"/>
          <w:sz w:val="20"/>
        </w:rPr>
        <w:t xml:space="preserve"> </w:t>
      </w:r>
      <w:r w:rsidRPr="002537F3">
        <w:rPr>
          <w:rFonts w:eastAsia="Perpetua" w:cs="Perpetua"/>
          <w:spacing w:val="-1"/>
          <w:sz w:val="20"/>
        </w:rPr>
        <w:t>to</w:t>
      </w:r>
      <w:r w:rsidRPr="002537F3">
        <w:rPr>
          <w:rFonts w:eastAsia="Perpetua" w:cs="Perpetua"/>
          <w:sz w:val="20"/>
        </w:rPr>
        <w:t xml:space="preserve"> </w:t>
      </w:r>
      <w:r w:rsidRPr="002537F3">
        <w:rPr>
          <w:rFonts w:eastAsia="Perpetua" w:cs="Perpetua"/>
          <w:spacing w:val="-1"/>
          <w:sz w:val="20"/>
        </w:rPr>
        <w:t>plant</w:t>
      </w:r>
      <w:r w:rsidRPr="002537F3">
        <w:rPr>
          <w:rFonts w:eastAsia="Perpetua" w:cs="Perpetua"/>
          <w:spacing w:val="1"/>
          <w:sz w:val="20"/>
        </w:rPr>
        <w:t xml:space="preserve"> </w:t>
      </w:r>
      <w:r w:rsidRPr="002537F3">
        <w:rPr>
          <w:rFonts w:eastAsia="Perpetua" w:cs="Perpetua"/>
          <w:i/>
          <w:spacing w:val="-1"/>
          <w:sz w:val="20"/>
        </w:rPr>
        <w:t>it;</w:t>
      </w:r>
      <w:r w:rsidRPr="002537F3">
        <w:rPr>
          <w:rFonts w:eastAsia="Perpetua" w:cs="Perpetua"/>
          <w:i/>
          <w:sz w:val="20"/>
        </w:rPr>
        <w:t xml:space="preserve"> </w:t>
      </w:r>
      <w:r>
        <w:rPr>
          <w:rFonts w:eastAsia="Perpetua" w:cs="Perpetua"/>
          <w:position w:val="8"/>
          <w:sz w:val="12"/>
          <w:szCs w:val="12"/>
        </w:rPr>
        <w:t>10</w:t>
      </w:r>
      <w:r>
        <w:rPr>
          <w:rFonts w:eastAsia="Perpetua" w:cs="Perpetua"/>
          <w:spacing w:val="18"/>
          <w:position w:val="8"/>
          <w:sz w:val="12"/>
          <w:szCs w:val="12"/>
        </w:rPr>
        <w:t xml:space="preserve"> </w:t>
      </w:r>
      <w:r w:rsidRPr="002537F3">
        <w:rPr>
          <w:rFonts w:eastAsia="Perpetua" w:cs="Perpetua"/>
          <w:sz w:val="20"/>
        </w:rPr>
        <w:t>If it</w:t>
      </w:r>
      <w:r w:rsidRPr="002537F3">
        <w:rPr>
          <w:rFonts w:eastAsia="Perpetua" w:cs="Perpetua"/>
          <w:spacing w:val="-2"/>
          <w:sz w:val="20"/>
        </w:rPr>
        <w:t xml:space="preserve"> </w:t>
      </w:r>
      <w:r w:rsidRPr="002537F3">
        <w:rPr>
          <w:rFonts w:eastAsia="Perpetua" w:cs="Perpetua"/>
          <w:spacing w:val="-1"/>
          <w:sz w:val="20"/>
        </w:rPr>
        <w:t>do</w:t>
      </w:r>
      <w:r w:rsidRPr="002537F3">
        <w:rPr>
          <w:rFonts w:eastAsia="Perpetua" w:cs="Perpetua"/>
          <w:sz w:val="20"/>
        </w:rPr>
        <w:t xml:space="preserve"> evil in </w:t>
      </w:r>
      <w:r w:rsidRPr="002537F3">
        <w:rPr>
          <w:rFonts w:eastAsia="Perpetua" w:cs="Perpetua"/>
          <w:spacing w:val="-1"/>
          <w:sz w:val="20"/>
        </w:rPr>
        <w:t>my</w:t>
      </w:r>
      <w:r w:rsidRPr="002537F3">
        <w:rPr>
          <w:rFonts w:eastAsia="Perpetua" w:cs="Perpetua"/>
          <w:spacing w:val="1"/>
          <w:sz w:val="20"/>
        </w:rPr>
        <w:t xml:space="preserve"> </w:t>
      </w:r>
      <w:r w:rsidRPr="002537F3">
        <w:rPr>
          <w:rFonts w:eastAsia="Perpetua" w:cs="Perpetua"/>
          <w:spacing w:val="-1"/>
          <w:sz w:val="20"/>
        </w:rPr>
        <w:t>sight,</w:t>
      </w:r>
      <w:r w:rsidRPr="002537F3">
        <w:rPr>
          <w:rFonts w:eastAsia="Perpetua" w:cs="Perpetua"/>
          <w:sz w:val="20"/>
        </w:rPr>
        <w:t xml:space="preserve"> </w:t>
      </w:r>
      <w:r w:rsidRPr="002537F3">
        <w:rPr>
          <w:rFonts w:eastAsia="Perpetua" w:cs="Perpetua"/>
          <w:spacing w:val="-1"/>
          <w:sz w:val="20"/>
        </w:rPr>
        <w:t>that</w:t>
      </w:r>
      <w:r w:rsidRPr="002537F3">
        <w:rPr>
          <w:rFonts w:eastAsia="Perpetua" w:cs="Perpetua"/>
          <w:sz w:val="20"/>
        </w:rPr>
        <w:t xml:space="preserve"> </w:t>
      </w:r>
      <w:r w:rsidRPr="002537F3">
        <w:rPr>
          <w:rFonts w:eastAsia="Perpetua" w:cs="Perpetua"/>
          <w:spacing w:val="-1"/>
          <w:sz w:val="20"/>
        </w:rPr>
        <w:t>it</w:t>
      </w:r>
      <w:r w:rsidRPr="002537F3">
        <w:rPr>
          <w:rFonts w:eastAsia="Perpetua" w:cs="Perpetua"/>
          <w:sz w:val="20"/>
        </w:rPr>
        <w:t xml:space="preserve"> </w:t>
      </w:r>
      <w:r w:rsidRPr="002537F3">
        <w:rPr>
          <w:rFonts w:eastAsia="Perpetua" w:cs="Perpetua"/>
          <w:spacing w:val="-1"/>
          <w:sz w:val="20"/>
        </w:rPr>
        <w:t>obey not</w:t>
      </w:r>
      <w:r w:rsidRPr="002537F3">
        <w:rPr>
          <w:rFonts w:eastAsia="Perpetua" w:cs="Perpetua"/>
          <w:sz w:val="20"/>
        </w:rPr>
        <w:t xml:space="preserve"> my</w:t>
      </w:r>
      <w:r w:rsidRPr="002537F3">
        <w:rPr>
          <w:rFonts w:eastAsia="Perpetua" w:cs="Perpetua"/>
          <w:spacing w:val="-1"/>
          <w:sz w:val="20"/>
        </w:rPr>
        <w:t xml:space="preserve"> voice, then</w:t>
      </w:r>
      <w:r w:rsidRPr="002537F3">
        <w:rPr>
          <w:rFonts w:eastAsia="Perpetua" w:cs="Perpetua"/>
          <w:sz w:val="20"/>
        </w:rPr>
        <w:t xml:space="preserve"> I</w:t>
      </w:r>
      <w:r w:rsidRPr="002537F3">
        <w:rPr>
          <w:rFonts w:eastAsia="Perpetua" w:cs="Perpetua"/>
          <w:spacing w:val="61"/>
          <w:sz w:val="20"/>
        </w:rPr>
        <w:t xml:space="preserve"> </w:t>
      </w:r>
      <w:r w:rsidRPr="002537F3">
        <w:rPr>
          <w:rFonts w:eastAsia="Perpetua" w:cs="Perpetua"/>
          <w:spacing w:val="-1"/>
          <w:sz w:val="20"/>
        </w:rPr>
        <w:t>will</w:t>
      </w:r>
      <w:r w:rsidRPr="002537F3">
        <w:rPr>
          <w:rFonts w:eastAsia="Perpetua" w:cs="Perpetua"/>
          <w:sz w:val="20"/>
        </w:rPr>
        <w:t xml:space="preserve"> </w:t>
      </w:r>
      <w:r w:rsidRPr="002537F3">
        <w:rPr>
          <w:rFonts w:eastAsia="Perpetua" w:cs="Perpetua"/>
          <w:spacing w:val="-1"/>
          <w:sz w:val="20"/>
        </w:rPr>
        <w:t>repent</w:t>
      </w:r>
      <w:r w:rsidRPr="002537F3">
        <w:rPr>
          <w:rFonts w:eastAsia="Perpetua" w:cs="Perpetua"/>
          <w:sz w:val="20"/>
        </w:rPr>
        <w:t xml:space="preserve"> </w:t>
      </w:r>
      <w:r w:rsidRPr="002537F3">
        <w:rPr>
          <w:rFonts w:eastAsia="Perpetua" w:cs="Perpetua"/>
          <w:spacing w:val="-1"/>
          <w:sz w:val="20"/>
        </w:rPr>
        <w:t>of</w:t>
      </w:r>
      <w:r w:rsidRPr="002537F3">
        <w:rPr>
          <w:rFonts w:eastAsia="Perpetua" w:cs="Perpetua"/>
          <w:sz w:val="20"/>
        </w:rPr>
        <w:t xml:space="preserve"> </w:t>
      </w:r>
      <w:r w:rsidRPr="002537F3">
        <w:rPr>
          <w:rFonts w:eastAsia="Perpetua" w:cs="Perpetua"/>
          <w:spacing w:val="-1"/>
          <w:sz w:val="20"/>
        </w:rPr>
        <w:t>the</w:t>
      </w:r>
      <w:r w:rsidRPr="002537F3">
        <w:rPr>
          <w:rFonts w:eastAsia="Perpetua" w:cs="Perpetua"/>
          <w:sz w:val="20"/>
        </w:rPr>
        <w:t xml:space="preserve"> </w:t>
      </w:r>
      <w:r w:rsidRPr="002537F3">
        <w:rPr>
          <w:rFonts w:eastAsia="Perpetua" w:cs="Perpetua"/>
          <w:spacing w:val="-1"/>
          <w:sz w:val="20"/>
        </w:rPr>
        <w:t>good,</w:t>
      </w:r>
      <w:r w:rsidRPr="002537F3">
        <w:rPr>
          <w:rFonts w:eastAsia="Perpetua" w:cs="Perpetua"/>
          <w:sz w:val="20"/>
        </w:rPr>
        <w:t xml:space="preserve"> </w:t>
      </w:r>
      <w:r w:rsidRPr="002537F3">
        <w:rPr>
          <w:rFonts w:eastAsia="Perpetua" w:cs="Perpetua"/>
          <w:spacing w:val="-1"/>
          <w:sz w:val="20"/>
        </w:rPr>
        <w:t>wherewith</w:t>
      </w:r>
      <w:r w:rsidRPr="002537F3">
        <w:rPr>
          <w:rFonts w:eastAsia="Perpetua" w:cs="Perpetua"/>
          <w:sz w:val="20"/>
        </w:rPr>
        <w:t xml:space="preserve"> I </w:t>
      </w:r>
      <w:r w:rsidRPr="002537F3">
        <w:rPr>
          <w:rFonts w:eastAsia="Perpetua" w:cs="Perpetua"/>
          <w:spacing w:val="-1"/>
          <w:sz w:val="20"/>
        </w:rPr>
        <w:t>said</w:t>
      </w:r>
      <w:r w:rsidRPr="002537F3">
        <w:rPr>
          <w:rFonts w:eastAsia="Perpetua" w:cs="Perpetua"/>
          <w:sz w:val="20"/>
        </w:rPr>
        <w:t xml:space="preserve"> I </w:t>
      </w:r>
      <w:r w:rsidRPr="002537F3">
        <w:rPr>
          <w:rFonts w:eastAsia="Perpetua" w:cs="Perpetua"/>
          <w:spacing w:val="-1"/>
          <w:sz w:val="20"/>
        </w:rPr>
        <w:t>would</w:t>
      </w:r>
      <w:r w:rsidRPr="002537F3">
        <w:rPr>
          <w:rFonts w:eastAsia="Perpetua" w:cs="Perpetua"/>
          <w:sz w:val="20"/>
        </w:rPr>
        <w:t xml:space="preserve"> </w:t>
      </w:r>
      <w:r w:rsidRPr="002537F3">
        <w:rPr>
          <w:rFonts w:eastAsia="Perpetua" w:cs="Perpetua"/>
          <w:spacing w:val="-1"/>
          <w:sz w:val="20"/>
        </w:rPr>
        <w:t>benefit them.</w:t>
      </w:r>
      <w:r>
        <w:rPr>
          <w:rFonts w:eastAsia="Perpetua" w:cs="Perpetua"/>
          <w:spacing w:val="-1"/>
        </w:rPr>
        <w:t>’</w:t>
      </w:r>
    </w:p>
  </w:footnote>
  <w:footnote w:id="57">
    <w:p w:rsidR="00975183" w:rsidRPr="007E624E" w:rsidRDefault="00975183" w:rsidP="00442D33">
      <w:pPr>
        <w:pStyle w:val="FootnoteText"/>
        <w:rPr>
          <w:rFonts w:ascii="Perpetua" w:hAnsi="Perpetua"/>
        </w:rPr>
      </w:pPr>
      <w:r w:rsidRPr="007E624E">
        <w:rPr>
          <w:rStyle w:val="FootnoteReference"/>
          <w:rFonts w:ascii="Perpetua" w:hAnsi="Perpetua"/>
        </w:rPr>
        <w:footnoteRef/>
      </w:r>
      <w:r w:rsidRPr="007E624E">
        <w:rPr>
          <w:rFonts w:ascii="Perpetua" w:hAnsi="Perpetua"/>
        </w:rPr>
        <w:t xml:space="preserve"> </w:t>
      </w:r>
      <w:r>
        <w:rPr>
          <w:rFonts w:ascii="Perpetua" w:hAnsi="Perpetua"/>
        </w:rPr>
        <w:t xml:space="preserve">‘And I will establish my covenant with you; neither shall all flesh be cut off any more by the waters of a flood; neither shall there any more be a flood to destroy the earth.’  Gen. 9:11, </w:t>
      </w:r>
      <w:r w:rsidRPr="007E624E">
        <w:rPr>
          <w:rFonts w:ascii="Perpetua" w:hAnsi="Perpetua"/>
          <w:i/>
        </w:rPr>
        <w:t>KJV</w:t>
      </w:r>
      <w:r>
        <w:rPr>
          <w:rFonts w:ascii="Perpetua" w:hAnsi="Perpetua"/>
        </w:rPr>
        <w:t>.</w:t>
      </w:r>
    </w:p>
  </w:footnote>
  <w:footnote w:id="58">
    <w:p w:rsidR="00975183" w:rsidRPr="00636F54" w:rsidRDefault="00975183" w:rsidP="00442D33">
      <w:pPr>
        <w:pStyle w:val="FootnoteText"/>
        <w:rPr>
          <w:rFonts w:ascii="Perpetua" w:hAnsi="Perpetua"/>
        </w:rPr>
      </w:pPr>
      <w:r w:rsidRPr="00636F54">
        <w:rPr>
          <w:rStyle w:val="FootnoteReference"/>
          <w:rFonts w:ascii="Perpetua" w:hAnsi="Perpetua"/>
        </w:rPr>
        <w:footnoteRef/>
      </w:r>
      <w:r w:rsidRPr="00636F54">
        <w:rPr>
          <w:rFonts w:ascii="Perpetua" w:hAnsi="Perpetua"/>
        </w:rPr>
        <w:t xml:space="preserve"> ‘Now, therefore,</w:t>
      </w:r>
      <w:r>
        <w:rPr>
          <w:rFonts w:ascii="Perpetua" w:hAnsi="Perpetua"/>
        </w:rPr>
        <w:t xml:space="preserve"> if ye will obey my voice indeed, and keep my covenant, then ye shall be a peculiar treasure unto me above all people: for all the earth </w:t>
      </w:r>
      <w:r w:rsidRPr="00636F54">
        <w:rPr>
          <w:rFonts w:ascii="Perpetua" w:hAnsi="Perpetua"/>
          <w:i/>
        </w:rPr>
        <w:t>is</w:t>
      </w:r>
      <w:r>
        <w:rPr>
          <w:rFonts w:ascii="Perpetua" w:hAnsi="Perpetua"/>
        </w:rPr>
        <w:t xml:space="preserve"> mine.’  Exod. 19:5, </w:t>
      </w:r>
      <w:r w:rsidRPr="00636F54">
        <w:rPr>
          <w:rFonts w:ascii="Perpetua" w:hAnsi="Perpetua"/>
          <w:i/>
        </w:rPr>
        <w:t>KJV</w:t>
      </w:r>
      <w:r>
        <w:rPr>
          <w:rFonts w:ascii="Perpetua" w:hAnsi="Perpetua"/>
        </w:rPr>
        <w:t>.</w:t>
      </w:r>
    </w:p>
  </w:footnote>
  <w:footnote w:id="59">
    <w:p w:rsidR="00975183" w:rsidRDefault="00975183" w:rsidP="00442D33">
      <w:pPr>
        <w:pStyle w:val="FootnoteText"/>
      </w:pPr>
      <w:r w:rsidRPr="001D5079">
        <w:rPr>
          <w:rStyle w:val="EndnoteReference"/>
          <w:rFonts w:ascii="Perpetua" w:hAnsi="Perpetua"/>
        </w:rPr>
        <w:footnoteRef/>
      </w:r>
      <w:r w:rsidRPr="001D5079">
        <w:rPr>
          <w:rFonts w:ascii="Perpetua" w:hAnsi="Perpetua"/>
        </w:rPr>
        <w:t xml:space="preserve"> </w:t>
      </w:r>
      <w:r>
        <w:rPr>
          <w:rFonts w:ascii="Perpetua" w:hAnsi="Perpetua"/>
        </w:rPr>
        <w:t xml:space="preserve">The </w:t>
      </w:r>
      <w:r w:rsidRPr="001D5079">
        <w:rPr>
          <w:rFonts w:ascii="Perpetua" w:hAnsi="Perpetua"/>
        </w:rPr>
        <w:t xml:space="preserve">Library of </w:t>
      </w:r>
      <w:r>
        <w:rPr>
          <w:rFonts w:ascii="Perpetua" w:hAnsi="Perpetua"/>
        </w:rPr>
        <w:t>Congress record gives the date of publication of the Correspondence Course, Vol. 1, as 1907.  &lt;</w:t>
      </w:r>
      <w:r w:rsidRPr="001D5079">
        <w:rPr>
          <w:rFonts w:ascii="Perpetua" w:hAnsi="Perpetua"/>
        </w:rPr>
        <w:t>https://www.loc.gov/search/?q=C+I+Scofield+Bible+Correspondence+Course+&amp;all=true</w:t>
      </w:r>
      <w:r>
        <w:rPr>
          <w:rFonts w:ascii="Perpetua" w:hAnsi="Perpetua"/>
        </w:rPr>
        <w:t>&gt; [accessed 13.11.17].  The original Scofield Bible was published in 1909.</w:t>
      </w:r>
    </w:p>
  </w:footnote>
  <w:footnote w:id="60">
    <w:p w:rsidR="00975183" w:rsidRPr="001C0261" w:rsidRDefault="00975183" w:rsidP="00442D33">
      <w:pPr>
        <w:pStyle w:val="FootnoteText"/>
        <w:rPr>
          <w:rFonts w:ascii="Perpetua" w:hAnsi="Perpetua"/>
        </w:rPr>
      </w:pPr>
      <w:r w:rsidRPr="001C0261">
        <w:rPr>
          <w:rStyle w:val="EndnoteReference"/>
          <w:rFonts w:ascii="Perpetua" w:hAnsi="Perpetua"/>
        </w:rPr>
        <w:footnoteRef/>
      </w:r>
      <w:r w:rsidRPr="001C0261">
        <w:rPr>
          <w:rFonts w:ascii="Perpetua" w:hAnsi="Perpetua"/>
        </w:rPr>
        <w:t xml:space="preserve"> For example, failure under the Noahic Covenant: subhead to Gen. 11:1, p. 18; failure under the Palestinian Covenant; note on Gen. 8:21, p. 16.  </w:t>
      </w:r>
      <w:proofErr w:type="gramStart"/>
      <w:r w:rsidRPr="002537F3">
        <w:rPr>
          <w:rFonts w:ascii="Perpetua" w:hAnsi="Perpetua"/>
          <w:b/>
        </w:rPr>
        <w:t xml:space="preserve">See 5.4.3 </w:t>
      </w:r>
      <w:r w:rsidRPr="004A66FA">
        <w:rPr>
          <w:rFonts w:ascii="Perpetua" w:hAnsi="Perpetua"/>
          <w:b/>
        </w:rPr>
        <w:t>below</w:t>
      </w:r>
      <w:r w:rsidRPr="001C0261">
        <w:rPr>
          <w:rFonts w:ascii="Perpetua" w:hAnsi="Perpetua"/>
        </w:rPr>
        <w:t>.</w:t>
      </w:r>
      <w:proofErr w:type="gramEnd"/>
      <w:r w:rsidRPr="001C0261">
        <w:rPr>
          <w:rFonts w:ascii="Perpetua" w:hAnsi="Perpetua"/>
        </w:rPr>
        <w:t xml:space="preserve"> </w:t>
      </w:r>
    </w:p>
  </w:footnote>
  <w:footnote w:id="61">
    <w:p w:rsidR="00975183" w:rsidRPr="00F46A6D" w:rsidRDefault="00975183" w:rsidP="00442D33">
      <w:pPr>
        <w:pStyle w:val="FootnoteText"/>
        <w:rPr>
          <w:rFonts w:ascii="Perpetua" w:hAnsi="Perpetua"/>
        </w:rPr>
      </w:pPr>
      <w:r w:rsidRPr="00F46A6D">
        <w:rPr>
          <w:rStyle w:val="FootnoteReference"/>
          <w:rFonts w:ascii="Perpetua" w:hAnsi="Perpetua"/>
        </w:rPr>
        <w:footnoteRef/>
      </w:r>
      <w:r w:rsidRPr="00F46A6D">
        <w:rPr>
          <w:rFonts w:ascii="Perpetua" w:hAnsi="Perpetua"/>
        </w:rPr>
        <w:t xml:space="preserve"> </w:t>
      </w:r>
      <w:proofErr w:type="gramStart"/>
      <w:r w:rsidRPr="00F46A6D">
        <w:rPr>
          <w:rFonts w:ascii="Perpetua" w:hAnsi="Perpetua"/>
        </w:rPr>
        <w:t>Innocency, Conscience, Human Government, Promise and Law.</w:t>
      </w:r>
      <w:proofErr w:type="gramEnd"/>
    </w:p>
  </w:footnote>
  <w:footnote w:id="62">
    <w:p w:rsidR="00975183" w:rsidRPr="00F46A6D" w:rsidRDefault="00975183" w:rsidP="00442D33">
      <w:pPr>
        <w:pStyle w:val="FootnoteText"/>
        <w:rPr>
          <w:rFonts w:ascii="Perpetua" w:hAnsi="Perpetua"/>
        </w:rPr>
      </w:pPr>
      <w:r w:rsidRPr="00F46A6D">
        <w:rPr>
          <w:rStyle w:val="FootnoteReference"/>
          <w:rFonts w:ascii="Perpetua" w:hAnsi="Perpetua"/>
        </w:rPr>
        <w:footnoteRef/>
      </w:r>
      <w:r w:rsidRPr="00F46A6D">
        <w:rPr>
          <w:rFonts w:ascii="Perpetua" w:hAnsi="Perpetua"/>
        </w:rPr>
        <w:t xml:space="preserve"> </w:t>
      </w:r>
      <w:proofErr w:type="gramStart"/>
      <w:r w:rsidRPr="00F46A6D">
        <w:rPr>
          <w:rFonts w:ascii="Perpetua" w:hAnsi="Perpetua"/>
        </w:rPr>
        <w:t>Edenic, Adamic, Noahic, Abrahamic and Mosaic.</w:t>
      </w:r>
      <w:proofErr w:type="gramEnd"/>
    </w:p>
  </w:footnote>
  <w:footnote w:id="63">
    <w:p w:rsidR="00975183" w:rsidRDefault="00975183" w:rsidP="00442D33">
      <w:pPr>
        <w:pStyle w:val="FootnoteText"/>
      </w:pPr>
      <w:r w:rsidRPr="001C0261">
        <w:rPr>
          <w:rStyle w:val="FootnoteReference"/>
          <w:rFonts w:ascii="Perpetua" w:hAnsi="Perpetua"/>
        </w:rPr>
        <w:footnoteRef/>
      </w:r>
      <w:r w:rsidRPr="001C0261">
        <w:rPr>
          <w:rFonts w:ascii="Perpetua" w:hAnsi="Perpetua"/>
        </w:rPr>
        <w:t xml:space="preserve"> </w:t>
      </w:r>
      <w:proofErr w:type="gramStart"/>
      <w:r w:rsidRPr="001C0261">
        <w:rPr>
          <w:rFonts w:ascii="Perpetua" w:hAnsi="Perpetua"/>
          <w:i/>
        </w:rPr>
        <w:t xml:space="preserve">SRB </w:t>
      </w:r>
      <w:r w:rsidRPr="001C0261">
        <w:rPr>
          <w:rFonts w:ascii="Perpetua" w:hAnsi="Perpetua"/>
        </w:rPr>
        <w:t>note on Gen. 15:18, p. 25.</w:t>
      </w:r>
      <w:proofErr w:type="gramEnd"/>
      <w:r w:rsidRPr="001C0261">
        <w:rPr>
          <w:rFonts w:ascii="Perpetua" w:hAnsi="Perpetua"/>
        </w:rPr>
        <w:t xml:space="preserve">  Refs Deut. 30:7; Isa. 14:1,2; </w:t>
      </w:r>
      <w:r w:rsidRPr="003E4601">
        <w:rPr>
          <w:rFonts w:ascii="Perpetua" w:hAnsi="Perpetua"/>
          <w:color w:val="000000"/>
        </w:rPr>
        <w:t>Joel 3:1-8; Mic. 5:7-9; Hag. 2:22; Zech. 14:1-3;</w:t>
      </w:r>
      <w:r w:rsidRPr="007B4F6A">
        <w:rPr>
          <w:rFonts w:ascii="Perpetua" w:hAnsi="Perpetua"/>
          <w:color w:val="000000"/>
        </w:rPr>
        <w:t xml:space="preserve"> Mt. 25:40, 45.  </w:t>
      </w:r>
      <w:r w:rsidRPr="007B4F6A">
        <w:rPr>
          <w:rFonts w:ascii="Perpetua" w:hAnsi="Perpetua"/>
          <w:lang w:eastAsia="en-GB"/>
        </w:rPr>
        <w:t xml:space="preserve">cf </w:t>
      </w:r>
      <w:r w:rsidRPr="007B4F6A">
        <w:rPr>
          <w:rFonts w:ascii="Perpetua" w:hAnsi="Perpetua"/>
          <w:i/>
          <w:lang w:eastAsia="en-GB"/>
        </w:rPr>
        <w:t>SRB</w:t>
      </w:r>
      <w:r w:rsidRPr="007B4F6A">
        <w:rPr>
          <w:rFonts w:ascii="Perpetua" w:hAnsi="Perpetua"/>
          <w:lang w:eastAsia="en-GB"/>
        </w:rPr>
        <w:t xml:space="preserve"> </w:t>
      </w:r>
      <w:r>
        <w:rPr>
          <w:rFonts w:ascii="Perpetua" w:hAnsi="Perpetua"/>
          <w:lang w:eastAsia="en-GB"/>
        </w:rPr>
        <w:t>I</w:t>
      </w:r>
      <w:r w:rsidRPr="007B4F6A">
        <w:rPr>
          <w:rFonts w:ascii="Perpetua" w:hAnsi="Perpetua"/>
          <w:lang w:eastAsia="en-GB"/>
        </w:rPr>
        <w:t>ntroduction to Zechariah, p. 965, which states that ‘[God] has given [the Gentile world-powers surrounding the restored remnant] their authority (Dan. 2:37-40) and will hold them to account; the test, as always, being their treatment of Israel’.</w:t>
      </w:r>
    </w:p>
  </w:footnote>
  <w:footnote w:id="64">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r w:rsidRPr="00347F4D">
        <w:rPr>
          <w:rFonts w:ascii="Perpetua" w:eastAsiaTheme="minorHAnsi" w:hAnsi="Perpetua"/>
          <w:lang w:val="en-US" w:bidi="he-IL"/>
        </w:rPr>
        <w:t>And I will bless them that bless thee, and curse him that curseth thee: and in thee shall all families of the earth be blessed.</w:t>
      </w:r>
      <w:r w:rsidRPr="00347F4D">
        <w:rPr>
          <w:rFonts w:ascii="Perpetua" w:hAnsi="Perpetua"/>
        </w:rPr>
        <w:t xml:space="preserve">’  Gen. 12:3 </w:t>
      </w:r>
      <w:r w:rsidRPr="00347F4D">
        <w:rPr>
          <w:rFonts w:ascii="Perpetua" w:hAnsi="Perpetua"/>
          <w:i/>
        </w:rPr>
        <w:t>KJV</w:t>
      </w:r>
      <w:r w:rsidRPr="00347F4D">
        <w:rPr>
          <w:rFonts w:ascii="Perpetua" w:hAnsi="Perpetua"/>
        </w:rPr>
        <w:t>.</w:t>
      </w:r>
    </w:p>
  </w:footnote>
  <w:footnote w:id="65">
    <w:p w:rsidR="00975183" w:rsidRDefault="00975183" w:rsidP="00442D33">
      <w:pPr>
        <w:spacing w:after="0" w:line="240" w:lineRule="auto"/>
      </w:pPr>
      <w:r w:rsidRPr="00164971">
        <w:rPr>
          <w:rStyle w:val="FootnoteReference"/>
        </w:rPr>
        <w:footnoteRef/>
      </w:r>
      <w:r w:rsidRPr="00164971">
        <w:t xml:space="preserve"> </w:t>
      </w:r>
      <w:r w:rsidRPr="001C0261">
        <w:t>‘</w:t>
      </w:r>
      <w:r w:rsidRPr="001C0261">
        <w:rPr>
          <w:lang w:val="en-US" w:bidi="he-IL"/>
        </w:rPr>
        <w:t>So Joshua took the whole land, according to all that the LORD said unto Moses</w:t>
      </w:r>
      <w:r w:rsidRPr="001C0261">
        <w:t xml:space="preserve">’ (Josh. 11:23, </w:t>
      </w:r>
      <w:r w:rsidRPr="001C0261">
        <w:rPr>
          <w:i/>
        </w:rPr>
        <w:t>KJV</w:t>
      </w:r>
      <w:r>
        <w:t>).</w:t>
      </w:r>
    </w:p>
  </w:footnote>
  <w:footnote w:id="66">
    <w:p w:rsidR="00975183" w:rsidRDefault="00975183" w:rsidP="00442D33">
      <w:pPr>
        <w:spacing w:after="0" w:line="240" w:lineRule="auto"/>
      </w:pPr>
      <w:r w:rsidRPr="00164971">
        <w:rPr>
          <w:rStyle w:val="FootnoteReference"/>
        </w:rPr>
        <w:footnoteRef/>
      </w:r>
      <w:r w:rsidRPr="00164971">
        <w:t xml:space="preserve"> </w:t>
      </w:r>
      <w:r w:rsidRPr="001C0261">
        <w:t>‘</w:t>
      </w:r>
      <w:r w:rsidRPr="001C0261">
        <w:rPr>
          <w:lang w:val="en-US" w:bidi="he-IL"/>
        </w:rPr>
        <w:t xml:space="preserve">And the LORD gave unto Israel all the land which he sware to give unto their fathers; and they possessed it, and dwelt therein.  </w:t>
      </w:r>
      <w:proofErr w:type="gramStart"/>
      <w:r w:rsidRPr="001C0261">
        <w:rPr>
          <w:lang w:val="en-US" w:bidi="he-IL"/>
        </w:rPr>
        <w:t xml:space="preserve">… </w:t>
      </w:r>
      <w:r w:rsidRPr="001C0261">
        <w:rPr>
          <w:vertAlign w:val="superscript"/>
          <w:lang w:val="en-US" w:bidi="he-IL"/>
        </w:rPr>
        <w:t xml:space="preserve"> 45</w:t>
      </w:r>
      <w:proofErr w:type="gramEnd"/>
      <w:r w:rsidRPr="001C0261">
        <w:rPr>
          <w:lang w:val="en-US" w:bidi="he-IL"/>
        </w:rPr>
        <w:t xml:space="preserve"> There failed not ought of any good thing which the LORD had spoken unto the house of Israel; all came to pass.</w:t>
      </w:r>
      <w:r w:rsidRPr="001C0261">
        <w:t xml:space="preserve">’  (Josh. 21:43, 45, </w:t>
      </w:r>
      <w:r w:rsidRPr="001C0261">
        <w:rPr>
          <w:i/>
        </w:rPr>
        <w:t>KJV</w:t>
      </w:r>
      <w:r w:rsidRPr="001C0261">
        <w:t>).</w:t>
      </w:r>
    </w:p>
  </w:footnote>
  <w:footnote w:id="67">
    <w:p w:rsidR="00975183" w:rsidRDefault="00975183" w:rsidP="00442D33">
      <w:pPr>
        <w:pStyle w:val="FootnoteText"/>
      </w:pPr>
      <w:r w:rsidRPr="00164971">
        <w:rPr>
          <w:rStyle w:val="EndnoteReference"/>
          <w:rFonts w:ascii="Perpetua" w:hAnsi="Perpetua"/>
        </w:rPr>
        <w:footnoteRef/>
      </w:r>
      <w:r w:rsidRPr="00164971">
        <w:rPr>
          <w:rFonts w:ascii="Perpetua" w:hAnsi="Perpetua"/>
        </w:rPr>
        <w:t xml:space="preserve"> </w:t>
      </w:r>
      <w:r w:rsidRPr="001C0261">
        <w:rPr>
          <w:rFonts w:ascii="Perpetua" w:hAnsi="Perpetua"/>
        </w:rPr>
        <w:t>‘</w:t>
      </w:r>
      <w:r w:rsidRPr="001C0261">
        <w:rPr>
          <w:rFonts w:ascii="Perpetua" w:eastAsiaTheme="minorHAnsi" w:hAnsi="Perpetua"/>
          <w:lang w:val="en-US" w:bidi="he-IL"/>
        </w:rPr>
        <w:t xml:space="preserve">Moreover thou gavest them kingdoms and nations, and didst divide them into corners: so they possessed the land of Sihon, and the land of the king of Heshbon, and the land of </w:t>
      </w:r>
      <w:proofErr w:type="gramStart"/>
      <w:r w:rsidRPr="001C0261">
        <w:rPr>
          <w:rFonts w:ascii="Perpetua" w:eastAsiaTheme="minorHAnsi" w:hAnsi="Perpetua"/>
          <w:lang w:val="en-US" w:bidi="he-IL"/>
        </w:rPr>
        <w:t>Og</w:t>
      </w:r>
      <w:proofErr w:type="gramEnd"/>
      <w:r w:rsidRPr="001C0261">
        <w:rPr>
          <w:rFonts w:ascii="Perpetua" w:eastAsiaTheme="minorHAnsi" w:hAnsi="Perpetua"/>
          <w:lang w:val="en-US" w:bidi="he-IL"/>
        </w:rPr>
        <w:t xml:space="preserve"> king of Bashan. </w:t>
      </w:r>
      <w:r w:rsidRPr="001C0261">
        <w:rPr>
          <w:rFonts w:ascii="Perpetua" w:eastAsiaTheme="minorHAnsi" w:hAnsi="Perpetua"/>
          <w:vertAlign w:val="superscript"/>
          <w:lang w:val="en-US" w:bidi="he-IL"/>
        </w:rPr>
        <w:t>23</w:t>
      </w:r>
      <w:r w:rsidRPr="001C0261">
        <w:rPr>
          <w:rFonts w:ascii="Perpetua" w:eastAsiaTheme="minorHAnsi" w:hAnsi="Perpetua"/>
          <w:lang w:val="en-US" w:bidi="he-IL"/>
        </w:rPr>
        <w:t xml:space="preserve">Their children also multipliedst thou as the stars of heaven, and broughtest them into the land, concerning which thou hadst promised to their fathers, that they should go in to possess </w:t>
      </w:r>
      <w:r w:rsidRPr="001C0261">
        <w:rPr>
          <w:rFonts w:ascii="Perpetua" w:eastAsiaTheme="minorHAnsi" w:hAnsi="Perpetua"/>
          <w:i/>
          <w:iCs/>
          <w:lang w:val="en-US" w:bidi="he-IL"/>
        </w:rPr>
        <w:t>it</w:t>
      </w:r>
      <w:r w:rsidRPr="001C0261">
        <w:rPr>
          <w:rFonts w:ascii="Perpetua" w:eastAsiaTheme="minorHAnsi" w:hAnsi="Perpetua"/>
          <w:lang w:val="en-US" w:bidi="he-IL"/>
        </w:rPr>
        <w:t>.</w:t>
      </w:r>
      <w:r w:rsidRPr="001C0261">
        <w:rPr>
          <w:rFonts w:ascii="Perpetua" w:hAnsi="Perpetua"/>
        </w:rPr>
        <w:t xml:space="preserve">’  (Neh. 9:22-3, </w:t>
      </w:r>
      <w:r w:rsidRPr="001C0261">
        <w:rPr>
          <w:rFonts w:ascii="Perpetua" w:hAnsi="Perpetua"/>
          <w:i/>
        </w:rPr>
        <w:t>KJV</w:t>
      </w:r>
      <w:r w:rsidRPr="001C0261">
        <w:rPr>
          <w:rFonts w:ascii="Perpetua" w:hAnsi="Perpetua"/>
        </w:rPr>
        <w:t>).</w:t>
      </w:r>
    </w:p>
  </w:footnote>
  <w:footnote w:id="68">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Ref. Lev. 25:23.  ‘</w:t>
      </w:r>
      <w:r w:rsidRPr="00347F4D">
        <w:rPr>
          <w:rFonts w:ascii="Perpetua" w:eastAsiaTheme="minorHAnsi" w:hAnsi="Perpetua"/>
          <w:lang w:val="en-US"/>
        </w:rPr>
        <w:t xml:space="preserve">The land shall not be sold for ever: for the land </w:t>
      </w:r>
      <w:r w:rsidRPr="00347F4D">
        <w:rPr>
          <w:rFonts w:ascii="Perpetua" w:eastAsiaTheme="minorHAnsi" w:hAnsi="Perpetua"/>
          <w:i/>
          <w:iCs/>
          <w:lang w:val="en-US"/>
        </w:rPr>
        <w:t>is</w:t>
      </w:r>
      <w:r w:rsidRPr="00347F4D">
        <w:rPr>
          <w:rFonts w:ascii="Perpetua" w:eastAsiaTheme="minorHAnsi" w:hAnsi="Perpetua"/>
          <w:lang w:val="en-US"/>
        </w:rPr>
        <w:t xml:space="preserve"> mine; for ye </w:t>
      </w:r>
      <w:r w:rsidRPr="00347F4D">
        <w:rPr>
          <w:rFonts w:ascii="Perpetua" w:eastAsiaTheme="minorHAnsi" w:hAnsi="Perpetua"/>
          <w:i/>
          <w:iCs/>
          <w:lang w:val="en-US"/>
        </w:rPr>
        <w:t>are</w:t>
      </w:r>
      <w:r w:rsidRPr="00347F4D">
        <w:rPr>
          <w:rFonts w:ascii="Perpetua" w:eastAsiaTheme="minorHAnsi" w:hAnsi="Perpetua"/>
          <w:lang w:val="en-US"/>
        </w:rPr>
        <w:t xml:space="preserve"> strangers and sojourners with me.</w:t>
      </w:r>
      <w:r w:rsidRPr="00347F4D">
        <w:rPr>
          <w:rFonts w:ascii="Perpetua" w:hAnsi="Perpetua"/>
        </w:rPr>
        <w:t xml:space="preserve">’  Lev. 25:23, </w:t>
      </w:r>
      <w:r w:rsidRPr="00347F4D">
        <w:rPr>
          <w:rFonts w:ascii="Perpetua" w:hAnsi="Perpetua"/>
          <w:i/>
        </w:rPr>
        <w:t>KJV</w:t>
      </w:r>
      <w:r w:rsidRPr="00347F4D">
        <w:rPr>
          <w:rFonts w:ascii="Perpetua" w:hAnsi="Perpetua"/>
        </w:rPr>
        <w:t>.</w:t>
      </w:r>
    </w:p>
  </w:footnote>
  <w:footnote w:id="69">
    <w:p w:rsidR="00975183" w:rsidRDefault="00975183" w:rsidP="00D2087D">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r>
        <w:rPr>
          <w:rFonts w:ascii="Perpetua" w:hAnsi="Perpetua"/>
        </w:rPr>
        <w:t xml:space="preserve">The term ‘Palestinian’ did not occur in any of </w:t>
      </w:r>
      <w:r w:rsidRPr="00347F4D">
        <w:rPr>
          <w:rFonts w:ascii="Perpetua" w:hAnsi="Perpetua"/>
        </w:rPr>
        <w:t xml:space="preserve">more than </w:t>
      </w:r>
      <w:r>
        <w:rPr>
          <w:rFonts w:ascii="Perpetua" w:hAnsi="Perpetua"/>
        </w:rPr>
        <w:t>2</w:t>
      </w:r>
      <w:r w:rsidRPr="00347F4D">
        <w:rPr>
          <w:rFonts w:ascii="Perpetua" w:hAnsi="Perpetua"/>
        </w:rPr>
        <w:t xml:space="preserve">0 English translations </w:t>
      </w:r>
      <w:r>
        <w:rPr>
          <w:rFonts w:ascii="Perpetua" w:hAnsi="Perpetua"/>
        </w:rPr>
        <w:t xml:space="preserve">which </w:t>
      </w:r>
      <w:r w:rsidRPr="00347F4D">
        <w:rPr>
          <w:rFonts w:ascii="Perpetua" w:hAnsi="Perpetua"/>
        </w:rPr>
        <w:t>were searched</w:t>
      </w:r>
      <w:r>
        <w:rPr>
          <w:rFonts w:ascii="Perpetua" w:hAnsi="Perpetua"/>
        </w:rPr>
        <w:t xml:space="preserve"> in </w:t>
      </w:r>
    </w:p>
    <w:p w:rsidR="00975183" w:rsidRPr="00347F4D" w:rsidRDefault="00975183" w:rsidP="00D2087D">
      <w:pPr>
        <w:pStyle w:val="FootnoteText"/>
        <w:rPr>
          <w:rFonts w:ascii="Perpetua" w:hAnsi="Perpetua"/>
        </w:rPr>
      </w:pPr>
      <w:r w:rsidRPr="00F67FD5">
        <w:rPr>
          <w:rFonts w:ascii="Perpetua" w:hAnsi="Perpetua"/>
          <w:i/>
        </w:rPr>
        <w:t>Bibleworks 9</w:t>
      </w:r>
      <w:r>
        <w:rPr>
          <w:rFonts w:ascii="Perpetua" w:hAnsi="Perpetua"/>
        </w:rPr>
        <w:t xml:space="preserve">: </w:t>
      </w:r>
      <w:r w:rsidRPr="003A11CA">
        <w:rPr>
          <w:rFonts w:ascii="Perpetua" w:hAnsi="Perpetua"/>
          <w:i/>
        </w:rPr>
        <w:t>American Standard Version</w:t>
      </w:r>
      <w:r>
        <w:rPr>
          <w:rFonts w:ascii="Perpetua" w:hAnsi="Perpetua"/>
        </w:rPr>
        <w:t xml:space="preserve">; </w:t>
      </w:r>
      <w:r w:rsidRPr="003A11CA">
        <w:rPr>
          <w:rFonts w:ascii="Perpetua" w:hAnsi="Perpetua"/>
          <w:i/>
        </w:rPr>
        <w:t>Bible in Basic English</w:t>
      </w:r>
      <w:r>
        <w:rPr>
          <w:rFonts w:ascii="Perpetua" w:hAnsi="Perpetua"/>
        </w:rPr>
        <w:t xml:space="preserve">; </w:t>
      </w:r>
      <w:r w:rsidRPr="003A11CA">
        <w:rPr>
          <w:rFonts w:ascii="Perpetua" w:hAnsi="Perpetua"/>
          <w:i/>
        </w:rPr>
        <w:t>Common English Bible</w:t>
      </w:r>
      <w:r>
        <w:rPr>
          <w:rFonts w:ascii="Perpetua" w:hAnsi="Perpetua"/>
        </w:rPr>
        <w:t xml:space="preserve">; </w:t>
      </w:r>
      <w:r w:rsidRPr="003A11CA">
        <w:rPr>
          <w:rFonts w:ascii="Perpetua" w:hAnsi="Perpetua"/>
          <w:i/>
        </w:rPr>
        <w:t>Complete Jewish Bible</w:t>
      </w:r>
      <w:r>
        <w:rPr>
          <w:rFonts w:ascii="Perpetua" w:hAnsi="Perpetua"/>
        </w:rPr>
        <w:t xml:space="preserve">; </w:t>
      </w:r>
      <w:r w:rsidRPr="003A11CA">
        <w:rPr>
          <w:rFonts w:ascii="Perpetua" w:hAnsi="Perpetua"/>
          <w:i/>
        </w:rPr>
        <w:t>Darby Bible</w:t>
      </w:r>
      <w:r>
        <w:rPr>
          <w:rFonts w:ascii="Perpetua" w:hAnsi="Perpetua"/>
        </w:rPr>
        <w:t xml:space="preserve">; </w:t>
      </w:r>
      <w:r w:rsidRPr="003A11CA">
        <w:rPr>
          <w:rFonts w:ascii="Perpetua" w:hAnsi="Perpetua"/>
          <w:i/>
        </w:rPr>
        <w:t>Douai-Rheims American Version</w:t>
      </w:r>
      <w:r>
        <w:rPr>
          <w:rFonts w:ascii="Perpetua" w:hAnsi="Perpetua"/>
        </w:rPr>
        <w:t xml:space="preserve">; </w:t>
      </w:r>
      <w:r w:rsidRPr="003A11CA">
        <w:rPr>
          <w:rFonts w:ascii="Perpetua" w:hAnsi="Perpetua"/>
          <w:i/>
        </w:rPr>
        <w:t>English Revised Version</w:t>
      </w:r>
      <w:r>
        <w:rPr>
          <w:rFonts w:ascii="Perpetua" w:hAnsi="Perpetua"/>
        </w:rPr>
        <w:t xml:space="preserve">; </w:t>
      </w:r>
      <w:r w:rsidRPr="003A11CA">
        <w:rPr>
          <w:rFonts w:ascii="Perpetua" w:hAnsi="Perpetua"/>
          <w:i/>
        </w:rPr>
        <w:t>English Standard Version</w:t>
      </w:r>
      <w:r>
        <w:rPr>
          <w:rFonts w:ascii="Perpetua" w:hAnsi="Perpetua"/>
        </w:rPr>
        <w:t xml:space="preserve">; </w:t>
      </w:r>
      <w:r w:rsidRPr="003A11CA">
        <w:rPr>
          <w:rFonts w:ascii="Perpetua" w:hAnsi="Perpetua"/>
          <w:i/>
        </w:rPr>
        <w:t>Geneva Bible; Jewish Publication Society OT</w:t>
      </w:r>
      <w:r>
        <w:rPr>
          <w:rFonts w:ascii="Perpetua" w:hAnsi="Perpetua"/>
        </w:rPr>
        <w:t xml:space="preserve">; </w:t>
      </w:r>
      <w:r w:rsidRPr="00C97CD7">
        <w:rPr>
          <w:rFonts w:ascii="Perpetua" w:hAnsi="Perpetua"/>
          <w:i/>
        </w:rPr>
        <w:t>King James Version</w:t>
      </w:r>
      <w:r>
        <w:rPr>
          <w:rFonts w:ascii="Perpetua" w:hAnsi="Perpetua"/>
        </w:rPr>
        <w:t xml:space="preserve">; </w:t>
      </w:r>
      <w:r w:rsidRPr="00C97CD7">
        <w:rPr>
          <w:rFonts w:ascii="Perpetua" w:hAnsi="Perpetua"/>
          <w:i/>
        </w:rPr>
        <w:t>The New American Bible</w:t>
      </w:r>
      <w:r>
        <w:rPr>
          <w:rFonts w:ascii="Perpetua" w:hAnsi="Perpetua"/>
        </w:rPr>
        <w:t xml:space="preserve">; </w:t>
      </w:r>
      <w:r w:rsidRPr="00C97CD7">
        <w:rPr>
          <w:rFonts w:ascii="Perpetua" w:hAnsi="Perpetua"/>
          <w:i/>
        </w:rPr>
        <w:t>New English Translation</w:t>
      </w:r>
      <w:r>
        <w:rPr>
          <w:rFonts w:ascii="Perpetua" w:hAnsi="Perpetua"/>
        </w:rPr>
        <w:t xml:space="preserve">; </w:t>
      </w:r>
      <w:r w:rsidRPr="00C97CD7">
        <w:rPr>
          <w:rFonts w:ascii="Perpetua" w:hAnsi="Perpetua"/>
          <w:i/>
        </w:rPr>
        <w:t>New International Version</w:t>
      </w:r>
      <w:r>
        <w:rPr>
          <w:rFonts w:ascii="Perpetua" w:hAnsi="Perpetua"/>
        </w:rPr>
        <w:t xml:space="preserve"> (</w:t>
      </w:r>
      <w:r w:rsidRPr="00C97CD7">
        <w:rPr>
          <w:rFonts w:ascii="Perpetua" w:hAnsi="Perpetua"/>
          <w:i/>
        </w:rPr>
        <w:t>UK); New International Version</w:t>
      </w:r>
      <w:r>
        <w:rPr>
          <w:rFonts w:ascii="Perpetua" w:hAnsi="Perpetua"/>
        </w:rPr>
        <w:t xml:space="preserve"> (US); </w:t>
      </w:r>
      <w:r w:rsidRPr="00C97CD7">
        <w:rPr>
          <w:rFonts w:ascii="Perpetua" w:hAnsi="Perpetua"/>
          <w:i/>
        </w:rPr>
        <w:t>New International Reader’s Version</w:t>
      </w:r>
      <w:r>
        <w:rPr>
          <w:rFonts w:ascii="Perpetua" w:hAnsi="Perpetua"/>
        </w:rPr>
        <w:t xml:space="preserve">; </w:t>
      </w:r>
      <w:r w:rsidRPr="00C97CD7">
        <w:rPr>
          <w:rFonts w:ascii="Perpetua" w:hAnsi="Perpetua"/>
          <w:i/>
        </w:rPr>
        <w:t>New Jerusalem Bible</w:t>
      </w:r>
      <w:r>
        <w:rPr>
          <w:rFonts w:ascii="Perpetua" w:hAnsi="Perpetua"/>
        </w:rPr>
        <w:t xml:space="preserve">; </w:t>
      </w:r>
      <w:r w:rsidRPr="00C97CD7">
        <w:rPr>
          <w:rFonts w:ascii="Perpetua" w:hAnsi="Perpetua"/>
          <w:i/>
        </w:rPr>
        <w:t>New King James Bible</w:t>
      </w:r>
      <w:r>
        <w:rPr>
          <w:rFonts w:ascii="Perpetua" w:hAnsi="Perpetua"/>
        </w:rPr>
        <w:t xml:space="preserve">; </w:t>
      </w:r>
      <w:r w:rsidRPr="00C97CD7">
        <w:rPr>
          <w:rFonts w:ascii="Perpetua" w:hAnsi="Perpetua"/>
          <w:i/>
        </w:rPr>
        <w:t>New Living Translation</w:t>
      </w:r>
      <w:r>
        <w:rPr>
          <w:rFonts w:ascii="Perpetua" w:hAnsi="Perpetua"/>
        </w:rPr>
        <w:t xml:space="preserve">; </w:t>
      </w:r>
      <w:r w:rsidRPr="00C97CD7">
        <w:rPr>
          <w:rFonts w:ascii="Perpetua" w:hAnsi="Perpetua"/>
          <w:i/>
        </w:rPr>
        <w:t>New</w:t>
      </w:r>
      <w:r>
        <w:rPr>
          <w:rFonts w:ascii="Perpetua" w:hAnsi="Perpetua"/>
        </w:rPr>
        <w:t xml:space="preserve"> </w:t>
      </w:r>
      <w:r w:rsidRPr="00C97CD7">
        <w:rPr>
          <w:rFonts w:ascii="Perpetua" w:hAnsi="Perpetua"/>
          <w:i/>
        </w:rPr>
        <w:t>Revised Standard Version</w:t>
      </w:r>
      <w:r>
        <w:rPr>
          <w:rFonts w:ascii="Perpetua" w:hAnsi="Perpetua"/>
        </w:rPr>
        <w:t xml:space="preserve">; </w:t>
      </w:r>
      <w:r w:rsidRPr="00C97CD7">
        <w:rPr>
          <w:rFonts w:ascii="Perpetua" w:hAnsi="Perpetua"/>
          <w:i/>
        </w:rPr>
        <w:t>Revised Standard Version</w:t>
      </w:r>
      <w:r>
        <w:rPr>
          <w:rFonts w:ascii="Perpetua" w:hAnsi="Perpetua"/>
        </w:rPr>
        <w:t xml:space="preserve">; </w:t>
      </w:r>
      <w:r w:rsidRPr="00C97CD7">
        <w:rPr>
          <w:rFonts w:ascii="Perpetua" w:hAnsi="Perpetua"/>
          <w:i/>
        </w:rPr>
        <w:t>Rotherham Bible</w:t>
      </w:r>
      <w:r>
        <w:rPr>
          <w:rFonts w:ascii="Perpetua" w:hAnsi="Perpetua"/>
        </w:rPr>
        <w:t xml:space="preserve">; </w:t>
      </w:r>
      <w:r w:rsidRPr="00C97CD7">
        <w:rPr>
          <w:rFonts w:ascii="Perpetua" w:hAnsi="Perpetua"/>
          <w:i/>
        </w:rPr>
        <w:t>Tyndale’s NT</w:t>
      </w:r>
      <w:r>
        <w:rPr>
          <w:rFonts w:ascii="Perpetua" w:hAnsi="Perpetua"/>
        </w:rPr>
        <w:t xml:space="preserve"> and </w:t>
      </w:r>
      <w:r w:rsidRPr="00C97CD7">
        <w:rPr>
          <w:rFonts w:ascii="Perpetua" w:hAnsi="Perpetua"/>
          <w:i/>
        </w:rPr>
        <w:t>Young’s Literal Translation</w:t>
      </w:r>
      <w:r>
        <w:rPr>
          <w:rFonts w:ascii="Perpetua" w:hAnsi="Perpetua"/>
        </w:rPr>
        <w:t>.</w:t>
      </w:r>
    </w:p>
  </w:footnote>
  <w:footnote w:id="70">
    <w:p w:rsidR="00975183" w:rsidRPr="00347F4D" w:rsidRDefault="00975183" w:rsidP="00D2087D">
      <w:pPr>
        <w:pStyle w:val="EndnoteText"/>
      </w:pPr>
      <w:r w:rsidRPr="00347F4D">
        <w:rPr>
          <w:rStyle w:val="FootnoteReference"/>
        </w:rPr>
        <w:footnoteRef/>
      </w:r>
      <w:r w:rsidRPr="00347F4D">
        <w:t xml:space="preserve"> Exod. 15:14; Ps. 60:10 (Ps 59:10 </w:t>
      </w:r>
      <w:r w:rsidRPr="00347F4D">
        <w:rPr>
          <w:i/>
        </w:rPr>
        <w:t>LXX</w:t>
      </w:r>
      <w:r w:rsidRPr="00347F4D">
        <w:t xml:space="preserve"> and Vulgate; Ps. 60:8 </w:t>
      </w:r>
      <w:r w:rsidRPr="00347F4D">
        <w:rPr>
          <w:i/>
        </w:rPr>
        <w:t>NRSV, NIV, KJV, Geneva Bible</w:t>
      </w:r>
      <w:r w:rsidRPr="00347F4D">
        <w:t xml:space="preserve">); Ps. 83:8 (Ps. 82:8 </w:t>
      </w:r>
      <w:r w:rsidRPr="00347F4D">
        <w:rPr>
          <w:i/>
        </w:rPr>
        <w:t>LXX</w:t>
      </w:r>
      <w:r w:rsidRPr="00347F4D">
        <w:t xml:space="preserve"> and Vulgate; Ps. 83:7 </w:t>
      </w:r>
      <w:r w:rsidRPr="00347F4D">
        <w:rPr>
          <w:i/>
        </w:rPr>
        <w:t>NRSV, NIV, KJV, Geneva Bible</w:t>
      </w:r>
      <w:r w:rsidRPr="00347F4D">
        <w:t>);</w:t>
      </w:r>
      <w:r>
        <w:t xml:space="preserve"> </w:t>
      </w:r>
      <w:r w:rsidRPr="00347F4D">
        <w:t xml:space="preserve">Ps. 87:4 (Ps 86:4 </w:t>
      </w:r>
      <w:r w:rsidRPr="00347F4D">
        <w:rPr>
          <w:i/>
        </w:rPr>
        <w:t>LXX</w:t>
      </w:r>
      <w:r w:rsidRPr="00347F4D">
        <w:t xml:space="preserve"> and Vulgate);</w:t>
      </w:r>
      <w:r>
        <w:t xml:space="preserve"> </w:t>
      </w:r>
      <w:r w:rsidRPr="00347F4D">
        <w:t xml:space="preserve">Ps. 108:10 (Ps. 107:10 </w:t>
      </w:r>
      <w:r w:rsidRPr="00347F4D">
        <w:rPr>
          <w:i/>
        </w:rPr>
        <w:t>LXX</w:t>
      </w:r>
      <w:r w:rsidRPr="00347F4D">
        <w:t xml:space="preserve"> and Vulgate; Ps 108:9 </w:t>
      </w:r>
      <w:r w:rsidRPr="00347F4D">
        <w:rPr>
          <w:i/>
        </w:rPr>
        <w:t>NRSV, NIV, KJV, Geneva Bible</w:t>
      </w:r>
      <w:r w:rsidRPr="00347F4D">
        <w:t>);</w:t>
      </w:r>
      <w:r>
        <w:t xml:space="preserve"> </w:t>
      </w:r>
      <w:r w:rsidRPr="00347F4D">
        <w:t>Isa. 14:29;</w:t>
      </w:r>
      <w:r>
        <w:t xml:space="preserve"> </w:t>
      </w:r>
      <w:r w:rsidRPr="00347F4D">
        <w:t>Isa. 14:31;</w:t>
      </w:r>
      <w:r>
        <w:t xml:space="preserve"> </w:t>
      </w:r>
      <w:r w:rsidRPr="00347F4D">
        <w:t xml:space="preserve">Joel 4:4 (Joel 3:4 </w:t>
      </w:r>
      <w:r w:rsidRPr="00347F4D">
        <w:rPr>
          <w:i/>
        </w:rPr>
        <w:t xml:space="preserve">NRSV, NIV, KJV, Geneva Bible, Luther 1545 German Bible, Revidierte Elberfelder </w:t>
      </w:r>
      <w:r w:rsidRPr="00347F4D">
        <w:t>[</w:t>
      </w:r>
      <w:r w:rsidRPr="00347F4D">
        <w:rPr>
          <w:i/>
        </w:rPr>
        <w:t>1993</w:t>
      </w:r>
      <w:r w:rsidRPr="00347F4D">
        <w:t>]).</w:t>
      </w:r>
    </w:p>
    <w:p w:rsidR="00975183" w:rsidRPr="00347F4D" w:rsidRDefault="00975183" w:rsidP="00D2087D">
      <w:pPr>
        <w:pStyle w:val="FootnoteText"/>
        <w:rPr>
          <w:rFonts w:ascii="Perpetua" w:hAnsi="Perpetua"/>
        </w:rPr>
      </w:pPr>
      <w:r w:rsidRPr="00347F4D">
        <w:rPr>
          <w:rStyle w:val="EndnoteReference"/>
          <w:rFonts w:ascii="Perpetua" w:hAnsi="Perpetua"/>
        </w:rPr>
        <w:footnoteRef/>
      </w:r>
      <w:r w:rsidRPr="00347F4D">
        <w:rPr>
          <w:rFonts w:ascii="Perpetua" w:hAnsi="Perpetua"/>
        </w:rPr>
        <w:t xml:space="preserve">  Masoretic Text, </w:t>
      </w:r>
      <w:r w:rsidRPr="00347F4D">
        <w:rPr>
          <w:rFonts w:ascii="Perpetua" w:hAnsi="Perpetua"/>
          <w:i/>
        </w:rPr>
        <w:t>LXX</w:t>
      </w:r>
      <w:r w:rsidRPr="00347F4D">
        <w:rPr>
          <w:rFonts w:ascii="Perpetua" w:hAnsi="Perpetua"/>
        </w:rPr>
        <w:t xml:space="preserve">, </w:t>
      </w:r>
      <w:r w:rsidRPr="00347F4D">
        <w:rPr>
          <w:rFonts w:ascii="Perpetua" w:hAnsi="Perpetua"/>
          <w:i/>
        </w:rPr>
        <w:t xml:space="preserve">NRSV, NIV, KJV, Geneva Bible, Luther 1545 German Bible, Revidierte Elberfelder </w:t>
      </w:r>
      <w:r w:rsidRPr="00347F4D">
        <w:rPr>
          <w:rFonts w:ascii="Perpetua" w:hAnsi="Perpetua"/>
        </w:rPr>
        <w:t>(</w:t>
      </w:r>
      <w:r w:rsidRPr="00347F4D">
        <w:rPr>
          <w:rFonts w:ascii="Perpetua" w:hAnsi="Perpetua"/>
          <w:i/>
        </w:rPr>
        <w:t>1993</w:t>
      </w:r>
      <w:r w:rsidRPr="00347F4D">
        <w:rPr>
          <w:rFonts w:ascii="Perpetua" w:hAnsi="Perpetua"/>
        </w:rPr>
        <w:t xml:space="preserve">); </w:t>
      </w:r>
      <w:r w:rsidRPr="00347F4D">
        <w:rPr>
          <w:rFonts w:ascii="Perpetua" w:hAnsi="Perpetua"/>
          <w:i/>
        </w:rPr>
        <w:t>Bible en Français courant</w:t>
      </w:r>
      <w:r w:rsidRPr="00347F4D">
        <w:rPr>
          <w:rFonts w:ascii="Perpetua" w:hAnsi="Perpetua"/>
        </w:rPr>
        <w:t xml:space="preserve"> (</w:t>
      </w:r>
      <w:r w:rsidRPr="00347F4D">
        <w:rPr>
          <w:rFonts w:ascii="Perpetua" w:hAnsi="Perpetua"/>
          <w:i/>
        </w:rPr>
        <w:t>1997</w:t>
      </w:r>
      <w:r w:rsidRPr="00347F4D">
        <w:rPr>
          <w:rFonts w:ascii="Perpetua" w:hAnsi="Perpetua"/>
        </w:rPr>
        <w:t>).</w:t>
      </w:r>
    </w:p>
  </w:footnote>
  <w:footnote w:id="71">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proofErr w:type="gramStart"/>
      <w:r w:rsidRPr="00347F4D">
        <w:rPr>
          <w:rFonts w:ascii="Perpetua" w:hAnsi="Perpetua"/>
        </w:rPr>
        <w:t xml:space="preserve">Exod. 15:14 </w:t>
      </w:r>
      <w:r w:rsidRPr="00347F4D">
        <w:rPr>
          <w:rFonts w:ascii="Perpetua" w:hAnsi="Perpetua"/>
          <w:i/>
        </w:rPr>
        <w:t>LXX</w:t>
      </w:r>
      <w:r w:rsidRPr="00347F4D">
        <w:rPr>
          <w:rFonts w:ascii="Perpetua" w:hAnsi="Perpetua"/>
        </w:rPr>
        <w:t>.</w:t>
      </w:r>
      <w:proofErr w:type="gramEnd"/>
      <w:r w:rsidRPr="00347F4D">
        <w:rPr>
          <w:rFonts w:ascii="Perpetua" w:hAnsi="Perpetua"/>
        </w:rPr>
        <w:t xml:space="preserve">  </w:t>
      </w:r>
      <w:r w:rsidRPr="00B45E3A">
        <w:rPr>
          <w:rFonts w:ascii="Bwgrkl" w:hAnsi="Bwgrkl"/>
          <w:color w:val="000000"/>
          <w:sz w:val="22"/>
          <w:szCs w:val="22"/>
          <w:lang w:bidi="he-IL"/>
        </w:rPr>
        <w:t>Fulistiim</w:t>
      </w:r>
      <w:r w:rsidRPr="00347F4D">
        <w:rPr>
          <w:rFonts w:ascii="Perpetua" w:hAnsi="Perpetua"/>
          <w:color w:val="000000"/>
          <w:lang w:bidi="he-IL"/>
        </w:rPr>
        <w:t xml:space="preserve"> is found eighteen further times in Genesis, Exodus, Joshua and Judges.</w:t>
      </w:r>
    </w:p>
  </w:footnote>
  <w:footnote w:id="72">
    <w:p w:rsidR="00975183" w:rsidRPr="004274F5" w:rsidRDefault="00975183" w:rsidP="00442D33">
      <w:pPr>
        <w:pStyle w:val="FootnoteText"/>
        <w:rPr>
          <w:rFonts w:ascii="Perpetua" w:hAnsi="Perpetua"/>
        </w:rPr>
      </w:pPr>
      <w:r w:rsidRPr="004274F5">
        <w:rPr>
          <w:rStyle w:val="FootnoteReference"/>
          <w:rFonts w:ascii="Perpetua" w:hAnsi="Perpetua"/>
        </w:rPr>
        <w:footnoteRef/>
      </w:r>
      <w:r w:rsidRPr="004274F5">
        <w:rPr>
          <w:rFonts w:ascii="Perpetua" w:hAnsi="Perpetua"/>
        </w:rPr>
        <w:t xml:space="preserve"> </w:t>
      </w:r>
      <w:proofErr w:type="gramStart"/>
      <w:r w:rsidRPr="004274F5">
        <w:rPr>
          <w:rFonts w:ascii="Perpetua" w:hAnsi="Perpetua"/>
        </w:rPr>
        <w:t>‘Alien’ or ‘foreign’.</w:t>
      </w:r>
      <w:proofErr w:type="gramEnd"/>
    </w:p>
  </w:footnote>
  <w:footnote w:id="73">
    <w:p w:rsidR="00975183"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Pss 59:10; 82:8; 86:4; 107:10 </w:t>
      </w:r>
      <w:r w:rsidRPr="00347F4D">
        <w:rPr>
          <w:rFonts w:ascii="Perpetua" w:hAnsi="Perpetua"/>
          <w:i/>
        </w:rPr>
        <w:t xml:space="preserve">LXX </w:t>
      </w:r>
      <w:r w:rsidRPr="00347F4D">
        <w:rPr>
          <w:rFonts w:ascii="Perpetua" w:hAnsi="Perpetua"/>
        </w:rPr>
        <w:t xml:space="preserve">(NB these verses correspond to Pss 60:10, 83:8, 87:4 and 108:10 in </w:t>
      </w:r>
      <w:r w:rsidRPr="00347F4D">
        <w:rPr>
          <w:rFonts w:ascii="Perpetua" w:hAnsi="Perpetua"/>
          <w:i/>
        </w:rPr>
        <w:t>MT</w:t>
      </w:r>
      <w:r w:rsidRPr="00347F4D">
        <w:rPr>
          <w:rFonts w:ascii="Perpetua" w:hAnsi="Perpetua"/>
        </w:rPr>
        <w:t xml:space="preserve">); </w:t>
      </w:r>
    </w:p>
    <w:p w:rsidR="00975183" w:rsidRPr="00347F4D" w:rsidRDefault="00975183" w:rsidP="00442D33">
      <w:pPr>
        <w:pStyle w:val="FootnoteText"/>
        <w:rPr>
          <w:rFonts w:ascii="Perpetua" w:hAnsi="Perpetua"/>
        </w:rPr>
      </w:pPr>
      <w:r w:rsidRPr="00347F4D">
        <w:rPr>
          <w:rFonts w:ascii="Perpetua" w:hAnsi="Perpetua"/>
        </w:rPr>
        <w:t>Isa. 14:29, 31.</w:t>
      </w:r>
    </w:p>
  </w:footnote>
  <w:footnote w:id="74">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Pss. 59:10; 82:8; 86:4; 107:10.  (Again, these verses correspond to Pss 60:10, 83:8, 87:4 and 108:10 in </w:t>
      </w:r>
      <w:r w:rsidRPr="00347F4D">
        <w:rPr>
          <w:rFonts w:ascii="Perpetua" w:hAnsi="Perpetua"/>
          <w:i/>
        </w:rPr>
        <w:t>MT</w:t>
      </w:r>
      <w:r w:rsidRPr="00347F4D">
        <w:rPr>
          <w:rFonts w:ascii="Perpetua" w:hAnsi="Perpetua"/>
        </w:rPr>
        <w:t>.)</w:t>
      </w:r>
    </w:p>
  </w:footnote>
  <w:footnote w:id="75">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In </w:t>
      </w:r>
      <w:r w:rsidRPr="00347F4D">
        <w:rPr>
          <w:rFonts w:ascii="Perpetua" w:hAnsi="Perpetua"/>
          <w:i/>
        </w:rPr>
        <w:t>Geneva</w:t>
      </w:r>
      <w:r w:rsidRPr="00347F4D">
        <w:rPr>
          <w:rFonts w:ascii="Perpetua" w:hAnsi="Perpetua"/>
        </w:rPr>
        <w:t xml:space="preserve">, </w:t>
      </w:r>
      <w:r w:rsidRPr="00347F4D">
        <w:rPr>
          <w:rFonts w:ascii="Perpetua" w:hAnsi="Perpetua"/>
          <w:i/>
        </w:rPr>
        <w:t>KJV</w:t>
      </w:r>
      <w:r w:rsidRPr="00347F4D">
        <w:rPr>
          <w:rFonts w:ascii="Perpetua" w:hAnsi="Perpetua"/>
        </w:rPr>
        <w:t xml:space="preserve">, </w:t>
      </w:r>
      <w:r w:rsidRPr="00347F4D">
        <w:rPr>
          <w:rFonts w:ascii="Perpetua" w:hAnsi="Perpetua"/>
          <w:i/>
        </w:rPr>
        <w:t>NRSV</w:t>
      </w:r>
      <w:r w:rsidRPr="00347F4D">
        <w:rPr>
          <w:rFonts w:ascii="Perpetua" w:hAnsi="Perpetua"/>
        </w:rPr>
        <w:t xml:space="preserve"> and </w:t>
      </w:r>
      <w:r w:rsidRPr="00347F4D">
        <w:rPr>
          <w:rFonts w:ascii="Perpetua" w:hAnsi="Perpetua"/>
          <w:i/>
        </w:rPr>
        <w:t xml:space="preserve">NIV, Luther 1545 German Bible, Revidierte Elberfelder </w:t>
      </w:r>
      <w:r w:rsidRPr="00347F4D">
        <w:rPr>
          <w:rFonts w:ascii="Perpetua" w:hAnsi="Perpetua"/>
        </w:rPr>
        <w:t>(</w:t>
      </w:r>
      <w:r w:rsidRPr="00347F4D">
        <w:rPr>
          <w:rFonts w:ascii="Perpetua" w:hAnsi="Perpetua"/>
          <w:i/>
        </w:rPr>
        <w:t>1993</w:t>
      </w:r>
      <w:r w:rsidRPr="00347F4D">
        <w:rPr>
          <w:rFonts w:ascii="Perpetua" w:hAnsi="Perpetua"/>
        </w:rPr>
        <w:t>).</w:t>
      </w:r>
    </w:p>
  </w:footnote>
  <w:footnote w:id="76">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r w:rsidRPr="00347F4D">
        <w:rPr>
          <w:rFonts w:ascii="Perpetua" w:hAnsi="Perpetua"/>
          <w:i/>
        </w:rPr>
        <w:t xml:space="preserve">NRSV </w:t>
      </w:r>
      <w:r w:rsidRPr="00347F4D">
        <w:rPr>
          <w:rFonts w:ascii="Perpetua" w:hAnsi="Perpetua"/>
        </w:rPr>
        <w:t xml:space="preserve">and </w:t>
      </w:r>
      <w:r w:rsidRPr="00347F4D">
        <w:rPr>
          <w:rFonts w:ascii="Perpetua" w:hAnsi="Perpetua"/>
          <w:i/>
        </w:rPr>
        <w:t>NIV</w:t>
      </w:r>
      <w:r w:rsidRPr="00347F4D">
        <w:rPr>
          <w:rFonts w:ascii="Perpetua" w:hAnsi="Perpetua"/>
        </w:rPr>
        <w:t xml:space="preserve"> both have ‘Do not rejoice, O you Philistines …’ in Isa. 14:29; </w:t>
      </w:r>
      <w:r w:rsidRPr="00347F4D">
        <w:rPr>
          <w:rFonts w:ascii="Perpetua" w:hAnsi="Perpetua"/>
          <w:i/>
        </w:rPr>
        <w:t>NIV</w:t>
      </w:r>
      <w:r w:rsidRPr="00347F4D">
        <w:rPr>
          <w:rFonts w:ascii="Perpetua" w:hAnsi="Perpetua"/>
        </w:rPr>
        <w:t xml:space="preserve"> has ‘</w:t>
      </w:r>
      <w:r w:rsidRPr="00347F4D">
        <w:rPr>
          <w:rFonts w:ascii="Perpetua" w:hAnsi="Perpetua"/>
          <w:lang w:bidi="he-IL"/>
        </w:rPr>
        <w:t>Melt away, all you Philistines!</w:t>
      </w:r>
      <w:r w:rsidRPr="00347F4D">
        <w:rPr>
          <w:rFonts w:ascii="Perpetua" w:hAnsi="Perpetua"/>
        </w:rPr>
        <w:t>’ in Isa. 14:31, whereas NRSV has ‘…m</w:t>
      </w:r>
      <w:r w:rsidRPr="00347F4D">
        <w:rPr>
          <w:rFonts w:ascii="Perpetua" w:hAnsi="Perpetua"/>
          <w:lang w:bidi="he-IL"/>
        </w:rPr>
        <w:t xml:space="preserve">elt in fear, O </w:t>
      </w:r>
      <w:proofErr w:type="gramStart"/>
      <w:r w:rsidRPr="00347F4D">
        <w:rPr>
          <w:rFonts w:ascii="Perpetua" w:hAnsi="Perpetua"/>
          <w:lang w:bidi="he-IL"/>
        </w:rPr>
        <w:t>Philistia, …</w:t>
      </w:r>
      <w:r w:rsidRPr="00347F4D">
        <w:rPr>
          <w:rFonts w:ascii="Perpetua" w:hAnsi="Perpetua"/>
        </w:rPr>
        <w:t>’</w:t>
      </w:r>
      <w:proofErr w:type="gramEnd"/>
      <w:r w:rsidRPr="00347F4D">
        <w:rPr>
          <w:rFonts w:ascii="Perpetua" w:hAnsi="Perpetua"/>
        </w:rPr>
        <w:t>.</w:t>
      </w:r>
    </w:p>
  </w:footnote>
  <w:footnote w:id="77">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The Vulgate also uses ‘Palestinos’ in 1 Chron. 10:1; Amos 9:7; Jer. 47:1 and 4 and Ezek. 25:16; ‘Palestinorum’ in Gen. 21:33; Gen. 26:1 and 8; Exod. 23:31 and Amos 6:2; and ‘Palestini’ in Gen. 26:14 and Ezek. 25:15.</w:t>
      </w:r>
    </w:p>
  </w:footnote>
  <w:footnote w:id="78">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r w:rsidRPr="00347F4D">
        <w:rPr>
          <w:rFonts w:ascii="Perpetua" w:hAnsi="Perpetua"/>
          <w:i/>
        </w:rPr>
        <w:t>KJV</w:t>
      </w:r>
      <w:r w:rsidRPr="00347F4D">
        <w:rPr>
          <w:rFonts w:ascii="Perpetua" w:hAnsi="Perpetua"/>
        </w:rPr>
        <w:t xml:space="preserve"> uses ‘Palestina’ for </w:t>
      </w:r>
      <w:r w:rsidRPr="00B45E3A">
        <w:rPr>
          <w:rFonts w:ascii="Bwhebb" w:hAnsi="Bwhebb"/>
          <w:color w:val="000000"/>
          <w:sz w:val="32"/>
          <w:szCs w:val="32"/>
          <w:lang w:bidi="he-IL"/>
        </w:rPr>
        <w:t>tv</w:t>
      </w:r>
      <w:proofErr w:type="gramStart"/>
      <w:r w:rsidRPr="00B45E3A">
        <w:rPr>
          <w:rFonts w:ascii="Bwhebb" w:hAnsi="Bwhebb"/>
          <w:color w:val="000000"/>
          <w:sz w:val="32"/>
          <w:szCs w:val="32"/>
          <w:lang w:bidi="he-IL"/>
        </w:rPr>
        <w:t>,l,P</w:t>
      </w:r>
      <w:proofErr w:type="gramEnd"/>
      <w:r w:rsidRPr="00347F4D">
        <w:rPr>
          <w:rFonts w:ascii="Perpetua" w:hAnsi="Perpetua"/>
          <w:color w:val="000000"/>
        </w:rPr>
        <w:t xml:space="preserve"> in its translations of Exod. 15:14 and Isa. 14:29 and 31.</w:t>
      </w:r>
    </w:p>
  </w:footnote>
  <w:footnote w:id="79">
    <w:p w:rsidR="00975183" w:rsidRPr="00347F4D"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proofErr w:type="gramStart"/>
      <w:r w:rsidRPr="00347F4D">
        <w:rPr>
          <w:rFonts w:ascii="Perpetua" w:hAnsi="Perpetua"/>
          <w:i/>
        </w:rPr>
        <w:t>Geneva</w:t>
      </w:r>
      <w:r w:rsidRPr="00347F4D">
        <w:rPr>
          <w:rFonts w:ascii="Perpetua" w:hAnsi="Perpetua"/>
        </w:rPr>
        <w:t xml:space="preserve"> and </w:t>
      </w:r>
      <w:r w:rsidRPr="00347F4D">
        <w:rPr>
          <w:rFonts w:ascii="Perpetua" w:hAnsi="Perpetua"/>
          <w:i/>
        </w:rPr>
        <w:t>KJV</w:t>
      </w:r>
      <w:r w:rsidRPr="00347F4D">
        <w:rPr>
          <w:rFonts w:ascii="Perpetua" w:hAnsi="Perpetua"/>
        </w:rPr>
        <w:t>.</w:t>
      </w:r>
      <w:proofErr w:type="gramEnd"/>
    </w:p>
  </w:footnote>
  <w:footnote w:id="80">
    <w:p w:rsidR="00975183" w:rsidRPr="00347F4D" w:rsidRDefault="00975183" w:rsidP="00442D33">
      <w:pPr>
        <w:autoSpaceDE w:val="0"/>
        <w:autoSpaceDN w:val="0"/>
        <w:adjustRightInd w:val="0"/>
        <w:spacing w:after="0" w:line="240" w:lineRule="auto"/>
      </w:pPr>
      <w:r w:rsidRPr="00347F4D">
        <w:rPr>
          <w:rStyle w:val="FootnoteReference"/>
        </w:rPr>
        <w:footnoteRef/>
      </w:r>
      <w:r w:rsidRPr="00347F4D">
        <w:t xml:space="preserve"> Exod. 15:14 (The people shall hear, </w:t>
      </w:r>
      <w:r w:rsidRPr="00347F4D">
        <w:rPr>
          <w:i/>
          <w:iCs/>
        </w:rPr>
        <w:t>and</w:t>
      </w:r>
      <w:r w:rsidRPr="00347F4D">
        <w:t xml:space="preserve"> be afraid: sorrow shall take hold on the inhabitants of </w:t>
      </w:r>
      <w:r w:rsidRPr="00347F4D">
        <w:rPr>
          <w:color w:val="000000"/>
        </w:rPr>
        <w:t>Palestina</w:t>
      </w:r>
      <w:r w:rsidRPr="00347F4D">
        <w:t xml:space="preserve">); </w:t>
      </w:r>
    </w:p>
    <w:p w:rsidR="00975183" w:rsidRPr="00347F4D" w:rsidRDefault="00975183" w:rsidP="00442D33">
      <w:pPr>
        <w:autoSpaceDE w:val="0"/>
        <w:autoSpaceDN w:val="0"/>
        <w:adjustRightInd w:val="0"/>
        <w:spacing w:after="0" w:line="240" w:lineRule="auto"/>
      </w:pPr>
      <w:r w:rsidRPr="00347F4D">
        <w:t xml:space="preserve">Isa. 14:29 (Rejoice not thou, whole </w:t>
      </w:r>
      <w:r w:rsidRPr="00347F4D">
        <w:rPr>
          <w:color w:val="000000"/>
        </w:rPr>
        <w:t xml:space="preserve">Palestina, because the rod of him that smote thee is broken: for out of the serpent's root shall come forth a cockatrice, and his fruit </w:t>
      </w:r>
      <w:r w:rsidRPr="00347F4D">
        <w:rPr>
          <w:i/>
          <w:iCs/>
          <w:color w:val="000000"/>
        </w:rPr>
        <w:t>shall be</w:t>
      </w:r>
      <w:r w:rsidRPr="00347F4D">
        <w:rPr>
          <w:color w:val="000000"/>
        </w:rPr>
        <w:t xml:space="preserve"> a fiery flying serpent</w:t>
      </w:r>
      <w:r w:rsidRPr="00347F4D">
        <w:t xml:space="preserve">); </w:t>
      </w:r>
    </w:p>
    <w:p w:rsidR="00975183" w:rsidRPr="00347F4D" w:rsidRDefault="00975183" w:rsidP="00442D33">
      <w:pPr>
        <w:pStyle w:val="FootnoteText"/>
        <w:rPr>
          <w:rFonts w:ascii="Perpetua" w:hAnsi="Perpetua"/>
        </w:rPr>
      </w:pPr>
      <w:r w:rsidRPr="00347F4D">
        <w:rPr>
          <w:rFonts w:ascii="Perpetua" w:hAnsi="Perpetua"/>
        </w:rPr>
        <w:t xml:space="preserve">Isa 14:31 (Howl, O gate; cry, O city; thou, whole </w:t>
      </w:r>
      <w:r w:rsidRPr="00347F4D">
        <w:rPr>
          <w:rFonts w:ascii="Perpetua" w:hAnsi="Perpetua"/>
          <w:color w:val="000000"/>
        </w:rPr>
        <w:t xml:space="preserve">Palestina, </w:t>
      </w:r>
      <w:r w:rsidRPr="00347F4D">
        <w:rPr>
          <w:rFonts w:ascii="Perpetua" w:hAnsi="Perpetua"/>
          <w:i/>
          <w:iCs/>
          <w:color w:val="000000"/>
        </w:rPr>
        <w:t>art</w:t>
      </w:r>
      <w:r w:rsidRPr="00347F4D">
        <w:rPr>
          <w:rFonts w:ascii="Perpetua" w:hAnsi="Perpetua"/>
          <w:color w:val="000000"/>
        </w:rPr>
        <w:t xml:space="preserve"> dissolved: for there shall come from the north a smoke, and none </w:t>
      </w:r>
      <w:r w:rsidRPr="00347F4D">
        <w:rPr>
          <w:rFonts w:ascii="Perpetua" w:hAnsi="Perpetua"/>
          <w:i/>
          <w:iCs/>
          <w:color w:val="000000"/>
        </w:rPr>
        <w:t>shall be</w:t>
      </w:r>
      <w:r w:rsidRPr="00347F4D">
        <w:rPr>
          <w:rFonts w:ascii="Perpetua" w:hAnsi="Perpetua"/>
          <w:color w:val="000000"/>
        </w:rPr>
        <w:t xml:space="preserve"> alone in his appointed times</w:t>
      </w:r>
      <w:r w:rsidRPr="00347F4D">
        <w:rPr>
          <w:rFonts w:ascii="Perpetua" w:hAnsi="Perpetua"/>
        </w:rPr>
        <w:t>).</w:t>
      </w:r>
    </w:p>
  </w:footnote>
  <w:footnote w:id="81">
    <w:p w:rsidR="00975183" w:rsidRDefault="00975183" w:rsidP="00442D33">
      <w:pPr>
        <w:pStyle w:val="FootnoteText"/>
        <w:rPr>
          <w:rFonts w:ascii="Perpetua" w:hAnsi="Perpetua"/>
        </w:rPr>
      </w:pPr>
      <w:r w:rsidRPr="00347F4D">
        <w:rPr>
          <w:rStyle w:val="FootnoteReference"/>
          <w:rFonts w:ascii="Perpetua" w:hAnsi="Perpetua"/>
        </w:rPr>
        <w:footnoteRef/>
      </w:r>
      <w:r w:rsidRPr="00347F4D">
        <w:rPr>
          <w:rFonts w:ascii="Perpetua" w:hAnsi="Perpetua"/>
        </w:rPr>
        <w:t xml:space="preserve"> ‘</w:t>
      </w:r>
      <w:proofErr w:type="gramStart"/>
      <w:r w:rsidRPr="00347F4D">
        <w:rPr>
          <w:rFonts w:ascii="Perpetua" w:hAnsi="Perpetua"/>
        </w:rPr>
        <w:t>Yea,</w:t>
      </w:r>
      <w:proofErr w:type="gramEnd"/>
      <w:r w:rsidRPr="00347F4D">
        <w:rPr>
          <w:rFonts w:ascii="Perpetua" w:hAnsi="Perpetua"/>
        </w:rPr>
        <w:t xml:space="preserve"> and what have ye to do with me, O Tyre, and Zidon, and all the coasts of </w:t>
      </w:r>
      <w:r w:rsidRPr="00347F4D">
        <w:rPr>
          <w:rFonts w:ascii="Perpetua" w:hAnsi="Perpetua"/>
          <w:color w:val="000000"/>
        </w:rPr>
        <w:t xml:space="preserve">Palestine? </w:t>
      </w:r>
      <w:proofErr w:type="gramStart"/>
      <w:r w:rsidRPr="00347F4D">
        <w:rPr>
          <w:rFonts w:ascii="Perpetua" w:hAnsi="Perpetua"/>
          <w:color w:val="000000"/>
        </w:rPr>
        <w:t>will</w:t>
      </w:r>
      <w:proofErr w:type="gramEnd"/>
      <w:r w:rsidRPr="00347F4D">
        <w:rPr>
          <w:rFonts w:ascii="Perpetua" w:hAnsi="Perpetua"/>
          <w:color w:val="000000"/>
        </w:rPr>
        <w:t xml:space="preserve"> ye render me a recompense? and if ye recompense me, swiftly </w:t>
      </w:r>
      <w:r w:rsidRPr="00347F4D">
        <w:rPr>
          <w:rFonts w:ascii="Perpetua" w:hAnsi="Perpetua"/>
          <w:i/>
          <w:iCs/>
          <w:color w:val="000000"/>
        </w:rPr>
        <w:t>and</w:t>
      </w:r>
      <w:r w:rsidRPr="00347F4D">
        <w:rPr>
          <w:rFonts w:ascii="Perpetua" w:hAnsi="Perpetua"/>
          <w:color w:val="000000"/>
        </w:rPr>
        <w:t xml:space="preserve"> speedily will I return your recompense upon your own head;</w:t>
      </w:r>
      <w:r w:rsidRPr="00347F4D">
        <w:rPr>
          <w:rFonts w:ascii="Perpetua" w:hAnsi="Perpetua"/>
        </w:rPr>
        <w:t xml:space="preserve">’ </w:t>
      </w:r>
    </w:p>
    <w:p w:rsidR="00975183" w:rsidRPr="00347F4D" w:rsidRDefault="00975183" w:rsidP="00442D33">
      <w:pPr>
        <w:pStyle w:val="FootnoteText"/>
        <w:rPr>
          <w:rFonts w:ascii="Perpetua" w:hAnsi="Perpetua"/>
        </w:rPr>
      </w:pPr>
      <w:r w:rsidRPr="00347F4D">
        <w:rPr>
          <w:rFonts w:ascii="Perpetua" w:hAnsi="Perpetua"/>
        </w:rPr>
        <w:t xml:space="preserve">Joel 3:4, </w:t>
      </w:r>
      <w:r w:rsidRPr="00347F4D">
        <w:rPr>
          <w:rFonts w:ascii="Perpetua" w:hAnsi="Perpetua"/>
          <w:i/>
        </w:rPr>
        <w:t>KJV</w:t>
      </w:r>
      <w:r w:rsidRPr="00347F4D">
        <w:rPr>
          <w:rFonts w:ascii="Perpetua" w:hAnsi="Perpetua"/>
        </w:rPr>
        <w:t>.</w:t>
      </w:r>
    </w:p>
  </w:footnote>
  <w:footnote w:id="82">
    <w:p w:rsidR="00975183" w:rsidRPr="00347F4D" w:rsidRDefault="00975183" w:rsidP="00442D33">
      <w:pPr>
        <w:pStyle w:val="EndnoteText"/>
      </w:pPr>
      <w:r w:rsidRPr="00347F4D">
        <w:rPr>
          <w:rStyle w:val="FootnoteReference"/>
        </w:rPr>
        <w:footnoteRef/>
      </w:r>
      <w:r w:rsidRPr="00347F4D">
        <w:t xml:space="preserve"> ‘Moab </w:t>
      </w:r>
      <w:r w:rsidRPr="00347F4D">
        <w:rPr>
          <w:i/>
          <w:iCs/>
        </w:rPr>
        <w:t>is</w:t>
      </w:r>
      <w:r w:rsidRPr="00347F4D">
        <w:t xml:space="preserve"> my washpot; over Edom will I cast out my shoe: </w:t>
      </w:r>
      <w:r w:rsidRPr="00347F4D">
        <w:rPr>
          <w:color w:val="000000"/>
        </w:rPr>
        <w:t>Philistia, triumph thou because of me’</w:t>
      </w:r>
      <w:r w:rsidRPr="00347F4D">
        <w:t xml:space="preserve">, Ps. 60:8, </w:t>
      </w:r>
      <w:r w:rsidRPr="00347F4D">
        <w:rPr>
          <w:i/>
        </w:rPr>
        <w:t>KJV</w:t>
      </w:r>
      <w:r w:rsidRPr="00347F4D">
        <w:t>;</w:t>
      </w:r>
    </w:p>
    <w:p w:rsidR="00975183" w:rsidRPr="00347F4D" w:rsidRDefault="00975183" w:rsidP="00442D33">
      <w:pPr>
        <w:pStyle w:val="EndnoteText"/>
      </w:pPr>
      <w:r w:rsidRPr="00347F4D">
        <w:t xml:space="preserve"> ‘I will make mention of Rahab and Babylon to them that know me: behold </w:t>
      </w:r>
      <w:r w:rsidRPr="00347F4D">
        <w:rPr>
          <w:color w:val="000000"/>
        </w:rPr>
        <w:t xml:space="preserve">Philistia, and Tyre, with Ethiopia; this </w:t>
      </w:r>
      <w:r w:rsidRPr="00347F4D">
        <w:rPr>
          <w:i/>
          <w:iCs/>
          <w:color w:val="000000"/>
        </w:rPr>
        <w:t>man</w:t>
      </w:r>
      <w:r w:rsidRPr="00347F4D">
        <w:rPr>
          <w:color w:val="000000"/>
        </w:rPr>
        <w:t xml:space="preserve"> was born there</w:t>
      </w:r>
      <w:r w:rsidRPr="00347F4D">
        <w:t xml:space="preserve">’, Ps. 87:4, </w:t>
      </w:r>
      <w:r w:rsidRPr="00347F4D">
        <w:rPr>
          <w:i/>
        </w:rPr>
        <w:t>KJV</w:t>
      </w:r>
      <w:r w:rsidRPr="00347F4D">
        <w:t xml:space="preserve">;  </w:t>
      </w:r>
    </w:p>
    <w:p w:rsidR="00975183" w:rsidRPr="00347F4D" w:rsidRDefault="00975183" w:rsidP="00442D33">
      <w:pPr>
        <w:pStyle w:val="FootnoteText"/>
        <w:rPr>
          <w:rFonts w:ascii="Perpetua" w:hAnsi="Perpetua"/>
        </w:rPr>
      </w:pPr>
      <w:r w:rsidRPr="00347F4D">
        <w:rPr>
          <w:rFonts w:ascii="Perpetua" w:hAnsi="Perpetua"/>
        </w:rPr>
        <w:t xml:space="preserve">‘Moab </w:t>
      </w:r>
      <w:r w:rsidRPr="00347F4D">
        <w:rPr>
          <w:rFonts w:ascii="Perpetua" w:hAnsi="Perpetua"/>
          <w:i/>
          <w:iCs/>
        </w:rPr>
        <w:t>is</w:t>
      </w:r>
      <w:r w:rsidRPr="00347F4D">
        <w:rPr>
          <w:rFonts w:ascii="Perpetua" w:hAnsi="Perpetua"/>
        </w:rPr>
        <w:t xml:space="preserve"> my washpot; over Edom will I cast out my shoe; over </w:t>
      </w:r>
      <w:r w:rsidRPr="00347F4D">
        <w:rPr>
          <w:rFonts w:ascii="Perpetua" w:hAnsi="Perpetua"/>
          <w:color w:val="000000"/>
        </w:rPr>
        <w:t xml:space="preserve">Philistia will I triumph’, </w:t>
      </w:r>
      <w:r w:rsidRPr="00347F4D">
        <w:rPr>
          <w:rFonts w:ascii="Perpetua" w:hAnsi="Perpetua"/>
        </w:rPr>
        <w:t xml:space="preserve">Ps. 108:9, </w:t>
      </w:r>
      <w:r w:rsidRPr="00347F4D">
        <w:rPr>
          <w:rFonts w:ascii="Perpetua" w:hAnsi="Perpetua"/>
          <w:i/>
        </w:rPr>
        <w:t>KJV</w:t>
      </w:r>
      <w:r w:rsidRPr="00347F4D">
        <w:rPr>
          <w:rFonts w:ascii="Perpetua" w:hAnsi="Perpetua"/>
        </w:rPr>
        <w:t>.</w:t>
      </w:r>
    </w:p>
  </w:footnote>
  <w:footnote w:id="83">
    <w:p w:rsidR="00975183" w:rsidRDefault="00975183" w:rsidP="00442D33">
      <w:pPr>
        <w:pStyle w:val="FootnoteText"/>
        <w:rPr>
          <w:rFonts w:ascii="Perpetua" w:hAnsi="Perpetua"/>
          <w:color w:val="000000"/>
        </w:rPr>
      </w:pPr>
      <w:r w:rsidRPr="00347F4D">
        <w:rPr>
          <w:rStyle w:val="FootnoteReference"/>
          <w:rFonts w:ascii="Perpetua" w:hAnsi="Perpetua"/>
        </w:rPr>
        <w:footnoteRef/>
      </w:r>
      <w:r w:rsidRPr="00347F4D">
        <w:rPr>
          <w:rFonts w:ascii="Perpetua" w:hAnsi="Perpetua"/>
        </w:rPr>
        <w:t xml:space="preserve"> </w:t>
      </w:r>
      <w:r w:rsidRPr="00347F4D">
        <w:rPr>
          <w:rFonts w:ascii="Perpetua" w:hAnsi="Perpetua"/>
          <w:color w:val="000000"/>
        </w:rPr>
        <w:t xml:space="preserve">Twenty-seven of these refer to Goliath in </w:t>
      </w:r>
      <w:r w:rsidRPr="00347F4D">
        <w:rPr>
          <w:rFonts w:ascii="Perpetua" w:hAnsi="Perpetua"/>
        </w:rPr>
        <w:t xml:space="preserve">1 Samuel 17 and one to </w:t>
      </w:r>
      <w:r w:rsidRPr="00347F4D">
        <w:rPr>
          <w:rFonts w:ascii="Perpetua" w:hAnsi="Perpetua"/>
          <w:color w:val="000000"/>
        </w:rPr>
        <w:t xml:space="preserve">the killing of another Philistine, </w:t>
      </w:r>
    </w:p>
    <w:p w:rsidR="00975183" w:rsidRPr="00347F4D" w:rsidRDefault="00975183" w:rsidP="00442D33">
      <w:pPr>
        <w:pStyle w:val="FootnoteText"/>
        <w:rPr>
          <w:rFonts w:ascii="Perpetua" w:hAnsi="Perpetua"/>
        </w:rPr>
      </w:pPr>
      <w:r w:rsidRPr="00347F4D">
        <w:rPr>
          <w:rFonts w:ascii="Perpetua" w:hAnsi="Perpetua"/>
          <w:color w:val="000000"/>
        </w:rPr>
        <w:t xml:space="preserve">Ishbi-Benob, by Abishai, son of Zeruiah, in </w:t>
      </w:r>
      <w:r w:rsidRPr="00347F4D">
        <w:rPr>
          <w:rFonts w:ascii="Perpetua" w:hAnsi="Perpetua"/>
        </w:rPr>
        <w:t>2 Samuel 21:17.</w:t>
      </w:r>
    </w:p>
  </w:footnote>
  <w:footnote w:id="84">
    <w:p w:rsidR="00975183" w:rsidRPr="00347F4D" w:rsidRDefault="00975183" w:rsidP="00442D33">
      <w:pPr>
        <w:pStyle w:val="EndnoteText"/>
      </w:pPr>
      <w:r w:rsidRPr="00347F4D">
        <w:rPr>
          <w:rStyle w:val="FootnoteReference"/>
        </w:rPr>
        <w:footnoteRef/>
      </w:r>
      <w:r w:rsidRPr="00347F4D">
        <w:t xml:space="preserve"> Theodore Herzl, ‘The Jewish Question: The Plan’ and ‘The Jewish Question: Palestine or Argentine?’ in </w:t>
      </w:r>
      <w:r w:rsidRPr="00347F4D">
        <w:rPr>
          <w:i/>
        </w:rPr>
        <w:t>The Jewish State (1896)</w:t>
      </w:r>
      <w:r w:rsidRPr="00347F4D">
        <w:t xml:space="preserve"> (trans. Sylvie D’Avigdor, 1946) &lt;http://www.jewishvirtuallibrary.org/jsource/Zionism/herzl2b.html&gt; [accessed 24.6.11].   </w:t>
      </w:r>
    </w:p>
    <w:p w:rsidR="00975183" w:rsidRDefault="00975183" w:rsidP="00442D33">
      <w:pPr>
        <w:pStyle w:val="FootnoteText"/>
        <w:rPr>
          <w:rFonts w:ascii="Perpetua" w:hAnsi="Perpetua"/>
        </w:rPr>
      </w:pPr>
      <w:r>
        <w:rPr>
          <w:rFonts w:ascii="Perpetua" w:hAnsi="Perpetua"/>
        </w:rPr>
        <w:t xml:space="preserve">Herzl wrote in a section entitled, ‘The Plan’: </w:t>
      </w:r>
    </w:p>
    <w:p w:rsidR="00975183" w:rsidRPr="00347F4D" w:rsidRDefault="00975183" w:rsidP="00442D33">
      <w:pPr>
        <w:pStyle w:val="FootnoteText"/>
        <w:ind w:left="425" w:right="567"/>
        <w:rPr>
          <w:rFonts w:ascii="Perpetua" w:hAnsi="Perpetua"/>
        </w:rPr>
      </w:pPr>
      <w:r w:rsidRPr="00347F4D">
        <w:rPr>
          <w:rFonts w:ascii="Perpetua" w:hAnsi="Perpetua"/>
        </w:rPr>
        <w:t xml:space="preserve">Let the sovereignty be granted us over a portion of the globe large enough to satisfy the rightful requirements of a nation; the rest we shall manage for ourselves.’ and </w:t>
      </w:r>
      <w:r>
        <w:rPr>
          <w:rFonts w:ascii="Perpetua" w:hAnsi="Perpetua"/>
        </w:rPr>
        <w:t>in a section entitled ‘Palestine or Argentine?’:</w:t>
      </w:r>
      <w:r w:rsidRPr="00347F4D">
        <w:rPr>
          <w:rFonts w:ascii="Perpetua" w:hAnsi="Perpetua"/>
        </w:rPr>
        <w:t xml:space="preserve"> ‘Palestine is our ever-memorable historic home. The very name of Palestine would attract our people with a force of marvelous potency. If His Majesty the Sultan were to give us Palestine, we could in return undertake to regulate the whole finances of Turkey. We should there form a portion of a rampart of Europe against Asia, an outpost of civilization as opposed to barbarism. We should as a neutral State </w:t>
      </w:r>
      <w:proofErr w:type="gramStart"/>
      <w:r w:rsidRPr="00347F4D">
        <w:rPr>
          <w:rFonts w:ascii="Perpetua" w:hAnsi="Perpetua"/>
        </w:rPr>
        <w:t>remain</w:t>
      </w:r>
      <w:proofErr w:type="gramEnd"/>
      <w:r w:rsidRPr="00347F4D">
        <w:rPr>
          <w:rFonts w:ascii="Perpetua" w:hAnsi="Perpetua"/>
        </w:rPr>
        <w:t xml:space="preserve"> in contact with all Europe, which would have to guarantee our existence. The sanctuaries of Christendom would be safeguarded by assigning to them an extra-territorial status such as is well-known to the law of nations. We should form a guard of honor about these sanctuaries, answering for the fulfillment of this duty with our existence. This guard of honor would be the great symbol of the solution of the Jewish question after eighteen</w:t>
      </w:r>
      <w:r>
        <w:rPr>
          <w:rFonts w:ascii="Perpetua" w:hAnsi="Perpetua"/>
        </w:rPr>
        <w:t xml:space="preserve"> centuries of Jewish suffering.</w:t>
      </w:r>
    </w:p>
  </w:footnote>
  <w:footnote w:id="85">
    <w:p w:rsidR="00975183" w:rsidRDefault="00975183" w:rsidP="00442D33">
      <w:pPr>
        <w:pStyle w:val="FootnoteText"/>
      </w:pPr>
      <w:r>
        <w:rPr>
          <w:rStyle w:val="FootnoteReference"/>
        </w:rPr>
        <w:footnoteRef/>
      </w:r>
      <w:r>
        <w:t xml:space="preserve"> </w:t>
      </w:r>
      <w:r>
        <w:rPr>
          <w:rFonts w:ascii="Perpetua" w:hAnsi="Perpetua" w:cs="Arial"/>
          <w:lang w:val="en-US" w:bidi="he-IL"/>
        </w:rPr>
        <w:t>‘</w:t>
      </w:r>
      <w:r w:rsidRPr="0041009A">
        <w:rPr>
          <w:rFonts w:ascii="Perpetua" w:hAnsi="Perpetua" w:cs="Arial"/>
          <w:lang w:val="en-US" w:bidi="he-IL"/>
        </w:rPr>
        <w:t xml:space="preserve">But I would not have you to be ignorant, brethren, concerning them which are asleep, that ye sorrow not, even as others which have no hope. </w:t>
      </w:r>
      <w:r w:rsidRPr="0041009A">
        <w:rPr>
          <w:rFonts w:ascii="Perpetua" w:hAnsi="Perpetua" w:cs="Arial"/>
          <w:vertAlign w:val="superscript"/>
          <w:lang w:val="en-US" w:bidi="he-IL"/>
        </w:rPr>
        <w:t>1</w:t>
      </w:r>
      <w:r>
        <w:rPr>
          <w:rFonts w:ascii="Perpetua" w:hAnsi="Perpetua" w:cs="Arial"/>
          <w:vertAlign w:val="superscript"/>
          <w:lang w:val="en-US" w:bidi="he-IL"/>
        </w:rPr>
        <w:t>4</w:t>
      </w:r>
      <w:r w:rsidRPr="0041009A">
        <w:rPr>
          <w:rFonts w:ascii="Perpetua" w:hAnsi="Perpetua" w:cs="Arial"/>
          <w:lang w:val="en-US" w:bidi="he-IL"/>
        </w:rPr>
        <w:t xml:space="preserve"> For if we believe that Jesus died and rose again, even so them also which </w:t>
      </w:r>
      <w:proofErr w:type="gramStart"/>
      <w:r w:rsidRPr="0041009A">
        <w:rPr>
          <w:rFonts w:ascii="Perpetua" w:hAnsi="Perpetua" w:cs="Arial"/>
          <w:lang w:val="en-US" w:bidi="he-IL"/>
        </w:rPr>
        <w:t>sleep in Jesus will</w:t>
      </w:r>
      <w:proofErr w:type="gramEnd"/>
      <w:r w:rsidRPr="0041009A">
        <w:rPr>
          <w:rFonts w:ascii="Perpetua" w:hAnsi="Perpetua" w:cs="Arial"/>
          <w:lang w:val="en-US" w:bidi="he-IL"/>
        </w:rPr>
        <w:t xml:space="preserve"> God bring with him. </w:t>
      </w:r>
      <w:r w:rsidRPr="0041009A">
        <w:rPr>
          <w:rFonts w:ascii="Perpetua" w:hAnsi="Perpetua" w:cs="Arial"/>
          <w:vertAlign w:val="superscript"/>
          <w:lang w:val="en-US" w:bidi="he-IL"/>
        </w:rPr>
        <w:t>15</w:t>
      </w:r>
      <w:r w:rsidRPr="0041009A">
        <w:rPr>
          <w:rFonts w:ascii="Perpetua" w:hAnsi="Perpetua" w:cs="Arial"/>
          <w:lang w:val="en-US" w:bidi="he-IL"/>
        </w:rPr>
        <w:t xml:space="preserve"> For this we say unto you by the word of the Lord, that we which are alive </w:t>
      </w:r>
      <w:r w:rsidRPr="0041009A">
        <w:rPr>
          <w:rFonts w:ascii="Perpetua" w:hAnsi="Perpetua" w:cs="Arial"/>
          <w:i/>
          <w:iCs/>
          <w:lang w:val="en-US" w:bidi="he-IL"/>
        </w:rPr>
        <w:t xml:space="preserve">and </w:t>
      </w:r>
      <w:r w:rsidRPr="0041009A">
        <w:rPr>
          <w:rFonts w:ascii="Perpetua" w:hAnsi="Perpetua" w:cs="Arial"/>
          <w:lang w:val="en-US" w:bidi="he-IL"/>
        </w:rPr>
        <w:t xml:space="preserve">remain unto the coming of the Lord shall not prevent them which are asleep. </w:t>
      </w:r>
      <w:r w:rsidRPr="0041009A">
        <w:rPr>
          <w:rFonts w:ascii="Perpetua" w:hAnsi="Perpetua" w:cs="Arial"/>
          <w:vertAlign w:val="superscript"/>
          <w:lang w:val="en-US" w:bidi="he-IL"/>
        </w:rPr>
        <w:t>16</w:t>
      </w:r>
      <w:r w:rsidRPr="0041009A">
        <w:rPr>
          <w:rFonts w:ascii="Perpetua" w:hAnsi="Perpetua" w:cs="Arial"/>
          <w:lang w:val="en-US" w:bidi="he-IL"/>
        </w:rPr>
        <w:t xml:space="preserve"> For the Lord himself shall descend from heaven with a shout, with the voice of the archangel, and with the trump of God: and the dead in Christ shall rise first: </w:t>
      </w:r>
      <w:r w:rsidRPr="0041009A">
        <w:rPr>
          <w:rFonts w:ascii="Perpetua" w:hAnsi="Perpetua" w:cs="Arial"/>
          <w:vertAlign w:val="superscript"/>
          <w:lang w:val="en-US" w:bidi="he-IL"/>
        </w:rPr>
        <w:t>17</w:t>
      </w:r>
      <w:r w:rsidRPr="0041009A">
        <w:rPr>
          <w:rFonts w:ascii="Perpetua" w:hAnsi="Perpetua" w:cs="Arial"/>
          <w:lang w:val="en-US" w:bidi="he-IL"/>
        </w:rPr>
        <w:t xml:space="preserve"> Then we which are alive </w:t>
      </w:r>
      <w:r w:rsidRPr="0041009A">
        <w:rPr>
          <w:rFonts w:ascii="Perpetua" w:hAnsi="Perpetua" w:cs="Arial"/>
          <w:i/>
          <w:iCs/>
          <w:lang w:val="en-US" w:bidi="he-IL"/>
        </w:rPr>
        <w:t xml:space="preserve">and </w:t>
      </w:r>
      <w:r w:rsidRPr="0041009A">
        <w:rPr>
          <w:rFonts w:ascii="Perpetua" w:hAnsi="Perpetua" w:cs="Arial"/>
          <w:lang w:val="en-US" w:bidi="he-IL"/>
        </w:rPr>
        <w:t>remain shall be caught up together with them in the clouds, to meet the Lord in the air: and so shall we ever be with the Lord.</w:t>
      </w:r>
      <w:r>
        <w:rPr>
          <w:rFonts w:ascii="Perpetua" w:hAnsi="Perpetua" w:cs="Arial"/>
          <w:lang w:val="en-US" w:bidi="he-IL"/>
        </w:rPr>
        <w:t>’</w:t>
      </w:r>
      <w:r w:rsidRPr="0041009A">
        <w:rPr>
          <w:rFonts w:ascii="Perpetua" w:hAnsi="Perpetua" w:cs="Arial"/>
          <w:lang w:val="en-US" w:bidi="he-IL"/>
        </w:rPr>
        <w:t xml:space="preserve"> 1Th</w:t>
      </w:r>
      <w:r>
        <w:rPr>
          <w:rFonts w:ascii="Perpetua" w:hAnsi="Perpetua" w:cs="Arial"/>
          <w:lang w:val="en-US" w:bidi="he-IL"/>
        </w:rPr>
        <w:t>ess.</w:t>
      </w:r>
      <w:r w:rsidRPr="0041009A">
        <w:rPr>
          <w:rFonts w:ascii="Perpetua" w:hAnsi="Perpetua" w:cs="Arial"/>
          <w:lang w:val="en-US" w:bidi="he-IL"/>
        </w:rPr>
        <w:t xml:space="preserve"> 4:1</w:t>
      </w:r>
      <w:r>
        <w:rPr>
          <w:rFonts w:ascii="Perpetua" w:hAnsi="Perpetua" w:cs="Arial"/>
          <w:lang w:val="en-US" w:bidi="he-IL"/>
        </w:rPr>
        <w:t xml:space="preserve">3-17, </w:t>
      </w:r>
      <w:r w:rsidRPr="0041009A">
        <w:rPr>
          <w:rFonts w:ascii="Perpetua" w:hAnsi="Perpetua" w:cs="Arial"/>
          <w:i/>
          <w:lang w:val="en-US" w:bidi="he-IL"/>
        </w:rPr>
        <w:t>KJV</w:t>
      </w:r>
    </w:p>
  </w:footnote>
  <w:footnote w:id="86">
    <w:p w:rsidR="00975183" w:rsidRDefault="00975183" w:rsidP="00442D33">
      <w:pPr>
        <w:pStyle w:val="FootnoteText"/>
      </w:pPr>
      <w:r w:rsidRPr="004132D3">
        <w:rPr>
          <w:rStyle w:val="FootnoteReference"/>
          <w:rFonts w:ascii="Perpetua" w:hAnsi="Perpetua"/>
        </w:rPr>
        <w:footnoteRef/>
      </w:r>
      <w:r w:rsidRPr="004132D3">
        <w:rPr>
          <w:rFonts w:ascii="Perpetua" w:hAnsi="Perpetua"/>
        </w:rPr>
        <w:t xml:space="preserve"> </w:t>
      </w:r>
      <w:r w:rsidRPr="00F37655">
        <w:rPr>
          <w:sz w:val="22"/>
          <w:szCs w:val="24"/>
        </w:rPr>
        <w:t>‘</w:t>
      </w:r>
      <w:r w:rsidRPr="00F37655">
        <w:rPr>
          <w:rFonts w:ascii="Bwgrkl" w:hAnsi="Bwgrkl" w:cs="Bwgrkl"/>
          <w:sz w:val="22"/>
          <w:szCs w:val="24"/>
          <w:lang w:val="en-US" w:eastAsia="en-GB" w:bidi="he-IL"/>
        </w:rPr>
        <w:t>e;peita h`mei/j oi` zw/ntej oi` perileipo,menoi a[ma su.n auvtoi/j a`rpaghso,meqa evn nefe,laij eivj avpa,nthsin tou/ kuri,ou eivj ave,ra</w:t>
      </w:r>
      <w:r w:rsidRPr="00F37655">
        <w:rPr>
          <w:sz w:val="22"/>
          <w:szCs w:val="24"/>
        </w:rPr>
        <w:t>’</w:t>
      </w:r>
      <w:r>
        <w:rPr>
          <w:sz w:val="24"/>
          <w:szCs w:val="24"/>
        </w:rPr>
        <w:t xml:space="preserve">  </w:t>
      </w:r>
      <w:r w:rsidRPr="004132D3">
        <w:rPr>
          <w:rFonts w:ascii="Perpetua" w:hAnsi="Perpetua"/>
        </w:rPr>
        <w:t>1 Thess. 4:17.</w:t>
      </w:r>
    </w:p>
  </w:footnote>
  <w:footnote w:id="87">
    <w:p w:rsidR="00975183" w:rsidRDefault="00975183" w:rsidP="00442D33">
      <w:pPr>
        <w:pStyle w:val="FootnoteText"/>
        <w:rPr>
          <w:rFonts w:ascii="Perpetua" w:hAnsi="Perpetua"/>
        </w:rPr>
      </w:pPr>
      <w:r w:rsidRPr="004132D3">
        <w:rPr>
          <w:rStyle w:val="FootnoteReference"/>
          <w:rFonts w:ascii="Perpetua" w:hAnsi="Perpetua"/>
        </w:rPr>
        <w:footnoteRef/>
      </w:r>
      <w:r w:rsidRPr="004132D3">
        <w:rPr>
          <w:rFonts w:ascii="Perpetua" w:hAnsi="Perpetua"/>
        </w:rPr>
        <w:t xml:space="preserve"> ‘</w:t>
      </w:r>
      <w:r w:rsidRPr="004132D3">
        <w:rPr>
          <w:rFonts w:ascii="Perpetua" w:hAnsi="Perpetua" w:cs="Arial"/>
          <w:lang w:val="en-US" w:eastAsia="en-GB" w:bidi="he-IL"/>
        </w:rPr>
        <w:t>deinde nos qui vivimus qui relinquimur simul rapiemur cum illis in nubibus obviam Domino in aera</w:t>
      </w:r>
      <w:r w:rsidRPr="004132D3">
        <w:rPr>
          <w:rFonts w:ascii="Perpetua" w:hAnsi="Perpetua"/>
        </w:rPr>
        <w:t xml:space="preserve">’  </w:t>
      </w:r>
    </w:p>
    <w:p w:rsidR="00975183" w:rsidRPr="004132D3" w:rsidRDefault="00975183" w:rsidP="00442D33">
      <w:pPr>
        <w:pStyle w:val="FootnoteText"/>
        <w:spacing w:after="40"/>
        <w:rPr>
          <w:rFonts w:ascii="Perpetua" w:hAnsi="Perpetua"/>
        </w:rPr>
      </w:pPr>
      <w:r w:rsidRPr="004132D3">
        <w:rPr>
          <w:rFonts w:ascii="Perpetua" w:hAnsi="Perpetua"/>
        </w:rPr>
        <w:t>1 Thess. 4:17, Vulgate.</w:t>
      </w:r>
    </w:p>
  </w:footnote>
  <w:footnote w:id="88">
    <w:p w:rsidR="00975183" w:rsidRPr="006F47F2" w:rsidRDefault="00975183" w:rsidP="006A2E06">
      <w:pPr>
        <w:autoSpaceDE w:val="0"/>
        <w:autoSpaceDN w:val="0"/>
        <w:adjustRightInd w:val="0"/>
        <w:spacing w:after="0" w:line="240" w:lineRule="auto"/>
        <w:ind w:left="426" w:right="566"/>
      </w:pPr>
      <w:r w:rsidRPr="006F47F2">
        <w:rPr>
          <w:rStyle w:val="FootnoteReference"/>
        </w:rPr>
        <w:footnoteRef/>
      </w:r>
      <w:r>
        <w:t xml:space="preserve"> ‘</w:t>
      </w:r>
      <w:r w:rsidRPr="006F47F2">
        <w:rPr>
          <w:lang w:val="en-US"/>
        </w:rPr>
        <w:t xml:space="preserve">Seventy weeks are determined upon thy people and upon thy holy city, to finish the transgression, and to make an end of sins, and to make reconciliation for iniquity, and to bring in everlasting righteousness, and to seal up the vision and prophecy, and to anoint the most Holy. </w:t>
      </w:r>
      <w:r w:rsidRPr="006F47F2">
        <w:rPr>
          <w:vertAlign w:val="superscript"/>
          <w:lang w:val="en-US"/>
        </w:rPr>
        <w:t>25</w:t>
      </w:r>
      <w:r w:rsidRPr="006F47F2">
        <w:rPr>
          <w:lang w:val="en-US"/>
        </w:rPr>
        <w:t xml:space="preserve">Know therefore and understand, </w:t>
      </w:r>
      <w:r w:rsidRPr="006F47F2">
        <w:rPr>
          <w:i/>
          <w:iCs/>
          <w:lang w:val="en-US"/>
        </w:rPr>
        <w:t>that</w:t>
      </w:r>
      <w:r w:rsidRPr="006F47F2">
        <w:rPr>
          <w:lang w:val="en-US"/>
        </w:rPr>
        <w:t xml:space="preserve"> from the going forth of the commandment to restore and to build Jerusalem unto the Messiah the Prince </w:t>
      </w:r>
      <w:r w:rsidRPr="006F47F2">
        <w:rPr>
          <w:i/>
          <w:iCs/>
          <w:lang w:val="en-US"/>
        </w:rPr>
        <w:t>shall be</w:t>
      </w:r>
      <w:r w:rsidRPr="006F47F2">
        <w:rPr>
          <w:lang w:val="en-US"/>
        </w:rPr>
        <w:t xml:space="preserve"> seven weeks, and threescore and two weeks: the street shall be built again, and the wall, even in troublous times. </w:t>
      </w:r>
      <w:r w:rsidRPr="006F47F2">
        <w:rPr>
          <w:vertAlign w:val="superscript"/>
          <w:lang w:val="en-US"/>
        </w:rPr>
        <w:t>26</w:t>
      </w:r>
      <w:r w:rsidRPr="006F47F2">
        <w:rPr>
          <w:lang w:val="en-US"/>
        </w:rPr>
        <w:t xml:space="preserve">And after threescore and two weeks shall Messiah be cut off, but not for himself: and the people of the prince that shall come shall destroy the city and the sanctuary; and the end thereof </w:t>
      </w:r>
      <w:r w:rsidRPr="006F47F2">
        <w:rPr>
          <w:i/>
          <w:iCs/>
          <w:lang w:val="en-US"/>
        </w:rPr>
        <w:t>shall be</w:t>
      </w:r>
      <w:r w:rsidRPr="006F47F2">
        <w:rPr>
          <w:lang w:val="en-US"/>
        </w:rPr>
        <w:t xml:space="preserve"> with a flood, and unto the end of the war desolations are determined. </w:t>
      </w:r>
      <w:r w:rsidRPr="006F47F2">
        <w:rPr>
          <w:vertAlign w:val="superscript"/>
          <w:lang w:val="en-US"/>
        </w:rPr>
        <w:t>27</w:t>
      </w:r>
      <w:r w:rsidRPr="006F47F2">
        <w:rPr>
          <w:lang w:val="en-US"/>
        </w:rPr>
        <w:t xml:space="preserve">And he shall confirm the covenant with many for one week: and in the midst of the week he shall cause the sacrifice and the oblation to cease, and for the overspreading of abominations he shall make </w:t>
      </w:r>
      <w:r w:rsidRPr="006F47F2">
        <w:rPr>
          <w:i/>
          <w:iCs/>
          <w:lang w:val="en-US"/>
        </w:rPr>
        <w:t>it</w:t>
      </w:r>
      <w:r w:rsidRPr="006F47F2">
        <w:rPr>
          <w:lang w:val="en-US"/>
        </w:rPr>
        <w:t xml:space="preserve"> desolate, even until the consummation, and that determined shall be poured upon the desolate.</w:t>
      </w:r>
      <w:r>
        <w:rPr>
          <w:lang w:val="en-US"/>
        </w:rPr>
        <w:t>’</w:t>
      </w:r>
      <w:r w:rsidRPr="006F47F2">
        <w:t xml:space="preserve">  Dan. 9:24-7, </w:t>
      </w:r>
      <w:r w:rsidRPr="006F47F2">
        <w:rPr>
          <w:i/>
        </w:rPr>
        <w:t>KJV</w:t>
      </w:r>
      <w:r w:rsidRPr="006F47F2">
        <w:t>.</w:t>
      </w:r>
    </w:p>
  </w:footnote>
  <w:footnote w:id="89">
    <w:p w:rsidR="00975183" w:rsidRPr="006F47F2" w:rsidRDefault="00975183" w:rsidP="006A2E06">
      <w:pPr>
        <w:pStyle w:val="FootnoteText"/>
        <w:rPr>
          <w:rFonts w:ascii="Perpetua" w:hAnsi="Perpetua"/>
        </w:rPr>
      </w:pPr>
      <w:r w:rsidRPr="008064B8">
        <w:rPr>
          <w:rStyle w:val="FootnoteReference"/>
          <w:rFonts w:ascii="Perpetua" w:hAnsi="Perpetua"/>
        </w:rPr>
        <w:footnoteRef/>
      </w:r>
      <w:r w:rsidRPr="008064B8">
        <w:rPr>
          <w:rFonts w:ascii="Perpetua" w:hAnsi="Perpetua"/>
        </w:rPr>
        <w:t xml:space="preserve"> ‘</w:t>
      </w:r>
      <w:r w:rsidRPr="008064B8">
        <w:rPr>
          <w:rFonts w:ascii="Perpetua" w:eastAsiaTheme="minorHAnsi" w:hAnsi="Perpetua"/>
          <w:lang w:val="en-US"/>
        </w:rPr>
        <w:t xml:space="preserve">And they shall fall by the edge of the sword, and shall be led away captive into all nations: and Jerusalem shall be trodden down of the Gentiles, until the times of the Gentiles </w:t>
      </w:r>
      <w:proofErr w:type="gramStart"/>
      <w:r w:rsidRPr="008064B8">
        <w:rPr>
          <w:rFonts w:ascii="Perpetua" w:eastAsiaTheme="minorHAnsi" w:hAnsi="Perpetua"/>
          <w:lang w:val="en-US"/>
        </w:rPr>
        <w:t>be</w:t>
      </w:r>
      <w:proofErr w:type="gramEnd"/>
      <w:r w:rsidRPr="008064B8">
        <w:rPr>
          <w:rFonts w:ascii="Perpetua" w:eastAsiaTheme="minorHAnsi" w:hAnsi="Perpetua"/>
          <w:lang w:val="en-US"/>
        </w:rPr>
        <w:t xml:space="preserve"> fulfilled.</w:t>
      </w:r>
      <w:r w:rsidRPr="008064B8">
        <w:rPr>
          <w:rFonts w:ascii="Perpetua" w:hAnsi="Perpetua"/>
        </w:rPr>
        <w:t xml:space="preserve">’  Lk. 21:24, </w:t>
      </w:r>
      <w:r w:rsidRPr="008064B8">
        <w:rPr>
          <w:rFonts w:ascii="Perpetua" w:hAnsi="Perpetua"/>
          <w:i/>
        </w:rPr>
        <w:t>KJV</w:t>
      </w:r>
      <w:r w:rsidRPr="008064B8">
        <w:rPr>
          <w:rFonts w:ascii="Perpetua" w:hAnsi="Perpetua"/>
        </w:rPr>
        <w:t>.</w:t>
      </w:r>
      <w:r w:rsidRPr="006F47F2">
        <w:rPr>
          <w:rFonts w:ascii="Perpetua" w:hAnsi="Perpetua"/>
          <w:lang w:val="en-US" w:eastAsia="en-GB" w:bidi="he-IL"/>
        </w:rPr>
        <w:t xml:space="preserve"> </w:t>
      </w:r>
    </w:p>
  </w:footnote>
  <w:footnote w:id="90">
    <w:p w:rsidR="00975183" w:rsidRPr="00126977" w:rsidRDefault="00975183" w:rsidP="006A2E06">
      <w:pPr>
        <w:pStyle w:val="FootnoteText"/>
        <w:rPr>
          <w:rFonts w:ascii="Perpetua" w:hAnsi="Perpetua"/>
        </w:rPr>
      </w:pPr>
      <w:r w:rsidRPr="00126977">
        <w:rPr>
          <w:rStyle w:val="FootnoteReference"/>
          <w:rFonts w:ascii="Perpetua" w:hAnsi="Perpetua"/>
        </w:rPr>
        <w:footnoteRef/>
      </w:r>
      <w:r w:rsidRPr="00126977">
        <w:rPr>
          <w:rFonts w:ascii="Perpetua" w:hAnsi="Perpetua"/>
        </w:rPr>
        <w:t xml:space="preserve"> ‘</w:t>
      </w:r>
      <w:r w:rsidRPr="00126977">
        <w:rPr>
          <w:rFonts w:ascii="Perpetua" w:hAnsi="Perpetua"/>
          <w:lang w:val="en-US"/>
        </w:rPr>
        <w:t xml:space="preserve">And he gathered them together into a place called in the Hebrew tongue </w:t>
      </w:r>
      <w:r w:rsidRPr="00126977">
        <w:rPr>
          <w:rFonts w:ascii="Perpetua" w:hAnsi="Perpetua"/>
          <w:color w:val="000000"/>
          <w:lang w:val="en-US"/>
        </w:rPr>
        <w:t>Armageddon.</w:t>
      </w:r>
      <w:r w:rsidRPr="00126977">
        <w:rPr>
          <w:rFonts w:ascii="Perpetua" w:hAnsi="Perpetua"/>
        </w:rPr>
        <w:t xml:space="preserve">’  Rev. 16:16, </w:t>
      </w:r>
      <w:r w:rsidRPr="00126977">
        <w:rPr>
          <w:rFonts w:ascii="Perpetua" w:hAnsi="Perpetua"/>
          <w:i/>
        </w:rPr>
        <w:t>KJV</w:t>
      </w:r>
      <w:r w:rsidRPr="00126977">
        <w:rPr>
          <w:rFonts w:ascii="Perpetua" w:hAnsi="Perpetua"/>
        </w:rPr>
        <w:t>.</w:t>
      </w:r>
    </w:p>
  </w:footnote>
  <w:footnote w:id="91">
    <w:p w:rsidR="00975183" w:rsidRPr="006A4363" w:rsidRDefault="00975183" w:rsidP="006A2E06">
      <w:pPr>
        <w:pStyle w:val="FootnoteText"/>
        <w:rPr>
          <w:rFonts w:ascii="Perpetua" w:hAnsi="Perpetua"/>
          <w:szCs w:val="18"/>
        </w:rPr>
      </w:pPr>
      <w:r w:rsidRPr="006A4363">
        <w:rPr>
          <w:rStyle w:val="FootnoteReference"/>
          <w:rFonts w:ascii="Perpetua" w:hAnsi="Perpetua"/>
          <w:szCs w:val="18"/>
        </w:rPr>
        <w:footnoteRef/>
      </w:r>
      <w:r w:rsidRPr="006A4363">
        <w:rPr>
          <w:rFonts w:ascii="Perpetua" w:hAnsi="Perpetua"/>
          <w:szCs w:val="18"/>
        </w:rPr>
        <w:t xml:space="preserve"> </w:t>
      </w:r>
      <w:r w:rsidRPr="006A4363">
        <w:rPr>
          <w:rFonts w:ascii="Perpetua" w:hAnsi="Perpetua"/>
          <w:i/>
          <w:szCs w:val="18"/>
        </w:rPr>
        <w:t>SRB</w:t>
      </w:r>
      <w:r w:rsidRPr="006A4363">
        <w:rPr>
          <w:rFonts w:ascii="Perpetua" w:hAnsi="Perpetua"/>
          <w:szCs w:val="18"/>
        </w:rPr>
        <w:t xml:space="preserve"> note on Zech. 12:8, pp. 976-7 ‘The Kingdom in OT Summary’.</w:t>
      </w:r>
      <w:r>
        <w:rPr>
          <w:rFonts w:ascii="Perpetua" w:hAnsi="Perpetua"/>
          <w:szCs w:val="18"/>
        </w:rPr>
        <w:t xml:space="preserve"> </w:t>
      </w:r>
      <w:r w:rsidRPr="006A4363">
        <w:rPr>
          <w:rFonts w:ascii="Perpetua" w:hAnsi="Perpetua"/>
          <w:szCs w:val="18"/>
        </w:rPr>
        <w:t xml:space="preserve"> ‘</w:t>
      </w:r>
      <w:r w:rsidRPr="006A4363">
        <w:rPr>
          <w:rFonts w:ascii="Perpetua" w:hAnsi="Perpetua"/>
          <w:szCs w:val="18"/>
          <w:lang w:val="en-US"/>
        </w:rPr>
        <w:t xml:space="preserve">In that day shall the LORD defend the inhabitants of Jerusalem; and he that is feeble among them at that day shall be as David; and the house of David </w:t>
      </w:r>
      <w:r w:rsidRPr="006A4363">
        <w:rPr>
          <w:rFonts w:ascii="Perpetua" w:hAnsi="Perpetua"/>
          <w:i/>
          <w:iCs/>
          <w:szCs w:val="18"/>
          <w:lang w:val="en-US"/>
        </w:rPr>
        <w:t>shall be</w:t>
      </w:r>
      <w:r w:rsidRPr="006A4363">
        <w:rPr>
          <w:rFonts w:ascii="Perpetua" w:hAnsi="Perpetua"/>
          <w:szCs w:val="18"/>
          <w:lang w:val="en-US"/>
        </w:rPr>
        <w:t xml:space="preserve"> as God, as the angel of the LORD before them.</w:t>
      </w:r>
      <w:r w:rsidRPr="006A4363">
        <w:rPr>
          <w:rFonts w:ascii="Perpetua" w:hAnsi="Perpetua"/>
          <w:szCs w:val="18"/>
        </w:rPr>
        <w:t xml:space="preserve">’  Zechariah 12:8, </w:t>
      </w:r>
      <w:r w:rsidRPr="006A4363">
        <w:rPr>
          <w:rFonts w:ascii="Perpetua" w:hAnsi="Perpetua"/>
          <w:i/>
          <w:szCs w:val="18"/>
        </w:rPr>
        <w:t>KJV</w:t>
      </w:r>
      <w:r>
        <w:rPr>
          <w:rFonts w:ascii="Perpetua" w:hAnsi="Perpetua"/>
          <w:szCs w:val="18"/>
        </w:rPr>
        <w:t xml:space="preserve">. </w:t>
      </w:r>
      <w:r w:rsidRPr="006A4363">
        <w:rPr>
          <w:rFonts w:ascii="Perpetua" w:hAnsi="Perpetua"/>
          <w:szCs w:val="18"/>
        </w:rPr>
        <w:t xml:space="preserve"> </w:t>
      </w:r>
      <w:r w:rsidRPr="00B02BF6">
        <w:rPr>
          <w:rFonts w:ascii="Perpetua" w:hAnsi="Perpetua"/>
          <w:b/>
          <w:szCs w:val="18"/>
        </w:rPr>
        <w:t>See Case Study 1</w:t>
      </w:r>
      <w:r>
        <w:rPr>
          <w:rFonts w:ascii="Perpetua" w:hAnsi="Perpetua"/>
          <w:szCs w:val="18"/>
        </w:rPr>
        <w:t>.</w:t>
      </w:r>
    </w:p>
  </w:footnote>
  <w:footnote w:id="92">
    <w:p w:rsidR="00975183" w:rsidRPr="006A4363" w:rsidRDefault="00975183" w:rsidP="006A2E06">
      <w:pPr>
        <w:pStyle w:val="FootnoteText"/>
        <w:rPr>
          <w:rFonts w:ascii="Perpetua" w:hAnsi="Perpetua"/>
        </w:rPr>
      </w:pPr>
      <w:r w:rsidRPr="006A4363">
        <w:rPr>
          <w:rStyle w:val="FootnoteReference"/>
          <w:rFonts w:ascii="Perpetua" w:hAnsi="Perpetua"/>
          <w:szCs w:val="18"/>
        </w:rPr>
        <w:footnoteRef/>
      </w:r>
      <w:r w:rsidRPr="006A4363">
        <w:rPr>
          <w:rFonts w:ascii="Perpetua" w:hAnsi="Perpetua"/>
          <w:szCs w:val="18"/>
        </w:rPr>
        <w:t xml:space="preserve"> </w:t>
      </w:r>
      <w:r w:rsidRPr="00AF2B31">
        <w:rPr>
          <w:rFonts w:ascii="Perpetua" w:hAnsi="Perpetua"/>
          <w:i/>
          <w:szCs w:val="18"/>
        </w:rPr>
        <w:t>SRB</w:t>
      </w:r>
      <w:r>
        <w:rPr>
          <w:rFonts w:ascii="Perpetua" w:hAnsi="Perpetua"/>
          <w:szCs w:val="18"/>
        </w:rPr>
        <w:t xml:space="preserve"> n</w:t>
      </w:r>
      <w:r w:rsidRPr="006A4363">
        <w:rPr>
          <w:rFonts w:ascii="Perpetua" w:hAnsi="Perpetua"/>
          <w:szCs w:val="18"/>
        </w:rPr>
        <w:t xml:space="preserve">ote on 1 Cor. 15:24, pp. 1226-7.  </w:t>
      </w:r>
      <w:proofErr w:type="gramStart"/>
      <w:r>
        <w:rPr>
          <w:rFonts w:ascii="Perpetua" w:hAnsi="Perpetua"/>
          <w:szCs w:val="18"/>
        </w:rPr>
        <w:t>‘</w:t>
      </w:r>
      <w:r w:rsidRPr="006A4363">
        <w:rPr>
          <w:rFonts w:ascii="Perpetua" w:hAnsi="Perpetua"/>
          <w:szCs w:val="18"/>
        </w:rPr>
        <w:t>Kingdom (N.T.) Summary’.</w:t>
      </w:r>
      <w:proofErr w:type="gramEnd"/>
      <w:r w:rsidRPr="006A4363">
        <w:rPr>
          <w:rFonts w:ascii="Perpetua" w:hAnsi="Perpetua"/>
          <w:szCs w:val="18"/>
        </w:rPr>
        <w:t xml:space="preserve"> ‘</w:t>
      </w:r>
      <w:r w:rsidRPr="006A4363">
        <w:rPr>
          <w:rFonts w:ascii="Perpetua" w:hAnsi="Perpetua"/>
          <w:szCs w:val="18"/>
          <w:lang w:val="en-US"/>
        </w:rPr>
        <w:t xml:space="preserve">Then </w:t>
      </w:r>
      <w:r w:rsidRPr="006A4363">
        <w:rPr>
          <w:rFonts w:ascii="Perpetua" w:hAnsi="Perpetua"/>
          <w:i/>
          <w:iCs/>
          <w:szCs w:val="18"/>
          <w:lang w:val="en-US"/>
        </w:rPr>
        <w:t>cometh</w:t>
      </w:r>
      <w:r w:rsidRPr="006A4363">
        <w:rPr>
          <w:rFonts w:ascii="Perpetua" w:hAnsi="Perpetua"/>
          <w:szCs w:val="18"/>
          <w:lang w:val="en-US"/>
        </w:rPr>
        <w:t xml:space="preserve"> the end, when he shall have delivered up the kingdom to God, even the Father; when he shall have put down all rule and all authority and power.</w:t>
      </w:r>
      <w:r w:rsidRPr="006A4363">
        <w:rPr>
          <w:rFonts w:ascii="Perpetua" w:hAnsi="Perpetua"/>
          <w:szCs w:val="18"/>
        </w:rPr>
        <w:t xml:space="preserve">’ 1 Cor. 15:24, </w:t>
      </w:r>
      <w:r w:rsidRPr="006A4363">
        <w:rPr>
          <w:rFonts w:ascii="Perpetua" w:hAnsi="Perpetua"/>
          <w:i/>
          <w:szCs w:val="18"/>
        </w:rPr>
        <w:t>KJV</w:t>
      </w:r>
      <w:r w:rsidRPr="006A4363">
        <w:rPr>
          <w:rFonts w:ascii="Perpetua" w:hAnsi="Perpetua"/>
          <w:szCs w:val="18"/>
        </w:rPr>
        <w:t xml:space="preserve">. </w:t>
      </w:r>
      <w:r>
        <w:rPr>
          <w:rFonts w:ascii="Perpetua" w:hAnsi="Perpetua"/>
          <w:szCs w:val="18"/>
        </w:rPr>
        <w:t xml:space="preserve"> </w:t>
      </w:r>
      <w:r w:rsidRPr="00B02BF6">
        <w:rPr>
          <w:rFonts w:ascii="Perpetua" w:hAnsi="Perpetua"/>
          <w:b/>
          <w:szCs w:val="18"/>
        </w:rPr>
        <w:t>See Case Study 3</w:t>
      </w:r>
      <w:r>
        <w:rPr>
          <w:rFonts w:ascii="Perpetua" w:hAnsi="Perpetua"/>
          <w:szCs w:val="18"/>
        </w:rPr>
        <w:t>.</w:t>
      </w:r>
    </w:p>
  </w:footnote>
  <w:footnote w:id="93">
    <w:p w:rsidR="00975183" w:rsidRPr="00F40C6A" w:rsidRDefault="00975183" w:rsidP="006A2E06">
      <w:pPr>
        <w:pStyle w:val="FootnoteText"/>
        <w:spacing w:after="40"/>
        <w:rPr>
          <w:rFonts w:ascii="Perpetua" w:hAnsi="Perpetua"/>
        </w:rPr>
      </w:pPr>
      <w:r w:rsidRPr="00F40C6A">
        <w:rPr>
          <w:rStyle w:val="FootnoteReference"/>
          <w:rFonts w:ascii="Perpetua" w:hAnsi="Perpetua"/>
        </w:rPr>
        <w:footnoteRef/>
      </w:r>
      <w:r w:rsidRPr="00F40C6A">
        <w:rPr>
          <w:rFonts w:ascii="Perpetua" w:hAnsi="Perpetua"/>
        </w:rPr>
        <w:t xml:space="preserve"> ‘</w:t>
      </w:r>
      <w:r w:rsidRPr="00F40C6A">
        <w:rPr>
          <w:rFonts w:ascii="Perpetua" w:eastAsiaTheme="minorHAnsi" w:hAnsi="Perpetua"/>
          <w:lang w:val="en-US"/>
        </w:rPr>
        <w:t xml:space="preserve">O that thou hadst hearkened to my commandments! </w:t>
      </w:r>
      <w:proofErr w:type="gramStart"/>
      <w:r w:rsidRPr="00F40C6A">
        <w:rPr>
          <w:rFonts w:ascii="Perpetua" w:eastAsiaTheme="minorHAnsi" w:hAnsi="Perpetua"/>
          <w:lang w:val="en-US"/>
        </w:rPr>
        <w:t>then</w:t>
      </w:r>
      <w:proofErr w:type="gramEnd"/>
      <w:r w:rsidRPr="00F40C6A">
        <w:rPr>
          <w:rFonts w:ascii="Perpetua" w:eastAsiaTheme="minorHAnsi" w:hAnsi="Perpetua"/>
          <w:lang w:val="en-US"/>
        </w:rPr>
        <w:t xml:space="preserve"> had thy peace been as a river, and thy righteousness as the waves of the sea: </w:t>
      </w:r>
      <w:r w:rsidRPr="00806BDD">
        <w:rPr>
          <w:rFonts w:ascii="Perpetua" w:eastAsiaTheme="minorHAnsi" w:hAnsi="Perpetua"/>
          <w:vertAlign w:val="superscript"/>
          <w:lang w:val="en-US"/>
        </w:rPr>
        <w:t>19</w:t>
      </w:r>
      <w:r w:rsidRPr="00F40C6A">
        <w:rPr>
          <w:rFonts w:ascii="Perpetua" w:eastAsiaTheme="minorHAnsi" w:hAnsi="Perpetua"/>
          <w:lang w:val="en-US"/>
        </w:rPr>
        <w:t xml:space="preserve">Thy seed also had been as the sand, and the offspring of thy bowels like the gravel thereof; his name should not have been cut off nor destroyed from before me.’  Isa. 48:18-19 </w:t>
      </w:r>
      <w:r w:rsidRPr="00F40C6A">
        <w:rPr>
          <w:rFonts w:ascii="Perpetua" w:eastAsiaTheme="minorHAnsi" w:hAnsi="Perpetua"/>
          <w:i/>
          <w:lang w:val="en-US"/>
        </w:rPr>
        <w:t>KJV</w:t>
      </w:r>
      <w:r w:rsidRPr="00F40C6A">
        <w:rPr>
          <w:rFonts w:ascii="Perpetua" w:eastAsiaTheme="minorHAnsi" w:hAnsi="Perpetua"/>
          <w:lang w:val="en-US"/>
        </w:rPr>
        <w:t>.</w:t>
      </w:r>
    </w:p>
  </w:footnote>
  <w:footnote w:id="94">
    <w:p w:rsidR="00975183" w:rsidRPr="00F40C6A" w:rsidRDefault="00975183" w:rsidP="006A2E06">
      <w:pPr>
        <w:autoSpaceDE w:val="0"/>
        <w:autoSpaceDN w:val="0"/>
        <w:adjustRightInd w:val="0"/>
        <w:spacing w:after="40" w:line="240" w:lineRule="auto"/>
      </w:pPr>
      <w:r w:rsidRPr="00F40C6A">
        <w:rPr>
          <w:rStyle w:val="FootnoteReference"/>
        </w:rPr>
        <w:footnoteRef/>
      </w:r>
      <w:r w:rsidRPr="00F40C6A">
        <w:t xml:space="preserve"> ‘That in blessing I will bless thee, and in multiplying I will multiply thy seed as the stars of the heaven, and as the sand which </w:t>
      </w:r>
      <w:r w:rsidRPr="00F40C6A">
        <w:rPr>
          <w:i/>
          <w:iCs/>
        </w:rPr>
        <w:t>is</w:t>
      </w:r>
      <w:r w:rsidRPr="00F40C6A">
        <w:t xml:space="preserve"> upon the sea shore; and thy seed shall possess the gate of his enemies;’, Gen. 22:17</w:t>
      </w:r>
      <w:r>
        <w:t xml:space="preserve">, </w:t>
      </w:r>
      <w:r w:rsidRPr="009B62D6">
        <w:rPr>
          <w:i/>
        </w:rPr>
        <w:t>KJV</w:t>
      </w:r>
      <w:r>
        <w:t>.</w:t>
      </w:r>
      <w:r w:rsidRPr="00F40C6A">
        <w:t xml:space="preserve"> </w:t>
      </w:r>
    </w:p>
    <w:p w:rsidR="00975183" w:rsidRPr="00F40C6A" w:rsidRDefault="00975183" w:rsidP="006A2E06">
      <w:pPr>
        <w:pStyle w:val="FootnoteText"/>
        <w:spacing w:after="40"/>
        <w:rPr>
          <w:rFonts w:ascii="Perpetua" w:hAnsi="Perpetua"/>
        </w:rPr>
      </w:pPr>
      <w:r w:rsidRPr="00F40C6A">
        <w:rPr>
          <w:rFonts w:ascii="Perpetua" w:hAnsi="Perpetua"/>
        </w:rPr>
        <w:t xml:space="preserve">‘And thou saidst, I will surely do thee </w:t>
      </w:r>
      <w:proofErr w:type="gramStart"/>
      <w:r w:rsidRPr="00F40C6A">
        <w:rPr>
          <w:rFonts w:ascii="Perpetua" w:hAnsi="Perpetua"/>
        </w:rPr>
        <w:t>good</w:t>
      </w:r>
      <w:proofErr w:type="gramEnd"/>
      <w:r w:rsidRPr="00F40C6A">
        <w:rPr>
          <w:rFonts w:ascii="Perpetua" w:hAnsi="Perpetua"/>
        </w:rPr>
        <w:t>, and make thy seed as the sand of the sea, which cannot be numbered for multitude.’</w:t>
      </w:r>
      <w:r>
        <w:rPr>
          <w:rFonts w:ascii="Perpetua" w:hAnsi="Perpetua"/>
        </w:rPr>
        <w:t xml:space="preserve"> </w:t>
      </w:r>
      <w:r w:rsidRPr="00F40C6A">
        <w:rPr>
          <w:rFonts w:ascii="Perpetua" w:hAnsi="Perpetua"/>
        </w:rPr>
        <w:t xml:space="preserve"> Gen. 32:12</w:t>
      </w:r>
      <w:r>
        <w:rPr>
          <w:rFonts w:ascii="Perpetua" w:hAnsi="Perpetua"/>
        </w:rPr>
        <w:t xml:space="preserve">, </w:t>
      </w:r>
      <w:r w:rsidRPr="009B62D6">
        <w:rPr>
          <w:rFonts w:ascii="Perpetua" w:hAnsi="Perpetua"/>
          <w:i/>
        </w:rPr>
        <w:t>KJV</w:t>
      </w:r>
      <w:r w:rsidRPr="00F40C6A">
        <w:rPr>
          <w:rFonts w:ascii="Perpetua" w:hAnsi="Perpetua"/>
        </w:rPr>
        <w:t>.</w:t>
      </w:r>
    </w:p>
  </w:footnote>
  <w:footnote w:id="95">
    <w:p w:rsidR="00975183" w:rsidRPr="007E0C9B" w:rsidRDefault="00975183" w:rsidP="006A2E06">
      <w:pPr>
        <w:pStyle w:val="FootnoteText"/>
        <w:spacing w:after="40"/>
        <w:ind w:firstLine="425"/>
        <w:rPr>
          <w:rFonts w:ascii="Perpetua" w:hAnsi="Perpetua"/>
        </w:rPr>
      </w:pPr>
      <w:r w:rsidRPr="0045622C">
        <w:rPr>
          <w:rStyle w:val="FootnoteReference"/>
          <w:rFonts w:ascii="Perpetua" w:hAnsi="Perpetua"/>
        </w:rPr>
        <w:footnoteRef/>
      </w:r>
      <w:r w:rsidRPr="0045622C">
        <w:rPr>
          <w:rFonts w:ascii="Perpetua" w:hAnsi="Perpetua"/>
        </w:rPr>
        <w:t xml:space="preserve"> ‘</w:t>
      </w:r>
      <w:r w:rsidRPr="0045622C">
        <w:rPr>
          <w:rFonts w:ascii="Perpetua" w:eastAsiaTheme="minorHAnsi" w:hAnsi="Perpetua"/>
          <w:lang w:val="en-US"/>
        </w:rPr>
        <w:t xml:space="preserve">In that day shall the LORD defend the inhabitants of Jerusalem; and he that is feeble among them at that day shall be as David; and the house of David </w:t>
      </w:r>
      <w:r w:rsidRPr="0045622C">
        <w:rPr>
          <w:rFonts w:ascii="Perpetua" w:eastAsiaTheme="minorHAnsi" w:hAnsi="Perpetua"/>
          <w:i/>
          <w:iCs/>
          <w:lang w:val="en-US"/>
        </w:rPr>
        <w:t>shall be</w:t>
      </w:r>
      <w:r w:rsidRPr="0045622C">
        <w:rPr>
          <w:rFonts w:ascii="Perpetua" w:eastAsiaTheme="minorHAnsi" w:hAnsi="Perpetua"/>
          <w:lang w:val="en-US"/>
        </w:rPr>
        <w:t xml:space="preserve"> as God, as the angel of the LORD before them.</w:t>
      </w:r>
      <w:r w:rsidRPr="0045622C">
        <w:rPr>
          <w:rFonts w:ascii="Perpetua" w:hAnsi="Perpetua"/>
        </w:rPr>
        <w:t xml:space="preserve">’  Zech. 12:8, </w:t>
      </w:r>
      <w:r w:rsidRPr="0045622C">
        <w:rPr>
          <w:rFonts w:ascii="Perpetua" w:hAnsi="Perpetua"/>
          <w:i/>
        </w:rPr>
        <w:t>KJV</w:t>
      </w:r>
      <w:r w:rsidRPr="0045622C">
        <w:rPr>
          <w:rFonts w:ascii="Perpetua" w:hAnsi="Perpetua"/>
        </w:rPr>
        <w:t>.</w:t>
      </w:r>
      <w:r>
        <w:rPr>
          <w:rFonts w:ascii="Perpetua" w:hAnsi="Perpetua"/>
        </w:rPr>
        <w:t xml:space="preserve">  </w:t>
      </w:r>
      <w:r w:rsidRPr="007E0C9B">
        <w:rPr>
          <w:rFonts w:ascii="Perpetua" w:hAnsi="Perpetua"/>
        </w:rPr>
        <w:t>.</w:t>
      </w:r>
    </w:p>
  </w:footnote>
  <w:footnote w:id="96">
    <w:p w:rsidR="00975183" w:rsidRPr="0045622C" w:rsidRDefault="00975183" w:rsidP="006A2E06">
      <w:pPr>
        <w:pStyle w:val="FootnoteText"/>
        <w:rPr>
          <w:rFonts w:ascii="Perpetua" w:hAnsi="Perpetua"/>
        </w:rPr>
      </w:pPr>
      <w:r w:rsidRPr="0045622C">
        <w:rPr>
          <w:rStyle w:val="FootnoteReference"/>
          <w:rFonts w:ascii="Perpetua" w:hAnsi="Perpetua"/>
        </w:rPr>
        <w:footnoteRef/>
      </w:r>
      <w:r w:rsidRPr="0045622C">
        <w:rPr>
          <w:rFonts w:ascii="Perpetua" w:hAnsi="Perpetua"/>
        </w:rPr>
        <w:t xml:space="preserve"> </w:t>
      </w:r>
      <w:proofErr w:type="gramStart"/>
      <w:r w:rsidRPr="0045622C">
        <w:rPr>
          <w:rFonts w:ascii="Perpetua" w:hAnsi="Perpetua"/>
        </w:rPr>
        <w:t>‘</w:t>
      </w:r>
      <w:r w:rsidRPr="0045622C">
        <w:rPr>
          <w:rFonts w:ascii="Perpetua" w:eastAsiaTheme="minorHAnsi" w:hAnsi="Perpetua"/>
          <w:lang w:val="en-US"/>
        </w:rPr>
        <w:t>The beginning of the gospel of Jesus Christ, the Son of God.</w:t>
      </w:r>
      <w:r w:rsidRPr="0045622C">
        <w:rPr>
          <w:rFonts w:ascii="Perpetua" w:hAnsi="Perpetua"/>
        </w:rPr>
        <w:t>’</w:t>
      </w:r>
      <w:proofErr w:type="gramEnd"/>
      <w:r w:rsidRPr="0045622C">
        <w:rPr>
          <w:rFonts w:ascii="Perpetua" w:hAnsi="Perpetua"/>
        </w:rPr>
        <w:t xml:space="preserve">  Mk 1:1, </w:t>
      </w:r>
      <w:r w:rsidRPr="0045622C">
        <w:rPr>
          <w:rFonts w:ascii="Perpetua" w:hAnsi="Perpetua"/>
          <w:i/>
        </w:rPr>
        <w:t>KJV</w:t>
      </w:r>
      <w:r w:rsidRPr="0045622C">
        <w:rPr>
          <w:rFonts w:ascii="Perpetua" w:hAnsi="Perpetua"/>
        </w:rPr>
        <w:t>.</w:t>
      </w:r>
    </w:p>
  </w:footnote>
  <w:footnote w:id="97">
    <w:p w:rsidR="00975183" w:rsidRPr="00E53817" w:rsidRDefault="00975183" w:rsidP="006A2E06">
      <w:pPr>
        <w:pStyle w:val="FootnoteText"/>
        <w:rPr>
          <w:rFonts w:ascii="Perpetua" w:hAnsi="Perpetua"/>
        </w:rPr>
      </w:pPr>
      <w:r w:rsidRPr="00EF2AB8">
        <w:rPr>
          <w:rStyle w:val="FootnoteReference"/>
          <w:rFonts w:ascii="Perpetua" w:hAnsi="Perpetua"/>
        </w:rPr>
        <w:footnoteRef/>
      </w:r>
      <w:r w:rsidRPr="00EF2AB8">
        <w:rPr>
          <w:rFonts w:ascii="Perpetua" w:hAnsi="Perpetua"/>
        </w:rPr>
        <w:t xml:space="preserve"> </w:t>
      </w:r>
      <w:r w:rsidRPr="00E53817">
        <w:rPr>
          <w:rFonts w:ascii="Perpetua" w:hAnsi="Perpetua"/>
        </w:rPr>
        <w:t xml:space="preserve">A graph showing the number of words in </w:t>
      </w:r>
      <w:r w:rsidRPr="00E53817">
        <w:rPr>
          <w:rFonts w:ascii="Perpetua" w:hAnsi="Perpetua"/>
          <w:i/>
        </w:rPr>
        <w:t>SRB</w:t>
      </w:r>
      <w:r w:rsidRPr="00E53817">
        <w:rPr>
          <w:rFonts w:ascii="Perpetua" w:hAnsi="Perpetua"/>
        </w:rPr>
        <w:t xml:space="preserve"> notes on Mark per 100 words in the </w:t>
      </w:r>
      <w:r w:rsidRPr="00E53817">
        <w:rPr>
          <w:rFonts w:ascii="Perpetua" w:hAnsi="Perpetua"/>
          <w:i/>
        </w:rPr>
        <w:t>KJV</w:t>
      </w:r>
      <w:r w:rsidRPr="00E53817">
        <w:rPr>
          <w:rFonts w:ascii="Perpetua" w:hAnsi="Perpetua"/>
        </w:rPr>
        <w:t xml:space="preserve"> text appears above and indicates the significant contrast with notes on Matthew.</w:t>
      </w:r>
      <w:r>
        <w:rPr>
          <w:rFonts w:ascii="Perpetua" w:hAnsi="Perpetua"/>
        </w:rPr>
        <w:t xml:space="preserve"> </w:t>
      </w:r>
    </w:p>
  </w:footnote>
  <w:footnote w:id="98">
    <w:p w:rsidR="00975183" w:rsidRPr="00EF2AB8" w:rsidRDefault="00975183" w:rsidP="006A2E06">
      <w:pPr>
        <w:pStyle w:val="EndnoteText"/>
        <w:spacing w:after="40"/>
      </w:pPr>
      <w:r w:rsidRPr="00EF2AB8">
        <w:rPr>
          <w:rStyle w:val="FootnoteReference"/>
        </w:rPr>
        <w:footnoteRef/>
      </w:r>
      <w:r w:rsidRPr="00EF2AB8">
        <w:t xml:space="preserve"> ‘T</w:t>
      </w:r>
      <w:r w:rsidRPr="00EF2AB8">
        <w:rPr>
          <w:lang w:val="en-US"/>
        </w:rPr>
        <w:t xml:space="preserve">he Spirit of the Lord </w:t>
      </w:r>
      <w:r w:rsidRPr="00EF2AB8">
        <w:rPr>
          <w:i/>
          <w:iCs/>
          <w:lang w:val="en-US"/>
        </w:rPr>
        <w:t>is</w:t>
      </w:r>
      <w:r w:rsidRPr="00EF2AB8">
        <w:rPr>
          <w:lang w:val="en-US"/>
        </w:rPr>
        <w:t xml:space="preserve"> upon me, because he hath anointed me to preach the gospel to the poor; he hath sent me to heal the brokenhearted, to preach deliverance to the captives, and recovering of sight to the blind, to set at liberty them that are bruised, </w:t>
      </w:r>
      <w:r w:rsidRPr="00EF2AB8">
        <w:rPr>
          <w:vertAlign w:val="superscript"/>
          <w:lang w:val="en-US"/>
        </w:rPr>
        <w:t>19</w:t>
      </w:r>
      <w:r w:rsidRPr="00EF2AB8">
        <w:rPr>
          <w:lang w:val="en-US"/>
        </w:rPr>
        <w:t>To preach the acceptable year of the Lord.</w:t>
      </w:r>
      <w:r w:rsidRPr="00EF2AB8">
        <w:t xml:space="preserve">’  Lk. 4:18-19, </w:t>
      </w:r>
      <w:r w:rsidRPr="00EF2AB8">
        <w:rPr>
          <w:i/>
        </w:rPr>
        <w:t>KJV</w:t>
      </w:r>
      <w:r w:rsidRPr="00EF2AB8">
        <w:t xml:space="preserve">.  </w:t>
      </w:r>
      <w:proofErr w:type="gramStart"/>
      <w:r w:rsidRPr="009005D1">
        <w:rPr>
          <w:b/>
        </w:rPr>
        <w:t>See above, 7.1.3 and 8.4.1.</w:t>
      </w:r>
      <w:proofErr w:type="gramEnd"/>
      <w:r>
        <w:t xml:space="preserve"> </w:t>
      </w:r>
    </w:p>
  </w:footnote>
  <w:footnote w:id="99">
    <w:p w:rsidR="00975183" w:rsidRDefault="00975183" w:rsidP="006A2E06">
      <w:pPr>
        <w:pStyle w:val="FootnoteText"/>
        <w:rPr>
          <w:rFonts w:ascii="Perpetua" w:hAnsi="Perpetua"/>
        </w:rPr>
      </w:pPr>
      <w:r w:rsidRPr="00001F4A">
        <w:rPr>
          <w:rStyle w:val="FootnoteReference"/>
          <w:rFonts w:ascii="Perpetua" w:hAnsi="Perpetua"/>
        </w:rPr>
        <w:footnoteRef/>
      </w:r>
      <w:r w:rsidRPr="00001F4A">
        <w:rPr>
          <w:rFonts w:ascii="Perpetua" w:hAnsi="Perpetua"/>
        </w:rPr>
        <w:t xml:space="preserve"> ‘</w:t>
      </w:r>
      <w:r w:rsidRPr="00001F4A">
        <w:rPr>
          <w:rFonts w:ascii="Perpetua" w:hAnsi="Perpetua"/>
          <w:lang w:val="en-US"/>
        </w:rPr>
        <w:t xml:space="preserve">Then goeth he, and taketh with himself seven other spirits more wicked than himself, and they enter in and dwell there: and the last </w:t>
      </w:r>
      <w:r w:rsidRPr="00001F4A">
        <w:rPr>
          <w:rFonts w:ascii="Perpetua" w:hAnsi="Perpetua"/>
          <w:i/>
          <w:iCs/>
          <w:lang w:val="en-US"/>
        </w:rPr>
        <w:t>state</w:t>
      </w:r>
      <w:r w:rsidRPr="00001F4A">
        <w:rPr>
          <w:rFonts w:ascii="Perpetua" w:hAnsi="Perpetua"/>
          <w:lang w:val="en-US"/>
        </w:rPr>
        <w:t xml:space="preserve"> of that man is worse than the first. Even so shall it be also unto this wicked generation.</w:t>
      </w:r>
      <w:r w:rsidRPr="00001F4A">
        <w:rPr>
          <w:rFonts w:ascii="Perpetua" w:hAnsi="Perpetua"/>
        </w:rPr>
        <w:t xml:space="preserve">’  </w:t>
      </w:r>
    </w:p>
    <w:p w:rsidR="00975183" w:rsidRPr="00001F4A" w:rsidRDefault="00975183" w:rsidP="006A2E06">
      <w:pPr>
        <w:pStyle w:val="FootnoteText"/>
        <w:rPr>
          <w:rFonts w:ascii="Perpetua" w:hAnsi="Perpetua"/>
        </w:rPr>
      </w:pPr>
      <w:r w:rsidRPr="00001F4A">
        <w:rPr>
          <w:rFonts w:ascii="Perpetua" w:hAnsi="Perpetua"/>
        </w:rPr>
        <w:t xml:space="preserve">Mt. 12:45, </w:t>
      </w:r>
      <w:r w:rsidRPr="00001F4A">
        <w:rPr>
          <w:rFonts w:ascii="Perpetua" w:hAnsi="Perpetua"/>
          <w:i/>
        </w:rPr>
        <w:t>KJV</w:t>
      </w:r>
      <w:r w:rsidRPr="00001F4A">
        <w:rPr>
          <w:rFonts w:ascii="Perpetua" w:hAnsi="Perpetua"/>
        </w:rPr>
        <w:t>.</w:t>
      </w:r>
    </w:p>
  </w:footnote>
  <w:footnote w:id="100">
    <w:p w:rsidR="00975183" w:rsidRDefault="00975183" w:rsidP="00616C1F">
      <w:pPr>
        <w:pStyle w:val="FootnoteText"/>
      </w:pPr>
      <w:r w:rsidRPr="00F46960">
        <w:rPr>
          <w:rStyle w:val="FootnoteReference"/>
          <w:rFonts w:ascii="Perpetua" w:hAnsi="Perpetua"/>
        </w:rPr>
        <w:footnoteRef/>
      </w:r>
      <w:r w:rsidRPr="00F46960">
        <w:rPr>
          <w:rFonts w:ascii="Perpetua" w:hAnsi="Perpetua"/>
        </w:rPr>
        <w:t xml:space="preserve"> </w:t>
      </w:r>
      <w:r w:rsidRPr="00BF4D0B">
        <w:rPr>
          <w:rFonts w:ascii="Perpetua" w:hAnsi="Perpetua"/>
          <w:sz w:val="22"/>
          <w:szCs w:val="22"/>
        </w:rPr>
        <w:t>Originally published by Our Hope Publications, 1943 – information from Abe Books &lt;http://www.abebooks.co.uk/servlet/SearchResults?an=Gaebelein&amp;sts=t&amp;tn=History+of+the+Scofield+Reference+Bible&gt; [accessed 11.7.15].</w:t>
      </w:r>
    </w:p>
  </w:footnote>
  <w:footnote w:id="101">
    <w:p w:rsidR="00975183" w:rsidRPr="00FC6951" w:rsidRDefault="00975183" w:rsidP="00616C1F">
      <w:pPr>
        <w:autoSpaceDE w:val="0"/>
        <w:autoSpaceDN w:val="0"/>
        <w:adjustRightInd w:val="0"/>
        <w:spacing w:after="120"/>
        <w:ind w:left="540" w:right="71" w:hanging="40"/>
      </w:pPr>
      <w:r w:rsidRPr="00FC6951">
        <w:rPr>
          <w:rStyle w:val="FootnoteReference"/>
        </w:rPr>
        <w:footnoteRef/>
      </w:r>
      <w:r w:rsidRPr="00FC6951">
        <w:t xml:space="preserve"> After a </w:t>
      </w:r>
      <w:r>
        <w:t xml:space="preserve">phone </w:t>
      </w:r>
      <w:r w:rsidRPr="00FC6951">
        <w:t xml:space="preserve">conversation with the grandson of one of the original publishers, I was able to ascertain that this book must have been published after 1893 when Pickering and Inglis was formed but I am unable to give a more accurate date.  This is unfortunate because it would be interesting to know whether this volume preceded or antedated the publication of </w:t>
      </w:r>
      <w:r w:rsidRPr="00FC6951">
        <w:rPr>
          <w:i/>
        </w:rPr>
        <w:t xml:space="preserve">SRB </w:t>
      </w:r>
      <w:r>
        <w:t>in 1909.  The earliest date I have been able to find online is 1910; this pertains to an electronic edition by Logos Bible Software, &lt;</w:t>
      </w:r>
      <w:r w:rsidRPr="00272EAF">
        <w:t>https://www.logos.com/product/37978/prophecy-made-plain</w:t>
      </w:r>
      <w:r>
        <w:t>&gt; [accessed 5.4.16].</w:t>
      </w:r>
    </w:p>
    <w:p w:rsidR="00975183" w:rsidRDefault="00975183" w:rsidP="00616C1F">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Pr="004C05DC" w:rsidRDefault="00975183" w:rsidP="004C05D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2</w:t>
          </w:r>
        </w:p>
        <w:p w:rsidR="00975183" w:rsidRDefault="00975183" w:rsidP="00EE7BFF">
          <w:pPr>
            <w:pStyle w:val="Header"/>
            <w:tabs>
              <w:tab w:val="clear" w:pos="4513"/>
              <w:tab w:val="clear" w:pos="9026"/>
              <w:tab w:val="right" w:pos="7352"/>
            </w:tabs>
            <w:jc w:val="right"/>
            <w:rPr>
              <w:b/>
            </w:rPr>
          </w:pPr>
          <w:r>
            <w:rPr>
              <w:b/>
            </w:rPr>
            <w:t>Scofield’s Hermeneutics with Elements of Dispensationalism: Element 1</w:t>
          </w:r>
        </w:p>
        <w:p w:rsidR="00975183" w:rsidRPr="00095F12" w:rsidRDefault="00975183" w:rsidP="00EE7BFF">
          <w:pPr>
            <w:pStyle w:val="Header"/>
            <w:tabs>
              <w:tab w:val="clear" w:pos="4513"/>
              <w:tab w:val="clear" w:pos="9026"/>
              <w:tab w:val="right" w:pos="7352"/>
            </w:tabs>
            <w:jc w:val="right"/>
            <w:rPr>
              <w:b/>
            </w:rPr>
          </w:pPr>
          <w:r>
            <w:rPr>
              <w:b/>
            </w:rPr>
            <w:t>Commitment to a Literal Biblical Hermeneutic</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167</w:t>
          </w:r>
          <w:r>
            <w:rPr>
              <w:noProof/>
            </w:rPr>
            <w:fldChar w:fldCharType="end"/>
          </w:r>
        </w:p>
      </w:tc>
    </w:tr>
  </w:tbl>
  <w:p w:rsidR="00975183" w:rsidRPr="009F1804" w:rsidRDefault="00975183" w:rsidP="009F180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3</w:t>
          </w:r>
        </w:p>
        <w:p w:rsidR="00975183" w:rsidRDefault="00975183" w:rsidP="00EE7BFF">
          <w:pPr>
            <w:pStyle w:val="Header"/>
            <w:tabs>
              <w:tab w:val="clear" w:pos="4513"/>
              <w:tab w:val="clear" w:pos="9026"/>
              <w:tab w:val="right" w:pos="7352"/>
            </w:tabs>
            <w:jc w:val="right"/>
            <w:rPr>
              <w:b/>
            </w:rPr>
          </w:pPr>
          <w:r>
            <w:rPr>
              <w:b/>
            </w:rPr>
            <w:t xml:space="preserve">Elements of Dispensationalism: Element 2: </w:t>
          </w:r>
        </w:p>
        <w:p w:rsidR="00975183" w:rsidRPr="00095F12" w:rsidRDefault="00975183" w:rsidP="00EE7BFF">
          <w:pPr>
            <w:pStyle w:val="Header"/>
            <w:tabs>
              <w:tab w:val="clear" w:pos="4513"/>
              <w:tab w:val="clear" w:pos="9026"/>
              <w:tab w:val="right" w:pos="7352"/>
            </w:tabs>
            <w:jc w:val="right"/>
            <w:rPr>
              <w:b/>
            </w:rPr>
          </w:pPr>
          <w:r>
            <w:rPr>
              <w:b/>
            </w:rPr>
            <w:t>Commitment to Evangelical Doctrine</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181</w:t>
          </w:r>
          <w:r>
            <w:rPr>
              <w:noProof/>
            </w:rPr>
            <w:fldChar w:fldCharType="end"/>
          </w:r>
        </w:p>
      </w:tc>
    </w:tr>
  </w:tbl>
  <w:p w:rsidR="00975183" w:rsidRPr="009F1804" w:rsidRDefault="00975183" w:rsidP="009F180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4</w:t>
          </w:r>
        </w:p>
        <w:p w:rsidR="00975183" w:rsidRDefault="00975183" w:rsidP="00EE7BFF">
          <w:pPr>
            <w:pStyle w:val="Header"/>
            <w:tabs>
              <w:tab w:val="clear" w:pos="4513"/>
              <w:tab w:val="clear" w:pos="9026"/>
              <w:tab w:val="right" w:pos="7352"/>
            </w:tabs>
            <w:jc w:val="right"/>
            <w:rPr>
              <w:b/>
            </w:rPr>
          </w:pPr>
          <w:r>
            <w:rPr>
              <w:b/>
            </w:rPr>
            <w:t>Elements of Dispensationalism: Element 3:</w:t>
          </w:r>
        </w:p>
        <w:p w:rsidR="00975183" w:rsidRPr="00095F12" w:rsidRDefault="00975183" w:rsidP="00EE7BFF">
          <w:pPr>
            <w:pStyle w:val="Header"/>
            <w:tabs>
              <w:tab w:val="clear" w:pos="4513"/>
              <w:tab w:val="clear" w:pos="9026"/>
              <w:tab w:val="right" w:pos="7352"/>
            </w:tabs>
            <w:jc w:val="right"/>
            <w:rPr>
              <w:b/>
            </w:rPr>
          </w:pPr>
          <w:r>
            <w:rPr>
              <w:b/>
            </w:rPr>
            <w:t>Dualism in the Divine Plan</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195</w:t>
          </w:r>
          <w:r>
            <w:rPr>
              <w:noProof/>
            </w:rPr>
            <w:fldChar w:fldCharType="end"/>
          </w:r>
        </w:p>
      </w:tc>
    </w:tr>
  </w:tbl>
  <w:p w:rsidR="00975183" w:rsidRPr="009F1804" w:rsidRDefault="00975183" w:rsidP="009F1804">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5</w:t>
          </w:r>
        </w:p>
        <w:p w:rsidR="00975183" w:rsidRDefault="00975183" w:rsidP="00EE7BFF">
          <w:pPr>
            <w:pStyle w:val="Header"/>
            <w:tabs>
              <w:tab w:val="clear" w:pos="4513"/>
              <w:tab w:val="clear" w:pos="9026"/>
              <w:tab w:val="right" w:pos="7352"/>
            </w:tabs>
            <w:jc w:val="right"/>
            <w:rPr>
              <w:b/>
            </w:rPr>
          </w:pPr>
          <w:r>
            <w:rPr>
              <w:b/>
            </w:rPr>
            <w:t>Elements of Dispensationalism: Element 4:</w:t>
          </w:r>
        </w:p>
        <w:p w:rsidR="00975183" w:rsidRPr="00095F12" w:rsidRDefault="00975183" w:rsidP="00EE7BFF">
          <w:pPr>
            <w:pStyle w:val="Header"/>
            <w:tabs>
              <w:tab w:val="clear" w:pos="4513"/>
              <w:tab w:val="clear" w:pos="9026"/>
              <w:tab w:val="right" w:pos="7352"/>
            </w:tabs>
            <w:jc w:val="right"/>
            <w:rPr>
              <w:b/>
            </w:rPr>
          </w:pPr>
          <w:r>
            <w:rPr>
              <w:b/>
            </w:rPr>
            <w:t>Dispensations, Together with Covenants</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197</w:t>
          </w:r>
          <w:r>
            <w:rPr>
              <w:noProof/>
            </w:rPr>
            <w:fldChar w:fldCharType="end"/>
          </w:r>
        </w:p>
      </w:tc>
    </w:tr>
  </w:tbl>
  <w:p w:rsidR="00975183" w:rsidRPr="009F1804" w:rsidRDefault="00975183" w:rsidP="009F1804">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6</w:t>
          </w:r>
        </w:p>
        <w:p w:rsidR="00975183" w:rsidRDefault="00975183" w:rsidP="00EE7BFF">
          <w:pPr>
            <w:pStyle w:val="Header"/>
            <w:tabs>
              <w:tab w:val="clear" w:pos="4513"/>
              <w:tab w:val="clear" w:pos="9026"/>
              <w:tab w:val="right" w:pos="7352"/>
            </w:tabs>
            <w:jc w:val="right"/>
            <w:rPr>
              <w:b/>
            </w:rPr>
          </w:pPr>
          <w:r>
            <w:rPr>
              <w:b/>
            </w:rPr>
            <w:t>Elements of Dispensationalism: Element 5:</w:t>
          </w:r>
        </w:p>
        <w:p w:rsidR="00975183" w:rsidRPr="00095F12" w:rsidRDefault="00975183" w:rsidP="00EE7BFF">
          <w:pPr>
            <w:pStyle w:val="Header"/>
            <w:tabs>
              <w:tab w:val="clear" w:pos="4513"/>
              <w:tab w:val="clear" w:pos="9026"/>
              <w:tab w:val="right" w:pos="7352"/>
            </w:tabs>
            <w:jc w:val="right"/>
            <w:rPr>
              <w:b/>
            </w:rPr>
          </w:pPr>
          <w:r>
            <w:rPr>
              <w:b/>
            </w:rPr>
            <w:t>Expectation of Christ’s Imminent Return in the Pretribulational Rapture</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257</w:t>
          </w:r>
          <w:r>
            <w:rPr>
              <w:noProof/>
            </w:rPr>
            <w:fldChar w:fldCharType="end"/>
          </w:r>
        </w:p>
      </w:tc>
    </w:tr>
  </w:tbl>
  <w:p w:rsidR="00975183" w:rsidRPr="009F1804" w:rsidRDefault="00975183" w:rsidP="009F1804">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7</w:t>
          </w:r>
        </w:p>
        <w:p w:rsidR="00975183" w:rsidRDefault="00975183" w:rsidP="00EE7BFF">
          <w:pPr>
            <w:pStyle w:val="Header"/>
            <w:tabs>
              <w:tab w:val="clear" w:pos="4513"/>
              <w:tab w:val="clear" w:pos="9026"/>
              <w:tab w:val="right" w:pos="7352"/>
            </w:tabs>
            <w:jc w:val="right"/>
            <w:rPr>
              <w:b/>
            </w:rPr>
          </w:pPr>
          <w:r>
            <w:rPr>
              <w:b/>
            </w:rPr>
            <w:t>Elements of Dispensationalism: Element 6:</w:t>
          </w:r>
        </w:p>
        <w:p w:rsidR="00975183" w:rsidRPr="00095F12" w:rsidRDefault="00975183" w:rsidP="00EE7BFF">
          <w:pPr>
            <w:pStyle w:val="Header"/>
            <w:tabs>
              <w:tab w:val="clear" w:pos="4513"/>
              <w:tab w:val="clear" w:pos="9026"/>
              <w:tab w:val="right" w:pos="7352"/>
            </w:tabs>
            <w:jc w:val="right"/>
            <w:rPr>
              <w:b/>
            </w:rPr>
          </w:pPr>
          <w:r>
            <w:rPr>
              <w:b/>
            </w:rPr>
            <w:t>Emphasis on Apocalyptic and Millennial Expectation</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325</w:t>
          </w:r>
          <w:r>
            <w:rPr>
              <w:noProof/>
            </w:rPr>
            <w:fldChar w:fldCharType="end"/>
          </w:r>
        </w:p>
      </w:tc>
    </w:tr>
  </w:tbl>
  <w:p w:rsidR="00975183" w:rsidRPr="009F1804" w:rsidRDefault="00975183" w:rsidP="009F1804">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8</w:t>
          </w:r>
        </w:p>
        <w:p w:rsidR="00975183" w:rsidRDefault="00975183" w:rsidP="00EE7BFF">
          <w:pPr>
            <w:pStyle w:val="Header"/>
            <w:tabs>
              <w:tab w:val="clear" w:pos="4513"/>
              <w:tab w:val="clear" w:pos="9026"/>
              <w:tab w:val="right" w:pos="7352"/>
            </w:tabs>
            <w:jc w:val="right"/>
            <w:rPr>
              <w:b/>
            </w:rPr>
          </w:pPr>
          <w:r>
            <w:rPr>
              <w:b/>
            </w:rPr>
            <w:t xml:space="preserve">Analysis of the Content of </w:t>
          </w:r>
          <w:r w:rsidRPr="00537824">
            <w:rPr>
              <w:b/>
              <w:i/>
            </w:rPr>
            <w:t>SRB</w:t>
          </w:r>
          <w:r>
            <w:rPr>
              <w:b/>
            </w:rPr>
            <w:t xml:space="preserve"> Commentary</w:t>
          </w:r>
        </w:p>
        <w:p w:rsidR="00975183" w:rsidRPr="00095F12" w:rsidRDefault="00975183" w:rsidP="005D20B9">
          <w:pPr>
            <w:pStyle w:val="Header"/>
            <w:tabs>
              <w:tab w:val="clear" w:pos="4513"/>
              <w:tab w:val="clear" w:pos="9026"/>
              <w:tab w:val="right" w:pos="7352"/>
            </w:tabs>
            <w:jc w:val="right"/>
            <w:rPr>
              <w:rFonts w:eastAsia="Calibri" w:cs="Times New Roman"/>
              <w:b/>
              <w:bCs/>
            </w:rPr>
          </w:pPr>
          <w:r>
            <w:rPr>
              <w:b/>
            </w:rPr>
            <w:t>Scofield’s Use of the Text, Part 1: The Old Testament</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385</w:t>
          </w:r>
          <w:r>
            <w:rPr>
              <w:noProof/>
            </w:rPr>
            <w:fldChar w:fldCharType="end"/>
          </w:r>
        </w:p>
      </w:tc>
    </w:tr>
  </w:tbl>
  <w:p w:rsidR="00975183" w:rsidRDefault="00975183" w:rsidP="00537824"/>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8</w:t>
          </w:r>
        </w:p>
        <w:p w:rsidR="00975183" w:rsidRDefault="00975183" w:rsidP="00EE7BFF">
          <w:pPr>
            <w:pStyle w:val="Header"/>
            <w:tabs>
              <w:tab w:val="clear" w:pos="4513"/>
              <w:tab w:val="clear" w:pos="9026"/>
              <w:tab w:val="right" w:pos="7352"/>
            </w:tabs>
            <w:jc w:val="right"/>
            <w:rPr>
              <w:b/>
            </w:rPr>
          </w:pPr>
          <w:r>
            <w:rPr>
              <w:b/>
            </w:rPr>
            <w:t xml:space="preserve">Analysis of the Content of </w:t>
          </w:r>
          <w:r w:rsidRPr="00537824">
            <w:rPr>
              <w:b/>
              <w:i/>
            </w:rPr>
            <w:t>SRB</w:t>
          </w:r>
          <w:r>
            <w:rPr>
              <w:b/>
            </w:rPr>
            <w:t xml:space="preserve"> Commentary</w:t>
          </w:r>
        </w:p>
        <w:p w:rsidR="00975183" w:rsidRPr="00095F12" w:rsidRDefault="00975183" w:rsidP="005D20B9">
          <w:pPr>
            <w:pStyle w:val="Header"/>
            <w:tabs>
              <w:tab w:val="clear" w:pos="4513"/>
              <w:tab w:val="clear" w:pos="9026"/>
              <w:tab w:val="right" w:pos="7352"/>
            </w:tabs>
            <w:jc w:val="right"/>
            <w:rPr>
              <w:rFonts w:eastAsia="Calibri" w:cs="Times New Roman"/>
              <w:b/>
              <w:bCs/>
            </w:rPr>
          </w:pPr>
          <w:r>
            <w:rPr>
              <w:b/>
            </w:rPr>
            <w:t>Scofield’s Use of the Text, Part 2: The New Testament</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465</w:t>
          </w:r>
          <w:r>
            <w:rPr>
              <w:noProof/>
            </w:rPr>
            <w:fldChar w:fldCharType="end"/>
          </w:r>
        </w:p>
      </w:tc>
    </w:tr>
  </w:tbl>
  <w:p w:rsidR="00975183" w:rsidRDefault="00975183" w:rsidP="00537824"/>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1"/>
    </w:tblGrid>
    <w:tr w:rsidR="00975183">
      <w:tc>
        <w:tcPr>
          <w:tcW w:w="0" w:type="auto"/>
          <w:tcBorders>
            <w:right w:val="single" w:sz="6" w:space="0" w:color="000000" w:themeColor="text1"/>
          </w:tcBorders>
        </w:tcPr>
        <w:p w:rsidR="00975183" w:rsidRPr="00B80A24" w:rsidRDefault="00975183" w:rsidP="00B80A24">
          <w:pPr>
            <w:pStyle w:val="Header"/>
            <w:tabs>
              <w:tab w:val="clear" w:pos="4513"/>
              <w:tab w:val="clear" w:pos="9026"/>
              <w:tab w:val="right" w:pos="7352"/>
            </w:tabs>
            <w:rPr>
              <w:b/>
            </w:rPr>
          </w:pPr>
          <w:r w:rsidRPr="00095F12">
            <w:rPr>
              <w:b/>
            </w:rPr>
            <w:tab/>
          </w:r>
          <w:r>
            <w:rPr>
              <w:b/>
            </w:rPr>
            <w:t>Conclusion</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473</w:t>
          </w:r>
          <w:r>
            <w:rPr>
              <w:noProof/>
            </w:rPr>
            <w:fldChar w:fldCharType="end"/>
          </w:r>
        </w:p>
      </w:tc>
    </w:tr>
  </w:tbl>
  <w:p w:rsidR="00975183" w:rsidRDefault="00975183" w:rsidP="00537824"/>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Pr="00B91EAF" w:rsidRDefault="00975183" w:rsidP="00B91E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Pr="008D27B0" w:rsidRDefault="00975183" w:rsidP="002A7884">
          <w:pPr>
            <w:pStyle w:val="Header"/>
            <w:jc w:val="right"/>
            <w:rPr>
              <w:b/>
            </w:rPr>
          </w:pPr>
          <w:r w:rsidRPr="008D27B0">
            <w:rPr>
              <w:b/>
            </w:rPr>
            <w:t>Abstract</w:t>
          </w:r>
        </w:p>
      </w:tc>
      <w:tc>
        <w:tcPr>
          <w:tcW w:w="1152" w:type="dxa"/>
          <w:tcBorders>
            <w:left w:val="single" w:sz="6" w:space="0" w:color="000000" w:themeColor="text1"/>
          </w:tcBorders>
        </w:tcPr>
        <w:p w:rsidR="00975183" w:rsidRPr="008D27B0" w:rsidRDefault="00975183">
          <w:pPr>
            <w:pStyle w:val="Header"/>
            <w:rPr>
              <w:b/>
              <w:bCs/>
            </w:rPr>
          </w:pPr>
          <w:r w:rsidRPr="008D27B0">
            <w:rPr>
              <w:b/>
            </w:rPr>
            <w:fldChar w:fldCharType="begin"/>
          </w:r>
          <w:r w:rsidRPr="008D27B0">
            <w:rPr>
              <w:b/>
            </w:rPr>
            <w:instrText xml:space="preserve"> PAGE   \* MERGEFORMAT </w:instrText>
          </w:r>
          <w:r w:rsidRPr="008D27B0">
            <w:rPr>
              <w:b/>
            </w:rPr>
            <w:fldChar w:fldCharType="separate"/>
          </w:r>
          <w:r w:rsidR="002F4063">
            <w:rPr>
              <w:b/>
              <w:noProof/>
            </w:rPr>
            <w:t>1</w:t>
          </w:r>
          <w:r w:rsidRPr="008D27B0">
            <w:rPr>
              <w:b/>
              <w:noProof/>
            </w:rPr>
            <w:fldChar w:fldCharType="end"/>
          </w:r>
        </w:p>
      </w:tc>
    </w:tr>
  </w:tbl>
  <w:p w:rsidR="00975183" w:rsidRDefault="0097518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rsidTr="0051152B">
      <w:tc>
        <w:tcPr>
          <w:tcW w:w="0" w:type="auto"/>
          <w:shd w:val="clear" w:color="auto" w:fill="FFFFFF" w:themeFill="background1"/>
        </w:tcPr>
        <w:p w:rsidR="00975183" w:rsidRPr="00B80A24" w:rsidRDefault="00975183" w:rsidP="00B80A24">
          <w:pPr>
            <w:pStyle w:val="Header"/>
            <w:tabs>
              <w:tab w:val="clear" w:pos="4513"/>
              <w:tab w:val="clear" w:pos="9026"/>
              <w:tab w:val="right" w:pos="7352"/>
            </w:tabs>
            <w:rPr>
              <w:b/>
            </w:rPr>
          </w:pPr>
        </w:p>
      </w:tc>
      <w:tc>
        <w:tcPr>
          <w:tcW w:w="1152" w:type="dxa"/>
          <w:tcBorders>
            <w:left w:val="nil"/>
          </w:tcBorders>
          <w:shd w:val="clear" w:color="auto" w:fill="FFFFFF" w:themeFill="background1"/>
        </w:tcPr>
        <w:p w:rsidR="00975183" w:rsidRDefault="00975183">
          <w:pPr>
            <w:pStyle w:val="Header"/>
            <w:rPr>
              <w:b/>
              <w:bCs/>
            </w:rPr>
          </w:pPr>
        </w:p>
      </w:tc>
    </w:tr>
  </w:tbl>
  <w:p w:rsidR="00975183" w:rsidRDefault="00975183" w:rsidP="00537824"/>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Borders>
        <w:insideV w:val="single" w:sz="4" w:space="0" w:color="auto"/>
      </w:tblBorders>
      <w:tblLook w:val="04A0" w:firstRow="1" w:lastRow="0" w:firstColumn="1" w:lastColumn="0" w:noHBand="0" w:noVBand="1"/>
    </w:tblPr>
    <w:tblGrid>
      <w:gridCol w:w="1152"/>
      <w:gridCol w:w="7568"/>
    </w:tblGrid>
    <w:tr w:rsidR="00975183">
      <w:tc>
        <w:tcPr>
          <w:tcW w:w="1152" w:type="dxa"/>
        </w:tcPr>
        <w:p w:rsidR="00975183" w:rsidRPr="00B91EAF" w:rsidRDefault="00975183">
          <w:pPr>
            <w:pStyle w:val="Header"/>
            <w:jc w:val="right"/>
            <w:rPr>
              <w:b/>
              <w:bCs/>
            </w:rPr>
          </w:pPr>
          <w:r w:rsidRPr="00B91EAF">
            <w:rPr>
              <w:b/>
            </w:rPr>
            <w:fldChar w:fldCharType="begin"/>
          </w:r>
          <w:r w:rsidRPr="00B91EAF">
            <w:rPr>
              <w:b/>
            </w:rPr>
            <w:instrText xml:space="preserve"> PAGE   \* MERGEFORMAT </w:instrText>
          </w:r>
          <w:r w:rsidRPr="00B91EAF">
            <w:rPr>
              <w:b/>
            </w:rPr>
            <w:fldChar w:fldCharType="separate"/>
          </w:r>
          <w:r w:rsidR="002F4063">
            <w:rPr>
              <w:b/>
              <w:noProof/>
            </w:rPr>
            <w:t>580</w:t>
          </w:r>
          <w:r w:rsidRPr="00B91EAF">
            <w:rPr>
              <w:b/>
              <w:noProof/>
            </w:rPr>
            <w:fldChar w:fldCharType="end"/>
          </w:r>
        </w:p>
      </w:tc>
      <w:tc>
        <w:tcPr>
          <w:tcW w:w="0" w:type="auto"/>
          <w:noWrap/>
        </w:tcPr>
        <w:p w:rsidR="00975183" w:rsidRPr="00B91EAF" w:rsidRDefault="00975183">
          <w:pPr>
            <w:pStyle w:val="Header"/>
            <w:rPr>
              <w:b/>
            </w:rPr>
          </w:pPr>
          <w:r w:rsidRPr="00B91EAF">
            <w:rPr>
              <w:b/>
            </w:rPr>
            <w:t>Dispensing Dispensationalism</w:t>
          </w:r>
        </w:p>
        <w:p w:rsidR="00975183" w:rsidRPr="00B91EAF" w:rsidRDefault="00975183">
          <w:pPr>
            <w:pStyle w:val="Header"/>
            <w:rPr>
              <w:b/>
              <w:bCs/>
            </w:rPr>
          </w:pPr>
          <w:r w:rsidRPr="00B91EAF">
            <w:rPr>
              <w:b/>
            </w:rPr>
            <w:t>Hilary Perry</w:t>
          </w:r>
        </w:p>
      </w:tc>
    </w:tr>
  </w:tbl>
  <w:p w:rsidR="00975183" w:rsidRPr="00B91EAF" w:rsidRDefault="00975183" w:rsidP="00B91EAF">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B80A24">
          <w:pPr>
            <w:pStyle w:val="Header"/>
            <w:tabs>
              <w:tab w:val="clear" w:pos="4513"/>
              <w:tab w:val="clear" w:pos="9026"/>
              <w:tab w:val="right" w:pos="7352"/>
            </w:tabs>
            <w:rPr>
              <w:b/>
            </w:rPr>
          </w:pPr>
          <w:r w:rsidRPr="00095F12">
            <w:rPr>
              <w:b/>
            </w:rPr>
            <w:tab/>
          </w:r>
          <w:r>
            <w:rPr>
              <w:b/>
            </w:rPr>
            <w:t>Case Studies</w:t>
          </w:r>
        </w:p>
        <w:p w:rsidR="00975183" w:rsidRDefault="00975183" w:rsidP="00B80A24">
          <w:pPr>
            <w:pStyle w:val="Header"/>
            <w:tabs>
              <w:tab w:val="clear" w:pos="4513"/>
              <w:tab w:val="clear" w:pos="9026"/>
              <w:tab w:val="right" w:pos="7352"/>
            </w:tabs>
            <w:jc w:val="right"/>
            <w:rPr>
              <w:b/>
            </w:rPr>
          </w:pPr>
          <w:r>
            <w:rPr>
              <w:b/>
            </w:rPr>
            <w:t>Some Scholarly Interpretations of Key Texts</w:t>
          </w:r>
        </w:p>
        <w:p w:rsidR="00975183" w:rsidRPr="00B80A24" w:rsidRDefault="00975183" w:rsidP="00B80A24">
          <w:pPr>
            <w:pStyle w:val="Header"/>
            <w:tabs>
              <w:tab w:val="clear" w:pos="4513"/>
              <w:tab w:val="clear" w:pos="9026"/>
              <w:tab w:val="right" w:pos="7352"/>
            </w:tabs>
            <w:jc w:val="right"/>
            <w:rPr>
              <w:b/>
            </w:rPr>
          </w:pPr>
          <w:r>
            <w:rPr>
              <w:b/>
            </w:rPr>
            <w:t>Used by Scofield Concerning The Kingdom. 1  Zechariah 12</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491</w:t>
          </w:r>
          <w:r>
            <w:rPr>
              <w:noProof/>
            </w:rPr>
            <w:fldChar w:fldCharType="end"/>
          </w:r>
        </w:p>
      </w:tc>
    </w:tr>
  </w:tbl>
  <w:p w:rsidR="00975183" w:rsidRDefault="00975183" w:rsidP="00537824"/>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B80A24">
          <w:pPr>
            <w:pStyle w:val="Header"/>
            <w:tabs>
              <w:tab w:val="clear" w:pos="4513"/>
              <w:tab w:val="clear" w:pos="9026"/>
              <w:tab w:val="right" w:pos="7352"/>
            </w:tabs>
            <w:rPr>
              <w:b/>
            </w:rPr>
          </w:pPr>
          <w:r w:rsidRPr="00095F12">
            <w:rPr>
              <w:b/>
            </w:rPr>
            <w:tab/>
          </w:r>
          <w:r>
            <w:rPr>
              <w:b/>
            </w:rPr>
            <w:t>Case Studies</w:t>
          </w:r>
        </w:p>
        <w:p w:rsidR="00975183" w:rsidRDefault="00975183" w:rsidP="00B80A24">
          <w:pPr>
            <w:pStyle w:val="Header"/>
            <w:tabs>
              <w:tab w:val="clear" w:pos="4513"/>
              <w:tab w:val="clear" w:pos="9026"/>
              <w:tab w:val="right" w:pos="7352"/>
            </w:tabs>
            <w:jc w:val="right"/>
            <w:rPr>
              <w:b/>
            </w:rPr>
          </w:pPr>
          <w:r>
            <w:rPr>
              <w:b/>
            </w:rPr>
            <w:t>Some Scholarly Interpretations of Key Texts</w:t>
          </w:r>
        </w:p>
        <w:p w:rsidR="00975183" w:rsidRPr="00B80A24" w:rsidRDefault="00975183" w:rsidP="00B80A24">
          <w:pPr>
            <w:pStyle w:val="Header"/>
            <w:tabs>
              <w:tab w:val="clear" w:pos="4513"/>
              <w:tab w:val="clear" w:pos="9026"/>
              <w:tab w:val="right" w:pos="7352"/>
            </w:tabs>
            <w:jc w:val="right"/>
            <w:rPr>
              <w:b/>
            </w:rPr>
          </w:pPr>
          <w:r>
            <w:rPr>
              <w:b/>
            </w:rPr>
            <w:t>Used by Scofield Concerning The Kingdom. 2  Matthew</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501</w:t>
          </w:r>
          <w:r>
            <w:rPr>
              <w:noProof/>
            </w:rPr>
            <w:fldChar w:fldCharType="end"/>
          </w:r>
        </w:p>
      </w:tc>
    </w:tr>
  </w:tbl>
  <w:p w:rsidR="00975183" w:rsidRDefault="00975183" w:rsidP="00537824"/>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2"/>
    </w:tblGrid>
    <w:tr w:rsidR="00975183">
      <w:tc>
        <w:tcPr>
          <w:tcW w:w="0" w:type="auto"/>
          <w:tcBorders>
            <w:right w:val="single" w:sz="6" w:space="0" w:color="000000" w:themeColor="text1"/>
          </w:tcBorders>
        </w:tcPr>
        <w:p w:rsidR="00975183" w:rsidRDefault="00975183" w:rsidP="00B80A24">
          <w:pPr>
            <w:pStyle w:val="Header"/>
            <w:tabs>
              <w:tab w:val="clear" w:pos="4513"/>
              <w:tab w:val="clear" w:pos="9026"/>
              <w:tab w:val="right" w:pos="7352"/>
            </w:tabs>
            <w:rPr>
              <w:b/>
            </w:rPr>
          </w:pPr>
          <w:r w:rsidRPr="00095F12">
            <w:rPr>
              <w:b/>
            </w:rPr>
            <w:tab/>
          </w:r>
          <w:r>
            <w:rPr>
              <w:b/>
            </w:rPr>
            <w:t>Case Studies</w:t>
          </w:r>
        </w:p>
        <w:p w:rsidR="00975183" w:rsidRDefault="00975183" w:rsidP="00B80A24">
          <w:pPr>
            <w:pStyle w:val="Header"/>
            <w:tabs>
              <w:tab w:val="clear" w:pos="4513"/>
              <w:tab w:val="clear" w:pos="9026"/>
              <w:tab w:val="right" w:pos="7352"/>
            </w:tabs>
            <w:jc w:val="right"/>
            <w:rPr>
              <w:b/>
            </w:rPr>
          </w:pPr>
          <w:r>
            <w:rPr>
              <w:b/>
            </w:rPr>
            <w:t>Some Scholarly Interpretations of Key Texts</w:t>
          </w:r>
        </w:p>
        <w:p w:rsidR="00975183" w:rsidRPr="00B80A24" w:rsidRDefault="00975183" w:rsidP="00C9096F">
          <w:pPr>
            <w:pStyle w:val="Header"/>
            <w:tabs>
              <w:tab w:val="clear" w:pos="4513"/>
              <w:tab w:val="clear" w:pos="9026"/>
              <w:tab w:val="right" w:pos="7352"/>
            </w:tabs>
            <w:jc w:val="right"/>
            <w:rPr>
              <w:b/>
            </w:rPr>
          </w:pPr>
          <w:r>
            <w:rPr>
              <w:b/>
            </w:rPr>
            <w:t>Used by Scofield Concerning The Kingdom. 3  1 Corinthians 15:24</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509</w:t>
          </w:r>
          <w:r>
            <w:rPr>
              <w:noProof/>
            </w:rPr>
            <w:fldChar w:fldCharType="end"/>
          </w:r>
        </w:p>
      </w:tc>
    </w:tr>
  </w:tbl>
  <w:p w:rsidR="00975183" w:rsidRDefault="00975183" w:rsidP="00537824"/>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2"/>
    </w:tblGrid>
    <w:tr w:rsidR="00975183">
      <w:tc>
        <w:tcPr>
          <w:tcW w:w="0" w:type="auto"/>
          <w:tcBorders>
            <w:right w:val="single" w:sz="6" w:space="0" w:color="000000" w:themeColor="text1"/>
          </w:tcBorders>
        </w:tcPr>
        <w:p w:rsidR="00975183" w:rsidRPr="00B80A24" w:rsidRDefault="00975183" w:rsidP="00A52C87">
          <w:pPr>
            <w:pStyle w:val="Header"/>
            <w:tabs>
              <w:tab w:val="clear" w:pos="4513"/>
              <w:tab w:val="clear" w:pos="9026"/>
              <w:tab w:val="right" w:pos="7352"/>
            </w:tabs>
            <w:rPr>
              <w:b/>
            </w:rPr>
          </w:pPr>
          <w:r w:rsidRPr="00095F12">
            <w:rPr>
              <w:b/>
            </w:rPr>
            <w:tab/>
          </w:r>
          <w:r>
            <w:rPr>
              <w:b/>
            </w:rPr>
            <w:t>Tables. ‘Near’ and ‘Far’ Prophecy</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513</w:t>
          </w:r>
          <w:r>
            <w:rPr>
              <w:noProof/>
            </w:rPr>
            <w:fldChar w:fldCharType="end"/>
          </w:r>
        </w:p>
      </w:tc>
    </w:tr>
  </w:tbl>
  <w:p w:rsidR="00975183" w:rsidRDefault="00975183" w:rsidP="00537824"/>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2"/>
    </w:tblGrid>
    <w:tr w:rsidR="00975183">
      <w:tc>
        <w:tcPr>
          <w:tcW w:w="0" w:type="auto"/>
          <w:tcBorders>
            <w:right w:val="single" w:sz="6" w:space="0" w:color="000000" w:themeColor="text1"/>
          </w:tcBorders>
        </w:tcPr>
        <w:p w:rsidR="00975183" w:rsidRPr="00B80A24" w:rsidRDefault="00975183" w:rsidP="00A52C87">
          <w:pPr>
            <w:pStyle w:val="Header"/>
            <w:tabs>
              <w:tab w:val="clear" w:pos="4513"/>
              <w:tab w:val="clear" w:pos="9026"/>
              <w:tab w:val="right" w:pos="7352"/>
            </w:tabs>
            <w:rPr>
              <w:b/>
            </w:rPr>
          </w:pPr>
          <w:r w:rsidRPr="00095F12">
            <w:rPr>
              <w:b/>
            </w:rPr>
            <w:tab/>
          </w:r>
          <w:r>
            <w:rPr>
              <w:b/>
            </w:rPr>
            <w:t>Tables. As Yet Unfulfilled Prophecy</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537</w:t>
          </w:r>
          <w:r>
            <w:rPr>
              <w:noProof/>
            </w:rPr>
            <w:fldChar w:fldCharType="end"/>
          </w:r>
        </w:p>
      </w:tc>
    </w:tr>
  </w:tbl>
  <w:p w:rsidR="00975183" w:rsidRDefault="00975183" w:rsidP="00537824"/>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2"/>
    </w:tblGrid>
    <w:tr w:rsidR="00975183">
      <w:tc>
        <w:tcPr>
          <w:tcW w:w="0" w:type="auto"/>
          <w:tcBorders>
            <w:right w:val="single" w:sz="6" w:space="0" w:color="000000" w:themeColor="text1"/>
          </w:tcBorders>
        </w:tcPr>
        <w:p w:rsidR="00975183" w:rsidRPr="00B80A24" w:rsidRDefault="00975183" w:rsidP="00A52C87">
          <w:pPr>
            <w:pStyle w:val="Header"/>
            <w:tabs>
              <w:tab w:val="clear" w:pos="4513"/>
              <w:tab w:val="clear" w:pos="9026"/>
              <w:tab w:val="right" w:pos="7352"/>
            </w:tabs>
            <w:rPr>
              <w:b/>
            </w:rPr>
          </w:pPr>
          <w:r w:rsidRPr="00095F12">
            <w:rPr>
              <w:b/>
            </w:rPr>
            <w:tab/>
          </w:r>
          <w:r>
            <w:rPr>
              <w:b/>
            </w:rPr>
            <w:t>Tables on which the Graphs in Chapter 8 are based</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559</w:t>
          </w:r>
          <w:r>
            <w:rPr>
              <w:noProof/>
            </w:rPr>
            <w:fldChar w:fldCharType="end"/>
          </w:r>
        </w:p>
      </w:tc>
    </w:tr>
  </w:tbl>
  <w:p w:rsidR="00975183" w:rsidRDefault="00975183" w:rsidP="00537824"/>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1"/>
    </w:tblGrid>
    <w:tr w:rsidR="00975183">
      <w:tc>
        <w:tcPr>
          <w:tcW w:w="0" w:type="auto"/>
          <w:tcBorders>
            <w:right w:val="single" w:sz="6" w:space="0" w:color="000000" w:themeColor="text1"/>
          </w:tcBorders>
        </w:tcPr>
        <w:p w:rsidR="00975183" w:rsidRPr="00B80A24" w:rsidRDefault="00975183" w:rsidP="0047374A">
          <w:pPr>
            <w:pStyle w:val="Header"/>
            <w:tabs>
              <w:tab w:val="clear" w:pos="4513"/>
              <w:tab w:val="clear" w:pos="9026"/>
              <w:tab w:val="right" w:pos="7352"/>
            </w:tabs>
            <w:rPr>
              <w:b/>
            </w:rPr>
          </w:pPr>
          <w:r w:rsidRPr="00095F12">
            <w:rPr>
              <w:b/>
            </w:rPr>
            <w:tab/>
          </w:r>
          <w:r>
            <w:rPr>
              <w:b/>
            </w:rPr>
            <w:t>Bibliography</w:t>
          </w: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579</w:t>
          </w:r>
          <w:r>
            <w:rPr>
              <w:noProof/>
            </w:rPr>
            <w:fldChar w:fldCharType="end"/>
          </w:r>
        </w:p>
      </w:tc>
    </w:tr>
  </w:tbl>
  <w:p w:rsidR="00975183" w:rsidRDefault="00975183" w:rsidP="0053782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Default="0097518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Pr="008D27B0" w:rsidRDefault="00975183" w:rsidP="004F6C60">
          <w:pPr>
            <w:pStyle w:val="Header"/>
            <w:jc w:val="right"/>
            <w:rPr>
              <w:b/>
            </w:rPr>
          </w:pPr>
          <w:r w:rsidRPr="008D27B0">
            <w:rPr>
              <w:b/>
            </w:rPr>
            <w:t>List of Abbreviations</w:t>
          </w:r>
        </w:p>
      </w:tc>
      <w:tc>
        <w:tcPr>
          <w:tcW w:w="1152" w:type="dxa"/>
          <w:tcBorders>
            <w:left w:val="single" w:sz="6" w:space="0" w:color="000000" w:themeColor="text1"/>
          </w:tcBorders>
        </w:tcPr>
        <w:p w:rsidR="00975183" w:rsidRPr="008D27B0" w:rsidRDefault="00975183">
          <w:pPr>
            <w:pStyle w:val="Header"/>
            <w:rPr>
              <w:b/>
              <w:bCs/>
            </w:rPr>
          </w:pPr>
          <w:r w:rsidRPr="008D27B0">
            <w:rPr>
              <w:b/>
            </w:rPr>
            <w:fldChar w:fldCharType="begin"/>
          </w:r>
          <w:r w:rsidRPr="008D27B0">
            <w:rPr>
              <w:b/>
            </w:rPr>
            <w:instrText xml:space="preserve"> PAGE   \* MERGEFORMAT </w:instrText>
          </w:r>
          <w:r w:rsidRPr="008D27B0">
            <w:rPr>
              <w:b/>
            </w:rPr>
            <w:fldChar w:fldCharType="separate"/>
          </w:r>
          <w:r w:rsidR="002F4063">
            <w:rPr>
              <w:b/>
              <w:noProof/>
            </w:rPr>
            <w:t>3</w:t>
          </w:r>
          <w:r w:rsidRPr="008D27B0">
            <w:rPr>
              <w:b/>
              <w:noProof/>
            </w:rPr>
            <w:fldChar w:fldCharType="end"/>
          </w:r>
        </w:p>
      </w:tc>
    </w:tr>
  </w:tbl>
  <w:p w:rsidR="00975183" w:rsidRDefault="0097518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183" w:rsidRPr="009F1804" w:rsidRDefault="00975183" w:rsidP="009F180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1"/>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t>Preface</w:t>
          </w:r>
        </w:p>
        <w:p w:rsidR="00975183" w:rsidRPr="00095F12" w:rsidRDefault="00975183" w:rsidP="00EE7BFF">
          <w:pPr>
            <w:pStyle w:val="Header"/>
            <w:tabs>
              <w:tab w:val="clear" w:pos="4513"/>
              <w:tab w:val="clear" w:pos="9026"/>
              <w:tab w:val="right" w:pos="7352"/>
            </w:tabs>
            <w:jc w:val="right"/>
            <w:rPr>
              <w:b/>
            </w:rPr>
          </w:pPr>
          <w:r w:rsidRPr="00EE7BFF">
            <w:rPr>
              <w:b/>
            </w:rPr>
            <w:t>What is Dispensationalism</w:t>
          </w:r>
          <w:r>
            <w:rPr>
              <w:b/>
            </w:rPr>
            <w:t>?</w:t>
          </w:r>
          <w:r w:rsidRPr="00EE7BFF">
            <w:rPr>
              <w:b/>
            </w:rPr>
            <w:t xml:space="preserve"> Definitions and Origins</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17</w:t>
          </w:r>
          <w:r>
            <w:rPr>
              <w:noProof/>
            </w:rPr>
            <w:fldChar w:fldCharType="end"/>
          </w:r>
        </w:p>
      </w:tc>
    </w:tr>
  </w:tbl>
  <w:p w:rsidR="00975183" w:rsidRPr="009F1804" w:rsidRDefault="00975183" w:rsidP="009F180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Borders>
        <w:insideV w:val="single" w:sz="4" w:space="0" w:color="auto"/>
      </w:tblBorders>
      <w:tblLook w:val="04A0" w:firstRow="1" w:lastRow="0" w:firstColumn="1" w:lastColumn="0" w:noHBand="0" w:noVBand="1"/>
    </w:tblPr>
    <w:tblGrid>
      <w:gridCol w:w="1152"/>
      <w:gridCol w:w="7568"/>
    </w:tblGrid>
    <w:tr w:rsidR="00975183" w:rsidRPr="00095F12">
      <w:tc>
        <w:tcPr>
          <w:tcW w:w="1152" w:type="dxa"/>
        </w:tcPr>
        <w:p w:rsidR="00975183" w:rsidRPr="00095F12" w:rsidRDefault="00975183">
          <w:pPr>
            <w:pStyle w:val="Header"/>
            <w:jc w:val="right"/>
            <w:rPr>
              <w:b/>
              <w:bCs/>
            </w:rPr>
          </w:pPr>
          <w:r w:rsidRPr="00095F12">
            <w:rPr>
              <w:b/>
            </w:rPr>
            <w:fldChar w:fldCharType="begin"/>
          </w:r>
          <w:r w:rsidRPr="00095F12">
            <w:rPr>
              <w:b/>
            </w:rPr>
            <w:instrText xml:space="preserve"> PAGE   \* MERGEFORMAT </w:instrText>
          </w:r>
          <w:r w:rsidRPr="00095F12">
            <w:rPr>
              <w:b/>
            </w:rPr>
            <w:fldChar w:fldCharType="separate"/>
          </w:r>
          <w:r w:rsidR="002F4063">
            <w:rPr>
              <w:b/>
              <w:noProof/>
            </w:rPr>
            <w:t>18</w:t>
          </w:r>
          <w:r w:rsidRPr="00095F12">
            <w:rPr>
              <w:b/>
              <w:noProof/>
            </w:rPr>
            <w:fldChar w:fldCharType="end"/>
          </w:r>
        </w:p>
      </w:tc>
      <w:tc>
        <w:tcPr>
          <w:tcW w:w="0" w:type="auto"/>
          <w:noWrap/>
        </w:tcPr>
        <w:p w:rsidR="00975183" w:rsidRPr="00095F12" w:rsidRDefault="00975183">
          <w:pPr>
            <w:pStyle w:val="Header"/>
            <w:rPr>
              <w:b/>
              <w:bCs/>
            </w:rPr>
          </w:pPr>
          <w:r w:rsidRPr="00095F12">
            <w:rPr>
              <w:b/>
              <w:noProof/>
            </w:rPr>
            <w:t>Dispensing Dispensationalism</w:t>
          </w:r>
        </w:p>
      </w:tc>
    </w:tr>
  </w:tbl>
  <w:p w:rsidR="00975183" w:rsidRPr="00095F12" w:rsidRDefault="00975183" w:rsidP="005336C3">
    <w:pPr>
      <w:pStyle w:val="Header"/>
      <w:rPr>
        <w:b/>
      </w:rPr>
    </w:pPr>
    <w:r w:rsidRPr="00095F12">
      <w:rPr>
        <w:b/>
      </w:rPr>
      <w:t>Hilary Perry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9"/>
      <w:gridCol w:w="1151"/>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Introduction</w:t>
          </w:r>
        </w:p>
        <w:p w:rsidR="00975183" w:rsidRPr="00095F12" w:rsidRDefault="00975183" w:rsidP="00EE7BFF">
          <w:pPr>
            <w:pStyle w:val="Header"/>
            <w:tabs>
              <w:tab w:val="clear" w:pos="4513"/>
              <w:tab w:val="clear" w:pos="9026"/>
              <w:tab w:val="right" w:pos="7352"/>
            </w:tabs>
            <w:jc w:val="right"/>
            <w:rPr>
              <w:b/>
            </w:rPr>
          </w:pPr>
          <w:r>
            <w:rPr>
              <w:b/>
            </w:rPr>
            <w:t>The Scofield Reference Bible, 1917</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19</w:t>
          </w:r>
          <w:r>
            <w:rPr>
              <w:noProof/>
            </w:rPr>
            <w:fldChar w:fldCharType="end"/>
          </w:r>
        </w:p>
      </w:tc>
    </w:tr>
  </w:tbl>
  <w:p w:rsidR="00975183" w:rsidRPr="009F1804" w:rsidRDefault="00975183" w:rsidP="009F180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1152" w:type="dxa"/>
      <w:tblLook w:val="01E0" w:firstRow="1" w:lastRow="1" w:firstColumn="1" w:lastColumn="1" w:noHBand="0" w:noVBand="0"/>
    </w:tblPr>
    <w:tblGrid>
      <w:gridCol w:w="7568"/>
      <w:gridCol w:w="1152"/>
    </w:tblGrid>
    <w:tr w:rsidR="00975183">
      <w:tc>
        <w:tcPr>
          <w:tcW w:w="0" w:type="auto"/>
          <w:tcBorders>
            <w:right w:val="single" w:sz="6" w:space="0" w:color="000000" w:themeColor="text1"/>
          </w:tcBorders>
        </w:tcPr>
        <w:p w:rsidR="00975183" w:rsidRDefault="00975183" w:rsidP="002A7884">
          <w:pPr>
            <w:pStyle w:val="Header"/>
            <w:tabs>
              <w:tab w:val="clear" w:pos="4513"/>
              <w:tab w:val="clear" w:pos="9026"/>
              <w:tab w:val="right" w:pos="7352"/>
            </w:tabs>
            <w:rPr>
              <w:b/>
            </w:rPr>
          </w:pPr>
          <w:r w:rsidRPr="00095F12">
            <w:rPr>
              <w:b/>
            </w:rPr>
            <w:tab/>
          </w:r>
          <w:r>
            <w:rPr>
              <w:b/>
            </w:rPr>
            <w:t>Chapter 1</w:t>
          </w:r>
        </w:p>
        <w:p w:rsidR="00975183" w:rsidRPr="00095F12" w:rsidRDefault="00975183" w:rsidP="00EE7BFF">
          <w:pPr>
            <w:pStyle w:val="Header"/>
            <w:tabs>
              <w:tab w:val="clear" w:pos="4513"/>
              <w:tab w:val="clear" w:pos="9026"/>
              <w:tab w:val="right" w:pos="7352"/>
            </w:tabs>
            <w:jc w:val="right"/>
            <w:rPr>
              <w:b/>
            </w:rPr>
          </w:pPr>
          <w:r>
            <w:rPr>
              <w:b/>
            </w:rPr>
            <w:t>Dispensational Hermeneutics</w:t>
          </w:r>
        </w:p>
        <w:p w:rsidR="00975183" w:rsidRPr="00095F12" w:rsidRDefault="00975183" w:rsidP="00EE7BFF">
          <w:pPr>
            <w:pStyle w:val="Header"/>
            <w:rPr>
              <w:rFonts w:eastAsia="Calibri" w:cs="Times New Roman"/>
              <w:b/>
              <w:bCs/>
            </w:rPr>
          </w:pPr>
        </w:p>
      </w:tc>
      <w:tc>
        <w:tcPr>
          <w:tcW w:w="1152" w:type="dxa"/>
          <w:tcBorders>
            <w:left w:val="single" w:sz="6" w:space="0" w:color="000000" w:themeColor="text1"/>
          </w:tcBorders>
        </w:tcPr>
        <w:p w:rsidR="00975183" w:rsidRDefault="00975183">
          <w:pPr>
            <w:pStyle w:val="Header"/>
            <w:rPr>
              <w:b/>
              <w:bCs/>
            </w:rPr>
          </w:pPr>
          <w:r>
            <w:fldChar w:fldCharType="begin"/>
          </w:r>
          <w:r>
            <w:instrText xml:space="preserve"> PAGE   \* MERGEFORMAT </w:instrText>
          </w:r>
          <w:r>
            <w:fldChar w:fldCharType="separate"/>
          </w:r>
          <w:r w:rsidR="002F4063">
            <w:rPr>
              <w:noProof/>
            </w:rPr>
            <w:t>95</w:t>
          </w:r>
          <w:r>
            <w:rPr>
              <w:noProof/>
            </w:rPr>
            <w:fldChar w:fldCharType="end"/>
          </w:r>
        </w:p>
      </w:tc>
    </w:tr>
  </w:tbl>
  <w:p w:rsidR="00975183" w:rsidRPr="009F1804" w:rsidRDefault="00975183" w:rsidP="009F180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C5277"/>
    <w:multiLevelType w:val="multilevel"/>
    <w:tmpl w:val="BF268CBC"/>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nsid w:val="139B5FE5"/>
    <w:multiLevelType w:val="hybridMultilevel"/>
    <w:tmpl w:val="BF268CBC"/>
    <w:lvl w:ilvl="0" w:tplc="08090011">
      <w:start w:val="3"/>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16392FA8"/>
    <w:multiLevelType w:val="hybridMultilevel"/>
    <w:tmpl w:val="DC3EC2E2"/>
    <w:lvl w:ilvl="0" w:tplc="04D25A6E">
      <w:start w:val="1"/>
      <w:numFmt w:val="decimal"/>
      <w:lvlText w:val="%1"/>
      <w:lvlJc w:val="left"/>
      <w:pPr>
        <w:ind w:left="588" w:hanging="138"/>
      </w:pPr>
      <w:rPr>
        <w:rFonts w:ascii="Perpetua" w:eastAsia="Perpetua" w:hAnsi="Perpetua" w:hint="default"/>
        <w:sz w:val="20"/>
        <w:szCs w:val="20"/>
      </w:rPr>
    </w:lvl>
    <w:lvl w:ilvl="1" w:tplc="8F6EDA98">
      <w:start w:val="1"/>
      <w:numFmt w:val="bullet"/>
      <w:lvlText w:val="•"/>
      <w:lvlJc w:val="left"/>
      <w:pPr>
        <w:ind w:left="1509" w:hanging="138"/>
      </w:pPr>
      <w:rPr>
        <w:rFonts w:hint="default"/>
      </w:rPr>
    </w:lvl>
    <w:lvl w:ilvl="2" w:tplc="8F1809D0">
      <w:start w:val="1"/>
      <w:numFmt w:val="bullet"/>
      <w:lvlText w:val="•"/>
      <w:lvlJc w:val="left"/>
      <w:pPr>
        <w:ind w:left="2431" w:hanging="138"/>
      </w:pPr>
      <w:rPr>
        <w:rFonts w:hint="default"/>
      </w:rPr>
    </w:lvl>
    <w:lvl w:ilvl="3" w:tplc="D7F091BE">
      <w:start w:val="1"/>
      <w:numFmt w:val="bullet"/>
      <w:lvlText w:val="•"/>
      <w:lvlJc w:val="left"/>
      <w:pPr>
        <w:ind w:left="3352" w:hanging="138"/>
      </w:pPr>
      <w:rPr>
        <w:rFonts w:hint="default"/>
      </w:rPr>
    </w:lvl>
    <w:lvl w:ilvl="4" w:tplc="BAB6555C">
      <w:start w:val="1"/>
      <w:numFmt w:val="bullet"/>
      <w:lvlText w:val="•"/>
      <w:lvlJc w:val="left"/>
      <w:pPr>
        <w:ind w:left="4274" w:hanging="138"/>
      </w:pPr>
      <w:rPr>
        <w:rFonts w:hint="default"/>
      </w:rPr>
    </w:lvl>
    <w:lvl w:ilvl="5" w:tplc="37C298E4">
      <w:start w:val="1"/>
      <w:numFmt w:val="bullet"/>
      <w:lvlText w:val="•"/>
      <w:lvlJc w:val="left"/>
      <w:pPr>
        <w:ind w:left="5196" w:hanging="138"/>
      </w:pPr>
      <w:rPr>
        <w:rFonts w:hint="default"/>
      </w:rPr>
    </w:lvl>
    <w:lvl w:ilvl="6" w:tplc="D0EC9F4C">
      <w:start w:val="1"/>
      <w:numFmt w:val="bullet"/>
      <w:lvlText w:val="•"/>
      <w:lvlJc w:val="left"/>
      <w:pPr>
        <w:ind w:left="6117" w:hanging="138"/>
      </w:pPr>
      <w:rPr>
        <w:rFonts w:hint="default"/>
      </w:rPr>
    </w:lvl>
    <w:lvl w:ilvl="7" w:tplc="9FFE5B7C">
      <w:start w:val="1"/>
      <w:numFmt w:val="bullet"/>
      <w:lvlText w:val="•"/>
      <w:lvlJc w:val="left"/>
      <w:pPr>
        <w:ind w:left="7039" w:hanging="138"/>
      </w:pPr>
      <w:rPr>
        <w:rFonts w:hint="default"/>
      </w:rPr>
    </w:lvl>
    <w:lvl w:ilvl="8" w:tplc="000E5C90">
      <w:start w:val="1"/>
      <w:numFmt w:val="bullet"/>
      <w:lvlText w:val="•"/>
      <w:lvlJc w:val="left"/>
      <w:pPr>
        <w:ind w:left="7961" w:hanging="138"/>
      </w:pPr>
      <w:rPr>
        <w:rFonts w:hint="default"/>
      </w:rPr>
    </w:lvl>
  </w:abstractNum>
  <w:abstractNum w:abstractNumId="3">
    <w:nsid w:val="1B402EB6"/>
    <w:multiLevelType w:val="hybridMultilevel"/>
    <w:tmpl w:val="48A65870"/>
    <w:lvl w:ilvl="0" w:tplc="08090011">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nsid w:val="1BE13EF0"/>
    <w:multiLevelType w:val="hybridMultilevel"/>
    <w:tmpl w:val="225EEFFE"/>
    <w:lvl w:ilvl="0" w:tplc="F43C21C6">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nsid w:val="201879DE"/>
    <w:multiLevelType w:val="multilevel"/>
    <w:tmpl w:val="ABECEFBE"/>
    <w:lvl w:ilvl="0">
      <w:start w:val="2"/>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1CF2B3B"/>
    <w:multiLevelType w:val="hybridMultilevel"/>
    <w:tmpl w:val="DFDEE59E"/>
    <w:lvl w:ilvl="0" w:tplc="793C8AE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7">
    <w:nsid w:val="2B8662E5"/>
    <w:multiLevelType w:val="multilevel"/>
    <w:tmpl w:val="1406B138"/>
    <w:lvl w:ilvl="0">
      <w:start w:val="2"/>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31512D91"/>
    <w:multiLevelType w:val="multilevel"/>
    <w:tmpl w:val="DFDEE59E"/>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9">
    <w:nsid w:val="41040026"/>
    <w:multiLevelType w:val="multilevel"/>
    <w:tmpl w:val="ABECEFBE"/>
    <w:lvl w:ilvl="0">
      <w:start w:val="2"/>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438B67AC"/>
    <w:multiLevelType w:val="multilevel"/>
    <w:tmpl w:val="1374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55167A1"/>
    <w:multiLevelType w:val="hybridMultilevel"/>
    <w:tmpl w:val="4F0A8872"/>
    <w:lvl w:ilvl="0" w:tplc="305CA144">
      <w:start w:val="2"/>
      <w:numFmt w:val="decimal"/>
      <w:lvlText w:val="%1)"/>
      <w:lvlJc w:val="left"/>
      <w:pPr>
        <w:tabs>
          <w:tab w:val="num" w:pos="393"/>
        </w:tabs>
        <w:ind w:left="393" w:hanging="360"/>
      </w:pPr>
      <w:rPr>
        <w:rFonts w:hint="default"/>
        <w:b/>
      </w:rPr>
    </w:lvl>
    <w:lvl w:ilvl="1" w:tplc="08090019" w:tentative="1">
      <w:start w:val="1"/>
      <w:numFmt w:val="lowerLetter"/>
      <w:lvlText w:val="%2."/>
      <w:lvlJc w:val="left"/>
      <w:pPr>
        <w:tabs>
          <w:tab w:val="num" w:pos="1113"/>
        </w:tabs>
        <w:ind w:left="1113" w:hanging="360"/>
      </w:pPr>
    </w:lvl>
    <w:lvl w:ilvl="2" w:tplc="0809001B" w:tentative="1">
      <w:start w:val="1"/>
      <w:numFmt w:val="lowerRoman"/>
      <w:lvlText w:val="%3."/>
      <w:lvlJc w:val="right"/>
      <w:pPr>
        <w:tabs>
          <w:tab w:val="num" w:pos="1833"/>
        </w:tabs>
        <w:ind w:left="1833" w:hanging="180"/>
      </w:pPr>
    </w:lvl>
    <w:lvl w:ilvl="3" w:tplc="0809000F" w:tentative="1">
      <w:start w:val="1"/>
      <w:numFmt w:val="decimal"/>
      <w:lvlText w:val="%4."/>
      <w:lvlJc w:val="left"/>
      <w:pPr>
        <w:tabs>
          <w:tab w:val="num" w:pos="2553"/>
        </w:tabs>
        <w:ind w:left="2553" w:hanging="360"/>
      </w:pPr>
    </w:lvl>
    <w:lvl w:ilvl="4" w:tplc="08090019" w:tentative="1">
      <w:start w:val="1"/>
      <w:numFmt w:val="lowerLetter"/>
      <w:lvlText w:val="%5."/>
      <w:lvlJc w:val="left"/>
      <w:pPr>
        <w:tabs>
          <w:tab w:val="num" w:pos="3273"/>
        </w:tabs>
        <w:ind w:left="3273" w:hanging="360"/>
      </w:pPr>
    </w:lvl>
    <w:lvl w:ilvl="5" w:tplc="0809001B" w:tentative="1">
      <w:start w:val="1"/>
      <w:numFmt w:val="lowerRoman"/>
      <w:lvlText w:val="%6."/>
      <w:lvlJc w:val="right"/>
      <w:pPr>
        <w:tabs>
          <w:tab w:val="num" w:pos="3993"/>
        </w:tabs>
        <w:ind w:left="3993" w:hanging="180"/>
      </w:pPr>
    </w:lvl>
    <w:lvl w:ilvl="6" w:tplc="0809000F" w:tentative="1">
      <w:start w:val="1"/>
      <w:numFmt w:val="decimal"/>
      <w:lvlText w:val="%7."/>
      <w:lvlJc w:val="left"/>
      <w:pPr>
        <w:tabs>
          <w:tab w:val="num" w:pos="4713"/>
        </w:tabs>
        <w:ind w:left="4713" w:hanging="360"/>
      </w:pPr>
    </w:lvl>
    <w:lvl w:ilvl="7" w:tplc="08090019" w:tentative="1">
      <w:start w:val="1"/>
      <w:numFmt w:val="lowerLetter"/>
      <w:lvlText w:val="%8."/>
      <w:lvlJc w:val="left"/>
      <w:pPr>
        <w:tabs>
          <w:tab w:val="num" w:pos="5433"/>
        </w:tabs>
        <w:ind w:left="5433" w:hanging="360"/>
      </w:pPr>
    </w:lvl>
    <w:lvl w:ilvl="8" w:tplc="0809001B" w:tentative="1">
      <w:start w:val="1"/>
      <w:numFmt w:val="lowerRoman"/>
      <w:lvlText w:val="%9."/>
      <w:lvlJc w:val="right"/>
      <w:pPr>
        <w:tabs>
          <w:tab w:val="num" w:pos="6153"/>
        </w:tabs>
        <w:ind w:left="6153" w:hanging="180"/>
      </w:pPr>
    </w:lvl>
  </w:abstractNum>
  <w:abstractNum w:abstractNumId="12">
    <w:nsid w:val="45EF15E0"/>
    <w:multiLevelType w:val="hybridMultilevel"/>
    <w:tmpl w:val="79F40DEE"/>
    <w:lvl w:ilvl="0" w:tplc="1D6E585E">
      <w:start w:val="2"/>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A124E85"/>
    <w:multiLevelType w:val="hybridMultilevel"/>
    <w:tmpl w:val="ABECEFBE"/>
    <w:lvl w:ilvl="0" w:tplc="08090011">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nsid w:val="53DA21B5"/>
    <w:multiLevelType w:val="multilevel"/>
    <w:tmpl w:val="9AC4C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C903B7"/>
    <w:multiLevelType w:val="multilevel"/>
    <w:tmpl w:val="6256D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D2D531A"/>
    <w:multiLevelType w:val="hybridMultilevel"/>
    <w:tmpl w:val="BFD005DC"/>
    <w:lvl w:ilvl="0" w:tplc="08090011">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5EBA60F4"/>
    <w:multiLevelType w:val="multilevel"/>
    <w:tmpl w:val="80420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0EF0255"/>
    <w:multiLevelType w:val="hybridMultilevel"/>
    <w:tmpl w:val="EE5E2336"/>
    <w:lvl w:ilvl="0" w:tplc="51442432">
      <w:start w:val="2"/>
      <w:numFmt w:val="lowerLetter"/>
      <w:lvlText w:val="%1)"/>
      <w:lvlJc w:val="left"/>
      <w:pPr>
        <w:tabs>
          <w:tab w:val="num" w:pos="720"/>
        </w:tabs>
        <w:ind w:left="720" w:hanging="36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nsid w:val="64A304F8"/>
    <w:multiLevelType w:val="hybridMultilevel"/>
    <w:tmpl w:val="28627CA2"/>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6B443DE"/>
    <w:multiLevelType w:val="multilevel"/>
    <w:tmpl w:val="6C50B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A5A5BFB"/>
    <w:multiLevelType w:val="hybridMultilevel"/>
    <w:tmpl w:val="8D4C15B8"/>
    <w:lvl w:ilvl="0" w:tplc="E97CFDDC">
      <w:start w:val="2"/>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D884B45"/>
    <w:multiLevelType w:val="hybridMultilevel"/>
    <w:tmpl w:val="7CA4096C"/>
    <w:lvl w:ilvl="0" w:tplc="B7DCF8EC">
      <w:start w:val="1"/>
      <w:numFmt w:val="decimal"/>
      <w:lvlText w:val="%1)"/>
      <w:lvlJc w:val="left"/>
      <w:pPr>
        <w:tabs>
          <w:tab w:val="num" w:pos="720"/>
        </w:tabs>
        <w:ind w:left="720" w:hanging="36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nsid w:val="75865688"/>
    <w:multiLevelType w:val="hybridMultilevel"/>
    <w:tmpl w:val="1406B138"/>
    <w:lvl w:ilvl="0" w:tplc="08090011">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19"/>
  </w:num>
  <w:num w:numId="2">
    <w:abstractNumId w:val="20"/>
  </w:num>
  <w:num w:numId="3">
    <w:abstractNumId w:val="17"/>
  </w:num>
  <w:num w:numId="4">
    <w:abstractNumId w:val="16"/>
  </w:num>
  <w:num w:numId="5">
    <w:abstractNumId w:val="3"/>
  </w:num>
  <w:num w:numId="6">
    <w:abstractNumId w:val="4"/>
  </w:num>
  <w:num w:numId="7">
    <w:abstractNumId w:val="13"/>
  </w:num>
  <w:num w:numId="8">
    <w:abstractNumId w:val="5"/>
  </w:num>
  <w:num w:numId="9">
    <w:abstractNumId w:val="9"/>
  </w:num>
  <w:num w:numId="10">
    <w:abstractNumId w:val="23"/>
  </w:num>
  <w:num w:numId="11">
    <w:abstractNumId w:val="7"/>
  </w:num>
  <w:num w:numId="12">
    <w:abstractNumId w:val="1"/>
  </w:num>
  <w:num w:numId="13">
    <w:abstractNumId w:val="0"/>
  </w:num>
  <w:num w:numId="14">
    <w:abstractNumId w:val="6"/>
  </w:num>
  <w:num w:numId="15">
    <w:abstractNumId w:val="8"/>
  </w:num>
  <w:num w:numId="16">
    <w:abstractNumId w:val="11"/>
  </w:num>
  <w:num w:numId="17">
    <w:abstractNumId w:val="18"/>
  </w:num>
  <w:num w:numId="18">
    <w:abstractNumId w:val="22"/>
  </w:num>
  <w:num w:numId="19">
    <w:abstractNumId w:val="2"/>
  </w:num>
  <w:num w:numId="20">
    <w:abstractNumId w:val="21"/>
  </w:num>
  <w:num w:numId="21">
    <w:abstractNumId w:val="12"/>
  </w:num>
  <w:num w:numId="22">
    <w:abstractNumId w:val="10"/>
  </w:num>
  <w:num w:numId="23">
    <w:abstractNumId w:val="14"/>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mirrorMargins/>
  <w:proofState w:grammar="clean"/>
  <w:defaultTabStop w:val="720"/>
  <w:evenAndOddHeaders/>
  <w:characterSpacingControl w:val="doNotCompress"/>
  <w:hdrShapeDefaults>
    <o:shapedefaults v:ext="edit" spidmax="6145"/>
  </w:hdrShapeDefaults>
  <w:footnotePr>
    <w:numFmt w:val="lowerRoman"/>
    <w:numRestart w:val="eachSect"/>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A1D"/>
    <w:rsid w:val="0000185F"/>
    <w:rsid w:val="000160ED"/>
    <w:rsid w:val="00017FDE"/>
    <w:rsid w:val="00021E54"/>
    <w:rsid w:val="0002218A"/>
    <w:rsid w:val="00024CA8"/>
    <w:rsid w:val="00024E1E"/>
    <w:rsid w:val="00032B41"/>
    <w:rsid w:val="000335FC"/>
    <w:rsid w:val="000410F5"/>
    <w:rsid w:val="00041850"/>
    <w:rsid w:val="00041C36"/>
    <w:rsid w:val="000428B8"/>
    <w:rsid w:val="000524B0"/>
    <w:rsid w:val="000525C4"/>
    <w:rsid w:val="000549F0"/>
    <w:rsid w:val="000575BB"/>
    <w:rsid w:val="000600F4"/>
    <w:rsid w:val="00067146"/>
    <w:rsid w:val="000677CB"/>
    <w:rsid w:val="0008030C"/>
    <w:rsid w:val="00082497"/>
    <w:rsid w:val="0008585B"/>
    <w:rsid w:val="00095F12"/>
    <w:rsid w:val="00096953"/>
    <w:rsid w:val="000972E6"/>
    <w:rsid w:val="000A0E03"/>
    <w:rsid w:val="000A3719"/>
    <w:rsid w:val="000A6DF2"/>
    <w:rsid w:val="000C198D"/>
    <w:rsid w:val="000C1D1A"/>
    <w:rsid w:val="000D402D"/>
    <w:rsid w:val="000D45C2"/>
    <w:rsid w:val="000E0F11"/>
    <w:rsid w:val="000E2FAB"/>
    <w:rsid w:val="000E3118"/>
    <w:rsid w:val="000F1F57"/>
    <w:rsid w:val="000F75DD"/>
    <w:rsid w:val="0010028B"/>
    <w:rsid w:val="00113AA6"/>
    <w:rsid w:val="00123305"/>
    <w:rsid w:val="00126BAD"/>
    <w:rsid w:val="00126C65"/>
    <w:rsid w:val="00133CB4"/>
    <w:rsid w:val="001349B7"/>
    <w:rsid w:val="00135984"/>
    <w:rsid w:val="00136098"/>
    <w:rsid w:val="00140686"/>
    <w:rsid w:val="00150D2A"/>
    <w:rsid w:val="00162DC6"/>
    <w:rsid w:val="001650CA"/>
    <w:rsid w:val="0016696D"/>
    <w:rsid w:val="001706F8"/>
    <w:rsid w:val="00182FF7"/>
    <w:rsid w:val="00184EBF"/>
    <w:rsid w:val="0018611E"/>
    <w:rsid w:val="00191C8B"/>
    <w:rsid w:val="001A40E8"/>
    <w:rsid w:val="001A565F"/>
    <w:rsid w:val="001C2F9B"/>
    <w:rsid w:val="001C32FB"/>
    <w:rsid w:val="001C419A"/>
    <w:rsid w:val="001D3C58"/>
    <w:rsid w:val="001E20DE"/>
    <w:rsid w:val="001E6CA3"/>
    <w:rsid w:val="001F1A31"/>
    <w:rsid w:val="00207242"/>
    <w:rsid w:val="00207BC3"/>
    <w:rsid w:val="002154DE"/>
    <w:rsid w:val="00217F60"/>
    <w:rsid w:val="00221157"/>
    <w:rsid w:val="00225AA3"/>
    <w:rsid w:val="00232E17"/>
    <w:rsid w:val="00234C1D"/>
    <w:rsid w:val="0023687D"/>
    <w:rsid w:val="00236B58"/>
    <w:rsid w:val="00241984"/>
    <w:rsid w:val="00245F98"/>
    <w:rsid w:val="00252553"/>
    <w:rsid w:val="0025344F"/>
    <w:rsid w:val="002537F3"/>
    <w:rsid w:val="0025673E"/>
    <w:rsid w:val="00256D7D"/>
    <w:rsid w:val="0027121A"/>
    <w:rsid w:val="00274424"/>
    <w:rsid w:val="002750AB"/>
    <w:rsid w:val="00282E6D"/>
    <w:rsid w:val="00284E78"/>
    <w:rsid w:val="00286727"/>
    <w:rsid w:val="002A3EBE"/>
    <w:rsid w:val="002A4905"/>
    <w:rsid w:val="002A7884"/>
    <w:rsid w:val="002B07CD"/>
    <w:rsid w:val="002B3508"/>
    <w:rsid w:val="002B68A3"/>
    <w:rsid w:val="002B7C43"/>
    <w:rsid w:val="002C1E23"/>
    <w:rsid w:val="002C2F3E"/>
    <w:rsid w:val="002D2909"/>
    <w:rsid w:val="002D3A68"/>
    <w:rsid w:val="002D4EEC"/>
    <w:rsid w:val="002E0E7F"/>
    <w:rsid w:val="002F1268"/>
    <w:rsid w:val="002F4063"/>
    <w:rsid w:val="002F44B3"/>
    <w:rsid w:val="002F52A1"/>
    <w:rsid w:val="002F5C76"/>
    <w:rsid w:val="002F6ACC"/>
    <w:rsid w:val="003068DC"/>
    <w:rsid w:val="003073D9"/>
    <w:rsid w:val="00311CB4"/>
    <w:rsid w:val="003209FA"/>
    <w:rsid w:val="003242A4"/>
    <w:rsid w:val="0033100F"/>
    <w:rsid w:val="0033117D"/>
    <w:rsid w:val="00334001"/>
    <w:rsid w:val="00334385"/>
    <w:rsid w:val="0033684E"/>
    <w:rsid w:val="00337830"/>
    <w:rsid w:val="00342EC2"/>
    <w:rsid w:val="00347052"/>
    <w:rsid w:val="00350B5D"/>
    <w:rsid w:val="00362D9F"/>
    <w:rsid w:val="003656DE"/>
    <w:rsid w:val="00370B99"/>
    <w:rsid w:val="00375C63"/>
    <w:rsid w:val="0038099E"/>
    <w:rsid w:val="0038364A"/>
    <w:rsid w:val="00383AEB"/>
    <w:rsid w:val="0038569D"/>
    <w:rsid w:val="00385845"/>
    <w:rsid w:val="003862B8"/>
    <w:rsid w:val="00387D9C"/>
    <w:rsid w:val="00390712"/>
    <w:rsid w:val="003913AC"/>
    <w:rsid w:val="003946F0"/>
    <w:rsid w:val="003964A0"/>
    <w:rsid w:val="00396A1B"/>
    <w:rsid w:val="00396F25"/>
    <w:rsid w:val="003A11CA"/>
    <w:rsid w:val="003A7B1E"/>
    <w:rsid w:val="003B1378"/>
    <w:rsid w:val="003B383C"/>
    <w:rsid w:val="003B66AB"/>
    <w:rsid w:val="003C66B0"/>
    <w:rsid w:val="003C7617"/>
    <w:rsid w:val="003D0877"/>
    <w:rsid w:val="003D3148"/>
    <w:rsid w:val="003D35A5"/>
    <w:rsid w:val="003D367B"/>
    <w:rsid w:val="003D3CED"/>
    <w:rsid w:val="003F0D0C"/>
    <w:rsid w:val="00407FB7"/>
    <w:rsid w:val="00411DBE"/>
    <w:rsid w:val="00412818"/>
    <w:rsid w:val="00420657"/>
    <w:rsid w:val="00423152"/>
    <w:rsid w:val="0043266B"/>
    <w:rsid w:val="004329AD"/>
    <w:rsid w:val="00442D33"/>
    <w:rsid w:val="00447BF4"/>
    <w:rsid w:val="00454403"/>
    <w:rsid w:val="00455168"/>
    <w:rsid w:val="00455566"/>
    <w:rsid w:val="0045566C"/>
    <w:rsid w:val="00455E1F"/>
    <w:rsid w:val="00472289"/>
    <w:rsid w:val="0047257C"/>
    <w:rsid w:val="0047374A"/>
    <w:rsid w:val="00475D7F"/>
    <w:rsid w:val="00486516"/>
    <w:rsid w:val="004934C7"/>
    <w:rsid w:val="004939E6"/>
    <w:rsid w:val="0049447A"/>
    <w:rsid w:val="004A23BB"/>
    <w:rsid w:val="004A36BD"/>
    <w:rsid w:val="004A579B"/>
    <w:rsid w:val="004A7258"/>
    <w:rsid w:val="004B0EAA"/>
    <w:rsid w:val="004C05DC"/>
    <w:rsid w:val="004C3EAB"/>
    <w:rsid w:val="004C625E"/>
    <w:rsid w:val="004D7049"/>
    <w:rsid w:val="004E5227"/>
    <w:rsid w:val="004E6B17"/>
    <w:rsid w:val="004F4CAA"/>
    <w:rsid w:val="004F6C60"/>
    <w:rsid w:val="005002DD"/>
    <w:rsid w:val="00500A3D"/>
    <w:rsid w:val="00500BE4"/>
    <w:rsid w:val="00506FF5"/>
    <w:rsid w:val="0051152B"/>
    <w:rsid w:val="005336C3"/>
    <w:rsid w:val="00537824"/>
    <w:rsid w:val="0054009D"/>
    <w:rsid w:val="005448BD"/>
    <w:rsid w:val="0055207F"/>
    <w:rsid w:val="005530A8"/>
    <w:rsid w:val="00555034"/>
    <w:rsid w:val="00555B3B"/>
    <w:rsid w:val="00555CCD"/>
    <w:rsid w:val="005568FA"/>
    <w:rsid w:val="00557B0B"/>
    <w:rsid w:val="00561F2B"/>
    <w:rsid w:val="005722EC"/>
    <w:rsid w:val="00577AD3"/>
    <w:rsid w:val="00580C63"/>
    <w:rsid w:val="00581564"/>
    <w:rsid w:val="00581592"/>
    <w:rsid w:val="00591424"/>
    <w:rsid w:val="00592EDA"/>
    <w:rsid w:val="00593272"/>
    <w:rsid w:val="0059379F"/>
    <w:rsid w:val="00595458"/>
    <w:rsid w:val="00596B37"/>
    <w:rsid w:val="005976AD"/>
    <w:rsid w:val="005A0FCF"/>
    <w:rsid w:val="005A15C4"/>
    <w:rsid w:val="005C2162"/>
    <w:rsid w:val="005C22DF"/>
    <w:rsid w:val="005C35EC"/>
    <w:rsid w:val="005D06FC"/>
    <w:rsid w:val="005D1C17"/>
    <w:rsid w:val="005D20B9"/>
    <w:rsid w:val="005D54BF"/>
    <w:rsid w:val="005D6C2A"/>
    <w:rsid w:val="005D7D27"/>
    <w:rsid w:val="005E063F"/>
    <w:rsid w:val="005E1073"/>
    <w:rsid w:val="005E1DF3"/>
    <w:rsid w:val="005E3315"/>
    <w:rsid w:val="005F18ED"/>
    <w:rsid w:val="005F397F"/>
    <w:rsid w:val="005F681A"/>
    <w:rsid w:val="0061211E"/>
    <w:rsid w:val="00616C1F"/>
    <w:rsid w:val="006304AD"/>
    <w:rsid w:val="006355DD"/>
    <w:rsid w:val="00646D59"/>
    <w:rsid w:val="0064743A"/>
    <w:rsid w:val="00652BAB"/>
    <w:rsid w:val="006540A5"/>
    <w:rsid w:val="00654B7D"/>
    <w:rsid w:val="006627E1"/>
    <w:rsid w:val="00662FDD"/>
    <w:rsid w:val="00667D17"/>
    <w:rsid w:val="00670DB0"/>
    <w:rsid w:val="00670E58"/>
    <w:rsid w:val="00671286"/>
    <w:rsid w:val="00682C3D"/>
    <w:rsid w:val="00683E7A"/>
    <w:rsid w:val="00686B62"/>
    <w:rsid w:val="006919A7"/>
    <w:rsid w:val="006933A3"/>
    <w:rsid w:val="006A2E06"/>
    <w:rsid w:val="006A757A"/>
    <w:rsid w:val="006B1B95"/>
    <w:rsid w:val="006B2410"/>
    <w:rsid w:val="006B7250"/>
    <w:rsid w:val="006C061B"/>
    <w:rsid w:val="006C276E"/>
    <w:rsid w:val="006C4DF5"/>
    <w:rsid w:val="006D1354"/>
    <w:rsid w:val="006D212A"/>
    <w:rsid w:val="006E0074"/>
    <w:rsid w:val="006E242D"/>
    <w:rsid w:val="006E3F28"/>
    <w:rsid w:val="006F0023"/>
    <w:rsid w:val="006F0F07"/>
    <w:rsid w:val="006F1D19"/>
    <w:rsid w:val="006F7F8D"/>
    <w:rsid w:val="00710601"/>
    <w:rsid w:val="00710C9C"/>
    <w:rsid w:val="00713906"/>
    <w:rsid w:val="00715F13"/>
    <w:rsid w:val="00717487"/>
    <w:rsid w:val="00732128"/>
    <w:rsid w:val="00751AD4"/>
    <w:rsid w:val="0075462D"/>
    <w:rsid w:val="00756EB6"/>
    <w:rsid w:val="00761B63"/>
    <w:rsid w:val="0076718B"/>
    <w:rsid w:val="007710E7"/>
    <w:rsid w:val="00774539"/>
    <w:rsid w:val="00774B0E"/>
    <w:rsid w:val="007835AF"/>
    <w:rsid w:val="007933C9"/>
    <w:rsid w:val="007B3FD3"/>
    <w:rsid w:val="007B7B14"/>
    <w:rsid w:val="007C1A1D"/>
    <w:rsid w:val="007C6DE6"/>
    <w:rsid w:val="007D1D1A"/>
    <w:rsid w:val="007D2FEA"/>
    <w:rsid w:val="007D34C5"/>
    <w:rsid w:val="007D433B"/>
    <w:rsid w:val="007E3C25"/>
    <w:rsid w:val="007E405C"/>
    <w:rsid w:val="007E55B7"/>
    <w:rsid w:val="007F0BEE"/>
    <w:rsid w:val="007F56E4"/>
    <w:rsid w:val="007F6F53"/>
    <w:rsid w:val="0080167B"/>
    <w:rsid w:val="0080321E"/>
    <w:rsid w:val="00803743"/>
    <w:rsid w:val="008073FF"/>
    <w:rsid w:val="00810EDA"/>
    <w:rsid w:val="00811172"/>
    <w:rsid w:val="00811F34"/>
    <w:rsid w:val="00815AAA"/>
    <w:rsid w:val="00821108"/>
    <w:rsid w:val="00826039"/>
    <w:rsid w:val="00826C22"/>
    <w:rsid w:val="00835F96"/>
    <w:rsid w:val="00840276"/>
    <w:rsid w:val="00840F22"/>
    <w:rsid w:val="00841D16"/>
    <w:rsid w:val="008457FD"/>
    <w:rsid w:val="00847BDA"/>
    <w:rsid w:val="00851A6C"/>
    <w:rsid w:val="00852749"/>
    <w:rsid w:val="0085515C"/>
    <w:rsid w:val="0086247D"/>
    <w:rsid w:val="00866E34"/>
    <w:rsid w:val="00877898"/>
    <w:rsid w:val="0088005F"/>
    <w:rsid w:val="00886213"/>
    <w:rsid w:val="0088722E"/>
    <w:rsid w:val="0089256C"/>
    <w:rsid w:val="0089272F"/>
    <w:rsid w:val="008A14C8"/>
    <w:rsid w:val="008A6958"/>
    <w:rsid w:val="008A6C1D"/>
    <w:rsid w:val="008B4835"/>
    <w:rsid w:val="008B6695"/>
    <w:rsid w:val="008C364B"/>
    <w:rsid w:val="008C5090"/>
    <w:rsid w:val="008C70EE"/>
    <w:rsid w:val="008D27B0"/>
    <w:rsid w:val="008D2E51"/>
    <w:rsid w:val="008D4C6E"/>
    <w:rsid w:val="008D61EC"/>
    <w:rsid w:val="008E1FEB"/>
    <w:rsid w:val="008E614C"/>
    <w:rsid w:val="008F1C93"/>
    <w:rsid w:val="008F2C94"/>
    <w:rsid w:val="008F6A55"/>
    <w:rsid w:val="009005D1"/>
    <w:rsid w:val="00902176"/>
    <w:rsid w:val="00902BAA"/>
    <w:rsid w:val="009032A8"/>
    <w:rsid w:val="009138D4"/>
    <w:rsid w:val="009148E0"/>
    <w:rsid w:val="0091506C"/>
    <w:rsid w:val="009220C5"/>
    <w:rsid w:val="00932DBF"/>
    <w:rsid w:val="009357AC"/>
    <w:rsid w:val="00935C95"/>
    <w:rsid w:val="009418E6"/>
    <w:rsid w:val="009433D5"/>
    <w:rsid w:val="00960ABA"/>
    <w:rsid w:val="0096195D"/>
    <w:rsid w:val="009702D9"/>
    <w:rsid w:val="00971FEE"/>
    <w:rsid w:val="00975183"/>
    <w:rsid w:val="00980354"/>
    <w:rsid w:val="009860D3"/>
    <w:rsid w:val="0099257E"/>
    <w:rsid w:val="009C1734"/>
    <w:rsid w:val="009C1758"/>
    <w:rsid w:val="009D6F65"/>
    <w:rsid w:val="009E053D"/>
    <w:rsid w:val="009E413D"/>
    <w:rsid w:val="009E6B5C"/>
    <w:rsid w:val="009F0719"/>
    <w:rsid w:val="009F0BCE"/>
    <w:rsid w:val="009F1804"/>
    <w:rsid w:val="009F6529"/>
    <w:rsid w:val="00A04A9C"/>
    <w:rsid w:val="00A05318"/>
    <w:rsid w:val="00A064AC"/>
    <w:rsid w:val="00A06A23"/>
    <w:rsid w:val="00A10CD2"/>
    <w:rsid w:val="00A1363A"/>
    <w:rsid w:val="00A208C0"/>
    <w:rsid w:val="00A21573"/>
    <w:rsid w:val="00A23692"/>
    <w:rsid w:val="00A27C41"/>
    <w:rsid w:val="00A34BF3"/>
    <w:rsid w:val="00A4159F"/>
    <w:rsid w:val="00A44CBC"/>
    <w:rsid w:val="00A46286"/>
    <w:rsid w:val="00A46480"/>
    <w:rsid w:val="00A467D9"/>
    <w:rsid w:val="00A50480"/>
    <w:rsid w:val="00A52C87"/>
    <w:rsid w:val="00A57137"/>
    <w:rsid w:val="00A604C6"/>
    <w:rsid w:val="00A65D7B"/>
    <w:rsid w:val="00A71419"/>
    <w:rsid w:val="00A74907"/>
    <w:rsid w:val="00A76F4D"/>
    <w:rsid w:val="00A83374"/>
    <w:rsid w:val="00A83A83"/>
    <w:rsid w:val="00A862EB"/>
    <w:rsid w:val="00A900B0"/>
    <w:rsid w:val="00A91054"/>
    <w:rsid w:val="00A954A1"/>
    <w:rsid w:val="00AA549C"/>
    <w:rsid w:val="00AA6EEC"/>
    <w:rsid w:val="00AB1E0D"/>
    <w:rsid w:val="00AD3AC5"/>
    <w:rsid w:val="00AD647E"/>
    <w:rsid w:val="00AE3E27"/>
    <w:rsid w:val="00AE4621"/>
    <w:rsid w:val="00AE4E54"/>
    <w:rsid w:val="00AE6725"/>
    <w:rsid w:val="00B0042C"/>
    <w:rsid w:val="00B02BF6"/>
    <w:rsid w:val="00B04418"/>
    <w:rsid w:val="00B07C98"/>
    <w:rsid w:val="00B1131B"/>
    <w:rsid w:val="00B14CA0"/>
    <w:rsid w:val="00B15F42"/>
    <w:rsid w:val="00B211B7"/>
    <w:rsid w:val="00B21F66"/>
    <w:rsid w:val="00B27FEC"/>
    <w:rsid w:val="00B31BD3"/>
    <w:rsid w:val="00B345D4"/>
    <w:rsid w:val="00B34C45"/>
    <w:rsid w:val="00B4052A"/>
    <w:rsid w:val="00B44C12"/>
    <w:rsid w:val="00B4627D"/>
    <w:rsid w:val="00B525E6"/>
    <w:rsid w:val="00B53CF5"/>
    <w:rsid w:val="00B53F2D"/>
    <w:rsid w:val="00B73D27"/>
    <w:rsid w:val="00B76429"/>
    <w:rsid w:val="00B804B6"/>
    <w:rsid w:val="00B80A24"/>
    <w:rsid w:val="00B91AD8"/>
    <w:rsid w:val="00B91EAF"/>
    <w:rsid w:val="00B96495"/>
    <w:rsid w:val="00BA089E"/>
    <w:rsid w:val="00BA6C26"/>
    <w:rsid w:val="00BB17C2"/>
    <w:rsid w:val="00BB2AD0"/>
    <w:rsid w:val="00BB2F68"/>
    <w:rsid w:val="00BB4442"/>
    <w:rsid w:val="00BB4899"/>
    <w:rsid w:val="00BC32F5"/>
    <w:rsid w:val="00BC4D08"/>
    <w:rsid w:val="00BC5F0F"/>
    <w:rsid w:val="00BD331E"/>
    <w:rsid w:val="00BD6C5E"/>
    <w:rsid w:val="00BE18DC"/>
    <w:rsid w:val="00BF1169"/>
    <w:rsid w:val="00BF1F06"/>
    <w:rsid w:val="00C11F1D"/>
    <w:rsid w:val="00C14141"/>
    <w:rsid w:val="00C164DC"/>
    <w:rsid w:val="00C17738"/>
    <w:rsid w:val="00C21115"/>
    <w:rsid w:val="00C25268"/>
    <w:rsid w:val="00C331E7"/>
    <w:rsid w:val="00C355EF"/>
    <w:rsid w:val="00C42EF2"/>
    <w:rsid w:val="00C432DA"/>
    <w:rsid w:val="00C531DC"/>
    <w:rsid w:val="00C563BA"/>
    <w:rsid w:val="00C60261"/>
    <w:rsid w:val="00C62C9C"/>
    <w:rsid w:val="00C72D1C"/>
    <w:rsid w:val="00C72F79"/>
    <w:rsid w:val="00C7790D"/>
    <w:rsid w:val="00C87522"/>
    <w:rsid w:val="00C9096F"/>
    <w:rsid w:val="00C9216B"/>
    <w:rsid w:val="00C9539D"/>
    <w:rsid w:val="00C968AE"/>
    <w:rsid w:val="00C97CD7"/>
    <w:rsid w:val="00CA1450"/>
    <w:rsid w:val="00CA6112"/>
    <w:rsid w:val="00CB16E2"/>
    <w:rsid w:val="00CB4ABE"/>
    <w:rsid w:val="00CB74FD"/>
    <w:rsid w:val="00CC705D"/>
    <w:rsid w:val="00CD49BB"/>
    <w:rsid w:val="00CE2C2A"/>
    <w:rsid w:val="00CF12D8"/>
    <w:rsid w:val="00CF2D01"/>
    <w:rsid w:val="00CF4A4D"/>
    <w:rsid w:val="00CF72DC"/>
    <w:rsid w:val="00D01936"/>
    <w:rsid w:val="00D044B5"/>
    <w:rsid w:val="00D052CC"/>
    <w:rsid w:val="00D05762"/>
    <w:rsid w:val="00D07894"/>
    <w:rsid w:val="00D167A9"/>
    <w:rsid w:val="00D16A42"/>
    <w:rsid w:val="00D17FEB"/>
    <w:rsid w:val="00D2087D"/>
    <w:rsid w:val="00D26055"/>
    <w:rsid w:val="00D2643A"/>
    <w:rsid w:val="00D43F4D"/>
    <w:rsid w:val="00D45EE2"/>
    <w:rsid w:val="00D636CB"/>
    <w:rsid w:val="00D7103D"/>
    <w:rsid w:val="00D71A96"/>
    <w:rsid w:val="00D73C79"/>
    <w:rsid w:val="00D75953"/>
    <w:rsid w:val="00D76B86"/>
    <w:rsid w:val="00D80326"/>
    <w:rsid w:val="00D82878"/>
    <w:rsid w:val="00D853C5"/>
    <w:rsid w:val="00D85C89"/>
    <w:rsid w:val="00D90FE2"/>
    <w:rsid w:val="00DB07DD"/>
    <w:rsid w:val="00DB2906"/>
    <w:rsid w:val="00DC0EF0"/>
    <w:rsid w:val="00DC1C61"/>
    <w:rsid w:val="00DC341A"/>
    <w:rsid w:val="00DC422F"/>
    <w:rsid w:val="00DC5835"/>
    <w:rsid w:val="00DC6E29"/>
    <w:rsid w:val="00DD0B21"/>
    <w:rsid w:val="00DD33A2"/>
    <w:rsid w:val="00DE1A7C"/>
    <w:rsid w:val="00DE4A34"/>
    <w:rsid w:val="00DE78AA"/>
    <w:rsid w:val="00DE7E39"/>
    <w:rsid w:val="00DF5751"/>
    <w:rsid w:val="00E04231"/>
    <w:rsid w:val="00E160BD"/>
    <w:rsid w:val="00E31928"/>
    <w:rsid w:val="00E33DF3"/>
    <w:rsid w:val="00E34CFB"/>
    <w:rsid w:val="00E46000"/>
    <w:rsid w:val="00E522C1"/>
    <w:rsid w:val="00E53373"/>
    <w:rsid w:val="00E535FE"/>
    <w:rsid w:val="00E576C8"/>
    <w:rsid w:val="00E60CFA"/>
    <w:rsid w:val="00E6109F"/>
    <w:rsid w:val="00E61700"/>
    <w:rsid w:val="00E72D33"/>
    <w:rsid w:val="00E7440C"/>
    <w:rsid w:val="00E77436"/>
    <w:rsid w:val="00E82DBE"/>
    <w:rsid w:val="00E83DE5"/>
    <w:rsid w:val="00E921B6"/>
    <w:rsid w:val="00EA0548"/>
    <w:rsid w:val="00EB0C81"/>
    <w:rsid w:val="00EB0E29"/>
    <w:rsid w:val="00EB21C6"/>
    <w:rsid w:val="00ED1F83"/>
    <w:rsid w:val="00ED6C86"/>
    <w:rsid w:val="00EE4675"/>
    <w:rsid w:val="00EE7BFF"/>
    <w:rsid w:val="00EF5727"/>
    <w:rsid w:val="00EF5AE3"/>
    <w:rsid w:val="00F01B39"/>
    <w:rsid w:val="00F1470F"/>
    <w:rsid w:val="00F15086"/>
    <w:rsid w:val="00F158B7"/>
    <w:rsid w:val="00F15CC5"/>
    <w:rsid w:val="00F16898"/>
    <w:rsid w:val="00F222A7"/>
    <w:rsid w:val="00F24AB4"/>
    <w:rsid w:val="00F24B30"/>
    <w:rsid w:val="00F319E0"/>
    <w:rsid w:val="00F31C0D"/>
    <w:rsid w:val="00F321A0"/>
    <w:rsid w:val="00F37517"/>
    <w:rsid w:val="00F37FA0"/>
    <w:rsid w:val="00F40C8E"/>
    <w:rsid w:val="00F502BB"/>
    <w:rsid w:val="00F5188D"/>
    <w:rsid w:val="00F51C87"/>
    <w:rsid w:val="00F63ED3"/>
    <w:rsid w:val="00F64711"/>
    <w:rsid w:val="00F6788A"/>
    <w:rsid w:val="00F67FD5"/>
    <w:rsid w:val="00F72AD9"/>
    <w:rsid w:val="00F73215"/>
    <w:rsid w:val="00F73FDE"/>
    <w:rsid w:val="00F81942"/>
    <w:rsid w:val="00F83133"/>
    <w:rsid w:val="00F83208"/>
    <w:rsid w:val="00F8592F"/>
    <w:rsid w:val="00F91838"/>
    <w:rsid w:val="00F956E7"/>
    <w:rsid w:val="00F96441"/>
    <w:rsid w:val="00FB643D"/>
    <w:rsid w:val="00FB706F"/>
    <w:rsid w:val="00FC3CAB"/>
    <w:rsid w:val="00FC6E14"/>
    <w:rsid w:val="00FD58F3"/>
    <w:rsid w:val="00FD692B"/>
    <w:rsid w:val="00FE4A57"/>
    <w:rsid w:val="00FE50D0"/>
    <w:rsid w:val="00FF72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tim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Theme="minorHAnsi" w:hAnsi="Perpetua"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1" w:qFormat="1"/>
    <w:lsdException w:name="heading 7" w:uiPriority="9"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821108"/>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821108"/>
    <w:pPr>
      <w:keepNext/>
      <w:spacing w:before="240" w:after="60" w:line="240" w:lineRule="auto"/>
      <w:outlineLvl w:val="1"/>
    </w:pPr>
    <w:rPr>
      <w:rFonts w:ascii="Arial" w:eastAsia="Times New Roman" w:hAnsi="Arial" w:cs="Arial"/>
      <w:b/>
      <w:bCs/>
      <w:i/>
      <w:iCs/>
      <w:sz w:val="28"/>
      <w:szCs w:val="28"/>
    </w:rPr>
  </w:style>
  <w:style w:type="paragraph" w:styleId="Heading3">
    <w:name w:val="heading 3"/>
    <w:basedOn w:val="Normal"/>
    <w:next w:val="Normal"/>
    <w:link w:val="Heading3Char"/>
    <w:qFormat/>
    <w:rsid w:val="00821108"/>
    <w:pPr>
      <w:keepNext/>
      <w:spacing w:before="240" w:after="60" w:line="240" w:lineRule="auto"/>
      <w:outlineLvl w:val="2"/>
    </w:pPr>
    <w:rPr>
      <w:rFonts w:ascii="Arial" w:eastAsia="Times New Roman" w:hAnsi="Arial" w:cs="Arial"/>
      <w:b/>
      <w:bCs/>
      <w:sz w:val="26"/>
      <w:szCs w:val="26"/>
    </w:rPr>
  </w:style>
  <w:style w:type="paragraph" w:styleId="Heading4">
    <w:name w:val="heading 4"/>
    <w:basedOn w:val="Normal"/>
    <w:link w:val="Heading4Char"/>
    <w:qFormat/>
    <w:rsid w:val="00821108"/>
    <w:pPr>
      <w:spacing w:before="100" w:beforeAutospacing="1" w:after="100" w:afterAutospacing="1" w:line="240" w:lineRule="auto"/>
      <w:outlineLvl w:val="3"/>
    </w:pPr>
    <w:rPr>
      <w:rFonts w:ascii="Times New Roman" w:eastAsia="Times New Roman" w:hAnsi="Times New Roman" w:cs="Times New Roman"/>
      <w:b/>
      <w:bCs/>
      <w:sz w:val="24"/>
      <w:szCs w:val="24"/>
      <w:lang w:val="en-US"/>
    </w:rPr>
  </w:style>
  <w:style w:type="paragraph" w:styleId="Heading5">
    <w:name w:val="heading 5"/>
    <w:basedOn w:val="Normal"/>
    <w:link w:val="Heading5Char"/>
    <w:qFormat/>
    <w:rsid w:val="00821108"/>
    <w:pPr>
      <w:spacing w:before="100" w:beforeAutospacing="1" w:after="100" w:afterAutospacing="1" w:line="240" w:lineRule="auto"/>
      <w:outlineLvl w:val="4"/>
    </w:pPr>
    <w:rPr>
      <w:rFonts w:ascii="Times New Roman" w:eastAsia="Times New Roman" w:hAnsi="Times New Roman" w:cs="Times New Roman"/>
      <w:b/>
      <w:bCs/>
      <w:sz w:val="20"/>
      <w:szCs w:val="20"/>
      <w:lang w:val="en-US"/>
    </w:rPr>
  </w:style>
  <w:style w:type="paragraph" w:styleId="Heading6">
    <w:name w:val="heading 6"/>
    <w:basedOn w:val="Normal"/>
    <w:link w:val="Heading6Char"/>
    <w:uiPriority w:val="1"/>
    <w:qFormat/>
    <w:rsid w:val="00821108"/>
    <w:pPr>
      <w:widowControl w:val="0"/>
      <w:spacing w:before="86" w:after="0" w:line="240" w:lineRule="auto"/>
      <w:ind w:left="702" w:hanging="585"/>
      <w:outlineLvl w:val="5"/>
    </w:pPr>
    <w:rPr>
      <w:rFonts w:eastAsia="Perpetua"/>
      <w:sz w:val="27"/>
      <w:szCs w:val="27"/>
      <w:lang w:val="en-US"/>
    </w:rPr>
  </w:style>
  <w:style w:type="paragraph" w:styleId="Heading7">
    <w:name w:val="heading 7"/>
    <w:basedOn w:val="Normal"/>
    <w:link w:val="Heading7Char"/>
    <w:uiPriority w:val="9"/>
    <w:qFormat/>
    <w:rsid w:val="00821108"/>
    <w:pPr>
      <w:widowControl w:val="0"/>
      <w:spacing w:before="80" w:after="0" w:line="240" w:lineRule="auto"/>
      <w:ind w:left="1140"/>
      <w:outlineLvl w:val="6"/>
    </w:pPr>
    <w:rPr>
      <w:rFonts w:eastAsia="Perpetua"/>
      <w:b/>
      <w:bCs/>
      <w:sz w:val="24"/>
      <w:szCs w:val="24"/>
      <w:lang w:val="en-US"/>
    </w:rPr>
  </w:style>
  <w:style w:type="paragraph" w:styleId="Heading8">
    <w:name w:val="heading 8"/>
    <w:basedOn w:val="Normal"/>
    <w:link w:val="Heading8Char"/>
    <w:uiPriority w:val="1"/>
    <w:qFormat/>
    <w:rsid w:val="00821108"/>
    <w:pPr>
      <w:widowControl w:val="0"/>
      <w:spacing w:after="0" w:line="240" w:lineRule="auto"/>
      <w:ind w:left="996"/>
      <w:outlineLvl w:val="7"/>
    </w:pPr>
    <w:rPr>
      <w:rFonts w:eastAsia="Perpetua"/>
      <w:b/>
      <w:bCs/>
      <w:i/>
      <w:sz w:val="24"/>
      <w:szCs w:val="24"/>
      <w:lang w:val="en-US"/>
    </w:rPr>
  </w:style>
  <w:style w:type="paragraph" w:styleId="Heading9">
    <w:name w:val="heading 9"/>
    <w:basedOn w:val="Normal"/>
    <w:link w:val="Heading9Char"/>
    <w:uiPriority w:val="1"/>
    <w:qFormat/>
    <w:rsid w:val="00821108"/>
    <w:pPr>
      <w:widowControl w:val="0"/>
      <w:spacing w:before="4" w:after="0" w:line="240" w:lineRule="auto"/>
      <w:ind w:left="1170"/>
      <w:outlineLvl w:val="8"/>
    </w:pPr>
    <w:rPr>
      <w:rFonts w:eastAsia="Perpetua"/>
      <w:b/>
      <w:bCs/>
      <w:i/>
      <w:sz w:val="23"/>
      <w:szCs w:val="2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C1A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7C1A1D"/>
    <w:rPr>
      <w:rFonts w:ascii="Tahoma" w:hAnsi="Tahoma" w:cs="Tahoma"/>
      <w:sz w:val="16"/>
      <w:szCs w:val="16"/>
    </w:rPr>
  </w:style>
  <w:style w:type="paragraph" w:styleId="FootnoteText">
    <w:name w:val="footnote text"/>
    <w:basedOn w:val="Normal"/>
    <w:link w:val="FootnoteTextChar"/>
    <w:rsid w:val="00454403"/>
    <w:pPr>
      <w:spacing w:after="0" w:line="240" w:lineRule="auto"/>
    </w:pPr>
    <w:rPr>
      <w:rFonts w:ascii="Humnst777 Lt BT" w:eastAsia="Times New Roman" w:hAnsi="Humnst777 Lt BT" w:cs="Times New Roman"/>
      <w:sz w:val="20"/>
      <w:szCs w:val="20"/>
    </w:rPr>
  </w:style>
  <w:style w:type="character" w:customStyle="1" w:styleId="FootnoteTextChar">
    <w:name w:val="Footnote Text Char"/>
    <w:basedOn w:val="DefaultParagraphFont"/>
    <w:link w:val="FootnoteText"/>
    <w:rsid w:val="00454403"/>
    <w:rPr>
      <w:rFonts w:ascii="Humnst777 Lt BT" w:eastAsia="Times New Roman" w:hAnsi="Humnst777 Lt BT" w:cs="Times New Roman"/>
      <w:sz w:val="20"/>
      <w:szCs w:val="20"/>
    </w:rPr>
  </w:style>
  <w:style w:type="character" w:styleId="FootnoteReference">
    <w:name w:val="footnote reference"/>
    <w:semiHidden/>
    <w:rsid w:val="00454403"/>
    <w:rPr>
      <w:vertAlign w:val="superscript"/>
    </w:rPr>
  </w:style>
  <w:style w:type="character" w:customStyle="1" w:styleId="ind">
    <w:name w:val="ind"/>
    <w:basedOn w:val="DefaultParagraphFont"/>
    <w:rsid w:val="00B31BD3"/>
  </w:style>
  <w:style w:type="character" w:customStyle="1" w:styleId="sources">
    <w:name w:val="sources"/>
    <w:rsid w:val="00B31BD3"/>
  </w:style>
  <w:style w:type="paragraph" w:styleId="EndnoteText">
    <w:name w:val="endnote text"/>
    <w:basedOn w:val="Normal"/>
    <w:link w:val="EndnoteTextChar"/>
    <w:uiPriority w:val="99"/>
    <w:unhideWhenUsed/>
    <w:rsid w:val="00B31BD3"/>
    <w:pPr>
      <w:spacing w:after="0" w:line="240" w:lineRule="auto"/>
    </w:pPr>
    <w:rPr>
      <w:sz w:val="20"/>
      <w:szCs w:val="20"/>
    </w:rPr>
  </w:style>
  <w:style w:type="character" w:customStyle="1" w:styleId="EndnoteTextChar">
    <w:name w:val="Endnote Text Char"/>
    <w:basedOn w:val="DefaultParagraphFont"/>
    <w:link w:val="EndnoteText"/>
    <w:uiPriority w:val="99"/>
    <w:rsid w:val="00B31BD3"/>
    <w:rPr>
      <w:sz w:val="20"/>
      <w:szCs w:val="20"/>
    </w:rPr>
  </w:style>
  <w:style w:type="character" w:styleId="EndnoteReference">
    <w:name w:val="endnote reference"/>
    <w:basedOn w:val="DefaultParagraphFont"/>
    <w:uiPriority w:val="99"/>
    <w:unhideWhenUsed/>
    <w:rsid w:val="00B31BD3"/>
    <w:rPr>
      <w:vertAlign w:val="superscript"/>
    </w:rPr>
  </w:style>
  <w:style w:type="character" w:customStyle="1" w:styleId="reference-text">
    <w:name w:val="reference-text"/>
    <w:basedOn w:val="DefaultParagraphFont"/>
    <w:rsid w:val="00AE6725"/>
  </w:style>
  <w:style w:type="paragraph" w:styleId="BodyText">
    <w:name w:val="Body Text"/>
    <w:basedOn w:val="Normal"/>
    <w:link w:val="BodyTextChar"/>
    <w:qFormat/>
    <w:rsid w:val="00AE6725"/>
    <w:pPr>
      <w:widowControl w:val="0"/>
      <w:spacing w:after="0" w:line="240" w:lineRule="auto"/>
      <w:ind w:left="120" w:firstLine="720"/>
    </w:pPr>
    <w:rPr>
      <w:rFonts w:ascii="Book Antiqua" w:eastAsia="Book Antiqua" w:hAnsi="Book Antiqua"/>
      <w:sz w:val="24"/>
      <w:szCs w:val="24"/>
      <w:lang w:val="en-US"/>
    </w:rPr>
  </w:style>
  <w:style w:type="character" w:customStyle="1" w:styleId="BodyTextChar">
    <w:name w:val="Body Text Char"/>
    <w:basedOn w:val="DefaultParagraphFont"/>
    <w:link w:val="BodyText"/>
    <w:rsid w:val="00AE6725"/>
    <w:rPr>
      <w:rFonts w:ascii="Book Antiqua" w:eastAsia="Book Antiqua" w:hAnsi="Book Antiqua"/>
      <w:sz w:val="24"/>
      <w:szCs w:val="24"/>
      <w:lang w:val="en-US"/>
    </w:rPr>
  </w:style>
  <w:style w:type="table" w:styleId="TableGrid">
    <w:name w:val="Table Grid"/>
    <w:basedOn w:val="TableNormal"/>
    <w:uiPriority w:val="59"/>
    <w:rsid w:val="00AE6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67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6725"/>
  </w:style>
  <w:style w:type="paragraph" w:styleId="Footer">
    <w:name w:val="footer"/>
    <w:basedOn w:val="Normal"/>
    <w:link w:val="FooterChar"/>
    <w:uiPriority w:val="99"/>
    <w:unhideWhenUsed/>
    <w:rsid w:val="00AE67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6725"/>
  </w:style>
  <w:style w:type="character" w:styleId="Hyperlink">
    <w:name w:val="Hyperlink"/>
    <w:rsid w:val="00AE6725"/>
    <w:rPr>
      <w:color w:val="0000FF"/>
      <w:u w:val="single"/>
    </w:rPr>
  </w:style>
  <w:style w:type="character" w:customStyle="1" w:styleId="Date1">
    <w:name w:val="Date1"/>
    <w:rsid w:val="00AE6725"/>
  </w:style>
  <w:style w:type="paragraph" w:styleId="Caption">
    <w:name w:val="caption"/>
    <w:basedOn w:val="Normal"/>
    <w:next w:val="Normal"/>
    <w:uiPriority w:val="35"/>
    <w:semiHidden/>
    <w:unhideWhenUsed/>
    <w:qFormat/>
    <w:rsid w:val="00AE6725"/>
    <w:pPr>
      <w:spacing w:line="240" w:lineRule="auto"/>
    </w:pPr>
    <w:rPr>
      <w:b/>
      <w:bCs/>
      <w:color w:val="4F81BD" w:themeColor="accent1"/>
      <w:sz w:val="18"/>
      <w:szCs w:val="18"/>
    </w:rPr>
  </w:style>
  <w:style w:type="character" w:customStyle="1" w:styleId="Heading1Char">
    <w:name w:val="Heading 1 Char"/>
    <w:basedOn w:val="DefaultParagraphFont"/>
    <w:link w:val="Heading1"/>
    <w:rsid w:val="00821108"/>
    <w:rPr>
      <w:rFonts w:ascii="Arial" w:eastAsia="Times New Roman" w:hAnsi="Arial" w:cs="Arial"/>
      <w:b/>
      <w:bCs/>
      <w:kern w:val="32"/>
      <w:sz w:val="32"/>
      <w:szCs w:val="32"/>
    </w:rPr>
  </w:style>
  <w:style w:type="character" w:customStyle="1" w:styleId="Heading2Char">
    <w:name w:val="Heading 2 Char"/>
    <w:basedOn w:val="DefaultParagraphFont"/>
    <w:link w:val="Heading2"/>
    <w:rsid w:val="00821108"/>
    <w:rPr>
      <w:rFonts w:ascii="Arial" w:eastAsia="Times New Roman" w:hAnsi="Arial" w:cs="Arial"/>
      <w:b/>
      <w:bCs/>
      <w:i/>
      <w:iCs/>
      <w:sz w:val="28"/>
      <w:szCs w:val="28"/>
    </w:rPr>
  </w:style>
  <w:style w:type="character" w:customStyle="1" w:styleId="Heading3Char">
    <w:name w:val="Heading 3 Char"/>
    <w:basedOn w:val="DefaultParagraphFont"/>
    <w:link w:val="Heading3"/>
    <w:rsid w:val="00821108"/>
    <w:rPr>
      <w:rFonts w:ascii="Arial" w:eastAsia="Times New Roman" w:hAnsi="Arial" w:cs="Arial"/>
      <w:b/>
      <w:bCs/>
      <w:sz w:val="26"/>
      <w:szCs w:val="26"/>
    </w:rPr>
  </w:style>
  <w:style w:type="character" w:customStyle="1" w:styleId="Heading4Char">
    <w:name w:val="Heading 4 Char"/>
    <w:basedOn w:val="DefaultParagraphFont"/>
    <w:link w:val="Heading4"/>
    <w:rsid w:val="00821108"/>
    <w:rPr>
      <w:rFonts w:ascii="Times New Roman" w:eastAsia="Times New Roman" w:hAnsi="Times New Roman" w:cs="Times New Roman"/>
      <w:b/>
      <w:bCs/>
      <w:sz w:val="24"/>
      <w:szCs w:val="24"/>
      <w:lang w:val="en-US"/>
    </w:rPr>
  </w:style>
  <w:style w:type="character" w:customStyle="1" w:styleId="Heading5Char">
    <w:name w:val="Heading 5 Char"/>
    <w:basedOn w:val="DefaultParagraphFont"/>
    <w:link w:val="Heading5"/>
    <w:rsid w:val="00821108"/>
    <w:rPr>
      <w:rFonts w:ascii="Times New Roman" w:eastAsia="Times New Roman" w:hAnsi="Times New Roman" w:cs="Times New Roman"/>
      <w:b/>
      <w:bCs/>
      <w:sz w:val="20"/>
      <w:szCs w:val="20"/>
      <w:lang w:val="en-US"/>
    </w:rPr>
  </w:style>
  <w:style w:type="character" w:customStyle="1" w:styleId="Heading6Char">
    <w:name w:val="Heading 6 Char"/>
    <w:basedOn w:val="DefaultParagraphFont"/>
    <w:link w:val="Heading6"/>
    <w:uiPriority w:val="1"/>
    <w:rsid w:val="00821108"/>
    <w:rPr>
      <w:rFonts w:ascii="Perpetua" w:eastAsia="Perpetua" w:hAnsi="Perpetua"/>
      <w:sz w:val="27"/>
      <w:szCs w:val="27"/>
      <w:lang w:val="en-US"/>
    </w:rPr>
  </w:style>
  <w:style w:type="character" w:customStyle="1" w:styleId="Heading7Char">
    <w:name w:val="Heading 7 Char"/>
    <w:basedOn w:val="DefaultParagraphFont"/>
    <w:link w:val="Heading7"/>
    <w:uiPriority w:val="9"/>
    <w:rsid w:val="00821108"/>
    <w:rPr>
      <w:rFonts w:ascii="Perpetua" w:eastAsia="Perpetua" w:hAnsi="Perpetua"/>
      <w:b/>
      <w:bCs/>
      <w:sz w:val="24"/>
      <w:szCs w:val="24"/>
      <w:lang w:val="en-US"/>
    </w:rPr>
  </w:style>
  <w:style w:type="character" w:customStyle="1" w:styleId="Heading8Char">
    <w:name w:val="Heading 8 Char"/>
    <w:basedOn w:val="DefaultParagraphFont"/>
    <w:link w:val="Heading8"/>
    <w:uiPriority w:val="1"/>
    <w:rsid w:val="00821108"/>
    <w:rPr>
      <w:rFonts w:ascii="Perpetua" w:eastAsia="Perpetua" w:hAnsi="Perpetua"/>
      <w:b/>
      <w:bCs/>
      <w:i/>
      <w:sz w:val="24"/>
      <w:szCs w:val="24"/>
      <w:lang w:val="en-US"/>
    </w:rPr>
  </w:style>
  <w:style w:type="character" w:customStyle="1" w:styleId="Heading9Char">
    <w:name w:val="Heading 9 Char"/>
    <w:basedOn w:val="DefaultParagraphFont"/>
    <w:link w:val="Heading9"/>
    <w:uiPriority w:val="1"/>
    <w:rsid w:val="00821108"/>
    <w:rPr>
      <w:rFonts w:ascii="Perpetua" w:eastAsia="Perpetua" w:hAnsi="Perpetua"/>
      <w:b/>
      <w:bCs/>
      <w:i/>
      <w:sz w:val="23"/>
      <w:szCs w:val="23"/>
      <w:lang w:val="en-US"/>
    </w:rPr>
  </w:style>
  <w:style w:type="paragraph" w:customStyle="1" w:styleId="Default">
    <w:name w:val="Default"/>
    <w:rsid w:val="00821108"/>
    <w:pPr>
      <w:autoSpaceDE w:val="0"/>
      <w:autoSpaceDN w:val="0"/>
      <w:adjustRightInd w:val="0"/>
      <w:spacing w:after="0" w:line="240" w:lineRule="auto"/>
    </w:pPr>
    <w:rPr>
      <w:rFonts w:ascii="Times New Roman" w:hAnsi="Times New Roman" w:cs="Times New Roman"/>
      <w:color w:val="000000"/>
      <w:sz w:val="24"/>
      <w:szCs w:val="24"/>
    </w:rPr>
  </w:style>
  <w:style w:type="character" w:styleId="PageNumber">
    <w:name w:val="page number"/>
    <w:basedOn w:val="DefaultParagraphFont"/>
    <w:rsid w:val="00821108"/>
  </w:style>
  <w:style w:type="character" w:customStyle="1" w:styleId="text">
    <w:name w:val="text"/>
    <w:basedOn w:val="DefaultParagraphFont"/>
    <w:rsid w:val="00821108"/>
  </w:style>
  <w:style w:type="character" w:customStyle="1" w:styleId="poemtext">
    <w:name w:val="poemtext"/>
    <w:basedOn w:val="DefaultParagraphFont"/>
    <w:rsid w:val="00821108"/>
  </w:style>
  <w:style w:type="character" w:customStyle="1" w:styleId="a">
    <w:name w:val="a"/>
    <w:basedOn w:val="DefaultParagraphFont"/>
    <w:rsid w:val="00821108"/>
  </w:style>
  <w:style w:type="character" w:customStyle="1" w:styleId="poemtextwback">
    <w:name w:val="poemtextwback"/>
    <w:basedOn w:val="DefaultParagraphFont"/>
    <w:rsid w:val="00821108"/>
  </w:style>
  <w:style w:type="paragraph" w:styleId="List">
    <w:name w:val="List"/>
    <w:basedOn w:val="Normal"/>
    <w:rsid w:val="00821108"/>
    <w:pPr>
      <w:spacing w:after="0" w:line="240" w:lineRule="auto"/>
      <w:ind w:left="283" w:hanging="283"/>
    </w:pPr>
    <w:rPr>
      <w:rFonts w:ascii="Humnst777 Lt BT" w:eastAsia="Times New Roman" w:hAnsi="Humnst777 Lt BT" w:cs="Times New Roman"/>
      <w:sz w:val="20"/>
      <w:szCs w:val="20"/>
    </w:rPr>
  </w:style>
  <w:style w:type="paragraph" w:styleId="List2">
    <w:name w:val="List 2"/>
    <w:basedOn w:val="Normal"/>
    <w:rsid w:val="00821108"/>
    <w:pPr>
      <w:spacing w:after="0" w:line="240" w:lineRule="auto"/>
      <w:ind w:left="566" w:hanging="283"/>
    </w:pPr>
    <w:rPr>
      <w:rFonts w:ascii="Humnst777 Lt BT" w:eastAsia="Times New Roman" w:hAnsi="Humnst777 Lt BT" w:cs="Times New Roman"/>
      <w:sz w:val="20"/>
      <w:szCs w:val="20"/>
    </w:rPr>
  </w:style>
  <w:style w:type="paragraph" w:styleId="BodyTextIndent">
    <w:name w:val="Body Text Indent"/>
    <w:basedOn w:val="Normal"/>
    <w:link w:val="BodyTextIndentChar"/>
    <w:rsid w:val="00821108"/>
    <w:pPr>
      <w:spacing w:after="120" w:line="240" w:lineRule="auto"/>
      <w:ind w:left="283"/>
    </w:pPr>
    <w:rPr>
      <w:rFonts w:ascii="Humnst777 Lt BT" w:eastAsia="Times New Roman" w:hAnsi="Humnst777 Lt BT" w:cs="Times New Roman"/>
      <w:sz w:val="20"/>
      <w:szCs w:val="20"/>
    </w:rPr>
  </w:style>
  <w:style w:type="character" w:customStyle="1" w:styleId="BodyTextIndentChar">
    <w:name w:val="Body Text Indent Char"/>
    <w:basedOn w:val="DefaultParagraphFont"/>
    <w:link w:val="BodyTextIndent"/>
    <w:rsid w:val="00821108"/>
    <w:rPr>
      <w:rFonts w:ascii="Humnst777 Lt BT" w:eastAsia="Times New Roman" w:hAnsi="Humnst777 Lt BT" w:cs="Times New Roman"/>
      <w:sz w:val="20"/>
      <w:szCs w:val="20"/>
    </w:rPr>
  </w:style>
  <w:style w:type="paragraph" w:styleId="BodyTextFirstIndent">
    <w:name w:val="Body Text First Indent"/>
    <w:basedOn w:val="BodyText"/>
    <w:link w:val="BodyTextFirstIndentChar"/>
    <w:rsid w:val="00821108"/>
    <w:pPr>
      <w:widowControl/>
      <w:spacing w:after="120"/>
      <w:ind w:left="0" w:firstLine="210"/>
    </w:pPr>
    <w:rPr>
      <w:rFonts w:ascii="Humnst777 Lt BT" w:eastAsia="Times New Roman" w:hAnsi="Humnst777 Lt BT" w:cs="Times New Roman"/>
      <w:sz w:val="20"/>
      <w:szCs w:val="20"/>
      <w:lang w:val="en-GB"/>
    </w:rPr>
  </w:style>
  <w:style w:type="character" w:customStyle="1" w:styleId="BodyTextFirstIndentChar">
    <w:name w:val="Body Text First Indent Char"/>
    <w:basedOn w:val="BodyTextChar"/>
    <w:link w:val="BodyTextFirstIndent"/>
    <w:rsid w:val="00821108"/>
    <w:rPr>
      <w:rFonts w:ascii="Humnst777 Lt BT" w:eastAsia="Times New Roman" w:hAnsi="Humnst777 Lt BT" w:cs="Times New Roman"/>
      <w:sz w:val="20"/>
      <w:szCs w:val="20"/>
      <w:lang w:val="en-US"/>
    </w:rPr>
  </w:style>
  <w:style w:type="character" w:styleId="Strong">
    <w:name w:val="Strong"/>
    <w:qFormat/>
    <w:rsid w:val="00821108"/>
    <w:rPr>
      <w:b/>
      <w:bCs/>
    </w:rPr>
  </w:style>
  <w:style w:type="paragraph" w:styleId="HTMLPreformatted">
    <w:name w:val="HTML Preformatted"/>
    <w:basedOn w:val="Normal"/>
    <w:link w:val="HTMLPreformattedChar"/>
    <w:rsid w:val="00821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821108"/>
    <w:rPr>
      <w:rFonts w:ascii="Courier New" w:eastAsia="Times New Roman" w:hAnsi="Courier New" w:cs="Courier New"/>
      <w:sz w:val="20"/>
      <w:szCs w:val="20"/>
    </w:rPr>
  </w:style>
  <w:style w:type="paragraph" w:styleId="NormalWeb">
    <w:name w:val="Normal (Web)"/>
    <w:basedOn w:val="Normal"/>
    <w:uiPriority w:val="99"/>
    <w:rsid w:val="00821108"/>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rsid w:val="0082110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821108"/>
    <w:rPr>
      <w:rFonts w:ascii="Courier New" w:eastAsia="Times New Roman" w:hAnsi="Courier New" w:cs="Courier New"/>
      <w:sz w:val="20"/>
      <w:szCs w:val="20"/>
    </w:rPr>
  </w:style>
  <w:style w:type="character" w:customStyle="1" w:styleId="quoted2">
    <w:name w:val="quoted2"/>
    <w:basedOn w:val="DefaultParagraphFont"/>
    <w:rsid w:val="00821108"/>
  </w:style>
  <w:style w:type="character" w:styleId="Emphasis">
    <w:name w:val="Emphasis"/>
    <w:qFormat/>
    <w:rsid w:val="00821108"/>
    <w:rPr>
      <w:i/>
      <w:iCs/>
    </w:rPr>
  </w:style>
  <w:style w:type="character" w:customStyle="1" w:styleId="bps-small-text">
    <w:name w:val="bps-small-text"/>
    <w:basedOn w:val="DefaultParagraphFont"/>
    <w:rsid w:val="00821108"/>
  </w:style>
  <w:style w:type="paragraph" w:customStyle="1" w:styleId="align-center">
    <w:name w:val="align-center"/>
    <w:basedOn w:val="Normal"/>
    <w:rsid w:val="0082110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talics">
    <w:name w:val="italics"/>
    <w:rsid w:val="00821108"/>
  </w:style>
  <w:style w:type="character" w:customStyle="1" w:styleId="contributornametrigger">
    <w:name w:val="contributornametrigger"/>
    <w:basedOn w:val="DefaultParagraphFont"/>
    <w:rsid w:val="00821108"/>
  </w:style>
  <w:style w:type="character" w:customStyle="1" w:styleId="bylinepipe">
    <w:name w:val="bylinepipe"/>
    <w:basedOn w:val="DefaultParagraphFont"/>
    <w:rsid w:val="00821108"/>
  </w:style>
  <w:style w:type="character" w:customStyle="1" w:styleId="ng-scope">
    <w:name w:val="ng-scope"/>
    <w:basedOn w:val="DefaultParagraphFont"/>
    <w:rsid w:val="00821108"/>
  </w:style>
  <w:style w:type="paragraph" w:styleId="NoSpacing">
    <w:name w:val="No Spacing"/>
    <w:link w:val="NoSpacingChar"/>
    <w:uiPriority w:val="1"/>
    <w:qFormat/>
    <w:rsid w:val="00821108"/>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821108"/>
    <w:rPr>
      <w:rFonts w:eastAsiaTheme="minorEastAsia"/>
      <w:lang w:val="en-US" w:eastAsia="ja-JP"/>
    </w:rPr>
  </w:style>
  <w:style w:type="table" w:customStyle="1" w:styleId="TableGrid1">
    <w:name w:val="Table Grid1"/>
    <w:basedOn w:val="TableNormal"/>
    <w:next w:val="TableGrid"/>
    <w:uiPriority w:val="59"/>
    <w:rsid w:val="00821108"/>
    <w:pPr>
      <w:spacing w:after="0" w:line="240" w:lineRule="auto"/>
    </w:pPr>
    <w:rPr>
      <w:rFonts w:ascii="Humnst777 Lt BT" w:hAnsi="Humnst777 Lt BT"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24">
    <w:name w:val="CM2+4"/>
    <w:basedOn w:val="Default"/>
    <w:next w:val="Default"/>
    <w:uiPriority w:val="99"/>
    <w:rsid w:val="00821108"/>
    <w:pPr>
      <w:spacing w:line="300" w:lineRule="atLeast"/>
    </w:pPr>
    <w:rPr>
      <w:color w:val="auto"/>
    </w:rPr>
  </w:style>
  <w:style w:type="paragraph" w:styleId="ListParagraph">
    <w:name w:val="List Paragraph"/>
    <w:basedOn w:val="Normal"/>
    <w:uiPriority w:val="34"/>
    <w:qFormat/>
    <w:rsid w:val="00821108"/>
    <w:pPr>
      <w:widowControl w:val="0"/>
      <w:spacing w:after="0" w:line="240" w:lineRule="auto"/>
    </w:pPr>
    <w:rPr>
      <w:lang w:val="en-US"/>
    </w:rPr>
  </w:style>
  <w:style w:type="paragraph" w:customStyle="1" w:styleId="TableParagraph">
    <w:name w:val="Table Paragraph"/>
    <w:basedOn w:val="Normal"/>
    <w:uiPriority w:val="1"/>
    <w:qFormat/>
    <w:rsid w:val="00821108"/>
    <w:pPr>
      <w:widowControl w:val="0"/>
      <w:spacing w:after="0" w:line="240" w:lineRule="auto"/>
    </w:pPr>
    <w:rPr>
      <w:lang w:val="en-US"/>
    </w:rPr>
  </w:style>
  <w:style w:type="character" w:customStyle="1" w:styleId="ipa">
    <w:name w:val="ipa"/>
    <w:basedOn w:val="DefaultParagraphFont"/>
    <w:rsid w:val="007D2FEA"/>
  </w:style>
  <w:style w:type="character" w:customStyle="1" w:styleId="script-hebrew">
    <w:name w:val="script-hebrew"/>
    <w:basedOn w:val="DefaultParagraphFont"/>
    <w:rsid w:val="007D2FEA"/>
  </w:style>
  <w:style w:type="character" w:customStyle="1" w:styleId="smallcaps">
    <w:name w:val="smallcaps"/>
    <w:basedOn w:val="DefaultParagraphFont"/>
    <w:rsid w:val="007D2FEA"/>
  </w:style>
  <w:style w:type="character" w:customStyle="1" w:styleId="text3">
    <w:name w:val="text3"/>
    <w:basedOn w:val="DefaultParagraphFont"/>
    <w:rsid w:val="00616C1F"/>
  </w:style>
  <w:style w:type="character" w:styleId="FollowedHyperlink">
    <w:name w:val="FollowedHyperlink"/>
    <w:rsid w:val="00616C1F"/>
    <w:rPr>
      <w:color w:val="800080"/>
      <w:u w:val="single"/>
    </w:rPr>
  </w:style>
  <w:style w:type="paragraph" w:customStyle="1" w:styleId="author">
    <w:name w:val="author"/>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mall">
    <w:name w:val="small"/>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isbn">
    <w:name w:val="isbn"/>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ollectable-attr">
    <w:name w:val="collectable-attr"/>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wrap">
    <w:name w:val="no-wrap"/>
    <w:rsid w:val="00616C1F"/>
  </w:style>
  <w:style w:type="paragraph" w:customStyle="1" w:styleId="bookseller-rating">
    <w:name w:val="bookseller-rating"/>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rice">
    <w:name w:val="price"/>
    <w:rsid w:val="00616C1F"/>
  </w:style>
  <w:style w:type="paragraph" w:customStyle="1" w:styleId="m-sm-t">
    <w:name w:val="m-sm-t"/>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lear-all">
    <w:name w:val="clear-all"/>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TMLCite">
    <w:name w:val="HTML Cite"/>
    <w:uiPriority w:val="99"/>
    <w:unhideWhenUsed/>
    <w:rsid w:val="00616C1F"/>
    <w:rPr>
      <w:i/>
      <w:iCs/>
    </w:rPr>
  </w:style>
  <w:style w:type="character" w:customStyle="1" w:styleId="key">
    <w:name w:val="key"/>
    <w:rsid w:val="00616C1F"/>
  </w:style>
  <w:style w:type="character" w:customStyle="1" w:styleId="value">
    <w:name w:val="value"/>
    <w:rsid w:val="00616C1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Theme="minorHAnsi" w:hAnsi="Perpetua"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1" w:qFormat="1"/>
    <w:lsdException w:name="heading 7" w:uiPriority="9"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821108"/>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821108"/>
    <w:pPr>
      <w:keepNext/>
      <w:spacing w:before="240" w:after="60" w:line="240" w:lineRule="auto"/>
      <w:outlineLvl w:val="1"/>
    </w:pPr>
    <w:rPr>
      <w:rFonts w:ascii="Arial" w:eastAsia="Times New Roman" w:hAnsi="Arial" w:cs="Arial"/>
      <w:b/>
      <w:bCs/>
      <w:i/>
      <w:iCs/>
      <w:sz w:val="28"/>
      <w:szCs w:val="28"/>
    </w:rPr>
  </w:style>
  <w:style w:type="paragraph" w:styleId="Heading3">
    <w:name w:val="heading 3"/>
    <w:basedOn w:val="Normal"/>
    <w:next w:val="Normal"/>
    <w:link w:val="Heading3Char"/>
    <w:qFormat/>
    <w:rsid w:val="00821108"/>
    <w:pPr>
      <w:keepNext/>
      <w:spacing w:before="240" w:after="60" w:line="240" w:lineRule="auto"/>
      <w:outlineLvl w:val="2"/>
    </w:pPr>
    <w:rPr>
      <w:rFonts w:ascii="Arial" w:eastAsia="Times New Roman" w:hAnsi="Arial" w:cs="Arial"/>
      <w:b/>
      <w:bCs/>
      <w:sz w:val="26"/>
      <w:szCs w:val="26"/>
    </w:rPr>
  </w:style>
  <w:style w:type="paragraph" w:styleId="Heading4">
    <w:name w:val="heading 4"/>
    <w:basedOn w:val="Normal"/>
    <w:link w:val="Heading4Char"/>
    <w:qFormat/>
    <w:rsid w:val="00821108"/>
    <w:pPr>
      <w:spacing w:before="100" w:beforeAutospacing="1" w:after="100" w:afterAutospacing="1" w:line="240" w:lineRule="auto"/>
      <w:outlineLvl w:val="3"/>
    </w:pPr>
    <w:rPr>
      <w:rFonts w:ascii="Times New Roman" w:eastAsia="Times New Roman" w:hAnsi="Times New Roman" w:cs="Times New Roman"/>
      <w:b/>
      <w:bCs/>
      <w:sz w:val="24"/>
      <w:szCs w:val="24"/>
      <w:lang w:val="en-US"/>
    </w:rPr>
  </w:style>
  <w:style w:type="paragraph" w:styleId="Heading5">
    <w:name w:val="heading 5"/>
    <w:basedOn w:val="Normal"/>
    <w:link w:val="Heading5Char"/>
    <w:qFormat/>
    <w:rsid w:val="00821108"/>
    <w:pPr>
      <w:spacing w:before="100" w:beforeAutospacing="1" w:after="100" w:afterAutospacing="1" w:line="240" w:lineRule="auto"/>
      <w:outlineLvl w:val="4"/>
    </w:pPr>
    <w:rPr>
      <w:rFonts w:ascii="Times New Roman" w:eastAsia="Times New Roman" w:hAnsi="Times New Roman" w:cs="Times New Roman"/>
      <w:b/>
      <w:bCs/>
      <w:sz w:val="20"/>
      <w:szCs w:val="20"/>
      <w:lang w:val="en-US"/>
    </w:rPr>
  </w:style>
  <w:style w:type="paragraph" w:styleId="Heading6">
    <w:name w:val="heading 6"/>
    <w:basedOn w:val="Normal"/>
    <w:link w:val="Heading6Char"/>
    <w:uiPriority w:val="1"/>
    <w:qFormat/>
    <w:rsid w:val="00821108"/>
    <w:pPr>
      <w:widowControl w:val="0"/>
      <w:spacing w:before="86" w:after="0" w:line="240" w:lineRule="auto"/>
      <w:ind w:left="702" w:hanging="585"/>
      <w:outlineLvl w:val="5"/>
    </w:pPr>
    <w:rPr>
      <w:rFonts w:eastAsia="Perpetua"/>
      <w:sz w:val="27"/>
      <w:szCs w:val="27"/>
      <w:lang w:val="en-US"/>
    </w:rPr>
  </w:style>
  <w:style w:type="paragraph" w:styleId="Heading7">
    <w:name w:val="heading 7"/>
    <w:basedOn w:val="Normal"/>
    <w:link w:val="Heading7Char"/>
    <w:uiPriority w:val="9"/>
    <w:qFormat/>
    <w:rsid w:val="00821108"/>
    <w:pPr>
      <w:widowControl w:val="0"/>
      <w:spacing w:before="80" w:after="0" w:line="240" w:lineRule="auto"/>
      <w:ind w:left="1140"/>
      <w:outlineLvl w:val="6"/>
    </w:pPr>
    <w:rPr>
      <w:rFonts w:eastAsia="Perpetua"/>
      <w:b/>
      <w:bCs/>
      <w:sz w:val="24"/>
      <w:szCs w:val="24"/>
      <w:lang w:val="en-US"/>
    </w:rPr>
  </w:style>
  <w:style w:type="paragraph" w:styleId="Heading8">
    <w:name w:val="heading 8"/>
    <w:basedOn w:val="Normal"/>
    <w:link w:val="Heading8Char"/>
    <w:uiPriority w:val="1"/>
    <w:qFormat/>
    <w:rsid w:val="00821108"/>
    <w:pPr>
      <w:widowControl w:val="0"/>
      <w:spacing w:after="0" w:line="240" w:lineRule="auto"/>
      <w:ind w:left="996"/>
      <w:outlineLvl w:val="7"/>
    </w:pPr>
    <w:rPr>
      <w:rFonts w:eastAsia="Perpetua"/>
      <w:b/>
      <w:bCs/>
      <w:i/>
      <w:sz w:val="24"/>
      <w:szCs w:val="24"/>
      <w:lang w:val="en-US"/>
    </w:rPr>
  </w:style>
  <w:style w:type="paragraph" w:styleId="Heading9">
    <w:name w:val="heading 9"/>
    <w:basedOn w:val="Normal"/>
    <w:link w:val="Heading9Char"/>
    <w:uiPriority w:val="1"/>
    <w:qFormat/>
    <w:rsid w:val="00821108"/>
    <w:pPr>
      <w:widowControl w:val="0"/>
      <w:spacing w:before="4" w:after="0" w:line="240" w:lineRule="auto"/>
      <w:ind w:left="1170"/>
      <w:outlineLvl w:val="8"/>
    </w:pPr>
    <w:rPr>
      <w:rFonts w:eastAsia="Perpetua"/>
      <w:b/>
      <w:bCs/>
      <w:i/>
      <w:sz w:val="23"/>
      <w:szCs w:val="2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C1A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7C1A1D"/>
    <w:rPr>
      <w:rFonts w:ascii="Tahoma" w:hAnsi="Tahoma" w:cs="Tahoma"/>
      <w:sz w:val="16"/>
      <w:szCs w:val="16"/>
    </w:rPr>
  </w:style>
  <w:style w:type="paragraph" w:styleId="FootnoteText">
    <w:name w:val="footnote text"/>
    <w:basedOn w:val="Normal"/>
    <w:link w:val="FootnoteTextChar"/>
    <w:rsid w:val="00454403"/>
    <w:pPr>
      <w:spacing w:after="0" w:line="240" w:lineRule="auto"/>
    </w:pPr>
    <w:rPr>
      <w:rFonts w:ascii="Humnst777 Lt BT" w:eastAsia="Times New Roman" w:hAnsi="Humnst777 Lt BT" w:cs="Times New Roman"/>
      <w:sz w:val="20"/>
      <w:szCs w:val="20"/>
    </w:rPr>
  </w:style>
  <w:style w:type="character" w:customStyle="1" w:styleId="FootnoteTextChar">
    <w:name w:val="Footnote Text Char"/>
    <w:basedOn w:val="DefaultParagraphFont"/>
    <w:link w:val="FootnoteText"/>
    <w:rsid w:val="00454403"/>
    <w:rPr>
      <w:rFonts w:ascii="Humnst777 Lt BT" w:eastAsia="Times New Roman" w:hAnsi="Humnst777 Lt BT" w:cs="Times New Roman"/>
      <w:sz w:val="20"/>
      <w:szCs w:val="20"/>
    </w:rPr>
  </w:style>
  <w:style w:type="character" w:styleId="FootnoteReference">
    <w:name w:val="footnote reference"/>
    <w:semiHidden/>
    <w:rsid w:val="00454403"/>
    <w:rPr>
      <w:vertAlign w:val="superscript"/>
    </w:rPr>
  </w:style>
  <w:style w:type="character" w:customStyle="1" w:styleId="ind">
    <w:name w:val="ind"/>
    <w:basedOn w:val="DefaultParagraphFont"/>
    <w:rsid w:val="00B31BD3"/>
  </w:style>
  <w:style w:type="character" w:customStyle="1" w:styleId="sources">
    <w:name w:val="sources"/>
    <w:rsid w:val="00B31BD3"/>
  </w:style>
  <w:style w:type="paragraph" w:styleId="EndnoteText">
    <w:name w:val="endnote text"/>
    <w:basedOn w:val="Normal"/>
    <w:link w:val="EndnoteTextChar"/>
    <w:uiPriority w:val="99"/>
    <w:unhideWhenUsed/>
    <w:rsid w:val="00B31BD3"/>
    <w:pPr>
      <w:spacing w:after="0" w:line="240" w:lineRule="auto"/>
    </w:pPr>
    <w:rPr>
      <w:sz w:val="20"/>
      <w:szCs w:val="20"/>
    </w:rPr>
  </w:style>
  <w:style w:type="character" w:customStyle="1" w:styleId="EndnoteTextChar">
    <w:name w:val="Endnote Text Char"/>
    <w:basedOn w:val="DefaultParagraphFont"/>
    <w:link w:val="EndnoteText"/>
    <w:uiPriority w:val="99"/>
    <w:rsid w:val="00B31BD3"/>
    <w:rPr>
      <w:sz w:val="20"/>
      <w:szCs w:val="20"/>
    </w:rPr>
  </w:style>
  <w:style w:type="character" w:styleId="EndnoteReference">
    <w:name w:val="endnote reference"/>
    <w:basedOn w:val="DefaultParagraphFont"/>
    <w:uiPriority w:val="99"/>
    <w:unhideWhenUsed/>
    <w:rsid w:val="00B31BD3"/>
    <w:rPr>
      <w:vertAlign w:val="superscript"/>
    </w:rPr>
  </w:style>
  <w:style w:type="character" w:customStyle="1" w:styleId="reference-text">
    <w:name w:val="reference-text"/>
    <w:basedOn w:val="DefaultParagraphFont"/>
    <w:rsid w:val="00AE6725"/>
  </w:style>
  <w:style w:type="paragraph" w:styleId="BodyText">
    <w:name w:val="Body Text"/>
    <w:basedOn w:val="Normal"/>
    <w:link w:val="BodyTextChar"/>
    <w:qFormat/>
    <w:rsid w:val="00AE6725"/>
    <w:pPr>
      <w:widowControl w:val="0"/>
      <w:spacing w:after="0" w:line="240" w:lineRule="auto"/>
      <w:ind w:left="120" w:firstLine="720"/>
    </w:pPr>
    <w:rPr>
      <w:rFonts w:ascii="Book Antiqua" w:eastAsia="Book Antiqua" w:hAnsi="Book Antiqua"/>
      <w:sz w:val="24"/>
      <w:szCs w:val="24"/>
      <w:lang w:val="en-US"/>
    </w:rPr>
  </w:style>
  <w:style w:type="character" w:customStyle="1" w:styleId="BodyTextChar">
    <w:name w:val="Body Text Char"/>
    <w:basedOn w:val="DefaultParagraphFont"/>
    <w:link w:val="BodyText"/>
    <w:rsid w:val="00AE6725"/>
    <w:rPr>
      <w:rFonts w:ascii="Book Antiqua" w:eastAsia="Book Antiqua" w:hAnsi="Book Antiqua"/>
      <w:sz w:val="24"/>
      <w:szCs w:val="24"/>
      <w:lang w:val="en-US"/>
    </w:rPr>
  </w:style>
  <w:style w:type="table" w:styleId="TableGrid">
    <w:name w:val="Table Grid"/>
    <w:basedOn w:val="TableNormal"/>
    <w:uiPriority w:val="59"/>
    <w:rsid w:val="00AE6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67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6725"/>
  </w:style>
  <w:style w:type="paragraph" w:styleId="Footer">
    <w:name w:val="footer"/>
    <w:basedOn w:val="Normal"/>
    <w:link w:val="FooterChar"/>
    <w:uiPriority w:val="99"/>
    <w:unhideWhenUsed/>
    <w:rsid w:val="00AE67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6725"/>
  </w:style>
  <w:style w:type="character" w:styleId="Hyperlink">
    <w:name w:val="Hyperlink"/>
    <w:rsid w:val="00AE6725"/>
    <w:rPr>
      <w:color w:val="0000FF"/>
      <w:u w:val="single"/>
    </w:rPr>
  </w:style>
  <w:style w:type="character" w:customStyle="1" w:styleId="Date1">
    <w:name w:val="Date1"/>
    <w:rsid w:val="00AE6725"/>
  </w:style>
  <w:style w:type="paragraph" w:styleId="Caption">
    <w:name w:val="caption"/>
    <w:basedOn w:val="Normal"/>
    <w:next w:val="Normal"/>
    <w:uiPriority w:val="35"/>
    <w:semiHidden/>
    <w:unhideWhenUsed/>
    <w:qFormat/>
    <w:rsid w:val="00AE6725"/>
    <w:pPr>
      <w:spacing w:line="240" w:lineRule="auto"/>
    </w:pPr>
    <w:rPr>
      <w:b/>
      <w:bCs/>
      <w:color w:val="4F81BD" w:themeColor="accent1"/>
      <w:sz w:val="18"/>
      <w:szCs w:val="18"/>
    </w:rPr>
  </w:style>
  <w:style w:type="character" w:customStyle="1" w:styleId="Heading1Char">
    <w:name w:val="Heading 1 Char"/>
    <w:basedOn w:val="DefaultParagraphFont"/>
    <w:link w:val="Heading1"/>
    <w:rsid w:val="00821108"/>
    <w:rPr>
      <w:rFonts w:ascii="Arial" w:eastAsia="Times New Roman" w:hAnsi="Arial" w:cs="Arial"/>
      <w:b/>
      <w:bCs/>
      <w:kern w:val="32"/>
      <w:sz w:val="32"/>
      <w:szCs w:val="32"/>
    </w:rPr>
  </w:style>
  <w:style w:type="character" w:customStyle="1" w:styleId="Heading2Char">
    <w:name w:val="Heading 2 Char"/>
    <w:basedOn w:val="DefaultParagraphFont"/>
    <w:link w:val="Heading2"/>
    <w:rsid w:val="00821108"/>
    <w:rPr>
      <w:rFonts w:ascii="Arial" w:eastAsia="Times New Roman" w:hAnsi="Arial" w:cs="Arial"/>
      <w:b/>
      <w:bCs/>
      <w:i/>
      <w:iCs/>
      <w:sz w:val="28"/>
      <w:szCs w:val="28"/>
    </w:rPr>
  </w:style>
  <w:style w:type="character" w:customStyle="1" w:styleId="Heading3Char">
    <w:name w:val="Heading 3 Char"/>
    <w:basedOn w:val="DefaultParagraphFont"/>
    <w:link w:val="Heading3"/>
    <w:rsid w:val="00821108"/>
    <w:rPr>
      <w:rFonts w:ascii="Arial" w:eastAsia="Times New Roman" w:hAnsi="Arial" w:cs="Arial"/>
      <w:b/>
      <w:bCs/>
      <w:sz w:val="26"/>
      <w:szCs w:val="26"/>
    </w:rPr>
  </w:style>
  <w:style w:type="character" w:customStyle="1" w:styleId="Heading4Char">
    <w:name w:val="Heading 4 Char"/>
    <w:basedOn w:val="DefaultParagraphFont"/>
    <w:link w:val="Heading4"/>
    <w:rsid w:val="00821108"/>
    <w:rPr>
      <w:rFonts w:ascii="Times New Roman" w:eastAsia="Times New Roman" w:hAnsi="Times New Roman" w:cs="Times New Roman"/>
      <w:b/>
      <w:bCs/>
      <w:sz w:val="24"/>
      <w:szCs w:val="24"/>
      <w:lang w:val="en-US"/>
    </w:rPr>
  </w:style>
  <w:style w:type="character" w:customStyle="1" w:styleId="Heading5Char">
    <w:name w:val="Heading 5 Char"/>
    <w:basedOn w:val="DefaultParagraphFont"/>
    <w:link w:val="Heading5"/>
    <w:rsid w:val="00821108"/>
    <w:rPr>
      <w:rFonts w:ascii="Times New Roman" w:eastAsia="Times New Roman" w:hAnsi="Times New Roman" w:cs="Times New Roman"/>
      <w:b/>
      <w:bCs/>
      <w:sz w:val="20"/>
      <w:szCs w:val="20"/>
      <w:lang w:val="en-US"/>
    </w:rPr>
  </w:style>
  <w:style w:type="character" w:customStyle="1" w:styleId="Heading6Char">
    <w:name w:val="Heading 6 Char"/>
    <w:basedOn w:val="DefaultParagraphFont"/>
    <w:link w:val="Heading6"/>
    <w:uiPriority w:val="1"/>
    <w:rsid w:val="00821108"/>
    <w:rPr>
      <w:rFonts w:ascii="Perpetua" w:eastAsia="Perpetua" w:hAnsi="Perpetua"/>
      <w:sz w:val="27"/>
      <w:szCs w:val="27"/>
      <w:lang w:val="en-US"/>
    </w:rPr>
  </w:style>
  <w:style w:type="character" w:customStyle="1" w:styleId="Heading7Char">
    <w:name w:val="Heading 7 Char"/>
    <w:basedOn w:val="DefaultParagraphFont"/>
    <w:link w:val="Heading7"/>
    <w:uiPriority w:val="9"/>
    <w:rsid w:val="00821108"/>
    <w:rPr>
      <w:rFonts w:ascii="Perpetua" w:eastAsia="Perpetua" w:hAnsi="Perpetua"/>
      <w:b/>
      <w:bCs/>
      <w:sz w:val="24"/>
      <w:szCs w:val="24"/>
      <w:lang w:val="en-US"/>
    </w:rPr>
  </w:style>
  <w:style w:type="character" w:customStyle="1" w:styleId="Heading8Char">
    <w:name w:val="Heading 8 Char"/>
    <w:basedOn w:val="DefaultParagraphFont"/>
    <w:link w:val="Heading8"/>
    <w:uiPriority w:val="1"/>
    <w:rsid w:val="00821108"/>
    <w:rPr>
      <w:rFonts w:ascii="Perpetua" w:eastAsia="Perpetua" w:hAnsi="Perpetua"/>
      <w:b/>
      <w:bCs/>
      <w:i/>
      <w:sz w:val="24"/>
      <w:szCs w:val="24"/>
      <w:lang w:val="en-US"/>
    </w:rPr>
  </w:style>
  <w:style w:type="character" w:customStyle="1" w:styleId="Heading9Char">
    <w:name w:val="Heading 9 Char"/>
    <w:basedOn w:val="DefaultParagraphFont"/>
    <w:link w:val="Heading9"/>
    <w:uiPriority w:val="1"/>
    <w:rsid w:val="00821108"/>
    <w:rPr>
      <w:rFonts w:ascii="Perpetua" w:eastAsia="Perpetua" w:hAnsi="Perpetua"/>
      <w:b/>
      <w:bCs/>
      <w:i/>
      <w:sz w:val="23"/>
      <w:szCs w:val="23"/>
      <w:lang w:val="en-US"/>
    </w:rPr>
  </w:style>
  <w:style w:type="paragraph" w:customStyle="1" w:styleId="Default">
    <w:name w:val="Default"/>
    <w:rsid w:val="00821108"/>
    <w:pPr>
      <w:autoSpaceDE w:val="0"/>
      <w:autoSpaceDN w:val="0"/>
      <w:adjustRightInd w:val="0"/>
      <w:spacing w:after="0" w:line="240" w:lineRule="auto"/>
    </w:pPr>
    <w:rPr>
      <w:rFonts w:ascii="Times New Roman" w:hAnsi="Times New Roman" w:cs="Times New Roman"/>
      <w:color w:val="000000"/>
      <w:sz w:val="24"/>
      <w:szCs w:val="24"/>
    </w:rPr>
  </w:style>
  <w:style w:type="character" w:styleId="PageNumber">
    <w:name w:val="page number"/>
    <w:basedOn w:val="DefaultParagraphFont"/>
    <w:rsid w:val="00821108"/>
  </w:style>
  <w:style w:type="character" w:customStyle="1" w:styleId="text">
    <w:name w:val="text"/>
    <w:basedOn w:val="DefaultParagraphFont"/>
    <w:rsid w:val="00821108"/>
  </w:style>
  <w:style w:type="character" w:customStyle="1" w:styleId="poemtext">
    <w:name w:val="poemtext"/>
    <w:basedOn w:val="DefaultParagraphFont"/>
    <w:rsid w:val="00821108"/>
  </w:style>
  <w:style w:type="character" w:customStyle="1" w:styleId="a">
    <w:name w:val="a"/>
    <w:basedOn w:val="DefaultParagraphFont"/>
    <w:rsid w:val="00821108"/>
  </w:style>
  <w:style w:type="character" w:customStyle="1" w:styleId="poemtextwback">
    <w:name w:val="poemtextwback"/>
    <w:basedOn w:val="DefaultParagraphFont"/>
    <w:rsid w:val="00821108"/>
  </w:style>
  <w:style w:type="paragraph" w:styleId="List">
    <w:name w:val="List"/>
    <w:basedOn w:val="Normal"/>
    <w:rsid w:val="00821108"/>
    <w:pPr>
      <w:spacing w:after="0" w:line="240" w:lineRule="auto"/>
      <w:ind w:left="283" w:hanging="283"/>
    </w:pPr>
    <w:rPr>
      <w:rFonts w:ascii="Humnst777 Lt BT" w:eastAsia="Times New Roman" w:hAnsi="Humnst777 Lt BT" w:cs="Times New Roman"/>
      <w:sz w:val="20"/>
      <w:szCs w:val="20"/>
    </w:rPr>
  </w:style>
  <w:style w:type="paragraph" w:styleId="List2">
    <w:name w:val="List 2"/>
    <w:basedOn w:val="Normal"/>
    <w:rsid w:val="00821108"/>
    <w:pPr>
      <w:spacing w:after="0" w:line="240" w:lineRule="auto"/>
      <w:ind w:left="566" w:hanging="283"/>
    </w:pPr>
    <w:rPr>
      <w:rFonts w:ascii="Humnst777 Lt BT" w:eastAsia="Times New Roman" w:hAnsi="Humnst777 Lt BT" w:cs="Times New Roman"/>
      <w:sz w:val="20"/>
      <w:szCs w:val="20"/>
    </w:rPr>
  </w:style>
  <w:style w:type="paragraph" w:styleId="BodyTextIndent">
    <w:name w:val="Body Text Indent"/>
    <w:basedOn w:val="Normal"/>
    <w:link w:val="BodyTextIndentChar"/>
    <w:rsid w:val="00821108"/>
    <w:pPr>
      <w:spacing w:after="120" w:line="240" w:lineRule="auto"/>
      <w:ind w:left="283"/>
    </w:pPr>
    <w:rPr>
      <w:rFonts w:ascii="Humnst777 Lt BT" w:eastAsia="Times New Roman" w:hAnsi="Humnst777 Lt BT" w:cs="Times New Roman"/>
      <w:sz w:val="20"/>
      <w:szCs w:val="20"/>
    </w:rPr>
  </w:style>
  <w:style w:type="character" w:customStyle="1" w:styleId="BodyTextIndentChar">
    <w:name w:val="Body Text Indent Char"/>
    <w:basedOn w:val="DefaultParagraphFont"/>
    <w:link w:val="BodyTextIndent"/>
    <w:rsid w:val="00821108"/>
    <w:rPr>
      <w:rFonts w:ascii="Humnst777 Lt BT" w:eastAsia="Times New Roman" w:hAnsi="Humnst777 Lt BT" w:cs="Times New Roman"/>
      <w:sz w:val="20"/>
      <w:szCs w:val="20"/>
    </w:rPr>
  </w:style>
  <w:style w:type="paragraph" w:styleId="BodyTextFirstIndent">
    <w:name w:val="Body Text First Indent"/>
    <w:basedOn w:val="BodyText"/>
    <w:link w:val="BodyTextFirstIndentChar"/>
    <w:rsid w:val="00821108"/>
    <w:pPr>
      <w:widowControl/>
      <w:spacing w:after="120"/>
      <w:ind w:left="0" w:firstLine="210"/>
    </w:pPr>
    <w:rPr>
      <w:rFonts w:ascii="Humnst777 Lt BT" w:eastAsia="Times New Roman" w:hAnsi="Humnst777 Lt BT" w:cs="Times New Roman"/>
      <w:sz w:val="20"/>
      <w:szCs w:val="20"/>
      <w:lang w:val="en-GB"/>
    </w:rPr>
  </w:style>
  <w:style w:type="character" w:customStyle="1" w:styleId="BodyTextFirstIndentChar">
    <w:name w:val="Body Text First Indent Char"/>
    <w:basedOn w:val="BodyTextChar"/>
    <w:link w:val="BodyTextFirstIndent"/>
    <w:rsid w:val="00821108"/>
    <w:rPr>
      <w:rFonts w:ascii="Humnst777 Lt BT" w:eastAsia="Times New Roman" w:hAnsi="Humnst777 Lt BT" w:cs="Times New Roman"/>
      <w:sz w:val="20"/>
      <w:szCs w:val="20"/>
      <w:lang w:val="en-US"/>
    </w:rPr>
  </w:style>
  <w:style w:type="character" w:styleId="Strong">
    <w:name w:val="Strong"/>
    <w:qFormat/>
    <w:rsid w:val="00821108"/>
    <w:rPr>
      <w:b/>
      <w:bCs/>
    </w:rPr>
  </w:style>
  <w:style w:type="paragraph" w:styleId="HTMLPreformatted">
    <w:name w:val="HTML Preformatted"/>
    <w:basedOn w:val="Normal"/>
    <w:link w:val="HTMLPreformattedChar"/>
    <w:rsid w:val="00821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821108"/>
    <w:rPr>
      <w:rFonts w:ascii="Courier New" w:eastAsia="Times New Roman" w:hAnsi="Courier New" w:cs="Courier New"/>
      <w:sz w:val="20"/>
      <w:szCs w:val="20"/>
    </w:rPr>
  </w:style>
  <w:style w:type="paragraph" w:styleId="NormalWeb">
    <w:name w:val="Normal (Web)"/>
    <w:basedOn w:val="Normal"/>
    <w:uiPriority w:val="99"/>
    <w:rsid w:val="00821108"/>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rsid w:val="0082110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821108"/>
    <w:rPr>
      <w:rFonts w:ascii="Courier New" w:eastAsia="Times New Roman" w:hAnsi="Courier New" w:cs="Courier New"/>
      <w:sz w:val="20"/>
      <w:szCs w:val="20"/>
    </w:rPr>
  </w:style>
  <w:style w:type="character" w:customStyle="1" w:styleId="quoted2">
    <w:name w:val="quoted2"/>
    <w:basedOn w:val="DefaultParagraphFont"/>
    <w:rsid w:val="00821108"/>
  </w:style>
  <w:style w:type="character" w:styleId="Emphasis">
    <w:name w:val="Emphasis"/>
    <w:qFormat/>
    <w:rsid w:val="00821108"/>
    <w:rPr>
      <w:i/>
      <w:iCs/>
    </w:rPr>
  </w:style>
  <w:style w:type="character" w:customStyle="1" w:styleId="bps-small-text">
    <w:name w:val="bps-small-text"/>
    <w:basedOn w:val="DefaultParagraphFont"/>
    <w:rsid w:val="00821108"/>
  </w:style>
  <w:style w:type="paragraph" w:customStyle="1" w:styleId="align-center">
    <w:name w:val="align-center"/>
    <w:basedOn w:val="Normal"/>
    <w:rsid w:val="0082110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talics">
    <w:name w:val="italics"/>
    <w:rsid w:val="00821108"/>
  </w:style>
  <w:style w:type="character" w:customStyle="1" w:styleId="contributornametrigger">
    <w:name w:val="contributornametrigger"/>
    <w:basedOn w:val="DefaultParagraphFont"/>
    <w:rsid w:val="00821108"/>
  </w:style>
  <w:style w:type="character" w:customStyle="1" w:styleId="bylinepipe">
    <w:name w:val="bylinepipe"/>
    <w:basedOn w:val="DefaultParagraphFont"/>
    <w:rsid w:val="00821108"/>
  </w:style>
  <w:style w:type="character" w:customStyle="1" w:styleId="ng-scope">
    <w:name w:val="ng-scope"/>
    <w:basedOn w:val="DefaultParagraphFont"/>
    <w:rsid w:val="00821108"/>
  </w:style>
  <w:style w:type="paragraph" w:styleId="NoSpacing">
    <w:name w:val="No Spacing"/>
    <w:link w:val="NoSpacingChar"/>
    <w:uiPriority w:val="1"/>
    <w:qFormat/>
    <w:rsid w:val="00821108"/>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821108"/>
    <w:rPr>
      <w:rFonts w:eastAsiaTheme="minorEastAsia"/>
      <w:lang w:val="en-US" w:eastAsia="ja-JP"/>
    </w:rPr>
  </w:style>
  <w:style w:type="table" w:customStyle="1" w:styleId="TableGrid1">
    <w:name w:val="Table Grid1"/>
    <w:basedOn w:val="TableNormal"/>
    <w:next w:val="TableGrid"/>
    <w:uiPriority w:val="59"/>
    <w:rsid w:val="00821108"/>
    <w:pPr>
      <w:spacing w:after="0" w:line="240" w:lineRule="auto"/>
    </w:pPr>
    <w:rPr>
      <w:rFonts w:ascii="Humnst777 Lt BT" w:hAnsi="Humnst777 Lt BT"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24">
    <w:name w:val="CM2+4"/>
    <w:basedOn w:val="Default"/>
    <w:next w:val="Default"/>
    <w:uiPriority w:val="99"/>
    <w:rsid w:val="00821108"/>
    <w:pPr>
      <w:spacing w:line="300" w:lineRule="atLeast"/>
    </w:pPr>
    <w:rPr>
      <w:color w:val="auto"/>
    </w:rPr>
  </w:style>
  <w:style w:type="paragraph" w:styleId="ListParagraph">
    <w:name w:val="List Paragraph"/>
    <w:basedOn w:val="Normal"/>
    <w:uiPriority w:val="34"/>
    <w:qFormat/>
    <w:rsid w:val="00821108"/>
    <w:pPr>
      <w:widowControl w:val="0"/>
      <w:spacing w:after="0" w:line="240" w:lineRule="auto"/>
    </w:pPr>
    <w:rPr>
      <w:lang w:val="en-US"/>
    </w:rPr>
  </w:style>
  <w:style w:type="paragraph" w:customStyle="1" w:styleId="TableParagraph">
    <w:name w:val="Table Paragraph"/>
    <w:basedOn w:val="Normal"/>
    <w:uiPriority w:val="1"/>
    <w:qFormat/>
    <w:rsid w:val="00821108"/>
    <w:pPr>
      <w:widowControl w:val="0"/>
      <w:spacing w:after="0" w:line="240" w:lineRule="auto"/>
    </w:pPr>
    <w:rPr>
      <w:lang w:val="en-US"/>
    </w:rPr>
  </w:style>
  <w:style w:type="character" w:customStyle="1" w:styleId="ipa">
    <w:name w:val="ipa"/>
    <w:basedOn w:val="DefaultParagraphFont"/>
    <w:rsid w:val="007D2FEA"/>
  </w:style>
  <w:style w:type="character" w:customStyle="1" w:styleId="script-hebrew">
    <w:name w:val="script-hebrew"/>
    <w:basedOn w:val="DefaultParagraphFont"/>
    <w:rsid w:val="007D2FEA"/>
  </w:style>
  <w:style w:type="character" w:customStyle="1" w:styleId="smallcaps">
    <w:name w:val="smallcaps"/>
    <w:basedOn w:val="DefaultParagraphFont"/>
    <w:rsid w:val="007D2FEA"/>
  </w:style>
  <w:style w:type="character" w:customStyle="1" w:styleId="text3">
    <w:name w:val="text3"/>
    <w:basedOn w:val="DefaultParagraphFont"/>
    <w:rsid w:val="00616C1F"/>
  </w:style>
  <w:style w:type="character" w:styleId="FollowedHyperlink">
    <w:name w:val="FollowedHyperlink"/>
    <w:rsid w:val="00616C1F"/>
    <w:rPr>
      <w:color w:val="800080"/>
      <w:u w:val="single"/>
    </w:rPr>
  </w:style>
  <w:style w:type="paragraph" w:customStyle="1" w:styleId="author">
    <w:name w:val="author"/>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mall">
    <w:name w:val="small"/>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isbn">
    <w:name w:val="isbn"/>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ollectable-attr">
    <w:name w:val="collectable-attr"/>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wrap">
    <w:name w:val="no-wrap"/>
    <w:rsid w:val="00616C1F"/>
  </w:style>
  <w:style w:type="paragraph" w:customStyle="1" w:styleId="bookseller-rating">
    <w:name w:val="bookseller-rating"/>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rice">
    <w:name w:val="price"/>
    <w:rsid w:val="00616C1F"/>
  </w:style>
  <w:style w:type="paragraph" w:customStyle="1" w:styleId="m-sm-t">
    <w:name w:val="m-sm-t"/>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lear-all">
    <w:name w:val="clear-all"/>
    <w:basedOn w:val="Normal"/>
    <w:rsid w:val="00616C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TMLCite">
    <w:name w:val="HTML Cite"/>
    <w:uiPriority w:val="99"/>
    <w:unhideWhenUsed/>
    <w:rsid w:val="00616C1F"/>
    <w:rPr>
      <w:i/>
      <w:iCs/>
    </w:rPr>
  </w:style>
  <w:style w:type="character" w:customStyle="1" w:styleId="key">
    <w:name w:val="key"/>
    <w:rsid w:val="00616C1F"/>
  </w:style>
  <w:style w:type="character" w:customStyle="1" w:styleId="value">
    <w:name w:val="value"/>
    <w:rsid w:val="00616C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4.jpg"/><Relationship Id="rId63" Type="http://schemas.openxmlformats.org/officeDocument/2006/relationships/image" Target="media/image42.jpg"/><Relationship Id="rId159" Type="http://schemas.openxmlformats.org/officeDocument/2006/relationships/image" Target="media/image132.jpg"/><Relationship Id="rId170" Type="http://schemas.openxmlformats.org/officeDocument/2006/relationships/image" Target="media/image143.jpg"/><Relationship Id="rId226" Type="http://schemas.openxmlformats.org/officeDocument/2006/relationships/header" Target="header19.xml"/><Relationship Id="rId268" Type="http://schemas.openxmlformats.org/officeDocument/2006/relationships/image" Target="media/image224.JPG"/><Relationship Id="rId32" Type="http://schemas.openxmlformats.org/officeDocument/2006/relationships/image" Target="media/image15.jpg"/><Relationship Id="rId74" Type="http://schemas.openxmlformats.org/officeDocument/2006/relationships/image" Target="media/image53.jpg"/><Relationship Id="rId128" Type="http://schemas.openxmlformats.org/officeDocument/2006/relationships/image" Target="media/image102.jpg"/><Relationship Id="rId5" Type="http://schemas.openxmlformats.org/officeDocument/2006/relationships/settings" Target="settings.xml"/><Relationship Id="rId181" Type="http://schemas.openxmlformats.org/officeDocument/2006/relationships/header" Target="header16.xml"/><Relationship Id="rId237" Type="http://schemas.openxmlformats.org/officeDocument/2006/relationships/footer" Target="footer8.xml"/><Relationship Id="rId279" Type="http://schemas.openxmlformats.org/officeDocument/2006/relationships/image" Target="media/image234.jpg"/><Relationship Id="rId43" Type="http://schemas.openxmlformats.org/officeDocument/2006/relationships/image" Target="media/image26.jpg"/><Relationship Id="rId139" Type="http://schemas.openxmlformats.org/officeDocument/2006/relationships/image" Target="media/image112.jpg"/><Relationship Id="rId290" Type="http://schemas.openxmlformats.org/officeDocument/2006/relationships/image" Target="media/image245.jpg"/><Relationship Id="rId85" Type="http://schemas.openxmlformats.org/officeDocument/2006/relationships/image" Target="media/image64.jpg"/><Relationship Id="rId150" Type="http://schemas.openxmlformats.org/officeDocument/2006/relationships/image" Target="media/image123.jpg"/><Relationship Id="rId192" Type="http://schemas.openxmlformats.org/officeDocument/2006/relationships/image" Target="media/image164.jpg"/><Relationship Id="rId206" Type="http://schemas.openxmlformats.org/officeDocument/2006/relationships/image" Target="media/image178.jpg"/><Relationship Id="rId248" Type="http://schemas.openxmlformats.org/officeDocument/2006/relationships/image" Target="media/image204.JPG"/><Relationship Id="rId12" Type="http://schemas.openxmlformats.org/officeDocument/2006/relationships/header" Target="header3.xml"/><Relationship Id="rId33" Type="http://schemas.openxmlformats.org/officeDocument/2006/relationships/image" Target="media/image16.jpg"/><Relationship Id="rId108" Type="http://schemas.openxmlformats.org/officeDocument/2006/relationships/image" Target="media/image84.jpg"/><Relationship Id="rId129" Type="http://schemas.openxmlformats.org/officeDocument/2006/relationships/image" Target="media/image103.jpg"/><Relationship Id="rId280" Type="http://schemas.openxmlformats.org/officeDocument/2006/relationships/image" Target="media/image235.jpg"/><Relationship Id="rId54" Type="http://schemas.openxmlformats.org/officeDocument/2006/relationships/image" Target="media/image37.jpg"/><Relationship Id="rId75" Type="http://schemas.openxmlformats.org/officeDocument/2006/relationships/image" Target="media/image54.jpg"/><Relationship Id="rId96" Type="http://schemas.openxmlformats.org/officeDocument/2006/relationships/image" Target="media/image75.jpg"/><Relationship Id="rId140" Type="http://schemas.openxmlformats.org/officeDocument/2006/relationships/image" Target="media/image113.jpg"/><Relationship Id="rId161" Type="http://schemas.openxmlformats.org/officeDocument/2006/relationships/image" Target="media/image134.jpg"/><Relationship Id="rId182" Type="http://schemas.openxmlformats.org/officeDocument/2006/relationships/image" Target="media/image154.jpg"/><Relationship Id="rId217" Type="http://schemas.openxmlformats.org/officeDocument/2006/relationships/image" Target="media/image189.jpg"/><Relationship Id="rId6" Type="http://schemas.openxmlformats.org/officeDocument/2006/relationships/webSettings" Target="webSettings.xml"/><Relationship Id="rId238" Type="http://schemas.openxmlformats.org/officeDocument/2006/relationships/image" Target="media/image197.jpg"/><Relationship Id="rId259" Type="http://schemas.openxmlformats.org/officeDocument/2006/relationships/image" Target="media/image215.JPG"/><Relationship Id="rId23" Type="http://schemas.openxmlformats.org/officeDocument/2006/relationships/image" Target="media/image6.jpg"/><Relationship Id="rId119" Type="http://schemas.openxmlformats.org/officeDocument/2006/relationships/header" Target="header14.xml"/><Relationship Id="rId270" Type="http://schemas.openxmlformats.org/officeDocument/2006/relationships/image" Target="media/image225.jpg"/><Relationship Id="rId291" Type="http://schemas.openxmlformats.org/officeDocument/2006/relationships/header" Target="header27.xml"/><Relationship Id="rId44" Type="http://schemas.openxmlformats.org/officeDocument/2006/relationships/image" Target="media/image27.jpg"/><Relationship Id="rId65" Type="http://schemas.openxmlformats.org/officeDocument/2006/relationships/image" Target="media/image44.jpg"/><Relationship Id="rId86" Type="http://schemas.openxmlformats.org/officeDocument/2006/relationships/image" Target="media/image65.jpg"/><Relationship Id="rId130" Type="http://schemas.openxmlformats.org/officeDocument/2006/relationships/image" Target="media/image104.jpg"/><Relationship Id="rId151" Type="http://schemas.openxmlformats.org/officeDocument/2006/relationships/image" Target="media/image124.jpg"/><Relationship Id="rId172" Type="http://schemas.openxmlformats.org/officeDocument/2006/relationships/image" Target="media/image145.jpg"/><Relationship Id="rId193" Type="http://schemas.openxmlformats.org/officeDocument/2006/relationships/image" Target="media/image165.jpg"/><Relationship Id="rId207" Type="http://schemas.openxmlformats.org/officeDocument/2006/relationships/image" Target="media/image179.jpg"/><Relationship Id="rId228" Type="http://schemas.openxmlformats.org/officeDocument/2006/relationships/footer" Target="footer4.xml"/><Relationship Id="rId249" Type="http://schemas.openxmlformats.org/officeDocument/2006/relationships/image" Target="media/image205.JPG"/><Relationship Id="rId13" Type="http://schemas.openxmlformats.org/officeDocument/2006/relationships/header" Target="header4.xml"/><Relationship Id="rId109" Type="http://schemas.openxmlformats.org/officeDocument/2006/relationships/image" Target="media/image85.jpg"/><Relationship Id="rId260" Type="http://schemas.openxmlformats.org/officeDocument/2006/relationships/image" Target="media/image216.JPG"/><Relationship Id="rId281" Type="http://schemas.openxmlformats.org/officeDocument/2006/relationships/image" Target="media/image236.jpg"/><Relationship Id="rId34" Type="http://schemas.openxmlformats.org/officeDocument/2006/relationships/image" Target="media/image17.jpg"/><Relationship Id="rId55" Type="http://schemas.openxmlformats.org/officeDocument/2006/relationships/image" Target="media/image38.jpg"/><Relationship Id="rId76" Type="http://schemas.openxmlformats.org/officeDocument/2006/relationships/image" Target="media/image55.jpg"/><Relationship Id="rId97" Type="http://schemas.openxmlformats.org/officeDocument/2006/relationships/image" Target="media/image76.jpg"/><Relationship Id="rId120" Type="http://schemas.openxmlformats.org/officeDocument/2006/relationships/image" Target="media/image94.jpg"/><Relationship Id="rId141" Type="http://schemas.openxmlformats.org/officeDocument/2006/relationships/image" Target="media/image114.jpg"/><Relationship Id="rId7" Type="http://schemas.openxmlformats.org/officeDocument/2006/relationships/footnotes" Target="footnotes.xml"/><Relationship Id="rId162" Type="http://schemas.openxmlformats.org/officeDocument/2006/relationships/image" Target="media/image135.jpg"/><Relationship Id="rId183" Type="http://schemas.openxmlformats.org/officeDocument/2006/relationships/image" Target="media/image155.jpg"/><Relationship Id="rId218" Type="http://schemas.openxmlformats.org/officeDocument/2006/relationships/image" Target="media/image190.jpg"/><Relationship Id="rId239" Type="http://schemas.openxmlformats.org/officeDocument/2006/relationships/image" Target="media/image198.jpg"/><Relationship Id="rId250" Type="http://schemas.openxmlformats.org/officeDocument/2006/relationships/image" Target="media/image206.JPG"/><Relationship Id="rId271" Type="http://schemas.openxmlformats.org/officeDocument/2006/relationships/image" Target="media/image226.jpg"/><Relationship Id="rId292" Type="http://schemas.openxmlformats.org/officeDocument/2006/relationships/header" Target="header28.xml"/><Relationship Id="rId24" Type="http://schemas.openxmlformats.org/officeDocument/2006/relationships/image" Target="media/image7.jpg"/><Relationship Id="rId45" Type="http://schemas.openxmlformats.org/officeDocument/2006/relationships/image" Target="media/image28.jpg"/><Relationship Id="rId66" Type="http://schemas.openxmlformats.org/officeDocument/2006/relationships/image" Target="media/image45.jpg"/><Relationship Id="rId87" Type="http://schemas.openxmlformats.org/officeDocument/2006/relationships/image" Target="media/image66.jpg"/><Relationship Id="rId110" Type="http://schemas.openxmlformats.org/officeDocument/2006/relationships/image" Target="media/image86.jpg"/><Relationship Id="rId131" Type="http://schemas.openxmlformats.org/officeDocument/2006/relationships/image" Target="media/image105.jpg"/><Relationship Id="rId152" Type="http://schemas.openxmlformats.org/officeDocument/2006/relationships/image" Target="media/image125.jpg"/><Relationship Id="rId173" Type="http://schemas.openxmlformats.org/officeDocument/2006/relationships/image" Target="media/image146.jpg"/><Relationship Id="rId194" Type="http://schemas.openxmlformats.org/officeDocument/2006/relationships/image" Target="media/image166.jpg"/><Relationship Id="rId208" Type="http://schemas.openxmlformats.org/officeDocument/2006/relationships/image" Target="media/image180.jpg"/><Relationship Id="rId229" Type="http://schemas.openxmlformats.org/officeDocument/2006/relationships/footer" Target="footer5.xml"/><Relationship Id="rId240" Type="http://schemas.openxmlformats.org/officeDocument/2006/relationships/image" Target="media/image199.jpg"/><Relationship Id="rId261" Type="http://schemas.openxmlformats.org/officeDocument/2006/relationships/image" Target="media/image217.JPG"/><Relationship Id="rId14" Type="http://schemas.openxmlformats.org/officeDocument/2006/relationships/header" Target="header5.xml"/><Relationship Id="rId35" Type="http://schemas.openxmlformats.org/officeDocument/2006/relationships/image" Target="media/image18.jpg"/><Relationship Id="rId56" Type="http://schemas.openxmlformats.org/officeDocument/2006/relationships/image" Target="media/image39.jpg"/><Relationship Id="rId77" Type="http://schemas.openxmlformats.org/officeDocument/2006/relationships/image" Target="media/image56.jpg"/><Relationship Id="rId100" Type="http://schemas.openxmlformats.org/officeDocument/2006/relationships/image" Target="media/image79.jpg"/><Relationship Id="rId282" Type="http://schemas.openxmlformats.org/officeDocument/2006/relationships/image" Target="media/image237.jpg"/><Relationship Id="rId8" Type="http://schemas.openxmlformats.org/officeDocument/2006/relationships/endnotes" Target="endnotes.xml"/><Relationship Id="rId98" Type="http://schemas.openxmlformats.org/officeDocument/2006/relationships/image" Target="media/image77.jpg"/><Relationship Id="rId121" Type="http://schemas.openxmlformats.org/officeDocument/2006/relationships/image" Target="media/image95.jpg"/><Relationship Id="rId142" Type="http://schemas.openxmlformats.org/officeDocument/2006/relationships/image" Target="media/image115.jpg"/><Relationship Id="rId163" Type="http://schemas.openxmlformats.org/officeDocument/2006/relationships/image" Target="media/image136.jpg"/><Relationship Id="rId184" Type="http://schemas.openxmlformats.org/officeDocument/2006/relationships/image" Target="media/image156.jpg"/><Relationship Id="rId219" Type="http://schemas.openxmlformats.org/officeDocument/2006/relationships/image" Target="media/image191.jpg"/><Relationship Id="rId230" Type="http://schemas.openxmlformats.org/officeDocument/2006/relationships/image" Target="media/image196.jpeg"/><Relationship Id="rId251" Type="http://schemas.openxmlformats.org/officeDocument/2006/relationships/image" Target="media/image207.JPG"/><Relationship Id="rId25" Type="http://schemas.openxmlformats.org/officeDocument/2006/relationships/image" Target="media/image8.jpg"/><Relationship Id="rId46" Type="http://schemas.openxmlformats.org/officeDocument/2006/relationships/image" Target="media/image29.jpg"/><Relationship Id="rId67" Type="http://schemas.openxmlformats.org/officeDocument/2006/relationships/image" Target="media/image46.jpg"/><Relationship Id="rId272" Type="http://schemas.openxmlformats.org/officeDocument/2006/relationships/image" Target="media/image227.jpg"/><Relationship Id="rId293" Type="http://schemas.openxmlformats.org/officeDocument/2006/relationships/fontTable" Target="fontTable.xml"/><Relationship Id="rId88" Type="http://schemas.openxmlformats.org/officeDocument/2006/relationships/image" Target="media/image67.jpg"/><Relationship Id="rId111" Type="http://schemas.openxmlformats.org/officeDocument/2006/relationships/image" Target="media/image87.jpg"/><Relationship Id="rId132" Type="http://schemas.openxmlformats.org/officeDocument/2006/relationships/image" Target="media/image106.jpg"/><Relationship Id="rId153" Type="http://schemas.openxmlformats.org/officeDocument/2006/relationships/image" Target="media/image126.jpg"/><Relationship Id="rId174" Type="http://schemas.openxmlformats.org/officeDocument/2006/relationships/image" Target="media/image147.jpg"/><Relationship Id="rId195" Type="http://schemas.openxmlformats.org/officeDocument/2006/relationships/image" Target="media/image167.jpg"/><Relationship Id="rId209" Type="http://schemas.openxmlformats.org/officeDocument/2006/relationships/image" Target="media/image181.jpg"/><Relationship Id="rId220" Type="http://schemas.openxmlformats.org/officeDocument/2006/relationships/image" Target="media/image192.jpg"/><Relationship Id="rId241" Type="http://schemas.openxmlformats.org/officeDocument/2006/relationships/image" Target="media/image200.jpg"/><Relationship Id="rId15" Type="http://schemas.openxmlformats.org/officeDocument/2006/relationships/header" Target="header6.xml"/><Relationship Id="rId36" Type="http://schemas.openxmlformats.org/officeDocument/2006/relationships/image" Target="media/image19.jpg"/><Relationship Id="rId57" Type="http://schemas.openxmlformats.org/officeDocument/2006/relationships/header" Target="header8.xml"/><Relationship Id="rId262" Type="http://schemas.openxmlformats.org/officeDocument/2006/relationships/image" Target="media/image218.JPG"/><Relationship Id="rId283" Type="http://schemas.openxmlformats.org/officeDocument/2006/relationships/image" Target="media/image238.jpg"/><Relationship Id="rId78" Type="http://schemas.openxmlformats.org/officeDocument/2006/relationships/image" Target="media/image57.jpg"/><Relationship Id="rId99" Type="http://schemas.openxmlformats.org/officeDocument/2006/relationships/image" Target="media/image78.jpg"/><Relationship Id="rId101" Type="http://schemas.openxmlformats.org/officeDocument/2006/relationships/header" Target="header10.xml"/><Relationship Id="rId122" Type="http://schemas.openxmlformats.org/officeDocument/2006/relationships/image" Target="media/image96.jpg"/><Relationship Id="rId143" Type="http://schemas.openxmlformats.org/officeDocument/2006/relationships/image" Target="media/image116.jpg"/><Relationship Id="rId164" Type="http://schemas.openxmlformats.org/officeDocument/2006/relationships/image" Target="media/image137.jpg"/><Relationship Id="rId185" Type="http://schemas.openxmlformats.org/officeDocument/2006/relationships/image" Target="media/image157.jpg"/><Relationship Id="rId9" Type="http://schemas.openxmlformats.org/officeDocument/2006/relationships/header" Target="header1.xml"/><Relationship Id="rId210" Type="http://schemas.openxmlformats.org/officeDocument/2006/relationships/image" Target="media/image182.jpg"/><Relationship Id="rId26" Type="http://schemas.openxmlformats.org/officeDocument/2006/relationships/image" Target="media/image9.jpg"/><Relationship Id="rId231" Type="http://schemas.openxmlformats.org/officeDocument/2006/relationships/header" Target="header21.xml"/><Relationship Id="rId252" Type="http://schemas.openxmlformats.org/officeDocument/2006/relationships/image" Target="media/image208.JPG"/><Relationship Id="rId273" Type="http://schemas.openxmlformats.org/officeDocument/2006/relationships/image" Target="media/image228.jpg"/><Relationship Id="rId294" Type="http://schemas.openxmlformats.org/officeDocument/2006/relationships/theme" Target="theme/theme1.xml"/><Relationship Id="rId47" Type="http://schemas.openxmlformats.org/officeDocument/2006/relationships/image" Target="media/image30.jpg"/><Relationship Id="rId68" Type="http://schemas.openxmlformats.org/officeDocument/2006/relationships/image" Target="media/image47.jpg"/><Relationship Id="rId89" Type="http://schemas.openxmlformats.org/officeDocument/2006/relationships/image" Target="media/image68.jpg"/><Relationship Id="rId112" Type="http://schemas.openxmlformats.org/officeDocument/2006/relationships/image" Target="media/image88.jpg"/><Relationship Id="rId133" Type="http://schemas.openxmlformats.org/officeDocument/2006/relationships/image" Target="media/image107.jpg"/><Relationship Id="rId154" Type="http://schemas.openxmlformats.org/officeDocument/2006/relationships/image" Target="media/image127.jpg"/><Relationship Id="rId175" Type="http://schemas.openxmlformats.org/officeDocument/2006/relationships/image" Target="media/image148.jpg"/><Relationship Id="rId196" Type="http://schemas.openxmlformats.org/officeDocument/2006/relationships/image" Target="media/image168.jpg"/><Relationship Id="rId200" Type="http://schemas.openxmlformats.org/officeDocument/2006/relationships/image" Target="media/image172.jpg"/><Relationship Id="rId16" Type="http://schemas.openxmlformats.org/officeDocument/2006/relationships/hyperlink" Target="http://www.newadvent.org/cathen/14004b.htm" TargetMode="External"/><Relationship Id="rId221" Type="http://schemas.openxmlformats.org/officeDocument/2006/relationships/image" Target="media/image193.jpg"/><Relationship Id="rId242" Type="http://schemas.openxmlformats.org/officeDocument/2006/relationships/header" Target="header25.xml"/><Relationship Id="rId263" Type="http://schemas.openxmlformats.org/officeDocument/2006/relationships/image" Target="media/image219.JPG"/><Relationship Id="rId284" Type="http://schemas.openxmlformats.org/officeDocument/2006/relationships/image" Target="media/image239.jpg"/><Relationship Id="rId37" Type="http://schemas.openxmlformats.org/officeDocument/2006/relationships/image" Target="media/image20.jpg"/><Relationship Id="rId58" Type="http://schemas.openxmlformats.org/officeDocument/2006/relationships/image" Target="media/image40.jpg"/><Relationship Id="rId79" Type="http://schemas.openxmlformats.org/officeDocument/2006/relationships/image" Target="media/image58.jpg"/><Relationship Id="rId102" Type="http://schemas.openxmlformats.org/officeDocument/2006/relationships/image" Target="media/image80.jpg"/><Relationship Id="rId123" Type="http://schemas.openxmlformats.org/officeDocument/2006/relationships/image" Target="media/image97.jpg"/><Relationship Id="rId144" Type="http://schemas.openxmlformats.org/officeDocument/2006/relationships/image" Target="media/image117.jpg"/><Relationship Id="rId90" Type="http://schemas.openxmlformats.org/officeDocument/2006/relationships/image" Target="media/image69.jpg"/><Relationship Id="rId165" Type="http://schemas.openxmlformats.org/officeDocument/2006/relationships/image" Target="media/image138.jpg"/><Relationship Id="rId186" Type="http://schemas.openxmlformats.org/officeDocument/2006/relationships/image" Target="media/image158.jpg"/><Relationship Id="rId211" Type="http://schemas.openxmlformats.org/officeDocument/2006/relationships/image" Target="media/image183.jpg"/><Relationship Id="rId232" Type="http://schemas.openxmlformats.org/officeDocument/2006/relationships/header" Target="header22.xml"/><Relationship Id="rId253" Type="http://schemas.openxmlformats.org/officeDocument/2006/relationships/image" Target="media/image209.JPG"/><Relationship Id="rId274" Type="http://schemas.openxmlformats.org/officeDocument/2006/relationships/image" Target="media/image229.jpg"/><Relationship Id="rId27" Type="http://schemas.openxmlformats.org/officeDocument/2006/relationships/image" Target="media/image10.jpg"/><Relationship Id="rId48" Type="http://schemas.openxmlformats.org/officeDocument/2006/relationships/image" Target="media/image31.jpg"/><Relationship Id="rId69" Type="http://schemas.openxmlformats.org/officeDocument/2006/relationships/image" Target="media/image48.jpg"/><Relationship Id="rId113" Type="http://schemas.openxmlformats.org/officeDocument/2006/relationships/header" Target="header13.xml"/><Relationship Id="rId134" Type="http://schemas.openxmlformats.org/officeDocument/2006/relationships/image" Target="media/image108.jpg"/><Relationship Id="rId80" Type="http://schemas.openxmlformats.org/officeDocument/2006/relationships/image" Target="media/image59.jpg"/><Relationship Id="rId155" Type="http://schemas.openxmlformats.org/officeDocument/2006/relationships/image" Target="media/image128.jpg"/><Relationship Id="rId176" Type="http://schemas.openxmlformats.org/officeDocument/2006/relationships/image" Target="media/image149.jpg"/><Relationship Id="rId197" Type="http://schemas.openxmlformats.org/officeDocument/2006/relationships/image" Target="media/image169.jpg"/><Relationship Id="rId201" Type="http://schemas.openxmlformats.org/officeDocument/2006/relationships/image" Target="media/image173.jpg"/><Relationship Id="rId222" Type="http://schemas.openxmlformats.org/officeDocument/2006/relationships/image" Target="media/image194.jpg"/><Relationship Id="rId243" Type="http://schemas.openxmlformats.org/officeDocument/2006/relationships/footer" Target="footer9.xml"/><Relationship Id="rId264" Type="http://schemas.openxmlformats.org/officeDocument/2006/relationships/image" Target="media/image220.JPG"/><Relationship Id="rId285" Type="http://schemas.openxmlformats.org/officeDocument/2006/relationships/image" Target="media/image240.jpg"/><Relationship Id="rId17" Type="http://schemas.openxmlformats.org/officeDocument/2006/relationships/header" Target="header7.xml"/><Relationship Id="rId38" Type="http://schemas.openxmlformats.org/officeDocument/2006/relationships/image" Target="media/image21.jpg"/><Relationship Id="rId59" Type="http://schemas.openxmlformats.org/officeDocument/2006/relationships/header" Target="header9.xml"/><Relationship Id="rId103" Type="http://schemas.openxmlformats.org/officeDocument/2006/relationships/image" Target="media/image81.jpg"/><Relationship Id="rId124" Type="http://schemas.openxmlformats.org/officeDocument/2006/relationships/image" Target="media/image98.jpg"/><Relationship Id="rId70" Type="http://schemas.openxmlformats.org/officeDocument/2006/relationships/image" Target="media/image49.jpg"/><Relationship Id="rId91" Type="http://schemas.openxmlformats.org/officeDocument/2006/relationships/image" Target="media/image70.jpg"/><Relationship Id="rId145" Type="http://schemas.openxmlformats.org/officeDocument/2006/relationships/image" Target="media/image118.jpg"/><Relationship Id="rId166" Type="http://schemas.openxmlformats.org/officeDocument/2006/relationships/image" Target="media/image139.jpg"/><Relationship Id="rId187" Type="http://schemas.openxmlformats.org/officeDocument/2006/relationships/image" Target="media/image159.jpg"/><Relationship Id="rId1" Type="http://schemas.openxmlformats.org/officeDocument/2006/relationships/customXml" Target="../customXml/item1.xml"/><Relationship Id="rId212" Type="http://schemas.openxmlformats.org/officeDocument/2006/relationships/image" Target="media/image184.jpg"/><Relationship Id="rId233" Type="http://schemas.openxmlformats.org/officeDocument/2006/relationships/footer" Target="footer6.xml"/><Relationship Id="rId254" Type="http://schemas.openxmlformats.org/officeDocument/2006/relationships/image" Target="media/image210.JPG"/><Relationship Id="rId28" Type="http://schemas.openxmlformats.org/officeDocument/2006/relationships/image" Target="media/image11.jpg"/><Relationship Id="rId49" Type="http://schemas.openxmlformats.org/officeDocument/2006/relationships/image" Target="media/image32.jpg"/><Relationship Id="rId114" Type="http://schemas.openxmlformats.org/officeDocument/2006/relationships/image" Target="media/image89.jpg"/><Relationship Id="rId275" Type="http://schemas.openxmlformats.org/officeDocument/2006/relationships/image" Target="media/image230.jpg"/><Relationship Id="rId60" Type="http://schemas.openxmlformats.org/officeDocument/2006/relationships/footer" Target="footer2.xml"/><Relationship Id="rId81" Type="http://schemas.openxmlformats.org/officeDocument/2006/relationships/image" Target="media/image60.jpg"/><Relationship Id="rId135" Type="http://schemas.openxmlformats.org/officeDocument/2006/relationships/image" Target="media/image109.jpg"/><Relationship Id="rId156" Type="http://schemas.openxmlformats.org/officeDocument/2006/relationships/image" Target="media/image129.jpeg"/><Relationship Id="rId177" Type="http://schemas.openxmlformats.org/officeDocument/2006/relationships/image" Target="media/image150.jpg"/><Relationship Id="rId198" Type="http://schemas.openxmlformats.org/officeDocument/2006/relationships/image" Target="media/image170.jpg"/><Relationship Id="rId202" Type="http://schemas.openxmlformats.org/officeDocument/2006/relationships/image" Target="media/image174.jpg"/><Relationship Id="rId223" Type="http://schemas.openxmlformats.org/officeDocument/2006/relationships/image" Target="media/image195.jpg"/><Relationship Id="rId244" Type="http://schemas.openxmlformats.org/officeDocument/2006/relationships/footer" Target="footer10.xml"/><Relationship Id="rId18" Type="http://schemas.openxmlformats.org/officeDocument/2006/relationships/image" Target="media/image1.jpg"/><Relationship Id="rId39" Type="http://schemas.openxmlformats.org/officeDocument/2006/relationships/image" Target="media/image22.jpg"/><Relationship Id="rId265" Type="http://schemas.openxmlformats.org/officeDocument/2006/relationships/image" Target="media/image221.JPG"/><Relationship Id="rId286" Type="http://schemas.openxmlformats.org/officeDocument/2006/relationships/image" Target="media/image241.jpg"/><Relationship Id="rId50" Type="http://schemas.openxmlformats.org/officeDocument/2006/relationships/image" Target="media/image33.jpg"/><Relationship Id="rId104" Type="http://schemas.openxmlformats.org/officeDocument/2006/relationships/image" Target="media/image82.jpg"/><Relationship Id="rId125" Type="http://schemas.openxmlformats.org/officeDocument/2006/relationships/image" Target="media/image99.jpg"/><Relationship Id="rId146" Type="http://schemas.openxmlformats.org/officeDocument/2006/relationships/image" Target="media/image119.jpg"/><Relationship Id="rId167" Type="http://schemas.openxmlformats.org/officeDocument/2006/relationships/image" Target="media/image140.jpg"/><Relationship Id="rId188" Type="http://schemas.openxmlformats.org/officeDocument/2006/relationships/image" Target="media/image160.jpg"/><Relationship Id="rId71" Type="http://schemas.openxmlformats.org/officeDocument/2006/relationships/image" Target="media/image50.jpg"/><Relationship Id="rId92" Type="http://schemas.openxmlformats.org/officeDocument/2006/relationships/image" Target="media/image71.jpg"/><Relationship Id="rId213" Type="http://schemas.openxmlformats.org/officeDocument/2006/relationships/image" Target="media/image185.jpg"/><Relationship Id="rId234"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image" Target="media/image12.jpg"/><Relationship Id="rId255" Type="http://schemas.openxmlformats.org/officeDocument/2006/relationships/image" Target="media/image211.JPG"/><Relationship Id="rId276" Type="http://schemas.openxmlformats.org/officeDocument/2006/relationships/image" Target="media/image231.jpg"/><Relationship Id="rId40" Type="http://schemas.openxmlformats.org/officeDocument/2006/relationships/image" Target="media/image23.jpg"/><Relationship Id="rId115" Type="http://schemas.openxmlformats.org/officeDocument/2006/relationships/image" Target="media/image90.jpg"/><Relationship Id="rId136" Type="http://schemas.openxmlformats.org/officeDocument/2006/relationships/header" Target="header15.xml"/><Relationship Id="rId157" Type="http://schemas.openxmlformats.org/officeDocument/2006/relationships/image" Target="media/image130.jpg"/><Relationship Id="rId178" Type="http://schemas.openxmlformats.org/officeDocument/2006/relationships/image" Target="media/image151.jpg"/><Relationship Id="rId61" Type="http://schemas.openxmlformats.org/officeDocument/2006/relationships/footer" Target="footer3.xml"/><Relationship Id="rId82" Type="http://schemas.openxmlformats.org/officeDocument/2006/relationships/image" Target="media/image61.jpg"/><Relationship Id="rId199" Type="http://schemas.openxmlformats.org/officeDocument/2006/relationships/image" Target="media/image171.jpg"/><Relationship Id="rId203" Type="http://schemas.openxmlformats.org/officeDocument/2006/relationships/image" Target="media/image175.jpg"/><Relationship Id="rId19" Type="http://schemas.openxmlformats.org/officeDocument/2006/relationships/image" Target="media/image2.jpg"/><Relationship Id="rId224" Type="http://schemas.openxmlformats.org/officeDocument/2006/relationships/header" Target="header17.xml"/><Relationship Id="rId245" Type="http://schemas.openxmlformats.org/officeDocument/2006/relationships/image" Target="media/image201.JPG"/><Relationship Id="rId266" Type="http://schemas.openxmlformats.org/officeDocument/2006/relationships/image" Target="media/image222.JPG"/><Relationship Id="rId287" Type="http://schemas.openxmlformats.org/officeDocument/2006/relationships/image" Target="media/image242.jpg"/><Relationship Id="rId30" Type="http://schemas.openxmlformats.org/officeDocument/2006/relationships/image" Target="media/image13.jpg"/><Relationship Id="rId105" Type="http://schemas.openxmlformats.org/officeDocument/2006/relationships/header" Target="header11.xml"/><Relationship Id="rId126" Type="http://schemas.openxmlformats.org/officeDocument/2006/relationships/image" Target="media/image100.jpg"/><Relationship Id="rId147" Type="http://schemas.openxmlformats.org/officeDocument/2006/relationships/image" Target="media/image120.jpg"/><Relationship Id="rId168" Type="http://schemas.openxmlformats.org/officeDocument/2006/relationships/image" Target="media/image141.jpg"/><Relationship Id="rId51" Type="http://schemas.openxmlformats.org/officeDocument/2006/relationships/image" Target="media/image34.jpg"/><Relationship Id="rId72" Type="http://schemas.openxmlformats.org/officeDocument/2006/relationships/image" Target="media/image51.jpg"/><Relationship Id="rId93" Type="http://schemas.openxmlformats.org/officeDocument/2006/relationships/image" Target="media/image72.jpg"/><Relationship Id="rId189" Type="http://schemas.openxmlformats.org/officeDocument/2006/relationships/image" Target="media/image161.jpg"/><Relationship Id="rId3" Type="http://schemas.openxmlformats.org/officeDocument/2006/relationships/styles" Target="styles.xml"/><Relationship Id="rId214" Type="http://schemas.openxmlformats.org/officeDocument/2006/relationships/image" Target="media/image186.jpg"/><Relationship Id="rId235" Type="http://schemas.openxmlformats.org/officeDocument/2006/relationships/header" Target="header24.xml"/><Relationship Id="rId256" Type="http://schemas.openxmlformats.org/officeDocument/2006/relationships/image" Target="media/image212.JPG"/><Relationship Id="rId277" Type="http://schemas.openxmlformats.org/officeDocument/2006/relationships/image" Target="media/image232.jpg"/><Relationship Id="rId116" Type="http://schemas.openxmlformats.org/officeDocument/2006/relationships/image" Target="media/image91.jpg"/><Relationship Id="rId137" Type="http://schemas.openxmlformats.org/officeDocument/2006/relationships/image" Target="media/image110.jpeg"/><Relationship Id="rId158" Type="http://schemas.openxmlformats.org/officeDocument/2006/relationships/image" Target="media/image131.jpg"/><Relationship Id="rId20" Type="http://schemas.openxmlformats.org/officeDocument/2006/relationships/image" Target="media/image3.jpg"/><Relationship Id="rId41" Type="http://schemas.openxmlformats.org/officeDocument/2006/relationships/image" Target="media/image24.jpg"/><Relationship Id="rId62" Type="http://schemas.openxmlformats.org/officeDocument/2006/relationships/image" Target="media/image41.jpg"/><Relationship Id="rId83" Type="http://schemas.openxmlformats.org/officeDocument/2006/relationships/image" Target="media/image62.jpg"/><Relationship Id="rId179" Type="http://schemas.openxmlformats.org/officeDocument/2006/relationships/image" Target="media/image152.jpg"/><Relationship Id="rId190" Type="http://schemas.openxmlformats.org/officeDocument/2006/relationships/image" Target="media/image162.jpg"/><Relationship Id="rId204" Type="http://schemas.openxmlformats.org/officeDocument/2006/relationships/image" Target="media/image176.jpg"/><Relationship Id="rId225" Type="http://schemas.openxmlformats.org/officeDocument/2006/relationships/header" Target="header18.xml"/><Relationship Id="rId246" Type="http://schemas.openxmlformats.org/officeDocument/2006/relationships/image" Target="media/image202.JPG"/><Relationship Id="rId267" Type="http://schemas.openxmlformats.org/officeDocument/2006/relationships/image" Target="media/image223.JPG"/><Relationship Id="rId288" Type="http://schemas.openxmlformats.org/officeDocument/2006/relationships/image" Target="media/image243.jpg"/><Relationship Id="rId106" Type="http://schemas.openxmlformats.org/officeDocument/2006/relationships/header" Target="header12.xml"/><Relationship Id="rId127" Type="http://schemas.openxmlformats.org/officeDocument/2006/relationships/image" Target="media/image101.jpg"/><Relationship Id="rId10" Type="http://schemas.openxmlformats.org/officeDocument/2006/relationships/header" Target="header2.xml"/><Relationship Id="rId31" Type="http://schemas.openxmlformats.org/officeDocument/2006/relationships/image" Target="media/image14.jpg"/><Relationship Id="rId52" Type="http://schemas.openxmlformats.org/officeDocument/2006/relationships/image" Target="media/image35.jpg"/><Relationship Id="rId73" Type="http://schemas.openxmlformats.org/officeDocument/2006/relationships/image" Target="media/image52.jpg"/><Relationship Id="rId94" Type="http://schemas.openxmlformats.org/officeDocument/2006/relationships/image" Target="media/image73.jpg"/><Relationship Id="rId148" Type="http://schemas.openxmlformats.org/officeDocument/2006/relationships/image" Target="media/image121.jpg"/><Relationship Id="rId169" Type="http://schemas.openxmlformats.org/officeDocument/2006/relationships/image" Target="media/image142.jpg"/><Relationship Id="rId4" Type="http://schemas.microsoft.com/office/2007/relationships/stylesWithEffects" Target="stylesWithEffects.xml"/><Relationship Id="rId180" Type="http://schemas.openxmlformats.org/officeDocument/2006/relationships/image" Target="media/image153.jpg"/><Relationship Id="rId215" Type="http://schemas.openxmlformats.org/officeDocument/2006/relationships/image" Target="media/image187.jpg"/><Relationship Id="rId236" Type="http://schemas.openxmlformats.org/officeDocument/2006/relationships/footer" Target="footer7.xml"/><Relationship Id="rId257" Type="http://schemas.openxmlformats.org/officeDocument/2006/relationships/image" Target="media/image213.JPG"/><Relationship Id="rId278" Type="http://schemas.openxmlformats.org/officeDocument/2006/relationships/image" Target="media/image233.jpg"/><Relationship Id="rId42" Type="http://schemas.openxmlformats.org/officeDocument/2006/relationships/image" Target="media/image25.jpg"/><Relationship Id="rId84" Type="http://schemas.openxmlformats.org/officeDocument/2006/relationships/image" Target="media/image63.jpg"/><Relationship Id="rId138" Type="http://schemas.openxmlformats.org/officeDocument/2006/relationships/image" Target="media/image111.jpg"/><Relationship Id="rId191" Type="http://schemas.openxmlformats.org/officeDocument/2006/relationships/image" Target="media/image163.jpg"/><Relationship Id="rId205" Type="http://schemas.openxmlformats.org/officeDocument/2006/relationships/image" Target="media/image177.jpg"/><Relationship Id="rId247" Type="http://schemas.openxmlformats.org/officeDocument/2006/relationships/image" Target="media/image203.JPG"/><Relationship Id="rId107" Type="http://schemas.openxmlformats.org/officeDocument/2006/relationships/image" Target="media/image83.jpg"/><Relationship Id="rId289" Type="http://schemas.openxmlformats.org/officeDocument/2006/relationships/image" Target="media/image244.jpg"/><Relationship Id="rId11" Type="http://schemas.openxmlformats.org/officeDocument/2006/relationships/footer" Target="footer1.xml"/><Relationship Id="rId53" Type="http://schemas.openxmlformats.org/officeDocument/2006/relationships/image" Target="media/image36.jpg"/><Relationship Id="rId149" Type="http://schemas.openxmlformats.org/officeDocument/2006/relationships/image" Target="media/image122.jpg"/><Relationship Id="rId95" Type="http://schemas.openxmlformats.org/officeDocument/2006/relationships/image" Target="media/image74.jpg"/><Relationship Id="rId160" Type="http://schemas.openxmlformats.org/officeDocument/2006/relationships/image" Target="media/image133.jpg"/><Relationship Id="rId216" Type="http://schemas.openxmlformats.org/officeDocument/2006/relationships/image" Target="media/image188.jpg"/><Relationship Id="rId258" Type="http://schemas.openxmlformats.org/officeDocument/2006/relationships/image" Target="media/image214.JPG"/><Relationship Id="rId22" Type="http://schemas.openxmlformats.org/officeDocument/2006/relationships/image" Target="media/image5.jpg"/><Relationship Id="rId64" Type="http://schemas.openxmlformats.org/officeDocument/2006/relationships/image" Target="media/image43.jpg"/><Relationship Id="rId118" Type="http://schemas.openxmlformats.org/officeDocument/2006/relationships/image" Target="media/image93.jpg"/><Relationship Id="rId171" Type="http://schemas.openxmlformats.org/officeDocument/2006/relationships/image" Target="media/image144.jpg"/><Relationship Id="rId227" Type="http://schemas.openxmlformats.org/officeDocument/2006/relationships/header" Target="header20.xml"/><Relationship Id="rId269" Type="http://schemas.openxmlformats.org/officeDocument/2006/relationships/header" Target="header26.xml"/></Relationships>
</file>

<file path=word/_rels/endnotes.xml.rels><?xml version="1.0" encoding="UTF-8" standalone="yes"?>
<Relationships xmlns="http://schemas.openxmlformats.org/package/2006/relationships"><Relationship Id="rId2" Type="http://schemas.openxmlformats.org/officeDocument/2006/relationships/hyperlink" Target="http://www.encyclopaediajudaica.com/" TargetMode="External"/><Relationship Id="rId1" Type="http://schemas.openxmlformats.org/officeDocument/2006/relationships/hyperlink" Target="http://www.amazon.com/exec/obidos/ISBN=0688085067/theamericanisrae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A2BFD3-BB32-40F3-9BEA-80FD35216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600</Pages>
  <Words>136621</Words>
  <Characters>778740</Characters>
  <Application>Microsoft Office Word</Application>
  <DocSecurity>0</DocSecurity>
  <Lines>6489</Lines>
  <Paragraphs>1827</Paragraphs>
  <ScaleCrop>false</ScaleCrop>
  <HeadingPairs>
    <vt:vector size="2" baseType="variant">
      <vt:variant>
        <vt:lpstr>Title</vt:lpstr>
      </vt:variant>
      <vt:variant>
        <vt:i4>1</vt:i4>
      </vt:variant>
    </vt:vector>
  </HeadingPairs>
  <TitlesOfParts>
    <vt:vector size="1" baseType="lpstr">
      <vt:lpstr>What is Dispensationalism Definitions and Origins</vt:lpstr>
    </vt:vector>
  </TitlesOfParts>
  <Company/>
  <LinksUpToDate>false</LinksUpToDate>
  <CharactersWithSpaces>913534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is Dispensationalism Definitions and Origins</dc:title>
  <dc:creator>Perry</dc:creator>
  <cp:lastModifiedBy>Perry</cp:lastModifiedBy>
  <cp:revision>2</cp:revision>
  <cp:lastPrinted>2018-07-03T19:42:00Z</cp:lastPrinted>
  <dcterms:created xsi:type="dcterms:W3CDTF">2018-12-17T11:57:00Z</dcterms:created>
  <dcterms:modified xsi:type="dcterms:W3CDTF">2018-12-17T11:57:00Z</dcterms:modified>
</cp:coreProperties>
</file>